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43D0A00">
      <w:pPr>
        <w:bidi w:val="0"/>
        <w:rPr>
          <w:color w:val="auto"/>
          <w:highlight w:val="none"/>
        </w:rPr>
      </w:pPr>
    </w:p>
    <w:p w14:paraId="6D158BCE">
      <w:pPr>
        <w:bidi w:val="0"/>
        <w:rPr>
          <w:color w:val="auto"/>
          <w:highlight w:val="none"/>
        </w:rPr>
      </w:pPr>
    </w:p>
    <w:p w14:paraId="6964A150">
      <w:pPr>
        <w:bidi w:val="0"/>
        <w:rPr>
          <w:color w:val="auto"/>
          <w:highlight w:val="none"/>
        </w:rPr>
      </w:pPr>
    </w:p>
    <w:p w14:paraId="0CF2628B">
      <w:pPr>
        <w:bidi w:val="0"/>
        <w:rPr>
          <w:color w:val="auto"/>
          <w:highlight w:val="none"/>
        </w:rPr>
      </w:pPr>
    </w:p>
    <w:p w14:paraId="72B40431">
      <w:pPr>
        <w:bidi w:val="0"/>
        <w:rPr>
          <w:color w:val="auto"/>
          <w:highlight w:val="none"/>
        </w:rPr>
      </w:pPr>
    </w:p>
    <w:p w14:paraId="5F8A85E3">
      <w:pPr>
        <w:bidi w:val="0"/>
        <w:rPr>
          <w:color w:val="auto"/>
          <w:highlight w:val="none"/>
        </w:rPr>
      </w:pPr>
    </w:p>
    <w:p w14:paraId="4AAFA2AC">
      <w:pPr>
        <w:pStyle w:val="23"/>
        <w:snapToGrid w:val="0"/>
        <w:spacing w:line="360" w:lineRule="auto"/>
        <w:jc w:val="center"/>
        <w:rPr>
          <w:rFonts w:hint="eastAsia" w:ascii="Times New Roman" w:hAnsi="Times New Roman"/>
          <w:b/>
          <w:color w:val="auto"/>
          <w:kern w:val="0"/>
          <w:sz w:val="48"/>
          <w:szCs w:val="48"/>
          <w:highlight w:val="none"/>
        </w:rPr>
      </w:pPr>
      <w:r>
        <w:rPr>
          <w:rFonts w:hint="eastAsia" w:ascii="Times New Roman" w:hAnsi="Times New Roman"/>
          <w:b/>
          <w:color w:val="auto"/>
          <w:kern w:val="0"/>
          <w:sz w:val="48"/>
          <w:szCs w:val="48"/>
          <w:highlight w:val="none"/>
        </w:rPr>
        <w:t>安徽氢环能源技术有限公司</w:t>
      </w:r>
    </w:p>
    <w:p w14:paraId="1EB7A4B6">
      <w:pPr>
        <w:pStyle w:val="23"/>
        <w:snapToGrid w:val="0"/>
        <w:spacing w:line="360" w:lineRule="auto"/>
        <w:jc w:val="center"/>
        <w:rPr>
          <w:rFonts w:hint="eastAsia" w:ascii="Times New Roman" w:hAnsi="Times New Roman" w:eastAsia="宋体" w:cs="Times New Roman"/>
          <w:b/>
          <w:color w:val="auto"/>
          <w:kern w:val="0"/>
          <w:sz w:val="48"/>
          <w:szCs w:val="48"/>
          <w:highlight w:val="none"/>
        </w:rPr>
      </w:pPr>
      <w:r>
        <w:rPr>
          <w:rFonts w:hint="eastAsia" w:ascii="Times New Roman" w:hAnsi="Times New Roman"/>
          <w:b/>
          <w:color w:val="auto"/>
          <w:kern w:val="0"/>
          <w:sz w:val="48"/>
          <w:szCs w:val="48"/>
          <w:highlight w:val="none"/>
        </w:rPr>
        <w:t>安徽氢环生物质沼气便携式制氢设备制造及综合能源供应项目</w:t>
      </w:r>
      <w:r>
        <w:rPr>
          <w:rFonts w:hint="eastAsia" w:ascii="Times New Roman" w:hAnsi="Times New Roman" w:eastAsia="宋体" w:cs="Times New Roman"/>
          <w:b/>
          <w:color w:val="auto"/>
          <w:kern w:val="0"/>
          <w:sz w:val="48"/>
          <w:szCs w:val="48"/>
          <w:highlight w:val="none"/>
        </w:rPr>
        <w:t>环境影响报告书</w:t>
      </w:r>
    </w:p>
    <w:p w14:paraId="1F3ECD1F">
      <w:pPr>
        <w:pStyle w:val="23"/>
        <w:jc w:val="center"/>
        <w:rPr>
          <w:rFonts w:hint="eastAsia" w:ascii="Times New Roman" w:hAnsi="Times New Roman" w:eastAsia="宋体"/>
          <w:b/>
          <w:color w:val="auto"/>
          <w:sz w:val="52"/>
          <w:szCs w:val="52"/>
          <w:highlight w:val="none"/>
          <w:lang w:eastAsia="zh-CN"/>
        </w:rPr>
      </w:pPr>
      <w:r>
        <w:rPr>
          <w:rFonts w:hint="eastAsia" w:ascii="Times New Roman" w:hAnsi="Times New Roman"/>
          <w:b/>
          <w:color w:val="0000FF"/>
          <w:sz w:val="52"/>
          <w:szCs w:val="52"/>
          <w:highlight w:val="none"/>
          <w:lang w:eastAsia="zh-CN"/>
        </w:rPr>
        <w:t>（</w:t>
      </w:r>
      <w:r>
        <w:rPr>
          <w:rFonts w:hint="eastAsia" w:ascii="Times New Roman" w:hAnsi="Times New Roman"/>
          <w:b/>
          <w:color w:val="0000FF"/>
          <w:sz w:val="52"/>
          <w:szCs w:val="52"/>
          <w:highlight w:val="none"/>
          <w:lang w:val="en-US" w:eastAsia="zh-CN"/>
        </w:rPr>
        <w:t>送审稿</w:t>
      </w:r>
      <w:r>
        <w:rPr>
          <w:rFonts w:hint="eastAsia" w:ascii="Times New Roman" w:hAnsi="Times New Roman"/>
          <w:b/>
          <w:color w:val="0000FF"/>
          <w:sz w:val="52"/>
          <w:szCs w:val="52"/>
          <w:highlight w:val="none"/>
          <w:lang w:eastAsia="zh-CN"/>
        </w:rPr>
        <w:t>）</w:t>
      </w:r>
    </w:p>
    <w:p w14:paraId="3C2C77ED">
      <w:pPr>
        <w:bidi w:val="0"/>
        <w:rPr>
          <w:color w:val="auto"/>
          <w:highlight w:val="none"/>
        </w:rPr>
      </w:pPr>
    </w:p>
    <w:p w14:paraId="2E5B6337">
      <w:pPr>
        <w:bidi w:val="0"/>
        <w:rPr>
          <w:color w:val="auto"/>
          <w:highlight w:val="none"/>
        </w:rPr>
      </w:pPr>
    </w:p>
    <w:p w14:paraId="4A51D0D4">
      <w:pPr>
        <w:bidi w:val="0"/>
        <w:rPr>
          <w:color w:val="auto"/>
          <w:highlight w:val="none"/>
        </w:rPr>
      </w:pPr>
    </w:p>
    <w:p w14:paraId="4B2CDD9A">
      <w:pPr>
        <w:bidi w:val="0"/>
        <w:rPr>
          <w:color w:val="auto"/>
          <w:highlight w:val="none"/>
        </w:rPr>
      </w:pPr>
    </w:p>
    <w:p w14:paraId="3ACC7FF2">
      <w:pPr>
        <w:bidi w:val="0"/>
        <w:rPr>
          <w:color w:val="auto"/>
          <w:highlight w:val="none"/>
        </w:rPr>
      </w:pPr>
    </w:p>
    <w:p w14:paraId="1D1B35ED">
      <w:pPr>
        <w:bidi w:val="0"/>
        <w:rPr>
          <w:color w:val="auto"/>
          <w:highlight w:val="none"/>
        </w:rPr>
      </w:pPr>
    </w:p>
    <w:p w14:paraId="0E9D558F">
      <w:pPr>
        <w:bidi w:val="0"/>
        <w:rPr>
          <w:color w:val="auto"/>
          <w:highlight w:val="none"/>
        </w:rPr>
      </w:pPr>
    </w:p>
    <w:p w14:paraId="553BF762">
      <w:pPr>
        <w:bidi w:val="0"/>
        <w:rPr>
          <w:color w:val="auto"/>
          <w:highlight w:val="none"/>
        </w:rPr>
      </w:pPr>
    </w:p>
    <w:p w14:paraId="2FAE13BD">
      <w:pPr>
        <w:bidi w:val="0"/>
        <w:rPr>
          <w:color w:val="auto"/>
          <w:highlight w:val="none"/>
        </w:rPr>
      </w:pPr>
    </w:p>
    <w:p w14:paraId="2F51A51E">
      <w:pPr>
        <w:bidi w:val="0"/>
        <w:rPr>
          <w:color w:val="auto"/>
          <w:highlight w:val="none"/>
        </w:rPr>
      </w:pPr>
    </w:p>
    <w:p w14:paraId="6CAC8C29">
      <w:pPr>
        <w:bidi w:val="0"/>
        <w:rPr>
          <w:color w:val="auto"/>
          <w:highlight w:val="none"/>
        </w:rPr>
      </w:pPr>
    </w:p>
    <w:p w14:paraId="3EEB4F71">
      <w:pPr>
        <w:bidi w:val="0"/>
        <w:rPr>
          <w:color w:val="auto"/>
          <w:highlight w:val="none"/>
        </w:rPr>
      </w:pPr>
    </w:p>
    <w:p w14:paraId="7321AF53">
      <w:pPr>
        <w:bidi w:val="0"/>
        <w:rPr>
          <w:color w:val="auto"/>
          <w:highlight w:val="none"/>
        </w:rPr>
      </w:pPr>
    </w:p>
    <w:p w14:paraId="40CFEA69">
      <w:pPr>
        <w:bidi w:val="0"/>
        <w:rPr>
          <w:color w:val="auto"/>
          <w:highlight w:val="none"/>
        </w:rPr>
      </w:pPr>
    </w:p>
    <w:p w14:paraId="69F0F286">
      <w:pPr>
        <w:bidi w:val="0"/>
        <w:rPr>
          <w:color w:val="auto"/>
          <w:highlight w:val="none"/>
        </w:rPr>
      </w:pPr>
    </w:p>
    <w:p w14:paraId="68A4DA51">
      <w:pPr>
        <w:bidi w:val="0"/>
        <w:rPr>
          <w:color w:val="auto"/>
          <w:highlight w:val="none"/>
        </w:rPr>
      </w:pPr>
    </w:p>
    <w:p w14:paraId="4B23DF03">
      <w:pPr>
        <w:bidi w:val="0"/>
        <w:rPr>
          <w:color w:val="auto"/>
          <w:highlight w:val="none"/>
        </w:rPr>
      </w:pPr>
    </w:p>
    <w:p w14:paraId="4A629A26">
      <w:pPr>
        <w:pStyle w:val="23"/>
        <w:jc w:val="center"/>
        <w:rPr>
          <w:rFonts w:ascii="Times New Roman" w:hAnsi="Times New Roman"/>
          <w:b/>
          <w:color w:val="auto"/>
          <w:sz w:val="32"/>
          <w:szCs w:val="28"/>
          <w:highlight w:val="none"/>
        </w:rPr>
      </w:pPr>
      <w:r>
        <w:rPr>
          <w:rFonts w:ascii="Times New Roman" w:hAnsi="Times New Roman"/>
          <w:b/>
          <w:color w:val="auto"/>
          <w:sz w:val="32"/>
          <w:szCs w:val="28"/>
          <w:highlight w:val="none"/>
        </w:rPr>
        <w:t>建设单位</w:t>
      </w:r>
      <w:r>
        <w:rPr>
          <w:rFonts w:hint="eastAsia" w:ascii="Times New Roman" w:hAnsi="Times New Roman"/>
          <w:b/>
          <w:color w:val="auto"/>
          <w:sz w:val="32"/>
          <w:szCs w:val="28"/>
          <w:highlight w:val="none"/>
          <w:lang w:eastAsia="zh-CN"/>
        </w:rPr>
        <w:t>：安徽氢环能源技术有限公司</w:t>
      </w:r>
    </w:p>
    <w:p w14:paraId="0CCD699D">
      <w:pPr>
        <w:pStyle w:val="23"/>
        <w:jc w:val="center"/>
        <w:rPr>
          <w:rFonts w:ascii="Times New Roman" w:hAnsi="Times New Roman"/>
          <w:b/>
          <w:color w:val="auto"/>
          <w:sz w:val="32"/>
          <w:szCs w:val="28"/>
          <w:highlight w:val="none"/>
        </w:rPr>
      </w:pPr>
      <w:r>
        <w:rPr>
          <w:rFonts w:ascii="Times New Roman" w:hAnsi="Times New Roman"/>
          <w:b/>
          <w:color w:val="auto"/>
          <w:sz w:val="32"/>
          <w:szCs w:val="28"/>
          <w:highlight w:val="none"/>
        </w:rPr>
        <w:t>编制单位</w:t>
      </w:r>
      <w:r>
        <w:rPr>
          <w:rFonts w:hint="eastAsia" w:ascii="Times New Roman" w:hAnsi="Times New Roman"/>
          <w:b/>
          <w:color w:val="auto"/>
          <w:sz w:val="32"/>
          <w:szCs w:val="28"/>
          <w:highlight w:val="none"/>
          <w:lang w:eastAsia="zh-CN"/>
        </w:rPr>
        <w:t>：</w:t>
      </w:r>
      <w:r>
        <w:rPr>
          <w:rFonts w:ascii="Times New Roman" w:hAnsi="Times New Roman"/>
          <w:b/>
          <w:color w:val="auto"/>
          <w:sz w:val="32"/>
          <w:szCs w:val="28"/>
          <w:highlight w:val="none"/>
        </w:rPr>
        <w:t>安徽</w:t>
      </w:r>
      <w:r>
        <w:rPr>
          <w:rFonts w:hint="eastAsia" w:ascii="Times New Roman" w:hAnsi="Times New Roman"/>
          <w:b/>
          <w:color w:val="auto"/>
          <w:sz w:val="32"/>
          <w:szCs w:val="28"/>
          <w:highlight w:val="none"/>
          <w:lang w:val="en-US" w:eastAsia="zh-CN"/>
        </w:rPr>
        <w:t>环晟环保科技</w:t>
      </w:r>
      <w:r>
        <w:rPr>
          <w:rFonts w:ascii="Times New Roman" w:hAnsi="Times New Roman"/>
          <w:b/>
          <w:color w:val="auto"/>
          <w:sz w:val="32"/>
          <w:szCs w:val="28"/>
          <w:highlight w:val="none"/>
        </w:rPr>
        <w:t>有限公司</w:t>
      </w:r>
    </w:p>
    <w:p w14:paraId="21AD7E87">
      <w:pPr>
        <w:pStyle w:val="23"/>
        <w:jc w:val="center"/>
        <w:rPr>
          <w:rFonts w:ascii="Times New Roman" w:hAnsi="Times New Roman"/>
          <w:b/>
          <w:color w:val="auto"/>
          <w:sz w:val="32"/>
          <w:szCs w:val="28"/>
          <w:highlight w:val="none"/>
        </w:rPr>
      </w:pPr>
      <w:r>
        <w:rPr>
          <w:rFonts w:ascii="Times New Roman" w:hAnsi="Times New Roman"/>
          <w:b/>
          <w:color w:val="auto"/>
          <w:sz w:val="32"/>
          <w:szCs w:val="28"/>
          <w:highlight w:val="none"/>
        </w:rPr>
        <w:t>二〇二</w:t>
      </w:r>
      <w:r>
        <w:rPr>
          <w:rFonts w:hint="eastAsia" w:ascii="Times New Roman" w:hAnsi="Times New Roman"/>
          <w:b/>
          <w:color w:val="auto"/>
          <w:sz w:val="32"/>
          <w:szCs w:val="28"/>
          <w:highlight w:val="none"/>
          <w:lang w:val="en-US" w:eastAsia="zh-CN"/>
        </w:rPr>
        <w:t>五</w:t>
      </w:r>
      <w:r>
        <w:rPr>
          <w:rFonts w:ascii="Times New Roman" w:hAnsi="Times New Roman"/>
          <w:b/>
          <w:color w:val="auto"/>
          <w:sz w:val="32"/>
          <w:szCs w:val="28"/>
          <w:highlight w:val="none"/>
        </w:rPr>
        <w:t>年</w:t>
      </w:r>
      <w:r>
        <w:rPr>
          <w:rFonts w:hint="eastAsia" w:ascii="Times New Roman" w:hAnsi="Times New Roman"/>
          <w:b/>
          <w:color w:val="auto"/>
          <w:sz w:val="32"/>
          <w:szCs w:val="28"/>
          <w:highlight w:val="none"/>
          <w:lang w:val="en-US" w:eastAsia="zh-CN"/>
        </w:rPr>
        <w:t>十一</w:t>
      </w:r>
      <w:r>
        <w:rPr>
          <w:rFonts w:ascii="Times New Roman" w:hAnsi="Times New Roman"/>
          <w:b/>
          <w:color w:val="auto"/>
          <w:sz w:val="32"/>
          <w:szCs w:val="28"/>
          <w:highlight w:val="none"/>
        </w:rPr>
        <w:t>月</w:t>
      </w:r>
    </w:p>
    <w:p w14:paraId="54A8BB18">
      <w:pPr>
        <w:pStyle w:val="23"/>
        <w:rPr>
          <w:rFonts w:ascii="Times New Roman" w:hAnsi="Times New Roman"/>
          <w:color w:val="auto"/>
          <w:highlight w:val="none"/>
        </w:rPr>
      </w:pPr>
    </w:p>
    <w:p w14:paraId="2FB1E421">
      <w:pPr>
        <w:pStyle w:val="395"/>
        <w:ind w:firstLine="480"/>
        <w:rPr>
          <w:rFonts w:ascii="Times New Roman" w:hAnsi="Times New Roman"/>
          <w:color w:val="auto"/>
          <w:highlight w:val="none"/>
          <w:lang w:val="zh-CN"/>
        </w:rPr>
        <w:sectPr>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p>
    <w:p w14:paraId="164396AE">
      <w:pPr>
        <w:pStyle w:val="395"/>
        <w:ind w:firstLine="480"/>
        <w:jc w:val="center"/>
        <w:rPr>
          <w:rFonts w:ascii="Times New Roman" w:hAnsi="Times New Roman"/>
          <w:color w:val="auto"/>
          <w:highlight w:val="none"/>
        </w:rPr>
      </w:pPr>
      <w:r>
        <w:rPr>
          <w:rFonts w:ascii="Times New Roman" w:hAnsi="Times New Roman"/>
          <w:color w:val="auto"/>
          <w:highlight w:val="none"/>
          <w:lang w:val="zh-CN"/>
        </w:rPr>
        <w:t>目录</w:t>
      </w:r>
    </w:p>
    <w:p w14:paraId="7810C162">
      <w:pPr>
        <w:pStyle w:val="35"/>
        <w:tabs>
          <w:tab w:val="right" w:leader="dot" w:pos="8306"/>
        </w:tabs>
        <w:rPr>
          <w:color w:val="auto"/>
          <w:highlight w:val="none"/>
        </w:rPr>
      </w:pPr>
      <w:r>
        <w:rPr>
          <w:color w:val="auto"/>
          <w:highlight w:val="none"/>
        </w:rPr>
        <w:fldChar w:fldCharType="begin"/>
      </w:r>
      <w:r>
        <w:rPr>
          <w:color w:val="auto"/>
          <w:highlight w:val="none"/>
        </w:rPr>
        <w:instrText xml:space="preserve"> TOC \o "1-2" \h \z \u </w:instrText>
      </w:r>
      <w:r>
        <w:rPr>
          <w:color w:val="auto"/>
          <w:highlight w:val="none"/>
        </w:rPr>
        <w:fldChar w:fldCharType="separate"/>
      </w:r>
      <w:r>
        <w:rPr>
          <w:color w:val="auto"/>
          <w:highlight w:val="none"/>
        </w:rPr>
        <w:fldChar w:fldCharType="begin"/>
      </w:r>
      <w:r>
        <w:rPr>
          <w:color w:val="auto"/>
          <w:highlight w:val="none"/>
        </w:rPr>
        <w:instrText xml:space="preserve"> HYPERLINK \l _Toc19318 </w:instrText>
      </w:r>
      <w:r>
        <w:rPr>
          <w:color w:val="auto"/>
          <w:highlight w:val="none"/>
        </w:rPr>
        <w:fldChar w:fldCharType="separate"/>
      </w:r>
      <w:r>
        <w:rPr>
          <w:color w:val="auto"/>
          <w:highlight w:val="none"/>
        </w:rPr>
        <w:t>1概述</w:t>
      </w:r>
      <w:r>
        <w:rPr>
          <w:color w:val="auto"/>
          <w:highlight w:val="none"/>
        </w:rPr>
        <w:tab/>
      </w:r>
      <w:r>
        <w:rPr>
          <w:color w:val="auto"/>
          <w:highlight w:val="none"/>
        </w:rPr>
        <w:fldChar w:fldCharType="begin"/>
      </w:r>
      <w:r>
        <w:rPr>
          <w:color w:val="auto"/>
          <w:highlight w:val="none"/>
        </w:rPr>
        <w:instrText xml:space="preserve"> PAGEREF _Toc19318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76E921D1">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_Toc5367 </w:instrText>
      </w:r>
      <w:r>
        <w:rPr>
          <w:color w:val="auto"/>
          <w:highlight w:val="none"/>
        </w:rPr>
        <w:fldChar w:fldCharType="separate"/>
      </w:r>
      <w:r>
        <w:rPr>
          <w:color w:val="auto"/>
          <w:highlight w:val="none"/>
        </w:rPr>
        <w:t>1.1项目由来</w:t>
      </w:r>
      <w:r>
        <w:rPr>
          <w:color w:val="auto"/>
          <w:highlight w:val="none"/>
        </w:rPr>
        <w:tab/>
      </w:r>
      <w:r>
        <w:rPr>
          <w:color w:val="auto"/>
          <w:highlight w:val="none"/>
        </w:rPr>
        <w:fldChar w:fldCharType="begin"/>
      </w:r>
      <w:r>
        <w:rPr>
          <w:color w:val="auto"/>
          <w:highlight w:val="none"/>
        </w:rPr>
        <w:instrText xml:space="preserve"> PAGEREF _Toc5367 \h </w:instrText>
      </w:r>
      <w:r>
        <w:rPr>
          <w:color w:val="auto"/>
          <w:highlight w:val="none"/>
        </w:rPr>
        <w:fldChar w:fldCharType="separate"/>
      </w:r>
      <w:r>
        <w:rPr>
          <w:color w:val="auto"/>
          <w:highlight w:val="none"/>
        </w:rPr>
        <w:t>1</w:t>
      </w:r>
      <w:r>
        <w:rPr>
          <w:color w:val="auto"/>
          <w:highlight w:val="none"/>
        </w:rPr>
        <w:fldChar w:fldCharType="end"/>
      </w:r>
      <w:r>
        <w:rPr>
          <w:color w:val="auto"/>
          <w:highlight w:val="none"/>
        </w:rPr>
        <w:fldChar w:fldCharType="end"/>
      </w:r>
    </w:p>
    <w:p w14:paraId="109E2369">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_Toc7634 </w:instrText>
      </w:r>
      <w:r>
        <w:rPr>
          <w:color w:val="auto"/>
          <w:highlight w:val="none"/>
        </w:rPr>
        <w:fldChar w:fldCharType="separate"/>
      </w:r>
      <w:r>
        <w:rPr>
          <w:rFonts w:cs="Times New Roman"/>
          <w:color w:val="auto"/>
          <w:highlight w:val="none"/>
        </w:rPr>
        <w:t>1.2项目特点</w:t>
      </w:r>
      <w:r>
        <w:rPr>
          <w:color w:val="auto"/>
          <w:highlight w:val="none"/>
        </w:rPr>
        <w:tab/>
      </w:r>
      <w:r>
        <w:rPr>
          <w:color w:val="auto"/>
          <w:highlight w:val="none"/>
        </w:rPr>
        <w:fldChar w:fldCharType="begin"/>
      </w:r>
      <w:r>
        <w:rPr>
          <w:color w:val="auto"/>
          <w:highlight w:val="none"/>
        </w:rPr>
        <w:instrText xml:space="preserve"> PAGEREF _Toc7634 \h </w:instrText>
      </w:r>
      <w:r>
        <w:rPr>
          <w:color w:val="auto"/>
          <w:highlight w:val="none"/>
        </w:rPr>
        <w:fldChar w:fldCharType="separate"/>
      </w:r>
      <w:r>
        <w:rPr>
          <w:color w:val="auto"/>
          <w:highlight w:val="none"/>
        </w:rPr>
        <w:t>2</w:t>
      </w:r>
      <w:r>
        <w:rPr>
          <w:color w:val="auto"/>
          <w:highlight w:val="none"/>
        </w:rPr>
        <w:fldChar w:fldCharType="end"/>
      </w:r>
      <w:r>
        <w:rPr>
          <w:color w:val="auto"/>
          <w:highlight w:val="none"/>
        </w:rPr>
        <w:fldChar w:fldCharType="end"/>
      </w:r>
    </w:p>
    <w:p w14:paraId="2B96F7C9">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_Toc11866 </w:instrText>
      </w:r>
      <w:r>
        <w:rPr>
          <w:color w:val="auto"/>
          <w:highlight w:val="none"/>
        </w:rPr>
        <w:fldChar w:fldCharType="separate"/>
      </w:r>
      <w:r>
        <w:rPr>
          <w:rFonts w:cs="Times New Roman"/>
          <w:color w:val="auto"/>
          <w:highlight w:val="none"/>
        </w:rPr>
        <w:t>1.3评价工作过程</w:t>
      </w:r>
      <w:r>
        <w:rPr>
          <w:color w:val="auto"/>
          <w:highlight w:val="none"/>
        </w:rPr>
        <w:tab/>
      </w:r>
      <w:r>
        <w:rPr>
          <w:color w:val="auto"/>
          <w:highlight w:val="none"/>
        </w:rPr>
        <w:fldChar w:fldCharType="begin"/>
      </w:r>
      <w:r>
        <w:rPr>
          <w:color w:val="auto"/>
          <w:highlight w:val="none"/>
        </w:rPr>
        <w:instrText xml:space="preserve"> PAGEREF _Toc11866 \h </w:instrText>
      </w:r>
      <w:r>
        <w:rPr>
          <w:color w:val="auto"/>
          <w:highlight w:val="none"/>
        </w:rPr>
        <w:fldChar w:fldCharType="separate"/>
      </w:r>
      <w:r>
        <w:rPr>
          <w:color w:val="auto"/>
          <w:highlight w:val="none"/>
        </w:rPr>
        <w:t>3</w:t>
      </w:r>
      <w:r>
        <w:rPr>
          <w:color w:val="auto"/>
          <w:highlight w:val="none"/>
        </w:rPr>
        <w:fldChar w:fldCharType="end"/>
      </w:r>
      <w:r>
        <w:rPr>
          <w:color w:val="auto"/>
          <w:highlight w:val="none"/>
        </w:rPr>
        <w:fldChar w:fldCharType="end"/>
      </w:r>
    </w:p>
    <w:p w14:paraId="2F1B0C52">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_Toc10727 </w:instrText>
      </w:r>
      <w:r>
        <w:rPr>
          <w:color w:val="auto"/>
          <w:highlight w:val="none"/>
        </w:rPr>
        <w:fldChar w:fldCharType="separate"/>
      </w:r>
      <w:r>
        <w:rPr>
          <w:rFonts w:cs="Times New Roman"/>
          <w:color w:val="auto"/>
          <w:highlight w:val="none"/>
        </w:rPr>
        <w:t>1.4分析判定相关情况</w:t>
      </w:r>
      <w:r>
        <w:rPr>
          <w:color w:val="auto"/>
          <w:highlight w:val="none"/>
        </w:rPr>
        <w:tab/>
      </w:r>
      <w:r>
        <w:rPr>
          <w:color w:val="auto"/>
          <w:highlight w:val="none"/>
        </w:rPr>
        <w:fldChar w:fldCharType="begin"/>
      </w:r>
      <w:r>
        <w:rPr>
          <w:color w:val="auto"/>
          <w:highlight w:val="none"/>
        </w:rPr>
        <w:instrText xml:space="preserve"> PAGEREF _Toc10727 \h </w:instrText>
      </w:r>
      <w:r>
        <w:rPr>
          <w:color w:val="auto"/>
          <w:highlight w:val="none"/>
        </w:rPr>
        <w:fldChar w:fldCharType="separate"/>
      </w:r>
      <w:r>
        <w:rPr>
          <w:color w:val="auto"/>
          <w:highlight w:val="none"/>
        </w:rPr>
        <w:t>4</w:t>
      </w:r>
      <w:r>
        <w:rPr>
          <w:color w:val="auto"/>
          <w:highlight w:val="none"/>
        </w:rPr>
        <w:fldChar w:fldCharType="end"/>
      </w:r>
      <w:r>
        <w:rPr>
          <w:color w:val="auto"/>
          <w:highlight w:val="none"/>
        </w:rPr>
        <w:fldChar w:fldCharType="end"/>
      </w:r>
    </w:p>
    <w:p w14:paraId="57F909DD">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_Toc25729 </w:instrText>
      </w:r>
      <w:r>
        <w:rPr>
          <w:color w:val="auto"/>
          <w:highlight w:val="none"/>
        </w:rPr>
        <w:fldChar w:fldCharType="separate"/>
      </w:r>
      <w:r>
        <w:rPr>
          <w:color w:val="auto"/>
          <w:highlight w:val="none"/>
        </w:rPr>
        <w:t>1.5关注的主要环境问题</w:t>
      </w:r>
      <w:r>
        <w:rPr>
          <w:color w:val="auto"/>
          <w:highlight w:val="none"/>
        </w:rPr>
        <w:tab/>
      </w:r>
      <w:r>
        <w:rPr>
          <w:color w:val="auto"/>
          <w:highlight w:val="none"/>
        </w:rPr>
        <w:fldChar w:fldCharType="begin"/>
      </w:r>
      <w:r>
        <w:rPr>
          <w:color w:val="auto"/>
          <w:highlight w:val="none"/>
        </w:rPr>
        <w:instrText xml:space="preserve"> PAGEREF _Toc25729 \h </w:instrText>
      </w:r>
      <w:r>
        <w:rPr>
          <w:color w:val="auto"/>
          <w:highlight w:val="none"/>
        </w:rPr>
        <w:fldChar w:fldCharType="separate"/>
      </w:r>
      <w:r>
        <w:rPr>
          <w:color w:val="auto"/>
          <w:highlight w:val="none"/>
        </w:rPr>
        <w:t>5</w:t>
      </w:r>
      <w:r>
        <w:rPr>
          <w:color w:val="auto"/>
          <w:highlight w:val="none"/>
        </w:rPr>
        <w:fldChar w:fldCharType="end"/>
      </w:r>
      <w:r>
        <w:rPr>
          <w:color w:val="auto"/>
          <w:highlight w:val="none"/>
        </w:rPr>
        <w:fldChar w:fldCharType="end"/>
      </w:r>
    </w:p>
    <w:p w14:paraId="7BB89837">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_Toc20195 </w:instrText>
      </w:r>
      <w:r>
        <w:rPr>
          <w:color w:val="auto"/>
          <w:highlight w:val="none"/>
        </w:rPr>
        <w:fldChar w:fldCharType="separate"/>
      </w:r>
      <w:r>
        <w:rPr>
          <w:color w:val="auto"/>
          <w:highlight w:val="none"/>
        </w:rPr>
        <w:t>1.6环境影响评价总结论</w:t>
      </w:r>
      <w:r>
        <w:rPr>
          <w:color w:val="auto"/>
          <w:highlight w:val="none"/>
        </w:rPr>
        <w:tab/>
      </w:r>
      <w:r>
        <w:rPr>
          <w:color w:val="auto"/>
          <w:highlight w:val="none"/>
        </w:rPr>
        <w:fldChar w:fldCharType="begin"/>
      </w:r>
      <w:r>
        <w:rPr>
          <w:color w:val="auto"/>
          <w:highlight w:val="none"/>
        </w:rPr>
        <w:instrText xml:space="preserve"> PAGEREF _Toc20195 \h </w:instrText>
      </w:r>
      <w:r>
        <w:rPr>
          <w:color w:val="auto"/>
          <w:highlight w:val="none"/>
        </w:rPr>
        <w:fldChar w:fldCharType="separate"/>
      </w:r>
      <w:r>
        <w:rPr>
          <w:color w:val="auto"/>
          <w:highlight w:val="none"/>
        </w:rPr>
        <w:t>5</w:t>
      </w:r>
      <w:r>
        <w:rPr>
          <w:color w:val="auto"/>
          <w:highlight w:val="none"/>
        </w:rPr>
        <w:fldChar w:fldCharType="end"/>
      </w:r>
      <w:r>
        <w:rPr>
          <w:color w:val="auto"/>
          <w:highlight w:val="none"/>
        </w:rPr>
        <w:fldChar w:fldCharType="end"/>
      </w:r>
    </w:p>
    <w:p w14:paraId="74511E1B">
      <w:pPr>
        <w:pStyle w:val="35"/>
        <w:tabs>
          <w:tab w:val="right" w:leader="dot" w:pos="8306"/>
        </w:tabs>
        <w:rPr>
          <w:color w:val="auto"/>
          <w:highlight w:val="none"/>
        </w:rPr>
      </w:pPr>
      <w:r>
        <w:rPr>
          <w:color w:val="auto"/>
          <w:highlight w:val="none"/>
        </w:rPr>
        <w:fldChar w:fldCharType="begin"/>
      </w:r>
      <w:r>
        <w:rPr>
          <w:color w:val="auto"/>
          <w:highlight w:val="none"/>
        </w:rPr>
        <w:instrText xml:space="preserve"> HYPERLINK \l _Toc7003 </w:instrText>
      </w:r>
      <w:r>
        <w:rPr>
          <w:color w:val="auto"/>
          <w:highlight w:val="none"/>
        </w:rPr>
        <w:fldChar w:fldCharType="separate"/>
      </w:r>
      <w:r>
        <w:rPr>
          <w:color w:val="auto"/>
          <w:highlight w:val="none"/>
        </w:rPr>
        <w:t>2总则</w:t>
      </w:r>
      <w:r>
        <w:rPr>
          <w:color w:val="auto"/>
          <w:highlight w:val="none"/>
        </w:rPr>
        <w:tab/>
      </w:r>
      <w:r>
        <w:rPr>
          <w:color w:val="auto"/>
          <w:highlight w:val="none"/>
        </w:rPr>
        <w:fldChar w:fldCharType="begin"/>
      </w:r>
      <w:r>
        <w:rPr>
          <w:color w:val="auto"/>
          <w:highlight w:val="none"/>
        </w:rPr>
        <w:instrText xml:space="preserve"> PAGEREF _Toc7003 \h </w:instrText>
      </w:r>
      <w:r>
        <w:rPr>
          <w:color w:val="auto"/>
          <w:highlight w:val="none"/>
        </w:rPr>
        <w:fldChar w:fldCharType="separate"/>
      </w:r>
      <w:r>
        <w:rPr>
          <w:color w:val="auto"/>
          <w:highlight w:val="none"/>
        </w:rPr>
        <w:t>6</w:t>
      </w:r>
      <w:r>
        <w:rPr>
          <w:color w:val="auto"/>
          <w:highlight w:val="none"/>
        </w:rPr>
        <w:fldChar w:fldCharType="end"/>
      </w:r>
      <w:r>
        <w:rPr>
          <w:color w:val="auto"/>
          <w:highlight w:val="none"/>
        </w:rPr>
        <w:fldChar w:fldCharType="end"/>
      </w:r>
    </w:p>
    <w:p w14:paraId="7C076118">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_Toc17545 </w:instrText>
      </w:r>
      <w:r>
        <w:rPr>
          <w:color w:val="auto"/>
          <w:highlight w:val="none"/>
        </w:rPr>
        <w:fldChar w:fldCharType="separate"/>
      </w:r>
      <w:r>
        <w:rPr>
          <w:color w:val="auto"/>
          <w:highlight w:val="none"/>
        </w:rPr>
        <w:t>2.1编制依据</w:t>
      </w:r>
      <w:r>
        <w:rPr>
          <w:color w:val="auto"/>
          <w:highlight w:val="none"/>
        </w:rPr>
        <w:tab/>
      </w:r>
      <w:r>
        <w:rPr>
          <w:color w:val="auto"/>
          <w:highlight w:val="none"/>
        </w:rPr>
        <w:fldChar w:fldCharType="begin"/>
      </w:r>
      <w:r>
        <w:rPr>
          <w:color w:val="auto"/>
          <w:highlight w:val="none"/>
        </w:rPr>
        <w:instrText xml:space="preserve"> PAGEREF _Toc17545 \h </w:instrText>
      </w:r>
      <w:r>
        <w:rPr>
          <w:color w:val="auto"/>
          <w:highlight w:val="none"/>
        </w:rPr>
        <w:fldChar w:fldCharType="separate"/>
      </w:r>
      <w:r>
        <w:rPr>
          <w:color w:val="auto"/>
          <w:highlight w:val="none"/>
        </w:rPr>
        <w:t>6</w:t>
      </w:r>
      <w:r>
        <w:rPr>
          <w:color w:val="auto"/>
          <w:highlight w:val="none"/>
        </w:rPr>
        <w:fldChar w:fldCharType="end"/>
      </w:r>
      <w:r>
        <w:rPr>
          <w:color w:val="auto"/>
          <w:highlight w:val="none"/>
        </w:rPr>
        <w:fldChar w:fldCharType="end"/>
      </w:r>
    </w:p>
    <w:p w14:paraId="763E8BF5">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_Toc18667 </w:instrText>
      </w:r>
      <w:r>
        <w:rPr>
          <w:color w:val="auto"/>
          <w:highlight w:val="none"/>
        </w:rPr>
        <w:fldChar w:fldCharType="separate"/>
      </w:r>
      <w:r>
        <w:rPr>
          <w:color w:val="auto"/>
          <w:highlight w:val="none"/>
        </w:rPr>
        <w:t>2.2环境影响识别与评价因子筛选</w:t>
      </w:r>
      <w:r>
        <w:rPr>
          <w:color w:val="auto"/>
          <w:highlight w:val="none"/>
        </w:rPr>
        <w:tab/>
      </w:r>
      <w:r>
        <w:rPr>
          <w:color w:val="auto"/>
          <w:highlight w:val="none"/>
        </w:rPr>
        <w:fldChar w:fldCharType="begin"/>
      </w:r>
      <w:r>
        <w:rPr>
          <w:color w:val="auto"/>
          <w:highlight w:val="none"/>
        </w:rPr>
        <w:instrText xml:space="preserve"> PAGEREF _Toc18667 \h </w:instrText>
      </w:r>
      <w:r>
        <w:rPr>
          <w:color w:val="auto"/>
          <w:highlight w:val="none"/>
        </w:rPr>
        <w:fldChar w:fldCharType="separate"/>
      </w:r>
      <w:r>
        <w:rPr>
          <w:color w:val="auto"/>
          <w:highlight w:val="none"/>
        </w:rPr>
        <w:t>11</w:t>
      </w:r>
      <w:r>
        <w:rPr>
          <w:color w:val="auto"/>
          <w:highlight w:val="none"/>
        </w:rPr>
        <w:fldChar w:fldCharType="end"/>
      </w:r>
      <w:r>
        <w:rPr>
          <w:color w:val="auto"/>
          <w:highlight w:val="none"/>
        </w:rPr>
        <w:fldChar w:fldCharType="end"/>
      </w:r>
    </w:p>
    <w:p w14:paraId="0FD04274">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_Toc30966 </w:instrText>
      </w:r>
      <w:r>
        <w:rPr>
          <w:color w:val="auto"/>
          <w:highlight w:val="none"/>
        </w:rPr>
        <w:fldChar w:fldCharType="separate"/>
      </w:r>
      <w:r>
        <w:rPr>
          <w:color w:val="auto"/>
          <w:highlight w:val="none"/>
        </w:rPr>
        <w:t>2.3环境功能区划与评价标准</w:t>
      </w:r>
      <w:r>
        <w:rPr>
          <w:color w:val="auto"/>
          <w:highlight w:val="none"/>
        </w:rPr>
        <w:tab/>
      </w:r>
      <w:r>
        <w:rPr>
          <w:color w:val="auto"/>
          <w:highlight w:val="none"/>
        </w:rPr>
        <w:fldChar w:fldCharType="begin"/>
      </w:r>
      <w:r>
        <w:rPr>
          <w:color w:val="auto"/>
          <w:highlight w:val="none"/>
        </w:rPr>
        <w:instrText xml:space="preserve"> PAGEREF _Toc30966 \h </w:instrText>
      </w:r>
      <w:r>
        <w:rPr>
          <w:color w:val="auto"/>
          <w:highlight w:val="none"/>
        </w:rPr>
        <w:fldChar w:fldCharType="separate"/>
      </w:r>
      <w:r>
        <w:rPr>
          <w:color w:val="auto"/>
          <w:highlight w:val="none"/>
        </w:rPr>
        <w:t>12</w:t>
      </w:r>
      <w:r>
        <w:rPr>
          <w:color w:val="auto"/>
          <w:highlight w:val="none"/>
        </w:rPr>
        <w:fldChar w:fldCharType="end"/>
      </w:r>
      <w:r>
        <w:rPr>
          <w:color w:val="auto"/>
          <w:highlight w:val="none"/>
        </w:rPr>
        <w:fldChar w:fldCharType="end"/>
      </w:r>
    </w:p>
    <w:p w14:paraId="35952593">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_Toc14962 </w:instrText>
      </w:r>
      <w:r>
        <w:rPr>
          <w:color w:val="auto"/>
          <w:highlight w:val="none"/>
        </w:rPr>
        <w:fldChar w:fldCharType="separate"/>
      </w:r>
      <w:r>
        <w:rPr>
          <w:color w:val="auto"/>
          <w:highlight w:val="none"/>
        </w:rPr>
        <w:t>2.4评价等级与评价范围</w:t>
      </w:r>
      <w:r>
        <w:rPr>
          <w:color w:val="auto"/>
          <w:highlight w:val="none"/>
        </w:rPr>
        <w:tab/>
      </w:r>
      <w:r>
        <w:rPr>
          <w:color w:val="auto"/>
          <w:highlight w:val="none"/>
        </w:rPr>
        <w:fldChar w:fldCharType="begin"/>
      </w:r>
      <w:r>
        <w:rPr>
          <w:color w:val="auto"/>
          <w:highlight w:val="none"/>
        </w:rPr>
        <w:instrText xml:space="preserve"> PAGEREF _Toc14962 \h </w:instrText>
      </w:r>
      <w:r>
        <w:rPr>
          <w:color w:val="auto"/>
          <w:highlight w:val="none"/>
        </w:rPr>
        <w:fldChar w:fldCharType="separate"/>
      </w:r>
      <w:r>
        <w:rPr>
          <w:color w:val="auto"/>
          <w:highlight w:val="none"/>
        </w:rPr>
        <w:t>19</w:t>
      </w:r>
      <w:r>
        <w:rPr>
          <w:color w:val="auto"/>
          <w:highlight w:val="none"/>
        </w:rPr>
        <w:fldChar w:fldCharType="end"/>
      </w:r>
      <w:r>
        <w:rPr>
          <w:color w:val="auto"/>
          <w:highlight w:val="none"/>
        </w:rPr>
        <w:fldChar w:fldCharType="end"/>
      </w:r>
    </w:p>
    <w:p w14:paraId="376A40C2">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_Toc9621 </w:instrText>
      </w:r>
      <w:r>
        <w:rPr>
          <w:color w:val="auto"/>
          <w:highlight w:val="none"/>
        </w:rPr>
        <w:fldChar w:fldCharType="separate"/>
      </w:r>
      <w:r>
        <w:rPr>
          <w:color w:val="auto"/>
          <w:highlight w:val="none"/>
        </w:rPr>
        <w:t>2.5产业政策、规划及选址合理性分析</w:t>
      </w:r>
      <w:r>
        <w:rPr>
          <w:color w:val="auto"/>
          <w:highlight w:val="none"/>
        </w:rPr>
        <w:tab/>
      </w:r>
      <w:r>
        <w:rPr>
          <w:color w:val="auto"/>
          <w:highlight w:val="none"/>
        </w:rPr>
        <w:fldChar w:fldCharType="begin"/>
      </w:r>
      <w:r>
        <w:rPr>
          <w:color w:val="auto"/>
          <w:highlight w:val="none"/>
        </w:rPr>
        <w:instrText xml:space="preserve"> PAGEREF _Toc9621 \h </w:instrText>
      </w:r>
      <w:r>
        <w:rPr>
          <w:color w:val="auto"/>
          <w:highlight w:val="none"/>
        </w:rPr>
        <w:fldChar w:fldCharType="separate"/>
      </w:r>
      <w:r>
        <w:rPr>
          <w:color w:val="auto"/>
          <w:highlight w:val="none"/>
        </w:rPr>
        <w:t>25</w:t>
      </w:r>
      <w:r>
        <w:rPr>
          <w:color w:val="auto"/>
          <w:highlight w:val="none"/>
        </w:rPr>
        <w:fldChar w:fldCharType="end"/>
      </w:r>
      <w:r>
        <w:rPr>
          <w:color w:val="auto"/>
          <w:highlight w:val="none"/>
        </w:rPr>
        <w:fldChar w:fldCharType="end"/>
      </w:r>
    </w:p>
    <w:p w14:paraId="0EFCCB0A">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_Toc10268 </w:instrText>
      </w:r>
      <w:r>
        <w:rPr>
          <w:color w:val="auto"/>
          <w:highlight w:val="none"/>
        </w:rPr>
        <w:fldChar w:fldCharType="separate"/>
      </w:r>
      <w:r>
        <w:rPr>
          <w:color w:val="auto"/>
          <w:highlight w:val="none"/>
        </w:rPr>
        <w:t>2.6环境保护目标</w:t>
      </w:r>
      <w:r>
        <w:rPr>
          <w:color w:val="auto"/>
          <w:highlight w:val="none"/>
        </w:rPr>
        <w:tab/>
      </w:r>
      <w:r>
        <w:rPr>
          <w:color w:val="auto"/>
          <w:highlight w:val="none"/>
        </w:rPr>
        <w:fldChar w:fldCharType="begin"/>
      </w:r>
      <w:r>
        <w:rPr>
          <w:color w:val="auto"/>
          <w:highlight w:val="none"/>
        </w:rPr>
        <w:instrText xml:space="preserve"> PAGEREF _Toc10268 \h </w:instrText>
      </w:r>
      <w:r>
        <w:rPr>
          <w:color w:val="auto"/>
          <w:highlight w:val="none"/>
        </w:rPr>
        <w:fldChar w:fldCharType="separate"/>
      </w:r>
      <w:r>
        <w:rPr>
          <w:color w:val="auto"/>
          <w:highlight w:val="none"/>
        </w:rPr>
        <w:t>54</w:t>
      </w:r>
      <w:r>
        <w:rPr>
          <w:color w:val="auto"/>
          <w:highlight w:val="none"/>
        </w:rPr>
        <w:fldChar w:fldCharType="end"/>
      </w:r>
      <w:r>
        <w:rPr>
          <w:color w:val="auto"/>
          <w:highlight w:val="none"/>
        </w:rPr>
        <w:fldChar w:fldCharType="end"/>
      </w:r>
    </w:p>
    <w:p w14:paraId="3D638D70">
      <w:pPr>
        <w:pStyle w:val="35"/>
        <w:tabs>
          <w:tab w:val="right" w:leader="dot" w:pos="8306"/>
        </w:tabs>
        <w:rPr>
          <w:color w:val="auto"/>
          <w:highlight w:val="none"/>
        </w:rPr>
      </w:pPr>
      <w:r>
        <w:rPr>
          <w:color w:val="auto"/>
          <w:highlight w:val="none"/>
        </w:rPr>
        <w:fldChar w:fldCharType="begin"/>
      </w:r>
      <w:r>
        <w:rPr>
          <w:color w:val="auto"/>
          <w:highlight w:val="none"/>
        </w:rPr>
        <w:instrText xml:space="preserve"> HYPERLINK \l _Toc7331 </w:instrText>
      </w:r>
      <w:r>
        <w:rPr>
          <w:color w:val="auto"/>
          <w:highlight w:val="none"/>
        </w:rPr>
        <w:fldChar w:fldCharType="separate"/>
      </w:r>
      <w:r>
        <w:rPr>
          <w:color w:val="auto"/>
          <w:highlight w:val="none"/>
        </w:rPr>
        <w:t>3建设项目工程分析</w:t>
      </w:r>
      <w:r>
        <w:rPr>
          <w:color w:val="auto"/>
          <w:highlight w:val="none"/>
        </w:rPr>
        <w:tab/>
      </w:r>
      <w:r>
        <w:rPr>
          <w:color w:val="auto"/>
          <w:highlight w:val="none"/>
        </w:rPr>
        <w:fldChar w:fldCharType="begin"/>
      </w:r>
      <w:r>
        <w:rPr>
          <w:color w:val="auto"/>
          <w:highlight w:val="none"/>
        </w:rPr>
        <w:instrText xml:space="preserve"> PAGEREF _Toc7331 \h </w:instrText>
      </w:r>
      <w:r>
        <w:rPr>
          <w:color w:val="auto"/>
          <w:highlight w:val="none"/>
        </w:rPr>
        <w:fldChar w:fldCharType="separate"/>
      </w:r>
      <w:r>
        <w:rPr>
          <w:color w:val="auto"/>
          <w:highlight w:val="none"/>
        </w:rPr>
        <w:t>59</w:t>
      </w:r>
      <w:r>
        <w:rPr>
          <w:color w:val="auto"/>
          <w:highlight w:val="none"/>
        </w:rPr>
        <w:fldChar w:fldCharType="end"/>
      </w:r>
      <w:r>
        <w:rPr>
          <w:color w:val="auto"/>
          <w:highlight w:val="none"/>
        </w:rPr>
        <w:fldChar w:fldCharType="end"/>
      </w:r>
    </w:p>
    <w:p w14:paraId="413AB3FD">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_Toc13032 </w:instrText>
      </w:r>
      <w:r>
        <w:rPr>
          <w:color w:val="auto"/>
          <w:highlight w:val="none"/>
        </w:rPr>
        <w:fldChar w:fldCharType="separate"/>
      </w:r>
      <w:r>
        <w:rPr>
          <w:color w:val="auto"/>
          <w:highlight w:val="none"/>
        </w:rPr>
        <w:t>3.</w:t>
      </w:r>
      <w:r>
        <w:rPr>
          <w:rFonts w:hint="eastAsia"/>
          <w:color w:val="auto"/>
          <w:highlight w:val="none"/>
          <w:lang w:val="en-US" w:eastAsia="zh-CN"/>
        </w:rPr>
        <w:t>1</w:t>
      </w:r>
      <w:r>
        <w:rPr>
          <w:color w:val="auto"/>
          <w:highlight w:val="none"/>
        </w:rPr>
        <w:t>建设项目概况</w:t>
      </w:r>
      <w:r>
        <w:rPr>
          <w:color w:val="auto"/>
          <w:highlight w:val="none"/>
        </w:rPr>
        <w:tab/>
      </w:r>
      <w:r>
        <w:rPr>
          <w:color w:val="auto"/>
          <w:highlight w:val="none"/>
        </w:rPr>
        <w:fldChar w:fldCharType="begin"/>
      </w:r>
      <w:r>
        <w:rPr>
          <w:color w:val="auto"/>
          <w:highlight w:val="none"/>
        </w:rPr>
        <w:instrText xml:space="preserve"> PAGEREF _Toc13032 \h </w:instrText>
      </w:r>
      <w:r>
        <w:rPr>
          <w:color w:val="auto"/>
          <w:highlight w:val="none"/>
        </w:rPr>
        <w:fldChar w:fldCharType="separate"/>
      </w:r>
      <w:r>
        <w:rPr>
          <w:color w:val="auto"/>
          <w:highlight w:val="none"/>
        </w:rPr>
        <w:t>59</w:t>
      </w:r>
      <w:r>
        <w:rPr>
          <w:color w:val="auto"/>
          <w:highlight w:val="none"/>
        </w:rPr>
        <w:fldChar w:fldCharType="end"/>
      </w:r>
      <w:r>
        <w:rPr>
          <w:color w:val="auto"/>
          <w:highlight w:val="none"/>
        </w:rPr>
        <w:fldChar w:fldCharType="end"/>
      </w:r>
    </w:p>
    <w:p w14:paraId="1822278D">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_Toc7162 </w:instrText>
      </w:r>
      <w:r>
        <w:rPr>
          <w:color w:val="auto"/>
          <w:highlight w:val="none"/>
        </w:rPr>
        <w:fldChar w:fldCharType="separate"/>
      </w:r>
      <w:r>
        <w:rPr>
          <w:color w:val="auto"/>
          <w:highlight w:val="none"/>
        </w:rPr>
        <w:t>3.</w:t>
      </w:r>
      <w:r>
        <w:rPr>
          <w:rFonts w:hint="eastAsia"/>
          <w:color w:val="auto"/>
          <w:highlight w:val="none"/>
          <w:lang w:val="en-US" w:eastAsia="zh-CN"/>
        </w:rPr>
        <w:t>2施工期</w:t>
      </w:r>
      <w:r>
        <w:rPr>
          <w:color w:val="auto"/>
          <w:highlight w:val="none"/>
        </w:rPr>
        <w:t>工艺流程</w:t>
      </w:r>
      <w:r>
        <w:rPr>
          <w:color w:val="auto"/>
          <w:highlight w:val="none"/>
        </w:rPr>
        <w:tab/>
      </w:r>
      <w:r>
        <w:rPr>
          <w:color w:val="auto"/>
          <w:highlight w:val="none"/>
        </w:rPr>
        <w:fldChar w:fldCharType="begin"/>
      </w:r>
      <w:r>
        <w:rPr>
          <w:color w:val="auto"/>
          <w:highlight w:val="none"/>
        </w:rPr>
        <w:instrText xml:space="preserve"> PAGEREF _Toc7162 \h </w:instrText>
      </w:r>
      <w:r>
        <w:rPr>
          <w:color w:val="auto"/>
          <w:highlight w:val="none"/>
        </w:rPr>
        <w:fldChar w:fldCharType="separate"/>
      </w:r>
      <w:r>
        <w:rPr>
          <w:color w:val="auto"/>
          <w:highlight w:val="none"/>
        </w:rPr>
        <w:t>80</w:t>
      </w:r>
      <w:r>
        <w:rPr>
          <w:color w:val="auto"/>
          <w:highlight w:val="none"/>
        </w:rPr>
        <w:fldChar w:fldCharType="end"/>
      </w:r>
      <w:r>
        <w:rPr>
          <w:color w:val="auto"/>
          <w:highlight w:val="none"/>
        </w:rPr>
        <w:fldChar w:fldCharType="end"/>
      </w:r>
    </w:p>
    <w:p w14:paraId="0A0F08D7">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_Toc1751 </w:instrText>
      </w:r>
      <w:r>
        <w:rPr>
          <w:color w:val="auto"/>
          <w:highlight w:val="none"/>
        </w:rPr>
        <w:fldChar w:fldCharType="separate"/>
      </w:r>
      <w:r>
        <w:rPr>
          <w:color w:val="auto"/>
          <w:highlight w:val="none"/>
        </w:rPr>
        <w:t>3.</w:t>
      </w:r>
      <w:r>
        <w:rPr>
          <w:rFonts w:hint="eastAsia"/>
          <w:color w:val="auto"/>
          <w:highlight w:val="none"/>
          <w:lang w:val="en-US" w:eastAsia="zh-CN"/>
        </w:rPr>
        <w:t>3营运期</w:t>
      </w:r>
      <w:r>
        <w:rPr>
          <w:color w:val="auto"/>
          <w:highlight w:val="none"/>
        </w:rPr>
        <w:t>生产工艺流程</w:t>
      </w:r>
      <w:r>
        <w:rPr>
          <w:color w:val="auto"/>
          <w:highlight w:val="none"/>
        </w:rPr>
        <w:tab/>
      </w:r>
      <w:r>
        <w:rPr>
          <w:color w:val="auto"/>
          <w:highlight w:val="none"/>
        </w:rPr>
        <w:fldChar w:fldCharType="begin"/>
      </w:r>
      <w:r>
        <w:rPr>
          <w:color w:val="auto"/>
          <w:highlight w:val="none"/>
        </w:rPr>
        <w:instrText xml:space="preserve"> PAGEREF _Toc1751 \h </w:instrText>
      </w:r>
      <w:r>
        <w:rPr>
          <w:color w:val="auto"/>
          <w:highlight w:val="none"/>
        </w:rPr>
        <w:fldChar w:fldCharType="separate"/>
      </w:r>
      <w:r>
        <w:rPr>
          <w:color w:val="auto"/>
          <w:highlight w:val="none"/>
        </w:rPr>
        <w:t>82</w:t>
      </w:r>
      <w:r>
        <w:rPr>
          <w:color w:val="auto"/>
          <w:highlight w:val="none"/>
        </w:rPr>
        <w:fldChar w:fldCharType="end"/>
      </w:r>
      <w:r>
        <w:rPr>
          <w:color w:val="auto"/>
          <w:highlight w:val="none"/>
        </w:rPr>
        <w:fldChar w:fldCharType="end"/>
      </w:r>
    </w:p>
    <w:p w14:paraId="71EFD4F2">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_Toc5875 </w:instrText>
      </w:r>
      <w:r>
        <w:rPr>
          <w:color w:val="auto"/>
          <w:highlight w:val="none"/>
        </w:rPr>
        <w:fldChar w:fldCharType="separate"/>
      </w:r>
      <w:r>
        <w:rPr>
          <w:color w:val="auto"/>
          <w:highlight w:val="none"/>
        </w:rPr>
        <w:t>3.</w:t>
      </w:r>
      <w:r>
        <w:rPr>
          <w:rFonts w:hint="eastAsia"/>
          <w:color w:val="auto"/>
          <w:highlight w:val="none"/>
          <w:lang w:val="en-US" w:eastAsia="zh-CN"/>
        </w:rPr>
        <w:t>4物料</w:t>
      </w:r>
      <w:r>
        <w:rPr>
          <w:color w:val="auto"/>
          <w:highlight w:val="none"/>
        </w:rPr>
        <w:t>平衡和水平衡</w:t>
      </w:r>
      <w:r>
        <w:rPr>
          <w:color w:val="auto"/>
          <w:highlight w:val="none"/>
        </w:rPr>
        <w:tab/>
      </w:r>
      <w:r>
        <w:rPr>
          <w:color w:val="auto"/>
          <w:highlight w:val="none"/>
        </w:rPr>
        <w:fldChar w:fldCharType="begin"/>
      </w:r>
      <w:r>
        <w:rPr>
          <w:color w:val="auto"/>
          <w:highlight w:val="none"/>
        </w:rPr>
        <w:instrText xml:space="preserve"> PAGEREF _Toc5875 \h </w:instrText>
      </w:r>
      <w:r>
        <w:rPr>
          <w:color w:val="auto"/>
          <w:highlight w:val="none"/>
        </w:rPr>
        <w:fldChar w:fldCharType="separate"/>
      </w:r>
      <w:r>
        <w:rPr>
          <w:color w:val="auto"/>
          <w:highlight w:val="none"/>
        </w:rPr>
        <w:t>90</w:t>
      </w:r>
      <w:r>
        <w:rPr>
          <w:color w:val="auto"/>
          <w:highlight w:val="none"/>
        </w:rPr>
        <w:fldChar w:fldCharType="end"/>
      </w:r>
      <w:r>
        <w:rPr>
          <w:color w:val="auto"/>
          <w:highlight w:val="none"/>
        </w:rPr>
        <w:fldChar w:fldCharType="end"/>
      </w:r>
    </w:p>
    <w:p w14:paraId="4CFB4604">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_Toc27573 </w:instrText>
      </w:r>
      <w:r>
        <w:rPr>
          <w:color w:val="auto"/>
          <w:highlight w:val="none"/>
        </w:rPr>
        <w:fldChar w:fldCharType="separate"/>
      </w:r>
      <w:r>
        <w:rPr>
          <w:color w:val="auto"/>
          <w:highlight w:val="none"/>
        </w:rPr>
        <w:t>3.</w:t>
      </w:r>
      <w:r>
        <w:rPr>
          <w:rFonts w:hint="eastAsia"/>
          <w:color w:val="auto"/>
          <w:highlight w:val="none"/>
          <w:lang w:val="en-US" w:eastAsia="zh-CN"/>
        </w:rPr>
        <w:t>5</w:t>
      </w:r>
      <w:r>
        <w:rPr>
          <w:color w:val="auto"/>
          <w:highlight w:val="none"/>
        </w:rPr>
        <w:t>运营期污染源强核算</w:t>
      </w:r>
      <w:r>
        <w:rPr>
          <w:color w:val="auto"/>
          <w:highlight w:val="none"/>
        </w:rPr>
        <w:tab/>
      </w:r>
      <w:r>
        <w:rPr>
          <w:color w:val="auto"/>
          <w:highlight w:val="none"/>
        </w:rPr>
        <w:fldChar w:fldCharType="begin"/>
      </w:r>
      <w:r>
        <w:rPr>
          <w:color w:val="auto"/>
          <w:highlight w:val="none"/>
        </w:rPr>
        <w:instrText xml:space="preserve"> PAGEREF _Toc27573 \h </w:instrText>
      </w:r>
      <w:r>
        <w:rPr>
          <w:color w:val="auto"/>
          <w:highlight w:val="none"/>
        </w:rPr>
        <w:fldChar w:fldCharType="separate"/>
      </w:r>
      <w:r>
        <w:rPr>
          <w:color w:val="auto"/>
          <w:highlight w:val="none"/>
        </w:rPr>
        <w:t>97</w:t>
      </w:r>
      <w:r>
        <w:rPr>
          <w:color w:val="auto"/>
          <w:highlight w:val="none"/>
        </w:rPr>
        <w:fldChar w:fldCharType="end"/>
      </w:r>
      <w:r>
        <w:rPr>
          <w:color w:val="auto"/>
          <w:highlight w:val="none"/>
        </w:rPr>
        <w:fldChar w:fldCharType="end"/>
      </w:r>
    </w:p>
    <w:p w14:paraId="43B5FAA4">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_Toc14498 </w:instrText>
      </w:r>
      <w:r>
        <w:rPr>
          <w:color w:val="auto"/>
          <w:highlight w:val="none"/>
        </w:rPr>
        <w:fldChar w:fldCharType="separate"/>
      </w:r>
      <w:r>
        <w:rPr>
          <w:color w:val="auto"/>
          <w:highlight w:val="none"/>
        </w:rPr>
        <w:t>3.</w:t>
      </w:r>
      <w:r>
        <w:rPr>
          <w:rFonts w:hint="eastAsia"/>
          <w:color w:val="auto"/>
          <w:highlight w:val="none"/>
          <w:lang w:val="en-US" w:eastAsia="zh-CN"/>
        </w:rPr>
        <w:t>6</w:t>
      </w:r>
      <w:r>
        <w:rPr>
          <w:color w:val="auto"/>
          <w:highlight w:val="none"/>
        </w:rPr>
        <w:t>清洁生产分析</w:t>
      </w:r>
      <w:r>
        <w:rPr>
          <w:color w:val="auto"/>
          <w:highlight w:val="none"/>
        </w:rPr>
        <w:tab/>
      </w:r>
      <w:r>
        <w:rPr>
          <w:color w:val="auto"/>
          <w:highlight w:val="none"/>
        </w:rPr>
        <w:fldChar w:fldCharType="begin"/>
      </w:r>
      <w:r>
        <w:rPr>
          <w:color w:val="auto"/>
          <w:highlight w:val="none"/>
        </w:rPr>
        <w:instrText xml:space="preserve"> PAGEREF _Toc14498 \h </w:instrText>
      </w:r>
      <w:r>
        <w:rPr>
          <w:color w:val="auto"/>
          <w:highlight w:val="none"/>
        </w:rPr>
        <w:fldChar w:fldCharType="separate"/>
      </w:r>
      <w:r>
        <w:rPr>
          <w:color w:val="auto"/>
          <w:highlight w:val="none"/>
        </w:rPr>
        <w:t>113</w:t>
      </w:r>
      <w:r>
        <w:rPr>
          <w:color w:val="auto"/>
          <w:highlight w:val="none"/>
        </w:rPr>
        <w:fldChar w:fldCharType="end"/>
      </w:r>
      <w:r>
        <w:rPr>
          <w:color w:val="auto"/>
          <w:highlight w:val="none"/>
        </w:rPr>
        <w:fldChar w:fldCharType="end"/>
      </w:r>
    </w:p>
    <w:p w14:paraId="08DBAA94">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_Toc8430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3</w:t>
      </w:r>
      <w:r>
        <w:rPr>
          <w:rFonts w:hint="default" w:ascii="Times New Roman" w:hAnsi="Times New Roman" w:eastAsia="宋体" w:cs="Times New Roman"/>
          <w:bCs/>
          <w:color w:val="auto"/>
          <w:kern w:val="2"/>
          <w:szCs w:val="28"/>
          <w:highlight w:val="none"/>
          <w:lang w:val="en-US" w:eastAsia="zh-CN" w:bidi="ar-SA"/>
        </w:rPr>
        <w:t>.</w:t>
      </w:r>
      <w:r>
        <w:rPr>
          <w:rFonts w:hint="eastAsia" w:cs="Times New Roman"/>
          <w:bCs/>
          <w:color w:val="auto"/>
          <w:kern w:val="2"/>
          <w:szCs w:val="28"/>
          <w:highlight w:val="none"/>
          <w:lang w:val="en-US" w:eastAsia="zh-CN" w:bidi="ar-SA"/>
        </w:rPr>
        <w:t>7</w:t>
      </w:r>
      <w:r>
        <w:rPr>
          <w:rFonts w:hint="default" w:ascii="Times New Roman" w:hAnsi="Times New Roman" w:eastAsia="宋体" w:cs="Times New Roman"/>
          <w:bCs/>
          <w:color w:val="auto"/>
          <w:kern w:val="2"/>
          <w:szCs w:val="28"/>
          <w:highlight w:val="none"/>
          <w:lang w:val="en-US" w:eastAsia="zh-CN" w:bidi="ar-SA"/>
        </w:rPr>
        <w:t>环境总量指标</w:t>
      </w:r>
      <w:r>
        <w:rPr>
          <w:color w:val="auto"/>
          <w:highlight w:val="none"/>
        </w:rPr>
        <w:tab/>
      </w:r>
      <w:r>
        <w:rPr>
          <w:color w:val="auto"/>
          <w:highlight w:val="none"/>
        </w:rPr>
        <w:fldChar w:fldCharType="begin"/>
      </w:r>
      <w:r>
        <w:rPr>
          <w:color w:val="auto"/>
          <w:highlight w:val="none"/>
        </w:rPr>
        <w:instrText xml:space="preserve"> PAGEREF _Toc8430 \h </w:instrText>
      </w:r>
      <w:r>
        <w:rPr>
          <w:color w:val="auto"/>
          <w:highlight w:val="none"/>
        </w:rPr>
        <w:fldChar w:fldCharType="separate"/>
      </w:r>
      <w:r>
        <w:rPr>
          <w:color w:val="auto"/>
          <w:highlight w:val="none"/>
        </w:rPr>
        <w:t>116</w:t>
      </w:r>
      <w:r>
        <w:rPr>
          <w:color w:val="auto"/>
          <w:highlight w:val="none"/>
        </w:rPr>
        <w:fldChar w:fldCharType="end"/>
      </w:r>
      <w:r>
        <w:rPr>
          <w:color w:val="auto"/>
          <w:highlight w:val="none"/>
        </w:rPr>
        <w:fldChar w:fldCharType="end"/>
      </w:r>
    </w:p>
    <w:p w14:paraId="2480AD40">
      <w:pPr>
        <w:pStyle w:val="35"/>
        <w:tabs>
          <w:tab w:val="right" w:leader="dot" w:pos="8306"/>
        </w:tabs>
        <w:rPr>
          <w:color w:val="auto"/>
          <w:highlight w:val="none"/>
        </w:rPr>
      </w:pPr>
      <w:r>
        <w:rPr>
          <w:color w:val="auto"/>
          <w:highlight w:val="none"/>
        </w:rPr>
        <w:fldChar w:fldCharType="begin"/>
      </w:r>
      <w:r>
        <w:rPr>
          <w:color w:val="auto"/>
          <w:highlight w:val="none"/>
        </w:rPr>
        <w:instrText xml:space="preserve"> HYPERLINK \l _Toc10433 </w:instrText>
      </w:r>
      <w:r>
        <w:rPr>
          <w:color w:val="auto"/>
          <w:highlight w:val="none"/>
        </w:rPr>
        <w:fldChar w:fldCharType="separate"/>
      </w:r>
      <w:r>
        <w:rPr>
          <w:color w:val="auto"/>
          <w:highlight w:val="none"/>
        </w:rPr>
        <w:t>4环境现状调查与评价</w:t>
      </w:r>
      <w:r>
        <w:rPr>
          <w:color w:val="auto"/>
          <w:highlight w:val="none"/>
        </w:rPr>
        <w:tab/>
      </w:r>
      <w:r>
        <w:rPr>
          <w:color w:val="auto"/>
          <w:highlight w:val="none"/>
        </w:rPr>
        <w:fldChar w:fldCharType="begin"/>
      </w:r>
      <w:r>
        <w:rPr>
          <w:color w:val="auto"/>
          <w:highlight w:val="none"/>
        </w:rPr>
        <w:instrText xml:space="preserve"> PAGEREF _Toc10433 \h </w:instrText>
      </w:r>
      <w:r>
        <w:rPr>
          <w:color w:val="auto"/>
          <w:highlight w:val="none"/>
        </w:rPr>
        <w:fldChar w:fldCharType="separate"/>
      </w:r>
      <w:r>
        <w:rPr>
          <w:color w:val="auto"/>
          <w:highlight w:val="none"/>
        </w:rPr>
        <w:t>118</w:t>
      </w:r>
      <w:r>
        <w:rPr>
          <w:color w:val="auto"/>
          <w:highlight w:val="none"/>
        </w:rPr>
        <w:fldChar w:fldCharType="end"/>
      </w:r>
      <w:r>
        <w:rPr>
          <w:color w:val="auto"/>
          <w:highlight w:val="none"/>
        </w:rPr>
        <w:fldChar w:fldCharType="end"/>
      </w:r>
    </w:p>
    <w:p w14:paraId="53E186B0">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_Toc1361 </w:instrText>
      </w:r>
      <w:r>
        <w:rPr>
          <w:color w:val="auto"/>
          <w:highlight w:val="none"/>
        </w:rPr>
        <w:fldChar w:fldCharType="separate"/>
      </w:r>
      <w:r>
        <w:rPr>
          <w:color w:val="auto"/>
          <w:highlight w:val="none"/>
        </w:rPr>
        <w:t>4.1自然环境现状调查与评价</w:t>
      </w:r>
      <w:r>
        <w:rPr>
          <w:color w:val="auto"/>
          <w:highlight w:val="none"/>
        </w:rPr>
        <w:tab/>
      </w:r>
      <w:r>
        <w:rPr>
          <w:color w:val="auto"/>
          <w:highlight w:val="none"/>
        </w:rPr>
        <w:fldChar w:fldCharType="begin"/>
      </w:r>
      <w:r>
        <w:rPr>
          <w:color w:val="auto"/>
          <w:highlight w:val="none"/>
        </w:rPr>
        <w:instrText xml:space="preserve"> PAGEREF _Toc1361 \h </w:instrText>
      </w:r>
      <w:r>
        <w:rPr>
          <w:color w:val="auto"/>
          <w:highlight w:val="none"/>
        </w:rPr>
        <w:fldChar w:fldCharType="separate"/>
      </w:r>
      <w:r>
        <w:rPr>
          <w:color w:val="auto"/>
          <w:highlight w:val="none"/>
        </w:rPr>
        <w:t>118</w:t>
      </w:r>
      <w:r>
        <w:rPr>
          <w:color w:val="auto"/>
          <w:highlight w:val="none"/>
        </w:rPr>
        <w:fldChar w:fldCharType="end"/>
      </w:r>
      <w:r>
        <w:rPr>
          <w:color w:val="auto"/>
          <w:highlight w:val="none"/>
        </w:rPr>
        <w:fldChar w:fldCharType="end"/>
      </w:r>
    </w:p>
    <w:p w14:paraId="0C1EBDAC">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_Toc12535 </w:instrText>
      </w:r>
      <w:r>
        <w:rPr>
          <w:color w:val="auto"/>
          <w:highlight w:val="none"/>
        </w:rPr>
        <w:fldChar w:fldCharType="separate"/>
      </w:r>
      <w:r>
        <w:rPr>
          <w:color w:val="auto"/>
          <w:highlight w:val="none"/>
        </w:rPr>
        <w:t>4.2环境质量现状调查与评价</w:t>
      </w:r>
      <w:r>
        <w:rPr>
          <w:color w:val="auto"/>
          <w:highlight w:val="none"/>
        </w:rPr>
        <w:tab/>
      </w:r>
      <w:r>
        <w:rPr>
          <w:color w:val="auto"/>
          <w:highlight w:val="none"/>
        </w:rPr>
        <w:fldChar w:fldCharType="begin"/>
      </w:r>
      <w:r>
        <w:rPr>
          <w:color w:val="auto"/>
          <w:highlight w:val="none"/>
        </w:rPr>
        <w:instrText xml:space="preserve"> PAGEREF _Toc12535 \h </w:instrText>
      </w:r>
      <w:r>
        <w:rPr>
          <w:color w:val="auto"/>
          <w:highlight w:val="none"/>
        </w:rPr>
        <w:fldChar w:fldCharType="separate"/>
      </w:r>
      <w:r>
        <w:rPr>
          <w:color w:val="auto"/>
          <w:highlight w:val="none"/>
        </w:rPr>
        <w:t>125</w:t>
      </w:r>
      <w:r>
        <w:rPr>
          <w:color w:val="auto"/>
          <w:highlight w:val="none"/>
        </w:rPr>
        <w:fldChar w:fldCharType="end"/>
      </w:r>
      <w:r>
        <w:rPr>
          <w:color w:val="auto"/>
          <w:highlight w:val="none"/>
        </w:rPr>
        <w:fldChar w:fldCharType="end"/>
      </w:r>
    </w:p>
    <w:p w14:paraId="0B467FC1">
      <w:pPr>
        <w:pStyle w:val="35"/>
        <w:tabs>
          <w:tab w:val="right" w:leader="dot" w:pos="8306"/>
        </w:tabs>
        <w:rPr>
          <w:color w:val="auto"/>
          <w:highlight w:val="none"/>
        </w:rPr>
      </w:pPr>
      <w:r>
        <w:rPr>
          <w:color w:val="auto"/>
          <w:highlight w:val="none"/>
        </w:rPr>
        <w:fldChar w:fldCharType="begin"/>
      </w:r>
      <w:r>
        <w:rPr>
          <w:color w:val="auto"/>
          <w:highlight w:val="none"/>
        </w:rPr>
        <w:instrText xml:space="preserve"> HYPERLINK \l _Toc20915 </w:instrText>
      </w:r>
      <w:r>
        <w:rPr>
          <w:color w:val="auto"/>
          <w:highlight w:val="none"/>
        </w:rPr>
        <w:fldChar w:fldCharType="separate"/>
      </w:r>
      <w:r>
        <w:rPr>
          <w:rFonts w:hint="default" w:ascii="Times New Roman" w:hAnsi="Times New Roman" w:eastAsia="宋体" w:cs="Times New Roman"/>
          <w:bCs/>
          <w:color w:val="auto"/>
          <w:highlight w:val="none"/>
          <w:lang w:val="en-US" w:eastAsia="zh-CN"/>
        </w:rPr>
        <w:t>5环境影响预测与评价</w:t>
      </w:r>
      <w:r>
        <w:rPr>
          <w:color w:val="auto"/>
          <w:highlight w:val="none"/>
        </w:rPr>
        <w:tab/>
      </w:r>
      <w:r>
        <w:rPr>
          <w:color w:val="auto"/>
          <w:highlight w:val="none"/>
        </w:rPr>
        <w:fldChar w:fldCharType="begin"/>
      </w:r>
      <w:r>
        <w:rPr>
          <w:color w:val="auto"/>
          <w:highlight w:val="none"/>
        </w:rPr>
        <w:instrText xml:space="preserve"> PAGEREF _Toc20915 \h </w:instrText>
      </w:r>
      <w:r>
        <w:rPr>
          <w:color w:val="auto"/>
          <w:highlight w:val="none"/>
        </w:rPr>
        <w:fldChar w:fldCharType="separate"/>
      </w:r>
      <w:r>
        <w:rPr>
          <w:color w:val="auto"/>
          <w:highlight w:val="none"/>
        </w:rPr>
        <w:t>141</w:t>
      </w:r>
      <w:r>
        <w:rPr>
          <w:color w:val="auto"/>
          <w:highlight w:val="none"/>
        </w:rPr>
        <w:fldChar w:fldCharType="end"/>
      </w:r>
      <w:r>
        <w:rPr>
          <w:color w:val="auto"/>
          <w:highlight w:val="none"/>
        </w:rPr>
        <w:fldChar w:fldCharType="end"/>
      </w:r>
    </w:p>
    <w:p w14:paraId="3CFED195">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_Toc3430 </w:instrText>
      </w:r>
      <w:r>
        <w:rPr>
          <w:color w:val="auto"/>
          <w:highlight w:val="none"/>
        </w:rPr>
        <w:fldChar w:fldCharType="separate"/>
      </w:r>
      <w:r>
        <w:rPr>
          <w:color w:val="auto"/>
          <w:highlight w:val="none"/>
        </w:rPr>
        <w:t>5.1施工期环境影响分析</w:t>
      </w:r>
      <w:r>
        <w:rPr>
          <w:color w:val="auto"/>
          <w:highlight w:val="none"/>
        </w:rPr>
        <w:tab/>
      </w:r>
      <w:r>
        <w:rPr>
          <w:color w:val="auto"/>
          <w:highlight w:val="none"/>
        </w:rPr>
        <w:fldChar w:fldCharType="begin"/>
      </w:r>
      <w:r>
        <w:rPr>
          <w:color w:val="auto"/>
          <w:highlight w:val="none"/>
        </w:rPr>
        <w:instrText xml:space="preserve"> PAGEREF _Toc3430 \h </w:instrText>
      </w:r>
      <w:r>
        <w:rPr>
          <w:color w:val="auto"/>
          <w:highlight w:val="none"/>
        </w:rPr>
        <w:fldChar w:fldCharType="separate"/>
      </w:r>
      <w:r>
        <w:rPr>
          <w:color w:val="auto"/>
          <w:highlight w:val="none"/>
        </w:rPr>
        <w:t>141</w:t>
      </w:r>
      <w:r>
        <w:rPr>
          <w:color w:val="auto"/>
          <w:highlight w:val="none"/>
        </w:rPr>
        <w:fldChar w:fldCharType="end"/>
      </w:r>
      <w:r>
        <w:rPr>
          <w:color w:val="auto"/>
          <w:highlight w:val="none"/>
        </w:rPr>
        <w:fldChar w:fldCharType="end"/>
      </w:r>
    </w:p>
    <w:p w14:paraId="799E8275">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_Toc9672 </w:instrText>
      </w:r>
      <w:r>
        <w:rPr>
          <w:color w:val="auto"/>
          <w:highlight w:val="none"/>
        </w:rPr>
        <w:fldChar w:fldCharType="separate"/>
      </w:r>
      <w:r>
        <w:rPr>
          <w:color w:val="auto"/>
          <w:highlight w:val="none"/>
        </w:rPr>
        <w:t>5.2营运期环境影响分析</w:t>
      </w:r>
      <w:r>
        <w:rPr>
          <w:color w:val="auto"/>
          <w:highlight w:val="none"/>
        </w:rPr>
        <w:tab/>
      </w:r>
      <w:r>
        <w:rPr>
          <w:color w:val="auto"/>
          <w:highlight w:val="none"/>
        </w:rPr>
        <w:fldChar w:fldCharType="begin"/>
      </w:r>
      <w:r>
        <w:rPr>
          <w:color w:val="auto"/>
          <w:highlight w:val="none"/>
        </w:rPr>
        <w:instrText xml:space="preserve"> PAGEREF _Toc9672 \h </w:instrText>
      </w:r>
      <w:r>
        <w:rPr>
          <w:color w:val="auto"/>
          <w:highlight w:val="none"/>
        </w:rPr>
        <w:fldChar w:fldCharType="separate"/>
      </w:r>
      <w:r>
        <w:rPr>
          <w:color w:val="auto"/>
          <w:highlight w:val="none"/>
        </w:rPr>
        <w:t>147</w:t>
      </w:r>
      <w:r>
        <w:rPr>
          <w:color w:val="auto"/>
          <w:highlight w:val="none"/>
        </w:rPr>
        <w:fldChar w:fldCharType="end"/>
      </w:r>
      <w:r>
        <w:rPr>
          <w:color w:val="auto"/>
          <w:highlight w:val="none"/>
        </w:rPr>
        <w:fldChar w:fldCharType="end"/>
      </w:r>
    </w:p>
    <w:p w14:paraId="759718E2">
      <w:pPr>
        <w:pStyle w:val="35"/>
        <w:tabs>
          <w:tab w:val="right" w:leader="dot" w:pos="8306"/>
        </w:tabs>
        <w:rPr>
          <w:color w:val="auto"/>
          <w:highlight w:val="none"/>
        </w:rPr>
      </w:pPr>
      <w:r>
        <w:rPr>
          <w:color w:val="auto"/>
          <w:highlight w:val="none"/>
        </w:rPr>
        <w:fldChar w:fldCharType="begin"/>
      </w:r>
      <w:r>
        <w:rPr>
          <w:color w:val="auto"/>
          <w:highlight w:val="none"/>
        </w:rPr>
        <w:instrText xml:space="preserve"> HYPERLINK \l _Toc19110 </w:instrText>
      </w:r>
      <w:r>
        <w:rPr>
          <w:color w:val="auto"/>
          <w:highlight w:val="none"/>
        </w:rPr>
        <w:fldChar w:fldCharType="separate"/>
      </w:r>
      <w:r>
        <w:rPr>
          <w:color w:val="auto"/>
          <w:highlight w:val="none"/>
        </w:rPr>
        <w:t>6环境保护措施及其可行性论证</w:t>
      </w:r>
      <w:r>
        <w:rPr>
          <w:color w:val="auto"/>
          <w:highlight w:val="none"/>
        </w:rPr>
        <w:tab/>
      </w:r>
      <w:r>
        <w:rPr>
          <w:color w:val="auto"/>
          <w:highlight w:val="none"/>
        </w:rPr>
        <w:fldChar w:fldCharType="begin"/>
      </w:r>
      <w:r>
        <w:rPr>
          <w:color w:val="auto"/>
          <w:highlight w:val="none"/>
        </w:rPr>
        <w:instrText xml:space="preserve"> PAGEREF _Toc19110 \h </w:instrText>
      </w:r>
      <w:r>
        <w:rPr>
          <w:color w:val="auto"/>
          <w:highlight w:val="none"/>
        </w:rPr>
        <w:fldChar w:fldCharType="separate"/>
      </w:r>
      <w:r>
        <w:rPr>
          <w:color w:val="auto"/>
          <w:highlight w:val="none"/>
        </w:rPr>
        <w:t>226</w:t>
      </w:r>
      <w:r>
        <w:rPr>
          <w:color w:val="auto"/>
          <w:highlight w:val="none"/>
        </w:rPr>
        <w:fldChar w:fldCharType="end"/>
      </w:r>
      <w:r>
        <w:rPr>
          <w:color w:val="auto"/>
          <w:highlight w:val="none"/>
        </w:rPr>
        <w:fldChar w:fldCharType="end"/>
      </w:r>
    </w:p>
    <w:p w14:paraId="77255A0E">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_Toc24752 </w:instrText>
      </w:r>
      <w:r>
        <w:rPr>
          <w:color w:val="auto"/>
          <w:highlight w:val="none"/>
        </w:rPr>
        <w:fldChar w:fldCharType="separate"/>
      </w:r>
      <w:r>
        <w:rPr>
          <w:rFonts w:hint="eastAsia" w:ascii="Times New Roman" w:hAnsi="Times New Roman" w:eastAsia="宋体" w:cs="Times New Roman"/>
          <w:bCs/>
          <w:color w:val="auto"/>
          <w:highlight w:val="none"/>
          <w:lang w:val="en-US" w:eastAsia="zh-CN"/>
        </w:rPr>
        <w:t>6</w:t>
      </w:r>
      <w:r>
        <w:rPr>
          <w:rFonts w:ascii="Times New Roman" w:hAnsi="Times New Roman" w:eastAsia="宋体" w:cs="Times New Roman"/>
          <w:bCs/>
          <w:color w:val="auto"/>
          <w:highlight w:val="none"/>
          <w:lang w:val="en-US" w:eastAsia="zh-CN"/>
        </w:rPr>
        <w:t>.1施工期污染防治措施分析</w:t>
      </w:r>
      <w:r>
        <w:rPr>
          <w:color w:val="auto"/>
          <w:highlight w:val="none"/>
        </w:rPr>
        <w:tab/>
      </w:r>
      <w:r>
        <w:rPr>
          <w:color w:val="auto"/>
          <w:highlight w:val="none"/>
        </w:rPr>
        <w:fldChar w:fldCharType="begin"/>
      </w:r>
      <w:r>
        <w:rPr>
          <w:color w:val="auto"/>
          <w:highlight w:val="none"/>
        </w:rPr>
        <w:instrText xml:space="preserve"> PAGEREF _Toc24752 \h </w:instrText>
      </w:r>
      <w:r>
        <w:rPr>
          <w:color w:val="auto"/>
          <w:highlight w:val="none"/>
        </w:rPr>
        <w:fldChar w:fldCharType="separate"/>
      </w:r>
      <w:r>
        <w:rPr>
          <w:color w:val="auto"/>
          <w:highlight w:val="none"/>
        </w:rPr>
        <w:t>226</w:t>
      </w:r>
      <w:r>
        <w:rPr>
          <w:color w:val="auto"/>
          <w:highlight w:val="none"/>
        </w:rPr>
        <w:fldChar w:fldCharType="end"/>
      </w:r>
      <w:r>
        <w:rPr>
          <w:color w:val="auto"/>
          <w:highlight w:val="none"/>
        </w:rPr>
        <w:fldChar w:fldCharType="end"/>
      </w:r>
    </w:p>
    <w:p w14:paraId="574E4FCB">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_Toc25749 </w:instrText>
      </w:r>
      <w:r>
        <w:rPr>
          <w:color w:val="auto"/>
          <w:highlight w:val="none"/>
        </w:rPr>
        <w:fldChar w:fldCharType="separate"/>
      </w:r>
      <w:r>
        <w:rPr>
          <w:rFonts w:ascii="Times New Roman" w:hAnsi="Times New Roman" w:eastAsia="宋体" w:cs="Times New Roman"/>
          <w:bCs/>
          <w:color w:val="auto"/>
          <w:highlight w:val="none"/>
        </w:rPr>
        <w:t>6.</w:t>
      </w:r>
      <w:r>
        <w:rPr>
          <w:rFonts w:hint="eastAsia" w:ascii="Times New Roman" w:hAnsi="Times New Roman" w:eastAsia="宋体" w:cs="Times New Roman"/>
          <w:bCs/>
          <w:color w:val="auto"/>
          <w:highlight w:val="none"/>
          <w:lang w:val="en-US" w:eastAsia="zh-CN"/>
        </w:rPr>
        <w:t>2</w:t>
      </w:r>
      <w:r>
        <w:rPr>
          <w:rFonts w:ascii="Times New Roman" w:hAnsi="Times New Roman" w:eastAsia="宋体" w:cs="Times New Roman"/>
          <w:bCs/>
          <w:color w:val="auto"/>
          <w:highlight w:val="none"/>
        </w:rPr>
        <w:t>大气污染防治措施及可行性分析</w:t>
      </w:r>
      <w:r>
        <w:rPr>
          <w:color w:val="auto"/>
          <w:highlight w:val="none"/>
        </w:rPr>
        <w:tab/>
      </w:r>
      <w:r>
        <w:rPr>
          <w:color w:val="auto"/>
          <w:highlight w:val="none"/>
        </w:rPr>
        <w:fldChar w:fldCharType="begin"/>
      </w:r>
      <w:r>
        <w:rPr>
          <w:color w:val="auto"/>
          <w:highlight w:val="none"/>
        </w:rPr>
        <w:instrText xml:space="preserve"> PAGEREF _Toc25749 \h </w:instrText>
      </w:r>
      <w:r>
        <w:rPr>
          <w:color w:val="auto"/>
          <w:highlight w:val="none"/>
        </w:rPr>
        <w:fldChar w:fldCharType="separate"/>
      </w:r>
      <w:r>
        <w:rPr>
          <w:color w:val="auto"/>
          <w:highlight w:val="none"/>
        </w:rPr>
        <w:t>227</w:t>
      </w:r>
      <w:r>
        <w:rPr>
          <w:color w:val="auto"/>
          <w:highlight w:val="none"/>
        </w:rPr>
        <w:fldChar w:fldCharType="end"/>
      </w:r>
      <w:r>
        <w:rPr>
          <w:color w:val="auto"/>
          <w:highlight w:val="none"/>
        </w:rPr>
        <w:fldChar w:fldCharType="end"/>
      </w:r>
    </w:p>
    <w:p w14:paraId="5171C2B7">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_Toc19213 </w:instrText>
      </w:r>
      <w:r>
        <w:rPr>
          <w:color w:val="auto"/>
          <w:highlight w:val="none"/>
        </w:rPr>
        <w:fldChar w:fldCharType="separate"/>
      </w:r>
      <w:r>
        <w:rPr>
          <w:color w:val="auto"/>
          <w:highlight w:val="none"/>
        </w:rPr>
        <w:t>6.</w:t>
      </w:r>
      <w:r>
        <w:rPr>
          <w:rFonts w:hint="eastAsia"/>
          <w:color w:val="auto"/>
          <w:highlight w:val="none"/>
          <w:lang w:val="en-US" w:eastAsia="zh-CN"/>
        </w:rPr>
        <w:t>3</w:t>
      </w:r>
      <w:r>
        <w:rPr>
          <w:color w:val="auto"/>
          <w:highlight w:val="none"/>
        </w:rPr>
        <w:t>水污染防治措施及可行性分析</w:t>
      </w:r>
      <w:r>
        <w:rPr>
          <w:color w:val="auto"/>
          <w:highlight w:val="none"/>
        </w:rPr>
        <w:tab/>
      </w:r>
      <w:r>
        <w:rPr>
          <w:color w:val="auto"/>
          <w:highlight w:val="none"/>
        </w:rPr>
        <w:fldChar w:fldCharType="begin"/>
      </w:r>
      <w:r>
        <w:rPr>
          <w:color w:val="auto"/>
          <w:highlight w:val="none"/>
        </w:rPr>
        <w:instrText xml:space="preserve"> PAGEREF _Toc19213 \h </w:instrText>
      </w:r>
      <w:r>
        <w:rPr>
          <w:color w:val="auto"/>
          <w:highlight w:val="none"/>
        </w:rPr>
        <w:fldChar w:fldCharType="separate"/>
      </w:r>
      <w:r>
        <w:rPr>
          <w:color w:val="auto"/>
          <w:highlight w:val="none"/>
        </w:rPr>
        <w:t>229</w:t>
      </w:r>
      <w:r>
        <w:rPr>
          <w:color w:val="auto"/>
          <w:highlight w:val="none"/>
        </w:rPr>
        <w:fldChar w:fldCharType="end"/>
      </w:r>
      <w:r>
        <w:rPr>
          <w:color w:val="auto"/>
          <w:highlight w:val="none"/>
        </w:rPr>
        <w:fldChar w:fldCharType="end"/>
      </w:r>
    </w:p>
    <w:p w14:paraId="67B95424">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_Toc13474 </w:instrText>
      </w:r>
      <w:r>
        <w:rPr>
          <w:color w:val="auto"/>
          <w:highlight w:val="none"/>
        </w:rPr>
        <w:fldChar w:fldCharType="separate"/>
      </w:r>
      <w:r>
        <w:rPr>
          <w:color w:val="auto"/>
          <w:highlight w:val="none"/>
        </w:rPr>
        <w:t>6.</w:t>
      </w:r>
      <w:r>
        <w:rPr>
          <w:rFonts w:hint="eastAsia"/>
          <w:color w:val="auto"/>
          <w:highlight w:val="none"/>
          <w:lang w:val="en-US" w:eastAsia="zh-CN"/>
        </w:rPr>
        <w:t>4</w:t>
      </w:r>
      <w:r>
        <w:rPr>
          <w:color w:val="auto"/>
          <w:highlight w:val="none"/>
        </w:rPr>
        <w:t>噪声污染防治措施及可行性分析</w:t>
      </w:r>
      <w:r>
        <w:rPr>
          <w:color w:val="auto"/>
          <w:highlight w:val="none"/>
        </w:rPr>
        <w:tab/>
      </w:r>
      <w:r>
        <w:rPr>
          <w:color w:val="auto"/>
          <w:highlight w:val="none"/>
        </w:rPr>
        <w:fldChar w:fldCharType="begin"/>
      </w:r>
      <w:r>
        <w:rPr>
          <w:color w:val="auto"/>
          <w:highlight w:val="none"/>
        </w:rPr>
        <w:instrText xml:space="preserve"> PAGEREF _Toc13474 \h </w:instrText>
      </w:r>
      <w:r>
        <w:rPr>
          <w:color w:val="auto"/>
          <w:highlight w:val="none"/>
        </w:rPr>
        <w:fldChar w:fldCharType="separate"/>
      </w:r>
      <w:r>
        <w:rPr>
          <w:color w:val="auto"/>
          <w:highlight w:val="none"/>
        </w:rPr>
        <w:t>230</w:t>
      </w:r>
      <w:r>
        <w:rPr>
          <w:color w:val="auto"/>
          <w:highlight w:val="none"/>
        </w:rPr>
        <w:fldChar w:fldCharType="end"/>
      </w:r>
      <w:r>
        <w:rPr>
          <w:color w:val="auto"/>
          <w:highlight w:val="none"/>
        </w:rPr>
        <w:fldChar w:fldCharType="end"/>
      </w:r>
    </w:p>
    <w:p w14:paraId="25A28B92">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_Toc1688 </w:instrText>
      </w:r>
      <w:r>
        <w:rPr>
          <w:color w:val="auto"/>
          <w:highlight w:val="none"/>
        </w:rPr>
        <w:fldChar w:fldCharType="separate"/>
      </w:r>
      <w:r>
        <w:rPr>
          <w:color w:val="auto"/>
          <w:highlight w:val="none"/>
        </w:rPr>
        <w:t>6.</w:t>
      </w:r>
      <w:r>
        <w:rPr>
          <w:rFonts w:hint="eastAsia"/>
          <w:color w:val="auto"/>
          <w:highlight w:val="none"/>
          <w:lang w:val="en-US" w:eastAsia="zh-CN"/>
        </w:rPr>
        <w:t>5</w:t>
      </w:r>
      <w:r>
        <w:rPr>
          <w:color w:val="auto"/>
          <w:highlight w:val="none"/>
        </w:rPr>
        <w:t>固体废物污染防治措施及可行性分析</w:t>
      </w:r>
      <w:r>
        <w:rPr>
          <w:color w:val="auto"/>
          <w:highlight w:val="none"/>
        </w:rPr>
        <w:tab/>
      </w:r>
      <w:r>
        <w:rPr>
          <w:color w:val="auto"/>
          <w:highlight w:val="none"/>
        </w:rPr>
        <w:fldChar w:fldCharType="begin"/>
      </w:r>
      <w:r>
        <w:rPr>
          <w:color w:val="auto"/>
          <w:highlight w:val="none"/>
        </w:rPr>
        <w:instrText xml:space="preserve"> PAGEREF _Toc1688 \h </w:instrText>
      </w:r>
      <w:r>
        <w:rPr>
          <w:color w:val="auto"/>
          <w:highlight w:val="none"/>
        </w:rPr>
        <w:fldChar w:fldCharType="separate"/>
      </w:r>
      <w:r>
        <w:rPr>
          <w:color w:val="auto"/>
          <w:highlight w:val="none"/>
        </w:rPr>
        <w:t>232</w:t>
      </w:r>
      <w:r>
        <w:rPr>
          <w:color w:val="auto"/>
          <w:highlight w:val="none"/>
        </w:rPr>
        <w:fldChar w:fldCharType="end"/>
      </w:r>
      <w:r>
        <w:rPr>
          <w:color w:val="auto"/>
          <w:highlight w:val="none"/>
        </w:rPr>
        <w:fldChar w:fldCharType="end"/>
      </w:r>
    </w:p>
    <w:p w14:paraId="44CBF8F1">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_Toc29571 </w:instrText>
      </w:r>
      <w:r>
        <w:rPr>
          <w:color w:val="auto"/>
          <w:highlight w:val="none"/>
        </w:rPr>
        <w:fldChar w:fldCharType="separate"/>
      </w:r>
      <w:r>
        <w:rPr>
          <w:color w:val="auto"/>
          <w:highlight w:val="none"/>
        </w:rPr>
        <w:t>6.</w:t>
      </w:r>
      <w:r>
        <w:rPr>
          <w:rFonts w:hint="eastAsia"/>
          <w:color w:val="auto"/>
          <w:highlight w:val="none"/>
          <w:lang w:val="en-US" w:eastAsia="zh-CN"/>
        </w:rPr>
        <w:t>6</w:t>
      </w:r>
      <w:r>
        <w:rPr>
          <w:color w:val="auto"/>
          <w:highlight w:val="none"/>
        </w:rPr>
        <w:t>地下水污染防治措施及可行性分析</w:t>
      </w:r>
      <w:r>
        <w:rPr>
          <w:color w:val="auto"/>
          <w:highlight w:val="none"/>
        </w:rPr>
        <w:tab/>
      </w:r>
      <w:r>
        <w:rPr>
          <w:color w:val="auto"/>
          <w:highlight w:val="none"/>
        </w:rPr>
        <w:fldChar w:fldCharType="begin"/>
      </w:r>
      <w:r>
        <w:rPr>
          <w:color w:val="auto"/>
          <w:highlight w:val="none"/>
        </w:rPr>
        <w:instrText xml:space="preserve"> PAGEREF _Toc29571 \h </w:instrText>
      </w:r>
      <w:r>
        <w:rPr>
          <w:color w:val="auto"/>
          <w:highlight w:val="none"/>
        </w:rPr>
        <w:fldChar w:fldCharType="separate"/>
      </w:r>
      <w:r>
        <w:rPr>
          <w:color w:val="auto"/>
          <w:highlight w:val="none"/>
        </w:rPr>
        <w:t>236</w:t>
      </w:r>
      <w:r>
        <w:rPr>
          <w:color w:val="auto"/>
          <w:highlight w:val="none"/>
        </w:rPr>
        <w:fldChar w:fldCharType="end"/>
      </w:r>
      <w:r>
        <w:rPr>
          <w:color w:val="auto"/>
          <w:highlight w:val="none"/>
        </w:rPr>
        <w:fldChar w:fldCharType="end"/>
      </w:r>
    </w:p>
    <w:p w14:paraId="3436B2AC">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_Toc6032 </w:instrText>
      </w:r>
      <w:r>
        <w:rPr>
          <w:color w:val="auto"/>
          <w:highlight w:val="none"/>
        </w:rPr>
        <w:fldChar w:fldCharType="separate"/>
      </w:r>
      <w:r>
        <w:rPr>
          <w:color w:val="auto"/>
          <w:highlight w:val="none"/>
        </w:rPr>
        <w:t>6.</w:t>
      </w:r>
      <w:r>
        <w:rPr>
          <w:rFonts w:hint="eastAsia"/>
          <w:color w:val="auto"/>
          <w:highlight w:val="none"/>
          <w:lang w:val="en-US" w:eastAsia="zh-CN"/>
        </w:rPr>
        <w:t>7</w:t>
      </w:r>
      <w:r>
        <w:rPr>
          <w:color w:val="auto"/>
          <w:highlight w:val="none"/>
        </w:rPr>
        <w:t>土壤污染防治措施及可行性分析</w:t>
      </w:r>
      <w:r>
        <w:rPr>
          <w:color w:val="auto"/>
          <w:highlight w:val="none"/>
        </w:rPr>
        <w:tab/>
      </w:r>
      <w:r>
        <w:rPr>
          <w:color w:val="auto"/>
          <w:highlight w:val="none"/>
        </w:rPr>
        <w:fldChar w:fldCharType="begin"/>
      </w:r>
      <w:r>
        <w:rPr>
          <w:color w:val="auto"/>
          <w:highlight w:val="none"/>
        </w:rPr>
        <w:instrText xml:space="preserve"> PAGEREF _Toc6032 \h </w:instrText>
      </w:r>
      <w:r>
        <w:rPr>
          <w:color w:val="auto"/>
          <w:highlight w:val="none"/>
        </w:rPr>
        <w:fldChar w:fldCharType="separate"/>
      </w:r>
      <w:r>
        <w:rPr>
          <w:color w:val="auto"/>
          <w:highlight w:val="none"/>
        </w:rPr>
        <w:t>238</w:t>
      </w:r>
      <w:r>
        <w:rPr>
          <w:color w:val="auto"/>
          <w:highlight w:val="none"/>
        </w:rPr>
        <w:fldChar w:fldCharType="end"/>
      </w:r>
      <w:r>
        <w:rPr>
          <w:color w:val="auto"/>
          <w:highlight w:val="none"/>
        </w:rPr>
        <w:fldChar w:fldCharType="end"/>
      </w:r>
    </w:p>
    <w:p w14:paraId="5250A902">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_Toc29037 </w:instrText>
      </w:r>
      <w:r>
        <w:rPr>
          <w:color w:val="auto"/>
          <w:highlight w:val="none"/>
        </w:rPr>
        <w:fldChar w:fldCharType="separate"/>
      </w:r>
      <w:r>
        <w:rPr>
          <w:rFonts w:hint="eastAsia" w:ascii="Times New Roman" w:hAnsi="Times New Roman" w:eastAsia="宋体" w:cs="Times New Roman"/>
          <w:bCs/>
          <w:color w:val="auto"/>
          <w:highlight w:val="none"/>
          <w:lang w:val="en-US" w:eastAsia="zh-CN"/>
        </w:rPr>
        <w:t>6</w:t>
      </w:r>
      <w:r>
        <w:rPr>
          <w:rFonts w:ascii="Times New Roman" w:hAnsi="Times New Roman" w:eastAsia="宋体" w:cs="Times New Roman"/>
          <w:bCs/>
          <w:color w:val="auto"/>
          <w:highlight w:val="none"/>
        </w:rPr>
        <w:t>.</w:t>
      </w:r>
      <w:r>
        <w:rPr>
          <w:rFonts w:hint="eastAsia" w:ascii="Times New Roman" w:hAnsi="Times New Roman" w:eastAsia="宋体" w:cs="Times New Roman"/>
          <w:bCs/>
          <w:color w:val="auto"/>
          <w:highlight w:val="none"/>
          <w:lang w:val="en-US" w:eastAsia="zh-CN"/>
        </w:rPr>
        <w:t>8</w:t>
      </w:r>
      <w:r>
        <w:rPr>
          <w:rFonts w:hint="eastAsia" w:ascii="Times New Roman" w:hAnsi="Times New Roman" w:eastAsia="宋体" w:cs="Times New Roman"/>
          <w:bCs/>
          <w:color w:val="auto"/>
          <w:highlight w:val="none"/>
        </w:rPr>
        <w:t>小结</w:t>
      </w:r>
      <w:r>
        <w:rPr>
          <w:color w:val="auto"/>
          <w:highlight w:val="none"/>
        </w:rPr>
        <w:tab/>
      </w:r>
      <w:r>
        <w:rPr>
          <w:color w:val="auto"/>
          <w:highlight w:val="none"/>
        </w:rPr>
        <w:fldChar w:fldCharType="begin"/>
      </w:r>
      <w:r>
        <w:rPr>
          <w:color w:val="auto"/>
          <w:highlight w:val="none"/>
        </w:rPr>
        <w:instrText xml:space="preserve"> PAGEREF _Toc29037 \h </w:instrText>
      </w:r>
      <w:r>
        <w:rPr>
          <w:color w:val="auto"/>
          <w:highlight w:val="none"/>
        </w:rPr>
        <w:fldChar w:fldCharType="separate"/>
      </w:r>
      <w:r>
        <w:rPr>
          <w:color w:val="auto"/>
          <w:highlight w:val="none"/>
        </w:rPr>
        <w:t>240</w:t>
      </w:r>
      <w:r>
        <w:rPr>
          <w:color w:val="auto"/>
          <w:highlight w:val="none"/>
        </w:rPr>
        <w:fldChar w:fldCharType="end"/>
      </w:r>
      <w:r>
        <w:rPr>
          <w:color w:val="auto"/>
          <w:highlight w:val="none"/>
        </w:rPr>
        <w:fldChar w:fldCharType="end"/>
      </w:r>
    </w:p>
    <w:p w14:paraId="1C477C45">
      <w:pPr>
        <w:pStyle w:val="35"/>
        <w:tabs>
          <w:tab w:val="right" w:leader="dot" w:pos="8306"/>
        </w:tabs>
        <w:rPr>
          <w:color w:val="auto"/>
          <w:highlight w:val="none"/>
        </w:rPr>
      </w:pPr>
      <w:r>
        <w:rPr>
          <w:color w:val="auto"/>
          <w:highlight w:val="none"/>
        </w:rPr>
        <w:fldChar w:fldCharType="begin"/>
      </w:r>
      <w:r>
        <w:rPr>
          <w:color w:val="auto"/>
          <w:highlight w:val="none"/>
        </w:rPr>
        <w:instrText xml:space="preserve"> HYPERLINK \l _Toc15997 </w:instrText>
      </w:r>
      <w:r>
        <w:rPr>
          <w:color w:val="auto"/>
          <w:highlight w:val="none"/>
        </w:rPr>
        <w:fldChar w:fldCharType="separate"/>
      </w:r>
      <w:r>
        <w:rPr>
          <w:color w:val="auto"/>
          <w:highlight w:val="none"/>
        </w:rPr>
        <w:t>7环境影响经济损益分析</w:t>
      </w:r>
      <w:r>
        <w:rPr>
          <w:color w:val="auto"/>
          <w:highlight w:val="none"/>
        </w:rPr>
        <w:tab/>
      </w:r>
      <w:r>
        <w:rPr>
          <w:color w:val="auto"/>
          <w:highlight w:val="none"/>
        </w:rPr>
        <w:fldChar w:fldCharType="begin"/>
      </w:r>
      <w:r>
        <w:rPr>
          <w:color w:val="auto"/>
          <w:highlight w:val="none"/>
        </w:rPr>
        <w:instrText xml:space="preserve"> PAGEREF _Toc15997 \h </w:instrText>
      </w:r>
      <w:r>
        <w:rPr>
          <w:color w:val="auto"/>
          <w:highlight w:val="none"/>
        </w:rPr>
        <w:fldChar w:fldCharType="separate"/>
      </w:r>
      <w:r>
        <w:rPr>
          <w:color w:val="auto"/>
          <w:highlight w:val="none"/>
        </w:rPr>
        <w:t>241</w:t>
      </w:r>
      <w:r>
        <w:rPr>
          <w:color w:val="auto"/>
          <w:highlight w:val="none"/>
        </w:rPr>
        <w:fldChar w:fldCharType="end"/>
      </w:r>
      <w:r>
        <w:rPr>
          <w:color w:val="auto"/>
          <w:highlight w:val="none"/>
        </w:rPr>
        <w:fldChar w:fldCharType="end"/>
      </w:r>
    </w:p>
    <w:p w14:paraId="36F6440E">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_Toc331 </w:instrText>
      </w:r>
      <w:r>
        <w:rPr>
          <w:color w:val="auto"/>
          <w:highlight w:val="none"/>
        </w:rPr>
        <w:fldChar w:fldCharType="separate"/>
      </w:r>
      <w:r>
        <w:rPr>
          <w:rFonts w:hint="eastAsia" w:ascii="Times New Roman" w:hAnsi="Times New Roman" w:eastAsia="宋体" w:cs="Times New Roman"/>
          <w:bCs/>
          <w:color w:val="auto"/>
          <w:highlight w:val="none"/>
        </w:rPr>
        <w:t>7.1</w:t>
      </w:r>
      <w:r>
        <w:rPr>
          <w:rFonts w:hint="eastAsia" w:ascii="Times New Roman" w:hAnsi="Times New Roman" w:eastAsia="宋体" w:cs="Times New Roman"/>
          <w:bCs/>
          <w:color w:val="auto"/>
          <w:highlight w:val="none"/>
          <w:lang w:val="en-US" w:eastAsia="zh-CN"/>
        </w:rPr>
        <w:t>环保投资估算</w:t>
      </w:r>
      <w:r>
        <w:rPr>
          <w:color w:val="auto"/>
          <w:highlight w:val="none"/>
        </w:rPr>
        <w:tab/>
      </w:r>
      <w:r>
        <w:rPr>
          <w:color w:val="auto"/>
          <w:highlight w:val="none"/>
        </w:rPr>
        <w:fldChar w:fldCharType="begin"/>
      </w:r>
      <w:r>
        <w:rPr>
          <w:color w:val="auto"/>
          <w:highlight w:val="none"/>
        </w:rPr>
        <w:instrText xml:space="preserve"> PAGEREF _Toc331 \h </w:instrText>
      </w:r>
      <w:r>
        <w:rPr>
          <w:color w:val="auto"/>
          <w:highlight w:val="none"/>
        </w:rPr>
        <w:fldChar w:fldCharType="separate"/>
      </w:r>
      <w:r>
        <w:rPr>
          <w:color w:val="auto"/>
          <w:highlight w:val="none"/>
        </w:rPr>
        <w:t>241</w:t>
      </w:r>
      <w:r>
        <w:rPr>
          <w:color w:val="auto"/>
          <w:highlight w:val="none"/>
        </w:rPr>
        <w:fldChar w:fldCharType="end"/>
      </w:r>
      <w:r>
        <w:rPr>
          <w:color w:val="auto"/>
          <w:highlight w:val="none"/>
        </w:rPr>
        <w:fldChar w:fldCharType="end"/>
      </w:r>
    </w:p>
    <w:p w14:paraId="3088DE01">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_Toc19730 </w:instrText>
      </w:r>
      <w:r>
        <w:rPr>
          <w:color w:val="auto"/>
          <w:highlight w:val="none"/>
        </w:rPr>
        <w:fldChar w:fldCharType="separate"/>
      </w:r>
      <w:r>
        <w:rPr>
          <w:rFonts w:hint="eastAsia" w:ascii="Times New Roman" w:hAnsi="Times New Roman" w:eastAsia="宋体" w:cs="Times New Roman"/>
          <w:bCs/>
          <w:color w:val="auto"/>
          <w:highlight w:val="none"/>
          <w:lang w:val="en-US" w:eastAsia="zh-CN"/>
        </w:rPr>
        <w:t>7</w:t>
      </w:r>
      <w:r>
        <w:rPr>
          <w:rFonts w:hint="default" w:ascii="Times New Roman" w:hAnsi="Times New Roman" w:eastAsia="宋体" w:cs="Times New Roman"/>
          <w:bCs/>
          <w:color w:val="auto"/>
          <w:highlight w:val="none"/>
          <w:lang w:val="zh-CN" w:eastAsia="zh-CN"/>
        </w:rPr>
        <w:t>.</w:t>
      </w:r>
      <w:r>
        <w:rPr>
          <w:rFonts w:hint="eastAsia" w:ascii="Times New Roman" w:hAnsi="Times New Roman" w:eastAsia="宋体" w:cs="Times New Roman"/>
          <w:bCs/>
          <w:color w:val="auto"/>
          <w:highlight w:val="none"/>
          <w:lang w:val="en-US" w:eastAsia="zh-CN"/>
        </w:rPr>
        <w:t>2</w:t>
      </w:r>
      <w:r>
        <w:rPr>
          <w:rFonts w:hint="default" w:ascii="Times New Roman" w:hAnsi="Times New Roman" w:eastAsia="宋体" w:cs="Times New Roman"/>
          <w:bCs/>
          <w:color w:val="auto"/>
          <w:highlight w:val="none"/>
          <w:lang w:val="zh-CN" w:eastAsia="zh-CN"/>
        </w:rPr>
        <w:t>项目社会效益分析</w:t>
      </w:r>
      <w:r>
        <w:rPr>
          <w:color w:val="auto"/>
          <w:highlight w:val="none"/>
        </w:rPr>
        <w:tab/>
      </w:r>
      <w:r>
        <w:rPr>
          <w:color w:val="auto"/>
          <w:highlight w:val="none"/>
        </w:rPr>
        <w:fldChar w:fldCharType="begin"/>
      </w:r>
      <w:r>
        <w:rPr>
          <w:color w:val="auto"/>
          <w:highlight w:val="none"/>
        </w:rPr>
        <w:instrText xml:space="preserve"> PAGEREF _Toc19730 \h </w:instrText>
      </w:r>
      <w:r>
        <w:rPr>
          <w:color w:val="auto"/>
          <w:highlight w:val="none"/>
        </w:rPr>
        <w:fldChar w:fldCharType="separate"/>
      </w:r>
      <w:r>
        <w:rPr>
          <w:color w:val="auto"/>
          <w:highlight w:val="none"/>
        </w:rPr>
        <w:t>242</w:t>
      </w:r>
      <w:r>
        <w:rPr>
          <w:color w:val="auto"/>
          <w:highlight w:val="none"/>
        </w:rPr>
        <w:fldChar w:fldCharType="end"/>
      </w:r>
      <w:r>
        <w:rPr>
          <w:color w:val="auto"/>
          <w:highlight w:val="none"/>
        </w:rPr>
        <w:fldChar w:fldCharType="end"/>
      </w:r>
    </w:p>
    <w:p w14:paraId="70778D32">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_Toc13971 </w:instrText>
      </w:r>
      <w:r>
        <w:rPr>
          <w:color w:val="auto"/>
          <w:highlight w:val="none"/>
        </w:rPr>
        <w:fldChar w:fldCharType="separate"/>
      </w:r>
      <w:r>
        <w:rPr>
          <w:rFonts w:hint="eastAsia" w:ascii="Times New Roman" w:hAnsi="Times New Roman" w:eastAsia="宋体" w:cs="Times New Roman"/>
          <w:bCs/>
          <w:color w:val="auto"/>
          <w:highlight w:val="none"/>
          <w:lang w:val="en-US" w:eastAsia="zh-CN"/>
        </w:rPr>
        <w:t>7</w:t>
      </w:r>
      <w:r>
        <w:rPr>
          <w:rFonts w:hint="default" w:ascii="Times New Roman" w:hAnsi="Times New Roman" w:eastAsia="宋体" w:cs="Times New Roman"/>
          <w:bCs/>
          <w:color w:val="auto"/>
          <w:highlight w:val="none"/>
          <w:lang w:val="zh-CN" w:eastAsia="zh-CN"/>
        </w:rPr>
        <w:t>.3环境损益分析</w:t>
      </w:r>
      <w:r>
        <w:rPr>
          <w:color w:val="auto"/>
          <w:highlight w:val="none"/>
        </w:rPr>
        <w:tab/>
      </w:r>
      <w:r>
        <w:rPr>
          <w:color w:val="auto"/>
          <w:highlight w:val="none"/>
        </w:rPr>
        <w:fldChar w:fldCharType="begin"/>
      </w:r>
      <w:r>
        <w:rPr>
          <w:color w:val="auto"/>
          <w:highlight w:val="none"/>
        </w:rPr>
        <w:instrText xml:space="preserve"> PAGEREF _Toc13971 \h </w:instrText>
      </w:r>
      <w:r>
        <w:rPr>
          <w:color w:val="auto"/>
          <w:highlight w:val="none"/>
        </w:rPr>
        <w:fldChar w:fldCharType="separate"/>
      </w:r>
      <w:r>
        <w:rPr>
          <w:color w:val="auto"/>
          <w:highlight w:val="none"/>
        </w:rPr>
        <w:t>245</w:t>
      </w:r>
      <w:r>
        <w:rPr>
          <w:color w:val="auto"/>
          <w:highlight w:val="none"/>
        </w:rPr>
        <w:fldChar w:fldCharType="end"/>
      </w:r>
      <w:r>
        <w:rPr>
          <w:color w:val="auto"/>
          <w:highlight w:val="none"/>
        </w:rPr>
        <w:fldChar w:fldCharType="end"/>
      </w:r>
    </w:p>
    <w:p w14:paraId="4590F9EB">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_Toc14146 </w:instrText>
      </w:r>
      <w:r>
        <w:rPr>
          <w:color w:val="auto"/>
          <w:highlight w:val="none"/>
        </w:rPr>
        <w:fldChar w:fldCharType="separate"/>
      </w:r>
      <w:r>
        <w:rPr>
          <w:rFonts w:hint="eastAsia" w:ascii="Times New Roman" w:hAnsi="Times New Roman" w:eastAsia="宋体" w:cs="Times New Roman"/>
          <w:bCs/>
          <w:color w:val="auto"/>
          <w:highlight w:val="none"/>
          <w:lang w:val="en-US" w:eastAsia="zh-CN"/>
        </w:rPr>
        <w:t>7</w:t>
      </w:r>
      <w:r>
        <w:rPr>
          <w:rFonts w:hint="default" w:ascii="Times New Roman" w:hAnsi="Times New Roman" w:eastAsia="宋体" w:cs="Times New Roman"/>
          <w:bCs/>
          <w:color w:val="auto"/>
          <w:highlight w:val="none"/>
          <w:lang w:val="zh-CN" w:eastAsia="zh-CN"/>
        </w:rPr>
        <w:t>.4小结</w:t>
      </w:r>
      <w:r>
        <w:rPr>
          <w:color w:val="auto"/>
          <w:highlight w:val="none"/>
        </w:rPr>
        <w:tab/>
      </w:r>
      <w:r>
        <w:rPr>
          <w:color w:val="auto"/>
          <w:highlight w:val="none"/>
        </w:rPr>
        <w:fldChar w:fldCharType="begin"/>
      </w:r>
      <w:r>
        <w:rPr>
          <w:color w:val="auto"/>
          <w:highlight w:val="none"/>
        </w:rPr>
        <w:instrText xml:space="preserve"> PAGEREF _Toc14146 \h </w:instrText>
      </w:r>
      <w:r>
        <w:rPr>
          <w:color w:val="auto"/>
          <w:highlight w:val="none"/>
        </w:rPr>
        <w:fldChar w:fldCharType="separate"/>
      </w:r>
      <w:r>
        <w:rPr>
          <w:color w:val="auto"/>
          <w:highlight w:val="none"/>
        </w:rPr>
        <w:t>246</w:t>
      </w:r>
      <w:r>
        <w:rPr>
          <w:color w:val="auto"/>
          <w:highlight w:val="none"/>
        </w:rPr>
        <w:fldChar w:fldCharType="end"/>
      </w:r>
      <w:r>
        <w:rPr>
          <w:color w:val="auto"/>
          <w:highlight w:val="none"/>
        </w:rPr>
        <w:fldChar w:fldCharType="end"/>
      </w:r>
    </w:p>
    <w:p w14:paraId="23DA95C1">
      <w:pPr>
        <w:pStyle w:val="35"/>
        <w:tabs>
          <w:tab w:val="right" w:leader="dot" w:pos="8306"/>
        </w:tabs>
        <w:rPr>
          <w:color w:val="auto"/>
          <w:highlight w:val="none"/>
        </w:rPr>
      </w:pPr>
      <w:r>
        <w:rPr>
          <w:color w:val="auto"/>
          <w:highlight w:val="none"/>
        </w:rPr>
        <w:fldChar w:fldCharType="begin"/>
      </w:r>
      <w:r>
        <w:rPr>
          <w:color w:val="auto"/>
          <w:highlight w:val="none"/>
        </w:rPr>
        <w:instrText xml:space="preserve"> HYPERLINK \l _Toc21138 </w:instrText>
      </w:r>
      <w:r>
        <w:rPr>
          <w:color w:val="auto"/>
          <w:highlight w:val="none"/>
        </w:rPr>
        <w:fldChar w:fldCharType="separate"/>
      </w:r>
      <w:r>
        <w:rPr>
          <w:color w:val="auto"/>
          <w:highlight w:val="none"/>
        </w:rPr>
        <w:t>8环境管理与环境监测</w:t>
      </w:r>
      <w:r>
        <w:rPr>
          <w:color w:val="auto"/>
          <w:highlight w:val="none"/>
        </w:rPr>
        <w:tab/>
      </w:r>
      <w:r>
        <w:rPr>
          <w:color w:val="auto"/>
          <w:highlight w:val="none"/>
        </w:rPr>
        <w:fldChar w:fldCharType="begin"/>
      </w:r>
      <w:r>
        <w:rPr>
          <w:color w:val="auto"/>
          <w:highlight w:val="none"/>
        </w:rPr>
        <w:instrText xml:space="preserve"> PAGEREF _Toc21138 \h </w:instrText>
      </w:r>
      <w:r>
        <w:rPr>
          <w:color w:val="auto"/>
          <w:highlight w:val="none"/>
        </w:rPr>
        <w:fldChar w:fldCharType="separate"/>
      </w:r>
      <w:r>
        <w:rPr>
          <w:color w:val="auto"/>
          <w:highlight w:val="none"/>
        </w:rPr>
        <w:t>247</w:t>
      </w:r>
      <w:r>
        <w:rPr>
          <w:color w:val="auto"/>
          <w:highlight w:val="none"/>
        </w:rPr>
        <w:fldChar w:fldCharType="end"/>
      </w:r>
      <w:r>
        <w:rPr>
          <w:color w:val="auto"/>
          <w:highlight w:val="none"/>
        </w:rPr>
        <w:fldChar w:fldCharType="end"/>
      </w:r>
    </w:p>
    <w:p w14:paraId="714B45A4">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_Toc27064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zh-CN" w:eastAsia="zh-CN" w:bidi="ar-SA"/>
        </w:rPr>
        <w:t>.1环境管理</w:t>
      </w:r>
      <w:r>
        <w:rPr>
          <w:color w:val="auto"/>
          <w:highlight w:val="none"/>
        </w:rPr>
        <w:tab/>
      </w:r>
      <w:r>
        <w:rPr>
          <w:color w:val="auto"/>
          <w:highlight w:val="none"/>
        </w:rPr>
        <w:fldChar w:fldCharType="begin"/>
      </w:r>
      <w:r>
        <w:rPr>
          <w:color w:val="auto"/>
          <w:highlight w:val="none"/>
        </w:rPr>
        <w:instrText xml:space="preserve"> PAGEREF _Toc27064 \h </w:instrText>
      </w:r>
      <w:r>
        <w:rPr>
          <w:color w:val="auto"/>
          <w:highlight w:val="none"/>
        </w:rPr>
        <w:fldChar w:fldCharType="separate"/>
      </w:r>
      <w:r>
        <w:rPr>
          <w:color w:val="auto"/>
          <w:highlight w:val="none"/>
        </w:rPr>
        <w:t>247</w:t>
      </w:r>
      <w:r>
        <w:rPr>
          <w:color w:val="auto"/>
          <w:highlight w:val="none"/>
        </w:rPr>
        <w:fldChar w:fldCharType="end"/>
      </w:r>
      <w:r>
        <w:rPr>
          <w:color w:val="auto"/>
          <w:highlight w:val="none"/>
        </w:rPr>
        <w:fldChar w:fldCharType="end"/>
      </w:r>
    </w:p>
    <w:p w14:paraId="1E59277A">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_Toc25975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zh-CN" w:eastAsia="zh-CN" w:bidi="ar-SA"/>
        </w:rPr>
        <w:t>.2</w:t>
      </w:r>
      <w:r>
        <w:rPr>
          <w:rFonts w:hint="default" w:ascii="Times New Roman" w:hAnsi="Times New Roman" w:eastAsia="宋体" w:cs="Times New Roman"/>
          <w:bCs/>
          <w:color w:val="auto"/>
          <w:kern w:val="2"/>
          <w:szCs w:val="28"/>
          <w:highlight w:val="none"/>
          <w:lang w:val="en-US" w:eastAsia="zh-CN" w:bidi="ar-SA"/>
        </w:rPr>
        <w:t>自主验收要求</w:t>
      </w:r>
      <w:r>
        <w:rPr>
          <w:color w:val="auto"/>
          <w:highlight w:val="none"/>
        </w:rPr>
        <w:tab/>
      </w:r>
      <w:r>
        <w:rPr>
          <w:color w:val="auto"/>
          <w:highlight w:val="none"/>
        </w:rPr>
        <w:fldChar w:fldCharType="begin"/>
      </w:r>
      <w:r>
        <w:rPr>
          <w:color w:val="auto"/>
          <w:highlight w:val="none"/>
        </w:rPr>
        <w:instrText xml:space="preserve"> PAGEREF _Toc25975 \h </w:instrText>
      </w:r>
      <w:r>
        <w:rPr>
          <w:color w:val="auto"/>
          <w:highlight w:val="none"/>
        </w:rPr>
        <w:fldChar w:fldCharType="separate"/>
      </w:r>
      <w:r>
        <w:rPr>
          <w:color w:val="auto"/>
          <w:highlight w:val="none"/>
        </w:rPr>
        <w:t>250</w:t>
      </w:r>
      <w:r>
        <w:rPr>
          <w:color w:val="auto"/>
          <w:highlight w:val="none"/>
        </w:rPr>
        <w:fldChar w:fldCharType="end"/>
      </w:r>
      <w:r>
        <w:rPr>
          <w:color w:val="auto"/>
          <w:highlight w:val="none"/>
        </w:rPr>
        <w:fldChar w:fldCharType="end"/>
      </w:r>
    </w:p>
    <w:p w14:paraId="2D435931">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_Toc31060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en-US" w:eastAsia="zh-CN" w:bidi="ar-SA"/>
        </w:rPr>
        <w:t>.3</w:t>
      </w:r>
      <w:r>
        <w:rPr>
          <w:rFonts w:hint="default" w:ascii="Times New Roman" w:hAnsi="Times New Roman" w:eastAsia="宋体" w:cs="Times New Roman"/>
          <w:bCs/>
          <w:color w:val="auto"/>
          <w:kern w:val="2"/>
          <w:szCs w:val="28"/>
          <w:highlight w:val="none"/>
          <w:lang w:val="zh-CN" w:eastAsia="zh-CN" w:bidi="ar-SA"/>
        </w:rPr>
        <w:t>环境管理计划</w:t>
      </w:r>
      <w:r>
        <w:rPr>
          <w:color w:val="auto"/>
          <w:highlight w:val="none"/>
        </w:rPr>
        <w:tab/>
      </w:r>
      <w:r>
        <w:rPr>
          <w:color w:val="auto"/>
          <w:highlight w:val="none"/>
        </w:rPr>
        <w:fldChar w:fldCharType="begin"/>
      </w:r>
      <w:r>
        <w:rPr>
          <w:color w:val="auto"/>
          <w:highlight w:val="none"/>
        </w:rPr>
        <w:instrText xml:space="preserve"> PAGEREF _Toc31060 \h </w:instrText>
      </w:r>
      <w:r>
        <w:rPr>
          <w:color w:val="auto"/>
          <w:highlight w:val="none"/>
        </w:rPr>
        <w:fldChar w:fldCharType="separate"/>
      </w:r>
      <w:r>
        <w:rPr>
          <w:color w:val="auto"/>
          <w:highlight w:val="none"/>
        </w:rPr>
        <w:t>251</w:t>
      </w:r>
      <w:r>
        <w:rPr>
          <w:color w:val="auto"/>
          <w:highlight w:val="none"/>
        </w:rPr>
        <w:fldChar w:fldCharType="end"/>
      </w:r>
      <w:r>
        <w:rPr>
          <w:color w:val="auto"/>
          <w:highlight w:val="none"/>
        </w:rPr>
        <w:fldChar w:fldCharType="end"/>
      </w:r>
    </w:p>
    <w:p w14:paraId="231F4827">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_Toc2150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zh-CN" w:eastAsia="zh-CN" w:bidi="ar-SA"/>
        </w:rPr>
        <w:t>.4</w:t>
      </w:r>
      <w:r>
        <w:rPr>
          <w:rFonts w:hint="default" w:ascii="Times New Roman" w:hAnsi="Times New Roman" w:eastAsia="宋体" w:cs="Times New Roman"/>
          <w:bCs/>
          <w:color w:val="auto"/>
          <w:kern w:val="2"/>
          <w:szCs w:val="28"/>
          <w:highlight w:val="none"/>
          <w:lang w:val="en-US" w:eastAsia="zh-CN" w:bidi="ar-SA"/>
        </w:rPr>
        <w:t>排污许可证制度</w:t>
      </w:r>
      <w:r>
        <w:rPr>
          <w:color w:val="auto"/>
          <w:highlight w:val="none"/>
        </w:rPr>
        <w:tab/>
      </w:r>
      <w:r>
        <w:rPr>
          <w:color w:val="auto"/>
          <w:highlight w:val="none"/>
        </w:rPr>
        <w:fldChar w:fldCharType="begin"/>
      </w:r>
      <w:r>
        <w:rPr>
          <w:color w:val="auto"/>
          <w:highlight w:val="none"/>
        </w:rPr>
        <w:instrText xml:space="preserve"> PAGEREF _Toc2150 \h </w:instrText>
      </w:r>
      <w:r>
        <w:rPr>
          <w:color w:val="auto"/>
          <w:highlight w:val="none"/>
        </w:rPr>
        <w:fldChar w:fldCharType="separate"/>
      </w:r>
      <w:r>
        <w:rPr>
          <w:color w:val="auto"/>
          <w:highlight w:val="none"/>
        </w:rPr>
        <w:t>254</w:t>
      </w:r>
      <w:r>
        <w:rPr>
          <w:color w:val="auto"/>
          <w:highlight w:val="none"/>
        </w:rPr>
        <w:fldChar w:fldCharType="end"/>
      </w:r>
      <w:r>
        <w:rPr>
          <w:color w:val="auto"/>
          <w:highlight w:val="none"/>
        </w:rPr>
        <w:fldChar w:fldCharType="end"/>
      </w:r>
    </w:p>
    <w:p w14:paraId="7B5861F0">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_Toc7007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en-US" w:eastAsia="zh-CN" w:bidi="ar-SA"/>
        </w:rPr>
        <w:t>.5</w:t>
      </w:r>
      <w:r>
        <w:rPr>
          <w:rFonts w:hint="default" w:ascii="Times New Roman" w:hAnsi="Times New Roman" w:eastAsia="宋体" w:cs="Times New Roman"/>
          <w:bCs/>
          <w:color w:val="auto"/>
          <w:kern w:val="2"/>
          <w:szCs w:val="28"/>
          <w:highlight w:val="none"/>
          <w:lang w:val="zh-CN" w:eastAsia="zh-CN" w:bidi="ar-SA"/>
        </w:rPr>
        <w:t>排污口规范化管理</w:t>
      </w:r>
      <w:r>
        <w:rPr>
          <w:color w:val="auto"/>
          <w:highlight w:val="none"/>
        </w:rPr>
        <w:tab/>
      </w:r>
      <w:r>
        <w:rPr>
          <w:color w:val="auto"/>
          <w:highlight w:val="none"/>
        </w:rPr>
        <w:fldChar w:fldCharType="begin"/>
      </w:r>
      <w:r>
        <w:rPr>
          <w:color w:val="auto"/>
          <w:highlight w:val="none"/>
        </w:rPr>
        <w:instrText xml:space="preserve"> PAGEREF _Toc7007 \h </w:instrText>
      </w:r>
      <w:r>
        <w:rPr>
          <w:color w:val="auto"/>
          <w:highlight w:val="none"/>
        </w:rPr>
        <w:fldChar w:fldCharType="separate"/>
      </w:r>
      <w:r>
        <w:rPr>
          <w:color w:val="auto"/>
          <w:highlight w:val="none"/>
        </w:rPr>
        <w:t>255</w:t>
      </w:r>
      <w:r>
        <w:rPr>
          <w:color w:val="auto"/>
          <w:highlight w:val="none"/>
        </w:rPr>
        <w:fldChar w:fldCharType="end"/>
      </w:r>
      <w:r>
        <w:rPr>
          <w:color w:val="auto"/>
          <w:highlight w:val="none"/>
        </w:rPr>
        <w:fldChar w:fldCharType="end"/>
      </w:r>
    </w:p>
    <w:p w14:paraId="5426D236">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_Toc337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zh-CN" w:eastAsia="zh-CN" w:bidi="ar-SA"/>
        </w:rPr>
        <w:t>.</w:t>
      </w:r>
      <w:r>
        <w:rPr>
          <w:rFonts w:hint="default" w:ascii="Times New Roman" w:hAnsi="Times New Roman" w:eastAsia="宋体" w:cs="Times New Roman"/>
          <w:bCs/>
          <w:color w:val="auto"/>
          <w:kern w:val="2"/>
          <w:szCs w:val="28"/>
          <w:highlight w:val="none"/>
          <w:lang w:val="en-US" w:eastAsia="zh-CN" w:bidi="ar-SA"/>
        </w:rPr>
        <w:t>6</w:t>
      </w:r>
      <w:r>
        <w:rPr>
          <w:rFonts w:hint="default" w:ascii="Times New Roman" w:hAnsi="Times New Roman" w:eastAsia="宋体" w:cs="Times New Roman"/>
          <w:bCs/>
          <w:color w:val="auto"/>
          <w:kern w:val="2"/>
          <w:szCs w:val="28"/>
          <w:highlight w:val="none"/>
          <w:lang w:val="zh-CN" w:eastAsia="zh-CN" w:bidi="ar-SA"/>
        </w:rPr>
        <w:t>环境管理与监测工作建议</w:t>
      </w:r>
      <w:r>
        <w:rPr>
          <w:color w:val="auto"/>
          <w:highlight w:val="none"/>
        </w:rPr>
        <w:tab/>
      </w:r>
      <w:r>
        <w:rPr>
          <w:color w:val="auto"/>
          <w:highlight w:val="none"/>
        </w:rPr>
        <w:fldChar w:fldCharType="begin"/>
      </w:r>
      <w:r>
        <w:rPr>
          <w:color w:val="auto"/>
          <w:highlight w:val="none"/>
        </w:rPr>
        <w:instrText xml:space="preserve"> PAGEREF _Toc337 \h </w:instrText>
      </w:r>
      <w:r>
        <w:rPr>
          <w:color w:val="auto"/>
          <w:highlight w:val="none"/>
        </w:rPr>
        <w:fldChar w:fldCharType="separate"/>
      </w:r>
      <w:r>
        <w:rPr>
          <w:color w:val="auto"/>
          <w:highlight w:val="none"/>
        </w:rPr>
        <w:t>257</w:t>
      </w:r>
      <w:r>
        <w:rPr>
          <w:color w:val="auto"/>
          <w:highlight w:val="none"/>
        </w:rPr>
        <w:fldChar w:fldCharType="end"/>
      </w:r>
      <w:r>
        <w:rPr>
          <w:color w:val="auto"/>
          <w:highlight w:val="none"/>
        </w:rPr>
        <w:fldChar w:fldCharType="end"/>
      </w:r>
    </w:p>
    <w:p w14:paraId="120F12A2">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_Toc5269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zh-CN" w:eastAsia="zh-CN" w:bidi="ar-SA"/>
        </w:rPr>
        <w:t>.</w:t>
      </w:r>
      <w:r>
        <w:rPr>
          <w:rFonts w:hint="default" w:ascii="Times New Roman" w:hAnsi="Times New Roman" w:eastAsia="宋体" w:cs="Times New Roman"/>
          <w:bCs/>
          <w:color w:val="auto"/>
          <w:kern w:val="2"/>
          <w:szCs w:val="28"/>
          <w:highlight w:val="none"/>
          <w:lang w:val="en-US" w:eastAsia="zh-CN" w:bidi="ar-SA"/>
        </w:rPr>
        <w:t>7</w:t>
      </w:r>
      <w:r>
        <w:rPr>
          <w:rFonts w:hint="default" w:ascii="Times New Roman" w:hAnsi="Times New Roman" w:eastAsia="宋体" w:cs="Times New Roman"/>
          <w:bCs/>
          <w:color w:val="auto"/>
          <w:kern w:val="2"/>
          <w:szCs w:val="28"/>
          <w:highlight w:val="none"/>
          <w:lang w:val="zh-CN" w:eastAsia="zh-CN" w:bidi="ar-SA"/>
        </w:rPr>
        <w:t>污染物排放管理</w:t>
      </w:r>
      <w:r>
        <w:rPr>
          <w:color w:val="auto"/>
          <w:highlight w:val="none"/>
        </w:rPr>
        <w:tab/>
      </w:r>
      <w:r>
        <w:rPr>
          <w:color w:val="auto"/>
          <w:highlight w:val="none"/>
        </w:rPr>
        <w:fldChar w:fldCharType="begin"/>
      </w:r>
      <w:r>
        <w:rPr>
          <w:color w:val="auto"/>
          <w:highlight w:val="none"/>
        </w:rPr>
        <w:instrText xml:space="preserve"> PAGEREF _Toc5269 \h </w:instrText>
      </w:r>
      <w:r>
        <w:rPr>
          <w:color w:val="auto"/>
          <w:highlight w:val="none"/>
        </w:rPr>
        <w:fldChar w:fldCharType="separate"/>
      </w:r>
      <w:r>
        <w:rPr>
          <w:color w:val="auto"/>
          <w:highlight w:val="none"/>
        </w:rPr>
        <w:t>257</w:t>
      </w:r>
      <w:r>
        <w:rPr>
          <w:color w:val="auto"/>
          <w:highlight w:val="none"/>
        </w:rPr>
        <w:fldChar w:fldCharType="end"/>
      </w:r>
      <w:r>
        <w:rPr>
          <w:color w:val="auto"/>
          <w:highlight w:val="none"/>
        </w:rPr>
        <w:fldChar w:fldCharType="end"/>
      </w:r>
    </w:p>
    <w:p w14:paraId="38D5AFD1">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_Toc26220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zh-CN" w:eastAsia="zh-CN" w:bidi="ar-SA"/>
        </w:rPr>
        <w:t>.</w:t>
      </w:r>
      <w:r>
        <w:rPr>
          <w:rFonts w:hint="default"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zh-CN" w:eastAsia="zh-CN" w:bidi="ar-SA"/>
        </w:rPr>
        <w:t>污染物排放清单</w:t>
      </w:r>
      <w:r>
        <w:rPr>
          <w:color w:val="auto"/>
          <w:highlight w:val="none"/>
        </w:rPr>
        <w:tab/>
      </w:r>
      <w:r>
        <w:rPr>
          <w:color w:val="auto"/>
          <w:highlight w:val="none"/>
        </w:rPr>
        <w:fldChar w:fldCharType="begin"/>
      </w:r>
      <w:r>
        <w:rPr>
          <w:color w:val="auto"/>
          <w:highlight w:val="none"/>
        </w:rPr>
        <w:instrText xml:space="preserve"> PAGEREF _Toc26220 \h </w:instrText>
      </w:r>
      <w:r>
        <w:rPr>
          <w:color w:val="auto"/>
          <w:highlight w:val="none"/>
        </w:rPr>
        <w:fldChar w:fldCharType="separate"/>
      </w:r>
      <w:r>
        <w:rPr>
          <w:color w:val="auto"/>
          <w:highlight w:val="none"/>
        </w:rPr>
        <w:t>258</w:t>
      </w:r>
      <w:r>
        <w:rPr>
          <w:color w:val="auto"/>
          <w:highlight w:val="none"/>
        </w:rPr>
        <w:fldChar w:fldCharType="end"/>
      </w:r>
      <w:r>
        <w:rPr>
          <w:color w:val="auto"/>
          <w:highlight w:val="none"/>
        </w:rPr>
        <w:fldChar w:fldCharType="end"/>
      </w:r>
    </w:p>
    <w:p w14:paraId="70BC6F8F">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_Toc32048 </w:instrText>
      </w:r>
      <w:r>
        <w:rPr>
          <w:color w:val="auto"/>
          <w:highlight w:val="none"/>
        </w:rPr>
        <w:fldChar w:fldCharType="separate"/>
      </w:r>
      <w:r>
        <w:rPr>
          <w:rFonts w:hint="eastAsia" w:ascii="Times New Roman" w:hAnsi="Times New Roman" w:eastAsia="宋体" w:cs="Times New Roman"/>
          <w:bCs/>
          <w:color w:val="auto"/>
          <w:kern w:val="2"/>
          <w:szCs w:val="28"/>
          <w:highlight w:val="none"/>
          <w:lang w:val="en-US" w:eastAsia="zh-CN" w:bidi="ar-SA"/>
        </w:rPr>
        <w:t>8</w:t>
      </w:r>
      <w:r>
        <w:rPr>
          <w:rFonts w:hint="default" w:ascii="Times New Roman" w:hAnsi="Times New Roman" w:eastAsia="宋体" w:cs="Times New Roman"/>
          <w:bCs/>
          <w:color w:val="auto"/>
          <w:kern w:val="2"/>
          <w:szCs w:val="28"/>
          <w:highlight w:val="none"/>
          <w:lang w:val="zh-CN" w:eastAsia="zh-CN" w:bidi="ar-SA"/>
        </w:rPr>
        <w:t>.</w:t>
      </w:r>
      <w:r>
        <w:rPr>
          <w:rFonts w:hint="eastAsia" w:ascii="Times New Roman" w:hAnsi="Times New Roman" w:eastAsia="宋体" w:cs="Times New Roman"/>
          <w:bCs/>
          <w:color w:val="auto"/>
          <w:kern w:val="2"/>
          <w:szCs w:val="28"/>
          <w:highlight w:val="none"/>
          <w:lang w:val="en-US" w:eastAsia="zh-CN" w:bidi="ar-SA"/>
        </w:rPr>
        <w:t>9环境保护设施竣工验收管理</w:t>
      </w:r>
      <w:r>
        <w:rPr>
          <w:color w:val="auto"/>
          <w:highlight w:val="none"/>
        </w:rPr>
        <w:tab/>
      </w:r>
      <w:r>
        <w:rPr>
          <w:color w:val="auto"/>
          <w:highlight w:val="none"/>
        </w:rPr>
        <w:fldChar w:fldCharType="begin"/>
      </w:r>
      <w:r>
        <w:rPr>
          <w:color w:val="auto"/>
          <w:highlight w:val="none"/>
        </w:rPr>
        <w:instrText xml:space="preserve"> PAGEREF _Toc32048 \h </w:instrText>
      </w:r>
      <w:r>
        <w:rPr>
          <w:color w:val="auto"/>
          <w:highlight w:val="none"/>
        </w:rPr>
        <w:fldChar w:fldCharType="separate"/>
      </w:r>
      <w:r>
        <w:rPr>
          <w:color w:val="auto"/>
          <w:highlight w:val="none"/>
        </w:rPr>
        <w:t>260</w:t>
      </w:r>
      <w:r>
        <w:rPr>
          <w:color w:val="auto"/>
          <w:highlight w:val="none"/>
        </w:rPr>
        <w:fldChar w:fldCharType="end"/>
      </w:r>
      <w:r>
        <w:rPr>
          <w:color w:val="auto"/>
          <w:highlight w:val="none"/>
        </w:rPr>
        <w:fldChar w:fldCharType="end"/>
      </w:r>
    </w:p>
    <w:p w14:paraId="1BC4A43E">
      <w:pPr>
        <w:pStyle w:val="35"/>
        <w:tabs>
          <w:tab w:val="right" w:leader="dot" w:pos="8306"/>
        </w:tabs>
        <w:rPr>
          <w:color w:val="auto"/>
          <w:highlight w:val="none"/>
        </w:rPr>
      </w:pPr>
      <w:r>
        <w:rPr>
          <w:color w:val="auto"/>
          <w:highlight w:val="none"/>
        </w:rPr>
        <w:fldChar w:fldCharType="begin"/>
      </w:r>
      <w:r>
        <w:rPr>
          <w:color w:val="auto"/>
          <w:highlight w:val="none"/>
        </w:rPr>
        <w:instrText xml:space="preserve"> HYPERLINK \l _Toc18040 </w:instrText>
      </w:r>
      <w:r>
        <w:rPr>
          <w:color w:val="auto"/>
          <w:highlight w:val="none"/>
        </w:rPr>
        <w:fldChar w:fldCharType="separate"/>
      </w:r>
      <w:r>
        <w:rPr>
          <w:color w:val="auto"/>
          <w:highlight w:val="none"/>
        </w:rPr>
        <w:t>9环境影响评价结论及建议</w:t>
      </w:r>
      <w:r>
        <w:rPr>
          <w:color w:val="auto"/>
          <w:highlight w:val="none"/>
        </w:rPr>
        <w:tab/>
      </w:r>
      <w:r>
        <w:rPr>
          <w:color w:val="auto"/>
          <w:highlight w:val="none"/>
        </w:rPr>
        <w:fldChar w:fldCharType="begin"/>
      </w:r>
      <w:r>
        <w:rPr>
          <w:color w:val="auto"/>
          <w:highlight w:val="none"/>
        </w:rPr>
        <w:instrText xml:space="preserve"> PAGEREF _Toc18040 \h </w:instrText>
      </w:r>
      <w:r>
        <w:rPr>
          <w:color w:val="auto"/>
          <w:highlight w:val="none"/>
        </w:rPr>
        <w:fldChar w:fldCharType="separate"/>
      </w:r>
      <w:r>
        <w:rPr>
          <w:color w:val="auto"/>
          <w:highlight w:val="none"/>
        </w:rPr>
        <w:t>263</w:t>
      </w:r>
      <w:r>
        <w:rPr>
          <w:color w:val="auto"/>
          <w:highlight w:val="none"/>
        </w:rPr>
        <w:fldChar w:fldCharType="end"/>
      </w:r>
      <w:r>
        <w:rPr>
          <w:color w:val="auto"/>
          <w:highlight w:val="none"/>
        </w:rPr>
        <w:fldChar w:fldCharType="end"/>
      </w:r>
    </w:p>
    <w:p w14:paraId="037DF564">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_Toc27289 </w:instrText>
      </w:r>
      <w:r>
        <w:rPr>
          <w:color w:val="auto"/>
          <w:highlight w:val="none"/>
        </w:rPr>
        <w:fldChar w:fldCharType="separate"/>
      </w:r>
      <w:r>
        <w:rPr>
          <w:color w:val="auto"/>
          <w:highlight w:val="none"/>
        </w:rPr>
        <w:t>9.1结论</w:t>
      </w:r>
      <w:r>
        <w:rPr>
          <w:color w:val="auto"/>
          <w:highlight w:val="none"/>
        </w:rPr>
        <w:tab/>
      </w:r>
      <w:r>
        <w:rPr>
          <w:color w:val="auto"/>
          <w:highlight w:val="none"/>
        </w:rPr>
        <w:fldChar w:fldCharType="begin"/>
      </w:r>
      <w:r>
        <w:rPr>
          <w:color w:val="auto"/>
          <w:highlight w:val="none"/>
        </w:rPr>
        <w:instrText xml:space="preserve"> PAGEREF _Toc27289 \h </w:instrText>
      </w:r>
      <w:r>
        <w:rPr>
          <w:color w:val="auto"/>
          <w:highlight w:val="none"/>
        </w:rPr>
        <w:fldChar w:fldCharType="separate"/>
      </w:r>
      <w:r>
        <w:rPr>
          <w:color w:val="auto"/>
          <w:highlight w:val="none"/>
        </w:rPr>
        <w:t>263</w:t>
      </w:r>
      <w:r>
        <w:rPr>
          <w:color w:val="auto"/>
          <w:highlight w:val="none"/>
        </w:rPr>
        <w:fldChar w:fldCharType="end"/>
      </w:r>
      <w:r>
        <w:rPr>
          <w:color w:val="auto"/>
          <w:highlight w:val="none"/>
        </w:rPr>
        <w:fldChar w:fldCharType="end"/>
      </w:r>
    </w:p>
    <w:p w14:paraId="397CCFF4">
      <w:pPr>
        <w:pStyle w:val="41"/>
        <w:tabs>
          <w:tab w:val="right" w:leader="dot" w:pos="8306"/>
        </w:tabs>
        <w:rPr>
          <w:color w:val="auto"/>
          <w:highlight w:val="none"/>
        </w:rPr>
      </w:pPr>
      <w:r>
        <w:rPr>
          <w:color w:val="auto"/>
          <w:highlight w:val="none"/>
        </w:rPr>
        <w:fldChar w:fldCharType="begin"/>
      </w:r>
      <w:r>
        <w:rPr>
          <w:color w:val="auto"/>
          <w:highlight w:val="none"/>
        </w:rPr>
        <w:instrText xml:space="preserve"> HYPERLINK \l _Toc17467 </w:instrText>
      </w:r>
      <w:r>
        <w:rPr>
          <w:color w:val="auto"/>
          <w:highlight w:val="none"/>
        </w:rPr>
        <w:fldChar w:fldCharType="separate"/>
      </w:r>
      <w:r>
        <w:rPr>
          <w:color w:val="auto"/>
          <w:highlight w:val="none"/>
        </w:rPr>
        <w:t>9.2建议</w:t>
      </w:r>
      <w:r>
        <w:rPr>
          <w:color w:val="auto"/>
          <w:highlight w:val="none"/>
        </w:rPr>
        <w:tab/>
      </w:r>
      <w:r>
        <w:rPr>
          <w:color w:val="auto"/>
          <w:highlight w:val="none"/>
        </w:rPr>
        <w:fldChar w:fldCharType="begin"/>
      </w:r>
      <w:r>
        <w:rPr>
          <w:color w:val="auto"/>
          <w:highlight w:val="none"/>
        </w:rPr>
        <w:instrText xml:space="preserve"> PAGEREF _Toc17467 \h </w:instrText>
      </w:r>
      <w:r>
        <w:rPr>
          <w:color w:val="auto"/>
          <w:highlight w:val="none"/>
        </w:rPr>
        <w:fldChar w:fldCharType="separate"/>
      </w:r>
      <w:r>
        <w:rPr>
          <w:color w:val="auto"/>
          <w:highlight w:val="none"/>
        </w:rPr>
        <w:t>268</w:t>
      </w:r>
      <w:r>
        <w:rPr>
          <w:color w:val="auto"/>
          <w:highlight w:val="none"/>
        </w:rPr>
        <w:fldChar w:fldCharType="end"/>
      </w:r>
      <w:r>
        <w:rPr>
          <w:color w:val="auto"/>
          <w:highlight w:val="none"/>
        </w:rPr>
        <w:fldChar w:fldCharType="end"/>
      </w:r>
    </w:p>
    <w:p w14:paraId="6F9CBE10">
      <w:pPr>
        <w:rPr>
          <w:rFonts w:ascii="Times New Roman" w:hAnsi="Times New Roman" w:eastAsia="宋体"/>
          <w:b/>
          <w:bCs/>
          <w:color w:val="auto"/>
          <w:sz w:val="32"/>
          <w:szCs w:val="28"/>
          <w:highlight w:val="none"/>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r>
        <w:rPr>
          <w:color w:val="auto"/>
          <w:highlight w:val="none"/>
        </w:rPr>
        <w:fldChar w:fldCharType="end"/>
      </w:r>
    </w:p>
    <w:p w14:paraId="1A4D19D9">
      <w:pPr>
        <w:pStyle w:val="46"/>
        <w:rPr>
          <w:color w:val="auto"/>
          <w:highlight w:val="none"/>
        </w:rPr>
      </w:pPr>
      <w:bookmarkStart w:id="0" w:name="_Toc152921953"/>
      <w:bookmarkStart w:id="1" w:name="_Toc152922547"/>
      <w:bookmarkStart w:id="2" w:name="_Toc19318"/>
      <w:r>
        <w:rPr>
          <w:color w:val="auto"/>
          <w:highlight w:val="none"/>
        </w:rPr>
        <w:t>1概述</w:t>
      </w:r>
      <w:bookmarkEnd w:id="0"/>
      <w:bookmarkEnd w:id="1"/>
      <w:bookmarkEnd w:id="2"/>
    </w:p>
    <w:p w14:paraId="1E123A06">
      <w:pPr>
        <w:pStyle w:val="218"/>
        <w:spacing w:before="62" w:after="156"/>
        <w:rPr>
          <w:color w:val="auto"/>
          <w:highlight w:val="none"/>
        </w:rPr>
      </w:pPr>
      <w:bookmarkStart w:id="3" w:name="_Toc152921954"/>
      <w:bookmarkStart w:id="4" w:name="_Toc152922548"/>
      <w:bookmarkStart w:id="5" w:name="_Toc5367"/>
      <w:r>
        <w:rPr>
          <w:color w:val="auto"/>
          <w:highlight w:val="none"/>
        </w:rPr>
        <w:t>1.1项目由来</w:t>
      </w:r>
      <w:bookmarkEnd w:id="3"/>
      <w:bookmarkEnd w:id="4"/>
      <w:bookmarkEnd w:id="5"/>
    </w:p>
    <w:p w14:paraId="1EFA6423">
      <w:pPr>
        <w:snapToGrid w:val="0"/>
        <w:spacing w:line="360" w:lineRule="auto"/>
        <w:ind w:firstLine="480" w:firstLineChars="200"/>
        <w:rPr>
          <w:rFonts w:hint="eastAsia" w:ascii="Times New Roman" w:hAnsi="Times New Roman" w:eastAsia="宋体"/>
          <w:color w:val="auto"/>
          <w:sz w:val="24"/>
          <w:highlight w:val="none"/>
        </w:rPr>
      </w:pPr>
      <w:r>
        <w:rPr>
          <w:rFonts w:hint="eastAsia" w:ascii="Times New Roman" w:hAnsi="Times New Roman" w:eastAsia="宋体"/>
          <w:color w:val="auto"/>
          <w:sz w:val="24"/>
          <w:highlight w:val="none"/>
        </w:rPr>
        <w:t>安徽氢环能源技术有限公司是北京氢环能源技术有限公司（以下简称</w:t>
      </w:r>
      <w:r>
        <w:rPr>
          <w:rFonts w:hint="eastAsia"/>
          <w:color w:val="auto"/>
          <w:sz w:val="24"/>
          <w:highlight w:val="none"/>
          <w:lang w:eastAsia="zh-CN"/>
        </w:rPr>
        <w:t>“</w:t>
      </w:r>
      <w:r>
        <w:rPr>
          <w:rFonts w:hint="eastAsia" w:ascii="Times New Roman" w:hAnsi="Times New Roman" w:eastAsia="宋体"/>
          <w:color w:val="auto"/>
          <w:sz w:val="24"/>
          <w:highlight w:val="none"/>
        </w:rPr>
        <w:t>氢环能源</w:t>
      </w:r>
      <w:r>
        <w:rPr>
          <w:rFonts w:hint="eastAsia"/>
          <w:color w:val="auto"/>
          <w:sz w:val="24"/>
          <w:highlight w:val="none"/>
          <w:lang w:eastAsia="zh-CN"/>
        </w:rPr>
        <w:t>”</w:t>
      </w:r>
      <w:r>
        <w:rPr>
          <w:rFonts w:hint="eastAsia" w:ascii="Times New Roman" w:hAnsi="Times New Roman" w:eastAsia="宋体"/>
          <w:color w:val="auto"/>
          <w:sz w:val="24"/>
          <w:highlight w:val="none"/>
        </w:rPr>
        <w:t>）全资子公司。氢环能源是一家拥有核心装备技术的生物绿氢供应商，聚焦站内制氢业务，并探索零碳园区/零碳工厂等集中制氢业务。公司以基于美好环境治理的氢基能源的研发、设计、制造和技术服务为主营业务，为客户提供稳定、可靠、可控的绿色氢基能源和优质的技术服务。已自主研发了完整的生物质制氢工艺技术包，系统集成了厌氧发酵制沼技术、沼气提纯制氢技术、碳捕集利用与封存技术（CCUS）、制加氢一体化技术以及相关的催化剂、吸附剂等核心技术；同时开发了国内首创的箱式生物制氢装备（HEE-500），具有体积小、占地小、可移动、操作便捷、美观去</w:t>
      </w:r>
      <w:r>
        <w:rPr>
          <w:rFonts w:hint="eastAsia"/>
          <w:color w:val="auto"/>
          <w:sz w:val="24"/>
          <w:highlight w:val="none"/>
          <w:lang w:eastAsia="zh-CN"/>
        </w:rPr>
        <w:t>“</w:t>
      </w:r>
      <w:r>
        <w:rPr>
          <w:rFonts w:hint="eastAsia" w:ascii="Times New Roman" w:hAnsi="Times New Roman" w:eastAsia="宋体"/>
          <w:color w:val="auto"/>
          <w:sz w:val="24"/>
          <w:highlight w:val="none"/>
        </w:rPr>
        <w:t>化工化</w:t>
      </w:r>
      <w:r>
        <w:rPr>
          <w:rFonts w:hint="eastAsia"/>
          <w:color w:val="auto"/>
          <w:sz w:val="24"/>
          <w:highlight w:val="none"/>
          <w:lang w:eastAsia="zh-CN"/>
        </w:rPr>
        <w:t>”</w:t>
      </w:r>
      <w:r>
        <w:rPr>
          <w:rFonts w:hint="eastAsia" w:ascii="Times New Roman" w:hAnsi="Times New Roman" w:eastAsia="宋体"/>
          <w:color w:val="auto"/>
          <w:sz w:val="24"/>
          <w:highlight w:val="none"/>
        </w:rPr>
        <w:t>等特点，特别适合各类能源站站内制氢，省去运氢环节，有效降低成本，减少城市安全风险点。</w:t>
      </w:r>
    </w:p>
    <w:p w14:paraId="0FF0CB99">
      <w:pPr>
        <w:snapToGrid w:val="0"/>
        <w:spacing w:line="360" w:lineRule="auto"/>
        <w:ind w:firstLine="480" w:firstLineChars="200"/>
        <w:rPr>
          <w:rFonts w:hint="default"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rPr>
        <w:t>为助力绿色低碳发展、推动综合能源站建设，</w:t>
      </w:r>
      <w:r>
        <w:rPr>
          <w:rFonts w:hint="eastAsia" w:ascii="Times New Roman" w:hAnsi="Times New Roman" w:eastAsia="宋体" w:cs="Times New Roman"/>
          <w:color w:val="auto"/>
          <w:sz w:val="24"/>
          <w:highlight w:val="none"/>
        </w:rPr>
        <w:t>安徽氢环能源技术有限公司在安徽省淮南市田家庵区</w:t>
      </w:r>
      <w:r>
        <w:rPr>
          <w:rFonts w:hint="eastAsia" w:ascii="Times New Roman" w:hAnsi="Times New Roman" w:eastAsia="宋体"/>
          <w:color w:val="auto"/>
          <w:sz w:val="24"/>
          <w:highlight w:val="none"/>
        </w:rPr>
        <w:t>拟投资</w:t>
      </w:r>
      <w:r>
        <w:rPr>
          <w:rFonts w:hint="eastAsia" w:ascii="Times New Roman" w:hAnsi="Times New Roman" w:eastAsia="宋体"/>
          <w:color w:val="auto"/>
          <w:sz w:val="24"/>
          <w:highlight w:val="none"/>
          <w:lang w:val="en-US" w:eastAsia="zh-CN"/>
        </w:rPr>
        <w:t>50000</w:t>
      </w:r>
      <w:r>
        <w:rPr>
          <w:rFonts w:hint="eastAsia" w:ascii="Times New Roman" w:hAnsi="Times New Roman" w:eastAsia="宋体"/>
          <w:color w:val="auto"/>
          <w:sz w:val="24"/>
          <w:highlight w:val="none"/>
        </w:rPr>
        <w:t>万元建设</w:t>
      </w:r>
      <w:r>
        <w:rPr>
          <w:rFonts w:ascii="新宋体" w:hAnsi="新宋体" w:eastAsia="新宋体" w:cs="新宋体"/>
          <w:b w:val="0"/>
          <w:bCs w:val="0"/>
          <w:color w:val="auto"/>
          <w:sz w:val="24"/>
          <w:szCs w:val="24"/>
          <w:highlight w:val="none"/>
        </w:rPr>
        <w:t>安徽氢环生物质沼气便携式制氢设备制造及综合能源供应项目</w:t>
      </w:r>
      <w:r>
        <w:rPr>
          <w:rFonts w:hint="eastAsia" w:ascii="Times New Roman" w:hAnsi="Times New Roman" w:eastAsia="宋体"/>
          <w:color w:val="auto"/>
          <w:sz w:val="24"/>
          <w:highlight w:val="none"/>
        </w:rPr>
        <w:t>，</w:t>
      </w:r>
      <w:r>
        <w:rPr>
          <w:rFonts w:hint="default" w:ascii="Times New Roman" w:hAnsi="Times New Roman" w:eastAsia="宋体" w:cs="Times New Roman"/>
          <w:color w:val="auto"/>
          <w:sz w:val="24"/>
          <w:highlight w:val="none"/>
          <w:lang w:val="en-US" w:eastAsia="zh-CN"/>
        </w:rPr>
        <w:t>规划建设用地</w:t>
      </w:r>
      <w:r>
        <w:rPr>
          <w:rFonts w:hint="eastAsia" w:ascii="Times New Roman" w:hAnsi="Times New Roman" w:eastAsia="宋体" w:cs="Times New Roman"/>
          <w:color w:val="auto"/>
          <w:sz w:val="24"/>
          <w:highlight w:val="none"/>
          <w:lang w:val="en-US" w:eastAsia="zh-CN"/>
        </w:rPr>
        <w:t>15300m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vertAlign w:val="baseline"/>
          <w:lang w:val="en-US" w:eastAsia="zh-CN"/>
        </w:rPr>
        <w:t>（</w:t>
      </w:r>
      <w:r>
        <w:rPr>
          <w:rFonts w:hint="eastAsia" w:ascii="Times New Roman" w:hAnsi="Times New Roman" w:eastAsia="宋体" w:cs="Times New Roman"/>
          <w:color w:val="auto"/>
          <w:sz w:val="24"/>
          <w:highlight w:val="none"/>
          <w:lang w:val="en-US" w:eastAsia="zh-CN"/>
        </w:rPr>
        <w:t>22.95</w:t>
      </w:r>
      <w:r>
        <w:rPr>
          <w:rFonts w:hint="default" w:ascii="Times New Roman" w:hAnsi="Times New Roman" w:eastAsia="宋体" w:cs="Times New Roman"/>
          <w:color w:val="auto"/>
          <w:sz w:val="24"/>
          <w:highlight w:val="none"/>
          <w:lang w:val="en-US" w:eastAsia="zh-CN"/>
        </w:rPr>
        <w:t>亩</w:t>
      </w:r>
      <w:r>
        <w:rPr>
          <w:rFonts w:hint="eastAsia" w:ascii="Times New Roman" w:hAnsi="Times New Roman" w:eastAsia="宋体" w:cs="Times New Roman"/>
          <w:color w:val="auto"/>
          <w:sz w:val="24"/>
          <w:highlight w:val="none"/>
          <w:vertAlign w:val="baseline"/>
          <w:lang w:val="en-US" w:eastAsia="zh-CN"/>
        </w:rPr>
        <w:t>）</w:t>
      </w:r>
      <w:r>
        <w:rPr>
          <w:rFonts w:hint="eastAsia" w:cs="Times New Roman"/>
          <w:color w:val="auto"/>
          <w:sz w:val="24"/>
          <w:highlight w:val="none"/>
          <w:vertAlign w:val="baseline"/>
          <w:lang w:val="en-US" w:eastAsia="zh-CN"/>
        </w:rPr>
        <w:t>，其中包括站区用地面积12870.82</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vertAlign w:val="baseline"/>
          <w:lang w:val="en-US" w:eastAsia="zh-CN"/>
        </w:rPr>
        <w:t>（</w:t>
      </w:r>
      <w:r>
        <w:rPr>
          <w:rFonts w:hint="eastAsia" w:cs="Times New Roman"/>
          <w:color w:val="auto"/>
          <w:sz w:val="24"/>
          <w:highlight w:val="none"/>
          <w:lang w:val="en-US" w:eastAsia="zh-CN"/>
        </w:rPr>
        <w:t>19.3062</w:t>
      </w:r>
      <w:r>
        <w:rPr>
          <w:rFonts w:hint="default" w:ascii="Times New Roman" w:hAnsi="Times New Roman" w:eastAsia="宋体" w:cs="Times New Roman"/>
          <w:color w:val="auto"/>
          <w:sz w:val="24"/>
          <w:highlight w:val="none"/>
          <w:lang w:val="en-US" w:eastAsia="zh-CN"/>
        </w:rPr>
        <w:t>亩</w:t>
      </w:r>
      <w:r>
        <w:rPr>
          <w:rFonts w:hint="eastAsia" w:ascii="Times New Roman" w:hAnsi="Times New Roman" w:eastAsia="宋体" w:cs="Times New Roman"/>
          <w:color w:val="auto"/>
          <w:sz w:val="24"/>
          <w:highlight w:val="none"/>
          <w:vertAlign w:val="baseline"/>
          <w:lang w:val="en-US" w:eastAsia="zh-CN"/>
        </w:rPr>
        <w:t>）</w:t>
      </w:r>
      <w:r>
        <w:rPr>
          <w:rFonts w:hint="eastAsia" w:cs="Times New Roman"/>
          <w:color w:val="auto"/>
          <w:sz w:val="24"/>
          <w:highlight w:val="none"/>
          <w:vertAlign w:val="baseline"/>
          <w:lang w:val="en-US" w:eastAsia="zh-CN"/>
        </w:rPr>
        <w:t>，防护绿地面积2429.18</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vertAlign w:val="baseline"/>
          <w:lang w:val="en-US" w:eastAsia="zh-CN"/>
        </w:rPr>
        <w:t>（</w:t>
      </w:r>
      <w:r>
        <w:rPr>
          <w:rFonts w:hint="eastAsia" w:cs="Times New Roman"/>
          <w:color w:val="auto"/>
          <w:sz w:val="24"/>
          <w:highlight w:val="none"/>
          <w:lang w:val="en-US" w:eastAsia="zh-CN"/>
        </w:rPr>
        <w:t>3.64</w:t>
      </w:r>
      <w:r>
        <w:rPr>
          <w:rFonts w:hint="default" w:ascii="Times New Roman" w:hAnsi="Times New Roman" w:eastAsia="宋体" w:cs="Times New Roman"/>
          <w:color w:val="auto"/>
          <w:sz w:val="24"/>
          <w:highlight w:val="none"/>
          <w:lang w:val="en-US" w:eastAsia="zh-CN"/>
        </w:rPr>
        <w:t>亩</w:t>
      </w:r>
      <w:r>
        <w:rPr>
          <w:rFonts w:hint="eastAsia" w:ascii="Times New Roman" w:hAnsi="Times New Roman" w:eastAsia="宋体" w:cs="Times New Roman"/>
          <w:color w:val="auto"/>
          <w:sz w:val="24"/>
          <w:highlight w:val="none"/>
          <w:vertAlign w:val="baseline"/>
          <w:lang w:val="en-US" w:eastAsia="zh-CN"/>
        </w:rPr>
        <w:t>）</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olor w:val="auto"/>
          <w:sz w:val="24"/>
          <w:highlight w:val="none"/>
        </w:rPr>
        <w:t>建设一座集加油、</w:t>
      </w:r>
      <w:r>
        <w:rPr>
          <w:rFonts w:hint="eastAsia" w:ascii="Times New Roman" w:hAnsi="Times New Roman" w:eastAsia="宋体"/>
          <w:color w:val="auto"/>
          <w:sz w:val="24"/>
          <w:highlight w:val="none"/>
          <w:lang w:val="en-US" w:eastAsia="zh-CN"/>
        </w:rPr>
        <w:t>制氢</w:t>
      </w:r>
      <w:r>
        <w:rPr>
          <w:rFonts w:hint="eastAsia" w:ascii="Times New Roman" w:hAnsi="Times New Roman" w:eastAsia="宋体"/>
          <w:color w:val="auto"/>
          <w:sz w:val="24"/>
          <w:highlight w:val="none"/>
        </w:rPr>
        <w:t>加氢</w:t>
      </w:r>
      <w:r>
        <w:rPr>
          <w:rFonts w:hint="eastAsia" w:ascii="Times New Roman" w:hAnsi="Times New Roman" w:eastAsia="宋体"/>
          <w:color w:val="auto"/>
          <w:sz w:val="24"/>
          <w:highlight w:val="none"/>
          <w:lang w:eastAsia="zh-CN"/>
        </w:rPr>
        <w:t>（</w:t>
      </w:r>
      <w:r>
        <w:rPr>
          <w:rFonts w:hint="default" w:ascii="Times New Roman" w:hAnsi="Times New Roman" w:eastAsia="宋体" w:cs="Times New Roman"/>
          <w:color w:val="auto"/>
          <w:sz w:val="24"/>
          <w:highlight w:val="none"/>
          <w:lang w:val="en-US" w:eastAsia="zh-CN"/>
        </w:rPr>
        <w:t>含充装</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w:t>
      </w:r>
      <w:r>
        <w:rPr>
          <w:rFonts w:hint="default" w:ascii="Times New Roman" w:hAnsi="Times New Roman" w:eastAsia="宋体" w:cs="Times New Roman"/>
          <w:color w:val="auto"/>
          <w:sz w:val="24"/>
          <w:highlight w:val="none"/>
          <w:lang w:val="en-US" w:eastAsia="zh-CN"/>
        </w:rPr>
        <w:t>光电充</w:t>
      </w:r>
      <w:r>
        <w:rPr>
          <w:rFonts w:hint="eastAsia" w:ascii="Times New Roman" w:hAnsi="Times New Roman" w:eastAsia="宋体"/>
          <w:color w:val="auto"/>
          <w:sz w:val="24"/>
          <w:highlight w:val="none"/>
        </w:rPr>
        <w:t>一体的综合加能站</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主要内容包括：</w:t>
      </w:r>
      <w:r>
        <w:rPr>
          <w:rFonts w:hint="default" w:ascii="Times New Roman" w:hAnsi="Times New Roman" w:eastAsia="宋体" w:cs="Times New Roman"/>
          <w:color w:val="auto"/>
          <w:sz w:val="24"/>
          <w:highlight w:val="none"/>
          <w:lang w:val="en-US" w:eastAsia="zh-CN"/>
        </w:rPr>
        <w:t>新建规模为3t/d制加氢充装一体综合能源站</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olor w:val="auto"/>
          <w:sz w:val="24"/>
          <w:highlight w:val="none"/>
          <w:lang w:val="en-US" w:eastAsia="zh-CN"/>
        </w:rPr>
        <w:t>新增</w:t>
      </w:r>
      <w:r>
        <w:rPr>
          <w:rFonts w:hint="eastAsia" w:ascii="Times New Roman" w:hAnsi="Times New Roman" w:eastAsia="宋体"/>
          <w:color w:val="auto"/>
          <w:sz w:val="24"/>
          <w:highlight w:val="none"/>
        </w:rPr>
        <w:t>500Nm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/h箱式制氢设备三套</w:t>
      </w:r>
      <w:r>
        <w:rPr>
          <w:rFonts w:hint="eastAsia" w:ascii="Times New Roman" w:hAnsi="Times New Roman" w:eastAsia="宋体"/>
          <w:color w:val="auto"/>
          <w:sz w:val="24"/>
          <w:highlight w:val="none"/>
          <w:lang w:eastAsia="zh-CN"/>
        </w:rPr>
        <w:t>，年产氢气达</w:t>
      </w:r>
      <w:r>
        <w:rPr>
          <w:rFonts w:hint="eastAsia" w:ascii="Times New Roman" w:hAnsi="Times New Roman" w:eastAsia="宋体"/>
          <w:color w:val="auto"/>
          <w:sz w:val="24"/>
          <w:highlight w:val="none"/>
          <w:lang w:val="en-US" w:eastAsia="zh-CN"/>
        </w:rPr>
        <w:t>108</w:t>
      </w:r>
      <w:r>
        <w:rPr>
          <w:rFonts w:hint="eastAsia" w:ascii="Times New Roman" w:hAnsi="Times New Roman" w:eastAsia="宋体"/>
          <w:color w:val="auto"/>
          <w:sz w:val="24"/>
          <w:highlight w:val="none"/>
          <w:lang w:eastAsia="zh-CN"/>
        </w:rPr>
        <w:t>0万Nm</w:t>
      </w:r>
      <w:bookmarkStart w:id="677" w:name="_GoBack"/>
      <w:bookmarkEnd w:id="677"/>
      <w:r>
        <w:rPr>
          <w:rFonts w:hint="eastAsia" w:ascii="Times New Roman" w:hAnsi="Times New Roman" w:eastAsia="宋体"/>
          <w:color w:val="auto"/>
          <w:sz w:val="24"/>
          <w:highlight w:val="none"/>
          <w:vertAlign w:val="superscript"/>
          <w:lang w:eastAsia="zh-CN"/>
        </w:rPr>
        <w:t>3</w:t>
      </w:r>
      <w:r>
        <w:rPr>
          <w:rFonts w:hint="eastAsia" w:ascii="Times New Roman" w:hAnsi="Times New Roman" w:eastAsia="宋体"/>
          <w:color w:val="auto"/>
          <w:sz w:val="24"/>
          <w:highlight w:val="none"/>
        </w:rPr>
        <w:t>；光伏部分利用停车位区域采用BIPV形式打造光伏车棚，配置三台100</w:t>
      </w:r>
      <w:r>
        <w:rPr>
          <w:rFonts w:hint="eastAsia" w:ascii="Times New Roman" w:hAnsi="Times New Roman" w:eastAsia="宋体"/>
          <w:color w:val="auto"/>
          <w:sz w:val="24"/>
          <w:highlight w:val="none"/>
          <w:lang w:val="en-US" w:eastAsia="zh-CN"/>
        </w:rPr>
        <w:t>kW</w:t>
      </w:r>
      <w:r>
        <w:rPr>
          <w:rFonts w:hint="eastAsia" w:ascii="Times New Roman" w:hAnsi="Times New Roman" w:eastAsia="宋体"/>
          <w:color w:val="auto"/>
          <w:sz w:val="24"/>
          <w:highlight w:val="none"/>
        </w:rPr>
        <w:t>逆变器，接入箱变低压侧进行并网；下面布置60个快速充电桩车位。加油：1个30m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92号汽油储罐；1个30m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95号汽油储罐；1个30m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0号柴油储罐；</w:t>
      </w:r>
      <w:r>
        <w:rPr>
          <w:rFonts w:hint="eastAsia" w:ascii="Times New Roman" w:hAnsi="Times New Roman" w:eastAsia="宋体"/>
          <w:color w:val="auto"/>
          <w:sz w:val="24"/>
          <w:highlight w:val="none"/>
          <w:lang w:val="en-US" w:eastAsia="zh-CN"/>
        </w:rPr>
        <w:t>其他辅助性用房包括</w:t>
      </w:r>
      <w:r>
        <w:rPr>
          <w:rFonts w:hint="eastAsia" w:ascii="Times New Roman" w:hAnsi="Times New Roman" w:eastAsia="宋体"/>
          <w:color w:val="auto"/>
          <w:sz w:val="24"/>
          <w:highlight w:val="none"/>
        </w:rPr>
        <w:t>站房1座，包括营业厅、控制室、卫生间、办公室等。</w:t>
      </w:r>
      <w:r>
        <w:rPr>
          <w:rFonts w:hint="eastAsia"/>
          <w:color w:val="auto"/>
          <w:sz w:val="24"/>
          <w:highlight w:val="none"/>
          <w:lang w:val="en-US" w:eastAsia="zh-CN"/>
        </w:rPr>
        <w:t>因企业未规划“箱式生物沼气制氢成套设备生产线”设计方案，故本次环评内容不包括备案文件中的“箱式生物沼气制氢成套设备生产线”内容。</w:t>
      </w:r>
    </w:p>
    <w:p w14:paraId="2A34FCE5">
      <w:pPr>
        <w:snapToGrid w:val="0"/>
        <w:spacing w:line="360" w:lineRule="auto"/>
        <w:ind w:firstLine="480" w:firstLineChars="200"/>
        <w:rPr>
          <w:rFonts w:hint="default" w:ascii="Times New Roman" w:hAnsi="Times New Roman" w:eastAsia="宋体"/>
          <w:color w:val="auto"/>
          <w:sz w:val="24"/>
          <w:highlight w:val="none"/>
          <w:lang w:val="en-US" w:eastAsia="zh-CN"/>
        </w:rPr>
      </w:pPr>
      <w:r>
        <w:rPr>
          <w:rFonts w:ascii="Times New Roman" w:hAnsi="Times New Roman" w:eastAsia="宋体"/>
          <w:color w:val="auto"/>
          <w:sz w:val="24"/>
          <w:highlight w:val="none"/>
        </w:rPr>
        <w:t>202</w:t>
      </w:r>
      <w:r>
        <w:rPr>
          <w:rFonts w:hint="eastAsia" w:ascii="Times New Roman" w:hAnsi="Times New Roman" w:eastAsia="宋体"/>
          <w:color w:val="auto"/>
          <w:sz w:val="24"/>
          <w:highlight w:val="none"/>
          <w:lang w:val="en-US" w:eastAsia="zh-CN"/>
        </w:rPr>
        <w:t>5</w:t>
      </w:r>
      <w:r>
        <w:rPr>
          <w:rFonts w:ascii="Times New Roman" w:hAnsi="Times New Roman" w:eastAsia="宋体"/>
          <w:color w:val="auto"/>
          <w:sz w:val="24"/>
          <w:highlight w:val="none"/>
        </w:rPr>
        <w:t>年</w:t>
      </w:r>
      <w:r>
        <w:rPr>
          <w:rFonts w:hint="eastAsia" w:ascii="Times New Roman" w:hAnsi="Times New Roman" w:eastAsia="宋体"/>
          <w:color w:val="auto"/>
          <w:sz w:val="24"/>
          <w:highlight w:val="none"/>
          <w:lang w:val="en-US" w:eastAsia="zh-CN"/>
        </w:rPr>
        <w:t>4</w:t>
      </w:r>
      <w:r>
        <w:rPr>
          <w:rFonts w:ascii="Times New Roman" w:hAnsi="Times New Roman" w:eastAsia="宋体"/>
          <w:color w:val="auto"/>
          <w:sz w:val="24"/>
          <w:highlight w:val="none"/>
        </w:rPr>
        <w:t>月</w:t>
      </w:r>
      <w:r>
        <w:rPr>
          <w:rFonts w:hint="eastAsia" w:ascii="Times New Roman" w:hAnsi="Times New Roman" w:eastAsia="宋体"/>
          <w:color w:val="auto"/>
          <w:sz w:val="24"/>
          <w:highlight w:val="none"/>
          <w:lang w:val="en-US" w:eastAsia="zh-CN"/>
        </w:rPr>
        <w:t>30</w:t>
      </w:r>
      <w:r>
        <w:rPr>
          <w:rFonts w:ascii="Times New Roman" w:hAnsi="Times New Roman" w:eastAsia="宋体"/>
          <w:color w:val="auto"/>
          <w:sz w:val="24"/>
          <w:highlight w:val="none"/>
        </w:rPr>
        <w:t>日田家庵区发展改革委对此项目进行了</w:t>
      </w:r>
      <w:r>
        <w:rPr>
          <w:rFonts w:hint="eastAsia" w:ascii="Times New Roman" w:hAnsi="Times New Roman" w:eastAsia="宋体"/>
          <w:color w:val="auto"/>
          <w:sz w:val="24"/>
          <w:highlight w:val="none"/>
          <w:lang w:val="en-US" w:eastAsia="zh-CN"/>
        </w:rPr>
        <w:t>首次</w:t>
      </w:r>
      <w:r>
        <w:rPr>
          <w:rFonts w:ascii="Times New Roman" w:hAnsi="Times New Roman" w:eastAsia="宋体"/>
          <w:color w:val="auto"/>
          <w:sz w:val="24"/>
          <w:highlight w:val="none"/>
        </w:rPr>
        <w:t>备案，项目代码2504-340403-04-01-932201</w:t>
      </w:r>
      <w:r>
        <w:rPr>
          <w:rFonts w:hint="eastAsia" w:ascii="Times New Roman" w:hAnsi="Times New Roman" w:eastAsia="宋体"/>
          <w:color w:val="auto"/>
          <w:sz w:val="24"/>
          <w:highlight w:val="none"/>
        </w:rPr>
        <w:t>，</w:t>
      </w:r>
      <w:r>
        <w:rPr>
          <w:rFonts w:ascii="Times New Roman" w:hAnsi="Times New Roman" w:eastAsia="宋体"/>
          <w:color w:val="auto"/>
          <w:sz w:val="24"/>
          <w:highlight w:val="none"/>
        </w:rPr>
        <w:t>详见附件</w:t>
      </w:r>
      <w:r>
        <w:rPr>
          <w:rFonts w:hint="eastAsia" w:ascii="Times New Roman" w:hAnsi="Times New Roman" w:eastAsia="宋体"/>
          <w:color w:val="auto"/>
          <w:sz w:val="24"/>
          <w:highlight w:val="none"/>
          <w:lang w:val="en-US" w:eastAsia="zh-CN"/>
        </w:rPr>
        <w:t>2</w:t>
      </w:r>
      <w:r>
        <w:rPr>
          <w:rFonts w:ascii="Times New Roman" w:hAnsi="Times New Roman" w:eastAsia="宋体"/>
          <w:color w:val="auto"/>
          <w:sz w:val="24"/>
          <w:highlight w:val="none"/>
        </w:rPr>
        <w:t>。</w:t>
      </w:r>
    </w:p>
    <w:p w14:paraId="567BF457">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根据</w:t>
      </w:r>
      <w:r>
        <w:rPr>
          <w:rStyle w:val="397"/>
          <w:b w:val="0"/>
          <w:color w:val="auto"/>
          <w:highlight w:val="none"/>
        </w:rPr>
        <w:t>《中华人民共和国环境影响评价法》、国务院《建设项目环境保护管理条例</w:t>
      </w:r>
      <w:r>
        <w:rPr>
          <w:rStyle w:val="397"/>
          <w:rFonts w:hint="eastAsia"/>
          <w:b w:val="0"/>
          <w:color w:val="auto"/>
          <w:highlight w:val="none"/>
          <w:lang w:eastAsia="zh-CN"/>
        </w:rPr>
        <w:t>》《</w:t>
      </w:r>
      <w:r>
        <w:rPr>
          <w:rStyle w:val="397"/>
          <w:b w:val="0"/>
          <w:color w:val="auto"/>
          <w:highlight w:val="none"/>
        </w:rPr>
        <w:t>建设项目环境影响评价分类管理名录（2021年版）》有关规定，</w:t>
      </w:r>
      <w:r>
        <w:rPr>
          <w:rStyle w:val="397"/>
          <w:rFonts w:hint="eastAsia" w:eastAsia="宋体"/>
          <w:b w:val="0"/>
          <w:color w:val="auto"/>
          <w:highlight w:val="none"/>
          <w:lang w:val="en-US" w:eastAsia="zh-CN"/>
        </w:rPr>
        <w:t>项目须进行环境影响评价工作。</w:t>
      </w:r>
      <w:r>
        <w:rPr>
          <w:rStyle w:val="397"/>
          <w:b w:val="0"/>
          <w:color w:val="auto"/>
          <w:highlight w:val="none"/>
        </w:rPr>
        <w:t>本项目</w:t>
      </w:r>
      <w:r>
        <w:rPr>
          <w:rStyle w:val="397"/>
          <w:rFonts w:hint="eastAsia" w:eastAsia="宋体"/>
          <w:b w:val="0"/>
          <w:color w:val="auto"/>
          <w:highlight w:val="none"/>
          <w:lang w:val="en-US" w:eastAsia="zh-CN"/>
        </w:rPr>
        <w:t>生产制氢属于</w:t>
      </w:r>
      <w:r>
        <w:rPr>
          <w:rFonts w:hint="eastAsia" w:ascii="宋体" w:hAnsi="宋体" w:eastAsia="宋体" w:cs="宋体"/>
          <w:b w:val="0"/>
          <w:bCs w:val="0"/>
          <w:color w:val="auto"/>
          <w:sz w:val="24"/>
          <w:szCs w:val="24"/>
          <w:highlight w:val="none"/>
        </w:rPr>
        <w:t>《国民经济行业分类》（</w:t>
      </w:r>
      <w:r>
        <w:rPr>
          <w:rFonts w:ascii="Times New Roman" w:hAnsi="Times New Roman" w:eastAsia="Times New Roman" w:cs="Times New Roman"/>
          <w:b w:val="0"/>
          <w:bCs w:val="0"/>
          <w:color w:val="auto"/>
          <w:sz w:val="24"/>
          <w:szCs w:val="24"/>
          <w:highlight w:val="none"/>
        </w:rPr>
        <w:t>GB/T4754-2017</w:t>
      </w:r>
      <w:r>
        <w:rPr>
          <w:rFonts w:hint="eastAsia" w:ascii="宋体" w:hAnsi="宋体" w:eastAsia="宋体" w:cs="宋体"/>
          <w:b w:val="0"/>
          <w:bCs w:val="0"/>
          <w:color w:val="auto"/>
          <w:sz w:val="24"/>
          <w:szCs w:val="24"/>
          <w:highlight w:val="none"/>
        </w:rPr>
        <w:t>）及</w:t>
      </w:r>
      <w:r>
        <w:rPr>
          <w:rFonts w:hint="default" w:ascii="Times New Roman" w:hAnsi="Times New Roman" w:eastAsia="Times New Roman" w:cs="Times New Roman"/>
          <w:b w:val="0"/>
          <w:bCs w:val="0"/>
          <w:color w:val="auto"/>
          <w:sz w:val="24"/>
          <w:szCs w:val="24"/>
          <w:highlight w:val="none"/>
        </w:rPr>
        <w:t>2019</w:t>
      </w:r>
      <w:r>
        <w:rPr>
          <w:rFonts w:hint="eastAsia" w:ascii="宋体" w:hAnsi="宋体" w:eastAsia="宋体" w:cs="宋体"/>
          <w:b w:val="0"/>
          <w:bCs w:val="0"/>
          <w:color w:val="auto"/>
          <w:sz w:val="24"/>
          <w:szCs w:val="24"/>
          <w:highlight w:val="none"/>
        </w:rPr>
        <w:t>年修改单中的</w:t>
      </w:r>
      <w:r>
        <w:rPr>
          <w:rFonts w:hint="eastAsia" w:ascii="宋体" w:hAnsi="宋体" w:cs="宋体"/>
          <w:b w:val="0"/>
          <w:bCs w:val="0"/>
          <w:color w:val="auto"/>
          <w:sz w:val="24"/>
          <w:szCs w:val="24"/>
          <w:highlight w:val="none"/>
          <w:lang w:eastAsia="zh-CN"/>
        </w:rPr>
        <w:t>“</w:t>
      </w:r>
      <w:r>
        <w:rPr>
          <w:rFonts w:hint="default" w:ascii="Times New Roman" w:hAnsi="Times New Roman" w:eastAsia="Times New Roman" w:cs="Times New Roman"/>
          <w:b w:val="0"/>
          <w:bCs w:val="0"/>
          <w:color w:val="auto"/>
          <w:sz w:val="24"/>
          <w:szCs w:val="24"/>
          <w:highlight w:val="none"/>
        </w:rPr>
        <w:t>C2619</w:t>
      </w:r>
      <w:r>
        <w:rPr>
          <w:rFonts w:hint="eastAsia" w:ascii="宋体" w:hAnsi="宋体" w:eastAsia="宋体" w:cs="宋体"/>
          <w:b w:val="0"/>
          <w:bCs w:val="0"/>
          <w:color w:val="auto"/>
          <w:sz w:val="24"/>
          <w:szCs w:val="24"/>
          <w:highlight w:val="none"/>
        </w:rPr>
        <w:t>其他基础化学原料制造</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lang w:eastAsia="zh-CN"/>
        </w:rPr>
        <w:t>，</w:t>
      </w:r>
      <w:r>
        <w:rPr>
          <w:rStyle w:val="397"/>
          <w:rFonts w:hint="eastAsia" w:ascii="Times New Roman" w:hAnsi="Times New Roman" w:eastAsia="宋体" w:cs="Times New Roman"/>
          <w:b w:val="0"/>
          <w:bCs/>
          <w:color w:val="auto"/>
          <w:highlight w:val="none"/>
          <w:lang w:eastAsia="zh-CN"/>
        </w:rPr>
        <w:t>对照《建设项目环境影响评价分类管理名录》（2021版）</w:t>
      </w:r>
      <w:r>
        <w:rPr>
          <w:rStyle w:val="397"/>
          <w:rFonts w:ascii="Times New Roman" w:hAnsi="Times New Roman" w:eastAsia="宋体" w:cs="Times New Roman"/>
          <w:b w:val="0"/>
          <w:bCs/>
          <w:color w:val="auto"/>
          <w:highlight w:val="none"/>
        </w:rPr>
        <w:t>属于</w:t>
      </w:r>
      <w:r>
        <w:rPr>
          <w:rStyle w:val="397"/>
          <w:rFonts w:hint="eastAsia"/>
          <w:b w:val="0"/>
          <w:color w:val="auto"/>
          <w:highlight w:val="none"/>
          <w:lang w:eastAsia="zh-CN"/>
        </w:rPr>
        <w:t>“</w:t>
      </w:r>
      <w:r>
        <w:rPr>
          <w:rStyle w:val="397"/>
          <w:rFonts w:hint="eastAsia"/>
          <w:b w:val="0"/>
          <w:color w:val="auto"/>
          <w:highlight w:val="none"/>
        </w:rPr>
        <w:t>二十三、化学原料和化学制品制造业</w:t>
      </w:r>
      <w:r>
        <w:rPr>
          <w:rStyle w:val="397"/>
          <w:b w:val="0"/>
          <w:color w:val="auto"/>
          <w:highlight w:val="none"/>
        </w:rPr>
        <w:t>26</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rPr>
        <w:t>全部（含研发中试；不含单纯物理分离、物理提纯、混合、分装的）</w:t>
      </w:r>
      <w:r>
        <w:rPr>
          <w:rFonts w:hint="eastAsia"/>
          <w:color w:val="auto"/>
          <w:sz w:val="24"/>
          <w:highlight w:val="none"/>
          <w:lang w:eastAsia="zh-CN"/>
        </w:rPr>
        <w:t>”</w:t>
      </w:r>
      <w:r>
        <w:rPr>
          <w:rFonts w:ascii="Times New Roman" w:hAnsi="Times New Roman" w:eastAsia="宋体"/>
          <w:color w:val="auto"/>
          <w:sz w:val="24"/>
          <w:highlight w:val="none"/>
        </w:rPr>
        <w:t>，需编制环境影响评价报告书。</w:t>
      </w:r>
      <w:r>
        <w:rPr>
          <w:rFonts w:hint="eastAsia" w:ascii="Times New Roman" w:hAnsi="Times New Roman" w:eastAsia="宋体" w:cs="Times New Roman"/>
          <w:color w:val="auto"/>
          <w:sz w:val="24"/>
          <w:highlight w:val="none"/>
        </w:rPr>
        <w:t>安徽氢环能源技术有限公司</w:t>
      </w:r>
      <w:r>
        <w:rPr>
          <w:rFonts w:ascii="Times New Roman" w:hAnsi="Times New Roman" w:eastAsia="宋体"/>
          <w:color w:val="auto"/>
          <w:sz w:val="24"/>
          <w:highlight w:val="none"/>
        </w:rPr>
        <w:t>于202</w:t>
      </w:r>
      <w:r>
        <w:rPr>
          <w:rFonts w:hint="eastAsia" w:ascii="Times New Roman" w:hAnsi="Times New Roman" w:eastAsia="宋体"/>
          <w:color w:val="auto"/>
          <w:sz w:val="24"/>
          <w:highlight w:val="none"/>
          <w:lang w:val="en-US" w:eastAsia="zh-CN"/>
        </w:rPr>
        <w:t>5</w:t>
      </w:r>
      <w:r>
        <w:rPr>
          <w:rFonts w:ascii="Times New Roman" w:hAnsi="Times New Roman" w:eastAsia="宋体"/>
          <w:color w:val="auto"/>
          <w:sz w:val="24"/>
          <w:highlight w:val="none"/>
        </w:rPr>
        <w:t>年</w:t>
      </w:r>
      <w:r>
        <w:rPr>
          <w:rFonts w:hint="eastAsia" w:ascii="Times New Roman" w:hAnsi="Times New Roman" w:eastAsia="宋体"/>
          <w:color w:val="auto"/>
          <w:sz w:val="24"/>
          <w:highlight w:val="none"/>
          <w:lang w:val="en-US" w:eastAsia="zh-CN"/>
        </w:rPr>
        <w:t>7</w:t>
      </w:r>
      <w:r>
        <w:rPr>
          <w:rFonts w:ascii="Times New Roman" w:hAnsi="Times New Roman" w:eastAsia="宋体"/>
          <w:color w:val="auto"/>
          <w:sz w:val="24"/>
          <w:highlight w:val="none"/>
        </w:rPr>
        <w:t>月委托安徽</w:t>
      </w:r>
      <w:r>
        <w:rPr>
          <w:rFonts w:hint="eastAsia" w:ascii="Times New Roman" w:hAnsi="Times New Roman" w:eastAsia="宋体"/>
          <w:color w:val="auto"/>
          <w:sz w:val="24"/>
          <w:highlight w:val="none"/>
          <w:lang w:val="en-US" w:eastAsia="zh-CN"/>
        </w:rPr>
        <w:t>环晟环保科技</w:t>
      </w:r>
      <w:r>
        <w:rPr>
          <w:rFonts w:ascii="Times New Roman" w:hAnsi="Times New Roman" w:eastAsia="宋体"/>
          <w:color w:val="auto"/>
          <w:sz w:val="24"/>
          <w:highlight w:val="none"/>
        </w:rPr>
        <w:t>有限公司承担本项目环境影响报告书的编制工作。我单位接受委托后，对拟建项目所在地进行了现场踏勘，收集和核实该项目有关资料，据此并依据国家相关环保法规、标准及相关技术导则，编制了《</w:t>
      </w:r>
      <w:r>
        <w:rPr>
          <w:rFonts w:hint="eastAsia" w:ascii="Times New Roman" w:hAnsi="Times New Roman" w:eastAsia="宋体" w:cs="Times New Roman"/>
          <w:color w:val="auto"/>
          <w:sz w:val="24"/>
          <w:highlight w:val="none"/>
        </w:rPr>
        <w:t>安徽氢环能源技术有限公司</w:t>
      </w:r>
      <w:r>
        <w:rPr>
          <w:rFonts w:ascii="新宋体" w:hAnsi="新宋体" w:eastAsia="新宋体" w:cs="新宋体"/>
          <w:b w:val="0"/>
          <w:bCs w:val="0"/>
          <w:color w:val="auto"/>
          <w:sz w:val="24"/>
          <w:szCs w:val="24"/>
          <w:highlight w:val="none"/>
        </w:rPr>
        <w:t>安徽氢环生物质沼气便携式制氢设备制造及综合能源供应项目</w:t>
      </w:r>
      <w:r>
        <w:rPr>
          <w:rFonts w:ascii="Times New Roman" w:hAnsi="Times New Roman" w:eastAsia="宋体"/>
          <w:color w:val="auto"/>
          <w:sz w:val="24"/>
          <w:highlight w:val="none"/>
        </w:rPr>
        <w:t>环境影响报告书》，现报请当地环保行政主管部门审批。</w:t>
      </w:r>
    </w:p>
    <w:p w14:paraId="0FC1E866">
      <w:pPr>
        <w:pStyle w:val="218"/>
        <w:spacing w:before="62" w:after="156"/>
        <w:rPr>
          <w:rStyle w:val="201"/>
          <w:rFonts w:cs="Times New Roman"/>
          <w:b/>
          <w:color w:val="auto"/>
          <w:highlight w:val="none"/>
        </w:rPr>
      </w:pPr>
      <w:bookmarkStart w:id="6" w:name="_Toc7634"/>
      <w:bookmarkStart w:id="7" w:name="_Toc152921955"/>
      <w:bookmarkStart w:id="8" w:name="_Toc152922549"/>
      <w:r>
        <w:rPr>
          <w:rStyle w:val="201"/>
          <w:rFonts w:cs="Times New Roman"/>
          <w:b/>
          <w:color w:val="auto"/>
          <w:highlight w:val="none"/>
        </w:rPr>
        <w:t>1.2项目特点</w:t>
      </w:r>
      <w:bookmarkEnd w:id="6"/>
      <w:bookmarkEnd w:id="7"/>
      <w:bookmarkEnd w:id="8"/>
    </w:p>
    <w:p w14:paraId="232D3CE8">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本建设项目具有以下特点：</w:t>
      </w:r>
    </w:p>
    <w:p w14:paraId="6549E553">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（1）本项目为新建项目，建设地点位于</w:t>
      </w:r>
      <w:r>
        <w:rPr>
          <w:rFonts w:hint="eastAsia" w:ascii="Times New Roman" w:hAnsi="Times New Roman" w:eastAsia="宋体" w:cs="Times New Roman"/>
          <w:color w:val="auto"/>
          <w:sz w:val="24"/>
          <w:highlight w:val="none"/>
        </w:rPr>
        <w:t>安徽省淮南市田家庵区</w:t>
      </w:r>
      <w:r>
        <w:rPr>
          <w:rFonts w:hint="eastAsia" w:ascii="Times New Roman" w:hAnsi="Times New Roman" w:eastAsia="宋体" w:cs="Times New Roman"/>
          <w:color w:val="auto"/>
          <w:sz w:val="24"/>
          <w:highlight w:val="none"/>
          <w:lang w:val="en-US" w:eastAsia="zh-CN"/>
        </w:rPr>
        <w:t>滁新高速与合淮路交叉口往南400m</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征用土地15300m</w:t>
      </w:r>
      <w:r>
        <w:rPr>
          <w:rFonts w:hint="eastAsia" w:ascii="Times New Roman" w:hAnsi="Times New Roman" w:eastAsia="宋体"/>
          <w:color w:val="auto"/>
          <w:sz w:val="24"/>
          <w:highlight w:val="none"/>
          <w:vertAlign w:val="superscript"/>
          <w:lang w:val="en-US" w:eastAsia="zh-CN"/>
        </w:rPr>
        <w:t>2</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建设制加氢（含充装）、光电充、加油站合建站</w:t>
      </w:r>
      <w:r>
        <w:rPr>
          <w:rFonts w:ascii="Times New Roman" w:hAnsi="Times New Roman" w:eastAsia="宋体"/>
          <w:color w:val="auto"/>
          <w:sz w:val="24"/>
          <w:highlight w:val="none"/>
        </w:rPr>
        <w:t>。</w:t>
      </w:r>
    </w:p>
    <w:p w14:paraId="0647A03A">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（2）本项目生产</w:t>
      </w:r>
      <w:r>
        <w:rPr>
          <w:rFonts w:hint="eastAsia" w:ascii="Times New Roman" w:hAnsi="Times New Roman" w:eastAsia="宋体"/>
          <w:color w:val="auto"/>
          <w:sz w:val="24"/>
          <w:highlight w:val="none"/>
          <w:lang w:val="en-US" w:eastAsia="zh-CN"/>
        </w:rPr>
        <w:t>营运</w:t>
      </w:r>
      <w:r>
        <w:rPr>
          <w:rFonts w:hint="eastAsia"/>
          <w:color w:val="auto"/>
          <w:sz w:val="24"/>
          <w:highlight w:val="none"/>
          <w:lang w:val="en-US" w:eastAsia="zh-CN"/>
        </w:rPr>
        <w:t>期间</w:t>
      </w:r>
      <w:r>
        <w:rPr>
          <w:rFonts w:ascii="Times New Roman" w:hAnsi="Times New Roman" w:eastAsia="宋体"/>
          <w:color w:val="auto"/>
          <w:sz w:val="24"/>
          <w:highlight w:val="none"/>
        </w:rPr>
        <w:t>产生的废气（</w:t>
      </w:r>
      <w:r>
        <w:rPr>
          <w:rFonts w:hint="eastAsia" w:ascii="Times New Roman" w:hAnsi="Times New Roman" w:eastAsia="宋体"/>
          <w:color w:val="auto"/>
          <w:sz w:val="24"/>
          <w:highlight w:val="none"/>
          <w:lang w:val="en-US" w:eastAsia="zh-CN"/>
        </w:rPr>
        <w:t>非甲烷总烃</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甲烷、颗粒物、SO</w:t>
      </w:r>
      <w:r>
        <w:rPr>
          <w:rFonts w:hint="eastAsia" w:ascii="Times New Roman" w:hAnsi="Times New Roman" w:eastAsia="宋体"/>
          <w:color w:val="auto"/>
          <w:sz w:val="24"/>
          <w:highlight w:val="none"/>
          <w:vertAlign w:val="subscript"/>
          <w:lang w:val="en-US" w:eastAsia="zh-CN"/>
        </w:rPr>
        <w:t>2</w:t>
      </w:r>
      <w:r>
        <w:rPr>
          <w:rFonts w:hint="eastAsia" w:ascii="Times New Roman" w:hAnsi="Times New Roman" w:eastAsia="宋体"/>
          <w:color w:val="auto"/>
          <w:sz w:val="24"/>
          <w:highlight w:val="none"/>
          <w:lang w:val="en-US" w:eastAsia="zh-CN"/>
        </w:rPr>
        <w:t>、NOx等</w:t>
      </w:r>
      <w:r>
        <w:rPr>
          <w:rFonts w:ascii="Times New Roman" w:hAnsi="Times New Roman" w:eastAsia="宋体"/>
          <w:color w:val="auto"/>
          <w:sz w:val="24"/>
          <w:highlight w:val="none"/>
        </w:rPr>
        <w:t>）需收集处理达标后排放。</w:t>
      </w:r>
    </w:p>
    <w:p w14:paraId="049C22ED">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（3）本项目生产</w:t>
      </w:r>
      <w:r>
        <w:rPr>
          <w:rFonts w:hint="eastAsia" w:ascii="Times New Roman" w:hAnsi="Times New Roman" w:eastAsia="宋体"/>
          <w:color w:val="auto"/>
          <w:sz w:val="24"/>
          <w:highlight w:val="none"/>
          <w:lang w:val="en-US" w:eastAsia="zh-CN"/>
        </w:rPr>
        <w:t>营运期</w:t>
      </w:r>
      <w:r>
        <w:rPr>
          <w:rFonts w:ascii="Times New Roman" w:hAnsi="Times New Roman" w:eastAsia="宋体"/>
          <w:color w:val="auto"/>
          <w:sz w:val="24"/>
          <w:highlight w:val="none"/>
        </w:rPr>
        <w:t>过程中</w:t>
      </w:r>
      <w:r>
        <w:rPr>
          <w:rFonts w:hint="eastAsia" w:ascii="Times New Roman" w:hAnsi="Times New Roman" w:eastAsia="宋体"/>
          <w:color w:val="auto"/>
          <w:sz w:val="24"/>
          <w:highlight w:val="none"/>
          <w:lang w:val="en-US" w:eastAsia="zh-CN"/>
        </w:rPr>
        <w:t>产生生活污水</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经化粪池预处理</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、脱盐水制备产生浓水、蒸汽发生器排污水等均排入市政污水管网接管田家庵经济开发区污水处理站，洗车废水经隔油沉淀处理后排入市政污水管网接管田家庵经济开发区污水处理站</w:t>
      </w:r>
      <w:r>
        <w:rPr>
          <w:rFonts w:ascii="Times New Roman" w:hAnsi="Times New Roman" w:eastAsia="宋体"/>
          <w:color w:val="auto"/>
          <w:sz w:val="24"/>
          <w:highlight w:val="none"/>
        </w:rPr>
        <w:t>。</w:t>
      </w:r>
    </w:p>
    <w:p w14:paraId="130643CD">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（4）本项目生产过程中产生的固废需分类收集后，</w:t>
      </w:r>
      <w:r>
        <w:rPr>
          <w:rFonts w:hint="eastAsia" w:ascii="Times New Roman" w:hAnsi="Times New Roman" w:eastAsia="宋体"/>
          <w:color w:val="auto"/>
          <w:sz w:val="24"/>
          <w:highlight w:val="none"/>
          <w:lang w:val="en-US" w:eastAsia="zh-CN"/>
        </w:rPr>
        <w:t>危险废物</w:t>
      </w:r>
      <w:r>
        <w:rPr>
          <w:rFonts w:ascii="Times New Roman" w:hAnsi="Times New Roman" w:eastAsia="宋体"/>
          <w:color w:val="auto"/>
          <w:sz w:val="24"/>
          <w:highlight w:val="none"/>
        </w:rPr>
        <w:t>委托具有危废处置资质的单位进行处置。</w:t>
      </w:r>
    </w:p>
    <w:p w14:paraId="3679A668">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（5）</w:t>
      </w:r>
      <w:r>
        <w:rPr>
          <w:rFonts w:hint="default" w:ascii="Times New Roman" w:hAnsi="Times New Roman" w:eastAsia="宋体" w:cs="Times New Roman"/>
          <w:b w:val="0"/>
          <w:bCs w:val="0"/>
          <w:color w:val="auto"/>
          <w:sz w:val="24"/>
          <w:szCs w:val="24"/>
          <w:highlight w:val="none"/>
        </w:rPr>
        <w:t>根据</w:t>
      </w:r>
      <w:r>
        <w:rPr>
          <w:rFonts w:hint="eastAsia" w:cs="Times New Roman"/>
          <w:b w:val="0"/>
          <w:bCs w:val="0"/>
          <w:color w:val="auto"/>
          <w:sz w:val="24"/>
          <w:szCs w:val="24"/>
          <w:highlight w:val="none"/>
          <w:lang w:eastAsia="zh-CN"/>
        </w:rPr>
        <w:t>《产业结构调整指导目录（2024年本）》</w:t>
      </w:r>
      <w:r>
        <w:rPr>
          <w:rFonts w:hint="default" w:ascii="Times New Roman" w:hAnsi="Times New Roman" w:eastAsia="宋体" w:cs="Times New Roman"/>
          <w:b w:val="0"/>
          <w:bCs w:val="0"/>
          <w:color w:val="auto"/>
          <w:sz w:val="24"/>
          <w:szCs w:val="24"/>
          <w:highlight w:val="none"/>
        </w:rPr>
        <w:t>，本项目</w:t>
      </w:r>
      <w:r>
        <w:rPr>
          <w:rFonts w:hint="default" w:ascii="Times New Roman" w:hAnsi="Times New Roman" w:eastAsia="宋体" w:cs="Times New Roman"/>
          <w:b w:val="0"/>
          <w:bCs w:val="0"/>
          <w:color w:val="auto"/>
          <w:sz w:val="24"/>
          <w:szCs w:val="24"/>
          <w:highlight w:val="none"/>
          <w:lang w:val="en-US" w:eastAsia="zh-CN"/>
        </w:rPr>
        <w:t>属于</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rPr>
        <w:t>第一类鼓励类</w:t>
      </w:r>
      <w:r>
        <w:rPr>
          <w:rFonts w:hint="default" w:ascii="Times New Roman" w:hAnsi="Times New Roman" w:eastAsia="宋体" w:cs="Times New Roman"/>
          <w:b w:val="0"/>
          <w:bCs w:val="0"/>
          <w:color w:val="auto"/>
          <w:sz w:val="24"/>
          <w:szCs w:val="24"/>
          <w:highlight w:val="none"/>
          <w:lang w:eastAsia="zh-CN"/>
        </w:rPr>
        <w:t>—五、新能源—4．氢能技术与应用：可再生能源制氢、运氢及高密度储氢技术开发应用及设备制造，加氢站及车用清洁替代燃料加注站，移动新能源技术开发及应用，新一代氢燃料电池技术研发与应用，可再生能源制氢，液态、固态和气态储氢，管道拖车运氢，管道输氢，加氢站，氢电耦合等氢能技术推广应用</w:t>
      </w:r>
      <w:r>
        <w:rPr>
          <w:rFonts w:hint="eastAsia" w:cs="Times New Roman"/>
          <w:b w:val="0"/>
          <w:bCs w:val="0"/>
          <w:color w:val="auto"/>
          <w:sz w:val="24"/>
          <w:szCs w:val="24"/>
          <w:highlight w:val="none"/>
          <w:lang w:val="en-US" w:eastAsia="zh-CN"/>
        </w:rPr>
        <w:t>”</w:t>
      </w:r>
      <w:r>
        <w:rPr>
          <w:rFonts w:ascii="宋体" w:hAnsi="宋体" w:eastAsia="宋体" w:cs="宋体"/>
          <w:b w:val="0"/>
          <w:bCs w:val="0"/>
          <w:color w:val="auto"/>
          <w:sz w:val="24"/>
          <w:szCs w:val="24"/>
          <w:highlight w:val="none"/>
        </w:rPr>
        <w:t>，生产技术为</w:t>
      </w:r>
      <w:r>
        <w:rPr>
          <w:rFonts w:hint="eastAsia" w:ascii="宋体" w:hAnsi="宋体" w:eastAsia="宋体" w:cs="宋体"/>
          <w:b w:val="0"/>
          <w:bCs w:val="0"/>
          <w:color w:val="auto"/>
          <w:sz w:val="24"/>
          <w:szCs w:val="24"/>
          <w:highlight w:val="none"/>
          <w:lang w:val="en-US" w:eastAsia="zh-CN"/>
        </w:rPr>
        <w:t>成熟</w:t>
      </w:r>
      <w:r>
        <w:rPr>
          <w:rFonts w:ascii="宋体" w:hAnsi="宋体" w:eastAsia="宋体" w:cs="宋体"/>
          <w:b w:val="0"/>
          <w:bCs w:val="0"/>
          <w:color w:val="auto"/>
          <w:sz w:val="24"/>
          <w:szCs w:val="24"/>
          <w:highlight w:val="none"/>
        </w:rPr>
        <w:t>工艺路线，生产过程安全性高、生产效率大幅度提升，运行成本也相对降低，工艺成熟、先进，能耗、物耗均较低，使产</w:t>
      </w:r>
      <w:r>
        <w:rPr>
          <w:rFonts w:hint="eastAsia" w:ascii="宋体" w:hAnsi="宋体" w:cs="宋体"/>
          <w:b w:val="0"/>
          <w:bCs w:val="0"/>
          <w:color w:val="auto"/>
          <w:sz w:val="24"/>
          <w:szCs w:val="24"/>
          <w:highlight w:val="none"/>
          <w:lang w:eastAsia="zh-CN"/>
        </w:rPr>
        <w:t>品具</w:t>
      </w:r>
      <w:r>
        <w:rPr>
          <w:rFonts w:ascii="宋体" w:hAnsi="宋体" w:eastAsia="宋体" w:cs="宋体"/>
          <w:b w:val="0"/>
          <w:bCs w:val="0"/>
          <w:color w:val="auto"/>
          <w:sz w:val="24"/>
          <w:szCs w:val="24"/>
          <w:highlight w:val="none"/>
        </w:rPr>
        <w:t>有较强的市场竞争力。</w:t>
      </w:r>
    </w:p>
    <w:p w14:paraId="3A0DF6CA">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本项目位于</w:t>
      </w:r>
      <w:r>
        <w:rPr>
          <w:rFonts w:hint="eastAsia" w:ascii="Times New Roman" w:hAnsi="Times New Roman" w:eastAsia="宋体" w:cs="Times New Roman"/>
          <w:color w:val="auto"/>
          <w:sz w:val="24"/>
          <w:highlight w:val="none"/>
        </w:rPr>
        <w:t>安徽省淮南市田家庵区</w:t>
      </w:r>
      <w:r>
        <w:rPr>
          <w:rFonts w:hint="eastAsia" w:ascii="Times New Roman" w:hAnsi="Times New Roman" w:eastAsia="宋体" w:cs="Times New Roman"/>
          <w:color w:val="auto"/>
          <w:sz w:val="24"/>
          <w:highlight w:val="none"/>
          <w:lang w:val="en-US" w:eastAsia="zh-CN"/>
        </w:rPr>
        <w:t>滁新高速与合淮路交叉口往南400m</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站区</w:t>
      </w:r>
      <w:r>
        <w:rPr>
          <w:rFonts w:ascii="Times New Roman" w:hAnsi="Times New Roman" w:eastAsia="宋体"/>
          <w:color w:val="auto"/>
          <w:sz w:val="24"/>
          <w:highlight w:val="none"/>
        </w:rPr>
        <w:t>周边无国家级、省级和市级重点文物保护单位。</w:t>
      </w:r>
    </w:p>
    <w:p w14:paraId="40436746">
      <w:pPr>
        <w:pStyle w:val="218"/>
        <w:spacing w:before="62" w:after="156"/>
        <w:rPr>
          <w:rStyle w:val="201"/>
          <w:rFonts w:cs="Times New Roman"/>
          <w:b/>
          <w:color w:val="auto"/>
          <w:highlight w:val="none"/>
        </w:rPr>
      </w:pPr>
      <w:bookmarkStart w:id="9" w:name="_Toc11866"/>
      <w:bookmarkStart w:id="10" w:name="_Toc152921956"/>
      <w:bookmarkStart w:id="11" w:name="_Toc152922550"/>
      <w:r>
        <w:rPr>
          <w:rStyle w:val="201"/>
          <w:rFonts w:cs="Times New Roman"/>
          <w:b/>
          <w:color w:val="auto"/>
          <w:highlight w:val="none"/>
        </w:rPr>
        <w:t>1.3评价工作过程</w:t>
      </w:r>
      <w:bookmarkEnd w:id="9"/>
      <w:bookmarkEnd w:id="10"/>
      <w:bookmarkEnd w:id="11"/>
    </w:p>
    <w:p w14:paraId="57725AAF">
      <w:pPr>
        <w:snapToGrid w:val="0"/>
        <w:spacing w:line="360" w:lineRule="auto"/>
        <w:ind w:firstLine="476" w:firstLineChars="200"/>
        <w:rPr>
          <w:rFonts w:ascii="Times New Roman" w:hAnsi="Times New Roman" w:eastAsia="宋体"/>
          <w:color w:val="auto"/>
          <w:spacing w:val="-1"/>
          <w:kern w:val="0"/>
          <w:sz w:val="24"/>
          <w:highlight w:val="none"/>
        </w:rPr>
      </w:pPr>
      <w:r>
        <w:rPr>
          <w:rFonts w:ascii="Times New Roman" w:hAnsi="Times New Roman" w:eastAsia="宋体"/>
          <w:color w:val="auto"/>
          <w:spacing w:val="-1"/>
          <w:kern w:val="0"/>
          <w:sz w:val="24"/>
          <w:highlight w:val="none"/>
        </w:rPr>
        <w:t>根据《环境影响评价技术导则-总纲》（HJ2.1-2016）等相关技术规范的要求，本项目环评影响评价的工作分为三个阶段，即调查分析和工作方案制定阶段，分析论证和预测评价阶段，环境影响评价报告书编制阶段，环境影响评价过程如下：</w:t>
      </w:r>
    </w:p>
    <w:p w14:paraId="193B41C5">
      <w:pPr>
        <w:numPr>
          <w:ilvl w:val="0"/>
          <w:numId w:val="0"/>
        </w:numPr>
        <w:snapToGrid w:val="0"/>
        <w:spacing w:line="360" w:lineRule="auto"/>
        <w:ind w:left="0" w:leftChars="0" w:firstLine="480" w:firstLineChars="200"/>
        <w:rPr>
          <w:rFonts w:ascii="Times New Roman" w:hAnsi="Times New Roman" w:eastAsia="宋体"/>
          <w:color w:val="auto"/>
          <w:kern w:val="0"/>
          <w:sz w:val="24"/>
          <w:highlight w:val="none"/>
        </w:rPr>
      </w:pPr>
      <w:r>
        <w:rPr>
          <w:rFonts w:hint="default" w:ascii="Wingdings" w:hAnsi="Wingdings" w:eastAsia="宋体"/>
          <w:color w:val="auto"/>
          <w:kern w:val="0"/>
          <w:sz w:val="24"/>
          <w:szCs w:val="22"/>
          <w:highlight w:val="none"/>
          <w:lang w:val="en-US" w:eastAsia="zh-CN" w:bidi="ar-SA"/>
        </w:rPr>
        <w:t></w:t>
      </w:r>
      <w:r>
        <w:rPr>
          <w:rFonts w:ascii="Times New Roman" w:hAnsi="Times New Roman" w:eastAsia="宋体"/>
          <w:color w:val="auto"/>
          <w:kern w:val="0"/>
          <w:sz w:val="24"/>
          <w:highlight w:val="none"/>
        </w:rPr>
        <w:t>202</w:t>
      </w:r>
      <w:r>
        <w:rPr>
          <w:rFonts w:hint="eastAsia" w:ascii="Times New Roman" w:hAnsi="Times New Roman" w:eastAsia="宋体"/>
          <w:color w:val="auto"/>
          <w:kern w:val="0"/>
          <w:sz w:val="24"/>
          <w:highlight w:val="none"/>
          <w:lang w:val="en-US" w:eastAsia="zh-CN"/>
        </w:rPr>
        <w:t>5</w:t>
      </w:r>
      <w:r>
        <w:rPr>
          <w:rFonts w:ascii="Times New Roman" w:hAnsi="Times New Roman" w:eastAsia="宋体"/>
          <w:color w:val="auto"/>
          <w:spacing w:val="-29"/>
          <w:kern w:val="0"/>
          <w:sz w:val="24"/>
          <w:highlight w:val="none"/>
        </w:rPr>
        <w:t>年</w:t>
      </w:r>
      <w:r>
        <w:rPr>
          <w:rFonts w:hint="eastAsia"/>
          <w:color w:val="auto"/>
          <w:kern w:val="0"/>
          <w:sz w:val="24"/>
          <w:highlight w:val="none"/>
          <w:lang w:val="en-US" w:eastAsia="zh-CN"/>
        </w:rPr>
        <w:t>9</w:t>
      </w:r>
      <w:r>
        <w:rPr>
          <w:rFonts w:ascii="Times New Roman" w:hAnsi="Times New Roman" w:eastAsia="宋体"/>
          <w:color w:val="auto"/>
          <w:spacing w:val="-1"/>
          <w:kern w:val="0"/>
          <w:sz w:val="24"/>
          <w:highlight w:val="none"/>
        </w:rPr>
        <w:t>月</w:t>
      </w:r>
      <w:r>
        <w:rPr>
          <w:rFonts w:hint="eastAsia" w:ascii="Times New Roman" w:hAnsi="Times New Roman" w:eastAsia="宋体"/>
          <w:color w:val="auto"/>
          <w:spacing w:val="-1"/>
          <w:kern w:val="0"/>
          <w:sz w:val="24"/>
          <w:highlight w:val="none"/>
          <w:lang w:val="en-US" w:eastAsia="zh-CN"/>
        </w:rPr>
        <w:t>15</w:t>
      </w:r>
      <w:r>
        <w:rPr>
          <w:rFonts w:ascii="Times New Roman" w:hAnsi="Times New Roman" w:eastAsia="宋体"/>
          <w:color w:val="auto"/>
          <w:spacing w:val="-1"/>
          <w:kern w:val="0"/>
          <w:sz w:val="24"/>
          <w:highlight w:val="none"/>
        </w:rPr>
        <w:t>日，</w:t>
      </w:r>
      <w:r>
        <w:rPr>
          <w:rFonts w:ascii="Times New Roman" w:hAnsi="Times New Roman" w:eastAsia="宋体"/>
          <w:color w:val="auto"/>
          <w:sz w:val="24"/>
          <w:highlight w:val="none"/>
        </w:rPr>
        <w:t>安徽</w:t>
      </w:r>
      <w:r>
        <w:rPr>
          <w:rFonts w:hint="eastAsia" w:ascii="Times New Roman" w:hAnsi="Times New Roman" w:eastAsia="宋体"/>
          <w:color w:val="auto"/>
          <w:sz w:val="24"/>
          <w:highlight w:val="none"/>
          <w:lang w:val="en-US" w:eastAsia="zh-CN"/>
        </w:rPr>
        <w:t>环晟环保科技</w:t>
      </w:r>
      <w:r>
        <w:rPr>
          <w:rFonts w:ascii="Times New Roman" w:hAnsi="Times New Roman" w:eastAsia="宋体"/>
          <w:color w:val="auto"/>
          <w:sz w:val="24"/>
          <w:highlight w:val="none"/>
        </w:rPr>
        <w:t>有限公司</w:t>
      </w:r>
      <w:r>
        <w:rPr>
          <w:rFonts w:ascii="Times New Roman" w:hAnsi="Times New Roman" w:eastAsia="宋体"/>
          <w:color w:val="auto"/>
          <w:spacing w:val="-1"/>
          <w:kern w:val="0"/>
          <w:sz w:val="24"/>
          <w:highlight w:val="none"/>
        </w:rPr>
        <w:t>受</w:t>
      </w:r>
      <w:r>
        <w:rPr>
          <w:rFonts w:hint="eastAsia" w:ascii="Times New Roman" w:hAnsi="Times New Roman" w:eastAsia="宋体" w:cs="Times New Roman"/>
          <w:color w:val="auto"/>
          <w:sz w:val="24"/>
          <w:highlight w:val="none"/>
        </w:rPr>
        <w:t>安徽氢环能源技术有限公司</w:t>
      </w:r>
      <w:r>
        <w:rPr>
          <w:rFonts w:ascii="Times New Roman" w:hAnsi="Times New Roman" w:eastAsia="宋体"/>
          <w:color w:val="auto"/>
          <w:kern w:val="0"/>
          <w:sz w:val="24"/>
          <w:highlight w:val="none"/>
        </w:rPr>
        <w:t>委托，承担《</w:t>
      </w:r>
      <w:r>
        <w:rPr>
          <w:rFonts w:hint="eastAsia" w:ascii="Times New Roman" w:hAnsi="Times New Roman" w:eastAsia="宋体" w:cs="Times New Roman"/>
          <w:color w:val="auto"/>
          <w:sz w:val="24"/>
          <w:highlight w:val="none"/>
        </w:rPr>
        <w:t>安徽氢环能源技术有限公司</w:t>
      </w:r>
      <w:r>
        <w:rPr>
          <w:rFonts w:ascii="新宋体" w:hAnsi="新宋体" w:eastAsia="新宋体" w:cs="新宋体"/>
          <w:b w:val="0"/>
          <w:bCs w:val="0"/>
          <w:color w:val="auto"/>
          <w:sz w:val="24"/>
          <w:szCs w:val="24"/>
          <w:highlight w:val="none"/>
        </w:rPr>
        <w:t>安徽氢环生物质沼气便携式制氢设备制造及综合能源供应项目</w:t>
      </w:r>
      <w:r>
        <w:rPr>
          <w:rFonts w:ascii="Times New Roman" w:hAnsi="Times New Roman" w:eastAsia="宋体"/>
          <w:color w:val="auto"/>
          <w:kern w:val="0"/>
          <w:sz w:val="24"/>
          <w:highlight w:val="none"/>
        </w:rPr>
        <w:t>环境影响报告书》的编制工作。</w:t>
      </w:r>
    </w:p>
    <w:p w14:paraId="0ED073C8">
      <w:pPr>
        <w:numPr>
          <w:ilvl w:val="0"/>
          <w:numId w:val="0"/>
        </w:numPr>
        <w:snapToGrid w:val="0"/>
        <w:spacing w:line="360" w:lineRule="auto"/>
        <w:ind w:left="0" w:leftChars="0" w:firstLine="480" w:firstLineChars="200"/>
        <w:jc w:val="left"/>
        <w:rPr>
          <w:rFonts w:ascii="Times New Roman" w:hAnsi="Times New Roman" w:eastAsia="宋体"/>
          <w:color w:val="auto"/>
          <w:kern w:val="0"/>
          <w:sz w:val="24"/>
          <w:highlight w:val="none"/>
        </w:rPr>
      </w:pPr>
      <w:r>
        <w:rPr>
          <w:rFonts w:hint="default" w:ascii="Wingdings" w:hAnsi="Wingdings" w:eastAsia="宋体"/>
          <w:color w:val="auto"/>
          <w:kern w:val="0"/>
          <w:sz w:val="24"/>
          <w:szCs w:val="22"/>
          <w:highlight w:val="none"/>
          <w:lang w:val="en-US" w:eastAsia="zh-CN" w:bidi="ar-SA"/>
        </w:rPr>
        <w:t></w:t>
      </w:r>
      <w:r>
        <w:rPr>
          <w:rFonts w:ascii="Times New Roman" w:hAnsi="Times New Roman" w:eastAsia="宋体"/>
          <w:color w:val="auto"/>
          <w:kern w:val="0"/>
          <w:sz w:val="24"/>
          <w:highlight w:val="none"/>
        </w:rPr>
        <w:t>202</w:t>
      </w:r>
      <w:r>
        <w:rPr>
          <w:rFonts w:hint="eastAsia"/>
          <w:color w:val="auto"/>
          <w:kern w:val="0"/>
          <w:sz w:val="24"/>
          <w:highlight w:val="none"/>
          <w:lang w:val="en-US" w:eastAsia="zh-CN"/>
        </w:rPr>
        <w:t>5</w:t>
      </w:r>
      <w:r>
        <w:rPr>
          <w:rFonts w:ascii="Times New Roman" w:hAnsi="Times New Roman" w:eastAsia="宋体"/>
          <w:color w:val="auto"/>
          <w:kern w:val="0"/>
          <w:sz w:val="24"/>
          <w:highlight w:val="none"/>
        </w:rPr>
        <w:t>年</w:t>
      </w:r>
      <w:r>
        <w:rPr>
          <w:rFonts w:hint="eastAsia"/>
          <w:color w:val="auto"/>
          <w:kern w:val="0"/>
          <w:sz w:val="24"/>
          <w:highlight w:val="none"/>
          <w:lang w:val="en-US" w:eastAsia="zh-CN"/>
        </w:rPr>
        <w:t>9</w:t>
      </w:r>
      <w:r>
        <w:rPr>
          <w:rFonts w:ascii="Times New Roman" w:hAnsi="Times New Roman" w:eastAsia="宋体"/>
          <w:color w:val="auto"/>
          <w:kern w:val="0"/>
          <w:sz w:val="24"/>
          <w:highlight w:val="none"/>
        </w:rPr>
        <w:t>月</w:t>
      </w:r>
      <w:r>
        <w:rPr>
          <w:rFonts w:hint="eastAsia"/>
          <w:color w:val="auto"/>
          <w:kern w:val="0"/>
          <w:sz w:val="24"/>
          <w:highlight w:val="none"/>
          <w:lang w:val="en-US" w:eastAsia="zh-CN"/>
        </w:rPr>
        <w:t>18</w:t>
      </w:r>
      <w:r>
        <w:rPr>
          <w:rFonts w:ascii="Times New Roman" w:hAnsi="Times New Roman" w:eastAsia="宋体"/>
          <w:color w:val="auto"/>
          <w:kern w:val="0"/>
          <w:sz w:val="24"/>
          <w:highlight w:val="none"/>
        </w:rPr>
        <w:t>日，</w:t>
      </w:r>
      <w:r>
        <w:rPr>
          <w:rFonts w:hint="eastAsia" w:ascii="Times New Roman" w:hAnsi="Times New Roman" w:eastAsia="宋体"/>
          <w:color w:val="auto"/>
          <w:kern w:val="0"/>
          <w:sz w:val="24"/>
          <w:szCs w:val="21"/>
          <w:highlight w:val="none"/>
          <w:lang w:eastAsia="zh-CN"/>
        </w:rPr>
        <w:t>安徽氢环生物质沼气便携式制氢设备制造及综合能源供应项目</w:t>
      </w:r>
      <w:r>
        <w:rPr>
          <w:rFonts w:ascii="Times New Roman" w:hAnsi="Times New Roman" w:eastAsia="宋体"/>
          <w:color w:val="auto"/>
          <w:kern w:val="0"/>
          <w:sz w:val="24"/>
          <w:highlight w:val="none"/>
        </w:rPr>
        <w:t>在</w:t>
      </w:r>
      <w:r>
        <w:rPr>
          <w:rFonts w:hint="eastAsia"/>
          <w:color w:val="auto"/>
          <w:kern w:val="0"/>
          <w:sz w:val="24"/>
          <w:highlight w:val="none"/>
          <w:lang w:val="en-US" w:eastAsia="zh-CN"/>
        </w:rPr>
        <w:t>淮南市</w:t>
      </w:r>
      <w:r>
        <w:rPr>
          <w:rFonts w:hint="eastAsia" w:ascii="Times New Roman" w:hAnsi="Times New Roman" w:eastAsia="宋体"/>
          <w:color w:val="auto"/>
          <w:kern w:val="0"/>
          <w:sz w:val="24"/>
          <w:highlight w:val="none"/>
          <w:lang w:val="en-US" w:eastAsia="zh-CN"/>
        </w:rPr>
        <w:t>人民政府网</w:t>
      </w:r>
      <w:r>
        <w:rPr>
          <w:rFonts w:ascii="Times New Roman" w:hAnsi="Times New Roman" w:eastAsia="宋体"/>
          <w:color w:val="auto"/>
          <w:kern w:val="0"/>
          <w:sz w:val="24"/>
          <w:highlight w:val="none"/>
        </w:rPr>
        <w:t>进行了第一次公示。</w:t>
      </w:r>
    </w:p>
    <w:p w14:paraId="65604A40">
      <w:pPr>
        <w:numPr>
          <w:ilvl w:val="0"/>
          <w:numId w:val="0"/>
        </w:numPr>
        <w:snapToGrid w:val="0"/>
        <w:spacing w:line="360" w:lineRule="auto"/>
        <w:ind w:left="0" w:leftChars="0" w:firstLine="480" w:firstLineChars="200"/>
        <w:rPr>
          <w:rFonts w:ascii="Times New Roman" w:hAnsi="Times New Roman" w:eastAsia="宋体"/>
          <w:color w:val="auto"/>
          <w:kern w:val="0"/>
          <w:sz w:val="24"/>
          <w:highlight w:val="none"/>
        </w:rPr>
      </w:pPr>
      <w:r>
        <w:rPr>
          <w:rFonts w:hint="default" w:ascii="Wingdings" w:hAnsi="Wingdings" w:eastAsia="宋体"/>
          <w:color w:val="auto"/>
          <w:kern w:val="0"/>
          <w:sz w:val="24"/>
          <w:szCs w:val="22"/>
          <w:highlight w:val="none"/>
          <w:lang w:val="en-US" w:eastAsia="zh-CN" w:bidi="ar-SA"/>
        </w:rPr>
        <w:t></w:t>
      </w:r>
      <w:r>
        <w:rPr>
          <w:rFonts w:ascii="Times New Roman" w:hAnsi="Times New Roman" w:eastAsia="宋体"/>
          <w:color w:val="auto"/>
          <w:kern w:val="0"/>
          <w:sz w:val="24"/>
          <w:highlight w:val="none"/>
        </w:rPr>
        <w:t>202</w:t>
      </w:r>
      <w:r>
        <w:rPr>
          <w:rFonts w:hint="eastAsia"/>
          <w:color w:val="auto"/>
          <w:kern w:val="0"/>
          <w:sz w:val="24"/>
          <w:highlight w:val="none"/>
          <w:lang w:val="en-US" w:eastAsia="zh-CN"/>
        </w:rPr>
        <w:t>5</w:t>
      </w:r>
      <w:r>
        <w:rPr>
          <w:rFonts w:ascii="Times New Roman" w:hAnsi="Times New Roman" w:eastAsia="宋体"/>
          <w:color w:val="auto"/>
          <w:kern w:val="0"/>
          <w:sz w:val="24"/>
          <w:highlight w:val="none"/>
        </w:rPr>
        <w:t>年</w:t>
      </w:r>
      <w:r>
        <w:rPr>
          <w:rFonts w:hint="eastAsia"/>
          <w:color w:val="auto"/>
          <w:kern w:val="0"/>
          <w:sz w:val="24"/>
          <w:highlight w:val="none"/>
          <w:lang w:val="en-US" w:eastAsia="zh-CN"/>
        </w:rPr>
        <w:t>9</w:t>
      </w:r>
      <w:r>
        <w:rPr>
          <w:rFonts w:ascii="Times New Roman" w:hAnsi="Times New Roman" w:eastAsia="宋体"/>
          <w:color w:val="auto"/>
          <w:kern w:val="0"/>
          <w:sz w:val="24"/>
          <w:highlight w:val="none"/>
        </w:rPr>
        <w:t>月，根据可行性研究报告及项目单位提供的其他技术资料进行工程分析，确定评价思路、评价重点及各环境要素评价等级。</w:t>
      </w:r>
    </w:p>
    <w:p w14:paraId="393612BC">
      <w:pPr>
        <w:numPr>
          <w:ilvl w:val="0"/>
          <w:numId w:val="0"/>
        </w:numPr>
        <w:snapToGrid w:val="0"/>
        <w:spacing w:line="360" w:lineRule="auto"/>
        <w:ind w:left="0" w:leftChars="0" w:firstLine="480" w:firstLineChars="200"/>
        <w:jc w:val="left"/>
        <w:rPr>
          <w:rFonts w:ascii="Times New Roman" w:hAnsi="Times New Roman" w:eastAsia="宋体"/>
          <w:color w:val="auto"/>
          <w:kern w:val="0"/>
          <w:sz w:val="24"/>
          <w:highlight w:val="none"/>
        </w:rPr>
      </w:pPr>
      <w:r>
        <w:rPr>
          <w:rFonts w:hint="default" w:ascii="Wingdings" w:hAnsi="Wingdings" w:eastAsia="宋体"/>
          <w:color w:val="auto"/>
          <w:kern w:val="0"/>
          <w:sz w:val="24"/>
          <w:szCs w:val="22"/>
          <w:highlight w:val="none"/>
          <w:lang w:val="en-US" w:eastAsia="zh-CN" w:bidi="ar-SA"/>
        </w:rPr>
        <w:t></w:t>
      </w:r>
      <w:r>
        <w:rPr>
          <w:rFonts w:ascii="Times New Roman" w:hAnsi="Times New Roman" w:eastAsia="宋体"/>
          <w:color w:val="auto"/>
          <w:kern w:val="0"/>
          <w:sz w:val="24"/>
          <w:highlight w:val="none"/>
        </w:rPr>
        <w:t>202</w:t>
      </w:r>
      <w:r>
        <w:rPr>
          <w:rFonts w:hint="eastAsia" w:ascii="Times New Roman" w:hAnsi="Times New Roman" w:eastAsia="宋体"/>
          <w:color w:val="auto"/>
          <w:kern w:val="0"/>
          <w:sz w:val="24"/>
          <w:highlight w:val="none"/>
          <w:lang w:val="en-US" w:eastAsia="zh-CN"/>
        </w:rPr>
        <w:t>5</w:t>
      </w:r>
      <w:r>
        <w:rPr>
          <w:rFonts w:ascii="Times New Roman" w:hAnsi="Times New Roman" w:eastAsia="宋体"/>
          <w:color w:val="auto"/>
          <w:kern w:val="0"/>
          <w:sz w:val="24"/>
          <w:highlight w:val="none"/>
        </w:rPr>
        <w:t>年</w:t>
      </w:r>
      <w:r>
        <w:rPr>
          <w:rFonts w:hint="eastAsia"/>
          <w:color w:val="auto"/>
          <w:kern w:val="0"/>
          <w:sz w:val="24"/>
          <w:highlight w:val="none"/>
          <w:lang w:val="en-US" w:eastAsia="zh-CN"/>
        </w:rPr>
        <w:t>10</w:t>
      </w:r>
      <w:r>
        <w:rPr>
          <w:rFonts w:ascii="Times New Roman" w:hAnsi="Times New Roman" w:eastAsia="宋体"/>
          <w:color w:val="auto"/>
          <w:kern w:val="0"/>
          <w:sz w:val="24"/>
          <w:highlight w:val="none"/>
        </w:rPr>
        <w:t>月</w:t>
      </w:r>
      <w:r>
        <w:rPr>
          <w:rFonts w:hint="eastAsia"/>
          <w:color w:val="auto"/>
          <w:kern w:val="0"/>
          <w:sz w:val="24"/>
          <w:highlight w:val="none"/>
          <w:lang w:val="en-US" w:eastAsia="zh-CN"/>
        </w:rPr>
        <w:t>9日，</w:t>
      </w:r>
      <w:r>
        <w:rPr>
          <w:rFonts w:hint="eastAsia" w:ascii="Times New Roman" w:hAnsi="Times New Roman" w:eastAsia="宋体"/>
          <w:color w:val="auto"/>
          <w:kern w:val="0"/>
          <w:sz w:val="24"/>
          <w:szCs w:val="21"/>
          <w:highlight w:val="none"/>
          <w:lang w:eastAsia="zh-CN"/>
        </w:rPr>
        <w:t>安徽氢环生物质沼气便携式制氢设备制造及综合能源供应项目</w:t>
      </w:r>
      <w:r>
        <w:rPr>
          <w:color w:val="auto"/>
          <w:sz w:val="24"/>
          <w:highlight w:val="none"/>
        </w:rPr>
        <w:t>在</w:t>
      </w:r>
      <w:r>
        <w:rPr>
          <w:rFonts w:hint="eastAsia"/>
          <w:color w:val="auto"/>
          <w:sz w:val="24"/>
          <w:highlight w:val="none"/>
          <w:lang w:val="en-US" w:eastAsia="zh-CN"/>
        </w:rPr>
        <w:t>淮南市</w:t>
      </w:r>
      <w:r>
        <w:rPr>
          <w:color w:val="auto"/>
          <w:sz w:val="24"/>
          <w:highlight w:val="none"/>
        </w:rPr>
        <w:t>人民政府网站进行了本项目环境影响评价公众参与第二次信息公示。</w:t>
      </w:r>
      <w:r>
        <w:rPr>
          <w:rFonts w:hint="eastAsia"/>
          <w:color w:val="auto"/>
          <w:sz w:val="24"/>
          <w:highlight w:val="none"/>
        </w:rPr>
        <w:t>并公开了环境影响报告书征求意见稿全文的网络链接及查阅纸质报告书的方式和途径、征求意见的公众范围、公众意见表的网络链接、公众提出意见的方式和途径以及公众提出意见的起止时间。公示期间，建设单位进行了两次报纸公示。</w:t>
      </w:r>
    </w:p>
    <w:p w14:paraId="4FB48A0E">
      <w:pPr>
        <w:numPr>
          <w:ilvl w:val="0"/>
          <w:numId w:val="0"/>
        </w:numPr>
        <w:snapToGrid w:val="0"/>
        <w:spacing w:line="360" w:lineRule="auto"/>
        <w:ind w:left="0" w:leftChars="0" w:firstLine="480" w:firstLineChars="200"/>
        <w:rPr>
          <w:rFonts w:ascii="Times New Roman" w:hAnsi="Times New Roman" w:eastAsia="宋体"/>
          <w:b/>
          <w:color w:val="auto"/>
          <w:kern w:val="0"/>
          <w:sz w:val="24"/>
          <w:highlight w:val="none"/>
        </w:rPr>
      </w:pPr>
      <w:r>
        <w:rPr>
          <w:rFonts w:hint="default" w:ascii="Wingdings" w:hAnsi="Wingdings" w:eastAsia="宋体"/>
          <w:color w:val="auto"/>
          <w:kern w:val="0"/>
          <w:sz w:val="24"/>
          <w:szCs w:val="22"/>
          <w:highlight w:val="none"/>
          <w:lang w:val="en-US" w:eastAsia="zh-CN" w:bidi="ar-SA"/>
        </w:rPr>
        <w:t></w:t>
      </w:r>
      <w:r>
        <w:rPr>
          <w:color w:val="auto"/>
          <w:sz w:val="24"/>
          <w:highlight w:val="none"/>
        </w:rPr>
        <w:t>202</w:t>
      </w:r>
      <w:r>
        <w:rPr>
          <w:rFonts w:hint="eastAsia"/>
          <w:color w:val="auto"/>
          <w:sz w:val="24"/>
          <w:highlight w:val="none"/>
          <w:lang w:val="en-US" w:eastAsia="zh-CN"/>
        </w:rPr>
        <w:t>5</w:t>
      </w:r>
      <w:r>
        <w:rPr>
          <w:color w:val="auto"/>
          <w:sz w:val="24"/>
          <w:highlight w:val="none"/>
        </w:rPr>
        <w:t>年</w:t>
      </w:r>
      <w:r>
        <w:rPr>
          <w:rFonts w:hint="eastAsia"/>
          <w:color w:val="auto"/>
          <w:sz w:val="24"/>
          <w:highlight w:val="none"/>
          <w:lang w:val="en-US" w:eastAsia="zh-CN"/>
        </w:rPr>
        <w:t>10</w:t>
      </w:r>
      <w:r>
        <w:rPr>
          <w:color w:val="auto"/>
          <w:sz w:val="24"/>
          <w:highlight w:val="none"/>
        </w:rPr>
        <w:t>月下旬</w:t>
      </w:r>
      <w:r>
        <w:rPr>
          <w:rFonts w:hint="eastAsia"/>
          <w:color w:val="auto"/>
          <w:sz w:val="24"/>
          <w:highlight w:val="none"/>
          <w:lang w:val="en-US" w:eastAsia="zh-CN"/>
        </w:rPr>
        <w:t>至11月上旬</w:t>
      </w:r>
      <w:r>
        <w:rPr>
          <w:color w:val="auto"/>
          <w:sz w:val="24"/>
          <w:highlight w:val="none"/>
        </w:rPr>
        <w:t>，本项目环境影响报告书进入安徽</w:t>
      </w:r>
      <w:r>
        <w:rPr>
          <w:rFonts w:hint="eastAsia"/>
          <w:color w:val="auto"/>
          <w:sz w:val="24"/>
          <w:highlight w:val="none"/>
          <w:lang w:val="en-US" w:eastAsia="zh-CN"/>
        </w:rPr>
        <w:t>环晟环保科技有限公司</w:t>
      </w:r>
      <w:r>
        <w:rPr>
          <w:color w:val="auto"/>
          <w:sz w:val="24"/>
          <w:highlight w:val="none"/>
        </w:rPr>
        <w:t>内审程序，经校核、审核、审定后定稿。</w:t>
      </w:r>
    </w:p>
    <w:p w14:paraId="1A9630A1">
      <w:pPr>
        <w:snapToGrid w:val="0"/>
        <w:spacing w:line="360" w:lineRule="auto"/>
        <w:ind w:firstLine="480" w:firstLineChars="200"/>
        <w:rPr>
          <w:rFonts w:hint="eastAsia" w:ascii="Times New Roman" w:hAnsi="Times New Roman" w:eastAsia="宋体"/>
          <w:color w:val="auto"/>
          <w:sz w:val="24"/>
          <w:highlight w:val="none"/>
        </w:rPr>
      </w:pPr>
      <w:r>
        <w:rPr>
          <w:rFonts w:ascii="Times New Roman" w:hAnsi="Times New Roman" w:eastAsia="宋体"/>
          <w:color w:val="auto"/>
          <w:sz w:val="24"/>
          <w:highlight w:val="none"/>
        </w:rPr>
        <w:t>根据《环境影响评价技术导则总纲》（HJ2.1-2016）等相关技术规范的要求，本项目</w:t>
      </w:r>
      <w:r>
        <w:rPr>
          <w:rFonts w:hint="eastAsia" w:ascii="Times New Roman" w:hAnsi="Times New Roman" w:eastAsia="宋体"/>
          <w:color w:val="auto"/>
          <w:sz w:val="24"/>
          <w:highlight w:val="none"/>
          <w:lang w:val="en-US" w:eastAsia="zh-CN"/>
        </w:rPr>
        <w:t>环境</w:t>
      </w:r>
      <w:r>
        <w:rPr>
          <w:rFonts w:ascii="Times New Roman" w:hAnsi="Times New Roman" w:eastAsia="宋体"/>
          <w:color w:val="auto"/>
          <w:sz w:val="24"/>
          <w:highlight w:val="none"/>
        </w:rPr>
        <w:t>影响评价的工作见图1.2-1。</w:t>
      </w:r>
    </w:p>
    <w:p w14:paraId="1D01D352">
      <w:pPr>
        <w:pStyle w:val="23"/>
        <w:snapToGrid w:val="0"/>
        <w:jc w:val="center"/>
        <w:rPr>
          <w:rFonts w:ascii="Times New Roman" w:hAnsi="Times New Roman"/>
          <w:color w:val="auto"/>
          <w:sz w:val="24"/>
          <w:szCs w:val="24"/>
          <w:highlight w:val="none"/>
        </w:rPr>
      </w:pPr>
      <w:r>
        <w:rPr>
          <w:rFonts w:ascii="Times New Roman" w:hAnsi="Times New Roman"/>
          <w:color w:val="auto"/>
          <w:highlight w:val="none"/>
        </w:rPr>
        <w:drawing>
          <wp:inline distT="0" distB="0" distL="114300" distR="114300">
            <wp:extent cx="5255895" cy="5810885"/>
            <wp:effectExtent l="0" t="0" r="1905" b="18415"/>
            <wp:docPr id="5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1"/>
                    <pic:cNvPicPr>
                      <a:picLocks noChangeAspect="1"/>
                    </pic:cNvPicPr>
                  </pic:nvPicPr>
                  <pic:blipFill>
                    <a:blip r:embed="rId8"/>
                    <a:stretch>
                      <a:fillRect/>
                    </a:stretch>
                  </pic:blipFill>
                  <pic:spPr>
                    <a:xfrm>
                      <a:off x="0" y="0"/>
                      <a:ext cx="5255895" cy="5810885"/>
                    </a:xfrm>
                    <a:prstGeom prst="rect">
                      <a:avLst/>
                    </a:prstGeom>
                    <a:noFill/>
                    <a:ln>
                      <a:noFill/>
                    </a:ln>
                  </pic:spPr>
                </pic:pic>
              </a:graphicData>
            </a:graphic>
          </wp:inline>
        </w:drawing>
      </w:r>
    </w:p>
    <w:p w14:paraId="28CF509D">
      <w:pPr>
        <w:snapToGrid w:val="0"/>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图1.2-1</w:t>
      </w:r>
      <w:r>
        <w:rPr>
          <w:rFonts w:hint="eastAsia"/>
          <w:b/>
          <w:color w:val="auto"/>
          <w:sz w:val="24"/>
          <w:highlight w:val="none"/>
          <w:lang w:val="en-US" w:eastAsia="zh-CN"/>
        </w:rPr>
        <w:t xml:space="preserve">  </w:t>
      </w:r>
      <w:r>
        <w:rPr>
          <w:rFonts w:ascii="Times New Roman" w:hAnsi="Times New Roman" w:eastAsia="宋体"/>
          <w:b/>
          <w:color w:val="auto"/>
          <w:sz w:val="24"/>
          <w:highlight w:val="none"/>
        </w:rPr>
        <w:t>环境影响评价工作程序</w:t>
      </w:r>
    </w:p>
    <w:p w14:paraId="29B1550A">
      <w:pPr>
        <w:pStyle w:val="218"/>
        <w:spacing w:before="62" w:after="156"/>
        <w:rPr>
          <w:rStyle w:val="201"/>
          <w:rFonts w:cs="Times New Roman"/>
          <w:b/>
          <w:color w:val="auto"/>
          <w:highlight w:val="none"/>
        </w:rPr>
      </w:pPr>
      <w:bookmarkStart w:id="12" w:name="_Toc152922551"/>
      <w:bookmarkStart w:id="13" w:name="_Toc152921957"/>
      <w:bookmarkStart w:id="14" w:name="_Toc10727"/>
      <w:r>
        <w:rPr>
          <w:rStyle w:val="201"/>
          <w:rFonts w:cs="Times New Roman"/>
          <w:b/>
          <w:color w:val="auto"/>
          <w:highlight w:val="none"/>
        </w:rPr>
        <w:t>1.4分析判定相关情况</w:t>
      </w:r>
      <w:bookmarkEnd w:id="12"/>
      <w:bookmarkEnd w:id="13"/>
      <w:bookmarkEnd w:id="14"/>
    </w:p>
    <w:p w14:paraId="16BA1588">
      <w:pPr>
        <w:adjustRightInd w:val="0"/>
        <w:snapToGrid w:val="0"/>
        <w:ind w:firstLine="482" w:firstLineChars="200"/>
        <w:jc w:val="center"/>
        <w:rPr>
          <w:rFonts w:ascii="Times New Roman" w:hAnsi="Times New Roman" w:eastAsia="宋体"/>
          <w:color w:val="auto"/>
          <w:sz w:val="32"/>
          <w:highlight w:val="none"/>
        </w:rPr>
      </w:pPr>
      <w:r>
        <w:rPr>
          <w:rFonts w:ascii="Times New Roman" w:hAnsi="Times New Roman" w:eastAsia="宋体"/>
          <w:b/>
          <w:color w:val="auto"/>
          <w:sz w:val="24"/>
          <w:highlight w:val="none"/>
        </w:rPr>
        <w:t>表1.4-1</w:t>
      </w:r>
      <w:r>
        <w:rPr>
          <w:rFonts w:hint="eastAsia"/>
          <w:b/>
          <w:color w:val="auto"/>
          <w:sz w:val="24"/>
          <w:highlight w:val="none"/>
          <w:lang w:val="en-US" w:eastAsia="zh-CN"/>
        </w:rPr>
        <w:t xml:space="preserve">  </w:t>
      </w:r>
      <w:r>
        <w:rPr>
          <w:rFonts w:ascii="Times New Roman" w:hAnsi="Times New Roman" w:eastAsia="宋体"/>
          <w:b/>
          <w:color w:val="auto"/>
          <w:sz w:val="24"/>
          <w:highlight w:val="none"/>
        </w:rPr>
        <w:t>项目初步筛查情况分析</w:t>
      </w:r>
    </w:p>
    <w:tbl>
      <w:tblPr>
        <w:tblStyle w:val="49"/>
        <w:tblW w:w="86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108" w:type="dxa"/>
          <w:bottom w:w="57" w:type="dxa"/>
          <w:right w:w="108" w:type="dxa"/>
        </w:tblCellMar>
      </w:tblPr>
      <w:tblGrid>
        <w:gridCol w:w="675"/>
        <w:gridCol w:w="1386"/>
        <w:gridCol w:w="6552"/>
      </w:tblGrid>
      <w:tr w14:paraId="3AA19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4"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14:paraId="6689CC3C">
            <w:pPr>
              <w:pStyle w:val="227"/>
              <w:snapToGrid w:val="0"/>
              <w:spacing w:line="240" w:lineRule="auto"/>
              <w:jc w:val="center"/>
              <w:rPr>
                <w:rFonts w:ascii="Times New Roman" w:hAnsi="Times New Roman"/>
                <w:color w:val="auto"/>
                <w:sz w:val="21"/>
                <w:szCs w:val="21"/>
                <w:highlight w:val="none"/>
              </w:rPr>
            </w:pPr>
            <w:r>
              <w:rPr>
                <w:rFonts w:ascii="Times New Roman" w:hAnsi="Times New Roman"/>
                <w:b/>
                <w:color w:val="auto"/>
                <w:sz w:val="21"/>
                <w:szCs w:val="21"/>
                <w:highlight w:val="none"/>
              </w:rPr>
              <w:t>序号</w:t>
            </w:r>
          </w:p>
        </w:tc>
        <w:tc>
          <w:tcPr>
            <w:tcW w:w="1386" w:type="dxa"/>
            <w:tcBorders>
              <w:top w:val="single" w:color="auto" w:sz="4" w:space="0"/>
              <w:left w:val="single" w:color="auto" w:sz="4" w:space="0"/>
              <w:bottom w:val="single" w:color="auto" w:sz="4" w:space="0"/>
              <w:right w:val="single" w:color="auto" w:sz="4" w:space="0"/>
            </w:tcBorders>
            <w:noWrap w:val="0"/>
            <w:vAlign w:val="center"/>
          </w:tcPr>
          <w:p w14:paraId="5A5B1D37">
            <w:pPr>
              <w:pStyle w:val="227"/>
              <w:snapToGrid w:val="0"/>
              <w:spacing w:line="240" w:lineRule="auto"/>
              <w:jc w:val="center"/>
              <w:rPr>
                <w:rFonts w:ascii="Times New Roman" w:hAnsi="Times New Roman"/>
                <w:color w:val="auto"/>
                <w:sz w:val="21"/>
                <w:szCs w:val="21"/>
                <w:highlight w:val="none"/>
              </w:rPr>
            </w:pPr>
            <w:r>
              <w:rPr>
                <w:rFonts w:ascii="Times New Roman" w:hAnsi="Times New Roman"/>
                <w:b/>
                <w:color w:val="auto"/>
                <w:sz w:val="21"/>
                <w:szCs w:val="21"/>
                <w:highlight w:val="none"/>
              </w:rPr>
              <w:t>分析项目</w:t>
            </w:r>
          </w:p>
        </w:tc>
        <w:tc>
          <w:tcPr>
            <w:tcW w:w="6552" w:type="dxa"/>
            <w:tcBorders>
              <w:top w:val="single" w:color="auto" w:sz="4" w:space="0"/>
              <w:left w:val="single" w:color="auto" w:sz="4" w:space="0"/>
              <w:bottom w:val="single" w:color="auto" w:sz="4" w:space="0"/>
              <w:right w:val="single" w:color="auto" w:sz="4" w:space="0"/>
            </w:tcBorders>
            <w:noWrap w:val="0"/>
            <w:vAlign w:val="center"/>
          </w:tcPr>
          <w:p w14:paraId="7CC9B11E">
            <w:pPr>
              <w:pStyle w:val="227"/>
              <w:snapToGrid w:val="0"/>
              <w:spacing w:line="240" w:lineRule="auto"/>
              <w:jc w:val="center"/>
              <w:rPr>
                <w:rFonts w:ascii="Times New Roman" w:hAnsi="Times New Roman"/>
                <w:color w:val="auto"/>
                <w:sz w:val="21"/>
                <w:szCs w:val="21"/>
                <w:highlight w:val="none"/>
              </w:rPr>
            </w:pPr>
            <w:r>
              <w:rPr>
                <w:rFonts w:ascii="Times New Roman" w:hAnsi="Times New Roman"/>
                <w:b/>
                <w:color w:val="auto"/>
                <w:sz w:val="21"/>
                <w:szCs w:val="21"/>
                <w:highlight w:val="none"/>
              </w:rPr>
              <w:t>分析结论</w:t>
            </w:r>
          </w:p>
        </w:tc>
      </w:tr>
      <w:tr w14:paraId="77110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c>
          <w:tcPr>
            <w:tcW w:w="675" w:type="dxa"/>
            <w:tcBorders>
              <w:top w:val="single" w:color="auto" w:sz="4" w:space="0"/>
              <w:left w:val="single" w:color="auto" w:sz="4" w:space="0"/>
              <w:bottom w:val="single" w:color="auto" w:sz="4" w:space="0"/>
              <w:right w:val="single" w:color="auto" w:sz="4" w:space="0"/>
            </w:tcBorders>
            <w:noWrap w:val="0"/>
            <w:vAlign w:val="center"/>
          </w:tcPr>
          <w:p w14:paraId="498FAED6">
            <w:pPr>
              <w:pStyle w:val="227"/>
              <w:snapToGrid w:val="0"/>
              <w:spacing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1</w:t>
            </w:r>
          </w:p>
        </w:tc>
        <w:tc>
          <w:tcPr>
            <w:tcW w:w="1386" w:type="dxa"/>
            <w:tcBorders>
              <w:top w:val="single" w:color="auto" w:sz="4" w:space="0"/>
              <w:left w:val="single" w:color="auto" w:sz="4" w:space="0"/>
              <w:bottom w:val="single" w:color="auto" w:sz="4" w:space="0"/>
              <w:right w:val="single" w:color="auto" w:sz="4" w:space="0"/>
            </w:tcBorders>
            <w:noWrap w:val="0"/>
            <w:vAlign w:val="center"/>
          </w:tcPr>
          <w:p w14:paraId="6EFAAD83">
            <w:pPr>
              <w:pStyle w:val="227"/>
              <w:snapToGrid w:val="0"/>
              <w:spacing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报告类别</w:t>
            </w:r>
          </w:p>
        </w:tc>
        <w:tc>
          <w:tcPr>
            <w:tcW w:w="6552" w:type="dxa"/>
            <w:tcBorders>
              <w:top w:val="single" w:color="auto" w:sz="4" w:space="0"/>
              <w:left w:val="single" w:color="auto" w:sz="4" w:space="0"/>
              <w:bottom w:val="single" w:color="auto" w:sz="4" w:space="0"/>
              <w:right w:val="single" w:color="auto" w:sz="4" w:space="0"/>
            </w:tcBorders>
            <w:noWrap w:val="0"/>
            <w:vAlign w:val="center"/>
          </w:tcPr>
          <w:p w14:paraId="4CFC664F">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pacing w:val="-4"/>
                <w:sz w:val="21"/>
                <w:szCs w:val="21"/>
                <w:highlight w:val="none"/>
                <w:lang w:eastAsia="zh-CN"/>
              </w:rPr>
              <w:t>根据《建设项目环境影响评价分类管理名录》</w:t>
            </w:r>
            <w:r>
              <w:rPr>
                <w:rFonts w:ascii="Times New Roman" w:hAnsi="Times New Roman"/>
                <w:color w:val="auto"/>
                <w:spacing w:val="5"/>
                <w:sz w:val="21"/>
                <w:szCs w:val="21"/>
                <w:highlight w:val="none"/>
                <w:lang w:eastAsia="zh-CN"/>
              </w:rPr>
              <w:t>（</w:t>
            </w:r>
            <w:r>
              <w:rPr>
                <w:rFonts w:ascii="Times New Roman" w:hAnsi="Times New Roman"/>
                <w:color w:val="auto"/>
                <w:sz w:val="21"/>
                <w:szCs w:val="21"/>
                <w:highlight w:val="none"/>
                <w:lang w:eastAsia="zh-CN"/>
              </w:rPr>
              <w:t>2</w:t>
            </w:r>
            <w:r>
              <w:rPr>
                <w:rFonts w:ascii="Times New Roman" w:hAnsi="Times New Roman"/>
                <w:color w:val="auto"/>
                <w:spacing w:val="-3"/>
                <w:sz w:val="21"/>
                <w:szCs w:val="21"/>
                <w:highlight w:val="none"/>
                <w:lang w:eastAsia="zh-CN"/>
              </w:rPr>
              <w:t>02</w:t>
            </w:r>
            <w:r>
              <w:rPr>
                <w:rFonts w:ascii="Times New Roman" w:hAnsi="Times New Roman"/>
                <w:color w:val="auto"/>
                <w:spacing w:val="4"/>
                <w:sz w:val="21"/>
                <w:szCs w:val="21"/>
                <w:highlight w:val="none"/>
                <w:lang w:eastAsia="zh-CN"/>
              </w:rPr>
              <w:t>1</w:t>
            </w:r>
            <w:r>
              <w:rPr>
                <w:rFonts w:ascii="Times New Roman" w:hAnsi="Times New Roman"/>
                <w:color w:val="auto"/>
                <w:spacing w:val="-99"/>
                <w:sz w:val="21"/>
                <w:szCs w:val="21"/>
                <w:highlight w:val="none"/>
                <w:lang w:eastAsia="zh-CN"/>
              </w:rPr>
              <w:t>）</w:t>
            </w:r>
            <w:r>
              <w:rPr>
                <w:rFonts w:ascii="Times New Roman" w:hAnsi="Times New Roman"/>
                <w:color w:val="auto"/>
                <w:spacing w:val="3"/>
                <w:sz w:val="21"/>
                <w:szCs w:val="21"/>
                <w:highlight w:val="none"/>
                <w:lang w:eastAsia="zh-CN"/>
              </w:rPr>
              <w:t>，本项目属于</w:t>
            </w:r>
            <w:r>
              <w:rPr>
                <w:rFonts w:hint="eastAsia" w:ascii="Times New Roman" w:hAnsi="Times New Roman"/>
                <w:color w:val="auto"/>
                <w:spacing w:val="-1"/>
                <w:sz w:val="21"/>
                <w:szCs w:val="21"/>
                <w:highlight w:val="none"/>
                <w:lang w:eastAsia="zh-CN"/>
              </w:rPr>
              <w:t>“二十三、化学原料和化学制品制造业</w:t>
            </w:r>
            <w:r>
              <w:rPr>
                <w:rFonts w:ascii="Times New Roman" w:hAnsi="Times New Roman"/>
                <w:color w:val="auto"/>
                <w:spacing w:val="-1"/>
                <w:sz w:val="21"/>
                <w:szCs w:val="21"/>
                <w:highlight w:val="none"/>
                <w:lang w:eastAsia="zh-CN"/>
              </w:rPr>
              <w:t>26</w:t>
            </w:r>
            <w:r>
              <w:rPr>
                <w:rFonts w:hint="eastAsia" w:ascii="Times New Roman" w:hAnsi="Times New Roman"/>
                <w:color w:val="auto"/>
                <w:spacing w:val="-1"/>
                <w:sz w:val="21"/>
                <w:szCs w:val="21"/>
                <w:highlight w:val="none"/>
                <w:lang w:eastAsia="zh-CN"/>
              </w:rPr>
              <w:t>—</w:t>
            </w:r>
            <w:r>
              <w:rPr>
                <w:rFonts w:hint="eastAsia" w:ascii="宋体" w:hAnsi="宋体" w:eastAsia="宋体" w:cs="宋体"/>
                <w:b w:val="0"/>
                <w:bCs w:val="0"/>
                <w:color w:val="auto"/>
                <w:sz w:val="20"/>
                <w:szCs w:val="20"/>
                <w:highlight w:val="none"/>
              </w:rPr>
              <w:t>全部（含研发中试；不含单纯物理分离、物理提纯、混合、分装的）</w:t>
            </w:r>
            <w:r>
              <w:rPr>
                <w:rFonts w:ascii="Times New Roman" w:hAnsi="Times New Roman"/>
                <w:color w:val="auto"/>
                <w:spacing w:val="-1"/>
                <w:sz w:val="21"/>
                <w:szCs w:val="21"/>
                <w:highlight w:val="none"/>
                <w:lang w:eastAsia="zh-CN"/>
              </w:rPr>
              <w:t>，应编制环境影响报告</w:t>
            </w:r>
            <w:r>
              <w:rPr>
                <w:rFonts w:ascii="Times New Roman" w:hAnsi="Times New Roman"/>
                <w:color w:val="auto"/>
                <w:sz w:val="21"/>
                <w:szCs w:val="21"/>
                <w:highlight w:val="none"/>
                <w:lang w:eastAsia="zh-CN"/>
              </w:rPr>
              <w:t>书</w:t>
            </w:r>
            <w:r>
              <w:rPr>
                <w:rFonts w:hint="eastAsia" w:ascii="Times New Roman" w:hAnsi="Times New Roman"/>
                <w:color w:val="auto"/>
                <w:sz w:val="21"/>
                <w:szCs w:val="21"/>
                <w:highlight w:val="none"/>
                <w:lang w:eastAsia="zh-CN"/>
              </w:rPr>
              <w:t>”</w:t>
            </w:r>
            <w:r>
              <w:rPr>
                <w:rFonts w:ascii="Times New Roman" w:hAnsi="Times New Roman"/>
                <w:color w:val="auto"/>
                <w:spacing w:val="-3"/>
                <w:sz w:val="21"/>
                <w:szCs w:val="21"/>
                <w:highlight w:val="none"/>
                <w:lang w:eastAsia="zh-CN"/>
              </w:rPr>
              <w:t>的类别。</w:t>
            </w:r>
          </w:p>
        </w:tc>
      </w:tr>
      <w:tr w14:paraId="0F0D0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c>
          <w:tcPr>
            <w:tcW w:w="675" w:type="dxa"/>
            <w:tcBorders>
              <w:top w:val="single" w:color="auto" w:sz="4" w:space="0"/>
              <w:left w:val="single" w:color="auto" w:sz="4" w:space="0"/>
              <w:bottom w:val="single" w:color="auto" w:sz="4" w:space="0"/>
              <w:right w:val="single" w:color="auto" w:sz="4" w:space="0"/>
            </w:tcBorders>
            <w:noWrap w:val="0"/>
            <w:vAlign w:val="center"/>
          </w:tcPr>
          <w:p w14:paraId="1C6A8779">
            <w:pPr>
              <w:pStyle w:val="227"/>
              <w:snapToGrid w:val="0"/>
              <w:spacing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2</w:t>
            </w:r>
          </w:p>
        </w:tc>
        <w:tc>
          <w:tcPr>
            <w:tcW w:w="1386" w:type="dxa"/>
            <w:tcBorders>
              <w:top w:val="single" w:color="auto" w:sz="4" w:space="0"/>
              <w:left w:val="single" w:color="auto" w:sz="4" w:space="0"/>
              <w:bottom w:val="single" w:color="auto" w:sz="4" w:space="0"/>
              <w:right w:val="single" w:color="auto" w:sz="4" w:space="0"/>
            </w:tcBorders>
            <w:noWrap w:val="0"/>
            <w:vAlign w:val="center"/>
          </w:tcPr>
          <w:p w14:paraId="005EFC31">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园区产业定位及规划相符性</w:t>
            </w:r>
          </w:p>
        </w:tc>
        <w:tc>
          <w:tcPr>
            <w:tcW w:w="6552" w:type="dxa"/>
            <w:tcBorders>
              <w:top w:val="single" w:color="auto" w:sz="4" w:space="0"/>
              <w:left w:val="single" w:color="auto" w:sz="4" w:space="0"/>
              <w:bottom w:val="single" w:color="auto" w:sz="4" w:space="0"/>
              <w:right w:val="single" w:color="auto" w:sz="4" w:space="0"/>
            </w:tcBorders>
            <w:noWrap w:val="0"/>
            <w:vAlign w:val="center"/>
          </w:tcPr>
          <w:p w14:paraId="72C6703C">
            <w:pPr>
              <w:pStyle w:val="227"/>
              <w:snapToGrid w:val="0"/>
              <w:spacing w:line="240" w:lineRule="auto"/>
              <w:jc w:val="left"/>
              <w:rPr>
                <w:rFonts w:ascii="Times New Roman" w:hAnsi="Times New Roman"/>
                <w:color w:val="auto"/>
                <w:sz w:val="21"/>
                <w:szCs w:val="21"/>
                <w:highlight w:val="none"/>
                <w:lang w:eastAsia="zh-CN"/>
              </w:rPr>
            </w:pPr>
            <w:r>
              <w:rPr>
                <w:rFonts w:hint="eastAsia"/>
                <w:color w:val="auto"/>
                <w:highlight w:val="none"/>
                <w:lang w:val="en-US" w:eastAsia="zh-CN"/>
              </w:rPr>
              <w:t>项目位于淮南市田家庵区经济开发区。根据企业提供的地块土地相关证明（用地类型：公用设施营业网点用地）。通过与淮南市“三区三线”套核，本项目选用地块不占用永久基本农田、生态红线和重点项目建设用地。</w:t>
            </w:r>
          </w:p>
        </w:tc>
      </w:tr>
      <w:tr w14:paraId="7882D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c>
          <w:tcPr>
            <w:tcW w:w="675" w:type="dxa"/>
            <w:tcBorders>
              <w:top w:val="single" w:color="auto" w:sz="4" w:space="0"/>
              <w:left w:val="single" w:color="auto" w:sz="4" w:space="0"/>
              <w:bottom w:val="single" w:color="auto" w:sz="4" w:space="0"/>
              <w:right w:val="single" w:color="auto" w:sz="4" w:space="0"/>
            </w:tcBorders>
            <w:noWrap w:val="0"/>
            <w:vAlign w:val="center"/>
          </w:tcPr>
          <w:p w14:paraId="14495119">
            <w:pPr>
              <w:pStyle w:val="227"/>
              <w:snapToGrid w:val="0"/>
              <w:spacing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3</w:t>
            </w:r>
          </w:p>
        </w:tc>
        <w:tc>
          <w:tcPr>
            <w:tcW w:w="1386" w:type="dxa"/>
            <w:tcBorders>
              <w:top w:val="single" w:color="auto" w:sz="4" w:space="0"/>
              <w:left w:val="single" w:color="auto" w:sz="4" w:space="0"/>
              <w:bottom w:val="single" w:color="auto" w:sz="4" w:space="0"/>
              <w:right w:val="single" w:color="auto" w:sz="4" w:space="0"/>
            </w:tcBorders>
            <w:noWrap w:val="0"/>
            <w:vAlign w:val="center"/>
          </w:tcPr>
          <w:p w14:paraId="7E4B5B10">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法律法规、产业政策及行业准入条件</w:t>
            </w:r>
          </w:p>
        </w:tc>
        <w:tc>
          <w:tcPr>
            <w:tcW w:w="6552" w:type="dxa"/>
            <w:tcBorders>
              <w:top w:val="single" w:color="auto" w:sz="4" w:space="0"/>
              <w:left w:val="single" w:color="auto" w:sz="4" w:space="0"/>
              <w:bottom w:val="single" w:color="auto" w:sz="4" w:space="0"/>
              <w:right w:val="single" w:color="auto" w:sz="4" w:space="0"/>
            </w:tcBorders>
            <w:noWrap w:val="0"/>
            <w:vAlign w:val="center"/>
          </w:tcPr>
          <w:p w14:paraId="06C48F8A">
            <w:pPr>
              <w:pStyle w:val="227"/>
              <w:snapToGrid w:val="0"/>
              <w:spacing w:line="240" w:lineRule="auto"/>
              <w:jc w:val="center"/>
              <w:rPr>
                <w:rFonts w:ascii="Times New Roman" w:hAnsi="Times New Roman"/>
                <w:color w:val="auto"/>
                <w:sz w:val="21"/>
                <w:szCs w:val="21"/>
                <w:highlight w:val="none"/>
                <w:lang w:eastAsia="zh-CN"/>
              </w:rPr>
            </w:pPr>
            <w:r>
              <w:rPr>
                <w:rFonts w:hint="eastAsia" w:ascii="Times New Roman" w:hAnsi="Times New Roman"/>
                <w:color w:val="auto"/>
                <w:spacing w:val="-3"/>
                <w:sz w:val="21"/>
                <w:szCs w:val="21"/>
                <w:highlight w:val="none"/>
                <w:lang w:val="en-US" w:eastAsia="zh-CN"/>
              </w:rPr>
              <w:t>对照</w:t>
            </w:r>
            <w:r>
              <w:rPr>
                <w:rFonts w:ascii="Times New Roman" w:hAnsi="Times New Roman"/>
                <w:color w:val="auto"/>
                <w:spacing w:val="-3"/>
                <w:sz w:val="21"/>
                <w:szCs w:val="21"/>
                <w:highlight w:val="none"/>
                <w:lang w:eastAsia="zh-CN"/>
              </w:rPr>
              <w:t>《产业结构调整指导目录</w:t>
            </w:r>
            <w:r>
              <w:rPr>
                <w:rFonts w:ascii="Times New Roman" w:hAnsi="Times New Roman"/>
                <w:color w:val="auto"/>
                <w:sz w:val="21"/>
                <w:szCs w:val="21"/>
                <w:highlight w:val="none"/>
                <w:lang w:eastAsia="zh-CN"/>
              </w:rPr>
              <w:t>（20</w:t>
            </w:r>
            <w:r>
              <w:rPr>
                <w:rFonts w:hint="eastAsia" w:ascii="Times New Roman" w:hAnsi="Times New Roman"/>
                <w:color w:val="auto"/>
                <w:sz w:val="21"/>
                <w:szCs w:val="21"/>
                <w:highlight w:val="none"/>
                <w:lang w:val="en-US" w:eastAsia="zh-CN"/>
              </w:rPr>
              <w:t>24</w:t>
            </w:r>
            <w:r>
              <w:rPr>
                <w:rFonts w:ascii="Times New Roman" w:hAnsi="Times New Roman"/>
                <w:color w:val="auto"/>
                <w:spacing w:val="-2"/>
                <w:sz w:val="21"/>
                <w:szCs w:val="21"/>
                <w:highlight w:val="none"/>
                <w:lang w:eastAsia="zh-CN"/>
              </w:rPr>
              <w:t>年本</w:t>
            </w:r>
            <w:r>
              <w:rPr>
                <w:rFonts w:ascii="Times New Roman" w:hAnsi="Times New Roman"/>
                <w:color w:val="auto"/>
                <w:spacing w:val="-106"/>
                <w:sz w:val="21"/>
                <w:szCs w:val="21"/>
                <w:highlight w:val="none"/>
                <w:lang w:eastAsia="zh-CN"/>
              </w:rPr>
              <w:t>）</w:t>
            </w:r>
            <w:r>
              <w:rPr>
                <w:rFonts w:ascii="Times New Roman" w:hAnsi="Times New Roman"/>
                <w:color w:val="auto"/>
                <w:spacing w:val="-14"/>
                <w:sz w:val="21"/>
                <w:szCs w:val="21"/>
                <w:highlight w:val="none"/>
                <w:lang w:eastAsia="zh-CN"/>
              </w:rPr>
              <w:t>》</w:t>
            </w:r>
            <w:r>
              <w:rPr>
                <w:rFonts w:ascii="Times New Roman" w:hAnsi="Times New Roman"/>
                <w:color w:val="auto"/>
                <w:spacing w:val="-1"/>
                <w:sz w:val="21"/>
                <w:szCs w:val="21"/>
                <w:highlight w:val="none"/>
                <w:lang w:eastAsia="zh-CN"/>
              </w:rPr>
              <w:t>，</w:t>
            </w:r>
            <w:r>
              <w:rPr>
                <w:rFonts w:hint="eastAsia" w:ascii="Times New Roman" w:hAnsi="Times New Roman"/>
                <w:color w:val="auto"/>
                <w:spacing w:val="-1"/>
                <w:sz w:val="21"/>
                <w:szCs w:val="21"/>
                <w:highlight w:val="none"/>
                <w:lang w:val="en-US" w:eastAsia="zh-CN"/>
              </w:rPr>
              <w:t>本项目属于鼓励类</w:t>
            </w:r>
            <w:r>
              <w:rPr>
                <w:rFonts w:ascii="Times New Roman" w:hAnsi="Times New Roman"/>
                <w:color w:val="auto"/>
                <w:spacing w:val="-1"/>
                <w:sz w:val="21"/>
                <w:szCs w:val="21"/>
                <w:highlight w:val="none"/>
                <w:lang w:eastAsia="zh-CN"/>
              </w:rPr>
              <w:t>；本项目生产过程中不含有《部分工业行业淘汰落后生产工艺装</w:t>
            </w:r>
            <w:r>
              <w:rPr>
                <w:rFonts w:ascii="Times New Roman" w:hAnsi="Times New Roman"/>
                <w:color w:val="auto"/>
                <w:spacing w:val="-3"/>
                <w:sz w:val="21"/>
                <w:szCs w:val="21"/>
                <w:highlight w:val="none"/>
                <w:lang w:eastAsia="zh-CN"/>
              </w:rPr>
              <w:t>备和产品指导目录</w:t>
            </w:r>
            <w:r>
              <w:rPr>
                <w:rFonts w:ascii="Times New Roman" w:hAnsi="Times New Roman"/>
                <w:color w:val="auto"/>
                <w:sz w:val="21"/>
                <w:szCs w:val="21"/>
                <w:highlight w:val="none"/>
                <w:lang w:eastAsia="zh-CN"/>
              </w:rPr>
              <w:t>（2010年本</w:t>
            </w:r>
            <w:r>
              <w:rPr>
                <w:rFonts w:ascii="Times New Roman" w:hAnsi="Times New Roman"/>
                <w:color w:val="auto"/>
                <w:spacing w:val="-108"/>
                <w:sz w:val="21"/>
                <w:szCs w:val="21"/>
                <w:highlight w:val="none"/>
                <w:lang w:eastAsia="zh-CN"/>
              </w:rPr>
              <w:t>）</w:t>
            </w:r>
            <w:r>
              <w:rPr>
                <w:rFonts w:hint="eastAsia" w:ascii="Times New Roman" w:hAnsi="Times New Roman"/>
                <w:color w:val="auto"/>
                <w:spacing w:val="-108"/>
                <w:sz w:val="21"/>
                <w:szCs w:val="21"/>
                <w:highlight w:val="none"/>
                <w:lang w:eastAsia="zh-CN"/>
              </w:rPr>
              <w:t>》和</w:t>
            </w:r>
            <w:r>
              <w:rPr>
                <w:rFonts w:hint="eastAsia" w:ascii="Times New Roman" w:hAnsi="Times New Roman"/>
                <w:color w:val="auto"/>
                <w:spacing w:val="-3"/>
                <w:sz w:val="21"/>
                <w:szCs w:val="21"/>
                <w:highlight w:val="none"/>
                <w:lang w:eastAsia="zh-CN"/>
              </w:rPr>
              <w:t>《</w:t>
            </w:r>
            <w:r>
              <w:rPr>
                <w:rFonts w:hint="eastAsia" w:ascii="Times New Roman" w:hAnsi="Times New Roman"/>
                <w:color w:val="auto"/>
                <w:spacing w:val="-3"/>
                <w:sz w:val="21"/>
                <w:szCs w:val="21"/>
                <w:highlight w:val="none"/>
                <w:lang w:val="en-US" w:eastAsia="zh-CN"/>
              </w:rPr>
              <w:t>淘汰落后安全技术工艺、设备目录（2016年）</w:t>
            </w:r>
            <w:r>
              <w:rPr>
                <w:rFonts w:hint="eastAsia" w:ascii="Times New Roman" w:hAnsi="Times New Roman"/>
                <w:color w:val="auto"/>
                <w:spacing w:val="-3"/>
                <w:sz w:val="21"/>
                <w:szCs w:val="21"/>
                <w:highlight w:val="none"/>
                <w:lang w:eastAsia="zh-CN"/>
              </w:rPr>
              <w:t>》</w:t>
            </w:r>
            <w:r>
              <w:rPr>
                <w:rFonts w:ascii="Times New Roman" w:hAnsi="Times New Roman"/>
                <w:color w:val="auto"/>
                <w:spacing w:val="-3"/>
                <w:sz w:val="21"/>
                <w:szCs w:val="21"/>
                <w:highlight w:val="none"/>
                <w:lang w:eastAsia="zh-CN"/>
              </w:rPr>
              <w:t>中列出的淘汰设备。</w:t>
            </w:r>
          </w:p>
        </w:tc>
      </w:tr>
      <w:tr w14:paraId="5C019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1"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14:paraId="6A1433B0">
            <w:pPr>
              <w:pStyle w:val="227"/>
              <w:snapToGrid w:val="0"/>
              <w:spacing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4</w:t>
            </w:r>
          </w:p>
        </w:tc>
        <w:tc>
          <w:tcPr>
            <w:tcW w:w="1386" w:type="dxa"/>
            <w:tcBorders>
              <w:top w:val="single" w:color="auto" w:sz="4" w:space="0"/>
              <w:left w:val="single" w:color="auto" w:sz="4" w:space="0"/>
              <w:bottom w:val="single" w:color="auto" w:sz="4" w:space="0"/>
              <w:right w:val="single" w:color="auto" w:sz="4" w:space="0"/>
            </w:tcBorders>
            <w:noWrap w:val="0"/>
            <w:vAlign w:val="center"/>
          </w:tcPr>
          <w:p w14:paraId="4E422B63">
            <w:pPr>
              <w:pStyle w:val="227"/>
              <w:snapToGrid w:val="0"/>
              <w:spacing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环境承载力及影响</w:t>
            </w:r>
          </w:p>
        </w:tc>
        <w:tc>
          <w:tcPr>
            <w:tcW w:w="6552" w:type="dxa"/>
            <w:tcBorders>
              <w:top w:val="single" w:color="auto" w:sz="4" w:space="0"/>
              <w:left w:val="single" w:color="auto" w:sz="4" w:space="0"/>
              <w:bottom w:val="single" w:color="auto" w:sz="4" w:space="0"/>
              <w:right w:val="single" w:color="auto" w:sz="4" w:space="0"/>
            </w:tcBorders>
            <w:noWrap w:val="0"/>
            <w:vAlign w:val="center"/>
          </w:tcPr>
          <w:p w14:paraId="28EAF7E3">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项目所在区域的声环境、地表水、地下水、土壤的环境质量均较好，可达到相应的环境功能区划要求</w:t>
            </w:r>
            <w:r>
              <w:rPr>
                <w:rFonts w:hint="eastAsia" w:ascii="Times New Roman" w:hAnsi="Times New Roman"/>
                <w:color w:val="auto"/>
                <w:sz w:val="21"/>
                <w:szCs w:val="21"/>
                <w:highlight w:val="none"/>
                <w:lang w:eastAsia="zh-CN"/>
              </w:rPr>
              <w:t>，</w:t>
            </w:r>
            <w:r>
              <w:rPr>
                <w:rFonts w:hint="eastAsia" w:ascii="Times New Roman" w:hAnsi="Times New Roman"/>
                <w:color w:val="auto"/>
                <w:sz w:val="21"/>
                <w:szCs w:val="21"/>
                <w:highlight w:val="none"/>
                <w:lang w:val="en-US" w:eastAsia="zh-CN"/>
              </w:rPr>
              <w:t>环境空气质量（基本污染因子PM</w:t>
            </w:r>
            <w:r>
              <w:rPr>
                <w:rFonts w:hint="eastAsia" w:ascii="Times New Roman" w:hAnsi="Times New Roman"/>
                <w:color w:val="auto"/>
                <w:sz w:val="21"/>
                <w:szCs w:val="21"/>
                <w:highlight w:val="none"/>
                <w:vertAlign w:val="subscript"/>
                <w:lang w:val="en-US" w:eastAsia="zh-CN"/>
              </w:rPr>
              <w:t>2.5</w:t>
            </w:r>
            <w:r>
              <w:rPr>
                <w:rFonts w:hint="eastAsia" w:ascii="Times New Roman" w:hAnsi="Times New Roman"/>
                <w:color w:val="auto"/>
                <w:sz w:val="21"/>
                <w:szCs w:val="21"/>
                <w:highlight w:val="none"/>
                <w:lang w:val="en-US" w:eastAsia="zh-CN"/>
              </w:rPr>
              <w:t>稍微超标）基本满足达标要求</w:t>
            </w:r>
            <w:r>
              <w:rPr>
                <w:rFonts w:ascii="Times New Roman" w:hAnsi="Times New Roman"/>
                <w:color w:val="auto"/>
                <w:sz w:val="21"/>
                <w:szCs w:val="21"/>
                <w:highlight w:val="none"/>
                <w:lang w:eastAsia="zh-CN"/>
              </w:rPr>
              <w:t>；经预测，项目污染治理措施正常运行时，本项目的建设对周围环境的影响较小，不会改变区域环境质量现状的要求。</w:t>
            </w:r>
          </w:p>
        </w:tc>
      </w:tr>
      <w:tr w14:paraId="3A6BE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54"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14:paraId="10323378">
            <w:pPr>
              <w:pStyle w:val="227"/>
              <w:snapToGrid w:val="0"/>
              <w:spacing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5</w:t>
            </w:r>
          </w:p>
        </w:tc>
        <w:tc>
          <w:tcPr>
            <w:tcW w:w="1386" w:type="dxa"/>
            <w:tcBorders>
              <w:top w:val="single" w:color="auto" w:sz="4" w:space="0"/>
              <w:left w:val="single" w:color="auto" w:sz="4" w:space="0"/>
              <w:bottom w:val="single" w:color="auto" w:sz="4" w:space="0"/>
              <w:right w:val="single" w:color="auto" w:sz="4" w:space="0"/>
            </w:tcBorders>
            <w:noWrap w:val="0"/>
            <w:vAlign w:val="center"/>
          </w:tcPr>
          <w:p w14:paraId="1904FF57">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总量指标合理性及可达性分析</w:t>
            </w:r>
          </w:p>
        </w:tc>
        <w:tc>
          <w:tcPr>
            <w:tcW w:w="6552" w:type="dxa"/>
            <w:tcBorders>
              <w:top w:val="single" w:color="auto" w:sz="4" w:space="0"/>
              <w:left w:val="single" w:color="auto" w:sz="4" w:space="0"/>
              <w:bottom w:val="single" w:color="auto" w:sz="4" w:space="0"/>
              <w:right w:val="single" w:color="auto" w:sz="4" w:space="0"/>
            </w:tcBorders>
            <w:noWrap w:val="0"/>
            <w:vAlign w:val="center"/>
          </w:tcPr>
          <w:p w14:paraId="0B69F913">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本项目</w:t>
            </w:r>
            <w:r>
              <w:rPr>
                <w:rFonts w:hint="eastAsia" w:ascii="Times New Roman" w:hAnsi="Times New Roman"/>
                <w:color w:val="auto"/>
                <w:sz w:val="21"/>
                <w:szCs w:val="21"/>
                <w:highlight w:val="none"/>
                <w:lang w:val="en-US" w:eastAsia="zh-CN"/>
              </w:rPr>
              <w:t>生产环节</w:t>
            </w:r>
            <w:r>
              <w:rPr>
                <w:rFonts w:hint="eastAsia" w:ascii="Times New Roman" w:hAnsi="Times New Roman" w:eastAsia="宋体" w:cs="Times New Roman"/>
                <w:color w:val="auto"/>
                <w:sz w:val="21"/>
                <w:szCs w:val="21"/>
                <w:highlight w:val="none"/>
                <w:lang w:val="en-US" w:eastAsia="zh-CN"/>
              </w:rPr>
              <w:t>产生脱盐水制备浓水、蒸发器排污水</w:t>
            </w:r>
            <w:r>
              <w:rPr>
                <w:rFonts w:hint="eastAsia" w:ascii="Times New Roman" w:hAnsi="Times New Roman"/>
                <w:color w:val="auto"/>
                <w:sz w:val="21"/>
                <w:szCs w:val="21"/>
                <w:highlight w:val="none"/>
                <w:lang w:val="en-US" w:eastAsia="zh-CN"/>
              </w:rPr>
              <w:t>和生活污水，污染物</w:t>
            </w:r>
            <w:r>
              <w:rPr>
                <w:rFonts w:ascii="Times New Roman" w:hAnsi="Times New Roman"/>
                <w:color w:val="auto"/>
                <w:sz w:val="21"/>
                <w:szCs w:val="21"/>
                <w:highlight w:val="none"/>
                <w:lang w:eastAsia="zh-CN"/>
              </w:rPr>
              <w:t>总量控制指标</w:t>
            </w:r>
            <w:r>
              <w:rPr>
                <w:rFonts w:hint="eastAsia" w:ascii="Times New Roman" w:hAnsi="Times New Roman"/>
                <w:color w:val="auto"/>
                <w:sz w:val="21"/>
                <w:szCs w:val="21"/>
                <w:highlight w:val="none"/>
                <w:lang w:val="en-US" w:eastAsia="zh-CN"/>
              </w:rPr>
              <w:t>纳入田家庵经济开发区污水处理站</w:t>
            </w:r>
            <w:r>
              <w:rPr>
                <w:rFonts w:ascii="Times New Roman" w:hAnsi="Times New Roman"/>
                <w:color w:val="auto"/>
                <w:sz w:val="21"/>
                <w:szCs w:val="21"/>
                <w:highlight w:val="none"/>
                <w:lang w:eastAsia="zh-CN"/>
              </w:rPr>
              <w:t>总量指标内统一调配；</w:t>
            </w:r>
            <w:r>
              <w:rPr>
                <w:rFonts w:hint="eastAsia" w:ascii="Times New Roman" w:hAnsi="Times New Roman"/>
                <w:color w:val="auto"/>
                <w:sz w:val="21"/>
                <w:szCs w:val="21"/>
                <w:highlight w:val="none"/>
                <w:lang w:val="en-US" w:eastAsia="zh-CN"/>
              </w:rPr>
              <w:t>废气污染物包括有机废气、颗粒物、氮氧化物总量经核算拟向淮南市生态环境局申请；</w:t>
            </w:r>
            <w:r>
              <w:rPr>
                <w:rFonts w:ascii="Times New Roman" w:hAnsi="Times New Roman"/>
                <w:color w:val="auto"/>
                <w:sz w:val="21"/>
                <w:szCs w:val="21"/>
                <w:highlight w:val="none"/>
                <w:lang w:eastAsia="zh-CN"/>
              </w:rPr>
              <w:t>固废排放量为零。</w:t>
            </w:r>
          </w:p>
        </w:tc>
      </w:tr>
      <w:tr w14:paraId="62571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87" w:hRule="atLeast"/>
        </w:trPr>
        <w:tc>
          <w:tcPr>
            <w:tcW w:w="675" w:type="dxa"/>
            <w:tcBorders>
              <w:top w:val="single" w:color="auto" w:sz="4" w:space="0"/>
              <w:left w:val="single" w:color="auto" w:sz="4" w:space="0"/>
              <w:bottom w:val="single" w:color="auto" w:sz="4" w:space="0"/>
              <w:right w:val="single" w:color="auto" w:sz="4" w:space="0"/>
            </w:tcBorders>
            <w:noWrap w:val="0"/>
            <w:vAlign w:val="center"/>
          </w:tcPr>
          <w:p w14:paraId="567ED686">
            <w:pPr>
              <w:pStyle w:val="227"/>
              <w:snapToGrid w:val="0"/>
              <w:spacing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6</w:t>
            </w:r>
          </w:p>
        </w:tc>
        <w:tc>
          <w:tcPr>
            <w:tcW w:w="1386" w:type="dxa"/>
            <w:tcBorders>
              <w:top w:val="single" w:color="auto" w:sz="4" w:space="0"/>
              <w:left w:val="single" w:color="auto" w:sz="4" w:space="0"/>
              <w:bottom w:val="single" w:color="auto" w:sz="4" w:space="0"/>
              <w:right w:val="single" w:color="auto" w:sz="4" w:space="0"/>
            </w:tcBorders>
            <w:noWrap w:val="0"/>
            <w:vAlign w:val="center"/>
          </w:tcPr>
          <w:p w14:paraId="61D04285">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园区基础设施建设情况</w:t>
            </w:r>
          </w:p>
        </w:tc>
        <w:tc>
          <w:tcPr>
            <w:tcW w:w="6552" w:type="dxa"/>
            <w:tcBorders>
              <w:top w:val="single" w:color="auto" w:sz="4" w:space="0"/>
              <w:left w:val="single" w:color="auto" w:sz="4" w:space="0"/>
              <w:bottom w:val="single" w:color="auto" w:sz="4" w:space="0"/>
              <w:right w:val="single" w:color="auto" w:sz="4" w:space="0"/>
            </w:tcBorders>
            <w:noWrap w:val="0"/>
            <w:vAlign w:val="center"/>
          </w:tcPr>
          <w:p w14:paraId="1E33577C">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本项目所在园区目前有配套的给水、供电、</w:t>
            </w:r>
            <w:r>
              <w:rPr>
                <w:rFonts w:hint="eastAsia" w:ascii="Times New Roman" w:hAnsi="Times New Roman"/>
                <w:color w:val="auto"/>
                <w:sz w:val="21"/>
                <w:szCs w:val="21"/>
                <w:highlight w:val="none"/>
                <w:lang w:val="en-US" w:eastAsia="zh-CN"/>
              </w:rPr>
              <w:t>供气</w:t>
            </w:r>
            <w:r>
              <w:rPr>
                <w:rFonts w:ascii="Times New Roman" w:hAnsi="Times New Roman"/>
                <w:color w:val="auto"/>
                <w:sz w:val="21"/>
                <w:szCs w:val="21"/>
                <w:highlight w:val="none"/>
                <w:lang w:eastAsia="zh-CN"/>
              </w:rPr>
              <w:t>设施，基础设施情况较完善，可以满足项目运营需求。</w:t>
            </w:r>
          </w:p>
        </w:tc>
      </w:tr>
      <w:tr w14:paraId="29EC3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c>
          <w:tcPr>
            <w:tcW w:w="675" w:type="dxa"/>
            <w:tcBorders>
              <w:top w:val="single" w:color="auto" w:sz="4" w:space="0"/>
              <w:left w:val="single" w:color="auto" w:sz="4" w:space="0"/>
              <w:bottom w:val="single" w:color="auto" w:sz="4" w:space="0"/>
              <w:right w:val="single" w:color="auto" w:sz="4" w:space="0"/>
            </w:tcBorders>
            <w:noWrap w:val="0"/>
            <w:vAlign w:val="center"/>
          </w:tcPr>
          <w:p w14:paraId="2515B8C0">
            <w:pPr>
              <w:pStyle w:val="227"/>
              <w:snapToGrid w:val="0"/>
              <w:spacing w:line="240" w:lineRule="auto"/>
              <w:jc w:val="center"/>
              <w:rPr>
                <w:rFonts w:hint="eastAsia" w:ascii="Times New Roman" w:hAnsi="Times New Roman" w:eastAsia="宋体"/>
                <w:color w:val="auto"/>
                <w:sz w:val="21"/>
                <w:szCs w:val="21"/>
                <w:highlight w:val="none"/>
                <w:lang w:eastAsia="zh-CN"/>
              </w:rPr>
            </w:pPr>
            <w:r>
              <w:rPr>
                <w:rFonts w:hint="eastAsia" w:ascii="Times New Roman" w:hAnsi="Times New Roman"/>
                <w:color w:val="auto"/>
                <w:sz w:val="21"/>
                <w:szCs w:val="21"/>
                <w:highlight w:val="none"/>
                <w:lang w:val="en-US" w:eastAsia="zh-CN"/>
              </w:rPr>
              <w:t>7</w:t>
            </w:r>
          </w:p>
        </w:tc>
        <w:tc>
          <w:tcPr>
            <w:tcW w:w="1386" w:type="dxa"/>
            <w:tcBorders>
              <w:top w:val="single" w:color="auto" w:sz="4" w:space="0"/>
              <w:left w:val="single" w:color="auto" w:sz="4" w:space="0"/>
              <w:bottom w:val="single" w:color="auto" w:sz="4" w:space="0"/>
              <w:right w:val="single" w:color="auto" w:sz="4" w:space="0"/>
            </w:tcBorders>
            <w:noWrap w:val="0"/>
            <w:vAlign w:val="center"/>
          </w:tcPr>
          <w:p w14:paraId="1E421DC3">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与</w:t>
            </w:r>
            <w:r>
              <w:rPr>
                <w:rFonts w:hint="eastAsia" w:ascii="Times New Roman" w:hAnsi="Times New Roman"/>
                <w:color w:val="auto"/>
                <w:sz w:val="21"/>
                <w:szCs w:val="21"/>
                <w:highlight w:val="none"/>
                <w:lang w:eastAsia="zh-CN"/>
              </w:rPr>
              <w:t>“</w:t>
            </w:r>
            <w:r>
              <w:rPr>
                <w:rFonts w:ascii="Times New Roman" w:hAnsi="Times New Roman"/>
                <w:color w:val="auto"/>
                <w:sz w:val="21"/>
                <w:szCs w:val="21"/>
                <w:highlight w:val="none"/>
                <w:lang w:eastAsia="zh-CN"/>
              </w:rPr>
              <w:t>三线一单</w:t>
            </w:r>
            <w:r>
              <w:rPr>
                <w:rFonts w:hint="eastAsia" w:ascii="Times New Roman" w:hAnsi="Times New Roman"/>
                <w:color w:val="auto"/>
                <w:sz w:val="21"/>
                <w:szCs w:val="21"/>
                <w:highlight w:val="none"/>
                <w:lang w:eastAsia="zh-CN"/>
              </w:rPr>
              <w:t>”</w:t>
            </w:r>
            <w:r>
              <w:rPr>
                <w:rFonts w:ascii="Times New Roman" w:hAnsi="Times New Roman"/>
                <w:color w:val="auto"/>
                <w:sz w:val="21"/>
                <w:szCs w:val="21"/>
                <w:highlight w:val="none"/>
                <w:lang w:eastAsia="zh-CN"/>
              </w:rPr>
              <w:t>对照分析</w:t>
            </w:r>
          </w:p>
        </w:tc>
        <w:tc>
          <w:tcPr>
            <w:tcW w:w="6552" w:type="dxa"/>
            <w:tcBorders>
              <w:top w:val="single" w:color="auto" w:sz="4" w:space="0"/>
              <w:left w:val="single" w:color="auto" w:sz="4" w:space="0"/>
              <w:bottom w:val="single" w:color="auto" w:sz="4" w:space="0"/>
              <w:right w:val="single" w:color="auto" w:sz="4" w:space="0"/>
            </w:tcBorders>
            <w:noWrap w:val="0"/>
            <w:vAlign w:val="center"/>
          </w:tcPr>
          <w:p w14:paraId="6C08B593">
            <w:pPr>
              <w:pStyle w:val="227"/>
              <w:snapToGrid w:val="0"/>
              <w:spacing w:line="240" w:lineRule="auto"/>
              <w:jc w:val="center"/>
              <w:rPr>
                <w:rFonts w:ascii="Times New Roman" w:hAnsi="Times New Roman"/>
                <w:color w:val="auto"/>
                <w:sz w:val="21"/>
                <w:szCs w:val="21"/>
                <w:highlight w:val="none"/>
                <w:lang w:eastAsia="zh-CN"/>
              </w:rPr>
            </w:pPr>
            <w:r>
              <w:rPr>
                <w:rFonts w:ascii="Times New Roman" w:hAnsi="Times New Roman"/>
                <w:color w:val="auto"/>
                <w:sz w:val="21"/>
                <w:szCs w:val="21"/>
                <w:highlight w:val="none"/>
                <w:lang w:eastAsia="zh-CN"/>
              </w:rPr>
              <w:t>本项目</w:t>
            </w:r>
            <w:r>
              <w:rPr>
                <w:rFonts w:hint="eastAsia" w:ascii="Times New Roman" w:hAnsi="Times New Roman"/>
                <w:color w:val="auto"/>
                <w:sz w:val="21"/>
                <w:szCs w:val="21"/>
                <w:highlight w:val="none"/>
                <w:lang w:val="en-US" w:eastAsia="zh-CN"/>
              </w:rPr>
              <w:t>厂区</w:t>
            </w:r>
            <w:r>
              <w:rPr>
                <w:rFonts w:ascii="Times New Roman" w:hAnsi="Times New Roman"/>
                <w:color w:val="auto"/>
                <w:sz w:val="21"/>
                <w:szCs w:val="21"/>
                <w:highlight w:val="none"/>
                <w:lang w:eastAsia="zh-CN"/>
              </w:rPr>
              <w:t>所在地不在生态保护红线范围内，符合《安徽省生态保护红线》的要求；项目所在区域的环境空气、声环境、地表水、地下水、土壤的环境质量均较好，均可达到相应的环境功能区划要求；本项目营运过程中用水主要为生活用水、生产用水，达到国内清洁生产先进水平，本项目不超出当地资源利用</w:t>
            </w:r>
            <w:r>
              <w:rPr>
                <w:rFonts w:hint="eastAsia" w:ascii="Times New Roman" w:hAnsi="Times New Roman"/>
                <w:color w:val="auto"/>
                <w:sz w:val="21"/>
                <w:szCs w:val="21"/>
                <w:highlight w:val="none"/>
                <w:lang w:val="en-US" w:eastAsia="zh-CN"/>
              </w:rPr>
              <w:t>限</w:t>
            </w:r>
            <w:r>
              <w:rPr>
                <w:rFonts w:ascii="Times New Roman" w:hAnsi="Times New Roman"/>
                <w:color w:val="auto"/>
                <w:sz w:val="21"/>
                <w:szCs w:val="21"/>
                <w:highlight w:val="none"/>
                <w:lang w:eastAsia="zh-CN"/>
              </w:rPr>
              <w:t>。</w:t>
            </w:r>
          </w:p>
        </w:tc>
      </w:tr>
    </w:tbl>
    <w:p w14:paraId="5CA996E0">
      <w:pPr>
        <w:pStyle w:val="218"/>
        <w:spacing w:before="62" w:after="156"/>
        <w:rPr>
          <w:color w:val="auto"/>
          <w:highlight w:val="none"/>
        </w:rPr>
      </w:pPr>
      <w:bookmarkStart w:id="15" w:name="_Toc152921958"/>
      <w:bookmarkStart w:id="16" w:name="_Toc152922552"/>
      <w:bookmarkStart w:id="17" w:name="_Toc25729"/>
      <w:r>
        <w:rPr>
          <w:color w:val="auto"/>
          <w:highlight w:val="none"/>
        </w:rPr>
        <w:t>1.5关注的主要环境问题</w:t>
      </w:r>
      <w:bookmarkEnd w:id="15"/>
      <w:bookmarkEnd w:id="16"/>
      <w:bookmarkEnd w:id="17"/>
    </w:p>
    <w:p w14:paraId="20CA2B3F">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本项目环境影响评价工作范围：结合建设项目的工程特点和周围环境特征，重点分析以下几方面问题：</w:t>
      </w:r>
    </w:p>
    <w:p w14:paraId="1E353805">
      <w:pPr>
        <w:snapToGrid w:val="0"/>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核算项目物料平衡、统计污染物排放源强，分析工程实施后污染物排放情况。</w:t>
      </w:r>
    </w:p>
    <w:p w14:paraId="3D7D5034">
      <w:pPr>
        <w:snapToGrid w:val="0"/>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工程采取的污染防治对策及污染物排放达标可靠性分析。</w:t>
      </w:r>
    </w:p>
    <w:p w14:paraId="174D216F">
      <w:pPr>
        <w:snapToGrid w:val="0"/>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工程实施后废气排放对环境空气的影响预测评价。</w:t>
      </w:r>
    </w:p>
    <w:p w14:paraId="47806BCF">
      <w:pPr>
        <w:snapToGrid w:val="0"/>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有毒、有害物质泄漏及火灾、爆炸事故下伴生、衍生污染物排放等环境风险情形对大气、地表水、地下水环境污染。</w:t>
      </w:r>
    </w:p>
    <w:p w14:paraId="7E11F87A">
      <w:pPr>
        <w:snapToGrid w:val="0"/>
        <w:spacing w:line="360" w:lineRule="auto"/>
        <w:ind w:firstLine="480" w:firstLineChars="200"/>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本项目</w:t>
      </w:r>
      <w:r>
        <w:rPr>
          <w:rFonts w:hint="default" w:ascii="Times New Roman" w:hAnsi="Times New Roman" w:eastAsia="宋体" w:cs="Times New Roman"/>
          <w:b w:val="0"/>
          <w:bCs w:val="0"/>
          <w:color w:val="auto"/>
          <w:sz w:val="24"/>
          <w:szCs w:val="24"/>
          <w:highlight w:val="none"/>
          <w:lang w:val="en-US" w:eastAsia="zh-CN"/>
        </w:rPr>
        <w:t>制氢</w:t>
      </w:r>
      <w:r>
        <w:rPr>
          <w:rFonts w:hint="default" w:ascii="Times New Roman" w:hAnsi="Times New Roman" w:eastAsia="宋体" w:cs="Times New Roman"/>
          <w:b w:val="0"/>
          <w:bCs w:val="0"/>
          <w:color w:val="auto"/>
          <w:sz w:val="24"/>
          <w:szCs w:val="24"/>
          <w:highlight w:val="none"/>
        </w:rPr>
        <w:t>生产区和罐区存在环境风险，环境风险需重点关注。</w:t>
      </w:r>
    </w:p>
    <w:p w14:paraId="51CE2983">
      <w:pPr>
        <w:pStyle w:val="218"/>
        <w:spacing w:before="62" w:after="156"/>
        <w:rPr>
          <w:color w:val="auto"/>
          <w:highlight w:val="none"/>
        </w:rPr>
      </w:pPr>
      <w:bookmarkStart w:id="18" w:name="_Toc20195"/>
      <w:bookmarkStart w:id="19" w:name="_Toc152921959"/>
      <w:bookmarkStart w:id="20" w:name="_Toc152922553"/>
      <w:r>
        <w:rPr>
          <w:color w:val="auto"/>
          <w:highlight w:val="none"/>
        </w:rPr>
        <w:t>1.6环境影响评价总结论</w:t>
      </w:r>
      <w:bookmarkEnd w:id="18"/>
      <w:bookmarkEnd w:id="19"/>
      <w:bookmarkEnd w:id="20"/>
    </w:p>
    <w:p w14:paraId="7810C389">
      <w:pPr>
        <w:pStyle w:val="2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olor w:val="auto"/>
          <w:highlight w:val="none"/>
        </w:rPr>
      </w:pPr>
      <w:r>
        <w:rPr>
          <w:rFonts w:hint="default" w:ascii="Times New Roman" w:hAnsi="Times New Roman" w:eastAsia="宋体" w:cs="Times New Roman"/>
          <w:b w:val="0"/>
          <w:bCs w:val="0"/>
          <w:color w:val="auto"/>
          <w:kern w:val="2"/>
          <w:sz w:val="24"/>
          <w:szCs w:val="24"/>
          <w:highlight w:val="none"/>
          <w:lang w:val="en-US" w:eastAsia="zh-CN" w:bidi="ar-SA"/>
        </w:rPr>
        <w:t>本项目建设符合国家和地方的产业政策，污染防治措施合理、可行、有效，可实现污染物稳定达标排放，排放总量满足总量控制的要求。根据环境影响预测，项目建成后对环境的影响较小，不会改变周边环境功能区划。本项目公示期间，尚未收到公众反馈意见。项目在落实各项污染防治措施，在营运期加强环境管理，确保各污染防治措施正常运行的前提下，从环保的角度分析，项目的建设是可行的。</w:t>
      </w:r>
    </w:p>
    <w:p w14:paraId="7ACEC5DF">
      <w:pPr>
        <w:spacing w:after="156" w:afterLines="50" w:line="360" w:lineRule="auto"/>
        <w:outlineLvl w:val="0"/>
        <w:rPr>
          <w:rFonts w:ascii="Times New Roman" w:hAnsi="Times New Roman" w:eastAsia="宋体"/>
          <w:b/>
          <w:bCs/>
          <w:color w:val="auto"/>
          <w:sz w:val="32"/>
          <w:szCs w:val="28"/>
          <w:highlight w:val="none"/>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12" w:charSpace="0"/>
        </w:sectPr>
      </w:pPr>
    </w:p>
    <w:p w14:paraId="0ED9B070">
      <w:pPr>
        <w:pStyle w:val="46"/>
        <w:rPr>
          <w:color w:val="auto"/>
          <w:highlight w:val="none"/>
        </w:rPr>
      </w:pPr>
      <w:bookmarkStart w:id="21" w:name="_Toc7003"/>
      <w:bookmarkStart w:id="22" w:name="_Toc152921960"/>
      <w:bookmarkStart w:id="23" w:name="_Toc152922554"/>
      <w:r>
        <w:rPr>
          <w:color w:val="auto"/>
          <w:highlight w:val="none"/>
        </w:rPr>
        <w:t>2总则</w:t>
      </w:r>
      <w:bookmarkEnd w:id="21"/>
      <w:bookmarkEnd w:id="22"/>
      <w:bookmarkEnd w:id="23"/>
    </w:p>
    <w:p w14:paraId="6A3BE636">
      <w:pPr>
        <w:pStyle w:val="218"/>
        <w:spacing w:before="62" w:after="156"/>
        <w:rPr>
          <w:color w:val="auto"/>
          <w:highlight w:val="none"/>
        </w:rPr>
      </w:pPr>
      <w:bookmarkStart w:id="24" w:name="_Toc152921961"/>
      <w:bookmarkStart w:id="25" w:name="_Toc152922555"/>
      <w:bookmarkStart w:id="26" w:name="_Toc17545"/>
      <w:r>
        <w:rPr>
          <w:color w:val="auto"/>
          <w:highlight w:val="none"/>
        </w:rPr>
        <w:t>2.1编制依据</w:t>
      </w:r>
      <w:bookmarkEnd w:id="24"/>
      <w:bookmarkEnd w:id="25"/>
      <w:bookmarkEnd w:id="26"/>
    </w:p>
    <w:p w14:paraId="6C4AE2C9">
      <w:pPr>
        <w:pStyle w:val="4"/>
        <w:spacing w:after="156"/>
        <w:rPr>
          <w:color w:val="auto"/>
          <w:highlight w:val="none"/>
        </w:rPr>
      </w:pPr>
      <w:bookmarkStart w:id="27" w:name="_Toc152921597"/>
      <w:bookmarkStart w:id="28" w:name="_Toc152923237"/>
      <w:bookmarkStart w:id="29" w:name="_Toc152921962"/>
      <w:bookmarkStart w:id="30" w:name="_Toc152922556"/>
      <w:bookmarkStart w:id="31" w:name="_Toc117150192"/>
      <w:r>
        <w:rPr>
          <w:color w:val="auto"/>
          <w:highlight w:val="none"/>
        </w:rPr>
        <w:t>2.1.1国家法律、法规、规章及规范性文件</w:t>
      </w:r>
      <w:bookmarkEnd w:id="27"/>
      <w:bookmarkEnd w:id="28"/>
      <w:bookmarkEnd w:id="29"/>
      <w:bookmarkEnd w:id="30"/>
      <w:bookmarkEnd w:id="31"/>
    </w:p>
    <w:p w14:paraId="7114A83C">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（1）《中华人民共和国环境保护法》（自2015年1月1日起施行）；</w:t>
      </w:r>
    </w:p>
    <w:p w14:paraId="1A9B9F44">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（2）《中华人民共和国环境影响评价法》（2018年12月29日修订及施行）；</w:t>
      </w:r>
    </w:p>
    <w:p w14:paraId="107A2F49">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（3）《中华人民共和国水污染防治法》（2017修正，自2018年1月1日起施行）；</w:t>
      </w:r>
    </w:p>
    <w:p w14:paraId="3E71E458">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（4）《中华人民共和国大气污染防治法》（2018年10月26日修订及施行）；</w:t>
      </w:r>
    </w:p>
    <w:p w14:paraId="728988E7">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（5）《中华人民共和国噪声污染防治法》（</w:t>
      </w:r>
      <w:r>
        <w:rPr>
          <w:rFonts w:ascii="Times New Roman" w:hAnsi="Times New Roman" w:eastAsia="宋体"/>
          <w:color w:val="auto"/>
          <w:sz w:val="24"/>
          <w:szCs w:val="18"/>
          <w:highlight w:val="none"/>
        </w:rPr>
        <w:t>2021年12月24日修订，</w:t>
      </w:r>
      <w:r>
        <w:rPr>
          <w:rFonts w:ascii="Times New Roman" w:hAnsi="Times New Roman" w:eastAsia="宋体"/>
          <w:color w:val="auto"/>
          <w:sz w:val="24"/>
          <w:highlight w:val="none"/>
        </w:rPr>
        <w:t>2022年6月5日实施）；</w:t>
      </w:r>
    </w:p>
    <w:p w14:paraId="76E80998">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（6）《中华人民共和国固体废物污染环境防治法》（2020年4月29日修订通过，自2020年9月1日起施行）；</w:t>
      </w:r>
    </w:p>
    <w:p w14:paraId="3AAA513A">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（7）《中华人民共和国土壤污染防治法》（2018年8月31日通过，自2019年1月1日起施行）；</w:t>
      </w:r>
    </w:p>
    <w:p w14:paraId="1CB9EEEB">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（8）《中华人民共和国清洁生产促进法》（2016年5月修订，2016年7月1日起施行）；</w:t>
      </w:r>
    </w:p>
    <w:p w14:paraId="294A4D0B">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（9）《</w:t>
      </w:r>
      <w:r>
        <w:rPr>
          <w:rFonts w:hint="eastAsia" w:ascii="Times New Roman" w:hAnsi="Times New Roman" w:eastAsia="宋体"/>
          <w:color w:val="auto"/>
          <w:sz w:val="24"/>
          <w:highlight w:val="none"/>
        </w:rPr>
        <w:t>中华人民共和国能源法</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rPr>
        <w:t>2024年11月8日</w:t>
      </w:r>
      <w:r>
        <w:rPr>
          <w:rFonts w:hint="eastAsia" w:ascii="Times New Roman" w:hAnsi="Times New Roman" w:eastAsia="宋体"/>
          <w:color w:val="auto"/>
          <w:sz w:val="24"/>
          <w:highlight w:val="none"/>
          <w:lang w:val="en-US" w:eastAsia="zh-CN"/>
        </w:rPr>
        <w:t>通过</w:t>
      </w:r>
      <w:r>
        <w:rPr>
          <w:rFonts w:hint="eastAsia" w:ascii="Times New Roman" w:hAnsi="Times New Roman" w:eastAsia="宋体"/>
          <w:color w:val="auto"/>
          <w:sz w:val="24"/>
          <w:highlight w:val="none"/>
          <w:lang w:eastAsia="zh-CN"/>
        </w:rPr>
        <w:t>，2025年1月1日起施行</w:t>
      </w:r>
      <w:r>
        <w:rPr>
          <w:rFonts w:ascii="Times New Roman" w:hAnsi="Times New Roman" w:eastAsia="宋体"/>
          <w:color w:val="auto"/>
          <w:sz w:val="24"/>
          <w:highlight w:val="none"/>
        </w:rPr>
        <w:t>）；</w:t>
      </w:r>
    </w:p>
    <w:p w14:paraId="3563C49F">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0</w:t>
      </w:r>
      <w:r>
        <w:rPr>
          <w:rFonts w:ascii="Times New Roman" w:hAnsi="Times New Roman" w:eastAsia="宋体"/>
          <w:color w:val="auto"/>
          <w:sz w:val="24"/>
          <w:highlight w:val="none"/>
        </w:rPr>
        <w:t>）《建设项目环境保护管理条例》（2017年6月21日通过，自2017年10月1日起施行）；</w:t>
      </w:r>
    </w:p>
    <w:p w14:paraId="61523447">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1</w:t>
      </w:r>
      <w:r>
        <w:rPr>
          <w:rFonts w:ascii="Times New Roman" w:hAnsi="Times New Roman" w:eastAsia="宋体"/>
          <w:color w:val="auto"/>
          <w:sz w:val="24"/>
          <w:highlight w:val="none"/>
        </w:rPr>
        <w:t>）《建设项目环境影响评价分类管理名录》（2021年版）；</w:t>
      </w:r>
    </w:p>
    <w:p w14:paraId="35A9C463">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2</w:t>
      </w:r>
      <w:r>
        <w:rPr>
          <w:rFonts w:ascii="Times New Roman" w:hAnsi="Times New Roman" w:eastAsia="宋体"/>
          <w:color w:val="auto"/>
          <w:sz w:val="24"/>
          <w:highlight w:val="none"/>
        </w:rPr>
        <w:t>）《环境影响评价公众参与办法》（2018年4月16日通过，自2019年1月1日起施行）；</w:t>
      </w:r>
    </w:p>
    <w:p w14:paraId="7F1DB486">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3</w:t>
      </w:r>
      <w:r>
        <w:rPr>
          <w:rFonts w:ascii="Times New Roman" w:hAnsi="Times New Roman" w:eastAsia="宋体"/>
          <w:color w:val="auto"/>
          <w:sz w:val="24"/>
          <w:highlight w:val="none"/>
        </w:rPr>
        <w:t>）《关于印发</w:t>
      </w:r>
      <w:r>
        <w:rPr>
          <w:rFonts w:hint="eastAsia" w:ascii="Times New Roman" w:hAnsi="Times New Roman" w:eastAsia="宋体"/>
          <w:color w:val="auto"/>
          <w:sz w:val="24"/>
          <w:highlight w:val="none"/>
          <w:lang w:eastAsia="zh-CN"/>
        </w:rPr>
        <w:t>〈</w:t>
      </w:r>
      <w:r>
        <w:rPr>
          <w:rFonts w:ascii="Times New Roman" w:hAnsi="Times New Roman" w:eastAsia="宋体"/>
          <w:color w:val="auto"/>
          <w:sz w:val="24"/>
          <w:highlight w:val="none"/>
        </w:rPr>
        <w:t>建设项目环境影响评价政府信息公开指南（试行）</w:t>
      </w:r>
      <w:r>
        <w:rPr>
          <w:rFonts w:hint="eastAsia" w:ascii="Times New Roman" w:hAnsi="Times New Roman" w:eastAsia="宋体"/>
          <w:color w:val="auto"/>
          <w:sz w:val="24"/>
          <w:highlight w:val="none"/>
          <w:lang w:eastAsia="zh-CN"/>
        </w:rPr>
        <w:t>〉</w:t>
      </w:r>
      <w:r>
        <w:rPr>
          <w:rFonts w:ascii="Times New Roman" w:hAnsi="Times New Roman" w:eastAsia="宋体"/>
          <w:color w:val="auto"/>
          <w:sz w:val="24"/>
          <w:highlight w:val="none"/>
        </w:rPr>
        <w:t>的通知》（环办</w:t>
      </w:r>
      <w:r>
        <w:rPr>
          <w:rFonts w:hint="eastAsia" w:ascii="Times New Roman" w:hAnsi="Times New Roman" w:eastAsia="宋体"/>
          <w:color w:val="auto"/>
          <w:sz w:val="24"/>
          <w:highlight w:val="none"/>
        </w:rPr>
        <w:t>〔20</w:t>
      </w:r>
      <w:r>
        <w:rPr>
          <w:rFonts w:hint="eastAsia" w:ascii="Times New Roman" w:hAnsi="Times New Roman" w:eastAsia="宋体"/>
          <w:color w:val="auto"/>
          <w:sz w:val="24"/>
          <w:highlight w:val="none"/>
          <w:lang w:val="en-US" w:eastAsia="zh-CN"/>
        </w:rPr>
        <w:t>13</w:t>
      </w:r>
      <w:r>
        <w:rPr>
          <w:rFonts w:hint="eastAsia" w:ascii="Times New Roman" w:hAnsi="Times New Roman" w:eastAsia="宋体"/>
          <w:color w:val="auto"/>
          <w:sz w:val="24"/>
          <w:highlight w:val="none"/>
        </w:rPr>
        <w:t>〕</w:t>
      </w:r>
      <w:r>
        <w:rPr>
          <w:rFonts w:ascii="Times New Roman" w:hAnsi="Times New Roman" w:eastAsia="宋体"/>
          <w:color w:val="auto"/>
          <w:sz w:val="24"/>
          <w:highlight w:val="none"/>
        </w:rPr>
        <w:t>103号，2013年11月14日）；</w:t>
      </w:r>
    </w:p>
    <w:p w14:paraId="368C4E3F">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4</w:t>
      </w:r>
      <w:r>
        <w:rPr>
          <w:rFonts w:ascii="Times New Roman" w:hAnsi="Times New Roman" w:eastAsia="宋体"/>
          <w:color w:val="auto"/>
          <w:sz w:val="24"/>
          <w:highlight w:val="none"/>
        </w:rPr>
        <w:t>）《危险化学品名录》（2015版）（国家安全生产监督管理</w:t>
      </w:r>
      <w:r>
        <w:rPr>
          <w:rFonts w:hint="eastAsia" w:ascii="Times New Roman" w:hAnsi="Times New Roman" w:eastAsia="宋体"/>
          <w:color w:val="auto"/>
          <w:sz w:val="24"/>
          <w:highlight w:val="none"/>
          <w:lang w:val="en-US" w:eastAsia="zh-CN"/>
        </w:rPr>
        <w:t>总</w:t>
      </w:r>
      <w:r>
        <w:rPr>
          <w:rFonts w:ascii="Times New Roman" w:hAnsi="Times New Roman" w:eastAsia="宋体"/>
          <w:color w:val="auto"/>
          <w:sz w:val="24"/>
          <w:highlight w:val="none"/>
        </w:rPr>
        <w:t>局公告2015第3号）；</w:t>
      </w:r>
    </w:p>
    <w:p w14:paraId="4D272D10">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5</w:t>
      </w:r>
      <w:r>
        <w:rPr>
          <w:rFonts w:ascii="Times New Roman" w:hAnsi="Times New Roman" w:eastAsia="宋体"/>
          <w:color w:val="auto"/>
          <w:sz w:val="24"/>
          <w:highlight w:val="none"/>
        </w:rPr>
        <w:t>）《国家危险废物名录》（202</w:t>
      </w:r>
      <w:r>
        <w:rPr>
          <w:rFonts w:hint="eastAsia" w:ascii="Times New Roman" w:hAnsi="Times New Roman" w:eastAsia="宋体"/>
          <w:color w:val="auto"/>
          <w:sz w:val="24"/>
          <w:highlight w:val="none"/>
          <w:lang w:val="en-US" w:eastAsia="zh-CN"/>
        </w:rPr>
        <w:t>5</w:t>
      </w:r>
      <w:r>
        <w:rPr>
          <w:rFonts w:ascii="Times New Roman" w:hAnsi="Times New Roman" w:eastAsia="宋体"/>
          <w:color w:val="auto"/>
          <w:sz w:val="24"/>
          <w:highlight w:val="none"/>
        </w:rPr>
        <w:t>年版）；</w:t>
      </w:r>
    </w:p>
    <w:p w14:paraId="5DBB91F9">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6</w:t>
      </w:r>
      <w:r>
        <w:rPr>
          <w:rFonts w:ascii="Times New Roman" w:hAnsi="Times New Roman" w:eastAsia="宋体"/>
          <w:color w:val="auto"/>
          <w:sz w:val="24"/>
          <w:highlight w:val="none"/>
        </w:rPr>
        <w:t>）《危险化学品安全管理条例》（中华人民共和国国务院令第645号，2013年12月4日修订通过，自2013年12月7日起施行）；</w:t>
      </w:r>
    </w:p>
    <w:p w14:paraId="08C7C078">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7</w:t>
      </w:r>
      <w:r>
        <w:rPr>
          <w:rFonts w:ascii="Times New Roman" w:hAnsi="Times New Roman" w:eastAsia="宋体"/>
          <w:color w:val="auto"/>
          <w:sz w:val="24"/>
          <w:highlight w:val="none"/>
        </w:rPr>
        <w:t>）《</w:t>
      </w:r>
      <w:r>
        <w:rPr>
          <w:rFonts w:ascii="Times New Roman" w:hAnsi="Times New Roman" w:eastAsia="宋体"/>
          <w:color w:val="auto"/>
          <w:sz w:val="24"/>
          <w:highlight w:val="none"/>
          <w:lang w:val="en-US" w:eastAsia="zh-CN"/>
        </w:rPr>
        <w:t>中华人民共和国安全生产法</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rPr>
        <w:t>2</w:t>
      </w:r>
      <w:r>
        <w:rPr>
          <w:rFonts w:hint="eastAsia" w:ascii="Times New Roman" w:hAnsi="Times New Roman" w:eastAsia="宋体"/>
          <w:color w:val="auto"/>
          <w:sz w:val="24"/>
          <w:highlight w:val="none"/>
          <w:lang w:val="en-US" w:eastAsia="zh-CN"/>
        </w:rPr>
        <w:t>002</w:t>
      </w:r>
      <w:r>
        <w:rPr>
          <w:rFonts w:hint="eastAsia" w:ascii="Times New Roman" w:hAnsi="Times New Roman" w:eastAsia="宋体"/>
          <w:color w:val="auto"/>
          <w:sz w:val="24"/>
          <w:highlight w:val="none"/>
        </w:rPr>
        <w:t>年</w:t>
      </w:r>
      <w:r>
        <w:rPr>
          <w:rFonts w:hint="eastAsia" w:ascii="Times New Roman" w:hAnsi="Times New Roman" w:eastAsia="宋体"/>
          <w:color w:val="auto"/>
          <w:sz w:val="24"/>
          <w:highlight w:val="none"/>
          <w:lang w:val="en-US" w:eastAsia="zh-CN"/>
        </w:rPr>
        <w:t>6</w:t>
      </w:r>
      <w:r>
        <w:rPr>
          <w:rFonts w:hint="eastAsia" w:ascii="Times New Roman" w:hAnsi="Times New Roman" w:eastAsia="宋体"/>
          <w:color w:val="auto"/>
          <w:sz w:val="24"/>
          <w:highlight w:val="none"/>
        </w:rPr>
        <w:t>月</w:t>
      </w:r>
      <w:r>
        <w:rPr>
          <w:rFonts w:hint="eastAsia" w:ascii="Times New Roman" w:hAnsi="Times New Roman" w:eastAsia="宋体"/>
          <w:color w:val="auto"/>
          <w:sz w:val="24"/>
          <w:highlight w:val="none"/>
          <w:lang w:val="en-US" w:eastAsia="zh-CN"/>
        </w:rPr>
        <w:t>9</w:t>
      </w:r>
      <w:r>
        <w:rPr>
          <w:rFonts w:hint="eastAsia" w:ascii="Times New Roman" w:hAnsi="Times New Roman" w:eastAsia="宋体"/>
          <w:color w:val="auto"/>
          <w:sz w:val="24"/>
          <w:highlight w:val="none"/>
        </w:rPr>
        <w:t>日</w:t>
      </w:r>
      <w:r>
        <w:rPr>
          <w:rFonts w:hint="eastAsia" w:ascii="Times New Roman" w:hAnsi="Times New Roman" w:eastAsia="宋体"/>
          <w:color w:val="auto"/>
          <w:sz w:val="24"/>
          <w:highlight w:val="none"/>
          <w:lang w:val="en-US" w:eastAsia="zh-CN"/>
        </w:rPr>
        <w:t>通过</w:t>
      </w:r>
      <w:r>
        <w:rPr>
          <w:rFonts w:hint="eastAsia" w:ascii="Times New Roman" w:hAnsi="Times New Roman" w:eastAsia="宋体"/>
          <w:color w:val="auto"/>
          <w:sz w:val="24"/>
          <w:highlight w:val="none"/>
          <w:lang w:eastAsia="zh-CN"/>
        </w:rPr>
        <w:t>，20</w:t>
      </w:r>
      <w:r>
        <w:rPr>
          <w:rFonts w:hint="eastAsia" w:ascii="Times New Roman" w:hAnsi="Times New Roman" w:eastAsia="宋体"/>
          <w:color w:val="auto"/>
          <w:sz w:val="24"/>
          <w:highlight w:val="none"/>
          <w:lang w:val="en-US" w:eastAsia="zh-CN"/>
        </w:rPr>
        <w:t>02</w:t>
      </w:r>
      <w:r>
        <w:rPr>
          <w:rFonts w:hint="eastAsia" w:ascii="Times New Roman" w:hAnsi="Times New Roman" w:eastAsia="宋体"/>
          <w:color w:val="auto"/>
          <w:sz w:val="24"/>
          <w:highlight w:val="none"/>
          <w:lang w:eastAsia="zh-CN"/>
        </w:rPr>
        <w:t>年</w:t>
      </w:r>
      <w:r>
        <w:rPr>
          <w:rFonts w:hint="eastAsia" w:ascii="Times New Roman" w:hAnsi="Times New Roman" w:eastAsia="宋体"/>
          <w:color w:val="auto"/>
          <w:sz w:val="24"/>
          <w:highlight w:val="none"/>
          <w:lang w:val="en-US" w:eastAsia="zh-CN"/>
        </w:rPr>
        <w:t>1</w:t>
      </w:r>
      <w:r>
        <w:rPr>
          <w:rFonts w:hint="eastAsia" w:ascii="Times New Roman" w:hAnsi="Times New Roman" w:eastAsia="宋体"/>
          <w:color w:val="auto"/>
          <w:sz w:val="24"/>
          <w:highlight w:val="none"/>
          <w:lang w:eastAsia="zh-CN"/>
        </w:rPr>
        <w:t>1月1日起施行</w:t>
      </w:r>
      <w:r>
        <w:rPr>
          <w:rFonts w:ascii="Times New Roman" w:hAnsi="Times New Roman" w:eastAsia="宋体"/>
          <w:color w:val="auto"/>
          <w:sz w:val="24"/>
          <w:highlight w:val="none"/>
        </w:rPr>
        <w:t>）；</w:t>
      </w:r>
    </w:p>
    <w:p w14:paraId="62582A5D">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8</w:t>
      </w:r>
      <w:r>
        <w:rPr>
          <w:rFonts w:ascii="Times New Roman" w:hAnsi="Times New Roman" w:eastAsia="宋体"/>
          <w:color w:val="auto"/>
          <w:sz w:val="24"/>
          <w:highlight w:val="none"/>
        </w:rPr>
        <w:t>）《关于进一步加强环境影响评价管理防范环境风险的通知》（环保部，环发</w:t>
      </w:r>
      <w:r>
        <w:rPr>
          <w:rFonts w:hint="eastAsia" w:ascii="Times New Roman" w:hAnsi="Times New Roman" w:eastAsia="宋体"/>
          <w:color w:val="auto"/>
          <w:sz w:val="24"/>
          <w:highlight w:val="none"/>
        </w:rPr>
        <w:t>〔20</w:t>
      </w:r>
      <w:r>
        <w:rPr>
          <w:rFonts w:hint="eastAsia" w:ascii="Times New Roman" w:hAnsi="Times New Roman" w:eastAsia="宋体"/>
          <w:color w:val="auto"/>
          <w:sz w:val="24"/>
          <w:highlight w:val="none"/>
          <w:lang w:val="en-US" w:eastAsia="zh-CN"/>
        </w:rPr>
        <w:t>1</w:t>
      </w:r>
      <w:r>
        <w:rPr>
          <w:rFonts w:hint="eastAsia" w:ascii="Times New Roman" w:hAnsi="Times New Roman" w:eastAsia="宋体"/>
          <w:color w:val="auto"/>
          <w:sz w:val="24"/>
          <w:highlight w:val="none"/>
        </w:rPr>
        <w:t>2〕</w:t>
      </w:r>
      <w:r>
        <w:rPr>
          <w:rFonts w:ascii="Times New Roman" w:hAnsi="Times New Roman" w:eastAsia="宋体"/>
          <w:color w:val="auto"/>
          <w:sz w:val="24"/>
          <w:highlight w:val="none"/>
        </w:rPr>
        <w:t>77号）；</w:t>
      </w:r>
    </w:p>
    <w:p w14:paraId="7FBD1554">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9</w:t>
      </w:r>
      <w:r>
        <w:rPr>
          <w:rFonts w:ascii="Times New Roman" w:hAnsi="Times New Roman" w:eastAsia="宋体"/>
          <w:color w:val="auto"/>
          <w:sz w:val="24"/>
          <w:highlight w:val="none"/>
        </w:rPr>
        <w:t>）《关于切实加强风险防范严格环境影响评价管理的通知》（环发</w:t>
      </w:r>
      <w:r>
        <w:rPr>
          <w:rFonts w:hint="eastAsia" w:ascii="Times New Roman" w:hAnsi="Times New Roman" w:eastAsia="宋体"/>
          <w:color w:val="auto"/>
          <w:sz w:val="24"/>
          <w:highlight w:val="none"/>
          <w:lang w:eastAsia="zh-CN"/>
        </w:rPr>
        <w:t>〔2012〕98号</w:t>
      </w:r>
      <w:r>
        <w:rPr>
          <w:rFonts w:ascii="Times New Roman" w:hAnsi="Times New Roman" w:eastAsia="宋体"/>
          <w:color w:val="auto"/>
          <w:sz w:val="24"/>
          <w:highlight w:val="none"/>
        </w:rPr>
        <w:t>）；</w:t>
      </w:r>
    </w:p>
    <w:p w14:paraId="5A516D8B">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20</w:t>
      </w:r>
      <w:r>
        <w:rPr>
          <w:rFonts w:ascii="Times New Roman" w:hAnsi="Times New Roman" w:eastAsia="宋体"/>
          <w:color w:val="auto"/>
          <w:sz w:val="24"/>
          <w:highlight w:val="none"/>
        </w:rPr>
        <w:t>）《大气污染防治行动计划》（中华人民共和国国务院，国发</w:t>
      </w:r>
      <w:r>
        <w:rPr>
          <w:rFonts w:hint="eastAsia" w:ascii="Times New Roman" w:hAnsi="Times New Roman" w:eastAsia="宋体"/>
          <w:color w:val="auto"/>
          <w:sz w:val="24"/>
          <w:highlight w:val="none"/>
        </w:rPr>
        <w:t>〔20</w:t>
      </w:r>
      <w:r>
        <w:rPr>
          <w:rFonts w:hint="eastAsia" w:ascii="Times New Roman" w:hAnsi="Times New Roman" w:eastAsia="宋体"/>
          <w:color w:val="auto"/>
          <w:sz w:val="24"/>
          <w:highlight w:val="none"/>
          <w:lang w:val="en-US" w:eastAsia="zh-CN"/>
        </w:rPr>
        <w:t>13</w:t>
      </w:r>
      <w:r>
        <w:rPr>
          <w:rFonts w:hint="eastAsia" w:ascii="Times New Roman" w:hAnsi="Times New Roman" w:eastAsia="宋体"/>
          <w:color w:val="auto"/>
          <w:sz w:val="24"/>
          <w:highlight w:val="none"/>
        </w:rPr>
        <w:t>〕</w:t>
      </w:r>
      <w:r>
        <w:rPr>
          <w:rFonts w:ascii="Times New Roman" w:hAnsi="Times New Roman" w:eastAsia="宋体"/>
          <w:color w:val="auto"/>
          <w:sz w:val="24"/>
          <w:highlight w:val="none"/>
        </w:rPr>
        <w:t>37号文，2013.09.10发布并实施）；</w:t>
      </w:r>
    </w:p>
    <w:p w14:paraId="750B8975">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（2</w:t>
      </w:r>
      <w:r>
        <w:rPr>
          <w:rFonts w:hint="eastAsia" w:ascii="Times New Roman" w:hAnsi="Times New Roman" w:eastAsia="宋体"/>
          <w:color w:val="auto"/>
          <w:sz w:val="24"/>
          <w:highlight w:val="none"/>
          <w:lang w:val="en-US" w:eastAsia="zh-CN"/>
        </w:rPr>
        <w:t>1</w:t>
      </w:r>
      <w:r>
        <w:rPr>
          <w:rFonts w:ascii="Times New Roman" w:hAnsi="Times New Roman" w:eastAsia="宋体"/>
          <w:color w:val="auto"/>
          <w:sz w:val="24"/>
          <w:highlight w:val="none"/>
        </w:rPr>
        <w:t>）《水污染防治行动计划》（中华人民共和国国务院，国发</w:t>
      </w:r>
      <w:r>
        <w:rPr>
          <w:rFonts w:hint="eastAsia" w:ascii="Times New Roman" w:hAnsi="Times New Roman" w:eastAsia="宋体"/>
          <w:color w:val="auto"/>
          <w:sz w:val="24"/>
          <w:highlight w:val="none"/>
        </w:rPr>
        <w:t>〔20</w:t>
      </w:r>
      <w:r>
        <w:rPr>
          <w:rFonts w:hint="eastAsia" w:ascii="Times New Roman" w:hAnsi="Times New Roman" w:eastAsia="宋体"/>
          <w:color w:val="auto"/>
          <w:sz w:val="24"/>
          <w:highlight w:val="none"/>
          <w:lang w:val="en-US" w:eastAsia="zh-CN"/>
        </w:rPr>
        <w:t>15</w:t>
      </w:r>
      <w:r>
        <w:rPr>
          <w:rFonts w:hint="eastAsia" w:ascii="Times New Roman" w:hAnsi="Times New Roman" w:eastAsia="宋体"/>
          <w:color w:val="auto"/>
          <w:sz w:val="24"/>
          <w:highlight w:val="none"/>
        </w:rPr>
        <w:t>〕</w:t>
      </w:r>
      <w:r>
        <w:rPr>
          <w:rFonts w:ascii="Times New Roman" w:hAnsi="Times New Roman" w:eastAsia="宋体"/>
          <w:color w:val="auto"/>
          <w:sz w:val="24"/>
          <w:highlight w:val="none"/>
        </w:rPr>
        <w:t>17号文，2015.04.16发布并实施）；</w:t>
      </w:r>
    </w:p>
    <w:p w14:paraId="14B7E635">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（2</w:t>
      </w:r>
      <w:r>
        <w:rPr>
          <w:rFonts w:hint="eastAsia" w:ascii="Times New Roman" w:hAnsi="Times New Roman" w:eastAsia="宋体"/>
          <w:color w:val="auto"/>
          <w:sz w:val="24"/>
          <w:highlight w:val="none"/>
          <w:lang w:val="en-US" w:eastAsia="zh-CN"/>
        </w:rPr>
        <w:t>2</w:t>
      </w:r>
      <w:r>
        <w:rPr>
          <w:rFonts w:ascii="Times New Roman" w:hAnsi="Times New Roman" w:eastAsia="宋体"/>
          <w:color w:val="auto"/>
          <w:sz w:val="24"/>
          <w:highlight w:val="none"/>
        </w:rPr>
        <w:t>）《土壤污染防治行动计划》（中华人民共和国国务院，国发</w:t>
      </w:r>
      <w:r>
        <w:rPr>
          <w:rFonts w:hint="eastAsia" w:ascii="Times New Roman" w:hAnsi="Times New Roman" w:eastAsia="宋体"/>
          <w:color w:val="auto"/>
          <w:sz w:val="24"/>
          <w:highlight w:val="none"/>
        </w:rPr>
        <w:t>〔20</w:t>
      </w:r>
      <w:r>
        <w:rPr>
          <w:rFonts w:hint="eastAsia" w:ascii="Times New Roman" w:hAnsi="Times New Roman" w:eastAsia="宋体"/>
          <w:color w:val="auto"/>
          <w:sz w:val="24"/>
          <w:highlight w:val="none"/>
          <w:lang w:val="en-US" w:eastAsia="zh-CN"/>
        </w:rPr>
        <w:t>16</w:t>
      </w:r>
      <w:r>
        <w:rPr>
          <w:rFonts w:hint="eastAsia" w:ascii="Times New Roman" w:hAnsi="Times New Roman" w:eastAsia="宋体"/>
          <w:color w:val="auto"/>
          <w:sz w:val="24"/>
          <w:highlight w:val="none"/>
        </w:rPr>
        <w:t>〕</w:t>
      </w:r>
      <w:r>
        <w:rPr>
          <w:rFonts w:ascii="Times New Roman" w:hAnsi="Times New Roman" w:eastAsia="宋体"/>
          <w:color w:val="auto"/>
          <w:sz w:val="24"/>
          <w:highlight w:val="none"/>
        </w:rPr>
        <w:t>31号，2016年5月28日发布并实施）；</w:t>
      </w:r>
    </w:p>
    <w:p w14:paraId="209A006A">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（2</w:t>
      </w:r>
      <w:r>
        <w:rPr>
          <w:rFonts w:hint="eastAsia" w:ascii="Times New Roman" w:hAnsi="Times New Roman" w:eastAsia="宋体"/>
          <w:color w:val="auto"/>
          <w:sz w:val="24"/>
          <w:highlight w:val="none"/>
          <w:lang w:val="en-US" w:eastAsia="zh-CN"/>
        </w:rPr>
        <w:t>3</w:t>
      </w:r>
      <w:r>
        <w:rPr>
          <w:rFonts w:ascii="Times New Roman" w:hAnsi="Times New Roman" w:eastAsia="宋体"/>
          <w:color w:val="auto"/>
          <w:sz w:val="24"/>
          <w:highlight w:val="none"/>
        </w:rPr>
        <w:t>）《关于以改善环境质量为核心加强环境影响评价管理的通知》（环环评</w:t>
      </w:r>
      <w:r>
        <w:rPr>
          <w:rFonts w:hint="eastAsia" w:ascii="Times New Roman" w:hAnsi="Times New Roman" w:eastAsia="宋体"/>
          <w:color w:val="auto"/>
          <w:sz w:val="24"/>
          <w:highlight w:val="none"/>
        </w:rPr>
        <w:t>〔20</w:t>
      </w:r>
      <w:r>
        <w:rPr>
          <w:rFonts w:hint="eastAsia" w:ascii="Times New Roman" w:hAnsi="Times New Roman" w:eastAsia="宋体"/>
          <w:color w:val="auto"/>
          <w:sz w:val="24"/>
          <w:highlight w:val="none"/>
          <w:lang w:val="en-US" w:eastAsia="zh-CN"/>
        </w:rPr>
        <w:t>16</w:t>
      </w:r>
      <w:r>
        <w:rPr>
          <w:rFonts w:hint="eastAsia" w:ascii="Times New Roman" w:hAnsi="Times New Roman" w:eastAsia="宋体"/>
          <w:color w:val="auto"/>
          <w:sz w:val="24"/>
          <w:highlight w:val="none"/>
        </w:rPr>
        <w:t>〕</w:t>
      </w:r>
      <w:r>
        <w:rPr>
          <w:rFonts w:ascii="Times New Roman" w:hAnsi="Times New Roman" w:eastAsia="宋体"/>
          <w:color w:val="auto"/>
          <w:sz w:val="24"/>
          <w:highlight w:val="none"/>
        </w:rPr>
        <w:t>150号）；</w:t>
      </w:r>
    </w:p>
    <w:p w14:paraId="4AAB5E0D">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（2</w:t>
      </w:r>
      <w:r>
        <w:rPr>
          <w:rFonts w:hint="eastAsia" w:ascii="Times New Roman" w:hAnsi="Times New Roman" w:eastAsia="宋体"/>
          <w:color w:val="auto"/>
          <w:sz w:val="24"/>
          <w:highlight w:val="none"/>
          <w:lang w:val="en-US" w:eastAsia="zh-CN"/>
        </w:rPr>
        <w:t>4</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rPr>
        <w:t>《排污许可管理办法（修订征求意见稿）》（环办便函〔</w:t>
      </w:r>
      <w:r>
        <w:rPr>
          <w:rFonts w:ascii="Times New Roman" w:hAnsi="Times New Roman" w:eastAsia="宋体"/>
          <w:color w:val="auto"/>
          <w:sz w:val="24"/>
          <w:highlight w:val="none"/>
        </w:rPr>
        <w:t>2023〕88号，2023年3月27日）；</w:t>
      </w:r>
    </w:p>
    <w:p w14:paraId="07E76E33">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（2</w:t>
      </w:r>
      <w:r>
        <w:rPr>
          <w:rFonts w:hint="eastAsia" w:ascii="Times New Roman" w:hAnsi="Times New Roman" w:eastAsia="宋体"/>
          <w:color w:val="auto"/>
          <w:sz w:val="24"/>
          <w:highlight w:val="none"/>
          <w:lang w:val="en-US" w:eastAsia="zh-CN"/>
        </w:rPr>
        <w:t>5</w:t>
      </w:r>
      <w:r>
        <w:rPr>
          <w:rFonts w:ascii="Times New Roman" w:hAnsi="Times New Roman" w:eastAsia="宋体"/>
          <w:color w:val="auto"/>
          <w:sz w:val="24"/>
          <w:highlight w:val="none"/>
        </w:rPr>
        <w:t>）《排污许可管理条例》（国务院令第736号，2021年3月1日起施行）；</w:t>
      </w:r>
    </w:p>
    <w:p w14:paraId="74E23B69">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（2</w:t>
      </w:r>
      <w:r>
        <w:rPr>
          <w:rFonts w:hint="eastAsia" w:ascii="Times New Roman" w:hAnsi="Times New Roman" w:eastAsia="宋体"/>
          <w:color w:val="auto"/>
          <w:sz w:val="24"/>
          <w:highlight w:val="none"/>
          <w:lang w:val="en-US" w:eastAsia="zh-CN"/>
        </w:rPr>
        <w:t>6</w:t>
      </w:r>
      <w:r>
        <w:rPr>
          <w:rFonts w:ascii="Times New Roman" w:hAnsi="Times New Roman" w:eastAsia="宋体"/>
          <w:color w:val="auto"/>
          <w:sz w:val="24"/>
          <w:highlight w:val="none"/>
        </w:rPr>
        <w:t>）《关于做好环境影响评价制度与排污许可制衔接相关工作的通知》（环办环评</w:t>
      </w:r>
      <w:r>
        <w:rPr>
          <w:rFonts w:hint="eastAsia" w:ascii="Times New Roman" w:hAnsi="Times New Roman" w:eastAsia="宋体"/>
          <w:color w:val="auto"/>
          <w:sz w:val="24"/>
          <w:highlight w:val="none"/>
        </w:rPr>
        <w:t>〔20</w:t>
      </w:r>
      <w:r>
        <w:rPr>
          <w:rFonts w:hint="eastAsia" w:ascii="Times New Roman" w:hAnsi="Times New Roman" w:eastAsia="宋体"/>
          <w:color w:val="auto"/>
          <w:sz w:val="24"/>
          <w:highlight w:val="none"/>
          <w:lang w:val="en-US" w:eastAsia="zh-CN"/>
        </w:rPr>
        <w:t>17</w:t>
      </w:r>
      <w:r>
        <w:rPr>
          <w:rFonts w:hint="eastAsia" w:ascii="Times New Roman" w:hAnsi="Times New Roman" w:eastAsia="宋体"/>
          <w:color w:val="auto"/>
          <w:sz w:val="24"/>
          <w:highlight w:val="none"/>
        </w:rPr>
        <w:t>〕</w:t>
      </w:r>
      <w:r>
        <w:rPr>
          <w:rFonts w:ascii="Times New Roman" w:hAnsi="Times New Roman" w:eastAsia="宋体"/>
          <w:color w:val="auto"/>
          <w:sz w:val="24"/>
          <w:highlight w:val="none"/>
        </w:rPr>
        <w:t>84号，2017年11月14日）；</w:t>
      </w:r>
    </w:p>
    <w:p w14:paraId="65DF58C8">
      <w:pPr>
        <w:snapToGrid w:val="0"/>
        <w:spacing w:line="360" w:lineRule="auto"/>
        <w:ind w:firstLine="480" w:firstLineChars="200"/>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lang w:val="en-US" w:eastAsia="zh-CN"/>
        </w:rPr>
        <w:t>27</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《氢能产业标准体系建设指南（2023版）》</w:t>
      </w:r>
      <w:r>
        <w:rPr>
          <w:rFonts w:hint="eastAsia" w:ascii="Times New Roman" w:hAnsi="Times New Roman" w:eastAsia="宋体"/>
          <w:color w:val="auto"/>
          <w:sz w:val="24"/>
          <w:highlight w:val="none"/>
          <w:lang w:eastAsia="zh-CN"/>
        </w:rPr>
        <w:t>（国标委联〔2023〕34号，2023年7月19日）</w:t>
      </w:r>
    </w:p>
    <w:p w14:paraId="02928B7C">
      <w:pPr>
        <w:pStyle w:val="4"/>
        <w:spacing w:after="156"/>
        <w:rPr>
          <w:color w:val="auto"/>
          <w:highlight w:val="none"/>
        </w:rPr>
      </w:pPr>
      <w:bookmarkStart w:id="32" w:name="_Toc117150193"/>
      <w:r>
        <w:rPr>
          <w:color w:val="auto"/>
          <w:highlight w:val="none"/>
        </w:rPr>
        <w:br w:type="page"/>
      </w:r>
      <w:bookmarkStart w:id="33" w:name="_Toc152921598"/>
      <w:bookmarkStart w:id="34" w:name="_Toc152921963"/>
      <w:bookmarkStart w:id="35" w:name="_Toc152922557"/>
      <w:bookmarkStart w:id="36" w:name="_Toc152923238"/>
      <w:r>
        <w:rPr>
          <w:color w:val="auto"/>
          <w:highlight w:val="none"/>
        </w:rPr>
        <w:t>2.1.2地</w:t>
      </w:r>
      <w:r>
        <w:rPr>
          <w:rFonts w:hint="eastAsia"/>
          <w:color w:val="auto"/>
          <w:highlight w:val="none"/>
          <w:lang w:eastAsia="zh-CN"/>
        </w:rPr>
        <w:t>方性</w:t>
      </w:r>
      <w:r>
        <w:rPr>
          <w:color w:val="auto"/>
          <w:highlight w:val="none"/>
        </w:rPr>
        <w:t>法规、规章及规范性文件</w:t>
      </w:r>
      <w:bookmarkEnd w:id="32"/>
      <w:bookmarkEnd w:id="33"/>
      <w:bookmarkEnd w:id="34"/>
      <w:bookmarkEnd w:id="35"/>
      <w:bookmarkEnd w:id="36"/>
    </w:p>
    <w:p w14:paraId="0CCAB824">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（1）《安徽省环境保护条例》（2017年11月17日修订，2018年1月1日起执行）；</w:t>
      </w:r>
    </w:p>
    <w:p w14:paraId="0906C2E9">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（2）《安徽省大气污染防治条例》（2018年9月29日修订并执行）；</w:t>
      </w:r>
    </w:p>
    <w:p w14:paraId="7D33A2C6">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（3）《安徽省人民政府关于印发安徽省</w:t>
      </w:r>
      <w:r>
        <w:rPr>
          <w:rFonts w:hint="eastAsia"/>
          <w:color w:val="auto"/>
          <w:sz w:val="24"/>
          <w:highlight w:val="none"/>
          <w:lang w:eastAsia="zh-CN"/>
        </w:rPr>
        <w:t>“</w:t>
      </w:r>
      <w:r>
        <w:rPr>
          <w:rFonts w:ascii="Times New Roman" w:hAnsi="Times New Roman" w:eastAsia="宋体"/>
          <w:color w:val="auto"/>
          <w:sz w:val="24"/>
          <w:highlight w:val="none"/>
        </w:rPr>
        <w:t>十四五</w:t>
      </w:r>
      <w:r>
        <w:rPr>
          <w:rFonts w:hint="eastAsia"/>
          <w:color w:val="auto"/>
          <w:sz w:val="24"/>
          <w:highlight w:val="none"/>
          <w:lang w:eastAsia="zh-CN"/>
        </w:rPr>
        <w:t>”</w:t>
      </w:r>
      <w:r>
        <w:rPr>
          <w:rFonts w:ascii="Times New Roman" w:hAnsi="Times New Roman" w:eastAsia="宋体"/>
          <w:color w:val="auto"/>
          <w:sz w:val="24"/>
          <w:highlight w:val="none"/>
        </w:rPr>
        <w:t>节能减排实施方案的通知》（皖政秘〔2022〕106号）；</w:t>
      </w:r>
    </w:p>
    <w:p w14:paraId="3E1016A9">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（4）《</w:t>
      </w:r>
      <w:r>
        <w:rPr>
          <w:rFonts w:hint="eastAsia" w:ascii="Times New Roman" w:hAnsi="Times New Roman" w:eastAsia="宋体"/>
          <w:color w:val="auto"/>
          <w:sz w:val="24"/>
          <w:highlight w:val="none"/>
          <w:lang w:eastAsia="zh-CN"/>
        </w:rPr>
        <w:t>安徽省实施〈中华人民共和国固体废物污染环境防治法〉办法</w:t>
      </w:r>
      <w:r>
        <w:rPr>
          <w:rFonts w:ascii="Times New Roman" w:hAnsi="Times New Roman" w:eastAsia="宋体"/>
          <w:color w:val="auto"/>
          <w:sz w:val="24"/>
          <w:highlight w:val="none"/>
        </w:rPr>
        <w:t>》（</w:t>
      </w:r>
      <w:r>
        <w:rPr>
          <w:rFonts w:ascii="Times New Roman" w:hAnsi="Times New Roman" w:eastAsia="宋体"/>
          <w:color w:val="auto"/>
          <w:sz w:val="25"/>
          <w:szCs w:val="25"/>
          <w:highlight w:val="none"/>
        </w:rPr>
        <w:t>2021</w:t>
      </w:r>
      <w:r>
        <w:rPr>
          <w:rFonts w:ascii="Times New Roman" w:hAnsi="Times New Roman" w:eastAsia="宋体"/>
          <w:color w:val="auto"/>
          <w:sz w:val="24"/>
          <w:szCs w:val="24"/>
          <w:highlight w:val="none"/>
        </w:rPr>
        <w:t>年9月1日起施行</w:t>
      </w:r>
      <w:r>
        <w:rPr>
          <w:rFonts w:ascii="Times New Roman" w:hAnsi="Times New Roman" w:eastAsia="宋体"/>
          <w:color w:val="auto"/>
          <w:sz w:val="24"/>
          <w:highlight w:val="none"/>
        </w:rPr>
        <w:t>）；</w:t>
      </w:r>
    </w:p>
    <w:p w14:paraId="5025A68C">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5</w:t>
      </w:r>
      <w:r>
        <w:rPr>
          <w:rFonts w:ascii="Times New Roman" w:hAnsi="Times New Roman" w:eastAsia="宋体"/>
          <w:color w:val="auto"/>
          <w:sz w:val="24"/>
          <w:highlight w:val="none"/>
        </w:rPr>
        <w:t>）安徽省生态环境厅关于公开征求《安徽省固定污染源自动监控管理办法（征求意见稿）》意见的通知，2021年3月12日；</w:t>
      </w:r>
    </w:p>
    <w:p w14:paraId="03FA3A63">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olor w:val="auto"/>
          <w:sz w:val="24"/>
          <w:highlight w:val="none"/>
          <w:lang w:eastAsia="zh-CN"/>
        </w:rPr>
      </w:pPr>
      <w:r>
        <w:rPr>
          <w:rFonts w:hint="eastAsia"/>
          <w:color w:val="auto"/>
          <w:sz w:val="24"/>
          <w:highlight w:val="none"/>
          <w:lang w:eastAsia="zh-CN"/>
        </w:rPr>
        <w:t>（6）</w:t>
      </w:r>
      <w:r>
        <w:rPr>
          <w:rFonts w:hint="eastAsia" w:ascii="Times New Roman" w:hAnsi="Times New Roman" w:eastAsia="宋体"/>
          <w:color w:val="auto"/>
          <w:sz w:val="24"/>
          <w:highlight w:val="none"/>
        </w:rPr>
        <w:t>安徽省生态环境厅关于印发加强高耗能、高排放项目生态环境源头防控的实施意见的通知，安徽省生态环境厅，2021年6月14日</w:t>
      </w:r>
      <w:r>
        <w:rPr>
          <w:rFonts w:hint="eastAsia" w:ascii="Times New Roman" w:hAnsi="Times New Roman" w:eastAsia="宋体"/>
          <w:color w:val="auto"/>
          <w:sz w:val="24"/>
          <w:highlight w:val="none"/>
          <w:lang w:eastAsia="zh-CN"/>
        </w:rPr>
        <w:t>；</w:t>
      </w:r>
    </w:p>
    <w:p w14:paraId="6AF2D72B">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olor w:val="auto"/>
          <w:sz w:val="24"/>
          <w:highlight w:val="none"/>
          <w:lang w:eastAsia="zh-CN"/>
        </w:rPr>
      </w:pPr>
      <w:r>
        <w:rPr>
          <w:rFonts w:hint="eastAsia"/>
          <w:color w:val="auto"/>
          <w:sz w:val="24"/>
          <w:highlight w:val="none"/>
          <w:lang w:eastAsia="zh-CN"/>
        </w:rPr>
        <w:t>（7）</w:t>
      </w:r>
      <w:r>
        <w:rPr>
          <w:rFonts w:hint="eastAsia" w:ascii="Times New Roman" w:hAnsi="Times New Roman" w:eastAsia="宋体"/>
          <w:color w:val="auto"/>
          <w:sz w:val="24"/>
          <w:highlight w:val="none"/>
        </w:rPr>
        <w:t>安徽省节能减排及应对气候变化工作领导小组《关于进一步加强新上</w:t>
      </w:r>
      <w:r>
        <w:rPr>
          <w:rFonts w:hint="eastAsia"/>
          <w:color w:val="auto"/>
          <w:sz w:val="24"/>
          <w:highlight w:val="none"/>
          <w:lang w:eastAsia="zh-CN"/>
        </w:rPr>
        <w:t>“</w:t>
      </w:r>
      <w:r>
        <w:rPr>
          <w:rFonts w:hint="eastAsia" w:ascii="Times New Roman" w:hAnsi="Times New Roman" w:eastAsia="宋体"/>
          <w:color w:val="auto"/>
          <w:sz w:val="24"/>
          <w:highlight w:val="none"/>
        </w:rPr>
        <w:t>两高</w:t>
      </w:r>
      <w:r>
        <w:rPr>
          <w:rFonts w:hint="eastAsia"/>
          <w:color w:val="auto"/>
          <w:sz w:val="24"/>
          <w:highlight w:val="none"/>
          <w:lang w:eastAsia="zh-CN"/>
        </w:rPr>
        <w:t>”</w:t>
      </w:r>
      <w:r>
        <w:rPr>
          <w:rFonts w:hint="eastAsia" w:ascii="Times New Roman" w:hAnsi="Times New Roman" w:eastAsia="宋体"/>
          <w:color w:val="auto"/>
          <w:sz w:val="24"/>
          <w:highlight w:val="none"/>
        </w:rPr>
        <w:t>项目管理的通知》</w:t>
      </w:r>
      <w:r>
        <w:rPr>
          <w:rFonts w:hint="eastAsia"/>
          <w:color w:val="auto"/>
          <w:sz w:val="24"/>
          <w:highlight w:val="none"/>
          <w:lang w:eastAsia="zh-CN"/>
        </w:rPr>
        <w:t>（</w:t>
      </w:r>
      <w:r>
        <w:rPr>
          <w:rFonts w:hint="eastAsia" w:ascii="Times New Roman" w:hAnsi="Times New Roman" w:eastAsia="宋体"/>
          <w:color w:val="auto"/>
          <w:sz w:val="24"/>
          <w:highlight w:val="none"/>
        </w:rPr>
        <w:t>皖节能〔202</w:t>
      </w:r>
      <w:r>
        <w:rPr>
          <w:rFonts w:hint="eastAsia" w:ascii="Times New Roman" w:hAnsi="Times New Roman" w:eastAsia="宋体"/>
          <w:color w:val="auto"/>
          <w:sz w:val="24"/>
          <w:highlight w:val="none"/>
          <w:lang w:val="en-US" w:eastAsia="zh-CN"/>
        </w:rPr>
        <w:t>1</w:t>
      </w:r>
      <w:r>
        <w:rPr>
          <w:rFonts w:hint="eastAsia" w:ascii="Times New Roman" w:hAnsi="Times New Roman" w:eastAsia="宋体"/>
          <w:color w:val="auto"/>
          <w:sz w:val="24"/>
          <w:highlight w:val="none"/>
        </w:rPr>
        <w:t>〕13号</w:t>
      </w:r>
      <w:r>
        <w:rPr>
          <w:rFonts w:hint="eastAsia"/>
          <w:color w:val="auto"/>
          <w:sz w:val="24"/>
          <w:highlight w:val="none"/>
          <w:lang w:eastAsia="zh-CN"/>
        </w:rPr>
        <w:t>）</w:t>
      </w:r>
      <w:r>
        <w:rPr>
          <w:rFonts w:hint="eastAsia" w:ascii="Times New Roman" w:hAnsi="Times New Roman" w:eastAsia="宋体"/>
          <w:color w:val="auto"/>
          <w:sz w:val="24"/>
          <w:highlight w:val="none"/>
          <w:lang w:eastAsia="zh-CN"/>
        </w:rPr>
        <w:t>；</w:t>
      </w:r>
    </w:p>
    <w:p w14:paraId="75976654">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olor w:val="auto"/>
          <w:sz w:val="24"/>
          <w:highlight w:val="none"/>
          <w:lang w:eastAsia="zh-CN"/>
        </w:rPr>
      </w:pPr>
      <w:r>
        <w:rPr>
          <w:rFonts w:hint="eastAsia"/>
          <w:color w:val="auto"/>
          <w:sz w:val="24"/>
          <w:highlight w:val="none"/>
          <w:lang w:eastAsia="zh-CN"/>
        </w:rPr>
        <w:t>（8）</w:t>
      </w:r>
      <w:r>
        <w:rPr>
          <w:rFonts w:hint="eastAsia" w:ascii="Times New Roman" w:hAnsi="Times New Roman" w:eastAsia="宋体"/>
          <w:color w:val="auto"/>
          <w:sz w:val="24"/>
          <w:highlight w:val="none"/>
        </w:rPr>
        <w:t>《关于印发安徽省</w:t>
      </w:r>
      <w:r>
        <w:rPr>
          <w:rFonts w:hint="eastAsia"/>
          <w:color w:val="auto"/>
          <w:sz w:val="24"/>
          <w:highlight w:val="none"/>
          <w:lang w:eastAsia="zh-CN"/>
        </w:rPr>
        <w:t>“</w:t>
      </w:r>
      <w:r>
        <w:rPr>
          <w:rFonts w:hint="eastAsia" w:ascii="Times New Roman" w:hAnsi="Times New Roman" w:eastAsia="宋体"/>
          <w:color w:val="auto"/>
          <w:sz w:val="24"/>
          <w:highlight w:val="none"/>
        </w:rPr>
        <w:t>两高</w:t>
      </w:r>
      <w:r>
        <w:rPr>
          <w:rFonts w:hint="eastAsia"/>
          <w:color w:val="auto"/>
          <w:sz w:val="24"/>
          <w:highlight w:val="none"/>
          <w:lang w:eastAsia="zh-CN"/>
        </w:rPr>
        <w:t>”</w:t>
      </w:r>
      <w:r>
        <w:rPr>
          <w:rFonts w:hint="eastAsia" w:ascii="Times New Roman" w:hAnsi="Times New Roman" w:eastAsia="宋体"/>
          <w:color w:val="auto"/>
          <w:sz w:val="24"/>
          <w:highlight w:val="none"/>
        </w:rPr>
        <w:t>项目管理目录</w:t>
      </w:r>
      <w:r>
        <w:rPr>
          <w:rFonts w:hint="eastAsia"/>
          <w:color w:val="auto"/>
          <w:sz w:val="24"/>
          <w:highlight w:val="none"/>
          <w:lang w:eastAsia="zh-CN"/>
        </w:rPr>
        <w:t>（</w:t>
      </w:r>
      <w:r>
        <w:rPr>
          <w:rFonts w:hint="eastAsia" w:ascii="Times New Roman" w:hAnsi="Times New Roman" w:eastAsia="宋体"/>
          <w:color w:val="auto"/>
          <w:sz w:val="24"/>
          <w:highlight w:val="none"/>
        </w:rPr>
        <w:t>试行</w:t>
      </w:r>
      <w:r>
        <w:rPr>
          <w:rFonts w:hint="eastAsia"/>
          <w:color w:val="auto"/>
          <w:sz w:val="24"/>
          <w:highlight w:val="none"/>
          <w:lang w:eastAsia="zh-CN"/>
        </w:rPr>
        <w:t>）</w:t>
      </w:r>
      <w:r>
        <w:rPr>
          <w:rFonts w:hint="eastAsia" w:ascii="Times New Roman" w:hAnsi="Times New Roman" w:eastAsia="宋体"/>
          <w:color w:val="auto"/>
          <w:sz w:val="24"/>
          <w:highlight w:val="none"/>
        </w:rPr>
        <w:t>的通知》</w:t>
      </w:r>
      <w:r>
        <w:rPr>
          <w:rFonts w:hint="eastAsia"/>
          <w:color w:val="auto"/>
          <w:sz w:val="24"/>
          <w:highlight w:val="none"/>
          <w:lang w:eastAsia="zh-CN"/>
        </w:rPr>
        <w:t>（</w:t>
      </w:r>
      <w:r>
        <w:rPr>
          <w:rFonts w:hint="eastAsia" w:ascii="Times New Roman" w:hAnsi="Times New Roman" w:eastAsia="宋体"/>
          <w:color w:val="auto"/>
          <w:sz w:val="24"/>
          <w:highlight w:val="none"/>
        </w:rPr>
        <w:t>皖节能</w:t>
      </w:r>
      <w:r>
        <w:rPr>
          <w:rFonts w:hint="eastAsia"/>
          <w:color w:val="auto"/>
          <w:sz w:val="24"/>
          <w:highlight w:val="none"/>
          <w:lang w:eastAsia="zh-CN"/>
        </w:rPr>
        <w:t>〔2022〕2号）</w:t>
      </w:r>
      <w:r>
        <w:rPr>
          <w:rFonts w:hint="eastAsia" w:ascii="Times New Roman" w:hAnsi="Times New Roman" w:eastAsia="宋体"/>
          <w:color w:val="auto"/>
          <w:sz w:val="24"/>
          <w:highlight w:val="none"/>
        </w:rPr>
        <w:t>安徽省节能减排及应对气候变化工作领导小组，2022年6月21日</w:t>
      </w:r>
      <w:r>
        <w:rPr>
          <w:rFonts w:hint="eastAsia" w:ascii="Times New Roman" w:hAnsi="Times New Roman" w:eastAsia="宋体"/>
          <w:color w:val="auto"/>
          <w:sz w:val="24"/>
          <w:highlight w:val="none"/>
          <w:lang w:eastAsia="zh-CN"/>
        </w:rPr>
        <w:t>；</w:t>
      </w:r>
    </w:p>
    <w:p w14:paraId="68FECC26">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9</w:t>
      </w:r>
      <w:r>
        <w:rPr>
          <w:rFonts w:ascii="Times New Roman" w:hAnsi="Times New Roman" w:eastAsia="宋体"/>
          <w:color w:val="auto"/>
          <w:sz w:val="24"/>
          <w:highlight w:val="none"/>
        </w:rPr>
        <w:t>）安徽省大气办关于印发《安徽省2021年应对气候变化和大气污染防治重点工作任务》的通知（皖大气办</w:t>
      </w:r>
      <w:r>
        <w:rPr>
          <w:rFonts w:hint="eastAsia" w:ascii="Times New Roman" w:hAnsi="Times New Roman" w:eastAsia="宋体"/>
          <w:color w:val="auto"/>
          <w:sz w:val="24"/>
          <w:highlight w:val="none"/>
        </w:rPr>
        <w:t>〔202</w:t>
      </w:r>
      <w:r>
        <w:rPr>
          <w:rFonts w:hint="eastAsia" w:ascii="Times New Roman" w:hAnsi="Times New Roman" w:eastAsia="宋体"/>
          <w:color w:val="auto"/>
          <w:sz w:val="24"/>
          <w:highlight w:val="none"/>
          <w:lang w:val="en-US" w:eastAsia="zh-CN"/>
        </w:rPr>
        <w:t>1</w:t>
      </w:r>
      <w:r>
        <w:rPr>
          <w:rFonts w:hint="eastAsia" w:ascii="Times New Roman" w:hAnsi="Times New Roman" w:eastAsia="宋体"/>
          <w:color w:val="auto"/>
          <w:sz w:val="24"/>
          <w:highlight w:val="none"/>
        </w:rPr>
        <w:t>〕</w:t>
      </w:r>
      <w:r>
        <w:rPr>
          <w:rFonts w:ascii="Times New Roman" w:hAnsi="Times New Roman" w:eastAsia="宋体"/>
          <w:color w:val="auto"/>
          <w:sz w:val="24"/>
          <w:highlight w:val="none"/>
        </w:rPr>
        <w:t>3号）；</w:t>
      </w:r>
    </w:p>
    <w:p w14:paraId="191DAD52">
      <w:pPr>
        <w:keepNext w:val="0"/>
        <w:keepLines w:val="0"/>
        <w:pageBreakBefore w:val="0"/>
        <w:widowControl w:val="0"/>
        <w:numPr>
          <w:ilvl w:val="0"/>
          <w:numId w:val="0"/>
        </w:numPr>
        <w:tabs>
          <w:tab w:val="left" w:pos="540"/>
        </w:tabs>
        <w:kinsoku/>
        <w:wordWrap/>
        <w:overflowPunct/>
        <w:topLinePunct w:val="0"/>
        <w:autoSpaceDE w:val="0"/>
        <w:autoSpaceDN w:val="0"/>
        <w:bidi w:val="0"/>
        <w:adjustRightInd w:val="0"/>
        <w:snapToGrid w:val="0"/>
        <w:spacing w:line="360" w:lineRule="auto"/>
        <w:ind w:firstLine="480" w:firstLineChars="200"/>
        <w:textAlignment w:val="auto"/>
        <w:rPr>
          <w:rStyle w:val="402"/>
          <w:rFonts w:hint="eastAsia" w:ascii="Times New Roman" w:hAnsi="Times New Roman" w:eastAsia="宋体" w:cs="Times New Roman"/>
          <w:color w:val="auto"/>
          <w:highlight w:val="none"/>
          <w:lang w:val="zh-CN" w:eastAsia="zh-CN"/>
        </w:rPr>
      </w:pPr>
      <w:r>
        <w:rPr>
          <w:rStyle w:val="402"/>
          <w:rFonts w:hint="default" w:ascii="Times New Roman" w:hAnsi="Times New Roman" w:eastAsia="宋体" w:cs="Times New Roman"/>
          <w:color w:val="auto"/>
          <w:highlight w:val="none"/>
          <w:lang w:val="zh-CN" w:eastAsia="zh-CN"/>
        </w:rPr>
        <w:t>（</w:t>
      </w:r>
      <w:r>
        <w:rPr>
          <w:rStyle w:val="402"/>
          <w:rFonts w:hint="eastAsia" w:ascii="Times New Roman" w:hAnsi="Times New Roman" w:eastAsia="宋体" w:cs="Times New Roman"/>
          <w:color w:val="auto"/>
          <w:highlight w:val="none"/>
          <w:lang w:val="en-US" w:eastAsia="zh-CN"/>
        </w:rPr>
        <w:t>10</w:t>
      </w:r>
      <w:r>
        <w:rPr>
          <w:rStyle w:val="402"/>
          <w:rFonts w:hint="default" w:ascii="Times New Roman" w:hAnsi="Times New Roman" w:eastAsia="宋体" w:cs="Times New Roman"/>
          <w:color w:val="auto"/>
          <w:highlight w:val="none"/>
          <w:lang w:val="zh-CN" w:eastAsia="zh-CN"/>
        </w:rPr>
        <w:t>）《安徽省大气办关于深入开展挥发性有机物污染治理工作的通知》（皖大气办〔2021〕4号）</w:t>
      </w:r>
      <w:r>
        <w:rPr>
          <w:rStyle w:val="402"/>
          <w:rFonts w:hint="eastAsia" w:ascii="Times New Roman" w:hAnsi="Times New Roman" w:eastAsia="宋体" w:cs="Times New Roman"/>
          <w:color w:val="auto"/>
          <w:highlight w:val="none"/>
          <w:lang w:val="zh-CN" w:eastAsia="zh-CN"/>
        </w:rPr>
        <w:t>；</w:t>
      </w:r>
    </w:p>
    <w:p w14:paraId="5907524B">
      <w:pPr>
        <w:keepNext w:val="0"/>
        <w:keepLines w:val="0"/>
        <w:pageBreakBefore w:val="0"/>
        <w:widowControl w:val="0"/>
        <w:numPr>
          <w:ilvl w:val="0"/>
          <w:numId w:val="0"/>
        </w:numPr>
        <w:tabs>
          <w:tab w:val="left" w:pos="540"/>
        </w:tabs>
        <w:kinsoku/>
        <w:wordWrap/>
        <w:overflowPunct/>
        <w:topLinePunct w:val="0"/>
        <w:autoSpaceDE w:val="0"/>
        <w:autoSpaceDN w:val="0"/>
        <w:bidi w:val="0"/>
        <w:adjustRightInd w:val="0"/>
        <w:snapToGrid w:val="0"/>
        <w:spacing w:line="360" w:lineRule="auto"/>
        <w:ind w:firstLine="480" w:firstLineChars="200"/>
        <w:textAlignment w:val="auto"/>
        <w:rPr>
          <w:rStyle w:val="402"/>
          <w:rFonts w:hint="default" w:ascii="Times New Roman" w:hAnsi="Times New Roman" w:eastAsia="宋体" w:cs="Times New Roman"/>
          <w:color w:val="auto"/>
          <w:highlight w:val="none"/>
          <w:lang w:val="zh-CN" w:eastAsia="zh-CN"/>
        </w:rPr>
      </w:pPr>
      <w:r>
        <w:rPr>
          <w:rStyle w:val="402"/>
          <w:rFonts w:hint="eastAsia" w:ascii="Times New Roman" w:hAnsi="Times New Roman" w:eastAsia="宋体" w:cs="Times New Roman"/>
          <w:color w:val="auto"/>
          <w:highlight w:val="none"/>
          <w:lang w:val="zh-CN" w:eastAsia="zh-CN"/>
        </w:rPr>
        <w:t>（</w:t>
      </w:r>
      <w:r>
        <w:rPr>
          <w:rStyle w:val="402"/>
          <w:rFonts w:hint="eastAsia" w:ascii="Times New Roman" w:hAnsi="Times New Roman" w:eastAsia="宋体" w:cs="Times New Roman"/>
          <w:color w:val="auto"/>
          <w:highlight w:val="none"/>
          <w:lang w:val="en-US" w:eastAsia="zh-CN"/>
        </w:rPr>
        <w:t>11</w:t>
      </w:r>
      <w:r>
        <w:rPr>
          <w:rStyle w:val="402"/>
          <w:rFonts w:hint="eastAsia" w:ascii="Times New Roman" w:hAnsi="Times New Roman" w:eastAsia="宋体" w:cs="Times New Roman"/>
          <w:color w:val="auto"/>
          <w:highlight w:val="none"/>
          <w:lang w:val="zh-CN" w:eastAsia="zh-CN"/>
        </w:rPr>
        <w:t>）</w:t>
      </w:r>
      <w:r>
        <w:rPr>
          <w:rStyle w:val="402"/>
          <w:rFonts w:hint="default" w:ascii="Times New Roman" w:hAnsi="Times New Roman" w:eastAsia="宋体" w:cs="Times New Roman"/>
          <w:color w:val="auto"/>
          <w:highlight w:val="none"/>
          <w:lang w:val="zh-CN" w:eastAsia="zh-CN"/>
        </w:rPr>
        <w:t>《安徽省加氢站管理办法（暂行）》（皖发改产业规〔2025〕2号</w:t>
      </w:r>
      <w:r>
        <w:rPr>
          <w:rStyle w:val="402"/>
          <w:rFonts w:hint="eastAsia" w:ascii="Times New Roman" w:hAnsi="Times New Roman" w:eastAsia="宋体" w:cs="Times New Roman"/>
          <w:color w:val="auto"/>
          <w:highlight w:val="none"/>
          <w:lang w:val="zh-CN" w:eastAsia="zh-CN"/>
        </w:rPr>
        <w:t>，2025年2月11日）</w:t>
      </w:r>
    </w:p>
    <w:p w14:paraId="1FB74498">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12</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淮南市</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十四五</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生态环境保护规划</w:t>
      </w:r>
      <w:r>
        <w:rPr>
          <w:rFonts w:ascii="Times New Roman" w:hAnsi="Times New Roman" w:eastAsia="宋体"/>
          <w:color w:val="auto"/>
          <w:sz w:val="24"/>
          <w:highlight w:val="none"/>
        </w:rPr>
        <w:t>（2021-20</w:t>
      </w:r>
      <w:r>
        <w:rPr>
          <w:rFonts w:hint="eastAsia" w:ascii="Times New Roman" w:hAnsi="Times New Roman" w:eastAsia="宋体"/>
          <w:color w:val="auto"/>
          <w:sz w:val="24"/>
          <w:highlight w:val="none"/>
          <w:lang w:val="en-US" w:eastAsia="zh-CN"/>
        </w:rPr>
        <w:t>25</w:t>
      </w:r>
      <w:r>
        <w:rPr>
          <w:rFonts w:ascii="Times New Roman" w:hAnsi="Times New Roman" w:eastAsia="宋体"/>
          <w:color w:val="auto"/>
          <w:sz w:val="24"/>
          <w:highlight w:val="none"/>
        </w:rPr>
        <w:t>年）》（</w:t>
      </w:r>
      <w:r>
        <w:rPr>
          <w:rFonts w:hint="eastAsia" w:ascii="Times New Roman" w:hAnsi="Times New Roman" w:eastAsia="宋体"/>
          <w:color w:val="auto"/>
          <w:sz w:val="24"/>
          <w:highlight w:val="none"/>
        </w:rPr>
        <w:t>淮环通〔2022〕46号</w:t>
      </w:r>
      <w:r>
        <w:rPr>
          <w:rFonts w:ascii="Times New Roman" w:hAnsi="Times New Roman" w:eastAsia="宋体"/>
          <w:color w:val="auto"/>
          <w:sz w:val="24"/>
          <w:highlight w:val="none"/>
        </w:rPr>
        <w:t>）；</w:t>
      </w:r>
    </w:p>
    <w:p w14:paraId="1320DB9A">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olor w:val="auto"/>
          <w:sz w:val="24"/>
          <w:highlight w:val="none"/>
        </w:rPr>
      </w:pP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13</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rPr>
        <w:t>淮南市</w:t>
      </w:r>
      <w:r>
        <w:rPr>
          <w:rFonts w:hint="eastAsia"/>
          <w:color w:val="auto"/>
          <w:sz w:val="24"/>
          <w:highlight w:val="none"/>
          <w:lang w:eastAsia="zh-CN"/>
        </w:rPr>
        <w:t>“</w:t>
      </w:r>
      <w:r>
        <w:rPr>
          <w:rFonts w:hint="eastAsia" w:ascii="Times New Roman" w:hAnsi="Times New Roman" w:eastAsia="宋体"/>
          <w:color w:val="auto"/>
          <w:sz w:val="24"/>
          <w:highlight w:val="none"/>
        </w:rPr>
        <w:t>十四五</w:t>
      </w:r>
      <w:r>
        <w:rPr>
          <w:rFonts w:hint="eastAsia"/>
          <w:color w:val="auto"/>
          <w:sz w:val="24"/>
          <w:highlight w:val="none"/>
          <w:lang w:eastAsia="zh-CN"/>
        </w:rPr>
        <w:t>”</w:t>
      </w:r>
      <w:r>
        <w:rPr>
          <w:rFonts w:hint="eastAsia" w:ascii="Times New Roman" w:hAnsi="Times New Roman" w:eastAsia="宋体"/>
          <w:color w:val="auto"/>
          <w:sz w:val="24"/>
          <w:highlight w:val="none"/>
        </w:rPr>
        <w:t>大气污染防治规划</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rPr>
        <w:t>淮环委办〔2022〕49号</w:t>
      </w:r>
      <w:r>
        <w:rPr>
          <w:rFonts w:ascii="Times New Roman" w:hAnsi="Times New Roman" w:eastAsia="宋体"/>
          <w:color w:val="auto"/>
          <w:sz w:val="24"/>
          <w:highlight w:val="none"/>
        </w:rPr>
        <w:t>）；</w:t>
      </w:r>
    </w:p>
    <w:p w14:paraId="2F519556">
      <w:pPr>
        <w:pStyle w:val="4"/>
        <w:spacing w:after="156"/>
        <w:rPr>
          <w:color w:val="auto"/>
          <w:highlight w:val="none"/>
        </w:rPr>
      </w:pPr>
      <w:bookmarkStart w:id="37" w:name="_Toc117150194"/>
      <w:r>
        <w:rPr>
          <w:color w:val="auto"/>
          <w:highlight w:val="none"/>
        </w:rPr>
        <w:br w:type="page"/>
      </w:r>
      <w:bookmarkStart w:id="38" w:name="_Toc152921599"/>
      <w:bookmarkStart w:id="39" w:name="_Toc152923239"/>
      <w:bookmarkStart w:id="40" w:name="_Toc152921964"/>
      <w:bookmarkStart w:id="41" w:name="_Toc152922558"/>
      <w:r>
        <w:rPr>
          <w:color w:val="auto"/>
          <w:highlight w:val="none"/>
        </w:rPr>
        <w:t>2.1.3评价技术导则及相关技术规范</w:t>
      </w:r>
      <w:bookmarkEnd w:id="37"/>
      <w:bookmarkEnd w:id="38"/>
      <w:bookmarkEnd w:id="39"/>
      <w:bookmarkEnd w:id="40"/>
      <w:bookmarkEnd w:id="41"/>
    </w:p>
    <w:p w14:paraId="6A344F74">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（1）《建设项目环境影响评价技术导则总纲》（HJ2.1-2016）；</w:t>
      </w:r>
    </w:p>
    <w:p w14:paraId="3D8B2BB4">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（2）《环境影响评价技术导则</w:t>
      </w:r>
      <w:r>
        <w:rPr>
          <w:rFonts w:hint="eastAsia" w:ascii="Times New Roman" w:hAnsi="Times New Roman" w:eastAsia="宋体"/>
          <w:color w:val="auto"/>
          <w:sz w:val="24"/>
          <w:highlight w:val="none"/>
          <w:lang w:val="en-US" w:eastAsia="zh-CN"/>
        </w:rPr>
        <w:t xml:space="preserve"> </w:t>
      </w:r>
      <w:r>
        <w:rPr>
          <w:rFonts w:ascii="Times New Roman" w:hAnsi="Times New Roman" w:eastAsia="宋体"/>
          <w:color w:val="auto"/>
          <w:sz w:val="24"/>
          <w:highlight w:val="none"/>
        </w:rPr>
        <w:t>大气环境》（HJ2.2-2018）；</w:t>
      </w:r>
    </w:p>
    <w:p w14:paraId="2CA6F4C1">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（3）《环境影响评价技术导则</w:t>
      </w:r>
      <w:r>
        <w:rPr>
          <w:rFonts w:hint="eastAsia" w:ascii="Times New Roman" w:hAnsi="Times New Roman" w:eastAsia="宋体"/>
          <w:color w:val="auto"/>
          <w:sz w:val="24"/>
          <w:highlight w:val="none"/>
          <w:lang w:val="en-US" w:eastAsia="zh-CN"/>
        </w:rPr>
        <w:t xml:space="preserve"> </w:t>
      </w:r>
      <w:r>
        <w:rPr>
          <w:rFonts w:ascii="Times New Roman" w:hAnsi="Times New Roman" w:eastAsia="宋体"/>
          <w:color w:val="auto"/>
          <w:sz w:val="24"/>
          <w:highlight w:val="none"/>
        </w:rPr>
        <w:t>地表水环境》（HJ2.3-2018）；</w:t>
      </w:r>
    </w:p>
    <w:p w14:paraId="213F117B">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（4）《环境影响评价技术导则</w:t>
      </w:r>
      <w:r>
        <w:rPr>
          <w:rFonts w:hint="eastAsia" w:ascii="Times New Roman" w:hAnsi="Times New Roman" w:eastAsia="宋体"/>
          <w:color w:val="auto"/>
          <w:sz w:val="24"/>
          <w:highlight w:val="none"/>
          <w:lang w:val="en-US" w:eastAsia="zh-CN"/>
        </w:rPr>
        <w:t xml:space="preserve"> </w:t>
      </w:r>
      <w:r>
        <w:rPr>
          <w:rFonts w:ascii="Times New Roman" w:hAnsi="Times New Roman" w:eastAsia="宋体"/>
          <w:color w:val="auto"/>
          <w:sz w:val="24"/>
          <w:highlight w:val="none"/>
        </w:rPr>
        <w:t>声环境》（HJ2.4—2021）；</w:t>
      </w:r>
    </w:p>
    <w:p w14:paraId="3B15120B">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（5）《环境影响评价技术导则</w:t>
      </w:r>
      <w:r>
        <w:rPr>
          <w:rFonts w:hint="eastAsia" w:ascii="Times New Roman" w:hAnsi="Times New Roman" w:eastAsia="宋体"/>
          <w:color w:val="auto"/>
          <w:sz w:val="24"/>
          <w:highlight w:val="none"/>
          <w:lang w:val="en-US" w:eastAsia="zh-CN"/>
        </w:rPr>
        <w:t xml:space="preserve"> </w:t>
      </w:r>
      <w:r>
        <w:rPr>
          <w:rFonts w:ascii="Times New Roman" w:hAnsi="Times New Roman" w:eastAsia="宋体"/>
          <w:color w:val="auto"/>
          <w:sz w:val="24"/>
          <w:highlight w:val="none"/>
        </w:rPr>
        <w:t>地下水环境》（HJ610-2016）；</w:t>
      </w:r>
    </w:p>
    <w:p w14:paraId="656A4709">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（6）《环境影响评价技术导则</w:t>
      </w:r>
      <w:r>
        <w:rPr>
          <w:rFonts w:hint="eastAsia" w:ascii="Times New Roman" w:hAnsi="Times New Roman" w:eastAsia="宋体"/>
          <w:color w:val="auto"/>
          <w:sz w:val="24"/>
          <w:highlight w:val="none"/>
          <w:lang w:val="en-US" w:eastAsia="zh-CN"/>
        </w:rPr>
        <w:t xml:space="preserve"> </w:t>
      </w:r>
      <w:r>
        <w:rPr>
          <w:rFonts w:ascii="Times New Roman" w:hAnsi="Times New Roman" w:eastAsia="宋体"/>
          <w:color w:val="auto"/>
          <w:sz w:val="24"/>
          <w:highlight w:val="none"/>
        </w:rPr>
        <w:t>生态影响》（HJ19-2022）；</w:t>
      </w:r>
    </w:p>
    <w:p w14:paraId="3765A4D1">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（7）《环境影响评价技术导则</w:t>
      </w:r>
      <w:r>
        <w:rPr>
          <w:rFonts w:hint="eastAsia" w:ascii="Times New Roman" w:hAnsi="Times New Roman" w:eastAsia="宋体"/>
          <w:color w:val="auto"/>
          <w:sz w:val="24"/>
          <w:highlight w:val="none"/>
          <w:lang w:val="en-US" w:eastAsia="zh-CN"/>
        </w:rPr>
        <w:t xml:space="preserve"> </w:t>
      </w:r>
      <w:r>
        <w:rPr>
          <w:rFonts w:ascii="Times New Roman" w:hAnsi="Times New Roman" w:eastAsia="宋体"/>
          <w:color w:val="auto"/>
          <w:sz w:val="24"/>
          <w:highlight w:val="none"/>
        </w:rPr>
        <w:t>土壤环境</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lang w:val="en-US" w:eastAsia="zh-CN"/>
        </w:rPr>
        <w:t>试行</w:t>
      </w:r>
      <w:r>
        <w:rPr>
          <w:rFonts w:hint="eastAsia" w:ascii="Times New Roman" w:hAnsi="Times New Roman" w:eastAsia="宋体"/>
          <w:color w:val="auto"/>
          <w:sz w:val="24"/>
          <w:highlight w:val="none"/>
          <w:lang w:eastAsia="zh-CN"/>
        </w:rPr>
        <w:t>）</w:t>
      </w:r>
      <w:r>
        <w:rPr>
          <w:rFonts w:ascii="Times New Roman" w:hAnsi="Times New Roman" w:eastAsia="宋体"/>
          <w:color w:val="auto"/>
          <w:sz w:val="24"/>
          <w:highlight w:val="none"/>
        </w:rPr>
        <w:t>》（HJ964-2018）；</w:t>
      </w:r>
    </w:p>
    <w:p w14:paraId="2DEED4B8">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（8）《建设项目环境风险评价技术导则》（HJ169-2018</w:t>
      </w:r>
      <w:r>
        <w:rPr>
          <w:rFonts w:hint="eastAsia" w:ascii="Times New Roman" w:hAnsi="Times New Roman" w:eastAsia="宋体"/>
          <w:color w:val="auto"/>
          <w:sz w:val="24"/>
          <w:highlight w:val="none"/>
          <w:lang w:eastAsia="zh-CN"/>
        </w:rPr>
        <w:t>）</w:t>
      </w:r>
      <w:r>
        <w:rPr>
          <w:rFonts w:ascii="Times New Roman" w:hAnsi="Times New Roman" w:eastAsia="宋体"/>
          <w:color w:val="auto"/>
          <w:sz w:val="24"/>
          <w:highlight w:val="none"/>
        </w:rPr>
        <w:t>；</w:t>
      </w:r>
    </w:p>
    <w:p w14:paraId="6EE06440">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（9）《关于发布</w:t>
      </w:r>
      <w:r>
        <w:rPr>
          <w:rFonts w:hint="eastAsia" w:ascii="Times New Roman" w:hAnsi="Times New Roman" w:eastAsia="宋体"/>
          <w:color w:val="auto"/>
          <w:sz w:val="24"/>
          <w:highlight w:val="none"/>
          <w:lang w:eastAsia="zh-CN"/>
        </w:rPr>
        <w:t>〈</w:t>
      </w:r>
      <w:r>
        <w:rPr>
          <w:rFonts w:ascii="Times New Roman" w:hAnsi="Times New Roman" w:eastAsia="宋体"/>
          <w:color w:val="auto"/>
          <w:sz w:val="24"/>
          <w:highlight w:val="none"/>
        </w:rPr>
        <w:t>建设项目危险废物环境影响评价指南</w:t>
      </w:r>
      <w:r>
        <w:rPr>
          <w:rFonts w:hint="eastAsia" w:ascii="Times New Roman" w:hAnsi="Times New Roman" w:eastAsia="宋体"/>
          <w:color w:val="auto"/>
          <w:sz w:val="24"/>
          <w:highlight w:val="none"/>
          <w:lang w:eastAsia="zh-CN"/>
        </w:rPr>
        <w:t>〉</w:t>
      </w:r>
      <w:r>
        <w:rPr>
          <w:rFonts w:ascii="Times New Roman" w:hAnsi="Times New Roman" w:eastAsia="宋体"/>
          <w:color w:val="auto"/>
          <w:sz w:val="24"/>
          <w:highlight w:val="none"/>
        </w:rPr>
        <w:t>的公告》（公告2017年，第43号，自2017年10月1日起施行）；</w:t>
      </w:r>
    </w:p>
    <w:p w14:paraId="568F674A">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（10）《企业突发环境事件风险分级方法》（HJ941-2018）；</w:t>
      </w:r>
    </w:p>
    <w:p w14:paraId="53ADA3DD">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（11）《危险化学品重大危险源辨识》（GB18218-2018）（</w:t>
      </w:r>
      <w:r>
        <w:rPr>
          <w:rFonts w:hint="eastAsia"/>
          <w:color w:val="auto"/>
          <w:sz w:val="24"/>
          <w:highlight w:val="none"/>
          <w:lang w:eastAsia="zh-CN"/>
        </w:rPr>
        <w:t>2019年3月1日</w:t>
      </w:r>
      <w:r>
        <w:rPr>
          <w:rFonts w:ascii="Times New Roman" w:hAnsi="Times New Roman" w:eastAsia="宋体"/>
          <w:color w:val="auto"/>
          <w:sz w:val="24"/>
          <w:highlight w:val="none"/>
        </w:rPr>
        <w:t>起执行）；</w:t>
      </w:r>
    </w:p>
    <w:p w14:paraId="53F29170">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（12）《污染源源强核算技术指南准则》（HJ884-2018）；</w:t>
      </w:r>
    </w:p>
    <w:p w14:paraId="4B51DA73">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（13）《排放源统计调查产排污核算方法和系数手册》（生态环境部，2021年6月9日）；</w:t>
      </w:r>
    </w:p>
    <w:p w14:paraId="61EC422A">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（1</w:t>
      </w:r>
      <w:r>
        <w:rPr>
          <w:rFonts w:hint="eastAsia" w:ascii="Times New Roman" w:hAnsi="Times New Roman" w:eastAsia="宋体"/>
          <w:color w:val="auto"/>
          <w:sz w:val="24"/>
          <w:highlight w:val="none"/>
          <w:lang w:val="en-US" w:eastAsia="zh-CN"/>
        </w:rPr>
        <w:t>4</w:t>
      </w:r>
      <w:r>
        <w:rPr>
          <w:rFonts w:ascii="Times New Roman" w:hAnsi="Times New Roman" w:eastAsia="宋体"/>
          <w:color w:val="auto"/>
          <w:sz w:val="24"/>
          <w:highlight w:val="none"/>
        </w:rPr>
        <w:t>）《排污许可申请与核发技术规范</w:t>
      </w:r>
      <w:r>
        <w:rPr>
          <w:rFonts w:hint="eastAsia" w:ascii="Times New Roman" w:hAnsi="Times New Roman" w:eastAsia="宋体"/>
          <w:color w:val="auto"/>
          <w:sz w:val="24"/>
          <w:highlight w:val="none"/>
          <w:lang w:val="en-US" w:eastAsia="zh-CN"/>
        </w:rPr>
        <w:t>总则</w:t>
      </w:r>
      <w:r>
        <w:rPr>
          <w:rFonts w:ascii="Times New Roman" w:hAnsi="Times New Roman" w:eastAsia="宋体"/>
          <w:color w:val="auto"/>
          <w:sz w:val="24"/>
          <w:highlight w:val="none"/>
        </w:rPr>
        <w:t>》（HJ855-2017）；</w:t>
      </w:r>
    </w:p>
    <w:p w14:paraId="5D913062">
      <w:pPr>
        <w:keepNext w:val="0"/>
        <w:keepLines w:val="0"/>
        <w:pageBreakBefore w:val="0"/>
        <w:widowControl w:val="0"/>
        <w:numPr>
          <w:ilvl w:val="0"/>
          <w:numId w:val="0"/>
        </w:numPr>
        <w:tabs>
          <w:tab w:val="left" w:pos="180"/>
        </w:tabs>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snapToGrid w:val="0"/>
          <w:color w:val="auto"/>
          <w:sz w:val="24"/>
          <w:highlight w:val="none"/>
          <w:lang w:val="zh-CN"/>
        </w:rPr>
      </w:pPr>
      <w:r>
        <w:rPr>
          <w:rFonts w:hint="default" w:ascii="Times New Roman" w:hAnsi="Times New Roman" w:eastAsia="宋体" w:cs="Times New Roman"/>
          <w:snapToGrid w:val="0"/>
          <w:color w:val="auto"/>
          <w:sz w:val="24"/>
          <w:highlight w:val="none"/>
          <w:lang w:val="zh-CN"/>
        </w:rPr>
        <w:t>（</w:t>
      </w:r>
      <w:r>
        <w:rPr>
          <w:rFonts w:hint="default" w:ascii="Times New Roman" w:hAnsi="Times New Roman" w:eastAsia="宋体" w:cs="Times New Roman"/>
          <w:snapToGrid w:val="0"/>
          <w:color w:val="auto"/>
          <w:sz w:val="24"/>
          <w:highlight w:val="none"/>
          <w:lang w:val="en-US" w:eastAsia="zh-CN"/>
        </w:rPr>
        <w:t>1</w:t>
      </w:r>
      <w:r>
        <w:rPr>
          <w:rFonts w:hint="eastAsia" w:ascii="Times New Roman" w:hAnsi="Times New Roman" w:eastAsia="宋体" w:cs="Times New Roman"/>
          <w:snapToGrid w:val="0"/>
          <w:color w:val="auto"/>
          <w:sz w:val="24"/>
          <w:highlight w:val="none"/>
          <w:lang w:val="en-US" w:eastAsia="zh-CN"/>
        </w:rPr>
        <w:t>5</w:t>
      </w:r>
      <w:r>
        <w:rPr>
          <w:rFonts w:hint="default" w:ascii="Times New Roman" w:hAnsi="Times New Roman" w:eastAsia="宋体" w:cs="Times New Roman"/>
          <w:snapToGrid w:val="0"/>
          <w:color w:val="auto"/>
          <w:sz w:val="24"/>
          <w:highlight w:val="none"/>
          <w:lang w:val="zh-CN"/>
        </w:rPr>
        <w:t>）《排污单位自行监测技术指南</w:t>
      </w:r>
      <w:r>
        <w:rPr>
          <w:rFonts w:hint="default" w:ascii="Times New Roman" w:hAnsi="Times New Roman" w:eastAsia="宋体" w:cs="Times New Roman"/>
          <w:snapToGrid w:val="0"/>
          <w:color w:val="auto"/>
          <w:sz w:val="24"/>
          <w:highlight w:val="none"/>
          <w:lang w:val="en-US" w:eastAsia="zh-CN"/>
        </w:rPr>
        <w:t xml:space="preserve"> </w:t>
      </w:r>
      <w:r>
        <w:rPr>
          <w:rFonts w:hint="default" w:ascii="Times New Roman" w:hAnsi="Times New Roman" w:eastAsia="宋体" w:cs="Times New Roman"/>
          <w:snapToGrid w:val="0"/>
          <w:color w:val="auto"/>
          <w:sz w:val="24"/>
          <w:highlight w:val="none"/>
          <w:lang w:val="zh-CN"/>
        </w:rPr>
        <w:t>总则》（HJ819</w:t>
      </w:r>
      <w:r>
        <w:rPr>
          <w:rFonts w:hint="default" w:ascii="Times New Roman" w:hAnsi="Times New Roman" w:eastAsia="宋体" w:cs="Times New Roman"/>
          <w:snapToGrid w:val="0"/>
          <w:color w:val="auto"/>
          <w:sz w:val="24"/>
          <w:highlight w:val="none"/>
          <w:lang w:val="en-US" w:eastAsia="zh-CN"/>
        </w:rPr>
        <w:t>-2017</w:t>
      </w:r>
      <w:r>
        <w:rPr>
          <w:rFonts w:hint="default" w:ascii="Times New Roman" w:hAnsi="Times New Roman" w:eastAsia="宋体" w:cs="Times New Roman"/>
          <w:snapToGrid w:val="0"/>
          <w:color w:val="auto"/>
          <w:sz w:val="24"/>
          <w:highlight w:val="none"/>
          <w:lang w:val="zh-CN"/>
        </w:rPr>
        <w:t>）；</w:t>
      </w:r>
    </w:p>
    <w:p w14:paraId="48D58A7B">
      <w:pPr>
        <w:keepNext w:val="0"/>
        <w:keepLines w:val="0"/>
        <w:pageBreakBefore w:val="0"/>
        <w:widowControl w:val="0"/>
        <w:numPr>
          <w:ilvl w:val="0"/>
          <w:numId w:val="0"/>
        </w:numPr>
        <w:tabs>
          <w:tab w:val="left" w:pos="180"/>
        </w:tabs>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snapToGrid w:val="0"/>
          <w:color w:val="auto"/>
          <w:sz w:val="24"/>
          <w:highlight w:val="none"/>
          <w:lang w:val="zh-CN"/>
        </w:rPr>
      </w:pPr>
      <w:r>
        <w:rPr>
          <w:rFonts w:hint="default" w:ascii="Times New Roman" w:hAnsi="Times New Roman" w:eastAsia="宋体" w:cs="Times New Roman"/>
          <w:snapToGrid w:val="0"/>
          <w:color w:val="auto"/>
          <w:sz w:val="24"/>
          <w:highlight w:val="none"/>
          <w:lang w:val="zh-CN"/>
        </w:rPr>
        <w:t>（</w:t>
      </w:r>
      <w:r>
        <w:rPr>
          <w:rFonts w:hint="default" w:ascii="Times New Roman" w:hAnsi="Times New Roman" w:eastAsia="宋体" w:cs="Times New Roman"/>
          <w:snapToGrid w:val="0"/>
          <w:color w:val="auto"/>
          <w:sz w:val="24"/>
          <w:highlight w:val="none"/>
          <w:lang w:val="en-US" w:eastAsia="zh-CN"/>
        </w:rPr>
        <w:t>1</w:t>
      </w:r>
      <w:r>
        <w:rPr>
          <w:rFonts w:hint="eastAsia" w:ascii="Times New Roman" w:hAnsi="Times New Roman" w:eastAsia="宋体" w:cs="Times New Roman"/>
          <w:snapToGrid w:val="0"/>
          <w:color w:val="auto"/>
          <w:sz w:val="24"/>
          <w:highlight w:val="none"/>
          <w:lang w:val="en-US" w:eastAsia="zh-CN"/>
        </w:rPr>
        <w:t>6</w:t>
      </w:r>
      <w:r>
        <w:rPr>
          <w:rFonts w:hint="default" w:ascii="Times New Roman" w:hAnsi="Times New Roman" w:eastAsia="宋体" w:cs="Times New Roman"/>
          <w:snapToGrid w:val="0"/>
          <w:color w:val="auto"/>
          <w:sz w:val="24"/>
          <w:highlight w:val="none"/>
          <w:lang w:val="zh-CN"/>
        </w:rPr>
        <w:t>）《固定污染源排污</w:t>
      </w:r>
      <w:r>
        <w:rPr>
          <w:rFonts w:hint="default" w:ascii="Times New Roman" w:hAnsi="Times New Roman" w:eastAsia="宋体" w:cs="Times New Roman"/>
          <w:snapToGrid w:val="0"/>
          <w:color w:val="auto"/>
          <w:sz w:val="24"/>
          <w:highlight w:val="none"/>
          <w:lang w:val="en-US" w:eastAsia="zh-CN"/>
        </w:rPr>
        <w:t>许可分类管理名录</w:t>
      </w:r>
      <w:r>
        <w:rPr>
          <w:rFonts w:hint="default" w:ascii="Times New Roman" w:hAnsi="Times New Roman" w:eastAsia="宋体" w:cs="Times New Roman"/>
          <w:snapToGrid w:val="0"/>
          <w:color w:val="auto"/>
          <w:sz w:val="24"/>
          <w:highlight w:val="none"/>
          <w:lang w:val="zh-CN"/>
        </w:rPr>
        <w:t>》（</w:t>
      </w:r>
      <w:r>
        <w:rPr>
          <w:rFonts w:hint="default" w:ascii="Times New Roman" w:hAnsi="Times New Roman" w:eastAsia="宋体" w:cs="Times New Roman"/>
          <w:snapToGrid w:val="0"/>
          <w:color w:val="auto"/>
          <w:sz w:val="24"/>
          <w:highlight w:val="none"/>
          <w:lang w:val="en-US" w:eastAsia="zh-CN"/>
        </w:rPr>
        <w:t>2019年版</w:t>
      </w:r>
      <w:r>
        <w:rPr>
          <w:rFonts w:hint="default" w:ascii="Times New Roman" w:hAnsi="Times New Roman" w:eastAsia="宋体" w:cs="Times New Roman"/>
          <w:snapToGrid w:val="0"/>
          <w:color w:val="auto"/>
          <w:sz w:val="24"/>
          <w:highlight w:val="none"/>
          <w:lang w:val="zh-CN"/>
        </w:rPr>
        <w:t>）；</w:t>
      </w:r>
    </w:p>
    <w:p w14:paraId="2B5F9181">
      <w:pPr>
        <w:keepNext w:val="0"/>
        <w:keepLines w:val="0"/>
        <w:pageBreakBefore w:val="0"/>
        <w:widowControl w:val="0"/>
        <w:numPr>
          <w:ilvl w:val="0"/>
          <w:numId w:val="0"/>
        </w:numPr>
        <w:tabs>
          <w:tab w:val="left" w:pos="180"/>
        </w:tabs>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snapToGrid w:val="0"/>
          <w:color w:val="auto"/>
          <w:sz w:val="24"/>
          <w:highlight w:val="none"/>
          <w:lang w:val="zh-CN"/>
        </w:rPr>
      </w:pPr>
      <w:r>
        <w:rPr>
          <w:rFonts w:hint="default" w:ascii="Times New Roman" w:hAnsi="Times New Roman" w:eastAsia="宋体" w:cs="Times New Roman"/>
          <w:snapToGrid w:val="0"/>
          <w:color w:val="auto"/>
          <w:sz w:val="24"/>
          <w:highlight w:val="none"/>
          <w:lang w:val="zh-CN"/>
        </w:rPr>
        <w:t>（</w:t>
      </w:r>
      <w:r>
        <w:rPr>
          <w:rFonts w:hint="default" w:ascii="Times New Roman" w:hAnsi="Times New Roman" w:eastAsia="宋体" w:cs="Times New Roman"/>
          <w:snapToGrid w:val="0"/>
          <w:color w:val="auto"/>
          <w:sz w:val="24"/>
          <w:highlight w:val="none"/>
          <w:lang w:val="en-US" w:eastAsia="zh-CN"/>
        </w:rPr>
        <w:t>1</w:t>
      </w:r>
      <w:r>
        <w:rPr>
          <w:rFonts w:hint="eastAsia" w:ascii="Times New Roman" w:hAnsi="Times New Roman" w:eastAsia="宋体" w:cs="Times New Roman"/>
          <w:snapToGrid w:val="0"/>
          <w:color w:val="auto"/>
          <w:sz w:val="24"/>
          <w:highlight w:val="none"/>
          <w:lang w:val="en-US" w:eastAsia="zh-CN"/>
        </w:rPr>
        <w:t>7</w:t>
      </w:r>
      <w:r>
        <w:rPr>
          <w:rFonts w:hint="default" w:ascii="Times New Roman" w:hAnsi="Times New Roman" w:eastAsia="宋体" w:cs="Times New Roman"/>
          <w:snapToGrid w:val="0"/>
          <w:color w:val="auto"/>
          <w:sz w:val="24"/>
          <w:highlight w:val="none"/>
          <w:lang w:val="zh-CN"/>
        </w:rPr>
        <w:t>）《</w:t>
      </w:r>
      <w:r>
        <w:rPr>
          <w:rFonts w:hint="eastAsia" w:ascii="宋体" w:hAnsi="宋体" w:eastAsia="宋体" w:cs="宋体"/>
          <w:b w:val="0"/>
          <w:bCs w:val="0"/>
          <w:color w:val="auto"/>
          <w:sz w:val="24"/>
          <w:szCs w:val="24"/>
          <w:highlight w:val="none"/>
        </w:rPr>
        <w:t>排污许可证申请与核发技术规范 无机化学工业</w:t>
      </w:r>
      <w:r>
        <w:rPr>
          <w:rFonts w:hint="default" w:ascii="Times New Roman" w:hAnsi="Times New Roman" w:eastAsia="宋体" w:cs="Times New Roman"/>
          <w:snapToGrid w:val="0"/>
          <w:color w:val="auto"/>
          <w:sz w:val="24"/>
          <w:highlight w:val="none"/>
          <w:lang w:val="zh-CN"/>
        </w:rPr>
        <w:t>》（HJ1</w:t>
      </w:r>
      <w:r>
        <w:rPr>
          <w:rFonts w:hint="eastAsia" w:ascii="Times New Roman" w:hAnsi="Times New Roman" w:eastAsia="宋体" w:cs="Times New Roman"/>
          <w:snapToGrid w:val="0"/>
          <w:color w:val="auto"/>
          <w:sz w:val="24"/>
          <w:highlight w:val="none"/>
          <w:lang w:val="en-US" w:eastAsia="zh-CN"/>
        </w:rPr>
        <w:t>035</w:t>
      </w:r>
      <w:r>
        <w:rPr>
          <w:rFonts w:hint="default" w:ascii="Times New Roman" w:hAnsi="Times New Roman" w:cs="Times New Roman"/>
          <w:snapToGrid w:val="0"/>
          <w:color w:val="auto"/>
          <w:sz w:val="24"/>
          <w:highlight w:val="none"/>
          <w:lang w:val="en-US" w:eastAsia="zh-CN"/>
        </w:rPr>
        <w:t>-</w:t>
      </w:r>
      <w:r>
        <w:rPr>
          <w:rFonts w:hint="default" w:ascii="Times New Roman" w:hAnsi="Times New Roman" w:eastAsia="宋体" w:cs="Times New Roman"/>
          <w:snapToGrid w:val="0"/>
          <w:color w:val="auto"/>
          <w:sz w:val="24"/>
          <w:highlight w:val="none"/>
          <w:lang w:val="zh-CN"/>
        </w:rPr>
        <w:t>20</w:t>
      </w:r>
      <w:r>
        <w:rPr>
          <w:rFonts w:hint="eastAsia" w:ascii="Times New Roman" w:hAnsi="Times New Roman" w:eastAsia="宋体" w:cs="Times New Roman"/>
          <w:snapToGrid w:val="0"/>
          <w:color w:val="auto"/>
          <w:sz w:val="24"/>
          <w:highlight w:val="none"/>
          <w:lang w:val="en-US" w:eastAsia="zh-CN"/>
        </w:rPr>
        <w:t>19</w:t>
      </w:r>
      <w:r>
        <w:rPr>
          <w:rFonts w:hint="default" w:ascii="Times New Roman" w:hAnsi="Times New Roman" w:eastAsia="宋体" w:cs="Times New Roman"/>
          <w:snapToGrid w:val="0"/>
          <w:color w:val="auto"/>
          <w:sz w:val="24"/>
          <w:highlight w:val="none"/>
          <w:lang w:val="zh-CN"/>
        </w:rPr>
        <w:t>）</w:t>
      </w:r>
      <w:r>
        <w:rPr>
          <w:rFonts w:hint="eastAsia" w:ascii="Times New Roman" w:hAnsi="Times New Roman" w:eastAsia="宋体" w:cs="Times New Roman"/>
          <w:snapToGrid w:val="0"/>
          <w:color w:val="auto"/>
          <w:sz w:val="24"/>
          <w:highlight w:val="none"/>
          <w:lang w:val="zh-CN"/>
        </w:rPr>
        <w:t>；</w:t>
      </w:r>
    </w:p>
    <w:p w14:paraId="7E4A1B3B">
      <w:pPr>
        <w:keepNext w:val="0"/>
        <w:keepLines w:val="0"/>
        <w:pageBreakBefore w:val="0"/>
        <w:widowControl w:val="0"/>
        <w:numPr>
          <w:ilvl w:val="0"/>
          <w:numId w:val="0"/>
        </w:numPr>
        <w:tabs>
          <w:tab w:val="left" w:pos="180"/>
        </w:tabs>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（18）《氢气站设计规范》（GB50177-2005）；</w:t>
      </w:r>
    </w:p>
    <w:p w14:paraId="43D70444">
      <w:pPr>
        <w:keepNext w:val="0"/>
        <w:keepLines w:val="0"/>
        <w:pageBreakBefore w:val="0"/>
        <w:widowControl w:val="0"/>
        <w:numPr>
          <w:ilvl w:val="0"/>
          <w:numId w:val="0"/>
        </w:numPr>
        <w:tabs>
          <w:tab w:val="left" w:pos="180"/>
        </w:tabs>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（19）《加氢站通用要求》（GB/T43674-2024）；</w:t>
      </w:r>
    </w:p>
    <w:p w14:paraId="5C43FC5A">
      <w:pPr>
        <w:keepNext w:val="0"/>
        <w:keepLines w:val="0"/>
        <w:pageBreakBefore w:val="0"/>
        <w:widowControl w:val="0"/>
        <w:numPr>
          <w:ilvl w:val="0"/>
          <w:numId w:val="0"/>
        </w:numPr>
        <w:tabs>
          <w:tab w:val="left" w:pos="180"/>
        </w:tabs>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（20）《加氢站技术规范》（GB50516—2021）；</w:t>
      </w:r>
    </w:p>
    <w:p w14:paraId="27C3DDBC">
      <w:pPr>
        <w:keepNext w:val="0"/>
        <w:keepLines w:val="0"/>
        <w:pageBreakBefore w:val="0"/>
        <w:widowControl w:val="0"/>
        <w:numPr>
          <w:ilvl w:val="0"/>
          <w:numId w:val="0"/>
        </w:numPr>
        <w:tabs>
          <w:tab w:val="left" w:pos="180"/>
        </w:tabs>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（21）《加氢站安全技术规范》</w:t>
      </w:r>
      <w:r>
        <w:rPr>
          <w:rFonts w:hint="eastAsia" w:cs="Times New Roman"/>
          <w:color w:val="auto"/>
          <w:kern w:val="0"/>
          <w:sz w:val="24"/>
          <w:szCs w:val="24"/>
          <w:highlight w:val="none"/>
          <w:lang w:val="en-US" w:eastAsia="zh-CN" w:bidi="ar"/>
        </w:rPr>
        <w:t>（</w:t>
      </w:r>
      <w:r>
        <w:rPr>
          <w:rFonts w:hint="eastAsia" w:ascii="Times New Roman" w:hAnsi="Times New Roman" w:eastAsia="宋体" w:cs="Times New Roman"/>
          <w:color w:val="auto"/>
          <w:kern w:val="0"/>
          <w:sz w:val="24"/>
          <w:szCs w:val="24"/>
          <w:highlight w:val="none"/>
          <w:lang w:val="en-US" w:eastAsia="zh-CN" w:bidi="ar"/>
        </w:rPr>
        <w:t>GB/T34584—2017</w:t>
      </w:r>
      <w:r>
        <w:rPr>
          <w:rFonts w:hint="eastAsia" w:cs="Times New Roman"/>
          <w:color w:val="auto"/>
          <w:kern w:val="0"/>
          <w:sz w:val="24"/>
          <w:szCs w:val="24"/>
          <w:highlight w:val="none"/>
          <w:lang w:val="en-US" w:eastAsia="zh-CN" w:bidi="ar"/>
        </w:rPr>
        <w:t>）</w:t>
      </w:r>
      <w:r>
        <w:rPr>
          <w:rFonts w:hint="eastAsia" w:ascii="Times New Roman" w:hAnsi="Times New Roman" w:eastAsia="宋体" w:cs="Times New Roman"/>
          <w:color w:val="auto"/>
          <w:kern w:val="0"/>
          <w:sz w:val="24"/>
          <w:szCs w:val="24"/>
          <w:highlight w:val="none"/>
          <w:lang w:val="en-US" w:eastAsia="zh-CN" w:bidi="ar"/>
        </w:rPr>
        <w:t>；</w:t>
      </w:r>
    </w:p>
    <w:p w14:paraId="65B0724A">
      <w:pPr>
        <w:keepNext w:val="0"/>
        <w:keepLines w:val="0"/>
        <w:pageBreakBefore w:val="0"/>
        <w:widowControl w:val="0"/>
        <w:numPr>
          <w:ilvl w:val="0"/>
          <w:numId w:val="0"/>
        </w:numPr>
        <w:tabs>
          <w:tab w:val="left" w:pos="180"/>
        </w:tabs>
        <w:kinsoku/>
        <w:wordWrap/>
        <w:overflowPunct/>
        <w:topLinePunct w:val="0"/>
        <w:autoSpaceDE w:val="0"/>
        <w:autoSpaceDN w:val="0"/>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（22）《氢气使用安全技术规程》（GB4962—2008）；</w:t>
      </w:r>
    </w:p>
    <w:p w14:paraId="3EADDF26">
      <w:pPr>
        <w:keepNext w:val="0"/>
        <w:keepLines w:val="0"/>
        <w:pageBreakBefore w:val="0"/>
        <w:widowControl w:val="0"/>
        <w:numPr>
          <w:ilvl w:val="0"/>
          <w:numId w:val="0"/>
        </w:numPr>
        <w:tabs>
          <w:tab w:val="left" w:pos="180"/>
        </w:tabs>
        <w:kinsoku/>
        <w:wordWrap/>
        <w:overflowPunct/>
        <w:topLinePunct w:val="0"/>
        <w:autoSpaceDE w:val="0"/>
        <w:autoSpaceDN w:val="0"/>
        <w:bidi w:val="0"/>
        <w:adjustRightInd/>
        <w:snapToGrid/>
        <w:spacing w:line="360" w:lineRule="auto"/>
        <w:ind w:firstLine="480" w:firstLineChars="200"/>
        <w:textAlignment w:val="auto"/>
        <w:rPr>
          <w:rFonts w:hint="eastAsia" w:cs="Times New Roman"/>
          <w:color w:val="auto"/>
          <w:kern w:val="0"/>
          <w:sz w:val="24"/>
          <w:szCs w:val="24"/>
          <w:highlight w:val="none"/>
          <w:lang w:val="en-US" w:eastAsia="zh-CN" w:bidi="ar"/>
        </w:rPr>
      </w:pPr>
      <w:r>
        <w:rPr>
          <w:rFonts w:hint="eastAsia" w:ascii="Times New Roman" w:hAnsi="Times New Roman" w:eastAsia="宋体" w:cs="Times New Roman"/>
          <w:color w:val="auto"/>
          <w:kern w:val="0"/>
          <w:sz w:val="24"/>
          <w:szCs w:val="24"/>
          <w:highlight w:val="none"/>
          <w:lang w:val="en-US" w:eastAsia="zh-CN" w:bidi="ar"/>
        </w:rPr>
        <w:t>（23）《汽车加油加气加氢站技术标准》（GB50156—2021）</w:t>
      </w:r>
      <w:bookmarkStart w:id="42" w:name="_Toc152921600"/>
      <w:bookmarkStart w:id="43" w:name="_Toc152922559"/>
      <w:bookmarkStart w:id="44" w:name="_Toc152921965"/>
      <w:bookmarkStart w:id="45" w:name="_Toc117150195"/>
      <w:bookmarkStart w:id="46" w:name="_Toc152923240"/>
      <w:r>
        <w:rPr>
          <w:rFonts w:hint="eastAsia" w:cs="Times New Roman"/>
          <w:color w:val="auto"/>
          <w:kern w:val="0"/>
          <w:sz w:val="24"/>
          <w:szCs w:val="24"/>
          <w:highlight w:val="none"/>
          <w:lang w:val="en-US" w:eastAsia="zh-CN" w:bidi="ar"/>
        </w:rPr>
        <w:t>。</w:t>
      </w:r>
    </w:p>
    <w:p w14:paraId="0D85942E">
      <w:pPr>
        <w:pStyle w:val="4"/>
        <w:spacing w:after="156"/>
        <w:rPr>
          <w:rFonts w:ascii="Times New Roman" w:hAnsi="Times New Roman" w:eastAsia="宋体" w:cs="Times New Roman"/>
          <w:b/>
          <w:color w:val="auto"/>
          <w:highlight w:val="none"/>
        </w:rPr>
      </w:pPr>
      <w:r>
        <w:rPr>
          <w:rFonts w:ascii="Times New Roman" w:hAnsi="Times New Roman" w:eastAsia="宋体" w:cs="Times New Roman"/>
          <w:b/>
          <w:color w:val="auto"/>
          <w:highlight w:val="none"/>
        </w:rPr>
        <w:t>2.1.4其他相关文件及资料</w:t>
      </w:r>
      <w:bookmarkEnd w:id="42"/>
      <w:bookmarkEnd w:id="43"/>
      <w:bookmarkEnd w:id="44"/>
      <w:bookmarkEnd w:id="45"/>
      <w:bookmarkEnd w:id="46"/>
    </w:p>
    <w:p w14:paraId="253BDE6D">
      <w:pPr>
        <w:numPr>
          <w:ilvl w:val="0"/>
          <w:numId w:val="0"/>
        </w:numPr>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kern w:val="2"/>
          <w:sz w:val="24"/>
          <w:szCs w:val="22"/>
          <w:highlight w:val="none"/>
          <w:lang w:val="en-US" w:eastAsia="zh-CN" w:bidi="ar-SA"/>
        </w:rPr>
        <w:t>（1）</w:t>
      </w:r>
      <w:r>
        <w:rPr>
          <w:rFonts w:hint="eastAsia" w:ascii="Times New Roman" w:hAnsi="Times New Roman" w:eastAsia="宋体" w:cs="Times New Roman"/>
          <w:color w:val="auto"/>
          <w:sz w:val="24"/>
          <w:highlight w:val="none"/>
          <w:lang w:val="en-US" w:eastAsia="zh-CN"/>
        </w:rPr>
        <w:t>田家庵区发展和改革委员会</w:t>
      </w:r>
      <w:r>
        <w:rPr>
          <w:rFonts w:hint="default" w:ascii="Times New Roman" w:hAnsi="Times New Roman" w:eastAsia="宋体" w:cs="Times New Roman"/>
          <w:color w:val="auto"/>
          <w:sz w:val="24"/>
          <w:highlight w:val="none"/>
          <w:lang w:val="en-US" w:eastAsia="zh-CN"/>
        </w:rPr>
        <w:t>备案表，202</w:t>
      </w:r>
      <w:r>
        <w:rPr>
          <w:rFonts w:hint="eastAsia"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val="en-US" w:eastAsia="zh-CN"/>
        </w:rPr>
        <w:t>年</w:t>
      </w:r>
      <w:r>
        <w:rPr>
          <w:rFonts w:hint="eastAsia"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月</w:t>
      </w:r>
      <w:r>
        <w:rPr>
          <w:rFonts w:hint="eastAsia" w:ascii="Times New Roman" w:hAnsi="Times New Roman" w:eastAsia="宋体" w:cs="Times New Roman"/>
          <w:color w:val="auto"/>
          <w:sz w:val="24"/>
          <w:highlight w:val="none"/>
          <w:lang w:val="en-US" w:eastAsia="zh-CN"/>
        </w:rPr>
        <w:t>23日</w:t>
      </w:r>
      <w:r>
        <w:rPr>
          <w:rFonts w:hint="default" w:ascii="Times New Roman" w:hAnsi="Times New Roman" w:eastAsia="宋体" w:cs="Times New Roman"/>
          <w:color w:val="auto"/>
          <w:sz w:val="24"/>
          <w:highlight w:val="none"/>
          <w:lang w:val="en-US" w:eastAsia="zh-CN"/>
        </w:rPr>
        <w:t>；</w:t>
      </w:r>
    </w:p>
    <w:p w14:paraId="557086C5">
      <w:pPr>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（2）《淮南生物沼气制加氢充装一体综合能源示范站项目----设计方案》</w:t>
      </w:r>
    </w:p>
    <w:p w14:paraId="218314E9">
      <w:pPr>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安徽氢环能源技术有限公司淮南生物沼气制加氢充装一体综合能源示范站项目可行性研究报告</w:t>
      </w:r>
      <w:r>
        <w:rPr>
          <w:rFonts w:hint="eastAsia" w:ascii="Times New Roman" w:hAnsi="Times New Roman" w:eastAsia="宋体" w:cs="Times New Roman"/>
          <w:color w:val="auto"/>
          <w:sz w:val="24"/>
          <w:highlight w:val="none"/>
          <w:lang w:val="en-US" w:eastAsia="zh-CN"/>
        </w:rPr>
        <w:t>》；</w:t>
      </w:r>
    </w:p>
    <w:p w14:paraId="2025E08E">
      <w:pPr>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rPr>
        <w:t>安徽氢环能源技术有限公司</w:t>
      </w:r>
      <w:r>
        <w:rPr>
          <w:rFonts w:hint="default" w:ascii="Times New Roman" w:hAnsi="Times New Roman" w:eastAsia="宋体" w:cs="Times New Roman"/>
          <w:color w:val="auto"/>
          <w:sz w:val="24"/>
          <w:highlight w:val="none"/>
          <w:lang w:val="en-US" w:eastAsia="zh-CN"/>
        </w:rPr>
        <w:t>建设方提供的有关图纸、工程技术资料等其他资料</w:t>
      </w:r>
      <w:r>
        <w:rPr>
          <w:rFonts w:hint="eastAsia" w:ascii="Times New Roman" w:hAnsi="Times New Roman" w:eastAsia="宋体" w:cs="Times New Roman"/>
          <w:color w:val="auto"/>
          <w:sz w:val="24"/>
          <w:highlight w:val="none"/>
          <w:lang w:val="en-US" w:eastAsia="zh-CN"/>
        </w:rPr>
        <w:t>。</w:t>
      </w:r>
    </w:p>
    <w:p w14:paraId="717024CE">
      <w:pPr>
        <w:pStyle w:val="218"/>
        <w:spacing w:before="62" w:after="156"/>
        <w:rPr>
          <w:color w:val="auto"/>
          <w:highlight w:val="none"/>
        </w:rPr>
      </w:pPr>
      <w:r>
        <w:rPr>
          <w:color w:val="auto"/>
          <w:highlight w:val="none"/>
        </w:rPr>
        <w:br w:type="page"/>
      </w:r>
      <w:bookmarkStart w:id="47" w:name="_Toc18667"/>
      <w:bookmarkStart w:id="48" w:name="_Toc152921966"/>
      <w:bookmarkStart w:id="49" w:name="_Toc152922560"/>
      <w:r>
        <w:rPr>
          <w:color w:val="auto"/>
          <w:highlight w:val="none"/>
        </w:rPr>
        <w:t>2.2环境影响识别与评价因子筛选</w:t>
      </w:r>
      <w:bookmarkEnd w:id="47"/>
      <w:bookmarkEnd w:id="48"/>
      <w:bookmarkEnd w:id="49"/>
    </w:p>
    <w:p w14:paraId="7B3B8E52">
      <w:pPr>
        <w:pStyle w:val="4"/>
        <w:spacing w:after="156"/>
        <w:rPr>
          <w:color w:val="auto"/>
          <w:highlight w:val="none"/>
        </w:rPr>
      </w:pPr>
      <w:bookmarkStart w:id="50" w:name="_Toc117150197"/>
      <w:bookmarkStart w:id="51" w:name="_Toc152921602"/>
      <w:bookmarkStart w:id="52" w:name="_Toc152923242"/>
      <w:bookmarkStart w:id="53" w:name="_Toc152922561"/>
      <w:bookmarkStart w:id="54" w:name="_Toc152921967"/>
      <w:r>
        <w:rPr>
          <w:color w:val="auto"/>
          <w:highlight w:val="none"/>
        </w:rPr>
        <w:t>2.2.1环境影响因素识别</w:t>
      </w:r>
      <w:bookmarkEnd w:id="50"/>
      <w:bookmarkEnd w:id="51"/>
      <w:bookmarkEnd w:id="52"/>
      <w:bookmarkEnd w:id="53"/>
      <w:bookmarkEnd w:id="54"/>
    </w:p>
    <w:p w14:paraId="1C96AEE7">
      <w:pPr>
        <w:pStyle w:val="106"/>
        <w:spacing w:line="360" w:lineRule="auto"/>
        <w:rPr>
          <w:rFonts w:hint="default" w:ascii="Times New Roman" w:hAnsi="Times New Roman" w:eastAsia="宋体" w:cs="Times New Roman"/>
          <w:caps w:val="0"/>
          <w:smallCaps w:val="0"/>
          <w:color w:val="auto"/>
          <w:highlight w:val="none"/>
        </w:rPr>
      </w:pPr>
      <w:r>
        <w:rPr>
          <w:rFonts w:hint="default" w:ascii="Times New Roman" w:hAnsi="Times New Roman" w:eastAsia="宋体" w:cs="Times New Roman"/>
          <w:caps w:val="0"/>
          <w:smallCaps w:val="0"/>
          <w:color w:val="auto"/>
          <w:highlight w:val="none"/>
        </w:rPr>
        <w:t>综合考虑工程性质、特点、实施阶段及其所处区域的环境特征，识别出可能对自然环境、社会环境和生活质量产生影响的因素，并确定其影响性质、时间、范围和程度等，为筛选评价因子及确定评价重点提供依据。采用矩阵识别法对工程在建设期和运营期产生的环境影响因素进行识别，识别结果见表2.2.1-</w:t>
      </w:r>
      <w:r>
        <w:rPr>
          <w:rFonts w:hint="default" w:ascii="Times New Roman" w:hAnsi="Times New Roman" w:eastAsia="宋体" w:cs="Times New Roman"/>
          <w:caps w:val="0"/>
          <w:smallCaps w:val="0"/>
          <w:color w:val="auto"/>
          <w:highlight w:val="none"/>
          <w:lang w:val="en-US" w:eastAsia="zh-CN"/>
        </w:rPr>
        <w:t>1</w:t>
      </w:r>
      <w:r>
        <w:rPr>
          <w:rFonts w:hint="default" w:ascii="Times New Roman" w:hAnsi="Times New Roman" w:eastAsia="宋体" w:cs="Times New Roman"/>
          <w:caps w:val="0"/>
          <w:smallCaps w:val="0"/>
          <w:color w:val="auto"/>
          <w:highlight w:val="none"/>
        </w:rPr>
        <w:t>。</w:t>
      </w:r>
    </w:p>
    <w:p w14:paraId="05334405">
      <w:pPr>
        <w:pStyle w:val="106"/>
        <w:spacing w:line="360" w:lineRule="auto"/>
        <w:jc w:val="center"/>
        <w:rPr>
          <w:rFonts w:hint="default" w:ascii="Times New Roman" w:hAnsi="Times New Roman" w:eastAsia="宋体" w:cs="Times New Roman"/>
          <w:b/>
          <w:bCs/>
          <w:caps w:val="0"/>
          <w:smallCaps w:val="0"/>
          <w:color w:val="auto"/>
          <w:highlight w:val="none"/>
          <w:lang w:val="en-US" w:eastAsia="zh-CN"/>
        </w:rPr>
      </w:pPr>
      <w:r>
        <w:rPr>
          <w:rFonts w:hint="default" w:ascii="Times New Roman" w:hAnsi="Times New Roman" w:eastAsia="宋体" w:cs="Times New Roman"/>
          <w:b/>
          <w:bCs/>
          <w:caps w:val="0"/>
          <w:smallCaps w:val="0"/>
          <w:color w:val="auto"/>
          <w:highlight w:val="none"/>
          <w:lang w:val="en-US" w:eastAsia="zh-CN"/>
        </w:rPr>
        <w:t>表2.2.1-1</w:t>
      </w:r>
      <w:r>
        <w:rPr>
          <w:rFonts w:hint="eastAsia" w:ascii="Times New Roman" w:hAnsi="Times New Roman" w:cs="Times New Roman"/>
          <w:b/>
          <w:bCs/>
          <w:caps w:val="0"/>
          <w:smallCaps w:val="0"/>
          <w:color w:val="auto"/>
          <w:highlight w:val="none"/>
          <w:lang w:val="en-US" w:eastAsia="zh-CN"/>
        </w:rPr>
        <w:t xml:space="preserve">  </w:t>
      </w:r>
      <w:r>
        <w:rPr>
          <w:rFonts w:hint="default" w:ascii="Times New Roman" w:hAnsi="Times New Roman" w:eastAsia="宋体" w:cs="Times New Roman"/>
          <w:b/>
          <w:bCs/>
          <w:caps w:val="0"/>
          <w:smallCaps w:val="0"/>
          <w:color w:val="auto"/>
          <w:highlight w:val="none"/>
          <w:lang w:val="en-US" w:eastAsia="zh-CN"/>
        </w:rPr>
        <w:t>建设项目环境影响因素识别矩阵一览表</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3"/>
        <w:gridCol w:w="1508"/>
        <w:gridCol w:w="1384"/>
        <w:gridCol w:w="1300"/>
        <w:gridCol w:w="1466"/>
        <w:gridCol w:w="1391"/>
      </w:tblGrid>
      <w:tr w14:paraId="40C3AE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4" w:type="pct"/>
            <w:vMerge w:val="restart"/>
            <w:tcBorders>
              <w:top w:val="single" w:color="auto" w:sz="4" w:space="0"/>
              <w:left w:val="single" w:color="auto" w:sz="4" w:space="0"/>
            </w:tcBorders>
            <w:noWrap w:val="0"/>
            <w:vAlign w:val="center"/>
          </w:tcPr>
          <w:p w14:paraId="6D4D574A">
            <w:pPr>
              <w:spacing w:line="276" w:lineRule="auto"/>
              <w:jc w:val="center"/>
              <w:rPr>
                <w:b/>
                <w:color w:val="auto"/>
                <w:sz w:val="21"/>
                <w:szCs w:val="21"/>
                <w:highlight w:val="none"/>
              </w:rPr>
            </w:pPr>
            <w:r>
              <w:rPr>
                <w:rFonts w:hAnsi="宋体"/>
                <w:b/>
                <w:color w:val="auto"/>
                <w:sz w:val="21"/>
                <w:szCs w:val="21"/>
                <w:highlight w:val="none"/>
              </w:rPr>
              <w:t>影响因子</w:t>
            </w:r>
          </w:p>
        </w:tc>
        <w:tc>
          <w:tcPr>
            <w:tcW w:w="885" w:type="pct"/>
            <w:vMerge w:val="restart"/>
            <w:tcBorders>
              <w:top w:val="single" w:color="auto" w:sz="4" w:space="0"/>
            </w:tcBorders>
            <w:noWrap w:val="0"/>
            <w:vAlign w:val="center"/>
          </w:tcPr>
          <w:p w14:paraId="1637DD9B">
            <w:pPr>
              <w:spacing w:line="276" w:lineRule="auto"/>
              <w:jc w:val="center"/>
              <w:rPr>
                <w:b/>
                <w:color w:val="auto"/>
                <w:sz w:val="21"/>
                <w:szCs w:val="21"/>
                <w:highlight w:val="none"/>
              </w:rPr>
            </w:pPr>
            <w:r>
              <w:rPr>
                <w:rFonts w:hAnsi="宋体"/>
                <w:b/>
                <w:color w:val="auto"/>
                <w:sz w:val="21"/>
                <w:szCs w:val="21"/>
                <w:highlight w:val="none"/>
              </w:rPr>
              <w:t>建设施工期</w:t>
            </w:r>
          </w:p>
        </w:tc>
        <w:tc>
          <w:tcPr>
            <w:tcW w:w="3251" w:type="pct"/>
            <w:gridSpan w:val="4"/>
            <w:tcBorders>
              <w:top w:val="single" w:color="auto" w:sz="4" w:space="0"/>
              <w:right w:val="single" w:color="auto" w:sz="4" w:space="0"/>
            </w:tcBorders>
            <w:noWrap w:val="0"/>
            <w:vAlign w:val="center"/>
          </w:tcPr>
          <w:p w14:paraId="56DBB31F">
            <w:pPr>
              <w:spacing w:line="276" w:lineRule="auto"/>
              <w:jc w:val="center"/>
              <w:rPr>
                <w:b/>
                <w:color w:val="auto"/>
                <w:sz w:val="21"/>
                <w:szCs w:val="21"/>
                <w:highlight w:val="none"/>
              </w:rPr>
            </w:pPr>
            <w:r>
              <w:rPr>
                <w:rFonts w:hAnsi="宋体"/>
                <w:b/>
                <w:color w:val="auto"/>
                <w:sz w:val="21"/>
                <w:szCs w:val="21"/>
                <w:highlight w:val="none"/>
              </w:rPr>
              <w:t>营运期</w:t>
            </w:r>
          </w:p>
        </w:tc>
      </w:tr>
      <w:tr w14:paraId="0A9A55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left w:val="single" w:color="auto" w:sz="4" w:space="0"/>
            </w:tcBorders>
            <w:noWrap w:val="0"/>
            <w:vAlign w:val="center"/>
          </w:tcPr>
          <w:p w14:paraId="25D36B3C">
            <w:pPr>
              <w:widowControl/>
              <w:spacing w:line="276" w:lineRule="auto"/>
              <w:jc w:val="center"/>
              <w:rPr>
                <w:b/>
                <w:color w:val="auto"/>
                <w:sz w:val="21"/>
                <w:szCs w:val="21"/>
                <w:highlight w:val="none"/>
              </w:rPr>
            </w:pPr>
          </w:p>
        </w:tc>
        <w:tc>
          <w:tcPr>
            <w:tcW w:w="0" w:type="auto"/>
            <w:vMerge w:val="continue"/>
            <w:noWrap w:val="0"/>
            <w:vAlign w:val="center"/>
          </w:tcPr>
          <w:p w14:paraId="7812E351">
            <w:pPr>
              <w:widowControl/>
              <w:spacing w:line="276" w:lineRule="auto"/>
              <w:jc w:val="center"/>
              <w:rPr>
                <w:b/>
                <w:color w:val="auto"/>
                <w:sz w:val="21"/>
                <w:szCs w:val="21"/>
                <w:highlight w:val="none"/>
              </w:rPr>
            </w:pPr>
          </w:p>
        </w:tc>
        <w:tc>
          <w:tcPr>
            <w:tcW w:w="812" w:type="pct"/>
            <w:noWrap w:val="0"/>
            <w:vAlign w:val="center"/>
          </w:tcPr>
          <w:p w14:paraId="560F1EC8">
            <w:pPr>
              <w:spacing w:line="276" w:lineRule="auto"/>
              <w:jc w:val="center"/>
              <w:rPr>
                <w:b/>
                <w:color w:val="auto"/>
                <w:sz w:val="21"/>
                <w:szCs w:val="21"/>
                <w:highlight w:val="none"/>
              </w:rPr>
            </w:pPr>
            <w:r>
              <w:rPr>
                <w:rFonts w:hAnsi="宋体"/>
                <w:b/>
                <w:color w:val="auto"/>
                <w:sz w:val="21"/>
                <w:szCs w:val="21"/>
                <w:highlight w:val="none"/>
              </w:rPr>
              <w:t>废气</w:t>
            </w:r>
          </w:p>
        </w:tc>
        <w:tc>
          <w:tcPr>
            <w:tcW w:w="763" w:type="pct"/>
            <w:noWrap w:val="0"/>
            <w:vAlign w:val="center"/>
          </w:tcPr>
          <w:p w14:paraId="204FE3D0">
            <w:pPr>
              <w:spacing w:line="276" w:lineRule="auto"/>
              <w:jc w:val="center"/>
              <w:rPr>
                <w:b/>
                <w:color w:val="auto"/>
                <w:sz w:val="21"/>
                <w:szCs w:val="21"/>
                <w:highlight w:val="none"/>
              </w:rPr>
            </w:pPr>
            <w:r>
              <w:rPr>
                <w:rFonts w:hAnsi="宋体"/>
                <w:b/>
                <w:color w:val="auto"/>
                <w:sz w:val="21"/>
                <w:szCs w:val="21"/>
                <w:highlight w:val="none"/>
              </w:rPr>
              <w:t>废水</w:t>
            </w:r>
          </w:p>
        </w:tc>
        <w:tc>
          <w:tcPr>
            <w:tcW w:w="860" w:type="pct"/>
            <w:noWrap w:val="0"/>
            <w:vAlign w:val="center"/>
          </w:tcPr>
          <w:p w14:paraId="27EC64FD">
            <w:pPr>
              <w:spacing w:line="276" w:lineRule="auto"/>
              <w:jc w:val="center"/>
              <w:rPr>
                <w:b/>
                <w:color w:val="auto"/>
                <w:sz w:val="21"/>
                <w:szCs w:val="21"/>
                <w:highlight w:val="none"/>
              </w:rPr>
            </w:pPr>
            <w:r>
              <w:rPr>
                <w:rFonts w:hAnsi="宋体"/>
                <w:b/>
                <w:color w:val="auto"/>
                <w:sz w:val="21"/>
                <w:szCs w:val="21"/>
                <w:highlight w:val="none"/>
              </w:rPr>
              <w:t>噪声</w:t>
            </w:r>
          </w:p>
        </w:tc>
        <w:tc>
          <w:tcPr>
            <w:tcW w:w="816" w:type="pct"/>
            <w:tcBorders>
              <w:right w:val="single" w:color="auto" w:sz="4" w:space="0"/>
            </w:tcBorders>
            <w:noWrap w:val="0"/>
            <w:vAlign w:val="center"/>
          </w:tcPr>
          <w:p w14:paraId="43FD079B">
            <w:pPr>
              <w:spacing w:line="276" w:lineRule="auto"/>
              <w:jc w:val="center"/>
              <w:rPr>
                <w:b/>
                <w:color w:val="auto"/>
                <w:sz w:val="21"/>
                <w:szCs w:val="21"/>
                <w:highlight w:val="none"/>
              </w:rPr>
            </w:pPr>
            <w:r>
              <w:rPr>
                <w:rFonts w:hAnsi="宋体"/>
                <w:b/>
                <w:color w:val="auto"/>
                <w:sz w:val="21"/>
                <w:szCs w:val="21"/>
                <w:highlight w:val="none"/>
              </w:rPr>
              <w:t>固废</w:t>
            </w:r>
          </w:p>
        </w:tc>
      </w:tr>
      <w:tr w14:paraId="63C5A1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4" w:type="pct"/>
            <w:tcBorders>
              <w:left w:val="single" w:color="auto" w:sz="4" w:space="0"/>
            </w:tcBorders>
            <w:noWrap w:val="0"/>
            <w:vAlign w:val="center"/>
          </w:tcPr>
          <w:p w14:paraId="785F990F">
            <w:pPr>
              <w:spacing w:line="276" w:lineRule="auto"/>
              <w:jc w:val="center"/>
              <w:rPr>
                <w:color w:val="auto"/>
                <w:sz w:val="21"/>
                <w:szCs w:val="21"/>
                <w:highlight w:val="none"/>
              </w:rPr>
            </w:pPr>
            <w:r>
              <w:rPr>
                <w:rFonts w:hAnsi="宋体"/>
                <w:color w:val="auto"/>
                <w:sz w:val="21"/>
                <w:szCs w:val="21"/>
                <w:highlight w:val="none"/>
              </w:rPr>
              <w:t>地表水</w:t>
            </w:r>
          </w:p>
        </w:tc>
        <w:tc>
          <w:tcPr>
            <w:tcW w:w="885" w:type="pct"/>
            <w:noWrap w:val="0"/>
            <w:vAlign w:val="center"/>
          </w:tcPr>
          <w:p w14:paraId="5F32404B">
            <w:pPr>
              <w:spacing w:line="276" w:lineRule="auto"/>
              <w:jc w:val="center"/>
              <w:rPr>
                <w:color w:val="auto"/>
                <w:sz w:val="21"/>
                <w:szCs w:val="21"/>
                <w:highlight w:val="none"/>
              </w:rPr>
            </w:pPr>
            <w:r>
              <w:rPr>
                <w:color w:val="auto"/>
                <w:sz w:val="21"/>
                <w:szCs w:val="21"/>
                <w:highlight w:val="none"/>
              </w:rPr>
              <w:sym w:font="Wingdings 2" w:char="0098"/>
            </w:r>
            <w:r>
              <w:rPr>
                <w:color w:val="auto"/>
                <w:sz w:val="21"/>
                <w:szCs w:val="21"/>
                <w:highlight w:val="none"/>
              </w:rPr>
              <w:t>D</w:t>
            </w:r>
          </w:p>
        </w:tc>
        <w:tc>
          <w:tcPr>
            <w:tcW w:w="812" w:type="pct"/>
            <w:noWrap w:val="0"/>
            <w:vAlign w:val="center"/>
          </w:tcPr>
          <w:p w14:paraId="2DC44261">
            <w:pPr>
              <w:spacing w:line="276" w:lineRule="auto"/>
              <w:jc w:val="center"/>
              <w:rPr>
                <w:color w:val="auto"/>
                <w:sz w:val="21"/>
                <w:szCs w:val="21"/>
                <w:highlight w:val="none"/>
              </w:rPr>
            </w:pPr>
            <w:r>
              <w:rPr>
                <w:color w:val="auto"/>
                <w:sz w:val="21"/>
                <w:szCs w:val="21"/>
                <w:highlight w:val="none"/>
              </w:rPr>
              <w:t>/</w:t>
            </w:r>
          </w:p>
        </w:tc>
        <w:tc>
          <w:tcPr>
            <w:tcW w:w="763" w:type="pct"/>
            <w:noWrap w:val="0"/>
            <w:vAlign w:val="center"/>
          </w:tcPr>
          <w:p w14:paraId="18C373B0">
            <w:pPr>
              <w:spacing w:line="276" w:lineRule="auto"/>
              <w:jc w:val="center"/>
              <w:rPr>
                <w:color w:val="auto"/>
                <w:sz w:val="21"/>
                <w:szCs w:val="21"/>
                <w:highlight w:val="none"/>
              </w:rPr>
            </w:pPr>
            <w:r>
              <w:rPr>
                <w:color w:val="auto"/>
                <w:sz w:val="21"/>
                <w:szCs w:val="21"/>
                <w:highlight w:val="none"/>
              </w:rPr>
              <w:sym w:font="Wingdings 2" w:char="0098"/>
            </w:r>
            <w:r>
              <w:rPr>
                <w:color w:val="auto"/>
                <w:sz w:val="21"/>
                <w:szCs w:val="21"/>
                <w:highlight w:val="none"/>
              </w:rPr>
              <w:t>L</w:t>
            </w:r>
          </w:p>
        </w:tc>
        <w:tc>
          <w:tcPr>
            <w:tcW w:w="860" w:type="pct"/>
            <w:noWrap w:val="0"/>
            <w:vAlign w:val="center"/>
          </w:tcPr>
          <w:p w14:paraId="68AB4FF0">
            <w:pPr>
              <w:spacing w:line="276" w:lineRule="auto"/>
              <w:jc w:val="center"/>
              <w:rPr>
                <w:color w:val="auto"/>
                <w:sz w:val="21"/>
                <w:szCs w:val="21"/>
                <w:highlight w:val="none"/>
              </w:rPr>
            </w:pPr>
            <w:r>
              <w:rPr>
                <w:color w:val="auto"/>
                <w:sz w:val="21"/>
                <w:szCs w:val="21"/>
                <w:highlight w:val="none"/>
              </w:rPr>
              <w:t>/</w:t>
            </w:r>
          </w:p>
        </w:tc>
        <w:tc>
          <w:tcPr>
            <w:tcW w:w="816" w:type="pct"/>
            <w:tcBorders>
              <w:right w:val="single" w:color="auto" w:sz="4" w:space="0"/>
            </w:tcBorders>
            <w:noWrap w:val="0"/>
            <w:vAlign w:val="center"/>
          </w:tcPr>
          <w:p w14:paraId="77C47156">
            <w:pPr>
              <w:spacing w:line="276" w:lineRule="auto"/>
              <w:jc w:val="center"/>
              <w:rPr>
                <w:color w:val="auto"/>
                <w:sz w:val="21"/>
                <w:szCs w:val="21"/>
                <w:highlight w:val="none"/>
              </w:rPr>
            </w:pPr>
            <w:r>
              <w:rPr>
                <w:color w:val="auto"/>
                <w:sz w:val="21"/>
                <w:szCs w:val="21"/>
                <w:highlight w:val="none"/>
              </w:rPr>
              <w:t>/</w:t>
            </w:r>
          </w:p>
        </w:tc>
      </w:tr>
      <w:tr w14:paraId="698E05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4" w:type="pct"/>
            <w:tcBorders>
              <w:left w:val="single" w:color="auto" w:sz="4" w:space="0"/>
            </w:tcBorders>
            <w:noWrap w:val="0"/>
            <w:vAlign w:val="center"/>
          </w:tcPr>
          <w:p w14:paraId="19426840">
            <w:pPr>
              <w:spacing w:line="276" w:lineRule="auto"/>
              <w:jc w:val="center"/>
              <w:rPr>
                <w:color w:val="auto"/>
                <w:sz w:val="21"/>
                <w:szCs w:val="21"/>
                <w:highlight w:val="none"/>
              </w:rPr>
            </w:pPr>
            <w:r>
              <w:rPr>
                <w:rFonts w:hAnsi="宋体"/>
                <w:color w:val="auto"/>
                <w:sz w:val="21"/>
                <w:szCs w:val="21"/>
                <w:highlight w:val="none"/>
              </w:rPr>
              <w:t>地下水</w:t>
            </w:r>
          </w:p>
        </w:tc>
        <w:tc>
          <w:tcPr>
            <w:tcW w:w="885" w:type="pct"/>
            <w:noWrap w:val="0"/>
            <w:vAlign w:val="center"/>
          </w:tcPr>
          <w:p w14:paraId="5358CD0A">
            <w:pPr>
              <w:spacing w:line="276" w:lineRule="auto"/>
              <w:jc w:val="center"/>
              <w:rPr>
                <w:color w:val="auto"/>
                <w:sz w:val="21"/>
                <w:szCs w:val="21"/>
                <w:highlight w:val="none"/>
              </w:rPr>
            </w:pPr>
            <w:r>
              <w:rPr>
                <w:color w:val="auto"/>
                <w:sz w:val="21"/>
                <w:szCs w:val="21"/>
                <w:highlight w:val="none"/>
              </w:rPr>
              <w:t>/</w:t>
            </w:r>
          </w:p>
        </w:tc>
        <w:tc>
          <w:tcPr>
            <w:tcW w:w="812" w:type="pct"/>
            <w:noWrap w:val="0"/>
            <w:vAlign w:val="center"/>
          </w:tcPr>
          <w:p w14:paraId="07E6CDF2">
            <w:pPr>
              <w:spacing w:line="276" w:lineRule="auto"/>
              <w:jc w:val="center"/>
              <w:rPr>
                <w:color w:val="auto"/>
                <w:sz w:val="21"/>
                <w:szCs w:val="21"/>
                <w:highlight w:val="none"/>
              </w:rPr>
            </w:pPr>
            <w:r>
              <w:rPr>
                <w:color w:val="auto"/>
                <w:sz w:val="21"/>
                <w:szCs w:val="21"/>
                <w:highlight w:val="none"/>
              </w:rPr>
              <w:t>/</w:t>
            </w:r>
          </w:p>
        </w:tc>
        <w:tc>
          <w:tcPr>
            <w:tcW w:w="763" w:type="pct"/>
            <w:noWrap w:val="0"/>
            <w:vAlign w:val="center"/>
          </w:tcPr>
          <w:p w14:paraId="5555A0A1">
            <w:pPr>
              <w:spacing w:line="276" w:lineRule="auto"/>
              <w:jc w:val="center"/>
              <w:rPr>
                <w:color w:val="auto"/>
                <w:sz w:val="21"/>
                <w:szCs w:val="21"/>
                <w:highlight w:val="none"/>
              </w:rPr>
            </w:pPr>
            <w:r>
              <w:rPr>
                <w:rFonts w:ascii="宋体" w:hAnsi="宋体"/>
                <w:color w:val="auto"/>
                <w:sz w:val="21"/>
                <w:szCs w:val="21"/>
                <w:highlight w:val="none"/>
              </w:rPr>
              <w:t>△</w:t>
            </w:r>
            <w:r>
              <w:rPr>
                <w:color w:val="auto"/>
                <w:sz w:val="21"/>
                <w:szCs w:val="21"/>
                <w:highlight w:val="none"/>
              </w:rPr>
              <w:t>L</w:t>
            </w:r>
          </w:p>
        </w:tc>
        <w:tc>
          <w:tcPr>
            <w:tcW w:w="860" w:type="pct"/>
            <w:noWrap w:val="0"/>
            <w:vAlign w:val="center"/>
          </w:tcPr>
          <w:p w14:paraId="35F3681A">
            <w:pPr>
              <w:spacing w:line="276" w:lineRule="auto"/>
              <w:jc w:val="center"/>
              <w:rPr>
                <w:color w:val="auto"/>
                <w:sz w:val="21"/>
                <w:szCs w:val="21"/>
                <w:highlight w:val="none"/>
              </w:rPr>
            </w:pPr>
            <w:r>
              <w:rPr>
                <w:color w:val="auto"/>
                <w:sz w:val="21"/>
                <w:szCs w:val="21"/>
                <w:highlight w:val="none"/>
              </w:rPr>
              <w:t>/</w:t>
            </w:r>
          </w:p>
        </w:tc>
        <w:tc>
          <w:tcPr>
            <w:tcW w:w="816" w:type="pct"/>
            <w:tcBorders>
              <w:right w:val="single" w:color="auto" w:sz="4" w:space="0"/>
            </w:tcBorders>
            <w:noWrap w:val="0"/>
            <w:vAlign w:val="center"/>
          </w:tcPr>
          <w:p w14:paraId="57CAF66C">
            <w:pPr>
              <w:spacing w:line="276" w:lineRule="auto"/>
              <w:jc w:val="center"/>
              <w:rPr>
                <w:color w:val="auto"/>
                <w:sz w:val="21"/>
                <w:szCs w:val="21"/>
                <w:highlight w:val="none"/>
              </w:rPr>
            </w:pPr>
            <w:r>
              <w:rPr>
                <w:rFonts w:ascii="宋体" w:hAnsi="宋体"/>
                <w:color w:val="auto"/>
                <w:sz w:val="21"/>
                <w:szCs w:val="21"/>
                <w:highlight w:val="none"/>
              </w:rPr>
              <w:t>△</w:t>
            </w:r>
          </w:p>
        </w:tc>
      </w:tr>
      <w:tr w14:paraId="19352F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4" w:type="pct"/>
            <w:tcBorders>
              <w:left w:val="single" w:color="auto" w:sz="4" w:space="0"/>
            </w:tcBorders>
            <w:noWrap w:val="0"/>
            <w:vAlign w:val="center"/>
          </w:tcPr>
          <w:p w14:paraId="70113190">
            <w:pPr>
              <w:spacing w:line="276" w:lineRule="auto"/>
              <w:jc w:val="center"/>
              <w:rPr>
                <w:color w:val="auto"/>
                <w:sz w:val="21"/>
                <w:szCs w:val="21"/>
                <w:highlight w:val="none"/>
              </w:rPr>
            </w:pPr>
            <w:r>
              <w:rPr>
                <w:rFonts w:hAnsi="宋体"/>
                <w:color w:val="auto"/>
                <w:sz w:val="21"/>
                <w:szCs w:val="21"/>
                <w:highlight w:val="none"/>
              </w:rPr>
              <w:t>空气质量</w:t>
            </w:r>
          </w:p>
        </w:tc>
        <w:tc>
          <w:tcPr>
            <w:tcW w:w="885" w:type="pct"/>
            <w:noWrap w:val="0"/>
            <w:vAlign w:val="center"/>
          </w:tcPr>
          <w:p w14:paraId="7F79B0A1">
            <w:pPr>
              <w:spacing w:line="276" w:lineRule="auto"/>
              <w:jc w:val="center"/>
              <w:rPr>
                <w:color w:val="auto"/>
                <w:sz w:val="21"/>
                <w:szCs w:val="21"/>
                <w:highlight w:val="none"/>
              </w:rPr>
            </w:pPr>
            <w:r>
              <w:rPr>
                <w:color w:val="auto"/>
                <w:sz w:val="21"/>
                <w:szCs w:val="21"/>
                <w:highlight w:val="none"/>
              </w:rPr>
              <w:sym w:font="Wingdings 2" w:char="0098"/>
            </w:r>
            <w:r>
              <w:rPr>
                <w:color w:val="auto"/>
                <w:sz w:val="21"/>
                <w:szCs w:val="21"/>
                <w:highlight w:val="none"/>
              </w:rPr>
              <w:t>D</w:t>
            </w:r>
          </w:p>
        </w:tc>
        <w:tc>
          <w:tcPr>
            <w:tcW w:w="812" w:type="pct"/>
            <w:noWrap w:val="0"/>
            <w:vAlign w:val="center"/>
          </w:tcPr>
          <w:p w14:paraId="72C5552E">
            <w:pPr>
              <w:spacing w:line="276" w:lineRule="auto"/>
              <w:jc w:val="center"/>
              <w:rPr>
                <w:color w:val="auto"/>
                <w:sz w:val="21"/>
                <w:szCs w:val="21"/>
                <w:highlight w:val="none"/>
              </w:rPr>
            </w:pPr>
            <w:r>
              <w:rPr>
                <w:color w:val="auto"/>
                <w:sz w:val="21"/>
                <w:szCs w:val="21"/>
                <w:highlight w:val="none"/>
              </w:rPr>
              <w:sym w:font="Wingdings 2" w:char="0098"/>
            </w:r>
            <w:r>
              <w:rPr>
                <w:color w:val="auto"/>
                <w:sz w:val="21"/>
                <w:szCs w:val="21"/>
                <w:highlight w:val="none"/>
              </w:rPr>
              <w:t>L</w:t>
            </w:r>
          </w:p>
        </w:tc>
        <w:tc>
          <w:tcPr>
            <w:tcW w:w="763" w:type="pct"/>
            <w:noWrap w:val="0"/>
            <w:vAlign w:val="center"/>
          </w:tcPr>
          <w:p w14:paraId="7406D8CB">
            <w:pPr>
              <w:spacing w:line="276" w:lineRule="auto"/>
              <w:jc w:val="center"/>
              <w:rPr>
                <w:color w:val="auto"/>
                <w:sz w:val="21"/>
                <w:szCs w:val="21"/>
                <w:highlight w:val="none"/>
              </w:rPr>
            </w:pPr>
            <w:r>
              <w:rPr>
                <w:color w:val="auto"/>
                <w:sz w:val="21"/>
                <w:szCs w:val="21"/>
                <w:highlight w:val="none"/>
              </w:rPr>
              <w:t>/</w:t>
            </w:r>
          </w:p>
        </w:tc>
        <w:tc>
          <w:tcPr>
            <w:tcW w:w="860" w:type="pct"/>
            <w:noWrap w:val="0"/>
            <w:vAlign w:val="center"/>
          </w:tcPr>
          <w:p w14:paraId="607DC17F">
            <w:pPr>
              <w:spacing w:line="276" w:lineRule="auto"/>
              <w:jc w:val="center"/>
              <w:rPr>
                <w:color w:val="auto"/>
                <w:sz w:val="21"/>
                <w:szCs w:val="21"/>
                <w:highlight w:val="none"/>
              </w:rPr>
            </w:pPr>
            <w:r>
              <w:rPr>
                <w:color w:val="auto"/>
                <w:sz w:val="21"/>
                <w:szCs w:val="21"/>
                <w:highlight w:val="none"/>
              </w:rPr>
              <w:t>/</w:t>
            </w:r>
          </w:p>
        </w:tc>
        <w:tc>
          <w:tcPr>
            <w:tcW w:w="816" w:type="pct"/>
            <w:tcBorders>
              <w:right w:val="single" w:color="auto" w:sz="4" w:space="0"/>
            </w:tcBorders>
            <w:noWrap w:val="0"/>
            <w:vAlign w:val="center"/>
          </w:tcPr>
          <w:p w14:paraId="68FE6FBA">
            <w:pPr>
              <w:spacing w:line="276" w:lineRule="auto"/>
              <w:jc w:val="center"/>
              <w:rPr>
                <w:color w:val="auto"/>
                <w:sz w:val="21"/>
                <w:szCs w:val="21"/>
                <w:highlight w:val="none"/>
              </w:rPr>
            </w:pPr>
            <w:r>
              <w:rPr>
                <w:rFonts w:ascii="宋体" w:hAnsi="宋体"/>
                <w:color w:val="auto"/>
                <w:sz w:val="21"/>
                <w:szCs w:val="21"/>
                <w:highlight w:val="none"/>
              </w:rPr>
              <w:t>△</w:t>
            </w:r>
          </w:p>
        </w:tc>
      </w:tr>
      <w:tr w14:paraId="5BE38C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4" w:type="pct"/>
            <w:tcBorders>
              <w:left w:val="single" w:color="auto" w:sz="4" w:space="0"/>
            </w:tcBorders>
            <w:noWrap w:val="0"/>
            <w:vAlign w:val="center"/>
          </w:tcPr>
          <w:p w14:paraId="4F7A51B7">
            <w:pPr>
              <w:spacing w:line="276" w:lineRule="auto"/>
              <w:jc w:val="center"/>
              <w:rPr>
                <w:color w:val="auto"/>
                <w:sz w:val="21"/>
                <w:szCs w:val="21"/>
                <w:highlight w:val="none"/>
              </w:rPr>
            </w:pPr>
            <w:r>
              <w:rPr>
                <w:rFonts w:hAnsi="宋体"/>
                <w:color w:val="auto"/>
                <w:sz w:val="21"/>
                <w:szCs w:val="21"/>
                <w:highlight w:val="none"/>
              </w:rPr>
              <w:t>土壤质量</w:t>
            </w:r>
          </w:p>
        </w:tc>
        <w:tc>
          <w:tcPr>
            <w:tcW w:w="885" w:type="pct"/>
            <w:noWrap w:val="0"/>
            <w:vAlign w:val="center"/>
          </w:tcPr>
          <w:p w14:paraId="2A04BF8B">
            <w:pPr>
              <w:spacing w:line="276" w:lineRule="auto"/>
              <w:jc w:val="center"/>
              <w:rPr>
                <w:color w:val="auto"/>
                <w:sz w:val="21"/>
                <w:szCs w:val="21"/>
                <w:highlight w:val="none"/>
              </w:rPr>
            </w:pPr>
            <w:r>
              <w:rPr>
                <w:color w:val="auto"/>
                <w:sz w:val="21"/>
                <w:szCs w:val="21"/>
                <w:highlight w:val="none"/>
              </w:rPr>
              <w:t>/</w:t>
            </w:r>
          </w:p>
        </w:tc>
        <w:tc>
          <w:tcPr>
            <w:tcW w:w="812" w:type="pct"/>
            <w:noWrap w:val="0"/>
            <w:vAlign w:val="center"/>
          </w:tcPr>
          <w:p w14:paraId="02936CF5">
            <w:pPr>
              <w:spacing w:line="276" w:lineRule="auto"/>
              <w:jc w:val="center"/>
              <w:rPr>
                <w:color w:val="auto"/>
                <w:sz w:val="21"/>
                <w:szCs w:val="21"/>
                <w:highlight w:val="none"/>
              </w:rPr>
            </w:pPr>
            <w:r>
              <w:rPr>
                <w:rFonts w:ascii="宋体" w:hAnsi="宋体"/>
                <w:color w:val="auto"/>
                <w:sz w:val="21"/>
                <w:szCs w:val="21"/>
                <w:highlight w:val="none"/>
              </w:rPr>
              <w:t>△</w:t>
            </w:r>
            <w:r>
              <w:rPr>
                <w:color w:val="auto"/>
                <w:sz w:val="21"/>
                <w:szCs w:val="21"/>
                <w:highlight w:val="none"/>
              </w:rPr>
              <w:t>L</w:t>
            </w:r>
          </w:p>
        </w:tc>
        <w:tc>
          <w:tcPr>
            <w:tcW w:w="763" w:type="pct"/>
            <w:noWrap w:val="0"/>
            <w:vAlign w:val="center"/>
          </w:tcPr>
          <w:p w14:paraId="5774EF74">
            <w:pPr>
              <w:spacing w:line="276" w:lineRule="auto"/>
              <w:jc w:val="center"/>
              <w:rPr>
                <w:color w:val="auto"/>
                <w:sz w:val="21"/>
                <w:szCs w:val="21"/>
                <w:highlight w:val="none"/>
              </w:rPr>
            </w:pPr>
            <w:r>
              <w:rPr>
                <w:rFonts w:ascii="宋体" w:hAnsi="宋体"/>
                <w:color w:val="auto"/>
                <w:sz w:val="21"/>
                <w:szCs w:val="21"/>
                <w:highlight w:val="none"/>
              </w:rPr>
              <w:t>△</w:t>
            </w:r>
            <w:r>
              <w:rPr>
                <w:color w:val="auto"/>
                <w:sz w:val="21"/>
                <w:szCs w:val="21"/>
                <w:highlight w:val="none"/>
              </w:rPr>
              <w:t>L</w:t>
            </w:r>
          </w:p>
        </w:tc>
        <w:tc>
          <w:tcPr>
            <w:tcW w:w="860" w:type="pct"/>
            <w:noWrap w:val="0"/>
            <w:vAlign w:val="center"/>
          </w:tcPr>
          <w:p w14:paraId="402BB6E7">
            <w:pPr>
              <w:spacing w:line="276" w:lineRule="auto"/>
              <w:jc w:val="center"/>
              <w:rPr>
                <w:color w:val="auto"/>
                <w:sz w:val="21"/>
                <w:szCs w:val="21"/>
                <w:highlight w:val="none"/>
              </w:rPr>
            </w:pPr>
            <w:r>
              <w:rPr>
                <w:color w:val="auto"/>
                <w:sz w:val="21"/>
                <w:szCs w:val="21"/>
                <w:highlight w:val="none"/>
              </w:rPr>
              <w:t>/</w:t>
            </w:r>
          </w:p>
        </w:tc>
        <w:tc>
          <w:tcPr>
            <w:tcW w:w="816" w:type="pct"/>
            <w:tcBorders>
              <w:right w:val="single" w:color="auto" w:sz="4" w:space="0"/>
            </w:tcBorders>
            <w:noWrap w:val="0"/>
            <w:vAlign w:val="center"/>
          </w:tcPr>
          <w:p w14:paraId="603E4ED2">
            <w:pPr>
              <w:spacing w:line="276" w:lineRule="auto"/>
              <w:jc w:val="center"/>
              <w:rPr>
                <w:color w:val="auto"/>
                <w:sz w:val="21"/>
                <w:szCs w:val="21"/>
                <w:highlight w:val="none"/>
              </w:rPr>
            </w:pPr>
            <w:r>
              <w:rPr>
                <w:rFonts w:ascii="宋体" w:hAnsi="宋体"/>
                <w:color w:val="auto"/>
                <w:sz w:val="21"/>
                <w:szCs w:val="21"/>
                <w:highlight w:val="none"/>
              </w:rPr>
              <w:t>△</w:t>
            </w:r>
          </w:p>
        </w:tc>
      </w:tr>
      <w:tr w14:paraId="19E61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4" w:type="pct"/>
            <w:tcBorders>
              <w:left w:val="single" w:color="auto" w:sz="4" w:space="0"/>
            </w:tcBorders>
            <w:noWrap w:val="0"/>
            <w:vAlign w:val="center"/>
          </w:tcPr>
          <w:p w14:paraId="5E004B0B">
            <w:pPr>
              <w:spacing w:line="276" w:lineRule="auto"/>
              <w:jc w:val="center"/>
              <w:rPr>
                <w:color w:val="auto"/>
                <w:sz w:val="21"/>
                <w:szCs w:val="21"/>
                <w:highlight w:val="none"/>
              </w:rPr>
            </w:pPr>
            <w:r>
              <w:rPr>
                <w:rFonts w:hAnsi="宋体"/>
                <w:color w:val="auto"/>
                <w:sz w:val="21"/>
                <w:szCs w:val="21"/>
                <w:highlight w:val="none"/>
              </w:rPr>
              <w:t>声环境</w:t>
            </w:r>
          </w:p>
        </w:tc>
        <w:tc>
          <w:tcPr>
            <w:tcW w:w="885" w:type="pct"/>
            <w:noWrap w:val="0"/>
            <w:vAlign w:val="center"/>
          </w:tcPr>
          <w:p w14:paraId="1813ABDE">
            <w:pPr>
              <w:spacing w:line="276" w:lineRule="auto"/>
              <w:jc w:val="center"/>
              <w:rPr>
                <w:color w:val="auto"/>
                <w:sz w:val="21"/>
                <w:szCs w:val="21"/>
                <w:highlight w:val="none"/>
              </w:rPr>
            </w:pPr>
            <w:r>
              <w:rPr>
                <w:color w:val="auto"/>
                <w:sz w:val="21"/>
                <w:szCs w:val="21"/>
                <w:highlight w:val="none"/>
              </w:rPr>
              <w:sym w:font="Wingdings 2" w:char="0098"/>
            </w:r>
            <w:r>
              <w:rPr>
                <w:color w:val="auto"/>
                <w:sz w:val="21"/>
                <w:szCs w:val="21"/>
                <w:highlight w:val="none"/>
              </w:rPr>
              <w:t>D</w:t>
            </w:r>
          </w:p>
        </w:tc>
        <w:tc>
          <w:tcPr>
            <w:tcW w:w="812" w:type="pct"/>
            <w:noWrap w:val="0"/>
            <w:vAlign w:val="center"/>
          </w:tcPr>
          <w:p w14:paraId="018A1190">
            <w:pPr>
              <w:spacing w:line="276" w:lineRule="auto"/>
              <w:jc w:val="center"/>
              <w:rPr>
                <w:color w:val="auto"/>
                <w:sz w:val="21"/>
                <w:szCs w:val="21"/>
                <w:highlight w:val="none"/>
              </w:rPr>
            </w:pPr>
            <w:r>
              <w:rPr>
                <w:color w:val="auto"/>
                <w:sz w:val="21"/>
                <w:szCs w:val="21"/>
                <w:highlight w:val="none"/>
              </w:rPr>
              <w:t>/</w:t>
            </w:r>
          </w:p>
        </w:tc>
        <w:tc>
          <w:tcPr>
            <w:tcW w:w="763" w:type="pct"/>
            <w:noWrap w:val="0"/>
            <w:vAlign w:val="center"/>
          </w:tcPr>
          <w:p w14:paraId="3FDD7B12">
            <w:pPr>
              <w:spacing w:line="276" w:lineRule="auto"/>
              <w:jc w:val="center"/>
              <w:rPr>
                <w:color w:val="auto"/>
                <w:sz w:val="21"/>
                <w:szCs w:val="21"/>
                <w:highlight w:val="none"/>
              </w:rPr>
            </w:pPr>
            <w:r>
              <w:rPr>
                <w:color w:val="auto"/>
                <w:sz w:val="21"/>
                <w:szCs w:val="21"/>
                <w:highlight w:val="none"/>
              </w:rPr>
              <w:t>/</w:t>
            </w:r>
          </w:p>
        </w:tc>
        <w:tc>
          <w:tcPr>
            <w:tcW w:w="860" w:type="pct"/>
            <w:noWrap w:val="0"/>
            <w:vAlign w:val="center"/>
          </w:tcPr>
          <w:p w14:paraId="0DB36FCF">
            <w:pPr>
              <w:spacing w:line="276" w:lineRule="auto"/>
              <w:jc w:val="center"/>
              <w:rPr>
                <w:color w:val="auto"/>
                <w:sz w:val="21"/>
                <w:szCs w:val="21"/>
                <w:highlight w:val="none"/>
              </w:rPr>
            </w:pPr>
            <w:r>
              <w:rPr>
                <w:color w:val="auto"/>
                <w:sz w:val="21"/>
                <w:szCs w:val="21"/>
                <w:highlight w:val="none"/>
              </w:rPr>
              <w:sym w:font="Wingdings 2" w:char="0098"/>
            </w:r>
            <w:r>
              <w:rPr>
                <w:color w:val="auto"/>
                <w:sz w:val="21"/>
                <w:szCs w:val="21"/>
                <w:highlight w:val="none"/>
              </w:rPr>
              <w:t>L</w:t>
            </w:r>
          </w:p>
        </w:tc>
        <w:tc>
          <w:tcPr>
            <w:tcW w:w="816" w:type="pct"/>
            <w:tcBorders>
              <w:right w:val="single" w:color="auto" w:sz="4" w:space="0"/>
            </w:tcBorders>
            <w:noWrap w:val="0"/>
            <w:vAlign w:val="center"/>
          </w:tcPr>
          <w:p w14:paraId="7186EC37">
            <w:pPr>
              <w:spacing w:line="276" w:lineRule="auto"/>
              <w:jc w:val="center"/>
              <w:rPr>
                <w:color w:val="auto"/>
                <w:sz w:val="21"/>
                <w:szCs w:val="21"/>
                <w:highlight w:val="none"/>
              </w:rPr>
            </w:pPr>
            <w:r>
              <w:rPr>
                <w:color w:val="auto"/>
                <w:sz w:val="21"/>
                <w:szCs w:val="21"/>
                <w:highlight w:val="none"/>
              </w:rPr>
              <w:t>/</w:t>
            </w:r>
          </w:p>
        </w:tc>
      </w:tr>
      <w:tr w14:paraId="67BED1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4" w:type="pct"/>
            <w:tcBorders>
              <w:left w:val="single" w:color="auto" w:sz="4" w:space="0"/>
            </w:tcBorders>
            <w:noWrap w:val="0"/>
            <w:vAlign w:val="center"/>
          </w:tcPr>
          <w:p w14:paraId="1A8FC167">
            <w:pPr>
              <w:spacing w:line="276" w:lineRule="auto"/>
              <w:jc w:val="center"/>
              <w:rPr>
                <w:color w:val="auto"/>
                <w:sz w:val="21"/>
                <w:szCs w:val="21"/>
                <w:highlight w:val="none"/>
              </w:rPr>
            </w:pPr>
            <w:r>
              <w:rPr>
                <w:rFonts w:hAnsi="宋体"/>
                <w:color w:val="auto"/>
                <w:sz w:val="21"/>
                <w:szCs w:val="21"/>
                <w:highlight w:val="none"/>
              </w:rPr>
              <w:t>环境风险</w:t>
            </w:r>
          </w:p>
        </w:tc>
        <w:tc>
          <w:tcPr>
            <w:tcW w:w="885" w:type="pct"/>
            <w:noWrap w:val="0"/>
            <w:vAlign w:val="center"/>
          </w:tcPr>
          <w:p w14:paraId="398B5C0D">
            <w:pPr>
              <w:spacing w:line="276" w:lineRule="auto"/>
              <w:jc w:val="center"/>
              <w:rPr>
                <w:color w:val="auto"/>
                <w:sz w:val="21"/>
                <w:szCs w:val="21"/>
                <w:highlight w:val="none"/>
              </w:rPr>
            </w:pPr>
            <w:r>
              <w:rPr>
                <w:color w:val="auto"/>
                <w:sz w:val="21"/>
                <w:szCs w:val="21"/>
                <w:highlight w:val="none"/>
              </w:rPr>
              <w:t>/</w:t>
            </w:r>
          </w:p>
        </w:tc>
        <w:tc>
          <w:tcPr>
            <w:tcW w:w="812" w:type="pct"/>
            <w:noWrap w:val="0"/>
            <w:vAlign w:val="center"/>
          </w:tcPr>
          <w:p w14:paraId="447DDD63">
            <w:pPr>
              <w:spacing w:line="276" w:lineRule="auto"/>
              <w:jc w:val="center"/>
              <w:rPr>
                <w:color w:val="auto"/>
                <w:sz w:val="21"/>
                <w:szCs w:val="21"/>
                <w:highlight w:val="none"/>
              </w:rPr>
            </w:pPr>
            <w:r>
              <w:rPr>
                <w:rFonts w:ascii="宋体" w:hAnsi="宋体"/>
                <w:color w:val="auto"/>
                <w:sz w:val="21"/>
                <w:szCs w:val="21"/>
                <w:highlight w:val="none"/>
              </w:rPr>
              <w:t>△</w:t>
            </w:r>
            <w:r>
              <w:rPr>
                <w:color w:val="auto"/>
                <w:sz w:val="21"/>
                <w:szCs w:val="21"/>
                <w:highlight w:val="none"/>
              </w:rPr>
              <w:t>D</w:t>
            </w:r>
          </w:p>
        </w:tc>
        <w:tc>
          <w:tcPr>
            <w:tcW w:w="763" w:type="pct"/>
            <w:noWrap w:val="0"/>
            <w:vAlign w:val="center"/>
          </w:tcPr>
          <w:p w14:paraId="3AEED589">
            <w:pPr>
              <w:spacing w:line="276" w:lineRule="auto"/>
              <w:jc w:val="center"/>
              <w:rPr>
                <w:color w:val="auto"/>
                <w:sz w:val="21"/>
                <w:szCs w:val="21"/>
                <w:highlight w:val="none"/>
              </w:rPr>
            </w:pPr>
            <w:r>
              <w:rPr>
                <w:color w:val="auto"/>
                <w:sz w:val="21"/>
                <w:szCs w:val="21"/>
                <w:highlight w:val="none"/>
              </w:rPr>
              <w:t>/</w:t>
            </w:r>
          </w:p>
        </w:tc>
        <w:tc>
          <w:tcPr>
            <w:tcW w:w="860" w:type="pct"/>
            <w:noWrap w:val="0"/>
            <w:vAlign w:val="center"/>
          </w:tcPr>
          <w:p w14:paraId="415FBADF">
            <w:pPr>
              <w:spacing w:line="276" w:lineRule="auto"/>
              <w:jc w:val="center"/>
              <w:rPr>
                <w:color w:val="auto"/>
                <w:sz w:val="21"/>
                <w:szCs w:val="21"/>
                <w:highlight w:val="none"/>
              </w:rPr>
            </w:pPr>
            <w:r>
              <w:rPr>
                <w:color w:val="auto"/>
                <w:sz w:val="21"/>
                <w:szCs w:val="21"/>
                <w:highlight w:val="none"/>
              </w:rPr>
              <w:t>/</w:t>
            </w:r>
          </w:p>
        </w:tc>
        <w:tc>
          <w:tcPr>
            <w:tcW w:w="816" w:type="pct"/>
            <w:tcBorders>
              <w:right w:val="single" w:color="auto" w:sz="4" w:space="0"/>
            </w:tcBorders>
            <w:noWrap w:val="0"/>
            <w:vAlign w:val="center"/>
          </w:tcPr>
          <w:p w14:paraId="6AB08E24">
            <w:pPr>
              <w:spacing w:line="276" w:lineRule="auto"/>
              <w:jc w:val="center"/>
              <w:rPr>
                <w:color w:val="auto"/>
                <w:sz w:val="21"/>
                <w:szCs w:val="21"/>
                <w:highlight w:val="none"/>
              </w:rPr>
            </w:pPr>
            <w:r>
              <w:rPr>
                <w:rFonts w:ascii="宋体" w:hAnsi="宋体"/>
                <w:color w:val="auto"/>
                <w:sz w:val="21"/>
                <w:szCs w:val="21"/>
                <w:highlight w:val="none"/>
              </w:rPr>
              <w:t>△</w:t>
            </w:r>
          </w:p>
        </w:tc>
      </w:tr>
      <w:tr w14:paraId="451DF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tcBorders>
              <w:left w:val="single" w:color="auto" w:sz="4" w:space="0"/>
              <w:bottom w:val="single" w:color="auto" w:sz="4" w:space="0"/>
              <w:right w:val="single" w:color="auto" w:sz="4" w:space="0"/>
            </w:tcBorders>
            <w:noWrap w:val="0"/>
            <w:vAlign w:val="center"/>
          </w:tcPr>
          <w:p w14:paraId="3254112A">
            <w:pPr>
              <w:spacing w:line="276" w:lineRule="auto"/>
              <w:jc w:val="left"/>
              <w:rPr>
                <w:color w:val="auto"/>
                <w:sz w:val="21"/>
                <w:szCs w:val="21"/>
                <w:highlight w:val="none"/>
              </w:rPr>
            </w:pPr>
            <w:r>
              <w:rPr>
                <w:rFonts w:hAnsi="宋体"/>
                <w:color w:val="auto"/>
                <w:sz w:val="21"/>
                <w:szCs w:val="21"/>
                <w:highlight w:val="none"/>
              </w:rPr>
              <w:t>注：</w:t>
            </w:r>
            <w:r>
              <w:rPr>
                <w:rFonts w:ascii="宋体" w:hAnsi="宋体"/>
                <w:color w:val="auto"/>
                <w:sz w:val="21"/>
                <w:szCs w:val="21"/>
                <w:highlight w:val="none"/>
              </w:rPr>
              <w:t>△</w:t>
            </w:r>
            <w:r>
              <w:rPr>
                <w:rFonts w:hAnsi="宋体"/>
                <w:color w:val="auto"/>
                <w:sz w:val="21"/>
                <w:szCs w:val="21"/>
                <w:highlight w:val="none"/>
              </w:rPr>
              <w:t>可能有影响；</w:t>
            </w:r>
            <w:r>
              <w:rPr>
                <w:color w:val="auto"/>
                <w:sz w:val="21"/>
                <w:szCs w:val="21"/>
                <w:highlight w:val="none"/>
              </w:rPr>
              <w:sym w:font="Wingdings 2" w:char="0098"/>
            </w:r>
            <w:r>
              <w:rPr>
                <w:rFonts w:hAnsi="宋体"/>
                <w:color w:val="auto"/>
                <w:sz w:val="21"/>
                <w:szCs w:val="21"/>
                <w:highlight w:val="none"/>
              </w:rPr>
              <w:t>有影响；</w:t>
            </w:r>
            <w:r>
              <w:rPr>
                <w:color w:val="auto"/>
                <w:sz w:val="21"/>
                <w:szCs w:val="21"/>
                <w:highlight w:val="none"/>
              </w:rPr>
              <w:t>D</w:t>
            </w:r>
            <w:r>
              <w:rPr>
                <w:rFonts w:hAnsi="宋体"/>
                <w:color w:val="auto"/>
                <w:sz w:val="21"/>
                <w:szCs w:val="21"/>
                <w:highlight w:val="none"/>
              </w:rPr>
              <w:t>短期影响；</w:t>
            </w:r>
            <w:r>
              <w:rPr>
                <w:color w:val="auto"/>
                <w:sz w:val="21"/>
                <w:szCs w:val="21"/>
                <w:highlight w:val="none"/>
              </w:rPr>
              <w:t>L</w:t>
            </w:r>
            <w:r>
              <w:rPr>
                <w:rFonts w:hAnsi="宋体"/>
                <w:color w:val="auto"/>
                <w:sz w:val="21"/>
                <w:szCs w:val="21"/>
                <w:highlight w:val="none"/>
              </w:rPr>
              <w:t>长期影响</w:t>
            </w:r>
          </w:p>
        </w:tc>
      </w:tr>
    </w:tbl>
    <w:p w14:paraId="4A5275B7">
      <w:pPr>
        <w:snapToGrid w:val="0"/>
        <w:spacing w:before="156" w:beforeLines="50"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由表2.2.1-1可知，建设项目的不利影响主要在地表水环境、环境空气质量以及声环境、土壤等自然环境中。拟建项目对环境影响性质分析见表2.2.1-2。</w:t>
      </w:r>
    </w:p>
    <w:p w14:paraId="69BCA5FF">
      <w:pPr>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表2.2.1-2</w:t>
      </w:r>
      <w:r>
        <w:rPr>
          <w:rFonts w:hint="eastAsia"/>
          <w:b/>
          <w:color w:val="auto"/>
          <w:sz w:val="24"/>
          <w:highlight w:val="none"/>
          <w:lang w:val="en-US" w:eastAsia="zh-CN"/>
        </w:rPr>
        <w:t xml:space="preserve">  </w:t>
      </w:r>
      <w:r>
        <w:rPr>
          <w:rFonts w:ascii="Times New Roman" w:hAnsi="Times New Roman" w:eastAsia="宋体"/>
          <w:b/>
          <w:color w:val="auto"/>
          <w:sz w:val="24"/>
          <w:highlight w:val="none"/>
        </w:rPr>
        <w:t>环境影响性质分析</w:t>
      </w:r>
    </w:p>
    <w:tbl>
      <w:tblPr>
        <w:tblStyle w:val="49"/>
        <w:tblW w:w="4851"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758"/>
        <w:gridCol w:w="733"/>
        <w:gridCol w:w="734"/>
        <w:gridCol w:w="733"/>
        <w:gridCol w:w="943"/>
        <w:gridCol w:w="733"/>
        <w:gridCol w:w="734"/>
        <w:gridCol w:w="987"/>
        <w:gridCol w:w="913"/>
      </w:tblGrid>
      <w:tr w14:paraId="44D0409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24" w:hRule="atLeast"/>
          <w:jc w:val="center"/>
        </w:trPr>
        <w:tc>
          <w:tcPr>
            <w:tcW w:w="1063" w:type="pct"/>
            <w:tcBorders>
              <w:tl2br w:val="single" w:color="auto" w:sz="8" w:space="0"/>
            </w:tcBorders>
            <w:noWrap w:val="0"/>
            <w:vAlign w:val="center"/>
          </w:tcPr>
          <w:p w14:paraId="12F56749">
            <w:pPr>
              <w:jc w:val="right"/>
              <w:rPr>
                <w:rFonts w:ascii="Times New Roman" w:hAnsi="Times New Roman" w:eastAsia="宋体"/>
                <w:b/>
                <w:color w:val="auto"/>
                <w:szCs w:val="21"/>
                <w:highlight w:val="none"/>
              </w:rPr>
            </w:pPr>
            <w:r>
              <w:rPr>
                <w:rFonts w:ascii="Times New Roman" w:hAnsi="Times New Roman" w:eastAsia="宋体"/>
                <w:b/>
                <w:color w:val="auto"/>
                <w:szCs w:val="21"/>
                <w:highlight w:val="none"/>
              </w:rPr>
              <w:t>影响性质</w:t>
            </w:r>
          </w:p>
          <w:p w14:paraId="1B42CC14">
            <w:pPr>
              <w:rPr>
                <w:rFonts w:ascii="Times New Roman" w:hAnsi="Times New Roman" w:eastAsia="宋体"/>
                <w:b/>
                <w:color w:val="auto"/>
                <w:szCs w:val="21"/>
                <w:highlight w:val="none"/>
              </w:rPr>
            </w:pPr>
            <w:r>
              <w:rPr>
                <w:rFonts w:ascii="Times New Roman" w:hAnsi="Times New Roman" w:eastAsia="宋体"/>
                <w:b/>
                <w:color w:val="auto"/>
                <w:szCs w:val="21"/>
                <w:highlight w:val="none"/>
              </w:rPr>
              <w:t>环境因素</w:t>
            </w:r>
          </w:p>
        </w:tc>
        <w:tc>
          <w:tcPr>
            <w:tcW w:w="443" w:type="pct"/>
            <w:tcBorders>
              <w:tl2br w:val="nil"/>
              <w:tr2bl w:val="nil"/>
            </w:tcBorders>
            <w:noWrap w:val="0"/>
            <w:vAlign w:val="center"/>
          </w:tcPr>
          <w:p w14:paraId="67F6B083">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短期影响</w:t>
            </w:r>
          </w:p>
        </w:tc>
        <w:tc>
          <w:tcPr>
            <w:tcW w:w="444" w:type="pct"/>
            <w:tcBorders>
              <w:tl2br w:val="nil"/>
              <w:tr2bl w:val="nil"/>
            </w:tcBorders>
            <w:noWrap w:val="0"/>
            <w:vAlign w:val="center"/>
          </w:tcPr>
          <w:p w14:paraId="75B68D24">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长期影响</w:t>
            </w:r>
          </w:p>
        </w:tc>
        <w:tc>
          <w:tcPr>
            <w:tcW w:w="443" w:type="pct"/>
            <w:tcBorders>
              <w:tl2br w:val="nil"/>
              <w:tr2bl w:val="nil"/>
            </w:tcBorders>
            <w:noWrap w:val="0"/>
            <w:vAlign w:val="center"/>
          </w:tcPr>
          <w:p w14:paraId="116D3D3B">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可逆影响</w:t>
            </w:r>
          </w:p>
        </w:tc>
        <w:tc>
          <w:tcPr>
            <w:tcW w:w="570" w:type="pct"/>
            <w:tcBorders>
              <w:tl2br w:val="nil"/>
              <w:tr2bl w:val="nil"/>
            </w:tcBorders>
            <w:noWrap w:val="0"/>
            <w:vAlign w:val="center"/>
          </w:tcPr>
          <w:p w14:paraId="5989FF17">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不可逆影响</w:t>
            </w:r>
          </w:p>
        </w:tc>
        <w:tc>
          <w:tcPr>
            <w:tcW w:w="443" w:type="pct"/>
            <w:tcBorders>
              <w:tl2br w:val="nil"/>
              <w:tr2bl w:val="nil"/>
            </w:tcBorders>
            <w:noWrap w:val="0"/>
            <w:vAlign w:val="center"/>
          </w:tcPr>
          <w:p w14:paraId="25429AF3">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直接影响</w:t>
            </w:r>
          </w:p>
        </w:tc>
        <w:tc>
          <w:tcPr>
            <w:tcW w:w="444" w:type="pct"/>
            <w:tcBorders>
              <w:tl2br w:val="nil"/>
              <w:tr2bl w:val="nil"/>
            </w:tcBorders>
            <w:noWrap w:val="0"/>
            <w:vAlign w:val="center"/>
          </w:tcPr>
          <w:p w14:paraId="16113008">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间接影响</w:t>
            </w:r>
          </w:p>
        </w:tc>
        <w:tc>
          <w:tcPr>
            <w:tcW w:w="597" w:type="pct"/>
            <w:tcBorders>
              <w:tl2br w:val="nil"/>
              <w:tr2bl w:val="nil"/>
            </w:tcBorders>
            <w:noWrap w:val="0"/>
            <w:vAlign w:val="center"/>
          </w:tcPr>
          <w:p w14:paraId="67FD8F7B">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局部</w:t>
            </w:r>
          </w:p>
          <w:p w14:paraId="3097DCF6">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影响</w:t>
            </w:r>
          </w:p>
        </w:tc>
        <w:tc>
          <w:tcPr>
            <w:tcW w:w="552" w:type="pct"/>
            <w:tcBorders>
              <w:tl2br w:val="nil"/>
              <w:tr2bl w:val="nil"/>
            </w:tcBorders>
            <w:noWrap w:val="0"/>
            <w:vAlign w:val="center"/>
          </w:tcPr>
          <w:p w14:paraId="1D243FD0">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大范围</w:t>
            </w:r>
          </w:p>
          <w:p w14:paraId="0847AB7B">
            <w:pPr>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影响</w:t>
            </w:r>
          </w:p>
        </w:tc>
      </w:tr>
      <w:tr w14:paraId="36A625A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063" w:type="pct"/>
            <w:tcBorders>
              <w:tl2br w:val="nil"/>
              <w:tr2bl w:val="nil"/>
            </w:tcBorders>
            <w:noWrap w:val="0"/>
            <w:vAlign w:val="center"/>
          </w:tcPr>
          <w:p w14:paraId="46BEAFD4">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大气环境</w:t>
            </w:r>
          </w:p>
        </w:tc>
        <w:tc>
          <w:tcPr>
            <w:tcW w:w="443" w:type="pct"/>
            <w:tcBorders>
              <w:tl2br w:val="nil"/>
              <w:tr2bl w:val="nil"/>
            </w:tcBorders>
            <w:noWrap w:val="0"/>
            <w:vAlign w:val="center"/>
          </w:tcPr>
          <w:p w14:paraId="4E651D15">
            <w:pPr>
              <w:jc w:val="center"/>
              <w:rPr>
                <w:rFonts w:ascii="Times New Roman" w:hAnsi="Times New Roman" w:eastAsia="宋体"/>
                <w:color w:val="auto"/>
                <w:szCs w:val="21"/>
                <w:highlight w:val="none"/>
              </w:rPr>
            </w:pPr>
          </w:p>
        </w:tc>
        <w:tc>
          <w:tcPr>
            <w:tcW w:w="444" w:type="pct"/>
            <w:tcBorders>
              <w:tl2br w:val="nil"/>
              <w:tr2bl w:val="nil"/>
            </w:tcBorders>
            <w:noWrap w:val="0"/>
            <w:vAlign w:val="center"/>
          </w:tcPr>
          <w:p w14:paraId="660614FE">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3" w:type="pct"/>
            <w:tcBorders>
              <w:tl2br w:val="nil"/>
              <w:tr2bl w:val="nil"/>
            </w:tcBorders>
            <w:noWrap w:val="0"/>
            <w:vAlign w:val="center"/>
          </w:tcPr>
          <w:p w14:paraId="6613FC1F">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70" w:type="pct"/>
            <w:tcBorders>
              <w:tl2br w:val="nil"/>
              <w:tr2bl w:val="nil"/>
            </w:tcBorders>
            <w:noWrap w:val="0"/>
            <w:vAlign w:val="center"/>
          </w:tcPr>
          <w:p w14:paraId="60D3A8E5">
            <w:pPr>
              <w:jc w:val="center"/>
              <w:rPr>
                <w:rFonts w:ascii="Times New Roman" w:hAnsi="Times New Roman" w:eastAsia="宋体"/>
                <w:color w:val="auto"/>
                <w:szCs w:val="21"/>
                <w:highlight w:val="none"/>
              </w:rPr>
            </w:pPr>
          </w:p>
        </w:tc>
        <w:tc>
          <w:tcPr>
            <w:tcW w:w="443" w:type="pct"/>
            <w:tcBorders>
              <w:tl2br w:val="nil"/>
              <w:tr2bl w:val="nil"/>
            </w:tcBorders>
            <w:noWrap w:val="0"/>
            <w:vAlign w:val="center"/>
          </w:tcPr>
          <w:p w14:paraId="590975D2">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4" w:type="pct"/>
            <w:tcBorders>
              <w:tl2br w:val="nil"/>
              <w:tr2bl w:val="nil"/>
            </w:tcBorders>
            <w:noWrap w:val="0"/>
            <w:vAlign w:val="center"/>
          </w:tcPr>
          <w:p w14:paraId="4B67DADC">
            <w:pPr>
              <w:jc w:val="center"/>
              <w:rPr>
                <w:rFonts w:ascii="Times New Roman" w:hAnsi="Times New Roman" w:eastAsia="宋体"/>
                <w:color w:val="auto"/>
                <w:szCs w:val="21"/>
                <w:highlight w:val="none"/>
              </w:rPr>
            </w:pPr>
          </w:p>
        </w:tc>
        <w:tc>
          <w:tcPr>
            <w:tcW w:w="597" w:type="pct"/>
            <w:tcBorders>
              <w:tl2br w:val="nil"/>
              <w:tr2bl w:val="nil"/>
            </w:tcBorders>
            <w:noWrap w:val="0"/>
            <w:vAlign w:val="center"/>
          </w:tcPr>
          <w:p w14:paraId="1818E4CB">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52" w:type="pct"/>
            <w:tcBorders>
              <w:tl2br w:val="nil"/>
              <w:tr2bl w:val="nil"/>
            </w:tcBorders>
            <w:noWrap w:val="0"/>
            <w:vAlign w:val="center"/>
          </w:tcPr>
          <w:p w14:paraId="56FE425E">
            <w:pPr>
              <w:jc w:val="center"/>
              <w:rPr>
                <w:rFonts w:ascii="Times New Roman" w:hAnsi="Times New Roman" w:eastAsia="宋体"/>
                <w:color w:val="auto"/>
                <w:szCs w:val="21"/>
                <w:highlight w:val="none"/>
              </w:rPr>
            </w:pPr>
          </w:p>
        </w:tc>
      </w:tr>
      <w:tr w14:paraId="7F69E61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1" w:hRule="atLeast"/>
          <w:jc w:val="center"/>
        </w:trPr>
        <w:tc>
          <w:tcPr>
            <w:tcW w:w="1063" w:type="pct"/>
            <w:tcBorders>
              <w:tl2br w:val="nil"/>
              <w:tr2bl w:val="nil"/>
            </w:tcBorders>
            <w:noWrap w:val="0"/>
            <w:vAlign w:val="center"/>
          </w:tcPr>
          <w:p w14:paraId="3FE7DB10">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地面水环境</w:t>
            </w:r>
          </w:p>
        </w:tc>
        <w:tc>
          <w:tcPr>
            <w:tcW w:w="443" w:type="pct"/>
            <w:tcBorders>
              <w:tl2br w:val="nil"/>
              <w:tr2bl w:val="nil"/>
            </w:tcBorders>
            <w:noWrap w:val="0"/>
            <w:vAlign w:val="center"/>
          </w:tcPr>
          <w:p w14:paraId="3E218E29">
            <w:pPr>
              <w:jc w:val="center"/>
              <w:rPr>
                <w:rFonts w:ascii="Times New Roman" w:hAnsi="Times New Roman" w:eastAsia="宋体"/>
                <w:color w:val="auto"/>
                <w:szCs w:val="21"/>
                <w:highlight w:val="none"/>
              </w:rPr>
            </w:pPr>
          </w:p>
        </w:tc>
        <w:tc>
          <w:tcPr>
            <w:tcW w:w="444" w:type="pct"/>
            <w:tcBorders>
              <w:tl2br w:val="nil"/>
              <w:tr2bl w:val="nil"/>
            </w:tcBorders>
            <w:noWrap w:val="0"/>
            <w:vAlign w:val="center"/>
          </w:tcPr>
          <w:p w14:paraId="5E6C1051">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3" w:type="pct"/>
            <w:tcBorders>
              <w:tl2br w:val="nil"/>
              <w:tr2bl w:val="nil"/>
            </w:tcBorders>
            <w:noWrap w:val="0"/>
            <w:vAlign w:val="center"/>
          </w:tcPr>
          <w:p w14:paraId="289F5D60">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70" w:type="pct"/>
            <w:tcBorders>
              <w:tl2br w:val="nil"/>
              <w:tr2bl w:val="nil"/>
            </w:tcBorders>
            <w:noWrap w:val="0"/>
            <w:vAlign w:val="center"/>
          </w:tcPr>
          <w:p w14:paraId="083C0A31">
            <w:pPr>
              <w:jc w:val="center"/>
              <w:rPr>
                <w:rFonts w:ascii="Times New Roman" w:hAnsi="Times New Roman" w:eastAsia="宋体"/>
                <w:color w:val="auto"/>
                <w:szCs w:val="21"/>
                <w:highlight w:val="none"/>
              </w:rPr>
            </w:pPr>
          </w:p>
        </w:tc>
        <w:tc>
          <w:tcPr>
            <w:tcW w:w="443" w:type="pct"/>
            <w:tcBorders>
              <w:tl2br w:val="nil"/>
              <w:tr2bl w:val="nil"/>
            </w:tcBorders>
            <w:noWrap w:val="0"/>
            <w:vAlign w:val="center"/>
          </w:tcPr>
          <w:p w14:paraId="31E1B6C4">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4" w:type="pct"/>
            <w:tcBorders>
              <w:tl2br w:val="nil"/>
              <w:tr2bl w:val="nil"/>
            </w:tcBorders>
            <w:noWrap w:val="0"/>
            <w:vAlign w:val="center"/>
          </w:tcPr>
          <w:p w14:paraId="20E38F2D">
            <w:pPr>
              <w:jc w:val="center"/>
              <w:rPr>
                <w:rFonts w:ascii="Times New Roman" w:hAnsi="Times New Roman" w:eastAsia="宋体"/>
                <w:color w:val="auto"/>
                <w:szCs w:val="21"/>
                <w:highlight w:val="none"/>
              </w:rPr>
            </w:pPr>
          </w:p>
        </w:tc>
        <w:tc>
          <w:tcPr>
            <w:tcW w:w="597" w:type="pct"/>
            <w:tcBorders>
              <w:tl2br w:val="nil"/>
              <w:tr2bl w:val="nil"/>
            </w:tcBorders>
            <w:noWrap w:val="0"/>
            <w:vAlign w:val="center"/>
          </w:tcPr>
          <w:p w14:paraId="43044AE6">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52" w:type="pct"/>
            <w:tcBorders>
              <w:tl2br w:val="nil"/>
              <w:tr2bl w:val="nil"/>
            </w:tcBorders>
            <w:noWrap w:val="0"/>
            <w:vAlign w:val="center"/>
          </w:tcPr>
          <w:p w14:paraId="026F0AF8">
            <w:pPr>
              <w:jc w:val="center"/>
              <w:rPr>
                <w:rFonts w:ascii="Times New Roman" w:hAnsi="Times New Roman" w:eastAsia="宋体"/>
                <w:color w:val="auto"/>
                <w:szCs w:val="21"/>
                <w:highlight w:val="none"/>
              </w:rPr>
            </w:pPr>
          </w:p>
        </w:tc>
      </w:tr>
      <w:tr w14:paraId="053B47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59" w:hRule="atLeast"/>
          <w:jc w:val="center"/>
        </w:trPr>
        <w:tc>
          <w:tcPr>
            <w:tcW w:w="1063" w:type="pct"/>
            <w:tcBorders>
              <w:tl2br w:val="nil"/>
              <w:tr2bl w:val="nil"/>
            </w:tcBorders>
            <w:noWrap w:val="0"/>
            <w:vAlign w:val="center"/>
          </w:tcPr>
          <w:p w14:paraId="465A33B7">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噪声环境</w:t>
            </w:r>
          </w:p>
        </w:tc>
        <w:tc>
          <w:tcPr>
            <w:tcW w:w="443" w:type="pct"/>
            <w:tcBorders>
              <w:tl2br w:val="nil"/>
              <w:tr2bl w:val="nil"/>
            </w:tcBorders>
            <w:noWrap w:val="0"/>
            <w:vAlign w:val="center"/>
          </w:tcPr>
          <w:p w14:paraId="56F715C3">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4" w:type="pct"/>
            <w:tcBorders>
              <w:tl2br w:val="nil"/>
              <w:tr2bl w:val="nil"/>
            </w:tcBorders>
            <w:noWrap w:val="0"/>
            <w:vAlign w:val="center"/>
          </w:tcPr>
          <w:p w14:paraId="3E741D42">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3" w:type="pct"/>
            <w:tcBorders>
              <w:tl2br w:val="nil"/>
              <w:tr2bl w:val="nil"/>
            </w:tcBorders>
            <w:noWrap w:val="0"/>
            <w:vAlign w:val="center"/>
          </w:tcPr>
          <w:p w14:paraId="36869035">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70" w:type="pct"/>
            <w:tcBorders>
              <w:tl2br w:val="nil"/>
              <w:tr2bl w:val="nil"/>
            </w:tcBorders>
            <w:noWrap w:val="0"/>
            <w:vAlign w:val="center"/>
          </w:tcPr>
          <w:p w14:paraId="7B47581D">
            <w:pPr>
              <w:jc w:val="center"/>
              <w:rPr>
                <w:rFonts w:ascii="Times New Roman" w:hAnsi="Times New Roman" w:eastAsia="宋体"/>
                <w:color w:val="auto"/>
                <w:szCs w:val="21"/>
                <w:highlight w:val="none"/>
              </w:rPr>
            </w:pPr>
          </w:p>
        </w:tc>
        <w:tc>
          <w:tcPr>
            <w:tcW w:w="443" w:type="pct"/>
            <w:tcBorders>
              <w:tl2br w:val="nil"/>
              <w:tr2bl w:val="nil"/>
            </w:tcBorders>
            <w:noWrap w:val="0"/>
            <w:vAlign w:val="center"/>
          </w:tcPr>
          <w:p w14:paraId="405BCBCB">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4" w:type="pct"/>
            <w:tcBorders>
              <w:tl2br w:val="nil"/>
              <w:tr2bl w:val="nil"/>
            </w:tcBorders>
            <w:noWrap w:val="0"/>
            <w:vAlign w:val="center"/>
          </w:tcPr>
          <w:p w14:paraId="3647904A">
            <w:pPr>
              <w:jc w:val="center"/>
              <w:rPr>
                <w:rFonts w:ascii="Times New Roman" w:hAnsi="Times New Roman" w:eastAsia="宋体"/>
                <w:color w:val="auto"/>
                <w:szCs w:val="21"/>
                <w:highlight w:val="none"/>
              </w:rPr>
            </w:pPr>
          </w:p>
        </w:tc>
        <w:tc>
          <w:tcPr>
            <w:tcW w:w="597" w:type="pct"/>
            <w:tcBorders>
              <w:tl2br w:val="nil"/>
              <w:tr2bl w:val="nil"/>
            </w:tcBorders>
            <w:noWrap w:val="0"/>
            <w:vAlign w:val="center"/>
          </w:tcPr>
          <w:p w14:paraId="39E04A52">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52" w:type="pct"/>
            <w:tcBorders>
              <w:tl2br w:val="nil"/>
              <w:tr2bl w:val="nil"/>
            </w:tcBorders>
            <w:noWrap w:val="0"/>
            <w:vAlign w:val="center"/>
          </w:tcPr>
          <w:p w14:paraId="21894A1C">
            <w:pPr>
              <w:jc w:val="center"/>
              <w:rPr>
                <w:rFonts w:ascii="Times New Roman" w:hAnsi="Times New Roman" w:eastAsia="宋体"/>
                <w:color w:val="auto"/>
                <w:szCs w:val="21"/>
                <w:highlight w:val="none"/>
              </w:rPr>
            </w:pPr>
          </w:p>
        </w:tc>
      </w:tr>
      <w:tr w14:paraId="764AA0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07" w:hRule="atLeast"/>
          <w:jc w:val="center"/>
        </w:trPr>
        <w:tc>
          <w:tcPr>
            <w:tcW w:w="1063" w:type="pct"/>
            <w:tcBorders>
              <w:tl2br w:val="nil"/>
              <w:tr2bl w:val="nil"/>
            </w:tcBorders>
            <w:noWrap w:val="0"/>
            <w:vAlign w:val="center"/>
          </w:tcPr>
          <w:p w14:paraId="376A9C50">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生态环境</w:t>
            </w:r>
          </w:p>
        </w:tc>
        <w:tc>
          <w:tcPr>
            <w:tcW w:w="443" w:type="pct"/>
            <w:tcBorders>
              <w:tl2br w:val="nil"/>
              <w:tr2bl w:val="nil"/>
            </w:tcBorders>
            <w:noWrap w:val="0"/>
            <w:vAlign w:val="center"/>
          </w:tcPr>
          <w:p w14:paraId="4E4F5046">
            <w:pPr>
              <w:jc w:val="center"/>
              <w:rPr>
                <w:rFonts w:ascii="Times New Roman" w:hAnsi="Times New Roman" w:eastAsia="宋体"/>
                <w:color w:val="auto"/>
                <w:szCs w:val="21"/>
                <w:highlight w:val="none"/>
              </w:rPr>
            </w:pPr>
          </w:p>
        </w:tc>
        <w:tc>
          <w:tcPr>
            <w:tcW w:w="444" w:type="pct"/>
            <w:tcBorders>
              <w:tl2br w:val="nil"/>
              <w:tr2bl w:val="nil"/>
            </w:tcBorders>
            <w:noWrap w:val="0"/>
            <w:vAlign w:val="center"/>
          </w:tcPr>
          <w:p w14:paraId="52DB0C6C">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3" w:type="pct"/>
            <w:tcBorders>
              <w:tl2br w:val="nil"/>
              <w:tr2bl w:val="nil"/>
            </w:tcBorders>
            <w:noWrap w:val="0"/>
            <w:vAlign w:val="center"/>
          </w:tcPr>
          <w:p w14:paraId="759001E9">
            <w:pPr>
              <w:jc w:val="center"/>
              <w:rPr>
                <w:rFonts w:ascii="Times New Roman" w:hAnsi="Times New Roman" w:eastAsia="宋体"/>
                <w:color w:val="auto"/>
                <w:szCs w:val="21"/>
                <w:highlight w:val="none"/>
              </w:rPr>
            </w:pPr>
          </w:p>
        </w:tc>
        <w:tc>
          <w:tcPr>
            <w:tcW w:w="570" w:type="pct"/>
            <w:tcBorders>
              <w:tl2br w:val="nil"/>
              <w:tr2bl w:val="nil"/>
            </w:tcBorders>
            <w:noWrap w:val="0"/>
            <w:vAlign w:val="center"/>
          </w:tcPr>
          <w:p w14:paraId="57833EEC">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3" w:type="pct"/>
            <w:tcBorders>
              <w:tl2br w:val="nil"/>
              <w:tr2bl w:val="nil"/>
            </w:tcBorders>
            <w:noWrap w:val="0"/>
            <w:vAlign w:val="center"/>
          </w:tcPr>
          <w:p w14:paraId="0C75390F">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44" w:type="pct"/>
            <w:tcBorders>
              <w:tl2br w:val="nil"/>
              <w:tr2bl w:val="nil"/>
            </w:tcBorders>
            <w:noWrap w:val="0"/>
            <w:vAlign w:val="center"/>
          </w:tcPr>
          <w:p w14:paraId="7949516F">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97" w:type="pct"/>
            <w:tcBorders>
              <w:tl2br w:val="nil"/>
              <w:tr2bl w:val="nil"/>
            </w:tcBorders>
            <w:noWrap w:val="0"/>
            <w:vAlign w:val="center"/>
          </w:tcPr>
          <w:p w14:paraId="0BC9EC6A">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52" w:type="pct"/>
            <w:tcBorders>
              <w:tl2br w:val="nil"/>
              <w:tr2bl w:val="nil"/>
            </w:tcBorders>
            <w:noWrap w:val="0"/>
            <w:vAlign w:val="center"/>
          </w:tcPr>
          <w:p w14:paraId="09A209B1">
            <w:pPr>
              <w:jc w:val="center"/>
              <w:rPr>
                <w:rFonts w:ascii="Times New Roman" w:hAnsi="Times New Roman" w:eastAsia="宋体"/>
                <w:color w:val="auto"/>
                <w:szCs w:val="21"/>
                <w:highlight w:val="none"/>
              </w:rPr>
            </w:pPr>
          </w:p>
        </w:tc>
      </w:tr>
    </w:tbl>
    <w:p w14:paraId="415C101F">
      <w:pPr>
        <w:pStyle w:val="23"/>
        <w:rPr>
          <w:rFonts w:ascii="Times New Roman" w:hAnsi="Times New Roman"/>
          <w:color w:val="auto"/>
          <w:highlight w:val="none"/>
        </w:rPr>
      </w:pPr>
    </w:p>
    <w:p w14:paraId="23D8B251">
      <w:pPr>
        <w:pStyle w:val="4"/>
        <w:spacing w:after="156"/>
        <w:rPr>
          <w:color w:val="auto"/>
          <w:highlight w:val="none"/>
        </w:rPr>
      </w:pPr>
      <w:bookmarkStart w:id="55" w:name="_Toc117150198"/>
      <w:r>
        <w:rPr>
          <w:color w:val="auto"/>
          <w:highlight w:val="none"/>
        </w:rPr>
        <w:br w:type="page"/>
      </w:r>
      <w:bookmarkStart w:id="56" w:name="_Toc152921603"/>
      <w:bookmarkStart w:id="57" w:name="_Toc152921968"/>
      <w:bookmarkStart w:id="58" w:name="_Toc152923243"/>
      <w:bookmarkStart w:id="59" w:name="_Toc152922562"/>
      <w:r>
        <w:rPr>
          <w:color w:val="auto"/>
          <w:highlight w:val="none"/>
        </w:rPr>
        <w:t>2.2.2评价因子筛选</w:t>
      </w:r>
      <w:bookmarkEnd w:id="55"/>
      <w:bookmarkEnd w:id="56"/>
      <w:bookmarkEnd w:id="57"/>
      <w:bookmarkEnd w:id="58"/>
      <w:bookmarkEnd w:id="59"/>
    </w:p>
    <w:p w14:paraId="691564C7">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根据环境影响因素识别结果，并结合建设项目的特点和所在地的环境状况，确定本项目评价因子，详见表2.2.1-3。</w:t>
      </w:r>
    </w:p>
    <w:p w14:paraId="0320F2BD">
      <w:pPr>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表2.2.1-3</w:t>
      </w:r>
      <w:r>
        <w:rPr>
          <w:rFonts w:hint="eastAsia"/>
          <w:b/>
          <w:color w:val="auto"/>
          <w:sz w:val="24"/>
          <w:highlight w:val="none"/>
          <w:lang w:val="en-US" w:eastAsia="zh-CN"/>
        </w:rPr>
        <w:t xml:space="preserve">  </w:t>
      </w:r>
      <w:r>
        <w:rPr>
          <w:rFonts w:ascii="Times New Roman" w:hAnsi="Times New Roman" w:eastAsia="宋体"/>
          <w:b/>
          <w:color w:val="auto"/>
          <w:sz w:val="24"/>
          <w:highlight w:val="none"/>
        </w:rPr>
        <w:t>评价因子一览表</w:t>
      </w:r>
    </w:p>
    <w:tbl>
      <w:tblPr>
        <w:tblStyle w:val="49"/>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151"/>
        <w:gridCol w:w="4344"/>
        <w:gridCol w:w="1598"/>
        <w:gridCol w:w="1429"/>
      </w:tblGrid>
      <w:tr w14:paraId="3ACB5C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675" w:type="pct"/>
            <w:tcBorders>
              <w:tl2br w:val="nil"/>
              <w:tr2bl w:val="nil"/>
            </w:tcBorders>
            <w:noWrap w:val="0"/>
            <w:vAlign w:val="center"/>
          </w:tcPr>
          <w:p w14:paraId="4B3DDD89">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评价内容</w:t>
            </w:r>
          </w:p>
        </w:tc>
        <w:tc>
          <w:tcPr>
            <w:tcW w:w="2548" w:type="pct"/>
            <w:tcBorders>
              <w:tl2br w:val="nil"/>
              <w:tr2bl w:val="nil"/>
            </w:tcBorders>
            <w:noWrap w:val="0"/>
            <w:vAlign w:val="center"/>
          </w:tcPr>
          <w:p w14:paraId="7CA4DEC1">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现状评价因子</w:t>
            </w:r>
          </w:p>
        </w:tc>
        <w:tc>
          <w:tcPr>
            <w:tcW w:w="937" w:type="pct"/>
            <w:tcBorders>
              <w:tl2br w:val="nil"/>
              <w:tr2bl w:val="nil"/>
            </w:tcBorders>
            <w:noWrap w:val="0"/>
            <w:vAlign w:val="center"/>
          </w:tcPr>
          <w:p w14:paraId="76A7A3DD">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影响评价因子</w:t>
            </w:r>
          </w:p>
        </w:tc>
        <w:tc>
          <w:tcPr>
            <w:tcW w:w="838" w:type="pct"/>
            <w:tcBorders>
              <w:tl2br w:val="nil"/>
              <w:tr2bl w:val="nil"/>
            </w:tcBorders>
            <w:noWrap w:val="0"/>
            <w:vAlign w:val="center"/>
          </w:tcPr>
          <w:p w14:paraId="7D53CF78">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总量控制因子</w:t>
            </w:r>
          </w:p>
        </w:tc>
      </w:tr>
      <w:tr w14:paraId="5B17B1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69" w:hRule="atLeast"/>
          <w:jc w:val="center"/>
        </w:trPr>
        <w:tc>
          <w:tcPr>
            <w:tcW w:w="675" w:type="pct"/>
            <w:tcBorders>
              <w:tl2br w:val="nil"/>
              <w:tr2bl w:val="nil"/>
            </w:tcBorders>
            <w:noWrap w:val="0"/>
            <w:vAlign w:val="center"/>
          </w:tcPr>
          <w:p w14:paraId="0845BEF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环境空气</w:t>
            </w:r>
          </w:p>
        </w:tc>
        <w:tc>
          <w:tcPr>
            <w:tcW w:w="2548" w:type="pct"/>
            <w:tcBorders>
              <w:tl2br w:val="nil"/>
              <w:tr2bl w:val="nil"/>
            </w:tcBorders>
            <w:noWrap w:val="0"/>
            <w:vAlign w:val="center"/>
          </w:tcPr>
          <w:p w14:paraId="0456D949">
            <w:pPr>
              <w:snapToGrid w:val="0"/>
              <w:jc w:val="center"/>
              <w:rPr>
                <w:rFonts w:hint="default" w:ascii="Times New Roman" w:hAnsi="Times New Roman" w:eastAsia="宋体"/>
                <w:color w:val="auto"/>
                <w:szCs w:val="21"/>
                <w:highlight w:val="none"/>
                <w:vertAlign w:val="subscript"/>
                <w:lang w:val="en-US" w:eastAsia="zh-CN"/>
              </w:rPr>
            </w:pPr>
            <w:r>
              <w:rPr>
                <w:rFonts w:ascii="Times New Roman" w:hAnsi="Times New Roman" w:eastAsia="宋体"/>
                <w:color w:val="auto"/>
                <w:szCs w:val="21"/>
                <w:highlight w:val="none"/>
              </w:rPr>
              <w:t>SO</w:t>
            </w:r>
            <w:r>
              <w:rPr>
                <w:rFonts w:ascii="Times New Roman" w:hAnsi="Times New Roman" w:eastAsia="宋体"/>
                <w:color w:val="auto"/>
                <w:szCs w:val="21"/>
                <w:highlight w:val="none"/>
                <w:vertAlign w:val="subscript"/>
              </w:rPr>
              <w:t>2</w:t>
            </w:r>
            <w:r>
              <w:rPr>
                <w:rFonts w:ascii="Times New Roman" w:hAnsi="Times New Roman" w:eastAsia="宋体"/>
                <w:color w:val="auto"/>
                <w:spacing w:val="-3"/>
                <w:szCs w:val="21"/>
                <w:highlight w:val="none"/>
              </w:rPr>
              <w:t>、</w:t>
            </w:r>
            <w:r>
              <w:rPr>
                <w:rFonts w:ascii="Times New Roman" w:hAnsi="Times New Roman" w:eastAsia="宋体"/>
                <w:color w:val="auto"/>
                <w:szCs w:val="21"/>
                <w:highlight w:val="none"/>
              </w:rPr>
              <w:t>NO</w:t>
            </w:r>
            <w:r>
              <w:rPr>
                <w:rFonts w:ascii="Times New Roman" w:hAnsi="Times New Roman" w:eastAsia="宋体"/>
                <w:color w:val="auto"/>
                <w:szCs w:val="21"/>
                <w:highlight w:val="none"/>
                <w:vertAlign w:val="subscript"/>
              </w:rPr>
              <w:t>2</w:t>
            </w:r>
            <w:r>
              <w:rPr>
                <w:rFonts w:ascii="Times New Roman" w:hAnsi="Times New Roman" w:eastAsia="宋体"/>
                <w:color w:val="auto"/>
                <w:spacing w:val="-3"/>
                <w:szCs w:val="21"/>
                <w:highlight w:val="none"/>
              </w:rPr>
              <w:t>、</w:t>
            </w:r>
            <w:r>
              <w:rPr>
                <w:rFonts w:ascii="Times New Roman" w:hAnsi="Times New Roman" w:eastAsia="宋体"/>
                <w:color w:val="auto"/>
                <w:szCs w:val="21"/>
                <w:highlight w:val="none"/>
              </w:rPr>
              <w:t>PM</w:t>
            </w:r>
            <w:r>
              <w:rPr>
                <w:rFonts w:ascii="Times New Roman" w:hAnsi="Times New Roman" w:eastAsia="宋体"/>
                <w:color w:val="auto"/>
                <w:szCs w:val="21"/>
                <w:highlight w:val="none"/>
                <w:vertAlign w:val="subscript"/>
              </w:rPr>
              <w:t>10</w:t>
            </w:r>
            <w:r>
              <w:rPr>
                <w:rFonts w:ascii="Times New Roman" w:hAnsi="Times New Roman" w:eastAsia="宋体"/>
                <w:color w:val="auto"/>
                <w:spacing w:val="-3"/>
                <w:szCs w:val="21"/>
                <w:highlight w:val="none"/>
              </w:rPr>
              <w:t>、</w:t>
            </w:r>
            <w:r>
              <w:rPr>
                <w:rFonts w:ascii="Times New Roman" w:hAnsi="Times New Roman" w:eastAsia="宋体"/>
                <w:color w:val="auto"/>
                <w:szCs w:val="21"/>
                <w:highlight w:val="none"/>
              </w:rPr>
              <w:t>PM</w:t>
            </w:r>
            <w:r>
              <w:rPr>
                <w:rFonts w:ascii="Times New Roman" w:hAnsi="Times New Roman" w:eastAsia="宋体"/>
                <w:color w:val="auto"/>
                <w:szCs w:val="21"/>
                <w:highlight w:val="none"/>
                <w:vertAlign w:val="subscript"/>
              </w:rPr>
              <w:t>2.5</w:t>
            </w:r>
            <w:r>
              <w:rPr>
                <w:rFonts w:ascii="Times New Roman" w:hAnsi="Times New Roman" w:eastAsia="宋体"/>
                <w:color w:val="auto"/>
                <w:szCs w:val="21"/>
                <w:highlight w:val="none"/>
              </w:rPr>
              <w:t>、CO</w:t>
            </w:r>
            <w:r>
              <w:rPr>
                <w:rFonts w:ascii="Times New Roman" w:hAnsi="Times New Roman" w:eastAsia="宋体"/>
                <w:color w:val="auto"/>
                <w:spacing w:val="-3"/>
                <w:szCs w:val="21"/>
                <w:highlight w:val="none"/>
              </w:rPr>
              <w:t>、</w:t>
            </w:r>
            <w:r>
              <w:rPr>
                <w:rFonts w:ascii="Times New Roman" w:hAnsi="Times New Roman" w:eastAsia="宋体"/>
                <w:color w:val="auto"/>
                <w:szCs w:val="21"/>
                <w:highlight w:val="none"/>
              </w:rPr>
              <w:t>O</w:t>
            </w:r>
            <w:r>
              <w:rPr>
                <w:rFonts w:ascii="Times New Roman" w:hAnsi="Times New Roman" w:eastAsia="宋体"/>
                <w:color w:val="auto"/>
                <w:szCs w:val="21"/>
                <w:highlight w:val="none"/>
                <w:vertAlign w:val="subscript"/>
              </w:rPr>
              <w:t>3</w:t>
            </w: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TSP</w:t>
            </w:r>
            <w:r>
              <w:rPr>
                <w:rFonts w:ascii="Times New Roman" w:hAnsi="Times New Roman" w:eastAsia="宋体"/>
                <w:color w:val="auto"/>
                <w:spacing w:val="-2"/>
                <w:szCs w:val="21"/>
                <w:highlight w:val="none"/>
              </w:rPr>
              <w:t>、氮氧化物</w:t>
            </w:r>
            <w:r>
              <w:rPr>
                <w:rFonts w:hint="eastAsia" w:ascii="Times New Roman" w:hAnsi="Times New Roman" w:eastAsia="宋体"/>
                <w:color w:val="auto"/>
                <w:spacing w:val="-2"/>
                <w:szCs w:val="21"/>
                <w:highlight w:val="none"/>
                <w:lang w:eastAsia="zh-CN"/>
              </w:rPr>
              <w:t>、</w:t>
            </w:r>
            <w:r>
              <w:rPr>
                <w:rFonts w:hint="eastAsia" w:ascii="Times New Roman" w:hAnsi="Times New Roman" w:eastAsia="宋体"/>
                <w:color w:val="auto"/>
                <w:spacing w:val="-2"/>
                <w:szCs w:val="21"/>
                <w:highlight w:val="none"/>
                <w:lang w:val="en-US" w:eastAsia="zh-CN"/>
              </w:rPr>
              <w:t>二甲苯、</w:t>
            </w:r>
            <w:r>
              <w:rPr>
                <w:rFonts w:hint="eastAsia" w:ascii="Times New Roman" w:hAnsi="Times New Roman" w:eastAsia="宋体"/>
                <w:color w:val="auto"/>
                <w:szCs w:val="21"/>
                <w:highlight w:val="none"/>
                <w:vertAlign w:val="baseline"/>
                <w:lang w:val="en-US" w:eastAsia="zh-CN"/>
              </w:rPr>
              <w:t>非甲烷总烃</w:t>
            </w:r>
          </w:p>
        </w:tc>
        <w:tc>
          <w:tcPr>
            <w:tcW w:w="1598" w:type="dxa"/>
            <w:tcBorders>
              <w:tl2br w:val="nil"/>
              <w:tr2bl w:val="nil"/>
            </w:tcBorders>
            <w:noWrap w:val="0"/>
            <w:vAlign w:val="center"/>
          </w:tcPr>
          <w:p w14:paraId="2DC18657">
            <w:pPr>
              <w:pStyle w:val="563"/>
              <w:bidi w:val="0"/>
              <w:ind w:firstLine="0" w:firstLineChars="0"/>
              <w:rPr>
                <w:rFonts w:hint="default" w:ascii="Times New Roman" w:hAnsi="Times New Roman" w:eastAsia="宋体"/>
                <w:color w:val="auto"/>
                <w:szCs w:val="21"/>
                <w:highlight w:val="none"/>
                <w:lang w:val="en-US" w:eastAsia="zh-CN"/>
              </w:rPr>
            </w:pPr>
            <w:r>
              <w:rPr>
                <w:rFonts w:hint="eastAsia"/>
                <w:color w:val="auto"/>
                <w:highlight w:val="none"/>
                <w:lang w:val="en-US" w:eastAsia="zh-CN"/>
              </w:rPr>
              <w:t>颗粒物、非甲烷总烃、甲烷、硫化氢、SO</w:t>
            </w:r>
            <w:r>
              <w:rPr>
                <w:rFonts w:hint="eastAsia"/>
                <w:color w:val="auto"/>
                <w:highlight w:val="none"/>
                <w:vertAlign w:val="subscript"/>
                <w:lang w:val="en-US" w:eastAsia="zh-CN"/>
              </w:rPr>
              <w:t>2</w:t>
            </w:r>
          </w:p>
        </w:tc>
        <w:tc>
          <w:tcPr>
            <w:tcW w:w="1429" w:type="dxa"/>
            <w:tcBorders>
              <w:tl2br w:val="nil"/>
              <w:tr2bl w:val="nil"/>
            </w:tcBorders>
            <w:noWrap w:val="0"/>
            <w:vAlign w:val="center"/>
          </w:tcPr>
          <w:p w14:paraId="768AF345">
            <w:pPr>
              <w:pStyle w:val="563"/>
              <w:bidi w:val="0"/>
              <w:ind w:firstLine="0" w:firstLineChars="0"/>
              <w:rPr>
                <w:rFonts w:ascii="Times New Roman" w:hAnsi="Times New Roman" w:eastAsia="宋体"/>
                <w:color w:val="auto"/>
                <w:szCs w:val="21"/>
                <w:highlight w:val="none"/>
              </w:rPr>
            </w:pPr>
            <w:r>
              <w:rPr>
                <w:rFonts w:hint="eastAsia"/>
                <w:color w:val="auto"/>
                <w:highlight w:val="none"/>
                <w:lang w:val="en-US" w:eastAsia="zh-CN"/>
              </w:rPr>
              <w:t>NO</w:t>
            </w:r>
            <w:r>
              <w:rPr>
                <w:rFonts w:hint="eastAsia"/>
                <w:color w:val="auto"/>
                <w:highlight w:val="none"/>
                <w:vertAlign w:val="subscript"/>
                <w:lang w:val="en-US" w:eastAsia="zh-CN"/>
              </w:rPr>
              <w:t>X</w:t>
            </w:r>
            <w:r>
              <w:rPr>
                <w:rFonts w:hint="eastAsia"/>
                <w:color w:val="auto"/>
                <w:highlight w:val="none"/>
                <w:lang w:val="en-US" w:eastAsia="zh-CN"/>
              </w:rPr>
              <w:t>、</w:t>
            </w:r>
            <w:r>
              <w:rPr>
                <w:color w:val="auto"/>
                <w:highlight w:val="none"/>
              </w:rPr>
              <w:t>颗粒物、</w:t>
            </w:r>
            <w:r>
              <w:rPr>
                <w:rFonts w:hint="eastAsia"/>
                <w:color w:val="auto"/>
                <w:highlight w:val="none"/>
                <w:lang w:val="en-US" w:eastAsia="zh-CN"/>
              </w:rPr>
              <w:t>非甲烷总烃</w:t>
            </w:r>
          </w:p>
        </w:tc>
      </w:tr>
      <w:tr w14:paraId="680D5B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 w:hRule="atLeast"/>
          <w:jc w:val="center"/>
        </w:trPr>
        <w:tc>
          <w:tcPr>
            <w:tcW w:w="675" w:type="pct"/>
            <w:tcBorders>
              <w:tl2br w:val="nil"/>
              <w:tr2bl w:val="nil"/>
            </w:tcBorders>
            <w:noWrap w:val="0"/>
            <w:vAlign w:val="center"/>
          </w:tcPr>
          <w:p w14:paraId="66FDDFD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地表水</w:t>
            </w:r>
          </w:p>
        </w:tc>
        <w:tc>
          <w:tcPr>
            <w:tcW w:w="2548" w:type="pct"/>
            <w:tcBorders>
              <w:tl2br w:val="nil"/>
              <w:tr2bl w:val="nil"/>
            </w:tcBorders>
            <w:noWrap w:val="0"/>
            <w:vAlign w:val="center"/>
          </w:tcPr>
          <w:p w14:paraId="242D95CB">
            <w:pPr>
              <w:snapToGrid w:val="0"/>
              <w:jc w:val="center"/>
              <w:rPr>
                <w:rFonts w:ascii="Times New Roman" w:hAnsi="Times New Roman" w:eastAsia="宋体"/>
                <w:color w:val="auto"/>
                <w:kern w:val="0"/>
                <w:szCs w:val="21"/>
                <w:highlight w:val="none"/>
              </w:rPr>
            </w:pPr>
            <w:r>
              <w:rPr>
                <w:rFonts w:hint="default" w:ascii="Times New Roman" w:hAnsi="Times New Roman" w:eastAsia="宋体" w:cs="Times New Roman"/>
                <w:caps w:val="0"/>
                <w:smallCaps w:val="0"/>
                <w:color w:val="auto"/>
                <w:szCs w:val="21"/>
                <w:highlight w:val="none"/>
              </w:rPr>
              <w:t>pH、SS、COD、氨氮、</w:t>
            </w:r>
            <w:r>
              <w:rPr>
                <w:rFonts w:hint="eastAsia" w:ascii="Times New Roman" w:hAnsi="Times New Roman" w:eastAsia="宋体" w:cs="Times New Roman"/>
                <w:caps w:val="0"/>
                <w:smallCaps w:val="0"/>
                <w:color w:val="auto"/>
                <w:szCs w:val="21"/>
                <w:highlight w:val="none"/>
                <w:lang w:val="en-US" w:eastAsia="zh-CN"/>
              </w:rPr>
              <w:t>总氮、</w:t>
            </w:r>
            <w:r>
              <w:rPr>
                <w:rFonts w:hint="default" w:ascii="Times New Roman" w:hAnsi="Times New Roman" w:eastAsia="宋体" w:cs="Times New Roman"/>
                <w:caps w:val="0"/>
                <w:smallCaps w:val="0"/>
                <w:color w:val="auto"/>
                <w:szCs w:val="21"/>
                <w:highlight w:val="none"/>
              </w:rPr>
              <w:t>TP、BOD</w:t>
            </w:r>
            <w:r>
              <w:rPr>
                <w:rFonts w:hint="default" w:ascii="Times New Roman" w:hAnsi="Times New Roman" w:eastAsia="宋体" w:cs="Times New Roman"/>
                <w:caps w:val="0"/>
                <w:smallCaps w:val="0"/>
                <w:color w:val="auto"/>
                <w:szCs w:val="21"/>
                <w:highlight w:val="none"/>
                <w:vertAlign w:val="subscript"/>
              </w:rPr>
              <w:t>5</w:t>
            </w:r>
            <w:r>
              <w:rPr>
                <w:rFonts w:hint="default" w:ascii="Times New Roman" w:hAnsi="Times New Roman" w:eastAsia="宋体" w:cs="Times New Roman"/>
                <w:caps w:val="0"/>
                <w:smallCaps w:val="0"/>
                <w:color w:val="auto"/>
                <w:szCs w:val="21"/>
                <w:highlight w:val="none"/>
              </w:rPr>
              <w:t>、石油类</w:t>
            </w:r>
          </w:p>
        </w:tc>
        <w:tc>
          <w:tcPr>
            <w:tcW w:w="937" w:type="pct"/>
            <w:tcBorders>
              <w:tl2br w:val="nil"/>
              <w:tr2bl w:val="nil"/>
            </w:tcBorders>
            <w:noWrap w:val="0"/>
            <w:vAlign w:val="center"/>
          </w:tcPr>
          <w:p w14:paraId="52F71665">
            <w:pPr>
              <w:snapToGrid w:val="0"/>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lang w:val="en-US" w:eastAsia="zh-CN"/>
              </w:rPr>
              <w:t>/</w:t>
            </w:r>
          </w:p>
        </w:tc>
        <w:tc>
          <w:tcPr>
            <w:tcW w:w="838" w:type="pct"/>
            <w:tcBorders>
              <w:tl2br w:val="nil"/>
              <w:tr2bl w:val="nil"/>
            </w:tcBorders>
            <w:noWrap w:val="0"/>
            <w:vAlign w:val="center"/>
          </w:tcPr>
          <w:p w14:paraId="094EE6D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COD、氨氮</w:t>
            </w:r>
          </w:p>
        </w:tc>
      </w:tr>
      <w:tr w14:paraId="0E3E35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 w:hRule="atLeast"/>
          <w:jc w:val="center"/>
        </w:trPr>
        <w:tc>
          <w:tcPr>
            <w:tcW w:w="675" w:type="pct"/>
            <w:tcBorders>
              <w:tl2br w:val="nil"/>
              <w:tr2bl w:val="nil"/>
            </w:tcBorders>
            <w:noWrap w:val="0"/>
            <w:vAlign w:val="center"/>
          </w:tcPr>
          <w:p w14:paraId="2642B6B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地下水</w:t>
            </w:r>
          </w:p>
        </w:tc>
        <w:tc>
          <w:tcPr>
            <w:tcW w:w="2548" w:type="pct"/>
            <w:tcBorders>
              <w:tl2br w:val="nil"/>
              <w:tr2bl w:val="nil"/>
            </w:tcBorders>
            <w:noWrap w:val="0"/>
            <w:vAlign w:val="center"/>
          </w:tcPr>
          <w:p w14:paraId="1A2BE712">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aps w:val="0"/>
                <w:smallCaps w:val="0"/>
                <w:color w:val="auto"/>
                <w:szCs w:val="21"/>
                <w:highlight w:val="none"/>
              </w:rPr>
              <w:t>pH、氨氮、硝酸盐、亚硝酸盐、挥发酚类（以苯酚计）、氰化物、砷、汞、六价铬、总硬度（以CaCO</w:t>
            </w:r>
            <w:r>
              <w:rPr>
                <w:rFonts w:hint="default" w:ascii="Times New Roman" w:hAnsi="Times New Roman" w:eastAsia="宋体" w:cs="Times New Roman"/>
                <w:caps w:val="0"/>
                <w:smallCaps w:val="0"/>
                <w:color w:val="auto"/>
                <w:szCs w:val="21"/>
                <w:highlight w:val="none"/>
                <w:vertAlign w:val="subscript"/>
              </w:rPr>
              <w:t>3</w:t>
            </w:r>
            <w:r>
              <w:rPr>
                <w:rFonts w:hint="default" w:ascii="Times New Roman" w:hAnsi="Times New Roman" w:eastAsia="宋体" w:cs="Times New Roman"/>
                <w:caps w:val="0"/>
                <w:smallCaps w:val="0"/>
                <w:color w:val="auto"/>
                <w:szCs w:val="21"/>
                <w:highlight w:val="none"/>
              </w:rPr>
              <w:t>计）、铅、氟化物、镉、铁、锰、溶解性总固体、高锰酸盐指数、硫酸盐、氯化物、总大肠菌群、铜、锌、镍、钴、锂、K</w:t>
            </w:r>
            <w:r>
              <w:rPr>
                <w:rFonts w:hint="default" w:ascii="Times New Roman" w:hAnsi="Times New Roman" w:eastAsia="宋体" w:cs="Times New Roman"/>
                <w:caps w:val="0"/>
                <w:smallCaps w:val="0"/>
                <w:color w:val="auto"/>
                <w:szCs w:val="21"/>
                <w:highlight w:val="none"/>
                <w:vertAlign w:val="superscript"/>
              </w:rPr>
              <w:t>+</w:t>
            </w:r>
            <w:r>
              <w:rPr>
                <w:rFonts w:hint="default" w:ascii="Times New Roman" w:hAnsi="Times New Roman" w:eastAsia="宋体" w:cs="Times New Roman"/>
                <w:caps w:val="0"/>
                <w:smallCaps w:val="0"/>
                <w:color w:val="auto"/>
                <w:szCs w:val="21"/>
                <w:highlight w:val="none"/>
              </w:rPr>
              <w:t>、Na</w:t>
            </w:r>
            <w:r>
              <w:rPr>
                <w:rFonts w:hint="default" w:ascii="Times New Roman" w:hAnsi="Times New Roman" w:eastAsia="宋体" w:cs="Times New Roman"/>
                <w:caps w:val="0"/>
                <w:smallCaps w:val="0"/>
                <w:color w:val="auto"/>
                <w:szCs w:val="21"/>
                <w:highlight w:val="none"/>
                <w:vertAlign w:val="superscript"/>
              </w:rPr>
              <w:t>+</w:t>
            </w:r>
            <w:r>
              <w:rPr>
                <w:rFonts w:hint="default" w:ascii="Times New Roman" w:hAnsi="Times New Roman" w:eastAsia="宋体" w:cs="Times New Roman"/>
                <w:caps w:val="0"/>
                <w:smallCaps w:val="0"/>
                <w:color w:val="auto"/>
                <w:szCs w:val="21"/>
                <w:highlight w:val="none"/>
              </w:rPr>
              <w:t>、Ca</w:t>
            </w:r>
            <w:r>
              <w:rPr>
                <w:rFonts w:hint="default" w:ascii="Times New Roman" w:hAnsi="Times New Roman" w:eastAsia="宋体" w:cs="Times New Roman"/>
                <w:caps w:val="0"/>
                <w:smallCaps w:val="0"/>
                <w:color w:val="auto"/>
                <w:szCs w:val="21"/>
                <w:highlight w:val="none"/>
                <w:vertAlign w:val="superscript"/>
              </w:rPr>
              <w:t>2+</w:t>
            </w:r>
            <w:r>
              <w:rPr>
                <w:rFonts w:hint="default" w:ascii="Times New Roman" w:hAnsi="Times New Roman" w:eastAsia="宋体" w:cs="Times New Roman"/>
                <w:caps w:val="0"/>
                <w:smallCaps w:val="0"/>
                <w:color w:val="auto"/>
                <w:szCs w:val="21"/>
                <w:highlight w:val="none"/>
              </w:rPr>
              <w:t>、Mg</w:t>
            </w:r>
            <w:r>
              <w:rPr>
                <w:rFonts w:hint="default" w:ascii="Times New Roman" w:hAnsi="Times New Roman" w:eastAsia="宋体" w:cs="Times New Roman"/>
                <w:caps w:val="0"/>
                <w:smallCaps w:val="0"/>
                <w:color w:val="auto"/>
                <w:szCs w:val="21"/>
                <w:highlight w:val="none"/>
                <w:vertAlign w:val="superscript"/>
              </w:rPr>
              <w:t>2+</w:t>
            </w:r>
            <w:r>
              <w:rPr>
                <w:rFonts w:hint="default" w:ascii="Times New Roman" w:hAnsi="Times New Roman" w:eastAsia="宋体" w:cs="Times New Roman"/>
                <w:caps w:val="0"/>
                <w:smallCaps w:val="0"/>
                <w:color w:val="auto"/>
                <w:szCs w:val="21"/>
                <w:highlight w:val="none"/>
              </w:rPr>
              <w:t>、CO</w:t>
            </w:r>
            <w:r>
              <w:rPr>
                <w:rFonts w:hint="default" w:ascii="Times New Roman" w:hAnsi="Times New Roman" w:eastAsia="宋体" w:cs="Times New Roman"/>
                <w:caps w:val="0"/>
                <w:smallCaps w:val="0"/>
                <w:color w:val="auto"/>
                <w:szCs w:val="21"/>
                <w:highlight w:val="none"/>
                <w:vertAlign w:val="subscript"/>
              </w:rPr>
              <w:t>3</w:t>
            </w:r>
            <w:r>
              <w:rPr>
                <w:rFonts w:hint="default" w:ascii="Times New Roman" w:hAnsi="Times New Roman" w:eastAsia="宋体" w:cs="Times New Roman"/>
                <w:caps w:val="0"/>
                <w:smallCaps w:val="0"/>
                <w:color w:val="auto"/>
                <w:szCs w:val="21"/>
                <w:highlight w:val="none"/>
                <w:vertAlign w:val="superscript"/>
              </w:rPr>
              <w:t>2-</w:t>
            </w:r>
            <w:r>
              <w:rPr>
                <w:rFonts w:hint="default" w:ascii="Times New Roman" w:hAnsi="Times New Roman" w:eastAsia="宋体" w:cs="Times New Roman"/>
                <w:caps w:val="0"/>
                <w:smallCaps w:val="0"/>
                <w:color w:val="auto"/>
                <w:szCs w:val="21"/>
                <w:highlight w:val="none"/>
              </w:rPr>
              <w:t>、HCO</w:t>
            </w:r>
            <w:r>
              <w:rPr>
                <w:rFonts w:hint="default" w:ascii="Times New Roman" w:hAnsi="Times New Roman" w:eastAsia="宋体" w:cs="Times New Roman"/>
                <w:caps w:val="0"/>
                <w:smallCaps w:val="0"/>
                <w:color w:val="auto"/>
                <w:szCs w:val="21"/>
                <w:highlight w:val="none"/>
                <w:vertAlign w:val="subscript"/>
              </w:rPr>
              <w:t>3</w:t>
            </w:r>
            <w:r>
              <w:rPr>
                <w:rFonts w:hint="default" w:ascii="Times New Roman" w:hAnsi="Times New Roman" w:eastAsia="宋体" w:cs="Times New Roman"/>
                <w:caps w:val="0"/>
                <w:smallCaps w:val="0"/>
                <w:color w:val="auto"/>
                <w:szCs w:val="21"/>
                <w:highlight w:val="none"/>
                <w:vertAlign w:val="superscript"/>
              </w:rPr>
              <w:t>-</w:t>
            </w:r>
          </w:p>
        </w:tc>
        <w:tc>
          <w:tcPr>
            <w:tcW w:w="937" w:type="pct"/>
            <w:tcBorders>
              <w:tl2br w:val="nil"/>
              <w:tr2bl w:val="nil"/>
            </w:tcBorders>
            <w:noWrap w:val="0"/>
            <w:vAlign w:val="center"/>
          </w:tcPr>
          <w:p w14:paraId="254EE2F9">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石油类</w:t>
            </w:r>
          </w:p>
        </w:tc>
        <w:tc>
          <w:tcPr>
            <w:tcW w:w="838" w:type="pct"/>
            <w:tcBorders>
              <w:tl2br w:val="nil"/>
              <w:tr2bl w:val="nil"/>
            </w:tcBorders>
            <w:noWrap w:val="0"/>
            <w:vAlign w:val="center"/>
          </w:tcPr>
          <w:p w14:paraId="292B2FC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r>
      <w:tr w14:paraId="6B9ABA2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4" w:hRule="atLeast"/>
          <w:jc w:val="center"/>
        </w:trPr>
        <w:tc>
          <w:tcPr>
            <w:tcW w:w="675" w:type="pct"/>
            <w:tcBorders>
              <w:tl2br w:val="nil"/>
              <w:tr2bl w:val="nil"/>
            </w:tcBorders>
            <w:noWrap w:val="0"/>
            <w:vAlign w:val="center"/>
          </w:tcPr>
          <w:p w14:paraId="1BDFDD8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土壤</w:t>
            </w:r>
          </w:p>
        </w:tc>
        <w:tc>
          <w:tcPr>
            <w:tcW w:w="2548" w:type="pct"/>
            <w:tcBorders>
              <w:tl2br w:val="nil"/>
              <w:tr2bl w:val="nil"/>
            </w:tcBorders>
            <w:noWrap w:val="0"/>
            <w:vAlign w:val="center"/>
          </w:tcPr>
          <w:p w14:paraId="2E2AE7CB">
            <w:pPr>
              <w:snapToGrid w:val="0"/>
              <w:jc w:val="center"/>
              <w:rPr>
                <w:rFonts w:hint="default" w:ascii="Times New Roman" w:hAnsi="Times New Roman" w:eastAsia="宋体"/>
                <w:color w:val="auto"/>
                <w:szCs w:val="21"/>
                <w:highlight w:val="none"/>
                <w:lang w:val="en-US" w:eastAsia="zh-CN"/>
              </w:rPr>
            </w:pPr>
            <w:r>
              <w:rPr>
                <w:rFonts w:ascii="Times New Roman" w:hAnsi="Times New Roman" w:eastAsia="宋体"/>
                <w:color w:val="auto"/>
                <w:szCs w:val="21"/>
                <w:highlight w:val="none"/>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a</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蒽、苯并</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a</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芘、苯并</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b</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荧蒽、苯并</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szCs w:val="21"/>
                <w:highlight w:val="none"/>
                <w:lang w:val="en-US" w:eastAsia="zh-CN"/>
              </w:rPr>
              <w:t>k</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荧蒽、崫、二苯并</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a，h</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蒽、茚并</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1，2，3-cd</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芘、萘</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szCs w:val="21"/>
                <w:highlight w:val="none"/>
                <w:lang w:val="en-US" w:eastAsia="zh-CN"/>
              </w:rPr>
              <w:t>石油烃（C</w:t>
            </w:r>
            <w:r>
              <w:rPr>
                <w:rFonts w:hint="eastAsia" w:ascii="Times New Roman" w:hAnsi="Times New Roman" w:eastAsia="宋体"/>
                <w:color w:val="auto"/>
                <w:szCs w:val="21"/>
                <w:highlight w:val="none"/>
                <w:vertAlign w:val="subscript"/>
                <w:lang w:val="en-US" w:eastAsia="zh-CN"/>
              </w:rPr>
              <w:t>10</w:t>
            </w:r>
            <w:r>
              <w:rPr>
                <w:rFonts w:hint="eastAsia" w:ascii="Times New Roman" w:hAnsi="Times New Roman" w:eastAsia="宋体"/>
                <w:color w:val="auto"/>
                <w:szCs w:val="21"/>
                <w:highlight w:val="none"/>
                <w:lang w:val="en-US" w:eastAsia="zh-CN"/>
              </w:rPr>
              <w:t>~C</w:t>
            </w:r>
            <w:r>
              <w:rPr>
                <w:rFonts w:hint="eastAsia" w:ascii="Times New Roman" w:hAnsi="Times New Roman" w:eastAsia="宋体"/>
                <w:color w:val="auto"/>
                <w:szCs w:val="21"/>
                <w:highlight w:val="none"/>
                <w:vertAlign w:val="subscript"/>
                <w:lang w:val="en-US" w:eastAsia="zh-CN"/>
              </w:rPr>
              <w:t>40</w:t>
            </w:r>
            <w:r>
              <w:rPr>
                <w:rFonts w:hint="eastAsia" w:ascii="Times New Roman" w:hAnsi="Times New Roman" w:eastAsia="宋体"/>
                <w:color w:val="auto"/>
                <w:szCs w:val="21"/>
                <w:highlight w:val="none"/>
                <w:lang w:val="en-US" w:eastAsia="zh-CN"/>
              </w:rPr>
              <w:t>）</w:t>
            </w:r>
          </w:p>
        </w:tc>
        <w:tc>
          <w:tcPr>
            <w:tcW w:w="937" w:type="pct"/>
            <w:tcBorders>
              <w:tl2br w:val="nil"/>
              <w:tr2bl w:val="nil"/>
            </w:tcBorders>
            <w:noWrap w:val="0"/>
            <w:vAlign w:val="center"/>
          </w:tcPr>
          <w:p w14:paraId="41C1FB3E">
            <w:pPr>
              <w:snapToGrid w:val="0"/>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pacing w:val="-2"/>
                <w:szCs w:val="21"/>
                <w:highlight w:val="none"/>
                <w:lang w:val="en-US" w:eastAsia="zh-CN"/>
              </w:rPr>
              <w:t>石油烃</w:t>
            </w:r>
          </w:p>
        </w:tc>
        <w:tc>
          <w:tcPr>
            <w:tcW w:w="838" w:type="pct"/>
            <w:tcBorders>
              <w:tl2br w:val="nil"/>
              <w:tr2bl w:val="nil"/>
            </w:tcBorders>
            <w:noWrap w:val="0"/>
            <w:vAlign w:val="center"/>
          </w:tcPr>
          <w:p w14:paraId="4B1CDDC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r>
      <w:tr w14:paraId="12E903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675" w:type="pct"/>
            <w:tcBorders>
              <w:tl2br w:val="nil"/>
              <w:tr2bl w:val="nil"/>
            </w:tcBorders>
            <w:noWrap w:val="0"/>
            <w:vAlign w:val="center"/>
          </w:tcPr>
          <w:p w14:paraId="0A7D146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噪声</w:t>
            </w:r>
          </w:p>
        </w:tc>
        <w:tc>
          <w:tcPr>
            <w:tcW w:w="2548" w:type="pct"/>
            <w:tcBorders>
              <w:tl2br w:val="nil"/>
              <w:tr2bl w:val="nil"/>
            </w:tcBorders>
            <w:noWrap w:val="0"/>
            <w:vAlign w:val="center"/>
          </w:tcPr>
          <w:p w14:paraId="3B5D674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等效连续A声级</w:t>
            </w:r>
          </w:p>
        </w:tc>
        <w:tc>
          <w:tcPr>
            <w:tcW w:w="937" w:type="pct"/>
            <w:tcBorders>
              <w:tl2br w:val="nil"/>
              <w:tr2bl w:val="nil"/>
            </w:tcBorders>
            <w:noWrap w:val="0"/>
            <w:vAlign w:val="center"/>
          </w:tcPr>
          <w:p w14:paraId="1124F2B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等效连续A声级</w:t>
            </w:r>
          </w:p>
        </w:tc>
        <w:tc>
          <w:tcPr>
            <w:tcW w:w="838" w:type="pct"/>
            <w:tcBorders>
              <w:tl2br w:val="nil"/>
              <w:tr2bl w:val="nil"/>
            </w:tcBorders>
            <w:noWrap w:val="0"/>
            <w:vAlign w:val="center"/>
          </w:tcPr>
          <w:p w14:paraId="27CEDEE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r>
      <w:tr w14:paraId="11C22F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675" w:type="pct"/>
            <w:tcBorders>
              <w:tl2br w:val="nil"/>
              <w:tr2bl w:val="nil"/>
            </w:tcBorders>
            <w:noWrap w:val="0"/>
            <w:vAlign w:val="center"/>
          </w:tcPr>
          <w:p w14:paraId="699AA266">
            <w:pPr>
              <w:snapToGrid w:val="0"/>
              <w:jc w:val="center"/>
              <w:rPr>
                <w:rFonts w:hint="eastAsia" w:ascii="Times New Roman" w:hAnsi="Times New Roman" w:eastAsia="宋体"/>
                <w:color w:val="auto"/>
                <w:szCs w:val="21"/>
                <w:highlight w:val="none"/>
                <w:lang w:val="en-US" w:eastAsia="zh-CN"/>
              </w:rPr>
            </w:pPr>
            <w:bookmarkStart w:id="60" w:name="_Toc152921969"/>
            <w:bookmarkStart w:id="61" w:name="_Toc152922563"/>
            <w:r>
              <w:rPr>
                <w:rFonts w:hint="eastAsia" w:ascii="Times New Roman" w:hAnsi="Times New Roman" w:eastAsia="宋体"/>
                <w:color w:val="auto"/>
                <w:szCs w:val="21"/>
                <w:highlight w:val="none"/>
                <w:lang w:val="en-US" w:eastAsia="zh-CN"/>
              </w:rPr>
              <w:t>固废</w:t>
            </w:r>
          </w:p>
        </w:tc>
        <w:tc>
          <w:tcPr>
            <w:tcW w:w="2548" w:type="pct"/>
            <w:tcBorders>
              <w:tl2br w:val="nil"/>
              <w:tr2bl w:val="nil"/>
            </w:tcBorders>
            <w:noWrap w:val="0"/>
            <w:vAlign w:val="center"/>
          </w:tcPr>
          <w:p w14:paraId="6EA995AD">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937" w:type="pct"/>
            <w:tcBorders>
              <w:tl2br w:val="nil"/>
              <w:tr2bl w:val="nil"/>
            </w:tcBorders>
            <w:noWrap w:val="0"/>
            <w:vAlign w:val="center"/>
          </w:tcPr>
          <w:p w14:paraId="4DA7035F">
            <w:pPr>
              <w:snapToGrid w:val="0"/>
              <w:jc w:val="center"/>
              <w:rPr>
                <w:rFonts w:ascii="Times New Roman" w:hAnsi="Times New Roman" w:eastAsia="宋体"/>
                <w:color w:val="auto"/>
                <w:szCs w:val="21"/>
                <w:highlight w:val="none"/>
              </w:rPr>
            </w:pPr>
            <w:r>
              <w:rPr>
                <w:rFonts w:hint="eastAsia"/>
                <w:color w:val="auto"/>
                <w:highlight w:val="none"/>
                <w:lang w:val="en-US" w:eastAsia="zh-CN"/>
              </w:rPr>
              <w:t>危险废物、一般固废</w:t>
            </w:r>
          </w:p>
        </w:tc>
        <w:tc>
          <w:tcPr>
            <w:tcW w:w="838" w:type="pct"/>
            <w:tcBorders>
              <w:tl2br w:val="nil"/>
              <w:tr2bl w:val="nil"/>
            </w:tcBorders>
            <w:noWrap w:val="0"/>
            <w:vAlign w:val="center"/>
          </w:tcPr>
          <w:p w14:paraId="337685A8">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r>
      <w:tr w14:paraId="3DE271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675" w:type="pct"/>
            <w:tcBorders>
              <w:tl2br w:val="nil"/>
              <w:tr2bl w:val="nil"/>
            </w:tcBorders>
            <w:noWrap w:val="0"/>
            <w:vAlign w:val="center"/>
          </w:tcPr>
          <w:p w14:paraId="0380A198">
            <w:pPr>
              <w:snapToGrid w:val="0"/>
              <w:jc w:val="both"/>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环境风险</w:t>
            </w:r>
          </w:p>
        </w:tc>
        <w:tc>
          <w:tcPr>
            <w:tcW w:w="2548" w:type="pct"/>
            <w:tcBorders>
              <w:tl2br w:val="nil"/>
              <w:tr2bl w:val="nil"/>
            </w:tcBorders>
            <w:noWrap w:val="0"/>
            <w:vAlign w:val="center"/>
          </w:tcPr>
          <w:p w14:paraId="6FB057F7">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937" w:type="pct"/>
            <w:tcBorders>
              <w:tl2br w:val="nil"/>
              <w:tr2bl w:val="nil"/>
            </w:tcBorders>
            <w:noWrap w:val="0"/>
            <w:vAlign w:val="center"/>
          </w:tcPr>
          <w:p w14:paraId="07482AC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简要分析</w:t>
            </w:r>
          </w:p>
        </w:tc>
        <w:tc>
          <w:tcPr>
            <w:tcW w:w="838" w:type="pct"/>
            <w:tcBorders>
              <w:tl2br w:val="nil"/>
              <w:tr2bl w:val="nil"/>
            </w:tcBorders>
            <w:noWrap w:val="0"/>
            <w:vAlign w:val="center"/>
          </w:tcPr>
          <w:p w14:paraId="4DE5DFE5">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r>
    </w:tbl>
    <w:p w14:paraId="24748E07">
      <w:pPr>
        <w:pStyle w:val="218"/>
        <w:spacing w:before="62" w:after="156"/>
        <w:rPr>
          <w:color w:val="auto"/>
          <w:highlight w:val="none"/>
        </w:rPr>
      </w:pPr>
      <w:bookmarkStart w:id="62" w:name="_Toc30966"/>
      <w:r>
        <w:rPr>
          <w:color w:val="auto"/>
          <w:highlight w:val="none"/>
        </w:rPr>
        <w:t>2.3环境功能区划与评价标准</w:t>
      </w:r>
      <w:bookmarkEnd w:id="60"/>
      <w:bookmarkEnd w:id="61"/>
      <w:bookmarkEnd w:id="62"/>
    </w:p>
    <w:p w14:paraId="08BDCFDF">
      <w:pPr>
        <w:pStyle w:val="4"/>
        <w:spacing w:after="156"/>
        <w:rPr>
          <w:color w:val="auto"/>
          <w:highlight w:val="none"/>
        </w:rPr>
      </w:pPr>
      <w:bookmarkStart w:id="63" w:name="_Toc152922564"/>
      <w:bookmarkStart w:id="64" w:name="_Toc152921970"/>
      <w:bookmarkStart w:id="65" w:name="_Toc152923245"/>
      <w:bookmarkStart w:id="66" w:name="_Toc117150200"/>
      <w:bookmarkStart w:id="67" w:name="_Toc152921605"/>
      <w:r>
        <w:rPr>
          <w:color w:val="auto"/>
          <w:highlight w:val="none"/>
        </w:rPr>
        <w:t>2.3.1环境功能区划</w:t>
      </w:r>
      <w:bookmarkEnd w:id="63"/>
      <w:bookmarkEnd w:id="64"/>
      <w:bookmarkEnd w:id="65"/>
      <w:bookmarkEnd w:id="66"/>
      <w:bookmarkEnd w:id="67"/>
    </w:p>
    <w:p w14:paraId="38DDC483">
      <w:pPr>
        <w:numPr>
          <w:ilvl w:val="0"/>
          <w:numId w:val="0"/>
        </w:numPr>
        <w:wordWrap w:val="0"/>
        <w:snapToGrid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kern w:val="2"/>
          <w:sz w:val="24"/>
          <w:szCs w:val="22"/>
          <w:highlight w:val="none"/>
          <w:lang w:val="en-US" w:eastAsia="zh-CN" w:bidi="ar-SA"/>
        </w:rPr>
        <w:t>1、</w:t>
      </w:r>
      <w:r>
        <w:rPr>
          <w:rFonts w:ascii="Times New Roman" w:hAnsi="Times New Roman" w:eastAsia="宋体" w:cs="Times New Roman"/>
          <w:color w:val="auto"/>
          <w:sz w:val="24"/>
          <w:szCs w:val="24"/>
          <w:highlight w:val="none"/>
        </w:rPr>
        <w:t>环境空气功能区划：</w:t>
      </w:r>
      <w:r>
        <w:rPr>
          <w:rFonts w:hint="default" w:ascii="Times New Roman" w:hAnsi="Times New Roman" w:eastAsia="宋体" w:cs="Times New Roman"/>
          <w:snapToGrid w:val="0"/>
          <w:color w:val="auto"/>
          <w:kern w:val="0"/>
          <w:sz w:val="24"/>
          <w:szCs w:val="24"/>
          <w:highlight w:val="none"/>
          <w:lang w:val="en-US" w:eastAsia="zh-CN"/>
        </w:rPr>
        <w:t>建设项目位于</w:t>
      </w:r>
      <w:r>
        <w:rPr>
          <w:rFonts w:hint="eastAsia" w:ascii="Times New Roman" w:hAnsi="Times New Roman" w:eastAsia="宋体" w:cs="Times New Roman"/>
          <w:color w:val="auto"/>
          <w:sz w:val="24"/>
          <w:szCs w:val="24"/>
          <w:highlight w:val="none"/>
          <w:lang w:val="en-US" w:eastAsia="zh-CN"/>
        </w:rPr>
        <w:t>淮南市田家庵区经济开发区</w:t>
      </w:r>
      <w:r>
        <w:rPr>
          <w:rFonts w:hint="eastAsia" w:ascii="Times New Roman" w:hAnsi="Times New Roman" w:eastAsia="宋体" w:cs="Times New Roman"/>
          <w:snapToGrid w:val="0"/>
          <w:color w:val="auto"/>
          <w:kern w:val="0"/>
          <w:sz w:val="24"/>
          <w:szCs w:val="24"/>
          <w:highlight w:val="none"/>
          <w:lang w:val="en-US" w:eastAsia="zh-CN"/>
        </w:rPr>
        <w:t>，</w:t>
      </w:r>
      <w:r>
        <w:rPr>
          <w:rFonts w:hint="default" w:ascii="Times New Roman" w:hAnsi="Times New Roman" w:eastAsia="宋体" w:cs="Times New Roman"/>
          <w:snapToGrid w:val="0"/>
          <w:color w:val="auto"/>
          <w:kern w:val="0"/>
          <w:sz w:val="24"/>
          <w:szCs w:val="24"/>
          <w:highlight w:val="none"/>
          <w:lang w:val="en-US" w:eastAsia="zh-CN"/>
        </w:rPr>
        <w:t>项目所在区域的环境空气质量为二类区</w:t>
      </w:r>
      <w:r>
        <w:rPr>
          <w:rFonts w:ascii="Times New Roman" w:hAnsi="Times New Roman" w:eastAsia="宋体" w:cs="Times New Roman"/>
          <w:color w:val="auto"/>
          <w:sz w:val="24"/>
          <w:szCs w:val="24"/>
          <w:highlight w:val="none"/>
        </w:rPr>
        <w:t>。</w:t>
      </w:r>
    </w:p>
    <w:p w14:paraId="088A45A1">
      <w:pPr>
        <w:numPr>
          <w:ilvl w:val="0"/>
          <w:numId w:val="0"/>
        </w:numPr>
        <w:wordWrap w:val="0"/>
        <w:snapToGrid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2"/>
          <w:sz w:val="24"/>
          <w:szCs w:val="22"/>
          <w:highlight w:val="none"/>
          <w:lang w:val="en-US" w:eastAsia="zh-CN" w:bidi="ar-SA"/>
        </w:rPr>
        <w:t>2、</w:t>
      </w:r>
      <w:r>
        <w:rPr>
          <w:rFonts w:hint="default" w:ascii="Times New Roman" w:hAnsi="Times New Roman" w:eastAsia="宋体" w:cs="Times New Roman"/>
          <w:color w:val="auto"/>
          <w:sz w:val="24"/>
          <w:szCs w:val="24"/>
          <w:highlight w:val="none"/>
        </w:rPr>
        <w:t>地表水环境功能区划：项目受纳水体为</w:t>
      </w:r>
      <w:r>
        <w:rPr>
          <w:rFonts w:hint="eastAsia" w:ascii="Times New Roman" w:hAnsi="Times New Roman" w:eastAsia="宋体" w:cs="Times New Roman"/>
          <w:color w:val="auto"/>
          <w:sz w:val="24"/>
          <w:szCs w:val="24"/>
          <w:highlight w:val="none"/>
          <w:lang w:val="en-US" w:eastAsia="zh-CN"/>
        </w:rPr>
        <w:t>林桥涧沟、瓦埠湖</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林桥涧沟及瓦埠湖</w:t>
      </w:r>
      <w:r>
        <w:rPr>
          <w:rFonts w:hint="default" w:ascii="Times New Roman" w:hAnsi="Times New Roman" w:eastAsia="宋体" w:cs="Times New Roman"/>
          <w:color w:val="auto"/>
          <w:sz w:val="24"/>
          <w:szCs w:val="24"/>
          <w:highlight w:val="none"/>
        </w:rPr>
        <w:t>的地表水环境质量</w:t>
      </w:r>
      <w:r>
        <w:rPr>
          <w:rFonts w:hint="default" w:ascii="Times New Roman" w:hAnsi="Times New Roman" w:eastAsia="宋体" w:cs="Times New Roman"/>
          <w:color w:val="auto"/>
          <w:sz w:val="24"/>
          <w:szCs w:val="24"/>
          <w:highlight w:val="none"/>
          <w:lang w:val="en-US" w:eastAsia="zh-CN"/>
        </w:rPr>
        <w:t>执行Ⅲ</w:t>
      </w:r>
      <w:r>
        <w:rPr>
          <w:rFonts w:hint="default" w:ascii="Times New Roman" w:hAnsi="Times New Roman" w:eastAsia="宋体" w:cs="Times New Roman"/>
          <w:color w:val="auto"/>
          <w:sz w:val="24"/>
          <w:szCs w:val="24"/>
          <w:highlight w:val="none"/>
        </w:rPr>
        <w:t>类功能区要求。</w:t>
      </w:r>
    </w:p>
    <w:p w14:paraId="5B504C8C">
      <w:pPr>
        <w:wordWrap w:val="0"/>
        <w:snapToGrid w:val="0"/>
        <w:spacing w:line="360" w:lineRule="auto"/>
        <w:ind w:firstLine="480" w:firstLineChars="200"/>
        <w:jc w:val="left"/>
        <w:rPr>
          <w:rFonts w:ascii="Times New Roman" w:hAnsi="Times New Roman" w:eastAsia="宋体"/>
          <w:color w:val="auto"/>
          <w:szCs w:val="24"/>
          <w:highlight w:val="none"/>
        </w:rPr>
      </w:pPr>
      <w:r>
        <w:rPr>
          <w:rFonts w:ascii="Times New Roman" w:hAnsi="Times New Roman" w:eastAsia="宋体" w:cs="Times New Roman"/>
          <w:color w:val="auto"/>
          <w:sz w:val="24"/>
          <w:szCs w:val="24"/>
          <w:highlight w:val="none"/>
        </w:rPr>
        <w:t>3、声环境功能区划：项目所在区域</w:t>
      </w:r>
      <w:r>
        <w:rPr>
          <w:rFonts w:hint="eastAsia" w:ascii="Times New Roman" w:hAnsi="Times New Roman" w:eastAsia="宋体" w:cs="Times New Roman"/>
          <w:color w:val="auto"/>
          <w:sz w:val="24"/>
          <w:szCs w:val="24"/>
          <w:highlight w:val="none"/>
          <w:lang w:val="en-US" w:eastAsia="zh-CN"/>
        </w:rPr>
        <w:t>执行</w:t>
      </w:r>
      <w:r>
        <w:rPr>
          <w:rFonts w:hint="eastAsia" w:ascii="Times New Roman" w:hAnsi="Times New Roman" w:eastAsia="宋体" w:cs="Times New Roman"/>
          <w:color w:val="auto"/>
          <w:sz w:val="24"/>
          <w:szCs w:val="24"/>
          <w:highlight w:val="none"/>
        </w:rPr>
        <w:t>《声环境质量标准》</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GB3096-2008</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3</w:t>
      </w:r>
      <w:r>
        <w:rPr>
          <w:rFonts w:ascii="Times New Roman" w:hAnsi="Times New Roman" w:eastAsia="宋体" w:cs="Times New Roman"/>
          <w:color w:val="auto"/>
          <w:sz w:val="24"/>
          <w:szCs w:val="24"/>
          <w:highlight w:val="none"/>
        </w:rPr>
        <w:t>类</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4a类</w:t>
      </w:r>
      <w:r>
        <w:rPr>
          <w:rFonts w:ascii="Times New Roman" w:hAnsi="Times New Roman" w:eastAsia="宋体" w:cs="Times New Roman"/>
          <w:color w:val="auto"/>
          <w:sz w:val="24"/>
          <w:szCs w:val="24"/>
          <w:highlight w:val="none"/>
        </w:rPr>
        <w:t>标准要求。</w:t>
      </w:r>
    </w:p>
    <w:p w14:paraId="3958DB0C">
      <w:pPr>
        <w:pStyle w:val="4"/>
        <w:spacing w:after="156"/>
        <w:rPr>
          <w:color w:val="auto"/>
          <w:highlight w:val="none"/>
        </w:rPr>
      </w:pPr>
      <w:bookmarkStart w:id="68" w:name="_Toc117150201"/>
      <w:r>
        <w:rPr>
          <w:color w:val="auto"/>
          <w:highlight w:val="none"/>
        </w:rPr>
        <w:br w:type="page"/>
      </w:r>
      <w:bookmarkStart w:id="69" w:name="_Toc152923246"/>
      <w:bookmarkStart w:id="70" w:name="_Toc152921606"/>
      <w:bookmarkStart w:id="71" w:name="_Toc152922565"/>
      <w:bookmarkStart w:id="72" w:name="_Toc152921971"/>
      <w:r>
        <w:rPr>
          <w:color w:val="auto"/>
          <w:highlight w:val="none"/>
        </w:rPr>
        <w:t>2.3.2环境评价标准</w:t>
      </w:r>
      <w:bookmarkEnd w:id="68"/>
      <w:bookmarkEnd w:id="69"/>
      <w:bookmarkEnd w:id="70"/>
      <w:bookmarkEnd w:id="71"/>
      <w:bookmarkEnd w:id="72"/>
    </w:p>
    <w:p w14:paraId="7F7ECD88">
      <w:pPr>
        <w:pStyle w:val="5"/>
        <w:rPr>
          <w:color w:val="auto"/>
          <w:szCs w:val="24"/>
          <w:highlight w:val="none"/>
        </w:rPr>
      </w:pPr>
      <w:r>
        <w:rPr>
          <w:color w:val="auto"/>
          <w:highlight w:val="none"/>
        </w:rPr>
        <w:t>2.3.2.1环境质量标准</w:t>
      </w:r>
    </w:p>
    <w:p w14:paraId="451462BC">
      <w:pPr>
        <w:pStyle w:val="107"/>
        <w:rPr>
          <w:color w:val="auto"/>
          <w:highlight w:val="none"/>
        </w:rPr>
      </w:pPr>
      <w:r>
        <w:rPr>
          <w:color w:val="auto"/>
          <w:highlight w:val="none"/>
        </w:rPr>
        <w:t>1、大气环境质量标准</w:t>
      </w:r>
    </w:p>
    <w:p w14:paraId="0529CCF6">
      <w:pPr>
        <w:snapToGrid w:val="0"/>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建设项目所在地环境空气功能区划类别为二类区，评价区域SO</w:t>
      </w:r>
      <w:r>
        <w:rPr>
          <w:rFonts w:ascii="Times New Roman" w:hAnsi="Times New Roman" w:eastAsia="宋体"/>
          <w:color w:val="auto"/>
          <w:sz w:val="24"/>
          <w:highlight w:val="none"/>
          <w:vertAlign w:val="subscript"/>
        </w:rPr>
        <w:t>2</w:t>
      </w:r>
      <w:r>
        <w:rPr>
          <w:rFonts w:ascii="Times New Roman" w:hAnsi="Times New Roman" w:eastAsia="宋体"/>
          <w:color w:val="auto"/>
          <w:sz w:val="24"/>
          <w:highlight w:val="none"/>
        </w:rPr>
        <w:t>、NO</w:t>
      </w:r>
      <w:r>
        <w:rPr>
          <w:rFonts w:ascii="Times New Roman" w:hAnsi="Times New Roman" w:eastAsia="宋体"/>
          <w:color w:val="auto"/>
          <w:sz w:val="24"/>
          <w:highlight w:val="none"/>
          <w:vertAlign w:val="subscript"/>
        </w:rPr>
        <w:t>2</w:t>
      </w:r>
      <w:r>
        <w:rPr>
          <w:rFonts w:ascii="Times New Roman" w:hAnsi="Times New Roman" w:eastAsia="宋体"/>
          <w:color w:val="auto"/>
          <w:sz w:val="24"/>
          <w:highlight w:val="none"/>
        </w:rPr>
        <w:t>、PM</w:t>
      </w:r>
      <w:r>
        <w:rPr>
          <w:rFonts w:ascii="Times New Roman" w:hAnsi="Times New Roman" w:eastAsia="宋体"/>
          <w:color w:val="auto"/>
          <w:sz w:val="24"/>
          <w:highlight w:val="none"/>
          <w:vertAlign w:val="subscript"/>
        </w:rPr>
        <w:t>10</w:t>
      </w:r>
      <w:r>
        <w:rPr>
          <w:rFonts w:ascii="Times New Roman" w:hAnsi="Times New Roman" w:eastAsia="宋体"/>
          <w:color w:val="auto"/>
          <w:sz w:val="24"/>
          <w:highlight w:val="none"/>
        </w:rPr>
        <w:t>、PM</w:t>
      </w:r>
      <w:r>
        <w:rPr>
          <w:rFonts w:ascii="Times New Roman" w:hAnsi="Times New Roman" w:eastAsia="宋体"/>
          <w:color w:val="auto"/>
          <w:sz w:val="24"/>
          <w:highlight w:val="none"/>
          <w:vertAlign w:val="subscript"/>
        </w:rPr>
        <w:t>2.5</w:t>
      </w:r>
      <w:r>
        <w:rPr>
          <w:rFonts w:ascii="Times New Roman" w:hAnsi="Times New Roman" w:eastAsia="宋体"/>
          <w:color w:val="auto"/>
          <w:sz w:val="24"/>
          <w:highlight w:val="none"/>
        </w:rPr>
        <w:t>、CO、O</w:t>
      </w:r>
      <w:r>
        <w:rPr>
          <w:rFonts w:ascii="Times New Roman" w:hAnsi="Times New Roman" w:eastAsia="宋体"/>
          <w:color w:val="auto"/>
          <w:sz w:val="24"/>
          <w:highlight w:val="none"/>
          <w:vertAlign w:val="subscript"/>
        </w:rPr>
        <w:t>3</w:t>
      </w:r>
      <w:r>
        <w:rPr>
          <w:rFonts w:ascii="Times New Roman" w:hAnsi="Times New Roman" w:eastAsia="宋体"/>
          <w:color w:val="auto"/>
          <w:sz w:val="24"/>
          <w:highlight w:val="none"/>
        </w:rPr>
        <w:t>、NO</w:t>
      </w:r>
      <w:r>
        <w:rPr>
          <w:rFonts w:ascii="Times New Roman" w:hAnsi="Times New Roman" w:eastAsia="宋体"/>
          <w:color w:val="auto"/>
          <w:sz w:val="24"/>
          <w:highlight w:val="none"/>
          <w:vertAlign w:val="subscript"/>
        </w:rPr>
        <w:t>X</w:t>
      </w:r>
      <w:r>
        <w:rPr>
          <w:rFonts w:hint="eastAsia" w:ascii="Times New Roman" w:hAnsi="Times New Roman" w:eastAsia="宋体"/>
          <w:color w:val="auto"/>
          <w:sz w:val="24"/>
          <w:highlight w:val="none"/>
          <w:vertAlign w:val="baseline"/>
          <w:lang w:eastAsia="zh-CN"/>
        </w:rPr>
        <w:t>、TSP</w:t>
      </w:r>
      <w:r>
        <w:rPr>
          <w:rFonts w:ascii="Times New Roman" w:hAnsi="Times New Roman" w:eastAsia="宋体"/>
          <w:color w:val="auto"/>
          <w:sz w:val="24"/>
          <w:highlight w:val="none"/>
        </w:rPr>
        <w:t>执行《环境空气质量标准》（GB3095-2012）中二级标准；</w:t>
      </w:r>
      <w:r>
        <w:rPr>
          <w:rFonts w:hint="eastAsia" w:ascii="Times New Roman" w:hAnsi="Times New Roman" w:eastAsia="宋体"/>
          <w:color w:val="auto"/>
          <w:sz w:val="24"/>
          <w:highlight w:val="none"/>
          <w:lang w:val="en-US" w:eastAsia="zh-CN"/>
        </w:rPr>
        <w:t>H</w:t>
      </w:r>
      <w:r>
        <w:rPr>
          <w:rFonts w:hint="eastAsia" w:ascii="Times New Roman" w:hAnsi="Times New Roman" w:eastAsia="宋体"/>
          <w:color w:val="auto"/>
          <w:sz w:val="24"/>
          <w:highlight w:val="none"/>
          <w:vertAlign w:val="subscript"/>
          <w:lang w:val="en-US" w:eastAsia="zh-CN"/>
        </w:rPr>
        <w:t>2</w:t>
      </w:r>
      <w:r>
        <w:rPr>
          <w:rFonts w:hint="eastAsia" w:ascii="Times New Roman" w:hAnsi="Times New Roman" w:eastAsia="宋体"/>
          <w:color w:val="auto"/>
          <w:sz w:val="24"/>
          <w:highlight w:val="none"/>
          <w:lang w:val="en-US" w:eastAsia="zh-CN"/>
        </w:rPr>
        <w:t>S</w:t>
      </w:r>
      <w:r>
        <w:rPr>
          <w:rFonts w:hint="default" w:ascii="Times New Roman" w:hAnsi="Times New Roman" w:cs="Times New Roman"/>
          <w:color w:val="auto"/>
          <w:sz w:val="24"/>
          <w:szCs w:val="24"/>
          <w:highlight w:val="none"/>
        </w:rPr>
        <w:t>执行《环境影响评价技术导则大气环境》（HJ2.2-2018）中附录D中</w:t>
      </w:r>
      <w:r>
        <w:rPr>
          <w:rFonts w:hint="eastAsia" w:ascii="Times New Roman" w:hAnsi="Times New Roman" w:cs="Times New Roman"/>
          <w:color w:val="auto"/>
          <w:sz w:val="24"/>
          <w:szCs w:val="24"/>
          <w:highlight w:val="none"/>
          <w:lang w:val="en-US" w:eastAsia="zh-CN"/>
        </w:rPr>
        <w:t>1小时平均浓度限值；</w:t>
      </w:r>
      <w:r>
        <w:rPr>
          <w:rFonts w:hint="default" w:ascii="Times New Roman" w:hAnsi="Times New Roman" w:cs="Times New Roman"/>
          <w:color w:val="auto"/>
          <w:sz w:val="24"/>
          <w:szCs w:val="24"/>
          <w:highlight w:val="none"/>
        </w:rPr>
        <w:t>非甲烷总烃参照执行《大气污染物综合排放标准详解》中推荐的环境质量标准限值</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甲烷</w:t>
      </w:r>
      <w:r>
        <w:rPr>
          <w:rFonts w:hint="default" w:ascii="Times New Roman" w:hAnsi="Times New Roman" w:cs="Times New Roman"/>
          <w:color w:val="auto"/>
          <w:sz w:val="24"/>
          <w:szCs w:val="24"/>
          <w:highlight w:val="none"/>
        </w:rPr>
        <w:t>参照执行《大气环境标准工作手册》的公式计算得到的环境质量标准一次标准限值。</w:t>
      </w:r>
      <w:r>
        <w:rPr>
          <w:rFonts w:ascii="Times New Roman" w:hAnsi="Times New Roman" w:eastAsia="宋体"/>
          <w:color w:val="auto"/>
          <w:sz w:val="24"/>
          <w:highlight w:val="none"/>
        </w:rPr>
        <w:t>详见表2.3.2-1。</w:t>
      </w:r>
    </w:p>
    <w:p w14:paraId="10BE8D89">
      <w:pPr>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表2.3.2-1</w:t>
      </w:r>
      <w:r>
        <w:rPr>
          <w:rFonts w:hint="eastAsia"/>
          <w:b/>
          <w:color w:val="auto"/>
          <w:sz w:val="24"/>
          <w:highlight w:val="none"/>
          <w:lang w:val="en-US" w:eastAsia="zh-CN"/>
        </w:rPr>
        <w:t xml:space="preserve">  </w:t>
      </w:r>
      <w:r>
        <w:rPr>
          <w:rFonts w:ascii="Times New Roman" w:hAnsi="Times New Roman" w:eastAsia="宋体"/>
          <w:b/>
          <w:color w:val="auto"/>
          <w:sz w:val="24"/>
          <w:highlight w:val="none"/>
        </w:rPr>
        <w:t>环境空气质量标准</w:t>
      </w:r>
    </w:p>
    <w:tbl>
      <w:tblPr>
        <w:tblStyle w:val="49"/>
        <w:tblW w:w="5052"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68"/>
        <w:gridCol w:w="2366"/>
        <w:gridCol w:w="1982"/>
        <w:gridCol w:w="2695"/>
      </w:tblGrid>
      <w:tr w14:paraId="62C715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2" w:hRule="atLeast"/>
        </w:trPr>
        <w:tc>
          <w:tcPr>
            <w:tcW w:w="910" w:type="pct"/>
            <w:tcBorders>
              <w:tl2br w:val="nil"/>
              <w:tr2bl w:val="nil"/>
            </w:tcBorders>
            <w:noWrap w:val="0"/>
            <w:vAlign w:val="center"/>
          </w:tcPr>
          <w:p w14:paraId="30BB59F9">
            <w:pPr>
              <w:jc w:val="center"/>
              <w:rPr>
                <w:rFonts w:ascii="Times New Roman" w:hAnsi="Times New Roman" w:eastAsia="宋体"/>
                <w:bCs/>
                <w:color w:val="auto"/>
                <w:szCs w:val="21"/>
                <w:highlight w:val="none"/>
              </w:rPr>
            </w:pPr>
            <w:r>
              <w:rPr>
                <w:rFonts w:ascii="Times New Roman" w:hAnsi="Times New Roman" w:eastAsia="宋体"/>
                <w:b/>
                <w:color w:val="auto"/>
                <w:kern w:val="1"/>
                <w:szCs w:val="21"/>
                <w:highlight w:val="none"/>
              </w:rPr>
              <w:t>评价因子</w:t>
            </w:r>
          </w:p>
        </w:tc>
        <w:tc>
          <w:tcPr>
            <w:tcW w:w="1373" w:type="pct"/>
            <w:tcBorders>
              <w:tl2br w:val="nil"/>
              <w:tr2bl w:val="nil"/>
            </w:tcBorders>
            <w:noWrap w:val="0"/>
            <w:vAlign w:val="center"/>
          </w:tcPr>
          <w:p w14:paraId="685A08B8">
            <w:pPr>
              <w:jc w:val="center"/>
              <w:rPr>
                <w:rFonts w:ascii="Times New Roman" w:hAnsi="Times New Roman" w:eastAsia="宋体"/>
                <w:bCs/>
                <w:color w:val="auto"/>
                <w:szCs w:val="21"/>
                <w:highlight w:val="none"/>
              </w:rPr>
            </w:pPr>
            <w:r>
              <w:rPr>
                <w:rFonts w:ascii="Times New Roman" w:hAnsi="Times New Roman" w:eastAsia="宋体"/>
                <w:b/>
                <w:color w:val="auto"/>
                <w:kern w:val="1"/>
                <w:szCs w:val="21"/>
                <w:highlight w:val="none"/>
              </w:rPr>
              <w:t>平均时段</w:t>
            </w:r>
          </w:p>
        </w:tc>
        <w:tc>
          <w:tcPr>
            <w:tcW w:w="1150" w:type="pct"/>
            <w:tcBorders>
              <w:tl2br w:val="nil"/>
              <w:tr2bl w:val="nil"/>
            </w:tcBorders>
            <w:noWrap w:val="0"/>
            <w:vAlign w:val="center"/>
          </w:tcPr>
          <w:p w14:paraId="50DB7927">
            <w:pPr>
              <w:jc w:val="center"/>
              <w:rPr>
                <w:rFonts w:ascii="Times New Roman" w:hAnsi="Times New Roman" w:eastAsia="宋体"/>
                <w:bCs/>
                <w:color w:val="auto"/>
                <w:szCs w:val="21"/>
                <w:highlight w:val="none"/>
              </w:rPr>
            </w:pPr>
            <w:r>
              <w:rPr>
                <w:rFonts w:ascii="Times New Roman" w:hAnsi="Times New Roman" w:eastAsia="宋体"/>
                <w:b/>
                <w:color w:val="auto"/>
                <w:kern w:val="1"/>
                <w:szCs w:val="21"/>
                <w:highlight w:val="none"/>
              </w:rPr>
              <w:t>标准值/（μg/m</w:t>
            </w:r>
            <w:r>
              <w:rPr>
                <w:rFonts w:ascii="Times New Roman" w:hAnsi="Times New Roman" w:eastAsia="宋体"/>
                <w:b/>
                <w:color w:val="auto"/>
                <w:kern w:val="1"/>
                <w:szCs w:val="21"/>
                <w:highlight w:val="none"/>
                <w:vertAlign w:val="superscript"/>
              </w:rPr>
              <w:t>3</w:t>
            </w:r>
            <w:r>
              <w:rPr>
                <w:rFonts w:ascii="Times New Roman" w:hAnsi="Times New Roman" w:eastAsia="宋体"/>
                <w:b/>
                <w:color w:val="auto"/>
                <w:kern w:val="1"/>
                <w:szCs w:val="21"/>
                <w:highlight w:val="none"/>
              </w:rPr>
              <w:t>）</w:t>
            </w:r>
          </w:p>
        </w:tc>
        <w:tc>
          <w:tcPr>
            <w:tcW w:w="1564" w:type="pct"/>
            <w:tcBorders>
              <w:tl2br w:val="nil"/>
              <w:tr2bl w:val="nil"/>
            </w:tcBorders>
            <w:noWrap w:val="0"/>
            <w:vAlign w:val="center"/>
          </w:tcPr>
          <w:p w14:paraId="292F0593">
            <w:pPr>
              <w:jc w:val="center"/>
              <w:rPr>
                <w:rFonts w:ascii="Times New Roman" w:hAnsi="Times New Roman" w:eastAsia="宋体"/>
                <w:bCs/>
                <w:color w:val="auto"/>
                <w:szCs w:val="21"/>
                <w:highlight w:val="none"/>
              </w:rPr>
            </w:pPr>
            <w:r>
              <w:rPr>
                <w:rFonts w:ascii="Times New Roman" w:hAnsi="Times New Roman" w:eastAsia="宋体"/>
                <w:b/>
                <w:color w:val="auto"/>
                <w:kern w:val="1"/>
                <w:szCs w:val="21"/>
                <w:highlight w:val="none"/>
              </w:rPr>
              <w:t>标准来源</w:t>
            </w:r>
          </w:p>
        </w:tc>
      </w:tr>
      <w:tr w14:paraId="483BAE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restart"/>
            <w:tcBorders>
              <w:tl2br w:val="nil"/>
              <w:tr2bl w:val="nil"/>
            </w:tcBorders>
            <w:noWrap w:val="0"/>
            <w:vAlign w:val="center"/>
          </w:tcPr>
          <w:p w14:paraId="4C0F464C">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SO</w:t>
            </w:r>
            <w:r>
              <w:rPr>
                <w:rFonts w:ascii="Times New Roman" w:hAnsi="Times New Roman" w:eastAsia="宋体"/>
                <w:color w:val="auto"/>
                <w:kern w:val="1"/>
                <w:szCs w:val="21"/>
                <w:highlight w:val="none"/>
                <w:vertAlign w:val="subscript"/>
              </w:rPr>
              <w:t>2</w:t>
            </w:r>
          </w:p>
        </w:tc>
        <w:tc>
          <w:tcPr>
            <w:tcW w:w="1373" w:type="pct"/>
            <w:tcBorders>
              <w:tl2br w:val="nil"/>
              <w:tr2bl w:val="nil"/>
            </w:tcBorders>
            <w:noWrap w:val="0"/>
            <w:vAlign w:val="center"/>
          </w:tcPr>
          <w:p w14:paraId="02122EF7">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年平均</w:t>
            </w:r>
          </w:p>
        </w:tc>
        <w:tc>
          <w:tcPr>
            <w:tcW w:w="1150" w:type="pct"/>
            <w:tcBorders>
              <w:tl2br w:val="nil"/>
              <w:tr2bl w:val="nil"/>
            </w:tcBorders>
            <w:noWrap w:val="0"/>
            <w:vAlign w:val="center"/>
          </w:tcPr>
          <w:p w14:paraId="6CCA34CA">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60</w:t>
            </w:r>
          </w:p>
        </w:tc>
        <w:tc>
          <w:tcPr>
            <w:tcW w:w="1564" w:type="pct"/>
            <w:vMerge w:val="restart"/>
            <w:tcBorders>
              <w:tl2br w:val="nil"/>
              <w:tr2bl w:val="nil"/>
            </w:tcBorders>
            <w:noWrap w:val="0"/>
            <w:vAlign w:val="center"/>
          </w:tcPr>
          <w:p w14:paraId="03A630D1">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《环境空气质量标准》（GB3095-2012）二级标准</w:t>
            </w:r>
          </w:p>
        </w:tc>
      </w:tr>
      <w:tr w14:paraId="655DB8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55A7AA02">
            <w:pPr>
              <w:rPr>
                <w:rFonts w:ascii="Times New Roman" w:hAnsi="Times New Roman" w:eastAsia="宋体"/>
                <w:bCs/>
                <w:color w:val="auto"/>
                <w:szCs w:val="21"/>
                <w:highlight w:val="none"/>
              </w:rPr>
            </w:pPr>
          </w:p>
        </w:tc>
        <w:tc>
          <w:tcPr>
            <w:tcW w:w="1373" w:type="pct"/>
            <w:tcBorders>
              <w:tl2br w:val="nil"/>
              <w:tr2bl w:val="nil"/>
            </w:tcBorders>
            <w:noWrap w:val="0"/>
            <w:vAlign w:val="center"/>
          </w:tcPr>
          <w:p w14:paraId="1E8D1900">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24小时平均</w:t>
            </w:r>
          </w:p>
        </w:tc>
        <w:tc>
          <w:tcPr>
            <w:tcW w:w="1150" w:type="pct"/>
            <w:tcBorders>
              <w:tl2br w:val="nil"/>
              <w:tr2bl w:val="nil"/>
            </w:tcBorders>
            <w:noWrap w:val="0"/>
            <w:vAlign w:val="center"/>
          </w:tcPr>
          <w:p w14:paraId="00B5A660">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150</w:t>
            </w:r>
          </w:p>
        </w:tc>
        <w:tc>
          <w:tcPr>
            <w:tcW w:w="1564" w:type="pct"/>
            <w:vMerge w:val="continue"/>
            <w:tcBorders>
              <w:tl2br w:val="nil"/>
              <w:tr2bl w:val="nil"/>
            </w:tcBorders>
            <w:noWrap w:val="0"/>
            <w:vAlign w:val="top"/>
          </w:tcPr>
          <w:p w14:paraId="38D7335D">
            <w:pPr>
              <w:tabs>
                <w:tab w:val="left" w:pos="562"/>
              </w:tabs>
              <w:rPr>
                <w:rFonts w:ascii="Times New Roman" w:hAnsi="Times New Roman" w:eastAsia="宋体"/>
                <w:bCs/>
                <w:color w:val="auto"/>
                <w:kern w:val="0"/>
                <w:szCs w:val="21"/>
                <w:highlight w:val="none"/>
              </w:rPr>
            </w:pPr>
          </w:p>
        </w:tc>
      </w:tr>
      <w:tr w14:paraId="2EB836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5B2CF246">
            <w:pPr>
              <w:rPr>
                <w:rFonts w:ascii="Times New Roman" w:hAnsi="Times New Roman" w:eastAsia="宋体"/>
                <w:bCs/>
                <w:color w:val="auto"/>
                <w:szCs w:val="21"/>
                <w:highlight w:val="none"/>
              </w:rPr>
            </w:pPr>
          </w:p>
        </w:tc>
        <w:tc>
          <w:tcPr>
            <w:tcW w:w="1373" w:type="pct"/>
            <w:tcBorders>
              <w:tl2br w:val="nil"/>
              <w:tr2bl w:val="nil"/>
            </w:tcBorders>
            <w:noWrap w:val="0"/>
            <w:vAlign w:val="center"/>
          </w:tcPr>
          <w:p w14:paraId="093A2CE7">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1小时平均</w:t>
            </w:r>
          </w:p>
        </w:tc>
        <w:tc>
          <w:tcPr>
            <w:tcW w:w="1150" w:type="pct"/>
            <w:tcBorders>
              <w:tl2br w:val="nil"/>
              <w:tr2bl w:val="nil"/>
            </w:tcBorders>
            <w:noWrap w:val="0"/>
            <w:vAlign w:val="center"/>
          </w:tcPr>
          <w:p w14:paraId="267556B5">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500</w:t>
            </w:r>
          </w:p>
        </w:tc>
        <w:tc>
          <w:tcPr>
            <w:tcW w:w="1564" w:type="pct"/>
            <w:vMerge w:val="continue"/>
            <w:tcBorders>
              <w:tl2br w:val="nil"/>
              <w:tr2bl w:val="nil"/>
            </w:tcBorders>
            <w:noWrap w:val="0"/>
            <w:vAlign w:val="top"/>
          </w:tcPr>
          <w:p w14:paraId="7A6F7A55">
            <w:pPr>
              <w:tabs>
                <w:tab w:val="left" w:pos="562"/>
              </w:tabs>
              <w:rPr>
                <w:rFonts w:ascii="Times New Roman" w:hAnsi="Times New Roman" w:eastAsia="宋体"/>
                <w:bCs/>
                <w:color w:val="auto"/>
                <w:kern w:val="0"/>
                <w:szCs w:val="21"/>
                <w:highlight w:val="none"/>
              </w:rPr>
            </w:pPr>
          </w:p>
        </w:tc>
      </w:tr>
      <w:tr w14:paraId="21AFB0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restart"/>
            <w:tcBorders>
              <w:tl2br w:val="nil"/>
              <w:tr2bl w:val="nil"/>
            </w:tcBorders>
            <w:noWrap w:val="0"/>
            <w:vAlign w:val="center"/>
          </w:tcPr>
          <w:p w14:paraId="205DEA10">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NO</w:t>
            </w:r>
            <w:r>
              <w:rPr>
                <w:rFonts w:ascii="Times New Roman" w:hAnsi="Times New Roman" w:eastAsia="宋体"/>
                <w:color w:val="auto"/>
                <w:kern w:val="1"/>
                <w:szCs w:val="21"/>
                <w:highlight w:val="none"/>
                <w:vertAlign w:val="subscript"/>
              </w:rPr>
              <w:t>2</w:t>
            </w:r>
          </w:p>
        </w:tc>
        <w:tc>
          <w:tcPr>
            <w:tcW w:w="1373" w:type="pct"/>
            <w:tcBorders>
              <w:tl2br w:val="nil"/>
              <w:tr2bl w:val="nil"/>
            </w:tcBorders>
            <w:noWrap w:val="0"/>
            <w:vAlign w:val="center"/>
          </w:tcPr>
          <w:p w14:paraId="66E74601">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年平均</w:t>
            </w:r>
          </w:p>
        </w:tc>
        <w:tc>
          <w:tcPr>
            <w:tcW w:w="1150" w:type="pct"/>
            <w:tcBorders>
              <w:tl2br w:val="nil"/>
              <w:tr2bl w:val="nil"/>
            </w:tcBorders>
            <w:noWrap w:val="0"/>
            <w:vAlign w:val="center"/>
          </w:tcPr>
          <w:p w14:paraId="770D7F40">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40</w:t>
            </w:r>
          </w:p>
        </w:tc>
        <w:tc>
          <w:tcPr>
            <w:tcW w:w="1564" w:type="pct"/>
            <w:vMerge w:val="continue"/>
            <w:tcBorders>
              <w:tl2br w:val="nil"/>
              <w:tr2bl w:val="nil"/>
            </w:tcBorders>
            <w:noWrap w:val="0"/>
            <w:vAlign w:val="top"/>
          </w:tcPr>
          <w:p w14:paraId="24A8D85C">
            <w:pPr>
              <w:tabs>
                <w:tab w:val="left" w:pos="562"/>
              </w:tabs>
              <w:rPr>
                <w:rFonts w:ascii="Times New Roman" w:hAnsi="Times New Roman" w:eastAsia="宋体"/>
                <w:bCs/>
                <w:color w:val="auto"/>
                <w:kern w:val="0"/>
                <w:szCs w:val="21"/>
                <w:highlight w:val="none"/>
              </w:rPr>
            </w:pPr>
          </w:p>
        </w:tc>
      </w:tr>
      <w:tr w14:paraId="653ECF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7FFD20F4">
            <w:pPr>
              <w:rPr>
                <w:rFonts w:ascii="Times New Roman" w:hAnsi="Times New Roman" w:eastAsia="宋体"/>
                <w:bCs/>
                <w:color w:val="auto"/>
                <w:szCs w:val="21"/>
                <w:highlight w:val="none"/>
              </w:rPr>
            </w:pPr>
          </w:p>
        </w:tc>
        <w:tc>
          <w:tcPr>
            <w:tcW w:w="1373" w:type="pct"/>
            <w:tcBorders>
              <w:tl2br w:val="nil"/>
              <w:tr2bl w:val="nil"/>
            </w:tcBorders>
            <w:noWrap w:val="0"/>
            <w:vAlign w:val="center"/>
          </w:tcPr>
          <w:p w14:paraId="5B19DD84">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24小时平均</w:t>
            </w:r>
          </w:p>
        </w:tc>
        <w:tc>
          <w:tcPr>
            <w:tcW w:w="1150" w:type="pct"/>
            <w:tcBorders>
              <w:tl2br w:val="nil"/>
              <w:tr2bl w:val="nil"/>
            </w:tcBorders>
            <w:noWrap w:val="0"/>
            <w:vAlign w:val="center"/>
          </w:tcPr>
          <w:p w14:paraId="228474B9">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80</w:t>
            </w:r>
          </w:p>
        </w:tc>
        <w:tc>
          <w:tcPr>
            <w:tcW w:w="1564" w:type="pct"/>
            <w:vMerge w:val="continue"/>
            <w:tcBorders>
              <w:tl2br w:val="nil"/>
              <w:tr2bl w:val="nil"/>
            </w:tcBorders>
            <w:noWrap w:val="0"/>
            <w:vAlign w:val="top"/>
          </w:tcPr>
          <w:p w14:paraId="39AEDC99">
            <w:pPr>
              <w:tabs>
                <w:tab w:val="left" w:pos="562"/>
              </w:tabs>
              <w:rPr>
                <w:rFonts w:ascii="Times New Roman" w:hAnsi="Times New Roman" w:eastAsia="宋体"/>
                <w:bCs/>
                <w:color w:val="auto"/>
                <w:kern w:val="0"/>
                <w:szCs w:val="21"/>
                <w:highlight w:val="none"/>
              </w:rPr>
            </w:pPr>
          </w:p>
        </w:tc>
      </w:tr>
      <w:tr w14:paraId="2A0B2E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284AE141">
            <w:pPr>
              <w:rPr>
                <w:rFonts w:ascii="Times New Roman" w:hAnsi="Times New Roman" w:eastAsia="宋体"/>
                <w:bCs/>
                <w:color w:val="auto"/>
                <w:szCs w:val="21"/>
                <w:highlight w:val="none"/>
              </w:rPr>
            </w:pPr>
          </w:p>
        </w:tc>
        <w:tc>
          <w:tcPr>
            <w:tcW w:w="1373" w:type="pct"/>
            <w:tcBorders>
              <w:tl2br w:val="nil"/>
              <w:tr2bl w:val="nil"/>
            </w:tcBorders>
            <w:noWrap w:val="0"/>
            <w:vAlign w:val="center"/>
          </w:tcPr>
          <w:p w14:paraId="063DC595">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1小时平均</w:t>
            </w:r>
          </w:p>
        </w:tc>
        <w:tc>
          <w:tcPr>
            <w:tcW w:w="1150" w:type="pct"/>
            <w:tcBorders>
              <w:tl2br w:val="nil"/>
              <w:tr2bl w:val="nil"/>
            </w:tcBorders>
            <w:noWrap w:val="0"/>
            <w:vAlign w:val="center"/>
          </w:tcPr>
          <w:p w14:paraId="19A1ABF7">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200</w:t>
            </w:r>
          </w:p>
        </w:tc>
        <w:tc>
          <w:tcPr>
            <w:tcW w:w="1564" w:type="pct"/>
            <w:vMerge w:val="continue"/>
            <w:tcBorders>
              <w:tl2br w:val="nil"/>
              <w:tr2bl w:val="nil"/>
            </w:tcBorders>
            <w:noWrap w:val="0"/>
            <w:vAlign w:val="top"/>
          </w:tcPr>
          <w:p w14:paraId="22A943C1">
            <w:pPr>
              <w:tabs>
                <w:tab w:val="left" w:pos="562"/>
              </w:tabs>
              <w:rPr>
                <w:rFonts w:ascii="Times New Roman" w:hAnsi="Times New Roman" w:eastAsia="宋体"/>
                <w:bCs/>
                <w:color w:val="auto"/>
                <w:kern w:val="0"/>
                <w:szCs w:val="21"/>
                <w:highlight w:val="none"/>
              </w:rPr>
            </w:pPr>
          </w:p>
        </w:tc>
      </w:tr>
      <w:tr w14:paraId="0C9BA2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restart"/>
            <w:tcBorders>
              <w:tl2br w:val="nil"/>
              <w:tr2bl w:val="nil"/>
            </w:tcBorders>
            <w:noWrap w:val="0"/>
            <w:vAlign w:val="center"/>
          </w:tcPr>
          <w:p w14:paraId="030B7E3D">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CO</w:t>
            </w:r>
          </w:p>
        </w:tc>
        <w:tc>
          <w:tcPr>
            <w:tcW w:w="1373" w:type="pct"/>
            <w:tcBorders>
              <w:tl2br w:val="nil"/>
              <w:tr2bl w:val="nil"/>
            </w:tcBorders>
            <w:noWrap w:val="0"/>
            <w:vAlign w:val="center"/>
          </w:tcPr>
          <w:p w14:paraId="3F5007DA">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24小时平均</w:t>
            </w:r>
          </w:p>
        </w:tc>
        <w:tc>
          <w:tcPr>
            <w:tcW w:w="1150" w:type="pct"/>
            <w:tcBorders>
              <w:tl2br w:val="nil"/>
              <w:tr2bl w:val="nil"/>
            </w:tcBorders>
            <w:noWrap w:val="0"/>
            <w:vAlign w:val="center"/>
          </w:tcPr>
          <w:p w14:paraId="5222C143">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4</w:t>
            </w:r>
            <w:r>
              <w:rPr>
                <w:rFonts w:hint="eastAsia" w:ascii="Times New Roman" w:hAnsi="Times New Roman" w:eastAsia="宋体"/>
                <w:color w:val="auto"/>
                <w:kern w:val="1"/>
                <w:szCs w:val="21"/>
                <w:highlight w:val="none"/>
              </w:rPr>
              <w:t>000</w:t>
            </w:r>
          </w:p>
        </w:tc>
        <w:tc>
          <w:tcPr>
            <w:tcW w:w="1564" w:type="pct"/>
            <w:vMerge w:val="continue"/>
            <w:tcBorders>
              <w:tl2br w:val="nil"/>
              <w:tr2bl w:val="nil"/>
            </w:tcBorders>
            <w:noWrap w:val="0"/>
            <w:vAlign w:val="top"/>
          </w:tcPr>
          <w:p w14:paraId="53799E0B">
            <w:pPr>
              <w:tabs>
                <w:tab w:val="left" w:pos="562"/>
              </w:tabs>
              <w:rPr>
                <w:rFonts w:ascii="Times New Roman" w:hAnsi="Times New Roman" w:eastAsia="宋体"/>
                <w:bCs/>
                <w:color w:val="auto"/>
                <w:kern w:val="0"/>
                <w:szCs w:val="21"/>
                <w:highlight w:val="none"/>
              </w:rPr>
            </w:pPr>
          </w:p>
        </w:tc>
      </w:tr>
      <w:tr w14:paraId="50C350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6B2F5426">
            <w:pPr>
              <w:jc w:val="center"/>
              <w:rPr>
                <w:rFonts w:ascii="Times New Roman" w:hAnsi="Times New Roman" w:eastAsia="宋体"/>
                <w:bCs/>
                <w:color w:val="auto"/>
                <w:szCs w:val="21"/>
                <w:highlight w:val="none"/>
              </w:rPr>
            </w:pPr>
          </w:p>
        </w:tc>
        <w:tc>
          <w:tcPr>
            <w:tcW w:w="1373" w:type="pct"/>
            <w:tcBorders>
              <w:tl2br w:val="nil"/>
              <w:tr2bl w:val="nil"/>
            </w:tcBorders>
            <w:noWrap w:val="0"/>
            <w:vAlign w:val="center"/>
          </w:tcPr>
          <w:p w14:paraId="02A4D6A3">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1小时平均</w:t>
            </w:r>
          </w:p>
        </w:tc>
        <w:tc>
          <w:tcPr>
            <w:tcW w:w="1150" w:type="pct"/>
            <w:tcBorders>
              <w:tl2br w:val="nil"/>
              <w:tr2bl w:val="nil"/>
            </w:tcBorders>
            <w:noWrap w:val="0"/>
            <w:vAlign w:val="center"/>
          </w:tcPr>
          <w:p w14:paraId="6F74E5C4">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10</w:t>
            </w:r>
            <w:r>
              <w:rPr>
                <w:rFonts w:hint="eastAsia" w:ascii="Times New Roman" w:hAnsi="Times New Roman" w:eastAsia="宋体"/>
                <w:color w:val="auto"/>
                <w:kern w:val="1"/>
                <w:szCs w:val="21"/>
                <w:highlight w:val="none"/>
              </w:rPr>
              <w:t>000</w:t>
            </w:r>
          </w:p>
        </w:tc>
        <w:tc>
          <w:tcPr>
            <w:tcW w:w="1564" w:type="pct"/>
            <w:vMerge w:val="continue"/>
            <w:tcBorders>
              <w:tl2br w:val="nil"/>
              <w:tr2bl w:val="nil"/>
            </w:tcBorders>
            <w:noWrap w:val="0"/>
            <w:vAlign w:val="top"/>
          </w:tcPr>
          <w:p w14:paraId="529AC429">
            <w:pPr>
              <w:tabs>
                <w:tab w:val="left" w:pos="562"/>
              </w:tabs>
              <w:rPr>
                <w:rFonts w:ascii="Times New Roman" w:hAnsi="Times New Roman" w:eastAsia="宋体"/>
                <w:bCs/>
                <w:color w:val="auto"/>
                <w:kern w:val="0"/>
                <w:szCs w:val="21"/>
                <w:highlight w:val="none"/>
              </w:rPr>
            </w:pPr>
          </w:p>
        </w:tc>
      </w:tr>
      <w:tr w14:paraId="46A352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restart"/>
            <w:tcBorders>
              <w:tl2br w:val="nil"/>
              <w:tr2bl w:val="nil"/>
            </w:tcBorders>
            <w:noWrap w:val="0"/>
            <w:vAlign w:val="center"/>
          </w:tcPr>
          <w:p w14:paraId="573A0CD9">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O</w:t>
            </w:r>
            <w:r>
              <w:rPr>
                <w:rFonts w:ascii="Times New Roman" w:hAnsi="Times New Roman" w:eastAsia="宋体"/>
                <w:color w:val="auto"/>
                <w:kern w:val="1"/>
                <w:szCs w:val="21"/>
                <w:highlight w:val="none"/>
                <w:vertAlign w:val="subscript"/>
              </w:rPr>
              <w:t>3</w:t>
            </w:r>
          </w:p>
        </w:tc>
        <w:tc>
          <w:tcPr>
            <w:tcW w:w="1373" w:type="pct"/>
            <w:tcBorders>
              <w:tl2br w:val="nil"/>
              <w:tr2bl w:val="nil"/>
            </w:tcBorders>
            <w:noWrap w:val="0"/>
            <w:vAlign w:val="center"/>
          </w:tcPr>
          <w:p w14:paraId="551E2E35">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日最大8小时平均</w:t>
            </w:r>
          </w:p>
        </w:tc>
        <w:tc>
          <w:tcPr>
            <w:tcW w:w="1150" w:type="pct"/>
            <w:tcBorders>
              <w:tl2br w:val="nil"/>
              <w:tr2bl w:val="nil"/>
            </w:tcBorders>
            <w:noWrap w:val="0"/>
            <w:vAlign w:val="center"/>
          </w:tcPr>
          <w:p w14:paraId="68A41C0F">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160</w:t>
            </w:r>
          </w:p>
        </w:tc>
        <w:tc>
          <w:tcPr>
            <w:tcW w:w="1564" w:type="pct"/>
            <w:vMerge w:val="continue"/>
            <w:tcBorders>
              <w:tl2br w:val="nil"/>
              <w:tr2bl w:val="nil"/>
            </w:tcBorders>
            <w:noWrap w:val="0"/>
            <w:vAlign w:val="top"/>
          </w:tcPr>
          <w:p w14:paraId="3788B0C8">
            <w:pPr>
              <w:tabs>
                <w:tab w:val="left" w:pos="562"/>
              </w:tabs>
              <w:rPr>
                <w:rFonts w:ascii="Times New Roman" w:hAnsi="Times New Roman" w:eastAsia="宋体"/>
                <w:bCs/>
                <w:color w:val="auto"/>
                <w:kern w:val="0"/>
                <w:szCs w:val="21"/>
                <w:highlight w:val="none"/>
              </w:rPr>
            </w:pPr>
          </w:p>
        </w:tc>
      </w:tr>
      <w:tr w14:paraId="285E52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69DA4458">
            <w:pPr>
              <w:jc w:val="center"/>
              <w:rPr>
                <w:rFonts w:ascii="Times New Roman" w:hAnsi="Times New Roman" w:eastAsia="宋体"/>
                <w:bCs/>
                <w:color w:val="auto"/>
                <w:szCs w:val="21"/>
                <w:highlight w:val="none"/>
              </w:rPr>
            </w:pPr>
          </w:p>
        </w:tc>
        <w:tc>
          <w:tcPr>
            <w:tcW w:w="1373" w:type="pct"/>
            <w:tcBorders>
              <w:tl2br w:val="nil"/>
              <w:tr2bl w:val="nil"/>
            </w:tcBorders>
            <w:noWrap w:val="0"/>
            <w:vAlign w:val="center"/>
          </w:tcPr>
          <w:p w14:paraId="203EF335">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1小时平均</w:t>
            </w:r>
          </w:p>
        </w:tc>
        <w:tc>
          <w:tcPr>
            <w:tcW w:w="1150" w:type="pct"/>
            <w:tcBorders>
              <w:tl2br w:val="nil"/>
              <w:tr2bl w:val="nil"/>
            </w:tcBorders>
            <w:noWrap w:val="0"/>
            <w:vAlign w:val="center"/>
          </w:tcPr>
          <w:p w14:paraId="377F5548">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200</w:t>
            </w:r>
          </w:p>
        </w:tc>
        <w:tc>
          <w:tcPr>
            <w:tcW w:w="1564" w:type="pct"/>
            <w:vMerge w:val="continue"/>
            <w:tcBorders>
              <w:tl2br w:val="nil"/>
              <w:tr2bl w:val="nil"/>
            </w:tcBorders>
            <w:noWrap w:val="0"/>
            <w:vAlign w:val="top"/>
          </w:tcPr>
          <w:p w14:paraId="0732ED34">
            <w:pPr>
              <w:tabs>
                <w:tab w:val="left" w:pos="562"/>
              </w:tabs>
              <w:rPr>
                <w:rFonts w:ascii="Times New Roman" w:hAnsi="Times New Roman" w:eastAsia="宋体"/>
                <w:bCs/>
                <w:color w:val="auto"/>
                <w:kern w:val="0"/>
                <w:szCs w:val="21"/>
                <w:highlight w:val="none"/>
              </w:rPr>
            </w:pPr>
          </w:p>
        </w:tc>
      </w:tr>
      <w:tr w14:paraId="489348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restart"/>
            <w:tcBorders>
              <w:tl2br w:val="nil"/>
              <w:tr2bl w:val="nil"/>
            </w:tcBorders>
            <w:noWrap w:val="0"/>
            <w:vAlign w:val="center"/>
          </w:tcPr>
          <w:p w14:paraId="2CBA8A4D">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PM</w:t>
            </w:r>
            <w:r>
              <w:rPr>
                <w:rFonts w:ascii="Times New Roman" w:hAnsi="Times New Roman" w:eastAsia="宋体"/>
                <w:color w:val="auto"/>
                <w:kern w:val="1"/>
                <w:szCs w:val="21"/>
                <w:highlight w:val="none"/>
                <w:vertAlign w:val="subscript"/>
              </w:rPr>
              <w:t>10</w:t>
            </w:r>
          </w:p>
        </w:tc>
        <w:tc>
          <w:tcPr>
            <w:tcW w:w="1373" w:type="pct"/>
            <w:tcBorders>
              <w:tl2br w:val="nil"/>
              <w:tr2bl w:val="nil"/>
            </w:tcBorders>
            <w:noWrap w:val="0"/>
            <w:vAlign w:val="center"/>
          </w:tcPr>
          <w:p w14:paraId="7CCCAE01">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年平均</w:t>
            </w:r>
          </w:p>
        </w:tc>
        <w:tc>
          <w:tcPr>
            <w:tcW w:w="1150" w:type="pct"/>
            <w:tcBorders>
              <w:tl2br w:val="nil"/>
              <w:tr2bl w:val="nil"/>
            </w:tcBorders>
            <w:noWrap w:val="0"/>
            <w:vAlign w:val="center"/>
          </w:tcPr>
          <w:p w14:paraId="43ABBC2D">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70</w:t>
            </w:r>
          </w:p>
        </w:tc>
        <w:tc>
          <w:tcPr>
            <w:tcW w:w="1564" w:type="pct"/>
            <w:vMerge w:val="continue"/>
            <w:tcBorders>
              <w:tl2br w:val="nil"/>
              <w:tr2bl w:val="nil"/>
            </w:tcBorders>
            <w:noWrap w:val="0"/>
            <w:vAlign w:val="top"/>
          </w:tcPr>
          <w:p w14:paraId="5FD7456C">
            <w:pPr>
              <w:tabs>
                <w:tab w:val="left" w:pos="562"/>
              </w:tabs>
              <w:rPr>
                <w:rFonts w:ascii="Times New Roman" w:hAnsi="Times New Roman" w:eastAsia="宋体"/>
                <w:bCs/>
                <w:color w:val="auto"/>
                <w:kern w:val="0"/>
                <w:szCs w:val="21"/>
                <w:highlight w:val="none"/>
              </w:rPr>
            </w:pPr>
          </w:p>
        </w:tc>
      </w:tr>
      <w:tr w14:paraId="01F717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300DAF26">
            <w:pPr>
              <w:rPr>
                <w:rFonts w:ascii="Times New Roman" w:hAnsi="Times New Roman" w:eastAsia="宋体"/>
                <w:bCs/>
                <w:color w:val="auto"/>
                <w:szCs w:val="21"/>
                <w:highlight w:val="none"/>
              </w:rPr>
            </w:pPr>
          </w:p>
        </w:tc>
        <w:tc>
          <w:tcPr>
            <w:tcW w:w="1373" w:type="pct"/>
            <w:tcBorders>
              <w:tl2br w:val="nil"/>
              <w:tr2bl w:val="nil"/>
            </w:tcBorders>
            <w:noWrap w:val="0"/>
            <w:vAlign w:val="center"/>
          </w:tcPr>
          <w:p w14:paraId="0F921922">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24小时平均</w:t>
            </w:r>
          </w:p>
        </w:tc>
        <w:tc>
          <w:tcPr>
            <w:tcW w:w="1150" w:type="pct"/>
            <w:tcBorders>
              <w:tl2br w:val="nil"/>
              <w:tr2bl w:val="nil"/>
            </w:tcBorders>
            <w:noWrap w:val="0"/>
            <w:vAlign w:val="center"/>
          </w:tcPr>
          <w:p w14:paraId="76956645">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150</w:t>
            </w:r>
          </w:p>
        </w:tc>
        <w:tc>
          <w:tcPr>
            <w:tcW w:w="1564" w:type="pct"/>
            <w:vMerge w:val="continue"/>
            <w:tcBorders>
              <w:tl2br w:val="nil"/>
              <w:tr2bl w:val="nil"/>
            </w:tcBorders>
            <w:noWrap w:val="0"/>
            <w:vAlign w:val="top"/>
          </w:tcPr>
          <w:p w14:paraId="7C931FF0">
            <w:pPr>
              <w:tabs>
                <w:tab w:val="left" w:pos="562"/>
              </w:tabs>
              <w:rPr>
                <w:rFonts w:ascii="Times New Roman" w:hAnsi="Times New Roman" w:eastAsia="宋体"/>
                <w:bCs/>
                <w:color w:val="auto"/>
                <w:kern w:val="0"/>
                <w:szCs w:val="21"/>
                <w:highlight w:val="none"/>
              </w:rPr>
            </w:pPr>
          </w:p>
        </w:tc>
      </w:tr>
      <w:tr w14:paraId="11691E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restart"/>
            <w:tcBorders>
              <w:tl2br w:val="nil"/>
              <w:tr2bl w:val="nil"/>
            </w:tcBorders>
            <w:noWrap w:val="0"/>
            <w:vAlign w:val="center"/>
          </w:tcPr>
          <w:p w14:paraId="0B4EE18F">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PM</w:t>
            </w:r>
            <w:r>
              <w:rPr>
                <w:rFonts w:ascii="Times New Roman" w:hAnsi="Times New Roman" w:eastAsia="宋体"/>
                <w:color w:val="auto"/>
                <w:kern w:val="1"/>
                <w:szCs w:val="21"/>
                <w:highlight w:val="none"/>
                <w:vertAlign w:val="subscript"/>
              </w:rPr>
              <w:t>2.5</w:t>
            </w:r>
          </w:p>
        </w:tc>
        <w:tc>
          <w:tcPr>
            <w:tcW w:w="1373" w:type="pct"/>
            <w:tcBorders>
              <w:tl2br w:val="nil"/>
              <w:tr2bl w:val="nil"/>
            </w:tcBorders>
            <w:noWrap w:val="0"/>
            <w:vAlign w:val="center"/>
          </w:tcPr>
          <w:p w14:paraId="63755522">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年平均</w:t>
            </w:r>
          </w:p>
        </w:tc>
        <w:tc>
          <w:tcPr>
            <w:tcW w:w="1150" w:type="pct"/>
            <w:tcBorders>
              <w:tl2br w:val="nil"/>
              <w:tr2bl w:val="nil"/>
            </w:tcBorders>
            <w:noWrap w:val="0"/>
            <w:vAlign w:val="center"/>
          </w:tcPr>
          <w:p w14:paraId="6AB95392">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35</w:t>
            </w:r>
          </w:p>
        </w:tc>
        <w:tc>
          <w:tcPr>
            <w:tcW w:w="1564" w:type="pct"/>
            <w:vMerge w:val="continue"/>
            <w:tcBorders>
              <w:tl2br w:val="nil"/>
              <w:tr2bl w:val="nil"/>
            </w:tcBorders>
            <w:noWrap w:val="0"/>
            <w:vAlign w:val="top"/>
          </w:tcPr>
          <w:p w14:paraId="0CCE75CC">
            <w:pPr>
              <w:tabs>
                <w:tab w:val="left" w:pos="562"/>
              </w:tabs>
              <w:rPr>
                <w:rFonts w:ascii="Times New Roman" w:hAnsi="Times New Roman" w:eastAsia="宋体"/>
                <w:bCs/>
                <w:color w:val="auto"/>
                <w:kern w:val="0"/>
                <w:szCs w:val="21"/>
                <w:highlight w:val="none"/>
              </w:rPr>
            </w:pPr>
          </w:p>
        </w:tc>
      </w:tr>
      <w:tr w14:paraId="2F3909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0760C20A">
            <w:pPr>
              <w:jc w:val="center"/>
              <w:rPr>
                <w:rFonts w:ascii="Times New Roman" w:hAnsi="Times New Roman" w:eastAsia="宋体"/>
                <w:bCs/>
                <w:color w:val="auto"/>
                <w:szCs w:val="21"/>
                <w:highlight w:val="none"/>
              </w:rPr>
            </w:pPr>
          </w:p>
        </w:tc>
        <w:tc>
          <w:tcPr>
            <w:tcW w:w="1373" w:type="pct"/>
            <w:tcBorders>
              <w:tl2br w:val="nil"/>
              <w:tr2bl w:val="nil"/>
            </w:tcBorders>
            <w:noWrap w:val="0"/>
            <w:vAlign w:val="center"/>
          </w:tcPr>
          <w:p w14:paraId="76B0588E">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24小时平均</w:t>
            </w:r>
          </w:p>
        </w:tc>
        <w:tc>
          <w:tcPr>
            <w:tcW w:w="1150" w:type="pct"/>
            <w:tcBorders>
              <w:tl2br w:val="nil"/>
              <w:tr2bl w:val="nil"/>
            </w:tcBorders>
            <w:noWrap w:val="0"/>
            <w:vAlign w:val="center"/>
          </w:tcPr>
          <w:p w14:paraId="1F620262">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75</w:t>
            </w:r>
          </w:p>
        </w:tc>
        <w:tc>
          <w:tcPr>
            <w:tcW w:w="1564" w:type="pct"/>
            <w:vMerge w:val="continue"/>
            <w:tcBorders>
              <w:tl2br w:val="nil"/>
              <w:tr2bl w:val="nil"/>
            </w:tcBorders>
            <w:noWrap w:val="0"/>
            <w:vAlign w:val="top"/>
          </w:tcPr>
          <w:p w14:paraId="071C5E1D">
            <w:pPr>
              <w:tabs>
                <w:tab w:val="left" w:pos="562"/>
              </w:tabs>
              <w:rPr>
                <w:rFonts w:ascii="Times New Roman" w:hAnsi="Times New Roman" w:eastAsia="宋体"/>
                <w:bCs/>
                <w:color w:val="auto"/>
                <w:kern w:val="0"/>
                <w:szCs w:val="21"/>
                <w:highlight w:val="none"/>
              </w:rPr>
            </w:pPr>
          </w:p>
        </w:tc>
      </w:tr>
      <w:tr w14:paraId="334717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restart"/>
            <w:tcBorders>
              <w:tl2br w:val="nil"/>
              <w:tr2bl w:val="nil"/>
            </w:tcBorders>
            <w:noWrap w:val="0"/>
            <w:vAlign w:val="center"/>
          </w:tcPr>
          <w:p w14:paraId="0A6769A7">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NO</w:t>
            </w:r>
            <w:r>
              <w:rPr>
                <w:rFonts w:ascii="Times New Roman" w:hAnsi="Times New Roman" w:eastAsia="宋体"/>
                <w:color w:val="auto"/>
                <w:kern w:val="1"/>
                <w:szCs w:val="21"/>
                <w:highlight w:val="none"/>
                <w:vertAlign w:val="subscript"/>
              </w:rPr>
              <w:t>X</w:t>
            </w:r>
          </w:p>
        </w:tc>
        <w:tc>
          <w:tcPr>
            <w:tcW w:w="1373" w:type="pct"/>
            <w:tcBorders>
              <w:tl2br w:val="nil"/>
              <w:tr2bl w:val="nil"/>
            </w:tcBorders>
            <w:noWrap w:val="0"/>
            <w:vAlign w:val="center"/>
          </w:tcPr>
          <w:p w14:paraId="708B0C7A">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年平均</w:t>
            </w:r>
          </w:p>
        </w:tc>
        <w:tc>
          <w:tcPr>
            <w:tcW w:w="1150" w:type="pct"/>
            <w:tcBorders>
              <w:tl2br w:val="nil"/>
              <w:tr2bl w:val="nil"/>
            </w:tcBorders>
            <w:noWrap w:val="0"/>
            <w:vAlign w:val="center"/>
          </w:tcPr>
          <w:p w14:paraId="41CEC518">
            <w:pPr>
              <w:jc w:val="center"/>
              <w:rPr>
                <w:rFonts w:ascii="Times New Roman" w:hAnsi="Times New Roman" w:eastAsia="宋体"/>
                <w:bCs/>
                <w:color w:val="auto"/>
                <w:szCs w:val="21"/>
                <w:highlight w:val="none"/>
              </w:rPr>
            </w:pPr>
            <w:r>
              <w:rPr>
                <w:rFonts w:ascii="Times New Roman" w:hAnsi="Times New Roman" w:eastAsia="宋体"/>
                <w:color w:val="auto"/>
                <w:kern w:val="1"/>
                <w:szCs w:val="21"/>
                <w:highlight w:val="none"/>
              </w:rPr>
              <w:t>50</w:t>
            </w:r>
          </w:p>
        </w:tc>
        <w:tc>
          <w:tcPr>
            <w:tcW w:w="1564" w:type="pct"/>
            <w:vMerge w:val="continue"/>
            <w:tcBorders>
              <w:tl2br w:val="nil"/>
              <w:tr2bl w:val="nil"/>
            </w:tcBorders>
            <w:noWrap w:val="0"/>
            <w:vAlign w:val="top"/>
          </w:tcPr>
          <w:p w14:paraId="75F9350A">
            <w:pPr>
              <w:tabs>
                <w:tab w:val="left" w:pos="562"/>
              </w:tabs>
              <w:rPr>
                <w:rFonts w:ascii="Times New Roman" w:hAnsi="Times New Roman" w:eastAsia="宋体"/>
                <w:bCs/>
                <w:color w:val="auto"/>
                <w:kern w:val="0"/>
                <w:szCs w:val="21"/>
                <w:highlight w:val="none"/>
              </w:rPr>
            </w:pPr>
          </w:p>
        </w:tc>
      </w:tr>
      <w:tr w14:paraId="21F49E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7001420D">
            <w:pPr>
              <w:jc w:val="center"/>
              <w:rPr>
                <w:rFonts w:ascii="Times New Roman" w:hAnsi="Times New Roman" w:eastAsia="宋体"/>
                <w:color w:val="auto"/>
                <w:kern w:val="1"/>
                <w:szCs w:val="21"/>
                <w:highlight w:val="none"/>
              </w:rPr>
            </w:pPr>
          </w:p>
        </w:tc>
        <w:tc>
          <w:tcPr>
            <w:tcW w:w="1373" w:type="pct"/>
            <w:tcBorders>
              <w:tl2br w:val="nil"/>
              <w:tr2bl w:val="nil"/>
            </w:tcBorders>
            <w:noWrap w:val="0"/>
            <w:vAlign w:val="center"/>
          </w:tcPr>
          <w:p w14:paraId="15ADFA4B">
            <w:pPr>
              <w:jc w:val="center"/>
              <w:rPr>
                <w:rFonts w:ascii="Times New Roman" w:hAnsi="Times New Roman" w:eastAsia="宋体"/>
                <w:color w:val="auto"/>
                <w:kern w:val="1"/>
                <w:szCs w:val="21"/>
                <w:highlight w:val="none"/>
              </w:rPr>
            </w:pPr>
            <w:r>
              <w:rPr>
                <w:rFonts w:ascii="Times New Roman" w:hAnsi="Times New Roman" w:eastAsia="宋体"/>
                <w:color w:val="auto"/>
                <w:kern w:val="1"/>
                <w:szCs w:val="21"/>
                <w:highlight w:val="none"/>
              </w:rPr>
              <w:t>24小时平均</w:t>
            </w:r>
          </w:p>
        </w:tc>
        <w:tc>
          <w:tcPr>
            <w:tcW w:w="1150" w:type="pct"/>
            <w:tcBorders>
              <w:tl2br w:val="nil"/>
              <w:tr2bl w:val="nil"/>
            </w:tcBorders>
            <w:noWrap w:val="0"/>
            <w:vAlign w:val="center"/>
          </w:tcPr>
          <w:p w14:paraId="2BAEBEB5">
            <w:pPr>
              <w:jc w:val="center"/>
              <w:rPr>
                <w:rFonts w:ascii="Times New Roman" w:hAnsi="Times New Roman" w:eastAsia="宋体"/>
                <w:color w:val="auto"/>
                <w:kern w:val="1"/>
                <w:szCs w:val="21"/>
                <w:highlight w:val="none"/>
              </w:rPr>
            </w:pPr>
            <w:r>
              <w:rPr>
                <w:rFonts w:ascii="Times New Roman" w:hAnsi="Times New Roman" w:eastAsia="宋体"/>
                <w:color w:val="auto"/>
                <w:kern w:val="1"/>
                <w:szCs w:val="21"/>
                <w:highlight w:val="none"/>
              </w:rPr>
              <w:t>100</w:t>
            </w:r>
          </w:p>
        </w:tc>
        <w:tc>
          <w:tcPr>
            <w:tcW w:w="1564" w:type="pct"/>
            <w:vMerge w:val="continue"/>
            <w:tcBorders>
              <w:tl2br w:val="nil"/>
              <w:tr2bl w:val="nil"/>
            </w:tcBorders>
            <w:noWrap w:val="0"/>
            <w:vAlign w:val="top"/>
          </w:tcPr>
          <w:p w14:paraId="1B26C858">
            <w:pPr>
              <w:tabs>
                <w:tab w:val="left" w:pos="562"/>
              </w:tabs>
              <w:rPr>
                <w:rFonts w:ascii="Times New Roman" w:hAnsi="Times New Roman" w:eastAsia="宋体"/>
                <w:bCs/>
                <w:color w:val="auto"/>
                <w:kern w:val="0"/>
                <w:szCs w:val="21"/>
                <w:highlight w:val="none"/>
              </w:rPr>
            </w:pPr>
          </w:p>
        </w:tc>
      </w:tr>
      <w:tr w14:paraId="7FBF61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42A74686">
            <w:pPr>
              <w:jc w:val="center"/>
              <w:rPr>
                <w:rFonts w:ascii="Times New Roman" w:hAnsi="Times New Roman" w:eastAsia="宋体"/>
                <w:color w:val="auto"/>
                <w:kern w:val="1"/>
                <w:szCs w:val="21"/>
                <w:highlight w:val="none"/>
              </w:rPr>
            </w:pPr>
          </w:p>
        </w:tc>
        <w:tc>
          <w:tcPr>
            <w:tcW w:w="1373" w:type="pct"/>
            <w:tcBorders>
              <w:tl2br w:val="nil"/>
              <w:tr2bl w:val="nil"/>
            </w:tcBorders>
            <w:noWrap w:val="0"/>
            <w:vAlign w:val="center"/>
          </w:tcPr>
          <w:p w14:paraId="58B48456">
            <w:pPr>
              <w:jc w:val="center"/>
              <w:rPr>
                <w:rFonts w:ascii="Times New Roman" w:hAnsi="Times New Roman" w:eastAsia="宋体"/>
                <w:color w:val="auto"/>
                <w:kern w:val="1"/>
                <w:szCs w:val="21"/>
                <w:highlight w:val="none"/>
              </w:rPr>
            </w:pPr>
            <w:r>
              <w:rPr>
                <w:rFonts w:ascii="Times New Roman" w:hAnsi="Times New Roman" w:eastAsia="宋体"/>
                <w:color w:val="auto"/>
                <w:kern w:val="1"/>
                <w:szCs w:val="21"/>
                <w:highlight w:val="none"/>
              </w:rPr>
              <w:t>1小时平均</w:t>
            </w:r>
          </w:p>
        </w:tc>
        <w:tc>
          <w:tcPr>
            <w:tcW w:w="1150" w:type="pct"/>
            <w:tcBorders>
              <w:tl2br w:val="nil"/>
              <w:tr2bl w:val="nil"/>
            </w:tcBorders>
            <w:noWrap w:val="0"/>
            <w:vAlign w:val="center"/>
          </w:tcPr>
          <w:p w14:paraId="10AE9A11">
            <w:pPr>
              <w:jc w:val="center"/>
              <w:rPr>
                <w:rFonts w:ascii="Times New Roman" w:hAnsi="Times New Roman" w:eastAsia="宋体"/>
                <w:color w:val="auto"/>
                <w:kern w:val="1"/>
                <w:szCs w:val="21"/>
                <w:highlight w:val="none"/>
              </w:rPr>
            </w:pPr>
            <w:r>
              <w:rPr>
                <w:rFonts w:ascii="Times New Roman" w:hAnsi="Times New Roman" w:eastAsia="宋体"/>
                <w:color w:val="auto"/>
                <w:kern w:val="1"/>
                <w:szCs w:val="21"/>
                <w:highlight w:val="none"/>
              </w:rPr>
              <w:t>250</w:t>
            </w:r>
          </w:p>
        </w:tc>
        <w:tc>
          <w:tcPr>
            <w:tcW w:w="1564" w:type="pct"/>
            <w:vMerge w:val="continue"/>
            <w:tcBorders>
              <w:tl2br w:val="nil"/>
              <w:tr2bl w:val="nil"/>
            </w:tcBorders>
            <w:noWrap w:val="0"/>
            <w:vAlign w:val="top"/>
          </w:tcPr>
          <w:p w14:paraId="4E65A0C7">
            <w:pPr>
              <w:tabs>
                <w:tab w:val="left" w:pos="562"/>
              </w:tabs>
              <w:rPr>
                <w:rFonts w:ascii="Times New Roman" w:hAnsi="Times New Roman" w:eastAsia="宋体"/>
                <w:bCs/>
                <w:color w:val="auto"/>
                <w:kern w:val="0"/>
                <w:szCs w:val="21"/>
                <w:highlight w:val="none"/>
              </w:rPr>
            </w:pPr>
          </w:p>
        </w:tc>
      </w:tr>
      <w:tr w14:paraId="195006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restart"/>
            <w:tcBorders>
              <w:tl2br w:val="nil"/>
              <w:tr2bl w:val="nil"/>
            </w:tcBorders>
            <w:noWrap w:val="0"/>
            <w:vAlign w:val="center"/>
          </w:tcPr>
          <w:p w14:paraId="77812483">
            <w:pPr>
              <w:jc w:val="center"/>
              <w:rPr>
                <w:rFonts w:ascii="Times New Roman" w:hAnsi="Times New Roman" w:eastAsia="宋体"/>
                <w:color w:val="auto"/>
                <w:kern w:val="1"/>
                <w:szCs w:val="21"/>
                <w:highlight w:val="none"/>
              </w:rPr>
            </w:pPr>
            <w:r>
              <w:rPr>
                <w:rFonts w:cs="Times New Roman"/>
                <w:color w:val="auto"/>
                <w:sz w:val="21"/>
                <w:szCs w:val="21"/>
                <w:highlight w:val="none"/>
              </w:rPr>
              <w:t>TSP</w:t>
            </w:r>
          </w:p>
        </w:tc>
        <w:tc>
          <w:tcPr>
            <w:tcW w:w="1373" w:type="pct"/>
            <w:tcBorders>
              <w:tl2br w:val="nil"/>
              <w:tr2bl w:val="nil"/>
            </w:tcBorders>
            <w:noWrap w:val="0"/>
            <w:vAlign w:val="center"/>
          </w:tcPr>
          <w:p w14:paraId="2FF52075">
            <w:pPr>
              <w:jc w:val="center"/>
              <w:textAlignment w:val="center"/>
              <w:rPr>
                <w:rFonts w:ascii="Times New Roman" w:hAnsi="Times New Roman" w:eastAsia="宋体"/>
                <w:color w:val="auto"/>
                <w:kern w:val="1"/>
                <w:szCs w:val="21"/>
                <w:highlight w:val="none"/>
              </w:rPr>
            </w:pPr>
            <w:r>
              <w:rPr>
                <w:rFonts w:cs="Times New Roman"/>
                <w:color w:val="auto"/>
                <w:sz w:val="21"/>
                <w:szCs w:val="21"/>
                <w:highlight w:val="none"/>
                <w:lang w:bidi="ar"/>
              </w:rPr>
              <w:t>24小时平均</w:t>
            </w:r>
          </w:p>
        </w:tc>
        <w:tc>
          <w:tcPr>
            <w:tcW w:w="1150" w:type="pct"/>
            <w:tcBorders>
              <w:tl2br w:val="nil"/>
              <w:tr2bl w:val="nil"/>
            </w:tcBorders>
            <w:noWrap w:val="0"/>
            <w:vAlign w:val="center"/>
          </w:tcPr>
          <w:p w14:paraId="60EF2426">
            <w:pPr>
              <w:jc w:val="center"/>
              <w:textAlignment w:val="center"/>
              <w:rPr>
                <w:rFonts w:ascii="Times New Roman" w:hAnsi="Times New Roman" w:eastAsia="宋体"/>
                <w:color w:val="auto"/>
                <w:kern w:val="1"/>
                <w:szCs w:val="21"/>
                <w:highlight w:val="none"/>
              </w:rPr>
            </w:pPr>
            <w:r>
              <w:rPr>
                <w:rFonts w:cs="Times New Roman"/>
                <w:color w:val="auto"/>
                <w:sz w:val="21"/>
                <w:szCs w:val="21"/>
                <w:highlight w:val="none"/>
                <w:lang w:bidi="ar"/>
              </w:rPr>
              <w:t>300</w:t>
            </w:r>
          </w:p>
        </w:tc>
        <w:tc>
          <w:tcPr>
            <w:tcW w:w="1564" w:type="pct"/>
            <w:vMerge w:val="continue"/>
            <w:tcBorders>
              <w:tl2br w:val="nil"/>
              <w:tr2bl w:val="nil"/>
            </w:tcBorders>
            <w:noWrap w:val="0"/>
            <w:vAlign w:val="top"/>
          </w:tcPr>
          <w:p w14:paraId="6079536B">
            <w:pPr>
              <w:tabs>
                <w:tab w:val="left" w:pos="562"/>
              </w:tabs>
              <w:rPr>
                <w:rFonts w:ascii="Times New Roman" w:hAnsi="Times New Roman" w:eastAsia="宋体"/>
                <w:bCs/>
                <w:color w:val="auto"/>
                <w:kern w:val="0"/>
                <w:szCs w:val="21"/>
                <w:highlight w:val="none"/>
              </w:rPr>
            </w:pPr>
          </w:p>
        </w:tc>
      </w:tr>
      <w:tr w14:paraId="3B70BAA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vMerge w:val="continue"/>
            <w:tcBorders>
              <w:tl2br w:val="nil"/>
              <w:tr2bl w:val="nil"/>
            </w:tcBorders>
            <w:noWrap w:val="0"/>
            <w:vAlign w:val="center"/>
          </w:tcPr>
          <w:p w14:paraId="39E868A3">
            <w:pPr>
              <w:jc w:val="center"/>
              <w:rPr>
                <w:rFonts w:ascii="Times New Roman" w:hAnsi="Times New Roman" w:eastAsia="宋体"/>
                <w:color w:val="auto"/>
                <w:kern w:val="1"/>
                <w:szCs w:val="21"/>
                <w:highlight w:val="none"/>
              </w:rPr>
            </w:pPr>
          </w:p>
        </w:tc>
        <w:tc>
          <w:tcPr>
            <w:tcW w:w="1373" w:type="pct"/>
            <w:tcBorders>
              <w:tl2br w:val="nil"/>
              <w:tr2bl w:val="nil"/>
            </w:tcBorders>
            <w:noWrap w:val="0"/>
            <w:vAlign w:val="center"/>
          </w:tcPr>
          <w:p w14:paraId="710E88C8">
            <w:pPr>
              <w:jc w:val="center"/>
              <w:textAlignment w:val="center"/>
              <w:rPr>
                <w:rFonts w:ascii="Times New Roman" w:hAnsi="Times New Roman" w:eastAsia="宋体"/>
                <w:color w:val="auto"/>
                <w:kern w:val="1"/>
                <w:szCs w:val="21"/>
                <w:highlight w:val="none"/>
              </w:rPr>
            </w:pPr>
            <w:r>
              <w:rPr>
                <w:rFonts w:cs="Times New Roman"/>
                <w:color w:val="auto"/>
                <w:sz w:val="21"/>
                <w:szCs w:val="21"/>
                <w:highlight w:val="none"/>
                <w:lang w:bidi="ar"/>
              </w:rPr>
              <w:t>年平均</w:t>
            </w:r>
          </w:p>
        </w:tc>
        <w:tc>
          <w:tcPr>
            <w:tcW w:w="1150" w:type="pct"/>
            <w:tcBorders>
              <w:bottom w:val="single" w:color="auto" w:sz="4" w:space="0"/>
              <w:tl2br w:val="nil"/>
              <w:tr2bl w:val="nil"/>
            </w:tcBorders>
            <w:noWrap w:val="0"/>
            <w:vAlign w:val="center"/>
          </w:tcPr>
          <w:p w14:paraId="73E60353">
            <w:pPr>
              <w:jc w:val="center"/>
              <w:textAlignment w:val="center"/>
              <w:rPr>
                <w:rFonts w:ascii="Times New Roman" w:hAnsi="Times New Roman" w:eastAsia="宋体"/>
                <w:color w:val="auto"/>
                <w:kern w:val="1"/>
                <w:szCs w:val="21"/>
                <w:highlight w:val="none"/>
              </w:rPr>
            </w:pPr>
            <w:r>
              <w:rPr>
                <w:rFonts w:cs="Times New Roman"/>
                <w:color w:val="auto"/>
                <w:sz w:val="21"/>
                <w:szCs w:val="21"/>
                <w:highlight w:val="none"/>
                <w:lang w:bidi="ar"/>
              </w:rPr>
              <w:t>200</w:t>
            </w:r>
          </w:p>
        </w:tc>
        <w:tc>
          <w:tcPr>
            <w:tcW w:w="1564" w:type="pct"/>
            <w:vMerge w:val="continue"/>
            <w:tcBorders>
              <w:bottom w:val="single" w:color="auto" w:sz="4" w:space="0"/>
              <w:tl2br w:val="nil"/>
              <w:tr2bl w:val="nil"/>
            </w:tcBorders>
            <w:noWrap w:val="0"/>
            <w:vAlign w:val="top"/>
          </w:tcPr>
          <w:p w14:paraId="7F56D5D4">
            <w:pPr>
              <w:tabs>
                <w:tab w:val="left" w:pos="562"/>
              </w:tabs>
              <w:rPr>
                <w:rFonts w:ascii="Times New Roman" w:hAnsi="Times New Roman" w:eastAsia="宋体"/>
                <w:bCs/>
                <w:color w:val="auto"/>
                <w:kern w:val="0"/>
                <w:szCs w:val="21"/>
                <w:highlight w:val="none"/>
              </w:rPr>
            </w:pPr>
          </w:p>
        </w:tc>
      </w:tr>
      <w:tr w14:paraId="6234F3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4" w:hRule="atLeast"/>
        </w:trPr>
        <w:tc>
          <w:tcPr>
            <w:tcW w:w="910" w:type="pct"/>
            <w:tcBorders>
              <w:tl2br w:val="nil"/>
              <w:tr2bl w:val="nil"/>
            </w:tcBorders>
            <w:noWrap w:val="0"/>
            <w:vAlign w:val="center"/>
          </w:tcPr>
          <w:p w14:paraId="6D00A22F">
            <w:pPr>
              <w:jc w:val="center"/>
              <w:rPr>
                <w:rFonts w:hint="default" w:ascii="Times New Roman" w:hAnsi="Times New Roman" w:eastAsia="宋体"/>
                <w:color w:val="auto"/>
                <w:kern w:val="1"/>
                <w:szCs w:val="21"/>
                <w:highlight w:val="none"/>
                <w:lang w:val="en-US" w:eastAsia="zh-CN"/>
              </w:rPr>
            </w:pPr>
            <w:r>
              <w:rPr>
                <w:rFonts w:hint="eastAsia" w:ascii="Times New Roman" w:hAnsi="Times New Roman" w:eastAsia="宋体"/>
                <w:color w:val="auto"/>
                <w:kern w:val="1"/>
                <w:szCs w:val="21"/>
                <w:highlight w:val="none"/>
                <w:lang w:val="en-US" w:eastAsia="zh-CN"/>
              </w:rPr>
              <w:t>H</w:t>
            </w:r>
            <w:r>
              <w:rPr>
                <w:rFonts w:hint="eastAsia" w:ascii="Times New Roman" w:hAnsi="Times New Roman" w:eastAsia="宋体"/>
                <w:color w:val="auto"/>
                <w:kern w:val="1"/>
                <w:szCs w:val="21"/>
                <w:highlight w:val="none"/>
                <w:vertAlign w:val="subscript"/>
                <w:lang w:val="en-US" w:eastAsia="zh-CN"/>
              </w:rPr>
              <w:t>2</w:t>
            </w:r>
            <w:r>
              <w:rPr>
                <w:rFonts w:hint="eastAsia" w:ascii="Times New Roman" w:hAnsi="Times New Roman" w:eastAsia="宋体"/>
                <w:color w:val="auto"/>
                <w:kern w:val="1"/>
                <w:szCs w:val="21"/>
                <w:highlight w:val="none"/>
                <w:lang w:val="en-US" w:eastAsia="zh-CN"/>
              </w:rPr>
              <w:t>S</w:t>
            </w:r>
          </w:p>
        </w:tc>
        <w:tc>
          <w:tcPr>
            <w:tcW w:w="1373" w:type="pct"/>
            <w:tcBorders>
              <w:tl2br w:val="nil"/>
              <w:tr2bl w:val="nil"/>
            </w:tcBorders>
            <w:noWrap w:val="0"/>
            <w:vAlign w:val="center"/>
          </w:tcPr>
          <w:p w14:paraId="4CEDF418">
            <w:pPr>
              <w:autoSpaceDE w:val="0"/>
              <w:autoSpaceDN w:val="0"/>
              <w:adjustRightInd w:val="0"/>
              <w:jc w:val="center"/>
              <w:rPr>
                <w:rFonts w:ascii="Times New Roman" w:hAnsi="Times New Roman" w:eastAsia="宋体"/>
                <w:color w:val="auto"/>
                <w:kern w:val="0"/>
                <w:highlight w:val="none"/>
              </w:rPr>
            </w:pPr>
            <w:r>
              <w:rPr>
                <w:rFonts w:ascii="Times New Roman" w:hAnsi="Times New Roman" w:eastAsia="宋体"/>
                <w:color w:val="auto"/>
                <w:kern w:val="0"/>
                <w:highlight w:val="none"/>
              </w:rPr>
              <w:t>1小时平均</w:t>
            </w:r>
          </w:p>
        </w:tc>
        <w:tc>
          <w:tcPr>
            <w:tcW w:w="1150" w:type="pct"/>
            <w:tcBorders>
              <w:top w:val="single" w:color="auto" w:sz="4" w:space="0"/>
              <w:tl2br w:val="nil"/>
              <w:tr2bl w:val="nil"/>
            </w:tcBorders>
            <w:noWrap w:val="0"/>
            <w:vAlign w:val="center"/>
          </w:tcPr>
          <w:p w14:paraId="06629369">
            <w:pPr>
              <w:jc w:val="center"/>
              <w:rPr>
                <w:rFonts w:hint="default" w:ascii="Times New Roman" w:hAnsi="Times New Roman" w:eastAsia="宋体"/>
                <w:color w:val="auto"/>
                <w:kern w:val="0"/>
                <w:highlight w:val="none"/>
                <w:lang w:val="en-US"/>
              </w:rPr>
            </w:pPr>
            <w:r>
              <w:rPr>
                <w:rFonts w:hint="eastAsia" w:ascii="Times New Roman" w:hAnsi="Times New Roman" w:eastAsia="宋体"/>
                <w:color w:val="auto"/>
                <w:kern w:val="0"/>
                <w:highlight w:val="none"/>
                <w:lang w:val="en-US" w:eastAsia="zh-CN"/>
              </w:rPr>
              <w:t>10</w:t>
            </w:r>
          </w:p>
        </w:tc>
        <w:tc>
          <w:tcPr>
            <w:tcW w:w="1564" w:type="pct"/>
            <w:tcBorders>
              <w:top w:val="single" w:color="auto" w:sz="4" w:space="0"/>
              <w:tl2br w:val="nil"/>
              <w:tr2bl w:val="nil"/>
            </w:tcBorders>
            <w:noWrap w:val="0"/>
            <w:vAlign w:val="top"/>
          </w:tcPr>
          <w:p w14:paraId="3A52EEEC">
            <w:pPr>
              <w:keepNext/>
              <w:jc w:val="center"/>
              <w:rPr>
                <w:rFonts w:ascii="Times New Roman" w:hAnsi="Times New Roman" w:eastAsia="宋体"/>
                <w:bCs/>
                <w:color w:val="auto"/>
                <w:kern w:val="0"/>
                <w:szCs w:val="21"/>
                <w:highlight w:val="none"/>
              </w:rPr>
            </w:pPr>
            <w:r>
              <w:rPr>
                <w:rFonts w:hint="eastAsia" w:cs="Times New Roman"/>
                <w:color w:val="auto"/>
                <w:kern w:val="0"/>
                <w:sz w:val="21"/>
                <w:szCs w:val="20"/>
                <w:highlight w:val="none"/>
              </w:rPr>
              <w:t>《环境影响评价技术导则大气环境》（HJ2.2-2018）中附录D</w:t>
            </w:r>
          </w:p>
        </w:tc>
      </w:tr>
      <w:tr w14:paraId="2A49F1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tcBorders>
              <w:tl2br w:val="nil"/>
              <w:tr2bl w:val="nil"/>
            </w:tcBorders>
            <w:noWrap w:val="0"/>
            <w:vAlign w:val="center"/>
          </w:tcPr>
          <w:p w14:paraId="47039C98">
            <w:pPr>
              <w:jc w:val="center"/>
              <w:rPr>
                <w:rFonts w:ascii="Times New Roman" w:hAnsi="Times New Roman" w:eastAsia="宋体"/>
                <w:color w:val="auto"/>
                <w:kern w:val="1"/>
                <w:szCs w:val="21"/>
                <w:highlight w:val="none"/>
              </w:rPr>
            </w:pPr>
            <w:r>
              <w:rPr>
                <w:rFonts w:hint="eastAsia" w:cs="Times New Roman"/>
                <w:color w:val="auto"/>
                <w:kern w:val="0"/>
                <w:sz w:val="21"/>
                <w:szCs w:val="20"/>
                <w:highlight w:val="none"/>
              </w:rPr>
              <w:t>非甲烷总烃</w:t>
            </w:r>
          </w:p>
        </w:tc>
        <w:tc>
          <w:tcPr>
            <w:tcW w:w="1373" w:type="pct"/>
            <w:tcBorders>
              <w:tl2br w:val="nil"/>
              <w:tr2bl w:val="nil"/>
            </w:tcBorders>
            <w:noWrap w:val="0"/>
            <w:vAlign w:val="center"/>
          </w:tcPr>
          <w:p w14:paraId="3E00ABA2">
            <w:pPr>
              <w:jc w:val="center"/>
              <w:rPr>
                <w:rFonts w:ascii="Times New Roman" w:hAnsi="Times New Roman" w:eastAsia="宋体"/>
                <w:color w:val="auto"/>
                <w:kern w:val="0"/>
                <w:highlight w:val="none"/>
                <w:lang w:eastAsia="en-US"/>
              </w:rPr>
            </w:pPr>
            <w:r>
              <w:rPr>
                <w:rFonts w:hint="eastAsia" w:ascii="Times New Roman" w:hAnsi="Times New Roman" w:eastAsia="宋体"/>
                <w:color w:val="auto"/>
                <w:kern w:val="0"/>
                <w:highlight w:val="none"/>
                <w:lang w:eastAsia="en-US"/>
              </w:rPr>
              <w:t>一次浓度值</w:t>
            </w:r>
          </w:p>
        </w:tc>
        <w:tc>
          <w:tcPr>
            <w:tcW w:w="1150" w:type="pct"/>
            <w:tcBorders>
              <w:tl2br w:val="nil"/>
              <w:tr2bl w:val="nil"/>
            </w:tcBorders>
            <w:noWrap w:val="0"/>
            <w:vAlign w:val="center"/>
          </w:tcPr>
          <w:p w14:paraId="3EEC0CE4">
            <w:pPr>
              <w:jc w:val="center"/>
              <w:rPr>
                <w:rFonts w:ascii="Times New Roman" w:hAnsi="Times New Roman" w:eastAsia="宋体"/>
                <w:color w:val="auto"/>
                <w:kern w:val="0"/>
                <w:highlight w:val="none"/>
              </w:rPr>
            </w:pPr>
            <w:r>
              <w:rPr>
                <w:rFonts w:hint="eastAsia" w:cs="Times New Roman"/>
                <w:color w:val="auto"/>
                <w:kern w:val="0"/>
                <w:sz w:val="21"/>
                <w:szCs w:val="20"/>
                <w:highlight w:val="none"/>
              </w:rPr>
              <w:t>2.0</w:t>
            </w:r>
            <w:r>
              <w:rPr>
                <w:rFonts w:cs="Times New Roman"/>
                <w:color w:val="auto"/>
                <w:kern w:val="0"/>
                <w:sz w:val="21"/>
                <w:szCs w:val="20"/>
                <w:highlight w:val="none"/>
              </w:rPr>
              <w:t>mg/m</w:t>
            </w:r>
            <w:r>
              <w:rPr>
                <w:rFonts w:cs="Times New Roman"/>
                <w:color w:val="auto"/>
                <w:kern w:val="0"/>
                <w:sz w:val="21"/>
                <w:szCs w:val="20"/>
                <w:highlight w:val="none"/>
                <w:vertAlign w:val="superscript"/>
              </w:rPr>
              <w:t>3</w:t>
            </w:r>
          </w:p>
        </w:tc>
        <w:tc>
          <w:tcPr>
            <w:tcW w:w="1564" w:type="pct"/>
            <w:tcBorders>
              <w:tl2br w:val="nil"/>
              <w:tr2bl w:val="nil"/>
            </w:tcBorders>
            <w:noWrap w:val="0"/>
            <w:vAlign w:val="top"/>
          </w:tcPr>
          <w:p w14:paraId="4F292F77">
            <w:pPr>
              <w:tabs>
                <w:tab w:val="left" w:pos="562"/>
              </w:tabs>
              <w:snapToGrid w:val="0"/>
              <w:jc w:val="center"/>
              <w:rPr>
                <w:rFonts w:ascii="Times New Roman" w:hAnsi="Times New Roman" w:eastAsia="宋体"/>
                <w:bCs/>
                <w:color w:val="auto"/>
                <w:kern w:val="0"/>
                <w:szCs w:val="21"/>
                <w:highlight w:val="none"/>
              </w:rPr>
            </w:pPr>
            <w:r>
              <w:rPr>
                <w:rFonts w:hint="eastAsia" w:cs="Times New Roman"/>
                <w:color w:val="auto"/>
                <w:kern w:val="0"/>
                <w:sz w:val="21"/>
                <w:szCs w:val="20"/>
                <w:highlight w:val="none"/>
              </w:rPr>
              <w:t>《大气污染物综合排放标准详解》</w:t>
            </w:r>
          </w:p>
        </w:tc>
      </w:tr>
      <w:tr w14:paraId="19DEB6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10" w:type="pct"/>
            <w:tcBorders>
              <w:tl2br w:val="nil"/>
              <w:tr2bl w:val="nil"/>
            </w:tcBorders>
            <w:noWrap w:val="0"/>
            <w:vAlign w:val="center"/>
          </w:tcPr>
          <w:p w14:paraId="68D0918F">
            <w:pPr>
              <w:jc w:val="center"/>
              <w:rPr>
                <w:rFonts w:hint="default" w:eastAsia="宋体" w:cs="Times New Roman"/>
                <w:color w:val="auto"/>
                <w:kern w:val="0"/>
                <w:sz w:val="21"/>
                <w:szCs w:val="20"/>
                <w:highlight w:val="none"/>
                <w:lang w:val="en-US" w:eastAsia="zh-CN"/>
              </w:rPr>
            </w:pPr>
            <w:r>
              <w:rPr>
                <w:rFonts w:hint="eastAsia" w:cs="Times New Roman"/>
                <w:color w:val="auto"/>
                <w:kern w:val="0"/>
                <w:sz w:val="21"/>
                <w:szCs w:val="20"/>
                <w:highlight w:val="none"/>
                <w:lang w:val="en-US" w:eastAsia="zh-CN"/>
              </w:rPr>
              <w:t>甲烷</w:t>
            </w:r>
          </w:p>
        </w:tc>
        <w:tc>
          <w:tcPr>
            <w:tcW w:w="1373" w:type="pct"/>
            <w:tcBorders>
              <w:tl2br w:val="nil"/>
              <w:tr2bl w:val="nil"/>
            </w:tcBorders>
            <w:noWrap w:val="0"/>
            <w:vAlign w:val="center"/>
          </w:tcPr>
          <w:p w14:paraId="228FFC8C">
            <w:pPr>
              <w:jc w:val="center"/>
              <w:rPr>
                <w:rFonts w:hint="eastAsia" w:ascii="Times New Roman" w:hAnsi="Times New Roman" w:eastAsia="宋体"/>
                <w:color w:val="auto"/>
                <w:kern w:val="0"/>
                <w:highlight w:val="none"/>
                <w:lang w:eastAsia="en-US"/>
              </w:rPr>
            </w:pPr>
            <w:r>
              <w:rPr>
                <w:rFonts w:ascii="Times New Roman" w:hAnsi="Times New Roman" w:eastAsia="宋体"/>
                <w:color w:val="auto"/>
                <w:kern w:val="0"/>
                <w:highlight w:val="none"/>
              </w:rPr>
              <w:t>1小时平均</w:t>
            </w:r>
          </w:p>
        </w:tc>
        <w:tc>
          <w:tcPr>
            <w:tcW w:w="1150" w:type="pct"/>
            <w:tcBorders>
              <w:tl2br w:val="nil"/>
              <w:tr2bl w:val="nil"/>
            </w:tcBorders>
            <w:noWrap w:val="0"/>
            <w:vAlign w:val="center"/>
          </w:tcPr>
          <w:p w14:paraId="4754C054">
            <w:pPr>
              <w:jc w:val="center"/>
              <w:rPr>
                <w:rFonts w:hint="eastAsia" w:cs="Times New Roman"/>
                <w:color w:val="auto"/>
                <w:kern w:val="0"/>
                <w:sz w:val="21"/>
                <w:szCs w:val="20"/>
                <w:highlight w:val="none"/>
              </w:rPr>
            </w:pPr>
            <w:r>
              <w:rPr>
                <w:rFonts w:hint="eastAsia" w:cs="Times New Roman"/>
                <w:color w:val="auto"/>
                <w:kern w:val="0"/>
                <w:sz w:val="21"/>
                <w:szCs w:val="20"/>
                <w:highlight w:val="none"/>
                <w:lang w:val="en-US" w:eastAsia="zh-CN"/>
              </w:rPr>
              <w:t>36</w:t>
            </w:r>
            <w:r>
              <w:rPr>
                <w:rFonts w:hint="eastAsia" w:cs="Times New Roman"/>
                <w:color w:val="auto"/>
                <w:kern w:val="0"/>
                <w:sz w:val="21"/>
                <w:szCs w:val="20"/>
                <w:highlight w:val="none"/>
              </w:rPr>
              <w:t>0</w:t>
            </w:r>
          </w:p>
        </w:tc>
        <w:tc>
          <w:tcPr>
            <w:tcW w:w="1564" w:type="pct"/>
            <w:tcBorders>
              <w:tl2br w:val="nil"/>
              <w:tr2bl w:val="nil"/>
            </w:tcBorders>
            <w:noWrap w:val="0"/>
            <w:vAlign w:val="top"/>
          </w:tcPr>
          <w:p w14:paraId="7B6AF6D4">
            <w:pPr>
              <w:tabs>
                <w:tab w:val="left" w:pos="562"/>
              </w:tabs>
              <w:snapToGrid w:val="0"/>
              <w:jc w:val="center"/>
              <w:rPr>
                <w:rFonts w:hint="eastAsia" w:cs="Times New Roman"/>
                <w:color w:val="auto"/>
                <w:kern w:val="0"/>
                <w:sz w:val="21"/>
                <w:szCs w:val="20"/>
                <w:highlight w:val="none"/>
              </w:rPr>
            </w:pPr>
            <w:r>
              <w:rPr>
                <w:rFonts w:hint="eastAsia" w:cs="Times New Roman"/>
                <w:color w:val="auto"/>
                <w:kern w:val="0"/>
                <w:sz w:val="21"/>
                <w:szCs w:val="20"/>
                <w:highlight w:val="none"/>
              </w:rPr>
              <w:t>《大气环境标准工作手册》的公式计算得到的环境质量标准一次值</w:t>
            </w:r>
          </w:p>
        </w:tc>
      </w:tr>
    </w:tbl>
    <w:p w14:paraId="1305ACA5">
      <w:pPr>
        <w:pStyle w:val="107"/>
        <w:spacing w:before="156" w:beforeLines="50"/>
        <w:rPr>
          <w:color w:val="auto"/>
          <w:highlight w:val="none"/>
        </w:rPr>
      </w:pPr>
      <w:r>
        <w:rPr>
          <w:color w:val="auto"/>
          <w:highlight w:val="none"/>
        </w:rPr>
        <w:t>2、地表水环境质量标准</w:t>
      </w:r>
    </w:p>
    <w:p w14:paraId="3E4DB9C7">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本项目</w:t>
      </w:r>
      <w:r>
        <w:rPr>
          <w:rFonts w:hint="eastAsia" w:ascii="Times New Roman" w:hAnsi="Times New Roman" w:eastAsia="宋体"/>
          <w:color w:val="auto"/>
          <w:sz w:val="24"/>
          <w:szCs w:val="24"/>
          <w:highlight w:val="none"/>
          <w:lang w:val="en-US" w:eastAsia="zh-CN"/>
        </w:rPr>
        <w:t>区域</w:t>
      </w:r>
      <w:r>
        <w:rPr>
          <w:rFonts w:ascii="Times New Roman" w:hAnsi="Times New Roman" w:eastAsia="宋体"/>
          <w:color w:val="auto"/>
          <w:sz w:val="24"/>
          <w:szCs w:val="24"/>
          <w:highlight w:val="none"/>
        </w:rPr>
        <w:t>纳污水体为</w:t>
      </w:r>
      <w:r>
        <w:rPr>
          <w:rFonts w:hint="default" w:ascii="Times New Roman" w:hAnsi="Times New Roman" w:eastAsia="宋体" w:cs="Times New Roman"/>
          <w:color w:val="auto"/>
          <w:spacing w:val="0"/>
          <w:position w:val="0"/>
          <w:sz w:val="24"/>
          <w:szCs w:val="24"/>
          <w:highlight w:val="none"/>
        </w:rPr>
        <w:t>林桥涧沟</w:t>
      </w:r>
      <w:r>
        <w:rPr>
          <w:rFonts w:hint="default" w:ascii="Times New Roman" w:hAnsi="Times New Roman" w:eastAsia="宋体" w:cs="Times New Roman"/>
          <w:caps w:val="0"/>
          <w:smallCaps w:val="0"/>
          <w:color w:val="auto"/>
          <w:spacing w:val="0"/>
          <w:w w:val="100"/>
          <w:position w:val="0"/>
          <w:sz w:val="24"/>
          <w:szCs w:val="24"/>
          <w:highlight w:val="none"/>
        </w:rPr>
        <w:t>、</w:t>
      </w:r>
      <w:r>
        <w:rPr>
          <w:rFonts w:hint="default" w:ascii="Times New Roman" w:hAnsi="Times New Roman" w:eastAsia="宋体" w:cs="Times New Roman"/>
          <w:color w:val="auto"/>
          <w:spacing w:val="0"/>
          <w:position w:val="0"/>
          <w:sz w:val="24"/>
          <w:szCs w:val="24"/>
          <w:highlight w:val="none"/>
        </w:rPr>
        <w:t>瓦埠湖</w:t>
      </w:r>
      <w:r>
        <w:rPr>
          <w:rFonts w:ascii="Times New Roman" w:hAnsi="Times New Roman" w:eastAsia="宋体"/>
          <w:color w:val="auto"/>
          <w:sz w:val="24"/>
          <w:szCs w:val="24"/>
          <w:highlight w:val="none"/>
        </w:rPr>
        <w:t>，</w:t>
      </w:r>
      <w:r>
        <w:rPr>
          <w:rFonts w:hint="default" w:ascii="Times New Roman" w:hAnsi="Times New Roman" w:eastAsia="宋体" w:cs="Times New Roman"/>
          <w:color w:val="auto"/>
          <w:spacing w:val="0"/>
          <w:position w:val="0"/>
          <w:sz w:val="24"/>
          <w:szCs w:val="24"/>
          <w:highlight w:val="none"/>
        </w:rPr>
        <w:t>林桥涧沟</w:t>
      </w:r>
      <w:r>
        <w:rPr>
          <w:rFonts w:hint="default" w:ascii="Times New Roman" w:hAnsi="Times New Roman" w:eastAsia="宋体" w:cs="Times New Roman"/>
          <w:caps w:val="0"/>
          <w:smallCaps w:val="0"/>
          <w:color w:val="auto"/>
          <w:spacing w:val="0"/>
          <w:w w:val="100"/>
          <w:position w:val="0"/>
          <w:sz w:val="24"/>
          <w:szCs w:val="24"/>
          <w:highlight w:val="none"/>
        </w:rPr>
        <w:t>、</w:t>
      </w:r>
      <w:r>
        <w:rPr>
          <w:rFonts w:hint="default" w:ascii="Times New Roman" w:hAnsi="Times New Roman" w:eastAsia="宋体" w:cs="Times New Roman"/>
          <w:color w:val="auto"/>
          <w:spacing w:val="0"/>
          <w:position w:val="0"/>
          <w:sz w:val="24"/>
          <w:szCs w:val="24"/>
          <w:highlight w:val="none"/>
        </w:rPr>
        <w:t>瓦埠湖</w:t>
      </w:r>
      <w:r>
        <w:rPr>
          <w:rFonts w:ascii="Times New Roman" w:hAnsi="Times New Roman" w:eastAsia="宋体"/>
          <w:color w:val="auto"/>
          <w:sz w:val="24"/>
          <w:szCs w:val="24"/>
          <w:highlight w:val="none"/>
        </w:rPr>
        <w:t>执行《地表水环境质量标准》</w:t>
      </w:r>
      <w:r>
        <w:rPr>
          <w:rFonts w:hint="eastAsia"/>
          <w:color w:val="auto"/>
          <w:sz w:val="24"/>
          <w:szCs w:val="24"/>
          <w:highlight w:val="none"/>
          <w:lang w:eastAsia="zh-CN"/>
        </w:rPr>
        <w:t>（</w:t>
      </w:r>
      <w:r>
        <w:rPr>
          <w:rFonts w:ascii="Times New Roman" w:hAnsi="Times New Roman" w:eastAsia="宋体"/>
          <w:color w:val="auto"/>
          <w:sz w:val="24"/>
          <w:szCs w:val="24"/>
          <w:highlight w:val="none"/>
        </w:rPr>
        <w:t>GB3838-2002</w:t>
      </w:r>
      <w:r>
        <w:rPr>
          <w:rFonts w:hint="eastAsia"/>
          <w:color w:val="auto"/>
          <w:sz w:val="24"/>
          <w:szCs w:val="24"/>
          <w:highlight w:val="none"/>
          <w:lang w:eastAsia="zh-CN"/>
        </w:rPr>
        <w:t>）</w:t>
      </w:r>
      <w:r>
        <w:rPr>
          <w:rFonts w:ascii="Times New Roman" w:hAnsi="Times New Roman" w:eastAsia="宋体"/>
          <w:color w:val="auto"/>
          <w:sz w:val="24"/>
          <w:szCs w:val="24"/>
          <w:highlight w:val="none"/>
        </w:rPr>
        <w:t>中III类水质标准。</w:t>
      </w:r>
    </w:p>
    <w:p w14:paraId="53FC2293">
      <w:pPr>
        <w:pStyle w:val="23"/>
        <w:spacing w:line="360" w:lineRule="auto"/>
        <w:jc w:val="center"/>
        <w:rPr>
          <w:rFonts w:hint="default" w:ascii="Times New Roman" w:hAnsi="Times New Roman" w:eastAsia="宋体" w:cs="Times New Roman"/>
          <w:b/>
          <w:caps w:val="0"/>
          <w:smallCaps w:val="0"/>
          <w:color w:val="auto"/>
          <w:kern w:val="2"/>
          <w:sz w:val="24"/>
          <w:szCs w:val="21"/>
          <w:highlight w:val="none"/>
          <w:lang w:val="en-US" w:eastAsia="zh-CN" w:bidi="ar-SA"/>
        </w:rPr>
      </w:pPr>
      <w:r>
        <w:rPr>
          <w:rFonts w:hint="default" w:ascii="Times New Roman" w:hAnsi="Times New Roman" w:eastAsia="宋体" w:cs="Times New Roman"/>
          <w:b/>
          <w:caps w:val="0"/>
          <w:smallCaps w:val="0"/>
          <w:color w:val="auto"/>
          <w:kern w:val="2"/>
          <w:sz w:val="24"/>
          <w:szCs w:val="21"/>
          <w:highlight w:val="none"/>
          <w:lang w:val="en-US" w:eastAsia="zh-CN" w:bidi="ar-SA"/>
        </w:rPr>
        <w:t>表2.2.</w:t>
      </w:r>
      <w:r>
        <w:rPr>
          <w:rFonts w:hint="eastAsia" w:ascii="Times New Roman" w:hAnsi="Times New Roman" w:eastAsia="宋体" w:cs="Times New Roman"/>
          <w:b/>
          <w:caps w:val="0"/>
          <w:smallCaps w:val="0"/>
          <w:color w:val="auto"/>
          <w:kern w:val="2"/>
          <w:sz w:val="24"/>
          <w:szCs w:val="21"/>
          <w:highlight w:val="none"/>
          <w:lang w:val="en-US" w:eastAsia="zh-CN" w:bidi="ar-SA"/>
        </w:rPr>
        <w:t>3</w:t>
      </w:r>
      <w:r>
        <w:rPr>
          <w:rFonts w:hint="default" w:ascii="Times New Roman" w:hAnsi="Times New Roman" w:eastAsia="宋体" w:cs="Times New Roman"/>
          <w:b/>
          <w:caps w:val="0"/>
          <w:smallCaps w:val="0"/>
          <w:color w:val="auto"/>
          <w:kern w:val="2"/>
          <w:sz w:val="24"/>
          <w:szCs w:val="21"/>
          <w:highlight w:val="none"/>
          <w:lang w:val="en-US" w:eastAsia="zh-CN" w:bidi="ar-SA"/>
        </w:rPr>
        <w:t>-2</w:t>
      </w:r>
      <w:r>
        <w:rPr>
          <w:rFonts w:hint="eastAsia" w:ascii="Times New Roman" w:hAnsi="Times New Roman" w:cs="Times New Roman"/>
          <w:b/>
          <w:caps w:val="0"/>
          <w:smallCaps w:val="0"/>
          <w:color w:val="auto"/>
          <w:kern w:val="2"/>
          <w:sz w:val="24"/>
          <w:szCs w:val="21"/>
          <w:highlight w:val="none"/>
          <w:lang w:val="en-US" w:eastAsia="zh-CN" w:bidi="ar-SA"/>
        </w:rPr>
        <w:t xml:space="preserve">  </w:t>
      </w:r>
      <w:r>
        <w:rPr>
          <w:rFonts w:hint="default" w:ascii="Times New Roman" w:hAnsi="Times New Roman" w:eastAsia="宋体" w:cs="Times New Roman"/>
          <w:b/>
          <w:caps w:val="0"/>
          <w:smallCaps w:val="0"/>
          <w:color w:val="auto"/>
          <w:kern w:val="2"/>
          <w:sz w:val="24"/>
          <w:szCs w:val="21"/>
          <w:highlight w:val="none"/>
          <w:lang w:val="en-US" w:eastAsia="zh-CN" w:bidi="ar-SA"/>
        </w:rPr>
        <w:t>地表水环境质量标准单位：mg/L，pH无量纲</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2978"/>
        <w:gridCol w:w="1983"/>
        <w:gridCol w:w="3028"/>
      </w:tblGrid>
      <w:tr w14:paraId="6C082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noWrap w:val="0"/>
            <w:vAlign w:val="center"/>
          </w:tcPr>
          <w:p w14:paraId="1D6918DD">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序号</w:t>
            </w:r>
          </w:p>
        </w:tc>
        <w:tc>
          <w:tcPr>
            <w:tcW w:w="2978" w:type="dxa"/>
            <w:noWrap w:val="0"/>
            <w:vAlign w:val="center"/>
          </w:tcPr>
          <w:p w14:paraId="2BA8894C">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参数</w:t>
            </w:r>
          </w:p>
        </w:tc>
        <w:tc>
          <w:tcPr>
            <w:tcW w:w="1983" w:type="dxa"/>
            <w:noWrap w:val="0"/>
            <w:vAlign w:val="center"/>
          </w:tcPr>
          <w:p w14:paraId="26084E6D">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Ⅲ类</w:t>
            </w:r>
          </w:p>
        </w:tc>
        <w:tc>
          <w:tcPr>
            <w:tcW w:w="3028" w:type="dxa"/>
            <w:noWrap w:val="0"/>
            <w:vAlign w:val="center"/>
          </w:tcPr>
          <w:p w14:paraId="6B02B037">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标准来源</w:t>
            </w:r>
          </w:p>
        </w:tc>
      </w:tr>
      <w:tr w14:paraId="365F8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noWrap w:val="0"/>
            <w:vAlign w:val="center"/>
          </w:tcPr>
          <w:p w14:paraId="1DBF335A">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w:t>
            </w:r>
          </w:p>
        </w:tc>
        <w:tc>
          <w:tcPr>
            <w:tcW w:w="2978" w:type="dxa"/>
            <w:noWrap w:val="0"/>
            <w:vAlign w:val="center"/>
          </w:tcPr>
          <w:p w14:paraId="2D4107ED">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pH值</w:t>
            </w:r>
          </w:p>
        </w:tc>
        <w:tc>
          <w:tcPr>
            <w:tcW w:w="1983" w:type="dxa"/>
            <w:noWrap w:val="0"/>
            <w:vAlign w:val="center"/>
          </w:tcPr>
          <w:p w14:paraId="5445B6C5">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6-9</w:t>
            </w:r>
          </w:p>
        </w:tc>
        <w:tc>
          <w:tcPr>
            <w:tcW w:w="3028" w:type="dxa"/>
            <w:vMerge w:val="restart"/>
            <w:noWrap w:val="0"/>
            <w:vAlign w:val="center"/>
          </w:tcPr>
          <w:p w14:paraId="40CDF176">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《地表水环境质量标准》（GB3838-2002）III类标准</w:t>
            </w:r>
          </w:p>
        </w:tc>
      </w:tr>
      <w:tr w14:paraId="1DD56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noWrap w:val="0"/>
            <w:vAlign w:val="center"/>
          </w:tcPr>
          <w:p w14:paraId="028731D2">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w:t>
            </w:r>
          </w:p>
        </w:tc>
        <w:tc>
          <w:tcPr>
            <w:tcW w:w="2978" w:type="dxa"/>
            <w:noWrap w:val="0"/>
            <w:vAlign w:val="center"/>
          </w:tcPr>
          <w:p w14:paraId="323BEE7A">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溶解氧</w:t>
            </w:r>
          </w:p>
        </w:tc>
        <w:tc>
          <w:tcPr>
            <w:tcW w:w="1983" w:type="dxa"/>
            <w:noWrap w:val="0"/>
            <w:vAlign w:val="center"/>
          </w:tcPr>
          <w:p w14:paraId="0F40A4BD">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≥5</w:t>
            </w:r>
          </w:p>
        </w:tc>
        <w:tc>
          <w:tcPr>
            <w:tcW w:w="3028" w:type="dxa"/>
            <w:vMerge w:val="continue"/>
            <w:noWrap w:val="0"/>
            <w:vAlign w:val="center"/>
          </w:tcPr>
          <w:p w14:paraId="2510ED76">
            <w:pPr>
              <w:jc w:val="center"/>
              <w:rPr>
                <w:rFonts w:hint="default" w:ascii="Times New Roman" w:hAnsi="Times New Roman" w:eastAsia="宋体" w:cs="Times New Roman"/>
                <w:caps w:val="0"/>
                <w:smallCaps w:val="0"/>
                <w:color w:val="auto"/>
                <w:szCs w:val="21"/>
                <w:highlight w:val="none"/>
              </w:rPr>
            </w:pPr>
          </w:p>
        </w:tc>
      </w:tr>
      <w:tr w14:paraId="16175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noWrap w:val="0"/>
            <w:vAlign w:val="center"/>
          </w:tcPr>
          <w:p w14:paraId="1B180DD8">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3</w:t>
            </w:r>
          </w:p>
        </w:tc>
        <w:tc>
          <w:tcPr>
            <w:tcW w:w="2978" w:type="dxa"/>
            <w:noWrap w:val="0"/>
            <w:vAlign w:val="center"/>
          </w:tcPr>
          <w:p w14:paraId="5C70F839">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化学需氧量（COD）</w:t>
            </w:r>
          </w:p>
        </w:tc>
        <w:tc>
          <w:tcPr>
            <w:tcW w:w="1983" w:type="dxa"/>
            <w:noWrap w:val="0"/>
            <w:vAlign w:val="center"/>
          </w:tcPr>
          <w:p w14:paraId="71AE9252">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≤20</w:t>
            </w:r>
          </w:p>
        </w:tc>
        <w:tc>
          <w:tcPr>
            <w:tcW w:w="3028" w:type="dxa"/>
            <w:vMerge w:val="continue"/>
            <w:noWrap w:val="0"/>
            <w:vAlign w:val="center"/>
          </w:tcPr>
          <w:p w14:paraId="1D10A74F">
            <w:pPr>
              <w:jc w:val="center"/>
              <w:rPr>
                <w:rFonts w:hint="default" w:ascii="Times New Roman" w:hAnsi="Times New Roman" w:eastAsia="宋体" w:cs="Times New Roman"/>
                <w:caps w:val="0"/>
                <w:smallCaps w:val="0"/>
                <w:color w:val="auto"/>
                <w:szCs w:val="21"/>
                <w:highlight w:val="none"/>
              </w:rPr>
            </w:pPr>
          </w:p>
        </w:tc>
      </w:tr>
      <w:tr w14:paraId="68B63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8" w:type="dxa"/>
            <w:noWrap w:val="0"/>
            <w:vAlign w:val="center"/>
          </w:tcPr>
          <w:p w14:paraId="649BB3FE">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4</w:t>
            </w:r>
          </w:p>
        </w:tc>
        <w:tc>
          <w:tcPr>
            <w:tcW w:w="2978" w:type="dxa"/>
            <w:noWrap w:val="0"/>
            <w:vAlign w:val="center"/>
          </w:tcPr>
          <w:p w14:paraId="0E180FF1">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高锰酸盐指数</w:t>
            </w:r>
          </w:p>
        </w:tc>
        <w:tc>
          <w:tcPr>
            <w:tcW w:w="1983" w:type="dxa"/>
            <w:noWrap w:val="0"/>
            <w:vAlign w:val="center"/>
          </w:tcPr>
          <w:p w14:paraId="57D2488E">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≤6</w:t>
            </w:r>
          </w:p>
        </w:tc>
        <w:tc>
          <w:tcPr>
            <w:tcW w:w="3028" w:type="dxa"/>
            <w:vMerge w:val="continue"/>
            <w:noWrap w:val="0"/>
            <w:vAlign w:val="center"/>
          </w:tcPr>
          <w:p w14:paraId="26120078">
            <w:pPr>
              <w:jc w:val="center"/>
              <w:rPr>
                <w:rFonts w:hint="default" w:ascii="Times New Roman" w:hAnsi="Times New Roman" w:eastAsia="宋体" w:cs="Times New Roman"/>
                <w:caps w:val="0"/>
                <w:smallCaps w:val="0"/>
                <w:color w:val="auto"/>
                <w:szCs w:val="21"/>
                <w:highlight w:val="none"/>
              </w:rPr>
            </w:pPr>
          </w:p>
        </w:tc>
      </w:tr>
      <w:tr w14:paraId="78D16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958" w:type="dxa"/>
            <w:noWrap w:val="0"/>
            <w:vAlign w:val="center"/>
          </w:tcPr>
          <w:p w14:paraId="275BE2A8">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5</w:t>
            </w:r>
          </w:p>
        </w:tc>
        <w:tc>
          <w:tcPr>
            <w:tcW w:w="2978" w:type="dxa"/>
            <w:noWrap w:val="0"/>
            <w:vAlign w:val="center"/>
          </w:tcPr>
          <w:p w14:paraId="20959D86">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NH</w:t>
            </w:r>
            <w:r>
              <w:rPr>
                <w:rFonts w:hint="default" w:ascii="Times New Roman" w:hAnsi="Times New Roman" w:eastAsia="宋体" w:cs="Times New Roman"/>
                <w:caps w:val="0"/>
                <w:smallCaps w:val="0"/>
                <w:color w:val="auto"/>
                <w:szCs w:val="21"/>
                <w:highlight w:val="none"/>
                <w:vertAlign w:val="subscript"/>
              </w:rPr>
              <w:t>3</w:t>
            </w:r>
            <w:r>
              <w:rPr>
                <w:rFonts w:hint="default" w:ascii="Times New Roman" w:hAnsi="Times New Roman" w:eastAsia="宋体" w:cs="Times New Roman"/>
                <w:caps w:val="0"/>
                <w:smallCaps w:val="0"/>
                <w:color w:val="auto"/>
                <w:szCs w:val="21"/>
                <w:highlight w:val="none"/>
              </w:rPr>
              <w:t>-N</w:t>
            </w:r>
          </w:p>
        </w:tc>
        <w:tc>
          <w:tcPr>
            <w:tcW w:w="1983" w:type="dxa"/>
            <w:noWrap w:val="0"/>
            <w:vAlign w:val="center"/>
          </w:tcPr>
          <w:p w14:paraId="07DB6B91">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≤1.0</w:t>
            </w:r>
          </w:p>
        </w:tc>
        <w:tc>
          <w:tcPr>
            <w:tcW w:w="3028" w:type="dxa"/>
            <w:vMerge w:val="continue"/>
            <w:noWrap w:val="0"/>
            <w:vAlign w:val="center"/>
          </w:tcPr>
          <w:p w14:paraId="670E3F45">
            <w:pPr>
              <w:jc w:val="center"/>
              <w:rPr>
                <w:rFonts w:hint="default" w:ascii="Times New Roman" w:hAnsi="Times New Roman" w:eastAsia="宋体" w:cs="Times New Roman"/>
                <w:caps w:val="0"/>
                <w:smallCaps w:val="0"/>
                <w:color w:val="auto"/>
                <w:szCs w:val="21"/>
                <w:highlight w:val="none"/>
              </w:rPr>
            </w:pPr>
          </w:p>
        </w:tc>
      </w:tr>
      <w:tr w14:paraId="7D413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8" w:type="dxa"/>
            <w:noWrap w:val="0"/>
            <w:vAlign w:val="center"/>
          </w:tcPr>
          <w:p w14:paraId="5F17625E">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6</w:t>
            </w:r>
          </w:p>
        </w:tc>
        <w:tc>
          <w:tcPr>
            <w:tcW w:w="2978" w:type="dxa"/>
            <w:noWrap w:val="0"/>
            <w:vAlign w:val="center"/>
          </w:tcPr>
          <w:p w14:paraId="3E373984">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总磷（以P计）</w:t>
            </w:r>
          </w:p>
        </w:tc>
        <w:tc>
          <w:tcPr>
            <w:tcW w:w="1983" w:type="dxa"/>
            <w:noWrap w:val="0"/>
            <w:vAlign w:val="center"/>
          </w:tcPr>
          <w:p w14:paraId="711BE564">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≤0.2</w:t>
            </w:r>
          </w:p>
        </w:tc>
        <w:tc>
          <w:tcPr>
            <w:tcW w:w="3028" w:type="dxa"/>
            <w:vMerge w:val="continue"/>
            <w:noWrap w:val="0"/>
            <w:vAlign w:val="center"/>
          </w:tcPr>
          <w:p w14:paraId="32219117">
            <w:pPr>
              <w:jc w:val="center"/>
              <w:rPr>
                <w:rFonts w:hint="default" w:ascii="Times New Roman" w:hAnsi="Times New Roman" w:eastAsia="宋体" w:cs="Times New Roman"/>
                <w:caps w:val="0"/>
                <w:smallCaps w:val="0"/>
                <w:color w:val="auto"/>
                <w:szCs w:val="21"/>
                <w:highlight w:val="none"/>
              </w:rPr>
            </w:pPr>
          </w:p>
        </w:tc>
      </w:tr>
      <w:tr w14:paraId="6E0FB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958" w:type="dxa"/>
            <w:noWrap w:val="0"/>
            <w:vAlign w:val="center"/>
          </w:tcPr>
          <w:p w14:paraId="5B7C7B9B">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7</w:t>
            </w:r>
          </w:p>
        </w:tc>
        <w:tc>
          <w:tcPr>
            <w:tcW w:w="2978" w:type="dxa"/>
            <w:noWrap w:val="0"/>
            <w:vAlign w:val="center"/>
          </w:tcPr>
          <w:p w14:paraId="6B16E9F1">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石油类</w:t>
            </w:r>
          </w:p>
        </w:tc>
        <w:tc>
          <w:tcPr>
            <w:tcW w:w="1983" w:type="dxa"/>
            <w:noWrap w:val="0"/>
            <w:vAlign w:val="center"/>
          </w:tcPr>
          <w:p w14:paraId="77C077BC">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≤0.05</w:t>
            </w:r>
          </w:p>
        </w:tc>
        <w:tc>
          <w:tcPr>
            <w:tcW w:w="3028" w:type="dxa"/>
            <w:vMerge w:val="continue"/>
            <w:noWrap w:val="0"/>
            <w:vAlign w:val="center"/>
          </w:tcPr>
          <w:p w14:paraId="194C720A">
            <w:pPr>
              <w:jc w:val="center"/>
              <w:rPr>
                <w:rFonts w:hint="default" w:ascii="Times New Roman" w:hAnsi="Times New Roman" w:eastAsia="宋体" w:cs="Times New Roman"/>
                <w:caps w:val="0"/>
                <w:smallCaps w:val="0"/>
                <w:color w:val="auto"/>
                <w:szCs w:val="21"/>
                <w:highlight w:val="none"/>
              </w:rPr>
            </w:pPr>
          </w:p>
        </w:tc>
      </w:tr>
      <w:tr w14:paraId="371A1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958" w:type="dxa"/>
            <w:noWrap w:val="0"/>
            <w:vAlign w:val="center"/>
          </w:tcPr>
          <w:p w14:paraId="4EA0BCC2">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8</w:t>
            </w:r>
          </w:p>
        </w:tc>
        <w:tc>
          <w:tcPr>
            <w:tcW w:w="2978" w:type="dxa"/>
            <w:noWrap w:val="0"/>
            <w:vAlign w:val="center"/>
          </w:tcPr>
          <w:p w14:paraId="59E06009">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五日生化需氧量（BOD</w:t>
            </w:r>
            <w:r>
              <w:rPr>
                <w:rFonts w:hint="default" w:ascii="Times New Roman" w:hAnsi="Times New Roman" w:eastAsia="宋体" w:cs="Times New Roman"/>
                <w:caps w:val="0"/>
                <w:smallCaps w:val="0"/>
                <w:color w:val="auto"/>
                <w:szCs w:val="21"/>
                <w:highlight w:val="none"/>
                <w:vertAlign w:val="subscript"/>
              </w:rPr>
              <w:t>5</w:t>
            </w:r>
            <w:r>
              <w:rPr>
                <w:rFonts w:hint="default" w:ascii="Times New Roman" w:hAnsi="Times New Roman" w:eastAsia="宋体" w:cs="Times New Roman"/>
                <w:caps w:val="0"/>
                <w:smallCaps w:val="0"/>
                <w:color w:val="auto"/>
                <w:szCs w:val="21"/>
                <w:highlight w:val="none"/>
              </w:rPr>
              <w:t>）</w:t>
            </w:r>
          </w:p>
        </w:tc>
        <w:tc>
          <w:tcPr>
            <w:tcW w:w="1983" w:type="dxa"/>
            <w:noWrap w:val="0"/>
            <w:vAlign w:val="center"/>
          </w:tcPr>
          <w:p w14:paraId="4D5C3A81">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≤4</w:t>
            </w:r>
          </w:p>
        </w:tc>
        <w:tc>
          <w:tcPr>
            <w:tcW w:w="3028" w:type="dxa"/>
            <w:vMerge w:val="continue"/>
            <w:noWrap w:val="0"/>
            <w:vAlign w:val="center"/>
          </w:tcPr>
          <w:p w14:paraId="700708ED">
            <w:pPr>
              <w:jc w:val="center"/>
              <w:rPr>
                <w:rFonts w:hint="default" w:ascii="Times New Roman" w:hAnsi="Times New Roman" w:eastAsia="宋体" w:cs="Times New Roman"/>
                <w:caps w:val="0"/>
                <w:smallCaps w:val="0"/>
                <w:color w:val="auto"/>
                <w:szCs w:val="21"/>
                <w:highlight w:val="none"/>
              </w:rPr>
            </w:pPr>
          </w:p>
        </w:tc>
      </w:tr>
    </w:tbl>
    <w:p w14:paraId="3EE5E45C">
      <w:pPr>
        <w:pStyle w:val="107"/>
        <w:spacing w:before="156" w:beforeLines="50"/>
        <w:rPr>
          <w:color w:val="auto"/>
          <w:highlight w:val="none"/>
        </w:rPr>
      </w:pPr>
      <w:r>
        <w:rPr>
          <w:color w:val="auto"/>
          <w:highlight w:val="none"/>
        </w:rPr>
        <w:t>3、地下水环境质量标准</w:t>
      </w:r>
    </w:p>
    <w:p w14:paraId="1E9AB2B5">
      <w:pPr>
        <w:snapToGrid w:val="0"/>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aps w:val="0"/>
          <w:smallCaps w:val="0"/>
          <w:color w:val="auto"/>
          <w:spacing w:val="0"/>
          <w:w w:val="100"/>
          <w:position w:val="0"/>
          <w:sz w:val="24"/>
          <w:szCs w:val="24"/>
          <w:highlight w:val="none"/>
        </w:rPr>
        <w:t>区域地下水尚未划分功能区，参照使用功能进行评价。开发区地下水环境质量标准执行《地下水质量标准》（GB/T14848-2017）中III类水质标准。</w:t>
      </w:r>
      <w:r>
        <w:rPr>
          <w:rFonts w:hint="default" w:ascii="Times New Roman" w:hAnsi="Times New Roman" w:eastAsia="宋体" w:cs="Times New Roman"/>
          <w:color w:val="auto"/>
          <w:sz w:val="24"/>
          <w:szCs w:val="24"/>
          <w:highlight w:val="none"/>
        </w:rPr>
        <w:t>具体限值见下表。</w:t>
      </w:r>
    </w:p>
    <w:p w14:paraId="42E5CBDD">
      <w:pPr>
        <w:pStyle w:val="182"/>
        <w:numPr>
          <w:ilvl w:val="0"/>
          <w:numId w:val="0"/>
        </w:numPr>
        <w:tabs>
          <w:tab w:val="clear" w:pos="0"/>
          <w:tab w:val="clear" w:pos="562"/>
        </w:tabs>
        <w:spacing w:line="360" w:lineRule="auto"/>
        <w:ind w:left="210" w:leftChars="100" w:firstLine="482" w:firstLineChars="200"/>
        <w:jc w:val="center"/>
        <w:rPr>
          <w:rFonts w:hint="default" w:ascii="Times New Roman" w:hAnsi="Times New Roman" w:eastAsia="宋体" w:cs="Times New Roman"/>
          <w:b/>
          <w:bCs/>
          <w:caps w:val="0"/>
          <w:smallCaps w:val="0"/>
          <w:color w:val="auto"/>
          <w:sz w:val="24"/>
          <w:szCs w:val="32"/>
          <w:highlight w:val="none"/>
        </w:rPr>
      </w:pPr>
      <w:r>
        <w:rPr>
          <w:rFonts w:hint="default" w:ascii="Times New Roman" w:hAnsi="Times New Roman" w:eastAsia="宋体" w:cs="Times New Roman"/>
          <w:b/>
          <w:caps w:val="0"/>
          <w:smallCaps w:val="0"/>
          <w:color w:val="auto"/>
          <w:highlight w:val="none"/>
        </w:rPr>
        <w:t>表2.2.</w:t>
      </w:r>
      <w:r>
        <w:rPr>
          <w:rFonts w:hint="eastAsia" w:ascii="Times New Roman" w:hAnsi="Times New Roman" w:eastAsia="宋体" w:cs="Times New Roman"/>
          <w:b/>
          <w:caps w:val="0"/>
          <w:smallCaps w:val="0"/>
          <w:color w:val="auto"/>
          <w:highlight w:val="none"/>
          <w:lang w:val="en-US" w:eastAsia="zh-CN"/>
        </w:rPr>
        <w:t>3-</w:t>
      </w:r>
      <w:r>
        <w:rPr>
          <w:rFonts w:hint="default" w:ascii="Times New Roman" w:hAnsi="Times New Roman" w:eastAsia="宋体" w:cs="Times New Roman"/>
          <w:b/>
          <w:caps w:val="0"/>
          <w:smallCaps w:val="0"/>
          <w:color w:val="auto"/>
          <w:highlight w:val="none"/>
        </w:rPr>
        <w:t>3</w:t>
      </w:r>
      <w:r>
        <w:rPr>
          <w:rFonts w:hint="eastAsia" w:cs="Times New Roman"/>
          <w:b/>
          <w:caps w:val="0"/>
          <w:smallCaps w:val="0"/>
          <w:color w:val="auto"/>
          <w:highlight w:val="none"/>
          <w:lang w:val="en-US" w:eastAsia="zh-CN"/>
        </w:rPr>
        <w:t xml:space="preserve">  </w:t>
      </w:r>
      <w:r>
        <w:rPr>
          <w:rFonts w:hint="default" w:ascii="Times New Roman" w:hAnsi="Times New Roman" w:eastAsia="宋体" w:cs="Times New Roman"/>
          <w:b/>
          <w:caps w:val="0"/>
          <w:smallCaps w:val="0"/>
          <w:color w:val="auto"/>
          <w:highlight w:val="none"/>
        </w:rPr>
        <w:t>地下水水质标准</w:t>
      </w:r>
      <w:r>
        <w:rPr>
          <w:rFonts w:hint="default" w:ascii="Times New Roman" w:hAnsi="Times New Roman" w:eastAsia="宋体" w:cs="Times New Roman"/>
          <w:b/>
          <w:bCs/>
          <w:caps w:val="0"/>
          <w:smallCaps w:val="0"/>
          <w:color w:val="auto"/>
          <w:sz w:val="24"/>
          <w:szCs w:val="32"/>
          <w:highlight w:val="none"/>
        </w:rPr>
        <w:t>单位：mg/L，pH无量纲</w:t>
      </w:r>
    </w:p>
    <w:tbl>
      <w:tblPr>
        <w:tblStyle w:val="49"/>
        <w:tblW w:w="89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2750"/>
        <w:gridCol w:w="2409"/>
        <w:gridCol w:w="2602"/>
      </w:tblGrid>
      <w:tr w14:paraId="06045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15695A73">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序号</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26C449B9">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参数</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4FD1C7EC">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Ⅲ类标准</w:t>
            </w:r>
          </w:p>
        </w:tc>
        <w:tc>
          <w:tcPr>
            <w:tcW w:w="2602" w:type="dxa"/>
            <w:tcBorders>
              <w:top w:val="single" w:color="auto" w:sz="4" w:space="0"/>
              <w:left w:val="single" w:color="auto" w:sz="4" w:space="0"/>
              <w:bottom w:val="single" w:color="auto" w:sz="4" w:space="0"/>
              <w:right w:val="single" w:color="auto" w:sz="4" w:space="0"/>
            </w:tcBorders>
            <w:noWrap w:val="0"/>
            <w:vAlign w:val="center"/>
          </w:tcPr>
          <w:p w14:paraId="4F02F75F">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标准来源</w:t>
            </w:r>
          </w:p>
        </w:tc>
      </w:tr>
      <w:tr w14:paraId="4E704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25A5490B">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43476D40">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pH</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711FFFBF">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6.5~8.5</w:t>
            </w:r>
          </w:p>
        </w:tc>
        <w:tc>
          <w:tcPr>
            <w:tcW w:w="2602" w:type="dxa"/>
            <w:vMerge w:val="restart"/>
            <w:tcBorders>
              <w:top w:val="single" w:color="auto" w:sz="4" w:space="0"/>
              <w:left w:val="single" w:color="auto" w:sz="4" w:space="0"/>
              <w:right w:val="single" w:color="auto" w:sz="4" w:space="0"/>
            </w:tcBorders>
            <w:noWrap w:val="0"/>
            <w:vAlign w:val="center"/>
          </w:tcPr>
          <w:p w14:paraId="19605F31">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《地下水质量标准》（GB/T14848-2017）III类标准</w:t>
            </w:r>
          </w:p>
        </w:tc>
      </w:tr>
      <w:tr w14:paraId="6CC7B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0DC7A3F8">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58732D62">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氨氮</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5FC22D36">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≤0.5</w:t>
            </w:r>
          </w:p>
        </w:tc>
        <w:tc>
          <w:tcPr>
            <w:tcW w:w="2602" w:type="dxa"/>
            <w:vMerge w:val="continue"/>
            <w:tcBorders>
              <w:left w:val="single" w:color="auto" w:sz="4" w:space="0"/>
              <w:right w:val="single" w:color="auto" w:sz="4" w:space="0"/>
            </w:tcBorders>
            <w:noWrap w:val="0"/>
            <w:vAlign w:val="center"/>
          </w:tcPr>
          <w:p w14:paraId="7D5E38AB">
            <w:pPr>
              <w:widowControl/>
              <w:jc w:val="left"/>
              <w:rPr>
                <w:rFonts w:hint="default" w:ascii="Times New Roman" w:hAnsi="Times New Roman" w:eastAsia="宋体" w:cs="Times New Roman"/>
                <w:caps w:val="0"/>
                <w:smallCaps w:val="0"/>
                <w:color w:val="auto"/>
                <w:szCs w:val="21"/>
                <w:highlight w:val="none"/>
              </w:rPr>
            </w:pPr>
          </w:p>
        </w:tc>
      </w:tr>
      <w:tr w14:paraId="5BC88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5B3D4110">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3</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0A285EF0">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硝酸盐（以N计）</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336E8F5B">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≤20</w:t>
            </w:r>
          </w:p>
        </w:tc>
        <w:tc>
          <w:tcPr>
            <w:tcW w:w="2602" w:type="dxa"/>
            <w:vMerge w:val="continue"/>
            <w:tcBorders>
              <w:left w:val="single" w:color="auto" w:sz="4" w:space="0"/>
              <w:right w:val="single" w:color="auto" w:sz="4" w:space="0"/>
            </w:tcBorders>
            <w:noWrap w:val="0"/>
            <w:vAlign w:val="center"/>
          </w:tcPr>
          <w:p w14:paraId="5DE8031D">
            <w:pPr>
              <w:widowControl/>
              <w:jc w:val="left"/>
              <w:rPr>
                <w:rFonts w:hint="default" w:ascii="Times New Roman" w:hAnsi="Times New Roman" w:eastAsia="宋体" w:cs="Times New Roman"/>
                <w:caps w:val="0"/>
                <w:smallCaps w:val="0"/>
                <w:color w:val="auto"/>
                <w:szCs w:val="21"/>
                <w:highlight w:val="none"/>
              </w:rPr>
            </w:pPr>
          </w:p>
        </w:tc>
      </w:tr>
      <w:tr w14:paraId="0F6E8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1BBE7A13">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4</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31A628AC">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亚硝酸盐（以N计）</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2BCE597">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≤1.0</w:t>
            </w:r>
          </w:p>
        </w:tc>
        <w:tc>
          <w:tcPr>
            <w:tcW w:w="2602" w:type="dxa"/>
            <w:vMerge w:val="continue"/>
            <w:tcBorders>
              <w:left w:val="single" w:color="auto" w:sz="4" w:space="0"/>
              <w:right w:val="single" w:color="auto" w:sz="4" w:space="0"/>
            </w:tcBorders>
            <w:noWrap w:val="0"/>
            <w:vAlign w:val="center"/>
          </w:tcPr>
          <w:p w14:paraId="6A11F95B">
            <w:pPr>
              <w:widowControl/>
              <w:jc w:val="left"/>
              <w:rPr>
                <w:rFonts w:hint="default" w:ascii="Times New Roman" w:hAnsi="Times New Roman" w:eastAsia="宋体" w:cs="Times New Roman"/>
                <w:caps w:val="0"/>
                <w:smallCaps w:val="0"/>
                <w:color w:val="auto"/>
                <w:szCs w:val="21"/>
                <w:highlight w:val="none"/>
              </w:rPr>
            </w:pPr>
          </w:p>
        </w:tc>
      </w:tr>
      <w:tr w14:paraId="4051E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02CFA90E">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5</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0BFA6CE7">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挥发性酚类</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5863E2D9">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≤0.002</w:t>
            </w:r>
          </w:p>
        </w:tc>
        <w:tc>
          <w:tcPr>
            <w:tcW w:w="2602" w:type="dxa"/>
            <w:vMerge w:val="continue"/>
            <w:tcBorders>
              <w:left w:val="single" w:color="auto" w:sz="4" w:space="0"/>
              <w:right w:val="single" w:color="auto" w:sz="4" w:space="0"/>
            </w:tcBorders>
            <w:noWrap w:val="0"/>
            <w:vAlign w:val="center"/>
          </w:tcPr>
          <w:p w14:paraId="449D9B78">
            <w:pPr>
              <w:widowControl/>
              <w:jc w:val="left"/>
              <w:rPr>
                <w:rFonts w:hint="default" w:ascii="Times New Roman" w:hAnsi="Times New Roman" w:eastAsia="宋体" w:cs="Times New Roman"/>
                <w:caps w:val="0"/>
                <w:smallCaps w:val="0"/>
                <w:color w:val="auto"/>
                <w:szCs w:val="21"/>
                <w:highlight w:val="none"/>
              </w:rPr>
            </w:pPr>
          </w:p>
        </w:tc>
      </w:tr>
      <w:tr w14:paraId="63D5D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373982E7">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6</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356C9686">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氰化物</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7CB9E006">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≤0.05</w:t>
            </w:r>
          </w:p>
        </w:tc>
        <w:tc>
          <w:tcPr>
            <w:tcW w:w="2602" w:type="dxa"/>
            <w:vMerge w:val="continue"/>
            <w:tcBorders>
              <w:left w:val="single" w:color="auto" w:sz="4" w:space="0"/>
              <w:right w:val="single" w:color="auto" w:sz="4" w:space="0"/>
            </w:tcBorders>
            <w:noWrap w:val="0"/>
            <w:vAlign w:val="center"/>
          </w:tcPr>
          <w:p w14:paraId="7FF5C1B7">
            <w:pPr>
              <w:widowControl/>
              <w:jc w:val="left"/>
              <w:rPr>
                <w:rFonts w:hint="default" w:ascii="Times New Roman" w:hAnsi="Times New Roman" w:eastAsia="宋体" w:cs="Times New Roman"/>
                <w:caps w:val="0"/>
                <w:smallCaps w:val="0"/>
                <w:color w:val="auto"/>
                <w:szCs w:val="21"/>
                <w:highlight w:val="none"/>
              </w:rPr>
            </w:pPr>
          </w:p>
        </w:tc>
      </w:tr>
      <w:tr w14:paraId="5E9F8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6B87EC72">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7</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66ADBB6D">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砷</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65EC958">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≤0.01</w:t>
            </w:r>
          </w:p>
        </w:tc>
        <w:tc>
          <w:tcPr>
            <w:tcW w:w="2602" w:type="dxa"/>
            <w:vMerge w:val="continue"/>
            <w:tcBorders>
              <w:left w:val="single" w:color="auto" w:sz="4" w:space="0"/>
              <w:right w:val="single" w:color="auto" w:sz="4" w:space="0"/>
            </w:tcBorders>
            <w:noWrap w:val="0"/>
            <w:vAlign w:val="center"/>
          </w:tcPr>
          <w:p w14:paraId="5E52129D">
            <w:pPr>
              <w:widowControl/>
              <w:jc w:val="left"/>
              <w:rPr>
                <w:rFonts w:hint="default" w:ascii="Times New Roman" w:hAnsi="Times New Roman" w:eastAsia="宋体" w:cs="Times New Roman"/>
                <w:caps w:val="0"/>
                <w:smallCaps w:val="0"/>
                <w:color w:val="auto"/>
                <w:szCs w:val="21"/>
                <w:highlight w:val="none"/>
              </w:rPr>
            </w:pPr>
          </w:p>
        </w:tc>
      </w:tr>
      <w:tr w14:paraId="2A69D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6AE6D800">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8</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502783D5">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汞</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7CCEFCBA">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≤0.001</w:t>
            </w:r>
          </w:p>
        </w:tc>
        <w:tc>
          <w:tcPr>
            <w:tcW w:w="2602" w:type="dxa"/>
            <w:vMerge w:val="continue"/>
            <w:tcBorders>
              <w:left w:val="single" w:color="auto" w:sz="4" w:space="0"/>
              <w:right w:val="single" w:color="auto" w:sz="4" w:space="0"/>
            </w:tcBorders>
            <w:noWrap w:val="0"/>
            <w:vAlign w:val="center"/>
          </w:tcPr>
          <w:p w14:paraId="75220177">
            <w:pPr>
              <w:widowControl/>
              <w:jc w:val="left"/>
              <w:rPr>
                <w:rFonts w:hint="default" w:ascii="Times New Roman" w:hAnsi="Times New Roman" w:eastAsia="宋体" w:cs="Times New Roman"/>
                <w:caps w:val="0"/>
                <w:smallCaps w:val="0"/>
                <w:color w:val="auto"/>
                <w:szCs w:val="21"/>
                <w:highlight w:val="none"/>
              </w:rPr>
            </w:pPr>
          </w:p>
        </w:tc>
      </w:tr>
      <w:tr w14:paraId="519BD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5F3B5345">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9</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6E6CE109">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szCs w:val="21"/>
                <w:highlight w:val="none"/>
              </w:rPr>
              <w:t>铬（六价）</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31D403DB">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≤0.05</w:t>
            </w:r>
          </w:p>
        </w:tc>
        <w:tc>
          <w:tcPr>
            <w:tcW w:w="2602" w:type="dxa"/>
            <w:vMerge w:val="continue"/>
            <w:tcBorders>
              <w:left w:val="single" w:color="auto" w:sz="4" w:space="0"/>
              <w:right w:val="single" w:color="auto" w:sz="4" w:space="0"/>
            </w:tcBorders>
            <w:noWrap w:val="0"/>
            <w:vAlign w:val="center"/>
          </w:tcPr>
          <w:p w14:paraId="578B9519">
            <w:pPr>
              <w:widowControl/>
              <w:jc w:val="left"/>
              <w:rPr>
                <w:rFonts w:hint="default" w:ascii="Times New Roman" w:hAnsi="Times New Roman" w:eastAsia="宋体" w:cs="Times New Roman"/>
                <w:caps w:val="0"/>
                <w:smallCaps w:val="0"/>
                <w:color w:val="auto"/>
                <w:szCs w:val="21"/>
                <w:highlight w:val="none"/>
              </w:rPr>
            </w:pPr>
          </w:p>
        </w:tc>
      </w:tr>
      <w:tr w14:paraId="6D7CA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0D0E0705">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10</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1C1D62F1">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总硬度</w:t>
            </w:r>
            <w:r>
              <w:rPr>
                <w:rFonts w:hint="eastAsia" w:ascii="Times New Roman" w:hAnsi="Times New Roman" w:eastAsia="宋体" w:cs="Times New Roman"/>
                <w:caps w:val="0"/>
                <w:smallCaps w:val="0"/>
                <w:color w:val="auto"/>
                <w:kern w:val="0"/>
                <w:szCs w:val="21"/>
                <w:highlight w:val="none"/>
                <w:lang w:eastAsia="zh-CN"/>
              </w:rPr>
              <w:t>（</w:t>
            </w:r>
            <w:r>
              <w:rPr>
                <w:rFonts w:hint="default" w:ascii="Times New Roman" w:hAnsi="Times New Roman" w:eastAsia="宋体" w:cs="Times New Roman"/>
                <w:caps w:val="0"/>
                <w:smallCaps w:val="0"/>
                <w:color w:val="auto"/>
                <w:kern w:val="0"/>
                <w:szCs w:val="21"/>
                <w:highlight w:val="none"/>
              </w:rPr>
              <w:t>以CaCO</w:t>
            </w:r>
            <w:r>
              <w:rPr>
                <w:rFonts w:hint="default" w:ascii="Times New Roman" w:hAnsi="Times New Roman" w:eastAsia="宋体" w:cs="Times New Roman"/>
                <w:caps w:val="0"/>
                <w:smallCaps w:val="0"/>
                <w:color w:val="auto"/>
                <w:kern w:val="0"/>
                <w:szCs w:val="21"/>
                <w:highlight w:val="none"/>
                <w:vertAlign w:val="subscript"/>
              </w:rPr>
              <w:t>3</w:t>
            </w:r>
            <w:r>
              <w:rPr>
                <w:rFonts w:hint="default" w:ascii="Times New Roman" w:hAnsi="Times New Roman" w:eastAsia="宋体" w:cs="Times New Roman"/>
                <w:caps w:val="0"/>
                <w:smallCaps w:val="0"/>
                <w:color w:val="auto"/>
                <w:kern w:val="0"/>
                <w:szCs w:val="21"/>
                <w:highlight w:val="none"/>
              </w:rPr>
              <w:t>计</w:t>
            </w:r>
            <w:r>
              <w:rPr>
                <w:rFonts w:hint="eastAsia" w:ascii="Times New Roman" w:hAnsi="Times New Roman" w:eastAsia="宋体" w:cs="Times New Roman"/>
                <w:caps w:val="0"/>
                <w:smallCaps w:val="0"/>
                <w:color w:val="auto"/>
                <w:kern w:val="0"/>
                <w:szCs w:val="21"/>
                <w:highlight w:val="none"/>
                <w:lang w:eastAsia="zh-CN"/>
              </w:rPr>
              <w:t>）</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5BEB3959">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≤450</w:t>
            </w:r>
          </w:p>
        </w:tc>
        <w:tc>
          <w:tcPr>
            <w:tcW w:w="2602" w:type="dxa"/>
            <w:vMerge w:val="continue"/>
            <w:tcBorders>
              <w:left w:val="single" w:color="auto" w:sz="4" w:space="0"/>
              <w:right w:val="single" w:color="auto" w:sz="4" w:space="0"/>
            </w:tcBorders>
            <w:noWrap w:val="0"/>
            <w:vAlign w:val="center"/>
          </w:tcPr>
          <w:p w14:paraId="3E5C3C13">
            <w:pPr>
              <w:jc w:val="center"/>
              <w:rPr>
                <w:rFonts w:hint="default" w:ascii="Times New Roman" w:hAnsi="Times New Roman" w:eastAsia="宋体" w:cs="Times New Roman"/>
                <w:caps w:val="0"/>
                <w:smallCaps w:val="0"/>
                <w:color w:val="auto"/>
                <w:szCs w:val="21"/>
                <w:highlight w:val="none"/>
              </w:rPr>
            </w:pPr>
          </w:p>
        </w:tc>
      </w:tr>
      <w:tr w14:paraId="6A1B1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12340018">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11</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763C0A2C">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铅</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2A5E3910">
            <w:pPr>
              <w:jc w:val="center"/>
              <w:rPr>
                <w:rFonts w:hint="default" w:ascii="Times New Roman" w:hAnsi="Times New Roman" w:eastAsia="宋体" w:cs="Times New Roman"/>
                <w:caps w:val="0"/>
                <w:smallCaps w:val="0"/>
                <w:color w:val="auto"/>
                <w:highlight w:val="none"/>
              </w:rPr>
            </w:pPr>
            <w:r>
              <w:rPr>
                <w:rFonts w:hint="default" w:ascii="Times New Roman" w:hAnsi="Times New Roman" w:eastAsia="宋体" w:cs="Times New Roman"/>
                <w:caps w:val="0"/>
                <w:smallCaps w:val="0"/>
                <w:color w:val="auto"/>
                <w:kern w:val="0"/>
                <w:szCs w:val="21"/>
                <w:highlight w:val="none"/>
              </w:rPr>
              <w:t>≤0.01</w:t>
            </w:r>
          </w:p>
        </w:tc>
        <w:tc>
          <w:tcPr>
            <w:tcW w:w="2602" w:type="dxa"/>
            <w:vMerge w:val="continue"/>
            <w:tcBorders>
              <w:left w:val="single" w:color="auto" w:sz="4" w:space="0"/>
              <w:right w:val="single" w:color="auto" w:sz="4" w:space="0"/>
            </w:tcBorders>
            <w:noWrap w:val="0"/>
            <w:vAlign w:val="center"/>
          </w:tcPr>
          <w:p w14:paraId="23589860">
            <w:pPr>
              <w:jc w:val="center"/>
              <w:rPr>
                <w:rFonts w:hint="default" w:ascii="Times New Roman" w:hAnsi="Times New Roman" w:eastAsia="宋体" w:cs="Times New Roman"/>
                <w:caps w:val="0"/>
                <w:smallCaps w:val="0"/>
                <w:color w:val="auto"/>
                <w:szCs w:val="21"/>
                <w:highlight w:val="none"/>
              </w:rPr>
            </w:pPr>
          </w:p>
        </w:tc>
      </w:tr>
      <w:tr w14:paraId="512D6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02B7DFF4">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12</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5EB8A244">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氟化物</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3DDCE2F2">
            <w:pPr>
              <w:jc w:val="center"/>
              <w:rPr>
                <w:rFonts w:hint="default" w:ascii="Times New Roman" w:hAnsi="Times New Roman" w:eastAsia="宋体" w:cs="Times New Roman"/>
                <w:caps w:val="0"/>
                <w:smallCaps w:val="0"/>
                <w:color w:val="auto"/>
                <w:highlight w:val="none"/>
              </w:rPr>
            </w:pPr>
            <w:r>
              <w:rPr>
                <w:rFonts w:hint="default" w:ascii="Times New Roman" w:hAnsi="Times New Roman" w:eastAsia="宋体" w:cs="Times New Roman"/>
                <w:caps w:val="0"/>
                <w:smallCaps w:val="0"/>
                <w:color w:val="auto"/>
                <w:kern w:val="0"/>
                <w:szCs w:val="21"/>
                <w:highlight w:val="none"/>
              </w:rPr>
              <w:t>≤1.0</w:t>
            </w:r>
          </w:p>
        </w:tc>
        <w:tc>
          <w:tcPr>
            <w:tcW w:w="2602" w:type="dxa"/>
            <w:vMerge w:val="continue"/>
            <w:tcBorders>
              <w:left w:val="single" w:color="auto" w:sz="4" w:space="0"/>
              <w:right w:val="single" w:color="auto" w:sz="4" w:space="0"/>
            </w:tcBorders>
            <w:noWrap w:val="0"/>
            <w:vAlign w:val="center"/>
          </w:tcPr>
          <w:p w14:paraId="65AF6668">
            <w:pPr>
              <w:jc w:val="center"/>
              <w:rPr>
                <w:rFonts w:hint="default" w:ascii="Times New Roman" w:hAnsi="Times New Roman" w:eastAsia="宋体" w:cs="Times New Roman"/>
                <w:caps w:val="0"/>
                <w:smallCaps w:val="0"/>
                <w:color w:val="auto"/>
                <w:szCs w:val="21"/>
                <w:highlight w:val="none"/>
              </w:rPr>
            </w:pPr>
          </w:p>
        </w:tc>
      </w:tr>
      <w:tr w14:paraId="4ABA2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3856AD61">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13</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196A8F70">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镉</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6CBD378">
            <w:pPr>
              <w:jc w:val="center"/>
              <w:rPr>
                <w:rFonts w:hint="default" w:ascii="Times New Roman" w:hAnsi="Times New Roman" w:eastAsia="宋体" w:cs="Times New Roman"/>
                <w:caps w:val="0"/>
                <w:smallCaps w:val="0"/>
                <w:color w:val="auto"/>
                <w:highlight w:val="none"/>
              </w:rPr>
            </w:pPr>
            <w:r>
              <w:rPr>
                <w:rFonts w:hint="default" w:ascii="Times New Roman" w:hAnsi="Times New Roman" w:eastAsia="宋体" w:cs="Times New Roman"/>
                <w:caps w:val="0"/>
                <w:smallCaps w:val="0"/>
                <w:color w:val="auto"/>
                <w:kern w:val="0"/>
                <w:szCs w:val="21"/>
                <w:highlight w:val="none"/>
              </w:rPr>
              <w:t>≤0.005</w:t>
            </w:r>
          </w:p>
        </w:tc>
        <w:tc>
          <w:tcPr>
            <w:tcW w:w="2602" w:type="dxa"/>
            <w:vMerge w:val="continue"/>
            <w:tcBorders>
              <w:left w:val="single" w:color="auto" w:sz="4" w:space="0"/>
              <w:right w:val="single" w:color="auto" w:sz="4" w:space="0"/>
            </w:tcBorders>
            <w:noWrap w:val="0"/>
            <w:vAlign w:val="center"/>
          </w:tcPr>
          <w:p w14:paraId="510E31F5">
            <w:pPr>
              <w:jc w:val="center"/>
              <w:rPr>
                <w:rFonts w:hint="default" w:ascii="Times New Roman" w:hAnsi="Times New Roman" w:eastAsia="宋体" w:cs="Times New Roman"/>
                <w:caps w:val="0"/>
                <w:smallCaps w:val="0"/>
                <w:color w:val="auto"/>
                <w:szCs w:val="21"/>
                <w:highlight w:val="none"/>
              </w:rPr>
            </w:pPr>
          </w:p>
        </w:tc>
      </w:tr>
      <w:tr w14:paraId="4FC5A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7825CA3C">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14</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23907271">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铁</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3EE1E2A">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≤0.3</w:t>
            </w:r>
          </w:p>
        </w:tc>
        <w:tc>
          <w:tcPr>
            <w:tcW w:w="2602" w:type="dxa"/>
            <w:vMerge w:val="continue"/>
            <w:tcBorders>
              <w:left w:val="single" w:color="auto" w:sz="4" w:space="0"/>
              <w:right w:val="single" w:color="auto" w:sz="4" w:space="0"/>
            </w:tcBorders>
            <w:noWrap w:val="0"/>
            <w:vAlign w:val="center"/>
          </w:tcPr>
          <w:p w14:paraId="2D3FB54C">
            <w:pPr>
              <w:jc w:val="center"/>
              <w:rPr>
                <w:rFonts w:hint="default" w:ascii="Times New Roman" w:hAnsi="Times New Roman" w:eastAsia="宋体" w:cs="Times New Roman"/>
                <w:caps w:val="0"/>
                <w:smallCaps w:val="0"/>
                <w:color w:val="auto"/>
                <w:szCs w:val="21"/>
                <w:highlight w:val="none"/>
              </w:rPr>
            </w:pPr>
          </w:p>
        </w:tc>
      </w:tr>
      <w:tr w14:paraId="0428C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45B73B3A">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15</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701C9261">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锰</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41D5874A">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≤0.1</w:t>
            </w:r>
          </w:p>
        </w:tc>
        <w:tc>
          <w:tcPr>
            <w:tcW w:w="2602" w:type="dxa"/>
            <w:vMerge w:val="continue"/>
            <w:tcBorders>
              <w:left w:val="single" w:color="auto" w:sz="4" w:space="0"/>
              <w:right w:val="single" w:color="auto" w:sz="4" w:space="0"/>
            </w:tcBorders>
            <w:noWrap w:val="0"/>
            <w:vAlign w:val="center"/>
          </w:tcPr>
          <w:p w14:paraId="2D715E24">
            <w:pPr>
              <w:jc w:val="center"/>
              <w:rPr>
                <w:rFonts w:hint="default" w:ascii="Times New Roman" w:hAnsi="Times New Roman" w:eastAsia="宋体" w:cs="Times New Roman"/>
                <w:caps w:val="0"/>
                <w:smallCaps w:val="0"/>
                <w:color w:val="auto"/>
                <w:szCs w:val="21"/>
                <w:highlight w:val="none"/>
              </w:rPr>
            </w:pPr>
          </w:p>
        </w:tc>
      </w:tr>
      <w:tr w14:paraId="2154A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6B4FD678">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16</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6224C977">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溶解性总固体</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7574C597">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≤1000</w:t>
            </w:r>
          </w:p>
        </w:tc>
        <w:tc>
          <w:tcPr>
            <w:tcW w:w="2602" w:type="dxa"/>
            <w:vMerge w:val="continue"/>
            <w:tcBorders>
              <w:left w:val="single" w:color="auto" w:sz="4" w:space="0"/>
              <w:right w:val="single" w:color="auto" w:sz="4" w:space="0"/>
            </w:tcBorders>
            <w:noWrap w:val="0"/>
            <w:vAlign w:val="center"/>
          </w:tcPr>
          <w:p w14:paraId="2543E8EB">
            <w:pPr>
              <w:jc w:val="center"/>
              <w:rPr>
                <w:rFonts w:hint="default" w:ascii="Times New Roman" w:hAnsi="Times New Roman" w:eastAsia="宋体" w:cs="Times New Roman"/>
                <w:caps w:val="0"/>
                <w:smallCaps w:val="0"/>
                <w:color w:val="auto"/>
                <w:szCs w:val="21"/>
                <w:highlight w:val="none"/>
              </w:rPr>
            </w:pPr>
          </w:p>
        </w:tc>
      </w:tr>
      <w:tr w14:paraId="06195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6C247AC6">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17</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7B65034B">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2"/>
                <w:highlight w:val="none"/>
              </w:rPr>
              <w:t>高锰酸盐指数</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59940534">
            <w:pPr>
              <w:autoSpaceDE w:val="0"/>
              <w:autoSpaceDN w:val="0"/>
              <w:adjustRightInd w:val="0"/>
              <w:jc w:val="center"/>
              <w:rPr>
                <w:rFonts w:hint="default" w:ascii="Times New Roman" w:hAnsi="Times New Roman" w:eastAsia="宋体" w:cs="Times New Roman"/>
                <w:caps w:val="0"/>
                <w:smallCaps w:val="0"/>
                <w:color w:val="auto"/>
                <w:kern w:val="0"/>
                <w:szCs w:val="21"/>
                <w:highlight w:val="none"/>
                <w:lang w:val="en-US" w:eastAsia="zh-CN"/>
              </w:rPr>
            </w:pPr>
            <w:r>
              <w:rPr>
                <w:rFonts w:hint="default" w:ascii="Times New Roman" w:hAnsi="Times New Roman" w:eastAsia="宋体" w:cs="Times New Roman"/>
                <w:caps w:val="0"/>
                <w:smallCaps w:val="0"/>
                <w:color w:val="auto"/>
                <w:kern w:val="0"/>
                <w:szCs w:val="21"/>
                <w:highlight w:val="none"/>
              </w:rPr>
              <w:t>≤</w:t>
            </w:r>
            <w:r>
              <w:rPr>
                <w:rFonts w:hint="eastAsia" w:cs="Times New Roman"/>
                <w:caps w:val="0"/>
                <w:smallCaps w:val="0"/>
                <w:color w:val="auto"/>
                <w:kern w:val="0"/>
                <w:szCs w:val="21"/>
                <w:highlight w:val="none"/>
                <w:lang w:val="en-US" w:eastAsia="zh-CN"/>
              </w:rPr>
              <w:t>3.0</w:t>
            </w:r>
          </w:p>
        </w:tc>
        <w:tc>
          <w:tcPr>
            <w:tcW w:w="2602" w:type="dxa"/>
            <w:vMerge w:val="continue"/>
            <w:tcBorders>
              <w:left w:val="single" w:color="auto" w:sz="4" w:space="0"/>
              <w:right w:val="single" w:color="auto" w:sz="4" w:space="0"/>
            </w:tcBorders>
            <w:noWrap w:val="0"/>
            <w:vAlign w:val="center"/>
          </w:tcPr>
          <w:p w14:paraId="66517FEE">
            <w:pPr>
              <w:jc w:val="center"/>
              <w:rPr>
                <w:rFonts w:hint="default" w:ascii="Times New Roman" w:hAnsi="Times New Roman" w:eastAsia="宋体" w:cs="Times New Roman"/>
                <w:caps w:val="0"/>
                <w:smallCaps w:val="0"/>
                <w:color w:val="auto"/>
                <w:szCs w:val="21"/>
                <w:highlight w:val="none"/>
              </w:rPr>
            </w:pPr>
          </w:p>
        </w:tc>
      </w:tr>
      <w:tr w14:paraId="260BA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162B38EA">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18</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646AE5E8">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硫酸盐</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6E9A051D">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≤250</w:t>
            </w:r>
          </w:p>
        </w:tc>
        <w:tc>
          <w:tcPr>
            <w:tcW w:w="2602" w:type="dxa"/>
            <w:vMerge w:val="continue"/>
            <w:tcBorders>
              <w:left w:val="single" w:color="auto" w:sz="4" w:space="0"/>
              <w:right w:val="single" w:color="auto" w:sz="4" w:space="0"/>
            </w:tcBorders>
            <w:noWrap w:val="0"/>
            <w:vAlign w:val="center"/>
          </w:tcPr>
          <w:p w14:paraId="73FF9CE4">
            <w:pPr>
              <w:jc w:val="center"/>
              <w:rPr>
                <w:rFonts w:hint="default" w:ascii="Times New Roman" w:hAnsi="Times New Roman" w:eastAsia="宋体" w:cs="Times New Roman"/>
                <w:caps w:val="0"/>
                <w:smallCaps w:val="0"/>
                <w:color w:val="auto"/>
                <w:szCs w:val="21"/>
                <w:highlight w:val="none"/>
              </w:rPr>
            </w:pPr>
          </w:p>
        </w:tc>
      </w:tr>
      <w:tr w14:paraId="222E7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1716E799">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19</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7222BD78">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氯化物</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4D29677A">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≤250</w:t>
            </w:r>
          </w:p>
        </w:tc>
        <w:tc>
          <w:tcPr>
            <w:tcW w:w="2602" w:type="dxa"/>
            <w:vMerge w:val="continue"/>
            <w:tcBorders>
              <w:left w:val="single" w:color="auto" w:sz="4" w:space="0"/>
              <w:right w:val="single" w:color="auto" w:sz="4" w:space="0"/>
            </w:tcBorders>
            <w:noWrap w:val="0"/>
            <w:vAlign w:val="center"/>
          </w:tcPr>
          <w:p w14:paraId="677E6682">
            <w:pPr>
              <w:jc w:val="center"/>
              <w:rPr>
                <w:rFonts w:hint="default" w:ascii="Times New Roman" w:hAnsi="Times New Roman" w:eastAsia="宋体" w:cs="Times New Roman"/>
                <w:caps w:val="0"/>
                <w:smallCaps w:val="0"/>
                <w:color w:val="auto"/>
                <w:szCs w:val="21"/>
                <w:highlight w:val="none"/>
              </w:rPr>
            </w:pPr>
          </w:p>
        </w:tc>
      </w:tr>
      <w:tr w14:paraId="3C4A5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6A3440D1">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20</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1C3866DC">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总大肠菌群</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4DA0513B">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≤3.0MPN/100mL</w:t>
            </w:r>
          </w:p>
        </w:tc>
        <w:tc>
          <w:tcPr>
            <w:tcW w:w="2602" w:type="dxa"/>
            <w:vMerge w:val="continue"/>
            <w:tcBorders>
              <w:left w:val="single" w:color="auto" w:sz="4" w:space="0"/>
              <w:right w:val="single" w:color="auto" w:sz="4" w:space="0"/>
            </w:tcBorders>
            <w:noWrap w:val="0"/>
            <w:vAlign w:val="center"/>
          </w:tcPr>
          <w:p w14:paraId="0CB0F7D6">
            <w:pPr>
              <w:jc w:val="center"/>
              <w:rPr>
                <w:rFonts w:hint="default" w:ascii="Times New Roman" w:hAnsi="Times New Roman" w:eastAsia="宋体" w:cs="Times New Roman"/>
                <w:caps w:val="0"/>
                <w:smallCaps w:val="0"/>
                <w:color w:val="auto"/>
                <w:szCs w:val="21"/>
                <w:highlight w:val="none"/>
              </w:rPr>
            </w:pPr>
          </w:p>
        </w:tc>
      </w:tr>
      <w:tr w14:paraId="037E7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2C7B11AD">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21</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32CA6989">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菌落总数</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31DE236F">
            <w:pPr>
              <w:autoSpaceDE w:val="0"/>
              <w:autoSpaceDN w:val="0"/>
              <w:adjustRightInd w:val="0"/>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≤100CFU/mL</w:t>
            </w:r>
          </w:p>
        </w:tc>
        <w:tc>
          <w:tcPr>
            <w:tcW w:w="2602" w:type="dxa"/>
            <w:vMerge w:val="continue"/>
            <w:tcBorders>
              <w:left w:val="single" w:color="auto" w:sz="4" w:space="0"/>
              <w:right w:val="single" w:color="auto" w:sz="4" w:space="0"/>
            </w:tcBorders>
            <w:noWrap w:val="0"/>
            <w:vAlign w:val="center"/>
          </w:tcPr>
          <w:p w14:paraId="01D878F8">
            <w:pPr>
              <w:jc w:val="center"/>
              <w:rPr>
                <w:rFonts w:hint="default" w:ascii="Times New Roman" w:hAnsi="Times New Roman" w:eastAsia="宋体" w:cs="Times New Roman"/>
                <w:caps w:val="0"/>
                <w:smallCaps w:val="0"/>
                <w:color w:val="auto"/>
                <w:szCs w:val="21"/>
                <w:highlight w:val="none"/>
              </w:rPr>
            </w:pPr>
          </w:p>
        </w:tc>
      </w:tr>
      <w:tr w14:paraId="6BF8F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48569292">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22</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59A1B508">
            <w:pP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耗氧量（COD</w:t>
            </w:r>
            <w:r>
              <w:rPr>
                <w:rFonts w:hint="default" w:ascii="Times New Roman" w:hAnsi="Times New Roman" w:eastAsia="宋体" w:cs="Times New Roman"/>
                <w:caps w:val="0"/>
                <w:smallCaps w:val="0"/>
                <w:color w:val="auto"/>
                <w:kern w:val="0"/>
                <w:szCs w:val="21"/>
                <w:highlight w:val="none"/>
                <w:vertAlign w:val="subscript"/>
              </w:rPr>
              <w:t>Mn</w:t>
            </w:r>
            <w:r>
              <w:rPr>
                <w:rFonts w:hint="default" w:ascii="Times New Roman" w:hAnsi="Times New Roman" w:eastAsia="宋体" w:cs="Times New Roman"/>
                <w:caps w:val="0"/>
                <w:smallCaps w:val="0"/>
                <w:color w:val="auto"/>
                <w:kern w:val="0"/>
                <w:szCs w:val="21"/>
                <w:highlight w:val="none"/>
              </w:rPr>
              <w:t>法）</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6DACA4B4">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3.0</w:t>
            </w:r>
          </w:p>
        </w:tc>
        <w:tc>
          <w:tcPr>
            <w:tcW w:w="2602" w:type="dxa"/>
            <w:vMerge w:val="continue"/>
            <w:tcBorders>
              <w:left w:val="single" w:color="auto" w:sz="4" w:space="0"/>
              <w:right w:val="single" w:color="auto" w:sz="4" w:space="0"/>
            </w:tcBorders>
            <w:noWrap w:val="0"/>
            <w:vAlign w:val="center"/>
          </w:tcPr>
          <w:p w14:paraId="1C98C2D3">
            <w:pPr>
              <w:jc w:val="center"/>
              <w:rPr>
                <w:rFonts w:hint="default" w:ascii="Times New Roman" w:hAnsi="Times New Roman" w:eastAsia="宋体" w:cs="Times New Roman"/>
                <w:caps w:val="0"/>
                <w:smallCaps w:val="0"/>
                <w:color w:val="auto"/>
                <w:szCs w:val="21"/>
                <w:highlight w:val="none"/>
              </w:rPr>
            </w:pPr>
          </w:p>
        </w:tc>
      </w:tr>
      <w:tr w14:paraId="013B7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048C003F">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23</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617C8E4C">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镍</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58BCE0B1">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≤0.02</w:t>
            </w:r>
          </w:p>
        </w:tc>
        <w:tc>
          <w:tcPr>
            <w:tcW w:w="2602" w:type="dxa"/>
            <w:vMerge w:val="continue"/>
            <w:tcBorders>
              <w:left w:val="single" w:color="auto" w:sz="4" w:space="0"/>
              <w:right w:val="single" w:color="auto" w:sz="4" w:space="0"/>
            </w:tcBorders>
            <w:noWrap w:val="0"/>
            <w:vAlign w:val="center"/>
          </w:tcPr>
          <w:p w14:paraId="5BD7A707">
            <w:pPr>
              <w:jc w:val="center"/>
              <w:rPr>
                <w:rFonts w:hint="default" w:ascii="Times New Roman" w:hAnsi="Times New Roman" w:eastAsia="宋体" w:cs="Times New Roman"/>
                <w:caps w:val="0"/>
                <w:smallCaps w:val="0"/>
                <w:color w:val="auto"/>
                <w:szCs w:val="21"/>
                <w:highlight w:val="none"/>
              </w:rPr>
            </w:pPr>
          </w:p>
        </w:tc>
      </w:tr>
      <w:tr w14:paraId="327E8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25AC2725">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24</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43AADF17">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钴</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4D09FF7C">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≤0.05</w:t>
            </w:r>
          </w:p>
        </w:tc>
        <w:tc>
          <w:tcPr>
            <w:tcW w:w="2602" w:type="dxa"/>
            <w:vMerge w:val="continue"/>
            <w:tcBorders>
              <w:left w:val="single" w:color="auto" w:sz="4" w:space="0"/>
              <w:right w:val="single" w:color="auto" w:sz="4" w:space="0"/>
            </w:tcBorders>
            <w:noWrap w:val="0"/>
            <w:vAlign w:val="center"/>
          </w:tcPr>
          <w:p w14:paraId="6BEE30EA">
            <w:pPr>
              <w:jc w:val="center"/>
              <w:rPr>
                <w:rFonts w:hint="default" w:ascii="Times New Roman" w:hAnsi="Times New Roman" w:eastAsia="宋体" w:cs="Times New Roman"/>
                <w:caps w:val="0"/>
                <w:smallCaps w:val="0"/>
                <w:color w:val="auto"/>
                <w:szCs w:val="21"/>
                <w:highlight w:val="none"/>
              </w:rPr>
            </w:pPr>
          </w:p>
        </w:tc>
      </w:tr>
      <w:tr w14:paraId="67C5A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1106C897">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25</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22572199">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铜</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086794E3">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≤1.00</w:t>
            </w:r>
          </w:p>
        </w:tc>
        <w:tc>
          <w:tcPr>
            <w:tcW w:w="2602" w:type="dxa"/>
            <w:vMerge w:val="continue"/>
            <w:tcBorders>
              <w:left w:val="single" w:color="auto" w:sz="4" w:space="0"/>
              <w:right w:val="single" w:color="auto" w:sz="4" w:space="0"/>
            </w:tcBorders>
            <w:noWrap w:val="0"/>
            <w:vAlign w:val="center"/>
          </w:tcPr>
          <w:p w14:paraId="69C50D06">
            <w:pPr>
              <w:jc w:val="center"/>
              <w:rPr>
                <w:rFonts w:hint="default" w:ascii="Times New Roman" w:hAnsi="Times New Roman" w:eastAsia="宋体" w:cs="Times New Roman"/>
                <w:caps w:val="0"/>
                <w:smallCaps w:val="0"/>
                <w:color w:val="auto"/>
                <w:szCs w:val="21"/>
                <w:highlight w:val="none"/>
              </w:rPr>
            </w:pPr>
          </w:p>
        </w:tc>
      </w:tr>
      <w:tr w14:paraId="2AF80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7EDF337A">
            <w:pPr>
              <w:jc w:val="center"/>
              <w:rPr>
                <w:rFonts w:hint="default" w:ascii="Times New Roman" w:hAnsi="Times New Roman" w:eastAsia="宋体" w:cs="Times New Roman"/>
                <w:caps w:val="0"/>
                <w:smallCaps w:val="0"/>
                <w:color w:val="auto"/>
                <w:szCs w:val="21"/>
                <w:highlight w:val="none"/>
              </w:rPr>
            </w:pPr>
            <w:r>
              <w:rPr>
                <w:rFonts w:hint="default" w:ascii="Times New Roman" w:hAnsi="Times New Roman" w:eastAsia="宋体" w:cs="Times New Roman"/>
                <w:caps w:val="0"/>
                <w:smallCaps w:val="0"/>
                <w:color w:val="auto"/>
                <w:szCs w:val="21"/>
                <w:highlight w:val="none"/>
              </w:rPr>
              <w:t>26</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21161C02">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铝</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13B04693">
            <w:pPr>
              <w:jc w:val="center"/>
              <w:rPr>
                <w:rFonts w:hint="default" w:ascii="Times New Roman" w:hAnsi="Times New Roman" w:eastAsia="宋体" w:cs="Times New Roman"/>
                <w:caps w:val="0"/>
                <w:smallCaps w:val="0"/>
                <w:color w:val="auto"/>
                <w:kern w:val="0"/>
                <w:szCs w:val="21"/>
                <w:highlight w:val="none"/>
              </w:rPr>
            </w:pPr>
            <w:r>
              <w:rPr>
                <w:rFonts w:hint="default" w:ascii="Times New Roman" w:hAnsi="Times New Roman" w:eastAsia="宋体" w:cs="Times New Roman"/>
                <w:caps w:val="0"/>
                <w:smallCaps w:val="0"/>
                <w:color w:val="auto"/>
                <w:kern w:val="0"/>
                <w:szCs w:val="21"/>
                <w:highlight w:val="none"/>
              </w:rPr>
              <w:t>≤0.20</w:t>
            </w:r>
          </w:p>
        </w:tc>
        <w:tc>
          <w:tcPr>
            <w:tcW w:w="2602" w:type="dxa"/>
            <w:vMerge w:val="continue"/>
            <w:tcBorders>
              <w:left w:val="single" w:color="auto" w:sz="4" w:space="0"/>
              <w:right w:val="single" w:color="auto" w:sz="4" w:space="0"/>
            </w:tcBorders>
            <w:noWrap w:val="0"/>
            <w:vAlign w:val="center"/>
          </w:tcPr>
          <w:p w14:paraId="2D8EC143">
            <w:pPr>
              <w:jc w:val="center"/>
              <w:rPr>
                <w:rFonts w:hint="default" w:ascii="Times New Roman" w:hAnsi="Times New Roman" w:eastAsia="宋体" w:cs="Times New Roman"/>
                <w:caps w:val="0"/>
                <w:smallCaps w:val="0"/>
                <w:color w:val="auto"/>
                <w:szCs w:val="21"/>
                <w:highlight w:val="none"/>
              </w:rPr>
            </w:pPr>
          </w:p>
        </w:tc>
      </w:tr>
      <w:tr w14:paraId="03F6C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186" w:type="dxa"/>
            <w:tcBorders>
              <w:top w:val="single" w:color="auto" w:sz="4" w:space="0"/>
              <w:left w:val="single" w:color="auto" w:sz="4" w:space="0"/>
              <w:bottom w:val="single" w:color="auto" w:sz="4" w:space="0"/>
              <w:right w:val="single" w:color="auto" w:sz="4" w:space="0"/>
            </w:tcBorders>
            <w:noWrap w:val="0"/>
            <w:vAlign w:val="center"/>
          </w:tcPr>
          <w:p w14:paraId="5B575362">
            <w:pPr>
              <w:jc w:val="center"/>
              <w:rPr>
                <w:rFonts w:hint="default" w:ascii="Times New Roman" w:hAnsi="Times New Roman" w:eastAsia="宋体" w:cs="Times New Roman"/>
                <w:caps w:val="0"/>
                <w:smallCaps w:val="0"/>
                <w:color w:val="auto"/>
                <w:szCs w:val="21"/>
                <w:highlight w:val="none"/>
                <w:lang w:val="en-US" w:eastAsia="zh-CN"/>
              </w:rPr>
            </w:pPr>
            <w:r>
              <w:rPr>
                <w:rFonts w:hint="eastAsia" w:ascii="Times New Roman" w:hAnsi="Times New Roman" w:eastAsia="宋体" w:cs="Times New Roman"/>
                <w:caps w:val="0"/>
                <w:smallCaps w:val="0"/>
                <w:color w:val="auto"/>
                <w:szCs w:val="21"/>
                <w:highlight w:val="none"/>
                <w:lang w:val="en-US" w:eastAsia="zh-CN"/>
              </w:rPr>
              <w:t>27</w:t>
            </w:r>
          </w:p>
        </w:tc>
        <w:tc>
          <w:tcPr>
            <w:tcW w:w="2750" w:type="dxa"/>
            <w:tcBorders>
              <w:top w:val="single" w:color="auto" w:sz="4" w:space="0"/>
              <w:left w:val="single" w:color="auto" w:sz="4" w:space="0"/>
              <w:bottom w:val="single" w:color="auto" w:sz="4" w:space="0"/>
              <w:right w:val="single" w:color="auto" w:sz="4" w:space="0"/>
            </w:tcBorders>
            <w:noWrap w:val="0"/>
            <w:vAlign w:val="center"/>
          </w:tcPr>
          <w:p w14:paraId="71D17E1D">
            <w:pPr>
              <w:pStyle w:val="563"/>
              <w:bidi w:val="0"/>
              <w:ind w:firstLine="0" w:firstLineChars="0"/>
              <w:rPr>
                <w:rFonts w:hint="default" w:ascii="Times New Roman" w:hAnsi="Times New Roman" w:eastAsia="宋体" w:cs="Times New Roman"/>
                <w:caps w:val="0"/>
                <w:smallCaps w:val="0"/>
                <w:color w:val="auto"/>
                <w:kern w:val="0"/>
                <w:szCs w:val="21"/>
                <w:highlight w:val="none"/>
              </w:rPr>
            </w:pPr>
            <w:r>
              <w:rPr>
                <w:rFonts w:hint="eastAsia"/>
                <w:color w:val="auto"/>
                <w:highlight w:val="none"/>
                <w:lang w:val="en-US" w:eastAsia="zh-CN"/>
              </w:rPr>
              <w:t>石油类</w:t>
            </w:r>
          </w:p>
        </w:tc>
        <w:tc>
          <w:tcPr>
            <w:tcW w:w="2409" w:type="dxa"/>
            <w:tcBorders>
              <w:top w:val="single" w:color="auto" w:sz="4" w:space="0"/>
              <w:left w:val="single" w:color="auto" w:sz="4" w:space="0"/>
              <w:bottom w:val="single" w:color="auto" w:sz="4" w:space="0"/>
              <w:right w:val="single" w:color="auto" w:sz="4" w:space="0"/>
            </w:tcBorders>
            <w:noWrap w:val="0"/>
            <w:vAlign w:val="center"/>
          </w:tcPr>
          <w:p w14:paraId="6F310753">
            <w:pPr>
              <w:pStyle w:val="563"/>
              <w:bidi w:val="0"/>
              <w:ind w:firstLine="0" w:firstLineChars="0"/>
              <w:rPr>
                <w:rFonts w:hint="default" w:ascii="Times New Roman" w:hAnsi="Times New Roman" w:eastAsia="宋体" w:cs="Times New Roman"/>
                <w:caps w:val="0"/>
                <w:smallCaps w:val="0"/>
                <w:color w:val="auto"/>
                <w:kern w:val="0"/>
                <w:szCs w:val="21"/>
                <w:highlight w:val="none"/>
              </w:rPr>
            </w:pPr>
            <w:r>
              <w:rPr>
                <w:rFonts w:hint="eastAsia"/>
                <w:color w:val="auto"/>
                <w:highlight w:val="none"/>
                <w:lang w:val="en-US" w:eastAsia="zh-CN"/>
              </w:rPr>
              <w:t>≤0.05</w:t>
            </w:r>
          </w:p>
        </w:tc>
        <w:tc>
          <w:tcPr>
            <w:tcW w:w="2602" w:type="dxa"/>
            <w:tcBorders>
              <w:left w:val="single" w:color="auto" w:sz="4" w:space="0"/>
              <w:right w:val="single" w:color="auto" w:sz="4" w:space="0"/>
            </w:tcBorders>
            <w:noWrap w:val="0"/>
            <w:vAlign w:val="center"/>
          </w:tcPr>
          <w:p w14:paraId="482D33AC">
            <w:pPr>
              <w:pStyle w:val="563"/>
              <w:bidi w:val="0"/>
              <w:ind w:firstLine="0" w:firstLineChars="0"/>
              <w:rPr>
                <w:rFonts w:hint="default"/>
                <w:color w:val="auto"/>
                <w:kern w:val="2"/>
                <w:sz w:val="21"/>
                <w:szCs w:val="21"/>
                <w:highlight w:val="none"/>
                <w:lang w:val="en-US" w:eastAsia="zh-CN" w:bidi="ar-SA"/>
              </w:rPr>
            </w:pPr>
            <w:r>
              <w:rPr>
                <w:rFonts w:hint="default"/>
                <w:color w:val="auto"/>
                <w:highlight w:val="none"/>
              </w:rPr>
              <w:t>《地表水环境质量标准》（GB3838-2002）</w:t>
            </w:r>
            <w:r>
              <w:rPr>
                <w:rFonts w:hint="eastAsia"/>
                <w:color w:val="auto"/>
                <w:highlight w:val="none"/>
                <w:lang w:eastAsia="zh-CN"/>
              </w:rPr>
              <w:t>Ⅲ类</w:t>
            </w:r>
            <w:r>
              <w:rPr>
                <w:rFonts w:hint="default"/>
                <w:color w:val="auto"/>
                <w:highlight w:val="none"/>
              </w:rPr>
              <w:t>标准</w:t>
            </w:r>
          </w:p>
        </w:tc>
      </w:tr>
    </w:tbl>
    <w:p w14:paraId="30D70EC0">
      <w:pPr>
        <w:pStyle w:val="107"/>
        <w:spacing w:before="156" w:beforeLines="50"/>
        <w:rPr>
          <w:color w:val="auto"/>
          <w:highlight w:val="none"/>
        </w:rPr>
      </w:pPr>
      <w:r>
        <w:rPr>
          <w:color w:val="auto"/>
          <w:highlight w:val="none"/>
        </w:rPr>
        <w:t>4、土壤环境质量标准</w:t>
      </w:r>
    </w:p>
    <w:p w14:paraId="4EC87323">
      <w:pPr>
        <w:pStyle w:val="182"/>
        <w:numPr>
          <w:ilvl w:val="0"/>
          <w:numId w:val="0"/>
        </w:numPr>
        <w:tabs>
          <w:tab w:val="clear" w:pos="0"/>
          <w:tab w:val="clear" w:pos="562"/>
        </w:tabs>
        <w:spacing w:line="360" w:lineRule="auto"/>
        <w:ind w:firstLine="480" w:firstLineChars="200"/>
        <w:rPr>
          <w:rFonts w:hint="default" w:ascii="Times New Roman" w:hAnsi="Times New Roman" w:eastAsia="宋体" w:cs="Times New Roman"/>
          <w:caps w:val="0"/>
          <w:smallCaps w:val="0"/>
          <w:color w:val="auto"/>
          <w:highlight w:val="none"/>
        </w:rPr>
      </w:pPr>
      <w:r>
        <w:rPr>
          <w:rFonts w:hint="default" w:ascii="Times New Roman" w:hAnsi="Times New Roman" w:eastAsia="宋体" w:cs="Times New Roman"/>
          <w:caps w:val="0"/>
          <w:smallCaps w:val="0"/>
          <w:color w:val="auto"/>
          <w:highlight w:val="none"/>
        </w:rPr>
        <w:t>评价区域土壤执行《土壤环境质量建设用地土壤污染风险管控标准（试行）》</w:t>
      </w:r>
      <w:r>
        <w:rPr>
          <w:rFonts w:hint="eastAsia" w:cs="Times New Roman"/>
          <w:caps w:val="0"/>
          <w:smallCaps w:val="0"/>
          <w:color w:val="auto"/>
          <w:highlight w:val="none"/>
          <w:lang w:eastAsia="zh-CN"/>
        </w:rPr>
        <w:t>（</w:t>
      </w:r>
      <w:r>
        <w:rPr>
          <w:rFonts w:hint="default" w:ascii="Times New Roman" w:hAnsi="Times New Roman" w:eastAsia="宋体" w:cs="Times New Roman"/>
          <w:caps w:val="0"/>
          <w:smallCaps w:val="0"/>
          <w:color w:val="auto"/>
          <w:highlight w:val="none"/>
        </w:rPr>
        <w:t>GB36600-2018</w:t>
      </w:r>
      <w:r>
        <w:rPr>
          <w:rFonts w:hint="eastAsia" w:ascii="Times New Roman" w:hAnsi="Times New Roman" w:eastAsia="宋体" w:cs="Times New Roman"/>
          <w:caps w:val="0"/>
          <w:smallCaps w:val="0"/>
          <w:color w:val="auto"/>
          <w:highlight w:val="none"/>
          <w:lang w:eastAsia="zh-CN"/>
        </w:rPr>
        <w:t>）</w:t>
      </w:r>
      <w:r>
        <w:rPr>
          <w:rFonts w:hint="default" w:ascii="Times New Roman" w:hAnsi="Times New Roman" w:eastAsia="宋体" w:cs="Times New Roman"/>
          <w:caps w:val="0"/>
          <w:smallCaps w:val="0"/>
          <w:color w:val="auto"/>
          <w:highlight w:val="none"/>
        </w:rPr>
        <w:t>中第二类用地筛选值标准。标准值见</w:t>
      </w:r>
      <w:r>
        <w:rPr>
          <w:rFonts w:hint="eastAsia" w:ascii="Times New Roman" w:hAnsi="Times New Roman" w:eastAsia="宋体" w:cs="Times New Roman"/>
          <w:caps w:val="0"/>
          <w:smallCaps w:val="0"/>
          <w:color w:val="auto"/>
          <w:highlight w:val="none"/>
          <w:lang w:eastAsia="zh-CN"/>
        </w:rPr>
        <w:t>下表</w:t>
      </w:r>
      <w:r>
        <w:rPr>
          <w:rFonts w:hint="default" w:ascii="Times New Roman" w:hAnsi="Times New Roman" w:eastAsia="宋体" w:cs="Times New Roman"/>
          <w:caps w:val="0"/>
          <w:smallCaps w:val="0"/>
          <w:color w:val="auto"/>
          <w:highlight w:val="none"/>
        </w:rPr>
        <w:t>。</w:t>
      </w:r>
    </w:p>
    <w:p w14:paraId="5C8424F7">
      <w:pPr>
        <w:pStyle w:val="125"/>
        <w:spacing w:line="360" w:lineRule="auto"/>
        <w:rPr>
          <w:color w:val="auto"/>
          <w:highlight w:val="none"/>
        </w:rPr>
      </w:pPr>
      <w:r>
        <w:rPr>
          <w:color w:val="auto"/>
          <w:highlight w:val="none"/>
        </w:rPr>
        <w:t>表</w:t>
      </w:r>
      <w:r>
        <w:rPr>
          <w:rFonts w:hint="default" w:ascii="Times New Roman" w:hAnsi="Times New Roman" w:eastAsia="宋体" w:cs="Times New Roman"/>
          <w:b/>
          <w:caps w:val="0"/>
          <w:smallCaps w:val="0"/>
          <w:color w:val="auto"/>
          <w:highlight w:val="none"/>
        </w:rPr>
        <w:t>2.2.</w:t>
      </w:r>
      <w:r>
        <w:rPr>
          <w:rFonts w:hint="eastAsia" w:ascii="Times New Roman" w:hAnsi="Times New Roman" w:eastAsia="宋体" w:cs="Times New Roman"/>
          <w:b/>
          <w:caps w:val="0"/>
          <w:smallCaps w:val="0"/>
          <w:color w:val="auto"/>
          <w:highlight w:val="none"/>
          <w:lang w:val="en-US" w:eastAsia="zh-CN"/>
        </w:rPr>
        <w:t>3-4</w:t>
      </w:r>
      <w:r>
        <w:rPr>
          <w:rFonts w:hint="eastAsia" w:hAnsi="Times New Roman" w:cs="Times New Roman"/>
          <w:b/>
          <w:caps w:val="0"/>
          <w:smallCaps w:val="0"/>
          <w:color w:val="auto"/>
          <w:highlight w:val="none"/>
          <w:lang w:val="en-US" w:eastAsia="zh-CN"/>
        </w:rPr>
        <w:t xml:space="preserve">  </w:t>
      </w:r>
      <w:r>
        <w:rPr>
          <w:color w:val="auto"/>
          <w:highlight w:val="none"/>
        </w:rPr>
        <w:t>建设用地土壤环境质量标准（建设用地）单位：mg/kg</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847"/>
        <w:gridCol w:w="1087"/>
        <w:gridCol w:w="718"/>
        <w:gridCol w:w="2135"/>
        <w:gridCol w:w="790"/>
        <w:gridCol w:w="1687"/>
      </w:tblGrid>
      <w:tr w14:paraId="4E772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2F2A582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b/>
                <w:bCs/>
                <w:color w:val="auto"/>
                <w:kern w:val="2"/>
                <w:sz w:val="21"/>
                <w:szCs w:val="21"/>
                <w:highlight w:val="none"/>
              </w:rPr>
            </w:pPr>
            <w:r>
              <w:rPr>
                <w:b/>
                <w:bCs/>
                <w:color w:val="auto"/>
                <w:kern w:val="2"/>
                <w:sz w:val="21"/>
                <w:szCs w:val="21"/>
                <w:highlight w:val="none"/>
              </w:rPr>
              <w:t>序号</w:t>
            </w:r>
          </w:p>
        </w:tc>
        <w:tc>
          <w:tcPr>
            <w:tcW w:w="1847" w:type="dxa"/>
            <w:tcBorders>
              <w:tl2br w:val="nil"/>
              <w:tr2bl w:val="nil"/>
            </w:tcBorders>
            <w:noWrap w:val="0"/>
            <w:vAlign w:val="center"/>
          </w:tcPr>
          <w:p w14:paraId="3A2B921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b/>
                <w:bCs/>
                <w:color w:val="auto"/>
                <w:kern w:val="2"/>
                <w:sz w:val="21"/>
                <w:szCs w:val="21"/>
                <w:highlight w:val="none"/>
              </w:rPr>
            </w:pPr>
            <w:r>
              <w:rPr>
                <w:b/>
                <w:bCs/>
                <w:color w:val="auto"/>
                <w:kern w:val="2"/>
                <w:sz w:val="21"/>
                <w:szCs w:val="21"/>
                <w:highlight w:val="none"/>
              </w:rPr>
              <w:t>评价因子</w:t>
            </w:r>
          </w:p>
        </w:tc>
        <w:tc>
          <w:tcPr>
            <w:tcW w:w="1087" w:type="dxa"/>
            <w:tcBorders>
              <w:tl2br w:val="nil"/>
              <w:tr2bl w:val="nil"/>
            </w:tcBorders>
            <w:noWrap w:val="0"/>
            <w:vAlign w:val="center"/>
          </w:tcPr>
          <w:p w14:paraId="4A184D5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b/>
                <w:bCs/>
                <w:color w:val="auto"/>
                <w:kern w:val="2"/>
                <w:sz w:val="21"/>
                <w:szCs w:val="21"/>
                <w:highlight w:val="none"/>
              </w:rPr>
            </w:pPr>
            <w:r>
              <w:rPr>
                <w:b/>
                <w:bCs/>
                <w:color w:val="auto"/>
                <w:kern w:val="2"/>
                <w:sz w:val="21"/>
                <w:szCs w:val="21"/>
                <w:highlight w:val="none"/>
              </w:rPr>
              <w:t>标准限值</w:t>
            </w:r>
          </w:p>
        </w:tc>
        <w:tc>
          <w:tcPr>
            <w:tcW w:w="718" w:type="dxa"/>
            <w:tcBorders>
              <w:tl2br w:val="nil"/>
              <w:tr2bl w:val="nil"/>
            </w:tcBorders>
            <w:noWrap w:val="0"/>
            <w:vAlign w:val="center"/>
          </w:tcPr>
          <w:p w14:paraId="201CDED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b/>
                <w:bCs/>
                <w:color w:val="auto"/>
                <w:kern w:val="2"/>
                <w:sz w:val="21"/>
                <w:szCs w:val="21"/>
                <w:highlight w:val="none"/>
              </w:rPr>
            </w:pPr>
            <w:r>
              <w:rPr>
                <w:b/>
                <w:bCs/>
                <w:color w:val="auto"/>
                <w:kern w:val="2"/>
                <w:sz w:val="21"/>
                <w:szCs w:val="21"/>
                <w:highlight w:val="none"/>
              </w:rPr>
              <w:t>序号</w:t>
            </w:r>
          </w:p>
        </w:tc>
        <w:tc>
          <w:tcPr>
            <w:tcW w:w="2135" w:type="dxa"/>
            <w:tcBorders>
              <w:tl2br w:val="nil"/>
              <w:tr2bl w:val="nil"/>
            </w:tcBorders>
            <w:noWrap w:val="0"/>
            <w:vAlign w:val="center"/>
          </w:tcPr>
          <w:p w14:paraId="683E21C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b/>
                <w:bCs/>
                <w:color w:val="auto"/>
                <w:kern w:val="2"/>
                <w:sz w:val="21"/>
                <w:szCs w:val="21"/>
                <w:highlight w:val="none"/>
              </w:rPr>
            </w:pPr>
            <w:r>
              <w:rPr>
                <w:b/>
                <w:bCs/>
                <w:color w:val="auto"/>
                <w:kern w:val="2"/>
                <w:sz w:val="21"/>
                <w:szCs w:val="21"/>
                <w:highlight w:val="none"/>
              </w:rPr>
              <w:t>评价因子</w:t>
            </w:r>
          </w:p>
        </w:tc>
        <w:tc>
          <w:tcPr>
            <w:tcW w:w="790" w:type="dxa"/>
            <w:tcBorders>
              <w:tl2br w:val="nil"/>
              <w:tr2bl w:val="nil"/>
            </w:tcBorders>
            <w:noWrap w:val="0"/>
            <w:vAlign w:val="center"/>
          </w:tcPr>
          <w:p w14:paraId="3BD292C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b/>
                <w:bCs/>
                <w:color w:val="auto"/>
                <w:kern w:val="2"/>
                <w:sz w:val="21"/>
                <w:szCs w:val="21"/>
                <w:highlight w:val="none"/>
              </w:rPr>
            </w:pPr>
            <w:r>
              <w:rPr>
                <w:b/>
                <w:bCs/>
                <w:color w:val="auto"/>
                <w:kern w:val="2"/>
                <w:sz w:val="21"/>
                <w:szCs w:val="21"/>
                <w:highlight w:val="none"/>
              </w:rPr>
              <w:t>标准限值</w:t>
            </w:r>
          </w:p>
        </w:tc>
        <w:tc>
          <w:tcPr>
            <w:tcW w:w="1687" w:type="dxa"/>
            <w:tcBorders>
              <w:tl2br w:val="nil"/>
              <w:tr2bl w:val="nil"/>
            </w:tcBorders>
            <w:noWrap w:val="0"/>
            <w:vAlign w:val="center"/>
          </w:tcPr>
          <w:p w14:paraId="39F801A7">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b/>
                <w:bCs/>
                <w:color w:val="auto"/>
                <w:kern w:val="2"/>
                <w:sz w:val="21"/>
                <w:szCs w:val="21"/>
                <w:highlight w:val="none"/>
              </w:rPr>
            </w:pPr>
            <w:r>
              <w:rPr>
                <w:b/>
                <w:bCs/>
                <w:color w:val="auto"/>
                <w:kern w:val="2"/>
                <w:sz w:val="21"/>
                <w:szCs w:val="21"/>
                <w:highlight w:val="none"/>
              </w:rPr>
              <w:t>标准名称及级（类）别</w:t>
            </w:r>
          </w:p>
        </w:tc>
      </w:tr>
      <w:tr w14:paraId="1BDC8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65BBEA4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w:t>
            </w:r>
          </w:p>
        </w:tc>
        <w:tc>
          <w:tcPr>
            <w:tcW w:w="1847" w:type="dxa"/>
            <w:tcBorders>
              <w:tl2br w:val="nil"/>
              <w:tr2bl w:val="nil"/>
            </w:tcBorders>
            <w:noWrap w:val="0"/>
            <w:vAlign w:val="center"/>
          </w:tcPr>
          <w:p w14:paraId="2FC527D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砷</w:t>
            </w:r>
          </w:p>
        </w:tc>
        <w:tc>
          <w:tcPr>
            <w:tcW w:w="1087" w:type="dxa"/>
            <w:tcBorders>
              <w:tl2br w:val="nil"/>
              <w:tr2bl w:val="nil"/>
            </w:tcBorders>
            <w:noWrap w:val="0"/>
            <w:vAlign w:val="center"/>
          </w:tcPr>
          <w:p w14:paraId="2DF3D03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60</w:t>
            </w:r>
          </w:p>
        </w:tc>
        <w:tc>
          <w:tcPr>
            <w:tcW w:w="718" w:type="dxa"/>
            <w:tcBorders>
              <w:tl2br w:val="nil"/>
              <w:tr2bl w:val="nil"/>
            </w:tcBorders>
            <w:noWrap w:val="0"/>
            <w:vAlign w:val="center"/>
          </w:tcPr>
          <w:p w14:paraId="48B20279">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24</w:t>
            </w:r>
          </w:p>
        </w:tc>
        <w:tc>
          <w:tcPr>
            <w:tcW w:w="2135" w:type="dxa"/>
            <w:tcBorders>
              <w:tl2br w:val="nil"/>
              <w:tr2bl w:val="nil"/>
            </w:tcBorders>
            <w:noWrap w:val="0"/>
            <w:vAlign w:val="center"/>
          </w:tcPr>
          <w:p w14:paraId="163309A0">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1,2,3-三氯丙烷</w:t>
            </w:r>
          </w:p>
        </w:tc>
        <w:tc>
          <w:tcPr>
            <w:tcW w:w="790" w:type="dxa"/>
            <w:tcBorders>
              <w:tl2br w:val="nil"/>
              <w:tr2bl w:val="nil"/>
            </w:tcBorders>
            <w:noWrap w:val="0"/>
            <w:vAlign w:val="center"/>
          </w:tcPr>
          <w:p w14:paraId="36484DD0">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0.5</w:t>
            </w:r>
          </w:p>
        </w:tc>
        <w:tc>
          <w:tcPr>
            <w:tcW w:w="1687" w:type="dxa"/>
            <w:vMerge w:val="restart"/>
            <w:tcBorders>
              <w:tl2br w:val="nil"/>
              <w:tr2bl w:val="nil"/>
            </w:tcBorders>
            <w:noWrap w:val="0"/>
            <w:vAlign w:val="center"/>
          </w:tcPr>
          <w:p w14:paraId="32BD31FA">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《土壤环境质量建设用地土壤污染风险管控标准（试行）》（GB36600-2018）表1建设用地土壤污染风险筛选值和管制值（基本项目）</w:t>
            </w:r>
          </w:p>
        </w:tc>
      </w:tr>
      <w:tr w14:paraId="20B14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027A89E0">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w:t>
            </w:r>
          </w:p>
        </w:tc>
        <w:tc>
          <w:tcPr>
            <w:tcW w:w="1847" w:type="dxa"/>
            <w:tcBorders>
              <w:tl2br w:val="nil"/>
              <w:tr2bl w:val="nil"/>
            </w:tcBorders>
            <w:noWrap w:val="0"/>
            <w:vAlign w:val="center"/>
          </w:tcPr>
          <w:p w14:paraId="3830D899">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镉</w:t>
            </w:r>
          </w:p>
        </w:tc>
        <w:tc>
          <w:tcPr>
            <w:tcW w:w="1087" w:type="dxa"/>
            <w:tcBorders>
              <w:tl2br w:val="nil"/>
              <w:tr2bl w:val="nil"/>
            </w:tcBorders>
            <w:noWrap w:val="0"/>
            <w:vAlign w:val="center"/>
          </w:tcPr>
          <w:p w14:paraId="6AD4992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65</w:t>
            </w:r>
          </w:p>
        </w:tc>
        <w:tc>
          <w:tcPr>
            <w:tcW w:w="718" w:type="dxa"/>
            <w:tcBorders>
              <w:tl2br w:val="nil"/>
              <w:tr2bl w:val="nil"/>
            </w:tcBorders>
            <w:noWrap w:val="0"/>
            <w:vAlign w:val="center"/>
          </w:tcPr>
          <w:p w14:paraId="7D5491C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25</w:t>
            </w:r>
          </w:p>
        </w:tc>
        <w:tc>
          <w:tcPr>
            <w:tcW w:w="2135" w:type="dxa"/>
            <w:tcBorders>
              <w:tl2br w:val="nil"/>
              <w:tr2bl w:val="nil"/>
            </w:tcBorders>
            <w:noWrap w:val="0"/>
            <w:vAlign w:val="center"/>
          </w:tcPr>
          <w:p w14:paraId="6769368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氯乙烯</w:t>
            </w:r>
          </w:p>
        </w:tc>
        <w:tc>
          <w:tcPr>
            <w:tcW w:w="790" w:type="dxa"/>
            <w:tcBorders>
              <w:tl2br w:val="nil"/>
              <w:tr2bl w:val="nil"/>
            </w:tcBorders>
            <w:noWrap w:val="0"/>
            <w:vAlign w:val="center"/>
          </w:tcPr>
          <w:p w14:paraId="106A1F4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0.43</w:t>
            </w:r>
          </w:p>
        </w:tc>
        <w:tc>
          <w:tcPr>
            <w:tcW w:w="1687" w:type="dxa"/>
            <w:vMerge w:val="continue"/>
            <w:tcBorders>
              <w:tl2br w:val="nil"/>
              <w:tr2bl w:val="nil"/>
            </w:tcBorders>
            <w:noWrap w:val="0"/>
            <w:vAlign w:val="center"/>
          </w:tcPr>
          <w:p w14:paraId="672491A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530B8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064E6B67">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w:t>
            </w:r>
          </w:p>
        </w:tc>
        <w:tc>
          <w:tcPr>
            <w:tcW w:w="1847" w:type="dxa"/>
            <w:tcBorders>
              <w:tl2br w:val="nil"/>
              <w:tr2bl w:val="nil"/>
            </w:tcBorders>
            <w:noWrap w:val="0"/>
            <w:vAlign w:val="center"/>
          </w:tcPr>
          <w:p w14:paraId="02D4749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铬（六价）</w:t>
            </w:r>
          </w:p>
        </w:tc>
        <w:tc>
          <w:tcPr>
            <w:tcW w:w="1087" w:type="dxa"/>
            <w:tcBorders>
              <w:tl2br w:val="nil"/>
              <w:tr2bl w:val="nil"/>
            </w:tcBorders>
            <w:noWrap w:val="0"/>
            <w:vAlign w:val="center"/>
          </w:tcPr>
          <w:p w14:paraId="341496C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5.7</w:t>
            </w:r>
          </w:p>
        </w:tc>
        <w:tc>
          <w:tcPr>
            <w:tcW w:w="718" w:type="dxa"/>
            <w:tcBorders>
              <w:tl2br w:val="nil"/>
              <w:tr2bl w:val="nil"/>
            </w:tcBorders>
            <w:noWrap w:val="0"/>
            <w:vAlign w:val="center"/>
          </w:tcPr>
          <w:p w14:paraId="4AC0985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26</w:t>
            </w:r>
          </w:p>
        </w:tc>
        <w:tc>
          <w:tcPr>
            <w:tcW w:w="2135" w:type="dxa"/>
            <w:tcBorders>
              <w:tl2br w:val="nil"/>
              <w:tr2bl w:val="nil"/>
            </w:tcBorders>
            <w:noWrap w:val="0"/>
            <w:vAlign w:val="center"/>
          </w:tcPr>
          <w:p w14:paraId="1D0FC560">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苯</w:t>
            </w:r>
          </w:p>
        </w:tc>
        <w:tc>
          <w:tcPr>
            <w:tcW w:w="790" w:type="dxa"/>
            <w:tcBorders>
              <w:tl2br w:val="nil"/>
              <w:tr2bl w:val="nil"/>
            </w:tcBorders>
            <w:noWrap w:val="0"/>
            <w:vAlign w:val="center"/>
          </w:tcPr>
          <w:p w14:paraId="301F658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4</w:t>
            </w:r>
          </w:p>
        </w:tc>
        <w:tc>
          <w:tcPr>
            <w:tcW w:w="1687" w:type="dxa"/>
            <w:vMerge w:val="continue"/>
            <w:tcBorders>
              <w:tl2br w:val="nil"/>
              <w:tr2bl w:val="nil"/>
            </w:tcBorders>
            <w:noWrap w:val="0"/>
            <w:vAlign w:val="center"/>
          </w:tcPr>
          <w:p w14:paraId="00770A4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31D46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43D4D4B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4</w:t>
            </w:r>
          </w:p>
        </w:tc>
        <w:tc>
          <w:tcPr>
            <w:tcW w:w="1847" w:type="dxa"/>
            <w:tcBorders>
              <w:tl2br w:val="nil"/>
              <w:tr2bl w:val="nil"/>
            </w:tcBorders>
            <w:noWrap w:val="0"/>
            <w:vAlign w:val="center"/>
          </w:tcPr>
          <w:p w14:paraId="0F41EBB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铜</w:t>
            </w:r>
          </w:p>
        </w:tc>
        <w:tc>
          <w:tcPr>
            <w:tcW w:w="1087" w:type="dxa"/>
            <w:tcBorders>
              <w:tl2br w:val="nil"/>
              <w:tr2bl w:val="nil"/>
            </w:tcBorders>
            <w:noWrap w:val="0"/>
            <w:vAlign w:val="center"/>
          </w:tcPr>
          <w:p w14:paraId="1494775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18000</w:t>
            </w:r>
          </w:p>
        </w:tc>
        <w:tc>
          <w:tcPr>
            <w:tcW w:w="718" w:type="dxa"/>
            <w:tcBorders>
              <w:tl2br w:val="nil"/>
              <w:tr2bl w:val="nil"/>
            </w:tcBorders>
            <w:noWrap w:val="0"/>
            <w:vAlign w:val="center"/>
          </w:tcPr>
          <w:p w14:paraId="386913D7">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27</w:t>
            </w:r>
          </w:p>
        </w:tc>
        <w:tc>
          <w:tcPr>
            <w:tcW w:w="2135" w:type="dxa"/>
            <w:tcBorders>
              <w:tl2br w:val="nil"/>
              <w:tr2bl w:val="nil"/>
            </w:tcBorders>
            <w:noWrap w:val="0"/>
            <w:vAlign w:val="center"/>
          </w:tcPr>
          <w:p w14:paraId="095F5F6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氯苯</w:t>
            </w:r>
          </w:p>
        </w:tc>
        <w:tc>
          <w:tcPr>
            <w:tcW w:w="790" w:type="dxa"/>
            <w:tcBorders>
              <w:tl2br w:val="nil"/>
              <w:tr2bl w:val="nil"/>
            </w:tcBorders>
            <w:noWrap w:val="0"/>
            <w:vAlign w:val="center"/>
          </w:tcPr>
          <w:p w14:paraId="3CA04E3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270</w:t>
            </w:r>
          </w:p>
        </w:tc>
        <w:tc>
          <w:tcPr>
            <w:tcW w:w="1687" w:type="dxa"/>
            <w:vMerge w:val="continue"/>
            <w:tcBorders>
              <w:tl2br w:val="nil"/>
              <w:tr2bl w:val="nil"/>
            </w:tcBorders>
            <w:noWrap w:val="0"/>
            <w:vAlign w:val="center"/>
          </w:tcPr>
          <w:p w14:paraId="130A342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0DF2C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16B8E3F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5</w:t>
            </w:r>
          </w:p>
        </w:tc>
        <w:tc>
          <w:tcPr>
            <w:tcW w:w="1847" w:type="dxa"/>
            <w:tcBorders>
              <w:tl2br w:val="nil"/>
              <w:tr2bl w:val="nil"/>
            </w:tcBorders>
            <w:noWrap w:val="0"/>
            <w:vAlign w:val="center"/>
          </w:tcPr>
          <w:p w14:paraId="3465471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铅</w:t>
            </w:r>
          </w:p>
        </w:tc>
        <w:tc>
          <w:tcPr>
            <w:tcW w:w="1087" w:type="dxa"/>
            <w:tcBorders>
              <w:tl2br w:val="nil"/>
              <w:tr2bl w:val="nil"/>
            </w:tcBorders>
            <w:noWrap w:val="0"/>
            <w:vAlign w:val="center"/>
          </w:tcPr>
          <w:p w14:paraId="24EB284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800</w:t>
            </w:r>
          </w:p>
        </w:tc>
        <w:tc>
          <w:tcPr>
            <w:tcW w:w="718" w:type="dxa"/>
            <w:tcBorders>
              <w:tl2br w:val="nil"/>
              <w:tr2bl w:val="nil"/>
            </w:tcBorders>
            <w:noWrap w:val="0"/>
            <w:vAlign w:val="center"/>
          </w:tcPr>
          <w:p w14:paraId="21C5E63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28</w:t>
            </w:r>
          </w:p>
        </w:tc>
        <w:tc>
          <w:tcPr>
            <w:tcW w:w="2135" w:type="dxa"/>
            <w:tcBorders>
              <w:tl2br w:val="nil"/>
              <w:tr2bl w:val="nil"/>
            </w:tcBorders>
            <w:noWrap w:val="0"/>
            <w:vAlign w:val="center"/>
          </w:tcPr>
          <w:p w14:paraId="023D426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1,2-二氯苯</w:t>
            </w:r>
          </w:p>
        </w:tc>
        <w:tc>
          <w:tcPr>
            <w:tcW w:w="790" w:type="dxa"/>
            <w:tcBorders>
              <w:tl2br w:val="nil"/>
              <w:tr2bl w:val="nil"/>
            </w:tcBorders>
            <w:noWrap w:val="0"/>
            <w:vAlign w:val="center"/>
          </w:tcPr>
          <w:p w14:paraId="65BC2D3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560</w:t>
            </w:r>
          </w:p>
        </w:tc>
        <w:tc>
          <w:tcPr>
            <w:tcW w:w="1687" w:type="dxa"/>
            <w:vMerge w:val="continue"/>
            <w:tcBorders>
              <w:tl2br w:val="nil"/>
              <w:tr2bl w:val="nil"/>
            </w:tcBorders>
            <w:noWrap w:val="0"/>
            <w:vAlign w:val="center"/>
          </w:tcPr>
          <w:p w14:paraId="11A3756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63081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6318461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6</w:t>
            </w:r>
          </w:p>
        </w:tc>
        <w:tc>
          <w:tcPr>
            <w:tcW w:w="1847" w:type="dxa"/>
            <w:tcBorders>
              <w:tl2br w:val="nil"/>
              <w:tr2bl w:val="nil"/>
            </w:tcBorders>
            <w:noWrap w:val="0"/>
            <w:vAlign w:val="center"/>
          </w:tcPr>
          <w:p w14:paraId="3F5E7B9A">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汞</w:t>
            </w:r>
          </w:p>
        </w:tc>
        <w:tc>
          <w:tcPr>
            <w:tcW w:w="1087" w:type="dxa"/>
            <w:tcBorders>
              <w:tl2br w:val="nil"/>
              <w:tr2bl w:val="nil"/>
            </w:tcBorders>
            <w:noWrap w:val="0"/>
            <w:vAlign w:val="center"/>
          </w:tcPr>
          <w:p w14:paraId="24EC07B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38</w:t>
            </w:r>
          </w:p>
        </w:tc>
        <w:tc>
          <w:tcPr>
            <w:tcW w:w="718" w:type="dxa"/>
            <w:tcBorders>
              <w:tl2br w:val="nil"/>
              <w:tr2bl w:val="nil"/>
            </w:tcBorders>
            <w:noWrap w:val="0"/>
            <w:vAlign w:val="center"/>
          </w:tcPr>
          <w:p w14:paraId="546D6A5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29</w:t>
            </w:r>
          </w:p>
        </w:tc>
        <w:tc>
          <w:tcPr>
            <w:tcW w:w="2135" w:type="dxa"/>
            <w:tcBorders>
              <w:tl2br w:val="nil"/>
              <w:tr2bl w:val="nil"/>
            </w:tcBorders>
            <w:noWrap w:val="0"/>
            <w:vAlign w:val="center"/>
          </w:tcPr>
          <w:p w14:paraId="5E18400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1,4-二氯苯</w:t>
            </w:r>
          </w:p>
        </w:tc>
        <w:tc>
          <w:tcPr>
            <w:tcW w:w="790" w:type="dxa"/>
            <w:tcBorders>
              <w:tl2br w:val="nil"/>
              <w:tr2bl w:val="nil"/>
            </w:tcBorders>
            <w:noWrap w:val="0"/>
            <w:vAlign w:val="center"/>
          </w:tcPr>
          <w:p w14:paraId="0347C7A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20</w:t>
            </w:r>
          </w:p>
        </w:tc>
        <w:tc>
          <w:tcPr>
            <w:tcW w:w="1687" w:type="dxa"/>
            <w:vMerge w:val="continue"/>
            <w:tcBorders>
              <w:tl2br w:val="nil"/>
              <w:tr2bl w:val="nil"/>
            </w:tcBorders>
            <w:noWrap w:val="0"/>
            <w:vAlign w:val="center"/>
          </w:tcPr>
          <w:p w14:paraId="7305C08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24D6D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23E4D88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7</w:t>
            </w:r>
          </w:p>
        </w:tc>
        <w:tc>
          <w:tcPr>
            <w:tcW w:w="1847" w:type="dxa"/>
            <w:tcBorders>
              <w:tl2br w:val="nil"/>
              <w:tr2bl w:val="nil"/>
            </w:tcBorders>
            <w:noWrap w:val="0"/>
            <w:vAlign w:val="center"/>
          </w:tcPr>
          <w:p w14:paraId="5482464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镍</w:t>
            </w:r>
          </w:p>
        </w:tc>
        <w:tc>
          <w:tcPr>
            <w:tcW w:w="1087" w:type="dxa"/>
            <w:tcBorders>
              <w:tl2br w:val="nil"/>
              <w:tr2bl w:val="nil"/>
            </w:tcBorders>
            <w:noWrap w:val="0"/>
            <w:vAlign w:val="center"/>
          </w:tcPr>
          <w:p w14:paraId="7743A90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900</w:t>
            </w:r>
          </w:p>
        </w:tc>
        <w:tc>
          <w:tcPr>
            <w:tcW w:w="718" w:type="dxa"/>
            <w:tcBorders>
              <w:tl2br w:val="nil"/>
              <w:tr2bl w:val="nil"/>
            </w:tcBorders>
            <w:noWrap w:val="0"/>
            <w:vAlign w:val="center"/>
          </w:tcPr>
          <w:p w14:paraId="767BC8A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30</w:t>
            </w:r>
          </w:p>
        </w:tc>
        <w:tc>
          <w:tcPr>
            <w:tcW w:w="2135" w:type="dxa"/>
            <w:tcBorders>
              <w:tl2br w:val="nil"/>
              <w:tr2bl w:val="nil"/>
            </w:tcBorders>
            <w:noWrap w:val="0"/>
            <w:vAlign w:val="center"/>
          </w:tcPr>
          <w:p w14:paraId="43DD213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乙苯</w:t>
            </w:r>
          </w:p>
        </w:tc>
        <w:tc>
          <w:tcPr>
            <w:tcW w:w="790" w:type="dxa"/>
            <w:tcBorders>
              <w:tl2br w:val="nil"/>
              <w:tr2bl w:val="nil"/>
            </w:tcBorders>
            <w:noWrap w:val="0"/>
            <w:vAlign w:val="center"/>
          </w:tcPr>
          <w:p w14:paraId="0A941B6A">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28</w:t>
            </w:r>
          </w:p>
        </w:tc>
        <w:tc>
          <w:tcPr>
            <w:tcW w:w="1687" w:type="dxa"/>
            <w:vMerge w:val="continue"/>
            <w:tcBorders>
              <w:tl2br w:val="nil"/>
              <w:tr2bl w:val="nil"/>
            </w:tcBorders>
            <w:noWrap w:val="0"/>
            <w:vAlign w:val="center"/>
          </w:tcPr>
          <w:p w14:paraId="0F0A9B9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07398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3920C140">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8</w:t>
            </w:r>
          </w:p>
        </w:tc>
        <w:tc>
          <w:tcPr>
            <w:tcW w:w="1847" w:type="dxa"/>
            <w:tcBorders>
              <w:tl2br w:val="nil"/>
              <w:tr2bl w:val="nil"/>
            </w:tcBorders>
            <w:noWrap w:val="0"/>
            <w:vAlign w:val="center"/>
          </w:tcPr>
          <w:p w14:paraId="1FC6501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四氯化碳</w:t>
            </w:r>
          </w:p>
        </w:tc>
        <w:tc>
          <w:tcPr>
            <w:tcW w:w="1087" w:type="dxa"/>
            <w:tcBorders>
              <w:tl2br w:val="nil"/>
              <w:tr2bl w:val="nil"/>
            </w:tcBorders>
            <w:noWrap w:val="0"/>
            <w:vAlign w:val="center"/>
          </w:tcPr>
          <w:p w14:paraId="4029BF6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2.8</w:t>
            </w:r>
          </w:p>
        </w:tc>
        <w:tc>
          <w:tcPr>
            <w:tcW w:w="718" w:type="dxa"/>
            <w:tcBorders>
              <w:tl2br w:val="nil"/>
              <w:tr2bl w:val="nil"/>
            </w:tcBorders>
            <w:noWrap w:val="0"/>
            <w:vAlign w:val="center"/>
          </w:tcPr>
          <w:p w14:paraId="6AEC368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31</w:t>
            </w:r>
          </w:p>
        </w:tc>
        <w:tc>
          <w:tcPr>
            <w:tcW w:w="2135" w:type="dxa"/>
            <w:tcBorders>
              <w:tl2br w:val="nil"/>
              <w:tr2bl w:val="nil"/>
            </w:tcBorders>
            <w:noWrap w:val="0"/>
            <w:vAlign w:val="center"/>
          </w:tcPr>
          <w:p w14:paraId="7271A44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苯乙烯</w:t>
            </w:r>
          </w:p>
        </w:tc>
        <w:tc>
          <w:tcPr>
            <w:tcW w:w="790" w:type="dxa"/>
            <w:tcBorders>
              <w:tl2br w:val="nil"/>
              <w:tr2bl w:val="nil"/>
            </w:tcBorders>
            <w:noWrap w:val="0"/>
            <w:vAlign w:val="center"/>
          </w:tcPr>
          <w:p w14:paraId="7CDB19C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1290</w:t>
            </w:r>
          </w:p>
        </w:tc>
        <w:tc>
          <w:tcPr>
            <w:tcW w:w="1687" w:type="dxa"/>
            <w:vMerge w:val="continue"/>
            <w:tcBorders>
              <w:tl2br w:val="nil"/>
              <w:tr2bl w:val="nil"/>
            </w:tcBorders>
            <w:noWrap w:val="0"/>
            <w:vAlign w:val="center"/>
          </w:tcPr>
          <w:p w14:paraId="3A69D76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763A7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538D5E09">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9</w:t>
            </w:r>
          </w:p>
        </w:tc>
        <w:tc>
          <w:tcPr>
            <w:tcW w:w="1847" w:type="dxa"/>
            <w:tcBorders>
              <w:tl2br w:val="nil"/>
              <w:tr2bl w:val="nil"/>
            </w:tcBorders>
            <w:noWrap w:val="0"/>
            <w:vAlign w:val="center"/>
          </w:tcPr>
          <w:p w14:paraId="18255AA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氯仿</w:t>
            </w:r>
          </w:p>
        </w:tc>
        <w:tc>
          <w:tcPr>
            <w:tcW w:w="1087" w:type="dxa"/>
            <w:tcBorders>
              <w:tl2br w:val="nil"/>
              <w:tr2bl w:val="nil"/>
            </w:tcBorders>
            <w:noWrap w:val="0"/>
            <w:vAlign w:val="center"/>
          </w:tcPr>
          <w:p w14:paraId="598FC94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0.9</w:t>
            </w:r>
          </w:p>
        </w:tc>
        <w:tc>
          <w:tcPr>
            <w:tcW w:w="718" w:type="dxa"/>
            <w:tcBorders>
              <w:tl2br w:val="nil"/>
              <w:tr2bl w:val="nil"/>
            </w:tcBorders>
            <w:noWrap w:val="0"/>
            <w:vAlign w:val="center"/>
          </w:tcPr>
          <w:p w14:paraId="19F6B51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32</w:t>
            </w:r>
          </w:p>
        </w:tc>
        <w:tc>
          <w:tcPr>
            <w:tcW w:w="2135" w:type="dxa"/>
            <w:tcBorders>
              <w:tl2br w:val="nil"/>
              <w:tr2bl w:val="nil"/>
            </w:tcBorders>
            <w:noWrap w:val="0"/>
            <w:vAlign w:val="center"/>
          </w:tcPr>
          <w:p w14:paraId="43FB5E5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甲苯</w:t>
            </w:r>
          </w:p>
        </w:tc>
        <w:tc>
          <w:tcPr>
            <w:tcW w:w="790" w:type="dxa"/>
            <w:tcBorders>
              <w:tl2br w:val="nil"/>
              <w:tr2bl w:val="nil"/>
            </w:tcBorders>
            <w:noWrap w:val="0"/>
            <w:vAlign w:val="center"/>
          </w:tcPr>
          <w:p w14:paraId="26E3D773">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1200</w:t>
            </w:r>
          </w:p>
        </w:tc>
        <w:tc>
          <w:tcPr>
            <w:tcW w:w="1687" w:type="dxa"/>
            <w:vMerge w:val="continue"/>
            <w:tcBorders>
              <w:tl2br w:val="nil"/>
              <w:tr2bl w:val="nil"/>
            </w:tcBorders>
            <w:noWrap w:val="0"/>
            <w:vAlign w:val="center"/>
          </w:tcPr>
          <w:p w14:paraId="0AF1DF9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62D26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79A98273">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10</w:t>
            </w:r>
          </w:p>
        </w:tc>
        <w:tc>
          <w:tcPr>
            <w:tcW w:w="1847" w:type="dxa"/>
            <w:tcBorders>
              <w:tl2br w:val="nil"/>
              <w:tr2bl w:val="nil"/>
            </w:tcBorders>
            <w:noWrap w:val="0"/>
            <w:vAlign w:val="center"/>
          </w:tcPr>
          <w:p w14:paraId="4FB44AE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氯甲烷</w:t>
            </w:r>
          </w:p>
        </w:tc>
        <w:tc>
          <w:tcPr>
            <w:tcW w:w="1087" w:type="dxa"/>
            <w:tcBorders>
              <w:tl2br w:val="nil"/>
              <w:tr2bl w:val="nil"/>
            </w:tcBorders>
            <w:noWrap w:val="0"/>
            <w:vAlign w:val="center"/>
          </w:tcPr>
          <w:p w14:paraId="1E7E6E0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37</w:t>
            </w:r>
          </w:p>
        </w:tc>
        <w:tc>
          <w:tcPr>
            <w:tcW w:w="718" w:type="dxa"/>
            <w:tcBorders>
              <w:tl2br w:val="nil"/>
              <w:tr2bl w:val="nil"/>
            </w:tcBorders>
            <w:noWrap w:val="0"/>
            <w:vAlign w:val="center"/>
          </w:tcPr>
          <w:p w14:paraId="254BD6A7">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33</w:t>
            </w:r>
          </w:p>
        </w:tc>
        <w:tc>
          <w:tcPr>
            <w:tcW w:w="2135" w:type="dxa"/>
            <w:tcBorders>
              <w:tl2br w:val="nil"/>
              <w:tr2bl w:val="nil"/>
            </w:tcBorders>
            <w:noWrap w:val="0"/>
            <w:vAlign w:val="center"/>
          </w:tcPr>
          <w:p w14:paraId="16F34AE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间二甲苯+对二甲苯</w:t>
            </w:r>
          </w:p>
        </w:tc>
        <w:tc>
          <w:tcPr>
            <w:tcW w:w="790" w:type="dxa"/>
            <w:tcBorders>
              <w:tl2br w:val="nil"/>
              <w:tr2bl w:val="nil"/>
            </w:tcBorders>
            <w:noWrap w:val="0"/>
            <w:vAlign w:val="center"/>
          </w:tcPr>
          <w:p w14:paraId="58C3128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570</w:t>
            </w:r>
          </w:p>
        </w:tc>
        <w:tc>
          <w:tcPr>
            <w:tcW w:w="1687" w:type="dxa"/>
            <w:vMerge w:val="continue"/>
            <w:tcBorders>
              <w:tl2br w:val="nil"/>
              <w:tr2bl w:val="nil"/>
            </w:tcBorders>
            <w:noWrap w:val="0"/>
            <w:vAlign w:val="center"/>
          </w:tcPr>
          <w:p w14:paraId="5A6F287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63761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7AC98023">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11</w:t>
            </w:r>
          </w:p>
        </w:tc>
        <w:tc>
          <w:tcPr>
            <w:tcW w:w="1847" w:type="dxa"/>
            <w:tcBorders>
              <w:tl2br w:val="nil"/>
              <w:tr2bl w:val="nil"/>
            </w:tcBorders>
            <w:noWrap w:val="0"/>
            <w:vAlign w:val="center"/>
          </w:tcPr>
          <w:p w14:paraId="0CC2EDE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1,1-二氯乙烷</w:t>
            </w:r>
          </w:p>
        </w:tc>
        <w:tc>
          <w:tcPr>
            <w:tcW w:w="1087" w:type="dxa"/>
            <w:tcBorders>
              <w:tl2br w:val="nil"/>
              <w:tr2bl w:val="nil"/>
            </w:tcBorders>
            <w:noWrap w:val="0"/>
            <w:vAlign w:val="center"/>
          </w:tcPr>
          <w:p w14:paraId="54204A9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9</w:t>
            </w:r>
          </w:p>
        </w:tc>
        <w:tc>
          <w:tcPr>
            <w:tcW w:w="718" w:type="dxa"/>
            <w:tcBorders>
              <w:tl2br w:val="nil"/>
              <w:tr2bl w:val="nil"/>
            </w:tcBorders>
            <w:noWrap w:val="0"/>
            <w:vAlign w:val="center"/>
          </w:tcPr>
          <w:p w14:paraId="3C4FAF4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34</w:t>
            </w:r>
          </w:p>
        </w:tc>
        <w:tc>
          <w:tcPr>
            <w:tcW w:w="2135" w:type="dxa"/>
            <w:tcBorders>
              <w:tl2br w:val="nil"/>
              <w:tr2bl w:val="nil"/>
            </w:tcBorders>
            <w:noWrap w:val="0"/>
            <w:vAlign w:val="center"/>
          </w:tcPr>
          <w:p w14:paraId="12C6280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邻二甲苯</w:t>
            </w:r>
          </w:p>
        </w:tc>
        <w:tc>
          <w:tcPr>
            <w:tcW w:w="790" w:type="dxa"/>
            <w:tcBorders>
              <w:tl2br w:val="nil"/>
              <w:tr2bl w:val="nil"/>
            </w:tcBorders>
            <w:noWrap w:val="0"/>
            <w:vAlign w:val="center"/>
          </w:tcPr>
          <w:p w14:paraId="2C421FC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640</w:t>
            </w:r>
          </w:p>
        </w:tc>
        <w:tc>
          <w:tcPr>
            <w:tcW w:w="1687" w:type="dxa"/>
            <w:vMerge w:val="continue"/>
            <w:tcBorders>
              <w:tl2br w:val="nil"/>
              <w:tr2bl w:val="nil"/>
            </w:tcBorders>
            <w:noWrap w:val="0"/>
            <w:vAlign w:val="center"/>
          </w:tcPr>
          <w:p w14:paraId="1FA6945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4B2EF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02DDB72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12</w:t>
            </w:r>
          </w:p>
        </w:tc>
        <w:tc>
          <w:tcPr>
            <w:tcW w:w="1847" w:type="dxa"/>
            <w:tcBorders>
              <w:tl2br w:val="nil"/>
              <w:tr2bl w:val="nil"/>
            </w:tcBorders>
            <w:noWrap w:val="0"/>
            <w:vAlign w:val="center"/>
          </w:tcPr>
          <w:p w14:paraId="7A2BB42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1,2-二氯乙烷</w:t>
            </w:r>
          </w:p>
        </w:tc>
        <w:tc>
          <w:tcPr>
            <w:tcW w:w="1087" w:type="dxa"/>
            <w:tcBorders>
              <w:tl2br w:val="nil"/>
              <w:tr2bl w:val="nil"/>
            </w:tcBorders>
            <w:noWrap w:val="0"/>
            <w:vAlign w:val="center"/>
          </w:tcPr>
          <w:p w14:paraId="17687A13">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5</w:t>
            </w:r>
          </w:p>
        </w:tc>
        <w:tc>
          <w:tcPr>
            <w:tcW w:w="718" w:type="dxa"/>
            <w:tcBorders>
              <w:tl2br w:val="nil"/>
              <w:tr2bl w:val="nil"/>
            </w:tcBorders>
            <w:noWrap w:val="0"/>
            <w:vAlign w:val="center"/>
          </w:tcPr>
          <w:p w14:paraId="64AFAA0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35</w:t>
            </w:r>
          </w:p>
        </w:tc>
        <w:tc>
          <w:tcPr>
            <w:tcW w:w="2135" w:type="dxa"/>
            <w:tcBorders>
              <w:tl2br w:val="nil"/>
              <w:tr2bl w:val="nil"/>
            </w:tcBorders>
            <w:noWrap w:val="0"/>
            <w:vAlign w:val="center"/>
          </w:tcPr>
          <w:p w14:paraId="7BFE006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硝基苯</w:t>
            </w:r>
          </w:p>
        </w:tc>
        <w:tc>
          <w:tcPr>
            <w:tcW w:w="790" w:type="dxa"/>
            <w:tcBorders>
              <w:tl2br w:val="nil"/>
              <w:tr2bl w:val="nil"/>
            </w:tcBorders>
            <w:noWrap w:val="0"/>
            <w:vAlign w:val="center"/>
          </w:tcPr>
          <w:p w14:paraId="489330E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76</w:t>
            </w:r>
          </w:p>
        </w:tc>
        <w:tc>
          <w:tcPr>
            <w:tcW w:w="1687" w:type="dxa"/>
            <w:vMerge w:val="continue"/>
            <w:tcBorders>
              <w:tl2br w:val="nil"/>
              <w:tr2bl w:val="nil"/>
            </w:tcBorders>
            <w:noWrap w:val="0"/>
            <w:vAlign w:val="center"/>
          </w:tcPr>
          <w:p w14:paraId="7D1523E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02ACB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62B6A03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13</w:t>
            </w:r>
          </w:p>
        </w:tc>
        <w:tc>
          <w:tcPr>
            <w:tcW w:w="1847" w:type="dxa"/>
            <w:tcBorders>
              <w:tl2br w:val="nil"/>
              <w:tr2bl w:val="nil"/>
            </w:tcBorders>
            <w:noWrap w:val="0"/>
            <w:vAlign w:val="center"/>
          </w:tcPr>
          <w:p w14:paraId="36DA5587">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1,1-二氯乙烯</w:t>
            </w:r>
          </w:p>
        </w:tc>
        <w:tc>
          <w:tcPr>
            <w:tcW w:w="1087" w:type="dxa"/>
            <w:tcBorders>
              <w:tl2br w:val="nil"/>
              <w:tr2bl w:val="nil"/>
            </w:tcBorders>
            <w:noWrap w:val="0"/>
            <w:vAlign w:val="center"/>
          </w:tcPr>
          <w:p w14:paraId="1978B3E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66</w:t>
            </w:r>
          </w:p>
        </w:tc>
        <w:tc>
          <w:tcPr>
            <w:tcW w:w="718" w:type="dxa"/>
            <w:tcBorders>
              <w:tl2br w:val="nil"/>
              <w:tr2bl w:val="nil"/>
            </w:tcBorders>
            <w:noWrap w:val="0"/>
            <w:vAlign w:val="center"/>
          </w:tcPr>
          <w:p w14:paraId="78DB132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36</w:t>
            </w:r>
          </w:p>
        </w:tc>
        <w:tc>
          <w:tcPr>
            <w:tcW w:w="2135" w:type="dxa"/>
            <w:tcBorders>
              <w:tl2br w:val="nil"/>
              <w:tr2bl w:val="nil"/>
            </w:tcBorders>
            <w:noWrap w:val="0"/>
            <w:vAlign w:val="center"/>
          </w:tcPr>
          <w:p w14:paraId="2926B4D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苯胺</w:t>
            </w:r>
          </w:p>
        </w:tc>
        <w:tc>
          <w:tcPr>
            <w:tcW w:w="790" w:type="dxa"/>
            <w:tcBorders>
              <w:tl2br w:val="nil"/>
              <w:tr2bl w:val="nil"/>
            </w:tcBorders>
            <w:noWrap w:val="0"/>
            <w:vAlign w:val="center"/>
          </w:tcPr>
          <w:p w14:paraId="51DA2E9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260</w:t>
            </w:r>
          </w:p>
        </w:tc>
        <w:tc>
          <w:tcPr>
            <w:tcW w:w="1687" w:type="dxa"/>
            <w:vMerge w:val="continue"/>
            <w:tcBorders>
              <w:tl2br w:val="nil"/>
              <w:tr2bl w:val="nil"/>
            </w:tcBorders>
            <w:noWrap w:val="0"/>
            <w:vAlign w:val="center"/>
          </w:tcPr>
          <w:p w14:paraId="60836CC3">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01C75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001234C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14</w:t>
            </w:r>
          </w:p>
        </w:tc>
        <w:tc>
          <w:tcPr>
            <w:tcW w:w="1847" w:type="dxa"/>
            <w:tcBorders>
              <w:tl2br w:val="nil"/>
              <w:tr2bl w:val="nil"/>
            </w:tcBorders>
            <w:noWrap w:val="0"/>
            <w:vAlign w:val="center"/>
          </w:tcPr>
          <w:p w14:paraId="1176D85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顺-1,2-二氯乙烯</w:t>
            </w:r>
          </w:p>
        </w:tc>
        <w:tc>
          <w:tcPr>
            <w:tcW w:w="1087" w:type="dxa"/>
            <w:tcBorders>
              <w:tl2br w:val="nil"/>
              <w:tr2bl w:val="nil"/>
            </w:tcBorders>
            <w:noWrap w:val="0"/>
            <w:vAlign w:val="center"/>
          </w:tcPr>
          <w:p w14:paraId="2E63780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596</w:t>
            </w:r>
          </w:p>
        </w:tc>
        <w:tc>
          <w:tcPr>
            <w:tcW w:w="718" w:type="dxa"/>
            <w:tcBorders>
              <w:tl2br w:val="nil"/>
              <w:tr2bl w:val="nil"/>
            </w:tcBorders>
            <w:noWrap w:val="0"/>
            <w:vAlign w:val="center"/>
          </w:tcPr>
          <w:p w14:paraId="4FA28DC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37</w:t>
            </w:r>
          </w:p>
        </w:tc>
        <w:tc>
          <w:tcPr>
            <w:tcW w:w="2135" w:type="dxa"/>
            <w:tcBorders>
              <w:tl2br w:val="nil"/>
              <w:tr2bl w:val="nil"/>
            </w:tcBorders>
            <w:noWrap w:val="0"/>
            <w:vAlign w:val="center"/>
          </w:tcPr>
          <w:p w14:paraId="13CF5A6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2-氯酚</w:t>
            </w:r>
          </w:p>
        </w:tc>
        <w:tc>
          <w:tcPr>
            <w:tcW w:w="790" w:type="dxa"/>
            <w:tcBorders>
              <w:tl2br w:val="nil"/>
              <w:tr2bl w:val="nil"/>
            </w:tcBorders>
            <w:noWrap w:val="0"/>
            <w:vAlign w:val="center"/>
          </w:tcPr>
          <w:p w14:paraId="0939B3F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2256</w:t>
            </w:r>
          </w:p>
        </w:tc>
        <w:tc>
          <w:tcPr>
            <w:tcW w:w="1687" w:type="dxa"/>
            <w:vMerge w:val="continue"/>
            <w:tcBorders>
              <w:tl2br w:val="nil"/>
              <w:tr2bl w:val="nil"/>
            </w:tcBorders>
            <w:noWrap w:val="0"/>
            <w:vAlign w:val="center"/>
          </w:tcPr>
          <w:p w14:paraId="6AD4884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12F25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535B8DB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15</w:t>
            </w:r>
          </w:p>
        </w:tc>
        <w:tc>
          <w:tcPr>
            <w:tcW w:w="1847" w:type="dxa"/>
            <w:tcBorders>
              <w:tl2br w:val="nil"/>
              <w:tr2bl w:val="nil"/>
            </w:tcBorders>
            <w:noWrap w:val="0"/>
            <w:vAlign w:val="center"/>
          </w:tcPr>
          <w:p w14:paraId="7676E268">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反-1,2-二氯乙烯</w:t>
            </w:r>
          </w:p>
        </w:tc>
        <w:tc>
          <w:tcPr>
            <w:tcW w:w="1087" w:type="dxa"/>
            <w:tcBorders>
              <w:tl2br w:val="nil"/>
              <w:tr2bl w:val="nil"/>
            </w:tcBorders>
            <w:noWrap w:val="0"/>
            <w:vAlign w:val="center"/>
          </w:tcPr>
          <w:p w14:paraId="64FFFC1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54</w:t>
            </w:r>
          </w:p>
        </w:tc>
        <w:tc>
          <w:tcPr>
            <w:tcW w:w="718" w:type="dxa"/>
            <w:tcBorders>
              <w:tl2br w:val="nil"/>
              <w:tr2bl w:val="nil"/>
            </w:tcBorders>
            <w:noWrap w:val="0"/>
            <w:vAlign w:val="center"/>
          </w:tcPr>
          <w:p w14:paraId="4D2ACA18">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38</w:t>
            </w:r>
          </w:p>
        </w:tc>
        <w:tc>
          <w:tcPr>
            <w:tcW w:w="2135" w:type="dxa"/>
            <w:tcBorders>
              <w:tl2br w:val="nil"/>
              <w:tr2bl w:val="nil"/>
            </w:tcBorders>
            <w:noWrap w:val="0"/>
            <w:vAlign w:val="center"/>
          </w:tcPr>
          <w:p w14:paraId="5A17419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苯并[a]蒽</w:t>
            </w:r>
          </w:p>
        </w:tc>
        <w:tc>
          <w:tcPr>
            <w:tcW w:w="790" w:type="dxa"/>
            <w:tcBorders>
              <w:tl2br w:val="nil"/>
              <w:tr2bl w:val="nil"/>
            </w:tcBorders>
            <w:noWrap w:val="0"/>
            <w:vAlign w:val="center"/>
          </w:tcPr>
          <w:p w14:paraId="61305E5A">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15</w:t>
            </w:r>
          </w:p>
        </w:tc>
        <w:tc>
          <w:tcPr>
            <w:tcW w:w="1687" w:type="dxa"/>
            <w:vMerge w:val="continue"/>
            <w:tcBorders>
              <w:tl2br w:val="nil"/>
              <w:tr2bl w:val="nil"/>
            </w:tcBorders>
            <w:noWrap w:val="0"/>
            <w:vAlign w:val="center"/>
          </w:tcPr>
          <w:p w14:paraId="4D2FAFB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61EC0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3809635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16</w:t>
            </w:r>
          </w:p>
        </w:tc>
        <w:tc>
          <w:tcPr>
            <w:tcW w:w="1847" w:type="dxa"/>
            <w:tcBorders>
              <w:tl2br w:val="nil"/>
              <w:tr2bl w:val="nil"/>
            </w:tcBorders>
            <w:noWrap w:val="0"/>
            <w:vAlign w:val="center"/>
          </w:tcPr>
          <w:p w14:paraId="563214F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二氯甲烷</w:t>
            </w:r>
          </w:p>
        </w:tc>
        <w:tc>
          <w:tcPr>
            <w:tcW w:w="1087" w:type="dxa"/>
            <w:tcBorders>
              <w:tl2br w:val="nil"/>
              <w:tr2bl w:val="nil"/>
            </w:tcBorders>
            <w:noWrap w:val="0"/>
            <w:vAlign w:val="center"/>
          </w:tcPr>
          <w:p w14:paraId="5B08699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616</w:t>
            </w:r>
          </w:p>
        </w:tc>
        <w:tc>
          <w:tcPr>
            <w:tcW w:w="718" w:type="dxa"/>
            <w:tcBorders>
              <w:tl2br w:val="nil"/>
              <w:tr2bl w:val="nil"/>
            </w:tcBorders>
            <w:noWrap w:val="0"/>
            <w:vAlign w:val="center"/>
          </w:tcPr>
          <w:p w14:paraId="17BD24D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39</w:t>
            </w:r>
          </w:p>
        </w:tc>
        <w:tc>
          <w:tcPr>
            <w:tcW w:w="2135" w:type="dxa"/>
            <w:tcBorders>
              <w:tl2br w:val="nil"/>
              <w:tr2bl w:val="nil"/>
            </w:tcBorders>
            <w:noWrap w:val="0"/>
            <w:vAlign w:val="center"/>
          </w:tcPr>
          <w:p w14:paraId="752AABB9">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苯并[a]芘</w:t>
            </w:r>
          </w:p>
        </w:tc>
        <w:tc>
          <w:tcPr>
            <w:tcW w:w="790" w:type="dxa"/>
            <w:tcBorders>
              <w:tl2br w:val="nil"/>
              <w:tr2bl w:val="nil"/>
            </w:tcBorders>
            <w:noWrap w:val="0"/>
            <w:vAlign w:val="center"/>
          </w:tcPr>
          <w:p w14:paraId="7984ED6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1.5</w:t>
            </w:r>
          </w:p>
        </w:tc>
        <w:tc>
          <w:tcPr>
            <w:tcW w:w="1687" w:type="dxa"/>
            <w:vMerge w:val="continue"/>
            <w:tcBorders>
              <w:tl2br w:val="nil"/>
              <w:tr2bl w:val="nil"/>
            </w:tcBorders>
            <w:noWrap w:val="0"/>
            <w:vAlign w:val="center"/>
          </w:tcPr>
          <w:p w14:paraId="17D14CCA">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1FA82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692FCE77">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17</w:t>
            </w:r>
          </w:p>
        </w:tc>
        <w:tc>
          <w:tcPr>
            <w:tcW w:w="1847" w:type="dxa"/>
            <w:tcBorders>
              <w:tl2br w:val="nil"/>
              <w:tr2bl w:val="nil"/>
            </w:tcBorders>
            <w:noWrap w:val="0"/>
            <w:vAlign w:val="center"/>
          </w:tcPr>
          <w:p w14:paraId="06BA3D8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1,2-二氯丙烷</w:t>
            </w:r>
          </w:p>
        </w:tc>
        <w:tc>
          <w:tcPr>
            <w:tcW w:w="1087" w:type="dxa"/>
            <w:tcBorders>
              <w:tl2br w:val="nil"/>
              <w:tr2bl w:val="nil"/>
            </w:tcBorders>
            <w:noWrap w:val="0"/>
            <w:vAlign w:val="center"/>
          </w:tcPr>
          <w:p w14:paraId="2FE8D3A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5</w:t>
            </w:r>
          </w:p>
        </w:tc>
        <w:tc>
          <w:tcPr>
            <w:tcW w:w="718" w:type="dxa"/>
            <w:tcBorders>
              <w:tl2br w:val="nil"/>
              <w:tr2bl w:val="nil"/>
            </w:tcBorders>
            <w:noWrap w:val="0"/>
            <w:vAlign w:val="center"/>
          </w:tcPr>
          <w:p w14:paraId="7D4406C8">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40</w:t>
            </w:r>
          </w:p>
        </w:tc>
        <w:tc>
          <w:tcPr>
            <w:tcW w:w="2135" w:type="dxa"/>
            <w:tcBorders>
              <w:tl2br w:val="nil"/>
              <w:tr2bl w:val="nil"/>
            </w:tcBorders>
            <w:noWrap w:val="0"/>
            <w:vAlign w:val="center"/>
          </w:tcPr>
          <w:p w14:paraId="4FFCA5B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苯并[b]荧蒽</w:t>
            </w:r>
          </w:p>
        </w:tc>
        <w:tc>
          <w:tcPr>
            <w:tcW w:w="790" w:type="dxa"/>
            <w:tcBorders>
              <w:tl2br w:val="nil"/>
              <w:tr2bl w:val="nil"/>
            </w:tcBorders>
            <w:noWrap w:val="0"/>
            <w:vAlign w:val="center"/>
          </w:tcPr>
          <w:p w14:paraId="54038D90">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15</w:t>
            </w:r>
          </w:p>
        </w:tc>
        <w:tc>
          <w:tcPr>
            <w:tcW w:w="1687" w:type="dxa"/>
            <w:vMerge w:val="continue"/>
            <w:tcBorders>
              <w:tl2br w:val="nil"/>
              <w:tr2bl w:val="nil"/>
            </w:tcBorders>
            <w:noWrap w:val="0"/>
            <w:vAlign w:val="center"/>
          </w:tcPr>
          <w:p w14:paraId="27FE31C3">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1F748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4F073CD8">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18</w:t>
            </w:r>
          </w:p>
        </w:tc>
        <w:tc>
          <w:tcPr>
            <w:tcW w:w="1847" w:type="dxa"/>
            <w:tcBorders>
              <w:tl2br w:val="nil"/>
              <w:tr2bl w:val="nil"/>
            </w:tcBorders>
            <w:noWrap w:val="0"/>
            <w:vAlign w:val="center"/>
          </w:tcPr>
          <w:p w14:paraId="0D56307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1,1,1,2-四氯乙烷</w:t>
            </w:r>
          </w:p>
        </w:tc>
        <w:tc>
          <w:tcPr>
            <w:tcW w:w="1087" w:type="dxa"/>
            <w:tcBorders>
              <w:tl2br w:val="nil"/>
              <w:tr2bl w:val="nil"/>
            </w:tcBorders>
            <w:noWrap w:val="0"/>
            <w:vAlign w:val="center"/>
          </w:tcPr>
          <w:p w14:paraId="44BC7F5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10</w:t>
            </w:r>
          </w:p>
        </w:tc>
        <w:tc>
          <w:tcPr>
            <w:tcW w:w="718" w:type="dxa"/>
            <w:tcBorders>
              <w:tl2br w:val="nil"/>
              <w:tr2bl w:val="nil"/>
            </w:tcBorders>
            <w:noWrap w:val="0"/>
            <w:vAlign w:val="center"/>
          </w:tcPr>
          <w:p w14:paraId="3EEAB88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41</w:t>
            </w:r>
          </w:p>
        </w:tc>
        <w:tc>
          <w:tcPr>
            <w:tcW w:w="2135" w:type="dxa"/>
            <w:tcBorders>
              <w:tl2br w:val="nil"/>
              <w:tr2bl w:val="nil"/>
            </w:tcBorders>
            <w:noWrap w:val="0"/>
            <w:vAlign w:val="center"/>
          </w:tcPr>
          <w:p w14:paraId="33E1F36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苯并[k]荧蒽</w:t>
            </w:r>
          </w:p>
        </w:tc>
        <w:tc>
          <w:tcPr>
            <w:tcW w:w="790" w:type="dxa"/>
            <w:tcBorders>
              <w:tl2br w:val="nil"/>
              <w:tr2bl w:val="nil"/>
            </w:tcBorders>
            <w:noWrap w:val="0"/>
            <w:vAlign w:val="center"/>
          </w:tcPr>
          <w:p w14:paraId="58F9152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151</w:t>
            </w:r>
          </w:p>
        </w:tc>
        <w:tc>
          <w:tcPr>
            <w:tcW w:w="1687" w:type="dxa"/>
            <w:vMerge w:val="continue"/>
            <w:tcBorders>
              <w:tl2br w:val="nil"/>
              <w:tr2bl w:val="nil"/>
            </w:tcBorders>
            <w:noWrap w:val="0"/>
            <w:vAlign w:val="center"/>
          </w:tcPr>
          <w:p w14:paraId="4966EAA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69A33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6ADA793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19</w:t>
            </w:r>
          </w:p>
        </w:tc>
        <w:tc>
          <w:tcPr>
            <w:tcW w:w="1847" w:type="dxa"/>
            <w:tcBorders>
              <w:tl2br w:val="nil"/>
              <w:tr2bl w:val="nil"/>
            </w:tcBorders>
            <w:noWrap w:val="0"/>
            <w:vAlign w:val="center"/>
          </w:tcPr>
          <w:p w14:paraId="1CDEEE7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1,1,2,2-四氯乙烷</w:t>
            </w:r>
          </w:p>
        </w:tc>
        <w:tc>
          <w:tcPr>
            <w:tcW w:w="1087" w:type="dxa"/>
            <w:tcBorders>
              <w:tl2br w:val="nil"/>
              <w:tr2bl w:val="nil"/>
            </w:tcBorders>
            <w:noWrap w:val="0"/>
            <w:vAlign w:val="center"/>
          </w:tcPr>
          <w:p w14:paraId="2F72FDE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6.8</w:t>
            </w:r>
          </w:p>
        </w:tc>
        <w:tc>
          <w:tcPr>
            <w:tcW w:w="718" w:type="dxa"/>
            <w:tcBorders>
              <w:tl2br w:val="nil"/>
              <w:tr2bl w:val="nil"/>
            </w:tcBorders>
            <w:noWrap w:val="0"/>
            <w:vAlign w:val="center"/>
          </w:tcPr>
          <w:p w14:paraId="229D602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42</w:t>
            </w:r>
          </w:p>
        </w:tc>
        <w:tc>
          <w:tcPr>
            <w:tcW w:w="2135" w:type="dxa"/>
            <w:tcBorders>
              <w:tl2br w:val="nil"/>
              <w:tr2bl w:val="nil"/>
            </w:tcBorders>
            <w:noWrap w:val="0"/>
            <w:vAlign w:val="center"/>
          </w:tcPr>
          <w:p w14:paraId="1E30932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䓛</w:t>
            </w:r>
          </w:p>
        </w:tc>
        <w:tc>
          <w:tcPr>
            <w:tcW w:w="790" w:type="dxa"/>
            <w:tcBorders>
              <w:tl2br w:val="nil"/>
              <w:tr2bl w:val="nil"/>
            </w:tcBorders>
            <w:noWrap w:val="0"/>
            <w:vAlign w:val="center"/>
          </w:tcPr>
          <w:p w14:paraId="590AEFF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1293</w:t>
            </w:r>
          </w:p>
        </w:tc>
        <w:tc>
          <w:tcPr>
            <w:tcW w:w="1687" w:type="dxa"/>
            <w:vMerge w:val="continue"/>
            <w:tcBorders>
              <w:tl2br w:val="nil"/>
              <w:tr2bl w:val="nil"/>
            </w:tcBorders>
            <w:noWrap w:val="0"/>
            <w:vAlign w:val="center"/>
          </w:tcPr>
          <w:p w14:paraId="4F9F649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6EBF2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0D14E493">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20</w:t>
            </w:r>
          </w:p>
        </w:tc>
        <w:tc>
          <w:tcPr>
            <w:tcW w:w="1847" w:type="dxa"/>
            <w:tcBorders>
              <w:tl2br w:val="nil"/>
              <w:tr2bl w:val="nil"/>
            </w:tcBorders>
            <w:noWrap w:val="0"/>
            <w:vAlign w:val="center"/>
          </w:tcPr>
          <w:p w14:paraId="375C31E8">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四氯乙烯</w:t>
            </w:r>
          </w:p>
        </w:tc>
        <w:tc>
          <w:tcPr>
            <w:tcW w:w="1087" w:type="dxa"/>
            <w:tcBorders>
              <w:tl2br w:val="nil"/>
              <w:tr2bl w:val="nil"/>
            </w:tcBorders>
            <w:noWrap w:val="0"/>
            <w:vAlign w:val="center"/>
          </w:tcPr>
          <w:p w14:paraId="4F4780B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53</w:t>
            </w:r>
          </w:p>
        </w:tc>
        <w:tc>
          <w:tcPr>
            <w:tcW w:w="718" w:type="dxa"/>
            <w:tcBorders>
              <w:tl2br w:val="nil"/>
              <w:tr2bl w:val="nil"/>
            </w:tcBorders>
            <w:noWrap w:val="0"/>
            <w:vAlign w:val="center"/>
          </w:tcPr>
          <w:p w14:paraId="61DDEBF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43</w:t>
            </w:r>
          </w:p>
        </w:tc>
        <w:tc>
          <w:tcPr>
            <w:tcW w:w="2135" w:type="dxa"/>
            <w:tcBorders>
              <w:tl2br w:val="nil"/>
              <w:tr2bl w:val="nil"/>
            </w:tcBorders>
            <w:noWrap w:val="0"/>
            <w:vAlign w:val="center"/>
          </w:tcPr>
          <w:p w14:paraId="7A205A2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二苯并[a，h]蒽</w:t>
            </w:r>
          </w:p>
        </w:tc>
        <w:tc>
          <w:tcPr>
            <w:tcW w:w="790" w:type="dxa"/>
            <w:tcBorders>
              <w:tl2br w:val="nil"/>
              <w:tr2bl w:val="nil"/>
            </w:tcBorders>
            <w:noWrap w:val="0"/>
            <w:vAlign w:val="center"/>
          </w:tcPr>
          <w:p w14:paraId="2FA770E3">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1.5</w:t>
            </w:r>
          </w:p>
        </w:tc>
        <w:tc>
          <w:tcPr>
            <w:tcW w:w="1687" w:type="dxa"/>
            <w:vMerge w:val="continue"/>
            <w:tcBorders>
              <w:tl2br w:val="nil"/>
              <w:tr2bl w:val="nil"/>
            </w:tcBorders>
            <w:noWrap w:val="0"/>
            <w:vAlign w:val="center"/>
          </w:tcPr>
          <w:p w14:paraId="1C571A95">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309B3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7D70E3E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21</w:t>
            </w:r>
          </w:p>
        </w:tc>
        <w:tc>
          <w:tcPr>
            <w:tcW w:w="1847" w:type="dxa"/>
            <w:tcBorders>
              <w:tl2br w:val="nil"/>
              <w:tr2bl w:val="nil"/>
            </w:tcBorders>
            <w:noWrap w:val="0"/>
            <w:vAlign w:val="center"/>
          </w:tcPr>
          <w:p w14:paraId="08AEEB4A">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1,1,1-三氯乙烷</w:t>
            </w:r>
          </w:p>
        </w:tc>
        <w:tc>
          <w:tcPr>
            <w:tcW w:w="1087" w:type="dxa"/>
            <w:tcBorders>
              <w:tl2br w:val="nil"/>
              <w:tr2bl w:val="nil"/>
            </w:tcBorders>
            <w:noWrap w:val="0"/>
            <w:vAlign w:val="center"/>
          </w:tcPr>
          <w:p w14:paraId="3E16225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840</w:t>
            </w:r>
          </w:p>
        </w:tc>
        <w:tc>
          <w:tcPr>
            <w:tcW w:w="718" w:type="dxa"/>
            <w:tcBorders>
              <w:tl2br w:val="nil"/>
              <w:tr2bl w:val="nil"/>
            </w:tcBorders>
            <w:noWrap w:val="0"/>
            <w:vAlign w:val="center"/>
          </w:tcPr>
          <w:p w14:paraId="4E2AF11E">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44</w:t>
            </w:r>
          </w:p>
        </w:tc>
        <w:tc>
          <w:tcPr>
            <w:tcW w:w="2135" w:type="dxa"/>
            <w:tcBorders>
              <w:tl2br w:val="nil"/>
              <w:tr2bl w:val="nil"/>
            </w:tcBorders>
            <w:noWrap w:val="0"/>
            <w:vAlign w:val="center"/>
          </w:tcPr>
          <w:p w14:paraId="578EC55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茚并[1,2,3-cd]芘</w:t>
            </w:r>
          </w:p>
        </w:tc>
        <w:tc>
          <w:tcPr>
            <w:tcW w:w="790" w:type="dxa"/>
            <w:tcBorders>
              <w:tl2br w:val="nil"/>
              <w:tr2bl w:val="nil"/>
            </w:tcBorders>
            <w:noWrap w:val="0"/>
            <w:vAlign w:val="center"/>
          </w:tcPr>
          <w:p w14:paraId="65C6AEF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15</w:t>
            </w:r>
          </w:p>
        </w:tc>
        <w:tc>
          <w:tcPr>
            <w:tcW w:w="1687" w:type="dxa"/>
            <w:vMerge w:val="continue"/>
            <w:tcBorders>
              <w:tl2br w:val="nil"/>
              <w:tr2bl w:val="nil"/>
            </w:tcBorders>
            <w:noWrap w:val="0"/>
            <w:vAlign w:val="center"/>
          </w:tcPr>
          <w:p w14:paraId="566F591F">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4518A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5F2EB0D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22</w:t>
            </w:r>
          </w:p>
        </w:tc>
        <w:tc>
          <w:tcPr>
            <w:tcW w:w="1847" w:type="dxa"/>
            <w:tcBorders>
              <w:tl2br w:val="nil"/>
              <w:tr2bl w:val="nil"/>
            </w:tcBorders>
            <w:noWrap w:val="0"/>
            <w:vAlign w:val="center"/>
          </w:tcPr>
          <w:p w14:paraId="615E8A4C">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1,1,2-三氯乙烷</w:t>
            </w:r>
          </w:p>
        </w:tc>
        <w:tc>
          <w:tcPr>
            <w:tcW w:w="1087" w:type="dxa"/>
            <w:tcBorders>
              <w:tl2br w:val="nil"/>
              <w:tr2bl w:val="nil"/>
            </w:tcBorders>
            <w:noWrap w:val="0"/>
            <w:vAlign w:val="center"/>
          </w:tcPr>
          <w:p w14:paraId="3F50E1FA">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2.8</w:t>
            </w:r>
          </w:p>
        </w:tc>
        <w:tc>
          <w:tcPr>
            <w:tcW w:w="718" w:type="dxa"/>
            <w:vMerge w:val="restart"/>
            <w:tcBorders>
              <w:tl2br w:val="nil"/>
              <w:tr2bl w:val="nil"/>
            </w:tcBorders>
            <w:noWrap w:val="0"/>
            <w:vAlign w:val="center"/>
          </w:tcPr>
          <w:p w14:paraId="788132F6">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45</w:t>
            </w:r>
          </w:p>
        </w:tc>
        <w:tc>
          <w:tcPr>
            <w:tcW w:w="2135" w:type="dxa"/>
            <w:vMerge w:val="restart"/>
            <w:tcBorders>
              <w:tl2br w:val="nil"/>
              <w:tr2bl w:val="nil"/>
            </w:tcBorders>
            <w:noWrap w:val="0"/>
            <w:vAlign w:val="center"/>
          </w:tcPr>
          <w:p w14:paraId="6DD2AC70">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萘</w:t>
            </w:r>
          </w:p>
        </w:tc>
        <w:tc>
          <w:tcPr>
            <w:tcW w:w="790" w:type="dxa"/>
            <w:vMerge w:val="restart"/>
            <w:tcBorders>
              <w:tl2br w:val="nil"/>
              <w:tr2bl w:val="nil"/>
            </w:tcBorders>
            <w:noWrap w:val="0"/>
            <w:vAlign w:val="center"/>
          </w:tcPr>
          <w:p w14:paraId="36EAF2D8">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70</w:t>
            </w:r>
          </w:p>
        </w:tc>
        <w:tc>
          <w:tcPr>
            <w:tcW w:w="1687" w:type="dxa"/>
            <w:vMerge w:val="continue"/>
            <w:tcBorders>
              <w:tl2br w:val="nil"/>
              <w:tr2bl w:val="nil"/>
            </w:tcBorders>
            <w:noWrap w:val="0"/>
            <w:vAlign w:val="center"/>
          </w:tcPr>
          <w:p w14:paraId="0AEA54E7">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1DCEA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2795F7B9">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23</w:t>
            </w:r>
          </w:p>
        </w:tc>
        <w:tc>
          <w:tcPr>
            <w:tcW w:w="1847" w:type="dxa"/>
            <w:tcBorders>
              <w:tl2br w:val="nil"/>
              <w:tr2bl w:val="nil"/>
            </w:tcBorders>
            <w:noWrap w:val="0"/>
            <w:vAlign w:val="center"/>
          </w:tcPr>
          <w:p w14:paraId="3701D0C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三氯乙烯</w:t>
            </w:r>
          </w:p>
        </w:tc>
        <w:tc>
          <w:tcPr>
            <w:tcW w:w="1087" w:type="dxa"/>
            <w:tcBorders>
              <w:tl2br w:val="nil"/>
              <w:tr2bl w:val="nil"/>
            </w:tcBorders>
            <w:noWrap w:val="0"/>
            <w:vAlign w:val="center"/>
          </w:tcPr>
          <w:p w14:paraId="0ECFC9F9">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2.8</w:t>
            </w:r>
          </w:p>
        </w:tc>
        <w:tc>
          <w:tcPr>
            <w:tcW w:w="718" w:type="dxa"/>
            <w:vMerge w:val="continue"/>
            <w:tcBorders>
              <w:tl2br w:val="nil"/>
              <w:tr2bl w:val="nil"/>
            </w:tcBorders>
            <w:noWrap w:val="0"/>
            <w:vAlign w:val="center"/>
          </w:tcPr>
          <w:p w14:paraId="1A59A40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c>
          <w:tcPr>
            <w:tcW w:w="2135" w:type="dxa"/>
            <w:vMerge w:val="continue"/>
            <w:tcBorders>
              <w:tl2br w:val="nil"/>
              <w:tr2bl w:val="nil"/>
            </w:tcBorders>
            <w:noWrap w:val="0"/>
            <w:vAlign w:val="center"/>
          </w:tcPr>
          <w:p w14:paraId="6BAB6327">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c>
          <w:tcPr>
            <w:tcW w:w="790" w:type="dxa"/>
            <w:vMerge w:val="continue"/>
            <w:tcBorders>
              <w:tl2br w:val="nil"/>
              <w:tr2bl w:val="nil"/>
            </w:tcBorders>
            <w:noWrap w:val="0"/>
            <w:vAlign w:val="center"/>
          </w:tcPr>
          <w:p w14:paraId="2FB095A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c>
          <w:tcPr>
            <w:tcW w:w="1687" w:type="dxa"/>
            <w:vMerge w:val="continue"/>
            <w:tcBorders>
              <w:tl2br w:val="nil"/>
              <w:tr2bl w:val="nil"/>
            </w:tcBorders>
            <w:noWrap w:val="0"/>
            <w:vAlign w:val="center"/>
          </w:tcPr>
          <w:p w14:paraId="02371372">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p>
        </w:tc>
      </w:tr>
      <w:tr w14:paraId="0BD19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42D4406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序号</w:t>
            </w:r>
          </w:p>
        </w:tc>
        <w:tc>
          <w:tcPr>
            <w:tcW w:w="1847" w:type="dxa"/>
            <w:tcBorders>
              <w:tl2br w:val="nil"/>
              <w:tr2bl w:val="nil"/>
            </w:tcBorders>
            <w:noWrap w:val="0"/>
            <w:vAlign w:val="center"/>
          </w:tcPr>
          <w:p w14:paraId="05F72C6B">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评价因子</w:t>
            </w:r>
          </w:p>
        </w:tc>
        <w:tc>
          <w:tcPr>
            <w:tcW w:w="1805" w:type="dxa"/>
            <w:gridSpan w:val="2"/>
            <w:tcBorders>
              <w:tl2br w:val="nil"/>
              <w:tr2bl w:val="nil"/>
            </w:tcBorders>
            <w:noWrap w:val="0"/>
            <w:vAlign w:val="center"/>
          </w:tcPr>
          <w:p w14:paraId="04166E10">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标准限值</w:t>
            </w:r>
          </w:p>
        </w:tc>
        <w:tc>
          <w:tcPr>
            <w:tcW w:w="4612" w:type="dxa"/>
            <w:gridSpan w:val="3"/>
            <w:tcBorders>
              <w:tl2br w:val="nil"/>
              <w:tr2bl w:val="nil"/>
            </w:tcBorders>
            <w:noWrap w:val="0"/>
            <w:vAlign w:val="center"/>
          </w:tcPr>
          <w:p w14:paraId="31ABC077">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标准名称及级（类）别</w:t>
            </w:r>
          </w:p>
        </w:tc>
      </w:tr>
      <w:tr w14:paraId="0584C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dxa"/>
            <w:tcBorders>
              <w:tl2br w:val="nil"/>
              <w:tr2bl w:val="nil"/>
            </w:tcBorders>
            <w:noWrap w:val="0"/>
            <w:vAlign w:val="center"/>
          </w:tcPr>
          <w:p w14:paraId="5050D924">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1</w:t>
            </w:r>
          </w:p>
        </w:tc>
        <w:tc>
          <w:tcPr>
            <w:tcW w:w="1847" w:type="dxa"/>
            <w:tcBorders>
              <w:tl2br w:val="nil"/>
              <w:tr2bl w:val="nil"/>
            </w:tcBorders>
            <w:noWrap w:val="0"/>
            <w:vAlign w:val="center"/>
          </w:tcPr>
          <w:p w14:paraId="706B8AF3">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sz w:val="21"/>
                <w:szCs w:val="21"/>
                <w:highlight w:val="none"/>
              </w:rPr>
              <w:t>石油烃（C</w:t>
            </w:r>
            <w:r>
              <w:rPr>
                <w:color w:val="auto"/>
                <w:sz w:val="21"/>
                <w:szCs w:val="21"/>
                <w:highlight w:val="none"/>
                <w:vertAlign w:val="subscript"/>
              </w:rPr>
              <w:t>10</w:t>
            </w:r>
            <w:r>
              <w:rPr>
                <w:color w:val="auto"/>
                <w:sz w:val="21"/>
                <w:szCs w:val="21"/>
                <w:highlight w:val="none"/>
              </w:rPr>
              <w:t>-C</w:t>
            </w:r>
            <w:r>
              <w:rPr>
                <w:color w:val="auto"/>
                <w:sz w:val="21"/>
                <w:szCs w:val="21"/>
                <w:highlight w:val="none"/>
                <w:vertAlign w:val="subscript"/>
              </w:rPr>
              <w:t>40</w:t>
            </w:r>
            <w:r>
              <w:rPr>
                <w:color w:val="auto"/>
                <w:sz w:val="21"/>
                <w:szCs w:val="21"/>
                <w:highlight w:val="none"/>
              </w:rPr>
              <w:t>）</w:t>
            </w:r>
          </w:p>
        </w:tc>
        <w:tc>
          <w:tcPr>
            <w:tcW w:w="1805" w:type="dxa"/>
            <w:gridSpan w:val="2"/>
            <w:tcBorders>
              <w:tl2br w:val="nil"/>
              <w:tr2bl w:val="nil"/>
            </w:tcBorders>
            <w:noWrap w:val="0"/>
            <w:vAlign w:val="center"/>
          </w:tcPr>
          <w:p w14:paraId="6F7D03AD">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sz w:val="21"/>
                <w:szCs w:val="21"/>
                <w:highlight w:val="none"/>
              </w:rPr>
              <w:t>4500</w:t>
            </w:r>
          </w:p>
        </w:tc>
        <w:tc>
          <w:tcPr>
            <w:tcW w:w="4612" w:type="dxa"/>
            <w:gridSpan w:val="3"/>
            <w:tcBorders>
              <w:tl2br w:val="nil"/>
              <w:tr2bl w:val="nil"/>
            </w:tcBorders>
            <w:noWrap w:val="0"/>
            <w:vAlign w:val="center"/>
          </w:tcPr>
          <w:p w14:paraId="08AC0F21">
            <w:pPr>
              <w:pStyle w:val="229"/>
              <w:keepNext w:val="0"/>
              <w:keepLines w:val="0"/>
              <w:pageBreakBefore w:val="0"/>
              <w:widowControl w:val="0"/>
              <w:kinsoku/>
              <w:wordWrap/>
              <w:overflowPunct/>
              <w:topLinePunct w:val="0"/>
              <w:autoSpaceDE/>
              <w:autoSpaceDN/>
              <w:bidi w:val="0"/>
              <w:adjustRightInd w:val="0"/>
              <w:snapToGrid w:val="0"/>
              <w:spacing w:before="0" w:line="240" w:lineRule="atLeast"/>
              <w:ind w:firstLine="0"/>
              <w:textAlignment w:val="auto"/>
              <w:rPr>
                <w:color w:val="auto"/>
                <w:kern w:val="2"/>
                <w:sz w:val="21"/>
                <w:szCs w:val="21"/>
                <w:highlight w:val="none"/>
              </w:rPr>
            </w:pPr>
            <w:r>
              <w:rPr>
                <w:color w:val="auto"/>
                <w:kern w:val="2"/>
                <w:sz w:val="21"/>
                <w:szCs w:val="21"/>
                <w:highlight w:val="none"/>
              </w:rPr>
              <w:t>《土壤环境质量建设用地土壤污染风险管控标准（试行）》（GB36600-2018）表2建设用地土壤污染风险筛选值和管制值（其他项目）</w:t>
            </w:r>
          </w:p>
        </w:tc>
      </w:tr>
    </w:tbl>
    <w:p w14:paraId="66DDD307">
      <w:pPr>
        <w:pStyle w:val="107"/>
        <w:spacing w:before="156" w:beforeLines="50"/>
        <w:rPr>
          <w:color w:val="auto"/>
          <w:highlight w:val="none"/>
        </w:rPr>
      </w:pPr>
      <w:r>
        <w:rPr>
          <w:color w:val="auto"/>
          <w:highlight w:val="none"/>
        </w:rPr>
        <w:t>5、声环境质量标准</w:t>
      </w:r>
    </w:p>
    <w:p w14:paraId="2A74C114">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根据区域声环境功能规划，本项目</w:t>
      </w:r>
      <w:r>
        <w:rPr>
          <w:rFonts w:hint="eastAsia"/>
          <w:color w:val="auto"/>
          <w:sz w:val="24"/>
          <w:szCs w:val="24"/>
          <w:highlight w:val="none"/>
          <w:lang w:val="en-US" w:eastAsia="zh-CN"/>
        </w:rPr>
        <w:t>东侧临蚌合高速，西侧临合淮线</w:t>
      </w:r>
      <w:r>
        <w:rPr>
          <w:rFonts w:ascii="Times New Roman" w:hAnsi="Times New Roman" w:eastAsia="宋体"/>
          <w:color w:val="auto"/>
          <w:sz w:val="24"/>
          <w:szCs w:val="24"/>
          <w:highlight w:val="none"/>
        </w:rPr>
        <w:t>所在地声环境功能区为</w:t>
      </w:r>
      <w:r>
        <w:rPr>
          <w:rFonts w:hint="eastAsia"/>
          <w:color w:val="auto"/>
          <w:sz w:val="24"/>
          <w:szCs w:val="24"/>
          <w:highlight w:val="none"/>
          <w:lang w:val="en-US" w:eastAsia="zh-CN"/>
        </w:rPr>
        <w:t>4a类，南北两侧所在</w:t>
      </w:r>
      <w:r>
        <w:rPr>
          <w:rFonts w:ascii="Times New Roman" w:hAnsi="Times New Roman" w:eastAsia="宋体"/>
          <w:color w:val="auto"/>
          <w:sz w:val="24"/>
          <w:szCs w:val="24"/>
          <w:highlight w:val="none"/>
        </w:rPr>
        <w:t>声环境功能区为</w:t>
      </w:r>
      <w:r>
        <w:rPr>
          <w:rFonts w:hint="eastAsia"/>
          <w:color w:val="auto"/>
          <w:sz w:val="24"/>
          <w:szCs w:val="24"/>
          <w:highlight w:val="none"/>
          <w:lang w:val="en-US" w:eastAsia="zh-CN"/>
        </w:rPr>
        <w:t>3类</w:t>
      </w:r>
      <w:r>
        <w:rPr>
          <w:rFonts w:ascii="Times New Roman" w:hAnsi="Times New Roman" w:eastAsia="宋体"/>
          <w:color w:val="auto"/>
          <w:sz w:val="24"/>
          <w:szCs w:val="24"/>
          <w:highlight w:val="none"/>
        </w:rPr>
        <w:t>，因此评价区域内环境噪声执行《声环境质量标准》（GB3096-2008）中的</w:t>
      </w:r>
      <w:r>
        <w:rPr>
          <w:rFonts w:hint="eastAsia"/>
          <w:color w:val="auto"/>
          <w:sz w:val="24"/>
          <w:szCs w:val="24"/>
          <w:highlight w:val="none"/>
          <w:lang w:val="en-US" w:eastAsia="zh-CN"/>
        </w:rPr>
        <w:t>3</w:t>
      </w:r>
      <w:r>
        <w:rPr>
          <w:rFonts w:ascii="Times New Roman" w:hAnsi="Times New Roman" w:eastAsia="宋体"/>
          <w:color w:val="auto"/>
          <w:sz w:val="24"/>
          <w:szCs w:val="24"/>
          <w:highlight w:val="none"/>
        </w:rPr>
        <w:t>类</w:t>
      </w:r>
      <w:r>
        <w:rPr>
          <w:rFonts w:hint="eastAsia"/>
          <w:color w:val="auto"/>
          <w:sz w:val="24"/>
          <w:szCs w:val="24"/>
          <w:highlight w:val="none"/>
          <w:lang w:eastAsia="zh-CN"/>
        </w:rPr>
        <w:t>、</w:t>
      </w:r>
      <w:r>
        <w:rPr>
          <w:rFonts w:hint="eastAsia"/>
          <w:color w:val="auto"/>
          <w:sz w:val="24"/>
          <w:szCs w:val="24"/>
          <w:highlight w:val="none"/>
          <w:lang w:val="en-US" w:eastAsia="zh-CN"/>
        </w:rPr>
        <w:t>4a</w:t>
      </w:r>
      <w:r>
        <w:rPr>
          <w:rFonts w:ascii="Times New Roman" w:hAnsi="Times New Roman" w:eastAsia="宋体"/>
          <w:color w:val="auto"/>
          <w:sz w:val="24"/>
          <w:szCs w:val="24"/>
          <w:highlight w:val="none"/>
        </w:rPr>
        <w:t>标准，具体标准值详见</w:t>
      </w:r>
      <w:r>
        <w:rPr>
          <w:rFonts w:ascii="Times New Roman" w:hAnsi="Times New Roman" w:eastAsia="宋体"/>
          <w:bCs/>
          <w:color w:val="auto"/>
          <w:sz w:val="24"/>
          <w:szCs w:val="24"/>
          <w:highlight w:val="none"/>
        </w:rPr>
        <w:t>表2.3.2-5。</w:t>
      </w:r>
    </w:p>
    <w:p w14:paraId="429FB446">
      <w:pPr>
        <w:snapToGrid w:val="0"/>
        <w:ind w:firstLine="482" w:firstLineChars="200"/>
        <w:jc w:val="center"/>
        <w:rPr>
          <w:rFonts w:ascii="Times New Roman" w:hAnsi="Times New Roman" w:eastAsia="宋体" w:cs="Times New Roman"/>
          <w:b/>
          <w:bCs/>
          <w:color w:val="auto"/>
          <w:sz w:val="24"/>
          <w:szCs w:val="24"/>
          <w:highlight w:val="none"/>
        </w:rPr>
      </w:pPr>
      <w:r>
        <w:rPr>
          <w:rFonts w:ascii="Times New Roman" w:hAnsi="Times New Roman" w:eastAsia="宋体" w:cs="Times New Roman"/>
          <w:b/>
          <w:bCs/>
          <w:color w:val="auto"/>
          <w:sz w:val="24"/>
          <w:szCs w:val="24"/>
          <w:highlight w:val="none"/>
        </w:rPr>
        <w:t>表2.3.2-5</w:t>
      </w:r>
      <w:r>
        <w:rPr>
          <w:rFonts w:hint="eastAsia" w:ascii="Times New Roman" w:hAnsi="Times New Roman" w:eastAsia="宋体" w:cs="Times New Roman"/>
          <w:b/>
          <w:bCs/>
          <w:color w:val="auto"/>
          <w:sz w:val="24"/>
          <w:szCs w:val="24"/>
          <w:highlight w:val="none"/>
          <w:lang w:val="en-US" w:eastAsia="zh-CN"/>
        </w:rPr>
        <w:t xml:space="preserve">  </w:t>
      </w:r>
      <w:r>
        <w:rPr>
          <w:rFonts w:ascii="Times New Roman" w:hAnsi="Times New Roman" w:eastAsia="宋体" w:cs="Times New Roman"/>
          <w:b/>
          <w:bCs/>
          <w:color w:val="auto"/>
          <w:sz w:val="24"/>
          <w:szCs w:val="24"/>
          <w:highlight w:val="none"/>
        </w:rPr>
        <w:t>声环境质量标准单位：dB（A）</w:t>
      </w:r>
    </w:p>
    <w:tbl>
      <w:tblPr>
        <w:tblStyle w:val="49"/>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567" w:type="dxa"/>
        </w:tblCellMar>
      </w:tblPr>
      <w:tblGrid>
        <w:gridCol w:w="3211"/>
        <w:gridCol w:w="2712"/>
        <w:gridCol w:w="2958"/>
      </w:tblGrid>
      <w:tr w14:paraId="2C4862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67" w:type="dxa"/>
          </w:tblCellMar>
        </w:tblPrEx>
        <w:trPr>
          <w:trHeight w:val="397" w:hRule="exact"/>
          <w:jc w:val="center"/>
        </w:trPr>
        <w:tc>
          <w:tcPr>
            <w:tcW w:w="1808" w:type="pct"/>
            <w:tcBorders>
              <w:tl2br w:val="nil"/>
              <w:tr2bl w:val="nil"/>
            </w:tcBorders>
            <w:noWrap w:val="0"/>
            <w:vAlign w:val="center"/>
          </w:tcPr>
          <w:p w14:paraId="7A6014C7">
            <w:pPr>
              <w:pStyle w:val="563"/>
              <w:bidi w:val="0"/>
              <w:rPr>
                <w:b/>
                <w:bCs/>
                <w:color w:val="auto"/>
                <w:highlight w:val="none"/>
              </w:rPr>
            </w:pPr>
            <w:r>
              <w:rPr>
                <w:b/>
                <w:bCs/>
                <w:color w:val="auto"/>
                <w:highlight w:val="none"/>
              </w:rPr>
              <w:t>类别</w:t>
            </w:r>
          </w:p>
        </w:tc>
        <w:tc>
          <w:tcPr>
            <w:tcW w:w="1527" w:type="pct"/>
            <w:tcBorders>
              <w:tl2br w:val="nil"/>
              <w:tr2bl w:val="nil"/>
            </w:tcBorders>
            <w:noWrap w:val="0"/>
            <w:vAlign w:val="center"/>
          </w:tcPr>
          <w:p w14:paraId="4756E7BF">
            <w:pPr>
              <w:pStyle w:val="563"/>
              <w:bidi w:val="0"/>
              <w:rPr>
                <w:b/>
                <w:bCs/>
                <w:color w:val="auto"/>
                <w:highlight w:val="none"/>
              </w:rPr>
            </w:pPr>
            <w:r>
              <w:rPr>
                <w:b/>
                <w:bCs/>
                <w:color w:val="auto"/>
                <w:highlight w:val="none"/>
              </w:rPr>
              <w:t>昼间</w:t>
            </w:r>
          </w:p>
        </w:tc>
        <w:tc>
          <w:tcPr>
            <w:tcW w:w="1666" w:type="pct"/>
            <w:tcBorders>
              <w:tl2br w:val="nil"/>
              <w:tr2bl w:val="nil"/>
            </w:tcBorders>
            <w:noWrap w:val="0"/>
            <w:vAlign w:val="center"/>
          </w:tcPr>
          <w:p w14:paraId="3346E542">
            <w:pPr>
              <w:pStyle w:val="563"/>
              <w:bidi w:val="0"/>
              <w:rPr>
                <w:b/>
                <w:bCs/>
                <w:color w:val="auto"/>
                <w:highlight w:val="none"/>
              </w:rPr>
            </w:pPr>
            <w:r>
              <w:rPr>
                <w:b/>
                <w:bCs/>
                <w:color w:val="auto"/>
                <w:highlight w:val="none"/>
              </w:rPr>
              <w:t>夜间</w:t>
            </w:r>
          </w:p>
        </w:tc>
      </w:tr>
      <w:tr w14:paraId="523518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67" w:type="dxa"/>
          </w:tblCellMar>
        </w:tblPrEx>
        <w:trPr>
          <w:trHeight w:val="397" w:hRule="exact"/>
          <w:jc w:val="center"/>
        </w:trPr>
        <w:tc>
          <w:tcPr>
            <w:tcW w:w="1808" w:type="pct"/>
            <w:tcBorders>
              <w:tl2br w:val="nil"/>
              <w:tr2bl w:val="nil"/>
            </w:tcBorders>
            <w:noWrap w:val="0"/>
            <w:vAlign w:val="center"/>
          </w:tcPr>
          <w:p w14:paraId="41583CB7">
            <w:pPr>
              <w:pStyle w:val="563"/>
              <w:bidi w:val="0"/>
              <w:rPr>
                <w:color w:val="auto"/>
                <w:highlight w:val="none"/>
              </w:rPr>
            </w:pPr>
            <w:r>
              <w:rPr>
                <w:rFonts w:hint="eastAsia"/>
                <w:color w:val="auto"/>
                <w:highlight w:val="none"/>
                <w:lang w:val="en-US" w:eastAsia="zh-CN"/>
              </w:rPr>
              <w:t>3</w:t>
            </w:r>
            <w:r>
              <w:rPr>
                <w:color w:val="auto"/>
                <w:highlight w:val="none"/>
              </w:rPr>
              <w:t>类声环境功能区</w:t>
            </w:r>
          </w:p>
        </w:tc>
        <w:tc>
          <w:tcPr>
            <w:tcW w:w="1527" w:type="pct"/>
            <w:tcBorders>
              <w:tl2br w:val="nil"/>
              <w:tr2bl w:val="nil"/>
            </w:tcBorders>
            <w:noWrap w:val="0"/>
            <w:vAlign w:val="center"/>
          </w:tcPr>
          <w:p w14:paraId="40FCAC27">
            <w:pPr>
              <w:pStyle w:val="563"/>
              <w:bidi w:val="0"/>
              <w:rPr>
                <w:rFonts w:hint="default"/>
                <w:color w:val="auto"/>
                <w:highlight w:val="none"/>
                <w:lang w:val="en-US" w:eastAsia="zh-CN"/>
              </w:rPr>
            </w:pPr>
            <w:r>
              <w:rPr>
                <w:rFonts w:hint="eastAsia"/>
                <w:color w:val="auto"/>
                <w:highlight w:val="none"/>
                <w:lang w:val="en-US" w:eastAsia="zh-CN"/>
              </w:rPr>
              <w:t>65</w:t>
            </w:r>
          </w:p>
        </w:tc>
        <w:tc>
          <w:tcPr>
            <w:tcW w:w="1666" w:type="pct"/>
            <w:tcBorders>
              <w:tl2br w:val="nil"/>
              <w:tr2bl w:val="nil"/>
            </w:tcBorders>
            <w:noWrap w:val="0"/>
            <w:vAlign w:val="center"/>
          </w:tcPr>
          <w:p w14:paraId="282EED1D">
            <w:pPr>
              <w:pStyle w:val="563"/>
              <w:bidi w:val="0"/>
              <w:rPr>
                <w:rFonts w:hint="default"/>
                <w:color w:val="auto"/>
                <w:highlight w:val="none"/>
                <w:lang w:val="en-US" w:eastAsia="zh-CN"/>
              </w:rPr>
            </w:pPr>
            <w:r>
              <w:rPr>
                <w:rFonts w:hint="eastAsia"/>
                <w:color w:val="auto"/>
                <w:highlight w:val="none"/>
                <w:lang w:val="en-US" w:eastAsia="zh-CN"/>
              </w:rPr>
              <w:t>55</w:t>
            </w:r>
          </w:p>
        </w:tc>
      </w:tr>
      <w:tr w14:paraId="23999F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567" w:type="dxa"/>
          </w:tblCellMar>
        </w:tblPrEx>
        <w:trPr>
          <w:trHeight w:val="397" w:hRule="exact"/>
          <w:jc w:val="center"/>
        </w:trPr>
        <w:tc>
          <w:tcPr>
            <w:tcW w:w="1808" w:type="pct"/>
            <w:tcBorders>
              <w:tl2br w:val="nil"/>
              <w:tr2bl w:val="nil"/>
            </w:tcBorders>
            <w:noWrap w:val="0"/>
            <w:vAlign w:val="center"/>
          </w:tcPr>
          <w:p w14:paraId="60848CC0">
            <w:pPr>
              <w:pStyle w:val="563"/>
              <w:bidi w:val="0"/>
              <w:rPr>
                <w:rFonts w:hint="default"/>
                <w:color w:val="auto"/>
                <w:highlight w:val="none"/>
                <w:lang w:val="en-US" w:eastAsia="zh-CN"/>
              </w:rPr>
            </w:pPr>
            <w:r>
              <w:rPr>
                <w:rFonts w:hint="eastAsia"/>
                <w:color w:val="auto"/>
                <w:highlight w:val="none"/>
                <w:lang w:val="en-US" w:eastAsia="zh-CN"/>
              </w:rPr>
              <w:t>4a类声功能区</w:t>
            </w:r>
          </w:p>
        </w:tc>
        <w:tc>
          <w:tcPr>
            <w:tcW w:w="1527" w:type="pct"/>
            <w:tcBorders>
              <w:tl2br w:val="nil"/>
              <w:tr2bl w:val="nil"/>
            </w:tcBorders>
            <w:noWrap w:val="0"/>
            <w:vAlign w:val="center"/>
          </w:tcPr>
          <w:p w14:paraId="5072F9E0">
            <w:pPr>
              <w:pStyle w:val="563"/>
              <w:bidi w:val="0"/>
              <w:rPr>
                <w:rFonts w:hint="default"/>
                <w:color w:val="auto"/>
                <w:highlight w:val="none"/>
                <w:lang w:val="en-US" w:eastAsia="zh-CN"/>
              </w:rPr>
            </w:pPr>
            <w:r>
              <w:rPr>
                <w:rFonts w:hint="eastAsia"/>
                <w:color w:val="auto"/>
                <w:highlight w:val="none"/>
                <w:lang w:val="en-US" w:eastAsia="zh-CN"/>
              </w:rPr>
              <w:t>70</w:t>
            </w:r>
          </w:p>
        </w:tc>
        <w:tc>
          <w:tcPr>
            <w:tcW w:w="1666" w:type="pct"/>
            <w:tcBorders>
              <w:tl2br w:val="nil"/>
              <w:tr2bl w:val="nil"/>
            </w:tcBorders>
            <w:noWrap w:val="0"/>
            <w:vAlign w:val="center"/>
          </w:tcPr>
          <w:p w14:paraId="7E58D112">
            <w:pPr>
              <w:pStyle w:val="563"/>
              <w:bidi w:val="0"/>
              <w:rPr>
                <w:rFonts w:hint="default"/>
                <w:color w:val="auto"/>
                <w:highlight w:val="none"/>
                <w:lang w:val="en-US" w:eastAsia="zh-CN"/>
              </w:rPr>
            </w:pPr>
            <w:r>
              <w:rPr>
                <w:rFonts w:hint="eastAsia"/>
                <w:color w:val="auto"/>
                <w:highlight w:val="none"/>
                <w:lang w:val="en-US" w:eastAsia="zh-CN"/>
              </w:rPr>
              <w:t>55</w:t>
            </w:r>
          </w:p>
        </w:tc>
      </w:tr>
    </w:tbl>
    <w:p w14:paraId="0B6154B9">
      <w:pPr>
        <w:pStyle w:val="5"/>
        <w:spacing w:before="240"/>
        <w:rPr>
          <w:color w:val="auto"/>
          <w:highlight w:val="none"/>
        </w:rPr>
      </w:pPr>
      <w:r>
        <w:rPr>
          <w:color w:val="auto"/>
          <w:highlight w:val="none"/>
        </w:rPr>
        <w:t>2.3.2.2污染物排放标准</w:t>
      </w:r>
    </w:p>
    <w:p w14:paraId="0A3836EC">
      <w:pPr>
        <w:pStyle w:val="107"/>
        <w:rPr>
          <w:color w:val="auto"/>
          <w:highlight w:val="none"/>
        </w:rPr>
      </w:pPr>
      <w:r>
        <w:rPr>
          <w:color w:val="auto"/>
          <w:highlight w:val="none"/>
        </w:rPr>
        <w:t>1、废气</w:t>
      </w:r>
    </w:p>
    <w:p w14:paraId="787077D4">
      <w:pPr>
        <w:snapToGrid w:val="0"/>
        <w:spacing w:line="360" w:lineRule="auto"/>
        <w:ind w:firstLine="484" w:firstLineChars="200"/>
        <w:rPr>
          <w:rFonts w:hint="eastAsia"/>
          <w:color w:val="auto"/>
          <w:spacing w:val="1"/>
          <w:sz w:val="24"/>
          <w:szCs w:val="24"/>
          <w:highlight w:val="none"/>
          <w:lang w:val="en-US" w:eastAsia="zh-CN"/>
        </w:rPr>
      </w:pPr>
      <w:r>
        <w:rPr>
          <w:rFonts w:hint="eastAsia"/>
          <w:color w:val="auto"/>
          <w:spacing w:val="1"/>
          <w:sz w:val="24"/>
          <w:szCs w:val="24"/>
          <w:highlight w:val="none"/>
          <w:lang w:val="en-US" w:eastAsia="zh-CN"/>
        </w:rPr>
        <w:t>项目施工期废气主要为施工期扬尘，执行安徽省《施工场地颗粒物排放标准》（DB34/4811-2024）中限值要求。</w:t>
      </w:r>
    </w:p>
    <w:p w14:paraId="39A70149">
      <w:pPr>
        <w:snapToGrid w:val="0"/>
        <w:spacing w:line="360" w:lineRule="auto"/>
        <w:ind w:firstLine="482" w:firstLineChars="200"/>
        <w:jc w:val="center"/>
        <w:rPr>
          <w:rFonts w:hint="eastAsia" w:ascii="Times New Roman" w:hAnsi="Times New Roman" w:eastAsia="宋体" w:cs="Times New Roman"/>
          <w:b/>
          <w:bCs/>
          <w:color w:val="auto"/>
          <w:kern w:val="2"/>
          <w:sz w:val="24"/>
          <w:szCs w:val="22"/>
          <w:highlight w:val="none"/>
          <w:lang w:val="en-US" w:eastAsia="zh-CN" w:bidi="ar-SA"/>
        </w:rPr>
      </w:pPr>
      <w:r>
        <w:rPr>
          <w:rFonts w:hint="eastAsia" w:ascii="Times New Roman" w:hAnsi="Times New Roman" w:eastAsia="宋体" w:cs="Times New Roman"/>
          <w:b/>
          <w:bCs/>
          <w:color w:val="auto"/>
          <w:kern w:val="2"/>
          <w:sz w:val="24"/>
          <w:szCs w:val="22"/>
          <w:highlight w:val="none"/>
          <w:lang w:val="en-US" w:eastAsia="zh-CN" w:bidi="ar-SA"/>
        </w:rPr>
        <w:t>表</w:t>
      </w:r>
      <w:r>
        <w:rPr>
          <w:rFonts w:hint="default" w:ascii="Times New Roman" w:hAnsi="Times New Roman" w:eastAsia="宋体" w:cs="Times New Roman"/>
          <w:b/>
          <w:bCs/>
          <w:color w:val="auto"/>
          <w:kern w:val="2"/>
          <w:sz w:val="24"/>
          <w:szCs w:val="22"/>
          <w:highlight w:val="none"/>
          <w:lang w:val="en-US" w:eastAsia="zh-CN" w:bidi="ar-SA"/>
        </w:rPr>
        <w:t>2.</w:t>
      </w:r>
      <w:r>
        <w:rPr>
          <w:rFonts w:hint="eastAsia" w:ascii="Times New Roman" w:hAnsi="Times New Roman" w:eastAsia="宋体" w:cs="Times New Roman"/>
          <w:b/>
          <w:bCs/>
          <w:color w:val="auto"/>
          <w:kern w:val="2"/>
          <w:sz w:val="24"/>
          <w:szCs w:val="22"/>
          <w:highlight w:val="none"/>
          <w:lang w:val="en-US" w:eastAsia="zh-CN" w:bidi="ar-SA"/>
        </w:rPr>
        <w:t>3</w:t>
      </w:r>
      <w:r>
        <w:rPr>
          <w:rFonts w:hint="default" w:ascii="Times New Roman" w:hAnsi="Times New Roman" w:eastAsia="宋体" w:cs="Times New Roman"/>
          <w:b/>
          <w:bCs/>
          <w:color w:val="auto"/>
          <w:kern w:val="2"/>
          <w:sz w:val="24"/>
          <w:szCs w:val="22"/>
          <w:highlight w:val="none"/>
          <w:lang w:val="en-US" w:eastAsia="zh-CN" w:bidi="ar-SA"/>
        </w:rPr>
        <w:t>.</w:t>
      </w:r>
      <w:r>
        <w:rPr>
          <w:rFonts w:hint="eastAsia" w:ascii="Times New Roman" w:hAnsi="Times New Roman" w:eastAsia="宋体" w:cs="Times New Roman"/>
          <w:b/>
          <w:bCs/>
          <w:color w:val="auto"/>
          <w:kern w:val="2"/>
          <w:sz w:val="24"/>
          <w:szCs w:val="22"/>
          <w:highlight w:val="none"/>
          <w:lang w:val="en-US" w:eastAsia="zh-CN" w:bidi="ar-SA"/>
        </w:rPr>
        <w:t>2</w:t>
      </w:r>
      <w:r>
        <w:rPr>
          <w:rFonts w:hint="default" w:ascii="Times New Roman" w:hAnsi="Times New Roman" w:eastAsia="宋体" w:cs="Times New Roman"/>
          <w:b/>
          <w:bCs/>
          <w:color w:val="auto"/>
          <w:kern w:val="2"/>
          <w:sz w:val="24"/>
          <w:szCs w:val="22"/>
          <w:highlight w:val="none"/>
          <w:lang w:val="en-US" w:eastAsia="zh-CN" w:bidi="ar-SA"/>
        </w:rPr>
        <w:t>-</w:t>
      </w:r>
      <w:r>
        <w:rPr>
          <w:rFonts w:hint="eastAsia" w:ascii="Times New Roman" w:hAnsi="Times New Roman" w:eastAsia="宋体" w:cs="Times New Roman"/>
          <w:b/>
          <w:bCs/>
          <w:color w:val="auto"/>
          <w:kern w:val="2"/>
          <w:sz w:val="24"/>
          <w:szCs w:val="22"/>
          <w:highlight w:val="none"/>
          <w:lang w:val="en-US" w:eastAsia="zh-CN" w:bidi="ar-SA"/>
        </w:rPr>
        <w:t>6  施工期扬尘污染物综合排放标准</w:t>
      </w:r>
    </w:p>
    <w:tbl>
      <w:tblPr>
        <w:tblStyle w:val="50"/>
        <w:tblW w:w="86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4"/>
        <w:gridCol w:w="2174"/>
        <w:gridCol w:w="2174"/>
        <w:gridCol w:w="2175"/>
      </w:tblGrid>
      <w:tr w14:paraId="0A766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4" w:type="dxa"/>
            <w:noWrap w:val="0"/>
            <w:vAlign w:val="center"/>
          </w:tcPr>
          <w:p w14:paraId="47FBD7D9">
            <w:pPr>
              <w:pStyle w:val="574"/>
              <w:bidi w:val="0"/>
              <w:jc w:val="center"/>
              <w:rPr>
                <w:rFonts w:hint="default"/>
                <w:b/>
                <w:bCs/>
                <w:color w:val="auto"/>
                <w:highlight w:val="none"/>
                <w:lang w:val="en-US" w:eastAsia="zh-CN"/>
              </w:rPr>
            </w:pPr>
            <w:r>
              <w:rPr>
                <w:rFonts w:hint="eastAsia"/>
                <w:b/>
                <w:bCs/>
                <w:color w:val="auto"/>
                <w:highlight w:val="none"/>
                <w:lang w:val="en-US" w:eastAsia="zh-CN"/>
              </w:rPr>
              <w:t>控制项目</w:t>
            </w:r>
          </w:p>
        </w:tc>
        <w:tc>
          <w:tcPr>
            <w:tcW w:w="2174" w:type="dxa"/>
            <w:noWrap w:val="0"/>
            <w:vAlign w:val="center"/>
          </w:tcPr>
          <w:p w14:paraId="2BDBCDE1">
            <w:pPr>
              <w:pStyle w:val="574"/>
              <w:bidi w:val="0"/>
              <w:jc w:val="center"/>
              <w:rPr>
                <w:rFonts w:hint="eastAsia"/>
                <w:b/>
                <w:bCs/>
                <w:color w:val="auto"/>
                <w:highlight w:val="none"/>
                <w:lang w:val="en-US" w:eastAsia="zh-CN"/>
              </w:rPr>
            </w:pPr>
            <w:r>
              <w:rPr>
                <w:rFonts w:hint="eastAsia"/>
                <w:b/>
                <w:bCs/>
                <w:color w:val="auto"/>
                <w:highlight w:val="none"/>
                <w:lang w:val="en-US" w:eastAsia="zh-CN"/>
              </w:rPr>
              <w:t>单位</w:t>
            </w:r>
          </w:p>
        </w:tc>
        <w:tc>
          <w:tcPr>
            <w:tcW w:w="2174" w:type="dxa"/>
            <w:noWrap w:val="0"/>
            <w:vAlign w:val="center"/>
          </w:tcPr>
          <w:p w14:paraId="276F9647">
            <w:pPr>
              <w:pStyle w:val="574"/>
              <w:bidi w:val="0"/>
              <w:jc w:val="center"/>
              <w:rPr>
                <w:rFonts w:hint="default"/>
                <w:b/>
                <w:bCs/>
                <w:color w:val="auto"/>
                <w:highlight w:val="none"/>
                <w:lang w:val="en-US" w:eastAsia="zh-CN"/>
              </w:rPr>
            </w:pPr>
            <w:r>
              <w:rPr>
                <w:rFonts w:hint="eastAsia"/>
                <w:b/>
                <w:bCs/>
                <w:color w:val="auto"/>
                <w:highlight w:val="none"/>
                <w:lang w:val="en-US" w:eastAsia="zh-CN"/>
              </w:rPr>
              <w:t>监测点浓度限值</w:t>
            </w:r>
          </w:p>
        </w:tc>
        <w:tc>
          <w:tcPr>
            <w:tcW w:w="2175" w:type="dxa"/>
            <w:noWrap w:val="0"/>
            <w:vAlign w:val="center"/>
          </w:tcPr>
          <w:p w14:paraId="05B31E2E">
            <w:pPr>
              <w:pStyle w:val="574"/>
              <w:bidi w:val="0"/>
              <w:jc w:val="center"/>
              <w:rPr>
                <w:rFonts w:hint="default"/>
                <w:b/>
                <w:bCs/>
                <w:color w:val="auto"/>
                <w:highlight w:val="none"/>
                <w:lang w:val="en-US" w:eastAsia="zh-CN"/>
              </w:rPr>
            </w:pPr>
            <w:r>
              <w:rPr>
                <w:rFonts w:hint="eastAsia"/>
                <w:b/>
                <w:bCs/>
                <w:color w:val="auto"/>
                <w:highlight w:val="none"/>
                <w:lang w:val="en-US" w:eastAsia="zh-CN"/>
              </w:rPr>
              <w:t>达标测定依据</w:t>
            </w:r>
          </w:p>
        </w:tc>
      </w:tr>
      <w:tr w14:paraId="275AD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4" w:type="dxa"/>
            <w:vMerge w:val="restart"/>
            <w:noWrap w:val="0"/>
            <w:vAlign w:val="center"/>
          </w:tcPr>
          <w:p w14:paraId="29D63F9A">
            <w:pPr>
              <w:pStyle w:val="574"/>
              <w:bidi w:val="0"/>
              <w:jc w:val="center"/>
              <w:rPr>
                <w:rFonts w:hint="default"/>
                <w:color w:val="auto"/>
                <w:highlight w:val="none"/>
                <w:lang w:val="en-US" w:eastAsia="zh-CN"/>
              </w:rPr>
            </w:pPr>
            <w:r>
              <w:rPr>
                <w:rFonts w:hint="eastAsia"/>
                <w:color w:val="auto"/>
                <w:highlight w:val="none"/>
                <w:lang w:val="en-US" w:eastAsia="zh-CN"/>
              </w:rPr>
              <w:t>TSP</w:t>
            </w:r>
          </w:p>
        </w:tc>
        <w:tc>
          <w:tcPr>
            <w:tcW w:w="2174" w:type="dxa"/>
            <w:vMerge w:val="restart"/>
            <w:noWrap w:val="0"/>
            <w:vAlign w:val="center"/>
          </w:tcPr>
          <w:p w14:paraId="6AB1CCA3">
            <w:pPr>
              <w:pStyle w:val="574"/>
              <w:bidi w:val="0"/>
              <w:jc w:val="center"/>
              <w:rPr>
                <w:rFonts w:hint="default"/>
                <w:color w:val="auto"/>
                <w:highlight w:val="none"/>
                <w:lang w:val="en-US" w:eastAsia="zh-CN"/>
              </w:rPr>
            </w:pPr>
            <w:r>
              <w:rPr>
                <w:rFonts w:hint="default" w:ascii="Times New Roman" w:hAnsi="Times New Roman" w:cs="Times New Roman"/>
                <w:color w:val="auto"/>
                <w:highlight w:val="none"/>
                <w:lang w:val="en-US" w:eastAsia="zh-CN"/>
              </w:rPr>
              <w:t>μ</w:t>
            </w:r>
            <w:r>
              <w:rPr>
                <w:rFonts w:hint="eastAsia"/>
                <w:color w:val="auto"/>
                <w:highlight w:val="none"/>
                <w:lang w:val="en-US" w:eastAsia="zh-CN"/>
              </w:rPr>
              <w:t>g/m³</w:t>
            </w:r>
          </w:p>
        </w:tc>
        <w:tc>
          <w:tcPr>
            <w:tcW w:w="2174" w:type="dxa"/>
            <w:noWrap w:val="0"/>
            <w:vAlign w:val="center"/>
          </w:tcPr>
          <w:p w14:paraId="071460A9">
            <w:pPr>
              <w:pStyle w:val="574"/>
              <w:bidi w:val="0"/>
              <w:jc w:val="center"/>
              <w:rPr>
                <w:rFonts w:hint="default"/>
                <w:color w:val="auto"/>
                <w:highlight w:val="none"/>
                <w:lang w:val="en-US" w:eastAsia="zh-CN"/>
              </w:rPr>
            </w:pPr>
            <w:r>
              <w:rPr>
                <w:rFonts w:hint="eastAsia"/>
                <w:color w:val="auto"/>
                <w:highlight w:val="none"/>
                <w:lang w:val="en-US" w:eastAsia="zh-CN"/>
              </w:rPr>
              <w:t>1000</w:t>
            </w:r>
          </w:p>
        </w:tc>
        <w:tc>
          <w:tcPr>
            <w:tcW w:w="2175" w:type="dxa"/>
            <w:noWrap w:val="0"/>
            <w:vAlign w:val="center"/>
          </w:tcPr>
          <w:p w14:paraId="72EA5C31">
            <w:pPr>
              <w:pStyle w:val="574"/>
              <w:bidi w:val="0"/>
              <w:jc w:val="center"/>
              <w:rPr>
                <w:rFonts w:hint="default"/>
                <w:color w:val="auto"/>
                <w:highlight w:val="none"/>
                <w:lang w:val="en-US" w:eastAsia="zh-CN"/>
              </w:rPr>
            </w:pPr>
            <w:r>
              <w:rPr>
                <w:rFonts w:hint="eastAsia"/>
                <w:color w:val="auto"/>
                <w:highlight w:val="none"/>
                <w:lang w:val="en-US" w:eastAsia="zh-CN"/>
              </w:rPr>
              <w:t>超标次数≤1次/日</w:t>
            </w:r>
          </w:p>
        </w:tc>
      </w:tr>
      <w:tr w14:paraId="36587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74" w:type="dxa"/>
            <w:vMerge w:val="continue"/>
            <w:noWrap w:val="0"/>
            <w:vAlign w:val="center"/>
          </w:tcPr>
          <w:p w14:paraId="468C195D">
            <w:pPr>
              <w:pStyle w:val="574"/>
              <w:bidi w:val="0"/>
              <w:jc w:val="center"/>
              <w:rPr>
                <w:color w:val="auto"/>
                <w:highlight w:val="none"/>
              </w:rPr>
            </w:pPr>
          </w:p>
        </w:tc>
        <w:tc>
          <w:tcPr>
            <w:tcW w:w="2174" w:type="dxa"/>
            <w:vMerge w:val="continue"/>
            <w:noWrap w:val="0"/>
            <w:vAlign w:val="center"/>
          </w:tcPr>
          <w:p w14:paraId="2E07C3ED">
            <w:pPr>
              <w:pStyle w:val="574"/>
              <w:bidi w:val="0"/>
              <w:jc w:val="center"/>
              <w:rPr>
                <w:color w:val="auto"/>
                <w:highlight w:val="none"/>
              </w:rPr>
            </w:pPr>
          </w:p>
        </w:tc>
        <w:tc>
          <w:tcPr>
            <w:tcW w:w="2174" w:type="dxa"/>
            <w:noWrap w:val="0"/>
            <w:vAlign w:val="center"/>
          </w:tcPr>
          <w:p w14:paraId="1C9A230E">
            <w:pPr>
              <w:pStyle w:val="574"/>
              <w:bidi w:val="0"/>
              <w:jc w:val="center"/>
              <w:rPr>
                <w:rFonts w:hint="default"/>
                <w:color w:val="auto"/>
                <w:highlight w:val="none"/>
                <w:lang w:val="en-US" w:eastAsia="zh-CN"/>
              </w:rPr>
            </w:pPr>
            <w:r>
              <w:rPr>
                <w:rFonts w:hint="eastAsia"/>
                <w:color w:val="auto"/>
                <w:highlight w:val="none"/>
                <w:lang w:val="en-US" w:eastAsia="zh-CN"/>
              </w:rPr>
              <w:t>500</w:t>
            </w:r>
          </w:p>
        </w:tc>
        <w:tc>
          <w:tcPr>
            <w:tcW w:w="2175" w:type="dxa"/>
            <w:noWrap w:val="0"/>
            <w:vAlign w:val="center"/>
          </w:tcPr>
          <w:p w14:paraId="017ABA50">
            <w:pPr>
              <w:pStyle w:val="574"/>
              <w:bidi w:val="0"/>
              <w:jc w:val="center"/>
              <w:rPr>
                <w:color w:val="auto"/>
                <w:highlight w:val="none"/>
              </w:rPr>
            </w:pPr>
            <w:r>
              <w:rPr>
                <w:rFonts w:hint="eastAsia"/>
                <w:color w:val="auto"/>
                <w:highlight w:val="none"/>
                <w:lang w:val="en-US" w:eastAsia="zh-CN"/>
              </w:rPr>
              <w:t>超标次数≤6次/日</w:t>
            </w:r>
          </w:p>
        </w:tc>
      </w:tr>
    </w:tbl>
    <w:p w14:paraId="208809E3">
      <w:pPr>
        <w:snapToGrid w:val="0"/>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营运期项目转化炉燃料气（天然气、解析气）的燃烧废气颗粒物、二氧化硫、氮氧化物参照执行《石油化学工业污染物排放标准（含2024年修改单）》（GB31571-2015）表5中的特别排放限值要求。</w:t>
      </w:r>
      <w:r>
        <w:rPr>
          <w:rFonts w:hint="eastAsia" w:ascii="宋体" w:hAnsi="宋体" w:eastAsia="宋体" w:cs="宋体"/>
          <w:b w:val="0"/>
          <w:bCs w:val="0"/>
          <w:color w:val="auto"/>
          <w:sz w:val="24"/>
          <w:szCs w:val="24"/>
          <w:highlight w:val="none"/>
        </w:rPr>
        <w:t>转化炉燃烧废气非甲烷总烃和执行《大气污染物综合排放标准》（</w:t>
      </w:r>
      <w:r>
        <w:rPr>
          <w:rFonts w:hint="eastAsia" w:ascii="Times New Roman" w:hAnsi="Times New Roman" w:eastAsia="宋体" w:cs="Times New Roman"/>
          <w:b w:val="0"/>
          <w:bCs w:val="0"/>
          <w:color w:val="auto"/>
          <w:sz w:val="24"/>
          <w:szCs w:val="24"/>
          <w:highlight w:val="none"/>
          <w:lang w:val="en-US" w:eastAsia="zh-CN"/>
        </w:rPr>
        <w:t>GB16297-1996</w:t>
      </w:r>
      <w:r>
        <w:rPr>
          <w:rFonts w:hint="eastAsia" w:ascii="宋体" w:hAnsi="宋体" w:eastAsia="宋体" w:cs="宋体"/>
          <w:b w:val="0"/>
          <w:bCs w:val="0"/>
          <w:color w:val="auto"/>
          <w:sz w:val="24"/>
          <w:szCs w:val="24"/>
          <w:highlight w:val="none"/>
        </w:rPr>
        <w:t>）表</w:t>
      </w:r>
      <w:r>
        <w:rPr>
          <w:rFonts w:hint="eastAsia" w:ascii="宋体" w:hAnsi="宋体" w:eastAsia="宋体" w:cs="宋体"/>
          <w:b w:val="0"/>
          <w:bCs w:val="0"/>
          <w:color w:val="auto"/>
          <w:sz w:val="24"/>
          <w:szCs w:val="24"/>
          <w:highlight w:val="none"/>
          <w:lang w:val="en-US" w:eastAsia="zh-CN"/>
        </w:rPr>
        <w:t>2</w:t>
      </w:r>
      <w:r>
        <w:rPr>
          <w:rFonts w:hint="eastAsia" w:ascii="宋体" w:hAnsi="宋体" w:eastAsia="宋体" w:cs="宋体"/>
          <w:b w:val="0"/>
          <w:bCs w:val="0"/>
          <w:color w:val="auto"/>
          <w:sz w:val="24"/>
          <w:szCs w:val="24"/>
          <w:highlight w:val="none"/>
        </w:rPr>
        <w:t>中的限值标准要求</w:t>
      </w:r>
    </w:p>
    <w:p w14:paraId="0A35E101">
      <w:pPr>
        <w:snapToGrid w:val="0"/>
        <w:spacing w:line="360" w:lineRule="auto"/>
        <w:ind w:firstLine="482" w:firstLineChars="200"/>
        <w:jc w:val="center"/>
        <w:rPr>
          <w:rFonts w:hint="default" w:ascii="Times New Roman" w:hAnsi="Times New Roman" w:eastAsia="宋体" w:cs="Times New Roman"/>
          <w:b/>
          <w:bCs/>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表2.</w:t>
      </w:r>
      <w:r>
        <w:rPr>
          <w:rFonts w:hint="eastAsia" w:ascii="Times New Roman" w:hAnsi="Times New Roman" w:eastAsia="宋体" w:cs="Times New Roman"/>
          <w:b/>
          <w:bCs/>
          <w:color w:val="auto"/>
          <w:kern w:val="2"/>
          <w:sz w:val="24"/>
          <w:szCs w:val="22"/>
          <w:highlight w:val="none"/>
          <w:lang w:val="en-US" w:eastAsia="zh-CN" w:bidi="ar-SA"/>
        </w:rPr>
        <w:t>3</w:t>
      </w:r>
      <w:r>
        <w:rPr>
          <w:rFonts w:hint="default" w:ascii="Times New Roman" w:hAnsi="Times New Roman" w:eastAsia="宋体" w:cs="Times New Roman"/>
          <w:b/>
          <w:bCs/>
          <w:color w:val="auto"/>
          <w:kern w:val="2"/>
          <w:sz w:val="24"/>
          <w:szCs w:val="22"/>
          <w:highlight w:val="none"/>
          <w:lang w:val="en-US" w:eastAsia="zh-CN" w:bidi="ar-SA"/>
        </w:rPr>
        <w:t>.</w:t>
      </w:r>
      <w:r>
        <w:rPr>
          <w:rFonts w:hint="eastAsia" w:ascii="Times New Roman" w:hAnsi="Times New Roman" w:eastAsia="宋体" w:cs="Times New Roman"/>
          <w:b/>
          <w:bCs/>
          <w:color w:val="auto"/>
          <w:kern w:val="2"/>
          <w:sz w:val="24"/>
          <w:szCs w:val="22"/>
          <w:highlight w:val="none"/>
          <w:lang w:val="en-US" w:eastAsia="zh-CN" w:bidi="ar-SA"/>
        </w:rPr>
        <w:t>2</w:t>
      </w:r>
      <w:r>
        <w:rPr>
          <w:rFonts w:hint="default" w:ascii="Times New Roman" w:hAnsi="Times New Roman" w:eastAsia="宋体" w:cs="Times New Roman"/>
          <w:b/>
          <w:bCs/>
          <w:color w:val="auto"/>
          <w:kern w:val="2"/>
          <w:sz w:val="24"/>
          <w:szCs w:val="22"/>
          <w:highlight w:val="none"/>
          <w:lang w:val="en-US" w:eastAsia="zh-CN" w:bidi="ar-SA"/>
        </w:rPr>
        <w:t>-</w:t>
      </w:r>
      <w:r>
        <w:rPr>
          <w:rFonts w:hint="eastAsia" w:ascii="Times New Roman" w:hAnsi="Times New Roman" w:eastAsia="宋体" w:cs="Times New Roman"/>
          <w:b/>
          <w:bCs/>
          <w:color w:val="auto"/>
          <w:kern w:val="2"/>
          <w:sz w:val="24"/>
          <w:szCs w:val="22"/>
          <w:highlight w:val="none"/>
          <w:lang w:val="en-US" w:eastAsia="zh-CN" w:bidi="ar-SA"/>
        </w:rPr>
        <w:t>7</w:t>
      </w:r>
      <w:r>
        <w:rPr>
          <w:rFonts w:hint="eastAsia" w:cs="Times New Roman"/>
          <w:b/>
          <w:bCs/>
          <w:color w:val="auto"/>
          <w:kern w:val="2"/>
          <w:sz w:val="24"/>
          <w:szCs w:val="22"/>
          <w:highlight w:val="none"/>
          <w:lang w:val="en-US" w:eastAsia="zh-CN" w:bidi="ar-SA"/>
        </w:rPr>
        <w:t xml:space="preserve">  </w:t>
      </w:r>
      <w:r>
        <w:rPr>
          <w:rFonts w:hint="eastAsia" w:ascii="Times New Roman" w:hAnsi="Times New Roman" w:eastAsia="宋体" w:cs="Times New Roman"/>
          <w:b/>
          <w:bCs/>
          <w:color w:val="auto"/>
          <w:kern w:val="2"/>
          <w:sz w:val="24"/>
          <w:szCs w:val="22"/>
          <w:highlight w:val="none"/>
          <w:lang w:val="en-US" w:eastAsia="zh-CN" w:bidi="ar-SA"/>
        </w:rPr>
        <w:t>大气污染物有组织排放标准</w:t>
      </w:r>
    </w:p>
    <w:tbl>
      <w:tblPr>
        <w:tblStyle w:val="4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40" w:type="dxa"/>
          <w:bottom w:w="0" w:type="dxa"/>
          <w:right w:w="40" w:type="dxa"/>
        </w:tblCellMar>
      </w:tblPr>
      <w:tblGrid>
        <w:gridCol w:w="2798"/>
        <w:gridCol w:w="832"/>
        <w:gridCol w:w="1174"/>
        <w:gridCol w:w="1504"/>
        <w:gridCol w:w="1201"/>
        <w:gridCol w:w="872"/>
      </w:tblGrid>
      <w:tr w14:paraId="7FC35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214" w:hRule="atLeast"/>
          <w:jc w:val="center"/>
        </w:trPr>
        <w:tc>
          <w:tcPr>
            <w:tcW w:w="1669" w:type="pct"/>
            <w:noWrap w:val="0"/>
            <w:vAlign w:val="center"/>
          </w:tcPr>
          <w:p w14:paraId="4FC8469E">
            <w:pPr>
              <w:jc w:val="center"/>
              <w:textAlignment w:val="center"/>
              <w:rPr>
                <w:rFonts w:cs="Times New Roman"/>
                <w:b/>
                <w:bCs/>
                <w:color w:val="auto"/>
                <w:kern w:val="0"/>
                <w:sz w:val="21"/>
                <w:szCs w:val="20"/>
                <w:highlight w:val="none"/>
              </w:rPr>
            </w:pPr>
            <w:r>
              <w:rPr>
                <w:rFonts w:cs="Times New Roman"/>
                <w:b/>
                <w:bCs/>
                <w:color w:val="auto"/>
                <w:kern w:val="0"/>
                <w:sz w:val="21"/>
                <w:szCs w:val="20"/>
                <w:highlight w:val="none"/>
              </w:rPr>
              <w:t>执行标准</w:t>
            </w:r>
          </w:p>
        </w:tc>
        <w:tc>
          <w:tcPr>
            <w:tcW w:w="496" w:type="pct"/>
            <w:noWrap w:val="0"/>
            <w:vAlign w:val="center"/>
          </w:tcPr>
          <w:p w14:paraId="4E6F2BBF">
            <w:pPr>
              <w:jc w:val="center"/>
              <w:textAlignment w:val="center"/>
              <w:rPr>
                <w:rFonts w:cs="Times New Roman"/>
                <w:b/>
                <w:bCs/>
                <w:color w:val="auto"/>
                <w:kern w:val="0"/>
                <w:sz w:val="21"/>
                <w:szCs w:val="20"/>
                <w:highlight w:val="none"/>
              </w:rPr>
            </w:pPr>
            <w:r>
              <w:rPr>
                <w:rFonts w:cs="Times New Roman"/>
                <w:b/>
                <w:bCs/>
                <w:color w:val="auto"/>
                <w:kern w:val="0"/>
                <w:sz w:val="21"/>
                <w:szCs w:val="20"/>
                <w:highlight w:val="none"/>
              </w:rPr>
              <w:t>排气筒</w:t>
            </w:r>
          </w:p>
          <w:p w14:paraId="3DDCF9CF">
            <w:pPr>
              <w:jc w:val="center"/>
              <w:textAlignment w:val="center"/>
              <w:rPr>
                <w:rFonts w:cs="Times New Roman"/>
                <w:b/>
                <w:bCs/>
                <w:color w:val="auto"/>
                <w:kern w:val="0"/>
                <w:sz w:val="21"/>
                <w:szCs w:val="20"/>
                <w:highlight w:val="none"/>
              </w:rPr>
            </w:pPr>
            <w:r>
              <w:rPr>
                <w:rFonts w:cs="Times New Roman"/>
                <w:b/>
                <w:bCs/>
                <w:color w:val="auto"/>
                <w:kern w:val="0"/>
                <w:sz w:val="21"/>
                <w:szCs w:val="20"/>
                <w:highlight w:val="none"/>
              </w:rPr>
              <w:t>高度</w:t>
            </w:r>
          </w:p>
        </w:tc>
        <w:tc>
          <w:tcPr>
            <w:tcW w:w="700" w:type="pct"/>
            <w:noWrap w:val="0"/>
            <w:vAlign w:val="center"/>
          </w:tcPr>
          <w:p w14:paraId="24D3A0CE">
            <w:pPr>
              <w:jc w:val="center"/>
              <w:textAlignment w:val="center"/>
              <w:rPr>
                <w:rFonts w:cs="Times New Roman"/>
                <w:b/>
                <w:bCs/>
                <w:color w:val="auto"/>
                <w:kern w:val="0"/>
                <w:sz w:val="21"/>
                <w:szCs w:val="20"/>
                <w:highlight w:val="none"/>
              </w:rPr>
            </w:pPr>
            <w:r>
              <w:rPr>
                <w:rFonts w:cs="Times New Roman"/>
                <w:b/>
                <w:bCs/>
                <w:color w:val="auto"/>
                <w:kern w:val="0"/>
                <w:sz w:val="21"/>
                <w:szCs w:val="20"/>
                <w:highlight w:val="none"/>
              </w:rPr>
              <w:t>污染物指标</w:t>
            </w:r>
          </w:p>
        </w:tc>
        <w:tc>
          <w:tcPr>
            <w:tcW w:w="897" w:type="pct"/>
            <w:noWrap w:val="0"/>
            <w:vAlign w:val="center"/>
          </w:tcPr>
          <w:p w14:paraId="6DF85DB0">
            <w:pPr>
              <w:jc w:val="center"/>
              <w:textAlignment w:val="center"/>
              <w:rPr>
                <w:rFonts w:cs="Times New Roman"/>
                <w:b/>
                <w:bCs/>
                <w:color w:val="auto"/>
                <w:kern w:val="0"/>
                <w:sz w:val="21"/>
                <w:szCs w:val="20"/>
                <w:highlight w:val="none"/>
              </w:rPr>
            </w:pPr>
            <w:r>
              <w:rPr>
                <w:rFonts w:cs="Times New Roman"/>
                <w:b/>
                <w:bCs/>
                <w:color w:val="auto"/>
                <w:kern w:val="0"/>
                <w:sz w:val="21"/>
                <w:szCs w:val="20"/>
                <w:highlight w:val="none"/>
              </w:rPr>
              <w:t>浓度mg/m</w:t>
            </w:r>
            <w:r>
              <w:rPr>
                <w:rFonts w:cs="Times New Roman"/>
                <w:b/>
                <w:bCs/>
                <w:color w:val="auto"/>
                <w:kern w:val="0"/>
                <w:sz w:val="21"/>
                <w:szCs w:val="20"/>
                <w:highlight w:val="none"/>
                <w:vertAlign w:val="superscript"/>
              </w:rPr>
              <w:t>3</w:t>
            </w:r>
          </w:p>
        </w:tc>
        <w:tc>
          <w:tcPr>
            <w:tcW w:w="716" w:type="pct"/>
            <w:noWrap w:val="0"/>
            <w:vAlign w:val="center"/>
          </w:tcPr>
          <w:p w14:paraId="4C1ED5C2">
            <w:pPr>
              <w:jc w:val="center"/>
              <w:textAlignment w:val="center"/>
              <w:rPr>
                <w:rFonts w:cs="Times New Roman"/>
                <w:b/>
                <w:bCs/>
                <w:color w:val="auto"/>
                <w:kern w:val="0"/>
                <w:sz w:val="21"/>
                <w:szCs w:val="20"/>
                <w:highlight w:val="none"/>
              </w:rPr>
            </w:pPr>
            <w:r>
              <w:rPr>
                <w:rFonts w:cs="Times New Roman"/>
                <w:b/>
                <w:bCs/>
                <w:color w:val="auto"/>
                <w:kern w:val="0"/>
                <w:sz w:val="21"/>
                <w:szCs w:val="20"/>
                <w:highlight w:val="none"/>
              </w:rPr>
              <w:t>速率kg/h</w:t>
            </w:r>
          </w:p>
        </w:tc>
        <w:tc>
          <w:tcPr>
            <w:tcW w:w="520" w:type="pct"/>
            <w:noWrap w:val="0"/>
            <w:vAlign w:val="center"/>
          </w:tcPr>
          <w:p w14:paraId="1A73C0FF">
            <w:pPr>
              <w:jc w:val="center"/>
              <w:textAlignment w:val="center"/>
              <w:rPr>
                <w:rFonts w:cs="Times New Roman"/>
                <w:b/>
                <w:bCs/>
                <w:color w:val="auto"/>
                <w:kern w:val="0"/>
                <w:sz w:val="21"/>
                <w:szCs w:val="20"/>
                <w:highlight w:val="none"/>
              </w:rPr>
            </w:pPr>
            <w:r>
              <w:rPr>
                <w:rFonts w:cs="Times New Roman"/>
                <w:b/>
                <w:bCs/>
                <w:color w:val="auto"/>
                <w:kern w:val="0"/>
                <w:sz w:val="21"/>
                <w:szCs w:val="20"/>
                <w:highlight w:val="none"/>
              </w:rPr>
              <w:t>排放限值</w:t>
            </w:r>
          </w:p>
        </w:tc>
      </w:tr>
      <w:tr w14:paraId="7EB6F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811" w:hRule="atLeast"/>
          <w:jc w:val="center"/>
        </w:trPr>
        <w:tc>
          <w:tcPr>
            <w:tcW w:w="1669" w:type="pct"/>
            <w:vMerge w:val="restart"/>
            <w:noWrap w:val="0"/>
            <w:vAlign w:val="center"/>
          </w:tcPr>
          <w:p w14:paraId="16CCBE65">
            <w:pPr>
              <w:jc w:val="center"/>
              <w:textAlignment w:val="center"/>
              <w:rPr>
                <w:rFonts w:cs="Times New Roman"/>
                <w:color w:val="auto"/>
                <w:kern w:val="0"/>
                <w:sz w:val="21"/>
                <w:szCs w:val="20"/>
                <w:highlight w:val="none"/>
              </w:rPr>
            </w:pPr>
            <w:r>
              <w:rPr>
                <w:rFonts w:cs="Times New Roman"/>
                <w:color w:val="auto"/>
                <w:kern w:val="0"/>
                <w:sz w:val="21"/>
                <w:szCs w:val="20"/>
                <w:highlight w:val="none"/>
              </w:rPr>
              <w:t>《大气污染物综合排放标准》（GB16297-1996）</w:t>
            </w:r>
          </w:p>
        </w:tc>
        <w:tc>
          <w:tcPr>
            <w:tcW w:w="496" w:type="pct"/>
            <w:vMerge w:val="restart"/>
            <w:noWrap w:val="0"/>
            <w:vAlign w:val="center"/>
          </w:tcPr>
          <w:p w14:paraId="722D6820">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15</w:t>
            </w:r>
          </w:p>
        </w:tc>
        <w:tc>
          <w:tcPr>
            <w:tcW w:w="700" w:type="pct"/>
            <w:noWrap w:val="0"/>
            <w:vAlign w:val="center"/>
          </w:tcPr>
          <w:p w14:paraId="7452A028">
            <w:pPr>
              <w:jc w:val="center"/>
              <w:textAlignment w:val="center"/>
              <w:rPr>
                <w:rFonts w:cs="Times New Roman"/>
                <w:color w:val="auto"/>
                <w:kern w:val="0"/>
                <w:sz w:val="21"/>
                <w:szCs w:val="20"/>
                <w:highlight w:val="none"/>
              </w:rPr>
            </w:pPr>
            <w:r>
              <w:rPr>
                <w:rFonts w:hint="eastAsia" w:cs="Times New Roman"/>
                <w:color w:val="auto"/>
                <w:kern w:val="0"/>
                <w:sz w:val="21"/>
                <w:szCs w:val="20"/>
                <w:highlight w:val="none"/>
              </w:rPr>
              <w:t>非甲烷总烃</w:t>
            </w:r>
          </w:p>
        </w:tc>
        <w:tc>
          <w:tcPr>
            <w:tcW w:w="897" w:type="pct"/>
            <w:noWrap w:val="0"/>
            <w:vAlign w:val="center"/>
          </w:tcPr>
          <w:p w14:paraId="270EE048">
            <w:pPr>
              <w:jc w:val="center"/>
              <w:textAlignment w:val="center"/>
              <w:rPr>
                <w:rFonts w:hint="default" w:eastAsia="宋体" w:cs="Times New Roman"/>
                <w:color w:val="auto"/>
                <w:kern w:val="0"/>
                <w:sz w:val="21"/>
                <w:szCs w:val="20"/>
                <w:highlight w:val="none"/>
                <w:lang w:val="en-US" w:eastAsia="zh-CN"/>
              </w:rPr>
            </w:pPr>
            <w:r>
              <w:rPr>
                <w:rFonts w:hint="eastAsia" w:cs="Times New Roman"/>
                <w:color w:val="auto"/>
                <w:kern w:val="0"/>
                <w:sz w:val="21"/>
                <w:szCs w:val="20"/>
                <w:highlight w:val="none"/>
                <w:lang w:val="en-US" w:eastAsia="zh-CN"/>
              </w:rPr>
              <w:t>120</w:t>
            </w:r>
          </w:p>
        </w:tc>
        <w:tc>
          <w:tcPr>
            <w:tcW w:w="716" w:type="pct"/>
            <w:noWrap w:val="0"/>
            <w:vAlign w:val="center"/>
          </w:tcPr>
          <w:p w14:paraId="16D12BA5">
            <w:pPr>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w:t>
            </w:r>
          </w:p>
        </w:tc>
        <w:tc>
          <w:tcPr>
            <w:tcW w:w="520" w:type="pct"/>
            <w:noWrap w:val="0"/>
            <w:vAlign w:val="center"/>
          </w:tcPr>
          <w:p w14:paraId="6F598A01">
            <w:pPr>
              <w:jc w:val="center"/>
              <w:textAlignment w:val="center"/>
              <w:rPr>
                <w:rFonts w:cs="Times New Roman"/>
                <w:color w:val="auto"/>
                <w:kern w:val="0"/>
                <w:sz w:val="21"/>
                <w:szCs w:val="20"/>
                <w:highlight w:val="none"/>
              </w:rPr>
            </w:pPr>
            <w:r>
              <w:rPr>
                <w:rFonts w:hint="eastAsia" w:cs="Times New Roman"/>
                <w:color w:val="auto"/>
                <w:kern w:val="0"/>
                <w:sz w:val="21"/>
                <w:szCs w:val="20"/>
                <w:highlight w:val="none"/>
                <w:lang w:val="en-US" w:eastAsia="zh-CN"/>
              </w:rPr>
              <w:t>/</w:t>
            </w:r>
          </w:p>
        </w:tc>
      </w:tr>
      <w:tr w14:paraId="6BB0E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365" w:hRule="atLeast"/>
          <w:jc w:val="center"/>
        </w:trPr>
        <w:tc>
          <w:tcPr>
            <w:tcW w:w="1669" w:type="pct"/>
            <w:vMerge w:val="restart"/>
            <w:noWrap w:val="0"/>
            <w:vAlign w:val="center"/>
          </w:tcPr>
          <w:p w14:paraId="3BF0E3CD">
            <w:pPr>
              <w:jc w:val="center"/>
              <w:textAlignment w:val="center"/>
              <w:rPr>
                <w:rFonts w:hint="default"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《石油化学工业污染物排放标准（含2024年修改单）》</w:t>
            </w:r>
            <w:r>
              <w:rPr>
                <w:rFonts w:hint="eastAsia" w:cs="Times New Roman"/>
                <w:color w:val="auto"/>
                <w:kern w:val="0"/>
                <w:sz w:val="21"/>
                <w:szCs w:val="20"/>
                <w:highlight w:val="none"/>
                <w:lang w:val="en-US" w:eastAsia="zh-CN"/>
              </w:rPr>
              <w:t>（</w:t>
            </w:r>
            <w:r>
              <w:rPr>
                <w:rFonts w:hint="eastAsia" w:ascii="Times New Roman" w:hAnsi="Times New Roman" w:eastAsia="宋体" w:cs="Times New Roman"/>
                <w:color w:val="auto"/>
                <w:kern w:val="0"/>
                <w:sz w:val="21"/>
                <w:szCs w:val="20"/>
                <w:highlight w:val="none"/>
                <w:lang w:val="en-US" w:eastAsia="zh-CN"/>
              </w:rPr>
              <w:t>GB31571-2015</w:t>
            </w:r>
            <w:r>
              <w:rPr>
                <w:rFonts w:hint="eastAsia" w:cs="Times New Roman"/>
                <w:color w:val="auto"/>
                <w:kern w:val="0"/>
                <w:sz w:val="21"/>
                <w:szCs w:val="20"/>
                <w:highlight w:val="none"/>
                <w:lang w:val="en-US" w:eastAsia="zh-CN"/>
              </w:rPr>
              <w:t>）</w:t>
            </w:r>
          </w:p>
        </w:tc>
        <w:tc>
          <w:tcPr>
            <w:tcW w:w="496" w:type="pct"/>
            <w:vMerge w:val="restart"/>
            <w:noWrap w:val="0"/>
            <w:vAlign w:val="center"/>
          </w:tcPr>
          <w:p w14:paraId="4F35D702">
            <w:pPr>
              <w:jc w:val="center"/>
              <w:textAlignment w:val="center"/>
              <w:rPr>
                <w:rFonts w:hint="default" w:eastAsia="宋体" w:cs="Times New Roman"/>
                <w:color w:val="auto"/>
                <w:kern w:val="0"/>
                <w:sz w:val="21"/>
                <w:szCs w:val="20"/>
                <w:highlight w:val="none"/>
                <w:lang w:val="en-US" w:eastAsia="zh-CN"/>
              </w:rPr>
            </w:pPr>
            <w:r>
              <w:rPr>
                <w:rFonts w:hint="eastAsia" w:cs="Times New Roman"/>
                <w:color w:val="auto"/>
                <w:kern w:val="0"/>
                <w:sz w:val="21"/>
                <w:szCs w:val="20"/>
                <w:highlight w:val="none"/>
                <w:lang w:val="en-US" w:eastAsia="zh-CN"/>
              </w:rPr>
              <w:t>15</w:t>
            </w:r>
          </w:p>
        </w:tc>
        <w:tc>
          <w:tcPr>
            <w:tcW w:w="700" w:type="pct"/>
            <w:noWrap w:val="0"/>
            <w:vAlign w:val="center"/>
          </w:tcPr>
          <w:p w14:paraId="12284D70">
            <w:pPr>
              <w:adjustRightInd w:val="0"/>
              <w:snapToGrid w:val="0"/>
              <w:jc w:val="center"/>
              <w:textAlignment w:val="center"/>
              <w:rPr>
                <w:rFonts w:hint="eastAsia" w:eastAsia="宋体" w:cs="Times New Roman"/>
                <w:color w:val="auto"/>
                <w:kern w:val="0"/>
                <w:sz w:val="21"/>
                <w:szCs w:val="20"/>
                <w:highlight w:val="none"/>
                <w:lang w:val="en-US" w:eastAsia="zh-CN"/>
              </w:rPr>
            </w:pPr>
            <w:r>
              <w:rPr>
                <w:rFonts w:hint="eastAsia" w:ascii="Times New Roman" w:hAnsi="Times New Roman" w:eastAsia="宋体" w:cs="Times New Roman"/>
                <w:color w:val="auto"/>
                <w:sz w:val="21"/>
                <w:szCs w:val="21"/>
                <w:highlight w:val="none"/>
                <w:lang w:eastAsia="zh-CN"/>
              </w:rPr>
              <w:t>颗粒物</w:t>
            </w:r>
          </w:p>
        </w:tc>
        <w:tc>
          <w:tcPr>
            <w:tcW w:w="897" w:type="pct"/>
            <w:noWrap w:val="0"/>
            <w:vAlign w:val="center"/>
          </w:tcPr>
          <w:p w14:paraId="5E0D8511">
            <w:pPr>
              <w:jc w:val="center"/>
              <w:textAlignment w:val="center"/>
              <w:rPr>
                <w:rFonts w:hint="default" w:eastAsia="宋体" w:cs="Times New Roman"/>
                <w:color w:val="auto"/>
                <w:kern w:val="0"/>
                <w:sz w:val="21"/>
                <w:szCs w:val="20"/>
                <w:highlight w:val="none"/>
                <w:lang w:val="en-US" w:eastAsia="zh-CN"/>
              </w:rPr>
            </w:pPr>
            <w:r>
              <w:rPr>
                <w:rFonts w:hint="eastAsia" w:cs="Times New Roman"/>
                <w:color w:val="auto"/>
                <w:kern w:val="0"/>
                <w:sz w:val="21"/>
                <w:szCs w:val="20"/>
                <w:highlight w:val="none"/>
                <w:lang w:val="en-US" w:eastAsia="zh-CN"/>
              </w:rPr>
              <w:t>20</w:t>
            </w:r>
          </w:p>
        </w:tc>
        <w:tc>
          <w:tcPr>
            <w:tcW w:w="1201" w:type="dxa"/>
            <w:noWrap w:val="0"/>
            <w:vAlign w:val="center"/>
          </w:tcPr>
          <w:p w14:paraId="7808C090">
            <w:pPr>
              <w:jc w:val="center"/>
              <w:textAlignment w:val="center"/>
              <w:rPr>
                <w:rFonts w:hint="default" w:cs="Times New Roman"/>
                <w:color w:val="auto"/>
                <w:szCs w:val="21"/>
                <w:highlight w:val="none"/>
                <w:lang w:val="en-US" w:eastAsia="zh-CN"/>
              </w:rPr>
            </w:pPr>
            <w:r>
              <w:rPr>
                <w:rFonts w:hint="eastAsia" w:cs="Times New Roman"/>
                <w:color w:val="auto"/>
                <w:kern w:val="0"/>
                <w:sz w:val="21"/>
                <w:szCs w:val="20"/>
                <w:highlight w:val="none"/>
                <w:lang w:val="en-US" w:eastAsia="zh-CN"/>
              </w:rPr>
              <w:t>/</w:t>
            </w:r>
          </w:p>
        </w:tc>
        <w:tc>
          <w:tcPr>
            <w:tcW w:w="520" w:type="pct"/>
            <w:noWrap w:val="0"/>
            <w:vAlign w:val="center"/>
          </w:tcPr>
          <w:p w14:paraId="052987AD">
            <w:pPr>
              <w:jc w:val="center"/>
              <w:textAlignment w:val="center"/>
              <w:rPr>
                <w:rFonts w:hint="eastAsia" w:eastAsia="宋体" w:cs="Times New Roman"/>
                <w:color w:val="auto"/>
                <w:kern w:val="0"/>
                <w:sz w:val="21"/>
                <w:szCs w:val="20"/>
                <w:highlight w:val="none"/>
                <w:lang w:val="en-US" w:eastAsia="zh-CN"/>
              </w:rPr>
            </w:pPr>
            <w:r>
              <w:rPr>
                <w:rFonts w:hint="eastAsia" w:cs="Times New Roman"/>
                <w:color w:val="auto"/>
                <w:kern w:val="0"/>
                <w:sz w:val="21"/>
                <w:szCs w:val="20"/>
                <w:highlight w:val="none"/>
                <w:lang w:val="en-US" w:eastAsia="zh-CN"/>
              </w:rPr>
              <w:t>/</w:t>
            </w:r>
          </w:p>
        </w:tc>
      </w:tr>
      <w:tr w14:paraId="68AF3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340" w:hRule="atLeast"/>
          <w:jc w:val="center"/>
        </w:trPr>
        <w:tc>
          <w:tcPr>
            <w:tcW w:w="1669" w:type="pct"/>
            <w:vMerge w:val="continue"/>
            <w:noWrap w:val="0"/>
            <w:vAlign w:val="center"/>
          </w:tcPr>
          <w:p w14:paraId="133364C6">
            <w:pPr>
              <w:jc w:val="center"/>
              <w:textAlignment w:val="center"/>
              <w:rPr>
                <w:rFonts w:cs="Times New Roman"/>
                <w:color w:val="auto"/>
                <w:kern w:val="0"/>
                <w:sz w:val="21"/>
                <w:szCs w:val="20"/>
                <w:highlight w:val="none"/>
              </w:rPr>
            </w:pPr>
          </w:p>
        </w:tc>
        <w:tc>
          <w:tcPr>
            <w:tcW w:w="496" w:type="pct"/>
            <w:vMerge w:val="continue"/>
            <w:noWrap w:val="0"/>
            <w:vAlign w:val="center"/>
          </w:tcPr>
          <w:p w14:paraId="4C527EAE">
            <w:pPr>
              <w:jc w:val="center"/>
              <w:textAlignment w:val="center"/>
              <w:rPr>
                <w:rFonts w:cs="Times New Roman"/>
                <w:color w:val="auto"/>
                <w:kern w:val="0"/>
                <w:sz w:val="21"/>
                <w:szCs w:val="20"/>
                <w:highlight w:val="none"/>
              </w:rPr>
            </w:pPr>
          </w:p>
        </w:tc>
        <w:tc>
          <w:tcPr>
            <w:tcW w:w="700" w:type="pct"/>
            <w:noWrap w:val="0"/>
            <w:vAlign w:val="center"/>
          </w:tcPr>
          <w:p w14:paraId="7D7786B6">
            <w:pPr>
              <w:adjustRightInd w:val="0"/>
              <w:snapToGrid w:val="0"/>
              <w:jc w:val="center"/>
              <w:textAlignment w:val="center"/>
              <w:rPr>
                <w:rFonts w:hint="default" w:eastAsia="宋体" w:cs="Times New Roman"/>
                <w:color w:val="auto"/>
                <w:kern w:val="0"/>
                <w:sz w:val="21"/>
                <w:szCs w:val="20"/>
                <w:highlight w:val="none"/>
                <w:lang w:val="en-US" w:eastAsia="zh-CN"/>
              </w:rPr>
            </w:pPr>
            <w:r>
              <w:rPr>
                <w:rFonts w:hint="eastAsia" w:ascii="Times New Roman" w:hAnsi="Times New Roman" w:eastAsia="宋体" w:cs="Times New Roman"/>
                <w:color w:val="auto"/>
                <w:sz w:val="21"/>
                <w:szCs w:val="21"/>
                <w:highlight w:val="none"/>
                <w:lang w:val="en-US" w:eastAsia="zh-CN"/>
              </w:rPr>
              <w:t>NOx</w:t>
            </w:r>
          </w:p>
        </w:tc>
        <w:tc>
          <w:tcPr>
            <w:tcW w:w="897" w:type="pct"/>
            <w:noWrap w:val="0"/>
            <w:vAlign w:val="center"/>
          </w:tcPr>
          <w:p w14:paraId="61266FCF">
            <w:pPr>
              <w:jc w:val="center"/>
              <w:textAlignment w:val="center"/>
              <w:rPr>
                <w:rFonts w:hint="default" w:eastAsia="宋体" w:cs="Times New Roman"/>
                <w:color w:val="auto"/>
                <w:kern w:val="0"/>
                <w:sz w:val="21"/>
                <w:szCs w:val="20"/>
                <w:highlight w:val="none"/>
                <w:lang w:val="en-US" w:eastAsia="zh-CN"/>
              </w:rPr>
            </w:pPr>
            <w:r>
              <w:rPr>
                <w:rFonts w:hint="eastAsia" w:eastAsia="宋体" w:cs="Times New Roman"/>
                <w:color w:val="auto"/>
                <w:kern w:val="0"/>
                <w:sz w:val="21"/>
                <w:szCs w:val="20"/>
                <w:highlight w:val="none"/>
                <w:lang w:val="en-US" w:eastAsia="zh-CN"/>
              </w:rPr>
              <w:t>100</w:t>
            </w:r>
          </w:p>
        </w:tc>
        <w:tc>
          <w:tcPr>
            <w:tcW w:w="1201" w:type="dxa"/>
            <w:noWrap w:val="0"/>
            <w:vAlign w:val="center"/>
          </w:tcPr>
          <w:p w14:paraId="5E93B15F">
            <w:pPr>
              <w:jc w:val="center"/>
              <w:textAlignment w:val="center"/>
              <w:rPr>
                <w:rFonts w:hint="default" w:cs="Times New Roman"/>
                <w:color w:val="auto"/>
                <w:szCs w:val="21"/>
                <w:highlight w:val="none"/>
                <w:lang w:val="en-US" w:eastAsia="zh-CN"/>
              </w:rPr>
            </w:pPr>
            <w:r>
              <w:rPr>
                <w:rFonts w:hint="eastAsia" w:cs="Times New Roman"/>
                <w:color w:val="auto"/>
                <w:kern w:val="0"/>
                <w:sz w:val="21"/>
                <w:szCs w:val="20"/>
                <w:highlight w:val="none"/>
                <w:lang w:val="en-US" w:eastAsia="zh-CN"/>
              </w:rPr>
              <w:t>/</w:t>
            </w:r>
          </w:p>
        </w:tc>
        <w:tc>
          <w:tcPr>
            <w:tcW w:w="520" w:type="pct"/>
            <w:noWrap w:val="0"/>
            <w:vAlign w:val="center"/>
          </w:tcPr>
          <w:p w14:paraId="09447D53">
            <w:pPr>
              <w:jc w:val="center"/>
              <w:textAlignment w:val="center"/>
              <w:rPr>
                <w:rFonts w:hint="eastAsia" w:eastAsia="宋体" w:cs="Times New Roman"/>
                <w:color w:val="auto"/>
                <w:kern w:val="0"/>
                <w:sz w:val="21"/>
                <w:szCs w:val="20"/>
                <w:highlight w:val="none"/>
                <w:lang w:val="en-US" w:eastAsia="zh-CN"/>
              </w:rPr>
            </w:pPr>
            <w:r>
              <w:rPr>
                <w:rFonts w:hint="eastAsia" w:cs="Times New Roman"/>
                <w:color w:val="auto"/>
                <w:kern w:val="0"/>
                <w:sz w:val="21"/>
                <w:szCs w:val="20"/>
                <w:highlight w:val="none"/>
                <w:lang w:val="en-US" w:eastAsia="zh-CN"/>
              </w:rPr>
              <w:t>/</w:t>
            </w:r>
          </w:p>
        </w:tc>
      </w:tr>
      <w:tr w14:paraId="4E464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340" w:hRule="atLeast"/>
          <w:jc w:val="center"/>
        </w:trPr>
        <w:tc>
          <w:tcPr>
            <w:tcW w:w="1669" w:type="pct"/>
            <w:vMerge w:val="continue"/>
            <w:noWrap w:val="0"/>
            <w:vAlign w:val="center"/>
          </w:tcPr>
          <w:p w14:paraId="614B40D1">
            <w:pPr>
              <w:jc w:val="center"/>
              <w:textAlignment w:val="center"/>
              <w:rPr>
                <w:rFonts w:cs="Times New Roman"/>
                <w:color w:val="auto"/>
                <w:kern w:val="0"/>
                <w:sz w:val="21"/>
                <w:szCs w:val="20"/>
                <w:highlight w:val="none"/>
              </w:rPr>
            </w:pPr>
          </w:p>
        </w:tc>
        <w:tc>
          <w:tcPr>
            <w:tcW w:w="496" w:type="pct"/>
            <w:vMerge w:val="continue"/>
            <w:noWrap w:val="0"/>
            <w:vAlign w:val="center"/>
          </w:tcPr>
          <w:p w14:paraId="7807D6C6">
            <w:pPr>
              <w:jc w:val="center"/>
              <w:textAlignment w:val="center"/>
              <w:rPr>
                <w:rFonts w:cs="Times New Roman"/>
                <w:color w:val="auto"/>
                <w:kern w:val="0"/>
                <w:sz w:val="21"/>
                <w:szCs w:val="20"/>
                <w:highlight w:val="none"/>
              </w:rPr>
            </w:pPr>
          </w:p>
        </w:tc>
        <w:tc>
          <w:tcPr>
            <w:tcW w:w="700" w:type="pct"/>
            <w:noWrap w:val="0"/>
            <w:vAlign w:val="center"/>
          </w:tcPr>
          <w:p w14:paraId="53D4525B">
            <w:pPr>
              <w:adjustRightInd w:val="0"/>
              <w:snapToGrid w:val="0"/>
              <w:jc w:val="center"/>
              <w:textAlignment w:val="center"/>
              <w:rPr>
                <w:rFonts w:hint="eastAsia" w:cs="Times New Roman"/>
                <w:color w:val="auto"/>
                <w:kern w:val="0"/>
                <w:sz w:val="21"/>
                <w:szCs w:val="20"/>
                <w:highlight w:val="none"/>
                <w:lang w:val="en-US" w:eastAsia="zh-CN"/>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p>
        </w:tc>
        <w:tc>
          <w:tcPr>
            <w:tcW w:w="897" w:type="pct"/>
            <w:noWrap w:val="0"/>
            <w:vAlign w:val="center"/>
          </w:tcPr>
          <w:p w14:paraId="14A36C75">
            <w:pPr>
              <w:jc w:val="center"/>
              <w:textAlignment w:val="center"/>
              <w:rPr>
                <w:rFonts w:hint="eastAsia" w:cs="Times New Roman"/>
                <w:color w:val="auto"/>
                <w:kern w:val="0"/>
                <w:sz w:val="21"/>
                <w:szCs w:val="20"/>
                <w:highlight w:val="none"/>
                <w:lang w:val="en-US" w:eastAsia="zh-CN"/>
              </w:rPr>
            </w:pPr>
            <w:r>
              <w:rPr>
                <w:rFonts w:hint="eastAsia" w:cs="Times New Roman"/>
                <w:color w:val="auto"/>
                <w:kern w:val="0"/>
                <w:sz w:val="21"/>
                <w:szCs w:val="20"/>
                <w:highlight w:val="none"/>
                <w:lang w:val="en-US" w:eastAsia="zh-CN"/>
              </w:rPr>
              <w:t>50</w:t>
            </w:r>
          </w:p>
        </w:tc>
        <w:tc>
          <w:tcPr>
            <w:tcW w:w="1201" w:type="dxa"/>
            <w:noWrap w:val="0"/>
            <w:vAlign w:val="center"/>
          </w:tcPr>
          <w:p w14:paraId="52A797EF">
            <w:pPr>
              <w:jc w:val="center"/>
              <w:textAlignment w:val="center"/>
              <w:rPr>
                <w:rFonts w:hint="eastAsia" w:cs="Times New Roman"/>
                <w:color w:val="auto"/>
                <w:szCs w:val="21"/>
                <w:highlight w:val="none"/>
                <w:lang w:val="en-US" w:eastAsia="zh-CN"/>
              </w:rPr>
            </w:pPr>
            <w:r>
              <w:rPr>
                <w:rFonts w:hint="eastAsia" w:cs="Times New Roman"/>
                <w:color w:val="auto"/>
                <w:kern w:val="0"/>
                <w:sz w:val="21"/>
                <w:szCs w:val="20"/>
                <w:highlight w:val="none"/>
                <w:lang w:val="en-US" w:eastAsia="zh-CN"/>
              </w:rPr>
              <w:t>/</w:t>
            </w:r>
          </w:p>
        </w:tc>
        <w:tc>
          <w:tcPr>
            <w:tcW w:w="520" w:type="pct"/>
            <w:noWrap w:val="0"/>
            <w:vAlign w:val="center"/>
          </w:tcPr>
          <w:p w14:paraId="6CBE876C">
            <w:pPr>
              <w:jc w:val="center"/>
              <w:textAlignment w:val="center"/>
              <w:rPr>
                <w:rFonts w:hint="default" w:cs="Times New Roman"/>
                <w:color w:val="auto"/>
                <w:kern w:val="0"/>
                <w:sz w:val="21"/>
                <w:szCs w:val="20"/>
                <w:highlight w:val="none"/>
                <w:lang w:val="en-US" w:eastAsia="zh-CN"/>
              </w:rPr>
            </w:pPr>
            <w:r>
              <w:rPr>
                <w:rFonts w:hint="eastAsia" w:cs="Times New Roman"/>
                <w:color w:val="auto"/>
                <w:kern w:val="0"/>
                <w:sz w:val="21"/>
                <w:szCs w:val="20"/>
                <w:highlight w:val="none"/>
                <w:lang w:val="en-US" w:eastAsia="zh-CN"/>
              </w:rPr>
              <w:t>/</w:t>
            </w:r>
          </w:p>
        </w:tc>
      </w:tr>
      <w:tr w14:paraId="3A200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340" w:hRule="atLeast"/>
          <w:jc w:val="center"/>
        </w:trPr>
        <w:tc>
          <w:tcPr>
            <w:tcW w:w="1669" w:type="pct"/>
            <w:vMerge w:val="continue"/>
            <w:noWrap w:val="0"/>
            <w:vAlign w:val="center"/>
          </w:tcPr>
          <w:p w14:paraId="2724F997">
            <w:pPr>
              <w:jc w:val="center"/>
              <w:textAlignment w:val="center"/>
              <w:rPr>
                <w:rFonts w:cs="Times New Roman"/>
                <w:color w:val="auto"/>
                <w:kern w:val="0"/>
                <w:sz w:val="21"/>
                <w:szCs w:val="20"/>
                <w:highlight w:val="none"/>
              </w:rPr>
            </w:pPr>
          </w:p>
        </w:tc>
        <w:tc>
          <w:tcPr>
            <w:tcW w:w="496" w:type="pct"/>
            <w:vMerge w:val="continue"/>
            <w:noWrap w:val="0"/>
            <w:vAlign w:val="center"/>
          </w:tcPr>
          <w:p w14:paraId="4A3F15E2">
            <w:pPr>
              <w:jc w:val="center"/>
              <w:textAlignment w:val="center"/>
              <w:rPr>
                <w:rFonts w:cs="Times New Roman"/>
                <w:color w:val="auto"/>
                <w:kern w:val="0"/>
                <w:sz w:val="21"/>
                <w:szCs w:val="20"/>
                <w:highlight w:val="none"/>
              </w:rPr>
            </w:pPr>
          </w:p>
        </w:tc>
        <w:tc>
          <w:tcPr>
            <w:tcW w:w="700" w:type="pct"/>
            <w:noWrap w:val="0"/>
            <w:vAlign w:val="center"/>
          </w:tcPr>
          <w:p w14:paraId="21773151">
            <w:pPr>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基准含氧量</w:t>
            </w:r>
          </w:p>
        </w:tc>
        <w:tc>
          <w:tcPr>
            <w:tcW w:w="2133" w:type="pct"/>
            <w:gridSpan w:val="3"/>
            <w:noWrap w:val="0"/>
            <w:vAlign w:val="center"/>
          </w:tcPr>
          <w:p w14:paraId="3B49EAEE">
            <w:pPr>
              <w:jc w:val="center"/>
              <w:textAlignment w:val="center"/>
              <w:rPr>
                <w:rFonts w:hint="default" w:cs="Times New Roman"/>
                <w:color w:val="auto"/>
                <w:kern w:val="0"/>
                <w:sz w:val="21"/>
                <w:szCs w:val="20"/>
                <w:highlight w:val="none"/>
                <w:lang w:val="en-US" w:eastAsia="zh-CN"/>
              </w:rPr>
            </w:pPr>
            <w:r>
              <w:rPr>
                <w:rFonts w:hint="eastAsia" w:cs="Times New Roman"/>
                <w:color w:val="auto"/>
                <w:kern w:val="0"/>
                <w:sz w:val="21"/>
                <w:szCs w:val="20"/>
                <w:highlight w:val="none"/>
                <w:lang w:val="en-US" w:eastAsia="zh-CN"/>
              </w:rPr>
              <w:t>3%</w:t>
            </w:r>
          </w:p>
        </w:tc>
      </w:tr>
    </w:tbl>
    <w:p w14:paraId="4A929CF9">
      <w:pPr>
        <w:snapToGrid w:val="0"/>
        <w:spacing w:before="156" w:beforeLines="50"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厂界</w:t>
      </w:r>
      <w:r>
        <w:rPr>
          <w:rFonts w:hint="eastAsia" w:ascii="Times New Roman" w:hAnsi="Times New Roman" w:eastAsia="宋体"/>
          <w:color w:val="auto"/>
          <w:sz w:val="24"/>
          <w:szCs w:val="24"/>
          <w:highlight w:val="none"/>
          <w:lang w:val="en-US" w:eastAsia="zh-CN"/>
        </w:rPr>
        <w:t>颗粒物、非甲烷总烃</w:t>
      </w:r>
      <w:r>
        <w:rPr>
          <w:rFonts w:ascii="Times New Roman" w:hAnsi="Times New Roman" w:eastAsia="宋体"/>
          <w:color w:val="auto"/>
          <w:sz w:val="24"/>
          <w:szCs w:val="24"/>
          <w:highlight w:val="none"/>
        </w:rPr>
        <w:t>无组织大气污染物排放标准执行《大气污染物综合排放标准》（GB16297-1996）</w:t>
      </w:r>
      <w:r>
        <w:rPr>
          <w:rFonts w:hint="eastAsia" w:ascii="Times New Roman" w:hAnsi="Times New Roman" w:cs="Times New Roman"/>
          <w:color w:val="auto"/>
          <w:sz w:val="24"/>
          <w:highlight w:val="none"/>
          <w:lang w:val="en-US" w:eastAsia="zh-CN"/>
        </w:rPr>
        <w:t>，厂区内非甲烷总烃无组织排放执行《挥发性有机物无组织排放控制标准》（GB37822-2019）中表A.1标准值。</w:t>
      </w:r>
      <w:r>
        <w:rPr>
          <w:rFonts w:hint="eastAsia" w:ascii="Times New Roman" w:hAnsi="Times New Roman" w:eastAsia="宋体"/>
          <w:color w:val="auto"/>
          <w:sz w:val="24"/>
          <w:szCs w:val="24"/>
          <w:highlight w:val="none"/>
          <w:lang w:val="en-US" w:eastAsia="zh-CN"/>
        </w:rPr>
        <w:t>无组织排放标准</w:t>
      </w:r>
      <w:r>
        <w:rPr>
          <w:rFonts w:ascii="Times New Roman" w:hAnsi="Times New Roman" w:eastAsia="宋体"/>
          <w:color w:val="auto"/>
          <w:sz w:val="24"/>
          <w:szCs w:val="24"/>
          <w:highlight w:val="none"/>
        </w:rPr>
        <w:t>详见表2.3.2</w:t>
      </w:r>
      <w:r>
        <w:rPr>
          <w:rFonts w:hint="eastAsia" w:ascii="Times New Roman" w:hAnsi="Times New Roman" w:eastAsia="宋体"/>
          <w:color w:val="auto"/>
          <w:sz w:val="24"/>
          <w:szCs w:val="24"/>
          <w:highlight w:val="none"/>
        </w:rPr>
        <w:t>-</w:t>
      </w:r>
      <w:r>
        <w:rPr>
          <w:rFonts w:hint="eastAsia" w:ascii="Times New Roman" w:hAnsi="Times New Roman" w:eastAsia="宋体"/>
          <w:color w:val="auto"/>
          <w:sz w:val="24"/>
          <w:szCs w:val="24"/>
          <w:highlight w:val="none"/>
          <w:lang w:val="en-US" w:eastAsia="zh-CN"/>
        </w:rPr>
        <w:t>8</w:t>
      </w:r>
      <w:r>
        <w:rPr>
          <w:rFonts w:ascii="Times New Roman" w:hAnsi="Times New Roman" w:eastAsia="宋体"/>
          <w:color w:val="auto"/>
          <w:sz w:val="24"/>
          <w:szCs w:val="24"/>
          <w:highlight w:val="none"/>
        </w:rPr>
        <w:t>。</w:t>
      </w:r>
    </w:p>
    <w:p w14:paraId="187C6BEA">
      <w:pPr>
        <w:ind w:firstLine="482" w:firstLineChars="200"/>
        <w:jc w:val="center"/>
        <w:rPr>
          <w:rFonts w:hint="eastAsia" w:ascii="Times New Roman" w:hAnsi="Times New Roman" w:eastAsia="宋体"/>
          <w:b/>
          <w:color w:val="auto"/>
          <w:sz w:val="24"/>
          <w:szCs w:val="24"/>
          <w:highlight w:val="none"/>
          <w:vertAlign w:val="superscript"/>
          <w:lang w:eastAsia="zh-CN"/>
        </w:rPr>
      </w:pPr>
      <w:r>
        <w:rPr>
          <w:rFonts w:ascii="Times New Roman" w:hAnsi="Times New Roman" w:eastAsia="宋体"/>
          <w:b/>
          <w:color w:val="auto"/>
          <w:sz w:val="24"/>
          <w:szCs w:val="24"/>
          <w:highlight w:val="none"/>
        </w:rPr>
        <w:t>表2.3.2-</w:t>
      </w:r>
      <w:r>
        <w:rPr>
          <w:rFonts w:hint="eastAsia" w:ascii="Times New Roman" w:hAnsi="Times New Roman" w:eastAsia="宋体"/>
          <w:b/>
          <w:color w:val="auto"/>
          <w:sz w:val="24"/>
          <w:szCs w:val="24"/>
          <w:highlight w:val="none"/>
          <w:lang w:val="en-US" w:eastAsia="zh-CN"/>
        </w:rPr>
        <w:t xml:space="preserve">8  </w:t>
      </w:r>
      <w:r>
        <w:rPr>
          <w:rFonts w:ascii="Times New Roman" w:hAnsi="Times New Roman" w:eastAsia="宋体"/>
          <w:b/>
          <w:color w:val="auto"/>
          <w:sz w:val="24"/>
          <w:szCs w:val="24"/>
          <w:highlight w:val="none"/>
        </w:rPr>
        <w:t>无组织大气污染物排放标准</w:t>
      </w:r>
      <w:r>
        <w:rPr>
          <w:rFonts w:hint="eastAsia"/>
          <w:b/>
          <w:color w:val="auto"/>
          <w:sz w:val="24"/>
          <w:szCs w:val="24"/>
          <w:highlight w:val="none"/>
          <w:lang w:eastAsia="zh-CN"/>
        </w:rPr>
        <w:t>（</w:t>
      </w:r>
      <w:r>
        <w:rPr>
          <w:rFonts w:ascii="Times New Roman" w:hAnsi="Times New Roman" w:eastAsia="宋体"/>
          <w:b/>
          <w:color w:val="auto"/>
          <w:sz w:val="24"/>
          <w:szCs w:val="24"/>
          <w:highlight w:val="none"/>
        </w:rPr>
        <w:t>单位：mg/m</w:t>
      </w:r>
      <w:r>
        <w:rPr>
          <w:rFonts w:ascii="Times New Roman" w:hAnsi="Times New Roman" w:eastAsia="宋体"/>
          <w:b/>
          <w:color w:val="auto"/>
          <w:sz w:val="24"/>
          <w:szCs w:val="24"/>
          <w:highlight w:val="none"/>
          <w:vertAlign w:val="superscript"/>
        </w:rPr>
        <w:t>3</w:t>
      </w:r>
      <w:r>
        <w:rPr>
          <w:rFonts w:hint="eastAsia"/>
          <w:b/>
          <w:color w:val="auto"/>
          <w:sz w:val="24"/>
          <w:szCs w:val="24"/>
          <w:highlight w:val="none"/>
          <w:lang w:eastAsia="zh-CN"/>
        </w:rPr>
        <w:t>）</w:t>
      </w:r>
    </w:p>
    <w:tbl>
      <w:tblPr>
        <w:tblStyle w:val="49"/>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28" w:type="dxa"/>
          <w:bottom w:w="0" w:type="dxa"/>
          <w:right w:w="28" w:type="dxa"/>
        </w:tblCellMar>
      </w:tblPr>
      <w:tblGrid>
        <w:gridCol w:w="1320"/>
        <w:gridCol w:w="2736"/>
        <w:gridCol w:w="1037"/>
        <w:gridCol w:w="3266"/>
      </w:tblGrid>
      <w:tr w14:paraId="610FA8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69" w:hRule="exact"/>
          <w:jc w:val="center"/>
        </w:trPr>
        <w:tc>
          <w:tcPr>
            <w:tcW w:w="789" w:type="pct"/>
            <w:vMerge w:val="restart"/>
            <w:tcBorders>
              <w:tl2br w:val="nil"/>
              <w:tr2bl w:val="nil"/>
            </w:tcBorders>
            <w:noWrap w:val="0"/>
            <w:vAlign w:val="center"/>
          </w:tcPr>
          <w:p w14:paraId="08E93930">
            <w:pPr>
              <w:snapToGrid w:val="0"/>
              <w:jc w:val="center"/>
              <w:rPr>
                <w:rFonts w:ascii="Times New Roman" w:hAnsi="Times New Roman" w:eastAsia="宋体"/>
                <w:b/>
                <w:color w:val="auto"/>
                <w:szCs w:val="21"/>
                <w:highlight w:val="none"/>
              </w:rPr>
            </w:pPr>
            <w:bookmarkStart w:id="73" w:name="_Ref470525854"/>
            <w:r>
              <w:rPr>
                <w:rFonts w:ascii="Times New Roman" w:hAnsi="Times New Roman" w:eastAsia="宋体"/>
                <w:b/>
                <w:color w:val="auto"/>
                <w:kern w:val="0"/>
                <w:szCs w:val="21"/>
                <w:highlight w:val="none"/>
              </w:rPr>
              <w:t>污染物</w:t>
            </w:r>
          </w:p>
        </w:tc>
        <w:tc>
          <w:tcPr>
            <w:tcW w:w="2256" w:type="pct"/>
            <w:gridSpan w:val="2"/>
            <w:tcBorders>
              <w:tl2br w:val="nil"/>
              <w:tr2bl w:val="nil"/>
            </w:tcBorders>
            <w:noWrap w:val="0"/>
            <w:vAlign w:val="center"/>
          </w:tcPr>
          <w:p w14:paraId="3FCEBE8F">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无组织排放监控浓度限值</w:t>
            </w:r>
          </w:p>
        </w:tc>
        <w:tc>
          <w:tcPr>
            <w:tcW w:w="1953" w:type="pct"/>
            <w:vMerge w:val="restart"/>
            <w:tcBorders>
              <w:tl2br w:val="nil"/>
              <w:tr2bl w:val="nil"/>
            </w:tcBorders>
            <w:noWrap w:val="0"/>
            <w:vAlign w:val="center"/>
          </w:tcPr>
          <w:p w14:paraId="78615C43">
            <w:pPr>
              <w:autoSpaceDE w:val="0"/>
              <w:autoSpaceDN w:val="0"/>
              <w:adjustRightInd w:val="0"/>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依据</w:t>
            </w:r>
          </w:p>
        </w:tc>
      </w:tr>
      <w:tr w14:paraId="0B5E76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69" w:hRule="exact"/>
          <w:jc w:val="center"/>
        </w:trPr>
        <w:tc>
          <w:tcPr>
            <w:tcW w:w="789" w:type="pct"/>
            <w:vMerge w:val="continue"/>
            <w:tcBorders>
              <w:tl2br w:val="nil"/>
              <w:tr2bl w:val="nil"/>
            </w:tcBorders>
            <w:noWrap w:val="0"/>
            <w:vAlign w:val="center"/>
          </w:tcPr>
          <w:p w14:paraId="4A558E6B">
            <w:pPr>
              <w:snapToGrid w:val="0"/>
              <w:jc w:val="center"/>
              <w:rPr>
                <w:rFonts w:ascii="Times New Roman" w:hAnsi="Times New Roman" w:eastAsia="宋体"/>
                <w:b/>
                <w:color w:val="auto"/>
                <w:kern w:val="0"/>
                <w:szCs w:val="21"/>
                <w:highlight w:val="none"/>
              </w:rPr>
            </w:pPr>
          </w:p>
        </w:tc>
        <w:tc>
          <w:tcPr>
            <w:tcW w:w="1636" w:type="pct"/>
            <w:tcBorders>
              <w:tl2br w:val="nil"/>
              <w:tr2bl w:val="nil"/>
            </w:tcBorders>
            <w:noWrap w:val="0"/>
            <w:vAlign w:val="center"/>
          </w:tcPr>
          <w:p w14:paraId="4F55FBF8">
            <w:pPr>
              <w:autoSpaceDE w:val="0"/>
              <w:autoSpaceDN w:val="0"/>
              <w:adjustRightInd w:val="0"/>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监控点</w:t>
            </w:r>
          </w:p>
        </w:tc>
        <w:tc>
          <w:tcPr>
            <w:tcW w:w="620" w:type="pct"/>
            <w:tcBorders>
              <w:tl2br w:val="nil"/>
              <w:tr2bl w:val="nil"/>
            </w:tcBorders>
            <w:noWrap w:val="0"/>
            <w:vAlign w:val="center"/>
          </w:tcPr>
          <w:p w14:paraId="63DCB2F0">
            <w:pPr>
              <w:autoSpaceDE w:val="0"/>
              <w:autoSpaceDN w:val="0"/>
              <w:adjustRightInd w:val="0"/>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浓度</w:t>
            </w:r>
          </w:p>
        </w:tc>
        <w:tc>
          <w:tcPr>
            <w:tcW w:w="1953" w:type="pct"/>
            <w:vMerge w:val="continue"/>
            <w:tcBorders>
              <w:tl2br w:val="nil"/>
              <w:tr2bl w:val="nil"/>
            </w:tcBorders>
            <w:noWrap w:val="0"/>
            <w:vAlign w:val="center"/>
          </w:tcPr>
          <w:p w14:paraId="42C41A28">
            <w:pPr>
              <w:autoSpaceDE w:val="0"/>
              <w:autoSpaceDN w:val="0"/>
              <w:adjustRightInd w:val="0"/>
              <w:snapToGrid w:val="0"/>
              <w:jc w:val="center"/>
              <w:rPr>
                <w:rFonts w:ascii="Times New Roman" w:hAnsi="Times New Roman" w:eastAsia="宋体"/>
                <w:b/>
                <w:color w:val="auto"/>
                <w:kern w:val="0"/>
                <w:szCs w:val="21"/>
                <w:highlight w:val="none"/>
              </w:rPr>
            </w:pPr>
          </w:p>
        </w:tc>
      </w:tr>
      <w:tr w14:paraId="165C27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69" w:hRule="exact"/>
          <w:jc w:val="center"/>
        </w:trPr>
        <w:tc>
          <w:tcPr>
            <w:tcW w:w="789" w:type="pct"/>
            <w:tcBorders>
              <w:tl2br w:val="nil"/>
              <w:tr2bl w:val="nil"/>
            </w:tcBorders>
            <w:noWrap w:val="0"/>
            <w:vAlign w:val="center"/>
          </w:tcPr>
          <w:p w14:paraId="0C827C31">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颗粒物</w:t>
            </w:r>
          </w:p>
        </w:tc>
        <w:tc>
          <w:tcPr>
            <w:tcW w:w="1636" w:type="pct"/>
            <w:tcBorders>
              <w:tl2br w:val="nil"/>
              <w:tr2bl w:val="nil"/>
            </w:tcBorders>
            <w:noWrap w:val="0"/>
            <w:vAlign w:val="center"/>
          </w:tcPr>
          <w:p w14:paraId="6EE6BAB7">
            <w:pPr>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周界外浓度最高点</w:t>
            </w:r>
          </w:p>
        </w:tc>
        <w:tc>
          <w:tcPr>
            <w:tcW w:w="620" w:type="pct"/>
            <w:tcBorders>
              <w:tl2br w:val="nil"/>
              <w:tr2bl w:val="nil"/>
            </w:tcBorders>
            <w:noWrap w:val="0"/>
            <w:vAlign w:val="center"/>
          </w:tcPr>
          <w:p w14:paraId="08F4B60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1.0</w:t>
            </w:r>
          </w:p>
        </w:tc>
        <w:tc>
          <w:tcPr>
            <w:tcW w:w="1953" w:type="pct"/>
            <w:vMerge w:val="restart"/>
            <w:tcBorders>
              <w:tl2br w:val="nil"/>
              <w:tr2bl w:val="nil"/>
            </w:tcBorders>
            <w:noWrap w:val="0"/>
            <w:vAlign w:val="center"/>
          </w:tcPr>
          <w:p w14:paraId="594702A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《大气污染物综合排放标准》（GB16297-1996）</w:t>
            </w:r>
          </w:p>
        </w:tc>
      </w:tr>
      <w:tr w14:paraId="13C7A40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69" w:hRule="exact"/>
          <w:jc w:val="center"/>
        </w:trPr>
        <w:tc>
          <w:tcPr>
            <w:tcW w:w="789" w:type="pct"/>
            <w:tcBorders>
              <w:tl2br w:val="nil"/>
              <w:tr2bl w:val="nil"/>
            </w:tcBorders>
            <w:noWrap w:val="0"/>
            <w:vAlign w:val="center"/>
          </w:tcPr>
          <w:p w14:paraId="35E88944">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非甲烷总烃</w:t>
            </w:r>
          </w:p>
        </w:tc>
        <w:tc>
          <w:tcPr>
            <w:tcW w:w="1636" w:type="pct"/>
            <w:tcBorders>
              <w:tl2br w:val="nil"/>
              <w:tr2bl w:val="nil"/>
            </w:tcBorders>
            <w:noWrap w:val="0"/>
            <w:vAlign w:val="center"/>
          </w:tcPr>
          <w:p w14:paraId="184F0D7A">
            <w:pPr>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周界外浓度最高点</w:t>
            </w:r>
          </w:p>
        </w:tc>
        <w:tc>
          <w:tcPr>
            <w:tcW w:w="620" w:type="pct"/>
            <w:tcBorders>
              <w:tl2br w:val="nil"/>
              <w:tr2bl w:val="nil"/>
            </w:tcBorders>
            <w:noWrap w:val="0"/>
            <w:vAlign w:val="center"/>
          </w:tcPr>
          <w:p w14:paraId="5D6A44BC">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4.0</w:t>
            </w:r>
          </w:p>
        </w:tc>
        <w:tc>
          <w:tcPr>
            <w:tcW w:w="1953" w:type="pct"/>
            <w:vMerge w:val="continue"/>
            <w:tcBorders>
              <w:tl2br w:val="nil"/>
              <w:tr2bl w:val="nil"/>
            </w:tcBorders>
            <w:noWrap w:val="0"/>
            <w:vAlign w:val="center"/>
          </w:tcPr>
          <w:p w14:paraId="238E3F7A">
            <w:pPr>
              <w:snapToGrid w:val="0"/>
              <w:jc w:val="center"/>
              <w:rPr>
                <w:rFonts w:ascii="Times New Roman" w:hAnsi="Times New Roman" w:eastAsia="宋体"/>
                <w:color w:val="auto"/>
                <w:szCs w:val="21"/>
                <w:highlight w:val="none"/>
              </w:rPr>
            </w:pPr>
          </w:p>
        </w:tc>
      </w:tr>
      <w:tr w14:paraId="02F33A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69" w:hRule="exact"/>
          <w:jc w:val="center"/>
        </w:trPr>
        <w:tc>
          <w:tcPr>
            <w:tcW w:w="789" w:type="pct"/>
            <w:vMerge w:val="restart"/>
            <w:tcBorders>
              <w:tl2br w:val="nil"/>
              <w:tr2bl w:val="nil"/>
            </w:tcBorders>
            <w:noWrap w:val="0"/>
            <w:vAlign w:val="center"/>
          </w:tcPr>
          <w:p w14:paraId="68F95371">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非甲烷总烃</w:t>
            </w:r>
          </w:p>
        </w:tc>
        <w:tc>
          <w:tcPr>
            <w:tcW w:w="1636" w:type="pct"/>
            <w:tcBorders>
              <w:tl2br w:val="nil"/>
              <w:tr2bl w:val="nil"/>
            </w:tcBorders>
            <w:noWrap w:val="0"/>
            <w:vAlign w:val="center"/>
          </w:tcPr>
          <w:p w14:paraId="2CBDEE40">
            <w:pPr>
              <w:snapToGrid w:val="0"/>
              <w:jc w:val="center"/>
              <w:rPr>
                <w:rFonts w:ascii="Times New Roman" w:hAnsi="Times New Roman" w:eastAsia="宋体"/>
                <w:color w:val="auto"/>
                <w:kern w:val="0"/>
                <w:szCs w:val="21"/>
                <w:highlight w:val="none"/>
              </w:rPr>
            </w:pPr>
            <w:r>
              <w:rPr>
                <w:color w:val="auto"/>
                <w:highlight w:val="none"/>
              </w:rPr>
              <w:t>监控点处1h平均浓度值</w:t>
            </w:r>
          </w:p>
        </w:tc>
        <w:tc>
          <w:tcPr>
            <w:tcW w:w="620" w:type="pct"/>
            <w:tcBorders>
              <w:tl2br w:val="nil"/>
              <w:tr2bl w:val="nil"/>
            </w:tcBorders>
            <w:noWrap w:val="0"/>
            <w:vAlign w:val="center"/>
          </w:tcPr>
          <w:p w14:paraId="298AF64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6</w:t>
            </w:r>
          </w:p>
        </w:tc>
        <w:tc>
          <w:tcPr>
            <w:tcW w:w="1953" w:type="pct"/>
            <w:vMerge w:val="restart"/>
            <w:tcBorders>
              <w:tl2br w:val="nil"/>
              <w:tr2bl w:val="nil"/>
            </w:tcBorders>
            <w:noWrap w:val="0"/>
            <w:vAlign w:val="center"/>
          </w:tcPr>
          <w:p w14:paraId="20427B26">
            <w:pPr>
              <w:snapToGrid w:val="0"/>
              <w:jc w:val="center"/>
              <w:rPr>
                <w:rFonts w:ascii="Times New Roman" w:hAnsi="Times New Roman" w:eastAsia="宋体"/>
                <w:color w:val="auto"/>
                <w:szCs w:val="21"/>
                <w:highlight w:val="none"/>
              </w:rPr>
            </w:pPr>
            <w:r>
              <w:rPr>
                <w:rFonts w:hint="eastAsia" w:ascii="Times New Roman" w:hAnsi="Times New Roman" w:cs="Times New Roman"/>
                <w:color w:val="auto"/>
                <w:sz w:val="21"/>
                <w:szCs w:val="21"/>
                <w:highlight w:val="none"/>
                <w:lang w:val="en-US" w:eastAsia="zh-CN"/>
              </w:rPr>
              <w:t>《挥发性有机物无组织排放控制标准》（GB37822-2019）中表A.1</w:t>
            </w:r>
          </w:p>
        </w:tc>
      </w:tr>
      <w:tr w14:paraId="0A4F80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69" w:hRule="exact"/>
          <w:jc w:val="center"/>
        </w:trPr>
        <w:tc>
          <w:tcPr>
            <w:tcW w:w="789" w:type="pct"/>
            <w:vMerge w:val="continue"/>
            <w:tcBorders>
              <w:tl2br w:val="nil"/>
              <w:tr2bl w:val="nil"/>
            </w:tcBorders>
            <w:noWrap w:val="0"/>
            <w:vAlign w:val="center"/>
          </w:tcPr>
          <w:p w14:paraId="0795CFC5">
            <w:pPr>
              <w:snapToGrid w:val="0"/>
              <w:jc w:val="center"/>
              <w:rPr>
                <w:rFonts w:hint="eastAsia" w:ascii="Times New Roman" w:hAnsi="Times New Roman" w:eastAsia="宋体"/>
                <w:color w:val="auto"/>
                <w:szCs w:val="21"/>
                <w:highlight w:val="none"/>
                <w:lang w:val="en-US" w:eastAsia="zh-CN"/>
              </w:rPr>
            </w:pPr>
          </w:p>
        </w:tc>
        <w:tc>
          <w:tcPr>
            <w:tcW w:w="1636" w:type="pct"/>
            <w:tcBorders>
              <w:tl2br w:val="nil"/>
              <w:tr2bl w:val="nil"/>
            </w:tcBorders>
            <w:noWrap w:val="0"/>
            <w:vAlign w:val="center"/>
          </w:tcPr>
          <w:p w14:paraId="36B2FD12">
            <w:pPr>
              <w:snapToGrid w:val="0"/>
              <w:jc w:val="center"/>
              <w:rPr>
                <w:rFonts w:ascii="Times New Roman" w:hAnsi="Times New Roman" w:eastAsia="宋体"/>
                <w:color w:val="auto"/>
                <w:kern w:val="0"/>
                <w:szCs w:val="21"/>
                <w:highlight w:val="none"/>
              </w:rPr>
            </w:pPr>
            <w:r>
              <w:rPr>
                <w:color w:val="auto"/>
                <w:highlight w:val="none"/>
              </w:rPr>
              <w:t>监控点处任意一次浓度值</w:t>
            </w:r>
          </w:p>
        </w:tc>
        <w:tc>
          <w:tcPr>
            <w:tcW w:w="620" w:type="pct"/>
            <w:tcBorders>
              <w:tl2br w:val="nil"/>
              <w:tr2bl w:val="nil"/>
            </w:tcBorders>
            <w:noWrap w:val="0"/>
            <w:vAlign w:val="center"/>
          </w:tcPr>
          <w:p w14:paraId="18466566">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20</w:t>
            </w:r>
          </w:p>
        </w:tc>
        <w:tc>
          <w:tcPr>
            <w:tcW w:w="1953" w:type="pct"/>
            <w:vMerge w:val="continue"/>
            <w:tcBorders>
              <w:tl2br w:val="nil"/>
              <w:tr2bl w:val="nil"/>
            </w:tcBorders>
            <w:noWrap w:val="0"/>
            <w:vAlign w:val="center"/>
          </w:tcPr>
          <w:p w14:paraId="13D9BA0D">
            <w:pPr>
              <w:snapToGrid w:val="0"/>
              <w:jc w:val="center"/>
              <w:rPr>
                <w:rFonts w:ascii="Times New Roman" w:hAnsi="Times New Roman" w:eastAsia="宋体"/>
                <w:color w:val="auto"/>
                <w:szCs w:val="21"/>
                <w:highlight w:val="none"/>
              </w:rPr>
            </w:pPr>
          </w:p>
        </w:tc>
      </w:tr>
      <w:tr w14:paraId="2F72E9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69" w:hRule="exact"/>
          <w:jc w:val="center"/>
        </w:trPr>
        <w:tc>
          <w:tcPr>
            <w:tcW w:w="789" w:type="pct"/>
            <w:tcBorders>
              <w:tl2br w:val="nil"/>
              <w:tr2bl w:val="nil"/>
            </w:tcBorders>
            <w:noWrap w:val="0"/>
            <w:vAlign w:val="center"/>
          </w:tcPr>
          <w:p w14:paraId="63A63DC6">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硫化氢</w:t>
            </w:r>
          </w:p>
        </w:tc>
        <w:tc>
          <w:tcPr>
            <w:tcW w:w="1636" w:type="pct"/>
            <w:tcBorders>
              <w:tl2br w:val="nil"/>
              <w:tr2bl w:val="nil"/>
            </w:tcBorders>
            <w:noWrap w:val="0"/>
            <w:vAlign w:val="center"/>
          </w:tcPr>
          <w:p w14:paraId="6611CA90">
            <w:pPr>
              <w:snapToGrid w:val="0"/>
              <w:jc w:val="center"/>
              <w:rPr>
                <w:rFonts w:hint="eastAsia" w:eastAsia="宋体"/>
                <w:color w:val="auto"/>
                <w:highlight w:val="none"/>
                <w:lang w:val="en-US" w:eastAsia="zh-CN"/>
              </w:rPr>
            </w:pPr>
            <w:r>
              <w:rPr>
                <w:rFonts w:hint="eastAsia"/>
                <w:color w:val="auto"/>
                <w:highlight w:val="none"/>
                <w:lang w:val="en-US" w:eastAsia="zh-CN"/>
              </w:rPr>
              <w:t>厂界</w:t>
            </w:r>
          </w:p>
        </w:tc>
        <w:tc>
          <w:tcPr>
            <w:tcW w:w="620" w:type="pct"/>
            <w:tcBorders>
              <w:tl2br w:val="nil"/>
              <w:tr2bl w:val="nil"/>
            </w:tcBorders>
            <w:noWrap w:val="0"/>
            <w:vAlign w:val="center"/>
          </w:tcPr>
          <w:p w14:paraId="6024B870">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0.06</w:t>
            </w:r>
          </w:p>
        </w:tc>
        <w:tc>
          <w:tcPr>
            <w:tcW w:w="1953" w:type="pct"/>
            <w:vMerge w:val="restart"/>
            <w:tcBorders>
              <w:tl2br w:val="nil"/>
              <w:tr2bl w:val="nil"/>
            </w:tcBorders>
            <w:noWrap w:val="0"/>
            <w:vAlign w:val="center"/>
          </w:tcPr>
          <w:p w14:paraId="07939DE7">
            <w:pPr>
              <w:snapToGrid w:val="0"/>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恶臭污染物排放标准</w:t>
            </w:r>
            <w:r>
              <w:rPr>
                <w:rFonts w:hint="eastAsia" w:ascii="Times New Roman" w:hAnsi="Times New Roman" w:eastAsia="宋体"/>
                <w:color w:val="auto"/>
                <w:szCs w:val="21"/>
                <w:highlight w:val="none"/>
                <w:lang w:eastAsia="zh-CN"/>
              </w:rPr>
              <w:t>》（GB14554-93）</w:t>
            </w:r>
          </w:p>
        </w:tc>
      </w:tr>
      <w:tr w14:paraId="507B76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369" w:hRule="exact"/>
          <w:jc w:val="center"/>
        </w:trPr>
        <w:tc>
          <w:tcPr>
            <w:tcW w:w="789" w:type="pct"/>
            <w:tcBorders>
              <w:tl2br w:val="nil"/>
              <w:tr2bl w:val="nil"/>
            </w:tcBorders>
            <w:noWrap w:val="0"/>
            <w:vAlign w:val="center"/>
          </w:tcPr>
          <w:p w14:paraId="587029CE">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臭气浓度</w:t>
            </w:r>
          </w:p>
        </w:tc>
        <w:tc>
          <w:tcPr>
            <w:tcW w:w="1636" w:type="pct"/>
            <w:tcBorders>
              <w:tl2br w:val="nil"/>
              <w:tr2bl w:val="nil"/>
            </w:tcBorders>
            <w:noWrap w:val="0"/>
            <w:vAlign w:val="center"/>
          </w:tcPr>
          <w:p w14:paraId="61049B4D">
            <w:pPr>
              <w:snapToGrid w:val="0"/>
              <w:jc w:val="center"/>
              <w:rPr>
                <w:rFonts w:hint="eastAsia" w:eastAsia="宋体"/>
                <w:color w:val="auto"/>
                <w:highlight w:val="none"/>
                <w:lang w:val="en-US" w:eastAsia="zh-CN"/>
              </w:rPr>
            </w:pPr>
            <w:r>
              <w:rPr>
                <w:rFonts w:hint="eastAsia"/>
                <w:color w:val="auto"/>
                <w:highlight w:val="none"/>
                <w:lang w:val="en-US" w:eastAsia="zh-CN"/>
              </w:rPr>
              <w:t>厂界</w:t>
            </w:r>
          </w:p>
        </w:tc>
        <w:tc>
          <w:tcPr>
            <w:tcW w:w="620" w:type="pct"/>
            <w:tcBorders>
              <w:tl2br w:val="nil"/>
              <w:tr2bl w:val="nil"/>
            </w:tcBorders>
            <w:noWrap w:val="0"/>
            <w:vAlign w:val="center"/>
          </w:tcPr>
          <w:p w14:paraId="6BE720FC">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20</w:t>
            </w:r>
          </w:p>
        </w:tc>
        <w:tc>
          <w:tcPr>
            <w:tcW w:w="1953" w:type="pct"/>
            <w:vMerge w:val="continue"/>
            <w:tcBorders>
              <w:tl2br w:val="nil"/>
              <w:tr2bl w:val="nil"/>
            </w:tcBorders>
            <w:noWrap w:val="0"/>
            <w:vAlign w:val="center"/>
          </w:tcPr>
          <w:p w14:paraId="408F2EE0">
            <w:pPr>
              <w:snapToGrid w:val="0"/>
              <w:jc w:val="center"/>
              <w:rPr>
                <w:rFonts w:ascii="Times New Roman" w:hAnsi="Times New Roman" w:eastAsia="宋体"/>
                <w:color w:val="auto"/>
                <w:szCs w:val="21"/>
                <w:highlight w:val="none"/>
              </w:rPr>
            </w:pPr>
          </w:p>
        </w:tc>
      </w:tr>
      <w:bookmarkEnd w:id="73"/>
    </w:tbl>
    <w:p w14:paraId="1901ADB7">
      <w:pPr>
        <w:ind w:firstLine="482" w:firstLineChars="200"/>
        <w:jc w:val="center"/>
        <w:rPr>
          <w:rFonts w:ascii="Times New Roman" w:hAnsi="Times New Roman" w:eastAsia="宋体" w:cs="Times New Roman"/>
          <w:b/>
          <w:color w:val="auto"/>
          <w:sz w:val="24"/>
          <w:szCs w:val="24"/>
          <w:highlight w:val="none"/>
          <w:lang w:val="zh-CN"/>
        </w:rPr>
      </w:pPr>
      <w:r>
        <w:rPr>
          <w:rFonts w:ascii="Times New Roman" w:hAnsi="Times New Roman" w:eastAsia="宋体" w:cs="Times New Roman"/>
          <w:b/>
          <w:color w:val="auto"/>
          <w:sz w:val="24"/>
          <w:szCs w:val="24"/>
          <w:highlight w:val="none"/>
          <w:lang w:val="zh-CN"/>
        </w:rPr>
        <w:t>表</w:t>
      </w:r>
      <w:r>
        <w:rPr>
          <w:rFonts w:hint="eastAsia" w:ascii="Times New Roman" w:hAnsi="Times New Roman" w:eastAsia="宋体" w:cs="Times New Roman"/>
          <w:b/>
          <w:color w:val="auto"/>
          <w:sz w:val="24"/>
          <w:szCs w:val="24"/>
          <w:highlight w:val="none"/>
          <w:lang w:val="en-US" w:eastAsia="zh-CN"/>
        </w:rPr>
        <w:t>2.3.8-9</w:t>
      </w:r>
      <w:r>
        <w:rPr>
          <w:rFonts w:ascii="Times New Roman" w:hAnsi="Times New Roman" w:eastAsia="宋体" w:cs="Times New Roman"/>
          <w:b/>
          <w:color w:val="auto"/>
          <w:sz w:val="24"/>
          <w:szCs w:val="24"/>
          <w:highlight w:val="none"/>
          <w:lang w:val="zh-CN"/>
        </w:rPr>
        <w:t xml:space="preserve"> </w:t>
      </w:r>
      <w:r>
        <w:rPr>
          <w:rFonts w:hint="eastAsia" w:ascii="Times New Roman" w:hAnsi="Times New Roman" w:eastAsia="宋体" w:cs="Times New Roman"/>
          <w:b/>
          <w:color w:val="auto"/>
          <w:sz w:val="24"/>
          <w:szCs w:val="24"/>
          <w:highlight w:val="none"/>
          <w:lang w:val="en-US" w:eastAsia="zh-CN"/>
        </w:rPr>
        <w:t xml:space="preserve"> 厂区内</w:t>
      </w:r>
      <w:r>
        <w:rPr>
          <w:rFonts w:ascii="Times New Roman" w:hAnsi="Times New Roman" w:eastAsia="宋体" w:cs="Times New Roman"/>
          <w:b/>
          <w:color w:val="auto"/>
          <w:sz w:val="24"/>
          <w:szCs w:val="24"/>
          <w:highlight w:val="none"/>
          <w:lang w:val="zh-CN"/>
        </w:rPr>
        <w:t>无组织排放控制标准</w:t>
      </w:r>
      <w:r>
        <w:rPr>
          <w:rFonts w:hint="eastAsia" w:ascii="Times New Roman" w:hAnsi="Times New Roman" w:eastAsia="宋体" w:cs="Times New Roman"/>
          <w:b/>
          <w:color w:val="auto"/>
          <w:sz w:val="24"/>
          <w:szCs w:val="24"/>
          <w:highlight w:val="none"/>
          <w:lang w:val="zh-CN"/>
        </w:rPr>
        <w:t>（</w:t>
      </w:r>
      <w:r>
        <w:rPr>
          <w:rFonts w:ascii="Times New Roman" w:hAnsi="Times New Roman" w:eastAsia="宋体" w:cs="Times New Roman"/>
          <w:b/>
          <w:color w:val="auto"/>
          <w:sz w:val="24"/>
          <w:szCs w:val="24"/>
          <w:highlight w:val="none"/>
          <w:lang w:val="zh-CN"/>
        </w:rPr>
        <w:t>单位：mg/</w:t>
      </w:r>
      <w:r>
        <w:rPr>
          <w:rFonts w:hint="eastAsia" w:ascii="Times New Roman" w:hAnsi="Times New Roman" w:eastAsia="宋体" w:cs="Times New Roman"/>
          <w:b/>
          <w:color w:val="auto"/>
          <w:sz w:val="24"/>
          <w:szCs w:val="24"/>
          <w:highlight w:val="none"/>
          <w:lang w:val="en-US" w:eastAsia="zh-CN"/>
        </w:rPr>
        <w:t>m</w:t>
      </w:r>
      <w:r>
        <w:rPr>
          <w:rFonts w:hint="eastAsia" w:ascii="Times New Roman" w:hAnsi="Times New Roman" w:eastAsia="宋体" w:cs="Times New Roman"/>
          <w:b/>
          <w:color w:val="auto"/>
          <w:sz w:val="24"/>
          <w:szCs w:val="24"/>
          <w:highlight w:val="none"/>
          <w:vertAlign w:val="superscript"/>
          <w:lang w:val="en-US" w:eastAsia="zh-CN"/>
        </w:rPr>
        <w:t>3</w:t>
      </w:r>
      <w:r>
        <w:rPr>
          <w:rFonts w:hint="eastAsia" w:ascii="Times New Roman" w:hAnsi="Times New Roman" w:eastAsia="宋体" w:cs="Times New Roman"/>
          <w:b/>
          <w:color w:val="auto"/>
          <w:sz w:val="24"/>
          <w:szCs w:val="24"/>
          <w:highlight w:val="none"/>
          <w:lang w:val="zh-CN"/>
        </w:rPr>
        <w:t>）</w:t>
      </w:r>
    </w:p>
    <w:tbl>
      <w:tblPr>
        <w:tblStyle w:val="49"/>
        <w:tblW w:w="48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304"/>
        <w:gridCol w:w="1916"/>
        <w:gridCol w:w="2624"/>
        <w:gridCol w:w="2302"/>
      </w:tblGrid>
      <w:tr w14:paraId="57824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0" w:type="pct"/>
            <w:noWrap w:val="0"/>
            <w:vAlign w:val="center"/>
          </w:tcPr>
          <w:p w14:paraId="56D436EC">
            <w:pPr>
              <w:pStyle w:val="121"/>
              <w:bidi w:val="0"/>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污染物项目</w:t>
            </w:r>
          </w:p>
        </w:tc>
        <w:tc>
          <w:tcPr>
            <w:tcW w:w="1176" w:type="pct"/>
            <w:noWrap w:val="0"/>
            <w:vAlign w:val="center"/>
          </w:tcPr>
          <w:p w14:paraId="05947394">
            <w:pPr>
              <w:pStyle w:val="121"/>
              <w:bidi w:val="0"/>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特别排放限值</w:t>
            </w:r>
          </w:p>
        </w:tc>
        <w:tc>
          <w:tcPr>
            <w:tcW w:w="1610" w:type="pct"/>
            <w:noWrap w:val="0"/>
            <w:vAlign w:val="center"/>
          </w:tcPr>
          <w:p w14:paraId="5582DBD5">
            <w:pPr>
              <w:pStyle w:val="121"/>
              <w:bidi w:val="0"/>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限值含义</w:t>
            </w:r>
          </w:p>
        </w:tc>
        <w:tc>
          <w:tcPr>
            <w:tcW w:w="1412" w:type="pct"/>
            <w:noWrap w:val="0"/>
            <w:vAlign w:val="center"/>
          </w:tcPr>
          <w:p w14:paraId="7EAAE3B2">
            <w:pPr>
              <w:pStyle w:val="121"/>
              <w:bidi w:val="0"/>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无组织排放监控位置</w:t>
            </w:r>
          </w:p>
        </w:tc>
      </w:tr>
      <w:tr w14:paraId="64B17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0" w:type="pct"/>
            <w:vMerge w:val="restart"/>
            <w:noWrap w:val="0"/>
            <w:vAlign w:val="center"/>
          </w:tcPr>
          <w:p w14:paraId="62146FB9">
            <w:pPr>
              <w:snapToGrid w:val="0"/>
              <w:jc w:val="center"/>
              <w:rPr>
                <w:rFonts w:ascii="Times New Roman" w:hAnsi="Times New Roman" w:eastAsia="宋体" w:cs="Times New Roman"/>
                <w:color w:val="auto"/>
                <w:kern w:val="0"/>
                <w:szCs w:val="21"/>
                <w:highlight w:val="none"/>
              </w:rPr>
            </w:pPr>
            <w:r>
              <w:rPr>
                <w:rFonts w:hint="eastAsia" w:ascii="Times New Roman" w:hAnsi="Times New Roman" w:eastAsia="宋体" w:cs="Times New Roman"/>
                <w:color w:val="auto"/>
                <w:kern w:val="0"/>
                <w:szCs w:val="21"/>
                <w:highlight w:val="none"/>
              </w:rPr>
              <w:t>非甲烷总烃</w:t>
            </w:r>
          </w:p>
        </w:tc>
        <w:tc>
          <w:tcPr>
            <w:tcW w:w="1176" w:type="pct"/>
            <w:noWrap w:val="0"/>
            <w:vAlign w:val="center"/>
          </w:tcPr>
          <w:p w14:paraId="24D536EB">
            <w:pPr>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6</w:t>
            </w:r>
          </w:p>
        </w:tc>
        <w:tc>
          <w:tcPr>
            <w:tcW w:w="1610" w:type="pct"/>
            <w:noWrap w:val="0"/>
            <w:vAlign w:val="center"/>
          </w:tcPr>
          <w:p w14:paraId="56B35D69">
            <w:pPr>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监控点处1h平均浓度值</w:t>
            </w:r>
          </w:p>
        </w:tc>
        <w:tc>
          <w:tcPr>
            <w:tcW w:w="1412" w:type="pct"/>
            <w:vMerge w:val="restart"/>
            <w:noWrap w:val="0"/>
            <w:vAlign w:val="center"/>
          </w:tcPr>
          <w:p w14:paraId="185F499E">
            <w:pPr>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在厂房外设置监控点</w:t>
            </w:r>
          </w:p>
        </w:tc>
      </w:tr>
      <w:tr w14:paraId="00C26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jc w:val="center"/>
        </w:trPr>
        <w:tc>
          <w:tcPr>
            <w:tcW w:w="800" w:type="pct"/>
            <w:vMerge w:val="continue"/>
            <w:noWrap w:val="0"/>
            <w:vAlign w:val="center"/>
          </w:tcPr>
          <w:p w14:paraId="0B9A3FBA">
            <w:pPr>
              <w:pStyle w:val="121"/>
              <w:bidi w:val="0"/>
              <w:rPr>
                <w:color w:val="auto"/>
                <w:highlight w:val="none"/>
              </w:rPr>
            </w:pPr>
          </w:p>
        </w:tc>
        <w:tc>
          <w:tcPr>
            <w:tcW w:w="1176" w:type="pct"/>
            <w:noWrap w:val="0"/>
            <w:vAlign w:val="center"/>
          </w:tcPr>
          <w:p w14:paraId="7B7C6E8F">
            <w:pPr>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20</w:t>
            </w:r>
          </w:p>
        </w:tc>
        <w:tc>
          <w:tcPr>
            <w:tcW w:w="1610" w:type="pct"/>
            <w:noWrap w:val="0"/>
            <w:vAlign w:val="center"/>
          </w:tcPr>
          <w:p w14:paraId="3D429A89">
            <w:pPr>
              <w:snapToGrid w:val="0"/>
              <w:jc w:val="center"/>
              <w:rPr>
                <w:rFonts w:ascii="Times New Roman" w:hAnsi="Times New Roman" w:eastAsia="宋体" w:cs="Times New Roman"/>
                <w:color w:val="auto"/>
                <w:kern w:val="0"/>
                <w:szCs w:val="21"/>
                <w:highlight w:val="none"/>
              </w:rPr>
            </w:pPr>
            <w:r>
              <w:rPr>
                <w:rFonts w:ascii="Times New Roman" w:hAnsi="Times New Roman" w:eastAsia="宋体" w:cs="Times New Roman"/>
                <w:color w:val="auto"/>
                <w:kern w:val="0"/>
                <w:szCs w:val="21"/>
                <w:highlight w:val="none"/>
              </w:rPr>
              <w:t>监控点处任意一次浓度值</w:t>
            </w:r>
          </w:p>
        </w:tc>
        <w:tc>
          <w:tcPr>
            <w:tcW w:w="1412" w:type="pct"/>
            <w:vMerge w:val="continue"/>
            <w:noWrap w:val="0"/>
            <w:vAlign w:val="center"/>
          </w:tcPr>
          <w:p w14:paraId="405B4AD5">
            <w:pPr>
              <w:pStyle w:val="121"/>
              <w:bidi w:val="0"/>
              <w:rPr>
                <w:color w:val="auto"/>
                <w:highlight w:val="none"/>
              </w:rPr>
            </w:pPr>
          </w:p>
        </w:tc>
      </w:tr>
    </w:tbl>
    <w:p w14:paraId="5BBD2BCB">
      <w:pPr>
        <w:snapToGrid w:val="0"/>
        <w:spacing w:before="156" w:beforeLines="50"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lang w:val="en-US" w:eastAsia="zh-CN"/>
        </w:rPr>
        <w:t>油气回收系统液阻检测值、密闭</w:t>
      </w:r>
      <w:r>
        <w:rPr>
          <w:rFonts w:hint="eastAsia" w:ascii="Times New Roman" w:hAnsi="Times New Roman" w:eastAsia="宋体" w:cs="Times New Roman"/>
          <w:color w:val="auto"/>
          <w:sz w:val="24"/>
          <w:szCs w:val="24"/>
          <w:highlight w:val="none"/>
          <w:lang w:val="en-US" w:eastAsia="zh-CN"/>
        </w:rPr>
        <w:t>性压力检测值、气液比和油气泄漏检测值均执行</w:t>
      </w:r>
      <w:r>
        <w:rPr>
          <w:rFonts w:hint="eastAsia" w:ascii="Times New Roman" w:hAnsi="Times New Roman" w:eastAsia="宋体" w:cs="Times New Roman"/>
          <w:color w:val="auto"/>
          <w:sz w:val="24"/>
          <w:szCs w:val="24"/>
          <w:highlight w:val="none"/>
        </w:rPr>
        <w:t>《加油站大气污染物排放标准》</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GB20952-2020</w:t>
      </w:r>
      <w:r>
        <w:rPr>
          <w:rFonts w:hint="eastAsia" w:cs="Times New Roman"/>
          <w:color w:val="auto"/>
          <w:sz w:val="24"/>
          <w:szCs w:val="24"/>
          <w:highlight w:val="none"/>
          <w:lang w:eastAsia="zh-CN"/>
        </w:rPr>
        <w:t>）</w:t>
      </w:r>
      <w:r>
        <w:rPr>
          <w:rFonts w:ascii="Times New Roman" w:hAnsi="Times New Roman" w:eastAsia="宋体" w:cs="Times New Roman"/>
          <w:color w:val="auto"/>
          <w:sz w:val="24"/>
          <w:szCs w:val="24"/>
          <w:highlight w:val="none"/>
        </w:rPr>
        <w:t>。</w:t>
      </w:r>
    </w:p>
    <w:p w14:paraId="17988D5B">
      <w:pPr>
        <w:ind w:firstLine="482" w:firstLineChars="200"/>
        <w:jc w:val="center"/>
        <w:rPr>
          <w:rFonts w:ascii="Times New Roman" w:hAnsi="Times New Roman" w:eastAsia="宋体" w:cs="Times New Roman"/>
          <w:b/>
          <w:color w:val="auto"/>
          <w:sz w:val="24"/>
          <w:szCs w:val="24"/>
          <w:highlight w:val="none"/>
        </w:rPr>
      </w:pPr>
      <w:r>
        <w:rPr>
          <w:rFonts w:ascii="Times New Roman" w:hAnsi="Times New Roman" w:eastAsia="宋体" w:cs="Times New Roman"/>
          <w:b/>
          <w:color w:val="auto"/>
          <w:sz w:val="24"/>
          <w:szCs w:val="24"/>
          <w:highlight w:val="none"/>
        </w:rPr>
        <w:t>表</w:t>
      </w:r>
      <w:r>
        <w:rPr>
          <w:rFonts w:hint="eastAsia" w:ascii="Times New Roman" w:hAnsi="Times New Roman" w:eastAsia="宋体" w:cs="Times New Roman"/>
          <w:b/>
          <w:color w:val="auto"/>
          <w:sz w:val="24"/>
          <w:szCs w:val="24"/>
          <w:highlight w:val="none"/>
          <w:lang w:val="en-US" w:eastAsia="zh-CN"/>
        </w:rPr>
        <w:t>2.3.2-10</w:t>
      </w:r>
      <w:r>
        <w:rPr>
          <w:rFonts w:ascii="Times New Roman" w:hAnsi="Times New Roman" w:eastAsia="宋体" w:cs="Times New Roman"/>
          <w:b/>
          <w:color w:val="auto"/>
          <w:sz w:val="24"/>
          <w:szCs w:val="24"/>
          <w:highlight w:val="none"/>
        </w:rPr>
        <w:t xml:space="preserve">  《</w:t>
      </w:r>
      <w:r>
        <w:rPr>
          <w:rFonts w:hint="eastAsia" w:ascii="Times New Roman" w:hAnsi="Times New Roman" w:eastAsia="宋体" w:cs="Times New Roman"/>
          <w:b/>
          <w:color w:val="auto"/>
          <w:sz w:val="24"/>
          <w:szCs w:val="24"/>
          <w:highlight w:val="none"/>
        </w:rPr>
        <w:t>加油站大气污染物排放标准</w:t>
      </w:r>
      <w:r>
        <w:rPr>
          <w:rFonts w:ascii="Times New Roman" w:hAnsi="Times New Roman" w:eastAsia="宋体" w:cs="Times New Roman"/>
          <w:b/>
          <w:color w:val="auto"/>
          <w:sz w:val="24"/>
          <w:szCs w:val="24"/>
          <w:highlight w:val="none"/>
        </w:rPr>
        <w:t>》</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702"/>
        <w:gridCol w:w="2827"/>
        <w:gridCol w:w="2830"/>
      </w:tblGrid>
      <w:tr w14:paraId="07548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0" w:hRule="atLeast"/>
          <w:jc w:val="center"/>
        </w:trPr>
        <w:tc>
          <w:tcPr>
            <w:tcW w:w="1616" w:type="pct"/>
            <w:vMerge w:val="restart"/>
            <w:tcBorders>
              <w:tl2br w:val="nil"/>
              <w:tr2bl w:val="nil"/>
            </w:tcBorders>
            <w:noWrap w:val="0"/>
            <w:vAlign w:val="center"/>
          </w:tcPr>
          <w:p w14:paraId="2A4D94CE">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加油站油气回收管线液阻最大压力限值</w:t>
            </w:r>
          </w:p>
        </w:tc>
        <w:tc>
          <w:tcPr>
            <w:tcW w:w="1691" w:type="pct"/>
            <w:tcBorders>
              <w:tl2br w:val="nil"/>
              <w:tr2bl w:val="nil"/>
            </w:tcBorders>
            <w:noWrap w:val="0"/>
            <w:vAlign w:val="center"/>
          </w:tcPr>
          <w:p w14:paraId="3A6933FE">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通入氮气流量/（L/min）</w:t>
            </w:r>
          </w:p>
        </w:tc>
        <w:tc>
          <w:tcPr>
            <w:tcW w:w="1692" w:type="pct"/>
            <w:tcBorders>
              <w:tl2br w:val="nil"/>
              <w:tr2bl w:val="nil"/>
            </w:tcBorders>
            <w:noWrap w:val="0"/>
            <w:vAlign w:val="center"/>
          </w:tcPr>
          <w:p w14:paraId="131B11F7">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最大压力/Pa</w:t>
            </w:r>
          </w:p>
        </w:tc>
      </w:tr>
      <w:tr w14:paraId="286D2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0" w:hRule="atLeast"/>
          <w:jc w:val="center"/>
        </w:trPr>
        <w:tc>
          <w:tcPr>
            <w:tcW w:w="1616" w:type="pct"/>
            <w:vMerge w:val="continue"/>
            <w:tcBorders>
              <w:tl2br w:val="nil"/>
              <w:tr2bl w:val="nil"/>
            </w:tcBorders>
            <w:noWrap w:val="0"/>
            <w:vAlign w:val="center"/>
          </w:tcPr>
          <w:p w14:paraId="67AABBC9">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eastAsia" w:ascii="Times New Roman" w:eastAsia="宋体"/>
                <w:color w:val="auto"/>
                <w:sz w:val="21"/>
                <w:szCs w:val="21"/>
                <w:highlight w:val="none"/>
                <w:lang w:val="en-US" w:eastAsia="zh-CN"/>
              </w:rPr>
            </w:pPr>
          </w:p>
        </w:tc>
        <w:tc>
          <w:tcPr>
            <w:tcW w:w="1691" w:type="pct"/>
            <w:tcBorders>
              <w:tl2br w:val="nil"/>
              <w:tr2bl w:val="nil"/>
            </w:tcBorders>
            <w:noWrap w:val="0"/>
            <w:vAlign w:val="center"/>
          </w:tcPr>
          <w:p w14:paraId="10260BD6">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18</w:t>
            </w:r>
          </w:p>
        </w:tc>
        <w:tc>
          <w:tcPr>
            <w:tcW w:w="1692" w:type="pct"/>
            <w:tcBorders>
              <w:tl2br w:val="nil"/>
              <w:tr2bl w:val="nil"/>
            </w:tcBorders>
            <w:noWrap w:val="0"/>
            <w:vAlign w:val="center"/>
          </w:tcPr>
          <w:p w14:paraId="7F361FFA">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eastAsia"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40</w:t>
            </w:r>
          </w:p>
        </w:tc>
      </w:tr>
      <w:tr w14:paraId="6DD4B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0" w:hRule="atLeast"/>
          <w:jc w:val="center"/>
        </w:trPr>
        <w:tc>
          <w:tcPr>
            <w:tcW w:w="1616" w:type="pct"/>
            <w:vMerge w:val="continue"/>
            <w:tcBorders>
              <w:tl2br w:val="nil"/>
              <w:tr2bl w:val="nil"/>
            </w:tcBorders>
            <w:noWrap w:val="0"/>
            <w:vAlign w:val="center"/>
          </w:tcPr>
          <w:p w14:paraId="7AD4DA6D">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eastAsia" w:ascii="Times New Roman" w:eastAsia="宋体"/>
                <w:color w:val="auto"/>
                <w:sz w:val="21"/>
                <w:szCs w:val="21"/>
                <w:highlight w:val="none"/>
                <w:lang w:val="en-US" w:eastAsia="zh-CN"/>
              </w:rPr>
            </w:pPr>
          </w:p>
        </w:tc>
        <w:tc>
          <w:tcPr>
            <w:tcW w:w="1691" w:type="pct"/>
            <w:tcBorders>
              <w:tl2br w:val="nil"/>
              <w:tr2bl w:val="nil"/>
            </w:tcBorders>
            <w:noWrap w:val="0"/>
            <w:vAlign w:val="center"/>
          </w:tcPr>
          <w:p w14:paraId="15887CCB">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28</w:t>
            </w:r>
          </w:p>
        </w:tc>
        <w:tc>
          <w:tcPr>
            <w:tcW w:w="1692" w:type="pct"/>
            <w:tcBorders>
              <w:tl2br w:val="nil"/>
              <w:tr2bl w:val="nil"/>
            </w:tcBorders>
            <w:noWrap w:val="0"/>
            <w:vAlign w:val="center"/>
          </w:tcPr>
          <w:p w14:paraId="76458F93">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90</w:t>
            </w:r>
          </w:p>
        </w:tc>
      </w:tr>
      <w:tr w14:paraId="59854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0" w:hRule="atLeast"/>
          <w:jc w:val="center"/>
        </w:trPr>
        <w:tc>
          <w:tcPr>
            <w:tcW w:w="1616" w:type="pct"/>
            <w:vMerge w:val="continue"/>
            <w:tcBorders>
              <w:tl2br w:val="nil"/>
              <w:tr2bl w:val="nil"/>
            </w:tcBorders>
            <w:noWrap w:val="0"/>
            <w:vAlign w:val="center"/>
          </w:tcPr>
          <w:p w14:paraId="60AD0B0C">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eastAsia" w:ascii="Times New Roman"/>
                <w:color w:val="auto"/>
                <w:sz w:val="21"/>
                <w:szCs w:val="21"/>
                <w:highlight w:val="none"/>
                <w:lang w:val="en-US" w:eastAsia="zh-CN"/>
              </w:rPr>
            </w:pPr>
          </w:p>
        </w:tc>
        <w:tc>
          <w:tcPr>
            <w:tcW w:w="1691" w:type="pct"/>
            <w:tcBorders>
              <w:tl2br w:val="nil"/>
              <w:tr2bl w:val="nil"/>
            </w:tcBorders>
            <w:noWrap w:val="0"/>
            <w:vAlign w:val="center"/>
          </w:tcPr>
          <w:p w14:paraId="04A847FF">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38</w:t>
            </w:r>
          </w:p>
        </w:tc>
        <w:tc>
          <w:tcPr>
            <w:tcW w:w="1692" w:type="pct"/>
            <w:tcBorders>
              <w:tl2br w:val="nil"/>
              <w:tr2bl w:val="nil"/>
            </w:tcBorders>
            <w:noWrap w:val="0"/>
            <w:vAlign w:val="center"/>
          </w:tcPr>
          <w:p w14:paraId="7996C758">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center"/>
              <w:textAlignment w:val="auto"/>
              <w:rPr>
                <w:rFonts w:hint="default" w:ascii="Times New Roman" w:eastAsia="宋体"/>
                <w:color w:val="auto"/>
                <w:sz w:val="21"/>
                <w:szCs w:val="21"/>
                <w:highlight w:val="none"/>
                <w:lang w:val="en-US" w:eastAsia="zh-CN"/>
              </w:rPr>
            </w:pPr>
            <w:r>
              <w:rPr>
                <w:rFonts w:hint="eastAsia" w:ascii="Times New Roman" w:eastAsia="宋体"/>
                <w:color w:val="auto"/>
                <w:sz w:val="21"/>
                <w:szCs w:val="21"/>
                <w:highlight w:val="none"/>
                <w:lang w:val="en-US" w:eastAsia="zh-CN"/>
              </w:rPr>
              <w:t>155</w:t>
            </w:r>
          </w:p>
        </w:tc>
      </w:tr>
      <w:tr w14:paraId="6EB72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00" w:hRule="atLeast"/>
          <w:jc w:val="center"/>
        </w:trPr>
        <w:tc>
          <w:tcPr>
            <w:tcW w:w="5000" w:type="pct"/>
            <w:gridSpan w:val="3"/>
            <w:tcBorders>
              <w:tl2br w:val="nil"/>
              <w:tr2bl w:val="nil"/>
            </w:tcBorders>
            <w:noWrap w:val="0"/>
            <w:vAlign w:val="center"/>
          </w:tcPr>
          <w:p w14:paraId="6DBE86A6">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420" w:firstLineChars="200"/>
              <w:jc w:val="both"/>
              <w:textAlignment w:val="auto"/>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汽油油气回收系统的气液比应在1.0~1.2范围内；油气回收系统密闭点位，油气泄漏</w:t>
            </w:r>
          </w:p>
          <w:p w14:paraId="7867D9CA">
            <w:pPr>
              <w:pStyle w:val="18"/>
              <w:keepNext w:val="0"/>
              <w:keepLines w:val="0"/>
              <w:pageBreakBefore w:val="0"/>
              <w:widowControl/>
              <w:kinsoku/>
              <w:wordWrap/>
              <w:overflowPunct/>
              <w:topLinePunct w:val="0"/>
              <w:autoSpaceDE/>
              <w:autoSpaceDN/>
              <w:bidi w:val="0"/>
              <w:adjustRightInd w:val="0"/>
              <w:snapToGrid w:val="0"/>
              <w:spacing w:before="0" w:after="0" w:line="240" w:lineRule="auto"/>
              <w:ind w:right="0" w:firstLine="0"/>
              <w:jc w:val="both"/>
              <w:textAlignment w:val="auto"/>
              <w:rPr>
                <w:rFonts w:hint="eastAsia" w:ascii="Times New Roman"/>
                <w:color w:val="auto"/>
                <w:sz w:val="21"/>
                <w:szCs w:val="21"/>
                <w:highlight w:val="none"/>
                <w:lang w:val="en-US" w:eastAsia="zh-CN"/>
              </w:rPr>
            </w:pPr>
            <w:r>
              <w:rPr>
                <w:rFonts w:hint="eastAsia" w:ascii="Times New Roman"/>
                <w:color w:val="auto"/>
                <w:sz w:val="21"/>
                <w:szCs w:val="21"/>
                <w:highlight w:val="none"/>
                <w:lang w:val="en-US" w:eastAsia="zh-CN"/>
              </w:rPr>
              <w:t>检测值应小于等于500μmol/moL。</w:t>
            </w:r>
          </w:p>
        </w:tc>
      </w:tr>
    </w:tbl>
    <w:p w14:paraId="586541A1">
      <w:pPr>
        <w:pStyle w:val="107"/>
        <w:spacing w:before="156" w:beforeLines="50"/>
        <w:rPr>
          <w:color w:val="auto"/>
          <w:highlight w:val="none"/>
        </w:rPr>
      </w:pPr>
      <w:r>
        <w:rPr>
          <w:color w:val="auto"/>
          <w:highlight w:val="none"/>
        </w:rPr>
        <w:t>2、废水</w:t>
      </w:r>
    </w:p>
    <w:p w14:paraId="3472E5E4">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本项目废水经分类收集处理后经园区污水管网收集后进入田家庵区污水处理站处理后达标排放。</w:t>
      </w:r>
    </w:p>
    <w:p w14:paraId="59501A79">
      <w:pPr>
        <w:wordWrap w:val="0"/>
        <w:spacing w:line="360" w:lineRule="auto"/>
        <w:ind w:firstLine="480" w:firstLineChars="200"/>
        <w:jc w:val="left"/>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污水排放执行</w:t>
      </w:r>
      <w:r>
        <w:rPr>
          <w:rFonts w:hint="eastAsia" w:ascii="Times New Roman" w:hAnsi="Times New Roman" w:eastAsia="宋体" w:cs="Times New Roman"/>
          <w:color w:val="auto"/>
          <w:sz w:val="24"/>
          <w:szCs w:val="24"/>
          <w:highlight w:val="none"/>
          <w:lang w:val="en-US" w:eastAsia="zh-CN"/>
        </w:rPr>
        <w:t>《石油化学工业污染物排放标准》（GB31571-2015，含2024年修改单）</w:t>
      </w:r>
      <w:r>
        <w:rPr>
          <w:rFonts w:hint="eastAsia" w:ascii="Times New Roman" w:hAnsi="Times New Roman" w:eastAsia="宋体" w:cs="Times New Roman"/>
          <w:color w:val="auto"/>
          <w:sz w:val="24"/>
          <w:szCs w:val="24"/>
          <w:highlight w:val="none"/>
        </w:rPr>
        <w:t>和</w:t>
      </w:r>
      <w:r>
        <w:rPr>
          <w:rFonts w:ascii="Times New Roman" w:hAnsi="Times New Roman" w:eastAsia="宋体" w:cs="Times New Roman"/>
          <w:color w:val="auto"/>
          <w:sz w:val="24"/>
          <w:szCs w:val="24"/>
          <w:highlight w:val="none"/>
        </w:rPr>
        <w:t>园区污水处理厂</w:t>
      </w:r>
      <w:r>
        <w:rPr>
          <w:rFonts w:hint="eastAsia" w:ascii="Times New Roman" w:hAnsi="Times New Roman" w:eastAsia="宋体" w:cs="Times New Roman"/>
          <w:color w:val="auto"/>
          <w:sz w:val="24"/>
          <w:szCs w:val="24"/>
          <w:highlight w:val="none"/>
        </w:rPr>
        <w:t>接管标准</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LAS执行</w:t>
      </w:r>
      <w:r>
        <w:rPr>
          <w:rFonts w:hint="default" w:ascii="Times New Roman" w:hAnsi="Times New Roman" w:eastAsia="宋体" w:cs="Times New Roman"/>
          <w:strike w:val="0"/>
          <w:color w:val="auto"/>
          <w:sz w:val="24"/>
          <w:szCs w:val="24"/>
          <w:highlight w:val="none"/>
          <w:lang w:val="en-US" w:eastAsia="zh-CN"/>
        </w:rPr>
        <w:t>《污水综合排放标准》（GB8978-1996）表4中三级标准</w:t>
      </w:r>
      <w:r>
        <w:rPr>
          <w:rFonts w:hint="eastAsia" w:ascii="Times New Roman" w:hAnsi="Times New Roman" w:eastAsia="宋体" w:cs="Times New Roman"/>
          <w:color w:val="auto"/>
          <w:sz w:val="24"/>
          <w:szCs w:val="24"/>
          <w:highlight w:val="none"/>
        </w:rPr>
        <w:t>。污水处理厂尾水执行《城镇污水处理厂污染物排放标准》（GB18918-2002）中的一级A标准，尾水</w:t>
      </w:r>
      <w:r>
        <w:rPr>
          <w:rFonts w:ascii="Times New Roman" w:hAnsi="Times New Roman" w:eastAsia="宋体" w:cs="Times New Roman"/>
          <w:color w:val="auto"/>
          <w:sz w:val="24"/>
          <w:szCs w:val="24"/>
          <w:highlight w:val="none"/>
        </w:rPr>
        <w:t>排入林桥涧沟，最终汇入瓦埠湖。</w:t>
      </w:r>
    </w:p>
    <w:p w14:paraId="08789226">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1"/>
          <w:highlight w:val="none"/>
          <w:lang w:val="en-US" w:eastAsia="zh-CN" w:bidi="ar-SA"/>
        </w:rPr>
      </w:pPr>
      <w:r>
        <w:rPr>
          <w:rFonts w:hint="eastAsia" w:ascii="Times New Roman" w:hAnsi="Times New Roman" w:eastAsia="宋体" w:cs="Times New Roman"/>
          <w:b/>
          <w:bCs/>
          <w:color w:val="auto"/>
          <w:kern w:val="2"/>
          <w:sz w:val="24"/>
          <w:szCs w:val="21"/>
          <w:highlight w:val="none"/>
          <w:lang w:val="en-US" w:eastAsia="zh-CN" w:bidi="ar-SA"/>
        </w:rPr>
        <w:t>表2.3.2-11  废水污染物排放标准</w:t>
      </w:r>
      <w:r>
        <w:rPr>
          <w:rFonts w:hint="eastAsia" w:cs="Times New Roman"/>
          <w:b/>
          <w:bCs/>
          <w:color w:val="auto"/>
          <w:kern w:val="2"/>
          <w:sz w:val="24"/>
          <w:szCs w:val="21"/>
          <w:highlight w:val="none"/>
          <w:lang w:val="en-US" w:eastAsia="zh-CN" w:bidi="ar-SA"/>
        </w:rPr>
        <w:t>（单位：</w:t>
      </w:r>
      <w:r>
        <w:rPr>
          <w:rFonts w:hint="eastAsia" w:ascii="Times New Roman" w:hAnsi="Times New Roman" w:eastAsia="宋体" w:cs="Times New Roman"/>
          <w:b/>
          <w:bCs/>
          <w:color w:val="auto"/>
          <w:kern w:val="2"/>
          <w:sz w:val="24"/>
          <w:szCs w:val="21"/>
          <w:highlight w:val="none"/>
          <w:lang w:val="en-US" w:eastAsia="zh-CN" w:bidi="ar-SA"/>
        </w:rPr>
        <w:t>mg/L</w:t>
      </w:r>
      <w:r>
        <w:rPr>
          <w:rFonts w:hint="eastAsia" w:cs="Times New Roman"/>
          <w:b/>
          <w:bCs/>
          <w:color w:val="auto"/>
          <w:kern w:val="2"/>
          <w:sz w:val="24"/>
          <w:szCs w:val="21"/>
          <w:highlight w:val="none"/>
          <w:lang w:val="en-US" w:eastAsia="zh-CN" w:bidi="ar-SA"/>
        </w:rPr>
        <w:t>，pH：无量纲）</w:t>
      </w:r>
    </w:p>
    <w:tbl>
      <w:tblPr>
        <w:tblStyle w:val="49"/>
        <w:tblW w:w="59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11"/>
        <w:gridCol w:w="675"/>
        <w:gridCol w:w="1031"/>
        <w:gridCol w:w="854"/>
        <w:gridCol w:w="850"/>
        <w:gridCol w:w="676"/>
        <w:gridCol w:w="676"/>
        <w:gridCol w:w="676"/>
        <w:gridCol w:w="765"/>
        <w:gridCol w:w="1017"/>
      </w:tblGrid>
      <w:tr w14:paraId="20C70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28" w:type="pct"/>
            <w:noWrap/>
            <w:vAlign w:val="center"/>
          </w:tcPr>
          <w:p w14:paraId="27E8B9F2">
            <w:pPr>
              <w:widowControl w:val="0"/>
              <w:wordWrap w:val="0"/>
              <w:snapToGrid w:val="0"/>
              <w:spacing w:before="31" w:beforeLines="10" w:after="31" w:afterLines="10" w:line="240" w:lineRule="auto"/>
              <w:ind w:left="21" w:leftChars="10" w:right="21" w:rightChars="10" w:firstLine="0" w:firstLineChars="0"/>
              <w:jc w:val="center"/>
              <w:textAlignment w:val="bottom"/>
              <w:rPr>
                <w:rFonts w:ascii="Times New Roman" w:hAnsi="Times New Roman" w:eastAsia="宋体" w:cs="Times New Roman"/>
                <w:b/>
                <w:bCs/>
                <w:color w:val="auto"/>
                <w:spacing w:val="-2"/>
                <w:kern w:val="2"/>
                <w:sz w:val="21"/>
                <w:szCs w:val="18"/>
                <w:highlight w:val="none"/>
                <w:lang w:val="en-US" w:eastAsia="zh-CN" w:bidi="ar-SA"/>
              </w:rPr>
            </w:pPr>
            <w:r>
              <w:rPr>
                <w:rFonts w:ascii="Times New Roman" w:hAnsi="Times New Roman" w:eastAsia="宋体" w:cs="Times New Roman"/>
                <w:b/>
                <w:bCs/>
                <w:color w:val="auto"/>
                <w:spacing w:val="-2"/>
                <w:kern w:val="2"/>
                <w:sz w:val="21"/>
                <w:szCs w:val="18"/>
                <w:highlight w:val="none"/>
                <w:lang w:val="en-US" w:eastAsia="zh-CN" w:bidi="ar-SA"/>
              </w:rPr>
              <w:t>水质指标</w:t>
            </w:r>
          </w:p>
        </w:tc>
        <w:tc>
          <w:tcPr>
            <w:tcW w:w="343" w:type="pct"/>
            <w:noWrap/>
            <w:vAlign w:val="center"/>
          </w:tcPr>
          <w:p w14:paraId="3BFDEC8A">
            <w:pPr>
              <w:widowControl w:val="0"/>
              <w:wordWrap w:val="0"/>
              <w:snapToGrid w:val="0"/>
              <w:spacing w:before="31" w:beforeLines="10" w:after="31" w:afterLines="10" w:line="240" w:lineRule="auto"/>
              <w:ind w:left="21" w:leftChars="10" w:right="21" w:rightChars="10" w:firstLine="0" w:firstLineChars="0"/>
              <w:jc w:val="center"/>
              <w:textAlignment w:val="bottom"/>
              <w:rPr>
                <w:rFonts w:ascii="Times New Roman" w:hAnsi="Times New Roman" w:eastAsia="宋体" w:cs="Times New Roman"/>
                <w:b/>
                <w:bCs/>
                <w:color w:val="auto"/>
                <w:spacing w:val="-2"/>
                <w:kern w:val="2"/>
                <w:sz w:val="21"/>
                <w:szCs w:val="18"/>
                <w:highlight w:val="none"/>
                <w:lang w:val="en-US" w:eastAsia="zh-CN" w:bidi="ar-SA"/>
              </w:rPr>
            </w:pPr>
            <w:r>
              <w:rPr>
                <w:rFonts w:ascii="Times New Roman" w:hAnsi="Times New Roman" w:eastAsia="宋体" w:cs="Times New Roman"/>
                <w:b/>
                <w:bCs/>
                <w:color w:val="auto"/>
                <w:spacing w:val="-2"/>
                <w:kern w:val="2"/>
                <w:sz w:val="21"/>
                <w:szCs w:val="18"/>
                <w:highlight w:val="none"/>
                <w:lang w:val="en-US" w:eastAsia="zh-CN" w:bidi="ar-SA"/>
              </w:rPr>
              <w:t>pH</w:t>
            </w:r>
          </w:p>
        </w:tc>
        <w:tc>
          <w:tcPr>
            <w:tcW w:w="524" w:type="pct"/>
            <w:noWrap/>
            <w:vAlign w:val="center"/>
          </w:tcPr>
          <w:p w14:paraId="165256FF">
            <w:pPr>
              <w:widowControl w:val="0"/>
              <w:wordWrap w:val="0"/>
              <w:snapToGrid w:val="0"/>
              <w:spacing w:before="31" w:beforeLines="10" w:after="31" w:afterLines="10" w:line="240" w:lineRule="auto"/>
              <w:ind w:left="21" w:leftChars="10" w:right="21" w:rightChars="10" w:firstLine="0" w:firstLineChars="0"/>
              <w:jc w:val="center"/>
              <w:textAlignment w:val="bottom"/>
              <w:rPr>
                <w:rFonts w:ascii="Times New Roman" w:hAnsi="Times New Roman" w:eastAsia="宋体" w:cs="Times New Roman"/>
                <w:b/>
                <w:bCs/>
                <w:color w:val="auto"/>
                <w:spacing w:val="-2"/>
                <w:kern w:val="2"/>
                <w:sz w:val="21"/>
                <w:szCs w:val="18"/>
                <w:highlight w:val="none"/>
                <w:lang w:val="en-US" w:eastAsia="zh-CN" w:bidi="ar-SA"/>
              </w:rPr>
            </w:pPr>
            <w:r>
              <w:rPr>
                <w:rFonts w:ascii="Times New Roman" w:hAnsi="Times New Roman" w:eastAsia="宋体" w:cs="Times New Roman"/>
                <w:b/>
                <w:bCs/>
                <w:color w:val="auto"/>
                <w:spacing w:val="-2"/>
                <w:kern w:val="2"/>
                <w:sz w:val="21"/>
                <w:szCs w:val="18"/>
                <w:highlight w:val="none"/>
                <w:lang w:val="en-US" w:eastAsia="zh-CN" w:bidi="ar-SA"/>
              </w:rPr>
              <w:t>COD</w:t>
            </w:r>
          </w:p>
        </w:tc>
        <w:tc>
          <w:tcPr>
            <w:tcW w:w="433" w:type="pct"/>
            <w:noWrap/>
            <w:vAlign w:val="center"/>
          </w:tcPr>
          <w:p w14:paraId="15855665">
            <w:pPr>
              <w:widowControl w:val="0"/>
              <w:wordWrap w:val="0"/>
              <w:snapToGrid w:val="0"/>
              <w:spacing w:before="31" w:beforeLines="10" w:after="31" w:afterLines="10" w:line="240" w:lineRule="auto"/>
              <w:ind w:left="21" w:leftChars="10" w:right="21" w:rightChars="10" w:firstLine="0" w:firstLineChars="0"/>
              <w:jc w:val="center"/>
              <w:textAlignment w:val="bottom"/>
              <w:rPr>
                <w:rFonts w:ascii="Times New Roman" w:hAnsi="Times New Roman" w:eastAsia="宋体" w:cs="Times New Roman"/>
                <w:b/>
                <w:bCs/>
                <w:color w:val="auto"/>
                <w:spacing w:val="-2"/>
                <w:kern w:val="2"/>
                <w:sz w:val="21"/>
                <w:szCs w:val="18"/>
                <w:highlight w:val="none"/>
                <w:lang w:val="en-US" w:eastAsia="zh-CN" w:bidi="ar-SA"/>
              </w:rPr>
            </w:pPr>
            <w:r>
              <w:rPr>
                <w:rFonts w:ascii="Times New Roman" w:hAnsi="Times New Roman" w:eastAsia="宋体" w:cs="Times New Roman"/>
                <w:b/>
                <w:bCs/>
                <w:color w:val="auto"/>
                <w:spacing w:val="-2"/>
                <w:kern w:val="2"/>
                <w:sz w:val="21"/>
                <w:szCs w:val="18"/>
                <w:highlight w:val="none"/>
                <w:lang w:val="en-US" w:eastAsia="zh-CN" w:bidi="ar-SA"/>
              </w:rPr>
              <w:t>BOD</w:t>
            </w:r>
            <w:r>
              <w:rPr>
                <w:rFonts w:ascii="Times New Roman" w:hAnsi="Times New Roman" w:eastAsia="宋体" w:cs="Times New Roman"/>
                <w:b/>
                <w:bCs/>
                <w:color w:val="auto"/>
                <w:spacing w:val="-2"/>
                <w:kern w:val="2"/>
                <w:sz w:val="21"/>
                <w:szCs w:val="18"/>
                <w:highlight w:val="none"/>
                <w:vertAlign w:val="subscript"/>
                <w:lang w:val="en-US" w:eastAsia="zh-CN" w:bidi="ar-SA"/>
              </w:rPr>
              <w:t>5</w:t>
            </w:r>
          </w:p>
        </w:tc>
        <w:tc>
          <w:tcPr>
            <w:tcW w:w="432" w:type="pct"/>
            <w:noWrap/>
            <w:vAlign w:val="center"/>
          </w:tcPr>
          <w:p w14:paraId="51B7866E">
            <w:pPr>
              <w:widowControl w:val="0"/>
              <w:wordWrap w:val="0"/>
              <w:snapToGrid w:val="0"/>
              <w:spacing w:before="31" w:beforeLines="10" w:after="31" w:afterLines="10" w:line="240" w:lineRule="auto"/>
              <w:ind w:left="21" w:leftChars="10" w:right="21" w:rightChars="10" w:firstLine="0" w:firstLineChars="0"/>
              <w:jc w:val="center"/>
              <w:textAlignment w:val="bottom"/>
              <w:rPr>
                <w:rFonts w:ascii="Times New Roman" w:hAnsi="Times New Roman" w:eastAsia="宋体" w:cs="Times New Roman"/>
                <w:b/>
                <w:bCs/>
                <w:color w:val="auto"/>
                <w:spacing w:val="-2"/>
                <w:kern w:val="2"/>
                <w:sz w:val="21"/>
                <w:szCs w:val="18"/>
                <w:highlight w:val="none"/>
                <w:lang w:val="en-US" w:eastAsia="zh-CN" w:bidi="ar-SA"/>
              </w:rPr>
            </w:pPr>
            <w:r>
              <w:rPr>
                <w:rFonts w:ascii="Times New Roman" w:hAnsi="Times New Roman" w:eastAsia="宋体" w:cs="Times New Roman"/>
                <w:b/>
                <w:bCs/>
                <w:color w:val="auto"/>
                <w:spacing w:val="-2"/>
                <w:kern w:val="2"/>
                <w:sz w:val="21"/>
                <w:szCs w:val="18"/>
                <w:highlight w:val="none"/>
                <w:lang w:val="en-US" w:eastAsia="zh-CN" w:bidi="ar-SA"/>
              </w:rPr>
              <w:t>NH</w:t>
            </w:r>
            <w:r>
              <w:rPr>
                <w:rFonts w:ascii="Times New Roman" w:hAnsi="Times New Roman" w:eastAsia="宋体" w:cs="Times New Roman"/>
                <w:b/>
                <w:bCs/>
                <w:color w:val="auto"/>
                <w:spacing w:val="-2"/>
                <w:kern w:val="2"/>
                <w:sz w:val="21"/>
                <w:szCs w:val="18"/>
                <w:highlight w:val="none"/>
                <w:vertAlign w:val="subscript"/>
                <w:lang w:val="en-US" w:eastAsia="zh-CN" w:bidi="ar-SA"/>
              </w:rPr>
              <w:t>3</w:t>
            </w:r>
            <w:r>
              <w:rPr>
                <w:rFonts w:ascii="Times New Roman" w:hAnsi="Times New Roman" w:eastAsia="宋体" w:cs="Times New Roman"/>
                <w:b/>
                <w:bCs/>
                <w:color w:val="auto"/>
                <w:spacing w:val="-2"/>
                <w:kern w:val="2"/>
                <w:sz w:val="21"/>
                <w:szCs w:val="18"/>
                <w:highlight w:val="none"/>
                <w:lang w:val="en-US" w:eastAsia="zh-CN" w:bidi="ar-SA"/>
              </w:rPr>
              <w:t>-N</w:t>
            </w:r>
          </w:p>
        </w:tc>
        <w:tc>
          <w:tcPr>
            <w:tcW w:w="343" w:type="pct"/>
            <w:noWrap/>
            <w:vAlign w:val="center"/>
          </w:tcPr>
          <w:p w14:paraId="27A65496">
            <w:pPr>
              <w:widowControl w:val="0"/>
              <w:wordWrap w:val="0"/>
              <w:snapToGrid w:val="0"/>
              <w:spacing w:before="31" w:beforeLines="10" w:after="31" w:afterLines="10" w:line="240" w:lineRule="auto"/>
              <w:ind w:left="21" w:leftChars="10" w:right="21" w:rightChars="10" w:firstLine="0" w:firstLineChars="0"/>
              <w:jc w:val="center"/>
              <w:textAlignment w:val="bottom"/>
              <w:rPr>
                <w:rFonts w:hint="default" w:ascii="Times New Roman" w:hAnsi="Times New Roman" w:eastAsia="宋体" w:cs="Times New Roman"/>
                <w:b/>
                <w:bCs/>
                <w:color w:val="auto"/>
                <w:spacing w:val="-2"/>
                <w:kern w:val="2"/>
                <w:sz w:val="21"/>
                <w:szCs w:val="18"/>
                <w:highlight w:val="none"/>
                <w:lang w:val="en-US" w:eastAsia="zh-CN" w:bidi="ar-SA"/>
              </w:rPr>
            </w:pPr>
            <w:r>
              <w:rPr>
                <w:rFonts w:hint="eastAsia" w:ascii="Times New Roman" w:hAnsi="Times New Roman" w:eastAsia="宋体" w:cs="Times New Roman"/>
                <w:b/>
                <w:bCs/>
                <w:color w:val="auto"/>
                <w:spacing w:val="-2"/>
                <w:kern w:val="2"/>
                <w:sz w:val="21"/>
                <w:szCs w:val="18"/>
                <w:highlight w:val="none"/>
                <w:lang w:val="en-US" w:eastAsia="zh-CN" w:bidi="ar-SA"/>
              </w:rPr>
              <w:t>TN</w:t>
            </w:r>
          </w:p>
        </w:tc>
        <w:tc>
          <w:tcPr>
            <w:tcW w:w="343" w:type="pct"/>
            <w:noWrap/>
            <w:vAlign w:val="center"/>
          </w:tcPr>
          <w:p w14:paraId="1EB231E2">
            <w:pPr>
              <w:widowControl w:val="0"/>
              <w:wordWrap w:val="0"/>
              <w:snapToGrid w:val="0"/>
              <w:spacing w:before="31" w:beforeLines="10" w:after="31" w:afterLines="10" w:line="240" w:lineRule="auto"/>
              <w:ind w:left="21" w:leftChars="10" w:right="21" w:rightChars="10" w:firstLine="0" w:firstLineChars="0"/>
              <w:jc w:val="center"/>
              <w:textAlignment w:val="bottom"/>
              <w:rPr>
                <w:rFonts w:hint="default" w:ascii="Times New Roman" w:hAnsi="Times New Roman" w:eastAsia="宋体" w:cs="Times New Roman"/>
                <w:b/>
                <w:bCs/>
                <w:color w:val="auto"/>
                <w:spacing w:val="-2"/>
                <w:kern w:val="2"/>
                <w:sz w:val="21"/>
                <w:szCs w:val="18"/>
                <w:highlight w:val="none"/>
                <w:lang w:val="en-US" w:eastAsia="zh-CN" w:bidi="ar-SA"/>
              </w:rPr>
            </w:pPr>
            <w:r>
              <w:rPr>
                <w:rFonts w:hint="eastAsia" w:ascii="Times New Roman" w:hAnsi="Times New Roman" w:eastAsia="宋体" w:cs="Times New Roman"/>
                <w:b/>
                <w:bCs/>
                <w:color w:val="auto"/>
                <w:spacing w:val="-2"/>
                <w:kern w:val="2"/>
                <w:sz w:val="21"/>
                <w:szCs w:val="18"/>
                <w:highlight w:val="none"/>
                <w:lang w:val="en-US" w:eastAsia="zh-CN" w:bidi="ar-SA"/>
              </w:rPr>
              <w:t>TP</w:t>
            </w:r>
          </w:p>
        </w:tc>
        <w:tc>
          <w:tcPr>
            <w:tcW w:w="343" w:type="pct"/>
            <w:noWrap/>
            <w:vAlign w:val="center"/>
          </w:tcPr>
          <w:p w14:paraId="1578D26A">
            <w:pPr>
              <w:widowControl w:val="0"/>
              <w:wordWrap w:val="0"/>
              <w:snapToGrid w:val="0"/>
              <w:spacing w:before="31" w:beforeLines="10" w:after="31" w:afterLines="10" w:line="240" w:lineRule="auto"/>
              <w:ind w:left="21" w:leftChars="10" w:right="21" w:rightChars="10" w:firstLine="0" w:firstLineChars="0"/>
              <w:jc w:val="center"/>
              <w:textAlignment w:val="bottom"/>
              <w:rPr>
                <w:rFonts w:ascii="Times New Roman" w:hAnsi="Times New Roman" w:eastAsia="宋体" w:cs="Times New Roman"/>
                <w:b/>
                <w:bCs/>
                <w:color w:val="auto"/>
                <w:spacing w:val="-2"/>
                <w:kern w:val="2"/>
                <w:sz w:val="21"/>
                <w:szCs w:val="18"/>
                <w:highlight w:val="none"/>
                <w:lang w:val="en-US" w:eastAsia="zh-CN" w:bidi="ar-SA"/>
              </w:rPr>
            </w:pPr>
            <w:r>
              <w:rPr>
                <w:rFonts w:ascii="Times New Roman" w:hAnsi="Times New Roman" w:eastAsia="宋体" w:cs="Times New Roman"/>
                <w:b/>
                <w:bCs/>
                <w:color w:val="auto"/>
                <w:spacing w:val="-2"/>
                <w:kern w:val="2"/>
                <w:sz w:val="21"/>
                <w:szCs w:val="18"/>
                <w:highlight w:val="none"/>
                <w:lang w:val="en-US" w:eastAsia="zh-CN" w:bidi="ar-SA"/>
              </w:rPr>
              <w:t>SS</w:t>
            </w:r>
          </w:p>
        </w:tc>
        <w:tc>
          <w:tcPr>
            <w:tcW w:w="389" w:type="pct"/>
            <w:noWrap/>
            <w:vAlign w:val="center"/>
          </w:tcPr>
          <w:p w14:paraId="1C239834">
            <w:pPr>
              <w:widowControl w:val="0"/>
              <w:wordWrap w:val="0"/>
              <w:snapToGrid w:val="0"/>
              <w:spacing w:before="31" w:beforeLines="10" w:after="31" w:afterLines="10" w:line="240" w:lineRule="auto"/>
              <w:ind w:left="21" w:leftChars="10" w:right="21" w:rightChars="10" w:firstLine="0" w:firstLineChars="0"/>
              <w:jc w:val="center"/>
              <w:textAlignment w:val="bottom"/>
              <w:rPr>
                <w:rFonts w:hint="eastAsia" w:ascii="Times New Roman" w:hAnsi="Times New Roman" w:eastAsia="宋体" w:cs="Times New Roman"/>
                <w:b/>
                <w:bCs/>
                <w:color w:val="auto"/>
                <w:spacing w:val="-2"/>
                <w:kern w:val="2"/>
                <w:sz w:val="21"/>
                <w:szCs w:val="18"/>
                <w:highlight w:val="none"/>
                <w:lang w:val="en-US" w:eastAsia="zh-CN" w:bidi="ar-SA"/>
              </w:rPr>
            </w:pPr>
            <w:r>
              <w:rPr>
                <w:rFonts w:hint="eastAsia" w:ascii="Times New Roman" w:hAnsi="Times New Roman" w:eastAsia="宋体" w:cs="Times New Roman"/>
                <w:b/>
                <w:bCs/>
                <w:color w:val="auto"/>
                <w:spacing w:val="-2"/>
                <w:kern w:val="2"/>
                <w:sz w:val="21"/>
                <w:szCs w:val="18"/>
                <w:highlight w:val="none"/>
                <w:lang w:val="en-US" w:eastAsia="zh-CN" w:bidi="ar-SA"/>
              </w:rPr>
              <w:t>石油类</w:t>
            </w:r>
          </w:p>
        </w:tc>
        <w:tc>
          <w:tcPr>
            <w:tcW w:w="517" w:type="pct"/>
            <w:noWrap/>
            <w:vAlign w:val="center"/>
          </w:tcPr>
          <w:p w14:paraId="6337C163">
            <w:pPr>
              <w:widowControl w:val="0"/>
              <w:wordWrap w:val="0"/>
              <w:snapToGrid w:val="0"/>
              <w:spacing w:before="31" w:beforeLines="10" w:after="31" w:afterLines="10" w:line="240" w:lineRule="auto"/>
              <w:ind w:left="21" w:leftChars="10" w:right="21" w:rightChars="10" w:firstLine="0" w:firstLineChars="0"/>
              <w:jc w:val="center"/>
              <w:textAlignment w:val="bottom"/>
              <w:rPr>
                <w:rFonts w:hint="default" w:ascii="Times New Roman" w:hAnsi="Times New Roman" w:eastAsia="宋体" w:cs="Times New Roman"/>
                <w:b/>
                <w:bCs/>
                <w:color w:val="auto"/>
                <w:spacing w:val="-2"/>
                <w:kern w:val="2"/>
                <w:sz w:val="21"/>
                <w:szCs w:val="18"/>
                <w:highlight w:val="none"/>
                <w:lang w:val="en-US" w:eastAsia="zh-CN" w:bidi="ar-SA"/>
              </w:rPr>
            </w:pPr>
            <w:r>
              <w:rPr>
                <w:rFonts w:hint="eastAsia" w:ascii="Times New Roman" w:hAnsi="Times New Roman" w:eastAsia="宋体" w:cs="Times New Roman"/>
                <w:b/>
                <w:bCs/>
                <w:color w:val="auto"/>
                <w:spacing w:val="-2"/>
                <w:kern w:val="2"/>
                <w:sz w:val="21"/>
                <w:szCs w:val="18"/>
                <w:highlight w:val="none"/>
                <w:lang w:val="en-US" w:eastAsia="zh-CN" w:bidi="ar-SA"/>
              </w:rPr>
              <w:t>Las</w:t>
            </w:r>
          </w:p>
        </w:tc>
      </w:tr>
      <w:tr w14:paraId="20C3F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28" w:type="pct"/>
            <w:noWrap/>
            <w:vAlign w:val="center"/>
          </w:tcPr>
          <w:p w14:paraId="6A8BDB2C">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《石油化学工业污染物排放标准》（GB31571-2015</w:t>
            </w:r>
            <w:r>
              <w:rPr>
                <w:rFonts w:hint="eastAsia" w:cs="Times New Roman"/>
                <w:color w:val="auto"/>
                <w:kern w:val="2"/>
                <w:sz w:val="21"/>
                <w:szCs w:val="21"/>
                <w:highlight w:val="none"/>
                <w:lang w:val="en-US" w:eastAsia="zh-CN" w:bidi="ar-SA"/>
              </w:rPr>
              <w:t>）</w:t>
            </w:r>
          </w:p>
        </w:tc>
        <w:tc>
          <w:tcPr>
            <w:tcW w:w="343" w:type="pct"/>
            <w:noWrap/>
            <w:vAlign w:val="center"/>
          </w:tcPr>
          <w:p w14:paraId="32818EC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524" w:type="pct"/>
            <w:noWrap/>
            <w:vAlign w:val="center"/>
          </w:tcPr>
          <w:p w14:paraId="7571E336">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33" w:type="pct"/>
            <w:noWrap/>
            <w:vAlign w:val="center"/>
          </w:tcPr>
          <w:p w14:paraId="68FFF776">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32" w:type="pct"/>
            <w:noWrap/>
            <w:vAlign w:val="center"/>
          </w:tcPr>
          <w:p w14:paraId="7E7D3713">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76" w:type="dxa"/>
            <w:noWrap/>
            <w:vAlign w:val="center"/>
          </w:tcPr>
          <w:p w14:paraId="4BC35CAB">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676" w:type="dxa"/>
            <w:noWrap/>
            <w:vAlign w:val="center"/>
          </w:tcPr>
          <w:p w14:paraId="01D10099">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43" w:type="pct"/>
            <w:noWrap/>
            <w:vAlign w:val="center"/>
          </w:tcPr>
          <w:p w14:paraId="3BF4E20F">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89" w:type="pct"/>
            <w:noWrap/>
            <w:vAlign w:val="center"/>
          </w:tcPr>
          <w:p w14:paraId="4610358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517" w:type="pct"/>
            <w:noWrap/>
            <w:vAlign w:val="center"/>
          </w:tcPr>
          <w:p w14:paraId="2E15EBA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5D015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28" w:type="pct"/>
            <w:noWrap/>
            <w:vAlign w:val="center"/>
          </w:tcPr>
          <w:p w14:paraId="0AA19319">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《污水综合排放标准》（GB8978-1996）</w:t>
            </w:r>
          </w:p>
        </w:tc>
        <w:tc>
          <w:tcPr>
            <w:tcW w:w="343" w:type="pct"/>
            <w:noWrap/>
            <w:vAlign w:val="center"/>
          </w:tcPr>
          <w:p w14:paraId="2F5D16B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6-9</w:t>
            </w:r>
          </w:p>
        </w:tc>
        <w:tc>
          <w:tcPr>
            <w:tcW w:w="524" w:type="pct"/>
            <w:noWrap/>
            <w:vAlign w:val="center"/>
          </w:tcPr>
          <w:p w14:paraId="4438476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500</w:t>
            </w:r>
          </w:p>
        </w:tc>
        <w:tc>
          <w:tcPr>
            <w:tcW w:w="433" w:type="pct"/>
            <w:noWrap/>
            <w:vAlign w:val="center"/>
          </w:tcPr>
          <w:p w14:paraId="10E00A5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300</w:t>
            </w:r>
          </w:p>
        </w:tc>
        <w:tc>
          <w:tcPr>
            <w:tcW w:w="432" w:type="pct"/>
            <w:noWrap/>
            <w:vAlign w:val="center"/>
          </w:tcPr>
          <w:p w14:paraId="2DC7BE4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43" w:type="pct"/>
            <w:noWrap/>
            <w:vAlign w:val="center"/>
          </w:tcPr>
          <w:p w14:paraId="27EC2CE3">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43" w:type="pct"/>
            <w:noWrap/>
            <w:vAlign w:val="center"/>
          </w:tcPr>
          <w:p w14:paraId="77798C2B">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43" w:type="pct"/>
            <w:noWrap/>
            <w:vAlign w:val="center"/>
          </w:tcPr>
          <w:p w14:paraId="7A60148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400</w:t>
            </w:r>
          </w:p>
        </w:tc>
        <w:tc>
          <w:tcPr>
            <w:tcW w:w="389" w:type="pct"/>
            <w:noWrap/>
            <w:vAlign w:val="center"/>
          </w:tcPr>
          <w:p w14:paraId="42CE5E5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30</w:t>
            </w:r>
          </w:p>
        </w:tc>
        <w:tc>
          <w:tcPr>
            <w:tcW w:w="517" w:type="pct"/>
            <w:noWrap/>
            <w:vAlign w:val="center"/>
          </w:tcPr>
          <w:p w14:paraId="52D704B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w:t>
            </w:r>
          </w:p>
        </w:tc>
      </w:tr>
      <w:tr w14:paraId="5F765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28" w:type="pct"/>
            <w:noWrap/>
            <w:vAlign w:val="center"/>
          </w:tcPr>
          <w:p w14:paraId="7BC45B50">
            <w:pPr>
              <w:widowControl w:val="0"/>
              <w:wordWrap w:val="0"/>
              <w:snapToGrid w:val="0"/>
              <w:spacing w:before="31" w:beforeLines="10" w:after="31" w:afterLines="10" w:line="240" w:lineRule="auto"/>
              <w:ind w:left="21" w:leftChars="10" w:right="21" w:rightChars="10" w:firstLine="0" w:firstLineChars="0"/>
              <w:jc w:val="center"/>
              <w:textAlignment w:val="bottom"/>
              <w:rPr>
                <w:rFonts w:ascii="Times New Roman" w:hAnsi="Times New Roman" w:eastAsia="宋体" w:cs="Times New Roman"/>
                <w:color w:val="auto"/>
                <w:spacing w:val="-2"/>
                <w:kern w:val="2"/>
                <w:sz w:val="21"/>
                <w:szCs w:val="18"/>
                <w:highlight w:val="none"/>
                <w:lang w:val="en-US" w:eastAsia="zh-CN" w:bidi="ar-SA"/>
              </w:rPr>
            </w:pPr>
            <w:r>
              <w:rPr>
                <w:rFonts w:ascii="Times New Roman" w:hAnsi="Times New Roman" w:eastAsia="宋体" w:cs="Times New Roman"/>
                <w:color w:val="auto"/>
                <w:spacing w:val="-2"/>
                <w:kern w:val="2"/>
                <w:sz w:val="21"/>
                <w:szCs w:val="18"/>
                <w:highlight w:val="none"/>
                <w:lang w:val="en-US" w:eastAsia="zh-CN" w:bidi="ar-SA"/>
              </w:rPr>
              <w:t>淮南</w:t>
            </w:r>
            <w:r>
              <w:rPr>
                <w:rFonts w:hint="eastAsia" w:ascii="Times New Roman" w:hAnsi="Times New Roman" w:eastAsia="宋体" w:cs="Times New Roman"/>
                <w:color w:val="auto"/>
                <w:spacing w:val="-2"/>
                <w:kern w:val="2"/>
                <w:sz w:val="21"/>
                <w:szCs w:val="18"/>
                <w:highlight w:val="none"/>
                <w:lang w:val="en-US" w:eastAsia="zh-CN" w:bidi="ar-SA"/>
              </w:rPr>
              <w:t>田家庵经济开发区</w:t>
            </w:r>
            <w:r>
              <w:rPr>
                <w:rFonts w:ascii="Times New Roman" w:hAnsi="Times New Roman" w:eastAsia="宋体" w:cs="Times New Roman"/>
                <w:color w:val="auto"/>
                <w:spacing w:val="-2"/>
                <w:kern w:val="2"/>
                <w:sz w:val="21"/>
                <w:szCs w:val="18"/>
                <w:highlight w:val="none"/>
                <w:lang w:val="en-US" w:eastAsia="zh-CN" w:bidi="ar-SA"/>
              </w:rPr>
              <w:t>园区污水处理厂</w:t>
            </w:r>
            <w:r>
              <w:rPr>
                <w:rFonts w:hint="eastAsia" w:ascii="Times New Roman" w:hAnsi="Times New Roman" w:eastAsia="宋体" w:cs="Times New Roman"/>
                <w:color w:val="auto"/>
                <w:spacing w:val="-2"/>
                <w:kern w:val="2"/>
                <w:sz w:val="21"/>
                <w:szCs w:val="18"/>
                <w:highlight w:val="none"/>
                <w:lang w:val="en-US" w:eastAsia="zh-CN" w:bidi="ar-SA"/>
              </w:rPr>
              <w:t>接管标准</w:t>
            </w:r>
          </w:p>
        </w:tc>
        <w:tc>
          <w:tcPr>
            <w:tcW w:w="343" w:type="pct"/>
            <w:noWrap/>
            <w:vAlign w:val="center"/>
          </w:tcPr>
          <w:p w14:paraId="4AF86A6A">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6~9</w:t>
            </w:r>
          </w:p>
        </w:tc>
        <w:tc>
          <w:tcPr>
            <w:tcW w:w="524" w:type="pct"/>
            <w:noWrap/>
            <w:vAlign w:val="center"/>
          </w:tcPr>
          <w:p w14:paraId="287D50DE">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350</w:t>
            </w:r>
          </w:p>
        </w:tc>
        <w:tc>
          <w:tcPr>
            <w:tcW w:w="433" w:type="pct"/>
            <w:noWrap/>
            <w:vAlign w:val="center"/>
          </w:tcPr>
          <w:p w14:paraId="3A2DC556">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250</w:t>
            </w:r>
          </w:p>
        </w:tc>
        <w:tc>
          <w:tcPr>
            <w:tcW w:w="432" w:type="pct"/>
            <w:noWrap/>
            <w:vAlign w:val="center"/>
          </w:tcPr>
          <w:p w14:paraId="4E69053B">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30</w:t>
            </w:r>
          </w:p>
        </w:tc>
        <w:tc>
          <w:tcPr>
            <w:tcW w:w="343" w:type="pct"/>
            <w:noWrap/>
            <w:vAlign w:val="center"/>
          </w:tcPr>
          <w:p w14:paraId="082168E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50</w:t>
            </w:r>
          </w:p>
        </w:tc>
        <w:tc>
          <w:tcPr>
            <w:tcW w:w="343" w:type="pct"/>
            <w:noWrap/>
            <w:vAlign w:val="center"/>
          </w:tcPr>
          <w:p w14:paraId="3839990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w:t>
            </w:r>
          </w:p>
        </w:tc>
        <w:tc>
          <w:tcPr>
            <w:tcW w:w="343" w:type="pct"/>
            <w:noWrap/>
            <w:vAlign w:val="center"/>
          </w:tcPr>
          <w:p w14:paraId="783CF82F">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280</w:t>
            </w:r>
          </w:p>
        </w:tc>
        <w:tc>
          <w:tcPr>
            <w:tcW w:w="389" w:type="pct"/>
            <w:noWrap/>
            <w:vAlign w:val="center"/>
          </w:tcPr>
          <w:p w14:paraId="508C7E4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517" w:type="pct"/>
            <w:noWrap/>
            <w:vAlign w:val="center"/>
          </w:tcPr>
          <w:p w14:paraId="1AB92D6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1D71C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28" w:type="pct"/>
            <w:noWrap/>
            <w:vAlign w:val="center"/>
          </w:tcPr>
          <w:p w14:paraId="7F291B16">
            <w:pPr>
              <w:widowControl w:val="0"/>
              <w:wordWrap w:val="0"/>
              <w:snapToGrid w:val="0"/>
              <w:spacing w:before="31" w:beforeLines="10" w:after="31" w:afterLines="10" w:line="240" w:lineRule="auto"/>
              <w:ind w:left="21" w:leftChars="10" w:right="21" w:rightChars="10" w:firstLine="0" w:firstLineChars="0"/>
              <w:jc w:val="center"/>
              <w:textAlignment w:val="bottom"/>
              <w:rPr>
                <w:rFonts w:ascii="Times New Roman" w:hAnsi="Times New Roman" w:eastAsia="宋体" w:cs="Times New Roman"/>
                <w:color w:val="auto"/>
                <w:spacing w:val="-2"/>
                <w:kern w:val="2"/>
                <w:sz w:val="21"/>
                <w:szCs w:val="18"/>
                <w:highlight w:val="none"/>
                <w:lang w:val="en-US" w:eastAsia="zh-CN" w:bidi="ar-SA"/>
              </w:rPr>
            </w:pPr>
            <w:r>
              <w:rPr>
                <w:rFonts w:ascii="Times New Roman" w:hAnsi="Times New Roman" w:eastAsia="宋体" w:cs="Times New Roman"/>
                <w:color w:val="auto"/>
                <w:spacing w:val="-2"/>
                <w:kern w:val="2"/>
                <w:sz w:val="21"/>
                <w:szCs w:val="18"/>
                <w:highlight w:val="none"/>
                <w:lang w:val="en-US" w:eastAsia="zh-CN" w:bidi="ar-SA"/>
              </w:rPr>
              <w:t>本项目执行标准</w:t>
            </w:r>
          </w:p>
        </w:tc>
        <w:tc>
          <w:tcPr>
            <w:tcW w:w="343" w:type="pct"/>
            <w:noWrap/>
            <w:vAlign w:val="center"/>
          </w:tcPr>
          <w:p w14:paraId="32139E25">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6~9</w:t>
            </w:r>
          </w:p>
        </w:tc>
        <w:tc>
          <w:tcPr>
            <w:tcW w:w="524" w:type="pct"/>
            <w:noWrap/>
            <w:vAlign w:val="center"/>
          </w:tcPr>
          <w:p w14:paraId="68C470B3">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350</w:t>
            </w:r>
          </w:p>
        </w:tc>
        <w:tc>
          <w:tcPr>
            <w:tcW w:w="433" w:type="pct"/>
            <w:noWrap/>
            <w:vAlign w:val="center"/>
          </w:tcPr>
          <w:p w14:paraId="2ACA8A98">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250</w:t>
            </w:r>
          </w:p>
        </w:tc>
        <w:tc>
          <w:tcPr>
            <w:tcW w:w="432" w:type="pct"/>
            <w:noWrap/>
            <w:vAlign w:val="center"/>
          </w:tcPr>
          <w:p w14:paraId="0FC19D09">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30</w:t>
            </w:r>
          </w:p>
        </w:tc>
        <w:tc>
          <w:tcPr>
            <w:tcW w:w="676" w:type="dxa"/>
            <w:noWrap/>
            <w:vAlign w:val="center"/>
          </w:tcPr>
          <w:p w14:paraId="74F9BE01">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50</w:t>
            </w:r>
          </w:p>
        </w:tc>
        <w:tc>
          <w:tcPr>
            <w:tcW w:w="676" w:type="dxa"/>
            <w:noWrap/>
            <w:vAlign w:val="center"/>
          </w:tcPr>
          <w:p w14:paraId="007FB39F">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w:t>
            </w:r>
          </w:p>
        </w:tc>
        <w:tc>
          <w:tcPr>
            <w:tcW w:w="343" w:type="pct"/>
            <w:noWrap/>
            <w:vAlign w:val="center"/>
          </w:tcPr>
          <w:p w14:paraId="1111A702">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280</w:t>
            </w:r>
          </w:p>
        </w:tc>
        <w:tc>
          <w:tcPr>
            <w:tcW w:w="389" w:type="pct"/>
            <w:noWrap/>
            <w:vAlign w:val="center"/>
          </w:tcPr>
          <w:p w14:paraId="10D5770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517" w:type="pct"/>
            <w:noWrap/>
            <w:vAlign w:val="center"/>
          </w:tcPr>
          <w:p w14:paraId="67CFF9F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w:t>
            </w:r>
          </w:p>
        </w:tc>
      </w:tr>
      <w:tr w14:paraId="335E9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28" w:type="pct"/>
            <w:noWrap/>
            <w:vAlign w:val="center"/>
          </w:tcPr>
          <w:p w14:paraId="2463E113">
            <w:pPr>
              <w:widowControl w:val="0"/>
              <w:wordWrap w:val="0"/>
              <w:snapToGrid w:val="0"/>
              <w:spacing w:before="31" w:beforeLines="10" w:after="31" w:afterLines="10" w:line="240" w:lineRule="auto"/>
              <w:ind w:left="21" w:leftChars="10" w:right="21" w:rightChars="10" w:firstLine="0" w:firstLineChars="0"/>
              <w:jc w:val="center"/>
              <w:textAlignment w:val="bottom"/>
              <w:rPr>
                <w:rFonts w:ascii="Times New Roman" w:hAnsi="Times New Roman" w:eastAsia="宋体" w:cs="Times New Roman"/>
                <w:color w:val="auto"/>
                <w:spacing w:val="-2"/>
                <w:kern w:val="2"/>
                <w:sz w:val="21"/>
                <w:szCs w:val="18"/>
                <w:highlight w:val="none"/>
                <w:lang w:val="en-US" w:eastAsia="zh-CN" w:bidi="ar-SA"/>
              </w:rPr>
            </w:pPr>
            <w:r>
              <w:rPr>
                <w:rFonts w:hint="eastAsia" w:ascii="Times New Roman" w:hAnsi="Times New Roman" w:eastAsia="宋体" w:cs="Times New Roman"/>
                <w:color w:val="auto"/>
                <w:spacing w:val="-2"/>
                <w:kern w:val="2"/>
                <w:sz w:val="21"/>
                <w:szCs w:val="18"/>
                <w:highlight w:val="none"/>
                <w:lang w:val="en-US" w:eastAsia="zh-CN" w:bidi="ar-SA"/>
              </w:rPr>
              <w:t>GB18918-2002一级A标准</w:t>
            </w:r>
          </w:p>
        </w:tc>
        <w:tc>
          <w:tcPr>
            <w:tcW w:w="343" w:type="pct"/>
            <w:noWrap/>
            <w:vAlign w:val="center"/>
          </w:tcPr>
          <w:p w14:paraId="17CE0DDF">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6~9</w:t>
            </w:r>
          </w:p>
        </w:tc>
        <w:tc>
          <w:tcPr>
            <w:tcW w:w="524" w:type="pct"/>
            <w:noWrap/>
            <w:vAlign w:val="center"/>
          </w:tcPr>
          <w:p w14:paraId="6AF0DD34">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50</w:t>
            </w:r>
          </w:p>
        </w:tc>
        <w:tc>
          <w:tcPr>
            <w:tcW w:w="433" w:type="pct"/>
            <w:noWrap/>
            <w:vAlign w:val="center"/>
          </w:tcPr>
          <w:p w14:paraId="7743ADFC">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432" w:type="pct"/>
            <w:noWrap/>
            <w:vAlign w:val="center"/>
          </w:tcPr>
          <w:p w14:paraId="5CBE999E">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5(8)</w:t>
            </w:r>
          </w:p>
        </w:tc>
        <w:tc>
          <w:tcPr>
            <w:tcW w:w="343" w:type="pct"/>
            <w:noWrap/>
            <w:vAlign w:val="center"/>
          </w:tcPr>
          <w:p w14:paraId="6882815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c>
          <w:tcPr>
            <w:tcW w:w="343" w:type="pct"/>
            <w:noWrap/>
            <w:vAlign w:val="center"/>
          </w:tcPr>
          <w:p w14:paraId="68D7E03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w:t>
            </w:r>
          </w:p>
        </w:tc>
        <w:tc>
          <w:tcPr>
            <w:tcW w:w="343" w:type="pct"/>
            <w:noWrap/>
            <w:vAlign w:val="center"/>
          </w:tcPr>
          <w:p w14:paraId="7FAEF8BA">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389" w:type="pct"/>
            <w:noWrap/>
            <w:vAlign w:val="center"/>
          </w:tcPr>
          <w:p w14:paraId="2709E524">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p>
        </w:tc>
        <w:tc>
          <w:tcPr>
            <w:tcW w:w="517" w:type="pct"/>
            <w:noWrap/>
            <w:vAlign w:val="center"/>
          </w:tcPr>
          <w:p w14:paraId="6836742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w:t>
            </w:r>
          </w:p>
        </w:tc>
      </w:tr>
    </w:tbl>
    <w:p w14:paraId="23D80117">
      <w:pPr>
        <w:pStyle w:val="107"/>
        <w:rPr>
          <w:color w:val="auto"/>
          <w:highlight w:val="none"/>
        </w:rPr>
      </w:pPr>
      <w:r>
        <w:rPr>
          <w:color w:val="auto"/>
          <w:highlight w:val="none"/>
        </w:rPr>
        <w:t>3、噪声</w:t>
      </w:r>
    </w:p>
    <w:p w14:paraId="2340541C">
      <w:pPr>
        <w:pStyle w:val="352"/>
        <w:keepNext w:val="0"/>
        <w:keepLines w:val="0"/>
        <w:pageBreakBefore w:val="0"/>
        <w:widowControl w:val="0"/>
        <w:kinsoku/>
        <w:wordWrap/>
        <w:overflowPunct/>
        <w:topLinePunct w:val="0"/>
        <w:autoSpaceDE/>
        <w:autoSpaceDN/>
        <w:bidi w:val="0"/>
        <w:adjustRightInd w:val="0"/>
        <w:snapToGrid w:val="0"/>
        <w:ind w:firstLine="480"/>
        <w:jc w:val="left"/>
        <w:textAlignment w:val="auto"/>
        <w:rPr>
          <w:rStyle w:val="56"/>
          <w:rFonts w:hint="eastAsia"/>
          <w:color w:val="auto"/>
          <w:highlight w:val="none"/>
          <w:lang w:val="en-US" w:eastAsia="zh-CN"/>
        </w:rPr>
      </w:pPr>
      <w:r>
        <w:rPr>
          <w:rStyle w:val="56"/>
          <w:rFonts w:hint="eastAsia"/>
          <w:color w:val="auto"/>
          <w:highlight w:val="none"/>
          <w:lang w:val="en-US" w:eastAsia="zh-CN"/>
        </w:rPr>
        <w:t>项目施工期噪声执行《建筑施工场界环境噪声排放标准》</w:t>
      </w:r>
    </w:p>
    <w:p w14:paraId="2728079A">
      <w:pPr>
        <w:pStyle w:val="352"/>
        <w:keepNext w:val="0"/>
        <w:keepLines w:val="0"/>
        <w:pageBreakBefore w:val="0"/>
        <w:widowControl w:val="0"/>
        <w:kinsoku/>
        <w:wordWrap/>
        <w:overflowPunct/>
        <w:topLinePunct w:val="0"/>
        <w:autoSpaceDE/>
        <w:autoSpaceDN/>
        <w:bidi w:val="0"/>
        <w:adjustRightInd w:val="0"/>
        <w:snapToGrid w:val="0"/>
        <w:ind w:firstLine="480"/>
        <w:jc w:val="left"/>
        <w:textAlignment w:val="auto"/>
        <w:rPr>
          <w:rStyle w:val="56"/>
          <w:rFonts w:hint="eastAsia"/>
          <w:color w:val="auto"/>
          <w:highlight w:val="none"/>
        </w:rPr>
      </w:pPr>
      <w:r>
        <w:rPr>
          <w:rStyle w:val="56"/>
          <w:rFonts w:hint="eastAsia"/>
          <w:color w:val="auto"/>
          <w:highlight w:val="none"/>
          <w:lang w:val="en-US" w:eastAsia="zh-CN"/>
        </w:rPr>
        <w:t>（GB12523-2011），营运期</w:t>
      </w:r>
      <w:r>
        <w:rPr>
          <w:rStyle w:val="56"/>
          <w:color w:val="auto"/>
          <w:highlight w:val="none"/>
        </w:rPr>
        <w:t>本项目</w:t>
      </w:r>
      <w:r>
        <w:rPr>
          <w:rStyle w:val="56"/>
          <w:rFonts w:hint="eastAsia"/>
          <w:color w:val="auto"/>
          <w:highlight w:val="none"/>
          <w:lang w:val="en-US" w:eastAsia="zh-CN"/>
        </w:rPr>
        <w:t>东、南、北</w:t>
      </w:r>
      <w:r>
        <w:rPr>
          <w:rStyle w:val="56"/>
          <w:color w:val="auto"/>
          <w:highlight w:val="none"/>
        </w:rPr>
        <w:t>厂界噪声执行《工业企业厂界环境噪声排放标准》（GB12348-2008）3类功能区排放标准</w:t>
      </w:r>
      <w:r>
        <w:rPr>
          <w:rStyle w:val="56"/>
          <w:rFonts w:hint="eastAsia"/>
          <w:color w:val="auto"/>
          <w:highlight w:val="none"/>
          <w:lang w:eastAsia="zh-CN"/>
        </w:rPr>
        <w:t>、</w:t>
      </w:r>
      <w:r>
        <w:rPr>
          <w:rStyle w:val="56"/>
          <w:rFonts w:hint="eastAsia"/>
          <w:color w:val="auto"/>
          <w:highlight w:val="none"/>
          <w:lang w:val="en-US" w:eastAsia="zh-CN"/>
        </w:rPr>
        <w:t>西侧厂界</w:t>
      </w:r>
      <w:r>
        <w:rPr>
          <w:rStyle w:val="56"/>
          <w:color w:val="auto"/>
          <w:highlight w:val="none"/>
        </w:rPr>
        <w:t>噪声执行《工业企业厂界环境噪声排放标准》（GB12348-2008）</w:t>
      </w:r>
      <w:r>
        <w:rPr>
          <w:rStyle w:val="56"/>
          <w:rFonts w:hint="eastAsia"/>
          <w:color w:val="auto"/>
          <w:highlight w:val="none"/>
          <w:lang w:val="en-US" w:eastAsia="zh-CN"/>
        </w:rPr>
        <w:t>4</w:t>
      </w:r>
      <w:r>
        <w:rPr>
          <w:rStyle w:val="56"/>
          <w:color w:val="auto"/>
          <w:highlight w:val="none"/>
        </w:rPr>
        <w:t>类功能区排放标准。</w:t>
      </w:r>
    </w:p>
    <w:p w14:paraId="09FC8712">
      <w:pPr>
        <w:pStyle w:val="107"/>
        <w:spacing w:line="240" w:lineRule="auto"/>
        <w:jc w:val="center"/>
        <w:rPr>
          <w:rFonts w:hint="eastAsia" w:eastAsia="宋体"/>
          <w:color w:val="auto"/>
          <w:highlight w:val="none"/>
          <w:lang w:eastAsia="zh-CN"/>
        </w:rPr>
      </w:pPr>
      <w:bookmarkStart w:id="74" w:name="_Toc117091318"/>
      <w:r>
        <w:rPr>
          <w:color w:val="auto"/>
          <w:highlight w:val="none"/>
        </w:rPr>
        <w:t>表2.3.2-</w:t>
      </w:r>
      <w:r>
        <w:rPr>
          <w:rFonts w:hint="eastAsia"/>
          <w:color w:val="auto"/>
          <w:highlight w:val="none"/>
          <w:lang w:val="en-US" w:eastAsia="zh-CN"/>
        </w:rPr>
        <w:t xml:space="preserve">12  </w:t>
      </w:r>
      <w:r>
        <w:rPr>
          <w:color w:val="auto"/>
          <w:highlight w:val="none"/>
        </w:rPr>
        <w:t>工业企业厂界环境噪声排放标准</w:t>
      </w:r>
      <w:bookmarkEnd w:id="74"/>
      <w:r>
        <w:rPr>
          <w:rFonts w:hint="eastAsia"/>
          <w:color w:val="auto"/>
          <w:highlight w:val="none"/>
          <w:lang w:eastAsia="zh-CN"/>
        </w:rPr>
        <w:t>（</w:t>
      </w:r>
      <w:r>
        <w:rPr>
          <w:color w:val="auto"/>
          <w:highlight w:val="none"/>
        </w:rPr>
        <w:t>单位：dB（A）</w:t>
      </w:r>
      <w:r>
        <w:rPr>
          <w:rFonts w:hint="eastAsia"/>
          <w:color w:val="auto"/>
          <w:highlight w:val="none"/>
          <w:lang w:eastAsia="zh-CN"/>
        </w:rPr>
        <w:t>）</w:t>
      </w:r>
    </w:p>
    <w:tbl>
      <w:tblPr>
        <w:tblStyle w:val="49"/>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28" w:type="dxa"/>
          <w:left w:w="108" w:type="dxa"/>
          <w:bottom w:w="28" w:type="dxa"/>
          <w:right w:w="108" w:type="dxa"/>
        </w:tblCellMar>
      </w:tblPr>
      <w:tblGrid>
        <w:gridCol w:w="4269"/>
        <w:gridCol w:w="1835"/>
        <w:gridCol w:w="2415"/>
      </w:tblGrid>
      <w:tr w14:paraId="322AC8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70" w:hRule="atLeast"/>
          <w:jc w:val="center"/>
        </w:trPr>
        <w:tc>
          <w:tcPr>
            <w:tcW w:w="2505" w:type="pct"/>
            <w:tcBorders>
              <w:tl2br w:val="nil"/>
              <w:tr2bl w:val="nil"/>
            </w:tcBorders>
            <w:noWrap w:val="0"/>
            <w:vAlign w:val="center"/>
          </w:tcPr>
          <w:p w14:paraId="346569E2">
            <w:pPr>
              <w:pStyle w:val="563"/>
              <w:bidi w:val="0"/>
              <w:rPr>
                <w:rFonts w:hint="eastAsia"/>
                <w:b/>
                <w:bCs/>
                <w:color w:val="auto"/>
                <w:highlight w:val="none"/>
                <w:lang w:eastAsia="zh-CN"/>
              </w:rPr>
            </w:pPr>
            <w:r>
              <w:rPr>
                <w:rFonts w:hint="eastAsia"/>
                <w:b/>
                <w:bCs/>
                <w:color w:val="auto"/>
                <w:highlight w:val="none"/>
                <w:lang w:val="en-US" w:eastAsia="zh-CN"/>
              </w:rPr>
              <w:t>标准</w:t>
            </w:r>
          </w:p>
        </w:tc>
        <w:tc>
          <w:tcPr>
            <w:tcW w:w="1077" w:type="pct"/>
            <w:tcBorders>
              <w:tl2br w:val="nil"/>
              <w:tr2bl w:val="nil"/>
            </w:tcBorders>
            <w:noWrap w:val="0"/>
            <w:vAlign w:val="center"/>
          </w:tcPr>
          <w:p w14:paraId="11ED34D8">
            <w:pPr>
              <w:pStyle w:val="563"/>
              <w:bidi w:val="0"/>
              <w:rPr>
                <w:b/>
                <w:bCs/>
                <w:color w:val="auto"/>
                <w:highlight w:val="none"/>
              </w:rPr>
            </w:pPr>
            <w:r>
              <w:rPr>
                <w:b/>
                <w:bCs/>
                <w:color w:val="auto"/>
                <w:highlight w:val="none"/>
              </w:rPr>
              <w:t>昼间</w:t>
            </w:r>
          </w:p>
        </w:tc>
        <w:tc>
          <w:tcPr>
            <w:tcW w:w="1417" w:type="pct"/>
            <w:tcBorders>
              <w:tl2br w:val="nil"/>
              <w:tr2bl w:val="nil"/>
            </w:tcBorders>
            <w:noWrap w:val="0"/>
            <w:vAlign w:val="center"/>
          </w:tcPr>
          <w:p w14:paraId="6986EF3F">
            <w:pPr>
              <w:pStyle w:val="563"/>
              <w:bidi w:val="0"/>
              <w:rPr>
                <w:b/>
                <w:bCs/>
                <w:color w:val="auto"/>
                <w:highlight w:val="none"/>
              </w:rPr>
            </w:pPr>
            <w:r>
              <w:rPr>
                <w:b/>
                <w:bCs/>
                <w:color w:val="auto"/>
                <w:highlight w:val="none"/>
              </w:rPr>
              <w:t>夜间</w:t>
            </w:r>
          </w:p>
        </w:tc>
      </w:tr>
      <w:tr w14:paraId="053ABC0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70" w:hRule="atLeast"/>
          <w:jc w:val="center"/>
        </w:trPr>
        <w:tc>
          <w:tcPr>
            <w:tcW w:w="2505" w:type="pct"/>
            <w:tcBorders>
              <w:tl2br w:val="nil"/>
              <w:tr2bl w:val="nil"/>
            </w:tcBorders>
            <w:noWrap w:val="0"/>
            <w:vAlign w:val="center"/>
          </w:tcPr>
          <w:p w14:paraId="3DE8F467">
            <w:pPr>
              <w:pStyle w:val="563"/>
              <w:bidi w:val="0"/>
              <w:rPr>
                <w:color w:val="auto"/>
                <w:highlight w:val="none"/>
              </w:rPr>
            </w:pPr>
            <w:r>
              <w:rPr>
                <w:rFonts w:hint="eastAsia"/>
                <w:color w:val="auto"/>
                <w:highlight w:val="none"/>
                <w:lang w:val="en-US" w:eastAsia="zh-CN"/>
              </w:rPr>
              <w:t>(GB12523-2011)</w:t>
            </w:r>
          </w:p>
        </w:tc>
        <w:tc>
          <w:tcPr>
            <w:tcW w:w="1077" w:type="pct"/>
            <w:tcBorders>
              <w:tl2br w:val="nil"/>
              <w:tr2bl w:val="nil"/>
            </w:tcBorders>
            <w:noWrap w:val="0"/>
            <w:vAlign w:val="center"/>
          </w:tcPr>
          <w:p w14:paraId="43C69BCB">
            <w:pPr>
              <w:pStyle w:val="563"/>
              <w:bidi w:val="0"/>
              <w:rPr>
                <w:rFonts w:hint="default"/>
                <w:color w:val="auto"/>
                <w:highlight w:val="none"/>
                <w:lang w:val="en-US" w:eastAsia="zh-CN"/>
              </w:rPr>
            </w:pPr>
            <w:r>
              <w:rPr>
                <w:rFonts w:hint="eastAsia"/>
                <w:color w:val="auto"/>
                <w:highlight w:val="none"/>
                <w:lang w:val="en-US" w:eastAsia="zh-CN"/>
              </w:rPr>
              <w:t>70</w:t>
            </w:r>
          </w:p>
        </w:tc>
        <w:tc>
          <w:tcPr>
            <w:tcW w:w="1417" w:type="pct"/>
            <w:tcBorders>
              <w:tl2br w:val="nil"/>
              <w:tr2bl w:val="nil"/>
            </w:tcBorders>
            <w:noWrap w:val="0"/>
            <w:vAlign w:val="center"/>
          </w:tcPr>
          <w:p w14:paraId="60C4411D">
            <w:pPr>
              <w:pStyle w:val="563"/>
              <w:bidi w:val="0"/>
              <w:rPr>
                <w:rFonts w:hint="default"/>
                <w:color w:val="auto"/>
                <w:highlight w:val="none"/>
                <w:lang w:val="en-US" w:eastAsia="zh-CN"/>
              </w:rPr>
            </w:pPr>
            <w:r>
              <w:rPr>
                <w:rFonts w:hint="eastAsia"/>
                <w:color w:val="auto"/>
                <w:highlight w:val="none"/>
                <w:lang w:val="en-US" w:eastAsia="zh-CN"/>
              </w:rPr>
              <w:t>55</w:t>
            </w:r>
          </w:p>
        </w:tc>
      </w:tr>
      <w:tr w14:paraId="22B5C51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139" w:hRule="atLeast"/>
          <w:jc w:val="center"/>
        </w:trPr>
        <w:tc>
          <w:tcPr>
            <w:tcW w:w="2505" w:type="pct"/>
            <w:tcBorders>
              <w:tl2br w:val="nil"/>
              <w:tr2bl w:val="nil"/>
            </w:tcBorders>
            <w:noWrap w:val="0"/>
            <w:vAlign w:val="center"/>
          </w:tcPr>
          <w:p w14:paraId="41573F5B">
            <w:pPr>
              <w:pStyle w:val="563"/>
              <w:bidi w:val="0"/>
              <w:rPr>
                <w:color w:val="auto"/>
                <w:highlight w:val="none"/>
              </w:rPr>
            </w:pPr>
            <w:r>
              <w:rPr>
                <w:rFonts w:hint="eastAsia"/>
                <w:color w:val="auto"/>
                <w:highlight w:val="none"/>
              </w:rPr>
              <w:t>（GB12348-2008）</w:t>
            </w:r>
            <w:r>
              <w:rPr>
                <w:rFonts w:hint="eastAsia"/>
                <w:color w:val="auto"/>
                <w:highlight w:val="none"/>
                <w:lang w:val="en-US" w:eastAsia="zh-CN"/>
              </w:rPr>
              <w:t>3</w:t>
            </w:r>
            <w:r>
              <w:rPr>
                <w:rFonts w:hint="eastAsia"/>
                <w:color w:val="auto"/>
                <w:highlight w:val="none"/>
              </w:rPr>
              <w:t>类</w:t>
            </w:r>
            <w:r>
              <w:rPr>
                <w:rFonts w:hint="eastAsia"/>
                <w:color w:val="auto"/>
                <w:highlight w:val="none"/>
                <w:lang w:val="en-US" w:eastAsia="zh-CN"/>
              </w:rPr>
              <w:t>声</w:t>
            </w:r>
            <w:r>
              <w:rPr>
                <w:rFonts w:hint="eastAsia"/>
                <w:color w:val="auto"/>
                <w:highlight w:val="none"/>
              </w:rPr>
              <w:t>功能区排放标准</w:t>
            </w:r>
          </w:p>
        </w:tc>
        <w:tc>
          <w:tcPr>
            <w:tcW w:w="1077" w:type="pct"/>
            <w:tcBorders>
              <w:tl2br w:val="nil"/>
              <w:tr2bl w:val="nil"/>
            </w:tcBorders>
            <w:noWrap w:val="0"/>
            <w:vAlign w:val="center"/>
          </w:tcPr>
          <w:p w14:paraId="72D82A6D">
            <w:pPr>
              <w:pStyle w:val="563"/>
              <w:bidi w:val="0"/>
              <w:rPr>
                <w:rFonts w:hint="default"/>
                <w:color w:val="auto"/>
                <w:highlight w:val="none"/>
                <w:lang w:val="en-US" w:eastAsia="zh-CN"/>
              </w:rPr>
            </w:pPr>
            <w:r>
              <w:rPr>
                <w:rFonts w:hint="eastAsia"/>
                <w:color w:val="auto"/>
                <w:highlight w:val="none"/>
                <w:lang w:val="en-US" w:eastAsia="zh-CN"/>
              </w:rPr>
              <w:t>65</w:t>
            </w:r>
          </w:p>
        </w:tc>
        <w:tc>
          <w:tcPr>
            <w:tcW w:w="1417" w:type="pct"/>
            <w:tcBorders>
              <w:tl2br w:val="nil"/>
              <w:tr2bl w:val="nil"/>
            </w:tcBorders>
            <w:noWrap w:val="0"/>
            <w:vAlign w:val="center"/>
          </w:tcPr>
          <w:p w14:paraId="3409A139">
            <w:pPr>
              <w:pStyle w:val="563"/>
              <w:bidi w:val="0"/>
              <w:rPr>
                <w:rFonts w:hint="default"/>
                <w:color w:val="auto"/>
                <w:highlight w:val="none"/>
                <w:lang w:val="en-US" w:eastAsia="zh-CN"/>
              </w:rPr>
            </w:pPr>
            <w:r>
              <w:rPr>
                <w:rFonts w:hint="eastAsia"/>
                <w:color w:val="auto"/>
                <w:highlight w:val="none"/>
                <w:lang w:val="en-US" w:eastAsia="zh-CN"/>
              </w:rPr>
              <w:t>55</w:t>
            </w:r>
          </w:p>
        </w:tc>
      </w:tr>
      <w:tr w14:paraId="5FF34E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139" w:hRule="atLeast"/>
          <w:jc w:val="center"/>
        </w:trPr>
        <w:tc>
          <w:tcPr>
            <w:tcW w:w="2505" w:type="pct"/>
            <w:tcBorders>
              <w:tl2br w:val="nil"/>
              <w:tr2bl w:val="nil"/>
            </w:tcBorders>
            <w:noWrap w:val="0"/>
            <w:vAlign w:val="center"/>
          </w:tcPr>
          <w:p w14:paraId="14F11DEA">
            <w:pPr>
              <w:pStyle w:val="563"/>
              <w:bidi w:val="0"/>
              <w:rPr>
                <w:rFonts w:hint="eastAsia"/>
                <w:color w:val="auto"/>
                <w:highlight w:val="none"/>
              </w:rPr>
            </w:pPr>
            <w:r>
              <w:rPr>
                <w:rFonts w:hint="eastAsia"/>
                <w:color w:val="auto"/>
                <w:highlight w:val="none"/>
              </w:rPr>
              <w:t>（GB12348-2008）</w:t>
            </w:r>
            <w:r>
              <w:rPr>
                <w:rFonts w:hint="eastAsia"/>
                <w:color w:val="auto"/>
                <w:highlight w:val="none"/>
                <w:lang w:val="en-US" w:eastAsia="zh-CN"/>
              </w:rPr>
              <w:t>4</w:t>
            </w:r>
            <w:r>
              <w:rPr>
                <w:rFonts w:hint="eastAsia"/>
                <w:color w:val="auto"/>
                <w:highlight w:val="none"/>
              </w:rPr>
              <w:t>类</w:t>
            </w:r>
            <w:r>
              <w:rPr>
                <w:rFonts w:hint="eastAsia"/>
                <w:color w:val="auto"/>
                <w:highlight w:val="none"/>
                <w:lang w:val="en-US" w:eastAsia="zh-CN"/>
              </w:rPr>
              <w:t>声</w:t>
            </w:r>
            <w:r>
              <w:rPr>
                <w:rFonts w:hint="eastAsia"/>
                <w:color w:val="auto"/>
                <w:highlight w:val="none"/>
              </w:rPr>
              <w:t>功能区排放标准</w:t>
            </w:r>
          </w:p>
        </w:tc>
        <w:tc>
          <w:tcPr>
            <w:tcW w:w="1077" w:type="pct"/>
            <w:tcBorders>
              <w:tl2br w:val="nil"/>
              <w:tr2bl w:val="nil"/>
            </w:tcBorders>
            <w:noWrap w:val="0"/>
            <w:vAlign w:val="center"/>
          </w:tcPr>
          <w:p w14:paraId="068C9AFD">
            <w:pPr>
              <w:pStyle w:val="563"/>
              <w:bidi w:val="0"/>
              <w:rPr>
                <w:rFonts w:hint="default"/>
                <w:color w:val="auto"/>
                <w:highlight w:val="none"/>
                <w:lang w:val="en-US" w:eastAsia="zh-CN"/>
              </w:rPr>
            </w:pPr>
            <w:r>
              <w:rPr>
                <w:rFonts w:hint="eastAsia"/>
                <w:color w:val="auto"/>
                <w:highlight w:val="none"/>
                <w:lang w:val="en-US" w:eastAsia="zh-CN"/>
              </w:rPr>
              <w:t>70</w:t>
            </w:r>
          </w:p>
        </w:tc>
        <w:tc>
          <w:tcPr>
            <w:tcW w:w="1417" w:type="pct"/>
            <w:tcBorders>
              <w:tl2br w:val="nil"/>
              <w:tr2bl w:val="nil"/>
            </w:tcBorders>
            <w:noWrap w:val="0"/>
            <w:vAlign w:val="center"/>
          </w:tcPr>
          <w:p w14:paraId="5B7AF686">
            <w:pPr>
              <w:pStyle w:val="563"/>
              <w:bidi w:val="0"/>
              <w:rPr>
                <w:rFonts w:hint="default"/>
                <w:color w:val="auto"/>
                <w:highlight w:val="none"/>
                <w:lang w:val="en-US" w:eastAsia="zh-CN"/>
              </w:rPr>
            </w:pPr>
            <w:r>
              <w:rPr>
                <w:rFonts w:hint="eastAsia"/>
                <w:color w:val="auto"/>
                <w:highlight w:val="none"/>
                <w:lang w:val="en-US" w:eastAsia="zh-CN"/>
              </w:rPr>
              <w:t>55</w:t>
            </w:r>
          </w:p>
        </w:tc>
      </w:tr>
    </w:tbl>
    <w:p w14:paraId="3F1BD2E8">
      <w:pPr>
        <w:pStyle w:val="107"/>
        <w:spacing w:line="240" w:lineRule="auto"/>
        <w:jc w:val="center"/>
        <w:rPr>
          <w:color w:val="auto"/>
          <w:highlight w:val="none"/>
        </w:rPr>
      </w:pPr>
    </w:p>
    <w:p w14:paraId="045B5DF1">
      <w:pPr>
        <w:pStyle w:val="107"/>
        <w:spacing w:before="156" w:beforeLines="50"/>
        <w:rPr>
          <w:color w:val="auto"/>
          <w:highlight w:val="none"/>
        </w:rPr>
      </w:pPr>
      <w:r>
        <w:rPr>
          <w:color w:val="auto"/>
          <w:highlight w:val="none"/>
        </w:rPr>
        <w:t>4、固废</w:t>
      </w:r>
    </w:p>
    <w:p w14:paraId="08B35AAF">
      <w:pPr>
        <w:pStyle w:val="352"/>
        <w:keepNext w:val="0"/>
        <w:keepLines w:val="0"/>
        <w:pageBreakBefore w:val="0"/>
        <w:widowControl w:val="0"/>
        <w:kinsoku/>
        <w:wordWrap/>
        <w:overflowPunct/>
        <w:topLinePunct w:val="0"/>
        <w:autoSpaceDE/>
        <w:autoSpaceDN/>
        <w:bidi w:val="0"/>
        <w:adjustRightInd w:val="0"/>
        <w:snapToGrid w:val="0"/>
        <w:ind w:firstLine="480"/>
        <w:jc w:val="left"/>
        <w:textAlignment w:val="auto"/>
        <w:rPr>
          <w:rFonts w:hint="eastAsia"/>
          <w:color w:val="auto"/>
          <w:highlight w:val="none"/>
        </w:rPr>
      </w:pPr>
      <w:r>
        <w:rPr>
          <w:rFonts w:hint="eastAsia"/>
          <w:color w:val="auto"/>
          <w:highlight w:val="none"/>
        </w:rPr>
        <w:t>一般工业固体废物</w:t>
      </w:r>
      <w:r>
        <w:rPr>
          <w:rFonts w:hint="eastAsia"/>
          <w:color w:val="auto"/>
          <w:highlight w:val="none"/>
          <w:lang w:val="en-US" w:eastAsia="zh-CN"/>
        </w:rPr>
        <w:t>暂存参照执行</w:t>
      </w:r>
      <w:r>
        <w:rPr>
          <w:rFonts w:hint="eastAsia"/>
          <w:color w:val="auto"/>
          <w:highlight w:val="none"/>
        </w:rPr>
        <w:t>《一般工业固体废物贮存和填埋污染控</w:t>
      </w:r>
    </w:p>
    <w:p w14:paraId="48A227F1">
      <w:pPr>
        <w:pStyle w:val="352"/>
        <w:keepNext w:val="0"/>
        <w:keepLines w:val="0"/>
        <w:pageBreakBefore w:val="0"/>
        <w:widowControl w:val="0"/>
        <w:kinsoku/>
        <w:wordWrap/>
        <w:overflowPunct/>
        <w:topLinePunct w:val="0"/>
        <w:autoSpaceDE/>
        <w:autoSpaceDN/>
        <w:bidi w:val="0"/>
        <w:adjustRightInd w:val="0"/>
        <w:snapToGrid w:val="0"/>
        <w:ind w:firstLine="480"/>
        <w:jc w:val="left"/>
        <w:textAlignment w:val="auto"/>
        <w:rPr>
          <w:color w:val="auto"/>
          <w:highlight w:val="none"/>
        </w:rPr>
      </w:pPr>
      <w:r>
        <w:rPr>
          <w:rFonts w:hint="eastAsia"/>
          <w:color w:val="auto"/>
          <w:highlight w:val="none"/>
        </w:rPr>
        <w:t>制标准》（GB18599-2020）有关规定</w:t>
      </w:r>
      <w:r>
        <w:rPr>
          <w:rFonts w:hint="eastAsia"/>
          <w:color w:val="auto"/>
          <w:highlight w:val="none"/>
          <w:lang w:eastAsia="zh-CN"/>
        </w:rPr>
        <w:t>，</w:t>
      </w:r>
      <w:r>
        <w:rPr>
          <w:color w:val="auto"/>
          <w:highlight w:val="none"/>
        </w:rPr>
        <w:t>本项目危险固体废弃物的贮存处置执行</w:t>
      </w:r>
      <w:r>
        <w:rPr>
          <w:rFonts w:hint="eastAsia"/>
          <w:color w:val="auto"/>
          <w:highlight w:val="none"/>
        </w:rPr>
        <w:t>《危险废物贮存污染控制标准》（</w:t>
      </w:r>
      <w:r>
        <w:rPr>
          <w:color w:val="auto"/>
          <w:highlight w:val="none"/>
        </w:rPr>
        <w:t>GB18597-2023）中相关要求。</w:t>
      </w:r>
    </w:p>
    <w:p w14:paraId="57E1E1DC">
      <w:pPr>
        <w:pStyle w:val="218"/>
        <w:spacing w:before="62" w:after="156"/>
        <w:rPr>
          <w:color w:val="auto"/>
          <w:highlight w:val="none"/>
        </w:rPr>
      </w:pPr>
      <w:bookmarkStart w:id="75" w:name="_Toc152921972"/>
      <w:bookmarkStart w:id="76" w:name="_Toc14962"/>
      <w:bookmarkStart w:id="77" w:name="_Toc152922566"/>
      <w:r>
        <w:rPr>
          <w:color w:val="auto"/>
          <w:highlight w:val="none"/>
        </w:rPr>
        <w:t>2.4评价等级与评价范围</w:t>
      </w:r>
      <w:bookmarkEnd w:id="75"/>
      <w:bookmarkEnd w:id="76"/>
      <w:bookmarkEnd w:id="77"/>
    </w:p>
    <w:p w14:paraId="72E325D9">
      <w:pPr>
        <w:pStyle w:val="4"/>
        <w:spacing w:after="156"/>
        <w:rPr>
          <w:color w:val="auto"/>
          <w:highlight w:val="none"/>
        </w:rPr>
      </w:pPr>
      <w:bookmarkStart w:id="78" w:name="_Toc152921973"/>
      <w:bookmarkStart w:id="79" w:name="_Toc152922567"/>
      <w:bookmarkStart w:id="80" w:name="_Toc152923248"/>
      <w:bookmarkStart w:id="81" w:name="_Toc117150203"/>
      <w:bookmarkStart w:id="82" w:name="_Toc152921608"/>
      <w:r>
        <w:rPr>
          <w:color w:val="auto"/>
          <w:highlight w:val="none"/>
        </w:rPr>
        <w:t>2.4.1评价等级</w:t>
      </w:r>
      <w:bookmarkEnd w:id="78"/>
      <w:bookmarkEnd w:id="79"/>
      <w:bookmarkEnd w:id="80"/>
      <w:bookmarkEnd w:id="81"/>
      <w:bookmarkEnd w:id="82"/>
    </w:p>
    <w:p w14:paraId="3BFD8275">
      <w:pPr>
        <w:pStyle w:val="352"/>
        <w:ind w:firstLine="480"/>
        <w:rPr>
          <w:color w:val="auto"/>
          <w:highlight w:val="none"/>
        </w:rPr>
      </w:pPr>
      <w:r>
        <w:rPr>
          <w:color w:val="auto"/>
          <w:highlight w:val="none"/>
        </w:rPr>
        <w:t>依据</w:t>
      </w:r>
      <w:r>
        <w:rPr>
          <w:rFonts w:hint="eastAsia"/>
          <w:color w:val="auto"/>
          <w:highlight w:val="none"/>
          <w:lang w:eastAsia="zh-CN"/>
        </w:rPr>
        <w:t>“</w:t>
      </w:r>
      <w:r>
        <w:rPr>
          <w:color w:val="auto"/>
          <w:highlight w:val="none"/>
        </w:rPr>
        <w:t>环境影响评价技术导则</w:t>
      </w:r>
      <w:r>
        <w:rPr>
          <w:rFonts w:hint="eastAsia"/>
          <w:color w:val="auto"/>
          <w:highlight w:val="none"/>
          <w:lang w:eastAsia="zh-CN"/>
        </w:rPr>
        <w:t>”</w:t>
      </w:r>
      <w:r>
        <w:rPr>
          <w:color w:val="auto"/>
          <w:highlight w:val="none"/>
        </w:rPr>
        <w:t>中评价级别判定方法，确定本次环境评价各环境要素的评价级别。</w:t>
      </w:r>
    </w:p>
    <w:p w14:paraId="37DD92C7">
      <w:pPr>
        <w:pStyle w:val="5"/>
        <w:rPr>
          <w:color w:val="auto"/>
          <w:highlight w:val="none"/>
        </w:rPr>
      </w:pPr>
      <w:bookmarkStart w:id="83" w:name="_Toc117149695"/>
      <w:bookmarkStart w:id="84" w:name="_Toc152921609"/>
      <w:bookmarkStart w:id="85" w:name="_Toc152923249"/>
      <w:bookmarkStart w:id="86" w:name="_Toc152922568"/>
      <w:bookmarkStart w:id="87" w:name="_Toc117150204"/>
      <w:bookmarkStart w:id="88" w:name="_Toc152921974"/>
      <w:bookmarkStart w:id="89" w:name="_Toc119412434"/>
      <w:r>
        <w:rPr>
          <w:color w:val="auto"/>
          <w:highlight w:val="none"/>
        </w:rPr>
        <w:t>2.4.1.1大气环境影响评价工作等级</w:t>
      </w:r>
      <w:bookmarkEnd w:id="83"/>
      <w:bookmarkEnd w:id="84"/>
      <w:bookmarkEnd w:id="85"/>
      <w:bookmarkEnd w:id="86"/>
      <w:bookmarkEnd w:id="87"/>
      <w:bookmarkEnd w:id="88"/>
      <w:bookmarkEnd w:id="89"/>
    </w:p>
    <w:p w14:paraId="3D851E5D">
      <w:pPr>
        <w:widowControl/>
        <w:spacing w:line="360" w:lineRule="auto"/>
        <w:ind w:firstLine="480" w:firstLineChars="200"/>
        <w:rPr>
          <w:rFonts w:ascii="Times New Roman" w:hAnsi="Times New Roman" w:eastAsia="宋体"/>
          <w:color w:val="auto"/>
          <w:kern w:val="0"/>
          <w:sz w:val="24"/>
          <w:szCs w:val="20"/>
          <w:highlight w:val="none"/>
        </w:rPr>
      </w:pPr>
      <w:r>
        <w:rPr>
          <w:rFonts w:ascii="Times New Roman" w:hAnsi="Times New Roman" w:eastAsia="宋体"/>
          <w:color w:val="auto"/>
          <w:kern w:val="0"/>
          <w:sz w:val="24"/>
          <w:szCs w:val="20"/>
          <w:highlight w:val="none"/>
        </w:rPr>
        <w:t>根据《环境影响评价技术导则》（HJ2.2-2018）中关于环境影响评价等级划分规定，对项目的初步工程分析，计算其最大地面浓度占标率Pi及第i个污染物的地面浓度达标准限值10%时所对应的最远距离D</w:t>
      </w:r>
      <w:r>
        <w:rPr>
          <w:rFonts w:ascii="Times New Roman" w:hAnsi="Times New Roman" w:eastAsia="宋体"/>
          <w:color w:val="auto"/>
          <w:kern w:val="0"/>
          <w:sz w:val="24"/>
          <w:szCs w:val="20"/>
          <w:highlight w:val="none"/>
          <w:vertAlign w:val="subscript"/>
        </w:rPr>
        <w:t>10%</w:t>
      </w:r>
      <w:r>
        <w:rPr>
          <w:rFonts w:ascii="Times New Roman" w:hAnsi="Times New Roman" w:eastAsia="宋体"/>
          <w:color w:val="auto"/>
          <w:kern w:val="0"/>
          <w:sz w:val="24"/>
          <w:szCs w:val="20"/>
          <w:highlight w:val="none"/>
        </w:rPr>
        <w:t>。计算公式如下：</w:t>
      </w:r>
    </w:p>
    <w:p w14:paraId="446C5CA2">
      <w:pPr>
        <w:widowControl/>
        <w:spacing w:line="360" w:lineRule="auto"/>
        <w:jc w:val="center"/>
        <w:rPr>
          <w:rFonts w:ascii="Times New Roman" w:hAnsi="Times New Roman" w:eastAsia="宋体"/>
          <w:color w:val="auto"/>
          <w:kern w:val="0"/>
          <w:sz w:val="24"/>
          <w:szCs w:val="20"/>
          <w:highlight w:val="none"/>
        </w:rPr>
      </w:pPr>
      <w:r>
        <w:rPr>
          <w:rFonts w:ascii="Times New Roman" w:hAnsi="Times New Roman" w:eastAsia="宋体"/>
          <w:color w:val="auto"/>
          <w:kern w:val="0"/>
          <w:sz w:val="24"/>
          <w:szCs w:val="20"/>
          <w:highlight w:val="none"/>
        </w:rPr>
        <w:drawing>
          <wp:inline distT="0" distB="0" distL="114300" distR="114300">
            <wp:extent cx="1047750" cy="438150"/>
            <wp:effectExtent l="0" t="0" r="0" b="0"/>
            <wp:docPr id="613" name="图片 18"/>
            <wp:cNvGraphicFramePr/>
            <a:graphic xmlns:a="http://schemas.openxmlformats.org/drawingml/2006/main">
              <a:graphicData uri="http://schemas.openxmlformats.org/drawingml/2006/picture">
                <pic:pic xmlns:pic="http://schemas.openxmlformats.org/drawingml/2006/picture">
                  <pic:nvPicPr>
                    <pic:cNvPr id="613" name="图片 18"/>
                    <pic:cNvPicPr/>
                  </pic:nvPicPr>
                  <pic:blipFill>
                    <a:blip r:embed="rId9"/>
                    <a:stretch>
                      <a:fillRect/>
                    </a:stretch>
                  </pic:blipFill>
                  <pic:spPr>
                    <a:xfrm>
                      <a:off x="0" y="0"/>
                      <a:ext cx="1047750" cy="438150"/>
                    </a:xfrm>
                    <a:prstGeom prst="rect">
                      <a:avLst/>
                    </a:prstGeom>
                    <a:noFill/>
                    <a:ln>
                      <a:noFill/>
                    </a:ln>
                  </pic:spPr>
                </pic:pic>
              </a:graphicData>
            </a:graphic>
          </wp:inline>
        </w:drawing>
      </w:r>
    </w:p>
    <w:p w14:paraId="0ABD5F12">
      <w:pPr>
        <w:widowControl/>
        <w:spacing w:line="360" w:lineRule="auto"/>
        <w:ind w:firstLine="480" w:firstLineChars="200"/>
        <w:rPr>
          <w:rFonts w:ascii="Times New Roman" w:hAnsi="Times New Roman" w:eastAsia="宋体"/>
          <w:color w:val="auto"/>
          <w:kern w:val="0"/>
          <w:sz w:val="24"/>
          <w:szCs w:val="20"/>
          <w:highlight w:val="none"/>
        </w:rPr>
      </w:pPr>
      <w:r>
        <w:rPr>
          <w:rFonts w:ascii="Times New Roman" w:hAnsi="Times New Roman" w:eastAsia="宋体"/>
          <w:color w:val="auto"/>
          <w:kern w:val="0"/>
          <w:sz w:val="24"/>
          <w:szCs w:val="20"/>
          <w:highlight w:val="none"/>
        </w:rPr>
        <w:t>式中：</w:t>
      </w:r>
      <w:r>
        <w:rPr>
          <w:rFonts w:ascii="Times New Roman" w:hAnsi="Times New Roman" w:eastAsia="宋体"/>
          <w:i/>
          <w:iCs/>
          <w:color w:val="auto"/>
          <w:kern w:val="0"/>
          <w:sz w:val="24"/>
          <w:szCs w:val="20"/>
          <w:highlight w:val="none"/>
        </w:rPr>
        <w:t>P</w:t>
      </w:r>
      <w:r>
        <w:rPr>
          <w:rFonts w:ascii="Times New Roman" w:hAnsi="Times New Roman" w:eastAsia="宋体"/>
          <w:i/>
          <w:iCs/>
          <w:color w:val="auto"/>
          <w:kern w:val="0"/>
          <w:sz w:val="24"/>
          <w:szCs w:val="20"/>
          <w:highlight w:val="none"/>
          <w:vertAlign w:val="subscript"/>
        </w:rPr>
        <w:t>i</w:t>
      </w:r>
      <w:r>
        <w:rPr>
          <w:rFonts w:ascii="Times New Roman" w:hAnsi="Times New Roman" w:eastAsia="宋体"/>
          <w:color w:val="auto"/>
          <w:kern w:val="0"/>
          <w:sz w:val="24"/>
          <w:szCs w:val="20"/>
          <w:highlight w:val="none"/>
        </w:rPr>
        <w:t>—第i个污染物的最大地面浓度占标率，%；</w:t>
      </w:r>
    </w:p>
    <w:p w14:paraId="46BE9CAF">
      <w:pPr>
        <w:widowControl/>
        <w:spacing w:line="360" w:lineRule="auto"/>
        <w:ind w:firstLine="1200" w:firstLineChars="500"/>
        <w:rPr>
          <w:rFonts w:ascii="Times New Roman" w:hAnsi="Times New Roman" w:eastAsia="宋体"/>
          <w:color w:val="auto"/>
          <w:kern w:val="0"/>
          <w:sz w:val="24"/>
          <w:szCs w:val="20"/>
          <w:highlight w:val="none"/>
        </w:rPr>
      </w:pPr>
      <w:r>
        <w:rPr>
          <w:rFonts w:ascii="Times New Roman" w:hAnsi="Times New Roman" w:eastAsia="宋体"/>
          <w:i/>
          <w:iCs/>
          <w:color w:val="auto"/>
          <w:kern w:val="0"/>
          <w:sz w:val="24"/>
          <w:szCs w:val="20"/>
          <w:highlight w:val="none"/>
        </w:rPr>
        <w:t>C</w:t>
      </w:r>
      <w:r>
        <w:rPr>
          <w:rFonts w:ascii="Times New Roman" w:hAnsi="Times New Roman" w:eastAsia="宋体"/>
          <w:i/>
          <w:iCs/>
          <w:color w:val="auto"/>
          <w:kern w:val="0"/>
          <w:sz w:val="24"/>
          <w:szCs w:val="20"/>
          <w:highlight w:val="none"/>
          <w:vertAlign w:val="subscript"/>
        </w:rPr>
        <w:t>i</w:t>
      </w:r>
      <w:r>
        <w:rPr>
          <w:rFonts w:ascii="Times New Roman" w:hAnsi="Times New Roman" w:eastAsia="宋体"/>
          <w:color w:val="auto"/>
          <w:kern w:val="0"/>
          <w:sz w:val="24"/>
          <w:szCs w:val="20"/>
          <w:highlight w:val="none"/>
        </w:rPr>
        <w:t>—采用估算模式计算出的第i个污染物的最大地面浓度，mg/m</w:t>
      </w:r>
      <w:r>
        <w:rPr>
          <w:rFonts w:ascii="Times New Roman" w:hAnsi="Times New Roman" w:eastAsia="宋体"/>
          <w:color w:val="auto"/>
          <w:kern w:val="0"/>
          <w:sz w:val="24"/>
          <w:szCs w:val="20"/>
          <w:highlight w:val="none"/>
          <w:vertAlign w:val="superscript"/>
        </w:rPr>
        <w:t>3</w:t>
      </w:r>
      <w:r>
        <w:rPr>
          <w:rFonts w:ascii="Times New Roman" w:hAnsi="Times New Roman" w:eastAsia="宋体"/>
          <w:color w:val="auto"/>
          <w:kern w:val="0"/>
          <w:sz w:val="24"/>
          <w:szCs w:val="20"/>
          <w:highlight w:val="none"/>
        </w:rPr>
        <w:t>；</w:t>
      </w:r>
    </w:p>
    <w:p w14:paraId="49A4CD3F">
      <w:pPr>
        <w:widowControl/>
        <w:spacing w:line="360" w:lineRule="auto"/>
        <w:ind w:firstLine="1200" w:firstLineChars="500"/>
        <w:rPr>
          <w:rFonts w:hint="eastAsia" w:ascii="Times New Roman" w:hAnsi="Times New Roman" w:eastAsia="宋体"/>
          <w:color w:val="auto"/>
          <w:kern w:val="0"/>
          <w:sz w:val="24"/>
          <w:szCs w:val="20"/>
          <w:highlight w:val="none"/>
        </w:rPr>
      </w:pPr>
      <w:r>
        <w:rPr>
          <w:rFonts w:ascii="Times New Roman" w:hAnsi="Times New Roman" w:eastAsia="宋体"/>
          <w:i/>
          <w:iCs/>
          <w:color w:val="auto"/>
          <w:kern w:val="0"/>
          <w:sz w:val="24"/>
          <w:szCs w:val="20"/>
          <w:highlight w:val="none"/>
        </w:rPr>
        <w:t>C</w:t>
      </w:r>
      <w:r>
        <w:rPr>
          <w:rFonts w:ascii="Times New Roman" w:hAnsi="Times New Roman" w:eastAsia="宋体"/>
          <w:i/>
          <w:iCs/>
          <w:color w:val="auto"/>
          <w:kern w:val="0"/>
          <w:sz w:val="24"/>
          <w:szCs w:val="20"/>
          <w:highlight w:val="none"/>
          <w:vertAlign w:val="subscript"/>
        </w:rPr>
        <w:t>oi</w:t>
      </w:r>
      <w:r>
        <w:rPr>
          <w:rFonts w:ascii="Times New Roman" w:hAnsi="Times New Roman" w:eastAsia="宋体"/>
          <w:color w:val="auto"/>
          <w:kern w:val="0"/>
          <w:sz w:val="24"/>
          <w:szCs w:val="20"/>
          <w:highlight w:val="none"/>
        </w:rPr>
        <w:t>—第i个污染物的环境空气质量标准，mg/m</w:t>
      </w:r>
      <w:r>
        <w:rPr>
          <w:rFonts w:ascii="Times New Roman" w:hAnsi="Times New Roman" w:eastAsia="宋体"/>
          <w:color w:val="auto"/>
          <w:kern w:val="0"/>
          <w:sz w:val="24"/>
          <w:szCs w:val="20"/>
          <w:highlight w:val="none"/>
          <w:vertAlign w:val="superscript"/>
        </w:rPr>
        <w:t>3</w:t>
      </w:r>
      <w:r>
        <w:rPr>
          <w:rFonts w:ascii="Times New Roman" w:hAnsi="Times New Roman" w:eastAsia="宋体"/>
          <w:color w:val="auto"/>
          <w:kern w:val="0"/>
          <w:sz w:val="24"/>
          <w:szCs w:val="20"/>
          <w:highlight w:val="none"/>
        </w:rPr>
        <w:t>。</w:t>
      </w:r>
    </w:p>
    <w:p w14:paraId="742B15FD">
      <w:pPr>
        <w:widowControl/>
        <w:jc w:val="center"/>
        <w:rPr>
          <w:rFonts w:ascii="Times New Roman" w:hAnsi="Times New Roman" w:eastAsia="宋体"/>
          <w:b/>
          <w:color w:val="auto"/>
          <w:kern w:val="0"/>
          <w:sz w:val="24"/>
          <w:szCs w:val="16"/>
          <w:highlight w:val="none"/>
        </w:rPr>
      </w:pPr>
      <w:r>
        <w:rPr>
          <w:rFonts w:ascii="Times New Roman" w:hAnsi="Times New Roman" w:eastAsia="宋体"/>
          <w:b/>
          <w:color w:val="auto"/>
          <w:kern w:val="0"/>
          <w:sz w:val="24"/>
          <w:szCs w:val="16"/>
          <w:highlight w:val="none"/>
        </w:rPr>
        <w:t>表2.4.1-1</w:t>
      </w:r>
      <w:r>
        <w:rPr>
          <w:rFonts w:hint="eastAsia"/>
          <w:b/>
          <w:color w:val="auto"/>
          <w:kern w:val="0"/>
          <w:sz w:val="24"/>
          <w:szCs w:val="16"/>
          <w:highlight w:val="none"/>
          <w:lang w:val="en-US" w:eastAsia="zh-CN"/>
        </w:rPr>
        <w:t xml:space="preserve">  </w:t>
      </w:r>
      <w:r>
        <w:rPr>
          <w:rFonts w:ascii="Times New Roman" w:hAnsi="Times New Roman" w:eastAsia="宋体"/>
          <w:b/>
          <w:color w:val="auto"/>
          <w:kern w:val="0"/>
          <w:sz w:val="24"/>
          <w:szCs w:val="16"/>
          <w:highlight w:val="none"/>
        </w:rPr>
        <w:t>评价工作级别</w:t>
      </w:r>
    </w:p>
    <w:tbl>
      <w:tblPr>
        <w:tblStyle w:val="49"/>
        <w:tblW w:w="485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28" w:type="dxa"/>
          <w:left w:w="108" w:type="dxa"/>
          <w:bottom w:w="28" w:type="dxa"/>
          <w:right w:w="108" w:type="dxa"/>
        </w:tblCellMar>
      </w:tblPr>
      <w:tblGrid>
        <w:gridCol w:w="3859"/>
        <w:gridCol w:w="4412"/>
      </w:tblGrid>
      <w:tr w14:paraId="08AAF1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341" w:hRule="exact"/>
          <w:jc w:val="center"/>
        </w:trPr>
        <w:tc>
          <w:tcPr>
            <w:tcW w:w="2333" w:type="pct"/>
            <w:tcBorders>
              <w:tl2br w:val="nil"/>
              <w:tr2bl w:val="nil"/>
            </w:tcBorders>
            <w:noWrap w:val="0"/>
            <w:vAlign w:val="center"/>
          </w:tcPr>
          <w:p w14:paraId="798844A0">
            <w:pPr>
              <w:snapToGrid w:val="0"/>
              <w:jc w:val="center"/>
              <w:rPr>
                <w:rFonts w:ascii="Times New Roman" w:hAnsi="Times New Roman" w:eastAsia="宋体"/>
                <w:b/>
                <w:bCs/>
                <w:color w:val="auto"/>
                <w:szCs w:val="24"/>
                <w:highlight w:val="none"/>
              </w:rPr>
            </w:pPr>
            <w:r>
              <w:rPr>
                <w:rFonts w:ascii="Times New Roman" w:hAnsi="Times New Roman" w:eastAsia="宋体"/>
                <w:b/>
                <w:bCs/>
                <w:color w:val="auto"/>
                <w:szCs w:val="24"/>
                <w:highlight w:val="none"/>
              </w:rPr>
              <w:t>评价工作等级</w:t>
            </w:r>
          </w:p>
        </w:tc>
        <w:tc>
          <w:tcPr>
            <w:tcW w:w="2667" w:type="pct"/>
            <w:tcBorders>
              <w:tl2br w:val="nil"/>
              <w:tr2bl w:val="nil"/>
            </w:tcBorders>
            <w:noWrap w:val="0"/>
            <w:vAlign w:val="center"/>
          </w:tcPr>
          <w:p w14:paraId="6693EA42">
            <w:pPr>
              <w:widowControl/>
              <w:snapToGrid w:val="0"/>
              <w:jc w:val="center"/>
              <w:rPr>
                <w:rFonts w:ascii="Times New Roman" w:hAnsi="Times New Roman" w:eastAsia="宋体"/>
                <w:b/>
                <w:bCs/>
                <w:color w:val="auto"/>
                <w:szCs w:val="24"/>
                <w:highlight w:val="none"/>
              </w:rPr>
            </w:pPr>
            <w:r>
              <w:rPr>
                <w:rFonts w:ascii="Times New Roman" w:hAnsi="Times New Roman" w:eastAsia="宋体"/>
                <w:b/>
                <w:bCs/>
                <w:color w:val="auto"/>
                <w:szCs w:val="24"/>
                <w:highlight w:val="none"/>
              </w:rPr>
              <w:t>评价工作等级判据</w:t>
            </w:r>
          </w:p>
        </w:tc>
      </w:tr>
      <w:tr w14:paraId="764ACA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302" w:hRule="exact"/>
          <w:jc w:val="center"/>
        </w:trPr>
        <w:tc>
          <w:tcPr>
            <w:tcW w:w="2333" w:type="pct"/>
            <w:tcBorders>
              <w:tl2br w:val="nil"/>
              <w:tr2bl w:val="nil"/>
            </w:tcBorders>
            <w:noWrap w:val="0"/>
            <w:vAlign w:val="center"/>
          </w:tcPr>
          <w:p w14:paraId="1D642BF7">
            <w:pPr>
              <w:snapToGrid w:val="0"/>
              <w:jc w:val="center"/>
              <w:rPr>
                <w:rFonts w:ascii="Times New Roman" w:hAnsi="Times New Roman" w:eastAsia="宋体"/>
                <w:color w:val="auto"/>
                <w:szCs w:val="24"/>
                <w:highlight w:val="none"/>
              </w:rPr>
            </w:pPr>
            <w:r>
              <w:rPr>
                <w:rFonts w:ascii="Times New Roman" w:hAnsi="Times New Roman" w:eastAsia="宋体"/>
                <w:color w:val="auto"/>
                <w:szCs w:val="24"/>
                <w:highlight w:val="none"/>
              </w:rPr>
              <w:t>一级</w:t>
            </w:r>
          </w:p>
        </w:tc>
        <w:tc>
          <w:tcPr>
            <w:tcW w:w="2667" w:type="pct"/>
            <w:tcBorders>
              <w:tl2br w:val="nil"/>
              <w:tr2bl w:val="nil"/>
            </w:tcBorders>
            <w:noWrap w:val="0"/>
            <w:vAlign w:val="center"/>
          </w:tcPr>
          <w:p w14:paraId="703D6645">
            <w:pPr>
              <w:widowControl/>
              <w:snapToGrid w:val="0"/>
              <w:jc w:val="center"/>
              <w:rPr>
                <w:rFonts w:ascii="Times New Roman" w:hAnsi="Times New Roman" w:eastAsia="宋体"/>
                <w:color w:val="auto"/>
                <w:szCs w:val="24"/>
                <w:highlight w:val="none"/>
              </w:rPr>
            </w:pPr>
            <w:r>
              <w:rPr>
                <w:rFonts w:ascii="Times New Roman" w:hAnsi="Times New Roman" w:eastAsia="宋体"/>
                <w:color w:val="auto"/>
                <w:szCs w:val="24"/>
                <w:highlight w:val="none"/>
              </w:rPr>
              <w:t>Pmax≥10%</w:t>
            </w:r>
          </w:p>
        </w:tc>
      </w:tr>
      <w:tr w14:paraId="782927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305" w:hRule="exact"/>
          <w:jc w:val="center"/>
        </w:trPr>
        <w:tc>
          <w:tcPr>
            <w:tcW w:w="2333" w:type="pct"/>
            <w:tcBorders>
              <w:tl2br w:val="nil"/>
              <w:tr2bl w:val="nil"/>
            </w:tcBorders>
            <w:noWrap w:val="0"/>
            <w:vAlign w:val="center"/>
          </w:tcPr>
          <w:p w14:paraId="0259FFFC">
            <w:pPr>
              <w:snapToGrid w:val="0"/>
              <w:jc w:val="center"/>
              <w:rPr>
                <w:rFonts w:ascii="Times New Roman" w:hAnsi="Times New Roman" w:eastAsia="宋体"/>
                <w:color w:val="auto"/>
                <w:szCs w:val="24"/>
                <w:highlight w:val="none"/>
              </w:rPr>
            </w:pPr>
            <w:r>
              <w:rPr>
                <w:rFonts w:ascii="Times New Roman" w:hAnsi="Times New Roman" w:eastAsia="宋体"/>
                <w:color w:val="auto"/>
                <w:szCs w:val="24"/>
                <w:highlight w:val="none"/>
              </w:rPr>
              <w:t>二级</w:t>
            </w:r>
          </w:p>
        </w:tc>
        <w:tc>
          <w:tcPr>
            <w:tcW w:w="2667" w:type="pct"/>
            <w:tcBorders>
              <w:tl2br w:val="nil"/>
              <w:tr2bl w:val="nil"/>
            </w:tcBorders>
            <w:noWrap w:val="0"/>
            <w:vAlign w:val="center"/>
          </w:tcPr>
          <w:p w14:paraId="6BBE5B24">
            <w:pPr>
              <w:widowControl/>
              <w:snapToGrid w:val="0"/>
              <w:jc w:val="center"/>
              <w:rPr>
                <w:rFonts w:ascii="Times New Roman" w:hAnsi="Times New Roman" w:eastAsia="宋体"/>
                <w:color w:val="auto"/>
                <w:szCs w:val="24"/>
                <w:highlight w:val="none"/>
              </w:rPr>
            </w:pPr>
            <w:r>
              <w:rPr>
                <w:rFonts w:ascii="Times New Roman" w:hAnsi="Times New Roman" w:eastAsia="宋体"/>
                <w:color w:val="auto"/>
                <w:szCs w:val="24"/>
                <w:highlight w:val="none"/>
              </w:rPr>
              <w:t>1%≤Pmax&lt;10%</w:t>
            </w:r>
          </w:p>
        </w:tc>
      </w:tr>
      <w:tr w14:paraId="23F6014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310" w:hRule="exact"/>
          <w:jc w:val="center"/>
        </w:trPr>
        <w:tc>
          <w:tcPr>
            <w:tcW w:w="2333" w:type="pct"/>
            <w:tcBorders>
              <w:tl2br w:val="nil"/>
              <w:tr2bl w:val="nil"/>
            </w:tcBorders>
            <w:noWrap w:val="0"/>
            <w:vAlign w:val="center"/>
          </w:tcPr>
          <w:p w14:paraId="4349A676">
            <w:pPr>
              <w:widowControl/>
              <w:snapToGrid w:val="0"/>
              <w:jc w:val="center"/>
              <w:rPr>
                <w:rFonts w:ascii="Times New Roman" w:hAnsi="Times New Roman" w:eastAsia="宋体"/>
                <w:color w:val="auto"/>
                <w:szCs w:val="24"/>
                <w:highlight w:val="none"/>
              </w:rPr>
            </w:pPr>
            <w:r>
              <w:rPr>
                <w:rFonts w:ascii="Times New Roman" w:hAnsi="Times New Roman" w:eastAsia="宋体"/>
                <w:color w:val="auto"/>
                <w:szCs w:val="24"/>
                <w:highlight w:val="none"/>
              </w:rPr>
              <w:t>三级</w:t>
            </w:r>
          </w:p>
        </w:tc>
        <w:tc>
          <w:tcPr>
            <w:tcW w:w="2667" w:type="pct"/>
            <w:tcBorders>
              <w:tl2br w:val="nil"/>
              <w:tr2bl w:val="nil"/>
            </w:tcBorders>
            <w:noWrap w:val="0"/>
            <w:vAlign w:val="center"/>
          </w:tcPr>
          <w:p w14:paraId="70C8456A">
            <w:pPr>
              <w:widowControl/>
              <w:snapToGrid w:val="0"/>
              <w:jc w:val="center"/>
              <w:rPr>
                <w:rFonts w:ascii="Times New Roman" w:hAnsi="Times New Roman" w:eastAsia="宋体"/>
                <w:color w:val="auto"/>
                <w:szCs w:val="24"/>
                <w:highlight w:val="none"/>
              </w:rPr>
            </w:pPr>
            <w:r>
              <w:rPr>
                <w:rFonts w:ascii="Times New Roman" w:hAnsi="Times New Roman" w:eastAsia="宋体"/>
                <w:color w:val="auto"/>
                <w:szCs w:val="24"/>
                <w:highlight w:val="none"/>
              </w:rPr>
              <w:t>Pmax&lt;1%</w:t>
            </w:r>
          </w:p>
        </w:tc>
      </w:tr>
    </w:tbl>
    <w:p w14:paraId="73F34013">
      <w:pPr>
        <w:widowControl/>
        <w:spacing w:before="156" w:beforeLines="50" w:line="360" w:lineRule="auto"/>
        <w:ind w:firstLine="482"/>
        <w:jc w:val="left"/>
        <w:rPr>
          <w:rFonts w:ascii="Times New Roman" w:hAnsi="Times New Roman" w:eastAsia="宋体"/>
          <w:color w:val="auto"/>
          <w:sz w:val="24"/>
          <w:szCs w:val="24"/>
          <w:highlight w:val="none"/>
        </w:rPr>
      </w:pPr>
      <w:r>
        <w:rPr>
          <w:rFonts w:ascii="宋体" w:hAnsi="宋体" w:eastAsia="宋体"/>
          <w:color w:val="auto"/>
          <w:sz w:val="24"/>
          <w:szCs w:val="24"/>
          <w:highlight w:val="none"/>
        </w:rPr>
        <w:t>②</w:t>
      </w:r>
      <w:r>
        <w:rPr>
          <w:rFonts w:ascii="Times New Roman" w:hAnsi="Times New Roman" w:eastAsia="宋体"/>
          <w:color w:val="auto"/>
          <w:sz w:val="24"/>
          <w:szCs w:val="24"/>
          <w:highlight w:val="none"/>
        </w:rPr>
        <w:t>污染源计算参数见表2.4.1-2。</w:t>
      </w:r>
    </w:p>
    <w:p w14:paraId="14AFD0EE">
      <w:pPr>
        <w:keepNext w:val="0"/>
        <w:keepLines w:val="0"/>
        <w:pageBreakBefore w:val="0"/>
        <w:widowControl/>
        <w:kinsoku/>
        <w:wordWrap/>
        <w:overflowPunct/>
        <w:topLinePunct w:val="0"/>
        <w:autoSpaceDE/>
        <w:autoSpaceDN/>
        <w:bidi w:val="0"/>
        <w:adjustRightInd/>
        <w:snapToGrid/>
        <w:spacing w:line="360" w:lineRule="auto"/>
        <w:ind w:firstLine="444" w:firstLineChars="200"/>
        <w:jc w:val="center"/>
        <w:textAlignment w:val="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color w:val="auto"/>
          <w:spacing w:val="-9"/>
          <w:sz w:val="24"/>
          <w:szCs w:val="24"/>
          <w:highlight w:val="none"/>
        </w:rPr>
        <w:t>根据工程分析结果，项目主要大气污染物为颗粒物</w:t>
      </w:r>
      <w:r>
        <w:rPr>
          <w:rFonts w:hint="default" w:ascii="Times New Roman" w:hAnsi="Times New Roman" w:cs="Times New Roman"/>
          <w:color w:val="auto"/>
          <w:spacing w:val="-9"/>
          <w:sz w:val="24"/>
          <w:szCs w:val="24"/>
          <w:highlight w:val="none"/>
          <w:lang w:eastAsia="zh-CN"/>
        </w:rPr>
        <w:t>、</w:t>
      </w:r>
      <w:r>
        <w:rPr>
          <w:rFonts w:hint="eastAsia" w:ascii="Times New Roman" w:hAnsi="Times New Roman" w:eastAsia="宋体" w:cs="Times New Roman"/>
          <w:color w:val="auto"/>
          <w:spacing w:val="-9"/>
          <w:sz w:val="24"/>
          <w:szCs w:val="24"/>
          <w:highlight w:val="none"/>
          <w:lang w:val="en-US" w:eastAsia="zh-CN"/>
        </w:rPr>
        <w:t>SO</w:t>
      </w:r>
      <w:r>
        <w:rPr>
          <w:rFonts w:hint="eastAsia" w:ascii="Times New Roman" w:hAnsi="Times New Roman" w:eastAsia="宋体" w:cs="Times New Roman"/>
          <w:color w:val="auto"/>
          <w:spacing w:val="-9"/>
          <w:sz w:val="24"/>
          <w:szCs w:val="24"/>
          <w:highlight w:val="none"/>
          <w:vertAlign w:val="subscript"/>
          <w:lang w:val="en-US" w:eastAsia="zh-CN"/>
        </w:rPr>
        <w:t>2</w:t>
      </w:r>
      <w:r>
        <w:rPr>
          <w:rFonts w:hint="default" w:ascii="Times New Roman" w:hAnsi="Times New Roman" w:eastAsia="宋体" w:cs="Times New Roman"/>
          <w:color w:val="auto"/>
          <w:spacing w:val="-9"/>
          <w:sz w:val="24"/>
          <w:szCs w:val="24"/>
          <w:highlight w:val="none"/>
        </w:rPr>
        <w:t>、</w:t>
      </w:r>
      <w:r>
        <w:rPr>
          <w:rFonts w:hint="eastAsia" w:ascii="Times New Roman" w:hAnsi="Times New Roman" w:eastAsia="宋体" w:cs="Times New Roman"/>
          <w:color w:val="auto"/>
          <w:spacing w:val="-9"/>
          <w:sz w:val="24"/>
          <w:szCs w:val="24"/>
          <w:highlight w:val="none"/>
          <w:lang w:val="en-US" w:eastAsia="zh-CN"/>
        </w:rPr>
        <w:t>NOx、</w:t>
      </w:r>
      <w:r>
        <w:rPr>
          <w:rFonts w:hint="default" w:ascii="Times New Roman" w:hAnsi="Times New Roman" w:eastAsia="宋体" w:cs="Times New Roman"/>
          <w:color w:val="auto"/>
          <w:spacing w:val="-9"/>
          <w:sz w:val="24"/>
          <w:szCs w:val="24"/>
          <w:highlight w:val="none"/>
        </w:rPr>
        <w:t>非甲烷总烃，</w:t>
      </w:r>
      <w:r>
        <w:rPr>
          <w:rFonts w:hint="default" w:ascii="Times New Roman" w:hAnsi="Times New Roman" w:eastAsia="宋体" w:cs="Times New Roman"/>
          <w:color w:val="auto"/>
          <w:sz w:val="24"/>
          <w:szCs w:val="24"/>
          <w:highlight w:val="none"/>
        </w:rPr>
        <w:t>根据AERSCREEN（考虑地形）的计算结果，污染物地面浓度占标率见表</w:t>
      </w:r>
      <w:r>
        <w:rPr>
          <w:rFonts w:hint="eastAsia" w:ascii="Times New Roman" w:hAnsi="Times New Roman" w:eastAsia="宋体" w:cs="Times New Roman"/>
          <w:color w:val="auto"/>
          <w:sz w:val="24"/>
          <w:szCs w:val="24"/>
          <w:highlight w:val="none"/>
          <w:lang w:val="en-US" w:eastAsia="zh-CN"/>
        </w:rPr>
        <w:t>2.4.1-2.</w:t>
      </w:r>
    </w:p>
    <w:p w14:paraId="22F064A8">
      <w:pPr>
        <w:widowControl/>
        <w:jc w:val="center"/>
        <w:rPr>
          <w:rFonts w:hint="eastAsia" w:ascii="Times New Roman" w:hAnsi="Times New Roman" w:eastAsia="宋体"/>
          <w:b/>
          <w:color w:val="auto"/>
          <w:sz w:val="24"/>
          <w:szCs w:val="21"/>
          <w:highlight w:val="none"/>
        </w:rPr>
      </w:pPr>
      <w:r>
        <w:rPr>
          <w:rFonts w:ascii="Times New Roman" w:hAnsi="Times New Roman" w:eastAsia="宋体"/>
          <w:b/>
          <w:color w:val="auto"/>
          <w:sz w:val="24"/>
          <w:szCs w:val="21"/>
          <w:highlight w:val="none"/>
        </w:rPr>
        <w:t>表2.4.1-2</w:t>
      </w:r>
      <w:r>
        <w:rPr>
          <w:rFonts w:hint="eastAsia" w:ascii="Times New Roman" w:hAnsi="Times New Roman" w:eastAsia="宋体"/>
          <w:b/>
          <w:color w:val="auto"/>
          <w:sz w:val="24"/>
          <w:szCs w:val="21"/>
          <w:highlight w:val="none"/>
          <w:lang w:val="en-US" w:eastAsia="zh-CN"/>
        </w:rPr>
        <w:t xml:space="preserve">  </w:t>
      </w:r>
      <w:r>
        <w:rPr>
          <w:rFonts w:hint="eastAsia" w:ascii="Times New Roman" w:hAnsi="Times New Roman" w:eastAsia="宋体"/>
          <w:b/>
          <w:color w:val="auto"/>
          <w:sz w:val="24"/>
          <w:szCs w:val="21"/>
          <w:highlight w:val="none"/>
        </w:rPr>
        <w:t>Pmax预测和计算结果一览表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2"/>
        <w:gridCol w:w="1350"/>
        <w:gridCol w:w="1606"/>
        <w:gridCol w:w="1500"/>
        <w:gridCol w:w="1355"/>
        <w:gridCol w:w="1196"/>
      </w:tblGrid>
      <w:tr w14:paraId="694BC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7" w:type="pct"/>
            <w:tcBorders>
              <w:tl2br w:val="nil"/>
              <w:tr2bl w:val="nil"/>
            </w:tcBorders>
            <w:noWrap w:val="0"/>
            <w:vAlign w:val="center"/>
          </w:tcPr>
          <w:p w14:paraId="29EB48E9">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污染源名称</w:t>
            </w:r>
          </w:p>
        </w:tc>
        <w:tc>
          <w:tcPr>
            <w:tcW w:w="792" w:type="pct"/>
            <w:tcBorders>
              <w:tl2br w:val="nil"/>
              <w:tr2bl w:val="nil"/>
            </w:tcBorders>
            <w:noWrap w:val="0"/>
            <w:vAlign w:val="center"/>
          </w:tcPr>
          <w:p w14:paraId="75B53E4A">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评价因子</w:t>
            </w:r>
          </w:p>
        </w:tc>
        <w:tc>
          <w:tcPr>
            <w:tcW w:w="942" w:type="pct"/>
            <w:tcBorders>
              <w:tl2br w:val="nil"/>
              <w:tr2bl w:val="nil"/>
            </w:tcBorders>
            <w:noWrap w:val="0"/>
            <w:vAlign w:val="center"/>
          </w:tcPr>
          <w:p w14:paraId="2240034A">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最大浓度落地点（m）</w:t>
            </w:r>
          </w:p>
        </w:tc>
        <w:tc>
          <w:tcPr>
            <w:tcW w:w="880" w:type="pct"/>
            <w:tcBorders>
              <w:tl2br w:val="nil"/>
              <w:tr2bl w:val="nil"/>
            </w:tcBorders>
            <w:noWrap w:val="0"/>
            <w:vAlign w:val="center"/>
          </w:tcPr>
          <w:p w14:paraId="38F8AFC8">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Cmax(μg/m³)</w:t>
            </w:r>
          </w:p>
        </w:tc>
        <w:tc>
          <w:tcPr>
            <w:tcW w:w="795" w:type="pct"/>
            <w:tcBorders>
              <w:tl2br w:val="nil"/>
              <w:tr2bl w:val="nil"/>
            </w:tcBorders>
            <w:noWrap w:val="0"/>
            <w:vAlign w:val="center"/>
          </w:tcPr>
          <w:p w14:paraId="55357067">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Pmax(%)</w:t>
            </w:r>
          </w:p>
        </w:tc>
        <w:tc>
          <w:tcPr>
            <w:tcW w:w="701" w:type="pct"/>
            <w:tcBorders>
              <w:tl2br w:val="nil"/>
              <w:tr2bl w:val="nil"/>
            </w:tcBorders>
            <w:noWrap w:val="0"/>
            <w:vAlign w:val="center"/>
          </w:tcPr>
          <w:p w14:paraId="48A2EDCD">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D10%</w:t>
            </w:r>
          </w:p>
          <w:p w14:paraId="6B01D425">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(m)</w:t>
            </w:r>
          </w:p>
        </w:tc>
      </w:tr>
      <w:tr w14:paraId="28F7C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tcBorders>
              <w:tl2br w:val="nil"/>
              <w:tr2bl w:val="nil"/>
            </w:tcBorders>
            <w:noWrap w:val="0"/>
            <w:vAlign w:val="center"/>
          </w:tcPr>
          <w:p w14:paraId="05989CE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无组织</w:t>
            </w:r>
          </w:p>
        </w:tc>
        <w:tc>
          <w:tcPr>
            <w:tcW w:w="792" w:type="pct"/>
            <w:tcBorders>
              <w:tl2br w:val="nil"/>
              <w:tr2bl w:val="nil"/>
            </w:tcBorders>
            <w:noWrap w:val="0"/>
            <w:vAlign w:val="center"/>
          </w:tcPr>
          <w:p w14:paraId="46074752">
            <w:pPr>
              <w:widowControl/>
              <w:snapToGrid w:val="0"/>
              <w:jc w:val="center"/>
              <w:rPr>
                <w:rFonts w:ascii="Times New Roman" w:hAnsi="Times New Roman" w:eastAsia="宋体"/>
                <w:color w:val="auto"/>
                <w:kern w:val="0"/>
                <w:szCs w:val="21"/>
                <w:highlight w:val="none"/>
              </w:rPr>
            </w:pPr>
            <w:r>
              <w:rPr>
                <w:rFonts w:hint="eastAsia" w:ascii="Times New Roman" w:hAnsi="Times New Roman" w:eastAsia="宋体"/>
                <w:color w:val="auto"/>
                <w:szCs w:val="21"/>
                <w:highlight w:val="none"/>
                <w:lang w:val="en-US" w:eastAsia="zh-CN"/>
              </w:rPr>
              <w:t>非甲烷总烃</w:t>
            </w:r>
          </w:p>
        </w:tc>
        <w:tc>
          <w:tcPr>
            <w:tcW w:w="942" w:type="pct"/>
            <w:tcBorders>
              <w:tl2br w:val="nil"/>
              <w:tr2bl w:val="nil"/>
            </w:tcBorders>
            <w:noWrap w:val="0"/>
            <w:vAlign w:val="center"/>
          </w:tcPr>
          <w:p w14:paraId="55FCE864">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28</w:t>
            </w:r>
          </w:p>
        </w:tc>
        <w:tc>
          <w:tcPr>
            <w:tcW w:w="880" w:type="pct"/>
            <w:tcBorders>
              <w:tl2br w:val="nil"/>
              <w:tr2bl w:val="nil"/>
            </w:tcBorders>
            <w:noWrap w:val="0"/>
            <w:vAlign w:val="center"/>
          </w:tcPr>
          <w:p w14:paraId="1098F001">
            <w:pPr>
              <w:jc w:val="center"/>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153.97</w:t>
            </w:r>
          </w:p>
        </w:tc>
        <w:tc>
          <w:tcPr>
            <w:tcW w:w="795" w:type="pct"/>
            <w:tcBorders>
              <w:tl2br w:val="nil"/>
              <w:tr2bl w:val="nil"/>
            </w:tcBorders>
            <w:noWrap w:val="0"/>
            <w:vAlign w:val="center"/>
          </w:tcPr>
          <w:p w14:paraId="3D468C04">
            <w:pPr>
              <w:jc w:val="center"/>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7.6985</w:t>
            </w:r>
          </w:p>
        </w:tc>
        <w:tc>
          <w:tcPr>
            <w:tcW w:w="701" w:type="pct"/>
            <w:tcBorders>
              <w:tl2br w:val="nil"/>
              <w:tr2bl w:val="nil"/>
            </w:tcBorders>
            <w:noWrap w:val="0"/>
            <w:vAlign w:val="center"/>
          </w:tcPr>
          <w:p w14:paraId="4258AC37">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w:t>
            </w:r>
          </w:p>
        </w:tc>
      </w:tr>
      <w:tr w14:paraId="01AEF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restart"/>
            <w:tcBorders>
              <w:tl2br w:val="nil"/>
              <w:tr2bl w:val="nil"/>
            </w:tcBorders>
            <w:noWrap w:val="0"/>
            <w:vAlign w:val="center"/>
          </w:tcPr>
          <w:p w14:paraId="0C92193D">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DA001</w:t>
            </w:r>
          </w:p>
        </w:tc>
        <w:tc>
          <w:tcPr>
            <w:tcW w:w="792" w:type="pct"/>
            <w:tcBorders>
              <w:tl2br w:val="nil"/>
              <w:tr2bl w:val="nil"/>
            </w:tcBorders>
            <w:noWrap w:val="0"/>
            <w:vAlign w:val="center"/>
          </w:tcPr>
          <w:p w14:paraId="47E1CAC0">
            <w:pPr>
              <w:adjustRightInd w:val="0"/>
              <w:snapToGrid w:val="0"/>
              <w:jc w:val="center"/>
              <w:textAlignment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eastAsia="zh-CN"/>
              </w:rPr>
              <w:t>颗粒物</w:t>
            </w:r>
          </w:p>
        </w:tc>
        <w:tc>
          <w:tcPr>
            <w:tcW w:w="942" w:type="pct"/>
            <w:tcBorders>
              <w:tl2br w:val="nil"/>
              <w:tr2bl w:val="nil"/>
            </w:tcBorders>
            <w:noWrap w:val="0"/>
            <w:vAlign w:val="center"/>
          </w:tcPr>
          <w:p w14:paraId="5A84A587">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5E1E63F3">
            <w:pPr>
              <w:jc w:val="center"/>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2.0152</w:t>
            </w:r>
          </w:p>
        </w:tc>
        <w:tc>
          <w:tcPr>
            <w:tcW w:w="1355" w:type="dxa"/>
            <w:tcBorders>
              <w:tl2br w:val="nil"/>
              <w:tr2bl w:val="nil"/>
            </w:tcBorders>
            <w:noWrap w:val="0"/>
            <w:vAlign w:val="center"/>
          </w:tcPr>
          <w:p w14:paraId="6F910AF3">
            <w:pPr>
              <w:jc w:val="center"/>
              <w:rPr>
                <w:rFonts w:hint="default" w:ascii="Times New Roman" w:hAnsi="Times New Roman" w:eastAsia="宋体" w:cs="Times New Roman"/>
                <w:b w:val="0"/>
                <w:color w:val="auto"/>
                <w:sz w:val="21"/>
                <w:szCs w:val="21"/>
                <w:highlight w:val="none"/>
                <w:lang w:val="en-US" w:eastAsia="zh-CN"/>
              </w:rPr>
            </w:pPr>
            <w:r>
              <w:rPr>
                <w:rFonts w:hint="default" w:ascii="Times New Roman" w:hAnsi="Times New Roman" w:eastAsia="宋体" w:cs="Times New Roman"/>
                <w:b w:val="0"/>
                <w:color w:val="auto"/>
                <w:sz w:val="21"/>
                <w:szCs w:val="21"/>
                <w:highlight w:val="none"/>
              </w:rPr>
              <w:t>0.</w:t>
            </w:r>
            <w:r>
              <w:rPr>
                <w:rFonts w:hint="eastAsia" w:ascii="Times New Roman" w:hAnsi="Times New Roman" w:eastAsia="宋体" w:cs="Times New Roman"/>
                <w:b w:val="0"/>
                <w:color w:val="auto"/>
                <w:sz w:val="21"/>
                <w:szCs w:val="21"/>
                <w:highlight w:val="none"/>
                <w:lang w:val="en-US" w:eastAsia="zh-CN"/>
              </w:rPr>
              <w:t>4478</w:t>
            </w:r>
          </w:p>
        </w:tc>
        <w:tc>
          <w:tcPr>
            <w:tcW w:w="701" w:type="pct"/>
            <w:tcBorders>
              <w:tl2br w:val="nil"/>
              <w:tr2bl w:val="nil"/>
            </w:tcBorders>
            <w:noWrap w:val="0"/>
            <w:vAlign w:val="center"/>
          </w:tcPr>
          <w:p w14:paraId="7C75E6D8">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w:t>
            </w:r>
          </w:p>
        </w:tc>
      </w:tr>
      <w:tr w14:paraId="71682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continue"/>
            <w:tcBorders>
              <w:tl2br w:val="nil"/>
              <w:tr2bl w:val="nil"/>
            </w:tcBorders>
            <w:noWrap w:val="0"/>
            <w:vAlign w:val="center"/>
          </w:tcPr>
          <w:p w14:paraId="640284F7">
            <w:pPr>
              <w:widowControl/>
              <w:snapToGrid w:val="0"/>
              <w:jc w:val="center"/>
              <w:rPr>
                <w:rFonts w:ascii="Times New Roman" w:hAnsi="Times New Roman" w:eastAsia="宋体"/>
                <w:color w:val="auto"/>
                <w:kern w:val="0"/>
                <w:szCs w:val="21"/>
                <w:highlight w:val="none"/>
              </w:rPr>
            </w:pPr>
          </w:p>
        </w:tc>
        <w:tc>
          <w:tcPr>
            <w:tcW w:w="792" w:type="pct"/>
            <w:tcBorders>
              <w:tl2br w:val="nil"/>
              <w:tr2bl w:val="nil"/>
            </w:tcBorders>
            <w:noWrap w:val="0"/>
            <w:vAlign w:val="center"/>
          </w:tcPr>
          <w:p w14:paraId="1C1699E6">
            <w:pPr>
              <w:adjustRightInd w:val="0"/>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SO</w:t>
            </w:r>
            <w:r>
              <w:rPr>
                <w:rFonts w:hint="eastAsia" w:ascii="Times New Roman" w:hAnsi="Times New Roman" w:eastAsia="宋体"/>
                <w:color w:val="auto"/>
                <w:kern w:val="0"/>
                <w:szCs w:val="21"/>
                <w:highlight w:val="none"/>
                <w:vertAlign w:val="subscript"/>
                <w:lang w:val="en-US" w:eastAsia="zh-CN"/>
              </w:rPr>
              <w:t>2</w:t>
            </w:r>
          </w:p>
        </w:tc>
        <w:tc>
          <w:tcPr>
            <w:tcW w:w="942" w:type="pct"/>
            <w:tcBorders>
              <w:tl2br w:val="nil"/>
              <w:tr2bl w:val="nil"/>
            </w:tcBorders>
            <w:noWrap w:val="0"/>
            <w:vAlign w:val="center"/>
          </w:tcPr>
          <w:p w14:paraId="0CF3AB16">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344877CA">
            <w:pPr>
              <w:jc w:val="center"/>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0.2604</w:t>
            </w:r>
          </w:p>
        </w:tc>
        <w:tc>
          <w:tcPr>
            <w:tcW w:w="1355" w:type="dxa"/>
            <w:tcBorders>
              <w:tl2br w:val="nil"/>
              <w:tr2bl w:val="nil"/>
            </w:tcBorders>
            <w:noWrap w:val="0"/>
            <w:vAlign w:val="center"/>
          </w:tcPr>
          <w:p w14:paraId="0E3B6889">
            <w:pPr>
              <w:jc w:val="center"/>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0.0521</w:t>
            </w:r>
          </w:p>
        </w:tc>
        <w:tc>
          <w:tcPr>
            <w:tcW w:w="701" w:type="pct"/>
            <w:tcBorders>
              <w:tl2br w:val="nil"/>
              <w:tr2bl w:val="nil"/>
            </w:tcBorders>
            <w:noWrap w:val="0"/>
            <w:vAlign w:val="center"/>
          </w:tcPr>
          <w:p w14:paraId="01E9BF78">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w:t>
            </w:r>
          </w:p>
        </w:tc>
      </w:tr>
      <w:tr w14:paraId="1D354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continue"/>
            <w:tcBorders>
              <w:tl2br w:val="nil"/>
              <w:tr2bl w:val="nil"/>
            </w:tcBorders>
            <w:noWrap w:val="0"/>
            <w:vAlign w:val="center"/>
          </w:tcPr>
          <w:p w14:paraId="7FD37A9C">
            <w:pPr>
              <w:widowControl/>
              <w:snapToGrid w:val="0"/>
              <w:jc w:val="center"/>
              <w:rPr>
                <w:rFonts w:ascii="Times New Roman" w:hAnsi="Times New Roman" w:eastAsia="宋体"/>
                <w:color w:val="auto"/>
                <w:kern w:val="0"/>
                <w:szCs w:val="21"/>
                <w:highlight w:val="none"/>
              </w:rPr>
            </w:pPr>
          </w:p>
        </w:tc>
        <w:tc>
          <w:tcPr>
            <w:tcW w:w="792" w:type="pct"/>
            <w:tcBorders>
              <w:tl2br w:val="nil"/>
              <w:tr2bl w:val="nil"/>
            </w:tcBorders>
            <w:noWrap w:val="0"/>
            <w:vAlign w:val="center"/>
          </w:tcPr>
          <w:p w14:paraId="7EC92FCD">
            <w:pPr>
              <w:adjustRightInd w:val="0"/>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NOx</w:t>
            </w:r>
          </w:p>
        </w:tc>
        <w:tc>
          <w:tcPr>
            <w:tcW w:w="942" w:type="pct"/>
            <w:tcBorders>
              <w:tl2br w:val="nil"/>
              <w:tr2bl w:val="nil"/>
            </w:tcBorders>
            <w:noWrap w:val="0"/>
            <w:vAlign w:val="center"/>
          </w:tcPr>
          <w:p w14:paraId="6300EE90">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2D8EF9C0">
            <w:pPr>
              <w:jc w:val="center"/>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6.5860</w:t>
            </w:r>
          </w:p>
        </w:tc>
        <w:tc>
          <w:tcPr>
            <w:tcW w:w="1355" w:type="dxa"/>
            <w:tcBorders>
              <w:tl2br w:val="nil"/>
              <w:tr2bl w:val="nil"/>
            </w:tcBorders>
            <w:noWrap w:val="0"/>
            <w:vAlign w:val="center"/>
          </w:tcPr>
          <w:p w14:paraId="6276F78D">
            <w:pPr>
              <w:jc w:val="center"/>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2.6344</w:t>
            </w:r>
          </w:p>
        </w:tc>
        <w:tc>
          <w:tcPr>
            <w:tcW w:w="1196" w:type="dxa"/>
            <w:tcBorders>
              <w:tl2br w:val="nil"/>
              <w:tr2bl w:val="nil"/>
            </w:tcBorders>
            <w:noWrap w:val="0"/>
            <w:vAlign w:val="center"/>
          </w:tcPr>
          <w:p w14:paraId="7B37A8A9">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w:t>
            </w:r>
          </w:p>
        </w:tc>
      </w:tr>
      <w:tr w14:paraId="2DBCF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continue"/>
            <w:tcBorders>
              <w:tl2br w:val="nil"/>
              <w:tr2bl w:val="nil"/>
            </w:tcBorders>
            <w:noWrap w:val="0"/>
            <w:vAlign w:val="center"/>
          </w:tcPr>
          <w:p w14:paraId="5B860B72">
            <w:pPr>
              <w:widowControl/>
              <w:snapToGrid w:val="0"/>
              <w:jc w:val="center"/>
              <w:rPr>
                <w:rFonts w:ascii="Times New Roman" w:hAnsi="Times New Roman" w:eastAsia="宋体"/>
                <w:color w:val="auto"/>
                <w:kern w:val="0"/>
                <w:szCs w:val="21"/>
                <w:highlight w:val="none"/>
              </w:rPr>
            </w:pPr>
          </w:p>
        </w:tc>
        <w:tc>
          <w:tcPr>
            <w:tcW w:w="792" w:type="pct"/>
            <w:tcBorders>
              <w:tl2br w:val="nil"/>
              <w:tr2bl w:val="nil"/>
            </w:tcBorders>
            <w:noWrap w:val="0"/>
            <w:vAlign w:val="center"/>
          </w:tcPr>
          <w:p w14:paraId="16A27AAE">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非甲烷总烃</w:t>
            </w:r>
          </w:p>
        </w:tc>
        <w:tc>
          <w:tcPr>
            <w:tcW w:w="942" w:type="pct"/>
            <w:tcBorders>
              <w:tl2br w:val="nil"/>
              <w:tr2bl w:val="nil"/>
            </w:tcBorders>
            <w:noWrap w:val="0"/>
            <w:vAlign w:val="center"/>
          </w:tcPr>
          <w:p w14:paraId="619A2955">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36AF1918">
            <w:pPr>
              <w:jc w:val="center"/>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0.9767</w:t>
            </w:r>
          </w:p>
        </w:tc>
        <w:tc>
          <w:tcPr>
            <w:tcW w:w="1355" w:type="dxa"/>
            <w:tcBorders>
              <w:tl2br w:val="nil"/>
              <w:tr2bl w:val="nil"/>
            </w:tcBorders>
            <w:noWrap w:val="0"/>
            <w:vAlign w:val="center"/>
          </w:tcPr>
          <w:p w14:paraId="639B417C">
            <w:pPr>
              <w:jc w:val="center"/>
              <w:rPr>
                <w:rFonts w:hint="default" w:ascii="Times New Roman" w:hAnsi="Times New Roman" w:eastAsia="宋体" w:cs="Times New Roman"/>
                <w:b w:val="0"/>
                <w:color w:val="auto"/>
                <w:sz w:val="21"/>
                <w:szCs w:val="21"/>
                <w:highlight w:val="none"/>
                <w:lang w:val="en-US" w:eastAsia="zh-CN"/>
              </w:rPr>
            </w:pPr>
            <w:r>
              <w:rPr>
                <w:rFonts w:hint="eastAsia" w:ascii="Times New Roman" w:hAnsi="Times New Roman" w:eastAsia="宋体" w:cs="Times New Roman"/>
                <w:b w:val="0"/>
                <w:color w:val="auto"/>
                <w:sz w:val="21"/>
                <w:szCs w:val="21"/>
                <w:highlight w:val="none"/>
                <w:lang w:val="en-US" w:eastAsia="zh-CN"/>
              </w:rPr>
              <w:t>0.0488</w:t>
            </w:r>
          </w:p>
        </w:tc>
        <w:tc>
          <w:tcPr>
            <w:tcW w:w="1196" w:type="dxa"/>
            <w:tcBorders>
              <w:tl2br w:val="nil"/>
              <w:tr2bl w:val="nil"/>
            </w:tcBorders>
            <w:noWrap w:val="0"/>
            <w:vAlign w:val="center"/>
          </w:tcPr>
          <w:p w14:paraId="7ABD821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w:t>
            </w:r>
          </w:p>
        </w:tc>
      </w:tr>
      <w:tr w14:paraId="4FD43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restart"/>
            <w:tcBorders>
              <w:tl2br w:val="nil"/>
              <w:tr2bl w:val="nil"/>
            </w:tcBorders>
            <w:noWrap w:val="0"/>
            <w:vAlign w:val="center"/>
          </w:tcPr>
          <w:p w14:paraId="01E576BB">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DA002</w:t>
            </w:r>
          </w:p>
        </w:tc>
        <w:tc>
          <w:tcPr>
            <w:tcW w:w="792" w:type="pct"/>
            <w:tcBorders>
              <w:tl2br w:val="nil"/>
              <w:tr2bl w:val="nil"/>
            </w:tcBorders>
            <w:noWrap w:val="0"/>
            <w:vAlign w:val="center"/>
          </w:tcPr>
          <w:p w14:paraId="371B4CF8">
            <w:pPr>
              <w:adjustRightInd w:val="0"/>
              <w:snapToGrid w:val="0"/>
              <w:jc w:val="center"/>
              <w:textAlignment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eastAsia="zh-CN"/>
              </w:rPr>
              <w:t>颗粒物</w:t>
            </w:r>
          </w:p>
        </w:tc>
        <w:tc>
          <w:tcPr>
            <w:tcW w:w="1606" w:type="dxa"/>
            <w:tcBorders>
              <w:tl2br w:val="nil"/>
              <w:tr2bl w:val="nil"/>
            </w:tcBorders>
            <w:noWrap w:val="0"/>
            <w:vAlign w:val="center"/>
          </w:tcPr>
          <w:p w14:paraId="3C0D1529">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29E268E9">
            <w:pPr>
              <w:jc w:val="center"/>
              <w:rPr>
                <w:rFonts w:hint="default" w:ascii="Times New Roman" w:hAnsi="Times New Roman" w:eastAsia="宋体" w:cs="Times New Roman"/>
                <w:b w:val="0"/>
                <w:color w:val="auto"/>
                <w:sz w:val="21"/>
                <w:szCs w:val="21"/>
                <w:highlight w:val="none"/>
              </w:rPr>
            </w:pPr>
            <w:r>
              <w:rPr>
                <w:rFonts w:hint="eastAsia" w:ascii="Times New Roman" w:hAnsi="Times New Roman" w:eastAsia="宋体" w:cs="Times New Roman"/>
                <w:b w:val="0"/>
                <w:color w:val="auto"/>
                <w:sz w:val="21"/>
                <w:szCs w:val="21"/>
                <w:highlight w:val="none"/>
                <w:lang w:val="en-US" w:eastAsia="zh-CN"/>
              </w:rPr>
              <w:t>2.0152</w:t>
            </w:r>
          </w:p>
        </w:tc>
        <w:tc>
          <w:tcPr>
            <w:tcW w:w="1355" w:type="dxa"/>
            <w:tcBorders>
              <w:tl2br w:val="nil"/>
              <w:tr2bl w:val="nil"/>
            </w:tcBorders>
            <w:noWrap w:val="0"/>
            <w:vAlign w:val="center"/>
          </w:tcPr>
          <w:p w14:paraId="5B372B7A">
            <w:pPr>
              <w:jc w:val="center"/>
              <w:rPr>
                <w:rFonts w:hint="default" w:ascii="Times New Roman" w:hAnsi="Times New Roman" w:eastAsia="宋体" w:cs="Times New Roman"/>
                <w:b w:val="0"/>
                <w:color w:val="auto"/>
                <w:sz w:val="21"/>
                <w:szCs w:val="21"/>
                <w:highlight w:val="none"/>
              </w:rPr>
            </w:pPr>
            <w:r>
              <w:rPr>
                <w:rFonts w:hint="default" w:ascii="Times New Roman" w:hAnsi="Times New Roman" w:eastAsia="宋体" w:cs="Times New Roman"/>
                <w:b w:val="0"/>
                <w:color w:val="auto"/>
                <w:sz w:val="21"/>
                <w:szCs w:val="21"/>
                <w:highlight w:val="none"/>
              </w:rPr>
              <w:t>0.</w:t>
            </w:r>
            <w:r>
              <w:rPr>
                <w:rFonts w:hint="eastAsia" w:ascii="Times New Roman" w:hAnsi="Times New Roman" w:eastAsia="宋体" w:cs="Times New Roman"/>
                <w:b w:val="0"/>
                <w:color w:val="auto"/>
                <w:sz w:val="21"/>
                <w:szCs w:val="21"/>
                <w:highlight w:val="none"/>
                <w:lang w:val="en-US" w:eastAsia="zh-CN"/>
              </w:rPr>
              <w:t>4478</w:t>
            </w:r>
          </w:p>
        </w:tc>
        <w:tc>
          <w:tcPr>
            <w:tcW w:w="701" w:type="pct"/>
            <w:tcBorders>
              <w:tl2br w:val="nil"/>
              <w:tr2bl w:val="nil"/>
            </w:tcBorders>
            <w:noWrap w:val="0"/>
            <w:vAlign w:val="center"/>
          </w:tcPr>
          <w:p w14:paraId="3C09C45C">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w:t>
            </w:r>
          </w:p>
        </w:tc>
      </w:tr>
      <w:tr w14:paraId="652C5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continue"/>
            <w:tcBorders>
              <w:tl2br w:val="nil"/>
              <w:tr2bl w:val="nil"/>
            </w:tcBorders>
            <w:noWrap w:val="0"/>
            <w:vAlign w:val="center"/>
          </w:tcPr>
          <w:p w14:paraId="612DD8A4">
            <w:pPr>
              <w:widowControl/>
              <w:snapToGrid w:val="0"/>
              <w:jc w:val="center"/>
              <w:rPr>
                <w:rFonts w:ascii="Times New Roman" w:hAnsi="Times New Roman" w:eastAsia="宋体"/>
                <w:color w:val="auto"/>
                <w:kern w:val="0"/>
                <w:szCs w:val="21"/>
                <w:highlight w:val="none"/>
              </w:rPr>
            </w:pPr>
          </w:p>
        </w:tc>
        <w:tc>
          <w:tcPr>
            <w:tcW w:w="792" w:type="pct"/>
            <w:tcBorders>
              <w:tl2br w:val="nil"/>
              <w:tr2bl w:val="nil"/>
            </w:tcBorders>
            <w:noWrap w:val="0"/>
            <w:vAlign w:val="center"/>
          </w:tcPr>
          <w:p w14:paraId="434AC1B5">
            <w:pPr>
              <w:adjustRightInd w:val="0"/>
              <w:snapToGrid w:val="0"/>
              <w:jc w:val="center"/>
              <w:textAlignment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SO</w:t>
            </w:r>
            <w:r>
              <w:rPr>
                <w:rFonts w:hint="eastAsia" w:ascii="Times New Roman" w:hAnsi="Times New Roman" w:eastAsia="宋体"/>
                <w:color w:val="auto"/>
                <w:kern w:val="0"/>
                <w:szCs w:val="21"/>
                <w:highlight w:val="none"/>
                <w:vertAlign w:val="subscript"/>
                <w:lang w:val="en-US" w:eastAsia="zh-CN"/>
              </w:rPr>
              <w:t>2</w:t>
            </w:r>
          </w:p>
        </w:tc>
        <w:tc>
          <w:tcPr>
            <w:tcW w:w="1606" w:type="dxa"/>
            <w:tcBorders>
              <w:tl2br w:val="nil"/>
              <w:tr2bl w:val="nil"/>
            </w:tcBorders>
            <w:noWrap w:val="0"/>
            <w:vAlign w:val="center"/>
          </w:tcPr>
          <w:p w14:paraId="7E59842D">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62994FC3">
            <w:pPr>
              <w:jc w:val="center"/>
              <w:rPr>
                <w:rFonts w:hint="default" w:ascii="Times New Roman" w:hAnsi="Times New Roman" w:eastAsia="宋体" w:cs="Times New Roman"/>
                <w:b w:val="0"/>
                <w:color w:val="auto"/>
                <w:sz w:val="21"/>
                <w:szCs w:val="21"/>
                <w:highlight w:val="none"/>
              </w:rPr>
            </w:pPr>
            <w:r>
              <w:rPr>
                <w:rFonts w:hint="eastAsia" w:ascii="Times New Roman" w:hAnsi="Times New Roman" w:eastAsia="宋体" w:cs="Times New Roman"/>
                <w:b w:val="0"/>
                <w:color w:val="auto"/>
                <w:sz w:val="21"/>
                <w:szCs w:val="21"/>
                <w:highlight w:val="none"/>
                <w:lang w:val="en-US" w:eastAsia="zh-CN"/>
              </w:rPr>
              <w:t>0.2604</w:t>
            </w:r>
          </w:p>
        </w:tc>
        <w:tc>
          <w:tcPr>
            <w:tcW w:w="1355" w:type="dxa"/>
            <w:tcBorders>
              <w:tl2br w:val="nil"/>
              <w:tr2bl w:val="nil"/>
            </w:tcBorders>
            <w:noWrap w:val="0"/>
            <w:vAlign w:val="center"/>
          </w:tcPr>
          <w:p w14:paraId="6F9B1DD8">
            <w:pPr>
              <w:jc w:val="center"/>
              <w:rPr>
                <w:rFonts w:hint="default" w:ascii="Times New Roman" w:hAnsi="Times New Roman" w:eastAsia="宋体" w:cs="Times New Roman"/>
                <w:b w:val="0"/>
                <w:color w:val="auto"/>
                <w:sz w:val="21"/>
                <w:szCs w:val="21"/>
                <w:highlight w:val="none"/>
              </w:rPr>
            </w:pPr>
            <w:r>
              <w:rPr>
                <w:rFonts w:hint="eastAsia" w:ascii="Times New Roman" w:hAnsi="Times New Roman" w:eastAsia="宋体" w:cs="Times New Roman"/>
                <w:b w:val="0"/>
                <w:color w:val="auto"/>
                <w:sz w:val="21"/>
                <w:szCs w:val="21"/>
                <w:highlight w:val="none"/>
                <w:lang w:val="en-US" w:eastAsia="zh-CN"/>
              </w:rPr>
              <w:t>0.0521</w:t>
            </w:r>
          </w:p>
        </w:tc>
        <w:tc>
          <w:tcPr>
            <w:tcW w:w="701" w:type="pct"/>
            <w:tcBorders>
              <w:tl2br w:val="nil"/>
              <w:tr2bl w:val="nil"/>
            </w:tcBorders>
            <w:noWrap w:val="0"/>
            <w:vAlign w:val="center"/>
          </w:tcPr>
          <w:p w14:paraId="2C8C13A5">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w:t>
            </w:r>
          </w:p>
        </w:tc>
      </w:tr>
      <w:tr w14:paraId="6BD35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continue"/>
            <w:tcBorders>
              <w:tl2br w:val="nil"/>
              <w:tr2bl w:val="nil"/>
            </w:tcBorders>
            <w:noWrap w:val="0"/>
            <w:vAlign w:val="center"/>
          </w:tcPr>
          <w:p w14:paraId="2B89417D">
            <w:pPr>
              <w:widowControl/>
              <w:snapToGrid w:val="0"/>
              <w:jc w:val="center"/>
              <w:rPr>
                <w:rFonts w:ascii="Times New Roman" w:hAnsi="Times New Roman" w:eastAsia="宋体"/>
                <w:color w:val="auto"/>
                <w:kern w:val="0"/>
                <w:szCs w:val="21"/>
                <w:highlight w:val="none"/>
              </w:rPr>
            </w:pPr>
          </w:p>
        </w:tc>
        <w:tc>
          <w:tcPr>
            <w:tcW w:w="792" w:type="pct"/>
            <w:tcBorders>
              <w:tl2br w:val="nil"/>
              <w:tr2bl w:val="nil"/>
            </w:tcBorders>
            <w:noWrap w:val="0"/>
            <w:vAlign w:val="center"/>
          </w:tcPr>
          <w:p w14:paraId="7E0E71E6">
            <w:pPr>
              <w:adjustRightInd w:val="0"/>
              <w:snapToGrid w:val="0"/>
              <w:jc w:val="center"/>
              <w:textAlignment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NOx</w:t>
            </w:r>
          </w:p>
        </w:tc>
        <w:tc>
          <w:tcPr>
            <w:tcW w:w="1606" w:type="dxa"/>
            <w:tcBorders>
              <w:tl2br w:val="nil"/>
              <w:tr2bl w:val="nil"/>
            </w:tcBorders>
            <w:noWrap w:val="0"/>
            <w:vAlign w:val="center"/>
          </w:tcPr>
          <w:p w14:paraId="52677773">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76EA6E05">
            <w:pPr>
              <w:jc w:val="center"/>
              <w:rPr>
                <w:rFonts w:hint="default" w:ascii="Times New Roman" w:hAnsi="Times New Roman" w:eastAsia="宋体" w:cs="Times New Roman"/>
                <w:b w:val="0"/>
                <w:color w:val="auto"/>
                <w:sz w:val="21"/>
                <w:szCs w:val="21"/>
                <w:highlight w:val="none"/>
              </w:rPr>
            </w:pPr>
            <w:r>
              <w:rPr>
                <w:rFonts w:hint="eastAsia" w:ascii="Times New Roman" w:hAnsi="Times New Roman" w:eastAsia="宋体" w:cs="Times New Roman"/>
                <w:b w:val="0"/>
                <w:color w:val="auto"/>
                <w:sz w:val="21"/>
                <w:szCs w:val="21"/>
                <w:highlight w:val="none"/>
                <w:lang w:val="en-US" w:eastAsia="zh-CN"/>
              </w:rPr>
              <w:t>6.5860</w:t>
            </w:r>
          </w:p>
        </w:tc>
        <w:tc>
          <w:tcPr>
            <w:tcW w:w="1355" w:type="dxa"/>
            <w:tcBorders>
              <w:tl2br w:val="nil"/>
              <w:tr2bl w:val="nil"/>
            </w:tcBorders>
            <w:noWrap w:val="0"/>
            <w:vAlign w:val="center"/>
          </w:tcPr>
          <w:p w14:paraId="41354F39">
            <w:pPr>
              <w:jc w:val="center"/>
              <w:rPr>
                <w:rFonts w:hint="default" w:ascii="Times New Roman" w:hAnsi="Times New Roman" w:eastAsia="宋体" w:cs="Times New Roman"/>
                <w:b w:val="0"/>
                <w:color w:val="auto"/>
                <w:sz w:val="21"/>
                <w:szCs w:val="21"/>
                <w:highlight w:val="none"/>
              </w:rPr>
            </w:pPr>
            <w:r>
              <w:rPr>
                <w:rFonts w:hint="eastAsia" w:ascii="Times New Roman" w:hAnsi="Times New Roman" w:eastAsia="宋体" w:cs="Times New Roman"/>
                <w:b w:val="0"/>
                <w:color w:val="auto"/>
                <w:sz w:val="21"/>
                <w:szCs w:val="21"/>
                <w:highlight w:val="none"/>
                <w:lang w:val="en-US" w:eastAsia="zh-CN"/>
              </w:rPr>
              <w:t>2.6344</w:t>
            </w:r>
          </w:p>
        </w:tc>
        <w:tc>
          <w:tcPr>
            <w:tcW w:w="701" w:type="pct"/>
            <w:tcBorders>
              <w:tl2br w:val="nil"/>
              <w:tr2bl w:val="nil"/>
            </w:tcBorders>
            <w:noWrap w:val="0"/>
            <w:vAlign w:val="center"/>
          </w:tcPr>
          <w:p w14:paraId="1F095F56">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w:t>
            </w:r>
          </w:p>
        </w:tc>
      </w:tr>
      <w:tr w14:paraId="5A424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continue"/>
            <w:tcBorders>
              <w:tl2br w:val="nil"/>
              <w:tr2bl w:val="nil"/>
            </w:tcBorders>
            <w:noWrap w:val="0"/>
            <w:vAlign w:val="center"/>
          </w:tcPr>
          <w:p w14:paraId="297F6A00">
            <w:pPr>
              <w:widowControl/>
              <w:snapToGrid w:val="0"/>
              <w:jc w:val="center"/>
              <w:rPr>
                <w:rFonts w:ascii="Times New Roman" w:hAnsi="Times New Roman" w:eastAsia="宋体"/>
                <w:color w:val="auto"/>
                <w:kern w:val="0"/>
                <w:szCs w:val="21"/>
                <w:highlight w:val="none"/>
              </w:rPr>
            </w:pPr>
          </w:p>
        </w:tc>
        <w:tc>
          <w:tcPr>
            <w:tcW w:w="792" w:type="pct"/>
            <w:tcBorders>
              <w:tl2br w:val="nil"/>
              <w:tr2bl w:val="nil"/>
            </w:tcBorders>
            <w:noWrap w:val="0"/>
            <w:vAlign w:val="center"/>
          </w:tcPr>
          <w:p w14:paraId="083E1EE1">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非甲烷总烃</w:t>
            </w:r>
          </w:p>
        </w:tc>
        <w:tc>
          <w:tcPr>
            <w:tcW w:w="1606" w:type="dxa"/>
            <w:tcBorders>
              <w:tl2br w:val="nil"/>
              <w:tr2bl w:val="nil"/>
            </w:tcBorders>
            <w:noWrap w:val="0"/>
            <w:vAlign w:val="center"/>
          </w:tcPr>
          <w:p w14:paraId="255AF7C5">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686A41C3">
            <w:pPr>
              <w:jc w:val="center"/>
              <w:rPr>
                <w:rFonts w:hint="default" w:ascii="Times New Roman" w:hAnsi="Times New Roman" w:eastAsia="宋体" w:cs="Times New Roman"/>
                <w:b w:val="0"/>
                <w:color w:val="auto"/>
                <w:sz w:val="21"/>
                <w:szCs w:val="21"/>
                <w:highlight w:val="none"/>
              </w:rPr>
            </w:pPr>
            <w:r>
              <w:rPr>
                <w:rFonts w:hint="eastAsia" w:ascii="Times New Roman" w:hAnsi="Times New Roman" w:eastAsia="宋体" w:cs="Times New Roman"/>
                <w:b w:val="0"/>
                <w:color w:val="auto"/>
                <w:sz w:val="21"/>
                <w:szCs w:val="21"/>
                <w:highlight w:val="none"/>
                <w:lang w:val="en-US" w:eastAsia="zh-CN"/>
              </w:rPr>
              <w:t>0.9767</w:t>
            </w:r>
          </w:p>
        </w:tc>
        <w:tc>
          <w:tcPr>
            <w:tcW w:w="1355" w:type="dxa"/>
            <w:tcBorders>
              <w:tl2br w:val="nil"/>
              <w:tr2bl w:val="nil"/>
            </w:tcBorders>
            <w:noWrap w:val="0"/>
            <w:vAlign w:val="center"/>
          </w:tcPr>
          <w:p w14:paraId="6EDA94EA">
            <w:pPr>
              <w:jc w:val="center"/>
              <w:rPr>
                <w:rFonts w:hint="default" w:ascii="Times New Roman" w:hAnsi="Times New Roman" w:eastAsia="宋体" w:cs="Times New Roman"/>
                <w:b w:val="0"/>
                <w:color w:val="auto"/>
                <w:sz w:val="21"/>
                <w:szCs w:val="21"/>
                <w:highlight w:val="none"/>
              </w:rPr>
            </w:pPr>
            <w:r>
              <w:rPr>
                <w:rFonts w:hint="eastAsia" w:ascii="Times New Roman" w:hAnsi="Times New Roman" w:eastAsia="宋体" w:cs="Times New Roman"/>
                <w:b w:val="0"/>
                <w:color w:val="auto"/>
                <w:sz w:val="21"/>
                <w:szCs w:val="21"/>
                <w:highlight w:val="none"/>
                <w:lang w:val="en-US" w:eastAsia="zh-CN"/>
              </w:rPr>
              <w:t>0.0488</w:t>
            </w:r>
          </w:p>
        </w:tc>
        <w:tc>
          <w:tcPr>
            <w:tcW w:w="701" w:type="pct"/>
            <w:tcBorders>
              <w:tl2br w:val="nil"/>
              <w:tr2bl w:val="nil"/>
            </w:tcBorders>
            <w:noWrap w:val="0"/>
            <w:vAlign w:val="center"/>
          </w:tcPr>
          <w:p w14:paraId="70CF209F">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w:t>
            </w:r>
          </w:p>
        </w:tc>
      </w:tr>
      <w:tr w14:paraId="18935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restart"/>
            <w:tcBorders>
              <w:tl2br w:val="nil"/>
              <w:tr2bl w:val="nil"/>
            </w:tcBorders>
            <w:noWrap w:val="0"/>
            <w:vAlign w:val="center"/>
          </w:tcPr>
          <w:p w14:paraId="03E78B9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DA003</w:t>
            </w:r>
          </w:p>
        </w:tc>
        <w:tc>
          <w:tcPr>
            <w:tcW w:w="792" w:type="pct"/>
            <w:tcBorders>
              <w:tl2br w:val="nil"/>
              <w:tr2bl w:val="nil"/>
            </w:tcBorders>
            <w:noWrap w:val="0"/>
            <w:vAlign w:val="center"/>
          </w:tcPr>
          <w:p w14:paraId="2FAC43BC">
            <w:pPr>
              <w:adjustRightInd w:val="0"/>
              <w:snapToGrid w:val="0"/>
              <w:jc w:val="center"/>
              <w:textAlignment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eastAsia="zh-CN"/>
              </w:rPr>
              <w:t>颗粒物</w:t>
            </w:r>
          </w:p>
        </w:tc>
        <w:tc>
          <w:tcPr>
            <w:tcW w:w="1606" w:type="dxa"/>
            <w:tcBorders>
              <w:tl2br w:val="nil"/>
              <w:tr2bl w:val="nil"/>
            </w:tcBorders>
            <w:noWrap w:val="0"/>
            <w:vAlign w:val="center"/>
          </w:tcPr>
          <w:p w14:paraId="7D8543C1">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77377CB4">
            <w:pPr>
              <w:jc w:val="center"/>
              <w:rPr>
                <w:rFonts w:hint="default" w:ascii="Times New Roman" w:hAnsi="Times New Roman" w:eastAsia="宋体" w:cs="Times New Roman"/>
                <w:color w:val="auto"/>
                <w:kern w:val="0"/>
                <w:szCs w:val="21"/>
                <w:highlight w:val="none"/>
                <w:lang w:val="en-US"/>
              </w:rPr>
            </w:pPr>
            <w:r>
              <w:rPr>
                <w:rFonts w:hint="eastAsia" w:ascii="Times New Roman" w:hAnsi="Times New Roman" w:eastAsia="宋体" w:cs="Times New Roman"/>
                <w:b w:val="0"/>
                <w:color w:val="auto"/>
                <w:sz w:val="21"/>
                <w:szCs w:val="21"/>
                <w:highlight w:val="none"/>
                <w:lang w:val="en-US" w:eastAsia="zh-CN"/>
              </w:rPr>
              <w:t>2.0152</w:t>
            </w:r>
          </w:p>
        </w:tc>
        <w:tc>
          <w:tcPr>
            <w:tcW w:w="1355" w:type="dxa"/>
            <w:tcBorders>
              <w:tl2br w:val="nil"/>
              <w:tr2bl w:val="nil"/>
            </w:tcBorders>
            <w:noWrap w:val="0"/>
            <w:vAlign w:val="center"/>
          </w:tcPr>
          <w:p w14:paraId="27AF3518">
            <w:pPr>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b w:val="0"/>
                <w:color w:val="auto"/>
                <w:sz w:val="21"/>
                <w:szCs w:val="21"/>
                <w:highlight w:val="none"/>
              </w:rPr>
              <w:t>0.</w:t>
            </w:r>
            <w:r>
              <w:rPr>
                <w:rFonts w:hint="eastAsia" w:ascii="Times New Roman" w:hAnsi="Times New Roman" w:eastAsia="宋体" w:cs="Times New Roman"/>
                <w:b w:val="0"/>
                <w:color w:val="auto"/>
                <w:sz w:val="21"/>
                <w:szCs w:val="21"/>
                <w:highlight w:val="none"/>
                <w:lang w:val="en-US" w:eastAsia="zh-CN"/>
              </w:rPr>
              <w:t>4478</w:t>
            </w:r>
          </w:p>
        </w:tc>
        <w:tc>
          <w:tcPr>
            <w:tcW w:w="701" w:type="pct"/>
            <w:tcBorders>
              <w:tl2br w:val="nil"/>
              <w:tr2bl w:val="nil"/>
            </w:tcBorders>
            <w:noWrap w:val="0"/>
            <w:vAlign w:val="center"/>
          </w:tcPr>
          <w:p w14:paraId="2C70C631">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w:t>
            </w:r>
          </w:p>
        </w:tc>
      </w:tr>
      <w:tr w14:paraId="33179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continue"/>
            <w:tcBorders>
              <w:tl2br w:val="nil"/>
              <w:tr2bl w:val="nil"/>
            </w:tcBorders>
            <w:noWrap w:val="0"/>
            <w:vAlign w:val="center"/>
          </w:tcPr>
          <w:p w14:paraId="57CAE1C4">
            <w:pPr>
              <w:widowControl/>
              <w:snapToGrid w:val="0"/>
              <w:jc w:val="center"/>
              <w:rPr>
                <w:rFonts w:ascii="Times New Roman" w:hAnsi="Times New Roman" w:eastAsia="宋体"/>
                <w:color w:val="auto"/>
                <w:kern w:val="0"/>
                <w:szCs w:val="21"/>
                <w:highlight w:val="none"/>
              </w:rPr>
            </w:pPr>
          </w:p>
        </w:tc>
        <w:tc>
          <w:tcPr>
            <w:tcW w:w="792" w:type="pct"/>
            <w:tcBorders>
              <w:tl2br w:val="nil"/>
              <w:tr2bl w:val="nil"/>
            </w:tcBorders>
            <w:noWrap w:val="0"/>
            <w:vAlign w:val="center"/>
          </w:tcPr>
          <w:p w14:paraId="6B7CECE2">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olor w:val="auto"/>
                <w:kern w:val="0"/>
                <w:szCs w:val="21"/>
                <w:highlight w:val="none"/>
                <w:lang w:val="en-US" w:eastAsia="zh-CN"/>
              </w:rPr>
              <w:t>SO</w:t>
            </w:r>
            <w:r>
              <w:rPr>
                <w:rFonts w:hint="eastAsia" w:ascii="Times New Roman" w:hAnsi="Times New Roman" w:eastAsia="宋体"/>
                <w:color w:val="auto"/>
                <w:kern w:val="0"/>
                <w:szCs w:val="21"/>
                <w:highlight w:val="none"/>
                <w:vertAlign w:val="subscript"/>
                <w:lang w:val="en-US" w:eastAsia="zh-CN"/>
              </w:rPr>
              <w:t>2</w:t>
            </w:r>
          </w:p>
        </w:tc>
        <w:tc>
          <w:tcPr>
            <w:tcW w:w="1606" w:type="dxa"/>
            <w:tcBorders>
              <w:tl2br w:val="nil"/>
              <w:tr2bl w:val="nil"/>
            </w:tcBorders>
            <w:noWrap w:val="0"/>
            <w:vAlign w:val="center"/>
          </w:tcPr>
          <w:p w14:paraId="3FA1499F">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5CA0682C">
            <w:pPr>
              <w:jc w:val="center"/>
              <w:rPr>
                <w:rFonts w:hint="default" w:ascii="Times New Roman" w:hAnsi="Times New Roman" w:eastAsia="宋体" w:cs="Times New Roman"/>
                <w:b w:val="0"/>
                <w:color w:val="auto"/>
                <w:sz w:val="21"/>
                <w:szCs w:val="21"/>
                <w:highlight w:val="none"/>
                <w:lang w:val="en-US"/>
              </w:rPr>
            </w:pPr>
            <w:r>
              <w:rPr>
                <w:rFonts w:hint="eastAsia" w:ascii="Times New Roman" w:hAnsi="Times New Roman" w:eastAsia="宋体" w:cs="Times New Roman"/>
                <w:b w:val="0"/>
                <w:color w:val="auto"/>
                <w:sz w:val="21"/>
                <w:szCs w:val="21"/>
                <w:highlight w:val="none"/>
                <w:lang w:val="en-US" w:eastAsia="zh-CN"/>
              </w:rPr>
              <w:t>0.2604</w:t>
            </w:r>
          </w:p>
        </w:tc>
        <w:tc>
          <w:tcPr>
            <w:tcW w:w="1355" w:type="dxa"/>
            <w:tcBorders>
              <w:tl2br w:val="nil"/>
              <w:tr2bl w:val="nil"/>
            </w:tcBorders>
            <w:noWrap w:val="0"/>
            <w:vAlign w:val="center"/>
          </w:tcPr>
          <w:p w14:paraId="2EAEF566">
            <w:pPr>
              <w:jc w:val="center"/>
              <w:rPr>
                <w:rFonts w:hint="default" w:ascii="Times New Roman" w:hAnsi="Times New Roman" w:eastAsia="宋体" w:cs="Times New Roman"/>
                <w:b w:val="0"/>
                <w:color w:val="auto"/>
                <w:sz w:val="21"/>
                <w:szCs w:val="21"/>
                <w:highlight w:val="none"/>
                <w:lang w:val="en-US"/>
              </w:rPr>
            </w:pPr>
            <w:r>
              <w:rPr>
                <w:rFonts w:hint="eastAsia" w:ascii="Times New Roman" w:hAnsi="Times New Roman" w:eastAsia="宋体" w:cs="Times New Roman"/>
                <w:b w:val="0"/>
                <w:color w:val="auto"/>
                <w:sz w:val="21"/>
                <w:szCs w:val="21"/>
                <w:highlight w:val="none"/>
                <w:lang w:val="en-US" w:eastAsia="zh-CN"/>
              </w:rPr>
              <w:t>0.0521</w:t>
            </w:r>
          </w:p>
        </w:tc>
        <w:tc>
          <w:tcPr>
            <w:tcW w:w="701" w:type="pct"/>
            <w:tcBorders>
              <w:tl2br w:val="nil"/>
              <w:tr2bl w:val="nil"/>
            </w:tcBorders>
            <w:noWrap w:val="0"/>
            <w:vAlign w:val="center"/>
          </w:tcPr>
          <w:p w14:paraId="70EE35B1">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w:t>
            </w:r>
          </w:p>
        </w:tc>
      </w:tr>
      <w:tr w14:paraId="66C97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continue"/>
            <w:tcBorders>
              <w:tl2br w:val="nil"/>
              <w:tr2bl w:val="nil"/>
            </w:tcBorders>
            <w:noWrap w:val="0"/>
            <w:vAlign w:val="center"/>
          </w:tcPr>
          <w:p w14:paraId="3BC0BFA2">
            <w:pPr>
              <w:widowControl/>
              <w:snapToGrid w:val="0"/>
              <w:jc w:val="center"/>
              <w:rPr>
                <w:rFonts w:ascii="Times New Roman" w:hAnsi="Times New Roman" w:eastAsia="宋体"/>
                <w:color w:val="auto"/>
                <w:kern w:val="0"/>
                <w:szCs w:val="21"/>
                <w:highlight w:val="none"/>
              </w:rPr>
            </w:pPr>
          </w:p>
        </w:tc>
        <w:tc>
          <w:tcPr>
            <w:tcW w:w="792" w:type="pct"/>
            <w:tcBorders>
              <w:tl2br w:val="nil"/>
              <w:tr2bl w:val="nil"/>
            </w:tcBorders>
            <w:noWrap w:val="0"/>
            <w:vAlign w:val="center"/>
          </w:tcPr>
          <w:p w14:paraId="1DE8E0B1">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olor w:val="auto"/>
                <w:kern w:val="0"/>
                <w:szCs w:val="21"/>
                <w:highlight w:val="none"/>
                <w:lang w:val="en-US" w:eastAsia="zh-CN"/>
              </w:rPr>
              <w:t>NOx</w:t>
            </w:r>
          </w:p>
        </w:tc>
        <w:tc>
          <w:tcPr>
            <w:tcW w:w="1606" w:type="dxa"/>
            <w:tcBorders>
              <w:tl2br w:val="nil"/>
              <w:tr2bl w:val="nil"/>
            </w:tcBorders>
            <w:noWrap w:val="0"/>
            <w:vAlign w:val="center"/>
          </w:tcPr>
          <w:p w14:paraId="4C20CD5F">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792A557B">
            <w:pPr>
              <w:jc w:val="center"/>
              <w:rPr>
                <w:rFonts w:hint="default" w:ascii="Times New Roman" w:hAnsi="Times New Roman" w:eastAsia="宋体" w:cs="Times New Roman"/>
                <w:b w:val="0"/>
                <w:color w:val="auto"/>
                <w:sz w:val="21"/>
                <w:szCs w:val="21"/>
                <w:highlight w:val="none"/>
                <w:lang w:val="en-US"/>
              </w:rPr>
            </w:pPr>
            <w:r>
              <w:rPr>
                <w:rFonts w:hint="eastAsia" w:ascii="Times New Roman" w:hAnsi="Times New Roman" w:eastAsia="宋体" w:cs="Times New Roman"/>
                <w:b w:val="0"/>
                <w:color w:val="auto"/>
                <w:sz w:val="21"/>
                <w:szCs w:val="21"/>
                <w:highlight w:val="none"/>
                <w:lang w:val="en-US" w:eastAsia="zh-CN"/>
              </w:rPr>
              <w:t>6.5860</w:t>
            </w:r>
          </w:p>
        </w:tc>
        <w:tc>
          <w:tcPr>
            <w:tcW w:w="1355" w:type="dxa"/>
            <w:tcBorders>
              <w:tl2br w:val="nil"/>
              <w:tr2bl w:val="nil"/>
            </w:tcBorders>
            <w:noWrap w:val="0"/>
            <w:vAlign w:val="center"/>
          </w:tcPr>
          <w:p w14:paraId="1B0603DA">
            <w:pPr>
              <w:jc w:val="center"/>
              <w:rPr>
                <w:rFonts w:hint="default" w:ascii="Times New Roman" w:hAnsi="Times New Roman" w:eastAsia="宋体" w:cs="Times New Roman"/>
                <w:b w:val="0"/>
                <w:color w:val="auto"/>
                <w:sz w:val="21"/>
                <w:szCs w:val="21"/>
                <w:highlight w:val="none"/>
                <w:lang w:val="en-US"/>
              </w:rPr>
            </w:pPr>
            <w:r>
              <w:rPr>
                <w:rFonts w:hint="eastAsia" w:ascii="Times New Roman" w:hAnsi="Times New Roman" w:eastAsia="宋体" w:cs="Times New Roman"/>
                <w:b w:val="0"/>
                <w:color w:val="auto"/>
                <w:sz w:val="21"/>
                <w:szCs w:val="21"/>
                <w:highlight w:val="none"/>
                <w:lang w:val="en-US" w:eastAsia="zh-CN"/>
              </w:rPr>
              <w:t>2.6344</w:t>
            </w:r>
          </w:p>
        </w:tc>
        <w:tc>
          <w:tcPr>
            <w:tcW w:w="701" w:type="pct"/>
            <w:tcBorders>
              <w:tl2br w:val="nil"/>
              <w:tr2bl w:val="nil"/>
            </w:tcBorders>
            <w:noWrap w:val="0"/>
            <w:vAlign w:val="center"/>
          </w:tcPr>
          <w:p w14:paraId="298948FE">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w:t>
            </w:r>
          </w:p>
        </w:tc>
      </w:tr>
      <w:tr w14:paraId="31BBA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887" w:type="pct"/>
            <w:vMerge w:val="continue"/>
            <w:tcBorders>
              <w:tl2br w:val="nil"/>
              <w:tr2bl w:val="nil"/>
            </w:tcBorders>
            <w:noWrap w:val="0"/>
            <w:vAlign w:val="center"/>
          </w:tcPr>
          <w:p w14:paraId="37B4F25D">
            <w:pPr>
              <w:widowControl/>
              <w:snapToGrid w:val="0"/>
              <w:jc w:val="center"/>
              <w:rPr>
                <w:rFonts w:ascii="Times New Roman" w:hAnsi="Times New Roman" w:eastAsia="宋体"/>
                <w:color w:val="auto"/>
                <w:kern w:val="0"/>
                <w:szCs w:val="21"/>
                <w:highlight w:val="none"/>
              </w:rPr>
            </w:pPr>
          </w:p>
        </w:tc>
        <w:tc>
          <w:tcPr>
            <w:tcW w:w="792" w:type="pct"/>
            <w:tcBorders>
              <w:tl2br w:val="nil"/>
              <w:tr2bl w:val="nil"/>
            </w:tcBorders>
            <w:noWrap w:val="0"/>
            <w:vAlign w:val="center"/>
          </w:tcPr>
          <w:p w14:paraId="77E67BF3">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非甲烷总烃</w:t>
            </w:r>
          </w:p>
        </w:tc>
        <w:tc>
          <w:tcPr>
            <w:tcW w:w="1606" w:type="dxa"/>
            <w:tcBorders>
              <w:tl2br w:val="nil"/>
              <w:tr2bl w:val="nil"/>
            </w:tcBorders>
            <w:noWrap w:val="0"/>
            <w:vAlign w:val="center"/>
          </w:tcPr>
          <w:p w14:paraId="02ACF186">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225</w:t>
            </w:r>
          </w:p>
        </w:tc>
        <w:tc>
          <w:tcPr>
            <w:tcW w:w="1500" w:type="dxa"/>
            <w:tcBorders>
              <w:tl2br w:val="nil"/>
              <w:tr2bl w:val="nil"/>
            </w:tcBorders>
            <w:noWrap w:val="0"/>
            <w:vAlign w:val="center"/>
          </w:tcPr>
          <w:p w14:paraId="341F3770">
            <w:pPr>
              <w:jc w:val="center"/>
              <w:rPr>
                <w:rFonts w:hint="default" w:ascii="Times New Roman" w:hAnsi="Times New Roman" w:eastAsia="宋体" w:cs="Times New Roman"/>
                <w:b w:val="0"/>
                <w:color w:val="auto"/>
                <w:sz w:val="21"/>
                <w:szCs w:val="21"/>
                <w:highlight w:val="none"/>
                <w:lang w:val="en-US"/>
              </w:rPr>
            </w:pPr>
            <w:r>
              <w:rPr>
                <w:rFonts w:hint="eastAsia" w:ascii="Times New Roman" w:hAnsi="Times New Roman" w:eastAsia="宋体" w:cs="Times New Roman"/>
                <w:b w:val="0"/>
                <w:color w:val="auto"/>
                <w:sz w:val="21"/>
                <w:szCs w:val="21"/>
                <w:highlight w:val="none"/>
                <w:lang w:val="en-US" w:eastAsia="zh-CN"/>
              </w:rPr>
              <w:t>0.9767</w:t>
            </w:r>
          </w:p>
        </w:tc>
        <w:tc>
          <w:tcPr>
            <w:tcW w:w="1355" w:type="dxa"/>
            <w:tcBorders>
              <w:tl2br w:val="nil"/>
              <w:tr2bl w:val="nil"/>
            </w:tcBorders>
            <w:noWrap w:val="0"/>
            <w:vAlign w:val="center"/>
          </w:tcPr>
          <w:p w14:paraId="25045844">
            <w:pPr>
              <w:jc w:val="center"/>
              <w:rPr>
                <w:rFonts w:hint="default" w:ascii="Times New Roman" w:hAnsi="Times New Roman" w:eastAsia="宋体" w:cs="Times New Roman"/>
                <w:b w:val="0"/>
                <w:color w:val="auto"/>
                <w:sz w:val="21"/>
                <w:szCs w:val="21"/>
                <w:highlight w:val="none"/>
                <w:lang w:val="en-US"/>
              </w:rPr>
            </w:pPr>
            <w:r>
              <w:rPr>
                <w:rFonts w:hint="eastAsia" w:ascii="Times New Roman" w:hAnsi="Times New Roman" w:eastAsia="宋体" w:cs="Times New Roman"/>
                <w:b w:val="0"/>
                <w:color w:val="auto"/>
                <w:sz w:val="21"/>
                <w:szCs w:val="21"/>
                <w:highlight w:val="none"/>
                <w:lang w:val="en-US" w:eastAsia="zh-CN"/>
              </w:rPr>
              <w:t>0.0488</w:t>
            </w:r>
          </w:p>
        </w:tc>
        <w:tc>
          <w:tcPr>
            <w:tcW w:w="701" w:type="pct"/>
            <w:tcBorders>
              <w:tl2br w:val="nil"/>
              <w:tr2bl w:val="nil"/>
            </w:tcBorders>
            <w:noWrap w:val="0"/>
            <w:vAlign w:val="center"/>
          </w:tcPr>
          <w:p w14:paraId="461062EF">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w:t>
            </w:r>
          </w:p>
        </w:tc>
      </w:tr>
    </w:tbl>
    <w:p w14:paraId="0C0E7047">
      <w:pPr>
        <w:pStyle w:val="352"/>
        <w:spacing w:before="156" w:beforeLines="50"/>
        <w:ind w:firstLine="480"/>
        <w:rPr>
          <w:color w:val="auto"/>
          <w:highlight w:val="none"/>
        </w:rPr>
      </w:pPr>
      <w:r>
        <w:rPr>
          <w:color w:val="auto"/>
          <w:highlight w:val="none"/>
        </w:rPr>
        <w:t>由上表可知，项目1%＜Pmax=</w:t>
      </w:r>
      <w:r>
        <w:rPr>
          <w:rFonts w:hint="eastAsia"/>
          <w:color w:val="auto"/>
          <w:highlight w:val="none"/>
          <w:lang w:val="en-US" w:eastAsia="zh-CN"/>
        </w:rPr>
        <w:t>7.6985</w:t>
      </w:r>
      <w:r>
        <w:rPr>
          <w:color w:val="auto"/>
          <w:highlight w:val="none"/>
        </w:rPr>
        <w:t>%＜10%，根据《环境影响评价技术导则大气环境》（HJ2.2-2018）中表2评价等级判别表，项目大气评价等级为二级。</w:t>
      </w:r>
    </w:p>
    <w:p w14:paraId="17F78393">
      <w:pPr>
        <w:pStyle w:val="5"/>
        <w:rPr>
          <w:color w:val="auto"/>
          <w:highlight w:val="none"/>
        </w:rPr>
      </w:pPr>
      <w:bookmarkStart w:id="90" w:name="_Toc117149696"/>
      <w:bookmarkStart w:id="91" w:name="_Toc152921975"/>
      <w:bookmarkStart w:id="92" w:name="_Toc152923250"/>
      <w:bookmarkStart w:id="93" w:name="_Toc117150205"/>
      <w:bookmarkStart w:id="94" w:name="_Toc152922569"/>
      <w:bookmarkStart w:id="95" w:name="_Toc152921610"/>
      <w:bookmarkStart w:id="96" w:name="_Toc119412435"/>
      <w:r>
        <w:rPr>
          <w:color w:val="auto"/>
          <w:highlight w:val="none"/>
        </w:rPr>
        <w:t>2.4.1.2地表水环境影响评价工作等级</w:t>
      </w:r>
      <w:bookmarkEnd w:id="90"/>
      <w:bookmarkEnd w:id="91"/>
      <w:bookmarkEnd w:id="92"/>
      <w:bookmarkEnd w:id="93"/>
      <w:bookmarkEnd w:id="94"/>
      <w:bookmarkEnd w:id="95"/>
      <w:bookmarkEnd w:id="96"/>
    </w:p>
    <w:p w14:paraId="1311E717">
      <w:pPr>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根据《环境影响评价技术导则地表水环境》（HJ2.3-2018），评价等级的确认是根据建设项目地表水环境影响评价等级按照影响类型、排放方式、排放量或影响情况、受纳水体环境质量现状、水环境保护目标等综合确定。</w:t>
      </w:r>
    </w:p>
    <w:p w14:paraId="201EC96E">
      <w:pPr>
        <w:spacing w:line="360" w:lineRule="auto"/>
        <w:ind w:firstLine="480" w:firstLineChars="200"/>
        <w:rPr>
          <w:rFonts w:hint="eastAsia" w:ascii="Times New Roman" w:hAnsi="Times New Roman" w:eastAsia="宋体"/>
          <w:color w:val="auto"/>
          <w:sz w:val="24"/>
          <w:szCs w:val="24"/>
          <w:highlight w:val="none"/>
        </w:rPr>
      </w:pPr>
      <w:r>
        <w:rPr>
          <w:rFonts w:ascii="Times New Roman" w:hAnsi="Times New Roman" w:eastAsia="宋体"/>
          <w:color w:val="auto"/>
          <w:sz w:val="24"/>
          <w:szCs w:val="24"/>
          <w:highlight w:val="none"/>
        </w:rPr>
        <w:t>水污染环境影响型建设项目根据排放方式和废水排放量划分评价等级见下表。直接排放建设项目评价等级分为一级、二级和三级A，根据废水排放量、水污染物污染当量数确定；间接排放建设项目评价等级为三级B。</w:t>
      </w:r>
    </w:p>
    <w:p w14:paraId="501E084B">
      <w:pPr>
        <w:jc w:val="center"/>
        <w:rPr>
          <w:rFonts w:ascii="Times New Roman" w:hAnsi="Times New Roman" w:eastAsia="宋体"/>
          <w:b/>
          <w:bCs/>
          <w:color w:val="auto"/>
          <w:sz w:val="24"/>
          <w:szCs w:val="24"/>
          <w:highlight w:val="none"/>
        </w:rPr>
      </w:pPr>
      <w:r>
        <w:rPr>
          <w:rFonts w:ascii="Times New Roman" w:hAnsi="Times New Roman" w:eastAsia="宋体"/>
          <w:b/>
          <w:bCs/>
          <w:color w:val="auto"/>
          <w:sz w:val="24"/>
          <w:szCs w:val="24"/>
          <w:highlight w:val="none"/>
        </w:rPr>
        <w:t>表2.4.1-</w:t>
      </w:r>
      <w:r>
        <w:rPr>
          <w:rFonts w:hint="eastAsia"/>
          <w:b/>
          <w:bCs/>
          <w:color w:val="auto"/>
          <w:sz w:val="24"/>
          <w:szCs w:val="24"/>
          <w:highlight w:val="none"/>
          <w:lang w:val="en-US" w:eastAsia="zh-CN"/>
        </w:rPr>
        <w:t>3</w:t>
      </w:r>
      <w:r>
        <w:rPr>
          <w:rFonts w:hint="eastAsia" w:ascii="Times New Roman" w:hAnsi="Times New Roman" w:eastAsia="宋体"/>
          <w:b/>
          <w:bCs/>
          <w:color w:val="auto"/>
          <w:sz w:val="24"/>
          <w:szCs w:val="24"/>
          <w:highlight w:val="none"/>
          <w:lang w:val="en-US" w:eastAsia="zh-CN"/>
        </w:rPr>
        <w:t xml:space="preserve">  </w:t>
      </w:r>
      <w:r>
        <w:rPr>
          <w:rFonts w:ascii="Times New Roman" w:hAnsi="Times New Roman" w:eastAsia="宋体"/>
          <w:b/>
          <w:bCs/>
          <w:color w:val="auto"/>
          <w:sz w:val="24"/>
          <w:szCs w:val="24"/>
          <w:highlight w:val="none"/>
        </w:rPr>
        <w:t>水污染影响型建设项目评价等级判定</w:t>
      </w:r>
    </w:p>
    <w:tbl>
      <w:tblPr>
        <w:tblStyle w:val="49"/>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28" w:type="dxa"/>
          <w:left w:w="108" w:type="dxa"/>
          <w:bottom w:w="28" w:type="dxa"/>
          <w:right w:w="108" w:type="dxa"/>
        </w:tblCellMar>
      </w:tblPr>
      <w:tblGrid>
        <w:gridCol w:w="1188"/>
        <w:gridCol w:w="1452"/>
        <w:gridCol w:w="5880"/>
      </w:tblGrid>
      <w:tr w14:paraId="5B47A3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697" w:type="pct"/>
            <w:vMerge w:val="restart"/>
            <w:tcBorders>
              <w:tl2br w:val="nil"/>
              <w:tr2bl w:val="nil"/>
            </w:tcBorders>
            <w:noWrap w:val="0"/>
            <w:vAlign w:val="center"/>
          </w:tcPr>
          <w:p w14:paraId="1361EC4E">
            <w:pPr>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评价等级</w:t>
            </w:r>
          </w:p>
        </w:tc>
        <w:tc>
          <w:tcPr>
            <w:tcW w:w="4302" w:type="pct"/>
            <w:gridSpan w:val="2"/>
            <w:tcBorders>
              <w:tl2br w:val="nil"/>
              <w:tr2bl w:val="nil"/>
            </w:tcBorders>
            <w:noWrap w:val="0"/>
            <w:vAlign w:val="center"/>
          </w:tcPr>
          <w:p w14:paraId="4AA3F165">
            <w:pPr>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判定依据</w:t>
            </w:r>
          </w:p>
        </w:tc>
      </w:tr>
      <w:tr w14:paraId="1BDFF5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697" w:type="pct"/>
            <w:vMerge w:val="continue"/>
            <w:tcBorders>
              <w:tl2br w:val="nil"/>
              <w:tr2bl w:val="nil"/>
            </w:tcBorders>
            <w:noWrap w:val="0"/>
            <w:vAlign w:val="center"/>
          </w:tcPr>
          <w:p w14:paraId="0A9979BE">
            <w:pPr>
              <w:jc w:val="center"/>
              <w:rPr>
                <w:rFonts w:ascii="Times New Roman" w:hAnsi="Times New Roman" w:eastAsia="宋体"/>
                <w:b/>
                <w:bCs/>
                <w:color w:val="auto"/>
                <w:szCs w:val="21"/>
                <w:highlight w:val="none"/>
              </w:rPr>
            </w:pPr>
          </w:p>
        </w:tc>
        <w:tc>
          <w:tcPr>
            <w:tcW w:w="852" w:type="pct"/>
            <w:tcBorders>
              <w:tl2br w:val="nil"/>
              <w:tr2bl w:val="nil"/>
            </w:tcBorders>
            <w:noWrap w:val="0"/>
            <w:vAlign w:val="center"/>
          </w:tcPr>
          <w:p w14:paraId="2530D9CB">
            <w:pPr>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排放方式</w:t>
            </w:r>
          </w:p>
        </w:tc>
        <w:tc>
          <w:tcPr>
            <w:tcW w:w="3449" w:type="pct"/>
            <w:tcBorders>
              <w:tl2br w:val="nil"/>
              <w:tr2bl w:val="nil"/>
            </w:tcBorders>
            <w:noWrap w:val="0"/>
            <w:vAlign w:val="center"/>
          </w:tcPr>
          <w:p w14:paraId="3DE9CC5E">
            <w:pPr>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废水排放量Q/（m</w:t>
            </w:r>
            <w:r>
              <w:rPr>
                <w:rFonts w:ascii="Times New Roman" w:hAnsi="Times New Roman" w:eastAsia="宋体"/>
                <w:b/>
                <w:bCs/>
                <w:color w:val="auto"/>
                <w:szCs w:val="21"/>
                <w:highlight w:val="none"/>
                <w:vertAlign w:val="superscript"/>
              </w:rPr>
              <w:t>3</w:t>
            </w:r>
            <w:r>
              <w:rPr>
                <w:rFonts w:ascii="Times New Roman" w:hAnsi="Times New Roman" w:eastAsia="宋体"/>
                <w:b/>
                <w:bCs/>
                <w:color w:val="auto"/>
                <w:szCs w:val="21"/>
                <w:highlight w:val="none"/>
              </w:rPr>
              <w:t>/d）；水污染物当量数W/（无量纲）</w:t>
            </w:r>
          </w:p>
        </w:tc>
      </w:tr>
      <w:tr w14:paraId="7D275A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697" w:type="pct"/>
            <w:tcBorders>
              <w:tl2br w:val="nil"/>
              <w:tr2bl w:val="nil"/>
            </w:tcBorders>
            <w:noWrap w:val="0"/>
            <w:vAlign w:val="center"/>
          </w:tcPr>
          <w:p w14:paraId="67690B85">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w:t>
            </w:r>
          </w:p>
        </w:tc>
        <w:tc>
          <w:tcPr>
            <w:tcW w:w="852" w:type="pct"/>
            <w:tcBorders>
              <w:tl2br w:val="nil"/>
              <w:tr2bl w:val="nil"/>
            </w:tcBorders>
            <w:noWrap w:val="0"/>
            <w:vAlign w:val="center"/>
          </w:tcPr>
          <w:p w14:paraId="10363785">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直接排放</w:t>
            </w:r>
          </w:p>
        </w:tc>
        <w:tc>
          <w:tcPr>
            <w:tcW w:w="3449" w:type="pct"/>
            <w:tcBorders>
              <w:tl2br w:val="nil"/>
              <w:tr2bl w:val="nil"/>
            </w:tcBorders>
            <w:noWrap w:val="0"/>
            <w:vAlign w:val="center"/>
          </w:tcPr>
          <w:p w14:paraId="651DF06A">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Q≥20000或W≥600000</w:t>
            </w:r>
          </w:p>
        </w:tc>
      </w:tr>
      <w:tr w14:paraId="2545BD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697" w:type="pct"/>
            <w:tcBorders>
              <w:tl2br w:val="nil"/>
              <w:tr2bl w:val="nil"/>
            </w:tcBorders>
            <w:noWrap w:val="0"/>
            <w:vAlign w:val="center"/>
          </w:tcPr>
          <w:p w14:paraId="1030EDDD">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852" w:type="pct"/>
            <w:tcBorders>
              <w:tl2br w:val="nil"/>
              <w:tr2bl w:val="nil"/>
            </w:tcBorders>
            <w:noWrap w:val="0"/>
            <w:vAlign w:val="center"/>
          </w:tcPr>
          <w:p w14:paraId="7DA65EBB">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直接排放</w:t>
            </w:r>
          </w:p>
        </w:tc>
        <w:tc>
          <w:tcPr>
            <w:tcW w:w="3449" w:type="pct"/>
            <w:tcBorders>
              <w:tl2br w:val="nil"/>
              <w:tr2bl w:val="nil"/>
            </w:tcBorders>
            <w:noWrap w:val="0"/>
            <w:vAlign w:val="center"/>
          </w:tcPr>
          <w:p w14:paraId="34B8AFA3">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其他</w:t>
            </w:r>
          </w:p>
        </w:tc>
      </w:tr>
      <w:tr w14:paraId="550816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697" w:type="pct"/>
            <w:tcBorders>
              <w:tl2br w:val="nil"/>
              <w:tr2bl w:val="nil"/>
            </w:tcBorders>
            <w:noWrap w:val="0"/>
            <w:vAlign w:val="center"/>
          </w:tcPr>
          <w:p w14:paraId="1C36AD46">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三级A</w:t>
            </w:r>
          </w:p>
        </w:tc>
        <w:tc>
          <w:tcPr>
            <w:tcW w:w="852" w:type="pct"/>
            <w:tcBorders>
              <w:tl2br w:val="nil"/>
              <w:tr2bl w:val="nil"/>
            </w:tcBorders>
            <w:noWrap w:val="0"/>
            <w:vAlign w:val="center"/>
          </w:tcPr>
          <w:p w14:paraId="5BCA75D8">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直接排放</w:t>
            </w:r>
          </w:p>
        </w:tc>
        <w:tc>
          <w:tcPr>
            <w:tcW w:w="3449" w:type="pct"/>
            <w:tcBorders>
              <w:tl2br w:val="nil"/>
              <w:tr2bl w:val="nil"/>
            </w:tcBorders>
            <w:noWrap w:val="0"/>
            <w:vAlign w:val="center"/>
          </w:tcPr>
          <w:p w14:paraId="026DFFC3">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Q＜200且W＜6000</w:t>
            </w:r>
          </w:p>
        </w:tc>
      </w:tr>
      <w:tr w14:paraId="2EF9EF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697" w:type="pct"/>
            <w:tcBorders>
              <w:tl2br w:val="nil"/>
              <w:tr2bl w:val="nil"/>
            </w:tcBorders>
            <w:noWrap w:val="0"/>
            <w:vAlign w:val="center"/>
          </w:tcPr>
          <w:p w14:paraId="725A7E01">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三级B</w:t>
            </w:r>
          </w:p>
        </w:tc>
        <w:tc>
          <w:tcPr>
            <w:tcW w:w="852" w:type="pct"/>
            <w:tcBorders>
              <w:tl2br w:val="nil"/>
              <w:tr2bl w:val="nil"/>
            </w:tcBorders>
            <w:noWrap w:val="0"/>
            <w:vAlign w:val="center"/>
          </w:tcPr>
          <w:p w14:paraId="49A05427">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间接排放</w:t>
            </w:r>
          </w:p>
        </w:tc>
        <w:tc>
          <w:tcPr>
            <w:tcW w:w="3449" w:type="pct"/>
            <w:tcBorders>
              <w:tl2br w:val="nil"/>
              <w:tr2bl w:val="nil"/>
            </w:tcBorders>
            <w:noWrap w:val="0"/>
            <w:vAlign w:val="center"/>
          </w:tcPr>
          <w:p w14:paraId="5E8F4DDE">
            <w:pPr>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r>
    </w:tbl>
    <w:p w14:paraId="50A6F90D">
      <w:pPr>
        <w:pStyle w:val="352"/>
        <w:ind w:firstLine="480"/>
        <w:rPr>
          <w:color w:val="auto"/>
          <w:highlight w:val="none"/>
        </w:rPr>
      </w:pPr>
      <w:r>
        <w:rPr>
          <w:color w:val="auto"/>
          <w:highlight w:val="none"/>
        </w:rPr>
        <w:t>本项目建成后，</w:t>
      </w:r>
      <w:r>
        <w:rPr>
          <w:rFonts w:hint="eastAsia"/>
          <w:color w:val="auto"/>
          <w:highlight w:val="none"/>
          <w:lang w:val="en-US" w:eastAsia="zh-CN"/>
        </w:rPr>
        <w:t>生产环节涉及间接循环冷却水、脱盐水制备产生浓水、反冲洗废水直接接管污水管网，洗车废水经隔油沉淀处理接管市政污水管网，</w:t>
      </w:r>
      <w:r>
        <w:rPr>
          <w:color w:val="auto"/>
          <w:highlight w:val="none"/>
        </w:rPr>
        <w:t>生活污水经化粪池预处理后接管</w:t>
      </w:r>
      <w:r>
        <w:rPr>
          <w:rFonts w:hint="eastAsia"/>
          <w:color w:val="auto"/>
          <w:highlight w:val="none"/>
          <w:lang w:val="en-US" w:eastAsia="zh-CN"/>
        </w:rPr>
        <w:t>市政污水管网，污水经污水管网进入田家庵经济开发区污水处理站，</w:t>
      </w:r>
      <w:r>
        <w:rPr>
          <w:color w:val="auto"/>
          <w:highlight w:val="none"/>
        </w:rPr>
        <w:t>达到</w:t>
      </w:r>
      <w:r>
        <w:rPr>
          <w:rFonts w:hint="eastAsia"/>
          <w:color w:val="auto"/>
          <w:highlight w:val="none"/>
        </w:rPr>
        <w:t>《城镇污水处理厂污染物排放标准》（GB18918-2002）一级A类标准</w:t>
      </w:r>
      <w:r>
        <w:rPr>
          <w:rFonts w:hint="eastAsia"/>
          <w:color w:val="auto"/>
          <w:highlight w:val="none"/>
          <w:lang w:val="en-US" w:eastAsia="zh-CN"/>
        </w:rPr>
        <w:t>排放，最终汇入瓦埠湖</w:t>
      </w:r>
      <w:r>
        <w:rPr>
          <w:color w:val="auto"/>
          <w:highlight w:val="none"/>
        </w:rPr>
        <w:t>。</w:t>
      </w:r>
    </w:p>
    <w:p w14:paraId="4F0B572C">
      <w:pPr>
        <w:pStyle w:val="352"/>
        <w:ind w:firstLine="480"/>
        <w:rPr>
          <w:bCs/>
          <w:color w:val="auto"/>
          <w:highlight w:val="none"/>
        </w:rPr>
      </w:pPr>
      <w:r>
        <w:rPr>
          <w:color w:val="auto"/>
          <w:highlight w:val="none"/>
        </w:rPr>
        <w:t>综上所述，本项目废水排放方式为间接排放，确定本项目地表水环境影响评价工作等级为三级B，给出简要的环境影响分析即可。</w:t>
      </w:r>
    </w:p>
    <w:p w14:paraId="4B660807">
      <w:pPr>
        <w:pStyle w:val="5"/>
        <w:rPr>
          <w:color w:val="auto"/>
          <w:highlight w:val="none"/>
        </w:rPr>
      </w:pPr>
      <w:bookmarkStart w:id="97" w:name="_Toc152923251"/>
      <w:bookmarkStart w:id="98" w:name="_Toc119412436"/>
      <w:bookmarkStart w:id="99" w:name="_Toc152921611"/>
      <w:bookmarkStart w:id="100" w:name="_Toc117150206"/>
      <w:bookmarkStart w:id="101" w:name="_Toc152922570"/>
      <w:bookmarkStart w:id="102" w:name="_Toc117149697"/>
      <w:bookmarkStart w:id="103" w:name="_Toc152921976"/>
      <w:r>
        <w:rPr>
          <w:color w:val="auto"/>
          <w:highlight w:val="none"/>
        </w:rPr>
        <w:t>2.4.1.3地下水环境影响评价工作等级</w:t>
      </w:r>
      <w:bookmarkEnd w:id="97"/>
      <w:bookmarkEnd w:id="98"/>
      <w:bookmarkEnd w:id="99"/>
      <w:bookmarkEnd w:id="100"/>
      <w:bookmarkEnd w:id="101"/>
      <w:bookmarkEnd w:id="102"/>
      <w:bookmarkEnd w:id="103"/>
    </w:p>
    <w:p w14:paraId="0F1FC115">
      <w:pPr>
        <w:pStyle w:val="352"/>
        <w:ind w:firstLine="480"/>
        <w:rPr>
          <w:color w:val="auto"/>
          <w:highlight w:val="none"/>
        </w:rPr>
      </w:pPr>
      <w:r>
        <w:rPr>
          <w:rFonts w:hint="eastAsia"/>
          <w:color w:val="auto"/>
          <w:highlight w:val="none"/>
        </w:rPr>
        <w:t>根据《环境影响评价技术导则地下水环境》</w:t>
      </w:r>
      <w:r>
        <w:rPr>
          <w:rFonts w:hint="eastAsia"/>
          <w:color w:val="auto"/>
          <w:highlight w:val="none"/>
          <w:lang w:eastAsia="zh-CN"/>
        </w:rPr>
        <w:t>（</w:t>
      </w:r>
      <w:r>
        <w:rPr>
          <w:rFonts w:hint="eastAsia"/>
          <w:color w:val="auto"/>
          <w:highlight w:val="none"/>
        </w:rPr>
        <w:t>HJ610-2016</w:t>
      </w:r>
      <w:r>
        <w:rPr>
          <w:rFonts w:hint="eastAsia"/>
          <w:color w:val="auto"/>
          <w:highlight w:val="none"/>
          <w:lang w:eastAsia="zh-CN"/>
        </w:rPr>
        <w:t>）</w:t>
      </w:r>
      <w:r>
        <w:rPr>
          <w:rFonts w:hint="eastAsia"/>
          <w:color w:val="auto"/>
          <w:highlight w:val="none"/>
        </w:rPr>
        <w:t>中的附录A</w:t>
      </w:r>
      <w:r>
        <w:rPr>
          <w:rFonts w:hint="eastAsia"/>
          <w:color w:val="auto"/>
          <w:highlight w:val="none"/>
          <w:lang w:eastAsia="zh-CN"/>
        </w:rPr>
        <w:t>：</w:t>
      </w:r>
      <w:r>
        <w:rPr>
          <w:rFonts w:hint="eastAsia"/>
          <w:color w:val="auto"/>
          <w:highlight w:val="none"/>
        </w:rPr>
        <w:t>本项目属于编制报告书的</w:t>
      </w:r>
      <w:r>
        <w:rPr>
          <w:rFonts w:hint="eastAsia"/>
          <w:color w:val="auto"/>
          <w:highlight w:val="none"/>
          <w:lang w:eastAsia="zh-CN"/>
        </w:rPr>
        <w:t>“</w:t>
      </w:r>
      <w:r>
        <w:rPr>
          <w:rFonts w:hint="eastAsia"/>
          <w:color w:val="auto"/>
          <w:highlight w:val="none"/>
        </w:rPr>
        <w:t>基本化学原料制造</w:t>
      </w:r>
      <w:r>
        <w:rPr>
          <w:rFonts w:hint="eastAsia"/>
          <w:color w:val="auto"/>
          <w:highlight w:val="none"/>
          <w:lang w:eastAsia="zh-CN"/>
        </w:rPr>
        <w:t>”</w:t>
      </w:r>
      <w:r>
        <w:rPr>
          <w:rFonts w:hint="eastAsia"/>
          <w:color w:val="auto"/>
          <w:highlight w:val="none"/>
        </w:rPr>
        <w:t>，地下水类别为I类项目，</w:t>
      </w:r>
      <w:r>
        <w:rPr>
          <w:rFonts w:hint="eastAsia"/>
          <w:color w:val="auto"/>
          <w:highlight w:val="none"/>
          <w:lang w:val="en-US" w:eastAsia="zh-CN"/>
        </w:rPr>
        <w:t>地下水敏感程度为不敏感，</w:t>
      </w:r>
      <w:r>
        <w:rPr>
          <w:rFonts w:hint="eastAsia"/>
          <w:color w:val="auto"/>
          <w:highlight w:val="none"/>
        </w:rPr>
        <w:t>因此，确定本项目地下水环境影响评价项目类</w:t>
      </w:r>
      <w:r>
        <w:rPr>
          <w:rFonts w:hint="eastAsia"/>
          <w:color w:val="auto"/>
          <w:highlight w:val="none"/>
          <w:lang w:eastAsia="zh-CN"/>
        </w:rPr>
        <w:t>别为</w:t>
      </w:r>
      <w:r>
        <w:rPr>
          <w:rFonts w:hint="eastAsia"/>
          <w:color w:val="auto"/>
          <w:highlight w:val="none"/>
        </w:rPr>
        <w:t>Ⅰ类。</w:t>
      </w:r>
    </w:p>
    <w:p w14:paraId="4C4DC379">
      <w:pPr>
        <w:pStyle w:val="352"/>
        <w:ind w:firstLine="480"/>
        <w:rPr>
          <w:color w:val="auto"/>
          <w:highlight w:val="none"/>
        </w:rPr>
      </w:pPr>
      <w:r>
        <w:rPr>
          <w:color w:val="auto"/>
          <w:highlight w:val="none"/>
        </w:rPr>
        <w:t>评价工作等级的划分根据建设项目行业分类和地下水环境敏感程度分级进行判定，地下水环境敏感程度分级表见表2.4.1-5。</w:t>
      </w:r>
    </w:p>
    <w:p w14:paraId="2D4E15F2">
      <w:pPr>
        <w:ind w:firstLine="482" w:firstLineChars="200"/>
        <w:jc w:val="center"/>
        <w:rPr>
          <w:rFonts w:ascii="Times New Roman" w:hAnsi="Times New Roman" w:eastAsia="宋体"/>
          <w:b/>
          <w:bCs/>
          <w:color w:val="auto"/>
          <w:sz w:val="24"/>
          <w:szCs w:val="24"/>
          <w:highlight w:val="none"/>
        </w:rPr>
      </w:pPr>
      <w:r>
        <w:rPr>
          <w:rFonts w:ascii="Times New Roman" w:hAnsi="Times New Roman" w:eastAsia="宋体"/>
          <w:b/>
          <w:color w:val="auto"/>
          <w:sz w:val="24"/>
          <w:szCs w:val="24"/>
          <w:highlight w:val="none"/>
        </w:rPr>
        <w:t>表2.4.1-</w:t>
      </w:r>
      <w:r>
        <w:rPr>
          <w:rFonts w:hint="eastAsia"/>
          <w:b/>
          <w:color w:val="auto"/>
          <w:sz w:val="24"/>
          <w:szCs w:val="24"/>
          <w:highlight w:val="none"/>
          <w:lang w:val="en-US" w:eastAsia="zh-CN"/>
        </w:rPr>
        <w:t>4</w:t>
      </w:r>
      <w:r>
        <w:rPr>
          <w:rFonts w:hint="eastAsia" w:ascii="Times New Roman" w:hAnsi="Times New Roman" w:eastAsia="宋体"/>
          <w:b/>
          <w:color w:val="auto"/>
          <w:sz w:val="24"/>
          <w:szCs w:val="24"/>
          <w:highlight w:val="none"/>
          <w:lang w:val="en-US" w:eastAsia="zh-CN"/>
        </w:rPr>
        <w:t xml:space="preserve">  </w:t>
      </w:r>
      <w:r>
        <w:rPr>
          <w:rFonts w:ascii="Times New Roman" w:hAnsi="Times New Roman" w:eastAsia="宋体"/>
          <w:b/>
          <w:bCs/>
          <w:color w:val="auto"/>
          <w:sz w:val="24"/>
          <w:szCs w:val="24"/>
          <w:highlight w:val="none"/>
        </w:rPr>
        <w:t>地下水环境敏感程度分级表</w:t>
      </w:r>
    </w:p>
    <w:tbl>
      <w:tblPr>
        <w:tblStyle w:val="49"/>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28" w:type="dxa"/>
          <w:left w:w="108" w:type="dxa"/>
          <w:bottom w:w="28" w:type="dxa"/>
          <w:right w:w="108" w:type="dxa"/>
        </w:tblCellMar>
      </w:tblPr>
      <w:tblGrid>
        <w:gridCol w:w="1137"/>
        <w:gridCol w:w="7383"/>
      </w:tblGrid>
      <w:tr w14:paraId="786268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70" w:hRule="atLeast"/>
          <w:jc w:val="center"/>
        </w:trPr>
        <w:tc>
          <w:tcPr>
            <w:tcW w:w="667" w:type="pct"/>
            <w:tcBorders>
              <w:tl2br w:val="nil"/>
              <w:tr2bl w:val="nil"/>
            </w:tcBorders>
            <w:noWrap w:val="0"/>
            <w:vAlign w:val="center"/>
          </w:tcPr>
          <w:p w14:paraId="4EFCFEC5">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敏感程度</w:t>
            </w:r>
          </w:p>
        </w:tc>
        <w:tc>
          <w:tcPr>
            <w:tcW w:w="4332" w:type="pct"/>
            <w:tcBorders>
              <w:tl2br w:val="nil"/>
              <w:tr2bl w:val="nil"/>
            </w:tcBorders>
            <w:noWrap w:val="0"/>
            <w:vAlign w:val="center"/>
          </w:tcPr>
          <w:p w14:paraId="623BD047">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地下水环境敏感特征</w:t>
            </w:r>
          </w:p>
        </w:tc>
      </w:tr>
      <w:tr w14:paraId="38FD8F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397" w:hRule="atLeast"/>
          <w:jc w:val="center"/>
        </w:trPr>
        <w:tc>
          <w:tcPr>
            <w:tcW w:w="667" w:type="pct"/>
            <w:tcBorders>
              <w:tl2br w:val="nil"/>
              <w:tr2bl w:val="nil"/>
            </w:tcBorders>
            <w:noWrap w:val="0"/>
            <w:vAlign w:val="center"/>
          </w:tcPr>
          <w:p w14:paraId="5AE132E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敏感</w:t>
            </w:r>
          </w:p>
        </w:tc>
        <w:tc>
          <w:tcPr>
            <w:tcW w:w="4332" w:type="pct"/>
            <w:tcBorders>
              <w:tl2br w:val="nil"/>
              <w:tr2bl w:val="nil"/>
            </w:tcBorders>
            <w:noWrap w:val="0"/>
            <w:vAlign w:val="center"/>
          </w:tcPr>
          <w:p w14:paraId="728AF32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集中式饮用水水源（包括已建成的在用、备用、应急水源，在建和规划的饮用水水源）准保护区；除集中式饮用水水源以外的国家或地方政府设定的地下水环境相关的其他保护区，如热水、矿泉水、温泉等特殊地下水资源保护区。</w:t>
            </w:r>
          </w:p>
        </w:tc>
      </w:tr>
      <w:tr w14:paraId="252F45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397" w:hRule="atLeast"/>
          <w:jc w:val="center"/>
        </w:trPr>
        <w:tc>
          <w:tcPr>
            <w:tcW w:w="667" w:type="pct"/>
            <w:tcBorders>
              <w:tl2br w:val="nil"/>
              <w:tr2bl w:val="nil"/>
            </w:tcBorders>
            <w:noWrap w:val="0"/>
            <w:vAlign w:val="center"/>
          </w:tcPr>
          <w:p w14:paraId="1462016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较敏感</w:t>
            </w:r>
          </w:p>
        </w:tc>
        <w:tc>
          <w:tcPr>
            <w:tcW w:w="4332" w:type="pct"/>
            <w:tcBorders>
              <w:tl2br w:val="nil"/>
              <w:tr2bl w:val="nil"/>
            </w:tcBorders>
            <w:noWrap w:val="0"/>
            <w:vAlign w:val="center"/>
          </w:tcPr>
          <w:p w14:paraId="61AC6D2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w:t>
            </w:r>
          </w:p>
        </w:tc>
      </w:tr>
      <w:tr w14:paraId="1FD5E0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70" w:hRule="atLeast"/>
          <w:jc w:val="center"/>
        </w:trPr>
        <w:tc>
          <w:tcPr>
            <w:tcW w:w="667" w:type="pct"/>
            <w:tcBorders>
              <w:tl2br w:val="nil"/>
              <w:tr2bl w:val="nil"/>
            </w:tcBorders>
            <w:noWrap w:val="0"/>
            <w:vAlign w:val="center"/>
          </w:tcPr>
          <w:p w14:paraId="06AB77D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不敏感</w:t>
            </w:r>
          </w:p>
        </w:tc>
        <w:tc>
          <w:tcPr>
            <w:tcW w:w="4332" w:type="pct"/>
            <w:tcBorders>
              <w:tl2br w:val="nil"/>
              <w:tr2bl w:val="nil"/>
            </w:tcBorders>
            <w:noWrap w:val="0"/>
            <w:vAlign w:val="center"/>
          </w:tcPr>
          <w:p w14:paraId="7A49205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上述地区之外的其他地区。</w:t>
            </w:r>
          </w:p>
        </w:tc>
      </w:tr>
      <w:tr w14:paraId="469F8B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trHeight w:val="58" w:hRule="atLeast"/>
          <w:jc w:val="center"/>
        </w:trPr>
        <w:tc>
          <w:tcPr>
            <w:tcW w:w="5000" w:type="pct"/>
            <w:gridSpan w:val="2"/>
            <w:tcBorders>
              <w:tl2br w:val="nil"/>
              <w:tr2bl w:val="nil"/>
            </w:tcBorders>
            <w:noWrap w:val="0"/>
            <w:vAlign w:val="center"/>
          </w:tcPr>
          <w:p w14:paraId="54FF347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注：a</w:t>
            </w:r>
            <w:r>
              <w:rPr>
                <w:rFonts w:hint="eastAsia"/>
                <w:color w:val="auto"/>
                <w:szCs w:val="21"/>
                <w:highlight w:val="none"/>
                <w:lang w:eastAsia="zh-CN"/>
              </w:rPr>
              <w:t>“</w:t>
            </w:r>
            <w:r>
              <w:rPr>
                <w:rFonts w:ascii="Times New Roman" w:hAnsi="Times New Roman" w:eastAsia="宋体"/>
                <w:color w:val="auto"/>
                <w:szCs w:val="21"/>
                <w:highlight w:val="none"/>
              </w:rPr>
              <w:t>环境敏感区</w:t>
            </w:r>
            <w:r>
              <w:rPr>
                <w:rFonts w:hint="eastAsia"/>
                <w:color w:val="auto"/>
                <w:szCs w:val="21"/>
                <w:highlight w:val="none"/>
                <w:lang w:eastAsia="zh-CN"/>
              </w:rPr>
              <w:t>”</w:t>
            </w:r>
            <w:r>
              <w:rPr>
                <w:rFonts w:ascii="Times New Roman" w:hAnsi="Times New Roman" w:eastAsia="宋体"/>
                <w:color w:val="auto"/>
                <w:szCs w:val="21"/>
                <w:highlight w:val="none"/>
              </w:rPr>
              <w:t>是指《建设项目环境影响评价分类管理名录》中所界定的涉及地下水的环境敏感区。</w:t>
            </w:r>
          </w:p>
        </w:tc>
      </w:tr>
    </w:tbl>
    <w:p w14:paraId="0473DE4D">
      <w:pPr>
        <w:pStyle w:val="352"/>
        <w:keepNext w:val="0"/>
        <w:keepLines w:val="0"/>
        <w:pageBreakBefore w:val="0"/>
        <w:widowControl w:val="0"/>
        <w:kinsoku/>
        <w:wordWrap/>
        <w:overflowPunct/>
        <w:topLinePunct w:val="0"/>
        <w:autoSpaceDE/>
        <w:autoSpaceDN/>
        <w:bidi w:val="0"/>
        <w:adjustRightInd w:val="0"/>
        <w:snapToGrid w:val="0"/>
        <w:ind w:firstLine="480"/>
        <w:textAlignment w:val="auto"/>
        <w:rPr>
          <w:color w:val="auto"/>
          <w:highlight w:val="none"/>
        </w:rPr>
      </w:pPr>
      <w:r>
        <w:rPr>
          <w:color w:val="auto"/>
          <w:highlight w:val="none"/>
        </w:rPr>
        <w:t>建设项目地下水环境影响评价工作等级划分见表2.4.1-6。</w:t>
      </w:r>
    </w:p>
    <w:p w14:paraId="7E5AE90F">
      <w:pPr>
        <w:keepNext w:val="0"/>
        <w:keepLines w:val="0"/>
        <w:pageBreakBefore w:val="0"/>
        <w:widowControl w:val="0"/>
        <w:kinsoku/>
        <w:wordWrap/>
        <w:overflowPunct/>
        <w:topLinePunct w:val="0"/>
        <w:autoSpaceDE/>
        <w:autoSpaceDN/>
        <w:bidi w:val="0"/>
        <w:adjustRightInd w:val="0"/>
        <w:snapToGrid w:val="0"/>
        <w:spacing w:line="360" w:lineRule="auto"/>
        <w:ind w:firstLine="482"/>
        <w:jc w:val="center"/>
        <w:textAlignment w:val="auto"/>
        <w:rPr>
          <w:rFonts w:ascii="Times New Roman" w:hAnsi="Times New Roman" w:eastAsia="宋体"/>
          <w:b/>
          <w:bCs/>
          <w:color w:val="auto"/>
          <w:sz w:val="24"/>
          <w:szCs w:val="24"/>
          <w:highlight w:val="none"/>
        </w:rPr>
      </w:pPr>
      <w:r>
        <w:rPr>
          <w:rFonts w:ascii="Times New Roman" w:hAnsi="Times New Roman" w:eastAsia="宋体"/>
          <w:b/>
          <w:bCs/>
          <w:color w:val="auto"/>
          <w:sz w:val="24"/>
          <w:szCs w:val="24"/>
          <w:highlight w:val="none"/>
        </w:rPr>
        <w:t>表2.4.1-</w:t>
      </w:r>
      <w:r>
        <w:rPr>
          <w:rFonts w:hint="eastAsia"/>
          <w:b/>
          <w:bCs/>
          <w:color w:val="auto"/>
          <w:sz w:val="24"/>
          <w:szCs w:val="24"/>
          <w:highlight w:val="none"/>
          <w:lang w:val="en-US" w:eastAsia="zh-CN"/>
        </w:rPr>
        <w:t>5</w:t>
      </w:r>
      <w:r>
        <w:rPr>
          <w:rFonts w:hint="eastAsia" w:ascii="Times New Roman" w:hAnsi="Times New Roman" w:eastAsia="宋体"/>
          <w:b/>
          <w:bCs/>
          <w:color w:val="auto"/>
          <w:sz w:val="24"/>
          <w:szCs w:val="24"/>
          <w:highlight w:val="none"/>
          <w:lang w:val="en-US" w:eastAsia="zh-CN"/>
        </w:rPr>
        <w:t xml:space="preserve">  </w:t>
      </w:r>
      <w:r>
        <w:rPr>
          <w:rFonts w:ascii="Times New Roman" w:hAnsi="Times New Roman" w:eastAsia="宋体"/>
          <w:b/>
          <w:bCs/>
          <w:color w:val="auto"/>
          <w:sz w:val="24"/>
          <w:szCs w:val="24"/>
          <w:highlight w:val="none"/>
        </w:rPr>
        <w:t>评价工作等级分级表</w:t>
      </w:r>
    </w:p>
    <w:tbl>
      <w:tblPr>
        <w:tblStyle w:val="49"/>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355"/>
        <w:gridCol w:w="1964"/>
        <w:gridCol w:w="2102"/>
        <w:gridCol w:w="2101"/>
      </w:tblGrid>
      <w:tr w14:paraId="2C67C6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86" w:hRule="atLeast"/>
          <w:jc w:val="center"/>
        </w:trPr>
        <w:tc>
          <w:tcPr>
            <w:tcW w:w="1381" w:type="pct"/>
            <w:tcBorders>
              <w:tl2br w:val="nil"/>
              <w:tr2bl w:val="nil"/>
            </w:tcBorders>
            <w:noWrap w:val="0"/>
            <w:vAlign w:val="center"/>
          </w:tcPr>
          <w:p w14:paraId="671F2C43">
            <w:pPr>
              <w:snapToGrid w:val="0"/>
              <w:ind w:firstLine="1050" w:firstLineChars="500"/>
              <w:rPr>
                <w:rFonts w:ascii="Times New Roman" w:hAnsi="Times New Roman" w:eastAsia="宋体"/>
                <w:b/>
                <w:color w:val="auto"/>
                <w:szCs w:val="21"/>
                <w:highlight w:val="none"/>
              </w:rPr>
            </w:pPr>
            <w:r>
              <w:rPr>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-53340</wp:posOffset>
                      </wp:positionH>
                      <wp:positionV relativeFrom="paragraph">
                        <wp:posOffset>-1905</wp:posOffset>
                      </wp:positionV>
                      <wp:extent cx="1466850" cy="342900"/>
                      <wp:effectExtent l="1270" t="4445" r="17780" b="14605"/>
                      <wp:wrapNone/>
                      <wp:docPr id="1" name="直线 3"/>
                      <wp:cNvGraphicFramePr/>
                      <a:graphic xmlns:a="http://schemas.openxmlformats.org/drawingml/2006/main">
                        <a:graphicData uri="http://schemas.microsoft.com/office/word/2010/wordprocessingShape">
                          <wps:wsp>
                            <wps:cNvCnPr/>
                            <wps:spPr>
                              <a:xfrm>
                                <a:off x="0" y="0"/>
                                <a:ext cx="1466850" cy="3429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3" o:spid="_x0000_s1026" o:spt="20" style="position:absolute;left:0pt;margin-left:-4.2pt;margin-top:-0.15pt;height:27pt;width:115.5pt;z-index:251660288;mso-width-relative:page;mso-height-relative:page;" filled="f" stroked="t" coordsize="21600,21600" o:gfxdata="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SbjEbWAAAABwEAAA8AAAAAAAAAAQAgAAAAIgAAAGRycy9kb3ducmV2LnhtbFBLAQIUABQAAAAI&#10;AIdO4kCyftKN7wEAAOADAAAOAAAAAAAAAAEAIAAAACUBAABkcnMvZTJvRG9jLnhtbFBLBQYAAAAA&#10;BgAGAFkBAACGBQAAAAA=&#10;">
                      <v:fill on="f" focussize="0,0"/>
                      <v:stroke color="#000000" joinstyle="round"/>
                      <v:imagedata o:title=""/>
                      <o:lock v:ext="edit" aspectratio="f"/>
                    </v:line>
                  </w:pict>
                </mc:Fallback>
              </mc:AlternateContent>
            </w:r>
            <w:r>
              <w:rPr>
                <w:rFonts w:ascii="Times New Roman" w:hAnsi="Times New Roman" w:eastAsia="宋体"/>
                <w:b/>
                <w:color w:val="auto"/>
                <w:szCs w:val="21"/>
                <w:highlight w:val="none"/>
              </w:rPr>
              <w:t>项目类别</w:t>
            </w:r>
          </w:p>
          <w:p w14:paraId="63FA52BD">
            <w:pPr>
              <w:snapToGrid w:val="0"/>
              <w:rPr>
                <w:rFonts w:ascii="Times New Roman" w:hAnsi="Times New Roman" w:eastAsia="宋体"/>
                <w:color w:val="auto"/>
                <w:szCs w:val="21"/>
                <w:highlight w:val="none"/>
              </w:rPr>
            </w:pPr>
            <w:r>
              <w:rPr>
                <w:rFonts w:ascii="Times New Roman" w:hAnsi="Times New Roman" w:eastAsia="宋体"/>
                <w:b/>
                <w:color w:val="auto"/>
                <w:szCs w:val="21"/>
                <w:highlight w:val="none"/>
              </w:rPr>
              <w:t>环境敏感程度</w:t>
            </w:r>
          </w:p>
        </w:tc>
        <w:tc>
          <w:tcPr>
            <w:tcW w:w="1152" w:type="pct"/>
            <w:tcBorders>
              <w:tl2br w:val="nil"/>
              <w:tr2bl w:val="nil"/>
            </w:tcBorders>
            <w:noWrap w:val="0"/>
            <w:vAlign w:val="center"/>
          </w:tcPr>
          <w:p w14:paraId="70AFDD7D">
            <w:pPr>
              <w:snapToGrid w:val="0"/>
              <w:ind w:firstLine="527" w:firstLineChars="250"/>
              <w:rPr>
                <w:rFonts w:ascii="Times New Roman" w:hAnsi="Times New Roman" w:eastAsia="宋体"/>
                <w:b/>
                <w:color w:val="auto"/>
                <w:szCs w:val="21"/>
                <w:highlight w:val="none"/>
              </w:rPr>
            </w:pPr>
            <w:r>
              <w:rPr>
                <w:rFonts w:ascii="Times New Roman" w:hAnsi="Times New Roman" w:eastAsia="宋体"/>
                <w:b/>
                <w:color w:val="auto"/>
                <w:szCs w:val="21"/>
                <w:highlight w:val="none"/>
              </w:rPr>
              <w:t>Ⅰ类项目</w:t>
            </w:r>
          </w:p>
        </w:tc>
        <w:tc>
          <w:tcPr>
            <w:tcW w:w="1233" w:type="pct"/>
            <w:tcBorders>
              <w:tl2br w:val="nil"/>
              <w:tr2bl w:val="nil"/>
            </w:tcBorders>
            <w:noWrap w:val="0"/>
            <w:vAlign w:val="center"/>
          </w:tcPr>
          <w:p w14:paraId="3426ACFC">
            <w:pPr>
              <w:snapToGrid w:val="0"/>
              <w:ind w:firstLine="422"/>
              <w:rPr>
                <w:rFonts w:ascii="Times New Roman" w:hAnsi="Times New Roman" w:eastAsia="宋体"/>
                <w:b/>
                <w:color w:val="auto"/>
                <w:szCs w:val="21"/>
                <w:highlight w:val="none"/>
              </w:rPr>
            </w:pPr>
            <w:r>
              <w:rPr>
                <w:rFonts w:ascii="Times New Roman" w:hAnsi="Times New Roman" w:eastAsia="宋体"/>
                <w:b/>
                <w:color w:val="auto"/>
                <w:szCs w:val="21"/>
                <w:highlight w:val="none"/>
              </w:rPr>
              <w:t>Ⅱ类项目</w:t>
            </w:r>
          </w:p>
        </w:tc>
        <w:tc>
          <w:tcPr>
            <w:tcW w:w="1232" w:type="pct"/>
            <w:tcBorders>
              <w:tl2br w:val="nil"/>
              <w:tr2bl w:val="nil"/>
            </w:tcBorders>
            <w:noWrap w:val="0"/>
            <w:vAlign w:val="center"/>
          </w:tcPr>
          <w:p w14:paraId="13E3D616">
            <w:pPr>
              <w:snapToGrid w:val="0"/>
              <w:ind w:firstLine="422"/>
              <w:rPr>
                <w:rFonts w:ascii="Times New Roman" w:hAnsi="Times New Roman" w:eastAsia="宋体"/>
                <w:b/>
                <w:color w:val="auto"/>
                <w:szCs w:val="21"/>
                <w:highlight w:val="none"/>
              </w:rPr>
            </w:pPr>
            <w:r>
              <w:rPr>
                <w:rFonts w:ascii="Times New Roman" w:hAnsi="Times New Roman" w:eastAsia="宋体"/>
                <w:b/>
                <w:color w:val="auto"/>
                <w:szCs w:val="21"/>
                <w:highlight w:val="none"/>
              </w:rPr>
              <w:t>Ⅲ类项目</w:t>
            </w:r>
          </w:p>
        </w:tc>
      </w:tr>
      <w:tr w14:paraId="1D7A135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1381" w:type="pct"/>
            <w:tcBorders>
              <w:tl2br w:val="nil"/>
              <w:tr2bl w:val="nil"/>
            </w:tcBorders>
            <w:noWrap w:val="0"/>
            <w:vAlign w:val="center"/>
          </w:tcPr>
          <w:p w14:paraId="519AEB0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敏感</w:t>
            </w:r>
          </w:p>
        </w:tc>
        <w:tc>
          <w:tcPr>
            <w:tcW w:w="1152" w:type="pct"/>
            <w:tcBorders>
              <w:tl2br w:val="nil"/>
              <w:tr2bl w:val="nil"/>
            </w:tcBorders>
            <w:noWrap w:val="0"/>
            <w:vAlign w:val="center"/>
          </w:tcPr>
          <w:p w14:paraId="070D193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w:t>
            </w:r>
          </w:p>
        </w:tc>
        <w:tc>
          <w:tcPr>
            <w:tcW w:w="1233" w:type="pct"/>
            <w:tcBorders>
              <w:tl2br w:val="nil"/>
              <w:tr2bl w:val="nil"/>
            </w:tcBorders>
            <w:noWrap w:val="0"/>
            <w:vAlign w:val="center"/>
          </w:tcPr>
          <w:p w14:paraId="5ED7049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w:t>
            </w:r>
          </w:p>
        </w:tc>
        <w:tc>
          <w:tcPr>
            <w:tcW w:w="1232" w:type="pct"/>
            <w:tcBorders>
              <w:tl2br w:val="nil"/>
              <w:tr2bl w:val="nil"/>
            </w:tcBorders>
            <w:noWrap w:val="0"/>
            <w:vAlign w:val="center"/>
          </w:tcPr>
          <w:p w14:paraId="2718B66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w:t>
            </w:r>
          </w:p>
        </w:tc>
      </w:tr>
      <w:tr w14:paraId="67DF0E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1381" w:type="pct"/>
            <w:tcBorders>
              <w:tl2br w:val="nil"/>
              <w:tr2bl w:val="nil"/>
            </w:tcBorders>
            <w:noWrap w:val="0"/>
            <w:vAlign w:val="center"/>
          </w:tcPr>
          <w:p w14:paraId="76DF970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较敏感</w:t>
            </w:r>
          </w:p>
        </w:tc>
        <w:tc>
          <w:tcPr>
            <w:tcW w:w="1152" w:type="pct"/>
            <w:tcBorders>
              <w:tl2br w:val="nil"/>
              <w:tr2bl w:val="nil"/>
            </w:tcBorders>
            <w:noWrap w:val="0"/>
            <w:vAlign w:val="center"/>
          </w:tcPr>
          <w:p w14:paraId="479E4AD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w:t>
            </w:r>
          </w:p>
        </w:tc>
        <w:tc>
          <w:tcPr>
            <w:tcW w:w="1233" w:type="pct"/>
            <w:tcBorders>
              <w:tl2br w:val="nil"/>
              <w:tr2bl w:val="nil"/>
            </w:tcBorders>
            <w:noWrap w:val="0"/>
            <w:vAlign w:val="center"/>
          </w:tcPr>
          <w:p w14:paraId="35D90EE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w:t>
            </w:r>
          </w:p>
        </w:tc>
        <w:tc>
          <w:tcPr>
            <w:tcW w:w="1232" w:type="pct"/>
            <w:tcBorders>
              <w:tl2br w:val="nil"/>
              <w:tr2bl w:val="nil"/>
            </w:tcBorders>
            <w:noWrap w:val="0"/>
            <w:vAlign w:val="center"/>
          </w:tcPr>
          <w:p w14:paraId="6FC4721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w:t>
            </w:r>
          </w:p>
        </w:tc>
      </w:tr>
      <w:tr w14:paraId="79C244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1381" w:type="pct"/>
            <w:tcBorders>
              <w:tl2br w:val="nil"/>
              <w:tr2bl w:val="nil"/>
            </w:tcBorders>
            <w:shd w:val="clear" w:color="auto" w:fill="auto"/>
            <w:noWrap w:val="0"/>
            <w:vAlign w:val="center"/>
          </w:tcPr>
          <w:p w14:paraId="5E69F4D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不敏感</w:t>
            </w:r>
          </w:p>
        </w:tc>
        <w:tc>
          <w:tcPr>
            <w:tcW w:w="1152" w:type="pct"/>
            <w:tcBorders>
              <w:tl2br w:val="nil"/>
              <w:tr2bl w:val="nil"/>
            </w:tcBorders>
            <w:shd w:val="clear" w:color="auto" w:fill="D7D7D7"/>
            <w:noWrap w:val="0"/>
            <w:vAlign w:val="center"/>
          </w:tcPr>
          <w:p w14:paraId="2611B54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w:t>
            </w:r>
          </w:p>
        </w:tc>
        <w:tc>
          <w:tcPr>
            <w:tcW w:w="1233" w:type="pct"/>
            <w:tcBorders>
              <w:tl2br w:val="nil"/>
              <w:tr2bl w:val="nil"/>
            </w:tcBorders>
            <w:noWrap w:val="0"/>
            <w:vAlign w:val="center"/>
          </w:tcPr>
          <w:p w14:paraId="76D0BF4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w:t>
            </w:r>
          </w:p>
        </w:tc>
        <w:tc>
          <w:tcPr>
            <w:tcW w:w="1232" w:type="pct"/>
            <w:tcBorders>
              <w:tl2br w:val="nil"/>
              <w:tr2bl w:val="nil"/>
            </w:tcBorders>
            <w:noWrap w:val="0"/>
            <w:vAlign w:val="center"/>
          </w:tcPr>
          <w:p w14:paraId="2C2AC8CE">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三</w:t>
            </w:r>
          </w:p>
        </w:tc>
      </w:tr>
    </w:tbl>
    <w:p w14:paraId="5F50553C">
      <w:pPr>
        <w:snapToGrid w:val="0"/>
        <w:spacing w:before="240" w:line="360" w:lineRule="auto"/>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本项目属于《建设项目环境影响评价分类管理名录》中</w:t>
      </w:r>
      <w:r>
        <w:rPr>
          <w:rFonts w:hint="default" w:ascii="Times New Roman" w:hAnsi="Times New Roman" w:cs="Times New Roman"/>
          <w:color w:val="auto"/>
          <w:sz w:val="24"/>
          <w:szCs w:val="24"/>
          <w:highlight w:val="none"/>
        </w:rPr>
        <w:t>Ⅰ</w:t>
      </w:r>
      <w:r>
        <w:rPr>
          <w:rFonts w:hint="default" w:ascii="Times New Roman" w:hAnsi="Times New Roman" w:eastAsia="宋体" w:cs="Times New Roman"/>
          <w:color w:val="auto"/>
          <w:sz w:val="24"/>
          <w:szCs w:val="24"/>
          <w:highlight w:val="none"/>
        </w:rPr>
        <w:t>类项目。项目地下水评价区域不属于集中式饮用水水源准保护区及其以外的补给径流区，不属于国家设定的地下水环境相关的其他保护区，不属于环境敏感区，综上所述，项目地下水环境敏感程度为不敏感。</w:t>
      </w:r>
    </w:p>
    <w:p w14:paraId="098ABFDB">
      <w:pPr>
        <w:pStyle w:val="352"/>
        <w:ind w:firstLine="480"/>
        <w:rPr>
          <w:rFonts w:hint="default" w:ascii="Times New Roman" w:hAnsi="Times New Roman" w:cs="Times New Roman"/>
          <w:color w:val="auto"/>
          <w:sz w:val="24"/>
          <w:szCs w:val="24"/>
          <w:highlight w:val="none"/>
        </w:rPr>
      </w:pPr>
      <w:bookmarkStart w:id="104" w:name="_Toc117091324"/>
      <w:r>
        <w:rPr>
          <w:rFonts w:hint="default" w:ascii="Times New Roman" w:hAnsi="Times New Roman" w:cs="Times New Roman"/>
          <w:color w:val="auto"/>
          <w:sz w:val="24"/>
          <w:szCs w:val="24"/>
          <w:highlight w:val="none"/>
        </w:rPr>
        <w:t>由表2.4.1-</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可知，项目地下水环境评价等级为</w:t>
      </w:r>
      <w:r>
        <w:rPr>
          <w:rFonts w:hint="eastAsia" w:cs="Times New Roman"/>
          <w:color w:val="auto"/>
          <w:sz w:val="24"/>
          <w:szCs w:val="24"/>
          <w:highlight w:val="none"/>
          <w:lang w:val="en-US" w:eastAsia="zh-CN"/>
        </w:rPr>
        <w:t>二</w:t>
      </w:r>
      <w:r>
        <w:rPr>
          <w:rFonts w:hint="default" w:ascii="Times New Roman" w:hAnsi="Times New Roman" w:cs="Times New Roman"/>
          <w:color w:val="auto"/>
          <w:sz w:val="24"/>
          <w:szCs w:val="24"/>
          <w:highlight w:val="none"/>
        </w:rPr>
        <w:t>级。</w:t>
      </w:r>
      <w:bookmarkEnd w:id="104"/>
    </w:p>
    <w:p w14:paraId="5955F491">
      <w:pPr>
        <w:pStyle w:val="5"/>
        <w:rPr>
          <w:color w:val="auto"/>
          <w:highlight w:val="none"/>
        </w:rPr>
      </w:pPr>
      <w:bookmarkStart w:id="105" w:name="_Toc152923252"/>
      <w:bookmarkStart w:id="106" w:name="_Toc119412437"/>
      <w:bookmarkStart w:id="107" w:name="_Toc117150207"/>
      <w:bookmarkStart w:id="108" w:name="_Toc152922571"/>
      <w:bookmarkStart w:id="109" w:name="_Toc152921612"/>
      <w:bookmarkStart w:id="110" w:name="_Toc152921977"/>
      <w:bookmarkStart w:id="111" w:name="_Toc117149698"/>
      <w:r>
        <w:rPr>
          <w:color w:val="auto"/>
          <w:highlight w:val="none"/>
        </w:rPr>
        <w:t>2.4.1.4声环境影响评价工作等级</w:t>
      </w:r>
      <w:bookmarkEnd w:id="105"/>
      <w:bookmarkEnd w:id="106"/>
      <w:bookmarkEnd w:id="107"/>
      <w:bookmarkEnd w:id="108"/>
      <w:bookmarkEnd w:id="109"/>
      <w:bookmarkEnd w:id="110"/>
      <w:bookmarkEnd w:id="111"/>
    </w:p>
    <w:p w14:paraId="5F19C167">
      <w:pPr>
        <w:pStyle w:val="352"/>
        <w:ind w:firstLine="480"/>
        <w:rPr>
          <w:color w:val="auto"/>
          <w:highlight w:val="none"/>
        </w:rPr>
      </w:pPr>
      <w:r>
        <w:rPr>
          <w:rFonts w:hint="eastAsia"/>
          <w:color w:val="auto"/>
          <w:highlight w:val="none"/>
        </w:rPr>
        <w:t>根据《环境影响评价技术导则声环境》</w:t>
      </w:r>
      <w:r>
        <w:rPr>
          <w:rFonts w:hint="eastAsia"/>
          <w:color w:val="auto"/>
          <w:highlight w:val="none"/>
          <w:lang w:eastAsia="zh-CN"/>
        </w:rPr>
        <w:t>（</w:t>
      </w:r>
      <w:r>
        <w:rPr>
          <w:rFonts w:hint="eastAsia"/>
          <w:color w:val="auto"/>
          <w:highlight w:val="none"/>
        </w:rPr>
        <w:t>HJ2.4-2021</w:t>
      </w:r>
      <w:r>
        <w:rPr>
          <w:rFonts w:hint="eastAsia"/>
          <w:color w:val="auto"/>
          <w:highlight w:val="none"/>
          <w:lang w:eastAsia="zh-CN"/>
        </w:rPr>
        <w:t>）</w:t>
      </w:r>
      <w:r>
        <w:rPr>
          <w:rFonts w:hint="eastAsia"/>
          <w:color w:val="auto"/>
          <w:highlight w:val="none"/>
        </w:rPr>
        <w:t>，噪声评价等级按建设项目所在地环境声学功能区划、建设项目规模以及建成后的声学环境变化以及受建设项目影响人口的数量来确定。本项目为新建项目</w:t>
      </w:r>
      <w:r>
        <w:rPr>
          <w:rFonts w:hint="eastAsia"/>
          <w:color w:val="auto"/>
          <w:highlight w:val="none"/>
          <w:lang w:eastAsia="zh-CN"/>
        </w:rPr>
        <w:t>，</w:t>
      </w:r>
      <w:r>
        <w:rPr>
          <w:rFonts w:hint="eastAsia"/>
          <w:color w:val="auto"/>
          <w:highlight w:val="none"/>
        </w:rPr>
        <w:t>其所在区域位于《声环境质量标准》</w:t>
      </w:r>
      <w:r>
        <w:rPr>
          <w:rFonts w:hint="eastAsia"/>
          <w:color w:val="auto"/>
          <w:highlight w:val="none"/>
          <w:lang w:eastAsia="zh-CN"/>
        </w:rPr>
        <w:t>（</w:t>
      </w:r>
      <w:r>
        <w:rPr>
          <w:rFonts w:hint="eastAsia"/>
          <w:color w:val="auto"/>
          <w:highlight w:val="none"/>
        </w:rPr>
        <w:t>GB3096-2008</w:t>
      </w:r>
      <w:r>
        <w:rPr>
          <w:rFonts w:hint="eastAsia"/>
          <w:color w:val="auto"/>
          <w:highlight w:val="none"/>
          <w:lang w:eastAsia="zh-CN"/>
        </w:rPr>
        <w:t>）</w:t>
      </w:r>
      <w:r>
        <w:rPr>
          <w:rFonts w:hint="eastAsia"/>
          <w:color w:val="auto"/>
          <w:highlight w:val="none"/>
        </w:rPr>
        <w:t>中的</w:t>
      </w:r>
      <w:r>
        <w:rPr>
          <w:rFonts w:hint="eastAsia"/>
          <w:color w:val="auto"/>
          <w:highlight w:val="none"/>
          <w:lang w:val="en-US" w:eastAsia="zh-CN"/>
        </w:rPr>
        <w:t>3</w:t>
      </w:r>
      <w:r>
        <w:rPr>
          <w:rFonts w:hint="eastAsia"/>
          <w:color w:val="auto"/>
          <w:highlight w:val="none"/>
        </w:rPr>
        <w:t>类</w:t>
      </w:r>
      <w:r>
        <w:rPr>
          <w:rFonts w:hint="eastAsia"/>
          <w:color w:val="auto"/>
          <w:highlight w:val="none"/>
          <w:lang w:eastAsia="zh-CN"/>
        </w:rPr>
        <w:t>、</w:t>
      </w:r>
      <w:r>
        <w:rPr>
          <w:rFonts w:hint="eastAsia"/>
          <w:color w:val="auto"/>
          <w:highlight w:val="none"/>
          <w:lang w:val="en-US" w:eastAsia="zh-CN"/>
        </w:rPr>
        <w:t>4a</w:t>
      </w:r>
      <w:r>
        <w:rPr>
          <w:rFonts w:hint="eastAsia"/>
          <w:color w:val="auto"/>
          <w:highlight w:val="none"/>
        </w:rPr>
        <w:t>区域，</w:t>
      </w:r>
      <w:r>
        <w:rPr>
          <w:rFonts w:hint="eastAsia"/>
          <w:color w:val="auto"/>
          <w:highlight w:val="none"/>
          <w:lang w:val="en-US" w:eastAsia="zh-CN"/>
        </w:rPr>
        <w:t>项目优先选用低噪声设备，200m噪声评价范围内无声环境敏感目标，</w:t>
      </w:r>
      <w:r>
        <w:rPr>
          <w:rFonts w:hint="eastAsia"/>
          <w:color w:val="auto"/>
          <w:highlight w:val="none"/>
        </w:rPr>
        <w:t>建设前后评价范围内声环境保护目标噪声级增量在3dB</w:t>
      </w:r>
      <w:r>
        <w:rPr>
          <w:rFonts w:hint="eastAsia"/>
          <w:color w:val="auto"/>
          <w:highlight w:val="none"/>
          <w:lang w:eastAsia="zh-CN"/>
        </w:rPr>
        <w:t>（</w:t>
      </w:r>
      <w:r>
        <w:rPr>
          <w:rFonts w:hint="eastAsia"/>
          <w:color w:val="auto"/>
          <w:highlight w:val="none"/>
        </w:rPr>
        <w:t>A</w:t>
      </w:r>
      <w:r>
        <w:rPr>
          <w:rFonts w:hint="eastAsia"/>
          <w:color w:val="auto"/>
          <w:highlight w:val="none"/>
          <w:lang w:eastAsia="zh-CN"/>
        </w:rPr>
        <w:t>）</w:t>
      </w:r>
      <w:r>
        <w:rPr>
          <w:rFonts w:hint="eastAsia"/>
          <w:color w:val="auto"/>
          <w:highlight w:val="none"/>
        </w:rPr>
        <w:t>以下，因此本项目噪声环境影响评价工作等级为</w:t>
      </w:r>
      <w:r>
        <w:rPr>
          <w:rFonts w:hint="eastAsia"/>
          <w:color w:val="auto"/>
          <w:highlight w:val="none"/>
          <w:lang w:val="en-US" w:eastAsia="zh-CN"/>
        </w:rPr>
        <w:t>三</w:t>
      </w:r>
      <w:r>
        <w:rPr>
          <w:rFonts w:hint="eastAsia"/>
          <w:color w:val="auto"/>
          <w:highlight w:val="none"/>
        </w:rPr>
        <w:t>级</w:t>
      </w:r>
      <w:r>
        <w:rPr>
          <w:color w:val="auto"/>
          <w:highlight w:val="none"/>
        </w:rPr>
        <w:t>。</w:t>
      </w:r>
    </w:p>
    <w:p w14:paraId="54F46130">
      <w:pPr>
        <w:pStyle w:val="5"/>
        <w:rPr>
          <w:color w:val="auto"/>
          <w:highlight w:val="none"/>
        </w:rPr>
      </w:pPr>
      <w:bookmarkStart w:id="112" w:name="_Toc152921613"/>
      <w:bookmarkStart w:id="113" w:name="_Toc117150208"/>
      <w:bookmarkStart w:id="114" w:name="_Toc152921978"/>
      <w:bookmarkStart w:id="115" w:name="_Toc119412438"/>
      <w:bookmarkStart w:id="116" w:name="_Toc117149699"/>
      <w:bookmarkStart w:id="117" w:name="_Toc152922572"/>
      <w:bookmarkStart w:id="118" w:name="_Toc152923253"/>
      <w:r>
        <w:rPr>
          <w:color w:val="auto"/>
          <w:highlight w:val="none"/>
        </w:rPr>
        <w:t>2.4.1.5土壤环境影响评价工作等级</w:t>
      </w:r>
      <w:bookmarkEnd w:id="112"/>
      <w:bookmarkEnd w:id="113"/>
      <w:bookmarkEnd w:id="114"/>
      <w:bookmarkEnd w:id="115"/>
      <w:bookmarkEnd w:id="116"/>
      <w:bookmarkEnd w:id="117"/>
      <w:bookmarkEnd w:id="118"/>
    </w:p>
    <w:p w14:paraId="66C2956F">
      <w:pPr>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（1）占地规模</w:t>
      </w:r>
    </w:p>
    <w:p w14:paraId="3CA517D5">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根据《环境影响评价技术导则土壤环境（试行）》（HJ964—2018），将建设项目占地规模分为大型（≥50hm</w:t>
      </w:r>
      <w:r>
        <w:rPr>
          <w:rFonts w:ascii="Times New Roman" w:hAnsi="Times New Roman" w:eastAsia="宋体"/>
          <w:color w:val="auto"/>
          <w:sz w:val="24"/>
          <w:szCs w:val="24"/>
          <w:highlight w:val="none"/>
          <w:vertAlign w:val="superscript"/>
        </w:rPr>
        <w:t>2</w:t>
      </w:r>
      <w:r>
        <w:rPr>
          <w:rFonts w:ascii="Times New Roman" w:hAnsi="Times New Roman" w:eastAsia="宋体"/>
          <w:color w:val="auto"/>
          <w:sz w:val="24"/>
          <w:szCs w:val="24"/>
          <w:highlight w:val="none"/>
        </w:rPr>
        <w:t>）、中型（5~50hm</w:t>
      </w:r>
      <w:r>
        <w:rPr>
          <w:rFonts w:ascii="Times New Roman" w:hAnsi="Times New Roman" w:eastAsia="宋体"/>
          <w:color w:val="auto"/>
          <w:sz w:val="24"/>
          <w:szCs w:val="24"/>
          <w:highlight w:val="none"/>
          <w:vertAlign w:val="superscript"/>
        </w:rPr>
        <w:t>2</w:t>
      </w:r>
      <w:r>
        <w:rPr>
          <w:rFonts w:ascii="Times New Roman" w:hAnsi="Times New Roman" w:eastAsia="宋体"/>
          <w:color w:val="auto"/>
          <w:sz w:val="24"/>
          <w:szCs w:val="24"/>
          <w:highlight w:val="none"/>
        </w:rPr>
        <w:t>）、小型（≤5hm</w:t>
      </w:r>
      <w:r>
        <w:rPr>
          <w:rFonts w:ascii="Times New Roman" w:hAnsi="Times New Roman" w:eastAsia="宋体"/>
          <w:color w:val="auto"/>
          <w:sz w:val="24"/>
          <w:szCs w:val="24"/>
          <w:highlight w:val="none"/>
          <w:vertAlign w:val="superscript"/>
        </w:rPr>
        <w:t>2</w:t>
      </w:r>
      <w:r>
        <w:rPr>
          <w:rFonts w:ascii="Times New Roman" w:hAnsi="Times New Roman" w:eastAsia="宋体"/>
          <w:color w:val="auto"/>
          <w:sz w:val="24"/>
          <w:szCs w:val="24"/>
          <w:highlight w:val="none"/>
        </w:rPr>
        <w:t>），建设项目占地为永久占地。本项目占地面积</w:t>
      </w:r>
      <w:r>
        <w:rPr>
          <w:rFonts w:hint="eastAsia"/>
          <w:color w:val="auto"/>
          <w:sz w:val="24"/>
          <w:szCs w:val="24"/>
          <w:highlight w:val="none"/>
          <w:lang w:val="en-US" w:eastAsia="zh-CN"/>
        </w:rPr>
        <w:t>22.95</w:t>
      </w:r>
      <w:r>
        <w:rPr>
          <w:rFonts w:hint="eastAsia" w:ascii="Times New Roman" w:hAnsi="Times New Roman" w:eastAsia="宋体"/>
          <w:color w:val="auto"/>
          <w:sz w:val="24"/>
          <w:szCs w:val="24"/>
          <w:highlight w:val="none"/>
          <w:lang w:val="en-US" w:eastAsia="zh-CN"/>
        </w:rPr>
        <w:t>亩（1.</w:t>
      </w:r>
      <w:r>
        <w:rPr>
          <w:rFonts w:hint="eastAsia"/>
          <w:color w:val="auto"/>
          <w:sz w:val="24"/>
          <w:szCs w:val="24"/>
          <w:highlight w:val="none"/>
          <w:lang w:val="en-US" w:eastAsia="zh-CN"/>
        </w:rPr>
        <w:t>53</w:t>
      </w:r>
      <w:r>
        <w:rPr>
          <w:rFonts w:hint="eastAsia" w:ascii="Times New Roman" w:hAnsi="Times New Roman" w:eastAsia="宋体"/>
          <w:color w:val="auto"/>
          <w:sz w:val="24"/>
          <w:szCs w:val="24"/>
          <w:highlight w:val="none"/>
          <w:lang w:val="en-US" w:eastAsia="zh-CN"/>
        </w:rPr>
        <w:t>hm</w:t>
      </w:r>
      <w:r>
        <w:rPr>
          <w:rFonts w:hint="eastAsia" w:ascii="Times New Roman" w:hAnsi="Times New Roman" w:eastAsia="宋体"/>
          <w:color w:val="auto"/>
          <w:sz w:val="24"/>
          <w:szCs w:val="24"/>
          <w:highlight w:val="none"/>
          <w:vertAlign w:val="superscript"/>
          <w:lang w:val="en-US" w:eastAsia="zh-CN"/>
        </w:rPr>
        <w:t>2</w:t>
      </w:r>
      <w:r>
        <w:rPr>
          <w:rFonts w:hint="eastAsia" w:ascii="Times New Roman" w:hAnsi="Times New Roman" w:eastAsia="宋体"/>
          <w:color w:val="auto"/>
          <w:sz w:val="24"/>
          <w:szCs w:val="24"/>
          <w:highlight w:val="none"/>
          <w:lang w:val="en-US" w:eastAsia="zh-CN"/>
        </w:rPr>
        <w:t>）</w:t>
      </w:r>
      <w:r>
        <w:rPr>
          <w:rFonts w:ascii="Times New Roman" w:hAnsi="Times New Roman" w:eastAsia="宋体"/>
          <w:color w:val="auto"/>
          <w:sz w:val="24"/>
          <w:szCs w:val="24"/>
          <w:highlight w:val="none"/>
        </w:rPr>
        <w:t>，折合约为</w:t>
      </w:r>
      <w:r>
        <w:rPr>
          <w:rFonts w:hint="eastAsia" w:ascii="Times New Roman" w:hAnsi="Times New Roman" w:eastAsia="宋体"/>
          <w:color w:val="auto"/>
          <w:sz w:val="24"/>
          <w:szCs w:val="24"/>
          <w:highlight w:val="none"/>
          <w:lang w:val="en-US" w:eastAsia="zh-CN"/>
        </w:rPr>
        <w:t>1.</w:t>
      </w:r>
      <w:r>
        <w:rPr>
          <w:rFonts w:hint="eastAsia"/>
          <w:color w:val="auto"/>
          <w:sz w:val="24"/>
          <w:szCs w:val="24"/>
          <w:highlight w:val="none"/>
          <w:lang w:val="en-US" w:eastAsia="zh-CN"/>
        </w:rPr>
        <w:t>53</w:t>
      </w:r>
      <w:r>
        <w:rPr>
          <w:rFonts w:ascii="Times New Roman" w:hAnsi="Times New Roman" w:eastAsia="宋体"/>
          <w:color w:val="auto"/>
          <w:sz w:val="24"/>
          <w:szCs w:val="24"/>
          <w:highlight w:val="none"/>
        </w:rPr>
        <w:t>hm</w:t>
      </w:r>
      <w:r>
        <w:rPr>
          <w:rFonts w:ascii="Times New Roman" w:hAnsi="Times New Roman" w:eastAsia="宋体"/>
          <w:color w:val="auto"/>
          <w:sz w:val="24"/>
          <w:szCs w:val="24"/>
          <w:highlight w:val="none"/>
          <w:vertAlign w:val="superscript"/>
        </w:rPr>
        <w:t>2</w:t>
      </w:r>
      <w:r>
        <w:rPr>
          <w:rFonts w:ascii="Times New Roman" w:hAnsi="Times New Roman" w:eastAsia="宋体"/>
          <w:color w:val="auto"/>
          <w:sz w:val="24"/>
          <w:szCs w:val="24"/>
          <w:highlight w:val="none"/>
        </w:rPr>
        <w:t>≤5hm</w:t>
      </w:r>
      <w:r>
        <w:rPr>
          <w:rFonts w:ascii="Times New Roman" w:hAnsi="Times New Roman" w:eastAsia="宋体"/>
          <w:color w:val="auto"/>
          <w:sz w:val="24"/>
          <w:szCs w:val="24"/>
          <w:highlight w:val="none"/>
          <w:vertAlign w:val="superscript"/>
        </w:rPr>
        <w:t>2</w:t>
      </w:r>
      <w:r>
        <w:rPr>
          <w:rFonts w:ascii="Times New Roman" w:hAnsi="Times New Roman" w:eastAsia="宋体"/>
          <w:color w:val="auto"/>
          <w:sz w:val="24"/>
          <w:szCs w:val="24"/>
          <w:highlight w:val="none"/>
        </w:rPr>
        <w:t>，属于小型建设项目。</w:t>
      </w:r>
    </w:p>
    <w:p w14:paraId="615E17C3">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（2）敏感程度</w:t>
      </w:r>
    </w:p>
    <w:p w14:paraId="2354A4A5">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olor w:val="auto"/>
          <w:kern w:val="0"/>
          <w:sz w:val="24"/>
          <w:szCs w:val="20"/>
          <w:highlight w:val="none"/>
          <w:lang w:val="en-GB"/>
        </w:rPr>
      </w:pPr>
      <w:r>
        <w:rPr>
          <w:rFonts w:ascii="Times New Roman" w:hAnsi="Times New Roman" w:eastAsia="宋体"/>
          <w:color w:val="auto"/>
          <w:kern w:val="0"/>
          <w:sz w:val="24"/>
          <w:szCs w:val="20"/>
          <w:highlight w:val="none"/>
          <w:lang w:val="en-GB"/>
        </w:rPr>
        <w:t>根据实际调查，本项目地块为工业用地，</w:t>
      </w:r>
      <w:r>
        <w:rPr>
          <w:rFonts w:hint="eastAsia" w:ascii="Times New Roman" w:hAnsi="Times New Roman" w:eastAsia="宋体"/>
          <w:color w:val="auto"/>
          <w:kern w:val="0"/>
          <w:sz w:val="24"/>
          <w:szCs w:val="20"/>
          <w:highlight w:val="none"/>
          <w:lang w:val="en-GB"/>
        </w:rPr>
        <w:t>企业周边均为</w:t>
      </w:r>
      <w:r>
        <w:rPr>
          <w:rFonts w:hint="eastAsia" w:ascii="Times New Roman" w:hAnsi="Times New Roman" w:eastAsia="宋体"/>
          <w:color w:val="auto"/>
          <w:kern w:val="0"/>
          <w:sz w:val="24"/>
          <w:szCs w:val="20"/>
          <w:highlight w:val="none"/>
          <w:lang w:val="en-US" w:eastAsia="zh-CN"/>
        </w:rPr>
        <w:t>规划</w:t>
      </w:r>
      <w:r>
        <w:rPr>
          <w:rFonts w:hint="eastAsia" w:ascii="Times New Roman" w:hAnsi="Times New Roman" w:eastAsia="宋体"/>
          <w:color w:val="auto"/>
          <w:kern w:val="0"/>
          <w:sz w:val="24"/>
          <w:szCs w:val="20"/>
          <w:highlight w:val="none"/>
          <w:lang w:val="en-GB"/>
        </w:rPr>
        <w:t>工业用地</w:t>
      </w:r>
      <w:r>
        <w:rPr>
          <w:rFonts w:hint="eastAsia" w:ascii="Times New Roman" w:hAnsi="Times New Roman" w:eastAsia="宋体"/>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US" w:eastAsia="zh-CN"/>
        </w:rPr>
        <w:t>厂界外200m范围内</w:t>
      </w:r>
      <w:r>
        <w:rPr>
          <w:rFonts w:ascii="Times New Roman" w:hAnsi="Times New Roman" w:eastAsia="宋体"/>
          <w:color w:val="auto"/>
          <w:kern w:val="0"/>
          <w:sz w:val="24"/>
          <w:szCs w:val="20"/>
          <w:highlight w:val="none"/>
          <w:lang w:val="en-GB"/>
        </w:rPr>
        <w:t>不存在耕地、园地、牧草地、饮用水水源地、居民区、学校、医院、疗养院、养老院及其他等土壤环境敏感目标。因此，可判定拟建项目周边土壤环境敏感程度为不敏感。</w:t>
      </w:r>
    </w:p>
    <w:p w14:paraId="0E4FED63">
      <w:pPr>
        <w:ind w:firstLine="482" w:firstLineChars="200"/>
        <w:jc w:val="center"/>
        <w:rPr>
          <w:rFonts w:ascii="Times New Roman" w:hAnsi="Times New Roman" w:eastAsia="宋体"/>
          <w:b/>
          <w:bCs/>
          <w:color w:val="auto"/>
          <w:sz w:val="24"/>
          <w:szCs w:val="24"/>
          <w:highlight w:val="none"/>
        </w:rPr>
      </w:pPr>
      <w:r>
        <w:rPr>
          <w:rFonts w:ascii="Times New Roman" w:hAnsi="Times New Roman" w:eastAsia="宋体"/>
          <w:b/>
          <w:bCs/>
          <w:color w:val="auto"/>
          <w:sz w:val="24"/>
          <w:szCs w:val="24"/>
          <w:highlight w:val="none"/>
        </w:rPr>
        <w:t>表2.4.1-</w:t>
      </w:r>
      <w:r>
        <w:rPr>
          <w:rFonts w:hint="eastAsia"/>
          <w:b/>
          <w:bCs/>
          <w:color w:val="auto"/>
          <w:sz w:val="24"/>
          <w:szCs w:val="24"/>
          <w:highlight w:val="none"/>
          <w:lang w:val="en-US" w:eastAsia="zh-CN"/>
        </w:rPr>
        <w:t xml:space="preserve">6  </w:t>
      </w:r>
      <w:r>
        <w:rPr>
          <w:rFonts w:ascii="Times New Roman" w:hAnsi="Times New Roman" w:eastAsia="宋体"/>
          <w:b/>
          <w:bCs/>
          <w:color w:val="auto"/>
          <w:sz w:val="24"/>
          <w:szCs w:val="24"/>
          <w:highlight w:val="none"/>
        </w:rPr>
        <w:t>污染影响型敏感程度分级表</w:t>
      </w:r>
    </w:p>
    <w:tbl>
      <w:tblPr>
        <w:tblStyle w:val="49"/>
        <w:tblW w:w="499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28" w:type="dxa"/>
          <w:left w:w="0" w:type="dxa"/>
          <w:bottom w:w="28" w:type="dxa"/>
          <w:right w:w="0" w:type="dxa"/>
        </w:tblCellMar>
      </w:tblPr>
      <w:tblGrid>
        <w:gridCol w:w="1586"/>
        <w:gridCol w:w="6734"/>
      </w:tblGrid>
      <w:tr w14:paraId="018CD8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16" w:hRule="atLeast"/>
          <w:jc w:val="center"/>
        </w:trPr>
        <w:tc>
          <w:tcPr>
            <w:tcW w:w="953" w:type="pct"/>
            <w:tcBorders>
              <w:tl2br w:val="nil"/>
              <w:tr2bl w:val="nil"/>
            </w:tcBorders>
            <w:noWrap w:val="0"/>
            <w:vAlign w:val="center"/>
          </w:tcPr>
          <w:p w14:paraId="3E3B9D83">
            <w:pPr>
              <w:jc w:val="center"/>
              <w:rPr>
                <w:rFonts w:ascii="Times New Roman" w:hAnsi="Times New Roman" w:eastAsia="宋体"/>
                <w:b/>
                <w:bCs/>
                <w:color w:val="auto"/>
                <w:szCs w:val="16"/>
                <w:highlight w:val="none"/>
              </w:rPr>
            </w:pPr>
            <w:r>
              <w:rPr>
                <w:rFonts w:ascii="Times New Roman" w:hAnsi="Times New Roman" w:eastAsia="宋体"/>
                <w:b/>
                <w:bCs/>
                <w:color w:val="auto"/>
                <w:szCs w:val="16"/>
                <w:highlight w:val="none"/>
              </w:rPr>
              <w:t>敏感程度</w:t>
            </w:r>
          </w:p>
        </w:tc>
        <w:tc>
          <w:tcPr>
            <w:tcW w:w="4046" w:type="pct"/>
            <w:tcBorders>
              <w:tl2br w:val="nil"/>
              <w:tr2bl w:val="nil"/>
            </w:tcBorders>
            <w:noWrap w:val="0"/>
            <w:vAlign w:val="center"/>
          </w:tcPr>
          <w:p w14:paraId="5C2DAFB1">
            <w:pPr>
              <w:jc w:val="center"/>
              <w:rPr>
                <w:rFonts w:ascii="Times New Roman" w:hAnsi="Times New Roman" w:eastAsia="宋体"/>
                <w:b/>
                <w:bCs/>
                <w:color w:val="auto"/>
                <w:szCs w:val="16"/>
                <w:highlight w:val="none"/>
              </w:rPr>
            </w:pPr>
            <w:r>
              <w:rPr>
                <w:rFonts w:ascii="Times New Roman" w:hAnsi="Times New Roman" w:eastAsia="宋体"/>
                <w:b/>
                <w:bCs/>
                <w:color w:val="auto"/>
                <w:szCs w:val="16"/>
                <w:highlight w:val="none"/>
              </w:rPr>
              <w:t>判别依据</w:t>
            </w:r>
          </w:p>
        </w:tc>
      </w:tr>
      <w:tr w14:paraId="454323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jc w:val="center"/>
        </w:trPr>
        <w:tc>
          <w:tcPr>
            <w:tcW w:w="953" w:type="pct"/>
            <w:tcBorders>
              <w:tl2br w:val="nil"/>
              <w:tr2bl w:val="nil"/>
            </w:tcBorders>
            <w:noWrap w:val="0"/>
            <w:vAlign w:val="center"/>
          </w:tcPr>
          <w:p w14:paraId="2344A485">
            <w:pPr>
              <w:jc w:val="center"/>
              <w:rPr>
                <w:rFonts w:ascii="Times New Roman" w:hAnsi="Times New Roman" w:eastAsia="宋体"/>
                <w:color w:val="auto"/>
                <w:szCs w:val="16"/>
                <w:highlight w:val="none"/>
              </w:rPr>
            </w:pPr>
            <w:r>
              <w:rPr>
                <w:rFonts w:ascii="Times New Roman" w:hAnsi="Times New Roman" w:eastAsia="宋体"/>
                <w:color w:val="auto"/>
                <w:szCs w:val="16"/>
                <w:highlight w:val="none"/>
              </w:rPr>
              <w:t>敏感</w:t>
            </w:r>
          </w:p>
        </w:tc>
        <w:tc>
          <w:tcPr>
            <w:tcW w:w="4046" w:type="pct"/>
            <w:tcBorders>
              <w:tl2br w:val="nil"/>
              <w:tr2bl w:val="nil"/>
            </w:tcBorders>
            <w:noWrap w:val="0"/>
            <w:vAlign w:val="center"/>
          </w:tcPr>
          <w:p w14:paraId="46585BF8">
            <w:pPr>
              <w:jc w:val="center"/>
              <w:rPr>
                <w:rFonts w:ascii="Times New Roman" w:hAnsi="Times New Roman" w:eastAsia="宋体"/>
                <w:color w:val="auto"/>
                <w:szCs w:val="16"/>
                <w:highlight w:val="none"/>
              </w:rPr>
            </w:pPr>
            <w:r>
              <w:rPr>
                <w:rFonts w:ascii="Times New Roman" w:hAnsi="Times New Roman" w:eastAsia="宋体"/>
                <w:color w:val="auto"/>
                <w:szCs w:val="16"/>
                <w:highlight w:val="none"/>
              </w:rPr>
              <w:t>建设项目周边存在耕地、园地、牧草地、饮用水水源地或居民区、学校、医院、疗养院、养老院等土壤环境敏感目标的</w:t>
            </w:r>
          </w:p>
        </w:tc>
      </w:tr>
      <w:tr w14:paraId="65EBED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trHeight w:val="70" w:hRule="atLeast"/>
          <w:jc w:val="center"/>
        </w:trPr>
        <w:tc>
          <w:tcPr>
            <w:tcW w:w="953" w:type="pct"/>
            <w:tcBorders>
              <w:tl2br w:val="nil"/>
              <w:tr2bl w:val="nil"/>
            </w:tcBorders>
            <w:noWrap w:val="0"/>
            <w:vAlign w:val="center"/>
          </w:tcPr>
          <w:p w14:paraId="3B4A0B41">
            <w:pPr>
              <w:jc w:val="center"/>
              <w:rPr>
                <w:rFonts w:ascii="Times New Roman" w:hAnsi="Times New Roman" w:eastAsia="宋体"/>
                <w:color w:val="auto"/>
                <w:szCs w:val="16"/>
                <w:highlight w:val="none"/>
              </w:rPr>
            </w:pPr>
            <w:r>
              <w:rPr>
                <w:rFonts w:ascii="Times New Roman" w:hAnsi="Times New Roman" w:eastAsia="宋体"/>
                <w:color w:val="auto"/>
                <w:szCs w:val="16"/>
                <w:highlight w:val="none"/>
              </w:rPr>
              <w:t>较敏感</w:t>
            </w:r>
          </w:p>
        </w:tc>
        <w:tc>
          <w:tcPr>
            <w:tcW w:w="4046" w:type="pct"/>
            <w:tcBorders>
              <w:tl2br w:val="nil"/>
              <w:tr2bl w:val="nil"/>
            </w:tcBorders>
            <w:noWrap w:val="0"/>
            <w:vAlign w:val="center"/>
          </w:tcPr>
          <w:p w14:paraId="7622E663">
            <w:pPr>
              <w:jc w:val="center"/>
              <w:rPr>
                <w:rFonts w:ascii="Times New Roman" w:hAnsi="Times New Roman" w:eastAsia="宋体"/>
                <w:color w:val="auto"/>
                <w:szCs w:val="16"/>
                <w:highlight w:val="none"/>
              </w:rPr>
            </w:pPr>
            <w:r>
              <w:rPr>
                <w:rFonts w:ascii="Times New Roman" w:hAnsi="Times New Roman" w:eastAsia="宋体"/>
                <w:color w:val="auto"/>
                <w:szCs w:val="16"/>
                <w:highlight w:val="none"/>
              </w:rPr>
              <w:t>建设项目周边存在其他土壤环境敏感目标的</w:t>
            </w:r>
          </w:p>
        </w:tc>
      </w:tr>
      <w:tr w14:paraId="2591EA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0" w:type="dxa"/>
            <w:bottom w:w="28" w:type="dxa"/>
            <w:right w:w="0" w:type="dxa"/>
          </w:tblCellMar>
        </w:tblPrEx>
        <w:trPr>
          <w:jc w:val="center"/>
        </w:trPr>
        <w:tc>
          <w:tcPr>
            <w:tcW w:w="953" w:type="pct"/>
            <w:tcBorders>
              <w:tl2br w:val="nil"/>
              <w:tr2bl w:val="nil"/>
            </w:tcBorders>
            <w:noWrap w:val="0"/>
            <w:vAlign w:val="center"/>
          </w:tcPr>
          <w:p w14:paraId="25AD2182">
            <w:pPr>
              <w:jc w:val="center"/>
              <w:rPr>
                <w:rFonts w:ascii="Times New Roman" w:hAnsi="Times New Roman" w:eastAsia="宋体"/>
                <w:color w:val="auto"/>
                <w:szCs w:val="16"/>
                <w:highlight w:val="none"/>
              </w:rPr>
            </w:pPr>
            <w:r>
              <w:rPr>
                <w:rFonts w:ascii="Times New Roman" w:hAnsi="Times New Roman" w:eastAsia="宋体"/>
                <w:b/>
                <w:bCs/>
                <w:color w:val="auto"/>
                <w:szCs w:val="16"/>
                <w:highlight w:val="none"/>
              </w:rPr>
              <w:t>不敏感</w:t>
            </w:r>
          </w:p>
        </w:tc>
        <w:tc>
          <w:tcPr>
            <w:tcW w:w="4046" w:type="pct"/>
            <w:tcBorders>
              <w:tl2br w:val="nil"/>
              <w:tr2bl w:val="nil"/>
            </w:tcBorders>
            <w:noWrap w:val="0"/>
            <w:vAlign w:val="center"/>
          </w:tcPr>
          <w:p w14:paraId="56DA6ACD">
            <w:pPr>
              <w:jc w:val="center"/>
              <w:rPr>
                <w:rFonts w:ascii="Times New Roman" w:hAnsi="Times New Roman" w:eastAsia="宋体"/>
                <w:color w:val="auto"/>
                <w:szCs w:val="16"/>
                <w:highlight w:val="none"/>
              </w:rPr>
            </w:pPr>
            <w:r>
              <w:rPr>
                <w:rFonts w:ascii="Times New Roman" w:hAnsi="Times New Roman" w:eastAsia="宋体"/>
                <w:b/>
                <w:bCs/>
                <w:color w:val="auto"/>
                <w:szCs w:val="16"/>
                <w:highlight w:val="none"/>
              </w:rPr>
              <w:t>其他情况</w:t>
            </w:r>
          </w:p>
        </w:tc>
      </w:tr>
    </w:tbl>
    <w:p w14:paraId="7A639A24">
      <w:pPr>
        <w:widowControl/>
        <w:spacing w:line="360" w:lineRule="auto"/>
        <w:ind w:firstLine="480" w:firstLineChars="200"/>
        <w:rPr>
          <w:rFonts w:ascii="Times New Roman" w:hAnsi="Times New Roman" w:eastAsia="宋体"/>
          <w:color w:val="auto"/>
          <w:kern w:val="0"/>
          <w:sz w:val="24"/>
          <w:szCs w:val="20"/>
          <w:highlight w:val="none"/>
          <w:lang w:val="en-GB"/>
        </w:rPr>
      </w:pPr>
      <w:r>
        <w:rPr>
          <w:rFonts w:ascii="Times New Roman" w:hAnsi="Times New Roman" w:eastAsia="宋体"/>
          <w:color w:val="auto"/>
          <w:kern w:val="0"/>
          <w:sz w:val="24"/>
          <w:szCs w:val="20"/>
          <w:highlight w:val="none"/>
          <w:lang w:val="en-GB"/>
        </w:rPr>
        <w:t>（3）评价等级判定</w:t>
      </w:r>
    </w:p>
    <w:p w14:paraId="0ECD6D2D">
      <w:pPr>
        <w:widowControl/>
        <w:snapToGrid w:val="0"/>
        <w:spacing w:line="360" w:lineRule="auto"/>
        <w:ind w:firstLine="480" w:firstLineChars="200"/>
        <w:rPr>
          <w:rFonts w:ascii="Times New Roman" w:hAnsi="Times New Roman" w:eastAsia="宋体"/>
          <w:color w:val="auto"/>
          <w:kern w:val="0"/>
          <w:sz w:val="24"/>
          <w:szCs w:val="20"/>
          <w:highlight w:val="none"/>
          <w:lang w:val="en-GB"/>
        </w:rPr>
      </w:pPr>
      <w:r>
        <w:rPr>
          <w:rFonts w:hint="eastAsia" w:ascii="Times New Roman" w:hAnsi="Times New Roman" w:eastAsia="宋体"/>
          <w:color w:val="auto"/>
          <w:kern w:val="0"/>
          <w:sz w:val="24"/>
          <w:szCs w:val="20"/>
          <w:highlight w:val="none"/>
          <w:lang w:val="en-GB"/>
        </w:rPr>
        <w:t>根据《环境影响评价技术导则土壤环境</w:t>
      </w:r>
      <w:r>
        <w:rPr>
          <w:rFonts w:hint="eastAsia" w:ascii="Times New Roman" w:hAnsi="Times New Roman" w:eastAsia="宋体"/>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试行</w:t>
      </w:r>
      <w:r>
        <w:rPr>
          <w:rFonts w:hint="eastAsia" w:ascii="Times New Roman" w:hAnsi="Times New Roman" w:eastAsia="宋体"/>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w:t>
      </w:r>
      <w:r>
        <w:rPr>
          <w:rFonts w:hint="eastAsia" w:ascii="Times New Roman" w:hAnsi="Times New Roman" w:eastAsia="宋体"/>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HJ964-2018</w:t>
      </w:r>
      <w:r>
        <w:rPr>
          <w:rFonts w:hint="eastAsia" w:ascii="Times New Roman" w:hAnsi="Times New Roman" w:eastAsia="宋体"/>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中的附录A.1</w:t>
      </w:r>
      <w:r>
        <w:rPr>
          <w:rFonts w:hint="eastAsia" w:ascii="Times New Roman" w:hAnsi="Times New Roman" w:eastAsia="宋体"/>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土壤环境影响评价项目类别表</w:t>
      </w:r>
      <w:r>
        <w:rPr>
          <w:rFonts w:hint="eastAsia" w:ascii="Times New Roman" w:hAnsi="Times New Roman" w:eastAsia="宋体"/>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本项目属于</w:t>
      </w:r>
      <w:r>
        <w:rPr>
          <w:rFonts w:hint="eastAsia"/>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制造业</w:t>
      </w:r>
      <w:r>
        <w:rPr>
          <w:rFonts w:hint="eastAsia"/>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中</w:t>
      </w:r>
      <w:r>
        <w:rPr>
          <w:rFonts w:hint="eastAsia"/>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石化、化工</w:t>
      </w:r>
      <w:r>
        <w:rPr>
          <w:rFonts w:hint="eastAsia"/>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中</w:t>
      </w:r>
      <w:r>
        <w:rPr>
          <w:rFonts w:hint="eastAsia"/>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化学原料和化学制品制造</w:t>
      </w:r>
      <w:r>
        <w:rPr>
          <w:rFonts w:hint="eastAsia"/>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，项目类别为I类</w:t>
      </w:r>
      <w:r>
        <w:rPr>
          <w:rFonts w:hint="eastAsia" w:ascii="Times New Roman" w:hAnsi="Times New Roman" w:eastAsia="宋体"/>
          <w:color w:val="auto"/>
          <w:kern w:val="0"/>
          <w:sz w:val="24"/>
          <w:szCs w:val="20"/>
          <w:highlight w:val="none"/>
          <w:lang w:val="en-GB" w:eastAsia="zh-CN"/>
        </w:rPr>
        <w:t>；</w:t>
      </w:r>
      <w:r>
        <w:rPr>
          <w:rFonts w:hint="eastAsia" w:ascii="Times New Roman" w:hAnsi="Times New Roman" w:eastAsia="宋体"/>
          <w:color w:val="auto"/>
          <w:kern w:val="0"/>
          <w:sz w:val="24"/>
          <w:szCs w:val="20"/>
          <w:highlight w:val="none"/>
          <w:lang w:val="en-GB"/>
        </w:rPr>
        <w:t>本项目占地规模为</w:t>
      </w:r>
      <w:r>
        <w:rPr>
          <w:rFonts w:hint="eastAsia" w:ascii="Times New Roman" w:hAnsi="Times New Roman" w:eastAsia="宋体"/>
          <w:color w:val="auto"/>
          <w:kern w:val="0"/>
          <w:sz w:val="24"/>
          <w:szCs w:val="20"/>
          <w:highlight w:val="none"/>
          <w:lang w:val="en-GB" w:eastAsia="zh-CN"/>
        </w:rPr>
        <w:t>小</w:t>
      </w:r>
      <w:r>
        <w:rPr>
          <w:rFonts w:hint="eastAsia" w:ascii="Times New Roman" w:hAnsi="Times New Roman" w:eastAsia="宋体"/>
          <w:color w:val="auto"/>
          <w:kern w:val="0"/>
          <w:sz w:val="24"/>
          <w:szCs w:val="20"/>
          <w:highlight w:val="none"/>
          <w:lang w:val="en-GB"/>
        </w:rPr>
        <w:t>型，项目土壤环境敏感程度为</w:t>
      </w:r>
      <w:r>
        <w:rPr>
          <w:rFonts w:hint="eastAsia" w:ascii="Times New Roman" w:hAnsi="Times New Roman" w:eastAsia="宋体"/>
          <w:color w:val="auto"/>
          <w:kern w:val="0"/>
          <w:sz w:val="24"/>
          <w:szCs w:val="20"/>
          <w:highlight w:val="none"/>
          <w:lang w:val="en-GB" w:eastAsia="zh-CN"/>
        </w:rPr>
        <w:t>不</w:t>
      </w:r>
      <w:r>
        <w:rPr>
          <w:rFonts w:hint="eastAsia" w:ascii="Times New Roman" w:hAnsi="Times New Roman" w:eastAsia="宋体"/>
          <w:color w:val="auto"/>
          <w:kern w:val="0"/>
          <w:sz w:val="24"/>
          <w:szCs w:val="20"/>
          <w:highlight w:val="none"/>
          <w:lang w:val="en-GB"/>
        </w:rPr>
        <w:t>敏感，故项目土壤评价等级为</w:t>
      </w:r>
      <w:r>
        <w:rPr>
          <w:rFonts w:hint="eastAsia" w:ascii="Times New Roman" w:hAnsi="Times New Roman" w:eastAsia="宋体"/>
          <w:color w:val="auto"/>
          <w:kern w:val="0"/>
          <w:sz w:val="24"/>
          <w:szCs w:val="20"/>
          <w:highlight w:val="none"/>
          <w:lang w:val="en-GB" w:eastAsia="zh-CN"/>
        </w:rPr>
        <w:t>二</w:t>
      </w:r>
      <w:r>
        <w:rPr>
          <w:rFonts w:hint="eastAsia" w:ascii="Times New Roman" w:hAnsi="Times New Roman" w:eastAsia="宋体"/>
          <w:color w:val="auto"/>
          <w:kern w:val="0"/>
          <w:sz w:val="24"/>
          <w:szCs w:val="20"/>
          <w:highlight w:val="none"/>
          <w:lang w:val="en-GB"/>
        </w:rPr>
        <w:t>级。</w:t>
      </w:r>
    </w:p>
    <w:p w14:paraId="3013B3C5">
      <w:pPr>
        <w:ind w:firstLine="482" w:firstLineChars="200"/>
        <w:jc w:val="center"/>
        <w:rPr>
          <w:rFonts w:ascii="Times New Roman" w:hAnsi="Times New Roman" w:eastAsia="宋体"/>
          <w:b/>
          <w:bCs/>
          <w:color w:val="auto"/>
          <w:sz w:val="24"/>
          <w:szCs w:val="24"/>
          <w:highlight w:val="none"/>
        </w:rPr>
      </w:pPr>
      <w:r>
        <w:rPr>
          <w:rFonts w:ascii="Times New Roman" w:hAnsi="Times New Roman" w:eastAsia="宋体"/>
          <w:b/>
          <w:bCs/>
          <w:color w:val="auto"/>
          <w:sz w:val="24"/>
          <w:szCs w:val="24"/>
          <w:highlight w:val="none"/>
        </w:rPr>
        <w:t>表2.4.1-</w:t>
      </w:r>
      <w:r>
        <w:rPr>
          <w:rFonts w:hint="eastAsia"/>
          <w:b/>
          <w:bCs/>
          <w:color w:val="auto"/>
          <w:sz w:val="24"/>
          <w:szCs w:val="24"/>
          <w:highlight w:val="none"/>
          <w:lang w:val="en-US" w:eastAsia="zh-CN"/>
        </w:rPr>
        <w:t xml:space="preserve">7  </w:t>
      </w:r>
      <w:r>
        <w:rPr>
          <w:rFonts w:ascii="Times New Roman" w:hAnsi="Times New Roman" w:eastAsia="宋体"/>
          <w:b/>
          <w:bCs/>
          <w:color w:val="auto"/>
          <w:sz w:val="24"/>
          <w:szCs w:val="24"/>
          <w:highlight w:val="none"/>
        </w:rPr>
        <w:t>污染影响型评价工作等级划分表</w:t>
      </w:r>
    </w:p>
    <w:tbl>
      <w:tblPr>
        <w:tblStyle w:val="49"/>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28" w:type="dxa"/>
          <w:left w:w="108" w:type="dxa"/>
          <w:bottom w:w="28" w:type="dxa"/>
          <w:right w:w="108" w:type="dxa"/>
        </w:tblCellMar>
      </w:tblPr>
      <w:tblGrid>
        <w:gridCol w:w="1462"/>
        <w:gridCol w:w="784"/>
        <w:gridCol w:w="784"/>
        <w:gridCol w:w="784"/>
        <w:gridCol w:w="784"/>
        <w:gridCol w:w="784"/>
        <w:gridCol w:w="784"/>
        <w:gridCol w:w="784"/>
        <w:gridCol w:w="784"/>
        <w:gridCol w:w="788"/>
      </w:tblGrid>
      <w:tr w14:paraId="75F66D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858" w:type="pct"/>
            <w:vMerge w:val="restart"/>
            <w:tcBorders>
              <w:tl2br w:val="nil"/>
              <w:tr2bl w:val="nil"/>
            </w:tcBorders>
            <w:noWrap w:val="0"/>
            <w:vAlign w:val="center"/>
          </w:tcPr>
          <w:p w14:paraId="1E277D7A">
            <w:pPr>
              <w:snapToGrid w:val="0"/>
              <w:jc w:val="center"/>
              <w:rPr>
                <w:rFonts w:ascii="Times New Roman" w:hAnsi="Times New Roman" w:eastAsia="宋体"/>
                <w:color w:val="auto"/>
                <w:szCs w:val="16"/>
                <w:highlight w:val="none"/>
              </w:rPr>
            </w:pPr>
            <w:r>
              <w:rPr>
                <w:rFonts w:ascii="Times New Roman" w:hAnsi="Times New Roman" w:eastAsia="宋体"/>
                <w:b/>
                <w:bCs/>
                <w:color w:val="auto"/>
                <w:szCs w:val="16"/>
                <w:highlight w:val="none"/>
              </w:rPr>
              <w:t>占地规模评价工作等级敏感程度</w:t>
            </w:r>
          </w:p>
        </w:tc>
        <w:tc>
          <w:tcPr>
            <w:tcW w:w="1380" w:type="pct"/>
            <w:gridSpan w:val="3"/>
            <w:tcBorders>
              <w:tl2br w:val="nil"/>
              <w:tr2bl w:val="nil"/>
            </w:tcBorders>
            <w:noWrap w:val="0"/>
            <w:vAlign w:val="center"/>
          </w:tcPr>
          <w:p w14:paraId="0F45AF7A">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I类</w:t>
            </w:r>
          </w:p>
        </w:tc>
        <w:tc>
          <w:tcPr>
            <w:tcW w:w="1380" w:type="pct"/>
            <w:gridSpan w:val="3"/>
            <w:tcBorders>
              <w:tl2br w:val="nil"/>
              <w:tr2bl w:val="nil"/>
            </w:tcBorders>
            <w:noWrap w:val="0"/>
            <w:vAlign w:val="center"/>
          </w:tcPr>
          <w:p w14:paraId="2545D725">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II类</w:t>
            </w:r>
          </w:p>
        </w:tc>
        <w:tc>
          <w:tcPr>
            <w:tcW w:w="1382" w:type="pct"/>
            <w:gridSpan w:val="3"/>
            <w:tcBorders>
              <w:tl2br w:val="nil"/>
              <w:tr2bl w:val="nil"/>
            </w:tcBorders>
            <w:noWrap w:val="0"/>
            <w:vAlign w:val="center"/>
          </w:tcPr>
          <w:p w14:paraId="0EB3470A">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III类</w:t>
            </w:r>
          </w:p>
        </w:tc>
      </w:tr>
      <w:tr w14:paraId="52F287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858" w:type="pct"/>
            <w:vMerge w:val="continue"/>
            <w:tcBorders>
              <w:tl2br w:val="nil"/>
              <w:tr2bl w:val="nil"/>
            </w:tcBorders>
            <w:noWrap w:val="0"/>
            <w:vAlign w:val="top"/>
          </w:tcPr>
          <w:p w14:paraId="2E78C7BE">
            <w:pPr>
              <w:snapToGrid w:val="0"/>
              <w:jc w:val="center"/>
              <w:rPr>
                <w:rFonts w:ascii="Times New Roman" w:hAnsi="Times New Roman" w:eastAsia="宋体"/>
                <w:color w:val="auto"/>
                <w:szCs w:val="16"/>
                <w:highlight w:val="none"/>
              </w:rPr>
            </w:pPr>
          </w:p>
        </w:tc>
        <w:tc>
          <w:tcPr>
            <w:tcW w:w="460" w:type="pct"/>
            <w:tcBorders>
              <w:tl2br w:val="nil"/>
              <w:tr2bl w:val="nil"/>
            </w:tcBorders>
            <w:noWrap w:val="0"/>
            <w:vAlign w:val="center"/>
          </w:tcPr>
          <w:p w14:paraId="279C3F8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大</w:t>
            </w:r>
          </w:p>
        </w:tc>
        <w:tc>
          <w:tcPr>
            <w:tcW w:w="460" w:type="pct"/>
            <w:tcBorders>
              <w:tl2br w:val="nil"/>
              <w:tr2bl w:val="nil"/>
            </w:tcBorders>
            <w:noWrap w:val="0"/>
            <w:vAlign w:val="center"/>
          </w:tcPr>
          <w:p w14:paraId="7017886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中</w:t>
            </w:r>
          </w:p>
        </w:tc>
        <w:tc>
          <w:tcPr>
            <w:tcW w:w="460" w:type="pct"/>
            <w:tcBorders>
              <w:tl2br w:val="nil"/>
              <w:tr2bl w:val="nil"/>
            </w:tcBorders>
            <w:noWrap w:val="0"/>
            <w:vAlign w:val="center"/>
          </w:tcPr>
          <w:p w14:paraId="67CAFD8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小</w:t>
            </w:r>
          </w:p>
        </w:tc>
        <w:tc>
          <w:tcPr>
            <w:tcW w:w="460" w:type="pct"/>
            <w:tcBorders>
              <w:tl2br w:val="nil"/>
              <w:tr2bl w:val="nil"/>
            </w:tcBorders>
            <w:noWrap w:val="0"/>
            <w:vAlign w:val="center"/>
          </w:tcPr>
          <w:p w14:paraId="687CE6D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大</w:t>
            </w:r>
          </w:p>
        </w:tc>
        <w:tc>
          <w:tcPr>
            <w:tcW w:w="460" w:type="pct"/>
            <w:tcBorders>
              <w:tl2br w:val="nil"/>
              <w:tr2bl w:val="nil"/>
            </w:tcBorders>
            <w:noWrap w:val="0"/>
            <w:vAlign w:val="center"/>
          </w:tcPr>
          <w:p w14:paraId="76C614A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中</w:t>
            </w:r>
          </w:p>
        </w:tc>
        <w:tc>
          <w:tcPr>
            <w:tcW w:w="460" w:type="pct"/>
            <w:tcBorders>
              <w:tl2br w:val="nil"/>
              <w:tr2bl w:val="nil"/>
            </w:tcBorders>
            <w:noWrap w:val="0"/>
            <w:vAlign w:val="center"/>
          </w:tcPr>
          <w:p w14:paraId="5775E48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小</w:t>
            </w:r>
          </w:p>
        </w:tc>
        <w:tc>
          <w:tcPr>
            <w:tcW w:w="460" w:type="pct"/>
            <w:tcBorders>
              <w:tl2br w:val="nil"/>
              <w:tr2bl w:val="nil"/>
            </w:tcBorders>
            <w:noWrap w:val="0"/>
            <w:vAlign w:val="center"/>
          </w:tcPr>
          <w:p w14:paraId="6BD75B3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大</w:t>
            </w:r>
          </w:p>
        </w:tc>
        <w:tc>
          <w:tcPr>
            <w:tcW w:w="460" w:type="pct"/>
            <w:tcBorders>
              <w:tl2br w:val="nil"/>
              <w:tr2bl w:val="nil"/>
            </w:tcBorders>
            <w:noWrap w:val="0"/>
            <w:vAlign w:val="center"/>
          </w:tcPr>
          <w:p w14:paraId="0ED937D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中</w:t>
            </w:r>
          </w:p>
        </w:tc>
        <w:tc>
          <w:tcPr>
            <w:tcW w:w="462" w:type="pct"/>
            <w:tcBorders>
              <w:tl2br w:val="nil"/>
              <w:tr2bl w:val="nil"/>
            </w:tcBorders>
            <w:noWrap w:val="0"/>
            <w:vAlign w:val="center"/>
          </w:tcPr>
          <w:p w14:paraId="756D039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小</w:t>
            </w:r>
          </w:p>
        </w:tc>
      </w:tr>
      <w:tr w14:paraId="5C9A04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858" w:type="pct"/>
            <w:tcBorders>
              <w:tl2br w:val="nil"/>
              <w:tr2bl w:val="nil"/>
            </w:tcBorders>
            <w:noWrap w:val="0"/>
            <w:vAlign w:val="top"/>
          </w:tcPr>
          <w:p w14:paraId="366379E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敏感</w:t>
            </w:r>
          </w:p>
        </w:tc>
        <w:tc>
          <w:tcPr>
            <w:tcW w:w="460" w:type="pct"/>
            <w:tcBorders>
              <w:tl2br w:val="nil"/>
              <w:tr2bl w:val="nil"/>
            </w:tcBorders>
            <w:noWrap w:val="0"/>
            <w:vAlign w:val="center"/>
          </w:tcPr>
          <w:p w14:paraId="2B6C4FB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w:t>
            </w:r>
          </w:p>
        </w:tc>
        <w:tc>
          <w:tcPr>
            <w:tcW w:w="460" w:type="pct"/>
            <w:tcBorders>
              <w:tl2br w:val="nil"/>
              <w:tr2bl w:val="nil"/>
            </w:tcBorders>
            <w:noWrap w:val="0"/>
            <w:vAlign w:val="center"/>
          </w:tcPr>
          <w:p w14:paraId="1BBD8AE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w:t>
            </w:r>
          </w:p>
        </w:tc>
        <w:tc>
          <w:tcPr>
            <w:tcW w:w="460" w:type="pct"/>
            <w:tcBorders>
              <w:tl2br w:val="nil"/>
              <w:tr2bl w:val="nil"/>
            </w:tcBorders>
            <w:noWrap w:val="0"/>
            <w:vAlign w:val="center"/>
          </w:tcPr>
          <w:p w14:paraId="6E7CAF0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w:t>
            </w:r>
          </w:p>
        </w:tc>
        <w:tc>
          <w:tcPr>
            <w:tcW w:w="460" w:type="pct"/>
            <w:tcBorders>
              <w:tl2br w:val="nil"/>
              <w:tr2bl w:val="nil"/>
            </w:tcBorders>
            <w:noWrap w:val="0"/>
            <w:vAlign w:val="center"/>
          </w:tcPr>
          <w:p w14:paraId="50950B8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460" w:type="pct"/>
            <w:tcBorders>
              <w:tl2br w:val="nil"/>
              <w:tr2bl w:val="nil"/>
            </w:tcBorders>
            <w:noWrap w:val="0"/>
            <w:vAlign w:val="center"/>
          </w:tcPr>
          <w:p w14:paraId="15C15DE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460" w:type="pct"/>
            <w:tcBorders>
              <w:tl2br w:val="nil"/>
              <w:tr2bl w:val="nil"/>
            </w:tcBorders>
            <w:noWrap w:val="0"/>
            <w:vAlign w:val="center"/>
          </w:tcPr>
          <w:p w14:paraId="73E560A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460" w:type="pct"/>
            <w:tcBorders>
              <w:tl2br w:val="nil"/>
              <w:tr2bl w:val="nil"/>
            </w:tcBorders>
            <w:noWrap w:val="0"/>
            <w:vAlign w:val="center"/>
          </w:tcPr>
          <w:p w14:paraId="1247EAC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w:t>
            </w:r>
          </w:p>
        </w:tc>
        <w:tc>
          <w:tcPr>
            <w:tcW w:w="460" w:type="pct"/>
            <w:tcBorders>
              <w:tl2br w:val="nil"/>
              <w:tr2bl w:val="nil"/>
            </w:tcBorders>
            <w:noWrap w:val="0"/>
            <w:vAlign w:val="center"/>
          </w:tcPr>
          <w:p w14:paraId="4BA5B30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w:t>
            </w:r>
          </w:p>
        </w:tc>
        <w:tc>
          <w:tcPr>
            <w:tcW w:w="462" w:type="pct"/>
            <w:tcBorders>
              <w:tl2br w:val="nil"/>
              <w:tr2bl w:val="nil"/>
            </w:tcBorders>
            <w:noWrap w:val="0"/>
            <w:vAlign w:val="center"/>
          </w:tcPr>
          <w:p w14:paraId="35491DA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w:t>
            </w:r>
          </w:p>
        </w:tc>
      </w:tr>
      <w:tr w14:paraId="7FA4CF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858" w:type="pct"/>
            <w:tcBorders>
              <w:tl2br w:val="nil"/>
              <w:tr2bl w:val="nil"/>
            </w:tcBorders>
            <w:noWrap w:val="0"/>
            <w:vAlign w:val="top"/>
          </w:tcPr>
          <w:p w14:paraId="30B9C75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较敏感</w:t>
            </w:r>
          </w:p>
        </w:tc>
        <w:tc>
          <w:tcPr>
            <w:tcW w:w="460" w:type="pct"/>
            <w:tcBorders>
              <w:tl2br w:val="nil"/>
              <w:tr2bl w:val="nil"/>
            </w:tcBorders>
            <w:noWrap w:val="0"/>
            <w:vAlign w:val="center"/>
          </w:tcPr>
          <w:p w14:paraId="09FBC70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w:t>
            </w:r>
          </w:p>
        </w:tc>
        <w:tc>
          <w:tcPr>
            <w:tcW w:w="460" w:type="pct"/>
            <w:tcBorders>
              <w:tl2br w:val="nil"/>
              <w:tr2bl w:val="nil"/>
            </w:tcBorders>
            <w:noWrap w:val="0"/>
            <w:vAlign w:val="center"/>
          </w:tcPr>
          <w:p w14:paraId="72199A3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w:t>
            </w:r>
          </w:p>
        </w:tc>
        <w:tc>
          <w:tcPr>
            <w:tcW w:w="460" w:type="pct"/>
            <w:tcBorders>
              <w:tl2br w:val="nil"/>
              <w:tr2bl w:val="nil"/>
            </w:tcBorders>
            <w:noWrap w:val="0"/>
            <w:vAlign w:val="center"/>
          </w:tcPr>
          <w:p w14:paraId="7D235BC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460" w:type="pct"/>
            <w:tcBorders>
              <w:tl2br w:val="nil"/>
              <w:tr2bl w:val="nil"/>
            </w:tcBorders>
            <w:noWrap w:val="0"/>
            <w:vAlign w:val="center"/>
          </w:tcPr>
          <w:p w14:paraId="4B95C8E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460" w:type="pct"/>
            <w:tcBorders>
              <w:tl2br w:val="nil"/>
              <w:tr2bl w:val="nil"/>
            </w:tcBorders>
            <w:noWrap w:val="0"/>
            <w:vAlign w:val="center"/>
          </w:tcPr>
          <w:p w14:paraId="1BE4CE0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460" w:type="pct"/>
            <w:tcBorders>
              <w:tl2br w:val="nil"/>
              <w:tr2bl w:val="nil"/>
            </w:tcBorders>
            <w:noWrap w:val="0"/>
            <w:vAlign w:val="center"/>
          </w:tcPr>
          <w:p w14:paraId="60D6FB9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w:t>
            </w:r>
          </w:p>
        </w:tc>
        <w:tc>
          <w:tcPr>
            <w:tcW w:w="460" w:type="pct"/>
            <w:tcBorders>
              <w:tl2br w:val="nil"/>
              <w:tr2bl w:val="nil"/>
            </w:tcBorders>
            <w:noWrap w:val="0"/>
            <w:vAlign w:val="center"/>
          </w:tcPr>
          <w:p w14:paraId="062CF49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w:t>
            </w:r>
          </w:p>
        </w:tc>
        <w:tc>
          <w:tcPr>
            <w:tcW w:w="460" w:type="pct"/>
            <w:tcBorders>
              <w:tl2br w:val="nil"/>
              <w:tr2bl w:val="nil"/>
            </w:tcBorders>
            <w:noWrap w:val="0"/>
            <w:vAlign w:val="center"/>
          </w:tcPr>
          <w:p w14:paraId="033044A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w:t>
            </w:r>
          </w:p>
        </w:tc>
        <w:tc>
          <w:tcPr>
            <w:tcW w:w="462" w:type="pct"/>
            <w:tcBorders>
              <w:tl2br w:val="nil"/>
              <w:tr2bl w:val="nil"/>
            </w:tcBorders>
            <w:noWrap w:val="0"/>
            <w:vAlign w:val="center"/>
          </w:tcPr>
          <w:p w14:paraId="0921B72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r>
      <w:tr w14:paraId="1B3E554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858" w:type="pct"/>
            <w:tcBorders>
              <w:tl2br w:val="nil"/>
              <w:tr2bl w:val="nil"/>
            </w:tcBorders>
            <w:shd w:val="clear" w:color="auto" w:fill="auto"/>
            <w:noWrap w:val="0"/>
            <w:vAlign w:val="top"/>
          </w:tcPr>
          <w:p w14:paraId="283E180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不敏感</w:t>
            </w:r>
          </w:p>
        </w:tc>
        <w:tc>
          <w:tcPr>
            <w:tcW w:w="460" w:type="pct"/>
            <w:tcBorders>
              <w:tl2br w:val="nil"/>
              <w:tr2bl w:val="nil"/>
            </w:tcBorders>
            <w:shd w:val="clear" w:color="auto" w:fill="auto"/>
            <w:noWrap w:val="0"/>
            <w:vAlign w:val="center"/>
          </w:tcPr>
          <w:p w14:paraId="30C6FDF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w:t>
            </w:r>
          </w:p>
        </w:tc>
        <w:tc>
          <w:tcPr>
            <w:tcW w:w="460" w:type="pct"/>
            <w:tcBorders>
              <w:tl2br w:val="nil"/>
              <w:tr2bl w:val="nil"/>
            </w:tcBorders>
            <w:shd w:val="clear" w:color="auto" w:fill="auto"/>
            <w:noWrap w:val="0"/>
            <w:vAlign w:val="center"/>
          </w:tcPr>
          <w:p w14:paraId="459935E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460" w:type="pct"/>
            <w:tcBorders>
              <w:tl2br w:val="nil"/>
              <w:tr2bl w:val="nil"/>
            </w:tcBorders>
            <w:shd w:val="clear" w:color="auto" w:fill="BFBFBF"/>
            <w:noWrap w:val="0"/>
            <w:vAlign w:val="center"/>
          </w:tcPr>
          <w:p w14:paraId="67B5F9F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460" w:type="pct"/>
            <w:tcBorders>
              <w:tl2br w:val="nil"/>
              <w:tr2bl w:val="nil"/>
            </w:tcBorders>
            <w:noWrap w:val="0"/>
            <w:vAlign w:val="center"/>
          </w:tcPr>
          <w:p w14:paraId="28F6FFC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二级</w:t>
            </w:r>
          </w:p>
        </w:tc>
        <w:tc>
          <w:tcPr>
            <w:tcW w:w="460" w:type="pct"/>
            <w:tcBorders>
              <w:tl2br w:val="nil"/>
              <w:tr2bl w:val="nil"/>
            </w:tcBorders>
            <w:noWrap w:val="0"/>
            <w:vAlign w:val="center"/>
          </w:tcPr>
          <w:p w14:paraId="25F78B7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w:t>
            </w:r>
          </w:p>
        </w:tc>
        <w:tc>
          <w:tcPr>
            <w:tcW w:w="460" w:type="pct"/>
            <w:tcBorders>
              <w:tl2br w:val="nil"/>
              <w:tr2bl w:val="nil"/>
            </w:tcBorders>
            <w:noWrap w:val="0"/>
            <w:vAlign w:val="center"/>
          </w:tcPr>
          <w:p w14:paraId="74CAB55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w:t>
            </w:r>
          </w:p>
        </w:tc>
        <w:tc>
          <w:tcPr>
            <w:tcW w:w="460" w:type="pct"/>
            <w:tcBorders>
              <w:tl2br w:val="nil"/>
              <w:tr2bl w:val="nil"/>
            </w:tcBorders>
            <w:noWrap w:val="0"/>
            <w:vAlign w:val="center"/>
          </w:tcPr>
          <w:p w14:paraId="558EC1D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三级</w:t>
            </w:r>
          </w:p>
        </w:tc>
        <w:tc>
          <w:tcPr>
            <w:tcW w:w="460" w:type="pct"/>
            <w:tcBorders>
              <w:tl2br w:val="nil"/>
              <w:tr2bl w:val="nil"/>
            </w:tcBorders>
            <w:noWrap w:val="0"/>
            <w:vAlign w:val="center"/>
          </w:tcPr>
          <w:p w14:paraId="798BC96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462" w:type="pct"/>
            <w:tcBorders>
              <w:tl2br w:val="nil"/>
              <w:tr2bl w:val="nil"/>
            </w:tcBorders>
            <w:noWrap w:val="0"/>
            <w:vAlign w:val="center"/>
          </w:tcPr>
          <w:p w14:paraId="472BDCF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r>
      <w:tr w14:paraId="530D85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108" w:type="dxa"/>
            <w:bottom w:w="28" w:type="dxa"/>
            <w:right w:w="108" w:type="dxa"/>
          </w:tblCellMar>
        </w:tblPrEx>
        <w:trPr>
          <w:jc w:val="center"/>
        </w:trPr>
        <w:tc>
          <w:tcPr>
            <w:tcW w:w="5000" w:type="pct"/>
            <w:gridSpan w:val="10"/>
            <w:tcBorders>
              <w:tl2br w:val="nil"/>
              <w:tr2bl w:val="nil"/>
            </w:tcBorders>
            <w:noWrap w:val="0"/>
            <w:vAlign w:val="top"/>
          </w:tcPr>
          <w:p w14:paraId="608FEAC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注：</w:t>
            </w:r>
            <w:r>
              <w:rPr>
                <w:rFonts w:hint="eastAsia"/>
                <w:color w:val="auto"/>
                <w:szCs w:val="21"/>
                <w:highlight w:val="none"/>
                <w:lang w:eastAsia="zh-CN"/>
              </w:rPr>
              <w:t>“</w:t>
            </w:r>
            <w:r>
              <w:rPr>
                <w:rFonts w:ascii="Times New Roman" w:hAnsi="Times New Roman" w:eastAsia="宋体"/>
                <w:color w:val="auto"/>
                <w:szCs w:val="21"/>
                <w:highlight w:val="none"/>
              </w:rPr>
              <w:t>—</w:t>
            </w:r>
            <w:r>
              <w:rPr>
                <w:rFonts w:hint="eastAsia"/>
                <w:color w:val="auto"/>
                <w:szCs w:val="21"/>
                <w:highlight w:val="none"/>
                <w:lang w:eastAsia="zh-CN"/>
              </w:rPr>
              <w:t>”</w:t>
            </w:r>
            <w:r>
              <w:rPr>
                <w:rFonts w:ascii="Times New Roman" w:hAnsi="Times New Roman" w:eastAsia="宋体"/>
                <w:color w:val="auto"/>
                <w:szCs w:val="21"/>
                <w:highlight w:val="none"/>
              </w:rPr>
              <w:t>表示可不开展土壤环境影响评价工作</w:t>
            </w:r>
          </w:p>
        </w:tc>
      </w:tr>
    </w:tbl>
    <w:p w14:paraId="7C5242BF">
      <w:pPr>
        <w:pStyle w:val="5"/>
        <w:keepNext/>
        <w:keepLines/>
        <w:pageBreakBefore w:val="0"/>
        <w:widowControl w:val="0"/>
        <w:kinsoku/>
        <w:wordWrap/>
        <w:overflowPunct/>
        <w:topLinePunct w:val="0"/>
        <w:autoSpaceDE/>
        <w:autoSpaceDN/>
        <w:bidi w:val="0"/>
        <w:adjustRightInd w:val="0"/>
        <w:snapToGrid w:val="0"/>
        <w:textAlignment w:val="auto"/>
        <w:rPr>
          <w:color w:val="auto"/>
          <w:highlight w:val="none"/>
        </w:rPr>
      </w:pPr>
      <w:bookmarkStart w:id="119" w:name="_Toc117150209"/>
      <w:bookmarkStart w:id="120" w:name="_Toc119412439"/>
      <w:bookmarkStart w:id="121" w:name="_Toc117149700"/>
      <w:r>
        <w:rPr>
          <w:color w:val="auto"/>
          <w:highlight w:val="none"/>
        </w:rPr>
        <w:t>2.4.1.6生态环境影响评价工作等级</w:t>
      </w:r>
      <w:bookmarkEnd w:id="119"/>
      <w:bookmarkEnd w:id="120"/>
      <w:bookmarkEnd w:id="121"/>
    </w:p>
    <w:p w14:paraId="3272517E">
      <w:pPr>
        <w:spacing w:line="360" w:lineRule="auto"/>
        <w:ind w:firstLine="480" w:firstLineChars="200"/>
        <w:rPr>
          <w:rFonts w:hint="eastAsia" w:ascii="Times New Roman" w:hAnsi="Times New Roman" w:eastAsia="宋体"/>
          <w:color w:val="auto"/>
          <w:sz w:val="24"/>
          <w:szCs w:val="24"/>
          <w:highlight w:val="none"/>
          <w:lang w:val="en-US" w:eastAsia="zh-CN"/>
        </w:rPr>
      </w:pPr>
      <w:r>
        <w:rPr>
          <w:rFonts w:hint="eastAsia" w:ascii="Times New Roman" w:hAnsi="Times New Roman" w:eastAsia="宋体"/>
          <w:color w:val="auto"/>
          <w:sz w:val="24"/>
          <w:szCs w:val="24"/>
          <w:highlight w:val="none"/>
          <w:lang w:val="en-US" w:eastAsia="zh-CN"/>
        </w:rPr>
        <w:t>本项目选址位于淮南市田家庵区经济开发区，用地类型为工业用地。</w:t>
      </w:r>
      <w:r>
        <w:rPr>
          <w:rFonts w:hint="default" w:ascii="Times New Roman" w:hAnsi="Times New Roman" w:eastAsia="宋体"/>
          <w:color w:val="auto"/>
          <w:sz w:val="24"/>
          <w:szCs w:val="24"/>
          <w:highlight w:val="none"/>
          <w:lang w:val="en-US" w:eastAsia="zh-CN"/>
        </w:rPr>
        <w:t>项目区域不涉及国家公园、自然保护区、</w:t>
      </w:r>
      <w:r>
        <w:rPr>
          <w:rFonts w:hint="eastAsia" w:ascii="Times New Roman" w:hAnsi="Times New Roman" w:eastAsia="宋体"/>
          <w:color w:val="auto"/>
          <w:sz w:val="24"/>
          <w:szCs w:val="24"/>
          <w:highlight w:val="none"/>
          <w:lang w:val="en-US" w:eastAsia="zh-CN"/>
        </w:rPr>
        <w:t>世界自然遗迹、重要生境、</w:t>
      </w:r>
      <w:r>
        <w:rPr>
          <w:rFonts w:hint="default" w:ascii="Times New Roman" w:hAnsi="Times New Roman" w:eastAsia="宋体"/>
          <w:color w:val="auto"/>
          <w:sz w:val="24"/>
          <w:szCs w:val="24"/>
          <w:highlight w:val="none"/>
          <w:lang w:val="en-US" w:eastAsia="zh-CN"/>
        </w:rPr>
        <w:t>自然公园、生态保护红线等生态敏感区</w:t>
      </w:r>
      <w:r>
        <w:rPr>
          <w:rFonts w:hint="eastAsia" w:ascii="Times New Roman" w:hAnsi="Times New Roman" w:eastAsia="宋体"/>
          <w:color w:val="auto"/>
          <w:sz w:val="24"/>
          <w:szCs w:val="24"/>
          <w:highlight w:val="none"/>
          <w:lang w:val="en-US" w:eastAsia="zh-CN"/>
        </w:rPr>
        <w:t>，占地面积约</w:t>
      </w:r>
      <w:r>
        <w:rPr>
          <w:rFonts w:hint="eastAsia"/>
          <w:color w:val="auto"/>
          <w:sz w:val="24"/>
          <w:szCs w:val="24"/>
          <w:highlight w:val="none"/>
          <w:lang w:val="en-US" w:eastAsia="zh-CN"/>
        </w:rPr>
        <w:t>22.95</w:t>
      </w:r>
      <w:r>
        <w:rPr>
          <w:rFonts w:hint="eastAsia" w:ascii="Times New Roman" w:hAnsi="Times New Roman" w:eastAsia="宋体"/>
          <w:color w:val="auto"/>
          <w:sz w:val="24"/>
          <w:szCs w:val="24"/>
          <w:highlight w:val="none"/>
          <w:lang w:val="en-US" w:eastAsia="zh-CN"/>
        </w:rPr>
        <w:t>亩，远小于20km</w:t>
      </w:r>
      <w:r>
        <w:rPr>
          <w:rFonts w:hint="eastAsia" w:ascii="Times New Roman" w:hAnsi="Times New Roman" w:eastAsia="宋体"/>
          <w:color w:val="auto"/>
          <w:sz w:val="24"/>
          <w:szCs w:val="24"/>
          <w:highlight w:val="none"/>
          <w:vertAlign w:val="superscript"/>
          <w:lang w:val="en-US" w:eastAsia="zh-CN"/>
        </w:rPr>
        <w:t>2</w:t>
      </w:r>
      <w:r>
        <w:rPr>
          <w:rFonts w:hint="eastAsia" w:ascii="Times New Roman" w:hAnsi="Times New Roman" w:eastAsia="宋体"/>
          <w:color w:val="auto"/>
          <w:sz w:val="24"/>
          <w:szCs w:val="24"/>
          <w:highlight w:val="none"/>
          <w:lang w:val="en-US" w:eastAsia="zh-CN"/>
        </w:rPr>
        <w:t>；项目为</w:t>
      </w:r>
      <w:r>
        <w:rPr>
          <w:rFonts w:ascii="Times New Roman" w:hAnsi="Times New Roman" w:eastAsia="宋体"/>
          <w:color w:val="auto"/>
          <w:sz w:val="24"/>
          <w:szCs w:val="24"/>
          <w:highlight w:val="none"/>
          <w:lang w:val="en-US" w:eastAsia="zh-CN"/>
        </w:rPr>
        <w:t>水污染环境影响型</w:t>
      </w:r>
      <w:r>
        <w:rPr>
          <w:rFonts w:hint="eastAsia" w:ascii="Times New Roman" w:hAnsi="Times New Roman" w:eastAsia="宋体"/>
          <w:color w:val="auto"/>
          <w:sz w:val="24"/>
          <w:szCs w:val="24"/>
          <w:highlight w:val="none"/>
          <w:lang w:val="en-US" w:eastAsia="zh-CN"/>
        </w:rPr>
        <w:t>三级B；项目地下水及土壤影响范围内无天然林、公益林、湿地等生态保护目标分布。</w:t>
      </w:r>
      <w:r>
        <w:rPr>
          <w:rFonts w:hint="default" w:ascii="Times New Roman" w:hAnsi="Times New Roman" w:eastAsia="宋体"/>
          <w:color w:val="auto"/>
          <w:sz w:val="24"/>
          <w:szCs w:val="24"/>
          <w:highlight w:val="none"/>
          <w:lang w:val="en-US" w:eastAsia="zh-CN"/>
        </w:rPr>
        <w:t>对照《环境影响评价技术导则生态影响》（HJ19-2022），</w:t>
      </w:r>
      <w:r>
        <w:rPr>
          <w:rFonts w:hint="eastAsia" w:ascii="Times New Roman" w:hAnsi="Times New Roman" w:eastAsia="宋体"/>
          <w:color w:val="auto"/>
          <w:sz w:val="24"/>
          <w:szCs w:val="24"/>
          <w:highlight w:val="none"/>
          <w:lang w:val="en-US" w:eastAsia="zh-CN"/>
        </w:rPr>
        <w:t>判断本项目生态影响评价工作等级为三级。生态影响评价范围为本项目所涉及用地范围及边界外50m</w:t>
      </w:r>
      <w:r>
        <w:rPr>
          <w:rFonts w:hint="default" w:ascii="Times New Roman" w:hAnsi="Times New Roman" w:eastAsia="宋体"/>
          <w:color w:val="auto"/>
          <w:sz w:val="24"/>
          <w:szCs w:val="24"/>
          <w:highlight w:val="none"/>
          <w:lang w:val="en-US" w:eastAsia="zh-CN"/>
        </w:rPr>
        <w:t>。</w:t>
      </w:r>
    </w:p>
    <w:p w14:paraId="483E9B37">
      <w:pPr>
        <w:pStyle w:val="5"/>
        <w:rPr>
          <w:color w:val="auto"/>
          <w:highlight w:val="none"/>
        </w:rPr>
      </w:pPr>
      <w:bookmarkStart w:id="122" w:name="_Toc119412440"/>
      <w:bookmarkStart w:id="123" w:name="_Toc117150210"/>
      <w:bookmarkStart w:id="124" w:name="_Toc117149701"/>
      <w:r>
        <w:rPr>
          <w:color w:val="auto"/>
          <w:highlight w:val="none"/>
        </w:rPr>
        <w:t>2.4.1.7环境风险评价等级</w:t>
      </w:r>
      <w:bookmarkEnd w:id="122"/>
      <w:bookmarkEnd w:id="123"/>
      <w:bookmarkEnd w:id="124"/>
    </w:p>
    <w:p w14:paraId="767B5FF9">
      <w:pPr>
        <w:pStyle w:val="23"/>
        <w:spacing w:line="360" w:lineRule="auto"/>
        <w:ind w:firstLine="480" w:firstLineChars="200"/>
        <w:rPr>
          <w:rFonts w:ascii="Times New Roman" w:hAnsi="Times New Roman"/>
          <w:color w:val="auto"/>
          <w:sz w:val="24"/>
          <w:highlight w:val="none"/>
        </w:rPr>
      </w:pPr>
      <w:r>
        <w:rPr>
          <w:rFonts w:ascii="Times New Roman" w:hAnsi="Times New Roman"/>
          <w:color w:val="auto"/>
          <w:sz w:val="24"/>
          <w:highlight w:val="none"/>
        </w:rPr>
        <w:t>（1）危险物质及工艺系统危险性（P）的分级确定</w:t>
      </w:r>
    </w:p>
    <w:p w14:paraId="1015B3B9">
      <w:pPr>
        <w:spacing w:line="360" w:lineRule="auto"/>
        <w:ind w:firstLine="480" w:firstLineChars="200"/>
        <w:rPr>
          <w:rFonts w:ascii="Times New Roman" w:hAnsi="Times New Roman" w:eastAsia="宋体"/>
          <w:color w:val="auto"/>
          <w:sz w:val="24"/>
          <w:szCs w:val="24"/>
          <w:highlight w:val="none"/>
        </w:rPr>
      </w:pPr>
      <w:r>
        <w:rPr>
          <w:rFonts w:ascii="宋体" w:hAnsi="宋体" w:eastAsia="宋体"/>
          <w:color w:val="auto"/>
          <w:sz w:val="24"/>
          <w:szCs w:val="24"/>
          <w:highlight w:val="none"/>
        </w:rPr>
        <w:t>①</w:t>
      </w:r>
      <w:r>
        <w:rPr>
          <w:rFonts w:ascii="Times New Roman" w:hAnsi="Times New Roman" w:eastAsia="宋体"/>
          <w:color w:val="auto"/>
          <w:sz w:val="24"/>
          <w:szCs w:val="24"/>
          <w:highlight w:val="none"/>
        </w:rPr>
        <w:t>危险物质数量与临界量比值（Q）</w:t>
      </w:r>
    </w:p>
    <w:p w14:paraId="6E8EFF5E">
      <w:pPr>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计算所涉及的每种危险物质在厂界内的最大存在总量与其在附录B中对应临界量的比值Q。在不同厂区的同一种物质，按其在厂界内的最大存在总量计算。</w:t>
      </w:r>
    </w:p>
    <w:p w14:paraId="7FB1F02A">
      <w:pPr>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当只涉及一种危险物质时，计算该物质的总量与其临界量比值，即为Q；</w:t>
      </w:r>
    </w:p>
    <w:p w14:paraId="43023936">
      <w:pPr>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当存在多种危险物质时，则按式</w:t>
      </w:r>
      <w:r>
        <w:rPr>
          <w:rFonts w:hint="eastAsia"/>
          <w:color w:val="auto"/>
          <w:sz w:val="24"/>
          <w:szCs w:val="24"/>
          <w:highlight w:val="none"/>
          <w:lang w:eastAsia="zh-CN"/>
        </w:rPr>
        <w:t>（</w:t>
      </w:r>
      <w:r>
        <w:rPr>
          <w:rFonts w:ascii="Times New Roman" w:hAnsi="Times New Roman" w:eastAsia="宋体"/>
          <w:color w:val="auto"/>
          <w:sz w:val="24"/>
          <w:szCs w:val="24"/>
          <w:highlight w:val="none"/>
        </w:rPr>
        <w:t>C.1</w:t>
      </w:r>
      <w:r>
        <w:rPr>
          <w:rFonts w:hint="eastAsia"/>
          <w:color w:val="auto"/>
          <w:sz w:val="24"/>
          <w:szCs w:val="24"/>
          <w:highlight w:val="none"/>
          <w:lang w:eastAsia="zh-CN"/>
        </w:rPr>
        <w:t>）</w:t>
      </w:r>
      <w:r>
        <w:rPr>
          <w:rFonts w:ascii="Times New Roman" w:hAnsi="Times New Roman" w:eastAsia="宋体"/>
          <w:color w:val="auto"/>
          <w:sz w:val="24"/>
          <w:szCs w:val="24"/>
          <w:highlight w:val="none"/>
        </w:rPr>
        <w:t>计算物质总量与其临界量比值</w:t>
      </w:r>
      <w:r>
        <w:rPr>
          <w:rFonts w:hint="eastAsia"/>
          <w:color w:val="auto"/>
          <w:sz w:val="24"/>
          <w:szCs w:val="24"/>
          <w:highlight w:val="none"/>
          <w:lang w:eastAsia="zh-CN"/>
        </w:rPr>
        <w:t>（</w:t>
      </w:r>
      <w:r>
        <w:rPr>
          <w:rFonts w:ascii="Times New Roman" w:hAnsi="Times New Roman" w:eastAsia="宋体"/>
          <w:color w:val="auto"/>
          <w:sz w:val="24"/>
          <w:szCs w:val="24"/>
          <w:highlight w:val="none"/>
        </w:rPr>
        <w:t>Q</w:t>
      </w:r>
      <w:r>
        <w:rPr>
          <w:rFonts w:hint="eastAsia"/>
          <w:color w:val="auto"/>
          <w:sz w:val="24"/>
          <w:szCs w:val="24"/>
          <w:highlight w:val="none"/>
          <w:lang w:eastAsia="zh-CN"/>
        </w:rPr>
        <w:t>）</w:t>
      </w:r>
      <w:r>
        <w:rPr>
          <w:rFonts w:ascii="Times New Roman" w:hAnsi="Times New Roman" w:eastAsia="宋体"/>
          <w:color w:val="auto"/>
          <w:sz w:val="24"/>
          <w:szCs w:val="24"/>
          <w:highlight w:val="none"/>
        </w:rPr>
        <w:t>：</w:t>
      </w:r>
    </w:p>
    <w:p w14:paraId="7A35BC07">
      <w:pPr>
        <w:jc w:val="center"/>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drawing>
          <wp:inline distT="0" distB="0" distL="114300" distR="114300">
            <wp:extent cx="3162300" cy="552450"/>
            <wp:effectExtent l="0" t="0" r="0" b="0"/>
            <wp:docPr id="5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
                    <pic:cNvPicPr>
                      <a:picLocks noChangeAspect="1"/>
                    </pic:cNvPicPr>
                  </pic:nvPicPr>
                  <pic:blipFill>
                    <a:blip r:embed="rId10"/>
                    <a:stretch>
                      <a:fillRect/>
                    </a:stretch>
                  </pic:blipFill>
                  <pic:spPr>
                    <a:xfrm>
                      <a:off x="0" y="0"/>
                      <a:ext cx="3162300" cy="552450"/>
                    </a:xfrm>
                    <a:prstGeom prst="rect">
                      <a:avLst/>
                    </a:prstGeom>
                    <a:noFill/>
                    <a:ln>
                      <a:noFill/>
                    </a:ln>
                  </pic:spPr>
                </pic:pic>
              </a:graphicData>
            </a:graphic>
          </wp:inline>
        </w:drawing>
      </w:r>
    </w:p>
    <w:p w14:paraId="5ACC6302">
      <w:pPr>
        <w:snapToGrid w:val="0"/>
        <w:spacing w:line="360" w:lineRule="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式中，q1,q2…qn--每种危险物质的最大存在总量，t。</w:t>
      </w:r>
    </w:p>
    <w:p w14:paraId="5D44C650">
      <w:pPr>
        <w:snapToGrid w:val="0"/>
        <w:spacing w:line="360" w:lineRule="auto"/>
        <w:ind w:firstLine="720" w:firstLineChars="3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Q1，Q2…Qn—每种危险物质的临界量，t。</w:t>
      </w:r>
    </w:p>
    <w:p w14:paraId="43CA21BB">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当Q＜1时，该项目环境风险潜势为Ⅰ。</w:t>
      </w:r>
    </w:p>
    <w:p w14:paraId="335DDC97">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当Q≥1时，将Q值划分为：（1）1≤Q＜10；（2）10≤Q＜100；（3）Q≥100。</w:t>
      </w:r>
    </w:p>
    <w:p w14:paraId="570801D8">
      <w:pPr>
        <w:pStyle w:val="352"/>
        <w:ind w:firstLine="480"/>
        <w:rPr>
          <w:color w:val="auto"/>
          <w:highlight w:val="none"/>
        </w:rPr>
      </w:pPr>
      <w:r>
        <w:rPr>
          <w:color w:val="auto"/>
          <w:highlight w:val="none"/>
        </w:rPr>
        <w:t>拟建项目涉及危险物质q/Q值计算见表2.4.1-</w:t>
      </w:r>
      <w:r>
        <w:rPr>
          <w:rFonts w:hint="eastAsia"/>
          <w:color w:val="auto"/>
          <w:highlight w:val="none"/>
          <w:lang w:val="en-US" w:eastAsia="zh-CN"/>
        </w:rPr>
        <w:t>9</w:t>
      </w:r>
      <w:r>
        <w:rPr>
          <w:color w:val="auto"/>
          <w:highlight w:val="none"/>
        </w:rPr>
        <w:t>。</w:t>
      </w:r>
    </w:p>
    <w:p w14:paraId="66CFE4D0">
      <w:pPr>
        <w:pStyle w:val="107"/>
        <w:spacing w:line="240" w:lineRule="auto"/>
        <w:jc w:val="center"/>
        <w:rPr>
          <w:color w:val="auto"/>
          <w:highlight w:val="none"/>
        </w:rPr>
      </w:pPr>
      <w:r>
        <w:rPr>
          <w:color w:val="auto"/>
          <w:highlight w:val="none"/>
        </w:rPr>
        <w:t>表2.4.1-</w:t>
      </w:r>
      <w:r>
        <w:rPr>
          <w:rFonts w:hint="eastAsia"/>
          <w:color w:val="auto"/>
          <w:highlight w:val="none"/>
          <w:lang w:val="en-US" w:eastAsia="zh-CN"/>
        </w:rPr>
        <w:t xml:space="preserve">8  </w:t>
      </w:r>
      <w:r>
        <w:rPr>
          <w:color w:val="auto"/>
          <w:highlight w:val="none"/>
        </w:rPr>
        <w:t>本项目涉及的危险物质Q值</w:t>
      </w:r>
    </w:p>
    <w:tbl>
      <w:tblPr>
        <w:tblStyle w:val="4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1329"/>
        <w:gridCol w:w="1217"/>
        <w:gridCol w:w="1740"/>
        <w:gridCol w:w="1153"/>
        <w:gridCol w:w="1244"/>
      </w:tblGrid>
      <w:tr w14:paraId="6BDC5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077" w:type="pct"/>
            <w:vMerge w:val="restart"/>
            <w:noWrap w:val="0"/>
            <w:vAlign w:val="center"/>
          </w:tcPr>
          <w:p w14:paraId="7301691C">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危险物质</w:t>
            </w:r>
          </w:p>
        </w:tc>
        <w:tc>
          <w:tcPr>
            <w:tcW w:w="780" w:type="pct"/>
            <w:vMerge w:val="restart"/>
            <w:noWrap w:val="0"/>
            <w:vAlign w:val="center"/>
          </w:tcPr>
          <w:p w14:paraId="71C21FBE">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cs="Times New Roman"/>
                <w:b/>
                <w:bCs/>
                <w:color w:val="auto"/>
                <w:sz w:val="18"/>
                <w:szCs w:val="18"/>
                <w:highlight w:val="none"/>
                <w:lang w:val="en-US" w:eastAsia="zh-CN"/>
              </w:rPr>
              <w:t>CAS号</w:t>
            </w:r>
          </w:p>
        </w:tc>
        <w:tc>
          <w:tcPr>
            <w:tcW w:w="714" w:type="pct"/>
            <w:vMerge w:val="restart"/>
            <w:noWrap w:val="0"/>
            <w:vAlign w:val="center"/>
          </w:tcPr>
          <w:p w14:paraId="68F91A0A">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最大存储量</w:t>
            </w:r>
          </w:p>
        </w:tc>
        <w:tc>
          <w:tcPr>
            <w:tcW w:w="1021" w:type="pct"/>
            <w:vMerge w:val="restart"/>
            <w:noWrap w:val="0"/>
            <w:vAlign w:val="center"/>
          </w:tcPr>
          <w:p w14:paraId="5E0F6919">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储存地点</w:t>
            </w:r>
          </w:p>
        </w:tc>
        <w:tc>
          <w:tcPr>
            <w:tcW w:w="675" w:type="pct"/>
            <w:vMerge w:val="restart"/>
            <w:noWrap w:val="0"/>
            <w:vAlign w:val="center"/>
          </w:tcPr>
          <w:p w14:paraId="2E915E36">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临界量（</w:t>
            </w:r>
            <w:r>
              <w:rPr>
                <w:rFonts w:hint="default" w:ascii="Times New Roman" w:hAnsi="Times New Roman" w:cs="Times New Roman"/>
                <w:b/>
                <w:bCs/>
                <w:color w:val="auto"/>
                <w:sz w:val="21"/>
                <w:szCs w:val="21"/>
                <w:highlight w:val="none"/>
                <w:lang w:val="en-US" w:eastAsia="zh-CN"/>
              </w:rPr>
              <w:t>t</w:t>
            </w:r>
            <w:r>
              <w:rPr>
                <w:rFonts w:hint="default" w:ascii="Times New Roman" w:hAnsi="Times New Roman" w:eastAsia="宋体" w:cs="Times New Roman"/>
                <w:b/>
                <w:bCs/>
                <w:color w:val="auto"/>
                <w:sz w:val="21"/>
                <w:szCs w:val="21"/>
                <w:highlight w:val="none"/>
              </w:rPr>
              <w:t>）</w:t>
            </w:r>
          </w:p>
        </w:tc>
        <w:tc>
          <w:tcPr>
            <w:tcW w:w="730" w:type="pct"/>
            <w:vMerge w:val="restart"/>
            <w:noWrap w:val="0"/>
            <w:vAlign w:val="center"/>
          </w:tcPr>
          <w:p w14:paraId="15493E5E">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该种危险物质Q值</w:t>
            </w:r>
          </w:p>
        </w:tc>
      </w:tr>
      <w:tr w14:paraId="23C95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77" w:type="pct"/>
            <w:vMerge w:val="continue"/>
            <w:noWrap w:val="0"/>
            <w:vAlign w:val="center"/>
          </w:tcPr>
          <w:p w14:paraId="55648280">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b/>
                <w:bCs/>
                <w:color w:val="auto"/>
                <w:sz w:val="18"/>
                <w:szCs w:val="18"/>
                <w:highlight w:val="none"/>
              </w:rPr>
            </w:pPr>
          </w:p>
        </w:tc>
        <w:tc>
          <w:tcPr>
            <w:tcW w:w="780" w:type="pct"/>
            <w:vMerge w:val="continue"/>
            <w:noWrap w:val="0"/>
            <w:vAlign w:val="center"/>
          </w:tcPr>
          <w:p w14:paraId="0D4D10E4">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b/>
                <w:bCs/>
                <w:color w:val="auto"/>
                <w:sz w:val="18"/>
                <w:szCs w:val="18"/>
                <w:highlight w:val="none"/>
              </w:rPr>
            </w:pPr>
          </w:p>
        </w:tc>
        <w:tc>
          <w:tcPr>
            <w:tcW w:w="714" w:type="pct"/>
            <w:vMerge w:val="continue"/>
            <w:noWrap w:val="0"/>
            <w:vAlign w:val="center"/>
          </w:tcPr>
          <w:p w14:paraId="209DED97">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b/>
                <w:bCs/>
                <w:color w:val="auto"/>
                <w:sz w:val="18"/>
                <w:szCs w:val="18"/>
                <w:highlight w:val="none"/>
              </w:rPr>
            </w:pPr>
          </w:p>
        </w:tc>
        <w:tc>
          <w:tcPr>
            <w:tcW w:w="1021" w:type="pct"/>
            <w:vMerge w:val="continue"/>
            <w:noWrap w:val="0"/>
            <w:vAlign w:val="center"/>
          </w:tcPr>
          <w:p w14:paraId="58C73803">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b/>
                <w:bCs/>
                <w:color w:val="auto"/>
                <w:sz w:val="18"/>
                <w:szCs w:val="18"/>
                <w:highlight w:val="none"/>
              </w:rPr>
            </w:pPr>
          </w:p>
        </w:tc>
        <w:tc>
          <w:tcPr>
            <w:tcW w:w="675" w:type="pct"/>
            <w:vMerge w:val="continue"/>
            <w:noWrap w:val="0"/>
            <w:vAlign w:val="center"/>
          </w:tcPr>
          <w:p w14:paraId="5C56AA70">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b/>
                <w:bCs/>
                <w:color w:val="auto"/>
                <w:sz w:val="18"/>
                <w:szCs w:val="18"/>
                <w:highlight w:val="none"/>
              </w:rPr>
            </w:pPr>
          </w:p>
        </w:tc>
        <w:tc>
          <w:tcPr>
            <w:tcW w:w="730" w:type="pct"/>
            <w:vMerge w:val="continue"/>
            <w:noWrap w:val="0"/>
            <w:vAlign w:val="center"/>
          </w:tcPr>
          <w:p w14:paraId="783947AC">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b/>
                <w:bCs/>
                <w:color w:val="auto"/>
                <w:sz w:val="18"/>
                <w:szCs w:val="18"/>
                <w:highlight w:val="none"/>
              </w:rPr>
            </w:pPr>
          </w:p>
        </w:tc>
      </w:tr>
      <w:tr w14:paraId="4065D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077" w:type="pct"/>
            <w:noWrap w:val="0"/>
            <w:vAlign w:val="center"/>
          </w:tcPr>
          <w:p w14:paraId="64E21FDB">
            <w:pPr>
              <w:pStyle w:val="224"/>
              <w:bidi w:val="0"/>
              <w:ind w:firstLine="0" w:firstLineChars="0"/>
              <w:rPr>
                <w:rFonts w:hint="default" w:ascii="Times New Roman" w:hAnsi="Times New Roman" w:eastAsia="宋体" w:cs="Times New Roman"/>
                <w:b w:val="0"/>
                <w:bCs w:val="0"/>
                <w:color w:val="auto"/>
                <w:sz w:val="21"/>
                <w:szCs w:val="21"/>
                <w:highlight w:val="none"/>
                <w:lang w:eastAsia="zh-CN"/>
              </w:rPr>
            </w:pPr>
            <w:r>
              <w:rPr>
                <w:rFonts w:hint="eastAsia" w:ascii="Times New Roman" w:hAnsi="Times New Roman" w:eastAsia="宋体" w:cs="Times New Roman"/>
                <w:color w:val="auto"/>
                <w:highlight w:val="none"/>
                <w:lang w:val="en-US" w:eastAsia="zh-CN"/>
              </w:rPr>
              <w:t>柴油</w:t>
            </w:r>
          </w:p>
        </w:tc>
        <w:tc>
          <w:tcPr>
            <w:tcW w:w="780" w:type="pct"/>
            <w:noWrap w:val="0"/>
            <w:vAlign w:val="center"/>
          </w:tcPr>
          <w:p w14:paraId="30C08D51">
            <w:pPr>
              <w:pStyle w:val="224"/>
              <w:bidi w:val="0"/>
              <w:ind w:firstLine="0" w:firstLineChars="0"/>
              <w:rPr>
                <w:rFonts w:hint="eastAsia" w:ascii="Times New Roman" w:hAnsi="Times New Roman" w:eastAsia="宋体" w:cs="Times New Roman"/>
                <w:color w:val="auto"/>
                <w:kern w:val="0"/>
                <w:sz w:val="21"/>
                <w:szCs w:val="20"/>
                <w:highlight w:val="none"/>
                <w:lang w:eastAsia="zh-CN"/>
              </w:rPr>
            </w:pPr>
            <w:r>
              <w:rPr>
                <w:rFonts w:hint="eastAsia" w:ascii="Times New Roman" w:hAnsi="Times New Roman" w:eastAsia="宋体" w:cs="Times New Roman"/>
                <w:color w:val="auto"/>
                <w:highlight w:val="none"/>
                <w:lang w:eastAsia="zh-CN"/>
              </w:rPr>
              <w:t>/</w:t>
            </w:r>
          </w:p>
        </w:tc>
        <w:tc>
          <w:tcPr>
            <w:tcW w:w="714" w:type="pct"/>
            <w:noWrap w:val="0"/>
            <w:vAlign w:val="center"/>
          </w:tcPr>
          <w:p w14:paraId="69BEBF5E">
            <w:pPr>
              <w:pStyle w:val="224"/>
              <w:bidi w:val="0"/>
              <w:ind w:firstLine="0" w:firstLineChars="0"/>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eastAsia="宋体" w:cs="Times New Roman"/>
                <w:color w:val="auto"/>
                <w:highlight w:val="none"/>
                <w:lang w:val="en-US" w:eastAsia="zh-CN"/>
              </w:rPr>
              <w:t>22</w:t>
            </w:r>
          </w:p>
        </w:tc>
        <w:tc>
          <w:tcPr>
            <w:tcW w:w="1021" w:type="pct"/>
            <w:noWrap w:val="0"/>
            <w:vAlign w:val="center"/>
          </w:tcPr>
          <w:p w14:paraId="73604738">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柴油储罐</w:t>
            </w:r>
          </w:p>
        </w:tc>
        <w:tc>
          <w:tcPr>
            <w:tcW w:w="675" w:type="pct"/>
            <w:noWrap w:val="0"/>
            <w:vAlign w:val="center"/>
          </w:tcPr>
          <w:p w14:paraId="750BE78B">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2500</w:t>
            </w:r>
          </w:p>
        </w:tc>
        <w:tc>
          <w:tcPr>
            <w:tcW w:w="730" w:type="pct"/>
            <w:noWrap w:val="0"/>
            <w:vAlign w:val="center"/>
          </w:tcPr>
          <w:p w14:paraId="584D67E1">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0.0088</w:t>
            </w:r>
          </w:p>
        </w:tc>
      </w:tr>
      <w:tr w14:paraId="7A4D7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077" w:type="pct"/>
            <w:noWrap w:val="0"/>
            <w:vAlign w:val="center"/>
          </w:tcPr>
          <w:p w14:paraId="5D0AAC24">
            <w:pPr>
              <w:pStyle w:val="224"/>
              <w:bidi w:val="0"/>
              <w:ind w:firstLine="0" w:firstLineChars="0"/>
              <w:rPr>
                <w:rFonts w:hint="eastAsia"/>
                <w:b w:val="0"/>
                <w:color w:val="auto"/>
                <w:sz w:val="21"/>
                <w:szCs w:val="21"/>
                <w:highlight w:val="none"/>
                <w:lang w:val="en-US" w:eastAsia="zh-CN"/>
              </w:rPr>
            </w:pPr>
            <w:r>
              <w:rPr>
                <w:rFonts w:hint="eastAsia" w:ascii="Times New Roman" w:hAnsi="Times New Roman" w:eastAsia="宋体" w:cs="Times New Roman"/>
                <w:color w:val="auto"/>
                <w:highlight w:val="none"/>
                <w:lang w:val="en-US" w:eastAsia="zh-CN"/>
              </w:rPr>
              <w:t>汽油</w:t>
            </w:r>
          </w:p>
        </w:tc>
        <w:tc>
          <w:tcPr>
            <w:tcW w:w="780" w:type="pct"/>
            <w:noWrap w:val="0"/>
            <w:vAlign w:val="center"/>
          </w:tcPr>
          <w:p w14:paraId="521F5CE3">
            <w:pPr>
              <w:pStyle w:val="224"/>
              <w:bidi w:val="0"/>
              <w:ind w:firstLine="0" w:firstLineChars="0"/>
              <w:rPr>
                <w:rFonts w:hint="eastAsia" w:ascii="Times New Roman" w:hAnsi="Times New Roman" w:eastAsia="宋体" w:cs="Times New Roman"/>
                <w:color w:val="auto"/>
                <w:kern w:val="0"/>
                <w:sz w:val="21"/>
                <w:szCs w:val="20"/>
                <w:highlight w:val="none"/>
                <w:lang w:eastAsia="zh-CN"/>
              </w:rPr>
            </w:pPr>
            <w:r>
              <w:rPr>
                <w:rFonts w:hint="eastAsia" w:ascii="Times New Roman" w:hAnsi="Times New Roman" w:eastAsia="宋体" w:cs="Times New Roman"/>
                <w:color w:val="auto"/>
                <w:highlight w:val="none"/>
                <w:lang w:val="en-US" w:eastAsia="zh-CN"/>
              </w:rPr>
              <w:t>/</w:t>
            </w:r>
          </w:p>
        </w:tc>
        <w:tc>
          <w:tcPr>
            <w:tcW w:w="714" w:type="pct"/>
            <w:noWrap w:val="0"/>
            <w:vAlign w:val="center"/>
          </w:tcPr>
          <w:p w14:paraId="6F36135F">
            <w:pPr>
              <w:pStyle w:val="224"/>
              <w:bidi w:val="0"/>
              <w:ind w:firstLine="0" w:firstLineChars="0"/>
              <w:rPr>
                <w:rFonts w:hint="default" w:cs="Times New Roman"/>
                <w:b w:val="0"/>
                <w:bCs w:val="0"/>
                <w:color w:val="auto"/>
                <w:sz w:val="21"/>
                <w:szCs w:val="21"/>
                <w:highlight w:val="none"/>
                <w:lang w:val="en-US" w:eastAsia="zh-CN"/>
              </w:rPr>
            </w:pPr>
            <w:r>
              <w:rPr>
                <w:rFonts w:hint="eastAsia" w:ascii="Times New Roman" w:hAnsi="Times New Roman" w:eastAsia="宋体" w:cs="Times New Roman"/>
                <w:color w:val="auto"/>
                <w:highlight w:val="none"/>
                <w:lang w:val="en-US" w:eastAsia="zh-CN"/>
              </w:rPr>
              <w:t>41</w:t>
            </w:r>
          </w:p>
        </w:tc>
        <w:tc>
          <w:tcPr>
            <w:tcW w:w="1021" w:type="pct"/>
            <w:noWrap w:val="0"/>
            <w:vAlign w:val="center"/>
          </w:tcPr>
          <w:p w14:paraId="15BCAD75">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eastAsia" w:cs="Times New Roman"/>
                <w:b w:val="0"/>
                <w:bCs w:val="0"/>
                <w:color w:val="auto"/>
                <w:sz w:val="21"/>
                <w:szCs w:val="21"/>
                <w:highlight w:val="none"/>
                <w:lang w:eastAsia="zh-CN"/>
              </w:rPr>
            </w:pPr>
            <w:r>
              <w:rPr>
                <w:rFonts w:hint="eastAsia" w:cs="Times New Roman"/>
                <w:b w:val="0"/>
                <w:bCs w:val="0"/>
                <w:color w:val="auto"/>
                <w:sz w:val="21"/>
                <w:szCs w:val="21"/>
                <w:highlight w:val="none"/>
                <w:lang w:val="en-US" w:eastAsia="zh-CN"/>
              </w:rPr>
              <w:t>汽油储罐</w:t>
            </w:r>
          </w:p>
        </w:tc>
        <w:tc>
          <w:tcPr>
            <w:tcW w:w="675" w:type="pct"/>
            <w:noWrap w:val="0"/>
            <w:vAlign w:val="center"/>
          </w:tcPr>
          <w:p w14:paraId="76DBBAD6">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2500</w:t>
            </w:r>
          </w:p>
        </w:tc>
        <w:tc>
          <w:tcPr>
            <w:tcW w:w="730" w:type="pct"/>
            <w:noWrap w:val="0"/>
            <w:vAlign w:val="center"/>
          </w:tcPr>
          <w:p w14:paraId="13A7D4F2">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0.0164</w:t>
            </w:r>
          </w:p>
        </w:tc>
      </w:tr>
      <w:tr w14:paraId="628EB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1077" w:type="pct"/>
            <w:noWrap w:val="0"/>
            <w:vAlign w:val="center"/>
          </w:tcPr>
          <w:p w14:paraId="18C530D2">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甲烷（净化沼气）</w:t>
            </w:r>
          </w:p>
        </w:tc>
        <w:tc>
          <w:tcPr>
            <w:tcW w:w="780" w:type="pct"/>
            <w:noWrap w:val="0"/>
            <w:vAlign w:val="center"/>
          </w:tcPr>
          <w:p w14:paraId="31112917">
            <w:pPr>
              <w:pStyle w:val="224"/>
              <w:bidi w:val="0"/>
              <w:ind w:firstLine="0" w:firstLineChars="0"/>
              <w:rPr>
                <w:rFonts w:hint="eastAsia" w:ascii="Times New Roman" w:hAnsi="Times New Roman" w:eastAsia="宋体" w:cs="Times New Roman"/>
                <w:color w:val="auto"/>
                <w:kern w:val="0"/>
                <w:sz w:val="21"/>
                <w:szCs w:val="20"/>
                <w:highlight w:val="none"/>
                <w:lang w:eastAsia="zh-CN"/>
              </w:rPr>
            </w:pPr>
            <w:r>
              <w:rPr>
                <w:rFonts w:hint="eastAsia" w:ascii="Times New Roman" w:hAnsi="Times New Roman" w:eastAsia="宋体" w:cs="Times New Roman"/>
                <w:color w:val="auto"/>
                <w:highlight w:val="none"/>
                <w:lang w:val="en-US" w:eastAsia="zh-CN"/>
              </w:rPr>
              <w:t>74-82-8</w:t>
            </w:r>
          </w:p>
        </w:tc>
        <w:tc>
          <w:tcPr>
            <w:tcW w:w="714" w:type="pct"/>
            <w:noWrap w:val="0"/>
            <w:vAlign w:val="center"/>
          </w:tcPr>
          <w:p w14:paraId="7BA8AD9F">
            <w:pPr>
              <w:pStyle w:val="224"/>
              <w:bidi w:val="0"/>
              <w:ind w:firstLine="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highlight w:val="none"/>
                <w:lang w:val="en-US" w:eastAsia="zh-CN"/>
              </w:rPr>
              <w:t>6.72</w:t>
            </w:r>
          </w:p>
        </w:tc>
        <w:tc>
          <w:tcPr>
            <w:tcW w:w="1021" w:type="pct"/>
            <w:noWrap w:val="0"/>
            <w:vAlign w:val="center"/>
          </w:tcPr>
          <w:p w14:paraId="7A73E4F9">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长罐车</w:t>
            </w:r>
          </w:p>
        </w:tc>
        <w:tc>
          <w:tcPr>
            <w:tcW w:w="675" w:type="pct"/>
            <w:noWrap w:val="0"/>
            <w:vAlign w:val="center"/>
          </w:tcPr>
          <w:p w14:paraId="09CCE897">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c>
          <w:tcPr>
            <w:tcW w:w="730" w:type="pct"/>
            <w:noWrap w:val="0"/>
            <w:vAlign w:val="center"/>
          </w:tcPr>
          <w:p w14:paraId="74DD6FA2">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0.672</w:t>
            </w:r>
          </w:p>
        </w:tc>
      </w:tr>
      <w:tr w14:paraId="5386B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9" w:type="pct"/>
            <w:gridSpan w:val="5"/>
            <w:noWrap w:val="0"/>
            <w:vAlign w:val="center"/>
          </w:tcPr>
          <w:p w14:paraId="78CB939A">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firstLineChars="0"/>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合计</w:t>
            </w:r>
          </w:p>
        </w:tc>
        <w:tc>
          <w:tcPr>
            <w:tcW w:w="730" w:type="pct"/>
            <w:noWrap w:val="0"/>
            <w:vAlign w:val="center"/>
          </w:tcPr>
          <w:p w14:paraId="44C99FCA">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0.6972</w:t>
            </w:r>
          </w:p>
        </w:tc>
      </w:tr>
    </w:tbl>
    <w:p w14:paraId="222A5B1B">
      <w:pPr>
        <w:pStyle w:val="352"/>
        <w:ind w:firstLine="480"/>
        <w:rPr>
          <w:rFonts w:hint="eastAsia"/>
          <w:color w:val="auto"/>
          <w:highlight w:val="none"/>
          <w:lang w:val="en-US" w:eastAsia="zh-CN"/>
        </w:rPr>
      </w:pPr>
      <w:r>
        <w:rPr>
          <w:color w:val="auto"/>
          <w:highlight w:val="none"/>
        </w:rPr>
        <w:t>由上表计算可知，拟建项目Q值</w:t>
      </w:r>
      <w:r>
        <w:rPr>
          <w:rFonts w:hint="eastAsia"/>
          <w:color w:val="auto"/>
          <w:highlight w:val="none"/>
          <w:lang w:val="en-US" w:eastAsia="zh-CN"/>
        </w:rPr>
        <w:t>0.6972。</w:t>
      </w:r>
    </w:p>
    <w:p w14:paraId="5D5860AB">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根据风险章节分析，项目Q&lt;1，</w:t>
      </w:r>
      <w:r>
        <w:rPr>
          <w:rFonts w:hint="default" w:ascii="Times New Roman" w:hAnsi="Times New Roman" w:eastAsia="宋体" w:cs="Times New Roman"/>
          <w:color w:val="auto"/>
          <w:sz w:val="24"/>
          <w:highlight w:val="none"/>
        </w:rPr>
        <w:t>项目环境风险潜势为</w:t>
      </w:r>
      <w:r>
        <w:rPr>
          <w:rFonts w:hint="default" w:ascii="Times New Roman" w:hAnsi="Times New Roman" w:cs="Times New Roman"/>
          <w:color w:val="auto"/>
          <w:sz w:val="24"/>
          <w:highlight w:val="none"/>
          <w:lang w:val="en-US" w:eastAsia="zh-CN"/>
        </w:rPr>
        <w:t>I</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kern w:val="0"/>
          <w:sz w:val="24"/>
          <w:szCs w:val="24"/>
          <w:highlight w:val="none"/>
          <w:lang w:val="en-US" w:eastAsia="zh-CN" w:bidi="ar"/>
        </w:rPr>
        <w:t>依据</w:t>
      </w:r>
      <w:r>
        <w:rPr>
          <w:rFonts w:hint="default" w:ascii="Times New Roman" w:hAnsi="Times New Roman" w:eastAsia="宋体" w:cs="Times New Roman"/>
          <w:color w:val="auto"/>
          <w:sz w:val="24"/>
          <w:highlight w:val="none"/>
        </w:rPr>
        <w:t>《建设项目环境风险评价技术导则》（HJ/T169-2018），环境</w:t>
      </w:r>
      <w:r>
        <w:rPr>
          <w:rFonts w:hint="eastAsia" w:cs="Times New Roman"/>
          <w:color w:val="auto"/>
          <w:sz w:val="24"/>
          <w:highlight w:val="none"/>
          <w:lang w:eastAsia="zh-CN"/>
        </w:rPr>
        <w:t>风险</w:t>
      </w:r>
      <w:r>
        <w:rPr>
          <w:rFonts w:hint="default" w:ascii="Times New Roman" w:hAnsi="Times New Roman" w:eastAsia="宋体" w:cs="Times New Roman"/>
          <w:color w:val="auto"/>
          <w:sz w:val="24"/>
          <w:highlight w:val="none"/>
        </w:rPr>
        <w:t>评价仅需简单分析。</w:t>
      </w:r>
    </w:p>
    <w:p w14:paraId="51DEBE65">
      <w:pPr>
        <w:pStyle w:val="549"/>
        <w:keepNext w:val="0"/>
        <w:keepLines w:val="0"/>
        <w:pageBreakBefore w:val="0"/>
        <w:widowControl/>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color w:val="auto"/>
          <w:szCs w:val="21"/>
          <w:highlight w:val="none"/>
          <w:lang w:val="zh-CN"/>
        </w:rPr>
      </w:pPr>
      <w:r>
        <w:rPr>
          <w:rFonts w:hint="default" w:ascii="Times New Roman" w:hAnsi="Times New Roman" w:eastAsia="宋体" w:cs="Times New Roman"/>
          <w:b/>
          <w:bCs/>
          <w:color w:val="auto"/>
          <w:szCs w:val="21"/>
          <w:highlight w:val="none"/>
          <w:lang w:val="zh-CN"/>
        </w:rPr>
        <w:t>表</w:t>
      </w:r>
      <w:r>
        <w:rPr>
          <w:rFonts w:hint="default" w:ascii="Times New Roman" w:hAnsi="Times New Roman" w:eastAsia="宋体" w:cs="Times New Roman"/>
          <w:b/>
          <w:bCs/>
          <w:color w:val="auto"/>
          <w:szCs w:val="21"/>
          <w:highlight w:val="none"/>
        </w:rPr>
        <w:t>2</w:t>
      </w:r>
      <w:r>
        <w:rPr>
          <w:rFonts w:hint="eastAsia" w:cs="Times New Roman"/>
          <w:b/>
          <w:bCs/>
          <w:color w:val="auto"/>
          <w:szCs w:val="21"/>
          <w:highlight w:val="none"/>
          <w:lang w:val="en-US" w:eastAsia="zh-CN"/>
        </w:rPr>
        <w:t>.</w:t>
      </w:r>
      <w:r>
        <w:rPr>
          <w:rFonts w:hint="eastAsia" w:ascii="Times New Roman" w:hAnsi="Times New Roman" w:eastAsia="宋体" w:cs="Times New Roman"/>
          <w:b/>
          <w:bCs/>
          <w:color w:val="auto"/>
          <w:szCs w:val="21"/>
          <w:highlight w:val="none"/>
          <w:lang w:val="en-US" w:eastAsia="zh-CN"/>
        </w:rPr>
        <w:t>4.1-</w:t>
      </w:r>
      <w:r>
        <w:rPr>
          <w:rFonts w:hint="eastAsia" w:cs="Times New Roman"/>
          <w:b/>
          <w:bCs/>
          <w:color w:val="auto"/>
          <w:szCs w:val="21"/>
          <w:highlight w:val="none"/>
          <w:lang w:val="en-US" w:eastAsia="zh-CN"/>
        </w:rPr>
        <w:t xml:space="preserve">9  </w:t>
      </w:r>
      <w:r>
        <w:rPr>
          <w:rFonts w:hint="default" w:ascii="Times New Roman" w:hAnsi="Times New Roman" w:eastAsia="宋体" w:cs="Times New Roman"/>
          <w:b/>
          <w:bCs/>
          <w:color w:val="auto"/>
          <w:szCs w:val="21"/>
          <w:highlight w:val="none"/>
          <w:lang w:val="zh-CN"/>
        </w:rPr>
        <w:t>风险评价工作等级</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6"/>
        <w:gridCol w:w="1815"/>
        <w:gridCol w:w="1814"/>
        <w:gridCol w:w="1812"/>
        <w:gridCol w:w="1814"/>
      </w:tblGrid>
      <w:tr w14:paraId="735A3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6" w:type="dxa"/>
            <w:tcBorders>
              <w:top w:val="single" w:color="auto" w:sz="4" w:space="0"/>
              <w:left w:val="single" w:color="auto" w:sz="4" w:space="0"/>
              <w:bottom w:val="single" w:color="auto" w:sz="4" w:space="0"/>
              <w:right w:val="single" w:color="auto" w:sz="4" w:space="0"/>
            </w:tcBorders>
            <w:noWrap w:val="0"/>
            <w:vAlign w:val="center"/>
          </w:tcPr>
          <w:p w14:paraId="501D33E3">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both"/>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环境风险潜势</w:t>
            </w:r>
          </w:p>
        </w:tc>
        <w:tc>
          <w:tcPr>
            <w:tcW w:w="1815" w:type="dxa"/>
            <w:tcBorders>
              <w:top w:val="single" w:color="auto" w:sz="4" w:space="0"/>
              <w:left w:val="nil"/>
              <w:bottom w:val="single" w:color="auto" w:sz="4" w:space="0"/>
              <w:right w:val="single" w:color="auto" w:sz="4" w:space="0"/>
            </w:tcBorders>
            <w:noWrap w:val="0"/>
            <w:vAlign w:val="center"/>
          </w:tcPr>
          <w:p w14:paraId="29B2C876">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Ⅳ、Ⅳ</w:t>
            </w:r>
            <w:r>
              <w:rPr>
                <w:rFonts w:hint="default" w:ascii="Times New Roman" w:hAnsi="Times New Roman" w:eastAsia="宋体" w:cs="Times New Roman"/>
                <w:b/>
                <w:bCs/>
                <w:color w:val="auto"/>
                <w:highlight w:val="none"/>
                <w:vertAlign w:val="superscript"/>
              </w:rPr>
              <w:t>+</w:t>
            </w:r>
          </w:p>
        </w:tc>
        <w:tc>
          <w:tcPr>
            <w:tcW w:w="1814" w:type="dxa"/>
            <w:tcBorders>
              <w:top w:val="single" w:color="auto" w:sz="4" w:space="0"/>
              <w:left w:val="nil"/>
              <w:bottom w:val="single" w:color="auto" w:sz="4" w:space="0"/>
              <w:right w:val="single" w:color="auto" w:sz="4" w:space="0"/>
            </w:tcBorders>
            <w:noWrap w:val="0"/>
            <w:vAlign w:val="center"/>
          </w:tcPr>
          <w:p w14:paraId="6DA6F966">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Ⅲ</w:t>
            </w:r>
          </w:p>
        </w:tc>
        <w:tc>
          <w:tcPr>
            <w:tcW w:w="1812" w:type="dxa"/>
            <w:tcBorders>
              <w:top w:val="single" w:color="auto" w:sz="4" w:space="0"/>
              <w:left w:val="nil"/>
              <w:bottom w:val="single" w:color="auto" w:sz="4" w:space="0"/>
              <w:right w:val="single" w:color="auto" w:sz="4" w:space="0"/>
            </w:tcBorders>
            <w:noWrap w:val="0"/>
            <w:vAlign w:val="center"/>
          </w:tcPr>
          <w:p w14:paraId="6A1B2AD6">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Ⅱ</w:t>
            </w:r>
          </w:p>
        </w:tc>
        <w:tc>
          <w:tcPr>
            <w:tcW w:w="1814" w:type="dxa"/>
            <w:tcBorders>
              <w:top w:val="single" w:color="auto" w:sz="4" w:space="0"/>
              <w:left w:val="nil"/>
              <w:bottom w:val="single" w:color="auto" w:sz="4" w:space="0"/>
              <w:right w:val="single" w:color="auto" w:sz="4" w:space="0"/>
            </w:tcBorders>
            <w:noWrap w:val="0"/>
            <w:vAlign w:val="center"/>
          </w:tcPr>
          <w:p w14:paraId="18E0C6FF">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Ⅰ</w:t>
            </w:r>
          </w:p>
        </w:tc>
      </w:tr>
      <w:tr w14:paraId="53527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FC6F85B">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评价工作等级</w:t>
            </w:r>
          </w:p>
        </w:tc>
        <w:tc>
          <w:tcPr>
            <w:tcW w:w="1815" w:type="dxa"/>
            <w:tcBorders>
              <w:top w:val="single" w:color="auto" w:sz="4" w:space="0"/>
              <w:left w:val="nil"/>
              <w:bottom w:val="single" w:color="auto" w:sz="4" w:space="0"/>
              <w:right w:val="single" w:color="auto" w:sz="4" w:space="0"/>
            </w:tcBorders>
            <w:shd w:val="clear" w:color="auto" w:fill="auto"/>
            <w:noWrap w:val="0"/>
            <w:vAlign w:val="center"/>
          </w:tcPr>
          <w:p w14:paraId="706CED2F">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w:t>
            </w:r>
          </w:p>
        </w:tc>
        <w:tc>
          <w:tcPr>
            <w:tcW w:w="1814" w:type="dxa"/>
            <w:tcBorders>
              <w:top w:val="single" w:color="auto" w:sz="4" w:space="0"/>
              <w:left w:val="nil"/>
              <w:bottom w:val="single" w:color="auto" w:sz="4" w:space="0"/>
              <w:right w:val="single" w:color="auto" w:sz="4" w:space="0"/>
            </w:tcBorders>
            <w:shd w:val="clear" w:color="auto" w:fill="auto"/>
            <w:noWrap w:val="0"/>
            <w:vAlign w:val="center"/>
          </w:tcPr>
          <w:p w14:paraId="4B3B7E3A">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w:t>
            </w:r>
          </w:p>
        </w:tc>
        <w:tc>
          <w:tcPr>
            <w:tcW w:w="1812" w:type="dxa"/>
            <w:tcBorders>
              <w:top w:val="single" w:color="auto" w:sz="4" w:space="0"/>
              <w:left w:val="nil"/>
              <w:bottom w:val="single" w:color="auto" w:sz="4" w:space="0"/>
              <w:right w:val="single" w:color="auto" w:sz="4" w:space="0"/>
            </w:tcBorders>
            <w:shd w:val="clear" w:color="auto" w:fill="auto"/>
            <w:noWrap w:val="0"/>
            <w:vAlign w:val="center"/>
          </w:tcPr>
          <w:p w14:paraId="666B293F">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w:t>
            </w:r>
          </w:p>
        </w:tc>
        <w:tc>
          <w:tcPr>
            <w:tcW w:w="1814" w:type="dxa"/>
            <w:tcBorders>
              <w:top w:val="single" w:color="auto" w:sz="4" w:space="0"/>
              <w:left w:val="nil"/>
              <w:bottom w:val="single" w:color="auto" w:sz="4" w:space="0"/>
              <w:right w:val="single" w:color="auto" w:sz="4" w:space="0"/>
            </w:tcBorders>
            <w:shd w:val="solid" w:color="A4A4A4" w:fill="auto"/>
            <w:noWrap w:val="0"/>
            <w:vAlign w:val="center"/>
          </w:tcPr>
          <w:p w14:paraId="5060E541">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简单分析a</w:t>
            </w:r>
          </w:p>
        </w:tc>
      </w:tr>
      <w:tr w14:paraId="2F94B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1" w:type="dxa"/>
            <w:gridSpan w:val="5"/>
            <w:tcBorders>
              <w:top w:val="single" w:color="auto" w:sz="4" w:space="0"/>
              <w:left w:val="single" w:color="auto" w:sz="4" w:space="0"/>
              <w:bottom w:val="single" w:color="auto" w:sz="4" w:space="0"/>
              <w:right w:val="single" w:color="auto" w:sz="4" w:space="0"/>
            </w:tcBorders>
            <w:noWrap w:val="0"/>
            <w:vAlign w:val="center"/>
          </w:tcPr>
          <w:p w14:paraId="68A2B071">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a是相对于详细评价工作内容而言，在描述危险物质、环境影响途径、环境危害后果、风险防范措施等方面给出定性的说明。见附录A.</w:t>
            </w:r>
          </w:p>
        </w:tc>
      </w:tr>
    </w:tbl>
    <w:p w14:paraId="2ADC8119">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hint="default" w:ascii="Times New Roman" w:hAnsi="Times New Roman" w:eastAsia="宋体" w:cs="Times New Roman"/>
          <w:b/>
          <w:color w:val="auto"/>
          <w:highlight w:val="none"/>
          <w:lang w:val="zh-CN" w:eastAsia="zh-CN"/>
        </w:rPr>
      </w:pPr>
      <w:bookmarkStart w:id="125" w:name="_Toc7127"/>
      <w:bookmarkStart w:id="126" w:name="_Toc152921980"/>
      <w:bookmarkStart w:id="127" w:name="_Toc152922574"/>
      <w:r>
        <w:rPr>
          <w:rFonts w:hint="default" w:ascii="Times New Roman" w:hAnsi="Times New Roman" w:eastAsia="宋体" w:cs="Times New Roman"/>
          <w:b/>
          <w:color w:val="auto"/>
          <w:highlight w:val="none"/>
          <w:lang w:val="en-US" w:eastAsia="zh-CN"/>
        </w:rPr>
        <w:t>2.</w:t>
      </w:r>
      <w:r>
        <w:rPr>
          <w:rFonts w:hint="eastAsia" w:ascii="Times New Roman" w:hAnsi="Times New Roman" w:eastAsia="宋体" w:cs="Times New Roman"/>
          <w:b/>
          <w:color w:val="auto"/>
          <w:highlight w:val="none"/>
          <w:lang w:val="en-US" w:eastAsia="zh-CN"/>
        </w:rPr>
        <w:t>4.2</w:t>
      </w:r>
      <w:r>
        <w:rPr>
          <w:rFonts w:hint="default" w:ascii="Times New Roman" w:hAnsi="Times New Roman" w:eastAsia="宋体" w:cs="Times New Roman"/>
          <w:b/>
          <w:color w:val="auto"/>
          <w:highlight w:val="none"/>
          <w:lang w:val="zh-CN" w:eastAsia="zh-CN"/>
        </w:rPr>
        <w:t>环境影响评价范围</w:t>
      </w:r>
      <w:bookmarkEnd w:id="125"/>
    </w:p>
    <w:p w14:paraId="2299AD81">
      <w:pPr>
        <w:pStyle w:val="558"/>
        <w:spacing w:line="360" w:lineRule="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依据环境影响评价技术导则中有关评价工作范围的规定，</w:t>
      </w:r>
      <w:r>
        <w:rPr>
          <w:rFonts w:hint="eastAsia" w:cs="Times New Roman"/>
          <w:color w:val="auto"/>
          <w:highlight w:val="none"/>
          <w:lang w:eastAsia="zh-CN"/>
        </w:rPr>
        <w:t>确定</w:t>
      </w:r>
      <w:r>
        <w:rPr>
          <w:rFonts w:hint="default" w:ascii="Times New Roman" w:hAnsi="Times New Roman" w:eastAsia="宋体" w:cs="Times New Roman"/>
          <w:color w:val="auto"/>
          <w:highlight w:val="none"/>
        </w:rPr>
        <w:t>本项目各环境要素的评价范围。</w:t>
      </w:r>
    </w:p>
    <w:p w14:paraId="0A4DDDB0">
      <w:pPr>
        <w:pStyle w:val="5"/>
        <w:keepNext/>
        <w:keepLines/>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highlight w:val="none"/>
          <w:lang w:val="zh-CN" w:eastAsia="zh-CN"/>
        </w:rPr>
      </w:pPr>
      <w:bookmarkStart w:id="128" w:name="_Toc11497"/>
      <w:bookmarkStart w:id="129" w:name="_Toc1989"/>
      <w:bookmarkStart w:id="130" w:name="_Toc14127"/>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w:t>
      </w:r>
      <w:r>
        <w:rPr>
          <w:rFonts w:hint="eastAsia" w:ascii="Times New Roman" w:hAnsi="Times New Roman" w:eastAsia="宋体" w:cs="Times New Roman"/>
          <w:b/>
          <w:bCs/>
          <w:color w:val="auto"/>
          <w:highlight w:val="none"/>
          <w:lang w:val="en-US" w:eastAsia="zh-CN"/>
        </w:rPr>
        <w:t>2.1</w:t>
      </w:r>
      <w:r>
        <w:rPr>
          <w:rFonts w:hint="default" w:ascii="Times New Roman" w:hAnsi="Times New Roman" w:eastAsia="宋体" w:cs="Times New Roman"/>
          <w:b/>
          <w:bCs/>
          <w:color w:val="auto"/>
          <w:highlight w:val="none"/>
          <w:lang w:val="zh-CN" w:eastAsia="zh-CN"/>
        </w:rPr>
        <w:t>大气环境评价范围</w:t>
      </w:r>
      <w:bookmarkEnd w:id="128"/>
      <w:bookmarkEnd w:id="129"/>
      <w:bookmarkEnd w:id="130"/>
    </w:p>
    <w:p w14:paraId="3B65F72D">
      <w:pPr>
        <w:keepNext w:val="0"/>
        <w:keepLines w:val="0"/>
        <w:pageBreakBefore w:val="0"/>
        <w:widowControl w:val="0"/>
        <w:kinsoku/>
        <w:wordWrap/>
        <w:overflowPunct/>
        <w:topLinePunct w:val="0"/>
        <w:autoSpaceDE/>
        <w:autoSpaceDN/>
        <w:bidi w:val="0"/>
        <w:adjustRightInd/>
        <w:snapToGrid/>
        <w:spacing w:line="360" w:lineRule="auto"/>
        <w:ind w:firstLine="470" w:firstLineChars="196"/>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根据《环境影响评价技术导则</w:t>
      </w:r>
      <w:r>
        <w:rPr>
          <w:rFonts w:hint="eastAsia"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大气环境》（HJ2.2-2018），大气环境评价范围</w:t>
      </w:r>
      <w:r>
        <w:rPr>
          <w:rFonts w:ascii="Times New Roman" w:hAnsi="Times New Roman" w:eastAsia="Times New Roman" w:cs="Times New Roman"/>
          <w:i w:val="0"/>
          <w:iCs w:val="0"/>
          <w:caps w:val="0"/>
          <w:color w:val="auto"/>
          <w:spacing w:val="0"/>
          <w:sz w:val="26"/>
          <w:szCs w:val="26"/>
          <w:highlight w:val="none"/>
          <w:shd w:val="clear" w:color="auto" w:fill="FFFFFF"/>
        </w:rPr>
        <w:t>以</w:t>
      </w:r>
      <w:r>
        <w:rPr>
          <w:rFonts w:hint="default" w:ascii="Times New Roman" w:hAnsi="Times New Roman" w:eastAsia="Times New Roman" w:cs="Times New Roman"/>
          <w:i w:val="0"/>
          <w:iCs w:val="0"/>
          <w:caps w:val="0"/>
          <w:color w:val="auto"/>
          <w:spacing w:val="0"/>
          <w:sz w:val="26"/>
          <w:szCs w:val="26"/>
          <w:highlight w:val="none"/>
          <w:shd w:val="clear" w:color="auto" w:fill="FFFFFF"/>
        </w:rPr>
        <w:t>项目厂址为中心区域</w:t>
      </w:r>
      <w:r>
        <w:rPr>
          <w:rFonts w:hint="eastAsia" w:ascii="Times New Roman" w:hAnsi="Times New Roman" w:eastAsia="宋体" w:cs="Times New Roman"/>
          <w:i w:val="0"/>
          <w:iCs w:val="0"/>
          <w:caps w:val="0"/>
          <w:color w:val="auto"/>
          <w:spacing w:val="0"/>
          <w:sz w:val="26"/>
          <w:szCs w:val="26"/>
          <w:highlight w:val="none"/>
          <w:shd w:val="clear" w:color="auto" w:fill="FFFFFF"/>
          <w:lang w:val="en-US" w:eastAsia="zh-CN"/>
        </w:rPr>
        <w:t>外延，评价范围</w:t>
      </w:r>
      <w:r>
        <w:rPr>
          <w:rFonts w:hint="default" w:ascii="Times New Roman" w:hAnsi="Times New Roman" w:eastAsia="宋体" w:cs="Times New Roman"/>
          <w:color w:val="auto"/>
          <w:sz w:val="24"/>
          <w:highlight w:val="none"/>
        </w:rPr>
        <w:t>边长取5km。</w:t>
      </w:r>
    </w:p>
    <w:p w14:paraId="6A4B03E3">
      <w:pPr>
        <w:pStyle w:val="5"/>
        <w:keepNext/>
        <w:keepLines/>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highlight w:val="none"/>
          <w:lang w:val="zh-CN" w:eastAsia="zh-CN"/>
        </w:rPr>
      </w:pPr>
      <w:bookmarkStart w:id="131" w:name="_Toc9935"/>
      <w:bookmarkStart w:id="132" w:name="_Toc28255"/>
      <w:bookmarkStart w:id="133" w:name="_Toc22402"/>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val="zh-CN" w:eastAsia="zh-CN"/>
        </w:rPr>
        <w:t>地表水环境评价范围</w:t>
      </w:r>
      <w:bookmarkEnd w:id="131"/>
      <w:bookmarkEnd w:id="132"/>
      <w:bookmarkEnd w:id="133"/>
    </w:p>
    <w:p w14:paraId="28D0E47D">
      <w:pPr>
        <w:autoSpaceDE w:val="0"/>
        <w:autoSpaceDN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bookmarkStart w:id="134" w:name="_Toc31563"/>
      <w:bookmarkStart w:id="135" w:name="_Toc25476"/>
      <w:r>
        <w:rPr>
          <w:rFonts w:hint="default" w:ascii="Times New Roman" w:hAnsi="Times New Roman" w:eastAsia="宋体" w:cs="Times New Roman"/>
          <w:color w:val="auto"/>
          <w:sz w:val="24"/>
          <w:szCs w:val="24"/>
          <w:highlight w:val="none"/>
          <w:lang w:eastAsia="zh-CN"/>
        </w:rPr>
        <w:t>项目</w:t>
      </w:r>
      <w:r>
        <w:rPr>
          <w:rFonts w:hint="default" w:ascii="Times New Roman" w:hAnsi="Times New Roman" w:eastAsia="宋体" w:cs="Times New Roman"/>
          <w:color w:val="auto"/>
          <w:sz w:val="24"/>
          <w:szCs w:val="24"/>
          <w:highlight w:val="none"/>
        </w:rPr>
        <w:t>生活污水</w:t>
      </w:r>
      <w:r>
        <w:rPr>
          <w:rFonts w:hint="eastAsia" w:ascii="Times New Roman" w:hAnsi="Times New Roman" w:eastAsia="宋体" w:cs="Times New Roman"/>
          <w:color w:val="auto"/>
          <w:sz w:val="24"/>
          <w:szCs w:val="24"/>
          <w:highlight w:val="none"/>
          <w:lang w:val="en-US" w:eastAsia="zh-CN"/>
        </w:rPr>
        <w:t>、保洁废水</w:t>
      </w:r>
      <w:r>
        <w:rPr>
          <w:rFonts w:hint="default" w:ascii="Times New Roman" w:hAnsi="Times New Roman" w:eastAsia="宋体" w:cs="Times New Roman"/>
          <w:color w:val="auto"/>
          <w:sz w:val="24"/>
          <w:szCs w:val="24"/>
          <w:highlight w:val="none"/>
        </w:rPr>
        <w:t>经化粪池预处理后</w:t>
      </w:r>
      <w:r>
        <w:rPr>
          <w:rFonts w:hint="default" w:ascii="Times New Roman" w:hAnsi="Times New Roman" w:eastAsia="宋体" w:cs="Times New Roman"/>
          <w:color w:val="auto"/>
          <w:sz w:val="24"/>
          <w:szCs w:val="24"/>
          <w:highlight w:val="none"/>
          <w:lang w:eastAsia="zh-CN"/>
        </w:rPr>
        <w:t>排</w:t>
      </w:r>
      <w:r>
        <w:rPr>
          <w:rFonts w:hint="default" w:ascii="Times New Roman" w:hAnsi="Times New Roman" w:eastAsia="宋体" w:cs="Times New Roman"/>
          <w:color w:val="auto"/>
          <w:sz w:val="24"/>
          <w:szCs w:val="24"/>
          <w:highlight w:val="none"/>
        </w:rPr>
        <w:t>入市政污水管网，</w:t>
      </w:r>
      <w:r>
        <w:rPr>
          <w:rFonts w:hint="eastAsia" w:ascii="Times New Roman" w:hAnsi="Times New Roman" w:eastAsia="宋体" w:cs="Times New Roman"/>
          <w:color w:val="auto"/>
          <w:sz w:val="24"/>
          <w:szCs w:val="24"/>
          <w:highlight w:val="none"/>
          <w:lang w:val="en-US" w:eastAsia="zh-CN"/>
        </w:rPr>
        <w:t>工艺废水接管市政污水管网，污水经市政污水管网</w:t>
      </w:r>
      <w:r>
        <w:rPr>
          <w:rFonts w:hint="eastAsia" w:cs="Times New Roman"/>
          <w:color w:val="auto"/>
          <w:sz w:val="24"/>
          <w:szCs w:val="24"/>
          <w:highlight w:val="none"/>
          <w:lang w:eastAsia="zh-CN"/>
        </w:rPr>
        <w:t>进入</w:t>
      </w:r>
      <w:r>
        <w:rPr>
          <w:rFonts w:hint="eastAsia" w:cs="Times New Roman"/>
          <w:color w:val="auto"/>
          <w:sz w:val="24"/>
          <w:szCs w:val="24"/>
          <w:highlight w:val="none"/>
          <w:lang w:val="en-US" w:eastAsia="zh-CN"/>
        </w:rPr>
        <w:t>田家庵经济开发区污水处理站</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zh-CN"/>
        </w:rPr>
        <w:t>为间接排放。本项目主要论证生活污水接管的可行性。</w:t>
      </w:r>
    </w:p>
    <w:p w14:paraId="1AC05EA9">
      <w:pPr>
        <w:pStyle w:val="5"/>
        <w:keepNext/>
        <w:keepLines/>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highlight w:val="none"/>
          <w:lang w:val="zh-CN" w:eastAsia="zh-CN"/>
        </w:rPr>
      </w:pPr>
      <w:bookmarkStart w:id="136" w:name="_Toc17298"/>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w:t>
      </w:r>
      <w:r>
        <w:rPr>
          <w:rFonts w:hint="eastAsia" w:ascii="Times New Roman" w:hAnsi="Times New Roman" w:eastAsia="宋体" w:cs="Times New Roman"/>
          <w:b/>
          <w:bCs/>
          <w:color w:val="auto"/>
          <w:highlight w:val="none"/>
          <w:lang w:val="en-US" w:eastAsia="zh-CN"/>
        </w:rPr>
        <w:t>2.3</w:t>
      </w:r>
      <w:r>
        <w:rPr>
          <w:rFonts w:hint="default" w:ascii="Times New Roman" w:hAnsi="Times New Roman" w:eastAsia="宋体" w:cs="Times New Roman"/>
          <w:b/>
          <w:bCs/>
          <w:color w:val="auto"/>
          <w:highlight w:val="none"/>
          <w:lang w:val="zh-CN" w:eastAsia="zh-CN"/>
        </w:rPr>
        <w:t>声环境评价范围</w:t>
      </w:r>
      <w:bookmarkEnd w:id="134"/>
      <w:bookmarkEnd w:id="135"/>
      <w:bookmarkEnd w:id="136"/>
    </w:p>
    <w:p w14:paraId="2ABB7575">
      <w:pPr>
        <w:autoSpaceDE w:val="0"/>
        <w:autoSpaceDN w:val="0"/>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根据《环境影响评价技术导则</w:t>
      </w:r>
      <w:r>
        <w:rPr>
          <w:rFonts w:hint="default" w:ascii="Times New Roman" w:hAnsi="Times New Roman" w:eastAsia="宋体" w:cs="Times New Roman"/>
          <w:color w:val="auto"/>
          <w:sz w:val="24"/>
          <w:highlight w:val="none"/>
        </w:rPr>
        <w:t xml:space="preserve"> </w:t>
      </w:r>
      <w:r>
        <w:rPr>
          <w:rFonts w:hint="default" w:ascii="Times New Roman" w:hAnsi="Times New Roman" w:eastAsia="宋体" w:cs="Times New Roman"/>
          <w:color w:val="auto"/>
          <w:sz w:val="24"/>
          <w:highlight w:val="none"/>
          <w:lang w:val="zh-CN"/>
        </w:rPr>
        <w:t>声环境》（HJ2.4-20</w:t>
      </w:r>
      <w:r>
        <w:rPr>
          <w:rFonts w:hint="eastAsia" w:cs="Times New Roman"/>
          <w:color w:val="auto"/>
          <w:sz w:val="24"/>
          <w:highlight w:val="none"/>
          <w:lang w:val="en-US" w:eastAsia="zh-CN"/>
        </w:rPr>
        <w:t>21</w:t>
      </w:r>
      <w:r>
        <w:rPr>
          <w:rFonts w:hint="default" w:ascii="Times New Roman" w:hAnsi="Times New Roman" w:eastAsia="宋体" w:cs="Times New Roman"/>
          <w:color w:val="auto"/>
          <w:sz w:val="24"/>
          <w:highlight w:val="none"/>
          <w:lang w:val="zh-CN"/>
        </w:rPr>
        <w:t>），声环境评价范围为厂界外200m区域内。</w:t>
      </w:r>
    </w:p>
    <w:p w14:paraId="3EBC5E7B">
      <w:pPr>
        <w:pStyle w:val="5"/>
        <w:keepNext/>
        <w:keepLines/>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highlight w:val="none"/>
          <w:lang w:val="zh-CN" w:eastAsia="zh-CN"/>
        </w:rPr>
      </w:pPr>
      <w:bookmarkStart w:id="137" w:name="_Toc20577"/>
      <w:bookmarkStart w:id="138" w:name="_Toc6656"/>
      <w:bookmarkStart w:id="139" w:name="_Toc31808"/>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4.2.</w:t>
      </w:r>
      <w:r>
        <w:rPr>
          <w:rFonts w:hint="default"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val="zh-CN" w:eastAsia="zh-CN"/>
        </w:rPr>
        <w:t>地下水环境评价范围</w:t>
      </w:r>
      <w:bookmarkEnd w:id="137"/>
      <w:bookmarkEnd w:id="138"/>
      <w:bookmarkEnd w:id="139"/>
    </w:p>
    <w:p w14:paraId="2C113C43">
      <w:pPr>
        <w:autoSpaceDE w:val="0"/>
        <w:autoSpaceDN w:val="0"/>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根据查表法，调查评价范围为项目所在地及周边面积6km²的区域。</w:t>
      </w:r>
    </w:p>
    <w:p w14:paraId="7D59F5EB">
      <w:pPr>
        <w:pStyle w:val="5"/>
        <w:keepNext/>
        <w:keepLines/>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highlight w:val="none"/>
          <w:lang w:val="zh-CN" w:eastAsia="zh-CN"/>
        </w:rPr>
      </w:pPr>
      <w:bookmarkStart w:id="140" w:name="_Toc20081"/>
      <w:bookmarkStart w:id="141" w:name="_Toc17076"/>
      <w:bookmarkStart w:id="142" w:name="_Toc28498"/>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4.2.</w:t>
      </w:r>
      <w:r>
        <w:rPr>
          <w:rFonts w:hint="default"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lang w:val="zh-CN" w:eastAsia="zh-CN"/>
        </w:rPr>
        <w:t>土壤环境评价范围</w:t>
      </w:r>
      <w:bookmarkEnd w:id="140"/>
      <w:bookmarkEnd w:id="141"/>
      <w:bookmarkEnd w:id="142"/>
    </w:p>
    <w:p w14:paraId="2B78E95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根据《环境影响评价技术导则 土壤环境（试行）》（HJ964</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zh-CN"/>
        </w:rPr>
        <w:t>2018），本项目调查评价范围为厂区范围及以厂址为中心周围</w:t>
      </w:r>
      <w:r>
        <w:rPr>
          <w:rFonts w:hint="eastAsia" w:cs="Times New Roman"/>
          <w:color w:val="auto"/>
          <w:sz w:val="24"/>
          <w:highlight w:val="none"/>
          <w:lang w:val="en-US" w:eastAsia="zh-CN"/>
        </w:rPr>
        <w:t>200</w:t>
      </w:r>
      <w:r>
        <w:rPr>
          <w:rFonts w:hint="default" w:ascii="Times New Roman" w:hAnsi="Times New Roman" w:eastAsia="宋体" w:cs="Times New Roman"/>
          <w:color w:val="auto"/>
          <w:sz w:val="24"/>
          <w:highlight w:val="none"/>
          <w:lang w:val="zh-CN"/>
        </w:rPr>
        <w:t>m的范围区域。</w:t>
      </w:r>
    </w:p>
    <w:p w14:paraId="11B42958">
      <w:pPr>
        <w:pStyle w:val="5"/>
        <w:keepNext/>
        <w:keepLines/>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color w:val="auto"/>
          <w:highlight w:val="none"/>
          <w:lang w:val="zh-CN" w:eastAsia="zh-CN"/>
        </w:rPr>
      </w:pPr>
      <w:bookmarkStart w:id="143" w:name="_Toc4372"/>
      <w:bookmarkStart w:id="144" w:name="_Toc8378"/>
      <w:bookmarkStart w:id="145" w:name="_Toc18876"/>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4.2</w:t>
      </w:r>
      <w:r>
        <w:rPr>
          <w:rFonts w:hint="default"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lang w:val="zh-CN" w:eastAsia="zh-CN"/>
        </w:rPr>
        <w:t>环境风险评价范围</w:t>
      </w:r>
      <w:bookmarkEnd w:id="143"/>
      <w:bookmarkEnd w:id="144"/>
      <w:bookmarkEnd w:id="145"/>
    </w:p>
    <w:p w14:paraId="4B9D2162">
      <w:pPr>
        <w:autoSpaceDE w:val="0"/>
        <w:autoSpaceDN w:val="0"/>
        <w:spacing w:line="360" w:lineRule="auto"/>
        <w:ind w:firstLine="480" w:firstLineChars="200"/>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根据《建设项目环境风险评价技术导则》（HJ169-2018），本项目大气环境风险进行简单分析，不划分评价范围。</w:t>
      </w:r>
    </w:p>
    <w:p w14:paraId="62AB90D0">
      <w:pPr>
        <w:pStyle w:val="218"/>
        <w:spacing w:before="62" w:after="156"/>
        <w:rPr>
          <w:color w:val="auto"/>
          <w:highlight w:val="none"/>
        </w:rPr>
      </w:pPr>
      <w:bookmarkStart w:id="146" w:name="_Toc9621"/>
      <w:r>
        <w:rPr>
          <w:color w:val="auto"/>
          <w:highlight w:val="none"/>
        </w:rPr>
        <w:t>2.5产业政策、规划及选址合理性分析</w:t>
      </w:r>
      <w:bookmarkEnd w:id="126"/>
      <w:bookmarkEnd w:id="127"/>
      <w:bookmarkEnd w:id="146"/>
    </w:p>
    <w:p w14:paraId="62FEF07D">
      <w:pPr>
        <w:pStyle w:val="4"/>
        <w:spacing w:after="156"/>
        <w:rPr>
          <w:color w:val="auto"/>
          <w:highlight w:val="none"/>
        </w:rPr>
      </w:pPr>
      <w:bookmarkStart w:id="147" w:name="_Toc117150184"/>
      <w:bookmarkStart w:id="148" w:name="_Toc152921981"/>
      <w:bookmarkStart w:id="149" w:name="_Toc152921616"/>
      <w:bookmarkStart w:id="150" w:name="_Toc152922575"/>
      <w:bookmarkStart w:id="151" w:name="_Toc152923256"/>
      <w:bookmarkStart w:id="152" w:name="_Toc117093069"/>
      <w:r>
        <w:rPr>
          <w:color w:val="auto"/>
          <w:highlight w:val="none"/>
        </w:rPr>
        <w:t>2.5.1产业政策相符性分析</w:t>
      </w:r>
      <w:bookmarkEnd w:id="147"/>
      <w:bookmarkEnd w:id="148"/>
      <w:bookmarkEnd w:id="149"/>
      <w:bookmarkEnd w:id="150"/>
      <w:bookmarkEnd w:id="151"/>
      <w:bookmarkEnd w:id="152"/>
    </w:p>
    <w:p w14:paraId="7FC45F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据</w:t>
      </w:r>
      <w:r>
        <w:rPr>
          <w:rFonts w:hint="eastAsia" w:cs="Times New Roman"/>
          <w:color w:val="auto"/>
          <w:sz w:val="24"/>
          <w:szCs w:val="24"/>
          <w:highlight w:val="none"/>
          <w:lang w:val="en-US" w:eastAsia="zh-CN"/>
        </w:rPr>
        <w:t>《产业结构调整指导目录（2024年本）》</w:t>
      </w:r>
      <w:r>
        <w:rPr>
          <w:rFonts w:hint="eastAsia" w:ascii="Times New Roman" w:hAnsi="Times New Roman" w:eastAsia="宋体" w:cs="Times New Roman"/>
          <w:color w:val="auto"/>
          <w:sz w:val="24"/>
          <w:szCs w:val="24"/>
          <w:highlight w:val="none"/>
          <w:lang w:val="en-US" w:eastAsia="zh-CN"/>
        </w:rPr>
        <w:t>中鼓励类</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五、新能源</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中</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4.氢能技术与应用：可再生能源制氢、运氢及高密度储氢技术开发应用及设备制造，加氢站及车用清洁替代燃料加注站，移动新能源技术开发及应用，新一代氢燃料电池技术研发与应用，可再生能源制氢，液态、固态和气态储氢，管道拖车运氢，管道输氢，加氢站，氢电耦合等氢能技术推广应用</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，本项目属于鼓励类项目。本项目已获得田家庵区发展和改革委员会备案，项目代码：2504-340403-04-01-932201。</w:t>
      </w:r>
    </w:p>
    <w:p w14:paraId="25D0CB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综上所述，本项目符合国家及地方的相关产业政策要求。</w:t>
      </w:r>
    </w:p>
    <w:p w14:paraId="06F21789">
      <w:pPr>
        <w:pStyle w:val="4"/>
        <w:spacing w:after="156"/>
        <w:rPr>
          <w:color w:val="auto"/>
          <w:highlight w:val="none"/>
        </w:rPr>
      </w:pPr>
      <w:r>
        <w:rPr>
          <w:color w:val="auto"/>
          <w:highlight w:val="none"/>
        </w:rPr>
        <w:t>2.5.</w:t>
      </w:r>
      <w:r>
        <w:rPr>
          <w:rFonts w:hint="eastAsia"/>
          <w:color w:val="auto"/>
          <w:highlight w:val="none"/>
          <w:lang w:val="en-US" w:eastAsia="zh-CN"/>
        </w:rPr>
        <w:t>2选址合理性</w:t>
      </w:r>
      <w:r>
        <w:rPr>
          <w:color w:val="auto"/>
          <w:highlight w:val="none"/>
        </w:rPr>
        <w:t>分析</w:t>
      </w:r>
    </w:p>
    <w:p w14:paraId="2595EEA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（1）用地符合性分析</w:t>
      </w:r>
    </w:p>
    <w:p w14:paraId="51DEF53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本项目位于</w:t>
      </w:r>
      <w:r>
        <w:rPr>
          <w:rFonts w:hint="eastAsia" w:ascii="Times New Roman" w:hAnsi="Times New Roman" w:eastAsia="宋体" w:cs="Times New Roman"/>
          <w:color w:val="auto"/>
          <w:sz w:val="24"/>
          <w:szCs w:val="24"/>
          <w:highlight w:val="none"/>
          <w:lang w:val="en-US" w:eastAsia="zh-CN"/>
        </w:rPr>
        <w:t>淮南市田家庵区经济开发区</w:t>
      </w:r>
      <w:r>
        <w:rPr>
          <w:rFonts w:hint="default"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东临</w:t>
      </w:r>
      <w:r>
        <w:rPr>
          <w:rFonts w:hint="eastAsia" w:ascii="Times New Roman" w:hAnsi="Times New Roman" w:eastAsia="宋体" w:cs="Times New Roman"/>
          <w:color w:val="auto"/>
          <w:sz w:val="24"/>
          <w:szCs w:val="24"/>
          <w:highlight w:val="none"/>
          <w:lang w:val="en-US" w:eastAsia="zh-CN"/>
        </w:rPr>
        <w:t>蚌合高速，西侧为烟汕线，北侧为智通驾校，南侧为园区厂房。项目用地性质为工业用地，项目评价范围内没有自然保护区、风景名胜区及饮用水源保护区等需要特殊保护区域。</w:t>
      </w:r>
    </w:p>
    <w:p w14:paraId="31C1F26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（2）与《淮南市曹庵镇总体规划（2016-2030年）》相符性</w:t>
      </w:r>
    </w:p>
    <w:p w14:paraId="4BA0F6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根据《淮南市曹庵镇总体规划（2016-2030年）》可知，曹庵镇分为已建区、适建区、限建区、禁建区。本项目位于适建区，符合《淮南市曹庵镇总体规划（2016-2030年）》。</w:t>
      </w:r>
    </w:p>
    <w:p w14:paraId="08440B90">
      <w:pPr>
        <w:pStyle w:val="549"/>
        <w:bidi w:val="0"/>
        <w:rPr>
          <w:rFonts w:hint="eastAsia"/>
          <w:color w:val="auto"/>
          <w:sz w:val="24"/>
          <w:szCs w:val="24"/>
          <w:highlight w:val="none"/>
          <w:lang w:val="en-US" w:eastAsia="zh-CN"/>
        </w:rPr>
      </w:pPr>
      <w:r>
        <w:rPr>
          <w:color w:val="auto"/>
          <w:highlight w:val="none"/>
        </w:rPr>
        <w:drawing>
          <wp:inline distT="0" distB="0" distL="114300" distR="114300">
            <wp:extent cx="5269230" cy="7459980"/>
            <wp:effectExtent l="0" t="0" r="7620" b="7620"/>
            <wp:docPr id="535"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310"/>
                    <pic:cNvPicPr>
                      <a:picLocks noChangeAspect="1"/>
                    </pic:cNvPicPr>
                  </pic:nvPicPr>
                  <pic:blipFill>
                    <a:blip r:embed="rId11"/>
                    <a:stretch>
                      <a:fillRect/>
                    </a:stretch>
                  </pic:blipFill>
                  <pic:spPr>
                    <a:xfrm>
                      <a:off x="0" y="0"/>
                      <a:ext cx="5269230" cy="7459980"/>
                    </a:xfrm>
                    <a:prstGeom prst="rect">
                      <a:avLst/>
                    </a:prstGeom>
                    <a:noFill/>
                    <a:ln>
                      <a:noFill/>
                    </a:ln>
                  </pic:spPr>
                </pic:pic>
              </a:graphicData>
            </a:graphic>
          </wp:inline>
        </w:drawing>
      </w:r>
      <w:r>
        <w:rPr>
          <w:color w:val="auto"/>
          <w:sz w:val="21"/>
          <w:highlight w:val="none"/>
        </w:rPr>
        <mc:AlternateContent>
          <mc:Choice Requires="wps">
            <w:drawing>
              <wp:anchor distT="0" distB="0" distL="114300" distR="114300" simplePos="0" relativeHeight="251745280" behindDoc="0" locked="0" layoutInCell="1" allowOverlap="1">
                <wp:simplePos x="0" y="0"/>
                <wp:positionH relativeFrom="column">
                  <wp:posOffset>1223010</wp:posOffset>
                </wp:positionH>
                <wp:positionV relativeFrom="paragraph">
                  <wp:posOffset>1973580</wp:posOffset>
                </wp:positionV>
                <wp:extent cx="974090" cy="181610"/>
                <wp:effectExtent l="4445" t="5080" r="12065" b="213360"/>
                <wp:wrapNone/>
                <wp:docPr id="349" name="自选图形 860"/>
                <wp:cNvGraphicFramePr/>
                <a:graphic xmlns:a="http://schemas.openxmlformats.org/drawingml/2006/main">
                  <a:graphicData uri="http://schemas.microsoft.com/office/word/2010/wordprocessingShape">
                    <wps:wsp>
                      <wps:cNvSpPr/>
                      <wps:spPr>
                        <a:xfrm>
                          <a:off x="0" y="0"/>
                          <a:ext cx="974090" cy="181610"/>
                        </a:xfrm>
                        <a:prstGeom prst="wedgeRectCallout">
                          <a:avLst>
                            <a:gd name="adj1" fmla="val -45694"/>
                            <a:gd name="adj2" fmla="val 158042"/>
                          </a:avLst>
                        </a:prstGeom>
                        <a:solidFill>
                          <a:srgbClr val="FFFFFF"/>
                        </a:solidFill>
                        <a:ln w="9525" cap="flat" cmpd="sng">
                          <a:solidFill>
                            <a:srgbClr val="000000"/>
                          </a:solidFill>
                          <a:prstDash val="solid"/>
                          <a:miter/>
                          <a:headEnd type="none" w="med" len="med"/>
                          <a:tailEnd type="none" w="med" len="med"/>
                        </a:ln>
                      </wps:spPr>
                      <wps:txbx>
                        <w:txbxContent>
                          <w:p w14:paraId="2D03C63D">
                            <w:pPr>
                              <w:rPr>
                                <w:rFonts w:hint="default" w:eastAsia="宋体"/>
                                <w:lang w:val="en-US" w:eastAsia="zh-CN"/>
                              </w:rPr>
                            </w:pPr>
                            <w:r>
                              <w:rPr>
                                <w:rFonts w:hint="eastAsia"/>
                                <w:lang w:val="en-US" w:eastAsia="zh-CN"/>
                              </w:rPr>
                              <w:t>本项目所在位置</w:t>
                            </w:r>
                          </w:p>
                        </w:txbxContent>
                      </wps:txbx>
                      <wps:bodyPr vert="horz" wrap="square" lIns="0" tIns="0" rIns="0" bIns="0" anchor="t" anchorCtr="0" upright="1"/>
                    </wps:wsp>
                  </a:graphicData>
                </a:graphic>
              </wp:anchor>
            </w:drawing>
          </mc:Choice>
          <mc:Fallback>
            <w:pict>
              <v:shape id="自选图形 860" o:spid="_x0000_s1026" o:spt="61" type="#_x0000_t61" style="position:absolute;left:0pt;margin-left:96.3pt;margin-top:155.4pt;height:14.3pt;width:76.7pt;z-index:251745280;mso-width-relative:page;mso-height-relative:page;" fillcolor="#FFFFFF" filled="t" stroked="t" coordsize="21600,21600" o:gfxdata="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DJQnZ2QAAAAsBAAAPAAAAAAAAAAEAIAAAACIAAABkcnMvZG93bnJldi54bWxQ&#10;SwECFAAUAAAACACHTuJARK1VFmgCAADoBAAADgAAAAAAAAABACAAAAAoAQAAZHJzL2Uyb0RvYy54&#10;bWxQSwUGAAAAAAYABgBZAQAAAgYAAAAA&#10;" adj="930,44937">
                <v:fill on="t" focussize="0,0"/>
                <v:stroke color="#000000" joinstyle="miter"/>
                <v:imagedata o:title=""/>
                <o:lock v:ext="edit" aspectratio="f"/>
                <v:textbox inset="0mm,0mm,0mm,0mm">
                  <w:txbxContent>
                    <w:p w14:paraId="2D03C63D">
                      <w:pPr>
                        <w:rPr>
                          <w:rFonts w:hint="default" w:eastAsia="宋体"/>
                          <w:lang w:val="en-US" w:eastAsia="zh-CN"/>
                        </w:rPr>
                      </w:pPr>
                      <w:r>
                        <w:rPr>
                          <w:rFonts w:hint="eastAsia"/>
                          <w:lang w:val="en-US" w:eastAsia="zh-CN"/>
                        </w:rPr>
                        <w:t>本项目所在位置</w:t>
                      </w:r>
                    </w:p>
                  </w:txbxContent>
                </v:textbox>
              </v:shape>
            </w:pict>
          </mc:Fallback>
        </mc:AlternateContent>
      </w:r>
      <w:r>
        <w:rPr>
          <w:color w:val="auto"/>
          <w:sz w:val="21"/>
          <w:highlight w:val="none"/>
        </w:rPr>
        <mc:AlternateContent>
          <mc:Choice Requires="wps">
            <w:drawing>
              <wp:anchor distT="0" distB="0" distL="114300" distR="114300" simplePos="0" relativeHeight="251746304" behindDoc="0" locked="0" layoutInCell="1" allowOverlap="1">
                <wp:simplePos x="0" y="0"/>
                <wp:positionH relativeFrom="column">
                  <wp:posOffset>1240155</wp:posOffset>
                </wp:positionH>
                <wp:positionV relativeFrom="paragraph">
                  <wp:posOffset>2336165</wp:posOffset>
                </wp:positionV>
                <wp:extent cx="72390" cy="43180"/>
                <wp:effectExtent l="6985" t="5080" r="15875" b="8890"/>
                <wp:wrapNone/>
                <wp:docPr id="350" name="任意多边形 861"/>
                <wp:cNvGraphicFramePr/>
                <a:graphic xmlns:a="http://schemas.openxmlformats.org/drawingml/2006/main">
                  <a:graphicData uri="http://schemas.microsoft.com/office/word/2010/wordprocessingShape">
                    <wps:wsp>
                      <wps:cNvSpPr/>
                      <wps:spPr>
                        <a:xfrm>
                          <a:off x="0" y="0"/>
                          <a:ext cx="72390" cy="43180"/>
                        </a:xfrm>
                        <a:custGeom>
                          <a:avLst/>
                          <a:gdLst/>
                          <a:ahLst/>
                          <a:cxnLst/>
                          <a:pathLst>
                            <a:path w="114" h="68">
                              <a:moveTo>
                                <a:pt x="0" y="18"/>
                              </a:moveTo>
                              <a:lnTo>
                                <a:pt x="50" y="0"/>
                              </a:lnTo>
                              <a:lnTo>
                                <a:pt x="114" y="45"/>
                              </a:lnTo>
                              <a:lnTo>
                                <a:pt x="27" y="68"/>
                              </a:lnTo>
                              <a:lnTo>
                                <a:pt x="0" y="18"/>
                              </a:lnTo>
                              <a:close/>
                            </a:path>
                          </a:pathLst>
                        </a:custGeom>
                        <a:noFill/>
                        <a:ln w="9525" cap="flat" cmpd="sng">
                          <a:solidFill>
                            <a:srgbClr val="0000FF"/>
                          </a:solidFill>
                          <a:prstDash val="solid"/>
                          <a:miter/>
                          <a:headEnd type="none" w="med" len="med"/>
                          <a:tailEnd type="none" w="med" len="med"/>
                        </a:ln>
                      </wps:spPr>
                      <wps:bodyPr vert="horz" wrap="square" anchor="t" anchorCtr="0" upright="1"/>
                    </wps:wsp>
                  </a:graphicData>
                </a:graphic>
              </wp:anchor>
            </w:drawing>
          </mc:Choice>
          <mc:Fallback>
            <w:pict>
              <v:shape id="任意多边形 861" o:spid="_x0000_s1026" o:spt="100" style="position:absolute;left:0pt;margin-left:97.65pt;margin-top:183.95pt;height:3.4pt;width:5.7pt;z-index:251746304;mso-width-relative:page;mso-height-relative:page;" filled="f" stroked="t" coordsize="114,68" o:gfxdata="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dVqBrtsAAAALAQAADwAAAAAA&#10;AAABACAAAAAiAAAAZHJzL2Rvd25yZXYueG1sUEsBAhQAFAAAAAgAh07iQOrTauiCAgAARgUAAA4A&#10;AAAAAAAAAQAgAAAAKgEAAGRycy9lMm9Eb2MueG1sUEsFBgAAAAAGAAYAWQEAAB4GAAAAAA==&#10;" path="m0,18l50,0,114,45,27,68,0,18xe">
                <v:fill on="f" focussize="0,0"/>
                <v:stroke color="#0000FF" joinstyle="miter"/>
                <v:imagedata o:title=""/>
                <o:lock v:ext="edit" aspectratio="f"/>
              </v:shape>
            </w:pict>
          </mc:Fallback>
        </mc:AlternateContent>
      </w:r>
      <w:r>
        <w:rPr>
          <w:color w:val="auto"/>
          <w:sz w:val="24"/>
          <w:szCs w:val="24"/>
          <w:highlight w:val="none"/>
        </w:rPr>
        <w:t>图2.5-</w:t>
      </w:r>
      <w:r>
        <w:rPr>
          <w:rFonts w:hint="eastAsia"/>
          <w:color w:val="auto"/>
          <w:sz w:val="24"/>
          <w:szCs w:val="24"/>
          <w:highlight w:val="none"/>
          <w:lang w:val="en-US" w:eastAsia="zh-CN"/>
        </w:rPr>
        <w:t>1  本项目与</w:t>
      </w:r>
      <w:r>
        <w:rPr>
          <w:color w:val="auto"/>
          <w:sz w:val="24"/>
          <w:szCs w:val="24"/>
          <w:highlight w:val="none"/>
        </w:rPr>
        <w:t>《</w:t>
      </w:r>
      <w:r>
        <w:rPr>
          <w:rFonts w:hint="eastAsia"/>
          <w:color w:val="auto"/>
          <w:sz w:val="24"/>
          <w:szCs w:val="24"/>
          <w:highlight w:val="none"/>
          <w:lang w:eastAsia="zh-CN"/>
        </w:rPr>
        <w:t>淮南市</w:t>
      </w:r>
      <w:r>
        <w:rPr>
          <w:rFonts w:hint="eastAsia"/>
          <w:color w:val="auto"/>
          <w:sz w:val="24"/>
          <w:szCs w:val="24"/>
          <w:highlight w:val="none"/>
          <w:lang w:val="en-US" w:eastAsia="zh-CN"/>
        </w:rPr>
        <w:t>曹庵镇总体规划</w:t>
      </w:r>
      <w:r>
        <w:rPr>
          <w:rFonts w:hint="eastAsia"/>
          <w:color w:val="auto"/>
          <w:sz w:val="24"/>
          <w:szCs w:val="24"/>
          <w:highlight w:val="none"/>
          <w:lang w:eastAsia="zh-CN"/>
        </w:rPr>
        <w:t>（20</w:t>
      </w:r>
      <w:r>
        <w:rPr>
          <w:rFonts w:hint="eastAsia"/>
          <w:color w:val="auto"/>
          <w:sz w:val="24"/>
          <w:szCs w:val="24"/>
          <w:highlight w:val="none"/>
          <w:lang w:val="en-US" w:eastAsia="zh-CN"/>
        </w:rPr>
        <w:t>16</w:t>
      </w:r>
      <w:r>
        <w:rPr>
          <w:rFonts w:hint="eastAsia"/>
          <w:color w:val="auto"/>
          <w:sz w:val="24"/>
          <w:szCs w:val="24"/>
          <w:highlight w:val="none"/>
          <w:lang w:eastAsia="zh-CN"/>
        </w:rPr>
        <w:t>-203</w:t>
      </w:r>
      <w:r>
        <w:rPr>
          <w:rFonts w:hint="eastAsia"/>
          <w:color w:val="auto"/>
          <w:sz w:val="24"/>
          <w:szCs w:val="24"/>
          <w:highlight w:val="none"/>
          <w:lang w:val="en-US" w:eastAsia="zh-CN"/>
        </w:rPr>
        <w:t>0</w:t>
      </w:r>
      <w:r>
        <w:rPr>
          <w:rFonts w:hint="eastAsia"/>
          <w:color w:val="auto"/>
          <w:sz w:val="24"/>
          <w:szCs w:val="24"/>
          <w:highlight w:val="none"/>
          <w:lang w:eastAsia="zh-CN"/>
        </w:rPr>
        <w:t>年）</w:t>
      </w:r>
      <w:r>
        <w:rPr>
          <w:color w:val="auto"/>
          <w:sz w:val="24"/>
          <w:szCs w:val="24"/>
          <w:highlight w:val="none"/>
        </w:rPr>
        <w:t>》</w:t>
      </w:r>
      <w:r>
        <w:rPr>
          <w:rFonts w:hint="eastAsia"/>
          <w:color w:val="auto"/>
          <w:sz w:val="24"/>
          <w:szCs w:val="24"/>
          <w:highlight w:val="none"/>
          <w:lang w:val="en-US" w:eastAsia="zh-CN"/>
        </w:rPr>
        <w:t>分布图位置关系</w:t>
      </w:r>
    </w:p>
    <w:p w14:paraId="1B1148F6">
      <w:pPr>
        <w:pStyle w:val="4"/>
        <w:spacing w:after="156"/>
        <w:rPr>
          <w:rFonts w:hint="eastAsia" w:ascii="Times New Roman" w:hAnsi="Times New Roman" w:eastAsia="宋体" w:cs="Times New Roman"/>
          <w:color w:val="auto"/>
          <w:sz w:val="24"/>
          <w:szCs w:val="24"/>
          <w:highlight w:val="none"/>
          <w:lang w:val="en-US" w:eastAsia="zh-CN"/>
        </w:rPr>
      </w:pPr>
      <w:bookmarkStart w:id="153" w:name="_Toc117093070"/>
      <w:bookmarkStart w:id="154" w:name="_Toc152921982"/>
      <w:bookmarkStart w:id="155" w:name="_Toc152922576"/>
      <w:bookmarkStart w:id="156" w:name="_Toc152921617"/>
      <w:bookmarkStart w:id="157" w:name="_Toc117150185"/>
      <w:bookmarkStart w:id="158" w:name="_Toc152923257"/>
      <w:r>
        <w:rPr>
          <w:color w:val="auto"/>
          <w:highlight w:val="none"/>
        </w:rPr>
        <w:t>2.5.</w:t>
      </w:r>
      <w:r>
        <w:rPr>
          <w:rFonts w:hint="eastAsia"/>
          <w:color w:val="auto"/>
          <w:highlight w:val="none"/>
          <w:lang w:val="en-US" w:eastAsia="zh-CN"/>
        </w:rPr>
        <w:t>3</w:t>
      </w:r>
      <w:r>
        <w:rPr>
          <w:color w:val="auto"/>
          <w:highlight w:val="none"/>
        </w:rPr>
        <w:t>选址规划相符性分析</w:t>
      </w:r>
      <w:bookmarkEnd w:id="153"/>
      <w:bookmarkEnd w:id="154"/>
      <w:bookmarkEnd w:id="155"/>
      <w:bookmarkEnd w:id="156"/>
      <w:bookmarkEnd w:id="157"/>
      <w:bookmarkEnd w:id="158"/>
      <w:r>
        <w:rPr>
          <w:rFonts w:hint="eastAsia" w:ascii="Times New Roman" w:hAnsi="Times New Roman" w:eastAsia="宋体" w:cs="Times New Roman"/>
          <w:color w:val="auto"/>
          <w:sz w:val="24"/>
          <w:szCs w:val="24"/>
          <w:highlight w:val="none"/>
          <w:lang w:val="en-US" w:eastAsia="zh-CN"/>
        </w:rPr>
        <w:t>。</w:t>
      </w:r>
    </w:p>
    <w:p w14:paraId="62ADB13F">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color w:val="auto"/>
          <w:sz w:val="24"/>
          <w:szCs w:val="24"/>
          <w:highlight w:val="none"/>
          <w:lang w:val="en-US" w:eastAsia="zh-CN"/>
        </w:rPr>
      </w:pPr>
      <w:r>
        <w:rPr>
          <w:rFonts w:hint="eastAsia"/>
          <w:b/>
          <w:bCs/>
          <w:color w:val="auto"/>
          <w:sz w:val="24"/>
          <w:szCs w:val="24"/>
          <w:highlight w:val="none"/>
          <w:lang w:val="en-US" w:eastAsia="zh-CN"/>
        </w:rPr>
        <w:t>（1）与《淮南市国土空间规划（2021-2035年）》相符性</w:t>
      </w:r>
    </w:p>
    <w:p w14:paraId="1CAA144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highlight w:val="none"/>
        </w:rPr>
      </w:pPr>
      <w:r>
        <w:rPr>
          <w:color w:val="auto"/>
          <w:sz w:val="24"/>
          <w:szCs w:val="24"/>
          <w:highlight w:val="none"/>
        </w:rPr>
        <w:t>《</w:t>
      </w:r>
      <w:r>
        <w:rPr>
          <w:rFonts w:hint="eastAsia"/>
          <w:color w:val="auto"/>
          <w:sz w:val="24"/>
          <w:szCs w:val="24"/>
          <w:highlight w:val="none"/>
        </w:rPr>
        <w:t>淮南市国土空间规划</w:t>
      </w:r>
      <w:r>
        <w:rPr>
          <w:color w:val="auto"/>
          <w:sz w:val="24"/>
          <w:szCs w:val="24"/>
          <w:highlight w:val="none"/>
        </w:rPr>
        <w:t>（20</w:t>
      </w:r>
      <w:r>
        <w:rPr>
          <w:rFonts w:hint="eastAsia"/>
          <w:color w:val="auto"/>
          <w:sz w:val="24"/>
          <w:szCs w:val="24"/>
          <w:highlight w:val="none"/>
        </w:rPr>
        <w:t>21</w:t>
      </w:r>
      <w:r>
        <w:rPr>
          <w:color w:val="auto"/>
          <w:sz w:val="24"/>
          <w:szCs w:val="24"/>
          <w:highlight w:val="none"/>
        </w:rPr>
        <w:t>-203</w:t>
      </w:r>
      <w:r>
        <w:rPr>
          <w:rFonts w:hint="eastAsia"/>
          <w:color w:val="auto"/>
          <w:sz w:val="24"/>
          <w:szCs w:val="24"/>
          <w:highlight w:val="none"/>
        </w:rPr>
        <w:t>5</w:t>
      </w:r>
      <w:r>
        <w:rPr>
          <w:color w:val="auto"/>
          <w:sz w:val="24"/>
          <w:szCs w:val="24"/>
          <w:highlight w:val="none"/>
        </w:rPr>
        <w:t>年）》</w:t>
      </w:r>
      <w:r>
        <w:rPr>
          <w:rFonts w:hint="eastAsia"/>
          <w:color w:val="auto"/>
          <w:sz w:val="24"/>
          <w:szCs w:val="24"/>
          <w:highlight w:val="none"/>
        </w:rPr>
        <w:t>规划范围：淮南市行政辖区范围，包括五区两县。即田家庵区、大通区、谢家集区、八公山区、潘集区、寿县、凤台县（含毛集实验区）。市域开发保护总体格局一轴、两带、四板块。</w:t>
      </w:r>
    </w:p>
    <w:p w14:paraId="79593E4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highlight w:val="none"/>
        </w:rPr>
      </w:pPr>
      <w:r>
        <w:rPr>
          <w:rFonts w:hint="eastAsia"/>
          <w:color w:val="auto"/>
          <w:sz w:val="24"/>
          <w:szCs w:val="24"/>
          <w:highlight w:val="none"/>
        </w:rPr>
        <w:t>一轴：合淮蚌发展轴；两带：沿淮绿色发展带、江淮运河生态复合廊带；四板块：北部粮煤复合功能板块、中部城镇集中建设板块、南部现代农业与特色旅游功能板块、新桥临空板块。</w:t>
      </w:r>
    </w:p>
    <w:p w14:paraId="460A659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highlight w:val="none"/>
        </w:rPr>
      </w:pPr>
      <w:r>
        <w:rPr>
          <w:rFonts w:hint="eastAsia"/>
          <w:color w:val="auto"/>
          <w:sz w:val="24"/>
          <w:szCs w:val="24"/>
          <w:highlight w:val="none"/>
        </w:rPr>
        <w:t>本项目属于工业项目，位于中部城镇集中建设板块</w:t>
      </w:r>
      <w:r>
        <w:rPr>
          <w:rFonts w:hint="eastAsia"/>
          <w:color w:val="auto"/>
          <w:sz w:val="24"/>
          <w:szCs w:val="24"/>
          <w:highlight w:val="none"/>
          <w:lang w:eastAsia="zh-CN"/>
        </w:rPr>
        <w:t>，</w:t>
      </w:r>
      <w:r>
        <w:rPr>
          <w:rFonts w:hint="eastAsia"/>
          <w:color w:val="auto"/>
          <w:sz w:val="24"/>
          <w:szCs w:val="24"/>
          <w:highlight w:val="none"/>
          <w:lang w:val="en-US" w:eastAsia="zh-CN"/>
        </w:rPr>
        <w:t>属于城镇开发边界</w:t>
      </w:r>
      <w:r>
        <w:rPr>
          <w:rFonts w:hint="eastAsia"/>
          <w:color w:val="auto"/>
          <w:sz w:val="24"/>
          <w:szCs w:val="24"/>
          <w:highlight w:val="none"/>
        </w:rPr>
        <w:t>（详见图</w:t>
      </w:r>
      <w:r>
        <w:rPr>
          <w:rFonts w:hint="eastAsia"/>
          <w:color w:val="auto"/>
          <w:sz w:val="24"/>
          <w:szCs w:val="24"/>
          <w:highlight w:val="none"/>
          <w:lang w:val="en-US" w:eastAsia="zh-CN"/>
        </w:rPr>
        <w:t>2.5</w:t>
      </w:r>
      <w:r>
        <w:rPr>
          <w:rFonts w:hint="eastAsia"/>
          <w:color w:val="auto"/>
          <w:sz w:val="24"/>
          <w:szCs w:val="24"/>
          <w:highlight w:val="none"/>
        </w:rPr>
        <w:t>-</w:t>
      </w:r>
      <w:r>
        <w:rPr>
          <w:rFonts w:hint="eastAsia"/>
          <w:color w:val="auto"/>
          <w:sz w:val="24"/>
          <w:szCs w:val="24"/>
          <w:highlight w:val="none"/>
          <w:lang w:val="en-US" w:eastAsia="zh-CN"/>
        </w:rPr>
        <w:t>2</w:t>
      </w:r>
      <w:r>
        <w:rPr>
          <w:rFonts w:hint="eastAsia"/>
          <w:color w:val="auto"/>
          <w:sz w:val="24"/>
          <w:szCs w:val="24"/>
          <w:highlight w:val="none"/>
        </w:rPr>
        <w:t>），占地类型为工业用地，不占用耕地，符合</w:t>
      </w:r>
      <w:r>
        <w:rPr>
          <w:color w:val="auto"/>
          <w:sz w:val="24"/>
          <w:szCs w:val="24"/>
          <w:highlight w:val="none"/>
        </w:rPr>
        <w:t>《</w:t>
      </w:r>
      <w:r>
        <w:rPr>
          <w:rFonts w:hint="eastAsia"/>
          <w:color w:val="auto"/>
          <w:sz w:val="24"/>
          <w:szCs w:val="24"/>
          <w:highlight w:val="none"/>
        </w:rPr>
        <w:t>淮南市国土空间规划</w:t>
      </w:r>
      <w:r>
        <w:rPr>
          <w:color w:val="auto"/>
          <w:sz w:val="24"/>
          <w:szCs w:val="24"/>
          <w:highlight w:val="none"/>
        </w:rPr>
        <w:t>（20</w:t>
      </w:r>
      <w:r>
        <w:rPr>
          <w:rFonts w:hint="eastAsia"/>
          <w:color w:val="auto"/>
          <w:sz w:val="24"/>
          <w:szCs w:val="24"/>
          <w:highlight w:val="none"/>
        </w:rPr>
        <w:t>21</w:t>
      </w:r>
      <w:r>
        <w:rPr>
          <w:color w:val="auto"/>
          <w:sz w:val="24"/>
          <w:szCs w:val="24"/>
          <w:highlight w:val="none"/>
        </w:rPr>
        <w:t>-203</w:t>
      </w:r>
      <w:r>
        <w:rPr>
          <w:rFonts w:hint="eastAsia"/>
          <w:color w:val="auto"/>
          <w:sz w:val="24"/>
          <w:szCs w:val="24"/>
          <w:highlight w:val="none"/>
        </w:rPr>
        <w:t>5</w:t>
      </w:r>
      <w:r>
        <w:rPr>
          <w:color w:val="auto"/>
          <w:sz w:val="24"/>
          <w:szCs w:val="24"/>
          <w:highlight w:val="none"/>
        </w:rPr>
        <w:t>年）》</w:t>
      </w:r>
      <w:r>
        <w:rPr>
          <w:rFonts w:hint="eastAsia"/>
          <w:color w:val="auto"/>
          <w:sz w:val="24"/>
          <w:szCs w:val="24"/>
          <w:highlight w:val="none"/>
        </w:rPr>
        <w:t>。</w:t>
      </w:r>
    </w:p>
    <w:p w14:paraId="7C0538B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rFonts w:ascii="Times New Roman" w:hAnsi="Times New Roman" w:eastAsia="宋体"/>
          <w:color w:val="auto"/>
          <w:sz w:val="24"/>
          <w:highlight w:val="none"/>
        </w:rPr>
      </w:pPr>
      <w:r>
        <w:rPr>
          <w:color w:val="auto"/>
          <w:sz w:val="21"/>
          <w:highlight w:val="none"/>
        </w:rPr>
        <mc:AlternateContent>
          <mc:Choice Requires="wps">
            <w:drawing>
              <wp:anchor distT="0" distB="0" distL="114300" distR="114300" simplePos="0" relativeHeight="251772928" behindDoc="0" locked="0" layoutInCell="1" allowOverlap="1">
                <wp:simplePos x="0" y="0"/>
                <wp:positionH relativeFrom="column">
                  <wp:posOffset>877570</wp:posOffset>
                </wp:positionH>
                <wp:positionV relativeFrom="paragraph">
                  <wp:posOffset>2515235</wp:posOffset>
                </wp:positionV>
                <wp:extent cx="1000125" cy="227965"/>
                <wp:effectExtent l="5080" t="5080" r="4445" b="471805"/>
                <wp:wrapNone/>
                <wp:docPr id="258" name="自选图形 684"/>
                <wp:cNvGraphicFramePr/>
                <a:graphic xmlns:a="http://schemas.openxmlformats.org/drawingml/2006/main">
                  <a:graphicData uri="http://schemas.microsoft.com/office/word/2010/wordprocessingShape">
                    <wps:wsp>
                      <wps:cNvSpPr/>
                      <wps:spPr>
                        <a:xfrm>
                          <a:off x="0" y="0"/>
                          <a:ext cx="1000125" cy="227965"/>
                        </a:xfrm>
                        <a:prstGeom prst="wedgeRectCallout">
                          <a:avLst>
                            <a:gd name="adj1" fmla="val -28241"/>
                            <a:gd name="adj2" fmla="val 244986"/>
                          </a:avLst>
                        </a:prstGeom>
                        <a:solidFill>
                          <a:srgbClr val="FFFFFF"/>
                        </a:solidFill>
                        <a:ln w="9525" cap="flat" cmpd="sng">
                          <a:solidFill>
                            <a:srgbClr val="000000"/>
                          </a:solidFill>
                          <a:prstDash val="solid"/>
                          <a:miter/>
                          <a:headEnd type="none" w="med" len="med"/>
                          <a:tailEnd type="none" w="med" len="med"/>
                        </a:ln>
                      </wps:spPr>
                      <wps:txbx>
                        <w:txbxContent>
                          <w:p w14:paraId="1850D1B6">
                            <w:pPr>
                              <w:rPr>
                                <w:rFonts w:hint="default" w:eastAsia="宋体"/>
                                <w:lang w:val="en-US" w:eastAsia="zh-CN"/>
                              </w:rPr>
                            </w:pPr>
                            <w:r>
                              <w:rPr>
                                <w:rFonts w:hint="eastAsia"/>
                                <w:lang w:val="en-US" w:eastAsia="zh-CN"/>
                              </w:rPr>
                              <w:t>本项目所在地</w:t>
                            </w:r>
                          </w:p>
                        </w:txbxContent>
                      </wps:txbx>
                      <wps:bodyPr vert="horz" wrap="square" lIns="0" tIns="0" rIns="0" bIns="0" anchor="t" anchorCtr="0" upright="1"/>
                    </wps:wsp>
                  </a:graphicData>
                </a:graphic>
              </wp:anchor>
            </w:drawing>
          </mc:Choice>
          <mc:Fallback>
            <w:pict>
              <v:shape id="自选图形 684" o:spid="_x0000_s1026" o:spt="61" type="#_x0000_t61" style="position:absolute;left:0pt;margin-left:69.1pt;margin-top:198.05pt;height:17.95pt;width:78.75pt;z-index:251772928;mso-width-relative:page;mso-height-relative:page;" fillcolor="#FFFFFF" filled="t" stroked="t" coordsize="21600,21600" o:gfxdata="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RowedsAAAALAQAADwAAAAAAAAABACAAAAAiAAAAZHJzL2Rvd25yZXYu&#10;eG1sUEsBAhQAFAAAAAgAh07iQO9cBIdqAgAA6QQAAA4AAAAAAAAAAQAgAAAAKgEAAGRycy9lMm9E&#10;b2MueG1sUEsFBgAAAAAGAAYAWQEAAAYGAAAAAA==&#10;" adj="4700,63717">
                <v:fill on="t" focussize="0,0"/>
                <v:stroke color="#000000" joinstyle="miter"/>
                <v:imagedata o:title=""/>
                <o:lock v:ext="edit" aspectratio="f"/>
                <v:textbox inset="0mm,0mm,0mm,0mm">
                  <w:txbxContent>
                    <w:p w14:paraId="1850D1B6">
                      <w:pPr>
                        <w:rPr>
                          <w:rFonts w:hint="default" w:eastAsia="宋体"/>
                          <w:lang w:val="en-US" w:eastAsia="zh-CN"/>
                        </w:rPr>
                      </w:pPr>
                      <w:r>
                        <w:rPr>
                          <w:rFonts w:hint="eastAsia"/>
                          <w:lang w:val="en-US" w:eastAsia="zh-CN"/>
                        </w:rPr>
                        <w:t>本项目所在地</w:t>
                      </w:r>
                    </w:p>
                  </w:txbxContent>
                </v:textbox>
              </v:shape>
            </w:pict>
          </mc:Fallback>
        </mc:AlternateContent>
      </w:r>
      <w:r>
        <w:rPr>
          <w:color w:val="auto"/>
          <w:sz w:val="21"/>
          <w:highlight w:val="none"/>
        </w:rPr>
        <mc:AlternateContent>
          <mc:Choice Requires="wps">
            <w:drawing>
              <wp:anchor distT="0" distB="0" distL="114300" distR="114300" simplePos="0" relativeHeight="251716608" behindDoc="0" locked="0" layoutInCell="1" allowOverlap="1">
                <wp:simplePos x="0" y="0"/>
                <wp:positionH relativeFrom="column">
                  <wp:posOffset>1008380</wp:posOffset>
                </wp:positionH>
                <wp:positionV relativeFrom="paragraph">
                  <wp:posOffset>3168015</wp:posOffset>
                </wp:positionV>
                <wp:extent cx="171450" cy="85725"/>
                <wp:effectExtent l="10160" t="10160" r="27940" b="18415"/>
                <wp:wrapNone/>
                <wp:docPr id="261" name="自选图形 815"/>
                <wp:cNvGraphicFramePr/>
                <a:graphic xmlns:a="http://schemas.openxmlformats.org/drawingml/2006/main">
                  <a:graphicData uri="http://schemas.microsoft.com/office/word/2010/wordprocessingShape">
                    <wps:wsp>
                      <wps:cNvSpPr/>
                      <wps:spPr>
                        <a:xfrm rot="300000">
                          <a:off x="0" y="0"/>
                          <a:ext cx="171450" cy="85725"/>
                        </a:xfrm>
                        <a:prstGeom prst="parallelogram">
                          <a:avLst>
                            <a:gd name="adj" fmla="val 32592"/>
                          </a:avLst>
                        </a:prstGeom>
                        <a:solidFill>
                          <a:srgbClr val="FFFFFF"/>
                        </a:solidFill>
                        <a:ln w="9525" cap="flat" cmpd="sng">
                          <a:solidFill>
                            <a:srgbClr val="0000FF"/>
                          </a:solidFill>
                          <a:prstDash val="solid"/>
                          <a:miter/>
                          <a:headEnd type="none" w="med" len="med"/>
                          <a:tailEnd type="none" w="med" len="med"/>
                        </a:ln>
                      </wps:spPr>
                      <wps:bodyPr wrap="square" upright="1"/>
                    </wps:wsp>
                  </a:graphicData>
                </a:graphic>
              </wp:anchor>
            </w:drawing>
          </mc:Choice>
          <mc:Fallback>
            <w:pict>
              <v:shape id="自选图形 815" o:spid="_x0000_s1026" o:spt="7" type="#_x0000_t7" style="position:absolute;left:0pt;margin-left:79.4pt;margin-top:249.45pt;height:6.75pt;width:13.5pt;rotation:327680f;z-index:251716608;mso-width-relative:page;mso-height-relative:page;" fillcolor="#FFFFFF" filled="t" stroked="t" coordsize="21600,21600" o:gfxdata="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G3z1yXbAAAACwEAAA8AAAAAAAAAAQAgAAAAIgAAAGRycy9k&#10;b3ducmV2LnhtbFBLAQIUABQAAAAIAIdO4kBha0xeOAIAAHYEAAAOAAAAAAAAAAEAIAAAACoBAABk&#10;cnMvZTJvRG9jLnhtbFBLBQYAAAAABgAGAFkBAADUBQAAAAA=&#10;" adj="3520">
                <v:fill on="t" focussize="0,0"/>
                <v:stroke color="#0000FF" joinstyle="miter"/>
                <v:imagedata o:title=""/>
                <o:lock v:ext="edit" aspectratio="f"/>
              </v:shape>
            </w:pict>
          </mc:Fallback>
        </mc:AlternateContent>
      </w:r>
      <w:r>
        <w:rPr>
          <w:color w:val="auto"/>
          <w:highlight w:val="none"/>
        </w:rPr>
        <w:drawing>
          <wp:anchor distT="0" distB="0" distL="114300" distR="114300" simplePos="0" relativeHeight="251715584" behindDoc="0" locked="0" layoutInCell="1" allowOverlap="1">
            <wp:simplePos x="0" y="0"/>
            <wp:positionH relativeFrom="column">
              <wp:posOffset>21590</wp:posOffset>
            </wp:positionH>
            <wp:positionV relativeFrom="paragraph">
              <wp:posOffset>2681605</wp:posOffset>
            </wp:positionV>
            <wp:extent cx="2327275" cy="1834515"/>
            <wp:effectExtent l="9525" t="9525" r="25400" b="22860"/>
            <wp:wrapNone/>
            <wp:docPr id="260" name="图片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14"/>
                    <pic:cNvPicPr>
                      <a:picLocks noChangeAspect="1"/>
                    </pic:cNvPicPr>
                  </pic:nvPicPr>
                  <pic:blipFill>
                    <a:blip r:embed="rId12"/>
                    <a:stretch>
                      <a:fillRect/>
                    </a:stretch>
                  </pic:blipFill>
                  <pic:spPr>
                    <a:xfrm>
                      <a:off x="0" y="0"/>
                      <a:ext cx="2327275" cy="1834515"/>
                    </a:xfrm>
                    <a:prstGeom prst="rect">
                      <a:avLst/>
                    </a:prstGeom>
                    <a:noFill/>
                    <a:ln w="9525" cap="flat" cmpd="sng">
                      <a:solidFill>
                        <a:srgbClr val="0000FF"/>
                      </a:solidFill>
                      <a:prstDash val="solid"/>
                      <a:miter/>
                      <a:headEnd type="none" w="med" len="med"/>
                      <a:tailEnd type="none" w="med" len="med"/>
                    </a:ln>
                  </pic:spPr>
                </pic:pic>
              </a:graphicData>
            </a:graphic>
          </wp:anchor>
        </w:drawing>
      </w:r>
      <w:r>
        <w:rPr>
          <w:color w:val="auto"/>
          <w:sz w:val="21"/>
          <w:highlight w:val="none"/>
        </w:rPr>
        <mc:AlternateContent>
          <mc:Choice Requires="wps">
            <w:drawing>
              <wp:anchor distT="0" distB="0" distL="114300" distR="114300" simplePos="0" relativeHeight="251673600" behindDoc="0" locked="0" layoutInCell="1" allowOverlap="1">
                <wp:simplePos x="0" y="0"/>
                <wp:positionH relativeFrom="column">
                  <wp:posOffset>3569335</wp:posOffset>
                </wp:positionH>
                <wp:positionV relativeFrom="paragraph">
                  <wp:posOffset>3410585</wp:posOffset>
                </wp:positionV>
                <wp:extent cx="171450" cy="85725"/>
                <wp:effectExtent l="10160" t="10160" r="27940" b="18415"/>
                <wp:wrapNone/>
                <wp:docPr id="15" name="自选图形 683"/>
                <wp:cNvGraphicFramePr/>
                <a:graphic xmlns:a="http://schemas.openxmlformats.org/drawingml/2006/main">
                  <a:graphicData uri="http://schemas.microsoft.com/office/word/2010/wordprocessingShape">
                    <wps:wsp>
                      <wps:cNvSpPr/>
                      <wps:spPr>
                        <a:xfrm rot="300000">
                          <a:off x="0" y="0"/>
                          <a:ext cx="171450" cy="85725"/>
                        </a:xfrm>
                        <a:prstGeom prst="parallelogram">
                          <a:avLst>
                            <a:gd name="adj" fmla="val 32592"/>
                          </a:avLst>
                        </a:prstGeom>
                        <a:solidFill>
                          <a:srgbClr val="FFFFFF"/>
                        </a:solidFill>
                        <a:ln w="9525" cap="flat" cmpd="sng">
                          <a:solidFill>
                            <a:srgbClr val="0000FF"/>
                          </a:solidFill>
                          <a:prstDash val="solid"/>
                          <a:miter/>
                          <a:headEnd type="none" w="med" len="med"/>
                          <a:tailEnd type="none" w="med" len="med"/>
                        </a:ln>
                      </wps:spPr>
                      <wps:bodyPr vert="horz" wrap="square" anchor="t" anchorCtr="0" upright="1"/>
                    </wps:wsp>
                  </a:graphicData>
                </a:graphic>
              </wp:anchor>
            </w:drawing>
          </mc:Choice>
          <mc:Fallback>
            <w:pict>
              <v:shape id="自选图形 683" o:spid="_x0000_s1026" o:spt="7" type="#_x0000_t7" style="position:absolute;left:0pt;margin-left:281.05pt;margin-top:268.55pt;height:6.75pt;width:13.5pt;rotation:327680f;z-index:251673600;mso-width-relative:page;mso-height-relative:page;" fillcolor="#FFFFFF" filled="t" stroked="t" coordsize="21600,21600" o:gfxdata="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Fn7x/aAAAACwEAAA8AAAAA&#10;AAAAAQAgAAAAIgAAAGRycy9kb3ducmV2LnhtbFBLAQIUABQAAAAIAIdO4kB4oC5WSwIAAJoEAAAO&#10;AAAAAAAAAAEAIAAAACkBAABkcnMvZTJvRG9jLnhtbFBLBQYAAAAABgAGAFkBAADmBQAAAAA=&#10;" adj="3520">
                <v:fill on="t" focussize="0,0"/>
                <v:stroke color="#0000FF" joinstyle="miter"/>
                <v:imagedata o:title=""/>
                <o:lock v:ext="edit" aspectratio="f"/>
              </v:shape>
            </w:pict>
          </mc:Fallback>
        </mc:AlternateContent>
      </w:r>
      <w:r>
        <w:rPr>
          <w:rFonts w:hint="eastAsia"/>
          <w:b/>
          <w:bCs/>
          <w:color w:val="auto"/>
          <w:highlight w:val="none"/>
        </w:rPr>
        <w:drawing>
          <wp:inline distT="0" distB="0" distL="114300" distR="114300">
            <wp:extent cx="5191125" cy="8117840"/>
            <wp:effectExtent l="0" t="0" r="9525" b="16510"/>
            <wp:docPr id="536" name="图片 30" descr="淮南市国土空间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30" descr="淮南市国土空间规划"/>
                    <pic:cNvPicPr>
                      <a:picLocks noChangeAspect="1"/>
                    </pic:cNvPicPr>
                  </pic:nvPicPr>
                  <pic:blipFill>
                    <a:blip r:embed="rId13"/>
                    <a:srcRect/>
                    <a:stretch>
                      <a:fillRect/>
                    </a:stretch>
                  </pic:blipFill>
                  <pic:spPr>
                    <a:xfrm>
                      <a:off x="0" y="0"/>
                      <a:ext cx="5191125" cy="8117840"/>
                    </a:xfrm>
                    <a:prstGeom prst="rect">
                      <a:avLst/>
                    </a:prstGeom>
                    <a:noFill/>
                    <a:ln>
                      <a:noFill/>
                    </a:ln>
                  </pic:spPr>
                </pic:pic>
              </a:graphicData>
            </a:graphic>
          </wp:inline>
        </w:drawing>
      </w:r>
    </w:p>
    <w:p w14:paraId="55FC955C">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图2.5-</w:t>
      </w:r>
      <w:r>
        <w:rPr>
          <w:rFonts w:hint="eastAsia" w:cs="Times New Roman"/>
          <w:b/>
          <w:bCs/>
          <w:color w:val="auto"/>
          <w:sz w:val="24"/>
          <w:szCs w:val="24"/>
          <w:highlight w:val="none"/>
          <w:lang w:val="en-US" w:eastAsia="zh-CN"/>
        </w:rPr>
        <w:t xml:space="preserve">2  </w:t>
      </w:r>
      <w:r>
        <w:rPr>
          <w:rFonts w:hint="eastAsia" w:ascii="Times New Roman" w:hAnsi="Times New Roman" w:eastAsia="宋体" w:cs="Times New Roman"/>
          <w:b/>
          <w:bCs/>
          <w:color w:val="auto"/>
          <w:sz w:val="24"/>
          <w:szCs w:val="24"/>
          <w:highlight w:val="none"/>
          <w:lang w:val="en-US" w:eastAsia="zh-CN"/>
        </w:rPr>
        <w:t>淮南市国土空间总体规划图</w:t>
      </w:r>
    </w:p>
    <w:p w14:paraId="42D464A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b/>
          <w:bCs/>
          <w:color w:val="auto"/>
          <w:sz w:val="24"/>
          <w:szCs w:val="24"/>
          <w:highlight w:val="none"/>
        </w:rPr>
      </w:pPr>
      <w:r>
        <w:rPr>
          <w:rFonts w:hint="eastAsia"/>
          <w:b/>
          <w:bCs/>
          <w:color w:val="auto"/>
          <w:sz w:val="24"/>
          <w:szCs w:val="24"/>
          <w:highlight w:val="none"/>
        </w:rPr>
        <w:t>（</w:t>
      </w:r>
      <w:r>
        <w:rPr>
          <w:rFonts w:hint="eastAsia"/>
          <w:b/>
          <w:bCs/>
          <w:color w:val="auto"/>
          <w:sz w:val="24"/>
          <w:szCs w:val="24"/>
          <w:highlight w:val="none"/>
          <w:lang w:val="en-US" w:eastAsia="zh-CN"/>
        </w:rPr>
        <w:t>2</w:t>
      </w:r>
      <w:r>
        <w:rPr>
          <w:rFonts w:hint="eastAsia"/>
          <w:b/>
          <w:bCs/>
          <w:color w:val="auto"/>
          <w:sz w:val="24"/>
          <w:szCs w:val="24"/>
          <w:highlight w:val="none"/>
        </w:rPr>
        <w:t>）与《淮南市加氢站布点规划（2025-2035年）》相符性</w:t>
      </w:r>
    </w:p>
    <w:p w14:paraId="6E0DD3E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auto"/>
          <w:sz w:val="24"/>
          <w:szCs w:val="24"/>
          <w:highlight w:val="none"/>
        </w:rPr>
      </w:pPr>
      <w:r>
        <w:rPr>
          <w:rFonts w:hint="eastAsia"/>
          <w:color w:val="auto"/>
          <w:sz w:val="24"/>
          <w:szCs w:val="24"/>
          <w:highlight w:val="none"/>
          <w:lang w:val="en-US" w:eastAsia="zh-CN"/>
        </w:rPr>
        <w:t>根据《淮南市加氢站布点规划（2025-2035年）》规划：</w:t>
      </w:r>
      <w:r>
        <w:rPr>
          <w:rFonts w:hint="eastAsia"/>
          <w:color w:val="auto"/>
          <w:sz w:val="24"/>
          <w:szCs w:val="24"/>
          <w:highlight w:val="none"/>
        </w:rPr>
        <w:t>布点方案</w:t>
      </w:r>
      <w:r>
        <w:rPr>
          <w:rFonts w:hint="eastAsia"/>
          <w:color w:val="auto"/>
          <w:sz w:val="24"/>
          <w:szCs w:val="24"/>
          <w:highlight w:val="none"/>
          <w:lang w:eastAsia="zh-CN"/>
        </w:rPr>
        <w:t>：</w:t>
      </w:r>
      <w:r>
        <w:rPr>
          <w:rFonts w:hint="eastAsia"/>
          <w:color w:val="auto"/>
          <w:sz w:val="24"/>
          <w:szCs w:val="24"/>
          <w:highlight w:val="none"/>
        </w:rPr>
        <w:t>全市规划布点加氢站83座，其中服务于燃料电池汽车的73座，服务于船舶航运的10座。按加氢站类别分其中制氢加氢一体站13座，合建站70座。市辖区划布点加氢站38座，凤台县（含毛集实验区）布点加氢站18座，寿县布点加氢站27座。田家庵区（含淮南高新区）共布点8座加氢综合站，其中1处为制加氢一体站，规划结合S19淮桐高速、滁新高速、航运作业区、淮南市综合交通驿站、淮南高新区、田家庵经开区以及城区等布点加氢综合站。</w:t>
      </w:r>
    </w:p>
    <w:p w14:paraId="27D94E2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auto"/>
          <w:sz w:val="24"/>
          <w:szCs w:val="24"/>
          <w:highlight w:val="none"/>
        </w:rPr>
      </w:pPr>
      <w:r>
        <w:rPr>
          <w:rFonts w:hint="eastAsia"/>
          <w:color w:val="auto"/>
          <w:sz w:val="24"/>
          <w:szCs w:val="24"/>
          <w:highlight w:val="none"/>
        </w:rPr>
        <w:t>近期建设布点</w:t>
      </w:r>
      <w:r>
        <w:rPr>
          <w:rFonts w:hint="eastAsia"/>
          <w:color w:val="auto"/>
          <w:sz w:val="24"/>
          <w:szCs w:val="24"/>
          <w:highlight w:val="none"/>
          <w:lang w:eastAsia="zh-CN"/>
        </w:rPr>
        <w:t>：</w:t>
      </w:r>
      <w:r>
        <w:rPr>
          <w:rFonts w:hint="eastAsia"/>
          <w:color w:val="auto"/>
          <w:sz w:val="24"/>
          <w:szCs w:val="24"/>
          <w:highlight w:val="none"/>
        </w:rPr>
        <w:t>至2030年，建设加氢合建站点16座。其中大通区（含经开区）2座、田家庵区2座、谢家集区2座、八公山区1座、潘集区（含煤化工园区）3座、凤台县2座、毛集实验区1座、寿县3座。其中田家庵区、潘集煤化工园各建1座制氢加氢一体站。</w:t>
      </w:r>
    </w:p>
    <w:p w14:paraId="1CAF85A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highlight w:val="none"/>
        </w:rPr>
      </w:pPr>
      <w:r>
        <w:rPr>
          <w:rFonts w:hint="eastAsia"/>
          <w:color w:val="auto"/>
          <w:sz w:val="24"/>
          <w:szCs w:val="24"/>
          <w:highlight w:val="none"/>
        </w:rPr>
        <w:t>远期建设布点</w:t>
      </w:r>
      <w:r>
        <w:rPr>
          <w:rFonts w:hint="eastAsia"/>
          <w:color w:val="auto"/>
          <w:sz w:val="24"/>
          <w:szCs w:val="24"/>
          <w:highlight w:val="none"/>
          <w:lang w:eastAsia="zh-CN"/>
        </w:rPr>
        <w:t>：</w:t>
      </w:r>
      <w:r>
        <w:rPr>
          <w:rFonts w:hint="eastAsia"/>
          <w:color w:val="auto"/>
          <w:sz w:val="24"/>
          <w:szCs w:val="24"/>
          <w:highlight w:val="none"/>
        </w:rPr>
        <w:t>在完善氢能产业链条建设基础上</w:t>
      </w:r>
      <w:r>
        <w:rPr>
          <w:rFonts w:hint="eastAsia"/>
          <w:color w:val="auto"/>
          <w:sz w:val="24"/>
          <w:szCs w:val="24"/>
          <w:highlight w:val="none"/>
          <w:lang w:eastAsia="zh-CN"/>
        </w:rPr>
        <w:t>，</w:t>
      </w:r>
      <w:r>
        <w:rPr>
          <w:rFonts w:hint="eastAsia"/>
          <w:color w:val="auto"/>
          <w:sz w:val="24"/>
          <w:szCs w:val="24"/>
          <w:highlight w:val="none"/>
        </w:rPr>
        <w:t>形成与周边城市协同互补、深度融合的区域氢能产业共同体。在满足安全防护间距基础上，鼓励利用现有加油加气站的场地设施改扩建加氢站，实现可持续发展。至2035年，全市规划加氢合建站83座。其中大通区（含淮南经开区）10座、田家庵区（含淮南高新区）8座、谢家集区5座、八公山区1座、潘集区（含潘集区经</w:t>
      </w:r>
      <w:r>
        <w:rPr>
          <w:rFonts w:hint="eastAsia"/>
          <w:color w:val="auto"/>
          <w:sz w:val="24"/>
          <w:szCs w:val="24"/>
          <w:highlight w:val="none"/>
          <w:lang w:eastAsia="zh-CN"/>
        </w:rPr>
        <w:t>开区</w:t>
      </w:r>
      <w:r>
        <w:rPr>
          <w:rFonts w:hint="eastAsia"/>
          <w:color w:val="auto"/>
          <w:sz w:val="24"/>
          <w:szCs w:val="24"/>
          <w:highlight w:val="none"/>
        </w:rPr>
        <w:t>）14座、凤台县13座、毛集实验区5座、寿县（含寿县经开区）27座。</w:t>
      </w:r>
    </w:p>
    <w:p w14:paraId="40D08B4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highlight w:val="none"/>
        </w:rPr>
      </w:pPr>
      <w:r>
        <w:rPr>
          <w:rFonts w:hint="eastAsia"/>
          <w:color w:val="auto"/>
          <w:sz w:val="24"/>
          <w:szCs w:val="24"/>
          <w:highlight w:val="none"/>
        </w:rPr>
        <w:t>本项目属于工业项目，位于中部城镇集中建设板块</w:t>
      </w:r>
      <w:r>
        <w:rPr>
          <w:rFonts w:hint="eastAsia"/>
          <w:color w:val="auto"/>
          <w:sz w:val="24"/>
          <w:szCs w:val="24"/>
          <w:highlight w:val="none"/>
          <w:lang w:eastAsia="zh-CN"/>
        </w:rPr>
        <w:t>，</w:t>
      </w:r>
      <w:r>
        <w:rPr>
          <w:rFonts w:hint="eastAsia"/>
          <w:color w:val="auto"/>
          <w:sz w:val="24"/>
          <w:szCs w:val="24"/>
          <w:highlight w:val="none"/>
          <w:lang w:val="en-US" w:eastAsia="zh-CN"/>
        </w:rPr>
        <w:t>属于城镇开发边界</w:t>
      </w:r>
      <w:r>
        <w:rPr>
          <w:rFonts w:hint="eastAsia"/>
          <w:color w:val="auto"/>
          <w:sz w:val="24"/>
          <w:szCs w:val="24"/>
          <w:highlight w:val="none"/>
        </w:rPr>
        <w:t>（详见图</w:t>
      </w:r>
      <w:r>
        <w:rPr>
          <w:rFonts w:hint="eastAsia"/>
          <w:color w:val="auto"/>
          <w:sz w:val="24"/>
          <w:szCs w:val="24"/>
          <w:highlight w:val="none"/>
          <w:lang w:val="en-US" w:eastAsia="zh-CN"/>
        </w:rPr>
        <w:t>2.5</w:t>
      </w:r>
      <w:r>
        <w:rPr>
          <w:rFonts w:hint="eastAsia"/>
          <w:color w:val="auto"/>
          <w:sz w:val="24"/>
          <w:szCs w:val="24"/>
          <w:highlight w:val="none"/>
        </w:rPr>
        <w:t>-</w:t>
      </w:r>
      <w:r>
        <w:rPr>
          <w:rFonts w:hint="eastAsia"/>
          <w:color w:val="auto"/>
          <w:sz w:val="24"/>
          <w:szCs w:val="24"/>
          <w:highlight w:val="none"/>
          <w:lang w:val="en-US" w:eastAsia="zh-CN"/>
        </w:rPr>
        <w:t>5</w:t>
      </w:r>
      <w:r>
        <w:rPr>
          <w:rFonts w:hint="eastAsia"/>
          <w:color w:val="auto"/>
          <w:sz w:val="24"/>
          <w:szCs w:val="24"/>
          <w:highlight w:val="none"/>
        </w:rPr>
        <w:t>），占地类型为工业用地，不占用耕地，符合</w:t>
      </w:r>
      <w:r>
        <w:rPr>
          <w:color w:val="auto"/>
          <w:sz w:val="24"/>
          <w:szCs w:val="24"/>
          <w:highlight w:val="none"/>
        </w:rPr>
        <w:t>《</w:t>
      </w:r>
      <w:r>
        <w:rPr>
          <w:rFonts w:hint="eastAsia"/>
          <w:color w:val="auto"/>
          <w:sz w:val="24"/>
          <w:szCs w:val="24"/>
          <w:highlight w:val="none"/>
        </w:rPr>
        <w:t>淮南市国土空间规划</w:t>
      </w:r>
      <w:r>
        <w:rPr>
          <w:color w:val="auto"/>
          <w:sz w:val="24"/>
          <w:szCs w:val="24"/>
          <w:highlight w:val="none"/>
        </w:rPr>
        <w:t>（20</w:t>
      </w:r>
      <w:r>
        <w:rPr>
          <w:rFonts w:hint="eastAsia"/>
          <w:color w:val="auto"/>
          <w:sz w:val="24"/>
          <w:szCs w:val="24"/>
          <w:highlight w:val="none"/>
        </w:rPr>
        <w:t>21</w:t>
      </w:r>
      <w:r>
        <w:rPr>
          <w:color w:val="auto"/>
          <w:sz w:val="24"/>
          <w:szCs w:val="24"/>
          <w:highlight w:val="none"/>
        </w:rPr>
        <w:t>-203</w:t>
      </w:r>
      <w:r>
        <w:rPr>
          <w:rFonts w:hint="eastAsia"/>
          <w:color w:val="auto"/>
          <w:sz w:val="24"/>
          <w:szCs w:val="24"/>
          <w:highlight w:val="none"/>
        </w:rPr>
        <w:t>5</w:t>
      </w:r>
      <w:r>
        <w:rPr>
          <w:color w:val="auto"/>
          <w:sz w:val="24"/>
          <w:szCs w:val="24"/>
          <w:highlight w:val="none"/>
        </w:rPr>
        <w:t>年）》</w:t>
      </w:r>
      <w:r>
        <w:rPr>
          <w:rFonts w:hint="eastAsia"/>
          <w:color w:val="auto"/>
          <w:sz w:val="24"/>
          <w:szCs w:val="24"/>
          <w:highlight w:val="none"/>
        </w:rPr>
        <w:t>。</w:t>
      </w:r>
    </w:p>
    <w:p w14:paraId="77EC9095">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ascii="宋体" w:hAnsi="宋体" w:eastAsia="宋体" w:cs="宋体"/>
          <w:color w:val="auto"/>
          <w:sz w:val="24"/>
          <w:szCs w:val="24"/>
          <w:highlight w:val="none"/>
        </w:rPr>
      </w:pPr>
      <w:r>
        <w:rPr>
          <w:color w:val="auto"/>
          <w:sz w:val="21"/>
          <w:highlight w:val="none"/>
        </w:rPr>
        <mc:AlternateContent>
          <mc:Choice Requires="wps">
            <w:drawing>
              <wp:anchor distT="0" distB="0" distL="114300" distR="114300" simplePos="0" relativeHeight="251675648" behindDoc="0" locked="0" layoutInCell="1" allowOverlap="1">
                <wp:simplePos x="0" y="0"/>
                <wp:positionH relativeFrom="column">
                  <wp:posOffset>4305935</wp:posOffset>
                </wp:positionH>
                <wp:positionV relativeFrom="paragraph">
                  <wp:posOffset>3317240</wp:posOffset>
                </wp:positionV>
                <wp:extent cx="990600" cy="208915"/>
                <wp:effectExtent l="95885" t="4445" r="18415" b="358140"/>
                <wp:wrapNone/>
                <wp:docPr id="17" name="自选图形 762"/>
                <wp:cNvGraphicFramePr/>
                <a:graphic xmlns:a="http://schemas.openxmlformats.org/drawingml/2006/main">
                  <a:graphicData uri="http://schemas.microsoft.com/office/word/2010/wordprocessingShape">
                    <wps:wsp>
                      <wps:cNvSpPr/>
                      <wps:spPr>
                        <a:xfrm>
                          <a:off x="0" y="0"/>
                          <a:ext cx="990600" cy="208915"/>
                        </a:xfrm>
                        <a:prstGeom prst="wedgeRectCallout">
                          <a:avLst>
                            <a:gd name="adj1" fmla="val -57662"/>
                            <a:gd name="adj2" fmla="val 208097"/>
                          </a:avLst>
                        </a:prstGeom>
                        <a:solidFill>
                          <a:srgbClr val="FFFFFF"/>
                        </a:solidFill>
                        <a:ln w="9525" cap="flat" cmpd="sng">
                          <a:solidFill>
                            <a:srgbClr val="000000"/>
                          </a:solidFill>
                          <a:prstDash val="solid"/>
                          <a:miter/>
                          <a:headEnd type="none" w="med" len="med"/>
                          <a:tailEnd type="none" w="med" len="med"/>
                        </a:ln>
                      </wps:spPr>
                      <wps:txbx>
                        <w:txbxContent>
                          <w:p w14:paraId="242100D4">
                            <w:pPr>
                              <w:rPr>
                                <w:rFonts w:hint="default" w:eastAsia="宋体"/>
                                <w:lang w:val="en-US" w:eastAsia="zh-CN"/>
                              </w:rPr>
                            </w:pPr>
                            <w:r>
                              <w:rPr>
                                <w:rFonts w:hint="eastAsia"/>
                                <w:lang w:val="en-US" w:eastAsia="zh-CN"/>
                              </w:rPr>
                              <w:t>本项目所在地</w:t>
                            </w:r>
                          </w:p>
                        </w:txbxContent>
                      </wps:txbx>
                      <wps:bodyPr vert="horz" wrap="square" lIns="0" tIns="0" rIns="0" bIns="0" anchor="t" anchorCtr="0" upright="1"/>
                    </wps:wsp>
                  </a:graphicData>
                </a:graphic>
              </wp:anchor>
            </w:drawing>
          </mc:Choice>
          <mc:Fallback>
            <w:pict>
              <v:shape id="自选图形 762" o:spid="_x0000_s1026" o:spt="61" type="#_x0000_t61" style="position:absolute;left:0pt;margin-left:339.05pt;margin-top:261.2pt;height:16.45pt;width:78pt;z-index:251675648;mso-width-relative:page;mso-height-relative:page;" fillcolor="#FFFFFF" filled="t" stroked="t" coordsize="21600,21600" o:gfxdata="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EFwDbbAAAACwEAAA8AAAAAAAAAAQAgAAAAIgAAAGRycy9kb3ducmV2Lnht&#10;bFBLAQIUABQAAAAIAIdO4kD7JMEEaAIAAOcEAAAOAAAAAAAAAAEAIAAAACoBAABkcnMvZTJvRG9j&#10;LnhtbFBLBQYAAAAABgAGAFkBAAAEBgAAAAA=&#10;" adj="-1655,55749">
                <v:fill on="t" focussize="0,0"/>
                <v:stroke color="#000000" joinstyle="miter"/>
                <v:imagedata o:title=""/>
                <o:lock v:ext="edit" aspectratio="f"/>
                <v:textbox inset="0mm,0mm,0mm,0mm">
                  <w:txbxContent>
                    <w:p w14:paraId="242100D4">
                      <w:pPr>
                        <w:rPr>
                          <w:rFonts w:hint="default" w:eastAsia="宋体"/>
                          <w:lang w:val="en-US" w:eastAsia="zh-CN"/>
                        </w:rPr>
                      </w:pPr>
                      <w:r>
                        <w:rPr>
                          <w:rFonts w:hint="eastAsia"/>
                          <w:lang w:val="en-US" w:eastAsia="zh-CN"/>
                        </w:rPr>
                        <w:t>本项目所在地</w:t>
                      </w:r>
                    </w:p>
                  </w:txbxContent>
                </v:textbox>
              </v:shape>
            </w:pict>
          </mc:Fallback>
        </mc:AlternateContent>
      </w:r>
      <w:r>
        <w:rPr>
          <w:color w:val="auto"/>
          <w:sz w:val="21"/>
          <w:highlight w:val="none"/>
        </w:rPr>
        <mc:AlternateContent>
          <mc:Choice Requires="wps">
            <w:drawing>
              <wp:anchor distT="0" distB="0" distL="114300" distR="114300" simplePos="0" relativeHeight="251747328" behindDoc="0" locked="0" layoutInCell="1" allowOverlap="1">
                <wp:simplePos x="0" y="0"/>
                <wp:positionH relativeFrom="column">
                  <wp:posOffset>913765</wp:posOffset>
                </wp:positionH>
                <wp:positionV relativeFrom="paragraph">
                  <wp:posOffset>7377430</wp:posOffset>
                </wp:positionV>
                <wp:extent cx="600710" cy="342900"/>
                <wp:effectExtent l="4445" t="4445" r="23495" b="14605"/>
                <wp:wrapNone/>
                <wp:docPr id="351" name="文本框 863"/>
                <wp:cNvGraphicFramePr/>
                <a:graphic xmlns:a="http://schemas.openxmlformats.org/drawingml/2006/main">
                  <a:graphicData uri="http://schemas.microsoft.com/office/word/2010/wordprocessingShape">
                    <wps:wsp>
                      <wps:cNvSpPr txBox="1"/>
                      <wps:spPr>
                        <a:xfrm>
                          <a:off x="0" y="0"/>
                          <a:ext cx="600710" cy="34290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73347770">
                            <w:pPr>
                              <w:rPr>
                                <w:rFonts w:hint="eastAsia"/>
                                <w:sz w:val="13"/>
                                <w:szCs w:val="13"/>
                                <w:lang w:val="en-US" w:eastAsia="zh-CN"/>
                              </w:rPr>
                            </w:pPr>
                            <w:r>
                              <w:rPr>
                                <w:rFonts w:hint="eastAsia"/>
                                <w:sz w:val="13"/>
                                <w:szCs w:val="13"/>
                                <w:lang w:val="en-US" w:eastAsia="zh-CN"/>
                              </w:rPr>
                              <w:t>制氢加氢一体站</w:t>
                            </w:r>
                          </w:p>
                          <w:p w14:paraId="1FB68DEF">
                            <w:pPr>
                              <w:rPr>
                                <w:rFonts w:hint="default"/>
                                <w:sz w:val="13"/>
                                <w:szCs w:val="13"/>
                                <w:lang w:val="en-US" w:eastAsia="zh-CN"/>
                              </w:rPr>
                            </w:pPr>
                            <w:r>
                              <w:rPr>
                                <w:rFonts w:hint="eastAsia"/>
                                <w:sz w:val="13"/>
                                <w:szCs w:val="13"/>
                                <w:lang w:val="en-US" w:eastAsia="zh-CN"/>
                              </w:rPr>
                              <w:t>加氢合建站</w:t>
                            </w:r>
                          </w:p>
                          <w:p w14:paraId="67AD6A97">
                            <w:pPr>
                              <w:rPr>
                                <w:rFonts w:hint="default"/>
                                <w:sz w:val="13"/>
                                <w:szCs w:val="13"/>
                                <w:lang w:val="en-US" w:eastAsia="zh-CN"/>
                              </w:rPr>
                            </w:pPr>
                          </w:p>
                        </w:txbxContent>
                      </wps:txbx>
                      <wps:bodyPr vert="horz" wrap="square" lIns="0" tIns="0" rIns="0" bIns="0" anchor="t" anchorCtr="0" upright="1"/>
                    </wps:wsp>
                  </a:graphicData>
                </a:graphic>
              </wp:anchor>
            </w:drawing>
          </mc:Choice>
          <mc:Fallback>
            <w:pict>
              <v:shape id="文本框 863" o:spid="_x0000_s1026" o:spt="202" type="#_x0000_t202" style="position:absolute;left:0pt;margin-left:71.95pt;margin-top:580.9pt;height:27pt;width:47.3pt;z-index:251747328;mso-width-relative:page;mso-height-relative:page;" fillcolor="#FFFFFF" filled="t" stroked="t" coordsize="21600,21600" o:gfxdata="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ewvSH2QAAAA0BAAAPAAAAAAAAAAEAIAAAACIAAABkcnMvZG93&#10;bnJldi54bWxQSwECFAAUAAAACACHTuJA1W7fUDgCAACQBAAADgAAAAAAAAABACAAAAAoAQAAZHJz&#10;L2Uyb0RvYy54bWxQSwUGAAAAAAYABgBZAQAA0gUAAAAA&#10;">
                <v:fill on="t" focussize="0,0"/>
                <v:stroke color="#FFFFFF" joinstyle="miter"/>
                <v:imagedata o:title=""/>
                <o:lock v:ext="edit" aspectratio="f"/>
                <v:textbox inset="0mm,0mm,0mm,0mm">
                  <w:txbxContent>
                    <w:p w14:paraId="73347770">
                      <w:pPr>
                        <w:rPr>
                          <w:rFonts w:hint="eastAsia"/>
                          <w:sz w:val="13"/>
                          <w:szCs w:val="13"/>
                          <w:lang w:val="en-US" w:eastAsia="zh-CN"/>
                        </w:rPr>
                      </w:pPr>
                      <w:r>
                        <w:rPr>
                          <w:rFonts w:hint="eastAsia"/>
                          <w:sz w:val="13"/>
                          <w:szCs w:val="13"/>
                          <w:lang w:val="en-US" w:eastAsia="zh-CN"/>
                        </w:rPr>
                        <w:t>制氢加氢一体站</w:t>
                      </w:r>
                    </w:p>
                    <w:p w14:paraId="1FB68DEF">
                      <w:pPr>
                        <w:rPr>
                          <w:rFonts w:hint="default"/>
                          <w:sz w:val="13"/>
                          <w:szCs w:val="13"/>
                          <w:lang w:val="en-US" w:eastAsia="zh-CN"/>
                        </w:rPr>
                      </w:pPr>
                      <w:r>
                        <w:rPr>
                          <w:rFonts w:hint="eastAsia"/>
                          <w:sz w:val="13"/>
                          <w:szCs w:val="13"/>
                          <w:lang w:val="en-US" w:eastAsia="zh-CN"/>
                        </w:rPr>
                        <w:t>加氢合建站</w:t>
                      </w:r>
                    </w:p>
                    <w:p w14:paraId="67AD6A97">
                      <w:pPr>
                        <w:rPr>
                          <w:rFonts w:hint="default"/>
                          <w:sz w:val="13"/>
                          <w:szCs w:val="13"/>
                          <w:lang w:val="en-US" w:eastAsia="zh-CN"/>
                        </w:rPr>
                      </w:pPr>
                    </w:p>
                  </w:txbxContent>
                </v:textbox>
              </v:shape>
            </w:pict>
          </mc:Fallback>
        </mc:AlternateContent>
      </w:r>
      <w:r>
        <w:rPr>
          <w:rFonts w:ascii="宋体" w:hAnsi="宋体" w:eastAsia="宋体" w:cs="宋体"/>
          <w:color w:val="auto"/>
          <w:sz w:val="24"/>
          <w:szCs w:val="24"/>
          <w:highlight w:val="none"/>
        </w:rPr>
        <w:drawing>
          <wp:inline distT="0" distB="0" distL="114300" distR="114300">
            <wp:extent cx="5759450" cy="8131810"/>
            <wp:effectExtent l="0" t="0" r="12700" b="2540"/>
            <wp:docPr id="537" name="图片 3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311" descr="IMG_256"/>
                    <pic:cNvPicPr>
                      <a:picLocks noChangeAspect="1"/>
                    </pic:cNvPicPr>
                  </pic:nvPicPr>
                  <pic:blipFill>
                    <a:blip r:embed="rId14"/>
                    <a:stretch>
                      <a:fillRect/>
                    </a:stretch>
                  </pic:blipFill>
                  <pic:spPr>
                    <a:xfrm>
                      <a:off x="0" y="0"/>
                      <a:ext cx="5759450" cy="8131810"/>
                    </a:xfrm>
                    <a:prstGeom prst="rect">
                      <a:avLst/>
                    </a:prstGeom>
                    <a:noFill/>
                    <a:ln>
                      <a:noFill/>
                    </a:ln>
                  </pic:spPr>
                </pic:pic>
              </a:graphicData>
            </a:graphic>
          </wp:inline>
        </w:drawing>
      </w:r>
    </w:p>
    <w:p w14:paraId="455110B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图2.5-</w:t>
      </w:r>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lang w:val="en-US" w:eastAsia="zh-CN"/>
        </w:rPr>
        <w:t xml:space="preserve"> </w:t>
      </w:r>
      <w:r>
        <w:rPr>
          <w:rFonts w:hint="eastAsia" w:ascii="Times New Roman" w:hAnsi="Times New Roman" w:cs="Times New Roman"/>
          <w:b/>
          <w:bCs/>
          <w:color w:val="auto"/>
          <w:sz w:val="24"/>
          <w:szCs w:val="24"/>
          <w:highlight w:val="none"/>
          <w:lang w:val="en-US" w:eastAsia="zh-CN"/>
        </w:rPr>
        <w:t xml:space="preserve"> </w:t>
      </w:r>
      <w:r>
        <w:rPr>
          <w:rFonts w:hint="default" w:ascii="Times New Roman" w:hAnsi="Times New Roman" w:cs="Times New Roman"/>
          <w:b/>
          <w:bCs/>
          <w:color w:val="auto"/>
          <w:sz w:val="24"/>
          <w:szCs w:val="24"/>
          <w:highlight w:val="none"/>
        </w:rPr>
        <w:t>淮南市加氢站布点规划</w:t>
      </w:r>
    </w:p>
    <w:p w14:paraId="6A0BA875">
      <w:pPr>
        <w:pStyle w:val="4"/>
        <w:spacing w:after="156"/>
        <w:rPr>
          <w:color w:val="auto"/>
          <w:highlight w:val="none"/>
        </w:rPr>
      </w:pPr>
      <w:r>
        <w:rPr>
          <w:rFonts w:ascii="Times New Roman" w:hAnsi="Times New Roman" w:eastAsia="宋体"/>
          <w:color w:val="auto"/>
          <w:sz w:val="24"/>
          <w:highlight w:val="none"/>
        </w:rPr>
        <w:br w:type="page"/>
      </w:r>
      <w:r>
        <w:rPr>
          <w:color w:val="auto"/>
          <w:highlight w:val="none"/>
        </w:rPr>
        <w:t>2.5.</w:t>
      </w:r>
      <w:r>
        <w:rPr>
          <w:rFonts w:hint="eastAsia"/>
          <w:color w:val="auto"/>
          <w:highlight w:val="none"/>
          <w:lang w:val="en-US" w:eastAsia="zh-CN"/>
        </w:rPr>
        <w:t>4其他符合性判定</w:t>
      </w:r>
    </w:p>
    <w:p w14:paraId="66478378">
      <w:pPr>
        <w:adjustRightInd w:val="0"/>
        <w:snapToGrid w:val="0"/>
        <w:spacing w:line="360" w:lineRule="auto"/>
        <w:ind w:firstLine="482" w:firstLineChars="200"/>
        <w:rPr>
          <w:rFonts w:ascii="Times New Roman" w:hAnsi="Times New Roman" w:eastAsia="宋体"/>
          <w:color w:val="auto"/>
          <w:sz w:val="20"/>
          <w:highlight w:val="none"/>
        </w:rPr>
      </w:pPr>
      <w:r>
        <w:rPr>
          <w:rFonts w:hint="eastAsia" w:ascii="Times New Roman" w:hAnsi="Times New Roman" w:eastAsia="宋体"/>
          <w:b/>
          <w:bCs/>
          <w:color w:val="auto"/>
          <w:sz w:val="24"/>
          <w:szCs w:val="24"/>
          <w:highlight w:val="none"/>
          <w:lang w:eastAsia="zh-CN"/>
        </w:rPr>
        <w:t>（</w:t>
      </w:r>
      <w:r>
        <w:rPr>
          <w:rFonts w:hint="eastAsia" w:ascii="Times New Roman" w:hAnsi="Times New Roman" w:eastAsia="宋体"/>
          <w:b/>
          <w:bCs/>
          <w:color w:val="auto"/>
          <w:sz w:val="24"/>
          <w:szCs w:val="24"/>
          <w:highlight w:val="none"/>
          <w:lang w:val="en-US" w:eastAsia="zh-CN"/>
        </w:rPr>
        <w:t>1</w:t>
      </w:r>
      <w:r>
        <w:rPr>
          <w:rFonts w:hint="eastAsia" w:ascii="Times New Roman" w:hAnsi="Times New Roman" w:eastAsia="宋体"/>
          <w:b/>
          <w:bCs/>
          <w:color w:val="auto"/>
          <w:sz w:val="24"/>
          <w:szCs w:val="24"/>
          <w:highlight w:val="none"/>
          <w:lang w:eastAsia="zh-CN"/>
        </w:rPr>
        <w:t>）</w:t>
      </w:r>
      <w:r>
        <w:rPr>
          <w:rFonts w:ascii="Times New Roman" w:hAnsi="Times New Roman" w:eastAsia="宋体"/>
          <w:b/>
          <w:bCs/>
          <w:color w:val="auto"/>
          <w:sz w:val="24"/>
          <w:szCs w:val="24"/>
          <w:highlight w:val="none"/>
        </w:rPr>
        <w:t>、与</w:t>
      </w:r>
      <w:r>
        <w:rPr>
          <w:rFonts w:hint="eastAsia"/>
          <w:b/>
          <w:bCs/>
          <w:color w:val="auto"/>
          <w:sz w:val="24"/>
          <w:szCs w:val="24"/>
          <w:highlight w:val="none"/>
          <w:lang w:eastAsia="zh-CN"/>
        </w:rPr>
        <w:t>“</w:t>
      </w:r>
      <w:r>
        <w:rPr>
          <w:rFonts w:ascii="Times New Roman" w:hAnsi="Times New Roman" w:eastAsia="宋体"/>
          <w:b/>
          <w:bCs/>
          <w:color w:val="auto"/>
          <w:sz w:val="24"/>
          <w:szCs w:val="24"/>
          <w:highlight w:val="none"/>
        </w:rPr>
        <w:t>三线一单</w:t>
      </w:r>
      <w:r>
        <w:rPr>
          <w:rFonts w:hint="eastAsia"/>
          <w:b/>
          <w:bCs/>
          <w:color w:val="auto"/>
          <w:sz w:val="24"/>
          <w:szCs w:val="24"/>
          <w:highlight w:val="none"/>
          <w:lang w:eastAsia="zh-CN"/>
        </w:rPr>
        <w:t>”</w:t>
      </w:r>
      <w:r>
        <w:rPr>
          <w:rFonts w:ascii="Times New Roman" w:hAnsi="Times New Roman" w:eastAsia="宋体"/>
          <w:b/>
          <w:bCs/>
          <w:color w:val="auto"/>
          <w:sz w:val="24"/>
          <w:szCs w:val="24"/>
          <w:highlight w:val="none"/>
        </w:rPr>
        <w:t>相符性分析</w:t>
      </w:r>
    </w:p>
    <w:p w14:paraId="397E3EA7">
      <w:pPr>
        <w:spacing w:line="360" w:lineRule="auto"/>
        <w:ind w:firstLine="480"/>
        <w:rPr>
          <w:rFonts w:hint="default"/>
          <w:color w:val="auto"/>
          <w:sz w:val="24"/>
          <w:highlight w:val="none"/>
        </w:rPr>
      </w:pPr>
      <w:r>
        <w:rPr>
          <w:rFonts w:hint="eastAsia"/>
          <w:color w:val="auto"/>
          <w:sz w:val="24"/>
          <w:highlight w:val="none"/>
        </w:rPr>
        <w:t>1）与以改善环境质量为核心加强环境影响评价管理的通知相符性</w:t>
      </w:r>
    </w:p>
    <w:p w14:paraId="33B8B323">
      <w:pPr>
        <w:spacing w:line="360" w:lineRule="auto"/>
        <w:ind w:firstLine="480"/>
        <w:rPr>
          <w:rFonts w:hint="eastAsia"/>
          <w:color w:val="auto"/>
          <w:sz w:val="24"/>
          <w:highlight w:val="none"/>
        </w:rPr>
      </w:pPr>
      <w:r>
        <w:rPr>
          <w:rFonts w:hint="eastAsia"/>
          <w:color w:val="auto"/>
          <w:sz w:val="24"/>
          <w:highlight w:val="none"/>
        </w:rPr>
        <w:t>2016年10月26日，环境保护部以环环评</w:t>
      </w:r>
      <w:r>
        <w:rPr>
          <w:rFonts w:hint="eastAsia"/>
          <w:color w:val="auto"/>
          <w:sz w:val="24"/>
          <w:highlight w:val="none"/>
          <w:lang w:eastAsia="zh-CN"/>
        </w:rPr>
        <w:t>〔2016〕150号</w:t>
      </w:r>
      <w:r>
        <w:rPr>
          <w:rFonts w:hint="eastAsia"/>
          <w:color w:val="auto"/>
          <w:sz w:val="24"/>
          <w:highlight w:val="none"/>
        </w:rPr>
        <w:t>发布《关于以改善环境质量为核心加强环境影响评价管理的通知》（以下简称</w:t>
      </w:r>
      <w:r>
        <w:rPr>
          <w:rFonts w:hint="eastAsia"/>
          <w:color w:val="auto"/>
          <w:sz w:val="24"/>
          <w:highlight w:val="none"/>
          <w:lang w:eastAsia="zh-CN"/>
        </w:rPr>
        <w:t>“</w:t>
      </w:r>
      <w:r>
        <w:rPr>
          <w:rFonts w:hint="eastAsia"/>
          <w:color w:val="auto"/>
          <w:sz w:val="24"/>
          <w:highlight w:val="none"/>
        </w:rPr>
        <w:t>通知</w:t>
      </w:r>
      <w:r>
        <w:rPr>
          <w:rFonts w:hint="eastAsia"/>
          <w:color w:val="auto"/>
          <w:sz w:val="24"/>
          <w:highlight w:val="none"/>
          <w:lang w:eastAsia="zh-CN"/>
        </w:rPr>
        <w:t>”</w:t>
      </w:r>
      <w:r>
        <w:rPr>
          <w:rFonts w:hint="eastAsia"/>
          <w:color w:val="auto"/>
          <w:sz w:val="24"/>
          <w:highlight w:val="none"/>
        </w:rPr>
        <w:t>），通知中明确应强化</w:t>
      </w:r>
      <w:r>
        <w:rPr>
          <w:rFonts w:hint="eastAsia"/>
          <w:color w:val="auto"/>
          <w:sz w:val="24"/>
          <w:highlight w:val="none"/>
          <w:lang w:eastAsia="zh-CN"/>
        </w:rPr>
        <w:t>“</w:t>
      </w:r>
      <w:r>
        <w:rPr>
          <w:rFonts w:hint="eastAsia"/>
          <w:color w:val="auto"/>
          <w:sz w:val="24"/>
          <w:highlight w:val="none"/>
        </w:rPr>
        <w:t>三线一单</w:t>
      </w:r>
      <w:r>
        <w:rPr>
          <w:rFonts w:hint="eastAsia"/>
          <w:color w:val="auto"/>
          <w:sz w:val="24"/>
          <w:highlight w:val="none"/>
          <w:lang w:eastAsia="zh-CN"/>
        </w:rPr>
        <w:t>”</w:t>
      </w:r>
      <w:r>
        <w:rPr>
          <w:rFonts w:hint="eastAsia"/>
          <w:color w:val="auto"/>
          <w:sz w:val="24"/>
          <w:highlight w:val="none"/>
        </w:rPr>
        <w:t>（即生态保护红线、环境质量底线、资源利用上线和环境准入负面清单）的约束作用。</w:t>
      </w:r>
    </w:p>
    <w:p w14:paraId="6C6F647B">
      <w:pPr>
        <w:spacing w:line="360" w:lineRule="auto"/>
        <w:ind w:firstLine="480"/>
        <w:rPr>
          <w:color w:val="auto"/>
          <w:sz w:val="24"/>
          <w:highlight w:val="none"/>
        </w:rPr>
      </w:pPr>
      <w:r>
        <w:rPr>
          <w:rFonts w:hint="eastAsia"/>
          <w:color w:val="auto"/>
          <w:sz w:val="24"/>
          <w:highlight w:val="none"/>
          <w:lang w:eastAsia="zh-CN"/>
        </w:rPr>
        <w:t>①</w:t>
      </w:r>
      <w:r>
        <w:rPr>
          <w:color w:val="auto"/>
          <w:sz w:val="24"/>
          <w:highlight w:val="none"/>
        </w:rPr>
        <w:t>生态红线区域</w:t>
      </w:r>
    </w:p>
    <w:p w14:paraId="1067BF2F">
      <w:pPr>
        <w:spacing w:line="360" w:lineRule="auto"/>
        <w:ind w:firstLine="480"/>
        <w:rPr>
          <w:rFonts w:hint="eastAsia"/>
          <w:color w:val="auto"/>
          <w:sz w:val="24"/>
          <w:highlight w:val="none"/>
          <w:lang w:eastAsia="zh-CN"/>
        </w:rPr>
      </w:pPr>
      <w:r>
        <w:rPr>
          <w:rFonts w:hint="eastAsia" w:ascii="Times New Roman" w:hAnsi="Times New Roman" w:eastAsia="宋体" w:cs="Times New Roman"/>
          <w:color w:val="auto"/>
          <w:sz w:val="24"/>
          <w:highlight w:val="none"/>
        </w:rPr>
        <w:t>本项目位于</w:t>
      </w:r>
      <w:r>
        <w:rPr>
          <w:rFonts w:hint="eastAsia" w:ascii="Times New Roman" w:hAnsi="Times New Roman" w:eastAsia="宋体" w:cs="Times New Roman"/>
          <w:color w:val="auto"/>
          <w:sz w:val="24"/>
          <w:highlight w:val="none"/>
          <w:lang w:val="en-US" w:eastAsia="zh-CN"/>
        </w:rPr>
        <w:t>淮南市田家庵区经济开发区</w:t>
      </w:r>
      <w:r>
        <w:rPr>
          <w:rFonts w:hint="eastAsia" w:ascii="Times New Roman" w:hAnsi="Times New Roman" w:eastAsia="宋体" w:cs="Times New Roman"/>
          <w:color w:val="auto"/>
          <w:sz w:val="24"/>
          <w:highlight w:val="none"/>
        </w:rPr>
        <w:t>，不在生态红线范围内。根据调查，建设项目影响范围内无重要生态影响功能区域，建设项目影响范围内无自然保护区、风景名胜区、森林公园、地质公园、重要湿地等特殊生态敏感区以及重要生态敏感区。因此，本项目的建设不违背生态红线区域保护规划的要求。拟建项目与淮南市生态保护红线区域分布的相对位置关系见附图</w:t>
      </w:r>
      <w:r>
        <w:rPr>
          <w:rFonts w:hint="eastAsia" w:ascii="Times New Roman" w:hAnsi="Times New Roman" w:eastAsia="宋体" w:cs="Times New Roman"/>
          <w:color w:val="auto"/>
          <w:sz w:val="24"/>
          <w:highlight w:val="none"/>
          <w:lang w:val="en-US" w:eastAsia="zh-CN"/>
        </w:rPr>
        <w:t>2.5-3</w:t>
      </w:r>
      <w:r>
        <w:rPr>
          <w:rFonts w:hint="eastAsia" w:ascii="Times New Roman" w:hAnsi="Times New Roman" w:eastAsia="宋体" w:cs="Times New Roman"/>
          <w:color w:val="auto"/>
          <w:sz w:val="24"/>
          <w:highlight w:val="none"/>
          <w:lang w:val="zh-CN"/>
        </w:rPr>
        <w:t>。</w:t>
      </w:r>
      <w:r>
        <w:rPr>
          <w:rFonts w:hint="eastAsia" w:ascii="Times New Roman" w:hAnsi="Times New Roman" w:eastAsia="宋体" w:cs="Times New Roman"/>
          <w:color w:val="auto"/>
          <w:sz w:val="24"/>
          <w:highlight w:val="none"/>
          <w:lang w:val="en-US" w:eastAsia="zh-CN"/>
        </w:rPr>
        <w:t>本项目生产过程中产生的洗车废水、初期雨水经隔油沉淀后与间接循环冷却水、脱盐水制备产生的浓水、反冲洗废水等生产废水接管至田家庵区污水处理站处理后外排，生活污水经园区化粪池处理后进入田家庵经开区</w:t>
      </w:r>
      <w:r>
        <w:rPr>
          <w:rFonts w:hint="eastAsia" w:ascii="Times New Roman" w:hAnsi="Times New Roman" w:eastAsia="宋体" w:cs="Times New Roman"/>
          <w:color w:val="auto"/>
          <w:sz w:val="24"/>
          <w:highlight w:val="none"/>
        </w:rPr>
        <w:t>污水处理站集中处理</w:t>
      </w:r>
      <w:r>
        <w:rPr>
          <w:rFonts w:hint="eastAsia" w:ascii="Times New Roman" w:hAnsi="Times New Roman" w:eastAsia="宋体" w:cs="Times New Roman"/>
          <w:color w:val="auto"/>
          <w:sz w:val="24"/>
          <w:highlight w:val="none"/>
          <w:lang w:eastAsia="zh-CN"/>
        </w:rPr>
        <w:t>。</w:t>
      </w:r>
      <w:r>
        <w:rPr>
          <w:rFonts w:hint="eastAsia"/>
          <w:color w:val="auto"/>
          <w:sz w:val="24"/>
          <w:highlight w:val="none"/>
        </w:rPr>
        <w:t>本项目周边地表水体详见图</w:t>
      </w:r>
      <w:r>
        <w:rPr>
          <w:rFonts w:hint="eastAsia"/>
          <w:color w:val="auto"/>
          <w:sz w:val="24"/>
          <w:highlight w:val="none"/>
          <w:lang w:val="en-US" w:eastAsia="zh-CN"/>
        </w:rPr>
        <w:t>2</w:t>
      </w:r>
      <w:r>
        <w:rPr>
          <w:rFonts w:hint="eastAsia"/>
          <w:color w:val="auto"/>
          <w:sz w:val="24"/>
          <w:highlight w:val="none"/>
        </w:rPr>
        <w:t>.</w:t>
      </w:r>
      <w:r>
        <w:rPr>
          <w:rFonts w:hint="eastAsia"/>
          <w:color w:val="auto"/>
          <w:sz w:val="24"/>
          <w:highlight w:val="none"/>
          <w:lang w:val="en-US" w:eastAsia="zh-CN"/>
        </w:rPr>
        <w:t>5</w:t>
      </w:r>
      <w:r>
        <w:rPr>
          <w:rFonts w:hint="eastAsia"/>
          <w:color w:val="auto"/>
          <w:sz w:val="24"/>
          <w:highlight w:val="none"/>
        </w:rPr>
        <w:t>-</w:t>
      </w:r>
      <w:r>
        <w:rPr>
          <w:rFonts w:hint="eastAsia"/>
          <w:color w:val="auto"/>
          <w:sz w:val="24"/>
          <w:highlight w:val="none"/>
          <w:lang w:val="en-US" w:eastAsia="zh-CN"/>
        </w:rPr>
        <w:t>4</w:t>
      </w:r>
      <w:r>
        <w:rPr>
          <w:rFonts w:hint="eastAsia"/>
          <w:color w:val="auto"/>
          <w:sz w:val="24"/>
          <w:highlight w:val="none"/>
          <w:lang w:eastAsia="zh-CN"/>
        </w:rPr>
        <w:t>。</w:t>
      </w:r>
    </w:p>
    <w:p w14:paraId="7ACEA52B">
      <w:pPr>
        <w:pStyle w:val="23"/>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eastAsia="黑体"/>
          <w:color w:val="auto"/>
          <w:highlight w:val="none"/>
          <w:lang w:eastAsia="zh-CN"/>
        </w:rPr>
      </w:pPr>
      <w:r>
        <w:rPr>
          <w:color w:val="auto"/>
          <w:sz w:val="21"/>
          <w:highlight w:val="none"/>
        </w:rPr>
        <mc:AlternateContent>
          <mc:Choice Requires="wps">
            <w:drawing>
              <wp:anchor distT="0" distB="0" distL="114300" distR="114300" simplePos="0" relativeHeight="251714560" behindDoc="0" locked="0" layoutInCell="1" allowOverlap="1">
                <wp:simplePos x="0" y="0"/>
                <wp:positionH relativeFrom="column">
                  <wp:posOffset>4103370</wp:posOffset>
                </wp:positionH>
                <wp:positionV relativeFrom="paragraph">
                  <wp:posOffset>3703955</wp:posOffset>
                </wp:positionV>
                <wp:extent cx="76200" cy="76200"/>
                <wp:effectExtent l="6350" t="5080" r="12700" b="13970"/>
                <wp:wrapNone/>
                <wp:docPr id="259" name="自选图形 816"/>
                <wp:cNvGraphicFramePr/>
                <a:graphic xmlns:a="http://schemas.openxmlformats.org/drawingml/2006/main">
                  <a:graphicData uri="http://schemas.microsoft.com/office/word/2010/wordprocessingShape">
                    <wps:wsp>
                      <wps:cNvSpPr/>
                      <wps:spPr>
                        <a:xfrm rot="-108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16" o:spid="_x0000_s1026" o:spt="7" type="#_x0000_t7" style="position:absolute;left:0pt;flip:y;margin-left:323.1pt;margin-top:291.65pt;height:6pt;width:6pt;rotation:11796480f;z-index:251714560;mso-width-relative:page;mso-height-relative:page;" fillcolor="#FFFFFF" filled="t" stroked="t" coordsize="21600,21600" o:gfxdata="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ep99y1wAAAAsBAAAPAAAAAAAAAAEAIAAAACIAAABkcnMv&#10;ZG93bnJldi54bWxQSwECFAAUAAAACACHTuJAcXcm6T0CAACCBAAADgAAAAAAAAABACAAAAAmAQAA&#10;ZHJzL2Uyb0RvYy54bWxQSwUGAAAAAAYABgBZAQAA1QUAAAAA&#10;" adj="5400">
                <v:fill on="t" focussize="0,0"/>
                <v:stroke color="#000000" joinstyle="miter"/>
                <v:imagedata o:title=""/>
                <o:lock v:ext="edit" aspectratio="f"/>
              </v:shape>
            </w:pict>
          </mc:Fallback>
        </mc:AlternateContent>
      </w:r>
      <w:r>
        <w:rPr>
          <w:color w:val="auto"/>
          <w:sz w:val="21"/>
          <w:highlight w:val="none"/>
        </w:rPr>
        <mc:AlternateContent>
          <mc:Choice Requires="wps">
            <w:drawing>
              <wp:anchor distT="0" distB="0" distL="114300" distR="114300" simplePos="0" relativeHeight="251713536" behindDoc="0" locked="0" layoutInCell="1" allowOverlap="1">
                <wp:simplePos x="0" y="0"/>
                <wp:positionH relativeFrom="column">
                  <wp:posOffset>902970</wp:posOffset>
                </wp:positionH>
                <wp:positionV relativeFrom="paragraph">
                  <wp:posOffset>1522730</wp:posOffset>
                </wp:positionV>
                <wp:extent cx="76200" cy="76200"/>
                <wp:effectExtent l="20955" t="10160" r="36195" b="27940"/>
                <wp:wrapNone/>
                <wp:docPr id="257" name="自选图形 817"/>
                <wp:cNvGraphicFramePr/>
                <a:graphic xmlns:a="http://schemas.openxmlformats.org/drawingml/2006/main">
                  <a:graphicData uri="http://schemas.microsoft.com/office/word/2010/wordprocessingShape">
                    <wps:wsp>
                      <wps:cNvSpPr/>
                      <wps:spPr>
                        <a:xfrm rot="912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17" o:spid="_x0000_s1026" o:spt="7" type="#_x0000_t7" style="position:absolute;left:0pt;flip:y;margin-left:71.1pt;margin-top:119.9pt;height:6pt;width:6pt;rotation:-9961472f;z-index:251713536;mso-width-relative:page;mso-height-relative:page;" fillcolor="#FFFFFF" filled="t" stroked="t" coordsize="21600,21600" o:gfxdata="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zd8TPYAAAACwEAAA8AAAAAAAAAAQAgAAAAIgAAAGRycy9k&#10;b3ducmV2LnhtbFBLAQIUABQAAAAIAIdO4kA5VFSPOwIAAIAEAAAOAAAAAAAAAAEAIAAAACcBAABk&#10;cnMvZTJvRG9jLnhtbFBLBQYAAAAABgAGAFkBAADUBQAAAAA=&#10;" adj="5400">
                <v:fill on="t" focussize="0,0"/>
                <v:stroke color="#000000" joinstyle="miter"/>
                <v:imagedata o:title=""/>
                <o:lock v:ext="edit" aspectratio="f"/>
              </v:shape>
            </w:pict>
          </mc:Fallback>
        </mc:AlternateContent>
      </w:r>
      <w:r>
        <w:rPr>
          <w:color w:val="auto"/>
          <w:sz w:val="21"/>
          <w:highlight w:val="none"/>
        </w:rPr>
        <mc:AlternateContent>
          <mc:Choice Requires="wps">
            <w:drawing>
              <wp:anchor distT="0" distB="0" distL="114300" distR="114300" simplePos="0" relativeHeight="251712512" behindDoc="0" locked="0" layoutInCell="1" allowOverlap="1">
                <wp:simplePos x="0" y="0"/>
                <wp:positionH relativeFrom="column">
                  <wp:posOffset>263525</wp:posOffset>
                </wp:positionH>
                <wp:positionV relativeFrom="paragraph">
                  <wp:posOffset>862965</wp:posOffset>
                </wp:positionV>
                <wp:extent cx="2221865" cy="1375410"/>
                <wp:effectExtent l="4445" t="5080" r="2345690" b="448310"/>
                <wp:wrapNone/>
                <wp:docPr id="256" name="自选图形 681"/>
                <wp:cNvGraphicFramePr/>
                <a:graphic xmlns:a="http://schemas.openxmlformats.org/drawingml/2006/main">
                  <a:graphicData uri="http://schemas.microsoft.com/office/word/2010/wordprocessingShape">
                    <wps:wsp>
                      <wps:cNvSpPr/>
                      <wps:spPr>
                        <a:xfrm>
                          <a:off x="0" y="0"/>
                          <a:ext cx="2221865" cy="1375410"/>
                        </a:xfrm>
                        <a:prstGeom prst="wedgeRectCallout">
                          <a:avLst>
                            <a:gd name="adj1" fmla="val 153912"/>
                            <a:gd name="adj2" fmla="val 81546"/>
                          </a:avLst>
                        </a:prstGeom>
                        <a:solidFill>
                          <a:srgbClr val="FFFFFF"/>
                        </a:solidFill>
                        <a:ln w="9525" cap="flat" cmpd="sng">
                          <a:solidFill>
                            <a:srgbClr val="FF0000"/>
                          </a:solidFill>
                          <a:prstDash val="solid"/>
                          <a:miter/>
                          <a:headEnd type="none" w="med" len="med"/>
                          <a:tailEnd type="none" w="med" len="med"/>
                        </a:ln>
                      </wps:spPr>
                      <wps:txbx>
                        <w:txbxContent>
                          <w:p w14:paraId="4D5C0D3F">
                            <w:pPr>
                              <w:pStyle w:val="3"/>
                              <w:ind w:left="0" w:leftChars="0" w:firstLine="0" w:firstLineChars="0"/>
                              <w:jc w:val="both"/>
                              <w:rPr>
                                <w:rFonts w:hint="eastAsia" w:eastAsia="宋体"/>
                                <w:color w:val="FF0000"/>
                                <w:lang w:val="en-US" w:eastAsia="zh-CN"/>
                              </w:rPr>
                            </w:pPr>
                            <w:r>
                              <w:rPr>
                                <w:rFonts w:hint="eastAsia" w:eastAsia="宋体"/>
                                <w:color w:val="FF0000"/>
                                <w:lang w:val="en-US" w:eastAsia="zh-CN"/>
                              </w:rPr>
                              <w:drawing>
                                <wp:inline distT="0" distB="0" distL="114300" distR="114300">
                                  <wp:extent cx="1705610" cy="1656715"/>
                                  <wp:effectExtent l="0" t="0" r="8890" b="635"/>
                                  <wp:docPr id="538" name="图片 289" descr="fb2978a42f06d9b6cf9fbc3456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289" descr="fb2978a42f06d9b6cf9fbc345644063"/>
                                          <pic:cNvPicPr>
                                            <a:picLocks noChangeAspect="1"/>
                                          </pic:cNvPicPr>
                                        </pic:nvPicPr>
                                        <pic:blipFill>
                                          <a:blip r:embed="rId15"/>
                                          <a:stretch>
                                            <a:fillRect/>
                                          </a:stretch>
                                        </pic:blipFill>
                                        <pic:spPr>
                                          <a:xfrm>
                                            <a:off x="0" y="0"/>
                                            <a:ext cx="1705610" cy="1656715"/>
                                          </a:xfrm>
                                          <a:prstGeom prst="rect">
                                            <a:avLst/>
                                          </a:prstGeom>
                                          <a:noFill/>
                                          <a:ln>
                                            <a:noFill/>
                                          </a:ln>
                                        </pic:spPr>
                                      </pic:pic>
                                    </a:graphicData>
                                  </a:graphic>
                                </wp:inline>
                              </w:drawing>
                            </w:r>
                          </w:p>
                          <w:p w14:paraId="3D0BE07B">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wrap="none" upright="1">
                        <a:spAutoFit/>
                      </wps:bodyPr>
                    </wps:wsp>
                  </a:graphicData>
                </a:graphic>
              </wp:anchor>
            </w:drawing>
          </mc:Choice>
          <mc:Fallback>
            <w:pict>
              <v:shape id="自选图形 681" o:spid="_x0000_s1026" o:spt="61" type="#_x0000_t61" style="position:absolute;left:0pt;margin-left:20.75pt;margin-top:67.95pt;height:108.3pt;width:174.95pt;mso-wrap-style:none;z-index:251712512;mso-width-relative:page;mso-height-relative:page;" fillcolor="#FFFFFF" filled="t" stroked="t" coordsize="21600,21600" o:gfxdata="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zWtyLNkAAAAKAQAADwAA&#10;AAAAAAABACAAAAAiAAAAZHJzL2Rvd25yZXYueG1sUEsBAhQAFAAAAAgAh07iQPkyXjVOAgAAuAQA&#10;AA4AAAAAAAAAAQAgAAAAKAEAAGRycy9lMm9Eb2MueG1sUEsFBgAAAAAGAAYAWQEAAOgFAAAAAA==&#10;" adj="44045,28414">
                <v:fill on="t" focussize="0,0"/>
                <v:stroke color="#FF0000" joinstyle="miter"/>
                <v:imagedata o:title=""/>
                <o:lock v:ext="edit" aspectratio="f"/>
                <v:textbox style="mso-fit-shape-to-text:t;">
                  <w:txbxContent>
                    <w:p w14:paraId="4D5C0D3F">
                      <w:pPr>
                        <w:pStyle w:val="3"/>
                        <w:ind w:left="0" w:leftChars="0" w:firstLine="0" w:firstLineChars="0"/>
                        <w:jc w:val="both"/>
                        <w:rPr>
                          <w:rFonts w:hint="eastAsia" w:eastAsia="宋体"/>
                          <w:color w:val="FF0000"/>
                          <w:lang w:val="en-US" w:eastAsia="zh-CN"/>
                        </w:rPr>
                      </w:pPr>
                      <w:r>
                        <w:rPr>
                          <w:rFonts w:hint="eastAsia" w:eastAsia="宋体"/>
                          <w:color w:val="FF0000"/>
                          <w:lang w:val="en-US" w:eastAsia="zh-CN"/>
                        </w:rPr>
                        <w:drawing>
                          <wp:inline distT="0" distB="0" distL="114300" distR="114300">
                            <wp:extent cx="1705610" cy="1656715"/>
                            <wp:effectExtent l="0" t="0" r="8890" b="635"/>
                            <wp:docPr id="538" name="图片 289" descr="fb2978a42f06d9b6cf9fbc34564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289" descr="fb2978a42f06d9b6cf9fbc345644063"/>
                                    <pic:cNvPicPr>
                                      <a:picLocks noChangeAspect="1"/>
                                    </pic:cNvPicPr>
                                  </pic:nvPicPr>
                                  <pic:blipFill>
                                    <a:blip r:embed="rId15"/>
                                    <a:stretch>
                                      <a:fillRect/>
                                    </a:stretch>
                                  </pic:blipFill>
                                  <pic:spPr>
                                    <a:xfrm>
                                      <a:off x="0" y="0"/>
                                      <a:ext cx="1705610" cy="1656715"/>
                                    </a:xfrm>
                                    <a:prstGeom prst="rect">
                                      <a:avLst/>
                                    </a:prstGeom>
                                    <a:noFill/>
                                    <a:ln>
                                      <a:noFill/>
                                    </a:ln>
                                  </pic:spPr>
                                </pic:pic>
                              </a:graphicData>
                            </a:graphic>
                          </wp:inline>
                        </w:drawing>
                      </w:r>
                    </w:p>
                    <w:p w14:paraId="3D0BE07B">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rPr>
          <w:color w:val="auto"/>
          <w:highlight w:val="none"/>
        </w:rPr>
        <w:drawing>
          <wp:inline distT="0" distB="0" distL="114300" distR="114300">
            <wp:extent cx="5377180" cy="7602855"/>
            <wp:effectExtent l="0" t="0" r="13970" b="17145"/>
            <wp:docPr id="539" name="图片 29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290" descr="IMG_256"/>
                    <pic:cNvPicPr>
                      <a:picLocks noChangeAspect="1"/>
                    </pic:cNvPicPr>
                  </pic:nvPicPr>
                  <pic:blipFill>
                    <a:blip r:embed="rId16"/>
                    <a:stretch>
                      <a:fillRect/>
                    </a:stretch>
                  </pic:blipFill>
                  <pic:spPr>
                    <a:xfrm>
                      <a:off x="0" y="0"/>
                      <a:ext cx="5377180" cy="7602855"/>
                    </a:xfrm>
                    <a:prstGeom prst="rect">
                      <a:avLst/>
                    </a:prstGeom>
                    <a:noFill/>
                    <a:ln>
                      <a:noFill/>
                    </a:ln>
                  </pic:spPr>
                </pic:pic>
              </a:graphicData>
            </a:graphic>
          </wp:inline>
        </w:drawing>
      </w:r>
    </w:p>
    <w:p w14:paraId="32086753">
      <w:pPr>
        <w:pStyle w:val="549"/>
        <w:bidi w:val="0"/>
        <w:rPr>
          <w:rFonts w:hint="eastAsia"/>
          <w:color w:val="auto"/>
          <w:highlight w:val="none"/>
          <w:lang w:val="en-US" w:eastAsia="zh-CN"/>
        </w:rPr>
      </w:pPr>
      <w:r>
        <w:rPr>
          <w:rFonts w:hint="eastAsia"/>
          <w:color w:val="auto"/>
          <w:highlight w:val="none"/>
          <w:lang w:val="en-US" w:eastAsia="zh-CN"/>
        </w:rPr>
        <w:t>图2.5-4  本项目与生态红线相对位置关系图</w:t>
      </w:r>
    </w:p>
    <w:p w14:paraId="77369286">
      <w:pPr>
        <w:pStyle w:val="100"/>
        <w:keepNext w:val="0"/>
        <w:keepLines w:val="0"/>
        <w:pageBreakBefore w:val="0"/>
        <w:widowControl w:val="0"/>
        <w:kinsoku/>
        <w:wordWrap/>
        <w:overflowPunct/>
        <w:topLinePunct w:val="0"/>
        <w:autoSpaceDE w:val="0"/>
        <w:autoSpaceDN w:val="0"/>
        <w:bidi w:val="0"/>
        <w:adjustRightInd w:val="0"/>
        <w:snapToGrid/>
        <w:ind w:firstLine="0" w:firstLineChars="0"/>
        <w:textAlignment w:val="auto"/>
        <w:rPr>
          <w:rFonts w:hint="eastAsia"/>
          <w:color w:val="auto"/>
          <w:highlight w:val="none"/>
        </w:rPr>
      </w:pPr>
      <w:r>
        <w:rPr>
          <w:color w:val="auto"/>
          <w:sz w:val="21"/>
          <w:highlight w:val="none"/>
        </w:rPr>
        <mc:AlternateContent>
          <mc:Choice Requires="wps">
            <w:drawing>
              <wp:anchor distT="0" distB="0" distL="114300" distR="114300" simplePos="0" relativeHeight="251710464" behindDoc="0" locked="0" layoutInCell="1" allowOverlap="1">
                <wp:simplePos x="0" y="0"/>
                <wp:positionH relativeFrom="column">
                  <wp:posOffset>798195</wp:posOffset>
                </wp:positionH>
                <wp:positionV relativeFrom="paragraph">
                  <wp:posOffset>3456305</wp:posOffset>
                </wp:positionV>
                <wp:extent cx="76200" cy="76200"/>
                <wp:effectExtent l="20320" t="10160" r="36830" b="27940"/>
                <wp:wrapNone/>
                <wp:docPr id="254" name="自选图形 819"/>
                <wp:cNvGraphicFramePr/>
                <a:graphic xmlns:a="http://schemas.openxmlformats.org/drawingml/2006/main">
                  <a:graphicData uri="http://schemas.microsoft.com/office/word/2010/wordprocessingShape">
                    <wps:wsp>
                      <wps:cNvSpPr/>
                      <wps:spPr>
                        <a:xfrm rot="93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19" o:spid="_x0000_s1026" o:spt="7" type="#_x0000_t7" style="position:absolute;left:0pt;flip:y;margin-left:62.85pt;margin-top:272.15pt;height:6pt;width:6pt;rotation:-10158080f;z-index:251710464;mso-width-relative:page;mso-height-relative:page;" fillcolor="#FFFFFF" filled="t" stroked="t" coordsize="21600,21600" o:gfxdata="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jqc1+NoAAAALAQAADwAAAAAAAAABACAAAAAiAAAAZHJz&#10;L2Rvd25yZXYueG1sUEsBAhQAFAAAAAgAh07iQBRAnE47AgAAgAQAAA4AAAAAAAAAAQAgAAAAKQEA&#10;AGRycy9lMm9Eb2MueG1sUEsFBgAAAAAGAAYAWQEAANYFAAAAAA==&#10;" adj="5400">
                <v:fill on="t" focussize="0,0"/>
                <v:stroke color="#000000" joinstyle="miter"/>
                <v:imagedata o:title=""/>
                <o:lock v:ext="edit" aspectratio="f"/>
              </v:shape>
            </w:pict>
          </mc:Fallback>
        </mc:AlternateContent>
      </w:r>
      <w:r>
        <w:rPr>
          <w:color w:val="auto"/>
          <w:sz w:val="21"/>
          <w:highlight w:val="none"/>
        </w:rPr>
        <mc:AlternateContent>
          <mc:Choice Requires="wpg">
            <w:drawing>
              <wp:anchor distT="0" distB="0" distL="114300" distR="114300" simplePos="0" relativeHeight="251708416" behindDoc="0" locked="0" layoutInCell="1" allowOverlap="1">
                <wp:simplePos x="0" y="0"/>
                <wp:positionH relativeFrom="column">
                  <wp:posOffset>3991610</wp:posOffset>
                </wp:positionH>
                <wp:positionV relativeFrom="paragraph">
                  <wp:posOffset>3914775</wp:posOffset>
                </wp:positionV>
                <wp:extent cx="969010" cy="755650"/>
                <wp:effectExtent l="4445" t="4445" r="17145" b="20955"/>
                <wp:wrapNone/>
                <wp:docPr id="250" name="组合 820"/>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248" name="矩形 821"/>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wrap="square" upright="1"/>
                      </wps:wsp>
                      <wps:wsp>
                        <wps:cNvPr id="249" name="自选图形 822"/>
                        <wps:cNvSpPr/>
                        <wps:spPr>
                          <a:xfrm rot="10200000" flipV="1">
                            <a:off x="8728" y="533060"/>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820" o:spid="_x0000_s1026" o:spt="203" style="position:absolute;left:0pt;margin-left:314.3pt;margin-top:308.25pt;height:59.5pt;width:76.3pt;z-index:251708416;mso-width-relative:page;mso-height-relative:page;" coordorigin="8297,532777" coordsize="1526,1190" o:gfxdata="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">
                <o:lock v:ext="edit" aspectratio="f"/>
                <v:rect id="矩形 821" o:spid="_x0000_s1026" o:spt="1" style="position:absolute;left:8297;top:532777;height:1190;width:1526;" fillcolor="#FFFFFF" filled="t" stroked="t" coordsize="21600,21600" o:gfxdata="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pcwVbsAAADc&#10;AAAADwAAAAAAAAABACAAAAAiAAAAZHJzL2Rvd25yZXYueG1sUEsBAhQAFAAAAAgAh07iQDMvBZ47&#10;AAAAOQAAABAAAAAAAAAAAQAgAAAACgEAAGRycy9zaGFwZXhtbC54bWxQSwUGAAAAAAYABgBbAQAA&#10;tAMAAAAA&#10;">
                  <v:fill on="t" opacity="0f" focussize="0,0"/>
                  <v:stroke color="#000000" joinstyle="miter"/>
                  <v:imagedata o:title=""/>
                  <o:lock v:ext="edit" aspectratio="f"/>
                </v:rect>
                <v:shape id="自选图形 822" o:spid="_x0000_s1026" o:spt="7" type="#_x0000_t7" style="position:absolute;left:8728;top:533060;flip:y;height:120;width:120;rotation:-11141120f;" fillcolor="#FFFFFF" filled="t" stroked="t" coordsize="21600,21600" o:gfxdata="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KfM9K/&#10;AAAA3AAAAA8AAAAAAAAAAQAgAAAAIgAAAGRycy9kb3ducmV2LnhtbFBLAQIUABQAAAAIAIdO4kAz&#10;LwWeOwAAADkAAAAQAAAAAAAAAAEAIAAAAA4BAABkcnMvc2hhcGV4bWwueG1sUEsFBgAAAAAGAAYA&#10;WwEAALgDAAAAAA==&#10;" adj="5400">
                  <v:fill on="t" focussize="0,0"/>
                  <v:stroke color="#000000" joinstyle="miter"/>
                  <v:imagedata o:title=""/>
                  <o:lock v:ext="edit" aspectratio="f"/>
                </v:shape>
              </v:group>
            </w:pict>
          </mc:Fallback>
        </mc:AlternateContent>
      </w:r>
      <w:r>
        <w:rPr>
          <w:rFonts w:hint="eastAsia" w:eastAsia="宋体"/>
          <w:b/>
          <w:color w:val="auto"/>
          <w:sz w:val="24"/>
          <w:highlight w:val="none"/>
          <w:lang w:eastAsia="zh-CN"/>
        </w:rPr>
        <w:drawing>
          <wp:inline distT="0" distB="0" distL="114300" distR="114300">
            <wp:extent cx="6113780" cy="8494395"/>
            <wp:effectExtent l="0" t="0" r="1270" b="1905"/>
            <wp:docPr id="541" name="图片 291" descr="04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291" descr="04水系图"/>
                    <pic:cNvPicPr>
                      <a:picLocks noChangeAspect="1"/>
                    </pic:cNvPicPr>
                  </pic:nvPicPr>
                  <pic:blipFill>
                    <a:blip r:embed="rId17"/>
                    <a:srcRect/>
                    <a:stretch>
                      <a:fillRect/>
                    </a:stretch>
                  </pic:blipFill>
                  <pic:spPr>
                    <a:xfrm>
                      <a:off x="0" y="0"/>
                      <a:ext cx="6113780" cy="8494395"/>
                    </a:xfrm>
                    <a:prstGeom prst="rect">
                      <a:avLst/>
                    </a:prstGeom>
                    <a:noFill/>
                    <a:ln>
                      <a:noFill/>
                    </a:ln>
                  </pic:spPr>
                </pic:pic>
              </a:graphicData>
            </a:graphic>
          </wp:inline>
        </w:drawing>
      </w:r>
      <w:r>
        <w:rPr>
          <w:color w:val="auto"/>
          <w:sz w:val="21"/>
          <w:highlight w:val="none"/>
        </w:rPr>
        <mc:AlternateContent>
          <mc:Choice Requires="wps">
            <w:drawing>
              <wp:anchor distT="0" distB="0" distL="114300" distR="114300" simplePos="0" relativeHeight="251711488" behindDoc="0" locked="0" layoutInCell="1" allowOverlap="1">
                <wp:simplePos x="0" y="0"/>
                <wp:positionH relativeFrom="column">
                  <wp:posOffset>282575</wp:posOffset>
                </wp:positionH>
                <wp:positionV relativeFrom="paragraph">
                  <wp:posOffset>2996565</wp:posOffset>
                </wp:positionV>
                <wp:extent cx="2221865" cy="1375410"/>
                <wp:effectExtent l="4445" t="5080" r="2955290" b="10160"/>
                <wp:wrapNone/>
                <wp:docPr id="255" name="自选图形 823"/>
                <wp:cNvGraphicFramePr/>
                <a:graphic xmlns:a="http://schemas.openxmlformats.org/drawingml/2006/main">
                  <a:graphicData uri="http://schemas.microsoft.com/office/word/2010/wordprocessingShape">
                    <wps:wsp>
                      <wps:cNvSpPr/>
                      <wps:spPr>
                        <a:xfrm>
                          <a:off x="0" y="0"/>
                          <a:ext cx="2221865" cy="1375410"/>
                        </a:xfrm>
                        <a:prstGeom prst="wedgeRectCallout">
                          <a:avLst>
                            <a:gd name="adj1" fmla="val 180838"/>
                            <a:gd name="adj2" fmla="val 20838"/>
                          </a:avLst>
                        </a:prstGeom>
                        <a:solidFill>
                          <a:srgbClr val="FFFFFF"/>
                        </a:solidFill>
                        <a:ln w="9525" cap="flat" cmpd="sng">
                          <a:solidFill>
                            <a:srgbClr val="FF0000"/>
                          </a:solidFill>
                          <a:prstDash val="solid"/>
                          <a:miter/>
                          <a:headEnd type="none" w="med" len="med"/>
                          <a:tailEnd type="none" w="med" len="med"/>
                        </a:ln>
                      </wps:spPr>
                      <wps:txbx>
                        <w:txbxContent>
                          <w:p w14:paraId="3CAEA4C4">
                            <w:pPr>
                              <w:ind w:left="0" w:leftChars="0" w:firstLine="0" w:firstLineChars="0"/>
                              <w:rPr>
                                <w:rFonts w:hint="eastAsia" w:eastAsia="宋体"/>
                                <w:b/>
                                <w:bCs/>
                                <w:lang w:eastAsia="zh-CN"/>
                              </w:rPr>
                            </w:pPr>
                            <w:r>
                              <w:rPr>
                                <w:rFonts w:hint="eastAsia" w:eastAsia="宋体"/>
                                <w:b/>
                                <w:bCs/>
                                <w:lang w:eastAsia="zh-CN"/>
                              </w:rPr>
                              <w:drawing>
                                <wp:inline distT="0" distB="0" distL="114300" distR="114300">
                                  <wp:extent cx="1525905" cy="1159510"/>
                                  <wp:effectExtent l="0" t="0" r="17145" b="2540"/>
                                  <wp:docPr id="540" name="图片 292" descr="61fd5f15f7f0dde536fb6fd7c8b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292" descr="61fd5f15f7f0dde536fb6fd7c8b8201"/>
                                          <pic:cNvPicPr>
                                            <a:picLocks noChangeAspect="1"/>
                                          </pic:cNvPicPr>
                                        </pic:nvPicPr>
                                        <pic:blipFill>
                                          <a:blip r:embed="rId18"/>
                                          <a:stretch>
                                            <a:fillRect/>
                                          </a:stretch>
                                        </pic:blipFill>
                                        <pic:spPr>
                                          <a:xfrm>
                                            <a:off x="0" y="0"/>
                                            <a:ext cx="1525905" cy="1159510"/>
                                          </a:xfrm>
                                          <a:prstGeom prst="rect">
                                            <a:avLst/>
                                          </a:prstGeom>
                                          <a:noFill/>
                                          <a:ln>
                                            <a:noFill/>
                                          </a:ln>
                                        </pic:spPr>
                                      </pic:pic>
                                    </a:graphicData>
                                  </a:graphic>
                                </wp:inline>
                              </w:drawing>
                            </w:r>
                          </w:p>
                          <w:p w14:paraId="53F70E21">
                            <w:pPr>
                              <w:pStyle w:val="3"/>
                              <w:ind w:left="0" w:leftChars="0" w:firstLine="0" w:firstLineChars="0"/>
                              <w:jc w:val="left"/>
                              <w:rPr>
                                <w:rFonts w:hint="default"/>
                                <w:color w:val="FF0000"/>
                                <w:lang w:val="en-US" w:eastAsia="zh-CN"/>
                              </w:rPr>
                            </w:pPr>
                            <w:r>
                              <w:rPr>
                                <w:rFonts w:hint="eastAsia" w:eastAsia="宋体"/>
                                <w:color w:val="FF0000"/>
                                <w:lang w:val="en-US" w:eastAsia="zh-CN"/>
                              </w:rPr>
                              <w:t>本项目局部放大图</w:t>
                            </w:r>
                          </w:p>
                        </w:txbxContent>
                      </wps:txbx>
                      <wps:bodyPr wrap="none" upright="1">
                        <a:spAutoFit/>
                      </wps:bodyPr>
                    </wps:wsp>
                  </a:graphicData>
                </a:graphic>
              </wp:anchor>
            </w:drawing>
          </mc:Choice>
          <mc:Fallback>
            <w:pict>
              <v:shape id="自选图形 823" o:spid="_x0000_s1026" o:spt="61" type="#_x0000_t61" style="position:absolute;left:0pt;margin-left:22.25pt;margin-top:235.95pt;height:108.3pt;width:174.95pt;mso-wrap-style:none;z-index:251711488;mso-width-relative:page;mso-height-relative:page;" fillcolor="#FFFFFF" filled="t" stroked="t" coordsize="21600,21600" o:gfxdata="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AmrRN2AAAAAoBAAAPAAAAAAAA&#10;AAEAIAAAACIAAABkcnMvZG93bnJldi54bWxQSwECFAAUAAAACACHTuJAQQj6PEsCAAC4BAAADgAA&#10;AAAAAAABACAAAAAnAQAAZHJzL2Uyb0RvYy54bWxQSwUGAAAAAAYABgBZAQAA5AUAAAAA&#10;" adj="49861,15301">
                <v:fill on="t" focussize="0,0"/>
                <v:stroke color="#FF0000" joinstyle="miter"/>
                <v:imagedata o:title=""/>
                <o:lock v:ext="edit" aspectratio="f"/>
                <v:textbox style="mso-fit-shape-to-text:t;">
                  <w:txbxContent>
                    <w:p w14:paraId="3CAEA4C4">
                      <w:pPr>
                        <w:ind w:left="0" w:leftChars="0" w:firstLine="0" w:firstLineChars="0"/>
                        <w:rPr>
                          <w:rFonts w:hint="eastAsia" w:eastAsia="宋体"/>
                          <w:b/>
                          <w:bCs/>
                          <w:lang w:eastAsia="zh-CN"/>
                        </w:rPr>
                      </w:pPr>
                      <w:r>
                        <w:rPr>
                          <w:rFonts w:hint="eastAsia" w:eastAsia="宋体"/>
                          <w:b/>
                          <w:bCs/>
                          <w:lang w:eastAsia="zh-CN"/>
                        </w:rPr>
                        <w:drawing>
                          <wp:inline distT="0" distB="0" distL="114300" distR="114300">
                            <wp:extent cx="1525905" cy="1159510"/>
                            <wp:effectExtent l="0" t="0" r="17145" b="2540"/>
                            <wp:docPr id="540" name="图片 292" descr="61fd5f15f7f0dde536fb6fd7c8b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292" descr="61fd5f15f7f0dde536fb6fd7c8b8201"/>
                                    <pic:cNvPicPr>
                                      <a:picLocks noChangeAspect="1"/>
                                    </pic:cNvPicPr>
                                  </pic:nvPicPr>
                                  <pic:blipFill>
                                    <a:blip r:embed="rId18"/>
                                    <a:stretch>
                                      <a:fillRect/>
                                    </a:stretch>
                                  </pic:blipFill>
                                  <pic:spPr>
                                    <a:xfrm>
                                      <a:off x="0" y="0"/>
                                      <a:ext cx="1525905" cy="1159510"/>
                                    </a:xfrm>
                                    <a:prstGeom prst="rect">
                                      <a:avLst/>
                                    </a:prstGeom>
                                    <a:noFill/>
                                    <a:ln>
                                      <a:noFill/>
                                    </a:ln>
                                  </pic:spPr>
                                </pic:pic>
                              </a:graphicData>
                            </a:graphic>
                          </wp:inline>
                        </w:drawing>
                      </w:r>
                    </w:p>
                    <w:p w14:paraId="53F70E21">
                      <w:pPr>
                        <w:pStyle w:val="3"/>
                        <w:ind w:left="0" w:leftChars="0" w:firstLine="0" w:firstLineChars="0"/>
                        <w:jc w:val="left"/>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p>
    <w:p w14:paraId="4D763E40">
      <w:pPr>
        <w:pStyle w:val="549"/>
        <w:bidi w:val="0"/>
        <w:rPr>
          <w:rFonts w:hint="eastAsia"/>
          <w:color w:val="auto"/>
          <w:highlight w:val="none"/>
          <w:lang w:val="en-US" w:eastAsia="zh-CN"/>
        </w:rPr>
      </w:pPr>
      <w:r>
        <w:rPr>
          <w:rFonts w:hint="eastAsia"/>
          <w:color w:val="auto"/>
          <w:highlight w:val="none"/>
          <w:lang w:val="en-US" w:eastAsia="zh-CN"/>
        </w:rPr>
        <w:t>图2.5-5  本</w:t>
      </w:r>
      <w:r>
        <w:rPr>
          <w:rFonts w:hint="eastAsia"/>
          <w:color w:val="auto"/>
          <w:highlight w:val="none"/>
        </w:rPr>
        <w:t>项目周边水系分布图</w:t>
      </w:r>
    </w:p>
    <w:p w14:paraId="03064A60">
      <w:pPr>
        <w:pStyle w:val="23"/>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2）环境质量底线</w:t>
      </w:r>
    </w:p>
    <w:p w14:paraId="387E07F4">
      <w:pPr>
        <w:pStyle w:val="23"/>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根据淮南市人民政府网站公布的</w:t>
      </w:r>
      <w:r>
        <w:rPr>
          <w:rFonts w:hint="eastAsia"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rPr>
        <w:t>202</w:t>
      </w:r>
      <w:r>
        <w:rPr>
          <w:rFonts w:hint="eastAsia" w:ascii="Times New Roman" w:hAnsi="Times New Roman" w:eastAsia="宋体" w:cs="Times New Roman"/>
          <w:color w:val="auto"/>
          <w:kern w:val="2"/>
          <w:sz w:val="24"/>
          <w:szCs w:val="24"/>
          <w:highlight w:val="none"/>
          <w:lang w:val="en-US" w:eastAsia="zh-CN"/>
        </w:rPr>
        <w:t>4</w:t>
      </w:r>
      <w:r>
        <w:rPr>
          <w:rFonts w:hint="default" w:ascii="Times New Roman" w:hAnsi="Times New Roman" w:eastAsia="宋体" w:cs="Times New Roman"/>
          <w:color w:val="auto"/>
          <w:kern w:val="2"/>
          <w:sz w:val="24"/>
          <w:szCs w:val="24"/>
          <w:highlight w:val="none"/>
        </w:rPr>
        <w:t>年淮南市环境质量状况公报》，项目所在地的环境空气质量不达标，可吸入细颗粒物（P</w:t>
      </w:r>
      <w:r>
        <w:rPr>
          <w:rFonts w:hint="default" w:ascii="Times New Roman" w:hAnsi="Times New Roman" w:eastAsia="宋体" w:cs="Times New Roman"/>
          <w:color w:val="auto"/>
          <w:kern w:val="2"/>
          <w:sz w:val="24"/>
          <w:szCs w:val="24"/>
          <w:highlight w:val="none"/>
          <w:lang w:val="en-US" w:eastAsia="zh-CN"/>
        </w:rPr>
        <w:t>M</w:t>
      </w:r>
      <w:r>
        <w:rPr>
          <w:rFonts w:hint="default" w:ascii="Times New Roman" w:hAnsi="Times New Roman" w:eastAsia="宋体" w:cs="Times New Roman"/>
          <w:color w:val="auto"/>
          <w:kern w:val="2"/>
          <w:sz w:val="24"/>
          <w:szCs w:val="24"/>
          <w:highlight w:val="none"/>
          <w:vertAlign w:val="subscript"/>
          <w:lang w:val="en-US" w:eastAsia="zh-CN"/>
        </w:rPr>
        <w:t>2.5</w:t>
      </w:r>
      <w:r>
        <w:rPr>
          <w:rFonts w:hint="default" w:ascii="Times New Roman" w:hAnsi="Times New Roman" w:eastAsia="宋体" w:cs="Times New Roman"/>
          <w:color w:val="auto"/>
          <w:kern w:val="2"/>
          <w:sz w:val="24"/>
          <w:szCs w:val="24"/>
          <w:highlight w:val="none"/>
        </w:rPr>
        <w:t>）年均浓度超过《环境空气质量标准》（GB3095-2012）及修改单中二级标准，超标率1</w:t>
      </w:r>
      <w:r>
        <w:rPr>
          <w:rFonts w:hint="eastAsia" w:ascii="Times New Roman" w:hAnsi="Times New Roman" w:eastAsia="宋体" w:cs="Times New Roman"/>
          <w:color w:val="auto"/>
          <w:kern w:val="2"/>
          <w:sz w:val="24"/>
          <w:szCs w:val="24"/>
          <w:highlight w:val="none"/>
          <w:lang w:val="en-US" w:eastAsia="zh-CN"/>
        </w:rPr>
        <w:t>4</w:t>
      </w:r>
      <w:r>
        <w:rPr>
          <w:rFonts w:hint="default" w:ascii="Times New Roman" w:hAnsi="Times New Roman" w:eastAsia="宋体" w:cs="Times New Roman"/>
          <w:color w:val="auto"/>
          <w:kern w:val="2"/>
          <w:sz w:val="24"/>
          <w:szCs w:val="24"/>
          <w:highlight w:val="none"/>
        </w:rPr>
        <w:t>%。全市8个国控断面中优良水质比例为</w:t>
      </w:r>
      <w:r>
        <w:rPr>
          <w:rFonts w:hint="eastAsia" w:ascii="Times New Roman" w:hAnsi="Times New Roman" w:eastAsia="宋体" w:cs="Times New Roman"/>
          <w:color w:val="auto"/>
          <w:kern w:val="2"/>
          <w:sz w:val="24"/>
          <w:szCs w:val="24"/>
          <w:highlight w:val="none"/>
          <w:lang w:val="en-US" w:eastAsia="zh-CN"/>
        </w:rPr>
        <w:t>91.7</w:t>
      </w:r>
      <w:r>
        <w:rPr>
          <w:rFonts w:hint="default" w:ascii="Times New Roman" w:hAnsi="Times New Roman" w:eastAsia="宋体" w:cs="Times New Roman"/>
          <w:color w:val="auto"/>
          <w:kern w:val="2"/>
          <w:sz w:val="24"/>
          <w:szCs w:val="24"/>
          <w:highlight w:val="none"/>
        </w:rPr>
        <w:t>%，Ⅳ类水质比例</w:t>
      </w:r>
      <w:r>
        <w:rPr>
          <w:rFonts w:hint="eastAsia" w:ascii="Times New Roman" w:hAnsi="Times New Roman" w:eastAsia="宋体" w:cs="Times New Roman"/>
          <w:color w:val="auto"/>
          <w:kern w:val="2"/>
          <w:sz w:val="24"/>
          <w:szCs w:val="24"/>
          <w:highlight w:val="none"/>
          <w:lang w:val="en-US" w:eastAsia="zh-CN"/>
        </w:rPr>
        <w:t>8.3</w:t>
      </w:r>
      <w:r>
        <w:rPr>
          <w:rFonts w:hint="default" w:ascii="Times New Roman" w:hAnsi="Times New Roman" w:eastAsia="宋体" w:cs="Times New Roman"/>
          <w:color w:val="auto"/>
          <w:kern w:val="2"/>
          <w:sz w:val="24"/>
          <w:szCs w:val="24"/>
          <w:highlight w:val="none"/>
        </w:rPr>
        <w:t>%，总体水质状况良好；11个省控断面中优良水质比例为</w:t>
      </w:r>
      <w:r>
        <w:rPr>
          <w:rFonts w:hint="eastAsia" w:ascii="Times New Roman" w:hAnsi="Times New Roman" w:eastAsia="宋体" w:cs="Times New Roman"/>
          <w:color w:val="auto"/>
          <w:kern w:val="2"/>
          <w:sz w:val="24"/>
          <w:szCs w:val="24"/>
          <w:highlight w:val="none"/>
          <w:lang w:val="en-US" w:eastAsia="zh-CN"/>
        </w:rPr>
        <w:t>90.9</w:t>
      </w:r>
      <w:r>
        <w:rPr>
          <w:rFonts w:hint="default" w:ascii="Times New Roman" w:hAnsi="Times New Roman" w:eastAsia="宋体" w:cs="Times New Roman"/>
          <w:color w:val="auto"/>
          <w:kern w:val="2"/>
          <w:sz w:val="24"/>
          <w:szCs w:val="24"/>
          <w:highlight w:val="none"/>
        </w:rPr>
        <w:t>%，总体水质状况优。本项目建设过程中会产生一定的污染物，采取相应的污染防治措施后，各类污染物的排放不会对周围环境造成不良影响，不会降低当地环境质量。</w:t>
      </w:r>
    </w:p>
    <w:p w14:paraId="05DCAA8F">
      <w:pPr>
        <w:pStyle w:val="23"/>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lang w:val="en"/>
        </w:rPr>
      </w:pPr>
      <w:r>
        <w:rPr>
          <w:rFonts w:hint="default" w:ascii="Times New Roman" w:hAnsi="Times New Roman" w:eastAsia="宋体" w:cs="Times New Roman"/>
          <w:color w:val="auto"/>
          <w:kern w:val="2"/>
          <w:sz w:val="24"/>
          <w:szCs w:val="24"/>
          <w:highlight w:val="none"/>
        </w:rPr>
        <w:t>由于项目位于大气环境不达标区，淮南市政府采取了措施进行整治，</w:t>
      </w:r>
      <w:r>
        <w:rPr>
          <w:rFonts w:hint="default" w:ascii="Times New Roman" w:hAnsi="Times New Roman" w:eastAsia="宋体" w:cs="Times New Roman"/>
          <w:color w:val="auto"/>
          <w:kern w:val="2"/>
          <w:sz w:val="24"/>
          <w:szCs w:val="24"/>
          <w:highlight w:val="none"/>
          <w:lang w:val="en-US" w:eastAsia="zh-CN"/>
        </w:rPr>
        <w:t>针对环境质量状况，淮南市政府采取了一系列的措施</w:t>
      </w:r>
      <w:r>
        <w:rPr>
          <w:rFonts w:hint="eastAsia"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对标先进制定规范：对标长三角地区，制定淮南市建设工程扬尘污染防治</w:t>
      </w:r>
      <w:r>
        <w:rPr>
          <w:rFonts w:hint="eastAsia"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十达标</w:t>
      </w:r>
      <w:r>
        <w:rPr>
          <w:rFonts w:hint="eastAsia" w:ascii="Times New Roman" w:hAnsi="Times New Roman" w:eastAsia="宋体" w:cs="Times New Roman"/>
          <w:color w:val="auto"/>
          <w:kern w:val="2"/>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rPr>
        <w:t>措施，明确施工扬尘管控的具体标准和要求，从工地围挡、物料覆盖、洒水降尘等多方面规范施工行为，有效减少扬尘污染。建立协同工作机制：建立空气质量联席会商、重点区域监督帮扶</w:t>
      </w:r>
      <w:r>
        <w:rPr>
          <w:rFonts w:hint="default" w:ascii="Times New Roman" w:hAnsi="Times New Roman" w:eastAsia="宋体" w:cs="Times New Roman"/>
          <w:color w:val="auto"/>
          <w:sz w:val="24"/>
          <w:highlight w:val="none"/>
          <w:lang w:val="en-US" w:eastAsia="zh-CN"/>
        </w:rPr>
        <w:t>、快速联动反应等一系列机制，通过定期会商分析空气质量状况，针对重点区域开展精准监督帮扶，对突发污染问题快速响应处置，全年发布建议2411条，帮扶县区100余次，推动解决问题1393个。制定全过程管理办法：在全省率先制定《淮南市农村黑臭水体治理全过程监督管理办法》，规范</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排查识别、成因分析、系统治理、项目管理、长效管控、责任追究</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全过程，为农村黑臭水体治理提供系统性指导，确保治理工作有序推进。出台多领域协同政策：联合多部门出台金融、税务、交通等领域支持减污降碳协同创新政策。如《金融支持淮南市减污降碳协同创新试点工作的指导意见》，创新推出</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绿色贷</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和</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转型贷</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；出台</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绿色税务标签</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，为符合条件企业给予税收减免优惠3.69亿元；出台《淮南市交通运输领域减污降碳协同创新实施方案》，优化交通运输结构，使铁、水运输量占比分别高出全省平均水平6.74和5.76个百分点。</w:t>
      </w:r>
    </w:p>
    <w:p w14:paraId="634D2C0A">
      <w:pPr>
        <w:pStyle w:val="23"/>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3）资源利用上线</w:t>
      </w:r>
    </w:p>
    <w:p w14:paraId="13CEA0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kern w:val="2"/>
          <w:sz w:val="24"/>
          <w:szCs w:val="21"/>
          <w:highlight w:val="none"/>
          <w:lang w:val="zh-CN" w:eastAsia="zh-CN" w:bidi="ar-SA"/>
        </w:rPr>
      </w:pPr>
      <w:r>
        <w:rPr>
          <w:rFonts w:hint="eastAsia" w:ascii="Times New Roman" w:hAnsi="Times New Roman" w:eastAsia="宋体" w:cs="Times New Roman"/>
          <w:color w:val="auto"/>
          <w:kern w:val="2"/>
          <w:sz w:val="24"/>
          <w:szCs w:val="21"/>
          <w:highlight w:val="none"/>
          <w:lang w:val="zh-CN" w:eastAsia="zh-CN" w:bidi="ar-SA"/>
        </w:rPr>
        <w:t>项目采用的能源主要为电、水</w:t>
      </w:r>
      <w:r>
        <w:rPr>
          <w:rFonts w:hint="eastAsia" w:ascii="Times New Roman" w:hAnsi="Times New Roman" w:eastAsia="宋体" w:cs="Times New Roman"/>
          <w:color w:val="auto"/>
          <w:kern w:val="2"/>
          <w:sz w:val="24"/>
          <w:szCs w:val="21"/>
          <w:highlight w:val="none"/>
          <w:lang w:val="en-US" w:eastAsia="zh-CN" w:bidi="ar-SA"/>
        </w:rPr>
        <w:t>，</w:t>
      </w:r>
      <w:r>
        <w:rPr>
          <w:rFonts w:hint="eastAsia" w:ascii="Times New Roman" w:hAnsi="Times New Roman" w:eastAsia="宋体" w:cs="Times New Roman"/>
          <w:color w:val="auto"/>
          <w:kern w:val="2"/>
          <w:sz w:val="24"/>
          <w:szCs w:val="21"/>
          <w:highlight w:val="none"/>
          <w:lang w:val="zh-CN" w:eastAsia="zh-CN" w:bidi="ar-SA"/>
        </w:rPr>
        <w:t>项目建成运行后通过内部管理、设备选择、原辅材料的选用和管理、</w:t>
      </w:r>
      <w:r>
        <w:rPr>
          <w:rFonts w:hint="eastAsia" w:ascii="Times New Roman" w:hAnsi="Times New Roman" w:eastAsia="宋体" w:cs="Times New Roman"/>
          <w:color w:val="auto"/>
          <w:kern w:val="2"/>
          <w:sz w:val="24"/>
          <w:szCs w:val="21"/>
          <w:highlight w:val="none"/>
          <w:lang w:val="en-US" w:eastAsia="zh-CN" w:bidi="ar-SA"/>
        </w:rPr>
        <w:t>废物回收利用、</w:t>
      </w:r>
      <w:r>
        <w:rPr>
          <w:rFonts w:hint="eastAsia" w:ascii="Times New Roman" w:hAnsi="Times New Roman" w:eastAsia="宋体" w:cs="Times New Roman"/>
          <w:color w:val="auto"/>
          <w:kern w:val="2"/>
          <w:sz w:val="24"/>
          <w:szCs w:val="21"/>
          <w:highlight w:val="none"/>
          <w:lang w:val="zh-CN" w:eastAsia="zh-CN" w:bidi="ar-SA"/>
        </w:rPr>
        <w:t>污染治理等多方面的措施，可使产生的污染物得到了有效的处置，符合清洁运营的要求。项目对资源的使用较少、利用率较高，不触及资源利用上线。</w:t>
      </w:r>
    </w:p>
    <w:p w14:paraId="1C861F4E">
      <w:pPr>
        <w:pStyle w:val="23"/>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4）环境准入负面清单</w:t>
      </w:r>
    </w:p>
    <w:p w14:paraId="06F56588">
      <w:pPr>
        <w:pStyle w:val="23"/>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本项目选址于</w:t>
      </w:r>
      <w:r>
        <w:rPr>
          <w:rFonts w:hint="eastAsia"/>
          <w:color w:val="auto"/>
          <w:highlight w:val="none"/>
          <w:lang w:val="en-US" w:eastAsia="zh-CN"/>
        </w:rPr>
        <w:t>淮南市田家庵区经济开发区</w:t>
      </w:r>
      <w:r>
        <w:rPr>
          <w:rFonts w:hint="default" w:ascii="Times New Roman" w:hAnsi="Times New Roman" w:eastAsia="宋体" w:cs="Times New Roman"/>
          <w:color w:val="auto"/>
          <w:sz w:val="24"/>
          <w:highlight w:val="none"/>
        </w:rPr>
        <w:t>，符合</w:t>
      </w:r>
      <w:r>
        <w:rPr>
          <w:color w:val="auto"/>
          <w:highlight w:val="none"/>
        </w:rPr>
        <w:t>《</w:t>
      </w:r>
      <w:r>
        <w:rPr>
          <w:rFonts w:hint="eastAsia"/>
          <w:color w:val="auto"/>
          <w:highlight w:val="none"/>
          <w:lang w:eastAsia="zh-CN"/>
        </w:rPr>
        <w:t>淮南市</w:t>
      </w:r>
      <w:r>
        <w:rPr>
          <w:rFonts w:hint="eastAsia"/>
          <w:color w:val="auto"/>
          <w:highlight w:val="none"/>
          <w:lang w:val="en-US" w:eastAsia="zh-CN"/>
        </w:rPr>
        <w:t>曹庵镇总体规划</w:t>
      </w:r>
      <w:r>
        <w:rPr>
          <w:rFonts w:hint="eastAsia"/>
          <w:color w:val="auto"/>
          <w:highlight w:val="none"/>
          <w:lang w:eastAsia="zh-CN"/>
        </w:rPr>
        <w:t>（20</w:t>
      </w:r>
      <w:r>
        <w:rPr>
          <w:rFonts w:hint="eastAsia"/>
          <w:color w:val="auto"/>
          <w:highlight w:val="none"/>
          <w:lang w:val="en-US" w:eastAsia="zh-CN"/>
        </w:rPr>
        <w:t>16</w:t>
      </w:r>
      <w:r>
        <w:rPr>
          <w:rFonts w:hint="eastAsia"/>
          <w:color w:val="auto"/>
          <w:highlight w:val="none"/>
          <w:lang w:eastAsia="zh-CN"/>
        </w:rPr>
        <w:t>-203</w:t>
      </w:r>
      <w:r>
        <w:rPr>
          <w:rFonts w:hint="eastAsia"/>
          <w:color w:val="auto"/>
          <w:highlight w:val="none"/>
          <w:lang w:val="en-US" w:eastAsia="zh-CN"/>
        </w:rPr>
        <w:t>0</w:t>
      </w:r>
      <w:r>
        <w:rPr>
          <w:rFonts w:hint="eastAsia"/>
          <w:color w:val="auto"/>
          <w:highlight w:val="none"/>
          <w:lang w:eastAsia="zh-CN"/>
        </w:rPr>
        <w:t>年）</w:t>
      </w:r>
      <w:r>
        <w:rPr>
          <w:color w:val="auto"/>
          <w:highlight w:val="none"/>
        </w:rPr>
        <w:t>》</w:t>
      </w:r>
      <w:r>
        <w:rPr>
          <w:rFonts w:hint="default"/>
          <w:color w:val="auto"/>
          <w:highlight w:val="none"/>
        </w:rPr>
        <w:t>等相关规划及产业定位，符合《产业结构调整指导</w:t>
      </w:r>
      <w:r>
        <w:rPr>
          <w:rFonts w:hint="default" w:ascii="Times New Roman" w:hAnsi="Times New Roman" w:eastAsia="宋体" w:cs="Times New Roman"/>
          <w:color w:val="auto"/>
          <w:sz w:val="24"/>
          <w:highlight w:val="none"/>
        </w:rPr>
        <w:t>目录（20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年本）》的要求。</w:t>
      </w:r>
    </w:p>
    <w:p w14:paraId="5ACC2C0E">
      <w:pPr>
        <w:keepNext w:val="0"/>
        <w:keepLines w:val="0"/>
        <w:pageBreakBefore w:val="0"/>
        <w:widowControl w:val="0"/>
        <w:kinsoku/>
        <w:overflowPunct/>
        <w:topLinePunct w:val="0"/>
        <w:autoSpaceDE/>
        <w:autoSpaceDN/>
        <w:bidi w:val="0"/>
        <w:adjustRightInd/>
        <w:snapToGrid/>
        <w:spacing w:line="360" w:lineRule="auto"/>
        <w:ind w:firstLine="420" w:firstLineChars="200"/>
        <w:jc w:val="left"/>
        <w:textAlignment w:val="auto"/>
        <w:rPr>
          <w:rFonts w:hint="eastAsia"/>
          <w:color w:val="auto"/>
          <w:highlight w:val="none"/>
          <w:lang w:val="en-US" w:eastAsia="zh-CN"/>
        </w:rPr>
      </w:pPr>
      <w:r>
        <w:rPr>
          <w:color w:val="auto"/>
          <w:highlight w:val="none"/>
        </w:rPr>
        <w:t>对照《</w:t>
      </w:r>
      <w:r>
        <w:rPr>
          <w:rFonts w:hint="eastAsia"/>
          <w:color w:val="auto"/>
          <w:highlight w:val="none"/>
        </w:rPr>
        <w:t>淮南市生态环境分区管控成果动态更新准入清单</w:t>
      </w:r>
      <w:r>
        <w:rPr>
          <w:color w:val="auto"/>
          <w:highlight w:val="none"/>
        </w:rPr>
        <w:t>》</w:t>
      </w:r>
      <w:r>
        <w:rPr>
          <w:rFonts w:hint="eastAsia"/>
          <w:color w:val="auto"/>
          <w:highlight w:val="none"/>
          <w:lang w:eastAsia="zh-CN"/>
        </w:rPr>
        <w:t>（</w:t>
      </w:r>
      <w:r>
        <w:rPr>
          <w:rFonts w:hint="eastAsia"/>
          <w:color w:val="auto"/>
          <w:highlight w:val="none"/>
          <w:lang w:val="en-US" w:eastAsia="zh-CN"/>
        </w:rPr>
        <w:t>2023年10月</w:t>
      </w:r>
      <w:r>
        <w:rPr>
          <w:rFonts w:hint="eastAsia"/>
          <w:color w:val="auto"/>
          <w:highlight w:val="none"/>
          <w:lang w:eastAsia="zh-CN"/>
        </w:rPr>
        <w:t>）</w:t>
      </w:r>
      <w:r>
        <w:rPr>
          <w:color w:val="auto"/>
          <w:highlight w:val="none"/>
        </w:rPr>
        <w:t>中相关成果，</w:t>
      </w:r>
      <w:r>
        <w:rPr>
          <w:rFonts w:hint="eastAsia"/>
          <w:color w:val="auto"/>
          <w:highlight w:val="none"/>
          <w:lang w:val="en-US" w:eastAsia="zh-CN"/>
        </w:rPr>
        <w:t>淮南市田家庵经济开发区</w:t>
      </w:r>
      <w:r>
        <w:rPr>
          <w:color w:val="auto"/>
          <w:highlight w:val="none"/>
        </w:rPr>
        <w:t>为大气环境分区管控中的</w:t>
      </w:r>
      <w:r>
        <w:rPr>
          <w:rFonts w:hint="eastAsia"/>
          <w:color w:val="auto"/>
          <w:highlight w:val="none"/>
          <w:lang w:val="en-US" w:eastAsia="zh-CN"/>
        </w:rPr>
        <w:t>一般管控区（</w:t>
      </w:r>
      <w:r>
        <w:rPr>
          <w:color w:val="auto"/>
          <w:highlight w:val="none"/>
        </w:rPr>
        <w:t>见附图</w:t>
      </w:r>
      <w:r>
        <w:rPr>
          <w:rFonts w:hint="eastAsia"/>
          <w:color w:val="auto"/>
          <w:highlight w:val="none"/>
          <w:lang w:val="en-US" w:eastAsia="zh-CN"/>
        </w:rPr>
        <w:t>2.5-6）</w:t>
      </w:r>
      <w:r>
        <w:rPr>
          <w:rFonts w:hint="eastAsia"/>
          <w:color w:val="auto"/>
          <w:highlight w:val="none"/>
          <w:lang w:eastAsia="zh-CN"/>
        </w:rPr>
        <w:t>，</w:t>
      </w:r>
      <w:r>
        <w:rPr>
          <w:rFonts w:hint="eastAsia"/>
          <w:color w:val="auto"/>
          <w:highlight w:val="none"/>
          <w:lang w:val="en-US" w:eastAsia="zh-CN"/>
        </w:rPr>
        <w:t>为</w:t>
      </w:r>
      <w:r>
        <w:rPr>
          <w:color w:val="auto"/>
          <w:highlight w:val="none"/>
        </w:rPr>
        <w:t>水环境分区管控中的</w:t>
      </w:r>
      <w:r>
        <w:rPr>
          <w:rFonts w:hint="eastAsia"/>
          <w:color w:val="auto"/>
          <w:highlight w:val="none"/>
          <w:lang w:val="en-US" w:eastAsia="zh-CN"/>
        </w:rPr>
        <w:t>一般管控区</w:t>
      </w:r>
      <w:r>
        <w:rPr>
          <w:rFonts w:hint="eastAsia"/>
          <w:color w:val="auto"/>
          <w:highlight w:val="none"/>
          <w:lang w:eastAsia="zh-CN"/>
        </w:rPr>
        <w:t>（</w:t>
      </w:r>
      <w:r>
        <w:rPr>
          <w:color w:val="auto"/>
          <w:highlight w:val="none"/>
        </w:rPr>
        <w:t>见附图</w:t>
      </w:r>
      <w:r>
        <w:rPr>
          <w:rFonts w:hint="eastAsia"/>
          <w:color w:val="auto"/>
          <w:highlight w:val="none"/>
          <w:lang w:val="en-US" w:eastAsia="zh-CN"/>
        </w:rPr>
        <w:t>2.5-7）</w:t>
      </w:r>
      <w:r>
        <w:rPr>
          <w:color w:val="auto"/>
          <w:highlight w:val="none"/>
        </w:rPr>
        <w:t>；为土壤</w:t>
      </w:r>
      <w:r>
        <w:rPr>
          <w:rFonts w:hint="eastAsia"/>
          <w:color w:val="auto"/>
          <w:highlight w:val="none"/>
          <w:lang w:val="en-US" w:eastAsia="zh-CN"/>
        </w:rPr>
        <w:t>污染风险分区管控中一般管控区（</w:t>
      </w:r>
      <w:r>
        <w:rPr>
          <w:color w:val="auto"/>
          <w:highlight w:val="none"/>
        </w:rPr>
        <w:t>见附图</w:t>
      </w:r>
      <w:r>
        <w:rPr>
          <w:rFonts w:hint="eastAsia"/>
          <w:color w:val="auto"/>
          <w:highlight w:val="none"/>
          <w:lang w:val="en-US" w:eastAsia="zh-CN"/>
        </w:rPr>
        <w:t>2.5-8）</w:t>
      </w:r>
      <w:r>
        <w:rPr>
          <w:rFonts w:hint="eastAsia"/>
          <w:color w:val="auto"/>
          <w:highlight w:val="none"/>
          <w:lang w:eastAsia="zh-CN"/>
        </w:rPr>
        <w:t>；</w:t>
      </w:r>
      <w:r>
        <w:rPr>
          <w:rFonts w:hint="eastAsia"/>
          <w:color w:val="auto"/>
          <w:highlight w:val="none"/>
          <w:lang w:val="en-US" w:eastAsia="zh-CN"/>
        </w:rPr>
        <w:t>生态管控单元中为一般管控区（附图2.5-9）。</w:t>
      </w:r>
    </w:p>
    <w:p w14:paraId="62A2DC07">
      <w:pPr>
        <w:keepNext w:val="0"/>
        <w:keepLines w:val="0"/>
        <w:pageBreakBefore w:val="0"/>
        <w:widowControl w:val="0"/>
        <w:kinsoku/>
        <w:overflowPunct/>
        <w:topLinePunct w:val="0"/>
        <w:autoSpaceDE/>
        <w:autoSpaceDN/>
        <w:bidi w:val="0"/>
        <w:adjustRightInd/>
        <w:snapToGrid/>
        <w:spacing w:line="360" w:lineRule="auto"/>
        <w:ind w:firstLine="420" w:firstLineChars="200"/>
        <w:jc w:val="left"/>
        <w:textAlignment w:val="auto"/>
        <w:rPr>
          <w:rFonts w:hint="eastAsia"/>
          <w:color w:val="auto"/>
          <w:highlight w:val="none"/>
        </w:rPr>
      </w:pPr>
      <w:r>
        <w:rPr>
          <w:rFonts w:hint="eastAsia"/>
          <w:color w:val="auto"/>
          <w:highlight w:val="none"/>
          <w:lang w:val="en-US" w:eastAsia="zh-CN"/>
        </w:rPr>
        <w:t>本项目</w:t>
      </w:r>
      <w:r>
        <w:rPr>
          <w:color w:val="auto"/>
          <w:highlight w:val="none"/>
        </w:rPr>
        <w:t>与淮南市</w:t>
      </w:r>
      <w:r>
        <w:rPr>
          <w:rFonts w:hint="eastAsia"/>
          <w:color w:val="auto"/>
          <w:highlight w:val="none"/>
          <w:lang w:eastAsia="zh-CN"/>
        </w:rPr>
        <w:t>“</w:t>
      </w:r>
      <w:r>
        <w:rPr>
          <w:color w:val="auto"/>
          <w:highlight w:val="none"/>
        </w:rPr>
        <w:t>三线一单</w:t>
      </w:r>
      <w:r>
        <w:rPr>
          <w:rFonts w:hint="eastAsia"/>
          <w:color w:val="auto"/>
          <w:highlight w:val="none"/>
          <w:lang w:eastAsia="zh-CN"/>
        </w:rPr>
        <w:t>”</w:t>
      </w:r>
      <w:r>
        <w:rPr>
          <w:rFonts w:hint="eastAsia"/>
          <w:color w:val="auto"/>
          <w:highlight w:val="none"/>
          <w:lang w:val="en-US" w:eastAsia="zh-CN"/>
        </w:rPr>
        <w:t>各管控单元</w:t>
      </w:r>
      <w:r>
        <w:rPr>
          <w:color w:val="auto"/>
          <w:highlight w:val="none"/>
        </w:rPr>
        <w:t>符合性分析见表</w:t>
      </w:r>
      <w:r>
        <w:rPr>
          <w:rFonts w:hint="eastAsia"/>
          <w:color w:val="auto"/>
          <w:highlight w:val="none"/>
          <w:lang w:val="en-US" w:eastAsia="zh-CN"/>
        </w:rPr>
        <w:t>2.5.3-1</w:t>
      </w:r>
      <w:r>
        <w:rPr>
          <w:color w:val="auto"/>
          <w:highlight w:val="none"/>
          <w:lang w:eastAsia="zh-CN"/>
        </w:rPr>
        <w:t>。</w:t>
      </w:r>
    </w:p>
    <w:p w14:paraId="16191841">
      <w:pPr>
        <w:pStyle w:val="549"/>
        <w:bidi w:val="0"/>
        <w:rPr>
          <w:color w:val="auto"/>
          <w:highlight w:val="none"/>
        </w:rPr>
      </w:pPr>
      <w:r>
        <w:rPr>
          <w:rFonts w:hint="eastAsia"/>
          <w:color w:val="auto"/>
          <w:highlight w:val="none"/>
        </w:rPr>
        <w:t>表</w:t>
      </w:r>
      <w:r>
        <w:rPr>
          <w:rFonts w:hint="eastAsia"/>
          <w:color w:val="auto"/>
          <w:highlight w:val="none"/>
          <w:lang w:val="en-US" w:eastAsia="zh-CN"/>
        </w:rPr>
        <w:t xml:space="preserve">2.5.3-1  </w:t>
      </w:r>
      <w:r>
        <w:rPr>
          <w:rFonts w:hint="eastAsia"/>
          <w:color w:val="auto"/>
          <w:highlight w:val="none"/>
        </w:rPr>
        <w:t>本项目与淮南市</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生态准入清单符合性分析一览表</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53"/>
        <w:gridCol w:w="3443"/>
        <w:gridCol w:w="2928"/>
        <w:gridCol w:w="992"/>
      </w:tblGrid>
      <w:tr w14:paraId="66664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73" w:type="pct"/>
            <w:noWrap/>
            <w:vAlign w:val="center"/>
          </w:tcPr>
          <w:p w14:paraId="2F70709C">
            <w:pPr>
              <w:pStyle w:val="574"/>
              <w:bidi w:val="0"/>
              <w:rPr>
                <w:b/>
                <w:bCs/>
                <w:color w:val="auto"/>
                <w:highlight w:val="none"/>
              </w:rPr>
            </w:pPr>
            <w:r>
              <w:rPr>
                <w:b/>
                <w:bCs/>
                <w:color w:val="auto"/>
                <w:highlight w:val="none"/>
              </w:rPr>
              <w:t>管控单位分类</w:t>
            </w:r>
          </w:p>
        </w:tc>
        <w:tc>
          <w:tcPr>
            <w:tcW w:w="2069" w:type="pct"/>
            <w:noWrap/>
            <w:vAlign w:val="center"/>
          </w:tcPr>
          <w:p w14:paraId="4134254A">
            <w:pPr>
              <w:pStyle w:val="574"/>
              <w:bidi w:val="0"/>
              <w:rPr>
                <w:b/>
                <w:bCs/>
                <w:color w:val="auto"/>
                <w:highlight w:val="none"/>
              </w:rPr>
            </w:pPr>
            <w:r>
              <w:rPr>
                <w:b/>
                <w:bCs/>
                <w:color w:val="auto"/>
                <w:highlight w:val="none"/>
              </w:rPr>
              <w:t>环境管控要求</w:t>
            </w:r>
          </w:p>
        </w:tc>
        <w:tc>
          <w:tcPr>
            <w:tcW w:w="1760" w:type="pct"/>
            <w:noWrap/>
            <w:vAlign w:val="center"/>
          </w:tcPr>
          <w:p w14:paraId="29B695B7">
            <w:pPr>
              <w:pStyle w:val="574"/>
              <w:bidi w:val="0"/>
              <w:rPr>
                <w:b/>
                <w:bCs/>
                <w:color w:val="auto"/>
                <w:highlight w:val="none"/>
              </w:rPr>
            </w:pPr>
            <w:r>
              <w:rPr>
                <w:b/>
                <w:bCs/>
                <w:color w:val="auto"/>
                <w:highlight w:val="none"/>
              </w:rPr>
              <w:t>协调性分析</w:t>
            </w:r>
          </w:p>
        </w:tc>
        <w:tc>
          <w:tcPr>
            <w:tcW w:w="596" w:type="pct"/>
            <w:noWrap/>
            <w:vAlign w:val="center"/>
          </w:tcPr>
          <w:p w14:paraId="39C4D6DB">
            <w:pPr>
              <w:pStyle w:val="574"/>
              <w:bidi w:val="0"/>
              <w:rPr>
                <w:b/>
                <w:bCs/>
                <w:color w:val="auto"/>
                <w:highlight w:val="none"/>
              </w:rPr>
            </w:pPr>
            <w:r>
              <w:rPr>
                <w:b/>
                <w:bCs/>
                <w:color w:val="auto"/>
                <w:highlight w:val="none"/>
              </w:rPr>
              <w:t>符合性分析</w:t>
            </w:r>
          </w:p>
        </w:tc>
      </w:tr>
      <w:tr w14:paraId="44396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73" w:type="pct"/>
            <w:noWrap/>
            <w:vAlign w:val="center"/>
          </w:tcPr>
          <w:p w14:paraId="5DA703F8">
            <w:pPr>
              <w:pStyle w:val="574"/>
              <w:bidi w:val="0"/>
              <w:rPr>
                <w:color w:val="auto"/>
                <w:highlight w:val="none"/>
              </w:rPr>
            </w:pPr>
            <w:r>
              <w:rPr>
                <w:color w:val="auto"/>
                <w:highlight w:val="none"/>
              </w:rPr>
              <w:t>水环境分区管控</w:t>
            </w:r>
            <w:r>
              <w:rPr>
                <w:rFonts w:hint="eastAsia"/>
                <w:color w:val="auto"/>
                <w:highlight w:val="none"/>
              </w:rPr>
              <w:t>-</w:t>
            </w:r>
            <w:r>
              <w:rPr>
                <w:rFonts w:hint="eastAsia"/>
                <w:color w:val="auto"/>
                <w:highlight w:val="none"/>
                <w:lang w:val="en-US" w:eastAsia="zh-CN"/>
              </w:rPr>
              <w:t>城镇生活污染</w:t>
            </w:r>
            <w:r>
              <w:rPr>
                <w:color w:val="auto"/>
                <w:highlight w:val="none"/>
              </w:rPr>
              <w:t>重点管控区</w:t>
            </w:r>
          </w:p>
        </w:tc>
        <w:tc>
          <w:tcPr>
            <w:tcW w:w="2069" w:type="pct"/>
            <w:noWrap/>
            <w:vAlign w:val="center"/>
          </w:tcPr>
          <w:p w14:paraId="0BB8C7CF">
            <w:pPr>
              <w:pStyle w:val="574"/>
              <w:bidi w:val="0"/>
              <w:rPr>
                <w:color w:val="auto"/>
                <w:highlight w:val="none"/>
              </w:rPr>
            </w:pPr>
            <w:r>
              <w:rPr>
                <w:rFonts w:hint="eastAsia"/>
                <w:color w:val="auto"/>
                <w:highlight w:val="none"/>
              </w:rPr>
              <w:t>依据《中华人民共和国水污染防治法》《水污染防治行动计划》《安徽省水污染防治工作方案》及各市水污染防治工作方案对</w:t>
            </w:r>
            <w:r>
              <w:rPr>
                <w:rFonts w:hint="eastAsia"/>
                <w:color w:val="auto"/>
                <w:highlight w:val="none"/>
                <w:lang w:val="en-US" w:eastAsia="zh-CN"/>
              </w:rPr>
              <w:t>重点管控区</w:t>
            </w:r>
            <w:r>
              <w:rPr>
                <w:rFonts w:hint="eastAsia"/>
                <w:color w:val="auto"/>
                <w:highlight w:val="none"/>
              </w:rPr>
              <w:t>实施管控；</w:t>
            </w:r>
            <w:r>
              <w:rPr>
                <w:rFonts w:hint="eastAsia"/>
                <w:color w:val="auto"/>
                <w:highlight w:val="none"/>
                <w:lang w:val="en-US" w:eastAsia="zh-CN"/>
              </w:rPr>
              <w:t>依据</w:t>
            </w:r>
            <w:r>
              <w:rPr>
                <w:rFonts w:hint="eastAsia"/>
                <w:color w:val="auto"/>
                <w:highlight w:val="none"/>
              </w:rPr>
              <w:t>开发区规划、规划环评及审查意见相关要求对开发区实施管控</w:t>
            </w:r>
            <w:r>
              <w:rPr>
                <w:rFonts w:hint="eastAsia"/>
                <w:color w:val="auto"/>
                <w:highlight w:val="none"/>
                <w:lang w:eastAsia="zh-CN"/>
              </w:rPr>
              <w:t>；</w:t>
            </w:r>
            <w:r>
              <w:rPr>
                <w:rFonts w:hint="eastAsia"/>
                <w:color w:val="auto"/>
                <w:highlight w:val="none"/>
              </w:rPr>
              <w:t>依据《安徽省淮河流域水污染防治条例》对淮河流域实施管控，</w:t>
            </w:r>
            <w:r>
              <w:rPr>
                <w:color w:val="auto"/>
                <w:highlight w:val="none"/>
              </w:rPr>
              <w:t>禁止在淮河流域新建化学制浆造纸企业和印染、制革、化工、电镀、酿造等污染严重的小型企业。严格限制在淮河流域新建印染、制革、化工、电镀、酿造等大中型项目或者其他污染严重的项目</w:t>
            </w:r>
            <w:r>
              <w:rPr>
                <w:rFonts w:hint="eastAsia"/>
                <w:color w:val="auto"/>
                <w:highlight w:val="none"/>
              </w:rPr>
              <w:t>。</w:t>
            </w:r>
          </w:p>
        </w:tc>
        <w:tc>
          <w:tcPr>
            <w:tcW w:w="1760" w:type="pct"/>
            <w:noWrap/>
            <w:vAlign w:val="center"/>
          </w:tcPr>
          <w:p w14:paraId="6EE2F2D3">
            <w:pPr>
              <w:pStyle w:val="574"/>
              <w:bidi w:val="0"/>
              <w:rPr>
                <w:color w:val="auto"/>
                <w:highlight w:val="none"/>
              </w:rPr>
            </w:pPr>
            <w:r>
              <w:rPr>
                <w:color w:val="auto"/>
                <w:highlight w:val="none"/>
              </w:rPr>
              <w:t>本项目为</w:t>
            </w:r>
            <w:r>
              <w:rPr>
                <w:rFonts w:hint="eastAsia"/>
                <w:color w:val="auto"/>
                <w:highlight w:val="none"/>
                <w:lang w:val="en-US" w:eastAsia="zh-CN"/>
              </w:rPr>
              <w:t>C2619</w:t>
            </w:r>
            <w:r>
              <w:rPr>
                <w:rFonts w:hint="eastAsia"/>
                <w:color w:val="auto"/>
                <w:highlight w:val="none"/>
                <w:lang w:eastAsia="zh-CN"/>
              </w:rPr>
              <w:t>其他基础化学原料制造</w:t>
            </w:r>
            <w:r>
              <w:rPr>
                <w:color w:val="auto"/>
                <w:highlight w:val="none"/>
              </w:rPr>
              <w:t>，不属于</w:t>
            </w:r>
            <w:r>
              <w:rPr>
                <w:rFonts w:hint="eastAsia"/>
                <w:color w:val="auto"/>
                <w:highlight w:val="none"/>
                <w:lang w:eastAsia="zh-CN"/>
              </w:rPr>
              <w:t>“</w:t>
            </w:r>
            <w:r>
              <w:rPr>
                <w:color w:val="auto"/>
                <w:highlight w:val="none"/>
              </w:rPr>
              <w:t>十小</w:t>
            </w:r>
            <w:r>
              <w:rPr>
                <w:rFonts w:hint="eastAsia"/>
                <w:color w:val="auto"/>
                <w:highlight w:val="none"/>
                <w:lang w:eastAsia="zh-CN"/>
              </w:rPr>
              <w:t>”</w:t>
            </w:r>
            <w:r>
              <w:rPr>
                <w:color w:val="auto"/>
                <w:highlight w:val="none"/>
              </w:rPr>
              <w:t>企业，不属于造纸、制革、印染、染料、炼焦、炼硫、炼砷、炼油、电镀、农药等严重污染水环境的生产项目</w:t>
            </w:r>
            <w:r>
              <w:rPr>
                <w:rFonts w:hint="eastAsia"/>
                <w:color w:val="auto"/>
                <w:highlight w:val="none"/>
              </w:rPr>
              <w:t>，</w:t>
            </w:r>
            <w:r>
              <w:rPr>
                <w:color w:val="auto"/>
                <w:highlight w:val="none"/>
              </w:rPr>
              <w:t>不属于落后产能，不属于重资产旅游产业，不涉及建设阻水建筑。</w:t>
            </w:r>
          </w:p>
        </w:tc>
        <w:tc>
          <w:tcPr>
            <w:tcW w:w="596" w:type="pct"/>
            <w:noWrap/>
            <w:vAlign w:val="center"/>
          </w:tcPr>
          <w:p w14:paraId="2B821C02">
            <w:pPr>
              <w:pStyle w:val="574"/>
              <w:bidi w:val="0"/>
              <w:rPr>
                <w:color w:val="auto"/>
                <w:highlight w:val="none"/>
              </w:rPr>
            </w:pPr>
            <w:r>
              <w:rPr>
                <w:color w:val="auto"/>
                <w:highlight w:val="none"/>
              </w:rPr>
              <w:t>符合</w:t>
            </w:r>
          </w:p>
        </w:tc>
      </w:tr>
      <w:tr w14:paraId="7F11F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0" w:hRule="atLeast"/>
          <w:jc w:val="center"/>
        </w:trPr>
        <w:tc>
          <w:tcPr>
            <w:tcW w:w="573" w:type="pct"/>
            <w:noWrap/>
            <w:vAlign w:val="center"/>
          </w:tcPr>
          <w:p w14:paraId="6E196EAF">
            <w:pPr>
              <w:pStyle w:val="574"/>
              <w:bidi w:val="0"/>
              <w:rPr>
                <w:color w:val="auto"/>
                <w:highlight w:val="none"/>
              </w:rPr>
            </w:pPr>
            <w:r>
              <w:rPr>
                <w:color w:val="auto"/>
                <w:highlight w:val="none"/>
              </w:rPr>
              <w:t>大气环境分区管控</w:t>
            </w:r>
            <w:r>
              <w:rPr>
                <w:rFonts w:hint="eastAsia"/>
                <w:color w:val="auto"/>
                <w:highlight w:val="none"/>
              </w:rPr>
              <w:t>-</w:t>
            </w:r>
            <w:r>
              <w:rPr>
                <w:rFonts w:hint="eastAsia"/>
                <w:color w:val="auto"/>
                <w:highlight w:val="none"/>
                <w:lang w:val="en-US" w:eastAsia="zh-CN"/>
              </w:rPr>
              <w:t>受体敏感重点管控区</w:t>
            </w:r>
          </w:p>
        </w:tc>
        <w:tc>
          <w:tcPr>
            <w:tcW w:w="2069" w:type="pct"/>
            <w:noWrap/>
            <w:vAlign w:val="center"/>
          </w:tcPr>
          <w:p w14:paraId="018F8FAA">
            <w:pPr>
              <w:pStyle w:val="574"/>
              <w:bidi w:val="0"/>
              <w:rPr>
                <w:color w:val="auto"/>
                <w:highlight w:val="none"/>
              </w:rPr>
            </w:pPr>
            <w:r>
              <w:rPr>
                <w:rFonts w:hint="eastAsia"/>
                <w:color w:val="auto"/>
                <w:highlight w:val="none"/>
              </w:rPr>
              <w:t>依据《</w:t>
            </w:r>
            <w:r>
              <w:rPr>
                <w:color w:val="auto"/>
                <w:highlight w:val="none"/>
              </w:rPr>
              <w:fldChar w:fldCharType="begin"/>
            </w:r>
            <w:r>
              <w:rPr>
                <w:color w:val="auto"/>
                <w:highlight w:val="none"/>
              </w:rPr>
              <w:instrText xml:space="preserve"> HYPERLINK "http://www.so.com/link?m=atqHUsVCrKgKvazQ1diDVK9MSZbKQoCRbJCwaRCjw2QUYOsGw7e0g5ebA0Ym7QAL6wuzl%2BHXq6VmwcazwiBBPgmMY8cBRnT6dyTav3%2FaiJlwyO2WNZ99m3CR7pFV2v0i72jgp9NNJUjqwDwh1PYtiZ%2F5i2BHGs2ruvKdPUtV1dVDG7GLyjrxR%2B8JFtCK0To62u%2Bs1vGD9AcG7JnNs1%2FGWMKE9Lz8%3D" \t "_blank" </w:instrText>
            </w:r>
            <w:r>
              <w:rPr>
                <w:color w:val="auto"/>
                <w:highlight w:val="none"/>
              </w:rPr>
              <w:fldChar w:fldCharType="separate"/>
            </w:r>
            <w:r>
              <w:rPr>
                <w:rFonts w:hint="eastAsia"/>
                <w:color w:val="auto"/>
                <w:highlight w:val="none"/>
              </w:rPr>
              <w:t>中华人民共和国大气污染防治法</w:t>
            </w:r>
            <w:r>
              <w:rPr>
                <w:rFonts w:hint="eastAsia"/>
                <w:color w:val="auto"/>
                <w:highlight w:val="none"/>
              </w:rPr>
              <w:fldChar w:fldCharType="end"/>
            </w:r>
            <w:r>
              <w:rPr>
                <w:rFonts w:hint="eastAsia"/>
                <w:color w:val="auto"/>
                <w:highlight w:val="none"/>
              </w:rPr>
              <w:t>》《打赢蓝天保卫战三年行动计划》《安徽省打赢蓝天保卫战三年行动计划实施方案》等法律法规和规章对一般管控区实施管控。上年度</w:t>
            </w:r>
            <w:r>
              <w:rPr>
                <w:color w:val="auto"/>
                <w:highlight w:val="none"/>
              </w:rPr>
              <w:t>PM</w:t>
            </w:r>
            <w:r>
              <w:rPr>
                <w:color w:val="auto"/>
                <w:highlight w:val="none"/>
                <w:vertAlign w:val="subscript"/>
              </w:rPr>
              <w:t>2.5</w:t>
            </w:r>
            <w:r>
              <w:rPr>
                <w:rFonts w:hint="eastAsia"/>
                <w:color w:val="auto"/>
                <w:highlight w:val="none"/>
              </w:rPr>
              <w:t>不达标城市新建、改建和扩建项目大气污染物实施</w:t>
            </w:r>
            <w:r>
              <w:rPr>
                <w:rFonts w:hint="eastAsia"/>
                <w:color w:val="auto"/>
                <w:highlight w:val="none"/>
                <w:lang w:eastAsia="zh-CN"/>
              </w:rPr>
              <w:t>“</w:t>
            </w:r>
            <w:r>
              <w:rPr>
                <w:rFonts w:hint="eastAsia"/>
                <w:color w:val="auto"/>
                <w:highlight w:val="none"/>
              </w:rPr>
              <w:t>倍量替代</w:t>
            </w:r>
            <w:r>
              <w:rPr>
                <w:rFonts w:hint="eastAsia"/>
                <w:color w:val="auto"/>
                <w:highlight w:val="none"/>
                <w:lang w:eastAsia="zh-CN"/>
              </w:rPr>
              <w:t>”</w:t>
            </w:r>
            <w:r>
              <w:rPr>
                <w:rFonts w:hint="eastAsia"/>
                <w:color w:val="auto"/>
                <w:highlight w:val="none"/>
              </w:rPr>
              <w:t>，执行特别排放标准的行业实施提标升级改造。</w:t>
            </w:r>
          </w:p>
        </w:tc>
        <w:tc>
          <w:tcPr>
            <w:tcW w:w="1760" w:type="pct"/>
            <w:noWrap/>
            <w:vAlign w:val="center"/>
          </w:tcPr>
          <w:p w14:paraId="3A61992B">
            <w:pPr>
              <w:pStyle w:val="574"/>
              <w:bidi w:val="0"/>
              <w:rPr>
                <w:rFonts w:hint="default"/>
                <w:color w:val="auto"/>
                <w:highlight w:val="none"/>
                <w:lang w:val="en-US" w:eastAsia="zh-CN"/>
              </w:rPr>
            </w:pPr>
            <w:r>
              <w:rPr>
                <w:rFonts w:hint="eastAsia"/>
                <w:color w:val="auto"/>
                <w:highlight w:val="none"/>
                <w:lang w:val="en-US" w:eastAsia="zh-CN"/>
              </w:rPr>
              <w:t>经工程分析核算，项目产生的废气经处理后均能达标排放</w:t>
            </w:r>
          </w:p>
        </w:tc>
        <w:tc>
          <w:tcPr>
            <w:tcW w:w="596" w:type="pct"/>
            <w:noWrap/>
            <w:vAlign w:val="center"/>
          </w:tcPr>
          <w:p w14:paraId="75BB0538">
            <w:pPr>
              <w:pStyle w:val="574"/>
              <w:bidi w:val="0"/>
              <w:rPr>
                <w:color w:val="auto"/>
                <w:highlight w:val="none"/>
              </w:rPr>
            </w:pPr>
            <w:r>
              <w:rPr>
                <w:color w:val="auto"/>
                <w:highlight w:val="none"/>
              </w:rPr>
              <w:t>符合</w:t>
            </w:r>
          </w:p>
        </w:tc>
      </w:tr>
      <w:tr w14:paraId="13045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73" w:type="pct"/>
            <w:noWrap/>
            <w:vAlign w:val="center"/>
          </w:tcPr>
          <w:p w14:paraId="3D55DE2D">
            <w:pPr>
              <w:pStyle w:val="574"/>
              <w:bidi w:val="0"/>
              <w:rPr>
                <w:color w:val="auto"/>
                <w:highlight w:val="none"/>
              </w:rPr>
            </w:pPr>
            <w:r>
              <w:rPr>
                <w:color w:val="auto"/>
                <w:highlight w:val="none"/>
              </w:rPr>
              <w:t>土壤环境风险-</w:t>
            </w:r>
            <w:r>
              <w:rPr>
                <w:rFonts w:hint="eastAsia"/>
                <w:color w:val="auto"/>
                <w:highlight w:val="none"/>
              </w:rPr>
              <w:t>一般管控区</w:t>
            </w:r>
          </w:p>
        </w:tc>
        <w:tc>
          <w:tcPr>
            <w:tcW w:w="2069" w:type="pct"/>
            <w:noWrap/>
            <w:vAlign w:val="center"/>
          </w:tcPr>
          <w:p w14:paraId="415AC8FD">
            <w:pPr>
              <w:pStyle w:val="574"/>
              <w:bidi w:val="0"/>
              <w:rPr>
                <w:color w:val="auto"/>
                <w:highlight w:val="none"/>
              </w:rPr>
            </w:pPr>
            <w:r>
              <w:rPr>
                <w:rFonts w:hint="eastAsia"/>
                <w:color w:val="auto"/>
                <w:highlight w:val="none"/>
              </w:rPr>
              <w:t>落实《安徽省</w:t>
            </w:r>
            <w:r>
              <w:rPr>
                <w:rFonts w:hint="eastAsia"/>
                <w:color w:val="auto"/>
                <w:highlight w:val="none"/>
                <w:lang w:eastAsia="zh-CN"/>
              </w:rPr>
              <w:t>“</w:t>
            </w:r>
            <w:r>
              <w:rPr>
                <w:rFonts w:hint="eastAsia"/>
                <w:color w:val="auto"/>
                <w:highlight w:val="none"/>
              </w:rPr>
              <w:t>十三五</w:t>
            </w:r>
            <w:r>
              <w:rPr>
                <w:rFonts w:hint="eastAsia"/>
                <w:color w:val="auto"/>
                <w:highlight w:val="none"/>
                <w:lang w:eastAsia="zh-CN"/>
              </w:rPr>
              <w:t>”</w:t>
            </w:r>
            <w:r>
              <w:rPr>
                <w:rFonts w:hint="eastAsia"/>
                <w:color w:val="auto"/>
                <w:highlight w:val="none"/>
              </w:rPr>
              <w:t>环境保护规划》《安徽省</w:t>
            </w:r>
            <w:r>
              <w:rPr>
                <w:rFonts w:hint="eastAsia"/>
                <w:color w:val="auto"/>
                <w:highlight w:val="none"/>
                <w:lang w:eastAsia="zh-CN"/>
              </w:rPr>
              <w:t>“</w:t>
            </w:r>
            <w:r>
              <w:rPr>
                <w:rFonts w:hint="eastAsia"/>
                <w:color w:val="auto"/>
                <w:highlight w:val="none"/>
              </w:rPr>
              <w:t>十三五</w:t>
            </w:r>
            <w:r>
              <w:rPr>
                <w:rFonts w:hint="eastAsia"/>
                <w:color w:val="auto"/>
                <w:highlight w:val="none"/>
                <w:lang w:eastAsia="zh-CN"/>
              </w:rPr>
              <w:t>”</w:t>
            </w:r>
            <w:r>
              <w:rPr>
                <w:rFonts w:hint="eastAsia"/>
                <w:color w:val="auto"/>
                <w:highlight w:val="none"/>
              </w:rPr>
              <w:t>重金属污染综合防治规划》《安徽省</w:t>
            </w:r>
            <w:r>
              <w:rPr>
                <w:rFonts w:hint="eastAsia"/>
                <w:color w:val="auto"/>
                <w:highlight w:val="none"/>
                <w:lang w:eastAsia="zh-CN"/>
              </w:rPr>
              <w:t>“</w:t>
            </w:r>
            <w:r>
              <w:rPr>
                <w:rFonts w:hint="eastAsia"/>
                <w:color w:val="auto"/>
                <w:highlight w:val="none"/>
              </w:rPr>
              <w:t>十三五</w:t>
            </w:r>
            <w:r>
              <w:rPr>
                <w:rFonts w:hint="eastAsia"/>
                <w:color w:val="auto"/>
                <w:highlight w:val="none"/>
                <w:lang w:eastAsia="zh-CN"/>
              </w:rPr>
              <w:t>”</w:t>
            </w:r>
            <w:r>
              <w:rPr>
                <w:rFonts w:hint="eastAsia"/>
                <w:color w:val="auto"/>
                <w:highlight w:val="none"/>
              </w:rPr>
              <w:t>危险废物污染防治规划》《安徽省土壤污染防治工作方案》等要求，防止土壤污染风险。</w:t>
            </w:r>
          </w:p>
        </w:tc>
        <w:tc>
          <w:tcPr>
            <w:tcW w:w="1760" w:type="pct"/>
            <w:noWrap/>
            <w:vAlign w:val="center"/>
          </w:tcPr>
          <w:p w14:paraId="35B415F1">
            <w:pPr>
              <w:pStyle w:val="574"/>
              <w:bidi w:val="0"/>
              <w:rPr>
                <w:color w:val="auto"/>
                <w:highlight w:val="none"/>
              </w:rPr>
            </w:pPr>
            <w:r>
              <w:rPr>
                <w:rFonts w:hint="eastAsia"/>
                <w:color w:val="auto"/>
                <w:highlight w:val="none"/>
              </w:rPr>
              <w:t>本项目</w:t>
            </w:r>
            <w:r>
              <w:rPr>
                <w:rFonts w:hint="eastAsia"/>
                <w:color w:val="auto"/>
                <w:highlight w:val="none"/>
                <w:lang w:val="en-US" w:eastAsia="zh-CN"/>
              </w:rPr>
              <w:t>进行</w:t>
            </w:r>
            <w:r>
              <w:rPr>
                <w:color w:val="auto"/>
                <w:highlight w:val="none"/>
              </w:rPr>
              <w:t>分区防渗，</w:t>
            </w:r>
            <w:r>
              <w:rPr>
                <w:rFonts w:hint="eastAsia"/>
                <w:color w:val="auto"/>
                <w:highlight w:val="none"/>
                <w:lang w:val="en-US" w:eastAsia="zh-CN"/>
              </w:rPr>
              <w:t>初期雨水池、危废暂存间、事故池、罐区等区域</w:t>
            </w:r>
            <w:r>
              <w:rPr>
                <w:color w:val="auto"/>
                <w:highlight w:val="none"/>
              </w:rPr>
              <w:t>重点防渗</w:t>
            </w:r>
            <w:r>
              <w:rPr>
                <w:rFonts w:hint="eastAsia"/>
                <w:color w:val="auto"/>
                <w:highlight w:val="none"/>
              </w:rPr>
              <w:t>；</w:t>
            </w:r>
            <w:r>
              <w:rPr>
                <w:rFonts w:hint="eastAsia"/>
                <w:color w:val="auto"/>
                <w:highlight w:val="none"/>
                <w:lang w:val="en-US" w:eastAsia="zh-CN"/>
              </w:rPr>
              <w:t>其他区域</w:t>
            </w:r>
            <w:r>
              <w:rPr>
                <w:rFonts w:hint="eastAsia"/>
                <w:color w:val="auto"/>
                <w:highlight w:val="none"/>
              </w:rPr>
              <w:t>进行一般地面硬化，土壤风险较小。</w:t>
            </w:r>
          </w:p>
        </w:tc>
        <w:tc>
          <w:tcPr>
            <w:tcW w:w="596" w:type="pct"/>
            <w:noWrap/>
            <w:vAlign w:val="center"/>
          </w:tcPr>
          <w:p w14:paraId="70DDF9CA">
            <w:pPr>
              <w:pStyle w:val="574"/>
              <w:bidi w:val="0"/>
              <w:rPr>
                <w:color w:val="auto"/>
                <w:highlight w:val="none"/>
              </w:rPr>
            </w:pPr>
            <w:r>
              <w:rPr>
                <w:color w:val="auto"/>
                <w:highlight w:val="none"/>
              </w:rPr>
              <w:t>符合</w:t>
            </w:r>
          </w:p>
        </w:tc>
      </w:tr>
    </w:tbl>
    <w:p w14:paraId="4902230C">
      <w:pPr>
        <w:pStyle w:val="23"/>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eastAsia" w:ascii="Times New Roman" w:hAnsi="Times New Roman" w:cs="Times New Roman"/>
          <w:b/>
          <w:bCs/>
          <w:color w:val="auto"/>
          <w:sz w:val="24"/>
          <w:highlight w:val="none"/>
          <w:lang w:eastAsia="zh-CN"/>
        </w:rPr>
      </w:pPr>
    </w:p>
    <w:p w14:paraId="5AFFDF41">
      <w:pPr>
        <w:pStyle w:val="23"/>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default" w:eastAsia="宋体"/>
          <w:color w:val="auto"/>
          <w:highlight w:val="none"/>
          <w:lang w:val="en-US" w:eastAsia="zh-CN"/>
        </w:rPr>
      </w:pPr>
      <w:r>
        <w:rPr>
          <w:color w:val="auto"/>
          <w:sz w:val="21"/>
          <w:highlight w:val="none"/>
        </w:rPr>
        <mc:AlternateContent>
          <mc:Choice Requires="wps">
            <w:drawing>
              <wp:anchor distT="0" distB="0" distL="114300" distR="114300" simplePos="0" relativeHeight="251738112" behindDoc="0" locked="0" layoutInCell="1" allowOverlap="1">
                <wp:simplePos x="0" y="0"/>
                <wp:positionH relativeFrom="column">
                  <wp:posOffset>1160145</wp:posOffset>
                </wp:positionH>
                <wp:positionV relativeFrom="paragraph">
                  <wp:posOffset>1479550</wp:posOffset>
                </wp:positionV>
                <wp:extent cx="76200" cy="76200"/>
                <wp:effectExtent l="17145" t="9525" r="20955" b="28575"/>
                <wp:wrapNone/>
                <wp:docPr id="342" name="自选图形 824"/>
                <wp:cNvGraphicFramePr/>
                <a:graphic xmlns:a="http://schemas.openxmlformats.org/drawingml/2006/main">
                  <a:graphicData uri="http://schemas.microsoft.com/office/word/2010/wordprocessingShape">
                    <wps:wsp>
                      <wps:cNvSpPr/>
                      <wps:spPr>
                        <a:xfrm rot="972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24" o:spid="_x0000_s1026" o:spt="7" type="#_x0000_t7" style="position:absolute;left:0pt;flip:y;margin-left:91.35pt;margin-top:116.5pt;height:6pt;width:6pt;rotation:-10616832f;z-index:251738112;mso-width-relative:page;mso-height-relative:page;" fillcolor="#FFFFFF" filled="t" stroked="t" coordsize="21600,21600" o:gfxdata="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5IHm/tkAAAALAQAADwAAAAAAAAABACAAAAAiAAAAZHJz&#10;L2Rvd25yZXYueG1sUEsBAhQAFAAAAAgAh07iQDTDrpM8AgAAgAQAAA4AAAAAAAAAAQAgAAAAKAEA&#10;AGRycy9lMm9Eb2MueG1sUEsFBgAAAAAGAAYAWQEAANYFAAAAAA==&#10;" adj="5400">
                <v:fill on="t" focussize="0,0"/>
                <v:stroke color="#000000" joinstyle="miter"/>
                <v:imagedata o:title=""/>
                <o:lock v:ext="edit" aspectratio="f"/>
              </v:shape>
            </w:pict>
          </mc:Fallback>
        </mc:AlternateContent>
      </w:r>
      <w:r>
        <w:rPr>
          <w:color w:val="auto"/>
          <w:sz w:val="21"/>
          <w:highlight w:val="none"/>
        </w:rPr>
        <mc:AlternateContent>
          <mc:Choice Requires="wps">
            <w:drawing>
              <wp:anchor distT="0" distB="0" distL="114300" distR="114300" simplePos="0" relativeHeight="251701248" behindDoc="0" locked="0" layoutInCell="1" allowOverlap="1">
                <wp:simplePos x="0" y="0"/>
                <wp:positionH relativeFrom="column">
                  <wp:posOffset>576580</wp:posOffset>
                </wp:positionH>
                <wp:positionV relativeFrom="paragraph">
                  <wp:posOffset>916305</wp:posOffset>
                </wp:positionV>
                <wp:extent cx="2221865" cy="1375410"/>
                <wp:effectExtent l="4445" t="5080" r="307340" b="10160"/>
                <wp:wrapNone/>
                <wp:docPr id="235" name="自选图形 825"/>
                <wp:cNvGraphicFramePr/>
                <a:graphic xmlns:a="http://schemas.openxmlformats.org/drawingml/2006/main">
                  <a:graphicData uri="http://schemas.microsoft.com/office/word/2010/wordprocessingShape">
                    <wps:wsp>
                      <wps:cNvSpPr/>
                      <wps:spPr>
                        <a:xfrm>
                          <a:off x="0" y="0"/>
                          <a:ext cx="2221865" cy="1375410"/>
                        </a:xfrm>
                        <a:prstGeom prst="wedgeRectCallout">
                          <a:avLst>
                            <a:gd name="adj1" fmla="val 63199"/>
                            <a:gd name="adj2" fmla="val 34208"/>
                          </a:avLst>
                        </a:prstGeom>
                        <a:solidFill>
                          <a:srgbClr val="FFFFFF"/>
                        </a:solidFill>
                        <a:ln w="9525" cap="flat" cmpd="sng">
                          <a:solidFill>
                            <a:srgbClr val="FF0000"/>
                          </a:solidFill>
                          <a:prstDash val="solid"/>
                          <a:miter/>
                          <a:headEnd type="none" w="med" len="med"/>
                          <a:tailEnd type="none" w="med" len="med"/>
                        </a:ln>
                      </wps:spPr>
                      <wps:txbx>
                        <w:txbxContent>
                          <w:p w14:paraId="7784E260">
                            <w:pPr>
                              <w:ind w:left="0" w:leftChars="0" w:firstLine="0" w:firstLineChars="0"/>
                              <w:rPr>
                                <w:rFonts w:hint="eastAsia" w:eastAsia="宋体"/>
                                <w:lang w:eastAsia="zh-CN"/>
                              </w:rPr>
                            </w:pPr>
                            <w:r>
                              <w:rPr>
                                <w:rFonts w:hint="eastAsia" w:eastAsia="宋体"/>
                                <w:lang w:eastAsia="zh-CN"/>
                              </w:rPr>
                              <w:drawing>
                                <wp:inline distT="0" distB="0" distL="114300" distR="114300">
                                  <wp:extent cx="3083560" cy="2616200"/>
                                  <wp:effectExtent l="0" t="0" r="2540" b="12700"/>
                                  <wp:docPr id="542" name="图片 293" descr="e3dafbae42b00df34d9d444993d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293" descr="e3dafbae42b00df34d9d444993d0316"/>
                                          <pic:cNvPicPr>
                                            <a:picLocks noChangeAspect="1"/>
                                          </pic:cNvPicPr>
                                        </pic:nvPicPr>
                                        <pic:blipFill>
                                          <a:blip r:embed="rId19"/>
                                          <a:stretch>
                                            <a:fillRect/>
                                          </a:stretch>
                                        </pic:blipFill>
                                        <pic:spPr>
                                          <a:xfrm>
                                            <a:off x="0" y="0"/>
                                            <a:ext cx="3083560" cy="2616200"/>
                                          </a:xfrm>
                                          <a:prstGeom prst="rect">
                                            <a:avLst/>
                                          </a:prstGeom>
                                          <a:noFill/>
                                          <a:ln>
                                            <a:noFill/>
                                          </a:ln>
                                        </pic:spPr>
                                      </pic:pic>
                                    </a:graphicData>
                                  </a:graphic>
                                </wp:inline>
                              </w:drawing>
                            </w:r>
                          </w:p>
                          <w:p w14:paraId="60F39BE6">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wrap="none" upright="1">
                        <a:spAutoFit/>
                      </wps:bodyPr>
                    </wps:wsp>
                  </a:graphicData>
                </a:graphic>
              </wp:anchor>
            </w:drawing>
          </mc:Choice>
          <mc:Fallback>
            <w:pict>
              <v:shape id="自选图形 825" o:spid="_x0000_s1026" o:spt="61" type="#_x0000_t61" style="position:absolute;left:0pt;margin-left:45.4pt;margin-top:72.15pt;height:108.3pt;width:174.95pt;mso-wrap-style:none;z-index:251701248;mso-width-relative:page;mso-height-relative:page;" fillcolor="#FFFFFF" filled="t" stroked="t" coordsize="21600,21600" o:gfxdata="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lv2gNkAAAAKAQAADwAA&#10;AAAAAAABACAAAAAiAAAAZHJzL2Rvd25yZXYueG1sUEsBAhQAFAAAAAgAh07iQKqzjzVOAgAAtwQA&#10;AA4AAAAAAAAAAQAgAAAAKAEAAGRycy9lMm9Eb2MueG1sUEsFBgAAAAAGAAYAWQEAAOgFAAAAAA==&#10;" adj="24451,18189">
                <v:fill on="t" focussize="0,0"/>
                <v:stroke color="#FF0000" joinstyle="miter"/>
                <v:imagedata o:title=""/>
                <o:lock v:ext="edit" aspectratio="f"/>
                <v:textbox style="mso-fit-shape-to-text:t;">
                  <w:txbxContent>
                    <w:p w14:paraId="7784E260">
                      <w:pPr>
                        <w:ind w:left="0" w:leftChars="0" w:firstLine="0" w:firstLineChars="0"/>
                        <w:rPr>
                          <w:rFonts w:hint="eastAsia" w:eastAsia="宋体"/>
                          <w:lang w:eastAsia="zh-CN"/>
                        </w:rPr>
                      </w:pPr>
                      <w:r>
                        <w:rPr>
                          <w:rFonts w:hint="eastAsia" w:eastAsia="宋体"/>
                          <w:lang w:eastAsia="zh-CN"/>
                        </w:rPr>
                        <w:drawing>
                          <wp:inline distT="0" distB="0" distL="114300" distR="114300">
                            <wp:extent cx="3083560" cy="2616200"/>
                            <wp:effectExtent l="0" t="0" r="2540" b="12700"/>
                            <wp:docPr id="542" name="图片 293" descr="e3dafbae42b00df34d9d444993d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293" descr="e3dafbae42b00df34d9d444993d0316"/>
                                    <pic:cNvPicPr>
                                      <a:picLocks noChangeAspect="1"/>
                                    </pic:cNvPicPr>
                                  </pic:nvPicPr>
                                  <pic:blipFill>
                                    <a:blip r:embed="rId19"/>
                                    <a:stretch>
                                      <a:fillRect/>
                                    </a:stretch>
                                  </pic:blipFill>
                                  <pic:spPr>
                                    <a:xfrm>
                                      <a:off x="0" y="0"/>
                                      <a:ext cx="3083560" cy="2616200"/>
                                    </a:xfrm>
                                    <a:prstGeom prst="rect">
                                      <a:avLst/>
                                    </a:prstGeom>
                                    <a:noFill/>
                                    <a:ln>
                                      <a:noFill/>
                                    </a:ln>
                                  </pic:spPr>
                                </pic:pic>
                              </a:graphicData>
                            </a:graphic>
                          </wp:inline>
                        </w:drawing>
                      </w:r>
                    </w:p>
                    <w:p w14:paraId="60F39BE6">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rPr>
          <w:color w:val="auto"/>
          <w:sz w:val="21"/>
          <w:highlight w:val="none"/>
        </w:rPr>
        <mc:AlternateContent>
          <mc:Choice Requires="wpg">
            <w:drawing>
              <wp:anchor distT="0" distB="0" distL="114300" distR="114300" simplePos="0" relativeHeight="251709440" behindDoc="0" locked="0" layoutInCell="1" allowOverlap="1">
                <wp:simplePos x="0" y="0"/>
                <wp:positionH relativeFrom="column">
                  <wp:posOffset>4001135</wp:posOffset>
                </wp:positionH>
                <wp:positionV relativeFrom="paragraph">
                  <wp:posOffset>3390900</wp:posOffset>
                </wp:positionV>
                <wp:extent cx="969010" cy="755650"/>
                <wp:effectExtent l="4445" t="4445" r="17145" b="20955"/>
                <wp:wrapNone/>
                <wp:docPr id="253" name="组合 826"/>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251" name="矩形 827"/>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wrap="square" upright="1"/>
                      </wps:wsp>
                      <wps:wsp>
                        <wps:cNvPr id="252" name="自选图形 828"/>
                        <wps:cNvSpPr/>
                        <wps:spPr>
                          <a:xfrm rot="10200000" flipV="1">
                            <a:off x="8728" y="533060"/>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826" o:spid="_x0000_s1026" o:spt="203" style="position:absolute;left:0pt;margin-left:315.05pt;margin-top:267pt;height:59.5pt;width:76.3pt;z-index:251709440;mso-width-relative:page;mso-height-relative:page;" coordorigin="8297,532777" coordsize="1526,1190" o:gfxdata="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">
                <o:lock v:ext="edit" aspectratio="f"/>
                <v:rect id="矩形 827" o:spid="_x0000_s1026" o:spt="1" style="position:absolute;left:8297;top:532777;height:1190;width:1526;" fillcolor="#FFFFFF" filled="t" stroked="t" coordsize="21600,21600" o:gfxdata="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nQPFb4A&#10;AADcAAAADwAAAAAAAAABACAAAAAiAAAAZHJzL2Rvd25yZXYueG1sUEsBAhQAFAAAAAgAh07iQDMv&#10;BZ47AAAAOQAAABAAAAAAAAAAAQAgAAAADQEAAGRycy9zaGFwZXhtbC54bWxQSwUGAAAAAAYABgBb&#10;AQAAtwMAAAAA&#10;">
                  <v:fill on="t" opacity="0f" focussize="0,0"/>
                  <v:stroke color="#000000" joinstyle="miter"/>
                  <v:imagedata o:title=""/>
                  <o:lock v:ext="edit" aspectratio="f"/>
                </v:rect>
                <v:shape id="自选图形 828" o:spid="_x0000_s1026" o:spt="7" type="#_x0000_t7" style="position:absolute;left:8728;top:533060;flip:y;height:120;width:120;rotation:-11141120f;" fillcolor="#FFFFFF" filled="t" stroked="t" coordsize="21600,21600" o:gfxdata="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iN36/&#10;AAAA3AAAAA8AAAAAAAAAAQAgAAAAIgAAAGRycy9kb3ducmV2LnhtbFBLAQIUABQAAAAIAIdO4kAz&#10;LwWeOwAAADkAAAAQAAAAAAAAAAEAIAAAAA4BAABkcnMvc2hhcGV4bWwueG1sUEsFBgAAAAAGAAYA&#10;WwEAALgDAAAAAA==&#10;" adj="5400">
                  <v:fill on="t" focussize="0,0"/>
                  <v:stroke color="#000000" joinstyle="miter"/>
                  <v:imagedata o:title=""/>
                  <o:lock v:ext="edit" aspectratio="f"/>
                </v:shape>
              </v:group>
            </w:pict>
          </mc:Fallback>
        </mc:AlternateContent>
      </w:r>
      <w:r>
        <w:rPr>
          <w:color w:val="auto"/>
          <w:highlight w:val="none"/>
        </w:rPr>
        <w:drawing>
          <wp:inline distT="0" distB="0" distL="114300" distR="114300">
            <wp:extent cx="5430520" cy="7677785"/>
            <wp:effectExtent l="0" t="0" r="17780" b="18415"/>
            <wp:docPr id="543" name="图片 29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294" descr="IMG_256"/>
                    <pic:cNvPicPr>
                      <a:picLocks noChangeAspect="1"/>
                    </pic:cNvPicPr>
                  </pic:nvPicPr>
                  <pic:blipFill>
                    <a:blip r:embed="rId20"/>
                    <a:stretch>
                      <a:fillRect/>
                    </a:stretch>
                  </pic:blipFill>
                  <pic:spPr>
                    <a:xfrm>
                      <a:off x="0" y="0"/>
                      <a:ext cx="5430520" cy="7677785"/>
                    </a:xfrm>
                    <a:prstGeom prst="rect">
                      <a:avLst/>
                    </a:prstGeom>
                    <a:noFill/>
                    <a:ln>
                      <a:noFill/>
                    </a:ln>
                  </pic:spPr>
                </pic:pic>
              </a:graphicData>
            </a:graphic>
          </wp:inline>
        </w:drawing>
      </w:r>
      <w:r>
        <w:rPr>
          <w:rStyle w:val="550"/>
          <w:rFonts w:hint="eastAsia"/>
          <w:color w:val="auto"/>
          <w:highlight w:val="none"/>
          <w:lang w:val="en-US" w:eastAsia="zh-CN"/>
        </w:rPr>
        <w:t>图2.5-6  本项目与大气管控单元细化图</w:t>
      </w:r>
    </w:p>
    <w:p w14:paraId="2456357A">
      <w:pPr>
        <w:pStyle w:val="23"/>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color w:val="auto"/>
          <w:highlight w:val="none"/>
        </w:rPr>
      </w:pPr>
      <w:r>
        <w:rPr>
          <w:color w:val="auto"/>
          <w:sz w:val="21"/>
          <w:highlight w:val="none"/>
        </w:rPr>
        <mc:AlternateContent>
          <mc:Choice Requires="wpg">
            <w:drawing>
              <wp:anchor distT="0" distB="0" distL="114300" distR="114300" simplePos="0" relativeHeight="251707392" behindDoc="0" locked="0" layoutInCell="1" allowOverlap="1">
                <wp:simplePos x="0" y="0"/>
                <wp:positionH relativeFrom="column">
                  <wp:posOffset>3953510</wp:posOffset>
                </wp:positionH>
                <wp:positionV relativeFrom="paragraph">
                  <wp:posOffset>3409950</wp:posOffset>
                </wp:positionV>
                <wp:extent cx="969010" cy="755650"/>
                <wp:effectExtent l="4445" t="4445" r="17145" b="20955"/>
                <wp:wrapNone/>
                <wp:docPr id="247" name="组合 829"/>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245" name="矩形 830"/>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wrap="square" upright="1"/>
                      </wps:wsp>
                      <wps:wsp>
                        <wps:cNvPr id="246" name="自选图形 831"/>
                        <wps:cNvSpPr/>
                        <wps:spPr>
                          <a:xfrm rot="10200000" flipV="1">
                            <a:off x="8728" y="533060"/>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829" o:spid="_x0000_s1026" o:spt="203" style="position:absolute;left:0pt;margin-left:311.3pt;margin-top:268.5pt;height:59.5pt;width:76.3pt;z-index:251707392;mso-width-relative:page;mso-height-relative:page;" coordorigin="8297,532777" coordsize="1526,1190" o:gfxdata="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DwBsA5&#10;2gAAAAsBAAAPAAAAAAAAAAEAIAAAACIAAABkcnMvZG93bnJldi54bWxQSwECFAAUAAAACACHTuJA&#10;JdEhswMDAAAsCAAADgAAAAAAAAABACAAAAApAQAAZHJzL2Uyb0RvYy54bWxQSwUGAAAAAAYABgBZ&#10;AQAAngYAAAAA&#10;">
                <o:lock v:ext="edit" aspectratio="f"/>
                <v:rect id="矩形 830" o:spid="_x0000_s1026" o:spt="1" style="position:absolute;left:8297;top:532777;height:1190;width:1526;" fillcolor="#FFFFFF" filled="t" stroked="t" coordsize="21600,21600" o:gfxdata="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Wn8u/&#10;AAAA3AAAAA8AAAAAAAAAAQAgAAAAIgAAAGRycy9kb3ducmV2LnhtbFBLAQIUABQAAAAIAIdO4kAz&#10;LwWeOwAAADkAAAAQAAAAAAAAAAEAIAAAAA4BAABkcnMvc2hhcGV4bWwueG1sUEsFBgAAAAAGAAYA&#10;WwEAALgDAAAAAA==&#10;">
                  <v:fill on="t" opacity="0f" focussize="0,0"/>
                  <v:stroke color="#000000" joinstyle="miter"/>
                  <v:imagedata o:title=""/>
                  <o:lock v:ext="edit" aspectratio="f"/>
                </v:rect>
                <v:shape id="自选图形 831" o:spid="_x0000_s1026" o:spt="7" type="#_x0000_t7" style="position:absolute;left:8728;top:533060;flip:y;height:120;width:120;rotation:-11141120f;" fillcolor="#FFFFFF" filled="t" stroked="t" coordsize="21600,21600" o:gfxdata="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Ap6C/&#10;AAAA3AAAAA8AAAAAAAAAAQAgAAAAIgAAAGRycy9kb3ducmV2LnhtbFBLAQIUABQAAAAIAIdO4kAz&#10;LwWeOwAAADkAAAAQAAAAAAAAAAEAIAAAAA4BAABkcnMvc2hhcGV4bWwueG1sUEsFBgAAAAAGAAYA&#10;WwEAALgDAAAAAA==&#10;" adj="5400">
                  <v:fill on="t" focussize="0,0"/>
                  <v:stroke color="#000000" joinstyle="miter"/>
                  <v:imagedata o:title=""/>
                  <o:lock v:ext="edit" aspectratio="f"/>
                </v:shape>
              </v:group>
            </w:pict>
          </mc:Fallback>
        </mc:AlternateContent>
      </w:r>
      <w:r>
        <w:rPr>
          <w:color w:val="auto"/>
          <w:sz w:val="21"/>
          <w:highlight w:val="none"/>
        </w:rPr>
        <mc:AlternateContent>
          <mc:Choice Requires="wps">
            <w:drawing>
              <wp:anchor distT="0" distB="0" distL="114300" distR="114300" simplePos="0" relativeHeight="251700224" behindDoc="0" locked="0" layoutInCell="1" allowOverlap="1">
                <wp:simplePos x="0" y="0"/>
                <wp:positionH relativeFrom="column">
                  <wp:posOffset>1122045</wp:posOffset>
                </wp:positionH>
                <wp:positionV relativeFrom="paragraph">
                  <wp:posOffset>1456055</wp:posOffset>
                </wp:positionV>
                <wp:extent cx="76200" cy="76200"/>
                <wp:effectExtent l="20955" t="10160" r="36195" b="27940"/>
                <wp:wrapNone/>
                <wp:docPr id="234" name="自选图形 832"/>
                <wp:cNvGraphicFramePr/>
                <a:graphic xmlns:a="http://schemas.openxmlformats.org/drawingml/2006/main">
                  <a:graphicData uri="http://schemas.microsoft.com/office/word/2010/wordprocessingShape">
                    <wps:wsp>
                      <wps:cNvSpPr/>
                      <wps:spPr>
                        <a:xfrm rot="912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32" o:spid="_x0000_s1026" o:spt="7" type="#_x0000_t7" style="position:absolute;left:0pt;flip:y;margin-left:88.35pt;margin-top:114.65pt;height:6pt;width:6pt;rotation:-9961472f;z-index:251700224;mso-width-relative:page;mso-height-relative:page;" fillcolor="#FFFFFF" filled="t" stroked="t" coordsize="21600,21600" o:gfxdata="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VuDqbYAAAACwEAAA8AAAAAAAAAAQAgAAAAIgAAAGRycy9k&#10;b3ducmV2LnhtbFBLAQIUABQAAAAIAIdO4kDK/y8DOwIAAIAEAAAOAAAAAAAAAAEAIAAAACcBAABk&#10;cnMvZTJvRG9jLnhtbFBLBQYAAAAABgAGAFkBAADUBQAAAAA=&#10;" adj="5400">
                <v:fill on="t" focussize="0,0"/>
                <v:stroke color="#000000" joinstyle="miter"/>
                <v:imagedata o:title=""/>
                <o:lock v:ext="edit" aspectratio="f"/>
              </v:shape>
            </w:pict>
          </mc:Fallback>
        </mc:AlternateContent>
      </w:r>
      <w:r>
        <w:rPr>
          <w:color w:val="auto"/>
          <w:sz w:val="21"/>
          <w:highlight w:val="none"/>
        </w:rPr>
        <mc:AlternateContent>
          <mc:Choice Requires="wps">
            <w:drawing>
              <wp:anchor distT="0" distB="0" distL="114300" distR="114300" simplePos="0" relativeHeight="251703296" behindDoc="0" locked="0" layoutInCell="1" allowOverlap="1">
                <wp:simplePos x="0" y="0"/>
                <wp:positionH relativeFrom="column">
                  <wp:posOffset>414655</wp:posOffset>
                </wp:positionH>
                <wp:positionV relativeFrom="paragraph">
                  <wp:posOffset>989965</wp:posOffset>
                </wp:positionV>
                <wp:extent cx="2221865" cy="1375410"/>
                <wp:effectExtent l="4445" t="5080" r="535940" b="10160"/>
                <wp:wrapNone/>
                <wp:docPr id="237" name="自选图形 612"/>
                <wp:cNvGraphicFramePr/>
                <a:graphic xmlns:a="http://schemas.openxmlformats.org/drawingml/2006/main">
                  <a:graphicData uri="http://schemas.microsoft.com/office/word/2010/wordprocessingShape">
                    <wps:wsp>
                      <wps:cNvSpPr/>
                      <wps:spPr>
                        <a:xfrm>
                          <a:off x="0" y="0"/>
                          <a:ext cx="2221865" cy="1375410"/>
                        </a:xfrm>
                        <a:prstGeom prst="wedgeRectCallout">
                          <a:avLst>
                            <a:gd name="adj1" fmla="val 73069"/>
                            <a:gd name="adj2" fmla="val 39370"/>
                          </a:avLst>
                        </a:prstGeom>
                        <a:solidFill>
                          <a:srgbClr val="FFFFFF"/>
                        </a:solidFill>
                        <a:ln w="9525" cap="flat" cmpd="sng">
                          <a:solidFill>
                            <a:srgbClr val="FF0000"/>
                          </a:solidFill>
                          <a:prstDash val="solid"/>
                          <a:miter/>
                          <a:headEnd type="none" w="med" len="med"/>
                          <a:tailEnd type="none" w="med" len="med"/>
                        </a:ln>
                      </wps:spPr>
                      <wps:txbx>
                        <w:txbxContent>
                          <w:p w14:paraId="2B3350DE">
                            <w:pPr>
                              <w:ind w:left="0" w:leftChars="0" w:firstLine="0" w:firstLineChars="0"/>
                              <w:rPr>
                                <w:rFonts w:hint="eastAsia" w:eastAsia="宋体"/>
                                <w:lang w:eastAsia="zh-CN"/>
                              </w:rPr>
                            </w:pPr>
                            <w:r>
                              <w:rPr>
                                <w:rFonts w:hint="eastAsia" w:eastAsia="宋体"/>
                                <w:lang w:eastAsia="zh-CN"/>
                              </w:rPr>
                              <w:drawing>
                                <wp:inline distT="0" distB="0" distL="114300" distR="114300">
                                  <wp:extent cx="2936875" cy="2495550"/>
                                  <wp:effectExtent l="0" t="0" r="15875" b="0"/>
                                  <wp:docPr id="544" name="图片 295" descr="b05b160f716678e89e3f5728487e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295" descr="b05b160f716678e89e3f5728487e666"/>
                                          <pic:cNvPicPr>
                                            <a:picLocks noChangeAspect="1"/>
                                          </pic:cNvPicPr>
                                        </pic:nvPicPr>
                                        <pic:blipFill>
                                          <a:blip r:embed="rId21"/>
                                          <a:stretch>
                                            <a:fillRect/>
                                          </a:stretch>
                                        </pic:blipFill>
                                        <pic:spPr>
                                          <a:xfrm>
                                            <a:off x="0" y="0"/>
                                            <a:ext cx="2936875" cy="2495550"/>
                                          </a:xfrm>
                                          <a:prstGeom prst="rect">
                                            <a:avLst/>
                                          </a:prstGeom>
                                          <a:noFill/>
                                          <a:ln>
                                            <a:noFill/>
                                          </a:ln>
                                        </pic:spPr>
                                      </pic:pic>
                                    </a:graphicData>
                                  </a:graphic>
                                </wp:inline>
                              </w:drawing>
                            </w:r>
                          </w:p>
                          <w:p w14:paraId="113E6FAF">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wrap="none" upright="1">
                        <a:spAutoFit/>
                      </wps:bodyPr>
                    </wps:wsp>
                  </a:graphicData>
                </a:graphic>
              </wp:anchor>
            </w:drawing>
          </mc:Choice>
          <mc:Fallback>
            <w:pict>
              <v:shape id="自选图形 612" o:spid="_x0000_s1026" o:spt="61" type="#_x0000_t61" style="position:absolute;left:0pt;margin-left:32.65pt;margin-top:77.95pt;height:108.3pt;width:174.95pt;mso-wrap-style:none;z-index:251703296;mso-width-relative:page;mso-height-relative:page;" fillcolor="#FFFFFF" filled="t" stroked="t" coordsize="21600,21600" o:gfxdata="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Cu9aQvYAAAACgEAAA8AAAAA&#10;AAAAAQAgAAAAIgAAAGRycy9kb3ducmV2LnhtbFBLAQIUABQAAAAIAIdO4kBwwXTgTQIAALcEAAAO&#10;AAAAAAAAAAEAIAAAACcBAABkcnMvZTJvRG9jLnhtbFBLBQYAAAAABgAGAFkBAADmBQAAAAA=&#10;" adj="26583,19304">
                <v:fill on="t" focussize="0,0"/>
                <v:stroke color="#FF0000" joinstyle="miter"/>
                <v:imagedata o:title=""/>
                <o:lock v:ext="edit" aspectratio="f"/>
                <v:textbox style="mso-fit-shape-to-text:t;">
                  <w:txbxContent>
                    <w:p w14:paraId="2B3350DE">
                      <w:pPr>
                        <w:ind w:left="0" w:leftChars="0" w:firstLine="0" w:firstLineChars="0"/>
                        <w:rPr>
                          <w:rFonts w:hint="eastAsia" w:eastAsia="宋体"/>
                          <w:lang w:eastAsia="zh-CN"/>
                        </w:rPr>
                      </w:pPr>
                      <w:r>
                        <w:rPr>
                          <w:rFonts w:hint="eastAsia" w:eastAsia="宋体"/>
                          <w:lang w:eastAsia="zh-CN"/>
                        </w:rPr>
                        <w:drawing>
                          <wp:inline distT="0" distB="0" distL="114300" distR="114300">
                            <wp:extent cx="2936875" cy="2495550"/>
                            <wp:effectExtent l="0" t="0" r="15875" b="0"/>
                            <wp:docPr id="544" name="图片 295" descr="b05b160f716678e89e3f5728487e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295" descr="b05b160f716678e89e3f5728487e666"/>
                                    <pic:cNvPicPr>
                                      <a:picLocks noChangeAspect="1"/>
                                    </pic:cNvPicPr>
                                  </pic:nvPicPr>
                                  <pic:blipFill>
                                    <a:blip r:embed="rId21"/>
                                    <a:stretch>
                                      <a:fillRect/>
                                    </a:stretch>
                                  </pic:blipFill>
                                  <pic:spPr>
                                    <a:xfrm>
                                      <a:off x="0" y="0"/>
                                      <a:ext cx="2936875" cy="2495550"/>
                                    </a:xfrm>
                                    <a:prstGeom prst="rect">
                                      <a:avLst/>
                                    </a:prstGeom>
                                    <a:noFill/>
                                    <a:ln>
                                      <a:noFill/>
                                    </a:ln>
                                  </pic:spPr>
                                </pic:pic>
                              </a:graphicData>
                            </a:graphic>
                          </wp:inline>
                        </w:drawing>
                      </w:r>
                    </w:p>
                    <w:p w14:paraId="113E6FAF">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rPr>
          <w:color w:val="auto"/>
          <w:highlight w:val="none"/>
        </w:rPr>
        <w:drawing>
          <wp:inline distT="0" distB="0" distL="114300" distR="114300">
            <wp:extent cx="5403215" cy="7637145"/>
            <wp:effectExtent l="0" t="0" r="6985" b="1905"/>
            <wp:docPr id="545" name="图片 29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296" descr="IMG_256"/>
                    <pic:cNvPicPr>
                      <a:picLocks noChangeAspect="1"/>
                    </pic:cNvPicPr>
                  </pic:nvPicPr>
                  <pic:blipFill>
                    <a:blip r:embed="rId22"/>
                    <a:stretch>
                      <a:fillRect/>
                    </a:stretch>
                  </pic:blipFill>
                  <pic:spPr>
                    <a:xfrm>
                      <a:off x="0" y="0"/>
                      <a:ext cx="5403215" cy="7637145"/>
                    </a:xfrm>
                    <a:prstGeom prst="rect">
                      <a:avLst/>
                    </a:prstGeom>
                    <a:noFill/>
                    <a:ln>
                      <a:noFill/>
                    </a:ln>
                  </pic:spPr>
                </pic:pic>
              </a:graphicData>
            </a:graphic>
          </wp:inline>
        </w:drawing>
      </w:r>
    </w:p>
    <w:p w14:paraId="02271F1C">
      <w:pPr>
        <w:pStyle w:val="23"/>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color w:val="auto"/>
          <w:highlight w:val="none"/>
        </w:rPr>
      </w:pPr>
      <w:r>
        <w:rPr>
          <w:rStyle w:val="550"/>
          <w:rFonts w:hint="eastAsia"/>
          <w:color w:val="auto"/>
          <w:highlight w:val="none"/>
          <w:lang w:val="en-US" w:eastAsia="zh-CN"/>
        </w:rPr>
        <w:t>图2.5-7  本项目水管控单元细化图</w:t>
      </w:r>
      <w:r>
        <w:rPr>
          <w:color w:val="auto"/>
          <w:sz w:val="21"/>
          <w:highlight w:val="none"/>
        </w:rPr>
        <mc:AlternateContent>
          <mc:Choice Requires="wps">
            <w:drawing>
              <wp:anchor distT="0" distB="0" distL="114300" distR="114300" simplePos="0" relativeHeight="251699200" behindDoc="0" locked="0" layoutInCell="1" allowOverlap="1">
                <wp:simplePos x="0" y="0"/>
                <wp:positionH relativeFrom="column">
                  <wp:posOffset>1664970</wp:posOffset>
                </wp:positionH>
                <wp:positionV relativeFrom="paragraph">
                  <wp:posOffset>2046605</wp:posOffset>
                </wp:positionV>
                <wp:extent cx="76200" cy="76200"/>
                <wp:effectExtent l="20320" t="10160" r="36830" b="27940"/>
                <wp:wrapNone/>
                <wp:docPr id="233" name="自选图形 834"/>
                <wp:cNvGraphicFramePr/>
                <a:graphic xmlns:a="http://schemas.openxmlformats.org/drawingml/2006/main">
                  <a:graphicData uri="http://schemas.microsoft.com/office/word/2010/wordprocessingShape">
                    <wps:wsp>
                      <wps:cNvSpPr/>
                      <wps:spPr>
                        <a:xfrm rot="930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34" o:spid="_x0000_s1026" o:spt="7" type="#_x0000_t7" style="position:absolute;left:0pt;flip:y;margin-left:131.1pt;margin-top:161.15pt;height:6pt;width:6pt;rotation:-10158080f;z-index:251699200;mso-width-relative:page;mso-height-relative:page;" fillcolor="#FFFFFF" filled="t" stroked="t" coordsize="21600,21600" o:gfxdata="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wbGZtoAAAALAQAADwAAAAAAAAABACAAAAAiAAAAZHJz&#10;L2Rvd25yZXYueG1sUEsBAhQAFAAAAAgAh07iQMoUNDQ7AgAAgAQAAA4AAAAAAAAAAQAgAAAAKQEA&#10;AGRycy9lMm9Eb2MueG1sUEsFBgAAAAAGAAYAWQEAANYFAAAAAA==&#10;" adj="5400">
                <v:fill on="t" focussize="0,0"/>
                <v:stroke color="#000000" joinstyle="miter"/>
                <v:imagedata o:title=""/>
                <o:lock v:ext="edit" aspectratio="f"/>
              </v:shape>
            </w:pict>
          </mc:Fallback>
        </mc:AlternateContent>
      </w:r>
      <w:r>
        <w:rPr>
          <w:color w:val="auto"/>
          <w:sz w:val="21"/>
          <w:highlight w:val="none"/>
        </w:rPr>
        <mc:AlternateContent>
          <mc:Choice Requires="wpg">
            <w:drawing>
              <wp:anchor distT="0" distB="0" distL="114300" distR="114300" simplePos="0" relativeHeight="251706368" behindDoc="0" locked="0" layoutInCell="1" allowOverlap="1">
                <wp:simplePos x="0" y="0"/>
                <wp:positionH relativeFrom="column">
                  <wp:posOffset>3934460</wp:posOffset>
                </wp:positionH>
                <wp:positionV relativeFrom="paragraph">
                  <wp:posOffset>3676650</wp:posOffset>
                </wp:positionV>
                <wp:extent cx="969010" cy="755650"/>
                <wp:effectExtent l="4445" t="4445" r="17145" b="20955"/>
                <wp:wrapNone/>
                <wp:docPr id="244" name="组合 835"/>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242" name="矩形 836"/>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wrap="square" upright="1"/>
                      </wps:wsp>
                      <wps:wsp>
                        <wps:cNvPr id="243" name="自选图形 837"/>
                        <wps:cNvSpPr/>
                        <wps:spPr>
                          <a:xfrm rot="10200000" flipV="1">
                            <a:off x="8728" y="533060"/>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835" o:spid="_x0000_s1026" o:spt="203" style="position:absolute;left:0pt;margin-left:309.8pt;margin-top:289.5pt;height:59.5pt;width:76.3pt;z-index:251706368;mso-width-relative:page;mso-height-relative:page;" coordorigin="8297,532777" coordsize="1526,1190" o:gfxdata="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Dvk&#10;wijbAAAACwEAAA8AAAAAAAAAAQAgAAAAIgAAAGRycy9kb3ducmV2LnhtbFBLAQIUABQAAAAIAIdO&#10;4kCoM7c8BAMAACwIAAAOAAAAAAAAAAEAIAAAACoBAABkcnMvZTJvRG9jLnhtbFBLBQYAAAAABgAG&#10;AFkBAACgBgAAAAA=&#10;">
                <o:lock v:ext="edit" aspectratio="f"/>
                <v:rect id="矩形 836" o:spid="_x0000_s1026" o:spt="1" style="position:absolute;left:8297;top:532777;height:1190;width:1526;" fillcolor="#FFFFFF" filled="t" stroked="t" coordsize="21600,21600" o:gfxdata="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fwe/&#10;wAAAANwAAAAPAAAAAAAAAAEAIAAAACIAAABkcnMvZG93bnJldi54bWxQSwECFAAUAAAACACHTuJA&#10;My8FnjsAAAA5AAAAEAAAAAAAAAABACAAAAAPAQAAZHJzL3NoYXBleG1sLnhtbFBLBQYAAAAABgAG&#10;AFsBAAC5AwAAAAA=&#10;">
                  <v:fill on="t" opacity="0f" focussize="0,0"/>
                  <v:stroke color="#000000" joinstyle="miter"/>
                  <v:imagedata o:title=""/>
                  <o:lock v:ext="edit" aspectratio="f"/>
                </v:rect>
                <v:shape id="自选图形 837" o:spid="_x0000_s1026" o:spt="7" type="#_x0000_t7" style="position:absolute;left:8728;top:533060;flip:y;height:120;width:120;rotation:-11141120f;" fillcolor="#FFFFFF" filled="t" stroked="t" coordsize="21600,21600" o:gfxdata="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N3BDi/&#10;AAAA3AAAAA8AAAAAAAAAAQAgAAAAIgAAAGRycy9kb3ducmV2LnhtbFBLAQIUABQAAAAIAIdO4kAz&#10;LwWeOwAAADkAAAAQAAAAAAAAAAEAIAAAAA4BAABkcnMvc2hhcGV4bWwueG1sUEsFBgAAAAAGAAYA&#10;WwEAALgDAAAAAA==&#10;" adj="5400">
                  <v:fill on="t" focussize="0,0"/>
                  <v:stroke color="#000000" joinstyle="miter"/>
                  <v:imagedata o:title=""/>
                  <o:lock v:ext="edit" aspectratio="f"/>
                </v:shape>
              </v:group>
            </w:pict>
          </mc:Fallback>
        </mc:AlternateContent>
      </w:r>
      <w:r>
        <w:rPr>
          <w:color w:val="auto"/>
          <w:sz w:val="21"/>
          <w:highlight w:val="none"/>
        </w:rPr>
        <mc:AlternateContent>
          <mc:Choice Requires="wps">
            <w:drawing>
              <wp:anchor distT="0" distB="0" distL="114300" distR="114300" simplePos="0" relativeHeight="251702272" behindDoc="0" locked="0" layoutInCell="1" allowOverlap="1">
                <wp:simplePos x="0" y="0"/>
                <wp:positionH relativeFrom="column">
                  <wp:posOffset>657860</wp:posOffset>
                </wp:positionH>
                <wp:positionV relativeFrom="paragraph">
                  <wp:posOffset>1206500</wp:posOffset>
                </wp:positionV>
                <wp:extent cx="2221865" cy="1375410"/>
                <wp:effectExtent l="4445" t="5080" r="878840" b="524510"/>
                <wp:wrapNone/>
                <wp:docPr id="236" name="自选图形 838"/>
                <wp:cNvGraphicFramePr/>
                <a:graphic xmlns:a="http://schemas.openxmlformats.org/drawingml/2006/main">
                  <a:graphicData uri="http://schemas.microsoft.com/office/word/2010/wordprocessingShape">
                    <wps:wsp>
                      <wps:cNvSpPr/>
                      <wps:spPr>
                        <a:xfrm>
                          <a:off x="0" y="0"/>
                          <a:ext cx="2221865" cy="1375410"/>
                        </a:xfrm>
                        <a:prstGeom prst="wedgeRectCallout">
                          <a:avLst>
                            <a:gd name="adj1" fmla="val 87616"/>
                            <a:gd name="adj2" fmla="val 85468"/>
                          </a:avLst>
                        </a:prstGeom>
                        <a:solidFill>
                          <a:srgbClr val="FFFFFF"/>
                        </a:solidFill>
                        <a:ln w="9525" cap="flat" cmpd="sng">
                          <a:solidFill>
                            <a:srgbClr val="FF0000"/>
                          </a:solidFill>
                          <a:prstDash val="solid"/>
                          <a:miter/>
                          <a:headEnd type="none" w="med" len="med"/>
                          <a:tailEnd type="none" w="med" len="med"/>
                        </a:ln>
                      </wps:spPr>
                      <wps:txbx>
                        <w:txbxContent>
                          <w:p w14:paraId="1D23FED6">
                            <w:pPr>
                              <w:ind w:left="0" w:leftChars="0" w:firstLine="0" w:firstLineChars="0"/>
                              <w:rPr>
                                <w:rFonts w:hint="eastAsia" w:eastAsia="宋体"/>
                                <w:lang w:eastAsia="zh-CN"/>
                              </w:rPr>
                            </w:pPr>
                            <w:r>
                              <w:rPr>
                                <w:rFonts w:hint="eastAsia" w:eastAsia="宋体"/>
                                <w:lang w:eastAsia="zh-CN"/>
                              </w:rPr>
                              <w:drawing>
                                <wp:inline distT="0" distB="0" distL="114300" distR="114300">
                                  <wp:extent cx="2411730" cy="1473835"/>
                                  <wp:effectExtent l="0" t="0" r="7620" b="12065"/>
                                  <wp:docPr id="546" name="图片 297" descr="175248406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297" descr="1752484067167"/>
                                          <pic:cNvPicPr>
                                            <a:picLocks noChangeAspect="1"/>
                                          </pic:cNvPicPr>
                                        </pic:nvPicPr>
                                        <pic:blipFill>
                                          <a:blip r:embed="rId23"/>
                                          <a:stretch>
                                            <a:fillRect/>
                                          </a:stretch>
                                        </pic:blipFill>
                                        <pic:spPr>
                                          <a:xfrm>
                                            <a:off x="0" y="0"/>
                                            <a:ext cx="2411730" cy="1473835"/>
                                          </a:xfrm>
                                          <a:prstGeom prst="rect">
                                            <a:avLst/>
                                          </a:prstGeom>
                                          <a:noFill/>
                                          <a:ln>
                                            <a:noFill/>
                                          </a:ln>
                                        </pic:spPr>
                                      </pic:pic>
                                    </a:graphicData>
                                  </a:graphic>
                                </wp:inline>
                              </w:drawing>
                            </w:r>
                          </w:p>
                          <w:p w14:paraId="77B236F8">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wrap="none" upright="1">
                        <a:spAutoFit/>
                      </wps:bodyPr>
                    </wps:wsp>
                  </a:graphicData>
                </a:graphic>
              </wp:anchor>
            </w:drawing>
          </mc:Choice>
          <mc:Fallback>
            <w:pict>
              <v:shape id="自选图形 838" o:spid="_x0000_s1026" o:spt="61" type="#_x0000_t61" style="position:absolute;left:0pt;margin-left:51.8pt;margin-top:95pt;height:108.3pt;width:174.95pt;mso-wrap-style:none;z-index:251702272;mso-width-relative:page;mso-height-relative:page;" fillcolor="#FFFFFF" filled="t" stroked="t" coordsize="21600,21600" o:gfxdata="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xYsfK2AAAAAsBAAAPAAAA&#10;AAAAAAEAIAAAACIAAABkcnMvZG93bnJldi54bWxQSwECFAAUAAAACACHTuJAuopWxE4CAAC3BAAA&#10;DgAAAAAAAAABACAAAAAnAQAAZHJzL2Uyb0RvYy54bWxQSwUGAAAAAAYABgBZAQAA5wUAAAAA&#10;" adj="29725,29261">
                <v:fill on="t" focussize="0,0"/>
                <v:stroke color="#FF0000" joinstyle="miter"/>
                <v:imagedata o:title=""/>
                <o:lock v:ext="edit" aspectratio="f"/>
                <v:textbox style="mso-fit-shape-to-text:t;">
                  <w:txbxContent>
                    <w:p w14:paraId="1D23FED6">
                      <w:pPr>
                        <w:ind w:left="0" w:leftChars="0" w:firstLine="0" w:firstLineChars="0"/>
                        <w:rPr>
                          <w:rFonts w:hint="eastAsia" w:eastAsia="宋体"/>
                          <w:lang w:eastAsia="zh-CN"/>
                        </w:rPr>
                      </w:pPr>
                      <w:r>
                        <w:rPr>
                          <w:rFonts w:hint="eastAsia" w:eastAsia="宋体"/>
                          <w:lang w:eastAsia="zh-CN"/>
                        </w:rPr>
                        <w:drawing>
                          <wp:inline distT="0" distB="0" distL="114300" distR="114300">
                            <wp:extent cx="2411730" cy="1473835"/>
                            <wp:effectExtent l="0" t="0" r="7620" b="12065"/>
                            <wp:docPr id="546" name="图片 297" descr="175248406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297" descr="1752484067167"/>
                                    <pic:cNvPicPr>
                                      <a:picLocks noChangeAspect="1"/>
                                    </pic:cNvPicPr>
                                  </pic:nvPicPr>
                                  <pic:blipFill>
                                    <a:blip r:embed="rId23"/>
                                    <a:stretch>
                                      <a:fillRect/>
                                    </a:stretch>
                                  </pic:blipFill>
                                  <pic:spPr>
                                    <a:xfrm>
                                      <a:off x="0" y="0"/>
                                      <a:ext cx="2411730" cy="1473835"/>
                                    </a:xfrm>
                                    <a:prstGeom prst="rect">
                                      <a:avLst/>
                                    </a:prstGeom>
                                    <a:noFill/>
                                    <a:ln>
                                      <a:noFill/>
                                    </a:ln>
                                  </pic:spPr>
                                </pic:pic>
                              </a:graphicData>
                            </a:graphic>
                          </wp:inline>
                        </w:drawing>
                      </w:r>
                    </w:p>
                    <w:p w14:paraId="77B236F8">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rPr>
          <w:color w:val="auto"/>
          <w:highlight w:val="none"/>
        </w:rPr>
        <w:drawing>
          <wp:inline distT="0" distB="0" distL="114300" distR="114300">
            <wp:extent cx="5669280" cy="8013065"/>
            <wp:effectExtent l="0" t="0" r="7620" b="6985"/>
            <wp:docPr id="547" name="图片 29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298" descr="IMG_256"/>
                    <pic:cNvPicPr>
                      <a:picLocks noChangeAspect="1"/>
                    </pic:cNvPicPr>
                  </pic:nvPicPr>
                  <pic:blipFill>
                    <a:blip r:embed="rId24"/>
                    <a:stretch>
                      <a:fillRect/>
                    </a:stretch>
                  </pic:blipFill>
                  <pic:spPr>
                    <a:xfrm>
                      <a:off x="0" y="0"/>
                      <a:ext cx="5669280" cy="8013065"/>
                    </a:xfrm>
                    <a:prstGeom prst="rect">
                      <a:avLst/>
                    </a:prstGeom>
                    <a:noFill/>
                    <a:ln>
                      <a:noFill/>
                    </a:ln>
                  </pic:spPr>
                </pic:pic>
              </a:graphicData>
            </a:graphic>
          </wp:inline>
        </w:drawing>
      </w:r>
    </w:p>
    <w:p w14:paraId="3312775B">
      <w:pPr>
        <w:pStyle w:val="23"/>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color w:val="auto"/>
          <w:highlight w:val="none"/>
        </w:rPr>
      </w:pPr>
      <w:r>
        <w:rPr>
          <w:rStyle w:val="550"/>
          <w:rFonts w:hint="eastAsia"/>
          <w:color w:val="auto"/>
          <w:highlight w:val="none"/>
          <w:lang w:val="en-US" w:eastAsia="zh-CN"/>
        </w:rPr>
        <w:t>图2.5-8  本项目土壤管控单元细化图</w:t>
      </w:r>
      <w:r>
        <w:rPr>
          <w:color w:val="auto"/>
          <w:sz w:val="21"/>
          <w:highlight w:val="none"/>
        </w:rPr>
        <mc:AlternateContent>
          <mc:Choice Requires="wps">
            <w:drawing>
              <wp:anchor distT="0" distB="0" distL="114300" distR="114300" simplePos="0" relativeHeight="251737088" behindDoc="0" locked="0" layoutInCell="1" allowOverlap="1">
                <wp:simplePos x="0" y="0"/>
                <wp:positionH relativeFrom="column">
                  <wp:posOffset>1198245</wp:posOffset>
                </wp:positionH>
                <wp:positionV relativeFrom="paragraph">
                  <wp:posOffset>3637280</wp:posOffset>
                </wp:positionV>
                <wp:extent cx="76200" cy="76200"/>
                <wp:effectExtent l="23495" t="8890" r="33655" b="10160"/>
                <wp:wrapNone/>
                <wp:docPr id="341" name="自选图形 839"/>
                <wp:cNvGraphicFramePr/>
                <a:graphic xmlns:a="http://schemas.openxmlformats.org/drawingml/2006/main">
                  <a:graphicData uri="http://schemas.microsoft.com/office/word/2010/wordprocessingShape">
                    <wps:wsp>
                      <wps:cNvSpPr/>
                      <wps:spPr>
                        <a:xfrm rot="8280000" flipV="1">
                          <a:off x="0" y="0"/>
                          <a:ext cx="76200" cy="7620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839" o:spid="_x0000_s1026" o:spt="7" type="#_x0000_t7" style="position:absolute;left:0pt;flip:y;margin-left:94.35pt;margin-top:286.4pt;height:6pt;width:6pt;rotation:-9043968f;z-index:251737088;mso-width-relative:page;mso-height-relative:page;" fillcolor="#FFFFFF" filled="t" stroked="t" coordsize="21600,21600" o:gfxdata="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i4HWy1QAAAAsBAAAPAAAAAAAAAAEAIAAAACIAAABkcnMvZG93&#10;bnJldi54bWxQSwECFAAUAAAACACHTuJAowswRDwCAACABAAADgAAAAAAAAABACAAAAAkAQAAZHJz&#10;L2Uyb0RvYy54bWxQSwUGAAAAAAYABgBZAQAA0gUAAAAA&#10;" adj="5400">
                <v:fill on="t" focussize="0,0"/>
                <v:stroke color="#000000" joinstyle="miter"/>
                <v:imagedata o:title=""/>
                <o:lock v:ext="edit" aspectratio="f"/>
              </v:shape>
            </w:pict>
          </mc:Fallback>
        </mc:AlternateContent>
      </w:r>
      <w:r>
        <w:rPr>
          <w:color w:val="auto"/>
          <w:sz w:val="21"/>
          <w:highlight w:val="none"/>
        </w:rPr>
        <mc:AlternateContent>
          <mc:Choice Requires="wpg">
            <w:drawing>
              <wp:anchor distT="0" distB="0" distL="114300" distR="114300" simplePos="0" relativeHeight="251704320" behindDoc="0" locked="0" layoutInCell="1" allowOverlap="1">
                <wp:simplePos x="0" y="0"/>
                <wp:positionH relativeFrom="column">
                  <wp:posOffset>3858260</wp:posOffset>
                </wp:positionH>
                <wp:positionV relativeFrom="paragraph">
                  <wp:posOffset>3495675</wp:posOffset>
                </wp:positionV>
                <wp:extent cx="969010" cy="755650"/>
                <wp:effectExtent l="4445" t="4445" r="17145" b="20955"/>
                <wp:wrapNone/>
                <wp:docPr id="240" name="组合 840"/>
                <wp:cNvGraphicFramePr/>
                <a:graphic xmlns:a="http://schemas.openxmlformats.org/drawingml/2006/main">
                  <a:graphicData uri="http://schemas.microsoft.com/office/word/2010/wordprocessingGroup">
                    <wpg:wgp>
                      <wpg:cNvGrpSpPr/>
                      <wpg:grpSpPr>
                        <a:xfrm>
                          <a:off x="0" y="0"/>
                          <a:ext cx="969010" cy="755650"/>
                          <a:chOff x="8297" y="532777"/>
                          <a:chExt cx="1526" cy="1190"/>
                        </a:xfrm>
                      </wpg:grpSpPr>
                      <wps:wsp>
                        <wps:cNvPr id="238" name="矩形 841"/>
                        <wps:cNvSpPr/>
                        <wps:spPr>
                          <a:xfrm>
                            <a:off x="8297" y="532777"/>
                            <a:ext cx="1526" cy="1190"/>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wrap="square" upright="1"/>
                      </wps:wsp>
                      <wps:wsp>
                        <wps:cNvPr id="239" name="自选图形 842"/>
                        <wps:cNvSpPr/>
                        <wps:spPr>
                          <a:xfrm rot="10200000" flipV="1">
                            <a:off x="8728" y="533060"/>
                            <a:ext cx="120" cy="120"/>
                          </a:xfrm>
                          <a:prstGeom prst="parallelogram">
                            <a:avLst>
                              <a:gd name="adj" fmla="val 25000"/>
                            </a:avLst>
                          </a:prstGeom>
                          <a:solidFill>
                            <a:srgbClr val="FFFFFF"/>
                          </a:solidFill>
                          <a:ln w="9525" cap="flat" cmpd="sng">
                            <a:solidFill>
                              <a:srgbClr val="000000"/>
                            </a:solidFill>
                            <a:prstDash val="solid"/>
                            <a:miter/>
                            <a:headEnd type="none" w="med" len="med"/>
                            <a:tailEnd type="none" w="med" len="med"/>
                          </a:ln>
                        </wps:spPr>
                        <wps:bodyPr wrap="square" upright="1"/>
                      </wps:wsp>
                    </wpg:wgp>
                  </a:graphicData>
                </a:graphic>
              </wp:anchor>
            </w:drawing>
          </mc:Choice>
          <mc:Fallback>
            <w:pict>
              <v:group id="组合 840" o:spid="_x0000_s1026" o:spt="203" style="position:absolute;left:0pt;margin-left:303.8pt;margin-top:275.25pt;height:59.5pt;width:76.3pt;z-index:251704320;mso-width-relative:page;mso-height-relative:page;" coordorigin="8297,532777" coordsize="1526,1190" o:gfxdata="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">
                <o:lock v:ext="edit" aspectratio="f"/>
                <v:rect id="矩形 841" o:spid="_x0000_s1026" o:spt="1" style="position:absolute;left:8297;top:532777;height:1190;width:1526;" fillcolor="#FFFFFF" filled="t" stroked="t" coordsize="21600,21600" o:gfxdata="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pFDKLsAAADc&#10;AAAADwAAAAAAAAABACAAAAAiAAAAZHJzL2Rvd25yZXYueG1sUEsBAhQAFAAAAAgAh07iQDMvBZ47&#10;AAAAOQAAABAAAAAAAAAAAQAgAAAACgEAAGRycy9zaGFwZXhtbC54bWxQSwUGAAAAAAYABgBbAQAA&#10;tAMAAAAA&#10;">
                  <v:fill on="t" opacity="0f" focussize="0,0"/>
                  <v:stroke color="#000000" joinstyle="miter"/>
                  <v:imagedata o:title=""/>
                  <o:lock v:ext="edit" aspectratio="f"/>
                </v:rect>
                <v:shape id="自选图形 842" o:spid="_x0000_s1026" o:spt="7" type="#_x0000_t7" style="position:absolute;left:8728;top:533060;flip:y;height:120;width:120;rotation:-11141120f;" fillcolor="#FFFFFF" filled="t" stroked="t" coordsize="21600,21600" o:gfxdata="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plAr74A&#10;AADcAAAADwAAAAAAAAABACAAAAAiAAAAZHJzL2Rvd25yZXYueG1sUEsBAhQAFAAAAAgAh07iQDMv&#10;BZ47AAAAOQAAABAAAAAAAAAAAQAgAAAADQEAAGRycy9zaGFwZXhtbC54bWxQSwUGAAAAAAYABgBb&#10;AQAAtwMAAAAA&#10;" adj="5400">
                  <v:fill on="t" focussize="0,0"/>
                  <v:stroke color="#000000" joinstyle="miter"/>
                  <v:imagedata o:title=""/>
                  <o:lock v:ext="edit" aspectratio="f"/>
                </v:shape>
              </v:group>
            </w:pict>
          </mc:Fallback>
        </mc:AlternateContent>
      </w:r>
      <w:r>
        <w:rPr>
          <w:color w:val="auto"/>
          <w:sz w:val="21"/>
          <w:highlight w:val="none"/>
        </w:rPr>
        <mc:AlternateContent>
          <mc:Choice Requires="wps">
            <w:drawing>
              <wp:anchor distT="0" distB="0" distL="114300" distR="114300" simplePos="0" relativeHeight="251705344" behindDoc="0" locked="0" layoutInCell="1" allowOverlap="1">
                <wp:simplePos x="0" y="0"/>
                <wp:positionH relativeFrom="column">
                  <wp:posOffset>286385</wp:posOffset>
                </wp:positionH>
                <wp:positionV relativeFrom="paragraph">
                  <wp:posOffset>3016250</wp:posOffset>
                </wp:positionV>
                <wp:extent cx="2221865" cy="1375410"/>
                <wp:effectExtent l="4445" t="4445" r="421640" b="10795"/>
                <wp:wrapNone/>
                <wp:docPr id="241" name="自选图形 396"/>
                <wp:cNvGraphicFramePr/>
                <a:graphic xmlns:a="http://schemas.openxmlformats.org/drawingml/2006/main">
                  <a:graphicData uri="http://schemas.microsoft.com/office/word/2010/wordprocessingShape">
                    <wps:wsp>
                      <wps:cNvSpPr/>
                      <wps:spPr>
                        <a:xfrm>
                          <a:off x="0" y="0"/>
                          <a:ext cx="2221865" cy="1375410"/>
                        </a:xfrm>
                        <a:prstGeom prst="wedgeRectCallout">
                          <a:avLst>
                            <a:gd name="adj1" fmla="val 68069"/>
                            <a:gd name="adj2" fmla="val -26838"/>
                          </a:avLst>
                        </a:prstGeom>
                        <a:solidFill>
                          <a:srgbClr val="FFFFFF"/>
                        </a:solidFill>
                        <a:ln w="9525" cap="flat" cmpd="sng">
                          <a:solidFill>
                            <a:srgbClr val="FF0000"/>
                          </a:solidFill>
                          <a:prstDash val="solid"/>
                          <a:miter/>
                          <a:headEnd type="none" w="med" len="med"/>
                          <a:tailEnd type="none" w="med" len="med"/>
                        </a:ln>
                      </wps:spPr>
                      <wps:txbx>
                        <w:txbxContent>
                          <w:p w14:paraId="7F100E3D">
                            <w:pPr>
                              <w:ind w:left="0" w:leftChars="0" w:firstLine="0" w:firstLineChars="0"/>
                              <w:rPr>
                                <w:rFonts w:hint="eastAsia" w:eastAsia="宋体"/>
                                <w:lang w:eastAsia="zh-CN"/>
                              </w:rPr>
                            </w:pPr>
                            <w:r>
                              <w:rPr>
                                <w:rFonts w:hint="eastAsia" w:eastAsia="宋体"/>
                                <w:lang w:eastAsia="zh-CN"/>
                              </w:rPr>
                              <w:drawing>
                                <wp:inline distT="0" distB="0" distL="114300" distR="114300">
                                  <wp:extent cx="3078480" cy="2526030"/>
                                  <wp:effectExtent l="0" t="0" r="7620" b="7620"/>
                                  <wp:docPr id="548" name="图片 299" descr="175248413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299" descr="1752484138460"/>
                                          <pic:cNvPicPr>
                                            <a:picLocks noChangeAspect="1"/>
                                          </pic:cNvPicPr>
                                        </pic:nvPicPr>
                                        <pic:blipFill>
                                          <a:blip r:embed="rId25"/>
                                          <a:stretch>
                                            <a:fillRect/>
                                          </a:stretch>
                                        </pic:blipFill>
                                        <pic:spPr>
                                          <a:xfrm>
                                            <a:off x="0" y="0"/>
                                            <a:ext cx="3078480" cy="2526030"/>
                                          </a:xfrm>
                                          <a:prstGeom prst="rect">
                                            <a:avLst/>
                                          </a:prstGeom>
                                          <a:noFill/>
                                          <a:ln>
                                            <a:noFill/>
                                          </a:ln>
                                        </pic:spPr>
                                      </pic:pic>
                                    </a:graphicData>
                                  </a:graphic>
                                </wp:inline>
                              </w:drawing>
                            </w:r>
                          </w:p>
                          <w:p w14:paraId="389E418A">
                            <w:pPr>
                              <w:pStyle w:val="3"/>
                              <w:jc w:val="center"/>
                              <w:rPr>
                                <w:rFonts w:hint="default"/>
                                <w:color w:val="FF0000"/>
                                <w:lang w:val="en-US" w:eastAsia="zh-CN"/>
                              </w:rPr>
                            </w:pPr>
                            <w:r>
                              <w:rPr>
                                <w:rFonts w:hint="eastAsia" w:eastAsia="宋体"/>
                                <w:color w:val="FF0000"/>
                                <w:lang w:val="en-US" w:eastAsia="zh-CN"/>
                              </w:rPr>
                              <w:t>本项目局部放大图</w:t>
                            </w:r>
                          </w:p>
                        </w:txbxContent>
                      </wps:txbx>
                      <wps:bodyPr wrap="none" upright="1">
                        <a:spAutoFit/>
                      </wps:bodyPr>
                    </wps:wsp>
                  </a:graphicData>
                </a:graphic>
              </wp:anchor>
            </w:drawing>
          </mc:Choice>
          <mc:Fallback>
            <w:pict>
              <v:shape id="自选图形 396" o:spid="_x0000_s1026" o:spt="61" type="#_x0000_t61" style="position:absolute;left:0pt;margin-left:22.55pt;margin-top:237.5pt;height:108.3pt;width:174.95pt;mso-wrap-style:none;z-index:251705344;mso-width-relative:page;mso-height-relative:page;" fillcolor="#FFFFFF" filled="t" stroked="t" coordsize="21600,21600" o:gfxdata="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ftzFNgAAAAKAQAADwAA&#10;AAAAAAABACAAAAAiAAAAZHJzL2Rvd25yZXYueG1sUEsBAhQAFAAAAAgAh07iQKjeAHBPAgAAuAQA&#10;AA4AAAAAAAAAAQAgAAAAJwEAAGRycy9lMm9Eb2MueG1sUEsFBgAAAAAGAAYAWQEAAOgFAAAAAA==&#10;" adj="25503,5003">
                <v:fill on="t" focussize="0,0"/>
                <v:stroke color="#FF0000" joinstyle="miter"/>
                <v:imagedata o:title=""/>
                <o:lock v:ext="edit" aspectratio="f"/>
                <v:textbox style="mso-fit-shape-to-text:t;">
                  <w:txbxContent>
                    <w:p w14:paraId="7F100E3D">
                      <w:pPr>
                        <w:ind w:left="0" w:leftChars="0" w:firstLine="0" w:firstLineChars="0"/>
                        <w:rPr>
                          <w:rFonts w:hint="eastAsia" w:eastAsia="宋体"/>
                          <w:lang w:eastAsia="zh-CN"/>
                        </w:rPr>
                      </w:pPr>
                      <w:r>
                        <w:rPr>
                          <w:rFonts w:hint="eastAsia" w:eastAsia="宋体"/>
                          <w:lang w:eastAsia="zh-CN"/>
                        </w:rPr>
                        <w:drawing>
                          <wp:inline distT="0" distB="0" distL="114300" distR="114300">
                            <wp:extent cx="3078480" cy="2526030"/>
                            <wp:effectExtent l="0" t="0" r="7620" b="7620"/>
                            <wp:docPr id="548" name="图片 299" descr="175248413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299" descr="1752484138460"/>
                                    <pic:cNvPicPr>
                                      <a:picLocks noChangeAspect="1"/>
                                    </pic:cNvPicPr>
                                  </pic:nvPicPr>
                                  <pic:blipFill>
                                    <a:blip r:embed="rId25"/>
                                    <a:stretch>
                                      <a:fillRect/>
                                    </a:stretch>
                                  </pic:blipFill>
                                  <pic:spPr>
                                    <a:xfrm>
                                      <a:off x="0" y="0"/>
                                      <a:ext cx="3078480" cy="2526030"/>
                                    </a:xfrm>
                                    <a:prstGeom prst="rect">
                                      <a:avLst/>
                                    </a:prstGeom>
                                    <a:noFill/>
                                    <a:ln>
                                      <a:noFill/>
                                    </a:ln>
                                  </pic:spPr>
                                </pic:pic>
                              </a:graphicData>
                            </a:graphic>
                          </wp:inline>
                        </w:drawing>
                      </w:r>
                    </w:p>
                    <w:p w14:paraId="389E418A">
                      <w:pPr>
                        <w:pStyle w:val="3"/>
                        <w:jc w:val="center"/>
                        <w:rPr>
                          <w:rFonts w:hint="default"/>
                          <w:color w:val="FF0000"/>
                          <w:lang w:val="en-US" w:eastAsia="zh-CN"/>
                        </w:rPr>
                      </w:pPr>
                      <w:r>
                        <w:rPr>
                          <w:rFonts w:hint="eastAsia" w:eastAsia="宋体"/>
                          <w:color w:val="FF0000"/>
                          <w:lang w:val="en-US" w:eastAsia="zh-CN"/>
                        </w:rPr>
                        <w:t>本项目局部放大图</w:t>
                      </w:r>
                    </w:p>
                  </w:txbxContent>
                </v:textbox>
              </v:shape>
            </w:pict>
          </mc:Fallback>
        </mc:AlternateContent>
      </w:r>
      <w:r>
        <w:rPr>
          <w:color w:val="auto"/>
          <w:highlight w:val="none"/>
        </w:rPr>
        <w:drawing>
          <wp:inline distT="0" distB="0" distL="114300" distR="114300">
            <wp:extent cx="5468620" cy="7729855"/>
            <wp:effectExtent l="0" t="0" r="17780" b="4445"/>
            <wp:docPr id="549" name="图片 30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300" descr="IMG_256"/>
                    <pic:cNvPicPr>
                      <a:picLocks noChangeAspect="1"/>
                    </pic:cNvPicPr>
                  </pic:nvPicPr>
                  <pic:blipFill>
                    <a:blip r:embed="rId26"/>
                    <a:stretch>
                      <a:fillRect/>
                    </a:stretch>
                  </pic:blipFill>
                  <pic:spPr>
                    <a:xfrm>
                      <a:off x="0" y="0"/>
                      <a:ext cx="5468620" cy="7729855"/>
                    </a:xfrm>
                    <a:prstGeom prst="rect">
                      <a:avLst/>
                    </a:prstGeom>
                    <a:noFill/>
                    <a:ln>
                      <a:noFill/>
                    </a:ln>
                  </pic:spPr>
                </pic:pic>
              </a:graphicData>
            </a:graphic>
          </wp:inline>
        </w:drawing>
      </w:r>
    </w:p>
    <w:p w14:paraId="60203030">
      <w:pPr>
        <w:pStyle w:val="549"/>
        <w:bidi w:val="0"/>
        <w:rPr>
          <w:rFonts w:hint="eastAsia"/>
          <w:color w:val="auto"/>
          <w:highlight w:val="none"/>
          <w:lang w:eastAsia="zh-CN"/>
        </w:rPr>
      </w:pPr>
      <w:r>
        <w:rPr>
          <w:rFonts w:hint="eastAsia"/>
          <w:color w:val="auto"/>
          <w:highlight w:val="none"/>
          <w:lang w:val="en-US" w:eastAsia="zh-CN"/>
        </w:rPr>
        <w:t>图2.5-9  生态管控单元图</w:t>
      </w:r>
    </w:p>
    <w:p w14:paraId="3B1E8A9D">
      <w:pPr>
        <w:pStyle w:val="23"/>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2）与</w:t>
      </w:r>
      <w:r>
        <w:rPr>
          <w:rFonts w:hint="default" w:ascii="Times New Roman" w:hAnsi="Times New Roman" w:eastAsia="宋体" w:cs="Times New Roman"/>
          <w:b/>
          <w:bCs/>
          <w:color w:val="auto"/>
          <w:sz w:val="24"/>
          <w:highlight w:val="none"/>
          <w:lang w:val="en-US" w:eastAsia="zh-CN"/>
        </w:rPr>
        <w:t>生态环境分区管控</w:t>
      </w:r>
      <w:r>
        <w:rPr>
          <w:rFonts w:hint="default" w:ascii="Times New Roman" w:hAnsi="Times New Roman" w:eastAsia="宋体" w:cs="Times New Roman"/>
          <w:b/>
          <w:bCs/>
          <w:color w:val="auto"/>
          <w:sz w:val="24"/>
          <w:highlight w:val="none"/>
        </w:rPr>
        <w:t>相符性</w:t>
      </w:r>
    </w:p>
    <w:p w14:paraId="6505A7B1">
      <w:pPr>
        <w:pStyle w:val="23"/>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color w:val="auto"/>
          <w:highlight w:val="none"/>
        </w:rPr>
      </w:pPr>
      <w:r>
        <w:rPr>
          <w:rFonts w:hint="eastAsia"/>
          <w:color w:val="auto"/>
          <w:highlight w:val="none"/>
        </w:rPr>
        <w:t>根据安徽省</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公众服务平台查询，本项目所在区域环境管控单元编码为：ZH34040330006，与</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成果数据分析，与1个环境管控单元存在交叠，其中优先保护类0个，重点管控类</w:t>
      </w:r>
      <w:r>
        <w:rPr>
          <w:rFonts w:hint="eastAsia"/>
          <w:color w:val="auto"/>
          <w:highlight w:val="none"/>
          <w:lang w:val="en-US" w:eastAsia="zh-CN"/>
        </w:rPr>
        <w:t>0</w:t>
      </w:r>
      <w:r>
        <w:rPr>
          <w:rFonts w:hint="eastAsia"/>
          <w:color w:val="auto"/>
          <w:highlight w:val="none"/>
        </w:rPr>
        <w:t>个，一般管控类</w:t>
      </w:r>
      <w:r>
        <w:rPr>
          <w:rFonts w:hint="eastAsia"/>
          <w:color w:val="auto"/>
          <w:highlight w:val="none"/>
          <w:lang w:val="en-US" w:eastAsia="zh-CN"/>
        </w:rPr>
        <w:t>1</w:t>
      </w:r>
      <w:r>
        <w:rPr>
          <w:rFonts w:hint="eastAsia"/>
          <w:color w:val="auto"/>
          <w:highlight w:val="none"/>
        </w:rPr>
        <w:t>个。根据淮南市</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图集</w:t>
      </w:r>
      <w:r>
        <w:rPr>
          <w:rFonts w:hint="eastAsia"/>
          <w:color w:val="auto"/>
          <w:highlight w:val="none"/>
          <w:lang w:val="en-US" w:eastAsia="zh-CN"/>
        </w:rPr>
        <w:t>，对照</w:t>
      </w:r>
      <w:r>
        <w:rPr>
          <w:rFonts w:hint="eastAsia"/>
          <w:color w:val="auto"/>
          <w:highlight w:val="none"/>
        </w:rPr>
        <w:t>安徽</w:t>
      </w:r>
      <w:r>
        <w:rPr>
          <w:rFonts w:hint="eastAsia"/>
          <w:color w:val="auto"/>
          <w:highlight w:val="none"/>
          <w:lang w:eastAsia="zh-CN"/>
        </w:rPr>
        <w:t>“</w:t>
      </w:r>
      <w:r>
        <w:rPr>
          <w:rFonts w:hint="eastAsia"/>
          <w:color w:val="auto"/>
          <w:highlight w:val="none"/>
        </w:rPr>
        <w:t>三线一单</w:t>
      </w:r>
      <w:r>
        <w:rPr>
          <w:rFonts w:hint="eastAsia"/>
          <w:color w:val="auto"/>
          <w:highlight w:val="none"/>
          <w:lang w:eastAsia="zh-CN"/>
        </w:rPr>
        <w:t>”</w:t>
      </w:r>
      <w:r>
        <w:rPr>
          <w:rFonts w:hint="eastAsia"/>
          <w:color w:val="auto"/>
          <w:highlight w:val="none"/>
        </w:rPr>
        <w:t>管控要求查询报告</w:t>
      </w:r>
      <w:r>
        <w:rPr>
          <w:rFonts w:hint="eastAsia"/>
          <w:color w:val="auto"/>
          <w:highlight w:val="none"/>
          <w:lang w:val="en-US" w:eastAsia="zh-CN"/>
        </w:rPr>
        <w:t>内容要求</w:t>
      </w:r>
      <w:r>
        <w:rPr>
          <w:rFonts w:hint="eastAsia"/>
          <w:color w:val="auto"/>
          <w:highlight w:val="none"/>
        </w:rPr>
        <w:t>，本次环评筛选了与本项目有关的管控</w:t>
      </w:r>
      <w:r>
        <w:rPr>
          <w:rFonts w:hint="eastAsia"/>
          <w:color w:val="auto"/>
          <w:highlight w:val="none"/>
          <w:lang w:val="en-US" w:eastAsia="zh-CN"/>
        </w:rPr>
        <w:t>要求</w:t>
      </w:r>
      <w:r>
        <w:rPr>
          <w:rFonts w:hint="eastAsia"/>
          <w:color w:val="auto"/>
          <w:highlight w:val="none"/>
        </w:rPr>
        <w:t>单元生态环境准入清单进行分析，详见下表。</w:t>
      </w:r>
    </w:p>
    <w:p w14:paraId="5E7B6C64">
      <w:pPr>
        <w:pStyle w:val="23"/>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756275" cy="3503295"/>
            <wp:effectExtent l="0" t="0" r="15875" b="1905"/>
            <wp:docPr id="550" name="图片 301" descr="87e8d0fb1525c4b78bcca8889c14d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301" descr="87e8d0fb1525c4b78bcca8889c14d7f"/>
                    <pic:cNvPicPr>
                      <a:picLocks noChangeAspect="1"/>
                    </pic:cNvPicPr>
                  </pic:nvPicPr>
                  <pic:blipFill>
                    <a:blip r:embed="rId27"/>
                    <a:stretch>
                      <a:fillRect/>
                    </a:stretch>
                  </pic:blipFill>
                  <pic:spPr>
                    <a:xfrm>
                      <a:off x="0" y="0"/>
                      <a:ext cx="5756275" cy="3503295"/>
                    </a:xfrm>
                    <a:prstGeom prst="rect">
                      <a:avLst/>
                    </a:prstGeom>
                    <a:noFill/>
                    <a:ln>
                      <a:noFill/>
                    </a:ln>
                  </pic:spPr>
                </pic:pic>
              </a:graphicData>
            </a:graphic>
          </wp:inline>
        </w:drawing>
      </w:r>
    </w:p>
    <w:p w14:paraId="54D3AF50">
      <w:pPr>
        <w:pStyle w:val="549"/>
        <w:bidi w:val="0"/>
        <w:rPr>
          <w:rFonts w:hint="default"/>
          <w:color w:val="auto"/>
          <w:highlight w:val="none"/>
          <w:lang w:val="en-US" w:eastAsia="zh-CN"/>
        </w:rPr>
      </w:pPr>
      <w:r>
        <w:rPr>
          <w:rFonts w:hint="default"/>
          <w:color w:val="auto"/>
          <w:highlight w:val="none"/>
          <w:lang w:val="en-US" w:eastAsia="zh-CN"/>
        </w:rPr>
        <w:t>图</w:t>
      </w:r>
      <w:r>
        <w:rPr>
          <w:rFonts w:hint="eastAsia"/>
          <w:color w:val="auto"/>
          <w:highlight w:val="none"/>
          <w:lang w:val="en-US" w:eastAsia="zh-CN"/>
        </w:rPr>
        <w:t>2</w:t>
      </w:r>
      <w:r>
        <w:rPr>
          <w:rFonts w:hint="default"/>
          <w:color w:val="auto"/>
          <w:highlight w:val="none"/>
          <w:lang w:val="en-US" w:eastAsia="zh-CN"/>
        </w:rPr>
        <w:t>.5-</w:t>
      </w:r>
      <w:r>
        <w:rPr>
          <w:rFonts w:hint="eastAsia"/>
          <w:color w:val="auto"/>
          <w:highlight w:val="none"/>
          <w:lang w:val="en-US" w:eastAsia="zh-CN"/>
        </w:rPr>
        <w:t xml:space="preserve">10  </w:t>
      </w:r>
      <w:r>
        <w:rPr>
          <w:rFonts w:hint="default"/>
          <w:color w:val="auto"/>
          <w:highlight w:val="none"/>
          <w:lang w:val="en-US" w:eastAsia="zh-CN"/>
        </w:rPr>
        <w:t>本项目在生态环境分区管控单元的点位图</w:t>
      </w:r>
    </w:p>
    <w:p w14:paraId="03D66000">
      <w:pPr>
        <w:pStyle w:val="549"/>
        <w:bidi w:val="0"/>
        <w:rPr>
          <w:rFonts w:hint="default"/>
          <w:color w:val="auto"/>
          <w:highlight w:val="none"/>
          <w:lang w:val="en-US" w:eastAsia="zh-CN"/>
        </w:rPr>
      </w:pPr>
      <w:r>
        <w:rPr>
          <w:rFonts w:hint="default"/>
          <w:color w:val="auto"/>
          <w:highlight w:val="none"/>
          <w:lang w:val="en-US" w:eastAsia="zh-CN"/>
        </w:rPr>
        <w:t>表2.5.3-</w:t>
      </w:r>
      <w:r>
        <w:rPr>
          <w:rFonts w:hint="eastAsia"/>
          <w:color w:val="auto"/>
          <w:highlight w:val="none"/>
          <w:lang w:val="en-US" w:eastAsia="zh-CN"/>
        </w:rPr>
        <w:t xml:space="preserve">2  </w:t>
      </w:r>
      <w:r>
        <w:rPr>
          <w:rFonts w:hint="default"/>
          <w:color w:val="auto"/>
          <w:highlight w:val="none"/>
          <w:lang w:val="en-US" w:eastAsia="zh-CN"/>
        </w:rPr>
        <w:t>本项目与生态管控单元的符合性分析</w:t>
      </w:r>
    </w:p>
    <w:tbl>
      <w:tblPr>
        <w:tblStyle w:val="49"/>
        <w:tblW w:w="502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76"/>
        <w:gridCol w:w="740"/>
        <w:gridCol w:w="3254"/>
        <w:gridCol w:w="2396"/>
        <w:gridCol w:w="995"/>
      </w:tblGrid>
      <w:tr w14:paraId="66E49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3" w:type="pct"/>
            <w:noWrap w:val="0"/>
            <w:vAlign w:val="center"/>
          </w:tcPr>
          <w:p w14:paraId="7A8E463D">
            <w:pPr>
              <w:pStyle w:val="563"/>
              <w:bidi w:val="0"/>
              <w:rPr>
                <w:b/>
                <w:bCs/>
                <w:color w:val="auto"/>
                <w:highlight w:val="none"/>
              </w:rPr>
            </w:pPr>
            <w:r>
              <w:rPr>
                <w:rFonts w:hint="eastAsia"/>
                <w:b/>
                <w:bCs/>
                <w:color w:val="auto"/>
                <w:highlight w:val="none"/>
                <w:lang w:val="en-US" w:eastAsia="zh-CN"/>
              </w:rPr>
              <w:t>区域管控要求</w:t>
            </w:r>
          </w:p>
        </w:tc>
        <w:tc>
          <w:tcPr>
            <w:tcW w:w="442" w:type="pct"/>
            <w:noWrap w:val="0"/>
            <w:vAlign w:val="center"/>
          </w:tcPr>
          <w:p w14:paraId="41F9D192">
            <w:pPr>
              <w:pStyle w:val="563"/>
              <w:bidi w:val="0"/>
              <w:rPr>
                <w:b/>
                <w:bCs/>
                <w:color w:val="auto"/>
                <w:highlight w:val="none"/>
              </w:rPr>
            </w:pPr>
            <w:r>
              <w:rPr>
                <w:rFonts w:hint="eastAsia"/>
                <w:b/>
                <w:bCs/>
                <w:color w:val="auto"/>
                <w:highlight w:val="none"/>
                <w:lang w:val="en-US" w:eastAsia="zh-CN"/>
              </w:rPr>
              <w:t>管控</w:t>
            </w:r>
          </w:p>
          <w:p w14:paraId="02DD24E1">
            <w:pPr>
              <w:pStyle w:val="563"/>
              <w:bidi w:val="0"/>
              <w:rPr>
                <w:b/>
                <w:bCs/>
                <w:color w:val="auto"/>
                <w:highlight w:val="none"/>
              </w:rPr>
            </w:pPr>
            <w:r>
              <w:rPr>
                <w:rFonts w:hint="eastAsia"/>
                <w:b/>
                <w:bCs/>
                <w:color w:val="auto"/>
                <w:highlight w:val="none"/>
                <w:lang w:val="en-US" w:eastAsia="zh-CN"/>
              </w:rPr>
              <w:t>类别</w:t>
            </w:r>
          </w:p>
        </w:tc>
        <w:tc>
          <w:tcPr>
            <w:tcW w:w="1945" w:type="pct"/>
            <w:noWrap w:val="0"/>
            <w:vAlign w:val="center"/>
          </w:tcPr>
          <w:p w14:paraId="2AFCF80C">
            <w:pPr>
              <w:pStyle w:val="563"/>
              <w:bidi w:val="0"/>
              <w:rPr>
                <w:b/>
                <w:bCs/>
                <w:color w:val="auto"/>
                <w:highlight w:val="none"/>
              </w:rPr>
            </w:pPr>
            <w:r>
              <w:rPr>
                <w:rFonts w:hint="eastAsia"/>
                <w:b/>
                <w:bCs/>
                <w:color w:val="auto"/>
                <w:highlight w:val="none"/>
                <w:lang w:val="en-US" w:eastAsia="zh-CN"/>
              </w:rPr>
              <w:t>管控要求</w:t>
            </w:r>
          </w:p>
        </w:tc>
        <w:tc>
          <w:tcPr>
            <w:tcW w:w="1432" w:type="pct"/>
            <w:noWrap w:val="0"/>
            <w:vAlign w:val="center"/>
          </w:tcPr>
          <w:p w14:paraId="70B0E416">
            <w:pPr>
              <w:pStyle w:val="563"/>
              <w:bidi w:val="0"/>
              <w:rPr>
                <w:b/>
                <w:bCs/>
                <w:color w:val="auto"/>
                <w:highlight w:val="none"/>
              </w:rPr>
            </w:pPr>
            <w:r>
              <w:rPr>
                <w:b/>
                <w:bCs/>
                <w:color w:val="auto"/>
                <w:highlight w:val="none"/>
              </w:rPr>
              <w:t>协调性分析</w:t>
            </w:r>
          </w:p>
        </w:tc>
        <w:tc>
          <w:tcPr>
            <w:tcW w:w="595" w:type="pct"/>
            <w:noWrap w:val="0"/>
            <w:vAlign w:val="center"/>
          </w:tcPr>
          <w:p w14:paraId="4CDBDCC0">
            <w:pPr>
              <w:pStyle w:val="563"/>
              <w:bidi w:val="0"/>
              <w:rPr>
                <w:b/>
                <w:bCs/>
                <w:color w:val="auto"/>
                <w:highlight w:val="none"/>
              </w:rPr>
            </w:pPr>
            <w:r>
              <w:rPr>
                <w:b/>
                <w:bCs/>
                <w:color w:val="auto"/>
                <w:highlight w:val="none"/>
              </w:rPr>
              <w:t>符合性分析</w:t>
            </w:r>
          </w:p>
        </w:tc>
      </w:tr>
      <w:tr w14:paraId="152A7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3" w:type="pct"/>
            <w:vMerge w:val="restart"/>
            <w:noWrap w:val="0"/>
            <w:vAlign w:val="center"/>
          </w:tcPr>
          <w:p w14:paraId="192F3FD4">
            <w:pPr>
              <w:pStyle w:val="563"/>
              <w:bidi w:val="0"/>
              <w:rPr>
                <w:rFonts w:hint="eastAsia"/>
                <w:color w:val="auto"/>
                <w:highlight w:val="none"/>
                <w:lang w:val="en-US" w:eastAsia="zh-CN"/>
              </w:rPr>
            </w:pPr>
            <w:r>
              <w:rPr>
                <w:rFonts w:hint="eastAsia"/>
                <w:color w:val="auto"/>
                <w:highlight w:val="none"/>
                <w:lang w:val="en-US" w:eastAsia="zh-CN"/>
              </w:rPr>
              <w:t>一般管控单元2</w:t>
            </w:r>
          </w:p>
        </w:tc>
        <w:tc>
          <w:tcPr>
            <w:tcW w:w="442" w:type="pct"/>
            <w:vMerge w:val="restart"/>
            <w:noWrap w:val="0"/>
            <w:vAlign w:val="center"/>
          </w:tcPr>
          <w:p w14:paraId="6708A3E0">
            <w:pPr>
              <w:pStyle w:val="563"/>
              <w:bidi w:val="0"/>
              <w:rPr>
                <w:color w:val="auto"/>
                <w:highlight w:val="none"/>
              </w:rPr>
            </w:pPr>
            <w:r>
              <w:rPr>
                <w:rFonts w:hint="eastAsia"/>
                <w:color w:val="auto"/>
                <w:highlight w:val="none"/>
                <w:lang w:val="en-US" w:eastAsia="zh-CN"/>
              </w:rPr>
              <w:t>空间布局约束</w:t>
            </w:r>
          </w:p>
        </w:tc>
        <w:tc>
          <w:tcPr>
            <w:tcW w:w="1945" w:type="pct"/>
            <w:noWrap w:val="0"/>
            <w:vAlign w:val="center"/>
          </w:tcPr>
          <w:p w14:paraId="1DBBD764">
            <w:pPr>
              <w:pStyle w:val="563"/>
              <w:bidi w:val="0"/>
              <w:rPr>
                <w:rFonts w:hint="default"/>
                <w:color w:val="auto"/>
                <w:highlight w:val="none"/>
                <w:lang w:val="en-US" w:eastAsia="zh-CN"/>
              </w:rPr>
            </w:pPr>
            <w:r>
              <w:rPr>
                <w:rFonts w:hint="eastAsia"/>
                <w:color w:val="auto"/>
                <w:highlight w:val="none"/>
              </w:rPr>
              <w:t>禁止任何单位和个人在基本农田保护区内建窑、建房、建坟、挖砂、采石采矿取土、堆放固体废弃物或者进行其他破坏基本农田的活动。禁止任何单位和个人占用基本农田发展林果业和挖塘养鱼。</w:t>
            </w:r>
          </w:p>
        </w:tc>
        <w:tc>
          <w:tcPr>
            <w:tcW w:w="1432" w:type="pct"/>
            <w:vMerge w:val="restart"/>
            <w:noWrap w:val="0"/>
            <w:vAlign w:val="center"/>
          </w:tcPr>
          <w:p w14:paraId="3828F8FB">
            <w:pPr>
              <w:pStyle w:val="563"/>
              <w:bidi w:val="0"/>
              <w:rPr>
                <w:rFonts w:hint="default"/>
                <w:color w:val="auto"/>
                <w:highlight w:val="none"/>
                <w:lang w:val="en-US" w:eastAsia="zh-CN"/>
              </w:rPr>
            </w:pPr>
            <w:r>
              <w:rPr>
                <w:rFonts w:hint="eastAsia"/>
                <w:color w:val="auto"/>
                <w:highlight w:val="none"/>
                <w:lang w:val="en-US" w:eastAsia="zh-CN"/>
              </w:rPr>
              <w:t>本项目位于淮南田家庵经济开发区，项目用地为工业用地，不占用基本农田、永久基本农田、耕地。</w:t>
            </w:r>
          </w:p>
        </w:tc>
        <w:tc>
          <w:tcPr>
            <w:tcW w:w="595" w:type="pct"/>
            <w:vMerge w:val="restart"/>
            <w:noWrap w:val="0"/>
            <w:vAlign w:val="center"/>
          </w:tcPr>
          <w:p w14:paraId="194BAE54">
            <w:pPr>
              <w:pStyle w:val="563"/>
              <w:bidi w:val="0"/>
              <w:rPr>
                <w:rFonts w:hint="default"/>
                <w:color w:val="auto"/>
                <w:highlight w:val="none"/>
                <w:lang w:val="en-US" w:eastAsia="zh-CN"/>
              </w:rPr>
            </w:pPr>
            <w:r>
              <w:rPr>
                <w:rFonts w:hint="eastAsia"/>
                <w:color w:val="auto"/>
                <w:highlight w:val="none"/>
                <w:lang w:val="en-US" w:eastAsia="zh-CN"/>
              </w:rPr>
              <w:t>符合</w:t>
            </w:r>
          </w:p>
        </w:tc>
      </w:tr>
      <w:tr w14:paraId="2CEB8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3" w:type="pct"/>
            <w:vMerge w:val="continue"/>
            <w:noWrap w:val="0"/>
            <w:vAlign w:val="center"/>
          </w:tcPr>
          <w:p w14:paraId="31C3FB7B">
            <w:pPr>
              <w:pStyle w:val="563"/>
              <w:bidi w:val="0"/>
              <w:rPr>
                <w:color w:val="auto"/>
                <w:highlight w:val="none"/>
              </w:rPr>
            </w:pPr>
          </w:p>
        </w:tc>
        <w:tc>
          <w:tcPr>
            <w:tcW w:w="442" w:type="pct"/>
            <w:vMerge w:val="continue"/>
            <w:noWrap w:val="0"/>
            <w:vAlign w:val="center"/>
          </w:tcPr>
          <w:p w14:paraId="6E8D6C17">
            <w:pPr>
              <w:pStyle w:val="563"/>
              <w:bidi w:val="0"/>
              <w:rPr>
                <w:rFonts w:hint="eastAsia"/>
                <w:color w:val="auto"/>
                <w:highlight w:val="none"/>
                <w:lang w:val="en-US" w:eastAsia="zh-CN"/>
              </w:rPr>
            </w:pPr>
          </w:p>
        </w:tc>
        <w:tc>
          <w:tcPr>
            <w:tcW w:w="1945" w:type="pct"/>
            <w:noWrap w:val="0"/>
            <w:vAlign w:val="center"/>
          </w:tcPr>
          <w:p w14:paraId="16AE5FE8">
            <w:pPr>
              <w:pStyle w:val="563"/>
              <w:bidi w:val="0"/>
              <w:rPr>
                <w:rFonts w:hint="eastAsia"/>
                <w:color w:val="auto"/>
                <w:highlight w:val="none"/>
                <w:lang w:val="en-US" w:eastAsia="zh-CN"/>
              </w:rPr>
            </w:pPr>
            <w:r>
              <w:rPr>
                <w:rFonts w:hint="eastAsia"/>
                <w:color w:val="auto"/>
                <w:highlight w:val="none"/>
                <w:lang w:val="en-US" w:eastAsia="zh-CN"/>
              </w:rPr>
              <w:t>在永久基本农田集中区域，不得规划新建可能造成土壤污染的建设项目。</w:t>
            </w:r>
          </w:p>
        </w:tc>
        <w:tc>
          <w:tcPr>
            <w:tcW w:w="1432" w:type="pct"/>
            <w:vMerge w:val="continue"/>
            <w:noWrap w:val="0"/>
            <w:vAlign w:val="center"/>
          </w:tcPr>
          <w:p w14:paraId="23A760B3">
            <w:pPr>
              <w:pStyle w:val="563"/>
              <w:bidi w:val="0"/>
              <w:rPr>
                <w:rFonts w:hint="default"/>
                <w:color w:val="auto"/>
                <w:highlight w:val="none"/>
                <w:lang w:val="en-US" w:eastAsia="zh-CN"/>
              </w:rPr>
            </w:pPr>
          </w:p>
        </w:tc>
        <w:tc>
          <w:tcPr>
            <w:tcW w:w="595" w:type="pct"/>
            <w:vMerge w:val="continue"/>
            <w:noWrap w:val="0"/>
            <w:vAlign w:val="center"/>
          </w:tcPr>
          <w:p w14:paraId="6054F298">
            <w:pPr>
              <w:pStyle w:val="563"/>
              <w:bidi w:val="0"/>
              <w:rPr>
                <w:rFonts w:hint="default"/>
                <w:color w:val="auto"/>
                <w:highlight w:val="none"/>
                <w:lang w:val="en-US" w:eastAsia="zh-CN"/>
              </w:rPr>
            </w:pPr>
          </w:p>
        </w:tc>
      </w:tr>
      <w:tr w14:paraId="09395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3" w:type="pct"/>
            <w:vMerge w:val="continue"/>
            <w:noWrap w:val="0"/>
            <w:vAlign w:val="center"/>
          </w:tcPr>
          <w:p w14:paraId="567A485D">
            <w:pPr>
              <w:pStyle w:val="563"/>
              <w:bidi w:val="0"/>
              <w:rPr>
                <w:color w:val="auto"/>
                <w:highlight w:val="none"/>
              </w:rPr>
            </w:pPr>
          </w:p>
        </w:tc>
        <w:tc>
          <w:tcPr>
            <w:tcW w:w="442" w:type="pct"/>
            <w:vMerge w:val="continue"/>
            <w:noWrap w:val="0"/>
            <w:vAlign w:val="center"/>
          </w:tcPr>
          <w:p w14:paraId="11548908">
            <w:pPr>
              <w:pStyle w:val="563"/>
              <w:bidi w:val="0"/>
              <w:rPr>
                <w:rFonts w:hint="eastAsia"/>
                <w:color w:val="auto"/>
                <w:highlight w:val="none"/>
                <w:lang w:val="en-US" w:eastAsia="zh-CN"/>
              </w:rPr>
            </w:pPr>
          </w:p>
        </w:tc>
        <w:tc>
          <w:tcPr>
            <w:tcW w:w="1945" w:type="pct"/>
            <w:noWrap w:val="0"/>
            <w:vAlign w:val="center"/>
          </w:tcPr>
          <w:p w14:paraId="55AB1CCE">
            <w:pPr>
              <w:pStyle w:val="563"/>
              <w:bidi w:val="0"/>
              <w:rPr>
                <w:rFonts w:hint="eastAsia"/>
                <w:color w:val="auto"/>
                <w:highlight w:val="none"/>
                <w:lang w:val="en-US" w:eastAsia="zh-CN"/>
              </w:rPr>
            </w:pPr>
            <w:r>
              <w:rPr>
                <w:rFonts w:hint="eastAsia"/>
                <w:color w:val="auto"/>
                <w:highlight w:val="none"/>
                <w:lang w:val="en-US" w:eastAsia="zh-CN"/>
              </w:rPr>
              <w:t>各级人民政府应当采取措施对耕地实行特殊保护，禁止违法占用耕地从事非农业建设，严格控制耕地转为林地、草地、园地等其他农用地，确保耕地优先用于粮食和蔬菜、油、棉、糖等农产品生产。实行耕地保护补偿激励制度，具体按照国家和省有关规定执行。</w:t>
            </w:r>
          </w:p>
        </w:tc>
        <w:tc>
          <w:tcPr>
            <w:tcW w:w="1432" w:type="pct"/>
            <w:vMerge w:val="continue"/>
            <w:noWrap w:val="0"/>
            <w:vAlign w:val="center"/>
          </w:tcPr>
          <w:p w14:paraId="3F3E055B">
            <w:pPr>
              <w:pStyle w:val="563"/>
              <w:bidi w:val="0"/>
              <w:rPr>
                <w:rFonts w:hint="default"/>
                <w:color w:val="auto"/>
                <w:highlight w:val="none"/>
                <w:lang w:val="en-US" w:eastAsia="zh-CN"/>
              </w:rPr>
            </w:pPr>
          </w:p>
        </w:tc>
        <w:tc>
          <w:tcPr>
            <w:tcW w:w="595" w:type="pct"/>
            <w:vMerge w:val="continue"/>
            <w:noWrap w:val="0"/>
            <w:vAlign w:val="center"/>
          </w:tcPr>
          <w:p w14:paraId="283C950E">
            <w:pPr>
              <w:pStyle w:val="563"/>
              <w:bidi w:val="0"/>
              <w:rPr>
                <w:rFonts w:hint="default"/>
                <w:color w:val="auto"/>
                <w:highlight w:val="none"/>
                <w:lang w:val="en-US" w:eastAsia="zh-CN"/>
              </w:rPr>
            </w:pPr>
          </w:p>
        </w:tc>
      </w:tr>
      <w:tr w14:paraId="2AC0B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3" w:type="pct"/>
            <w:vMerge w:val="continue"/>
            <w:noWrap w:val="0"/>
            <w:vAlign w:val="center"/>
          </w:tcPr>
          <w:p w14:paraId="2504DD41">
            <w:pPr>
              <w:pStyle w:val="563"/>
              <w:bidi w:val="0"/>
              <w:rPr>
                <w:color w:val="auto"/>
                <w:highlight w:val="none"/>
              </w:rPr>
            </w:pPr>
          </w:p>
        </w:tc>
        <w:tc>
          <w:tcPr>
            <w:tcW w:w="442" w:type="pct"/>
            <w:vMerge w:val="restart"/>
            <w:noWrap w:val="0"/>
            <w:vAlign w:val="center"/>
          </w:tcPr>
          <w:p w14:paraId="31A3F37E">
            <w:pPr>
              <w:pStyle w:val="563"/>
              <w:bidi w:val="0"/>
              <w:rPr>
                <w:rFonts w:hint="default" w:eastAsia="宋体"/>
                <w:color w:val="auto"/>
                <w:highlight w:val="none"/>
                <w:lang w:val="en-US" w:eastAsia="zh-CN"/>
              </w:rPr>
            </w:pPr>
            <w:r>
              <w:rPr>
                <w:rFonts w:hint="eastAsia"/>
                <w:color w:val="auto"/>
                <w:highlight w:val="none"/>
                <w:lang w:val="en-US" w:eastAsia="zh-CN"/>
              </w:rPr>
              <w:t>资源开发效率要求</w:t>
            </w:r>
          </w:p>
        </w:tc>
        <w:tc>
          <w:tcPr>
            <w:tcW w:w="1945" w:type="pct"/>
            <w:noWrap w:val="0"/>
            <w:vAlign w:val="center"/>
          </w:tcPr>
          <w:p w14:paraId="7A9B262D">
            <w:pPr>
              <w:pStyle w:val="563"/>
              <w:bidi w:val="0"/>
              <w:rPr>
                <w:color w:val="auto"/>
                <w:highlight w:val="none"/>
              </w:rPr>
            </w:pPr>
            <w:r>
              <w:rPr>
                <w:rFonts w:hint="eastAsia"/>
                <w:color w:val="auto"/>
                <w:highlight w:val="none"/>
                <w:lang w:val="en-US" w:eastAsia="zh-CN"/>
              </w:rPr>
              <w:t>大气环境部分依据《中华人民共和国大气污染防治法》《打赢蓝天保卫战三年行动计划》《安徽省打赢蓝天保卫战三年行动计划实施方案》等法律法规和规章对一般管控区实施管控。上年度PM</w:t>
            </w:r>
            <w:r>
              <w:rPr>
                <w:rFonts w:hint="eastAsia"/>
                <w:color w:val="auto"/>
                <w:highlight w:val="none"/>
                <w:vertAlign w:val="subscript"/>
                <w:lang w:val="en-US" w:eastAsia="zh-CN"/>
              </w:rPr>
              <w:t>2.5</w:t>
            </w:r>
            <w:r>
              <w:rPr>
                <w:rFonts w:hint="eastAsia"/>
                <w:color w:val="auto"/>
                <w:highlight w:val="none"/>
                <w:lang w:val="en-US" w:eastAsia="zh-CN"/>
              </w:rPr>
              <w:t>不达标城市新建改建和扩建项目大气污染物实施“倍量替代”，执行特别排放标准的行业实施提标升级改造。</w:t>
            </w:r>
          </w:p>
        </w:tc>
        <w:tc>
          <w:tcPr>
            <w:tcW w:w="1432" w:type="pct"/>
            <w:noWrap w:val="0"/>
            <w:vAlign w:val="center"/>
          </w:tcPr>
          <w:p w14:paraId="656AD6B9">
            <w:pPr>
              <w:pStyle w:val="563"/>
              <w:bidi w:val="0"/>
              <w:rPr>
                <w:rFonts w:hint="default" w:eastAsia="宋体"/>
                <w:color w:val="auto"/>
                <w:highlight w:val="none"/>
                <w:lang w:val="en-US" w:eastAsia="zh-CN"/>
              </w:rPr>
            </w:pPr>
            <w:r>
              <w:rPr>
                <w:rFonts w:hint="default"/>
                <w:color w:val="auto"/>
                <w:highlight w:val="none"/>
              </w:rPr>
              <w:t>根据淮南市人民政府网站公布的</w:t>
            </w:r>
            <w:r>
              <w:rPr>
                <w:rFonts w:hint="eastAsia"/>
                <w:color w:val="auto"/>
                <w:highlight w:val="none"/>
                <w:lang w:eastAsia="zh-CN"/>
              </w:rPr>
              <w:t>《</w:t>
            </w:r>
            <w:r>
              <w:rPr>
                <w:rFonts w:hint="default"/>
                <w:color w:val="auto"/>
                <w:highlight w:val="none"/>
              </w:rPr>
              <w:t>202</w:t>
            </w:r>
            <w:r>
              <w:rPr>
                <w:rFonts w:hint="eastAsia"/>
                <w:color w:val="auto"/>
                <w:highlight w:val="none"/>
                <w:lang w:val="en-US" w:eastAsia="zh-CN"/>
              </w:rPr>
              <w:t>4</w:t>
            </w:r>
            <w:r>
              <w:rPr>
                <w:rFonts w:hint="default"/>
                <w:color w:val="auto"/>
                <w:highlight w:val="none"/>
              </w:rPr>
              <w:t>年淮南市环境质量状况公报》，项目所在地的环境空气质量不达标，可吸入细颗粒物（P</w:t>
            </w:r>
            <w:r>
              <w:rPr>
                <w:rFonts w:hint="default"/>
                <w:color w:val="auto"/>
                <w:highlight w:val="none"/>
                <w:lang w:val="en-US" w:eastAsia="zh-CN"/>
              </w:rPr>
              <w:t>M</w:t>
            </w:r>
            <w:r>
              <w:rPr>
                <w:rFonts w:hint="default"/>
                <w:color w:val="auto"/>
                <w:highlight w:val="none"/>
                <w:vertAlign w:val="subscript"/>
                <w:lang w:val="en-US" w:eastAsia="zh-CN"/>
              </w:rPr>
              <w:t>2.5</w:t>
            </w:r>
            <w:r>
              <w:rPr>
                <w:rFonts w:hint="default"/>
                <w:color w:val="auto"/>
                <w:highlight w:val="none"/>
              </w:rPr>
              <w:t>）年均浓度超过《环境空气质量标准》（GB3095-2012）及修改单中二级标准</w:t>
            </w:r>
            <w:r>
              <w:rPr>
                <w:rFonts w:hint="eastAsia"/>
                <w:color w:val="auto"/>
                <w:highlight w:val="none"/>
                <w:lang w:eastAsia="zh-CN"/>
              </w:rPr>
              <w:t>，</w:t>
            </w:r>
            <w:r>
              <w:rPr>
                <w:rFonts w:hint="eastAsia"/>
                <w:color w:val="auto"/>
                <w:highlight w:val="none"/>
                <w:lang w:val="en-US" w:eastAsia="zh-CN"/>
              </w:rPr>
              <w:t>项目相关污染物实施“倍量替代”</w:t>
            </w:r>
          </w:p>
        </w:tc>
        <w:tc>
          <w:tcPr>
            <w:tcW w:w="595" w:type="pct"/>
            <w:noWrap w:val="0"/>
            <w:vAlign w:val="center"/>
          </w:tcPr>
          <w:p w14:paraId="245A76A6">
            <w:pPr>
              <w:pStyle w:val="563"/>
              <w:bidi w:val="0"/>
              <w:rPr>
                <w:color w:val="auto"/>
                <w:highlight w:val="none"/>
              </w:rPr>
            </w:pPr>
            <w:r>
              <w:rPr>
                <w:color w:val="auto"/>
                <w:highlight w:val="none"/>
              </w:rPr>
              <w:t>符合</w:t>
            </w:r>
          </w:p>
        </w:tc>
      </w:tr>
      <w:tr w14:paraId="2AA8A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3" w:type="pct"/>
            <w:vMerge w:val="continue"/>
            <w:noWrap w:val="0"/>
            <w:vAlign w:val="center"/>
          </w:tcPr>
          <w:p w14:paraId="43D38633">
            <w:pPr>
              <w:pStyle w:val="563"/>
              <w:bidi w:val="0"/>
              <w:rPr>
                <w:color w:val="auto"/>
                <w:highlight w:val="none"/>
              </w:rPr>
            </w:pPr>
          </w:p>
        </w:tc>
        <w:tc>
          <w:tcPr>
            <w:tcW w:w="442" w:type="pct"/>
            <w:vMerge w:val="continue"/>
            <w:noWrap w:val="0"/>
            <w:vAlign w:val="center"/>
          </w:tcPr>
          <w:p w14:paraId="3CF0633F">
            <w:pPr>
              <w:pStyle w:val="563"/>
              <w:bidi w:val="0"/>
              <w:rPr>
                <w:rFonts w:hint="eastAsia"/>
                <w:color w:val="auto"/>
                <w:highlight w:val="none"/>
              </w:rPr>
            </w:pPr>
          </w:p>
        </w:tc>
        <w:tc>
          <w:tcPr>
            <w:tcW w:w="1945" w:type="pct"/>
            <w:noWrap w:val="0"/>
            <w:vAlign w:val="center"/>
          </w:tcPr>
          <w:p w14:paraId="45C9F245">
            <w:pPr>
              <w:pStyle w:val="563"/>
              <w:bidi w:val="0"/>
              <w:rPr>
                <w:rFonts w:hint="eastAsia"/>
                <w:color w:val="auto"/>
                <w:highlight w:val="none"/>
                <w:lang w:val="en-US" w:eastAsia="zh-CN"/>
              </w:rPr>
            </w:pPr>
            <w:r>
              <w:rPr>
                <w:rFonts w:hint="eastAsia"/>
                <w:color w:val="auto"/>
                <w:highlight w:val="none"/>
                <w:lang w:val="en-US" w:eastAsia="zh-CN"/>
              </w:rPr>
              <w:t>水环境部分依据《中华人民共和国水污染防治法》《水污染防治行动计划》《安徽省水污染防治工作方案》及各市水污染防治工作方案对一般管控区实施管控。</w:t>
            </w:r>
          </w:p>
        </w:tc>
        <w:tc>
          <w:tcPr>
            <w:tcW w:w="1432" w:type="pct"/>
            <w:noWrap w:val="0"/>
            <w:vAlign w:val="center"/>
          </w:tcPr>
          <w:p w14:paraId="205747C7">
            <w:pPr>
              <w:pStyle w:val="563"/>
              <w:bidi w:val="0"/>
              <w:rPr>
                <w:rFonts w:hint="default"/>
                <w:color w:val="auto"/>
                <w:highlight w:val="none"/>
                <w:lang w:val="en-US" w:eastAsia="zh-CN"/>
              </w:rPr>
            </w:pPr>
            <w:r>
              <w:rPr>
                <w:color w:val="auto"/>
                <w:highlight w:val="none"/>
              </w:rPr>
              <w:t>本项目为</w:t>
            </w:r>
            <w:r>
              <w:rPr>
                <w:rFonts w:hint="eastAsia"/>
                <w:color w:val="auto"/>
                <w:highlight w:val="none"/>
                <w:lang w:val="en-US" w:eastAsia="zh-CN"/>
              </w:rPr>
              <w:t>C2619</w:t>
            </w:r>
            <w:r>
              <w:rPr>
                <w:rFonts w:hint="eastAsia"/>
                <w:color w:val="auto"/>
                <w:highlight w:val="none"/>
                <w:lang w:eastAsia="zh-CN"/>
              </w:rPr>
              <w:t>其他基础化学原料制造</w:t>
            </w:r>
            <w:r>
              <w:rPr>
                <w:color w:val="auto"/>
                <w:highlight w:val="none"/>
              </w:rPr>
              <w:t>，不属于</w:t>
            </w:r>
            <w:r>
              <w:rPr>
                <w:rFonts w:hint="eastAsia"/>
                <w:color w:val="auto"/>
                <w:highlight w:val="none"/>
                <w:lang w:eastAsia="zh-CN"/>
              </w:rPr>
              <w:t>“</w:t>
            </w:r>
            <w:r>
              <w:rPr>
                <w:color w:val="auto"/>
                <w:highlight w:val="none"/>
              </w:rPr>
              <w:t>十小</w:t>
            </w:r>
            <w:r>
              <w:rPr>
                <w:rFonts w:hint="eastAsia"/>
                <w:color w:val="auto"/>
                <w:highlight w:val="none"/>
                <w:lang w:eastAsia="zh-CN"/>
              </w:rPr>
              <w:t>”</w:t>
            </w:r>
            <w:r>
              <w:rPr>
                <w:color w:val="auto"/>
                <w:highlight w:val="none"/>
              </w:rPr>
              <w:t>企业，不属于造纸、制革、印染、染料、炼焦、炼硫、炼砷、炼油、电镀、农药等严重污染水环境的生产项目</w:t>
            </w:r>
            <w:r>
              <w:rPr>
                <w:rFonts w:hint="eastAsia"/>
                <w:color w:val="auto"/>
                <w:highlight w:val="none"/>
              </w:rPr>
              <w:t>，</w:t>
            </w:r>
            <w:r>
              <w:rPr>
                <w:color w:val="auto"/>
                <w:highlight w:val="none"/>
              </w:rPr>
              <w:t>不属于落后产能，不属于重资产旅游产业，不涉及建设阻水建筑。</w:t>
            </w:r>
          </w:p>
        </w:tc>
        <w:tc>
          <w:tcPr>
            <w:tcW w:w="595" w:type="pct"/>
            <w:noWrap w:val="0"/>
            <w:vAlign w:val="center"/>
          </w:tcPr>
          <w:p w14:paraId="371794BE">
            <w:pPr>
              <w:pStyle w:val="563"/>
              <w:bidi w:val="0"/>
              <w:rPr>
                <w:rFonts w:hint="eastAsia"/>
                <w:color w:val="auto"/>
                <w:highlight w:val="none"/>
                <w:lang w:val="en-US" w:eastAsia="zh-CN"/>
              </w:rPr>
            </w:pPr>
            <w:r>
              <w:rPr>
                <w:rFonts w:hint="eastAsia"/>
                <w:color w:val="auto"/>
                <w:highlight w:val="none"/>
                <w:lang w:val="en-US" w:eastAsia="zh-CN"/>
              </w:rPr>
              <w:t>符合</w:t>
            </w:r>
          </w:p>
        </w:tc>
      </w:tr>
      <w:tr w14:paraId="37799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3" w:type="pct"/>
            <w:vMerge w:val="continue"/>
            <w:noWrap w:val="0"/>
            <w:vAlign w:val="center"/>
          </w:tcPr>
          <w:p w14:paraId="00458232">
            <w:pPr>
              <w:pStyle w:val="563"/>
              <w:bidi w:val="0"/>
              <w:rPr>
                <w:color w:val="auto"/>
                <w:highlight w:val="none"/>
              </w:rPr>
            </w:pPr>
          </w:p>
        </w:tc>
        <w:tc>
          <w:tcPr>
            <w:tcW w:w="442" w:type="pct"/>
            <w:vMerge w:val="continue"/>
            <w:noWrap w:val="0"/>
            <w:vAlign w:val="center"/>
          </w:tcPr>
          <w:p w14:paraId="7C93AE37">
            <w:pPr>
              <w:pStyle w:val="563"/>
              <w:bidi w:val="0"/>
              <w:rPr>
                <w:rFonts w:hint="eastAsia"/>
                <w:color w:val="auto"/>
                <w:highlight w:val="none"/>
              </w:rPr>
            </w:pPr>
          </w:p>
        </w:tc>
        <w:tc>
          <w:tcPr>
            <w:tcW w:w="1945" w:type="pct"/>
            <w:noWrap w:val="0"/>
            <w:vAlign w:val="center"/>
          </w:tcPr>
          <w:p w14:paraId="4AFF2D5F">
            <w:pPr>
              <w:pStyle w:val="563"/>
              <w:bidi w:val="0"/>
              <w:rPr>
                <w:rFonts w:hint="eastAsia"/>
                <w:color w:val="auto"/>
                <w:highlight w:val="none"/>
                <w:lang w:val="en-US" w:eastAsia="zh-CN"/>
              </w:rPr>
            </w:pPr>
            <w:r>
              <w:rPr>
                <w:rFonts w:hint="eastAsia"/>
                <w:color w:val="auto"/>
                <w:highlight w:val="none"/>
                <w:lang w:val="en-US" w:eastAsia="zh-CN"/>
              </w:rPr>
              <w:t>土壤环境部分依据《中华人民共和国土壤污染防治法》《土壤污染防治行动计划》《安徽省土壤污染防治工作方案》等要求及各市土壤污染防治工作方案对一般管控区实施管控。</w:t>
            </w:r>
          </w:p>
        </w:tc>
        <w:tc>
          <w:tcPr>
            <w:tcW w:w="1432" w:type="pct"/>
            <w:noWrap w:val="0"/>
            <w:vAlign w:val="center"/>
          </w:tcPr>
          <w:p w14:paraId="3D496648">
            <w:pPr>
              <w:pStyle w:val="563"/>
              <w:bidi w:val="0"/>
              <w:rPr>
                <w:rFonts w:hint="default"/>
                <w:color w:val="auto"/>
                <w:highlight w:val="none"/>
                <w:lang w:val="en-US" w:eastAsia="zh-CN"/>
              </w:rPr>
            </w:pPr>
            <w:r>
              <w:rPr>
                <w:rFonts w:hint="eastAsia"/>
                <w:color w:val="auto"/>
                <w:highlight w:val="none"/>
              </w:rPr>
              <w:t>本项目</w:t>
            </w:r>
            <w:r>
              <w:rPr>
                <w:rFonts w:hint="eastAsia"/>
                <w:color w:val="auto"/>
                <w:highlight w:val="none"/>
                <w:lang w:val="en-US" w:eastAsia="zh-CN"/>
              </w:rPr>
              <w:t>进行</w:t>
            </w:r>
            <w:r>
              <w:rPr>
                <w:color w:val="auto"/>
                <w:highlight w:val="none"/>
              </w:rPr>
              <w:t>分区防渗，</w:t>
            </w:r>
            <w:r>
              <w:rPr>
                <w:rFonts w:hint="eastAsia"/>
                <w:color w:val="auto"/>
                <w:highlight w:val="none"/>
                <w:lang w:val="en-US" w:eastAsia="zh-CN"/>
              </w:rPr>
              <w:t>初期雨水池、危废暂存间、事故池、罐区等区域</w:t>
            </w:r>
            <w:r>
              <w:rPr>
                <w:color w:val="auto"/>
                <w:highlight w:val="none"/>
              </w:rPr>
              <w:t>重点防渗</w:t>
            </w:r>
            <w:r>
              <w:rPr>
                <w:rFonts w:hint="eastAsia"/>
                <w:color w:val="auto"/>
                <w:highlight w:val="none"/>
              </w:rPr>
              <w:t>；</w:t>
            </w:r>
            <w:r>
              <w:rPr>
                <w:rFonts w:hint="eastAsia"/>
                <w:color w:val="auto"/>
                <w:highlight w:val="none"/>
                <w:lang w:val="en-US" w:eastAsia="zh-CN"/>
              </w:rPr>
              <w:t>其他区域</w:t>
            </w:r>
            <w:r>
              <w:rPr>
                <w:rFonts w:hint="eastAsia"/>
                <w:color w:val="auto"/>
                <w:highlight w:val="none"/>
              </w:rPr>
              <w:t>进行一般地面硬化，土壤风险较小。</w:t>
            </w:r>
          </w:p>
        </w:tc>
        <w:tc>
          <w:tcPr>
            <w:tcW w:w="595" w:type="pct"/>
            <w:noWrap w:val="0"/>
            <w:vAlign w:val="center"/>
          </w:tcPr>
          <w:p w14:paraId="35D8919E">
            <w:pPr>
              <w:pStyle w:val="563"/>
              <w:bidi w:val="0"/>
              <w:rPr>
                <w:rFonts w:hint="default"/>
                <w:color w:val="auto"/>
                <w:highlight w:val="none"/>
                <w:lang w:val="en-US" w:eastAsia="zh-CN"/>
              </w:rPr>
            </w:pPr>
            <w:r>
              <w:rPr>
                <w:rFonts w:hint="eastAsia"/>
                <w:color w:val="auto"/>
                <w:highlight w:val="none"/>
                <w:lang w:val="en-US" w:eastAsia="zh-CN"/>
              </w:rPr>
              <w:t>符合</w:t>
            </w:r>
          </w:p>
        </w:tc>
      </w:tr>
    </w:tbl>
    <w:p w14:paraId="2C835980">
      <w:pPr>
        <w:spacing w:line="460" w:lineRule="exact"/>
        <w:ind w:firstLine="480"/>
        <w:rPr>
          <w:rFonts w:hint="eastAsia"/>
          <w:b/>
          <w:bCs/>
          <w:color w:val="auto"/>
          <w:highlight w:val="none"/>
          <w:lang w:val="en-US" w:eastAsia="zh-CN"/>
        </w:rPr>
      </w:pPr>
      <w:r>
        <w:rPr>
          <w:rFonts w:hint="eastAsia" w:ascii="Times New Roman" w:hAnsi="Times New Roman" w:eastAsia="宋体" w:cs="Times New Roman"/>
          <w:b/>
          <w:bCs/>
          <w:color w:val="auto"/>
          <w:highlight w:val="none"/>
          <w:lang w:val="en-US" w:eastAsia="zh-CN"/>
        </w:rPr>
        <w:t>3）与淮</w:t>
      </w:r>
      <w:r>
        <w:rPr>
          <w:rFonts w:hint="eastAsia"/>
          <w:b/>
          <w:bCs/>
          <w:color w:val="auto"/>
          <w:highlight w:val="none"/>
          <w:lang w:val="en-US" w:eastAsia="zh-CN"/>
        </w:rPr>
        <w:t>南市“三区三线”相符性分析</w:t>
      </w:r>
    </w:p>
    <w:p w14:paraId="42BB49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color w:val="auto"/>
          <w:sz w:val="24"/>
          <w:szCs w:val="24"/>
          <w:highlight w:val="none"/>
          <w:lang w:val="en-US" w:eastAsia="zh-CN"/>
        </w:rPr>
      </w:pPr>
      <w:r>
        <w:rPr>
          <w:rFonts w:hint="eastAsia"/>
          <w:color w:val="auto"/>
          <w:sz w:val="24"/>
          <w:szCs w:val="24"/>
          <w:highlight w:val="none"/>
          <w:lang w:val="en-US" w:eastAsia="zh-CN"/>
        </w:rPr>
        <w:t>本项目位于淮南市田家庵区经济开发区，根据《淮南市“三区三线”划定方案》，本项目位于城镇开发边界，不在永久基本农田及生态保护红线范围内。本项目与</w:t>
      </w:r>
      <w:r>
        <w:rPr>
          <w:rFonts w:hint="eastAsia" w:cs="Times New Roman"/>
          <w:color w:val="auto"/>
          <w:sz w:val="24"/>
          <w:szCs w:val="24"/>
          <w:highlight w:val="none"/>
          <w:lang w:val="en-US" w:eastAsia="zh-CN"/>
        </w:rPr>
        <w:t>田家庵经开区“</w:t>
      </w:r>
      <w:r>
        <w:rPr>
          <w:rFonts w:hint="eastAsia" w:ascii="Times New Roman" w:hAnsi="Times New Roman" w:cs="Times New Roman"/>
          <w:color w:val="auto"/>
          <w:sz w:val="24"/>
          <w:szCs w:val="24"/>
          <w:highlight w:val="none"/>
          <w:lang w:val="en-US" w:eastAsia="zh-CN"/>
        </w:rPr>
        <w:t>三区三线</w:t>
      </w:r>
      <w:r>
        <w:rPr>
          <w:rFonts w:hint="eastAsia"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套合图</w:t>
      </w:r>
      <w:r>
        <w:rPr>
          <w:rFonts w:hint="eastAsia" w:cs="Times New Roman"/>
          <w:color w:val="auto"/>
          <w:sz w:val="24"/>
          <w:szCs w:val="24"/>
          <w:highlight w:val="none"/>
          <w:lang w:val="en-US" w:eastAsia="zh-CN"/>
        </w:rPr>
        <w:t>相对位置关系见下图。</w:t>
      </w:r>
    </w:p>
    <w:p w14:paraId="4CE01A40">
      <w:pPr>
        <w:bidi w:val="0"/>
        <w:ind w:left="0" w:leftChars="0" w:firstLine="0" w:firstLineChars="0"/>
        <w:jc w:val="center"/>
        <w:rPr>
          <w:rFonts w:hint="default"/>
          <w:b/>
          <w:bCs/>
          <w:color w:val="auto"/>
          <w:highlight w:val="none"/>
          <w:lang w:val="en-US" w:eastAsia="zh-CN"/>
        </w:rPr>
      </w:pPr>
      <w:r>
        <w:rPr>
          <w:color w:val="auto"/>
          <w:sz w:val="24"/>
          <w:highlight w:val="none"/>
        </w:rPr>
        <mc:AlternateContent>
          <mc:Choice Requires="wps">
            <w:drawing>
              <wp:anchor distT="0" distB="0" distL="114300" distR="114300" simplePos="0" relativeHeight="251739136" behindDoc="0" locked="0" layoutInCell="1" allowOverlap="1">
                <wp:simplePos x="0" y="0"/>
                <wp:positionH relativeFrom="column">
                  <wp:posOffset>1295400</wp:posOffset>
                </wp:positionH>
                <wp:positionV relativeFrom="paragraph">
                  <wp:posOffset>1334770</wp:posOffset>
                </wp:positionV>
                <wp:extent cx="724535" cy="370840"/>
                <wp:effectExtent l="4445" t="4445" r="1518920" b="1053465"/>
                <wp:wrapNone/>
                <wp:docPr id="343" name="自选图形 7"/>
                <wp:cNvGraphicFramePr/>
                <a:graphic xmlns:a="http://schemas.openxmlformats.org/drawingml/2006/main">
                  <a:graphicData uri="http://schemas.microsoft.com/office/word/2010/wordprocessingShape">
                    <wps:wsp>
                      <wps:cNvSpPr/>
                      <wps:spPr>
                        <a:xfrm>
                          <a:off x="0" y="0"/>
                          <a:ext cx="724535" cy="370840"/>
                        </a:xfrm>
                        <a:prstGeom prst="wedgeRoundRectCallout">
                          <a:avLst>
                            <a:gd name="adj1" fmla="val 252278"/>
                            <a:gd name="adj2" fmla="val 325685"/>
                            <a:gd name="adj3" fmla="val 16667"/>
                          </a:avLst>
                        </a:prstGeom>
                        <a:solidFill>
                          <a:srgbClr val="FFFFFF"/>
                        </a:solidFill>
                        <a:ln w="9525" cap="flat" cmpd="sng">
                          <a:solidFill>
                            <a:srgbClr val="FF0000"/>
                          </a:solidFill>
                          <a:prstDash val="solid"/>
                          <a:miter/>
                          <a:headEnd type="none" w="med" len="med"/>
                          <a:tailEnd type="none" w="med" len="med"/>
                        </a:ln>
                      </wps:spPr>
                      <wps:txbx>
                        <w:txbxContent>
                          <w:p w14:paraId="2D985815">
                            <w:pPr>
                              <w:ind w:left="0" w:leftChars="0" w:firstLine="0" w:firstLineChars="0"/>
                              <w:rPr>
                                <w:rFonts w:hint="eastAsia" w:eastAsia="宋体"/>
                                <w:color w:val="FF0000"/>
                                <w:lang w:val="en-US" w:eastAsia="zh-CN"/>
                              </w:rPr>
                            </w:pPr>
                            <w:r>
                              <w:rPr>
                                <w:rFonts w:hint="eastAsia"/>
                                <w:color w:val="FF0000"/>
                                <w:lang w:val="en-US" w:eastAsia="zh-CN"/>
                              </w:rPr>
                              <w:t>项目地</w:t>
                            </w:r>
                          </w:p>
                        </w:txbxContent>
                      </wps:txbx>
                      <wps:bodyPr wrap="square" upright="1"/>
                    </wps:wsp>
                  </a:graphicData>
                </a:graphic>
              </wp:anchor>
            </w:drawing>
          </mc:Choice>
          <mc:Fallback>
            <w:pict>
              <v:shape id="自选图形 7" o:spid="_x0000_s1026" o:spt="62" type="#_x0000_t62" style="position:absolute;left:0pt;margin-left:102pt;margin-top:105.1pt;height:29.2pt;width:57.05pt;z-index:251739136;mso-width-relative:page;mso-height-relative:page;" fillcolor="#FFFFFF" filled="t" stroked="t" coordsize="21600,21600" o:gfxdata="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EqICT1wAAAAsB&#10;AAAPAAAAAAAAAAEAIAAAACIAAABkcnMvZG93bnJldi54bWxQSwECFAAUAAAACACHTuJAjx9zmlUC&#10;AADGBAAADgAAAAAAAAABACAAAAAmAQAAZHJzL2Uyb0RvYy54bWxQSwUGAAAAAAYABgBZAQAA7QUA&#10;AAAA&#10;" adj="65292,81148,14400">
                <v:fill on="t" focussize="0,0"/>
                <v:stroke color="#FF0000" joinstyle="miter"/>
                <v:imagedata o:title=""/>
                <o:lock v:ext="edit" aspectratio="f"/>
                <v:textbox>
                  <w:txbxContent>
                    <w:p w14:paraId="2D985815">
                      <w:pPr>
                        <w:ind w:left="0" w:leftChars="0" w:firstLine="0" w:firstLineChars="0"/>
                        <w:rPr>
                          <w:rFonts w:hint="eastAsia" w:eastAsia="宋体"/>
                          <w:color w:val="FF0000"/>
                          <w:lang w:val="en-US" w:eastAsia="zh-CN"/>
                        </w:rPr>
                      </w:pPr>
                      <w:r>
                        <w:rPr>
                          <w:rFonts w:hint="eastAsia"/>
                          <w:color w:val="FF0000"/>
                          <w:lang w:val="en-US" w:eastAsia="zh-CN"/>
                        </w:rPr>
                        <w:t>项目地</w:t>
                      </w:r>
                    </w:p>
                  </w:txbxContent>
                </v:textbox>
              </v:shape>
            </w:pict>
          </mc:Fallback>
        </mc:AlternateContent>
      </w:r>
      <w:r>
        <w:rPr>
          <w:rFonts w:hint="default"/>
          <w:b/>
          <w:bCs/>
          <w:color w:val="auto"/>
          <w:highlight w:val="none"/>
          <w:lang w:val="en-US" w:eastAsia="zh-CN"/>
        </w:rPr>
        <w:drawing>
          <wp:inline distT="0" distB="0" distL="114300" distR="114300">
            <wp:extent cx="2763520" cy="3836670"/>
            <wp:effectExtent l="0" t="0" r="17780" b="11430"/>
            <wp:docPr id="551" name="图片 302" descr="173103048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302" descr="1731030483873"/>
                    <pic:cNvPicPr>
                      <a:picLocks noChangeAspect="1"/>
                    </pic:cNvPicPr>
                  </pic:nvPicPr>
                  <pic:blipFill>
                    <a:blip r:embed="rId28"/>
                    <a:stretch>
                      <a:fillRect/>
                    </a:stretch>
                  </pic:blipFill>
                  <pic:spPr>
                    <a:xfrm>
                      <a:off x="0" y="0"/>
                      <a:ext cx="2763520" cy="3836670"/>
                    </a:xfrm>
                    <a:prstGeom prst="rect">
                      <a:avLst/>
                    </a:prstGeom>
                    <a:noFill/>
                    <a:ln>
                      <a:noFill/>
                    </a:ln>
                  </pic:spPr>
                </pic:pic>
              </a:graphicData>
            </a:graphic>
          </wp:inline>
        </w:drawing>
      </w:r>
    </w:p>
    <w:p w14:paraId="1AF31046">
      <w:pPr>
        <w:pStyle w:val="125"/>
        <w:bidi w:val="0"/>
        <w:rPr>
          <w:rFonts w:hint="default"/>
          <w:color w:val="auto"/>
          <w:highlight w:val="none"/>
          <w:lang w:val="en-US" w:eastAsia="zh-CN"/>
        </w:rPr>
      </w:pPr>
      <w:r>
        <w:rPr>
          <w:rFonts w:hint="eastAsia"/>
          <w:color w:val="auto"/>
          <w:highlight w:val="none"/>
          <w:lang w:val="en-US" w:eastAsia="zh-CN"/>
        </w:rPr>
        <w:t>图2.5-11  项目与田家庵经开区“三区三线”套合图相对位置关系图</w:t>
      </w:r>
    </w:p>
    <w:p w14:paraId="4706AE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highlight w:val="none"/>
          <w:lang w:val="en-US" w:eastAsia="zh-CN"/>
        </w:rPr>
      </w:pPr>
      <w:r>
        <w:rPr>
          <w:rFonts w:hint="default"/>
          <w:color w:val="auto"/>
          <w:sz w:val="24"/>
          <w:szCs w:val="24"/>
          <w:highlight w:val="none"/>
          <w:lang w:val="en-US" w:eastAsia="zh-CN"/>
        </w:rPr>
        <w:t>该项目运营过程中会产生一定的污染物，采取相应的污染防治措施后，各类污染物的排放对周围环境造成的影响较小，不会降低当地环境质量，不会触碰区域环境质量底线，因此本项目建设满足</w:t>
      </w:r>
      <w:r>
        <w:rPr>
          <w:rFonts w:hint="eastAsia"/>
          <w:color w:val="auto"/>
          <w:sz w:val="24"/>
          <w:szCs w:val="24"/>
          <w:highlight w:val="none"/>
          <w:lang w:val="en-US" w:eastAsia="zh-CN"/>
        </w:rPr>
        <w:t>“</w:t>
      </w:r>
      <w:r>
        <w:rPr>
          <w:rFonts w:hint="default"/>
          <w:color w:val="auto"/>
          <w:sz w:val="24"/>
          <w:szCs w:val="24"/>
          <w:highlight w:val="none"/>
          <w:lang w:val="en-US" w:eastAsia="zh-CN"/>
        </w:rPr>
        <w:t>三线一单</w:t>
      </w:r>
      <w:r>
        <w:rPr>
          <w:rFonts w:hint="eastAsia"/>
          <w:color w:val="auto"/>
          <w:sz w:val="24"/>
          <w:szCs w:val="24"/>
          <w:highlight w:val="none"/>
          <w:lang w:val="en-US" w:eastAsia="zh-CN"/>
        </w:rPr>
        <w:t>”</w:t>
      </w:r>
      <w:r>
        <w:rPr>
          <w:rFonts w:hint="default"/>
          <w:color w:val="auto"/>
          <w:sz w:val="24"/>
          <w:szCs w:val="24"/>
          <w:highlight w:val="none"/>
          <w:lang w:val="en-US" w:eastAsia="zh-CN"/>
        </w:rPr>
        <w:t>管控要求，生态保护红线图见</w:t>
      </w:r>
      <w:r>
        <w:rPr>
          <w:rFonts w:hint="eastAsia"/>
          <w:color w:val="auto"/>
          <w:sz w:val="24"/>
          <w:szCs w:val="24"/>
          <w:highlight w:val="none"/>
          <w:lang w:val="en-US" w:eastAsia="zh-CN"/>
        </w:rPr>
        <w:t>图2.5-3</w:t>
      </w:r>
      <w:r>
        <w:rPr>
          <w:rFonts w:hint="default"/>
          <w:color w:val="auto"/>
          <w:sz w:val="24"/>
          <w:szCs w:val="24"/>
          <w:highlight w:val="none"/>
          <w:lang w:val="en-US" w:eastAsia="zh-CN"/>
        </w:rPr>
        <w:t>。</w:t>
      </w:r>
    </w:p>
    <w:p w14:paraId="4BE1C32F">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w:t>
      </w:r>
      <w:r>
        <w:rPr>
          <w:rFonts w:hint="eastAsia" w:cs="Times New Roman"/>
          <w:b/>
          <w:bCs/>
          <w:color w:val="auto"/>
          <w:kern w:val="0"/>
          <w:sz w:val="24"/>
          <w:szCs w:val="24"/>
          <w:highlight w:val="none"/>
          <w:lang w:val="en-US" w:eastAsia="zh-CN" w:bidi="ar"/>
        </w:rPr>
        <w:t>2</w:t>
      </w:r>
      <w:r>
        <w:rPr>
          <w:rFonts w:hint="default" w:ascii="Times New Roman" w:hAnsi="Times New Roman" w:eastAsia="宋体" w:cs="Times New Roman"/>
          <w:b/>
          <w:bCs/>
          <w:color w:val="auto"/>
          <w:kern w:val="0"/>
          <w:sz w:val="24"/>
          <w:szCs w:val="24"/>
          <w:highlight w:val="none"/>
          <w:lang w:val="en-US" w:eastAsia="zh-CN" w:bidi="ar"/>
        </w:rPr>
        <w:t>）与</w:t>
      </w:r>
      <w:r>
        <w:rPr>
          <w:rFonts w:hint="eastAsia"/>
          <w:b/>
          <w:bCs/>
          <w:color w:val="auto"/>
          <w:sz w:val="24"/>
          <w:szCs w:val="24"/>
          <w:highlight w:val="none"/>
        </w:rPr>
        <w:t>《</w:t>
      </w:r>
      <w:r>
        <w:rPr>
          <w:rFonts w:hint="eastAsia"/>
          <w:b/>
          <w:bCs/>
          <w:color w:val="auto"/>
          <w:sz w:val="24"/>
          <w:szCs w:val="24"/>
          <w:highlight w:val="none"/>
          <w:lang w:val="en-US" w:eastAsia="zh-CN"/>
        </w:rPr>
        <w:t>安徽省“十四五”大气环境污染防治规划</w:t>
      </w:r>
      <w:r>
        <w:rPr>
          <w:rFonts w:hint="eastAsia"/>
          <w:b/>
          <w:bCs/>
          <w:color w:val="auto"/>
          <w:sz w:val="24"/>
          <w:szCs w:val="24"/>
          <w:highlight w:val="none"/>
        </w:rPr>
        <w:t>》</w:t>
      </w:r>
      <w:r>
        <w:rPr>
          <w:rFonts w:hint="default" w:ascii="Times New Roman" w:hAnsi="Times New Roman" w:eastAsia="宋体" w:cs="Times New Roman"/>
          <w:b/>
          <w:bCs/>
          <w:color w:val="auto"/>
          <w:kern w:val="0"/>
          <w:sz w:val="24"/>
          <w:szCs w:val="24"/>
          <w:highlight w:val="none"/>
          <w:lang w:val="en-US" w:eastAsia="zh-CN" w:bidi="ar"/>
        </w:rPr>
        <w:t>相符性分析</w:t>
      </w:r>
    </w:p>
    <w:p w14:paraId="0780A09E">
      <w:pPr>
        <w:keepNext w:val="0"/>
        <w:keepLines w:val="0"/>
        <w:pageBreakBefore w:val="0"/>
        <w:widowControl w:val="0"/>
        <w:kinsoku/>
        <w:wordWrap/>
        <w:overflowPunct/>
        <w:topLinePunct w:val="0"/>
        <w:autoSpaceDE/>
        <w:autoSpaceDN/>
        <w:bidi w:val="0"/>
        <w:adjustRightInd/>
        <w:snapToGrid/>
        <w:spacing w:before="0" w:line="360" w:lineRule="auto"/>
        <w:ind w:left="0" w:leftChars="0" w:firstLine="480" w:firstLineChars="200"/>
        <w:jc w:val="left"/>
        <w:textAlignment w:val="auto"/>
        <w:outlineLvl w:val="9"/>
        <w:rPr>
          <w:rFonts w:hint="default" w:ascii="Times New Roman" w:hAnsi="Times New Roman" w:eastAsia="宋体" w:cs="Times New Roman"/>
          <w:b w:val="0"/>
          <w:color w:val="auto"/>
          <w:kern w:val="2"/>
          <w:sz w:val="24"/>
          <w:szCs w:val="20"/>
          <w:highlight w:val="none"/>
          <w:lang w:val="en-US" w:eastAsia="zh-CN" w:bidi="ar-SA"/>
        </w:rPr>
      </w:pPr>
      <w:r>
        <w:rPr>
          <w:rFonts w:hint="eastAsia" w:ascii="Times New Roman" w:hAnsi="Times New Roman" w:eastAsia="宋体" w:cs="Times New Roman"/>
          <w:b w:val="0"/>
          <w:color w:val="auto"/>
          <w:kern w:val="2"/>
          <w:sz w:val="24"/>
          <w:szCs w:val="20"/>
          <w:highlight w:val="none"/>
          <w:lang w:val="en-US" w:eastAsia="zh-CN" w:bidi="ar-SA"/>
        </w:rPr>
        <w:t>2</w:t>
      </w:r>
      <w:r>
        <w:rPr>
          <w:rFonts w:hint="default" w:ascii="Times New Roman" w:hAnsi="Times New Roman" w:eastAsia="宋体" w:cs="Times New Roman"/>
          <w:b w:val="0"/>
          <w:color w:val="auto"/>
          <w:kern w:val="2"/>
          <w:sz w:val="24"/>
          <w:szCs w:val="20"/>
          <w:highlight w:val="none"/>
          <w:lang w:val="en-US" w:eastAsia="zh-CN" w:bidi="ar-SA"/>
        </w:rPr>
        <w:t>022年2月，安徽省生态环境厅发布了《安徽省</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十四五</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大气污染防治规划》，</w:t>
      </w:r>
      <w:r>
        <w:rPr>
          <w:rFonts w:hint="eastAsia" w:ascii="Times New Roman" w:hAnsi="Times New Roman" w:eastAsia="宋体" w:cs="Times New Roman"/>
          <w:b w:val="0"/>
          <w:color w:val="auto"/>
          <w:kern w:val="2"/>
          <w:sz w:val="24"/>
          <w:szCs w:val="20"/>
          <w:highlight w:val="none"/>
          <w:lang w:val="en-US" w:eastAsia="zh-CN" w:bidi="ar-SA"/>
        </w:rPr>
        <w:t>拟</w:t>
      </w:r>
      <w:r>
        <w:rPr>
          <w:rFonts w:hint="default" w:ascii="Times New Roman" w:hAnsi="Times New Roman" w:eastAsia="宋体" w:cs="Times New Roman"/>
          <w:b w:val="0"/>
          <w:color w:val="auto"/>
          <w:kern w:val="2"/>
          <w:sz w:val="24"/>
          <w:szCs w:val="20"/>
          <w:highlight w:val="none"/>
          <w:lang w:val="en-US" w:eastAsia="zh-CN" w:bidi="ar-SA"/>
        </w:rPr>
        <w:t>建项目与《安徽省</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十四五</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大气污染防治规划》符合性分析如下表所示。</w:t>
      </w:r>
    </w:p>
    <w:p w14:paraId="2D4F9175">
      <w:pPr>
        <w:pStyle w:val="549"/>
        <w:bidi w:val="0"/>
        <w:rPr>
          <w:rFonts w:hint="default"/>
          <w:color w:val="auto"/>
          <w:highlight w:val="none"/>
          <w:lang w:val="en-US" w:eastAsia="zh-CN"/>
        </w:rPr>
      </w:pPr>
      <w:r>
        <w:rPr>
          <w:rFonts w:hint="eastAsia"/>
          <w:color w:val="auto"/>
          <w:highlight w:val="none"/>
          <w:lang w:val="en-US" w:eastAsia="zh-CN"/>
        </w:rPr>
        <w:t>表2.5.3-3  项目与</w:t>
      </w:r>
      <w:r>
        <w:rPr>
          <w:rFonts w:hint="default"/>
          <w:color w:val="auto"/>
          <w:highlight w:val="none"/>
          <w:lang w:val="en-US" w:eastAsia="zh-CN"/>
        </w:rPr>
        <w:t>《安徽省</w:t>
      </w:r>
      <w:r>
        <w:rPr>
          <w:rFonts w:hint="eastAsia"/>
          <w:color w:val="auto"/>
          <w:highlight w:val="none"/>
          <w:lang w:val="en-US" w:eastAsia="zh-CN"/>
        </w:rPr>
        <w:t>“</w:t>
      </w:r>
      <w:r>
        <w:rPr>
          <w:rFonts w:hint="default"/>
          <w:color w:val="auto"/>
          <w:highlight w:val="none"/>
          <w:lang w:val="en-US" w:eastAsia="zh-CN"/>
        </w:rPr>
        <w:t>十四五</w:t>
      </w:r>
      <w:r>
        <w:rPr>
          <w:rFonts w:hint="eastAsia"/>
          <w:color w:val="auto"/>
          <w:highlight w:val="none"/>
          <w:lang w:val="en-US" w:eastAsia="zh-CN"/>
        </w:rPr>
        <w:t>”</w:t>
      </w:r>
      <w:r>
        <w:rPr>
          <w:rFonts w:hint="default"/>
          <w:color w:val="auto"/>
          <w:highlight w:val="none"/>
          <w:lang w:val="en-US" w:eastAsia="zh-CN"/>
        </w:rPr>
        <w:t>大气污染防治规划》</w:t>
      </w:r>
      <w:r>
        <w:rPr>
          <w:rFonts w:hint="eastAsia"/>
          <w:color w:val="auto"/>
          <w:highlight w:val="none"/>
          <w:lang w:val="en-US" w:eastAsia="zh-CN"/>
        </w:rPr>
        <w:t>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50"/>
        <w:gridCol w:w="4008"/>
        <w:gridCol w:w="1364"/>
      </w:tblGrid>
      <w:tr w14:paraId="01DD5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top"/>
          </w:tcPr>
          <w:p w14:paraId="01430B0B">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4256" w:type="dxa"/>
            <w:noWrap w:val="0"/>
            <w:vAlign w:val="top"/>
          </w:tcPr>
          <w:p w14:paraId="37805388">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453" w:type="dxa"/>
            <w:noWrap w:val="0"/>
            <w:vAlign w:val="top"/>
          </w:tcPr>
          <w:p w14:paraId="727C5F0C">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606CB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14:paraId="5C2EA6C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严格落实国家产业规划、产业政</w:t>
            </w:r>
            <w:r>
              <w:rPr>
                <w:rFonts w:hint="default" w:ascii="Times New Roman" w:hAnsi="Times New Roman" w:eastAsia="宋体" w:cs="Times New Roman"/>
                <w:color w:val="auto"/>
                <w:spacing w:val="0"/>
                <w:sz w:val="21"/>
                <w:highlight w:val="none"/>
              </w:rPr>
              <w:t>策、</w:t>
            </w:r>
            <w:r>
              <w:rPr>
                <w:rFonts w:hint="eastAsia" w:ascii="Times New Roman" w:hAnsi="Times New Roman" w:cs="Times New Roman"/>
                <w:color w:val="auto"/>
                <w:spacing w:val="0"/>
                <w:sz w:val="21"/>
                <w:highlight w:val="none"/>
                <w:lang w:eastAsia="zh-CN"/>
              </w:rPr>
              <w:t>“</w:t>
            </w:r>
            <w:r>
              <w:rPr>
                <w:rFonts w:hint="default" w:ascii="Times New Roman" w:hAnsi="Times New Roman" w:eastAsia="宋体" w:cs="Times New Roman"/>
                <w:color w:val="auto"/>
                <w:spacing w:val="0"/>
                <w:sz w:val="21"/>
                <w:highlight w:val="none"/>
              </w:rPr>
              <w:t>三线一单</w:t>
            </w:r>
            <w:r>
              <w:rPr>
                <w:rFonts w:hint="eastAsia" w:ascii="Times New Roman" w:hAnsi="Times New Roman" w:cs="Times New Roman"/>
                <w:color w:val="auto"/>
                <w:spacing w:val="0"/>
                <w:sz w:val="21"/>
                <w:highlight w:val="none"/>
                <w:lang w:eastAsia="zh-CN"/>
              </w:rPr>
              <w:t>”</w:t>
            </w:r>
            <w:r>
              <w:rPr>
                <w:rFonts w:hint="default" w:ascii="Times New Roman" w:hAnsi="Times New Roman" w:eastAsia="宋体" w:cs="Times New Roman"/>
                <w:color w:val="auto"/>
                <w:spacing w:val="0"/>
                <w:sz w:val="21"/>
                <w:highlight w:val="none"/>
              </w:rPr>
              <w:t>、规划环评，以及产能置换、煤炭消费减量替代、区域污染物削减等要求，坚决叫停不符合要求的</w:t>
            </w:r>
            <w:r>
              <w:rPr>
                <w:rFonts w:hint="eastAsia" w:ascii="Times New Roman" w:hAnsi="Times New Roman" w:cs="Times New Roman"/>
                <w:color w:val="auto"/>
                <w:spacing w:val="0"/>
                <w:sz w:val="21"/>
                <w:highlight w:val="none"/>
                <w:lang w:eastAsia="zh-CN"/>
              </w:rPr>
              <w:t>“</w:t>
            </w:r>
            <w:r>
              <w:rPr>
                <w:rFonts w:hint="default" w:ascii="Times New Roman" w:hAnsi="Times New Roman" w:eastAsia="宋体" w:cs="Times New Roman"/>
                <w:color w:val="auto"/>
                <w:spacing w:val="0"/>
                <w:sz w:val="21"/>
                <w:highlight w:val="none"/>
              </w:rPr>
              <w:t>两高</w:t>
            </w:r>
            <w:r>
              <w:rPr>
                <w:rFonts w:hint="eastAsia" w:ascii="Times New Roman" w:hAnsi="Times New Roman" w:cs="Times New Roman"/>
                <w:color w:val="auto"/>
                <w:spacing w:val="0"/>
                <w:sz w:val="21"/>
                <w:highlight w:val="none"/>
                <w:lang w:eastAsia="zh-CN"/>
              </w:rPr>
              <w:t>”</w:t>
            </w:r>
            <w:r>
              <w:rPr>
                <w:rFonts w:hint="default" w:ascii="Times New Roman" w:hAnsi="Times New Roman" w:eastAsia="宋体" w:cs="Times New Roman"/>
                <w:color w:val="auto"/>
                <w:spacing w:val="0"/>
                <w:sz w:val="21"/>
                <w:highlight w:val="none"/>
              </w:rPr>
              <w:t>项目。</w:t>
            </w:r>
          </w:p>
        </w:tc>
        <w:tc>
          <w:tcPr>
            <w:tcW w:w="4256" w:type="dxa"/>
            <w:noWrap w:val="0"/>
            <w:vAlign w:val="center"/>
          </w:tcPr>
          <w:p w14:paraId="49EDA1B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rPr>
              <w:t>本项目位于</w:t>
            </w:r>
            <w:r>
              <w:rPr>
                <w:rFonts w:hint="eastAsia" w:ascii="Times New Roman" w:hAnsi="Times New Roman" w:eastAsia="宋体" w:cs="Times New Roman"/>
                <w:color w:val="auto"/>
                <w:spacing w:val="0"/>
                <w:sz w:val="21"/>
                <w:highlight w:val="none"/>
                <w:lang w:val="en-US" w:eastAsia="zh-CN"/>
              </w:rPr>
              <w:t>淮南市田家庵经济开发</w:t>
            </w:r>
            <w:r>
              <w:rPr>
                <w:rFonts w:hint="eastAsia" w:ascii="Times New Roman" w:hAnsi="Times New Roman" w:eastAsia="宋体" w:cs="Times New Roman"/>
                <w:color w:val="auto"/>
                <w:spacing w:val="0"/>
                <w:sz w:val="21"/>
                <w:highlight w:val="none"/>
              </w:rPr>
              <w:t>区，</w:t>
            </w:r>
            <w:r>
              <w:rPr>
                <w:rFonts w:hint="eastAsia" w:ascii="Times New Roman" w:hAnsi="Times New Roman" w:eastAsia="宋体" w:cs="Times New Roman"/>
                <w:color w:val="auto"/>
                <w:spacing w:val="0"/>
                <w:sz w:val="21"/>
                <w:highlight w:val="none"/>
                <w:lang w:val="en-US" w:eastAsia="zh-CN"/>
              </w:rPr>
              <w:t>为</w:t>
            </w:r>
            <w:r>
              <w:rPr>
                <w:rFonts w:hint="eastAsia" w:ascii="Times New Roman" w:hAnsi="Times New Roman" w:cs="Times New Roman"/>
                <w:color w:val="auto"/>
                <w:spacing w:val="0"/>
                <w:sz w:val="21"/>
                <w:highlight w:val="none"/>
                <w:lang w:val="en-US" w:eastAsia="zh-CN"/>
              </w:rPr>
              <w:t>《产业结构调整指导目录（2024年本）》</w:t>
            </w:r>
            <w:r>
              <w:rPr>
                <w:rFonts w:hint="eastAsia"/>
                <w:color w:val="auto"/>
                <w:highlight w:val="none"/>
                <w:lang w:val="en-US" w:eastAsia="zh-CN"/>
              </w:rPr>
              <w:t>鼓励类</w:t>
            </w:r>
            <w:r>
              <w:rPr>
                <w:rFonts w:hint="eastAsia" w:ascii="Times New Roman" w:hAnsi="Times New Roman" w:eastAsia="宋体" w:cs="Times New Roman"/>
                <w:color w:val="auto"/>
                <w:spacing w:val="0"/>
                <w:sz w:val="21"/>
                <w:highlight w:val="none"/>
                <w:lang w:val="en-US" w:eastAsia="zh-CN"/>
              </w:rPr>
              <w:t>，根据</w:t>
            </w:r>
            <w:r>
              <w:rPr>
                <w:b w:val="0"/>
                <w:bCs w:val="0"/>
                <w:color w:val="auto"/>
                <w:sz w:val="24"/>
                <w:szCs w:val="24"/>
                <w:highlight w:val="none"/>
              </w:rPr>
              <w:t>《</w:t>
            </w:r>
            <w:r>
              <w:rPr>
                <w:rFonts w:hint="eastAsia" w:ascii="Times New Roman" w:hAnsi="Times New Roman" w:eastAsia="宋体" w:cs="Times New Roman"/>
                <w:b w:val="0"/>
                <w:bCs w:val="0"/>
                <w:color w:val="auto"/>
                <w:highlight w:val="none"/>
                <w:lang w:eastAsia="zh-CN"/>
              </w:rPr>
              <w:t>淮南市</w:t>
            </w:r>
            <w:r>
              <w:rPr>
                <w:rFonts w:hint="eastAsia" w:ascii="Times New Roman" w:hAnsi="Times New Roman" w:eastAsia="宋体" w:cs="Times New Roman"/>
                <w:b w:val="0"/>
                <w:bCs w:val="0"/>
                <w:color w:val="auto"/>
                <w:highlight w:val="none"/>
                <w:lang w:val="en-US" w:eastAsia="zh-CN"/>
              </w:rPr>
              <w:t>曹庵镇总体规划</w:t>
            </w:r>
            <w:r>
              <w:rPr>
                <w:rFonts w:hint="eastAsia" w:ascii="Times New Roman" w:hAnsi="Times New Roman" w:eastAsia="宋体" w:cs="Times New Roman"/>
                <w:b w:val="0"/>
                <w:bCs w:val="0"/>
                <w:color w:val="auto"/>
                <w:highlight w:val="none"/>
                <w:lang w:eastAsia="zh-CN"/>
              </w:rPr>
              <w:t>（20</w:t>
            </w:r>
            <w:r>
              <w:rPr>
                <w:rFonts w:hint="eastAsia" w:ascii="Times New Roman" w:hAnsi="Times New Roman" w:eastAsia="宋体" w:cs="Times New Roman"/>
                <w:b w:val="0"/>
                <w:bCs w:val="0"/>
                <w:color w:val="auto"/>
                <w:highlight w:val="none"/>
                <w:lang w:val="en-US" w:eastAsia="zh-CN"/>
              </w:rPr>
              <w:t>16</w:t>
            </w:r>
            <w:r>
              <w:rPr>
                <w:rFonts w:hint="eastAsia" w:ascii="Times New Roman" w:hAnsi="Times New Roman" w:eastAsia="宋体" w:cs="Times New Roman"/>
                <w:b w:val="0"/>
                <w:bCs w:val="0"/>
                <w:color w:val="auto"/>
                <w:highlight w:val="none"/>
                <w:lang w:eastAsia="zh-CN"/>
              </w:rPr>
              <w:t>-203</w:t>
            </w:r>
            <w:r>
              <w:rPr>
                <w:rFonts w:hint="eastAsia" w:ascii="Times New Roman" w:hAnsi="Times New Roman" w:eastAsia="宋体" w:cs="Times New Roman"/>
                <w:b w:val="0"/>
                <w:bCs w:val="0"/>
                <w:color w:val="auto"/>
                <w:highlight w:val="none"/>
                <w:lang w:val="en-US" w:eastAsia="zh-CN"/>
              </w:rPr>
              <w:t>0</w:t>
            </w:r>
            <w:r>
              <w:rPr>
                <w:rFonts w:hint="eastAsia" w:ascii="Times New Roman" w:hAnsi="Times New Roman" w:eastAsia="宋体" w:cs="Times New Roman"/>
                <w:b w:val="0"/>
                <w:bCs w:val="0"/>
                <w:color w:val="auto"/>
                <w:highlight w:val="none"/>
                <w:lang w:eastAsia="zh-CN"/>
              </w:rPr>
              <w:t>年）</w:t>
            </w:r>
            <w:r>
              <w:rPr>
                <w:b w:val="0"/>
                <w:bCs w:val="0"/>
                <w:color w:val="auto"/>
                <w:sz w:val="24"/>
                <w:szCs w:val="24"/>
                <w:highlight w:val="none"/>
              </w:rPr>
              <w:t>》</w:t>
            </w:r>
            <w:r>
              <w:rPr>
                <w:rFonts w:hint="default" w:ascii="Times New Roman" w:hAnsi="Times New Roman" w:eastAsia="宋体" w:cs="Times New Roman"/>
                <w:color w:val="auto"/>
                <w:spacing w:val="0"/>
                <w:sz w:val="21"/>
                <w:highlight w:val="none"/>
              </w:rPr>
              <w:t>，本项目</w:t>
            </w:r>
            <w:r>
              <w:rPr>
                <w:rFonts w:hint="eastAsia" w:ascii="Times New Roman" w:hAnsi="Times New Roman" w:eastAsia="宋体" w:cs="Times New Roman"/>
                <w:color w:val="auto"/>
                <w:spacing w:val="0"/>
                <w:sz w:val="21"/>
                <w:highlight w:val="none"/>
                <w:lang w:val="en-US" w:eastAsia="zh-CN"/>
              </w:rPr>
              <w:t>位于适建区</w:t>
            </w:r>
            <w:r>
              <w:rPr>
                <w:rFonts w:hint="default" w:ascii="Times New Roman" w:hAnsi="Times New Roman" w:eastAsia="宋体" w:cs="Times New Roman"/>
                <w:color w:val="auto"/>
                <w:spacing w:val="0"/>
                <w:sz w:val="21"/>
                <w:highlight w:val="none"/>
              </w:rPr>
              <w:t>，区域内未涉及自然保护区，不属于安徽省生态保护红线划定红线范围内</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lang w:val="en-US" w:eastAsia="zh-CN"/>
              </w:rPr>
              <w:t>项目不属于</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两高</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项目。</w:t>
            </w:r>
          </w:p>
        </w:tc>
        <w:tc>
          <w:tcPr>
            <w:tcW w:w="1453" w:type="dxa"/>
            <w:noWrap w:val="0"/>
            <w:vAlign w:val="center"/>
          </w:tcPr>
          <w:p w14:paraId="018E9A92">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5993E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14:paraId="52B6918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加强挥发性有机物污染防治精细</w:t>
            </w:r>
            <w:r>
              <w:rPr>
                <w:rFonts w:hint="default" w:ascii="Times New Roman" w:hAnsi="Times New Roman" w:eastAsia="宋体" w:cs="Times New Roman"/>
                <w:color w:val="auto"/>
                <w:spacing w:val="0"/>
                <w:sz w:val="21"/>
                <w:highlight w:val="none"/>
              </w:rPr>
              <w:t>化管理，针对石化、化工、包装印刷、工业涂装等重点行业建立完善源头削减、过程控制和末端治理的VOCs全过程控制体系，实施VOCs排放总量控制。</w:t>
            </w:r>
          </w:p>
        </w:tc>
        <w:tc>
          <w:tcPr>
            <w:tcW w:w="4256" w:type="dxa"/>
            <w:noWrap w:val="0"/>
            <w:vAlign w:val="center"/>
          </w:tcPr>
          <w:p w14:paraId="7470085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default" w:ascii="Times New Roman" w:hAnsi="Times New Roman" w:eastAsia="宋体" w:cs="Times New Roman"/>
                <w:color w:val="auto"/>
                <w:spacing w:val="0"/>
                <w:sz w:val="21"/>
                <w:highlight w:val="none"/>
                <w:lang w:val="en-US" w:eastAsia="zh-CN"/>
              </w:rPr>
              <w:t>本项目为</w:t>
            </w:r>
            <w:r>
              <w:rPr>
                <w:rFonts w:hint="eastAsia"/>
                <w:color w:val="auto"/>
                <w:highlight w:val="none"/>
                <w:lang w:val="en-US" w:eastAsia="zh-CN"/>
              </w:rPr>
              <w:t>C2619</w:t>
            </w:r>
            <w:r>
              <w:rPr>
                <w:rFonts w:hint="eastAsia"/>
                <w:color w:val="auto"/>
                <w:highlight w:val="none"/>
                <w:lang w:eastAsia="zh-CN"/>
              </w:rPr>
              <w:t>其他基础化学原料制造</w:t>
            </w:r>
            <w:r>
              <w:rPr>
                <w:rFonts w:hint="default" w:ascii="Times New Roman" w:hAnsi="Times New Roman" w:eastAsia="宋体" w:cs="Times New Roman"/>
                <w:color w:val="auto"/>
                <w:spacing w:val="0"/>
                <w:sz w:val="21"/>
                <w:highlight w:val="none"/>
                <w:lang w:val="en-US" w:eastAsia="zh-CN"/>
              </w:rPr>
              <w:t>，</w:t>
            </w:r>
            <w:r>
              <w:rPr>
                <w:rFonts w:hint="default" w:ascii="Times New Roman" w:hAnsi="Times New Roman" w:eastAsia="宋体" w:cs="Times New Roman"/>
                <w:color w:val="auto"/>
                <w:spacing w:val="0"/>
                <w:sz w:val="21"/>
                <w:highlight w:val="none"/>
              </w:rPr>
              <w:t>项目着手从源头控制VOCs废气的产生和无组织排放，生产过程中产生的</w:t>
            </w:r>
            <w:r>
              <w:rPr>
                <w:rFonts w:hint="eastAsia" w:ascii="Times New Roman" w:hAnsi="Times New Roman" w:eastAsia="宋体" w:cs="Times New Roman"/>
                <w:color w:val="auto"/>
                <w:spacing w:val="0"/>
                <w:sz w:val="21"/>
                <w:highlight w:val="none"/>
                <w:lang w:val="en-US" w:eastAsia="zh-CN"/>
              </w:rPr>
              <w:t>少量</w:t>
            </w:r>
            <w:r>
              <w:rPr>
                <w:rFonts w:hint="default" w:ascii="Times New Roman" w:hAnsi="Times New Roman" w:eastAsia="宋体" w:cs="Times New Roman"/>
                <w:color w:val="auto"/>
                <w:spacing w:val="0"/>
                <w:sz w:val="21"/>
                <w:highlight w:val="none"/>
              </w:rPr>
              <w:t>有机废气采用</w:t>
            </w:r>
            <w:r>
              <w:rPr>
                <w:rFonts w:hint="eastAsia" w:ascii="Times New Roman" w:hAnsi="Times New Roman" w:eastAsia="宋体" w:cs="Times New Roman"/>
                <w:b w:val="0"/>
                <w:bCs/>
                <w:color w:val="auto"/>
                <w:sz w:val="21"/>
                <w:szCs w:val="21"/>
                <w:highlight w:val="none"/>
                <w:lang w:val="en-US" w:eastAsia="zh-CN"/>
              </w:rPr>
              <w:t>管道</w:t>
            </w:r>
            <w:r>
              <w:rPr>
                <w:rFonts w:hint="default" w:ascii="Times New Roman" w:hAnsi="Times New Roman" w:eastAsia="宋体" w:cs="Times New Roman"/>
                <w:b w:val="0"/>
                <w:bCs/>
                <w:color w:val="auto"/>
                <w:sz w:val="21"/>
                <w:szCs w:val="21"/>
                <w:highlight w:val="none"/>
              </w:rPr>
              <w:t>收集</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配套现行可行处置技术措施进行处理达标排放</w:t>
            </w:r>
            <w:r>
              <w:rPr>
                <w:rFonts w:hint="default" w:ascii="Times New Roman" w:hAnsi="Times New Roman" w:eastAsia="宋体" w:cs="Times New Roman"/>
                <w:color w:val="auto"/>
                <w:spacing w:val="0"/>
                <w:sz w:val="21"/>
                <w:highlight w:val="none"/>
              </w:rPr>
              <w:t>；废气经治理措施处理后可稳定达标排放，本项目新增挥发性有机物等排放总量指标拟向</w:t>
            </w:r>
            <w:r>
              <w:rPr>
                <w:rFonts w:hint="eastAsia" w:ascii="Times New Roman" w:hAnsi="Times New Roman" w:eastAsia="宋体" w:cs="Times New Roman"/>
                <w:color w:val="auto"/>
                <w:spacing w:val="0"/>
                <w:sz w:val="21"/>
                <w:highlight w:val="none"/>
                <w:lang w:val="en-US" w:eastAsia="zh-CN"/>
              </w:rPr>
              <w:t>淮南</w:t>
            </w:r>
            <w:r>
              <w:rPr>
                <w:rFonts w:hint="default" w:ascii="Times New Roman" w:hAnsi="Times New Roman" w:eastAsia="宋体" w:cs="Times New Roman"/>
                <w:color w:val="auto"/>
                <w:spacing w:val="0"/>
                <w:sz w:val="21"/>
                <w:highlight w:val="none"/>
              </w:rPr>
              <w:t>市生态环境局申请。</w:t>
            </w:r>
          </w:p>
        </w:tc>
        <w:tc>
          <w:tcPr>
            <w:tcW w:w="1453" w:type="dxa"/>
            <w:noWrap w:val="0"/>
            <w:vAlign w:val="center"/>
          </w:tcPr>
          <w:p w14:paraId="12D84CD0">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3D6A088E">
      <w:pPr>
        <w:keepNext w:val="0"/>
        <w:keepLines w:val="0"/>
        <w:widowControl/>
        <w:suppressLineNumbers w:val="0"/>
        <w:spacing w:line="360" w:lineRule="auto"/>
        <w:jc w:val="left"/>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w:t>
      </w:r>
      <w:r>
        <w:rPr>
          <w:rFonts w:hint="eastAsia" w:cs="Times New Roman"/>
          <w:b/>
          <w:bCs/>
          <w:color w:val="auto"/>
          <w:kern w:val="0"/>
          <w:sz w:val="24"/>
          <w:szCs w:val="24"/>
          <w:highlight w:val="none"/>
          <w:lang w:val="en-US" w:eastAsia="zh-CN" w:bidi="ar"/>
        </w:rPr>
        <w:t>3</w:t>
      </w:r>
      <w:r>
        <w:rPr>
          <w:rFonts w:hint="default" w:ascii="Times New Roman" w:hAnsi="Times New Roman" w:eastAsia="宋体" w:cs="Times New Roman"/>
          <w:b/>
          <w:bCs/>
          <w:color w:val="auto"/>
          <w:kern w:val="0"/>
          <w:sz w:val="24"/>
          <w:szCs w:val="24"/>
          <w:highlight w:val="none"/>
          <w:lang w:val="en-US" w:eastAsia="zh-CN" w:bidi="ar"/>
        </w:rPr>
        <w:t>）与</w:t>
      </w:r>
      <w:r>
        <w:rPr>
          <w:rFonts w:hint="eastAsia"/>
          <w:b/>
          <w:bCs/>
          <w:color w:val="auto"/>
          <w:sz w:val="24"/>
          <w:szCs w:val="24"/>
          <w:highlight w:val="none"/>
        </w:rPr>
        <w:t>《</w:t>
      </w:r>
      <w:r>
        <w:rPr>
          <w:rFonts w:hint="eastAsia"/>
          <w:b/>
          <w:bCs/>
          <w:color w:val="auto"/>
          <w:sz w:val="24"/>
          <w:szCs w:val="24"/>
          <w:highlight w:val="none"/>
          <w:lang w:val="en-US" w:eastAsia="zh-CN"/>
        </w:rPr>
        <w:t>安徽省“十四五”生态环境保护规划</w:t>
      </w:r>
      <w:r>
        <w:rPr>
          <w:rFonts w:hint="eastAsia"/>
          <w:b/>
          <w:bCs/>
          <w:color w:val="auto"/>
          <w:sz w:val="24"/>
          <w:szCs w:val="24"/>
          <w:highlight w:val="none"/>
        </w:rPr>
        <w:t>》</w:t>
      </w:r>
      <w:r>
        <w:rPr>
          <w:rFonts w:hint="default" w:ascii="Times New Roman" w:hAnsi="Times New Roman" w:eastAsia="宋体" w:cs="Times New Roman"/>
          <w:b/>
          <w:bCs/>
          <w:color w:val="auto"/>
          <w:kern w:val="0"/>
          <w:sz w:val="24"/>
          <w:szCs w:val="24"/>
          <w:highlight w:val="none"/>
          <w:lang w:val="en-US" w:eastAsia="zh-CN" w:bidi="ar"/>
        </w:rPr>
        <w:t>相符性分析</w:t>
      </w:r>
    </w:p>
    <w:p w14:paraId="36459E31">
      <w:pPr>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textAlignment w:val="auto"/>
        <w:outlineLvl w:val="9"/>
        <w:rPr>
          <w:rFonts w:hint="default" w:ascii="Times New Roman" w:hAnsi="Times New Roman" w:eastAsia="宋体" w:cs="Times New Roman"/>
          <w:b w:val="0"/>
          <w:color w:val="auto"/>
          <w:kern w:val="2"/>
          <w:sz w:val="24"/>
          <w:szCs w:val="20"/>
          <w:highlight w:val="none"/>
          <w:lang w:val="en-US" w:eastAsia="zh-CN" w:bidi="ar-SA"/>
        </w:rPr>
      </w:pPr>
      <w:r>
        <w:rPr>
          <w:rFonts w:hint="eastAsia" w:ascii="Times New Roman" w:hAnsi="Times New Roman" w:eastAsia="宋体" w:cs="Times New Roman"/>
          <w:b w:val="0"/>
          <w:color w:val="auto"/>
          <w:kern w:val="2"/>
          <w:sz w:val="24"/>
          <w:szCs w:val="20"/>
          <w:highlight w:val="none"/>
          <w:lang w:val="en-US" w:eastAsia="zh-CN" w:bidi="ar-SA"/>
        </w:rPr>
        <w:t>2</w:t>
      </w:r>
      <w:r>
        <w:rPr>
          <w:rFonts w:hint="default" w:ascii="Times New Roman" w:hAnsi="Times New Roman" w:eastAsia="宋体" w:cs="Times New Roman"/>
          <w:b w:val="0"/>
          <w:color w:val="auto"/>
          <w:kern w:val="2"/>
          <w:sz w:val="24"/>
          <w:szCs w:val="20"/>
          <w:highlight w:val="none"/>
          <w:lang w:val="en-US" w:eastAsia="zh-CN" w:bidi="ar-SA"/>
        </w:rPr>
        <w:t>022年1月，安徽省发展和改革委员会、安徽省生态环境厅联合发布了《安徽省</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十四五</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生态环境保护规划》，拟建项目与《安徽省</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十四五</w:t>
      </w:r>
      <w:r>
        <w:rPr>
          <w:rFonts w:hint="eastAsia" w:cs="Times New Roman"/>
          <w:b w:val="0"/>
          <w:color w:val="auto"/>
          <w:kern w:val="2"/>
          <w:sz w:val="24"/>
          <w:szCs w:val="20"/>
          <w:highlight w:val="none"/>
          <w:lang w:val="en-US" w:eastAsia="zh-CN" w:bidi="ar-SA"/>
        </w:rPr>
        <w:t>”</w:t>
      </w:r>
      <w:r>
        <w:rPr>
          <w:rFonts w:hint="default" w:ascii="Times New Roman" w:hAnsi="Times New Roman" w:eastAsia="宋体" w:cs="Times New Roman"/>
          <w:b w:val="0"/>
          <w:color w:val="auto"/>
          <w:kern w:val="2"/>
          <w:sz w:val="24"/>
          <w:szCs w:val="20"/>
          <w:highlight w:val="none"/>
          <w:lang w:val="en-US" w:eastAsia="zh-CN" w:bidi="ar-SA"/>
        </w:rPr>
        <w:t>生态环境保护规划》符合性分析如下表所示。</w:t>
      </w:r>
    </w:p>
    <w:p w14:paraId="7B875A32">
      <w:pPr>
        <w:pStyle w:val="549"/>
        <w:bidi w:val="0"/>
        <w:rPr>
          <w:rFonts w:hint="default"/>
          <w:color w:val="auto"/>
          <w:highlight w:val="none"/>
          <w:lang w:val="en-US" w:eastAsia="zh-CN"/>
        </w:rPr>
      </w:pPr>
      <w:r>
        <w:rPr>
          <w:rFonts w:hint="eastAsia"/>
          <w:color w:val="auto"/>
          <w:highlight w:val="none"/>
          <w:lang w:val="en-US" w:eastAsia="zh-CN"/>
        </w:rPr>
        <w:t>表2.5.3-4  项目与</w:t>
      </w:r>
      <w:r>
        <w:rPr>
          <w:rFonts w:hint="default"/>
          <w:color w:val="auto"/>
          <w:highlight w:val="none"/>
          <w:lang w:val="en-US" w:eastAsia="zh-CN"/>
        </w:rPr>
        <w:t>《</w:t>
      </w:r>
      <w:r>
        <w:rPr>
          <w:rFonts w:hint="eastAsia"/>
          <w:color w:val="auto"/>
          <w:highlight w:val="none"/>
          <w:lang w:val="en-US" w:eastAsia="zh-CN"/>
        </w:rPr>
        <w:t>安徽省“十四五”生态环境保护规划</w:t>
      </w:r>
      <w:r>
        <w:rPr>
          <w:rFonts w:hint="default"/>
          <w:color w:val="auto"/>
          <w:highlight w:val="none"/>
          <w:lang w:val="en-US" w:eastAsia="zh-CN"/>
        </w:rPr>
        <w:t>》</w:t>
      </w:r>
      <w:r>
        <w:rPr>
          <w:rFonts w:hint="eastAsia"/>
          <w:color w:val="auto"/>
          <w:highlight w:val="none"/>
          <w:lang w:val="en-US" w:eastAsia="zh-CN"/>
        </w:rPr>
        <w:t>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86"/>
        <w:gridCol w:w="4063"/>
        <w:gridCol w:w="1273"/>
      </w:tblGrid>
      <w:tr w14:paraId="3FD69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14:paraId="18255DAD">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4360" w:type="dxa"/>
            <w:noWrap w:val="0"/>
            <w:vAlign w:val="center"/>
          </w:tcPr>
          <w:p w14:paraId="713B5889">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5DE28B6F">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7A0F2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14:paraId="60ED6BE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强化挥发性有机物（</w:t>
            </w:r>
            <w:r>
              <w:rPr>
                <w:rFonts w:hint="default" w:ascii="Times New Roman" w:hAnsi="Times New Roman" w:eastAsia="宋体" w:cs="Times New Roman"/>
                <w:color w:val="auto"/>
                <w:spacing w:val="0"/>
                <w:sz w:val="21"/>
                <w:highlight w:val="none"/>
              </w:rPr>
              <w:t>VOCs</w:t>
            </w:r>
            <w:r>
              <w:rPr>
                <w:rFonts w:hint="eastAsia" w:ascii="Times New Roman" w:hAnsi="Times New Roman" w:eastAsia="宋体" w:cs="Times New Roman"/>
                <w:color w:val="auto"/>
                <w:spacing w:val="0"/>
                <w:sz w:val="21"/>
                <w:highlight w:val="none"/>
                <w:lang w:eastAsia="zh-CN"/>
              </w:rPr>
              <w:t>）</w:t>
            </w:r>
            <w:r>
              <w:rPr>
                <w:rFonts w:hint="default" w:ascii="Times New Roman" w:hAnsi="Times New Roman" w:eastAsia="宋体" w:cs="Times New Roman"/>
                <w:color w:val="auto"/>
                <w:spacing w:val="0"/>
                <w:sz w:val="21"/>
                <w:highlight w:val="none"/>
              </w:rPr>
              <w:t>治理精细化管理，在石化、化工、包装印刷、工业涂装等重点行业建立完善源头、过程和末端的VOCs全过程控制体系，实施VOCs排放总量控制</w:t>
            </w:r>
          </w:p>
        </w:tc>
        <w:tc>
          <w:tcPr>
            <w:tcW w:w="4360" w:type="dxa"/>
            <w:noWrap w:val="0"/>
            <w:vAlign w:val="center"/>
          </w:tcPr>
          <w:p w14:paraId="0E35907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default" w:ascii="Times New Roman" w:hAnsi="Times New Roman" w:eastAsia="宋体" w:cs="Times New Roman"/>
                <w:color w:val="auto"/>
                <w:spacing w:val="0"/>
                <w:sz w:val="21"/>
                <w:highlight w:val="none"/>
                <w:lang w:val="en-US" w:eastAsia="zh-CN"/>
              </w:rPr>
              <w:t>本项目为</w:t>
            </w:r>
            <w:r>
              <w:rPr>
                <w:rFonts w:hint="eastAsia"/>
                <w:color w:val="auto"/>
                <w:highlight w:val="none"/>
                <w:lang w:val="en-US" w:eastAsia="zh-CN"/>
              </w:rPr>
              <w:t>C2619</w:t>
            </w:r>
            <w:r>
              <w:rPr>
                <w:rFonts w:hint="eastAsia"/>
                <w:color w:val="auto"/>
                <w:highlight w:val="none"/>
                <w:lang w:eastAsia="zh-CN"/>
              </w:rPr>
              <w:t>其他基础化学原料制造</w:t>
            </w:r>
            <w:r>
              <w:rPr>
                <w:rFonts w:hint="default" w:ascii="Times New Roman" w:hAnsi="Times New Roman" w:eastAsia="宋体" w:cs="Times New Roman"/>
                <w:color w:val="auto"/>
                <w:spacing w:val="0"/>
                <w:sz w:val="21"/>
                <w:highlight w:val="none"/>
                <w:lang w:val="en-US" w:eastAsia="zh-CN"/>
              </w:rPr>
              <w:t>，</w:t>
            </w:r>
            <w:r>
              <w:rPr>
                <w:rFonts w:hint="default" w:ascii="Times New Roman" w:hAnsi="Times New Roman" w:eastAsia="宋体" w:cs="Times New Roman"/>
                <w:color w:val="auto"/>
                <w:spacing w:val="0"/>
                <w:sz w:val="21"/>
                <w:highlight w:val="none"/>
              </w:rPr>
              <w:t>项目着手从源头控制VOCs废气的产生和无组织排放，生产过程中产生的</w:t>
            </w:r>
            <w:r>
              <w:rPr>
                <w:rFonts w:hint="eastAsia" w:ascii="Times New Roman" w:hAnsi="Times New Roman" w:eastAsia="宋体" w:cs="Times New Roman"/>
                <w:color w:val="auto"/>
                <w:spacing w:val="0"/>
                <w:sz w:val="21"/>
                <w:highlight w:val="none"/>
                <w:lang w:val="en-US" w:eastAsia="zh-CN"/>
              </w:rPr>
              <w:t>少量</w:t>
            </w:r>
            <w:r>
              <w:rPr>
                <w:rFonts w:hint="default" w:ascii="Times New Roman" w:hAnsi="Times New Roman" w:eastAsia="宋体" w:cs="Times New Roman"/>
                <w:color w:val="auto"/>
                <w:spacing w:val="0"/>
                <w:sz w:val="21"/>
                <w:highlight w:val="none"/>
              </w:rPr>
              <w:t>有机废气采用</w:t>
            </w:r>
            <w:r>
              <w:rPr>
                <w:rFonts w:hint="eastAsia" w:ascii="Times New Roman" w:hAnsi="Times New Roman" w:eastAsia="宋体" w:cs="Times New Roman"/>
                <w:b w:val="0"/>
                <w:bCs/>
                <w:color w:val="auto"/>
                <w:sz w:val="21"/>
                <w:szCs w:val="21"/>
                <w:highlight w:val="none"/>
                <w:lang w:val="en-US" w:eastAsia="zh-CN"/>
              </w:rPr>
              <w:t>管道</w:t>
            </w:r>
            <w:r>
              <w:rPr>
                <w:rFonts w:hint="default" w:ascii="Times New Roman" w:hAnsi="Times New Roman" w:eastAsia="宋体" w:cs="Times New Roman"/>
                <w:b w:val="0"/>
                <w:bCs/>
                <w:color w:val="auto"/>
                <w:sz w:val="21"/>
                <w:szCs w:val="21"/>
                <w:highlight w:val="none"/>
              </w:rPr>
              <w:t>收集</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val="en-US" w:eastAsia="zh-CN"/>
              </w:rPr>
              <w:t>配套现行可行处置技术措施进行处理达标排放</w:t>
            </w:r>
            <w:r>
              <w:rPr>
                <w:rFonts w:hint="default" w:ascii="Times New Roman" w:hAnsi="Times New Roman" w:eastAsia="宋体" w:cs="Times New Roman"/>
                <w:color w:val="auto"/>
                <w:spacing w:val="0"/>
                <w:sz w:val="21"/>
                <w:highlight w:val="none"/>
              </w:rPr>
              <w:t>；废气经治理措施处理后可稳定达标排放，本项目新增挥发性有机物等排放总量指标拟向</w:t>
            </w:r>
            <w:r>
              <w:rPr>
                <w:rFonts w:hint="eastAsia" w:ascii="Times New Roman" w:hAnsi="Times New Roman" w:eastAsia="宋体" w:cs="Times New Roman"/>
                <w:color w:val="auto"/>
                <w:spacing w:val="0"/>
                <w:sz w:val="21"/>
                <w:highlight w:val="none"/>
                <w:lang w:val="en-US" w:eastAsia="zh-CN"/>
              </w:rPr>
              <w:t>淮南</w:t>
            </w:r>
            <w:r>
              <w:rPr>
                <w:rFonts w:hint="default" w:ascii="Times New Roman" w:hAnsi="Times New Roman" w:eastAsia="宋体" w:cs="Times New Roman"/>
                <w:color w:val="auto"/>
                <w:spacing w:val="0"/>
                <w:sz w:val="21"/>
                <w:highlight w:val="none"/>
              </w:rPr>
              <w:t>市生态环境局申请。</w:t>
            </w:r>
          </w:p>
        </w:tc>
        <w:tc>
          <w:tcPr>
            <w:tcW w:w="1349" w:type="dxa"/>
            <w:noWrap w:val="0"/>
            <w:vAlign w:val="center"/>
          </w:tcPr>
          <w:p w14:paraId="1BB5C49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24C45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14:paraId="3F56B134">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完善</w:t>
            </w:r>
            <w:r>
              <w:rPr>
                <w:rFonts w:hint="eastAsia" w:ascii="Times New Roman" w:hAnsi="Times New Roman" w:cs="Times New Roman"/>
                <w:color w:val="auto"/>
                <w:spacing w:val="0"/>
                <w:sz w:val="21"/>
                <w:highlight w:val="none"/>
                <w:lang w:eastAsia="zh-CN"/>
              </w:rPr>
              <w:t>“</w:t>
            </w:r>
            <w:r>
              <w:rPr>
                <w:rFonts w:hint="default" w:ascii="Times New Roman" w:hAnsi="Times New Roman" w:eastAsia="宋体" w:cs="Times New Roman"/>
                <w:color w:val="auto"/>
                <w:spacing w:val="0"/>
                <w:sz w:val="21"/>
                <w:highlight w:val="none"/>
              </w:rPr>
              <w:t>事前、事中、事后</w:t>
            </w:r>
            <w:r>
              <w:rPr>
                <w:rFonts w:hint="eastAsia" w:ascii="Times New Roman" w:hAnsi="Times New Roman" w:cs="Times New Roman"/>
                <w:color w:val="auto"/>
                <w:spacing w:val="0"/>
                <w:sz w:val="21"/>
                <w:highlight w:val="none"/>
                <w:lang w:eastAsia="zh-CN"/>
              </w:rPr>
              <w:t>”</w:t>
            </w:r>
            <w:r>
              <w:rPr>
                <w:rFonts w:hint="default" w:ascii="Times New Roman" w:hAnsi="Times New Roman" w:eastAsia="宋体" w:cs="Times New Roman"/>
                <w:color w:val="auto"/>
                <w:spacing w:val="0"/>
                <w:sz w:val="21"/>
                <w:highlight w:val="none"/>
              </w:rPr>
              <w:t>全过程、多层级环境风险防范体系，针对重点区域、重点流域定期开展环境风险排查和整治。以化工园区、尾矿库、冶炼企业等为重点，严格落实企业生态环境风险防范主体责任。</w:t>
            </w:r>
          </w:p>
        </w:tc>
        <w:tc>
          <w:tcPr>
            <w:tcW w:w="4360" w:type="dxa"/>
            <w:noWrap w:val="0"/>
            <w:vAlign w:val="center"/>
          </w:tcPr>
          <w:p w14:paraId="2BCADB6E">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本项目建成运行后，生产过程中涉及有毒有害物质，存在一</w:t>
            </w:r>
            <w:r>
              <w:rPr>
                <w:rFonts w:hint="default" w:ascii="Times New Roman" w:hAnsi="Times New Roman" w:eastAsia="宋体" w:cs="Times New Roman"/>
                <w:color w:val="auto"/>
                <w:spacing w:val="0"/>
                <w:sz w:val="21"/>
                <w:highlight w:val="none"/>
              </w:rPr>
              <w:t>定的环境风险隐患。企业环保验收前，将编制企业突发环境事件应急预案并备案。企业制定有效的环境风险管理制度，合理配置环境风险防控及应对处置能力，与当地人民政府和相关部门以及周边企业、园区相衔接，建立区域突发环境事件应急联动机制。</w:t>
            </w:r>
          </w:p>
        </w:tc>
        <w:tc>
          <w:tcPr>
            <w:tcW w:w="1349" w:type="dxa"/>
            <w:noWrap w:val="0"/>
            <w:vAlign w:val="center"/>
          </w:tcPr>
          <w:p w14:paraId="47B2C2A6">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3B8E06DD">
      <w:pPr>
        <w:keepNext w:val="0"/>
        <w:keepLines w:val="0"/>
        <w:widowControl/>
        <w:suppressLineNumbers w:val="0"/>
        <w:spacing w:line="360" w:lineRule="auto"/>
        <w:jc w:val="left"/>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（4）《关于印发安徽省氢能产业高质量发展三年行动计划的通知》皖发改产业〔2023〕597号</w:t>
      </w:r>
    </w:p>
    <w:p w14:paraId="0D1E7CF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olor w:val="auto"/>
          <w:highlight w:val="none"/>
          <w:lang w:val="en-US" w:eastAsia="zh-CN"/>
        </w:rPr>
        <w:t>2023年12月28日，</w:t>
      </w:r>
      <w:r>
        <w:rPr>
          <w:rFonts w:hint="default" w:ascii="Times New Roman" w:hAnsi="Times New Roman" w:eastAsia="宋体" w:cs="Times New Roman"/>
          <w:b w:val="0"/>
          <w:color w:val="auto"/>
          <w:kern w:val="2"/>
          <w:sz w:val="24"/>
          <w:szCs w:val="20"/>
          <w:highlight w:val="none"/>
          <w:lang w:val="en-US" w:eastAsia="zh-CN" w:bidi="ar-SA"/>
        </w:rPr>
        <w:t>安徽省发展和改革委员会</w:t>
      </w:r>
      <w:r>
        <w:rPr>
          <w:rFonts w:hint="eastAsia" w:ascii="Times New Roman" w:hAnsi="Times New Roman" w:eastAsia="宋体" w:cs="Times New Roman"/>
          <w:b w:val="0"/>
          <w:color w:val="auto"/>
          <w:kern w:val="2"/>
          <w:sz w:val="24"/>
          <w:szCs w:val="20"/>
          <w:highlight w:val="none"/>
          <w:lang w:val="en-US" w:eastAsia="zh-CN" w:bidi="ar-SA"/>
        </w:rPr>
        <w:t>发布</w:t>
      </w:r>
      <w:r>
        <w:rPr>
          <w:rFonts w:hint="eastAsia" w:ascii="Times New Roman" w:hAnsi="Times New Roman" w:eastAsia="宋体" w:cs="Times New Roman"/>
          <w:b w:val="0"/>
          <w:bCs w:val="0"/>
          <w:color w:val="auto"/>
          <w:sz w:val="24"/>
          <w:szCs w:val="24"/>
          <w:highlight w:val="none"/>
          <w:lang w:val="en-US" w:eastAsia="zh-CN"/>
        </w:rPr>
        <w:t>《关于印发安徽省氢能产业高质量发展三年行动计划的通知》。本项目与《关于印发安徽省氢能产业高质量发展三年行动计划的通知》符合性分析见下表。</w:t>
      </w:r>
    </w:p>
    <w:p w14:paraId="0C65381C">
      <w:pPr>
        <w:pStyle w:val="549"/>
        <w:bidi w:val="0"/>
        <w:rPr>
          <w:rFonts w:hint="default"/>
          <w:color w:val="auto"/>
          <w:highlight w:val="none"/>
          <w:lang w:val="en-US" w:eastAsia="zh-CN"/>
        </w:rPr>
      </w:pPr>
      <w:r>
        <w:rPr>
          <w:rFonts w:hint="eastAsia"/>
          <w:color w:val="auto"/>
          <w:highlight w:val="none"/>
          <w:lang w:val="en-US" w:eastAsia="zh-CN"/>
        </w:rPr>
        <w:t>表2.5.3-5  项目与</w:t>
      </w:r>
      <w:r>
        <w:rPr>
          <w:rFonts w:hint="default"/>
          <w:b/>
          <w:bCs/>
          <w:color w:val="auto"/>
          <w:highlight w:val="none"/>
          <w:lang w:val="en-US" w:eastAsia="zh-CN"/>
        </w:rPr>
        <w:t>《</w:t>
      </w:r>
      <w:r>
        <w:rPr>
          <w:rFonts w:hint="eastAsia" w:ascii="Times New Roman" w:hAnsi="Times New Roman" w:eastAsia="宋体" w:cs="Times New Roman"/>
          <w:b/>
          <w:bCs/>
          <w:color w:val="auto"/>
          <w:sz w:val="24"/>
          <w:szCs w:val="24"/>
          <w:highlight w:val="none"/>
          <w:lang w:val="en-US" w:eastAsia="zh-CN"/>
        </w:rPr>
        <w:t>关于印发安徽省氢能产业高质量发展三年行动计划的通知</w:t>
      </w:r>
      <w:r>
        <w:rPr>
          <w:rFonts w:hint="default"/>
          <w:b/>
          <w:bCs/>
          <w:color w:val="auto"/>
          <w:highlight w:val="none"/>
          <w:lang w:val="en-US" w:eastAsia="zh-CN"/>
        </w:rPr>
        <w:t>》</w:t>
      </w:r>
      <w:r>
        <w:rPr>
          <w:rFonts w:hint="eastAsia"/>
          <w:color w:val="auto"/>
          <w:highlight w:val="none"/>
          <w:lang w:val="en-US" w:eastAsia="zh-CN"/>
        </w:rPr>
        <w:t>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0"/>
        <w:gridCol w:w="2625"/>
        <w:gridCol w:w="1277"/>
      </w:tblGrid>
      <w:tr w14:paraId="026C1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4315B98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2792" w:type="dxa"/>
            <w:noWrap w:val="0"/>
            <w:vAlign w:val="center"/>
          </w:tcPr>
          <w:p w14:paraId="15281C39">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317BE816">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0210E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4FE32552">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力争通过3年左右的努力，到2025年，在产业规模、创新能力、企业培育、推广应用方面取得明显突破，构建产业特色鲜明、空间布局合理的氢能产业发展生态体系，初步实现氢能商业化</w:t>
            </w:r>
            <w:r>
              <w:rPr>
                <w:rFonts w:hint="eastAsia" w:ascii="Times New Roman" w:hAnsi="Times New Roman" w:eastAsia="宋体" w:cs="Times New Roman"/>
                <w:color w:val="auto"/>
                <w:spacing w:val="0"/>
                <w:sz w:val="21"/>
                <w:highlight w:val="none"/>
                <w:lang w:eastAsia="zh-CN"/>
              </w:rPr>
              <w:t>推广</w:t>
            </w:r>
            <w:r>
              <w:rPr>
                <w:rFonts w:hint="eastAsia" w:ascii="Times New Roman" w:hAnsi="Times New Roman" w:eastAsia="宋体" w:cs="Times New Roman"/>
                <w:color w:val="auto"/>
                <w:spacing w:val="0"/>
                <w:sz w:val="21"/>
                <w:highlight w:val="none"/>
              </w:rPr>
              <w:t>应用，建成国内重要的氢能产业发展高地。</w:t>
            </w:r>
          </w:p>
        </w:tc>
        <w:tc>
          <w:tcPr>
            <w:tcW w:w="2792" w:type="dxa"/>
            <w:noWrap w:val="0"/>
            <w:vAlign w:val="center"/>
          </w:tcPr>
          <w:p w14:paraId="6E09AB4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rPr>
            </w:pPr>
            <w:r>
              <w:rPr>
                <w:rFonts w:hint="default" w:ascii="Times New Roman" w:hAnsi="Times New Roman" w:eastAsia="宋体" w:cs="Times New Roman"/>
                <w:color w:val="auto"/>
                <w:spacing w:val="0"/>
                <w:sz w:val="21"/>
                <w:highlight w:val="none"/>
                <w:lang w:val="en-US" w:eastAsia="zh-CN"/>
              </w:rPr>
              <w:t>本项目</w:t>
            </w:r>
            <w:r>
              <w:rPr>
                <w:rFonts w:hint="eastAsia" w:ascii="Times New Roman" w:hAnsi="Times New Roman" w:eastAsia="宋体" w:cs="Times New Roman"/>
                <w:color w:val="auto"/>
                <w:spacing w:val="0"/>
                <w:sz w:val="21"/>
                <w:highlight w:val="none"/>
                <w:lang w:val="en-US" w:eastAsia="zh-CN"/>
              </w:rPr>
              <w:t>为氢基能源生产项目，使用生物质沼气制氢，可推动氢能产业发展</w:t>
            </w:r>
          </w:p>
        </w:tc>
        <w:tc>
          <w:tcPr>
            <w:tcW w:w="1349" w:type="dxa"/>
            <w:noWrap w:val="0"/>
            <w:vAlign w:val="center"/>
          </w:tcPr>
          <w:p w14:paraId="353109D3">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57995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349104E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企业实力明显提升。在氢制备、氢储运、加氢站、燃料电池等重点环节，引进培育一批拥有自主知识产权、核心竞争力强的龙头企业。培育10家以上专精特新</w:t>
            </w:r>
            <w:r>
              <w:rPr>
                <w:rFonts w:hint="eastAsia" w:ascii="Times New Roman" w:hAnsi="Times New Roman"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小巨人</w:t>
            </w:r>
            <w:r>
              <w:rPr>
                <w:rFonts w:hint="eastAsia" w:ascii="Times New Roman" w:hAnsi="Times New Roman"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企业，力争培育1家以上独角兽企业。</w:t>
            </w:r>
          </w:p>
        </w:tc>
        <w:tc>
          <w:tcPr>
            <w:tcW w:w="2792" w:type="dxa"/>
            <w:noWrap w:val="0"/>
            <w:vAlign w:val="center"/>
          </w:tcPr>
          <w:p w14:paraId="61C68EB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企业建设氢制备、储运、加氢、光电充为一体的合建站。具有自主知识产权，核心竞争力强</w:t>
            </w:r>
          </w:p>
        </w:tc>
        <w:tc>
          <w:tcPr>
            <w:tcW w:w="1349" w:type="dxa"/>
            <w:noWrap w:val="0"/>
            <w:vAlign w:val="center"/>
          </w:tcPr>
          <w:p w14:paraId="197FDE3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73BE5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793CDECE">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eastAsia="zh-CN"/>
              </w:rPr>
            </w:pPr>
            <w:r>
              <w:rPr>
                <w:rFonts w:hint="eastAsia" w:ascii="Times New Roman" w:hAnsi="Times New Roman" w:eastAsia="宋体" w:cs="Times New Roman"/>
                <w:color w:val="auto"/>
                <w:spacing w:val="0"/>
                <w:sz w:val="21"/>
                <w:highlight w:val="none"/>
              </w:rPr>
              <w:t>在交通运输、工业、电力调峰等领域试点应用取得明显成效，初步形成与燃料电池汽车等示范推广相协调的氢能基础设施和储运体系</w:t>
            </w:r>
            <w:r>
              <w:rPr>
                <w:rFonts w:hint="eastAsia" w:ascii="Times New Roman" w:hAnsi="Times New Roman" w:eastAsia="宋体" w:cs="Times New Roman"/>
                <w:color w:val="auto"/>
                <w:spacing w:val="0"/>
                <w:sz w:val="21"/>
                <w:highlight w:val="none"/>
                <w:lang w:eastAsia="zh-CN"/>
              </w:rPr>
              <w:t>。</w:t>
            </w:r>
          </w:p>
        </w:tc>
        <w:tc>
          <w:tcPr>
            <w:tcW w:w="2792" w:type="dxa"/>
            <w:noWrap w:val="0"/>
            <w:vAlign w:val="center"/>
          </w:tcPr>
          <w:p w14:paraId="629C6BA2">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企业建设氢制备、储运、加氢、光电充为一体的合建站。可应用于交通运输领域</w:t>
            </w:r>
          </w:p>
        </w:tc>
        <w:tc>
          <w:tcPr>
            <w:tcW w:w="1349" w:type="dxa"/>
            <w:noWrap w:val="0"/>
            <w:vAlign w:val="center"/>
          </w:tcPr>
          <w:p w14:paraId="60BED32F">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012B6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6066CCD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支持油氢、气氢、电氢等混合建站模式，鼓励支持有能力、有基础的企业利用自有加油、加气站点网络改扩建成具有加氢功能的能源合建站。对现有加油</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气</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站红线范围内改</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扩</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建加氢设施但不新增建</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构</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筑物，可不再办理建设用地规划许可证</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在取得安全、消防、环保等相关部门同意后，可不再办理建设工程规划许可证</w:t>
            </w:r>
          </w:p>
        </w:tc>
        <w:tc>
          <w:tcPr>
            <w:tcW w:w="2792" w:type="dxa"/>
            <w:noWrap w:val="0"/>
            <w:vAlign w:val="center"/>
          </w:tcPr>
          <w:p w14:paraId="5F2648B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本项目为油氢混合建站模式，为新建项目。</w:t>
            </w:r>
          </w:p>
        </w:tc>
        <w:tc>
          <w:tcPr>
            <w:tcW w:w="1349" w:type="dxa"/>
            <w:noWrap w:val="0"/>
            <w:vAlign w:val="center"/>
          </w:tcPr>
          <w:p w14:paraId="5A14AD06">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71715904">
      <w:pPr>
        <w:numPr>
          <w:ilvl w:val="0"/>
          <w:numId w:val="2"/>
        </w:numPr>
        <w:bidi w:val="0"/>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与《安徽省氢能产业发展中长期规划》符合性分析</w:t>
      </w:r>
    </w:p>
    <w:p w14:paraId="5C4D6D6B">
      <w:pPr>
        <w:pStyle w:val="549"/>
        <w:bidi w:val="0"/>
        <w:rPr>
          <w:rFonts w:hint="default"/>
          <w:color w:val="auto"/>
          <w:highlight w:val="none"/>
          <w:lang w:val="en-US" w:eastAsia="zh-CN"/>
        </w:rPr>
      </w:pPr>
      <w:r>
        <w:rPr>
          <w:rFonts w:hint="eastAsia"/>
          <w:color w:val="auto"/>
          <w:highlight w:val="none"/>
          <w:lang w:val="en-US" w:eastAsia="zh-CN"/>
        </w:rPr>
        <w:t>表2.5.3-6  项目与</w:t>
      </w:r>
      <w:r>
        <w:rPr>
          <w:rFonts w:hint="eastAsia" w:ascii="Times New Roman" w:hAnsi="Times New Roman" w:eastAsia="宋体" w:cs="Times New Roman"/>
          <w:b/>
          <w:bCs/>
          <w:color w:val="auto"/>
          <w:sz w:val="24"/>
          <w:szCs w:val="24"/>
          <w:highlight w:val="none"/>
          <w:lang w:val="en-US" w:eastAsia="zh-CN"/>
        </w:rPr>
        <w:t>《安徽省氢能产业发展中长期规划》</w:t>
      </w:r>
      <w:r>
        <w:rPr>
          <w:rFonts w:hint="eastAsia"/>
          <w:color w:val="auto"/>
          <w:highlight w:val="none"/>
          <w:lang w:val="en-US" w:eastAsia="zh-CN"/>
        </w:rPr>
        <w:t>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11"/>
        <w:gridCol w:w="2641"/>
        <w:gridCol w:w="1270"/>
      </w:tblGrid>
      <w:tr w14:paraId="3519F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5019F180">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2792" w:type="dxa"/>
            <w:noWrap w:val="0"/>
            <w:vAlign w:val="center"/>
          </w:tcPr>
          <w:p w14:paraId="67E3A755">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013CEB6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506C9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65BCB2A6">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到2025年，在可再生能源电解水制氢、氢的纯化与分离、储氢装备及材料、燃料电池电堆及核心零部件等领域突破一批关键技术，建成10个以上国家级和省级创新平台。在氢制备氢储运、加氢站、燃料电池等重点环节，引进培育一批拥有自主知识产权、核心竞争力强的龙头企业。形成以工业副产制氢为主体，可再生能源电解水制氢为重点的氢源实现途径。开展在交通运输、储能等领域试点应用。初步形成与燃料电池汽车等示范推广相协调的氢能基础设施和储运体系。力争燃料电池系统产能达到10000台1年，燃料电池整车产能达到5000辆/年加氢站</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包括合建站</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数量达到30座，氢能产业总产值达到500亿元。</w:t>
            </w:r>
          </w:p>
        </w:tc>
        <w:tc>
          <w:tcPr>
            <w:tcW w:w="2792" w:type="dxa"/>
            <w:noWrap w:val="0"/>
            <w:vAlign w:val="center"/>
          </w:tcPr>
          <w:p w14:paraId="08BA1EEE">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rPr>
            </w:pPr>
            <w:r>
              <w:rPr>
                <w:rFonts w:hint="default" w:ascii="Times New Roman" w:hAnsi="Times New Roman" w:eastAsia="宋体" w:cs="Times New Roman"/>
                <w:color w:val="auto"/>
                <w:spacing w:val="0"/>
                <w:sz w:val="21"/>
                <w:highlight w:val="none"/>
                <w:lang w:val="en-US" w:eastAsia="zh-CN"/>
              </w:rPr>
              <w:t>本项目</w:t>
            </w:r>
            <w:r>
              <w:rPr>
                <w:rFonts w:hint="eastAsia" w:ascii="Times New Roman" w:hAnsi="Times New Roman" w:eastAsia="宋体" w:cs="Times New Roman"/>
                <w:color w:val="auto"/>
                <w:spacing w:val="0"/>
                <w:sz w:val="21"/>
                <w:highlight w:val="none"/>
                <w:lang w:val="en-US" w:eastAsia="zh-CN"/>
              </w:rPr>
              <w:t>为氢基能源生产项目，使用生物质沼气制氢，可推动氢能产业发展，建设氢制备、储运、加氢站、光电充为一体的合建站，可年产氢气</w:t>
            </w:r>
            <w:r>
              <w:rPr>
                <w:rFonts w:hint="eastAsia" w:ascii="Times New Roman" w:hAnsi="Times New Roman" w:cs="Times New Roman"/>
                <w:color w:val="auto"/>
                <w:spacing w:val="0"/>
                <w:sz w:val="21"/>
                <w:highlight w:val="none"/>
                <w:lang w:val="en-US" w:eastAsia="zh-CN"/>
              </w:rPr>
              <w:t>1080</w:t>
            </w:r>
            <w:r>
              <w:rPr>
                <w:rFonts w:hint="eastAsia" w:ascii="Times New Roman" w:hAnsi="Times New Roman" w:eastAsia="宋体" w:cs="Times New Roman"/>
                <w:color w:val="auto"/>
                <w:spacing w:val="0"/>
                <w:sz w:val="21"/>
                <w:highlight w:val="none"/>
                <w:lang w:val="en-US" w:eastAsia="zh-CN"/>
              </w:rPr>
              <w:t>万Nm³</w:t>
            </w:r>
          </w:p>
        </w:tc>
        <w:tc>
          <w:tcPr>
            <w:tcW w:w="1349" w:type="dxa"/>
            <w:noWrap w:val="0"/>
            <w:vAlign w:val="center"/>
          </w:tcPr>
          <w:p w14:paraId="08325FD9">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27AF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7C02FA26">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2021-2025年，充分发挥产业优势，以工业副产制氢和煤制氢为主，大力发展氢提纯技术，积极开展可再生能源电解水制氢示范，探索低碳、低成本制氢实现路径。2026-2035年大力推进规模化可再生能源电解水制氢和清洁煤制氢的应用，建立清洁、高效、低成本的氢源供给体系。</w:t>
            </w:r>
          </w:p>
        </w:tc>
        <w:tc>
          <w:tcPr>
            <w:tcW w:w="2792" w:type="dxa"/>
            <w:noWrap w:val="0"/>
            <w:vAlign w:val="center"/>
          </w:tcPr>
          <w:p w14:paraId="2551033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本项目使用生物质沼气制氢，为可再生清洁能源</w:t>
            </w:r>
          </w:p>
        </w:tc>
        <w:tc>
          <w:tcPr>
            <w:tcW w:w="1349" w:type="dxa"/>
            <w:noWrap w:val="0"/>
            <w:vAlign w:val="center"/>
          </w:tcPr>
          <w:p w14:paraId="16DC7AE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6667D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6AD0166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2021-2025年，主要以高压气态储氢、长管拖车运氢为主</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开展低温液态储运、有机液体储运以及固态储运技术研究，2026-2035年，推进建立以气态到多相态</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低温液态、固态有机氢载体等</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、低压到高压的多种储氢技术相互协同的储氢体系。实现高压长管拖车、液氢槽罐车、管道等多种运氢方式有机结合，建立多元化、高效、智能氢气输送网络商业化运营体系，针对不同市场、区域同步发展。</w:t>
            </w:r>
          </w:p>
        </w:tc>
        <w:tc>
          <w:tcPr>
            <w:tcW w:w="2792" w:type="dxa"/>
            <w:noWrap w:val="0"/>
            <w:vAlign w:val="center"/>
          </w:tcPr>
          <w:p w14:paraId="5C60CE26">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项目以</w:t>
            </w:r>
            <w:r>
              <w:rPr>
                <w:rFonts w:hint="eastAsia" w:ascii="Times New Roman" w:hAnsi="Times New Roman" w:eastAsia="宋体" w:cs="Times New Roman"/>
                <w:color w:val="auto"/>
                <w:spacing w:val="0"/>
                <w:sz w:val="21"/>
                <w:highlight w:val="none"/>
              </w:rPr>
              <w:t>高压气态储氢</w:t>
            </w:r>
            <w:r>
              <w:rPr>
                <w:rFonts w:hint="eastAsia" w:ascii="Times New Roman" w:hAnsi="Times New Roman" w:eastAsia="宋体" w:cs="Times New Roman"/>
                <w:color w:val="auto"/>
                <w:spacing w:val="0"/>
                <w:sz w:val="21"/>
                <w:highlight w:val="none"/>
                <w:lang w:val="en-US" w:eastAsia="zh-CN"/>
              </w:rPr>
              <w:t>为主</w:t>
            </w:r>
            <w:r>
              <w:rPr>
                <w:rFonts w:hint="eastAsia" w:ascii="Times New Roman" w:hAnsi="Times New Roman" w:eastAsia="宋体" w:cs="Times New Roman"/>
                <w:color w:val="auto"/>
                <w:spacing w:val="0"/>
                <w:sz w:val="21"/>
                <w:highlight w:val="none"/>
              </w:rPr>
              <w:t>、长管拖车运氢为</w:t>
            </w:r>
            <w:r>
              <w:rPr>
                <w:rFonts w:hint="eastAsia" w:ascii="Times New Roman" w:hAnsi="Times New Roman" w:eastAsia="宋体" w:cs="Times New Roman"/>
                <w:color w:val="auto"/>
                <w:spacing w:val="0"/>
                <w:sz w:val="21"/>
                <w:highlight w:val="none"/>
                <w:lang w:val="en-US" w:eastAsia="zh-CN"/>
              </w:rPr>
              <w:t>辅</w:t>
            </w:r>
          </w:p>
        </w:tc>
        <w:tc>
          <w:tcPr>
            <w:tcW w:w="1349" w:type="dxa"/>
            <w:noWrap w:val="0"/>
            <w:vAlign w:val="center"/>
          </w:tcPr>
          <w:p w14:paraId="08E0BF84">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0DC44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3A25301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2021-2025年，加氢站建设以技术成熟度较高的气氢加氢站为主，供氢压力等级采用35MPa和70MPa，单个加氢站储氢容量不低于500kg，开展加氢、加油、加气、充电多站合一示范站。2026-2035年，实现加氢站网络基本覆盖全省，在继续发展气氢加氢站的同时，推行储氢容量更大的液氢加氢站，积极探索站内制氢方式，新建加氢站的储氢容量力争不低于1000kg.</w:t>
            </w:r>
          </w:p>
        </w:tc>
        <w:tc>
          <w:tcPr>
            <w:tcW w:w="2792" w:type="dxa"/>
            <w:noWrap w:val="0"/>
            <w:vAlign w:val="center"/>
          </w:tcPr>
          <w:p w14:paraId="364EFDCD">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本项目为氢制备、储运、加氢、光电充为一体的合建站，可年产氢气1080万Nm</w:t>
            </w:r>
            <w:r>
              <w:rPr>
                <w:rFonts w:hint="eastAsia" w:ascii="Times New Roman" w:hAnsi="Times New Roman" w:eastAsia="宋体" w:cs="Times New Roman"/>
                <w:color w:val="auto"/>
                <w:spacing w:val="0"/>
                <w:sz w:val="21"/>
                <w:highlight w:val="none"/>
                <w:vertAlign w:val="superscript"/>
                <w:lang w:val="en-US" w:eastAsia="zh-CN"/>
              </w:rPr>
              <w:t>3</w:t>
            </w:r>
            <w:r>
              <w:rPr>
                <w:rFonts w:hint="eastAsia" w:ascii="Times New Roman" w:hAnsi="Times New Roman" w:eastAsia="宋体" w:cs="Times New Roman"/>
                <w:color w:val="auto"/>
                <w:spacing w:val="0"/>
                <w:sz w:val="21"/>
                <w:highlight w:val="none"/>
                <w:lang w:val="en-US" w:eastAsia="zh-CN"/>
              </w:rPr>
              <w:t>项目供氢压力等级为35MPa，单个加氢站储氢容量为1t</w:t>
            </w:r>
          </w:p>
        </w:tc>
        <w:tc>
          <w:tcPr>
            <w:tcW w:w="1349" w:type="dxa"/>
            <w:noWrap w:val="0"/>
            <w:vAlign w:val="center"/>
          </w:tcPr>
          <w:p w14:paraId="76104347">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1AB09A4E">
      <w:pPr>
        <w:keepNext w:val="0"/>
        <w:keepLines w:val="0"/>
        <w:widowControl/>
        <w:suppressLineNumbers w:val="0"/>
        <w:spacing w:line="360" w:lineRule="auto"/>
        <w:jc w:val="left"/>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（6）与《关于印发安徽省加氢站管理办法（暂行）的通知》皖发改产业规〔2025〕2号符合性分析</w:t>
      </w:r>
    </w:p>
    <w:p w14:paraId="6F2A43A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olor w:val="auto"/>
          <w:highlight w:val="none"/>
          <w:lang w:val="en-US" w:eastAsia="zh-CN"/>
        </w:rPr>
        <w:t>2025年2月11日，</w:t>
      </w:r>
      <w:r>
        <w:rPr>
          <w:rFonts w:hint="default" w:ascii="Times New Roman" w:hAnsi="Times New Roman" w:eastAsia="宋体" w:cs="Times New Roman"/>
          <w:b w:val="0"/>
          <w:color w:val="auto"/>
          <w:kern w:val="2"/>
          <w:sz w:val="24"/>
          <w:szCs w:val="20"/>
          <w:highlight w:val="none"/>
          <w:lang w:val="en-US" w:eastAsia="zh-CN" w:bidi="ar-SA"/>
        </w:rPr>
        <w:t>安徽省发展和改革委员会</w:t>
      </w:r>
      <w:r>
        <w:rPr>
          <w:rFonts w:hint="eastAsia" w:ascii="Times New Roman" w:hAnsi="Times New Roman" w:eastAsia="宋体" w:cs="Times New Roman"/>
          <w:b w:val="0"/>
          <w:color w:val="auto"/>
          <w:kern w:val="2"/>
          <w:sz w:val="24"/>
          <w:szCs w:val="20"/>
          <w:highlight w:val="none"/>
          <w:lang w:val="en-US" w:eastAsia="zh-CN" w:bidi="ar-SA"/>
        </w:rPr>
        <w:t>发布</w:t>
      </w:r>
      <w:r>
        <w:rPr>
          <w:rFonts w:hint="eastAsia" w:ascii="Times New Roman" w:hAnsi="Times New Roman" w:eastAsia="宋体" w:cs="Times New Roman"/>
          <w:b w:val="0"/>
          <w:bCs w:val="0"/>
          <w:color w:val="auto"/>
          <w:sz w:val="24"/>
          <w:szCs w:val="24"/>
          <w:highlight w:val="none"/>
          <w:lang w:val="en-US" w:eastAsia="zh-CN"/>
        </w:rPr>
        <w:t>《关于印发安徽省加氢站管理办法（暂行）的通知》皖发改产业规〔2025〕2号，项目与《关于印发安徽省加氢站管理办法（暂行）的通知》皖发改产业规〔2025〕2号符合性分析如下。</w:t>
      </w:r>
    </w:p>
    <w:p w14:paraId="252A88AD">
      <w:pPr>
        <w:pStyle w:val="549"/>
        <w:bidi w:val="0"/>
        <w:rPr>
          <w:rFonts w:hint="default"/>
          <w:color w:val="auto"/>
          <w:highlight w:val="none"/>
          <w:lang w:val="en-US" w:eastAsia="zh-CN"/>
        </w:rPr>
      </w:pPr>
      <w:r>
        <w:rPr>
          <w:rFonts w:hint="eastAsia"/>
          <w:color w:val="auto"/>
          <w:highlight w:val="none"/>
          <w:lang w:val="en-US" w:eastAsia="zh-CN"/>
        </w:rPr>
        <w:t>表2.5.3-7  项目与</w:t>
      </w:r>
      <w:r>
        <w:rPr>
          <w:rFonts w:hint="eastAsia" w:ascii="Times New Roman" w:hAnsi="Times New Roman" w:eastAsia="宋体" w:cs="Times New Roman"/>
          <w:b/>
          <w:bCs/>
          <w:color w:val="auto"/>
          <w:sz w:val="24"/>
          <w:szCs w:val="24"/>
          <w:highlight w:val="none"/>
          <w:lang w:val="en-US" w:eastAsia="zh-CN"/>
        </w:rPr>
        <w:t>《关于印发安徽省加氢站管理办法（暂行）的通知》</w:t>
      </w:r>
      <w:r>
        <w:rPr>
          <w:rFonts w:hint="eastAsia"/>
          <w:color w:val="auto"/>
          <w:highlight w:val="none"/>
          <w:lang w:val="en-US" w:eastAsia="zh-CN"/>
        </w:rPr>
        <w:t>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2634"/>
        <w:gridCol w:w="1245"/>
      </w:tblGrid>
      <w:tr w14:paraId="23A93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5808B20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2792" w:type="dxa"/>
            <w:noWrap w:val="0"/>
            <w:vAlign w:val="center"/>
          </w:tcPr>
          <w:p w14:paraId="62412AE0">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2293675D">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1393E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126D9748">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省发展改革委会同省住房城乡建设、自然资源、应急管理、交通运输、商务、能源等部门，指导各市、县</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区</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按照</w:t>
            </w:r>
            <w:r>
              <w:rPr>
                <w:rFonts w:hint="eastAsia" w:ascii="Times New Roman" w:hAnsi="Times New Roman"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以需定供、适度超前、循序渐进</w:t>
            </w:r>
            <w:r>
              <w:rPr>
                <w:rFonts w:hint="eastAsia" w:ascii="Times New Roman" w:hAnsi="Times New Roman"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原则，结合氢能应用示范实际用能需求，综合考虑加油站、加气站以及充换电设施的分布，合理规划布局加氢站建设</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包括新建、改建、扩建</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，并做好与本地区国土空间总体规划衔接</w:t>
            </w:r>
          </w:p>
        </w:tc>
        <w:tc>
          <w:tcPr>
            <w:tcW w:w="2792" w:type="dxa"/>
            <w:noWrap w:val="0"/>
            <w:vAlign w:val="center"/>
          </w:tcPr>
          <w:p w14:paraId="687C66C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本项目为氢制备、储运、加氢站、光电充为一体的合建站，项目为新建项目。根据</w:t>
            </w:r>
            <w:r>
              <w:rPr>
                <w:b w:val="0"/>
                <w:bCs w:val="0"/>
                <w:color w:val="auto"/>
                <w:sz w:val="24"/>
                <w:szCs w:val="24"/>
                <w:highlight w:val="none"/>
              </w:rPr>
              <w:t>《</w:t>
            </w:r>
            <w:r>
              <w:rPr>
                <w:rFonts w:hint="eastAsia" w:ascii="Times New Roman" w:hAnsi="Times New Roman" w:eastAsia="宋体" w:cs="Times New Roman"/>
                <w:b w:val="0"/>
                <w:bCs w:val="0"/>
                <w:color w:val="auto"/>
                <w:highlight w:val="none"/>
                <w:lang w:eastAsia="zh-CN"/>
              </w:rPr>
              <w:t>淮南市</w:t>
            </w:r>
            <w:r>
              <w:rPr>
                <w:rFonts w:hint="eastAsia" w:ascii="Times New Roman" w:hAnsi="Times New Roman" w:eastAsia="宋体" w:cs="Times New Roman"/>
                <w:b w:val="0"/>
                <w:bCs w:val="0"/>
                <w:color w:val="auto"/>
                <w:highlight w:val="none"/>
                <w:lang w:val="en-US" w:eastAsia="zh-CN"/>
              </w:rPr>
              <w:t>曹庵镇总体规划</w:t>
            </w:r>
            <w:r>
              <w:rPr>
                <w:rFonts w:hint="eastAsia" w:ascii="Times New Roman" w:hAnsi="Times New Roman" w:eastAsia="宋体" w:cs="Times New Roman"/>
                <w:b w:val="0"/>
                <w:bCs w:val="0"/>
                <w:color w:val="auto"/>
                <w:highlight w:val="none"/>
                <w:lang w:eastAsia="zh-CN"/>
              </w:rPr>
              <w:t>（20</w:t>
            </w:r>
            <w:r>
              <w:rPr>
                <w:rFonts w:hint="eastAsia" w:ascii="Times New Roman" w:hAnsi="Times New Roman" w:eastAsia="宋体" w:cs="Times New Roman"/>
                <w:b w:val="0"/>
                <w:bCs w:val="0"/>
                <w:color w:val="auto"/>
                <w:highlight w:val="none"/>
                <w:lang w:val="en-US" w:eastAsia="zh-CN"/>
              </w:rPr>
              <w:t>16</w:t>
            </w:r>
            <w:r>
              <w:rPr>
                <w:rFonts w:hint="eastAsia" w:ascii="Times New Roman" w:hAnsi="Times New Roman" w:eastAsia="宋体" w:cs="Times New Roman"/>
                <w:b w:val="0"/>
                <w:bCs w:val="0"/>
                <w:color w:val="auto"/>
                <w:highlight w:val="none"/>
                <w:lang w:eastAsia="zh-CN"/>
              </w:rPr>
              <w:t>-203</w:t>
            </w:r>
            <w:r>
              <w:rPr>
                <w:rFonts w:hint="eastAsia" w:ascii="Times New Roman" w:hAnsi="Times New Roman" w:eastAsia="宋体" w:cs="Times New Roman"/>
                <w:b w:val="0"/>
                <w:bCs w:val="0"/>
                <w:color w:val="auto"/>
                <w:highlight w:val="none"/>
                <w:lang w:val="en-US" w:eastAsia="zh-CN"/>
              </w:rPr>
              <w:t>0</w:t>
            </w:r>
            <w:r>
              <w:rPr>
                <w:rFonts w:hint="eastAsia" w:ascii="Times New Roman" w:hAnsi="Times New Roman" w:eastAsia="宋体" w:cs="Times New Roman"/>
                <w:b w:val="0"/>
                <w:bCs w:val="0"/>
                <w:color w:val="auto"/>
                <w:highlight w:val="none"/>
                <w:lang w:eastAsia="zh-CN"/>
              </w:rPr>
              <w:t>年）</w:t>
            </w:r>
            <w:r>
              <w:rPr>
                <w:b w:val="0"/>
                <w:bCs w:val="0"/>
                <w:color w:val="auto"/>
                <w:sz w:val="24"/>
                <w:szCs w:val="24"/>
                <w:highlight w:val="none"/>
              </w:rPr>
              <w:t>》</w:t>
            </w:r>
            <w:r>
              <w:rPr>
                <w:rFonts w:hint="default" w:ascii="Times New Roman" w:hAnsi="Times New Roman" w:eastAsia="宋体" w:cs="Times New Roman"/>
                <w:color w:val="auto"/>
                <w:spacing w:val="0"/>
                <w:sz w:val="21"/>
                <w:highlight w:val="none"/>
              </w:rPr>
              <w:t>，本项目</w:t>
            </w:r>
            <w:r>
              <w:rPr>
                <w:rFonts w:hint="eastAsia" w:ascii="Times New Roman" w:hAnsi="Times New Roman" w:eastAsia="宋体" w:cs="Times New Roman"/>
                <w:color w:val="auto"/>
                <w:spacing w:val="0"/>
                <w:sz w:val="21"/>
                <w:highlight w:val="none"/>
                <w:lang w:val="en-US" w:eastAsia="zh-CN"/>
              </w:rPr>
              <w:t>位于适建区。</w:t>
            </w:r>
          </w:p>
        </w:tc>
        <w:tc>
          <w:tcPr>
            <w:tcW w:w="1349" w:type="dxa"/>
            <w:noWrap w:val="0"/>
            <w:vAlign w:val="center"/>
          </w:tcPr>
          <w:p w14:paraId="077C9F4C">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6DC5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31EB1E14">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允许在满足安全生产条件的非化工园区建设可再生能源制氢加氢一体站、氢电融合清洁能源综合能源供给站，在依法依规的前提下，不需办理危险化学品安全生产许可</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应在化工园区建设的项目除外</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。各地加氢站规划布局，应符合生态环境分区管控要求，不得在饮用水源保护区、风景名胜区等环境敏感区域内建设。</w:t>
            </w:r>
          </w:p>
        </w:tc>
        <w:tc>
          <w:tcPr>
            <w:tcW w:w="2792" w:type="dxa"/>
            <w:noWrap w:val="0"/>
            <w:vAlign w:val="center"/>
          </w:tcPr>
          <w:p w14:paraId="3D8E80F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本项目位于淮南市田家庵经济开发区，位于</w:t>
            </w:r>
            <w:r>
              <w:rPr>
                <w:b w:val="0"/>
                <w:bCs w:val="0"/>
                <w:color w:val="auto"/>
                <w:sz w:val="24"/>
                <w:szCs w:val="24"/>
                <w:highlight w:val="none"/>
              </w:rPr>
              <w:t>《</w:t>
            </w:r>
            <w:r>
              <w:rPr>
                <w:rFonts w:hint="eastAsia" w:ascii="Times New Roman" w:hAnsi="Times New Roman" w:eastAsia="宋体" w:cs="Times New Roman"/>
                <w:b w:val="0"/>
                <w:bCs w:val="0"/>
                <w:color w:val="auto"/>
                <w:highlight w:val="none"/>
                <w:lang w:eastAsia="zh-CN"/>
              </w:rPr>
              <w:t>淮南市</w:t>
            </w:r>
            <w:r>
              <w:rPr>
                <w:rFonts w:hint="eastAsia" w:ascii="Times New Roman" w:hAnsi="Times New Roman" w:eastAsia="宋体" w:cs="Times New Roman"/>
                <w:b w:val="0"/>
                <w:bCs w:val="0"/>
                <w:color w:val="auto"/>
                <w:highlight w:val="none"/>
                <w:lang w:val="en-US" w:eastAsia="zh-CN"/>
              </w:rPr>
              <w:t>曹庵镇总体规划</w:t>
            </w:r>
            <w:r>
              <w:rPr>
                <w:rFonts w:hint="eastAsia" w:ascii="Times New Roman" w:hAnsi="Times New Roman" w:eastAsia="宋体" w:cs="Times New Roman"/>
                <w:b w:val="0"/>
                <w:bCs w:val="0"/>
                <w:color w:val="auto"/>
                <w:highlight w:val="none"/>
                <w:lang w:eastAsia="zh-CN"/>
              </w:rPr>
              <w:t>（20</w:t>
            </w:r>
            <w:r>
              <w:rPr>
                <w:rFonts w:hint="eastAsia" w:ascii="Times New Roman" w:hAnsi="Times New Roman" w:eastAsia="宋体" w:cs="Times New Roman"/>
                <w:b w:val="0"/>
                <w:bCs w:val="0"/>
                <w:color w:val="auto"/>
                <w:highlight w:val="none"/>
                <w:lang w:val="en-US" w:eastAsia="zh-CN"/>
              </w:rPr>
              <w:t>16</w:t>
            </w:r>
            <w:r>
              <w:rPr>
                <w:rFonts w:hint="eastAsia" w:ascii="Times New Roman" w:hAnsi="Times New Roman" w:eastAsia="宋体" w:cs="Times New Roman"/>
                <w:b w:val="0"/>
                <w:bCs w:val="0"/>
                <w:color w:val="auto"/>
                <w:highlight w:val="none"/>
                <w:lang w:eastAsia="zh-CN"/>
              </w:rPr>
              <w:t>-203</w:t>
            </w:r>
            <w:r>
              <w:rPr>
                <w:rFonts w:hint="eastAsia" w:ascii="Times New Roman" w:hAnsi="Times New Roman" w:eastAsia="宋体" w:cs="Times New Roman"/>
                <w:b w:val="0"/>
                <w:bCs w:val="0"/>
                <w:color w:val="auto"/>
                <w:highlight w:val="none"/>
                <w:lang w:val="en-US" w:eastAsia="zh-CN"/>
              </w:rPr>
              <w:t>0</w:t>
            </w:r>
            <w:r>
              <w:rPr>
                <w:rFonts w:hint="eastAsia" w:ascii="Times New Roman" w:hAnsi="Times New Roman" w:eastAsia="宋体" w:cs="Times New Roman"/>
                <w:b w:val="0"/>
                <w:bCs w:val="0"/>
                <w:color w:val="auto"/>
                <w:highlight w:val="none"/>
                <w:lang w:eastAsia="zh-CN"/>
              </w:rPr>
              <w:t>年）</w:t>
            </w:r>
            <w:r>
              <w:rPr>
                <w:b w:val="0"/>
                <w:bCs w:val="0"/>
                <w:color w:val="auto"/>
                <w:sz w:val="24"/>
                <w:szCs w:val="24"/>
                <w:highlight w:val="none"/>
              </w:rPr>
              <w:t>》</w:t>
            </w:r>
            <w:r>
              <w:rPr>
                <w:rFonts w:hint="eastAsia" w:ascii="Times New Roman" w:hAnsi="Times New Roman" w:eastAsia="宋体" w:cs="Times New Roman"/>
                <w:color w:val="auto"/>
                <w:spacing w:val="0"/>
                <w:sz w:val="21"/>
                <w:highlight w:val="none"/>
                <w:lang w:val="en-US" w:eastAsia="zh-CN"/>
              </w:rPr>
              <w:t>中适建区，项目符合生态环境分区管控要求，不在</w:t>
            </w:r>
            <w:r>
              <w:rPr>
                <w:rFonts w:hint="eastAsia" w:ascii="Times New Roman" w:hAnsi="Times New Roman" w:eastAsia="宋体" w:cs="Times New Roman"/>
                <w:color w:val="auto"/>
                <w:spacing w:val="0"/>
                <w:sz w:val="21"/>
                <w:highlight w:val="none"/>
              </w:rPr>
              <w:t>饮用水源保护区、风景名胜区等环境敏感区域内</w:t>
            </w:r>
          </w:p>
        </w:tc>
        <w:tc>
          <w:tcPr>
            <w:tcW w:w="1349" w:type="dxa"/>
            <w:noWrap w:val="0"/>
            <w:vAlign w:val="center"/>
          </w:tcPr>
          <w:p w14:paraId="02739528">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34648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26231242">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经营性加氢站建设用地原则上为商业用地</w:t>
            </w:r>
          </w:p>
        </w:tc>
        <w:tc>
          <w:tcPr>
            <w:tcW w:w="2792" w:type="dxa"/>
            <w:noWrap w:val="0"/>
            <w:vAlign w:val="center"/>
          </w:tcPr>
          <w:p w14:paraId="10A85898">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本项目用地性质为工业用地</w:t>
            </w:r>
          </w:p>
        </w:tc>
        <w:tc>
          <w:tcPr>
            <w:tcW w:w="1349" w:type="dxa"/>
            <w:noWrap w:val="0"/>
            <w:vAlign w:val="center"/>
          </w:tcPr>
          <w:p w14:paraId="471F9BE8">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3838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4958DD9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各市应根据自身实际，合理有序推进本市区域范围内的加氢站建设，在符合相关标准规范和安全条件的前提下，重点支持加油</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气</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站利用现有土地改</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扩</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建加氢设施，建设油、气、氢、电一体化综合能源站。鼓励新布局加油</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气</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、充</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换</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电站同步规划建设加氢设施</w:t>
            </w:r>
          </w:p>
        </w:tc>
        <w:tc>
          <w:tcPr>
            <w:tcW w:w="2792" w:type="dxa"/>
            <w:noWrap w:val="0"/>
            <w:vAlign w:val="center"/>
          </w:tcPr>
          <w:p w14:paraId="17F69F4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项目为新建项目，为油、电、氢一体化综合能源站，同步规划建设加氢设施</w:t>
            </w:r>
          </w:p>
        </w:tc>
        <w:tc>
          <w:tcPr>
            <w:tcW w:w="1349" w:type="dxa"/>
            <w:noWrap w:val="0"/>
            <w:vAlign w:val="center"/>
          </w:tcPr>
          <w:p w14:paraId="3E987CCD">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20152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28C9BA8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加氢站规划、建设、管理等应符合《加氢站通用要求》(GB/T43674-2024</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、《加氢站技术规范》</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GB50516-2021</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、《加氢站安全技术规范》</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GB/T34584-2017</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、《氢气站设计规范》</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GB50177-2005</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、《氢气使用安全技术规程》</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GB4962-2008</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。合建站中的加油</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气</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站应符合《汽车加油加气加氢站技术标准》</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GB50156-2021</w:t>
            </w:r>
            <w:r>
              <w:rPr>
                <w:rFonts w:hint="eastAsia" w:ascii="Times New Roman" w:hAnsi="Times New Roman" w:eastAsia="宋体"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等相关规定，涉及标准规范有修订的，从其规定</w:t>
            </w:r>
          </w:p>
        </w:tc>
        <w:tc>
          <w:tcPr>
            <w:tcW w:w="2792" w:type="dxa"/>
            <w:noWrap w:val="0"/>
            <w:vAlign w:val="center"/>
          </w:tcPr>
          <w:p w14:paraId="258B6D6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项目符合相关要求</w:t>
            </w:r>
          </w:p>
        </w:tc>
        <w:tc>
          <w:tcPr>
            <w:tcW w:w="1349" w:type="dxa"/>
            <w:noWrap w:val="0"/>
            <w:vAlign w:val="center"/>
          </w:tcPr>
          <w:p w14:paraId="672B605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复合</w:t>
            </w:r>
          </w:p>
        </w:tc>
      </w:tr>
      <w:tr w14:paraId="63492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258E4CB8">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加氢站应按项目备案的建设地点、建设规模以及建设内容建设，若发生重大变更或者放弃项目建设，应当按照项目备案有关法律法规和规定及时办理变更等相关手续</w:t>
            </w:r>
          </w:p>
        </w:tc>
        <w:tc>
          <w:tcPr>
            <w:tcW w:w="2792" w:type="dxa"/>
            <w:noWrap w:val="0"/>
            <w:vAlign w:val="center"/>
          </w:tcPr>
          <w:p w14:paraId="121AD8C6">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项目严格按照备案的</w:t>
            </w:r>
            <w:r>
              <w:rPr>
                <w:rFonts w:hint="eastAsia" w:ascii="Times New Roman" w:hAnsi="Times New Roman" w:eastAsia="宋体" w:cs="Times New Roman"/>
                <w:color w:val="auto"/>
                <w:spacing w:val="0"/>
                <w:sz w:val="21"/>
                <w:highlight w:val="none"/>
              </w:rPr>
              <w:t>建设地点、建设规模以及建设内容</w:t>
            </w:r>
            <w:r>
              <w:rPr>
                <w:rFonts w:hint="eastAsia" w:ascii="Times New Roman" w:hAnsi="Times New Roman" w:eastAsia="宋体" w:cs="Times New Roman"/>
                <w:color w:val="auto"/>
                <w:spacing w:val="0"/>
                <w:sz w:val="21"/>
                <w:highlight w:val="none"/>
                <w:lang w:val="en-US" w:eastAsia="zh-CN"/>
              </w:rPr>
              <w:t>进行</w:t>
            </w:r>
            <w:r>
              <w:rPr>
                <w:rFonts w:hint="eastAsia" w:ascii="Times New Roman" w:hAnsi="Times New Roman" w:eastAsia="宋体" w:cs="Times New Roman"/>
                <w:color w:val="auto"/>
                <w:spacing w:val="0"/>
                <w:sz w:val="21"/>
                <w:highlight w:val="none"/>
              </w:rPr>
              <w:t>建设</w:t>
            </w:r>
          </w:p>
        </w:tc>
        <w:tc>
          <w:tcPr>
            <w:tcW w:w="1349" w:type="dxa"/>
            <w:noWrap w:val="0"/>
            <w:vAlign w:val="center"/>
          </w:tcPr>
          <w:p w14:paraId="704D4829">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27E8C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0C6F478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加氢站建设项目设计、施工、监理和安全评价、消防等技术服务机构应当具有相应资质，并对其工作成果负责。承担压力容器、压力管道等特种设备设计、安装的单位，应当持有相应特种设备许可</w:t>
            </w:r>
          </w:p>
        </w:tc>
        <w:tc>
          <w:tcPr>
            <w:tcW w:w="2792" w:type="dxa"/>
            <w:noWrap w:val="0"/>
            <w:vAlign w:val="center"/>
          </w:tcPr>
          <w:p w14:paraId="44007BA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rPr>
              <w:t>加氢站建设项目设计、施工、监理和安全评价、消防等技术服务机构</w:t>
            </w:r>
            <w:r>
              <w:rPr>
                <w:rFonts w:hint="eastAsia" w:ascii="Times New Roman" w:hAnsi="Times New Roman" w:eastAsia="宋体" w:cs="Times New Roman"/>
                <w:color w:val="auto"/>
                <w:spacing w:val="0"/>
                <w:sz w:val="21"/>
                <w:highlight w:val="none"/>
                <w:lang w:val="en-US" w:eastAsia="zh-CN"/>
              </w:rPr>
              <w:t>均</w:t>
            </w:r>
            <w:r>
              <w:rPr>
                <w:rFonts w:hint="eastAsia" w:ascii="Times New Roman" w:hAnsi="Times New Roman" w:eastAsia="宋体" w:cs="Times New Roman"/>
                <w:color w:val="auto"/>
                <w:spacing w:val="0"/>
                <w:sz w:val="21"/>
                <w:highlight w:val="none"/>
              </w:rPr>
              <w:t>具有相应资质</w:t>
            </w:r>
          </w:p>
        </w:tc>
        <w:tc>
          <w:tcPr>
            <w:tcW w:w="1349" w:type="dxa"/>
            <w:noWrap w:val="0"/>
            <w:vAlign w:val="center"/>
          </w:tcPr>
          <w:p w14:paraId="2C6F3FCC">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0C006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37" w:type="dxa"/>
            <w:noWrap w:val="0"/>
            <w:vAlign w:val="center"/>
          </w:tcPr>
          <w:p w14:paraId="32651D8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rPr>
            </w:pPr>
            <w:r>
              <w:rPr>
                <w:rFonts w:hint="eastAsia" w:ascii="Times New Roman" w:hAnsi="Times New Roman" w:eastAsia="宋体" w:cs="Times New Roman"/>
                <w:color w:val="auto"/>
                <w:spacing w:val="0"/>
                <w:sz w:val="21"/>
                <w:highlight w:val="none"/>
              </w:rPr>
              <w:t>加氢站建设项目应当按照《中华人民共和国安全生产法》《中华人民共和国环境影响评价法》的</w:t>
            </w:r>
            <w:r>
              <w:rPr>
                <w:rFonts w:hint="eastAsia" w:ascii="Times New Roman" w:hAnsi="Times New Roman"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三同时</w:t>
            </w:r>
            <w:r>
              <w:rPr>
                <w:rFonts w:hint="eastAsia" w:ascii="Times New Roman" w:hAnsi="Times New Roman" w:cs="Times New Roman"/>
                <w:color w:val="auto"/>
                <w:spacing w:val="0"/>
                <w:sz w:val="21"/>
                <w:highlight w:val="none"/>
                <w:lang w:eastAsia="zh-CN"/>
              </w:rPr>
              <w:t>”</w:t>
            </w:r>
            <w:r>
              <w:rPr>
                <w:rFonts w:hint="eastAsia" w:ascii="Times New Roman" w:hAnsi="Times New Roman" w:eastAsia="宋体" w:cs="Times New Roman"/>
                <w:color w:val="auto"/>
                <w:spacing w:val="0"/>
                <w:sz w:val="21"/>
                <w:highlight w:val="none"/>
              </w:rPr>
              <w:t>要求，其安全设施、污染防治设施必须与主体工程同时设计、同时施工、同时投入生产使用。</w:t>
            </w:r>
          </w:p>
        </w:tc>
        <w:tc>
          <w:tcPr>
            <w:tcW w:w="2792" w:type="dxa"/>
            <w:noWrap w:val="0"/>
            <w:vAlign w:val="center"/>
          </w:tcPr>
          <w:p w14:paraId="24854E4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加氢站严格执行</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三同时</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要求</w:t>
            </w:r>
          </w:p>
        </w:tc>
        <w:tc>
          <w:tcPr>
            <w:tcW w:w="1349" w:type="dxa"/>
            <w:noWrap w:val="0"/>
            <w:vAlign w:val="center"/>
          </w:tcPr>
          <w:p w14:paraId="2E79FE33">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1A571044">
      <w:pPr>
        <w:numPr>
          <w:ilvl w:val="0"/>
          <w:numId w:val="0"/>
        </w:numPr>
        <w:bidi w:val="0"/>
        <w:ind w:leftChars="200"/>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（7）与《加氢站通用要求》</w:t>
      </w:r>
      <w:r>
        <w:rPr>
          <w:rFonts w:hint="eastAsia"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GB/T43674-2024）符合性分析</w:t>
      </w:r>
    </w:p>
    <w:p w14:paraId="777F80D5">
      <w:pPr>
        <w:bidi w:val="0"/>
        <w:rPr>
          <w:rFonts w:hint="eastAsia"/>
          <w:color w:val="auto"/>
          <w:highlight w:val="none"/>
          <w:lang w:val="en-US" w:eastAsia="zh-CN"/>
        </w:rPr>
      </w:pPr>
      <w:r>
        <w:rPr>
          <w:rFonts w:hint="eastAsia"/>
          <w:color w:val="auto"/>
          <w:highlight w:val="none"/>
          <w:lang w:val="en-US" w:eastAsia="zh-CN"/>
        </w:rPr>
        <w:t>本项目与《加氢站通用要求》（GB/T43674-2024）符合性分析见下表。</w:t>
      </w:r>
    </w:p>
    <w:p w14:paraId="59C53E4E">
      <w:pPr>
        <w:pStyle w:val="549"/>
        <w:bidi w:val="0"/>
        <w:rPr>
          <w:rFonts w:hint="default"/>
          <w:color w:val="auto"/>
          <w:highlight w:val="none"/>
          <w:lang w:val="en-US" w:eastAsia="zh-CN"/>
        </w:rPr>
      </w:pPr>
      <w:r>
        <w:rPr>
          <w:rFonts w:hint="eastAsia"/>
          <w:color w:val="auto"/>
          <w:highlight w:val="none"/>
          <w:lang w:val="en-US" w:eastAsia="zh-CN"/>
        </w:rPr>
        <w:t>表2.5.3-8  项目与《加氢站通用要求》（GB/T43674-2024）符合性分析表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2"/>
        <w:gridCol w:w="2774"/>
        <w:gridCol w:w="1276"/>
      </w:tblGrid>
      <w:tr w14:paraId="33814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3E2DFF8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2942" w:type="dxa"/>
            <w:noWrap w:val="0"/>
            <w:vAlign w:val="center"/>
          </w:tcPr>
          <w:p w14:paraId="51BDEC25">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043C07AF">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4D681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34B2DD2E">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按照供氢方式，可分为：站内制氢加氢站、站外供氢加氢站</w:t>
            </w:r>
          </w:p>
          <w:p w14:paraId="66AD3E5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按照运营模式，可分为：自用加氢站、商用加氢站</w:t>
            </w:r>
          </w:p>
          <w:p w14:paraId="27FD8A7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按照服务对象的压力等级，可分为：35MPa等级、70MPa等级</w:t>
            </w:r>
          </w:p>
          <w:p w14:paraId="04633AA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按照主要站内设备的集成方式，可分为：移动式加氢设施、固定式加氢站</w:t>
            </w:r>
          </w:p>
        </w:tc>
        <w:tc>
          <w:tcPr>
            <w:tcW w:w="2942" w:type="dxa"/>
            <w:noWrap w:val="0"/>
            <w:vAlign w:val="center"/>
          </w:tcPr>
          <w:p w14:paraId="11412C7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本项目为站内制氢加氢站，商用加氢站，35MPa等级、固定式加氢站</w:t>
            </w:r>
          </w:p>
        </w:tc>
        <w:tc>
          <w:tcPr>
            <w:tcW w:w="1349" w:type="dxa"/>
            <w:noWrap w:val="0"/>
            <w:vAlign w:val="center"/>
          </w:tcPr>
          <w:p w14:paraId="089175C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18C4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213DC26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临氢设备应设置安全泄放装置、氮气或氦气吹扫置换系统</w:t>
            </w:r>
          </w:p>
        </w:tc>
        <w:tc>
          <w:tcPr>
            <w:tcW w:w="2942" w:type="dxa"/>
            <w:vMerge w:val="restart"/>
            <w:noWrap w:val="0"/>
            <w:vAlign w:val="center"/>
          </w:tcPr>
          <w:p w14:paraId="57A34E3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项目设置安全泄放装置、氮气吹扫置换系统，投入使用前使用无油高纯洁净氮气进行安全有效的吹扫</w:t>
            </w:r>
          </w:p>
        </w:tc>
        <w:tc>
          <w:tcPr>
            <w:tcW w:w="1349" w:type="dxa"/>
            <w:vMerge w:val="restart"/>
            <w:noWrap w:val="0"/>
            <w:vAlign w:val="center"/>
          </w:tcPr>
          <w:p w14:paraId="57719E2A">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6F60E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462BB76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临氢设备在投入使用前应采用无油高纯洁净氮气进行安全有效的吹扫，确保装置在启动前去除所有颗粒物和有机污染物</w:t>
            </w:r>
          </w:p>
        </w:tc>
        <w:tc>
          <w:tcPr>
            <w:tcW w:w="2942" w:type="dxa"/>
            <w:vMerge w:val="continue"/>
            <w:noWrap w:val="0"/>
            <w:vAlign w:val="center"/>
          </w:tcPr>
          <w:p w14:paraId="36A0510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c>
          <w:tcPr>
            <w:tcW w:w="1349" w:type="dxa"/>
            <w:vMerge w:val="continue"/>
            <w:noWrap w:val="0"/>
            <w:vAlign w:val="center"/>
          </w:tcPr>
          <w:p w14:paraId="206A0910">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r>
      <w:tr w14:paraId="73D48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13C9E52E">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氢气管道系统应设置自动和手动紧急切断阀，以便于发生紧急情况或进行维护时，能够隔离管道系统中的不同部分。</w:t>
            </w:r>
          </w:p>
          <w:p w14:paraId="59831CF2">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手动切断阀或排气阀应安装在便于操作的位置，以便在必要时能及时切断氢气。</w:t>
            </w:r>
          </w:p>
        </w:tc>
        <w:tc>
          <w:tcPr>
            <w:tcW w:w="2942" w:type="dxa"/>
            <w:noWrap w:val="0"/>
            <w:vAlign w:val="center"/>
          </w:tcPr>
          <w:p w14:paraId="07F09FC8">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项目氢气管道设置自动和手动紧急切断阀，手动切断阀安装在便于操作的位置</w:t>
            </w:r>
          </w:p>
        </w:tc>
        <w:tc>
          <w:tcPr>
            <w:tcW w:w="1349" w:type="dxa"/>
            <w:noWrap w:val="0"/>
            <w:vAlign w:val="center"/>
          </w:tcPr>
          <w:p w14:paraId="6601AFCF">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2EC9D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2D82D8E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阀门、仪表和其他需要维护的组件不应直接埋地敷设</w:t>
            </w:r>
          </w:p>
        </w:tc>
        <w:tc>
          <w:tcPr>
            <w:tcW w:w="2942" w:type="dxa"/>
            <w:noWrap w:val="0"/>
            <w:vAlign w:val="center"/>
          </w:tcPr>
          <w:p w14:paraId="256E53AD">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阀门、仪表和其他需要维护的组件不直接埋地敷设</w:t>
            </w:r>
          </w:p>
        </w:tc>
        <w:tc>
          <w:tcPr>
            <w:tcW w:w="1349" w:type="dxa"/>
            <w:noWrap w:val="0"/>
            <w:vAlign w:val="center"/>
          </w:tcPr>
          <w:p w14:paraId="50901FD8">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764F261B">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（8）</w:t>
      </w:r>
      <w:r>
        <w:rPr>
          <w:rFonts w:hint="eastAsia" w:ascii="Times New Roman" w:hAnsi="Times New Roman" w:eastAsia="宋体" w:cs="Times New Roman"/>
          <w:b/>
          <w:bCs/>
          <w:color w:val="auto"/>
          <w:sz w:val="24"/>
          <w:szCs w:val="24"/>
          <w:highlight w:val="none"/>
          <w:lang w:val="en-US" w:eastAsia="zh-CN"/>
        </w:rPr>
        <w:t>与《加氢站技术规范》（GB50516-2021）符合性分析</w:t>
      </w:r>
    </w:p>
    <w:p w14:paraId="5125A9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olor w:val="auto"/>
          <w:sz w:val="24"/>
          <w:szCs w:val="24"/>
          <w:highlight w:val="none"/>
          <w:lang w:val="en-US" w:eastAsia="zh-CN"/>
        </w:rPr>
        <w:t>本项目</w:t>
      </w:r>
      <w:r>
        <w:rPr>
          <w:rFonts w:hint="eastAsia"/>
          <w:b w:val="0"/>
          <w:bCs w:val="0"/>
          <w:color w:val="auto"/>
          <w:sz w:val="24"/>
          <w:szCs w:val="24"/>
          <w:highlight w:val="none"/>
          <w:lang w:val="en-US" w:eastAsia="zh-CN"/>
        </w:rPr>
        <w:t>与</w:t>
      </w:r>
      <w:r>
        <w:rPr>
          <w:rFonts w:hint="eastAsia" w:ascii="Times New Roman" w:hAnsi="Times New Roman" w:eastAsia="宋体" w:cs="Times New Roman"/>
          <w:b w:val="0"/>
          <w:bCs w:val="0"/>
          <w:color w:val="auto"/>
          <w:sz w:val="24"/>
          <w:szCs w:val="24"/>
          <w:highlight w:val="none"/>
          <w:lang w:val="en-US" w:eastAsia="zh-CN"/>
        </w:rPr>
        <w:t>《加氢站技术规范》（GB50516-2021）符合性见下表。</w:t>
      </w:r>
    </w:p>
    <w:p w14:paraId="5A08B7B3">
      <w:pPr>
        <w:pStyle w:val="549"/>
        <w:bidi w:val="0"/>
        <w:rPr>
          <w:rFonts w:hint="default"/>
          <w:color w:val="auto"/>
          <w:highlight w:val="none"/>
          <w:lang w:val="en-US" w:eastAsia="zh-CN"/>
        </w:rPr>
      </w:pPr>
      <w:r>
        <w:rPr>
          <w:rFonts w:hint="eastAsia"/>
          <w:color w:val="auto"/>
          <w:highlight w:val="none"/>
          <w:lang w:val="en-US" w:eastAsia="zh-CN"/>
        </w:rPr>
        <w:t>表2.5.3-9  项目与</w:t>
      </w:r>
      <w:r>
        <w:rPr>
          <w:rFonts w:hint="eastAsia" w:ascii="Times New Roman" w:hAnsi="Times New Roman" w:eastAsia="宋体" w:cs="Times New Roman"/>
          <w:b/>
          <w:bCs/>
          <w:color w:val="auto"/>
          <w:sz w:val="24"/>
          <w:szCs w:val="24"/>
          <w:highlight w:val="none"/>
          <w:lang w:val="en-US" w:eastAsia="zh-CN"/>
        </w:rPr>
        <w:t>《加氢站技术规范》（GB50516-2021）</w:t>
      </w:r>
      <w:r>
        <w:rPr>
          <w:rFonts w:hint="eastAsia"/>
          <w:color w:val="auto"/>
          <w:highlight w:val="none"/>
          <w:lang w:val="en-US" w:eastAsia="zh-CN"/>
        </w:rPr>
        <w:t>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69"/>
        <w:gridCol w:w="2782"/>
        <w:gridCol w:w="1271"/>
      </w:tblGrid>
      <w:tr w14:paraId="41732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87" w:type="dxa"/>
            <w:noWrap w:val="0"/>
            <w:vAlign w:val="center"/>
          </w:tcPr>
          <w:p w14:paraId="02D276DA">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2942" w:type="dxa"/>
            <w:noWrap w:val="0"/>
            <w:vAlign w:val="center"/>
          </w:tcPr>
          <w:p w14:paraId="4FFF4D6F">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23D2A40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373E6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4C3DE4F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加氢站应结合供氢方式进行设计。加氢站可采用氢气长管拖车运输、氢气管束式集装箱运输、液氢罐车运输、液氢罐式集装箱运输、管道输送或站内制氢系统等方式提供。加氢站可与天然气加气站或加油站联合建站。</w:t>
            </w:r>
          </w:p>
        </w:tc>
        <w:tc>
          <w:tcPr>
            <w:tcW w:w="2942" w:type="dxa"/>
            <w:noWrap w:val="0"/>
            <w:vAlign w:val="center"/>
          </w:tcPr>
          <w:p w14:paraId="0002F80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本项目为站内制氢加氢站，为油、电、氢一体化综合能源站，项目单罐储氢容量为1000kg，设置3个储氢罐，总容量为3000kg，为三级加氢站</w:t>
            </w:r>
          </w:p>
        </w:tc>
        <w:tc>
          <w:tcPr>
            <w:tcW w:w="1349" w:type="dxa"/>
            <w:noWrap w:val="0"/>
            <w:vAlign w:val="center"/>
          </w:tcPr>
          <w:p w14:paraId="3EFCC9FA">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14F71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21FDF2D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加氢站内储氢容器容量应根据氢气来源、氢燃料电池汽车及氢气天然气混合燃料汽车数量、每辆汽车的氢气充装容量和充装时间以及储氢容器压力等级等因素确定。氢气长管拖车、气管束式集装箱、液氢罐车、液氢罐式集装箱等运输氢的车辆作为加氢站内储氢设施固定使用时应设置固定措施，容量计入总容量中</w:t>
            </w:r>
          </w:p>
        </w:tc>
        <w:tc>
          <w:tcPr>
            <w:tcW w:w="2942" w:type="dxa"/>
            <w:noWrap w:val="0"/>
            <w:vAlign w:val="center"/>
          </w:tcPr>
          <w:p w14:paraId="36902C7E">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项目为站内制氢加氢站，储氢容器容量主要根据各生产线日产氢气量（氢气来源）进行确定</w:t>
            </w:r>
          </w:p>
        </w:tc>
        <w:tc>
          <w:tcPr>
            <w:tcW w:w="1349" w:type="dxa"/>
            <w:noWrap w:val="0"/>
            <w:vAlign w:val="center"/>
          </w:tcPr>
          <w:p w14:paraId="362B0B17">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6D7EC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0BA21E98">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加氢站内设有站内制氢系统时，除应符合本规范规定外，制氢系统还应符合现行国家标准《氢气站设计规范》GB50177的有关规定</w:t>
            </w:r>
          </w:p>
        </w:tc>
        <w:tc>
          <w:tcPr>
            <w:tcW w:w="2942" w:type="dxa"/>
            <w:noWrap w:val="0"/>
            <w:vAlign w:val="center"/>
          </w:tcPr>
          <w:p w14:paraId="0E97B20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项目为站内制氢加氢站，制氢系统符合《氢气站设计规范》GB50177的有关规定，见下表</w:t>
            </w:r>
          </w:p>
        </w:tc>
        <w:tc>
          <w:tcPr>
            <w:tcW w:w="1349" w:type="dxa"/>
            <w:noWrap w:val="0"/>
            <w:vAlign w:val="center"/>
          </w:tcPr>
          <w:p w14:paraId="646C3466">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65245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5E43353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在城市中心区不应建设一级加氢站</w:t>
            </w:r>
          </w:p>
        </w:tc>
        <w:tc>
          <w:tcPr>
            <w:tcW w:w="2942" w:type="dxa"/>
            <w:noWrap w:val="0"/>
            <w:vAlign w:val="center"/>
          </w:tcPr>
          <w:p w14:paraId="7E4D4E7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本项目位于淮南田家庵经济开发区，不在城市中心区，为三级加氢站</w:t>
            </w:r>
          </w:p>
        </w:tc>
        <w:tc>
          <w:tcPr>
            <w:tcW w:w="1349" w:type="dxa"/>
            <w:noWrap w:val="0"/>
            <w:vAlign w:val="center"/>
          </w:tcPr>
          <w:p w14:paraId="63E8B349">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2EF10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6C07460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加氢站站内设施之间的防火距离，不应小于表5.0.1A的规定。</w:t>
            </w:r>
          </w:p>
        </w:tc>
        <w:tc>
          <w:tcPr>
            <w:tcW w:w="2942" w:type="dxa"/>
            <w:noWrap w:val="0"/>
            <w:vAlign w:val="center"/>
          </w:tcPr>
          <w:p w14:paraId="3F12EFC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项目加氢站站内设施之间的防火距离满足标准要求</w:t>
            </w:r>
          </w:p>
        </w:tc>
        <w:tc>
          <w:tcPr>
            <w:tcW w:w="1349" w:type="dxa"/>
            <w:noWrap w:val="0"/>
            <w:vAlign w:val="center"/>
          </w:tcPr>
          <w:p w14:paraId="636510F8">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42A5AF63">
      <w:pPr>
        <w:numPr>
          <w:ilvl w:val="0"/>
          <w:numId w:val="0"/>
        </w:numPr>
        <w:bidi w:val="0"/>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（9）</w:t>
      </w:r>
      <w:r>
        <w:rPr>
          <w:rFonts w:hint="eastAsia" w:ascii="Times New Roman" w:hAnsi="Times New Roman" w:eastAsia="宋体" w:cs="Times New Roman"/>
          <w:b/>
          <w:bCs/>
          <w:color w:val="auto"/>
          <w:sz w:val="24"/>
          <w:szCs w:val="24"/>
          <w:highlight w:val="none"/>
          <w:lang w:val="en-US" w:eastAsia="zh-CN"/>
        </w:rPr>
        <w:t>与《氢气站设计规范》（GB50177-2005）符合性分析</w:t>
      </w:r>
    </w:p>
    <w:p w14:paraId="2CB56A22">
      <w:pPr>
        <w:numPr>
          <w:ilvl w:val="0"/>
          <w:numId w:val="0"/>
        </w:numPr>
        <w:bidi w:val="0"/>
        <w:ind w:left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本项目与《氢气站设计规范》（GB50177-2005）符合性分析见下表。</w:t>
      </w:r>
    </w:p>
    <w:p w14:paraId="09BA38A3">
      <w:pPr>
        <w:numPr>
          <w:ilvl w:val="0"/>
          <w:numId w:val="0"/>
        </w:numPr>
        <w:bidi w:val="0"/>
        <w:ind w:leftChars="200"/>
        <w:rPr>
          <w:rFonts w:hint="eastAsia" w:ascii="Times New Roman" w:hAnsi="Times New Roman" w:eastAsia="宋体" w:cs="Times New Roman"/>
          <w:color w:val="auto"/>
          <w:kern w:val="2"/>
          <w:sz w:val="24"/>
          <w:szCs w:val="24"/>
          <w:highlight w:val="none"/>
          <w:lang w:val="en-US" w:eastAsia="zh-CN" w:bidi="ar-SA"/>
        </w:rPr>
      </w:pPr>
    </w:p>
    <w:p w14:paraId="1366A5F4">
      <w:pPr>
        <w:pStyle w:val="549"/>
        <w:bidi w:val="0"/>
        <w:rPr>
          <w:rFonts w:hint="default"/>
          <w:color w:val="auto"/>
          <w:highlight w:val="none"/>
          <w:lang w:val="en-US" w:eastAsia="zh-CN"/>
        </w:rPr>
      </w:pPr>
      <w:r>
        <w:rPr>
          <w:rFonts w:hint="eastAsia"/>
          <w:color w:val="auto"/>
          <w:highlight w:val="none"/>
          <w:lang w:val="en-US" w:eastAsia="zh-CN"/>
        </w:rPr>
        <w:t>表2.5.3-10  项目与</w:t>
      </w:r>
      <w:r>
        <w:rPr>
          <w:rFonts w:hint="eastAsia" w:ascii="Times New Roman" w:hAnsi="Times New Roman" w:eastAsia="宋体" w:cs="Times New Roman"/>
          <w:color w:val="auto"/>
          <w:kern w:val="2"/>
          <w:sz w:val="24"/>
          <w:szCs w:val="24"/>
          <w:highlight w:val="none"/>
          <w:lang w:val="en-US" w:eastAsia="zh-CN" w:bidi="ar-SA"/>
        </w:rPr>
        <w:t>《氢气站设计规范》（GB50177-2005）</w:t>
      </w:r>
      <w:r>
        <w:rPr>
          <w:rFonts w:hint="eastAsia"/>
          <w:color w:val="auto"/>
          <w:highlight w:val="none"/>
          <w:lang w:val="en-US" w:eastAsia="zh-CN"/>
        </w:rPr>
        <w:t>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7"/>
        <w:gridCol w:w="2767"/>
        <w:gridCol w:w="1278"/>
      </w:tblGrid>
      <w:tr w14:paraId="65D3F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1B0C1FD7">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2942" w:type="dxa"/>
            <w:noWrap w:val="0"/>
            <w:vAlign w:val="center"/>
          </w:tcPr>
          <w:p w14:paraId="17C3804C">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281014F6">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65FAF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CBEB03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3.0.1氢气站、供氢站、氢气罐的布置，应按下列要求经综合比较确定：</w:t>
            </w:r>
          </w:p>
          <w:p w14:paraId="6B047E4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1宜布置在工厂常年最小频率风向的下风侧，并应远离有明火或散发火花的地点；</w:t>
            </w:r>
          </w:p>
          <w:p w14:paraId="669635D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2宜布置为独立建筑物、构筑物；</w:t>
            </w:r>
          </w:p>
          <w:p w14:paraId="45F4232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3不得布置在人员密集地段和主要交通要道邻近处；</w:t>
            </w:r>
          </w:p>
          <w:p w14:paraId="70B8F36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4氢气站、供氢站、氢气罐区，宜设置不燃烧体的实体围墙其高度不应小于2.5m</w:t>
            </w:r>
          </w:p>
        </w:tc>
        <w:tc>
          <w:tcPr>
            <w:tcW w:w="2942" w:type="dxa"/>
            <w:noWrap w:val="0"/>
            <w:vAlign w:val="center"/>
          </w:tcPr>
          <w:p w14:paraId="0FBC664D">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本项目供氢站位于站内东南侧，为常年最小频率风向的下风侧，为独立建筑物，设置混凝土实体围墙，高度＞2.5m</w:t>
            </w:r>
          </w:p>
        </w:tc>
        <w:tc>
          <w:tcPr>
            <w:tcW w:w="1349" w:type="dxa"/>
            <w:noWrap w:val="0"/>
            <w:vAlign w:val="center"/>
          </w:tcPr>
          <w:p w14:paraId="0048CBFA">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13973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68213F6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3.0.3氢气站、供氢站、氢气罐与建筑物、构筑物的防火间距，不应小于表3.0.2的规定</w:t>
            </w:r>
          </w:p>
        </w:tc>
        <w:tc>
          <w:tcPr>
            <w:tcW w:w="2942" w:type="dxa"/>
            <w:vMerge w:val="restart"/>
            <w:noWrap w:val="0"/>
            <w:vAlign w:val="center"/>
          </w:tcPr>
          <w:p w14:paraId="5851DF16">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项目按照规范进行建设，相关防火间距满足标准要求</w:t>
            </w:r>
          </w:p>
        </w:tc>
        <w:tc>
          <w:tcPr>
            <w:tcW w:w="1349" w:type="dxa"/>
            <w:vMerge w:val="restart"/>
            <w:noWrap w:val="0"/>
            <w:vAlign w:val="center"/>
          </w:tcPr>
          <w:p w14:paraId="1B8AC6EA">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2968B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6C0FA94">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3.0.3氢气站、供氢站、氯气罐与铁路、道路的防火间距，不应小于表3.0.3的规定</w:t>
            </w:r>
          </w:p>
        </w:tc>
        <w:tc>
          <w:tcPr>
            <w:tcW w:w="2942" w:type="dxa"/>
            <w:vMerge w:val="continue"/>
            <w:noWrap w:val="0"/>
            <w:vAlign w:val="center"/>
          </w:tcPr>
          <w:p w14:paraId="7D0F63C9">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c>
          <w:tcPr>
            <w:tcW w:w="1349" w:type="dxa"/>
            <w:vMerge w:val="continue"/>
            <w:noWrap w:val="0"/>
            <w:vAlign w:val="center"/>
          </w:tcPr>
          <w:p w14:paraId="3F7A9D24">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r>
      <w:tr w14:paraId="0A644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3D1DFB04">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4.0.10氢气站、供氢站的氢气罐安全设施设置，应符合下列规定：</w:t>
            </w:r>
          </w:p>
          <w:p w14:paraId="09D73FA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应设有安全泄压装置，如安全阀等；</w:t>
            </w:r>
          </w:p>
          <w:p w14:paraId="1C11D3FD">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氢气罐顶部最高点，应设氢气放空管；</w:t>
            </w:r>
          </w:p>
          <w:p w14:paraId="6CA1375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应设压力测量仪表；</w:t>
            </w:r>
          </w:p>
          <w:p w14:paraId="40805B08">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应设氮气吹扫置换接口。</w:t>
            </w:r>
          </w:p>
        </w:tc>
        <w:tc>
          <w:tcPr>
            <w:tcW w:w="2942" w:type="dxa"/>
            <w:noWrap w:val="0"/>
            <w:vAlign w:val="center"/>
          </w:tcPr>
          <w:p w14:paraId="17A9B09E">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项目设置安全泄放装置、氮气吹扫置换系统，设压力测量仪表，氢气罐顶部最高点设置氢气放空管</w:t>
            </w:r>
          </w:p>
        </w:tc>
        <w:tc>
          <w:tcPr>
            <w:tcW w:w="1349" w:type="dxa"/>
            <w:noWrap w:val="0"/>
            <w:vAlign w:val="center"/>
          </w:tcPr>
          <w:p w14:paraId="1EB969A0">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03B4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424D49C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4.0.11各类制氢系统中，设备及其管道内的冷凝水，均应经各自的专用疏水装置或排水水封排至室外。水封上的气体放空管，应分别接至室外安全处。</w:t>
            </w:r>
          </w:p>
        </w:tc>
        <w:tc>
          <w:tcPr>
            <w:tcW w:w="2942" w:type="dxa"/>
            <w:noWrap w:val="0"/>
            <w:vAlign w:val="center"/>
          </w:tcPr>
          <w:p w14:paraId="248121B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项目制氢系统设置冷凝水排放管道，冷凝水经园区管网排放至园区污水管网，氢气放空管接至室外安全处</w:t>
            </w:r>
          </w:p>
        </w:tc>
        <w:tc>
          <w:tcPr>
            <w:tcW w:w="1349" w:type="dxa"/>
            <w:noWrap w:val="0"/>
            <w:vAlign w:val="center"/>
          </w:tcPr>
          <w:p w14:paraId="7999CD18">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BAB6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390E7DB2">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4.0.12各类制氢系统中的氢气纯化设备，应根据纯化前后的氢气压力、纯度及杂质含量和纯化用材料的品种、活化与再生方法等确定。</w:t>
            </w:r>
          </w:p>
        </w:tc>
        <w:tc>
          <w:tcPr>
            <w:tcW w:w="2942" w:type="dxa"/>
            <w:noWrap w:val="0"/>
            <w:vAlign w:val="center"/>
          </w:tcPr>
          <w:p w14:paraId="38A753E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项目氢气纯化采用变压吸附法</w:t>
            </w:r>
          </w:p>
        </w:tc>
        <w:tc>
          <w:tcPr>
            <w:tcW w:w="1349" w:type="dxa"/>
            <w:noWrap w:val="0"/>
            <w:vAlign w:val="center"/>
          </w:tcPr>
          <w:p w14:paraId="6055D838">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1C8F0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2FF1CC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4.0.15各类制氢系统、供氢系统，均应设有含氧量小于0.5%的氮气置换吹扫设施。</w:t>
            </w:r>
          </w:p>
        </w:tc>
        <w:tc>
          <w:tcPr>
            <w:tcW w:w="2942" w:type="dxa"/>
            <w:noWrap w:val="0"/>
            <w:vAlign w:val="center"/>
          </w:tcPr>
          <w:p w14:paraId="648BB71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项目设置氮气制备系统，含氧量＜0.5%</w:t>
            </w:r>
          </w:p>
        </w:tc>
        <w:tc>
          <w:tcPr>
            <w:tcW w:w="1349" w:type="dxa"/>
            <w:noWrap w:val="0"/>
            <w:vAlign w:val="center"/>
          </w:tcPr>
          <w:p w14:paraId="48340504">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4A385227">
      <w:pPr>
        <w:numPr>
          <w:ilvl w:val="0"/>
          <w:numId w:val="0"/>
        </w:numPr>
        <w:bidi w:val="0"/>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（10）</w:t>
      </w:r>
      <w:r>
        <w:rPr>
          <w:rFonts w:hint="eastAsia" w:ascii="Times New Roman" w:hAnsi="Times New Roman" w:eastAsia="宋体" w:cs="Times New Roman"/>
          <w:b/>
          <w:bCs/>
          <w:color w:val="auto"/>
          <w:sz w:val="24"/>
          <w:szCs w:val="24"/>
          <w:highlight w:val="none"/>
          <w:lang w:val="en-US" w:eastAsia="zh-CN"/>
        </w:rPr>
        <w:t>与《加氢站安全技术规范》（GB/T34584-2017）符合性分析</w:t>
      </w:r>
    </w:p>
    <w:p w14:paraId="761C2B42">
      <w:pPr>
        <w:bidi w:val="0"/>
        <w:rPr>
          <w:rFonts w:hint="eastAsia" w:ascii="Times New Roman" w:hAnsi="Times New Roman" w:eastAsia="宋体" w:cs="Times New Roman"/>
          <w:b w:val="0"/>
          <w:bCs w:val="0"/>
          <w:color w:val="auto"/>
          <w:sz w:val="24"/>
          <w:szCs w:val="24"/>
          <w:highlight w:val="none"/>
          <w:lang w:val="en-US" w:eastAsia="zh-CN"/>
        </w:rPr>
      </w:pPr>
      <w:r>
        <w:rPr>
          <w:rFonts w:hint="eastAsia"/>
          <w:b w:val="0"/>
          <w:bCs w:val="0"/>
          <w:color w:val="auto"/>
          <w:highlight w:val="none"/>
          <w:lang w:val="en-US" w:eastAsia="zh-CN"/>
        </w:rPr>
        <w:t>本项目与</w:t>
      </w:r>
      <w:r>
        <w:rPr>
          <w:rFonts w:hint="eastAsia" w:ascii="Times New Roman" w:hAnsi="Times New Roman" w:eastAsia="宋体" w:cs="Times New Roman"/>
          <w:b w:val="0"/>
          <w:bCs w:val="0"/>
          <w:color w:val="auto"/>
          <w:sz w:val="24"/>
          <w:szCs w:val="24"/>
          <w:highlight w:val="none"/>
          <w:lang w:val="en-US" w:eastAsia="zh-CN"/>
        </w:rPr>
        <w:t>《加氢站安全技术规范》（GB/T34584-2017）符合性分析见下表。</w:t>
      </w:r>
    </w:p>
    <w:p w14:paraId="127F09FA">
      <w:pPr>
        <w:pStyle w:val="549"/>
        <w:bidi w:val="0"/>
        <w:rPr>
          <w:rFonts w:hint="default"/>
          <w:color w:val="auto"/>
          <w:highlight w:val="none"/>
          <w:lang w:val="en-US" w:eastAsia="zh-CN"/>
        </w:rPr>
      </w:pPr>
      <w:r>
        <w:rPr>
          <w:rFonts w:hint="eastAsia"/>
          <w:color w:val="auto"/>
          <w:highlight w:val="none"/>
          <w:lang w:val="en-US" w:eastAsia="zh-CN"/>
        </w:rPr>
        <w:t>表2.5.3-11  项目与</w:t>
      </w:r>
      <w:r>
        <w:rPr>
          <w:rFonts w:hint="eastAsia" w:ascii="Times New Roman" w:hAnsi="Times New Roman" w:eastAsia="宋体" w:cs="Times New Roman"/>
          <w:b/>
          <w:bCs/>
          <w:color w:val="auto"/>
          <w:sz w:val="24"/>
          <w:szCs w:val="24"/>
          <w:highlight w:val="none"/>
          <w:lang w:val="en-US" w:eastAsia="zh-CN"/>
        </w:rPr>
        <w:t>《加氢站安全技术规范》（GB/T34584-2017）</w:t>
      </w:r>
      <w:r>
        <w:rPr>
          <w:rFonts w:hint="eastAsia"/>
          <w:color w:val="auto"/>
          <w:highlight w:val="none"/>
          <w:lang w:val="en-US" w:eastAsia="zh-CN"/>
        </w:rPr>
        <w:t>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52"/>
        <w:gridCol w:w="2803"/>
        <w:gridCol w:w="1267"/>
      </w:tblGrid>
      <w:tr w14:paraId="56528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05BC076D">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2942" w:type="dxa"/>
            <w:noWrap w:val="0"/>
            <w:vAlign w:val="center"/>
          </w:tcPr>
          <w:p w14:paraId="45B5DF0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50C5F5C6">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48EAE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5A863D7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4.1加氢站可采用氢气长管拖车运输、液氢运输、管道运输或自备制氢系统等方式供氢。</w:t>
            </w:r>
          </w:p>
        </w:tc>
        <w:tc>
          <w:tcPr>
            <w:tcW w:w="2942" w:type="dxa"/>
            <w:noWrap w:val="0"/>
            <w:vAlign w:val="center"/>
          </w:tcPr>
          <w:p w14:paraId="16FB144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本项目为站内制氢加氢站，采用自备制氢系统供氢</w:t>
            </w:r>
          </w:p>
        </w:tc>
        <w:tc>
          <w:tcPr>
            <w:tcW w:w="1349" w:type="dxa"/>
            <w:noWrap w:val="0"/>
            <w:vAlign w:val="center"/>
          </w:tcPr>
          <w:p w14:paraId="038185D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1DAF1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4A1EBFA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4.2加氢站可与汽车加油、加气和电动汽车充电站等设施联合建站。</w:t>
            </w:r>
          </w:p>
        </w:tc>
        <w:tc>
          <w:tcPr>
            <w:tcW w:w="2942" w:type="dxa"/>
            <w:noWrap w:val="0"/>
            <w:vAlign w:val="center"/>
          </w:tcPr>
          <w:p w14:paraId="4BE3D30E">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项目为油、电、氢一体化综合能源站</w:t>
            </w:r>
          </w:p>
        </w:tc>
        <w:tc>
          <w:tcPr>
            <w:tcW w:w="1349" w:type="dxa"/>
            <w:noWrap w:val="0"/>
            <w:vAlign w:val="center"/>
          </w:tcPr>
          <w:p w14:paraId="7202B128">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797B6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0D812F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4.3加氢站及各类加氢合建站的火灾危险类别应为甲类。加氢站及各类加氢合建站内有爆炸危险房间或区域的爆炸危险等级应为1区或2区。</w:t>
            </w:r>
          </w:p>
        </w:tc>
        <w:tc>
          <w:tcPr>
            <w:tcW w:w="2942" w:type="dxa"/>
            <w:noWrap w:val="0"/>
            <w:vAlign w:val="center"/>
          </w:tcPr>
          <w:p w14:paraId="5A5CEA5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项目火灾危险类别为甲类，爆炸危险等级为1区</w:t>
            </w:r>
          </w:p>
        </w:tc>
        <w:tc>
          <w:tcPr>
            <w:tcW w:w="1349" w:type="dxa"/>
            <w:noWrap w:val="0"/>
            <w:vAlign w:val="center"/>
          </w:tcPr>
          <w:p w14:paraId="1E9C66D5">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2DEF7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261BECA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4.4加氢站及各类合建站内的建筑物耐火等级不应低于二级。</w:t>
            </w:r>
          </w:p>
        </w:tc>
        <w:tc>
          <w:tcPr>
            <w:tcW w:w="2942" w:type="dxa"/>
            <w:noWrap w:val="0"/>
            <w:vAlign w:val="center"/>
          </w:tcPr>
          <w:p w14:paraId="3D159DF9">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合建站内的建筑物耐火等级为二级</w:t>
            </w:r>
          </w:p>
        </w:tc>
        <w:tc>
          <w:tcPr>
            <w:tcW w:w="1349" w:type="dxa"/>
            <w:noWrap w:val="0"/>
            <w:vAlign w:val="center"/>
          </w:tcPr>
          <w:p w14:paraId="77263683">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7F97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B303C5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4.5加氢站、加氢加气合建站、加氢加油合建站的等级划分应符合GB50516的有关规定</w:t>
            </w:r>
          </w:p>
        </w:tc>
        <w:tc>
          <w:tcPr>
            <w:tcW w:w="2942" w:type="dxa"/>
            <w:noWrap w:val="0"/>
            <w:vAlign w:val="center"/>
          </w:tcPr>
          <w:p w14:paraId="1B706D3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项目为加氢加油合建站，满足GB50516的有关规定</w:t>
            </w:r>
          </w:p>
        </w:tc>
        <w:tc>
          <w:tcPr>
            <w:tcW w:w="1349" w:type="dxa"/>
            <w:noWrap w:val="0"/>
            <w:vAlign w:val="center"/>
          </w:tcPr>
          <w:p w14:paraId="76C789D2">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780B2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1E02EB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5.1加氢站及各类合建站应符合城镇规划，并应设置在交通方便的位置，不应设在多尘或有腐蚀性气体及地势低洼和可能积水的场所。</w:t>
            </w:r>
          </w:p>
        </w:tc>
        <w:tc>
          <w:tcPr>
            <w:tcW w:w="2942" w:type="dxa"/>
            <w:noWrap w:val="0"/>
            <w:vAlign w:val="center"/>
          </w:tcPr>
          <w:p w14:paraId="2BA4DAA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本项目位于淮南市田家庵经济开发区，位于</w:t>
            </w:r>
            <w:r>
              <w:rPr>
                <w:b w:val="0"/>
                <w:bCs w:val="0"/>
                <w:color w:val="auto"/>
                <w:sz w:val="24"/>
                <w:szCs w:val="24"/>
                <w:highlight w:val="none"/>
              </w:rPr>
              <w:t>《</w:t>
            </w:r>
            <w:r>
              <w:rPr>
                <w:rFonts w:hint="eastAsia" w:ascii="Times New Roman" w:hAnsi="Times New Roman" w:eastAsia="宋体" w:cs="Times New Roman"/>
                <w:b w:val="0"/>
                <w:bCs w:val="0"/>
                <w:color w:val="auto"/>
                <w:highlight w:val="none"/>
                <w:lang w:eastAsia="zh-CN"/>
              </w:rPr>
              <w:t>淮南市</w:t>
            </w:r>
            <w:r>
              <w:rPr>
                <w:rFonts w:hint="eastAsia" w:ascii="Times New Roman" w:hAnsi="Times New Roman" w:eastAsia="宋体" w:cs="Times New Roman"/>
                <w:b w:val="0"/>
                <w:bCs w:val="0"/>
                <w:color w:val="auto"/>
                <w:highlight w:val="none"/>
                <w:lang w:val="en-US" w:eastAsia="zh-CN"/>
              </w:rPr>
              <w:t>曹庵镇总体规划</w:t>
            </w:r>
            <w:r>
              <w:rPr>
                <w:rFonts w:hint="eastAsia" w:ascii="Times New Roman" w:hAnsi="Times New Roman" w:eastAsia="宋体" w:cs="Times New Roman"/>
                <w:b w:val="0"/>
                <w:bCs w:val="0"/>
                <w:color w:val="auto"/>
                <w:highlight w:val="none"/>
                <w:lang w:eastAsia="zh-CN"/>
              </w:rPr>
              <w:t>（20</w:t>
            </w:r>
            <w:r>
              <w:rPr>
                <w:rFonts w:hint="eastAsia" w:ascii="Times New Roman" w:hAnsi="Times New Roman" w:eastAsia="宋体" w:cs="Times New Roman"/>
                <w:b w:val="0"/>
                <w:bCs w:val="0"/>
                <w:color w:val="auto"/>
                <w:highlight w:val="none"/>
                <w:lang w:val="en-US" w:eastAsia="zh-CN"/>
              </w:rPr>
              <w:t>16</w:t>
            </w:r>
            <w:r>
              <w:rPr>
                <w:rFonts w:hint="eastAsia" w:ascii="Times New Roman" w:hAnsi="Times New Roman" w:eastAsia="宋体" w:cs="Times New Roman"/>
                <w:b w:val="0"/>
                <w:bCs w:val="0"/>
                <w:color w:val="auto"/>
                <w:highlight w:val="none"/>
                <w:lang w:eastAsia="zh-CN"/>
              </w:rPr>
              <w:t>-203</w:t>
            </w:r>
            <w:r>
              <w:rPr>
                <w:rFonts w:hint="eastAsia" w:ascii="Times New Roman" w:hAnsi="Times New Roman" w:eastAsia="宋体" w:cs="Times New Roman"/>
                <w:b w:val="0"/>
                <w:bCs w:val="0"/>
                <w:color w:val="auto"/>
                <w:highlight w:val="none"/>
                <w:lang w:val="en-US" w:eastAsia="zh-CN"/>
              </w:rPr>
              <w:t>0</w:t>
            </w:r>
            <w:r>
              <w:rPr>
                <w:rFonts w:hint="eastAsia" w:ascii="Times New Roman" w:hAnsi="Times New Roman" w:eastAsia="宋体" w:cs="Times New Roman"/>
                <w:b w:val="0"/>
                <w:bCs w:val="0"/>
                <w:color w:val="auto"/>
                <w:highlight w:val="none"/>
                <w:lang w:eastAsia="zh-CN"/>
              </w:rPr>
              <w:t>年）</w:t>
            </w:r>
            <w:r>
              <w:rPr>
                <w:b w:val="0"/>
                <w:bCs w:val="0"/>
                <w:color w:val="auto"/>
                <w:sz w:val="24"/>
                <w:szCs w:val="24"/>
                <w:highlight w:val="none"/>
              </w:rPr>
              <w:t>》</w:t>
            </w:r>
            <w:r>
              <w:rPr>
                <w:rFonts w:hint="eastAsia" w:ascii="Times New Roman" w:hAnsi="Times New Roman" w:eastAsia="宋体" w:cs="Times New Roman"/>
                <w:color w:val="auto"/>
                <w:spacing w:val="0"/>
                <w:sz w:val="21"/>
                <w:highlight w:val="none"/>
                <w:lang w:val="en-US" w:eastAsia="zh-CN"/>
              </w:rPr>
              <w:t>中适建区，项目西侧为烟汕线，交通便利</w:t>
            </w:r>
          </w:p>
        </w:tc>
        <w:tc>
          <w:tcPr>
            <w:tcW w:w="1349" w:type="dxa"/>
            <w:noWrap w:val="0"/>
            <w:vAlign w:val="center"/>
          </w:tcPr>
          <w:p w14:paraId="5E1D3B2C">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7ADBF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6F165E6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5.2与充电站合建的加氢合建站与站外市政道路之间宜设置缓冲距离或缓冲地带，便于电动汽车的进出和充电等候。</w:t>
            </w:r>
          </w:p>
        </w:tc>
        <w:tc>
          <w:tcPr>
            <w:tcW w:w="2942" w:type="dxa"/>
            <w:noWrap w:val="0"/>
            <w:vAlign w:val="center"/>
          </w:tcPr>
          <w:p w14:paraId="5952C8C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项目加氢合建站与站外市政道路之间设置缓冲带，方便电动汽车的进出和充电等候。</w:t>
            </w:r>
          </w:p>
        </w:tc>
        <w:tc>
          <w:tcPr>
            <w:tcW w:w="1349" w:type="dxa"/>
            <w:noWrap w:val="0"/>
            <w:vAlign w:val="center"/>
          </w:tcPr>
          <w:p w14:paraId="4EE64830">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F7E7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1295D0CE">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5.4与充电站合建的加氢合建站的氢气工艺设施与站外建筑物、构筑物的防火距离，应符合规定；</w:t>
            </w:r>
          </w:p>
          <w:p w14:paraId="3F2A5E2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5.5与充电站合建的加氢合建站的充电工艺设施与站外建筑物、构筑物的防火距离，应符合规定</w:t>
            </w:r>
          </w:p>
        </w:tc>
        <w:tc>
          <w:tcPr>
            <w:tcW w:w="2942" w:type="dxa"/>
            <w:noWrap w:val="0"/>
            <w:vAlign w:val="center"/>
          </w:tcPr>
          <w:p w14:paraId="47DA3CB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项目供氢站、充电工艺设施与站外建筑物、构筑物的防火距离</w:t>
            </w:r>
          </w:p>
        </w:tc>
        <w:tc>
          <w:tcPr>
            <w:tcW w:w="1349" w:type="dxa"/>
            <w:noWrap w:val="0"/>
            <w:vAlign w:val="center"/>
          </w:tcPr>
          <w:p w14:paraId="467B652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75EBD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4F739D46">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6.2与充电站合建的加氢合建站的充电工艺设施安装位置应距爆炸危险区域边界线3m以外，爆炸危险区域的划分按GB50516的有关规定。</w:t>
            </w:r>
          </w:p>
        </w:tc>
        <w:tc>
          <w:tcPr>
            <w:tcW w:w="2942" w:type="dxa"/>
            <w:noWrap w:val="0"/>
            <w:vAlign w:val="center"/>
          </w:tcPr>
          <w:p w14:paraId="42BDCFF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项目充电工艺设施与制氢站距离约50m</w:t>
            </w:r>
          </w:p>
        </w:tc>
        <w:tc>
          <w:tcPr>
            <w:tcW w:w="1349" w:type="dxa"/>
            <w:noWrap w:val="0"/>
            <w:vAlign w:val="center"/>
          </w:tcPr>
          <w:p w14:paraId="27FD296D">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0FC0783A">
      <w:pPr>
        <w:numPr>
          <w:ilvl w:val="0"/>
          <w:numId w:val="0"/>
        </w:numPr>
        <w:bidi w:val="0"/>
        <w:ind w:left="0" w:leftChars="0" w:firstLine="482" w:firstLineChars="200"/>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（11）</w:t>
      </w:r>
      <w:r>
        <w:rPr>
          <w:rFonts w:hint="eastAsia" w:ascii="Times New Roman" w:hAnsi="Times New Roman" w:eastAsia="宋体" w:cs="Times New Roman"/>
          <w:b/>
          <w:bCs/>
          <w:color w:val="auto"/>
          <w:sz w:val="24"/>
          <w:szCs w:val="24"/>
          <w:highlight w:val="none"/>
          <w:lang w:val="en-US" w:eastAsia="zh-CN"/>
        </w:rPr>
        <w:t>与《氢气使用安全技术规程》（GB4962-2008）符合性分析</w:t>
      </w:r>
    </w:p>
    <w:p w14:paraId="0E30220E">
      <w:pPr>
        <w:bidi w:val="0"/>
        <w:rPr>
          <w:rFonts w:hint="eastAsia"/>
          <w:color w:val="auto"/>
          <w:highlight w:val="none"/>
          <w:lang w:val="en-US" w:eastAsia="zh-CN"/>
        </w:rPr>
      </w:pPr>
      <w:r>
        <w:rPr>
          <w:rFonts w:hint="eastAsia"/>
          <w:color w:val="auto"/>
          <w:highlight w:val="none"/>
          <w:lang w:val="en-US" w:eastAsia="zh-CN"/>
        </w:rPr>
        <w:t>本项目与</w:t>
      </w:r>
      <w:r>
        <w:rPr>
          <w:rFonts w:hint="eastAsia"/>
          <w:color w:val="auto"/>
          <w:highlight w:val="none"/>
        </w:rPr>
        <w:t>《氢气使用安全技术规程》</w:t>
      </w:r>
      <w:r>
        <w:rPr>
          <w:rFonts w:hint="eastAsia"/>
          <w:color w:val="auto"/>
          <w:highlight w:val="none"/>
          <w:lang w:eastAsia="zh-CN"/>
        </w:rPr>
        <w:t>（</w:t>
      </w:r>
      <w:r>
        <w:rPr>
          <w:rFonts w:hint="eastAsia"/>
          <w:color w:val="auto"/>
          <w:highlight w:val="none"/>
        </w:rPr>
        <w:t>GB4962-2008</w:t>
      </w:r>
      <w:r>
        <w:rPr>
          <w:rFonts w:hint="eastAsia"/>
          <w:color w:val="auto"/>
          <w:highlight w:val="none"/>
          <w:lang w:eastAsia="zh-CN"/>
        </w:rPr>
        <w:t>）</w:t>
      </w:r>
      <w:r>
        <w:rPr>
          <w:rFonts w:hint="eastAsia"/>
          <w:color w:val="auto"/>
          <w:highlight w:val="none"/>
          <w:lang w:val="en-US" w:eastAsia="zh-CN"/>
        </w:rPr>
        <w:t>符合性分析见下表。</w:t>
      </w:r>
    </w:p>
    <w:p w14:paraId="72AEA0E7">
      <w:pPr>
        <w:pStyle w:val="549"/>
        <w:bidi w:val="0"/>
        <w:rPr>
          <w:rFonts w:hint="default"/>
          <w:color w:val="auto"/>
          <w:highlight w:val="none"/>
          <w:lang w:val="en-US" w:eastAsia="zh-CN"/>
        </w:rPr>
      </w:pPr>
      <w:r>
        <w:rPr>
          <w:rFonts w:hint="eastAsia"/>
          <w:color w:val="auto"/>
          <w:highlight w:val="none"/>
          <w:lang w:val="en-US" w:eastAsia="zh-CN"/>
        </w:rPr>
        <w:t>表2.5.3-12  项目与</w:t>
      </w:r>
      <w:r>
        <w:rPr>
          <w:rFonts w:hint="eastAsia" w:ascii="Times New Roman" w:hAnsi="Times New Roman" w:eastAsia="宋体" w:cs="Times New Roman"/>
          <w:b/>
          <w:bCs/>
          <w:color w:val="auto"/>
          <w:sz w:val="24"/>
          <w:szCs w:val="24"/>
          <w:highlight w:val="none"/>
          <w:lang w:val="en-US" w:eastAsia="zh-CN"/>
        </w:rPr>
        <w:t>《氢气使用安全技术规程》（GB4962-2008）</w:t>
      </w:r>
      <w:r>
        <w:rPr>
          <w:rFonts w:hint="eastAsia"/>
          <w:color w:val="auto"/>
          <w:highlight w:val="none"/>
          <w:lang w:val="en-US" w:eastAsia="zh-CN"/>
        </w:rPr>
        <w:t>符合性分析表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81"/>
        <w:gridCol w:w="2763"/>
        <w:gridCol w:w="1278"/>
      </w:tblGrid>
      <w:tr w14:paraId="03864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683DFB05">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2942" w:type="dxa"/>
            <w:noWrap w:val="0"/>
            <w:vAlign w:val="center"/>
          </w:tcPr>
          <w:p w14:paraId="104953F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668DF68B">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015F2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036C26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4.1.3供氢站、氢气罐应为独立的建（构）筑物；宜布置在工厂常年最小频率风向的下风侧，并远离有明火或散发火花的地点；不得布置在人员密集地段和交通要道邻近处；宜设置不燃烧体的实体围墙。</w:t>
            </w:r>
          </w:p>
        </w:tc>
        <w:tc>
          <w:tcPr>
            <w:tcW w:w="2942" w:type="dxa"/>
            <w:noWrap w:val="0"/>
            <w:vAlign w:val="center"/>
          </w:tcPr>
          <w:p w14:paraId="56312CC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本项目供氢站位于站内东南侧，为常年最小频率风向的下风侧，为独立建筑物，设置混凝土实体围墙，高度＞2.5m</w:t>
            </w:r>
          </w:p>
        </w:tc>
        <w:tc>
          <w:tcPr>
            <w:tcW w:w="1349" w:type="dxa"/>
            <w:noWrap w:val="0"/>
            <w:vAlign w:val="center"/>
          </w:tcPr>
          <w:p w14:paraId="7FF60166">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6221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1B943686">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4.1.4氢气充（灌）装站、供氢站、实瓶间、空瓶间宜布置在厂房的边缘部分</w:t>
            </w:r>
          </w:p>
        </w:tc>
        <w:tc>
          <w:tcPr>
            <w:tcW w:w="2942" w:type="dxa"/>
            <w:noWrap w:val="0"/>
            <w:vAlign w:val="center"/>
          </w:tcPr>
          <w:p w14:paraId="5E7BF93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本项目供氢站位于站内东南侧，位于站内边缘部分</w:t>
            </w:r>
          </w:p>
        </w:tc>
        <w:tc>
          <w:tcPr>
            <w:tcW w:w="1349" w:type="dxa"/>
            <w:noWrap w:val="0"/>
            <w:vAlign w:val="center"/>
          </w:tcPr>
          <w:p w14:paraId="12EF953F">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0C8C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2F600CE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4.1.7气有可能积聚处或氢气浓度可能增加处宜设置固定式可燃气体检测报警仪，可燃气体检测报警仪应设在监测点（释放源）上方或厂房顶端，其安装高度应高出释放源0.5m～2m且周围留有不小于0.3m的净空，以便对氢气浓度进行监测。可燃气体检测报警仪的有效覆盖水平平面半径，室内宜为7.5m，室外宜为15m.</w:t>
            </w:r>
          </w:p>
        </w:tc>
        <w:tc>
          <w:tcPr>
            <w:tcW w:w="2942" w:type="dxa"/>
            <w:noWrap w:val="0"/>
            <w:vAlign w:val="center"/>
          </w:tcPr>
          <w:p w14:paraId="0EAD92D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项目设置固定式可燃气体检测报警仪</w:t>
            </w:r>
          </w:p>
        </w:tc>
        <w:tc>
          <w:tcPr>
            <w:tcW w:w="1349" w:type="dxa"/>
            <w:noWrap w:val="0"/>
            <w:vAlign w:val="center"/>
          </w:tcPr>
          <w:p w14:paraId="58AD8B5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3BB6D4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（12）</w:t>
      </w:r>
      <w:r>
        <w:rPr>
          <w:rFonts w:hint="eastAsia" w:ascii="Times New Roman" w:hAnsi="Times New Roman" w:eastAsia="宋体" w:cs="Times New Roman"/>
          <w:b/>
          <w:bCs/>
          <w:color w:val="auto"/>
          <w:sz w:val="24"/>
          <w:szCs w:val="24"/>
          <w:highlight w:val="none"/>
          <w:lang w:val="en-US" w:eastAsia="zh-CN"/>
        </w:rPr>
        <w:t>与《汽车加油加气加氢站技术标准》（GB50156-2021）符合性分析</w:t>
      </w:r>
    </w:p>
    <w:p w14:paraId="4E5D26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bCs/>
          <w:color w:val="auto"/>
          <w:sz w:val="24"/>
          <w:szCs w:val="24"/>
          <w:highlight w:val="none"/>
          <w:lang w:val="en-US" w:eastAsia="zh-CN"/>
        </w:rPr>
      </w:pPr>
      <w:r>
        <w:rPr>
          <w:rFonts w:hint="eastAsia"/>
          <w:color w:val="auto"/>
          <w:sz w:val="24"/>
          <w:szCs w:val="24"/>
          <w:highlight w:val="none"/>
          <w:lang w:val="en-US" w:eastAsia="zh-CN"/>
        </w:rPr>
        <w:t>本项目与</w:t>
      </w:r>
      <w:r>
        <w:rPr>
          <w:rFonts w:hint="eastAsia" w:ascii="Times New Roman" w:hAnsi="Times New Roman" w:eastAsia="宋体" w:cs="Times New Roman"/>
          <w:b w:val="0"/>
          <w:bCs w:val="0"/>
          <w:color w:val="auto"/>
          <w:sz w:val="24"/>
          <w:szCs w:val="24"/>
          <w:highlight w:val="none"/>
          <w:lang w:val="en-US" w:eastAsia="zh-CN"/>
        </w:rPr>
        <w:t>《汽车加油加气加氢站技术标准》（GB50156-2021）符合性见下表。</w:t>
      </w:r>
    </w:p>
    <w:p w14:paraId="7AE776C7">
      <w:pPr>
        <w:pStyle w:val="549"/>
        <w:bidi w:val="0"/>
        <w:rPr>
          <w:rFonts w:hint="default"/>
          <w:color w:val="auto"/>
          <w:highlight w:val="none"/>
          <w:lang w:val="en-US" w:eastAsia="zh-CN"/>
        </w:rPr>
      </w:pPr>
      <w:r>
        <w:rPr>
          <w:rFonts w:hint="eastAsia"/>
          <w:color w:val="auto"/>
          <w:highlight w:val="none"/>
          <w:lang w:val="en-US" w:eastAsia="zh-CN"/>
        </w:rPr>
        <w:t>表2.5.3-13  项目</w:t>
      </w:r>
      <w:r>
        <w:rPr>
          <w:rFonts w:hint="eastAsia"/>
          <w:b/>
          <w:bCs/>
          <w:color w:val="auto"/>
          <w:highlight w:val="none"/>
          <w:lang w:val="en-US" w:eastAsia="zh-CN"/>
        </w:rPr>
        <w:t>与</w:t>
      </w:r>
      <w:r>
        <w:rPr>
          <w:rFonts w:hint="eastAsia" w:ascii="Times New Roman" w:hAnsi="Times New Roman" w:eastAsia="宋体" w:cs="Times New Roman"/>
          <w:b/>
          <w:bCs/>
          <w:color w:val="auto"/>
          <w:sz w:val="24"/>
          <w:szCs w:val="24"/>
          <w:highlight w:val="none"/>
          <w:lang w:val="en-US" w:eastAsia="zh-CN"/>
        </w:rPr>
        <w:t>《汽车加油加气加氢站技术标准》（GB50156-2021）</w:t>
      </w:r>
      <w:r>
        <w:rPr>
          <w:rFonts w:hint="eastAsia"/>
          <w:b/>
          <w:bCs/>
          <w:color w:val="auto"/>
          <w:highlight w:val="none"/>
          <w:lang w:val="en-US" w:eastAsia="zh-CN"/>
        </w:rPr>
        <w:t>符</w:t>
      </w:r>
      <w:r>
        <w:rPr>
          <w:rFonts w:hint="eastAsia"/>
          <w:color w:val="auto"/>
          <w:highlight w:val="none"/>
          <w:lang w:val="en-US" w:eastAsia="zh-CN"/>
        </w:rPr>
        <w:t>合性分析表</w:t>
      </w:r>
    </w:p>
    <w:tbl>
      <w:tblPr>
        <w:tblStyle w:val="5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56"/>
        <w:gridCol w:w="2801"/>
        <w:gridCol w:w="1265"/>
      </w:tblGrid>
      <w:tr w14:paraId="260BA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4DA9ABA5">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相关要求</w:t>
            </w:r>
          </w:p>
        </w:tc>
        <w:tc>
          <w:tcPr>
            <w:tcW w:w="2942" w:type="dxa"/>
            <w:noWrap w:val="0"/>
            <w:vAlign w:val="center"/>
          </w:tcPr>
          <w:p w14:paraId="2855AE1F">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本项目落实情况</w:t>
            </w:r>
          </w:p>
        </w:tc>
        <w:tc>
          <w:tcPr>
            <w:tcW w:w="1349" w:type="dxa"/>
            <w:noWrap w:val="0"/>
            <w:vAlign w:val="center"/>
          </w:tcPr>
          <w:p w14:paraId="6F515D80">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pacing w:val="0"/>
                <w:sz w:val="21"/>
                <w:highlight w:val="none"/>
                <w:lang w:val="en-US" w:eastAsia="zh-CN"/>
              </w:rPr>
            </w:pPr>
            <w:r>
              <w:rPr>
                <w:rFonts w:hint="eastAsia" w:ascii="Times New Roman" w:hAnsi="Times New Roman" w:eastAsia="宋体" w:cs="Times New Roman"/>
                <w:b/>
                <w:bCs/>
                <w:color w:val="auto"/>
                <w:spacing w:val="0"/>
                <w:sz w:val="21"/>
                <w:highlight w:val="none"/>
                <w:lang w:val="en-US" w:eastAsia="zh-CN"/>
              </w:rPr>
              <w:t>符合性分析</w:t>
            </w:r>
          </w:p>
        </w:tc>
      </w:tr>
      <w:tr w14:paraId="48CD9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2EED98B4">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3.0.1向汽车加油加气加氢站供应汽油、柴油、LPG、LNG、液氢，可采取罐车或罐式集装箱运输或管道输送的方式，供应CNG氢气可采取长管拖车、管束式集装箱运输或管道输送的方式。</w:t>
            </w:r>
          </w:p>
        </w:tc>
        <w:tc>
          <w:tcPr>
            <w:tcW w:w="2942" w:type="dxa"/>
            <w:noWrap w:val="0"/>
            <w:vAlign w:val="center"/>
          </w:tcPr>
          <w:p w14:paraId="3526AEB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本项目为油、电、氢一体化综合能源站，柴油、汽油使用罐车运输，站内设置制氢加氢站，采用自备制氢系统供氢</w:t>
            </w:r>
          </w:p>
        </w:tc>
        <w:tc>
          <w:tcPr>
            <w:tcW w:w="1349" w:type="dxa"/>
            <w:noWrap w:val="0"/>
            <w:vAlign w:val="center"/>
          </w:tcPr>
          <w:p w14:paraId="6E47F02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8A66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52257CA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3.0.25汽车加油加气加氢站内不应设置存放甲、乙类火灾危险性物品的封闭式房间</w:t>
            </w:r>
          </w:p>
        </w:tc>
        <w:tc>
          <w:tcPr>
            <w:tcW w:w="2942" w:type="dxa"/>
            <w:noWrap w:val="0"/>
            <w:vAlign w:val="center"/>
          </w:tcPr>
          <w:p w14:paraId="0E00FED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项目内无存放甲、乙类火灾危险性物品的封闭式房间</w:t>
            </w:r>
          </w:p>
        </w:tc>
        <w:tc>
          <w:tcPr>
            <w:tcW w:w="1349" w:type="dxa"/>
            <w:noWrap w:val="0"/>
            <w:vAlign w:val="center"/>
          </w:tcPr>
          <w:p w14:paraId="4503C5DC">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64698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EBC2BE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3.0.26除埋地油罐外，各类工艺设备可单独或组合安装于一个钢制橇体上，设备间距应符合本标准第5.0.13条和第5.0.14条的规定</w:t>
            </w:r>
          </w:p>
        </w:tc>
        <w:tc>
          <w:tcPr>
            <w:tcW w:w="2942" w:type="dxa"/>
            <w:noWrap w:val="0"/>
            <w:vAlign w:val="center"/>
          </w:tcPr>
          <w:p w14:paraId="7982D9B6">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项目各类工业设备均单独安装于一个钢制橇体上，设备间距满足标准要求</w:t>
            </w:r>
          </w:p>
        </w:tc>
        <w:tc>
          <w:tcPr>
            <w:tcW w:w="1349" w:type="dxa"/>
            <w:noWrap w:val="0"/>
            <w:vAlign w:val="center"/>
          </w:tcPr>
          <w:p w14:paraId="151B800A">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16BB9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221ACB5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3.0.27汽车加油加气加氢站应设置电视监视系统，监视范围应覆盖作业区</w:t>
            </w:r>
          </w:p>
        </w:tc>
        <w:tc>
          <w:tcPr>
            <w:tcW w:w="2942" w:type="dxa"/>
            <w:noWrap w:val="0"/>
            <w:vAlign w:val="center"/>
          </w:tcPr>
          <w:p w14:paraId="3966CBC2">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项目全厂设置电视监控系统，覆盖整个作业区</w:t>
            </w:r>
          </w:p>
        </w:tc>
        <w:tc>
          <w:tcPr>
            <w:tcW w:w="1349" w:type="dxa"/>
            <w:noWrap w:val="0"/>
            <w:vAlign w:val="center"/>
          </w:tcPr>
          <w:p w14:paraId="368A2904">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43088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3A990D5C">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4.0.1汽车加油加气加氢站的站址选择应符合有关规划、环境保护和防火安全的要求，并应选在交通便利、用户使用方便的地点</w:t>
            </w:r>
          </w:p>
        </w:tc>
        <w:tc>
          <w:tcPr>
            <w:tcW w:w="2942" w:type="dxa"/>
            <w:noWrap w:val="0"/>
            <w:vAlign w:val="center"/>
          </w:tcPr>
          <w:p w14:paraId="2D58FA42">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本项目位于淮南市田家庵经济开发区，位于</w:t>
            </w:r>
            <w:r>
              <w:rPr>
                <w:b w:val="0"/>
                <w:bCs w:val="0"/>
                <w:color w:val="auto"/>
                <w:sz w:val="24"/>
                <w:szCs w:val="24"/>
                <w:highlight w:val="none"/>
              </w:rPr>
              <w:t>《</w:t>
            </w:r>
            <w:r>
              <w:rPr>
                <w:rFonts w:hint="eastAsia" w:ascii="Times New Roman" w:hAnsi="Times New Roman" w:eastAsia="宋体" w:cs="Times New Roman"/>
                <w:b w:val="0"/>
                <w:bCs w:val="0"/>
                <w:color w:val="auto"/>
                <w:highlight w:val="none"/>
                <w:lang w:eastAsia="zh-CN"/>
              </w:rPr>
              <w:t>淮南市</w:t>
            </w:r>
            <w:r>
              <w:rPr>
                <w:rFonts w:hint="eastAsia" w:ascii="Times New Roman" w:hAnsi="Times New Roman" w:eastAsia="宋体" w:cs="Times New Roman"/>
                <w:b w:val="0"/>
                <w:bCs w:val="0"/>
                <w:color w:val="auto"/>
                <w:highlight w:val="none"/>
                <w:lang w:val="en-US" w:eastAsia="zh-CN"/>
              </w:rPr>
              <w:t>曹庵镇总体规划</w:t>
            </w:r>
            <w:r>
              <w:rPr>
                <w:rFonts w:hint="eastAsia" w:ascii="Times New Roman" w:hAnsi="Times New Roman" w:eastAsia="宋体" w:cs="Times New Roman"/>
                <w:b w:val="0"/>
                <w:bCs w:val="0"/>
                <w:color w:val="auto"/>
                <w:highlight w:val="none"/>
                <w:lang w:eastAsia="zh-CN"/>
              </w:rPr>
              <w:t>（20</w:t>
            </w:r>
            <w:r>
              <w:rPr>
                <w:rFonts w:hint="eastAsia" w:ascii="Times New Roman" w:hAnsi="Times New Roman" w:eastAsia="宋体" w:cs="Times New Roman"/>
                <w:b w:val="0"/>
                <w:bCs w:val="0"/>
                <w:color w:val="auto"/>
                <w:highlight w:val="none"/>
                <w:lang w:val="en-US" w:eastAsia="zh-CN"/>
              </w:rPr>
              <w:t>16</w:t>
            </w:r>
            <w:r>
              <w:rPr>
                <w:rFonts w:hint="eastAsia" w:ascii="Times New Roman" w:hAnsi="Times New Roman" w:eastAsia="宋体" w:cs="Times New Roman"/>
                <w:b w:val="0"/>
                <w:bCs w:val="0"/>
                <w:color w:val="auto"/>
                <w:highlight w:val="none"/>
                <w:lang w:eastAsia="zh-CN"/>
              </w:rPr>
              <w:t>-203</w:t>
            </w:r>
            <w:r>
              <w:rPr>
                <w:rFonts w:hint="eastAsia" w:ascii="Times New Roman" w:hAnsi="Times New Roman" w:eastAsia="宋体" w:cs="Times New Roman"/>
                <w:b w:val="0"/>
                <w:bCs w:val="0"/>
                <w:color w:val="auto"/>
                <w:highlight w:val="none"/>
                <w:lang w:val="en-US" w:eastAsia="zh-CN"/>
              </w:rPr>
              <w:t>0</w:t>
            </w:r>
            <w:r>
              <w:rPr>
                <w:rFonts w:hint="eastAsia" w:ascii="Times New Roman" w:hAnsi="Times New Roman" w:eastAsia="宋体" w:cs="Times New Roman"/>
                <w:b w:val="0"/>
                <w:bCs w:val="0"/>
                <w:color w:val="auto"/>
                <w:highlight w:val="none"/>
                <w:lang w:eastAsia="zh-CN"/>
              </w:rPr>
              <w:t>年）</w:t>
            </w:r>
            <w:r>
              <w:rPr>
                <w:b w:val="0"/>
                <w:bCs w:val="0"/>
                <w:color w:val="auto"/>
                <w:sz w:val="24"/>
                <w:szCs w:val="24"/>
                <w:highlight w:val="none"/>
              </w:rPr>
              <w:t>》</w:t>
            </w:r>
            <w:r>
              <w:rPr>
                <w:rFonts w:hint="eastAsia" w:ascii="Times New Roman" w:hAnsi="Times New Roman" w:eastAsia="宋体" w:cs="Times New Roman"/>
                <w:color w:val="auto"/>
                <w:spacing w:val="0"/>
                <w:sz w:val="21"/>
                <w:highlight w:val="none"/>
                <w:lang w:val="en-US" w:eastAsia="zh-CN"/>
              </w:rPr>
              <w:t>中适建区，项目西侧为烟汕线，交通便利</w:t>
            </w:r>
          </w:p>
        </w:tc>
        <w:tc>
          <w:tcPr>
            <w:tcW w:w="1349" w:type="dxa"/>
            <w:noWrap w:val="0"/>
            <w:vAlign w:val="center"/>
          </w:tcPr>
          <w:p w14:paraId="18A97AA4">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7A4BD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3F754A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4.0.2在城市中心区不应建一级汽车加油加气加氢站、CNG加气母站</w:t>
            </w:r>
          </w:p>
        </w:tc>
        <w:tc>
          <w:tcPr>
            <w:tcW w:w="2942" w:type="dxa"/>
            <w:noWrap w:val="0"/>
            <w:vAlign w:val="center"/>
          </w:tcPr>
          <w:p w14:paraId="36BC903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项目加油站日最大加油量为10m³，为三级加油加氢站，项目不在城市中心区</w:t>
            </w:r>
          </w:p>
        </w:tc>
        <w:tc>
          <w:tcPr>
            <w:tcW w:w="1349" w:type="dxa"/>
            <w:noWrap w:val="0"/>
            <w:vAlign w:val="center"/>
          </w:tcPr>
          <w:p w14:paraId="62566972">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68626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1394F86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4.0.3城市建成区内的汽车加油加气加氢站宜靠近城市道路，但不宜选在城市干道的交叉路口附近。</w:t>
            </w:r>
          </w:p>
        </w:tc>
        <w:tc>
          <w:tcPr>
            <w:tcW w:w="2942" w:type="dxa"/>
            <w:noWrap w:val="0"/>
            <w:vAlign w:val="center"/>
          </w:tcPr>
          <w:p w14:paraId="122022B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项目西侧为烟汕线，交通便利</w:t>
            </w:r>
          </w:p>
        </w:tc>
        <w:tc>
          <w:tcPr>
            <w:tcW w:w="1349" w:type="dxa"/>
            <w:noWrap w:val="0"/>
            <w:vAlign w:val="center"/>
          </w:tcPr>
          <w:p w14:paraId="750A3DEC">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1A54C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490589E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4.0.4加油站、各类合建站中的汽油、柴油工艺设备与站外建（构）筑物的安全间距，不应小于表4.0.4的规定。</w:t>
            </w:r>
          </w:p>
        </w:tc>
        <w:tc>
          <w:tcPr>
            <w:tcW w:w="2942" w:type="dxa"/>
            <w:noWrap w:val="0"/>
            <w:vAlign w:val="center"/>
          </w:tcPr>
          <w:p w14:paraId="15E85EBD">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项目各构筑物安全距离满足表4.0.1的规定</w:t>
            </w:r>
          </w:p>
        </w:tc>
        <w:tc>
          <w:tcPr>
            <w:tcW w:w="1349" w:type="dxa"/>
            <w:noWrap w:val="0"/>
            <w:vAlign w:val="center"/>
          </w:tcPr>
          <w:p w14:paraId="328A265D">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728F5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06F2926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5.0.1车辆入口和出口应分开设置</w:t>
            </w:r>
          </w:p>
        </w:tc>
        <w:tc>
          <w:tcPr>
            <w:tcW w:w="2942" w:type="dxa"/>
            <w:noWrap w:val="0"/>
            <w:vAlign w:val="center"/>
          </w:tcPr>
          <w:p w14:paraId="1A5E46F2">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项目进出口独立设置</w:t>
            </w:r>
          </w:p>
        </w:tc>
        <w:tc>
          <w:tcPr>
            <w:tcW w:w="1349" w:type="dxa"/>
            <w:noWrap w:val="0"/>
            <w:vAlign w:val="center"/>
          </w:tcPr>
          <w:p w14:paraId="659A34D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0F76E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CCF945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5.0.3作业区与辅助服务区之间应有界线标识</w:t>
            </w:r>
          </w:p>
        </w:tc>
        <w:tc>
          <w:tcPr>
            <w:tcW w:w="2942" w:type="dxa"/>
            <w:noWrap w:val="0"/>
            <w:vAlign w:val="center"/>
          </w:tcPr>
          <w:p w14:paraId="72C7999D">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项目作业区与辅助服务区设置界线标识</w:t>
            </w:r>
          </w:p>
        </w:tc>
        <w:tc>
          <w:tcPr>
            <w:tcW w:w="1349" w:type="dxa"/>
            <w:noWrap w:val="0"/>
            <w:vAlign w:val="center"/>
          </w:tcPr>
          <w:p w14:paraId="6D9529B4">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73428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584E946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5.0.4在加油加气、加油加氢合建站内，宜将柴油罐布置在储气设施或储氢设施与汽油罐之间。</w:t>
            </w:r>
          </w:p>
        </w:tc>
        <w:tc>
          <w:tcPr>
            <w:tcW w:w="2942" w:type="dxa"/>
            <w:noWrap w:val="0"/>
            <w:vAlign w:val="center"/>
          </w:tcPr>
          <w:p w14:paraId="5304727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项目柴油罐设置在储氢设施与汽油罐之间</w:t>
            </w:r>
          </w:p>
        </w:tc>
        <w:tc>
          <w:tcPr>
            <w:tcW w:w="1349" w:type="dxa"/>
            <w:noWrap w:val="0"/>
            <w:vAlign w:val="center"/>
          </w:tcPr>
          <w:p w14:paraId="5D8AE5D0">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2F996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1A23909">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5.0.5加油加气加氢站作业区内，不得有</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明火地点</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或</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散发火花地点</w:t>
            </w:r>
            <w:r>
              <w:rPr>
                <w:rFonts w:hint="eastAsia" w:ascii="Times New Roman" w:hAnsi="Times New Roman" w:cs="Times New Roman"/>
                <w:color w:val="auto"/>
                <w:spacing w:val="0"/>
                <w:sz w:val="21"/>
                <w:highlight w:val="none"/>
                <w:lang w:val="en-US" w:eastAsia="zh-CN"/>
              </w:rPr>
              <w:t>”</w:t>
            </w:r>
          </w:p>
        </w:tc>
        <w:tc>
          <w:tcPr>
            <w:tcW w:w="2942" w:type="dxa"/>
            <w:noWrap w:val="0"/>
            <w:vAlign w:val="center"/>
          </w:tcPr>
          <w:p w14:paraId="35B1997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项目区内无</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明火地点</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或</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散发火花地点</w:t>
            </w:r>
            <w:r>
              <w:rPr>
                <w:rFonts w:hint="eastAsia" w:ascii="Times New Roman" w:hAnsi="Times New Roman" w:cs="Times New Roman"/>
                <w:color w:val="auto"/>
                <w:spacing w:val="0"/>
                <w:sz w:val="21"/>
                <w:highlight w:val="none"/>
                <w:lang w:val="en-US" w:eastAsia="zh-CN"/>
              </w:rPr>
              <w:t>”</w:t>
            </w:r>
          </w:p>
        </w:tc>
        <w:tc>
          <w:tcPr>
            <w:tcW w:w="1349" w:type="dxa"/>
            <w:noWrap w:val="0"/>
            <w:vAlign w:val="center"/>
          </w:tcPr>
          <w:p w14:paraId="0FD99894">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74F1A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428E6E2D">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5.0.7电动汽车充电设施应布置在辅助服务区内</w:t>
            </w:r>
          </w:p>
        </w:tc>
        <w:tc>
          <w:tcPr>
            <w:tcW w:w="2942" w:type="dxa"/>
            <w:noWrap w:val="0"/>
            <w:vAlign w:val="center"/>
          </w:tcPr>
          <w:p w14:paraId="702F36D8">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项目电动汽车充电设施布置在辅助服务区内</w:t>
            </w:r>
          </w:p>
        </w:tc>
        <w:tc>
          <w:tcPr>
            <w:tcW w:w="1349" w:type="dxa"/>
            <w:noWrap w:val="0"/>
            <w:vAlign w:val="center"/>
          </w:tcPr>
          <w:p w14:paraId="2389D948">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361A7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5B44181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6.1.3埋地油罐需要采用双层油罐时，可采用双层钢制油罐、双层玻璃纤维增强塑料油罐、内钢外玻璃纤维增强塑料双层油罐既有加油站的埋地单层钢制油罐改造为双层油罐时，可采用玻璃纤维增强塑料等满足强度和防渗要求的材料进行衬里改造</w:t>
            </w:r>
          </w:p>
        </w:tc>
        <w:tc>
          <w:tcPr>
            <w:tcW w:w="2942" w:type="dxa"/>
            <w:vMerge w:val="restart"/>
            <w:noWrap w:val="0"/>
            <w:vAlign w:val="center"/>
          </w:tcPr>
          <w:p w14:paraId="041CE9AF">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项目设置埋地油罐，为双层罐，设置防满溢装置、油气回收系统及带有高液位报警功能的液位监测系统</w:t>
            </w:r>
            <w:r>
              <w:rPr>
                <w:rFonts w:hint="eastAsia" w:ascii="Times New Roman" w:hAnsi="Times New Roman" w:cs="Times New Roman"/>
                <w:color w:val="auto"/>
                <w:spacing w:val="0"/>
                <w:sz w:val="21"/>
                <w:highlight w:val="none"/>
                <w:lang w:val="en-US" w:eastAsia="zh-CN"/>
              </w:rPr>
              <w:t>，</w:t>
            </w:r>
            <w:r>
              <w:rPr>
                <w:rFonts w:hint="eastAsia" w:ascii="Times New Roman" w:hAnsi="Times New Roman" w:eastAsia="宋体" w:cs="Times New Roman"/>
                <w:color w:val="auto"/>
                <w:spacing w:val="0"/>
                <w:sz w:val="21"/>
                <w:highlight w:val="none"/>
                <w:lang w:val="en-US" w:eastAsia="zh-CN"/>
              </w:rPr>
              <w:t>埋地油罐地面进行重点防渗</w:t>
            </w:r>
          </w:p>
        </w:tc>
        <w:tc>
          <w:tcPr>
            <w:tcW w:w="1349" w:type="dxa"/>
            <w:vMerge w:val="restart"/>
            <w:noWrap w:val="0"/>
            <w:vAlign w:val="center"/>
          </w:tcPr>
          <w:p w14:paraId="14719BFD">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04030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615FC8F5">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6.1.15油罐卸油应采取防满溢措施。油料达到油罐容量的90%时，应能触动高液位报警装置；油料达到油罐容量的95%时应能自动停止油料继续进罐。高液位报警装置应位于工作人员便于觉察的地点。</w:t>
            </w:r>
          </w:p>
        </w:tc>
        <w:tc>
          <w:tcPr>
            <w:tcW w:w="2942" w:type="dxa"/>
            <w:vMerge w:val="continue"/>
            <w:noWrap w:val="0"/>
            <w:vAlign w:val="center"/>
          </w:tcPr>
          <w:p w14:paraId="296CB7AB">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c>
          <w:tcPr>
            <w:tcW w:w="1349" w:type="dxa"/>
            <w:vMerge w:val="continue"/>
            <w:noWrap w:val="0"/>
            <w:vAlign w:val="center"/>
          </w:tcPr>
          <w:p w14:paraId="6162022A">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r>
      <w:tr w14:paraId="747D4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26F82F78">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6.1.16设有油气回收系统的加油站，站内油罐应设带有高液位报警功能的液位监测系统。单层油罐的液位监测系统尚应具备渗漏检测功能，渗漏检测分辨率不宜大于0.8L/h。</w:t>
            </w:r>
          </w:p>
        </w:tc>
        <w:tc>
          <w:tcPr>
            <w:tcW w:w="2942" w:type="dxa"/>
            <w:vMerge w:val="continue"/>
            <w:noWrap w:val="0"/>
            <w:vAlign w:val="center"/>
          </w:tcPr>
          <w:p w14:paraId="14A57F00">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c>
          <w:tcPr>
            <w:tcW w:w="1349" w:type="dxa"/>
            <w:vMerge w:val="continue"/>
            <w:noWrap w:val="0"/>
            <w:vAlign w:val="center"/>
          </w:tcPr>
          <w:p w14:paraId="655A5BC7">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r>
      <w:tr w14:paraId="76F20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7E800CB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6.1.17与土壤接触的钢制油罐外表面，防腐设计应符合现行行业标准《石油化工设备和管道涂料防腐蚀设计标准》SH/T3022的有关规定，且防腐等级不应低于加强级</w:t>
            </w:r>
          </w:p>
        </w:tc>
        <w:tc>
          <w:tcPr>
            <w:tcW w:w="2942" w:type="dxa"/>
            <w:vMerge w:val="continue"/>
            <w:noWrap w:val="0"/>
            <w:vAlign w:val="center"/>
          </w:tcPr>
          <w:p w14:paraId="206E5847">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c>
          <w:tcPr>
            <w:tcW w:w="1349" w:type="dxa"/>
            <w:vMerge w:val="continue"/>
            <w:noWrap w:val="0"/>
            <w:vAlign w:val="center"/>
          </w:tcPr>
          <w:p w14:paraId="7133B643">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p>
        </w:tc>
      </w:tr>
      <w:tr w14:paraId="7A618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5030C6A9">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6.2.1加油机不得设置在室内。</w:t>
            </w:r>
          </w:p>
          <w:p w14:paraId="6D4ED8C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6.2.2加油枪应采用自封式加油枪，汽油加油枪的流量不应大于50L/min。</w:t>
            </w:r>
          </w:p>
          <w:p w14:paraId="34DB3D1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6.2.3加油软管上宜设安全拉断阀。</w:t>
            </w:r>
          </w:p>
          <w:p w14:paraId="68059FC6">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6.2.4以正压（潜油泵）供油的加油机，底部的供油管道上应设剪切阀，当加油机被撞或起火时，剪切阀应能自动关闭。</w:t>
            </w:r>
          </w:p>
          <w:p w14:paraId="622013A3">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6.2.5采用一机多油品的加油机时，加油机上的放枪位应有各油品的文字标识，加油枪应有颜色标识。</w:t>
            </w:r>
          </w:p>
        </w:tc>
        <w:tc>
          <w:tcPr>
            <w:tcW w:w="2942" w:type="dxa"/>
            <w:noWrap w:val="0"/>
            <w:vAlign w:val="center"/>
          </w:tcPr>
          <w:p w14:paraId="19DEB741">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项目加油机位于室内，采用自封式加油枪，流量≤50L/min；加油软管上设置安全拉断阀，各放枪位有各油品的文字标识，加油枪有颜色标识</w:t>
            </w:r>
          </w:p>
        </w:tc>
        <w:tc>
          <w:tcPr>
            <w:tcW w:w="1349" w:type="dxa"/>
            <w:noWrap w:val="0"/>
            <w:vAlign w:val="center"/>
          </w:tcPr>
          <w:p w14:paraId="28597B1A">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r w14:paraId="3B5B2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7" w:type="dxa"/>
            <w:noWrap w:val="0"/>
            <w:vAlign w:val="center"/>
          </w:tcPr>
          <w:p w14:paraId="5A22483A">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6.3.1汽油和柴油油罐车卸油必须采用密闭卸油方式。汽油油罐车应具有卸油油气回收系统。</w:t>
            </w:r>
          </w:p>
        </w:tc>
        <w:tc>
          <w:tcPr>
            <w:tcW w:w="2942" w:type="dxa"/>
            <w:noWrap w:val="0"/>
            <w:vAlign w:val="center"/>
          </w:tcPr>
          <w:p w14:paraId="3A9686A8">
            <w:pPr>
              <w:pStyle w:val="227"/>
              <w:keepNext w:val="0"/>
              <w:keepLines w:val="0"/>
              <w:pageBreakBefore w:val="0"/>
              <w:widowControl/>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项目罐车卸油采用密闭卸油方式，配套卸油油气回收系统</w:t>
            </w:r>
          </w:p>
        </w:tc>
        <w:tc>
          <w:tcPr>
            <w:tcW w:w="1349" w:type="dxa"/>
            <w:noWrap w:val="0"/>
            <w:vAlign w:val="center"/>
          </w:tcPr>
          <w:p w14:paraId="280BDA6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color w:val="auto"/>
                <w:spacing w:val="0"/>
                <w:sz w:val="21"/>
                <w:highlight w:val="none"/>
                <w:lang w:val="en-US" w:eastAsia="zh-CN"/>
              </w:rPr>
            </w:pPr>
            <w:r>
              <w:rPr>
                <w:rFonts w:hint="eastAsia" w:ascii="Times New Roman" w:hAnsi="Times New Roman" w:eastAsia="宋体" w:cs="Times New Roman"/>
                <w:color w:val="auto"/>
                <w:spacing w:val="0"/>
                <w:sz w:val="21"/>
                <w:highlight w:val="none"/>
                <w:lang w:val="en-US" w:eastAsia="zh-CN"/>
              </w:rPr>
              <w:t>符合</w:t>
            </w:r>
          </w:p>
        </w:tc>
      </w:tr>
    </w:tbl>
    <w:p w14:paraId="4348F012">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（13）与《安徽省十四五节能减排实施方案的通知》（皖政秘〔2022〕106号）</w:t>
      </w:r>
      <w:r>
        <w:rPr>
          <w:rFonts w:hint="default" w:ascii="Times New Roman" w:hAnsi="Times New Roman" w:eastAsia="宋体" w:cs="Times New Roman"/>
          <w:b/>
          <w:bCs/>
          <w:color w:val="auto"/>
          <w:sz w:val="24"/>
          <w:szCs w:val="24"/>
          <w:highlight w:val="none"/>
          <w:lang w:val="en-US" w:eastAsia="zh-CN"/>
        </w:rPr>
        <w:t>符合性分析</w:t>
      </w:r>
    </w:p>
    <w:p w14:paraId="0C26F1AD">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方案要求：</w:t>
      </w:r>
      <w:r>
        <w:rPr>
          <w:rFonts w:hint="eastAsia" w:ascii="Times New Roman" w:hAnsi="Times New Roman" w:eastAsia="宋体" w:cs="Times New Roman"/>
          <w:color w:val="auto"/>
          <w:sz w:val="24"/>
          <w:highlight w:val="none"/>
          <w:lang w:val="en-US" w:eastAsia="zh-CN"/>
        </w:rPr>
        <w:t>挥发性有机物综合整治工程。全面推动挥发性有机物纳入排污许可管理。禁止建设生产和使用高挥发性有机物含量涂料、油墨、胶粘剂、清洗剂等项目。加快推进石化、化工、涂装、医药、包装印刷和油品储运销等重点行业挥发性有机物深度治理，全面提升废气收集率、治理设施同步运行率和去除率，提高水性、高固体分、无溶剂、粉末、辐射固化等低挥发性有机物含量产品的比重。加大工业涂装、包装印刷等行业低挥发性有机物含量原辅材料替代力度，严格执行涂料、油墨、胶粘剂、清洗剂挥发性有机物含量限值标准，确保生产、销售、进口、使用符合标准的产品。到2025年，溶剂型工业涂料、油墨使用比例分别降低20个、10个百分点。溶剂型胶粘剂使用量降低20%。</w:t>
      </w:r>
    </w:p>
    <w:p w14:paraId="4ECF63B2">
      <w:pPr>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jc w:val="left"/>
        <w:textAlignment w:val="auto"/>
        <w:outlineLvl w:val="9"/>
        <w:rPr>
          <w:rFonts w:hint="eastAsia" w:ascii="Times New Roman" w:hAnsi="Times New Roman" w:eastAsia="宋体" w:cs="Times New Roman"/>
          <w:b w:val="0"/>
          <w:color w:val="auto"/>
          <w:kern w:val="2"/>
          <w:sz w:val="24"/>
          <w:szCs w:val="22"/>
          <w:highlight w:val="none"/>
          <w:lang w:val="en-US" w:eastAsia="zh-CN" w:bidi="ar-SA"/>
        </w:rPr>
      </w:pPr>
      <w:r>
        <w:rPr>
          <w:rFonts w:hint="eastAsia" w:ascii="Times New Roman" w:hAnsi="Times New Roman" w:eastAsia="宋体" w:cs="Times New Roman"/>
          <w:b w:val="0"/>
          <w:color w:val="auto"/>
          <w:kern w:val="2"/>
          <w:sz w:val="24"/>
          <w:szCs w:val="22"/>
          <w:highlight w:val="none"/>
          <w:lang w:val="en-US" w:eastAsia="zh-CN" w:bidi="ar-SA"/>
        </w:rPr>
        <w:t>坚决遏制高耗能高排放项目盲目发展。明确高耗能高排放（以下简称</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两高</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）项目界定标准，全面排查在建、拟建、存量</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两高</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项目，实施清单管理、分类处置、动态监控。严格控制新增</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两高</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项目审批，认真分析评估拟建项目必要性、可行性和对产业高质量发展、能耗双控、碳排放和环境质量的影响，严格审查项目是否符合产业政策、产业规划、</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三线一单</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、规划环评要求，是否依法依规落实产能置换、能耗置换、煤炭消费减量替代、污染物排放区域削减等要求。对已建成投产的存量</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两高</w:t>
      </w:r>
      <w:r>
        <w:rPr>
          <w:rFonts w:hint="eastAsia" w:cs="Times New Roman"/>
          <w:b w:val="0"/>
          <w:color w:val="auto"/>
          <w:kern w:val="2"/>
          <w:sz w:val="24"/>
          <w:szCs w:val="22"/>
          <w:highlight w:val="none"/>
          <w:lang w:val="en-US" w:eastAsia="zh-CN" w:bidi="ar-SA"/>
        </w:rPr>
        <w:t>”</w:t>
      </w:r>
      <w:r>
        <w:rPr>
          <w:rFonts w:hint="eastAsia" w:ascii="Times New Roman" w:hAnsi="Times New Roman" w:eastAsia="宋体" w:cs="Times New Roman"/>
          <w:b w:val="0"/>
          <w:color w:val="auto"/>
          <w:kern w:val="2"/>
          <w:sz w:val="24"/>
          <w:szCs w:val="22"/>
          <w:highlight w:val="none"/>
          <w:lang w:val="en-US" w:eastAsia="zh-CN" w:bidi="ar-SA"/>
        </w:rPr>
        <w:t>项目，有节能减排潜力的加快改造升级，属于落后产能的加快淘汰。</w:t>
      </w:r>
    </w:p>
    <w:p w14:paraId="207B3743">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color w:val="auto"/>
          <w:kern w:val="2"/>
          <w:sz w:val="24"/>
          <w:szCs w:val="22"/>
          <w:highlight w:val="none"/>
          <w:lang w:val="en-US" w:eastAsia="zh-CN" w:bidi="ar-SA"/>
        </w:rPr>
      </w:pPr>
      <w:r>
        <w:rPr>
          <w:rFonts w:hint="eastAsia" w:ascii="Times New Roman" w:hAnsi="Times New Roman" w:eastAsia="宋体" w:cs="Times New Roman"/>
          <w:b w:val="0"/>
          <w:color w:val="auto"/>
          <w:kern w:val="2"/>
          <w:sz w:val="24"/>
          <w:szCs w:val="22"/>
          <w:highlight w:val="none"/>
          <w:lang w:val="en-US" w:eastAsia="zh-CN" w:bidi="ar-SA"/>
        </w:rPr>
        <w:t>本项目</w:t>
      </w:r>
      <w:r>
        <w:rPr>
          <w:rFonts w:hint="default" w:ascii="Times New Roman" w:hAnsi="Times New Roman" w:eastAsia="宋体" w:cs="Times New Roman"/>
          <w:b w:val="0"/>
          <w:color w:val="auto"/>
          <w:kern w:val="2"/>
          <w:sz w:val="24"/>
          <w:szCs w:val="22"/>
          <w:highlight w:val="none"/>
          <w:lang w:val="en-US" w:eastAsia="zh-CN" w:bidi="ar-SA"/>
        </w:rPr>
        <w:t>着手从源头控制VOCs废气的产生和无组织排放，生产过程中产生的</w:t>
      </w:r>
      <w:r>
        <w:rPr>
          <w:rFonts w:hint="eastAsia" w:ascii="Times New Roman" w:hAnsi="Times New Roman" w:eastAsia="宋体" w:cs="Times New Roman"/>
          <w:b w:val="0"/>
          <w:color w:val="auto"/>
          <w:kern w:val="2"/>
          <w:sz w:val="24"/>
          <w:szCs w:val="22"/>
          <w:highlight w:val="none"/>
          <w:lang w:val="en-US" w:eastAsia="zh-CN" w:bidi="ar-SA"/>
        </w:rPr>
        <w:t>少量</w:t>
      </w:r>
      <w:r>
        <w:rPr>
          <w:rFonts w:hint="default" w:ascii="Times New Roman" w:hAnsi="Times New Roman" w:eastAsia="宋体" w:cs="Times New Roman"/>
          <w:b w:val="0"/>
          <w:color w:val="auto"/>
          <w:kern w:val="2"/>
          <w:sz w:val="24"/>
          <w:szCs w:val="22"/>
          <w:highlight w:val="none"/>
          <w:lang w:val="en-US" w:eastAsia="zh-CN" w:bidi="ar-SA"/>
        </w:rPr>
        <w:t>有机废气采用</w:t>
      </w:r>
      <w:r>
        <w:rPr>
          <w:rFonts w:hint="eastAsia" w:ascii="Times New Roman" w:hAnsi="Times New Roman" w:eastAsia="宋体" w:cs="Times New Roman"/>
          <w:b w:val="0"/>
          <w:color w:val="auto"/>
          <w:kern w:val="2"/>
          <w:sz w:val="24"/>
          <w:szCs w:val="22"/>
          <w:highlight w:val="none"/>
          <w:lang w:val="en-US" w:eastAsia="zh-CN" w:bidi="ar-SA"/>
        </w:rPr>
        <w:t>管道</w:t>
      </w:r>
      <w:r>
        <w:rPr>
          <w:rFonts w:hint="default" w:ascii="Times New Roman" w:hAnsi="Times New Roman" w:eastAsia="宋体" w:cs="Times New Roman"/>
          <w:b w:val="0"/>
          <w:color w:val="auto"/>
          <w:kern w:val="2"/>
          <w:sz w:val="24"/>
          <w:szCs w:val="22"/>
          <w:highlight w:val="none"/>
          <w:lang w:val="en-US" w:eastAsia="zh-CN" w:bidi="ar-SA"/>
        </w:rPr>
        <w:t>收集</w:t>
      </w:r>
      <w:r>
        <w:rPr>
          <w:rFonts w:hint="eastAsia" w:ascii="Times New Roman" w:hAnsi="Times New Roman" w:eastAsia="宋体" w:cs="Times New Roman"/>
          <w:b w:val="0"/>
          <w:color w:val="auto"/>
          <w:kern w:val="2"/>
          <w:sz w:val="24"/>
          <w:szCs w:val="22"/>
          <w:highlight w:val="none"/>
          <w:lang w:val="en-US" w:eastAsia="zh-CN" w:bidi="ar-SA"/>
        </w:rPr>
        <w:t>，配套现行可行处置技术措施进行处理达标排放</w:t>
      </w:r>
      <w:r>
        <w:rPr>
          <w:rFonts w:hint="default" w:ascii="Times New Roman" w:hAnsi="Times New Roman" w:eastAsia="宋体" w:cs="Times New Roman"/>
          <w:b w:val="0"/>
          <w:color w:val="auto"/>
          <w:kern w:val="2"/>
          <w:sz w:val="24"/>
          <w:szCs w:val="22"/>
          <w:highlight w:val="none"/>
          <w:lang w:val="en-US" w:eastAsia="zh-CN" w:bidi="ar-SA"/>
        </w:rPr>
        <w:t>；废气经治理措施处理后可稳定达标排放</w:t>
      </w:r>
      <w:r>
        <w:rPr>
          <w:rFonts w:hint="eastAsia" w:ascii="Times New Roman" w:hAnsi="Times New Roman" w:eastAsia="宋体" w:cs="Times New Roman"/>
          <w:b w:val="0"/>
          <w:color w:val="auto"/>
          <w:kern w:val="2"/>
          <w:sz w:val="24"/>
          <w:szCs w:val="22"/>
          <w:highlight w:val="none"/>
          <w:lang w:val="en-US" w:eastAsia="zh-CN" w:bidi="ar-SA"/>
        </w:rPr>
        <w:t>。本</w:t>
      </w:r>
      <w:r>
        <w:rPr>
          <w:rFonts w:hint="eastAsia" w:ascii="Times New Roman" w:hAnsi="Times New Roman" w:eastAsia="宋体" w:cs="Times New Roman"/>
          <w:color w:val="auto"/>
          <w:sz w:val="24"/>
          <w:szCs w:val="24"/>
          <w:highlight w:val="none"/>
          <w:lang w:val="en-US" w:eastAsia="zh-CN"/>
        </w:rPr>
        <w:t>项目属于</w:t>
      </w:r>
      <w:r>
        <w:rPr>
          <w:rFonts w:hint="eastAsia"/>
          <w:color w:val="auto"/>
          <w:highlight w:val="none"/>
          <w:lang w:val="en-US" w:eastAsia="zh-CN"/>
        </w:rPr>
        <w:t>C2619</w:t>
      </w:r>
      <w:r>
        <w:rPr>
          <w:rFonts w:hint="eastAsia"/>
          <w:color w:val="auto"/>
          <w:highlight w:val="none"/>
          <w:lang w:eastAsia="zh-CN"/>
        </w:rPr>
        <w:t>其他基础化学原料制造</w:t>
      </w:r>
      <w:r>
        <w:rPr>
          <w:rFonts w:hint="eastAsia" w:ascii="Times New Roman" w:hAnsi="Times New Roman" w:eastAsia="宋体" w:cs="Times New Roman"/>
          <w:b w:val="0"/>
          <w:color w:val="auto"/>
          <w:kern w:val="2"/>
          <w:sz w:val="24"/>
          <w:szCs w:val="24"/>
          <w:highlight w:val="none"/>
          <w:lang w:val="en-US" w:eastAsia="zh-CN" w:bidi="ar-SA"/>
        </w:rPr>
        <w:t>，不属于两高行业，符合国家产业政策及</w:t>
      </w:r>
      <w:r>
        <w:rPr>
          <w:rFonts w:hint="eastAsia" w:cs="Times New Roman"/>
          <w:b w:val="0"/>
          <w:color w:val="auto"/>
          <w:kern w:val="2"/>
          <w:sz w:val="24"/>
          <w:szCs w:val="24"/>
          <w:highlight w:val="none"/>
          <w:lang w:val="en-US" w:eastAsia="zh-CN" w:bidi="ar-SA"/>
        </w:rPr>
        <w:t>“</w:t>
      </w:r>
      <w:r>
        <w:rPr>
          <w:rFonts w:hint="eastAsia" w:ascii="Times New Roman" w:hAnsi="Times New Roman" w:eastAsia="宋体" w:cs="Times New Roman"/>
          <w:b w:val="0"/>
          <w:color w:val="auto"/>
          <w:kern w:val="2"/>
          <w:sz w:val="24"/>
          <w:szCs w:val="24"/>
          <w:highlight w:val="none"/>
          <w:lang w:val="en-US" w:eastAsia="zh-CN" w:bidi="ar-SA"/>
        </w:rPr>
        <w:t>三线一单</w:t>
      </w:r>
      <w:r>
        <w:rPr>
          <w:rFonts w:hint="eastAsia" w:cs="Times New Roman"/>
          <w:b w:val="0"/>
          <w:color w:val="auto"/>
          <w:kern w:val="2"/>
          <w:sz w:val="24"/>
          <w:szCs w:val="24"/>
          <w:highlight w:val="none"/>
          <w:lang w:val="en-US" w:eastAsia="zh-CN" w:bidi="ar-SA"/>
        </w:rPr>
        <w:t>”</w:t>
      </w:r>
      <w:r>
        <w:rPr>
          <w:rFonts w:hint="eastAsia" w:ascii="Times New Roman" w:hAnsi="Times New Roman" w:eastAsia="宋体" w:cs="Times New Roman"/>
          <w:b w:val="0"/>
          <w:color w:val="auto"/>
          <w:kern w:val="2"/>
          <w:sz w:val="24"/>
          <w:szCs w:val="24"/>
          <w:highlight w:val="none"/>
          <w:lang w:val="en-US" w:eastAsia="zh-CN" w:bidi="ar-SA"/>
        </w:rPr>
        <w:t>要求。因此，本项目符合《安徽省十四五节能减排实施方案的通知》（皖政秘〔2022〕106号）的要求。</w:t>
      </w:r>
    </w:p>
    <w:p w14:paraId="70E7B0CA">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（1</w:t>
      </w:r>
      <w:r>
        <w:rPr>
          <w:rFonts w:hint="eastAsia"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）与《安徽省大气办关于深入开展挥发性有机物污染治理工作的通知》（皖大气办〔2021〕4号）符合性分析</w:t>
      </w:r>
    </w:p>
    <w:p w14:paraId="131F3CE7">
      <w:pPr>
        <w:keepNext w:val="0"/>
        <w:keepLines w:val="0"/>
        <w:pageBreakBefore w:val="0"/>
        <w:widowControl w:val="0"/>
        <w:kinsoku/>
        <w:wordWrap/>
        <w:overflowPunct/>
        <w:topLinePunct w:val="0"/>
        <w:autoSpaceDE/>
        <w:autoSpaceDN/>
        <w:bidi w:val="0"/>
        <w:adjustRightInd/>
        <w:snapToGrid/>
        <w:spacing w:before="0" w:after="157" w:afterLines="50" w:line="360" w:lineRule="auto"/>
        <w:ind w:left="0" w:leftChars="0" w:firstLine="480" w:firstLineChars="200"/>
        <w:textAlignment w:val="auto"/>
        <w:outlineLvl w:val="9"/>
        <w:rPr>
          <w:rFonts w:hint="default" w:ascii="Times New Roman" w:hAnsi="Times New Roman" w:eastAsia="宋体" w:cs="Times New Roman"/>
          <w:b w:val="0"/>
          <w:snapToGrid w:val="0"/>
          <w:color w:val="auto"/>
          <w:kern w:val="0"/>
          <w:sz w:val="24"/>
          <w:szCs w:val="22"/>
          <w:highlight w:val="none"/>
          <w:lang w:val="en-US" w:eastAsia="zh-CN" w:bidi="ar-SA"/>
        </w:rPr>
      </w:pPr>
      <w:r>
        <w:rPr>
          <w:rFonts w:hint="eastAsia" w:ascii="Times New Roman" w:hAnsi="Times New Roman" w:eastAsia="宋体" w:cs="Times New Roman"/>
          <w:b w:val="0"/>
          <w:snapToGrid w:val="0"/>
          <w:color w:val="auto"/>
          <w:kern w:val="0"/>
          <w:sz w:val="24"/>
          <w:szCs w:val="22"/>
          <w:highlight w:val="none"/>
          <w:lang w:val="en-US" w:eastAsia="zh-CN" w:bidi="ar-SA"/>
        </w:rPr>
        <w:t>对照《安徽省大气办关于深入开展挥发性有机物污染治理工作的通知》（皖大气办</w:t>
      </w:r>
      <w:r>
        <w:rPr>
          <w:rFonts w:hint="eastAsia" w:cs="Times New Roman"/>
          <w:b w:val="0"/>
          <w:snapToGrid w:val="0"/>
          <w:color w:val="auto"/>
          <w:kern w:val="0"/>
          <w:sz w:val="24"/>
          <w:szCs w:val="22"/>
          <w:highlight w:val="none"/>
          <w:lang w:val="en-US" w:eastAsia="zh-CN" w:bidi="ar-SA"/>
        </w:rPr>
        <w:t>〔</w:t>
      </w:r>
      <w:r>
        <w:rPr>
          <w:rFonts w:hint="eastAsia" w:ascii="Times New Roman" w:hAnsi="Times New Roman" w:eastAsia="宋体" w:cs="Times New Roman"/>
          <w:b w:val="0"/>
          <w:snapToGrid w:val="0"/>
          <w:color w:val="auto"/>
          <w:kern w:val="0"/>
          <w:sz w:val="24"/>
          <w:szCs w:val="22"/>
          <w:highlight w:val="none"/>
          <w:lang w:val="en-US" w:eastAsia="zh-CN" w:bidi="ar-SA"/>
        </w:rPr>
        <w:t>2021</w:t>
      </w:r>
      <w:r>
        <w:rPr>
          <w:rFonts w:hint="eastAsia" w:cs="Times New Roman"/>
          <w:b w:val="0"/>
          <w:snapToGrid w:val="0"/>
          <w:color w:val="auto"/>
          <w:kern w:val="0"/>
          <w:sz w:val="24"/>
          <w:szCs w:val="22"/>
          <w:highlight w:val="none"/>
          <w:lang w:val="en-US" w:eastAsia="zh-CN" w:bidi="ar-SA"/>
        </w:rPr>
        <w:t>〕</w:t>
      </w:r>
      <w:r>
        <w:rPr>
          <w:rFonts w:hint="eastAsia" w:ascii="Times New Roman" w:hAnsi="Times New Roman" w:eastAsia="宋体" w:cs="Times New Roman"/>
          <w:b w:val="0"/>
          <w:snapToGrid w:val="0"/>
          <w:color w:val="auto"/>
          <w:kern w:val="0"/>
          <w:sz w:val="24"/>
          <w:szCs w:val="22"/>
          <w:highlight w:val="none"/>
          <w:lang w:val="en-US" w:eastAsia="zh-CN" w:bidi="ar-SA"/>
        </w:rPr>
        <w:t>4号）</w:t>
      </w:r>
      <w:r>
        <w:rPr>
          <w:rFonts w:hint="default" w:ascii="Times New Roman" w:hAnsi="Times New Roman" w:eastAsia="宋体" w:cs="Times New Roman"/>
          <w:b w:val="0"/>
          <w:snapToGrid w:val="0"/>
          <w:color w:val="auto"/>
          <w:kern w:val="0"/>
          <w:sz w:val="24"/>
          <w:szCs w:val="22"/>
          <w:highlight w:val="none"/>
          <w:lang w:val="en-US" w:eastAsia="zh-CN" w:bidi="ar-SA"/>
        </w:rPr>
        <w:t>进行符合性分析如下：</w:t>
      </w:r>
    </w:p>
    <w:p w14:paraId="29CDB8F1">
      <w:pPr>
        <w:pStyle w:val="549"/>
        <w:bidi w:val="0"/>
        <w:rPr>
          <w:rFonts w:hint="default"/>
          <w:color w:val="auto"/>
          <w:highlight w:val="none"/>
        </w:rPr>
      </w:pPr>
      <w:r>
        <w:rPr>
          <w:rFonts w:hint="eastAsia"/>
          <w:color w:val="auto"/>
          <w:highlight w:val="none"/>
          <w:lang w:val="en-US" w:eastAsia="zh-CN"/>
        </w:rPr>
        <w:t>表2.5.3-14  项目与皖大气办〔2021〕4号符合性分析表</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603"/>
        <w:gridCol w:w="3731"/>
        <w:gridCol w:w="1086"/>
      </w:tblGrid>
      <w:tr w14:paraId="48EE0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34" w:type="dxa"/>
            <w:noWrap w:val="0"/>
            <w:vAlign w:val="center"/>
          </w:tcPr>
          <w:p w14:paraId="3A52FBD1">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相关要求</w:t>
            </w:r>
          </w:p>
        </w:tc>
        <w:tc>
          <w:tcPr>
            <w:tcW w:w="3970" w:type="dxa"/>
            <w:noWrap w:val="0"/>
            <w:vAlign w:val="center"/>
          </w:tcPr>
          <w:p w14:paraId="759516AF">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本项目落实情况</w:t>
            </w:r>
          </w:p>
        </w:tc>
        <w:tc>
          <w:tcPr>
            <w:tcW w:w="1174" w:type="dxa"/>
            <w:noWrap w:val="0"/>
            <w:vAlign w:val="center"/>
          </w:tcPr>
          <w:p w14:paraId="38968A52">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符合性</w:t>
            </w:r>
          </w:p>
          <w:p w14:paraId="430F628D">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分析</w:t>
            </w:r>
          </w:p>
        </w:tc>
      </w:tr>
      <w:tr w14:paraId="7AFDB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34" w:type="dxa"/>
            <w:noWrap w:val="0"/>
            <w:vAlign w:val="center"/>
          </w:tcPr>
          <w:p w14:paraId="2B26A85B">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uto"/>
              <w:jc w:val="left"/>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坚持精准施治。</w:t>
            </w:r>
          </w:p>
          <w:p w14:paraId="745A4E6C">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以VOCs项目</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签单销号式</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治理为引领，分行业推动企业结合</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一企一策</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开展精准治理，落实源头削减、过程控制、末端治理以及大气特别排放限值等全过程管控要求，深挖减排潜力。</w:t>
            </w:r>
          </w:p>
        </w:tc>
        <w:tc>
          <w:tcPr>
            <w:tcW w:w="3970" w:type="dxa"/>
            <w:noWrap w:val="0"/>
            <w:vAlign w:val="center"/>
          </w:tcPr>
          <w:p w14:paraId="42454A6B">
            <w:pPr>
              <w:pStyle w:val="563"/>
              <w:bidi w:val="0"/>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olor w:val="auto"/>
                <w:highlight w:val="none"/>
                <w:lang w:val="en-US" w:eastAsia="zh-CN"/>
              </w:rPr>
              <w:t>本项目</w:t>
            </w:r>
            <w:r>
              <w:rPr>
                <w:rFonts w:hint="default" w:ascii="Times New Roman" w:hAnsi="Times New Roman" w:eastAsia="宋体"/>
                <w:color w:val="auto"/>
                <w:highlight w:val="none"/>
                <w:lang w:val="en-US" w:eastAsia="zh-CN"/>
              </w:rPr>
              <w:t>从源头控制VOCs废气的产生和无组织排放，生产过程中产生的</w:t>
            </w:r>
            <w:r>
              <w:rPr>
                <w:rFonts w:hint="eastAsia" w:ascii="Times New Roman" w:hAnsi="Times New Roman" w:eastAsia="宋体"/>
                <w:color w:val="auto"/>
                <w:highlight w:val="none"/>
                <w:lang w:val="en-US" w:eastAsia="zh-CN"/>
              </w:rPr>
              <w:t>少量</w:t>
            </w:r>
            <w:r>
              <w:rPr>
                <w:rFonts w:hint="default" w:ascii="Times New Roman" w:hAnsi="Times New Roman" w:eastAsia="宋体"/>
                <w:color w:val="auto"/>
                <w:highlight w:val="none"/>
                <w:lang w:val="en-US" w:eastAsia="zh-CN"/>
              </w:rPr>
              <w:t>有机废气采用</w:t>
            </w:r>
            <w:r>
              <w:rPr>
                <w:rFonts w:hint="eastAsia" w:ascii="Times New Roman" w:hAnsi="Times New Roman" w:eastAsia="宋体"/>
                <w:color w:val="auto"/>
                <w:highlight w:val="none"/>
                <w:lang w:val="en-US" w:eastAsia="zh-CN"/>
              </w:rPr>
              <w:t>管道</w:t>
            </w:r>
            <w:r>
              <w:rPr>
                <w:rFonts w:hint="default" w:ascii="Times New Roman" w:hAnsi="Times New Roman" w:eastAsia="宋体"/>
                <w:color w:val="auto"/>
                <w:highlight w:val="none"/>
                <w:lang w:val="en-US" w:eastAsia="zh-CN"/>
              </w:rPr>
              <w:t>收集</w:t>
            </w:r>
            <w:r>
              <w:rPr>
                <w:rFonts w:hint="eastAsia" w:ascii="Times New Roman" w:hAnsi="Times New Roman" w:eastAsia="宋体"/>
                <w:color w:val="auto"/>
                <w:highlight w:val="none"/>
                <w:lang w:val="en-US" w:eastAsia="zh-CN"/>
              </w:rPr>
              <w:t>，配套现行可行处置技术措施进行处理达标排放</w:t>
            </w:r>
            <w:r>
              <w:rPr>
                <w:rFonts w:hint="default" w:ascii="Times New Roman" w:hAnsi="Times New Roman" w:eastAsia="宋体"/>
                <w:color w:val="auto"/>
                <w:highlight w:val="none"/>
                <w:lang w:val="en-US" w:eastAsia="zh-CN"/>
              </w:rPr>
              <w:t>；废气经治理措施处理后可稳定达标排放</w:t>
            </w:r>
          </w:p>
        </w:tc>
        <w:tc>
          <w:tcPr>
            <w:tcW w:w="1174" w:type="dxa"/>
            <w:noWrap w:val="0"/>
            <w:vAlign w:val="center"/>
          </w:tcPr>
          <w:p w14:paraId="400CE94E">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r w14:paraId="65C13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3934" w:type="dxa"/>
            <w:noWrap w:val="0"/>
            <w:vAlign w:val="center"/>
          </w:tcPr>
          <w:p w14:paraId="68225B8D">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uto"/>
              <w:jc w:val="both"/>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实施排污许可。</w:t>
            </w:r>
          </w:p>
          <w:p w14:paraId="0C5BABDE">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both"/>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立健全以排污许可核发为中心的VOCs管控依据，在石油、化工、工业涂装、包装印刷、油品储运销五大领域全面推行排污许可制度，不断规范涉VOCs工业企业的排污许可登记管理，落实企业VOCs源头削减、过程控制和末端污染治理工作，推进企业自行监测、台账落实和定期报告的具体规定落地，严厉处罚无证和不按证排污行为。</w:t>
            </w:r>
          </w:p>
        </w:tc>
        <w:tc>
          <w:tcPr>
            <w:tcW w:w="3970" w:type="dxa"/>
            <w:noWrap w:val="0"/>
            <w:vAlign w:val="center"/>
          </w:tcPr>
          <w:p w14:paraId="50C8D9C6">
            <w:pPr>
              <w:pStyle w:val="563"/>
              <w:bidi w:val="0"/>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olor w:val="auto"/>
                <w:highlight w:val="none"/>
                <w:lang w:val="en-US" w:eastAsia="zh-CN"/>
              </w:rPr>
              <w:t>根据《国民经济与行业分类》（2019年版）（2021年修订）</w:t>
            </w:r>
            <w:r>
              <w:rPr>
                <w:rFonts w:hint="eastAsia" w:ascii="Times New Roman" w:hAnsi="Times New Roman" w:eastAsia="宋体"/>
                <w:color w:val="auto"/>
                <w:highlight w:val="none"/>
                <w:lang w:val="en-US" w:eastAsia="zh-CN"/>
              </w:rPr>
              <w:t>及《固定污染源排污许可分类管理名录（2019年版）》</w:t>
            </w:r>
            <w:r>
              <w:rPr>
                <w:rFonts w:hint="default" w:ascii="Times New Roman" w:hAnsi="Times New Roman" w:eastAsia="宋体"/>
                <w:color w:val="auto"/>
                <w:highlight w:val="none"/>
                <w:lang w:val="en-US" w:eastAsia="zh-CN"/>
              </w:rPr>
              <w:t>，本项目属于</w:t>
            </w:r>
            <w:r>
              <w:rPr>
                <w:rFonts w:hint="eastAsia" w:ascii="Times New Roman" w:hAnsi="Times New Roman" w:eastAsia="宋体"/>
                <w:color w:val="auto"/>
                <w:highlight w:val="none"/>
                <w:lang w:val="en-US" w:eastAsia="zh-CN"/>
              </w:rPr>
              <w:t>重点</w:t>
            </w:r>
            <w:r>
              <w:rPr>
                <w:rFonts w:hint="default" w:ascii="Times New Roman" w:hAnsi="Times New Roman" w:eastAsia="宋体"/>
                <w:color w:val="auto"/>
                <w:highlight w:val="none"/>
                <w:lang w:val="en-US" w:eastAsia="zh-CN"/>
              </w:rPr>
              <w:t>管理，项目按照要求进行排污许可证申报。根据</w:t>
            </w:r>
            <w:r>
              <w:rPr>
                <w:rFonts w:hint="eastAsia" w:ascii="Times New Roman" w:hAnsi="Times New Roman" w:eastAsia="宋体"/>
                <w:color w:val="auto"/>
                <w:highlight w:val="none"/>
              </w:rPr>
              <w:t xml:space="preserve">《排污许可证申请与核发技术规范 </w:t>
            </w:r>
            <w:r>
              <w:rPr>
                <w:rFonts w:hint="eastAsia" w:ascii="Times New Roman" w:hAnsi="Times New Roman" w:eastAsia="宋体"/>
                <w:color w:val="auto"/>
                <w:highlight w:val="none"/>
                <w:lang w:val="en-US" w:eastAsia="zh-CN"/>
              </w:rPr>
              <w:t>无机化学工业</w:t>
            </w:r>
            <w:r>
              <w:rPr>
                <w:rFonts w:hint="eastAsia" w:ascii="Times New Roman" w:hAnsi="Times New Roman" w:eastAsia="宋体"/>
                <w:color w:val="auto"/>
                <w:highlight w:val="none"/>
              </w:rPr>
              <w:t>》</w:t>
            </w:r>
            <w:r>
              <w:rPr>
                <w:rFonts w:hint="eastAsia" w:ascii="Times New Roman" w:hAnsi="Times New Roman" w:eastAsia="宋体"/>
                <w:color w:val="auto"/>
                <w:highlight w:val="none"/>
                <w:lang w:eastAsia="zh-CN"/>
              </w:rPr>
              <w:t>（</w:t>
            </w:r>
            <w:r>
              <w:rPr>
                <w:rFonts w:hint="eastAsia" w:ascii="Times New Roman" w:hAnsi="Times New Roman" w:eastAsia="宋体"/>
                <w:color w:val="auto"/>
                <w:highlight w:val="none"/>
              </w:rPr>
              <w:t>HJ11</w:t>
            </w:r>
            <w:r>
              <w:rPr>
                <w:rFonts w:hint="eastAsia" w:ascii="Times New Roman" w:hAnsi="Times New Roman" w:eastAsia="宋体"/>
                <w:color w:val="auto"/>
                <w:highlight w:val="none"/>
                <w:lang w:val="en-US" w:eastAsia="zh-CN"/>
              </w:rPr>
              <w:t>35</w:t>
            </w:r>
            <w:r>
              <w:rPr>
                <w:rFonts w:hint="eastAsia" w:ascii="Times New Roman" w:hAnsi="Times New Roman" w:eastAsia="宋体"/>
                <w:color w:val="auto"/>
                <w:highlight w:val="none"/>
              </w:rPr>
              <w:t>-20</w:t>
            </w:r>
            <w:r>
              <w:rPr>
                <w:rFonts w:hint="eastAsia" w:ascii="Times New Roman" w:hAnsi="Times New Roman" w:eastAsia="宋体"/>
                <w:color w:val="auto"/>
                <w:highlight w:val="none"/>
                <w:lang w:val="en-US" w:eastAsia="zh-CN"/>
              </w:rPr>
              <w:t>19）</w:t>
            </w:r>
            <w:r>
              <w:rPr>
                <w:rFonts w:hint="default" w:ascii="Times New Roman" w:hAnsi="Times New Roman" w:eastAsia="宋体"/>
                <w:color w:val="auto"/>
                <w:highlight w:val="none"/>
                <w:lang w:val="en-US" w:eastAsia="zh-CN"/>
              </w:rPr>
              <w:t>要求，做好自行监测工作，并规范设置标识标牌及规范化排污口等。</w:t>
            </w:r>
          </w:p>
        </w:tc>
        <w:tc>
          <w:tcPr>
            <w:tcW w:w="1174" w:type="dxa"/>
            <w:noWrap w:val="0"/>
            <w:vAlign w:val="center"/>
          </w:tcPr>
          <w:p w14:paraId="651F943D">
            <w:pPr>
              <w:pStyle w:val="227"/>
              <w:keepNext w:val="0"/>
              <w:keepLines w:val="0"/>
              <w:pageBreakBefore w:val="0"/>
              <w:widowControl/>
              <w:kinsoku/>
              <w:wordWrap/>
              <w:overflowPunct/>
              <w:topLinePunct w:val="0"/>
              <w:autoSpaceDE/>
              <w:autoSpaceDN/>
              <w:bidi w:val="0"/>
              <w:adjustRightInd/>
              <w:snapToGrid/>
              <w:spacing w:line="340" w:lineRule="exact"/>
              <w:ind w:left="0" w:leftChars="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符合</w:t>
            </w:r>
          </w:p>
        </w:tc>
      </w:tr>
    </w:tbl>
    <w:p w14:paraId="48EE3E76">
      <w:pPr>
        <w:pStyle w:val="218"/>
        <w:spacing w:before="62" w:after="156"/>
        <w:rPr>
          <w:color w:val="auto"/>
          <w:highlight w:val="none"/>
        </w:rPr>
      </w:pPr>
      <w:bookmarkStart w:id="159" w:name="_Toc10268"/>
      <w:r>
        <w:rPr>
          <w:color w:val="auto"/>
          <w:highlight w:val="none"/>
        </w:rPr>
        <w:t>2.6环境保护目标</w:t>
      </w:r>
      <w:bookmarkEnd w:id="159"/>
    </w:p>
    <w:p w14:paraId="7A152D78">
      <w:pPr>
        <w:pStyle w:val="352"/>
        <w:ind w:firstLine="480"/>
        <w:rPr>
          <w:color w:val="auto"/>
          <w:highlight w:val="none"/>
        </w:rPr>
      </w:pPr>
      <w:r>
        <w:rPr>
          <w:color w:val="auto"/>
          <w:highlight w:val="none"/>
        </w:rPr>
        <w:t>根据对建设项目周边环境的调查，项目所在区域主要环境保护目标详见表2.6-1和图</w:t>
      </w:r>
      <w:r>
        <w:rPr>
          <w:rFonts w:hint="eastAsia"/>
          <w:color w:val="auto"/>
          <w:highlight w:val="none"/>
          <w:lang w:val="en-US" w:eastAsia="zh-CN"/>
        </w:rPr>
        <w:t>2.6-1</w:t>
      </w:r>
      <w:r>
        <w:rPr>
          <w:color w:val="auto"/>
          <w:highlight w:val="none"/>
        </w:rPr>
        <w:t>。</w:t>
      </w:r>
    </w:p>
    <w:p w14:paraId="72BBE716">
      <w:pPr>
        <w:pStyle w:val="23"/>
        <w:rPr>
          <w:rFonts w:ascii="Times New Roman" w:hAnsi="Times New Roman"/>
          <w:color w:val="auto"/>
          <w:kern w:val="0"/>
          <w:highlight w:val="none"/>
        </w:rPr>
      </w:pPr>
    </w:p>
    <w:p w14:paraId="7BABD459">
      <w:pPr>
        <w:snapToGrid w:val="0"/>
        <w:jc w:val="center"/>
        <w:rPr>
          <w:rFonts w:ascii="Times New Roman" w:hAnsi="Times New Roman" w:eastAsia="宋体"/>
          <w:b/>
          <w:color w:val="auto"/>
          <w:kern w:val="0"/>
          <w:szCs w:val="21"/>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550A4921">
      <w:pPr>
        <w:pStyle w:val="107"/>
        <w:spacing w:line="240" w:lineRule="auto"/>
        <w:jc w:val="center"/>
        <w:rPr>
          <w:color w:val="auto"/>
          <w:highlight w:val="none"/>
        </w:rPr>
      </w:pPr>
      <w:r>
        <w:rPr>
          <w:color w:val="auto"/>
          <w:highlight w:val="none"/>
        </w:rPr>
        <w:t>表2.</w:t>
      </w:r>
      <w:r>
        <w:rPr>
          <w:rFonts w:hint="eastAsia"/>
          <w:color w:val="auto"/>
          <w:highlight w:val="none"/>
          <w:lang w:val="en-US" w:eastAsia="zh-CN"/>
        </w:rPr>
        <w:t>6</w:t>
      </w:r>
      <w:r>
        <w:rPr>
          <w:color w:val="auto"/>
          <w:highlight w:val="none"/>
        </w:rPr>
        <w:t>-1</w:t>
      </w:r>
      <w:r>
        <w:rPr>
          <w:rFonts w:hint="eastAsia"/>
          <w:color w:val="auto"/>
          <w:highlight w:val="none"/>
          <w:lang w:val="en-US" w:eastAsia="zh-CN"/>
        </w:rPr>
        <w:t xml:space="preserve">  </w:t>
      </w:r>
      <w:r>
        <w:rPr>
          <w:color w:val="auto"/>
          <w:highlight w:val="none"/>
        </w:rPr>
        <w:t>主要环境保护目标统计表</w:t>
      </w:r>
    </w:p>
    <w:tbl>
      <w:tblPr>
        <w:tblStyle w:val="49"/>
        <w:tblW w:w="501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926"/>
        <w:gridCol w:w="2536"/>
        <w:gridCol w:w="1659"/>
        <w:gridCol w:w="1529"/>
        <w:gridCol w:w="1333"/>
        <w:gridCol w:w="2176"/>
        <w:gridCol w:w="2292"/>
        <w:gridCol w:w="1572"/>
      </w:tblGrid>
      <w:tr w14:paraId="3802D6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330" w:type="pct"/>
            <w:vMerge w:val="restart"/>
            <w:tcBorders>
              <w:tl2br w:val="nil"/>
              <w:tr2bl w:val="nil"/>
            </w:tcBorders>
            <w:noWrap w:val="0"/>
            <w:vAlign w:val="center"/>
          </w:tcPr>
          <w:p w14:paraId="1A7F40F6">
            <w:pPr>
              <w:pStyle w:val="563"/>
              <w:bidi w:val="0"/>
              <w:rPr>
                <w:b/>
                <w:bCs/>
                <w:color w:val="auto"/>
                <w:highlight w:val="none"/>
                <w:lang w:eastAsia="en-US"/>
              </w:rPr>
            </w:pPr>
            <w:r>
              <w:rPr>
                <w:b/>
                <w:bCs/>
                <w:color w:val="auto"/>
                <w:highlight w:val="none"/>
                <w:lang w:eastAsia="en-US"/>
              </w:rPr>
              <w:t>序号</w:t>
            </w:r>
          </w:p>
        </w:tc>
        <w:tc>
          <w:tcPr>
            <w:tcW w:w="904" w:type="pct"/>
            <w:vMerge w:val="restart"/>
            <w:tcBorders>
              <w:tl2br w:val="nil"/>
              <w:tr2bl w:val="nil"/>
            </w:tcBorders>
            <w:noWrap w:val="0"/>
            <w:vAlign w:val="center"/>
          </w:tcPr>
          <w:p w14:paraId="64886243">
            <w:pPr>
              <w:pStyle w:val="563"/>
              <w:bidi w:val="0"/>
              <w:rPr>
                <w:b/>
                <w:bCs/>
                <w:color w:val="auto"/>
                <w:highlight w:val="none"/>
                <w:lang w:eastAsia="en-US"/>
              </w:rPr>
            </w:pPr>
            <w:r>
              <w:rPr>
                <w:b/>
                <w:bCs/>
                <w:color w:val="auto"/>
                <w:highlight w:val="none"/>
                <w:lang w:eastAsia="en-US"/>
              </w:rPr>
              <w:t>名称</w:t>
            </w:r>
          </w:p>
        </w:tc>
        <w:tc>
          <w:tcPr>
            <w:tcW w:w="1136" w:type="pct"/>
            <w:gridSpan w:val="2"/>
            <w:tcBorders>
              <w:tl2br w:val="nil"/>
              <w:tr2bl w:val="nil"/>
            </w:tcBorders>
            <w:noWrap w:val="0"/>
            <w:vAlign w:val="center"/>
          </w:tcPr>
          <w:p w14:paraId="3DE11A8C">
            <w:pPr>
              <w:pStyle w:val="563"/>
              <w:bidi w:val="0"/>
              <w:rPr>
                <w:b/>
                <w:bCs/>
                <w:color w:val="auto"/>
                <w:highlight w:val="none"/>
                <w:lang w:eastAsia="en-US"/>
              </w:rPr>
            </w:pPr>
            <w:r>
              <w:rPr>
                <w:b/>
                <w:bCs/>
                <w:color w:val="auto"/>
                <w:highlight w:val="none"/>
                <w:lang w:eastAsia="en-US"/>
              </w:rPr>
              <w:t>坐标</w:t>
            </w:r>
          </w:p>
        </w:tc>
        <w:tc>
          <w:tcPr>
            <w:tcW w:w="475" w:type="pct"/>
            <w:vMerge w:val="restart"/>
            <w:tcBorders>
              <w:tl2br w:val="nil"/>
              <w:tr2bl w:val="nil"/>
            </w:tcBorders>
            <w:noWrap w:val="0"/>
            <w:vAlign w:val="center"/>
          </w:tcPr>
          <w:p w14:paraId="335B1259">
            <w:pPr>
              <w:pStyle w:val="563"/>
              <w:bidi w:val="0"/>
              <w:rPr>
                <w:b/>
                <w:bCs/>
                <w:color w:val="auto"/>
                <w:highlight w:val="none"/>
                <w:lang w:eastAsia="en-US"/>
              </w:rPr>
            </w:pPr>
            <w:r>
              <w:rPr>
                <w:b/>
                <w:bCs/>
                <w:color w:val="auto"/>
                <w:highlight w:val="none"/>
                <w:lang w:eastAsia="en-US"/>
              </w:rPr>
              <w:t>保护内容（人）</w:t>
            </w:r>
          </w:p>
        </w:tc>
        <w:tc>
          <w:tcPr>
            <w:tcW w:w="775" w:type="pct"/>
            <w:vMerge w:val="restart"/>
            <w:tcBorders>
              <w:tl2br w:val="nil"/>
              <w:tr2bl w:val="nil"/>
            </w:tcBorders>
            <w:noWrap w:val="0"/>
            <w:vAlign w:val="center"/>
          </w:tcPr>
          <w:p w14:paraId="369791A6">
            <w:pPr>
              <w:pStyle w:val="563"/>
              <w:bidi w:val="0"/>
              <w:rPr>
                <w:b/>
                <w:bCs/>
                <w:color w:val="auto"/>
                <w:highlight w:val="none"/>
                <w:lang w:eastAsia="en-US"/>
              </w:rPr>
            </w:pPr>
            <w:r>
              <w:rPr>
                <w:rFonts w:hint="default"/>
                <w:b/>
                <w:bCs/>
                <w:color w:val="auto"/>
                <w:highlight w:val="none"/>
              </w:rPr>
              <w:t>环境功能区</w:t>
            </w:r>
          </w:p>
        </w:tc>
        <w:tc>
          <w:tcPr>
            <w:tcW w:w="817" w:type="pct"/>
            <w:vMerge w:val="restart"/>
            <w:tcBorders>
              <w:tl2br w:val="nil"/>
              <w:tr2bl w:val="nil"/>
            </w:tcBorders>
            <w:noWrap w:val="0"/>
            <w:vAlign w:val="center"/>
          </w:tcPr>
          <w:p w14:paraId="58BE47A3">
            <w:pPr>
              <w:pStyle w:val="563"/>
              <w:bidi w:val="0"/>
              <w:rPr>
                <w:b/>
                <w:bCs/>
                <w:color w:val="auto"/>
                <w:highlight w:val="none"/>
                <w:lang w:eastAsia="en-US"/>
              </w:rPr>
            </w:pPr>
            <w:r>
              <w:rPr>
                <w:b/>
                <w:bCs/>
                <w:color w:val="auto"/>
                <w:highlight w:val="none"/>
                <w:lang w:eastAsia="en-US"/>
              </w:rPr>
              <w:t>相对厂址</w:t>
            </w:r>
          </w:p>
          <w:p w14:paraId="00EC3A99">
            <w:pPr>
              <w:pStyle w:val="563"/>
              <w:bidi w:val="0"/>
              <w:rPr>
                <w:b/>
                <w:bCs/>
                <w:color w:val="auto"/>
                <w:highlight w:val="none"/>
                <w:lang w:eastAsia="en-US"/>
              </w:rPr>
            </w:pPr>
            <w:r>
              <w:rPr>
                <w:b/>
                <w:bCs/>
                <w:color w:val="auto"/>
                <w:highlight w:val="none"/>
                <w:lang w:eastAsia="en-US"/>
              </w:rPr>
              <w:t>方位</w:t>
            </w:r>
          </w:p>
        </w:tc>
        <w:tc>
          <w:tcPr>
            <w:tcW w:w="559" w:type="pct"/>
            <w:vMerge w:val="restart"/>
            <w:tcBorders>
              <w:tl2br w:val="nil"/>
              <w:tr2bl w:val="nil"/>
            </w:tcBorders>
            <w:noWrap w:val="0"/>
            <w:vAlign w:val="center"/>
          </w:tcPr>
          <w:p w14:paraId="61B72E4F">
            <w:pPr>
              <w:pStyle w:val="563"/>
              <w:bidi w:val="0"/>
              <w:rPr>
                <w:b/>
                <w:bCs/>
                <w:color w:val="auto"/>
                <w:highlight w:val="none"/>
                <w:lang w:eastAsia="en-US"/>
              </w:rPr>
            </w:pPr>
            <w:r>
              <w:rPr>
                <w:b/>
                <w:bCs/>
                <w:color w:val="auto"/>
                <w:highlight w:val="none"/>
                <w:lang w:eastAsia="en-US"/>
              </w:rPr>
              <w:t>距厂界最近距离</w:t>
            </w:r>
          </w:p>
          <w:p w14:paraId="6C9AA17E">
            <w:pPr>
              <w:pStyle w:val="563"/>
              <w:bidi w:val="0"/>
              <w:rPr>
                <w:b/>
                <w:bCs/>
                <w:color w:val="auto"/>
                <w:highlight w:val="none"/>
                <w:lang w:eastAsia="en-US"/>
              </w:rPr>
            </w:pPr>
            <w:r>
              <w:rPr>
                <w:b/>
                <w:bCs/>
                <w:color w:val="auto"/>
                <w:highlight w:val="none"/>
                <w:lang w:eastAsia="en-US"/>
              </w:rPr>
              <w:t>/m</w:t>
            </w:r>
          </w:p>
        </w:tc>
      </w:tr>
      <w:tr w14:paraId="3FC4DF2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5" w:hRule="atLeast"/>
          <w:jc w:val="center"/>
        </w:trPr>
        <w:tc>
          <w:tcPr>
            <w:tcW w:w="330" w:type="pct"/>
            <w:vMerge w:val="continue"/>
            <w:tcBorders>
              <w:tl2br w:val="nil"/>
              <w:tr2bl w:val="nil"/>
            </w:tcBorders>
            <w:noWrap w:val="0"/>
            <w:vAlign w:val="top"/>
          </w:tcPr>
          <w:p w14:paraId="5B4CFDC4">
            <w:pPr>
              <w:pStyle w:val="563"/>
              <w:bidi w:val="0"/>
              <w:rPr>
                <w:b/>
                <w:bCs/>
                <w:color w:val="auto"/>
                <w:highlight w:val="none"/>
              </w:rPr>
            </w:pPr>
          </w:p>
        </w:tc>
        <w:tc>
          <w:tcPr>
            <w:tcW w:w="904" w:type="pct"/>
            <w:vMerge w:val="continue"/>
            <w:tcBorders>
              <w:tl2br w:val="nil"/>
              <w:tr2bl w:val="nil"/>
            </w:tcBorders>
            <w:noWrap w:val="0"/>
            <w:vAlign w:val="top"/>
          </w:tcPr>
          <w:p w14:paraId="311BB624">
            <w:pPr>
              <w:pStyle w:val="563"/>
              <w:bidi w:val="0"/>
              <w:rPr>
                <w:b/>
                <w:bCs/>
                <w:color w:val="auto"/>
                <w:highlight w:val="none"/>
              </w:rPr>
            </w:pPr>
          </w:p>
        </w:tc>
        <w:tc>
          <w:tcPr>
            <w:tcW w:w="591" w:type="pct"/>
            <w:tcBorders>
              <w:tl2br w:val="nil"/>
              <w:tr2bl w:val="nil"/>
            </w:tcBorders>
            <w:noWrap w:val="0"/>
            <w:vAlign w:val="center"/>
          </w:tcPr>
          <w:p w14:paraId="20D3B80E">
            <w:pPr>
              <w:pStyle w:val="563"/>
              <w:bidi w:val="0"/>
              <w:rPr>
                <w:b/>
                <w:bCs/>
                <w:color w:val="auto"/>
                <w:highlight w:val="none"/>
                <w:lang w:eastAsia="en-US"/>
              </w:rPr>
            </w:pPr>
            <w:r>
              <w:rPr>
                <w:b/>
                <w:bCs/>
                <w:color w:val="auto"/>
                <w:highlight w:val="none"/>
                <w:lang w:eastAsia="en-US"/>
              </w:rPr>
              <w:t>X</w:t>
            </w:r>
          </w:p>
        </w:tc>
        <w:tc>
          <w:tcPr>
            <w:tcW w:w="545" w:type="pct"/>
            <w:tcBorders>
              <w:tl2br w:val="nil"/>
              <w:tr2bl w:val="nil"/>
            </w:tcBorders>
            <w:noWrap w:val="0"/>
            <w:vAlign w:val="center"/>
          </w:tcPr>
          <w:p w14:paraId="5A1827CA">
            <w:pPr>
              <w:pStyle w:val="563"/>
              <w:bidi w:val="0"/>
              <w:rPr>
                <w:rFonts w:hint="eastAsia"/>
                <w:b/>
                <w:bCs/>
                <w:color w:val="auto"/>
                <w:highlight w:val="none"/>
                <w:lang w:eastAsia="zh-CN"/>
              </w:rPr>
            </w:pPr>
            <w:r>
              <w:rPr>
                <w:b/>
                <w:bCs/>
                <w:color w:val="auto"/>
                <w:highlight w:val="none"/>
                <w:lang w:eastAsia="en-US"/>
              </w:rPr>
              <w:t>Y</w:t>
            </w:r>
          </w:p>
        </w:tc>
        <w:tc>
          <w:tcPr>
            <w:tcW w:w="475" w:type="pct"/>
            <w:vMerge w:val="continue"/>
            <w:tcBorders>
              <w:tl2br w:val="nil"/>
              <w:tr2bl w:val="nil"/>
            </w:tcBorders>
            <w:noWrap w:val="0"/>
            <w:vAlign w:val="top"/>
          </w:tcPr>
          <w:p w14:paraId="224D9FE8">
            <w:pPr>
              <w:pStyle w:val="563"/>
              <w:bidi w:val="0"/>
              <w:rPr>
                <w:color w:val="auto"/>
                <w:highlight w:val="none"/>
              </w:rPr>
            </w:pPr>
          </w:p>
        </w:tc>
        <w:tc>
          <w:tcPr>
            <w:tcW w:w="775" w:type="pct"/>
            <w:vMerge w:val="continue"/>
            <w:tcBorders>
              <w:tl2br w:val="nil"/>
              <w:tr2bl w:val="nil"/>
            </w:tcBorders>
            <w:noWrap w:val="0"/>
            <w:vAlign w:val="top"/>
          </w:tcPr>
          <w:p w14:paraId="228DC121">
            <w:pPr>
              <w:pStyle w:val="563"/>
              <w:bidi w:val="0"/>
              <w:rPr>
                <w:color w:val="auto"/>
                <w:highlight w:val="none"/>
              </w:rPr>
            </w:pPr>
          </w:p>
        </w:tc>
        <w:tc>
          <w:tcPr>
            <w:tcW w:w="817" w:type="pct"/>
            <w:vMerge w:val="continue"/>
            <w:tcBorders>
              <w:tl2br w:val="nil"/>
              <w:tr2bl w:val="nil"/>
            </w:tcBorders>
            <w:noWrap w:val="0"/>
            <w:vAlign w:val="top"/>
          </w:tcPr>
          <w:p w14:paraId="1F866714">
            <w:pPr>
              <w:pStyle w:val="563"/>
              <w:bidi w:val="0"/>
              <w:rPr>
                <w:color w:val="auto"/>
                <w:highlight w:val="none"/>
              </w:rPr>
            </w:pPr>
          </w:p>
        </w:tc>
        <w:tc>
          <w:tcPr>
            <w:tcW w:w="559" w:type="pct"/>
            <w:vMerge w:val="continue"/>
            <w:tcBorders>
              <w:tl2br w:val="nil"/>
              <w:tr2bl w:val="nil"/>
            </w:tcBorders>
            <w:noWrap w:val="0"/>
            <w:vAlign w:val="top"/>
          </w:tcPr>
          <w:p w14:paraId="5E6BCB7E">
            <w:pPr>
              <w:pStyle w:val="563"/>
              <w:bidi w:val="0"/>
              <w:rPr>
                <w:color w:val="auto"/>
                <w:highlight w:val="none"/>
              </w:rPr>
            </w:pPr>
          </w:p>
        </w:tc>
      </w:tr>
      <w:tr w14:paraId="393AAF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796A363C">
            <w:pPr>
              <w:pStyle w:val="563"/>
              <w:bidi w:val="0"/>
              <w:rPr>
                <w:rFonts w:hint="eastAsia"/>
                <w:color w:val="auto"/>
                <w:highlight w:val="none"/>
                <w:lang w:val="en-US" w:eastAsia="zh-CN"/>
              </w:rPr>
            </w:pPr>
            <w:r>
              <w:rPr>
                <w:rFonts w:hint="eastAsia"/>
                <w:color w:val="auto"/>
                <w:highlight w:val="none"/>
                <w:lang w:val="en-US" w:eastAsia="zh-CN"/>
              </w:rPr>
              <w:t>1</w:t>
            </w:r>
          </w:p>
        </w:tc>
        <w:tc>
          <w:tcPr>
            <w:tcW w:w="904" w:type="pct"/>
            <w:tcBorders>
              <w:tl2br w:val="nil"/>
              <w:tr2bl w:val="nil"/>
            </w:tcBorders>
            <w:noWrap w:val="0"/>
            <w:vAlign w:val="center"/>
          </w:tcPr>
          <w:p w14:paraId="21F0BFEB">
            <w:pPr>
              <w:pStyle w:val="563"/>
              <w:bidi w:val="0"/>
              <w:rPr>
                <w:rFonts w:hint="eastAsia"/>
                <w:color w:val="auto"/>
                <w:highlight w:val="none"/>
                <w:lang w:val="en-US" w:eastAsia="zh-CN"/>
              </w:rPr>
            </w:pPr>
            <w:r>
              <w:rPr>
                <w:rFonts w:hint="eastAsia"/>
                <w:color w:val="auto"/>
                <w:highlight w:val="none"/>
                <w:lang w:val="en-US" w:eastAsia="zh-CN"/>
              </w:rPr>
              <w:t>南杨家楼</w:t>
            </w:r>
          </w:p>
        </w:tc>
        <w:tc>
          <w:tcPr>
            <w:tcW w:w="591" w:type="pct"/>
            <w:tcBorders>
              <w:tl2br w:val="nil"/>
              <w:tr2bl w:val="nil"/>
            </w:tcBorders>
            <w:noWrap w:val="0"/>
            <w:vAlign w:val="center"/>
          </w:tcPr>
          <w:p w14:paraId="1FFFFB05">
            <w:pPr>
              <w:pStyle w:val="563"/>
              <w:bidi w:val="0"/>
              <w:rPr>
                <w:rFonts w:hint="default"/>
                <w:color w:val="auto"/>
                <w:highlight w:val="none"/>
                <w:lang w:val="en-US" w:eastAsia="zh-CN"/>
              </w:rPr>
            </w:pPr>
            <w:r>
              <w:rPr>
                <w:rFonts w:hint="eastAsia"/>
                <w:color w:val="auto"/>
                <w:highlight w:val="none"/>
                <w:lang w:val="en-US" w:eastAsia="zh-CN"/>
              </w:rPr>
              <w:t>117.01993</w:t>
            </w:r>
          </w:p>
        </w:tc>
        <w:tc>
          <w:tcPr>
            <w:tcW w:w="545" w:type="pct"/>
            <w:tcBorders>
              <w:tl2br w:val="nil"/>
              <w:tr2bl w:val="nil"/>
            </w:tcBorders>
            <w:noWrap w:val="0"/>
            <w:vAlign w:val="center"/>
          </w:tcPr>
          <w:p w14:paraId="22820047">
            <w:pPr>
              <w:pStyle w:val="563"/>
              <w:bidi w:val="0"/>
              <w:rPr>
                <w:rFonts w:hint="default"/>
                <w:color w:val="auto"/>
                <w:highlight w:val="none"/>
                <w:lang w:val="en-US" w:eastAsia="zh-CN"/>
              </w:rPr>
            </w:pPr>
            <w:r>
              <w:rPr>
                <w:rFonts w:hint="eastAsia"/>
                <w:color w:val="auto"/>
                <w:highlight w:val="none"/>
                <w:lang w:val="en-US" w:eastAsia="zh-CN"/>
              </w:rPr>
              <w:t>32.503962</w:t>
            </w:r>
          </w:p>
        </w:tc>
        <w:tc>
          <w:tcPr>
            <w:tcW w:w="475" w:type="pct"/>
            <w:tcBorders>
              <w:tl2br w:val="nil"/>
              <w:tr2bl w:val="nil"/>
            </w:tcBorders>
            <w:noWrap w:val="0"/>
            <w:vAlign w:val="center"/>
          </w:tcPr>
          <w:p w14:paraId="3900F87F">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restart"/>
            <w:tcBorders>
              <w:tl2br w:val="nil"/>
              <w:tr2bl w:val="nil"/>
            </w:tcBorders>
            <w:noWrap w:val="0"/>
            <w:vAlign w:val="center"/>
          </w:tcPr>
          <w:p w14:paraId="3BA00CF5">
            <w:pPr>
              <w:pStyle w:val="563"/>
              <w:bidi w:val="0"/>
              <w:rPr>
                <w:rFonts w:hint="eastAsia"/>
                <w:color w:val="auto"/>
                <w:highlight w:val="none"/>
                <w:lang w:val="en-US" w:eastAsia="zh-CN"/>
              </w:rPr>
            </w:pPr>
            <w:r>
              <w:rPr>
                <w:color w:val="auto"/>
                <w:highlight w:val="none"/>
              </w:rPr>
              <w:t>《环境空气质量标准</w:t>
            </w:r>
            <w:r>
              <w:rPr>
                <w:rFonts w:hint="eastAsia"/>
                <w:color w:val="auto"/>
                <w:highlight w:val="none"/>
              </w:rPr>
              <w:t>》</w:t>
            </w:r>
            <w:r>
              <w:rPr>
                <w:color w:val="auto"/>
                <w:highlight w:val="none"/>
              </w:rPr>
              <w:t>（GB3095-2012）中的二级标准</w:t>
            </w:r>
          </w:p>
        </w:tc>
        <w:tc>
          <w:tcPr>
            <w:tcW w:w="817" w:type="pct"/>
            <w:tcBorders>
              <w:tl2br w:val="nil"/>
              <w:tr2bl w:val="nil"/>
            </w:tcBorders>
            <w:noWrap w:val="0"/>
            <w:vAlign w:val="center"/>
          </w:tcPr>
          <w:p w14:paraId="76197767">
            <w:pPr>
              <w:pStyle w:val="563"/>
              <w:bidi w:val="0"/>
              <w:rPr>
                <w:color w:val="auto"/>
                <w:highlight w:val="none"/>
              </w:rPr>
            </w:pPr>
            <w:r>
              <w:rPr>
                <w:rFonts w:hint="eastAsia"/>
                <w:color w:val="auto"/>
                <w:highlight w:val="none"/>
                <w:lang w:val="en-US" w:eastAsia="zh-CN"/>
              </w:rPr>
              <w:t>东南</w:t>
            </w:r>
          </w:p>
        </w:tc>
        <w:tc>
          <w:tcPr>
            <w:tcW w:w="559" w:type="pct"/>
            <w:tcBorders>
              <w:tl2br w:val="nil"/>
              <w:tr2bl w:val="nil"/>
            </w:tcBorders>
            <w:noWrap w:val="0"/>
            <w:vAlign w:val="center"/>
          </w:tcPr>
          <w:p w14:paraId="45BFA09E">
            <w:pPr>
              <w:pStyle w:val="563"/>
              <w:bidi w:val="0"/>
              <w:rPr>
                <w:rFonts w:hint="eastAsia"/>
                <w:color w:val="auto"/>
                <w:highlight w:val="none"/>
                <w:lang w:val="en-US" w:eastAsia="zh-CN"/>
              </w:rPr>
            </w:pPr>
            <w:r>
              <w:rPr>
                <w:rFonts w:hint="eastAsia"/>
                <w:color w:val="auto"/>
                <w:highlight w:val="none"/>
                <w:lang w:val="en-US" w:eastAsia="zh-CN"/>
              </w:rPr>
              <w:t>2855</w:t>
            </w:r>
          </w:p>
        </w:tc>
      </w:tr>
      <w:tr w14:paraId="75C8C5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48FD6B5">
            <w:pPr>
              <w:pStyle w:val="563"/>
              <w:bidi w:val="0"/>
              <w:rPr>
                <w:rFonts w:hint="eastAsia"/>
                <w:color w:val="auto"/>
                <w:highlight w:val="none"/>
                <w:lang w:val="en-US" w:eastAsia="zh-CN"/>
              </w:rPr>
            </w:pPr>
            <w:r>
              <w:rPr>
                <w:rFonts w:hint="eastAsia"/>
                <w:color w:val="auto"/>
                <w:highlight w:val="none"/>
                <w:lang w:val="en-US" w:eastAsia="zh-CN"/>
              </w:rPr>
              <w:t>2</w:t>
            </w:r>
          </w:p>
        </w:tc>
        <w:tc>
          <w:tcPr>
            <w:tcW w:w="904" w:type="pct"/>
            <w:tcBorders>
              <w:tl2br w:val="nil"/>
              <w:tr2bl w:val="nil"/>
            </w:tcBorders>
            <w:noWrap w:val="0"/>
            <w:vAlign w:val="center"/>
          </w:tcPr>
          <w:p w14:paraId="102067A8">
            <w:pPr>
              <w:pStyle w:val="563"/>
              <w:bidi w:val="0"/>
              <w:rPr>
                <w:rFonts w:hint="default"/>
                <w:color w:val="auto"/>
                <w:highlight w:val="none"/>
                <w:lang w:val="en-US" w:eastAsia="zh-CN"/>
              </w:rPr>
            </w:pPr>
            <w:r>
              <w:rPr>
                <w:rFonts w:hint="eastAsia"/>
                <w:color w:val="auto"/>
                <w:highlight w:val="none"/>
                <w:lang w:val="en-US" w:eastAsia="zh-CN"/>
              </w:rPr>
              <w:t>曹郢</w:t>
            </w:r>
          </w:p>
        </w:tc>
        <w:tc>
          <w:tcPr>
            <w:tcW w:w="591" w:type="pct"/>
            <w:tcBorders>
              <w:tl2br w:val="nil"/>
              <w:tr2bl w:val="nil"/>
            </w:tcBorders>
            <w:noWrap w:val="0"/>
            <w:vAlign w:val="center"/>
          </w:tcPr>
          <w:p w14:paraId="3512BCD8">
            <w:pPr>
              <w:pStyle w:val="563"/>
              <w:bidi w:val="0"/>
              <w:rPr>
                <w:rFonts w:hint="default"/>
                <w:color w:val="auto"/>
                <w:highlight w:val="none"/>
                <w:lang w:val="en-US" w:eastAsia="zh-CN"/>
              </w:rPr>
            </w:pPr>
            <w:r>
              <w:rPr>
                <w:rFonts w:hint="eastAsia"/>
                <w:color w:val="auto"/>
                <w:highlight w:val="none"/>
                <w:lang w:val="en-US" w:eastAsia="zh-CN"/>
              </w:rPr>
              <w:t>117.02341</w:t>
            </w:r>
          </w:p>
        </w:tc>
        <w:tc>
          <w:tcPr>
            <w:tcW w:w="545" w:type="pct"/>
            <w:tcBorders>
              <w:tl2br w:val="nil"/>
              <w:tr2bl w:val="nil"/>
            </w:tcBorders>
            <w:noWrap w:val="0"/>
            <w:vAlign w:val="center"/>
          </w:tcPr>
          <w:p w14:paraId="7F0F9D45">
            <w:pPr>
              <w:pStyle w:val="563"/>
              <w:bidi w:val="0"/>
              <w:rPr>
                <w:rFonts w:hint="default"/>
                <w:color w:val="auto"/>
                <w:highlight w:val="none"/>
                <w:lang w:val="en-US" w:eastAsia="zh-CN"/>
              </w:rPr>
            </w:pPr>
            <w:r>
              <w:rPr>
                <w:rFonts w:hint="eastAsia"/>
                <w:color w:val="auto"/>
                <w:highlight w:val="none"/>
                <w:lang w:val="en-US" w:eastAsia="zh-CN"/>
              </w:rPr>
              <w:t>32.529022</w:t>
            </w:r>
          </w:p>
        </w:tc>
        <w:tc>
          <w:tcPr>
            <w:tcW w:w="475" w:type="pct"/>
            <w:tcBorders>
              <w:tl2br w:val="nil"/>
              <w:tr2bl w:val="nil"/>
            </w:tcBorders>
            <w:noWrap w:val="0"/>
            <w:vAlign w:val="center"/>
          </w:tcPr>
          <w:p w14:paraId="0C5F5715">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1A93CB9E">
            <w:pPr>
              <w:pStyle w:val="563"/>
              <w:bidi w:val="0"/>
              <w:rPr>
                <w:rFonts w:hint="default"/>
                <w:color w:val="auto"/>
                <w:highlight w:val="none"/>
                <w:lang w:val="en-US" w:eastAsia="zh-CN"/>
              </w:rPr>
            </w:pPr>
          </w:p>
        </w:tc>
        <w:tc>
          <w:tcPr>
            <w:tcW w:w="817" w:type="pct"/>
            <w:tcBorders>
              <w:tl2br w:val="nil"/>
              <w:tr2bl w:val="nil"/>
            </w:tcBorders>
            <w:noWrap w:val="0"/>
            <w:vAlign w:val="center"/>
          </w:tcPr>
          <w:p w14:paraId="3232533B">
            <w:pPr>
              <w:pStyle w:val="563"/>
              <w:bidi w:val="0"/>
              <w:rPr>
                <w:color w:val="auto"/>
                <w:highlight w:val="none"/>
              </w:rPr>
            </w:pPr>
            <w:r>
              <w:rPr>
                <w:rFonts w:hint="eastAsia"/>
                <w:color w:val="auto"/>
                <w:highlight w:val="none"/>
                <w:lang w:val="en-US" w:eastAsia="zh-CN"/>
              </w:rPr>
              <w:t>东</w:t>
            </w:r>
          </w:p>
        </w:tc>
        <w:tc>
          <w:tcPr>
            <w:tcW w:w="559" w:type="pct"/>
            <w:tcBorders>
              <w:tl2br w:val="nil"/>
              <w:tr2bl w:val="nil"/>
            </w:tcBorders>
            <w:noWrap w:val="0"/>
            <w:vAlign w:val="center"/>
          </w:tcPr>
          <w:p w14:paraId="22D06F00">
            <w:pPr>
              <w:pStyle w:val="563"/>
              <w:bidi w:val="0"/>
              <w:rPr>
                <w:rFonts w:hint="default"/>
                <w:color w:val="auto"/>
                <w:highlight w:val="none"/>
                <w:lang w:val="en-US" w:eastAsia="zh-CN"/>
              </w:rPr>
            </w:pPr>
            <w:r>
              <w:rPr>
                <w:rFonts w:hint="eastAsia"/>
                <w:color w:val="auto"/>
                <w:highlight w:val="none"/>
                <w:lang w:val="en-US" w:eastAsia="zh-CN"/>
              </w:rPr>
              <w:t>1949</w:t>
            </w:r>
          </w:p>
        </w:tc>
      </w:tr>
      <w:tr w14:paraId="1632EF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66FF3A5F">
            <w:pPr>
              <w:pStyle w:val="563"/>
              <w:bidi w:val="0"/>
              <w:rPr>
                <w:rFonts w:hint="eastAsia"/>
                <w:color w:val="auto"/>
                <w:highlight w:val="none"/>
                <w:lang w:val="en-US" w:eastAsia="zh-CN"/>
              </w:rPr>
            </w:pPr>
            <w:r>
              <w:rPr>
                <w:rFonts w:hint="eastAsia"/>
                <w:color w:val="auto"/>
                <w:highlight w:val="none"/>
                <w:lang w:val="en-US" w:eastAsia="zh-CN"/>
              </w:rPr>
              <w:t>3</w:t>
            </w:r>
          </w:p>
        </w:tc>
        <w:tc>
          <w:tcPr>
            <w:tcW w:w="904" w:type="pct"/>
            <w:tcBorders>
              <w:tl2br w:val="nil"/>
              <w:tr2bl w:val="nil"/>
            </w:tcBorders>
            <w:noWrap w:val="0"/>
            <w:vAlign w:val="center"/>
          </w:tcPr>
          <w:p w14:paraId="642A3553">
            <w:pPr>
              <w:pStyle w:val="563"/>
              <w:bidi w:val="0"/>
              <w:rPr>
                <w:rFonts w:hint="default"/>
                <w:color w:val="auto"/>
                <w:highlight w:val="none"/>
                <w:lang w:val="en-US" w:eastAsia="zh-CN"/>
              </w:rPr>
            </w:pPr>
            <w:r>
              <w:rPr>
                <w:rFonts w:hint="eastAsia"/>
                <w:color w:val="auto"/>
                <w:highlight w:val="none"/>
                <w:lang w:val="en-US" w:eastAsia="zh-CN"/>
              </w:rPr>
              <w:t>新圩子</w:t>
            </w:r>
          </w:p>
        </w:tc>
        <w:tc>
          <w:tcPr>
            <w:tcW w:w="591" w:type="pct"/>
            <w:tcBorders>
              <w:tl2br w:val="nil"/>
              <w:tr2bl w:val="nil"/>
            </w:tcBorders>
            <w:noWrap w:val="0"/>
            <w:vAlign w:val="center"/>
          </w:tcPr>
          <w:p w14:paraId="26A5243A">
            <w:pPr>
              <w:pStyle w:val="563"/>
              <w:bidi w:val="0"/>
              <w:rPr>
                <w:rFonts w:hint="default"/>
                <w:color w:val="auto"/>
                <w:highlight w:val="none"/>
                <w:lang w:val="en-US" w:eastAsia="zh-CN"/>
              </w:rPr>
            </w:pPr>
            <w:r>
              <w:rPr>
                <w:rFonts w:hint="eastAsia"/>
                <w:color w:val="auto"/>
                <w:highlight w:val="none"/>
                <w:lang w:val="en-US" w:eastAsia="zh-CN"/>
              </w:rPr>
              <w:t>117.01135</w:t>
            </w:r>
          </w:p>
        </w:tc>
        <w:tc>
          <w:tcPr>
            <w:tcW w:w="545" w:type="pct"/>
            <w:tcBorders>
              <w:tl2br w:val="nil"/>
              <w:tr2bl w:val="nil"/>
            </w:tcBorders>
            <w:noWrap w:val="0"/>
            <w:vAlign w:val="center"/>
          </w:tcPr>
          <w:p w14:paraId="7F5B85CF">
            <w:pPr>
              <w:pStyle w:val="563"/>
              <w:bidi w:val="0"/>
              <w:rPr>
                <w:rFonts w:hint="default"/>
                <w:color w:val="auto"/>
                <w:highlight w:val="none"/>
                <w:lang w:val="en-US" w:eastAsia="zh-CN"/>
              </w:rPr>
            </w:pPr>
            <w:r>
              <w:rPr>
                <w:rFonts w:hint="eastAsia"/>
                <w:color w:val="auto"/>
                <w:highlight w:val="none"/>
                <w:lang w:val="en-US" w:eastAsia="zh-CN"/>
              </w:rPr>
              <w:t>32.544552</w:t>
            </w:r>
          </w:p>
        </w:tc>
        <w:tc>
          <w:tcPr>
            <w:tcW w:w="475" w:type="pct"/>
            <w:tcBorders>
              <w:tl2br w:val="nil"/>
              <w:tr2bl w:val="nil"/>
            </w:tcBorders>
            <w:noWrap w:val="0"/>
            <w:vAlign w:val="center"/>
          </w:tcPr>
          <w:p w14:paraId="3348476B">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490E5B97">
            <w:pPr>
              <w:pStyle w:val="563"/>
              <w:bidi w:val="0"/>
              <w:rPr>
                <w:rFonts w:hint="eastAsia"/>
                <w:color w:val="auto"/>
                <w:highlight w:val="none"/>
                <w:lang w:val="en-US" w:eastAsia="zh-CN"/>
              </w:rPr>
            </w:pPr>
          </w:p>
        </w:tc>
        <w:tc>
          <w:tcPr>
            <w:tcW w:w="817" w:type="pct"/>
            <w:tcBorders>
              <w:tl2br w:val="nil"/>
              <w:tr2bl w:val="nil"/>
            </w:tcBorders>
            <w:noWrap w:val="0"/>
            <w:vAlign w:val="center"/>
          </w:tcPr>
          <w:p w14:paraId="4854604F">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02F945BF">
            <w:pPr>
              <w:pStyle w:val="563"/>
              <w:bidi w:val="0"/>
              <w:rPr>
                <w:rFonts w:hint="eastAsia"/>
                <w:color w:val="auto"/>
                <w:highlight w:val="none"/>
                <w:lang w:val="en-US" w:eastAsia="zh-CN"/>
              </w:rPr>
            </w:pPr>
            <w:r>
              <w:rPr>
                <w:rFonts w:hint="eastAsia"/>
                <w:color w:val="auto"/>
                <w:highlight w:val="none"/>
                <w:lang w:val="en-US" w:eastAsia="zh-CN"/>
              </w:rPr>
              <w:t>2185</w:t>
            </w:r>
          </w:p>
        </w:tc>
      </w:tr>
      <w:tr w14:paraId="1B0D53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70303ED3">
            <w:pPr>
              <w:pStyle w:val="563"/>
              <w:bidi w:val="0"/>
              <w:rPr>
                <w:rFonts w:hint="eastAsia"/>
                <w:color w:val="auto"/>
                <w:highlight w:val="none"/>
                <w:lang w:val="en-US" w:eastAsia="zh-CN"/>
              </w:rPr>
            </w:pPr>
            <w:r>
              <w:rPr>
                <w:rFonts w:hint="eastAsia"/>
                <w:color w:val="auto"/>
                <w:highlight w:val="none"/>
                <w:lang w:val="en-US" w:eastAsia="zh-CN"/>
              </w:rPr>
              <w:t>4</w:t>
            </w:r>
          </w:p>
        </w:tc>
        <w:tc>
          <w:tcPr>
            <w:tcW w:w="904" w:type="pct"/>
            <w:tcBorders>
              <w:tl2br w:val="nil"/>
              <w:tr2bl w:val="nil"/>
            </w:tcBorders>
            <w:noWrap w:val="0"/>
            <w:vAlign w:val="center"/>
          </w:tcPr>
          <w:p w14:paraId="35852CC2">
            <w:pPr>
              <w:pStyle w:val="563"/>
              <w:bidi w:val="0"/>
              <w:rPr>
                <w:rFonts w:hint="default"/>
                <w:color w:val="auto"/>
                <w:highlight w:val="none"/>
                <w:lang w:val="en-US" w:eastAsia="zh-CN"/>
              </w:rPr>
            </w:pPr>
            <w:r>
              <w:rPr>
                <w:rFonts w:hint="eastAsia"/>
                <w:color w:val="auto"/>
                <w:highlight w:val="none"/>
                <w:lang w:val="en-US" w:eastAsia="zh-CN"/>
              </w:rPr>
              <w:t>杨小郢</w:t>
            </w:r>
          </w:p>
        </w:tc>
        <w:tc>
          <w:tcPr>
            <w:tcW w:w="591" w:type="pct"/>
            <w:tcBorders>
              <w:tl2br w:val="nil"/>
              <w:tr2bl w:val="nil"/>
            </w:tcBorders>
            <w:noWrap w:val="0"/>
            <w:vAlign w:val="center"/>
          </w:tcPr>
          <w:p w14:paraId="36A12928">
            <w:pPr>
              <w:pStyle w:val="563"/>
              <w:bidi w:val="0"/>
              <w:rPr>
                <w:rFonts w:hint="default"/>
                <w:color w:val="auto"/>
                <w:highlight w:val="none"/>
                <w:lang w:val="en-US" w:eastAsia="zh-CN"/>
              </w:rPr>
            </w:pPr>
            <w:r>
              <w:rPr>
                <w:rFonts w:hint="eastAsia"/>
                <w:color w:val="auto"/>
                <w:highlight w:val="none"/>
                <w:lang w:val="en-US" w:eastAsia="zh-CN"/>
              </w:rPr>
              <w:t>117.02801</w:t>
            </w:r>
          </w:p>
        </w:tc>
        <w:tc>
          <w:tcPr>
            <w:tcW w:w="545" w:type="pct"/>
            <w:tcBorders>
              <w:tl2br w:val="nil"/>
              <w:tr2bl w:val="nil"/>
            </w:tcBorders>
            <w:noWrap w:val="0"/>
            <w:vAlign w:val="center"/>
          </w:tcPr>
          <w:p w14:paraId="3F541EFB">
            <w:pPr>
              <w:pStyle w:val="563"/>
              <w:bidi w:val="0"/>
              <w:rPr>
                <w:rFonts w:hint="default"/>
                <w:color w:val="auto"/>
                <w:highlight w:val="none"/>
                <w:lang w:val="en-US" w:eastAsia="zh-CN"/>
              </w:rPr>
            </w:pPr>
            <w:r>
              <w:rPr>
                <w:rFonts w:hint="eastAsia"/>
                <w:color w:val="auto"/>
                <w:highlight w:val="none"/>
                <w:lang w:val="en-US" w:eastAsia="zh-CN"/>
              </w:rPr>
              <w:t>32.519894</w:t>
            </w:r>
          </w:p>
        </w:tc>
        <w:tc>
          <w:tcPr>
            <w:tcW w:w="475" w:type="pct"/>
            <w:tcBorders>
              <w:tl2br w:val="nil"/>
              <w:tr2bl w:val="nil"/>
            </w:tcBorders>
            <w:noWrap w:val="0"/>
            <w:vAlign w:val="center"/>
          </w:tcPr>
          <w:p w14:paraId="7F7BBD57">
            <w:pPr>
              <w:pStyle w:val="563"/>
              <w:bidi w:val="0"/>
              <w:rPr>
                <w:rFonts w:hint="eastAsia"/>
                <w:color w:val="auto"/>
                <w:highlight w:val="none"/>
                <w:lang w:val="en-US" w:eastAsia="zh-CN"/>
              </w:rPr>
            </w:pPr>
            <w:r>
              <w:rPr>
                <w:rFonts w:hint="eastAsia"/>
                <w:color w:val="auto"/>
                <w:highlight w:val="none"/>
                <w:lang w:val="en-US" w:eastAsia="zh-CN"/>
              </w:rPr>
              <w:t>10户/25人</w:t>
            </w:r>
          </w:p>
        </w:tc>
        <w:tc>
          <w:tcPr>
            <w:tcW w:w="775" w:type="pct"/>
            <w:vMerge w:val="continue"/>
            <w:tcBorders>
              <w:tl2br w:val="nil"/>
              <w:tr2bl w:val="nil"/>
            </w:tcBorders>
            <w:noWrap w:val="0"/>
            <w:vAlign w:val="center"/>
          </w:tcPr>
          <w:p w14:paraId="4CF2C000">
            <w:pPr>
              <w:pStyle w:val="563"/>
              <w:bidi w:val="0"/>
              <w:rPr>
                <w:rFonts w:hint="eastAsia"/>
                <w:color w:val="auto"/>
                <w:highlight w:val="none"/>
                <w:lang w:val="en-US" w:eastAsia="zh-CN"/>
              </w:rPr>
            </w:pPr>
          </w:p>
        </w:tc>
        <w:tc>
          <w:tcPr>
            <w:tcW w:w="817" w:type="pct"/>
            <w:tcBorders>
              <w:tl2br w:val="nil"/>
              <w:tr2bl w:val="nil"/>
            </w:tcBorders>
            <w:noWrap w:val="0"/>
            <w:vAlign w:val="center"/>
          </w:tcPr>
          <w:p w14:paraId="670F47FA">
            <w:pPr>
              <w:pStyle w:val="563"/>
              <w:bidi w:val="0"/>
              <w:rPr>
                <w:color w:val="auto"/>
                <w:highlight w:val="none"/>
              </w:rPr>
            </w:pPr>
            <w:r>
              <w:rPr>
                <w:rFonts w:hint="eastAsia"/>
                <w:color w:val="auto"/>
                <w:highlight w:val="none"/>
                <w:lang w:val="en-US" w:eastAsia="zh-CN"/>
              </w:rPr>
              <w:t>东</w:t>
            </w:r>
          </w:p>
        </w:tc>
        <w:tc>
          <w:tcPr>
            <w:tcW w:w="559" w:type="pct"/>
            <w:tcBorders>
              <w:tl2br w:val="nil"/>
              <w:tr2bl w:val="nil"/>
            </w:tcBorders>
            <w:noWrap w:val="0"/>
            <w:vAlign w:val="center"/>
          </w:tcPr>
          <w:p w14:paraId="0A3F42D5">
            <w:pPr>
              <w:pStyle w:val="563"/>
              <w:bidi w:val="0"/>
              <w:rPr>
                <w:rFonts w:hint="eastAsia"/>
                <w:color w:val="auto"/>
                <w:highlight w:val="none"/>
                <w:lang w:val="en-US" w:eastAsia="zh-CN"/>
              </w:rPr>
            </w:pPr>
            <w:r>
              <w:rPr>
                <w:rFonts w:hint="eastAsia"/>
                <w:color w:val="auto"/>
                <w:highlight w:val="none"/>
                <w:lang w:val="en-US" w:eastAsia="zh-CN"/>
              </w:rPr>
              <w:t>2415</w:t>
            </w:r>
          </w:p>
        </w:tc>
      </w:tr>
      <w:tr w14:paraId="44DA7C1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0FE57170">
            <w:pPr>
              <w:pStyle w:val="563"/>
              <w:bidi w:val="0"/>
              <w:rPr>
                <w:rFonts w:hint="eastAsia"/>
                <w:color w:val="auto"/>
                <w:highlight w:val="none"/>
                <w:lang w:val="en-US" w:eastAsia="zh-CN"/>
              </w:rPr>
            </w:pPr>
            <w:r>
              <w:rPr>
                <w:rFonts w:hint="eastAsia"/>
                <w:color w:val="auto"/>
                <w:highlight w:val="none"/>
                <w:lang w:val="en-US" w:eastAsia="zh-CN"/>
              </w:rPr>
              <w:t>5</w:t>
            </w:r>
          </w:p>
        </w:tc>
        <w:tc>
          <w:tcPr>
            <w:tcW w:w="904" w:type="pct"/>
            <w:tcBorders>
              <w:tl2br w:val="nil"/>
              <w:tr2bl w:val="nil"/>
            </w:tcBorders>
            <w:noWrap w:val="0"/>
            <w:vAlign w:val="center"/>
          </w:tcPr>
          <w:p w14:paraId="4D60CA06">
            <w:pPr>
              <w:pStyle w:val="563"/>
              <w:bidi w:val="0"/>
              <w:rPr>
                <w:rFonts w:hint="default"/>
                <w:color w:val="auto"/>
                <w:highlight w:val="none"/>
                <w:lang w:val="en-US" w:eastAsia="zh-CN"/>
              </w:rPr>
            </w:pPr>
            <w:r>
              <w:rPr>
                <w:rFonts w:hint="eastAsia"/>
                <w:color w:val="auto"/>
                <w:highlight w:val="none"/>
                <w:lang w:val="en-US" w:eastAsia="zh-CN"/>
              </w:rPr>
              <w:t>九塘底下</w:t>
            </w:r>
          </w:p>
        </w:tc>
        <w:tc>
          <w:tcPr>
            <w:tcW w:w="591" w:type="pct"/>
            <w:tcBorders>
              <w:tl2br w:val="nil"/>
              <w:tr2bl w:val="nil"/>
            </w:tcBorders>
            <w:noWrap w:val="0"/>
            <w:vAlign w:val="center"/>
          </w:tcPr>
          <w:p w14:paraId="42250AF6">
            <w:pPr>
              <w:pStyle w:val="563"/>
              <w:bidi w:val="0"/>
              <w:rPr>
                <w:rFonts w:hint="eastAsia"/>
                <w:color w:val="auto"/>
                <w:highlight w:val="none"/>
                <w:lang w:val="en-US" w:eastAsia="zh-CN"/>
              </w:rPr>
            </w:pPr>
            <w:r>
              <w:rPr>
                <w:rFonts w:hint="eastAsia"/>
                <w:color w:val="auto"/>
                <w:highlight w:val="none"/>
                <w:lang w:val="en-US" w:eastAsia="zh-CN"/>
              </w:rPr>
              <w:t>116.98796</w:t>
            </w:r>
          </w:p>
        </w:tc>
        <w:tc>
          <w:tcPr>
            <w:tcW w:w="545" w:type="pct"/>
            <w:tcBorders>
              <w:tl2br w:val="nil"/>
              <w:tr2bl w:val="nil"/>
            </w:tcBorders>
            <w:noWrap w:val="0"/>
            <w:vAlign w:val="center"/>
          </w:tcPr>
          <w:p w14:paraId="49D48467">
            <w:pPr>
              <w:pStyle w:val="563"/>
              <w:bidi w:val="0"/>
              <w:rPr>
                <w:rFonts w:hint="default"/>
                <w:color w:val="auto"/>
                <w:highlight w:val="none"/>
                <w:lang w:val="en-US" w:eastAsia="zh-CN"/>
              </w:rPr>
            </w:pPr>
            <w:r>
              <w:rPr>
                <w:rFonts w:hint="eastAsia"/>
                <w:color w:val="auto"/>
                <w:highlight w:val="none"/>
                <w:lang w:val="en-US" w:eastAsia="zh-CN"/>
              </w:rPr>
              <w:t>32.536313</w:t>
            </w:r>
          </w:p>
        </w:tc>
        <w:tc>
          <w:tcPr>
            <w:tcW w:w="475" w:type="pct"/>
            <w:tcBorders>
              <w:tl2br w:val="nil"/>
              <w:tr2bl w:val="nil"/>
            </w:tcBorders>
            <w:noWrap w:val="0"/>
            <w:vAlign w:val="center"/>
          </w:tcPr>
          <w:p w14:paraId="793DCE14">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7D511AC8">
            <w:pPr>
              <w:pStyle w:val="563"/>
              <w:bidi w:val="0"/>
              <w:rPr>
                <w:rFonts w:hint="eastAsia"/>
                <w:color w:val="auto"/>
                <w:highlight w:val="none"/>
                <w:lang w:val="en-US" w:eastAsia="zh-CN"/>
              </w:rPr>
            </w:pPr>
          </w:p>
        </w:tc>
        <w:tc>
          <w:tcPr>
            <w:tcW w:w="817" w:type="pct"/>
            <w:tcBorders>
              <w:tl2br w:val="nil"/>
              <w:tr2bl w:val="nil"/>
            </w:tcBorders>
            <w:noWrap w:val="0"/>
            <w:vAlign w:val="center"/>
          </w:tcPr>
          <w:p w14:paraId="460B737D">
            <w:pPr>
              <w:pStyle w:val="563"/>
              <w:bidi w:val="0"/>
              <w:rPr>
                <w:color w:val="auto"/>
                <w:highlight w:val="none"/>
              </w:rPr>
            </w:pPr>
            <w:r>
              <w:rPr>
                <w:rFonts w:hint="eastAsia"/>
                <w:color w:val="auto"/>
                <w:highlight w:val="none"/>
                <w:lang w:val="en-US" w:eastAsia="zh-CN"/>
              </w:rPr>
              <w:t>西北</w:t>
            </w:r>
          </w:p>
        </w:tc>
        <w:tc>
          <w:tcPr>
            <w:tcW w:w="559" w:type="pct"/>
            <w:tcBorders>
              <w:tl2br w:val="nil"/>
              <w:tr2bl w:val="nil"/>
            </w:tcBorders>
            <w:noWrap w:val="0"/>
            <w:vAlign w:val="center"/>
          </w:tcPr>
          <w:p w14:paraId="1E2ACF15">
            <w:pPr>
              <w:pStyle w:val="563"/>
              <w:bidi w:val="0"/>
              <w:rPr>
                <w:rFonts w:hint="eastAsia"/>
                <w:color w:val="auto"/>
                <w:highlight w:val="none"/>
                <w:lang w:val="en-US" w:eastAsia="zh-CN"/>
              </w:rPr>
            </w:pPr>
            <w:r>
              <w:rPr>
                <w:rFonts w:hint="eastAsia"/>
                <w:color w:val="auto"/>
                <w:highlight w:val="none"/>
                <w:lang w:val="en-US" w:eastAsia="zh-CN"/>
              </w:rPr>
              <w:t>1648</w:t>
            </w:r>
          </w:p>
        </w:tc>
      </w:tr>
      <w:tr w14:paraId="62A120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13B2527">
            <w:pPr>
              <w:pStyle w:val="563"/>
              <w:bidi w:val="0"/>
              <w:rPr>
                <w:rFonts w:hint="eastAsia"/>
                <w:color w:val="auto"/>
                <w:highlight w:val="none"/>
                <w:lang w:val="en-US" w:eastAsia="zh-CN"/>
              </w:rPr>
            </w:pPr>
            <w:r>
              <w:rPr>
                <w:rFonts w:hint="eastAsia"/>
                <w:color w:val="auto"/>
                <w:highlight w:val="none"/>
                <w:lang w:val="en-US" w:eastAsia="zh-CN"/>
              </w:rPr>
              <w:t>6</w:t>
            </w:r>
          </w:p>
        </w:tc>
        <w:tc>
          <w:tcPr>
            <w:tcW w:w="904" w:type="pct"/>
            <w:tcBorders>
              <w:tl2br w:val="nil"/>
              <w:tr2bl w:val="nil"/>
            </w:tcBorders>
            <w:noWrap w:val="0"/>
            <w:vAlign w:val="center"/>
          </w:tcPr>
          <w:p w14:paraId="504FFF19">
            <w:pPr>
              <w:pStyle w:val="563"/>
              <w:bidi w:val="0"/>
              <w:rPr>
                <w:rFonts w:hint="default"/>
                <w:color w:val="auto"/>
                <w:highlight w:val="none"/>
                <w:lang w:val="en-US" w:eastAsia="zh-CN"/>
              </w:rPr>
            </w:pPr>
            <w:r>
              <w:rPr>
                <w:rFonts w:hint="eastAsia"/>
                <w:color w:val="auto"/>
                <w:highlight w:val="none"/>
                <w:lang w:val="en-US" w:eastAsia="zh-CN"/>
              </w:rPr>
              <w:t>徐大郢</w:t>
            </w:r>
          </w:p>
        </w:tc>
        <w:tc>
          <w:tcPr>
            <w:tcW w:w="591" w:type="pct"/>
            <w:tcBorders>
              <w:tl2br w:val="nil"/>
              <w:tr2bl w:val="nil"/>
            </w:tcBorders>
            <w:noWrap w:val="0"/>
            <w:vAlign w:val="center"/>
          </w:tcPr>
          <w:p w14:paraId="14FDB01F">
            <w:pPr>
              <w:pStyle w:val="563"/>
              <w:bidi w:val="0"/>
              <w:rPr>
                <w:rFonts w:hint="default"/>
                <w:color w:val="auto"/>
                <w:highlight w:val="none"/>
                <w:lang w:val="en-US" w:eastAsia="zh-CN"/>
              </w:rPr>
            </w:pPr>
            <w:r>
              <w:rPr>
                <w:rFonts w:hint="eastAsia"/>
                <w:color w:val="auto"/>
                <w:highlight w:val="none"/>
                <w:lang w:val="en-US" w:eastAsia="zh-CN"/>
              </w:rPr>
              <w:t>117.01496</w:t>
            </w:r>
          </w:p>
        </w:tc>
        <w:tc>
          <w:tcPr>
            <w:tcW w:w="545" w:type="pct"/>
            <w:tcBorders>
              <w:tl2br w:val="nil"/>
              <w:tr2bl w:val="nil"/>
            </w:tcBorders>
            <w:noWrap w:val="0"/>
            <w:vAlign w:val="center"/>
          </w:tcPr>
          <w:p w14:paraId="04D910A3">
            <w:pPr>
              <w:pStyle w:val="563"/>
              <w:bidi w:val="0"/>
              <w:rPr>
                <w:rFonts w:hint="default"/>
                <w:color w:val="auto"/>
                <w:highlight w:val="none"/>
                <w:lang w:val="en-US" w:eastAsia="zh-CN"/>
              </w:rPr>
            </w:pPr>
            <w:r>
              <w:rPr>
                <w:rFonts w:hint="eastAsia"/>
                <w:color w:val="auto"/>
                <w:highlight w:val="none"/>
                <w:lang w:val="en-US" w:eastAsia="zh-CN"/>
              </w:rPr>
              <w:t>32.525295</w:t>
            </w:r>
          </w:p>
        </w:tc>
        <w:tc>
          <w:tcPr>
            <w:tcW w:w="475" w:type="pct"/>
            <w:tcBorders>
              <w:tl2br w:val="nil"/>
              <w:tr2bl w:val="nil"/>
            </w:tcBorders>
            <w:noWrap w:val="0"/>
            <w:vAlign w:val="center"/>
          </w:tcPr>
          <w:p w14:paraId="7AF33EC3">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7663ACC5">
            <w:pPr>
              <w:pStyle w:val="563"/>
              <w:bidi w:val="0"/>
              <w:rPr>
                <w:rFonts w:hint="eastAsia"/>
                <w:color w:val="auto"/>
                <w:highlight w:val="none"/>
                <w:lang w:val="en-US" w:eastAsia="zh-CN"/>
              </w:rPr>
            </w:pPr>
          </w:p>
        </w:tc>
        <w:tc>
          <w:tcPr>
            <w:tcW w:w="817" w:type="pct"/>
            <w:tcBorders>
              <w:tl2br w:val="nil"/>
              <w:tr2bl w:val="nil"/>
            </w:tcBorders>
            <w:noWrap w:val="0"/>
            <w:vAlign w:val="center"/>
          </w:tcPr>
          <w:p w14:paraId="1B74329D">
            <w:pPr>
              <w:pStyle w:val="563"/>
              <w:bidi w:val="0"/>
              <w:rPr>
                <w:color w:val="auto"/>
                <w:highlight w:val="none"/>
              </w:rPr>
            </w:pPr>
            <w:r>
              <w:rPr>
                <w:rFonts w:hint="eastAsia"/>
                <w:color w:val="auto"/>
                <w:highlight w:val="none"/>
                <w:lang w:val="en-US" w:eastAsia="zh-CN"/>
              </w:rPr>
              <w:t>东</w:t>
            </w:r>
          </w:p>
        </w:tc>
        <w:tc>
          <w:tcPr>
            <w:tcW w:w="559" w:type="pct"/>
            <w:tcBorders>
              <w:tl2br w:val="nil"/>
              <w:tr2bl w:val="nil"/>
            </w:tcBorders>
            <w:noWrap w:val="0"/>
            <w:vAlign w:val="center"/>
          </w:tcPr>
          <w:p w14:paraId="4FBA7DC7">
            <w:pPr>
              <w:pStyle w:val="563"/>
              <w:bidi w:val="0"/>
              <w:rPr>
                <w:rFonts w:hint="eastAsia"/>
                <w:color w:val="auto"/>
                <w:highlight w:val="none"/>
                <w:lang w:val="en-US" w:eastAsia="zh-CN"/>
              </w:rPr>
            </w:pPr>
            <w:r>
              <w:rPr>
                <w:rFonts w:hint="eastAsia"/>
                <w:color w:val="auto"/>
                <w:highlight w:val="none"/>
                <w:lang w:val="en-US" w:eastAsia="zh-CN"/>
              </w:rPr>
              <w:t>1113</w:t>
            </w:r>
          </w:p>
        </w:tc>
      </w:tr>
      <w:tr w14:paraId="68DA99E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58FD4B5">
            <w:pPr>
              <w:pStyle w:val="563"/>
              <w:bidi w:val="0"/>
              <w:rPr>
                <w:rFonts w:hint="eastAsia"/>
                <w:color w:val="auto"/>
                <w:highlight w:val="none"/>
                <w:lang w:val="en-US" w:eastAsia="zh-CN"/>
              </w:rPr>
            </w:pPr>
            <w:r>
              <w:rPr>
                <w:rFonts w:hint="eastAsia"/>
                <w:color w:val="auto"/>
                <w:highlight w:val="none"/>
                <w:lang w:val="en-US" w:eastAsia="zh-CN"/>
              </w:rPr>
              <w:t>7</w:t>
            </w:r>
          </w:p>
        </w:tc>
        <w:tc>
          <w:tcPr>
            <w:tcW w:w="904" w:type="pct"/>
            <w:tcBorders>
              <w:tl2br w:val="nil"/>
              <w:tr2bl w:val="nil"/>
            </w:tcBorders>
            <w:noWrap w:val="0"/>
            <w:vAlign w:val="center"/>
          </w:tcPr>
          <w:p w14:paraId="3C32E374">
            <w:pPr>
              <w:pStyle w:val="563"/>
              <w:bidi w:val="0"/>
              <w:rPr>
                <w:rFonts w:hint="eastAsia"/>
                <w:color w:val="auto"/>
                <w:highlight w:val="none"/>
                <w:lang w:val="en-US" w:eastAsia="zh-CN"/>
              </w:rPr>
            </w:pPr>
            <w:r>
              <w:rPr>
                <w:rFonts w:hint="eastAsia"/>
                <w:color w:val="auto"/>
                <w:highlight w:val="none"/>
                <w:lang w:val="en-US" w:eastAsia="zh-CN"/>
              </w:rPr>
              <w:t>北杨家楼</w:t>
            </w:r>
          </w:p>
        </w:tc>
        <w:tc>
          <w:tcPr>
            <w:tcW w:w="591" w:type="pct"/>
            <w:tcBorders>
              <w:tl2br w:val="nil"/>
              <w:tr2bl w:val="nil"/>
            </w:tcBorders>
            <w:noWrap w:val="0"/>
            <w:vAlign w:val="center"/>
          </w:tcPr>
          <w:p w14:paraId="7E79C18B">
            <w:pPr>
              <w:pStyle w:val="563"/>
              <w:bidi w:val="0"/>
              <w:rPr>
                <w:rFonts w:hint="default"/>
                <w:color w:val="auto"/>
                <w:highlight w:val="none"/>
                <w:lang w:val="en-US" w:eastAsia="zh-CN"/>
              </w:rPr>
            </w:pPr>
            <w:r>
              <w:rPr>
                <w:rFonts w:hint="eastAsia"/>
                <w:color w:val="auto"/>
                <w:highlight w:val="none"/>
                <w:lang w:val="en-US" w:eastAsia="zh-CN"/>
              </w:rPr>
              <w:t>117.01785</w:t>
            </w:r>
          </w:p>
        </w:tc>
        <w:tc>
          <w:tcPr>
            <w:tcW w:w="545" w:type="pct"/>
            <w:tcBorders>
              <w:tl2br w:val="nil"/>
              <w:tr2bl w:val="nil"/>
            </w:tcBorders>
            <w:noWrap w:val="0"/>
            <w:vAlign w:val="center"/>
          </w:tcPr>
          <w:p w14:paraId="4E5D91A9">
            <w:pPr>
              <w:pStyle w:val="563"/>
              <w:bidi w:val="0"/>
              <w:rPr>
                <w:rFonts w:hint="default"/>
                <w:color w:val="auto"/>
                <w:highlight w:val="none"/>
                <w:lang w:val="en-US" w:eastAsia="zh-CN"/>
              </w:rPr>
            </w:pPr>
            <w:r>
              <w:rPr>
                <w:rFonts w:hint="eastAsia"/>
                <w:color w:val="auto"/>
                <w:highlight w:val="none"/>
                <w:lang w:val="en-US" w:eastAsia="zh-CN"/>
              </w:rPr>
              <w:t>32.512241</w:t>
            </w:r>
          </w:p>
        </w:tc>
        <w:tc>
          <w:tcPr>
            <w:tcW w:w="475" w:type="pct"/>
            <w:tcBorders>
              <w:tl2br w:val="nil"/>
              <w:tr2bl w:val="nil"/>
            </w:tcBorders>
            <w:noWrap w:val="0"/>
            <w:vAlign w:val="center"/>
          </w:tcPr>
          <w:p w14:paraId="3C609877">
            <w:pPr>
              <w:pStyle w:val="563"/>
              <w:bidi w:val="0"/>
              <w:rPr>
                <w:rFonts w:hint="eastAsia"/>
                <w:color w:val="auto"/>
                <w:highlight w:val="none"/>
                <w:lang w:val="en-US" w:eastAsia="zh-CN"/>
              </w:rPr>
            </w:pPr>
            <w:r>
              <w:rPr>
                <w:rFonts w:hint="eastAsia"/>
                <w:color w:val="auto"/>
                <w:highlight w:val="none"/>
                <w:lang w:val="en-US" w:eastAsia="zh-CN"/>
              </w:rPr>
              <w:t>70户/210人</w:t>
            </w:r>
          </w:p>
        </w:tc>
        <w:tc>
          <w:tcPr>
            <w:tcW w:w="775" w:type="pct"/>
            <w:vMerge w:val="continue"/>
            <w:tcBorders>
              <w:tl2br w:val="nil"/>
              <w:tr2bl w:val="nil"/>
            </w:tcBorders>
            <w:noWrap w:val="0"/>
            <w:vAlign w:val="center"/>
          </w:tcPr>
          <w:p w14:paraId="3A49BF3B">
            <w:pPr>
              <w:pStyle w:val="563"/>
              <w:bidi w:val="0"/>
              <w:rPr>
                <w:rFonts w:hint="eastAsia"/>
                <w:color w:val="auto"/>
                <w:highlight w:val="none"/>
                <w:lang w:val="en-US" w:eastAsia="zh-CN"/>
              </w:rPr>
            </w:pPr>
          </w:p>
        </w:tc>
        <w:tc>
          <w:tcPr>
            <w:tcW w:w="817" w:type="pct"/>
            <w:tcBorders>
              <w:tl2br w:val="nil"/>
              <w:tr2bl w:val="nil"/>
            </w:tcBorders>
            <w:noWrap w:val="0"/>
            <w:vAlign w:val="center"/>
          </w:tcPr>
          <w:p w14:paraId="2CDC70AB">
            <w:pPr>
              <w:pStyle w:val="563"/>
              <w:bidi w:val="0"/>
              <w:rPr>
                <w:color w:val="auto"/>
                <w:highlight w:val="none"/>
              </w:rPr>
            </w:pPr>
            <w:r>
              <w:rPr>
                <w:rFonts w:hint="eastAsia"/>
                <w:color w:val="auto"/>
                <w:highlight w:val="none"/>
                <w:lang w:val="en-US" w:eastAsia="zh-CN"/>
              </w:rPr>
              <w:t>东南</w:t>
            </w:r>
          </w:p>
        </w:tc>
        <w:tc>
          <w:tcPr>
            <w:tcW w:w="559" w:type="pct"/>
            <w:tcBorders>
              <w:tl2br w:val="nil"/>
              <w:tr2bl w:val="nil"/>
            </w:tcBorders>
            <w:noWrap w:val="0"/>
            <w:vAlign w:val="center"/>
          </w:tcPr>
          <w:p w14:paraId="57B21EC4">
            <w:pPr>
              <w:pStyle w:val="563"/>
              <w:bidi w:val="0"/>
              <w:rPr>
                <w:rFonts w:hint="eastAsia"/>
                <w:color w:val="auto"/>
                <w:highlight w:val="none"/>
                <w:lang w:val="en-US" w:eastAsia="zh-CN"/>
              </w:rPr>
            </w:pPr>
            <w:r>
              <w:rPr>
                <w:rFonts w:hint="eastAsia"/>
                <w:color w:val="auto"/>
                <w:highlight w:val="none"/>
                <w:lang w:val="en-US" w:eastAsia="zh-CN"/>
              </w:rPr>
              <w:t>2011</w:t>
            </w:r>
          </w:p>
        </w:tc>
      </w:tr>
      <w:tr w14:paraId="2A1DF1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22818C12">
            <w:pPr>
              <w:pStyle w:val="563"/>
              <w:bidi w:val="0"/>
              <w:rPr>
                <w:rFonts w:hint="eastAsia"/>
                <w:color w:val="auto"/>
                <w:highlight w:val="none"/>
                <w:lang w:val="en-US" w:eastAsia="zh-CN"/>
              </w:rPr>
            </w:pPr>
            <w:r>
              <w:rPr>
                <w:rFonts w:hint="eastAsia"/>
                <w:color w:val="auto"/>
                <w:highlight w:val="none"/>
                <w:lang w:val="en-US" w:eastAsia="zh-CN"/>
              </w:rPr>
              <w:t>8</w:t>
            </w:r>
          </w:p>
        </w:tc>
        <w:tc>
          <w:tcPr>
            <w:tcW w:w="904" w:type="pct"/>
            <w:tcBorders>
              <w:tl2br w:val="nil"/>
              <w:tr2bl w:val="nil"/>
            </w:tcBorders>
            <w:noWrap w:val="0"/>
            <w:vAlign w:val="center"/>
          </w:tcPr>
          <w:p w14:paraId="7CB57DD1">
            <w:pPr>
              <w:pStyle w:val="563"/>
              <w:bidi w:val="0"/>
              <w:rPr>
                <w:rFonts w:hint="eastAsia"/>
                <w:color w:val="auto"/>
                <w:highlight w:val="none"/>
                <w:lang w:val="en-US" w:eastAsia="zh-CN"/>
              </w:rPr>
            </w:pPr>
            <w:r>
              <w:rPr>
                <w:rFonts w:hint="eastAsia"/>
                <w:color w:val="auto"/>
                <w:highlight w:val="none"/>
                <w:lang w:val="en-US" w:eastAsia="zh-CN"/>
              </w:rPr>
              <w:t>小后郢</w:t>
            </w:r>
          </w:p>
        </w:tc>
        <w:tc>
          <w:tcPr>
            <w:tcW w:w="591" w:type="pct"/>
            <w:tcBorders>
              <w:tl2br w:val="nil"/>
              <w:tr2bl w:val="nil"/>
            </w:tcBorders>
            <w:noWrap w:val="0"/>
            <w:vAlign w:val="center"/>
          </w:tcPr>
          <w:p w14:paraId="10DE134E">
            <w:pPr>
              <w:pStyle w:val="563"/>
              <w:bidi w:val="0"/>
              <w:rPr>
                <w:rFonts w:hint="eastAsia"/>
                <w:color w:val="auto"/>
                <w:highlight w:val="none"/>
                <w:lang w:val="en-US" w:eastAsia="zh-CN"/>
              </w:rPr>
            </w:pPr>
            <w:r>
              <w:rPr>
                <w:rFonts w:hint="eastAsia"/>
                <w:color w:val="auto"/>
                <w:highlight w:val="none"/>
                <w:lang w:val="en-US" w:eastAsia="zh-CN"/>
              </w:rPr>
              <w:t>117.00621</w:t>
            </w:r>
          </w:p>
        </w:tc>
        <w:tc>
          <w:tcPr>
            <w:tcW w:w="545" w:type="pct"/>
            <w:tcBorders>
              <w:tl2br w:val="nil"/>
              <w:tr2bl w:val="nil"/>
            </w:tcBorders>
            <w:noWrap w:val="0"/>
            <w:vAlign w:val="center"/>
          </w:tcPr>
          <w:p w14:paraId="6FA30029">
            <w:pPr>
              <w:pStyle w:val="563"/>
              <w:bidi w:val="0"/>
              <w:rPr>
                <w:rFonts w:hint="eastAsia"/>
                <w:color w:val="auto"/>
                <w:highlight w:val="none"/>
                <w:lang w:val="en-US" w:eastAsia="zh-CN"/>
              </w:rPr>
            </w:pPr>
            <w:r>
              <w:rPr>
                <w:rFonts w:hint="eastAsia"/>
                <w:color w:val="auto"/>
                <w:highlight w:val="none"/>
                <w:lang w:val="en-US" w:eastAsia="zh-CN"/>
              </w:rPr>
              <w:t>32.513661</w:t>
            </w:r>
          </w:p>
        </w:tc>
        <w:tc>
          <w:tcPr>
            <w:tcW w:w="475" w:type="pct"/>
            <w:tcBorders>
              <w:tl2br w:val="nil"/>
              <w:tr2bl w:val="nil"/>
            </w:tcBorders>
            <w:noWrap w:val="0"/>
            <w:vAlign w:val="center"/>
          </w:tcPr>
          <w:p w14:paraId="1B6034AA">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2170AD9F">
            <w:pPr>
              <w:pStyle w:val="563"/>
              <w:bidi w:val="0"/>
              <w:rPr>
                <w:rFonts w:hint="eastAsia"/>
                <w:color w:val="auto"/>
                <w:highlight w:val="none"/>
                <w:lang w:val="en-US" w:eastAsia="zh-CN"/>
              </w:rPr>
            </w:pPr>
          </w:p>
        </w:tc>
        <w:tc>
          <w:tcPr>
            <w:tcW w:w="817" w:type="pct"/>
            <w:tcBorders>
              <w:tl2br w:val="nil"/>
              <w:tr2bl w:val="nil"/>
            </w:tcBorders>
            <w:noWrap w:val="0"/>
            <w:vAlign w:val="center"/>
          </w:tcPr>
          <w:p w14:paraId="1DFDB4B1">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0CB5661A">
            <w:pPr>
              <w:pStyle w:val="563"/>
              <w:bidi w:val="0"/>
              <w:rPr>
                <w:rFonts w:hint="eastAsia"/>
                <w:color w:val="auto"/>
                <w:highlight w:val="none"/>
                <w:lang w:val="en-US" w:eastAsia="zh-CN"/>
              </w:rPr>
            </w:pPr>
            <w:r>
              <w:rPr>
                <w:rFonts w:hint="eastAsia"/>
                <w:color w:val="auto"/>
                <w:highlight w:val="none"/>
                <w:lang w:val="en-US" w:eastAsia="zh-CN"/>
              </w:rPr>
              <w:t>1333</w:t>
            </w:r>
          </w:p>
        </w:tc>
      </w:tr>
      <w:tr w14:paraId="508DFC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12C970D">
            <w:pPr>
              <w:pStyle w:val="563"/>
              <w:bidi w:val="0"/>
              <w:rPr>
                <w:rFonts w:hint="eastAsia"/>
                <w:color w:val="auto"/>
                <w:highlight w:val="none"/>
                <w:lang w:val="en-US" w:eastAsia="zh-CN"/>
              </w:rPr>
            </w:pPr>
            <w:r>
              <w:rPr>
                <w:rFonts w:hint="eastAsia"/>
                <w:color w:val="auto"/>
                <w:highlight w:val="none"/>
                <w:lang w:val="en-US" w:eastAsia="zh-CN"/>
              </w:rPr>
              <w:t>9</w:t>
            </w:r>
          </w:p>
        </w:tc>
        <w:tc>
          <w:tcPr>
            <w:tcW w:w="904" w:type="pct"/>
            <w:tcBorders>
              <w:tl2br w:val="nil"/>
              <w:tr2bl w:val="nil"/>
            </w:tcBorders>
            <w:noWrap w:val="0"/>
            <w:vAlign w:val="center"/>
          </w:tcPr>
          <w:p w14:paraId="73E4903A">
            <w:pPr>
              <w:pStyle w:val="563"/>
              <w:bidi w:val="0"/>
              <w:rPr>
                <w:rFonts w:hint="eastAsia"/>
                <w:color w:val="auto"/>
                <w:highlight w:val="none"/>
                <w:lang w:val="en-US" w:eastAsia="zh-CN"/>
              </w:rPr>
            </w:pPr>
            <w:r>
              <w:rPr>
                <w:rFonts w:hint="eastAsia"/>
                <w:color w:val="auto"/>
                <w:highlight w:val="none"/>
                <w:lang w:val="en-US" w:eastAsia="zh-CN"/>
              </w:rPr>
              <w:t>小南郢</w:t>
            </w:r>
          </w:p>
        </w:tc>
        <w:tc>
          <w:tcPr>
            <w:tcW w:w="591" w:type="pct"/>
            <w:tcBorders>
              <w:tl2br w:val="nil"/>
              <w:tr2bl w:val="nil"/>
            </w:tcBorders>
            <w:noWrap w:val="0"/>
            <w:vAlign w:val="center"/>
          </w:tcPr>
          <w:p w14:paraId="15681B62">
            <w:pPr>
              <w:pStyle w:val="563"/>
              <w:bidi w:val="0"/>
              <w:rPr>
                <w:rFonts w:hint="eastAsia"/>
                <w:color w:val="auto"/>
                <w:highlight w:val="none"/>
                <w:lang w:val="en-US" w:eastAsia="zh-CN"/>
              </w:rPr>
            </w:pPr>
            <w:r>
              <w:rPr>
                <w:rFonts w:hint="eastAsia"/>
                <w:color w:val="auto"/>
                <w:highlight w:val="none"/>
                <w:lang w:val="en-US" w:eastAsia="zh-CN"/>
              </w:rPr>
              <w:t>116.99336</w:t>
            </w:r>
          </w:p>
        </w:tc>
        <w:tc>
          <w:tcPr>
            <w:tcW w:w="545" w:type="pct"/>
            <w:tcBorders>
              <w:tl2br w:val="nil"/>
              <w:tr2bl w:val="nil"/>
            </w:tcBorders>
            <w:noWrap w:val="0"/>
            <w:vAlign w:val="center"/>
          </w:tcPr>
          <w:p w14:paraId="361E2594">
            <w:pPr>
              <w:pStyle w:val="563"/>
              <w:bidi w:val="0"/>
              <w:rPr>
                <w:rFonts w:hint="eastAsia"/>
                <w:color w:val="auto"/>
                <w:highlight w:val="none"/>
                <w:lang w:val="en-US" w:eastAsia="zh-CN"/>
              </w:rPr>
            </w:pPr>
            <w:r>
              <w:rPr>
                <w:rFonts w:hint="eastAsia"/>
                <w:color w:val="auto"/>
                <w:highlight w:val="none"/>
                <w:lang w:val="en-US" w:eastAsia="zh-CN"/>
              </w:rPr>
              <w:t>32.505518</w:t>
            </w:r>
          </w:p>
        </w:tc>
        <w:tc>
          <w:tcPr>
            <w:tcW w:w="475" w:type="pct"/>
            <w:tcBorders>
              <w:tl2br w:val="nil"/>
              <w:tr2bl w:val="nil"/>
            </w:tcBorders>
            <w:noWrap w:val="0"/>
            <w:vAlign w:val="center"/>
          </w:tcPr>
          <w:p w14:paraId="4B3716EF">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3EF42E51">
            <w:pPr>
              <w:pStyle w:val="563"/>
              <w:bidi w:val="0"/>
              <w:rPr>
                <w:rFonts w:hint="eastAsia"/>
                <w:color w:val="auto"/>
                <w:highlight w:val="none"/>
                <w:lang w:val="en-US" w:eastAsia="zh-CN"/>
              </w:rPr>
            </w:pPr>
          </w:p>
        </w:tc>
        <w:tc>
          <w:tcPr>
            <w:tcW w:w="817" w:type="pct"/>
            <w:tcBorders>
              <w:tl2br w:val="nil"/>
              <w:tr2bl w:val="nil"/>
            </w:tcBorders>
            <w:noWrap w:val="0"/>
            <w:vAlign w:val="center"/>
          </w:tcPr>
          <w:p w14:paraId="2EB57931">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6E58E3E6">
            <w:pPr>
              <w:pStyle w:val="563"/>
              <w:bidi w:val="0"/>
              <w:rPr>
                <w:rFonts w:hint="eastAsia"/>
                <w:color w:val="auto"/>
                <w:highlight w:val="none"/>
                <w:lang w:val="en-US" w:eastAsia="zh-CN"/>
              </w:rPr>
            </w:pPr>
            <w:r>
              <w:rPr>
                <w:rFonts w:hint="eastAsia"/>
                <w:color w:val="auto"/>
                <w:highlight w:val="none"/>
                <w:lang w:val="en-US" w:eastAsia="zh-CN"/>
              </w:rPr>
              <w:t>2286</w:t>
            </w:r>
          </w:p>
        </w:tc>
      </w:tr>
      <w:tr w14:paraId="464D23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2F5E9FA3">
            <w:pPr>
              <w:pStyle w:val="563"/>
              <w:bidi w:val="0"/>
              <w:rPr>
                <w:rFonts w:hint="eastAsia"/>
                <w:color w:val="auto"/>
                <w:highlight w:val="none"/>
                <w:lang w:val="en-US" w:eastAsia="zh-CN"/>
              </w:rPr>
            </w:pPr>
            <w:r>
              <w:rPr>
                <w:rFonts w:hint="eastAsia"/>
                <w:color w:val="auto"/>
                <w:highlight w:val="none"/>
                <w:lang w:val="en-US" w:eastAsia="zh-CN"/>
              </w:rPr>
              <w:t>10</w:t>
            </w:r>
          </w:p>
        </w:tc>
        <w:tc>
          <w:tcPr>
            <w:tcW w:w="904" w:type="pct"/>
            <w:tcBorders>
              <w:tl2br w:val="nil"/>
              <w:tr2bl w:val="nil"/>
            </w:tcBorders>
            <w:noWrap w:val="0"/>
            <w:vAlign w:val="center"/>
          </w:tcPr>
          <w:p w14:paraId="1EA3FB8C">
            <w:pPr>
              <w:pStyle w:val="563"/>
              <w:bidi w:val="0"/>
              <w:rPr>
                <w:rFonts w:hint="eastAsia"/>
                <w:color w:val="auto"/>
                <w:highlight w:val="none"/>
                <w:lang w:val="en-US" w:eastAsia="zh-CN"/>
              </w:rPr>
            </w:pPr>
            <w:r>
              <w:rPr>
                <w:rFonts w:hint="eastAsia"/>
                <w:color w:val="auto"/>
                <w:highlight w:val="none"/>
                <w:lang w:val="en-US" w:eastAsia="zh-CN"/>
              </w:rPr>
              <w:t>东下郢</w:t>
            </w:r>
          </w:p>
        </w:tc>
        <w:tc>
          <w:tcPr>
            <w:tcW w:w="591" w:type="pct"/>
            <w:tcBorders>
              <w:tl2br w:val="nil"/>
              <w:tr2bl w:val="nil"/>
            </w:tcBorders>
            <w:noWrap w:val="0"/>
            <w:vAlign w:val="center"/>
          </w:tcPr>
          <w:p w14:paraId="626C1B5C">
            <w:pPr>
              <w:pStyle w:val="563"/>
              <w:bidi w:val="0"/>
              <w:rPr>
                <w:rFonts w:hint="eastAsia"/>
                <w:color w:val="auto"/>
                <w:highlight w:val="none"/>
                <w:lang w:val="en-US" w:eastAsia="zh-CN"/>
              </w:rPr>
            </w:pPr>
            <w:r>
              <w:rPr>
                <w:rFonts w:hint="eastAsia"/>
                <w:color w:val="auto"/>
                <w:highlight w:val="none"/>
                <w:lang w:val="en-US" w:eastAsia="zh-CN"/>
              </w:rPr>
              <w:t>117.0277</w:t>
            </w:r>
          </w:p>
        </w:tc>
        <w:tc>
          <w:tcPr>
            <w:tcW w:w="545" w:type="pct"/>
            <w:tcBorders>
              <w:tl2br w:val="nil"/>
              <w:tr2bl w:val="nil"/>
            </w:tcBorders>
            <w:noWrap w:val="0"/>
            <w:vAlign w:val="center"/>
          </w:tcPr>
          <w:p w14:paraId="188B0DDB">
            <w:pPr>
              <w:pStyle w:val="563"/>
              <w:bidi w:val="0"/>
              <w:rPr>
                <w:rFonts w:hint="eastAsia"/>
                <w:color w:val="auto"/>
                <w:highlight w:val="none"/>
                <w:lang w:val="en-US" w:eastAsia="zh-CN"/>
              </w:rPr>
            </w:pPr>
            <w:r>
              <w:rPr>
                <w:rFonts w:hint="eastAsia"/>
                <w:color w:val="auto"/>
                <w:highlight w:val="none"/>
                <w:lang w:val="en-US" w:eastAsia="zh-CN"/>
              </w:rPr>
              <w:t>32.518393</w:t>
            </w:r>
          </w:p>
        </w:tc>
        <w:tc>
          <w:tcPr>
            <w:tcW w:w="475" w:type="pct"/>
            <w:tcBorders>
              <w:tl2br w:val="nil"/>
              <w:tr2bl w:val="nil"/>
            </w:tcBorders>
            <w:noWrap w:val="0"/>
            <w:vAlign w:val="center"/>
          </w:tcPr>
          <w:p w14:paraId="0C95AA90">
            <w:pPr>
              <w:pStyle w:val="563"/>
              <w:bidi w:val="0"/>
              <w:rPr>
                <w:rFonts w:hint="eastAsia"/>
                <w:color w:val="auto"/>
                <w:highlight w:val="none"/>
                <w:lang w:val="en-US" w:eastAsia="zh-CN"/>
              </w:rPr>
            </w:pPr>
            <w:r>
              <w:rPr>
                <w:rFonts w:hint="eastAsia"/>
                <w:color w:val="auto"/>
                <w:highlight w:val="none"/>
                <w:lang w:val="en-US" w:eastAsia="zh-CN"/>
              </w:rPr>
              <w:t>10户/30人</w:t>
            </w:r>
          </w:p>
        </w:tc>
        <w:tc>
          <w:tcPr>
            <w:tcW w:w="775" w:type="pct"/>
            <w:vMerge w:val="continue"/>
            <w:tcBorders>
              <w:tl2br w:val="nil"/>
              <w:tr2bl w:val="nil"/>
            </w:tcBorders>
            <w:noWrap w:val="0"/>
            <w:vAlign w:val="center"/>
          </w:tcPr>
          <w:p w14:paraId="3762AC1B">
            <w:pPr>
              <w:pStyle w:val="563"/>
              <w:bidi w:val="0"/>
              <w:rPr>
                <w:rFonts w:hint="eastAsia"/>
                <w:color w:val="auto"/>
                <w:highlight w:val="none"/>
                <w:lang w:val="en-US" w:eastAsia="zh-CN"/>
              </w:rPr>
            </w:pPr>
          </w:p>
        </w:tc>
        <w:tc>
          <w:tcPr>
            <w:tcW w:w="817" w:type="pct"/>
            <w:tcBorders>
              <w:tl2br w:val="nil"/>
              <w:tr2bl w:val="nil"/>
            </w:tcBorders>
            <w:noWrap w:val="0"/>
            <w:vAlign w:val="center"/>
          </w:tcPr>
          <w:p w14:paraId="5D8C50DC">
            <w:pPr>
              <w:pStyle w:val="563"/>
              <w:bidi w:val="0"/>
              <w:rPr>
                <w:color w:val="auto"/>
                <w:highlight w:val="none"/>
              </w:rPr>
            </w:pPr>
            <w:r>
              <w:rPr>
                <w:rFonts w:hint="eastAsia"/>
                <w:color w:val="auto"/>
                <w:highlight w:val="none"/>
                <w:lang w:val="en-US" w:eastAsia="zh-CN"/>
              </w:rPr>
              <w:t>东</w:t>
            </w:r>
          </w:p>
        </w:tc>
        <w:tc>
          <w:tcPr>
            <w:tcW w:w="559" w:type="pct"/>
            <w:tcBorders>
              <w:tl2br w:val="nil"/>
              <w:tr2bl w:val="nil"/>
            </w:tcBorders>
            <w:noWrap w:val="0"/>
            <w:vAlign w:val="center"/>
          </w:tcPr>
          <w:p w14:paraId="71D7F460">
            <w:pPr>
              <w:pStyle w:val="563"/>
              <w:bidi w:val="0"/>
              <w:rPr>
                <w:rFonts w:hint="eastAsia"/>
                <w:color w:val="auto"/>
                <w:highlight w:val="none"/>
                <w:lang w:val="en-US" w:eastAsia="zh-CN"/>
              </w:rPr>
            </w:pPr>
            <w:r>
              <w:rPr>
                <w:rFonts w:hint="eastAsia"/>
                <w:color w:val="auto"/>
                <w:highlight w:val="none"/>
                <w:lang w:val="en-US" w:eastAsia="zh-CN"/>
              </w:rPr>
              <w:t>2435</w:t>
            </w:r>
          </w:p>
        </w:tc>
      </w:tr>
      <w:tr w14:paraId="0EE126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245FA270">
            <w:pPr>
              <w:pStyle w:val="563"/>
              <w:bidi w:val="0"/>
              <w:rPr>
                <w:rFonts w:hint="eastAsia"/>
                <w:color w:val="auto"/>
                <w:highlight w:val="none"/>
                <w:lang w:val="en-US" w:eastAsia="zh-CN"/>
              </w:rPr>
            </w:pPr>
            <w:r>
              <w:rPr>
                <w:rFonts w:hint="eastAsia"/>
                <w:color w:val="auto"/>
                <w:highlight w:val="none"/>
                <w:lang w:val="en-US" w:eastAsia="zh-CN"/>
              </w:rPr>
              <w:t>11</w:t>
            </w:r>
          </w:p>
        </w:tc>
        <w:tc>
          <w:tcPr>
            <w:tcW w:w="904" w:type="pct"/>
            <w:tcBorders>
              <w:tl2br w:val="nil"/>
              <w:tr2bl w:val="nil"/>
            </w:tcBorders>
            <w:noWrap w:val="0"/>
            <w:vAlign w:val="center"/>
          </w:tcPr>
          <w:p w14:paraId="4E383691">
            <w:pPr>
              <w:pStyle w:val="563"/>
              <w:bidi w:val="0"/>
              <w:rPr>
                <w:rFonts w:hint="eastAsia"/>
                <w:color w:val="auto"/>
                <w:highlight w:val="none"/>
                <w:lang w:val="en-US" w:eastAsia="zh-CN"/>
              </w:rPr>
            </w:pPr>
            <w:r>
              <w:rPr>
                <w:rFonts w:hint="eastAsia"/>
                <w:color w:val="auto"/>
                <w:highlight w:val="none"/>
                <w:lang w:val="en-US" w:eastAsia="zh-CN"/>
              </w:rPr>
              <w:t>前郢</w:t>
            </w:r>
          </w:p>
        </w:tc>
        <w:tc>
          <w:tcPr>
            <w:tcW w:w="591" w:type="pct"/>
            <w:tcBorders>
              <w:tl2br w:val="nil"/>
              <w:tr2bl w:val="nil"/>
            </w:tcBorders>
            <w:noWrap w:val="0"/>
            <w:vAlign w:val="center"/>
          </w:tcPr>
          <w:p w14:paraId="27EACDEB">
            <w:pPr>
              <w:pStyle w:val="563"/>
              <w:bidi w:val="0"/>
              <w:rPr>
                <w:rFonts w:hint="eastAsia"/>
                <w:color w:val="auto"/>
                <w:highlight w:val="none"/>
                <w:lang w:val="en-US" w:eastAsia="zh-CN"/>
              </w:rPr>
            </w:pPr>
            <w:r>
              <w:rPr>
                <w:rFonts w:hint="eastAsia"/>
                <w:color w:val="auto"/>
                <w:highlight w:val="none"/>
                <w:lang w:val="en-US" w:eastAsia="zh-CN"/>
              </w:rPr>
              <w:t>116.98705</w:t>
            </w:r>
          </w:p>
        </w:tc>
        <w:tc>
          <w:tcPr>
            <w:tcW w:w="545" w:type="pct"/>
            <w:tcBorders>
              <w:tl2br w:val="nil"/>
              <w:tr2bl w:val="nil"/>
            </w:tcBorders>
            <w:noWrap w:val="0"/>
            <w:vAlign w:val="center"/>
          </w:tcPr>
          <w:p w14:paraId="1EDA21D6">
            <w:pPr>
              <w:pStyle w:val="563"/>
              <w:bidi w:val="0"/>
              <w:rPr>
                <w:rFonts w:hint="eastAsia"/>
                <w:color w:val="auto"/>
                <w:highlight w:val="none"/>
                <w:lang w:val="en-US" w:eastAsia="zh-CN"/>
              </w:rPr>
            </w:pPr>
            <w:r>
              <w:rPr>
                <w:rFonts w:hint="eastAsia"/>
                <w:color w:val="auto"/>
                <w:highlight w:val="none"/>
                <w:lang w:val="en-US" w:eastAsia="zh-CN"/>
              </w:rPr>
              <w:t>32.512023</w:t>
            </w:r>
          </w:p>
        </w:tc>
        <w:tc>
          <w:tcPr>
            <w:tcW w:w="475" w:type="pct"/>
            <w:tcBorders>
              <w:tl2br w:val="nil"/>
              <w:tr2bl w:val="nil"/>
            </w:tcBorders>
            <w:noWrap w:val="0"/>
            <w:vAlign w:val="center"/>
          </w:tcPr>
          <w:p w14:paraId="0B416703">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7491EAFC">
            <w:pPr>
              <w:pStyle w:val="563"/>
              <w:bidi w:val="0"/>
              <w:rPr>
                <w:rFonts w:hint="eastAsia"/>
                <w:color w:val="auto"/>
                <w:highlight w:val="none"/>
                <w:lang w:val="en-US" w:eastAsia="zh-CN"/>
              </w:rPr>
            </w:pPr>
          </w:p>
        </w:tc>
        <w:tc>
          <w:tcPr>
            <w:tcW w:w="817" w:type="pct"/>
            <w:tcBorders>
              <w:tl2br w:val="nil"/>
              <w:tr2bl w:val="nil"/>
            </w:tcBorders>
            <w:noWrap w:val="0"/>
            <w:vAlign w:val="center"/>
          </w:tcPr>
          <w:p w14:paraId="07F7F0C7">
            <w:pPr>
              <w:pStyle w:val="563"/>
              <w:bidi w:val="0"/>
              <w:rPr>
                <w:color w:val="auto"/>
                <w:highlight w:val="none"/>
              </w:rPr>
            </w:pPr>
            <w:r>
              <w:rPr>
                <w:rFonts w:hint="eastAsia"/>
                <w:color w:val="auto"/>
                <w:highlight w:val="none"/>
                <w:lang w:val="en-US" w:eastAsia="zh-CN"/>
              </w:rPr>
              <w:t>西南</w:t>
            </w:r>
          </w:p>
        </w:tc>
        <w:tc>
          <w:tcPr>
            <w:tcW w:w="559" w:type="pct"/>
            <w:tcBorders>
              <w:tl2br w:val="nil"/>
              <w:tr2bl w:val="nil"/>
            </w:tcBorders>
            <w:noWrap w:val="0"/>
            <w:vAlign w:val="center"/>
          </w:tcPr>
          <w:p w14:paraId="631A0C2D">
            <w:pPr>
              <w:pStyle w:val="563"/>
              <w:bidi w:val="0"/>
              <w:rPr>
                <w:rFonts w:hint="eastAsia"/>
                <w:color w:val="auto"/>
                <w:highlight w:val="none"/>
                <w:lang w:val="en-US" w:eastAsia="zh-CN"/>
              </w:rPr>
            </w:pPr>
            <w:r>
              <w:rPr>
                <w:rFonts w:hint="eastAsia"/>
                <w:color w:val="auto"/>
                <w:highlight w:val="none"/>
                <w:lang w:val="en-US" w:eastAsia="zh-CN"/>
              </w:rPr>
              <w:t>1958</w:t>
            </w:r>
          </w:p>
        </w:tc>
      </w:tr>
      <w:tr w14:paraId="55BA8E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311BE15D">
            <w:pPr>
              <w:pStyle w:val="563"/>
              <w:bidi w:val="0"/>
              <w:rPr>
                <w:rFonts w:hint="eastAsia"/>
                <w:color w:val="auto"/>
                <w:highlight w:val="none"/>
                <w:lang w:val="en-US" w:eastAsia="zh-CN"/>
              </w:rPr>
            </w:pPr>
            <w:r>
              <w:rPr>
                <w:rFonts w:hint="eastAsia"/>
                <w:color w:val="auto"/>
                <w:highlight w:val="none"/>
                <w:lang w:val="en-US" w:eastAsia="zh-CN"/>
              </w:rPr>
              <w:t>12</w:t>
            </w:r>
          </w:p>
        </w:tc>
        <w:tc>
          <w:tcPr>
            <w:tcW w:w="904" w:type="pct"/>
            <w:tcBorders>
              <w:tl2br w:val="nil"/>
              <w:tr2bl w:val="nil"/>
            </w:tcBorders>
            <w:noWrap w:val="0"/>
            <w:vAlign w:val="center"/>
          </w:tcPr>
          <w:p w14:paraId="40DC1753">
            <w:pPr>
              <w:pStyle w:val="563"/>
              <w:bidi w:val="0"/>
              <w:rPr>
                <w:rFonts w:hint="eastAsia"/>
                <w:color w:val="auto"/>
                <w:highlight w:val="none"/>
                <w:lang w:val="en-US" w:eastAsia="zh-CN"/>
              </w:rPr>
            </w:pPr>
            <w:r>
              <w:rPr>
                <w:rFonts w:hint="eastAsia"/>
                <w:color w:val="auto"/>
                <w:highlight w:val="none"/>
                <w:lang w:val="en-US" w:eastAsia="zh-CN"/>
              </w:rPr>
              <w:t>大平庄</w:t>
            </w:r>
          </w:p>
        </w:tc>
        <w:tc>
          <w:tcPr>
            <w:tcW w:w="591" w:type="pct"/>
            <w:tcBorders>
              <w:tl2br w:val="nil"/>
              <w:tr2bl w:val="nil"/>
            </w:tcBorders>
            <w:noWrap w:val="0"/>
            <w:vAlign w:val="center"/>
          </w:tcPr>
          <w:p w14:paraId="16FA8FA2">
            <w:pPr>
              <w:pStyle w:val="563"/>
              <w:bidi w:val="0"/>
              <w:rPr>
                <w:rFonts w:hint="eastAsia"/>
                <w:color w:val="auto"/>
                <w:highlight w:val="none"/>
                <w:lang w:val="en-US" w:eastAsia="zh-CN"/>
              </w:rPr>
            </w:pPr>
            <w:r>
              <w:rPr>
                <w:rFonts w:hint="eastAsia"/>
                <w:color w:val="auto"/>
                <w:highlight w:val="none"/>
                <w:lang w:val="en-US" w:eastAsia="zh-CN"/>
              </w:rPr>
              <w:t>117.00883</w:t>
            </w:r>
          </w:p>
        </w:tc>
        <w:tc>
          <w:tcPr>
            <w:tcW w:w="545" w:type="pct"/>
            <w:tcBorders>
              <w:tl2br w:val="nil"/>
              <w:tr2bl w:val="nil"/>
            </w:tcBorders>
            <w:noWrap w:val="0"/>
            <w:vAlign w:val="center"/>
          </w:tcPr>
          <w:p w14:paraId="07A1CC62">
            <w:pPr>
              <w:pStyle w:val="563"/>
              <w:bidi w:val="0"/>
              <w:rPr>
                <w:rFonts w:hint="eastAsia"/>
                <w:color w:val="auto"/>
                <w:highlight w:val="none"/>
                <w:lang w:val="en-US" w:eastAsia="zh-CN"/>
              </w:rPr>
            </w:pPr>
            <w:r>
              <w:rPr>
                <w:rFonts w:hint="eastAsia"/>
                <w:color w:val="auto"/>
                <w:highlight w:val="none"/>
                <w:lang w:val="en-US" w:eastAsia="zh-CN"/>
              </w:rPr>
              <w:t>32.532794</w:t>
            </w:r>
          </w:p>
        </w:tc>
        <w:tc>
          <w:tcPr>
            <w:tcW w:w="475" w:type="pct"/>
            <w:tcBorders>
              <w:tl2br w:val="nil"/>
              <w:tr2bl w:val="nil"/>
            </w:tcBorders>
            <w:noWrap w:val="0"/>
            <w:vAlign w:val="center"/>
          </w:tcPr>
          <w:p w14:paraId="703307B2">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681153C4">
            <w:pPr>
              <w:pStyle w:val="563"/>
              <w:bidi w:val="0"/>
              <w:rPr>
                <w:rFonts w:hint="eastAsia"/>
                <w:color w:val="auto"/>
                <w:highlight w:val="none"/>
                <w:lang w:val="en-US" w:eastAsia="zh-CN"/>
              </w:rPr>
            </w:pPr>
          </w:p>
        </w:tc>
        <w:tc>
          <w:tcPr>
            <w:tcW w:w="817" w:type="pct"/>
            <w:tcBorders>
              <w:tl2br w:val="nil"/>
              <w:tr2bl w:val="nil"/>
            </w:tcBorders>
            <w:noWrap w:val="0"/>
            <w:vAlign w:val="center"/>
          </w:tcPr>
          <w:p w14:paraId="2D126F60">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794D3CE1">
            <w:pPr>
              <w:pStyle w:val="563"/>
              <w:bidi w:val="0"/>
              <w:rPr>
                <w:rFonts w:hint="eastAsia"/>
                <w:color w:val="auto"/>
                <w:highlight w:val="none"/>
                <w:lang w:val="en-US" w:eastAsia="zh-CN"/>
              </w:rPr>
            </w:pPr>
            <w:r>
              <w:rPr>
                <w:rFonts w:hint="eastAsia"/>
                <w:color w:val="auto"/>
                <w:highlight w:val="none"/>
                <w:lang w:val="en-US" w:eastAsia="zh-CN"/>
              </w:rPr>
              <w:t>931</w:t>
            </w:r>
          </w:p>
        </w:tc>
      </w:tr>
      <w:tr w14:paraId="70B0E86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2E285ECD">
            <w:pPr>
              <w:pStyle w:val="563"/>
              <w:bidi w:val="0"/>
              <w:rPr>
                <w:rFonts w:hint="eastAsia"/>
                <w:color w:val="auto"/>
                <w:highlight w:val="none"/>
                <w:lang w:val="en-US" w:eastAsia="zh-CN"/>
              </w:rPr>
            </w:pPr>
            <w:r>
              <w:rPr>
                <w:rFonts w:hint="eastAsia"/>
                <w:color w:val="auto"/>
                <w:highlight w:val="none"/>
                <w:lang w:val="en-US" w:eastAsia="zh-CN"/>
              </w:rPr>
              <w:t>13</w:t>
            </w:r>
          </w:p>
        </w:tc>
        <w:tc>
          <w:tcPr>
            <w:tcW w:w="904" w:type="pct"/>
            <w:tcBorders>
              <w:tl2br w:val="nil"/>
              <w:tr2bl w:val="nil"/>
            </w:tcBorders>
            <w:noWrap w:val="0"/>
            <w:vAlign w:val="center"/>
          </w:tcPr>
          <w:p w14:paraId="325233B5">
            <w:pPr>
              <w:pStyle w:val="563"/>
              <w:bidi w:val="0"/>
              <w:rPr>
                <w:rFonts w:hint="eastAsia"/>
                <w:color w:val="auto"/>
                <w:highlight w:val="none"/>
                <w:lang w:val="en-US" w:eastAsia="zh-CN"/>
              </w:rPr>
            </w:pPr>
            <w:r>
              <w:rPr>
                <w:rFonts w:hint="eastAsia"/>
                <w:color w:val="auto"/>
                <w:highlight w:val="none"/>
                <w:lang w:val="en-US" w:eastAsia="zh-CN"/>
              </w:rPr>
              <w:t>前李村</w:t>
            </w:r>
          </w:p>
        </w:tc>
        <w:tc>
          <w:tcPr>
            <w:tcW w:w="591" w:type="pct"/>
            <w:tcBorders>
              <w:tl2br w:val="nil"/>
              <w:tr2bl w:val="nil"/>
            </w:tcBorders>
            <w:noWrap w:val="0"/>
            <w:vAlign w:val="center"/>
          </w:tcPr>
          <w:p w14:paraId="760529BC">
            <w:pPr>
              <w:pStyle w:val="563"/>
              <w:bidi w:val="0"/>
              <w:rPr>
                <w:rFonts w:hint="eastAsia"/>
                <w:color w:val="auto"/>
                <w:highlight w:val="none"/>
                <w:lang w:val="en-US" w:eastAsia="zh-CN"/>
              </w:rPr>
            </w:pPr>
            <w:r>
              <w:rPr>
                <w:rFonts w:hint="eastAsia"/>
                <w:color w:val="auto"/>
                <w:highlight w:val="none"/>
                <w:lang w:val="en-US" w:eastAsia="zh-CN"/>
              </w:rPr>
              <w:t>116.99818</w:t>
            </w:r>
          </w:p>
        </w:tc>
        <w:tc>
          <w:tcPr>
            <w:tcW w:w="545" w:type="pct"/>
            <w:tcBorders>
              <w:tl2br w:val="nil"/>
              <w:tr2bl w:val="nil"/>
            </w:tcBorders>
            <w:noWrap w:val="0"/>
            <w:vAlign w:val="center"/>
          </w:tcPr>
          <w:p w14:paraId="7CDA7572">
            <w:pPr>
              <w:pStyle w:val="563"/>
              <w:bidi w:val="0"/>
              <w:rPr>
                <w:rFonts w:hint="eastAsia"/>
                <w:color w:val="auto"/>
                <w:highlight w:val="none"/>
                <w:lang w:val="en-US" w:eastAsia="zh-CN"/>
              </w:rPr>
            </w:pPr>
            <w:r>
              <w:rPr>
                <w:rFonts w:hint="eastAsia"/>
                <w:color w:val="auto"/>
                <w:highlight w:val="none"/>
                <w:lang w:val="en-US" w:eastAsia="zh-CN"/>
              </w:rPr>
              <w:t>32.507835</w:t>
            </w:r>
          </w:p>
        </w:tc>
        <w:tc>
          <w:tcPr>
            <w:tcW w:w="475" w:type="pct"/>
            <w:tcBorders>
              <w:tl2br w:val="nil"/>
              <w:tr2bl w:val="nil"/>
            </w:tcBorders>
            <w:noWrap w:val="0"/>
            <w:vAlign w:val="center"/>
          </w:tcPr>
          <w:p w14:paraId="3A4A5277">
            <w:pPr>
              <w:pStyle w:val="563"/>
              <w:bidi w:val="0"/>
              <w:rPr>
                <w:rFonts w:hint="eastAsia"/>
                <w:color w:val="auto"/>
                <w:highlight w:val="none"/>
                <w:lang w:val="en-US" w:eastAsia="zh-CN"/>
              </w:rPr>
            </w:pPr>
            <w:r>
              <w:rPr>
                <w:rFonts w:hint="eastAsia"/>
                <w:color w:val="auto"/>
                <w:highlight w:val="none"/>
                <w:lang w:val="en-US" w:eastAsia="zh-CN"/>
              </w:rPr>
              <w:t>15户/50人</w:t>
            </w:r>
          </w:p>
        </w:tc>
        <w:tc>
          <w:tcPr>
            <w:tcW w:w="775" w:type="pct"/>
            <w:vMerge w:val="continue"/>
            <w:tcBorders>
              <w:tl2br w:val="nil"/>
              <w:tr2bl w:val="nil"/>
            </w:tcBorders>
            <w:noWrap w:val="0"/>
            <w:vAlign w:val="center"/>
          </w:tcPr>
          <w:p w14:paraId="09BA0F9C">
            <w:pPr>
              <w:pStyle w:val="563"/>
              <w:bidi w:val="0"/>
              <w:rPr>
                <w:rFonts w:hint="eastAsia"/>
                <w:color w:val="auto"/>
                <w:highlight w:val="none"/>
                <w:lang w:val="en-US" w:eastAsia="zh-CN"/>
              </w:rPr>
            </w:pPr>
          </w:p>
        </w:tc>
        <w:tc>
          <w:tcPr>
            <w:tcW w:w="817" w:type="pct"/>
            <w:tcBorders>
              <w:tl2br w:val="nil"/>
              <w:tr2bl w:val="nil"/>
            </w:tcBorders>
            <w:noWrap w:val="0"/>
            <w:vAlign w:val="center"/>
          </w:tcPr>
          <w:p w14:paraId="62EF0213">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45E1B61F">
            <w:pPr>
              <w:pStyle w:val="563"/>
              <w:bidi w:val="0"/>
              <w:rPr>
                <w:rFonts w:hint="eastAsia"/>
                <w:color w:val="auto"/>
                <w:highlight w:val="none"/>
                <w:lang w:val="en-US" w:eastAsia="zh-CN"/>
              </w:rPr>
            </w:pPr>
            <w:r>
              <w:rPr>
                <w:rFonts w:hint="eastAsia"/>
                <w:color w:val="auto"/>
                <w:highlight w:val="none"/>
                <w:lang w:val="en-US" w:eastAsia="zh-CN"/>
              </w:rPr>
              <w:t>1929</w:t>
            </w:r>
          </w:p>
        </w:tc>
      </w:tr>
      <w:tr w14:paraId="4DAB56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941B76E">
            <w:pPr>
              <w:pStyle w:val="563"/>
              <w:bidi w:val="0"/>
              <w:rPr>
                <w:rFonts w:hint="eastAsia"/>
                <w:color w:val="auto"/>
                <w:highlight w:val="none"/>
                <w:lang w:val="en-US" w:eastAsia="zh-CN"/>
              </w:rPr>
            </w:pPr>
            <w:r>
              <w:rPr>
                <w:rFonts w:hint="eastAsia"/>
                <w:color w:val="auto"/>
                <w:highlight w:val="none"/>
                <w:lang w:val="en-US" w:eastAsia="zh-CN"/>
              </w:rPr>
              <w:t>14</w:t>
            </w:r>
          </w:p>
        </w:tc>
        <w:tc>
          <w:tcPr>
            <w:tcW w:w="904" w:type="pct"/>
            <w:tcBorders>
              <w:tl2br w:val="nil"/>
              <w:tr2bl w:val="nil"/>
            </w:tcBorders>
            <w:noWrap w:val="0"/>
            <w:vAlign w:val="center"/>
          </w:tcPr>
          <w:p w14:paraId="011F279B">
            <w:pPr>
              <w:pStyle w:val="563"/>
              <w:bidi w:val="0"/>
              <w:rPr>
                <w:rFonts w:hint="eastAsia"/>
                <w:color w:val="auto"/>
                <w:highlight w:val="none"/>
                <w:lang w:val="en-US" w:eastAsia="zh-CN"/>
              </w:rPr>
            </w:pPr>
            <w:r>
              <w:rPr>
                <w:rFonts w:hint="eastAsia"/>
                <w:color w:val="auto"/>
                <w:highlight w:val="none"/>
                <w:lang w:val="en-US" w:eastAsia="zh-CN"/>
              </w:rPr>
              <w:t>大后郢</w:t>
            </w:r>
          </w:p>
        </w:tc>
        <w:tc>
          <w:tcPr>
            <w:tcW w:w="591" w:type="pct"/>
            <w:tcBorders>
              <w:tl2br w:val="nil"/>
              <w:tr2bl w:val="nil"/>
            </w:tcBorders>
            <w:noWrap w:val="0"/>
            <w:vAlign w:val="center"/>
          </w:tcPr>
          <w:p w14:paraId="246F64E6">
            <w:pPr>
              <w:pStyle w:val="563"/>
              <w:bidi w:val="0"/>
              <w:rPr>
                <w:rFonts w:hint="eastAsia"/>
                <w:color w:val="auto"/>
                <w:highlight w:val="none"/>
                <w:lang w:val="en-US" w:eastAsia="zh-CN"/>
              </w:rPr>
            </w:pPr>
            <w:r>
              <w:rPr>
                <w:rFonts w:hint="eastAsia"/>
                <w:color w:val="auto"/>
                <w:highlight w:val="none"/>
                <w:lang w:val="en-US" w:eastAsia="zh-CN"/>
              </w:rPr>
              <w:t>117.00982</w:t>
            </w:r>
          </w:p>
        </w:tc>
        <w:tc>
          <w:tcPr>
            <w:tcW w:w="545" w:type="pct"/>
            <w:tcBorders>
              <w:tl2br w:val="nil"/>
              <w:tr2bl w:val="nil"/>
            </w:tcBorders>
            <w:noWrap w:val="0"/>
            <w:vAlign w:val="center"/>
          </w:tcPr>
          <w:p w14:paraId="21B954B1">
            <w:pPr>
              <w:pStyle w:val="563"/>
              <w:bidi w:val="0"/>
              <w:rPr>
                <w:rFonts w:hint="eastAsia"/>
                <w:color w:val="auto"/>
                <w:highlight w:val="none"/>
                <w:lang w:val="en-US" w:eastAsia="zh-CN"/>
              </w:rPr>
            </w:pPr>
            <w:r>
              <w:rPr>
                <w:rFonts w:hint="eastAsia"/>
                <w:color w:val="auto"/>
                <w:highlight w:val="none"/>
                <w:lang w:val="en-US" w:eastAsia="zh-CN"/>
              </w:rPr>
              <w:t>32.513742</w:t>
            </w:r>
          </w:p>
        </w:tc>
        <w:tc>
          <w:tcPr>
            <w:tcW w:w="475" w:type="pct"/>
            <w:tcBorders>
              <w:tl2br w:val="nil"/>
              <w:tr2bl w:val="nil"/>
            </w:tcBorders>
            <w:noWrap w:val="0"/>
            <w:vAlign w:val="center"/>
          </w:tcPr>
          <w:p w14:paraId="1AA4E07C">
            <w:pPr>
              <w:pStyle w:val="563"/>
              <w:bidi w:val="0"/>
              <w:rPr>
                <w:rFonts w:hint="eastAsia"/>
                <w:color w:val="auto"/>
                <w:highlight w:val="none"/>
                <w:lang w:val="en-US" w:eastAsia="zh-CN"/>
              </w:rPr>
            </w:pPr>
            <w:r>
              <w:rPr>
                <w:rFonts w:hint="eastAsia"/>
                <w:color w:val="auto"/>
                <w:highlight w:val="none"/>
                <w:lang w:val="en-US" w:eastAsia="zh-CN"/>
              </w:rPr>
              <w:t>30户/90人</w:t>
            </w:r>
          </w:p>
        </w:tc>
        <w:tc>
          <w:tcPr>
            <w:tcW w:w="775" w:type="pct"/>
            <w:vMerge w:val="continue"/>
            <w:tcBorders>
              <w:tl2br w:val="nil"/>
              <w:tr2bl w:val="nil"/>
            </w:tcBorders>
            <w:noWrap w:val="0"/>
            <w:vAlign w:val="center"/>
          </w:tcPr>
          <w:p w14:paraId="668DC38D">
            <w:pPr>
              <w:pStyle w:val="563"/>
              <w:bidi w:val="0"/>
              <w:rPr>
                <w:rFonts w:hint="eastAsia"/>
                <w:color w:val="auto"/>
                <w:highlight w:val="none"/>
                <w:lang w:val="en-US" w:eastAsia="zh-CN"/>
              </w:rPr>
            </w:pPr>
          </w:p>
        </w:tc>
        <w:tc>
          <w:tcPr>
            <w:tcW w:w="817" w:type="pct"/>
            <w:tcBorders>
              <w:tl2br w:val="nil"/>
              <w:tr2bl w:val="nil"/>
            </w:tcBorders>
            <w:noWrap w:val="0"/>
            <w:vAlign w:val="center"/>
          </w:tcPr>
          <w:p w14:paraId="08F2799D">
            <w:pPr>
              <w:pStyle w:val="563"/>
              <w:bidi w:val="0"/>
              <w:rPr>
                <w:color w:val="auto"/>
                <w:highlight w:val="none"/>
              </w:rPr>
            </w:pPr>
            <w:r>
              <w:rPr>
                <w:rFonts w:hint="eastAsia"/>
                <w:color w:val="auto"/>
                <w:highlight w:val="none"/>
                <w:lang w:val="en-US" w:eastAsia="zh-CN"/>
              </w:rPr>
              <w:t>东南</w:t>
            </w:r>
          </w:p>
        </w:tc>
        <w:tc>
          <w:tcPr>
            <w:tcW w:w="559" w:type="pct"/>
            <w:tcBorders>
              <w:tl2br w:val="nil"/>
              <w:tr2bl w:val="nil"/>
            </w:tcBorders>
            <w:noWrap w:val="0"/>
            <w:vAlign w:val="center"/>
          </w:tcPr>
          <w:p w14:paraId="132EA8DE">
            <w:pPr>
              <w:pStyle w:val="563"/>
              <w:bidi w:val="0"/>
              <w:rPr>
                <w:rFonts w:hint="eastAsia"/>
                <w:color w:val="auto"/>
                <w:highlight w:val="none"/>
                <w:lang w:val="en-US" w:eastAsia="zh-CN"/>
              </w:rPr>
            </w:pPr>
            <w:r>
              <w:rPr>
                <w:rFonts w:hint="eastAsia"/>
                <w:color w:val="auto"/>
                <w:highlight w:val="none"/>
                <w:lang w:val="en-US" w:eastAsia="zh-CN"/>
              </w:rPr>
              <w:t>1438</w:t>
            </w:r>
          </w:p>
        </w:tc>
      </w:tr>
      <w:tr w14:paraId="600652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0A379970">
            <w:pPr>
              <w:pStyle w:val="563"/>
              <w:bidi w:val="0"/>
              <w:rPr>
                <w:rFonts w:hint="eastAsia"/>
                <w:color w:val="auto"/>
                <w:highlight w:val="none"/>
                <w:lang w:val="en-US" w:eastAsia="zh-CN"/>
              </w:rPr>
            </w:pPr>
            <w:r>
              <w:rPr>
                <w:rFonts w:hint="eastAsia"/>
                <w:color w:val="auto"/>
                <w:highlight w:val="none"/>
                <w:lang w:val="en-US" w:eastAsia="zh-CN"/>
              </w:rPr>
              <w:t>15</w:t>
            </w:r>
          </w:p>
        </w:tc>
        <w:tc>
          <w:tcPr>
            <w:tcW w:w="904" w:type="pct"/>
            <w:tcBorders>
              <w:tl2br w:val="nil"/>
              <w:tr2bl w:val="nil"/>
            </w:tcBorders>
            <w:noWrap w:val="0"/>
            <w:vAlign w:val="center"/>
          </w:tcPr>
          <w:p w14:paraId="6BCE74BF">
            <w:pPr>
              <w:pStyle w:val="563"/>
              <w:bidi w:val="0"/>
              <w:rPr>
                <w:rFonts w:hint="eastAsia"/>
                <w:color w:val="auto"/>
                <w:highlight w:val="none"/>
                <w:lang w:val="en-US" w:eastAsia="zh-CN"/>
              </w:rPr>
            </w:pPr>
            <w:r>
              <w:rPr>
                <w:rFonts w:hint="eastAsia"/>
                <w:color w:val="auto"/>
                <w:highlight w:val="none"/>
                <w:lang w:val="en-US" w:eastAsia="zh-CN"/>
              </w:rPr>
              <w:t>韩巷</w:t>
            </w:r>
          </w:p>
        </w:tc>
        <w:tc>
          <w:tcPr>
            <w:tcW w:w="591" w:type="pct"/>
            <w:tcBorders>
              <w:tl2br w:val="nil"/>
              <w:tr2bl w:val="nil"/>
            </w:tcBorders>
            <w:noWrap w:val="0"/>
            <w:vAlign w:val="center"/>
          </w:tcPr>
          <w:p w14:paraId="694AE2E9">
            <w:pPr>
              <w:pStyle w:val="563"/>
              <w:bidi w:val="0"/>
              <w:rPr>
                <w:rFonts w:hint="eastAsia"/>
                <w:color w:val="auto"/>
                <w:highlight w:val="none"/>
                <w:lang w:val="en-US" w:eastAsia="zh-CN"/>
              </w:rPr>
            </w:pPr>
            <w:r>
              <w:rPr>
                <w:rFonts w:hint="eastAsia"/>
                <w:color w:val="auto"/>
                <w:highlight w:val="none"/>
                <w:lang w:val="en-US" w:eastAsia="zh-CN"/>
              </w:rPr>
              <w:t>116.98611</w:t>
            </w:r>
          </w:p>
        </w:tc>
        <w:tc>
          <w:tcPr>
            <w:tcW w:w="545" w:type="pct"/>
            <w:tcBorders>
              <w:tl2br w:val="nil"/>
              <w:tr2bl w:val="nil"/>
            </w:tcBorders>
            <w:noWrap w:val="0"/>
            <w:vAlign w:val="center"/>
          </w:tcPr>
          <w:p w14:paraId="60CCD5F5">
            <w:pPr>
              <w:pStyle w:val="563"/>
              <w:bidi w:val="0"/>
              <w:rPr>
                <w:rFonts w:hint="eastAsia"/>
                <w:color w:val="auto"/>
                <w:highlight w:val="none"/>
                <w:lang w:val="en-US" w:eastAsia="zh-CN"/>
              </w:rPr>
            </w:pPr>
            <w:r>
              <w:rPr>
                <w:rFonts w:hint="eastAsia"/>
                <w:color w:val="auto"/>
                <w:highlight w:val="none"/>
                <w:lang w:val="en-US" w:eastAsia="zh-CN"/>
              </w:rPr>
              <w:t>32.540066</w:t>
            </w:r>
          </w:p>
        </w:tc>
        <w:tc>
          <w:tcPr>
            <w:tcW w:w="475" w:type="pct"/>
            <w:tcBorders>
              <w:tl2br w:val="nil"/>
              <w:tr2bl w:val="nil"/>
            </w:tcBorders>
            <w:noWrap w:val="0"/>
            <w:vAlign w:val="center"/>
          </w:tcPr>
          <w:p w14:paraId="0B038781">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37244DC1">
            <w:pPr>
              <w:pStyle w:val="563"/>
              <w:bidi w:val="0"/>
              <w:rPr>
                <w:rFonts w:hint="eastAsia"/>
                <w:color w:val="auto"/>
                <w:highlight w:val="none"/>
                <w:lang w:val="en-US" w:eastAsia="zh-CN"/>
              </w:rPr>
            </w:pPr>
          </w:p>
        </w:tc>
        <w:tc>
          <w:tcPr>
            <w:tcW w:w="817" w:type="pct"/>
            <w:tcBorders>
              <w:tl2br w:val="nil"/>
              <w:tr2bl w:val="nil"/>
            </w:tcBorders>
            <w:noWrap w:val="0"/>
            <w:vAlign w:val="center"/>
          </w:tcPr>
          <w:p w14:paraId="5B91DA4E">
            <w:pPr>
              <w:pStyle w:val="563"/>
              <w:bidi w:val="0"/>
              <w:rPr>
                <w:color w:val="auto"/>
                <w:highlight w:val="none"/>
              </w:rPr>
            </w:pPr>
            <w:r>
              <w:rPr>
                <w:rFonts w:hint="eastAsia"/>
                <w:color w:val="auto"/>
                <w:highlight w:val="none"/>
                <w:lang w:val="en-US" w:eastAsia="zh-CN"/>
              </w:rPr>
              <w:t>西北</w:t>
            </w:r>
          </w:p>
        </w:tc>
        <w:tc>
          <w:tcPr>
            <w:tcW w:w="559" w:type="pct"/>
            <w:tcBorders>
              <w:tl2br w:val="nil"/>
              <w:tr2bl w:val="nil"/>
            </w:tcBorders>
            <w:noWrap w:val="0"/>
            <w:vAlign w:val="center"/>
          </w:tcPr>
          <w:p w14:paraId="1C3FC3C5">
            <w:pPr>
              <w:pStyle w:val="563"/>
              <w:bidi w:val="0"/>
              <w:rPr>
                <w:rFonts w:hint="eastAsia"/>
                <w:color w:val="auto"/>
                <w:highlight w:val="none"/>
                <w:lang w:val="en-US" w:eastAsia="zh-CN"/>
              </w:rPr>
            </w:pPr>
            <w:r>
              <w:rPr>
                <w:rFonts w:hint="eastAsia"/>
                <w:color w:val="auto"/>
                <w:highlight w:val="none"/>
                <w:lang w:val="en-US" w:eastAsia="zh-CN"/>
              </w:rPr>
              <w:t>2069</w:t>
            </w:r>
          </w:p>
        </w:tc>
      </w:tr>
      <w:tr w14:paraId="0A71D5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D9E2E74">
            <w:pPr>
              <w:pStyle w:val="563"/>
              <w:bidi w:val="0"/>
              <w:rPr>
                <w:rFonts w:hint="eastAsia"/>
                <w:color w:val="auto"/>
                <w:highlight w:val="none"/>
                <w:lang w:val="en-US" w:eastAsia="zh-CN"/>
              </w:rPr>
            </w:pPr>
            <w:r>
              <w:rPr>
                <w:rFonts w:hint="eastAsia"/>
                <w:color w:val="auto"/>
                <w:highlight w:val="none"/>
                <w:lang w:val="en-US" w:eastAsia="zh-CN"/>
              </w:rPr>
              <w:t>16</w:t>
            </w:r>
          </w:p>
        </w:tc>
        <w:tc>
          <w:tcPr>
            <w:tcW w:w="904" w:type="pct"/>
            <w:tcBorders>
              <w:tl2br w:val="nil"/>
              <w:tr2bl w:val="nil"/>
            </w:tcBorders>
            <w:noWrap w:val="0"/>
            <w:vAlign w:val="center"/>
          </w:tcPr>
          <w:p w14:paraId="15701100">
            <w:pPr>
              <w:pStyle w:val="563"/>
              <w:bidi w:val="0"/>
              <w:rPr>
                <w:rFonts w:hint="eastAsia"/>
                <w:color w:val="auto"/>
                <w:highlight w:val="none"/>
                <w:lang w:val="en-US" w:eastAsia="zh-CN"/>
              </w:rPr>
            </w:pPr>
            <w:r>
              <w:rPr>
                <w:rFonts w:hint="eastAsia"/>
                <w:color w:val="auto"/>
                <w:highlight w:val="none"/>
                <w:lang w:val="en-US" w:eastAsia="zh-CN"/>
              </w:rPr>
              <w:t>集南头</w:t>
            </w:r>
          </w:p>
        </w:tc>
        <w:tc>
          <w:tcPr>
            <w:tcW w:w="591" w:type="pct"/>
            <w:tcBorders>
              <w:tl2br w:val="nil"/>
              <w:tr2bl w:val="nil"/>
            </w:tcBorders>
            <w:noWrap w:val="0"/>
            <w:vAlign w:val="center"/>
          </w:tcPr>
          <w:p w14:paraId="48B83586">
            <w:pPr>
              <w:pStyle w:val="563"/>
              <w:bidi w:val="0"/>
              <w:rPr>
                <w:rFonts w:hint="eastAsia"/>
                <w:color w:val="auto"/>
                <w:highlight w:val="none"/>
                <w:lang w:val="en-US" w:eastAsia="zh-CN"/>
              </w:rPr>
            </w:pPr>
            <w:r>
              <w:rPr>
                <w:rFonts w:hint="eastAsia"/>
                <w:color w:val="auto"/>
                <w:highlight w:val="none"/>
                <w:lang w:val="en-US" w:eastAsia="zh-CN"/>
              </w:rPr>
              <w:t>117.00902</w:t>
            </w:r>
          </w:p>
        </w:tc>
        <w:tc>
          <w:tcPr>
            <w:tcW w:w="545" w:type="pct"/>
            <w:tcBorders>
              <w:tl2br w:val="nil"/>
              <w:tr2bl w:val="nil"/>
            </w:tcBorders>
            <w:noWrap w:val="0"/>
            <w:vAlign w:val="center"/>
          </w:tcPr>
          <w:p w14:paraId="120111A0">
            <w:pPr>
              <w:pStyle w:val="563"/>
              <w:bidi w:val="0"/>
              <w:rPr>
                <w:rFonts w:hint="eastAsia"/>
                <w:color w:val="auto"/>
                <w:highlight w:val="none"/>
                <w:lang w:val="en-US" w:eastAsia="zh-CN"/>
              </w:rPr>
            </w:pPr>
            <w:r>
              <w:rPr>
                <w:rFonts w:hint="eastAsia"/>
                <w:color w:val="auto"/>
                <w:highlight w:val="none"/>
                <w:lang w:val="en-US" w:eastAsia="zh-CN"/>
              </w:rPr>
              <w:t>32.539298</w:t>
            </w:r>
          </w:p>
        </w:tc>
        <w:tc>
          <w:tcPr>
            <w:tcW w:w="475" w:type="pct"/>
            <w:tcBorders>
              <w:tl2br w:val="nil"/>
              <w:tr2bl w:val="nil"/>
            </w:tcBorders>
            <w:noWrap w:val="0"/>
            <w:vAlign w:val="center"/>
          </w:tcPr>
          <w:p w14:paraId="12F192CE">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76256D91">
            <w:pPr>
              <w:pStyle w:val="563"/>
              <w:bidi w:val="0"/>
              <w:rPr>
                <w:rFonts w:hint="eastAsia"/>
                <w:color w:val="auto"/>
                <w:highlight w:val="none"/>
                <w:lang w:val="en-US" w:eastAsia="zh-CN"/>
              </w:rPr>
            </w:pPr>
          </w:p>
        </w:tc>
        <w:tc>
          <w:tcPr>
            <w:tcW w:w="817" w:type="pct"/>
            <w:tcBorders>
              <w:tl2br w:val="nil"/>
              <w:tr2bl w:val="nil"/>
            </w:tcBorders>
            <w:noWrap w:val="0"/>
            <w:vAlign w:val="center"/>
          </w:tcPr>
          <w:p w14:paraId="5D7EDD0F">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7D63E5C7">
            <w:pPr>
              <w:pStyle w:val="563"/>
              <w:bidi w:val="0"/>
              <w:rPr>
                <w:rFonts w:hint="eastAsia"/>
                <w:color w:val="auto"/>
                <w:highlight w:val="none"/>
                <w:lang w:val="en-US" w:eastAsia="zh-CN"/>
              </w:rPr>
            </w:pPr>
            <w:r>
              <w:rPr>
                <w:rFonts w:hint="eastAsia"/>
                <w:color w:val="auto"/>
                <w:highlight w:val="none"/>
                <w:lang w:val="en-US" w:eastAsia="zh-CN"/>
              </w:rPr>
              <w:t>1562</w:t>
            </w:r>
          </w:p>
        </w:tc>
      </w:tr>
      <w:tr w14:paraId="7747AA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9FFBE63">
            <w:pPr>
              <w:pStyle w:val="563"/>
              <w:bidi w:val="0"/>
              <w:rPr>
                <w:rFonts w:hint="eastAsia"/>
                <w:color w:val="auto"/>
                <w:highlight w:val="none"/>
                <w:lang w:val="en-US" w:eastAsia="zh-CN"/>
              </w:rPr>
            </w:pPr>
            <w:r>
              <w:rPr>
                <w:rFonts w:hint="eastAsia"/>
                <w:color w:val="auto"/>
                <w:highlight w:val="none"/>
                <w:lang w:val="en-US" w:eastAsia="zh-CN"/>
              </w:rPr>
              <w:t>17</w:t>
            </w:r>
          </w:p>
        </w:tc>
        <w:tc>
          <w:tcPr>
            <w:tcW w:w="904" w:type="pct"/>
            <w:tcBorders>
              <w:tl2br w:val="nil"/>
              <w:tr2bl w:val="nil"/>
            </w:tcBorders>
            <w:noWrap w:val="0"/>
            <w:vAlign w:val="center"/>
          </w:tcPr>
          <w:p w14:paraId="15AA11F6">
            <w:pPr>
              <w:pStyle w:val="563"/>
              <w:bidi w:val="0"/>
              <w:rPr>
                <w:rFonts w:hint="eastAsia"/>
                <w:color w:val="auto"/>
                <w:highlight w:val="none"/>
                <w:lang w:val="en-US" w:eastAsia="zh-CN"/>
              </w:rPr>
            </w:pPr>
            <w:r>
              <w:rPr>
                <w:rFonts w:hint="eastAsia"/>
                <w:color w:val="auto"/>
                <w:highlight w:val="none"/>
                <w:lang w:val="en-US" w:eastAsia="zh-CN"/>
              </w:rPr>
              <w:t>杨公镇宝宝乐幼儿园</w:t>
            </w:r>
          </w:p>
        </w:tc>
        <w:tc>
          <w:tcPr>
            <w:tcW w:w="591" w:type="pct"/>
            <w:tcBorders>
              <w:tl2br w:val="nil"/>
              <w:tr2bl w:val="nil"/>
            </w:tcBorders>
            <w:noWrap w:val="0"/>
            <w:vAlign w:val="center"/>
          </w:tcPr>
          <w:p w14:paraId="493C5788">
            <w:pPr>
              <w:pStyle w:val="563"/>
              <w:bidi w:val="0"/>
              <w:rPr>
                <w:rFonts w:hint="eastAsia"/>
                <w:color w:val="auto"/>
                <w:highlight w:val="none"/>
                <w:lang w:val="en-US" w:eastAsia="zh-CN"/>
              </w:rPr>
            </w:pPr>
            <w:r>
              <w:rPr>
                <w:rFonts w:hint="eastAsia"/>
                <w:color w:val="auto"/>
                <w:highlight w:val="none"/>
                <w:lang w:val="en-US" w:eastAsia="zh-CN"/>
              </w:rPr>
              <w:t>116.98181</w:t>
            </w:r>
          </w:p>
        </w:tc>
        <w:tc>
          <w:tcPr>
            <w:tcW w:w="545" w:type="pct"/>
            <w:tcBorders>
              <w:tl2br w:val="nil"/>
              <w:tr2bl w:val="nil"/>
            </w:tcBorders>
            <w:noWrap w:val="0"/>
            <w:vAlign w:val="center"/>
          </w:tcPr>
          <w:p w14:paraId="716E3C46">
            <w:pPr>
              <w:pStyle w:val="563"/>
              <w:bidi w:val="0"/>
              <w:rPr>
                <w:rFonts w:hint="eastAsia"/>
                <w:color w:val="auto"/>
                <w:highlight w:val="none"/>
                <w:lang w:val="en-US" w:eastAsia="zh-CN"/>
              </w:rPr>
            </w:pPr>
            <w:r>
              <w:rPr>
                <w:rFonts w:hint="eastAsia"/>
                <w:color w:val="auto"/>
                <w:highlight w:val="none"/>
                <w:lang w:val="en-US" w:eastAsia="zh-CN"/>
              </w:rPr>
              <w:t>32.516271</w:t>
            </w:r>
          </w:p>
        </w:tc>
        <w:tc>
          <w:tcPr>
            <w:tcW w:w="475" w:type="pct"/>
            <w:tcBorders>
              <w:tl2br w:val="nil"/>
              <w:tr2bl w:val="nil"/>
            </w:tcBorders>
            <w:noWrap w:val="0"/>
            <w:vAlign w:val="center"/>
          </w:tcPr>
          <w:p w14:paraId="6E4D649B">
            <w:pPr>
              <w:pStyle w:val="563"/>
              <w:bidi w:val="0"/>
              <w:rPr>
                <w:rFonts w:hint="eastAsia"/>
                <w:color w:val="auto"/>
                <w:highlight w:val="none"/>
                <w:lang w:val="en-US" w:eastAsia="zh-CN"/>
              </w:rPr>
            </w:pPr>
            <w:r>
              <w:rPr>
                <w:rFonts w:hint="eastAsia"/>
                <w:color w:val="auto"/>
                <w:highlight w:val="none"/>
                <w:lang w:val="en-US" w:eastAsia="zh-CN"/>
              </w:rPr>
              <w:t>师生约100人</w:t>
            </w:r>
          </w:p>
        </w:tc>
        <w:tc>
          <w:tcPr>
            <w:tcW w:w="775" w:type="pct"/>
            <w:vMerge w:val="continue"/>
            <w:tcBorders>
              <w:tl2br w:val="nil"/>
              <w:tr2bl w:val="nil"/>
            </w:tcBorders>
            <w:noWrap w:val="0"/>
            <w:vAlign w:val="center"/>
          </w:tcPr>
          <w:p w14:paraId="38E47429">
            <w:pPr>
              <w:pStyle w:val="563"/>
              <w:bidi w:val="0"/>
              <w:rPr>
                <w:rFonts w:hint="eastAsia"/>
                <w:color w:val="auto"/>
                <w:highlight w:val="none"/>
                <w:lang w:val="en-US" w:eastAsia="zh-CN"/>
              </w:rPr>
            </w:pPr>
          </w:p>
        </w:tc>
        <w:tc>
          <w:tcPr>
            <w:tcW w:w="817" w:type="pct"/>
            <w:tcBorders>
              <w:tl2br w:val="nil"/>
              <w:tr2bl w:val="nil"/>
            </w:tcBorders>
            <w:noWrap w:val="0"/>
            <w:vAlign w:val="center"/>
          </w:tcPr>
          <w:p w14:paraId="0A2785D0">
            <w:pPr>
              <w:pStyle w:val="563"/>
              <w:bidi w:val="0"/>
              <w:rPr>
                <w:color w:val="auto"/>
                <w:highlight w:val="none"/>
              </w:rPr>
            </w:pPr>
            <w:r>
              <w:rPr>
                <w:rFonts w:hint="eastAsia"/>
                <w:color w:val="auto"/>
                <w:highlight w:val="none"/>
                <w:lang w:val="en-US" w:eastAsia="zh-CN"/>
              </w:rPr>
              <w:t>西南</w:t>
            </w:r>
          </w:p>
        </w:tc>
        <w:tc>
          <w:tcPr>
            <w:tcW w:w="559" w:type="pct"/>
            <w:tcBorders>
              <w:tl2br w:val="nil"/>
              <w:tr2bl w:val="nil"/>
            </w:tcBorders>
            <w:noWrap w:val="0"/>
            <w:vAlign w:val="center"/>
          </w:tcPr>
          <w:p w14:paraId="49D4B8E9">
            <w:pPr>
              <w:pStyle w:val="563"/>
              <w:bidi w:val="0"/>
              <w:rPr>
                <w:rFonts w:hint="eastAsia"/>
                <w:color w:val="auto"/>
                <w:highlight w:val="none"/>
                <w:lang w:val="en-US" w:eastAsia="zh-CN"/>
              </w:rPr>
            </w:pPr>
            <w:r>
              <w:rPr>
                <w:rFonts w:hint="eastAsia"/>
                <w:color w:val="auto"/>
                <w:highlight w:val="none"/>
                <w:lang w:val="en-US" w:eastAsia="zh-CN"/>
              </w:rPr>
              <w:t>2059</w:t>
            </w:r>
          </w:p>
        </w:tc>
      </w:tr>
      <w:tr w14:paraId="40A1BD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73B531E">
            <w:pPr>
              <w:pStyle w:val="563"/>
              <w:bidi w:val="0"/>
              <w:rPr>
                <w:rFonts w:hint="eastAsia"/>
                <w:color w:val="auto"/>
                <w:highlight w:val="none"/>
                <w:lang w:val="en-US" w:eastAsia="zh-CN"/>
              </w:rPr>
            </w:pPr>
            <w:r>
              <w:rPr>
                <w:rFonts w:hint="eastAsia"/>
                <w:color w:val="auto"/>
                <w:highlight w:val="none"/>
                <w:lang w:val="en-US" w:eastAsia="zh-CN"/>
              </w:rPr>
              <w:t>18</w:t>
            </w:r>
          </w:p>
        </w:tc>
        <w:tc>
          <w:tcPr>
            <w:tcW w:w="904" w:type="pct"/>
            <w:tcBorders>
              <w:tl2br w:val="nil"/>
              <w:tr2bl w:val="nil"/>
            </w:tcBorders>
            <w:noWrap w:val="0"/>
            <w:vAlign w:val="center"/>
          </w:tcPr>
          <w:p w14:paraId="75CB157D">
            <w:pPr>
              <w:pStyle w:val="563"/>
              <w:bidi w:val="0"/>
              <w:rPr>
                <w:rFonts w:hint="eastAsia"/>
                <w:color w:val="auto"/>
                <w:highlight w:val="none"/>
                <w:lang w:val="en-US" w:eastAsia="zh-CN"/>
              </w:rPr>
            </w:pPr>
            <w:r>
              <w:rPr>
                <w:rFonts w:hint="eastAsia"/>
                <w:color w:val="auto"/>
                <w:highlight w:val="none"/>
                <w:lang w:val="en-US" w:eastAsia="zh-CN"/>
              </w:rPr>
              <w:t>大孤堆小学</w:t>
            </w:r>
          </w:p>
        </w:tc>
        <w:tc>
          <w:tcPr>
            <w:tcW w:w="591" w:type="pct"/>
            <w:tcBorders>
              <w:tl2br w:val="nil"/>
              <w:tr2bl w:val="nil"/>
            </w:tcBorders>
            <w:noWrap w:val="0"/>
            <w:vAlign w:val="center"/>
          </w:tcPr>
          <w:p w14:paraId="158EA7CD">
            <w:pPr>
              <w:pStyle w:val="563"/>
              <w:bidi w:val="0"/>
              <w:rPr>
                <w:rFonts w:hint="eastAsia"/>
                <w:color w:val="auto"/>
                <w:highlight w:val="none"/>
                <w:lang w:val="en-US" w:eastAsia="zh-CN"/>
              </w:rPr>
            </w:pPr>
            <w:r>
              <w:rPr>
                <w:rFonts w:hint="eastAsia"/>
                <w:color w:val="auto"/>
                <w:highlight w:val="none"/>
                <w:lang w:val="en-US" w:eastAsia="zh-CN"/>
              </w:rPr>
              <w:t>117.0114</w:t>
            </w:r>
          </w:p>
        </w:tc>
        <w:tc>
          <w:tcPr>
            <w:tcW w:w="545" w:type="pct"/>
            <w:tcBorders>
              <w:tl2br w:val="nil"/>
              <w:tr2bl w:val="nil"/>
            </w:tcBorders>
            <w:noWrap w:val="0"/>
            <w:vAlign w:val="center"/>
          </w:tcPr>
          <w:p w14:paraId="2CAC9203">
            <w:pPr>
              <w:pStyle w:val="563"/>
              <w:bidi w:val="0"/>
              <w:rPr>
                <w:rFonts w:hint="eastAsia"/>
                <w:color w:val="auto"/>
                <w:highlight w:val="none"/>
                <w:lang w:val="en-US" w:eastAsia="zh-CN"/>
              </w:rPr>
            </w:pPr>
            <w:r>
              <w:rPr>
                <w:rFonts w:hint="eastAsia"/>
                <w:color w:val="auto"/>
                <w:highlight w:val="none"/>
                <w:lang w:val="en-US" w:eastAsia="zh-CN"/>
              </w:rPr>
              <w:t>32.504853</w:t>
            </w:r>
          </w:p>
        </w:tc>
        <w:tc>
          <w:tcPr>
            <w:tcW w:w="475" w:type="pct"/>
            <w:tcBorders>
              <w:tl2br w:val="nil"/>
              <w:tr2bl w:val="nil"/>
            </w:tcBorders>
            <w:noWrap w:val="0"/>
            <w:vAlign w:val="center"/>
          </w:tcPr>
          <w:p w14:paraId="13853549">
            <w:pPr>
              <w:pStyle w:val="563"/>
              <w:bidi w:val="0"/>
              <w:rPr>
                <w:rFonts w:hint="eastAsia"/>
                <w:color w:val="auto"/>
                <w:highlight w:val="none"/>
                <w:lang w:val="en-US" w:eastAsia="zh-CN"/>
              </w:rPr>
            </w:pPr>
            <w:r>
              <w:rPr>
                <w:rFonts w:hint="eastAsia"/>
                <w:color w:val="auto"/>
                <w:highlight w:val="none"/>
                <w:lang w:val="en-US" w:eastAsia="zh-CN"/>
              </w:rPr>
              <w:t>师生约800人</w:t>
            </w:r>
          </w:p>
        </w:tc>
        <w:tc>
          <w:tcPr>
            <w:tcW w:w="775" w:type="pct"/>
            <w:vMerge w:val="continue"/>
            <w:tcBorders>
              <w:tl2br w:val="nil"/>
              <w:tr2bl w:val="nil"/>
            </w:tcBorders>
            <w:noWrap w:val="0"/>
            <w:vAlign w:val="center"/>
          </w:tcPr>
          <w:p w14:paraId="3B553D50">
            <w:pPr>
              <w:pStyle w:val="563"/>
              <w:bidi w:val="0"/>
              <w:rPr>
                <w:rFonts w:hint="eastAsia"/>
                <w:color w:val="auto"/>
                <w:highlight w:val="none"/>
                <w:lang w:val="en-US" w:eastAsia="zh-CN"/>
              </w:rPr>
            </w:pPr>
          </w:p>
        </w:tc>
        <w:tc>
          <w:tcPr>
            <w:tcW w:w="817" w:type="pct"/>
            <w:tcBorders>
              <w:tl2br w:val="nil"/>
              <w:tr2bl w:val="nil"/>
            </w:tcBorders>
            <w:noWrap w:val="0"/>
            <w:vAlign w:val="center"/>
          </w:tcPr>
          <w:p w14:paraId="6E329DA5">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383F74B9">
            <w:pPr>
              <w:pStyle w:val="563"/>
              <w:bidi w:val="0"/>
              <w:rPr>
                <w:rFonts w:hint="eastAsia"/>
                <w:color w:val="auto"/>
                <w:highlight w:val="none"/>
                <w:lang w:val="en-US" w:eastAsia="zh-CN"/>
              </w:rPr>
            </w:pPr>
            <w:r>
              <w:rPr>
                <w:rFonts w:hint="eastAsia"/>
                <w:color w:val="auto"/>
                <w:highlight w:val="none"/>
                <w:lang w:val="en-US" w:eastAsia="zh-CN"/>
              </w:rPr>
              <w:t>2410</w:t>
            </w:r>
          </w:p>
        </w:tc>
      </w:tr>
      <w:tr w14:paraId="5CF259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27BEE97">
            <w:pPr>
              <w:pStyle w:val="563"/>
              <w:bidi w:val="0"/>
              <w:rPr>
                <w:rFonts w:hint="eastAsia"/>
                <w:color w:val="auto"/>
                <w:highlight w:val="none"/>
                <w:lang w:val="en-US" w:eastAsia="zh-CN"/>
              </w:rPr>
            </w:pPr>
            <w:r>
              <w:rPr>
                <w:rFonts w:hint="eastAsia"/>
                <w:color w:val="auto"/>
                <w:highlight w:val="none"/>
                <w:lang w:val="en-US" w:eastAsia="zh-CN"/>
              </w:rPr>
              <w:t>19</w:t>
            </w:r>
          </w:p>
        </w:tc>
        <w:tc>
          <w:tcPr>
            <w:tcW w:w="904" w:type="pct"/>
            <w:tcBorders>
              <w:tl2br w:val="nil"/>
              <w:tr2bl w:val="nil"/>
            </w:tcBorders>
            <w:noWrap w:val="0"/>
            <w:vAlign w:val="center"/>
          </w:tcPr>
          <w:p w14:paraId="59304E17">
            <w:pPr>
              <w:pStyle w:val="563"/>
              <w:bidi w:val="0"/>
              <w:rPr>
                <w:rFonts w:hint="eastAsia"/>
                <w:color w:val="auto"/>
                <w:highlight w:val="none"/>
                <w:lang w:val="en-US" w:eastAsia="zh-CN"/>
              </w:rPr>
            </w:pPr>
            <w:r>
              <w:rPr>
                <w:rFonts w:hint="eastAsia"/>
                <w:color w:val="auto"/>
                <w:highlight w:val="none"/>
                <w:lang w:val="en-US" w:eastAsia="zh-CN"/>
              </w:rPr>
              <w:t>杨公中学</w:t>
            </w:r>
          </w:p>
        </w:tc>
        <w:tc>
          <w:tcPr>
            <w:tcW w:w="591" w:type="pct"/>
            <w:tcBorders>
              <w:tl2br w:val="nil"/>
              <w:tr2bl w:val="nil"/>
            </w:tcBorders>
            <w:noWrap w:val="0"/>
            <w:vAlign w:val="center"/>
          </w:tcPr>
          <w:p w14:paraId="595A7074">
            <w:pPr>
              <w:pStyle w:val="563"/>
              <w:bidi w:val="0"/>
              <w:rPr>
                <w:rFonts w:hint="eastAsia"/>
                <w:color w:val="auto"/>
                <w:highlight w:val="none"/>
                <w:lang w:val="en-US" w:eastAsia="zh-CN"/>
              </w:rPr>
            </w:pPr>
            <w:r>
              <w:rPr>
                <w:rFonts w:hint="eastAsia"/>
                <w:color w:val="auto"/>
                <w:highlight w:val="none"/>
                <w:lang w:val="en-US" w:eastAsia="zh-CN"/>
              </w:rPr>
              <w:t>116.97901</w:t>
            </w:r>
          </w:p>
        </w:tc>
        <w:tc>
          <w:tcPr>
            <w:tcW w:w="545" w:type="pct"/>
            <w:tcBorders>
              <w:tl2br w:val="nil"/>
              <w:tr2bl w:val="nil"/>
            </w:tcBorders>
            <w:noWrap w:val="0"/>
            <w:vAlign w:val="center"/>
          </w:tcPr>
          <w:p w14:paraId="29981FFD">
            <w:pPr>
              <w:pStyle w:val="563"/>
              <w:bidi w:val="0"/>
              <w:rPr>
                <w:rFonts w:hint="eastAsia"/>
                <w:color w:val="auto"/>
                <w:highlight w:val="none"/>
                <w:lang w:val="en-US" w:eastAsia="zh-CN"/>
              </w:rPr>
            </w:pPr>
            <w:r>
              <w:rPr>
                <w:rFonts w:hint="eastAsia"/>
                <w:color w:val="auto"/>
                <w:highlight w:val="none"/>
                <w:lang w:val="en-US" w:eastAsia="zh-CN"/>
              </w:rPr>
              <w:t>32.522314</w:t>
            </w:r>
          </w:p>
        </w:tc>
        <w:tc>
          <w:tcPr>
            <w:tcW w:w="475" w:type="pct"/>
            <w:tcBorders>
              <w:tl2br w:val="nil"/>
              <w:tr2bl w:val="nil"/>
            </w:tcBorders>
            <w:noWrap w:val="0"/>
            <w:vAlign w:val="center"/>
          </w:tcPr>
          <w:p w14:paraId="46BB04E3">
            <w:pPr>
              <w:pStyle w:val="563"/>
              <w:bidi w:val="0"/>
              <w:rPr>
                <w:rFonts w:hint="eastAsia"/>
                <w:color w:val="auto"/>
                <w:highlight w:val="none"/>
                <w:lang w:val="en-US" w:eastAsia="zh-CN"/>
              </w:rPr>
            </w:pPr>
            <w:r>
              <w:rPr>
                <w:rFonts w:hint="eastAsia"/>
                <w:color w:val="auto"/>
                <w:highlight w:val="none"/>
                <w:lang w:val="en-US" w:eastAsia="zh-CN"/>
              </w:rPr>
              <w:t>师生约800人</w:t>
            </w:r>
          </w:p>
        </w:tc>
        <w:tc>
          <w:tcPr>
            <w:tcW w:w="775" w:type="pct"/>
            <w:vMerge w:val="continue"/>
            <w:tcBorders>
              <w:tl2br w:val="nil"/>
              <w:tr2bl w:val="nil"/>
            </w:tcBorders>
            <w:noWrap w:val="0"/>
            <w:vAlign w:val="center"/>
          </w:tcPr>
          <w:p w14:paraId="2E3D793B">
            <w:pPr>
              <w:pStyle w:val="563"/>
              <w:bidi w:val="0"/>
              <w:rPr>
                <w:rFonts w:hint="eastAsia"/>
                <w:color w:val="auto"/>
                <w:highlight w:val="none"/>
                <w:lang w:val="en-US" w:eastAsia="zh-CN"/>
              </w:rPr>
            </w:pPr>
          </w:p>
        </w:tc>
        <w:tc>
          <w:tcPr>
            <w:tcW w:w="817" w:type="pct"/>
            <w:tcBorders>
              <w:tl2br w:val="nil"/>
              <w:tr2bl w:val="nil"/>
            </w:tcBorders>
            <w:noWrap w:val="0"/>
            <w:vAlign w:val="center"/>
          </w:tcPr>
          <w:p w14:paraId="4CD96EF3">
            <w:pPr>
              <w:pStyle w:val="563"/>
              <w:bidi w:val="0"/>
              <w:rPr>
                <w:color w:val="auto"/>
                <w:highlight w:val="none"/>
              </w:rPr>
            </w:pPr>
            <w:r>
              <w:rPr>
                <w:rFonts w:hint="eastAsia"/>
                <w:color w:val="auto"/>
                <w:highlight w:val="none"/>
                <w:lang w:val="en-US" w:eastAsia="zh-CN"/>
              </w:rPr>
              <w:t>西</w:t>
            </w:r>
          </w:p>
        </w:tc>
        <w:tc>
          <w:tcPr>
            <w:tcW w:w="559" w:type="pct"/>
            <w:tcBorders>
              <w:tl2br w:val="nil"/>
              <w:tr2bl w:val="nil"/>
            </w:tcBorders>
            <w:noWrap w:val="0"/>
            <w:vAlign w:val="center"/>
          </w:tcPr>
          <w:p w14:paraId="2F24A36D">
            <w:pPr>
              <w:pStyle w:val="563"/>
              <w:bidi w:val="0"/>
              <w:rPr>
                <w:rFonts w:hint="eastAsia"/>
                <w:color w:val="auto"/>
                <w:highlight w:val="none"/>
                <w:lang w:val="en-US" w:eastAsia="zh-CN"/>
              </w:rPr>
            </w:pPr>
            <w:r>
              <w:rPr>
                <w:rFonts w:hint="eastAsia"/>
                <w:color w:val="auto"/>
                <w:highlight w:val="none"/>
                <w:lang w:val="en-US" w:eastAsia="zh-CN"/>
              </w:rPr>
              <w:t>2083</w:t>
            </w:r>
          </w:p>
        </w:tc>
      </w:tr>
      <w:tr w14:paraId="385C7D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83463E7">
            <w:pPr>
              <w:pStyle w:val="563"/>
              <w:bidi w:val="0"/>
              <w:rPr>
                <w:rFonts w:hint="eastAsia"/>
                <w:color w:val="auto"/>
                <w:highlight w:val="none"/>
                <w:lang w:val="en-US" w:eastAsia="zh-CN"/>
              </w:rPr>
            </w:pPr>
            <w:r>
              <w:rPr>
                <w:rFonts w:hint="eastAsia"/>
                <w:color w:val="auto"/>
                <w:highlight w:val="none"/>
                <w:lang w:val="en-US" w:eastAsia="zh-CN"/>
              </w:rPr>
              <w:t>20</w:t>
            </w:r>
          </w:p>
        </w:tc>
        <w:tc>
          <w:tcPr>
            <w:tcW w:w="904" w:type="pct"/>
            <w:tcBorders>
              <w:tl2br w:val="nil"/>
              <w:tr2bl w:val="nil"/>
            </w:tcBorders>
            <w:noWrap w:val="0"/>
            <w:vAlign w:val="center"/>
          </w:tcPr>
          <w:p w14:paraId="0164B5EB">
            <w:pPr>
              <w:pStyle w:val="563"/>
              <w:bidi w:val="0"/>
              <w:rPr>
                <w:rFonts w:hint="eastAsia"/>
                <w:color w:val="auto"/>
                <w:highlight w:val="none"/>
                <w:lang w:val="en-US" w:eastAsia="zh-CN"/>
              </w:rPr>
            </w:pPr>
            <w:r>
              <w:rPr>
                <w:rFonts w:hint="eastAsia"/>
                <w:color w:val="auto"/>
                <w:highlight w:val="none"/>
                <w:lang w:val="en-US" w:eastAsia="zh-CN"/>
              </w:rPr>
              <w:t>缘梦苑小区</w:t>
            </w:r>
          </w:p>
        </w:tc>
        <w:tc>
          <w:tcPr>
            <w:tcW w:w="591" w:type="pct"/>
            <w:tcBorders>
              <w:tl2br w:val="nil"/>
              <w:tr2bl w:val="nil"/>
            </w:tcBorders>
            <w:noWrap w:val="0"/>
            <w:vAlign w:val="center"/>
          </w:tcPr>
          <w:p w14:paraId="4213F312">
            <w:pPr>
              <w:pStyle w:val="563"/>
              <w:bidi w:val="0"/>
              <w:rPr>
                <w:rFonts w:hint="eastAsia"/>
                <w:color w:val="auto"/>
                <w:highlight w:val="none"/>
                <w:lang w:val="en-US" w:eastAsia="zh-CN"/>
              </w:rPr>
            </w:pPr>
            <w:r>
              <w:rPr>
                <w:rFonts w:hint="eastAsia"/>
                <w:color w:val="auto"/>
                <w:highlight w:val="none"/>
                <w:lang w:val="en-US" w:eastAsia="zh-CN"/>
              </w:rPr>
              <w:t>117.01305</w:t>
            </w:r>
          </w:p>
        </w:tc>
        <w:tc>
          <w:tcPr>
            <w:tcW w:w="545" w:type="pct"/>
            <w:tcBorders>
              <w:tl2br w:val="nil"/>
              <w:tr2bl w:val="nil"/>
            </w:tcBorders>
            <w:noWrap w:val="0"/>
            <w:vAlign w:val="center"/>
          </w:tcPr>
          <w:p w14:paraId="02F793DB">
            <w:pPr>
              <w:pStyle w:val="563"/>
              <w:bidi w:val="0"/>
              <w:rPr>
                <w:rFonts w:hint="eastAsia"/>
                <w:color w:val="auto"/>
                <w:highlight w:val="none"/>
                <w:lang w:val="en-US" w:eastAsia="zh-CN"/>
              </w:rPr>
            </w:pPr>
            <w:r>
              <w:rPr>
                <w:rFonts w:hint="eastAsia"/>
                <w:color w:val="auto"/>
                <w:highlight w:val="none"/>
                <w:lang w:val="en-US" w:eastAsia="zh-CN"/>
              </w:rPr>
              <w:t>32.507275</w:t>
            </w:r>
          </w:p>
        </w:tc>
        <w:tc>
          <w:tcPr>
            <w:tcW w:w="475" w:type="pct"/>
            <w:tcBorders>
              <w:tl2br w:val="nil"/>
              <w:tr2bl w:val="nil"/>
            </w:tcBorders>
            <w:noWrap w:val="0"/>
            <w:vAlign w:val="center"/>
          </w:tcPr>
          <w:p w14:paraId="39DD5E85">
            <w:pPr>
              <w:pStyle w:val="563"/>
              <w:bidi w:val="0"/>
              <w:rPr>
                <w:rFonts w:hint="eastAsia"/>
                <w:color w:val="auto"/>
                <w:highlight w:val="none"/>
                <w:lang w:val="en-US" w:eastAsia="zh-CN"/>
              </w:rPr>
            </w:pPr>
            <w:r>
              <w:rPr>
                <w:rFonts w:hint="eastAsia"/>
                <w:color w:val="auto"/>
                <w:highlight w:val="none"/>
                <w:lang w:val="en-US" w:eastAsia="zh-CN"/>
              </w:rPr>
              <w:t>80户/240人</w:t>
            </w:r>
          </w:p>
        </w:tc>
        <w:tc>
          <w:tcPr>
            <w:tcW w:w="775" w:type="pct"/>
            <w:vMerge w:val="continue"/>
            <w:tcBorders>
              <w:tl2br w:val="nil"/>
              <w:tr2bl w:val="nil"/>
            </w:tcBorders>
            <w:noWrap w:val="0"/>
            <w:vAlign w:val="center"/>
          </w:tcPr>
          <w:p w14:paraId="47632302">
            <w:pPr>
              <w:pStyle w:val="563"/>
              <w:bidi w:val="0"/>
              <w:rPr>
                <w:rFonts w:hint="eastAsia"/>
                <w:color w:val="auto"/>
                <w:highlight w:val="none"/>
                <w:lang w:val="en-US" w:eastAsia="zh-CN"/>
              </w:rPr>
            </w:pPr>
          </w:p>
        </w:tc>
        <w:tc>
          <w:tcPr>
            <w:tcW w:w="817" w:type="pct"/>
            <w:tcBorders>
              <w:tl2br w:val="nil"/>
              <w:tr2bl w:val="nil"/>
            </w:tcBorders>
            <w:noWrap w:val="0"/>
            <w:vAlign w:val="center"/>
          </w:tcPr>
          <w:p w14:paraId="0DAABC20">
            <w:pPr>
              <w:pStyle w:val="563"/>
              <w:bidi w:val="0"/>
              <w:rPr>
                <w:color w:val="auto"/>
                <w:highlight w:val="none"/>
              </w:rPr>
            </w:pPr>
            <w:r>
              <w:rPr>
                <w:rFonts w:hint="eastAsia"/>
                <w:color w:val="auto"/>
                <w:highlight w:val="none"/>
                <w:lang w:val="en-US" w:eastAsia="zh-CN"/>
              </w:rPr>
              <w:t>东南</w:t>
            </w:r>
          </w:p>
        </w:tc>
        <w:tc>
          <w:tcPr>
            <w:tcW w:w="559" w:type="pct"/>
            <w:tcBorders>
              <w:tl2br w:val="nil"/>
              <w:tr2bl w:val="nil"/>
            </w:tcBorders>
            <w:noWrap w:val="0"/>
            <w:vAlign w:val="center"/>
          </w:tcPr>
          <w:p w14:paraId="52DF99C2">
            <w:pPr>
              <w:pStyle w:val="563"/>
              <w:bidi w:val="0"/>
              <w:rPr>
                <w:rFonts w:hint="eastAsia"/>
                <w:color w:val="auto"/>
                <w:highlight w:val="none"/>
                <w:lang w:val="en-US" w:eastAsia="zh-CN"/>
              </w:rPr>
            </w:pPr>
            <w:r>
              <w:rPr>
                <w:rFonts w:hint="eastAsia"/>
                <w:color w:val="auto"/>
                <w:highlight w:val="none"/>
                <w:lang w:val="en-US" w:eastAsia="zh-CN"/>
              </w:rPr>
              <w:t>2217</w:t>
            </w:r>
          </w:p>
        </w:tc>
      </w:tr>
      <w:tr w14:paraId="655F4E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4177BB1C">
            <w:pPr>
              <w:pStyle w:val="563"/>
              <w:bidi w:val="0"/>
              <w:rPr>
                <w:rFonts w:hint="eastAsia"/>
                <w:color w:val="auto"/>
                <w:highlight w:val="none"/>
                <w:lang w:val="en-US" w:eastAsia="zh-CN"/>
              </w:rPr>
            </w:pPr>
            <w:r>
              <w:rPr>
                <w:rFonts w:hint="eastAsia"/>
                <w:color w:val="auto"/>
                <w:highlight w:val="none"/>
                <w:lang w:val="en-US" w:eastAsia="zh-CN"/>
              </w:rPr>
              <w:t>21</w:t>
            </w:r>
          </w:p>
        </w:tc>
        <w:tc>
          <w:tcPr>
            <w:tcW w:w="904" w:type="pct"/>
            <w:tcBorders>
              <w:tl2br w:val="nil"/>
              <w:tr2bl w:val="nil"/>
            </w:tcBorders>
            <w:noWrap w:val="0"/>
            <w:vAlign w:val="center"/>
          </w:tcPr>
          <w:p w14:paraId="388BFD46">
            <w:pPr>
              <w:pStyle w:val="563"/>
              <w:bidi w:val="0"/>
              <w:rPr>
                <w:rFonts w:hint="eastAsia"/>
                <w:color w:val="auto"/>
                <w:highlight w:val="none"/>
                <w:lang w:val="en-US" w:eastAsia="zh-CN"/>
              </w:rPr>
            </w:pPr>
            <w:r>
              <w:rPr>
                <w:rFonts w:hint="eastAsia"/>
                <w:color w:val="auto"/>
                <w:highlight w:val="none"/>
                <w:lang w:val="en-US" w:eastAsia="zh-CN"/>
              </w:rPr>
              <w:t>韩郢</w:t>
            </w:r>
          </w:p>
        </w:tc>
        <w:tc>
          <w:tcPr>
            <w:tcW w:w="591" w:type="pct"/>
            <w:tcBorders>
              <w:tl2br w:val="nil"/>
              <w:tr2bl w:val="nil"/>
            </w:tcBorders>
            <w:noWrap w:val="0"/>
            <w:vAlign w:val="center"/>
          </w:tcPr>
          <w:p w14:paraId="731EB5C7">
            <w:pPr>
              <w:pStyle w:val="563"/>
              <w:bidi w:val="0"/>
              <w:rPr>
                <w:rFonts w:hint="eastAsia"/>
                <w:color w:val="auto"/>
                <w:highlight w:val="none"/>
                <w:lang w:val="en-US" w:eastAsia="zh-CN"/>
              </w:rPr>
            </w:pPr>
            <w:r>
              <w:rPr>
                <w:rFonts w:hint="eastAsia"/>
                <w:color w:val="auto"/>
                <w:highlight w:val="none"/>
                <w:lang w:val="en-US" w:eastAsia="zh-CN"/>
              </w:rPr>
              <w:t>117.0297</w:t>
            </w:r>
          </w:p>
        </w:tc>
        <w:tc>
          <w:tcPr>
            <w:tcW w:w="545" w:type="pct"/>
            <w:tcBorders>
              <w:tl2br w:val="nil"/>
              <w:tr2bl w:val="nil"/>
            </w:tcBorders>
            <w:noWrap w:val="0"/>
            <w:vAlign w:val="center"/>
          </w:tcPr>
          <w:p w14:paraId="22C76100">
            <w:pPr>
              <w:pStyle w:val="563"/>
              <w:bidi w:val="0"/>
              <w:rPr>
                <w:rFonts w:hint="eastAsia"/>
                <w:color w:val="auto"/>
                <w:highlight w:val="none"/>
                <w:lang w:val="en-US" w:eastAsia="zh-CN"/>
              </w:rPr>
            </w:pPr>
            <w:r>
              <w:rPr>
                <w:rFonts w:hint="eastAsia"/>
                <w:color w:val="auto"/>
                <w:highlight w:val="none"/>
                <w:lang w:val="en-US" w:eastAsia="zh-CN"/>
              </w:rPr>
              <w:t>32.544364</w:t>
            </w:r>
          </w:p>
        </w:tc>
        <w:tc>
          <w:tcPr>
            <w:tcW w:w="475" w:type="pct"/>
            <w:tcBorders>
              <w:tl2br w:val="nil"/>
              <w:tr2bl w:val="nil"/>
            </w:tcBorders>
            <w:noWrap w:val="0"/>
            <w:vAlign w:val="center"/>
          </w:tcPr>
          <w:p w14:paraId="1CEBA3D3">
            <w:pPr>
              <w:pStyle w:val="563"/>
              <w:bidi w:val="0"/>
              <w:rPr>
                <w:rFonts w:hint="eastAsia"/>
                <w:color w:val="auto"/>
                <w:highlight w:val="none"/>
                <w:lang w:val="en-US" w:eastAsia="zh-CN"/>
              </w:rPr>
            </w:pPr>
            <w:r>
              <w:rPr>
                <w:rFonts w:hint="eastAsia"/>
                <w:color w:val="auto"/>
                <w:highlight w:val="none"/>
                <w:lang w:val="en-US" w:eastAsia="zh-CN"/>
              </w:rPr>
              <w:t>5户/15人</w:t>
            </w:r>
          </w:p>
        </w:tc>
        <w:tc>
          <w:tcPr>
            <w:tcW w:w="775" w:type="pct"/>
            <w:vMerge w:val="continue"/>
            <w:tcBorders>
              <w:tl2br w:val="nil"/>
              <w:tr2bl w:val="nil"/>
            </w:tcBorders>
            <w:noWrap w:val="0"/>
            <w:vAlign w:val="center"/>
          </w:tcPr>
          <w:p w14:paraId="7F731CC6">
            <w:pPr>
              <w:pStyle w:val="563"/>
              <w:bidi w:val="0"/>
              <w:rPr>
                <w:rFonts w:hint="eastAsia"/>
                <w:color w:val="auto"/>
                <w:highlight w:val="none"/>
                <w:lang w:val="en-US" w:eastAsia="zh-CN"/>
              </w:rPr>
            </w:pPr>
          </w:p>
        </w:tc>
        <w:tc>
          <w:tcPr>
            <w:tcW w:w="817" w:type="pct"/>
            <w:tcBorders>
              <w:tl2br w:val="nil"/>
              <w:tr2bl w:val="nil"/>
            </w:tcBorders>
            <w:noWrap w:val="0"/>
            <w:vAlign w:val="center"/>
          </w:tcPr>
          <w:p w14:paraId="4BE0B8C3">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535A10E1">
            <w:pPr>
              <w:pStyle w:val="563"/>
              <w:bidi w:val="0"/>
              <w:rPr>
                <w:rFonts w:hint="eastAsia"/>
                <w:color w:val="auto"/>
                <w:highlight w:val="none"/>
                <w:lang w:val="en-US" w:eastAsia="zh-CN"/>
              </w:rPr>
            </w:pPr>
            <w:r>
              <w:rPr>
                <w:rFonts w:hint="eastAsia"/>
                <w:color w:val="auto"/>
                <w:highlight w:val="none"/>
                <w:lang w:val="en-US" w:eastAsia="zh-CN"/>
              </w:rPr>
              <w:t>3233</w:t>
            </w:r>
          </w:p>
        </w:tc>
      </w:tr>
      <w:tr w14:paraId="2138C8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35DC5AD2">
            <w:pPr>
              <w:pStyle w:val="563"/>
              <w:bidi w:val="0"/>
              <w:rPr>
                <w:rFonts w:hint="eastAsia"/>
                <w:color w:val="auto"/>
                <w:highlight w:val="none"/>
                <w:lang w:val="en-US" w:eastAsia="zh-CN"/>
              </w:rPr>
            </w:pPr>
            <w:r>
              <w:rPr>
                <w:rFonts w:hint="eastAsia"/>
                <w:color w:val="auto"/>
                <w:highlight w:val="none"/>
                <w:lang w:val="en-US" w:eastAsia="zh-CN"/>
              </w:rPr>
              <w:t>22</w:t>
            </w:r>
          </w:p>
        </w:tc>
        <w:tc>
          <w:tcPr>
            <w:tcW w:w="904" w:type="pct"/>
            <w:tcBorders>
              <w:tl2br w:val="nil"/>
              <w:tr2bl w:val="nil"/>
            </w:tcBorders>
            <w:noWrap w:val="0"/>
            <w:vAlign w:val="center"/>
          </w:tcPr>
          <w:p w14:paraId="1665FBCE">
            <w:pPr>
              <w:pStyle w:val="563"/>
              <w:bidi w:val="0"/>
              <w:rPr>
                <w:rFonts w:hint="eastAsia"/>
                <w:color w:val="auto"/>
                <w:highlight w:val="none"/>
                <w:lang w:val="en-US" w:eastAsia="zh-CN"/>
              </w:rPr>
            </w:pPr>
            <w:r>
              <w:rPr>
                <w:rFonts w:hint="eastAsia"/>
                <w:color w:val="auto"/>
                <w:highlight w:val="none"/>
                <w:lang w:val="en-US" w:eastAsia="zh-CN"/>
              </w:rPr>
              <w:t>东孙郢</w:t>
            </w:r>
          </w:p>
        </w:tc>
        <w:tc>
          <w:tcPr>
            <w:tcW w:w="591" w:type="pct"/>
            <w:tcBorders>
              <w:tl2br w:val="nil"/>
              <w:tr2bl w:val="nil"/>
            </w:tcBorders>
            <w:noWrap w:val="0"/>
            <w:vAlign w:val="center"/>
          </w:tcPr>
          <w:p w14:paraId="44E1A79C">
            <w:pPr>
              <w:pStyle w:val="563"/>
              <w:bidi w:val="0"/>
              <w:rPr>
                <w:rFonts w:hint="eastAsia"/>
                <w:color w:val="auto"/>
                <w:highlight w:val="none"/>
                <w:lang w:val="en-US" w:eastAsia="zh-CN"/>
              </w:rPr>
            </w:pPr>
            <w:r>
              <w:rPr>
                <w:rFonts w:hint="eastAsia"/>
                <w:color w:val="auto"/>
                <w:highlight w:val="none"/>
                <w:lang w:val="en-US" w:eastAsia="zh-CN"/>
              </w:rPr>
              <w:t>116.98644</w:t>
            </w:r>
          </w:p>
        </w:tc>
        <w:tc>
          <w:tcPr>
            <w:tcW w:w="545" w:type="pct"/>
            <w:tcBorders>
              <w:tl2br w:val="nil"/>
              <w:tr2bl w:val="nil"/>
            </w:tcBorders>
            <w:noWrap w:val="0"/>
            <w:vAlign w:val="center"/>
          </w:tcPr>
          <w:p w14:paraId="505E30C9">
            <w:pPr>
              <w:pStyle w:val="563"/>
              <w:bidi w:val="0"/>
              <w:rPr>
                <w:rFonts w:hint="eastAsia"/>
                <w:color w:val="auto"/>
                <w:highlight w:val="none"/>
                <w:lang w:val="en-US" w:eastAsia="zh-CN"/>
              </w:rPr>
            </w:pPr>
            <w:r>
              <w:rPr>
                <w:rFonts w:hint="eastAsia"/>
                <w:color w:val="auto"/>
                <w:highlight w:val="none"/>
                <w:lang w:val="en-US" w:eastAsia="zh-CN"/>
              </w:rPr>
              <w:t>32.508427</w:t>
            </w:r>
          </w:p>
        </w:tc>
        <w:tc>
          <w:tcPr>
            <w:tcW w:w="475" w:type="pct"/>
            <w:tcBorders>
              <w:tl2br w:val="nil"/>
              <w:tr2bl w:val="nil"/>
            </w:tcBorders>
            <w:noWrap w:val="0"/>
            <w:vAlign w:val="center"/>
          </w:tcPr>
          <w:p w14:paraId="32AA595F">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75F8DF57">
            <w:pPr>
              <w:pStyle w:val="563"/>
              <w:bidi w:val="0"/>
              <w:rPr>
                <w:rFonts w:hint="eastAsia"/>
                <w:color w:val="auto"/>
                <w:highlight w:val="none"/>
                <w:lang w:val="en-US" w:eastAsia="zh-CN"/>
              </w:rPr>
            </w:pPr>
          </w:p>
        </w:tc>
        <w:tc>
          <w:tcPr>
            <w:tcW w:w="817" w:type="pct"/>
            <w:tcBorders>
              <w:tl2br w:val="nil"/>
              <w:tr2bl w:val="nil"/>
            </w:tcBorders>
            <w:noWrap w:val="0"/>
            <w:vAlign w:val="center"/>
          </w:tcPr>
          <w:p w14:paraId="3E553B79">
            <w:pPr>
              <w:pStyle w:val="563"/>
              <w:bidi w:val="0"/>
              <w:rPr>
                <w:color w:val="auto"/>
                <w:highlight w:val="none"/>
              </w:rPr>
            </w:pPr>
            <w:r>
              <w:rPr>
                <w:rFonts w:hint="eastAsia"/>
                <w:color w:val="auto"/>
                <w:highlight w:val="none"/>
                <w:lang w:val="en-US" w:eastAsia="zh-CN"/>
              </w:rPr>
              <w:t>西南</w:t>
            </w:r>
          </w:p>
        </w:tc>
        <w:tc>
          <w:tcPr>
            <w:tcW w:w="559" w:type="pct"/>
            <w:tcBorders>
              <w:tl2br w:val="nil"/>
              <w:tr2bl w:val="nil"/>
            </w:tcBorders>
            <w:noWrap w:val="0"/>
            <w:vAlign w:val="center"/>
          </w:tcPr>
          <w:p w14:paraId="5C56B397">
            <w:pPr>
              <w:pStyle w:val="563"/>
              <w:bidi w:val="0"/>
              <w:rPr>
                <w:rFonts w:hint="eastAsia"/>
                <w:color w:val="auto"/>
                <w:highlight w:val="none"/>
                <w:lang w:val="en-US" w:eastAsia="zh-CN"/>
              </w:rPr>
            </w:pPr>
            <w:r>
              <w:rPr>
                <w:rFonts w:hint="eastAsia"/>
                <w:color w:val="auto"/>
                <w:highlight w:val="none"/>
                <w:lang w:val="en-US" w:eastAsia="zh-CN"/>
              </w:rPr>
              <w:t>2303</w:t>
            </w:r>
          </w:p>
        </w:tc>
      </w:tr>
      <w:tr w14:paraId="48470D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34B8DC45">
            <w:pPr>
              <w:pStyle w:val="563"/>
              <w:bidi w:val="0"/>
              <w:rPr>
                <w:rFonts w:hint="eastAsia"/>
                <w:color w:val="auto"/>
                <w:highlight w:val="none"/>
                <w:lang w:val="en-US" w:eastAsia="zh-CN"/>
              </w:rPr>
            </w:pPr>
            <w:r>
              <w:rPr>
                <w:rFonts w:hint="eastAsia"/>
                <w:color w:val="auto"/>
                <w:highlight w:val="none"/>
                <w:lang w:val="en-US" w:eastAsia="zh-CN"/>
              </w:rPr>
              <w:t>23</w:t>
            </w:r>
          </w:p>
        </w:tc>
        <w:tc>
          <w:tcPr>
            <w:tcW w:w="904" w:type="pct"/>
            <w:tcBorders>
              <w:tl2br w:val="nil"/>
              <w:tr2bl w:val="nil"/>
            </w:tcBorders>
            <w:noWrap w:val="0"/>
            <w:vAlign w:val="center"/>
          </w:tcPr>
          <w:p w14:paraId="2D9756A6">
            <w:pPr>
              <w:pStyle w:val="563"/>
              <w:bidi w:val="0"/>
              <w:rPr>
                <w:rFonts w:hint="eastAsia"/>
                <w:color w:val="auto"/>
                <w:highlight w:val="none"/>
                <w:lang w:val="en-US" w:eastAsia="zh-CN"/>
              </w:rPr>
            </w:pPr>
            <w:r>
              <w:rPr>
                <w:rFonts w:hint="eastAsia"/>
                <w:color w:val="auto"/>
                <w:highlight w:val="none"/>
                <w:lang w:val="en-US" w:eastAsia="zh-CN"/>
              </w:rPr>
              <w:t>大孙郢</w:t>
            </w:r>
          </w:p>
        </w:tc>
        <w:tc>
          <w:tcPr>
            <w:tcW w:w="591" w:type="pct"/>
            <w:tcBorders>
              <w:tl2br w:val="nil"/>
              <w:tr2bl w:val="nil"/>
            </w:tcBorders>
            <w:noWrap w:val="0"/>
            <w:vAlign w:val="center"/>
          </w:tcPr>
          <w:p w14:paraId="426DE7F5">
            <w:pPr>
              <w:pStyle w:val="563"/>
              <w:bidi w:val="0"/>
              <w:rPr>
                <w:rFonts w:hint="eastAsia"/>
                <w:color w:val="auto"/>
                <w:highlight w:val="none"/>
                <w:lang w:val="en-US" w:eastAsia="zh-CN"/>
              </w:rPr>
            </w:pPr>
            <w:r>
              <w:rPr>
                <w:rFonts w:hint="eastAsia"/>
                <w:color w:val="auto"/>
                <w:highlight w:val="none"/>
                <w:lang w:val="en-US" w:eastAsia="zh-CN"/>
              </w:rPr>
              <w:t>116.97498</w:t>
            </w:r>
          </w:p>
        </w:tc>
        <w:tc>
          <w:tcPr>
            <w:tcW w:w="545" w:type="pct"/>
            <w:tcBorders>
              <w:tl2br w:val="nil"/>
              <w:tr2bl w:val="nil"/>
            </w:tcBorders>
            <w:noWrap w:val="0"/>
            <w:vAlign w:val="center"/>
          </w:tcPr>
          <w:p w14:paraId="1986E9A5">
            <w:pPr>
              <w:pStyle w:val="563"/>
              <w:bidi w:val="0"/>
              <w:rPr>
                <w:rFonts w:hint="eastAsia"/>
                <w:color w:val="auto"/>
                <w:highlight w:val="none"/>
                <w:lang w:val="en-US" w:eastAsia="zh-CN"/>
              </w:rPr>
            </w:pPr>
            <w:r>
              <w:rPr>
                <w:rFonts w:hint="eastAsia"/>
                <w:color w:val="auto"/>
                <w:highlight w:val="none"/>
                <w:lang w:val="en-US" w:eastAsia="zh-CN"/>
              </w:rPr>
              <w:t>32.506921</w:t>
            </w:r>
          </w:p>
        </w:tc>
        <w:tc>
          <w:tcPr>
            <w:tcW w:w="475" w:type="pct"/>
            <w:tcBorders>
              <w:tl2br w:val="nil"/>
              <w:tr2bl w:val="nil"/>
            </w:tcBorders>
            <w:noWrap w:val="0"/>
            <w:vAlign w:val="center"/>
          </w:tcPr>
          <w:p w14:paraId="05E28D1F">
            <w:pPr>
              <w:pStyle w:val="563"/>
              <w:bidi w:val="0"/>
              <w:rPr>
                <w:rFonts w:hint="eastAsia"/>
                <w:color w:val="auto"/>
                <w:highlight w:val="none"/>
                <w:lang w:val="en-US" w:eastAsia="zh-CN"/>
              </w:rPr>
            </w:pPr>
            <w:r>
              <w:rPr>
                <w:rFonts w:hint="eastAsia"/>
                <w:color w:val="auto"/>
                <w:highlight w:val="none"/>
                <w:lang w:val="en-US" w:eastAsia="zh-CN"/>
              </w:rPr>
              <w:t>40户/120人</w:t>
            </w:r>
          </w:p>
        </w:tc>
        <w:tc>
          <w:tcPr>
            <w:tcW w:w="775" w:type="pct"/>
            <w:vMerge w:val="continue"/>
            <w:tcBorders>
              <w:tl2br w:val="nil"/>
              <w:tr2bl w:val="nil"/>
            </w:tcBorders>
            <w:noWrap w:val="0"/>
            <w:vAlign w:val="center"/>
          </w:tcPr>
          <w:p w14:paraId="2E842F9C">
            <w:pPr>
              <w:pStyle w:val="563"/>
              <w:bidi w:val="0"/>
              <w:rPr>
                <w:rFonts w:hint="eastAsia"/>
                <w:color w:val="auto"/>
                <w:highlight w:val="none"/>
                <w:lang w:val="en-US" w:eastAsia="zh-CN"/>
              </w:rPr>
            </w:pPr>
          </w:p>
        </w:tc>
        <w:tc>
          <w:tcPr>
            <w:tcW w:w="817" w:type="pct"/>
            <w:tcBorders>
              <w:tl2br w:val="nil"/>
              <w:tr2bl w:val="nil"/>
            </w:tcBorders>
            <w:noWrap w:val="0"/>
            <w:vAlign w:val="center"/>
          </w:tcPr>
          <w:p w14:paraId="6C74C2BF">
            <w:pPr>
              <w:pStyle w:val="563"/>
              <w:bidi w:val="0"/>
              <w:rPr>
                <w:color w:val="auto"/>
                <w:highlight w:val="none"/>
              </w:rPr>
            </w:pPr>
            <w:r>
              <w:rPr>
                <w:rFonts w:hint="eastAsia"/>
                <w:color w:val="auto"/>
                <w:highlight w:val="none"/>
                <w:lang w:val="en-US" w:eastAsia="zh-CN"/>
              </w:rPr>
              <w:t>西南</w:t>
            </w:r>
          </w:p>
        </w:tc>
        <w:tc>
          <w:tcPr>
            <w:tcW w:w="559" w:type="pct"/>
            <w:tcBorders>
              <w:tl2br w:val="nil"/>
              <w:tr2bl w:val="nil"/>
            </w:tcBorders>
            <w:noWrap w:val="0"/>
            <w:vAlign w:val="center"/>
          </w:tcPr>
          <w:p w14:paraId="3D007B2D">
            <w:pPr>
              <w:pStyle w:val="563"/>
              <w:bidi w:val="0"/>
              <w:rPr>
                <w:rFonts w:hint="eastAsia"/>
                <w:color w:val="auto"/>
                <w:highlight w:val="none"/>
                <w:lang w:val="en-US" w:eastAsia="zh-CN"/>
              </w:rPr>
            </w:pPr>
            <w:r>
              <w:rPr>
                <w:rFonts w:hint="eastAsia"/>
                <w:color w:val="auto"/>
                <w:highlight w:val="none"/>
                <w:lang w:val="en-US" w:eastAsia="zh-CN"/>
              </w:rPr>
              <w:t>3174</w:t>
            </w:r>
          </w:p>
        </w:tc>
      </w:tr>
      <w:tr w14:paraId="404F6A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70BB5DAD">
            <w:pPr>
              <w:pStyle w:val="563"/>
              <w:bidi w:val="0"/>
              <w:rPr>
                <w:rFonts w:hint="eastAsia"/>
                <w:color w:val="auto"/>
                <w:highlight w:val="none"/>
                <w:lang w:val="en-US" w:eastAsia="zh-CN"/>
              </w:rPr>
            </w:pPr>
            <w:r>
              <w:rPr>
                <w:rFonts w:hint="eastAsia"/>
                <w:color w:val="auto"/>
                <w:highlight w:val="none"/>
                <w:lang w:val="en-US" w:eastAsia="zh-CN"/>
              </w:rPr>
              <w:t>24</w:t>
            </w:r>
          </w:p>
        </w:tc>
        <w:tc>
          <w:tcPr>
            <w:tcW w:w="904" w:type="pct"/>
            <w:tcBorders>
              <w:tl2br w:val="nil"/>
              <w:tr2bl w:val="nil"/>
            </w:tcBorders>
            <w:noWrap w:val="0"/>
            <w:vAlign w:val="center"/>
          </w:tcPr>
          <w:p w14:paraId="3392D8C5">
            <w:pPr>
              <w:pStyle w:val="563"/>
              <w:bidi w:val="0"/>
              <w:rPr>
                <w:rFonts w:hint="eastAsia"/>
                <w:color w:val="auto"/>
                <w:highlight w:val="none"/>
                <w:lang w:val="en-US" w:eastAsia="zh-CN"/>
              </w:rPr>
            </w:pPr>
            <w:r>
              <w:rPr>
                <w:rFonts w:hint="eastAsia"/>
                <w:color w:val="auto"/>
                <w:highlight w:val="none"/>
                <w:lang w:val="en-US" w:eastAsia="zh-CN"/>
              </w:rPr>
              <w:t>北小圩</w:t>
            </w:r>
          </w:p>
        </w:tc>
        <w:tc>
          <w:tcPr>
            <w:tcW w:w="591" w:type="pct"/>
            <w:tcBorders>
              <w:tl2br w:val="nil"/>
              <w:tr2bl w:val="nil"/>
            </w:tcBorders>
            <w:noWrap w:val="0"/>
            <w:vAlign w:val="center"/>
          </w:tcPr>
          <w:p w14:paraId="5061AEC9">
            <w:pPr>
              <w:pStyle w:val="563"/>
              <w:bidi w:val="0"/>
              <w:rPr>
                <w:rFonts w:hint="eastAsia"/>
                <w:color w:val="auto"/>
                <w:highlight w:val="none"/>
                <w:lang w:val="en-US" w:eastAsia="zh-CN"/>
              </w:rPr>
            </w:pPr>
            <w:r>
              <w:rPr>
                <w:rFonts w:hint="eastAsia"/>
                <w:color w:val="auto"/>
                <w:highlight w:val="none"/>
                <w:lang w:val="en-US" w:eastAsia="zh-CN"/>
              </w:rPr>
              <w:t>117.02366</w:t>
            </w:r>
          </w:p>
        </w:tc>
        <w:tc>
          <w:tcPr>
            <w:tcW w:w="545" w:type="pct"/>
            <w:tcBorders>
              <w:tl2br w:val="nil"/>
              <w:tr2bl w:val="nil"/>
            </w:tcBorders>
            <w:noWrap w:val="0"/>
            <w:vAlign w:val="center"/>
          </w:tcPr>
          <w:p w14:paraId="7B254276">
            <w:pPr>
              <w:pStyle w:val="563"/>
              <w:bidi w:val="0"/>
              <w:rPr>
                <w:rFonts w:hint="eastAsia"/>
                <w:color w:val="auto"/>
                <w:highlight w:val="none"/>
                <w:lang w:val="en-US" w:eastAsia="zh-CN"/>
              </w:rPr>
            </w:pPr>
            <w:r>
              <w:rPr>
                <w:rFonts w:hint="eastAsia"/>
                <w:color w:val="auto"/>
                <w:highlight w:val="none"/>
                <w:lang w:val="en-US" w:eastAsia="zh-CN"/>
              </w:rPr>
              <w:t>32.52568</w:t>
            </w:r>
          </w:p>
        </w:tc>
        <w:tc>
          <w:tcPr>
            <w:tcW w:w="475" w:type="pct"/>
            <w:tcBorders>
              <w:tl2br w:val="nil"/>
              <w:tr2bl w:val="nil"/>
            </w:tcBorders>
            <w:noWrap w:val="0"/>
            <w:vAlign w:val="center"/>
          </w:tcPr>
          <w:p w14:paraId="5EDD6F5E">
            <w:pPr>
              <w:pStyle w:val="563"/>
              <w:bidi w:val="0"/>
              <w:rPr>
                <w:rFonts w:hint="eastAsia"/>
                <w:color w:val="auto"/>
                <w:highlight w:val="none"/>
                <w:lang w:val="en-US" w:eastAsia="zh-CN"/>
              </w:rPr>
            </w:pPr>
            <w:r>
              <w:rPr>
                <w:rFonts w:hint="eastAsia"/>
                <w:color w:val="auto"/>
                <w:highlight w:val="none"/>
                <w:lang w:val="en-US" w:eastAsia="zh-CN"/>
              </w:rPr>
              <w:t>25户/75人</w:t>
            </w:r>
          </w:p>
        </w:tc>
        <w:tc>
          <w:tcPr>
            <w:tcW w:w="775" w:type="pct"/>
            <w:vMerge w:val="continue"/>
            <w:tcBorders>
              <w:tl2br w:val="nil"/>
              <w:tr2bl w:val="nil"/>
            </w:tcBorders>
            <w:noWrap w:val="0"/>
            <w:vAlign w:val="center"/>
          </w:tcPr>
          <w:p w14:paraId="0CAA5A9E">
            <w:pPr>
              <w:pStyle w:val="563"/>
              <w:bidi w:val="0"/>
              <w:rPr>
                <w:rFonts w:hint="eastAsia"/>
                <w:color w:val="auto"/>
                <w:highlight w:val="none"/>
                <w:lang w:val="en-US" w:eastAsia="zh-CN"/>
              </w:rPr>
            </w:pPr>
          </w:p>
        </w:tc>
        <w:tc>
          <w:tcPr>
            <w:tcW w:w="817" w:type="pct"/>
            <w:tcBorders>
              <w:tl2br w:val="nil"/>
              <w:tr2bl w:val="nil"/>
            </w:tcBorders>
            <w:noWrap w:val="0"/>
            <w:vAlign w:val="center"/>
          </w:tcPr>
          <w:p w14:paraId="19042C82">
            <w:pPr>
              <w:pStyle w:val="563"/>
              <w:bidi w:val="0"/>
              <w:rPr>
                <w:color w:val="auto"/>
                <w:highlight w:val="none"/>
              </w:rPr>
            </w:pPr>
            <w:r>
              <w:rPr>
                <w:rFonts w:hint="eastAsia"/>
                <w:color w:val="auto"/>
                <w:highlight w:val="none"/>
                <w:lang w:val="en-US" w:eastAsia="zh-CN"/>
              </w:rPr>
              <w:t>东</w:t>
            </w:r>
          </w:p>
        </w:tc>
        <w:tc>
          <w:tcPr>
            <w:tcW w:w="559" w:type="pct"/>
            <w:tcBorders>
              <w:tl2br w:val="nil"/>
              <w:tr2bl w:val="nil"/>
            </w:tcBorders>
            <w:noWrap w:val="0"/>
            <w:vAlign w:val="center"/>
          </w:tcPr>
          <w:p w14:paraId="3D925311">
            <w:pPr>
              <w:pStyle w:val="563"/>
              <w:bidi w:val="0"/>
              <w:rPr>
                <w:rFonts w:hint="eastAsia"/>
                <w:color w:val="auto"/>
                <w:highlight w:val="none"/>
                <w:lang w:val="en-US" w:eastAsia="zh-CN"/>
              </w:rPr>
            </w:pPr>
            <w:r>
              <w:rPr>
                <w:rFonts w:hint="eastAsia"/>
                <w:color w:val="auto"/>
                <w:highlight w:val="none"/>
                <w:lang w:val="en-US" w:eastAsia="zh-CN"/>
              </w:rPr>
              <w:t>1930</w:t>
            </w:r>
          </w:p>
        </w:tc>
      </w:tr>
      <w:tr w14:paraId="256C5E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257FB74B">
            <w:pPr>
              <w:pStyle w:val="563"/>
              <w:bidi w:val="0"/>
              <w:rPr>
                <w:rFonts w:hint="eastAsia"/>
                <w:color w:val="auto"/>
                <w:highlight w:val="none"/>
                <w:lang w:val="en-US" w:eastAsia="zh-CN"/>
              </w:rPr>
            </w:pPr>
            <w:r>
              <w:rPr>
                <w:rFonts w:hint="eastAsia"/>
                <w:color w:val="auto"/>
                <w:highlight w:val="none"/>
                <w:lang w:val="en-US" w:eastAsia="zh-CN"/>
              </w:rPr>
              <w:t>25</w:t>
            </w:r>
          </w:p>
        </w:tc>
        <w:tc>
          <w:tcPr>
            <w:tcW w:w="904" w:type="pct"/>
            <w:tcBorders>
              <w:tl2br w:val="nil"/>
              <w:tr2bl w:val="nil"/>
            </w:tcBorders>
            <w:noWrap w:val="0"/>
            <w:vAlign w:val="center"/>
          </w:tcPr>
          <w:p w14:paraId="770A202E">
            <w:pPr>
              <w:pStyle w:val="563"/>
              <w:bidi w:val="0"/>
              <w:rPr>
                <w:rFonts w:hint="eastAsia"/>
                <w:color w:val="auto"/>
                <w:highlight w:val="none"/>
                <w:lang w:val="en-US" w:eastAsia="zh-CN"/>
              </w:rPr>
            </w:pPr>
            <w:r>
              <w:rPr>
                <w:rFonts w:hint="eastAsia"/>
                <w:color w:val="auto"/>
                <w:highlight w:val="none"/>
                <w:lang w:val="en-US" w:eastAsia="zh-CN"/>
              </w:rPr>
              <w:t>柏圩</w:t>
            </w:r>
          </w:p>
        </w:tc>
        <w:tc>
          <w:tcPr>
            <w:tcW w:w="591" w:type="pct"/>
            <w:tcBorders>
              <w:tl2br w:val="nil"/>
              <w:tr2bl w:val="nil"/>
            </w:tcBorders>
            <w:noWrap w:val="0"/>
            <w:vAlign w:val="center"/>
          </w:tcPr>
          <w:p w14:paraId="7C3B8071">
            <w:pPr>
              <w:pStyle w:val="563"/>
              <w:bidi w:val="0"/>
              <w:rPr>
                <w:rFonts w:hint="eastAsia"/>
                <w:color w:val="auto"/>
                <w:highlight w:val="none"/>
                <w:lang w:val="en-US" w:eastAsia="zh-CN"/>
              </w:rPr>
            </w:pPr>
            <w:r>
              <w:rPr>
                <w:rFonts w:hint="eastAsia"/>
                <w:color w:val="auto"/>
                <w:highlight w:val="none"/>
                <w:lang w:val="en-US" w:eastAsia="zh-CN"/>
              </w:rPr>
              <w:t>116.99438</w:t>
            </w:r>
          </w:p>
        </w:tc>
        <w:tc>
          <w:tcPr>
            <w:tcW w:w="545" w:type="pct"/>
            <w:tcBorders>
              <w:tl2br w:val="nil"/>
              <w:tr2bl w:val="nil"/>
            </w:tcBorders>
            <w:noWrap w:val="0"/>
            <w:vAlign w:val="center"/>
          </w:tcPr>
          <w:p w14:paraId="7377197D">
            <w:pPr>
              <w:pStyle w:val="563"/>
              <w:bidi w:val="0"/>
              <w:rPr>
                <w:rFonts w:hint="eastAsia"/>
                <w:color w:val="auto"/>
                <w:highlight w:val="none"/>
                <w:lang w:val="en-US" w:eastAsia="zh-CN"/>
              </w:rPr>
            </w:pPr>
            <w:r>
              <w:rPr>
                <w:rFonts w:hint="eastAsia"/>
                <w:color w:val="auto"/>
                <w:highlight w:val="none"/>
                <w:lang w:val="en-US" w:eastAsia="zh-CN"/>
              </w:rPr>
              <w:t>32.50921</w:t>
            </w:r>
          </w:p>
        </w:tc>
        <w:tc>
          <w:tcPr>
            <w:tcW w:w="475" w:type="pct"/>
            <w:tcBorders>
              <w:tl2br w:val="nil"/>
              <w:tr2bl w:val="nil"/>
            </w:tcBorders>
            <w:noWrap w:val="0"/>
            <w:vAlign w:val="center"/>
          </w:tcPr>
          <w:p w14:paraId="4975D94B">
            <w:pPr>
              <w:pStyle w:val="563"/>
              <w:bidi w:val="0"/>
              <w:rPr>
                <w:rFonts w:hint="eastAsia"/>
                <w:color w:val="auto"/>
                <w:highlight w:val="none"/>
                <w:lang w:val="en-US" w:eastAsia="zh-CN"/>
              </w:rPr>
            </w:pPr>
            <w:r>
              <w:rPr>
                <w:rFonts w:hint="eastAsia"/>
                <w:color w:val="auto"/>
                <w:highlight w:val="none"/>
                <w:lang w:val="en-US" w:eastAsia="zh-CN"/>
              </w:rPr>
              <w:t>45户/135人</w:t>
            </w:r>
          </w:p>
        </w:tc>
        <w:tc>
          <w:tcPr>
            <w:tcW w:w="775" w:type="pct"/>
            <w:vMerge w:val="continue"/>
            <w:tcBorders>
              <w:tl2br w:val="nil"/>
              <w:tr2bl w:val="nil"/>
            </w:tcBorders>
            <w:noWrap w:val="0"/>
            <w:vAlign w:val="center"/>
          </w:tcPr>
          <w:p w14:paraId="55CF3430">
            <w:pPr>
              <w:pStyle w:val="563"/>
              <w:bidi w:val="0"/>
              <w:rPr>
                <w:rFonts w:hint="eastAsia"/>
                <w:color w:val="auto"/>
                <w:highlight w:val="none"/>
                <w:lang w:val="en-US" w:eastAsia="zh-CN"/>
              </w:rPr>
            </w:pPr>
          </w:p>
        </w:tc>
        <w:tc>
          <w:tcPr>
            <w:tcW w:w="817" w:type="pct"/>
            <w:tcBorders>
              <w:tl2br w:val="nil"/>
              <w:tr2bl w:val="nil"/>
            </w:tcBorders>
            <w:noWrap w:val="0"/>
            <w:vAlign w:val="center"/>
          </w:tcPr>
          <w:p w14:paraId="56AAEC74">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33380C9D">
            <w:pPr>
              <w:pStyle w:val="563"/>
              <w:bidi w:val="0"/>
              <w:rPr>
                <w:rFonts w:hint="eastAsia"/>
                <w:color w:val="auto"/>
                <w:highlight w:val="none"/>
                <w:lang w:val="en-US" w:eastAsia="zh-CN"/>
              </w:rPr>
            </w:pPr>
            <w:r>
              <w:rPr>
                <w:rFonts w:hint="eastAsia"/>
                <w:color w:val="auto"/>
                <w:highlight w:val="none"/>
                <w:lang w:val="en-US" w:eastAsia="zh-CN"/>
              </w:rPr>
              <w:t>1867</w:t>
            </w:r>
          </w:p>
        </w:tc>
      </w:tr>
      <w:tr w14:paraId="364755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709548B9">
            <w:pPr>
              <w:pStyle w:val="563"/>
              <w:bidi w:val="0"/>
              <w:rPr>
                <w:rFonts w:hint="eastAsia"/>
                <w:color w:val="auto"/>
                <w:highlight w:val="none"/>
                <w:lang w:val="en-US" w:eastAsia="zh-CN"/>
              </w:rPr>
            </w:pPr>
            <w:r>
              <w:rPr>
                <w:rFonts w:hint="eastAsia"/>
                <w:color w:val="auto"/>
                <w:highlight w:val="none"/>
                <w:lang w:val="en-US" w:eastAsia="zh-CN"/>
              </w:rPr>
              <w:t>26</w:t>
            </w:r>
          </w:p>
        </w:tc>
        <w:tc>
          <w:tcPr>
            <w:tcW w:w="904" w:type="pct"/>
            <w:tcBorders>
              <w:tl2br w:val="nil"/>
              <w:tr2bl w:val="nil"/>
            </w:tcBorders>
            <w:noWrap w:val="0"/>
            <w:vAlign w:val="center"/>
          </w:tcPr>
          <w:p w14:paraId="7CC2A40A">
            <w:pPr>
              <w:pStyle w:val="563"/>
              <w:bidi w:val="0"/>
              <w:rPr>
                <w:rFonts w:hint="eastAsia"/>
                <w:color w:val="auto"/>
                <w:highlight w:val="none"/>
                <w:lang w:val="en-US" w:eastAsia="zh-CN"/>
              </w:rPr>
            </w:pPr>
            <w:r>
              <w:rPr>
                <w:rFonts w:hint="eastAsia"/>
                <w:color w:val="auto"/>
                <w:highlight w:val="none"/>
                <w:lang w:val="en-US" w:eastAsia="zh-CN"/>
              </w:rPr>
              <w:t>田下郢</w:t>
            </w:r>
          </w:p>
        </w:tc>
        <w:tc>
          <w:tcPr>
            <w:tcW w:w="591" w:type="pct"/>
            <w:tcBorders>
              <w:tl2br w:val="nil"/>
              <w:tr2bl w:val="nil"/>
            </w:tcBorders>
            <w:noWrap w:val="0"/>
            <w:vAlign w:val="center"/>
          </w:tcPr>
          <w:p w14:paraId="3F336EBC">
            <w:pPr>
              <w:pStyle w:val="563"/>
              <w:bidi w:val="0"/>
              <w:rPr>
                <w:rFonts w:hint="eastAsia"/>
                <w:color w:val="auto"/>
                <w:highlight w:val="none"/>
                <w:lang w:val="en-US" w:eastAsia="zh-CN"/>
              </w:rPr>
            </w:pPr>
            <w:r>
              <w:rPr>
                <w:rFonts w:hint="eastAsia"/>
                <w:color w:val="auto"/>
                <w:highlight w:val="none"/>
                <w:lang w:val="en-US" w:eastAsia="zh-CN"/>
              </w:rPr>
              <w:t>117.02099</w:t>
            </w:r>
          </w:p>
        </w:tc>
        <w:tc>
          <w:tcPr>
            <w:tcW w:w="545" w:type="pct"/>
            <w:tcBorders>
              <w:tl2br w:val="nil"/>
              <w:tr2bl w:val="nil"/>
            </w:tcBorders>
            <w:noWrap w:val="0"/>
            <w:vAlign w:val="center"/>
          </w:tcPr>
          <w:p w14:paraId="630AA207">
            <w:pPr>
              <w:pStyle w:val="563"/>
              <w:bidi w:val="0"/>
              <w:rPr>
                <w:rFonts w:hint="eastAsia"/>
                <w:color w:val="auto"/>
                <w:highlight w:val="none"/>
                <w:lang w:val="en-US" w:eastAsia="zh-CN"/>
              </w:rPr>
            </w:pPr>
            <w:r>
              <w:rPr>
                <w:rFonts w:hint="eastAsia"/>
                <w:color w:val="auto"/>
                <w:highlight w:val="none"/>
                <w:lang w:val="en-US" w:eastAsia="zh-CN"/>
              </w:rPr>
              <w:t>32.517425</w:t>
            </w:r>
          </w:p>
        </w:tc>
        <w:tc>
          <w:tcPr>
            <w:tcW w:w="475" w:type="pct"/>
            <w:tcBorders>
              <w:tl2br w:val="nil"/>
              <w:tr2bl w:val="nil"/>
            </w:tcBorders>
            <w:noWrap w:val="0"/>
            <w:vAlign w:val="center"/>
          </w:tcPr>
          <w:p w14:paraId="330949DB">
            <w:pPr>
              <w:pStyle w:val="563"/>
              <w:bidi w:val="0"/>
              <w:rPr>
                <w:rFonts w:hint="eastAsia"/>
                <w:color w:val="auto"/>
                <w:highlight w:val="none"/>
                <w:lang w:val="en-US" w:eastAsia="zh-CN"/>
              </w:rPr>
            </w:pPr>
            <w:r>
              <w:rPr>
                <w:rFonts w:hint="eastAsia"/>
                <w:color w:val="auto"/>
                <w:highlight w:val="none"/>
                <w:lang w:val="en-US" w:eastAsia="zh-CN"/>
              </w:rPr>
              <w:t>10户/30人</w:t>
            </w:r>
          </w:p>
        </w:tc>
        <w:tc>
          <w:tcPr>
            <w:tcW w:w="775" w:type="pct"/>
            <w:vMerge w:val="continue"/>
            <w:tcBorders>
              <w:tl2br w:val="nil"/>
              <w:tr2bl w:val="nil"/>
            </w:tcBorders>
            <w:noWrap w:val="0"/>
            <w:vAlign w:val="center"/>
          </w:tcPr>
          <w:p w14:paraId="3289A279">
            <w:pPr>
              <w:pStyle w:val="563"/>
              <w:bidi w:val="0"/>
              <w:rPr>
                <w:rFonts w:hint="eastAsia"/>
                <w:color w:val="auto"/>
                <w:highlight w:val="none"/>
                <w:lang w:val="en-US" w:eastAsia="zh-CN"/>
              </w:rPr>
            </w:pPr>
          </w:p>
        </w:tc>
        <w:tc>
          <w:tcPr>
            <w:tcW w:w="817" w:type="pct"/>
            <w:tcBorders>
              <w:tl2br w:val="nil"/>
              <w:tr2bl w:val="nil"/>
            </w:tcBorders>
            <w:noWrap w:val="0"/>
            <w:vAlign w:val="center"/>
          </w:tcPr>
          <w:p w14:paraId="452BD178">
            <w:pPr>
              <w:pStyle w:val="563"/>
              <w:bidi w:val="0"/>
              <w:rPr>
                <w:color w:val="auto"/>
                <w:highlight w:val="none"/>
              </w:rPr>
            </w:pPr>
            <w:r>
              <w:rPr>
                <w:rFonts w:hint="eastAsia"/>
                <w:color w:val="auto"/>
                <w:highlight w:val="none"/>
                <w:lang w:val="en-US" w:eastAsia="zh-CN"/>
              </w:rPr>
              <w:t>东南</w:t>
            </w:r>
          </w:p>
        </w:tc>
        <w:tc>
          <w:tcPr>
            <w:tcW w:w="559" w:type="pct"/>
            <w:tcBorders>
              <w:tl2br w:val="nil"/>
              <w:tr2bl w:val="nil"/>
            </w:tcBorders>
            <w:noWrap w:val="0"/>
            <w:vAlign w:val="center"/>
          </w:tcPr>
          <w:p w14:paraId="47489467">
            <w:pPr>
              <w:pStyle w:val="563"/>
              <w:bidi w:val="0"/>
              <w:rPr>
                <w:rFonts w:hint="eastAsia"/>
                <w:color w:val="auto"/>
                <w:highlight w:val="none"/>
                <w:lang w:val="en-US" w:eastAsia="zh-CN"/>
              </w:rPr>
            </w:pPr>
            <w:r>
              <w:rPr>
                <w:rFonts w:hint="eastAsia"/>
                <w:color w:val="auto"/>
                <w:highlight w:val="none"/>
                <w:lang w:val="en-US" w:eastAsia="zh-CN"/>
              </w:rPr>
              <w:t>1896</w:t>
            </w:r>
          </w:p>
        </w:tc>
      </w:tr>
      <w:tr w14:paraId="3D2D39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6A1F4E19">
            <w:pPr>
              <w:pStyle w:val="563"/>
              <w:bidi w:val="0"/>
              <w:rPr>
                <w:rFonts w:hint="eastAsia"/>
                <w:color w:val="auto"/>
                <w:highlight w:val="none"/>
                <w:lang w:val="en-US" w:eastAsia="zh-CN"/>
              </w:rPr>
            </w:pPr>
            <w:r>
              <w:rPr>
                <w:rFonts w:hint="eastAsia"/>
                <w:color w:val="auto"/>
                <w:highlight w:val="none"/>
                <w:lang w:val="en-US" w:eastAsia="zh-CN"/>
              </w:rPr>
              <w:t>27</w:t>
            </w:r>
          </w:p>
        </w:tc>
        <w:tc>
          <w:tcPr>
            <w:tcW w:w="904" w:type="pct"/>
            <w:tcBorders>
              <w:tl2br w:val="nil"/>
              <w:tr2bl w:val="nil"/>
            </w:tcBorders>
            <w:noWrap w:val="0"/>
            <w:vAlign w:val="center"/>
          </w:tcPr>
          <w:p w14:paraId="1D8ECA27">
            <w:pPr>
              <w:pStyle w:val="563"/>
              <w:bidi w:val="0"/>
              <w:rPr>
                <w:rFonts w:hint="eastAsia"/>
                <w:color w:val="auto"/>
                <w:highlight w:val="none"/>
                <w:lang w:val="en-US" w:eastAsia="zh-CN"/>
              </w:rPr>
            </w:pPr>
            <w:r>
              <w:rPr>
                <w:rFonts w:hint="eastAsia"/>
                <w:color w:val="auto"/>
                <w:highlight w:val="none"/>
                <w:lang w:val="en-US" w:eastAsia="zh-CN"/>
              </w:rPr>
              <w:t>沈庄子</w:t>
            </w:r>
          </w:p>
        </w:tc>
        <w:tc>
          <w:tcPr>
            <w:tcW w:w="591" w:type="pct"/>
            <w:tcBorders>
              <w:tl2br w:val="nil"/>
              <w:tr2bl w:val="nil"/>
            </w:tcBorders>
            <w:noWrap w:val="0"/>
            <w:vAlign w:val="center"/>
          </w:tcPr>
          <w:p w14:paraId="5FBCABE2">
            <w:pPr>
              <w:pStyle w:val="563"/>
              <w:bidi w:val="0"/>
              <w:rPr>
                <w:rFonts w:hint="eastAsia"/>
                <w:color w:val="auto"/>
                <w:highlight w:val="none"/>
                <w:lang w:val="en-US" w:eastAsia="zh-CN"/>
              </w:rPr>
            </w:pPr>
            <w:r>
              <w:rPr>
                <w:rFonts w:hint="eastAsia"/>
                <w:color w:val="auto"/>
                <w:highlight w:val="none"/>
                <w:lang w:val="en-US" w:eastAsia="zh-CN"/>
              </w:rPr>
              <w:t>116.99544</w:t>
            </w:r>
          </w:p>
        </w:tc>
        <w:tc>
          <w:tcPr>
            <w:tcW w:w="545" w:type="pct"/>
            <w:tcBorders>
              <w:tl2br w:val="nil"/>
              <w:tr2bl w:val="nil"/>
            </w:tcBorders>
            <w:noWrap w:val="0"/>
            <w:vAlign w:val="center"/>
          </w:tcPr>
          <w:p w14:paraId="3253A47A">
            <w:pPr>
              <w:pStyle w:val="563"/>
              <w:bidi w:val="0"/>
              <w:rPr>
                <w:rFonts w:hint="eastAsia"/>
                <w:color w:val="auto"/>
                <w:highlight w:val="none"/>
                <w:lang w:val="en-US" w:eastAsia="zh-CN"/>
              </w:rPr>
            </w:pPr>
            <w:r>
              <w:rPr>
                <w:rFonts w:hint="eastAsia"/>
                <w:color w:val="auto"/>
                <w:highlight w:val="none"/>
                <w:lang w:val="en-US" w:eastAsia="zh-CN"/>
              </w:rPr>
              <w:t>32.523422</w:t>
            </w:r>
          </w:p>
        </w:tc>
        <w:tc>
          <w:tcPr>
            <w:tcW w:w="475" w:type="pct"/>
            <w:tcBorders>
              <w:tl2br w:val="nil"/>
              <w:tr2bl w:val="nil"/>
            </w:tcBorders>
            <w:noWrap w:val="0"/>
            <w:vAlign w:val="center"/>
          </w:tcPr>
          <w:p w14:paraId="0B15B084">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28D31224">
            <w:pPr>
              <w:pStyle w:val="563"/>
              <w:bidi w:val="0"/>
              <w:rPr>
                <w:rFonts w:hint="eastAsia"/>
                <w:color w:val="auto"/>
                <w:highlight w:val="none"/>
                <w:lang w:val="en-US" w:eastAsia="zh-CN"/>
              </w:rPr>
            </w:pPr>
          </w:p>
        </w:tc>
        <w:tc>
          <w:tcPr>
            <w:tcW w:w="817" w:type="pct"/>
            <w:tcBorders>
              <w:tl2br w:val="nil"/>
              <w:tr2bl w:val="nil"/>
            </w:tcBorders>
            <w:noWrap w:val="0"/>
            <w:vAlign w:val="center"/>
          </w:tcPr>
          <w:p w14:paraId="55FF2057">
            <w:pPr>
              <w:pStyle w:val="563"/>
              <w:bidi w:val="0"/>
              <w:rPr>
                <w:color w:val="auto"/>
                <w:highlight w:val="none"/>
              </w:rPr>
            </w:pPr>
            <w:r>
              <w:rPr>
                <w:rFonts w:hint="eastAsia"/>
                <w:color w:val="auto"/>
                <w:highlight w:val="none"/>
                <w:lang w:val="en-US" w:eastAsia="zh-CN"/>
              </w:rPr>
              <w:t>西南</w:t>
            </w:r>
          </w:p>
        </w:tc>
        <w:tc>
          <w:tcPr>
            <w:tcW w:w="559" w:type="pct"/>
            <w:tcBorders>
              <w:tl2br w:val="nil"/>
              <w:tr2bl w:val="nil"/>
            </w:tcBorders>
            <w:noWrap w:val="0"/>
            <w:vAlign w:val="center"/>
          </w:tcPr>
          <w:p w14:paraId="6C9F6832">
            <w:pPr>
              <w:pStyle w:val="563"/>
              <w:bidi w:val="0"/>
              <w:rPr>
                <w:rFonts w:hint="eastAsia"/>
                <w:color w:val="auto"/>
                <w:highlight w:val="none"/>
                <w:lang w:val="en-US" w:eastAsia="zh-CN"/>
              </w:rPr>
            </w:pPr>
            <w:r>
              <w:rPr>
                <w:rFonts w:hint="eastAsia"/>
                <w:color w:val="auto"/>
                <w:highlight w:val="none"/>
                <w:lang w:val="en-US" w:eastAsia="zh-CN"/>
              </w:rPr>
              <w:t>565</w:t>
            </w:r>
          </w:p>
        </w:tc>
      </w:tr>
      <w:tr w14:paraId="053317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6D2AC95A">
            <w:pPr>
              <w:pStyle w:val="563"/>
              <w:bidi w:val="0"/>
              <w:rPr>
                <w:rFonts w:hint="eastAsia"/>
                <w:color w:val="auto"/>
                <w:highlight w:val="none"/>
                <w:lang w:val="en-US" w:eastAsia="zh-CN"/>
              </w:rPr>
            </w:pPr>
            <w:r>
              <w:rPr>
                <w:rFonts w:hint="eastAsia"/>
                <w:color w:val="auto"/>
                <w:highlight w:val="none"/>
                <w:lang w:val="en-US" w:eastAsia="zh-CN"/>
              </w:rPr>
              <w:t>28</w:t>
            </w:r>
          </w:p>
        </w:tc>
        <w:tc>
          <w:tcPr>
            <w:tcW w:w="904" w:type="pct"/>
            <w:tcBorders>
              <w:tl2br w:val="nil"/>
              <w:tr2bl w:val="nil"/>
            </w:tcBorders>
            <w:noWrap w:val="0"/>
            <w:vAlign w:val="center"/>
          </w:tcPr>
          <w:p w14:paraId="43AB08AA">
            <w:pPr>
              <w:pStyle w:val="563"/>
              <w:bidi w:val="0"/>
              <w:rPr>
                <w:rFonts w:hint="eastAsia"/>
                <w:color w:val="auto"/>
                <w:highlight w:val="none"/>
                <w:lang w:val="en-US" w:eastAsia="zh-CN"/>
              </w:rPr>
            </w:pPr>
            <w:r>
              <w:rPr>
                <w:rFonts w:hint="eastAsia"/>
                <w:color w:val="auto"/>
                <w:highlight w:val="none"/>
                <w:lang w:val="en-US" w:eastAsia="zh-CN"/>
              </w:rPr>
              <w:t>徐郢</w:t>
            </w:r>
          </w:p>
        </w:tc>
        <w:tc>
          <w:tcPr>
            <w:tcW w:w="591" w:type="pct"/>
            <w:tcBorders>
              <w:tl2br w:val="nil"/>
              <w:tr2bl w:val="nil"/>
            </w:tcBorders>
            <w:noWrap w:val="0"/>
            <w:vAlign w:val="center"/>
          </w:tcPr>
          <w:p w14:paraId="317AB823">
            <w:pPr>
              <w:pStyle w:val="563"/>
              <w:bidi w:val="0"/>
              <w:rPr>
                <w:rFonts w:hint="eastAsia"/>
                <w:color w:val="auto"/>
                <w:highlight w:val="none"/>
                <w:lang w:val="en-US" w:eastAsia="zh-CN"/>
              </w:rPr>
            </w:pPr>
            <w:r>
              <w:rPr>
                <w:rFonts w:hint="eastAsia"/>
                <w:color w:val="auto"/>
                <w:highlight w:val="none"/>
                <w:lang w:val="en-US" w:eastAsia="zh-CN"/>
              </w:rPr>
              <w:t>117.00369</w:t>
            </w:r>
          </w:p>
        </w:tc>
        <w:tc>
          <w:tcPr>
            <w:tcW w:w="545" w:type="pct"/>
            <w:tcBorders>
              <w:tl2br w:val="nil"/>
              <w:tr2bl w:val="nil"/>
            </w:tcBorders>
            <w:noWrap w:val="0"/>
            <w:vAlign w:val="center"/>
          </w:tcPr>
          <w:p w14:paraId="3C673A80">
            <w:pPr>
              <w:pStyle w:val="563"/>
              <w:bidi w:val="0"/>
              <w:rPr>
                <w:rFonts w:hint="eastAsia"/>
                <w:color w:val="auto"/>
                <w:highlight w:val="none"/>
                <w:lang w:val="en-US" w:eastAsia="zh-CN"/>
              </w:rPr>
            </w:pPr>
            <w:r>
              <w:rPr>
                <w:rFonts w:hint="eastAsia"/>
                <w:color w:val="auto"/>
                <w:highlight w:val="none"/>
                <w:lang w:val="en-US" w:eastAsia="zh-CN"/>
              </w:rPr>
              <w:t>32.530949</w:t>
            </w:r>
          </w:p>
        </w:tc>
        <w:tc>
          <w:tcPr>
            <w:tcW w:w="475" w:type="pct"/>
            <w:tcBorders>
              <w:tl2br w:val="nil"/>
              <w:tr2bl w:val="nil"/>
            </w:tcBorders>
            <w:noWrap w:val="0"/>
            <w:vAlign w:val="center"/>
          </w:tcPr>
          <w:p w14:paraId="3E53E4C9">
            <w:pPr>
              <w:pStyle w:val="563"/>
              <w:bidi w:val="0"/>
              <w:rPr>
                <w:rFonts w:hint="eastAsia"/>
                <w:color w:val="auto"/>
                <w:highlight w:val="none"/>
                <w:lang w:val="en-US" w:eastAsia="zh-CN"/>
              </w:rPr>
            </w:pPr>
            <w:r>
              <w:rPr>
                <w:rFonts w:hint="eastAsia"/>
                <w:color w:val="auto"/>
                <w:highlight w:val="none"/>
                <w:lang w:val="en-US" w:eastAsia="zh-CN"/>
              </w:rPr>
              <w:t>120户/450人</w:t>
            </w:r>
          </w:p>
        </w:tc>
        <w:tc>
          <w:tcPr>
            <w:tcW w:w="775" w:type="pct"/>
            <w:vMerge w:val="continue"/>
            <w:tcBorders>
              <w:tl2br w:val="nil"/>
              <w:tr2bl w:val="nil"/>
            </w:tcBorders>
            <w:noWrap w:val="0"/>
            <w:vAlign w:val="center"/>
          </w:tcPr>
          <w:p w14:paraId="334F6B77">
            <w:pPr>
              <w:pStyle w:val="563"/>
              <w:bidi w:val="0"/>
              <w:rPr>
                <w:rFonts w:hint="eastAsia"/>
                <w:color w:val="auto"/>
                <w:highlight w:val="none"/>
                <w:lang w:val="en-US" w:eastAsia="zh-CN"/>
              </w:rPr>
            </w:pPr>
          </w:p>
        </w:tc>
        <w:tc>
          <w:tcPr>
            <w:tcW w:w="817" w:type="pct"/>
            <w:tcBorders>
              <w:tl2br w:val="nil"/>
              <w:tr2bl w:val="nil"/>
            </w:tcBorders>
            <w:noWrap w:val="0"/>
            <w:vAlign w:val="center"/>
          </w:tcPr>
          <w:p w14:paraId="3308EF2B">
            <w:pPr>
              <w:pStyle w:val="563"/>
              <w:bidi w:val="0"/>
              <w:rPr>
                <w:color w:val="auto"/>
                <w:highlight w:val="none"/>
              </w:rPr>
            </w:pPr>
            <w:r>
              <w:rPr>
                <w:rFonts w:hint="eastAsia"/>
                <w:color w:val="auto"/>
                <w:highlight w:val="none"/>
                <w:lang w:val="en-US" w:eastAsia="zh-CN"/>
              </w:rPr>
              <w:t>北</w:t>
            </w:r>
          </w:p>
        </w:tc>
        <w:tc>
          <w:tcPr>
            <w:tcW w:w="559" w:type="pct"/>
            <w:tcBorders>
              <w:tl2br w:val="nil"/>
              <w:tr2bl w:val="nil"/>
            </w:tcBorders>
            <w:noWrap w:val="0"/>
            <w:vAlign w:val="center"/>
          </w:tcPr>
          <w:p w14:paraId="03121D9A">
            <w:pPr>
              <w:pStyle w:val="563"/>
              <w:bidi w:val="0"/>
              <w:rPr>
                <w:rFonts w:hint="eastAsia"/>
                <w:color w:val="auto"/>
                <w:highlight w:val="none"/>
                <w:lang w:val="en-US" w:eastAsia="zh-CN"/>
              </w:rPr>
            </w:pPr>
            <w:r>
              <w:rPr>
                <w:rFonts w:hint="eastAsia"/>
                <w:color w:val="auto"/>
                <w:highlight w:val="none"/>
                <w:lang w:val="en-US" w:eastAsia="zh-CN"/>
              </w:rPr>
              <w:t>515</w:t>
            </w:r>
          </w:p>
        </w:tc>
      </w:tr>
      <w:tr w14:paraId="4A44A5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61A3C326">
            <w:pPr>
              <w:pStyle w:val="563"/>
              <w:bidi w:val="0"/>
              <w:rPr>
                <w:rFonts w:hint="eastAsia"/>
                <w:color w:val="auto"/>
                <w:highlight w:val="none"/>
                <w:lang w:val="en-US" w:eastAsia="zh-CN"/>
              </w:rPr>
            </w:pPr>
            <w:r>
              <w:rPr>
                <w:rFonts w:hint="eastAsia"/>
                <w:color w:val="auto"/>
                <w:highlight w:val="none"/>
                <w:lang w:val="en-US" w:eastAsia="zh-CN"/>
              </w:rPr>
              <w:t>29</w:t>
            </w:r>
          </w:p>
        </w:tc>
        <w:tc>
          <w:tcPr>
            <w:tcW w:w="904" w:type="pct"/>
            <w:tcBorders>
              <w:tl2br w:val="nil"/>
              <w:tr2bl w:val="nil"/>
            </w:tcBorders>
            <w:noWrap w:val="0"/>
            <w:vAlign w:val="center"/>
          </w:tcPr>
          <w:p w14:paraId="6C73A7B8">
            <w:pPr>
              <w:pStyle w:val="563"/>
              <w:bidi w:val="0"/>
              <w:rPr>
                <w:rFonts w:hint="eastAsia"/>
                <w:color w:val="auto"/>
                <w:highlight w:val="none"/>
                <w:lang w:val="en-US" w:eastAsia="zh-CN"/>
              </w:rPr>
            </w:pPr>
            <w:r>
              <w:rPr>
                <w:rFonts w:hint="eastAsia"/>
                <w:color w:val="auto"/>
                <w:highlight w:val="none"/>
                <w:lang w:val="en-US" w:eastAsia="zh-CN"/>
              </w:rPr>
              <w:t>横塘村</w:t>
            </w:r>
          </w:p>
        </w:tc>
        <w:tc>
          <w:tcPr>
            <w:tcW w:w="591" w:type="pct"/>
            <w:tcBorders>
              <w:tl2br w:val="nil"/>
              <w:tr2bl w:val="nil"/>
            </w:tcBorders>
            <w:noWrap w:val="0"/>
            <w:vAlign w:val="center"/>
          </w:tcPr>
          <w:p w14:paraId="4F706076">
            <w:pPr>
              <w:pStyle w:val="563"/>
              <w:bidi w:val="0"/>
              <w:rPr>
                <w:rFonts w:hint="eastAsia"/>
                <w:color w:val="auto"/>
                <w:highlight w:val="none"/>
                <w:lang w:val="en-US" w:eastAsia="zh-CN"/>
              </w:rPr>
            </w:pPr>
            <w:r>
              <w:rPr>
                <w:rFonts w:hint="eastAsia"/>
                <w:color w:val="auto"/>
                <w:highlight w:val="none"/>
                <w:lang w:val="en-US" w:eastAsia="zh-CN"/>
              </w:rPr>
              <w:t>117.00773</w:t>
            </w:r>
          </w:p>
        </w:tc>
        <w:tc>
          <w:tcPr>
            <w:tcW w:w="545" w:type="pct"/>
            <w:tcBorders>
              <w:tl2br w:val="nil"/>
              <w:tr2bl w:val="nil"/>
            </w:tcBorders>
            <w:noWrap w:val="0"/>
            <w:vAlign w:val="center"/>
          </w:tcPr>
          <w:p w14:paraId="7EF09BCD">
            <w:pPr>
              <w:pStyle w:val="563"/>
              <w:bidi w:val="0"/>
              <w:rPr>
                <w:rFonts w:hint="eastAsia"/>
                <w:color w:val="auto"/>
                <w:highlight w:val="none"/>
                <w:lang w:val="en-US" w:eastAsia="zh-CN"/>
              </w:rPr>
            </w:pPr>
            <w:r>
              <w:rPr>
                <w:rFonts w:hint="eastAsia"/>
                <w:color w:val="auto"/>
                <w:highlight w:val="none"/>
                <w:lang w:val="en-US" w:eastAsia="zh-CN"/>
              </w:rPr>
              <w:t>32.543381</w:t>
            </w:r>
          </w:p>
        </w:tc>
        <w:tc>
          <w:tcPr>
            <w:tcW w:w="475" w:type="pct"/>
            <w:tcBorders>
              <w:tl2br w:val="nil"/>
              <w:tr2bl w:val="nil"/>
            </w:tcBorders>
            <w:noWrap w:val="0"/>
            <w:vAlign w:val="center"/>
          </w:tcPr>
          <w:p w14:paraId="22BE6C72">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59FFF3F9">
            <w:pPr>
              <w:pStyle w:val="563"/>
              <w:bidi w:val="0"/>
              <w:rPr>
                <w:rFonts w:hint="eastAsia"/>
                <w:color w:val="auto"/>
                <w:highlight w:val="none"/>
                <w:lang w:val="en-US" w:eastAsia="zh-CN"/>
              </w:rPr>
            </w:pPr>
          </w:p>
        </w:tc>
        <w:tc>
          <w:tcPr>
            <w:tcW w:w="817" w:type="pct"/>
            <w:tcBorders>
              <w:tl2br w:val="nil"/>
              <w:tr2bl w:val="nil"/>
            </w:tcBorders>
            <w:noWrap w:val="0"/>
            <w:vAlign w:val="center"/>
          </w:tcPr>
          <w:p w14:paraId="3752091F">
            <w:pPr>
              <w:pStyle w:val="563"/>
              <w:bidi w:val="0"/>
              <w:rPr>
                <w:color w:val="auto"/>
                <w:highlight w:val="none"/>
              </w:rPr>
            </w:pPr>
            <w:r>
              <w:rPr>
                <w:rFonts w:hint="eastAsia"/>
                <w:color w:val="auto"/>
                <w:highlight w:val="none"/>
                <w:lang w:val="en-US" w:eastAsia="zh-CN"/>
              </w:rPr>
              <w:t>北</w:t>
            </w:r>
          </w:p>
        </w:tc>
        <w:tc>
          <w:tcPr>
            <w:tcW w:w="559" w:type="pct"/>
            <w:tcBorders>
              <w:tl2br w:val="nil"/>
              <w:tr2bl w:val="nil"/>
            </w:tcBorders>
            <w:noWrap w:val="0"/>
            <w:vAlign w:val="center"/>
          </w:tcPr>
          <w:p w14:paraId="6B53E753">
            <w:pPr>
              <w:pStyle w:val="563"/>
              <w:bidi w:val="0"/>
              <w:rPr>
                <w:rFonts w:hint="eastAsia"/>
                <w:color w:val="auto"/>
                <w:highlight w:val="none"/>
                <w:lang w:val="en-US" w:eastAsia="zh-CN"/>
              </w:rPr>
            </w:pPr>
            <w:r>
              <w:rPr>
                <w:rFonts w:hint="eastAsia"/>
                <w:color w:val="auto"/>
                <w:highlight w:val="none"/>
                <w:lang w:val="en-US" w:eastAsia="zh-CN"/>
              </w:rPr>
              <w:t>1948</w:t>
            </w:r>
          </w:p>
        </w:tc>
      </w:tr>
      <w:tr w14:paraId="112048D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1610D92">
            <w:pPr>
              <w:pStyle w:val="563"/>
              <w:bidi w:val="0"/>
              <w:rPr>
                <w:rFonts w:hint="eastAsia"/>
                <w:color w:val="auto"/>
                <w:highlight w:val="none"/>
                <w:lang w:val="en-US" w:eastAsia="zh-CN"/>
              </w:rPr>
            </w:pPr>
            <w:r>
              <w:rPr>
                <w:rFonts w:hint="eastAsia"/>
                <w:color w:val="auto"/>
                <w:highlight w:val="none"/>
                <w:lang w:val="en-US" w:eastAsia="zh-CN"/>
              </w:rPr>
              <w:t>30</w:t>
            </w:r>
          </w:p>
        </w:tc>
        <w:tc>
          <w:tcPr>
            <w:tcW w:w="904" w:type="pct"/>
            <w:tcBorders>
              <w:tl2br w:val="nil"/>
              <w:tr2bl w:val="nil"/>
            </w:tcBorders>
            <w:noWrap w:val="0"/>
            <w:vAlign w:val="center"/>
          </w:tcPr>
          <w:p w14:paraId="4EBDDEEF">
            <w:pPr>
              <w:pStyle w:val="563"/>
              <w:bidi w:val="0"/>
              <w:rPr>
                <w:rFonts w:hint="eastAsia"/>
                <w:color w:val="auto"/>
                <w:highlight w:val="none"/>
                <w:lang w:val="en-US" w:eastAsia="zh-CN"/>
              </w:rPr>
            </w:pPr>
            <w:r>
              <w:rPr>
                <w:rFonts w:hint="eastAsia"/>
                <w:color w:val="auto"/>
                <w:highlight w:val="none"/>
                <w:lang w:val="en-US" w:eastAsia="zh-CN"/>
              </w:rPr>
              <w:t>孤堆村</w:t>
            </w:r>
          </w:p>
        </w:tc>
        <w:tc>
          <w:tcPr>
            <w:tcW w:w="591" w:type="pct"/>
            <w:tcBorders>
              <w:tl2br w:val="nil"/>
              <w:tr2bl w:val="nil"/>
            </w:tcBorders>
            <w:noWrap w:val="0"/>
            <w:vAlign w:val="center"/>
          </w:tcPr>
          <w:p w14:paraId="5FC65795">
            <w:pPr>
              <w:pStyle w:val="563"/>
              <w:bidi w:val="0"/>
              <w:rPr>
                <w:rFonts w:hint="eastAsia"/>
                <w:color w:val="auto"/>
                <w:highlight w:val="none"/>
                <w:lang w:val="en-US" w:eastAsia="zh-CN"/>
              </w:rPr>
            </w:pPr>
            <w:r>
              <w:rPr>
                <w:rFonts w:hint="eastAsia"/>
                <w:color w:val="auto"/>
                <w:highlight w:val="none"/>
                <w:lang w:val="en-US" w:eastAsia="zh-CN"/>
              </w:rPr>
              <w:t>117.00958</w:t>
            </w:r>
          </w:p>
        </w:tc>
        <w:tc>
          <w:tcPr>
            <w:tcW w:w="545" w:type="pct"/>
            <w:tcBorders>
              <w:tl2br w:val="nil"/>
              <w:tr2bl w:val="nil"/>
            </w:tcBorders>
            <w:noWrap w:val="0"/>
            <w:vAlign w:val="center"/>
          </w:tcPr>
          <w:p w14:paraId="5C9B7A13">
            <w:pPr>
              <w:pStyle w:val="563"/>
              <w:bidi w:val="0"/>
              <w:rPr>
                <w:rFonts w:hint="eastAsia"/>
                <w:color w:val="auto"/>
                <w:highlight w:val="none"/>
                <w:lang w:val="en-US" w:eastAsia="zh-CN"/>
              </w:rPr>
            </w:pPr>
            <w:r>
              <w:rPr>
                <w:rFonts w:hint="eastAsia"/>
                <w:color w:val="auto"/>
                <w:highlight w:val="none"/>
                <w:lang w:val="en-US" w:eastAsia="zh-CN"/>
              </w:rPr>
              <w:t>32.508929</w:t>
            </w:r>
          </w:p>
        </w:tc>
        <w:tc>
          <w:tcPr>
            <w:tcW w:w="475" w:type="pct"/>
            <w:tcBorders>
              <w:tl2br w:val="nil"/>
              <w:tr2bl w:val="nil"/>
            </w:tcBorders>
            <w:noWrap w:val="0"/>
            <w:vAlign w:val="center"/>
          </w:tcPr>
          <w:p w14:paraId="7523860F">
            <w:pPr>
              <w:pStyle w:val="563"/>
              <w:bidi w:val="0"/>
              <w:rPr>
                <w:rFonts w:hint="eastAsia"/>
                <w:color w:val="auto"/>
                <w:highlight w:val="none"/>
                <w:lang w:val="en-US" w:eastAsia="zh-CN"/>
              </w:rPr>
            </w:pPr>
            <w:r>
              <w:rPr>
                <w:rFonts w:hint="eastAsia"/>
                <w:color w:val="auto"/>
                <w:highlight w:val="none"/>
                <w:lang w:val="en-US" w:eastAsia="zh-CN"/>
              </w:rPr>
              <w:t>250户/750人</w:t>
            </w:r>
          </w:p>
        </w:tc>
        <w:tc>
          <w:tcPr>
            <w:tcW w:w="775" w:type="pct"/>
            <w:vMerge w:val="continue"/>
            <w:tcBorders>
              <w:tl2br w:val="nil"/>
              <w:tr2bl w:val="nil"/>
            </w:tcBorders>
            <w:noWrap w:val="0"/>
            <w:vAlign w:val="center"/>
          </w:tcPr>
          <w:p w14:paraId="5BC33C96">
            <w:pPr>
              <w:pStyle w:val="563"/>
              <w:bidi w:val="0"/>
              <w:rPr>
                <w:rFonts w:hint="eastAsia"/>
                <w:color w:val="auto"/>
                <w:highlight w:val="none"/>
                <w:lang w:val="en-US" w:eastAsia="zh-CN"/>
              </w:rPr>
            </w:pPr>
          </w:p>
        </w:tc>
        <w:tc>
          <w:tcPr>
            <w:tcW w:w="817" w:type="pct"/>
            <w:tcBorders>
              <w:tl2br w:val="nil"/>
              <w:tr2bl w:val="nil"/>
            </w:tcBorders>
            <w:noWrap w:val="0"/>
            <w:vAlign w:val="center"/>
          </w:tcPr>
          <w:p w14:paraId="699C1192">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73CAA840">
            <w:pPr>
              <w:pStyle w:val="563"/>
              <w:bidi w:val="0"/>
              <w:rPr>
                <w:rFonts w:hint="eastAsia"/>
                <w:color w:val="auto"/>
                <w:highlight w:val="none"/>
                <w:lang w:val="en-US" w:eastAsia="zh-CN"/>
              </w:rPr>
            </w:pPr>
            <w:r>
              <w:rPr>
                <w:rFonts w:hint="eastAsia"/>
                <w:color w:val="auto"/>
                <w:highlight w:val="none"/>
                <w:lang w:val="en-US" w:eastAsia="zh-CN"/>
              </w:rPr>
              <w:t>1926</w:t>
            </w:r>
          </w:p>
        </w:tc>
      </w:tr>
      <w:tr w14:paraId="67F268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4CCE6F49">
            <w:pPr>
              <w:pStyle w:val="563"/>
              <w:bidi w:val="0"/>
              <w:rPr>
                <w:rFonts w:hint="eastAsia"/>
                <w:color w:val="auto"/>
                <w:highlight w:val="none"/>
                <w:lang w:val="en-US" w:eastAsia="zh-CN"/>
              </w:rPr>
            </w:pPr>
            <w:r>
              <w:rPr>
                <w:rFonts w:hint="eastAsia"/>
                <w:color w:val="auto"/>
                <w:highlight w:val="none"/>
                <w:lang w:val="en-US" w:eastAsia="zh-CN"/>
              </w:rPr>
              <w:t>31</w:t>
            </w:r>
          </w:p>
        </w:tc>
        <w:tc>
          <w:tcPr>
            <w:tcW w:w="904" w:type="pct"/>
            <w:tcBorders>
              <w:tl2br w:val="nil"/>
              <w:tr2bl w:val="nil"/>
            </w:tcBorders>
            <w:noWrap w:val="0"/>
            <w:vAlign w:val="center"/>
          </w:tcPr>
          <w:p w14:paraId="59CC22AE">
            <w:pPr>
              <w:pStyle w:val="563"/>
              <w:bidi w:val="0"/>
              <w:rPr>
                <w:rFonts w:hint="eastAsia"/>
                <w:color w:val="auto"/>
                <w:highlight w:val="none"/>
                <w:lang w:val="en-US" w:eastAsia="zh-CN"/>
              </w:rPr>
            </w:pPr>
            <w:r>
              <w:rPr>
                <w:rFonts w:hint="eastAsia"/>
                <w:color w:val="auto"/>
                <w:highlight w:val="none"/>
                <w:lang w:val="en-US" w:eastAsia="zh-CN"/>
              </w:rPr>
              <w:t>董郢</w:t>
            </w:r>
          </w:p>
        </w:tc>
        <w:tc>
          <w:tcPr>
            <w:tcW w:w="591" w:type="pct"/>
            <w:tcBorders>
              <w:tl2br w:val="nil"/>
              <w:tr2bl w:val="nil"/>
            </w:tcBorders>
            <w:noWrap w:val="0"/>
            <w:vAlign w:val="center"/>
          </w:tcPr>
          <w:p w14:paraId="0C53EC1B">
            <w:pPr>
              <w:pStyle w:val="563"/>
              <w:bidi w:val="0"/>
              <w:rPr>
                <w:rFonts w:hint="eastAsia"/>
                <w:color w:val="auto"/>
                <w:highlight w:val="none"/>
                <w:lang w:val="en-US" w:eastAsia="zh-CN"/>
              </w:rPr>
            </w:pPr>
            <w:r>
              <w:rPr>
                <w:rFonts w:hint="eastAsia"/>
                <w:color w:val="auto"/>
                <w:highlight w:val="none"/>
                <w:lang w:val="en-US" w:eastAsia="zh-CN"/>
              </w:rPr>
              <w:t>117.02758</w:t>
            </w:r>
          </w:p>
        </w:tc>
        <w:tc>
          <w:tcPr>
            <w:tcW w:w="545" w:type="pct"/>
            <w:tcBorders>
              <w:tl2br w:val="nil"/>
              <w:tr2bl w:val="nil"/>
            </w:tcBorders>
            <w:noWrap w:val="0"/>
            <w:vAlign w:val="center"/>
          </w:tcPr>
          <w:p w14:paraId="20D1386C">
            <w:pPr>
              <w:pStyle w:val="563"/>
              <w:bidi w:val="0"/>
              <w:rPr>
                <w:rFonts w:hint="eastAsia"/>
                <w:color w:val="auto"/>
                <w:highlight w:val="none"/>
                <w:lang w:val="en-US" w:eastAsia="zh-CN"/>
              </w:rPr>
            </w:pPr>
            <w:r>
              <w:rPr>
                <w:rFonts w:hint="eastAsia"/>
                <w:color w:val="auto"/>
                <w:highlight w:val="none"/>
                <w:lang w:val="en-US" w:eastAsia="zh-CN"/>
              </w:rPr>
              <w:t>32.527154</w:t>
            </w:r>
          </w:p>
        </w:tc>
        <w:tc>
          <w:tcPr>
            <w:tcW w:w="475" w:type="pct"/>
            <w:tcBorders>
              <w:tl2br w:val="nil"/>
              <w:tr2bl w:val="nil"/>
            </w:tcBorders>
            <w:noWrap w:val="0"/>
            <w:vAlign w:val="center"/>
          </w:tcPr>
          <w:p w14:paraId="1418C714">
            <w:pPr>
              <w:pStyle w:val="563"/>
              <w:bidi w:val="0"/>
              <w:rPr>
                <w:rFonts w:hint="eastAsia"/>
                <w:color w:val="auto"/>
                <w:highlight w:val="none"/>
                <w:lang w:val="en-US" w:eastAsia="zh-CN"/>
              </w:rPr>
            </w:pPr>
            <w:r>
              <w:rPr>
                <w:rFonts w:hint="eastAsia"/>
                <w:color w:val="auto"/>
                <w:highlight w:val="none"/>
                <w:lang w:val="en-US" w:eastAsia="zh-CN"/>
              </w:rPr>
              <w:t>10户/30人</w:t>
            </w:r>
          </w:p>
        </w:tc>
        <w:tc>
          <w:tcPr>
            <w:tcW w:w="775" w:type="pct"/>
            <w:vMerge w:val="continue"/>
            <w:tcBorders>
              <w:tl2br w:val="nil"/>
              <w:tr2bl w:val="nil"/>
            </w:tcBorders>
            <w:noWrap w:val="0"/>
            <w:vAlign w:val="center"/>
          </w:tcPr>
          <w:p w14:paraId="3086B48C">
            <w:pPr>
              <w:pStyle w:val="563"/>
              <w:bidi w:val="0"/>
              <w:rPr>
                <w:rFonts w:hint="eastAsia"/>
                <w:color w:val="auto"/>
                <w:highlight w:val="none"/>
                <w:lang w:val="en-US" w:eastAsia="zh-CN"/>
              </w:rPr>
            </w:pPr>
          </w:p>
        </w:tc>
        <w:tc>
          <w:tcPr>
            <w:tcW w:w="817" w:type="pct"/>
            <w:tcBorders>
              <w:tl2br w:val="nil"/>
              <w:tr2bl w:val="nil"/>
            </w:tcBorders>
            <w:noWrap w:val="0"/>
            <w:vAlign w:val="center"/>
          </w:tcPr>
          <w:p w14:paraId="64D7828F">
            <w:pPr>
              <w:pStyle w:val="563"/>
              <w:bidi w:val="0"/>
              <w:rPr>
                <w:color w:val="auto"/>
                <w:highlight w:val="none"/>
              </w:rPr>
            </w:pPr>
            <w:r>
              <w:rPr>
                <w:rFonts w:hint="eastAsia"/>
                <w:color w:val="auto"/>
                <w:highlight w:val="none"/>
                <w:lang w:val="en-US" w:eastAsia="zh-CN"/>
              </w:rPr>
              <w:t>东</w:t>
            </w:r>
          </w:p>
        </w:tc>
        <w:tc>
          <w:tcPr>
            <w:tcW w:w="559" w:type="pct"/>
            <w:tcBorders>
              <w:tl2br w:val="nil"/>
              <w:tr2bl w:val="nil"/>
            </w:tcBorders>
            <w:noWrap w:val="0"/>
            <w:vAlign w:val="center"/>
          </w:tcPr>
          <w:p w14:paraId="73D07AD5">
            <w:pPr>
              <w:pStyle w:val="563"/>
              <w:bidi w:val="0"/>
              <w:rPr>
                <w:rFonts w:hint="eastAsia"/>
                <w:color w:val="auto"/>
                <w:highlight w:val="none"/>
                <w:lang w:val="en-US" w:eastAsia="zh-CN"/>
              </w:rPr>
            </w:pPr>
            <w:r>
              <w:rPr>
                <w:rFonts w:hint="eastAsia"/>
                <w:color w:val="auto"/>
                <w:highlight w:val="none"/>
                <w:lang w:val="en-US" w:eastAsia="zh-CN"/>
              </w:rPr>
              <w:t>2305</w:t>
            </w:r>
          </w:p>
        </w:tc>
      </w:tr>
      <w:tr w14:paraId="1D3C96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246AEB48">
            <w:pPr>
              <w:pStyle w:val="563"/>
              <w:bidi w:val="0"/>
              <w:rPr>
                <w:rFonts w:hint="eastAsia"/>
                <w:color w:val="auto"/>
                <w:highlight w:val="none"/>
                <w:lang w:val="en-US" w:eastAsia="zh-CN"/>
              </w:rPr>
            </w:pPr>
            <w:r>
              <w:rPr>
                <w:rFonts w:hint="eastAsia"/>
                <w:color w:val="auto"/>
                <w:highlight w:val="none"/>
                <w:lang w:val="en-US" w:eastAsia="zh-CN"/>
              </w:rPr>
              <w:t>32</w:t>
            </w:r>
          </w:p>
        </w:tc>
        <w:tc>
          <w:tcPr>
            <w:tcW w:w="904" w:type="pct"/>
            <w:tcBorders>
              <w:tl2br w:val="nil"/>
              <w:tr2bl w:val="nil"/>
            </w:tcBorders>
            <w:noWrap w:val="0"/>
            <w:vAlign w:val="center"/>
          </w:tcPr>
          <w:p w14:paraId="4B6CBCFD">
            <w:pPr>
              <w:pStyle w:val="563"/>
              <w:bidi w:val="0"/>
              <w:rPr>
                <w:rFonts w:hint="eastAsia"/>
                <w:color w:val="auto"/>
                <w:highlight w:val="none"/>
                <w:lang w:val="en-US" w:eastAsia="zh-CN"/>
              </w:rPr>
            </w:pPr>
            <w:r>
              <w:rPr>
                <w:rFonts w:hint="eastAsia"/>
                <w:color w:val="auto"/>
                <w:highlight w:val="none"/>
                <w:lang w:val="en-US" w:eastAsia="zh-CN"/>
              </w:rPr>
              <w:t>王郢村</w:t>
            </w:r>
          </w:p>
        </w:tc>
        <w:tc>
          <w:tcPr>
            <w:tcW w:w="591" w:type="pct"/>
            <w:tcBorders>
              <w:tl2br w:val="nil"/>
              <w:tr2bl w:val="nil"/>
            </w:tcBorders>
            <w:noWrap w:val="0"/>
            <w:vAlign w:val="center"/>
          </w:tcPr>
          <w:p w14:paraId="0FC2059E">
            <w:pPr>
              <w:pStyle w:val="563"/>
              <w:bidi w:val="0"/>
              <w:rPr>
                <w:rFonts w:hint="eastAsia"/>
                <w:color w:val="auto"/>
                <w:highlight w:val="none"/>
                <w:lang w:val="en-US" w:eastAsia="zh-CN"/>
              </w:rPr>
            </w:pPr>
            <w:r>
              <w:rPr>
                <w:rFonts w:hint="eastAsia"/>
                <w:color w:val="auto"/>
                <w:highlight w:val="none"/>
                <w:lang w:val="en-US" w:eastAsia="zh-CN"/>
              </w:rPr>
              <w:t>117.004</w:t>
            </w:r>
          </w:p>
        </w:tc>
        <w:tc>
          <w:tcPr>
            <w:tcW w:w="545" w:type="pct"/>
            <w:tcBorders>
              <w:tl2br w:val="nil"/>
              <w:tr2bl w:val="nil"/>
            </w:tcBorders>
            <w:noWrap w:val="0"/>
            <w:vAlign w:val="center"/>
          </w:tcPr>
          <w:p w14:paraId="4BBBA705">
            <w:pPr>
              <w:pStyle w:val="563"/>
              <w:bidi w:val="0"/>
              <w:rPr>
                <w:rFonts w:hint="eastAsia"/>
                <w:color w:val="auto"/>
                <w:highlight w:val="none"/>
                <w:lang w:val="en-US" w:eastAsia="zh-CN"/>
              </w:rPr>
            </w:pPr>
            <w:r>
              <w:rPr>
                <w:rFonts w:hint="eastAsia"/>
                <w:color w:val="auto"/>
                <w:highlight w:val="none"/>
                <w:lang w:val="en-US" w:eastAsia="zh-CN"/>
              </w:rPr>
              <w:t>32.519659</w:t>
            </w:r>
          </w:p>
        </w:tc>
        <w:tc>
          <w:tcPr>
            <w:tcW w:w="475" w:type="pct"/>
            <w:tcBorders>
              <w:tl2br w:val="nil"/>
              <w:tr2bl w:val="nil"/>
            </w:tcBorders>
            <w:noWrap w:val="0"/>
            <w:vAlign w:val="center"/>
          </w:tcPr>
          <w:p w14:paraId="3B323B54">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5A702855">
            <w:pPr>
              <w:pStyle w:val="563"/>
              <w:bidi w:val="0"/>
              <w:rPr>
                <w:rFonts w:hint="eastAsia"/>
                <w:color w:val="auto"/>
                <w:highlight w:val="none"/>
                <w:lang w:val="en-US" w:eastAsia="zh-CN"/>
              </w:rPr>
            </w:pPr>
          </w:p>
        </w:tc>
        <w:tc>
          <w:tcPr>
            <w:tcW w:w="817" w:type="pct"/>
            <w:tcBorders>
              <w:tl2br w:val="nil"/>
              <w:tr2bl w:val="nil"/>
            </w:tcBorders>
            <w:noWrap w:val="0"/>
            <w:vAlign w:val="center"/>
          </w:tcPr>
          <w:p w14:paraId="43EBCA2F">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6C10AA89">
            <w:pPr>
              <w:pStyle w:val="563"/>
              <w:bidi w:val="0"/>
              <w:rPr>
                <w:rFonts w:hint="eastAsia"/>
                <w:color w:val="auto"/>
                <w:highlight w:val="none"/>
                <w:lang w:val="en-US" w:eastAsia="zh-CN"/>
              </w:rPr>
            </w:pPr>
            <w:r>
              <w:rPr>
                <w:rFonts w:hint="eastAsia"/>
                <w:color w:val="auto"/>
                <w:highlight w:val="none"/>
                <w:lang w:val="en-US" w:eastAsia="zh-CN"/>
              </w:rPr>
              <w:t>638</w:t>
            </w:r>
          </w:p>
        </w:tc>
      </w:tr>
      <w:tr w14:paraId="65B66DD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6D094665">
            <w:pPr>
              <w:pStyle w:val="563"/>
              <w:bidi w:val="0"/>
              <w:rPr>
                <w:rFonts w:hint="eastAsia"/>
                <w:color w:val="auto"/>
                <w:highlight w:val="none"/>
                <w:lang w:val="en-US" w:eastAsia="zh-CN"/>
              </w:rPr>
            </w:pPr>
            <w:r>
              <w:rPr>
                <w:rFonts w:hint="eastAsia"/>
                <w:color w:val="auto"/>
                <w:highlight w:val="none"/>
                <w:lang w:val="en-US" w:eastAsia="zh-CN"/>
              </w:rPr>
              <w:t>33</w:t>
            </w:r>
          </w:p>
        </w:tc>
        <w:tc>
          <w:tcPr>
            <w:tcW w:w="904" w:type="pct"/>
            <w:tcBorders>
              <w:tl2br w:val="nil"/>
              <w:tr2bl w:val="nil"/>
            </w:tcBorders>
            <w:noWrap w:val="0"/>
            <w:vAlign w:val="center"/>
          </w:tcPr>
          <w:p w14:paraId="1197F438">
            <w:pPr>
              <w:pStyle w:val="563"/>
              <w:bidi w:val="0"/>
              <w:rPr>
                <w:rFonts w:hint="eastAsia"/>
                <w:color w:val="auto"/>
                <w:highlight w:val="none"/>
                <w:lang w:val="en-US" w:eastAsia="zh-CN"/>
              </w:rPr>
            </w:pPr>
            <w:r>
              <w:rPr>
                <w:rFonts w:hint="eastAsia"/>
                <w:color w:val="auto"/>
                <w:highlight w:val="none"/>
                <w:lang w:val="en-US" w:eastAsia="zh-CN"/>
              </w:rPr>
              <w:t>前李家</w:t>
            </w:r>
          </w:p>
        </w:tc>
        <w:tc>
          <w:tcPr>
            <w:tcW w:w="591" w:type="pct"/>
            <w:tcBorders>
              <w:tl2br w:val="nil"/>
              <w:tr2bl w:val="nil"/>
            </w:tcBorders>
            <w:noWrap w:val="0"/>
            <w:vAlign w:val="center"/>
          </w:tcPr>
          <w:p w14:paraId="3F8F13A7">
            <w:pPr>
              <w:pStyle w:val="563"/>
              <w:bidi w:val="0"/>
              <w:rPr>
                <w:rFonts w:hint="eastAsia"/>
                <w:color w:val="auto"/>
                <w:highlight w:val="none"/>
                <w:lang w:val="en-US" w:eastAsia="zh-CN"/>
              </w:rPr>
            </w:pPr>
            <w:r>
              <w:rPr>
                <w:rFonts w:hint="eastAsia"/>
                <w:color w:val="auto"/>
                <w:highlight w:val="none"/>
                <w:lang w:val="en-US" w:eastAsia="zh-CN"/>
              </w:rPr>
              <w:t>116.99989</w:t>
            </w:r>
          </w:p>
        </w:tc>
        <w:tc>
          <w:tcPr>
            <w:tcW w:w="545" w:type="pct"/>
            <w:tcBorders>
              <w:tl2br w:val="nil"/>
              <w:tr2bl w:val="nil"/>
            </w:tcBorders>
            <w:noWrap w:val="0"/>
            <w:vAlign w:val="center"/>
          </w:tcPr>
          <w:p w14:paraId="35C00BC8">
            <w:pPr>
              <w:pStyle w:val="563"/>
              <w:bidi w:val="0"/>
              <w:rPr>
                <w:rFonts w:hint="eastAsia"/>
                <w:color w:val="auto"/>
                <w:highlight w:val="none"/>
                <w:lang w:val="en-US" w:eastAsia="zh-CN"/>
              </w:rPr>
            </w:pPr>
            <w:r>
              <w:rPr>
                <w:rFonts w:hint="eastAsia"/>
                <w:color w:val="auto"/>
                <w:highlight w:val="none"/>
                <w:lang w:val="en-US" w:eastAsia="zh-CN"/>
              </w:rPr>
              <w:t>32.506133</w:t>
            </w:r>
          </w:p>
        </w:tc>
        <w:tc>
          <w:tcPr>
            <w:tcW w:w="475" w:type="pct"/>
            <w:tcBorders>
              <w:tl2br w:val="nil"/>
              <w:tr2bl w:val="nil"/>
            </w:tcBorders>
            <w:noWrap w:val="0"/>
            <w:vAlign w:val="center"/>
          </w:tcPr>
          <w:p w14:paraId="72D12196">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0727607D">
            <w:pPr>
              <w:pStyle w:val="563"/>
              <w:bidi w:val="0"/>
              <w:rPr>
                <w:rFonts w:hint="eastAsia"/>
                <w:color w:val="auto"/>
                <w:highlight w:val="none"/>
                <w:lang w:val="en-US" w:eastAsia="zh-CN"/>
              </w:rPr>
            </w:pPr>
          </w:p>
        </w:tc>
        <w:tc>
          <w:tcPr>
            <w:tcW w:w="817" w:type="pct"/>
            <w:tcBorders>
              <w:tl2br w:val="nil"/>
              <w:tr2bl w:val="nil"/>
            </w:tcBorders>
            <w:noWrap w:val="0"/>
            <w:vAlign w:val="center"/>
          </w:tcPr>
          <w:p w14:paraId="30B85967">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2169C09D">
            <w:pPr>
              <w:pStyle w:val="563"/>
              <w:bidi w:val="0"/>
              <w:rPr>
                <w:rFonts w:hint="eastAsia"/>
                <w:color w:val="auto"/>
                <w:highlight w:val="none"/>
                <w:lang w:val="en-US" w:eastAsia="zh-CN"/>
              </w:rPr>
            </w:pPr>
            <w:r>
              <w:rPr>
                <w:rFonts w:hint="eastAsia"/>
                <w:color w:val="auto"/>
                <w:highlight w:val="none"/>
                <w:lang w:val="en-US" w:eastAsia="zh-CN"/>
              </w:rPr>
              <w:t>2101</w:t>
            </w:r>
          </w:p>
        </w:tc>
      </w:tr>
      <w:tr w14:paraId="5EEC1C7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25F8F1CF">
            <w:pPr>
              <w:pStyle w:val="563"/>
              <w:bidi w:val="0"/>
              <w:rPr>
                <w:rFonts w:hint="eastAsia"/>
                <w:color w:val="auto"/>
                <w:highlight w:val="none"/>
                <w:lang w:val="en-US" w:eastAsia="zh-CN"/>
              </w:rPr>
            </w:pPr>
            <w:r>
              <w:rPr>
                <w:rFonts w:hint="eastAsia"/>
                <w:color w:val="auto"/>
                <w:highlight w:val="none"/>
                <w:lang w:val="en-US" w:eastAsia="zh-CN"/>
              </w:rPr>
              <w:t>34</w:t>
            </w:r>
          </w:p>
        </w:tc>
        <w:tc>
          <w:tcPr>
            <w:tcW w:w="904" w:type="pct"/>
            <w:tcBorders>
              <w:tl2br w:val="nil"/>
              <w:tr2bl w:val="nil"/>
            </w:tcBorders>
            <w:noWrap w:val="0"/>
            <w:vAlign w:val="center"/>
          </w:tcPr>
          <w:p w14:paraId="773A2570">
            <w:pPr>
              <w:pStyle w:val="563"/>
              <w:bidi w:val="0"/>
              <w:rPr>
                <w:rFonts w:hint="eastAsia"/>
                <w:color w:val="auto"/>
                <w:highlight w:val="none"/>
                <w:lang w:val="en-US" w:eastAsia="zh-CN"/>
              </w:rPr>
            </w:pPr>
            <w:r>
              <w:rPr>
                <w:rFonts w:hint="eastAsia"/>
                <w:color w:val="auto"/>
                <w:highlight w:val="none"/>
                <w:lang w:val="en-US" w:eastAsia="zh-CN"/>
              </w:rPr>
              <w:t>杨公镇</w:t>
            </w:r>
          </w:p>
        </w:tc>
        <w:tc>
          <w:tcPr>
            <w:tcW w:w="591" w:type="pct"/>
            <w:tcBorders>
              <w:tl2br w:val="nil"/>
              <w:tr2bl w:val="nil"/>
            </w:tcBorders>
            <w:noWrap w:val="0"/>
            <w:vAlign w:val="center"/>
          </w:tcPr>
          <w:p w14:paraId="20C7D86A">
            <w:pPr>
              <w:pStyle w:val="563"/>
              <w:bidi w:val="0"/>
              <w:rPr>
                <w:rFonts w:hint="eastAsia"/>
                <w:color w:val="auto"/>
                <w:highlight w:val="none"/>
                <w:lang w:val="en-US" w:eastAsia="zh-CN"/>
              </w:rPr>
            </w:pPr>
            <w:r>
              <w:rPr>
                <w:rFonts w:hint="eastAsia"/>
                <w:color w:val="auto"/>
                <w:highlight w:val="none"/>
                <w:lang w:val="en-US" w:eastAsia="zh-CN"/>
              </w:rPr>
              <w:t>116.98315</w:t>
            </w:r>
          </w:p>
        </w:tc>
        <w:tc>
          <w:tcPr>
            <w:tcW w:w="545" w:type="pct"/>
            <w:tcBorders>
              <w:tl2br w:val="nil"/>
              <w:tr2bl w:val="nil"/>
            </w:tcBorders>
            <w:noWrap w:val="0"/>
            <w:vAlign w:val="center"/>
          </w:tcPr>
          <w:p w14:paraId="5B887956">
            <w:pPr>
              <w:pStyle w:val="563"/>
              <w:bidi w:val="0"/>
              <w:rPr>
                <w:rFonts w:hint="eastAsia"/>
                <w:color w:val="auto"/>
                <w:highlight w:val="none"/>
                <w:lang w:val="en-US" w:eastAsia="zh-CN"/>
              </w:rPr>
            </w:pPr>
            <w:r>
              <w:rPr>
                <w:rFonts w:hint="eastAsia"/>
                <w:color w:val="auto"/>
                <w:highlight w:val="none"/>
                <w:lang w:val="en-US" w:eastAsia="zh-CN"/>
              </w:rPr>
              <w:t>32.517242</w:t>
            </w:r>
          </w:p>
        </w:tc>
        <w:tc>
          <w:tcPr>
            <w:tcW w:w="475" w:type="pct"/>
            <w:tcBorders>
              <w:tl2br w:val="nil"/>
              <w:tr2bl w:val="nil"/>
            </w:tcBorders>
            <w:noWrap w:val="0"/>
            <w:vAlign w:val="center"/>
          </w:tcPr>
          <w:p w14:paraId="5BB42D52">
            <w:pPr>
              <w:pStyle w:val="563"/>
              <w:bidi w:val="0"/>
              <w:rPr>
                <w:rFonts w:hint="eastAsia"/>
                <w:color w:val="auto"/>
                <w:highlight w:val="none"/>
                <w:lang w:val="en-US" w:eastAsia="zh-CN"/>
              </w:rPr>
            </w:pPr>
            <w:r>
              <w:rPr>
                <w:rFonts w:hint="eastAsia"/>
                <w:color w:val="auto"/>
                <w:highlight w:val="none"/>
                <w:lang w:val="en-US" w:eastAsia="zh-CN"/>
              </w:rPr>
              <w:t>3000人</w:t>
            </w:r>
          </w:p>
        </w:tc>
        <w:tc>
          <w:tcPr>
            <w:tcW w:w="775" w:type="pct"/>
            <w:vMerge w:val="continue"/>
            <w:tcBorders>
              <w:tl2br w:val="nil"/>
              <w:tr2bl w:val="nil"/>
            </w:tcBorders>
            <w:noWrap w:val="0"/>
            <w:vAlign w:val="center"/>
          </w:tcPr>
          <w:p w14:paraId="02C20EE3">
            <w:pPr>
              <w:pStyle w:val="563"/>
              <w:bidi w:val="0"/>
              <w:rPr>
                <w:rFonts w:hint="eastAsia"/>
                <w:color w:val="auto"/>
                <w:highlight w:val="none"/>
                <w:lang w:val="en-US" w:eastAsia="zh-CN"/>
              </w:rPr>
            </w:pPr>
          </w:p>
        </w:tc>
        <w:tc>
          <w:tcPr>
            <w:tcW w:w="817" w:type="pct"/>
            <w:tcBorders>
              <w:tl2br w:val="nil"/>
              <w:tr2bl w:val="nil"/>
            </w:tcBorders>
            <w:noWrap w:val="0"/>
            <w:vAlign w:val="center"/>
          </w:tcPr>
          <w:p w14:paraId="749F74F7">
            <w:pPr>
              <w:pStyle w:val="563"/>
              <w:bidi w:val="0"/>
              <w:rPr>
                <w:color w:val="auto"/>
                <w:highlight w:val="none"/>
              </w:rPr>
            </w:pPr>
            <w:r>
              <w:rPr>
                <w:rFonts w:hint="eastAsia"/>
                <w:color w:val="auto"/>
                <w:highlight w:val="none"/>
                <w:lang w:val="en-US" w:eastAsia="zh-CN"/>
              </w:rPr>
              <w:t>西南</w:t>
            </w:r>
          </w:p>
        </w:tc>
        <w:tc>
          <w:tcPr>
            <w:tcW w:w="559" w:type="pct"/>
            <w:tcBorders>
              <w:tl2br w:val="nil"/>
              <w:tr2bl w:val="nil"/>
            </w:tcBorders>
            <w:noWrap w:val="0"/>
            <w:vAlign w:val="center"/>
          </w:tcPr>
          <w:p w14:paraId="3D4EF1A7">
            <w:pPr>
              <w:pStyle w:val="563"/>
              <w:bidi w:val="0"/>
              <w:rPr>
                <w:rFonts w:hint="eastAsia"/>
                <w:color w:val="auto"/>
                <w:highlight w:val="none"/>
                <w:lang w:val="en-US" w:eastAsia="zh-CN"/>
              </w:rPr>
            </w:pPr>
            <w:r>
              <w:rPr>
                <w:rFonts w:hint="eastAsia"/>
                <w:color w:val="auto"/>
                <w:highlight w:val="none"/>
                <w:lang w:val="en-US" w:eastAsia="zh-CN"/>
              </w:rPr>
              <w:t>1898</w:t>
            </w:r>
          </w:p>
        </w:tc>
      </w:tr>
      <w:tr w14:paraId="2E373B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75F1B753">
            <w:pPr>
              <w:pStyle w:val="563"/>
              <w:bidi w:val="0"/>
              <w:rPr>
                <w:rFonts w:hint="eastAsia"/>
                <w:color w:val="auto"/>
                <w:highlight w:val="none"/>
                <w:lang w:val="en-US" w:eastAsia="zh-CN"/>
              </w:rPr>
            </w:pPr>
            <w:r>
              <w:rPr>
                <w:rFonts w:hint="eastAsia"/>
                <w:color w:val="auto"/>
                <w:highlight w:val="none"/>
                <w:lang w:val="en-US" w:eastAsia="zh-CN"/>
              </w:rPr>
              <w:t>35</w:t>
            </w:r>
          </w:p>
        </w:tc>
        <w:tc>
          <w:tcPr>
            <w:tcW w:w="904" w:type="pct"/>
            <w:tcBorders>
              <w:tl2br w:val="nil"/>
              <w:tr2bl w:val="nil"/>
            </w:tcBorders>
            <w:noWrap w:val="0"/>
            <w:vAlign w:val="center"/>
          </w:tcPr>
          <w:p w14:paraId="6F684072">
            <w:pPr>
              <w:pStyle w:val="563"/>
              <w:bidi w:val="0"/>
              <w:rPr>
                <w:rFonts w:hint="eastAsia"/>
                <w:color w:val="auto"/>
                <w:highlight w:val="none"/>
                <w:lang w:val="en-US" w:eastAsia="zh-CN"/>
              </w:rPr>
            </w:pPr>
            <w:r>
              <w:rPr>
                <w:rFonts w:hint="eastAsia"/>
                <w:color w:val="auto"/>
                <w:highlight w:val="none"/>
                <w:lang w:val="en-US" w:eastAsia="zh-CN"/>
              </w:rPr>
              <w:t>姜家岗</w:t>
            </w:r>
          </w:p>
        </w:tc>
        <w:tc>
          <w:tcPr>
            <w:tcW w:w="591" w:type="pct"/>
            <w:tcBorders>
              <w:tl2br w:val="nil"/>
              <w:tr2bl w:val="nil"/>
            </w:tcBorders>
            <w:noWrap w:val="0"/>
            <w:vAlign w:val="center"/>
          </w:tcPr>
          <w:p w14:paraId="5ED05B4E">
            <w:pPr>
              <w:pStyle w:val="563"/>
              <w:bidi w:val="0"/>
              <w:rPr>
                <w:rFonts w:hint="eastAsia"/>
                <w:color w:val="auto"/>
                <w:highlight w:val="none"/>
                <w:lang w:val="en-US" w:eastAsia="zh-CN"/>
              </w:rPr>
            </w:pPr>
            <w:r>
              <w:rPr>
                <w:rFonts w:hint="eastAsia"/>
                <w:color w:val="auto"/>
                <w:highlight w:val="none"/>
                <w:lang w:val="en-US" w:eastAsia="zh-CN"/>
              </w:rPr>
              <w:t>117.00154</w:t>
            </w:r>
          </w:p>
        </w:tc>
        <w:tc>
          <w:tcPr>
            <w:tcW w:w="545" w:type="pct"/>
            <w:tcBorders>
              <w:tl2br w:val="nil"/>
              <w:tr2bl w:val="nil"/>
            </w:tcBorders>
            <w:noWrap w:val="0"/>
            <w:vAlign w:val="center"/>
          </w:tcPr>
          <w:p w14:paraId="39D99C1D">
            <w:pPr>
              <w:pStyle w:val="563"/>
              <w:bidi w:val="0"/>
              <w:rPr>
                <w:rFonts w:hint="eastAsia"/>
                <w:color w:val="auto"/>
                <w:highlight w:val="none"/>
                <w:lang w:val="en-US" w:eastAsia="zh-CN"/>
              </w:rPr>
            </w:pPr>
            <w:r>
              <w:rPr>
                <w:rFonts w:hint="eastAsia"/>
                <w:color w:val="auto"/>
                <w:highlight w:val="none"/>
                <w:lang w:val="en-US" w:eastAsia="zh-CN"/>
              </w:rPr>
              <w:t>32.513724</w:t>
            </w:r>
          </w:p>
        </w:tc>
        <w:tc>
          <w:tcPr>
            <w:tcW w:w="475" w:type="pct"/>
            <w:tcBorders>
              <w:tl2br w:val="nil"/>
              <w:tr2bl w:val="nil"/>
            </w:tcBorders>
            <w:noWrap w:val="0"/>
            <w:vAlign w:val="center"/>
          </w:tcPr>
          <w:p w14:paraId="2B98D2FD">
            <w:pPr>
              <w:pStyle w:val="563"/>
              <w:bidi w:val="0"/>
              <w:rPr>
                <w:rFonts w:hint="eastAsia"/>
                <w:color w:val="auto"/>
                <w:highlight w:val="none"/>
                <w:lang w:val="en-US" w:eastAsia="zh-CN"/>
              </w:rPr>
            </w:pPr>
            <w:r>
              <w:rPr>
                <w:rFonts w:hint="eastAsia"/>
                <w:color w:val="auto"/>
                <w:highlight w:val="none"/>
                <w:lang w:val="en-US" w:eastAsia="zh-CN"/>
              </w:rPr>
              <w:t>35户/90人</w:t>
            </w:r>
          </w:p>
        </w:tc>
        <w:tc>
          <w:tcPr>
            <w:tcW w:w="775" w:type="pct"/>
            <w:vMerge w:val="continue"/>
            <w:tcBorders>
              <w:tl2br w:val="nil"/>
              <w:tr2bl w:val="nil"/>
            </w:tcBorders>
            <w:noWrap w:val="0"/>
            <w:vAlign w:val="center"/>
          </w:tcPr>
          <w:p w14:paraId="10E1EE2F">
            <w:pPr>
              <w:pStyle w:val="563"/>
              <w:bidi w:val="0"/>
              <w:rPr>
                <w:rFonts w:hint="eastAsia"/>
                <w:color w:val="auto"/>
                <w:highlight w:val="none"/>
                <w:lang w:val="en-US" w:eastAsia="zh-CN"/>
              </w:rPr>
            </w:pPr>
          </w:p>
        </w:tc>
        <w:tc>
          <w:tcPr>
            <w:tcW w:w="817" w:type="pct"/>
            <w:tcBorders>
              <w:tl2br w:val="nil"/>
              <w:tr2bl w:val="nil"/>
            </w:tcBorders>
            <w:noWrap w:val="0"/>
            <w:vAlign w:val="center"/>
          </w:tcPr>
          <w:p w14:paraId="4CFB9D8A">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5BE80891">
            <w:pPr>
              <w:pStyle w:val="563"/>
              <w:bidi w:val="0"/>
              <w:rPr>
                <w:rFonts w:hint="eastAsia"/>
                <w:color w:val="auto"/>
                <w:highlight w:val="none"/>
                <w:lang w:val="en-US" w:eastAsia="zh-CN"/>
              </w:rPr>
            </w:pPr>
            <w:r>
              <w:rPr>
                <w:rFonts w:hint="eastAsia"/>
                <w:color w:val="auto"/>
                <w:highlight w:val="none"/>
                <w:lang w:val="en-US" w:eastAsia="zh-CN"/>
              </w:rPr>
              <w:t>1254</w:t>
            </w:r>
          </w:p>
        </w:tc>
      </w:tr>
      <w:tr w14:paraId="5D295B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0B849D71">
            <w:pPr>
              <w:pStyle w:val="563"/>
              <w:bidi w:val="0"/>
              <w:rPr>
                <w:rFonts w:hint="eastAsia"/>
                <w:color w:val="auto"/>
                <w:highlight w:val="none"/>
                <w:lang w:val="en-US" w:eastAsia="zh-CN"/>
              </w:rPr>
            </w:pPr>
            <w:r>
              <w:rPr>
                <w:rFonts w:hint="eastAsia"/>
                <w:color w:val="auto"/>
                <w:highlight w:val="none"/>
                <w:lang w:val="en-US" w:eastAsia="zh-CN"/>
              </w:rPr>
              <w:t>36</w:t>
            </w:r>
          </w:p>
        </w:tc>
        <w:tc>
          <w:tcPr>
            <w:tcW w:w="904" w:type="pct"/>
            <w:tcBorders>
              <w:tl2br w:val="nil"/>
              <w:tr2bl w:val="nil"/>
            </w:tcBorders>
            <w:noWrap w:val="0"/>
            <w:vAlign w:val="center"/>
          </w:tcPr>
          <w:p w14:paraId="40B2D763">
            <w:pPr>
              <w:pStyle w:val="563"/>
              <w:bidi w:val="0"/>
              <w:rPr>
                <w:rFonts w:hint="eastAsia"/>
                <w:color w:val="auto"/>
                <w:highlight w:val="none"/>
                <w:lang w:val="en-US" w:eastAsia="zh-CN"/>
              </w:rPr>
            </w:pPr>
            <w:r>
              <w:rPr>
                <w:rFonts w:hint="eastAsia"/>
                <w:color w:val="auto"/>
                <w:highlight w:val="none"/>
                <w:lang w:val="en-US" w:eastAsia="zh-CN"/>
              </w:rPr>
              <w:t>王郢</w:t>
            </w:r>
          </w:p>
        </w:tc>
        <w:tc>
          <w:tcPr>
            <w:tcW w:w="591" w:type="pct"/>
            <w:tcBorders>
              <w:tl2br w:val="nil"/>
              <w:tr2bl w:val="nil"/>
            </w:tcBorders>
            <w:noWrap w:val="0"/>
            <w:vAlign w:val="center"/>
          </w:tcPr>
          <w:p w14:paraId="2DD347BD">
            <w:pPr>
              <w:pStyle w:val="563"/>
              <w:bidi w:val="0"/>
              <w:rPr>
                <w:rFonts w:hint="eastAsia"/>
                <w:color w:val="auto"/>
                <w:highlight w:val="none"/>
                <w:lang w:val="en-US" w:eastAsia="zh-CN"/>
              </w:rPr>
            </w:pPr>
            <w:r>
              <w:rPr>
                <w:rFonts w:hint="eastAsia"/>
                <w:color w:val="auto"/>
                <w:highlight w:val="none"/>
                <w:lang w:val="en-US" w:eastAsia="zh-CN"/>
              </w:rPr>
              <w:t>116.98609</w:t>
            </w:r>
          </w:p>
        </w:tc>
        <w:tc>
          <w:tcPr>
            <w:tcW w:w="545" w:type="pct"/>
            <w:tcBorders>
              <w:tl2br w:val="nil"/>
              <w:tr2bl w:val="nil"/>
            </w:tcBorders>
            <w:noWrap w:val="0"/>
            <w:vAlign w:val="center"/>
          </w:tcPr>
          <w:p w14:paraId="2954582E">
            <w:pPr>
              <w:pStyle w:val="563"/>
              <w:bidi w:val="0"/>
              <w:rPr>
                <w:rFonts w:hint="eastAsia"/>
                <w:color w:val="auto"/>
                <w:highlight w:val="none"/>
                <w:lang w:val="en-US" w:eastAsia="zh-CN"/>
              </w:rPr>
            </w:pPr>
            <w:r>
              <w:rPr>
                <w:rFonts w:hint="eastAsia"/>
                <w:color w:val="auto"/>
                <w:highlight w:val="none"/>
                <w:lang w:val="en-US" w:eastAsia="zh-CN"/>
              </w:rPr>
              <w:t>32.528769</w:t>
            </w:r>
          </w:p>
        </w:tc>
        <w:tc>
          <w:tcPr>
            <w:tcW w:w="475" w:type="pct"/>
            <w:tcBorders>
              <w:tl2br w:val="nil"/>
              <w:tr2bl w:val="nil"/>
            </w:tcBorders>
            <w:noWrap w:val="0"/>
            <w:vAlign w:val="center"/>
          </w:tcPr>
          <w:p w14:paraId="099BB7F8">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67F55688">
            <w:pPr>
              <w:pStyle w:val="563"/>
              <w:bidi w:val="0"/>
              <w:rPr>
                <w:rFonts w:hint="eastAsia"/>
                <w:color w:val="auto"/>
                <w:highlight w:val="none"/>
                <w:lang w:val="en-US" w:eastAsia="zh-CN"/>
              </w:rPr>
            </w:pPr>
          </w:p>
        </w:tc>
        <w:tc>
          <w:tcPr>
            <w:tcW w:w="817" w:type="pct"/>
            <w:tcBorders>
              <w:tl2br w:val="nil"/>
              <w:tr2bl w:val="nil"/>
            </w:tcBorders>
            <w:noWrap w:val="0"/>
            <w:vAlign w:val="center"/>
          </w:tcPr>
          <w:p w14:paraId="27EC76DC">
            <w:pPr>
              <w:pStyle w:val="563"/>
              <w:bidi w:val="0"/>
              <w:rPr>
                <w:color w:val="auto"/>
                <w:highlight w:val="none"/>
              </w:rPr>
            </w:pPr>
            <w:r>
              <w:rPr>
                <w:rFonts w:hint="eastAsia"/>
                <w:color w:val="auto"/>
                <w:highlight w:val="none"/>
                <w:lang w:val="en-US" w:eastAsia="zh-CN"/>
              </w:rPr>
              <w:t>西</w:t>
            </w:r>
          </w:p>
        </w:tc>
        <w:tc>
          <w:tcPr>
            <w:tcW w:w="559" w:type="pct"/>
            <w:tcBorders>
              <w:tl2br w:val="nil"/>
              <w:tr2bl w:val="nil"/>
            </w:tcBorders>
            <w:noWrap w:val="0"/>
            <w:vAlign w:val="center"/>
          </w:tcPr>
          <w:p w14:paraId="02418CAF">
            <w:pPr>
              <w:pStyle w:val="563"/>
              <w:bidi w:val="0"/>
              <w:rPr>
                <w:rFonts w:hint="eastAsia"/>
                <w:color w:val="auto"/>
                <w:highlight w:val="none"/>
                <w:lang w:val="en-US" w:eastAsia="zh-CN"/>
              </w:rPr>
            </w:pPr>
            <w:r>
              <w:rPr>
                <w:rFonts w:hint="eastAsia"/>
                <w:color w:val="auto"/>
                <w:highlight w:val="none"/>
                <w:lang w:val="en-US" w:eastAsia="zh-CN"/>
              </w:rPr>
              <w:t>1406</w:t>
            </w:r>
          </w:p>
        </w:tc>
      </w:tr>
      <w:tr w14:paraId="7EC8CB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6E41CEEF">
            <w:pPr>
              <w:pStyle w:val="563"/>
              <w:bidi w:val="0"/>
              <w:rPr>
                <w:rFonts w:hint="eastAsia"/>
                <w:color w:val="auto"/>
                <w:highlight w:val="none"/>
                <w:lang w:val="en-US" w:eastAsia="zh-CN"/>
              </w:rPr>
            </w:pPr>
            <w:r>
              <w:rPr>
                <w:rFonts w:hint="eastAsia"/>
                <w:color w:val="auto"/>
                <w:highlight w:val="none"/>
                <w:lang w:val="en-US" w:eastAsia="zh-CN"/>
              </w:rPr>
              <w:t>37</w:t>
            </w:r>
          </w:p>
        </w:tc>
        <w:tc>
          <w:tcPr>
            <w:tcW w:w="904" w:type="pct"/>
            <w:tcBorders>
              <w:tl2br w:val="nil"/>
              <w:tr2bl w:val="nil"/>
            </w:tcBorders>
            <w:noWrap w:val="0"/>
            <w:vAlign w:val="center"/>
          </w:tcPr>
          <w:p w14:paraId="158F0893">
            <w:pPr>
              <w:pStyle w:val="563"/>
              <w:bidi w:val="0"/>
              <w:rPr>
                <w:rFonts w:hint="eastAsia"/>
                <w:color w:val="auto"/>
                <w:highlight w:val="none"/>
                <w:lang w:val="en-US" w:eastAsia="zh-CN"/>
              </w:rPr>
            </w:pPr>
            <w:r>
              <w:rPr>
                <w:rFonts w:hint="eastAsia"/>
                <w:color w:val="auto"/>
                <w:highlight w:val="none"/>
                <w:lang w:val="en-US" w:eastAsia="zh-CN"/>
              </w:rPr>
              <w:t>吴老圩</w:t>
            </w:r>
          </w:p>
        </w:tc>
        <w:tc>
          <w:tcPr>
            <w:tcW w:w="591" w:type="pct"/>
            <w:tcBorders>
              <w:tl2br w:val="nil"/>
              <w:tr2bl w:val="nil"/>
            </w:tcBorders>
            <w:noWrap w:val="0"/>
            <w:vAlign w:val="center"/>
          </w:tcPr>
          <w:p w14:paraId="5A0F2CC8">
            <w:pPr>
              <w:pStyle w:val="563"/>
              <w:bidi w:val="0"/>
              <w:rPr>
                <w:rFonts w:hint="eastAsia"/>
                <w:color w:val="auto"/>
                <w:highlight w:val="none"/>
                <w:lang w:val="en-US" w:eastAsia="zh-CN"/>
              </w:rPr>
            </w:pPr>
            <w:r>
              <w:rPr>
                <w:rFonts w:hint="eastAsia"/>
                <w:color w:val="auto"/>
                <w:highlight w:val="none"/>
                <w:lang w:val="en-US" w:eastAsia="zh-CN"/>
              </w:rPr>
              <w:t>117.02341</w:t>
            </w:r>
          </w:p>
        </w:tc>
        <w:tc>
          <w:tcPr>
            <w:tcW w:w="545" w:type="pct"/>
            <w:tcBorders>
              <w:tl2br w:val="nil"/>
              <w:tr2bl w:val="nil"/>
            </w:tcBorders>
            <w:noWrap w:val="0"/>
            <w:vAlign w:val="center"/>
          </w:tcPr>
          <w:p w14:paraId="27DEB6BD">
            <w:pPr>
              <w:pStyle w:val="563"/>
              <w:bidi w:val="0"/>
              <w:rPr>
                <w:rFonts w:hint="eastAsia"/>
                <w:color w:val="auto"/>
                <w:highlight w:val="none"/>
                <w:lang w:val="en-US" w:eastAsia="zh-CN"/>
              </w:rPr>
            </w:pPr>
            <w:r>
              <w:rPr>
                <w:rFonts w:hint="eastAsia"/>
                <w:color w:val="auto"/>
                <w:highlight w:val="none"/>
                <w:lang w:val="en-US" w:eastAsia="zh-CN"/>
              </w:rPr>
              <w:t>32.541613</w:t>
            </w:r>
          </w:p>
        </w:tc>
        <w:tc>
          <w:tcPr>
            <w:tcW w:w="475" w:type="pct"/>
            <w:tcBorders>
              <w:tl2br w:val="nil"/>
              <w:tr2bl w:val="nil"/>
            </w:tcBorders>
            <w:noWrap w:val="0"/>
            <w:vAlign w:val="center"/>
          </w:tcPr>
          <w:p w14:paraId="3A73CC93">
            <w:pPr>
              <w:pStyle w:val="563"/>
              <w:bidi w:val="0"/>
              <w:rPr>
                <w:rFonts w:hint="eastAsia"/>
                <w:color w:val="auto"/>
                <w:highlight w:val="none"/>
                <w:lang w:val="en-US" w:eastAsia="zh-CN"/>
              </w:rPr>
            </w:pPr>
            <w:r>
              <w:rPr>
                <w:rFonts w:hint="eastAsia"/>
                <w:color w:val="auto"/>
                <w:highlight w:val="none"/>
                <w:lang w:val="en-US" w:eastAsia="zh-CN"/>
              </w:rPr>
              <w:t>10户/30人</w:t>
            </w:r>
          </w:p>
        </w:tc>
        <w:tc>
          <w:tcPr>
            <w:tcW w:w="775" w:type="pct"/>
            <w:vMerge w:val="continue"/>
            <w:tcBorders>
              <w:tl2br w:val="nil"/>
              <w:tr2bl w:val="nil"/>
            </w:tcBorders>
            <w:noWrap w:val="0"/>
            <w:vAlign w:val="center"/>
          </w:tcPr>
          <w:p w14:paraId="6822B5CC">
            <w:pPr>
              <w:pStyle w:val="563"/>
              <w:bidi w:val="0"/>
              <w:rPr>
                <w:rFonts w:hint="eastAsia"/>
                <w:color w:val="auto"/>
                <w:highlight w:val="none"/>
                <w:lang w:val="en-US" w:eastAsia="zh-CN"/>
              </w:rPr>
            </w:pPr>
          </w:p>
        </w:tc>
        <w:tc>
          <w:tcPr>
            <w:tcW w:w="817" w:type="pct"/>
            <w:tcBorders>
              <w:tl2br w:val="nil"/>
              <w:tr2bl w:val="nil"/>
            </w:tcBorders>
            <w:noWrap w:val="0"/>
            <w:vAlign w:val="center"/>
          </w:tcPr>
          <w:p w14:paraId="364A3D6D">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39C4B446">
            <w:pPr>
              <w:pStyle w:val="563"/>
              <w:bidi w:val="0"/>
              <w:rPr>
                <w:rFonts w:hint="eastAsia"/>
                <w:color w:val="auto"/>
                <w:highlight w:val="none"/>
                <w:lang w:val="en-US" w:eastAsia="zh-CN"/>
              </w:rPr>
            </w:pPr>
            <w:r>
              <w:rPr>
                <w:rFonts w:hint="eastAsia"/>
                <w:color w:val="auto"/>
                <w:highlight w:val="none"/>
                <w:lang w:val="en-US" w:eastAsia="zh-CN"/>
              </w:rPr>
              <w:t>2586</w:t>
            </w:r>
          </w:p>
        </w:tc>
      </w:tr>
      <w:tr w14:paraId="002C1AD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2DA3025">
            <w:pPr>
              <w:pStyle w:val="563"/>
              <w:bidi w:val="0"/>
              <w:rPr>
                <w:rFonts w:hint="eastAsia"/>
                <w:color w:val="auto"/>
                <w:highlight w:val="none"/>
                <w:lang w:val="en-US" w:eastAsia="zh-CN"/>
              </w:rPr>
            </w:pPr>
            <w:r>
              <w:rPr>
                <w:rFonts w:hint="eastAsia"/>
                <w:color w:val="auto"/>
                <w:highlight w:val="none"/>
                <w:lang w:val="en-US" w:eastAsia="zh-CN"/>
              </w:rPr>
              <w:t>38</w:t>
            </w:r>
          </w:p>
        </w:tc>
        <w:tc>
          <w:tcPr>
            <w:tcW w:w="904" w:type="pct"/>
            <w:tcBorders>
              <w:tl2br w:val="nil"/>
              <w:tr2bl w:val="nil"/>
            </w:tcBorders>
            <w:noWrap w:val="0"/>
            <w:vAlign w:val="center"/>
          </w:tcPr>
          <w:p w14:paraId="59C709D8">
            <w:pPr>
              <w:pStyle w:val="563"/>
              <w:bidi w:val="0"/>
              <w:rPr>
                <w:rFonts w:hint="eastAsia"/>
                <w:color w:val="auto"/>
                <w:highlight w:val="none"/>
                <w:lang w:val="en-US" w:eastAsia="zh-CN"/>
              </w:rPr>
            </w:pPr>
            <w:r>
              <w:rPr>
                <w:rFonts w:hint="eastAsia"/>
                <w:color w:val="auto"/>
                <w:highlight w:val="none"/>
                <w:lang w:val="en-US" w:eastAsia="zh-CN"/>
              </w:rPr>
              <w:t>杨楼村</w:t>
            </w:r>
          </w:p>
        </w:tc>
        <w:tc>
          <w:tcPr>
            <w:tcW w:w="591" w:type="pct"/>
            <w:tcBorders>
              <w:tl2br w:val="nil"/>
              <w:tr2bl w:val="nil"/>
            </w:tcBorders>
            <w:noWrap w:val="0"/>
            <w:vAlign w:val="center"/>
          </w:tcPr>
          <w:p w14:paraId="62B8444F">
            <w:pPr>
              <w:pStyle w:val="563"/>
              <w:bidi w:val="0"/>
              <w:rPr>
                <w:rFonts w:hint="eastAsia"/>
                <w:color w:val="auto"/>
                <w:highlight w:val="none"/>
                <w:lang w:val="en-US" w:eastAsia="zh-CN"/>
              </w:rPr>
            </w:pPr>
            <w:r>
              <w:rPr>
                <w:rFonts w:hint="eastAsia"/>
                <w:color w:val="auto"/>
                <w:highlight w:val="none"/>
                <w:lang w:val="en-US" w:eastAsia="zh-CN"/>
              </w:rPr>
              <w:t>117.01826</w:t>
            </w:r>
          </w:p>
        </w:tc>
        <w:tc>
          <w:tcPr>
            <w:tcW w:w="545" w:type="pct"/>
            <w:tcBorders>
              <w:tl2br w:val="nil"/>
              <w:tr2bl w:val="nil"/>
            </w:tcBorders>
            <w:noWrap w:val="0"/>
            <w:vAlign w:val="center"/>
          </w:tcPr>
          <w:p w14:paraId="0B2FE935">
            <w:pPr>
              <w:pStyle w:val="563"/>
              <w:bidi w:val="0"/>
              <w:rPr>
                <w:rFonts w:hint="eastAsia"/>
                <w:color w:val="auto"/>
                <w:highlight w:val="none"/>
                <w:lang w:val="en-US" w:eastAsia="zh-CN"/>
              </w:rPr>
            </w:pPr>
            <w:r>
              <w:rPr>
                <w:rFonts w:hint="eastAsia"/>
                <w:color w:val="auto"/>
                <w:highlight w:val="none"/>
                <w:lang w:val="en-US" w:eastAsia="zh-CN"/>
              </w:rPr>
              <w:t>32.515362</w:t>
            </w:r>
          </w:p>
        </w:tc>
        <w:tc>
          <w:tcPr>
            <w:tcW w:w="475" w:type="pct"/>
            <w:tcBorders>
              <w:tl2br w:val="nil"/>
              <w:tr2bl w:val="nil"/>
            </w:tcBorders>
            <w:noWrap w:val="0"/>
            <w:vAlign w:val="center"/>
          </w:tcPr>
          <w:p w14:paraId="41259BFA">
            <w:pPr>
              <w:pStyle w:val="563"/>
              <w:bidi w:val="0"/>
              <w:rPr>
                <w:rFonts w:hint="eastAsia"/>
                <w:color w:val="auto"/>
                <w:highlight w:val="none"/>
                <w:lang w:val="en-US" w:eastAsia="zh-CN"/>
              </w:rPr>
            </w:pPr>
            <w:r>
              <w:rPr>
                <w:rFonts w:hint="eastAsia"/>
                <w:color w:val="auto"/>
                <w:highlight w:val="none"/>
                <w:lang w:val="en-US" w:eastAsia="zh-CN"/>
              </w:rPr>
              <w:t>10户/30人</w:t>
            </w:r>
          </w:p>
        </w:tc>
        <w:tc>
          <w:tcPr>
            <w:tcW w:w="775" w:type="pct"/>
            <w:vMerge w:val="continue"/>
            <w:tcBorders>
              <w:tl2br w:val="nil"/>
              <w:tr2bl w:val="nil"/>
            </w:tcBorders>
            <w:noWrap w:val="0"/>
            <w:vAlign w:val="center"/>
          </w:tcPr>
          <w:p w14:paraId="5D01BDE1">
            <w:pPr>
              <w:pStyle w:val="563"/>
              <w:bidi w:val="0"/>
              <w:rPr>
                <w:rFonts w:hint="eastAsia"/>
                <w:color w:val="auto"/>
                <w:highlight w:val="none"/>
                <w:lang w:val="en-US" w:eastAsia="zh-CN"/>
              </w:rPr>
            </w:pPr>
          </w:p>
        </w:tc>
        <w:tc>
          <w:tcPr>
            <w:tcW w:w="817" w:type="pct"/>
            <w:tcBorders>
              <w:tl2br w:val="nil"/>
              <w:tr2bl w:val="nil"/>
            </w:tcBorders>
            <w:noWrap w:val="0"/>
            <w:vAlign w:val="center"/>
          </w:tcPr>
          <w:p w14:paraId="4FEE82D0">
            <w:pPr>
              <w:pStyle w:val="563"/>
              <w:bidi w:val="0"/>
              <w:rPr>
                <w:color w:val="auto"/>
                <w:highlight w:val="none"/>
              </w:rPr>
            </w:pPr>
            <w:r>
              <w:rPr>
                <w:rFonts w:hint="eastAsia"/>
                <w:color w:val="auto"/>
                <w:highlight w:val="none"/>
                <w:lang w:val="en-US" w:eastAsia="zh-CN"/>
              </w:rPr>
              <w:t>东南</w:t>
            </w:r>
          </w:p>
        </w:tc>
        <w:tc>
          <w:tcPr>
            <w:tcW w:w="559" w:type="pct"/>
            <w:tcBorders>
              <w:tl2br w:val="nil"/>
              <w:tr2bl w:val="nil"/>
            </w:tcBorders>
            <w:noWrap w:val="0"/>
            <w:vAlign w:val="center"/>
          </w:tcPr>
          <w:p w14:paraId="70A8982B">
            <w:pPr>
              <w:pStyle w:val="563"/>
              <w:bidi w:val="0"/>
              <w:rPr>
                <w:rFonts w:hint="eastAsia"/>
                <w:color w:val="auto"/>
                <w:highlight w:val="none"/>
                <w:lang w:val="en-US" w:eastAsia="zh-CN"/>
              </w:rPr>
            </w:pPr>
            <w:r>
              <w:rPr>
                <w:rFonts w:hint="eastAsia"/>
                <w:color w:val="auto"/>
                <w:highlight w:val="none"/>
                <w:lang w:val="en-US" w:eastAsia="zh-CN"/>
              </w:rPr>
              <w:t>1806</w:t>
            </w:r>
          </w:p>
        </w:tc>
      </w:tr>
      <w:tr w14:paraId="72A225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39116A8A">
            <w:pPr>
              <w:pStyle w:val="563"/>
              <w:bidi w:val="0"/>
              <w:rPr>
                <w:rFonts w:hint="eastAsia"/>
                <w:color w:val="auto"/>
                <w:highlight w:val="none"/>
                <w:lang w:val="en-US" w:eastAsia="zh-CN"/>
              </w:rPr>
            </w:pPr>
            <w:r>
              <w:rPr>
                <w:rFonts w:hint="eastAsia"/>
                <w:color w:val="auto"/>
                <w:highlight w:val="none"/>
                <w:lang w:val="en-US" w:eastAsia="zh-CN"/>
              </w:rPr>
              <w:t>39</w:t>
            </w:r>
          </w:p>
        </w:tc>
        <w:tc>
          <w:tcPr>
            <w:tcW w:w="904" w:type="pct"/>
            <w:tcBorders>
              <w:tl2br w:val="nil"/>
              <w:tr2bl w:val="nil"/>
            </w:tcBorders>
            <w:noWrap w:val="0"/>
            <w:vAlign w:val="center"/>
          </w:tcPr>
          <w:p w14:paraId="4DA7362F">
            <w:pPr>
              <w:pStyle w:val="563"/>
              <w:bidi w:val="0"/>
              <w:rPr>
                <w:rFonts w:hint="eastAsia"/>
                <w:color w:val="auto"/>
                <w:highlight w:val="none"/>
                <w:lang w:val="en-US" w:eastAsia="zh-CN"/>
              </w:rPr>
            </w:pPr>
            <w:r>
              <w:rPr>
                <w:rFonts w:hint="eastAsia"/>
                <w:color w:val="auto"/>
                <w:highlight w:val="none"/>
                <w:lang w:val="en-US" w:eastAsia="zh-CN"/>
              </w:rPr>
              <w:t>姚郢</w:t>
            </w:r>
          </w:p>
        </w:tc>
        <w:tc>
          <w:tcPr>
            <w:tcW w:w="591" w:type="pct"/>
            <w:tcBorders>
              <w:tl2br w:val="nil"/>
              <w:tr2bl w:val="nil"/>
            </w:tcBorders>
            <w:noWrap w:val="0"/>
            <w:vAlign w:val="center"/>
          </w:tcPr>
          <w:p w14:paraId="6489C774">
            <w:pPr>
              <w:pStyle w:val="563"/>
              <w:bidi w:val="0"/>
              <w:rPr>
                <w:rFonts w:hint="eastAsia"/>
                <w:color w:val="auto"/>
                <w:highlight w:val="none"/>
                <w:lang w:val="en-US" w:eastAsia="zh-CN"/>
              </w:rPr>
            </w:pPr>
            <w:r>
              <w:rPr>
                <w:rFonts w:hint="eastAsia"/>
                <w:color w:val="auto"/>
                <w:highlight w:val="none"/>
                <w:lang w:val="en-US" w:eastAsia="zh-CN"/>
              </w:rPr>
              <w:t>117.01581</w:t>
            </w:r>
          </w:p>
        </w:tc>
        <w:tc>
          <w:tcPr>
            <w:tcW w:w="545" w:type="pct"/>
            <w:tcBorders>
              <w:tl2br w:val="nil"/>
              <w:tr2bl w:val="nil"/>
            </w:tcBorders>
            <w:noWrap w:val="0"/>
            <w:vAlign w:val="center"/>
          </w:tcPr>
          <w:p w14:paraId="6D29367A">
            <w:pPr>
              <w:pStyle w:val="563"/>
              <w:bidi w:val="0"/>
              <w:rPr>
                <w:rFonts w:hint="eastAsia"/>
                <w:color w:val="auto"/>
                <w:highlight w:val="none"/>
                <w:lang w:val="en-US" w:eastAsia="zh-CN"/>
              </w:rPr>
            </w:pPr>
            <w:r>
              <w:rPr>
                <w:rFonts w:hint="eastAsia"/>
                <w:color w:val="auto"/>
                <w:highlight w:val="none"/>
                <w:lang w:val="en-US" w:eastAsia="zh-CN"/>
              </w:rPr>
              <w:t>32.51519</w:t>
            </w:r>
          </w:p>
        </w:tc>
        <w:tc>
          <w:tcPr>
            <w:tcW w:w="475" w:type="pct"/>
            <w:tcBorders>
              <w:tl2br w:val="nil"/>
              <w:tr2bl w:val="nil"/>
            </w:tcBorders>
            <w:noWrap w:val="0"/>
            <w:vAlign w:val="center"/>
          </w:tcPr>
          <w:p w14:paraId="4539C618">
            <w:pPr>
              <w:pStyle w:val="563"/>
              <w:bidi w:val="0"/>
              <w:rPr>
                <w:rFonts w:hint="eastAsia"/>
                <w:color w:val="auto"/>
                <w:highlight w:val="none"/>
                <w:lang w:val="en-US" w:eastAsia="zh-CN"/>
              </w:rPr>
            </w:pPr>
            <w:r>
              <w:rPr>
                <w:rFonts w:hint="eastAsia"/>
                <w:color w:val="auto"/>
                <w:highlight w:val="none"/>
                <w:lang w:val="en-US" w:eastAsia="zh-CN"/>
              </w:rPr>
              <w:t>10户/30人</w:t>
            </w:r>
          </w:p>
        </w:tc>
        <w:tc>
          <w:tcPr>
            <w:tcW w:w="775" w:type="pct"/>
            <w:vMerge w:val="continue"/>
            <w:tcBorders>
              <w:tl2br w:val="nil"/>
              <w:tr2bl w:val="nil"/>
            </w:tcBorders>
            <w:noWrap w:val="0"/>
            <w:vAlign w:val="center"/>
          </w:tcPr>
          <w:p w14:paraId="41263DC4">
            <w:pPr>
              <w:pStyle w:val="563"/>
              <w:bidi w:val="0"/>
              <w:rPr>
                <w:rFonts w:hint="eastAsia"/>
                <w:color w:val="auto"/>
                <w:highlight w:val="none"/>
                <w:lang w:val="en-US" w:eastAsia="zh-CN"/>
              </w:rPr>
            </w:pPr>
          </w:p>
        </w:tc>
        <w:tc>
          <w:tcPr>
            <w:tcW w:w="817" w:type="pct"/>
            <w:tcBorders>
              <w:tl2br w:val="nil"/>
              <w:tr2bl w:val="nil"/>
            </w:tcBorders>
            <w:noWrap w:val="0"/>
            <w:vAlign w:val="center"/>
          </w:tcPr>
          <w:p w14:paraId="1260DC94">
            <w:pPr>
              <w:pStyle w:val="563"/>
              <w:bidi w:val="0"/>
              <w:rPr>
                <w:color w:val="auto"/>
                <w:highlight w:val="none"/>
              </w:rPr>
            </w:pPr>
            <w:r>
              <w:rPr>
                <w:rFonts w:hint="eastAsia"/>
                <w:color w:val="auto"/>
                <w:highlight w:val="none"/>
                <w:lang w:val="en-US" w:eastAsia="zh-CN"/>
              </w:rPr>
              <w:t>东南</w:t>
            </w:r>
          </w:p>
        </w:tc>
        <w:tc>
          <w:tcPr>
            <w:tcW w:w="559" w:type="pct"/>
            <w:tcBorders>
              <w:tl2br w:val="nil"/>
              <w:tr2bl w:val="nil"/>
            </w:tcBorders>
            <w:noWrap w:val="0"/>
            <w:vAlign w:val="center"/>
          </w:tcPr>
          <w:p w14:paraId="01CA71EA">
            <w:pPr>
              <w:pStyle w:val="563"/>
              <w:bidi w:val="0"/>
              <w:rPr>
                <w:rFonts w:hint="eastAsia"/>
                <w:color w:val="auto"/>
                <w:highlight w:val="none"/>
                <w:lang w:val="en-US" w:eastAsia="zh-CN"/>
              </w:rPr>
            </w:pPr>
            <w:r>
              <w:rPr>
                <w:rFonts w:hint="eastAsia"/>
                <w:color w:val="auto"/>
                <w:highlight w:val="none"/>
                <w:lang w:val="en-US" w:eastAsia="zh-CN"/>
              </w:rPr>
              <w:t>1643</w:t>
            </w:r>
          </w:p>
        </w:tc>
      </w:tr>
      <w:tr w14:paraId="574724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30B602E5">
            <w:pPr>
              <w:pStyle w:val="563"/>
              <w:bidi w:val="0"/>
              <w:rPr>
                <w:rFonts w:hint="eastAsia"/>
                <w:color w:val="auto"/>
                <w:highlight w:val="none"/>
                <w:lang w:val="en-US" w:eastAsia="zh-CN"/>
              </w:rPr>
            </w:pPr>
            <w:r>
              <w:rPr>
                <w:rFonts w:hint="eastAsia"/>
                <w:color w:val="auto"/>
                <w:highlight w:val="none"/>
                <w:lang w:val="en-US" w:eastAsia="zh-CN"/>
              </w:rPr>
              <w:t>40</w:t>
            </w:r>
          </w:p>
        </w:tc>
        <w:tc>
          <w:tcPr>
            <w:tcW w:w="904" w:type="pct"/>
            <w:tcBorders>
              <w:tl2br w:val="nil"/>
              <w:tr2bl w:val="nil"/>
            </w:tcBorders>
            <w:noWrap w:val="0"/>
            <w:vAlign w:val="center"/>
          </w:tcPr>
          <w:p w14:paraId="232CDD6E">
            <w:pPr>
              <w:pStyle w:val="563"/>
              <w:bidi w:val="0"/>
              <w:rPr>
                <w:rFonts w:hint="eastAsia"/>
                <w:color w:val="auto"/>
                <w:highlight w:val="none"/>
                <w:lang w:val="en-US" w:eastAsia="zh-CN"/>
              </w:rPr>
            </w:pPr>
            <w:r>
              <w:rPr>
                <w:rFonts w:hint="eastAsia"/>
                <w:color w:val="auto"/>
                <w:highlight w:val="none"/>
                <w:lang w:val="en-US" w:eastAsia="zh-CN"/>
              </w:rPr>
              <w:t>西瓦村</w:t>
            </w:r>
          </w:p>
        </w:tc>
        <w:tc>
          <w:tcPr>
            <w:tcW w:w="591" w:type="pct"/>
            <w:tcBorders>
              <w:tl2br w:val="nil"/>
              <w:tr2bl w:val="nil"/>
            </w:tcBorders>
            <w:noWrap w:val="0"/>
            <w:vAlign w:val="center"/>
          </w:tcPr>
          <w:p w14:paraId="674B5B11">
            <w:pPr>
              <w:pStyle w:val="563"/>
              <w:bidi w:val="0"/>
              <w:rPr>
                <w:rFonts w:hint="eastAsia"/>
                <w:color w:val="auto"/>
                <w:highlight w:val="none"/>
                <w:lang w:val="en-US" w:eastAsia="zh-CN"/>
              </w:rPr>
            </w:pPr>
            <w:r>
              <w:rPr>
                <w:rFonts w:hint="eastAsia"/>
                <w:color w:val="auto"/>
                <w:highlight w:val="none"/>
                <w:lang w:val="en-US" w:eastAsia="zh-CN"/>
              </w:rPr>
              <w:t>116.99905</w:t>
            </w:r>
          </w:p>
        </w:tc>
        <w:tc>
          <w:tcPr>
            <w:tcW w:w="545" w:type="pct"/>
            <w:tcBorders>
              <w:tl2br w:val="nil"/>
              <w:tr2bl w:val="nil"/>
            </w:tcBorders>
            <w:noWrap w:val="0"/>
            <w:vAlign w:val="center"/>
          </w:tcPr>
          <w:p w14:paraId="0148709C">
            <w:pPr>
              <w:pStyle w:val="563"/>
              <w:bidi w:val="0"/>
              <w:rPr>
                <w:rFonts w:hint="eastAsia"/>
                <w:color w:val="auto"/>
                <w:highlight w:val="none"/>
                <w:lang w:val="en-US" w:eastAsia="zh-CN"/>
              </w:rPr>
            </w:pPr>
            <w:r>
              <w:rPr>
                <w:rFonts w:hint="eastAsia"/>
                <w:color w:val="auto"/>
                <w:highlight w:val="none"/>
                <w:lang w:val="en-US" w:eastAsia="zh-CN"/>
              </w:rPr>
              <w:t>32.530335</w:t>
            </w:r>
          </w:p>
        </w:tc>
        <w:tc>
          <w:tcPr>
            <w:tcW w:w="475" w:type="pct"/>
            <w:tcBorders>
              <w:tl2br w:val="nil"/>
              <w:tr2bl w:val="nil"/>
            </w:tcBorders>
            <w:noWrap w:val="0"/>
            <w:vAlign w:val="center"/>
          </w:tcPr>
          <w:p w14:paraId="14FE1CD8">
            <w:pPr>
              <w:pStyle w:val="563"/>
              <w:bidi w:val="0"/>
              <w:rPr>
                <w:rFonts w:hint="eastAsia"/>
                <w:color w:val="auto"/>
                <w:highlight w:val="none"/>
                <w:lang w:val="en-US" w:eastAsia="zh-CN"/>
              </w:rPr>
            </w:pPr>
            <w:r>
              <w:rPr>
                <w:rFonts w:hint="eastAsia"/>
                <w:color w:val="auto"/>
                <w:highlight w:val="none"/>
                <w:lang w:val="en-US" w:eastAsia="zh-CN"/>
              </w:rPr>
              <w:t>100户/300人</w:t>
            </w:r>
          </w:p>
        </w:tc>
        <w:tc>
          <w:tcPr>
            <w:tcW w:w="775" w:type="pct"/>
            <w:vMerge w:val="continue"/>
            <w:tcBorders>
              <w:tl2br w:val="nil"/>
              <w:tr2bl w:val="nil"/>
            </w:tcBorders>
            <w:noWrap w:val="0"/>
            <w:vAlign w:val="center"/>
          </w:tcPr>
          <w:p w14:paraId="742387E0">
            <w:pPr>
              <w:pStyle w:val="563"/>
              <w:bidi w:val="0"/>
              <w:rPr>
                <w:rFonts w:hint="eastAsia"/>
                <w:color w:val="auto"/>
                <w:highlight w:val="none"/>
                <w:lang w:val="en-US" w:eastAsia="zh-CN"/>
              </w:rPr>
            </w:pPr>
          </w:p>
        </w:tc>
        <w:tc>
          <w:tcPr>
            <w:tcW w:w="817" w:type="pct"/>
            <w:tcBorders>
              <w:tl2br w:val="nil"/>
              <w:tr2bl w:val="nil"/>
            </w:tcBorders>
            <w:noWrap w:val="0"/>
            <w:vAlign w:val="center"/>
          </w:tcPr>
          <w:p w14:paraId="2E5CAAC1">
            <w:pPr>
              <w:pStyle w:val="563"/>
              <w:bidi w:val="0"/>
              <w:rPr>
                <w:color w:val="auto"/>
                <w:highlight w:val="none"/>
              </w:rPr>
            </w:pPr>
            <w:r>
              <w:rPr>
                <w:rFonts w:hint="eastAsia"/>
                <w:color w:val="auto"/>
                <w:highlight w:val="none"/>
                <w:lang w:val="en-US" w:eastAsia="zh-CN"/>
              </w:rPr>
              <w:t>西北</w:t>
            </w:r>
          </w:p>
        </w:tc>
        <w:tc>
          <w:tcPr>
            <w:tcW w:w="559" w:type="pct"/>
            <w:tcBorders>
              <w:tl2br w:val="nil"/>
              <w:tr2bl w:val="nil"/>
            </w:tcBorders>
            <w:noWrap w:val="0"/>
            <w:vAlign w:val="center"/>
          </w:tcPr>
          <w:p w14:paraId="1771759F">
            <w:pPr>
              <w:pStyle w:val="563"/>
              <w:bidi w:val="0"/>
              <w:rPr>
                <w:rFonts w:hint="eastAsia"/>
                <w:color w:val="auto"/>
                <w:highlight w:val="none"/>
                <w:lang w:val="en-US" w:eastAsia="zh-CN"/>
              </w:rPr>
            </w:pPr>
            <w:r>
              <w:rPr>
                <w:rFonts w:hint="eastAsia"/>
                <w:color w:val="auto"/>
                <w:highlight w:val="none"/>
                <w:lang w:val="en-US" w:eastAsia="zh-CN"/>
              </w:rPr>
              <w:t>492</w:t>
            </w:r>
          </w:p>
        </w:tc>
      </w:tr>
      <w:tr w14:paraId="1CCB08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30D260E">
            <w:pPr>
              <w:pStyle w:val="563"/>
              <w:bidi w:val="0"/>
              <w:rPr>
                <w:rFonts w:hint="eastAsia"/>
                <w:color w:val="auto"/>
                <w:highlight w:val="none"/>
                <w:lang w:val="en-US" w:eastAsia="zh-CN"/>
              </w:rPr>
            </w:pPr>
            <w:r>
              <w:rPr>
                <w:rFonts w:hint="eastAsia"/>
                <w:color w:val="auto"/>
                <w:highlight w:val="none"/>
                <w:lang w:val="en-US" w:eastAsia="zh-CN"/>
              </w:rPr>
              <w:t>41</w:t>
            </w:r>
          </w:p>
        </w:tc>
        <w:tc>
          <w:tcPr>
            <w:tcW w:w="904" w:type="pct"/>
            <w:tcBorders>
              <w:tl2br w:val="nil"/>
              <w:tr2bl w:val="nil"/>
            </w:tcBorders>
            <w:noWrap w:val="0"/>
            <w:vAlign w:val="center"/>
          </w:tcPr>
          <w:p w14:paraId="0A028044">
            <w:pPr>
              <w:pStyle w:val="563"/>
              <w:bidi w:val="0"/>
              <w:rPr>
                <w:rFonts w:hint="eastAsia"/>
                <w:color w:val="auto"/>
                <w:highlight w:val="none"/>
                <w:lang w:val="en-US" w:eastAsia="zh-CN"/>
              </w:rPr>
            </w:pPr>
            <w:r>
              <w:rPr>
                <w:rFonts w:hint="eastAsia"/>
                <w:color w:val="auto"/>
                <w:highlight w:val="none"/>
                <w:lang w:val="en-US" w:eastAsia="zh-CN"/>
              </w:rPr>
              <w:t>连塘村</w:t>
            </w:r>
          </w:p>
        </w:tc>
        <w:tc>
          <w:tcPr>
            <w:tcW w:w="591" w:type="pct"/>
            <w:tcBorders>
              <w:tl2br w:val="nil"/>
              <w:tr2bl w:val="nil"/>
            </w:tcBorders>
            <w:noWrap w:val="0"/>
            <w:vAlign w:val="center"/>
          </w:tcPr>
          <w:p w14:paraId="5D8520B3">
            <w:pPr>
              <w:pStyle w:val="563"/>
              <w:bidi w:val="0"/>
              <w:rPr>
                <w:rFonts w:hint="eastAsia"/>
                <w:color w:val="auto"/>
                <w:highlight w:val="none"/>
                <w:lang w:val="en-US" w:eastAsia="zh-CN"/>
              </w:rPr>
            </w:pPr>
            <w:r>
              <w:rPr>
                <w:rFonts w:hint="eastAsia"/>
                <w:color w:val="auto"/>
                <w:highlight w:val="none"/>
                <w:lang w:val="en-US" w:eastAsia="zh-CN"/>
              </w:rPr>
              <w:t>116.99791</w:t>
            </w:r>
          </w:p>
        </w:tc>
        <w:tc>
          <w:tcPr>
            <w:tcW w:w="545" w:type="pct"/>
            <w:tcBorders>
              <w:tl2br w:val="nil"/>
              <w:tr2bl w:val="nil"/>
            </w:tcBorders>
            <w:noWrap w:val="0"/>
            <w:vAlign w:val="center"/>
          </w:tcPr>
          <w:p w14:paraId="274B3ECF">
            <w:pPr>
              <w:pStyle w:val="563"/>
              <w:bidi w:val="0"/>
              <w:rPr>
                <w:rFonts w:hint="eastAsia"/>
                <w:color w:val="auto"/>
                <w:highlight w:val="none"/>
                <w:lang w:val="en-US" w:eastAsia="zh-CN"/>
              </w:rPr>
            </w:pPr>
            <w:r>
              <w:rPr>
                <w:rFonts w:hint="eastAsia"/>
                <w:color w:val="auto"/>
                <w:highlight w:val="none"/>
                <w:lang w:val="en-US" w:eastAsia="zh-CN"/>
              </w:rPr>
              <w:t>32.519966</w:t>
            </w:r>
          </w:p>
        </w:tc>
        <w:tc>
          <w:tcPr>
            <w:tcW w:w="475" w:type="pct"/>
            <w:tcBorders>
              <w:tl2br w:val="nil"/>
              <w:tr2bl w:val="nil"/>
            </w:tcBorders>
            <w:noWrap w:val="0"/>
            <w:vAlign w:val="center"/>
          </w:tcPr>
          <w:p w14:paraId="66E38A26">
            <w:pPr>
              <w:pStyle w:val="563"/>
              <w:bidi w:val="0"/>
              <w:rPr>
                <w:rFonts w:hint="eastAsia"/>
                <w:color w:val="auto"/>
                <w:highlight w:val="none"/>
                <w:lang w:val="en-US" w:eastAsia="zh-CN"/>
              </w:rPr>
            </w:pPr>
            <w:r>
              <w:rPr>
                <w:rFonts w:hint="eastAsia"/>
                <w:color w:val="auto"/>
                <w:highlight w:val="none"/>
                <w:lang w:val="en-US" w:eastAsia="zh-CN"/>
              </w:rPr>
              <w:t>50户/200人</w:t>
            </w:r>
          </w:p>
        </w:tc>
        <w:tc>
          <w:tcPr>
            <w:tcW w:w="775" w:type="pct"/>
            <w:vMerge w:val="continue"/>
            <w:tcBorders>
              <w:tl2br w:val="nil"/>
              <w:tr2bl w:val="nil"/>
            </w:tcBorders>
            <w:noWrap w:val="0"/>
            <w:vAlign w:val="center"/>
          </w:tcPr>
          <w:p w14:paraId="6BE53EDB">
            <w:pPr>
              <w:pStyle w:val="563"/>
              <w:bidi w:val="0"/>
              <w:rPr>
                <w:rFonts w:hint="eastAsia"/>
                <w:color w:val="auto"/>
                <w:highlight w:val="none"/>
                <w:lang w:val="en-US" w:eastAsia="zh-CN"/>
              </w:rPr>
            </w:pPr>
          </w:p>
        </w:tc>
        <w:tc>
          <w:tcPr>
            <w:tcW w:w="817" w:type="pct"/>
            <w:tcBorders>
              <w:tl2br w:val="nil"/>
              <w:tr2bl w:val="nil"/>
            </w:tcBorders>
            <w:noWrap w:val="0"/>
            <w:vAlign w:val="center"/>
          </w:tcPr>
          <w:p w14:paraId="49328321">
            <w:pPr>
              <w:pStyle w:val="563"/>
              <w:bidi w:val="0"/>
              <w:rPr>
                <w:color w:val="auto"/>
                <w:highlight w:val="none"/>
              </w:rPr>
            </w:pPr>
            <w:r>
              <w:rPr>
                <w:rFonts w:hint="eastAsia"/>
                <w:color w:val="auto"/>
                <w:highlight w:val="none"/>
                <w:lang w:val="en-US" w:eastAsia="zh-CN"/>
              </w:rPr>
              <w:t>西南</w:t>
            </w:r>
          </w:p>
        </w:tc>
        <w:tc>
          <w:tcPr>
            <w:tcW w:w="559" w:type="pct"/>
            <w:tcBorders>
              <w:tl2br w:val="nil"/>
              <w:tr2bl w:val="nil"/>
            </w:tcBorders>
            <w:noWrap w:val="0"/>
            <w:vAlign w:val="center"/>
          </w:tcPr>
          <w:p w14:paraId="25358836">
            <w:pPr>
              <w:pStyle w:val="563"/>
              <w:bidi w:val="0"/>
              <w:rPr>
                <w:rFonts w:hint="eastAsia"/>
                <w:color w:val="auto"/>
                <w:highlight w:val="none"/>
                <w:lang w:val="en-US" w:eastAsia="zh-CN"/>
              </w:rPr>
            </w:pPr>
            <w:r>
              <w:rPr>
                <w:rFonts w:hint="eastAsia"/>
                <w:color w:val="auto"/>
                <w:highlight w:val="none"/>
                <w:lang w:val="en-US" w:eastAsia="zh-CN"/>
              </w:rPr>
              <w:t>638</w:t>
            </w:r>
          </w:p>
        </w:tc>
      </w:tr>
      <w:tr w14:paraId="0BEA99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2FCE4B88">
            <w:pPr>
              <w:pStyle w:val="563"/>
              <w:bidi w:val="0"/>
              <w:rPr>
                <w:rFonts w:hint="eastAsia"/>
                <w:color w:val="auto"/>
                <w:highlight w:val="none"/>
                <w:lang w:val="en-US" w:eastAsia="zh-CN"/>
              </w:rPr>
            </w:pPr>
            <w:r>
              <w:rPr>
                <w:rFonts w:hint="eastAsia"/>
                <w:color w:val="auto"/>
                <w:highlight w:val="none"/>
                <w:lang w:val="en-US" w:eastAsia="zh-CN"/>
              </w:rPr>
              <w:t>42</w:t>
            </w:r>
          </w:p>
        </w:tc>
        <w:tc>
          <w:tcPr>
            <w:tcW w:w="904" w:type="pct"/>
            <w:tcBorders>
              <w:tl2br w:val="nil"/>
              <w:tr2bl w:val="nil"/>
            </w:tcBorders>
            <w:noWrap w:val="0"/>
            <w:vAlign w:val="center"/>
          </w:tcPr>
          <w:p w14:paraId="0995F389">
            <w:pPr>
              <w:pStyle w:val="563"/>
              <w:bidi w:val="0"/>
              <w:rPr>
                <w:rFonts w:hint="eastAsia"/>
                <w:color w:val="auto"/>
                <w:highlight w:val="none"/>
                <w:lang w:val="en-US" w:eastAsia="zh-CN"/>
              </w:rPr>
            </w:pPr>
            <w:r>
              <w:rPr>
                <w:rFonts w:hint="eastAsia"/>
                <w:color w:val="auto"/>
                <w:highlight w:val="none"/>
                <w:lang w:val="en-US" w:eastAsia="zh-CN"/>
              </w:rPr>
              <w:t>门郢</w:t>
            </w:r>
          </w:p>
        </w:tc>
        <w:tc>
          <w:tcPr>
            <w:tcW w:w="591" w:type="pct"/>
            <w:tcBorders>
              <w:tl2br w:val="nil"/>
              <w:tr2bl w:val="nil"/>
            </w:tcBorders>
            <w:noWrap w:val="0"/>
            <w:vAlign w:val="center"/>
          </w:tcPr>
          <w:p w14:paraId="440553F8">
            <w:pPr>
              <w:pStyle w:val="563"/>
              <w:bidi w:val="0"/>
              <w:rPr>
                <w:rFonts w:hint="eastAsia"/>
                <w:color w:val="auto"/>
                <w:highlight w:val="none"/>
                <w:lang w:val="en-US" w:eastAsia="zh-CN"/>
              </w:rPr>
            </w:pPr>
            <w:r>
              <w:rPr>
                <w:rFonts w:hint="eastAsia"/>
                <w:color w:val="auto"/>
                <w:highlight w:val="none"/>
                <w:lang w:val="en-US" w:eastAsia="zh-CN"/>
              </w:rPr>
              <w:t>117.01688</w:t>
            </w:r>
          </w:p>
        </w:tc>
        <w:tc>
          <w:tcPr>
            <w:tcW w:w="545" w:type="pct"/>
            <w:tcBorders>
              <w:tl2br w:val="nil"/>
              <w:tr2bl w:val="nil"/>
            </w:tcBorders>
            <w:noWrap w:val="0"/>
            <w:vAlign w:val="center"/>
          </w:tcPr>
          <w:p w14:paraId="3F32AB91">
            <w:pPr>
              <w:pStyle w:val="563"/>
              <w:bidi w:val="0"/>
              <w:rPr>
                <w:rFonts w:hint="eastAsia"/>
                <w:color w:val="auto"/>
                <w:highlight w:val="none"/>
                <w:lang w:val="en-US" w:eastAsia="zh-CN"/>
              </w:rPr>
            </w:pPr>
            <w:r>
              <w:rPr>
                <w:rFonts w:hint="eastAsia"/>
                <w:color w:val="auto"/>
                <w:highlight w:val="none"/>
                <w:lang w:val="en-US" w:eastAsia="zh-CN"/>
              </w:rPr>
              <w:t>32.544742</w:t>
            </w:r>
          </w:p>
        </w:tc>
        <w:tc>
          <w:tcPr>
            <w:tcW w:w="475" w:type="pct"/>
            <w:tcBorders>
              <w:tl2br w:val="nil"/>
              <w:tr2bl w:val="nil"/>
            </w:tcBorders>
            <w:noWrap w:val="0"/>
            <w:vAlign w:val="center"/>
          </w:tcPr>
          <w:p w14:paraId="6E5F6B04">
            <w:pPr>
              <w:pStyle w:val="563"/>
              <w:bidi w:val="0"/>
              <w:rPr>
                <w:rFonts w:hint="eastAsia"/>
                <w:color w:val="auto"/>
                <w:highlight w:val="none"/>
                <w:lang w:val="en-US" w:eastAsia="zh-CN"/>
              </w:rPr>
            </w:pPr>
            <w:r>
              <w:rPr>
                <w:rFonts w:hint="eastAsia"/>
                <w:color w:val="auto"/>
                <w:highlight w:val="none"/>
                <w:lang w:val="en-US" w:eastAsia="zh-CN"/>
              </w:rPr>
              <w:t>20户/70人</w:t>
            </w:r>
          </w:p>
        </w:tc>
        <w:tc>
          <w:tcPr>
            <w:tcW w:w="775" w:type="pct"/>
            <w:vMerge w:val="continue"/>
            <w:tcBorders>
              <w:tl2br w:val="nil"/>
              <w:tr2bl w:val="nil"/>
            </w:tcBorders>
            <w:noWrap w:val="0"/>
            <w:vAlign w:val="center"/>
          </w:tcPr>
          <w:p w14:paraId="7CA0E08C">
            <w:pPr>
              <w:pStyle w:val="563"/>
              <w:bidi w:val="0"/>
              <w:rPr>
                <w:rFonts w:hint="eastAsia"/>
                <w:color w:val="auto"/>
                <w:highlight w:val="none"/>
                <w:lang w:val="en-US" w:eastAsia="zh-CN"/>
              </w:rPr>
            </w:pPr>
          </w:p>
        </w:tc>
        <w:tc>
          <w:tcPr>
            <w:tcW w:w="817" w:type="pct"/>
            <w:tcBorders>
              <w:tl2br w:val="nil"/>
              <w:tr2bl w:val="nil"/>
            </w:tcBorders>
            <w:noWrap w:val="0"/>
            <w:vAlign w:val="center"/>
          </w:tcPr>
          <w:p w14:paraId="459C65F6">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377EAB48">
            <w:pPr>
              <w:pStyle w:val="563"/>
              <w:bidi w:val="0"/>
              <w:rPr>
                <w:rFonts w:hint="eastAsia"/>
                <w:color w:val="auto"/>
                <w:highlight w:val="none"/>
                <w:lang w:val="en-US" w:eastAsia="zh-CN"/>
              </w:rPr>
            </w:pPr>
            <w:r>
              <w:rPr>
                <w:rFonts w:hint="eastAsia"/>
                <w:color w:val="auto"/>
                <w:highlight w:val="none"/>
                <w:lang w:val="en-US" w:eastAsia="zh-CN"/>
              </w:rPr>
              <w:t>2454</w:t>
            </w:r>
          </w:p>
        </w:tc>
      </w:tr>
      <w:tr w14:paraId="74F976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0141B447">
            <w:pPr>
              <w:pStyle w:val="563"/>
              <w:bidi w:val="0"/>
              <w:rPr>
                <w:rFonts w:hint="eastAsia"/>
                <w:color w:val="auto"/>
                <w:highlight w:val="none"/>
                <w:lang w:val="en-US" w:eastAsia="zh-CN"/>
              </w:rPr>
            </w:pPr>
            <w:r>
              <w:rPr>
                <w:rFonts w:hint="eastAsia"/>
                <w:color w:val="auto"/>
                <w:highlight w:val="none"/>
                <w:lang w:val="en-US" w:eastAsia="zh-CN"/>
              </w:rPr>
              <w:t>43</w:t>
            </w:r>
          </w:p>
        </w:tc>
        <w:tc>
          <w:tcPr>
            <w:tcW w:w="904" w:type="pct"/>
            <w:tcBorders>
              <w:tl2br w:val="nil"/>
              <w:tr2bl w:val="nil"/>
            </w:tcBorders>
            <w:noWrap w:val="0"/>
            <w:vAlign w:val="center"/>
          </w:tcPr>
          <w:p w14:paraId="16EE9BA5">
            <w:pPr>
              <w:pStyle w:val="563"/>
              <w:bidi w:val="0"/>
              <w:rPr>
                <w:rFonts w:hint="eastAsia"/>
                <w:color w:val="auto"/>
                <w:highlight w:val="none"/>
                <w:lang w:val="en-US" w:eastAsia="zh-CN"/>
              </w:rPr>
            </w:pPr>
            <w:r>
              <w:rPr>
                <w:rFonts w:hint="eastAsia"/>
                <w:color w:val="auto"/>
                <w:highlight w:val="none"/>
                <w:lang w:val="en-US" w:eastAsia="zh-CN"/>
              </w:rPr>
              <w:t>板凳岗</w:t>
            </w:r>
          </w:p>
        </w:tc>
        <w:tc>
          <w:tcPr>
            <w:tcW w:w="591" w:type="pct"/>
            <w:tcBorders>
              <w:tl2br w:val="nil"/>
              <w:tr2bl w:val="nil"/>
            </w:tcBorders>
            <w:noWrap w:val="0"/>
            <w:vAlign w:val="center"/>
          </w:tcPr>
          <w:p w14:paraId="124B9F84">
            <w:pPr>
              <w:pStyle w:val="563"/>
              <w:bidi w:val="0"/>
              <w:rPr>
                <w:rFonts w:hint="eastAsia"/>
                <w:color w:val="auto"/>
                <w:highlight w:val="none"/>
                <w:lang w:val="en-US" w:eastAsia="zh-CN"/>
              </w:rPr>
            </w:pPr>
            <w:r>
              <w:rPr>
                <w:rFonts w:hint="eastAsia"/>
                <w:color w:val="auto"/>
                <w:highlight w:val="none"/>
                <w:lang w:val="en-US" w:eastAsia="zh-CN"/>
              </w:rPr>
              <w:t>116.97868</w:t>
            </w:r>
          </w:p>
        </w:tc>
        <w:tc>
          <w:tcPr>
            <w:tcW w:w="545" w:type="pct"/>
            <w:tcBorders>
              <w:tl2br w:val="nil"/>
              <w:tr2bl w:val="nil"/>
            </w:tcBorders>
            <w:noWrap w:val="0"/>
            <w:vAlign w:val="center"/>
          </w:tcPr>
          <w:p w14:paraId="0C660160">
            <w:pPr>
              <w:pStyle w:val="563"/>
              <w:bidi w:val="0"/>
              <w:rPr>
                <w:rFonts w:hint="eastAsia"/>
                <w:color w:val="auto"/>
                <w:highlight w:val="none"/>
                <w:lang w:val="en-US" w:eastAsia="zh-CN"/>
              </w:rPr>
            </w:pPr>
            <w:r>
              <w:rPr>
                <w:rFonts w:hint="eastAsia"/>
                <w:color w:val="auto"/>
                <w:highlight w:val="none"/>
                <w:lang w:val="en-US" w:eastAsia="zh-CN"/>
              </w:rPr>
              <w:t>32.535019</w:t>
            </w:r>
          </w:p>
        </w:tc>
        <w:tc>
          <w:tcPr>
            <w:tcW w:w="475" w:type="pct"/>
            <w:tcBorders>
              <w:tl2br w:val="nil"/>
              <w:tr2bl w:val="nil"/>
            </w:tcBorders>
            <w:noWrap w:val="0"/>
            <w:vAlign w:val="center"/>
          </w:tcPr>
          <w:p w14:paraId="025F8B6F">
            <w:pPr>
              <w:pStyle w:val="563"/>
              <w:bidi w:val="0"/>
              <w:rPr>
                <w:rFonts w:hint="eastAsia"/>
                <w:color w:val="auto"/>
                <w:highlight w:val="none"/>
                <w:lang w:val="en-US" w:eastAsia="zh-CN"/>
              </w:rPr>
            </w:pPr>
            <w:r>
              <w:rPr>
                <w:rFonts w:hint="eastAsia"/>
                <w:color w:val="auto"/>
                <w:highlight w:val="none"/>
                <w:lang w:val="en-US" w:eastAsia="zh-CN"/>
              </w:rPr>
              <w:t>100户/300人</w:t>
            </w:r>
          </w:p>
        </w:tc>
        <w:tc>
          <w:tcPr>
            <w:tcW w:w="775" w:type="pct"/>
            <w:vMerge w:val="continue"/>
            <w:tcBorders>
              <w:tl2br w:val="nil"/>
              <w:tr2bl w:val="nil"/>
            </w:tcBorders>
            <w:noWrap w:val="0"/>
            <w:vAlign w:val="center"/>
          </w:tcPr>
          <w:p w14:paraId="0682F9B0">
            <w:pPr>
              <w:pStyle w:val="563"/>
              <w:bidi w:val="0"/>
              <w:rPr>
                <w:rFonts w:hint="eastAsia"/>
                <w:color w:val="auto"/>
                <w:highlight w:val="none"/>
                <w:lang w:val="en-US" w:eastAsia="zh-CN"/>
              </w:rPr>
            </w:pPr>
          </w:p>
        </w:tc>
        <w:tc>
          <w:tcPr>
            <w:tcW w:w="817" w:type="pct"/>
            <w:tcBorders>
              <w:tl2br w:val="nil"/>
              <w:tr2bl w:val="nil"/>
            </w:tcBorders>
            <w:noWrap w:val="0"/>
            <w:vAlign w:val="center"/>
          </w:tcPr>
          <w:p w14:paraId="7BC4290B">
            <w:pPr>
              <w:pStyle w:val="563"/>
              <w:bidi w:val="0"/>
              <w:rPr>
                <w:color w:val="auto"/>
                <w:highlight w:val="none"/>
              </w:rPr>
            </w:pPr>
            <w:r>
              <w:rPr>
                <w:rFonts w:hint="eastAsia"/>
                <w:color w:val="auto"/>
                <w:highlight w:val="none"/>
                <w:lang w:val="en-US" w:eastAsia="zh-CN"/>
              </w:rPr>
              <w:t>西北</w:t>
            </w:r>
          </w:p>
        </w:tc>
        <w:tc>
          <w:tcPr>
            <w:tcW w:w="559" w:type="pct"/>
            <w:tcBorders>
              <w:tl2br w:val="nil"/>
              <w:tr2bl w:val="nil"/>
            </w:tcBorders>
            <w:noWrap w:val="0"/>
            <w:vAlign w:val="center"/>
          </w:tcPr>
          <w:p w14:paraId="4ED12C6B">
            <w:pPr>
              <w:pStyle w:val="563"/>
              <w:bidi w:val="0"/>
              <w:rPr>
                <w:rFonts w:hint="eastAsia"/>
                <w:color w:val="auto"/>
                <w:highlight w:val="none"/>
                <w:lang w:val="en-US" w:eastAsia="zh-CN"/>
              </w:rPr>
            </w:pPr>
            <w:r>
              <w:rPr>
                <w:rFonts w:hint="eastAsia"/>
                <w:color w:val="auto"/>
                <w:highlight w:val="none"/>
                <w:lang w:val="en-US" w:eastAsia="zh-CN"/>
              </w:rPr>
              <w:t>2293</w:t>
            </w:r>
          </w:p>
        </w:tc>
      </w:tr>
      <w:tr w14:paraId="30CD13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6603DEDF">
            <w:pPr>
              <w:pStyle w:val="563"/>
              <w:bidi w:val="0"/>
              <w:rPr>
                <w:rFonts w:hint="eastAsia"/>
                <w:color w:val="auto"/>
                <w:highlight w:val="none"/>
                <w:lang w:val="en-US" w:eastAsia="zh-CN"/>
              </w:rPr>
            </w:pPr>
            <w:r>
              <w:rPr>
                <w:rFonts w:hint="eastAsia"/>
                <w:color w:val="auto"/>
                <w:highlight w:val="none"/>
                <w:lang w:val="en-US" w:eastAsia="zh-CN"/>
              </w:rPr>
              <w:t>44</w:t>
            </w:r>
          </w:p>
        </w:tc>
        <w:tc>
          <w:tcPr>
            <w:tcW w:w="904" w:type="pct"/>
            <w:tcBorders>
              <w:tl2br w:val="nil"/>
              <w:tr2bl w:val="nil"/>
            </w:tcBorders>
            <w:noWrap w:val="0"/>
            <w:vAlign w:val="center"/>
          </w:tcPr>
          <w:p w14:paraId="34EDE404">
            <w:pPr>
              <w:pStyle w:val="563"/>
              <w:bidi w:val="0"/>
              <w:rPr>
                <w:rFonts w:hint="eastAsia"/>
                <w:color w:val="auto"/>
                <w:highlight w:val="none"/>
                <w:lang w:val="en-US" w:eastAsia="zh-CN"/>
              </w:rPr>
            </w:pPr>
            <w:r>
              <w:rPr>
                <w:rFonts w:hint="eastAsia"/>
                <w:color w:val="auto"/>
                <w:highlight w:val="none"/>
                <w:lang w:val="en-US" w:eastAsia="zh-CN"/>
              </w:rPr>
              <w:t>田冲</w:t>
            </w:r>
          </w:p>
        </w:tc>
        <w:tc>
          <w:tcPr>
            <w:tcW w:w="591" w:type="pct"/>
            <w:tcBorders>
              <w:tl2br w:val="nil"/>
              <w:tr2bl w:val="nil"/>
            </w:tcBorders>
            <w:noWrap w:val="0"/>
            <w:vAlign w:val="center"/>
          </w:tcPr>
          <w:p w14:paraId="3E5B0D67">
            <w:pPr>
              <w:pStyle w:val="563"/>
              <w:bidi w:val="0"/>
              <w:rPr>
                <w:rFonts w:hint="eastAsia"/>
                <w:color w:val="auto"/>
                <w:highlight w:val="none"/>
                <w:lang w:val="en-US" w:eastAsia="zh-CN"/>
              </w:rPr>
            </w:pPr>
            <w:r>
              <w:rPr>
                <w:rFonts w:hint="eastAsia"/>
                <w:color w:val="auto"/>
                <w:highlight w:val="none"/>
                <w:lang w:val="en-US" w:eastAsia="zh-CN"/>
              </w:rPr>
              <w:t>117.02574</w:t>
            </w:r>
          </w:p>
        </w:tc>
        <w:tc>
          <w:tcPr>
            <w:tcW w:w="545" w:type="pct"/>
            <w:tcBorders>
              <w:tl2br w:val="nil"/>
              <w:tr2bl w:val="nil"/>
            </w:tcBorders>
            <w:noWrap w:val="0"/>
            <w:vAlign w:val="center"/>
          </w:tcPr>
          <w:p w14:paraId="234BF413">
            <w:pPr>
              <w:pStyle w:val="563"/>
              <w:bidi w:val="0"/>
              <w:rPr>
                <w:rFonts w:hint="eastAsia"/>
                <w:color w:val="auto"/>
                <w:highlight w:val="none"/>
                <w:lang w:val="en-US" w:eastAsia="zh-CN"/>
              </w:rPr>
            </w:pPr>
            <w:r>
              <w:rPr>
                <w:rFonts w:hint="eastAsia"/>
                <w:color w:val="auto"/>
                <w:highlight w:val="none"/>
                <w:lang w:val="en-US" w:eastAsia="zh-CN"/>
              </w:rPr>
              <w:t>32.539496</w:t>
            </w:r>
          </w:p>
        </w:tc>
        <w:tc>
          <w:tcPr>
            <w:tcW w:w="475" w:type="pct"/>
            <w:tcBorders>
              <w:tl2br w:val="nil"/>
              <w:tr2bl w:val="nil"/>
            </w:tcBorders>
            <w:noWrap w:val="0"/>
            <w:vAlign w:val="center"/>
          </w:tcPr>
          <w:p w14:paraId="7D01E0F5">
            <w:pPr>
              <w:pStyle w:val="563"/>
              <w:bidi w:val="0"/>
              <w:rPr>
                <w:rFonts w:hint="eastAsia"/>
                <w:color w:val="auto"/>
                <w:highlight w:val="none"/>
                <w:lang w:val="en-US" w:eastAsia="zh-CN"/>
              </w:rPr>
            </w:pPr>
            <w:r>
              <w:rPr>
                <w:rFonts w:hint="eastAsia"/>
                <w:color w:val="auto"/>
                <w:highlight w:val="none"/>
                <w:lang w:val="en-US" w:eastAsia="zh-CN"/>
              </w:rPr>
              <w:t>10户/30人</w:t>
            </w:r>
          </w:p>
        </w:tc>
        <w:tc>
          <w:tcPr>
            <w:tcW w:w="775" w:type="pct"/>
            <w:vMerge w:val="continue"/>
            <w:tcBorders>
              <w:tl2br w:val="nil"/>
              <w:tr2bl w:val="nil"/>
            </w:tcBorders>
            <w:noWrap w:val="0"/>
            <w:vAlign w:val="center"/>
          </w:tcPr>
          <w:p w14:paraId="1F6703FE">
            <w:pPr>
              <w:pStyle w:val="563"/>
              <w:bidi w:val="0"/>
              <w:rPr>
                <w:rFonts w:hint="eastAsia"/>
                <w:color w:val="auto"/>
                <w:highlight w:val="none"/>
                <w:lang w:val="en-US" w:eastAsia="zh-CN"/>
              </w:rPr>
            </w:pPr>
          </w:p>
        </w:tc>
        <w:tc>
          <w:tcPr>
            <w:tcW w:w="817" w:type="pct"/>
            <w:tcBorders>
              <w:tl2br w:val="nil"/>
              <w:tr2bl w:val="nil"/>
            </w:tcBorders>
            <w:noWrap w:val="0"/>
            <w:vAlign w:val="center"/>
          </w:tcPr>
          <w:p w14:paraId="16743B55">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510B3863">
            <w:pPr>
              <w:pStyle w:val="563"/>
              <w:bidi w:val="0"/>
              <w:rPr>
                <w:rFonts w:hint="eastAsia"/>
                <w:color w:val="auto"/>
                <w:highlight w:val="none"/>
                <w:lang w:val="en-US" w:eastAsia="zh-CN"/>
              </w:rPr>
            </w:pPr>
            <w:r>
              <w:rPr>
                <w:rFonts w:hint="eastAsia"/>
                <w:color w:val="auto"/>
                <w:highlight w:val="none"/>
                <w:lang w:val="en-US" w:eastAsia="zh-CN"/>
              </w:rPr>
              <w:t>2611</w:t>
            </w:r>
          </w:p>
        </w:tc>
      </w:tr>
      <w:tr w14:paraId="283E37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658DE50B">
            <w:pPr>
              <w:pStyle w:val="563"/>
              <w:bidi w:val="0"/>
              <w:rPr>
                <w:rFonts w:hint="eastAsia"/>
                <w:color w:val="auto"/>
                <w:highlight w:val="none"/>
                <w:lang w:val="en-US" w:eastAsia="zh-CN"/>
              </w:rPr>
            </w:pPr>
            <w:r>
              <w:rPr>
                <w:rFonts w:hint="eastAsia"/>
                <w:color w:val="auto"/>
                <w:highlight w:val="none"/>
                <w:lang w:val="en-US" w:eastAsia="zh-CN"/>
              </w:rPr>
              <w:t>45</w:t>
            </w:r>
          </w:p>
        </w:tc>
        <w:tc>
          <w:tcPr>
            <w:tcW w:w="904" w:type="pct"/>
            <w:tcBorders>
              <w:tl2br w:val="nil"/>
              <w:tr2bl w:val="nil"/>
            </w:tcBorders>
            <w:noWrap w:val="0"/>
            <w:vAlign w:val="center"/>
          </w:tcPr>
          <w:p w14:paraId="366A69A0">
            <w:pPr>
              <w:pStyle w:val="563"/>
              <w:bidi w:val="0"/>
              <w:rPr>
                <w:rFonts w:hint="eastAsia"/>
                <w:color w:val="auto"/>
                <w:highlight w:val="none"/>
                <w:lang w:val="en-US" w:eastAsia="zh-CN"/>
              </w:rPr>
            </w:pPr>
            <w:r>
              <w:rPr>
                <w:rFonts w:hint="eastAsia"/>
                <w:color w:val="auto"/>
                <w:highlight w:val="none"/>
                <w:lang w:val="en-US" w:eastAsia="zh-CN"/>
              </w:rPr>
              <w:t>老南郢</w:t>
            </w:r>
          </w:p>
        </w:tc>
        <w:tc>
          <w:tcPr>
            <w:tcW w:w="591" w:type="pct"/>
            <w:tcBorders>
              <w:tl2br w:val="nil"/>
              <w:tr2bl w:val="nil"/>
            </w:tcBorders>
            <w:noWrap w:val="0"/>
            <w:vAlign w:val="center"/>
          </w:tcPr>
          <w:p w14:paraId="55834773">
            <w:pPr>
              <w:pStyle w:val="563"/>
              <w:bidi w:val="0"/>
              <w:rPr>
                <w:rFonts w:hint="eastAsia"/>
                <w:color w:val="auto"/>
                <w:highlight w:val="none"/>
                <w:lang w:val="en-US" w:eastAsia="zh-CN"/>
              </w:rPr>
            </w:pPr>
            <w:r>
              <w:rPr>
                <w:rFonts w:hint="eastAsia"/>
                <w:color w:val="auto"/>
                <w:highlight w:val="none"/>
                <w:lang w:val="en-US" w:eastAsia="zh-CN"/>
              </w:rPr>
              <w:t>116.99622</w:t>
            </w:r>
          </w:p>
        </w:tc>
        <w:tc>
          <w:tcPr>
            <w:tcW w:w="545" w:type="pct"/>
            <w:tcBorders>
              <w:tl2br w:val="nil"/>
              <w:tr2bl w:val="nil"/>
            </w:tcBorders>
            <w:noWrap w:val="0"/>
            <w:vAlign w:val="center"/>
          </w:tcPr>
          <w:p w14:paraId="5C80A81C">
            <w:pPr>
              <w:pStyle w:val="563"/>
              <w:bidi w:val="0"/>
              <w:rPr>
                <w:rFonts w:hint="eastAsia"/>
                <w:color w:val="auto"/>
                <w:highlight w:val="none"/>
                <w:lang w:val="en-US" w:eastAsia="zh-CN"/>
              </w:rPr>
            </w:pPr>
            <w:r>
              <w:rPr>
                <w:rFonts w:hint="eastAsia"/>
                <w:color w:val="auto"/>
                <w:highlight w:val="none"/>
                <w:lang w:val="en-US" w:eastAsia="zh-CN"/>
              </w:rPr>
              <w:t>32.532405</w:t>
            </w:r>
          </w:p>
        </w:tc>
        <w:tc>
          <w:tcPr>
            <w:tcW w:w="475" w:type="pct"/>
            <w:tcBorders>
              <w:tl2br w:val="nil"/>
              <w:tr2bl w:val="nil"/>
            </w:tcBorders>
            <w:noWrap w:val="0"/>
            <w:vAlign w:val="center"/>
          </w:tcPr>
          <w:p w14:paraId="453E9F3C">
            <w:pPr>
              <w:pStyle w:val="563"/>
              <w:bidi w:val="0"/>
              <w:rPr>
                <w:rFonts w:hint="eastAsia"/>
                <w:color w:val="auto"/>
                <w:highlight w:val="none"/>
                <w:lang w:val="en-US" w:eastAsia="zh-CN"/>
              </w:rPr>
            </w:pPr>
            <w:r>
              <w:rPr>
                <w:rFonts w:hint="eastAsia"/>
                <w:color w:val="auto"/>
                <w:highlight w:val="none"/>
                <w:lang w:val="en-US" w:eastAsia="zh-CN"/>
              </w:rPr>
              <w:t>30户/90人</w:t>
            </w:r>
          </w:p>
        </w:tc>
        <w:tc>
          <w:tcPr>
            <w:tcW w:w="775" w:type="pct"/>
            <w:vMerge w:val="continue"/>
            <w:tcBorders>
              <w:tl2br w:val="nil"/>
              <w:tr2bl w:val="nil"/>
            </w:tcBorders>
            <w:noWrap w:val="0"/>
            <w:vAlign w:val="center"/>
          </w:tcPr>
          <w:p w14:paraId="5BA3BDBF">
            <w:pPr>
              <w:pStyle w:val="563"/>
              <w:bidi w:val="0"/>
              <w:rPr>
                <w:rFonts w:hint="eastAsia"/>
                <w:color w:val="auto"/>
                <w:highlight w:val="none"/>
                <w:lang w:val="en-US" w:eastAsia="zh-CN"/>
              </w:rPr>
            </w:pPr>
          </w:p>
        </w:tc>
        <w:tc>
          <w:tcPr>
            <w:tcW w:w="817" w:type="pct"/>
            <w:tcBorders>
              <w:tl2br w:val="nil"/>
              <w:tr2bl w:val="nil"/>
            </w:tcBorders>
            <w:noWrap w:val="0"/>
            <w:vAlign w:val="center"/>
          </w:tcPr>
          <w:p w14:paraId="0025F942">
            <w:pPr>
              <w:pStyle w:val="563"/>
              <w:bidi w:val="0"/>
              <w:rPr>
                <w:color w:val="auto"/>
                <w:highlight w:val="none"/>
              </w:rPr>
            </w:pPr>
            <w:r>
              <w:rPr>
                <w:rFonts w:hint="eastAsia"/>
                <w:color w:val="auto"/>
                <w:highlight w:val="none"/>
                <w:lang w:val="en-US" w:eastAsia="zh-CN"/>
              </w:rPr>
              <w:t>西北</w:t>
            </w:r>
          </w:p>
        </w:tc>
        <w:tc>
          <w:tcPr>
            <w:tcW w:w="559" w:type="pct"/>
            <w:tcBorders>
              <w:tl2br w:val="nil"/>
              <w:tr2bl w:val="nil"/>
            </w:tcBorders>
            <w:noWrap w:val="0"/>
            <w:vAlign w:val="center"/>
          </w:tcPr>
          <w:p w14:paraId="1B6658E2">
            <w:pPr>
              <w:pStyle w:val="563"/>
              <w:bidi w:val="0"/>
              <w:rPr>
                <w:rFonts w:hint="eastAsia"/>
                <w:color w:val="auto"/>
                <w:highlight w:val="none"/>
                <w:lang w:val="en-US" w:eastAsia="zh-CN"/>
              </w:rPr>
            </w:pPr>
            <w:r>
              <w:rPr>
                <w:rFonts w:hint="eastAsia"/>
                <w:color w:val="auto"/>
                <w:highlight w:val="none"/>
                <w:lang w:val="en-US" w:eastAsia="zh-CN"/>
              </w:rPr>
              <w:t>815</w:t>
            </w:r>
          </w:p>
        </w:tc>
      </w:tr>
      <w:tr w14:paraId="1110FA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987D45E">
            <w:pPr>
              <w:pStyle w:val="563"/>
              <w:bidi w:val="0"/>
              <w:rPr>
                <w:rFonts w:hint="eastAsia"/>
                <w:color w:val="auto"/>
                <w:highlight w:val="none"/>
                <w:lang w:val="en-US" w:eastAsia="zh-CN"/>
              </w:rPr>
            </w:pPr>
            <w:r>
              <w:rPr>
                <w:rFonts w:hint="eastAsia"/>
                <w:color w:val="auto"/>
                <w:highlight w:val="none"/>
                <w:lang w:val="en-US" w:eastAsia="zh-CN"/>
              </w:rPr>
              <w:t>46</w:t>
            </w:r>
          </w:p>
        </w:tc>
        <w:tc>
          <w:tcPr>
            <w:tcW w:w="904" w:type="pct"/>
            <w:tcBorders>
              <w:tl2br w:val="nil"/>
              <w:tr2bl w:val="nil"/>
            </w:tcBorders>
            <w:noWrap w:val="0"/>
            <w:vAlign w:val="center"/>
          </w:tcPr>
          <w:p w14:paraId="4B6D8EBE">
            <w:pPr>
              <w:pStyle w:val="563"/>
              <w:bidi w:val="0"/>
              <w:rPr>
                <w:rFonts w:hint="eastAsia"/>
                <w:color w:val="auto"/>
                <w:highlight w:val="none"/>
                <w:lang w:val="en-US" w:eastAsia="zh-CN"/>
              </w:rPr>
            </w:pPr>
            <w:r>
              <w:rPr>
                <w:rFonts w:hint="eastAsia"/>
                <w:color w:val="auto"/>
                <w:highlight w:val="none"/>
                <w:lang w:val="en-US" w:eastAsia="zh-CN"/>
              </w:rPr>
              <w:t>小平庄</w:t>
            </w:r>
          </w:p>
        </w:tc>
        <w:tc>
          <w:tcPr>
            <w:tcW w:w="591" w:type="pct"/>
            <w:tcBorders>
              <w:tl2br w:val="nil"/>
              <w:tr2bl w:val="nil"/>
            </w:tcBorders>
            <w:noWrap w:val="0"/>
            <w:vAlign w:val="center"/>
          </w:tcPr>
          <w:p w14:paraId="3053258C">
            <w:pPr>
              <w:pStyle w:val="563"/>
              <w:bidi w:val="0"/>
              <w:rPr>
                <w:rFonts w:hint="eastAsia"/>
                <w:color w:val="auto"/>
                <w:highlight w:val="none"/>
                <w:lang w:val="en-US" w:eastAsia="zh-CN"/>
              </w:rPr>
            </w:pPr>
            <w:r>
              <w:rPr>
                <w:rFonts w:hint="eastAsia"/>
                <w:color w:val="auto"/>
                <w:highlight w:val="none"/>
                <w:lang w:val="en-US" w:eastAsia="zh-CN"/>
              </w:rPr>
              <w:t>117.01027</w:t>
            </w:r>
          </w:p>
        </w:tc>
        <w:tc>
          <w:tcPr>
            <w:tcW w:w="545" w:type="pct"/>
            <w:tcBorders>
              <w:tl2br w:val="nil"/>
              <w:tr2bl w:val="nil"/>
            </w:tcBorders>
            <w:noWrap w:val="0"/>
            <w:vAlign w:val="center"/>
          </w:tcPr>
          <w:p w14:paraId="53A8B19E">
            <w:pPr>
              <w:pStyle w:val="563"/>
              <w:bidi w:val="0"/>
              <w:rPr>
                <w:rFonts w:hint="eastAsia"/>
                <w:color w:val="auto"/>
                <w:highlight w:val="none"/>
                <w:lang w:val="en-US" w:eastAsia="zh-CN"/>
              </w:rPr>
            </w:pPr>
            <w:r>
              <w:rPr>
                <w:rFonts w:hint="eastAsia"/>
                <w:color w:val="auto"/>
                <w:highlight w:val="none"/>
                <w:lang w:val="en-US" w:eastAsia="zh-CN"/>
              </w:rPr>
              <w:t>32.532912</w:t>
            </w:r>
          </w:p>
        </w:tc>
        <w:tc>
          <w:tcPr>
            <w:tcW w:w="475" w:type="pct"/>
            <w:tcBorders>
              <w:tl2br w:val="nil"/>
              <w:tr2bl w:val="nil"/>
            </w:tcBorders>
            <w:noWrap w:val="0"/>
            <w:vAlign w:val="center"/>
          </w:tcPr>
          <w:p w14:paraId="15BAEDD9">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2AA3D396">
            <w:pPr>
              <w:pStyle w:val="563"/>
              <w:bidi w:val="0"/>
              <w:rPr>
                <w:rFonts w:hint="eastAsia"/>
                <w:color w:val="auto"/>
                <w:highlight w:val="none"/>
                <w:lang w:val="en-US" w:eastAsia="zh-CN"/>
              </w:rPr>
            </w:pPr>
          </w:p>
        </w:tc>
        <w:tc>
          <w:tcPr>
            <w:tcW w:w="817" w:type="pct"/>
            <w:tcBorders>
              <w:tl2br w:val="nil"/>
              <w:tr2bl w:val="nil"/>
            </w:tcBorders>
            <w:noWrap w:val="0"/>
            <w:vAlign w:val="center"/>
          </w:tcPr>
          <w:p w14:paraId="58A25179">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5A90D9E4">
            <w:pPr>
              <w:pStyle w:val="563"/>
              <w:bidi w:val="0"/>
              <w:rPr>
                <w:rFonts w:hint="eastAsia"/>
                <w:color w:val="auto"/>
                <w:highlight w:val="none"/>
                <w:lang w:val="en-US" w:eastAsia="zh-CN"/>
              </w:rPr>
            </w:pPr>
            <w:r>
              <w:rPr>
                <w:rFonts w:hint="eastAsia"/>
                <w:color w:val="auto"/>
                <w:highlight w:val="none"/>
                <w:lang w:val="en-US" w:eastAsia="zh-CN"/>
              </w:rPr>
              <w:t>1028</w:t>
            </w:r>
          </w:p>
        </w:tc>
      </w:tr>
      <w:tr w14:paraId="098B1D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1F59A18">
            <w:pPr>
              <w:pStyle w:val="563"/>
              <w:bidi w:val="0"/>
              <w:rPr>
                <w:rFonts w:hint="eastAsia"/>
                <w:color w:val="auto"/>
                <w:highlight w:val="none"/>
                <w:lang w:val="en-US" w:eastAsia="zh-CN"/>
              </w:rPr>
            </w:pPr>
            <w:r>
              <w:rPr>
                <w:rFonts w:hint="eastAsia"/>
                <w:color w:val="auto"/>
                <w:highlight w:val="none"/>
                <w:lang w:val="en-US" w:eastAsia="zh-CN"/>
              </w:rPr>
              <w:t>47</w:t>
            </w:r>
          </w:p>
        </w:tc>
        <w:tc>
          <w:tcPr>
            <w:tcW w:w="904" w:type="pct"/>
            <w:tcBorders>
              <w:tl2br w:val="nil"/>
              <w:tr2bl w:val="nil"/>
            </w:tcBorders>
            <w:noWrap w:val="0"/>
            <w:vAlign w:val="center"/>
          </w:tcPr>
          <w:p w14:paraId="285BF46B">
            <w:pPr>
              <w:pStyle w:val="563"/>
              <w:bidi w:val="0"/>
              <w:rPr>
                <w:rFonts w:hint="eastAsia"/>
                <w:color w:val="auto"/>
                <w:highlight w:val="none"/>
                <w:lang w:val="en-US" w:eastAsia="zh-CN"/>
              </w:rPr>
            </w:pPr>
            <w:r>
              <w:rPr>
                <w:rFonts w:hint="eastAsia"/>
                <w:color w:val="auto"/>
                <w:highlight w:val="none"/>
                <w:lang w:val="en-US" w:eastAsia="zh-CN"/>
              </w:rPr>
              <w:t>坝面</w:t>
            </w:r>
          </w:p>
        </w:tc>
        <w:tc>
          <w:tcPr>
            <w:tcW w:w="591" w:type="pct"/>
            <w:tcBorders>
              <w:tl2br w:val="nil"/>
              <w:tr2bl w:val="nil"/>
            </w:tcBorders>
            <w:noWrap w:val="0"/>
            <w:vAlign w:val="center"/>
          </w:tcPr>
          <w:p w14:paraId="7E44C8D4">
            <w:pPr>
              <w:pStyle w:val="563"/>
              <w:bidi w:val="0"/>
              <w:rPr>
                <w:rFonts w:hint="eastAsia"/>
                <w:color w:val="auto"/>
                <w:highlight w:val="none"/>
                <w:lang w:val="en-US" w:eastAsia="zh-CN"/>
              </w:rPr>
            </w:pPr>
            <w:r>
              <w:rPr>
                <w:rFonts w:hint="eastAsia"/>
                <w:color w:val="auto"/>
                <w:highlight w:val="none"/>
                <w:lang w:val="en-US" w:eastAsia="zh-CN"/>
              </w:rPr>
              <w:t>116.99211</w:t>
            </w:r>
          </w:p>
        </w:tc>
        <w:tc>
          <w:tcPr>
            <w:tcW w:w="545" w:type="pct"/>
            <w:tcBorders>
              <w:tl2br w:val="nil"/>
              <w:tr2bl w:val="nil"/>
            </w:tcBorders>
            <w:noWrap w:val="0"/>
            <w:vAlign w:val="center"/>
          </w:tcPr>
          <w:p w14:paraId="01A7FB1D">
            <w:pPr>
              <w:pStyle w:val="563"/>
              <w:bidi w:val="0"/>
              <w:rPr>
                <w:rFonts w:hint="eastAsia"/>
                <w:color w:val="auto"/>
                <w:highlight w:val="none"/>
                <w:lang w:val="en-US" w:eastAsia="zh-CN"/>
              </w:rPr>
            </w:pPr>
            <w:r>
              <w:rPr>
                <w:rFonts w:hint="eastAsia"/>
                <w:color w:val="auto"/>
                <w:highlight w:val="none"/>
                <w:lang w:val="en-US" w:eastAsia="zh-CN"/>
              </w:rPr>
              <w:t>32.543341</w:t>
            </w:r>
          </w:p>
        </w:tc>
        <w:tc>
          <w:tcPr>
            <w:tcW w:w="475" w:type="pct"/>
            <w:tcBorders>
              <w:tl2br w:val="nil"/>
              <w:tr2bl w:val="nil"/>
            </w:tcBorders>
            <w:noWrap w:val="0"/>
            <w:vAlign w:val="center"/>
          </w:tcPr>
          <w:p w14:paraId="10C406B2">
            <w:pPr>
              <w:pStyle w:val="563"/>
              <w:bidi w:val="0"/>
              <w:rPr>
                <w:rFonts w:hint="eastAsia"/>
                <w:color w:val="auto"/>
                <w:highlight w:val="none"/>
                <w:lang w:val="en-US" w:eastAsia="zh-CN"/>
              </w:rPr>
            </w:pPr>
            <w:r>
              <w:rPr>
                <w:rFonts w:hint="eastAsia"/>
                <w:color w:val="auto"/>
                <w:highlight w:val="none"/>
                <w:lang w:val="en-US" w:eastAsia="zh-CN"/>
              </w:rPr>
              <w:t>80户/240人</w:t>
            </w:r>
          </w:p>
        </w:tc>
        <w:tc>
          <w:tcPr>
            <w:tcW w:w="775" w:type="pct"/>
            <w:vMerge w:val="continue"/>
            <w:tcBorders>
              <w:tl2br w:val="nil"/>
              <w:tr2bl w:val="nil"/>
            </w:tcBorders>
            <w:noWrap w:val="0"/>
            <w:vAlign w:val="center"/>
          </w:tcPr>
          <w:p w14:paraId="4DCB90C2">
            <w:pPr>
              <w:pStyle w:val="563"/>
              <w:bidi w:val="0"/>
              <w:rPr>
                <w:rFonts w:hint="eastAsia"/>
                <w:color w:val="auto"/>
                <w:highlight w:val="none"/>
                <w:lang w:val="en-US" w:eastAsia="zh-CN"/>
              </w:rPr>
            </w:pPr>
          </w:p>
        </w:tc>
        <w:tc>
          <w:tcPr>
            <w:tcW w:w="817" w:type="pct"/>
            <w:tcBorders>
              <w:tl2br w:val="nil"/>
              <w:tr2bl w:val="nil"/>
            </w:tcBorders>
            <w:noWrap w:val="0"/>
            <w:vAlign w:val="center"/>
          </w:tcPr>
          <w:p w14:paraId="3362F366">
            <w:pPr>
              <w:pStyle w:val="563"/>
              <w:bidi w:val="0"/>
              <w:rPr>
                <w:color w:val="auto"/>
                <w:highlight w:val="none"/>
              </w:rPr>
            </w:pPr>
            <w:r>
              <w:rPr>
                <w:rFonts w:hint="eastAsia"/>
                <w:color w:val="auto"/>
                <w:highlight w:val="none"/>
                <w:lang w:val="en-US" w:eastAsia="zh-CN"/>
              </w:rPr>
              <w:t>西北</w:t>
            </w:r>
          </w:p>
        </w:tc>
        <w:tc>
          <w:tcPr>
            <w:tcW w:w="559" w:type="pct"/>
            <w:tcBorders>
              <w:tl2br w:val="nil"/>
              <w:tr2bl w:val="nil"/>
            </w:tcBorders>
            <w:noWrap w:val="0"/>
            <w:vAlign w:val="center"/>
          </w:tcPr>
          <w:p w14:paraId="76F37275">
            <w:pPr>
              <w:pStyle w:val="563"/>
              <w:bidi w:val="0"/>
              <w:rPr>
                <w:rFonts w:hint="eastAsia"/>
                <w:color w:val="auto"/>
                <w:highlight w:val="none"/>
                <w:lang w:val="en-US" w:eastAsia="zh-CN"/>
              </w:rPr>
            </w:pPr>
            <w:r>
              <w:rPr>
                <w:rFonts w:hint="eastAsia"/>
                <w:color w:val="auto"/>
                <w:highlight w:val="none"/>
                <w:lang w:val="en-US" w:eastAsia="zh-CN"/>
              </w:rPr>
              <w:t>2076</w:t>
            </w:r>
          </w:p>
        </w:tc>
      </w:tr>
      <w:tr w14:paraId="624B92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3D825482">
            <w:pPr>
              <w:pStyle w:val="563"/>
              <w:bidi w:val="0"/>
              <w:rPr>
                <w:rFonts w:hint="eastAsia"/>
                <w:color w:val="auto"/>
                <w:highlight w:val="none"/>
                <w:lang w:val="en-US" w:eastAsia="zh-CN"/>
              </w:rPr>
            </w:pPr>
            <w:r>
              <w:rPr>
                <w:rFonts w:hint="eastAsia"/>
                <w:color w:val="auto"/>
                <w:highlight w:val="none"/>
                <w:lang w:val="en-US" w:eastAsia="zh-CN"/>
              </w:rPr>
              <w:t>48</w:t>
            </w:r>
          </w:p>
        </w:tc>
        <w:tc>
          <w:tcPr>
            <w:tcW w:w="904" w:type="pct"/>
            <w:tcBorders>
              <w:tl2br w:val="nil"/>
              <w:tr2bl w:val="nil"/>
            </w:tcBorders>
            <w:noWrap w:val="0"/>
            <w:vAlign w:val="center"/>
          </w:tcPr>
          <w:p w14:paraId="390BEDAC">
            <w:pPr>
              <w:pStyle w:val="563"/>
              <w:bidi w:val="0"/>
              <w:rPr>
                <w:rFonts w:hint="eastAsia"/>
                <w:color w:val="auto"/>
                <w:highlight w:val="none"/>
                <w:lang w:val="en-US" w:eastAsia="zh-CN"/>
              </w:rPr>
            </w:pPr>
            <w:r>
              <w:rPr>
                <w:rFonts w:hint="eastAsia"/>
                <w:color w:val="auto"/>
                <w:highlight w:val="none"/>
                <w:lang w:val="en-US" w:eastAsia="zh-CN"/>
              </w:rPr>
              <w:t>小后郢</w:t>
            </w:r>
          </w:p>
        </w:tc>
        <w:tc>
          <w:tcPr>
            <w:tcW w:w="591" w:type="pct"/>
            <w:tcBorders>
              <w:tl2br w:val="nil"/>
              <w:tr2bl w:val="nil"/>
            </w:tcBorders>
            <w:noWrap w:val="0"/>
            <w:vAlign w:val="center"/>
          </w:tcPr>
          <w:p w14:paraId="1C01607F">
            <w:pPr>
              <w:pStyle w:val="563"/>
              <w:bidi w:val="0"/>
              <w:rPr>
                <w:rFonts w:hint="eastAsia"/>
                <w:color w:val="auto"/>
                <w:highlight w:val="none"/>
                <w:lang w:val="en-US" w:eastAsia="zh-CN"/>
              </w:rPr>
            </w:pPr>
            <w:r>
              <w:rPr>
                <w:rFonts w:hint="eastAsia"/>
                <w:color w:val="auto"/>
                <w:highlight w:val="none"/>
                <w:lang w:val="en-US" w:eastAsia="zh-CN"/>
              </w:rPr>
              <w:t>116.99622</w:t>
            </w:r>
          </w:p>
        </w:tc>
        <w:tc>
          <w:tcPr>
            <w:tcW w:w="545" w:type="pct"/>
            <w:tcBorders>
              <w:tl2br w:val="nil"/>
              <w:tr2bl w:val="nil"/>
            </w:tcBorders>
            <w:noWrap w:val="0"/>
            <w:vAlign w:val="center"/>
          </w:tcPr>
          <w:p w14:paraId="77A61506">
            <w:pPr>
              <w:pStyle w:val="563"/>
              <w:bidi w:val="0"/>
              <w:rPr>
                <w:rFonts w:hint="eastAsia"/>
                <w:color w:val="auto"/>
                <w:highlight w:val="none"/>
                <w:lang w:val="en-US" w:eastAsia="zh-CN"/>
              </w:rPr>
            </w:pPr>
            <w:r>
              <w:rPr>
                <w:rFonts w:hint="eastAsia"/>
                <w:color w:val="auto"/>
                <w:highlight w:val="none"/>
                <w:lang w:val="en-US" w:eastAsia="zh-CN"/>
              </w:rPr>
              <w:t>32.534762</w:t>
            </w:r>
          </w:p>
        </w:tc>
        <w:tc>
          <w:tcPr>
            <w:tcW w:w="475" w:type="pct"/>
            <w:tcBorders>
              <w:tl2br w:val="nil"/>
              <w:tr2bl w:val="nil"/>
            </w:tcBorders>
            <w:noWrap w:val="0"/>
            <w:vAlign w:val="center"/>
          </w:tcPr>
          <w:p w14:paraId="6DF32E36">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13FD88F8">
            <w:pPr>
              <w:pStyle w:val="563"/>
              <w:bidi w:val="0"/>
              <w:rPr>
                <w:rFonts w:hint="eastAsia"/>
                <w:color w:val="auto"/>
                <w:highlight w:val="none"/>
                <w:lang w:val="en-US" w:eastAsia="zh-CN"/>
              </w:rPr>
            </w:pPr>
          </w:p>
        </w:tc>
        <w:tc>
          <w:tcPr>
            <w:tcW w:w="817" w:type="pct"/>
            <w:tcBorders>
              <w:tl2br w:val="nil"/>
              <w:tr2bl w:val="nil"/>
            </w:tcBorders>
            <w:noWrap w:val="0"/>
            <w:vAlign w:val="center"/>
          </w:tcPr>
          <w:p w14:paraId="607F7062">
            <w:pPr>
              <w:pStyle w:val="563"/>
              <w:bidi w:val="0"/>
              <w:rPr>
                <w:color w:val="auto"/>
                <w:highlight w:val="none"/>
              </w:rPr>
            </w:pPr>
            <w:r>
              <w:rPr>
                <w:rFonts w:hint="eastAsia"/>
                <w:color w:val="auto"/>
                <w:highlight w:val="none"/>
                <w:lang w:val="en-US" w:eastAsia="zh-CN"/>
              </w:rPr>
              <w:t>西北</w:t>
            </w:r>
          </w:p>
        </w:tc>
        <w:tc>
          <w:tcPr>
            <w:tcW w:w="559" w:type="pct"/>
            <w:tcBorders>
              <w:tl2br w:val="nil"/>
              <w:tr2bl w:val="nil"/>
            </w:tcBorders>
            <w:noWrap w:val="0"/>
            <w:vAlign w:val="center"/>
          </w:tcPr>
          <w:p w14:paraId="3A60EFE1">
            <w:pPr>
              <w:pStyle w:val="563"/>
              <w:bidi w:val="0"/>
              <w:rPr>
                <w:rFonts w:hint="eastAsia"/>
                <w:color w:val="auto"/>
                <w:highlight w:val="none"/>
                <w:lang w:val="en-US" w:eastAsia="zh-CN"/>
              </w:rPr>
            </w:pPr>
            <w:r>
              <w:rPr>
                <w:rFonts w:hint="eastAsia"/>
                <w:color w:val="auto"/>
                <w:highlight w:val="none"/>
                <w:lang w:val="en-US" w:eastAsia="zh-CN"/>
              </w:rPr>
              <w:t>1048</w:t>
            </w:r>
          </w:p>
        </w:tc>
      </w:tr>
      <w:tr w14:paraId="2B64EF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722CCB40">
            <w:pPr>
              <w:pStyle w:val="563"/>
              <w:bidi w:val="0"/>
              <w:rPr>
                <w:rFonts w:hint="eastAsia"/>
                <w:color w:val="auto"/>
                <w:highlight w:val="none"/>
                <w:lang w:val="en-US" w:eastAsia="zh-CN"/>
              </w:rPr>
            </w:pPr>
            <w:r>
              <w:rPr>
                <w:rFonts w:hint="eastAsia"/>
                <w:color w:val="auto"/>
                <w:highlight w:val="none"/>
                <w:lang w:val="en-US" w:eastAsia="zh-CN"/>
              </w:rPr>
              <w:t>49</w:t>
            </w:r>
          </w:p>
        </w:tc>
        <w:tc>
          <w:tcPr>
            <w:tcW w:w="904" w:type="pct"/>
            <w:tcBorders>
              <w:tl2br w:val="nil"/>
              <w:tr2bl w:val="nil"/>
            </w:tcBorders>
            <w:noWrap w:val="0"/>
            <w:vAlign w:val="center"/>
          </w:tcPr>
          <w:p w14:paraId="1B7B19C3">
            <w:pPr>
              <w:pStyle w:val="563"/>
              <w:bidi w:val="0"/>
              <w:rPr>
                <w:rFonts w:hint="eastAsia"/>
                <w:color w:val="auto"/>
                <w:highlight w:val="none"/>
                <w:lang w:val="en-US" w:eastAsia="zh-CN"/>
              </w:rPr>
            </w:pPr>
            <w:r>
              <w:rPr>
                <w:rFonts w:hint="eastAsia"/>
                <w:color w:val="auto"/>
                <w:highlight w:val="none"/>
                <w:lang w:val="en-US" w:eastAsia="zh-CN"/>
              </w:rPr>
              <w:t>西瓦社区</w:t>
            </w:r>
          </w:p>
        </w:tc>
        <w:tc>
          <w:tcPr>
            <w:tcW w:w="591" w:type="pct"/>
            <w:tcBorders>
              <w:tl2br w:val="nil"/>
              <w:tr2bl w:val="nil"/>
            </w:tcBorders>
            <w:noWrap w:val="0"/>
            <w:vAlign w:val="center"/>
          </w:tcPr>
          <w:p w14:paraId="157E62D6">
            <w:pPr>
              <w:pStyle w:val="563"/>
              <w:bidi w:val="0"/>
              <w:rPr>
                <w:rFonts w:hint="eastAsia"/>
                <w:color w:val="auto"/>
                <w:highlight w:val="none"/>
                <w:lang w:val="en-US" w:eastAsia="zh-CN"/>
              </w:rPr>
            </w:pPr>
            <w:r>
              <w:rPr>
                <w:rFonts w:hint="eastAsia"/>
                <w:color w:val="auto"/>
                <w:highlight w:val="none"/>
                <w:lang w:val="en-US" w:eastAsia="zh-CN"/>
              </w:rPr>
              <w:t>116.99686</w:t>
            </w:r>
          </w:p>
        </w:tc>
        <w:tc>
          <w:tcPr>
            <w:tcW w:w="545" w:type="pct"/>
            <w:tcBorders>
              <w:tl2br w:val="nil"/>
              <w:tr2bl w:val="nil"/>
            </w:tcBorders>
            <w:noWrap w:val="0"/>
            <w:vAlign w:val="center"/>
          </w:tcPr>
          <w:p w14:paraId="5DF0D731">
            <w:pPr>
              <w:pStyle w:val="563"/>
              <w:bidi w:val="0"/>
              <w:rPr>
                <w:rFonts w:hint="eastAsia"/>
                <w:color w:val="auto"/>
                <w:highlight w:val="none"/>
                <w:lang w:val="en-US" w:eastAsia="zh-CN"/>
              </w:rPr>
            </w:pPr>
            <w:r>
              <w:rPr>
                <w:rFonts w:hint="eastAsia"/>
                <w:color w:val="auto"/>
                <w:highlight w:val="none"/>
                <w:lang w:val="en-US" w:eastAsia="zh-CN"/>
              </w:rPr>
              <w:t>32.529456</w:t>
            </w:r>
          </w:p>
        </w:tc>
        <w:tc>
          <w:tcPr>
            <w:tcW w:w="475" w:type="pct"/>
            <w:tcBorders>
              <w:tl2br w:val="nil"/>
              <w:tr2bl w:val="nil"/>
            </w:tcBorders>
            <w:noWrap w:val="0"/>
            <w:vAlign w:val="center"/>
          </w:tcPr>
          <w:p w14:paraId="6B1C4E15">
            <w:pPr>
              <w:pStyle w:val="563"/>
              <w:bidi w:val="0"/>
              <w:rPr>
                <w:rFonts w:hint="eastAsia"/>
                <w:color w:val="auto"/>
                <w:highlight w:val="none"/>
                <w:lang w:val="en-US" w:eastAsia="zh-CN"/>
              </w:rPr>
            </w:pPr>
            <w:r>
              <w:rPr>
                <w:rFonts w:hint="eastAsia"/>
                <w:color w:val="auto"/>
                <w:highlight w:val="none"/>
                <w:lang w:val="en-US" w:eastAsia="zh-CN"/>
              </w:rPr>
              <w:t>25户/75人</w:t>
            </w:r>
          </w:p>
        </w:tc>
        <w:tc>
          <w:tcPr>
            <w:tcW w:w="775" w:type="pct"/>
            <w:vMerge w:val="continue"/>
            <w:tcBorders>
              <w:tl2br w:val="nil"/>
              <w:tr2bl w:val="nil"/>
            </w:tcBorders>
            <w:noWrap w:val="0"/>
            <w:vAlign w:val="center"/>
          </w:tcPr>
          <w:p w14:paraId="00066FB2">
            <w:pPr>
              <w:pStyle w:val="563"/>
              <w:bidi w:val="0"/>
              <w:rPr>
                <w:rFonts w:hint="eastAsia"/>
                <w:color w:val="auto"/>
                <w:highlight w:val="none"/>
                <w:lang w:val="en-US" w:eastAsia="zh-CN"/>
              </w:rPr>
            </w:pPr>
          </w:p>
        </w:tc>
        <w:tc>
          <w:tcPr>
            <w:tcW w:w="817" w:type="pct"/>
            <w:tcBorders>
              <w:tl2br w:val="nil"/>
              <w:tr2bl w:val="nil"/>
            </w:tcBorders>
            <w:noWrap w:val="0"/>
            <w:vAlign w:val="center"/>
          </w:tcPr>
          <w:p w14:paraId="398E15C7">
            <w:pPr>
              <w:pStyle w:val="563"/>
              <w:bidi w:val="0"/>
              <w:rPr>
                <w:color w:val="auto"/>
                <w:highlight w:val="none"/>
              </w:rPr>
            </w:pPr>
            <w:r>
              <w:rPr>
                <w:rFonts w:hint="eastAsia"/>
                <w:color w:val="auto"/>
                <w:highlight w:val="none"/>
                <w:lang w:val="en-US" w:eastAsia="zh-CN"/>
              </w:rPr>
              <w:t>西北</w:t>
            </w:r>
          </w:p>
        </w:tc>
        <w:tc>
          <w:tcPr>
            <w:tcW w:w="559" w:type="pct"/>
            <w:tcBorders>
              <w:tl2br w:val="nil"/>
              <w:tr2bl w:val="nil"/>
            </w:tcBorders>
            <w:noWrap w:val="0"/>
            <w:vAlign w:val="center"/>
          </w:tcPr>
          <w:p w14:paraId="67AE4076">
            <w:pPr>
              <w:pStyle w:val="563"/>
              <w:bidi w:val="0"/>
              <w:rPr>
                <w:rFonts w:hint="eastAsia"/>
                <w:color w:val="auto"/>
                <w:highlight w:val="none"/>
                <w:lang w:val="en-US" w:eastAsia="zh-CN"/>
              </w:rPr>
            </w:pPr>
            <w:r>
              <w:rPr>
                <w:rFonts w:hint="eastAsia"/>
                <w:color w:val="auto"/>
                <w:highlight w:val="none"/>
                <w:lang w:val="en-US" w:eastAsia="zh-CN"/>
              </w:rPr>
              <w:t>518</w:t>
            </w:r>
          </w:p>
        </w:tc>
      </w:tr>
      <w:tr w14:paraId="53CFFF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6B1A717">
            <w:pPr>
              <w:pStyle w:val="563"/>
              <w:bidi w:val="0"/>
              <w:rPr>
                <w:rFonts w:hint="eastAsia"/>
                <w:color w:val="auto"/>
                <w:highlight w:val="none"/>
                <w:lang w:val="en-US" w:eastAsia="zh-CN"/>
              </w:rPr>
            </w:pPr>
            <w:r>
              <w:rPr>
                <w:rFonts w:hint="eastAsia"/>
                <w:color w:val="auto"/>
                <w:highlight w:val="none"/>
                <w:lang w:val="en-US" w:eastAsia="zh-CN"/>
              </w:rPr>
              <w:t>50</w:t>
            </w:r>
          </w:p>
        </w:tc>
        <w:tc>
          <w:tcPr>
            <w:tcW w:w="904" w:type="pct"/>
            <w:tcBorders>
              <w:tl2br w:val="nil"/>
              <w:tr2bl w:val="nil"/>
            </w:tcBorders>
            <w:noWrap w:val="0"/>
            <w:vAlign w:val="center"/>
          </w:tcPr>
          <w:p w14:paraId="1D67AE9D">
            <w:pPr>
              <w:pStyle w:val="563"/>
              <w:bidi w:val="0"/>
              <w:rPr>
                <w:rFonts w:hint="eastAsia"/>
                <w:color w:val="auto"/>
                <w:highlight w:val="none"/>
                <w:lang w:val="en-US" w:eastAsia="zh-CN"/>
              </w:rPr>
            </w:pPr>
            <w:r>
              <w:rPr>
                <w:rFonts w:hint="eastAsia"/>
                <w:color w:val="auto"/>
                <w:highlight w:val="none"/>
                <w:lang w:val="en-US" w:eastAsia="zh-CN"/>
              </w:rPr>
              <w:t>沈庄子</w:t>
            </w:r>
          </w:p>
        </w:tc>
        <w:tc>
          <w:tcPr>
            <w:tcW w:w="591" w:type="pct"/>
            <w:tcBorders>
              <w:tl2br w:val="nil"/>
              <w:tr2bl w:val="nil"/>
            </w:tcBorders>
            <w:noWrap w:val="0"/>
            <w:vAlign w:val="center"/>
          </w:tcPr>
          <w:p w14:paraId="2A52E4B1">
            <w:pPr>
              <w:pStyle w:val="563"/>
              <w:bidi w:val="0"/>
              <w:rPr>
                <w:rFonts w:hint="eastAsia"/>
                <w:color w:val="auto"/>
                <w:highlight w:val="none"/>
                <w:lang w:val="en-US" w:eastAsia="zh-CN"/>
              </w:rPr>
            </w:pPr>
            <w:r>
              <w:rPr>
                <w:rFonts w:hint="eastAsia"/>
                <w:color w:val="auto"/>
                <w:highlight w:val="none"/>
                <w:lang w:val="en-US" w:eastAsia="zh-CN"/>
              </w:rPr>
              <w:t>116.99666</w:t>
            </w:r>
          </w:p>
        </w:tc>
        <w:tc>
          <w:tcPr>
            <w:tcW w:w="545" w:type="pct"/>
            <w:tcBorders>
              <w:tl2br w:val="nil"/>
              <w:tr2bl w:val="nil"/>
            </w:tcBorders>
            <w:noWrap w:val="0"/>
            <w:vAlign w:val="center"/>
          </w:tcPr>
          <w:p w14:paraId="434B2A41">
            <w:pPr>
              <w:pStyle w:val="563"/>
              <w:bidi w:val="0"/>
              <w:rPr>
                <w:rFonts w:hint="eastAsia"/>
                <w:color w:val="auto"/>
                <w:highlight w:val="none"/>
                <w:lang w:val="en-US" w:eastAsia="zh-CN"/>
              </w:rPr>
            </w:pPr>
            <w:r>
              <w:rPr>
                <w:rFonts w:hint="eastAsia"/>
                <w:color w:val="auto"/>
                <w:highlight w:val="none"/>
                <w:lang w:val="en-US" w:eastAsia="zh-CN"/>
              </w:rPr>
              <w:t>32.511781</w:t>
            </w:r>
          </w:p>
        </w:tc>
        <w:tc>
          <w:tcPr>
            <w:tcW w:w="475" w:type="pct"/>
            <w:tcBorders>
              <w:tl2br w:val="nil"/>
              <w:tr2bl w:val="nil"/>
            </w:tcBorders>
            <w:noWrap w:val="0"/>
            <w:vAlign w:val="center"/>
          </w:tcPr>
          <w:p w14:paraId="47AD13EA">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713D7A11">
            <w:pPr>
              <w:pStyle w:val="563"/>
              <w:bidi w:val="0"/>
              <w:rPr>
                <w:rFonts w:hint="eastAsia"/>
                <w:color w:val="auto"/>
                <w:highlight w:val="none"/>
                <w:lang w:val="en-US" w:eastAsia="zh-CN"/>
              </w:rPr>
            </w:pPr>
          </w:p>
        </w:tc>
        <w:tc>
          <w:tcPr>
            <w:tcW w:w="817" w:type="pct"/>
            <w:tcBorders>
              <w:tl2br w:val="nil"/>
              <w:tr2bl w:val="nil"/>
            </w:tcBorders>
            <w:noWrap w:val="0"/>
            <w:vAlign w:val="center"/>
          </w:tcPr>
          <w:p w14:paraId="106975CD">
            <w:pPr>
              <w:pStyle w:val="563"/>
              <w:bidi w:val="0"/>
              <w:rPr>
                <w:color w:val="auto"/>
                <w:highlight w:val="none"/>
              </w:rPr>
            </w:pPr>
            <w:r>
              <w:rPr>
                <w:rFonts w:hint="eastAsia"/>
                <w:color w:val="auto"/>
                <w:highlight w:val="none"/>
                <w:lang w:val="en-US" w:eastAsia="zh-CN"/>
              </w:rPr>
              <w:t>南</w:t>
            </w:r>
          </w:p>
        </w:tc>
        <w:tc>
          <w:tcPr>
            <w:tcW w:w="559" w:type="pct"/>
            <w:tcBorders>
              <w:tl2br w:val="nil"/>
              <w:tr2bl w:val="nil"/>
            </w:tcBorders>
            <w:noWrap w:val="0"/>
            <w:vAlign w:val="center"/>
          </w:tcPr>
          <w:p w14:paraId="6732A161">
            <w:pPr>
              <w:pStyle w:val="563"/>
              <w:bidi w:val="0"/>
              <w:rPr>
                <w:rFonts w:hint="eastAsia"/>
                <w:color w:val="auto"/>
                <w:highlight w:val="none"/>
                <w:lang w:val="en-US" w:eastAsia="zh-CN"/>
              </w:rPr>
            </w:pPr>
            <w:r>
              <w:rPr>
                <w:rFonts w:hint="eastAsia"/>
                <w:color w:val="auto"/>
                <w:highlight w:val="none"/>
                <w:lang w:val="en-US" w:eastAsia="zh-CN"/>
              </w:rPr>
              <w:t>1529</w:t>
            </w:r>
          </w:p>
        </w:tc>
      </w:tr>
      <w:tr w14:paraId="1B4FFF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D564ADB">
            <w:pPr>
              <w:pStyle w:val="563"/>
              <w:bidi w:val="0"/>
              <w:rPr>
                <w:rFonts w:hint="eastAsia"/>
                <w:color w:val="auto"/>
                <w:highlight w:val="none"/>
                <w:lang w:val="en-US" w:eastAsia="zh-CN"/>
              </w:rPr>
            </w:pPr>
            <w:r>
              <w:rPr>
                <w:rFonts w:hint="eastAsia"/>
                <w:color w:val="auto"/>
                <w:highlight w:val="none"/>
                <w:lang w:val="en-US" w:eastAsia="zh-CN"/>
              </w:rPr>
              <w:t>51</w:t>
            </w:r>
          </w:p>
        </w:tc>
        <w:tc>
          <w:tcPr>
            <w:tcW w:w="904" w:type="pct"/>
            <w:tcBorders>
              <w:tl2br w:val="nil"/>
              <w:tr2bl w:val="nil"/>
            </w:tcBorders>
            <w:noWrap w:val="0"/>
            <w:vAlign w:val="center"/>
          </w:tcPr>
          <w:p w14:paraId="70138E97">
            <w:pPr>
              <w:pStyle w:val="563"/>
              <w:bidi w:val="0"/>
              <w:rPr>
                <w:rFonts w:hint="eastAsia"/>
                <w:color w:val="auto"/>
                <w:highlight w:val="none"/>
                <w:lang w:val="en-US" w:eastAsia="zh-CN"/>
              </w:rPr>
            </w:pPr>
            <w:r>
              <w:rPr>
                <w:rFonts w:hint="eastAsia"/>
                <w:color w:val="auto"/>
                <w:highlight w:val="none"/>
                <w:lang w:val="en-US" w:eastAsia="zh-CN"/>
              </w:rPr>
              <w:t>孟郢</w:t>
            </w:r>
          </w:p>
        </w:tc>
        <w:tc>
          <w:tcPr>
            <w:tcW w:w="591" w:type="pct"/>
            <w:tcBorders>
              <w:tl2br w:val="nil"/>
              <w:tr2bl w:val="nil"/>
            </w:tcBorders>
            <w:noWrap w:val="0"/>
            <w:vAlign w:val="center"/>
          </w:tcPr>
          <w:p w14:paraId="300547CE">
            <w:pPr>
              <w:pStyle w:val="563"/>
              <w:bidi w:val="0"/>
              <w:rPr>
                <w:rFonts w:hint="eastAsia"/>
                <w:color w:val="auto"/>
                <w:highlight w:val="none"/>
                <w:lang w:val="en-US" w:eastAsia="zh-CN"/>
              </w:rPr>
            </w:pPr>
            <w:r>
              <w:rPr>
                <w:rFonts w:hint="eastAsia"/>
                <w:color w:val="auto"/>
                <w:highlight w:val="none"/>
                <w:lang w:val="en-US" w:eastAsia="zh-CN"/>
              </w:rPr>
              <w:t>117.01387</w:t>
            </w:r>
          </w:p>
        </w:tc>
        <w:tc>
          <w:tcPr>
            <w:tcW w:w="545" w:type="pct"/>
            <w:tcBorders>
              <w:tl2br w:val="nil"/>
              <w:tr2bl w:val="nil"/>
            </w:tcBorders>
            <w:noWrap w:val="0"/>
            <w:vAlign w:val="center"/>
          </w:tcPr>
          <w:p w14:paraId="10DE2232">
            <w:pPr>
              <w:pStyle w:val="563"/>
              <w:bidi w:val="0"/>
              <w:rPr>
                <w:rFonts w:hint="eastAsia"/>
                <w:color w:val="auto"/>
                <w:highlight w:val="none"/>
                <w:lang w:val="en-US" w:eastAsia="zh-CN"/>
              </w:rPr>
            </w:pPr>
            <w:r>
              <w:rPr>
                <w:rFonts w:hint="eastAsia"/>
                <w:color w:val="auto"/>
                <w:highlight w:val="none"/>
                <w:lang w:val="en-US" w:eastAsia="zh-CN"/>
              </w:rPr>
              <w:t>32.531379</w:t>
            </w:r>
          </w:p>
        </w:tc>
        <w:tc>
          <w:tcPr>
            <w:tcW w:w="475" w:type="pct"/>
            <w:tcBorders>
              <w:tl2br w:val="nil"/>
              <w:tr2bl w:val="nil"/>
            </w:tcBorders>
            <w:noWrap w:val="0"/>
            <w:vAlign w:val="center"/>
          </w:tcPr>
          <w:p w14:paraId="1E929D25">
            <w:pPr>
              <w:pStyle w:val="563"/>
              <w:bidi w:val="0"/>
              <w:rPr>
                <w:rFonts w:hint="eastAsia"/>
                <w:color w:val="auto"/>
                <w:highlight w:val="none"/>
                <w:lang w:val="en-US" w:eastAsia="zh-CN"/>
              </w:rPr>
            </w:pPr>
            <w:r>
              <w:rPr>
                <w:rFonts w:hint="eastAsia"/>
                <w:color w:val="auto"/>
                <w:highlight w:val="none"/>
                <w:lang w:val="en-US" w:eastAsia="zh-CN"/>
              </w:rPr>
              <w:t>10户/30人</w:t>
            </w:r>
          </w:p>
        </w:tc>
        <w:tc>
          <w:tcPr>
            <w:tcW w:w="775" w:type="pct"/>
            <w:vMerge w:val="continue"/>
            <w:tcBorders>
              <w:tl2br w:val="nil"/>
              <w:tr2bl w:val="nil"/>
            </w:tcBorders>
            <w:noWrap w:val="0"/>
            <w:vAlign w:val="center"/>
          </w:tcPr>
          <w:p w14:paraId="714C40D7">
            <w:pPr>
              <w:pStyle w:val="563"/>
              <w:bidi w:val="0"/>
              <w:rPr>
                <w:rFonts w:hint="eastAsia"/>
                <w:color w:val="auto"/>
                <w:highlight w:val="none"/>
                <w:lang w:val="en-US" w:eastAsia="zh-CN"/>
              </w:rPr>
            </w:pPr>
          </w:p>
        </w:tc>
        <w:tc>
          <w:tcPr>
            <w:tcW w:w="817" w:type="pct"/>
            <w:tcBorders>
              <w:tl2br w:val="nil"/>
              <w:tr2bl w:val="nil"/>
            </w:tcBorders>
            <w:noWrap w:val="0"/>
            <w:vAlign w:val="center"/>
          </w:tcPr>
          <w:p w14:paraId="37940C2E">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27E49FF4">
            <w:pPr>
              <w:pStyle w:val="563"/>
              <w:bidi w:val="0"/>
              <w:rPr>
                <w:rFonts w:hint="eastAsia"/>
                <w:color w:val="auto"/>
                <w:highlight w:val="none"/>
                <w:lang w:val="en-US" w:eastAsia="zh-CN"/>
              </w:rPr>
            </w:pPr>
            <w:r>
              <w:rPr>
                <w:rFonts w:hint="eastAsia"/>
                <w:color w:val="auto"/>
                <w:highlight w:val="none"/>
                <w:lang w:val="en-US" w:eastAsia="zh-CN"/>
              </w:rPr>
              <w:t>1187</w:t>
            </w:r>
          </w:p>
        </w:tc>
      </w:tr>
      <w:tr w14:paraId="65B9F1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15315D51">
            <w:pPr>
              <w:pStyle w:val="563"/>
              <w:bidi w:val="0"/>
              <w:rPr>
                <w:rFonts w:hint="eastAsia"/>
                <w:color w:val="auto"/>
                <w:highlight w:val="none"/>
                <w:lang w:val="en-US" w:eastAsia="zh-CN"/>
              </w:rPr>
            </w:pPr>
            <w:r>
              <w:rPr>
                <w:rFonts w:hint="eastAsia"/>
                <w:color w:val="auto"/>
                <w:highlight w:val="none"/>
                <w:lang w:val="en-US" w:eastAsia="zh-CN"/>
              </w:rPr>
              <w:t>52</w:t>
            </w:r>
          </w:p>
        </w:tc>
        <w:tc>
          <w:tcPr>
            <w:tcW w:w="904" w:type="pct"/>
            <w:tcBorders>
              <w:tl2br w:val="nil"/>
              <w:tr2bl w:val="nil"/>
            </w:tcBorders>
            <w:noWrap w:val="0"/>
            <w:vAlign w:val="center"/>
          </w:tcPr>
          <w:p w14:paraId="3ED7D476">
            <w:pPr>
              <w:pStyle w:val="563"/>
              <w:bidi w:val="0"/>
              <w:rPr>
                <w:rFonts w:hint="eastAsia"/>
                <w:color w:val="auto"/>
                <w:highlight w:val="none"/>
                <w:lang w:val="en-US" w:eastAsia="zh-CN"/>
              </w:rPr>
            </w:pPr>
            <w:r>
              <w:rPr>
                <w:rFonts w:hint="eastAsia"/>
                <w:color w:val="auto"/>
                <w:highlight w:val="none"/>
                <w:lang w:val="en-US" w:eastAsia="zh-CN"/>
              </w:rPr>
              <w:t>前郢</w:t>
            </w:r>
          </w:p>
        </w:tc>
        <w:tc>
          <w:tcPr>
            <w:tcW w:w="591" w:type="pct"/>
            <w:tcBorders>
              <w:tl2br w:val="nil"/>
              <w:tr2bl w:val="nil"/>
            </w:tcBorders>
            <w:noWrap w:val="0"/>
            <w:vAlign w:val="center"/>
          </w:tcPr>
          <w:p w14:paraId="3AF612F3">
            <w:pPr>
              <w:pStyle w:val="563"/>
              <w:bidi w:val="0"/>
              <w:rPr>
                <w:rFonts w:hint="eastAsia"/>
                <w:color w:val="auto"/>
                <w:highlight w:val="none"/>
                <w:lang w:val="en-US" w:eastAsia="zh-CN"/>
              </w:rPr>
            </w:pPr>
            <w:r>
              <w:rPr>
                <w:rFonts w:hint="eastAsia"/>
                <w:color w:val="auto"/>
                <w:highlight w:val="none"/>
                <w:lang w:val="en-US" w:eastAsia="zh-CN"/>
              </w:rPr>
              <w:t>117.01961</w:t>
            </w:r>
          </w:p>
        </w:tc>
        <w:tc>
          <w:tcPr>
            <w:tcW w:w="545" w:type="pct"/>
            <w:tcBorders>
              <w:tl2br w:val="nil"/>
              <w:tr2bl w:val="nil"/>
            </w:tcBorders>
            <w:noWrap w:val="0"/>
            <w:vAlign w:val="center"/>
          </w:tcPr>
          <w:p w14:paraId="55C5CE19">
            <w:pPr>
              <w:pStyle w:val="563"/>
              <w:bidi w:val="0"/>
              <w:rPr>
                <w:rFonts w:hint="eastAsia"/>
                <w:color w:val="auto"/>
                <w:highlight w:val="none"/>
                <w:lang w:val="en-US" w:eastAsia="zh-CN"/>
              </w:rPr>
            </w:pPr>
            <w:r>
              <w:rPr>
                <w:rFonts w:hint="eastAsia"/>
                <w:color w:val="auto"/>
                <w:highlight w:val="none"/>
                <w:lang w:val="en-US" w:eastAsia="zh-CN"/>
              </w:rPr>
              <w:t>32.51121</w:t>
            </w:r>
          </w:p>
        </w:tc>
        <w:tc>
          <w:tcPr>
            <w:tcW w:w="475" w:type="pct"/>
            <w:tcBorders>
              <w:tl2br w:val="nil"/>
              <w:tr2bl w:val="nil"/>
            </w:tcBorders>
            <w:noWrap w:val="0"/>
            <w:vAlign w:val="center"/>
          </w:tcPr>
          <w:p w14:paraId="4734907F">
            <w:pPr>
              <w:pStyle w:val="563"/>
              <w:bidi w:val="0"/>
              <w:rPr>
                <w:rFonts w:hint="eastAsia"/>
                <w:color w:val="auto"/>
                <w:highlight w:val="none"/>
                <w:lang w:val="en-US" w:eastAsia="zh-CN"/>
              </w:rPr>
            </w:pPr>
            <w:r>
              <w:rPr>
                <w:rFonts w:hint="eastAsia"/>
                <w:color w:val="auto"/>
                <w:highlight w:val="none"/>
                <w:lang w:val="en-US" w:eastAsia="zh-CN"/>
              </w:rPr>
              <w:t>50户/150人</w:t>
            </w:r>
          </w:p>
        </w:tc>
        <w:tc>
          <w:tcPr>
            <w:tcW w:w="775" w:type="pct"/>
            <w:vMerge w:val="continue"/>
            <w:tcBorders>
              <w:tl2br w:val="nil"/>
              <w:tr2bl w:val="nil"/>
            </w:tcBorders>
            <w:noWrap w:val="0"/>
            <w:vAlign w:val="center"/>
          </w:tcPr>
          <w:p w14:paraId="19B6657D">
            <w:pPr>
              <w:pStyle w:val="563"/>
              <w:bidi w:val="0"/>
              <w:rPr>
                <w:rFonts w:hint="eastAsia"/>
                <w:color w:val="auto"/>
                <w:highlight w:val="none"/>
                <w:lang w:val="en-US" w:eastAsia="zh-CN"/>
              </w:rPr>
            </w:pPr>
          </w:p>
        </w:tc>
        <w:tc>
          <w:tcPr>
            <w:tcW w:w="817" w:type="pct"/>
            <w:tcBorders>
              <w:tl2br w:val="nil"/>
              <w:tr2bl w:val="nil"/>
            </w:tcBorders>
            <w:noWrap w:val="0"/>
            <w:vAlign w:val="center"/>
          </w:tcPr>
          <w:p w14:paraId="33123AEC">
            <w:pPr>
              <w:pStyle w:val="563"/>
              <w:bidi w:val="0"/>
              <w:rPr>
                <w:color w:val="auto"/>
                <w:highlight w:val="none"/>
              </w:rPr>
            </w:pPr>
            <w:r>
              <w:rPr>
                <w:rFonts w:hint="eastAsia"/>
                <w:color w:val="auto"/>
                <w:highlight w:val="none"/>
                <w:lang w:val="en-US" w:eastAsia="zh-CN"/>
              </w:rPr>
              <w:t>东南</w:t>
            </w:r>
          </w:p>
        </w:tc>
        <w:tc>
          <w:tcPr>
            <w:tcW w:w="559" w:type="pct"/>
            <w:tcBorders>
              <w:tl2br w:val="nil"/>
              <w:tr2bl w:val="nil"/>
            </w:tcBorders>
            <w:noWrap w:val="0"/>
            <w:vAlign w:val="center"/>
          </w:tcPr>
          <w:p w14:paraId="22E262ED">
            <w:pPr>
              <w:pStyle w:val="563"/>
              <w:bidi w:val="0"/>
              <w:rPr>
                <w:rFonts w:hint="eastAsia"/>
                <w:color w:val="auto"/>
                <w:highlight w:val="none"/>
                <w:lang w:val="en-US" w:eastAsia="zh-CN"/>
              </w:rPr>
            </w:pPr>
            <w:r>
              <w:rPr>
                <w:rFonts w:hint="eastAsia"/>
                <w:color w:val="auto"/>
                <w:highlight w:val="none"/>
                <w:lang w:val="en-US" w:eastAsia="zh-CN"/>
              </w:rPr>
              <w:t>2208</w:t>
            </w:r>
          </w:p>
        </w:tc>
      </w:tr>
      <w:tr w14:paraId="1D49EB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681281A0">
            <w:pPr>
              <w:pStyle w:val="563"/>
              <w:bidi w:val="0"/>
              <w:rPr>
                <w:rFonts w:hint="eastAsia"/>
                <w:color w:val="auto"/>
                <w:highlight w:val="none"/>
                <w:lang w:val="en-US" w:eastAsia="zh-CN"/>
              </w:rPr>
            </w:pPr>
            <w:r>
              <w:rPr>
                <w:rFonts w:hint="eastAsia"/>
                <w:color w:val="auto"/>
                <w:highlight w:val="none"/>
                <w:lang w:val="en-US" w:eastAsia="zh-CN"/>
              </w:rPr>
              <w:t>53</w:t>
            </w:r>
          </w:p>
        </w:tc>
        <w:tc>
          <w:tcPr>
            <w:tcW w:w="904" w:type="pct"/>
            <w:tcBorders>
              <w:tl2br w:val="nil"/>
              <w:tr2bl w:val="nil"/>
            </w:tcBorders>
            <w:noWrap w:val="0"/>
            <w:vAlign w:val="center"/>
          </w:tcPr>
          <w:p w14:paraId="03DAC32A">
            <w:pPr>
              <w:pStyle w:val="563"/>
              <w:bidi w:val="0"/>
              <w:rPr>
                <w:rFonts w:hint="eastAsia"/>
                <w:color w:val="auto"/>
                <w:highlight w:val="none"/>
                <w:lang w:val="en-US" w:eastAsia="zh-CN"/>
              </w:rPr>
            </w:pPr>
            <w:r>
              <w:rPr>
                <w:rFonts w:hint="eastAsia"/>
                <w:color w:val="auto"/>
                <w:highlight w:val="none"/>
                <w:lang w:val="en-US" w:eastAsia="zh-CN"/>
              </w:rPr>
              <w:t>李郢子</w:t>
            </w:r>
          </w:p>
        </w:tc>
        <w:tc>
          <w:tcPr>
            <w:tcW w:w="591" w:type="pct"/>
            <w:tcBorders>
              <w:tl2br w:val="nil"/>
              <w:tr2bl w:val="nil"/>
            </w:tcBorders>
            <w:noWrap w:val="0"/>
            <w:vAlign w:val="center"/>
          </w:tcPr>
          <w:p w14:paraId="3A646CEF">
            <w:pPr>
              <w:pStyle w:val="563"/>
              <w:bidi w:val="0"/>
              <w:rPr>
                <w:rFonts w:hint="eastAsia"/>
                <w:color w:val="auto"/>
                <w:highlight w:val="none"/>
                <w:lang w:val="en-US" w:eastAsia="zh-CN"/>
              </w:rPr>
            </w:pPr>
            <w:r>
              <w:rPr>
                <w:rFonts w:hint="eastAsia"/>
                <w:color w:val="auto"/>
                <w:highlight w:val="none"/>
                <w:lang w:val="en-US" w:eastAsia="zh-CN"/>
              </w:rPr>
              <w:t>116.98177</w:t>
            </w:r>
          </w:p>
        </w:tc>
        <w:tc>
          <w:tcPr>
            <w:tcW w:w="545" w:type="pct"/>
            <w:tcBorders>
              <w:tl2br w:val="nil"/>
              <w:tr2bl w:val="nil"/>
            </w:tcBorders>
            <w:noWrap w:val="0"/>
            <w:vAlign w:val="center"/>
          </w:tcPr>
          <w:p w14:paraId="12549805">
            <w:pPr>
              <w:pStyle w:val="563"/>
              <w:bidi w:val="0"/>
              <w:rPr>
                <w:rFonts w:hint="eastAsia"/>
                <w:color w:val="auto"/>
                <w:highlight w:val="none"/>
                <w:lang w:val="en-US" w:eastAsia="zh-CN"/>
              </w:rPr>
            </w:pPr>
            <w:r>
              <w:rPr>
                <w:rFonts w:hint="eastAsia"/>
                <w:color w:val="auto"/>
                <w:highlight w:val="none"/>
                <w:lang w:val="en-US" w:eastAsia="zh-CN"/>
              </w:rPr>
              <w:t>32.502945</w:t>
            </w:r>
          </w:p>
        </w:tc>
        <w:tc>
          <w:tcPr>
            <w:tcW w:w="475" w:type="pct"/>
            <w:tcBorders>
              <w:tl2br w:val="nil"/>
              <w:tr2bl w:val="nil"/>
            </w:tcBorders>
            <w:noWrap w:val="0"/>
            <w:vAlign w:val="center"/>
          </w:tcPr>
          <w:p w14:paraId="463A4E1D">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19CE3637">
            <w:pPr>
              <w:pStyle w:val="563"/>
              <w:bidi w:val="0"/>
              <w:rPr>
                <w:rFonts w:hint="eastAsia"/>
                <w:color w:val="auto"/>
                <w:highlight w:val="none"/>
                <w:lang w:val="en-US" w:eastAsia="zh-CN"/>
              </w:rPr>
            </w:pPr>
          </w:p>
        </w:tc>
        <w:tc>
          <w:tcPr>
            <w:tcW w:w="817" w:type="pct"/>
            <w:tcBorders>
              <w:tl2br w:val="nil"/>
              <w:tr2bl w:val="nil"/>
            </w:tcBorders>
            <w:noWrap w:val="0"/>
            <w:vAlign w:val="center"/>
          </w:tcPr>
          <w:p w14:paraId="047BC161">
            <w:pPr>
              <w:pStyle w:val="563"/>
              <w:bidi w:val="0"/>
              <w:rPr>
                <w:color w:val="auto"/>
                <w:highlight w:val="none"/>
              </w:rPr>
            </w:pPr>
            <w:r>
              <w:rPr>
                <w:rFonts w:hint="eastAsia"/>
                <w:color w:val="auto"/>
                <w:highlight w:val="none"/>
                <w:lang w:val="en-US" w:eastAsia="zh-CN"/>
              </w:rPr>
              <w:t>西南</w:t>
            </w:r>
          </w:p>
        </w:tc>
        <w:tc>
          <w:tcPr>
            <w:tcW w:w="559" w:type="pct"/>
            <w:tcBorders>
              <w:tl2br w:val="nil"/>
              <w:tr2bl w:val="nil"/>
            </w:tcBorders>
            <w:noWrap w:val="0"/>
            <w:vAlign w:val="center"/>
          </w:tcPr>
          <w:p w14:paraId="18BC1789">
            <w:pPr>
              <w:pStyle w:val="563"/>
              <w:bidi w:val="0"/>
              <w:rPr>
                <w:rFonts w:hint="eastAsia"/>
                <w:color w:val="auto"/>
                <w:highlight w:val="none"/>
                <w:lang w:val="en-US" w:eastAsia="zh-CN"/>
              </w:rPr>
            </w:pPr>
            <w:r>
              <w:rPr>
                <w:rFonts w:hint="eastAsia"/>
                <w:color w:val="auto"/>
                <w:highlight w:val="none"/>
                <w:lang w:val="en-US" w:eastAsia="zh-CN"/>
              </w:rPr>
              <w:t>3053</w:t>
            </w:r>
          </w:p>
        </w:tc>
      </w:tr>
      <w:tr w14:paraId="3EE526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2ABFDC07">
            <w:pPr>
              <w:pStyle w:val="563"/>
              <w:bidi w:val="0"/>
              <w:rPr>
                <w:rFonts w:hint="eastAsia"/>
                <w:color w:val="auto"/>
                <w:highlight w:val="none"/>
                <w:lang w:val="en-US" w:eastAsia="zh-CN"/>
              </w:rPr>
            </w:pPr>
            <w:r>
              <w:rPr>
                <w:rFonts w:hint="eastAsia"/>
                <w:color w:val="auto"/>
                <w:highlight w:val="none"/>
                <w:lang w:val="en-US" w:eastAsia="zh-CN"/>
              </w:rPr>
              <w:t>54</w:t>
            </w:r>
          </w:p>
        </w:tc>
        <w:tc>
          <w:tcPr>
            <w:tcW w:w="904" w:type="pct"/>
            <w:tcBorders>
              <w:tl2br w:val="nil"/>
              <w:tr2bl w:val="nil"/>
            </w:tcBorders>
            <w:noWrap w:val="0"/>
            <w:vAlign w:val="center"/>
          </w:tcPr>
          <w:p w14:paraId="7E00E25C">
            <w:pPr>
              <w:pStyle w:val="563"/>
              <w:bidi w:val="0"/>
              <w:rPr>
                <w:rFonts w:hint="eastAsia"/>
                <w:color w:val="auto"/>
                <w:highlight w:val="none"/>
                <w:lang w:val="en-US" w:eastAsia="zh-CN"/>
              </w:rPr>
            </w:pPr>
            <w:r>
              <w:rPr>
                <w:rFonts w:hint="eastAsia"/>
                <w:color w:val="auto"/>
                <w:highlight w:val="none"/>
                <w:lang w:val="en-US" w:eastAsia="zh-CN"/>
              </w:rPr>
              <w:t>李桥村西</w:t>
            </w:r>
          </w:p>
        </w:tc>
        <w:tc>
          <w:tcPr>
            <w:tcW w:w="591" w:type="pct"/>
            <w:tcBorders>
              <w:tl2br w:val="nil"/>
              <w:tr2bl w:val="nil"/>
            </w:tcBorders>
            <w:noWrap w:val="0"/>
            <w:vAlign w:val="center"/>
          </w:tcPr>
          <w:p w14:paraId="580D3B12">
            <w:pPr>
              <w:pStyle w:val="563"/>
              <w:bidi w:val="0"/>
              <w:rPr>
                <w:rFonts w:hint="eastAsia"/>
                <w:color w:val="auto"/>
                <w:highlight w:val="none"/>
                <w:lang w:val="en-US" w:eastAsia="zh-CN"/>
              </w:rPr>
            </w:pPr>
            <w:r>
              <w:rPr>
                <w:rFonts w:hint="eastAsia"/>
                <w:color w:val="auto"/>
                <w:highlight w:val="none"/>
                <w:lang w:val="en-US" w:eastAsia="zh-CN"/>
              </w:rPr>
              <w:t>116.99463</w:t>
            </w:r>
          </w:p>
        </w:tc>
        <w:tc>
          <w:tcPr>
            <w:tcW w:w="545" w:type="pct"/>
            <w:tcBorders>
              <w:tl2br w:val="nil"/>
              <w:tr2bl w:val="nil"/>
            </w:tcBorders>
            <w:noWrap w:val="0"/>
            <w:vAlign w:val="center"/>
          </w:tcPr>
          <w:p w14:paraId="0E2A0036">
            <w:pPr>
              <w:pStyle w:val="563"/>
              <w:bidi w:val="0"/>
              <w:rPr>
                <w:rFonts w:hint="eastAsia"/>
                <w:color w:val="auto"/>
                <w:highlight w:val="none"/>
                <w:lang w:val="en-US" w:eastAsia="zh-CN"/>
              </w:rPr>
            </w:pPr>
            <w:r>
              <w:rPr>
                <w:rFonts w:hint="eastAsia"/>
                <w:color w:val="auto"/>
                <w:highlight w:val="none"/>
                <w:lang w:val="en-US" w:eastAsia="zh-CN"/>
              </w:rPr>
              <w:t>32.52715</w:t>
            </w:r>
          </w:p>
        </w:tc>
        <w:tc>
          <w:tcPr>
            <w:tcW w:w="475" w:type="pct"/>
            <w:tcBorders>
              <w:tl2br w:val="nil"/>
              <w:tr2bl w:val="nil"/>
            </w:tcBorders>
            <w:noWrap w:val="0"/>
            <w:vAlign w:val="center"/>
          </w:tcPr>
          <w:p w14:paraId="7B908E17">
            <w:pPr>
              <w:pStyle w:val="563"/>
              <w:bidi w:val="0"/>
              <w:rPr>
                <w:rFonts w:hint="eastAsia"/>
                <w:color w:val="auto"/>
                <w:highlight w:val="none"/>
                <w:lang w:val="en-US" w:eastAsia="zh-CN"/>
              </w:rPr>
            </w:pPr>
            <w:r>
              <w:rPr>
                <w:rFonts w:hint="eastAsia"/>
                <w:color w:val="auto"/>
                <w:highlight w:val="none"/>
                <w:lang w:val="en-US" w:eastAsia="zh-CN"/>
              </w:rPr>
              <w:t>40户/100人</w:t>
            </w:r>
          </w:p>
        </w:tc>
        <w:tc>
          <w:tcPr>
            <w:tcW w:w="775" w:type="pct"/>
            <w:vMerge w:val="continue"/>
            <w:tcBorders>
              <w:tl2br w:val="nil"/>
              <w:tr2bl w:val="nil"/>
            </w:tcBorders>
            <w:noWrap w:val="0"/>
            <w:vAlign w:val="center"/>
          </w:tcPr>
          <w:p w14:paraId="76AC4E67">
            <w:pPr>
              <w:pStyle w:val="563"/>
              <w:bidi w:val="0"/>
              <w:rPr>
                <w:rFonts w:hint="eastAsia"/>
                <w:color w:val="auto"/>
                <w:highlight w:val="none"/>
                <w:lang w:val="en-US" w:eastAsia="zh-CN"/>
              </w:rPr>
            </w:pPr>
          </w:p>
        </w:tc>
        <w:tc>
          <w:tcPr>
            <w:tcW w:w="817" w:type="pct"/>
            <w:tcBorders>
              <w:tl2br w:val="nil"/>
              <w:tr2bl w:val="nil"/>
            </w:tcBorders>
            <w:noWrap w:val="0"/>
            <w:vAlign w:val="center"/>
          </w:tcPr>
          <w:p w14:paraId="3C526BF6">
            <w:pPr>
              <w:pStyle w:val="563"/>
              <w:bidi w:val="0"/>
              <w:rPr>
                <w:color w:val="auto"/>
                <w:highlight w:val="none"/>
              </w:rPr>
            </w:pPr>
            <w:r>
              <w:rPr>
                <w:rFonts w:hint="eastAsia"/>
                <w:color w:val="auto"/>
                <w:highlight w:val="none"/>
                <w:lang w:val="en-US" w:eastAsia="zh-CN"/>
              </w:rPr>
              <w:t>西</w:t>
            </w:r>
          </w:p>
        </w:tc>
        <w:tc>
          <w:tcPr>
            <w:tcW w:w="559" w:type="pct"/>
            <w:tcBorders>
              <w:tl2br w:val="nil"/>
              <w:tr2bl w:val="nil"/>
            </w:tcBorders>
            <w:noWrap w:val="0"/>
            <w:vAlign w:val="center"/>
          </w:tcPr>
          <w:p w14:paraId="2EE72D4B">
            <w:pPr>
              <w:pStyle w:val="563"/>
              <w:bidi w:val="0"/>
              <w:rPr>
                <w:rFonts w:hint="eastAsia"/>
                <w:color w:val="auto"/>
                <w:highlight w:val="none"/>
                <w:lang w:val="en-US" w:eastAsia="zh-CN"/>
              </w:rPr>
            </w:pPr>
            <w:r>
              <w:rPr>
                <w:rFonts w:hint="eastAsia"/>
                <w:color w:val="auto"/>
                <w:highlight w:val="none"/>
                <w:lang w:val="en-US" w:eastAsia="zh-CN"/>
              </w:rPr>
              <w:t>586</w:t>
            </w:r>
          </w:p>
        </w:tc>
      </w:tr>
      <w:tr w14:paraId="02AFC4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41B3B58">
            <w:pPr>
              <w:pStyle w:val="563"/>
              <w:bidi w:val="0"/>
              <w:rPr>
                <w:rFonts w:hint="eastAsia"/>
                <w:color w:val="auto"/>
                <w:highlight w:val="none"/>
                <w:lang w:val="en-US" w:eastAsia="zh-CN"/>
              </w:rPr>
            </w:pPr>
            <w:r>
              <w:rPr>
                <w:rFonts w:hint="eastAsia"/>
                <w:color w:val="auto"/>
                <w:highlight w:val="none"/>
                <w:lang w:val="en-US" w:eastAsia="zh-CN"/>
              </w:rPr>
              <w:t>55</w:t>
            </w:r>
          </w:p>
        </w:tc>
        <w:tc>
          <w:tcPr>
            <w:tcW w:w="904" w:type="pct"/>
            <w:tcBorders>
              <w:tl2br w:val="nil"/>
              <w:tr2bl w:val="nil"/>
            </w:tcBorders>
            <w:noWrap w:val="0"/>
            <w:vAlign w:val="center"/>
          </w:tcPr>
          <w:p w14:paraId="75384872">
            <w:pPr>
              <w:pStyle w:val="563"/>
              <w:bidi w:val="0"/>
              <w:rPr>
                <w:rFonts w:hint="eastAsia"/>
                <w:color w:val="auto"/>
                <w:highlight w:val="none"/>
                <w:lang w:val="en-US" w:eastAsia="zh-CN"/>
              </w:rPr>
            </w:pPr>
            <w:r>
              <w:rPr>
                <w:rFonts w:hint="eastAsia"/>
                <w:color w:val="auto"/>
                <w:highlight w:val="none"/>
                <w:lang w:val="en-US" w:eastAsia="zh-CN"/>
              </w:rPr>
              <w:t>大郢村</w:t>
            </w:r>
          </w:p>
        </w:tc>
        <w:tc>
          <w:tcPr>
            <w:tcW w:w="591" w:type="pct"/>
            <w:tcBorders>
              <w:tl2br w:val="nil"/>
              <w:tr2bl w:val="nil"/>
            </w:tcBorders>
            <w:noWrap w:val="0"/>
            <w:vAlign w:val="center"/>
          </w:tcPr>
          <w:p w14:paraId="010DED38">
            <w:pPr>
              <w:pStyle w:val="563"/>
              <w:bidi w:val="0"/>
              <w:rPr>
                <w:rFonts w:hint="eastAsia"/>
                <w:color w:val="auto"/>
                <w:highlight w:val="none"/>
                <w:lang w:val="en-US" w:eastAsia="zh-CN"/>
              </w:rPr>
            </w:pPr>
            <w:r>
              <w:rPr>
                <w:rFonts w:hint="eastAsia"/>
                <w:color w:val="auto"/>
                <w:highlight w:val="none"/>
                <w:lang w:val="en-US" w:eastAsia="zh-CN"/>
              </w:rPr>
              <w:t>116.98317</w:t>
            </w:r>
          </w:p>
        </w:tc>
        <w:tc>
          <w:tcPr>
            <w:tcW w:w="545" w:type="pct"/>
            <w:tcBorders>
              <w:tl2br w:val="nil"/>
              <w:tr2bl w:val="nil"/>
            </w:tcBorders>
            <w:noWrap w:val="0"/>
            <w:vAlign w:val="center"/>
          </w:tcPr>
          <w:p w14:paraId="017DC02E">
            <w:pPr>
              <w:pStyle w:val="563"/>
              <w:bidi w:val="0"/>
              <w:rPr>
                <w:rFonts w:hint="eastAsia"/>
                <w:color w:val="auto"/>
                <w:highlight w:val="none"/>
                <w:lang w:val="en-US" w:eastAsia="zh-CN"/>
              </w:rPr>
            </w:pPr>
            <w:r>
              <w:rPr>
                <w:rFonts w:hint="eastAsia"/>
                <w:color w:val="auto"/>
                <w:highlight w:val="none"/>
                <w:lang w:val="en-US" w:eastAsia="zh-CN"/>
              </w:rPr>
              <w:t>32.547484</w:t>
            </w:r>
          </w:p>
        </w:tc>
        <w:tc>
          <w:tcPr>
            <w:tcW w:w="475" w:type="pct"/>
            <w:tcBorders>
              <w:tl2br w:val="nil"/>
              <w:tr2bl w:val="nil"/>
            </w:tcBorders>
            <w:noWrap w:val="0"/>
            <w:vAlign w:val="center"/>
          </w:tcPr>
          <w:p w14:paraId="5DD6F048">
            <w:pPr>
              <w:pStyle w:val="563"/>
              <w:bidi w:val="0"/>
              <w:rPr>
                <w:rFonts w:hint="eastAsia"/>
                <w:color w:val="auto"/>
                <w:highlight w:val="none"/>
                <w:lang w:val="en-US" w:eastAsia="zh-CN"/>
              </w:rPr>
            </w:pPr>
            <w:r>
              <w:rPr>
                <w:rFonts w:hint="eastAsia"/>
                <w:color w:val="auto"/>
                <w:highlight w:val="none"/>
                <w:lang w:val="en-US" w:eastAsia="zh-CN"/>
              </w:rPr>
              <w:t>20户/60人</w:t>
            </w:r>
          </w:p>
        </w:tc>
        <w:tc>
          <w:tcPr>
            <w:tcW w:w="775" w:type="pct"/>
            <w:vMerge w:val="continue"/>
            <w:tcBorders>
              <w:tl2br w:val="nil"/>
              <w:tr2bl w:val="nil"/>
            </w:tcBorders>
            <w:noWrap w:val="0"/>
            <w:vAlign w:val="center"/>
          </w:tcPr>
          <w:p w14:paraId="583B3E96">
            <w:pPr>
              <w:pStyle w:val="563"/>
              <w:bidi w:val="0"/>
              <w:rPr>
                <w:rFonts w:hint="eastAsia"/>
                <w:color w:val="auto"/>
                <w:highlight w:val="none"/>
                <w:lang w:val="en-US" w:eastAsia="zh-CN"/>
              </w:rPr>
            </w:pPr>
          </w:p>
        </w:tc>
        <w:tc>
          <w:tcPr>
            <w:tcW w:w="817" w:type="pct"/>
            <w:tcBorders>
              <w:tl2br w:val="nil"/>
              <w:tr2bl w:val="nil"/>
            </w:tcBorders>
            <w:noWrap w:val="0"/>
            <w:vAlign w:val="center"/>
          </w:tcPr>
          <w:p w14:paraId="782053A4">
            <w:pPr>
              <w:pStyle w:val="563"/>
              <w:bidi w:val="0"/>
              <w:rPr>
                <w:color w:val="auto"/>
                <w:highlight w:val="none"/>
              </w:rPr>
            </w:pPr>
            <w:r>
              <w:rPr>
                <w:rFonts w:hint="eastAsia"/>
                <w:color w:val="auto"/>
                <w:highlight w:val="none"/>
                <w:lang w:val="en-US" w:eastAsia="zh-CN"/>
              </w:rPr>
              <w:t>西北</w:t>
            </w:r>
          </w:p>
        </w:tc>
        <w:tc>
          <w:tcPr>
            <w:tcW w:w="559" w:type="pct"/>
            <w:tcBorders>
              <w:tl2br w:val="nil"/>
              <w:tr2bl w:val="nil"/>
            </w:tcBorders>
            <w:noWrap w:val="0"/>
            <w:vAlign w:val="center"/>
          </w:tcPr>
          <w:p w14:paraId="04326A3C">
            <w:pPr>
              <w:pStyle w:val="563"/>
              <w:bidi w:val="0"/>
              <w:rPr>
                <w:rFonts w:hint="eastAsia"/>
                <w:color w:val="auto"/>
                <w:highlight w:val="none"/>
                <w:lang w:val="en-US" w:eastAsia="zh-CN"/>
              </w:rPr>
            </w:pPr>
            <w:r>
              <w:rPr>
                <w:rFonts w:hint="eastAsia"/>
                <w:color w:val="auto"/>
                <w:highlight w:val="none"/>
                <w:lang w:val="en-US" w:eastAsia="zh-CN"/>
              </w:rPr>
              <w:t>2889</w:t>
            </w:r>
          </w:p>
        </w:tc>
      </w:tr>
      <w:tr w14:paraId="2C8777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B7139F9">
            <w:pPr>
              <w:pStyle w:val="563"/>
              <w:bidi w:val="0"/>
              <w:rPr>
                <w:rFonts w:hint="eastAsia"/>
                <w:color w:val="auto"/>
                <w:highlight w:val="none"/>
                <w:lang w:val="en-US" w:eastAsia="zh-CN"/>
              </w:rPr>
            </w:pPr>
            <w:r>
              <w:rPr>
                <w:rFonts w:hint="eastAsia"/>
                <w:color w:val="auto"/>
                <w:highlight w:val="none"/>
                <w:lang w:val="en-US" w:eastAsia="zh-CN"/>
              </w:rPr>
              <w:t>56</w:t>
            </w:r>
          </w:p>
        </w:tc>
        <w:tc>
          <w:tcPr>
            <w:tcW w:w="904" w:type="pct"/>
            <w:tcBorders>
              <w:tl2br w:val="nil"/>
              <w:tr2bl w:val="nil"/>
            </w:tcBorders>
            <w:noWrap w:val="0"/>
            <w:vAlign w:val="center"/>
          </w:tcPr>
          <w:p w14:paraId="3E19C093">
            <w:pPr>
              <w:pStyle w:val="563"/>
              <w:bidi w:val="0"/>
              <w:rPr>
                <w:rFonts w:hint="eastAsia"/>
                <w:color w:val="auto"/>
                <w:highlight w:val="none"/>
                <w:lang w:val="en-US" w:eastAsia="zh-CN"/>
              </w:rPr>
            </w:pPr>
            <w:r>
              <w:rPr>
                <w:rFonts w:hint="eastAsia"/>
                <w:color w:val="auto"/>
                <w:highlight w:val="none"/>
                <w:lang w:val="en-US" w:eastAsia="zh-CN"/>
              </w:rPr>
              <w:t>李桥村东</w:t>
            </w:r>
          </w:p>
        </w:tc>
        <w:tc>
          <w:tcPr>
            <w:tcW w:w="591" w:type="pct"/>
            <w:tcBorders>
              <w:tl2br w:val="nil"/>
              <w:tr2bl w:val="nil"/>
            </w:tcBorders>
            <w:noWrap w:val="0"/>
            <w:vAlign w:val="center"/>
          </w:tcPr>
          <w:p w14:paraId="0968044B">
            <w:pPr>
              <w:pStyle w:val="563"/>
              <w:bidi w:val="0"/>
              <w:rPr>
                <w:rFonts w:hint="eastAsia"/>
                <w:color w:val="auto"/>
                <w:highlight w:val="none"/>
                <w:lang w:val="en-US" w:eastAsia="zh-CN"/>
              </w:rPr>
            </w:pPr>
            <w:r>
              <w:rPr>
                <w:rFonts w:hint="eastAsia"/>
                <w:color w:val="auto"/>
                <w:highlight w:val="none"/>
                <w:lang w:val="en-US" w:eastAsia="zh-CN"/>
              </w:rPr>
              <w:t>117.00195</w:t>
            </w:r>
          </w:p>
        </w:tc>
        <w:tc>
          <w:tcPr>
            <w:tcW w:w="545" w:type="pct"/>
            <w:tcBorders>
              <w:tl2br w:val="nil"/>
              <w:tr2bl w:val="nil"/>
            </w:tcBorders>
            <w:noWrap w:val="0"/>
            <w:vAlign w:val="center"/>
          </w:tcPr>
          <w:p w14:paraId="7B767A0C">
            <w:pPr>
              <w:pStyle w:val="563"/>
              <w:bidi w:val="0"/>
              <w:rPr>
                <w:rFonts w:hint="eastAsia"/>
                <w:color w:val="auto"/>
                <w:highlight w:val="none"/>
                <w:lang w:val="en-US" w:eastAsia="zh-CN"/>
              </w:rPr>
            </w:pPr>
            <w:r>
              <w:rPr>
                <w:rFonts w:hint="eastAsia"/>
                <w:color w:val="auto"/>
                <w:highlight w:val="none"/>
                <w:lang w:val="en-US" w:eastAsia="zh-CN"/>
              </w:rPr>
              <w:t>32.530886</w:t>
            </w:r>
          </w:p>
        </w:tc>
        <w:tc>
          <w:tcPr>
            <w:tcW w:w="475" w:type="pct"/>
            <w:tcBorders>
              <w:tl2br w:val="nil"/>
              <w:tr2bl w:val="nil"/>
            </w:tcBorders>
            <w:noWrap w:val="0"/>
            <w:vAlign w:val="center"/>
          </w:tcPr>
          <w:p w14:paraId="6789FFB6">
            <w:pPr>
              <w:pStyle w:val="563"/>
              <w:bidi w:val="0"/>
              <w:rPr>
                <w:rFonts w:hint="eastAsia"/>
                <w:color w:val="auto"/>
                <w:highlight w:val="none"/>
                <w:lang w:val="en-US" w:eastAsia="zh-CN"/>
              </w:rPr>
            </w:pPr>
            <w:r>
              <w:rPr>
                <w:rFonts w:hint="eastAsia"/>
                <w:color w:val="auto"/>
                <w:highlight w:val="none"/>
                <w:lang w:val="en-US" w:eastAsia="zh-CN"/>
              </w:rPr>
              <w:t>40户/120人</w:t>
            </w:r>
          </w:p>
        </w:tc>
        <w:tc>
          <w:tcPr>
            <w:tcW w:w="775" w:type="pct"/>
            <w:vMerge w:val="continue"/>
            <w:tcBorders>
              <w:tl2br w:val="nil"/>
              <w:tr2bl w:val="nil"/>
            </w:tcBorders>
            <w:noWrap w:val="0"/>
            <w:vAlign w:val="center"/>
          </w:tcPr>
          <w:p w14:paraId="4B41FFF4">
            <w:pPr>
              <w:pStyle w:val="563"/>
              <w:bidi w:val="0"/>
              <w:rPr>
                <w:rFonts w:hint="eastAsia"/>
                <w:color w:val="auto"/>
                <w:highlight w:val="none"/>
                <w:lang w:val="en-US" w:eastAsia="zh-CN"/>
              </w:rPr>
            </w:pPr>
          </w:p>
        </w:tc>
        <w:tc>
          <w:tcPr>
            <w:tcW w:w="817" w:type="pct"/>
            <w:tcBorders>
              <w:tl2br w:val="nil"/>
              <w:tr2bl w:val="nil"/>
            </w:tcBorders>
            <w:noWrap w:val="0"/>
            <w:vAlign w:val="center"/>
          </w:tcPr>
          <w:p w14:paraId="4D55F45E">
            <w:pPr>
              <w:pStyle w:val="563"/>
              <w:bidi w:val="0"/>
              <w:rPr>
                <w:color w:val="auto"/>
                <w:highlight w:val="none"/>
              </w:rPr>
            </w:pPr>
            <w:r>
              <w:rPr>
                <w:rFonts w:hint="eastAsia"/>
                <w:color w:val="auto"/>
                <w:highlight w:val="none"/>
                <w:lang w:val="en-US" w:eastAsia="zh-CN"/>
              </w:rPr>
              <w:t>北</w:t>
            </w:r>
          </w:p>
        </w:tc>
        <w:tc>
          <w:tcPr>
            <w:tcW w:w="559" w:type="pct"/>
            <w:tcBorders>
              <w:tl2br w:val="nil"/>
              <w:tr2bl w:val="nil"/>
            </w:tcBorders>
            <w:noWrap w:val="0"/>
            <w:vAlign w:val="center"/>
          </w:tcPr>
          <w:p w14:paraId="61A4AB08">
            <w:pPr>
              <w:pStyle w:val="563"/>
              <w:bidi w:val="0"/>
              <w:rPr>
                <w:rFonts w:hint="eastAsia"/>
                <w:color w:val="auto"/>
                <w:highlight w:val="none"/>
                <w:lang w:val="en-US" w:eastAsia="zh-CN"/>
              </w:rPr>
            </w:pPr>
            <w:r>
              <w:rPr>
                <w:rFonts w:hint="eastAsia"/>
                <w:color w:val="auto"/>
                <w:highlight w:val="none"/>
                <w:lang w:val="en-US" w:eastAsia="zh-CN"/>
              </w:rPr>
              <w:t>487</w:t>
            </w:r>
          </w:p>
        </w:tc>
      </w:tr>
      <w:tr w14:paraId="11C633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50363E99">
            <w:pPr>
              <w:pStyle w:val="563"/>
              <w:bidi w:val="0"/>
              <w:rPr>
                <w:rFonts w:hint="eastAsia"/>
                <w:color w:val="auto"/>
                <w:highlight w:val="none"/>
                <w:lang w:val="en-US" w:eastAsia="zh-CN"/>
              </w:rPr>
            </w:pPr>
            <w:r>
              <w:rPr>
                <w:rFonts w:hint="eastAsia"/>
                <w:color w:val="auto"/>
                <w:highlight w:val="none"/>
                <w:lang w:val="en-US" w:eastAsia="zh-CN"/>
              </w:rPr>
              <w:t>57</w:t>
            </w:r>
          </w:p>
        </w:tc>
        <w:tc>
          <w:tcPr>
            <w:tcW w:w="904" w:type="pct"/>
            <w:tcBorders>
              <w:tl2br w:val="nil"/>
              <w:tr2bl w:val="nil"/>
            </w:tcBorders>
            <w:noWrap w:val="0"/>
            <w:vAlign w:val="center"/>
          </w:tcPr>
          <w:p w14:paraId="211617DE">
            <w:pPr>
              <w:pStyle w:val="563"/>
              <w:bidi w:val="0"/>
              <w:rPr>
                <w:rFonts w:hint="eastAsia"/>
                <w:color w:val="auto"/>
                <w:highlight w:val="none"/>
                <w:lang w:val="en-US" w:eastAsia="zh-CN"/>
              </w:rPr>
            </w:pPr>
            <w:r>
              <w:rPr>
                <w:rFonts w:hint="eastAsia"/>
                <w:color w:val="auto"/>
                <w:highlight w:val="none"/>
                <w:lang w:val="en-US" w:eastAsia="zh-CN"/>
              </w:rPr>
              <w:t>宋王村</w:t>
            </w:r>
          </w:p>
        </w:tc>
        <w:tc>
          <w:tcPr>
            <w:tcW w:w="591" w:type="pct"/>
            <w:tcBorders>
              <w:tl2br w:val="nil"/>
              <w:tr2bl w:val="nil"/>
            </w:tcBorders>
            <w:noWrap w:val="0"/>
            <w:vAlign w:val="center"/>
          </w:tcPr>
          <w:p w14:paraId="22DC5201">
            <w:pPr>
              <w:pStyle w:val="563"/>
              <w:bidi w:val="0"/>
              <w:rPr>
                <w:rFonts w:hint="eastAsia"/>
                <w:color w:val="auto"/>
                <w:highlight w:val="none"/>
                <w:lang w:val="en-US" w:eastAsia="zh-CN"/>
              </w:rPr>
            </w:pPr>
            <w:r>
              <w:rPr>
                <w:rFonts w:hint="eastAsia"/>
                <w:color w:val="auto"/>
                <w:highlight w:val="none"/>
                <w:lang w:val="en-US" w:eastAsia="zh-CN"/>
              </w:rPr>
              <w:t>117.01527</w:t>
            </w:r>
          </w:p>
        </w:tc>
        <w:tc>
          <w:tcPr>
            <w:tcW w:w="545" w:type="pct"/>
            <w:tcBorders>
              <w:tl2br w:val="nil"/>
              <w:tr2bl w:val="nil"/>
            </w:tcBorders>
            <w:noWrap w:val="0"/>
            <w:vAlign w:val="center"/>
          </w:tcPr>
          <w:p w14:paraId="3AD5D152">
            <w:pPr>
              <w:pStyle w:val="563"/>
              <w:bidi w:val="0"/>
              <w:rPr>
                <w:rFonts w:hint="eastAsia"/>
                <w:color w:val="auto"/>
                <w:highlight w:val="none"/>
                <w:lang w:val="en-US" w:eastAsia="zh-CN"/>
              </w:rPr>
            </w:pPr>
            <w:r>
              <w:rPr>
                <w:rFonts w:hint="eastAsia"/>
                <w:color w:val="auto"/>
                <w:highlight w:val="none"/>
                <w:lang w:val="en-US" w:eastAsia="zh-CN"/>
              </w:rPr>
              <w:t>32.520528</w:t>
            </w:r>
          </w:p>
        </w:tc>
        <w:tc>
          <w:tcPr>
            <w:tcW w:w="475" w:type="pct"/>
            <w:tcBorders>
              <w:tl2br w:val="nil"/>
              <w:tr2bl w:val="nil"/>
            </w:tcBorders>
            <w:noWrap w:val="0"/>
            <w:vAlign w:val="center"/>
          </w:tcPr>
          <w:p w14:paraId="7CFD47C4">
            <w:pPr>
              <w:pStyle w:val="563"/>
              <w:bidi w:val="0"/>
              <w:rPr>
                <w:rFonts w:hint="eastAsia"/>
                <w:color w:val="auto"/>
                <w:highlight w:val="none"/>
                <w:lang w:val="en-US" w:eastAsia="zh-CN"/>
              </w:rPr>
            </w:pPr>
            <w:r>
              <w:rPr>
                <w:rFonts w:hint="eastAsia"/>
                <w:color w:val="auto"/>
                <w:highlight w:val="none"/>
                <w:lang w:val="en-US" w:eastAsia="zh-CN"/>
              </w:rPr>
              <w:t>25户/60人</w:t>
            </w:r>
          </w:p>
        </w:tc>
        <w:tc>
          <w:tcPr>
            <w:tcW w:w="775" w:type="pct"/>
            <w:vMerge w:val="continue"/>
            <w:tcBorders>
              <w:tl2br w:val="nil"/>
              <w:tr2bl w:val="nil"/>
            </w:tcBorders>
            <w:noWrap w:val="0"/>
            <w:vAlign w:val="center"/>
          </w:tcPr>
          <w:p w14:paraId="18A26D55">
            <w:pPr>
              <w:pStyle w:val="563"/>
              <w:bidi w:val="0"/>
              <w:rPr>
                <w:rFonts w:hint="eastAsia"/>
                <w:color w:val="auto"/>
                <w:highlight w:val="none"/>
                <w:lang w:val="en-US" w:eastAsia="zh-CN"/>
              </w:rPr>
            </w:pPr>
          </w:p>
        </w:tc>
        <w:tc>
          <w:tcPr>
            <w:tcW w:w="817" w:type="pct"/>
            <w:tcBorders>
              <w:tl2br w:val="nil"/>
              <w:tr2bl w:val="nil"/>
            </w:tcBorders>
            <w:noWrap w:val="0"/>
            <w:vAlign w:val="center"/>
          </w:tcPr>
          <w:p w14:paraId="09998A40">
            <w:pPr>
              <w:pStyle w:val="563"/>
              <w:bidi w:val="0"/>
              <w:rPr>
                <w:color w:val="auto"/>
                <w:highlight w:val="none"/>
              </w:rPr>
            </w:pPr>
            <w:r>
              <w:rPr>
                <w:rFonts w:hint="eastAsia"/>
                <w:color w:val="auto"/>
                <w:highlight w:val="none"/>
                <w:lang w:val="en-US" w:eastAsia="zh-CN"/>
              </w:rPr>
              <w:t>东南</w:t>
            </w:r>
          </w:p>
        </w:tc>
        <w:tc>
          <w:tcPr>
            <w:tcW w:w="559" w:type="pct"/>
            <w:tcBorders>
              <w:tl2br w:val="nil"/>
              <w:tr2bl w:val="nil"/>
            </w:tcBorders>
            <w:noWrap w:val="0"/>
            <w:vAlign w:val="center"/>
          </w:tcPr>
          <w:p w14:paraId="1545ECE0">
            <w:pPr>
              <w:pStyle w:val="563"/>
              <w:bidi w:val="0"/>
              <w:rPr>
                <w:rFonts w:hint="eastAsia"/>
                <w:color w:val="auto"/>
                <w:highlight w:val="none"/>
                <w:lang w:val="en-US" w:eastAsia="zh-CN"/>
              </w:rPr>
            </w:pPr>
            <w:r>
              <w:rPr>
                <w:rFonts w:hint="eastAsia"/>
                <w:color w:val="auto"/>
                <w:highlight w:val="none"/>
                <w:lang w:val="en-US" w:eastAsia="zh-CN"/>
              </w:rPr>
              <w:t>1262</w:t>
            </w:r>
          </w:p>
        </w:tc>
      </w:tr>
      <w:tr w14:paraId="68F679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tcBorders>
              <w:tl2br w:val="nil"/>
              <w:tr2bl w:val="nil"/>
            </w:tcBorders>
            <w:noWrap w:val="0"/>
            <w:vAlign w:val="center"/>
          </w:tcPr>
          <w:p w14:paraId="4236EECA">
            <w:pPr>
              <w:pStyle w:val="563"/>
              <w:bidi w:val="0"/>
              <w:rPr>
                <w:rFonts w:hint="eastAsia"/>
                <w:color w:val="auto"/>
                <w:highlight w:val="none"/>
                <w:lang w:val="en-US" w:eastAsia="zh-CN"/>
              </w:rPr>
            </w:pPr>
            <w:r>
              <w:rPr>
                <w:rFonts w:hint="eastAsia"/>
                <w:color w:val="auto"/>
                <w:highlight w:val="none"/>
                <w:lang w:val="en-US" w:eastAsia="zh-CN"/>
              </w:rPr>
              <w:t>58</w:t>
            </w:r>
          </w:p>
        </w:tc>
        <w:tc>
          <w:tcPr>
            <w:tcW w:w="904" w:type="pct"/>
            <w:tcBorders>
              <w:tl2br w:val="nil"/>
              <w:tr2bl w:val="nil"/>
            </w:tcBorders>
            <w:noWrap w:val="0"/>
            <w:vAlign w:val="center"/>
          </w:tcPr>
          <w:p w14:paraId="12A42C1E">
            <w:pPr>
              <w:pStyle w:val="563"/>
              <w:bidi w:val="0"/>
              <w:rPr>
                <w:rFonts w:hint="eastAsia"/>
                <w:color w:val="auto"/>
                <w:highlight w:val="none"/>
                <w:lang w:val="en-US" w:eastAsia="zh-CN"/>
              </w:rPr>
            </w:pPr>
            <w:r>
              <w:rPr>
                <w:rFonts w:hint="eastAsia"/>
                <w:color w:val="auto"/>
                <w:highlight w:val="none"/>
                <w:lang w:val="en-US" w:eastAsia="zh-CN"/>
              </w:rPr>
              <w:t>方庄</w:t>
            </w:r>
          </w:p>
        </w:tc>
        <w:tc>
          <w:tcPr>
            <w:tcW w:w="591" w:type="pct"/>
            <w:tcBorders>
              <w:tl2br w:val="nil"/>
              <w:tr2bl w:val="nil"/>
            </w:tcBorders>
            <w:noWrap w:val="0"/>
            <w:vAlign w:val="center"/>
          </w:tcPr>
          <w:p w14:paraId="1D26E36C">
            <w:pPr>
              <w:pStyle w:val="563"/>
              <w:bidi w:val="0"/>
              <w:rPr>
                <w:rFonts w:hint="default"/>
                <w:color w:val="auto"/>
                <w:highlight w:val="none"/>
                <w:lang w:val="en-US" w:eastAsia="zh-CN"/>
              </w:rPr>
            </w:pPr>
            <w:r>
              <w:rPr>
                <w:rFonts w:hint="eastAsia"/>
                <w:color w:val="auto"/>
                <w:highlight w:val="none"/>
                <w:lang w:val="en-US" w:eastAsia="zh-CN"/>
              </w:rPr>
              <w:t>117.01852</w:t>
            </w:r>
          </w:p>
        </w:tc>
        <w:tc>
          <w:tcPr>
            <w:tcW w:w="545" w:type="pct"/>
            <w:tcBorders>
              <w:tl2br w:val="nil"/>
              <w:tr2bl w:val="nil"/>
            </w:tcBorders>
            <w:noWrap w:val="0"/>
            <w:vAlign w:val="center"/>
          </w:tcPr>
          <w:p w14:paraId="064125F8">
            <w:pPr>
              <w:pStyle w:val="563"/>
              <w:bidi w:val="0"/>
              <w:rPr>
                <w:rFonts w:hint="default"/>
                <w:color w:val="auto"/>
                <w:highlight w:val="none"/>
                <w:lang w:val="en-US" w:eastAsia="zh-CN"/>
              </w:rPr>
            </w:pPr>
            <w:r>
              <w:rPr>
                <w:rFonts w:hint="eastAsia"/>
                <w:color w:val="auto"/>
                <w:highlight w:val="none"/>
                <w:lang w:val="en-US" w:eastAsia="zh-CN"/>
              </w:rPr>
              <w:t>32.535607</w:t>
            </w:r>
          </w:p>
        </w:tc>
        <w:tc>
          <w:tcPr>
            <w:tcW w:w="475" w:type="pct"/>
            <w:tcBorders>
              <w:tl2br w:val="nil"/>
              <w:tr2bl w:val="nil"/>
            </w:tcBorders>
            <w:noWrap w:val="0"/>
            <w:vAlign w:val="center"/>
          </w:tcPr>
          <w:p w14:paraId="7E42081B">
            <w:pPr>
              <w:pStyle w:val="563"/>
              <w:bidi w:val="0"/>
              <w:rPr>
                <w:rFonts w:hint="eastAsia"/>
                <w:color w:val="auto"/>
                <w:highlight w:val="none"/>
                <w:lang w:val="en-US" w:eastAsia="zh-CN"/>
              </w:rPr>
            </w:pPr>
            <w:r>
              <w:rPr>
                <w:rFonts w:hint="eastAsia"/>
                <w:color w:val="auto"/>
                <w:highlight w:val="none"/>
                <w:lang w:val="en-US" w:eastAsia="zh-CN"/>
              </w:rPr>
              <w:t>30户/90人</w:t>
            </w:r>
          </w:p>
        </w:tc>
        <w:tc>
          <w:tcPr>
            <w:tcW w:w="775" w:type="pct"/>
            <w:vMerge w:val="continue"/>
            <w:tcBorders>
              <w:tl2br w:val="nil"/>
              <w:tr2bl w:val="nil"/>
            </w:tcBorders>
            <w:noWrap w:val="0"/>
            <w:vAlign w:val="center"/>
          </w:tcPr>
          <w:p w14:paraId="496E186E">
            <w:pPr>
              <w:pStyle w:val="563"/>
              <w:bidi w:val="0"/>
              <w:rPr>
                <w:rFonts w:hint="eastAsia"/>
                <w:color w:val="auto"/>
                <w:highlight w:val="none"/>
                <w:lang w:val="en-US" w:eastAsia="zh-CN"/>
              </w:rPr>
            </w:pPr>
          </w:p>
        </w:tc>
        <w:tc>
          <w:tcPr>
            <w:tcW w:w="817" w:type="pct"/>
            <w:tcBorders>
              <w:tl2br w:val="nil"/>
              <w:tr2bl w:val="nil"/>
            </w:tcBorders>
            <w:noWrap w:val="0"/>
            <w:vAlign w:val="center"/>
          </w:tcPr>
          <w:p w14:paraId="5084D982">
            <w:pPr>
              <w:pStyle w:val="563"/>
              <w:bidi w:val="0"/>
              <w:rPr>
                <w:color w:val="auto"/>
                <w:highlight w:val="none"/>
              </w:rPr>
            </w:pPr>
            <w:r>
              <w:rPr>
                <w:rFonts w:hint="eastAsia"/>
                <w:color w:val="auto"/>
                <w:highlight w:val="none"/>
                <w:lang w:val="en-US" w:eastAsia="zh-CN"/>
              </w:rPr>
              <w:t>东北</w:t>
            </w:r>
          </w:p>
        </w:tc>
        <w:tc>
          <w:tcPr>
            <w:tcW w:w="559" w:type="pct"/>
            <w:tcBorders>
              <w:tl2br w:val="nil"/>
              <w:tr2bl w:val="nil"/>
            </w:tcBorders>
            <w:noWrap w:val="0"/>
            <w:vAlign w:val="center"/>
          </w:tcPr>
          <w:p w14:paraId="27A777F2">
            <w:pPr>
              <w:pStyle w:val="563"/>
              <w:bidi w:val="0"/>
              <w:rPr>
                <w:rFonts w:hint="eastAsia"/>
                <w:color w:val="auto"/>
                <w:highlight w:val="none"/>
                <w:lang w:val="en-US" w:eastAsia="zh-CN"/>
              </w:rPr>
            </w:pPr>
            <w:r>
              <w:rPr>
                <w:rFonts w:hint="eastAsia"/>
                <w:color w:val="auto"/>
                <w:highlight w:val="none"/>
                <w:lang w:val="en-US" w:eastAsia="zh-CN"/>
              </w:rPr>
              <w:t>1808</w:t>
            </w:r>
          </w:p>
        </w:tc>
      </w:tr>
      <w:tr w14:paraId="04247A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exact"/>
          <w:jc w:val="center"/>
        </w:trPr>
        <w:tc>
          <w:tcPr>
            <w:tcW w:w="330" w:type="pct"/>
            <w:vMerge w:val="restart"/>
            <w:tcBorders>
              <w:tl2br w:val="nil"/>
              <w:tr2bl w:val="nil"/>
            </w:tcBorders>
            <w:noWrap w:val="0"/>
            <w:vAlign w:val="center"/>
          </w:tcPr>
          <w:p w14:paraId="5B331023">
            <w:pPr>
              <w:pStyle w:val="563"/>
              <w:bidi w:val="0"/>
              <w:rPr>
                <w:color w:val="auto"/>
                <w:highlight w:val="none"/>
              </w:rPr>
            </w:pPr>
            <w:r>
              <w:rPr>
                <w:color w:val="auto"/>
                <w:highlight w:val="none"/>
                <w:lang w:eastAsia="en-US"/>
              </w:rPr>
              <w:t>地表水环境</w:t>
            </w:r>
          </w:p>
        </w:tc>
        <w:tc>
          <w:tcPr>
            <w:tcW w:w="2516" w:type="pct"/>
            <w:gridSpan w:val="4"/>
            <w:tcBorders>
              <w:tl2br w:val="nil"/>
              <w:tr2bl w:val="nil"/>
            </w:tcBorders>
            <w:noWrap w:val="0"/>
            <w:vAlign w:val="center"/>
          </w:tcPr>
          <w:p w14:paraId="72B5D757">
            <w:pPr>
              <w:pStyle w:val="563"/>
              <w:bidi w:val="0"/>
              <w:rPr>
                <w:color w:val="auto"/>
                <w:highlight w:val="none"/>
              </w:rPr>
            </w:pPr>
            <w:r>
              <w:rPr>
                <w:rFonts w:hint="eastAsia"/>
                <w:color w:val="auto"/>
                <w:highlight w:val="none"/>
                <w:lang w:val="en-US" w:eastAsia="zh-CN"/>
              </w:rPr>
              <w:t>瓦埠湖</w:t>
            </w:r>
          </w:p>
        </w:tc>
        <w:tc>
          <w:tcPr>
            <w:tcW w:w="775" w:type="pct"/>
            <w:vMerge w:val="restart"/>
            <w:tcBorders>
              <w:tl2br w:val="nil"/>
              <w:tr2bl w:val="nil"/>
            </w:tcBorders>
            <w:noWrap w:val="0"/>
            <w:vAlign w:val="center"/>
          </w:tcPr>
          <w:p w14:paraId="733D5E9B">
            <w:pPr>
              <w:pStyle w:val="563"/>
              <w:bidi w:val="0"/>
              <w:rPr>
                <w:rFonts w:hint="eastAsia"/>
                <w:color w:val="auto"/>
                <w:highlight w:val="none"/>
                <w:lang w:val="en-US" w:eastAsia="zh-CN"/>
              </w:rPr>
            </w:pPr>
            <w:r>
              <w:rPr>
                <w:color w:val="auto"/>
                <w:highlight w:val="none"/>
              </w:rPr>
              <w:t>《地表水环境质量标准》（GB3838-2002）Ⅲ类</w:t>
            </w:r>
          </w:p>
        </w:tc>
        <w:tc>
          <w:tcPr>
            <w:tcW w:w="817" w:type="pct"/>
            <w:tcBorders>
              <w:tl2br w:val="nil"/>
              <w:tr2bl w:val="nil"/>
            </w:tcBorders>
            <w:noWrap w:val="0"/>
            <w:vAlign w:val="center"/>
          </w:tcPr>
          <w:p w14:paraId="146C0549">
            <w:pPr>
              <w:pStyle w:val="563"/>
              <w:bidi w:val="0"/>
              <w:rPr>
                <w:rFonts w:hint="eastAsia" w:eastAsia="宋体"/>
                <w:color w:val="auto"/>
                <w:highlight w:val="none"/>
                <w:lang w:val="en-US" w:eastAsia="zh-CN"/>
              </w:rPr>
            </w:pPr>
            <w:r>
              <w:rPr>
                <w:rFonts w:hint="eastAsia"/>
                <w:color w:val="auto"/>
                <w:highlight w:val="none"/>
                <w:lang w:val="en-US" w:eastAsia="zh-CN"/>
              </w:rPr>
              <w:t>西</w:t>
            </w:r>
          </w:p>
        </w:tc>
        <w:tc>
          <w:tcPr>
            <w:tcW w:w="559" w:type="pct"/>
            <w:tcBorders>
              <w:tl2br w:val="nil"/>
              <w:tr2bl w:val="nil"/>
            </w:tcBorders>
            <w:noWrap w:val="0"/>
            <w:vAlign w:val="center"/>
          </w:tcPr>
          <w:p w14:paraId="4DDF75B4">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eastAsia"/>
                <w:color w:val="auto"/>
                <w:highlight w:val="none"/>
                <w:lang w:val="en-US" w:eastAsia="zh-CN"/>
              </w:rPr>
              <w:t>7351</w:t>
            </w:r>
          </w:p>
        </w:tc>
      </w:tr>
      <w:tr w14:paraId="2E8C1B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8" w:hRule="exact"/>
          <w:jc w:val="center"/>
        </w:trPr>
        <w:tc>
          <w:tcPr>
            <w:tcW w:w="330" w:type="pct"/>
            <w:vMerge w:val="continue"/>
            <w:tcBorders>
              <w:tl2br w:val="nil"/>
              <w:tr2bl w:val="nil"/>
            </w:tcBorders>
            <w:noWrap w:val="0"/>
            <w:vAlign w:val="center"/>
          </w:tcPr>
          <w:p w14:paraId="24B0BFDA">
            <w:pPr>
              <w:pStyle w:val="563"/>
              <w:bidi w:val="0"/>
              <w:rPr>
                <w:color w:val="auto"/>
                <w:highlight w:val="none"/>
                <w:lang w:eastAsia="en-US"/>
              </w:rPr>
            </w:pPr>
          </w:p>
        </w:tc>
        <w:tc>
          <w:tcPr>
            <w:tcW w:w="2516" w:type="pct"/>
            <w:gridSpan w:val="4"/>
            <w:tcBorders>
              <w:tl2br w:val="nil"/>
              <w:tr2bl w:val="nil"/>
            </w:tcBorders>
            <w:noWrap w:val="0"/>
            <w:vAlign w:val="center"/>
          </w:tcPr>
          <w:p w14:paraId="1E051171">
            <w:pPr>
              <w:pStyle w:val="563"/>
              <w:bidi w:val="0"/>
              <w:rPr>
                <w:rFonts w:hint="default"/>
                <w:color w:val="auto"/>
                <w:highlight w:val="none"/>
                <w:lang w:val="en-US"/>
              </w:rPr>
            </w:pPr>
            <w:r>
              <w:rPr>
                <w:rFonts w:hint="eastAsia"/>
                <w:color w:val="auto"/>
                <w:highlight w:val="none"/>
                <w:lang w:val="en-US" w:eastAsia="zh-CN"/>
              </w:rPr>
              <w:t>林桥涧沟</w:t>
            </w:r>
          </w:p>
        </w:tc>
        <w:tc>
          <w:tcPr>
            <w:tcW w:w="775" w:type="pct"/>
            <w:vMerge w:val="continue"/>
            <w:tcBorders>
              <w:tl2br w:val="nil"/>
              <w:tr2bl w:val="nil"/>
            </w:tcBorders>
            <w:noWrap w:val="0"/>
            <w:vAlign w:val="center"/>
          </w:tcPr>
          <w:p w14:paraId="48B68DB6">
            <w:pPr>
              <w:pStyle w:val="563"/>
              <w:bidi w:val="0"/>
              <w:rPr>
                <w:rFonts w:hint="eastAsia"/>
                <w:color w:val="auto"/>
                <w:highlight w:val="none"/>
                <w:lang w:val="en-US" w:eastAsia="zh-CN"/>
              </w:rPr>
            </w:pPr>
          </w:p>
        </w:tc>
        <w:tc>
          <w:tcPr>
            <w:tcW w:w="817" w:type="pct"/>
            <w:tcBorders>
              <w:tl2br w:val="nil"/>
              <w:tr2bl w:val="nil"/>
            </w:tcBorders>
            <w:noWrap w:val="0"/>
            <w:vAlign w:val="center"/>
          </w:tcPr>
          <w:p w14:paraId="7E40DB9B">
            <w:pPr>
              <w:pStyle w:val="563"/>
              <w:bidi w:val="0"/>
              <w:rPr>
                <w:rFonts w:hint="eastAsia" w:eastAsia="宋体"/>
                <w:color w:val="auto"/>
                <w:highlight w:val="none"/>
                <w:lang w:val="en-US" w:eastAsia="zh-CN"/>
              </w:rPr>
            </w:pPr>
            <w:r>
              <w:rPr>
                <w:rFonts w:hint="eastAsia"/>
                <w:color w:val="auto"/>
                <w:highlight w:val="none"/>
                <w:lang w:val="en-US" w:eastAsia="zh-CN"/>
              </w:rPr>
              <w:t>西</w:t>
            </w:r>
          </w:p>
        </w:tc>
        <w:tc>
          <w:tcPr>
            <w:tcW w:w="559" w:type="pct"/>
            <w:tcBorders>
              <w:tl2br w:val="nil"/>
              <w:tr2bl w:val="nil"/>
            </w:tcBorders>
            <w:noWrap w:val="0"/>
            <w:vAlign w:val="center"/>
          </w:tcPr>
          <w:p w14:paraId="1DFA994D">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eastAsia"/>
                <w:color w:val="auto"/>
                <w:highlight w:val="none"/>
                <w:lang w:val="en-US" w:eastAsia="zh-CN"/>
              </w:rPr>
              <w:t>767</w:t>
            </w:r>
          </w:p>
        </w:tc>
      </w:tr>
      <w:tr w14:paraId="24F9BD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12" w:hRule="exact"/>
          <w:jc w:val="center"/>
        </w:trPr>
        <w:tc>
          <w:tcPr>
            <w:tcW w:w="926" w:type="dxa"/>
            <w:tcBorders>
              <w:tl2br w:val="nil"/>
              <w:tr2bl w:val="nil"/>
            </w:tcBorders>
            <w:noWrap w:val="0"/>
            <w:vAlign w:val="center"/>
          </w:tcPr>
          <w:p w14:paraId="192EEC17">
            <w:pPr>
              <w:snapToGrid w:val="0"/>
              <w:jc w:val="center"/>
              <w:rPr>
                <w:color w:val="auto"/>
                <w:highlight w:val="none"/>
                <w:lang w:eastAsia="en-US"/>
              </w:rPr>
            </w:pPr>
            <w:r>
              <w:rPr>
                <w:rFonts w:ascii="Times New Roman" w:hAnsi="Times New Roman" w:eastAsia="宋体"/>
                <w:color w:val="auto"/>
                <w:kern w:val="0"/>
                <w:szCs w:val="21"/>
                <w:highlight w:val="none"/>
                <w:lang w:eastAsia="en-US"/>
              </w:rPr>
              <w:t>声环境</w:t>
            </w:r>
          </w:p>
        </w:tc>
        <w:tc>
          <w:tcPr>
            <w:tcW w:w="7059" w:type="dxa"/>
            <w:gridSpan w:val="4"/>
            <w:tcBorders>
              <w:tl2br w:val="nil"/>
              <w:tr2bl w:val="nil"/>
            </w:tcBorders>
            <w:noWrap w:val="0"/>
            <w:vAlign w:val="center"/>
          </w:tcPr>
          <w:p w14:paraId="6794B446">
            <w:pPr>
              <w:snapToGrid w:val="0"/>
              <w:jc w:val="center"/>
              <w:rPr>
                <w:rFonts w:hint="eastAsia"/>
                <w:color w:val="auto"/>
                <w:highlight w:val="none"/>
                <w:lang w:val="en-US" w:eastAsia="zh-CN"/>
              </w:rPr>
            </w:pPr>
            <w:r>
              <w:rPr>
                <w:rFonts w:ascii="Times New Roman" w:hAnsi="Times New Roman" w:eastAsia="宋体"/>
                <w:color w:val="auto"/>
                <w:kern w:val="0"/>
                <w:szCs w:val="21"/>
                <w:highlight w:val="none"/>
              </w:rPr>
              <w:t>厂界外200m范围</w:t>
            </w:r>
          </w:p>
        </w:tc>
        <w:tc>
          <w:tcPr>
            <w:tcW w:w="6039" w:type="dxa"/>
            <w:gridSpan w:val="3"/>
            <w:tcBorders>
              <w:tl2br w:val="nil"/>
              <w:tr2bl w:val="nil"/>
            </w:tcBorders>
            <w:noWrap w:val="0"/>
            <w:vAlign w:val="center"/>
          </w:tcPr>
          <w:p w14:paraId="756ECAEA">
            <w:pPr>
              <w:snapToGrid w:val="0"/>
              <w:jc w:val="center"/>
              <w:rPr>
                <w:rFonts w:hint="default" w:eastAsia="宋体"/>
                <w:color w:val="auto"/>
                <w:highlight w:val="none"/>
                <w:lang w:val="en-US" w:eastAsia="zh-CN"/>
              </w:rPr>
            </w:pPr>
            <w:r>
              <w:rPr>
                <w:rFonts w:ascii="Times New Roman" w:hAnsi="Times New Roman" w:eastAsia="宋体"/>
                <w:color w:val="auto"/>
                <w:kern w:val="0"/>
                <w:szCs w:val="21"/>
                <w:highlight w:val="none"/>
              </w:rPr>
              <w:t>《声环境质量标准》（GB3096-2008）3类</w:t>
            </w:r>
            <w:r>
              <w:rPr>
                <w:rFonts w:hint="eastAsia" w:ascii="Times New Roman" w:hAnsi="Times New Roman" w:eastAsia="宋体"/>
                <w:color w:val="auto"/>
                <w:kern w:val="0"/>
                <w:szCs w:val="21"/>
                <w:highlight w:val="none"/>
                <w:lang w:eastAsia="zh-CN"/>
              </w:rPr>
              <w:t>、</w:t>
            </w:r>
            <w:r>
              <w:rPr>
                <w:rFonts w:hint="eastAsia" w:ascii="Times New Roman" w:hAnsi="Times New Roman" w:eastAsia="宋体"/>
                <w:color w:val="auto"/>
                <w:kern w:val="0"/>
                <w:szCs w:val="21"/>
                <w:highlight w:val="none"/>
                <w:lang w:val="en-US" w:eastAsia="zh-CN"/>
              </w:rPr>
              <w:t>4a</w:t>
            </w:r>
          </w:p>
        </w:tc>
      </w:tr>
      <w:tr w14:paraId="6D7B87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8" w:hRule="exact"/>
          <w:jc w:val="center"/>
        </w:trPr>
        <w:tc>
          <w:tcPr>
            <w:tcW w:w="926" w:type="dxa"/>
            <w:tcBorders>
              <w:tl2br w:val="nil"/>
              <w:tr2bl w:val="nil"/>
            </w:tcBorders>
            <w:noWrap w:val="0"/>
            <w:vAlign w:val="center"/>
          </w:tcPr>
          <w:p w14:paraId="1CDAC32D">
            <w:pPr>
              <w:snapToGrid w:val="0"/>
              <w:jc w:val="center"/>
              <w:rPr>
                <w:color w:val="auto"/>
                <w:highlight w:val="none"/>
                <w:lang w:eastAsia="en-US"/>
              </w:rPr>
            </w:pPr>
            <w:r>
              <w:rPr>
                <w:rFonts w:ascii="Times New Roman" w:hAnsi="Times New Roman" w:eastAsia="宋体"/>
                <w:color w:val="auto"/>
                <w:kern w:val="0"/>
                <w:szCs w:val="21"/>
                <w:highlight w:val="none"/>
                <w:lang w:eastAsia="en-US"/>
              </w:rPr>
              <w:t>地下水环境</w:t>
            </w:r>
          </w:p>
        </w:tc>
        <w:tc>
          <w:tcPr>
            <w:tcW w:w="7059" w:type="dxa"/>
            <w:gridSpan w:val="4"/>
            <w:tcBorders>
              <w:tl2br w:val="nil"/>
              <w:tr2bl w:val="nil"/>
            </w:tcBorders>
            <w:noWrap w:val="0"/>
            <w:vAlign w:val="center"/>
          </w:tcPr>
          <w:p w14:paraId="5F4779C7">
            <w:pPr>
              <w:snapToGrid w:val="0"/>
              <w:jc w:val="center"/>
              <w:rPr>
                <w:rFonts w:hint="eastAsia"/>
                <w:color w:val="auto"/>
                <w:highlight w:val="none"/>
                <w:lang w:val="en-US" w:eastAsia="zh-CN"/>
              </w:rPr>
            </w:pPr>
            <w:r>
              <w:rPr>
                <w:rFonts w:ascii="Times New Roman" w:hAnsi="Times New Roman" w:eastAsia="宋体"/>
                <w:color w:val="auto"/>
                <w:kern w:val="0"/>
                <w:szCs w:val="21"/>
                <w:highlight w:val="none"/>
              </w:rPr>
              <w:t>项目周边</w:t>
            </w:r>
            <w:r>
              <w:rPr>
                <w:rFonts w:hint="eastAsia" w:ascii="Times New Roman" w:hAnsi="Times New Roman" w:eastAsia="宋体"/>
                <w:color w:val="auto"/>
                <w:kern w:val="0"/>
                <w:szCs w:val="21"/>
                <w:highlight w:val="none"/>
                <w:lang w:val="en-US" w:eastAsia="zh-CN"/>
              </w:rPr>
              <w:t>6</w:t>
            </w:r>
            <w:r>
              <w:rPr>
                <w:rFonts w:ascii="Times New Roman" w:hAnsi="Times New Roman" w:eastAsia="宋体"/>
                <w:color w:val="auto"/>
                <w:kern w:val="0"/>
                <w:szCs w:val="21"/>
                <w:highlight w:val="none"/>
              </w:rPr>
              <w:t>km</w:t>
            </w:r>
            <w:r>
              <w:rPr>
                <w:rFonts w:ascii="Times New Roman" w:hAnsi="Times New Roman" w:eastAsia="宋体"/>
                <w:color w:val="auto"/>
                <w:kern w:val="0"/>
                <w:szCs w:val="21"/>
                <w:highlight w:val="none"/>
                <w:vertAlign w:val="superscript"/>
              </w:rPr>
              <w:t>2</w:t>
            </w:r>
          </w:p>
        </w:tc>
        <w:tc>
          <w:tcPr>
            <w:tcW w:w="6039" w:type="dxa"/>
            <w:gridSpan w:val="3"/>
            <w:tcBorders>
              <w:tl2br w:val="nil"/>
              <w:tr2bl w:val="nil"/>
            </w:tcBorders>
            <w:noWrap w:val="0"/>
            <w:vAlign w:val="center"/>
          </w:tcPr>
          <w:p w14:paraId="3DDC00B7">
            <w:pPr>
              <w:snapToGrid w:val="0"/>
              <w:jc w:val="center"/>
              <w:rPr>
                <w:rFonts w:hint="eastAsia"/>
                <w:color w:val="auto"/>
                <w:highlight w:val="none"/>
                <w:lang w:val="en-US" w:eastAsia="zh-CN"/>
              </w:rPr>
            </w:pPr>
            <w:r>
              <w:rPr>
                <w:rFonts w:ascii="Times New Roman" w:hAnsi="Times New Roman" w:eastAsia="宋体"/>
                <w:color w:val="auto"/>
                <w:kern w:val="0"/>
                <w:szCs w:val="21"/>
                <w:highlight w:val="none"/>
              </w:rPr>
              <w:t>《地下水质量标准》（GB/T14848-2017）Ⅲ类</w:t>
            </w:r>
          </w:p>
        </w:tc>
      </w:tr>
      <w:tr w14:paraId="144E279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08" w:hRule="exact"/>
          <w:jc w:val="center"/>
        </w:trPr>
        <w:tc>
          <w:tcPr>
            <w:tcW w:w="926" w:type="dxa"/>
            <w:tcBorders>
              <w:tl2br w:val="nil"/>
              <w:tr2bl w:val="nil"/>
            </w:tcBorders>
            <w:noWrap w:val="0"/>
            <w:vAlign w:val="center"/>
          </w:tcPr>
          <w:p w14:paraId="27E6570C">
            <w:pPr>
              <w:snapToGrid w:val="0"/>
              <w:jc w:val="center"/>
              <w:rPr>
                <w:color w:val="auto"/>
                <w:highlight w:val="none"/>
                <w:lang w:eastAsia="en-US"/>
              </w:rPr>
            </w:pPr>
            <w:r>
              <w:rPr>
                <w:rFonts w:hint="eastAsia" w:ascii="Times New Roman" w:hAnsi="Times New Roman" w:eastAsia="宋体"/>
                <w:color w:val="auto"/>
                <w:kern w:val="0"/>
                <w:szCs w:val="21"/>
                <w:highlight w:val="none"/>
                <w:lang w:val="en-US" w:eastAsia="zh-CN"/>
              </w:rPr>
              <w:t>土壤环境</w:t>
            </w:r>
          </w:p>
        </w:tc>
        <w:tc>
          <w:tcPr>
            <w:tcW w:w="7059" w:type="dxa"/>
            <w:gridSpan w:val="4"/>
            <w:tcBorders>
              <w:tl2br w:val="nil"/>
              <w:tr2bl w:val="nil"/>
            </w:tcBorders>
            <w:noWrap w:val="0"/>
            <w:vAlign w:val="center"/>
          </w:tcPr>
          <w:p w14:paraId="2ADCE7C9">
            <w:pPr>
              <w:snapToGrid w:val="0"/>
              <w:jc w:val="center"/>
              <w:rPr>
                <w:rFonts w:hint="eastAsia"/>
                <w:color w:val="auto"/>
                <w:highlight w:val="none"/>
                <w:lang w:val="en-US" w:eastAsia="zh-CN"/>
              </w:rPr>
            </w:pPr>
            <w:r>
              <w:rPr>
                <w:rFonts w:hint="eastAsia" w:ascii="Times New Roman" w:hAnsi="Times New Roman" w:eastAsia="宋体"/>
                <w:color w:val="auto"/>
                <w:kern w:val="0"/>
                <w:szCs w:val="21"/>
                <w:highlight w:val="none"/>
                <w:lang w:val="en-US" w:eastAsia="zh-CN"/>
              </w:rPr>
              <w:t>厂区内及周边200m范围内工业用地</w:t>
            </w:r>
          </w:p>
        </w:tc>
        <w:tc>
          <w:tcPr>
            <w:tcW w:w="6039" w:type="dxa"/>
            <w:gridSpan w:val="3"/>
            <w:tcBorders>
              <w:tl2br w:val="nil"/>
              <w:tr2bl w:val="nil"/>
            </w:tcBorders>
            <w:noWrap w:val="0"/>
            <w:vAlign w:val="center"/>
          </w:tcPr>
          <w:p w14:paraId="7FF171BD">
            <w:pPr>
              <w:snapToGrid w:val="0"/>
              <w:jc w:val="center"/>
              <w:rPr>
                <w:rFonts w:hint="eastAsia"/>
                <w:color w:val="auto"/>
                <w:highlight w:val="none"/>
                <w:lang w:val="en-US" w:eastAsia="zh-CN"/>
              </w:rPr>
            </w:pPr>
            <w:r>
              <w:rPr>
                <w:rFonts w:hint="default" w:ascii="Times New Roman" w:hAnsi="Times New Roman" w:eastAsia="宋体" w:cs="Times New Roman"/>
                <w:caps w:val="0"/>
                <w:smallCaps w:val="0"/>
                <w:color w:val="auto"/>
                <w:highlight w:val="none"/>
              </w:rPr>
              <w:t>《土壤环境质量建设用地土壤污染风险管控标准（试行）》</w:t>
            </w:r>
            <w:r>
              <w:rPr>
                <w:rFonts w:hint="eastAsia" w:cs="Times New Roman"/>
                <w:caps w:val="0"/>
                <w:smallCaps w:val="0"/>
                <w:color w:val="auto"/>
                <w:highlight w:val="none"/>
                <w:lang w:eastAsia="zh-CN"/>
              </w:rPr>
              <w:t>（</w:t>
            </w:r>
            <w:r>
              <w:rPr>
                <w:rFonts w:hint="default" w:ascii="Times New Roman" w:hAnsi="Times New Roman" w:eastAsia="宋体" w:cs="Times New Roman"/>
                <w:caps w:val="0"/>
                <w:smallCaps w:val="0"/>
                <w:color w:val="auto"/>
                <w:highlight w:val="none"/>
              </w:rPr>
              <w:t>GB36600-2018</w:t>
            </w:r>
            <w:r>
              <w:rPr>
                <w:rFonts w:hint="eastAsia" w:ascii="Times New Roman" w:hAnsi="Times New Roman" w:eastAsia="宋体" w:cs="Times New Roman"/>
                <w:caps w:val="0"/>
                <w:smallCaps w:val="0"/>
                <w:color w:val="auto"/>
                <w:highlight w:val="none"/>
                <w:lang w:eastAsia="zh-CN"/>
              </w:rPr>
              <w:t>）</w:t>
            </w:r>
            <w:r>
              <w:rPr>
                <w:rFonts w:hint="default" w:ascii="Times New Roman" w:hAnsi="Times New Roman" w:eastAsia="宋体" w:cs="Times New Roman"/>
                <w:caps w:val="0"/>
                <w:smallCaps w:val="0"/>
                <w:color w:val="auto"/>
                <w:highlight w:val="none"/>
              </w:rPr>
              <w:t>中第二类用地筛选值标准</w:t>
            </w:r>
          </w:p>
        </w:tc>
      </w:tr>
    </w:tbl>
    <w:p w14:paraId="5F29917E">
      <w:pPr>
        <w:pStyle w:val="107"/>
        <w:spacing w:line="240" w:lineRule="auto"/>
        <w:jc w:val="center"/>
        <w:rPr>
          <w:color w:val="auto"/>
          <w:highlight w:val="none"/>
        </w:rPr>
      </w:pPr>
    </w:p>
    <w:p w14:paraId="1197F5DD">
      <w:pPr>
        <w:pStyle w:val="23"/>
        <w:jc w:val="center"/>
        <w:rPr>
          <w:rFonts w:hint="eastAsia" w:eastAsia="黑体"/>
          <w:color w:val="auto"/>
          <w:highlight w:val="none"/>
          <w:lang w:eastAsia="zh-CN"/>
        </w:rPr>
      </w:pPr>
      <w:r>
        <w:rPr>
          <w:color w:val="auto"/>
          <w:sz w:val="21"/>
          <w:highlight w:val="none"/>
        </w:rPr>
        <mc:AlternateContent>
          <mc:Choice Requires="wps">
            <w:drawing>
              <wp:anchor distT="0" distB="0" distL="114300" distR="114300" simplePos="0" relativeHeight="251661312" behindDoc="0" locked="0" layoutInCell="1" allowOverlap="1">
                <wp:simplePos x="0" y="0"/>
                <wp:positionH relativeFrom="column">
                  <wp:posOffset>17145</wp:posOffset>
                </wp:positionH>
                <wp:positionV relativeFrom="paragraph">
                  <wp:posOffset>822960</wp:posOffset>
                </wp:positionV>
                <wp:extent cx="1419225" cy="4846320"/>
                <wp:effectExtent l="4445" t="4445" r="5080" b="6985"/>
                <wp:wrapNone/>
                <wp:docPr id="2" name="文本框 5"/>
                <wp:cNvGraphicFramePr/>
                <a:graphic xmlns:a="http://schemas.openxmlformats.org/drawingml/2006/main">
                  <a:graphicData uri="http://schemas.microsoft.com/office/word/2010/wordprocessingShape">
                    <wps:wsp>
                      <wps:cNvSpPr txBox="1"/>
                      <wps:spPr>
                        <a:xfrm>
                          <a:off x="0" y="0"/>
                          <a:ext cx="1419225" cy="48463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6075AE2">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1南杨家楼、2曹郢</w:t>
                            </w:r>
                          </w:p>
                          <w:p w14:paraId="484DA92E">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3新圩子、4杨小郢</w:t>
                            </w:r>
                          </w:p>
                          <w:p w14:paraId="21E5E33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5九塘底下、6徐大郢</w:t>
                            </w:r>
                          </w:p>
                          <w:p w14:paraId="24A12EC7">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7北杨家楼、8小后郢</w:t>
                            </w:r>
                          </w:p>
                          <w:p w14:paraId="2E712DA7">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9小南郢、10东下郢</w:t>
                            </w:r>
                          </w:p>
                          <w:p w14:paraId="47046640">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11前郢、12大平庄</w:t>
                            </w:r>
                          </w:p>
                          <w:p w14:paraId="60571F1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13前李村、14大后郢</w:t>
                            </w:r>
                          </w:p>
                          <w:p w14:paraId="1514E97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15韩巷、16集南头</w:t>
                            </w:r>
                          </w:p>
                          <w:p w14:paraId="523128CB">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17杨公镇宝宝乐幼儿园</w:t>
                            </w:r>
                          </w:p>
                          <w:p w14:paraId="7F72F7F8">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18大孤堆小学、</w:t>
                            </w:r>
                          </w:p>
                          <w:p w14:paraId="7B4C0471">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19杨公中学</w:t>
                            </w:r>
                          </w:p>
                          <w:p w14:paraId="5B301EFA">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20缘梦苑小区、21韩郢</w:t>
                            </w:r>
                          </w:p>
                          <w:p w14:paraId="07551B81">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22东孙郢、23大孙郢</w:t>
                            </w:r>
                          </w:p>
                          <w:p w14:paraId="7CC9AA40">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24北小圩、25柏圩</w:t>
                            </w:r>
                          </w:p>
                          <w:p w14:paraId="3F4F3FDB">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26田下郢、27沈庄子</w:t>
                            </w:r>
                          </w:p>
                          <w:p w14:paraId="70B92F67">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28徐郢、29横塘村</w:t>
                            </w:r>
                          </w:p>
                          <w:p w14:paraId="6B3B8922">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30孤堆村、31董郢</w:t>
                            </w:r>
                          </w:p>
                          <w:p w14:paraId="40D09B2A">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32王郢村、33前李家</w:t>
                            </w:r>
                          </w:p>
                          <w:p w14:paraId="20DA5883">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34杨公镇、35姜家岗</w:t>
                            </w:r>
                          </w:p>
                          <w:p w14:paraId="756219F6">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36王郢、37吴老圩</w:t>
                            </w:r>
                          </w:p>
                          <w:p w14:paraId="1946DF9D">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38杨楼村、39姚郢</w:t>
                            </w:r>
                          </w:p>
                          <w:p w14:paraId="0B80704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40西瓦村、41连塘村</w:t>
                            </w:r>
                          </w:p>
                          <w:p w14:paraId="0484E61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42门郢、43板凳岗</w:t>
                            </w:r>
                          </w:p>
                          <w:p w14:paraId="63BDD50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44田冲、45老南郢</w:t>
                            </w:r>
                          </w:p>
                          <w:p w14:paraId="47E53F81">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46小平庄、47坝面</w:t>
                            </w:r>
                          </w:p>
                          <w:p w14:paraId="07645336">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48小后郢、49西瓦社区</w:t>
                            </w:r>
                          </w:p>
                          <w:p w14:paraId="045E1082">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50沈庄子、51孟郢</w:t>
                            </w:r>
                          </w:p>
                          <w:p w14:paraId="0A0E5537">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52前郢、53李郢子</w:t>
                            </w:r>
                          </w:p>
                          <w:p w14:paraId="4F145EEB">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54李桥村西、55大郢村</w:t>
                            </w:r>
                          </w:p>
                          <w:p w14:paraId="1E4CC573">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56李桥村东、57宋王村</w:t>
                            </w:r>
                          </w:p>
                          <w:p w14:paraId="322CC734">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58方庄</w:t>
                            </w:r>
                          </w:p>
                        </w:txbxContent>
                      </wps:txbx>
                      <wps:bodyPr vert="horz" wrap="square" anchor="t" anchorCtr="0" upright="1"/>
                    </wps:wsp>
                  </a:graphicData>
                </a:graphic>
              </wp:anchor>
            </w:drawing>
          </mc:Choice>
          <mc:Fallback>
            <w:pict>
              <v:shape id="文本框 5" o:spid="_x0000_s1026" o:spt="202" type="#_x0000_t202" style="position:absolute;left:0pt;margin-left:1.35pt;margin-top:64.8pt;height:381.6pt;width:111.75pt;z-index:251661312;mso-width-relative:page;mso-height-relative:page;" fillcolor="#FFFFFF" filled="t" stroked="t" coordsize="21600,21600" o:gfxdata="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8wf4RNcAAAAJAQAADwAAAAAAAAABACAAAAAiAAAAZHJzL2Rvd25yZXYueG1sUEsBAhQA&#10;FAAAAAgAh07iQPztZfksAgAAagQAAA4AAAAAAAAAAQAgAAAAJgEAAGRycy9lMm9Eb2MueG1sUEsF&#10;BgAAAAAGAAYAWQEAAMQFAAAAAA==&#10;">
                <v:fill on="t" focussize="0,0"/>
                <v:stroke color="#000000" joinstyle="miter"/>
                <v:imagedata o:title=""/>
                <o:lock v:ext="edit" aspectratio="f"/>
                <v:textbox>
                  <w:txbxContent>
                    <w:p w14:paraId="16075AE2">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1南杨家楼、2曹郢</w:t>
                      </w:r>
                    </w:p>
                    <w:p w14:paraId="484DA92E">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3新圩子、4杨小郢</w:t>
                      </w:r>
                    </w:p>
                    <w:p w14:paraId="21E5E33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5九塘底下、6徐大郢</w:t>
                      </w:r>
                    </w:p>
                    <w:p w14:paraId="24A12EC7">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7北杨家楼、8小后郢</w:t>
                      </w:r>
                    </w:p>
                    <w:p w14:paraId="2E712DA7">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9小南郢、10东下郢</w:t>
                      </w:r>
                    </w:p>
                    <w:p w14:paraId="47046640">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11前郢、12大平庄</w:t>
                      </w:r>
                    </w:p>
                    <w:p w14:paraId="60571F1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13前李村、14大后郢</w:t>
                      </w:r>
                    </w:p>
                    <w:p w14:paraId="1514E97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15韩巷、16集南头</w:t>
                      </w:r>
                    </w:p>
                    <w:p w14:paraId="523128CB">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17杨公镇宝宝乐幼儿园</w:t>
                      </w:r>
                    </w:p>
                    <w:p w14:paraId="7F72F7F8">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18大孤堆小学、</w:t>
                      </w:r>
                    </w:p>
                    <w:p w14:paraId="7B4C0471">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19杨公中学</w:t>
                      </w:r>
                    </w:p>
                    <w:p w14:paraId="5B301EFA">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20缘梦苑小区、21韩郢</w:t>
                      </w:r>
                    </w:p>
                    <w:p w14:paraId="07551B81">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22东孙郢、23大孙郢</w:t>
                      </w:r>
                    </w:p>
                    <w:p w14:paraId="7CC9AA40">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24北小圩、25柏圩</w:t>
                      </w:r>
                    </w:p>
                    <w:p w14:paraId="3F4F3FDB">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26田下郢、27沈庄子</w:t>
                      </w:r>
                    </w:p>
                    <w:p w14:paraId="70B92F67">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28徐郢、29横塘村</w:t>
                      </w:r>
                    </w:p>
                    <w:p w14:paraId="6B3B8922">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30孤堆村、31董郢</w:t>
                      </w:r>
                    </w:p>
                    <w:p w14:paraId="40D09B2A">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32王郢村、33前李家</w:t>
                      </w:r>
                    </w:p>
                    <w:p w14:paraId="20DA5883">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34杨公镇、35姜家岗</w:t>
                      </w:r>
                    </w:p>
                    <w:p w14:paraId="756219F6">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36王郢、37吴老圩</w:t>
                      </w:r>
                    </w:p>
                    <w:p w14:paraId="1946DF9D">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38杨楼村、39姚郢</w:t>
                      </w:r>
                    </w:p>
                    <w:p w14:paraId="0B80704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40西瓦村、41连塘村</w:t>
                      </w:r>
                    </w:p>
                    <w:p w14:paraId="0484E61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42门郢、43板凳岗</w:t>
                      </w:r>
                    </w:p>
                    <w:p w14:paraId="63BDD505">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44田冲、45老南郢</w:t>
                      </w:r>
                    </w:p>
                    <w:p w14:paraId="47E53F81">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46小平庄、47坝面</w:t>
                      </w:r>
                    </w:p>
                    <w:p w14:paraId="07645336">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48小后郢、49西瓦社区</w:t>
                      </w:r>
                    </w:p>
                    <w:p w14:paraId="045E1082">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50沈庄子、51孟郢</w:t>
                      </w:r>
                    </w:p>
                    <w:p w14:paraId="0A0E5537">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52前郢、53李郢子</w:t>
                      </w:r>
                    </w:p>
                    <w:p w14:paraId="4F145EEB">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54李桥村西、55大郢村</w:t>
                      </w:r>
                    </w:p>
                    <w:p w14:paraId="1E4CC573">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56李桥村东、57宋王村</w:t>
                      </w:r>
                    </w:p>
                    <w:p w14:paraId="322CC734">
                      <w:pPr>
                        <w:keepNext w:val="0"/>
                        <w:keepLines w:val="0"/>
                        <w:pageBreakBefore w:val="0"/>
                        <w:widowControl w:val="0"/>
                        <w:kinsoku/>
                        <w:wordWrap/>
                        <w:overflowPunct/>
                        <w:topLinePunct w:val="0"/>
                        <w:bidi w:val="0"/>
                        <w:adjustRightInd/>
                        <w:snapToGrid w:val="0"/>
                        <w:spacing w:line="240" w:lineRule="atLeast"/>
                        <w:textAlignment w:val="auto"/>
                        <w:rPr>
                          <w:rFonts w:hint="eastAsia"/>
                          <w:sz w:val="18"/>
                          <w:szCs w:val="18"/>
                        </w:rPr>
                      </w:pPr>
                      <w:r>
                        <w:rPr>
                          <w:rFonts w:hint="eastAsia"/>
                          <w:sz w:val="18"/>
                          <w:szCs w:val="18"/>
                        </w:rPr>
                        <w:t>58方庄</w:t>
                      </w:r>
                    </w:p>
                  </w:txbxContent>
                </v:textbox>
              </v:shape>
            </w:pict>
          </mc:Fallback>
        </mc:AlternateContent>
      </w:r>
      <w:r>
        <w:rPr>
          <w:color w:val="auto"/>
          <w:highlight w:val="none"/>
        </w:rPr>
        <w:drawing>
          <wp:anchor distT="0" distB="0" distL="114300" distR="114300" simplePos="0" relativeHeight="251674624" behindDoc="0" locked="0" layoutInCell="1" allowOverlap="1">
            <wp:simplePos x="0" y="0"/>
            <wp:positionH relativeFrom="column">
              <wp:posOffset>7626985</wp:posOffset>
            </wp:positionH>
            <wp:positionV relativeFrom="paragraph">
              <wp:posOffset>67945</wp:posOffset>
            </wp:positionV>
            <wp:extent cx="1026160" cy="1066165"/>
            <wp:effectExtent l="9525" t="9525" r="12065" b="10160"/>
            <wp:wrapNone/>
            <wp:docPr id="16"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97"/>
                    <pic:cNvPicPr>
                      <a:picLocks noChangeAspect="1"/>
                    </pic:cNvPicPr>
                  </pic:nvPicPr>
                  <pic:blipFill>
                    <a:blip r:embed="rId29"/>
                    <a:stretch>
                      <a:fillRect/>
                    </a:stretch>
                  </pic:blipFill>
                  <pic:spPr>
                    <a:xfrm>
                      <a:off x="0" y="0"/>
                      <a:ext cx="1026160" cy="1066165"/>
                    </a:xfrm>
                    <a:prstGeom prst="rect">
                      <a:avLst/>
                    </a:prstGeom>
                    <a:noFill/>
                    <a:ln w="9525" cap="flat" cmpd="sng">
                      <a:solidFill>
                        <a:srgbClr val="0000FF"/>
                      </a:solidFill>
                      <a:prstDash val="solid"/>
                      <a:miter/>
                      <a:headEnd type="none" w="med" len="med"/>
                      <a:tailEnd type="none" w="med" len="med"/>
                    </a:ln>
                  </pic:spPr>
                </pic:pic>
              </a:graphicData>
            </a:graphic>
          </wp:anchor>
        </w:drawing>
      </w:r>
      <w:r>
        <w:rPr>
          <w:color w:val="auto"/>
          <w:sz w:val="21"/>
          <w:highlight w:val="none"/>
        </w:rPr>
        <mc:AlternateContent>
          <mc:Choice Requires="wps">
            <w:drawing>
              <wp:anchor distT="0" distB="0" distL="114300" distR="114300" simplePos="0" relativeHeight="251740160" behindDoc="0" locked="0" layoutInCell="1" allowOverlap="1">
                <wp:simplePos x="0" y="0"/>
                <wp:positionH relativeFrom="column">
                  <wp:posOffset>3399790</wp:posOffset>
                </wp:positionH>
                <wp:positionV relativeFrom="paragraph">
                  <wp:posOffset>5539105</wp:posOffset>
                </wp:positionV>
                <wp:extent cx="2540000" cy="209550"/>
                <wp:effectExtent l="5080" t="4445" r="7620" b="14605"/>
                <wp:wrapNone/>
                <wp:docPr id="344" name="文本框 845"/>
                <wp:cNvGraphicFramePr/>
                <a:graphic xmlns:a="http://schemas.openxmlformats.org/drawingml/2006/main">
                  <a:graphicData uri="http://schemas.microsoft.com/office/word/2010/wordprocessingShape">
                    <wps:wsp>
                      <wps:cNvSpPr txBox="1"/>
                      <wps:spPr>
                        <a:xfrm>
                          <a:off x="0" y="0"/>
                          <a:ext cx="2540000" cy="2095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7E4EC85">
                            <w:pPr>
                              <w:rPr>
                                <w:b/>
                                <w:bCs/>
                              </w:rPr>
                            </w:pPr>
                            <w:r>
                              <w:rPr>
                                <w:b/>
                                <w:bCs/>
                                <w:color w:val="auto"/>
                              </w:rPr>
                              <w:t>表2.</w:t>
                            </w:r>
                            <w:r>
                              <w:rPr>
                                <w:rFonts w:hint="eastAsia"/>
                                <w:b/>
                                <w:bCs/>
                                <w:color w:val="auto"/>
                                <w:lang w:val="en-US" w:eastAsia="zh-CN"/>
                              </w:rPr>
                              <w:t>6</w:t>
                            </w:r>
                            <w:r>
                              <w:rPr>
                                <w:b/>
                                <w:bCs/>
                                <w:color w:val="auto"/>
                              </w:rPr>
                              <w:t>-1</w:t>
                            </w:r>
                            <w:r>
                              <w:rPr>
                                <w:rFonts w:hint="eastAsia"/>
                                <w:b/>
                                <w:bCs/>
                                <w:color w:val="auto"/>
                                <w:lang w:val="en-US" w:eastAsia="zh-CN"/>
                              </w:rPr>
                              <w:t xml:space="preserve">  项目</w:t>
                            </w:r>
                            <w:r>
                              <w:rPr>
                                <w:b/>
                                <w:bCs/>
                                <w:color w:val="auto"/>
                              </w:rPr>
                              <w:t>环境保护目标</w:t>
                            </w:r>
                            <w:r>
                              <w:rPr>
                                <w:rFonts w:hint="eastAsia"/>
                                <w:b/>
                                <w:bCs/>
                                <w:color w:val="auto"/>
                                <w:lang w:val="en-US" w:eastAsia="zh-CN"/>
                              </w:rPr>
                              <w:t>分布图</w:t>
                            </w:r>
                          </w:p>
                        </w:txbxContent>
                      </wps:txbx>
                      <wps:bodyPr vert="horz" wrap="square" lIns="0" tIns="0" rIns="0" bIns="0" anchor="t" anchorCtr="0" upright="1"/>
                    </wps:wsp>
                  </a:graphicData>
                </a:graphic>
              </wp:anchor>
            </w:drawing>
          </mc:Choice>
          <mc:Fallback>
            <w:pict>
              <v:shape id="文本框 845" o:spid="_x0000_s1026" o:spt="202" type="#_x0000_t202" style="position:absolute;left:0pt;margin-left:267.7pt;margin-top:436.15pt;height:16.5pt;width:200pt;z-index:251740160;mso-width-relative:page;mso-height-relative:page;" fillcolor="#FFFFFF" filled="t" stroked="t" coordsize="21600,21600" o:gfxdata="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ZnLUbZAAAACwEAAA8AAAAAAAAAAQAgAAAAIgAAAGRy&#10;cy9kb3ducmV2LnhtbFBLAQIUABQAAAAIAIdO4kA7QAHrPQIAAJEEAAAOAAAAAAAAAAEAIAAAACgB&#10;AABkcnMvZTJvRG9jLnhtbFBLBQYAAAAABgAGAFkBAADXBQAAAAA=&#10;">
                <v:fill on="t" focussize="0,0"/>
                <v:stroke color="#000000" joinstyle="miter"/>
                <v:imagedata o:title=""/>
                <o:lock v:ext="edit" aspectratio="f"/>
                <v:textbox inset="0mm,0mm,0mm,0mm">
                  <w:txbxContent>
                    <w:p w14:paraId="57E4EC85">
                      <w:pPr>
                        <w:rPr>
                          <w:b/>
                          <w:bCs/>
                        </w:rPr>
                      </w:pPr>
                      <w:r>
                        <w:rPr>
                          <w:b/>
                          <w:bCs/>
                          <w:color w:val="auto"/>
                        </w:rPr>
                        <w:t>表2.</w:t>
                      </w:r>
                      <w:r>
                        <w:rPr>
                          <w:rFonts w:hint="eastAsia"/>
                          <w:b/>
                          <w:bCs/>
                          <w:color w:val="auto"/>
                          <w:lang w:val="en-US" w:eastAsia="zh-CN"/>
                        </w:rPr>
                        <w:t>6</w:t>
                      </w:r>
                      <w:r>
                        <w:rPr>
                          <w:b/>
                          <w:bCs/>
                          <w:color w:val="auto"/>
                        </w:rPr>
                        <w:t>-1</w:t>
                      </w:r>
                      <w:r>
                        <w:rPr>
                          <w:rFonts w:hint="eastAsia"/>
                          <w:b/>
                          <w:bCs/>
                          <w:color w:val="auto"/>
                          <w:lang w:val="en-US" w:eastAsia="zh-CN"/>
                        </w:rPr>
                        <w:t xml:space="preserve">  项目</w:t>
                      </w:r>
                      <w:r>
                        <w:rPr>
                          <w:b/>
                          <w:bCs/>
                          <w:color w:val="auto"/>
                        </w:rPr>
                        <w:t>环境保护目标</w:t>
                      </w:r>
                      <w:r>
                        <w:rPr>
                          <w:rFonts w:hint="eastAsia"/>
                          <w:b/>
                          <w:bCs/>
                          <w:color w:val="auto"/>
                          <w:lang w:val="en-US" w:eastAsia="zh-CN"/>
                        </w:rPr>
                        <w:t>分布图</w:t>
                      </w:r>
                    </w:p>
                  </w:txbxContent>
                </v:textbox>
              </v:shape>
            </w:pict>
          </mc:Fallback>
        </mc:AlternateContent>
      </w:r>
      <w:r>
        <w:rPr>
          <w:rFonts w:hint="eastAsia"/>
          <w:color w:val="auto"/>
          <w:highlight w:val="none"/>
          <w:lang w:val="en-US" w:eastAsia="zh-CN"/>
        </w:rPr>
        <w:drawing>
          <wp:inline distT="0" distB="0" distL="114300" distR="114300">
            <wp:extent cx="8856980" cy="5741670"/>
            <wp:effectExtent l="0" t="0" r="1270" b="11430"/>
            <wp:docPr id="552" name="图片 305" descr="c4ad1d0c42ef61b8d62fd29d50332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305" descr="c4ad1d0c42ef61b8d62fd29d50332d9"/>
                    <pic:cNvPicPr>
                      <a:picLocks noChangeAspect="1"/>
                    </pic:cNvPicPr>
                  </pic:nvPicPr>
                  <pic:blipFill>
                    <a:blip r:embed="rId30"/>
                    <a:stretch>
                      <a:fillRect/>
                    </a:stretch>
                  </pic:blipFill>
                  <pic:spPr>
                    <a:xfrm>
                      <a:off x="0" y="0"/>
                      <a:ext cx="8856980" cy="5741670"/>
                    </a:xfrm>
                    <a:prstGeom prst="rect">
                      <a:avLst/>
                    </a:prstGeom>
                    <a:noFill/>
                    <a:ln>
                      <a:noFill/>
                    </a:ln>
                  </pic:spPr>
                </pic:pic>
              </a:graphicData>
            </a:graphic>
          </wp:inline>
        </w:drawing>
      </w:r>
    </w:p>
    <w:p w14:paraId="6338D04E">
      <w:pPr>
        <w:keepNext w:val="0"/>
        <w:keepLines w:val="0"/>
        <w:pageBreakBefore w:val="0"/>
        <w:widowControl w:val="0"/>
        <w:kinsoku/>
        <w:wordWrap/>
        <w:overflowPunct/>
        <w:topLinePunct w:val="0"/>
        <w:autoSpaceDE/>
        <w:autoSpaceDN/>
        <w:bidi w:val="0"/>
        <w:adjustRightInd/>
        <w:snapToGrid w:val="0"/>
        <w:spacing w:line="360" w:lineRule="auto"/>
        <w:ind w:firstLine="0" w:firstLineChars="0"/>
        <w:textAlignment w:val="auto"/>
        <w:outlineLvl w:val="2"/>
        <w:rPr>
          <w:rFonts w:ascii="Times New Roman" w:hAnsi="Times New Roman" w:eastAsia="宋体"/>
          <w:bCs/>
          <w:color w:val="auto"/>
          <w:sz w:val="24"/>
          <w:szCs w:val="24"/>
          <w:highlight w:val="none"/>
        </w:rPr>
        <w:sectPr>
          <w:footerReference r:id="rId5" w:type="default"/>
          <w:pgSz w:w="16838" w:h="11906" w:orient="landscape"/>
          <w:pgMar w:top="1803" w:right="1440" w:bottom="1803" w:left="1440" w:header="851" w:footer="992" w:gutter="0"/>
          <w:pgBorders>
            <w:top w:val="none" w:sz="0" w:space="0"/>
            <w:left w:val="none" w:sz="0" w:space="0"/>
            <w:bottom w:val="none" w:sz="0" w:space="0"/>
            <w:right w:val="none" w:sz="0" w:space="0"/>
          </w:pgBorders>
          <w:cols w:space="720" w:num="1"/>
          <w:docGrid w:type="linesAndChars" w:linePitch="312" w:charSpace="0"/>
        </w:sectPr>
      </w:pPr>
    </w:p>
    <w:p w14:paraId="26831EDF">
      <w:pPr>
        <w:pStyle w:val="46"/>
        <w:jc w:val="center"/>
        <w:rPr>
          <w:color w:val="auto"/>
          <w:highlight w:val="none"/>
        </w:rPr>
      </w:pPr>
      <w:bookmarkStart w:id="160" w:name="_Toc7331"/>
      <w:bookmarkStart w:id="161" w:name="_Toc152921985"/>
      <w:bookmarkStart w:id="162" w:name="_Toc152922579"/>
      <w:r>
        <w:rPr>
          <w:color w:val="auto"/>
          <w:highlight w:val="none"/>
        </w:rPr>
        <w:t>3建设项目工程分析</w:t>
      </w:r>
      <w:bookmarkEnd w:id="160"/>
      <w:bookmarkEnd w:id="161"/>
      <w:bookmarkEnd w:id="162"/>
    </w:p>
    <w:p w14:paraId="1CAB45AF">
      <w:pPr>
        <w:pStyle w:val="218"/>
        <w:spacing w:before="62" w:after="156"/>
        <w:rPr>
          <w:color w:val="auto"/>
          <w:highlight w:val="none"/>
        </w:rPr>
      </w:pPr>
      <w:bookmarkStart w:id="163" w:name="_Toc13032"/>
      <w:bookmarkStart w:id="164" w:name="_Toc152922592"/>
      <w:bookmarkStart w:id="165" w:name="_Toc152921998"/>
      <w:r>
        <w:rPr>
          <w:color w:val="auto"/>
          <w:highlight w:val="none"/>
        </w:rPr>
        <w:t>3.</w:t>
      </w:r>
      <w:r>
        <w:rPr>
          <w:rFonts w:hint="eastAsia"/>
          <w:color w:val="auto"/>
          <w:highlight w:val="none"/>
          <w:lang w:val="en-US" w:eastAsia="zh-CN"/>
        </w:rPr>
        <w:t>1</w:t>
      </w:r>
      <w:r>
        <w:rPr>
          <w:color w:val="auto"/>
          <w:highlight w:val="none"/>
        </w:rPr>
        <w:t>建设项目概况</w:t>
      </w:r>
      <w:bookmarkEnd w:id="163"/>
      <w:bookmarkEnd w:id="164"/>
      <w:bookmarkEnd w:id="165"/>
    </w:p>
    <w:p w14:paraId="71F94DC2">
      <w:pPr>
        <w:pStyle w:val="4"/>
        <w:spacing w:after="156"/>
        <w:rPr>
          <w:color w:val="auto"/>
          <w:highlight w:val="none"/>
        </w:rPr>
      </w:pPr>
      <w:bookmarkStart w:id="166" w:name="_Toc152922593"/>
      <w:bookmarkStart w:id="167" w:name="_Toc152921999"/>
      <w:bookmarkStart w:id="168" w:name="_Toc117150222"/>
      <w:bookmarkStart w:id="169" w:name="_Toc152923274"/>
      <w:bookmarkStart w:id="170" w:name="_Toc152921634"/>
      <w:r>
        <w:rPr>
          <w:color w:val="auto"/>
          <w:highlight w:val="none"/>
        </w:rPr>
        <w:t>3.</w:t>
      </w:r>
      <w:r>
        <w:rPr>
          <w:rFonts w:hint="eastAsia"/>
          <w:color w:val="auto"/>
          <w:highlight w:val="none"/>
          <w:lang w:val="en-US" w:eastAsia="zh-CN"/>
        </w:rPr>
        <w:t>1</w:t>
      </w:r>
      <w:r>
        <w:rPr>
          <w:color w:val="auto"/>
          <w:highlight w:val="none"/>
        </w:rPr>
        <w:t>.1项目基本情况</w:t>
      </w:r>
      <w:bookmarkEnd w:id="166"/>
      <w:bookmarkEnd w:id="167"/>
      <w:bookmarkEnd w:id="168"/>
      <w:bookmarkEnd w:id="169"/>
      <w:bookmarkEnd w:id="170"/>
    </w:p>
    <w:p w14:paraId="1F86120E">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项目名称：</w:t>
      </w:r>
      <w:r>
        <w:rPr>
          <w:rFonts w:ascii="新宋体" w:hAnsi="新宋体" w:eastAsia="新宋体" w:cs="新宋体"/>
          <w:b w:val="0"/>
          <w:bCs w:val="0"/>
          <w:color w:val="auto"/>
          <w:sz w:val="24"/>
          <w:szCs w:val="24"/>
          <w:highlight w:val="none"/>
        </w:rPr>
        <w:t>安徽氢环生物质沼气便携式制氢设备制造及综合能源供应项目</w:t>
      </w:r>
      <w:r>
        <w:rPr>
          <w:rFonts w:ascii="Times New Roman" w:hAnsi="Times New Roman" w:eastAsia="宋体"/>
          <w:color w:val="auto"/>
          <w:sz w:val="24"/>
          <w:szCs w:val="24"/>
          <w:highlight w:val="none"/>
        </w:rPr>
        <w:t>；</w:t>
      </w:r>
    </w:p>
    <w:p w14:paraId="7FA70C44">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建设单位：</w:t>
      </w:r>
      <w:r>
        <w:rPr>
          <w:rFonts w:hint="eastAsia" w:ascii="Times New Roman" w:hAnsi="Times New Roman" w:eastAsia="宋体"/>
          <w:color w:val="auto"/>
          <w:sz w:val="24"/>
          <w:highlight w:val="none"/>
        </w:rPr>
        <w:t>安徽氢环能源技术有限公司</w:t>
      </w:r>
      <w:r>
        <w:rPr>
          <w:rFonts w:ascii="Times New Roman" w:hAnsi="Times New Roman" w:eastAsia="宋体"/>
          <w:color w:val="auto"/>
          <w:sz w:val="24"/>
          <w:szCs w:val="24"/>
          <w:highlight w:val="none"/>
        </w:rPr>
        <w:t>；</w:t>
      </w:r>
    </w:p>
    <w:p w14:paraId="66AF5584">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建设地点：</w:t>
      </w:r>
      <w:r>
        <w:rPr>
          <w:rFonts w:hint="eastAsia" w:ascii="Times New Roman" w:hAnsi="Times New Roman" w:eastAsia="宋体" w:cs="Times New Roman"/>
          <w:color w:val="auto"/>
          <w:sz w:val="24"/>
          <w:highlight w:val="none"/>
        </w:rPr>
        <w:t>安徽省淮南市田家庵区</w:t>
      </w:r>
      <w:r>
        <w:rPr>
          <w:rFonts w:ascii="Times New Roman" w:hAnsi="Times New Roman" w:eastAsia="宋体"/>
          <w:color w:val="auto"/>
          <w:sz w:val="24"/>
          <w:szCs w:val="24"/>
          <w:highlight w:val="none"/>
        </w:rPr>
        <w:t>；</w:t>
      </w:r>
    </w:p>
    <w:p w14:paraId="3D2A8091">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建设性质：新建；</w:t>
      </w:r>
    </w:p>
    <w:p w14:paraId="5B4665A9">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行业类别：</w:t>
      </w:r>
      <w:r>
        <w:rPr>
          <w:rFonts w:hint="default" w:ascii="Times New Roman" w:hAnsi="Times New Roman" w:eastAsia="Times New Roman" w:cs="Times New Roman"/>
          <w:b w:val="0"/>
          <w:bCs w:val="0"/>
          <w:color w:val="auto"/>
          <w:sz w:val="24"/>
          <w:szCs w:val="24"/>
          <w:highlight w:val="none"/>
        </w:rPr>
        <w:t>C2619</w:t>
      </w:r>
      <w:r>
        <w:rPr>
          <w:rFonts w:hint="eastAsia" w:ascii="宋体" w:hAnsi="宋体" w:eastAsia="宋体" w:cs="宋体"/>
          <w:b w:val="0"/>
          <w:bCs w:val="0"/>
          <w:color w:val="auto"/>
          <w:sz w:val="24"/>
          <w:szCs w:val="24"/>
          <w:highlight w:val="none"/>
        </w:rPr>
        <w:t>其他基础化学原料制造</w:t>
      </w:r>
      <w:r>
        <w:rPr>
          <w:rFonts w:ascii="Times New Roman" w:hAnsi="Times New Roman" w:eastAsia="宋体"/>
          <w:color w:val="auto"/>
          <w:sz w:val="24"/>
          <w:szCs w:val="24"/>
          <w:highlight w:val="none"/>
        </w:rPr>
        <w:t>；</w:t>
      </w:r>
    </w:p>
    <w:p w14:paraId="6DD308FF">
      <w:pPr>
        <w:snapToGrid w:val="0"/>
        <w:spacing w:line="360" w:lineRule="auto"/>
        <w:ind w:firstLine="480" w:firstLineChars="200"/>
        <w:rPr>
          <w:rFonts w:hint="default" w:ascii="Times New Roman" w:hAnsi="Times New Roman" w:eastAsia="宋体" w:cs="Times New Roman"/>
          <w:color w:val="auto"/>
          <w:sz w:val="24"/>
          <w:highlight w:val="none"/>
        </w:rPr>
      </w:pPr>
      <w:bookmarkStart w:id="171" w:name="_Toc463813179"/>
      <w:r>
        <w:rPr>
          <w:rFonts w:ascii="Times New Roman" w:hAnsi="Times New Roman" w:eastAsia="宋体"/>
          <w:color w:val="auto"/>
          <w:sz w:val="24"/>
          <w:szCs w:val="24"/>
          <w:highlight w:val="none"/>
        </w:rPr>
        <w:t>项目总投资及环保投资：项目总投资</w:t>
      </w:r>
      <w:r>
        <w:rPr>
          <w:rFonts w:hint="eastAsia" w:ascii="Times New Roman" w:hAnsi="Times New Roman" w:eastAsia="宋体"/>
          <w:color w:val="auto"/>
          <w:sz w:val="24"/>
          <w:szCs w:val="24"/>
          <w:highlight w:val="none"/>
          <w:lang w:val="en-US" w:eastAsia="zh-CN"/>
        </w:rPr>
        <w:t>5000</w:t>
      </w:r>
      <w:r>
        <w:rPr>
          <w:rFonts w:hint="eastAsia"/>
          <w:color w:val="auto"/>
          <w:sz w:val="24"/>
          <w:szCs w:val="24"/>
          <w:highlight w:val="none"/>
          <w:lang w:val="en-US" w:eastAsia="zh-CN"/>
        </w:rPr>
        <w:t>0</w:t>
      </w:r>
      <w:r>
        <w:rPr>
          <w:rFonts w:ascii="Times New Roman" w:hAnsi="Times New Roman" w:eastAsia="宋体"/>
          <w:color w:val="auto"/>
          <w:sz w:val="24"/>
          <w:szCs w:val="24"/>
          <w:highlight w:val="none"/>
        </w:rPr>
        <w:t>万元，其中环保投资</w:t>
      </w:r>
      <w:r>
        <w:rPr>
          <w:rFonts w:hint="eastAsia"/>
          <w:color w:val="auto"/>
          <w:sz w:val="24"/>
          <w:szCs w:val="24"/>
          <w:highlight w:val="none"/>
          <w:lang w:val="en-US" w:eastAsia="zh-CN"/>
        </w:rPr>
        <w:t>511</w:t>
      </w:r>
      <w:r>
        <w:rPr>
          <w:rFonts w:ascii="Times New Roman" w:hAnsi="Times New Roman" w:eastAsia="宋体"/>
          <w:color w:val="auto"/>
          <w:sz w:val="24"/>
          <w:szCs w:val="24"/>
          <w:highlight w:val="none"/>
        </w:rPr>
        <w:t>万元，占总投资的</w:t>
      </w:r>
      <w:r>
        <w:rPr>
          <w:rFonts w:hint="eastAsia"/>
          <w:color w:val="auto"/>
          <w:sz w:val="24"/>
          <w:szCs w:val="24"/>
          <w:highlight w:val="none"/>
          <w:lang w:val="en-US" w:eastAsia="zh-CN"/>
        </w:rPr>
        <w:t>1.022</w:t>
      </w:r>
      <w:r>
        <w:rPr>
          <w:rFonts w:ascii="Times New Roman" w:hAnsi="Times New Roman" w:eastAsia="宋体"/>
          <w:color w:val="auto"/>
          <w:sz w:val="24"/>
          <w:szCs w:val="24"/>
          <w:highlight w:val="none"/>
        </w:rPr>
        <w:t>%。</w:t>
      </w:r>
    </w:p>
    <w:p w14:paraId="0B31C3C6">
      <w:pPr>
        <w:snapToGrid w:val="0"/>
        <w:spacing w:line="360" w:lineRule="auto"/>
        <w:ind w:firstLine="480" w:firstLineChars="200"/>
        <w:rPr>
          <w:rFonts w:hint="eastAsia" w:ascii="Times New Roman" w:hAnsi="Times New Roman" w:eastAsia="宋体"/>
          <w:color w:val="auto"/>
          <w:sz w:val="24"/>
          <w:highlight w:val="none"/>
          <w:lang w:eastAsia="zh-CN"/>
        </w:rPr>
      </w:pPr>
      <w:r>
        <w:rPr>
          <w:rFonts w:ascii="Times New Roman" w:hAnsi="Times New Roman" w:eastAsia="宋体"/>
          <w:color w:val="auto"/>
          <w:sz w:val="24"/>
          <w:szCs w:val="24"/>
          <w:highlight w:val="none"/>
        </w:rPr>
        <w:t>劳动定员及生产制度</w:t>
      </w:r>
      <w:bookmarkEnd w:id="171"/>
      <w:r>
        <w:rPr>
          <w:rFonts w:ascii="Times New Roman" w:hAnsi="Times New Roman" w:eastAsia="宋体"/>
          <w:color w:val="auto"/>
          <w:sz w:val="24"/>
          <w:szCs w:val="24"/>
          <w:highlight w:val="none"/>
        </w:rPr>
        <w:t>：</w:t>
      </w:r>
      <w:r>
        <w:rPr>
          <w:rFonts w:hint="eastAsia" w:ascii="Times New Roman" w:hAnsi="Times New Roman" w:eastAsia="宋体"/>
          <w:color w:val="auto"/>
          <w:sz w:val="24"/>
          <w:szCs w:val="24"/>
          <w:highlight w:val="none"/>
        </w:rPr>
        <w:t>项目员工</w:t>
      </w:r>
      <w:r>
        <w:rPr>
          <w:rFonts w:hint="eastAsia" w:ascii="Times New Roman" w:hAnsi="Times New Roman" w:eastAsia="宋体"/>
          <w:color w:val="auto"/>
          <w:sz w:val="24"/>
          <w:szCs w:val="24"/>
          <w:highlight w:val="none"/>
          <w:lang w:val="en-US" w:eastAsia="zh-CN"/>
        </w:rPr>
        <w:t>30</w:t>
      </w:r>
      <w:r>
        <w:rPr>
          <w:rFonts w:ascii="Times New Roman" w:hAnsi="Times New Roman" w:eastAsia="宋体"/>
          <w:color w:val="auto"/>
          <w:sz w:val="24"/>
          <w:szCs w:val="24"/>
          <w:highlight w:val="none"/>
        </w:rPr>
        <w:t>人，年工作3</w:t>
      </w:r>
      <w:r>
        <w:rPr>
          <w:rFonts w:hint="eastAsia" w:ascii="Times New Roman" w:hAnsi="Times New Roman" w:eastAsia="宋体"/>
          <w:color w:val="auto"/>
          <w:sz w:val="24"/>
          <w:szCs w:val="24"/>
          <w:highlight w:val="none"/>
          <w:lang w:val="en-US" w:eastAsia="zh-CN"/>
        </w:rPr>
        <w:t>65</w:t>
      </w:r>
      <w:r>
        <w:rPr>
          <w:rFonts w:ascii="Times New Roman" w:hAnsi="Times New Roman" w:eastAsia="宋体"/>
          <w:color w:val="auto"/>
          <w:sz w:val="24"/>
          <w:szCs w:val="24"/>
          <w:highlight w:val="none"/>
        </w:rPr>
        <w:t>天</w:t>
      </w:r>
      <w:r>
        <w:rPr>
          <w:rFonts w:hint="eastAsia" w:ascii="Times New Roman" w:hAnsi="Times New Roman" w:eastAsia="宋体"/>
          <w:color w:val="auto"/>
          <w:sz w:val="24"/>
          <w:szCs w:val="24"/>
          <w:highlight w:val="none"/>
          <w:lang w:eastAsia="zh-CN"/>
        </w:rPr>
        <w:t>，</w:t>
      </w:r>
      <w:r>
        <w:rPr>
          <w:rFonts w:hint="eastAsia" w:ascii="Times New Roman" w:hAnsi="Times New Roman" w:eastAsia="宋体"/>
          <w:color w:val="auto"/>
          <w:sz w:val="24"/>
          <w:szCs w:val="24"/>
          <w:highlight w:val="none"/>
          <w:lang w:val="en-US" w:eastAsia="zh-CN"/>
        </w:rPr>
        <w:t>三班制（每</w:t>
      </w:r>
      <w:r>
        <w:rPr>
          <w:rFonts w:ascii="Times New Roman" w:hAnsi="Times New Roman" w:eastAsia="宋体"/>
          <w:color w:val="auto"/>
          <w:sz w:val="24"/>
          <w:szCs w:val="24"/>
          <w:highlight w:val="none"/>
        </w:rPr>
        <w:t>班8小时</w:t>
      </w:r>
      <w:r>
        <w:rPr>
          <w:rFonts w:hint="eastAsia" w:ascii="Times New Roman" w:hAnsi="Times New Roman" w:eastAsia="宋体"/>
          <w:color w:val="auto"/>
          <w:sz w:val="24"/>
          <w:szCs w:val="24"/>
          <w:highlight w:val="none"/>
          <w:lang w:val="en-US" w:eastAsia="zh-CN"/>
        </w:rPr>
        <w:t>），</w:t>
      </w:r>
      <w:r>
        <w:rPr>
          <w:rFonts w:ascii="Times New Roman" w:hAnsi="Times New Roman" w:eastAsia="宋体"/>
          <w:color w:val="auto"/>
          <w:sz w:val="24"/>
          <w:szCs w:val="24"/>
          <w:highlight w:val="none"/>
        </w:rPr>
        <w:t>年工作时间为</w:t>
      </w:r>
      <w:r>
        <w:rPr>
          <w:rFonts w:hint="eastAsia" w:ascii="Times New Roman" w:hAnsi="Times New Roman" w:eastAsia="宋体"/>
          <w:color w:val="auto"/>
          <w:sz w:val="24"/>
          <w:szCs w:val="24"/>
          <w:highlight w:val="none"/>
          <w:lang w:val="en-US" w:eastAsia="zh-CN"/>
        </w:rPr>
        <w:t>8760</w:t>
      </w:r>
      <w:r>
        <w:rPr>
          <w:rFonts w:ascii="Times New Roman" w:hAnsi="Times New Roman" w:eastAsia="宋体"/>
          <w:color w:val="auto"/>
          <w:sz w:val="24"/>
          <w:szCs w:val="24"/>
          <w:highlight w:val="none"/>
        </w:rPr>
        <w:t>小时</w:t>
      </w:r>
      <w:r>
        <w:rPr>
          <w:rFonts w:hint="eastAsia" w:ascii="Times New Roman" w:hAnsi="Times New Roman" w:eastAsia="宋体"/>
          <w:color w:val="auto"/>
          <w:sz w:val="24"/>
          <w:szCs w:val="24"/>
          <w:highlight w:val="none"/>
          <w:lang w:eastAsia="zh-CN"/>
        </w:rPr>
        <w:t>，</w:t>
      </w:r>
      <w:r>
        <w:rPr>
          <w:rFonts w:hint="eastAsia" w:ascii="Times New Roman" w:hAnsi="Times New Roman" w:eastAsia="宋体"/>
          <w:color w:val="auto"/>
          <w:sz w:val="24"/>
          <w:szCs w:val="24"/>
          <w:highlight w:val="none"/>
          <w:lang w:val="en-US" w:eastAsia="zh-CN"/>
        </w:rPr>
        <w:t>不在站内食宿</w:t>
      </w:r>
      <w:r>
        <w:rPr>
          <w:rFonts w:ascii="Times New Roman" w:hAnsi="Times New Roman" w:eastAsia="宋体"/>
          <w:color w:val="auto"/>
          <w:sz w:val="24"/>
          <w:szCs w:val="24"/>
          <w:highlight w:val="none"/>
        </w:rPr>
        <w:t>。</w:t>
      </w:r>
    </w:p>
    <w:p w14:paraId="4D54D690">
      <w:pPr>
        <w:pStyle w:val="4"/>
        <w:spacing w:after="156"/>
        <w:rPr>
          <w:color w:val="auto"/>
          <w:highlight w:val="none"/>
        </w:rPr>
      </w:pPr>
      <w:bookmarkStart w:id="172" w:name="_Toc152922000"/>
      <w:bookmarkStart w:id="173" w:name="_Toc152922594"/>
      <w:bookmarkStart w:id="174" w:name="_Toc152923275"/>
      <w:bookmarkStart w:id="175" w:name="_Toc117150223"/>
      <w:bookmarkStart w:id="176" w:name="_Toc152921635"/>
      <w:r>
        <w:rPr>
          <w:color w:val="auto"/>
          <w:highlight w:val="none"/>
        </w:rPr>
        <w:t>3.</w:t>
      </w:r>
      <w:r>
        <w:rPr>
          <w:rFonts w:hint="eastAsia"/>
          <w:color w:val="auto"/>
          <w:highlight w:val="none"/>
          <w:lang w:val="en-US" w:eastAsia="zh-CN"/>
        </w:rPr>
        <w:t>1</w:t>
      </w:r>
      <w:r>
        <w:rPr>
          <w:color w:val="auto"/>
          <w:highlight w:val="none"/>
        </w:rPr>
        <w:t>.2项目建设内容</w:t>
      </w:r>
      <w:bookmarkEnd w:id="172"/>
      <w:bookmarkEnd w:id="173"/>
      <w:bookmarkEnd w:id="174"/>
      <w:bookmarkEnd w:id="175"/>
      <w:bookmarkEnd w:id="176"/>
    </w:p>
    <w:p w14:paraId="748B85F4">
      <w:pPr>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本项目建设地点位于</w:t>
      </w:r>
      <w:r>
        <w:rPr>
          <w:rFonts w:hint="eastAsia" w:ascii="Times New Roman" w:hAnsi="Times New Roman" w:eastAsia="宋体" w:cs="Times New Roman"/>
          <w:color w:val="auto"/>
          <w:sz w:val="24"/>
          <w:highlight w:val="none"/>
        </w:rPr>
        <w:t>安徽省淮南市田家庵区</w:t>
      </w:r>
      <w:r>
        <w:rPr>
          <w:rFonts w:hint="eastAsia" w:ascii="Times New Roman" w:hAnsi="Times New Roman" w:eastAsia="宋体" w:cs="Times New Roman"/>
          <w:color w:val="auto"/>
          <w:sz w:val="24"/>
          <w:highlight w:val="none"/>
          <w:lang w:val="en-US" w:eastAsia="zh-CN"/>
        </w:rPr>
        <w:t>滁新高速与合淮路交叉口往南400m</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生产产品为氢气，同时涉及光电充及汽油、柴油等外售，建设制加氢（含充装）、光电充、加油站合建站。</w:t>
      </w:r>
      <w:r>
        <w:rPr>
          <w:rFonts w:ascii="Times New Roman" w:hAnsi="Times New Roman" w:eastAsia="宋体"/>
          <w:color w:val="auto"/>
          <w:sz w:val="24"/>
          <w:highlight w:val="none"/>
        </w:rPr>
        <w:t>主要建设内容为</w:t>
      </w:r>
      <w:r>
        <w:rPr>
          <w:rFonts w:hint="eastAsia"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总占地面积为15300</w:t>
      </w:r>
      <w:r>
        <w:rPr>
          <w:rFonts w:hint="eastAsia" w:ascii="Times New Roman" w:hAnsi="Times New Roman" w:eastAsia="宋体"/>
          <w:color w:val="auto"/>
          <w:sz w:val="24"/>
          <w:highlight w:val="none"/>
        </w:rPr>
        <w:t>m</w:t>
      </w:r>
      <w:r>
        <w:rPr>
          <w:rFonts w:hint="eastAsia"/>
          <w:color w:val="auto"/>
          <w:sz w:val="24"/>
          <w:highlight w:val="none"/>
          <w:vertAlign w:val="superscript"/>
          <w:lang w:val="en-US" w:eastAsia="zh-CN"/>
        </w:rPr>
        <w:t>2</w:t>
      </w:r>
      <w:r>
        <w:rPr>
          <w:rFonts w:hint="eastAsia" w:ascii="Times New Roman" w:hAnsi="Times New Roman" w:eastAsia="宋体"/>
          <w:color w:val="auto"/>
          <w:sz w:val="24"/>
          <w:highlight w:val="none"/>
          <w:vertAlign w:val="baseline"/>
          <w:lang w:eastAsia="zh-CN"/>
        </w:rPr>
        <w:t>（</w:t>
      </w:r>
      <w:r>
        <w:rPr>
          <w:rFonts w:hint="eastAsia" w:ascii="Times New Roman" w:hAnsi="Times New Roman" w:eastAsia="宋体"/>
          <w:color w:val="auto"/>
          <w:sz w:val="24"/>
          <w:highlight w:val="none"/>
          <w:vertAlign w:val="baseline"/>
          <w:lang w:val="en-US" w:eastAsia="zh-CN"/>
        </w:rPr>
        <w:t>折合</w:t>
      </w:r>
      <w:r>
        <w:rPr>
          <w:rFonts w:hint="eastAsia"/>
          <w:color w:val="auto"/>
          <w:sz w:val="24"/>
          <w:highlight w:val="none"/>
          <w:vertAlign w:val="baseline"/>
          <w:lang w:val="en-US" w:eastAsia="zh-CN"/>
        </w:rPr>
        <w:t>22.95</w:t>
      </w:r>
      <w:r>
        <w:rPr>
          <w:rFonts w:hint="eastAsia" w:ascii="Times New Roman" w:hAnsi="Times New Roman" w:eastAsia="宋体"/>
          <w:color w:val="auto"/>
          <w:sz w:val="24"/>
          <w:highlight w:val="none"/>
          <w:vertAlign w:val="baseline"/>
          <w:lang w:val="en-US" w:eastAsia="zh-CN"/>
        </w:rPr>
        <w:t>亩</w:t>
      </w:r>
      <w:r>
        <w:rPr>
          <w:rFonts w:hint="eastAsia" w:ascii="Times New Roman" w:hAnsi="Times New Roman" w:eastAsia="宋体"/>
          <w:color w:val="auto"/>
          <w:sz w:val="24"/>
          <w:highlight w:val="none"/>
          <w:vertAlign w:val="baseline"/>
          <w:lang w:eastAsia="zh-CN"/>
        </w:rPr>
        <w:t>）</w:t>
      </w:r>
      <w:r>
        <w:rPr>
          <w:rFonts w:hint="eastAsia"/>
          <w:color w:val="auto"/>
          <w:sz w:val="24"/>
          <w:highlight w:val="none"/>
          <w:vertAlign w:val="baseline"/>
          <w:lang w:eastAsia="zh-CN"/>
        </w:rPr>
        <w:t>，</w:t>
      </w:r>
      <w:r>
        <w:rPr>
          <w:rFonts w:hint="eastAsia" w:cs="Times New Roman"/>
          <w:color w:val="auto"/>
          <w:sz w:val="24"/>
          <w:highlight w:val="none"/>
          <w:vertAlign w:val="baseline"/>
          <w:lang w:val="en-US" w:eastAsia="zh-CN"/>
        </w:rPr>
        <w:t>其中包括站区用地面积12870.82</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vertAlign w:val="baseline"/>
          <w:lang w:val="en-US" w:eastAsia="zh-CN"/>
        </w:rPr>
        <w:t>（</w:t>
      </w:r>
      <w:r>
        <w:rPr>
          <w:rFonts w:hint="eastAsia" w:cs="Times New Roman"/>
          <w:color w:val="auto"/>
          <w:sz w:val="24"/>
          <w:highlight w:val="none"/>
          <w:lang w:val="en-US" w:eastAsia="zh-CN"/>
        </w:rPr>
        <w:t>19.3062</w:t>
      </w:r>
      <w:r>
        <w:rPr>
          <w:rFonts w:hint="default" w:ascii="Times New Roman" w:hAnsi="Times New Roman" w:eastAsia="宋体" w:cs="Times New Roman"/>
          <w:color w:val="auto"/>
          <w:sz w:val="24"/>
          <w:highlight w:val="none"/>
          <w:lang w:val="en-US" w:eastAsia="zh-CN"/>
        </w:rPr>
        <w:t>亩</w:t>
      </w:r>
      <w:r>
        <w:rPr>
          <w:rFonts w:hint="eastAsia" w:ascii="Times New Roman" w:hAnsi="Times New Roman" w:eastAsia="宋体" w:cs="Times New Roman"/>
          <w:color w:val="auto"/>
          <w:sz w:val="24"/>
          <w:highlight w:val="none"/>
          <w:vertAlign w:val="baseline"/>
          <w:lang w:val="en-US" w:eastAsia="zh-CN"/>
        </w:rPr>
        <w:t>）</w:t>
      </w:r>
      <w:r>
        <w:rPr>
          <w:rFonts w:hint="eastAsia" w:cs="Times New Roman"/>
          <w:color w:val="auto"/>
          <w:sz w:val="24"/>
          <w:highlight w:val="none"/>
          <w:vertAlign w:val="baseline"/>
          <w:lang w:val="en-US" w:eastAsia="zh-CN"/>
        </w:rPr>
        <w:t>，防护绿地面积2429.18</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2</w:t>
      </w:r>
      <w:r>
        <w:rPr>
          <w:rFonts w:hint="eastAsia" w:ascii="Times New Roman" w:hAnsi="Times New Roman" w:eastAsia="宋体" w:cs="Times New Roman"/>
          <w:color w:val="auto"/>
          <w:sz w:val="24"/>
          <w:highlight w:val="none"/>
          <w:vertAlign w:val="baseline"/>
          <w:lang w:val="en-US" w:eastAsia="zh-CN"/>
        </w:rPr>
        <w:t>（</w:t>
      </w:r>
      <w:r>
        <w:rPr>
          <w:rFonts w:hint="eastAsia" w:cs="Times New Roman"/>
          <w:color w:val="auto"/>
          <w:sz w:val="24"/>
          <w:highlight w:val="none"/>
          <w:lang w:val="en-US" w:eastAsia="zh-CN"/>
        </w:rPr>
        <w:t>3.64</w:t>
      </w:r>
      <w:r>
        <w:rPr>
          <w:rFonts w:hint="default" w:ascii="Times New Roman" w:hAnsi="Times New Roman" w:eastAsia="宋体" w:cs="Times New Roman"/>
          <w:color w:val="auto"/>
          <w:sz w:val="24"/>
          <w:highlight w:val="none"/>
          <w:lang w:val="en-US" w:eastAsia="zh-CN"/>
        </w:rPr>
        <w:t>亩</w:t>
      </w:r>
      <w:r>
        <w:rPr>
          <w:rFonts w:hint="eastAsia" w:ascii="Times New Roman" w:hAnsi="Times New Roman" w:eastAsia="宋体" w:cs="Times New Roman"/>
          <w:color w:val="auto"/>
          <w:sz w:val="24"/>
          <w:highlight w:val="none"/>
          <w:vertAlign w:val="baseline"/>
          <w:lang w:val="en-US" w:eastAsia="zh-CN"/>
        </w:rPr>
        <w:t>）</w:t>
      </w:r>
      <w:r>
        <w:rPr>
          <w:rFonts w:hint="eastAsia" w:ascii="Times New Roman" w:hAnsi="Times New Roman" w:eastAsia="宋体"/>
          <w:color w:val="auto"/>
          <w:sz w:val="24"/>
          <w:highlight w:val="none"/>
          <w:vertAlign w:val="baseline"/>
          <w:lang w:eastAsia="zh-CN"/>
        </w:rPr>
        <w:t>，</w:t>
      </w:r>
      <w:r>
        <w:rPr>
          <w:rFonts w:hint="default" w:ascii="Times New Roman" w:hAnsi="Times New Roman" w:eastAsia="宋体" w:cs="Times New Roman"/>
          <w:color w:val="auto"/>
          <w:sz w:val="24"/>
          <w:highlight w:val="none"/>
          <w:lang w:val="en-US" w:eastAsia="zh-CN"/>
        </w:rPr>
        <w:t>新建规模为3t/d制加氢充装一体综合能源站</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olor w:val="auto"/>
          <w:sz w:val="24"/>
          <w:highlight w:val="none"/>
          <w:lang w:val="en-US" w:eastAsia="zh-CN"/>
        </w:rPr>
        <w:t>新增</w:t>
      </w:r>
      <w:r>
        <w:rPr>
          <w:rFonts w:hint="eastAsia" w:ascii="Times New Roman" w:hAnsi="Times New Roman" w:eastAsia="宋体"/>
          <w:color w:val="auto"/>
          <w:sz w:val="24"/>
          <w:highlight w:val="none"/>
        </w:rPr>
        <w:t>500Nm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/h箱式制氢设备三套</w:t>
      </w:r>
      <w:r>
        <w:rPr>
          <w:rFonts w:hint="eastAsia" w:ascii="Times New Roman" w:hAnsi="Times New Roman" w:eastAsia="宋体"/>
          <w:color w:val="auto"/>
          <w:sz w:val="24"/>
          <w:highlight w:val="none"/>
          <w:lang w:eastAsia="zh-CN"/>
        </w:rPr>
        <w:t>，年产氢气达</w:t>
      </w:r>
      <w:r>
        <w:rPr>
          <w:rFonts w:hint="eastAsia" w:ascii="Times New Roman" w:hAnsi="Times New Roman" w:eastAsia="宋体"/>
          <w:color w:val="auto"/>
          <w:sz w:val="24"/>
          <w:highlight w:val="none"/>
          <w:lang w:val="en-US" w:eastAsia="zh-CN"/>
        </w:rPr>
        <w:t>108</w:t>
      </w:r>
      <w:r>
        <w:rPr>
          <w:rFonts w:hint="eastAsia" w:ascii="Times New Roman" w:hAnsi="Times New Roman" w:eastAsia="宋体"/>
          <w:color w:val="auto"/>
          <w:sz w:val="24"/>
          <w:highlight w:val="none"/>
          <w:lang w:eastAsia="zh-CN"/>
        </w:rPr>
        <w:t>0万Nm</w:t>
      </w:r>
      <w:r>
        <w:rPr>
          <w:rFonts w:hint="eastAsia" w:ascii="Times New Roman" w:hAnsi="Times New Roman" w:eastAsia="宋体"/>
          <w:color w:val="auto"/>
          <w:sz w:val="24"/>
          <w:highlight w:val="none"/>
          <w:vertAlign w:val="superscript"/>
          <w:lang w:eastAsia="zh-CN"/>
        </w:rPr>
        <w:t>3</w:t>
      </w:r>
      <w:r>
        <w:rPr>
          <w:rFonts w:hint="eastAsia" w:ascii="Times New Roman" w:hAnsi="Times New Roman" w:eastAsia="宋体"/>
          <w:color w:val="auto"/>
          <w:sz w:val="24"/>
          <w:highlight w:val="none"/>
        </w:rPr>
        <w:t>；光伏部分利用停车位区域采用BIPV形式打造光伏车棚，配置三台100</w:t>
      </w:r>
      <w:r>
        <w:rPr>
          <w:rFonts w:hint="eastAsia" w:ascii="Times New Roman" w:hAnsi="Times New Roman" w:eastAsia="宋体"/>
          <w:color w:val="auto"/>
          <w:sz w:val="24"/>
          <w:highlight w:val="none"/>
          <w:lang w:val="en-US" w:eastAsia="zh-CN"/>
        </w:rPr>
        <w:t>kW</w:t>
      </w:r>
      <w:r>
        <w:rPr>
          <w:rFonts w:hint="eastAsia" w:ascii="Times New Roman" w:hAnsi="Times New Roman" w:eastAsia="宋体"/>
          <w:color w:val="auto"/>
          <w:sz w:val="24"/>
          <w:highlight w:val="none"/>
        </w:rPr>
        <w:t>逆变器，接入箱变低压侧进行并网；下面布置60个快速充电桩车位。加油：1个30m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92号汽油储罐；1个30m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95号汽油储罐；1个30m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0号柴油储罐；</w:t>
      </w:r>
      <w:r>
        <w:rPr>
          <w:rFonts w:hint="eastAsia" w:ascii="Times New Roman" w:hAnsi="Times New Roman" w:eastAsia="宋体"/>
          <w:color w:val="auto"/>
          <w:sz w:val="24"/>
          <w:highlight w:val="none"/>
          <w:lang w:val="en-US" w:eastAsia="zh-CN"/>
        </w:rPr>
        <w:t>其他辅助性用房包括</w:t>
      </w:r>
      <w:r>
        <w:rPr>
          <w:rFonts w:hint="eastAsia" w:ascii="Times New Roman" w:hAnsi="Times New Roman" w:eastAsia="宋体"/>
          <w:color w:val="auto"/>
          <w:sz w:val="24"/>
          <w:highlight w:val="none"/>
        </w:rPr>
        <w:t>站房1座，包括营业厅、控制室、卫生间、办公室等。</w:t>
      </w:r>
      <w:r>
        <w:rPr>
          <w:rFonts w:hint="eastAsia" w:ascii="Times New Roman" w:hAnsi="Times New Roman" w:eastAsia="宋体"/>
          <w:color w:val="auto"/>
          <w:sz w:val="24"/>
          <w:highlight w:val="none"/>
          <w:lang w:val="en-US" w:eastAsia="zh-CN"/>
        </w:rPr>
        <w:t>本次</w:t>
      </w:r>
      <w:r>
        <w:rPr>
          <w:rFonts w:ascii="Times New Roman" w:hAnsi="Times New Roman" w:eastAsia="宋体"/>
          <w:color w:val="auto"/>
          <w:sz w:val="24"/>
          <w:highlight w:val="none"/>
        </w:rPr>
        <w:t>建设内容具体见表3.</w:t>
      </w:r>
      <w:r>
        <w:rPr>
          <w:rFonts w:hint="eastAsia" w:ascii="Times New Roman" w:hAnsi="Times New Roman" w:eastAsia="宋体"/>
          <w:color w:val="auto"/>
          <w:sz w:val="24"/>
          <w:highlight w:val="none"/>
          <w:lang w:val="en-US" w:eastAsia="zh-CN"/>
        </w:rPr>
        <w:t>1</w:t>
      </w:r>
      <w:r>
        <w:rPr>
          <w:rFonts w:ascii="Times New Roman" w:hAnsi="Times New Roman" w:eastAsia="宋体"/>
          <w:color w:val="auto"/>
          <w:sz w:val="24"/>
          <w:highlight w:val="none"/>
        </w:rPr>
        <w:t>.2-1所示。</w:t>
      </w:r>
    </w:p>
    <w:p w14:paraId="607C5A4F">
      <w:pPr>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表3.</w:t>
      </w:r>
      <w:r>
        <w:rPr>
          <w:rFonts w:hint="eastAsia"/>
          <w:b/>
          <w:color w:val="auto"/>
          <w:sz w:val="24"/>
          <w:highlight w:val="none"/>
          <w:lang w:val="en-US" w:eastAsia="zh-CN"/>
        </w:rPr>
        <w:t>1</w:t>
      </w:r>
      <w:r>
        <w:rPr>
          <w:rFonts w:ascii="Times New Roman" w:hAnsi="Times New Roman" w:eastAsia="宋体"/>
          <w:b/>
          <w:color w:val="auto"/>
          <w:sz w:val="24"/>
          <w:highlight w:val="none"/>
        </w:rPr>
        <w:t>.2-1</w:t>
      </w:r>
      <w:r>
        <w:rPr>
          <w:rFonts w:hint="eastAsia"/>
          <w:b/>
          <w:color w:val="auto"/>
          <w:sz w:val="24"/>
          <w:highlight w:val="none"/>
          <w:lang w:val="en-US" w:eastAsia="zh-CN"/>
        </w:rPr>
        <w:t xml:space="preserve">  </w:t>
      </w:r>
      <w:r>
        <w:rPr>
          <w:rFonts w:ascii="Times New Roman" w:hAnsi="Times New Roman" w:eastAsia="宋体"/>
          <w:b/>
          <w:color w:val="auto"/>
          <w:sz w:val="24"/>
          <w:highlight w:val="none"/>
        </w:rPr>
        <w:t>工程组成一览表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4"/>
        <w:gridCol w:w="1132"/>
        <w:gridCol w:w="5603"/>
        <w:gridCol w:w="1040"/>
      </w:tblGrid>
      <w:tr w14:paraId="56DB3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37" w:type="pct"/>
            <w:tcBorders>
              <w:tl2br w:val="nil"/>
              <w:tr2bl w:val="nil"/>
            </w:tcBorders>
            <w:noWrap w:val="0"/>
            <w:vAlign w:val="center"/>
          </w:tcPr>
          <w:p w14:paraId="0FC723BD">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类别</w:t>
            </w:r>
          </w:p>
        </w:tc>
        <w:tc>
          <w:tcPr>
            <w:tcW w:w="664" w:type="pct"/>
            <w:tcBorders>
              <w:tl2br w:val="nil"/>
              <w:tr2bl w:val="nil"/>
            </w:tcBorders>
            <w:noWrap w:val="0"/>
            <w:vAlign w:val="center"/>
          </w:tcPr>
          <w:p w14:paraId="4AC76B21">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工程名称</w:t>
            </w:r>
          </w:p>
        </w:tc>
        <w:tc>
          <w:tcPr>
            <w:tcW w:w="3288" w:type="pct"/>
            <w:tcBorders>
              <w:tl2br w:val="nil"/>
              <w:tr2bl w:val="nil"/>
            </w:tcBorders>
            <w:noWrap w:val="0"/>
            <w:vAlign w:val="center"/>
          </w:tcPr>
          <w:p w14:paraId="2139F57B">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建设内容</w:t>
            </w:r>
          </w:p>
        </w:tc>
        <w:tc>
          <w:tcPr>
            <w:tcW w:w="610" w:type="pct"/>
            <w:tcBorders>
              <w:tl2br w:val="nil"/>
              <w:tr2bl w:val="nil"/>
            </w:tcBorders>
            <w:noWrap w:val="0"/>
            <w:vAlign w:val="center"/>
          </w:tcPr>
          <w:p w14:paraId="70D878D7">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备注</w:t>
            </w:r>
          </w:p>
        </w:tc>
      </w:tr>
      <w:tr w14:paraId="49E48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437" w:type="pct"/>
            <w:vMerge w:val="restart"/>
            <w:tcBorders>
              <w:tl2br w:val="nil"/>
              <w:tr2bl w:val="nil"/>
            </w:tcBorders>
            <w:noWrap w:val="0"/>
            <w:vAlign w:val="center"/>
          </w:tcPr>
          <w:p w14:paraId="357C708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主体工程</w:t>
            </w:r>
          </w:p>
        </w:tc>
        <w:tc>
          <w:tcPr>
            <w:tcW w:w="664" w:type="pct"/>
            <w:tcBorders>
              <w:tl2br w:val="nil"/>
              <w:tr2bl w:val="nil"/>
            </w:tcBorders>
            <w:noWrap w:val="0"/>
            <w:vAlign w:val="center"/>
          </w:tcPr>
          <w:p w14:paraId="7F9836DF">
            <w:pPr>
              <w:overflowPunct w:val="0"/>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加油加氢区</w:t>
            </w:r>
          </w:p>
        </w:tc>
        <w:tc>
          <w:tcPr>
            <w:tcW w:w="3288" w:type="pct"/>
            <w:tcBorders>
              <w:tl2br w:val="nil"/>
              <w:tr2bl w:val="nil"/>
            </w:tcBorders>
            <w:noWrap w:val="0"/>
            <w:vAlign w:val="center"/>
          </w:tcPr>
          <w:p w14:paraId="5F16D02B">
            <w:pPr>
              <w:snapToGrid w:val="0"/>
              <w:jc w:val="left"/>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占地面积1156</w:t>
            </w:r>
            <w:r>
              <w:rPr>
                <w:rFonts w:hint="eastAsia" w:ascii="Times New Roman" w:hAnsi="Times New Roman" w:eastAsia="宋体"/>
                <w:color w:val="auto"/>
                <w:highlight w:val="none"/>
              </w:rPr>
              <w:t>m</w:t>
            </w:r>
            <w:r>
              <w:rPr>
                <w:rFonts w:hint="eastAsia" w:ascii="Times New Roman" w:hAnsi="Times New Roman" w:eastAsia="宋体"/>
                <w:color w:val="auto"/>
                <w:highlight w:val="none"/>
                <w:vertAlign w:val="superscript"/>
              </w:rPr>
              <w:t>2</w:t>
            </w:r>
            <w:r>
              <w:rPr>
                <w:rFonts w:hint="eastAsia" w:ascii="Times New Roman" w:hAnsi="Times New Roman" w:eastAsia="宋体"/>
                <w:color w:val="auto"/>
                <w:highlight w:val="none"/>
                <w:vertAlign w:val="baseline"/>
                <w:lang w:eastAsia="zh-CN"/>
              </w:rPr>
              <w:t>，</w:t>
            </w:r>
            <w:r>
              <w:rPr>
                <w:rFonts w:hint="eastAsia" w:ascii="Times New Roman" w:hAnsi="Times New Roman" w:eastAsia="宋体"/>
                <w:color w:val="auto"/>
                <w:highlight w:val="none"/>
                <w:vertAlign w:val="baseline"/>
                <w:lang w:val="en-US" w:eastAsia="zh-CN"/>
              </w:rPr>
              <w:t>位于站内西南方位，采用单层轻钢结构建设H8m罩棚，</w:t>
            </w:r>
            <w:r>
              <w:rPr>
                <w:rFonts w:hint="eastAsia" w:ascii="Times New Roman" w:hAnsi="Times New Roman" w:eastAsia="宋体"/>
                <w:color w:val="auto"/>
                <w:szCs w:val="21"/>
                <w:highlight w:val="none"/>
              </w:rPr>
              <w:t>棚下设置</w:t>
            </w:r>
            <w:r>
              <w:rPr>
                <w:rFonts w:hint="eastAsia" w:ascii="Times New Roman" w:hAnsi="Times New Roman" w:eastAsia="宋体"/>
                <w:color w:val="auto"/>
                <w:szCs w:val="21"/>
                <w:highlight w:val="none"/>
                <w:lang w:val="en-US" w:eastAsia="zh-CN"/>
              </w:rPr>
              <w:t>3</w:t>
            </w:r>
            <w:r>
              <w:rPr>
                <w:rFonts w:hint="eastAsia" w:ascii="Times New Roman" w:hAnsi="Times New Roman" w:eastAsia="宋体"/>
                <w:color w:val="auto"/>
                <w:szCs w:val="21"/>
                <w:highlight w:val="none"/>
              </w:rPr>
              <w:t>个FF双层埋地油罐配防渗池，2座30m</w:t>
            </w:r>
            <w:r>
              <w:rPr>
                <w:rFonts w:hint="eastAsia" w:ascii="Times New Roman" w:hAnsi="Times New Roman" w:eastAsia="宋体"/>
                <w:color w:val="auto"/>
                <w:szCs w:val="21"/>
                <w:highlight w:val="none"/>
                <w:vertAlign w:val="superscript"/>
              </w:rPr>
              <w:t>3</w:t>
            </w:r>
            <w:r>
              <w:rPr>
                <w:rFonts w:hint="eastAsia" w:ascii="Times New Roman" w:hAnsi="Times New Roman" w:eastAsia="宋体"/>
                <w:color w:val="auto"/>
                <w:szCs w:val="21"/>
                <w:highlight w:val="none"/>
              </w:rPr>
              <w:t>双层汽油罐和1座30m</w:t>
            </w:r>
            <w:r>
              <w:rPr>
                <w:rFonts w:hint="eastAsia" w:ascii="Times New Roman" w:hAnsi="Times New Roman" w:eastAsia="宋体"/>
                <w:color w:val="auto"/>
                <w:szCs w:val="21"/>
                <w:highlight w:val="none"/>
                <w:vertAlign w:val="superscript"/>
              </w:rPr>
              <w:t>3</w:t>
            </w:r>
            <w:r>
              <w:rPr>
                <w:rFonts w:hint="eastAsia" w:ascii="Times New Roman" w:hAnsi="Times New Roman" w:eastAsia="宋体"/>
                <w:color w:val="auto"/>
                <w:szCs w:val="21"/>
                <w:highlight w:val="none"/>
              </w:rPr>
              <w:t>双层柴油罐</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highlight w:val="none"/>
                <w:vertAlign w:val="baseline"/>
                <w:lang w:val="en-US" w:eastAsia="zh-CN"/>
              </w:rPr>
              <w:t>共布设</w:t>
            </w:r>
            <w:r>
              <w:rPr>
                <w:rFonts w:ascii="Times New Roman" w:hAnsi="Times New Roman" w:eastAsia="宋体"/>
                <w:color w:val="auto"/>
                <w:szCs w:val="21"/>
                <w:highlight w:val="none"/>
              </w:rPr>
              <w:t>4</w:t>
            </w:r>
            <w:r>
              <w:rPr>
                <w:rFonts w:hint="eastAsia" w:ascii="Times New Roman" w:hAnsi="Times New Roman" w:eastAsia="宋体"/>
                <w:color w:val="auto"/>
                <w:szCs w:val="21"/>
                <w:highlight w:val="none"/>
              </w:rPr>
              <w:t>个加油岛</w:t>
            </w:r>
            <w:r>
              <w:rPr>
                <w:rFonts w:hint="eastAsia" w:ascii="Times New Roman" w:hAnsi="Times New Roman" w:eastAsia="宋体"/>
                <w:color w:val="auto"/>
                <w:szCs w:val="21"/>
                <w:highlight w:val="none"/>
                <w:lang w:val="en-US" w:eastAsia="zh-CN"/>
              </w:rPr>
              <w:t>和四个加氢岛</w:t>
            </w:r>
            <w:r>
              <w:rPr>
                <w:rFonts w:hint="eastAsia" w:ascii="Times New Roman" w:hAnsi="Times New Roman" w:eastAsia="宋体"/>
                <w:color w:val="auto"/>
                <w:szCs w:val="21"/>
                <w:highlight w:val="none"/>
              </w:rPr>
              <w:t>，设置</w:t>
            </w:r>
            <w:r>
              <w:rPr>
                <w:rFonts w:hint="default" w:ascii="Times New Roman" w:hAnsi="Times New Roman" w:eastAsia="宋体"/>
                <w:color w:val="auto"/>
                <w:szCs w:val="21"/>
                <w:highlight w:val="none"/>
              </w:rPr>
              <w:t>4</w:t>
            </w:r>
            <w:r>
              <w:rPr>
                <w:rFonts w:hint="eastAsia" w:ascii="Times New Roman" w:hAnsi="Times New Roman" w:eastAsia="宋体"/>
                <w:color w:val="auto"/>
                <w:szCs w:val="21"/>
                <w:highlight w:val="none"/>
              </w:rPr>
              <w:t>台双枪油品潜油泵加油机，出售汽油和柴油；设置4台加氢机，出售氢气。</w:t>
            </w:r>
          </w:p>
        </w:tc>
        <w:tc>
          <w:tcPr>
            <w:tcW w:w="610" w:type="pct"/>
            <w:tcBorders>
              <w:tl2br w:val="nil"/>
              <w:tr2bl w:val="nil"/>
            </w:tcBorders>
            <w:noWrap w:val="0"/>
            <w:vAlign w:val="center"/>
          </w:tcPr>
          <w:p w14:paraId="6499D456">
            <w:pPr>
              <w:adjustRightInd w:val="0"/>
              <w:snapToGrid w:val="0"/>
              <w:jc w:val="center"/>
              <w:textAlignment w:val="baseline"/>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lang w:val="en-US" w:eastAsia="zh-CN"/>
              </w:rPr>
              <w:t>新建</w:t>
            </w:r>
          </w:p>
        </w:tc>
      </w:tr>
      <w:tr w14:paraId="4E0D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37" w:type="pct"/>
            <w:vMerge w:val="continue"/>
            <w:tcBorders>
              <w:tl2br w:val="nil"/>
              <w:tr2bl w:val="nil"/>
            </w:tcBorders>
            <w:noWrap w:val="0"/>
            <w:vAlign w:val="center"/>
          </w:tcPr>
          <w:p w14:paraId="3174511B">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7FE1095B">
            <w:pPr>
              <w:overflowPunct w:val="0"/>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沼气制氢生产区</w:t>
            </w:r>
          </w:p>
        </w:tc>
        <w:tc>
          <w:tcPr>
            <w:tcW w:w="3288" w:type="pct"/>
            <w:tcBorders>
              <w:tl2br w:val="nil"/>
              <w:tr2bl w:val="nil"/>
            </w:tcBorders>
            <w:noWrap w:val="0"/>
            <w:vAlign w:val="center"/>
          </w:tcPr>
          <w:p w14:paraId="6A3F0733">
            <w:pPr>
              <w:snapToGrid w:val="0"/>
              <w:jc w:val="left"/>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占地面积3935</w:t>
            </w:r>
            <w:r>
              <w:rPr>
                <w:rFonts w:hint="eastAsia" w:ascii="Times New Roman" w:hAnsi="Times New Roman" w:eastAsia="宋体"/>
                <w:color w:val="auto"/>
                <w:highlight w:val="none"/>
              </w:rPr>
              <w:t>m</w:t>
            </w:r>
            <w:r>
              <w:rPr>
                <w:rFonts w:hint="eastAsia" w:ascii="Times New Roman" w:hAnsi="Times New Roman" w:eastAsia="宋体"/>
                <w:color w:val="auto"/>
                <w:highlight w:val="none"/>
                <w:vertAlign w:val="superscript"/>
              </w:rPr>
              <w:t>2</w:t>
            </w:r>
            <w:r>
              <w:rPr>
                <w:rFonts w:hint="eastAsia" w:ascii="Times New Roman" w:hAnsi="Times New Roman" w:eastAsia="宋体"/>
                <w:color w:val="auto"/>
                <w:highlight w:val="none"/>
                <w:vertAlign w:val="baseline"/>
                <w:lang w:val="en-US" w:eastAsia="zh-CN"/>
              </w:rPr>
              <w:t>，位于站内东北方位。布设制氢撬装设施3套，储氢瓶组4组（76m</w:t>
            </w:r>
            <w:r>
              <w:rPr>
                <w:rFonts w:hint="eastAsia" w:ascii="Times New Roman" w:hAnsi="Times New Roman" w:eastAsia="宋体"/>
                <w:color w:val="auto"/>
                <w:highlight w:val="none"/>
                <w:vertAlign w:val="superscript"/>
                <w:lang w:val="en-US" w:eastAsia="zh-CN"/>
              </w:rPr>
              <w:t>3</w:t>
            </w:r>
            <w:r>
              <w:rPr>
                <w:rFonts w:hint="eastAsia" w:ascii="Times New Roman" w:hAnsi="Times New Roman" w:eastAsia="宋体"/>
                <w:color w:val="auto"/>
                <w:highlight w:val="none"/>
                <w:vertAlign w:val="baseline"/>
                <w:lang w:val="en-US" w:eastAsia="zh-CN"/>
              </w:rPr>
              <w:t>），2台净化生物沼气长管拖车车位、2台氢气长管拖车车位，7台压缩机，2台加氢冷水机，4台压缩机冷冻机，4台加氢机等设备，形成年产1080万Nm</w:t>
            </w:r>
            <w:r>
              <w:rPr>
                <w:rFonts w:hint="eastAsia" w:ascii="Times New Roman" w:hAnsi="Times New Roman" w:eastAsia="宋体"/>
                <w:color w:val="auto"/>
                <w:highlight w:val="none"/>
                <w:vertAlign w:val="superscript"/>
                <w:lang w:val="en-US" w:eastAsia="zh-CN"/>
              </w:rPr>
              <w:t>3</w:t>
            </w:r>
            <w:r>
              <w:rPr>
                <w:rFonts w:hint="eastAsia" w:ascii="Times New Roman" w:hAnsi="Times New Roman" w:eastAsia="宋体"/>
                <w:color w:val="auto"/>
                <w:highlight w:val="none"/>
                <w:vertAlign w:val="baseline"/>
                <w:lang w:val="en-US" w:eastAsia="zh-CN"/>
              </w:rPr>
              <w:t>/a氢气生产能力。</w:t>
            </w:r>
          </w:p>
        </w:tc>
        <w:tc>
          <w:tcPr>
            <w:tcW w:w="610" w:type="pct"/>
            <w:tcBorders>
              <w:tl2br w:val="nil"/>
              <w:tr2bl w:val="nil"/>
            </w:tcBorders>
            <w:noWrap w:val="0"/>
            <w:vAlign w:val="center"/>
          </w:tcPr>
          <w:p w14:paraId="44A11532">
            <w:pPr>
              <w:adjustRightInd w:val="0"/>
              <w:snapToGrid w:val="0"/>
              <w:jc w:val="center"/>
              <w:textAlignment w:val="baseline"/>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利用现有</w:t>
            </w:r>
            <w:r>
              <w:rPr>
                <w:rFonts w:ascii="Times New Roman" w:hAnsi="Times New Roman" w:eastAsia="宋体"/>
                <w:color w:val="auto"/>
                <w:szCs w:val="21"/>
                <w:highlight w:val="none"/>
              </w:rPr>
              <w:t>新建</w:t>
            </w:r>
          </w:p>
          <w:p w14:paraId="11E51D1D">
            <w:pPr>
              <w:adjustRightInd w:val="0"/>
              <w:snapToGrid w:val="0"/>
              <w:jc w:val="center"/>
              <w:textAlignment w:val="baseline"/>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厂房</w:t>
            </w:r>
          </w:p>
        </w:tc>
      </w:tr>
      <w:tr w14:paraId="34D5B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437" w:type="pct"/>
            <w:vMerge w:val="continue"/>
            <w:tcBorders>
              <w:tl2br w:val="nil"/>
              <w:tr2bl w:val="nil"/>
            </w:tcBorders>
            <w:noWrap w:val="0"/>
            <w:vAlign w:val="center"/>
          </w:tcPr>
          <w:p w14:paraId="18DC9B38">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7B6EF048">
            <w:pPr>
              <w:overflowPunct w:val="0"/>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光电充区域</w:t>
            </w:r>
          </w:p>
        </w:tc>
        <w:tc>
          <w:tcPr>
            <w:tcW w:w="3288" w:type="pct"/>
            <w:tcBorders>
              <w:tl2br w:val="nil"/>
              <w:tr2bl w:val="nil"/>
            </w:tcBorders>
            <w:noWrap w:val="0"/>
            <w:vAlign w:val="center"/>
          </w:tcPr>
          <w:p w14:paraId="323F5DCC">
            <w:pPr>
              <w:snapToGrid w:val="0"/>
              <w:jc w:val="left"/>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位于站区北部，</w:t>
            </w:r>
            <w:r>
              <w:rPr>
                <w:rFonts w:hint="eastAsia" w:ascii="Times New Roman" w:hAnsi="Times New Roman" w:eastAsia="宋体"/>
                <w:color w:val="auto"/>
                <w:szCs w:val="21"/>
                <w:highlight w:val="none"/>
                <w:lang w:val="en-US" w:eastAsia="zh-CN"/>
              </w:rPr>
              <w:t>占地面积为1625.33</w:t>
            </w:r>
            <w:r>
              <w:rPr>
                <w:rFonts w:hint="eastAsia" w:ascii="Times New Roman" w:hAnsi="Times New Roman" w:eastAsia="宋体"/>
                <w:color w:val="auto"/>
                <w:highlight w:val="none"/>
              </w:rPr>
              <w:t>m</w:t>
            </w:r>
            <w:r>
              <w:rPr>
                <w:rFonts w:hint="eastAsia" w:ascii="Times New Roman" w:hAnsi="Times New Roman" w:eastAsia="宋体"/>
                <w:color w:val="auto"/>
                <w:highlight w:val="none"/>
                <w:vertAlign w:val="superscript"/>
              </w:rPr>
              <w:t>2</w:t>
            </w:r>
            <w:r>
              <w:rPr>
                <w:rFonts w:hint="eastAsia" w:ascii="Times New Roman" w:hAnsi="Times New Roman" w:eastAsia="宋体"/>
                <w:color w:val="auto"/>
                <w:szCs w:val="21"/>
                <w:highlight w:val="none"/>
                <w:lang w:val="en-US" w:eastAsia="zh-CN"/>
              </w:rPr>
              <w:t>，布设3</w:t>
            </w:r>
            <w:r>
              <w:rPr>
                <w:rFonts w:hint="eastAsia" w:ascii="Times New Roman" w:hAnsi="Times New Roman" w:eastAsia="宋体"/>
                <w:color w:val="auto"/>
                <w:szCs w:val="21"/>
                <w:highlight w:val="none"/>
              </w:rPr>
              <w:t>座防雨罩棚（顶部带光伏</w:t>
            </w:r>
            <w:r>
              <w:rPr>
                <w:rFonts w:hint="eastAsia" w:ascii="Times New Roman" w:hAnsi="Times New Roman" w:eastAsia="宋体"/>
                <w:color w:val="auto"/>
                <w:szCs w:val="21"/>
                <w:highlight w:val="none"/>
                <w:lang w:eastAsia="zh-CN"/>
              </w:rPr>
              <w:t>，高度为4.8m，结构形式为钢结构</w:t>
            </w:r>
            <w:r>
              <w:rPr>
                <w:rFonts w:hint="eastAsia" w:ascii="Times New Roman" w:hAnsi="Times New Roman" w:eastAsia="宋体"/>
                <w:color w:val="auto"/>
                <w:szCs w:val="21"/>
                <w:highlight w:val="none"/>
              </w:rPr>
              <w:t>）和3座箱变和环网柜，</w:t>
            </w:r>
            <w:r>
              <w:rPr>
                <w:rFonts w:hint="eastAsia" w:ascii="Times New Roman" w:hAnsi="Times New Roman" w:eastAsia="宋体"/>
                <w:color w:val="auto"/>
                <w:szCs w:val="21"/>
                <w:highlight w:val="none"/>
                <w:lang w:val="en-US" w:eastAsia="zh-CN"/>
              </w:rPr>
              <w:t>共</w:t>
            </w:r>
            <w:r>
              <w:rPr>
                <w:rFonts w:hint="eastAsia" w:ascii="Times New Roman" w:hAnsi="Times New Roman" w:eastAsia="宋体"/>
                <w:color w:val="auto"/>
                <w:szCs w:val="21"/>
                <w:highlight w:val="none"/>
              </w:rPr>
              <w:t>设置了60个充电车位，</w:t>
            </w:r>
            <w:r>
              <w:rPr>
                <w:rFonts w:hint="eastAsia" w:ascii="Times New Roman" w:hAnsi="Times New Roman" w:eastAsia="宋体"/>
                <w:color w:val="auto"/>
                <w:szCs w:val="21"/>
                <w:highlight w:val="none"/>
                <w:lang w:val="en-US" w:eastAsia="zh-CN"/>
              </w:rPr>
              <w:t>光充电主要用于补充电网充电使用，配置三台100kW逆变器，接入箱变低压侧进行并网，不设置储能设备。</w:t>
            </w:r>
          </w:p>
        </w:tc>
        <w:tc>
          <w:tcPr>
            <w:tcW w:w="610" w:type="pct"/>
            <w:tcBorders>
              <w:tl2br w:val="nil"/>
              <w:tr2bl w:val="nil"/>
            </w:tcBorders>
            <w:noWrap w:val="0"/>
            <w:vAlign w:val="center"/>
          </w:tcPr>
          <w:p w14:paraId="19029638">
            <w:pPr>
              <w:adjustRightInd w:val="0"/>
              <w:snapToGrid w:val="0"/>
              <w:jc w:val="center"/>
              <w:textAlignment w:val="baseline"/>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新建</w:t>
            </w:r>
          </w:p>
        </w:tc>
      </w:tr>
      <w:tr w14:paraId="2524E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437" w:type="pct"/>
            <w:vMerge w:val="restart"/>
            <w:tcBorders>
              <w:tl2br w:val="nil"/>
              <w:tr2bl w:val="nil"/>
            </w:tcBorders>
            <w:noWrap w:val="0"/>
            <w:vAlign w:val="center"/>
          </w:tcPr>
          <w:p w14:paraId="27A1AF7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辅助工程</w:t>
            </w:r>
          </w:p>
        </w:tc>
        <w:tc>
          <w:tcPr>
            <w:tcW w:w="664" w:type="pct"/>
            <w:tcBorders>
              <w:tl2br w:val="nil"/>
              <w:tr2bl w:val="nil"/>
            </w:tcBorders>
            <w:noWrap w:val="0"/>
            <w:vAlign w:val="center"/>
          </w:tcPr>
          <w:p w14:paraId="6D3B22A3">
            <w:pPr>
              <w:snapToGrid w:val="0"/>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lang w:val="en-US" w:eastAsia="zh-CN"/>
              </w:rPr>
              <w:t>站房</w:t>
            </w:r>
          </w:p>
        </w:tc>
        <w:tc>
          <w:tcPr>
            <w:tcW w:w="3288" w:type="pct"/>
            <w:tcBorders>
              <w:tl2br w:val="nil"/>
              <w:tr2bl w:val="nil"/>
            </w:tcBorders>
            <w:noWrap w:val="0"/>
            <w:vAlign w:val="center"/>
          </w:tcPr>
          <w:p w14:paraId="6D7B7279">
            <w:pPr>
              <w:snapToGrid w:val="0"/>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rPr>
              <w:t>新建二层框架结构站房一座，</w:t>
            </w:r>
            <w:r>
              <w:rPr>
                <w:rFonts w:hint="eastAsia" w:ascii="Times New Roman" w:hAnsi="Times New Roman" w:eastAsia="宋体"/>
                <w:color w:val="auto"/>
                <w:szCs w:val="21"/>
                <w:highlight w:val="none"/>
                <w:lang w:val="en-US" w:eastAsia="zh-CN"/>
              </w:rPr>
              <w:t>H8.3m，占地面积308.45</w:t>
            </w:r>
            <w:r>
              <w:rPr>
                <w:rFonts w:hint="eastAsia" w:ascii="Times New Roman" w:hAnsi="Times New Roman" w:eastAsia="宋体"/>
                <w:color w:val="auto"/>
                <w:szCs w:val="21"/>
                <w:highlight w:val="none"/>
              </w:rPr>
              <w:t>m</w:t>
            </w:r>
            <w:r>
              <w:rPr>
                <w:rFonts w:hint="eastAsia" w:ascii="Times New Roman" w:hAnsi="Times New Roman" w:eastAsia="宋体"/>
                <w:color w:val="auto"/>
                <w:szCs w:val="21"/>
                <w:highlight w:val="none"/>
                <w:vertAlign w:val="superscript"/>
              </w:rPr>
              <w:t>2</w:t>
            </w:r>
            <w:r>
              <w:rPr>
                <w:rFonts w:hint="eastAsia" w:ascii="Times New Roman" w:hAnsi="Times New Roman" w:eastAsia="宋体"/>
                <w:color w:val="auto"/>
                <w:szCs w:val="21"/>
                <w:highlight w:val="none"/>
                <w:lang w:val="en-US" w:eastAsia="zh-CN"/>
              </w:rPr>
              <w:t>，</w:t>
            </w:r>
            <w:r>
              <w:rPr>
                <w:rFonts w:hint="eastAsia" w:ascii="Times New Roman" w:hAnsi="Times New Roman" w:eastAsia="宋体"/>
                <w:color w:val="auto"/>
                <w:szCs w:val="21"/>
                <w:highlight w:val="none"/>
              </w:rPr>
              <w:t>站房含办公室、便利店、配电间、卫生间等</w:t>
            </w:r>
            <w:r>
              <w:rPr>
                <w:rFonts w:hint="eastAsia" w:ascii="Times New Roman" w:hAnsi="Times New Roman" w:eastAsia="宋体"/>
                <w:color w:val="auto"/>
                <w:szCs w:val="21"/>
                <w:highlight w:val="none"/>
                <w:lang w:eastAsia="zh-CN"/>
              </w:rPr>
              <w:t>。</w:t>
            </w:r>
          </w:p>
        </w:tc>
        <w:tc>
          <w:tcPr>
            <w:tcW w:w="610" w:type="pct"/>
            <w:tcBorders>
              <w:tl2br w:val="nil"/>
              <w:tr2bl w:val="nil"/>
            </w:tcBorders>
            <w:noWrap w:val="0"/>
            <w:vAlign w:val="center"/>
          </w:tcPr>
          <w:p w14:paraId="119C85CE">
            <w:pPr>
              <w:adjustRightInd w:val="0"/>
              <w:snapToGrid w:val="0"/>
              <w:jc w:val="center"/>
              <w:textAlignment w:val="baseline"/>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lang w:val="en-US" w:eastAsia="zh-CN"/>
              </w:rPr>
              <w:t>新建</w:t>
            </w:r>
          </w:p>
        </w:tc>
      </w:tr>
      <w:tr w14:paraId="1675D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vMerge w:val="continue"/>
            <w:tcBorders>
              <w:tl2br w:val="nil"/>
              <w:tr2bl w:val="nil"/>
            </w:tcBorders>
            <w:noWrap w:val="0"/>
            <w:vAlign w:val="center"/>
          </w:tcPr>
          <w:p w14:paraId="0F8EBE91">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1FC1FD43">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洗车区</w:t>
            </w:r>
          </w:p>
        </w:tc>
        <w:tc>
          <w:tcPr>
            <w:tcW w:w="3288" w:type="pct"/>
            <w:tcBorders>
              <w:tl2br w:val="nil"/>
              <w:tr2bl w:val="nil"/>
            </w:tcBorders>
            <w:noWrap w:val="0"/>
            <w:vAlign w:val="center"/>
          </w:tcPr>
          <w:p w14:paraId="6310502C">
            <w:pPr>
              <w:snapToGrid w:val="0"/>
              <w:jc w:val="center"/>
              <w:rPr>
                <w:rFonts w:hint="default" w:ascii="Times New Roman" w:hAnsi="Times New Roman" w:eastAsia="宋体"/>
                <w:color w:val="auto"/>
                <w:szCs w:val="21"/>
                <w:highlight w:val="none"/>
                <w:vertAlign w:val="baseline"/>
                <w:lang w:val="en-US" w:eastAsia="zh-CN"/>
              </w:rPr>
            </w:pPr>
            <w:r>
              <w:rPr>
                <w:rFonts w:hint="eastAsia"/>
                <w:bCs/>
                <w:color w:val="auto"/>
                <w:sz w:val="21"/>
                <w:szCs w:val="21"/>
                <w:highlight w:val="none"/>
              </w:rPr>
              <w:t>占地面积</w:t>
            </w:r>
            <w:r>
              <w:rPr>
                <w:rFonts w:hint="eastAsia"/>
                <w:bCs/>
                <w:color w:val="auto"/>
                <w:sz w:val="21"/>
                <w:szCs w:val="21"/>
                <w:highlight w:val="none"/>
                <w:lang w:val="en-US" w:eastAsia="zh-CN"/>
              </w:rPr>
              <w:t>28</w:t>
            </w:r>
            <w:r>
              <w:rPr>
                <w:rFonts w:hint="eastAsia" w:ascii="Times New Roman" w:hAnsi="Times New Roman" w:eastAsia="宋体"/>
                <w:color w:val="auto"/>
                <w:highlight w:val="none"/>
              </w:rPr>
              <w:t>m</w:t>
            </w:r>
            <w:r>
              <w:rPr>
                <w:rFonts w:hint="eastAsia" w:ascii="Times New Roman" w:hAnsi="Times New Roman" w:eastAsia="宋体"/>
                <w:color w:val="auto"/>
                <w:highlight w:val="none"/>
                <w:vertAlign w:val="superscript"/>
              </w:rPr>
              <w:t>2</w:t>
            </w:r>
            <w:r>
              <w:rPr>
                <w:rFonts w:hint="eastAsia" w:ascii="Times New Roman" w:hAnsi="Times New Roman" w:eastAsia="宋体"/>
                <w:color w:val="auto"/>
                <w:highlight w:val="none"/>
                <w:vertAlign w:val="baseline"/>
                <w:lang w:eastAsia="zh-CN"/>
              </w:rPr>
              <w:t>，</w:t>
            </w:r>
            <w:r>
              <w:rPr>
                <w:rFonts w:hint="eastAsia" w:ascii="Times New Roman" w:hAnsi="Times New Roman" w:eastAsia="宋体"/>
                <w:color w:val="auto"/>
                <w:highlight w:val="none"/>
                <w:vertAlign w:val="baseline"/>
                <w:lang w:val="en-US" w:eastAsia="zh-CN"/>
              </w:rPr>
              <w:t>布设洗车机一台</w:t>
            </w:r>
            <w:r>
              <w:rPr>
                <w:rFonts w:hint="eastAsia"/>
                <w:bCs/>
                <w:color w:val="auto"/>
                <w:sz w:val="21"/>
                <w:szCs w:val="21"/>
                <w:highlight w:val="none"/>
              </w:rPr>
              <w:t>。</w:t>
            </w:r>
          </w:p>
        </w:tc>
        <w:tc>
          <w:tcPr>
            <w:tcW w:w="610" w:type="pct"/>
            <w:tcBorders>
              <w:tl2br w:val="nil"/>
              <w:tr2bl w:val="nil"/>
            </w:tcBorders>
            <w:noWrap w:val="0"/>
            <w:vAlign w:val="center"/>
          </w:tcPr>
          <w:p w14:paraId="0E2DF657">
            <w:pPr>
              <w:adjustRightInd w:val="0"/>
              <w:snapToGrid w:val="0"/>
              <w:jc w:val="center"/>
              <w:textAlignment w:val="baseline"/>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新建</w:t>
            </w:r>
          </w:p>
        </w:tc>
      </w:tr>
      <w:tr w14:paraId="027D7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7" w:type="pct"/>
            <w:vMerge w:val="continue"/>
            <w:tcBorders>
              <w:tl2br w:val="nil"/>
              <w:tr2bl w:val="nil"/>
            </w:tcBorders>
            <w:noWrap w:val="0"/>
            <w:vAlign w:val="center"/>
          </w:tcPr>
          <w:p w14:paraId="1BD26E77">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1E41B651">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消防工程</w:t>
            </w:r>
          </w:p>
        </w:tc>
        <w:tc>
          <w:tcPr>
            <w:tcW w:w="3288" w:type="pct"/>
            <w:tcBorders>
              <w:tl2br w:val="nil"/>
              <w:tr2bl w:val="nil"/>
            </w:tcBorders>
            <w:noWrap w:val="0"/>
            <w:vAlign w:val="center"/>
          </w:tcPr>
          <w:p w14:paraId="07DFD09F">
            <w:pPr>
              <w:snapToGrid w:val="0"/>
              <w:jc w:val="center"/>
              <w:rPr>
                <w:rFonts w:hint="eastAsia"/>
                <w:bCs/>
                <w:color w:val="auto"/>
                <w:sz w:val="21"/>
                <w:szCs w:val="21"/>
                <w:highlight w:val="none"/>
              </w:rPr>
            </w:pPr>
            <w:r>
              <w:rPr>
                <w:rFonts w:hint="eastAsia"/>
                <w:bCs/>
                <w:color w:val="auto"/>
                <w:sz w:val="21"/>
                <w:szCs w:val="21"/>
                <w:highlight w:val="none"/>
              </w:rPr>
              <w:t>将在卸油点附近设2台推车式干粉灭火器，在加油区域处设4只手提式干粉灭火器和2台自动灭火装置；临近油罐区处设2m</w:t>
            </w:r>
            <w:r>
              <w:rPr>
                <w:rFonts w:hint="eastAsia"/>
                <w:bCs/>
                <w:color w:val="auto"/>
                <w:sz w:val="21"/>
                <w:szCs w:val="21"/>
                <w:highlight w:val="none"/>
                <w:vertAlign w:val="superscript"/>
              </w:rPr>
              <w:t>3</w:t>
            </w:r>
            <w:r>
              <w:rPr>
                <w:rFonts w:hint="eastAsia"/>
                <w:bCs/>
                <w:color w:val="auto"/>
                <w:sz w:val="21"/>
                <w:szCs w:val="21"/>
                <w:highlight w:val="none"/>
              </w:rPr>
              <w:t>沙池，并配备2块灭火毯，2个消防铲及2个消防沙桶。</w:t>
            </w:r>
          </w:p>
        </w:tc>
        <w:tc>
          <w:tcPr>
            <w:tcW w:w="610" w:type="pct"/>
            <w:tcBorders>
              <w:tl2br w:val="nil"/>
              <w:tr2bl w:val="nil"/>
            </w:tcBorders>
            <w:noWrap w:val="0"/>
            <w:vAlign w:val="center"/>
          </w:tcPr>
          <w:p w14:paraId="7F2E8D46">
            <w:pPr>
              <w:adjustRightInd w:val="0"/>
              <w:snapToGrid w:val="0"/>
              <w:jc w:val="center"/>
              <w:textAlignment w:val="baseline"/>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新建</w:t>
            </w:r>
          </w:p>
        </w:tc>
      </w:tr>
      <w:tr w14:paraId="00177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37" w:type="pct"/>
            <w:vMerge w:val="restart"/>
            <w:tcBorders>
              <w:tl2br w:val="nil"/>
              <w:tr2bl w:val="nil"/>
            </w:tcBorders>
            <w:noWrap w:val="0"/>
            <w:vAlign w:val="center"/>
          </w:tcPr>
          <w:p w14:paraId="7CCB565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贮运工程</w:t>
            </w:r>
          </w:p>
        </w:tc>
        <w:tc>
          <w:tcPr>
            <w:tcW w:w="664" w:type="pct"/>
            <w:tcBorders>
              <w:tl2br w:val="nil"/>
              <w:tr2bl w:val="nil"/>
            </w:tcBorders>
            <w:noWrap w:val="0"/>
            <w:vAlign w:val="center"/>
          </w:tcPr>
          <w:p w14:paraId="5710D0F5">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油罐区</w:t>
            </w:r>
          </w:p>
        </w:tc>
        <w:tc>
          <w:tcPr>
            <w:tcW w:w="3288" w:type="pct"/>
            <w:tcBorders>
              <w:tl2br w:val="nil"/>
              <w:tr2bl w:val="nil"/>
            </w:tcBorders>
            <w:noWrap w:val="0"/>
            <w:vAlign w:val="center"/>
          </w:tcPr>
          <w:p w14:paraId="7DD8AF70">
            <w:pPr>
              <w:snapToGrid w:val="0"/>
              <w:jc w:val="center"/>
              <w:rPr>
                <w:rFonts w:hint="default" w:ascii="Times New Roman" w:hAnsi="Times New Roman" w:eastAsia="宋体"/>
                <w:color w:val="auto"/>
                <w:szCs w:val="21"/>
                <w:highlight w:val="none"/>
                <w:lang w:val="en-US" w:eastAsia="zh-CN"/>
              </w:rPr>
            </w:pPr>
            <w:r>
              <w:rPr>
                <w:rFonts w:ascii="Times New Roman" w:hAnsi="Times New Roman" w:eastAsia="宋体"/>
                <w:color w:val="auto"/>
                <w:szCs w:val="21"/>
                <w:highlight w:val="none"/>
              </w:rPr>
              <w:t>位于</w:t>
            </w:r>
            <w:r>
              <w:rPr>
                <w:rFonts w:hint="eastAsia" w:ascii="Times New Roman" w:hAnsi="Times New Roman" w:eastAsia="宋体"/>
                <w:color w:val="auto"/>
                <w:szCs w:val="21"/>
                <w:highlight w:val="none"/>
                <w:lang w:val="en-US" w:eastAsia="zh-CN"/>
              </w:rPr>
              <w:t>厂区西南侧（罩棚下）</w:t>
            </w: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布设1</w:t>
            </w:r>
            <w:r>
              <w:rPr>
                <w:rFonts w:hint="eastAsia" w:ascii="Times New Roman" w:hAnsi="Times New Roman" w:eastAsia="宋体"/>
                <w:color w:val="auto"/>
                <w:szCs w:val="21"/>
                <w:highlight w:val="none"/>
              </w:rPr>
              <w:t>个地埋式柴油罐，容积为</w:t>
            </w:r>
            <w:r>
              <w:rPr>
                <w:rFonts w:hint="default" w:ascii="Times New Roman" w:hAnsi="Times New Roman" w:eastAsia="宋体"/>
                <w:color w:val="auto"/>
                <w:szCs w:val="21"/>
                <w:highlight w:val="none"/>
              </w:rPr>
              <w:t>30m</w:t>
            </w:r>
            <w:r>
              <w:rPr>
                <w:rFonts w:hint="default" w:ascii="Times New Roman" w:hAnsi="Times New Roman" w:eastAsia="宋体"/>
                <w:color w:val="auto"/>
                <w:szCs w:val="21"/>
                <w:highlight w:val="none"/>
                <w:vertAlign w:val="superscript"/>
              </w:rPr>
              <w:t>3</w:t>
            </w:r>
            <w:r>
              <w:rPr>
                <w:rFonts w:hint="eastAsia" w:ascii="Times New Roman" w:hAnsi="Times New Roman" w:eastAsia="宋体"/>
                <w:color w:val="auto"/>
                <w:szCs w:val="21"/>
                <w:highlight w:val="none"/>
              </w:rPr>
              <w:t>，最大储存柴油</w:t>
            </w:r>
            <w:r>
              <w:rPr>
                <w:rFonts w:hint="eastAsia" w:ascii="Times New Roman" w:hAnsi="Times New Roman" w:eastAsia="宋体"/>
                <w:color w:val="auto"/>
                <w:szCs w:val="21"/>
                <w:highlight w:val="none"/>
                <w:lang w:val="en-US" w:eastAsia="zh-CN"/>
              </w:rPr>
              <w:t>22</w:t>
            </w:r>
            <w:r>
              <w:rPr>
                <w:rFonts w:hint="default" w:ascii="Times New Roman" w:hAnsi="Times New Roman" w:eastAsia="宋体"/>
                <w:color w:val="auto"/>
                <w:szCs w:val="21"/>
                <w:highlight w:val="none"/>
              </w:rPr>
              <w:t>t</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szCs w:val="21"/>
                <w:highlight w:val="none"/>
                <w:lang w:val="en-US" w:eastAsia="zh-CN"/>
              </w:rPr>
              <w:t>2个地埋式汽油罐（92#、95#），每个容积为30m</w:t>
            </w:r>
            <w:r>
              <w:rPr>
                <w:rFonts w:hint="eastAsia" w:ascii="Times New Roman" w:hAnsi="Times New Roman" w:eastAsia="宋体"/>
                <w:color w:val="auto"/>
                <w:szCs w:val="21"/>
                <w:highlight w:val="none"/>
                <w:vertAlign w:val="superscript"/>
                <w:lang w:val="en-US" w:eastAsia="zh-CN"/>
              </w:rPr>
              <w:t>3</w:t>
            </w:r>
            <w:r>
              <w:rPr>
                <w:rFonts w:hint="eastAsia" w:ascii="Times New Roman" w:hAnsi="Times New Roman" w:eastAsia="宋体"/>
                <w:color w:val="auto"/>
                <w:szCs w:val="21"/>
                <w:highlight w:val="none"/>
                <w:lang w:val="en-US" w:eastAsia="zh-CN"/>
              </w:rPr>
              <w:t>，共计60m</w:t>
            </w:r>
            <w:r>
              <w:rPr>
                <w:rFonts w:hint="eastAsia" w:ascii="Times New Roman" w:hAnsi="Times New Roman" w:eastAsia="宋体"/>
                <w:color w:val="auto"/>
                <w:szCs w:val="21"/>
                <w:highlight w:val="none"/>
                <w:vertAlign w:val="superscript"/>
                <w:lang w:val="en-US" w:eastAsia="zh-CN"/>
              </w:rPr>
              <w:t>3</w:t>
            </w:r>
            <w:r>
              <w:rPr>
                <w:rFonts w:hint="eastAsia" w:ascii="Times New Roman" w:hAnsi="Times New Roman" w:eastAsia="宋体"/>
                <w:color w:val="auto"/>
                <w:szCs w:val="21"/>
                <w:highlight w:val="none"/>
                <w:lang w:val="en-US" w:eastAsia="zh-CN"/>
              </w:rPr>
              <w:t>，最大储存汽油41t。</w:t>
            </w:r>
          </w:p>
        </w:tc>
        <w:tc>
          <w:tcPr>
            <w:tcW w:w="610" w:type="pct"/>
            <w:tcBorders>
              <w:tl2br w:val="nil"/>
              <w:tr2bl w:val="nil"/>
            </w:tcBorders>
            <w:noWrap w:val="0"/>
            <w:vAlign w:val="center"/>
          </w:tcPr>
          <w:p w14:paraId="5DFEFEF9">
            <w:pPr>
              <w:adjustRightInd w:val="0"/>
              <w:snapToGrid w:val="0"/>
              <w:jc w:val="center"/>
              <w:textAlignment w:val="baseline"/>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新建</w:t>
            </w:r>
          </w:p>
        </w:tc>
      </w:tr>
      <w:tr w14:paraId="1CA1A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437" w:type="pct"/>
            <w:vMerge w:val="continue"/>
            <w:tcBorders>
              <w:tl2br w:val="nil"/>
              <w:tr2bl w:val="nil"/>
            </w:tcBorders>
            <w:noWrap w:val="0"/>
            <w:vAlign w:val="center"/>
          </w:tcPr>
          <w:p w14:paraId="66EC30C7">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5D1D562E">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储氢区</w:t>
            </w:r>
          </w:p>
        </w:tc>
        <w:tc>
          <w:tcPr>
            <w:tcW w:w="3288" w:type="pct"/>
            <w:tcBorders>
              <w:tl2br w:val="nil"/>
              <w:tr2bl w:val="nil"/>
            </w:tcBorders>
            <w:noWrap w:val="0"/>
            <w:vAlign w:val="center"/>
          </w:tcPr>
          <w:p w14:paraId="15F0A337">
            <w:pPr>
              <w:snapToGrid w:val="0"/>
              <w:jc w:val="center"/>
              <w:rPr>
                <w:rFonts w:hint="default" w:ascii="Times New Roman" w:hAnsi="Times New Roman" w:eastAsia="宋体"/>
                <w:color w:val="auto"/>
                <w:szCs w:val="21"/>
                <w:highlight w:val="none"/>
                <w:lang w:val="en-US"/>
              </w:rPr>
            </w:pPr>
            <w:r>
              <w:rPr>
                <w:rFonts w:ascii="Times New Roman" w:hAnsi="Times New Roman" w:eastAsia="宋体"/>
                <w:color w:val="auto"/>
                <w:szCs w:val="21"/>
                <w:highlight w:val="none"/>
              </w:rPr>
              <w:t>位于</w:t>
            </w:r>
            <w:r>
              <w:rPr>
                <w:rFonts w:hint="eastAsia" w:ascii="Times New Roman" w:hAnsi="Times New Roman" w:eastAsia="宋体"/>
                <w:color w:val="auto"/>
                <w:szCs w:val="21"/>
                <w:highlight w:val="none"/>
                <w:lang w:val="en-US" w:eastAsia="zh-CN"/>
              </w:rPr>
              <w:t>制氢生产区西侧中部，布设2组26立方（20MPa）氢气储气瓶组和2组12立方（45MPa）氢气储气瓶组。</w:t>
            </w:r>
          </w:p>
        </w:tc>
        <w:tc>
          <w:tcPr>
            <w:tcW w:w="610" w:type="pct"/>
            <w:tcBorders>
              <w:tl2br w:val="nil"/>
              <w:tr2bl w:val="nil"/>
            </w:tcBorders>
            <w:noWrap w:val="0"/>
            <w:vAlign w:val="center"/>
          </w:tcPr>
          <w:p w14:paraId="50623167">
            <w:pPr>
              <w:adjustRightInd w:val="0"/>
              <w:snapToGrid w:val="0"/>
              <w:jc w:val="center"/>
              <w:textAlignment w:val="baseline"/>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新建</w:t>
            </w:r>
          </w:p>
        </w:tc>
      </w:tr>
      <w:tr w14:paraId="78A35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437" w:type="pct"/>
            <w:vMerge w:val="continue"/>
            <w:tcBorders>
              <w:tl2br w:val="nil"/>
              <w:tr2bl w:val="nil"/>
            </w:tcBorders>
            <w:noWrap w:val="0"/>
            <w:vAlign w:val="center"/>
          </w:tcPr>
          <w:p w14:paraId="674ABB0C">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3E03A87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运输</w:t>
            </w:r>
          </w:p>
        </w:tc>
        <w:tc>
          <w:tcPr>
            <w:tcW w:w="3288" w:type="pct"/>
            <w:tcBorders>
              <w:tl2br w:val="nil"/>
              <w:tr2bl w:val="nil"/>
            </w:tcBorders>
            <w:noWrap w:val="0"/>
            <w:vAlign w:val="center"/>
          </w:tcPr>
          <w:p w14:paraId="13996EE2">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沼气采用长管车运输至制氢工艺区沼气卸车位；成品油运输由油罐车（由供油方运输）</w:t>
            </w:r>
          </w:p>
        </w:tc>
        <w:tc>
          <w:tcPr>
            <w:tcW w:w="610" w:type="pct"/>
            <w:tcBorders>
              <w:tl2br w:val="nil"/>
              <w:tr2bl w:val="nil"/>
            </w:tcBorders>
            <w:noWrap w:val="0"/>
            <w:vAlign w:val="center"/>
          </w:tcPr>
          <w:p w14:paraId="36DA6792">
            <w:pPr>
              <w:adjustRightInd w:val="0"/>
              <w:snapToGrid w:val="0"/>
              <w:jc w:val="center"/>
              <w:textAlignment w:val="baseline"/>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新建</w:t>
            </w:r>
          </w:p>
        </w:tc>
      </w:tr>
      <w:tr w14:paraId="1DC27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437" w:type="pct"/>
            <w:vMerge w:val="restart"/>
            <w:tcBorders>
              <w:tl2br w:val="nil"/>
              <w:tr2bl w:val="nil"/>
            </w:tcBorders>
            <w:noWrap w:val="0"/>
            <w:vAlign w:val="center"/>
          </w:tcPr>
          <w:p w14:paraId="72CEBC1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公用工程</w:t>
            </w:r>
          </w:p>
        </w:tc>
        <w:tc>
          <w:tcPr>
            <w:tcW w:w="664" w:type="pct"/>
            <w:tcBorders>
              <w:tl2br w:val="nil"/>
              <w:tr2bl w:val="nil"/>
            </w:tcBorders>
            <w:noWrap w:val="0"/>
            <w:vAlign w:val="center"/>
          </w:tcPr>
          <w:p w14:paraId="492E2ED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给水</w:t>
            </w:r>
          </w:p>
        </w:tc>
        <w:tc>
          <w:tcPr>
            <w:tcW w:w="3288" w:type="pct"/>
            <w:tcBorders>
              <w:tl2br w:val="nil"/>
              <w:tr2bl w:val="nil"/>
            </w:tcBorders>
            <w:noWrap w:val="0"/>
            <w:vAlign w:val="center"/>
          </w:tcPr>
          <w:p w14:paraId="51C22ABB">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拟建项目供水由</w:t>
            </w:r>
            <w:r>
              <w:rPr>
                <w:rFonts w:hint="eastAsia" w:ascii="Times New Roman" w:hAnsi="Times New Roman" w:eastAsia="宋体"/>
                <w:color w:val="auto"/>
                <w:szCs w:val="21"/>
                <w:highlight w:val="none"/>
                <w:lang w:val="en-US" w:eastAsia="zh-CN"/>
              </w:rPr>
              <w:t>田家庵经开区供水管网</w:t>
            </w:r>
            <w:r>
              <w:rPr>
                <w:rFonts w:hint="eastAsia" w:ascii="Times New Roman" w:hAnsi="Times New Roman" w:eastAsia="宋体"/>
                <w:color w:val="auto"/>
                <w:szCs w:val="21"/>
                <w:highlight w:val="none"/>
              </w:rPr>
              <w:t>供应，供水从</w:t>
            </w:r>
            <w:r>
              <w:rPr>
                <w:rFonts w:hint="eastAsia" w:ascii="Times New Roman" w:hAnsi="Times New Roman" w:eastAsia="宋体"/>
                <w:color w:val="auto"/>
                <w:szCs w:val="21"/>
                <w:highlight w:val="none"/>
                <w:lang w:val="en-US" w:eastAsia="zh-CN"/>
              </w:rPr>
              <w:t>市政供水管网</w:t>
            </w:r>
            <w:r>
              <w:rPr>
                <w:rFonts w:hint="eastAsia" w:ascii="Times New Roman" w:hAnsi="Times New Roman" w:eastAsia="宋体"/>
                <w:color w:val="auto"/>
                <w:szCs w:val="21"/>
                <w:highlight w:val="none"/>
              </w:rPr>
              <w:t>接入</w:t>
            </w:r>
            <w:r>
              <w:rPr>
                <w:rFonts w:hint="eastAsia" w:ascii="Times New Roman" w:hAnsi="Times New Roman" w:eastAsia="宋体"/>
                <w:color w:val="auto"/>
                <w:szCs w:val="21"/>
                <w:highlight w:val="none"/>
                <w:lang w:val="en-US" w:eastAsia="zh-CN"/>
              </w:rPr>
              <w:t>站</w:t>
            </w:r>
            <w:r>
              <w:rPr>
                <w:rFonts w:hint="eastAsia" w:ascii="Times New Roman" w:hAnsi="Times New Roman" w:eastAsia="宋体"/>
                <w:color w:val="auto"/>
                <w:szCs w:val="21"/>
                <w:highlight w:val="none"/>
              </w:rPr>
              <w:t>区</w:t>
            </w:r>
            <w:r>
              <w:rPr>
                <w:rFonts w:hint="eastAsia" w:ascii="Times New Roman" w:hAnsi="Times New Roman" w:eastAsia="宋体"/>
                <w:color w:val="auto"/>
                <w:szCs w:val="21"/>
                <w:highlight w:val="none"/>
                <w:lang w:val="en-US" w:eastAsia="zh-CN"/>
              </w:rPr>
              <w:t>内</w:t>
            </w:r>
            <w:r>
              <w:rPr>
                <w:rFonts w:hint="eastAsia" w:ascii="Times New Roman" w:hAnsi="Times New Roman" w:eastAsia="宋体"/>
                <w:color w:val="auto"/>
                <w:szCs w:val="21"/>
                <w:highlight w:val="none"/>
              </w:rPr>
              <w:t>，新鲜水用量为</w:t>
            </w:r>
            <w:r>
              <w:rPr>
                <w:rFonts w:hint="eastAsia" w:ascii="Times New Roman" w:hAnsi="Times New Roman" w:eastAsia="宋体"/>
                <w:color w:val="auto"/>
                <w:szCs w:val="21"/>
                <w:highlight w:val="none"/>
                <w:lang w:val="en-US" w:eastAsia="zh-CN"/>
              </w:rPr>
              <w:t>13098.39</w:t>
            </w:r>
            <w:r>
              <w:rPr>
                <w:rFonts w:hint="eastAsia" w:ascii="Times New Roman" w:hAnsi="Times New Roman" w:eastAsia="宋体"/>
                <w:color w:val="auto"/>
                <w:szCs w:val="21"/>
                <w:highlight w:val="none"/>
              </w:rPr>
              <w:t>t/a</w:t>
            </w:r>
            <w:r>
              <w:rPr>
                <w:rFonts w:ascii="Times New Roman" w:hAnsi="Times New Roman" w:eastAsia="宋体"/>
                <w:color w:val="auto"/>
                <w:szCs w:val="21"/>
                <w:highlight w:val="none"/>
              </w:rPr>
              <w:t>；</w:t>
            </w:r>
          </w:p>
        </w:tc>
        <w:tc>
          <w:tcPr>
            <w:tcW w:w="610" w:type="pct"/>
            <w:tcBorders>
              <w:tl2br w:val="nil"/>
              <w:tr2bl w:val="nil"/>
            </w:tcBorders>
            <w:noWrap w:val="0"/>
            <w:vAlign w:val="center"/>
          </w:tcPr>
          <w:p w14:paraId="5CB66DF1">
            <w:pPr>
              <w:adjustRightInd w:val="0"/>
              <w:snapToGrid w:val="0"/>
              <w:jc w:val="center"/>
              <w:textAlignment w:val="baseline"/>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新建站内给水系统，依托市政供水管网</w:t>
            </w:r>
          </w:p>
        </w:tc>
      </w:tr>
      <w:tr w14:paraId="3FFC9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37" w:type="pct"/>
            <w:vMerge w:val="continue"/>
            <w:tcBorders>
              <w:tl2br w:val="nil"/>
              <w:tr2bl w:val="nil"/>
            </w:tcBorders>
            <w:noWrap w:val="0"/>
            <w:vAlign w:val="center"/>
          </w:tcPr>
          <w:p w14:paraId="54E750E7">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781BCEC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排水</w:t>
            </w:r>
          </w:p>
        </w:tc>
        <w:tc>
          <w:tcPr>
            <w:tcW w:w="3288" w:type="pct"/>
            <w:tcBorders>
              <w:tl2br w:val="nil"/>
              <w:tr2bl w:val="nil"/>
            </w:tcBorders>
            <w:noWrap w:val="0"/>
            <w:vAlign w:val="center"/>
          </w:tcPr>
          <w:p w14:paraId="266D233E">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厂区内实施雨污分流，</w:t>
            </w:r>
            <w:r>
              <w:rPr>
                <w:rFonts w:hint="eastAsia" w:ascii="Times New Roman" w:hAnsi="Times New Roman" w:eastAsia="宋体" w:cs="Times New Roman"/>
                <w:color w:val="auto"/>
                <w:szCs w:val="21"/>
                <w:highlight w:val="none"/>
                <w:lang w:eastAsia="zh-CN"/>
              </w:rPr>
              <w:t>生活污水</w:t>
            </w:r>
            <w:r>
              <w:rPr>
                <w:rFonts w:hint="eastAsia" w:ascii="Times New Roman" w:hAnsi="Times New Roman" w:eastAsia="宋体" w:cs="Times New Roman"/>
                <w:color w:val="auto"/>
                <w:szCs w:val="21"/>
                <w:highlight w:val="none"/>
                <w:lang w:val="en-US" w:eastAsia="zh-CN"/>
              </w:rPr>
              <w:t>经厂区化粪池收集预处理后排入市政污水管网进入田家庵经济开发区污水处理站处理，脱盐水制水产生浓水、蒸发器排污水直接接管市政污水管网。车辆冲洗废水、初期雨水经隔油沉淀处理后接管市政污水管网，进入田家庵经济开发区污水处理站处理。</w:t>
            </w:r>
          </w:p>
        </w:tc>
        <w:tc>
          <w:tcPr>
            <w:tcW w:w="610" w:type="pct"/>
            <w:tcBorders>
              <w:tl2br w:val="nil"/>
              <w:tr2bl w:val="nil"/>
            </w:tcBorders>
            <w:noWrap w:val="0"/>
            <w:vAlign w:val="center"/>
          </w:tcPr>
          <w:p w14:paraId="45A4A3F6">
            <w:pPr>
              <w:adjustRightInd w:val="0"/>
              <w:snapToGrid w:val="0"/>
              <w:jc w:val="center"/>
              <w:textAlignment w:val="baseline"/>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厂区内新建污水管网，厂区外依托市政污水管网</w:t>
            </w:r>
          </w:p>
        </w:tc>
      </w:tr>
      <w:tr w14:paraId="2978B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437" w:type="pct"/>
            <w:vMerge w:val="continue"/>
            <w:tcBorders>
              <w:tl2br w:val="nil"/>
              <w:tr2bl w:val="nil"/>
            </w:tcBorders>
            <w:noWrap w:val="0"/>
            <w:vAlign w:val="center"/>
          </w:tcPr>
          <w:p w14:paraId="0901A225">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7EA14A2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供电</w:t>
            </w:r>
          </w:p>
        </w:tc>
        <w:tc>
          <w:tcPr>
            <w:tcW w:w="3288" w:type="pct"/>
            <w:tcBorders>
              <w:tl2br w:val="nil"/>
              <w:tr2bl w:val="nil"/>
            </w:tcBorders>
            <w:noWrap w:val="0"/>
            <w:vAlign w:val="center"/>
          </w:tcPr>
          <w:p w14:paraId="613FB68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年耗电</w:t>
            </w:r>
            <w:r>
              <w:rPr>
                <w:rFonts w:hint="eastAsia" w:ascii="Times New Roman" w:hAnsi="Times New Roman" w:eastAsia="宋体"/>
                <w:color w:val="auto"/>
                <w:szCs w:val="21"/>
                <w:highlight w:val="none"/>
              </w:rPr>
              <w:t>48</w:t>
            </w:r>
            <w:r>
              <w:rPr>
                <w:rFonts w:ascii="Times New Roman" w:hAnsi="Times New Roman" w:eastAsia="宋体"/>
                <w:color w:val="auto"/>
                <w:szCs w:val="21"/>
                <w:highlight w:val="none"/>
              </w:rPr>
              <w:t>0万k</w:t>
            </w:r>
            <w:r>
              <w:rPr>
                <w:rFonts w:hint="eastAsia" w:ascii="Times New Roman" w:hAnsi="Times New Roman" w:eastAsia="宋体"/>
                <w:color w:val="auto"/>
                <w:szCs w:val="21"/>
                <w:highlight w:val="none"/>
                <w:lang w:val="en-US" w:eastAsia="zh-CN"/>
              </w:rPr>
              <w:t>W</w:t>
            </w:r>
            <w:r>
              <w:rPr>
                <w:rFonts w:ascii="Times New Roman" w:hAnsi="Times New Roman" w:eastAsia="宋体"/>
                <w:color w:val="auto"/>
                <w:szCs w:val="21"/>
                <w:highlight w:val="none"/>
              </w:rPr>
              <w:t>h/a</w:t>
            </w:r>
          </w:p>
        </w:tc>
        <w:tc>
          <w:tcPr>
            <w:tcW w:w="610" w:type="pct"/>
            <w:tcBorders>
              <w:tl2br w:val="nil"/>
              <w:tr2bl w:val="nil"/>
            </w:tcBorders>
            <w:noWrap w:val="0"/>
            <w:vAlign w:val="center"/>
          </w:tcPr>
          <w:p w14:paraId="353D6FDD">
            <w:pPr>
              <w:adjustRightInd w:val="0"/>
              <w:snapToGrid w:val="0"/>
              <w:jc w:val="center"/>
              <w:textAlignment w:val="baseline"/>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依托市政供电管网</w:t>
            </w:r>
          </w:p>
        </w:tc>
      </w:tr>
      <w:tr w14:paraId="6AD2C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7" w:type="pct"/>
            <w:vMerge w:val="restart"/>
            <w:tcBorders>
              <w:tl2br w:val="nil"/>
              <w:tr2bl w:val="nil"/>
            </w:tcBorders>
            <w:noWrap w:val="0"/>
            <w:vAlign w:val="center"/>
          </w:tcPr>
          <w:p w14:paraId="6B88B11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环保工程</w:t>
            </w:r>
          </w:p>
        </w:tc>
        <w:tc>
          <w:tcPr>
            <w:tcW w:w="664" w:type="pct"/>
            <w:vMerge w:val="restart"/>
            <w:tcBorders>
              <w:tl2br w:val="nil"/>
              <w:tr2bl w:val="nil"/>
            </w:tcBorders>
            <w:noWrap w:val="0"/>
            <w:vAlign w:val="center"/>
          </w:tcPr>
          <w:p w14:paraId="19C659D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废气处理</w:t>
            </w:r>
          </w:p>
        </w:tc>
        <w:tc>
          <w:tcPr>
            <w:tcW w:w="3288" w:type="pct"/>
            <w:tcBorders>
              <w:tl2br w:val="nil"/>
              <w:tr2bl w:val="nil"/>
            </w:tcBorders>
            <w:noWrap w:val="0"/>
            <w:vAlign w:val="center"/>
          </w:tcPr>
          <w:p w14:paraId="0D388C49">
            <w:pPr>
              <w:adjustRightInd w:val="0"/>
              <w:snapToGrid w:val="0"/>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olor w:val="auto"/>
                <w:kern w:val="0"/>
                <w:szCs w:val="21"/>
                <w:highlight w:val="none"/>
                <w:lang w:val="en-US" w:eastAsia="zh-CN"/>
              </w:rPr>
              <w:t>高温转化炉烟气：低氮燃烧器+15米排气筒（DA001、DA002、DA003）排放；解吸气经收集至转化炉内燃烧使用</w:t>
            </w:r>
          </w:p>
        </w:tc>
        <w:tc>
          <w:tcPr>
            <w:tcW w:w="610" w:type="pct"/>
            <w:vMerge w:val="restart"/>
            <w:tcBorders>
              <w:tl2br w:val="nil"/>
              <w:tr2bl w:val="nil"/>
            </w:tcBorders>
            <w:noWrap w:val="0"/>
            <w:vAlign w:val="center"/>
          </w:tcPr>
          <w:p w14:paraId="0F5A62F5">
            <w:pPr>
              <w:adjustRightInd w:val="0"/>
              <w:snapToGrid w:val="0"/>
              <w:jc w:val="center"/>
              <w:textAlignment w:val="baseline"/>
              <w:rPr>
                <w:rFonts w:ascii="Times New Roman" w:hAnsi="Times New Roman" w:eastAsia="宋体"/>
                <w:color w:val="auto"/>
                <w:szCs w:val="21"/>
                <w:highlight w:val="none"/>
              </w:rPr>
            </w:pPr>
            <w:r>
              <w:rPr>
                <w:rFonts w:ascii="Times New Roman" w:hAnsi="Times New Roman" w:eastAsia="宋体"/>
                <w:color w:val="auto"/>
                <w:szCs w:val="21"/>
                <w:highlight w:val="none"/>
              </w:rPr>
              <w:t>新建</w:t>
            </w:r>
          </w:p>
        </w:tc>
      </w:tr>
      <w:tr w14:paraId="5E50B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37" w:type="pct"/>
            <w:vMerge w:val="continue"/>
            <w:tcBorders>
              <w:tl2br w:val="nil"/>
              <w:tr2bl w:val="nil"/>
            </w:tcBorders>
            <w:noWrap w:val="0"/>
            <w:vAlign w:val="center"/>
          </w:tcPr>
          <w:p w14:paraId="5A08FCEC">
            <w:pPr>
              <w:snapToGrid w:val="0"/>
              <w:jc w:val="center"/>
              <w:rPr>
                <w:rFonts w:ascii="Times New Roman" w:hAnsi="Times New Roman" w:eastAsia="宋体"/>
                <w:color w:val="auto"/>
                <w:szCs w:val="21"/>
                <w:highlight w:val="none"/>
              </w:rPr>
            </w:pPr>
          </w:p>
        </w:tc>
        <w:tc>
          <w:tcPr>
            <w:tcW w:w="664" w:type="pct"/>
            <w:vMerge w:val="continue"/>
            <w:tcBorders>
              <w:tl2br w:val="nil"/>
              <w:tr2bl w:val="nil"/>
            </w:tcBorders>
            <w:noWrap w:val="0"/>
            <w:vAlign w:val="center"/>
          </w:tcPr>
          <w:p w14:paraId="480506D2">
            <w:pPr>
              <w:snapToGrid w:val="0"/>
              <w:jc w:val="center"/>
              <w:rPr>
                <w:rFonts w:ascii="Times New Roman" w:hAnsi="Times New Roman" w:eastAsia="宋体"/>
                <w:color w:val="auto"/>
                <w:szCs w:val="21"/>
                <w:highlight w:val="none"/>
              </w:rPr>
            </w:pPr>
          </w:p>
        </w:tc>
        <w:tc>
          <w:tcPr>
            <w:tcW w:w="3288" w:type="pct"/>
            <w:tcBorders>
              <w:tl2br w:val="nil"/>
              <w:tr2bl w:val="nil"/>
            </w:tcBorders>
            <w:noWrap w:val="0"/>
            <w:vAlign w:val="center"/>
          </w:tcPr>
          <w:p w14:paraId="688DC99A">
            <w:pPr>
              <w:adjustRightInd w:val="0"/>
              <w:snapToGrid w:val="0"/>
              <w:jc w:val="left"/>
              <w:textAlignment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放空废气：装置在开、停工或生产不平衡时产生的多余气体进入解吸气减压及混合稳压系统后混合燃料沼气进入转化炉燃烧后经过排气筒排放，安全阀放空时的可燃气体经放空总管，阻火器后高点放空；</w:t>
            </w:r>
          </w:p>
        </w:tc>
        <w:tc>
          <w:tcPr>
            <w:tcW w:w="610" w:type="pct"/>
            <w:vMerge w:val="continue"/>
            <w:tcBorders>
              <w:tl2br w:val="nil"/>
              <w:tr2bl w:val="nil"/>
            </w:tcBorders>
            <w:noWrap w:val="0"/>
            <w:vAlign w:val="center"/>
          </w:tcPr>
          <w:p w14:paraId="41398FE8">
            <w:pPr>
              <w:adjustRightInd w:val="0"/>
              <w:snapToGrid w:val="0"/>
              <w:jc w:val="center"/>
              <w:textAlignment w:val="baseline"/>
              <w:rPr>
                <w:rFonts w:ascii="Times New Roman" w:hAnsi="Times New Roman" w:eastAsia="宋体"/>
                <w:color w:val="auto"/>
                <w:szCs w:val="21"/>
                <w:highlight w:val="none"/>
              </w:rPr>
            </w:pPr>
          </w:p>
        </w:tc>
      </w:tr>
      <w:tr w14:paraId="6EBA1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437" w:type="pct"/>
            <w:vMerge w:val="continue"/>
            <w:tcBorders>
              <w:tl2br w:val="nil"/>
              <w:tr2bl w:val="nil"/>
            </w:tcBorders>
            <w:noWrap w:val="0"/>
            <w:vAlign w:val="center"/>
          </w:tcPr>
          <w:p w14:paraId="76059742">
            <w:pPr>
              <w:snapToGrid w:val="0"/>
              <w:jc w:val="center"/>
              <w:rPr>
                <w:rFonts w:ascii="Times New Roman" w:hAnsi="Times New Roman" w:eastAsia="宋体"/>
                <w:color w:val="auto"/>
                <w:szCs w:val="21"/>
                <w:highlight w:val="none"/>
              </w:rPr>
            </w:pPr>
          </w:p>
        </w:tc>
        <w:tc>
          <w:tcPr>
            <w:tcW w:w="664" w:type="pct"/>
            <w:vMerge w:val="continue"/>
            <w:tcBorders>
              <w:tl2br w:val="nil"/>
              <w:tr2bl w:val="nil"/>
            </w:tcBorders>
            <w:noWrap w:val="0"/>
            <w:vAlign w:val="center"/>
          </w:tcPr>
          <w:p w14:paraId="2F1203DD">
            <w:pPr>
              <w:snapToGrid w:val="0"/>
              <w:jc w:val="center"/>
              <w:rPr>
                <w:rFonts w:ascii="Times New Roman" w:hAnsi="Times New Roman" w:eastAsia="宋体"/>
                <w:color w:val="auto"/>
                <w:szCs w:val="21"/>
                <w:highlight w:val="none"/>
              </w:rPr>
            </w:pPr>
          </w:p>
        </w:tc>
        <w:tc>
          <w:tcPr>
            <w:tcW w:w="3288" w:type="pct"/>
            <w:tcBorders>
              <w:tl2br w:val="nil"/>
              <w:tr2bl w:val="nil"/>
            </w:tcBorders>
            <w:noWrap w:val="0"/>
            <w:vAlign w:val="center"/>
          </w:tcPr>
          <w:p w14:paraId="590EA398">
            <w:pPr>
              <w:adjustRightInd w:val="0"/>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站内</w:t>
            </w:r>
            <w:r>
              <w:rPr>
                <w:rFonts w:hint="default" w:ascii="Times New Roman" w:hAnsi="Times New Roman" w:eastAsia="宋体"/>
                <w:color w:val="auto"/>
                <w:kern w:val="0"/>
                <w:szCs w:val="21"/>
                <w:highlight w:val="none"/>
                <w:lang w:val="en-US" w:eastAsia="zh-CN"/>
              </w:rPr>
              <w:t>采用自流密闭式卸油方式卸油，设卸油油气回收装置，产生的非甲烷总烃经卸油油气回收系统回收，加油过程采用自封式加油枪，设加油油气回收装置，产生的非甲烷总烃经加油油气回收装置回收，</w:t>
            </w:r>
            <w:r>
              <w:rPr>
                <w:rFonts w:hint="eastAsia" w:ascii="Times New Roman" w:hAnsi="Times New Roman" w:eastAsia="宋体"/>
                <w:color w:val="auto"/>
                <w:kern w:val="0"/>
                <w:szCs w:val="21"/>
                <w:highlight w:val="none"/>
                <w:lang w:val="en-US" w:eastAsia="zh-CN"/>
              </w:rPr>
              <w:t>柴油</w:t>
            </w:r>
            <w:r>
              <w:rPr>
                <w:rFonts w:hint="default" w:ascii="Times New Roman" w:hAnsi="Times New Roman" w:eastAsia="宋体"/>
                <w:color w:val="auto"/>
                <w:kern w:val="0"/>
                <w:szCs w:val="21"/>
                <w:highlight w:val="none"/>
                <w:lang w:val="en-US" w:eastAsia="zh-CN"/>
              </w:rPr>
              <w:t>储存过程产生的非甲烷总烃无组织排放</w:t>
            </w:r>
            <w:r>
              <w:rPr>
                <w:rFonts w:hint="eastAsia" w:ascii="Times New Roman" w:hAnsi="Times New Roman" w:eastAsia="宋体"/>
                <w:color w:val="auto"/>
                <w:kern w:val="0"/>
                <w:szCs w:val="21"/>
                <w:highlight w:val="none"/>
                <w:lang w:val="en-US" w:eastAsia="zh-CN"/>
              </w:rPr>
              <w:t>，汽油罐</w:t>
            </w:r>
            <w:r>
              <w:rPr>
                <w:rFonts w:hint="default" w:ascii="Times New Roman" w:hAnsi="Times New Roman" w:eastAsia="宋体"/>
                <w:color w:val="auto"/>
                <w:kern w:val="0"/>
                <w:szCs w:val="21"/>
                <w:highlight w:val="none"/>
                <w:lang w:val="en-US" w:eastAsia="zh-CN"/>
              </w:rPr>
              <w:t>储存过程产生的非甲烷总烃</w:t>
            </w:r>
            <w:r>
              <w:rPr>
                <w:rFonts w:hint="eastAsia" w:ascii="Times New Roman" w:hAnsi="Times New Roman" w:eastAsia="宋体"/>
                <w:color w:val="auto"/>
                <w:kern w:val="0"/>
                <w:szCs w:val="21"/>
                <w:highlight w:val="none"/>
                <w:lang w:val="en-US" w:eastAsia="zh-CN"/>
              </w:rPr>
              <w:t>安装油气回收装置</w:t>
            </w:r>
            <w:r>
              <w:rPr>
                <w:rFonts w:hint="default" w:ascii="Times New Roman" w:hAnsi="Times New Roman" w:eastAsia="宋体"/>
                <w:color w:val="auto"/>
                <w:kern w:val="0"/>
                <w:szCs w:val="21"/>
                <w:highlight w:val="none"/>
                <w:lang w:val="en-US" w:eastAsia="zh-CN"/>
              </w:rPr>
              <w:t>。加油站设置油气回收在线监测系统</w:t>
            </w:r>
            <w:r>
              <w:rPr>
                <w:rFonts w:hint="eastAsia" w:ascii="Times New Roman" w:hAnsi="Times New Roman" w:eastAsia="宋体"/>
                <w:color w:val="auto"/>
                <w:kern w:val="0"/>
                <w:szCs w:val="21"/>
                <w:highlight w:val="none"/>
                <w:lang w:val="en-US" w:eastAsia="zh-CN"/>
              </w:rPr>
              <w:t>。</w:t>
            </w:r>
          </w:p>
        </w:tc>
        <w:tc>
          <w:tcPr>
            <w:tcW w:w="610" w:type="pct"/>
            <w:vMerge w:val="continue"/>
            <w:tcBorders>
              <w:tl2br w:val="nil"/>
              <w:tr2bl w:val="nil"/>
            </w:tcBorders>
            <w:noWrap w:val="0"/>
            <w:vAlign w:val="center"/>
          </w:tcPr>
          <w:p w14:paraId="5A3EC063">
            <w:pPr>
              <w:adjustRightInd w:val="0"/>
              <w:snapToGrid w:val="0"/>
              <w:jc w:val="center"/>
              <w:textAlignment w:val="baseline"/>
              <w:rPr>
                <w:rFonts w:ascii="Times New Roman" w:hAnsi="Times New Roman" w:eastAsia="宋体"/>
                <w:color w:val="auto"/>
                <w:szCs w:val="21"/>
                <w:highlight w:val="none"/>
              </w:rPr>
            </w:pPr>
          </w:p>
        </w:tc>
      </w:tr>
      <w:tr w14:paraId="0DD3C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7" w:type="pct"/>
            <w:vMerge w:val="continue"/>
            <w:tcBorders>
              <w:tl2br w:val="nil"/>
              <w:tr2bl w:val="nil"/>
            </w:tcBorders>
            <w:noWrap w:val="0"/>
            <w:vAlign w:val="center"/>
          </w:tcPr>
          <w:p w14:paraId="70166AEF">
            <w:pPr>
              <w:snapToGrid w:val="0"/>
              <w:jc w:val="center"/>
              <w:rPr>
                <w:rFonts w:ascii="Times New Roman" w:hAnsi="Times New Roman" w:eastAsia="宋体"/>
                <w:color w:val="auto"/>
                <w:szCs w:val="21"/>
                <w:highlight w:val="none"/>
              </w:rPr>
            </w:pPr>
          </w:p>
        </w:tc>
        <w:tc>
          <w:tcPr>
            <w:tcW w:w="664" w:type="pct"/>
            <w:vMerge w:val="continue"/>
            <w:tcBorders>
              <w:tl2br w:val="nil"/>
              <w:tr2bl w:val="nil"/>
            </w:tcBorders>
            <w:noWrap w:val="0"/>
            <w:vAlign w:val="center"/>
          </w:tcPr>
          <w:p w14:paraId="47030CE8">
            <w:pPr>
              <w:snapToGrid w:val="0"/>
              <w:jc w:val="center"/>
              <w:rPr>
                <w:rFonts w:ascii="Times New Roman" w:hAnsi="Times New Roman" w:eastAsia="宋体"/>
                <w:color w:val="auto"/>
                <w:szCs w:val="21"/>
                <w:highlight w:val="none"/>
              </w:rPr>
            </w:pPr>
          </w:p>
        </w:tc>
        <w:tc>
          <w:tcPr>
            <w:tcW w:w="3288" w:type="pct"/>
            <w:tcBorders>
              <w:tl2br w:val="nil"/>
              <w:tr2bl w:val="nil"/>
            </w:tcBorders>
            <w:noWrap w:val="0"/>
            <w:vAlign w:val="center"/>
          </w:tcPr>
          <w:p w14:paraId="12697E42">
            <w:pPr>
              <w:adjustRightInd w:val="0"/>
              <w:snapToGrid w:val="0"/>
              <w:jc w:val="center"/>
              <w:textAlignment w:val="center"/>
              <w:rPr>
                <w:rFonts w:hint="default" w:ascii="Times New Roman" w:hAnsi="Times New Roman" w:eastAsia="宋体"/>
                <w:color w:val="auto"/>
                <w:kern w:val="0"/>
                <w:szCs w:val="21"/>
                <w:highlight w:val="none"/>
                <w:lang w:val="en-US"/>
              </w:rPr>
            </w:pPr>
            <w:r>
              <w:rPr>
                <w:rFonts w:hint="eastAsia" w:ascii="Times New Roman" w:hAnsi="Times New Roman" w:eastAsia="宋体"/>
                <w:color w:val="auto"/>
                <w:kern w:val="0"/>
                <w:szCs w:val="21"/>
                <w:highlight w:val="none"/>
                <w:lang w:val="en-US" w:eastAsia="zh-CN"/>
              </w:rPr>
              <w:t>脱盐水除氧废气：直接排放至大气</w:t>
            </w:r>
          </w:p>
        </w:tc>
        <w:tc>
          <w:tcPr>
            <w:tcW w:w="610" w:type="pct"/>
            <w:vMerge w:val="continue"/>
            <w:tcBorders>
              <w:tl2br w:val="nil"/>
              <w:tr2bl w:val="nil"/>
            </w:tcBorders>
            <w:noWrap w:val="0"/>
            <w:vAlign w:val="center"/>
          </w:tcPr>
          <w:p w14:paraId="1480C777">
            <w:pPr>
              <w:adjustRightInd w:val="0"/>
              <w:snapToGrid w:val="0"/>
              <w:jc w:val="center"/>
              <w:textAlignment w:val="baseline"/>
              <w:rPr>
                <w:rFonts w:ascii="Times New Roman" w:hAnsi="Times New Roman" w:eastAsia="宋体"/>
                <w:color w:val="auto"/>
                <w:szCs w:val="21"/>
                <w:highlight w:val="none"/>
              </w:rPr>
            </w:pPr>
          </w:p>
        </w:tc>
      </w:tr>
      <w:tr w14:paraId="4124B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7" w:type="pct"/>
            <w:vMerge w:val="continue"/>
            <w:tcBorders>
              <w:tl2br w:val="nil"/>
              <w:tr2bl w:val="nil"/>
            </w:tcBorders>
            <w:noWrap w:val="0"/>
            <w:vAlign w:val="center"/>
          </w:tcPr>
          <w:p w14:paraId="1651A3AD">
            <w:pPr>
              <w:snapToGrid w:val="0"/>
              <w:jc w:val="center"/>
              <w:rPr>
                <w:rFonts w:ascii="Times New Roman" w:hAnsi="Times New Roman" w:eastAsia="宋体"/>
                <w:color w:val="auto"/>
                <w:szCs w:val="21"/>
                <w:highlight w:val="none"/>
              </w:rPr>
            </w:pPr>
          </w:p>
        </w:tc>
        <w:tc>
          <w:tcPr>
            <w:tcW w:w="664" w:type="pct"/>
            <w:vMerge w:val="continue"/>
            <w:tcBorders>
              <w:tl2br w:val="nil"/>
              <w:tr2bl w:val="nil"/>
            </w:tcBorders>
            <w:noWrap w:val="0"/>
            <w:vAlign w:val="center"/>
          </w:tcPr>
          <w:p w14:paraId="7AC59F4E">
            <w:pPr>
              <w:snapToGrid w:val="0"/>
              <w:jc w:val="center"/>
              <w:rPr>
                <w:rFonts w:ascii="Times New Roman" w:hAnsi="Times New Roman" w:eastAsia="宋体"/>
                <w:color w:val="auto"/>
                <w:szCs w:val="21"/>
                <w:highlight w:val="none"/>
              </w:rPr>
            </w:pPr>
          </w:p>
        </w:tc>
        <w:tc>
          <w:tcPr>
            <w:tcW w:w="3288" w:type="pct"/>
            <w:tcBorders>
              <w:tl2br w:val="nil"/>
              <w:tr2bl w:val="nil"/>
            </w:tcBorders>
            <w:noWrap w:val="0"/>
            <w:vAlign w:val="center"/>
          </w:tcPr>
          <w:p w14:paraId="3BB03DD2">
            <w:pPr>
              <w:adjustRightInd w:val="0"/>
              <w:snapToGrid w:val="0"/>
              <w:jc w:val="center"/>
              <w:textAlignment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机动车尾气：控制车速，厂区周边洒水降尘</w:t>
            </w:r>
          </w:p>
        </w:tc>
        <w:tc>
          <w:tcPr>
            <w:tcW w:w="610" w:type="pct"/>
            <w:vMerge w:val="continue"/>
            <w:tcBorders>
              <w:tl2br w:val="nil"/>
              <w:tr2bl w:val="nil"/>
            </w:tcBorders>
            <w:noWrap w:val="0"/>
            <w:vAlign w:val="center"/>
          </w:tcPr>
          <w:p w14:paraId="6A5EA054">
            <w:pPr>
              <w:adjustRightInd w:val="0"/>
              <w:snapToGrid w:val="0"/>
              <w:jc w:val="center"/>
              <w:textAlignment w:val="baseline"/>
              <w:rPr>
                <w:rFonts w:ascii="Times New Roman" w:hAnsi="Times New Roman" w:eastAsia="宋体"/>
                <w:color w:val="auto"/>
                <w:szCs w:val="21"/>
                <w:highlight w:val="none"/>
              </w:rPr>
            </w:pPr>
          </w:p>
        </w:tc>
      </w:tr>
      <w:tr w14:paraId="691D2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8" w:hRule="atLeast"/>
          <w:jc w:val="center"/>
        </w:trPr>
        <w:tc>
          <w:tcPr>
            <w:tcW w:w="437" w:type="pct"/>
            <w:vMerge w:val="continue"/>
            <w:tcBorders>
              <w:tl2br w:val="nil"/>
              <w:tr2bl w:val="nil"/>
            </w:tcBorders>
            <w:noWrap w:val="0"/>
            <w:vAlign w:val="center"/>
          </w:tcPr>
          <w:p w14:paraId="015938CF">
            <w:pPr>
              <w:snapToGrid w:val="0"/>
              <w:jc w:val="center"/>
              <w:rPr>
                <w:rFonts w:ascii="Times New Roman" w:hAnsi="Times New Roman" w:eastAsia="宋体"/>
                <w:color w:val="auto"/>
                <w:szCs w:val="21"/>
                <w:highlight w:val="none"/>
              </w:rPr>
            </w:pPr>
          </w:p>
        </w:tc>
        <w:tc>
          <w:tcPr>
            <w:tcW w:w="664" w:type="pct"/>
            <w:vMerge w:val="restart"/>
            <w:tcBorders>
              <w:tl2br w:val="nil"/>
              <w:tr2bl w:val="nil"/>
            </w:tcBorders>
            <w:noWrap w:val="0"/>
            <w:vAlign w:val="center"/>
          </w:tcPr>
          <w:p w14:paraId="7D69276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废水处理</w:t>
            </w:r>
          </w:p>
        </w:tc>
        <w:tc>
          <w:tcPr>
            <w:tcW w:w="3288" w:type="pct"/>
            <w:tcBorders>
              <w:tl2br w:val="nil"/>
              <w:tr2bl w:val="nil"/>
            </w:tcBorders>
            <w:noWrap w:val="0"/>
            <w:vAlign w:val="center"/>
          </w:tcPr>
          <w:p w14:paraId="562371DF">
            <w:pPr>
              <w:adjustRightInd w:val="0"/>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szCs w:val="21"/>
                <w:highlight w:val="none"/>
                <w:lang w:val="en-US" w:eastAsia="zh-CN"/>
              </w:rPr>
              <w:t>采用雨污分流、清污分流排水方式：清净雨水经雨水排放口排放。新建污水管网、生活污水管网、雨水管网。拟建项目产生的生活污水（经化粪池预处理）、脱盐水制备产生浓水、蒸汽发生器排污水等均排入市政污水管网，车辆冲洗废水、初期雨水经隔油沉淀处理后接管市政污水管网，进入田家庵经济开发区污水处理站处理，排入林桥涧沟，最终汇入瓦埠湖。</w:t>
            </w:r>
          </w:p>
        </w:tc>
        <w:tc>
          <w:tcPr>
            <w:tcW w:w="610" w:type="pct"/>
            <w:vMerge w:val="restart"/>
            <w:tcBorders>
              <w:tl2br w:val="nil"/>
              <w:tr2bl w:val="nil"/>
            </w:tcBorders>
            <w:noWrap w:val="0"/>
            <w:vAlign w:val="center"/>
          </w:tcPr>
          <w:p w14:paraId="579DD673">
            <w:pPr>
              <w:adjustRightInd w:val="0"/>
              <w:snapToGrid w:val="0"/>
              <w:jc w:val="center"/>
              <w:textAlignment w:val="baseline"/>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厂区内污水管线新建，远期依托市政污水管网</w:t>
            </w:r>
          </w:p>
        </w:tc>
      </w:tr>
      <w:tr w14:paraId="549F6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tcBorders>
              <w:tl2br w:val="nil"/>
              <w:tr2bl w:val="nil"/>
            </w:tcBorders>
            <w:noWrap w:val="0"/>
            <w:vAlign w:val="center"/>
          </w:tcPr>
          <w:p w14:paraId="2808CA98">
            <w:pPr>
              <w:snapToGrid w:val="0"/>
              <w:jc w:val="center"/>
              <w:rPr>
                <w:rFonts w:ascii="Times New Roman" w:hAnsi="Times New Roman" w:eastAsia="宋体"/>
                <w:color w:val="auto"/>
                <w:szCs w:val="21"/>
                <w:highlight w:val="none"/>
              </w:rPr>
            </w:pPr>
          </w:p>
        </w:tc>
        <w:tc>
          <w:tcPr>
            <w:tcW w:w="664" w:type="pct"/>
            <w:vMerge w:val="restart"/>
            <w:tcBorders>
              <w:tl2br w:val="nil"/>
              <w:tr2bl w:val="nil"/>
            </w:tcBorders>
            <w:noWrap w:val="0"/>
            <w:vAlign w:val="center"/>
          </w:tcPr>
          <w:p w14:paraId="220409B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固废处理</w:t>
            </w:r>
          </w:p>
        </w:tc>
        <w:tc>
          <w:tcPr>
            <w:tcW w:w="3288" w:type="pct"/>
            <w:tcBorders>
              <w:tl2br w:val="nil"/>
              <w:tr2bl w:val="nil"/>
            </w:tcBorders>
            <w:noWrap w:val="0"/>
            <w:vAlign w:val="center"/>
          </w:tcPr>
          <w:p w14:paraId="584B0218">
            <w:pPr>
              <w:pStyle w:val="560"/>
              <w:spacing w:line="240" w:lineRule="auto"/>
              <w:jc w:val="both"/>
              <w:rPr>
                <w:rFonts w:hint="eastAsia"/>
                <w:color w:val="auto"/>
                <w:sz w:val="21"/>
                <w:szCs w:val="21"/>
                <w:highlight w:val="none"/>
              </w:rPr>
            </w:pPr>
            <w:r>
              <w:rPr>
                <w:rFonts w:ascii="Times New Roman" w:hAnsi="Times New Roman" w:eastAsia="宋体"/>
                <w:color w:val="auto"/>
                <w:szCs w:val="21"/>
                <w:highlight w:val="none"/>
              </w:rPr>
              <w:t>危险废物</w:t>
            </w:r>
            <w:r>
              <w:rPr>
                <w:rFonts w:hint="eastAsia" w:ascii="Times New Roman" w:hAnsi="Times New Roman" w:eastAsia="宋体"/>
                <w:color w:val="auto"/>
                <w:szCs w:val="21"/>
                <w:highlight w:val="none"/>
                <w:lang w:val="en-US" w:eastAsia="zh-CN"/>
              </w:rPr>
              <w:t>暂存间</w:t>
            </w:r>
            <w:r>
              <w:rPr>
                <w:rFonts w:ascii="Times New Roman" w:hAnsi="Times New Roman" w:eastAsia="宋体"/>
                <w:color w:val="auto"/>
                <w:szCs w:val="21"/>
                <w:highlight w:val="none"/>
              </w:rPr>
              <w:t>1处，位于</w:t>
            </w:r>
            <w:r>
              <w:rPr>
                <w:rFonts w:hint="eastAsia" w:ascii="Times New Roman" w:hAnsi="Times New Roman" w:eastAsia="宋体"/>
                <w:color w:val="auto"/>
                <w:szCs w:val="21"/>
                <w:highlight w:val="none"/>
                <w:lang w:val="en-US" w:eastAsia="zh-CN"/>
              </w:rPr>
              <w:t>站房东侧</w:t>
            </w:r>
            <w:r>
              <w:rPr>
                <w:rFonts w:ascii="Times New Roman" w:hAnsi="Times New Roman" w:eastAsia="宋体"/>
                <w:color w:val="auto"/>
                <w:szCs w:val="21"/>
                <w:highlight w:val="none"/>
              </w:rPr>
              <w:t>，约</w:t>
            </w:r>
            <w:r>
              <w:rPr>
                <w:rFonts w:hint="eastAsia" w:ascii="Times New Roman" w:hAnsi="Times New Roman" w:eastAsia="宋体"/>
                <w:color w:val="auto"/>
                <w:szCs w:val="21"/>
                <w:highlight w:val="none"/>
                <w:lang w:val="en-US" w:eastAsia="zh-CN"/>
              </w:rPr>
              <w:t>20</w:t>
            </w:r>
            <w:r>
              <w:rPr>
                <w:rFonts w:hint="eastAsia" w:ascii="Times New Roman" w:hAnsi="Times New Roman" w:eastAsia="宋体"/>
                <w:color w:val="auto"/>
                <w:szCs w:val="21"/>
                <w:highlight w:val="none"/>
              </w:rPr>
              <w:t>m</w:t>
            </w:r>
            <w:r>
              <w:rPr>
                <w:rFonts w:ascii="Times New Roman" w:hAnsi="Times New Roman" w:eastAsia="宋体"/>
                <w:color w:val="auto"/>
                <w:szCs w:val="21"/>
                <w:highlight w:val="none"/>
                <w:vertAlign w:val="superscript"/>
              </w:rPr>
              <w:t>2</w:t>
            </w:r>
            <w:r>
              <w:rPr>
                <w:rFonts w:ascii="Times New Roman" w:hAnsi="Times New Roman" w:eastAsia="宋体"/>
                <w:color w:val="auto"/>
                <w:szCs w:val="21"/>
                <w:highlight w:val="none"/>
              </w:rPr>
              <w:t>，重点防渗，</w:t>
            </w:r>
            <w:r>
              <w:rPr>
                <w:rFonts w:hint="eastAsia"/>
                <w:color w:val="auto"/>
                <w:sz w:val="21"/>
                <w:szCs w:val="21"/>
                <w:highlight w:val="none"/>
              </w:rPr>
              <w:t>储油罐清洗时产生的</w:t>
            </w:r>
            <w:r>
              <w:rPr>
                <w:rFonts w:hint="eastAsia"/>
                <w:color w:val="auto"/>
                <w:sz w:val="21"/>
                <w:szCs w:val="21"/>
                <w:highlight w:val="none"/>
                <w:lang w:val="en-US" w:eastAsia="zh-CN"/>
              </w:rPr>
              <w:t>废矿物油</w:t>
            </w:r>
            <w:r>
              <w:rPr>
                <w:rFonts w:hint="eastAsia"/>
                <w:color w:val="auto"/>
                <w:sz w:val="21"/>
                <w:szCs w:val="21"/>
                <w:highlight w:val="none"/>
              </w:rPr>
              <w:t>：清洗油罐时提前与有危废处置资质单位联系，派专用车辆前来清理，废矿物油直接清运统一处理</w:t>
            </w:r>
            <w:r>
              <w:rPr>
                <w:rFonts w:hint="eastAsia"/>
                <w:color w:val="auto"/>
                <w:sz w:val="21"/>
                <w:szCs w:val="21"/>
                <w:highlight w:val="none"/>
                <w:lang w:eastAsia="zh-CN"/>
              </w:rPr>
              <w:t>，</w:t>
            </w:r>
            <w:r>
              <w:rPr>
                <w:rFonts w:hint="eastAsia"/>
                <w:color w:val="auto"/>
                <w:sz w:val="21"/>
                <w:szCs w:val="21"/>
                <w:highlight w:val="none"/>
                <w:lang w:val="en-US" w:eastAsia="zh-CN"/>
              </w:rPr>
              <w:t>不在站内存储</w:t>
            </w:r>
            <w:r>
              <w:rPr>
                <w:rFonts w:hint="eastAsia"/>
                <w:color w:val="auto"/>
                <w:sz w:val="21"/>
                <w:szCs w:val="21"/>
                <w:highlight w:val="none"/>
              </w:rPr>
              <w:t>。</w:t>
            </w:r>
          </w:p>
          <w:p w14:paraId="079FF20C">
            <w:pPr>
              <w:pStyle w:val="560"/>
              <w:spacing w:line="240" w:lineRule="auto"/>
              <w:jc w:val="both"/>
              <w:rPr>
                <w:rFonts w:hint="eastAsia"/>
                <w:color w:val="auto"/>
                <w:sz w:val="21"/>
                <w:szCs w:val="21"/>
                <w:highlight w:val="none"/>
              </w:rPr>
            </w:pPr>
            <w:r>
              <w:rPr>
                <w:rFonts w:hint="eastAsia"/>
                <w:color w:val="auto"/>
                <w:sz w:val="21"/>
                <w:szCs w:val="21"/>
                <w:highlight w:val="none"/>
              </w:rPr>
              <w:t>油罐清洗产生的油渣：清洗油罐时提前与有危废处置资质单位联系，派专用车辆前来清理，废矿物油和含油废水直接清运统一处理</w:t>
            </w:r>
            <w:r>
              <w:rPr>
                <w:rFonts w:hint="eastAsia"/>
                <w:color w:val="auto"/>
                <w:sz w:val="21"/>
                <w:szCs w:val="21"/>
                <w:highlight w:val="none"/>
                <w:lang w:eastAsia="zh-CN"/>
              </w:rPr>
              <w:t>，</w:t>
            </w:r>
            <w:r>
              <w:rPr>
                <w:rFonts w:hint="eastAsia"/>
                <w:color w:val="auto"/>
                <w:sz w:val="21"/>
                <w:szCs w:val="21"/>
                <w:highlight w:val="none"/>
                <w:lang w:val="en-US" w:eastAsia="zh-CN"/>
              </w:rPr>
              <w:t>不在站内存储</w:t>
            </w:r>
            <w:r>
              <w:rPr>
                <w:rFonts w:hint="eastAsia"/>
                <w:color w:val="auto"/>
                <w:sz w:val="21"/>
                <w:szCs w:val="21"/>
                <w:highlight w:val="none"/>
              </w:rPr>
              <w:t>。</w:t>
            </w:r>
          </w:p>
          <w:p w14:paraId="7CE27E7D">
            <w:pPr>
              <w:pStyle w:val="560"/>
              <w:spacing w:line="240" w:lineRule="auto"/>
              <w:jc w:val="both"/>
              <w:rPr>
                <w:rFonts w:hint="eastAsia" w:ascii="Times New Roman" w:hAnsi="Times New Roman" w:eastAsia="宋体"/>
                <w:color w:val="auto"/>
                <w:szCs w:val="21"/>
                <w:highlight w:val="none"/>
                <w:lang w:eastAsia="zh-CN"/>
              </w:rPr>
            </w:pPr>
            <w:r>
              <w:rPr>
                <w:rFonts w:hint="eastAsia"/>
                <w:color w:val="auto"/>
                <w:sz w:val="21"/>
                <w:szCs w:val="21"/>
                <w:highlight w:val="none"/>
                <w:lang w:val="en-US" w:eastAsia="zh-CN"/>
              </w:rPr>
              <w:t>隔油沉淀池产生的含油污泥及沉砂：提前与有危废处置资质单位联系，派专用车辆前来清理，直接清运统一交由资质单位处理，不在站内存储。</w:t>
            </w:r>
          </w:p>
        </w:tc>
        <w:tc>
          <w:tcPr>
            <w:tcW w:w="610" w:type="pct"/>
            <w:vMerge w:val="restart"/>
            <w:tcBorders>
              <w:tl2br w:val="nil"/>
              <w:tr2bl w:val="nil"/>
            </w:tcBorders>
            <w:noWrap w:val="0"/>
            <w:vAlign w:val="center"/>
          </w:tcPr>
          <w:p w14:paraId="2F9C3BE7">
            <w:pPr>
              <w:adjustRightInd w:val="0"/>
              <w:snapToGrid w:val="0"/>
              <w:jc w:val="center"/>
              <w:textAlignment w:val="baseline"/>
              <w:rPr>
                <w:rFonts w:ascii="Times New Roman" w:hAnsi="Times New Roman" w:eastAsia="宋体"/>
                <w:color w:val="auto"/>
                <w:szCs w:val="21"/>
                <w:highlight w:val="none"/>
              </w:rPr>
            </w:pPr>
            <w:r>
              <w:rPr>
                <w:rFonts w:ascii="Times New Roman" w:hAnsi="Times New Roman" w:eastAsia="宋体"/>
                <w:color w:val="auto"/>
                <w:szCs w:val="21"/>
                <w:highlight w:val="none"/>
              </w:rPr>
              <w:t>新建</w:t>
            </w:r>
          </w:p>
        </w:tc>
      </w:tr>
      <w:tr w14:paraId="5DD94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tcBorders>
              <w:tl2br w:val="nil"/>
              <w:tr2bl w:val="nil"/>
            </w:tcBorders>
            <w:noWrap w:val="0"/>
            <w:vAlign w:val="center"/>
          </w:tcPr>
          <w:p w14:paraId="0E1E1974">
            <w:pPr>
              <w:snapToGrid w:val="0"/>
              <w:jc w:val="center"/>
              <w:rPr>
                <w:rFonts w:ascii="Times New Roman" w:hAnsi="Times New Roman" w:eastAsia="宋体"/>
                <w:color w:val="auto"/>
                <w:szCs w:val="21"/>
                <w:highlight w:val="none"/>
              </w:rPr>
            </w:pPr>
          </w:p>
        </w:tc>
        <w:tc>
          <w:tcPr>
            <w:tcW w:w="664" w:type="pct"/>
            <w:vMerge w:val="continue"/>
            <w:tcBorders>
              <w:tl2br w:val="nil"/>
              <w:tr2bl w:val="nil"/>
            </w:tcBorders>
            <w:noWrap w:val="0"/>
            <w:vAlign w:val="center"/>
          </w:tcPr>
          <w:p w14:paraId="690AB42A">
            <w:pPr>
              <w:snapToGrid w:val="0"/>
              <w:jc w:val="center"/>
              <w:rPr>
                <w:rFonts w:ascii="Times New Roman" w:hAnsi="Times New Roman" w:eastAsia="宋体"/>
                <w:color w:val="auto"/>
                <w:szCs w:val="21"/>
                <w:highlight w:val="none"/>
              </w:rPr>
            </w:pPr>
          </w:p>
        </w:tc>
        <w:tc>
          <w:tcPr>
            <w:tcW w:w="3288" w:type="pct"/>
            <w:tcBorders>
              <w:tl2br w:val="nil"/>
              <w:tr2bl w:val="nil"/>
            </w:tcBorders>
            <w:noWrap w:val="0"/>
            <w:vAlign w:val="center"/>
          </w:tcPr>
          <w:p w14:paraId="30D03817">
            <w:pPr>
              <w:adjustRightInd w:val="0"/>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生活垃圾由环卫清运</w:t>
            </w:r>
          </w:p>
        </w:tc>
        <w:tc>
          <w:tcPr>
            <w:tcW w:w="610" w:type="pct"/>
            <w:vMerge w:val="continue"/>
            <w:tcBorders>
              <w:tl2br w:val="nil"/>
              <w:tr2bl w:val="nil"/>
            </w:tcBorders>
            <w:noWrap w:val="0"/>
            <w:vAlign w:val="center"/>
          </w:tcPr>
          <w:p w14:paraId="1747E610">
            <w:pPr>
              <w:adjustRightInd w:val="0"/>
              <w:snapToGrid w:val="0"/>
              <w:jc w:val="center"/>
              <w:textAlignment w:val="baseline"/>
              <w:rPr>
                <w:rFonts w:ascii="Times New Roman" w:hAnsi="Times New Roman" w:eastAsia="宋体"/>
                <w:color w:val="auto"/>
                <w:szCs w:val="21"/>
                <w:highlight w:val="none"/>
              </w:rPr>
            </w:pPr>
          </w:p>
        </w:tc>
      </w:tr>
      <w:tr w14:paraId="03531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tcBorders>
              <w:tl2br w:val="nil"/>
              <w:tr2bl w:val="nil"/>
            </w:tcBorders>
            <w:noWrap w:val="0"/>
            <w:vAlign w:val="center"/>
          </w:tcPr>
          <w:p w14:paraId="18C199B6">
            <w:pPr>
              <w:snapToGrid w:val="0"/>
              <w:jc w:val="center"/>
              <w:rPr>
                <w:rFonts w:ascii="Times New Roman" w:hAnsi="Times New Roman" w:eastAsia="宋体"/>
                <w:color w:val="auto"/>
                <w:szCs w:val="21"/>
                <w:highlight w:val="none"/>
              </w:rPr>
            </w:pPr>
          </w:p>
        </w:tc>
        <w:tc>
          <w:tcPr>
            <w:tcW w:w="664" w:type="pct"/>
            <w:vMerge w:val="continue"/>
            <w:tcBorders>
              <w:tl2br w:val="nil"/>
              <w:tr2bl w:val="nil"/>
            </w:tcBorders>
            <w:noWrap w:val="0"/>
            <w:vAlign w:val="center"/>
          </w:tcPr>
          <w:p w14:paraId="508BDEF1">
            <w:pPr>
              <w:snapToGrid w:val="0"/>
              <w:jc w:val="center"/>
              <w:rPr>
                <w:rFonts w:ascii="Times New Roman" w:hAnsi="Times New Roman" w:eastAsia="宋体"/>
                <w:color w:val="auto"/>
                <w:szCs w:val="21"/>
                <w:highlight w:val="none"/>
              </w:rPr>
            </w:pPr>
          </w:p>
        </w:tc>
        <w:tc>
          <w:tcPr>
            <w:tcW w:w="3288" w:type="pct"/>
            <w:tcBorders>
              <w:tl2br w:val="nil"/>
              <w:tr2bl w:val="nil"/>
            </w:tcBorders>
            <w:noWrap w:val="0"/>
            <w:vAlign w:val="center"/>
          </w:tcPr>
          <w:p w14:paraId="0D7BCFC7">
            <w:pPr>
              <w:adjustRightInd w:val="0"/>
              <w:snapToGrid w:val="0"/>
              <w:jc w:val="center"/>
              <w:rPr>
                <w:rFonts w:hint="default" w:ascii="Times New Roman" w:hAnsi="Times New Roman" w:eastAsia="宋体"/>
                <w:color w:val="auto"/>
                <w:szCs w:val="21"/>
                <w:highlight w:val="none"/>
                <w:lang w:val="en-US" w:eastAsia="zh-CN"/>
              </w:rPr>
            </w:pPr>
            <w:r>
              <w:rPr>
                <w:rFonts w:ascii="Times New Roman" w:hAnsi="Times New Roman" w:eastAsia="宋体"/>
                <w:color w:val="auto"/>
                <w:szCs w:val="21"/>
                <w:highlight w:val="none"/>
              </w:rPr>
              <w:t>位于</w:t>
            </w:r>
            <w:r>
              <w:rPr>
                <w:rFonts w:hint="eastAsia" w:ascii="Times New Roman" w:hAnsi="Times New Roman" w:eastAsia="宋体"/>
                <w:color w:val="auto"/>
                <w:szCs w:val="21"/>
                <w:highlight w:val="none"/>
                <w:lang w:val="en-US" w:eastAsia="zh-CN"/>
              </w:rPr>
              <w:t>站房东侧设置一般固废间一座20</w:t>
            </w:r>
            <w:r>
              <w:rPr>
                <w:rFonts w:hint="eastAsia" w:ascii="Times New Roman" w:hAnsi="Times New Roman" w:eastAsia="宋体"/>
                <w:color w:val="auto"/>
                <w:szCs w:val="21"/>
                <w:highlight w:val="none"/>
              </w:rPr>
              <w:t>m</w:t>
            </w:r>
            <w:r>
              <w:rPr>
                <w:rFonts w:ascii="Times New Roman" w:hAnsi="Times New Roman" w:eastAsia="宋体"/>
                <w:color w:val="auto"/>
                <w:szCs w:val="21"/>
                <w:highlight w:val="none"/>
                <w:vertAlign w:val="superscript"/>
              </w:rPr>
              <w:t>2</w:t>
            </w:r>
            <w:r>
              <w:rPr>
                <w:rFonts w:hint="eastAsia" w:ascii="Times New Roman" w:hAnsi="Times New Roman" w:eastAsia="宋体"/>
                <w:color w:val="auto"/>
                <w:szCs w:val="21"/>
                <w:highlight w:val="none"/>
                <w:lang w:val="en-US" w:eastAsia="zh-CN"/>
              </w:rPr>
              <w:t>，一般固废收集后暂存一般固废暂存间，后综合处置。</w:t>
            </w:r>
          </w:p>
        </w:tc>
        <w:tc>
          <w:tcPr>
            <w:tcW w:w="610" w:type="pct"/>
            <w:vMerge w:val="continue"/>
            <w:tcBorders>
              <w:tl2br w:val="nil"/>
              <w:tr2bl w:val="nil"/>
            </w:tcBorders>
            <w:noWrap w:val="0"/>
            <w:vAlign w:val="center"/>
          </w:tcPr>
          <w:p w14:paraId="7DE7F0BE">
            <w:pPr>
              <w:adjustRightInd w:val="0"/>
              <w:snapToGrid w:val="0"/>
              <w:jc w:val="center"/>
              <w:textAlignment w:val="baseline"/>
              <w:rPr>
                <w:rFonts w:ascii="Times New Roman" w:hAnsi="Times New Roman" w:eastAsia="宋体"/>
                <w:color w:val="auto"/>
                <w:szCs w:val="21"/>
                <w:highlight w:val="none"/>
              </w:rPr>
            </w:pPr>
          </w:p>
        </w:tc>
      </w:tr>
      <w:tr w14:paraId="6AB00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tcBorders>
              <w:tl2br w:val="nil"/>
              <w:tr2bl w:val="nil"/>
            </w:tcBorders>
            <w:noWrap w:val="0"/>
            <w:vAlign w:val="center"/>
          </w:tcPr>
          <w:p w14:paraId="5F86D1F1">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2B182579">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地下水、土壤</w:t>
            </w:r>
          </w:p>
        </w:tc>
        <w:tc>
          <w:tcPr>
            <w:tcW w:w="3288" w:type="pct"/>
            <w:tcBorders>
              <w:tl2br w:val="nil"/>
              <w:tr2bl w:val="nil"/>
            </w:tcBorders>
            <w:noWrap w:val="0"/>
            <w:vAlign w:val="center"/>
          </w:tcPr>
          <w:p w14:paraId="3407EEB3">
            <w:pPr>
              <w:adjustRightInd w:val="0"/>
              <w:snapToGrid w:val="0"/>
              <w:jc w:val="both"/>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厂区内分区防渗，</w:t>
            </w:r>
          </w:p>
          <w:p w14:paraId="14D04DC2">
            <w:pPr>
              <w:adjustRightInd w:val="0"/>
              <w:snapToGrid w:val="0"/>
              <w:jc w:val="left"/>
              <w:rPr>
                <w:rFonts w:hint="eastAsia" w:ascii="Times New Roman" w:hAnsi="Times New Roman" w:eastAsia="宋体"/>
                <w:color w:val="auto"/>
                <w:szCs w:val="21"/>
                <w:highlight w:val="none"/>
                <w:lang w:val="en-US" w:eastAsia="zh-CN"/>
              </w:rPr>
            </w:pPr>
            <w:r>
              <w:rPr>
                <w:rFonts w:hint="eastAsia" w:ascii="Times New Roman" w:hAnsi="Times New Roman" w:eastAsia="宋体"/>
                <w:b/>
                <w:bCs/>
                <w:color w:val="auto"/>
                <w:szCs w:val="21"/>
                <w:highlight w:val="none"/>
                <w:lang w:val="en-US" w:eastAsia="zh-CN"/>
              </w:rPr>
              <w:t>重点防渗区</w:t>
            </w:r>
            <w:r>
              <w:rPr>
                <w:rFonts w:hint="eastAsia" w:ascii="Times New Roman" w:hAnsi="Times New Roman" w:eastAsia="宋体"/>
                <w:color w:val="auto"/>
                <w:szCs w:val="21"/>
                <w:highlight w:val="none"/>
                <w:lang w:val="en-US" w:eastAsia="zh-CN"/>
              </w:rPr>
              <w:t>：油罐区、危废暂存间、隔油沉淀池、初期雨水收集池等区域重点防渗，采用高密度聚乙烯材料或其他人工防渗材料防渗，防渗系数≤1.0×10</w:t>
            </w:r>
            <w:r>
              <w:rPr>
                <w:rFonts w:hint="eastAsia" w:ascii="Times New Roman" w:hAnsi="Times New Roman" w:eastAsia="宋体"/>
                <w:color w:val="auto"/>
                <w:szCs w:val="21"/>
                <w:highlight w:val="none"/>
                <w:vertAlign w:val="superscript"/>
                <w:lang w:val="en-US" w:eastAsia="zh-CN"/>
              </w:rPr>
              <w:t>-10</w:t>
            </w:r>
            <w:r>
              <w:rPr>
                <w:rFonts w:hint="eastAsia" w:ascii="Times New Roman" w:hAnsi="Times New Roman" w:eastAsia="宋体"/>
                <w:color w:val="auto"/>
                <w:szCs w:val="21"/>
                <w:highlight w:val="none"/>
                <w:lang w:val="en-US" w:eastAsia="zh-CN"/>
              </w:rPr>
              <w:t>cm/s。</w:t>
            </w:r>
          </w:p>
          <w:p w14:paraId="67DA9D0E">
            <w:pPr>
              <w:adjustRightInd w:val="0"/>
              <w:snapToGrid w:val="0"/>
              <w:jc w:val="left"/>
              <w:rPr>
                <w:rFonts w:hint="default" w:ascii="Times New Roman" w:hAnsi="Times New Roman" w:eastAsia="宋体"/>
                <w:color w:val="auto"/>
                <w:szCs w:val="21"/>
                <w:highlight w:val="none"/>
                <w:lang w:val="en-US" w:eastAsia="zh-CN"/>
              </w:rPr>
            </w:pPr>
            <w:r>
              <w:rPr>
                <w:rFonts w:hint="eastAsia" w:ascii="Times New Roman" w:hAnsi="Times New Roman" w:eastAsia="宋体"/>
                <w:b/>
                <w:bCs/>
                <w:color w:val="auto"/>
                <w:szCs w:val="21"/>
                <w:highlight w:val="none"/>
                <w:lang w:val="en-US" w:eastAsia="zh-CN"/>
              </w:rPr>
              <w:t>一般防渗区</w:t>
            </w:r>
            <w:r>
              <w:rPr>
                <w:rFonts w:hint="eastAsia" w:ascii="Times New Roman" w:hAnsi="Times New Roman" w:eastAsia="宋体"/>
                <w:color w:val="auto"/>
                <w:szCs w:val="21"/>
                <w:highlight w:val="none"/>
                <w:lang w:val="en-US" w:eastAsia="zh-CN"/>
              </w:rPr>
              <w:t>：除重点区域的其他生产加工区域、一般工业固体废物暂存处，防渗采用硬化防渗水泥地面防渗，防渗系数≤1.0×10</w:t>
            </w:r>
            <w:r>
              <w:rPr>
                <w:rFonts w:hint="eastAsia" w:ascii="Times New Roman" w:hAnsi="Times New Roman" w:eastAsia="宋体"/>
                <w:color w:val="auto"/>
                <w:szCs w:val="21"/>
                <w:highlight w:val="none"/>
                <w:vertAlign w:val="superscript"/>
                <w:lang w:val="en-US" w:eastAsia="zh-CN"/>
              </w:rPr>
              <w:t>-7</w:t>
            </w:r>
            <w:r>
              <w:rPr>
                <w:rFonts w:hint="eastAsia" w:ascii="Times New Roman" w:hAnsi="Times New Roman" w:eastAsia="宋体"/>
                <w:color w:val="auto"/>
                <w:szCs w:val="21"/>
                <w:highlight w:val="none"/>
                <w:lang w:val="en-US" w:eastAsia="zh-CN"/>
              </w:rPr>
              <w:t>cm/s。</w:t>
            </w:r>
          </w:p>
        </w:tc>
        <w:tc>
          <w:tcPr>
            <w:tcW w:w="610" w:type="pct"/>
            <w:tcBorders>
              <w:tl2br w:val="nil"/>
              <w:tr2bl w:val="nil"/>
            </w:tcBorders>
            <w:noWrap w:val="0"/>
            <w:vAlign w:val="center"/>
          </w:tcPr>
          <w:p w14:paraId="2F271EC8">
            <w:pPr>
              <w:adjustRightInd w:val="0"/>
              <w:snapToGrid w:val="0"/>
              <w:jc w:val="center"/>
              <w:textAlignment w:val="baseline"/>
              <w:rPr>
                <w:rFonts w:ascii="Times New Roman" w:hAnsi="Times New Roman" w:eastAsia="宋体"/>
                <w:color w:val="auto"/>
                <w:szCs w:val="21"/>
                <w:highlight w:val="none"/>
              </w:rPr>
            </w:pPr>
            <w:r>
              <w:rPr>
                <w:rFonts w:ascii="Times New Roman" w:hAnsi="Times New Roman" w:eastAsia="宋体"/>
                <w:color w:val="auto"/>
                <w:szCs w:val="21"/>
                <w:highlight w:val="none"/>
              </w:rPr>
              <w:t>新建</w:t>
            </w:r>
          </w:p>
        </w:tc>
      </w:tr>
      <w:tr w14:paraId="7A1A6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437" w:type="pct"/>
            <w:vMerge w:val="continue"/>
            <w:tcBorders>
              <w:tl2br w:val="nil"/>
              <w:tr2bl w:val="nil"/>
            </w:tcBorders>
            <w:noWrap w:val="0"/>
            <w:vAlign w:val="center"/>
          </w:tcPr>
          <w:p w14:paraId="514D1E0B">
            <w:pPr>
              <w:snapToGrid w:val="0"/>
              <w:jc w:val="center"/>
              <w:rPr>
                <w:rFonts w:ascii="Times New Roman" w:hAnsi="Times New Roman" w:eastAsia="宋体"/>
                <w:color w:val="auto"/>
                <w:szCs w:val="21"/>
                <w:highlight w:val="none"/>
              </w:rPr>
            </w:pPr>
          </w:p>
        </w:tc>
        <w:tc>
          <w:tcPr>
            <w:tcW w:w="664" w:type="pct"/>
            <w:tcBorders>
              <w:tl2br w:val="nil"/>
              <w:tr2bl w:val="nil"/>
            </w:tcBorders>
            <w:noWrap w:val="0"/>
            <w:vAlign w:val="center"/>
          </w:tcPr>
          <w:p w14:paraId="1245A4E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风险防范</w:t>
            </w:r>
          </w:p>
        </w:tc>
        <w:tc>
          <w:tcPr>
            <w:tcW w:w="3288" w:type="pct"/>
            <w:tcBorders>
              <w:tl2br w:val="nil"/>
              <w:tr2bl w:val="nil"/>
            </w:tcBorders>
            <w:noWrap w:val="0"/>
            <w:vAlign w:val="center"/>
          </w:tcPr>
          <w:p w14:paraId="61E08296">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新建一座</w:t>
            </w:r>
            <w:r>
              <w:rPr>
                <w:rFonts w:hint="eastAsia" w:ascii="Times New Roman" w:hAnsi="Times New Roman" w:eastAsia="宋体"/>
                <w:color w:val="auto"/>
                <w:szCs w:val="21"/>
                <w:highlight w:val="none"/>
                <w:lang w:val="en-US" w:eastAsia="zh-CN"/>
              </w:rPr>
              <w:t>30</w:t>
            </w:r>
            <w:r>
              <w:rPr>
                <w:rFonts w:hint="eastAsia" w:ascii="Times New Roman" w:hAnsi="Times New Roman" w:eastAsia="宋体"/>
                <w:color w:val="auto"/>
                <w:szCs w:val="21"/>
                <w:highlight w:val="none"/>
              </w:rPr>
              <w:t>m</w:t>
            </w:r>
            <w:r>
              <w:rPr>
                <w:rFonts w:hint="eastAsia" w:ascii="Times New Roman" w:hAnsi="Times New Roman" w:eastAsia="宋体"/>
                <w:color w:val="auto"/>
                <w:szCs w:val="21"/>
                <w:highlight w:val="none"/>
                <w:vertAlign w:val="superscript"/>
                <w:lang w:val="en-US" w:eastAsia="zh-CN"/>
              </w:rPr>
              <w:t>3</w:t>
            </w:r>
            <w:r>
              <w:rPr>
                <w:rFonts w:hint="eastAsia" w:ascii="Times New Roman" w:hAnsi="Times New Roman" w:eastAsia="宋体"/>
                <w:color w:val="auto"/>
                <w:szCs w:val="21"/>
                <w:highlight w:val="none"/>
              </w:rPr>
              <w:t>的</w:t>
            </w:r>
            <w:r>
              <w:rPr>
                <w:rFonts w:hint="eastAsia" w:ascii="Times New Roman" w:hAnsi="Times New Roman" w:eastAsia="宋体"/>
                <w:color w:val="auto"/>
                <w:szCs w:val="21"/>
                <w:highlight w:val="none"/>
                <w:lang w:val="en-US" w:eastAsia="zh-CN"/>
              </w:rPr>
              <w:t>隔油池（初期雨水池）</w:t>
            </w:r>
            <w:r>
              <w:rPr>
                <w:rFonts w:hint="eastAsia" w:ascii="Times New Roman" w:hAnsi="Times New Roman" w:eastAsia="宋体"/>
                <w:color w:val="auto"/>
                <w:szCs w:val="21"/>
                <w:highlight w:val="none"/>
              </w:rPr>
              <w:t>：罐区地面做好防腐、防渗处理</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szCs w:val="21"/>
                <w:highlight w:val="none"/>
                <w:lang w:val="en-US" w:eastAsia="zh-CN"/>
              </w:rPr>
              <w:t>采用双层罐，</w:t>
            </w:r>
            <w:r>
              <w:rPr>
                <w:rFonts w:hint="eastAsia" w:ascii="Times New Roman" w:hAnsi="Times New Roman" w:eastAsia="宋体"/>
                <w:color w:val="auto"/>
                <w:szCs w:val="21"/>
                <w:highlight w:val="none"/>
              </w:rPr>
              <w:t>四</w:t>
            </w:r>
            <w:r>
              <w:rPr>
                <w:rFonts w:hint="eastAsia" w:ascii="Times New Roman" w:hAnsi="Times New Roman" w:eastAsia="宋体"/>
                <w:color w:val="auto"/>
                <w:szCs w:val="21"/>
                <w:highlight w:val="none"/>
                <w:lang w:val="en-US" w:eastAsia="zh-CN"/>
              </w:rPr>
              <w:t>周</w:t>
            </w:r>
            <w:r>
              <w:rPr>
                <w:rFonts w:hint="eastAsia" w:ascii="Times New Roman" w:hAnsi="Times New Roman" w:eastAsia="宋体"/>
                <w:color w:val="auto"/>
                <w:szCs w:val="21"/>
                <w:highlight w:val="none"/>
              </w:rPr>
              <w:t>设置截流沟与</w:t>
            </w:r>
            <w:r>
              <w:rPr>
                <w:rFonts w:hint="eastAsia" w:ascii="Times New Roman" w:hAnsi="Times New Roman" w:eastAsia="宋体"/>
                <w:color w:val="auto"/>
                <w:szCs w:val="21"/>
                <w:highlight w:val="none"/>
                <w:lang w:val="en-US" w:eastAsia="zh-CN"/>
              </w:rPr>
              <w:t>水封井</w:t>
            </w:r>
            <w:r>
              <w:rPr>
                <w:rFonts w:hint="eastAsia" w:ascii="Times New Roman" w:hAnsi="Times New Roman" w:eastAsia="宋体"/>
                <w:color w:val="auto"/>
                <w:szCs w:val="21"/>
                <w:highlight w:val="none"/>
              </w:rPr>
              <w:t>相连，四周设置1m高</w:t>
            </w:r>
            <w:r>
              <w:rPr>
                <w:rFonts w:hint="eastAsia" w:ascii="Times New Roman" w:hAnsi="Times New Roman" w:eastAsia="宋体"/>
                <w:color w:val="auto"/>
                <w:szCs w:val="21"/>
                <w:highlight w:val="none"/>
                <w:lang w:val="en-US" w:eastAsia="zh-CN"/>
              </w:rPr>
              <w:t>围堰</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szCs w:val="21"/>
                <w:highlight w:val="none"/>
              </w:rPr>
              <w:t>可燃气体</w:t>
            </w:r>
            <w:r>
              <w:rPr>
                <w:rFonts w:hint="eastAsia"/>
                <w:color w:val="auto"/>
                <w:szCs w:val="21"/>
                <w:highlight w:val="none"/>
                <w:lang w:eastAsia="zh-CN"/>
              </w:rPr>
              <w:t>报警器</w:t>
            </w:r>
            <w:r>
              <w:rPr>
                <w:rFonts w:hint="eastAsia" w:ascii="Times New Roman" w:hAnsi="Times New Roman" w:eastAsia="宋体"/>
                <w:color w:val="auto"/>
                <w:szCs w:val="21"/>
                <w:highlight w:val="none"/>
              </w:rPr>
              <w:t>、火灾报警器、液位检测仪、围油设备、收油设备、防护服、防毒面罩、消防设备及其他应急物资。</w:t>
            </w:r>
          </w:p>
        </w:tc>
        <w:tc>
          <w:tcPr>
            <w:tcW w:w="610" w:type="pct"/>
            <w:tcBorders>
              <w:tl2br w:val="nil"/>
              <w:tr2bl w:val="nil"/>
            </w:tcBorders>
            <w:noWrap w:val="0"/>
            <w:vAlign w:val="center"/>
          </w:tcPr>
          <w:p w14:paraId="2C7F9EC8">
            <w:pPr>
              <w:adjustRightInd w:val="0"/>
              <w:snapToGrid w:val="0"/>
              <w:jc w:val="center"/>
              <w:textAlignment w:val="baseline"/>
              <w:rPr>
                <w:rFonts w:ascii="Times New Roman" w:hAnsi="Times New Roman" w:eastAsia="宋体"/>
                <w:color w:val="auto"/>
                <w:szCs w:val="21"/>
                <w:highlight w:val="none"/>
              </w:rPr>
            </w:pPr>
            <w:r>
              <w:rPr>
                <w:rFonts w:ascii="Times New Roman" w:hAnsi="Times New Roman" w:eastAsia="宋体"/>
                <w:color w:val="auto"/>
                <w:szCs w:val="21"/>
                <w:highlight w:val="none"/>
              </w:rPr>
              <w:t>新建</w:t>
            </w:r>
          </w:p>
        </w:tc>
      </w:tr>
      <w:tr w14:paraId="29CF3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437" w:type="pct"/>
            <w:vMerge w:val="continue"/>
            <w:tcBorders>
              <w:tl2br w:val="nil"/>
              <w:tr2bl w:val="nil"/>
            </w:tcBorders>
            <w:noWrap w:val="0"/>
            <w:vAlign w:val="center"/>
          </w:tcPr>
          <w:p w14:paraId="74D736F2">
            <w:pPr>
              <w:snapToGrid w:val="0"/>
              <w:jc w:val="center"/>
              <w:rPr>
                <w:rFonts w:ascii="Times New Roman" w:hAnsi="Times New Roman" w:eastAsia="宋体"/>
                <w:color w:val="auto"/>
                <w:szCs w:val="21"/>
                <w:highlight w:val="none"/>
              </w:rPr>
            </w:pPr>
            <w:bookmarkStart w:id="177" w:name="_Toc152922001"/>
            <w:bookmarkStart w:id="178" w:name="_Toc152923276"/>
            <w:bookmarkStart w:id="179" w:name="_Toc152921636"/>
            <w:bookmarkStart w:id="180" w:name="_Toc117150224"/>
            <w:bookmarkStart w:id="181" w:name="_Toc152922595"/>
          </w:p>
        </w:tc>
        <w:tc>
          <w:tcPr>
            <w:tcW w:w="664" w:type="pct"/>
            <w:tcBorders>
              <w:tl2br w:val="nil"/>
              <w:tr2bl w:val="nil"/>
            </w:tcBorders>
            <w:noWrap w:val="0"/>
            <w:vAlign w:val="center"/>
          </w:tcPr>
          <w:p w14:paraId="1A83AC83">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环境管理</w:t>
            </w:r>
          </w:p>
        </w:tc>
        <w:tc>
          <w:tcPr>
            <w:tcW w:w="3288" w:type="pct"/>
            <w:tcBorders>
              <w:tl2br w:val="nil"/>
              <w:tr2bl w:val="nil"/>
            </w:tcBorders>
            <w:noWrap w:val="0"/>
            <w:vAlign w:val="center"/>
          </w:tcPr>
          <w:p w14:paraId="27C454EA">
            <w:pPr>
              <w:snapToGrid w:val="0"/>
              <w:jc w:val="left"/>
              <w:rPr>
                <w:rFonts w:ascii="Times New Roman" w:hAnsi="Times New Roman" w:eastAsia="宋体"/>
                <w:color w:val="auto"/>
                <w:szCs w:val="21"/>
                <w:highlight w:val="none"/>
              </w:rPr>
            </w:pPr>
            <w:r>
              <w:rPr>
                <w:rFonts w:hint="default" w:ascii="Times New Roman" w:hAnsi="Times New Roman" w:cs="Times New Roman"/>
                <w:color w:val="auto"/>
                <w:sz w:val="21"/>
                <w:szCs w:val="21"/>
                <w:highlight w:val="none"/>
              </w:rPr>
              <w:t xml:space="preserve">企业设置专职环保人员，做好生产设备及污染治理设施运行台账，危险废物的记录和货单在危险废物取回后应继续保留5年，转移联单保留不少于5年。根据《排污许可证申请与核发技术规范 </w:t>
            </w:r>
            <w:r>
              <w:rPr>
                <w:rFonts w:hint="eastAsia" w:ascii="Times New Roman" w:hAnsi="Times New Roman" w:cs="Times New Roman"/>
                <w:color w:val="auto"/>
                <w:sz w:val="21"/>
                <w:szCs w:val="21"/>
                <w:highlight w:val="none"/>
                <w:lang w:val="en-US" w:eastAsia="zh-CN"/>
              </w:rPr>
              <w:t>石化工业</w:t>
            </w:r>
            <w:r>
              <w:rPr>
                <w:rFonts w:hint="default" w:ascii="Times New Roman" w:hAnsi="Times New Roman" w:cs="Times New Roman"/>
                <w:color w:val="auto"/>
                <w:sz w:val="21"/>
                <w:szCs w:val="21"/>
                <w:highlight w:val="none"/>
              </w:rPr>
              <w:t>》（HJ1124—2020）要求，做好自行监测工作，并规范设置标识标牌及规范化排污口等。</w:t>
            </w:r>
          </w:p>
        </w:tc>
        <w:tc>
          <w:tcPr>
            <w:tcW w:w="610" w:type="pct"/>
            <w:tcBorders>
              <w:tl2br w:val="nil"/>
              <w:tr2bl w:val="nil"/>
            </w:tcBorders>
            <w:noWrap w:val="0"/>
            <w:vAlign w:val="center"/>
          </w:tcPr>
          <w:p w14:paraId="72CD9E3F">
            <w:pPr>
              <w:adjustRightInd w:val="0"/>
              <w:snapToGrid w:val="0"/>
              <w:jc w:val="center"/>
              <w:textAlignment w:val="baseline"/>
              <w:rPr>
                <w:rFonts w:ascii="Times New Roman" w:hAnsi="Times New Roman" w:eastAsia="宋体"/>
                <w:color w:val="auto"/>
                <w:szCs w:val="21"/>
                <w:highlight w:val="none"/>
              </w:rPr>
            </w:pPr>
            <w:r>
              <w:rPr>
                <w:rFonts w:ascii="Times New Roman" w:hAnsi="Times New Roman" w:eastAsia="宋体"/>
                <w:color w:val="auto"/>
                <w:szCs w:val="21"/>
                <w:highlight w:val="none"/>
              </w:rPr>
              <w:t>新建</w:t>
            </w:r>
          </w:p>
        </w:tc>
      </w:tr>
    </w:tbl>
    <w:p w14:paraId="66292AC9">
      <w:pPr>
        <w:pStyle w:val="4"/>
        <w:spacing w:after="156"/>
        <w:rPr>
          <w:color w:val="auto"/>
          <w:highlight w:val="none"/>
        </w:rPr>
      </w:pPr>
      <w:r>
        <w:rPr>
          <w:color w:val="auto"/>
          <w:highlight w:val="none"/>
        </w:rPr>
        <w:t>3.</w:t>
      </w:r>
      <w:r>
        <w:rPr>
          <w:rFonts w:hint="eastAsia"/>
          <w:color w:val="auto"/>
          <w:highlight w:val="none"/>
          <w:lang w:val="en-US" w:eastAsia="zh-CN"/>
        </w:rPr>
        <w:t>1</w:t>
      </w:r>
      <w:r>
        <w:rPr>
          <w:color w:val="auto"/>
          <w:highlight w:val="none"/>
        </w:rPr>
        <w:t>.3产品方案</w:t>
      </w:r>
      <w:bookmarkEnd w:id="177"/>
      <w:bookmarkEnd w:id="178"/>
      <w:bookmarkEnd w:id="179"/>
      <w:bookmarkEnd w:id="180"/>
      <w:bookmarkEnd w:id="181"/>
    </w:p>
    <w:p w14:paraId="70B3C73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9"/>
        <w:rPr>
          <w:rFonts w:hint="eastAsia" w:ascii="Times New Roman" w:hAnsi="Times New Roman" w:eastAsia="宋体"/>
          <w:color w:val="auto"/>
          <w:sz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本次建设制氢</w:t>
      </w:r>
      <w:r>
        <w:rPr>
          <w:rFonts w:hint="eastAsia" w:ascii="Times New Roman" w:hAnsi="Times New Roman" w:eastAsia="宋体"/>
          <w:color w:val="auto"/>
          <w:sz w:val="24"/>
          <w:highlight w:val="none"/>
          <w:lang w:val="en-US" w:eastAsia="zh-CN"/>
        </w:rPr>
        <w:t>加氢（含充装）、光电充、加油站合建站。根据《汽车加油加气加氢站技术标准》（GB10516-2021），本次建设加氢合建站属于二级合建站。</w:t>
      </w:r>
    </w:p>
    <w:p w14:paraId="3DDD9715">
      <w:pPr>
        <w:spacing w:line="360" w:lineRule="auto"/>
        <w:ind w:firstLine="482" w:firstLineChars="200"/>
        <w:jc w:val="center"/>
        <w:rPr>
          <w:rFonts w:ascii="Times New Roman" w:hAnsi="Times New Roman" w:eastAsia="宋体"/>
          <w:b/>
          <w:color w:val="auto"/>
          <w:sz w:val="24"/>
          <w:highlight w:val="none"/>
        </w:rPr>
      </w:pPr>
    </w:p>
    <w:p w14:paraId="2D11B4B3">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表3.</w:t>
      </w:r>
      <w:r>
        <w:rPr>
          <w:rFonts w:hint="eastAsia" w:ascii="Times New Roman" w:hAnsi="Times New Roman" w:eastAsia="宋体"/>
          <w:b/>
          <w:color w:val="auto"/>
          <w:sz w:val="24"/>
          <w:highlight w:val="none"/>
          <w:lang w:val="en-US" w:eastAsia="zh-CN"/>
        </w:rPr>
        <w:t>1</w:t>
      </w:r>
      <w:r>
        <w:rPr>
          <w:rFonts w:ascii="Times New Roman" w:hAnsi="Times New Roman" w:eastAsia="宋体"/>
          <w:b/>
          <w:color w:val="auto"/>
          <w:sz w:val="24"/>
          <w:highlight w:val="none"/>
        </w:rPr>
        <w:t>.3-1</w:t>
      </w:r>
      <w:r>
        <w:rPr>
          <w:rFonts w:hint="eastAsia"/>
          <w:b/>
          <w:color w:val="auto"/>
          <w:sz w:val="24"/>
          <w:highlight w:val="none"/>
          <w:lang w:val="en-US" w:eastAsia="zh-CN"/>
        </w:rPr>
        <w:t xml:space="preserve">  </w:t>
      </w:r>
      <w:r>
        <w:rPr>
          <w:rFonts w:hint="eastAsia" w:ascii="Times New Roman" w:hAnsi="Times New Roman" w:eastAsia="宋体"/>
          <w:b/>
          <w:color w:val="auto"/>
          <w:sz w:val="24"/>
          <w:highlight w:val="none"/>
          <w:lang w:val="en-US" w:eastAsia="zh-CN"/>
        </w:rPr>
        <w:t>本次合建站等级判定</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1464"/>
        <w:gridCol w:w="2796"/>
        <w:gridCol w:w="2130"/>
        <w:gridCol w:w="2132"/>
      </w:tblGrid>
      <w:tr w14:paraId="7897A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7" w:hRule="atLeast"/>
          <w:jc w:val="center"/>
        </w:trPr>
        <w:tc>
          <w:tcPr>
            <w:tcW w:w="1464" w:type="dxa"/>
            <w:tcBorders>
              <w:tl2br w:val="nil"/>
              <w:tr2bl w:val="nil"/>
            </w:tcBorders>
            <w:noWrap w:val="0"/>
            <w:vAlign w:val="center"/>
          </w:tcPr>
          <w:p w14:paraId="13CD240E">
            <w:pPr>
              <w:snapToGrid w:val="0"/>
              <w:jc w:val="center"/>
              <w:rPr>
                <w:rFonts w:hint="default"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合建站等级</w:t>
            </w:r>
          </w:p>
        </w:tc>
        <w:tc>
          <w:tcPr>
            <w:tcW w:w="2796" w:type="dxa"/>
            <w:tcBorders>
              <w:tl2br w:val="nil"/>
              <w:tr2bl w:val="nil"/>
            </w:tcBorders>
            <w:noWrap w:val="0"/>
            <w:vAlign w:val="center"/>
          </w:tcPr>
          <w:p w14:paraId="58964B35">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rPr>
              <w:t>油罐总容积与氢气总储量计算公式</w:t>
            </w:r>
          </w:p>
        </w:tc>
        <w:tc>
          <w:tcPr>
            <w:tcW w:w="2130" w:type="dxa"/>
            <w:tcBorders>
              <w:tl2br w:val="nil"/>
              <w:tr2bl w:val="nil"/>
            </w:tcBorders>
            <w:noWrap w:val="0"/>
            <w:vAlign w:val="center"/>
          </w:tcPr>
          <w:p w14:paraId="339A3C99">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rPr>
              <w:t>油</w:t>
            </w:r>
            <w:r>
              <w:rPr>
                <w:rFonts w:hint="eastAsia" w:ascii="Times New Roman" w:hAnsi="Times New Roman" w:eastAsia="宋体"/>
                <w:b/>
                <w:bCs w:val="0"/>
                <w:color w:val="auto"/>
                <w:szCs w:val="21"/>
                <w:highlight w:val="none"/>
              </w:rPr>
              <w:t>品储罐单罐容积（</w:t>
            </w:r>
            <w:r>
              <w:rPr>
                <w:rFonts w:hint="eastAsia" w:ascii="Times New Roman" w:hAnsi="Times New Roman" w:eastAsia="宋体" w:cs="Times New Roman"/>
                <w:b/>
                <w:bCs w:val="0"/>
                <w:color w:val="auto"/>
                <w:sz w:val="21"/>
                <w:szCs w:val="21"/>
                <w:highlight w:val="none"/>
                <w:vertAlign w:val="baseline"/>
                <w:lang w:val="en-US" w:eastAsia="zh-CN"/>
              </w:rPr>
              <w:t>≤30</w:t>
            </w:r>
            <w:r>
              <w:rPr>
                <w:rFonts w:hint="eastAsia" w:cs="Times New Roman"/>
                <w:b/>
                <w:bCs w:val="0"/>
                <w:color w:val="auto"/>
                <w:sz w:val="21"/>
                <w:szCs w:val="21"/>
                <w:highlight w:val="none"/>
                <w:vertAlign w:val="baseline"/>
                <w:lang w:val="en-US" w:eastAsia="zh-CN"/>
              </w:rPr>
              <w:t>）</w:t>
            </w:r>
          </w:p>
        </w:tc>
        <w:tc>
          <w:tcPr>
            <w:tcW w:w="2132" w:type="dxa"/>
            <w:tcBorders>
              <w:tl2br w:val="nil"/>
              <w:tr2bl w:val="nil"/>
            </w:tcBorders>
            <w:noWrap w:val="0"/>
            <w:vAlign w:val="center"/>
          </w:tcPr>
          <w:p w14:paraId="5D11301C">
            <w:pPr>
              <w:snapToGrid w:val="0"/>
              <w:jc w:val="center"/>
              <w:rPr>
                <w:rFonts w:hint="default"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本项目判定</w:t>
            </w:r>
          </w:p>
        </w:tc>
      </w:tr>
      <w:tr w14:paraId="6E58D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63" w:hRule="atLeast"/>
          <w:jc w:val="center"/>
        </w:trPr>
        <w:tc>
          <w:tcPr>
            <w:tcW w:w="1464" w:type="dxa"/>
            <w:tcBorders>
              <w:tl2br w:val="nil"/>
              <w:tr2bl w:val="nil"/>
            </w:tcBorders>
            <w:noWrap w:val="0"/>
            <w:vAlign w:val="center"/>
          </w:tcPr>
          <w:p w14:paraId="60AA6B74">
            <w:pPr>
              <w:snapToGrid w:val="0"/>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lang w:val="en-US" w:eastAsia="zh-CN"/>
              </w:rPr>
              <w:t>一级</w:t>
            </w:r>
          </w:p>
        </w:tc>
        <w:tc>
          <w:tcPr>
            <w:tcW w:w="2796" w:type="dxa"/>
            <w:tcBorders>
              <w:tl2br w:val="nil"/>
              <w:tr2bl w:val="nil"/>
            </w:tcBorders>
            <w:noWrap w:val="0"/>
            <w:vAlign w:val="center"/>
          </w:tcPr>
          <w:p w14:paraId="62EDFF0D">
            <w:pPr>
              <w:snapToGrid w:val="0"/>
              <w:jc w:val="center"/>
              <w:rPr>
                <w:rFonts w:hint="default" w:ascii="Times New Roman" w:hAnsi="Times New Roman" w:eastAsia="宋体"/>
                <w:color w:val="auto"/>
                <w:kern w:val="0"/>
                <w:szCs w:val="21"/>
                <w:highlight w:val="none"/>
                <w:lang w:val="en-US" w:eastAsia="zh-CN"/>
              </w:rPr>
            </w:pPr>
            <w:r>
              <w:rPr>
                <w:rFonts w:hint="default" w:ascii="Times New Roman" w:hAnsi="Times New Roman" w:eastAsia="宋体" w:cs="Times New Roman"/>
                <w:color w:val="auto"/>
                <w:sz w:val="21"/>
                <w:szCs w:val="21"/>
                <w:highlight w:val="none"/>
                <w:lang w:val="en-US" w:eastAsia="zh-CN"/>
              </w:rPr>
              <w:t>V</w:t>
            </w:r>
            <w:r>
              <w:rPr>
                <w:rFonts w:hint="eastAsia" w:ascii="Times New Roman" w:hAnsi="Times New Roman" w:eastAsia="宋体" w:cs="Times New Roman"/>
                <w:color w:val="auto"/>
                <w:sz w:val="21"/>
                <w:szCs w:val="21"/>
                <w:highlight w:val="none"/>
                <w:vertAlign w:val="subscript"/>
                <w:lang w:val="en-US" w:eastAsia="zh-CN"/>
              </w:rPr>
              <w:t>O1</w:t>
            </w:r>
            <w:r>
              <w:rPr>
                <w:rFonts w:hint="eastAsia" w:ascii="Times New Roman" w:hAnsi="Times New Roman" w:eastAsia="宋体" w:cs="Times New Roman"/>
                <w:color w:val="auto"/>
                <w:sz w:val="21"/>
                <w:szCs w:val="21"/>
                <w:highlight w:val="none"/>
                <w:vertAlign w:val="baseline"/>
                <w:lang w:val="en-US" w:eastAsia="zh-CN"/>
              </w:rPr>
              <w:t>/240+</w:t>
            </w: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vertAlign w:val="subscript"/>
                <w:lang w:val="en-US" w:eastAsia="zh-CN"/>
              </w:rPr>
              <w:t>H1</w:t>
            </w:r>
            <w:r>
              <w:rPr>
                <w:rFonts w:hint="eastAsia" w:ascii="Times New Roman" w:hAnsi="Times New Roman" w:eastAsia="宋体" w:cs="Times New Roman"/>
                <w:color w:val="auto"/>
                <w:sz w:val="21"/>
                <w:szCs w:val="21"/>
                <w:highlight w:val="none"/>
                <w:vertAlign w:val="baseline"/>
                <w:lang w:val="en-US" w:eastAsia="zh-CN"/>
              </w:rPr>
              <w:t>/8000≤1</w:t>
            </w:r>
          </w:p>
        </w:tc>
        <w:tc>
          <w:tcPr>
            <w:tcW w:w="2130" w:type="dxa"/>
            <w:tcBorders>
              <w:tl2br w:val="nil"/>
              <w:tr2bl w:val="nil"/>
            </w:tcBorders>
            <w:noWrap w:val="0"/>
            <w:vAlign w:val="center"/>
          </w:tcPr>
          <w:p w14:paraId="7791543E">
            <w:pPr>
              <w:snapToGrid w:val="0"/>
              <w:jc w:val="center"/>
              <w:rPr>
                <w:rFonts w:hint="default" w:ascii="Times New Roman" w:hAnsi="Times New Roman" w:eastAsia="宋体"/>
                <w:b w:val="0"/>
                <w:bCs/>
                <w:color w:val="auto"/>
                <w:szCs w:val="21"/>
                <w:highlight w:val="none"/>
                <w:lang w:val="en-US"/>
              </w:rPr>
            </w:pPr>
            <w:r>
              <w:rPr>
                <w:rFonts w:hint="eastAsia" w:ascii="Times New Roman" w:hAnsi="Times New Roman" w:eastAsia="宋体" w:cs="Times New Roman"/>
                <w:color w:val="auto"/>
                <w:sz w:val="21"/>
                <w:szCs w:val="21"/>
                <w:highlight w:val="none"/>
                <w:vertAlign w:val="baseline"/>
                <w:lang w:val="en-US" w:eastAsia="zh-CN"/>
              </w:rPr>
              <w:t>≤50</w:t>
            </w:r>
          </w:p>
        </w:tc>
        <w:tc>
          <w:tcPr>
            <w:tcW w:w="2132" w:type="dxa"/>
            <w:vMerge w:val="restart"/>
            <w:tcBorders>
              <w:tl2br w:val="nil"/>
              <w:tr2bl w:val="nil"/>
            </w:tcBorders>
            <w:noWrap w:val="0"/>
            <w:vAlign w:val="center"/>
          </w:tcPr>
          <w:p w14:paraId="0FB52C57">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本项目设置3个储油罐，两个汽油罐和一个柴油罐，单个容积均为30</w:t>
            </w:r>
            <w:r>
              <w:rPr>
                <w:rFonts w:hint="eastAsia" w:ascii="Times New Roman" w:hAnsi="Times New Roman" w:eastAsia="宋体" w:cs="Times New Roman"/>
                <w:color w:val="auto"/>
                <w:sz w:val="21"/>
                <w:szCs w:val="21"/>
                <w:highlight w:val="none"/>
                <w:vertAlign w:val="baseline"/>
                <w:lang w:val="en-US" w:eastAsia="zh-CN"/>
              </w:rPr>
              <w:t>，</w:t>
            </w:r>
            <w:r>
              <w:rPr>
                <w:rFonts w:hint="default" w:ascii="Times New Roman" w:hAnsi="Times New Roman" w:eastAsia="宋体" w:cs="Times New Roman"/>
                <w:color w:val="auto"/>
                <w:sz w:val="21"/>
                <w:szCs w:val="21"/>
                <w:highlight w:val="none"/>
                <w:lang w:val="en-US" w:eastAsia="zh-CN"/>
              </w:rPr>
              <w:t>V</w:t>
            </w:r>
            <w:r>
              <w:rPr>
                <w:rFonts w:hint="eastAsia" w:ascii="Times New Roman" w:hAnsi="Times New Roman" w:eastAsia="宋体" w:cs="Times New Roman"/>
                <w:color w:val="auto"/>
                <w:sz w:val="21"/>
                <w:szCs w:val="21"/>
                <w:highlight w:val="none"/>
                <w:vertAlign w:val="subscript"/>
                <w:lang w:val="en-US" w:eastAsia="zh-CN"/>
              </w:rPr>
              <w:t>O=</w:t>
            </w:r>
            <w:r>
              <w:rPr>
                <w:rFonts w:hint="eastAsia" w:ascii="Times New Roman" w:hAnsi="Times New Roman" w:eastAsia="宋体" w:cs="Times New Roman"/>
                <w:color w:val="auto"/>
                <w:sz w:val="21"/>
                <w:szCs w:val="21"/>
                <w:highlight w:val="none"/>
                <w:vertAlign w:val="baseline"/>
                <w:lang w:val="en-US" w:eastAsia="zh-CN"/>
              </w:rPr>
              <w:t>75，</w:t>
            </w: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vertAlign w:val="subscript"/>
                <w:lang w:val="en-US" w:eastAsia="zh-CN"/>
              </w:rPr>
              <w:t>H</w:t>
            </w:r>
            <w:r>
              <w:rPr>
                <w:rFonts w:hint="eastAsia" w:ascii="Times New Roman" w:hAnsi="Times New Roman" w:eastAsia="宋体" w:cs="Times New Roman"/>
                <w:color w:val="auto"/>
                <w:sz w:val="21"/>
                <w:szCs w:val="21"/>
                <w:highlight w:val="none"/>
                <w:vertAlign w:val="baseline"/>
                <w:lang w:val="en-US" w:eastAsia="zh-CN"/>
              </w:rPr>
              <w:t>站内日最大产能为3000kg，因此本合建站属于二级站</w:t>
            </w:r>
          </w:p>
        </w:tc>
      </w:tr>
      <w:tr w14:paraId="388AD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414" w:hRule="atLeast"/>
          <w:jc w:val="center"/>
        </w:trPr>
        <w:tc>
          <w:tcPr>
            <w:tcW w:w="1464" w:type="dxa"/>
            <w:tcBorders>
              <w:tl2br w:val="nil"/>
              <w:tr2bl w:val="nil"/>
            </w:tcBorders>
            <w:noWrap w:val="0"/>
            <w:vAlign w:val="center"/>
          </w:tcPr>
          <w:p w14:paraId="41D00511">
            <w:pPr>
              <w:snapToGrid w:val="0"/>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lang w:val="en-US" w:eastAsia="zh-CN"/>
              </w:rPr>
              <w:t>二级</w:t>
            </w:r>
          </w:p>
        </w:tc>
        <w:tc>
          <w:tcPr>
            <w:tcW w:w="2796" w:type="dxa"/>
            <w:tcBorders>
              <w:tl2br w:val="nil"/>
              <w:tr2bl w:val="nil"/>
            </w:tcBorders>
            <w:noWrap w:val="0"/>
            <w:vAlign w:val="center"/>
          </w:tcPr>
          <w:p w14:paraId="7DCB61F5">
            <w:pPr>
              <w:snapToGrid w:val="0"/>
              <w:jc w:val="center"/>
              <w:rPr>
                <w:rFonts w:hint="eastAsia" w:ascii="Times New Roman" w:hAnsi="Times New Roman" w:eastAsia="宋体"/>
                <w:color w:val="auto"/>
                <w:kern w:val="0"/>
                <w:szCs w:val="21"/>
                <w:highlight w:val="none"/>
                <w:lang w:val="en-US" w:eastAsia="zh-CN"/>
              </w:rPr>
            </w:pPr>
            <w:r>
              <w:rPr>
                <w:rFonts w:hint="default" w:ascii="Times New Roman" w:hAnsi="Times New Roman" w:eastAsia="宋体" w:cs="Times New Roman"/>
                <w:color w:val="auto"/>
                <w:sz w:val="21"/>
                <w:szCs w:val="21"/>
                <w:highlight w:val="none"/>
                <w:lang w:val="en-US" w:eastAsia="zh-CN"/>
              </w:rPr>
              <w:t>V</w:t>
            </w:r>
            <w:r>
              <w:rPr>
                <w:rFonts w:hint="eastAsia" w:ascii="Times New Roman" w:hAnsi="Times New Roman" w:eastAsia="宋体" w:cs="Times New Roman"/>
                <w:color w:val="auto"/>
                <w:sz w:val="21"/>
                <w:szCs w:val="21"/>
                <w:highlight w:val="none"/>
                <w:vertAlign w:val="subscript"/>
                <w:lang w:val="en-US" w:eastAsia="zh-CN"/>
              </w:rPr>
              <w:t>O2</w:t>
            </w:r>
            <w:r>
              <w:rPr>
                <w:rFonts w:hint="eastAsia" w:ascii="Times New Roman" w:hAnsi="Times New Roman" w:eastAsia="宋体" w:cs="Times New Roman"/>
                <w:color w:val="auto"/>
                <w:sz w:val="21"/>
                <w:szCs w:val="21"/>
                <w:highlight w:val="none"/>
                <w:vertAlign w:val="baseline"/>
                <w:lang w:val="en-US" w:eastAsia="zh-CN"/>
              </w:rPr>
              <w:t>/180+</w:t>
            </w: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vertAlign w:val="subscript"/>
                <w:lang w:val="en-US" w:eastAsia="zh-CN"/>
              </w:rPr>
              <w:t>H2</w:t>
            </w:r>
            <w:r>
              <w:rPr>
                <w:rFonts w:hint="eastAsia" w:ascii="Times New Roman" w:hAnsi="Times New Roman" w:eastAsia="宋体" w:cs="Times New Roman"/>
                <w:color w:val="auto"/>
                <w:sz w:val="21"/>
                <w:szCs w:val="21"/>
                <w:highlight w:val="none"/>
                <w:vertAlign w:val="baseline"/>
                <w:lang w:val="en-US" w:eastAsia="zh-CN"/>
              </w:rPr>
              <w:t>/4000≤1</w:t>
            </w:r>
          </w:p>
        </w:tc>
        <w:tc>
          <w:tcPr>
            <w:tcW w:w="2130" w:type="dxa"/>
            <w:tcBorders>
              <w:tl2br w:val="nil"/>
              <w:tr2bl w:val="nil"/>
            </w:tcBorders>
            <w:noWrap w:val="0"/>
            <w:vAlign w:val="center"/>
          </w:tcPr>
          <w:p w14:paraId="4C62887C">
            <w:pPr>
              <w:snapToGrid w:val="0"/>
              <w:jc w:val="center"/>
              <w:rPr>
                <w:rFonts w:hint="default" w:ascii="Times New Roman" w:hAnsi="Times New Roman" w:eastAsia="宋体"/>
                <w:b w:val="0"/>
                <w:bCs/>
                <w:color w:val="auto"/>
                <w:szCs w:val="21"/>
                <w:highlight w:val="none"/>
                <w:lang w:val="en-US"/>
              </w:rPr>
            </w:pPr>
            <w:r>
              <w:rPr>
                <w:rFonts w:hint="eastAsia" w:ascii="Times New Roman" w:hAnsi="Times New Roman" w:eastAsia="宋体" w:cs="Times New Roman"/>
                <w:color w:val="auto"/>
                <w:sz w:val="21"/>
                <w:szCs w:val="21"/>
                <w:highlight w:val="none"/>
                <w:vertAlign w:val="baseline"/>
                <w:lang w:val="en-US" w:eastAsia="zh-CN"/>
              </w:rPr>
              <w:t>汽油罐≤30、柴油罐≤50</w:t>
            </w:r>
          </w:p>
        </w:tc>
        <w:tc>
          <w:tcPr>
            <w:tcW w:w="2132" w:type="dxa"/>
            <w:vMerge w:val="continue"/>
            <w:tcBorders>
              <w:tl2br w:val="nil"/>
              <w:tr2bl w:val="nil"/>
            </w:tcBorders>
            <w:noWrap w:val="0"/>
            <w:vAlign w:val="center"/>
          </w:tcPr>
          <w:p w14:paraId="3E83FDE3">
            <w:pPr>
              <w:snapToGrid w:val="0"/>
              <w:jc w:val="center"/>
              <w:rPr>
                <w:rFonts w:hint="default" w:ascii="Times New Roman" w:hAnsi="Times New Roman" w:eastAsia="宋体"/>
                <w:bCs/>
                <w:color w:val="auto"/>
                <w:szCs w:val="21"/>
                <w:highlight w:val="none"/>
                <w:lang w:val="en-US" w:eastAsia="zh-CN"/>
              </w:rPr>
            </w:pPr>
          </w:p>
        </w:tc>
      </w:tr>
      <w:tr w14:paraId="4BD65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414" w:hRule="atLeast"/>
          <w:jc w:val="center"/>
        </w:trPr>
        <w:tc>
          <w:tcPr>
            <w:tcW w:w="1464" w:type="dxa"/>
            <w:tcBorders>
              <w:tl2br w:val="nil"/>
              <w:tr2bl w:val="nil"/>
            </w:tcBorders>
            <w:noWrap w:val="0"/>
            <w:vAlign w:val="center"/>
          </w:tcPr>
          <w:p w14:paraId="5FD14B4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三级</w:t>
            </w:r>
          </w:p>
        </w:tc>
        <w:tc>
          <w:tcPr>
            <w:tcW w:w="2796" w:type="dxa"/>
            <w:tcBorders>
              <w:tl2br w:val="nil"/>
              <w:tr2bl w:val="nil"/>
            </w:tcBorders>
            <w:noWrap w:val="0"/>
            <w:vAlign w:val="center"/>
          </w:tcPr>
          <w:p w14:paraId="68F2C033">
            <w:pPr>
              <w:snapToGrid w:val="0"/>
              <w:jc w:val="center"/>
              <w:rPr>
                <w:rFonts w:hint="eastAsia" w:ascii="Times New Roman" w:hAnsi="Times New Roman" w:eastAsia="宋体"/>
                <w:color w:val="auto"/>
                <w:kern w:val="0"/>
                <w:szCs w:val="21"/>
                <w:highlight w:val="none"/>
                <w:lang w:val="en-US" w:eastAsia="zh-CN"/>
              </w:rPr>
            </w:pPr>
            <w:r>
              <w:rPr>
                <w:rFonts w:hint="default" w:ascii="Times New Roman" w:hAnsi="Times New Roman" w:eastAsia="宋体" w:cs="Times New Roman"/>
                <w:color w:val="auto"/>
                <w:sz w:val="21"/>
                <w:szCs w:val="21"/>
                <w:highlight w:val="none"/>
                <w:lang w:val="en-US" w:eastAsia="zh-CN"/>
              </w:rPr>
              <w:t>V</w:t>
            </w:r>
            <w:r>
              <w:rPr>
                <w:rFonts w:hint="eastAsia" w:ascii="Times New Roman" w:hAnsi="Times New Roman" w:eastAsia="宋体" w:cs="Times New Roman"/>
                <w:color w:val="auto"/>
                <w:sz w:val="21"/>
                <w:szCs w:val="21"/>
                <w:highlight w:val="none"/>
                <w:vertAlign w:val="subscript"/>
                <w:lang w:val="en-US" w:eastAsia="zh-CN"/>
              </w:rPr>
              <w:t>O3</w:t>
            </w:r>
            <w:r>
              <w:rPr>
                <w:rFonts w:hint="eastAsia" w:ascii="Times New Roman" w:hAnsi="Times New Roman" w:eastAsia="宋体" w:cs="Times New Roman"/>
                <w:color w:val="auto"/>
                <w:sz w:val="21"/>
                <w:szCs w:val="21"/>
                <w:highlight w:val="none"/>
                <w:vertAlign w:val="baseline"/>
                <w:lang w:val="en-US" w:eastAsia="zh-CN"/>
              </w:rPr>
              <w:t>/120+</w:t>
            </w: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vertAlign w:val="subscript"/>
                <w:lang w:val="en-US" w:eastAsia="zh-CN"/>
              </w:rPr>
              <w:t>H3</w:t>
            </w:r>
            <w:r>
              <w:rPr>
                <w:rFonts w:hint="eastAsia" w:ascii="Times New Roman" w:hAnsi="Times New Roman" w:eastAsia="宋体" w:cs="Times New Roman"/>
                <w:color w:val="auto"/>
                <w:sz w:val="21"/>
                <w:szCs w:val="21"/>
                <w:highlight w:val="none"/>
                <w:vertAlign w:val="baseline"/>
                <w:lang w:val="en-US" w:eastAsia="zh-CN"/>
              </w:rPr>
              <w:t>/2000≤1</w:t>
            </w:r>
          </w:p>
        </w:tc>
        <w:tc>
          <w:tcPr>
            <w:tcW w:w="2130" w:type="dxa"/>
            <w:tcBorders>
              <w:tl2br w:val="nil"/>
              <w:tr2bl w:val="nil"/>
            </w:tcBorders>
            <w:noWrap w:val="0"/>
            <w:vAlign w:val="center"/>
          </w:tcPr>
          <w:p w14:paraId="13F1EA68">
            <w:pPr>
              <w:snapToGrid w:val="0"/>
              <w:jc w:val="center"/>
              <w:rPr>
                <w:rFonts w:hint="eastAsia" w:ascii="Times New Roman" w:hAnsi="Times New Roman" w:eastAsia="宋体"/>
                <w:b w:val="0"/>
                <w:bCs/>
                <w:color w:val="auto"/>
                <w:szCs w:val="21"/>
                <w:highlight w:val="none"/>
                <w:lang w:val="en-US" w:eastAsia="zh-CN"/>
              </w:rPr>
            </w:pPr>
            <w:r>
              <w:rPr>
                <w:rFonts w:hint="eastAsia" w:ascii="Times New Roman" w:hAnsi="Times New Roman" w:eastAsia="宋体" w:cs="Times New Roman"/>
                <w:color w:val="auto"/>
                <w:sz w:val="21"/>
                <w:szCs w:val="21"/>
                <w:highlight w:val="none"/>
                <w:vertAlign w:val="baseline"/>
                <w:lang w:val="en-US" w:eastAsia="zh-CN"/>
              </w:rPr>
              <w:t>≤30</w:t>
            </w:r>
          </w:p>
        </w:tc>
        <w:tc>
          <w:tcPr>
            <w:tcW w:w="2132" w:type="dxa"/>
            <w:vMerge w:val="continue"/>
            <w:tcBorders>
              <w:tl2br w:val="nil"/>
              <w:tr2bl w:val="nil"/>
            </w:tcBorders>
            <w:noWrap w:val="0"/>
            <w:vAlign w:val="center"/>
          </w:tcPr>
          <w:p w14:paraId="78BB44E4">
            <w:pPr>
              <w:snapToGrid w:val="0"/>
              <w:jc w:val="center"/>
              <w:rPr>
                <w:rFonts w:hint="default" w:ascii="Times New Roman" w:hAnsi="Times New Roman" w:eastAsia="宋体"/>
                <w:bCs/>
                <w:color w:val="auto"/>
                <w:szCs w:val="21"/>
                <w:highlight w:val="none"/>
                <w:lang w:val="en-US" w:eastAsia="zh-CN"/>
              </w:rPr>
            </w:pPr>
          </w:p>
        </w:tc>
      </w:tr>
    </w:tbl>
    <w:p w14:paraId="5FE8E534">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注：</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V</w:t>
      </w:r>
      <w:r>
        <w:rPr>
          <w:rFonts w:hint="eastAsia" w:ascii="Times New Roman" w:hAnsi="Times New Roman" w:eastAsia="宋体" w:cs="Times New Roman"/>
          <w:color w:val="auto"/>
          <w:sz w:val="21"/>
          <w:szCs w:val="21"/>
          <w:highlight w:val="none"/>
          <w:vertAlign w:val="subscript"/>
          <w:lang w:val="en-US" w:eastAsia="zh-CN"/>
        </w:rPr>
        <w:t>O1</w:t>
      </w:r>
      <w:r>
        <w:rPr>
          <w:rFonts w:hint="default" w:ascii="Times New Roman" w:hAnsi="Times New Roman" w:eastAsia="宋体" w:cs="Times New Roman"/>
          <w:color w:val="auto"/>
          <w:sz w:val="21"/>
          <w:szCs w:val="21"/>
          <w:highlight w:val="none"/>
          <w:lang w:val="en-US" w:eastAsia="zh-CN"/>
        </w:rPr>
        <w:t>、V</w:t>
      </w:r>
      <w:r>
        <w:rPr>
          <w:rFonts w:hint="eastAsia" w:ascii="Times New Roman" w:hAnsi="Times New Roman" w:eastAsia="宋体" w:cs="Times New Roman"/>
          <w:color w:val="auto"/>
          <w:sz w:val="21"/>
          <w:szCs w:val="21"/>
          <w:highlight w:val="none"/>
          <w:vertAlign w:val="subscript"/>
          <w:lang w:val="en-US" w:eastAsia="zh-CN"/>
        </w:rPr>
        <w:t>O2</w:t>
      </w:r>
      <w:r>
        <w:rPr>
          <w:rFonts w:hint="default" w:ascii="Times New Roman" w:hAnsi="Times New Roman" w:eastAsia="宋体" w:cs="Times New Roman"/>
          <w:color w:val="auto"/>
          <w:sz w:val="21"/>
          <w:szCs w:val="21"/>
          <w:highlight w:val="none"/>
          <w:lang w:val="en-US" w:eastAsia="zh-CN"/>
        </w:rPr>
        <w:t>、V</w:t>
      </w:r>
      <w:r>
        <w:rPr>
          <w:rFonts w:hint="eastAsia" w:ascii="Times New Roman" w:hAnsi="Times New Roman" w:eastAsia="宋体" w:cs="Times New Roman"/>
          <w:color w:val="auto"/>
          <w:sz w:val="21"/>
          <w:szCs w:val="21"/>
          <w:highlight w:val="none"/>
          <w:vertAlign w:val="subscript"/>
          <w:lang w:val="en-US" w:eastAsia="zh-CN"/>
        </w:rPr>
        <w:t>O3</w:t>
      </w:r>
      <w:r>
        <w:rPr>
          <w:rFonts w:hint="default" w:ascii="Times New Roman" w:hAnsi="Times New Roman" w:eastAsia="宋体" w:cs="Times New Roman"/>
          <w:color w:val="auto"/>
          <w:sz w:val="21"/>
          <w:szCs w:val="21"/>
          <w:highlight w:val="none"/>
          <w:lang w:val="en-US" w:eastAsia="zh-CN"/>
        </w:rPr>
        <w:t>分别为一、二三级合建站中油品储罐总容积</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vertAlign w:val="subscript"/>
          <w:lang w:val="en-US" w:eastAsia="zh-CN"/>
        </w:rPr>
        <w:t>H1</w:t>
      </w: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vertAlign w:val="subscript"/>
          <w:lang w:val="en-US" w:eastAsia="zh-CN"/>
        </w:rPr>
        <w:t>H2</w:t>
      </w:r>
      <w:r>
        <w:rPr>
          <w:rFonts w:hint="default" w:ascii="Times New Roman" w:hAnsi="Times New Roman" w:eastAsia="宋体" w:cs="Times New Roman"/>
          <w:color w:val="auto"/>
          <w:sz w:val="21"/>
          <w:szCs w:val="21"/>
          <w:highlight w:val="none"/>
          <w:lang w:val="en-US" w:eastAsia="zh-CN"/>
        </w:rPr>
        <w:t>、G</w:t>
      </w:r>
      <w:r>
        <w:rPr>
          <w:rFonts w:hint="default" w:ascii="Times New Roman" w:hAnsi="Times New Roman" w:eastAsia="宋体" w:cs="Times New Roman"/>
          <w:color w:val="auto"/>
          <w:sz w:val="21"/>
          <w:szCs w:val="21"/>
          <w:highlight w:val="none"/>
          <w:vertAlign w:val="subscript"/>
          <w:lang w:val="en-US" w:eastAsia="zh-CN"/>
        </w:rPr>
        <w:t>H</w:t>
      </w:r>
      <w:r>
        <w:rPr>
          <w:rFonts w:hint="eastAsia"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：分别为一、二、三级合建站中氢气的总储量（kg）。</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为除号。</w:t>
      </w:r>
    </w:p>
    <w:p w14:paraId="768DC8AD">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柴油罐容积可折半计</w:t>
      </w:r>
      <w:r>
        <w:rPr>
          <w:rFonts w:hint="eastAsia" w:ascii="Times New Roman" w:hAnsi="Times New Roman" w:eastAsia="宋体" w:cs="Times New Roman"/>
          <w:color w:val="auto"/>
          <w:sz w:val="21"/>
          <w:szCs w:val="21"/>
          <w:highlight w:val="none"/>
          <w:lang w:val="en-US" w:eastAsia="zh-CN"/>
        </w:rPr>
        <w:t>入</w:t>
      </w:r>
      <w:r>
        <w:rPr>
          <w:rFonts w:hint="default" w:ascii="Times New Roman" w:hAnsi="Times New Roman" w:eastAsia="宋体" w:cs="Times New Roman"/>
          <w:color w:val="auto"/>
          <w:sz w:val="21"/>
          <w:szCs w:val="21"/>
          <w:highlight w:val="none"/>
          <w:lang w:val="en-US" w:eastAsia="zh-CN"/>
        </w:rPr>
        <w:t>油罐总容积。</w:t>
      </w:r>
    </w:p>
    <w:p w14:paraId="6E0073ED">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储氢总量包含作为站内储氢容器使用的氢气长管拖车或管束式集装箱储氢量。</w:t>
      </w:r>
    </w:p>
    <w:p w14:paraId="7650AD90">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氢气储量计算基于20C温度和储氢容器的额定工作压力。</w:t>
      </w:r>
    </w:p>
    <w:p w14:paraId="5C9C8F26">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9"/>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olor w:val="auto"/>
          <w:sz w:val="24"/>
          <w:highlight w:val="none"/>
          <w:lang w:val="en-US" w:eastAsia="zh-CN"/>
        </w:rPr>
        <w:t>所涉及产品有氢气、电能及外售成品油。</w:t>
      </w:r>
      <w:r>
        <w:rPr>
          <w:rFonts w:hint="eastAsia" w:ascii="Times New Roman" w:hAnsi="Times New Roman" w:eastAsia="宋体" w:cs="Times New Roman"/>
          <w:b w:val="0"/>
          <w:bCs w:val="0"/>
          <w:color w:val="auto"/>
          <w:sz w:val="24"/>
          <w:szCs w:val="24"/>
          <w:highlight w:val="none"/>
          <w:lang w:val="en-US" w:eastAsia="zh-CN"/>
        </w:rPr>
        <w:t>本项目新建制氢装置规模三套500Nm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/h，装置操作弹性为40</w:t>
      </w:r>
      <w:r>
        <w:rPr>
          <w:rFonts w:hint="eastAsia"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110%，年生产时数为7200小时。拟建项目的主要产品工业氢气。</w:t>
      </w:r>
    </w:p>
    <w:p w14:paraId="6089E611">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表3.</w:t>
      </w:r>
      <w:r>
        <w:rPr>
          <w:rFonts w:hint="eastAsia" w:ascii="Times New Roman" w:hAnsi="Times New Roman" w:eastAsia="宋体"/>
          <w:b/>
          <w:color w:val="auto"/>
          <w:sz w:val="24"/>
          <w:highlight w:val="none"/>
          <w:lang w:val="en-US" w:eastAsia="zh-CN"/>
        </w:rPr>
        <w:t>1</w:t>
      </w:r>
      <w:r>
        <w:rPr>
          <w:rFonts w:ascii="Times New Roman" w:hAnsi="Times New Roman" w:eastAsia="宋体"/>
          <w:b/>
          <w:color w:val="auto"/>
          <w:sz w:val="24"/>
          <w:highlight w:val="none"/>
        </w:rPr>
        <w:t>.3-</w:t>
      </w:r>
      <w:r>
        <w:rPr>
          <w:rFonts w:hint="eastAsia" w:ascii="Times New Roman" w:hAnsi="Times New Roman" w:eastAsia="宋体"/>
          <w:b/>
          <w:color w:val="auto"/>
          <w:sz w:val="24"/>
          <w:highlight w:val="none"/>
          <w:lang w:val="en-US" w:eastAsia="zh-CN"/>
        </w:rPr>
        <w:t>2</w:t>
      </w:r>
      <w:r>
        <w:rPr>
          <w:rFonts w:hint="eastAsia"/>
          <w:b/>
          <w:color w:val="auto"/>
          <w:sz w:val="24"/>
          <w:highlight w:val="none"/>
          <w:lang w:val="en-US" w:eastAsia="zh-CN"/>
        </w:rPr>
        <w:t xml:space="preserve">  </w:t>
      </w:r>
      <w:r>
        <w:rPr>
          <w:rFonts w:ascii="Times New Roman" w:hAnsi="Times New Roman" w:eastAsia="宋体"/>
          <w:b/>
          <w:color w:val="auto"/>
          <w:sz w:val="24"/>
          <w:highlight w:val="none"/>
        </w:rPr>
        <w:t>建设项目产品方案</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679"/>
        <w:gridCol w:w="1080"/>
        <w:gridCol w:w="1575"/>
        <w:gridCol w:w="1620"/>
        <w:gridCol w:w="2730"/>
        <w:gridCol w:w="838"/>
      </w:tblGrid>
      <w:tr w14:paraId="390D3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459" w:hRule="atLeast"/>
          <w:jc w:val="center"/>
        </w:trPr>
        <w:tc>
          <w:tcPr>
            <w:tcW w:w="679" w:type="dxa"/>
            <w:tcBorders>
              <w:tl2br w:val="nil"/>
              <w:tr2bl w:val="nil"/>
            </w:tcBorders>
            <w:noWrap w:val="0"/>
            <w:vAlign w:val="center"/>
          </w:tcPr>
          <w:p w14:paraId="36CD7DD4">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序号</w:t>
            </w:r>
          </w:p>
        </w:tc>
        <w:tc>
          <w:tcPr>
            <w:tcW w:w="1080" w:type="dxa"/>
            <w:tcBorders>
              <w:tl2br w:val="nil"/>
              <w:tr2bl w:val="nil"/>
            </w:tcBorders>
            <w:noWrap w:val="0"/>
            <w:vAlign w:val="center"/>
          </w:tcPr>
          <w:p w14:paraId="7A264841">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产品名称</w:t>
            </w:r>
          </w:p>
        </w:tc>
        <w:tc>
          <w:tcPr>
            <w:tcW w:w="1575" w:type="dxa"/>
            <w:tcBorders>
              <w:tl2br w:val="nil"/>
              <w:tr2bl w:val="nil"/>
            </w:tcBorders>
            <w:noWrap w:val="0"/>
            <w:vAlign w:val="center"/>
          </w:tcPr>
          <w:p w14:paraId="5F0D6F92">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设计能力</w:t>
            </w:r>
          </w:p>
        </w:tc>
        <w:tc>
          <w:tcPr>
            <w:tcW w:w="1620" w:type="dxa"/>
            <w:tcBorders>
              <w:tl2br w:val="nil"/>
              <w:tr2bl w:val="nil"/>
            </w:tcBorders>
            <w:noWrap w:val="0"/>
            <w:vAlign w:val="center"/>
          </w:tcPr>
          <w:p w14:paraId="1B4DE417">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产品主要规格</w:t>
            </w:r>
          </w:p>
        </w:tc>
        <w:tc>
          <w:tcPr>
            <w:tcW w:w="2730" w:type="dxa"/>
            <w:tcBorders>
              <w:tl2br w:val="nil"/>
              <w:tr2bl w:val="nil"/>
            </w:tcBorders>
            <w:noWrap w:val="0"/>
            <w:vAlign w:val="center"/>
          </w:tcPr>
          <w:p w14:paraId="4DA4D927">
            <w:pPr>
              <w:snapToGrid w:val="0"/>
              <w:jc w:val="center"/>
              <w:rPr>
                <w:rFonts w:hint="eastAsia" w:ascii="Times New Roman" w:hAnsi="Times New Roman" w:eastAsia="宋体"/>
                <w:b/>
                <w:color w:val="auto"/>
                <w:szCs w:val="21"/>
                <w:highlight w:val="none"/>
                <w:lang w:eastAsia="zh-CN"/>
              </w:rPr>
            </w:pPr>
            <w:r>
              <w:rPr>
                <w:rFonts w:hint="eastAsia" w:ascii="Times New Roman" w:hAnsi="Times New Roman" w:eastAsia="宋体"/>
                <w:b/>
                <w:color w:val="auto"/>
                <w:szCs w:val="21"/>
                <w:highlight w:val="none"/>
                <w:lang w:val="en-US" w:eastAsia="zh-CN"/>
              </w:rPr>
              <w:t>标准</w:t>
            </w:r>
          </w:p>
        </w:tc>
        <w:tc>
          <w:tcPr>
            <w:tcW w:w="838" w:type="dxa"/>
            <w:tcBorders>
              <w:tl2br w:val="nil"/>
              <w:tr2bl w:val="nil"/>
            </w:tcBorders>
            <w:noWrap w:val="0"/>
            <w:vAlign w:val="center"/>
          </w:tcPr>
          <w:p w14:paraId="49A7A614">
            <w:pPr>
              <w:snapToGrid w:val="0"/>
              <w:jc w:val="center"/>
              <w:rPr>
                <w:rFonts w:hint="default"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备注</w:t>
            </w:r>
          </w:p>
        </w:tc>
      </w:tr>
      <w:tr w14:paraId="2D256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363" w:hRule="atLeast"/>
          <w:jc w:val="center"/>
        </w:trPr>
        <w:tc>
          <w:tcPr>
            <w:tcW w:w="679" w:type="dxa"/>
            <w:tcBorders>
              <w:tl2br w:val="nil"/>
              <w:tr2bl w:val="nil"/>
            </w:tcBorders>
            <w:noWrap w:val="0"/>
            <w:vAlign w:val="center"/>
          </w:tcPr>
          <w:p w14:paraId="6E4DF50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w:t>
            </w:r>
          </w:p>
        </w:tc>
        <w:tc>
          <w:tcPr>
            <w:tcW w:w="1080" w:type="dxa"/>
            <w:tcBorders>
              <w:tl2br w:val="nil"/>
              <w:tr2bl w:val="nil"/>
            </w:tcBorders>
            <w:noWrap w:val="0"/>
            <w:vAlign w:val="center"/>
          </w:tcPr>
          <w:p w14:paraId="53019D99">
            <w:pPr>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szCs w:val="21"/>
                <w:highlight w:val="none"/>
                <w:lang w:val="en-US" w:eastAsia="zh-CN"/>
              </w:rPr>
              <w:t>氢气</w:t>
            </w:r>
          </w:p>
        </w:tc>
        <w:tc>
          <w:tcPr>
            <w:tcW w:w="1575" w:type="dxa"/>
            <w:tcBorders>
              <w:tl2br w:val="nil"/>
              <w:tr2bl w:val="nil"/>
            </w:tcBorders>
            <w:noWrap w:val="0"/>
            <w:vAlign w:val="center"/>
          </w:tcPr>
          <w:p w14:paraId="20A7B40F">
            <w:pPr>
              <w:snapToGrid w:val="0"/>
              <w:jc w:val="center"/>
              <w:rPr>
                <w:rFonts w:ascii="Times New Roman" w:hAnsi="Times New Roman" w:eastAsia="宋体"/>
                <w:b w:val="0"/>
                <w:bCs/>
                <w:color w:val="auto"/>
                <w:szCs w:val="21"/>
                <w:highlight w:val="none"/>
              </w:rPr>
            </w:pPr>
            <w:r>
              <w:rPr>
                <w:rFonts w:hint="eastAsia" w:ascii="Times New Roman" w:hAnsi="Times New Roman" w:eastAsia="宋体"/>
                <w:b w:val="0"/>
                <w:bCs/>
                <w:color w:val="auto"/>
                <w:szCs w:val="21"/>
                <w:highlight w:val="none"/>
                <w:lang w:val="en-US" w:eastAsia="zh-CN"/>
              </w:rPr>
              <w:t>1080万Nm</w:t>
            </w:r>
            <w:r>
              <w:rPr>
                <w:rFonts w:hint="eastAsia" w:ascii="Times New Roman" w:hAnsi="Times New Roman" w:eastAsia="宋体"/>
                <w:b w:val="0"/>
                <w:bCs/>
                <w:color w:val="auto"/>
                <w:szCs w:val="21"/>
                <w:highlight w:val="none"/>
                <w:vertAlign w:val="superscript"/>
                <w:lang w:val="en-US" w:eastAsia="zh-CN"/>
              </w:rPr>
              <w:t>3</w:t>
            </w:r>
            <w:r>
              <w:rPr>
                <w:rFonts w:ascii="Times New Roman" w:hAnsi="Times New Roman" w:eastAsia="宋体"/>
                <w:b w:val="0"/>
                <w:bCs/>
                <w:color w:val="auto"/>
                <w:szCs w:val="21"/>
                <w:highlight w:val="none"/>
              </w:rPr>
              <w:t>/a</w:t>
            </w:r>
          </w:p>
        </w:tc>
        <w:tc>
          <w:tcPr>
            <w:tcW w:w="1620" w:type="dxa"/>
            <w:tcBorders>
              <w:tl2br w:val="nil"/>
              <w:tr2bl w:val="nil"/>
            </w:tcBorders>
            <w:noWrap w:val="0"/>
            <w:vAlign w:val="center"/>
          </w:tcPr>
          <w:p w14:paraId="143B90B9">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纯度99.999%</w:t>
            </w:r>
          </w:p>
        </w:tc>
        <w:tc>
          <w:tcPr>
            <w:tcW w:w="2730" w:type="dxa"/>
            <w:tcBorders>
              <w:tl2br w:val="nil"/>
              <w:tr2bl w:val="nil"/>
            </w:tcBorders>
            <w:noWrap w:val="0"/>
            <w:vAlign w:val="center"/>
          </w:tcPr>
          <w:p w14:paraId="70731433">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国标B/T3634.2-2011、GB/T37244-2018指标要求</w:t>
            </w:r>
          </w:p>
        </w:tc>
        <w:tc>
          <w:tcPr>
            <w:tcW w:w="838" w:type="dxa"/>
            <w:tcBorders>
              <w:tl2br w:val="nil"/>
              <w:tr2bl w:val="nil"/>
            </w:tcBorders>
            <w:noWrap w:val="0"/>
            <w:vAlign w:val="center"/>
          </w:tcPr>
          <w:p w14:paraId="650AFB44">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w:t>
            </w:r>
          </w:p>
        </w:tc>
      </w:tr>
      <w:tr w14:paraId="3BF5D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414" w:hRule="atLeast"/>
          <w:jc w:val="center"/>
        </w:trPr>
        <w:tc>
          <w:tcPr>
            <w:tcW w:w="679" w:type="dxa"/>
            <w:tcBorders>
              <w:tl2br w:val="nil"/>
              <w:tr2bl w:val="nil"/>
            </w:tcBorders>
            <w:noWrap w:val="0"/>
            <w:vAlign w:val="center"/>
          </w:tcPr>
          <w:p w14:paraId="35BBA5B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w:t>
            </w:r>
          </w:p>
        </w:tc>
        <w:tc>
          <w:tcPr>
            <w:tcW w:w="1080" w:type="dxa"/>
            <w:tcBorders>
              <w:tl2br w:val="nil"/>
              <w:tr2bl w:val="nil"/>
            </w:tcBorders>
            <w:noWrap w:val="0"/>
            <w:vAlign w:val="center"/>
          </w:tcPr>
          <w:p w14:paraId="700C640A">
            <w:pPr>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电能</w:t>
            </w:r>
          </w:p>
        </w:tc>
        <w:tc>
          <w:tcPr>
            <w:tcW w:w="1575" w:type="dxa"/>
            <w:tcBorders>
              <w:tl2br w:val="nil"/>
              <w:tr2bl w:val="nil"/>
            </w:tcBorders>
            <w:noWrap w:val="0"/>
            <w:vAlign w:val="center"/>
          </w:tcPr>
          <w:p w14:paraId="2100797F">
            <w:pPr>
              <w:snapToGrid w:val="0"/>
              <w:jc w:val="center"/>
              <w:rPr>
                <w:rFonts w:ascii="Times New Roman" w:hAnsi="Times New Roman" w:eastAsia="宋体"/>
                <w:b w:val="0"/>
                <w:bCs/>
                <w:color w:val="auto"/>
                <w:szCs w:val="21"/>
                <w:highlight w:val="none"/>
              </w:rPr>
            </w:pPr>
            <w:r>
              <w:rPr>
                <w:rFonts w:hint="eastAsia" w:ascii="Times New Roman" w:hAnsi="Times New Roman" w:eastAsia="宋体"/>
                <w:b w:val="0"/>
                <w:bCs/>
                <w:color w:val="auto"/>
                <w:szCs w:val="21"/>
                <w:highlight w:val="none"/>
                <w:lang w:val="en-US" w:eastAsia="zh-CN"/>
              </w:rPr>
              <w:t>267055kWh</w:t>
            </w:r>
            <w:r>
              <w:rPr>
                <w:rFonts w:ascii="Times New Roman" w:hAnsi="Times New Roman" w:eastAsia="宋体"/>
                <w:b w:val="0"/>
                <w:bCs/>
                <w:color w:val="auto"/>
                <w:szCs w:val="21"/>
                <w:highlight w:val="none"/>
              </w:rPr>
              <w:t>/a</w:t>
            </w:r>
          </w:p>
        </w:tc>
        <w:tc>
          <w:tcPr>
            <w:tcW w:w="1620" w:type="dxa"/>
            <w:tcBorders>
              <w:tl2br w:val="nil"/>
              <w:tr2bl w:val="nil"/>
            </w:tcBorders>
            <w:noWrap w:val="0"/>
            <w:vAlign w:val="center"/>
          </w:tcPr>
          <w:p w14:paraId="278179C9">
            <w:pPr>
              <w:snapToGrid w:val="0"/>
              <w:jc w:val="center"/>
              <w:rPr>
                <w:rFonts w:hint="eastAsia"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w:t>
            </w:r>
          </w:p>
        </w:tc>
        <w:tc>
          <w:tcPr>
            <w:tcW w:w="2730" w:type="dxa"/>
            <w:tcBorders>
              <w:tl2br w:val="nil"/>
              <w:tr2bl w:val="nil"/>
            </w:tcBorders>
            <w:noWrap w:val="0"/>
            <w:vAlign w:val="center"/>
          </w:tcPr>
          <w:p w14:paraId="29C19BBE">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w:t>
            </w:r>
          </w:p>
        </w:tc>
        <w:tc>
          <w:tcPr>
            <w:tcW w:w="838" w:type="dxa"/>
            <w:tcBorders>
              <w:tl2br w:val="nil"/>
              <w:tr2bl w:val="nil"/>
            </w:tcBorders>
            <w:noWrap w:val="0"/>
            <w:vAlign w:val="center"/>
          </w:tcPr>
          <w:p w14:paraId="35803E93">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站内使用</w:t>
            </w:r>
          </w:p>
        </w:tc>
      </w:tr>
      <w:tr w14:paraId="02EBA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414" w:hRule="atLeast"/>
          <w:jc w:val="center"/>
        </w:trPr>
        <w:tc>
          <w:tcPr>
            <w:tcW w:w="8522" w:type="dxa"/>
            <w:gridSpan w:val="6"/>
            <w:tcBorders>
              <w:tl2br w:val="nil"/>
              <w:tr2bl w:val="nil"/>
            </w:tcBorders>
            <w:noWrap w:val="0"/>
            <w:vAlign w:val="center"/>
          </w:tcPr>
          <w:p w14:paraId="3A0BA867">
            <w:pPr>
              <w:snapToGrid w:val="0"/>
              <w:jc w:val="both"/>
              <w:rPr>
                <w:rFonts w:hint="eastAsia" w:ascii="Times New Roman" w:hAnsi="Times New Roman" w:eastAsia="宋体"/>
                <w:bCs/>
                <w:color w:val="auto"/>
                <w:szCs w:val="21"/>
                <w:highlight w:val="none"/>
                <w:lang w:val="en-US" w:eastAsia="zh-CN"/>
              </w:rPr>
            </w:pPr>
            <w:r>
              <w:rPr>
                <w:rFonts w:hint="eastAsia" w:ascii="宋体" w:hAnsi="宋体" w:eastAsia="宋体" w:cs="宋体"/>
                <w:b w:val="0"/>
                <w:bCs w:val="0"/>
                <w:color w:val="auto"/>
                <w:sz w:val="20"/>
                <w:szCs w:val="20"/>
                <w:highlight w:val="none"/>
              </w:rPr>
              <w:t>备注：项目氢气长管拖车租赁于具备危化品运输资质的第三方单位或由客户提供，企业不自备。</w:t>
            </w:r>
          </w:p>
        </w:tc>
      </w:tr>
    </w:tbl>
    <w:p w14:paraId="4A8E3BE6">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表3.</w:t>
      </w:r>
      <w:r>
        <w:rPr>
          <w:rFonts w:hint="eastAsia" w:ascii="Times New Roman" w:hAnsi="Times New Roman" w:eastAsia="宋体"/>
          <w:b/>
          <w:color w:val="auto"/>
          <w:sz w:val="24"/>
          <w:highlight w:val="none"/>
          <w:lang w:val="en-US" w:eastAsia="zh-CN"/>
        </w:rPr>
        <w:t>1</w:t>
      </w:r>
      <w:r>
        <w:rPr>
          <w:rFonts w:ascii="Times New Roman" w:hAnsi="Times New Roman" w:eastAsia="宋体"/>
          <w:b/>
          <w:color w:val="auto"/>
          <w:sz w:val="24"/>
          <w:highlight w:val="none"/>
        </w:rPr>
        <w:t>.3-</w:t>
      </w:r>
      <w:r>
        <w:rPr>
          <w:rFonts w:hint="eastAsia" w:ascii="Times New Roman" w:hAnsi="Times New Roman" w:eastAsia="宋体"/>
          <w:b/>
          <w:color w:val="auto"/>
          <w:sz w:val="24"/>
          <w:highlight w:val="none"/>
          <w:lang w:val="en-US" w:eastAsia="zh-CN"/>
        </w:rPr>
        <w:t>3</w:t>
      </w:r>
      <w:r>
        <w:rPr>
          <w:rFonts w:hint="eastAsia"/>
          <w:b/>
          <w:color w:val="auto"/>
          <w:sz w:val="24"/>
          <w:highlight w:val="none"/>
          <w:lang w:val="en-US" w:eastAsia="zh-CN"/>
        </w:rPr>
        <w:t xml:space="preserve">  </w:t>
      </w:r>
      <w:r>
        <w:rPr>
          <w:rFonts w:ascii="Times New Roman" w:hAnsi="Times New Roman" w:eastAsia="宋体"/>
          <w:b/>
          <w:color w:val="auto"/>
          <w:sz w:val="24"/>
          <w:highlight w:val="none"/>
        </w:rPr>
        <w:t>建设项目</w:t>
      </w:r>
      <w:r>
        <w:rPr>
          <w:rFonts w:hint="eastAsia" w:ascii="Times New Roman" w:hAnsi="Times New Roman" w:eastAsia="宋体"/>
          <w:b/>
          <w:color w:val="auto"/>
          <w:sz w:val="24"/>
          <w:highlight w:val="none"/>
          <w:lang w:val="en-US" w:eastAsia="zh-CN"/>
        </w:rPr>
        <w:t>外售成品油</w:t>
      </w:r>
      <w:r>
        <w:rPr>
          <w:rFonts w:ascii="Times New Roman" w:hAnsi="Times New Roman" w:eastAsia="宋体"/>
          <w:b/>
          <w:color w:val="auto"/>
          <w:sz w:val="24"/>
          <w:highlight w:val="none"/>
        </w:rPr>
        <w:t>方案</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784"/>
        <w:gridCol w:w="1185"/>
        <w:gridCol w:w="1290"/>
        <w:gridCol w:w="1440"/>
        <w:gridCol w:w="2862"/>
        <w:gridCol w:w="961"/>
      </w:tblGrid>
      <w:tr w14:paraId="05DFD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459" w:hRule="atLeast"/>
          <w:jc w:val="center"/>
        </w:trPr>
        <w:tc>
          <w:tcPr>
            <w:tcW w:w="784" w:type="dxa"/>
            <w:tcBorders>
              <w:tl2br w:val="nil"/>
              <w:tr2bl w:val="nil"/>
            </w:tcBorders>
            <w:noWrap w:val="0"/>
            <w:vAlign w:val="center"/>
          </w:tcPr>
          <w:p w14:paraId="33ACAD9F">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序号</w:t>
            </w:r>
          </w:p>
        </w:tc>
        <w:tc>
          <w:tcPr>
            <w:tcW w:w="1185" w:type="dxa"/>
            <w:tcBorders>
              <w:tl2br w:val="nil"/>
              <w:tr2bl w:val="nil"/>
            </w:tcBorders>
            <w:noWrap w:val="0"/>
            <w:vAlign w:val="center"/>
          </w:tcPr>
          <w:p w14:paraId="4B7739A9">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产品名称</w:t>
            </w:r>
          </w:p>
        </w:tc>
        <w:tc>
          <w:tcPr>
            <w:tcW w:w="1290" w:type="dxa"/>
            <w:tcBorders>
              <w:tl2br w:val="nil"/>
              <w:tr2bl w:val="nil"/>
            </w:tcBorders>
            <w:noWrap w:val="0"/>
            <w:vAlign w:val="center"/>
          </w:tcPr>
          <w:p w14:paraId="14C92383">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日周转量</w:t>
            </w:r>
          </w:p>
        </w:tc>
        <w:tc>
          <w:tcPr>
            <w:tcW w:w="1440" w:type="dxa"/>
            <w:tcBorders>
              <w:tl2br w:val="nil"/>
              <w:tr2bl w:val="nil"/>
            </w:tcBorders>
            <w:noWrap w:val="0"/>
            <w:vAlign w:val="center"/>
          </w:tcPr>
          <w:p w14:paraId="750EF6BA">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年周转量</w:t>
            </w:r>
          </w:p>
        </w:tc>
        <w:tc>
          <w:tcPr>
            <w:tcW w:w="2862" w:type="dxa"/>
            <w:tcBorders>
              <w:tl2br w:val="nil"/>
              <w:tr2bl w:val="nil"/>
            </w:tcBorders>
            <w:noWrap w:val="0"/>
            <w:vAlign w:val="center"/>
          </w:tcPr>
          <w:p w14:paraId="2A15B536">
            <w:pPr>
              <w:snapToGrid w:val="0"/>
              <w:jc w:val="center"/>
              <w:rPr>
                <w:rFonts w:hint="eastAsia" w:ascii="Times New Roman" w:hAnsi="Times New Roman" w:eastAsia="宋体"/>
                <w:b/>
                <w:color w:val="auto"/>
                <w:szCs w:val="21"/>
                <w:highlight w:val="none"/>
                <w:lang w:eastAsia="zh-CN"/>
              </w:rPr>
            </w:pPr>
            <w:r>
              <w:rPr>
                <w:rFonts w:hint="eastAsia" w:ascii="Times New Roman" w:hAnsi="Times New Roman" w:eastAsia="宋体"/>
                <w:b/>
                <w:color w:val="auto"/>
                <w:szCs w:val="21"/>
                <w:highlight w:val="none"/>
                <w:lang w:val="en-US" w:eastAsia="zh-CN"/>
              </w:rPr>
              <w:t>存储方式</w:t>
            </w:r>
          </w:p>
        </w:tc>
        <w:tc>
          <w:tcPr>
            <w:tcW w:w="961" w:type="dxa"/>
            <w:tcBorders>
              <w:tl2br w:val="nil"/>
              <w:tr2bl w:val="nil"/>
            </w:tcBorders>
            <w:noWrap w:val="0"/>
            <w:vAlign w:val="center"/>
          </w:tcPr>
          <w:p w14:paraId="3004A674">
            <w:pPr>
              <w:snapToGrid w:val="0"/>
              <w:jc w:val="center"/>
              <w:rPr>
                <w:rFonts w:hint="default"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存储量</w:t>
            </w:r>
          </w:p>
        </w:tc>
      </w:tr>
      <w:tr w14:paraId="5A63E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414" w:hRule="atLeast"/>
          <w:jc w:val="center"/>
        </w:trPr>
        <w:tc>
          <w:tcPr>
            <w:tcW w:w="784" w:type="dxa"/>
            <w:tcBorders>
              <w:tl2br w:val="nil"/>
              <w:tr2bl w:val="nil"/>
            </w:tcBorders>
            <w:noWrap w:val="0"/>
            <w:vAlign w:val="center"/>
          </w:tcPr>
          <w:p w14:paraId="039A15B5">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w:t>
            </w:r>
          </w:p>
        </w:tc>
        <w:tc>
          <w:tcPr>
            <w:tcW w:w="1185" w:type="dxa"/>
            <w:tcBorders>
              <w:tl2br w:val="nil"/>
              <w:tr2bl w:val="nil"/>
            </w:tcBorders>
            <w:noWrap w:val="0"/>
            <w:vAlign w:val="center"/>
          </w:tcPr>
          <w:p w14:paraId="529557FB">
            <w:pPr>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柴油</w:t>
            </w:r>
          </w:p>
        </w:tc>
        <w:tc>
          <w:tcPr>
            <w:tcW w:w="1290" w:type="dxa"/>
            <w:tcBorders>
              <w:tl2br w:val="nil"/>
              <w:tr2bl w:val="nil"/>
            </w:tcBorders>
            <w:noWrap w:val="0"/>
            <w:vAlign w:val="center"/>
          </w:tcPr>
          <w:p w14:paraId="0A56E12A">
            <w:pPr>
              <w:snapToGrid w:val="0"/>
              <w:jc w:val="center"/>
              <w:rPr>
                <w:rFonts w:hint="default" w:ascii="Times New Roman" w:hAnsi="Times New Roman" w:eastAsia="宋体"/>
                <w:b w:val="0"/>
                <w:bCs/>
                <w:color w:val="auto"/>
                <w:szCs w:val="21"/>
                <w:highlight w:val="none"/>
                <w:lang w:val="en-US" w:eastAsia="zh-CN"/>
              </w:rPr>
            </w:pPr>
            <w:r>
              <w:rPr>
                <w:rFonts w:hint="eastAsia" w:ascii="Times New Roman" w:hAnsi="Times New Roman" w:eastAsia="宋体"/>
                <w:b w:val="0"/>
                <w:bCs/>
                <w:color w:val="auto"/>
                <w:szCs w:val="21"/>
                <w:highlight w:val="none"/>
                <w:lang w:val="en-US" w:eastAsia="zh-CN"/>
              </w:rPr>
              <w:t>7.34</w:t>
            </w:r>
            <w:r>
              <w:rPr>
                <w:rFonts w:ascii="Times New Roman" w:hAnsi="Times New Roman" w:eastAsia="宋体"/>
                <w:b w:val="0"/>
                <w:bCs w:val="0"/>
                <w:color w:val="auto"/>
                <w:szCs w:val="21"/>
                <w:highlight w:val="none"/>
              </w:rPr>
              <w:t>t/</w:t>
            </w:r>
            <w:r>
              <w:rPr>
                <w:rFonts w:hint="eastAsia" w:ascii="Times New Roman" w:hAnsi="Times New Roman" w:eastAsia="宋体"/>
                <w:b w:val="0"/>
                <w:bCs w:val="0"/>
                <w:color w:val="auto"/>
                <w:szCs w:val="21"/>
                <w:highlight w:val="none"/>
                <w:lang w:val="en-US" w:eastAsia="zh-CN"/>
              </w:rPr>
              <w:t>d</w:t>
            </w:r>
          </w:p>
        </w:tc>
        <w:tc>
          <w:tcPr>
            <w:tcW w:w="1440" w:type="dxa"/>
            <w:tcBorders>
              <w:tl2br w:val="nil"/>
              <w:tr2bl w:val="nil"/>
            </w:tcBorders>
            <w:noWrap w:val="0"/>
            <w:vAlign w:val="center"/>
          </w:tcPr>
          <w:p w14:paraId="3BF3228D">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2680</w:t>
            </w:r>
            <w:r>
              <w:rPr>
                <w:rFonts w:ascii="Times New Roman" w:hAnsi="Times New Roman" w:eastAsia="宋体"/>
                <w:b w:val="0"/>
                <w:bCs w:val="0"/>
                <w:color w:val="auto"/>
                <w:szCs w:val="21"/>
                <w:highlight w:val="none"/>
              </w:rPr>
              <w:t>t/</w:t>
            </w:r>
            <w:r>
              <w:rPr>
                <w:rFonts w:hint="eastAsia" w:ascii="Times New Roman" w:hAnsi="Times New Roman" w:eastAsia="宋体"/>
                <w:b w:val="0"/>
                <w:bCs w:val="0"/>
                <w:color w:val="auto"/>
                <w:szCs w:val="21"/>
                <w:highlight w:val="none"/>
                <w:lang w:val="en-US" w:eastAsia="zh-CN"/>
              </w:rPr>
              <w:t>a</w:t>
            </w:r>
          </w:p>
        </w:tc>
        <w:tc>
          <w:tcPr>
            <w:tcW w:w="2862" w:type="dxa"/>
            <w:tcBorders>
              <w:tl2br w:val="nil"/>
              <w:tr2bl w:val="nil"/>
            </w:tcBorders>
            <w:noWrap w:val="0"/>
            <w:vAlign w:val="center"/>
          </w:tcPr>
          <w:p w14:paraId="5299D814">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1个30立</w:t>
            </w:r>
            <w:r>
              <w:rPr>
                <w:rFonts w:hint="eastAsia"/>
                <w:bCs/>
                <w:color w:val="auto"/>
                <w:szCs w:val="21"/>
                <w:highlight w:val="none"/>
                <w:lang w:val="en-US" w:eastAsia="zh-CN"/>
              </w:rPr>
              <w:t>方米</w:t>
            </w:r>
            <w:r>
              <w:rPr>
                <w:rFonts w:hint="eastAsia" w:ascii="Times New Roman" w:hAnsi="Times New Roman" w:eastAsia="宋体"/>
                <w:bCs/>
                <w:color w:val="auto"/>
                <w:szCs w:val="21"/>
                <w:highlight w:val="none"/>
                <w:lang w:val="en-US" w:eastAsia="zh-CN"/>
              </w:rPr>
              <w:t>FF双层埋地罐</w:t>
            </w:r>
          </w:p>
        </w:tc>
        <w:tc>
          <w:tcPr>
            <w:tcW w:w="961" w:type="dxa"/>
            <w:tcBorders>
              <w:tl2br w:val="nil"/>
              <w:tr2bl w:val="nil"/>
            </w:tcBorders>
            <w:noWrap w:val="0"/>
            <w:vAlign w:val="center"/>
          </w:tcPr>
          <w:p w14:paraId="0C4A1FF2">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22t</w:t>
            </w:r>
          </w:p>
        </w:tc>
      </w:tr>
      <w:tr w14:paraId="30FE2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414" w:hRule="atLeast"/>
          <w:jc w:val="center"/>
        </w:trPr>
        <w:tc>
          <w:tcPr>
            <w:tcW w:w="784" w:type="dxa"/>
            <w:tcBorders>
              <w:tl2br w:val="nil"/>
              <w:tr2bl w:val="nil"/>
            </w:tcBorders>
            <w:noWrap w:val="0"/>
            <w:vAlign w:val="center"/>
          </w:tcPr>
          <w:p w14:paraId="2543E244">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2</w:t>
            </w:r>
          </w:p>
        </w:tc>
        <w:tc>
          <w:tcPr>
            <w:tcW w:w="1185" w:type="dxa"/>
            <w:tcBorders>
              <w:tl2br w:val="nil"/>
              <w:tr2bl w:val="nil"/>
            </w:tcBorders>
            <w:noWrap w:val="0"/>
            <w:vAlign w:val="center"/>
          </w:tcPr>
          <w:p w14:paraId="11495586">
            <w:pPr>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汽油</w:t>
            </w:r>
          </w:p>
        </w:tc>
        <w:tc>
          <w:tcPr>
            <w:tcW w:w="1290" w:type="dxa"/>
            <w:tcBorders>
              <w:tl2br w:val="nil"/>
              <w:tr2bl w:val="nil"/>
            </w:tcBorders>
            <w:noWrap w:val="0"/>
            <w:vAlign w:val="center"/>
          </w:tcPr>
          <w:p w14:paraId="7E261EE6">
            <w:pPr>
              <w:snapToGrid w:val="0"/>
              <w:jc w:val="center"/>
              <w:rPr>
                <w:rFonts w:hint="default" w:ascii="Times New Roman" w:hAnsi="Times New Roman" w:eastAsia="宋体"/>
                <w:b w:val="0"/>
                <w:bCs/>
                <w:color w:val="auto"/>
                <w:szCs w:val="21"/>
                <w:highlight w:val="none"/>
                <w:lang w:val="en-US" w:eastAsia="zh-CN"/>
              </w:rPr>
            </w:pPr>
            <w:r>
              <w:rPr>
                <w:rFonts w:hint="eastAsia" w:ascii="Times New Roman" w:hAnsi="Times New Roman" w:eastAsia="宋体"/>
                <w:b w:val="0"/>
                <w:bCs/>
                <w:color w:val="auto"/>
                <w:szCs w:val="21"/>
                <w:highlight w:val="none"/>
                <w:lang w:val="en-US" w:eastAsia="zh-CN"/>
              </w:rPr>
              <w:t>8.22</w:t>
            </w:r>
            <w:r>
              <w:rPr>
                <w:rFonts w:ascii="Times New Roman" w:hAnsi="Times New Roman" w:eastAsia="宋体"/>
                <w:b w:val="0"/>
                <w:bCs w:val="0"/>
                <w:color w:val="auto"/>
                <w:szCs w:val="21"/>
                <w:highlight w:val="none"/>
              </w:rPr>
              <w:t>t/</w:t>
            </w:r>
            <w:r>
              <w:rPr>
                <w:rFonts w:hint="eastAsia" w:ascii="Times New Roman" w:hAnsi="Times New Roman" w:eastAsia="宋体"/>
                <w:b w:val="0"/>
                <w:bCs w:val="0"/>
                <w:color w:val="auto"/>
                <w:szCs w:val="21"/>
                <w:highlight w:val="none"/>
                <w:lang w:val="en-US" w:eastAsia="zh-CN"/>
              </w:rPr>
              <w:t>d</w:t>
            </w:r>
          </w:p>
        </w:tc>
        <w:tc>
          <w:tcPr>
            <w:tcW w:w="1440" w:type="dxa"/>
            <w:tcBorders>
              <w:tl2br w:val="nil"/>
              <w:tr2bl w:val="nil"/>
            </w:tcBorders>
            <w:noWrap w:val="0"/>
            <w:vAlign w:val="center"/>
          </w:tcPr>
          <w:p w14:paraId="509FD18F">
            <w:pPr>
              <w:snapToGrid w:val="0"/>
              <w:jc w:val="center"/>
              <w:rPr>
                <w:rFonts w:hint="eastAsia" w:ascii="Times New Roman" w:hAnsi="Times New Roman" w:eastAsia="宋体"/>
                <w:bCs/>
                <w:color w:val="auto"/>
                <w:szCs w:val="21"/>
                <w:highlight w:val="none"/>
              </w:rPr>
            </w:pPr>
            <w:r>
              <w:rPr>
                <w:rFonts w:hint="eastAsia" w:ascii="Times New Roman" w:hAnsi="Times New Roman" w:eastAsia="宋体"/>
                <w:bCs/>
                <w:color w:val="auto"/>
                <w:szCs w:val="21"/>
                <w:highlight w:val="none"/>
                <w:lang w:val="en-US" w:eastAsia="zh-CN"/>
              </w:rPr>
              <w:t>3000</w:t>
            </w:r>
            <w:r>
              <w:rPr>
                <w:rFonts w:ascii="Times New Roman" w:hAnsi="Times New Roman" w:eastAsia="宋体"/>
                <w:b w:val="0"/>
                <w:bCs w:val="0"/>
                <w:color w:val="auto"/>
                <w:szCs w:val="21"/>
                <w:highlight w:val="none"/>
              </w:rPr>
              <w:t>t/</w:t>
            </w:r>
            <w:r>
              <w:rPr>
                <w:rFonts w:hint="eastAsia" w:ascii="Times New Roman" w:hAnsi="Times New Roman" w:eastAsia="宋体"/>
                <w:b w:val="0"/>
                <w:bCs w:val="0"/>
                <w:color w:val="auto"/>
                <w:szCs w:val="21"/>
                <w:highlight w:val="none"/>
                <w:lang w:val="en-US" w:eastAsia="zh-CN"/>
              </w:rPr>
              <w:t>a</w:t>
            </w:r>
          </w:p>
        </w:tc>
        <w:tc>
          <w:tcPr>
            <w:tcW w:w="2862" w:type="dxa"/>
            <w:tcBorders>
              <w:tl2br w:val="nil"/>
              <w:tr2bl w:val="nil"/>
            </w:tcBorders>
            <w:noWrap w:val="0"/>
            <w:vAlign w:val="center"/>
          </w:tcPr>
          <w:p w14:paraId="5E0A1B01">
            <w:pPr>
              <w:snapToGrid w:val="0"/>
              <w:jc w:val="center"/>
              <w:rPr>
                <w:rFonts w:hint="eastAsia"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2个30立</w:t>
            </w:r>
            <w:r>
              <w:rPr>
                <w:rFonts w:hint="eastAsia"/>
                <w:bCs/>
                <w:color w:val="auto"/>
                <w:szCs w:val="21"/>
                <w:highlight w:val="none"/>
                <w:lang w:val="en-US" w:eastAsia="zh-CN"/>
              </w:rPr>
              <w:t>方米</w:t>
            </w:r>
            <w:r>
              <w:rPr>
                <w:rFonts w:hint="eastAsia" w:ascii="Times New Roman" w:hAnsi="Times New Roman" w:eastAsia="宋体"/>
                <w:bCs/>
                <w:color w:val="auto"/>
                <w:szCs w:val="21"/>
                <w:highlight w:val="none"/>
                <w:lang w:val="en-US" w:eastAsia="zh-CN"/>
              </w:rPr>
              <w:t>FF双层埋地罐</w:t>
            </w:r>
          </w:p>
        </w:tc>
        <w:tc>
          <w:tcPr>
            <w:tcW w:w="961" w:type="dxa"/>
            <w:tcBorders>
              <w:tl2br w:val="nil"/>
              <w:tr2bl w:val="nil"/>
            </w:tcBorders>
            <w:noWrap w:val="0"/>
            <w:vAlign w:val="center"/>
          </w:tcPr>
          <w:p w14:paraId="141057B1">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41t</w:t>
            </w:r>
          </w:p>
        </w:tc>
      </w:tr>
      <w:tr w14:paraId="561AF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1969" w:type="dxa"/>
            <w:gridSpan w:val="2"/>
            <w:tcBorders>
              <w:tl2br w:val="nil"/>
              <w:tr2bl w:val="nil"/>
            </w:tcBorders>
            <w:noWrap w:val="0"/>
            <w:vAlign w:val="center"/>
          </w:tcPr>
          <w:p w14:paraId="287ECE0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合计</w:t>
            </w:r>
          </w:p>
        </w:tc>
        <w:tc>
          <w:tcPr>
            <w:tcW w:w="1290" w:type="dxa"/>
            <w:tcBorders>
              <w:tl2br w:val="nil"/>
              <w:tr2bl w:val="nil"/>
            </w:tcBorders>
            <w:noWrap w:val="0"/>
            <w:vAlign w:val="center"/>
          </w:tcPr>
          <w:p w14:paraId="70973F5C">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b w:val="0"/>
                <w:bCs w:val="0"/>
                <w:color w:val="auto"/>
                <w:szCs w:val="21"/>
                <w:highlight w:val="none"/>
                <w:lang w:val="en-US" w:eastAsia="zh-CN"/>
              </w:rPr>
              <w:t>15.56</w:t>
            </w:r>
            <w:r>
              <w:rPr>
                <w:rFonts w:ascii="Times New Roman" w:hAnsi="Times New Roman" w:eastAsia="宋体"/>
                <w:b w:val="0"/>
                <w:bCs w:val="0"/>
                <w:color w:val="auto"/>
                <w:szCs w:val="21"/>
                <w:highlight w:val="none"/>
              </w:rPr>
              <w:t>t/</w:t>
            </w:r>
            <w:r>
              <w:rPr>
                <w:rFonts w:hint="eastAsia" w:ascii="Times New Roman" w:hAnsi="Times New Roman" w:eastAsia="宋体"/>
                <w:b w:val="0"/>
                <w:bCs w:val="0"/>
                <w:color w:val="auto"/>
                <w:szCs w:val="21"/>
                <w:highlight w:val="none"/>
                <w:lang w:val="en-US" w:eastAsia="zh-CN"/>
              </w:rPr>
              <w:t>d</w:t>
            </w:r>
          </w:p>
        </w:tc>
        <w:tc>
          <w:tcPr>
            <w:tcW w:w="1440" w:type="dxa"/>
            <w:tcBorders>
              <w:tl2br w:val="nil"/>
              <w:tr2bl w:val="nil"/>
            </w:tcBorders>
            <w:noWrap w:val="0"/>
            <w:vAlign w:val="center"/>
          </w:tcPr>
          <w:p w14:paraId="2301CD83">
            <w:pPr>
              <w:snapToGrid w:val="0"/>
              <w:jc w:val="center"/>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5680</w:t>
            </w:r>
            <w:r>
              <w:rPr>
                <w:rFonts w:ascii="Times New Roman" w:hAnsi="Times New Roman" w:eastAsia="宋体"/>
                <w:b w:val="0"/>
                <w:bCs w:val="0"/>
                <w:color w:val="auto"/>
                <w:szCs w:val="21"/>
                <w:highlight w:val="none"/>
              </w:rPr>
              <w:t>t/</w:t>
            </w:r>
            <w:r>
              <w:rPr>
                <w:rFonts w:hint="eastAsia" w:ascii="Times New Roman" w:hAnsi="Times New Roman" w:eastAsia="宋体"/>
                <w:b w:val="0"/>
                <w:bCs w:val="0"/>
                <w:color w:val="auto"/>
                <w:szCs w:val="21"/>
                <w:highlight w:val="none"/>
                <w:lang w:val="en-US" w:eastAsia="zh-CN"/>
              </w:rPr>
              <w:t>a</w:t>
            </w:r>
          </w:p>
        </w:tc>
        <w:tc>
          <w:tcPr>
            <w:tcW w:w="2862" w:type="dxa"/>
            <w:tcBorders>
              <w:tl2br w:val="nil"/>
              <w:tr2bl w:val="nil"/>
            </w:tcBorders>
            <w:noWrap w:val="0"/>
            <w:vAlign w:val="center"/>
          </w:tcPr>
          <w:p w14:paraId="51A85110">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961" w:type="dxa"/>
            <w:tcBorders>
              <w:tl2br w:val="nil"/>
              <w:tr2bl w:val="nil"/>
            </w:tcBorders>
            <w:noWrap w:val="0"/>
            <w:vAlign w:val="center"/>
          </w:tcPr>
          <w:p w14:paraId="0EE1C057">
            <w:pPr>
              <w:snapToGrid w:val="0"/>
              <w:jc w:val="center"/>
              <w:rPr>
                <w:rFonts w:hint="eastAsia" w:ascii="Times New Roman" w:hAnsi="Times New Roman" w:eastAsia="宋体"/>
                <w:bCs/>
                <w:color w:val="auto"/>
                <w:szCs w:val="21"/>
                <w:highlight w:val="none"/>
                <w:lang w:val="en-US" w:eastAsia="zh-CN"/>
              </w:rPr>
            </w:pPr>
          </w:p>
        </w:tc>
      </w:tr>
      <w:tr w14:paraId="12AFE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402" w:hRule="atLeast"/>
          <w:jc w:val="center"/>
        </w:trPr>
        <w:tc>
          <w:tcPr>
            <w:tcW w:w="8522" w:type="dxa"/>
            <w:gridSpan w:val="6"/>
            <w:tcBorders>
              <w:tl2br w:val="nil"/>
              <w:tr2bl w:val="nil"/>
            </w:tcBorders>
            <w:noWrap w:val="0"/>
            <w:vAlign w:val="center"/>
          </w:tcPr>
          <w:p w14:paraId="3DF10CED">
            <w:pPr>
              <w:snapToGrid w:val="0"/>
              <w:jc w:val="both"/>
              <w:rPr>
                <w:rFonts w:hint="default" w:ascii="Times New Roman" w:hAnsi="Times New Roman" w:eastAsia="宋体"/>
                <w:bCs/>
                <w:color w:val="auto"/>
                <w:szCs w:val="21"/>
                <w:highlight w:val="none"/>
                <w:lang w:val="en-US" w:eastAsia="zh-CN"/>
              </w:rPr>
            </w:pPr>
            <w:r>
              <w:rPr>
                <w:rFonts w:hint="eastAsia" w:ascii="Times New Roman" w:hAnsi="Times New Roman" w:eastAsia="宋体"/>
                <w:bCs/>
                <w:color w:val="auto"/>
                <w:szCs w:val="21"/>
                <w:highlight w:val="none"/>
                <w:lang w:val="en-US" w:eastAsia="zh-CN"/>
              </w:rPr>
              <w:t>注：汽油密度约为0.76t/m</w:t>
            </w:r>
            <w:r>
              <w:rPr>
                <w:rFonts w:hint="eastAsia" w:ascii="Times New Roman" w:hAnsi="Times New Roman" w:eastAsia="宋体"/>
                <w:bCs/>
                <w:color w:val="auto"/>
                <w:szCs w:val="21"/>
                <w:highlight w:val="none"/>
                <w:vertAlign w:val="superscript"/>
                <w:lang w:val="en-US" w:eastAsia="zh-CN"/>
              </w:rPr>
              <w:t>3</w:t>
            </w:r>
            <w:r>
              <w:rPr>
                <w:rFonts w:hint="eastAsia" w:ascii="Times New Roman" w:hAnsi="Times New Roman" w:eastAsia="宋体"/>
                <w:bCs/>
                <w:color w:val="auto"/>
                <w:szCs w:val="21"/>
                <w:highlight w:val="none"/>
                <w:lang w:val="en-US" w:eastAsia="zh-CN"/>
              </w:rPr>
              <w:t>、柴油密度约为0.82t/m</w:t>
            </w:r>
            <w:r>
              <w:rPr>
                <w:rFonts w:hint="eastAsia" w:ascii="Times New Roman" w:hAnsi="Times New Roman" w:eastAsia="宋体"/>
                <w:bCs/>
                <w:color w:val="auto"/>
                <w:szCs w:val="21"/>
                <w:highlight w:val="none"/>
                <w:vertAlign w:val="superscript"/>
                <w:lang w:val="en-US" w:eastAsia="zh-CN"/>
              </w:rPr>
              <w:t>3</w:t>
            </w:r>
            <w:r>
              <w:rPr>
                <w:rFonts w:hint="eastAsia" w:ascii="Times New Roman" w:hAnsi="Times New Roman" w:eastAsia="宋体"/>
                <w:bCs/>
                <w:color w:val="auto"/>
                <w:szCs w:val="21"/>
                <w:highlight w:val="none"/>
                <w:lang w:val="en-US" w:eastAsia="zh-CN"/>
              </w:rPr>
              <w:t>，最大填充系数为0.9</w:t>
            </w:r>
          </w:p>
        </w:tc>
      </w:tr>
    </w:tbl>
    <w:p w14:paraId="0665433C">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outlineLvl w:val="9"/>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b/>
          <w:color w:val="auto"/>
          <w:sz w:val="24"/>
          <w:szCs w:val="20"/>
          <w:highlight w:val="none"/>
          <w:lang w:val="en-US" w:eastAsia="zh-CN"/>
        </w:rPr>
        <w:t>氢气质量标准：</w:t>
      </w:r>
      <w:r>
        <w:rPr>
          <w:rFonts w:hint="eastAsia" w:ascii="Times New Roman" w:hAnsi="Times New Roman" w:eastAsia="宋体" w:cs="Times New Roman"/>
          <w:b w:val="0"/>
          <w:bCs w:val="0"/>
          <w:color w:val="auto"/>
          <w:sz w:val="24"/>
          <w:szCs w:val="24"/>
          <w:highlight w:val="none"/>
          <w:lang w:val="en-US" w:eastAsia="zh-CN"/>
        </w:rPr>
        <w:t>拟建制氢站的产品工业氢主要用于站内汽车加氢使用，剩余部分通过产品专用运输车（长管车）运输出厂，氢气加氢站进站氢气的质量应符合现行国家标准《纯氢、高纯氢气和超纯氢》GB/T3634.2-2011中</w:t>
      </w:r>
      <w:r>
        <w:rPr>
          <w:rFonts w:hint="eastAsia" w:cs="Times New Roman"/>
          <w:b w:val="0"/>
          <w:bCs w:val="0"/>
          <w:color w:val="auto"/>
          <w:sz w:val="24"/>
          <w:szCs w:val="24"/>
          <w:highlight w:val="none"/>
          <w:lang w:val="en-US" w:eastAsia="zh-CN"/>
        </w:rPr>
        <w:t>规定</w:t>
      </w:r>
      <w:r>
        <w:rPr>
          <w:rFonts w:hint="eastAsia" w:ascii="Times New Roman" w:hAnsi="Times New Roman" w:eastAsia="宋体" w:cs="Times New Roman"/>
          <w:b w:val="0"/>
          <w:bCs w:val="0"/>
          <w:color w:val="auto"/>
          <w:sz w:val="24"/>
          <w:szCs w:val="24"/>
          <w:highlight w:val="none"/>
          <w:lang w:val="en-US" w:eastAsia="zh-CN"/>
        </w:rPr>
        <w:t>的纯氢气质量标准。氢气出站的质量应按用户要求确定，并应符合下列要求：</w:t>
      </w:r>
    </w:p>
    <w:p w14:paraId="6DE8860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9"/>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①用于氢气内燃汽车或氢气天然气混合燃料汽车的氢气质量应符合现行国家标准《纯氢、高纯氢气和超纯氢》GB/T3634.2-2011的规定。</w:t>
      </w:r>
    </w:p>
    <w:p w14:paraId="0FE8F45A">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②用于燃料电池电动汽车等的氢气，应符合燃料电池氢源标准的规定</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具体标准视运营车型而定。</w:t>
      </w:r>
    </w:p>
    <w:p w14:paraId="46B42D98">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outlineLvl w:val="9"/>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充装装置规模与氢气产能匹配性分析：</w:t>
      </w:r>
      <w:r>
        <w:rPr>
          <w:rFonts w:hint="eastAsia" w:ascii="Times New Roman" w:hAnsi="Times New Roman" w:eastAsia="宋体" w:cs="Times New Roman"/>
          <w:b w:val="0"/>
          <w:bCs w:val="0"/>
          <w:color w:val="auto"/>
          <w:sz w:val="24"/>
          <w:szCs w:val="24"/>
          <w:highlight w:val="none"/>
          <w:lang w:val="en-US" w:eastAsia="zh-CN"/>
        </w:rPr>
        <w:t>本项目共设置3套500Nm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/h制氢装置，氢气产能为1080万Nm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/a，项目设置2组26立方（20MPa）氢气储气瓶组和2组12立方（45MPa）氢气储气瓶组，单个26立方（20MPa）可存储20MPa氢气420kg，单个12立方（45MPa）可存储45MPa氢气430kg，可满足1500Nm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/h（134.85kg/h）氢气产能下，约12.6小时的氢气存储，储氢瓶组可通过压差实现向长管拖车平压，实现快速充装。</w:t>
      </w:r>
    </w:p>
    <w:p w14:paraId="0F279D4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outlineLvl w:val="9"/>
        <w:rPr>
          <w:rFonts w:hint="eastAsia" w:ascii="Times New Roman" w:hAnsi="Times New Roman" w:eastAsia="宋体" w:cs="Times New Roman"/>
          <w:b w:val="0"/>
          <w:bCs w:val="0"/>
          <w:color w:val="auto"/>
          <w:sz w:val="24"/>
          <w:szCs w:val="24"/>
          <w:highlight w:val="none"/>
          <w:lang w:val="en-US" w:eastAsia="zh-CN"/>
        </w:rPr>
      </w:pPr>
      <w:r>
        <w:rPr>
          <w:rFonts w:hint="eastAsia" w:ascii="Times New Roman" w:hAnsi="Times New Roman" w:eastAsia="宋体" w:cs="Times New Roman"/>
          <w:b w:val="0"/>
          <w:bCs w:val="0"/>
          <w:color w:val="auto"/>
          <w:sz w:val="24"/>
          <w:szCs w:val="24"/>
          <w:highlight w:val="none"/>
          <w:lang w:val="en-US" w:eastAsia="zh-CN"/>
        </w:rPr>
        <w:t>站内设置两个氢气长管拖车车位</w:t>
      </w:r>
      <w:r>
        <w:rPr>
          <w:rFonts w:hint="eastAsia"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氢气长管拖车为22.5m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lang w:val="en-US" w:eastAsia="zh-CN"/>
        </w:rPr>
        <w:t>，充装压力为20MPa，考虑长管拖车需保留≥5MPa的氢气余量，充装量为270kg/车，单车充装时间约2小时，因此在站内剩余气量较大的情况下能够有效充装剩余氢气。因此，项目的充装装置规模与氢气产能相匹配。</w:t>
      </w:r>
    </w:p>
    <w:p w14:paraId="5D8C54B4">
      <w:pPr>
        <w:pStyle w:val="4"/>
        <w:spacing w:after="156"/>
        <w:rPr>
          <w:color w:val="auto"/>
          <w:highlight w:val="none"/>
        </w:rPr>
      </w:pPr>
      <w:bookmarkStart w:id="182" w:name="_Toc152922596"/>
      <w:bookmarkStart w:id="183" w:name="_Toc152923277"/>
      <w:bookmarkStart w:id="184" w:name="_Toc117150225"/>
      <w:bookmarkStart w:id="185" w:name="_Toc152922002"/>
      <w:bookmarkStart w:id="186" w:name="_Toc152921637"/>
      <w:r>
        <w:rPr>
          <w:color w:val="auto"/>
          <w:highlight w:val="none"/>
        </w:rPr>
        <w:t>3.</w:t>
      </w:r>
      <w:r>
        <w:rPr>
          <w:rFonts w:hint="eastAsia"/>
          <w:color w:val="auto"/>
          <w:highlight w:val="none"/>
          <w:lang w:val="en-US" w:eastAsia="zh-CN"/>
        </w:rPr>
        <w:t>1</w:t>
      </w:r>
      <w:r>
        <w:rPr>
          <w:color w:val="auto"/>
          <w:highlight w:val="none"/>
        </w:rPr>
        <w:t>.4生产设备</w:t>
      </w:r>
      <w:bookmarkEnd w:id="182"/>
      <w:bookmarkEnd w:id="183"/>
      <w:bookmarkEnd w:id="184"/>
      <w:bookmarkEnd w:id="185"/>
      <w:bookmarkEnd w:id="186"/>
    </w:p>
    <w:p w14:paraId="20C80D60">
      <w:pPr>
        <w:spacing w:line="360" w:lineRule="auto"/>
        <w:ind w:firstLine="480" w:firstLineChars="200"/>
        <w:rPr>
          <w:rFonts w:ascii="Times New Roman" w:hAnsi="Times New Roman" w:eastAsia="宋体"/>
          <w:color w:val="auto"/>
          <w:sz w:val="24"/>
          <w:highlight w:val="none"/>
        </w:rPr>
      </w:pPr>
      <w:r>
        <w:rPr>
          <w:rFonts w:ascii="Times New Roman" w:hAnsi="Times New Roman" w:eastAsia="宋体"/>
          <w:color w:val="auto"/>
          <w:sz w:val="24"/>
          <w:highlight w:val="none"/>
        </w:rPr>
        <w:t>生产设施具体见表3.</w:t>
      </w:r>
      <w:r>
        <w:rPr>
          <w:rFonts w:hint="eastAsia" w:ascii="Times New Roman" w:hAnsi="Times New Roman" w:eastAsia="宋体"/>
          <w:color w:val="auto"/>
          <w:sz w:val="24"/>
          <w:highlight w:val="none"/>
          <w:lang w:val="en-US" w:eastAsia="zh-CN"/>
        </w:rPr>
        <w:t>1</w:t>
      </w:r>
      <w:r>
        <w:rPr>
          <w:rFonts w:ascii="Times New Roman" w:hAnsi="Times New Roman" w:eastAsia="宋体"/>
          <w:color w:val="auto"/>
          <w:sz w:val="24"/>
          <w:highlight w:val="none"/>
        </w:rPr>
        <w:t>.4-1所示。</w:t>
      </w:r>
    </w:p>
    <w:p w14:paraId="7FA7093E">
      <w:pPr>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表3.</w:t>
      </w:r>
      <w:r>
        <w:rPr>
          <w:rFonts w:hint="eastAsia" w:ascii="Times New Roman" w:hAnsi="Times New Roman" w:eastAsia="宋体"/>
          <w:b/>
          <w:color w:val="auto"/>
          <w:sz w:val="24"/>
          <w:highlight w:val="none"/>
          <w:lang w:val="en-US" w:eastAsia="zh-CN"/>
        </w:rPr>
        <w:t>1</w:t>
      </w:r>
      <w:r>
        <w:rPr>
          <w:rFonts w:ascii="Times New Roman" w:hAnsi="Times New Roman" w:eastAsia="宋体"/>
          <w:b/>
          <w:color w:val="auto"/>
          <w:sz w:val="24"/>
          <w:highlight w:val="none"/>
        </w:rPr>
        <w:t>.4-1</w:t>
      </w:r>
      <w:r>
        <w:rPr>
          <w:rFonts w:hint="eastAsia"/>
          <w:b/>
          <w:color w:val="auto"/>
          <w:sz w:val="24"/>
          <w:highlight w:val="none"/>
          <w:lang w:val="en-US" w:eastAsia="zh-CN"/>
        </w:rPr>
        <w:t xml:space="preserve">  </w:t>
      </w:r>
      <w:r>
        <w:rPr>
          <w:rFonts w:ascii="Times New Roman" w:hAnsi="Times New Roman" w:eastAsia="宋体"/>
          <w:b/>
          <w:color w:val="auto"/>
          <w:sz w:val="24"/>
          <w:highlight w:val="none"/>
        </w:rPr>
        <w:t>本项目主要生产设施</w:t>
      </w:r>
    </w:p>
    <w:tbl>
      <w:tblPr>
        <w:tblStyle w:val="4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54"/>
        <w:gridCol w:w="827"/>
        <w:gridCol w:w="1783"/>
        <w:gridCol w:w="2759"/>
        <w:gridCol w:w="755"/>
        <w:gridCol w:w="1744"/>
      </w:tblGrid>
      <w:tr w14:paraId="2B4190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0"/>
            <w:vAlign w:val="center"/>
          </w:tcPr>
          <w:p w14:paraId="5019CB03">
            <w:pPr>
              <w:widowControl/>
              <w:snapToGrid w:val="0"/>
              <w:jc w:val="center"/>
              <w:rPr>
                <w:rFonts w:ascii="Times New Roman" w:hAnsi="Times New Roman" w:eastAsia="宋体"/>
                <w:b/>
                <w:bCs/>
                <w:color w:val="auto"/>
                <w:kern w:val="0"/>
                <w:szCs w:val="21"/>
                <w:highlight w:val="none"/>
              </w:rPr>
            </w:pPr>
            <w:r>
              <w:rPr>
                <w:rFonts w:ascii="Times New Roman" w:hAnsi="宋体" w:eastAsia="宋体"/>
                <w:b/>
                <w:bCs/>
                <w:color w:val="auto"/>
                <w:kern w:val="0"/>
                <w:szCs w:val="21"/>
                <w:highlight w:val="none"/>
              </w:rPr>
              <w:t>序号</w:t>
            </w:r>
          </w:p>
        </w:tc>
        <w:tc>
          <w:tcPr>
            <w:tcW w:w="485" w:type="pct"/>
            <w:tcBorders>
              <w:tl2br w:val="nil"/>
              <w:tr2bl w:val="nil"/>
            </w:tcBorders>
            <w:noWrap w:val="0"/>
            <w:vAlign w:val="center"/>
          </w:tcPr>
          <w:p w14:paraId="0E2924BA">
            <w:pPr>
              <w:widowControl/>
              <w:snapToGrid w:val="0"/>
              <w:jc w:val="center"/>
              <w:rPr>
                <w:rFonts w:ascii="Times New Roman" w:hAnsi="Times New Roman" w:eastAsia="宋体"/>
                <w:b/>
                <w:bCs/>
                <w:color w:val="auto"/>
                <w:kern w:val="0"/>
                <w:szCs w:val="21"/>
                <w:highlight w:val="none"/>
              </w:rPr>
            </w:pPr>
            <w:r>
              <w:rPr>
                <w:rFonts w:ascii="Times New Roman" w:hAnsi="宋体" w:eastAsia="宋体"/>
                <w:b/>
                <w:bCs/>
                <w:color w:val="auto"/>
                <w:kern w:val="0"/>
                <w:szCs w:val="21"/>
                <w:highlight w:val="none"/>
              </w:rPr>
              <w:t>类别</w:t>
            </w:r>
          </w:p>
        </w:tc>
        <w:tc>
          <w:tcPr>
            <w:tcW w:w="1046" w:type="pct"/>
            <w:tcBorders>
              <w:tl2br w:val="nil"/>
              <w:tr2bl w:val="nil"/>
            </w:tcBorders>
            <w:noWrap w:val="0"/>
            <w:vAlign w:val="center"/>
          </w:tcPr>
          <w:p w14:paraId="38870AB8">
            <w:pPr>
              <w:widowControl/>
              <w:snapToGrid w:val="0"/>
              <w:jc w:val="center"/>
              <w:rPr>
                <w:rFonts w:ascii="Times New Roman" w:hAnsi="Times New Roman" w:eastAsia="宋体"/>
                <w:b/>
                <w:bCs/>
                <w:color w:val="auto"/>
                <w:kern w:val="0"/>
                <w:szCs w:val="21"/>
                <w:highlight w:val="none"/>
              </w:rPr>
            </w:pPr>
            <w:r>
              <w:rPr>
                <w:rFonts w:ascii="Times New Roman" w:hAnsi="宋体" w:eastAsia="宋体"/>
                <w:b/>
                <w:bCs/>
                <w:color w:val="auto"/>
                <w:kern w:val="0"/>
                <w:szCs w:val="21"/>
                <w:highlight w:val="none"/>
              </w:rPr>
              <w:t>设备名称</w:t>
            </w:r>
          </w:p>
        </w:tc>
        <w:tc>
          <w:tcPr>
            <w:tcW w:w="1618" w:type="pct"/>
            <w:tcBorders>
              <w:tl2br w:val="nil"/>
              <w:tr2bl w:val="nil"/>
            </w:tcBorders>
            <w:noWrap w:val="0"/>
            <w:vAlign w:val="center"/>
          </w:tcPr>
          <w:p w14:paraId="6BC4E235">
            <w:pPr>
              <w:widowControl/>
              <w:snapToGrid w:val="0"/>
              <w:jc w:val="center"/>
              <w:rPr>
                <w:rFonts w:ascii="Times New Roman" w:hAnsi="Times New Roman" w:eastAsia="宋体"/>
                <w:b/>
                <w:bCs/>
                <w:color w:val="auto"/>
                <w:kern w:val="0"/>
                <w:szCs w:val="21"/>
                <w:highlight w:val="none"/>
              </w:rPr>
            </w:pPr>
            <w:r>
              <w:rPr>
                <w:rFonts w:ascii="Times New Roman" w:hAnsi="宋体" w:eastAsia="宋体"/>
                <w:b/>
                <w:bCs/>
                <w:color w:val="auto"/>
                <w:kern w:val="0"/>
                <w:szCs w:val="21"/>
                <w:highlight w:val="none"/>
              </w:rPr>
              <w:t>型号</w:t>
            </w:r>
            <w:r>
              <w:rPr>
                <w:rFonts w:ascii="Times New Roman" w:hAnsi="Times New Roman" w:eastAsia="宋体"/>
                <w:b/>
                <w:bCs/>
                <w:color w:val="auto"/>
                <w:kern w:val="0"/>
                <w:szCs w:val="21"/>
                <w:highlight w:val="none"/>
              </w:rPr>
              <w:t>/</w:t>
            </w:r>
            <w:r>
              <w:rPr>
                <w:rFonts w:ascii="Times New Roman" w:hAnsi="宋体" w:eastAsia="宋体"/>
                <w:b/>
                <w:bCs/>
                <w:color w:val="auto"/>
                <w:kern w:val="0"/>
                <w:szCs w:val="21"/>
                <w:highlight w:val="none"/>
              </w:rPr>
              <w:t>规格</w:t>
            </w:r>
          </w:p>
        </w:tc>
        <w:tc>
          <w:tcPr>
            <w:tcW w:w="442" w:type="pct"/>
            <w:tcBorders>
              <w:tl2br w:val="nil"/>
              <w:tr2bl w:val="nil"/>
            </w:tcBorders>
            <w:noWrap w:val="0"/>
            <w:vAlign w:val="center"/>
          </w:tcPr>
          <w:p w14:paraId="677555E9">
            <w:pPr>
              <w:widowControl/>
              <w:snapToGrid w:val="0"/>
              <w:jc w:val="center"/>
              <w:rPr>
                <w:rFonts w:ascii="Times New Roman" w:hAnsi="Times New Roman" w:eastAsia="宋体"/>
                <w:b/>
                <w:bCs/>
                <w:color w:val="auto"/>
                <w:kern w:val="0"/>
                <w:szCs w:val="21"/>
                <w:highlight w:val="none"/>
              </w:rPr>
            </w:pPr>
            <w:r>
              <w:rPr>
                <w:rFonts w:ascii="Times New Roman" w:hAnsi="宋体" w:eastAsia="宋体"/>
                <w:b/>
                <w:bCs/>
                <w:color w:val="auto"/>
                <w:kern w:val="0"/>
                <w:szCs w:val="21"/>
                <w:highlight w:val="none"/>
              </w:rPr>
              <w:t>数量</w:t>
            </w:r>
          </w:p>
        </w:tc>
        <w:tc>
          <w:tcPr>
            <w:tcW w:w="1023" w:type="pct"/>
            <w:tcBorders>
              <w:tl2br w:val="nil"/>
              <w:tr2bl w:val="nil"/>
            </w:tcBorders>
            <w:noWrap w:val="0"/>
            <w:vAlign w:val="center"/>
          </w:tcPr>
          <w:p w14:paraId="0DEA8696">
            <w:pPr>
              <w:widowControl/>
              <w:snapToGrid w:val="0"/>
              <w:jc w:val="center"/>
              <w:rPr>
                <w:rFonts w:hint="eastAsia" w:ascii="Times New Roman" w:hAnsi="宋体" w:eastAsia="宋体"/>
                <w:b/>
                <w:bCs/>
                <w:color w:val="auto"/>
                <w:kern w:val="0"/>
                <w:szCs w:val="21"/>
                <w:highlight w:val="none"/>
                <w:lang w:val="en-US" w:eastAsia="zh-CN"/>
              </w:rPr>
            </w:pPr>
            <w:r>
              <w:rPr>
                <w:rFonts w:hint="eastAsia" w:ascii="Times New Roman" w:hAnsi="宋体" w:eastAsia="宋体"/>
                <w:b/>
                <w:bCs/>
                <w:color w:val="auto"/>
                <w:kern w:val="0"/>
                <w:szCs w:val="21"/>
                <w:highlight w:val="none"/>
                <w:lang w:val="en-US" w:eastAsia="zh-CN"/>
              </w:rPr>
              <w:t>备注</w:t>
            </w:r>
          </w:p>
        </w:tc>
      </w:tr>
      <w:tr w14:paraId="71BD26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705D71EB">
            <w:pPr>
              <w:widowControl/>
              <w:snapToGrid w:val="0"/>
              <w:jc w:val="center"/>
              <w:rPr>
                <w:rFonts w:ascii="Times New Roman" w:hAnsi="Times New Roman" w:eastAsia="宋体"/>
                <w:bCs/>
                <w:color w:val="auto"/>
                <w:kern w:val="0"/>
                <w:szCs w:val="21"/>
                <w:highlight w:val="none"/>
              </w:rPr>
            </w:pPr>
            <w:r>
              <w:rPr>
                <w:rFonts w:ascii="Times New Roman" w:hAnsi="Times New Roman" w:eastAsia="宋体"/>
                <w:bCs/>
                <w:color w:val="auto"/>
                <w:kern w:val="0"/>
                <w:szCs w:val="21"/>
                <w:highlight w:val="none"/>
              </w:rPr>
              <w:t>1</w:t>
            </w:r>
          </w:p>
        </w:tc>
        <w:tc>
          <w:tcPr>
            <w:tcW w:w="485" w:type="pct"/>
            <w:vMerge w:val="restart"/>
            <w:tcBorders>
              <w:tl2br w:val="nil"/>
              <w:tr2bl w:val="nil"/>
            </w:tcBorders>
            <w:noWrap/>
            <w:vAlign w:val="center"/>
          </w:tcPr>
          <w:p w14:paraId="20BA9F2A">
            <w:pPr>
              <w:widowControl/>
              <w:snapToGrid w:val="0"/>
              <w:jc w:val="center"/>
              <w:rPr>
                <w:rFonts w:hint="default" w:ascii="Times New Roman" w:hAnsi="Times New Roman" w:eastAsia="宋体"/>
                <w:bCs/>
                <w:color w:val="auto"/>
                <w:kern w:val="0"/>
                <w:szCs w:val="21"/>
                <w:highlight w:val="none"/>
                <w:lang w:val="en-US" w:eastAsia="zh-CN"/>
              </w:rPr>
            </w:pPr>
            <w:r>
              <w:rPr>
                <w:rFonts w:hint="eastAsia" w:hAnsi="宋体"/>
                <w:b/>
                <w:bCs w:val="0"/>
                <w:color w:val="auto"/>
                <w:kern w:val="0"/>
                <w:szCs w:val="21"/>
                <w:highlight w:val="none"/>
                <w:lang w:val="en-US" w:eastAsia="zh-CN"/>
              </w:rPr>
              <w:t>制氢工艺区</w:t>
            </w:r>
          </w:p>
        </w:tc>
        <w:tc>
          <w:tcPr>
            <w:tcW w:w="1046" w:type="pct"/>
            <w:tcBorders>
              <w:tl2br w:val="nil"/>
              <w:tr2bl w:val="nil"/>
            </w:tcBorders>
            <w:noWrap/>
            <w:vAlign w:val="center"/>
          </w:tcPr>
          <w:p w14:paraId="14952ECE">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撬装式制氢设备</w:t>
            </w:r>
          </w:p>
        </w:tc>
        <w:tc>
          <w:tcPr>
            <w:tcW w:w="1618" w:type="pct"/>
            <w:tcBorders>
              <w:tl2br w:val="nil"/>
              <w:tr2bl w:val="nil"/>
            </w:tcBorders>
            <w:noWrap/>
            <w:vAlign w:val="center"/>
          </w:tcPr>
          <w:p w14:paraId="081AFBA3">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制氢能力</w:t>
            </w:r>
            <w:r>
              <w:rPr>
                <w:rFonts w:hint="eastAsia" w:ascii="Times New Roman" w:hAnsi="Times New Roman" w:eastAsia="宋体"/>
                <w:bCs/>
                <w:color w:val="auto"/>
                <w:kern w:val="0"/>
                <w:szCs w:val="21"/>
                <w:highlight w:val="none"/>
              </w:rPr>
              <w:t>500Nm</w:t>
            </w:r>
            <w:r>
              <w:rPr>
                <w:rFonts w:hint="eastAsia" w:ascii="Times New Roman" w:hAnsi="Times New Roman" w:eastAsia="宋体"/>
                <w:bCs/>
                <w:color w:val="auto"/>
                <w:kern w:val="0"/>
                <w:szCs w:val="21"/>
                <w:highlight w:val="none"/>
                <w:vertAlign w:val="superscript"/>
              </w:rPr>
              <w:t>3</w:t>
            </w:r>
            <w:r>
              <w:rPr>
                <w:rFonts w:hint="eastAsia" w:ascii="Times New Roman" w:hAnsi="Times New Roman" w:eastAsia="宋体"/>
                <w:bCs/>
                <w:color w:val="auto"/>
                <w:kern w:val="0"/>
                <w:szCs w:val="21"/>
                <w:highlight w:val="none"/>
              </w:rPr>
              <w:t>/h</w:t>
            </w:r>
          </w:p>
        </w:tc>
        <w:tc>
          <w:tcPr>
            <w:tcW w:w="442" w:type="pct"/>
            <w:tcBorders>
              <w:tl2br w:val="nil"/>
              <w:tr2bl w:val="nil"/>
            </w:tcBorders>
            <w:noWrap/>
            <w:vAlign w:val="center"/>
          </w:tcPr>
          <w:p w14:paraId="2FC60302">
            <w:pPr>
              <w:widowControl/>
              <w:snapToGrid w:val="0"/>
              <w:jc w:val="center"/>
              <w:rPr>
                <w:rFonts w:hint="eastAsia" w:ascii="Times New Roman" w:hAnsi="Times New Roman" w:eastAsia="宋体"/>
                <w:bCs/>
                <w:color w:val="auto"/>
                <w:kern w:val="0"/>
                <w:szCs w:val="21"/>
                <w:highlight w:val="none"/>
                <w:lang w:eastAsia="zh-CN"/>
              </w:rPr>
            </w:pPr>
            <w:r>
              <w:rPr>
                <w:rFonts w:hint="eastAsia" w:ascii="Times New Roman" w:hAnsi="Times New Roman" w:eastAsia="宋体"/>
                <w:bCs/>
                <w:color w:val="auto"/>
                <w:kern w:val="0"/>
                <w:szCs w:val="21"/>
                <w:highlight w:val="none"/>
                <w:lang w:val="en-US" w:eastAsia="zh-CN"/>
              </w:rPr>
              <w:t>3</w:t>
            </w:r>
          </w:p>
        </w:tc>
        <w:tc>
          <w:tcPr>
            <w:tcW w:w="1023" w:type="pct"/>
            <w:tcBorders>
              <w:tl2br w:val="nil"/>
              <w:tr2bl w:val="nil"/>
            </w:tcBorders>
            <w:noWrap/>
            <w:vAlign w:val="center"/>
          </w:tcPr>
          <w:p w14:paraId="1459D660">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制氢</w:t>
            </w:r>
          </w:p>
        </w:tc>
      </w:tr>
      <w:tr w14:paraId="675C3F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4" w:hRule="exact"/>
          <w:jc w:val="center"/>
        </w:trPr>
        <w:tc>
          <w:tcPr>
            <w:tcW w:w="383" w:type="pct"/>
            <w:tcBorders>
              <w:tl2br w:val="nil"/>
              <w:tr2bl w:val="nil"/>
            </w:tcBorders>
            <w:noWrap/>
            <w:vAlign w:val="center"/>
          </w:tcPr>
          <w:p w14:paraId="7AC503E5">
            <w:pPr>
              <w:widowControl/>
              <w:snapToGrid w:val="0"/>
              <w:jc w:val="center"/>
              <w:rPr>
                <w:rFonts w:ascii="Times New Roman" w:hAnsi="Times New Roman" w:eastAsia="宋体"/>
                <w:bCs/>
                <w:color w:val="auto"/>
                <w:kern w:val="0"/>
                <w:szCs w:val="21"/>
                <w:highlight w:val="none"/>
              </w:rPr>
            </w:pPr>
            <w:r>
              <w:rPr>
                <w:rFonts w:ascii="Times New Roman" w:hAnsi="Times New Roman" w:eastAsia="宋体"/>
                <w:bCs/>
                <w:color w:val="auto"/>
                <w:kern w:val="0"/>
                <w:szCs w:val="21"/>
                <w:highlight w:val="none"/>
              </w:rPr>
              <w:t>2</w:t>
            </w:r>
          </w:p>
        </w:tc>
        <w:tc>
          <w:tcPr>
            <w:tcW w:w="485" w:type="pct"/>
            <w:vMerge w:val="continue"/>
            <w:tcBorders>
              <w:tl2br w:val="nil"/>
              <w:tr2bl w:val="nil"/>
            </w:tcBorders>
            <w:noWrap w:val="0"/>
            <w:vAlign w:val="center"/>
          </w:tcPr>
          <w:p w14:paraId="68881000">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61A1C18C">
            <w:pPr>
              <w:widowControl/>
              <w:snapToGrid w:val="0"/>
              <w:jc w:val="center"/>
              <w:rPr>
                <w:rFonts w:ascii="Times New Roman" w:hAnsi="Times New Roman" w:eastAsia="宋体"/>
                <w:bCs/>
                <w:color w:val="auto"/>
                <w:kern w:val="0"/>
                <w:szCs w:val="21"/>
                <w:highlight w:val="none"/>
              </w:rPr>
            </w:pPr>
            <w:r>
              <w:rPr>
                <w:rFonts w:hint="eastAsia" w:ascii="Times New Roman" w:hAnsi="宋体" w:eastAsia="宋体"/>
                <w:bCs/>
                <w:color w:val="auto"/>
                <w:kern w:val="0"/>
                <w:szCs w:val="21"/>
                <w:highlight w:val="none"/>
              </w:rPr>
              <w:t>氢气压缩机</w:t>
            </w:r>
          </w:p>
        </w:tc>
        <w:tc>
          <w:tcPr>
            <w:tcW w:w="1618" w:type="pct"/>
            <w:tcBorders>
              <w:tl2br w:val="nil"/>
              <w:tr2bl w:val="nil"/>
            </w:tcBorders>
            <w:noWrap/>
            <w:vAlign w:val="center"/>
          </w:tcPr>
          <w:p w14:paraId="748BA655">
            <w:pPr>
              <w:widowControl/>
              <w:snapToGrid w:val="0"/>
              <w:jc w:val="center"/>
              <w:rPr>
                <w:rFonts w:hint="default" w:ascii="Times New Roman" w:hAnsi="Times New Roman" w:eastAsia="宋体"/>
                <w:bCs/>
                <w:color w:val="auto"/>
                <w:kern w:val="0"/>
                <w:szCs w:val="21"/>
                <w:highlight w:val="none"/>
                <w:lang w:val="en-US" w:eastAsia="zh-CN"/>
              </w:rPr>
            </w:pPr>
            <w:r>
              <w:rPr>
                <w:rFonts w:hint="eastAsia"/>
                <w:bCs/>
                <w:color w:val="auto"/>
                <w:kern w:val="0"/>
                <w:szCs w:val="21"/>
                <w:highlight w:val="none"/>
                <w:lang w:val="en-US" w:eastAsia="zh-CN"/>
              </w:rPr>
              <w:t>流量：500Nm</w:t>
            </w:r>
            <w:r>
              <w:rPr>
                <w:rFonts w:hint="eastAsia"/>
                <w:bCs/>
                <w:color w:val="auto"/>
                <w:kern w:val="0"/>
                <w:szCs w:val="21"/>
                <w:highlight w:val="none"/>
                <w:vertAlign w:val="superscript"/>
                <w:lang w:val="en-US" w:eastAsia="zh-CN"/>
              </w:rPr>
              <w:t>3</w:t>
            </w:r>
            <w:r>
              <w:rPr>
                <w:rFonts w:hint="eastAsia"/>
                <w:bCs/>
                <w:color w:val="auto"/>
                <w:kern w:val="0"/>
                <w:szCs w:val="21"/>
                <w:highlight w:val="none"/>
                <w:lang w:val="en-US" w:eastAsia="zh-CN"/>
              </w:rPr>
              <w:t>/h；压力：1.7～20Mpa</w:t>
            </w:r>
          </w:p>
        </w:tc>
        <w:tc>
          <w:tcPr>
            <w:tcW w:w="442" w:type="pct"/>
            <w:tcBorders>
              <w:tl2br w:val="nil"/>
              <w:tr2bl w:val="nil"/>
            </w:tcBorders>
            <w:noWrap/>
            <w:vAlign w:val="center"/>
          </w:tcPr>
          <w:p w14:paraId="5B08768F">
            <w:pPr>
              <w:widowControl/>
              <w:snapToGrid w:val="0"/>
              <w:jc w:val="center"/>
              <w:rPr>
                <w:rFonts w:hint="eastAsia" w:ascii="Times New Roman" w:hAnsi="Times New Roman" w:eastAsia="宋体"/>
                <w:bCs/>
                <w:color w:val="auto"/>
                <w:kern w:val="0"/>
                <w:szCs w:val="21"/>
                <w:highlight w:val="none"/>
                <w:lang w:eastAsia="zh-CN"/>
              </w:rPr>
            </w:pPr>
            <w:r>
              <w:rPr>
                <w:rFonts w:hint="eastAsia" w:ascii="Times New Roman" w:hAnsi="Times New Roman" w:eastAsia="宋体"/>
                <w:bCs/>
                <w:color w:val="auto"/>
                <w:kern w:val="0"/>
                <w:szCs w:val="21"/>
                <w:highlight w:val="none"/>
                <w:lang w:val="en-US" w:eastAsia="zh-CN"/>
              </w:rPr>
              <w:t>4</w:t>
            </w:r>
          </w:p>
        </w:tc>
        <w:tc>
          <w:tcPr>
            <w:tcW w:w="1023" w:type="pct"/>
            <w:tcBorders>
              <w:tl2br w:val="nil"/>
              <w:tr2bl w:val="nil"/>
            </w:tcBorders>
            <w:noWrap/>
            <w:vAlign w:val="center"/>
          </w:tcPr>
          <w:p w14:paraId="7786BE60">
            <w:pPr>
              <w:widowControl/>
              <w:snapToGrid w:val="0"/>
              <w:jc w:val="center"/>
              <w:rPr>
                <w:rFonts w:hint="default" w:ascii="Times New Roman" w:hAnsi="Times New Roman" w:eastAsia="宋体"/>
                <w:bCs/>
                <w:color w:val="auto"/>
                <w:kern w:val="0"/>
                <w:szCs w:val="21"/>
                <w:highlight w:val="none"/>
                <w:lang w:val="en-US"/>
              </w:rPr>
            </w:pPr>
            <w:r>
              <w:rPr>
                <w:rFonts w:hint="eastAsia" w:ascii="Times New Roman" w:hAnsi="宋体" w:eastAsia="宋体"/>
                <w:bCs/>
                <w:color w:val="auto"/>
                <w:kern w:val="0"/>
                <w:szCs w:val="21"/>
                <w:highlight w:val="none"/>
                <w:lang w:val="en-US" w:eastAsia="zh-CN"/>
              </w:rPr>
              <w:t>2用2备，氢气压缩</w:t>
            </w:r>
          </w:p>
        </w:tc>
      </w:tr>
      <w:tr w14:paraId="2752AE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9" w:hRule="exact"/>
          <w:jc w:val="center"/>
        </w:trPr>
        <w:tc>
          <w:tcPr>
            <w:tcW w:w="383" w:type="pct"/>
            <w:tcBorders>
              <w:tl2br w:val="nil"/>
              <w:tr2bl w:val="nil"/>
            </w:tcBorders>
            <w:noWrap/>
            <w:vAlign w:val="center"/>
          </w:tcPr>
          <w:p w14:paraId="72D2CBFB">
            <w:pPr>
              <w:widowControl/>
              <w:snapToGrid w:val="0"/>
              <w:jc w:val="center"/>
              <w:rPr>
                <w:rFonts w:ascii="Times New Roman" w:hAnsi="Times New Roman" w:eastAsia="宋体"/>
                <w:bCs/>
                <w:color w:val="auto"/>
                <w:kern w:val="0"/>
                <w:szCs w:val="21"/>
                <w:highlight w:val="none"/>
              </w:rPr>
            </w:pPr>
            <w:r>
              <w:rPr>
                <w:rFonts w:ascii="Times New Roman" w:hAnsi="Times New Roman" w:eastAsia="宋体"/>
                <w:bCs/>
                <w:color w:val="auto"/>
                <w:kern w:val="0"/>
                <w:szCs w:val="21"/>
                <w:highlight w:val="none"/>
              </w:rPr>
              <w:t>3</w:t>
            </w:r>
          </w:p>
        </w:tc>
        <w:tc>
          <w:tcPr>
            <w:tcW w:w="485" w:type="pct"/>
            <w:vMerge w:val="continue"/>
            <w:tcBorders>
              <w:tl2br w:val="nil"/>
              <w:tr2bl w:val="nil"/>
            </w:tcBorders>
            <w:noWrap w:val="0"/>
            <w:vAlign w:val="center"/>
          </w:tcPr>
          <w:p w14:paraId="3917B1EB">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4D0723AA">
            <w:pPr>
              <w:widowControl/>
              <w:snapToGrid w:val="0"/>
              <w:jc w:val="center"/>
              <w:rPr>
                <w:rFonts w:ascii="Times New Roman" w:hAnsi="Times New Roman" w:eastAsia="宋体"/>
                <w:bCs/>
                <w:color w:val="auto"/>
                <w:kern w:val="0"/>
                <w:szCs w:val="21"/>
                <w:highlight w:val="none"/>
              </w:rPr>
            </w:pPr>
            <w:r>
              <w:rPr>
                <w:rFonts w:hint="eastAsia" w:ascii="Times New Roman" w:hAnsi="宋体" w:eastAsia="宋体"/>
                <w:bCs/>
                <w:color w:val="auto"/>
                <w:kern w:val="0"/>
                <w:szCs w:val="21"/>
                <w:highlight w:val="none"/>
              </w:rPr>
              <w:t>冷水机</w:t>
            </w:r>
          </w:p>
        </w:tc>
        <w:tc>
          <w:tcPr>
            <w:tcW w:w="1618" w:type="pct"/>
            <w:tcBorders>
              <w:tl2br w:val="nil"/>
              <w:tr2bl w:val="nil"/>
            </w:tcBorders>
            <w:noWrap/>
            <w:vAlign w:val="center"/>
          </w:tcPr>
          <w:p w14:paraId="21C45C9B">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制冷量100</w:t>
            </w:r>
            <w:r>
              <w:rPr>
                <w:rFonts w:hint="eastAsia" w:ascii="Times New Roman" w:hAnsi="Times New Roman" w:eastAsia="宋体"/>
                <w:bCs/>
                <w:color w:val="auto"/>
                <w:kern w:val="0"/>
                <w:szCs w:val="21"/>
                <w:highlight w:val="none"/>
                <w:lang w:val="en-US" w:eastAsia="zh-CN"/>
              </w:rPr>
              <w:t>k</w:t>
            </w:r>
            <w:r>
              <w:rPr>
                <w:rFonts w:hint="eastAsia" w:ascii="Times New Roman" w:hAnsi="Times New Roman" w:eastAsia="宋体"/>
                <w:bCs/>
                <w:color w:val="auto"/>
                <w:kern w:val="0"/>
                <w:szCs w:val="21"/>
                <w:highlight w:val="none"/>
              </w:rPr>
              <w:t>W，电功率47</w:t>
            </w:r>
            <w:r>
              <w:rPr>
                <w:rFonts w:hint="eastAsia" w:ascii="Times New Roman" w:hAnsi="Times New Roman" w:eastAsia="宋体"/>
                <w:bCs/>
                <w:color w:val="auto"/>
                <w:kern w:val="0"/>
                <w:szCs w:val="21"/>
                <w:highlight w:val="none"/>
                <w:lang w:val="en-US" w:eastAsia="zh-CN"/>
              </w:rPr>
              <w:t>k</w:t>
            </w:r>
            <w:r>
              <w:rPr>
                <w:rFonts w:hint="eastAsia" w:ascii="Times New Roman" w:hAnsi="Times New Roman" w:eastAsia="宋体"/>
                <w:bCs/>
                <w:color w:val="auto"/>
                <w:kern w:val="0"/>
                <w:szCs w:val="21"/>
                <w:highlight w:val="none"/>
              </w:rPr>
              <w:t>W</w:t>
            </w:r>
          </w:p>
        </w:tc>
        <w:tc>
          <w:tcPr>
            <w:tcW w:w="442" w:type="pct"/>
            <w:tcBorders>
              <w:tl2br w:val="nil"/>
              <w:tr2bl w:val="nil"/>
            </w:tcBorders>
            <w:noWrap/>
            <w:vAlign w:val="center"/>
          </w:tcPr>
          <w:p w14:paraId="5B3AC13E">
            <w:pPr>
              <w:widowControl/>
              <w:snapToGrid w:val="0"/>
              <w:jc w:val="center"/>
              <w:rPr>
                <w:rFonts w:hint="eastAsia" w:ascii="Times New Roman" w:hAnsi="Times New Roman" w:eastAsia="宋体"/>
                <w:bCs/>
                <w:color w:val="auto"/>
                <w:kern w:val="0"/>
                <w:szCs w:val="21"/>
                <w:highlight w:val="none"/>
                <w:lang w:eastAsia="zh-CN"/>
              </w:rPr>
            </w:pPr>
            <w:r>
              <w:rPr>
                <w:rFonts w:hint="eastAsia" w:ascii="Times New Roman" w:hAnsi="Times New Roman" w:eastAsia="宋体"/>
                <w:bCs/>
                <w:color w:val="auto"/>
                <w:kern w:val="0"/>
                <w:szCs w:val="21"/>
                <w:highlight w:val="none"/>
                <w:lang w:val="en-US" w:eastAsia="zh-CN"/>
              </w:rPr>
              <w:t>5</w:t>
            </w:r>
          </w:p>
        </w:tc>
        <w:tc>
          <w:tcPr>
            <w:tcW w:w="1023" w:type="pct"/>
            <w:tcBorders>
              <w:tl2br w:val="nil"/>
              <w:tr2bl w:val="nil"/>
            </w:tcBorders>
            <w:noWrap/>
            <w:vAlign w:val="center"/>
          </w:tcPr>
          <w:p w14:paraId="18B5FB86">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压缩机冷却</w:t>
            </w:r>
          </w:p>
        </w:tc>
      </w:tr>
      <w:tr w14:paraId="5E3457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1B08BFE5">
            <w:pPr>
              <w:widowControl/>
              <w:snapToGrid w:val="0"/>
              <w:jc w:val="center"/>
              <w:rPr>
                <w:rFonts w:ascii="Times New Roman" w:hAnsi="Times New Roman" w:eastAsia="宋体"/>
                <w:bCs/>
                <w:color w:val="auto"/>
                <w:kern w:val="0"/>
                <w:szCs w:val="21"/>
                <w:highlight w:val="none"/>
              </w:rPr>
            </w:pPr>
            <w:r>
              <w:rPr>
                <w:rFonts w:ascii="Times New Roman" w:hAnsi="Times New Roman" w:eastAsia="宋体"/>
                <w:bCs/>
                <w:color w:val="auto"/>
                <w:kern w:val="0"/>
                <w:szCs w:val="21"/>
                <w:highlight w:val="none"/>
              </w:rPr>
              <w:t>4</w:t>
            </w:r>
          </w:p>
        </w:tc>
        <w:tc>
          <w:tcPr>
            <w:tcW w:w="485" w:type="pct"/>
            <w:vMerge w:val="continue"/>
            <w:tcBorders>
              <w:tl2br w:val="nil"/>
              <w:tr2bl w:val="nil"/>
            </w:tcBorders>
            <w:noWrap w:val="0"/>
            <w:vAlign w:val="center"/>
          </w:tcPr>
          <w:p w14:paraId="46B7C61F">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4548EAD0">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氢气压缩机</w:t>
            </w:r>
          </w:p>
        </w:tc>
        <w:tc>
          <w:tcPr>
            <w:tcW w:w="1618" w:type="pct"/>
            <w:tcBorders>
              <w:tl2br w:val="nil"/>
              <w:tr2bl w:val="nil"/>
            </w:tcBorders>
            <w:noWrap/>
            <w:vAlign w:val="center"/>
          </w:tcPr>
          <w:p w14:paraId="2266253E">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rPr>
              <w:t>45MPa</w:t>
            </w:r>
          </w:p>
        </w:tc>
        <w:tc>
          <w:tcPr>
            <w:tcW w:w="442" w:type="pct"/>
            <w:tcBorders>
              <w:tl2br w:val="nil"/>
              <w:tr2bl w:val="nil"/>
            </w:tcBorders>
            <w:noWrap/>
            <w:vAlign w:val="center"/>
          </w:tcPr>
          <w:p w14:paraId="16191BDC">
            <w:pPr>
              <w:widowControl/>
              <w:snapToGrid w:val="0"/>
              <w:jc w:val="center"/>
              <w:rPr>
                <w:rFonts w:hint="eastAsia" w:ascii="Times New Roman" w:hAnsi="Times New Roman" w:eastAsia="宋体"/>
                <w:bCs/>
                <w:color w:val="auto"/>
                <w:kern w:val="0"/>
                <w:szCs w:val="21"/>
                <w:highlight w:val="none"/>
                <w:lang w:eastAsia="zh-CN"/>
              </w:rPr>
            </w:pPr>
            <w:r>
              <w:rPr>
                <w:rFonts w:hint="eastAsia" w:ascii="Times New Roman" w:hAnsi="Times New Roman" w:eastAsia="宋体"/>
                <w:bCs/>
                <w:color w:val="auto"/>
                <w:kern w:val="0"/>
                <w:szCs w:val="21"/>
                <w:highlight w:val="none"/>
                <w:lang w:val="en-US" w:eastAsia="zh-CN"/>
              </w:rPr>
              <w:t>3</w:t>
            </w:r>
          </w:p>
        </w:tc>
        <w:tc>
          <w:tcPr>
            <w:tcW w:w="1023" w:type="pct"/>
            <w:tcBorders>
              <w:tl2br w:val="nil"/>
              <w:tr2bl w:val="nil"/>
            </w:tcBorders>
            <w:noWrap/>
            <w:vAlign w:val="center"/>
          </w:tcPr>
          <w:p w14:paraId="16379CC8">
            <w:pPr>
              <w:widowControl/>
              <w:snapToGrid w:val="0"/>
              <w:jc w:val="center"/>
              <w:rPr>
                <w:rFonts w:ascii="Times New Roman" w:hAnsi="Times New Roman" w:eastAsia="宋体"/>
                <w:bCs/>
                <w:color w:val="auto"/>
                <w:kern w:val="0"/>
                <w:szCs w:val="21"/>
                <w:highlight w:val="none"/>
              </w:rPr>
            </w:pPr>
            <w:r>
              <w:rPr>
                <w:rFonts w:hint="eastAsia" w:ascii="Times New Roman" w:hAnsi="宋体" w:eastAsia="宋体"/>
                <w:bCs/>
                <w:color w:val="auto"/>
                <w:kern w:val="0"/>
                <w:szCs w:val="21"/>
                <w:highlight w:val="none"/>
                <w:lang w:val="en-US" w:eastAsia="zh-CN"/>
              </w:rPr>
              <w:t>氢气压缩</w:t>
            </w:r>
          </w:p>
        </w:tc>
      </w:tr>
      <w:tr w14:paraId="7BFB2F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1DFF8C29">
            <w:pPr>
              <w:widowControl/>
              <w:snapToGrid w:val="0"/>
              <w:jc w:val="center"/>
              <w:rPr>
                <w:rFonts w:ascii="Times New Roman" w:hAnsi="Times New Roman" w:eastAsia="宋体"/>
                <w:bCs/>
                <w:color w:val="auto"/>
                <w:kern w:val="0"/>
                <w:szCs w:val="21"/>
                <w:highlight w:val="none"/>
              </w:rPr>
            </w:pPr>
            <w:r>
              <w:rPr>
                <w:rFonts w:ascii="Times New Roman" w:hAnsi="Times New Roman" w:eastAsia="宋体"/>
                <w:bCs/>
                <w:color w:val="auto"/>
                <w:kern w:val="0"/>
                <w:szCs w:val="21"/>
                <w:highlight w:val="none"/>
              </w:rPr>
              <w:t>5</w:t>
            </w:r>
          </w:p>
        </w:tc>
        <w:tc>
          <w:tcPr>
            <w:tcW w:w="485" w:type="pct"/>
            <w:vMerge w:val="continue"/>
            <w:tcBorders>
              <w:tl2br w:val="nil"/>
              <w:tr2bl w:val="nil"/>
            </w:tcBorders>
            <w:noWrap w:val="0"/>
            <w:vAlign w:val="center"/>
          </w:tcPr>
          <w:p w14:paraId="2AD4EEAC">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53486C96">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储氢瓶组</w:t>
            </w:r>
          </w:p>
        </w:tc>
        <w:tc>
          <w:tcPr>
            <w:tcW w:w="1618" w:type="pct"/>
            <w:tcBorders>
              <w:tl2br w:val="nil"/>
              <w:tr2bl w:val="nil"/>
            </w:tcBorders>
            <w:noWrap/>
            <w:vAlign w:val="center"/>
          </w:tcPr>
          <w:p w14:paraId="4AE32981">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20</w:t>
            </w:r>
            <w:r>
              <w:rPr>
                <w:rFonts w:hint="eastAsia" w:ascii="Times New Roman" w:hAnsi="Times New Roman" w:eastAsia="宋体"/>
                <w:bCs/>
                <w:color w:val="auto"/>
                <w:kern w:val="0"/>
                <w:szCs w:val="21"/>
                <w:highlight w:val="none"/>
              </w:rPr>
              <w:t>MPa</w:t>
            </w:r>
            <w:r>
              <w:rPr>
                <w:rFonts w:hint="eastAsia" w:ascii="Times New Roman" w:hAnsi="Times New Roman" w:eastAsia="宋体"/>
                <w:bCs/>
                <w:color w:val="auto"/>
                <w:kern w:val="0"/>
                <w:szCs w:val="21"/>
                <w:highlight w:val="none"/>
                <w:lang w:eastAsia="zh-CN"/>
              </w:rPr>
              <w:t>，</w:t>
            </w:r>
            <w:r>
              <w:rPr>
                <w:rFonts w:hint="default" w:ascii="Times New Roman" w:hAnsi="Times New Roman" w:eastAsia="宋体"/>
                <w:bCs/>
                <w:color w:val="auto"/>
                <w:kern w:val="0"/>
                <w:szCs w:val="21"/>
                <w:highlight w:val="none"/>
                <w:lang w:val="en-US" w:eastAsia="zh-CN"/>
              </w:rPr>
              <w:t>水容积：26m</w:t>
            </w:r>
            <w:r>
              <w:rPr>
                <w:rFonts w:hint="default" w:ascii="Times New Roman" w:hAnsi="Times New Roman" w:eastAsia="宋体"/>
                <w:bCs/>
                <w:color w:val="auto"/>
                <w:kern w:val="0"/>
                <w:szCs w:val="21"/>
                <w:highlight w:val="none"/>
                <w:vertAlign w:val="superscript"/>
                <w:lang w:val="en-US" w:eastAsia="zh-CN"/>
              </w:rPr>
              <w:t>3</w:t>
            </w:r>
          </w:p>
        </w:tc>
        <w:tc>
          <w:tcPr>
            <w:tcW w:w="442" w:type="pct"/>
            <w:tcBorders>
              <w:tl2br w:val="nil"/>
              <w:tr2bl w:val="nil"/>
            </w:tcBorders>
            <w:noWrap/>
            <w:vAlign w:val="center"/>
          </w:tcPr>
          <w:p w14:paraId="3628485C">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2</w:t>
            </w:r>
          </w:p>
        </w:tc>
        <w:tc>
          <w:tcPr>
            <w:tcW w:w="1023" w:type="pct"/>
            <w:tcBorders>
              <w:tl2br w:val="nil"/>
              <w:tr2bl w:val="nil"/>
            </w:tcBorders>
            <w:noWrap/>
            <w:vAlign w:val="center"/>
          </w:tcPr>
          <w:p w14:paraId="034D8254">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氢气暂存</w:t>
            </w:r>
          </w:p>
        </w:tc>
      </w:tr>
      <w:tr w14:paraId="2F53BD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2FBB2419">
            <w:pPr>
              <w:widowControl/>
              <w:snapToGrid w:val="0"/>
              <w:jc w:val="center"/>
              <w:rPr>
                <w:rFonts w:hint="eastAsia" w:ascii="Times New Roman" w:hAnsi="Times New Roman" w:eastAsia="宋体"/>
                <w:bCs/>
                <w:color w:val="auto"/>
                <w:kern w:val="0"/>
                <w:szCs w:val="21"/>
                <w:highlight w:val="none"/>
                <w:lang w:val="en-US" w:eastAsia="zh-CN"/>
              </w:rPr>
            </w:pPr>
            <w:r>
              <w:rPr>
                <w:rFonts w:hint="eastAsia"/>
                <w:bCs/>
                <w:color w:val="auto"/>
                <w:kern w:val="0"/>
                <w:szCs w:val="21"/>
                <w:highlight w:val="none"/>
                <w:lang w:val="en-US" w:eastAsia="zh-CN"/>
              </w:rPr>
              <w:t>6</w:t>
            </w:r>
          </w:p>
        </w:tc>
        <w:tc>
          <w:tcPr>
            <w:tcW w:w="485" w:type="pct"/>
            <w:vMerge w:val="continue"/>
            <w:tcBorders>
              <w:tl2br w:val="nil"/>
              <w:tr2bl w:val="nil"/>
            </w:tcBorders>
            <w:noWrap w:val="0"/>
            <w:vAlign w:val="center"/>
          </w:tcPr>
          <w:p w14:paraId="79CFD0EB">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266A70C2">
            <w:pPr>
              <w:widowControl/>
              <w:snapToGrid w:val="0"/>
              <w:jc w:val="center"/>
              <w:rPr>
                <w:rFonts w:hint="eastAsia" w:ascii="Times New Roman" w:hAnsi="宋体" w:eastAsia="宋体"/>
                <w:bCs/>
                <w:color w:val="auto"/>
                <w:kern w:val="0"/>
                <w:szCs w:val="21"/>
                <w:highlight w:val="none"/>
                <w:lang w:eastAsia="zh-CN"/>
              </w:rPr>
            </w:pPr>
            <w:r>
              <w:rPr>
                <w:rFonts w:hint="eastAsia" w:ascii="Times New Roman" w:hAnsi="Times New Roman" w:eastAsia="宋体"/>
                <w:bCs/>
                <w:color w:val="auto"/>
                <w:kern w:val="0"/>
                <w:szCs w:val="21"/>
                <w:highlight w:val="none"/>
              </w:rPr>
              <w:t>储氢瓶组</w:t>
            </w:r>
          </w:p>
        </w:tc>
        <w:tc>
          <w:tcPr>
            <w:tcW w:w="1618" w:type="pct"/>
            <w:tcBorders>
              <w:tl2br w:val="nil"/>
              <w:tr2bl w:val="nil"/>
            </w:tcBorders>
            <w:noWrap/>
            <w:vAlign w:val="center"/>
          </w:tcPr>
          <w:p w14:paraId="44436B2F">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45</w:t>
            </w:r>
            <w:r>
              <w:rPr>
                <w:rFonts w:hint="eastAsia" w:ascii="Times New Roman" w:hAnsi="Times New Roman" w:eastAsia="宋体"/>
                <w:bCs/>
                <w:color w:val="auto"/>
                <w:kern w:val="0"/>
                <w:szCs w:val="21"/>
                <w:highlight w:val="none"/>
              </w:rPr>
              <w:t>MPa</w:t>
            </w:r>
            <w:r>
              <w:rPr>
                <w:rFonts w:hint="eastAsia" w:ascii="Times New Roman" w:hAnsi="Times New Roman" w:eastAsia="宋体"/>
                <w:bCs/>
                <w:color w:val="auto"/>
                <w:kern w:val="0"/>
                <w:szCs w:val="21"/>
                <w:highlight w:val="none"/>
                <w:lang w:eastAsia="zh-CN"/>
              </w:rPr>
              <w:t>，</w:t>
            </w:r>
            <w:r>
              <w:rPr>
                <w:rFonts w:hint="default" w:ascii="Times New Roman" w:hAnsi="Times New Roman" w:eastAsia="宋体"/>
                <w:bCs/>
                <w:color w:val="auto"/>
                <w:kern w:val="0"/>
                <w:szCs w:val="21"/>
                <w:highlight w:val="none"/>
                <w:lang w:val="en-US" w:eastAsia="zh-CN"/>
              </w:rPr>
              <w:t>水容积：</w:t>
            </w:r>
            <w:r>
              <w:rPr>
                <w:rFonts w:hint="eastAsia" w:ascii="Times New Roman" w:hAnsi="Times New Roman" w:eastAsia="宋体"/>
                <w:bCs/>
                <w:color w:val="auto"/>
                <w:kern w:val="0"/>
                <w:szCs w:val="21"/>
                <w:highlight w:val="none"/>
                <w:lang w:val="en-US" w:eastAsia="zh-CN"/>
              </w:rPr>
              <w:t>12</w:t>
            </w:r>
            <w:r>
              <w:rPr>
                <w:rFonts w:hint="default" w:ascii="Times New Roman" w:hAnsi="Times New Roman" w:eastAsia="宋体"/>
                <w:bCs/>
                <w:color w:val="auto"/>
                <w:kern w:val="0"/>
                <w:szCs w:val="21"/>
                <w:highlight w:val="none"/>
                <w:lang w:val="en-US" w:eastAsia="zh-CN"/>
              </w:rPr>
              <w:t>m</w:t>
            </w:r>
            <w:r>
              <w:rPr>
                <w:rFonts w:hint="default" w:ascii="Times New Roman" w:hAnsi="Times New Roman" w:eastAsia="宋体"/>
                <w:bCs/>
                <w:color w:val="auto"/>
                <w:kern w:val="0"/>
                <w:szCs w:val="21"/>
                <w:highlight w:val="none"/>
                <w:vertAlign w:val="superscript"/>
                <w:lang w:val="en-US" w:eastAsia="zh-CN"/>
              </w:rPr>
              <w:t>3</w:t>
            </w:r>
          </w:p>
        </w:tc>
        <w:tc>
          <w:tcPr>
            <w:tcW w:w="442" w:type="pct"/>
            <w:tcBorders>
              <w:tl2br w:val="nil"/>
              <w:tr2bl w:val="nil"/>
            </w:tcBorders>
            <w:noWrap/>
            <w:vAlign w:val="center"/>
          </w:tcPr>
          <w:p w14:paraId="7F5D1DC1">
            <w:pPr>
              <w:widowControl/>
              <w:snapToGrid w:val="0"/>
              <w:jc w:val="center"/>
              <w:rPr>
                <w:rFonts w:hint="eastAsia" w:ascii="Times New Roman" w:hAnsi="宋体" w:eastAsia="宋体"/>
                <w:bCs/>
                <w:color w:val="auto"/>
                <w:kern w:val="0"/>
                <w:szCs w:val="21"/>
                <w:highlight w:val="none"/>
                <w:lang w:val="en-US" w:eastAsia="zh-CN"/>
              </w:rPr>
            </w:pPr>
            <w:r>
              <w:rPr>
                <w:rFonts w:hint="eastAsia" w:hAnsi="宋体"/>
                <w:bCs/>
                <w:color w:val="auto"/>
                <w:kern w:val="0"/>
                <w:szCs w:val="21"/>
                <w:highlight w:val="none"/>
                <w:lang w:val="en-US" w:eastAsia="zh-CN"/>
              </w:rPr>
              <w:t>2</w:t>
            </w:r>
          </w:p>
        </w:tc>
        <w:tc>
          <w:tcPr>
            <w:tcW w:w="1023" w:type="pct"/>
            <w:tcBorders>
              <w:tl2br w:val="nil"/>
              <w:tr2bl w:val="nil"/>
            </w:tcBorders>
            <w:noWrap/>
            <w:vAlign w:val="center"/>
          </w:tcPr>
          <w:p w14:paraId="7B53A732">
            <w:pPr>
              <w:widowControl/>
              <w:snapToGrid w:val="0"/>
              <w:jc w:val="center"/>
              <w:rPr>
                <w:rFonts w:hint="eastAsia" w:hAnsi="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氢气暂存</w:t>
            </w:r>
          </w:p>
        </w:tc>
      </w:tr>
      <w:tr w14:paraId="6AAA73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028CD8C9">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7</w:t>
            </w:r>
          </w:p>
        </w:tc>
        <w:tc>
          <w:tcPr>
            <w:tcW w:w="485" w:type="pct"/>
            <w:vMerge w:val="continue"/>
            <w:tcBorders>
              <w:tl2br w:val="nil"/>
              <w:tr2bl w:val="nil"/>
            </w:tcBorders>
            <w:noWrap w:val="0"/>
            <w:vAlign w:val="center"/>
          </w:tcPr>
          <w:p w14:paraId="752B699B">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799B8685">
            <w:pPr>
              <w:widowControl/>
              <w:snapToGrid w:val="0"/>
              <w:jc w:val="center"/>
              <w:rPr>
                <w:rFonts w:hint="eastAsia"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卸气柱</w:t>
            </w:r>
          </w:p>
        </w:tc>
        <w:tc>
          <w:tcPr>
            <w:tcW w:w="1618" w:type="pct"/>
            <w:tcBorders>
              <w:tl2br w:val="nil"/>
              <w:tr2bl w:val="nil"/>
            </w:tcBorders>
            <w:noWrap/>
            <w:vAlign w:val="center"/>
          </w:tcPr>
          <w:p w14:paraId="601C4DAF">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DN25，25MPa-2.6Mpa</w:t>
            </w:r>
          </w:p>
        </w:tc>
        <w:tc>
          <w:tcPr>
            <w:tcW w:w="442" w:type="pct"/>
            <w:tcBorders>
              <w:tl2br w:val="nil"/>
              <w:tr2bl w:val="nil"/>
            </w:tcBorders>
            <w:noWrap/>
            <w:vAlign w:val="center"/>
          </w:tcPr>
          <w:p w14:paraId="6184FE0C">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2</w:t>
            </w:r>
          </w:p>
        </w:tc>
        <w:tc>
          <w:tcPr>
            <w:tcW w:w="1023" w:type="pct"/>
            <w:tcBorders>
              <w:tl2br w:val="nil"/>
              <w:tr2bl w:val="nil"/>
            </w:tcBorders>
            <w:noWrap/>
            <w:vAlign w:val="center"/>
          </w:tcPr>
          <w:p w14:paraId="0D96D59A">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卸载氢气</w:t>
            </w:r>
          </w:p>
        </w:tc>
      </w:tr>
      <w:tr w14:paraId="67BFCB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4" w:hRule="exact"/>
          <w:jc w:val="center"/>
        </w:trPr>
        <w:tc>
          <w:tcPr>
            <w:tcW w:w="383" w:type="pct"/>
            <w:tcBorders>
              <w:tl2br w:val="nil"/>
              <w:tr2bl w:val="nil"/>
            </w:tcBorders>
            <w:noWrap/>
            <w:vAlign w:val="center"/>
          </w:tcPr>
          <w:p w14:paraId="4E8CA841">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8</w:t>
            </w:r>
          </w:p>
        </w:tc>
        <w:tc>
          <w:tcPr>
            <w:tcW w:w="485" w:type="pct"/>
            <w:vMerge w:val="continue"/>
            <w:tcBorders>
              <w:tl2br w:val="nil"/>
              <w:tr2bl w:val="nil"/>
            </w:tcBorders>
            <w:noWrap w:val="0"/>
            <w:vAlign w:val="center"/>
          </w:tcPr>
          <w:p w14:paraId="7495C845">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260CFDE5">
            <w:pPr>
              <w:widowControl/>
              <w:snapToGrid w:val="0"/>
              <w:jc w:val="center"/>
              <w:rPr>
                <w:rFonts w:hint="eastAsia"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加氢机的冷冻机</w:t>
            </w:r>
          </w:p>
        </w:tc>
        <w:tc>
          <w:tcPr>
            <w:tcW w:w="1618" w:type="pct"/>
            <w:tcBorders>
              <w:tl2br w:val="nil"/>
              <w:tr2bl w:val="nil"/>
            </w:tcBorders>
            <w:noWrap/>
            <w:vAlign w:val="center"/>
          </w:tcPr>
          <w:p w14:paraId="71DEB5CE">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制冷量100</w:t>
            </w:r>
            <w:r>
              <w:rPr>
                <w:rFonts w:hint="eastAsia"/>
                <w:bCs/>
                <w:color w:val="auto"/>
                <w:kern w:val="0"/>
                <w:szCs w:val="21"/>
                <w:highlight w:val="none"/>
                <w:lang w:val="en-US" w:eastAsia="zh-CN"/>
              </w:rPr>
              <w:t>k</w:t>
            </w:r>
            <w:r>
              <w:rPr>
                <w:rFonts w:hint="eastAsia" w:ascii="Times New Roman" w:hAnsi="Times New Roman" w:eastAsia="宋体"/>
                <w:bCs/>
                <w:color w:val="auto"/>
                <w:kern w:val="0"/>
                <w:szCs w:val="21"/>
                <w:highlight w:val="none"/>
                <w:lang w:val="en-US" w:eastAsia="zh-CN"/>
              </w:rPr>
              <w:t>W，电功率95</w:t>
            </w:r>
            <w:r>
              <w:rPr>
                <w:rFonts w:hint="eastAsia"/>
                <w:bCs/>
                <w:color w:val="auto"/>
                <w:kern w:val="0"/>
                <w:szCs w:val="21"/>
                <w:highlight w:val="none"/>
                <w:lang w:val="en-US" w:eastAsia="zh-CN"/>
              </w:rPr>
              <w:t>kW</w:t>
            </w:r>
          </w:p>
        </w:tc>
        <w:tc>
          <w:tcPr>
            <w:tcW w:w="442" w:type="pct"/>
            <w:tcBorders>
              <w:tl2br w:val="nil"/>
              <w:tr2bl w:val="nil"/>
            </w:tcBorders>
            <w:noWrap/>
            <w:vAlign w:val="center"/>
          </w:tcPr>
          <w:p w14:paraId="1571B270">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2</w:t>
            </w:r>
          </w:p>
        </w:tc>
        <w:tc>
          <w:tcPr>
            <w:tcW w:w="1023" w:type="pct"/>
            <w:tcBorders>
              <w:tl2br w:val="nil"/>
              <w:tr2bl w:val="nil"/>
            </w:tcBorders>
            <w:noWrap/>
            <w:vAlign w:val="center"/>
          </w:tcPr>
          <w:p w14:paraId="32C2AC63">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冷却</w:t>
            </w:r>
          </w:p>
        </w:tc>
      </w:tr>
      <w:tr w14:paraId="418004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4606095D">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9</w:t>
            </w:r>
          </w:p>
        </w:tc>
        <w:tc>
          <w:tcPr>
            <w:tcW w:w="485" w:type="pct"/>
            <w:vMerge w:val="continue"/>
            <w:tcBorders>
              <w:tl2br w:val="nil"/>
              <w:tr2bl w:val="nil"/>
            </w:tcBorders>
            <w:noWrap w:val="0"/>
            <w:vAlign w:val="center"/>
          </w:tcPr>
          <w:p w14:paraId="598A25C5">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5AD7E72F">
            <w:pPr>
              <w:widowControl/>
              <w:snapToGrid w:val="0"/>
              <w:jc w:val="center"/>
              <w:rPr>
                <w:rFonts w:hint="eastAsia"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氢气充装柱</w:t>
            </w:r>
          </w:p>
        </w:tc>
        <w:tc>
          <w:tcPr>
            <w:tcW w:w="1618" w:type="pct"/>
            <w:tcBorders>
              <w:tl2br w:val="nil"/>
              <w:tr2bl w:val="nil"/>
            </w:tcBorders>
            <w:noWrap/>
            <w:vAlign w:val="center"/>
          </w:tcPr>
          <w:p w14:paraId="27A8CE5F">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20MPa，1000N</w:t>
            </w:r>
            <w:r>
              <w:rPr>
                <w:rFonts w:hint="default" w:ascii="Times New Roman" w:hAnsi="Times New Roman" w:eastAsia="宋体"/>
                <w:bCs/>
                <w:color w:val="auto"/>
                <w:kern w:val="0"/>
                <w:szCs w:val="21"/>
                <w:highlight w:val="none"/>
                <w:lang w:val="en-US" w:eastAsia="zh-CN"/>
              </w:rPr>
              <w:t>m</w:t>
            </w:r>
            <w:r>
              <w:rPr>
                <w:rFonts w:hint="default" w:ascii="Times New Roman" w:hAnsi="Times New Roman" w:eastAsia="宋体"/>
                <w:bCs/>
                <w:color w:val="auto"/>
                <w:kern w:val="0"/>
                <w:szCs w:val="21"/>
                <w:highlight w:val="none"/>
                <w:vertAlign w:val="superscript"/>
                <w:lang w:val="en-US" w:eastAsia="zh-CN"/>
              </w:rPr>
              <w:t>3</w:t>
            </w:r>
            <w:r>
              <w:rPr>
                <w:rFonts w:hint="eastAsia" w:ascii="Times New Roman" w:hAnsi="Times New Roman" w:eastAsia="宋体"/>
                <w:bCs/>
                <w:color w:val="auto"/>
                <w:kern w:val="0"/>
                <w:szCs w:val="21"/>
                <w:highlight w:val="none"/>
                <w:lang w:val="en-US" w:eastAsia="zh-CN"/>
              </w:rPr>
              <w:t>/h</w:t>
            </w:r>
          </w:p>
        </w:tc>
        <w:tc>
          <w:tcPr>
            <w:tcW w:w="442" w:type="pct"/>
            <w:tcBorders>
              <w:tl2br w:val="nil"/>
              <w:tr2bl w:val="nil"/>
            </w:tcBorders>
            <w:noWrap/>
            <w:vAlign w:val="center"/>
          </w:tcPr>
          <w:p w14:paraId="51D4DD25">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2</w:t>
            </w:r>
          </w:p>
        </w:tc>
        <w:tc>
          <w:tcPr>
            <w:tcW w:w="1023" w:type="pct"/>
            <w:tcBorders>
              <w:tl2br w:val="nil"/>
              <w:tr2bl w:val="nil"/>
            </w:tcBorders>
            <w:noWrap/>
            <w:vAlign w:val="center"/>
          </w:tcPr>
          <w:p w14:paraId="73416C84">
            <w:pPr>
              <w:widowControl/>
              <w:snapToGrid w:val="0"/>
              <w:jc w:val="center"/>
              <w:rPr>
                <w:rFonts w:hint="eastAsia"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充装氢气</w:t>
            </w:r>
          </w:p>
        </w:tc>
      </w:tr>
      <w:tr w14:paraId="4B8C2C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4" w:hRule="exact"/>
          <w:jc w:val="center"/>
        </w:trPr>
        <w:tc>
          <w:tcPr>
            <w:tcW w:w="383" w:type="pct"/>
            <w:tcBorders>
              <w:tl2br w:val="nil"/>
              <w:tr2bl w:val="nil"/>
            </w:tcBorders>
            <w:noWrap/>
            <w:vAlign w:val="center"/>
          </w:tcPr>
          <w:p w14:paraId="0DB95030">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10</w:t>
            </w:r>
          </w:p>
        </w:tc>
        <w:tc>
          <w:tcPr>
            <w:tcW w:w="485" w:type="pct"/>
            <w:vMerge w:val="continue"/>
            <w:tcBorders>
              <w:tl2br w:val="nil"/>
              <w:tr2bl w:val="nil"/>
            </w:tcBorders>
            <w:noWrap w:val="0"/>
            <w:vAlign w:val="center"/>
          </w:tcPr>
          <w:p w14:paraId="3CEBCA57">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735642D1">
            <w:pPr>
              <w:widowControl/>
              <w:snapToGrid w:val="0"/>
              <w:jc w:val="center"/>
              <w:rPr>
                <w:rFonts w:hint="eastAsia"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净化生物沼气减压撬</w:t>
            </w:r>
          </w:p>
        </w:tc>
        <w:tc>
          <w:tcPr>
            <w:tcW w:w="1618" w:type="pct"/>
            <w:tcBorders>
              <w:tl2br w:val="nil"/>
              <w:tr2bl w:val="nil"/>
            </w:tcBorders>
            <w:noWrap/>
            <w:vAlign w:val="center"/>
          </w:tcPr>
          <w:p w14:paraId="2950F07B">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700N</w:t>
            </w:r>
            <w:r>
              <w:rPr>
                <w:rFonts w:hint="default" w:ascii="Times New Roman" w:hAnsi="Times New Roman" w:eastAsia="宋体"/>
                <w:bCs/>
                <w:color w:val="auto"/>
                <w:kern w:val="0"/>
                <w:szCs w:val="21"/>
                <w:highlight w:val="none"/>
                <w:lang w:val="en-US" w:eastAsia="zh-CN"/>
              </w:rPr>
              <w:t>m</w:t>
            </w:r>
            <w:r>
              <w:rPr>
                <w:rFonts w:hint="default" w:ascii="Times New Roman" w:hAnsi="Times New Roman" w:eastAsia="宋体"/>
                <w:bCs/>
                <w:color w:val="auto"/>
                <w:kern w:val="0"/>
                <w:szCs w:val="21"/>
                <w:highlight w:val="none"/>
                <w:vertAlign w:val="superscript"/>
                <w:lang w:val="en-US" w:eastAsia="zh-CN"/>
              </w:rPr>
              <w:t>3</w:t>
            </w:r>
            <w:r>
              <w:rPr>
                <w:rFonts w:hint="eastAsia" w:ascii="Times New Roman" w:hAnsi="Times New Roman" w:eastAsia="宋体"/>
                <w:bCs/>
                <w:color w:val="auto"/>
                <w:kern w:val="0"/>
                <w:szCs w:val="21"/>
                <w:highlight w:val="none"/>
                <w:lang w:val="en-US" w:eastAsia="zh-CN"/>
              </w:rPr>
              <w:t>/h</w:t>
            </w:r>
          </w:p>
        </w:tc>
        <w:tc>
          <w:tcPr>
            <w:tcW w:w="442" w:type="pct"/>
            <w:tcBorders>
              <w:tl2br w:val="nil"/>
              <w:tr2bl w:val="nil"/>
            </w:tcBorders>
            <w:noWrap/>
            <w:vAlign w:val="center"/>
          </w:tcPr>
          <w:p w14:paraId="2D2E8E0B">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3</w:t>
            </w:r>
          </w:p>
        </w:tc>
        <w:tc>
          <w:tcPr>
            <w:tcW w:w="1023" w:type="pct"/>
            <w:tcBorders>
              <w:tl2br w:val="nil"/>
              <w:tr2bl w:val="nil"/>
            </w:tcBorders>
            <w:noWrap/>
            <w:vAlign w:val="center"/>
          </w:tcPr>
          <w:p w14:paraId="6B1B5111">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净化、减压沼气</w:t>
            </w:r>
          </w:p>
        </w:tc>
      </w:tr>
      <w:tr w14:paraId="488CE6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9" w:hRule="exact"/>
          <w:jc w:val="center"/>
        </w:trPr>
        <w:tc>
          <w:tcPr>
            <w:tcW w:w="383" w:type="pct"/>
            <w:tcBorders>
              <w:tl2br w:val="nil"/>
              <w:tr2bl w:val="nil"/>
            </w:tcBorders>
            <w:noWrap/>
            <w:vAlign w:val="center"/>
          </w:tcPr>
          <w:p w14:paraId="2ED6B609">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11</w:t>
            </w:r>
          </w:p>
        </w:tc>
        <w:tc>
          <w:tcPr>
            <w:tcW w:w="485" w:type="pct"/>
            <w:vMerge w:val="continue"/>
            <w:tcBorders>
              <w:tl2br w:val="nil"/>
              <w:tr2bl w:val="nil"/>
            </w:tcBorders>
            <w:noWrap w:val="0"/>
            <w:vAlign w:val="center"/>
          </w:tcPr>
          <w:p w14:paraId="50E13EBD">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573AEE06">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rPr>
              <w:t>氮气汇流排</w:t>
            </w:r>
          </w:p>
        </w:tc>
        <w:tc>
          <w:tcPr>
            <w:tcW w:w="1618" w:type="pct"/>
            <w:tcBorders>
              <w:tl2br w:val="nil"/>
              <w:tr2bl w:val="nil"/>
            </w:tcBorders>
            <w:noWrap/>
            <w:vAlign w:val="center"/>
          </w:tcPr>
          <w:p w14:paraId="0C1D77FF">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w:t>
            </w:r>
          </w:p>
        </w:tc>
        <w:tc>
          <w:tcPr>
            <w:tcW w:w="442" w:type="pct"/>
            <w:tcBorders>
              <w:tl2br w:val="nil"/>
              <w:tr2bl w:val="nil"/>
            </w:tcBorders>
            <w:noWrap/>
            <w:vAlign w:val="center"/>
          </w:tcPr>
          <w:p w14:paraId="609F30C3">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2</w:t>
            </w:r>
          </w:p>
        </w:tc>
        <w:tc>
          <w:tcPr>
            <w:tcW w:w="1023" w:type="pct"/>
            <w:tcBorders>
              <w:tl2br w:val="nil"/>
              <w:tr2bl w:val="nil"/>
            </w:tcBorders>
            <w:noWrap/>
            <w:vAlign w:val="center"/>
          </w:tcPr>
          <w:p w14:paraId="69C5D921">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管道吹扫</w:t>
            </w:r>
          </w:p>
        </w:tc>
      </w:tr>
      <w:tr w14:paraId="6D8372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9" w:hRule="exact"/>
          <w:jc w:val="center"/>
        </w:trPr>
        <w:tc>
          <w:tcPr>
            <w:tcW w:w="654" w:type="dxa"/>
            <w:tcBorders>
              <w:tl2br w:val="nil"/>
              <w:tr2bl w:val="nil"/>
            </w:tcBorders>
            <w:noWrap/>
            <w:vAlign w:val="center"/>
          </w:tcPr>
          <w:p w14:paraId="3916B9E3">
            <w:pPr>
              <w:widowControl/>
              <w:snapToGrid w:val="0"/>
              <w:jc w:val="center"/>
              <w:rPr>
                <w:rFonts w:hint="eastAsia"/>
                <w:bCs/>
                <w:color w:val="auto"/>
                <w:kern w:val="0"/>
                <w:szCs w:val="21"/>
                <w:highlight w:val="none"/>
                <w:lang w:val="en-US" w:eastAsia="zh-CN"/>
              </w:rPr>
            </w:pPr>
            <w:r>
              <w:rPr>
                <w:rFonts w:hint="eastAsia"/>
                <w:bCs/>
                <w:color w:val="auto"/>
                <w:kern w:val="0"/>
                <w:szCs w:val="21"/>
                <w:highlight w:val="none"/>
                <w:lang w:val="en-US" w:eastAsia="zh-CN"/>
              </w:rPr>
              <w:t>12</w:t>
            </w:r>
          </w:p>
        </w:tc>
        <w:tc>
          <w:tcPr>
            <w:tcW w:w="485" w:type="pct"/>
            <w:vMerge w:val="continue"/>
            <w:tcBorders>
              <w:tl2br w:val="nil"/>
              <w:tr2bl w:val="nil"/>
            </w:tcBorders>
            <w:noWrap w:val="0"/>
            <w:vAlign w:val="center"/>
          </w:tcPr>
          <w:p w14:paraId="16303E6C">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0B2ECB46">
            <w:pPr>
              <w:widowControl/>
              <w:snapToGrid w:val="0"/>
              <w:jc w:val="center"/>
              <w:rPr>
                <w:rFonts w:hint="eastAsia"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lang w:val="en-US" w:eastAsia="zh-CN"/>
              </w:rPr>
              <w:t>氮气集装格</w:t>
            </w:r>
          </w:p>
        </w:tc>
        <w:tc>
          <w:tcPr>
            <w:tcW w:w="1618" w:type="pct"/>
            <w:tcBorders>
              <w:tl2br w:val="nil"/>
              <w:tr2bl w:val="nil"/>
            </w:tcBorders>
            <w:noWrap/>
            <w:vAlign w:val="center"/>
          </w:tcPr>
          <w:p w14:paraId="5374599E">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16×40L/瓶，15</w:t>
            </w:r>
            <w:r>
              <w:rPr>
                <w:rFonts w:hint="eastAsia" w:ascii="Times New Roman" w:hAnsi="Times New Roman" w:eastAsia="宋体"/>
                <w:bCs/>
                <w:color w:val="auto"/>
                <w:kern w:val="0"/>
                <w:szCs w:val="21"/>
                <w:highlight w:val="none"/>
              </w:rPr>
              <w:t>MPa</w:t>
            </w:r>
          </w:p>
        </w:tc>
        <w:tc>
          <w:tcPr>
            <w:tcW w:w="442" w:type="pct"/>
            <w:tcBorders>
              <w:tl2br w:val="nil"/>
              <w:tr2bl w:val="nil"/>
            </w:tcBorders>
            <w:noWrap/>
            <w:vAlign w:val="center"/>
          </w:tcPr>
          <w:p w14:paraId="4EFB174C">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2</w:t>
            </w:r>
          </w:p>
        </w:tc>
        <w:tc>
          <w:tcPr>
            <w:tcW w:w="1023" w:type="pct"/>
            <w:tcBorders>
              <w:tl2br w:val="nil"/>
              <w:tr2bl w:val="nil"/>
            </w:tcBorders>
            <w:noWrap/>
            <w:vAlign w:val="center"/>
          </w:tcPr>
          <w:p w14:paraId="14B577E6">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产品充装</w:t>
            </w:r>
          </w:p>
        </w:tc>
      </w:tr>
      <w:tr w14:paraId="4C0ACB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4" w:hRule="exact"/>
          <w:jc w:val="center"/>
        </w:trPr>
        <w:tc>
          <w:tcPr>
            <w:tcW w:w="654" w:type="dxa"/>
            <w:tcBorders>
              <w:tl2br w:val="nil"/>
              <w:tr2bl w:val="nil"/>
            </w:tcBorders>
            <w:noWrap/>
            <w:vAlign w:val="center"/>
          </w:tcPr>
          <w:p w14:paraId="51164212">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13</w:t>
            </w:r>
          </w:p>
        </w:tc>
        <w:tc>
          <w:tcPr>
            <w:tcW w:w="485" w:type="pct"/>
            <w:vMerge w:val="continue"/>
            <w:tcBorders>
              <w:tl2br w:val="nil"/>
              <w:tr2bl w:val="nil"/>
            </w:tcBorders>
            <w:noWrap w:val="0"/>
            <w:vAlign w:val="center"/>
          </w:tcPr>
          <w:p w14:paraId="24165AFB">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08C6F24E">
            <w:pPr>
              <w:widowControl/>
              <w:snapToGrid w:val="0"/>
              <w:jc w:val="center"/>
              <w:rPr>
                <w:rFonts w:hint="eastAsia"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缓冲罐</w:t>
            </w:r>
          </w:p>
        </w:tc>
        <w:tc>
          <w:tcPr>
            <w:tcW w:w="1618" w:type="pct"/>
            <w:tcBorders>
              <w:tl2br w:val="nil"/>
              <w:tr2bl w:val="nil"/>
            </w:tcBorders>
            <w:noWrap/>
            <w:vAlign w:val="center"/>
          </w:tcPr>
          <w:p w14:paraId="2A03FDDB">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3MPa，V=2m</w:t>
            </w:r>
            <w:r>
              <w:rPr>
                <w:rFonts w:hint="eastAsia" w:ascii="Times New Roman" w:hAnsi="Times New Roman" w:eastAsia="宋体"/>
                <w:bCs/>
                <w:color w:val="auto"/>
                <w:kern w:val="0"/>
                <w:szCs w:val="21"/>
                <w:highlight w:val="none"/>
                <w:vertAlign w:val="superscript"/>
                <w:lang w:val="en-US" w:eastAsia="zh-CN"/>
              </w:rPr>
              <w:t>3</w:t>
            </w:r>
          </w:p>
        </w:tc>
        <w:tc>
          <w:tcPr>
            <w:tcW w:w="442" w:type="pct"/>
            <w:tcBorders>
              <w:tl2br w:val="nil"/>
              <w:tr2bl w:val="nil"/>
            </w:tcBorders>
            <w:noWrap/>
            <w:vAlign w:val="center"/>
          </w:tcPr>
          <w:p w14:paraId="205B5C04">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3</w:t>
            </w:r>
          </w:p>
        </w:tc>
        <w:tc>
          <w:tcPr>
            <w:tcW w:w="1023" w:type="pct"/>
            <w:tcBorders>
              <w:tl2br w:val="nil"/>
              <w:tr2bl w:val="nil"/>
            </w:tcBorders>
            <w:noWrap/>
            <w:vAlign w:val="center"/>
          </w:tcPr>
          <w:p w14:paraId="0C2A05CA">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氢气缓冲暂存</w:t>
            </w:r>
          </w:p>
        </w:tc>
      </w:tr>
      <w:tr w14:paraId="796EC6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54" w:type="dxa"/>
            <w:tcBorders>
              <w:tl2br w:val="nil"/>
              <w:tr2bl w:val="nil"/>
            </w:tcBorders>
            <w:noWrap/>
            <w:vAlign w:val="center"/>
          </w:tcPr>
          <w:p w14:paraId="00094A08">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14</w:t>
            </w:r>
          </w:p>
        </w:tc>
        <w:tc>
          <w:tcPr>
            <w:tcW w:w="485" w:type="pct"/>
            <w:vMerge w:val="continue"/>
            <w:tcBorders>
              <w:tl2br w:val="nil"/>
              <w:tr2bl w:val="nil"/>
            </w:tcBorders>
            <w:noWrap w:val="0"/>
            <w:vAlign w:val="center"/>
          </w:tcPr>
          <w:p w14:paraId="34244AD8">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7B70CEC1">
            <w:pPr>
              <w:widowControl/>
              <w:snapToGrid w:val="0"/>
              <w:jc w:val="center"/>
              <w:rPr>
                <w:rFonts w:hint="eastAsia"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顺序控制盘</w:t>
            </w:r>
          </w:p>
        </w:tc>
        <w:tc>
          <w:tcPr>
            <w:tcW w:w="1618" w:type="pct"/>
            <w:tcBorders>
              <w:tl2br w:val="nil"/>
              <w:tr2bl w:val="nil"/>
            </w:tcBorders>
            <w:noWrap/>
            <w:vAlign w:val="center"/>
          </w:tcPr>
          <w:p w14:paraId="0ED17D47">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w:t>
            </w:r>
          </w:p>
        </w:tc>
        <w:tc>
          <w:tcPr>
            <w:tcW w:w="442" w:type="pct"/>
            <w:tcBorders>
              <w:tl2br w:val="nil"/>
              <w:tr2bl w:val="nil"/>
            </w:tcBorders>
            <w:noWrap/>
            <w:vAlign w:val="center"/>
          </w:tcPr>
          <w:p w14:paraId="0A0A1A02">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3</w:t>
            </w:r>
          </w:p>
        </w:tc>
        <w:tc>
          <w:tcPr>
            <w:tcW w:w="1023" w:type="pct"/>
            <w:tcBorders>
              <w:tl2br w:val="nil"/>
              <w:tr2bl w:val="nil"/>
            </w:tcBorders>
            <w:noWrap/>
            <w:vAlign w:val="center"/>
          </w:tcPr>
          <w:p w14:paraId="58F90D42">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w:t>
            </w:r>
          </w:p>
        </w:tc>
      </w:tr>
      <w:tr w14:paraId="01650A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54" w:type="dxa"/>
            <w:tcBorders>
              <w:tl2br w:val="nil"/>
              <w:tr2bl w:val="nil"/>
            </w:tcBorders>
            <w:noWrap/>
            <w:vAlign w:val="center"/>
          </w:tcPr>
          <w:p w14:paraId="60AEA537">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15</w:t>
            </w:r>
          </w:p>
        </w:tc>
        <w:tc>
          <w:tcPr>
            <w:tcW w:w="485" w:type="pct"/>
            <w:vMerge w:val="continue"/>
            <w:tcBorders>
              <w:tl2br w:val="nil"/>
              <w:tr2bl w:val="nil"/>
            </w:tcBorders>
            <w:noWrap w:val="0"/>
            <w:vAlign w:val="center"/>
          </w:tcPr>
          <w:p w14:paraId="62E31EB0">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0BB614EA">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制氮机</w:t>
            </w:r>
          </w:p>
        </w:tc>
        <w:tc>
          <w:tcPr>
            <w:tcW w:w="1618" w:type="pct"/>
            <w:tcBorders>
              <w:tl2br w:val="nil"/>
              <w:tr2bl w:val="nil"/>
            </w:tcBorders>
            <w:noWrap/>
            <w:vAlign w:val="center"/>
          </w:tcPr>
          <w:p w14:paraId="1EC7FA96">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700N</w:t>
            </w:r>
            <w:r>
              <w:rPr>
                <w:rFonts w:hint="default" w:ascii="Times New Roman" w:hAnsi="Times New Roman" w:eastAsia="宋体"/>
                <w:bCs/>
                <w:color w:val="auto"/>
                <w:kern w:val="0"/>
                <w:szCs w:val="21"/>
                <w:highlight w:val="none"/>
                <w:lang w:val="en-US" w:eastAsia="zh-CN"/>
              </w:rPr>
              <w:t>m</w:t>
            </w:r>
            <w:r>
              <w:rPr>
                <w:rFonts w:hint="default" w:ascii="Times New Roman" w:hAnsi="Times New Roman" w:eastAsia="宋体"/>
                <w:bCs/>
                <w:color w:val="auto"/>
                <w:kern w:val="0"/>
                <w:szCs w:val="21"/>
                <w:highlight w:val="none"/>
                <w:vertAlign w:val="superscript"/>
                <w:lang w:val="en-US" w:eastAsia="zh-CN"/>
              </w:rPr>
              <w:t>3</w:t>
            </w:r>
            <w:r>
              <w:rPr>
                <w:rFonts w:hint="eastAsia" w:ascii="Times New Roman" w:hAnsi="Times New Roman" w:eastAsia="宋体"/>
                <w:bCs/>
                <w:color w:val="auto"/>
                <w:kern w:val="0"/>
                <w:szCs w:val="21"/>
                <w:highlight w:val="none"/>
                <w:lang w:val="en-US" w:eastAsia="zh-CN"/>
              </w:rPr>
              <w:t>/h</w:t>
            </w:r>
          </w:p>
        </w:tc>
        <w:tc>
          <w:tcPr>
            <w:tcW w:w="442" w:type="pct"/>
            <w:tcBorders>
              <w:tl2br w:val="nil"/>
              <w:tr2bl w:val="nil"/>
            </w:tcBorders>
            <w:noWrap/>
            <w:vAlign w:val="center"/>
          </w:tcPr>
          <w:p w14:paraId="16006085">
            <w:pPr>
              <w:widowControl/>
              <w:snapToGrid w:val="0"/>
              <w:jc w:val="center"/>
              <w:rPr>
                <w:rFonts w:hint="eastAsia" w:hAnsi="宋体"/>
                <w:bCs/>
                <w:color w:val="auto"/>
                <w:kern w:val="0"/>
                <w:szCs w:val="21"/>
                <w:highlight w:val="none"/>
                <w:lang w:val="en-US" w:eastAsia="zh-CN"/>
              </w:rPr>
            </w:pPr>
          </w:p>
        </w:tc>
        <w:tc>
          <w:tcPr>
            <w:tcW w:w="1023" w:type="pct"/>
            <w:tcBorders>
              <w:tl2br w:val="nil"/>
              <w:tr2bl w:val="nil"/>
            </w:tcBorders>
            <w:noWrap/>
            <w:vAlign w:val="center"/>
          </w:tcPr>
          <w:p w14:paraId="73D9B20D">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制氮</w:t>
            </w:r>
          </w:p>
        </w:tc>
      </w:tr>
      <w:tr w14:paraId="6C12A2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4" w:hRule="exact"/>
          <w:jc w:val="center"/>
        </w:trPr>
        <w:tc>
          <w:tcPr>
            <w:tcW w:w="654" w:type="dxa"/>
            <w:tcBorders>
              <w:tl2br w:val="nil"/>
              <w:tr2bl w:val="nil"/>
            </w:tcBorders>
            <w:noWrap/>
            <w:vAlign w:val="center"/>
          </w:tcPr>
          <w:p w14:paraId="1DE4BEE2">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16</w:t>
            </w:r>
          </w:p>
        </w:tc>
        <w:tc>
          <w:tcPr>
            <w:tcW w:w="485" w:type="pct"/>
            <w:vMerge w:val="continue"/>
            <w:tcBorders>
              <w:tl2br w:val="nil"/>
              <w:tr2bl w:val="nil"/>
            </w:tcBorders>
            <w:noWrap w:val="0"/>
            <w:vAlign w:val="center"/>
          </w:tcPr>
          <w:p w14:paraId="58405F8A">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76839309">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蒸汽发生器</w:t>
            </w:r>
          </w:p>
        </w:tc>
        <w:tc>
          <w:tcPr>
            <w:tcW w:w="1618" w:type="pct"/>
            <w:tcBorders>
              <w:tl2br w:val="nil"/>
              <w:tr2bl w:val="nil"/>
            </w:tcBorders>
            <w:noWrap/>
            <w:vAlign w:val="center"/>
          </w:tcPr>
          <w:p w14:paraId="23C2D866">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DN900×16x~2935，蒸发量：600kg/h</w:t>
            </w:r>
          </w:p>
        </w:tc>
        <w:tc>
          <w:tcPr>
            <w:tcW w:w="442" w:type="pct"/>
            <w:tcBorders>
              <w:tl2br w:val="nil"/>
              <w:tr2bl w:val="nil"/>
            </w:tcBorders>
            <w:noWrap/>
            <w:vAlign w:val="center"/>
          </w:tcPr>
          <w:p w14:paraId="23EC041D">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3</w:t>
            </w:r>
          </w:p>
        </w:tc>
        <w:tc>
          <w:tcPr>
            <w:tcW w:w="1023" w:type="pct"/>
            <w:tcBorders>
              <w:tl2br w:val="nil"/>
              <w:tr2bl w:val="nil"/>
            </w:tcBorders>
            <w:noWrap/>
            <w:vAlign w:val="center"/>
          </w:tcPr>
          <w:p w14:paraId="258FC52B">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供蒸汽</w:t>
            </w:r>
          </w:p>
        </w:tc>
      </w:tr>
      <w:tr w14:paraId="1828A2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4" w:hRule="exact"/>
          <w:jc w:val="center"/>
        </w:trPr>
        <w:tc>
          <w:tcPr>
            <w:tcW w:w="654" w:type="dxa"/>
            <w:tcBorders>
              <w:tl2br w:val="nil"/>
              <w:tr2bl w:val="nil"/>
            </w:tcBorders>
            <w:noWrap/>
            <w:vAlign w:val="center"/>
          </w:tcPr>
          <w:p w14:paraId="6206D2FF">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17</w:t>
            </w:r>
          </w:p>
        </w:tc>
        <w:tc>
          <w:tcPr>
            <w:tcW w:w="485" w:type="pct"/>
            <w:vMerge w:val="continue"/>
            <w:tcBorders>
              <w:tl2br w:val="nil"/>
              <w:tr2bl w:val="nil"/>
            </w:tcBorders>
            <w:noWrap w:val="0"/>
            <w:vAlign w:val="center"/>
          </w:tcPr>
          <w:p w14:paraId="26E6B16A">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00B67335">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脱盐水撬</w:t>
            </w:r>
          </w:p>
        </w:tc>
        <w:tc>
          <w:tcPr>
            <w:tcW w:w="1618" w:type="pct"/>
            <w:tcBorders>
              <w:tl2br w:val="nil"/>
              <w:tr2bl w:val="nil"/>
            </w:tcBorders>
            <w:noWrap/>
            <w:vAlign w:val="center"/>
          </w:tcPr>
          <w:p w14:paraId="4D3EEADB">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3</w:t>
            </w:r>
            <w:r>
              <w:rPr>
                <w:rFonts w:hint="default" w:ascii="Times New Roman" w:hAnsi="Times New Roman" w:eastAsia="宋体"/>
                <w:bCs/>
                <w:color w:val="auto"/>
                <w:kern w:val="0"/>
                <w:szCs w:val="21"/>
                <w:highlight w:val="none"/>
                <w:lang w:val="en-US" w:eastAsia="zh-CN"/>
              </w:rPr>
              <w:t>m</w:t>
            </w:r>
            <w:r>
              <w:rPr>
                <w:rFonts w:hint="default" w:ascii="Times New Roman" w:hAnsi="Times New Roman" w:eastAsia="宋体"/>
                <w:bCs/>
                <w:color w:val="auto"/>
                <w:kern w:val="0"/>
                <w:szCs w:val="21"/>
                <w:highlight w:val="none"/>
                <w:vertAlign w:val="superscript"/>
                <w:lang w:val="en-US" w:eastAsia="zh-CN"/>
              </w:rPr>
              <w:t>3</w:t>
            </w:r>
            <w:r>
              <w:rPr>
                <w:rFonts w:hint="eastAsia" w:ascii="Times New Roman" w:hAnsi="Times New Roman" w:eastAsia="宋体"/>
                <w:bCs/>
                <w:color w:val="auto"/>
                <w:kern w:val="0"/>
                <w:szCs w:val="21"/>
                <w:highlight w:val="none"/>
                <w:lang w:val="en-US" w:eastAsia="zh-CN"/>
              </w:rPr>
              <w:t>/h</w:t>
            </w:r>
          </w:p>
        </w:tc>
        <w:tc>
          <w:tcPr>
            <w:tcW w:w="442" w:type="pct"/>
            <w:tcBorders>
              <w:tl2br w:val="nil"/>
              <w:tr2bl w:val="nil"/>
            </w:tcBorders>
            <w:noWrap/>
            <w:vAlign w:val="center"/>
          </w:tcPr>
          <w:p w14:paraId="71008EEE">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1</w:t>
            </w:r>
          </w:p>
        </w:tc>
        <w:tc>
          <w:tcPr>
            <w:tcW w:w="1023" w:type="pct"/>
            <w:tcBorders>
              <w:tl2br w:val="nil"/>
              <w:tr2bl w:val="nil"/>
            </w:tcBorders>
            <w:noWrap/>
            <w:vAlign w:val="center"/>
          </w:tcPr>
          <w:p w14:paraId="1C83B136">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制备脱盐水</w:t>
            </w:r>
          </w:p>
        </w:tc>
      </w:tr>
      <w:tr w14:paraId="084CCC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9" w:hRule="exact"/>
          <w:jc w:val="center"/>
        </w:trPr>
        <w:tc>
          <w:tcPr>
            <w:tcW w:w="383" w:type="pct"/>
            <w:tcBorders>
              <w:tl2br w:val="nil"/>
              <w:tr2bl w:val="nil"/>
            </w:tcBorders>
            <w:noWrap/>
            <w:vAlign w:val="center"/>
          </w:tcPr>
          <w:p w14:paraId="1002652D">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18</w:t>
            </w:r>
          </w:p>
        </w:tc>
        <w:tc>
          <w:tcPr>
            <w:tcW w:w="485" w:type="pct"/>
            <w:vMerge w:val="continue"/>
            <w:tcBorders>
              <w:tl2br w:val="nil"/>
              <w:tr2bl w:val="nil"/>
            </w:tcBorders>
            <w:noWrap w:val="0"/>
            <w:vAlign w:val="center"/>
          </w:tcPr>
          <w:p w14:paraId="7EA5484C">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3F2B3ECC">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密闭循环冷却水系统</w:t>
            </w:r>
          </w:p>
        </w:tc>
        <w:tc>
          <w:tcPr>
            <w:tcW w:w="1618" w:type="pct"/>
            <w:tcBorders>
              <w:tl2br w:val="nil"/>
              <w:tr2bl w:val="nil"/>
            </w:tcBorders>
            <w:noWrap/>
            <w:vAlign w:val="center"/>
          </w:tcPr>
          <w:p w14:paraId="2DB024E5">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200</w:t>
            </w:r>
            <w:r>
              <w:rPr>
                <w:rFonts w:hint="default" w:ascii="Times New Roman" w:hAnsi="Times New Roman" w:eastAsia="宋体"/>
                <w:bCs/>
                <w:color w:val="auto"/>
                <w:kern w:val="0"/>
                <w:szCs w:val="21"/>
                <w:highlight w:val="none"/>
                <w:lang w:val="en-US" w:eastAsia="zh-CN"/>
              </w:rPr>
              <w:t>m</w:t>
            </w:r>
            <w:r>
              <w:rPr>
                <w:rFonts w:hint="default" w:ascii="Times New Roman" w:hAnsi="Times New Roman" w:eastAsia="宋体"/>
                <w:bCs/>
                <w:color w:val="auto"/>
                <w:kern w:val="0"/>
                <w:szCs w:val="21"/>
                <w:highlight w:val="none"/>
                <w:vertAlign w:val="superscript"/>
                <w:lang w:val="en-US" w:eastAsia="zh-CN"/>
              </w:rPr>
              <w:t>3</w:t>
            </w:r>
            <w:r>
              <w:rPr>
                <w:rFonts w:hint="eastAsia" w:ascii="Times New Roman" w:hAnsi="Times New Roman" w:eastAsia="宋体"/>
                <w:bCs/>
                <w:color w:val="auto"/>
                <w:kern w:val="0"/>
                <w:szCs w:val="21"/>
                <w:highlight w:val="none"/>
                <w:lang w:val="en-US" w:eastAsia="zh-CN"/>
              </w:rPr>
              <w:t>/h</w:t>
            </w:r>
          </w:p>
        </w:tc>
        <w:tc>
          <w:tcPr>
            <w:tcW w:w="442" w:type="pct"/>
            <w:tcBorders>
              <w:tl2br w:val="nil"/>
              <w:tr2bl w:val="nil"/>
            </w:tcBorders>
            <w:noWrap/>
            <w:vAlign w:val="center"/>
          </w:tcPr>
          <w:p w14:paraId="3392FC9F">
            <w:pPr>
              <w:widowControl/>
              <w:snapToGrid w:val="0"/>
              <w:jc w:val="center"/>
              <w:rPr>
                <w:rFonts w:hint="default" w:hAnsi="宋体"/>
                <w:bCs/>
                <w:color w:val="auto"/>
                <w:kern w:val="0"/>
                <w:szCs w:val="21"/>
                <w:highlight w:val="none"/>
                <w:lang w:val="en-US" w:eastAsia="zh-CN"/>
              </w:rPr>
            </w:pPr>
            <w:r>
              <w:rPr>
                <w:rFonts w:hint="eastAsia" w:hAnsi="宋体"/>
                <w:bCs/>
                <w:color w:val="auto"/>
                <w:kern w:val="0"/>
                <w:szCs w:val="21"/>
                <w:highlight w:val="none"/>
                <w:lang w:val="en-US" w:eastAsia="zh-CN"/>
              </w:rPr>
              <w:t>1</w:t>
            </w:r>
          </w:p>
        </w:tc>
        <w:tc>
          <w:tcPr>
            <w:tcW w:w="1023" w:type="pct"/>
            <w:tcBorders>
              <w:tl2br w:val="nil"/>
              <w:tr2bl w:val="nil"/>
            </w:tcBorders>
            <w:noWrap/>
            <w:vAlign w:val="center"/>
          </w:tcPr>
          <w:p w14:paraId="4892BEAA">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冷却</w:t>
            </w:r>
          </w:p>
        </w:tc>
      </w:tr>
      <w:tr w14:paraId="0D438B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4" w:hRule="exact"/>
          <w:jc w:val="center"/>
        </w:trPr>
        <w:tc>
          <w:tcPr>
            <w:tcW w:w="383" w:type="pct"/>
            <w:tcBorders>
              <w:tl2br w:val="nil"/>
              <w:tr2bl w:val="nil"/>
            </w:tcBorders>
            <w:noWrap/>
            <w:vAlign w:val="center"/>
          </w:tcPr>
          <w:p w14:paraId="44D9A7E6">
            <w:pPr>
              <w:widowControl/>
              <w:snapToGrid w:val="0"/>
              <w:jc w:val="center"/>
              <w:rPr>
                <w:rFonts w:hint="eastAsia" w:ascii="Times New Roman" w:hAnsi="Times New Roman" w:eastAsia="宋体"/>
                <w:bCs/>
                <w:color w:val="auto"/>
                <w:kern w:val="0"/>
                <w:szCs w:val="21"/>
                <w:highlight w:val="none"/>
                <w:lang w:eastAsia="zh-CN"/>
              </w:rPr>
            </w:pPr>
            <w:r>
              <w:rPr>
                <w:rFonts w:ascii="Times New Roman" w:hAnsi="Times New Roman" w:eastAsia="宋体"/>
                <w:bCs/>
                <w:color w:val="auto"/>
                <w:kern w:val="0"/>
                <w:szCs w:val="21"/>
                <w:highlight w:val="none"/>
              </w:rPr>
              <w:t>1</w:t>
            </w:r>
          </w:p>
        </w:tc>
        <w:tc>
          <w:tcPr>
            <w:tcW w:w="485" w:type="pct"/>
            <w:vMerge w:val="restart"/>
            <w:tcBorders>
              <w:tl2br w:val="nil"/>
              <w:tr2bl w:val="nil"/>
            </w:tcBorders>
            <w:noWrap/>
            <w:vAlign w:val="center"/>
          </w:tcPr>
          <w:p w14:paraId="47953F1D">
            <w:pPr>
              <w:widowControl/>
              <w:snapToGrid w:val="0"/>
              <w:jc w:val="center"/>
              <w:rPr>
                <w:rFonts w:hint="default" w:ascii="Times New Roman" w:hAnsi="Times New Roman" w:eastAsia="宋体"/>
                <w:b/>
                <w:bCs w:val="0"/>
                <w:color w:val="auto"/>
                <w:kern w:val="0"/>
                <w:szCs w:val="21"/>
                <w:highlight w:val="none"/>
                <w:lang w:val="en-US"/>
              </w:rPr>
            </w:pPr>
            <w:r>
              <w:rPr>
                <w:rFonts w:hint="eastAsia" w:ascii="Times New Roman" w:hAnsi="宋体" w:eastAsia="宋体"/>
                <w:b/>
                <w:bCs w:val="0"/>
                <w:color w:val="auto"/>
                <w:kern w:val="0"/>
                <w:szCs w:val="21"/>
                <w:highlight w:val="none"/>
                <w:lang w:val="en-US" w:eastAsia="zh-CN"/>
              </w:rPr>
              <w:t>加油加氢区</w:t>
            </w:r>
          </w:p>
        </w:tc>
        <w:tc>
          <w:tcPr>
            <w:tcW w:w="1046" w:type="pct"/>
            <w:tcBorders>
              <w:tl2br w:val="nil"/>
              <w:tr2bl w:val="nil"/>
            </w:tcBorders>
            <w:noWrap/>
            <w:vAlign w:val="center"/>
          </w:tcPr>
          <w:p w14:paraId="259301CA">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双油品四枪加油机</w:t>
            </w:r>
          </w:p>
        </w:tc>
        <w:tc>
          <w:tcPr>
            <w:tcW w:w="1618" w:type="pct"/>
            <w:tcBorders>
              <w:tl2br w:val="nil"/>
              <w:tr2bl w:val="nil"/>
            </w:tcBorders>
            <w:noWrap/>
            <w:vAlign w:val="center"/>
          </w:tcPr>
          <w:p w14:paraId="594B2C06">
            <w:pPr>
              <w:widowControl/>
              <w:snapToGrid w:val="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cs="Times New Roman"/>
                <w:bCs/>
                <w:color w:val="auto"/>
                <w:kern w:val="0"/>
                <w:sz w:val="21"/>
                <w:szCs w:val="21"/>
                <w:highlight w:val="none"/>
                <w:lang w:val="en-US" w:eastAsia="zh-CN" w:bidi="ar-SA"/>
              </w:rPr>
              <w:t>/</w:t>
            </w:r>
          </w:p>
        </w:tc>
        <w:tc>
          <w:tcPr>
            <w:tcW w:w="442" w:type="pct"/>
            <w:tcBorders>
              <w:tl2br w:val="nil"/>
              <w:tr2bl w:val="nil"/>
            </w:tcBorders>
            <w:noWrap/>
            <w:vAlign w:val="center"/>
          </w:tcPr>
          <w:p w14:paraId="5B0B6CA4">
            <w:pPr>
              <w:widowControl/>
              <w:snapToGrid w:val="0"/>
              <w:jc w:val="center"/>
              <w:rPr>
                <w:rFonts w:hint="eastAsia" w:ascii="Times New Roman" w:hAnsi="Times New Roman" w:eastAsia="宋体"/>
                <w:bCs/>
                <w:color w:val="auto"/>
                <w:kern w:val="0"/>
                <w:szCs w:val="21"/>
                <w:highlight w:val="none"/>
                <w:lang w:eastAsia="zh-CN"/>
              </w:rPr>
            </w:pPr>
            <w:r>
              <w:rPr>
                <w:rFonts w:hint="eastAsia" w:ascii="Times New Roman" w:hAnsi="Times New Roman" w:eastAsia="宋体"/>
                <w:bCs/>
                <w:color w:val="auto"/>
                <w:kern w:val="0"/>
                <w:szCs w:val="21"/>
                <w:highlight w:val="none"/>
                <w:lang w:val="en-US" w:eastAsia="zh-CN"/>
              </w:rPr>
              <w:t>4</w:t>
            </w:r>
          </w:p>
        </w:tc>
        <w:tc>
          <w:tcPr>
            <w:tcW w:w="1023" w:type="pct"/>
            <w:tcBorders>
              <w:tl2br w:val="nil"/>
              <w:tr2bl w:val="nil"/>
            </w:tcBorders>
            <w:noWrap/>
            <w:vAlign w:val="center"/>
          </w:tcPr>
          <w:p w14:paraId="1BE1B7D3">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加油</w:t>
            </w:r>
          </w:p>
        </w:tc>
      </w:tr>
      <w:tr w14:paraId="144501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9" w:hRule="exact"/>
          <w:jc w:val="center"/>
        </w:trPr>
        <w:tc>
          <w:tcPr>
            <w:tcW w:w="383" w:type="pct"/>
            <w:tcBorders>
              <w:tl2br w:val="nil"/>
              <w:tr2bl w:val="nil"/>
            </w:tcBorders>
            <w:noWrap/>
            <w:vAlign w:val="center"/>
          </w:tcPr>
          <w:p w14:paraId="5334B33F">
            <w:pPr>
              <w:widowControl/>
              <w:snapToGrid w:val="0"/>
              <w:jc w:val="center"/>
              <w:rPr>
                <w:rFonts w:ascii="Times New Roman" w:hAnsi="Times New Roman" w:eastAsia="宋体"/>
                <w:bCs/>
                <w:color w:val="auto"/>
                <w:kern w:val="0"/>
                <w:szCs w:val="21"/>
                <w:highlight w:val="none"/>
              </w:rPr>
            </w:pPr>
            <w:r>
              <w:rPr>
                <w:rFonts w:ascii="Times New Roman" w:hAnsi="Times New Roman" w:eastAsia="宋体"/>
                <w:bCs/>
                <w:color w:val="auto"/>
                <w:kern w:val="0"/>
                <w:szCs w:val="21"/>
                <w:highlight w:val="none"/>
              </w:rPr>
              <w:t>2</w:t>
            </w:r>
          </w:p>
        </w:tc>
        <w:tc>
          <w:tcPr>
            <w:tcW w:w="485" w:type="pct"/>
            <w:vMerge w:val="continue"/>
            <w:tcBorders>
              <w:tl2br w:val="nil"/>
              <w:tr2bl w:val="nil"/>
            </w:tcBorders>
            <w:noWrap/>
            <w:vAlign w:val="center"/>
          </w:tcPr>
          <w:p w14:paraId="7E627841">
            <w:pPr>
              <w:widowControl/>
              <w:snapToGrid w:val="0"/>
              <w:jc w:val="center"/>
              <w:rPr>
                <w:rFonts w:hint="eastAsia" w:ascii="Times New Roman" w:hAnsi="宋体" w:eastAsia="宋体"/>
                <w:b/>
                <w:bCs w:val="0"/>
                <w:color w:val="auto"/>
                <w:kern w:val="0"/>
                <w:szCs w:val="21"/>
                <w:highlight w:val="none"/>
                <w:lang w:val="en-US" w:eastAsia="zh-CN"/>
              </w:rPr>
            </w:pPr>
          </w:p>
        </w:tc>
        <w:tc>
          <w:tcPr>
            <w:tcW w:w="1046" w:type="pct"/>
            <w:tcBorders>
              <w:tl2br w:val="nil"/>
              <w:tr2bl w:val="nil"/>
            </w:tcBorders>
            <w:noWrap/>
            <w:vAlign w:val="center"/>
          </w:tcPr>
          <w:p w14:paraId="2D893DA9">
            <w:pPr>
              <w:widowControl/>
              <w:snapToGrid w:val="0"/>
              <w:jc w:val="center"/>
              <w:rPr>
                <w:rFonts w:hint="eastAsia" w:ascii="Times New Roman" w:hAnsi="宋体" w:eastAsia="宋体"/>
                <w:bCs/>
                <w:color w:val="auto"/>
                <w:kern w:val="0"/>
                <w:szCs w:val="21"/>
                <w:highlight w:val="none"/>
              </w:rPr>
            </w:pPr>
            <w:r>
              <w:rPr>
                <w:rFonts w:hint="eastAsia" w:ascii="Times New Roman" w:hAnsi="Times New Roman" w:eastAsia="宋体"/>
                <w:bCs/>
                <w:color w:val="auto"/>
                <w:kern w:val="0"/>
                <w:szCs w:val="21"/>
                <w:highlight w:val="none"/>
              </w:rPr>
              <w:t>氢气加气机</w:t>
            </w:r>
          </w:p>
        </w:tc>
        <w:tc>
          <w:tcPr>
            <w:tcW w:w="1618" w:type="pct"/>
            <w:tcBorders>
              <w:tl2br w:val="nil"/>
              <w:tr2bl w:val="nil"/>
            </w:tcBorders>
            <w:noWrap/>
            <w:vAlign w:val="center"/>
          </w:tcPr>
          <w:p w14:paraId="5EDBDE98">
            <w:pPr>
              <w:widowControl/>
              <w:snapToGrid w:val="0"/>
              <w:jc w:val="center"/>
              <w:rPr>
                <w:rFonts w:hint="eastAsia"/>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35MPa</w:t>
            </w:r>
          </w:p>
        </w:tc>
        <w:tc>
          <w:tcPr>
            <w:tcW w:w="442" w:type="pct"/>
            <w:tcBorders>
              <w:tl2br w:val="nil"/>
              <w:tr2bl w:val="nil"/>
            </w:tcBorders>
            <w:noWrap/>
            <w:vAlign w:val="center"/>
          </w:tcPr>
          <w:p w14:paraId="79E13A6D">
            <w:pPr>
              <w:widowControl/>
              <w:snapToGrid w:val="0"/>
              <w:jc w:val="center"/>
              <w:rPr>
                <w:rFonts w:ascii="Times New Roman" w:hAnsi="Times New Roman" w:eastAsia="宋体"/>
                <w:bCs/>
                <w:color w:val="auto"/>
                <w:kern w:val="0"/>
                <w:szCs w:val="21"/>
                <w:highlight w:val="none"/>
              </w:rPr>
            </w:pPr>
            <w:r>
              <w:rPr>
                <w:rFonts w:hint="eastAsia" w:hAnsi="宋体"/>
                <w:bCs/>
                <w:color w:val="auto"/>
                <w:kern w:val="0"/>
                <w:szCs w:val="21"/>
                <w:highlight w:val="none"/>
                <w:lang w:val="en-US" w:eastAsia="zh-CN"/>
              </w:rPr>
              <w:t>4</w:t>
            </w:r>
          </w:p>
        </w:tc>
        <w:tc>
          <w:tcPr>
            <w:tcW w:w="1023" w:type="pct"/>
            <w:tcBorders>
              <w:tl2br w:val="nil"/>
              <w:tr2bl w:val="nil"/>
            </w:tcBorders>
            <w:noWrap/>
            <w:vAlign w:val="center"/>
          </w:tcPr>
          <w:p w14:paraId="6E0CD71F">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乘用车加氢</w:t>
            </w:r>
          </w:p>
        </w:tc>
      </w:tr>
      <w:tr w14:paraId="2207D0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70C9CEB2">
            <w:pPr>
              <w:widowControl/>
              <w:snapToGrid w:val="0"/>
              <w:jc w:val="center"/>
              <w:rPr>
                <w:rFonts w:hint="eastAsia" w:ascii="Times New Roman" w:hAnsi="Times New Roman" w:eastAsia="宋体"/>
                <w:bCs/>
                <w:color w:val="auto"/>
                <w:kern w:val="0"/>
                <w:szCs w:val="21"/>
                <w:highlight w:val="none"/>
                <w:lang w:eastAsia="zh-CN"/>
              </w:rPr>
            </w:pPr>
            <w:r>
              <w:rPr>
                <w:rFonts w:ascii="Times New Roman" w:hAnsi="Times New Roman" w:eastAsia="宋体"/>
                <w:bCs/>
                <w:color w:val="auto"/>
                <w:kern w:val="0"/>
                <w:szCs w:val="21"/>
                <w:highlight w:val="none"/>
              </w:rPr>
              <w:t>3</w:t>
            </w:r>
          </w:p>
        </w:tc>
        <w:tc>
          <w:tcPr>
            <w:tcW w:w="485" w:type="pct"/>
            <w:vMerge w:val="continue"/>
            <w:tcBorders>
              <w:tl2br w:val="nil"/>
              <w:tr2bl w:val="nil"/>
            </w:tcBorders>
            <w:noWrap w:val="0"/>
            <w:vAlign w:val="center"/>
          </w:tcPr>
          <w:p w14:paraId="47F0F2E9">
            <w:pPr>
              <w:widowControl/>
              <w:snapToGrid w:val="0"/>
              <w:jc w:val="center"/>
              <w:rPr>
                <w:rFonts w:ascii="Times New Roman" w:hAnsi="Times New Roman" w:eastAsia="宋体"/>
                <w:b/>
                <w:bCs w:val="0"/>
                <w:color w:val="auto"/>
                <w:kern w:val="0"/>
                <w:szCs w:val="21"/>
                <w:highlight w:val="none"/>
              </w:rPr>
            </w:pPr>
          </w:p>
        </w:tc>
        <w:tc>
          <w:tcPr>
            <w:tcW w:w="1046" w:type="pct"/>
            <w:tcBorders>
              <w:tl2br w:val="nil"/>
              <w:tr2bl w:val="nil"/>
            </w:tcBorders>
            <w:noWrap/>
            <w:vAlign w:val="center"/>
          </w:tcPr>
          <w:p w14:paraId="5E41E104">
            <w:pPr>
              <w:widowControl/>
              <w:snapToGrid w:val="0"/>
              <w:jc w:val="center"/>
              <w:rPr>
                <w:rFonts w:hint="eastAsia" w:ascii="Times New Roman" w:hAnsi="宋体" w:eastAsia="宋体" w:cs="Times New Roman"/>
                <w:bCs/>
                <w:color w:val="auto"/>
                <w:kern w:val="0"/>
                <w:szCs w:val="21"/>
                <w:highlight w:val="none"/>
              </w:rPr>
            </w:pPr>
            <w:r>
              <w:rPr>
                <w:rFonts w:hint="eastAsia" w:ascii="Times New Roman" w:hAnsi="宋体" w:eastAsia="宋体" w:cs="Times New Roman"/>
                <w:bCs/>
                <w:color w:val="auto"/>
                <w:kern w:val="0"/>
                <w:szCs w:val="21"/>
                <w:highlight w:val="none"/>
              </w:rPr>
              <w:t>柴油储罐</w:t>
            </w:r>
          </w:p>
        </w:tc>
        <w:tc>
          <w:tcPr>
            <w:tcW w:w="1618" w:type="pct"/>
            <w:tcBorders>
              <w:tl2br w:val="nil"/>
              <w:tr2bl w:val="nil"/>
            </w:tcBorders>
            <w:noWrap/>
            <w:vAlign w:val="center"/>
          </w:tcPr>
          <w:p w14:paraId="31920B03">
            <w:pPr>
              <w:widowControl/>
              <w:snapToGrid w:val="0"/>
              <w:jc w:val="center"/>
              <w:rPr>
                <w:rFonts w:hint="default"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bCs/>
                <w:color w:val="auto"/>
                <w:kern w:val="0"/>
                <w:szCs w:val="21"/>
                <w:highlight w:val="none"/>
                <w:lang w:val="en-US" w:eastAsia="zh-CN"/>
              </w:rPr>
              <w:t>V=30</w:t>
            </w:r>
            <w:r>
              <w:rPr>
                <w:rFonts w:hint="default" w:ascii="Times New Roman" w:hAnsi="Times New Roman" w:eastAsia="宋体"/>
                <w:bCs/>
                <w:color w:val="auto"/>
                <w:kern w:val="0"/>
                <w:szCs w:val="21"/>
                <w:highlight w:val="none"/>
                <w:lang w:val="en-US" w:eastAsia="zh-CN"/>
              </w:rPr>
              <w:t>m</w:t>
            </w:r>
            <w:r>
              <w:rPr>
                <w:rFonts w:hint="default" w:ascii="Times New Roman" w:hAnsi="Times New Roman" w:eastAsia="宋体"/>
                <w:bCs/>
                <w:color w:val="auto"/>
                <w:kern w:val="0"/>
                <w:szCs w:val="21"/>
                <w:highlight w:val="none"/>
                <w:vertAlign w:val="superscript"/>
                <w:lang w:val="en-US" w:eastAsia="zh-CN"/>
              </w:rPr>
              <w:t>3</w:t>
            </w:r>
          </w:p>
        </w:tc>
        <w:tc>
          <w:tcPr>
            <w:tcW w:w="442" w:type="pct"/>
            <w:tcBorders>
              <w:tl2br w:val="nil"/>
              <w:tr2bl w:val="nil"/>
            </w:tcBorders>
            <w:noWrap/>
            <w:vAlign w:val="center"/>
          </w:tcPr>
          <w:p w14:paraId="68392F24">
            <w:pPr>
              <w:widowControl/>
              <w:snapToGrid w:val="0"/>
              <w:jc w:val="center"/>
              <w:rPr>
                <w:rFonts w:ascii="Times New Roman" w:hAnsi="Times New Roman" w:eastAsia="宋体"/>
                <w:bCs/>
                <w:color w:val="auto"/>
                <w:kern w:val="0"/>
                <w:szCs w:val="21"/>
                <w:highlight w:val="none"/>
              </w:rPr>
            </w:pPr>
            <w:r>
              <w:rPr>
                <w:rFonts w:ascii="Times New Roman" w:hAnsi="Times New Roman" w:eastAsia="宋体"/>
                <w:bCs/>
                <w:color w:val="auto"/>
                <w:kern w:val="0"/>
                <w:szCs w:val="21"/>
                <w:highlight w:val="none"/>
              </w:rPr>
              <w:t>1</w:t>
            </w:r>
          </w:p>
        </w:tc>
        <w:tc>
          <w:tcPr>
            <w:tcW w:w="1023" w:type="pct"/>
            <w:vMerge w:val="restart"/>
            <w:tcBorders>
              <w:tl2br w:val="nil"/>
              <w:tr2bl w:val="nil"/>
            </w:tcBorders>
            <w:noWrap/>
            <w:vAlign w:val="center"/>
          </w:tcPr>
          <w:p w14:paraId="10F98121">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油品存储</w:t>
            </w:r>
          </w:p>
        </w:tc>
      </w:tr>
      <w:tr w14:paraId="321CCF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0626F057">
            <w:pPr>
              <w:widowControl/>
              <w:snapToGrid w:val="0"/>
              <w:jc w:val="center"/>
              <w:rPr>
                <w:rFonts w:hint="eastAsia" w:ascii="Times New Roman" w:hAnsi="Times New Roman" w:eastAsia="宋体"/>
                <w:bCs/>
                <w:color w:val="auto"/>
                <w:kern w:val="0"/>
                <w:szCs w:val="21"/>
                <w:highlight w:val="none"/>
                <w:lang w:val="en-US" w:eastAsia="zh-CN"/>
              </w:rPr>
            </w:pPr>
            <w:r>
              <w:rPr>
                <w:rFonts w:ascii="Times New Roman" w:hAnsi="Times New Roman" w:eastAsia="宋体"/>
                <w:bCs/>
                <w:color w:val="auto"/>
                <w:kern w:val="0"/>
                <w:szCs w:val="21"/>
                <w:highlight w:val="none"/>
              </w:rPr>
              <w:t>4</w:t>
            </w:r>
          </w:p>
        </w:tc>
        <w:tc>
          <w:tcPr>
            <w:tcW w:w="485" w:type="pct"/>
            <w:vMerge w:val="continue"/>
            <w:tcBorders>
              <w:tl2br w:val="nil"/>
              <w:tr2bl w:val="nil"/>
            </w:tcBorders>
            <w:noWrap w:val="0"/>
            <w:vAlign w:val="center"/>
          </w:tcPr>
          <w:p w14:paraId="616B1D2F">
            <w:pPr>
              <w:widowControl/>
              <w:snapToGrid w:val="0"/>
              <w:jc w:val="center"/>
              <w:rPr>
                <w:rFonts w:ascii="Times New Roman" w:hAnsi="Times New Roman" w:eastAsia="宋体"/>
                <w:b/>
                <w:bCs w:val="0"/>
                <w:color w:val="auto"/>
                <w:kern w:val="0"/>
                <w:szCs w:val="21"/>
                <w:highlight w:val="none"/>
              </w:rPr>
            </w:pPr>
          </w:p>
        </w:tc>
        <w:tc>
          <w:tcPr>
            <w:tcW w:w="1046" w:type="pct"/>
            <w:tcBorders>
              <w:tl2br w:val="nil"/>
              <w:tr2bl w:val="nil"/>
            </w:tcBorders>
            <w:noWrap/>
            <w:vAlign w:val="center"/>
          </w:tcPr>
          <w:p w14:paraId="13440F28">
            <w:pPr>
              <w:widowControl/>
              <w:snapToGrid w:val="0"/>
              <w:jc w:val="center"/>
              <w:rPr>
                <w:rFonts w:hint="eastAsia" w:ascii="Times New Roman" w:hAnsi="宋体" w:eastAsia="宋体" w:cs="Times New Roman"/>
                <w:bCs/>
                <w:color w:val="auto"/>
                <w:kern w:val="0"/>
                <w:szCs w:val="21"/>
                <w:highlight w:val="none"/>
              </w:rPr>
            </w:pPr>
            <w:r>
              <w:rPr>
                <w:rFonts w:hint="eastAsia" w:ascii="Times New Roman" w:hAnsi="宋体" w:eastAsia="宋体" w:cs="Times New Roman"/>
                <w:bCs/>
                <w:color w:val="auto"/>
                <w:kern w:val="0"/>
                <w:szCs w:val="21"/>
                <w:highlight w:val="none"/>
                <w:lang w:val="en-US" w:eastAsia="zh-CN"/>
              </w:rPr>
              <w:t>汽油</w:t>
            </w:r>
            <w:r>
              <w:rPr>
                <w:rFonts w:hint="eastAsia" w:ascii="Times New Roman" w:hAnsi="宋体" w:eastAsia="宋体" w:cs="Times New Roman"/>
                <w:bCs/>
                <w:color w:val="auto"/>
                <w:kern w:val="0"/>
                <w:szCs w:val="21"/>
                <w:highlight w:val="none"/>
              </w:rPr>
              <w:t>储罐</w:t>
            </w:r>
          </w:p>
        </w:tc>
        <w:tc>
          <w:tcPr>
            <w:tcW w:w="1618" w:type="pct"/>
            <w:tcBorders>
              <w:tl2br w:val="nil"/>
              <w:tr2bl w:val="nil"/>
            </w:tcBorders>
            <w:noWrap/>
            <w:vAlign w:val="center"/>
          </w:tcPr>
          <w:p w14:paraId="25AB366D">
            <w:pPr>
              <w:widowControl/>
              <w:snapToGrid w:val="0"/>
              <w:jc w:val="center"/>
              <w:rPr>
                <w:rFonts w:ascii="Times New Roman" w:hAnsi="Times New Roman" w:eastAsia="宋体" w:cs="Times New Roman"/>
                <w:bCs/>
                <w:color w:val="auto"/>
                <w:kern w:val="0"/>
                <w:sz w:val="21"/>
                <w:szCs w:val="21"/>
                <w:highlight w:val="none"/>
                <w:lang w:val="en-US" w:eastAsia="zh-CN" w:bidi="ar-SA"/>
              </w:rPr>
            </w:pPr>
            <w:r>
              <w:rPr>
                <w:rFonts w:hint="eastAsia" w:ascii="Times New Roman" w:hAnsi="Times New Roman" w:eastAsia="宋体"/>
                <w:bCs/>
                <w:color w:val="auto"/>
                <w:kern w:val="0"/>
                <w:szCs w:val="21"/>
                <w:highlight w:val="none"/>
                <w:lang w:val="en-US" w:eastAsia="zh-CN"/>
              </w:rPr>
              <w:t>V=30</w:t>
            </w:r>
            <w:r>
              <w:rPr>
                <w:rFonts w:hint="default" w:ascii="Times New Roman" w:hAnsi="Times New Roman" w:eastAsia="宋体"/>
                <w:bCs/>
                <w:color w:val="auto"/>
                <w:kern w:val="0"/>
                <w:szCs w:val="21"/>
                <w:highlight w:val="none"/>
                <w:lang w:val="en-US" w:eastAsia="zh-CN"/>
              </w:rPr>
              <w:t>m</w:t>
            </w:r>
            <w:r>
              <w:rPr>
                <w:rFonts w:hint="default" w:ascii="Times New Roman" w:hAnsi="Times New Roman" w:eastAsia="宋体"/>
                <w:bCs/>
                <w:color w:val="auto"/>
                <w:kern w:val="0"/>
                <w:szCs w:val="21"/>
                <w:highlight w:val="none"/>
                <w:vertAlign w:val="superscript"/>
                <w:lang w:val="en-US" w:eastAsia="zh-CN"/>
              </w:rPr>
              <w:t>3</w:t>
            </w:r>
          </w:p>
        </w:tc>
        <w:tc>
          <w:tcPr>
            <w:tcW w:w="442" w:type="pct"/>
            <w:tcBorders>
              <w:tl2br w:val="nil"/>
              <w:tr2bl w:val="nil"/>
            </w:tcBorders>
            <w:noWrap/>
            <w:vAlign w:val="center"/>
          </w:tcPr>
          <w:p w14:paraId="7127303F">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2</w:t>
            </w:r>
          </w:p>
        </w:tc>
        <w:tc>
          <w:tcPr>
            <w:tcW w:w="1023" w:type="pct"/>
            <w:vMerge w:val="continue"/>
            <w:tcBorders>
              <w:tl2br w:val="nil"/>
              <w:tr2bl w:val="nil"/>
            </w:tcBorders>
            <w:noWrap/>
            <w:vAlign w:val="center"/>
          </w:tcPr>
          <w:p w14:paraId="785A13A0">
            <w:pPr>
              <w:widowControl/>
              <w:snapToGrid w:val="0"/>
              <w:jc w:val="center"/>
              <w:rPr>
                <w:rFonts w:hint="eastAsia" w:ascii="Times New Roman" w:hAnsi="Times New Roman" w:eastAsia="宋体"/>
                <w:bCs/>
                <w:color w:val="auto"/>
                <w:kern w:val="0"/>
                <w:szCs w:val="21"/>
                <w:highlight w:val="none"/>
                <w:lang w:val="en-US" w:eastAsia="zh-CN"/>
              </w:rPr>
            </w:pPr>
          </w:p>
        </w:tc>
      </w:tr>
      <w:tr w14:paraId="2309BD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9" w:hRule="exact"/>
          <w:jc w:val="center"/>
        </w:trPr>
        <w:tc>
          <w:tcPr>
            <w:tcW w:w="383" w:type="pct"/>
            <w:tcBorders>
              <w:tl2br w:val="nil"/>
              <w:tr2bl w:val="nil"/>
            </w:tcBorders>
            <w:noWrap/>
            <w:vAlign w:val="center"/>
          </w:tcPr>
          <w:p w14:paraId="4A03E580">
            <w:pPr>
              <w:widowControl/>
              <w:snapToGrid w:val="0"/>
              <w:jc w:val="center"/>
              <w:rPr>
                <w:rFonts w:hint="default" w:ascii="Times New Roman" w:hAnsi="Times New Roman" w:eastAsia="宋体"/>
                <w:bCs/>
                <w:color w:val="auto"/>
                <w:kern w:val="0"/>
                <w:szCs w:val="21"/>
                <w:highlight w:val="none"/>
                <w:lang w:val="en-US" w:eastAsia="zh-CN"/>
              </w:rPr>
            </w:pPr>
            <w:r>
              <w:rPr>
                <w:rFonts w:ascii="Times New Roman" w:hAnsi="Times New Roman" w:eastAsia="宋体"/>
                <w:bCs/>
                <w:color w:val="auto"/>
                <w:kern w:val="0"/>
                <w:szCs w:val="21"/>
                <w:highlight w:val="none"/>
              </w:rPr>
              <w:t>5</w:t>
            </w:r>
          </w:p>
        </w:tc>
        <w:tc>
          <w:tcPr>
            <w:tcW w:w="485" w:type="pct"/>
            <w:vMerge w:val="continue"/>
            <w:tcBorders>
              <w:tl2br w:val="nil"/>
              <w:tr2bl w:val="nil"/>
            </w:tcBorders>
            <w:noWrap w:val="0"/>
            <w:vAlign w:val="center"/>
          </w:tcPr>
          <w:p w14:paraId="4A383B6D">
            <w:pPr>
              <w:widowControl/>
              <w:snapToGrid w:val="0"/>
              <w:jc w:val="center"/>
              <w:rPr>
                <w:rFonts w:ascii="Times New Roman" w:hAnsi="Times New Roman" w:eastAsia="宋体"/>
                <w:b/>
                <w:bCs w:val="0"/>
                <w:color w:val="auto"/>
                <w:kern w:val="0"/>
                <w:szCs w:val="21"/>
                <w:highlight w:val="none"/>
              </w:rPr>
            </w:pPr>
          </w:p>
        </w:tc>
        <w:tc>
          <w:tcPr>
            <w:tcW w:w="1046" w:type="pct"/>
            <w:tcBorders>
              <w:tl2br w:val="nil"/>
              <w:tr2bl w:val="nil"/>
            </w:tcBorders>
            <w:noWrap/>
            <w:vAlign w:val="center"/>
          </w:tcPr>
          <w:p w14:paraId="04F1212D">
            <w:pPr>
              <w:widowControl/>
              <w:snapToGrid w:val="0"/>
              <w:jc w:val="center"/>
              <w:rPr>
                <w:rFonts w:ascii="Times New Roman" w:hAnsi="宋体" w:eastAsia="宋体"/>
                <w:bCs/>
                <w:color w:val="auto"/>
                <w:kern w:val="0"/>
                <w:szCs w:val="21"/>
                <w:highlight w:val="none"/>
              </w:rPr>
            </w:pPr>
            <w:r>
              <w:rPr>
                <w:rFonts w:hint="eastAsia" w:ascii="Times New Roman" w:hAnsi="宋体" w:eastAsia="宋体"/>
                <w:bCs/>
                <w:color w:val="auto"/>
                <w:kern w:val="0"/>
                <w:szCs w:val="21"/>
                <w:highlight w:val="none"/>
              </w:rPr>
              <w:t>密闭式卸油管路系统</w:t>
            </w:r>
          </w:p>
        </w:tc>
        <w:tc>
          <w:tcPr>
            <w:tcW w:w="1618" w:type="pct"/>
            <w:tcBorders>
              <w:tl2br w:val="nil"/>
              <w:tr2bl w:val="nil"/>
            </w:tcBorders>
            <w:noWrap/>
            <w:vAlign w:val="center"/>
          </w:tcPr>
          <w:p w14:paraId="7CAAFD58">
            <w:pPr>
              <w:widowControl/>
              <w:snapToGrid w:val="0"/>
              <w:jc w:val="center"/>
              <w:rPr>
                <w:rFonts w:hint="default" w:ascii="Times New Roman" w:hAnsi="Times New Roman" w:eastAsia="宋体" w:cs="Times New Roman"/>
                <w:bCs/>
                <w:color w:val="auto"/>
                <w:kern w:val="0"/>
                <w:sz w:val="21"/>
                <w:szCs w:val="21"/>
                <w:highlight w:val="none"/>
                <w:lang w:val="en-US" w:eastAsia="zh-CN" w:bidi="ar-SA"/>
              </w:rPr>
            </w:pPr>
            <w:r>
              <w:rPr>
                <w:rFonts w:hint="eastAsia"/>
                <w:bCs/>
                <w:color w:val="auto"/>
                <w:kern w:val="0"/>
                <w:szCs w:val="21"/>
                <w:highlight w:val="none"/>
                <w:lang w:val="en-US" w:eastAsia="zh-CN"/>
              </w:rPr>
              <w:t>/</w:t>
            </w:r>
          </w:p>
        </w:tc>
        <w:tc>
          <w:tcPr>
            <w:tcW w:w="442" w:type="pct"/>
            <w:tcBorders>
              <w:tl2br w:val="nil"/>
              <w:tr2bl w:val="nil"/>
            </w:tcBorders>
            <w:noWrap/>
            <w:vAlign w:val="center"/>
          </w:tcPr>
          <w:p w14:paraId="75EF7414">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4</w:t>
            </w:r>
          </w:p>
        </w:tc>
        <w:tc>
          <w:tcPr>
            <w:tcW w:w="1023" w:type="pct"/>
            <w:tcBorders>
              <w:tl2br w:val="nil"/>
              <w:tr2bl w:val="nil"/>
            </w:tcBorders>
            <w:noWrap/>
            <w:vAlign w:val="center"/>
          </w:tcPr>
          <w:p w14:paraId="7C3D02D3">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w:t>
            </w:r>
          </w:p>
        </w:tc>
      </w:tr>
      <w:tr w14:paraId="7C50A9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6D06C141">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6</w:t>
            </w:r>
          </w:p>
        </w:tc>
        <w:tc>
          <w:tcPr>
            <w:tcW w:w="485" w:type="pct"/>
            <w:vMerge w:val="continue"/>
            <w:tcBorders>
              <w:tl2br w:val="nil"/>
              <w:tr2bl w:val="nil"/>
            </w:tcBorders>
            <w:noWrap w:val="0"/>
            <w:vAlign w:val="center"/>
          </w:tcPr>
          <w:p w14:paraId="7867509B">
            <w:pPr>
              <w:widowControl/>
              <w:snapToGrid w:val="0"/>
              <w:jc w:val="center"/>
              <w:rPr>
                <w:rFonts w:ascii="Times New Roman" w:hAnsi="Times New Roman" w:eastAsia="宋体"/>
                <w:b/>
                <w:bCs w:val="0"/>
                <w:color w:val="auto"/>
                <w:kern w:val="0"/>
                <w:szCs w:val="21"/>
                <w:highlight w:val="none"/>
              </w:rPr>
            </w:pPr>
          </w:p>
        </w:tc>
        <w:tc>
          <w:tcPr>
            <w:tcW w:w="1046" w:type="pct"/>
            <w:tcBorders>
              <w:tl2br w:val="nil"/>
              <w:tr2bl w:val="nil"/>
            </w:tcBorders>
            <w:noWrap/>
            <w:vAlign w:val="center"/>
          </w:tcPr>
          <w:p w14:paraId="4EFB04F4">
            <w:pPr>
              <w:widowControl/>
              <w:snapToGrid w:val="0"/>
              <w:jc w:val="center"/>
              <w:rPr>
                <w:rFonts w:hint="eastAsia"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卸车机</w:t>
            </w:r>
          </w:p>
        </w:tc>
        <w:tc>
          <w:tcPr>
            <w:tcW w:w="1618" w:type="pct"/>
            <w:tcBorders>
              <w:tl2br w:val="nil"/>
              <w:tr2bl w:val="nil"/>
            </w:tcBorders>
            <w:noWrap/>
            <w:vAlign w:val="center"/>
          </w:tcPr>
          <w:p w14:paraId="6EA1E72A">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w:t>
            </w:r>
          </w:p>
        </w:tc>
        <w:tc>
          <w:tcPr>
            <w:tcW w:w="442" w:type="pct"/>
            <w:tcBorders>
              <w:tl2br w:val="nil"/>
              <w:tr2bl w:val="nil"/>
            </w:tcBorders>
            <w:noWrap/>
            <w:vAlign w:val="center"/>
          </w:tcPr>
          <w:p w14:paraId="231DD55F">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1</w:t>
            </w:r>
          </w:p>
        </w:tc>
        <w:tc>
          <w:tcPr>
            <w:tcW w:w="1023" w:type="pct"/>
            <w:tcBorders>
              <w:tl2br w:val="nil"/>
              <w:tr2bl w:val="nil"/>
            </w:tcBorders>
            <w:noWrap/>
            <w:vAlign w:val="center"/>
          </w:tcPr>
          <w:p w14:paraId="3D235CBE">
            <w:pPr>
              <w:widowControl/>
              <w:snapToGrid w:val="0"/>
              <w:jc w:val="center"/>
              <w:rPr>
                <w:rFonts w:hint="eastAsia"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w:t>
            </w:r>
          </w:p>
        </w:tc>
      </w:tr>
      <w:tr w14:paraId="47D542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498C809D">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7</w:t>
            </w:r>
          </w:p>
        </w:tc>
        <w:tc>
          <w:tcPr>
            <w:tcW w:w="485" w:type="pct"/>
            <w:vMerge w:val="continue"/>
            <w:tcBorders>
              <w:tl2br w:val="nil"/>
              <w:tr2bl w:val="nil"/>
            </w:tcBorders>
            <w:noWrap w:val="0"/>
            <w:vAlign w:val="center"/>
          </w:tcPr>
          <w:p w14:paraId="22A65E63">
            <w:pPr>
              <w:widowControl/>
              <w:snapToGrid w:val="0"/>
              <w:jc w:val="center"/>
              <w:rPr>
                <w:rFonts w:ascii="Times New Roman" w:hAnsi="Times New Roman" w:eastAsia="宋体"/>
                <w:b/>
                <w:bCs w:val="0"/>
                <w:color w:val="auto"/>
                <w:kern w:val="0"/>
                <w:szCs w:val="21"/>
                <w:highlight w:val="none"/>
              </w:rPr>
            </w:pPr>
          </w:p>
        </w:tc>
        <w:tc>
          <w:tcPr>
            <w:tcW w:w="1046" w:type="pct"/>
            <w:tcBorders>
              <w:tl2br w:val="nil"/>
              <w:tr2bl w:val="nil"/>
            </w:tcBorders>
            <w:noWrap/>
            <w:vAlign w:val="center"/>
          </w:tcPr>
          <w:p w14:paraId="4DA767AA">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洗车机</w:t>
            </w:r>
          </w:p>
        </w:tc>
        <w:tc>
          <w:tcPr>
            <w:tcW w:w="1618" w:type="pct"/>
            <w:tcBorders>
              <w:tl2br w:val="nil"/>
              <w:tr2bl w:val="nil"/>
            </w:tcBorders>
            <w:noWrap/>
            <w:vAlign w:val="center"/>
          </w:tcPr>
          <w:p w14:paraId="4168B3C4">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面积28m</w:t>
            </w:r>
            <w:r>
              <w:rPr>
                <w:rFonts w:hint="eastAsia"/>
                <w:bCs/>
                <w:color w:val="auto"/>
                <w:kern w:val="0"/>
                <w:szCs w:val="21"/>
                <w:highlight w:val="none"/>
                <w:vertAlign w:val="superscript"/>
                <w:lang w:val="en-US" w:eastAsia="zh-CN"/>
              </w:rPr>
              <w:t>2</w:t>
            </w:r>
          </w:p>
        </w:tc>
        <w:tc>
          <w:tcPr>
            <w:tcW w:w="442" w:type="pct"/>
            <w:tcBorders>
              <w:tl2br w:val="nil"/>
              <w:tr2bl w:val="nil"/>
            </w:tcBorders>
            <w:noWrap/>
            <w:vAlign w:val="center"/>
          </w:tcPr>
          <w:p w14:paraId="297A7A3B">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1</w:t>
            </w:r>
          </w:p>
        </w:tc>
        <w:tc>
          <w:tcPr>
            <w:tcW w:w="1023" w:type="pct"/>
            <w:tcBorders>
              <w:tl2br w:val="nil"/>
              <w:tr2bl w:val="nil"/>
            </w:tcBorders>
            <w:noWrap/>
            <w:vAlign w:val="center"/>
          </w:tcPr>
          <w:p w14:paraId="33471C66">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洗车</w:t>
            </w:r>
          </w:p>
        </w:tc>
      </w:tr>
      <w:tr w14:paraId="7D02EA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52129C4A">
            <w:pPr>
              <w:widowControl/>
              <w:snapToGrid w:val="0"/>
              <w:jc w:val="center"/>
              <w:rPr>
                <w:rFonts w:hint="eastAsia" w:ascii="Times New Roman" w:hAnsi="Times New Roman" w:eastAsia="宋体"/>
                <w:b/>
                <w:bCs w:val="0"/>
                <w:color w:val="auto"/>
                <w:kern w:val="0"/>
                <w:szCs w:val="21"/>
                <w:highlight w:val="none"/>
                <w:lang w:eastAsia="zh-CN"/>
              </w:rPr>
            </w:pPr>
            <w:r>
              <w:rPr>
                <w:rFonts w:ascii="Times New Roman" w:hAnsi="Times New Roman" w:eastAsia="宋体"/>
                <w:bCs/>
                <w:color w:val="auto"/>
                <w:kern w:val="0"/>
                <w:szCs w:val="21"/>
                <w:highlight w:val="none"/>
              </w:rPr>
              <w:t>1</w:t>
            </w:r>
          </w:p>
        </w:tc>
        <w:tc>
          <w:tcPr>
            <w:tcW w:w="485" w:type="pct"/>
            <w:vMerge w:val="restart"/>
            <w:tcBorders>
              <w:tl2br w:val="nil"/>
              <w:tr2bl w:val="nil"/>
            </w:tcBorders>
            <w:noWrap/>
            <w:vAlign w:val="center"/>
          </w:tcPr>
          <w:p w14:paraId="64E73367">
            <w:pPr>
              <w:widowControl/>
              <w:snapToGrid w:val="0"/>
              <w:jc w:val="center"/>
              <w:rPr>
                <w:rFonts w:hint="default" w:ascii="Times New Roman" w:hAnsi="Times New Roman" w:eastAsia="宋体"/>
                <w:b/>
                <w:bCs w:val="0"/>
                <w:color w:val="auto"/>
                <w:kern w:val="0"/>
                <w:szCs w:val="21"/>
                <w:highlight w:val="none"/>
                <w:lang w:val="en-US"/>
              </w:rPr>
            </w:pPr>
            <w:r>
              <w:rPr>
                <w:rFonts w:hint="eastAsia" w:hAnsi="宋体"/>
                <w:b/>
                <w:bCs w:val="0"/>
                <w:color w:val="auto"/>
                <w:kern w:val="0"/>
                <w:szCs w:val="21"/>
                <w:highlight w:val="none"/>
                <w:lang w:val="en-US" w:eastAsia="zh-CN"/>
              </w:rPr>
              <w:t>光电充</w:t>
            </w:r>
          </w:p>
        </w:tc>
        <w:tc>
          <w:tcPr>
            <w:tcW w:w="1046" w:type="pct"/>
            <w:tcBorders>
              <w:tl2br w:val="nil"/>
              <w:tr2bl w:val="nil"/>
            </w:tcBorders>
            <w:noWrap/>
            <w:vAlign w:val="center"/>
          </w:tcPr>
          <w:p w14:paraId="65387F7D">
            <w:pPr>
              <w:widowControl/>
              <w:snapToGrid w:val="0"/>
              <w:jc w:val="center"/>
              <w:rPr>
                <w:rFonts w:hint="default"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充电桩</w:t>
            </w:r>
          </w:p>
        </w:tc>
        <w:tc>
          <w:tcPr>
            <w:tcW w:w="1618" w:type="pct"/>
            <w:tcBorders>
              <w:tl2br w:val="nil"/>
              <w:tr2bl w:val="nil"/>
            </w:tcBorders>
            <w:noWrap/>
            <w:vAlign w:val="center"/>
          </w:tcPr>
          <w:p w14:paraId="2BEE1AC2">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w:t>
            </w:r>
          </w:p>
        </w:tc>
        <w:tc>
          <w:tcPr>
            <w:tcW w:w="442" w:type="pct"/>
            <w:tcBorders>
              <w:tl2br w:val="nil"/>
              <w:tr2bl w:val="nil"/>
            </w:tcBorders>
            <w:noWrap/>
            <w:vAlign w:val="center"/>
          </w:tcPr>
          <w:p w14:paraId="6047CE24">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lang w:val="en-US" w:eastAsia="zh-CN"/>
              </w:rPr>
              <w:t>30</w:t>
            </w:r>
          </w:p>
        </w:tc>
        <w:tc>
          <w:tcPr>
            <w:tcW w:w="1023" w:type="pct"/>
            <w:tcBorders>
              <w:tl2br w:val="nil"/>
              <w:tr2bl w:val="nil"/>
            </w:tcBorders>
            <w:noWrap/>
            <w:vAlign w:val="center"/>
          </w:tcPr>
          <w:p w14:paraId="01574064">
            <w:pPr>
              <w:widowControl/>
              <w:snapToGrid w:val="0"/>
              <w:jc w:val="center"/>
              <w:rPr>
                <w:rFonts w:ascii="Times New Roman" w:hAnsi="Times New Roman" w:eastAsia="宋体"/>
                <w:bCs/>
                <w:color w:val="auto"/>
                <w:kern w:val="0"/>
                <w:szCs w:val="21"/>
                <w:highlight w:val="none"/>
              </w:rPr>
            </w:pPr>
            <w:r>
              <w:rPr>
                <w:rFonts w:hint="eastAsia" w:ascii="Times New Roman" w:hAnsi="宋体" w:eastAsia="宋体"/>
                <w:bCs/>
                <w:color w:val="auto"/>
                <w:kern w:val="0"/>
                <w:szCs w:val="21"/>
                <w:highlight w:val="none"/>
                <w:lang w:val="en-US" w:eastAsia="zh-CN"/>
              </w:rPr>
              <w:t>新建</w:t>
            </w:r>
          </w:p>
        </w:tc>
      </w:tr>
      <w:tr w14:paraId="22117C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62F51BFD">
            <w:pPr>
              <w:widowControl/>
              <w:snapToGrid w:val="0"/>
              <w:jc w:val="center"/>
              <w:rPr>
                <w:rFonts w:hint="eastAsia" w:ascii="Times New Roman" w:hAnsi="Times New Roman" w:eastAsia="宋体"/>
                <w:b/>
                <w:bCs w:val="0"/>
                <w:color w:val="auto"/>
                <w:kern w:val="0"/>
                <w:szCs w:val="21"/>
                <w:highlight w:val="none"/>
                <w:lang w:eastAsia="zh-CN"/>
              </w:rPr>
            </w:pPr>
            <w:r>
              <w:rPr>
                <w:rFonts w:ascii="Times New Roman" w:hAnsi="Times New Roman" w:eastAsia="宋体"/>
                <w:bCs/>
                <w:color w:val="auto"/>
                <w:kern w:val="0"/>
                <w:szCs w:val="21"/>
                <w:highlight w:val="none"/>
              </w:rPr>
              <w:t>2</w:t>
            </w:r>
          </w:p>
        </w:tc>
        <w:tc>
          <w:tcPr>
            <w:tcW w:w="485" w:type="pct"/>
            <w:vMerge w:val="continue"/>
            <w:tcBorders>
              <w:tl2br w:val="nil"/>
              <w:tr2bl w:val="nil"/>
            </w:tcBorders>
            <w:noWrap/>
            <w:vAlign w:val="center"/>
          </w:tcPr>
          <w:p w14:paraId="13691E8C">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7AC2AE9F">
            <w:pPr>
              <w:widowControl/>
              <w:snapToGrid w:val="0"/>
              <w:jc w:val="center"/>
              <w:rPr>
                <w:rFonts w:hint="eastAsia" w:ascii="Times New Roman" w:hAnsi="宋体" w:eastAsia="宋体"/>
                <w:bCs/>
                <w:color w:val="auto"/>
                <w:kern w:val="0"/>
                <w:szCs w:val="21"/>
                <w:highlight w:val="none"/>
                <w:lang w:eastAsia="zh-CN"/>
              </w:rPr>
            </w:pPr>
            <w:r>
              <w:rPr>
                <w:rFonts w:hint="eastAsia" w:ascii="Times New Roman" w:hAnsi="宋体" w:eastAsia="宋体"/>
                <w:bCs/>
                <w:color w:val="auto"/>
                <w:kern w:val="0"/>
                <w:szCs w:val="21"/>
                <w:highlight w:val="none"/>
                <w:lang w:eastAsia="zh-CN"/>
              </w:rPr>
              <w:t>组串式逆变器</w:t>
            </w:r>
          </w:p>
        </w:tc>
        <w:tc>
          <w:tcPr>
            <w:tcW w:w="1618" w:type="pct"/>
            <w:tcBorders>
              <w:tl2br w:val="nil"/>
              <w:tr2bl w:val="nil"/>
            </w:tcBorders>
            <w:noWrap/>
            <w:vAlign w:val="center"/>
          </w:tcPr>
          <w:p w14:paraId="2511646B">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100k</w:t>
            </w:r>
            <w:r>
              <w:rPr>
                <w:rFonts w:hint="eastAsia" w:ascii="Times New Roman" w:hAnsi="Times New Roman" w:eastAsia="宋体"/>
                <w:bCs/>
                <w:color w:val="auto"/>
                <w:kern w:val="0"/>
                <w:szCs w:val="21"/>
                <w:highlight w:val="none"/>
              </w:rPr>
              <w:t>W</w:t>
            </w:r>
          </w:p>
        </w:tc>
        <w:tc>
          <w:tcPr>
            <w:tcW w:w="442" w:type="pct"/>
            <w:tcBorders>
              <w:tl2br w:val="nil"/>
              <w:tr2bl w:val="nil"/>
            </w:tcBorders>
            <w:noWrap/>
            <w:vAlign w:val="center"/>
          </w:tcPr>
          <w:p w14:paraId="7238AAA1">
            <w:pPr>
              <w:widowControl/>
              <w:snapToGrid w:val="0"/>
              <w:jc w:val="center"/>
              <w:rPr>
                <w:rFonts w:hint="eastAsia" w:ascii="Times New Roman" w:hAnsi="Times New Roman" w:eastAsia="宋体"/>
                <w:bCs/>
                <w:color w:val="auto"/>
                <w:kern w:val="0"/>
                <w:szCs w:val="21"/>
                <w:highlight w:val="none"/>
                <w:lang w:eastAsia="zh-CN"/>
              </w:rPr>
            </w:pPr>
            <w:r>
              <w:rPr>
                <w:rFonts w:hint="eastAsia" w:ascii="Times New Roman" w:hAnsi="Times New Roman" w:eastAsia="宋体"/>
                <w:bCs/>
                <w:color w:val="auto"/>
                <w:kern w:val="0"/>
                <w:szCs w:val="21"/>
                <w:highlight w:val="none"/>
                <w:lang w:val="en-US" w:eastAsia="zh-CN"/>
              </w:rPr>
              <w:t>2</w:t>
            </w:r>
          </w:p>
        </w:tc>
        <w:tc>
          <w:tcPr>
            <w:tcW w:w="1023" w:type="pct"/>
            <w:tcBorders>
              <w:tl2br w:val="nil"/>
              <w:tr2bl w:val="nil"/>
            </w:tcBorders>
            <w:noWrap/>
            <w:vAlign w:val="center"/>
          </w:tcPr>
          <w:p w14:paraId="4A907C38">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lang w:val="en-US" w:eastAsia="zh-CN"/>
              </w:rPr>
              <w:t>利旧</w:t>
            </w:r>
          </w:p>
        </w:tc>
      </w:tr>
      <w:tr w14:paraId="4FEDAB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15C66839">
            <w:pPr>
              <w:widowControl/>
              <w:snapToGrid w:val="0"/>
              <w:jc w:val="center"/>
              <w:rPr>
                <w:rFonts w:hint="eastAsia" w:ascii="Times New Roman" w:hAnsi="Times New Roman" w:eastAsia="宋体"/>
                <w:b/>
                <w:bCs w:val="0"/>
                <w:color w:val="auto"/>
                <w:kern w:val="0"/>
                <w:szCs w:val="21"/>
                <w:highlight w:val="none"/>
                <w:lang w:val="en-US" w:eastAsia="zh-CN"/>
              </w:rPr>
            </w:pPr>
            <w:r>
              <w:rPr>
                <w:rFonts w:ascii="Times New Roman" w:hAnsi="Times New Roman" w:eastAsia="宋体"/>
                <w:bCs/>
                <w:color w:val="auto"/>
                <w:kern w:val="0"/>
                <w:szCs w:val="21"/>
                <w:highlight w:val="none"/>
              </w:rPr>
              <w:t>3</w:t>
            </w:r>
          </w:p>
        </w:tc>
        <w:tc>
          <w:tcPr>
            <w:tcW w:w="485" w:type="pct"/>
            <w:vMerge w:val="continue"/>
            <w:tcBorders>
              <w:tl2br w:val="nil"/>
              <w:tr2bl w:val="nil"/>
            </w:tcBorders>
            <w:noWrap/>
            <w:vAlign w:val="center"/>
          </w:tcPr>
          <w:p w14:paraId="54CC2329">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5525601A">
            <w:pPr>
              <w:widowControl/>
              <w:snapToGrid w:val="0"/>
              <w:jc w:val="center"/>
              <w:rPr>
                <w:rFonts w:ascii="Times New Roman" w:hAnsi="Times New Roman" w:eastAsia="宋体"/>
                <w:bCs/>
                <w:color w:val="auto"/>
                <w:kern w:val="0"/>
                <w:szCs w:val="21"/>
                <w:highlight w:val="none"/>
              </w:rPr>
            </w:pPr>
            <w:r>
              <w:rPr>
                <w:rFonts w:hint="eastAsia" w:ascii="Times New Roman" w:hAnsi="宋体" w:eastAsia="宋体"/>
                <w:bCs/>
                <w:color w:val="auto"/>
                <w:kern w:val="0"/>
                <w:szCs w:val="21"/>
                <w:highlight w:val="none"/>
                <w:lang w:eastAsia="zh-CN"/>
              </w:rPr>
              <w:t>组串式逆变器</w:t>
            </w:r>
          </w:p>
        </w:tc>
        <w:tc>
          <w:tcPr>
            <w:tcW w:w="1618" w:type="pct"/>
            <w:tcBorders>
              <w:tl2br w:val="nil"/>
              <w:tr2bl w:val="nil"/>
            </w:tcBorders>
            <w:noWrap/>
            <w:vAlign w:val="center"/>
          </w:tcPr>
          <w:p w14:paraId="2CC89A36">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lang w:val="en-US" w:eastAsia="zh-CN"/>
              </w:rPr>
              <w:t>50k</w:t>
            </w:r>
            <w:r>
              <w:rPr>
                <w:rFonts w:hint="eastAsia" w:ascii="Times New Roman" w:hAnsi="Times New Roman" w:eastAsia="宋体"/>
                <w:bCs/>
                <w:color w:val="auto"/>
                <w:kern w:val="0"/>
                <w:szCs w:val="21"/>
                <w:highlight w:val="none"/>
              </w:rPr>
              <w:t>W</w:t>
            </w:r>
          </w:p>
        </w:tc>
        <w:tc>
          <w:tcPr>
            <w:tcW w:w="442" w:type="pct"/>
            <w:tcBorders>
              <w:tl2br w:val="nil"/>
              <w:tr2bl w:val="nil"/>
            </w:tcBorders>
            <w:noWrap/>
            <w:vAlign w:val="center"/>
          </w:tcPr>
          <w:p w14:paraId="6DF00550">
            <w:pPr>
              <w:widowControl/>
              <w:snapToGrid w:val="0"/>
              <w:jc w:val="center"/>
              <w:rPr>
                <w:rFonts w:ascii="Times New Roman" w:hAnsi="Times New Roman" w:eastAsia="宋体"/>
                <w:bCs/>
                <w:color w:val="auto"/>
                <w:kern w:val="0"/>
                <w:szCs w:val="21"/>
                <w:highlight w:val="none"/>
              </w:rPr>
            </w:pPr>
            <w:r>
              <w:rPr>
                <w:rFonts w:ascii="Times New Roman" w:hAnsi="Times New Roman" w:eastAsia="宋体"/>
                <w:bCs/>
                <w:color w:val="auto"/>
                <w:kern w:val="0"/>
                <w:szCs w:val="21"/>
                <w:highlight w:val="none"/>
              </w:rPr>
              <w:t>1</w:t>
            </w:r>
          </w:p>
        </w:tc>
        <w:tc>
          <w:tcPr>
            <w:tcW w:w="1023" w:type="pct"/>
            <w:tcBorders>
              <w:tl2br w:val="nil"/>
              <w:tr2bl w:val="nil"/>
            </w:tcBorders>
            <w:noWrap/>
            <w:vAlign w:val="center"/>
          </w:tcPr>
          <w:p w14:paraId="03B210FD">
            <w:pPr>
              <w:widowControl/>
              <w:snapToGrid w:val="0"/>
              <w:jc w:val="center"/>
              <w:rPr>
                <w:rFonts w:ascii="Times New Roman" w:hAnsi="Times New Roman" w:eastAsia="宋体"/>
                <w:bCs/>
                <w:color w:val="auto"/>
                <w:kern w:val="0"/>
                <w:szCs w:val="21"/>
                <w:highlight w:val="none"/>
              </w:rPr>
            </w:pPr>
            <w:r>
              <w:rPr>
                <w:rFonts w:hint="eastAsia" w:ascii="Times New Roman" w:hAnsi="宋体" w:eastAsia="宋体"/>
                <w:bCs/>
                <w:color w:val="auto"/>
                <w:kern w:val="0"/>
                <w:szCs w:val="21"/>
                <w:highlight w:val="none"/>
                <w:lang w:val="en-US" w:eastAsia="zh-CN"/>
              </w:rPr>
              <w:t>新建</w:t>
            </w:r>
          </w:p>
        </w:tc>
      </w:tr>
      <w:tr w14:paraId="57F640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7E7E2C46">
            <w:pPr>
              <w:widowControl/>
              <w:snapToGrid w:val="0"/>
              <w:jc w:val="center"/>
              <w:rPr>
                <w:rFonts w:hint="eastAsia" w:ascii="Times New Roman" w:hAnsi="Times New Roman" w:eastAsia="宋体"/>
                <w:b/>
                <w:bCs w:val="0"/>
                <w:color w:val="auto"/>
                <w:kern w:val="0"/>
                <w:szCs w:val="21"/>
                <w:highlight w:val="none"/>
                <w:lang w:val="en-US" w:eastAsia="zh-CN"/>
              </w:rPr>
            </w:pPr>
            <w:r>
              <w:rPr>
                <w:rFonts w:ascii="Times New Roman" w:hAnsi="Times New Roman" w:eastAsia="宋体"/>
                <w:bCs/>
                <w:color w:val="auto"/>
                <w:kern w:val="0"/>
                <w:szCs w:val="21"/>
                <w:highlight w:val="none"/>
              </w:rPr>
              <w:t>4</w:t>
            </w:r>
          </w:p>
        </w:tc>
        <w:tc>
          <w:tcPr>
            <w:tcW w:w="485" w:type="pct"/>
            <w:vMerge w:val="continue"/>
            <w:tcBorders>
              <w:tl2br w:val="nil"/>
              <w:tr2bl w:val="nil"/>
            </w:tcBorders>
            <w:noWrap w:val="0"/>
            <w:vAlign w:val="center"/>
          </w:tcPr>
          <w:p w14:paraId="3E0D2E02">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7BB1428D">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单晶硅组件</w:t>
            </w:r>
          </w:p>
        </w:tc>
        <w:tc>
          <w:tcPr>
            <w:tcW w:w="1618" w:type="pct"/>
            <w:tcBorders>
              <w:tl2br w:val="nil"/>
              <w:tr2bl w:val="nil"/>
            </w:tcBorders>
            <w:noWrap/>
            <w:vAlign w:val="center"/>
          </w:tcPr>
          <w:p w14:paraId="0C750D71">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N型</w:t>
            </w:r>
          </w:p>
        </w:tc>
        <w:tc>
          <w:tcPr>
            <w:tcW w:w="442" w:type="pct"/>
            <w:tcBorders>
              <w:tl2br w:val="nil"/>
              <w:tr2bl w:val="nil"/>
            </w:tcBorders>
            <w:noWrap/>
            <w:vAlign w:val="center"/>
          </w:tcPr>
          <w:p w14:paraId="6F8F348E">
            <w:pPr>
              <w:widowControl/>
              <w:snapToGrid w:val="0"/>
              <w:jc w:val="center"/>
              <w:rPr>
                <w:rFonts w:ascii="Times New Roman" w:hAnsi="Times New Roman" w:eastAsia="宋体"/>
                <w:bCs/>
                <w:color w:val="auto"/>
                <w:kern w:val="0"/>
                <w:szCs w:val="21"/>
                <w:highlight w:val="none"/>
              </w:rPr>
            </w:pPr>
            <w:r>
              <w:rPr>
                <w:rFonts w:hint="eastAsia" w:ascii="Times New Roman" w:hAnsi="Times New Roman" w:eastAsia="宋体"/>
                <w:bCs/>
                <w:color w:val="auto"/>
                <w:kern w:val="0"/>
                <w:szCs w:val="21"/>
                <w:highlight w:val="none"/>
              </w:rPr>
              <w:t>378</w:t>
            </w:r>
          </w:p>
        </w:tc>
        <w:tc>
          <w:tcPr>
            <w:tcW w:w="1023" w:type="pct"/>
            <w:tcBorders>
              <w:tl2br w:val="nil"/>
              <w:tr2bl w:val="nil"/>
            </w:tcBorders>
            <w:noWrap/>
            <w:vAlign w:val="center"/>
          </w:tcPr>
          <w:p w14:paraId="00B5243A">
            <w:pPr>
              <w:widowControl/>
              <w:snapToGrid w:val="0"/>
              <w:jc w:val="center"/>
              <w:rPr>
                <w:rFonts w:hint="eastAsia" w:ascii="Times New Roman" w:hAnsi="Times New Roman"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新建</w:t>
            </w:r>
          </w:p>
        </w:tc>
      </w:tr>
      <w:tr w14:paraId="3B8ED8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6F4780E4">
            <w:pPr>
              <w:widowControl/>
              <w:snapToGrid w:val="0"/>
              <w:jc w:val="center"/>
              <w:rPr>
                <w:rFonts w:hint="default" w:ascii="Times New Roman" w:hAnsi="Times New Roman" w:eastAsia="宋体"/>
                <w:bCs/>
                <w:color w:val="auto"/>
                <w:kern w:val="0"/>
                <w:szCs w:val="21"/>
                <w:highlight w:val="none"/>
                <w:lang w:val="en-US" w:eastAsia="zh-CN"/>
              </w:rPr>
            </w:pPr>
            <w:r>
              <w:rPr>
                <w:rFonts w:hint="eastAsia"/>
                <w:bCs/>
                <w:color w:val="auto"/>
                <w:kern w:val="0"/>
                <w:szCs w:val="21"/>
                <w:highlight w:val="none"/>
                <w:lang w:val="en-US" w:eastAsia="zh-CN"/>
              </w:rPr>
              <w:t>1</w:t>
            </w:r>
          </w:p>
        </w:tc>
        <w:tc>
          <w:tcPr>
            <w:tcW w:w="485" w:type="pct"/>
            <w:vMerge w:val="restart"/>
            <w:tcBorders>
              <w:tl2br w:val="nil"/>
              <w:tr2bl w:val="nil"/>
            </w:tcBorders>
            <w:noWrap w:val="0"/>
            <w:vAlign w:val="center"/>
          </w:tcPr>
          <w:p w14:paraId="36067322">
            <w:pPr>
              <w:widowControl/>
              <w:snapToGrid w:val="0"/>
              <w:jc w:val="center"/>
              <w:rPr>
                <w:rFonts w:hint="default" w:ascii="Times New Roman" w:hAnsi="Times New Roman" w:eastAsia="宋体"/>
                <w:bCs/>
                <w:color w:val="auto"/>
                <w:kern w:val="0"/>
                <w:szCs w:val="21"/>
                <w:highlight w:val="none"/>
                <w:lang w:val="en-US" w:eastAsia="zh-CN"/>
              </w:rPr>
            </w:pPr>
            <w:r>
              <w:rPr>
                <w:rFonts w:hint="eastAsia" w:hAnsi="宋体"/>
                <w:b/>
                <w:bCs w:val="0"/>
                <w:color w:val="auto"/>
                <w:kern w:val="0"/>
                <w:szCs w:val="21"/>
                <w:highlight w:val="none"/>
                <w:lang w:val="en-US" w:eastAsia="zh-CN"/>
              </w:rPr>
              <w:t>环保工程</w:t>
            </w:r>
          </w:p>
        </w:tc>
        <w:tc>
          <w:tcPr>
            <w:tcW w:w="1046" w:type="pct"/>
            <w:tcBorders>
              <w:tl2br w:val="nil"/>
              <w:tr2bl w:val="nil"/>
            </w:tcBorders>
            <w:noWrap/>
            <w:vAlign w:val="center"/>
          </w:tcPr>
          <w:p w14:paraId="7DBE9908">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初期雨水收集池</w:t>
            </w:r>
          </w:p>
        </w:tc>
        <w:tc>
          <w:tcPr>
            <w:tcW w:w="1618" w:type="pct"/>
            <w:tcBorders>
              <w:tl2br w:val="nil"/>
              <w:tr2bl w:val="nil"/>
            </w:tcBorders>
            <w:noWrap/>
            <w:vAlign w:val="center"/>
          </w:tcPr>
          <w:p w14:paraId="56497802">
            <w:pPr>
              <w:widowControl/>
              <w:snapToGrid w:val="0"/>
              <w:jc w:val="center"/>
              <w:rPr>
                <w:rFonts w:hint="eastAsia" w:ascii="Times New Roman" w:hAnsi="Times New Roman" w:eastAsia="宋体"/>
                <w:bCs/>
                <w:color w:val="auto"/>
                <w:kern w:val="0"/>
                <w:szCs w:val="21"/>
                <w:highlight w:val="none"/>
                <w:lang w:eastAsia="zh-CN"/>
              </w:rPr>
            </w:pPr>
            <w:r>
              <w:rPr>
                <w:rFonts w:hint="eastAsia"/>
                <w:bCs/>
                <w:color w:val="auto"/>
                <w:kern w:val="0"/>
                <w:szCs w:val="21"/>
                <w:highlight w:val="none"/>
                <w:lang w:val="en-US" w:eastAsia="zh-CN"/>
              </w:rPr>
              <w:t>钢筋混凝土</w:t>
            </w:r>
          </w:p>
        </w:tc>
        <w:tc>
          <w:tcPr>
            <w:tcW w:w="442" w:type="pct"/>
            <w:tcBorders>
              <w:tl2br w:val="nil"/>
              <w:tr2bl w:val="nil"/>
            </w:tcBorders>
            <w:noWrap/>
            <w:vAlign w:val="center"/>
          </w:tcPr>
          <w:p w14:paraId="2DBE9A53">
            <w:pPr>
              <w:widowControl/>
              <w:snapToGrid w:val="0"/>
              <w:jc w:val="center"/>
              <w:rPr>
                <w:rFonts w:hint="eastAsia" w:ascii="Times New Roman" w:hAnsi="Times New Roman" w:eastAsia="宋体"/>
                <w:bCs/>
                <w:color w:val="auto"/>
                <w:kern w:val="0"/>
                <w:szCs w:val="21"/>
                <w:highlight w:val="none"/>
                <w:lang w:val="en-US" w:eastAsia="zh-CN"/>
              </w:rPr>
            </w:pPr>
            <w:r>
              <w:rPr>
                <w:rFonts w:hint="eastAsia"/>
                <w:bCs/>
                <w:color w:val="auto"/>
                <w:kern w:val="0"/>
                <w:szCs w:val="21"/>
                <w:highlight w:val="none"/>
                <w:lang w:val="en-US" w:eastAsia="zh-CN"/>
              </w:rPr>
              <w:t>1</w:t>
            </w:r>
          </w:p>
        </w:tc>
        <w:tc>
          <w:tcPr>
            <w:tcW w:w="1023" w:type="pct"/>
            <w:tcBorders>
              <w:tl2br w:val="nil"/>
              <w:tr2bl w:val="nil"/>
            </w:tcBorders>
            <w:noWrap/>
            <w:vAlign w:val="center"/>
          </w:tcPr>
          <w:p w14:paraId="111A0E09">
            <w:pPr>
              <w:widowControl/>
              <w:snapToGrid w:val="0"/>
              <w:jc w:val="center"/>
              <w:rPr>
                <w:rFonts w:hint="eastAsia"/>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新建</w:t>
            </w:r>
          </w:p>
        </w:tc>
      </w:tr>
      <w:tr w14:paraId="2B4E30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659067EC">
            <w:pPr>
              <w:widowControl/>
              <w:snapToGrid w:val="0"/>
              <w:jc w:val="center"/>
              <w:rPr>
                <w:rFonts w:hint="default" w:ascii="Times New Roman" w:hAnsi="Times New Roman" w:eastAsia="宋体"/>
                <w:bCs/>
                <w:color w:val="auto"/>
                <w:kern w:val="0"/>
                <w:szCs w:val="21"/>
                <w:highlight w:val="none"/>
                <w:lang w:val="en-US" w:eastAsia="zh-CN"/>
              </w:rPr>
            </w:pPr>
            <w:r>
              <w:rPr>
                <w:rFonts w:hint="eastAsia"/>
                <w:bCs/>
                <w:color w:val="auto"/>
                <w:kern w:val="0"/>
                <w:szCs w:val="21"/>
                <w:highlight w:val="none"/>
                <w:lang w:val="en-US" w:eastAsia="zh-CN"/>
              </w:rPr>
              <w:t>2</w:t>
            </w:r>
          </w:p>
        </w:tc>
        <w:tc>
          <w:tcPr>
            <w:tcW w:w="485" w:type="pct"/>
            <w:vMerge w:val="continue"/>
            <w:tcBorders>
              <w:tl2br w:val="nil"/>
              <w:tr2bl w:val="nil"/>
            </w:tcBorders>
            <w:noWrap w:val="0"/>
            <w:vAlign w:val="center"/>
          </w:tcPr>
          <w:p w14:paraId="523D30F9">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1104FF9B">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油气回收系统</w:t>
            </w:r>
          </w:p>
        </w:tc>
        <w:tc>
          <w:tcPr>
            <w:tcW w:w="1618" w:type="pct"/>
            <w:tcBorders>
              <w:tl2br w:val="nil"/>
              <w:tr2bl w:val="nil"/>
            </w:tcBorders>
            <w:noWrap/>
            <w:vAlign w:val="center"/>
          </w:tcPr>
          <w:p w14:paraId="4BBD3DC1">
            <w:pPr>
              <w:widowControl/>
              <w:snapToGrid w:val="0"/>
              <w:jc w:val="center"/>
              <w:rPr>
                <w:rFonts w:hint="eastAsia" w:ascii="Times New Roman" w:hAnsi="Times New Roman" w:eastAsia="宋体"/>
                <w:bCs/>
                <w:color w:val="auto"/>
                <w:kern w:val="0"/>
                <w:szCs w:val="21"/>
                <w:highlight w:val="none"/>
                <w:lang w:eastAsia="zh-CN"/>
              </w:rPr>
            </w:pPr>
            <w:r>
              <w:rPr>
                <w:rFonts w:hint="eastAsia" w:ascii="Times New Roman" w:hAnsi="Times New Roman" w:eastAsia="宋体"/>
                <w:bCs/>
                <w:color w:val="auto"/>
                <w:kern w:val="0"/>
                <w:szCs w:val="21"/>
                <w:highlight w:val="none"/>
                <w:lang w:val="en-US" w:eastAsia="zh-CN"/>
              </w:rPr>
              <w:t>/</w:t>
            </w:r>
          </w:p>
        </w:tc>
        <w:tc>
          <w:tcPr>
            <w:tcW w:w="442" w:type="pct"/>
            <w:tcBorders>
              <w:tl2br w:val="nil"/>
              <w:tr2bl w:val="nil"/>
            </w:tcBorders>
            <w:noWrap/>
            <w:vAlign w:val="center"/>
          </w:tcPr>
          <w:p w14:paraId="012F02A6">
            <w:pPr>
              <w:widowControl/>
              <w:snapToGrid w:val="0"/>
              <w:jc w:val="center"/>
              <w:rPr>
                <w:rFonts w:hint="eastAsia" w:ascii="Times New Roman" w:hAnsi="Times New Roman" w:eastAsia="宋体"/>
                <w:bCs/>
                <w:color w:val="auto"/>
                <w:kern w:val="0"/>
                <w:szCs w:val="21"/>
                <w:highlight w:val="none"/>
                <w:lang w:val="en-US" w:eastAsia="zh-CN"/>
              </w:rPr>
            </w:pPr>
            <w:r>
              <w:rPr>
                <w:rFonts w:hint="eastAsia"/>
                <w:bCs/>
                <w:color w:val="auto"/>
                <w:kern w:val="0"/>
                <w:szCs w:val="21"/>
                <w:highlight w:val="none"/>
                <w:lang w:val="en-US" w:eastAsia="zh-CN"/>
              </w:rPr>
              <w:t>2</w:t>
            </w:r>
          </w:p>
        </w:tc>
        <w:tc>
          <w:tcPr>
            <w:tcW w:w="1023" w:type="pct"/>
            <w:tcBorders>
              <w:tl2br w:val="nil"/>
              <w:tr2bl w:val="nil"/>
            </w:tcBorders>
            <w:noWrap/>
            <w:vAlign w:val="center"/>
          </w:tcPr>
          <w:p w14:paraId="5F291E40">
            <w:pPr>
              <w:widowControl/>
              <w:snapToGrid w:val="0"/>
              <w:jc w:val="center"/>
              <w:rPr>
                <w:rFonts w:hint="eastAsia"/>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新建</w:t>
            </w:r>
          </w:p>
        </w:tc>
      </w:tr>
      <w:tr w14:paraId="3BFBAD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08AC2D71">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3</w:t>
            </w:r>
          </w:p>
        </w:tc>
        <w:tc>
          <w:tcPr>
            <w:tcW w:w="485" w:type="pct"/>
            <w:vMerge w:val="continue"/>
            <w:tcBorders>
              <w:tl2br w:val="nil"/>
              <w:tr2bl w:val="nil"/>
            </w:tcBorders>
            <w:noWrap w:val="0"/>
            <w:vAlign w:val="center"/>
          </w:tcPr>
          <w:p w14:paraId="163FD138">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4EB9AC0E">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隔油沉淀池</w:t>
            </w:r>
          </w:p>
        </w:tc>
        <w:tc>
          <w:tcPr>
            <w:tcW w:w="1618" w:type="pct"/>
            <w:tcBorders>
              <w:tl2br w:val="nil"/>
              <w:tr2bl w:val="nil"/>
            </w:tcBorders>
            <w:noWrap/>
            <w:vAlign w:val="center"/>
          </w:tcPr>
          <w:p w14:paraId="7AFA85DD">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钢筋混凝土</w:t>
            </w:r>
          </w:p>
        </w:tc>
        <w:tc>
          <w:tcPr>
            <w:tcW w:w="442" w:type="pct"/>
            <w:tcBorders>
              <w:tl2br w:val="nil"/>
              <w:tr2bl w:val="nil"/>
            </w:tcBorders>
            <w:noWrap/>
            <w:vAlign w:val="center"/>
          </w:tcPr>
          <w:p w14:paraId="62A9D037">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w:t>
            </w:r>
          </w:p>
        </w:tc>
        <w:tc>
          <w:tcPr>
            <w:tcW w:w="1023" w:type="pct"/>
            <w:tcBorders>
              <w:tl2br w:val="nil"/>
              <w:tr2bl w:val="nil"/>
            </w:tcBorders>
            <w:noWrap/>
            <w:vAlign w:val="center"/>
          </w:tcPr>
          <w:p w14:paraId="18BD72EC">
            <w:pPr>
              <w:widowControl/>
              <w:snapToGrid w:val="0"/>
              <w:jc w:val="center"/>
              <w:rPr>
                <w:rFonts w:hint="eastAsia"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新建</w:t>
            </w:r>
          </w:p>
        </w:tc>
      </w:tr>
      <w:tr w14:paraId="3138A8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83" w:type="pct"/>
            <w:tcBorders>
              <w:tl2br w:val="nil"/>
              <w:tr2bl w:val="nil"/>
            </w:tcBorders>
            <w:noWrap/>
            <w:vAlign w:val="center"/>
          </w:tcPr>
          <w:p w14:paraId="49FDAC5F">
            <w:pPr>
              <w:widowControl/>
              <w:snapToGrid w:val="0"/>
              <w:jc w:val="center"/>
              <w:rPr>
                <w:rFonts w:hint="default"/>
                <w:bCs/>
                <w:color w:val="auto"/>
                <w:kern w:val="0"/>
                <w:szCs w:val="21"/>
                <w:highlight w:val="none"/>
                <w:lang w:val="en-US" w:eastAsia="zh-CN"/>
              </w:rPr>
            </w:pPr>
            <w:bookmarkStart w:id="187" w:name="_Toc152922598"/>
            <w:bookmarkStart w:id="188" w:name="_Toc152923279"/>
            <w:bookmarkStart w:id="189" w:name="_Toc152921639"/>
            <w:bookmarkStart w:id="190" w:name="_Toc152922004"/>
            <w:bookmarkStart w:id="191" w:name="_Toc117150226"/>
            <w:r>
              <w:rPr>
                <w:rFonts w:hint="eastAsia"/>
                <w:bCs/>
                <w:color w:val="auto"/>
                <w:kern w:val="0"/>
                <w:szCs w:val="21"/>
                <w:highlight w:val="none"/>
                <w:lang w:val="en-US" w:eastAsia="zh-CN"/>
              </w:rPr>
              <w:t>4</w:t>
            </w:r>
          </w:p>
        </w:tc>
        <w:tc>
          <w:tcPr>
            <w:tcW w:w="485" w:type="pct"/>
            <w:vMerge w:val="continue"/>
            <w:tcBorders>
              <w:tl2br w:val="nil"/>
              <w:tr2bl w:val="nil"/>
            </w:tcBorders>
            <w:noWrap w:val="0"/>
            <w:vAlign w:val="center"/>
          </w:tcPr>
          <w:p w14:paraId="2232F6BD">
            <w:pPr>
              <w:widowControl/>
              <w:snapToGrid w:val="0"/>
              <w:jc w:val="center"/>
              <w:rPr>
                <w:rFonts w:ascii="Times New Roman" w:hAnsi="Times New Roman" w:eastAsia="宋体"/>
                <w:bCs/>
                <w:color w:val="auto"/>
                <w:kern w:val="0"/>
                <w:szCs w:val="21"/>
                <w:highlight w:val="none"/>
              </w:rPr>
            </w:pPr>
          </w:p>
        </w:tc>
        <w:tc>
          <w:tcPr>
            <w:tcW w:w="1046" w:type="pct"/>
            <w:tcBorders>
              <w:tl2br w:val="nil"/>
              <w:tr2bl w:val="nil"/>
            </w:tcBorders>
            <w:noWrap/>
            <w:vAlign w:val="center"/>
          </w:tcPr>
          <w:p w14:paraId="382CCAB7">
            <w:pPr>
              <w:widowControl/>
              <w:snapToGrid w:val="0"/>
              <w:jc w:val="center"/>
              <w:rPr>
                <w:rFonts w:hint="default" w:ascii="Times New Roman" w:hAnsi="Times New Roman" w:eastAsia="宋体"/>
                <w:bCs/>
                <w:color w:val="auto"/>
                <w:kern w:val="0"/>
                <w:szCs w:val="21"/>
                <w:highlight w:val="none"/>
                <w:lang w:val="en-US" w:eastAsia="zh-CN"/>
              </w:rPr>
            </w:pPr>
            <w:r>
              <w:rPr>
                <w:rFonts w:hint="eastAsia" w:ascii="Times New Roman" w:hAnsi="Times New Roman" w:eastAsia="宋体"/>
                <w:bCs/>
                <w:color w:val="auto"/>
                <w:kern w:val="0"/>
                <w:szCs w:val="21"/>
                <w:highlight w:val="none"/>
                <w:lang w:val="en-US" w:eastAsia="zh-CN"/>
              </w:rPr>
              <w:t>水封井</w:t>
            </w:r>
          </w:p>
        </w:tc>
        <w:tc>
          <w:tcPr>
            <w:tcW w:w="1618" w:type="pct"/>
            <w:tcBorders>
              <w:tl2br w:val="nil"/>
              <w:tr2bl w:val="nil"/>
            </w:tcBorders>
            <w:noWrap/>
            <w:vAlign w:val="center"/>
          </w:tcPr>
          <w:p w14:paraId="3040B6A0">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钢筋混凝土</w:t>
            </w:r>
          </w:p>
        </w:tc>
        <w:tc>
          <w:tcPr>
            <w:tcW w:w="442" w:type="pct"/>
            <w:tcBorders>
              <w:tl2br w:val="nil"/>
              <w:tr2bl w:val="nil"/>
            </w:tcBorders>
            <w:noWrap/>
            <w:vAlign w:val="center"/>
          </w:tcPr>
          <w:p w14:paraId="4D4DD44E">
            <w:pPr>
              <w:widowControl/>
              <w:snapToGrid w:val="0"/>
              <w:jc w:val="center"/>
              <w:rPr>
                <w:rFonts w:hint="default"/>
                <w:bCs/>
                <w:color w:val="auto"/>
                <w:kern w:val="0"/>
                <w:szCs w:val="21"/>
                <w:highlight w:val="none"/>
                <w:lang w:val="en-US" w:eastAsia="zh-CN"/>
              </w:rPr>
            </w:pPr>
            <w:r>
              <w:rPr>
                <w:rFonts w:hint="eastAsia"/>
                <w:bCs/>
                <w:color w:val="auto"/>
                <w:kern w:val="0"/>
                <w:szCs w:val="21"/>
                <w:highlight w:val="none"/>
                <w:lang w:val="en-US" w:eastAsia="zh-CN"/>
              </w:rPr>
              <w:t>1</w:t>
            </w:r>
          </w:p>
        </w:tc>
        <w:tc>
          <w:tcPr>
            <w:tcW w:w="1023" w:type="pct"/>
            <w:tcBorders>
              <w:tl2br w:val="nil"/>
              <w:tr2bl w:val="nil"/>
            </w:tcBorders>
            <w:noWrap/>
            <w:vAlign w:val="center"/>
          </w:tcPr>
          <w:p w14:paraId="32DAE1B7">
            <w:pPr>
              <w:widowControl/>
              <w:snapToGrid w:val="0"/>
              <w:jc w:val="center"/>
              <w:rPr>
                <w:rFonts w:hint="eastAsia" w:ascii="Times New Roman" w:hAnsi="宋体" w:eastAsia="宋体"/>
                <w:bCs/>
                <w:color w:val="auto"/>
                <w:kern w:val="0"/>
                <w:szCs w:val="21"/>
                <w:highlight w:val="none"/>
                <w:lang w:val="en-US" w:eastAsia="zh-CN"/>
              </w:rPr>
            </w:pPr>
            <w:r>
              <w:rPr>
                <w:rFonts w:hint="eastAsia" w:ascii="Times New Roman" w:hAnsi="宋体" w:eastAsia="宋体"/>
                <w:bCs/>
                <w:color w:val="auto"/>
                <w:kern w:val="0"/>
                <w:szCs w:val="21"/>
                <w:highlight w:val="none"/>
                <w:lang w:val="en-US" w:eastAsia="zh-CN"/>
              </w:rPr>
              <w:t>新建</w:t>
            </w:r>
          </w:p>
        </w:tc>
      </w:tr>
    </w:tbl>
    <w:p w14:paraId="12763FFF">
      <w:pPr>
        <w:pStyle w:val="4"/>
        <w:spacing w:after="156"/>
        <w:rPr>
          <w:color w:val="auto"/>
          <w:highlight w:val="none"/>
        </w:rPr>
      </w:pPr>
      <w:r>
        <w:rPr>
          <w:color w:val="auto"/>
          <w:highlight w:val="none"/>
        </w:rPr>
        <w:t>3.</w:t>
      </w:r>
      <w:r>
        <w:rPr>
          <w:rFonts w:hint="eastAsia"/>
          <w:color w:val="auto"/>
          <w:highlight w:val="none"/>
          <w:lang w:val="en-US" w:eastAsia="zh-CN"/>
        </w:rPr>
        <w:t>1</w:t>
      </w:r>
      <w:r>
        <w:rPr>
          <w:color w:val="auto"/>
          <w:highlight w:val="none"/>
        </w:rPr>
        <w:t>.</w:t>
      </w:r>
      <w:r>
        <w:rPr>
          <w:rFonts w:hint="eastAsia"/>
          <w:color w:val="auto"/>
          <w:highlight w:val="none"/>
          <w:lang w:val="en-US" w:eastAsia="zh-CN"/>
        </w:rPr>
        <w:t>5</w:t>
      </w:r>
      <w:r>
        <w:rPr>
          <w:color w:val="auto"/>
          <w:highlight w:val="none"/>
        </w:rPr>
        <w:t>原辅材料</w:t>
      </w:r>
      <w:bookmarkEnd w:id="187"/>
      <w:bookmarkEnd w:id="188"/>
      <w:bookmarkEnd w:id="189"/>
      <w:bookmarkEnd w:id="190"/>
      <w:bookmarkEnd w:id="191"/>
    </w:p>
    <w:p w14:paraId="3F5BC32C">
      <w:pPr>
        <w:pStyle w:val="5"/>
        <w:rPr>
          <w:color w:val="auto"/>
          <w:highlight w:val="none"/>
        </w:rPr>
      </w:pPr>
      <w:bookmarkStart w:id="192" w:name="_Toc152922599"/>
      <w:bookmarkStart w:id="193" w:name="_Toc152921640"/>
      <w:bookmarkStart w:id="194" w:name="_Toc152923280"/>
      <w:bookmarkStart w:id="195" w:name="_Toc152922005"/>
      <w:r>
        <w:rPr>
          <w:color w:val="auto"/>
          <w:highlight w:val="none"/>
        </w:rPr>
        <w:t>3.</w:t>
      </w:r>
      <w:r>
        <w:rPr>
          <w:rFonts w:hint="eastAsia"/>
          <w:color w:val="auto"/>
          <w:highlight w:val="none"/>
          <w:lang w:val="en-US" w:eastAsia="zh-CN"/>
        </w:rPr>
        <w:t>1</w:t>
      </w:r>
      <w:r>
        <w:rPr>
          <w:color w:val="auto"/>
          <w:highlight w:val="none"/>
        </w:rPr>
        <w:t>.5.1原辅材料消耗情况</w:t>
      </w:r>
      <w:bookmarkEnd w:id="192"/>
      <w:bookmarkEnd w:id="193"/>
      <w:bookmarkEnd w:id="194"/>
      <w:bookmarkEnd w:id="195"/>
    </w:p>
    <w:p w14:paraId="24E8941C">
      <w:pPr>
        <w:spacing w:line="360" w:lineRule="auto"/>
        <w:ind w:firstLine="480" w:firstLineChars="200"/>
        <w:rPr>
          <w:rFonts w:hint="eastAsia" w:ascii="Times New Roman" w:hAnsi="Times New Roman" w:eastAsia="宋体"/>
          <w:color w:val="auto"/>
          <w:sz w:val="24"/>
          <w:highlight w:val="none"/>
        </w:rPr>
      </w:pPr>
      <w:r>
        <w:rPr>
          <w:rFonts w:ascii="Times New Roman" w:hAnsi="Times New Roman" w:eastAsia="宋体"/>
          <w:color w:val="auto"/>
          <w:sz w:val="24"/>
          <w:highlight w:val="none"/>
        </w:rPr>
        <w:t>原辅材料消耗情况见表3.2.5-1。</w:t>
      </w:r>
    </w:p>
    <w:p w14:paraId="5E39A84D">
      <w:pPr>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表3.2.5-1</w:t>
      </w:r>
      <w:r>
        <w:rPr>
          <w:rFonts w:hint="eastAsia"/>
          <w:b/>
          <w:color w:val="auto"/>
          <w:sz w:val="24"/>
          <w:highlight w:val="none"/>
          <w:lang w:val="en-US" w:eastAsia="zh-CN"/>
        </w:rPr>
        <w:t xml:space="preserve">  </w:t>
      </w:r>
      <w:r>
        <w:rPr>
          <w:rFonts w:ascii="Times New Roman" w:hAnsi="Times New Roman" w:eastAsia="宋体"/>
          <w:b/>
          <w:color w:val="auto"/>
          <w:sz w:val="24"/>
          <w:highlight w:val="none"/>
        </w:rPr>
        <w:t>本项目原辅材料消耗情况</w:t>
      </w:r>
    </w:p>
    <w:tbl>
      <w:tblPr>
        <w:tblStyle w:val="5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1147"/>
        <w:gridCol w:w="1487"/>
        <w:gridCol w:w="813"/>
        <w:gridCol w:w="1054"/>
        <w:gridCol w:w="950"/>
        <w:gridCol w:w="915"/>
        <w:gridCol w:w="1003"/>
        <w:gridCol w:w="988"/>
      </w:tblGrid>
      <w:tr w14:paraId="10FD8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703" w:type="pct"/>
            <w:tcBorders>
              <w:tl2br w:val="nil"/>
              <w:tr2bl w:val="nil"/>
            </w:tcBorders>
            <w:noWrap w:val="0"/>
            <w:vAlign w:val="center"/>
          </w:tcPr>
          <w:p w14:paraId="3BAA5904">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材料名称</w:t>
            </w:r>
          </w:p>
        </w:tc>
        <w:tc>
          <w:tcPr>
            <w:tcW w:w="906" w:type="pct"/>
            <w:tcBorders>
              <w:tl2br w:val="nil"/>
              <w:tr2bl w:val="nil"/>
            </w:tcBorders>
            <w:noWrap w:val="0"/>
            <w:vAlign w:val="center"/>
          </w:tcPr>
          <w:p w14:paraId="5E3003EF">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规格/成分</w:t>
            </w:r>
          </w:p>
        </w:tc>
        <w:tc>
          <w:tcPr>
            <w:tcW w:w="503" w:type="pct"/>
            <w:tcBorders>
              <w:tl2br w:val="nil"/>
              <w:tr2bl w:val="nil"/>
            </w:tcBorders>
            <w:noWrap w:val="0"/>
            <w:vAlign w:val="center"/>
          </w:tcPr>
          <w:p w14:paraId="035A9BEF">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性状</w:t>
            </w:r>
          </w:p>
        </w:tc>
        <w:tc>
          <w:tcPr>
            <w:tcW w:w="510" w:type="pct"/>
            <w:tcBorders>
              <w:tl2br w:val="nil"/>
              <w:tr2bl w:val="nil"/>
            </w:tcBorders>
            <w:noWrap w:val="0"/>
            <w:vAlign w:val="center"/>
          </w:tcPr>
          <w:p w14:paraId="180501E6">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年用量</w:t>
            </w:r>
          </w:p>
          <w:p w14:paraId="6A760FD2">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t/a</w:t>
            </w:r>
          </w:p>
        </w:tc>
        <w:tc>
          <w:tcPr>
            <w:tcW w:w="585" w:type="pct"/>
            <w:tcBorders>
              <w:tl2br w:val="nil"/>
              <w:tr2bl w:val="nil"/>
            </w:tcBorders>
            <w:noWrap w:val="0"/>
            <w:vAlign w:val="center"/>
          </w:tcPr>
          <w:p w14:paraId="14AB671F">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包装及储存方式</w:t>
            </w:r>
          </w:p>
        </w:tc>
        <w:tc>
          <w:tcPr>
            <w:tcW w:w="564" w:type="pct"/>
            <w:tcBorders>
              <w:tl2br w:val="nil"/>
              <w:tr2bl w:val="nil"/>
            </w:tcBorders>
            <w:noWrap w:val="0"/>
            <w:vAlign w:val="center"/>
          </w:tcPr>
          <w:p w14:paraId="3D18FB2F">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厂内最大</w:t>
            </w:r>
          </w:p>
          <w:p w14:paraId="4B8D204C">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贮存量t</w:t>
            </w:r>
          </w:p>
        </w:tc>
        <w:tc>
          <w:tcPr>
            <w:tcW w:w="617" w:type="pct"/>
            <w:tcBorders>
              <w:tl2br w:val="nil"/>
              <w:tr2bl w:val="nil"/>
            </w:tcBorders>
            <w:noWrap w:val="0"/>
            <w:vAlign w:val="center"/>
          </w:tcPr>
          <w:p w14:paraId="4A4F6588">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贮存周期</w:t>
            </w:r>
          </w:p>
        </w:tc>
        <w:tc>
          <w:tcPr>
            <w:tcW w:w="607" w:type="pct"/>
            <w:tcBorders>
              <w:tl2br w:val="nil"/>
              <w:tr2bl w:val="nil"/>
            </w:tcBorders>
            <w:noWrap w:val="0"/>
            <w:vAlign w:val="center"/>
          </w:tcPr>
          <w:p w14:paraId="2F13143A">
            <w:pPr>
              <w:widowControl w:val="0"/>
              <w:spacing w:line="240" w:lineRule="auto"/>
              <w:ind w:firstLine="0" w:firstLineChars="0"/>
              <w:jc w:val="center"/>
              <w:textAlignment w:val="center"/>
              <w:rPr>
                <w:rFonts w:hint="eastAsia"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备注</w:t>
            </w:r>
          </w:p>
        </w:tc>
      </w:tr>
      <w:tr w14:paraId="6E4D0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703" w:type="pct"/>
            <w:tcBorders>
              <w:tl2br w:val="nil"/>
              <w:tr2bl w:val="nil"/>
            </w:tcBorders>
            <w:noWrap w:val="0"/>
            <w:vAlign w:val="center"/>
          </w:tcPr>
          <w:p w14:paraId="03B528DE">
            <w:pPr>
              <w:widowControl/>
              <w:jc w:val="center"/>
              <w:textAlignment w:val="center"/>
              <w:rPr>
                <w:rFonts w:ascii="Times New Roman" w:hAnsi="Times New Roman" w:eastAsia="宋体" w:cs="Times New Roman"/>
                <w:color w:val="auto"/>
                <w:highlight w:val="none"/>
              </w:rPr>
            </w:pPr>
            <w:r>
              <w:rPr>
                <w:rFonts w:hint="eastAsia" w:ascii="宋体" w:hAnsi="宋体" w:eastAsia="宋体" w:cs="宋体"/>
                <w:color w:val="auto"/>
                <w:kern w:val="0"/>
                <w:sz w:val="22"/>
                <w:szCs w:val="22"/>
                <w:highlight w:val="none"/>
                <w:lang w:val="en-US" w:eastAsia="zh-CN" w:bidi="ar"/>
              </w:rPr>
              <w:t>柴油</w:t>
            </w:r>
          </w:p>
        </w:tc>
        <w:tc>
          <w:tcPr>
            <w:tcW w:w="906" w:type="pct"/>
            <w:tcBorders>
              <w:tl2br w:val="nil"/>
              <w:tr2bl w:val="nil"/>
            </w:tcBorders>
            <w:noWrap w:val="0"/>
            <w:vAlign w:val="center"/>
          </w:tcPr>
          <w:p w14:paraId="7D694EA3">
            <w:pPr>
              <w:jc w:val="center"/>
              <w:textAlignment w:val="center"/>
              <w:rPr>
                <w:rFonts w:hint="eastAsia" w:ascii="Times New Roman" w:hAnsi="Times New Roman" w:eastAsia="宋体" w:cs="Times New Roman"/>
                <w:color w:val="auto"/>
                <w:kern w:val="0"/>
                <w:sz w:val="21"/>
                <w:szCs w:val="20"/>
                <w:highlight w:val="none"/>
                <w:lang w:eastAsia="zh-CN"/>
              </w:rPr>
            </w:pPr>
            <w:r>
              <w:rPr>
                <w:rFonts w:hint="eastAsia" w:ascii="Times New Roman" w:hAnsi="Times New Roman" w:eastAsia="宋体" w:cs="Times New Roman"/>
                <w:color w:val="auto"/>
                <w:kern w:val="0"/>
                <w:sz w:val="21"/>
                <w:szCs w:val="20"/>
                <w:highlight w:val="none"/>
                <w:lang w:eastAsia="zh-CN"/>
              </w:rPr>
              <w:t>钢材</w:t>
            </w:r>
          </w:p>
        </w:tc>
        <w:tc>
          <w:tcPr>
            <w:tcW w:w="503" w:type="pct"/>
            <w:tcBorders>
              <w:tl2br w:val="nil"/>
              <w:tr2bl w:val="nil"/>
            </w:tcBorders>
            <w:noWrap w:val="0"/>
            <w:vAlign w:val="center"/>
          </w:tcPr>
          <w:p w14:paraId="65AAEFEB">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rPr>
              <w:t>液态</w:t>
            </w:r>
          </w:p>
        </w:tc>
        <w:tc>
          <w:tcPr>
            <w:tcW w:w="510" w:type="pct"/>
            <w:tcBorders>
              <w:tl2br w:val="nil"/>
              <w:tr2bl w:val="nil"/>
            </w:tcBorders>
            <w:noWrap w:val="0"/>
            <w:vAlign w:val="center"/>
          </w:tcPr>
          <w:p w14:paraId="35738DE9">
            <w:pPr>
              <w:widowControl/>
              <w:snapToGrid w:val="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bCs/>
                <w:color w:val="auto"/>
                <w:kern w:val="0"/>
                <w:szCs w:val="21"/>
                <w:highlight w:val="none"/>
                <w:lang w:val="en-US" w:eastAsia="zh-CN"/>
              </w:rPr>
              <w:t>2680</w:t>
            </w:r>
          </w:p>
        </w:tc>
        <w:tc>
          <w:tcPr>
            <w:tcW w:w="585" w:type="pct"/>
            <w:tcBorders>
              <w:tl2br w:val="nil"/>
              <w:tr2bl w:val="nil"/>
            </w:tcBorders>
            <w:noWrap w:val="0"/>
            <w:vAlign w:val="center"/>
          </w:tcPr>
          <w:p w14:paraId="0BC3BE21">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储罐</w:t>
            </w:r>
          </w:p>
        </w:tc>
        <w:tc>
          <w:tcPr>
            <w:tcW w:w="564" w:type="pct"/>
            <w:tcBorders>
              <w:tl2br w:val="nil"/>
              <w:tr2bl w:val="nil"/>
            </w:tcBorders>
            <w:noWrap w:val="0"/>
            <w:vAlign w:val="center"/>
          </w:tcPr>
          <w:p w14:paraId="7AF3D687">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22</w:t>
            </w:r>
          </w:p>
        </w:tc>
        <w:tc>
          <w:tcPr>
            <w:tcW w:w="617" w:type="pct"/>
            <w:tcBorders>
              <w:tl2br w:val="nil"/>
              <w:tr2bl w:val="nil"/>
            </w:tcBorders>
            <w:noWrap w:val="0"/>
            <w:vAlign w:val="center"/>
          </w:tcPr>
          <w:p w14:paraId="3432F822">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3d</w:t>
            </w:r>
          </w:p>
        </w:tc>
        <w:tc>
          <w:tcPr>
            <w:tcW w:w="607" w:type="pct"/>
            <w:tcBorders>
              <w:tl2br w:val="nil"/>
              <w:tr2bl w:val="nil"/>
            </w:tcBorders>
            <w:noWrap w:val="0"/>
            <w:vAlign w:val="center"/>
          </w:tcPr>
          <w:p w14:paraId="5B5E6036">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储罐区</w:t>
            </w:r>
          </w:p>
        </w:tc>
      </w:tr>
      <w:tr w14:paraId="290A3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56" w:hRule="atLeast"/>
          <w:jc w:val="center"/>
        </w:trPr>
        <w:tc>
          <w:tcPr>
            <w:tcW w:w="703" w:type="pct"/>
            <w:tcBorders>
              <w:tl2br w:val="nil"/>
              <w:tr2bl w:val="nil"/>
            </w:tcBorders>
            <w:noWrap w:val="0"/>
            <w:vAlign w:val="center"/>
          </w:tcPr>
          <w:p w14:paraId="14544D96">
            <w:pPr>
              <w:widowControl/>
              <w:jc w:val="center"/>
              <w:textAlignment w:val="center"/>
              <w:rPr>
                <w:rFonts w:ascii="Times New Roman" w:hAnsi="Times New Roman" w:eastAsia="宋体" w:cs="Times New Roman"/>
                <w:color w:val="auto"/>
                <w:highlight w:val="none"/>
              </w:rPr>
            </w:pPr>
            <w:r>
              <w:rPr>
                <w:rFonts w:hint="eastAsia" w:ascii="宋体" w:hAnsi="宋体" w:eastAsia="宋体" w:cs="宋体"/>
                <w:color w:val="auto"/>
                <w:kern w:val="0"/>
                <w:sz w:val="22"/>
                <w:szCs w:val="22"/>
                <w:highlight w:val="none"/>
                <w:lang w:val="en-US" w:eastAsia="zh-CN" w:bidi="ar"/>
              </w:rPr>
              <w:t>汽油</w:t>
            </w:r>
          </w:p>
        </w:tc>
        <w:tc>
          <w:tcPr>
            <w:tcW w:w="906" w:type="pct"/>
            <w:tcBorders>
              <w:tl2br w:val="nil"/>
              <w:tr2bl w:val="nil"/>
            </w:tcBorders>
            <w:noWrap w:val="0"/>
            <w:vAlign w:val="center"/>
          </w:tcPr>
          <w:p w14:paraId="3F42103C">
            <w:pPr>
              <w:jc w:val="center"/>
              <w:textAlignment w:val="center"/>
              <w:rPr>
                <w:rFonts w:hint="eastAsia"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 w:val="21"/>
                <w:szCs w:val="20"/>
                <w:highlight w:val="none"/>
                <w:lang w:eastAsia="zh-CN"/>
              </w:rPr>
              <w:t>钢材</w:t>
            </w:r>
          </w:p>
        </w:tc>
        <w:tc>
          <w:tcPr>
            <w:tcW w:w="503" w:type="pct"/>
            <w:tcBorders>
              <w:tl2br w:val="nil"/>
              <w:tr2bl w:val="nil"/>
            </w:tcBorders>
            <w:noWrap w:val="0"/>
            <w:vAlign w:val="center"/>
          </w:tcPr>
          <w:p w14:paraId="7FEB59D6">
            <w:pPr>
              <w:jc w:val="center"/>
              <w:textAlignment w:val="center"/>
              <w:rPr>
                <w:rFonts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 w:val="21"/>
                <w:szCs w:val="20"/>
                <w:highlight w:val="none"/>
              </w:rPr>
              <w:t>液态</w:t>
            </w:r>
          </w:p>
        </w:tc>
        <w:tc>
          <w:tcPr>
            <w:tcW w:w="510" w:type="pct"/>
            <w:tcBorders>
              <w:tl2br w:val="nil"/>
              <w:tr2bl w:val="nil"/>
            </w:tcBorders>
            <w:noWrap w:val="0"/>
            <w:vAlign w:val="center"/>
          </w:tcPr>
          <w:p w14:paraId="1BFDE938">
            <w:pPr>
              <w:widowControl/>
              <w:snapToGrid w:val="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bCs/>
                <w:color w:val="auto"/>
                <w:kern w:val="0"/>
                <w:szCs w:val="21"/>
                <w:highlight w:val="none"/>
                <w:lang w:val="en-US" w:eastAsia="zh-CN"/>
              </w:rPr>
              <w:t>3000</w:t>
            </w:r>
          </w:p>
        </w:tc>
        <w:tc>
          <w:tcPr>
            <w:tcW w:w="585" w:type="pct"/>
            <w:tcBorders>
              <w:tl2br w:val="nil"/>
              <w:tr2bl w:val="nil"/>
            </w:tcBorders>
            <w:noWrap w:val="0"/>
            <w:vAlign w:val="center"/>
          </w:tcPr>
          <w:p w14:paraId="3F9A7BDC">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储罐</w:t>
            </w:r>
          </w:p>
        </w:tc>
        <w:tc>
          <w:tcPr>
            <w:tcW w:w="564" w:type="pct"/>
            <w:tcBorders>
              <w:tl2br w:val="nil"/>
              <w:tr2bl w:val="nil"/>
            </w:tcBorders>
            <w:noWrap w:val="0"/>
            <w:vAlign w:val="center"/>
          </w:tcPr>
          <w:p w14:paraId="2F9469F6">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41</w:t>
            </w:r>
          </w:p>
        </w:tc>
        <w:tc>
          <w:tcPr>
            <w:tcW w:w="617" w:type="pct"/>
            <w:tcBorders>
              <w:tl2br w:val="nil"/>
              <w:tr2bl w:val="nil"/>
            </w:tcBorders>
            <w:noWrap w:val="0"/>
            <w:vAlign w:val="center"/>
          </w:tcPr>
          <w:p w14:paraId="662AC4E3">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5d</w:t>
            </w:r>
          </w:p>
        </w:tc>
        <w:tc>
          <w:tcPr>
            <w:tcW w:w="607" w:type="pct"/>
            <w:tcBorders>
              <w:tl2br w:val="nil"/>
              <w:tr2bl w:val="nil"/>
            </w:tcBorders>
            <w:noWrap w:val="0"/>
            <w:vAlign w:val="center"/>
          </w:tcPr>
          <w:p w14:paraId="52D0353B">
            <w:pPr>
              <w:jc w:val="center"/>
              <w:textAlignment w:val="center"/>
              <w:rPr>
                <w:rFonts w:hint="eastAsia" w:ascii="Times New Roman" w:hAnsi="Times New Roman" w:eastAsia="宋体" w:cs="Times New Roman"/>
                <w:color w:val="auto"/>
                <w:kern w:val="0"/>
                <w:sz w:val="21"/>
                <w:szCs w:val="20"/>
                <w:highlight w:val="none"/>
                <w:lang w:eastAsia="zh-CN"/>
              </w:rPr>
            </w:pPr>
            <w:r>
              <w:rPr>
                <w:rFonts w:hint="eastAsia" w:ascii="Times New Roman" w:hAnsi="Times New Roman" w:eastAsia="宋体" w:cs="Times New Roman"/>
                <w:color w:val="auto"/>
                <w:kern w:val="0"/>
                <w:sz w:val="21"/>
                <w:szCs w:val="20"/>
                <w:highlight w:val="none"/>
                <w:lang w:val="en-US" w:eastAsia="zh-CN"/>
              </w:rPr>
              <w:t>储罐区</w:t>
            </w:r>
          </w:p>
        </w:tc>
      </w:tr>
      <w:tr w14:paraId="16582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703" w:type="pct"/>
            <w:tcBorders>
              <w:tl2br w:val="nil"/>
              <w:tr2bl w:val="nil"/>
            </w:tcBorders>
            <w:noWrap w:val="0"/>
            <w:vAlign w:val="center"/>
          </w:tcPr>
          <w:p w14:paraId="65BF618B">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净化沼气</w:t>
            </w:r>
          </w:p>
        </w:tc>
        <w:tc>
          <w:tcPr>
            <w:tcW w:w="906" w:type="pct"/>
            <w:tcBorders>
              <w:tl2br w:val="nil"/>
              <w:tr2bl w:val="nil"/>
            </w:tcBorders>
            <w:noWrap w:val="0"/>
            <w:vAlign w:val="center"/>
          </w:tcPr>
          <w:p w14:paraId="1E8A3566">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rPr>
              <w:t>CH</w:t>
            </w:r>
            <w:r>
              <w:rPr>
                <w:rFonts w:hint="eastAsia" w:ascii="Times New Roman" w:hAnsi="Times New Roman" w:eastAsia="宋体" w:cs="Times New Roman"/>
                <w:color w:val="auto"/>
                <w:kern w:val="0"/>
                <w:sz w:val="21"/>
                <w:szCs w:val="20"/>
                <w:highlight w:val="none"/>
                <w:vertAlign w:val="subscript"/>
              </w:rPr>
              <w:t>4</w:t>
            </w:r>
            <w:r>
              <w:rPr>
                <w:rFonts w:hint="eastAsia" w:cs="Times New Roman"/>
                <w:color w:val="auto"/>
                <w:kern w:val="0"/>
                <w:sz w:val="21"/>
                <w:szCs w:val="20"/>
                <w:highlight w:val="none"/>
                <w:vertAlign w:val="baseline"/>
                <w:lang w:eastAsia="zh-CN"/>
              </w:rPr>
              <w:t>&gt;</w:t>
            </w:r>
            <w:r>
              <w:rPr>
                <w:rFonts w:hint="eastAsia" w:ascii="Times New Roman" w:hAnsi="Times New Roman" w:eastAsia="宋体" w:cs="Times New Roman"/>
                <w:color w:val="auto"/>
                <w:kern w:val="0"/>
                <w:sz w:val="21"/>
                <w:szCs w:val="20"/>
                <w:highlight w:val="none"/>
              </w:rPr>
              <w:t>98%</w:t>
            </w:r>
          </w:p>
        </w:tc>
        <w:tc>
          <w:tcPr>
            <w:tcW w:w="503" w:type="pct"/>
            <w:tcBorders>
              <w:tl2br w:val="nil"/>
              <w:tr2bl w:val="nil"/>
            </w:tcBorders>
            <w:noWrap w:val="0"/>
            <w:vAlign w:val="center"/>
          </w:tcPr>
          <w:p w14:paraId="4BBECA0E">
            <w:pPr>
              <w:jc w:val="center"/>
              <w:textAlignment w:val="center"/>
              <w:rPr>
                <w:rFonts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 w:val="21"/>
                <w:szCs w:val="20"/>
                <w:highlight w:val="none"/>
              </w:rPr>
              <w:t>液态</w:t>
            </w:r>
          </w:p>
        </w:tc>
        <w:tc>
          <w:tcPr>
            <w:tcW w:w="510" w:type="pct"/>
            <w:tcBorders>
              <w:tl2br w:val="nil"/>
              <w:tr2bl w:val="nil"/>
            </w:tcBorders>
            <w:noWrap w:val="0"/>
            <w:vAlign w:val="center"/>
          </w:tcPr>
          <w:p w14:paraId="302FA879">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cs="Times New Roman"/>
                <w:color w:val="auto"/>
                <w:szCs w:val="21"/>
                <w:highlight w:val="none"/>
                <w:lang w:val="en-US" w:eastAsia="zh-CN"/>
              </w:rPr>
              <w:t>4711</w:t>
            </w:r>
          </w:p>
        </w:tc>
        <w:tc>
          <w:tcPr>
            <w:tcW w:w="585" w:type="pct"/>
            <w:tcBorders>
              <w:tl2br w:val="nil"/>
              <w:tr2bl w:val="nil"/>
            </w:tcBorders>
            <w:noWrap w:val="0"/>
            <w:vAlign w:val="center"/>
          </w:tcPr>
          <w:p w14:paraId="5F3A3447">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w:t>
            </w:r>
          </w:p>
        </w:tc>
        <w:tc>
          <w:tcPr>
            <w:tcW w:w="564" w:type="pct"/>
            <w:tcBorders>
              <w:tl2br w:val="nil"/>
              <w:tr2bl w:val="nil"/>
            </w:tcBorders>
            <w:noWrap w:val="0"/>
            <w:vAlign w:val="center"/>
          </w:tcPr>
          <w:p w14:paraId="60D6614D">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6.72t</w:t>
            </w:r>
          </w:p>
        </w:tc>
        <w:tc>
          <w:tcPr>
            <w:tcW w:w="617" w:type="pct"/>
            <w:tcBorders>
              <w:tl2br w:val="nil"/>
              <w:tr2bl w:val="nil"/>
            </w:tcBorders>
            <w:noWrap w:val="0"/>
            <w:vAlign w:val="center"/>
          </w:tcPr>
          <w:p w14:paraId="11FD66C2">
            <w:pPr>
              <w:widowControl/>
              <w:jc w:val="center"/>
              <w:textAlignment w:val="center"/>
              <w:rPr>
                <w:rFonts w:ascii="Times New Roman" w:hAnsi="Times New Roman" w:eastAsia="Tahoma"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w:t>
            </w:r>
          </w:p>
        </w:tc>
        <w:tc>
          <w:tcPr>
            <w:tcW w:w="607" w:type="pct"/>
            <w:tcBorders>
              <w:tl2br w:val="nil"/>
              <w:tr2bl w:val="nil"/>
            </w:tcBorders>
            <w:noWrap w:val="0"/>
            <w:vAlign w:val="center"/>
          </w:tcPr>
          <w:p w14:paraId="27F6EA2D">
            <w:pPr>
              <w:jc w:val="center"/>
              <w:textAlignment w:val="center"/>
              <w:rPr>
                <w:rFonts w:hint="default" w:ascii="Times New Roman" w:hAnsi="Times New Roman" w:eastAsia="宋体" w:cs="Times New Roman"/>
                <w:color w:val="auto"/>
                <w:kern w:val="0"/>
                <w:sz w:val="21"/>
                <w:szCs w:val="20"/>
                <w:highlight w:val="none"/>
                <w:lang w:val="en-US"/>
              </w:rPr>
            </w:pPr>
            <w:r>
              <w:rPr>
                <w:rFonts w:hint="eastAsia" w:ascii="Times New Roman" w:hAnsi="Times New Roman" w:eastAsia="宋体" w:cs="Times New Roman"/>
                <w:color w:val="auto"/>
                <w:kern w:val="0"/>
                <w:sz w:val="21"/>
                <w:szCs w:val="20"/>
                <w:highlight w:val="none"/>
                <w:lang w:val="en-US" w:eastAsia="zh-CN"/>
              </w:rPr>
              <w:t>长管车运输</w:t>
            </w:r>
          </w:p>
        </w:tc>
      </w:tr>
      <w:tr w14:paraId="01CC4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69" w:hRule="atLeast"/>
          <w:jc w:val="center"/>
        </w:trPr>
        <w:tc>
          <w:tcPr>
            <w:tcW w:w="703" w:type="pct"/>
            <w:tcBorders>
              <w:tl2br w:val="nil"/>
              <w:tr2bl w:val="nil"/>
            </w:tcBorders>
            <w:noWrap w:val="0"/>
            <w:vAlign w:val="center"/>
          </w:tcPr>
          <w:p w14:paraId="39841DEE">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氧化锌</w:t>
            </w:r>
          </w:p>
        </w:tc>
        <w:tc>
          <w:tcPr>
            <w:tcW w:w="906" w:type="pct"/>
            <w:tcBorders>
              <w:tl2br w:val="nil"/>
              <w:tr2bl w:val="nil"/>
            </w:tcBorders>
            <w:noWrap w:val="0"/>
            <w:vAlign w:val="center"/>
          </w:tcPr>
          <w:p w14:paraId="5974E36F">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eastAsia="zh-CN"/>
              </w:rPr>
              <w:t>ZnO</w:t>
            </w:r>
            <w:r>
              <w:rPr>
                <w:rFonts w:hint="eastAsia" w:ascii="Times New Roman" w:hAnsi="Times New Roman" w:eastAsia="宋体" w:cs="Times New Roman"/>
                <w:color w:val="auto"/>
                <w:kern w:val="0"/>
                <w:sz w:val="21"/>
                <w:szCs w:val="20"/>
                <w:highlight w:val="none"/>
                <w:lang w:val="en-US" w:eastAsia="zh-CN"/>
              </w:rPr>
              <w:t>-1</w:t>
            </w:r>
          </w:p>
        </w:tc>
        <w:tc>
          <w:tcPr>
            <w:tcW w:w="503" w:type="pct"/>
            <w:tcBorders>
              <w:tl2br w:val="nil"/>
              <w:tr2bl w:val="nil"/>
            </w:tcBorders>
            <w:noWrap w:val="0"/>
            <w:vAlign w:val="center"/>
          </w:tcPr>
          <w:p w14:paraId="02C735EF">
            <w:pPr>
              <w:jc w:val="center"/>
              <w:textAlignment w:val="center"/>
              <w:rPr>
                <w:rFonts w:hint="eastAsia"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highlight w:val="none"/>
                <w:lang w:eastAsia="zh-CN"/>
              </w:rPr>
              <w:t>固</w:t>
            </w:r>
            <w:r>
              <w:rPr>
                <w:rFonts w:hint="eastAsia" w:ascii="Times New Roman" w:hAnsi="Times New Roman" w:eastAsia="宋体" w:cs="Times New Roman"/>
                <w:color w:val="auto"/>
                <w:highlight w:val="none"/>
              </w:rPr>
              <w:t>态</w:t>
            </w:r>
          </w:p>
        </w:tc>
        <w:tc>
          <w:tcPr>
            <w:tcW w:w="510" w:type="pct"/>
            <w:tcBorders>
              <w:tl2br w:val="nil"/>
              <w:tr2bl w:val="nil"/>
            </w:tcBorders>
            <w:noWrap w:val="0"/>
            <w:vAlign w:val="center"/>
          </w:tcPr>
          <w:p w14:paraId="745EC0AF">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1.29</w:t>
            </w:r>
          </w:p>
        </w:tc>
        <w:tc>
          <w:tcPr>
            <w:tcW w:w="585" w:type="pct"/>
            <w:tcBorders>
              <w:tl2br w:val="nil"/>
              <w:tr2bl w:val="nil"/>
            </w:tcBorders>
            <w:noWrap w:val="0"/>
            <w:vAlign w:val="center"/>
          </w:tcPr>
          <w:p w14:paraId="28F97839">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25kg/袋</w:t>
            </w:r>
          </w:p>
        </w:tc>
        <w:tc>
          <w:tcPr>
            <w:tcW w:w="564" w:type="pct"/>
            <w:tcBorders>
              <w:tl2br w:val="nil"/>
              <w:tr2bl w:val="nil"/>
            </w:tcBorders>
            <w:noWrap w:val="0"/>
            <w:vAlign w:val="center"/>
          </w:tcPr>
          <w:p w14:paraId="56944B68">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1.29</w:t>
            </w:r>
          </w:p>
        </w:tc>
        <w:tc>
          <w:tcPr>
            <w:tcW w:w="617" w:type="pct"/>
            <w:tcBorders>
              <w:tl2br w:val="nil"/>
              <w:tr2bl w:val="nil"/>
            </w:tcBorders>
            <w:noWrap w:val="0"/>
            <w:vAlign w:val="center"/>
          </w:tcPr>
          <w:p w14:paraId="033261DF">
            <w:pPr>
              <w:widowControl/>
              <w:jc w:val="center"/>
              <w:textAlignment w:val="center"/>
              <w:rPr>
                <w:rFonts w:hint="eastAsia" w:ascii="Times New Roman" w:hAnsi="Times New Roman" w:eastAsia="Tahoma"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w:t>
            </w:r>
          </w:p>
        </w:tc>
        <w:tc>
          <w:tcPr>
            <w:tcW w:w="607" w:type="pct"/>
            <w:vMerge w:val="restart"/>
            <w:tcBorders>
              <w:tl2br w:val="nil"/>
              <w:tr2bl w:val="nil"/>
            </w:tcBorders>
            <w:noWrap w:val="0"/>
            <w:vAlign w:val="center"/>
          </w:tcPr>
          <w:p w14:paraId="74887004">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均充填于设备内，3年更换1次</w:t>
            </w:r>
          </w:p>
        </w:tc>
      </w:tr>
      <w:tr w14:paraId="2136D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703" w:type="pct"/>
            <w:tcBorders>
              <w:tl2br w:val="nil"/>
              <w:tr2bl w:val="nil"/>
            </w:tcBorders>
            <w:noWrap w:val="0"/>
            <w:vAlign w:val="center"/>
          </w:tcPr>
          <w:p w14:paraId="50809D4A">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转化催化剂</w:t>
            </w:r>
          </w:p>
        </w:tc>
        <w:tc>
          <w:tcPr>
            <w:tcW w:w="906" w:type="pct"/>
            <w:tcBorders>
              <w:tl2br w:val="nil"/>
              <w:tr2bl w:val="nil"/>
            </w:tcBorders>
            <w:noWrap w:val="0"/>
            <w:vAlign w:val="center"/>
          </w:tcPr>
          <w:p w14:paraId="6CD58CB9">
            <w:pPr>
              <w:keepNext w:val="0"/>
              <w:keepLines w:val="0"/>
              <w:pageBreakBefore w:val="0"/>
              <w:widowControl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bidi="ar-SA"/>
              </w:rPr>
              <w:t>CY-N30，粒径30nm</w:t>
            </w:r>
          </w:p>
        </w:tc>
        <w:tc>
          <w:tcPr>
            <w:tcW w:w="503" w:type="pct"/>
            <w:tcBorders>
              <w:tl2br w:val="nil"/>
              <w:tr2bl w:val="nil"/>
            </w:tcBorders>
            <w:noWrap w:val="0"/>
            <w:vAlign w:val="center"/>
          </w:tcPr>
          <w:p w14:paraId="453F74A4">
            <w:pPr>
              <w:jc w:val="center"/>
              <w:textAlignment w:val="center"/>
              <w:rPr>
                <w:rFonts w:hint="eastAsia"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highlight w:val="none"/>
                <w:lang w:eastAsia="zh-CN"/>
              </w:rPr>
              <w:t>固</w:t>
            </w:r>
            <w:r>
              <w:rPr>
                <w:rFonts w:hint="eastAsia" w:ascii="Times New Roman" w:hAnsi="Times New Roman" w:eastAsia="宋体" w:cs="Times New Roman"/>
                <w:color w:val="auto"/>
                <w:highlight w:val="none"/>
              </w:rPr>
              <w:t>态</w:t>
            </w:r>
          </w:p>
        </w:tc>
        <w:tc>
          <w:tcPr>
            <w:tcW w:w="510" w:type="pct"/>
            <w:tcBorders>
              <w:tl2br w:val="nil"/>
              <w:tr2bl w:val="nil"/>
            </w:tcBorders>
            <w:noWrap w:val="0"/>
            <w:vAlign w:val="center"/>
          </w:tcPr>
          <w:p w14:paraId="30CFAC46">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1.29</w:t>
            </w:r>
          </w:p>
        </w:tc>
        <w:tc>
          <w:tcPr>
            <w:tcW w:w="585" w:type="pct"/>
            <w:tcBorders>
              <w:tl2br w:val="nil"/>
              <w:tr2bl w:val="nil"/>
            </w:tcBorders>
            <w:noWrap w:val="0"/>
            <w:vAlign w:val="center"/>
          </w:tcPr>
          <w:p w14:paraId="48E1F110">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25kg/袋</w:t>
            </w:r>
          </w:p>
        </w:tc>
        <w:tc>
          <w:tcPr>
            <w:tcW w:w="564" w:type="pct"/>
            <w:tcBorders>
              <w:tl2br w:val="nil"/>
              <w:tr2bl w:val="nil"/>
            </w:tcBorders>
            <w:noWrap w:val="0"/>
            <w:vAlign w:val="center"/>
          </w:tcPr>
          <w:p w14:paraId="5E3E8A44">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1.29</w:t>
            </w:r>
          </w:p>
        </w:tc>
        <w:tc>
          <w:tcPr>
            <w:tcW w:w="617" w:type="pct"/>
            <w:tcBorders>
              <w:tl2br w:val="nil"/>
              <w:tr2bl w:val="nil"/>
            </w:tcBorders>
            <w:noWrap w:val="0"/>
            <w:vAlign w:val="center"/>
          </w:tcPr>
          <w:p w14:paraId="13040207">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07" w:type="pct"/>
            <w:vMerge w:val="continue"/>
            <w:tcBorders>
              <w:tl2br w:val="nil"/>
              <w:tr2bl w:val="nil"/>
            </w:tcBorders>
            <w:noWrap w:val="0"/>
            <w:vAlign w:val="center"/>
          </w:tcPr>
          <w:p w14:paraId="18EEA240">
            <w:pPr>
              <w:jc w:val="center"/>
              <w:textAlignment w:val="center"/>
              <w:rPr>
                <w:rFonts w:hint="default" w:ascii="Times New Roman" w:hAnsi="Times New Roman" w:eastAsia="宋体" w:cs="Times New Roman"/>
                <w:color w:val="auto"/>
                <w:kern w:val="0"/>
                <w:sz w:val="21"/>
                <w:szCs w:val="20"/>
                <w:highlight w:val="none"/>
                <w:lang w:val="en-US" w:eastAsia="zh-CN"/>
              </w:rPr>
            </w:pPr>
          </w:p>
        </w:tc>
      </w:tr>
      <w:tr w14:paraId="29A4D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703" w:type="pct"/>
            <w:tcBorders>
              <w:tl2br w:val="nil"/>
              <w:tr2bl w:val="nil"/>
            </w:tcBorders>
            <w:noWrap w:val="0"/>
            <w:vAlign w:val="center"/>
          </w:tcPr>
          <w:p w14:paraId="24BDDD41">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中变催化剂</w:t>
            </w:r>
          </w:p>
        </w:tc>
        <w:tc>
          <w:tcPr>
            <w:tcW w:w="906" w:type="pct"/>
            <w:tcBorders>
              <w:tl2br w:val="nil"/>
              <w:tr2bl w:val="nil"/>
            </w:tcBorders>
            <w:noWrap w:val="0"/>
            <w:vAlign w:val="center"/>
          </w:tcPr>
          <w:p w14:paraId="7C0A0DD0">
            <w:pPr>
              <w:keepNext w:val="0"/>
              <w:keepLines w:val="0"/>
              <w:pageBreakBefore w:val="0"/>
              <w:widowControl w:val="0"/>
              <w:kinsoku/>
              <w:wordWrap/>
              <w:overflowPunct/>
              <w:topLinePunct w:val="0"/>
              <w:autoSpaceDE/>
              <w:autoSpaceDN/>
              <w:bidi w:val="0"/>
              <w:adjustRightInd/>
              <w:snapToGrid/>
              <w:spacing w:line="240" w:lineRule="atLeast"/>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Fe</w:t>
            </w:r>
            <w:r>
              <w:rPr>
                <w:rFonts w:hint="eastAsia" w:ascii="Times New Roman" w:hAnsi="Times New Roman" w:eastAsia="宋体" w:cs="Times New Roman"/>
                <w:color w:val="auto"/>
                <w:kern w:val="0"/>
                <w:sz w:val="21"/>
                <w:szCs w:val="20"/>
                <w:highlight w:val="none"/>
                <w:vertAlign w:val="subscript"/>
                <w:lang w:val="en-US" w:eastAsia="zh-CN"/>
              </w:rPr>
              <w:t>2</w:t>
            </w:r>
            <w:r>
              <w:rPr>
                <w:rFonts w:hint="eastAsia" w:ascii="Times New Roman" w:hAnsi="Times New Roman" w:eastAsia="宋体" w:cs="Times New Roman"/>
                <w:color w:val="auto"/>
                <w:kern w:val="0"/>
                <w:sz w:val="21"/>
                <w:szCs w:val="20"/>
                <w:highlight w:val="none"/>
                <w:lang w:val="en-US" w:eastAsia="zh-CN"/>
              </w:rPr>
              <w:t>O</w:t>
            </w:r>
            <w:r>
              <w:rPr>
                <w:rFonts w:hint="eastAsia" w:ascii="Times New Roman" w:hAnsi="Times New Roman" w:eastAsia="宋体" w:cs="Times New Roman"/>
                <w:color w:val="auto"/>
                <w:kern w:val="0"/>
                <w:sz w:val="21"/>
                <w:szCs w:val="20"/>
                <w:highlight w:val="none"/>
                <w:vertAlign w:val="subscript"/>
                <w:lang w:val="en-US" w:eastAsia="zh-CN"/>
              </w:rPr>
              <w:t>3</w:t>
            </w:r>
            <w:r>
              <w:rPr>
                <w:rFonts w:hint="eastAsia" w:ascii="Times New Roman" w:hAnsi="Times New Roman" w:eastAsia="宋体" w:cs="Times New Roman"/>
                <w:color w:val="auto"/>
                <w:kern w:val="0"/>
                <w:sz w:val="21"/>
                <w:szCs w:val="20"/>
                <w:highlight w:val="none"/>
                <w:vertAlign w:val="baseline"/>
                <w:lang w:val="en-US" w:eastAsia="zh-CN"/>
              </w:rPr>
              <w:t>（95%）</w:t>
            </w:r>
            <w:r>
              <w:rPr>
                <w:rFonts w:hint="eastAsia" w:ascii="Times New Roman" w:hAnsi="Times New Roman" w:eastAsia="宋体" w:cs="Times New Roman"/>
                <w:color w:val="auto"/>
                <w:kern w:val="0"/>
                <w:sz w:val="21"/>
                <w:szCs w:val="20"/>
                <w:highlight w:val="none"/>
                <w:lang w:val="en-US" w:eastAsia="zh-CN"/>
              </w:rPr>
              <w:t>、Cr</w:t>
            </w:r>
            <w:r>
              <w:rPr>
                <w:rFonts w:hint="eastAsia" w:ascii="Times New Roman" w:hAnsi="Times New Roman" w:eastAsia="宋体" w:cs="Times New Roman"/>
                <w:color w:val="auto"/>
                <w:kern w:val="0"/>
                <w:sz w:val="21"/>
                <w:szCs w:val="20"/>
                <w:highlight w:val="none"/>
                <w:vertAlign w:val="subscript"/>
                <w:lang w:val="en-US" w:eastAsia="zh-CN"/>
              </w:rPr>
              <w:t>2</w:t>
            </w:r>
            <w:r>
              <w:rPr>
                <w:rFonts w:hint="eastAsia" w:ascii="Times New Roman" w:hAnsi="Times New Roman" w:eastAsia="宋体" w:cs="Times New Roman"/>
                <w:color w:val="auto"/>
                <w:kern w:val="0"/>
                <w:sz w:val="21"/>
                <w:szCs w:val="20"/>
                <w:highlight w:val="none"/>
                <w:lang w:val="en-US" w:eastAsia="zh-CN"/>
              </w:rPr>
              <w:t>O</w:t>
            </w:r>
            <w:r>
              <w:rPr>
                <w:rFonts w:hint="eastAsia" w:ascii="Times New Roman" w:hAnsi="Times New Roman" w:eastAsia="宋体" w:cs="Times New Roman"/>
                <w:color w:val="auto"/>
                <w:kern w:val="0"/>
                <w:sz w:val="21"/>
                <w:szCs w:val="20"/>
                <w:highlight w:val="none"/>
                <w:vertAlign w:val="subscript"/>
                <w:lang w:val="en-US" w:eastAsia="zh-CN"/>
              </w:rPr>
              <w:t>3</w:t>
            </w:r>
            <w:r>
              <w:rPr>
                <w:rFonts w:hint="eastAsia" w:ascii="Times New Roman" w:hAnsi="Times New Roman" w:eastAsia="宋体" w:cs="Times New Roman"/>
                <w:color w:val="auto"/>
                <w:kern w:val="0"/>
                <w:sz w:val="21"/>
                <w:szCs w:val="20"/>
                <w:highlight w:val="none"/>
                <w:vertAlign w:val="baseline"/>
                <w:lang w:val="en-US" w:eastAsia="zh-CN"/>
              </w:rPr>
              <w:t>（5%）</w:t>
            </w:r>
          </w:p>
        </w:tc>
        <w:tc>
          <w:tcPr>
            <w:tcW w:w="503" w:type="pct"/>
            <w:tcBorders>
              <w:tl2br w:val="nil"/>
              <w:tr2bl w:val="nil"/>
            </w:tcBorders>
            <w:noWrap w:val="0"/>
            <w:vAlign w:val="center"/>
          </w:tcPr>
          <w:p w14:paraId="51957D10">
            <w:pPr>
              <w:jc w:val="center"/>
              <w:textAlignment w:val="center"/>
              <w:rPr>
                <w:rFonts w:hint="eastAsia"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highlight w:val="none"/>
                <w:lang w:eastAsia="zh-CN"/>
              </w:rPr>
              <w:t>固</w:t>
            </w:r>
            <w:r>
              <w:rPr>
                <w:rFonts w:hint="eastAsia" w:ascii="Times New Roman" w:hAnsi="Times New Roman" w:eastAsia="宋体" w:cs="Times New Roman"/>
                <w:color w:val="auto"/>
                <w:highlight w:val="none"/>
              </w:rPr>
              <w:t>态</w:t>
            </w:r>
          </w:p>
        </w:tc>
        <w:tc>
          <w:tcPr>
            <w:tcW w:w="510" w:type="pct"/>
            <w:tcBorders>
              <w:tl2br w:val="nil"/>
              <w:tr2bl w:val="nil"/>
            </w:tcBorders>
            <w:noWrap w:val="0"/>
            <w:vAlign w:val="center"/>
          </w:tcPr>
          <w:p w14:paraId="75374AF4">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1.38</w:t>
            </w:r>
          </w:p>
        </w:tc>
        <w:tc>
          <w:tcPr>
            <w:tcW w:w="585" w:type="pct"/>
            <w:tcBorders>
              <w:tl2br w:val="nil"/>
              <w:tr2bl w:val="nil"/>
            </w:tcBorders>
            <w:noWrap w:val="0"/>
            <w:vAlign w:val="center"/>
          </w:tcPr>
          <w:p w14:paraId="5F99F4E6">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25kg/袋</w:t>
            </w:r>
          </w:p>
        </w:tc>
        <w:tc>
          <w:tcPr>
            <w:tcW w:w="564" w:type="pct"/>
            <w:tcBorders>
              <w:tl2br w:val="nil"/>
              <w:tr2bl w:val="nil"/>
            </w:tcBorders>
            <w:noWrap w:val="0"/>
            <w:vAlign w:val="center"/>
          </w:tcPr>
          <w:p w14:paraId="53A8E176">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1.38</w:t>
            </w:r>
          </w:p>
        </w:tc>
        <w:tc>
          <w:tcPr>
            <w:tcW w:w="617" w:type="pct"/>
            <w:tcBorders>
              <w:tl2br w:val="nil"/>
              <w:tr2bl w:val="nil"/>
            </w:tcBorders>
            <w:noWrap w:val="0"/>
            <w:vAlign w:val="center"/>
          </w:tcPr>
          <w:p w14:paraId="1D8578BF">
            <w:pPr>
              <w:widowControl/>
              <w:jc w:val="center"/>
              <w:textAlignment w:val="center"/>
              <w:rPr>
                <w:rFonts w:hint="eastAsia" w:ascii="Times New Roman" w:hAnsi="Times New Roman" w:eastAsia="Tahoma"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w:t>
            </w:r>
          </w:p>
        </w:tc>
        <w:tc>
          <w:tcPr>
            <w:tcW w:w="607" w:type="pct"/>
            <w:vMerge w:val="continue"/>
            <w:tcBorders>
              <w:tl2br w:val="nil"/>
              <w:tr2bl w:val="nil"/>
            </w:tcBorders>
            <w:noWrap w:val="0"/>
            <w:vAlign w:val="center"/>
          </w:tcPr>
          <w:p w14:paraId="283E0FC5">
            <w:pPr>
              <w:jc w:val="center"/>
              <w:textAlignment w:val="center"/>
              <w:rPr>
                <w:rFonts w:hint="eastAsia" w:ascii="Times New Roman" w:hAnsi="Times New Roman" w:eastAsia="宋体" w:cs="Times New Roman"/>
                <w:color w:val="auto"/>
                <w:kern w:val="0"/>
                <w:sz w:val="21"/>
                <w:szCs w:val="20"/>
                <w:highlight w:val="none"/>
              </w:rPr>
            </w:pPr>
          </w:p>
        </w:tc>
      </w:tr>
      <w:tr w14:paraId="3188C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703" w:type="pct"/>
            <w:tcBorders>
              <w:tl2br w:val="nil"/>
              <w:tr2bl w:val="nil"/>
            </w:tcBorders>
            <w:noWrap w:val="0"/>
            <w:vAlign w:val="center"/>
          </w:tcPr>
          <w:p w14:paraId="79158957">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吸附剂</w:t>
            </w:r>
          </w:p>
        </w:tc>
        <w:tc>
          <w:tcPr>
            <w:tcW w:w="906" w:type="pct"/>
            <w:tcBorders>
              <w:tl2br w:val="nil"/>
              <w:tr2bl w:val="nil"/>
            </w:tcBorders>
            <w:noWrap w:val="0"/>
            <w:vAlign w:val="center"/>
          </w:tcPr>
          <w:p w14:paraId="75EBAE48">
            <w:pPr>
              <w:jc w:val="center"/>
              <w:textAlignment w:val="center"/>
              <w:rPr>
                <w:rFonts w:hint="eastAsia" w:ascii="Times New Roman" w:hAnsi="Times New Roman" w:eastAsia="宋体" w:cs="Times New Roman"/>
                <w:color w:val="auto"/>
                <w:kern w:val="0"/>
                <w:sz w:val="21"/>
                <w:szCs w:val="20"/>
                <w:highlight w:val="none"/>
                <w:lang w:eastAsia="zh-CN"/>
              </w:rPr>
            </w:pPr>
            <w:r>
              <w:rPr>
                <w:rFonts w:hint="eastAsia" w:ascii="Times New Roman" w:hAnsi="Times New Roman" w:eastAsia="宋体" w:cs="Times New Roman"/>
                <w:color w:val="auto"/>
                <w:kern w:val="0"/>
                <w:sz w:val="21"/>
                <w:szCs w:val="20"/>
                <w:highlight w:val="none"/>
                <w:lang w:val="en-US" w:eastAsia="zh-CN" w:bidi="ar-SA"/>
              </w:rPr>
              <w:t>活性炭、氧化铝</w:t>
            </w:r>
          </w:p>
        </w:tc>
        <w:tc>
          <w:tcPr>
            <w:tcW w:w="503" w:type="pct"/>
            <w:tcBorders>
              <w:tl2br w:val="nil"/>
              <w:tr2bl w:val="nil"/>
            </w:tcBorders>
            <w:noWrap w:val="0"/>
            <w:vAlign w:val="center"/>
          </w:tcPr>
          <w:p w14:paraId="74A89295">
            <w:pPr>
              <w:jc w:val="center"/>
              <w:textAlignment w:val="center"/>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固</w:t>
            </w:r>
            <w:r>
              <w:rPr>
                <w:rFonts w:hint="eastAsia" w:ascii="Times New Roman" w:hAnsi="Times New Roman" w:eastAsia="宋体" w:cs="Times New Roman"/>
                <w:color w:val="auto"/>
                <w:highlight w:val="none"/>
              </w:rPr>
              <w:t>态</w:t>
            </w:r>
          </w:p>
        </w:tc>
        <w:tc>
          <w:tcPr>
            <w:tcW w:w="510" w:type="pct"/>
            <w:tcBorders>
              <w:tl2br w:val="nil"/>
              <w:tr2bl w:val="nil"/>
            </w:tcBorders>
            <w:noWrap w:val="0"/>
            <w:vAlign w:val="center"/>
          </w:tcPr>
          <w:p w14:paraId="1026CE67">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10</w:t>
            </w:r>
          </w:p>
        </w:tc>
        <w:tc>
          <w:tcPr>
            <w:tcW w:w="585" w:type="pct"/>
            <w:tcBorders>
              <w:tl2br w:val="nil"/>
              <w:tr2bl w:val="nil"/>
            </w:tcBorders>
            <w:noWrap w:val="0"/>
            <w:vAlign w:val="center"/>
          </w:tcPr>
          <w:p w14:paraId="1AA5A15F">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25kg/袋</w:t>
            </w:r>
          </w:p>
        </w:tc>
        <w:tc>
          <w:tcPr>
            <w:tcW w:w="564" w:type="pct"/>
            <w:tcBorders>
              <w:tl2br w:val="nil"/>
              <w:tr2bl w:val="nil"/>
            </w:tcBorders>
            <w:noWrap w:val="0"/>
            <w:vAlign w:val="center"/>
          </w:tcPr>
          <w:p w14:paraId="596CEC31">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10</w:t>
            </w:r>
          </w:p>
        </w:tc>
        <w:tc>
          <w:tcPr>
            <w:tcW w:w="617" w:type="pct"/>
            <w:tcBorders>
              <w:tl2br w:val="nil"/>
              <w:tr2bl w:val="nil"/>
            </w:tcBorders>
            <w:noWrap w:val="0"/>
            <w:vAlign w:val="center"/>
          </w:tcPr>
          <w:p w14:paraId="3799B7C5">
            <w:pPr>
              <w:widowControl/>
              <w:jc w:val="center"/>
              <w:textAlignment w:val="center"/>
              <w:rPr>
                <w:rFonts w:hint="eastAsia" w:ascii="Times New Roman" w:hAnsi="Times New Roman" w:eastAsia="Tahoma" w:cs="Times New Roman"/>
                <w:color w:val="auto"/>
                <w:szCs w:val="21"/>
                <w:highlight w:val="none"/>
                <w:lang w:bidi="ar"/>
              </w:rPr>
            </w:pPr>
            <w:r>
              <w:rPr>
                <w:rFonts w:hint="eastAsia" w:ascii="Times New Roman" w:hAnsi="Times New Roman" w:eastAsia="宋体" w:cs="Times New Roman"/>
                <w:color w:val="auto"/>
                <w:kern w:val="0"/>
                <w:sz w:val="21"/>
                <w:szCs w:val="21"/>
                <w:highlight w:val="none"/>
                <w:lang w:val="en-US" w:eastAsia="zh-CN" w:bidi="ar"/>
              </w:rPr>
              <w:t>/</w:t>
            </w:r>
          </w:p>
        </w:tc>
        <w:tc>
          <w:tcPr>
            <w:tcW w:w="607" w:type="pct"/>
            <w:tcBorders>
              <w:tl2br w:val="nil"/>
              <w:tr2bl w:val="nil"/>
            </w:tcBorders>
            <w:noWrap w:val="0"/>
            <w:vAlign w:val="center"/>
          </w:tcPr>
          <w:p w14:paraId="414FB719">
            <w:pPr>
              <w:jc w:val="center"/>
              <w:textAlignment w:val="center"/>
              <w:rPr>
                <w:rFonts w:hint="eastAsia"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 w:val="21"/>
                <w:szCs w:val="20"/>
                <w:highlight w:val="none"/>
                <w:lang w:val="en-US" w:eastAsia="zh-CN"/>
              </w:rPr>
              <w:t>15年更换1次</w:t>
            </w:r>
          </w:p>
        </w:tc>
      </w:tr>
      <w:tr w14:paraId="22B49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806" w:hRule="atLeast"/>
          <w:jc w:val="center"/>
        </w:trPr>
        <w:tc>
          <w:tcPr>
            <w:tcW w:w="703" w:type="pct"/>
            <w:tcBorders>
              <w:tl2br w:val="nil"/>
              <w:tr2bl w:val="nil"/>
            </w:tcBorders>
            <w:noWrap w:val="0"/>
            <w:vAlign w:val="center"/>
          </w:tcPr>
          <w:p w14:paraId="38E9DB7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磷酸三钠</w:t>
            </w:r>
          </w:p>
        </w:tc>
        <w:tc>
          <w:tcPr>
            <w:tcW w:w="906" w:type="pct"/>
            <w:tcBorders>
              <w:tl2br w:val="nil"/>
              <w:tr2bl w:val="nil"/>
            </w:tcBorders>
            <w:noWrap w:val="0"/>
            <w:vAlign w:val="center"/>
          </w:tcPr>
          <w:p w14:paraId="54C7D782">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w:t>
            </w:r>
          </w:p>
        </w:tc>
        <w:tc>
          <w:tcPr>
            <w:tcW w:w="503" w:type="pct"/>
            <w:tcBorders>
              <w:tl2br w:val="nil"/>
              <w:tr2bl w:val="nil"/>
            </w:tcBorders>
            <w:noWrap w:val="0"/>
            <w:vAlign w:val="center"/>
          </w:tcPr>
          <w:p w14:paraId="261BD6ED">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固态</w:t>
            </w:r>
          </w:p>
        </w:tc>
        <w:tc>
          <w:tcPr>
            <w:tcW w:w="510" w:type="pct"/>
            <w:tcBorders>
              <w:tl2br w:val="nil"/>
              <w:tr2bl w:val="nil"/>
            </w:tcBorders>
            <w:noWrap w:val="0"/>
            <w:vAlign w:val="center"/>
          </w:tcPr>
          <w:p w14:paraId="0DCCA4A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0.025</w:t>
            </w:r>
          </w:p>
        </w:tc>
        <w:tc>
          <w:tcPr>
            <w:tcW w:w="585" w:type="pct"/>
            <w:tcBorders>
              <w:tl2br w:val="nil"/>
              <w:tr2bl w:val="nil"/>
            </w:tcBorders>
            <w:noWrap w:val="0"/>
            <w:vAlign w:val="center"/>
          </w:tcPr>
          <w:p w14:paraId="43B5B29F">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25kg/袋</w:t>
            </w:r>
          </w:p>
        </w:tc>
        <w:tc>
          <w:tcPr>
            <w:tcW w:w="564" w:type="pct"/>
            <w:tcBorders>
              <w:tl2br w:val="nil"/>
              <w:tr2bl w:val="nil"/>
            </w:tcBorders>
            <w:noWrap w:val="0"/>
            <w:vAlign w:val="center"/>
          </w:tcPr>
          <w:p w14:paraId="3C6650CB">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0.025</w:t>
            </w:r>
          </w:p>
        </w:tc>
        <w:tc>
          <w:tcPr>
            <w:tcW w:w="617" w:type="pct"/>
            <w:tcBorders>
              <w:tl2br w:val="nil"/>
              <w:tr2bl w:val="nil"/>
            </w:tcBorders>
            <w:noWrap w:val="0"/>
            <w:vAlign w:val="center"/>
          </w:tcPr>
          <w:p w14:paraId="34D10BE7">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07" w:type="pct"/>
            <w:vMerge w:val="restart"/>
            <w:tcBorders>
              <w:tl2br w:val="nil"/>
              <w:tr2bl w:val="nil"/>
            </w:tcBorders>
            <w:noWrap w:val="0"/>
            <w:vAlign w:val="center"/>
          </w:tcPr>
          <w:p w14:paraId="5216C2A0">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蒸汽发生器首次煮锅使用，后续不再使用</w:t>
            </w:r>
          </w:p>
        </w:tc>
      </w:tr>
      <w:tr w14:paraId="790DB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703" w:type="pct"/>
            <w:tcBorders>
              <w:tl2br w:val="nil"/>
              <w:tr2bl w:val="nil"/>
            </w:tcBorders>
            <w:noWrap w:val="0"/>
            <w:vAlign w:val="center"/>
          </w:tcPr>
          <w:p w14:paraId="25086A06">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氢氧化钠</w:t>
            </w:r>
          </w:p>
        </w:tc>
        <w:tc>
          <w:tcPr>
            <w:tcW w:w="906" w:type="pct"/>
            <w:tcBorders>
              <w:tl2br w:val="nil"/>
              <w:tr2bl w:val="nil"/>
            </w:tcBorders>
            <w:noWrap w:val="0"/>
            <w:vAlign w:val="center"/>
          </w:tcPr>
          <w:p w14:paraId="70A8F2DE">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w:t>
            </w:r>
          </w:p>
        </w:tc>
        <w:tc>
          <w:tcPr>
            <w:tcW w:w="503" w:type="pct"/>
            <w:tcBorders>
              <w:tl2br w:val="nil"/>
              <w:tr2bl w:val="nil"/>
            </w:tcBorders>
            <w:noWrap w:val="0"/>
            <w:vAlign w:val="center"/>
          </w:tcPr>
          <w:p w14:paraId="3AFF8706">
            <w:pPr>
              <w:jc w:val="center"/>
              <w:textAlignment w:val="center"/>
              <w:rPr>
                <w:rFonts w:hint="eastAsia"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 w:val="21"/>
                <w:szCs w:val="20"/>
                <w:highlight w:val="none"/>
                <w:lang w:val="en-US" w:eastAsia="zh-CN"/>
              </w:rPr>
              <w:t>固态</w:t>
            </w:r>
          </w:p>
        </w:tc>
        <w:tc>
          <w:tcPr>
            <w:tcW w:w="510" w:type="pct"/>
            <w:tcBorders>
              <w:tl2br w:val="nil"/>
              <w:tr2bl w:val="nil"/>
            </w:tcBorders>
            <w:noWrap w:val="0"/>
            <w:vAlign w:val="center"/>
          </w:tcPr>
          <w:p w14:paraId="77AFE9E2">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0.05</w:t>
            </w:r>
          </w:p>
        </w:tc>
        <w:tc>
          <w:tcPr>
            <w:tcW w:w="585" w:type="pct"/>
            <w:tcBorders>
              <w:tl2br w:val="nil"/>
              <w:tr2bl w:val="nil"/>
            </w:tcBorders>
            <w:noWrap w:val="0"/>
            <w:vAlign w:val="center"/>
          </w:tcPr>
          <w:p w14:paraId="44183C97">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25kg/袋</w:t>
            </w:r>
          </w:p>
        </w:tc>
        <w:tc>
          <w:tcPr>
            <w:tcW w:w="564" w:type="pct"/>
            <w:tcBorders>
              <w:tl2br w:val="nil"/>
              <w:tr2bl w:val="nil"/>
            </w:tcBorders>
            <w:noWrap w:val="0"/>
            <w:vAlign w:val="center"/>
          </w:tcPr>
          <w:p w14:paraId="22D2B2D1">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0.05</w:t>
            </w:r>
          </w:p>
        </w:tc>
        <w:tc>
          <w:tcPr>
            <w:tcW w:w="617" w:type="pct"/>
            <w:tcBorders>
              <w:tl2br w:val="nil"/>
              <w:tr2bl w:val="nil"/>
            </w:tcBorders>
            <w:noWrap w:val="0"/>
            <w:vAlign w:val="center"/>
          </w:tcPr>
          <w:p w14:paraId="01954D07">
            <w:pPr>
              <w:widowControl/>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w:t>
            </w:r>
          </w:p>
        </w:tc>
        <w:tc>
          <w:tcPr>
            <w:tcW w:w="607" w:type="pct"/>
            <w:vMerge w:val="continue"/>
            <w:tcBorders>
              <w:tl2br w:val="nil"/>
              <w:tr2bl w:val="nil"/>
            </w:tcBorders>
            <w:noWrap w:val="0"/>
            <w:vAlign w:val="center"/>
          </w:tcPr>
          <w:p w14:paraId="2550751E">
            <w:pPr>
              <w:jc w:val="center"/>
              <w:textAlignment w:val="center"/>
              <w:rPr>
                <w:rFonts w:hint="default" w:ascii="Times New Roman" w:hAnsi="Times New Roman" w:eastAsia="宋体" w:cs="Times New Roman"/>
                <w:color w:val="auto"/>
                <w:kern w:val="0"/>
                <w:sz w:val="21"/>
                <w:szCs w:val="20"/>
                <w:highlight w:val="none"/>
                <w:lang w:val="en-US" w:eastAsia="zh-CN"/>
              </w:rPr>
            </w:pPr>
          </w:p>
        </w:tc>
      </w:tr>
      <w:tr w14:paraId="37D10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703" w:type="pct"/>
            <w:tcBorders>
              <w:tl2br w:val="nil"/>
              <w:tr2bl w:val="nil"/>
            </w:tcBorders>
            <w:noWrap w:val="0"/>
            <w:vAlign w:val="center"/>
          </w:tcPr>
          <w:p w14:paraId="7C96D50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洗涤剂</w:t>
            </w:r>
          </w:p>
        </w:tc>
        <w:tc>
          <w:tcPr>
            <w:tcW w:w="906" w:type="pct"/>
            <w:tcBorders>
              <w:tl2br w:val="nil"/>
              <w:tr2bl w:val="nil"/>
            </w:tcBorders>
            <w:noWrap w:val="0"/>
            <w:vAlign w:val="center"/>
          </w:tcPr>
          <w:p w14:paraId="07F6496A">
            <w:pPr>
              <w:jc w:val="center"/>
              <w:textAlignment w:val="center"/>
              <w:rPr>
                <w:rFonts w:hint="eastAsia" w:ascii="Times New Roman" w:hAnsi="Times New Roman" w:eastAsia="宋体" w:cs="Times New Roman"/>
                <w:color w:val="auto"/>
                <w:kern w:val="0"/>
                <w:sz w:val="21"/>
                <w:szCs w:val="20"/>
                <w:highlight w:val="none"/>
                <w:lang w:val="en-US" w:eastAsia="zh-CN"/>
              </w:rPr>
            </w:pPr>
          </w:p>
        </w:tc>
        <w:tc>
          <w:tcPr>
            <w:tcW w:w="503" w:type="pct"/>
            <w:tcBorders>
              <w:tl2br w:val="nil"/>
              <w:tr2bl w:val="nil"/>
            </w:tcBorders>
            <w:noWrap w:val="0"/>
            <w:vAlign w:val="center"/>
          </w:tcPr>
          <w:p w14:paraId="11ED97E2">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液态</w:t>
            </w:r>
          </w:p>
        </w:tc>
        <w:tc>
          <w:tcPr>
            <w:tcW w:w="510" w:type="pct"/>
            <w:tcBorders>
              <w:tl2br w:val="nil"/>
              <w:tr2bl w:val="nil"/>
            </w:tcBorders>
            <w:noWrap w:val="0"/>
            <w:vAlign w:val="center"/>
          </w:tcPr>
          <w:p w14:paraId="0C56CA1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0.9</w:t>
            </w:r>
          </w:p>
        </w:tc>
        <w:tc>
          <w:tcPr>
            <w:tcW w:w="585" w:type="pct"/>
            <w:tcBorders>
              <w:tl2br w:val="nil"/>
              <w:tr2bl w:val="nil"/>
            </w:tcBorders>
            <w:noWrap w:val="0"/>
            <w:vAlign w:val="center"/>
          </w:tcPr>
          <w:p w14:paraId="23F1BACA">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50kg/桶</w:t>
            </w:r>
          </w:p>
        </w:tc>
        <w:tc>
          <w:tcPr>
            <w:tcW w:w="564" w:type="pct"/>
            <w:tcBorders>
              <w:tl2br w:val="nil"/>
              <w:tr2bl w:val="nil"/>
            </w:tcBorders>
            <w:noWrap w:val="0"/>
            <w:vAlign w:val="center"/>
          </w:tcPr>
          <w:p w14:paraId="044E2AD2">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0.1</w:t>
            </w:r>
          </w:p>
        </w:tc>
        <w:tc>
          <w:tcPr>
            <w:tcW w:w="617" w:type="pct"/>
            <w:tcBorders>
              <w:tl2br w:val="nil"/>
              <w:tr2bl w:val="nil"/>
            </w:tcBorders>
            <w:noWrap w:val="0"/>
            <w:vAlign w:val="center"/>
          </w:tcPr>
          <w:p w14:paraId="64A4B7F4">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2个月</w:t>
            </w:r>
          </w:p>
        </w:tc>
        <w:tc>
          <w:tcPr>
            <w:tcW w:w="607" w:type="pct"/>
            <w:tcBorders>
              <w:tl2br w:val="nil"/>
              <w:tr2bl w:val="nil"/>
            </w:tcBorders>
            <w:noWrap w:val="0"/>
            <w:vAlign w:val="center"/>
          </w:tcPr>
          <w:p w14:paraId="448BC660">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w:t>
            </w:r>
          </w:p>
        </w:tc>
      </w:tr>
      <w:tr w14:paraId="476A7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66" w:hRule="atLeast"/>
          <w:jc w:val="center"/>
        </w:trPr>
        <w:tc>
          <w:tcPr>
            <w:tcW w:w="703" w:type="pct"/>
            <w:tcBorders>
              <w:tl2br w:val="nil"/>
              <w:tr2bl w:val="nil"/>
            </w:tcBorders>
            <w:noWrap w:val="0"/>
            <w:vAlign w:val="center"/>
          </w:tcPr>
          <w:p w14:paraId="291350D4">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电</w:t>
            </w:r>
          </w:p>
        </w:tc>
        <w:tc>
          <w:tcPr>
            <w:tcW w:w="906" w:type="pct"/>
            <w:tcBorders>
              <w:tl2br w:val="nil"/>
              <w:tr2bl w:val="nil"/>
            </w:tcBorders>
            <w:noWrap w:val="0"/>
            <w:vAlign w:val="center"/>
          </w:tcPr>
          <w:p w14:paraId="002A86D5">
            <w:pPr>
              <w:jc w:val="center"/>
              <w:textAlignment w:val="center"/>
              <w:rPr>
                <w:rFonts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Cs w:val="21"/>
                <w:highlight w:val="none"/>
                <w:lang w:bidi="ar"/>
              </w:rPr>
              <w:t>/</w:t>
            </w:r>
          </w:p>
        </w:tc>
        <w:tc>
          <w:tcPr>
            <w:tcW w:w="503" w:type="pct"/>
            <w:tcBorders>
              <w:tl2br w:val="nil"/>
              <w:tr2bl w:val="nil"/>
            </w:tcBorders>
            <w:noWrap w:val="0"/>
            <w:vAlign w:val="center"/>
          </w:tcPr>
          <w:p w14:paraId="5D904F03">
            <w:pPr>
              <w:jc w:val="center"/>
              <w:textAlignment w:val="center"/>
              <w:rPr>
                <w:rFonts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Cs w:val="21"/>
                <w:highlight w:val="none"/>
                <w:lang w:bidi="ar"/>
              </w:rPr>
              <w:t>/</w:t>
            </w:r>
          </w:p>
        </w:tc>
        <w:tc>
          <w:tcPr>
            <w:tcW w:w="510" w:type="pct"/>
            <w:tcBorders>
              <w:tl2br w:val="nil"/>
              <w:tr2bl w:val="nil"/>
            </w:tcBorders>
            <w:noWrap w:val="0"/>
            <w:vAlign w:val="center"/>
          </w:tcPr>
          <w:p w14:paraId="14D58821">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szCs w:val="21"/>
                <w:highlight w:val="none"/>
                <w:lang w:val="en-US" w:eastAsia="zh-CN"/>
              </w:rPr>
              <w:t>480万kWh</w:t>
            </w:r>
          </w:p>
        </w:tc>
        <w:tc>
          <w:tcPr>
            <w:tcW w:w="585" w:type="pct"/>
            <w:tcBorders>
              <w:tl2br w:val="nil"/>
              <w:tr2bl w:val="nil"/>
            </w:tcBorders>
            <w:noWrap w:val="0"/>
            <w:vAlign w:val="center"/>
          </w:tcPr>
          <w:p w14:paraId="19A573C7">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w:t>
            </w:r>
          </w:p>
        </w:tc>
        <w:tc>
          <w:tcPr>
            <w:tcW w:w="564" w:type="pct"/>
            <w:tcBorders>
              <w:tl2br w:val="nil"/>
              <w:tr2bl w:val="nil"/>
            </w:tcBorders>
            <w:noWrap w:val="0"/>
            <w:vAlign w:val="center"/>
          </w:tcPr>
          <w:p w14:paraId="3B93448F">
            <w:pPr>
              <w:jc w:val="center"/>
              <w:textAlignment w:val="center"/>
              <w:rPr>
                <w:rFonts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Cs w:val="21"/>
                <w:highlight w:val="none"/>
                <w:lang w:bidi="ar"/>
              </w:rPr>
              <w:t>/</w:t>
            </w:r>
          </w:p>
        </w:tc>
        <w:tc>
          <w:tcPr>
            <w:tcW w:w="617" w:type="pct"/>
            <w:tcBorders>
              <w:tl2br w:val="nil"/>
              <w:tr2bl w:val="nil"/>
            </w:tcBorders>
            <w:noWrap w:val="0"/>
            <w:vAlign w:val="center"/>
          </w:tcPr>
          <w:p w14:paraId="06BDA6E6">
            <w:pPr>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bidi="ar"/>
              </w:rPr>
              <w:t>/</w:t>
            </w:r>
          </w:p>
        </w:tc>
        <w:tc>
          <w:tcPr>
            <w:tcW w:w="607" w:type="pct"/>
            <w:tcBorders>
              <w:tl2br w:val="nil"/>
              <w:tr2bl w:val="nil"/>
            </w:tcBorders>
            <w:noWrap w:val="0"/>
            <w:vAlign w:val="center"/>
          </w:tcPr>
          <w:p w14:paraId="690B8F29">
            <w:pPr>
              <w:jc w:val="center"/>
              <w:textAlignment w:val="center"/>
              <w:rPr>
                <w:rFonts w:hint="eastAsia"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w:t>
            </w:r>
          </w:p>
        </w:tc>
      </w:tr>
      <w:tr w14:paraId="2B356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703" w:type="pct"/>
            <w:tcBorders>
              <w:tl2br w:val="nil"/>
              <w:tr2bl w:val="nil"/>
            </w:tcBorders>
            <w:noWrap w:val="0"/>
            <w:vAlign w:val="center"/>
          </w:tcPr>
          <w:p w14:paraId="3832CF39">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水</w:t>
            </w:r>
          </w:p>
        </w:tc>
        <w:tc>
          <w:tcPr>
            <w:tcW w:w="906" w:type="pct"/>
            <w:tcBorders>
              <w:tl2br w:val="nil"/>
              <w:tr2bl w:val="nil"/>
            </w:tcBorders>
            <w:noWrap w:val="0"/>
            <w:vAlign w:val="center"/>
          </w:tcPr>
          <w:p w14:paraId="1C111F0B">
            <w:pPr>
              <w:jc w:val="center"/>
              <w:textAlignment w:val="center"/>
              <w:rPr>
                <w:rFonts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Cs w:val="21"/>
                <w:highlight w:val="none"/>
                <w:lang w:bidi="ar"/>
              </w:rPr>
              <w:t>/</w:t>
            </w:r>
          </w:p>
        </w:tc>
        <w:tc>
          <w:tcPr>
            <w:tcW w:w="503" w:type="pct"/>
            <w:tcBorders>
              <w:tl2br w:val="nil"/>
              <w:tr2bl w:val="nil"/>
            </w:tcBorders>
            <w:noWrap w:val="0"/>
            <w:vAlign w:val="center"/>
          </w:tcPr>
          <w:p w14:paraId="38C1D89E">
            <w:pPr>
              <w:jc w:val="center"/>
              <w:textAlignment w:val="center"/>
              <w:rPr>
                <w:rFonts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Cs w:val="21"/>
                <w:highlight w:val="none"/>
                <w:lang w:bidi="ar"/>
              </w:rPr>
              <w:t>/</w:t>
            </w:r>
          </w:p>
        </w:tc>
        <w:tc>
          <w:tcPr>
            <w:tcW w:w="510" w:type="pct"/>
            <w:tcBorders>
              <w:tl2br w:val="nil"/>
              <w:tr2bl w:val="nil"/>
            </w:tcBorders>
            <w:noWrap w:val="0"/>
            <w:vAlign w:val="center"/>
          </w:tcPr>
          <w:p w14:paraId="7D1E243F">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olor w:val="auto"/>
                <w:szCs w:val="21"/>
                <w:highlight w:val="none"/>
                <w:lang w:val="en-US" w:eastAsia="zh-CN"/>
              </w:rPr>
              <w:t>13098.39t/a</w:t>
            </w:r>
          </w:p>
        </w:tc>
        <w:tc>
          <w:tcPr>
            <w:tcW w:w="585" w:type="pct"/>
            <w:tcBorders>
              <w:tl2br w:val="nil"/>
              <w:tr2bl w:val="nil"/>
            </w:tcBorders>
            <w:noWrap w:val="0"/>
            <w:vAlign w:val="center"/>
          </w:tcPr>
          <w:p w14:paraId="2D1AF3FD">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w:t>
            </w:r>
          </w:p>
        </w:tc>
        <w:tc>
          <w:tcPr>
            <w:tcW w:w="564" w:type="pct"/>
            <w:tcBorders>
              <w:tl2br w:val="nil"/>
              <w:tr2bl w:val="nil"/>
            </w:tcBorders>
            <w:noWrap w:val="0"/>
            <w:vAlign w:val="center"/>
          </w:tcPr>
          <w:p w14:paraId="2A42AFAE">
            <w:pPr>
              <w:jc w:val="center"/>
              <w:textAlignment w:val="center"/>
              <w:rPr>
                <w:rFonts w:ascii="Times New Roman" w:hAnsi="Times New Roman" w:eastAsia="宋体" w:cs="Times New Roman"/>
                <w:color w:val="auto"/>
                <w:kern w:val="0"/>
                <w:sz w:val="21"/>
                <w:szCs w:val="20"/>
                <w:highlight w:val="none"/>
              </w:rPr>
            </w:pPr>
            <w:r>
              <w:rPr>
                <w:rFonts w:hint="eastAsia" w:ascii="Times New Roman" w:hAnsi="Times New Roman" w:eastAsia="宋体" w:cs="Times New Roman"/>
                <w:color w:val="auto"/>
                <w:kern w:val="0"/>
                <w:szCs w:val="21"/>
                <w:highlight w:val="none"/>
                <w:lang w:bidi="ar"/>
              </w:rPr>
              <w:t>/</w:t>
            </w:r>
          </w:p>
        </w:tc>
        <w:tc>
          <w:tcPr>
            <w:tcW w:w="617" w:type="pct"/>
            <w:tcBorders>
              <w:tl2br w:val="nil"/>
              <w:tr2bl w:val="nil"/>
            </w:tcBorders>
            <w:noWrap w:val="0"/>
            <w:vAlign w:val="center"/>
          </w:tcPr>
          <w:p w14:paraId="25822107">
            <w:pPr>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bidi="ar"/>
              </w:rPr>
              <w:t>/</w:t>
            </w:r>
          </w:p>
        </w:tc>
        <w:tc>
          <w:tcPr>
            <w:tcW w:w="607" w:type="pct"/>
            <w:tcBorders>
              <w:tl2br w:val="nil"/>
              <w:tr2bl w:val="nil"/>
            </w:tcBorders>
            <w:noWrap w:val="0"/>
            <w:vAlign w:val="center"/>
          </w:tcPr>
          <w:p w14:paraId="7E4B95E8">
            <w:pPr>
              <w:jc w:val="center"/>
              <w:textAlignment w:val="center"/>
              <w:rPr>
                <w:rFonts w:hint="eastAsia" w:ascii="Times New Roman" w:hAnsi="Times New Roman" w:eastAsia="宋体" w:cs="Times New Roman"/>
                <w:color w:val="auto"/>
                <w:kern w:val="0"/>
                <w:sz w:val="21"/>
                <w:szCs w:val="20"/>
                <w:highlight w:val="none"/>
                <w:lang w:eastAsia="zh-CN"/>
              </w:rPr>
            </w:pPr>
            <w:r>
              <w:rPr>
                <w:rFonts w:hint="eastAsia" w:ascii="Times New Roman" w:hAnsi="Times New Roman" w:eastAsia="宋体" w:cs="Times New Roman"/>
                <w:color w:val="auto"/>
                <w:kern w:val="0"/>
                <w:sz w:val="21"/>
                <w:szCs w:val="20"/>
                <w:highlight w:val="none"/>
                <w:lang w:val="en-US" w:eastAsia="zh-CN"/>
              </w:rPr>
              <w:t>/</w:t>
            </w:r>
          </w:p>
        </w:tc>
      </w:tr>
      <w:tr w14:paraId="28A8C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703" w:type="pct"/>
            <w:tcBorders>
              <w:tl2br w:val="nil"/>
              <w:tr2bl w:val="nil"/>
            </w:tcBorders>
            <w:noWrap w:val="0"/>
            <w:vAlign w:val="center"/>
          </w:tcPr>
          <w:p w14:paraId="67DAA894">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bookmarkStart w:id="196" w:name="_Toc152922006"/>
            <w:bookmarkStart w:id="197" w:name="_Toc152922600"/>
            <w:bookmarkStart w:id="198" w:name="_Toc152923281"/>
            <w:bookmarkStart w:id="199" w:name="_Toc152921641"/>
            <w:r>
              <w:rPr>
                <w:rFonts w:hint="eastAsia" w:ascii="Times New Roman" w:hAnsi="Times New Roman" w:eastAsia="宋体" w:cs="Times New Roman"/>
                <w:color w:val="auto"/>
                <w:kern w:val="0"/>
                <w:sz w:val="21"/>
                <w:szCs w:val="20"/>
                <w:highlight w:val="none"/>
                <w:lang w:val="en-US" w:eastAsia="zh-CN" w:bidi="ar-SA"/>
              </w:rPr>
              <w:t>蒸汽</w:t>
            </w:r>
          </w:p>
        </w:tc>
        <w:tc>
          <w:tcPr>
            <w:tcW w:w="906" w:type="pct"/>
            <w:tcBorders>
              <w:tl2br w:val="nil"/>
              <w:tr2bl w:val="nil"/>
            </w:tcBorders>
            <w:noWrap w:val="0"/>
            <w:vAlign w:val="center"/>
          </w:tcPr>
          <w:p w14:paraId="2C28504E">
            <w:pPr>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bidi="ar"/>
              </w:rPr>
              <w:t>/</w:t>
            </w:r>
          </w:p>
        </w:tc>
        <w:tc>
          <w:tcPr>
            <w:tcW w:w="503" w:type="pct"/>
            <w:tcBorders>
              <w:tl2br w:val="nil"/>
              <w:tr2bl w:val="nil"/>
            </w:tcBorders>
            <w:noWrap w:val="0"/>
            <w:vAlign w:val="center"/>
          </w:tcPr>
          <w:p w14:paraId="4C1018B6">
            <w:pPr>
              <w:jc w:val="center"/>
              <w:textAlignment w:val="center"/>
              <w:rPr>
                <w:rFonts w:hint="eastAsia"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bidi="ar"/>
              </w:rPr>
              <w:t>/</w:t>
            </w:r>
          </w:p>
        </w:tc>
        <w:tc>
          <w:tcPr>
            <w:tcW w:w="510" w:type="pct"/>
            <w:tcBorders>
              <w:tl2br w:val="nil"/>
              <w:tr2bl w:val="nil"/>
            </w:tcBorders>
            <w:noWrap w:val="0"/>
            <w:vAlign w:val="center"/>
          </w:tcPr>
          <w:p w14:paraId="4B92B758">
            <w:pPr>
              <w:widowControl w:val="0"/>
              <w:spacing w:line="240" w:lineRule="auto"/>
              <w:ind w:firstLine="0" w:firstLineChars="0"/>
              <w:jc w:val="center"/>
              <w:textAlignment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15768t/a</w:t>
            </w:r>
          </w:p>
        </w:tc>
        <w:tc>
          <w:tcPr>
            <w:tcW w:w="585" w:type="pct"/>
            <w:tcBorders>
              <w:tl2br w:val="nil"/>
              <w:tr2bl w:val="nil"/>
            </w:tcBorders>
            <w:noWrap w:val="0"/>
            <w:vAlign w:val="center"/>
          </w:tcPr>
          <w:p w14:paraId="2D657CD5">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p>
        </w:tc>
        <w:tc>
          <w:tcPr>
            <w:tcW w:w="564" w:type="pct"/>
            <w:tcBorders>
              <w:tl2br w:val="nil"/>
              <w:tr2bl w:val="nil"/>
            </w:tcBorders>
            <w:noWrap w:val="0"/>
            <w:vAlign w:val="center"/>
          </w:tcPr>
          <w:p w14:paraId="007C7A9A">
            <w:pPr>
              <w:jc w:val="center"/>
              <w:textAlignment w:val="center"/>
              <w:rPr>
                <w:rFonts w:hint="eastAsia" w:ascii="Times New Roman" w:hAnsi="Times New Roman" w:eastAsia="宋体" w:cs="Times New Roman"/>
                <w:color w:val="auto"/>
                <w:kern w:val="0"/>
                <w:szCs w:val="21"/>
                <w:highlight w:val="none"/>
                <w:lang w:bidi="ar"/>
              </w:rPr>
            </w:pPr>
          </w:p>
        </w:tc>
        <w:tc>
          <w:tcPr>
            <w:tcW w:w="617" w:type="pct"/>
            <w:tcBorders>
              <w:tl2br w:val="nil"/>
              <w:tr2bl w:val="nil"/>
            </w:tcBorders>
            <w:noWrap w:val="0"/>
            <w:vAlign w:val="center"/>
          </w:tcPr>
          <w:p w14:paraId="01900EF0">
            <w:pPr>
              <w:jc w:val="center"/>
              <w:textAlignment w:val="center"/>
              <w:rPr>
                <w:rFonts w:hint="eastAsia" w:ascii="Times New Roman" w:hAnsi="Times New Roman" w:eastAsia="宋体" w:cs="Times New Roman"/>
                <w:color w:val="auto"/>
                <w:kern w:val="0"/>
                <w:szCs w:val="21"/>
                <w:highlight w:val="none"/>
                <w:lang w:bidi="ar"/>
              </w:rPr>
            </w:pPr>
          </w:p>
        </w:tc>
        <w:tc>
          <w:tcPr>
            <w:tcW w:w="607" w:type="pct"/>
            <w:tcBorders>
              <w:tl2br w:val="nil"/>
              <w:tr2bl w:val="nil"/>
            </w:tcBorders>
            <w:noWrap w:val="0"/>
            <w:vAlign w:val="center"/>
          </w:tcPr>
          <w:p w14:paraId="7549CD10">
            <w:pPr>
              <w:jc w:val="center"/>
              <w:textAlignment w:val="center"/>
              <w:rPr>
                <w:rFonts w:hint="default" w:ascii="Times New Roman" w:hAnsi="Times New Roman" w:eastAsia="宋体" w:cs="Times New Roman"/>
                <w:color w:val="auto"/>
                <w:kern w:val="0"/>
                <w:sz w:val="21"/>
                <w:szCs w:val="20"/>
                <w:highlight w:val="none"/>
                <w:lang w:val="en-US" w:eastAsia="zh-CN"/>
              </w:rPr>
            </w:pPr>
            <w:r>
              <w:rPr>
                <w:rFonts w:hint="eastAsia" w:ascii="Times New Roman" w:hAnsi="Times New Roman" w:eastAsia="宋体" w:cs="Times New Roman"/>
                <w:color w:val="auto"/>
                <w:kern w:val="0"/>
                <w:sz w:val="21"/>
                <w:szCs w:val="20"/>
                <w:highlight w:val="none"/>
                <w:lang w:val="en-US" w:eastAsia="zh-CN"/>
              </w:rPr>
              <w:t>蒸汽发生器自制</w:t>
            </w:r>
          </w:p>
        </w:tc>
      </w:tr>
    </w:tbl>
    <w:p w14:paraId="13FB0977">
      <w:pPr>
        <w:snapToGrid w:val="0"/>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注：加油站一般站内按照油品销售3~5天来设计储罐的容积，考虑周边运输车辆车型，柴油按照暂存3天设计一个储罐，汽油按照5天两个储罐来设计。</w:t>
      </w:r>
    </w:p>
    <w:p w14:paraId="7836D3FC">
      <w:pPr>
        <w:pStyle w:val="5"/>
        <w:rPr>
          <w:color w:val="auto"/>
          <w:highlight w:val="none"/>
        </w:rPr>
      </w:pPr>
      <w:r>
        <w:rPr>
          <w:color w:val="auto"/>
          <w:highlight w:val="none"/>
        </w:rPr>
        <w:t>3.</w:t>
      </w:r>
      <w:r>
        <w:rPr>
          <w:rFonts w:hint="eastAsia"/>
          <w:color w:val="auto"/>
          <w:highlight w:val="none"/>
          <w:lang w:val="en-US" w:eastAsia="zh-CN"/>
        </w:rPr>
        <w:t>1</w:t>
      </w:r>
      <w:r>
        <w:rPr>
          <w:color w:val="auto"/>
          <w:highlight w:val="none"/>
        </w:rPr>
        <w:t>.5.2原辅材料理化性质</w:t>
      </w:r>
      <w:bookmarkEnd w:id="196"/>
      <w:bookmarkEnd w:id="197"/>
      <w:bookmarkEnd w:id="198"/>
      <w:bookmarkEnd w:id="199"/>
    </w:p>
    <w:p w14:paraId="1D75ADDB">
      <w:pPr>
        <w:snapToGrid w:val="0"/>
        <w:spacing w:line="360" w:lineRule="auto"/>
        <w:ind w:firstLine="480" w:firstLineChars="200"/>
        <w:jc w:val="left"/>
        <w:rPr>
          <w:rFonts w:ascii="Times New Roman" w:hAnsi="Times New Roman" w:eastAsia="宋体"/>
          <w:color w:val="auto"/>
          <w:sz w:val="24"/>
          <w:highlight w:val="none"/>
        </w:rPr>
      </w:pPr>
      <w:r>
        <w:rPr>
          <w:rFonts w:ascii="Times New Roman" w:hAnsi="Times New Roman" w:eastAsia="宋体"/>
          <w:color w:val="auto"/>
          <w:sz w:val="24"/>
          <w:highlight w:val="none"/>
        </w:rPr>
        <w:t>本项目主要原辅材料理化性质及毒理特性见表3.</w:t>
      </w:r>
      <w:r>
        <w:rPr>
          <w:rFonts w:hint="eastAsia" w:ascii="Times New Roman" w:hAnsi="Times New Roman" w:eastAsia="宋体"/>
          <w:color w:val="auto"/>
          <w:sz w:val="24"/>
          <w:highlight w:val="none"/>
          <w:lang w:val="en-US" w:eastAsia="zh-CN"/>
        </w:rPr>
        <w:t>1</w:t>
      </w:r>
      <w:r>
        <w:rPr>
          <w:rFonts w:ascii="Times New Roman" w:hAnsi="Times New Roman" w:eastAsia="宋体"/>
          <w:color w:val="auto"/>
          <w:sz w:val="24"/>
          <w:highlight w:val="none"/>
        </w:rPr>
        <w:t>.5-</w:t>
      </w:r>
      <w:r>
        <w:rPr>
          <w:rFonts w:hint="eastAsia" w:ascii="Times New Roman" w:hAnsi="Times New Roman" w:eastAsia="宋体"/>
          <w:color w:val="auto"/>
          <w:sz w:val="24"/>
          <w:highlight w:val="none"/>
        </w:rPr>
        <w:t>2</w:t>
      </w:r>
      <w:r>
        <w:rPr>
          <w:rFonts w:ascii="Times New Roman" w:hAnsi="Times New Roman" w:eastAsia="宋体"/>
          <w:color w:val="auto"/>
          <w:sz w:val="24"/>
          <w:highlight w:val="none"/>
        </w:rPr>
        <w:t>。</w:t>
      </w:r>
    </w:p>
    <w:p w14:paraId="1AB9DD1E">
      <w:pPr>
        <w:snapToGrid w:val="0"/>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表3.</w:t>
      </w:r>
      <w:r>
        <w:rPr>
          <w:rFonts w:hint="eastAsia" w:ascii="Times New Roman" w:hAnsi="Times New Roman" w:eastAsia="宋体"/>
          <w:b/>
          <w:color w:val="auto"/>
          <w:sz w:val="24"/>
          <w:highlight w:val="none"/>
          <w:lang w:val="en-US" w:eastAsia="zh-CN"/>
        </w:rPr>
        <w:t>1</w:t>
      </w:r>
      <w:r>
        <w:rPr>
          <w:rFonts w:ascii="Times New Roman" w:hAnsi="Times New Roman" w:eastAsia="宋体"/>
          <w:b/>
          <w:color w:val="auto"/>
          <w:sz w:val="24"/>
          <w:highlight w:val="none"/>
        </w:rPr>
        <w:t>.5-</w:t>
      </w:r>
      <w:r>
        <w:rPr>
          <w:rFonts w:hint="eastAsia" w:ascii="Times New Roman" w:hAnsi="Times New Roman" w:eastAsia="宋体"/>
          <w:b/>
          <w:color w:val="auto"/>
          <w:sz w:val="24"/>
          <w:highlight w:val="none"/>
        </w:rPr>
        <w:t>2</w:t>
      </w:r>
      <w:r>
        <w:rPr>
          <w:rFonts w:hint="eastAsia"/>
          <w:b/>
          <w:color w:val="auto"/>
          <w:sz w:val="24"/>
          <w:highlight w:val="none"/>
          <w:lang w:val="en-US" w:eastAsia="zh-CN"/>
        </w:rPr>
        <w:t xml:space="preserve">  </w:t>
      </w:r>
      <w:r>
        <w:rPr>
          <w:rFonts w:ascii="Times New Roman" w:hAnsi="Times New Roman" w:eastAsia="宋体"/>
          <w:b/>
          <w:color w:val="auto"/>
          <w:sz w:val="24"/>
          <w:highlight w:val="none"/>
        </w:rPr>
        <w:t>本项目主要原辅材料理化性质及毒理特性</w:t>
      </w:r>
    </w:p>
    <w:tbl>
      <w:tblPr>
        <w:tblStyle w:val="49"/>
        <w:tblW w:w="874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45"/>
        <w:gridCol w:w="1206"/>
        <w:gridCol w:w="4470"/>
        <w:gridCol w:w="2524"/>
      </w:tblGrid>
      <w:tr w14:paraId="57DBFB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jc w:val="center"/>
        </w:trPr>
        <w:tc>
          <w:tcPr>
            <w:tcW w:w="545" w:type="dxa"/>
            <w:tcBorders>
              <w:tl2br w:val="nil"/>
              <w:tr2bl w:val="nil"/>
            </w:tcBorders>
            <w:noWrap w:val="0"/>
            <w:vAlign w:val="center"/>
          </w:tcPr>
          <w:p w14:paraId="12716281">
            <w:pPr>
              <w:widowControl/>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序号</w:t>
            </w:r>
          </w:p>
        </w:tc>
        <w:tc>
          <w:tcPr>
            <w:tcW w:w="1206" w:type="dxa"/>
            <w:tcBorders>
              <w:tl2br w:val="nil"/>
              <w:tr2bl w:val="nil"/>
            </w:tcBorders>
            <w:noWrap w:val="0"/>
            <w:vAlign w:val="center"/>
          </w:tcPr>
          <w:p w14:paraId="723F460A">
            <w:pPr>
              <w:widowControl/>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名称</w:t>
            </w:r>
          </w:p>
        </w:tc>
        <w:tc>
          <w:tcPr>
            <w:tcW w:w="4470" w:type="dxa"/>
            <w:tcBorders>
              <w:tl2br w:val="nil"/>
              <w:tr2bl w:val="nil"/>
            </w:tcBorders>
            <w:noWrap w:val="0"/>
            <w:vAlign w:val="center"/>
          </w:tcPr>
          <w:p w14:paraId="3EFFB3A5">
            <w:pPr>
              <w:widowControl/>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理化性质</w:t>
            </w:r>
          </w:p>
        </w:tc>
        <w:tc>
          <w:tcPr>
            <w:tcW w:w="2524" w:type="dxa"/>
            <w:tcBorders>
              <w:tl2br w:val="nil"/>
              <w:tr2bl w:val="nil"/>
            </w:tcBorders>
            <w:noWrap w:val="0"/>
            <w:vAlign w:val="center"/>
          </w:tcPr>
          <w:p w14:paraId="2FC65F46">
            <w:pPr>
              <w:widowControl/>
              <w:snapToGrid w:val="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毒性毒理</w:t>
            </w:r>
          </w:p>
        </w:tc>
      </w:tr>
      <w:tr w14:paraId="07C499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4" w:hRule="atLeast"/>
          <w:jc w:val="center"/>
        </w:trPr>
        <w:tc>
          <w:tcPr>
            <w:tcW w:w="545" w:type="dxa"/>
            <w:tcBorders>
              <w:tl2br w:val="nil"/>
              <w:tr2bl w:val="nil"/>
            </w:tcBorders>
            <w:noWrap w:val="0"/>
            <w:vAlign w:val="center"/>
          </w:tcPr>
          <w:p w14:paraId="67310296">
            <w:pPr>
              <w:widowControl/>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1</w:t>
            </w:r>
          </w:p>
        </w:tc>
        <w:tc>
          <w:tcPr>
            <w:tcW w:w="1206" w:type="dxa"/>
            <w:tcBorders>
              <w:tl2br w:val="nil"/>
              <w:tr2bl w:val="nil"/>
            </w:tcBorders>
            <w:noWrap w:val="0"/>
            <w:vAlign w:val="center"/>
          </w:tcPr>
          <w:p w14:paraId="3C0DA6C9">
            <w:pPr>
              <w:pStyle w:val="5"/>
              <w:spacing w:line="240" w:lineRule="auto"/>
              <w:jc w:val="center"/>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沼气</w:t>
            </w:r>
          </w:p>
        </w:tc>
        <w:tc>
          <w:tcPr>
            <w:tcW w:w="4470" w:type="dxa"/>
            <w:tcBorders>
              <w:tl2br w:val="nil"/>
              <w:tr2bl w:val="nil"/>
            </w:tcBorders>
            <w:noWrap w:val="0"/>
            <w:vAlign w:val="center"/>
          </w:tcPr>
          <w:p w14:paraId="25BE8FF0">
            <w:pPr>
              <w:jc w:val="center"/>
              <w:textAlignment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本项目所使用沼气为外购净化沼气，甲烷体积比＞98%，净化后相对密度（空气=1）：约0.55-0.7；低位热值（LHV）：约30-38MJ/Nm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，甲烷爆炸极限：5%-15%（体积分数）。</w:t>
            </w:r>
          </w:p>
        </w:tc>
        <w:tc>
          <w:tcPr>
            <w:tcW w:w="2524" w:type="dxa"/>
            <w:tcBorders>
              <w:tl2br w:val="nil"/>
              <w:tr2bl w:val="nil"/>
            </w:tcBorders>
            <w:noWrap w:val="0"/>
            <w:vAlign w:val="center"/>
          </w:tcPr>
          <w:p w14:paraId="393E780E">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CH₄：无毒但窒息性（高浓度排挤氧气，导致缺氧）。</w:t>
            </w:r>
          </w:p>
        </w:tc>
      </w:tr>
      <w:tr w14:paraId="5C39DE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45" w:type="dxa"/>
            <w:tcBorders>
              <w:tl2br w:val="nil"/>
              <w:tr2bl w:val="nil"/>
            </w:tcBorders>
            <w:noWrap w:val="0"/>
            <w:vAlign w:val="center"/>
          </w:tcPr>
          <w:p w14:paraId="282367FC">
            <w:pPr>
              <w:widowControl/>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2</w:t>
            </w:r>
          </w:p>
        </w:tc>
        <w:tc>
          <w:tcPr>
            <w:tcW w:w="1206" w:type="dxa"/>
            <w:tcBorders>
              <w:tl2br w:val="nil"/>
              <w:tr2bl w:val="nil"/>
            </w:tcBorders>
            <w:noWrap w:val="0"/>
            <w:vAlign w:val="center"/>
          </w:tcPr>
          <w:p w14:paraId="54759604">
            <w:pPr>
              <w:pStyle w:val="5"/>
              <w:spacing w:line="240" w:lineRule="auto"/>
              <w:jc w:val="center"/>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氧化锌</w:t>
            </w:r>
          </w:p>
        </w:tc>
        <w:tc>
          <w:tcPr>
            <w:tcW w:w="4470" w:type="dxa"/>
            <w:tcBorders>
              <w:tl2br w:val="nil"/>
              <w:tr2bl w:val="nil"/>
            </w:tcBorders>
            <w:noWrap w:val="0"/>
            <w:vAlign w:val="center"/>
          </w:tcPr>
          <w:p w14:paraId="1CB08EE3">
            <w:pPr>
              <w:jc w:val="center"/>
              <w:textAlignment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白色</w:t>
            </w:r>
            <w:r>
              <w:rPr>
                <w:rFonts w:hint="eastAsia" w:cs="Times New Roman"/>
                <w:color w:val="auto"/>
                <w:kern w:val="0"/>
                <w:sz w:val="21"/>
                <w:szCs w:val="21"/>
                <w:highlight w:val="none"/>
                <w:lang w:val="en-US" w:eastAsia="zh-CN"/>
              </w:rPr>
              <w:t>结晶体</w:t>
            </w:r>
            <w:r>
              <w:rPr>
                <w:rFonts w:hint="default" w:ascii="Times New Roman" w:hAnsi="Times New Roman" w:eastAsia="宋体" w:cs="Times New Roman"/>
                <w:color w:val="auto"/>
                <w:kern w:val="0"/>
                <w:sz w:val="21"/>
                <w:szCs w:val="21"/>
                <w:highlight w:val="none"/>
                <w:lang w:val="en-US" w:eastAsia="zh-CN"/>
              </w:rPr>
              <w:t>或粉末，属六角</w:t>
            </w:r>
            <w:r>
              <w:rPr>
                <w:rFonts w:hint="eastAsia" w:cs="Times New Roman"/>
                <w:color w:val="auto"/>
                <w:kern w:val="0"/>
                <w:sz w:val="21"/>
                <w:szCs w:val="21"/>
                <w:highlight w:val="none"/>
                <w:lang w:val="en-US" w:eastAsia="zh-CN"/>
              </w:rPr>
              <w:t>晶系</w:t>
            </w:r>
            <w:r>
              <w:rPr>
                <w:rFonts w:hint="default" w:ascii="Times New Roman" w:hAnsi="Times New Roman" w:eastAsia="宋体" w:cs="Times New Roman"/>
                <w:color w:val="auto"/>
                <w:kern w:val="0"/>
                <w:sz w:val="21"/>
                <w:szCs w:val="21"/>
                <w:highlight w:val="none"/>
                <w:lang w:val="en-US" w:eastAsia="zh-CN"/>
              </w:rPr>
              <w:t>。无臭、无毒、无砂性、质细腻。密度5.606g/cm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，折射率2.0041，1800C升华，熔点1907℃。稳定性：常温下化学性质稳定，耐酸碱腐蚀（但强酸、强碱可溶解）；高温下易与氧反应生成ZnO（自身为氧化物，高温抗氧化）。</w:t>
            </w:r>
          </w:p>
        </w:tc>
        <w:tc>
          <w:tcPr>
            <w:tcW w:w="2524" w:type="dxa"/>
            <w:tcBorders>
              <w:tl2br w:val="nil"/>
              <w:tr2bl w:val="nil"/>
            </w:tcBorders>
            <w:noWrap w:val="0"/>
            <w:vAlign w:val="center"/>
          </w:tcPr>
          <w:p w14:paraId="28F268EA">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低毒，LD</w:t>
            </w:r>
            <w:r>
              <w:rPr>
                <w:rFonts w:hint="default" w:ascii="Times New Roman" w:hAnsi="Times New Roman" w:eastAsia="宋体" w:cs="Times New Roman"/>
                <w:color w:val="auto"/>
                <w:kern w:val="0"/>
                <w:sz w:val="21"/>
                <w:szCs w:val="21"/>
                <w:highlight w:val="none"/>
                <w:vertAlign w:val="subscript"/>
                <w:lang w:val="en-US" w:eastAsia="zh-CN"/>
              </w:rPr>
              <w:t>50</w:t>
            </w:r>
            <w:r>
              <w:rPr>
                <w:rFonts w:hint="default" w:ascii="Times New Roman" w:hAnsi="Times New Roman" w:eastAsia="宋体" w:cs="Times New Roman"/>
                <w:color w:val="auto"/>
                <w:kern w:val="0"/>
                <w:sz w:val="21"/>
                <w:szCs w:val="21"/>
                <w:highlight w:val="none"/>
                <w:lang w:val="en-US" w:eastAsia="zh-CN"/>
              </w:rPr>
              <w:t>（大鼠口服）约2400mg/kg</w:t>
            </w:r>
          </w:p>
        </w:tc>
      </w:tr>
      <w:tr w14:paraId="5EB9B5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45" w:type="dxa"/>
            <w:tcBorders>
              <w:tl2br w:val="nil"/>
              <w:tr2bl w:val="nil"/>
            </w:tcBorders>
            <w:noWrap w:val="0"/>
            <w:vAlign w:val="center"/>
          </w:tcPr>
          <w:p w14:paraId="618CEC05">
            <w:pPr>
              <w:widowControl/>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3</w:t>
            </w:r>
          </w:p>
        </w:tc>
        <w:tc>
          <w:tcPr>
            <w:tcW w:w="1206" w:type="dxa"/>
            <w:tcBorders>
              <w:tl2br w:val="nil"/>
              <w:tr2bl w:val="nil"/>
            </w:tcBorders>
            <w:noWrap w:val="0"/>
            <w:vAlign w:val="center"/>
          </w:tcPr>
          <w:p w14:paraId="6FAC8398">
            <w:pPr>
              <w:pStyle w:val="5"/>
              <w:spacing w:line="240" w:lineRule="auto"/>
              <w:jc w:val="center"/>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color w:val="auto"/>
                <w:sz w:val="21"/>
                <w:szCs w:val="21"/>
                <w:highlight w:val="none"/>
                <w:lang w:val="en-US" w:eastAsia="zh-CN"/>
              </w:rPr>
              <w:t>转化催化剂（NiO）</w:t>
            </w:r>
          </w:p>
        </w:tc>
        <w:tc>
          <w:tcPr>
            <w:tcW w:w="4470" w:type="dxa"/>
            <w:tcBorders>
              <w:tl2br w:val="nil"/>
              <w:tr2bl w:val="nil"/>
            </w:tcBorders>
            <w:noWrap w:val="0"/>
            <w:vAlign w:val="center"/>
          </w:tcPr>
          <w:p w14:paraId="7CD33A77">
            <w:pPr>
              <w:widowControl/>
              <w:snapToGrid w:val="0"/>
              <w:jc w:val="center"/>
              <w:rPr>
                <w:rFonts w:hint="default" w:ascii="Times New Roman" w:hAnsi="Times New Roman" w:eastAsia="宋体" w:cs="Times New Roman"/>
                <w:color w:val="auto"/>
                <w:kern w:val="0"/>
                <w:sz w:val="21"/>
                <w:szCs w:val="21"/>
                <w:highlight w:val="none"/>
                <w:lang w:val="en-US"/>
              </w:rPr>
            </w:pPr>
            <w:r>
              <w:rPr>
                <w:rFonts w:hint="eastAsia" w:ascii="Times New Roman" w:hAnsi="Times New Roman" w:eastAsia="宋体" w:cs="Times New Roman"/>
                <w:color w:val="auto"/>
                <w:kern w:val="0"/>
                <w:sz w:val="21"/>
                <w:szCs w:val="21"/>
                <w:highlight w:val="none"/>
                <w:lang w:val="en-US" w:eastAsia="zh-CN"/>
              </w:rPr>
              <w:t>氧化</w:t>
            </w:r>
            <w:r>
              <w:rPr>
                <w:rFonts w:hint="default" w:ascii="Times New Roman" w:hAnsi="Times New Roman" w:eastAsia="宋体" w:cs="Times New Roman"/>
                <w:color w:val="auto"/>
                <w:kern w:val="0"/>
                <w:sz w:val="21"/>
                <w:szCs w:val="21"/>
                <w:highlight w:val="none"/>
                <w:lang w:eastAsia="zh-CN"/>
              </w:rPr>
              <w:t>镍为绿色粉末状固体。熔点为1980±20℃。密度为6.67g/cm</w:t>
            </w:r>
            <w:r>
              <w:rPr>
                <w:rFonts w:hint="default" w:ascii="Times New Roman" w:hAnsi="Times New Roman" w:eastAsia="宋体" w:cs="Times New Roman"/>
                <w:color w:val="auto"/>
                <w:kern w:val="0"/>
                <w:sz w:val="21"/>
                <w:szCs w:val="21"/>
                <w:highlight w:val="none"/>
                <w:vertAlign w:val="superscript"/>
                <w:lang w:eastAsia="zh-CN"/>
              </w:rPr>
              <w:t>3</w:t>
            </w:r>
            <w:r>
              <w:rPr>
                <w:rFonts w:hint="default" w:ascii="Times New Roman" w:hAnsi="Times New Roman" w:eastAsia="宋体" w:cs="Times New Roman"/>
                <w:color w:val="auto"/>
                <w:kern w:val="0"/>
                <w:sz w:val="21"/>
                <w:szCs w:val="21"/>
                <w:highlight w:val="none"/>
                <w:lang w:eastAsia="zh-CN"/>
              </w:rPr>
              <w:t>。稳定性：常温下化学性质稳定，耐稀酸、稀碱腐蚀（但强酸、强碱可溶解）；高温下易与氧反应生成NiO（自身为氧化物，高温抗氧化）。酸碱性：碱性氧化物：易溶于酸生成镍盐（如NiCl₂），不溶于碱。不溶于水，不溶于碱液，为碱性氧化物，溶于酸和氨水。</w:t>
            </w:r>
          </w:p>
        </w:tc>
        <w:tc>
          <w:tcPr>
            <w:tcW w:w="2524" w:type="dxa"/>
            <w:tcBorders>
              <w:tl2br w:val="nil"/>
              <w:tr2bl w:val="nil"/>
            </w:tcBorders>
            <w:noWrap w:val="0"/>
            <w:vAlign w:val="center"/>
          </w:tcPr>
          <w:p w14:paraId="599E5D37">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低毒，LD</w:t>
            </w:r>
            <w:r>
              <w:rPr>
                <w:rFonts w:hint="default" w:ascii="Times New Roman" w:hAnsi="Times New Roman" w:eastAsia="宋体" w:cs="Times New Roman"/>
                <w:color w:val="auto"/>
                <w:kern w:val="0"/>
                <w:sz w:val="21"/>
                <w:szCs w:val="21"/>
                <w:highlight w:val="none"/>
                <w:vertAlign w:val="subscript"/>
                <w:lang w:val="en-US" w:eastAsia="zh-CN"/>
              </w:rPr>
              <w:t>50</w:t>
            </w:r>
            <w:r>
              <w:rPr>
                <w:rFonts w:hint="default" w:ascii="Times New Roman" w:hAnsi="Times New Roman" w:eastAsia="宋体" w:cs="Times New Roman"/>
                <w:color w:val="auto"/>
                <w:kern w:val="0"/>
                <w:sz w:val="21"/>
                <w:szCs w:val="21"/>
                <w:highlight w:val="none"/>
                <w:lang w:val="en-US" w:eastAsia="zh-CN"/>
              </w:rPr>
              <w:t>（大鼠口服）约10000mg/kg</w:t>
            </w:r>
          </w:p>
        </w:tc>
      </w:tr>
      <w:tr w14:paraId="3E9DFC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45" w:type="dxa"/>
            <w:tcBorders>
              <w:tl2br w:val="nil"/>
              <w:tr2bl w:val="nil"/>
            </w:tcBorders>
            <w:noWrap w:val="0"/>
            <w:vAlign w:val="center"/>
          </w:tcPr>
          <w:p w14:paraId="62B24723">
            <w:pPr>
              <w:widowControl/>
              <w:snapToGrid w:val="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4</w:t>
            </w:r>
          </w:p>
        </w:tc>
        <w:tc>
          <w:tcPr>
            <w:tcW w:w="1206" w:type="dxa"/>
            <w:tcBorders>
              <w:tl2br w:val="nil"/>
              <w:tr2bl w:val="nil"/>
            </w:tcBorders>
            <w:noWrap w:val="0"/>
            <w:vAlign w:val="center"/>
          </w:tcPr>
          <w:p w14:paraId="496E338A">
            <w:pPr>
              <w:pStyle w:val="5"/>
              <w:spacing w:line="240" w:lineRule="auto"/>
              <w:jc w:val="center"/>
              <w:rPr>
                <w:rFonts w:hint="default" w:ascii="Times New Roman" w:hAnsi="Times New Roman" w:cs="Times New Roman"/>
                <w:b w:val="0"/>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中变催化剂（</w:t>
            </w:r>
            <w:r>
              <w:rPr>
                <w:rFonts w:hint="default" w:ascii="Times New Roman" w:hAnsi="Times New Roman" w:eastAsia="宋体" w:cs="Times New Roman"/>
                <w:b w:val="0"/>
                <w:bCs/>
                <w:color w:val="auto"/>
                <w:kern w:val="0"/>
                <w:sz w:val="21"/>
                <w:szCs w:val="21"/>
                <w:highlight w:val="none"/>
                <w:lang w:val="en-US" w:eastAsia="zh-CN"/>
              </w:rPr>
              <w:t>Fe</w:t>
            </w:r>
            <w:r>
              <w:rPr>
                <w:rFonts w:hint="default" w:ascii="Times New Roman" w:hAnsi="Times New Roman" w:eastAsia="宋体" w:cs="Times New Roman"/>
                <w:b w:val="0"/>
                <w:bCs/>
                <w:color w:val="auto"/>
                <w:kern w:val="0"/>
                <w:sz w:val="21"/>
                <w:szCs w:val="21"/>
                <w:highlight w:val="none"/>
                <w:vertAlign w:val="subscript"/>
                <w:lang w:val="en-US" w:eastAsia="zh-CN"/>
              </w:rPr>
              <w:t>2</w:t>
            </w:r>
            <w:r>
              <w:rPr>
                <w:rFonts w:hint="default" w:ascii="Times New Roman" w:hAnsi="Times New Roman" w:eastAsia="宋体" w:cs="Times New Roman"/>
                <w:b w:val="0"/>
                <w:bCs/>
                <w:color w:val="auto"/>
                <w:kern w:val="0"/>
                <w:sz w:val="21"/>
                <w:szCs w:val="21"/>
                <w:highlight w:val="none"/>
                <w:lang w:val="en-US" w:eastAsia="zh-CN"/>
              </w:rPr>
              <w:t>O</w:t>
            </w:r>
            <w:r>
              <w:rPr>
                <w:rFonts w:hint="default" w:ascii="Times New Roman" w:hAnsi="Times New Roman" w:eastAsia="宋体" w:cs="Times New Roman"/>
                <w:b w:val="0"/>
                <w:bCs/>
                <w:color w:val="auto"/>
                <w:kern w:val="0"/>
                <w:sz w:val="21"/>
                <w:szCs w:val="21"/>
                <w:highlight w:val="none"/>
                <w:vertAlign w:val="subscript"/>
                <w:lang w:val="en-US" w:eastAsia="zh-CN"/>
              </w:rPr>
              <w:t>3、</w:t>
            </w:r>
            <w:r>
              <w:rPr>
                <w:rFonts w:hint="default" w:ascii="Times New Roman" w:hAnsi="Times New Roman" w:eastAsia="宋体" w:cs="Times New Roman"/>
                <w:b w:val="0"/>
                <w:bCs/>
                <w:color w:val="auto"/>
                <w:kern w:val="0"/>
                <w:sz w:val="21"/>
                <w:szCs w:val="21"/>
                <w:highlight w:val="none"/>
                <w:lang w:val="en-US" w:eastAsia="zh-CN"/>
              </w:rPr>
              <w:t>Cr</w:t>
            </w:r>
            <w:r>
              <w:rPr>
                <w:rFonts w:hint="default" w:ascii="Times New Roman" w:hAnsi="Times New Roman" w:eastAsia="宋体" w:cs="Times New Roman"/>
                <w:b w:val="0"/>
                <w:bCs/>
                <w:color w:val="auto"/>
                <w:kern w:val="0"/>
                <w:sz w:val="21"/>
                <w:szCs w:val="21"/>
                <w:highlight w:val="none"/>
                <w:vertAlign w:val="subscript"/>
                <w:lang w:val="en-US" w:eastAsia="zh-CN"/>
              </w:rPr>
              <w:t>2</w:t>
            </w:r>
            <w:r>
              <w:rPr>
                <w:rFonts w:hint="default" w:ascii="Times New Roman" w:hAnsi="Times New Roman" w:eastAsia="宋体" w:cs="Times New Roman"/>
                <w:b w:val="0"/>
                <w:bCs/>
                <w:color w:val="auto"/>
                <w:kern w:val="0"/>
                <w:sz w:val="21"/>
                <w:szCs w:val="21"/>
                <w:highlight w:val="none"/>
                <w:lang w:val="en-US" w:eastAsia="zh-CN"/>
              </w:rPr>
              <w:t>O</w:t>
            </w:r>
            <w:r>
              <w:rPr>
                <w:rFonts w:hint="default" w:ascii="Times New Roman" w:hAnsi="Times New Roman" w:eastAsia="宋体" w:cs="Times New Roman"/>
                <w:b w:val="0"/>
                <w:bCs/>
                <w:color w:val="auto"/>
                <w:kern w:val="0"/>
                <w:sz w:val="21"/>
                <w:szCs w:val="21"/>
                <w:highlight w:val="none"/>
                <w:vertAlign w:val="subscript"/>
                <w:lang w:val="en-US" w:eastAsia="zh-CN"/>
              </w:rPr>
              <w:t>3</w:t>
            </w:r>
            <w:r>
              <w:rPr>
                <w:rFonts w:hint="default" w:ascii="Times New Roman" w:hAnsi="Times New Roman" w:cs="Times New Roman"/>
                <w:b w:val="0"/>
                <w:bCs/>
                <w:color w:val="auto"/>
                <w:sz w:val="21"/>
                <w:szCs w:val="21"/>
                <w:highlight w:val="none"/>
                <w:lang w:val="en-US" w:eastAsia="zh-CN"/>
              </w:rPr>
              <w:t>）</w:t>
            </w:r>
          </w:p>
        </w:tc>
        <w:tc>
          <w:tcPr>
            <w:tcW w:w="4470" w:type="dxa"/>
            <w:tcBorders>
              <w:tl2br w:val="nil"/>
              <w:tr2bl w:val="nil"/>
            </w:tcBorders>
            <w:noWrap w:val="0"/>
            <w:vAlign w:val="center"/>
          </w:tcPr>
          <w:p w14:paraId="185912FE">
            <w:pPr>
              <w:widowControl/>
              <w:snapToGrid w:val="0"/>
              <w:jc w:val="left"/>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本项目所使用中变催化剂Fe-Cr系中变催化剂主要使用少量</w:t>
            </w:r>
            <w:r>
              <w:rPr>
                <w:rFonts w:hint="default" w:ascii="Times New Roman" w:hAnsi="Times New Roman" w:eastAsia="宋体" w:cs="Times New Roman"/>
                <w:b w:val="0"/>
                <w:bCs/>
                <w:color w:val="auto"/>
                <w:kern w:val="0"/>
                <w:sz w:val="21"/>
                <w:szCs w:val="21"/>
                <w:highlight w:val="none"/>
                <w:lang w:val="en-US" w:eastAsia="zh-CN"/>
              </w:rPr>
              <w:t>Cr</w:t>
            </w:r>
            <w:r>
              <w:rPr>
                <w:rFonts w:hint="default" w:ascii="Times New Roman" w:hAnsi="Times New Roman" w:eastAsia="宋体" w:cs="Times New Roman"/>
                <w:b w:val="0"/>
                <w:bCs/>
                <w:color w:val="auto"/>
                <w:kern w:val="0"/>
                <w:sz w:val="21"/>
                <w:szCs w:val="21"/>
                <w:highlight w:val="none"/>
                <w:vertAlign w:val="subscript"/>
                <w:lang w:val="en-US" w:eastAsia="zh-CN"/>
              </w:rPr>
              <w:t>2</w:t>
            </w:r>
            <w:r>
              <w:rPr>
                <w:rFonts w:hint="default" w:ascii="Times New Roman" w:hAnsi="Times New Roman" w:eastAsia="宋体" w:cs="Times New Roman"/>
                <w:b w:val="0"/>
                <w:bCs/>
                <w:color w:val="auto"/>
                <w:kern w:val="0"/>
                <w:sz w:val="21"/>
                <w:szCs w:val="21"/>
                <w:highlight w:val="none"/>
                <w:lang w:val="en-US" w:eastAsia="zh-CN"/>
              </w:rPr>
              <w:t>O</w:t>
            </w:r>
            <w:r>
              <w:rPr>
                <w:rFonts w:hint="default" w:ascii="Times New Roman" w:hAnsi="Times New Roman" w:eastAsia="宋体" w:cs="Times New Roman"/>
                <w:b w:val="0"/>
                <w:bCs/>
                <w:color w:val="auto"/>
                <w:kern w:val="0"/>
                <w:sz w:val="21"/>
                <w:szCs w:val="21"/>
                <w:highlight w:val="none"/>
                <w:vertAlign w:val="subscript"/>
                <w:lang w:val="en-US" w:eastAsia="zh-CN"/>
              </w:rPr>
              <w:t>3</w:t>
            </w:r>
            <w:r>
              <w:rPr>
                <w:rFonts w:hint="default" w:ascii="Times New Roman" w:hAnsi="Times New Roman" w:eastAsia="宋体" w:cs="Times New Roman"/>
                <w:b w:val="0"/>
                <w:bCs/>
                <w:color w:val="auto"/>
                <w:kern w:val="0"/>
                <w:sz w:val="21"/>
                <w:szCs w:val="21"/>
                <w:highlight w:val="none"/>
                <w:vertAlign w:val="baseline"/>
                <w:lang w:val="en-US" w:eastAsia="zh-CN"/>
              </w:rPr>
              <w:t>掺入</w:t>
            </w:r>
            <w:r>
              <w:rPr>
                <w:rFonts w:hint="default" w:ascii="Times New Roman" w:hAnsi="Times New Roman" w:eastAsia="宋体" w:cs="Times New Roman"/>
                <w:b w:val="0"/>
                <w:bCs/>
                <w:color w:val="auto"/>
                <w:kern w:val="0"/>
                <w:sz w:val="21"/>
                <w:szCs w:val="21"/>
                <w:highlight w:val="none"/>
                <w:lang w:val="en-US" w:eastAsia="zh-CN"/>
              </w:rPr>
              <w:t>Fe</w:t>
            </w:r>
            <w:r>
              <w:rPr>
                <w:rFonts w:hint="default" w:ascii="Times New Roman" w:hAnsi="Times New Roman" w:eastAsia="宋体" w:cs="Times New Roman"/>
                <w:b w:val="0"/>
                <w:bCs/>
                <w:color w:val="auto"/>
                <w:kern w:val="0"/>
                <w:sz w:val="21"/>
                <w:szCs w:val="21"/>
                <w:highlight w:val="none"/>
                <w:vertAlign w:val="subscript"/>
                <w:lang w:val="en-US" w:eastAsia="zh-CN"/>
              </w:rPr>
              <w:t>2</w:t>
            </w:r>
            <w:r>
              <w:rPr>
                <w:rFonts w:hint="default" w:ascii="Times New Roman" w:hAnsi="Times New Roman" w:eastAsia="宋体" w:cs="Times New Roman"/>
                <w:b w:val="0"/>
                <w:bCs/>
                <w:color w:val="auto"/>
                <w:kern w:val="0"/>
                <w:sz w:val="21"/>
                <w:szCs w:val="21"/>
                <w:highlight w:val="none"/>
                <w:lang w:val="en-US" w:eastAsia="zh-CN"/>
              </w:rPr>
              <w:t>O</w:t>
            </w:r>
            <w:r>
              <w:rPr>
                <w:rFonts w:hint="default" w:ascii="Times New Roman" w:hAnsi="Times New Roman" w:eastAsia="宋体" w:cs="Times New Roman"/>
                <w:b w:val="0"/>
                <w:bCs/>
                <w:color w:val="auto"/>
                <w:kern w:val="0"/>
                <w:sz w:val="21"/>
                <w:szCs w:val="21"/>
                <w:highlight w:val="none"/>
                <w:vertAlign w:val="subscript"/>
                <w:lang w:val="en-US" w:eastAsia="zh-CN"/>
              </w:rPr>
              <w:t>3</w:t>
            </w:r>
            <w:r>
              <w:rPr>
                <w:rFonts w:hint="default" w:ascii="Times New Roman" w:hAnsi="Times New Roman" w:eastAsia="宋体" w:cs="Times New Roman"/>
                <w:b w:val="0"/>
                <w:bCs/>
                <w:color w:val="auto"/>
                <w:kern w:val="0"/>
                <w:sz w:val="21"/>
                <w:szCs w:val="21"/>
                <w:highlight w:val="none"/>
                <w:vertAlign w:val="baseline"/>
                <w:lang w:val="en-US" w:eastAsia="zh-CN"/>
              </w:rPr>
              <w:t>基体中，用于一氧化碳（CO）中温变换反应（200-450℃），将CO转</w:t>
            </w:r>
            <w:r>
              <w:rPr>
                <w:rFonts w:hint="default" w:ascii="Times New Roman" w:hAnsi="Times New Roman" w:eastAsia="宋体" w:cs="Times New Roman"/>
                <w:color w:val="auto"/>
                <w:kern w:val="0"/>
                <w:sz w:val="21"/>
                <w:szCs w:val="21"/>
                <w:highlight w:val="none"/>
                <w:lang w:val="en-US" w:eastAsia="zh-CN"/>
              </w:rPr>
              <w:t>化为CO₂和H₂，同时调节氢碳比。</w:t>
            </w:r>
            <w:r>
              <w:rPr>
                <w:rFonts w:hint="default" w:ascii="Times New Roman" w:hAnsi="Times New Roman" w:eastAsia="宋体" w:cs="Times New Roman"/>
                <w:color w:val="auto"/>
                <w:kern w:val="0"/>
                <w:sz w:val="21"/>
                <w:szCs w:val="21"/>
                <w:highlight w:val="none"/>
                <w:lang w:eastAsia="zh-CN"/>
              </w:rPr>
              <w:t>Cr</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eastAsia="zh-CN"/>
              </w:rPr>
              <w:t>与Fe</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eastAsia="zh-CN"/>
              </w:rPr>
              <w:t>形成固溶体或复合氧化物，阻碍Fe</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eastAsia="zh-CN"/>
              </w:rPr>
              <w:t>或Fe颗粒的迁移与长大，维持催化剂比表面积。</w:t>
            </w:r>
          </w:p>
          <w:p w14:paraId="0E0F79D9">
            <w:pPr>
              <w:widowControl/>
              <w:snapToGrid w:val="0"/>
              <w:ind w:firstLine="210" w:firstLineChars="100"/>
              <w:jc w:val="left"/>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Fe</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eastAsia="zh-CN"/>
              </w:rPr>
              <w:t>（氧化铁）外观：红棕色粉末（α-Fe</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eastAsia="zh-CN"/>
              </w:rPr>
              <w:t>，最稳定晶型）或黑色（γ-Fe</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eastAsia="zh-CN"/>
              </w:rPr>
              <w:t>，磁性变体），密度：5.24g/cm³（α-Fe</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eastAsia="zh-CN"/>
              </w:rPr>
              <w:t>），熔点：1565℃（高温稳定性优异），热稳定性：熔点高1565℃，在200-450℃中变催化剂工作温度下稳定，不易分解或烧结。</w:t>
            </w:r>
          </w:p>
          <w:p w14:paraId="4E6F1676">
            <w:pPr>
              <w:widowControl/>
              <w:snapToGrid w:val="0"/>
              <w:ind w:firstLine="210" w:firstLineChars="10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eastAsia="zh-CN"/>
              </w:rPr>
              <w:t>Cr</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eastAsia="zh-CN"/>
              </w:rPr>
              <w:t>外观：绿色粉末（α-Cr</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eastAsia="zh-CN"/>
              </w:rPr>
              <w:t>，最稳定晶型），密度：5.22g/cm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eastAsia="zh-CN"/>
              </w:rPr>
              <w:t>熔点：2435℃（极高熔点，热稳定性极佳），莫氏硬度：8-9（极硬，仅次于金刚石），晶体结构：六方晶系（刚玉结构），热稳定性：熔点极高（2435℃），在催化剂工作温度（200-450℃）下完全稳定，无相变或分解。</w:t>
            </w:r>
          </w:p>
        </w:tc>
        <w:tc>
          <w:tcPr>
            <w:tcW w:w="2524" w:type="dxa"/>
            <w:tcBorders>
              <w:tl2br w:val="nil"/>
              <w:tr2bl w:val="nil"/>
            </w:tcBorders>
            <w:noWrap w:val="0"/>
            <w:vAlign w:val="center"/>
          </w:tcPr>
          <w:p w14:paraId="4695F3BF">
            <w:pPr>
              <w:widowControl/>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w:t>
            </w:r>
          </w:p>
        </w:tc>
      </w:tr>
      <w:tr w14:paraId="72D1A7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45" w:type="dxa"/>
            <w:tcBorders>
              <w:tl2br w:val="nil"/>
              <w:tr2bl w:val="nil"/>
            </w:tcBorders>
            <w:noWrap w:val="0"/>
            <w:vAlign w:val="center"/>
          </w:tcPr>
          <w:p w14:paraId="64099FD4">
            <w:pPr>
              <w:widowControl/>
              <w:snapToGrid w:val="0"/>
              <w:jc w:val="center"/>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val="en-US" w:eastAsia="zh-CN"/>
              </w:rPr>
              <w:t>5</w:t>
            </w:r>
          </w:p>
        </w:tc>
        <w:tc>
          <w:tcPr>
            <w:tcW w:w="1206" w:type="dxa"/>
            <w:tcBorders>
              <w:tl2br w:val="nil"/>
              <w:tr2bl w:val="nil"/>
            </w:tcBorders>
            <w:noWrap w:val="0"/>
            <w:vAlign w:val="center"/>
          </w:tcPr>
          <w:p w14:paraId="7B84DC87">
            <w:pPr>
              <w:snapToGrid w:val="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吸附剂（活性炭、氧化铝）</w:t>
            </w:r>
          </w:p>
        </w:tc>
        <w:tc>
          <w:tcPr>
            <w:tcW w:w="4470" w:type="dxa"/>
            <w:tcBorders>
              <w:tl2br w:val="nil"/>
              <w:tr2bl w:val="nil"/>
            </w:tcBorders>
            <w:noWrap w:val="0"/>
            <w:vAlign w:val="center"/>
          </w:tcPr>
          <w:p w14:paraId="11DF732D">
            <w:pPr>
              <w:widowControl/>
              <w:snapToGrid w:val="0"/>
              <w:jc w:val="center"/>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kern w:val="0"/>
                <w:sz w:val="21"/>
                <w:szCs w:val="21"/>
                <w:highlight w:val="none"/>
                <w:lang w:val="en-US" w:eastAsia="zh-CN"/>
              </w:rPr>
              <w:t>用于净化沼气除杂过程，活性炭外观黑色粉末、颗粒或成型体（如柱状、球形），密度0.4-0.6g/cm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lang w:val="en-US" w:eastAsia="zh-CN"/>
              </w:rPr>
              <w:t>（视孔隙结构而定，低于水），比表面积500-1500m</w:t>
            </w:r>
            <w:r>
              <w:rPr>
                <w:rFonts w:hint="default" w:ascii="Times New Roman" w:hAnsi="Times New Roman" w:eastAsia="宋体" w:cs="Times New Roman"/>
                <w:color w:val="auto"/>
                <w:kern w:val="0"/>
                <w:sz w:val="21"/>
                <w:szCs w:val="21"/>
                <w:highlight w:val="none"/>
                <w:vertAlign w:val="superscript"/>
                <w:lang w:val="en-US" w:eastAsia="zh-CN"/>
              </w:rPr>
              <w:t>2</w:t>
            </w:r>
            <w:r>
              <w:rPr>
                <w:rFonts w:hint="default" w:ascii="Times New Roman" w:hAnsi="Times New Roman" w:eastAsia="宋体" w:cs="Times New Roman"/>
                <w:color w:val="auto"/>
                <w:kern w:val="0"/>
                <w:sz w:val="21"/>
                <w:szCs w:val="21"/>
                <w:highlight w:val="none"/>
                <w:lang w:val="en-US" w:eastAsia="zh-CN"/>
              </w:rPr>
              <w:t>/g（微孔为主，部分中孔），孔径分布微孔（＜2nm，占比＞50%）、中孔（2-50nm）、大孔（＞50nm），碘值600-1200mg/g，灰分＜10%。氧化铝又称矾土、刚玉，是典型的两性氧化物，分子式为AI</w:t>
            </w:r>
            <w:r>
              <w:rPr>
                <w:rFonts w:hint="default" w:ascii="Times New Roman" w:hAnsi="Times New Roman" w:eastAsia="宋体" w:cs="Times New Roman"/>
                <w:color w:val="auto"/>
                <w:kern w:val="0"/>
                <w:sz w:val="21"/>
                <w:szCs w:val="21"/>
                <w:highlight w:val="none"/>
                <w:vertAlign w:val="subscript"/>
                <w:lang w:val="en-US" w:eastAsia="zh-CN"/>
              </w:rPr>
              <w:t>2</w:t>
            </w:r>
            <w:r>
              <w:rPr>
                <w:rFonts w:hint="default" w:ascii="Times New Roman" w:hAnsi="Times New Roman" w:eastAsia="宋体" w:cs="Times New Roman"/>
                <w:color w:val="auto"/>
                <w:kern w:val="0"/>
                <w:sz w:val="21"/>
                <w:szCs w:val="21"/>
                <w:highlight w:val="none"/>
                <w:lang w:val="en-US" w:eastAsia="zh-CN"/>
              </w:rPr>
              <w:t>O</w:t>
            </w:r>
            <w:r>
              <w:rPr>
                <w:rFonts w:hint="default" w:ascii="Times New Roman" w:hAnsi="Times New Roman" w:eastAsia="宋体" w:cs="Times New Roman"/>
                <w:color w:val="auto"/>
                <w:kern w:val="0"/>
                <w:sz w:val="21"/>
                <w:szCs w:val="21"/>
                <w:highlight w:val="none"/>
                <w:vertAlign w:val="subscript"/>
                <w:lang w:val="en-US" w:eastAsia="zh-CN"/>
              </w:rPr>
              <w:t>3</w:t>
            </w:r>
            <w:r>
              <w:rPr>
                <w:rFonts w:hint="default" w:ascii="Times New Roman" w:hAnsi="Times New Roman" w:eastAsia="宋体" w:cs="Times New Roman"/>
                <w:color w:val="auto"/>
                <w:kern w:val="0"/>
                <w:sz w:val="21"/>
                <w:szCs w:val="21"/>
                <w:highlight w:val="none"/>
                <w:lang w:val="en-US" w:eastAsia="zh-CN"/>
              </w:rPr>
              <w:t>，相对分子质量为101.96。白色粉末，密度为3.9~4.0g/cm3，熔点为2050℃，沸点为2980℃。它不溶于水，可溶于无机酸和碱性溶液。</w:t>
            </w:r>
          </w:p>
        </w:tc>
        <w:tc>
          <w:tcPr>
            <w:tcW w:w="2524" w:type="dxa"/>
            <w:tcBorders>
              <w:tl2br w:val="nil"/>
              <w:tr2bl w:val="nil"/>
            </w:tcBorders>
            <w:noWrap w:val="0"/>
            <w:vAlign w:val="center"/>
          </w:tcPr>
          <w:p w14:paraId="4696E19F">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食入：低危险，易造成</w:t>
            </w:r>
            <w:r>
              <w:rPr>
                <w:rFonts w:hint="eastAsia" w:cs="Times New Roman"/>
                <w:color w:val="auto"/>
                <w:kern w:val="0"/>
                <w:sz w:val="21"/>
                <w:szCs w:val="21"/>
                <w:highlight w:val="none"/>
                <w:lang w:eastAsia="zh-CN"/>
              </w:rPr>
              <w:t>阿尔茨海默病</w:t>
            </w:r>
            <w:r>
              <w:rPr>
                <w:rFonts w:hint="default" w:ascii="Times New Roman" w:hAnsi="Times New Roman" w:eastAsia="宋体" w:cs="Times New Roman"/>
                <w:color w:val="auto"/>
                <w:kern w:val="0"/>
                <w:sz w:val="21"/>
                <w:szCs w:val="21"/>
                <w:highlight w:val="none"/>
              </w:rPr>
              <w:t>，对小孩智力有损害；</w:t>
            </w:r>
          </w:p>
          <w:p w14:paraId="3547E4DD">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吸入：可能造成刺激或肺部伤害</w:t>
            </w:r>
          </w:p>
          <w:p w14:paraId="37C54066">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皮肤：低危险</w:t>
            </w:r>
          </w:p>
          <w:p w14:paraId="746A1187">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眼睛：低危险</w:t>
            </w:r>
          </w:p>
        </w:tc>
      </w:tr>
      <w:tr w14:paraId="082E8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45" w:type="dxa"/>
            <w:tcBorders>
              <w:tl2br w:val="nil"/>
              <w:tr2bl w:val="nil"/>
            </w:tcBorders>
            <w:noWrap w:val="0"/>
            <w:vAlign w:val="center"/>
          </w:tcPr>
          <w:p w14:paraId="12451A5E">
            <w:pPr>
              <w:widowControl/>
              <w:snapToGrid w:val="0"/>
              <w:jc w:val="center"/>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val="en-US" w:eastAsia="zh-CN"/>
              </w:rPr>
              <w:t>6</w:t>
            </w:r>
          </w:p>
        </w:tc>
        <w:tc>
          <w:tcPr>
            <w:tcW w:w="1206" w:type="dxa"/>
            <w:tcBorders>
              <w:tl2br w:val="nil"/>
              <w:tr2bl w:val="nil"/>
            </w:tcBorders>
            <w:noWrap w:val="0"/>
            <w:vAlign w:val="center"/>
          </w:tcPr>
          <w:p w14:paraId="0A927C9E">
            <w:pPr>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SA"/>
              </w:rPr>
              <w:t>磷酸三钠</w:t>
            </w:r>
          </w:p>
        </w:tc>
        <w:tc>
          <w:tcPr>
            <w:tcW w:w="4470" w:type="dxa"/>
            <w:tcBorders>
              <w:tl2br w:val="nil"/>
              <w:tr2bl w:val="nil"/>
            </w:tcBorders>
            <w:noWrap w:val="0"/>
            <w:vAlign w:val="center"/>
          </w:tcPr>
          <w:p w14:paraId="4EF50D86">
            <w:pPr>
              <w:widowControl/>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色至白色结晶或结晶性粉末，无水物或含1～12分子的结晶水，无臭。十二水合物熔点73.4℃，相对密度d201.62。加热至55～65℃成十水物，加热至60～100℃成六水物，加热到100℃以上成为一水物，加热到212℃以上成为无水物。易溶于水</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28.3g/100mL</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，不溶于乙醇。在干燥空气中易潮解风化，生成磷酸二氢钠和碳酸氢钠。在水中几乎完全分解为磷酸氢二钠和氢氧化钠，1%的水溶液pH值为11.5～12.1。</w:t>
            </w:r>
          </w:p>
        </w:tc>
        <w:tc>
          <w:tcPr>
            <w:tcW w:w="2524" w:type="dxa"/>
            <w:tcBorders>
              <w:tl2br w:val="nil"/>
              <w:tr2bl w:val="nil"/>
            </w:tcBorders>
            <w:noWrap w:val="0"/>
            <w:vAlign w:val="center"/>
          </w:tcPr>
          <w:p w14:paraId="2A0761FF">
            <w:pPr>
              <w:widowControl/>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w:t>
            </w:r>
          </w:p>
        </w:tc>
      </w:tr>
      <w:tr w14:paraId="50779F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45" w:type="dxa"/>
            <w:tcBorders>
              <w:tl2br w:val="nil"/>
              <w:tr2bl w:val="nil"/>
            </w:tcBorders>
            <w:noWrap w:val="0"/>
            <w:vAlign w:val="center"/>
          </w:tcPr>
          <w:p w14:paraId="397462F7">
            <w:pPr>
              <w:widowControl/>
              <w:snapToGrid w:val="0"/>
              <w:jc w:val="center"/>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val="en-US" w:eastAsia="zh-CN"/>
              </w:rPr>
              <w:t>7</w:t>
            </w:r>
          </w:p>
        </w:tc>
        <w:tc>
          <w:tcPr>
            <w:tcW w:w="1206" w:type="dxa"/>
            <w:tcBorders>
              <w:tl2br w:val="nil"/>
              <w:tr2bl w:val="nil"/>
            </w:tcBorders>
            <w:noWrap w:val="0"/>
            <w:vAlign w:val="center"/>
          </w:tcPr>
          <w:p w14:paraId="6DF53E51">
            <w:pPr>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bidi="ar-SA"/>
              </w:rPr>
              <w:t>氢氧化钠</w:t>
            </w:r>
          </w:p>
        </w:tc>
        <w:tc>
          <w:tcPr>
            <w:tcW w:w="4470" w:type="dxa"/>
            <w:tcBorders>
              <w:tl2br w:val="nil"/>
              <w:tr2bl w:val="nil"/>
            </w:tcBorders>
            <w:noWrap w:val="0"/>
            <w:vAlign w:val="center"/>
          </w:tcPr>
          <w:p w14:paraId="32496554">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外观形态：通常为白色半透明片状、块状或颗粒状固体。密度：不同形态下密度有所差异，固体的密度约为2.13g/cm</w:t>
            </w:r>
            <w:r>
              <w:rPr>
                <w:rFonts w:hint="default" w:ascii="Times New Roman" w:hAnsi="Times New Roman" w:eastAsia="宋体" w:cs="Times New Roman"/>
                <w:color w:val="auto"/>
                <w:kern w:val="0"/>
                <w:sz w:val="21"/>
                <w:szCs w:val="21"/>
                <w:highlight w:val="none"/>
                <w:vertAlign w:val="superscript"/>
                <w:lang w:val="en-US" w:eastAsia="zh-CN"/>
              </w:rPr>
              <w:t>3</w:t>
            </w:r>
            <w:r>
              <w:rPr>
                <w:rFonts w:hint="default" w:ascii="Times New Roman" w:hAnsi="Times New Roman" w:eastAsia="宋体" w:cs="Times New Roman"/>
                <w:color w:val="auto"/>
                <w:kern w:val="0"/>
                <w:sz w:val="21"/>
                <w:szCs w:val="21"/>
                <w:highlight w:val="none"/>
              </w:rPr>
              <w:t>。熔点和沸点：熔点为318.4℃，沸点高达1390℃。溶解性：极易溶于水，溶解时会放出大量的热。在20℃时，氢氧化钠的溶解度为109g/100g水。同时，它也能溶于乙醇和甘油，但不溶于丙酮、乙醚等有机溶剂。潮解性：有很强的吸水性，在空气中容易吸收水分而潮解，因此氢氧化钠固体常被用作干燥剂。氢氧化钠是一种强碱，能与酸发生剧烈的中和反应，生成盐和水。可以和酸性氧化物反应生成盐和水。氢氧化钠具有强烈的腐蚀性，它能腐蚀皮肤、纸张、织物等物质。稳定性：氢氧化钠在常温常压下化学性质相对稳定，但在高温或与某些强氧化剂接触时，可能会发生化学反应。</w:t>
            </w:r>
          </w:p>
        </w:tc>
        <w:tc>
          <w:tcPr>
            <w:tcW w:w="2524" w:type="dxa"/>
            <w:tcBorders>
              <w:tl2br w:val="nil"/>
              <w:tr2bl w:val="nil"/>
            </w:tcBorders>
            <w:noWrap w:val="0"/>
            <w:vAlign w:val="center"/>
          </w:tcPr>
          <w:p w14:paraId="39432213">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侵入途径：吸入、食入。</w:t>
            </w:r>
          </w:p>
          <w:p w14:paraId="38EFF513">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健康危害：本品有强烈刺激和腐蚀性。粉尘或烟雾会刺激眼和呼吸道，腐蚀鼻中隔；皮肤和眼与NaOH直接接触会引起灼伤；误服可造成消化道灼伤，粘膜糜烂、出血和休克。</w:t>
            </w:r>
          </w:p>
        </w:tc>
      </w:tr>
      <w:tr w14:paraId="49C2EF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45" w:type="dxa"/>
            <w:tcBorders>
              <w:tl2br w:val="nil"/>
              <w:tr2bl w:val="nil"/>
            </w:tcBorders>
            <w:noWrap w:val="0"/>
            <w:vAlign w:val="center"/>
          </w:tcPr>
          <w:p w14:paraId="462EC477">
            <w:pPr>
              <w:widowControl/>
              <w:snapToGrid w:val="0"/>
              <w:jc w:val="center"/>
              <w:rPr>
                <w:rFonts w:hint="default" w:ascii="Times New Roman" w:hAnsi="Times New Roman" w:eastAsia="宋体" w:cs="Times New Roman"/>
                <w:bCs/>
                <w:color w:val="auto"/>
                <w:kern w:val="0"/>
                <w:sz w:val="21"/>
                <w:szCs w:val="21"/>
                <w:highlight w:val="none"/>
                <w:lang w:val="en-US" w:eastAsia="zh-CN"/>
              </w:rPr>
            </w:pPr>
            <w:bookmarkStart w:id="200" w:name="_Toc27927"/>
            <w:r>
              <w:rPr>
                <w:rFonts w:hint="default" w:ascii="Times New Roman" w:hAnsi="Times New Roman" w:eastAsia="宋体" w:cs="Times New Roman"/>
                <w:bCs/>
                <w:color w:val="auto"/>
                <w:kern w:val="0"/>
                <w:sz w:val="21"/>
                <w:szCs w:val="21"/>
                <w:highlight w:val="none"/>
                <w:lang w:val="en-US" w:eastAsia="zh-CN"/>
              </w:rPr>
              <w:t>8</w:t>
            </w:r>
          </w:p>
        </w:tc>
        <w:tc>
          <w:tcPr>
            <w:tcW w:w="1206" w:type="dxa"/>
            <w:tcBorders>
              <w:tl2br w:val="nil"/>
              <w:tr2bl w:val="nil"/>
            </w:tcBorders>
            <w:noWrap w:val="0"/>
            <w:vAlign w:val="center"/>
          </w:tcPr>
          <w:p w14:paraId="3CF72134">
            <w:pPr>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汽油</w:t>
            </w:r>
          </w:p>
        </w:tc>
        <w:tc>
          <w:tcPr>
            <w:tcW w:w="4470" w:type="dxa"/>
            <w:tcBorders>
              <w:tl2br w:val="nil"/>
              <w:tr2bl w:val="nil"/>
            </w:tcBorders>
            <w:noWrap w:val="0"/>
            <w:vAlign w:val="center"/>
          </w:tcPr>
          <w:p w14:paraId="053E94D8">
            <w:pPr>
              <w:widowControl/>
              <w:snapToGrid w:val="0"/>
              <w:jc w:val="center"/>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无色或淡黄色易挥发液体，具有特殊臭味；熔点&lt;-60℃</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沸点：40～200℃；不溶于水，易溶于苯、二硫化碳、醇、脂肪；相对密度</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水=1</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0.70~0.79；相对密度</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空气=1</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3.5；闪点-50℃</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引燃温度427℃</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爆炸下限（V%）1.3，爆炸上限（V%）6</w:t>
            </w:r>
            <w:r>
              <w:rPr>
                <w:rFonts w:hint="eastAsia" w:ascii="Times New Roman" w:hAnsi="Times New Roman" w:eastAsia="宋体" w:cs="Times New Roman"/>
                <w:color w:val="auto"/>
                <w:kern w:val="0"/>
                <w:sz w:val="21"/>
                <w:szCs w:val="21"/>
                <w:highlight w:val="none"/>
                <w:lang w:eastAsia="zh-CN"/>
              </w:rPr>
              <w:t>，易燃，其蒸气与空气可形成爆炸性混合物。遇明火、高热极易燃烧爆炸。与氧化剂能发生强烈反应。其蒸气比空气重，能在较低处扩散到相当远的地方，遇明火会引着回燃</w:t>
            </w:r>
          </w:p>
        </w:tc>
        <w:tc>
          <w:tcPr>
            <w:tcW w:w="2524" w:type="dxa"/>
            <w:tcBorders>
              <w:tl2br w:val="nil"/>
              <w:tr2bl w:val="nil"/>
            </w:tcBorders>
            <w:noWrap w:val="0"/>
            <w:vAlign w:val="center"/>
          </w:tcPr>
          <w:p w14:paraId="4680F597">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LD</w:t>
            </w:r>
            <w:r>
              <w:rPr>
                <w:rFonts w:hint="default" w:ascii="Times New Roman" w:hAnsi="Times New Roman" w:eastAsia="宋体" w:cs="Times New Roman"/>
                <w:color w:val="auto"/>
                <w:kern w:val="0"/>
                <w:sz w:val="21"/>
                <w:szCs w:val="21"/>
                <w:highlight w:val="none"/>
                <w:vertAlign w:val="subscript"/>
              </w:rPr>
              <w:t>50</w:t>
            </w:r>
            <w:r>
              <w:rPr>
                <w:rFonts w:hint="default" w:ascii="Times New Roman" w:hAnsi="Times New Roman" w:eastAsia="宋体" w:cs="Times New Roman"/>
                <w:color w:val="auto"/>
                <w:kern w:val="0"/>
                <w:sz w:val="21"/>
                <w:szCs w:val="21"/>
                <w:highlight w:val="none"/>
              </w:rPr>
              <w:t>：67000mg/kg</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小鼠经口</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；LC</w:t>
            </w:r>
            <w:r>
              <w:rPr>
                <w:rFonts w:hint="default" w:ascii="Times New Roman" w:hAnsi="Times New Roman" w:eastAsia="宋体" w:cs="Times New Roman"/>
                <w:color w:val="auto"/>
                <w:kern w:val="0"/>
                <w:sz w:val="21"/>
                <w:szCs w:val="21"/>
                <w:highlight w:val="none"/>
                <w:vertAlign w:val="subscript"/>
              </w:rPr>
              <w:t>50</w:t>
            </w:r>
            <w:r>
              <w:rPr>
                <w:rFonts w:hint="default" w:ascii="Times New Roman" w:hAnsi="Times New Roman" w:eastAsia="宋体" w:cs="Times New Roman"/>
                <w:color w:val="auto"/>
                <w:kern w:val="0"/>
                <w:sz w:val="21"/>
                <w:szCs w:val="21"/>
                <w:highlight w:val="none"/>
              </w:rPr>
              <w:t>：103000mg/m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，2小时</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小鼠吸入</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；人经眼：140ppm</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8小时</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，轻度刺激；大鼠吸入3g/m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，12-24小时/天，78天</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120号溶剂汽油</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，中毒症状。大鼠吸入2500mg/m</w:t>
            </w:r>
            <w:r>
              <w:rPr>
                <w:rFonts w:hint="default" w:ascii="Times New Roman" w:hAnsi="Times New Roman" w:eastAsia="宋体" w:cs="Times New Roman"/>
                <w:color w:val="auto"/>
                <w:kern w:val="0"/>
                <w:sz w:val="21"/>
                <w:szCs w:val="21"/>
                <w:highlight w:val="none"/>
                <w:vertAlign w:val="superscript"/>
              </w:rPr>
              <w:t>3</w:t>
            </w:r>
          </w:p>
        </w:tc>
      </w:tr>
      <w:tr w14:paraId="79ECB6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45" w:type="dxa"/>
            <w:tcBorders>
              <w:tl2br w:val="nil"/>
              <w:tr2bl w:val="nil"/>
            </w:tcBorders>
            <w:noWrap w:val="0"/>
            <w:vAlign w:val="center"/>
          </w:tcPr>
          <w:p w14:paraId="31209076">
            <w:pPr>
              <w:widowControl/>
              <w:snapToGrid w:val="0"/>
              <w:jc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9</w:t>
            </w:r>
          </w:p>
        </w:tc>
        <w:tc>
          <w:tcPr>
            <w:tcW w:w="1206" w:type="dxa"/>
            <w:tcBorders>
              <w:tl2br w:val="nil"/>
              <w:tr2bl w:val="nil"/>
            </w:tcBorders>
            <w:noWrap w:val="0"/>
            <w:vAlign w:val="center"/>
          </w:tcPr>
          <w:p w14:paraId="7A646D03">
            <w:pPr>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柴油</w:t>
            </w:r>
          </w:p>
        </w:tc>
        <w:tc>
          <w:tcPr>
            <w:tcW w:w="4470" w:type="dxa"/>
            <w:tcBorders>
              <w:tl2br w:val="nil"/>
              <w:tr2bl w:val="nil"/>
            </w:tcBorders>
            <w:noWrap w:val="0"/>
            <w:vAlign w:val="center"/>
          </w:tcPr>
          <w:p w14:paraId="64E0A9B8">
            <w:pPr>
              <w:widowControl/>
              <w:snapToGrid w:val="0"/>
              <w:jc w:val="center"/>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稍有粘性的棕色液体；熔点-18℃</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沸点：282-338℃</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不溶于水，易溶于乙醇和丙酮；相对密度</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水=1</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0.87-0.9；闪点≥60℃</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引燃温度257℃</w:t>
            </w:r>
            <w:r>
              <w:rPr>
                <w:rFonts w:hint="eastAsia" w:ascii="Times New Roman" w:hAnsi="Times New Roman" w:eastAsia="宋体" w:cs="Times New Roman"/>
                <w:color w:val="auto"/>
                <w:kern w:val="0"/>
                <w:sz w:val="21"/>
                <w:szCs w:val="21"/>
                <w:highlight w:val="none"/>
                <w:lang w:eastAsia="zh-CN"/>
              </w:rPr>
              <w:t>，易燃，遇明火、高热或与氧化剂接触，有引起燃烧爆炸的危险。若遇高热，容器内压增大，有开裂和爆炸的危险</w:t>
            </w:r>
          </w:p>
        </w:tc>
        <w:tc>
          <w:tcPr>
            <w:tcW w:w="2524" w:type="dxa"/>
            <w:tcBorders>
              <w:tl2br w:val="nil"/>
              <w:tr2bl w:val="nil"/>
            </w:tcBorders>
            <w:noWrap w:val="0"/>
            <w:vAlign w:val="center"/>
          </w:tcPr>
          <w:p w14:paraId="51A85F7A">
            <w:pPr>
              <w:widowControl/>
              <w:snapToGrid w:val="0"/>
              <w:jc w:val="center"/>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皮肤接触为主要吸收途径，可致急性肾脏损害。柴油可引起接触性皮炎、油性痤疮。吸入其雾滴或液体呛入可引起吸入性肺炎。能经胎盘进入胎儿血中。柴油废气可引起眼、鼻刺激症状，头晕及头痛</w:t>
            </w:r>
            <w:r>
              <w:rPr>
                <w:rFonts w:hint="eastAsia" w:ascii="Times New Roman" w:hAnsi="Times New Roman" w:eastAsia="宋体" w:cs="Times New Roman"/>
                <w:color w:val="auto"/>
                <w:kern w:val="0"/>
                <w:sz w:val="21"/>
                <w:szCs w:val="21"/>
                <w:highlight w:val="none"/>
                <w:lang w:eastAsia="zh-CN"/>
              </w:rPr>
              <w:t>。</w:t>
            </w:r>
          </w:p>
        </w:tc>
      </w:tr>
      <w:tr w14:paraId="13244D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 w:hRule="atLeast"/>
          <w:jc w:val="center"/>
        </w:trPr>
        <w:tc>
          <w:tcPr>
            <w:tcW w:w="545" w:type="dxa"/>
            <w:tcBorders>
              <w:tl2br w:val="nil"/>
              <w:tr2bl w:val="nil"/>
            </w:tcBorders>
            <w:noWrap w:val="0"/>
            <w:vAlign w:val="center"/>
          </w:tcPr>
          <w:p w14:paraId="62043911">
            <w:pPr>
              <w:widowControl/>
              <w:snapToGrid w:val="0"/>
              <w:jc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val="en-US" w:eastAsia="zh-CN"/>
              </w:rPr>
              <w:t>10</w:t>
            </w:r>
          </w:p>
        </w:tc>
        <w:tc>
          <w:tcPr>
            <w:tcW w:w="1206" w:type="dxa"/>
            <w:tcBorders>
              <w:tl2br w:val="nil"/>
              <w:tr2bl w:val="nil"/>
            </w:tcBorders>
            <w:noWrap w:val="0"/>
            <w:vAlign w:val="center"/>
          </w:tcPr>
          <w:p w14:paraId="5D10497A">
            <w:pPr>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车用洗涤剂</w:t>
            </w:r>
          </w:p>
        </w:tc>
        <w:tc>
          <w:tcPr>
            <w:tcW w:w="4470" w:type="dxa"/>
            <w:tcBorders>
              <w:tl2br w:val="nil"/>
              <w:tr2bl w:val="nil"/>
            </w:tcBorders>
            <w:noWrap w:val="0"/>
            <w:vAlign w:val="center"/>
          </w:tcPr>
          <w:p w14:paraId="16F85E59">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主要成分：水85%，α-磺基-ω-羟基聚</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氧-1,2-乙二基</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C12-14-烷基酯钠盐（AES）5%，α-磺酸钠-O'-</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十二碳酰基</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聚氧乙烯5%，N,N-二</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羟基乙基</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椰油酰胺5%，2',4',5',7'-四溴-4,5,6,7-四氯-3',6'-二羟基-螺[异苯并呋喃-1(3H),9'-(9H)占吨]-3-酮0.01%；洗涤剂为粉红色透明液体，与水混溶；相对密</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水=1</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1-1.02；闪点＞95℃</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引燃温度257℃</w:t>
            </w:r>
          </w:p>
        </w:tc>
        <w:tc>
          <w:tcPr>
            <w:tcW w:w="2524" w:type="dxa"/>
            <w:tcBorders>
              <w:tl2br w:val="nil"/>
              <w:tr2bl w:val="nil"/>
            </w:tcBorders>
            <w:noWrap w:val="0"/>
            <w:vAlign w:val="center"/>
          </w:tcPr>
          <w:p w14:paraId="6CFD7A47">
            <w:pPr>
              <w:widowControl/>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接触可导致眼损伤，皮肤刺激</w:t>
            </w:r>
          </w:p>
        </w:tc>
      </w:tr>
    </w:tbl>
    <w:p w14:paraId="3600F927">
      <w:pPr>
        <w:keepNext w:val="0"/>
        <w:keepLines w:val="0"/>
        <w:pageBreakBefore w:val="0"/>
        <w:widowControl w:val="0"/>
        <w:tabs>
          <w:tab w:val="left" w:pos="862"/>
        </w:tabs>
        <w:kinsoku/>
        <w:wordWrap/>
        <w:overflowPunct/>
        <w:topLinePunct w:val="0"/>
        <w:autoSpaceDE/>
        <w:autoSpaceDN/>
        <w:bidi w:val="0"/>
        <w:adjustRightInd/>
        <w:snapToGrid/>
        <w:spacing w:after="0" w:afterLines="0" w:line="360" w:lineRule="auto"/>
        <w:ind w:firstLine="420" w:firstLineChars="200"/>
        <w:textAlignment w:val="auto"/>
        <w:outlineLvl w:val="9"/>
        <w:rPr>
          <w:rFonts w:hint="default" w:ascii="Times New Roman" w:hAnsi="Times New Roman" w:eastAsia="宋体" w:cs="Times New Roman"/>
          <w:caps w:val="0"/>
          <w:smallCaps w:val="0"/>
          <w:color w:val="auto"/>
          <w:sz w:val="21"/>
          <w:szCs w:val="21"/>
          <w:highlight w:val="none"/>
          <w:lang w:val="en-US" w:eastAsia="zh-CN"/>
        </w:rPr>
      </w:pPr>
      <w:r>
        <w:rPr>
          <w:rFonts w:hint="eastAsia" w:ascii="Times New Roman" w:hAnsi="Times New Roman" w:eastAsia="宋体" w:cs="Times New Roman"/>
          <w:caps w:val="0"/>
          <w:smallCaps w:val="0"/>
          <w:color w:val="auto"/>
          <w:sz w:val="21"/>
          <w:szCs w:val="21"/>
          <w:highlight w:val="none"/>
          <w:lang w:val="en-US" w:eastAsia="zh-CN"/>
        </w:rPr>
        <w:t>注：企业为把控氢产品的纯度要求，对原料生物沼气质量严格把控。本项目外购提纯沼气属于高纯度沼气，甲烷含量</w:t>
      </w:r>
      <w:r>
        <w:rPr>
          <w:rFonts w:hint="default" w:ascii="Times New Roman" w:hAnsi="Times New Roman" w:eastAsia="宋体" w:cs="Times New Roman"/>
          <w:caps w:val="0"/>
          <w:smallCaps w:val="0"/>
          <w:color w:val="auto"/>
          <w:sz w:val="21"/>
          <w:szCs w:val="21"/>
          <w:highlight w:val="none"/>
          <w:lang w:val="en-US" w:eastAsia="zh-CN"/>
        </w:rPr>
        <w:t>≥</w:t>
      </w:r>
      <w:r>
        <w:rPr>
          <w:rFonts w:hint="eastAsia" w:ascii="Times New Roman" w:hAnsi="Times New Roman" w:eastAsia="宋体" w:cs="Times New Roman"/>
          <w:caps w:val="0"/>
          <w:smallCaps w:val="0"/>
          <w:color w:val="auto"/>
          <w:sz w:val="21"/>
          <w:szCs w:val="21"/>
          <w:highlight w:val="none"/>
          <w:lang w:val="en-US" w:eastAsia="zh-CN"/>
        </w:rPr>
        <w:t>98%（体积比）。根据源头把控，提纯沼气的生产原料生物沼气中含硫成分极低，已完成初步的提纯工作，详见附件6。</w:t>
      </w:r>
    </w:p>
    <w:p w14:paraId="075EE3A5">
      <w:pPr>
        <w:pStyle w:val="4"/>
        <w:spacing w:line="360" w:lineRule="auto"/>
        <w:rPr>
          <w:rFonts w:hint="default" w:ascii="Times New Roman" w:hAnsi="Times New Roman" w:eastAsia="宋体" w:cs="Times New Roman"/>
          <w:caps w:val="0"/>
          <w:smallCaps w:val="0"/>
          <w:color w:val="auto"/>
          <w:highlight w:val="none"/>
        </w:rPr>
      </w:pPr>
      <w:r>
        <w:rPr>
          <w:rFonts w:hint="eastAsia" w:ascii="Times New Roman" w:hAnsi="Times New Roman" w:eastAsia="宋体" w:cs="Times New Roman"/>
          <w:caps w:val="0"/>
          <w:smallCaps w:val="0"/>
          <w:color w:val="auto"/>
          <w:highlight w:val="none"/>
          <w:lang w:val="en-US" w:eastAsia="zh-CN"/>
        </w:rPr>
        <w:t>3.1.6公用</w:t>
      </w:r>
      <w:r>
        <w:rPr>
          <w:rFonts w:hint="default" w:ascii="Times New Roman" w:hAnsi="Times New Roman" w:eastAsia="宋体" w:cs="Times New Roman"/>
          <w:caps w:val="0"/>
          <w:smallCaps w:val="0"/>
          <w:color w:val="auto"/>
          <w:highlight w:val="none"/>
        </w:rPr>
        <w:t>及辅助工程</w:t>
      </w:r>
      <w:bookmarkEnd w:id="200"/>
    </w:p>
    <w:p w14:paraId="10ABD3CA">
      <w:pPr>
        <w:pStyle w:val="106"/>
        <w:spacing w:line="360" w:lineRule="auto"/>
        <w:rPr>
          <w:rFonts w:hint="default" w:ascii="Times New Roman" w:hAnsi="Times New Roman" w:cs="Times New Roman"/>
          <w:b/>
          <w:bCs/>
          <w:color w:val="auto"/>
          <w:highlight w:val="none"/>
        </w:rPr>
      </w:pPr>
      <w:r>
        <w:rPr>
          <w:rFonts w:hint="eastAsia"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rPr>
        <w:t>、供电</w:t>
      </w:r>
    </w:p>
    <w:p w14:paraId="0B24B26E">
      <w:pPr>
        <w:pStyle w:val="106"/>
        <w:spacing w:line="360" w:lineRule="auto"/>
        <w:rPr>
          <w:rFonts w:hint="default" w:ascii="Times New Roman" w:hAnsi="Times New Roman" w:cs="Times New Roman"/>
          <w:bCs/>
          <w:color w:val="auto"/>
          <w:szCs w:val="21"/>
          <w:highlight w:val="none"/>
        </w:rPr>
      </w:pPr>
      <w:r>
        <w:rPr>
          <w:rFonts w:hint="eastAsia" w:ascii="Times New Roman" w:hAnsi="Times New Roman" w:cs="Times New Roman"/>
          <w:color w:val="auto"/>
          <w:sz w:val="24"/>
          <w:highlight w:val="none"/>
          <w:lang w:val="en-US" w:eastAsia="zh-CN"/>
        </w:rPr>
        <w:t>站内</w:t>
      </w:r>
      <w:r>
        <w:rPr>
          <w:rFonts w:hint="eastAsia" w:ascii="Times New Roman" w:hAnsi="Times New Roman" w:cs="Times New Roman"/>
          <w:bCs/>
          <w:color w:val="auto"/>
          <w:szCs w:val="21"/>
          <w:highlight w:val="none"/>
          <w:lang w:val="en-US" w:eastAsia="zh-CN"/>
        </w:rPr>
        <w:t>供电新建供电管线，</w:t>
      </w:r>
      <w:r>
        <w:rPr>
          <w:rFonts w:hint="eastAsia" w:ascii="Times New Roman" w:hAnsi="Times New Roman" w:cs="Times New Roman"/>
          <w:color w:val="auto"/>
          <w:sz w:val="24"/>
          <w:highlight w:val="none"/>
          <w:lang w:val="en-US" w:eastAsia="zh-CN"/>
        </w:rPr>
        <w:t>站外</w:t>
      </w:r>
      <w:r>
        <w:rPr>
          <w:rFonts w:hint="eastAsia" w:ascii="Times New Roman" w:hAnsi="Times New Roman" w:cs="Times New Roman"/>
          <w:bCs/>
          <w:color w:val="auto"/>
          <w:szCs w:val="21"/>
          <w:highlight w:val="none"/>
          <w:lang w:val="en-US" w:eastAsia="zh-CN"/>
        </w:rPr>
        <w:t>依托市政现有供电管网</w:t>
      </w:r>
      <w:r>
        <w:rPr>
          <w:rFonts w:hint="default" w:ascii="Times New Roman" w:hAnsi="Times New Roman" w:cs="Times New Roman"/>
          <w:bCs/>
          <w:color w:val="auto"/>
          <w:szCs w:val="21"/>
          <w:highlight w:val="none"/>
        </w:rPr>
        <w:t>。</w:t>
      </w:r>
    </w:p>
    <w:p w14:paraId="0B95D257">
      <w:pPr>
        <w:pStyle w:val="106"/>
        <w:spacing w:line="360" w:lineRule="auto"/>
        <w:rPr>
          <w:rFonts w:hint="default" w:ascii="Times New Roman" w:hAnsi="Times New Roman" w:cs="Times New Roman"/>
          <w:b/>
          <w:bCs/>
          <w:color w:val="auto"/>
          <w:highlight w:val="none"/>
        </w:rPr>
      </w:pPr>
      <w:r>
        <w:rPr>
          <w:rFonts w:hint="eastAsia"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、给排水</w:t>
      </w:r>
    </w:p>
    <w:p w14:paraId="0962EEEB">
      <w:pPr>
        <w:pStyle w:val="106"/>
        <w:spacing w:line="360" w:lineRule="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①给水工程</w:t>
      </w:r>
    </w:p>
    <w:p w14:paraId="08BAB3FA">
      <w:pPr>
        <w:spacing w:line="360" w:lineRule="auto"/>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lang w:val="en-US" w:eastAsia="zh-CN"/>
        </w:rPr>
        <w:t>站内新建供水管线，站外供水管线依托市政供水管网。</w:t>
      </w:r>
    </w:p>
    <w:p w14:paraId="28EEAD33">
      <w:pPr>
        <w:pStyle w:val="106"/>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②排水工程</w:t>
      </w:r>
    </w:p>
    <w:p w14:paraId="360E1F01">
      <w:pPr>
        <w:spacing w:line="360" w:lineRule="auto"/>
        <w:ind w:firstLine="480" w:firstLineChars="20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eastAsia="zh-CN"/>
        </w:rPr>
        <w:t>本项目</w:t>
      </w:r>
      <w:r>
        <w:rPr>
          <w:rFonts w:hint="default" w:ascii="Times New Roman" w:hAnsi="Times New Roman" w:cs="Times New Roman"/>
          <w:color w:val="auto"/>
          <w:sz w:val="24"/>
          <w:highlight w:val="none"/>
        </w:rPr>
        <w:t>排水采取雨污分流制，</w:t>
      </w:r>
      <w:r>
        <w:rPr>
          <w:rFonts w:hint="default" w:ascii="Times New Roman" w:hAnsi="Times New Roman" w:cs="Times New Roman"/>
          <w:color w:val="auto"/>
          <w:sz w:val="24"/>
          <w:highlight w:val="none"/>
          <w:lang w:eastAsia="zh-CN"/>
        </w:rPr>
        <w:t>生活污水</w:t>
      </w:r>
      <w:r>
        <w:rPr>
          <w:rFonts w:hint="default" w:ascii="Times New Roman" w:hAnsi="Times New Roman" w:cs="Times New Roman"/>
          <w:color w:val="auto"/>
          <w:sz w:val="24"/>
          <w:highlight w:val="none"/>
          <w:lang w:val="en-US" w:eastAsia="zh-CN"/>
        </w:rPr>
        <w:t>经厂区化粪池收集预处理后</w:t>
      </w:r>
      <w:r>
        <w:rPr>
          <w:rFonts w:hint="eastAsia" w:ascii="Times New Roman" w:hAnsi="Times New Roman" w:cs="Times New Roman"/>
          <w:color w:val="auto"/>
          <w:sz w:val="24"/>
          <w:highlight w:val="none"/>
          <w:lang w:val="en-US" w:eastAsia="zh-CN"/>
        </w:rPr>
        <w:t>和保洁废水一起</w:t>
      </w:r>
      <w:r>
        <w:rPr>
          <w:rFonts w:hint="default" w:ascii="Times New Roman" w:hAnsi="Times New Roman" w:cs="Times New Roman"/>
          <w:color w:val="auto"/>
          <w:sz w:val="24"/>
          <w:highlight w:val="none"/>
          <w:lang w:val="en-US" w:eastAsia="zh-CN"/>
        </w:rPr>
        <w:t>排入市政污水管网进入田家庵经济开发区污水处理站处理，脱盐水制水产生浓水、蒸发器排污水直接接管市政污水管网。车辆冲洗废水、初期雨水经隔油沉淀处理后接管市政污水管网，进入田家庵经济开发区污水处理站处理。</w:t>
      </w:r>
    </w:p>
    <w:p w14:paraId="210FBD9A">
      <w:pPr>
        <w:pStyle w:val="106"/>
        <w:spacing w:line="360" w:lineRule="auto"/>
        <w:rPr>
          <w:rFonts w:hint="default" w:ascii="Times New Roman" w:hAnsi="Times New Roman" w:cs="Times New Roman"/>
          <w:b/>
          <w:bCs/>
          <w:color w:val="auto"/>
          <w:highlight w:val="none"/>
        </w:rPr>
      </w:pPr>
      <w:r>
        <w:rPr>
          <w:rFonts w:hint="eastAsia"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rPr>
        <w:t>、</w:t>
      </w:r>
      <w:r>
        <w:rPr>
          <w:rFonts w:hint="eastAsia" w:ascii="Times New Roman" w:hAnsi="Times New Roman" w:cs="Times New Roman"/>
          <w:b/>
          <w:bCs/>
          <w:color w:val="auto"/>
          <w:highlight w:val="none"/>
          <w:lang w:val="en-US" w:eastAsia="zh-CN"/>
        </w:rPr>
        <w:t>供热</w:t>
      </w:r>
    </w:p>
    <w:p w14:paraId="184134A3">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充分利用高温转化炉余热产蒸汽，同时本项目建设一台余热蒸汽发生器，管程压力工作压力：0.0977MPaA，最高不超过设计压力0.09MPa；壳程压力工作压力2.50MPa，设计压力2.8MPa。采用脱盐水进行蒸汽发生量为600kg/h。</w:t>
      </w:r>
    </w:p>
    <w:p w14:paraId="6896F167">
      <w:pPr>
        <w:pStyle w:val="106"/>
        <w:spacing w:line="360" w:lineRule="auto"/>
        <w:rPr>
          <w:rFonts w:hint="default" w:ascii="Times New Roman" w:hAnsi="Times New Roman" w:cs="Times New Roman"/>
          <w:b/>
          <w:bCs/>
          <w:color w:val="auto"/>
          <w:highlight w:val="none"/>
        </w:rPr>
      </w:pPr>
      <w:r>
        <w:rPr>
          <w:rFonts w:hint="eastAsia"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w:t>
      </w:r>
      <w:r>
        <w:rPr>
          <w:rFonts w:hint="eastAsia" w:ascii="Times New Roman" w:hAnsi="Times New Roman" w:cs="Times New Roman"/>
          <w:b/>
          <w:bCs/>
          <w:color w:val="auto"/>
          <w:highlight w:val="none"/>
          <w:lang w:val="en-US" w:eastAsia="zh-CN"/>
        </w:rPr>
        <w:t>制氮系统</w:t>
      </w:r>
    </w:p>
    <w:p w14:paraId="097C09FB">
      <w:pPr>
        <w:numPr>
          <w:ilvl w:val="0"/>
          <w:numId w:val="0"/>
        </w:numPr>
        <w:spacing w:line="360" w:lineRule="auto"/>
        <w:ind w:left="0" w:leftChars="0"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为满足</w:t>
      </w:r>
      <w:r>
        <w:rPr>
          <w:rFonts w:hint="eastAsia" w:ascii="Times New Roman" w:hAnsi="Times New Roman" w:eastAsia="宋体" w:cs="Times New Roman"/>
          <w:b w:val="0"/>
          <w:bCs w:val="0"/>
          <w:color w:val="auto"/>
          <w:sz w:val="24"/>
          <w:szCs w:val="24"/>
          <w:highlight w:val="none"/>
          <w:lang w:val="en-US" w:eastAsia="zh-CN"/>
        </w:rPr>
        <w:t>站内</w:t>
      </w:r>
      <w:r>
        <w:rPr>
          <w:rFonts w:hint="default" w:ascii="Times New Roman" w:hAnsi="Times New Roman" w:eastAsia="宋体" w:cs="Times New Roman"/>
          <w:b w:val="0"/>
          <w:bCs w:val="0"/>
          <w:color w:val="auto"/>
          <w:sz w:val="24"/>
          <w:szCs w:val="24"/>
          <w:highlight w:val="none"/>
        </w:rPr>
        <w:t>各用气点</w:t>
      </w:r>
      <w:r>
        <w:rPr>
          <w:rFonts w:hint="eastAsia" w:ascii="Times New Roman" w:hAnsi="Times New Roman" w:eastAsia="宋体" w:cs="Times New Roman"/>
          <w:b w:val="0"/>
          <w:bCs w:val="0"/>
          <w:color w:val="auto"/>
          <w:sz w:val="24"/>
          <w:szCs w:val="24"/>
          <w:highlight w:val="none"/>
          <w:lang w:val="en-US" w:eastAsia="zh-CN"/>
        </w:rPr>
        <w:t>氮气使用要求</w:t>
      </w:r>
      <w:r>
        <w:rPr>
          <w:rFonts w:hint="default" w:ascii="Times New Roman" w:hAnsi="Times New Roman" w:eastAsia="宋体" w:cs="Times New Roman"/>
          <w:b w:val="0"/>
          <w:bCs w:val="0"/>
          <w:color w:val="auto"/>
          <w:sz w:val="24"/>
          <w:szCs w:val="24"/>
          <w:highlight w:val="none"/>
        </w:rPr>
        <w:t>，项目拟设置一套</w:t>
      </w:r>
      <w:r>
        <w:rPr>
          <w:rFonts w:hint="eastAsia" w:ascii="Times New Roman" w:hAnsi="Times New Roman" w:cs="Times New Roman"/>
          <w:b w:val="0"/>
          <w:bCs w:val="0"/>
          <w:color w:val="auto"/>
          <w:sz w:val="24"/>
          <w:szCs w:val="24"/>
          <w:highlight w:val="none"/>
          <w:lang w:val="en-US" w:eastAsia="zh-CN"/>
        </w:rPr>
        <w:t>制氮机</w:t>
      </w:r>
      <w:r>
        <w:rPr>
          <w:rFonts w:hint="default" w:ascii="Times New Roman" w:hAnsi="Times New Roman" w:eastAsia="宋体" w:cs="Times New Roman"/>
          <w:b w:val="0"/>
          <w:bCs w:val="0"/>
          <w:color w:val="auto"/>
          <w:sz w:val="24"/>
          <w:szCs w:val="24"/>
          <w:highlight w:val="none"/>
        </w:rPr>
        <w:t>。由于动力风为间断使用，且用量较小，因此，仪表风和动力风合用一套系统。根据用风量，</w:t>
      </w:r>
      <w:r>
        <w:rPr>
          <w:rFonts w:hint="eastAsia" w:ascii="Times New Roman" w:hAnsi="Times New Roman" w:cs="Times New Roman"/>
          <w:b w:val="0"/>
          <w:bCs w:val="0"/>
          <w:color w:val="auto"/>
          <w:sz w:val="24"/>
          <w:szCs w:val="24"/>
          <w:highlight w:val="none"/>
          <w:lang w:val="en-US" w:eastAsia="zh-CN"/>
        </w:rPr>
        <w:t>制氮机</w:t>
      </w:r>
      <w:r>
        <w:rPr>
          <w:rFonts w:hint="default" w:ascii="Times New Roman" w:hAnsi="Times New Roman" w:eastAsia="宋体" w:cs="Times New Roman"/>
          <w:b w:val="0"/>
          <w:bCs w:val="0"/>
          <w:color w:val="auto"/>
          <w:sz w:val="24"/>
          <w:szCs w:val="24"/>
          <w:highlight w:val="none"/>
        </w:rPr>
        <w:t>中设置1台变频螺杆式空气压缩机，排气压力0.8MPa，以满足最大负荷时的生产需要。氮气项目制氮能力为</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rPr>
        <w:t>0m³/h，纯度≥99.9%，项目氮气需求量为</w:t>
      </w:r>
      <w:r>
        <w:rPr>
          <w:rFonts w:hint="eastAsia" w:ascii="Times New Roman" w:hAnsi="Times New Roman" w:eastAsia="宋体" w:cs="Times New Roman"/>
          <w:b w:val="0"/>
          <w:bCs w:val="0"/>
          <w:color w:val="auto"/>
          <w:sz w:val="24"/>
          <w:szCs w:val="24"/>
          <w:highlight w:val="none"/>
          <w:lang w:val="en-US" w:eastAsia="zh-CN"/>
        </w:rPr>
        <w:t>35</w:t>
      </w:r>
      <w:r>
        <w:rPr>
          <w:rFonts w:hint="default" w:ascii="Times New Roman" w:hAnsi="Times New Roman" w:eastAsia="宋体" w:cs="Times New Roman"/>
          <w:b w:val="0"/>
          <w:bCs w:val="0"/>
          <w:color w:val="auto"/>
          <w:sz w:val="24"/>
          <w:szCs w:val="24"/>
          <w:highlight w:val="none"/>
        </w:rPr>
        <w:t>Nm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/h，可满足项目氮气需求。</w:t>
      </w:r>
    </w:p>
    <w:p w14:paraId="048C2983">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kern w:val="2"/>
          <w:sz w:val="24"/>
          <w:szCs w:val="24"/>
          <w:highlight w:val="none"/>
          <w:lang w:val="en-US" w:eastAsia="zh-CN" w:bidi="ar-SA"/>
        </w:rPr>
        <w:t>（1）</w:t>
      </w:r>
      <w:r>
        <w:rPr>
          <w:rFonts w:hint="default" w:ascii="Times New Roman" w:hAnsi="Times New Roman" w:eastAsia="宋体" w:cs="Times New Roman"/>
          <w:b w:val="0"/>
          <w:bCs w:val="0"/>
          <w:color w:val="auto"/>
          <w:sz w:val="24"/>
          <w:szCs w:val="24"/>
          <w:highlight w:val="none"/>
        </w:rPr>
        <w:t>制备原理及供气流程</w:t>
      </w:r>
    </w:p>
    <w:p w14:paraId="27C79732">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制氮机、仪表风、工艺空气供气系统由空压机、压缩空气净化装置、PSA吸附制氮装置、氮气缓冲过滤装</w:t>
      </w:r>
      <w:r>
        <w:rPr>
          <w:rFonts w:hint="eastAsia" w:cs="Times New Roman"/>
          <w:b w:val="0"/>
          <w:bCs w:val="0"/>
          <w:color w:val="auto"/>
          <w:sz w:val="24"/>
          <w:szCs w:val="24"/>
          <w:highlight w:val="none"/>
          <w:lang w:eastAsia="zh-CN"/>
        </w:rPr>
        <w:t>置等</w:t>
      </w:r>
      <w:r>
        <w:rPr>
          <w:rFonts w:hint="default" w:ascii="Times New Roman" w:hAnsi="Times New Roman" w:eastAsia="宋体" w:cs="Times New Roman"/>
          <w:b w:val="0"/>
          <w:bCs w:val="0"/>
          <w:color w:val="auto"/>
          <w:sz w:val="24"/>
          <w:szCs w:val="24"/>
          <w:highlight w:val="none"/>
        </w:rPr>
        <w:t>部分组成。其工作原理及供气流程详见图3.</w:t>
      </w:r>
      <w:r>
        <w:rPr>
          <w:rFonts w:hint="eastAsia"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6</w:t>
      </w:r>
      <w:r>
        <w:rPr>
          <w:rFonts w:hint="default" w:ascii="Times New Roman" w:hAnsi="Times New Roman" w:eastAsia="宋体"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rPr>
        <w:t>。</w:t>
      </w:r>
    </w:p>
    <w:p w14:paraId="14317862">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kern w:val="2"/>
          <w:sz w:val="24"/>
          <w:szCs w:val="24"/>
          <w:highlight w:val="none"/>
          <w:lang w:val="en-US" w:eastAsia="zh-CN" w:bidi="ar-SA"/>
        </w:rPr>
        <w:t>①</w:t>
      </w:r>
      <w:r>
        <w:rPr>
          <w:rFonts w:hint="default" w:ascii="Times New Roman" w:hAnsi="Times New Roman" w:eastAsia="宋体" w:cs="Times New Roman"/>
          <w:b w:val="0"/>
          <w:bCs w:val="0"/>
          <w:color w:val="auto"/>
          <w:sz w:val="24"/>
          <w:szCs w:val="24"/>
          <w:highlight w:val="none"/>
        </w:rPr>
        <w:t>空压机</w:t>
      </w:r>
    </w:p>
    <w:p w14:paraId="492DB7A7">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环境空气经过变频螺杆式空气压缩机压缩至0.8MPa为压缩空气、仪表风、PSA制氮系统提供原料气源。</w:t>
      </w:r>
    </w:p>
    <w:p w14:paraId="3A5144F5">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②</w:t>
      </w:r>
      <w:r>
        <w:rPr>
          <w:rFonts w:hint="default" w:ascii="Times New Roman" w:hAnsi="Times New Roman" w:eastAsia="宋体" w:cs="Times New Roman"/>
          <w:b w:val="0"/>
          <w:bCs w:val="0"/>
          <w:color w:val="auto"/>
          <w:sz w:val="24"/>
          <w:szCs w:val="24"/>
          <w:highlight w:val="none"/>
        </w:rPr>
        <w:t>仪表空气和制氮机压缩空气净化装置</w:t>
      </w:r>
    </w:p>
    <w:p w14:paraId="3FEB21B9">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压缩空气进入前置的过滤器（三级过滤）除去大部分游离水、尘埃，进入微热吸附式干燥机（</w:t>
      </w:r>
      <w:r>
        <w:rPr>
          <w:rFonts w:hint="eastAsia" w:ascii="Times New Roman" w:hAnsi="Times New Roman" w:eastAsia="宋体" w:cs="Times New Roman"/>
          <w:b w:val="0"/>
          <w:bCs w:val="0"/>
          <w:color w:val="auto"/>
          <w:sz w:val="24"/>
          <w:szCs w:val="24"/>
          <w:highlight w:val="none"/>
          <w:lang w:val="en-US" w:eastAsia="zh-CN"/>
        </w:rPr>
        <w:t>进气流量为100</w:t>
      </w:r>
      <w:r>
        <w:rPr>
          <w:rFonts w:hint="default" w:ascii="Times New Roman" w:hAnsi="Times New Roman" w:eastAsia="宋体" w:cs="Times New Roman"/>
          <w:b w:val="0"/>
          <w:bCs w:val="0"/>
          <w:color w:val="auto"/>
          <w:sz w:val="24"/>
          <w:szCs w:val="24"/>
          <w:highlight w:val="none"/>
        </w:rPr>
        <w:t>Nm³/h）进行深度脱水净化处理后，再经过后置过滤器除去净化空气中的剩余水、粉尘获得满足仪表风，制氮机净化风要求的洁净压缩空气。净化风配套设置一个气体缓冲罐。过滤器内的滤芯每年更换一次，废滤芯委托一般固废处置单位处置。过滤器装置定期有少量废水排出，接管至</w:t>
      </w:r>
      <w:r>
        <w:rPr>
          <w:rFonts w:hint="eastAsia" w:ascii="Times New Roman" w:hAnsi="Times New Roman" w:eastAsia="宋体" w:cs="Times New Roman"/>
          <w:b w:val="0"/>
          <w:bCs w:val="0"/>
          <w:color w:val="auto"/>
          <w:sz w:val="24"/>
          <w:szCs w:val="24"/>
          <w:highlight w:val="none"/>
          <w:lang w:val="en-US" w:eastAsia="zh-CN"/>
        </w:rPr>
        <w:t>田家庵经济开发区污水处理站</w:t>
      </w:r>
      <w:r>
        <w:rPr>
          <w:rFonts w:hint="default" w:ascii="Times New Roman" w:hAnsi="Times New Roman" w:eastAsia="宋体" w:cs="Times New Roman"/>
          <w:b w:val="0"/>
          <w:bCs w:val="0"/>
          <w:color w:val="auto"/>
          <w:sz w:val="24"/>
          <w:szCs w:val="24"/>
          <w:highlight w:val="none"/>
        </w:rPr>
        <w:t>。</w:t>
      </w:r>
    </w:p>
    <w:p w14:paraId="48F9207A">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③氧氮分离系统（PSA制氮机）</w:t>
      </w:r>
    </w:p>
    <w:p w14:paraId="177AF103">
      <w:pPr>
        <w:numPr>
          <w:ilvl w:val="0"/>
          <w:numId w:val="0"/>
        </w:numPr>
        <w:spacing w:line="360" w:lineRule="auto"/>
        <w:ind w:firstLine="480" w:firstLineChars="200"/>
        <w:rPr>
          <w:rFonts w:hint="eastAsia"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rPr>
        <w:t>来自制氮机专用工艺空气缓冲罐的净化压缩空气分别进入由</w:t>
      </w:r>
      <w:r>
        <w:rPr>
          <w:rFonts w:hint="eastAsia" w:cs="Times New Roman"/>
          <w:b w:val="0"/>
          <w:bCs w:val="0"/>
          <w:color w:val="auto"/>
          <w:sz w:val="24"/>
          <w:szCs w:val="24"/>
          <w:highlight w:val="none"/>
          <w:lang w:eastAsia="zh-CN"/>
        </w:rPr>
        <w:t>两个</w:t>
      </w:r>
      <w:r>
        <w:rPr>
          <w:rFonts w:hint="default" w:ascii="Times New Roman" w:hAnsi="Times New Roman" w:eastAsia="宋体" w:cs="Times New Roman"/>
          <w:b w:val="0"/>
          <w:bCs w:val="0"/>
          <w:color w:val="auto"/>
          <w:sz w:val="24"/>
          <w:szCs w:val="24"/>
          <w:highlight w:val="none"/>
        </w:rPr>
        <w:t>填装吸附剂的变压吸附分离系统，即制氮机。变压吸附法（PSA法）是采用优质碳分子筛为吸附剂，由于动力学效应，氧、氮在分子筛上的扩散速率差异较大，短时间内，氧分子被碳分子筛大量吸附，氮分子在气相富集，实现氧氮分离。洁净的压缩空气由吸附塔底端进入，气流经空气扩散器扩散以后，均匀进入吸附塔，进行氧氮吸附分离，然后从吸附塔上端出口流出氮气进入氮气缓冲罐，解析气从吸附塔底部排出并通过消音器放空。</w:t>
      </w:r>
      <w:r>
        <w:rPr>
          <w:rFonts w:hint="eastAsia" w:cs="Times New Roman"/>
          <w:b w:val="0"/>
          <w:bCs w:val="0"/>
          <w:color w:val="auto"/>
          <w:sz w:val="24"/>
          <w:szCs w:val="24"/>
          <w:highlight w:val="none"/>
          <w:lang w:eastAsia="zh-CN"/>
        </w:rPr>
        <w:t>两个</w:t>
      </w:r>
      <w:r>
        <w:rPr>
          <w:rFonts w:hint="default" w:ascii="Times New Roman" w:hAnsi="Times New Roman" w:eastAsia="宋体" w:cs="Times New Roman"/>
          <w:b w:val="0"/>
          <w:bCs w:val="0"/>
          <w:color w:val="auto"/>
          <w:sz w:val="24"/>
          <w:szCs w:val="24"/>
          <w:highlight w:val="none"/>
        </w:rPr>
        <w:t>吸附塔交替循环操作，连续送入原料空气，产出氮气。吸附剂即分子筛平均8年更换一次，废分子筛委托一般固废处置单位处置。</w:t>
      </w:r>
    </w:p>
    <w:p w14:paraId="6F0D8196">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④氮气缓冲过滤系统：从制氮机组出来的氮气最后经氮气缓冲罐、粉尘精滤器、调压阀、流量计计量后输出，确保产出纯度≥99.9%、压力0.6MPa、流量</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rPr>
        <w:t>0Nm³/h、露点≤-40℃的合格氮气。</w:t>
      </w:r>
      <w:bookmarkStart w:id="201" w:name="_Toc152921642"/>
      <w:bookmarkStart w:id="202" w:name="_Toc117150227"/>
      <w:bookmarkStart w:id="203" w:name="_Toc152923282"/>
      <w:bookmarkStart w:id="204" w:name="_Toc152922007"/>
      <w:bookmarkStart w:id="205" w:name="_Toc152922601"/>
    </w:p>
    <w:p w14:paraId="52D96722">
      <w:pPr>
        <w:numPr>
          <w:ilvl w:val="0"/>
          <w:numId w:val="0"/>
        </w:numPr>
        <w:spacing w:line="360" w:lineRule="auto"/>
        <w:ind w:firstLine="420" w:firstLineChars="200"/>
        <w:rPr>
          <w:rFonts w:hint="default" w:ascii="Times New Roman" w:hAnsi="Times New Roman" w:eastAsia="宋体" w:cs="Times New Roman"/>
          <w:b w:val="0"/>
          <w:bCs w:val="0"/>
          <w:color w:val="auto"/>
          <w:sz w:val="24"/>
          <w:szCs w:val="24"/>
          <w:highlight w:val="none"/>
        </w:rPr>
      </w:pPr>
      <w:r>
        <w:rPr>
          <w:color w:val="auto"/>
          <w:highlight w:val="none"/>
        </w:rPr>
        <w:drawing>
          <wp:inline distT="0" distB="0" distL="114300" distR="114300">
            <wp:extent cx="5274310" cy="1076960"/>
            <wp:effectExtent l="0" t="0" r="2540" b="8890"/>
            <wp:docPr id="553"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312"/>
                    <pic:cNvPicPr>
                      <a:picLocks noChangeAspect="1"/>
                    </pic:cNvPicPr>
                  </pic:nvPicPr>
                  <pic:blipFill>
                    <a:blip r:embed="rId31"/>
                    <a:stretch>
                      <a:fillRect/>
                    </a:stretch>
                  </pic:blipFill>
                  <pic:spPr>
                    <a:xfrm>
                      <a:off x="0" y="0"/>
                      <a:ext cx="5274310" cy="1076960"/>
                    </a:xfrm>
                    <a:prstGeom prst="rect">
                      <a:avLst/>
                    </a:prstGeom>
                    <a:noFill/>
                    <a:ln>
                      <a:noFill/>
                    </a:ln>
                  </pic:spPr>
                </pic:pic>
              </a:graphicData>
            </a:graphic>
          </wp:inline>
        </w:drawing>
      </w:r>
    </w:p>
    <w:p w14:paraId="4855D4C7">
      <w:pPr>
        <w:pStyle w:val="106"/>
        <w:numPr>
          <w:ilvl w:val="0"/>
          <w:numId w:val="0"/>
        </w:numPr>
        <w:spacing w:line="360" w:lineRule="auto"/>
        <w:ind w:firstLine="482" w:firstLineChars="200"/>
        <w:jc w:val="center"/>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cs="Times New Roman"/>
          <w:b/>
          <w:bCs/>
          <w:color w:val="auto"/>
          <w:kern w:val="2"/>
          <w:sz w:val="24"/>
          <w:szCs w:val="24"/>
          <w:highlight w:val="none"/>
          <w:lang w:val="en-US" w:eastAsia="zh-CN" w:bidi="ar-SA"/>
        </w:rPr>
        <w:t>图3.1.6-1  PSA制氮装置示意图</w:t>
      </w:r>
    </w:p>
    <w:p w14:paraId="62C98225">
      <w:pPr>
        <w:pStyle w:val="106"/>
        <w:numPr>
          <w:ilvl w:val="0"/>
          <w:numId w:val="0"/>
        </w:numPr>
        <w:spacing w:line="360" w:lineRule="auto"/>
        <w:ind w:firstLine="482" w:firstLineChars="200"/>
        <w:rPr>
          <w:rFonts w:hint="eastAsia" w:ascii="Times New Roman" w:hAnsi="Times New Roman" w:cs="Times New Roman"/>
          <w:b/>
          <w:bCs/>
          <w:color w:val="auto"/>
          <w:highlight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5、</w:t>
      </w:r>
      <w:r>
        <w:rPr>
          <w:rFonts w:hint="eastAsia" w:ascii="Times New Roman" w:hAnsi="Times New Roman" w:cs="Times New Roman"/>
          <w:b/>
          <w:bCs/>
          <w:color w:val="auto"/>
          <w:highlight w:val="none"/>
          <w:lang w:val="en-US" w:eastAsia="zh-CN"/>
        </w:rPr>
        <w:t>循环冷却水系统</w:t>
      </w:r>
    </w:p>
    <w:p w14:paraId="433A11E8">
      <w:pPr>
        <w:numPr>
          <w:ilvl w:val="0"/>
          <w:numId w:val="0"/>
        </w:numPr>
        <w:spacing w:line="360" w:lineRule="auto"/>
        <w:ind w:firstLine="480" w:firstLineChars="200"/>
        <w:rPr>
          <w:rFonts w:hint="eastAsia"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本项目运营期</w:t>
      </w:r>
      <w:r>
        <w:rPr>
          <w:rFonts w:hint="eastAsia" w:ascii="Times New Roman" w:hAnsi="Times New Roman" w:eastAsia="宋体" w:cs="Times New Roman"/>
          <w:b w:val="0"/>
          <w:bCs w:val="0"/>
          <w:color w:val="auto"/>
          <w:sz w:val="24"/>
          <w:szCs w:val="24"/>
          <w:highlight w:val="none"/>
        </w:rPr>
        <w:t>加氢机</w:t>
      </w:r>
      <w:r>
        <w:rPr>
          <w:rFonts w:hint="eastAsia" w:ascii="Times New Roman" w:hAnsi="Times New Roman" w:eastAsia="宋体" w:cs="Times New Roman"/>
          <w:b w:val="0"/>
          <w:bCs w:val="0"/>
          <w:color w:val="auto"/>
          <w:sz w:val="24"/>
          <w:szCs w:val="24"/>
          <w:highlight w:val="none"/>
          <w:lang w:val="en-US" w:eastAsia="zh-CN"/>
        </w:rPr>
        <w:t>采用冷冻水进行冷却，</w:t>
      </w:r>
      <w:r>
        <w:rPr>
          <w:rFonts w:hint="eastAsia" w:ascii="Times New Roman" w:hAnsi="Times New Roman" w:eastAsia="宋体" w:cs="Times New Roman"/>
          <w:b w:val="0"/>
          <w:bCs w:val="0"/>
          <w:color w:val="auto"/>
          <w:sz w:val="24"/>
          <w:szCs w:val="24"/>
          <w:highlight w:val="none"/>
        </w:rPr>
        <w:t>配套风冷涡旋加氢机预冷冷水机组，制冷量100kW</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制冷剂为R404A</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rPr>
        <w:t>，介质进/出口温度-5/-10℃，满足氢气压缩机用冷需求。管道材质采用不锈钢无缝钢管，保冷材料使用聚氨酯保冷管壳，管道管沟内敷设。</w:t>
      </w:r>
    </w:p>
    <w:p w14:paraId="5616E699">
      <w:pPr>
        <w:numPr>
          <w:ilvl w:val="0"/>
          <w:numId w:val="0"/>
        </w:numPr>
        <w:spacing w:line="360" w:lineRule="auto"/>
        <w:ind w:firstLine="480" w:firstLineChars="200"/>
        <w:rPr>
          <w:rFonts w:hint="eastAsia"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沼气制氢部分和氢气压缩部分采用冷却水进行冷却，</w:t>
      </w:r>
      <w:r>
        <w:rPr>
          <w:rFonts w:hint="eastAsia" w:ascii="Times New Roman" w:hAnsi="Times New Roman" w:eastAsia="宋体" w:cs="Times New Roman"/>
          <w:b w:val="0"/>
          <w:bCs w:val="0"/>
          <w:color w:val="auto"/>
          <w:sz w:val="24"/>
          <w:szCs w:val="24"/>
          <w:highlight w:val="none"/>
        </w:rPr>
        <w:t>本项目拟设置</w:t>
      </w:r>
      <w:r>
        <w:rPr>
          <w:rFonts w:hint="default" w:ascii="Times New Roman" w:hAnsi="Times New Roman" w:eastAsia="宋体" w:cs="Times New Roman"/>
          <w:b w:val="0"/>
          <w:bCs w:val="0"/>
          <w:color w:val="auto"/>
          <w:sz w:val="24"/>
          <w:szCs w:val="24"/>
          <w:highlight w:val="none"/>
        </w:rPr>
        <w:t>1</w:t>
      </w:r>
      <w:r>
        <w:rPr>
          <w:rFonts w:hint="eastAsia" w:ascii="Times New Roman" w:hAnsi="Times New Roman" w:eastAsia="宋体" w:cs="Times New Roman"/>
          <w:b w:val="0"/>
          <w:bCs w:val="0"/>
          <w:color w:val="auto"/>
          <w:sz w:val="24"/>
          <w:szCs w:val="24"/>
          <w:highlight w:val="none"/>
        </w:rPr>
        <w:t>套闭式冷却塔，供水压力</w:t>
      </w:r>
      <w:r>
        <w:rPr>
          <w:rFonts w:hint="default" w:ascii="Times New Roman" w:hAnsi="Times New Roman" w:eastAsia="宋体" w:cs="Times New Roman"/>
          <w:b w:val="0"/>
          <w:bCs w:val="0"/>
          <w:color w:val="auto"/>
          <w:sz w:val="24"/>
          <w:szCs w:val="24"/>
          <w:highlight w:val="none"/>
        </w:rPr>
        <w:t>0.45MPa</w:t>
      </w:r>
      <w:r>
        <w:rPr>
          <w:rFonts w:hint="eastAsia" w:ascii="Times New Roman" w:hAnsi="Times New Roman" w:eastAsia="宋体" w:cs="Times New Roman"/>
          <w:b w:val="0"/>
          <w:bCs w:val="0"/>
          <w:color w:val="auto"/>
          <w:sz w:val="24"/>
          <w:szCs w:val="24"/>
          <w:highlight w:val="none"/>
        </w:rPr>
        <w:t>，温度</w:t>
      </w:r>
      <w:r>
        <w:rPr>
          <w:rFonts w:hint="default" w:ascii="Times New Roman" w:hAnsi="Times New Roman" w:eastAsia="宋体" w:cs="Times New Roman"/>
          <w:b w:val="0"/>
          <w:bCs w:val="0"/>
          <w:color w:val="auto"/>
          <w:sz w:val="24"/>
          <w:szCs w:val="24"/>
          <w:highlight w:val="none"/>
        </w:rPr>
        <w:t>32℃</w:t>
      </w:r>
      <w:r>
        <w:rPr>
          <w:rFonts w:hint="eastAsia" w:ascii="Times New Roman" w:hAnsi="Times New Roman" w:eastAsia="宋体" w:cs="Times New Roman"/>
          <w:b w:val="0"/>
          <w:bCs w:val="0"/>
          <w:color w:val="auto"/>
          <w:sz w:val="24"/>
          <w:szCs w:val="24"/>
          <w:highlight w:val="none"/>
        </w:rPr>
        <w:t>；回水温度</w:t>
      </w:r>
      <w:r>
        <w:rPr>
          <w:rFonts w:hint="default" w:ascii="Times New Roman" w:hAnsi="Times New Roman" w:eastAsia="宋体" w:cs="Times New Roman"/>
          <w:b w:val="0"/>
          <w:bCs w:val="0"/>
          <w:color w:val="auto"/>
          <w:sz w:val="24"/>
          <w:szCs w:val="24"/>
          <w:highlight w:val="none"/>
        </w:rPr>
        <w:t>42℃</w:t>
      </w:r>
      <w:r>
        <w:rPr>
          <w:rFonts w:hint="eastAsia" w:ascii="Times New Roman" w:hAnsi="Times New Roman" w:eastAsia="宋体" w:cs="Times New Roman"/>
          <w:b w:val="0"/>
          <w:bCs w:val="0"/>
          <w:color w:val="auto"/>
          <w:sz w:val="24"/>
          <w:szCs w:val="24"/>
          <w:highlight w:val="none"/>
        </w:rPr>
        <w:t>，压力</w:t>
      </w:r>
      <w:r>
        <w:rPr>
          <w:rFonts w:hint="default" w:ascii="Times New Roman" w:hAnsi="Times New Roman" w:eastAsia="宋体" w:cs="Times New Roman"/>
          <w:b w:val="0"/>
          <w:bCs w:val="0"/>
          <w:color w:val="auto"/>
          <w:sz w:val="24"/>
          <w:szCs w:val="24"/>
          <w:highlight w:val="none"/>
        </w:rPr>
        <w:t>0.25MPa</w:t>
      </w:r>
      <w:r>
        <w:rPr>
          <w:rFonts w:hint="eastAsia" w:ascii="Times New Roman" w:hAnsi="Times New Roman" w:eastAsia="宋体" w:cs="Times New Roman"/>
          <w:b w:val="0"/>
          <w:bCs w:val="0"/>
          <w:color w:val="auto"/>
          <w:sz w:val="24"/>
          <w:szCs w:val="24"/>
          <w:highlight w:val="none"/>
        </w:rPr>
        <w:t>，单台200m</w:t>
      </w:r>
      <w:r>
        <w:rPr>
          <w:rFonts w:hint="eastAsia" w:ascii="Times New Roman" w:hAnsi="Times New Roman" w:eastAsia="宋体" w:cs="Times New Roman"/>
          <w:b w:val="0"/>
          <w:bCs w:val="0"/>
          <w:color w:val="auto"/>
          <w:sz w:val="24"/>
          <w:szCs w:val="24"/>
          <w:highlight w:val="none"/>
          <w:vertAlign w:val="superscript"/>
        </w:rPr>
        <w:t>3</w:t>
      </w:r>
      <w:r>
        <w:rPr>
          <w:rFonts w:hint="eastAsia" w:ascii="Times New Roman" w:hAnsi="Times New Roman" w:eastAsia="宋体" w:cs="Times New Roman"/>
          <w:b w:val="0"/>
          <w:bCs w:val="0"/>
          <w:color w:val="auto"/>
          <w:sz w:val="24"/>
          <w:szCs w:val="24"/>
          <w:highlight w:val="none"/>
        </w:rPr>
        <w:t>/h</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rPr>
        <w:t>循环水泵3台（2开1备），单台100m</w:t>
      </w:r>
      <w:r>
        <w:rPr>
          <w:rFonts w:hint="eastAsia" w:ascii="Times New Roman" w:hAnsi="Times New Roman" w:eastAsia="宋体" w:cs="Times New Roman"/>
          <w:b w:val="0"/>
          <w:bCs w:val="0"/>
          <w:color w:val="auto"/>
          <w:sz w:val="24"/>
          <w:szCs w:val="24"/>
          <w:highlight w:val="none"/>
          <w:vertAlign w:val="superscript"/>
        </w:rPr>
        <w:t>3</w:t>
      </w:r>
      <w:r>
        <w:rPr>
          <w:rFonts w:hint="eastAsia" w:ascii="Times New Roman" w:hAnsi="Times New Roman" w:eastAsia="宋体" w:cs="Times New Roman"/>
          <w:b w:val="0"/>
          <w:bCs w:val="0"/>
          <w:color w:val="auto"/>
          <w:sz w:val="24"/>
          <w:szCs w:val="24"/>
          <w:highlight w:val="none"/>
        </w:rPr>
        <w:t>/h，扬程40m。</w:t>
      </w:r>
      <w:r>
        <w:rPr>
          <w:rFonts w:hint="eastAsia" w:ascii="Times New Roman" w:hAnsi="Times New Roman" w:eastAsia="宋体" w:cs="Times New Roman"/>
          <w:b w:val="0"/>
          <w:bCs w:val="0"/>
          <w:color w:val="auto"/>
          <w:sz w:val="24"/>
          <w:szCs w:val="24"/>
          <w:highlight w:val="none"/>
          <w:lang w:val="en-US" w:eastAsia="zh-CN"/>
        </w:rPr>
        <w:t>循环水量为20</w:t>
      </w:r>
      <w:r>
        <w:rPr>
          <w:rFonts w:hint="default" w:ascii="Times New Roman" w:hAnsi="Times New Roman" w:eastAsia="宋体" w:cs="Times New Roman"/>
          <w:b w:val="0"/>
          <w:bCs w:val="0"/>
          <w:color w:val="auto"/>
          <w:sz w:val="24"/>
          <w:szCs w:val="24"/>
          <w:highlight w:val="none"/>
        </w:rPr>
        <w:t>0m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/h</w:t>
      </w:r>
      <w:r>
        <w:rPr>
          <w:rFonts w:hint="eastAsia" w:ascii="Times New Roman" w:hAnsi="Times New Roman" w:eastAsia="宋体" w:cs="Times New Roman"/>
          <w:b w:val="0"/>
          <w:bCs w:val="0"/>
          <w:color w:val="auto"/>
          <w:sz w:val="24"/>
          <w:szCs w:val="24"/>
          <w:highlight w:val="none"/>
        </w:rPr>
        <w:t>。项目</w:t>
      </w:r>
      <w:r>
        <w:rPr>
          <w:rFonts w:hint="eastAsia" w:ascii="Times New Roman" w:hAnsi="Times New Roman" w:eastAsia="宋体" w:cs="Times New Roman"/>
          <w:b w:val="0"/>
          <w:bCs w:val="0"/>
          <w:color w:val="auto"/>
          <w:sz w:val="24"/>
          <w:szCs w:val="24"/>
          <w:highlight w:val="none"/>
          <w:lang w:val="en-US" w:eastAsia="zh-CN"/>
        </w:rPr>
        <w:t>沼气</w:t>
      </w:r>
      <w:r>
        <w:rPr>
          <w:rFonts w:hint="eastAsia" w:ascii="Times New Roman" w:hAnsi="Times New Roman" w:eastAsia="宋体" w:cs="Times New Roman"/>
          <w:b w:val="0"/>
          <w:bCs w:val="0"/>
          <w:color w:val="auto"/>
          <w:sz w:val="24"/>
          <w:szCs w:val="24"/>
          <w:highlight w:val="none"/>
        </w:rPr>
        <w:t>制氢部分循环冷却能力需求量为</w:t>
      </w:r>
      <w:r>
        <w:rPr>
          <w:rFonts w:hint="eastAsia" w:ascii="Times New Roman" w:hAnsi="Times New Roman" w:eastAsia="宋体" w:cs="Times New Roman"/>
          <w:b w:val="0"/>
          <w:bCs w:val="0"/>
          <w:color w:val="auto"/>
          <w:sz w:val="24"/>
          <w:szCs w:val="24"/>
          <w:highlight w:val="none"/>
          <w:lang w:val="en-US" w:eastAsia="zh-CN"/>
        </w:rPr>
        <w:t>75</w:t>
      </w:r>
      <w:r>
        <w:rPr>
          <w:rFonts w:hint="default" w:ascii="Times New Roman" w:hAnsi="Times New Roman" w:eastAsia="宋体" w:cs="Times New Roman"/>
          <w:b w:val="0"/>
          <w:bCs w:val="0"/>
          <w:color w:val="auto"/>
          <w:sz w:val="24"/>
          <w:szCs w:val="24"/>
          <w:highlight w:val="none"/>
        </w:rPr>
        <w:t>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/h</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进水温度32摄氏度，回水温度40摄氏度</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rPr>
        <w:t>，氢气充装部分循环冷却能力需求量为</w:t>
      </w:r>
      <w:r>
        <w:rPr>
          <w:rFonts w:hint="eastAsia" w:ascii="Times New Roman" w:hAnsi="Times New Roman" w:eastAsia="宋体" w:cs="Times New Roman"/>
          <w:b w:val="0"/>
          <w:bCs w:val="0"/>
          <w:color w:val="auto"/>
          <w:sz w:val="24"/>
          <w:szCs w:val="24"/>
          <w:highlight w:val="none"/>
          <w:lang w:val="en-US" w:eastAsia="zh-CN"/>
        </w:rPr>
        <w:t>60</w:t>
      </w:r>
      <w:r>
        <w:rPr>
          <w:rFonts w:hint="default" w:ascii="Times New Roman" w:hAnsi="Times New Roman" w:eastAsia="宋体" w:cs="Times New Roman"/>
          <w:b w:val="0"/>
          <w:bCs w:val="0"/>
          <w:color w:val="auto"/>
          <w:sz w:val="24"/>
          <w:szCs w:val="24"/>
          <w:highlight w:val="none"/>
        </w:rPr>
        <w:t>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/h</w:t>
      </w:r>
      <w:r>
        <w:rPr>
          <w:rFonts w:hint="eastAsia" w:ascii="Times New Roman" w:hAnsi="Times New Roman" w:eastAsia="宋体" w:cs="Times New Roman"/>
          <w:b w:val="0"/>
          <w:bCs w:val="0"/>
          <w:color w:val="auto"/>
          <w:sz w:val="24"/>
          <w:szCs w:val="24"/>
          <w:highlight w:val="none"/>
        </w:rPr>
        <w:t>，冷却塔的设计循环能力为</w:t>
      </w:r>
      <w:r>
        <w:rPr>
          <w:rFonts w:hint="eastAsia" w:ascii="Times New Roman" w:hAnsi="Times New Roman" w:eastAsia="宋体" w:cs="Times New Roman"/>
          <w:b w:val="0"/>
          <w:bCs w:val="0"/>
          <w:color w:val="auto"/>
          <w:sz w:val="24"/>
          <w:szCs w:val="24"/>
          <w:highlight w:val="none"/>
          <w:lang w:val="en-US" w:eastAsia="zh-CN"/>
        </w:rPr>
        <w:t>20</w:t>
      </w:r>
      <w:r>
        <w:rPr>
          <w:rFonts w:hint="default" w:ascii="Times New Roman" w:hAnsi="Times New Roman" w:eastAsia="宋体" w:cs="Times New Roman"/>
          <w:b w:val="0"/>
          <w:bCs w:val="0"/>
          <w:color w:val="auto"/>
          <w:sz w:val="24"/>
          <w:szCs w:val="24"/>
          <w:highlight w:val="none"/>
        </w:rPr>
        <w:t>0m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/h</w:t>
      </w:r>
      <w:r>
        <w:rPr>
          <w:rFonts w:hint="eastAsia" w:ascii="Times New Roman" w:hAnsi="Times New Roman" w:eastAsia="宋体" w:cs="Times New Roman"/>
          <w:b w:val="0"/>
          <w:bCs w:val="0"/>
          <w:color w:val="auto"/>
          <w:sz w:val="24"/>
          <w:szCs w:val="24"/>
          <w:highlight w:val="none"/>
        </w:rPr>
        <w:t>，可满足本项目循环冷却水的要求。项目循环冷却系统补充水为新鲜自来水，循环使用，定期排放。</w:t>
      </w:r>
    </w:p>
    <w:p w14:paraId="199A8D31">
      <w:pPr>
        <w:pStyle w:val="106"/>
        <w:numPr>
          <w:ilvl w:val="0"/>
          <w:numId w:val="0"/>
        </w:numPr>
        <w:spacing w:line="360" w:lineRule="auto"/>
        <w:ind w:firstLine="482" w:firstLineChars="200"/>
        <w:rPr>
          <w:rFonts w:hint="eastAsia" w:ascii="Times New Roman" w:hAnsi="Times New Roman" w:cs="Times New Roman"/>
          <w:b/>
          <w:bCs/>
          <w:color w:val="auto"/>
          <w:highlight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6、</w:t>
      </w:r>
      <w:r>
        <w:rPr>
          <w:rFonts w:hint="eastAsia" w:ascii="Times New Roman" w:hAnsi="Times New Roman" w:cs="Times New Roman"/>
          <w:b/>
          <w:bCs/>
          <w:color w:val="auto"/>
          <w:highlight w:val="none"/>
          <w:lang w:val="en-US" w:eastAsia="zh-CN"/>
        </w:rPr>
        <w:t>脱盐水制备系统</w:t>
      </w:r>
    </w:p>
    <w:p w14:paraId="2F8AFBB1">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项目拟设置</w:t>
      </w:r>
      <w:r>
        <w:rPr>
          <w:rFonts w:hint="default" w:ascii="Times New Roman" w:hAnsi="Times New Roman" w:eastAsia="Times New Roman" w:cs="Times New Roman"/>
          <w:b w:val="0"/>
          <w:bCs w:val="0"/>
          <w:color w:val="auto"/>
          <w:sz w:val="24"/>
          <w:szCs w:val="24"/>
          <w:highlight w:val="none"/>
        </w:rPr>
        <w:t>1</w:t>
      </w:r>
      <w:r>
        <w:rPr>
          <w:rFonts w:hint="default" w:ascii="Times New Roman" w:hAnsi="Times New Roman" w:eastAsia="宋体" w:cs="Times New Roman"/>
          <w:b w:val="0"/>
          <w:bCs w:val="0"/>
          <w:color w:val="auto"/>
          <w:sz w:val="24"/>
          <w:szCs w:val="24"/>
          <w:highlight w:val="none"/>
        </w:rPr>
        <w:t>套脱盐水制备装置（撬装），脱盐水制备能力为</w:t>
      </w:r>
      <w:r>
        <w:rPr>
          <w:rFonts w:hint="default" w:ascii="Times New Roman" w:hAnsi="Times New Roman" w:eastAsia="Times New Roman" w:cs="Times New Roman"/>
          <w:b w:val="0"/>
          <w:bCs w:val="0"/>
          <w:color w:val="auto"/>
          <w:sz w:val="24"/>
          <w:szCs w:val="24"/>
          <w:highlight w:val="none"/>
        </w:rPr>
        <w:t>3</w:t>
      </w:r>
      <w:r>
        <w:rPr>
          <w:rFonts w:hint="default" w:ascii="Times New Roman" w:hAnsi="Times New Roman" w:eastAsia="宋体" w:cs="Times New Roman"/>
          <w:b w:val="0"/>
          <w:bCs w:val="0"/>
          <w:color w:val="auto"/>
          <w:sz w:val="24"/>
          <w:szCs w:val="24"/>
          <w:highlight w:val="none"/>
        </w:rPr>
        <w:t>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/h，制备效率为</w:t>
      </w:r>
      <w:r>
        <w:rPr>
          <w:rFonts w:hint="default" w:ascii="Times New Roman" w:hAnsi="Times New Roman" w:eastAsia="Times New Roman" w:cs="Times New Roman"/>
          <w:b w:val="0"/>
          <w:bCs w:val="0"/>
          <w:color w:val="auto"/>
          <w:sz w:val="24"/>
          <w:szCs w:val="24"/>
          <w:highlight w:val="none"/>
        </w:rPr>
        <w:t>75%</w:t>
      </w:r>
      <w:r>
        <w:rPr>
          <w:rFonts w:hint="default" w:ascii="Times New Roman" w:hAnsi="Times New Roman" w:eastAsia="宋体" w:cs="Times New Roman"/>
          <w:b w:val="0"/>
          <w:bCs w:val="0"/>
          <w:color w:val="auto"/>
          <w:sz w:val="24"/>
          <w:szCs w:val="24"/>
          <w:highlight w:val="none"/>
        </w:rPr>
        <w:t>，项目脱盐水年用量为</w:t>
      </w:r>
      <w:r>
        <w:rPr>
          <w:rFonts w:hint="eastAsia" w:ascii="Times New Roman" w:hAnsi="Times New Roman" w:eastAsia="宋体" w:cs="Times New Roman"/>
          <w:b w:val="0"/>
          <w:bCs w:val="0"/>
          <w:color w:val="auto"/>
          <w:sz w:val="24"/>
          <w:szCs w:val="24"/>
          <w:highlight w:val="none"/>
          <w:lang w:val="en-US" w:eastAsia="zh-CN"/>
        </w:rPr>
        <w:t>8499.39</w:t>
      </w:r>
      <w:r>
        <w:rPr>
          <w:rFonts w:hint="default" w:ascii="Times New Roman" w:hAnsi="Times New Roman" w:eastAsia="宋体" w:cs="Times New Roman"/>
          <w:b w:val="0"/>
          <w:bCs w:val="0"/>
          <w:color w:val="auto"/>
          <w:sz w:val="24"/>
          <w:szCs w:val="24"/>
          <w:highlight w:val="none"/>
        </w:rPr>
        <w:t>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/a</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0.97</w:t>
      </w:r>
      <w:r>
        <w:rPr>
          <w:rFonts w:hint="default" w:ascii="Times New Roman" w:hAnsi="Times New Roman" w:eastAsia="宋体" w:cs="Times New Roman"/>
          <w:b w:val="0"/>
          <w:bCs w:val="0"/>
          <w:color w:val="auto"/>
          <w:sz w:val="24"/>
          <w:szCs w:val="24"/>
          <w:highlight w:val="none"/>
        </w:rPr>
        <w:t>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/h</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，脱盐水制备装置满足脱盐水用量需求。</w:t>
      </w:r>
      <w:r>
        <w:rPr>
          <w:rFonts w:hint="eastAsia" w:ascii="Times New Roman" w:hAnsi="Times New Roman" w:eastAsia="宋体" w:cs="Times New Roman"/>
          <w:b w:val="0"/>
          <w:bCs w:val="0"/>
          <w:color w:val="auto"/>
          <w:sz w:val="24"/>
          <w:szCs w:val="24"/>
          <w:highlight w:val="none"/>
          <w:lang w:val="en-US" w:eastAsia="zh-CN"/>
        </w:rPr>
        <w:t>自来水经脱盐水制备系统（多介质过滤器、吸附过滤器、阻垢剂药箱、过滤器、一级+二级反渗透制备）后制备脱盐水，</w:t>
      </w:r>
      <w:r>
        <w:rPr>
          <w:rFonts w:hint="default" w:ascii="Times New Roman" w:hAnsi="Times New Roman" w:eastAsia="宋体" w:cs="Times New Roman"/>
          <w:b w:val="0"/>
          <w:bCs w:val="0"/>
          <w:color w:val="auto"/>
          <w:sz w:val="24"/>
          <w:szCs w:val="24"/>
          <w:highlight w:val="none"/>
        </w:rPr>
        <w:t>脱盐水制备装置内的活性炭</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滤芯、反渗透膜需定期更换，一年更换一次，委托一般固废处置单位处置。反渗透膜制备脱盐水产生的浓水接管至</w:t>
      </w:r>
      <w:r>
        <w:rPr>
          <w:rFonts w:hint="eastAsia" w:ascii="Times New Roman" w:hAnsi="Times New Roman" w:eastAsia="宋体" w:cs="Times New Roman"/>
          <w:b w:val="0"/>
          <w:bCs w:val="0"/>
          <w:color w:val="auto"/>
          <w:sz w:val="24"/>
          <w:szCs w:val="24"/>
          <w:highlight w:val="none"/>
          <w:lang w:val="en-US" w:eastAsia="zh-CN"/>
        </w:rPr>
        <w:t>田家庵经济开发区污水处理站</w:t>
      </w:r>
      <w:r>
        <w:rPr>
          <w:rFonts w:hint="default" w:ascii="Times New Roman" w:hAnsi="Times New Roman" w:eastAsia="宋体" w:cs="Times New Roman"/>
          <w:b w:val="0"/>
          <w:bCs w:val="0"/>
          <w:color w:val="auto"/>
          <w:sz w:val="24"/>
          <w:szCs w:val="24"/>
          <w:highlight w:val="none"/>
        </w:rPr>
        <w:t>。</w:t>
      </w:r>
    </w:p>
    <w:p w14:paraId="5F1E001A">
      <w:pPr>
        <w:pStyle w:val="106"/>
        <w:numPr>
          <w:ilvl w:val="0"/>
          <w:numId w:val="0"/>
        </w:numPr>
        <w:spacing w:line="360" w:lineRule="auto"/>
        <w:ind w:firstLine="482" w:firstLineChars="200"/>
        <w:rPr>
          <w:rFonts w:hint="eastAsia" w:ascii="Times New Roman" w:hAnsi="Times New Roman" w:cs="Times New Roman"/>
          <w:b/>
          <w:bCs/>
          <w:color w:val="auto"/>
          <w:highlight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7、消防系统</w:t>
      </w:r>
    </w:p>
    <w:p w14:paraId="64707E19">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1）消防供水系统</w:t>
      </w:r>
    </w:p>
    <w:p w14:paraId="224A9B71">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本站为新建综合能源站，站内设置1个30m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92号汽油储罐，1个30m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95号汽油储罐；1个30m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0号柴油储罐。制加氢部分，总储氢质量约2250</w:t>
      </w:r>
      <w:r>
        <w:rPr>
          <w:rFonts w:hint="eastAsia" w:ascii="Times New Roman" w:hAnsi="Times New Roman" w:cs="Times New Roman"/>
          <w:color w:val="auto"/>
          <w:highlight w:val="none"/>
          <w:lang w:val="en-US" w:eastAsia="zh-CN"/>
        </w:rPr>
        <w:t>kg</w:t>
      </w:r>
      <w:r>
        <w:rPr>
          <w:rFonts w:hint="eastAsia" w:ascii="Times New Roman" w:hAnsi="Times New Roman" w:eastAsia="宋体" w:cs="Times New Roman"/>
          <w:color w:val="auto"/>
          <w:highlight w:val="none"/>
          <w:lang w:val="en-US" w:eastAsia="zh-CN"/>
        </w:rPr>
        <w:t>；合建后为二级加油、加氢合建站。依据《汽车加油加气加氢站技术标准》GB50156-2021第12.2.1条规定，加油加氢合建站中的储氢容器应设置消防给水系统。</w:t>
      </w:r>
    </w:p>
    <w:p w14:paraId="2A3BA7B9">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（1）消防水量</w:t>
      </w:r>
    </w:p>
    <w:p w14:paraId="4BA4826C">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依据《汽车加油加气加氢站技术标准》（GB50156-2021）和《消防给水及消火栓系统技术规范》（GB50974-2014），同一时间的火灾次数按一次一处考虑。消防用水最大处为加氢工艺设备区。</w:t>
      </w:r>
    </w:p>
    <w:p w14:paraId="5C9BE5C7">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室外消火栓设计流量20L/s，火灾延续时间3h，一次火灾消防用水量为216m</w:t>
      </w:r>
      <w:r>
        <w:rPr>
          <w:rFonts w:hint="eastAsia"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lang w:val="en-US" w:eastAsia="zh-CN"/>
        </w:rPr>
        <w:t>。</w:t>
      </w:r>
    </w:p>
    <w:p w14:paraId="20657AD6">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（2）消防水源</w:t>
      </w:r>
    </w:p>
    <w:p w14:paraId="2151AC10">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站区内消防用水由工业园区的消防管网提供，园区提供的消防水流量大于20L/S，压力不低于0.25MPa，管径不小于DN150，并且能保证从不同管路引入两根消防管道接至本站。</w:t>
      </w:r>
    </w:p>
    <w:p w14:paraId="47B8E9EE">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（3）消防管网</w:t>
      </w:r>
    </w:p>
    <w:p w14:paraId="50D5A87C">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从园区的消防管网并且从不同管路接自两根供水管道至本站，在站区成环状布置。如有冰冻，地下消防给水管道埋设在冰冻线以下300mm。消防水管网用阀门将其分隔成若干段，每段的消火栓数量不超过5个。</w:t>
      </w:r>
    </w:p>
    <w:p w14:paraId="6F934BA1">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2）其他消防设施</w:t>
      </w:r>
    </w:p>
    <w:p w14:paraId="7444BF98">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依据《汽车加油加气加氢站技术标准》（GB50156-2021）和《建筑灭火器配置设计规范》GB50140-2005，根据站场各建、构筑物的用途功能、火灾危险性等因素配置不同类型、不同规格的灭火器。</w:t>
      </w:r>
    </w:p>
    <w:p w14:paraId="4EE517D6">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灭火器，在新建装置、建筑物内设置足够数量的干粉、泡沫手提式及推车式干粉灭火器，便于快速应急使用。</w:t>
      </w:r>
    </w:p>
    <w:p w14:paraId="4F2AF2FE">
      <w:pPr>
        <w:pStyle w:val="106"/>
        <w:spacing w:line="360" w:lineRule="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火灾报警系统，在新建装置周围设置手动火灾报警按钮；区域控制中心及变电所设置自动火灾报警系统，报警控制盘设于控制中心，由控制中心电话报警至消防站。新建装置设有手动报警按钮及烟感、温感探测器等，信号报至装置控制室内的区域火灾报警控制盘，同时以上信号报至厂消防站。厂区消防站内设三处火灾同时报警的普通受警电话。厂区设立</w:t>
      </w:r>
      <w:r>
        <w:rPr>
          <w:rFonts w:hint="eastAsia" w:ascii="Times New Roman" w:hAnsi="Times New Roman" w:cs="Times New Roman"/>
          <w:color w:val="auto"/>
          <w:highlight w:val="none"/>
          <w:lang w:val="en-US" w:eastAsia="zh-CN"/>
        </w:rPr>
        <w:t>“</w:t>
      </w:r>
      <w:r>
        <w:rPr>
          <w:rFonts w:hint="eastAsia" w:ascii="Times New Roman" w:hAnsi="Times New Roman" w:eastAsia="宋体" w:cs="Times New Roman"/>
          <w:color w:val="auto"/>
          <w:highlight w:val="none"/>
          <w:lang w:val="en-US" w:eastAsia="zh-CN"/>
        </w:rPr>
        <w:t>119</w:t>
      </w:r>
      <w:r>
        <w:rPr>
          <w:rFonts w:hint="eastAsia" w:ascii="Times New Roman" w:hAnsi="Times New Roman" w:cs="Times New Roman"/>
          <w:color w:val="auto"/>
          <w:highlight w:val="none"/>
          <w:lang w:val="en-US" w:eastAsia="zh-CN"/>
        </w:rPr>
        <w:t>”</w:t>
      </w:r>
      <w:r>
        <w:rPr>
          <w:rFonts w:hint="eastAsia" w:ascii="Times New Roman" w:hAnsi="Times New Roman" w:eastAsia="宋体" w:cs="Times New Roman"/>
          <w:color w:val="auto"/>
          <w:highlight w:val="none"/>
          <w:lang w:val="en-US" w:eastAsia="zh-CN"/>
        </w:rPr>
        <w:t>火灾报警专线电话，自动电话用户可拨</w:t>
      </w:r>
      <w:r>
        <w:rPr>
          <w:rFonts w:hint="eastAsia" w:ascii="Times New Roman" w:hAnsi="Times New Roman" w:cs="Times New Roman"/>
          <w:color w:val="auto"/>
          <w:highlight w:val="none"/>
          <w:lang w:val="en-US" w:eastAsia="zh-CN"/>
        </w:rPr>
        <w:t>“</w:t>
      </w:r>
      <w:r>
        <w:rPr>
          <w:rFonts w:hint="eastAsia" w:ascii="Times New Roman" w:hAnsi="Times New Roman" w:eastAsia="宋体" w:cs="Times New Roman"/>
          <w:color w:val="auto"/>
          <w:highlight w:val="none"/>
          <w:lang w:val="en-US" w:eastAsia="zh-CN"/>
        </w:rPr>
        <w:t>119</w:t>
      </w:r>
      <w:r>
        <w:rPr>
          <w:rFonts w:hint="eastAsia" w:ascii="Times New Roman" w:hAnsi="Times New Roman" w:cs="Times New Roman"/>
          <w:color w:val="auto"/>
          <w:highlight w:val="none"/>
          <w:lang w:val="en-US" w:eastAsia="zh-CN"/>
        </w:rPr>
        <w:t>”</w:t>
      </w:r>
      <w:r>
        <w:rPr>
          <w:rFonts w:hint="eastAsia" w:ascii="Times New Roman" w:hAnsi="Times New Roman" w:eastAsia="宋体" w:cs="Times New Roman"/>
          <w:color w:val="auto"/>
          <w:highlight w:val="none"/>
          <w:lang w:val="en-US" w:eastAsia="zh-CN"/>
        </w:rPr>
        <w:t>至消防站进行火灾报警。消防站与消防加压泵站设直通电话，并设无线对讲电话。消防站设可直接报警的外线电话。</w:t>
      </w:r>
    </w:p>
    <w:p w14:paraId="79F21C39">
      <w:pPr>
        <w:pStyle w:val="4"/>
        <w:spacing w:after="156"/>
        <w:rPr>
          <w:rFonts w:hint="eastAsia"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3.1.7总平面布置</w:t>
      </w:r>
      <w:bookmarkEnd w:id="201"/>
      <w:bookmarkEnd w:id="202"/>
      <w:bookmarkEnd w:id="203"/>
      <w:bookmarkEnd w:id="204"/>
      <w:bookmarkEnd w:id="205"/>
    </w:p>
    <w:p w14:paraId="11E5F4AD">
      <w:pPr>
        <w:pStyle w:val="106"/>
        <w:spacing w:line="36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1、项目周边概况</w:t>
      </w:r>
    </w:p>
    <w:p w14:paraId="2D971032">
      <w:pPr>
        <w:pStyle w:val="106"/>
        <w:spacing w:line="360" w:lineRule="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本</w:t>
      </w:r>
      <w:r>
        <w:rPr>
          <w:rFonts w:hint="eastAsia" w:ascii="Times New Roman" w:hAnsi="Times New Roman" w:cs="Times New Roman"/>
          <w:color w:val="auto"/>
          <w:highlight w:val="none"/>
          <w:lang w:val="en-US" w:eastAsia="zh-CN"/>
        </w:rPr>
        <w:t>站</w:t>
      </w:r>
      <w:r>
        <w:rPr>
          <w:rFonts w:hint="default" w:ascii="Times New Roman" w:hAnsi="Times New Roman" w:cs="Times New Roman"/>
          <w:color w:val="auto"/>
          <w:highlight w:val="none"/>
        </w:rPr>
        <w:t>选址</w:t>
      </w:r>
      <w:r>
        <w:rPr>
          <w:rFonts w:hint="eastAsia" w:ascii="Times New Roman" w:hAnsi="Times New Roman" w:cs="Times New Roman"/>
          <w:color w:val="auto"/>
          <w:highlight w:val="none"/>
          <w:lang w:eastAsia="zh-CN"/>
        </w:rPr>
        <w:t>位</w:t>
      </w:r>
      <w:r>
        <w:rPr>
          <w:rFonts w:hint="default" w:ascii="Times New Roman" w:hAnsi="Times New Roman" w:cs="Times New Roman"/>
          <w:color w:val="auto"/>
          <w:highlight w:val="none"/>
        </w:rPr>
        <w:t>于</w:t>
      </w:r>
      <w:r>
        <w:rPr>
          <w:rFonts w:hint="eastAsia" w:ascii="Times New Roman" w:hAnsi="Times New Roman" w:eastAsia="宋体" w:cs="Times New Roman"/>
          <w:color w:val="auto"/>
          <w:sz w:val="24"/>
          <w:highlight w:val="none"/>
        </w:rPr>
        <w:t>安徽省淮南市田家庵区</w:t>
      </w:r>
      <w:r>
        <w:rPr>
          <w:rFonts w:hint="eastAsia" w:ascii="Times New Roman" w:hAnsi="Times New Roman" w:eastAsia="宋体" w:cs="Times New Roman"/>
          <w:color w:val="auto"/>
          <w:sz w:val="24"/>
          <w:highlight w:val="none"/>
          <w:lang w:val="en-US" w:eastAsia="zh-CN"/>
        </w:rPr>
        <w:t>滁新高速与合淮路交叉口往南400m</w:t>
      </w:r>
      <w:r>
        <w:rPr>
          <w:rFonts w:hint="default" w:ascii="Times New Roman" w:hAnsi="Times New Roman" w:cs="Times New Roman"/>
          <w:color w:val="auto"/>
          <w:highlight w:val="none"/>
        </w:rPr>
        <w:t>（中心地理坐标：东经</w:t>
      </w:r>
      <w:r>
        <w:rPr>
          <w:rFonts w:hint="eastAsia" w:ascii="Times New Roman" w:hAnsi="Times New Roman" w:cs="Times New Roman"/>
          <w:color w:val="auto"/>
          <w:highlight w:val="none"/>
          <w:lang w:val="en-US" w:eastAsia="zh-CN"/>
        </w:rPr>
        <w:t>117.001890</w:t>
      </w:r>
      <w:r>
        <w:rPr>
          <w:rFonts w:hint="default" w:ascii="Times New Roman" w:hAnsi="Times New Roman" w:cs="Times New Roman"/>
          <w:color w:val="auto"/>
          <w:highlight w:val="none"/>
          <w:lang w:eastAsia="zh-CN"/>
        </w:rPr>
        <w:t>°、北纬31.</w:t>
      </w:r>
      <w:r>
        <w:rPr>
          <w:rFonts w:hint="eastAsia" w:ascii="Times New Roman" w:hAnsi="Times New Roman" w:cs="Times New Roman"/>
          <w:color w:val="auto"/>
          <w:highlight w:val="none"/>
          <w:lang w:val="en-US" w:eastAsia="zh-CN"/>
        </w:rPr>
        <w:t>525754</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根据现场踏勘，项目拟建地西侧紧邻合淮路（206国道），东侧为滁新高速匝道，北侧为智源路，南侧为理工路。基地周边配套业态齐全，主要为建材相关单位，以工业用地为主。项目厂址周边500m范围内无文物保护、饮用水源地等敏感环境保护目标，距离</w:t>
      </w:r>
      <w:r>
        <w:rPr>
          <w:rFonts w:hint="eastAsia" w:ascii="Times New Roman" w:hAnsi="Times New Roman" w:cs="Times New Roman"/>
          <w:color w:val="auto"/>
          <w:highlight w:val="none"/>
          <w:lang w:eastAsia="zh-CN"/>
        </w:rPr>
        <w:t>本项目</w:t>
      </w:r>
      <w:r>
        <w:rPr>
          <w:rFonts w:hint="default" w:ascii="Times New Roman" w:hAnsi="Times New Roman" w:cs="Times New Roman"/>
          <w:color w:val="auto"/>
          <w:highlight w:val="none"/>
        </w:rPr>
        <w:t>最近的</w:t>
      </w:r>
      <w:r>
        <w:rPr>
          <w:rFonts w:hint="eastAsia" w:ascii="Times New Roman" w:hAnsi="Times New Roman" w:cs="Times New Roman"/>
          <w:color w:val="auto"/>
          <w:highlight w:val="none"/>
          <w:lang w:eastAsia="zh-CN"/>
        </w:rPr>
        <w:t>敏感</w:t>
      </w:r>
      <w:r>
        <w:rPr>
          <w:rFonts w:hint="default" w:ascii="Times New Roman" w:hAnsi="Times New Roman" w:cs="Times New Roman"/>
          <w:color w:val="auto"/>
          <w:highlight w:val="none"/>
        </w:rPr>
        <w:t>点为位于项目</w:t>
      </w:r>
      <w:r>
        <w:rPr>
          <w:rFonts w:hint="eastAsia" w:ascii="Times New Roman" w:hAnsi="Times New Roman" w:cs="Times New Roman"/>
          <w:color w:val="auto"/>
          <w:highlight w:val="none"/>
          <w:lang w:val="en-US" w:eastAsia="zh-CN"/>
        </w:rPr>
        <w:t>北</w:t>
      </w:r>
      <w:r>
        <w:rPr>
          <w:rFonts w:hint="eastAsia" w:ascii="Times New Roman" w:hAnsi="Times New Roman" w:cs="Times New Roman"/>
          <w:color w:val="auto"/>
          <w:highlight w:val="none"/>
          <w:lang w:eastAsia="zh-CN"/>
        </w:rPr>
        <w:t>侧</w:t>
      </w:r>
      <w:r>
        <w:rPr>
          <w:rFonts w:hint="eastAsia" w:cs="Times New Roman"/>
          <w:color w:val="auto"/>
          <w:highlight w:val="none"/>
          <w:lang w:val="en-US" w:eastAsia="zh-CN"/>
        </w:rPr>
        <w:t>408</w:t>
      </w:r>
      <w:r>
        <w:rPr>
          <w:rFonts w:hint="default" w:ascii="Times New Roman" w:hAnsi="Times New Roman" w:cs="Times New Roman"/>
          <w:color w:val="auto"/>
          <w:highlight w:val="none"/>
        </w:rPr>
        <w:t>m处的</w:t>
      </w:r>
      <w:r>
        <w:rPr>
          <w:rFonts w:hint="eastAsia" w:ascii="Times New Roman" w:hAnsi="Times New Roman" w:cs="Times New Roman"/>
          <w:color w:val="auto"/>
          <w:highlight w:val="none"/>
          <w:lang w:val="en-US" w:eastAsia="zh-CN"/>
        </w:rPr>
        <w:t>田家庵经济开发区管委会</w:t>
      </w:r>
      <w:r>
        <w:rPr>
          <w:rFonts w:hint="default" w:ascii="Times New Roman" w:hAnsi="Times New Roman" w:cs="Times New Roman"/>
          <w:color w:val="auto"/>
          <w:highlight w:val="none"/>
        </w:rPr>
        <w:t>。项目地理位置图详见图</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-1，项目周边环境概况详见图</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1</w:t>
      </w:r>
      <w:r>
        <w:rPr>
          <w:rFonts w:hint="default" w:ascii="Times New Roman" w:hAnsi="Times New Roman" w:cs="Times New Roman"/>
          <w:color w:val="auto"/>
          <w:highlight w:val="none"/>
        </w:rPr>
        <w:t>.-2。</w:t>
      </w:r>
    </w:p>
    <w:p w14:paraId="12F15182">
      <w:pPr>
        <w:spacing w:line="360" w:lineRule="auto"/>
        <w:ind w:firstLine="480" w:firstLineChars="200"/>
        <w:jc w:val="left"/>
        <w:rPr>
          <w:rFonts w:hint="eastAsia" w:ascii="Times New Roman" w:hAnsi="Times New Roman" w:eastAsia="宋体"/>
          <w:color w:val="auto"/>
          <w:sz w:val="24"/>
          <w:highlight w:val="none"/>
          <w:lang w:val="en-US"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7F773587">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color w:val="auto"/>
          <w:highlight w:val="none"/>
        </w:rPr>
      </w:pPr>
      <w:r>
        <w:rPr>
          <w:color w:val="auto"/>
          <w:highlight w:val="none"/>
        </w:rPr>
        <w:drawing>
          <wp:anchor distT="0" distB="0" distL="114300" distR="114300" simplePos="0" relativeHeight="251676672" behindDoc="0" locked="0" layoutInCell="1" allowOverlap="1">
            <wp:simplePos x="0" y="0"/>
            <wp:positionH relativeFrom="column">
              <wp:posOffset>7479030</wp:posOffset>
            </wp:positionH>
            <wp:positionV relativeFrom="paragraph">
              <wp:posOffset>142240</wp:posOffset>
            </wp:positionV>
            <wp:extent cx="1297305" cy="962660"/>
            <wp:effectExtent l="0" t="0" r="17145" b="8890"/>
            <wp:wrapNone/>
            <wp:docPr id="18"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69"/>
                    <pic:cNvPicPr>
                      <a:picLocks noChangeAspect="1"/>
                    </pic:cNvPicPr>
                  </pic:nvPicPr>
                  <pic:blipFill>
                    <a:blip r:embed="rId32"/>
                    <a:stretch>
                      <a:fillRect/>
                    </a:stretch>
                  </pic:blipFill>
                  <pic:spPr>
                    <a:xfrm>
                      <a:off x="0" y="0"/>
                      <a:ext cx="1297305" cy="962660"/>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2992120</wp:posOffset>
                </wp:positionH>
                <wp:positionV relativeFrom="paragraph">
                  <wp:posOffset>5016500</wp:posOffset>
                </wp:positionV>
                <wp:extent cx="2605405" cy="339090"/>
                <wp:effectExtent l="0" t="0" r="0" b="0"/>
                <wp:wrapNone/>
                <wp:docPr id="12" name="文本框 73"/>
                <wp:cNvGraphicFramePr/>
                <a:graphic xmlns:a="http://schemas.openxmlformats.org/drawingml/2006/main">
                  <a:graphicData uri="http://schemas.microsoft.com/office/word/2010/wordprocessingShape">
                    <wps:wsp>
                      <wps:cNvSpPr txBox="1"/>
                      <wps:spPr>
                        <a:xfrm>
                          <a:off x="0" y="0"/>
                          <a:ext cx="2605405" cy="339090"/>
                        </a:xfrm>
                        <a:prstGeom prst="rect">
                          <a:avLst/>
                        </a:prstGeom>
                        <a:solidFill>
                          <a:srgbClr val="FFFFFF">
                            <a:alpha val="0"/>
                          </a:srgbClr>
                        </a:solidFill>
                        <a:ln>
                          <a:noFill/>
                        </a:ln>
                      </wps:spPr>
                      <wps:txbx>
                        <w:txbxContent>
                          <w:p w14:paraId="7BCF435B">
                            <w:pPr>
                              <w:jc w:val="center"/>
                              <w:rPr>
                                <w:rFonts w:hint="default" w:eastAsia="宋体"/>
                                <w:b/>
                                <w:bCs/>
                                <w:sz w:val="24"/>
                                <w:szCs w:val="24"/>
                                <w:lang w:val="en-US" w:eastAsia="zh-CN"/>
                              </w:rPr>
                            </w:pPr>
                            <w:r>
                              <w:rPr>
                                <w:rFonts w:hint="eastAsia"/>
                                <w:b/>
                                <w:bCs/>
                                <w:sz w:val="24"/>
                                <w:szCs w:val="24"/>
                                <w:lang w:val="en-US" w:eastAsia="zh-CN"/>
                              </w:rPr>
                              <w:t>图3.1-1  本项目地理位置图</w:t>
                            </w:r>
                          </w:p>
                        </w:txbxContent>
                      </wps:txbx>
                      <wps:bodyPr vert="horz" wrap="square" anchor="t" anchorCtr="0" upright="1"/>
                    </wps:wsp>
                  </a:graphicData>
                </a:graphic>
              </wp:anchor>
            </w:drawing>
          </mc:Choice>
          <mc:Fallback>
            <w:pict>
              <v:shape id="文本框 73" o:spid="_x0000_s1026" o:spt="202" type="#_x0000_t202" style="position:absolute;left:0pt;margin-left:235.6pt;margin-top:395pt;height:26.7pt;width:205.15pt;z-index:251671552;mso-width-relative:page;mso-height-relative:page;" fillcolor="#FFFFFF" filled="t" stroked="f" coordsize="21600,21600" o:gfxdata="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3BFdHZAAAACwEAAA8AAAAAAAAAAQAgAAAAIgAAAGRycy9kb3ducmV2LnhtbFBLAQIUABQAAAAI&#10;AIdO4kDtp3Zn7AEAAMkDAAAOAAAAAAAAAAEAIAAAACgBAABkcnMvZTJvRG9jLnhtbFBLBQYAAAAA&#10;BgAGAFkBAACGBQAAAAA=&#10;">
                <v:fill on="t" opacity="0f" focussize="0,0"/>
                <v:stroke on="f"/>
                <v:imagedata o:title=""/>
                <o:lock v:ext="edit" aspectratio="f"/>
                <v:textbox>
                  <w:txbxContent>
                    <w:p w14:paraId="7BCF435B">
                      <w:pPr>
                        <w:jc w:val="center"/>
                        <w:rPr>
                          <w:rFonts w:hint="default" w:eastAsia="宋体"/>
                          <w:b/>
                          <w:bCs/>
                          <w:sz w:val="24"/>
                          <w:szCs w:val="24"/>
                          <w:lang w:val="en-US" w:eastAsia="zh-CN"/>
                        </w:rPr>
                      </w:pPr>
                      <w:r>
                        <w:rPr>
                          <w:rFonts w:hint="eastAsia"/>
                          <w:b/>
                          <w:bCs/>
                          <w:sz w:val="24"/>
                          <w:szCs w:val="24"/>
                          <w:lang w:val="en-US" w:eastAsia="zh-CN"/>
                        </w:rPr>
                        <w:t>图3.1-1  本项目地理位置图</w:t>
                      </w:r>
                    </w:p>
                  </w:txbxContent>
                </v:textbox>
              </v:shape>
            </w:pict>
          </mc:Fallback>
        </mc:AlternateContent>
      </w:r>
      <w:r>
        <w:rPr>
          <w:color w:val="auto"/>
          <w:highlight w:val="none"/>
        </w:rPr>
        <w:drawing>
          <wp:anchor distT="0" distB="0" distL="114300" distR="114300" simplePos="0" relativeHeight="251677696" behindDoc="0" locked="0" layoutInCell="1" allowOverlap="1">
            <wp:simplePos x="0" y="0"/>
            <wp:positionH relativeFrom="column">
              <wp:posOffset>8058150</wp:posOffset>
            </wp:positionH>
            <wp:positionV relativeFrom="paragraph">
              <wp:posOffset>4784090</wp:posOffset>
            </wp:positionV>
            <wp:extent cx="600075" cy="314325"/>
            <wp:effectExtent l="0" t="0" r="9525" b="9525"/>
            <wp:wrapNone/>
            <wp:docPr id="19"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70"/>
                    <pic:cNvPicPr>
                      <a:picLocks noChangeAspect="1"/>
                    </pic:cNvPicPr>
                  </pic:nvPicPr>
                  <pic:blipFill>
                    <a:blip r:embed="rId33"/>
                    <a:stretch>
                      <a:fillRect/>
                    </a:stretch>
                  </pic:blipFill>
                  <pic:spPr>
                    <a:xfrm>
                      <a:off x="0" y="0"/>
                      <a:ext cx="600075" cy="314325"/>
                    </a:xfrm>
                    <a:prstGeom prst="rect">
                      <a:avLst/>
                    </a:prstGeom>
                    <a:noFill/>
                    <a:ln>
                      <a:noFill/>
                    </a:ln>
                  </pic:spPr>
                </pic:pic>
              </a:graphicData>
            </a:graphic>
          </wp:anchor>
        </w:drawing>
      </w:r>
      <w:r>
        <w:rPr>
          <w:color w:val="auto"/>
          <w:highlight w:val="none"/>
        </w:rPr>
        <w:drawing>
          <wp:inline distT="0" distB="0" distL="114300" distR="114300">
            <wp:extent cx="8855075" cy="5229860"/>
            <wp:effectExtent l="9525" t="9525" r="12700" b="18415"/>
            <wp:docPr id="554"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208"/>
                    <pic:cNvPicPr>
                      <a:picLocks noChangeAspect="1"/>
                    </pic:cNvPicPr>
                  </pic:nvPicPr>
                  <pic:blipFill>
                    <a:blip r:embed="rId34"/>
                    <a:srcRect/>
                    <a:stretch>
                      <a:fillRect/>
                    </a:stretch>
                  </pic:blipFill>
                  <pic:spPr>
                    <a:xfrm>
                      <a:off x="0" y="0"/>
                      <a:ext cx="8855075" cy="522986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04920CBF">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color w:val="auto"/>
          <w:highlight w:val="none"/>
        </w:rPr>
      </w:pPr>
      <w:r>
        <w:rPr>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2773045</wp:posOffset>
                </wp:positionH>
                <wp:positionV relativeFrom="paragraph">
                  <wp:posOffset>4991735</wp:posOffset>
                </wp:positionV>
                <wp:extent cx="2605405" cy="339090"/>
                <wp:effectExtent l="0" t="0" r="0" b="0"/>
                <wp:wrapNone/>
                <wp:docPr id="21" name="文本框 73"/>
                <wp:cNvGraphicFramePr/>
                <a:graphic xmlns:a="http://schemas.openxmlformats.org/drawingml/2006/main">
                  <a:graphicData uri="http://schemas.microsoft.com/office/word/2010/wordprocessingShape">
                    <wps:wsp>
                      <wps:cNvSpPr txBox="1"/>
                      <wps:spPr>
                        <a:xfrm>
                          <a:off x="0" y="0"/>
                          <a:ext cx="2605405" cy="339090"/>
                        </a:xfrm>
                        <a:prstGeom prst="rect">
                          <a:avLst/>
                        </a:prstGeom>
                        <a:solidFill>
                          <a:srgbClr val="FFFFFF">
                            <a:alpha val="0"/>
                          </a:srgbClr>
                        </a:solidFill>
                        <a:ln>
                          <a:noFill/>
                        </a:ln>
                      </wps:spPr>
                      <wps:txbx>
                        <w:txbxContent>
                          <w:p w14:paraId="7EFF0A0D">
                            <w:pPr>
                              <w:jc w:val="center"/>
                              <w:rPr>
                                <w:rFonts w:hint="default" w:eastAsia="宋体"/>
                                <w:b/>
                                <w:bCs/>
                                <w:color w:val="FFFFFF"/>
                                <w:sz w:val="24"/>
                                <w:szCs w:val="24"/>
                                <w:lang w:val="en-US" w:eastAsia="zh-CN"/>
                              </w:rPr>
                            </w:pPr>
                            <w:r>
                              <w:rPr>
                                <w:rFonts w:hint="eastAsia"/>
                                <w:b/>
                                <w:bCs/>
                                <w:color w:val="FFFFFF"/>
                                <w:sz w:val="24"/>
                                <w:szCs w:val="24"/>
                                <w:lang w:val="en-US" w:eastAsia="zh-CN"/>
                              </w:rPr>
                              <w:t>图3.1-2  本项目周边环境示意图</w:t>
                            </w:r>
                          </w:p>
                        </w:txbxContent>
                      </wps:txbx>
                      <wps:bodyPr wrap="square" upright="1"/>
                    </wps:wsp>
                  </a:graphicData>
                </a:graphic>
              </wp:anchor>
            </w:drawing>
          </mc:Choice>
          <mc:Fallback>
            <w:pict>
              <v:shape id="文本框 73" o:spid="_x0000_s1026" o:spt="202" type="#_x0000_t202" style="position:absolute;left:0pt;margin-left:218.35pt;margin-top:393.05pt;height:26.7pt;width:205.15pt;z-index:251679744;mso-width-relative:page;mso-height-relative:page;" fillcolor="#FFFFFF" filled="t" stroked="f" coordsize="21600,21600" o:gfxdata="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F5GHVraAAAACwEAAA8AAAAA&#10;AAAAAQAgAAAAIgAAAGRycy9kb3ducmV2LnhtbFBLAQIUABQAAAAIAIdO4kCEBKHX2QEAAKQDAAAO&#10;AAAAAAAAAAEAIAAAACkBAABkcnMvZTJvRG9jLnhtbFBLBQYAAAAABgAGAFkBAAB0BQAAAAA=&#10;">
                <v:fill on="t" opacity="0f" focussize="0,0"/>
                <v:stroke on="f"/>
                <v:imagedata o:title=""/>
                <o:lock v:ext="edit" aspectratio="f"/>
                <v:textbox>
                  <w:txbxContent>
                    <w:p w14:paraId="7EFF0A0D">
                      <w:pPr>
                        <w:jc w:val="center"/>
                        <w:rPr>
                          <w:rFonts w:hint="default" w:eastAsia="宋体"/>
                          <w:b/>
                          <w:bCs/>
                          <w:color w:val="FFFFFF"/>
                          <w:sz w:val="24"/>
                          <w:szCs w:val="24"/>
                          <w:lang w:val="en-US" w:eastAsia="zh-CN"/>
                        </w:rPr>
                      </w:pPr>
                      <w:r>
                        <w:rPr>
                          <w:rFonts w:hint="eastAsia"/>
                          <w:b/>
                          <w:bCs/>
                          <w:color w:val="FFFFFF"/>
                          <w:sz w:val="24"/>
                          <w:szCs w:val="24"/>
                          <w:lang w:val="en-US" w:eastAsia="zh-CN"/>
                        </w:rPr>
                        <w:t>图3.1-2  本项目周边环境示意图</w:t>
                      </w:r>
                    </w:p>
                  </w:txbxContent>
                </v:textbox>
              </v:shape>
            </w:pict>
          </mc:Fallback>
        </mc:AlternateContent>
      </w:r>
      <w:r>
        <w:rPr>
          <w:color w:val="auto"/>
          <w:sz w:val="21"/>
          <w:highlight w:val="none"/>
        </w:rPr>
        <mc:AlternateContent>
          <mc:Choice Requires="wps">
            <w:drawing>
              <wp:anchor distT="0" distB="0" distL="114300" distR="114300" simplePos="0" relativeHeight="251685888" behindDoc="0" locked="0" layoutInCell="1" allowOverlap="1">
                <wp:simplePos x="0" y="0"/>
                <wp:positionH relativeFrom="column">
                  <wp:posOffset>1105535</wp:posOffset>
                </wp:positionH>
                <wp:positionV relativeFrom="paragraph">
                  <wp:posOffset>3562985</wp:posOffset>
                </wp:positionV>
                <wp:extent cx="1834515" cy="567690"/>
                <wp:effectExtent l="0" t="0" r="0" b="0"/>
                <wp:wrapNone/>
                <wp:docPr id="27" name="文本框 73"/>
                <wp:cNvGraphicFramePr/>
                <a:graphic xmlns:a="http://schemas.openxmlformats.org/drawingml/2006/main">
                  <a:graphicData uri="http://schemas.microsoft.com/office/word/2010/wordprocessingShape">
                    <wps:wsp>
                      <wps:cNvSpPr txBox="1"/>
                      <wps:spPr>
                        <a:xfrm>
                          <a:off x="0" y="0"/>
                          <a:ext cx="1834515" cy="567690"/>
                        </a:xfrm>
                        <a:prstGeom prst="rect">
                          <a:avLst/>
                        </a:prstGeom>
                        <a:solidFill>
                          <a:srgbClr val="FFFFFF">
                            <a:alpha val="0"/>
                          </a:srgbClr>
                        </a:solidFill>
                        <a:ln>
                          <a:noFill/>
                        </a:ln>
                      </wps:spPr>
                      <wps:txbx>
                        <w:txbxContent>
                          <w:p w14:paraId="0CB50600">
                            <w:pPr>
                              <w:jc w:val="center"/>
                              <w:rPr>
                                <w:rFonts w:hint="default" w:eastAsia="宋体"/>
                                <w:b/>
                                <w:bCs/>
                                <w:color w:val="FFFFFF"/>
                                <w:sz w:val="24"/>
                                <w:szCs w:val="24"/>
                                <w:lang w:val="en-US" w:eastAsia="zh-CN"/>
                              </w:rPr>
                            </w:pPr>
                            <w:r>
                              <w:rPr>
                                <w:rFonts w:hint="eastAsia"/>
                                <w:b/>
                                <w:bCs/>
                                <w:color w:val="FFFFFF"/>
                                <w:sz w:val="24"/>
                                <w:szCs w:val="24"/>
                                <w:lang w:val="en-US" w:eastAsia="zh-CN"/>
                              </w:rPr>
                              <w:t>质达纳电厂房</w:t>
                            </w:r>
                          </w:p>
                        </w:txbxContent>
                      </wps:txbx>
                      <wps:bodyPr vert="horz" wrap="square" anchor="t" anchorCtr="0" upright="1"/>
                    </wps:wsp>
                  </a:graphicData>
                </a:graphic>
              </wp:anchor>
            </w:drawing>
          </mc:Choice>
          <mc:Fallback>
            <w:pict>
              <v:shape id="文本框 73" o:spid="_x0000_s1026" o:spt="202" type="#_x0000_t202" style="position:absolute;left:0pt;margin-left:87.05pt;margin-top:280.55pt;height:44.7pt;width:144.45pt;z-index:251685888;mso-width-relative:page;mso-height-relative:page;" fillcolor="#FFFFFF" filled="t" stroked="f" coordsize="21600,21600" o:gfxdata="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NHRyrYAAAACwEAAA8AAAAAAAAAAQAgAAAAIgAAAGRycy9kb3ducmV2LnhtbFBLAQIUABQAAAAI&#10;AIdO4kCR1oYD7QEAAMkDAAAOAAAAAAAAAAEAIAAAACcBAABkcnMvZTJvRG9jLnhtbFBLBQYAAAAA&#10;BgAGAFkBAACGBQAAAAA=&#10;">
                <v:fill on="t" opacity="0f" focussize="0,0"/>
                <v:stroke on="f"/>
                <v:imagedata o:title=""/>
                <o:lock v:ext="edit" aspectratio="f"/>
                <v:textbox>
                  <w:txbxContent>
                    <w:p w14:paraId="0CB50600">
                      <w:pPr>
                        <w:jc w:val="center"/>
                        <w:rPr>
                          <w:rFonts w:hint="default" w:eastAsia="宋体"/>
                          <w:b/>
                          <w:bCs/>
                          <w:color w:val="FFFFFF"/>
                          <w:sz w:val="24"/>
                          <w:szCs w:val="24"/>
                          <w:lang w:val="en-US" w:eastAsia="zh-CN"/>
                        </w:rPr>
                      </w:pPr>
                      <w:r>
                        <w:rPr>
                          <w:rFonts w:hint="eastAsia"/>
                          <w:b/>
                          <w:bCs/>
                          <w:color w:val="FFFFFF"/>
                          <w:sz w:val="24"/>
                          <w:szCs w:val="24"/>
                          <w:lang w:val="en-US" w:eastAsia="zh-CN"/>
                        </w:rPr>
                        <w:t>质达纳电厂房</w:t>
                      </w:r>
                    </w:p>
                  </w:txbxContent>
                </v:textbox>
              </v:shape>
            </w:pict>
          </mc:Fallback>
        </mc:AlternateContent>
      </w:r>
      <w:r>
        <w:rPr>
          <w:color w:val="auto"/>
          <w:highlight w:val="none"/>
        </w:rPr>
        <w:drawing>
          <wp:anchor distT="0" distB="0" distL="114300" distR="114300" simplePos="0" relativeHeight="251688960" behindDoc="0" locked="0" layoutInCell="1" allowOverlap="1">
            <wp:simplePos x="0" y="0"/>
            <wp:positionH relativeFrom="column">
              <wp:posOffset>7526655</wp:posOffset>
            </wp:positionH>
            <wp:positionV relativeFrom="paragraph">
              <wp:posOffset>184150</wp:posOffset>
            </wp:positionV>
            <wp:extent cx="1297305" cy="962660"/>
            <wp:effectExtent l="0" t="0" r="17145" b="8890"/>
            <wp:wrapNone/>
            <wp:docPr id="30" name="图片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83"/>
                    <pic:cNvPicPr>
                      <a:picLocks noChangeAspect="1"/>
                    </pic:cNvPicPr>
                  </pic:nvPicPr>
                  <pic:blipFill>
                    <a:blip r:embed="rId32"/>
                    <a:stretch>
                      <a:fillRect/>
                    </a:stretch>
                  </pic:blipFill>
                  <pic:spPr>
                    <a:xfrm>
                      <a:off x="0" y="0"/>
                      <a:ext cx="1297305" cy="962660"/>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687936" behindDoc="0" locked="0" layoutInCell="1" allowOverlap="1">
                <wp:simplePos x="0" y="0"/>
                <wp:positionH relativeFrom="column">
                  <wp:posOffset>2972435</wp:posOffset>
                </wp:positionH>
                <wp:positionV relativeFrom="paragraph">
                  <wp:posOffset>2753360</wp:posOffset>
                </wp:positionV>
                <wp:extent cx="1834515" cy="339090"/>
                <wp:effectExtent l="0" t="0" r="0" b="0"/>
                <wp:wrapNone/>
                <wp:docPr id="29" name="文本框 73"/>
                <wp:cNvGraphicFramePr/>
                <a:graphic xmlns:a="http://schemas.openxmlformats.org/drawingml/2006/main">
                  <a:graphicData uri="http://schemas.microsoft.com/office/word/2010/wordprocessingShape">
                    <wps:wsp>
                      <wps:cNvSpPr txBox="1"/>
                      <wps:spPr>
                        <a:xfrm>
                          <a:off x="0" y="0"/>
                          <a:ext cx="1834515" cy="339090"/>
                        </a:xfrm>
                        <a:prstGeom prst="rect">
                          <a:avLst/>
                        </a:prstGeom>
                        <a:solidFill>
                          <a:srgbClr val="FFFFFF">
                            <a:alpha val="0"/>
                          </a:srgbClr>
                        </a:solidFill>
                        <a:ln>
                          <a:noFill/>
                        </a:ln>
                      </wps:spPr>
                      <wps:txbx>
                        <w:txbxContent>
                          <w:p w14:paraId="0E2E207B">
                            <w:pPr>
                              <w:jc w:val="center"/>
                              <w:rPr>
                                <w:rFonts w:hint="default" w:eastAsia="宋体"/>
                                <w:b/>
                                <w:bCs/>
                                <w:color w:val="FFFFFF"/>
                                <w:sz w:val="24"/>
                                <w:szCs w:val="24"/>
                                <w:lang w:val="en-US" w:eastAsia="zh-CN"/>
                              </w:rPr>
                            </w:pPr>
                            <w:r>
                              <w:rPr>
                                <w:rFonts w:hint="eastAsia"/>
                                <w:b/>
                                <w:bCs/>
                                <w:color w:val="FFFFFF"/>
                                <w:sz w:val="24"/>
                                <w:szCs w:val="24"/>
                                <w:lang w:val="en-US" w:eastAsia="zh-CN"/>
                              </w:rPr>
                              <w:t>本项目地</w:t>
                            </w:r>
                          </w:p>
                        </w:txbxContent>
                      </wps:txbx>
                      <wps:bodyPr wrap="square" upright="1"/>
                    </wps:wsp>
                  </a:graphicData>
                </a:graphic>
              </wp:anchor>
            </w:drawing>
          </mc:Choice>
          <mc:Fallback>
            <w:pict>
              <v:shape id="文本框 73" o:spid="_x0000_s1026" o:spt="202" type="#_x0000_t202" style="position:absolute;left:0pt;margin-left:234.05pt;margin-top:216.8pt;height:26.7pt;width:144.45pt;z-index:251687936;mso-width-relative:page;mso-height-relative:page;" fillcolor="#FFFFFF" filled="t" stroked="f" coordsize="21600,21600" o:gfxdata="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HXmA5tcAAAALAQAADwAAAAAAAAAB&#10;ACAAAAAiAAAAZHJzL2Rvd25yZXYueG1sUEsBAhQAFAAAAAgAh07iQJd6hirYAQAApAMAAA4AAAAA&#10;AAAAAQAgAAAAJgEAAGRycy9lMm9Eb2MueG1sUEsFBgAAAAAGAAYAWQEAAHAFAAAAAA==&#10;">
                <v:fill on="t" opacity="0f" focussize="0,0"/>
                <v:stroke on="f"/>
                <v:imagedata o:title=""/>
                <o:lock v:ext="edit" aspectratio="f"/>
                <v:textbox>
                  <w:txbxContent>
                    <w:p w14:paraId="0E2E207B">
                      <w:pPr>
                        <w:jc w:val="center"/>
                        <w:rPr>
                          <w:rFonts w:hint="default" w:eastAsia="宋体"/>
                          <w:b/>
                          <w:bCs/>
                          <w:color w:val="FFFFFF"/>
                          <w:sz w:val="24"/>
                          <w:szCs w:val="24"/>
                          <w:lang w:val="en-US" w:eastAsia="zh-CN"/>
                        </w:rPr>
                      </w:pPr>
                      <w:r>
                        <w:rPr>
                          <w:rFonts w:hint="eastAsia"/>
                          <w:b/>
                          <w:bCs/>
                          <w:color w:val="FFFFFF"/>
                          <w:sz w:val="24"/>
                          <w:szCs w:val="24"/>
                          <w:lang w:val="en-US" w:eastAsia="zh-CN"/>
                        </w:rPr>
                        <w:t>本项目地</w:t>
                      </w:r>
                    </w:p>
                  </w:txbxContent>
                </v:textbox>
              </v:shape>
            </w:pict>
          </mc:Fallback>
        </mc:AlternateContent>
      </w:r>
      <w:r>
        <w:rPr>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2884170</wp:posOffset>
                </wp:positionH>
                <wp:positionV relativeFrom="paragraph">
                  <wp:posOffset>1295400</wp:posOffset>
                </wp:positionV>
                <wp:extent cx="713740" cy="295275"/>
                <wp:effectExtent l="72390" t="4445" r="13970" b="481330"/>
                <wp:wrapNone/>
                <wp:docPr id="28" name="自选图形 781"/>
                <wp:cNvGraphicFramePr/>
                <a:graphic xmlns:a="http://schemas.openxmlformats.org/drawingml/2006/main">
                  <a:graphicData uri="http://schemas.microsoft.com/office/word/2010/wordprocessingShape">
                    <wps:wsp>
                      <wps:cNvSpPr/>
                      <wps:spPr>
                        <a:xfrm>
                          <a:off x="0" y="0"/>
                          <a:ext cx="713740" cy="295275"/>
                        </a:xfrm>
                        <a:prstGeom prst="wedgeRectCallout">
                          <a:avLst>
                            <a:gd name="adj1" fmla="val -57912"/>
                            <a:gd name="adj2" fmla="val 202903"/>
                          </a:avLst>
                        </a:prstGeom>
                        <a:solidFill>
                          <a:srgbClr val="FFFFFF"/>
                        </a:solidFill>
                        <a:ln w="9525" cap="flat" cmpd="sng">
                          <a:solidFill>
                            <a:srgbClr val="000000"/>
                          </a:solidFill>
                          <a:prstDash val="solid"/>
                          <a:miter/>
                          <a:headEnd type="none" w="med" len="med"/>
                          <a:tailEnd type="none" w="med" len="med"/>
                        </a:ln>
                      </wps:spPr>
                      <wps:txbx>
                        <w:txbxContent>
                          <w:p w14:paraId="18FA7C94">
                            <w:pPr>
                              <w:rPr>
                                <w:rFonts w:hint="eastAsia" w:eastAsia="宋体"/>
                                <w:lang w:val="en-US" w:eastAsia="zh-CN"/>
                              </w:rPr>
                            </w:pPr>
                            <w:r>
                              <w:rPr>
                                <w:rFonts w:hint="eastAsia"/>
                                <w:lang w:val="en-US" w:eastAsia="zh-CN"/>
                              </w:rPr>
                              <w:t>合淮路</w:t>
                            </w:r>
                          </w:p>
                        </w:txbxContent>
                      </wps:txbx>
                      <wps:bodyPr vert="horz" wrap="square" anchor="t" anchorCtr="0" upright="1"/>
                    </wps:wsp>
                  </a:graphicData>
                </a:graphic>
              </wp:anchor>
            </w:drawing>
          </mc:Choice>
          <mc:Fallback>
            <w:pict>
              <v:shape id="自选图形 781" o:spid="_x0000_s1026" o:spt="61" type="#_x0000_t61" style="position:absolute;left:0pt;margin-left:227.1pt;margin-top:102pt;height:23.25pt;width:56.2pt;z-index:251686912;mso-width-relative:page;mso-height-relative:page;" fillcolor="#FFFFFF" filled="t" stroked="t" coordsize="21600,21600" o:gfxdata="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xnlIPY&#10;AAAACwEAAA8AAAAAAAAAAQAgAAAAIgAAAGRycy9kb3ducmV2LnhtbFBLAQIUABQAAAAIAIdO4kCM&#10;MZHMWQIAAMMEAAAOAAAAAAAAAAEAIAAAACcBAABkcnMvZTJvRG9jLnhtbFBLBQYAAAAABgAGAFkB&#10;AADyBQAAAAA=&#10;" adj="-1709,54627">
                <v:fill on="t" focussize="0,0"/>
                <v:stroke color="#000000" joinstyle="miter"/>
                <v:imagedata o:title=""/>
                <o:lock v:ext="edit" aspectratio="f"/>
                <v:textbox>
                  <w:txbxContent>
                    <w:p w14:paraId="18FA7C94">
                      <w:pPr>
                        <w:rPr>
                          <w:rFonts w:hint="eastAsia" w:eastAsia="宋体"/>
                          <w:lang w:val="en-US" w:eastAsia="zh-CN"/>
                        </w:rPr>
                      </w:pPr>
                      <w:r>
                        <w:rPr>
                          <w:rFonts w:hint="eastAsia"/>
                          <w:lang w:val="en-US" w:eastAsia="zh-CN"/>
                        </w:rPr>
                        <w:t>合淮路</w:t>
                      </w:r>
                    </w:p>
                  </w:txbxContent>
                </v:textbox>
              </v:shape>
            </w:pict>
          </mc:Fallback>
        </mc:AlternateContent>
      </w:r>
      <w:r>
        <w:rPr>
          <w:color w:val="auto"/>
          <w:sz w:val="21"/>
          <w:highlight w:val="none"/>
        </w:rPr>
        <mc:AlternateContent>
          <mc:Choice Requires="wps">
            <w:drawing>
              <wp:anchor distT="0" distB="0" distL="114300" distR="114300" simplePos="0" relativeHeight="251684864" behindDoc="0" locked="0" layoutInCell="1" allowOverlap="1">
                <wp:simplePos x="0" y="0"/>
                <wp:positionH relativeFrom="column">
                  <wp:posOffset>140970</wp:posOffset>
                </wp:positionH>
                <wp:positionV relativeFrom="paragraph">
                  <wp:posOffset>2895600</wp:posOffset>
                </wp:positionV>
                <wp:extent cx="3200400" cy="2371725"/>
                <wp:effectExtent l="6350" t="5715" r="12700" b="22860"/>
                <wp:wrapNone/>
                <wp:docPr id="26" name="任意多边形 778"/>
                <wp:cNvGraphicFramePr/>
                <a:graphic xmlns:a="http://schemas.openxmlformats.org/drawingml/2006/main">
                  <a:graphicData uri="http://schemas.microsoft.com/office/word/2010/wordprocessingShape">
                    <wps:wsp>
                      <wps:cNvSpPr/>
                      <wps:spPr>
                        <a:xfrm>
                          <a:off x="0" y="0"/>
                          <a:ext cx="3200400" cy="2371725"/>
                        </a:xfrm>
                        <a:custGeom>
                          <a:avLst/>
                          <a:gdLst/>
                          <a:ahLst/>
                          <a:cxnLst/>
                          <a:pathLst>
                            <a:path w="5040" h="3735">
                              <a:moveTo>
                                <a:pt x="0" y="1050"/>
                              </a:moveTo>
                              <a:lnTo>
                                <a:pt x="4080" y="0"/>
                              </a:lnTo>
                              <a:lnTo>
                                <a:pt x="5040" y="2370"/>
                              </a:lnTo>
                              <a:lnTo>
                                <a:pt x="1050" y="3735"/>
                              </a:lnTo>
                              <a:lnTo>
                                <a:pt x="0" y="1050"/>
                              </a:lnTo>
                              <a:close/>
                            </a:path>
                          </a:pathLst>
                        </a:custGeom>
                        <a:solidFill>
                          <a:srgbClr val="92D050">
                            <a:alpha val="50000"/>
                          </a:srgbClr>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任意多边形 778" o:spid="_x0000_s1026" o:spt="100" style="position:absolute;left:0pt;margin-left:11.1pt;margin-top:228pt;height:186.75pt;width:252pt;z-index:251684864;mso-width-relative:page;mso-height-relative:page;" fillcolor="#92D050" filled="t" stroked="t" coordsize="5040,3735" o:gfxdata="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FPrhhNkAAAAKAQAADwAAAAAAAAABACAAAAAiAAAAZHJzL2Rvd25yZXYueG1sUEsB&#10;AhQAFAAAAAgAh07iQBQLtTSfAgAAowUAAA4AAAAAAAAAAQAgAAAAKAEAAGRycy9lMm9Eb2MueG1s&#10;UEsFBgAAAAAGAAYAWQEAADkGAAAAAA==&#10;" path="m0,1050l4080,0,5040,2370,1050,3735,0,1050xe">
                <v:fill on="t" opacity="32768f" focussize="0,0"/>
                <v:stroke color="#000000" joinstyle="miter"/>
                <v:imagedata o:title=""/>
                <o:lock v:ext="edit" aspectratio="f"/>
              </v:shape>
            </w:pict>
          </mc:Fallback>
        </mc:AlternateContent>
      </w:r>
      <w:r>
        <w:rPr>
          <w:color w:val="auto"/>
          <w:sz w:val="21"/>
          <w:highlight w:val="none"/>
        </w:rPr>
        <mc:AlternateContent>
          <mc:Choice Requires="wps">
            <w:drawing>
              <wp:anchor distT="0" distB="0" distL="114300" distR="114300" simplePos="0" relativeHeight="251680768" behindDoc="0" locked="0" layoutInCell="1" allowOverlap="1">
                <wp:simplePos x="0" y="0"/>
                <wp:positionH relativeFrom="column">
                  <wp:posOffset>220345</wp:posOffset>
                </wp:positionH>
                <wp:positionV relativeFrom="paragraph">
                  <wp:posOffset>2200910</wp:posOffset>
                </wp:positionV>
                <wp:extent cx="2605405" cy="339090"/>
                <wp:effectExtent l="0" t="0" r="0" b="0"/>
                <wp:wrapNone/>
                <wp:docPr id="22" name="文本框 73"/>
                <wp:cNvGraphicFramePr/>
                <a:graphic xmlns:a="http://schemas.openxmlformats.org/drawingml/2006/main">
                  <a:graphicData uri="http://schemas.microsoft.com/office/word/2010/wordprocessingShape">
                    <wps:wsp>
                      <wps:cNvSpPr txBox="1"/>
                      <wps:spPr>
                        <a:xfrm>
                          <a:off x="0" y="0"/>
                          <a:ext cx="2605405" cy="339090"/>
                        </a:xfrm>
                        <a:prstGeom prst="rect">
                          <a:avLst/>
                        </a:prstGeom>
                        <a:solidFill>
                          <a:srgbClr val="FFFFFF">
                            <a:alpha val="0"/>
                          </a:srgbClr>
                        </a:solidFill>
                        <a:ln>
                          <a:noFill/>
                        </a:ln>
                      </wps:spPr>
                      <wps:txbx>
                        <w:txbxContent>
                          <w:p w14:paraId="63FF3A0D">
                            <w:pPr>
                              <w:jc w:val="center"/>
                              <w:rPr>
                                <w:rFonts w:hint="default" w:eastAsia="宋体"/>
                                <w:b/>
                                <w:bCs/>
                                <w:color w:val="FFFFFF"/>
                                <w:sz w:val="24"/>
                                <w:szCs w:val="24"/>
                                <w:lang w:val="en-US" w:eastAsia="zh-CN"/>
                              </w:rPr>
                            </w:pPr>
                            <w:r>
                              <w:rPr>
                                <w:rFonts w:hint="eastAsia"/>
                                <w:b/>
                                <w:bCs/>
                                <w:color w:val="FFFFFF"/>
                                <w:sz w:val="24"/>
                                <w:szCs w:val="24"/>
                                <w:lang w:val="en-US" w:eastAsia="zh-CN"/>
                              </w:rPr>
                              <w:t>坤红新型环保建材有限公司</w:t>
                            </w:r>
                          </w:p>
                        </w:txbxContent>
                      </wps:txbx>
                      <wps:bodyPr wrap="square" upright="1"/>
                    </wps:wsp>
                  </a:graphicData>
                </a:graphic>
              </wp:anchor>
            </w:drawing>
          </mc:Choice>
          <mc:Fallback>
            <w:pict>
              <v:shape id="文本框 73" o:spid="_x0000_s1026" o:spt="202" type="#_x0000_t202" style="position:absolute;left:0pt;margin-left:17.35pt;margin-top:173.3pt;height:26.7pt;width:205.15pt;z-index:251680768;mso-width-relative:page;mso-height-relative:page;" fillcolor="#FFFFFF" filled="t" stroked="f" coordsize="21600,21600" o:gfxdata="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GMlSA2AAAAAoBAAAPAAAAAAAA&#10;AAEAIAAAACIAAABkcnMvZG93bnJldi54bWxQSwECFAAUAAAACACHTuJAUmY+CtkBAACkAwAADgAA&#10;AAAAAAABACAAAAAnAQAAZHJzL2Uyb0RvYy54bWxQSwUGAAAAAAYABgBZAQAAcgUAAAAA&#10;">
                <v:fill on="t" opacity="0f" focussize="0,0"/>
                <v:stroke on="f"/>
                <v:imagedata o:title=""/>
                <o:lock v:ext="edit" aspectratio="f"/>
                <v:textbox>
                  <w:txbxContent>
                    <w:p w14:paraId="63FF3A0D">
                      <w:pPr>
                        <w:jc w:val="center"/>
                        <w:rPr>
                          <w:rFonts w:hint="default" w:eastAsia="宋体"/>
                          <w:b/>
                          <w:bCs/>
                          <w:color w:val="FFFFFF"/>
                          <w:sz w:val="24"/>
                          <w:szCs w:val="24"/>
                          <w:lang w:val="en-US" w:eastAsia="zh-CN"/>
                        </w:rPr>
                      </w:pPr>
                      <w:r>
                        <w:rPr>
                          <w:rFonts w:hint="eastAsia"/>
                          <w:b/>
                          <w:bCs/>
                          <w:color w:val="FFFFFF"/>
                          <w:sz w:val="24"/>
                          <w:szCs w:val="24"/>
                          <w:lang w:val="en-US" w:eastAsia="zh-CN"/>
                        </w:rPr>
                        <w:t>坤红新型环保建材有限公司</w:t>
                      </w:r>
                    </w:p>
                  </w:txbxContent>
                </v:textbox>
              </v:shape>
            </w:pict>
          </mc:Fallback>
        </mc:AlternateContent>
      </w:r>
      <w:r>
        <w:rPr>
          <w:color w:val="auto"/>
          <w:sz w:val="21"/>
          <w:highlight w:val="none"/>
        </w:rPr>
        <mc:AlternateContent>
          <mc:Choice Requires="wps">
            <w:drawing>
              <wp:anchor distT="0" distB="0" distL="114300" distR="114300" simplePos="0" relativeHeight="251683840" behindDoc="0" locked="0" layoutInCell="1" allowOverlap="1">
                <wp:simplePos x="0" y="0"/>
                <wp:positionH relativeFrom="column">
                  <wp:posOffset>369570</wp:posOffset>
                </wp:positionH>
                <wp:positionV relativeFrom="paragraph">
                  <wp:posOffset>1819275</wp:posOffset>
                </wp:positionV>
                <wp:extent cx="2257425" cy="1028700"/>
                <wp:effectExtent l="4445" t="5715" r="24130" b="13335"/>
                <wp:wrapNone/>
                <wp:docPr id="25" name="任意多边形 777"/>
                <wp:cNvGraphicFramePr/>
                <a:graphic xmlns:a="http://schemas.openxmlformats.org/drawingml/2006/main">
                  <a:graphicData uri="http://schemas.microsoft.com/office/word/2010/wordprocessingShape">
                    <wps:wsp>
                      <wps:cNvSpPr/>
                      <wps:spPr>
                        <a:xfrm>
                          <a:off x="0" y="0"/>
                          <a:ext cx="2257425" cy="1028700"/>
                        </a:xfrm>
                        <a:custGeom>
                          <a:avLst/>
                          <a:gdLst/>
                          <a:ahLst/>
                          <a:cxnLst/>
                          <a:pathLst>
                            <a:path w="3555" h="1620">
                              <a:moveTo>
                                <a:pt x="60" y="300"/>
                              </a:moveTo>
                              <a:lnTo>
                                <a:pt x="1725" y="360"/>
                              </a:lnTo>
                              <a:lnTo>
                                <a:pt x="3285" y="0"/>
                              </a:lnTo>
                              <a:lnTo>
                                <a:pt x="3555" y="930"/>
                              </a:lnTo>
                              <a:lnTo>
                                <a:pt x="0" y="1620"/>
                              </a:lnTo>
                              <a:lnTo>
                                <a:pt x="0" y="330"/>
                              </a:lnTo>
                              <a:lnTo>
                                <a:pt x="60" y="300"/>
                              </a:lnTo>
                              <a:close/>
                            </a:path>
                          </a:pathLst>
                        </a:custGeom>
                        <a:solidFill>
                          <a:srgbClr val="92D050">
                            <a:alpha val="50000"/>
                          </a:srgbClr>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任意多边形 777" o:spid="_x0000_s1026" o:spt="100" style="position:absolute;left:0pt;margin-left:29.1pt;margin-top:143.25pt;height:81pt;width:177.75pt;z-index:251683840;mso-width-relative:page;mso-height-relative:page;" fillcolor="#92D050" filled="t" stroked="t" coordsize="3555,1620" o:gfxdata="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EaqMq2wAAAAoBAAAPAAAAAAAAAAEAIAAAACIAAABkcnMvZG93bnJl&#10;di54bWxQSwECFAAUAAAACACHTuJAbFGtWKUCAADuBQAADgAAAAAAAAABACAAAAAqAQAAZHJzL2Uy&#10;b0RvYy54bWxQSwUGAAAAAAYABgBZAQAAQQYAAAAA&#10;" path="m60,300l1725,360,3285,0,3555,930,0,1620,0,330,60,300xe">
                <v:fill on="t" opacity="32768f" focussize="0,0"/>
                <v:stroke color="#000000" joinstyle="miter"/>
                <v:imagedata o:title=""/>
                <o:lock v:ext="edit" aspectratio="f"/>
              </v:shape>
            </w:pict>
          </mc:Fallback>
        </mc:AlternateContent>
      </w:r>
      <w:r>
        <w:rPr>
          <w:color w:val="auto"/>
          <w:sz w:val="21"/>
          <w:highlight w:val="none"/>
        </w:rPr>
        <mc:AlternateContent>
          <mc:Choice Requires="wps">
            <w:drawing>
              <wp:anchor distT="0" distB="0" distL="114300" distR="114300" simplePos="0" relativeHeight="251682816" behindDoc="0" locked="0" layoutInCell="1" allowOverlap="1">
                <wp:simplePos x="0" y="0"/>
                <wp:positionH relativeFrom="column">
                  <wp:posOffset>3867785</wp:posOffset>
                </wp:positionH>
                <wp:positionV relativeFrom="paragraph">
                  <wp:posOffset>3334385</wp:posOffset>
                </wp:positionV>
                <wp:extent cx="1834515" cy="339090"/>
                <wp:effectExtent l="0" t="0" r="0" b="0"/>
                <wp:wrapNone/>
                <wp:docPr id="24" name="文本框 73"/>
                <wp:cNvGraphicFramePr/>
                <a:graphic xmlns:a="http://schemas.openxmlformats.org/drawingml/2006/main">
                  <a:graphicData uri="http://schemas.microsoft.com/office/word/2010/wordprocessingShape">
                    <wps:wsp>
                      <wps:cNvSpPr txBox="1"/>
                      <wps:spPr>
                        <a:xfrm>
                          <a:off x="0" y="0"/>
                          <a:ext cx="1834515" cy="339090"/>
                        </a:xfrm>
                        <a:prstGeom prst="rect">
                          <a:avLst/>
                        </a:prstGeom>
                        <a:solidFill>
                          <a:srgbClr val="FFFFFF">
                            <a:alpha val="0"/>
                          </a:srgbClr>
                        </a:solidFill>
                        <a:ln>
                          <a:noFill/>
                        </a:ln>
                      </wps:spPr>
                      <wps:txbx>
                        <w:txbxContent>
                          <w:p w14:paraId="6F17C58C">
                            <w:pPr>
                              <w:jc w:val="center"/>
                              <w:rPr>
                                <w:rFonts w:hint="default" w:eastAsia="宋体"/>
                                <w:b/>
                                <w:bCs/>
                                <w:color w:val="FFFFFF"/>
                                <w:sz w:val="24"/>
                                <w:szCs w:val="24"/>
                                <w:lang w:val="en-US" w:eastAsia="zh-CN"/>
                              </w:rPr>
                            </w:pPr>
                            <w:r>
                              <w:rPr>
                                <w:rFonts w:hint="eastAsia"/>
                                <w:b/>
                                <w:bCs/>
                                <w:color w:val="FFFFFF"/>
                                <w:sz w:val="24"/>
                                <w:szCs w:val="24"/>
                                <w:lang w:val="en-US" w:eastAsia="zh-CN"/>
                              </w:rPr>
                              <w:t>现有闲置厂房</w:t>
                            </w:r>
                          </w:p>
                        </w:txbxContent>
                      </wps:txbx>
                      <wps:bodyPr vert="horz" wrap="square" anchor="t" anchorCtr="0" upright="1"/>
                    </wps:wsp>
                  </a:graphicData>
                </a:graphic>
              </wp:anchor>
            </w:drawing>
          </mc:Choice>
          <mc:Fallback>
            <w:pict>
              <v:shape id="文本框 73" o:spid="_x0000_s1026" o:spt="202" type="#_x0000_t202" style="position:absolute;left:0pt;margin-left:304.55pt;margin-top:262.55pt;height:26.7pt;width:144.45pt;z-index:251682816;mso-width-relative:page;mso-height-relative:page;" fillcolor="#FFFFFF" filled="t" stroked="f" coordsize="21600,21600" o:gfxdata="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wkXFrZAAAACwEAAA8AAAAAAAAAAQAgAAAAIgAAAGRycy9kb3ducmV2LnhtbFBLAQIUABQAAAAI&#10;AIdO4kCCbE4D7AEAAMkDAAAOAAAAAAAAAAEAIAAAACgBAABkcnMvZTJvRG9jLnhtbFBLBQYAAAAA&#10;BgAGAFkBAACGBQAAAAA=&#10;">
                <v:fill on="t" opacity="0f" focussize="0,0"/>
                <v:stroke on="f"/>
                <v:imagedata o:title=""/>
                <o:lock v:ext="edit" aspectratio="f"/>
                <v:textbox>
                  <w:txbxContent>
                    <w:p w14:paraId="6F17C58C">
                      <w:pPr>
                        <w:jc w:val="center"/>
                        <w:rPr>
                          <w:rFonts w:hint="default" w:eastAsia="宋体"/>
                          <w:b/>
                          <w:bCs/>
                          <w:color w:val="FFFFFF"/>
                          <w:sz w:val="24"/>
                          <w:szCs w:val="24"/>
                          <w:lang w:val="en-US" w:eastAsia="zh-CN"/>
                        </w:rPr>
                      </w:pPr>
                      <w:r>
                        <w:rPr>
                          <w:rFonts w:hint="eastAsia"/>
                          <w:b/>
                          <w:bCs/>
                          <w:color w:val="FFFFFF"/>
                          <w:sz w:val="24"/>
                          <w:szCs w:val="24"/>
                          <w:lang w:val="en-US" w:eastAsia="zh-CN"/>
                        </w:rPr>
                        <w:t>现有闲置厂房</w:t>
                      </w:r>
                    </w:p>
                  </w:txbxContent>
                </v:textbox>
              </v:shape>
            </w:pict>
          </mc:Fallback>
        </mc:AlternateContent>
      </w:r>
      <w:r>
        <w:rPr>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3769995</wp:posOffset>
                </wp:positionH>
                <wp:positionV relativeFrom="paragraph">
                  <wp:posOffset>3067050</wp:posOffset>
                </wp:positionV>
                <wp:extent cx="1647825" cy="914400"/>
                <wp:effectExtent l="5715" t="5715" r="22860" b="13335"/>
                <wp:wrapNone/>
                <wp:docPr id="23" name="任意多边形 775"/>
                <wp:cNvGraphicFramePr/>
                <a:graphic xmlns:a="http://schemas.openxmlformats.org/drawingml/2006/main">
                  <a:graphicData uri="http://schemas.microsoft.com/office/word/2010/wordprocessingShape">
                    <wps:wsp>
                      <wps:cNvSpPr/>
                      <wps:spPr>
                        <a:xfrm>
                          <a:off x="0" y="0"/>
                          <a:ext cx="1647825" cy="914400"/>
                        </a:xfrm>
                        <a:custGeom>
                          <a:avLst/>
                          <a:gdLst/>
                          <a:ahLst/>
                          <a:cxnLst/>
                          <a:pathLst>
                            <a:path w="2595" h="1440">
                              <a:moveTo>
                                <a:pt x="0" y="465"/>
                              </a:moveTo>
                              <a:lnTo>
                                <a:pt x="2280" y="0"/>
                              </a:lnTo>
                              <a:lnTo>
                                <a:pt x="2595" y="1065"/>
                              </a:lnTo>
                              <a:lnTo>
                                <a:pt x="195" y="1440"/>
                              </a:lnTo>
                              <a:lnTo>
                                <a:pt x="0" y="465"/>
                              </a:lnTo>
                              <a:close/>
                            </a:path>
                          </a:pathLst>
                        </a:custGeom>
                        <a:solidFill>
                          <a:srgbClr val="92D050">
                            <a:alpha val="50000"/>
                          </a:srgbClr>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任意多边形 775" o:spid="_x0000_s1026" o:spt="100" style="position:absolute;left:0pt;margin-left:296.85pt;margin-top:241.5pt;height:72pt;width:129.75pt;z-index:251681792;mso-width-relative:page;mso-height-relative:page;" fillcolor="#92D050" filled="t" stroked="t" coordsize="2595,1440" o:gfxdata="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NS0z3tsAAAALAQAADwAAAAAAAAABACAAAAAiAAAAZHJzL2Rvd25yZXYueG1sUEsB&#10;AhQAFAAAAAgAh07iQMt0IoidAgAAnwUAAA4AAAAAAAAAAQAgAAAAKgEAAGRycy9lMm9Eb2MueG1s&#10;UEsFBgAAAAAGAAYAWQEAADkGAAAAAA==&#10;" path="m0,465l2280,0,2595,1065,195,1440,0,465xe">
                <v:fill on="t" opacity="32768f" focussize="0,0"/>
                <v:stroke color="#000000" joinstyle="miter"/>
                <v:imagedata o:title=""/>
                <o:lock v:ext="edit" aspectratio="f"/>
              </v:shape>
            </w:pict>
          </mc:Fallback>
        </mc:AlternateContent>
      </w:r>
      <w:r>
        <w:rPr>
          <w:color w:val="auto"/>
          <w:highlight w:val="none"/>
        </w:rPr>
        <w:drawing>
          <wp:anchor distT="0" distB="0" distL="114300" distR="114300" simplePos="0" relativeHeight="251678720" behindDoc="0" locked="0" layoutInCell="1" allowOverlap="1">
            <wp:simplePos x="0" y="0"/>
            <wp:positionH relativeFrom="column">
              <wp:posOffset>8300085</wp:posOffset>
            </wp:positionH>
            <wp:positionV relativeFrom="paragraph">
              <wp:posOffset>4606290</wp:posOffset>
            </wp:positionV>
            <wp:extent cx="495300" cy="552450"/>
            <wp:effectExtent l="0" t="0" r="0" b="0"/>
            <wp:wrapNone/>
            <wp:docPr id="20"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71"/>
                    <pic:cNvPicPr>
                      <a:picLocks noChangeAspect="1"/>
                    </pic:cNvPicPr>
                  </pic:nvPicPr>
                  <pic:blipFill>
                    <a:blip r:embed="rId35"/>
                    <a:stretch>
                      <a:fillRect/>
                    </a:stretch>
                  </pic:blipFill>
                  <pic:spPr>
                    <a:xfrm>
                      <a:off x="0" y="0"/>
                      <a:ext cx="495300" cy="552450"/>
                    </a:xfrm>
                    <a:prstGeom prst="rect">
                      <a:avLst/>
                    </a:prstGeom>
                    <a:noFill/>
                    <a:ln>
                      <a:noFill/>
                    </a:ln>
                  </pic:spPr>
                </pic:pic>
              </a:graphicData>
            </a:graphic>
          </wp:anchor>
        </w:drawing>
      </w:r>
      <w:r>
        <w:rPr>
          <w:color w:val="auto"/>
          <w:highlight w:val="none"/>
        </w:rPr>
        <w:drawing>
          <wp:inline distT="0" distB="0" distL="114300" distR="114300">
            <wp:extent cx="8856980" cy="5243830"/>
            <wp:effectExtent l="0" t="0" r="1270" b="13970"/>
            <wp:docPr id="555"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210"/>
                    <pic:cNvPicPr>
                      <a:picLocks noChangeAspect="1"/>
                    </pic:cNvPicPr>
                  </pic:nvPicPr>
                  <pic:blipFill>
                    <a:blip r:embed="rId36"/>
                    <a:srcRect/>
                    <a:stretch>
                      <a:fillRect/>
                    </a:stretch>
                  </pic:blipFill>
                  <pic:spPr>
                    <a:xfrm>
                      <a:off x="0" y="0"/>
                      <a:ext cx="8856980" cy="5243830"/>
                    </a:xfrm>
                    <a:prstGeom prst="rect">
                      <a:avLst/>
                    </a:prstGeom>
                    <a:solidFill>
                      <a:srgbClr val="92D050"/>
                    </a:solidFill>
                    <a:ln>
                      <a:noFill/>
                    </a:ln>
                  </pic:spPr>
                </pic:pic>
              </a:graphicData>
            </a:graphic>
          </wp:inline>
        </w:drawing>
      </w:r>
    </w:p>
    <w:p w14:paraId="37695A8E">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b/>
          <w:bCs/>
          <w:color w:val="auto"/>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14:paraId="0475F02D">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default" w:ascii="Times New Roman" w:hAnsi="Times New Roman" w:eastAsia="宋体"/>
          <w:color w:val="auto"/>
          <w:sz w:val="24"/>
          <w:highlight w:val="none"/>
          <w:lang w:val="en-US" w:eastAsia="zh-CN"/>
        </w:rPr>
      </w:pPr>
      <w:r>
        <w:rPr>
          <w:color w:val="auto"/>
          <w:highlight w:val="none"/>
        </w:rPr>
        <w:drawing>
          <wp:anchor distT="0" distB="0" distL="114300" distR="114300" simplePos="0" relativeHeight="251670528" behindDoc="0" locked="0" layoutInCell="1" allowOverlap="1">
            <wp:simplePos x="0" y="0"/>
            <wp:positionH relativeFrom="column">
              <wp:posOffset>8376285</wp:posOffset>
            </wp:positionH>
            <wp:positionV relativeFrom="paragraph">
              <wp:posOffset>4763770</wp:posOffset>
            </wp:positionV>
            <wp:extent cx="600710" cy="268605"/>
            <wp:effectExtent l="0" t="0" r="8890" b="17145"/>
            <wp:wrapNone/>
            <wp:docPr id="11"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2"/>
                    <pic:cNvPicPr>
                      <a:picLocks noChangeAspect="1"/>
                    </pic:cNvPicPr>
                  </pic:nvPicPr>
                  <pic:blipFill>
                    <a:blip r:embed="rId37"/>
                    <a:stretch>
                      <a:fillRect/>
                    </a:stretch>
                  </pic:blipFill>
                  <pic:spPr>
                    <a:xfrm>
                      <a:off x="0" y="0"/>
                      <a:ext cx="600710" cy="268605"/>
                    </a:xfrm>
                    <a:prstGeom prst="rect">
                      <a:avLst/>
                    </a:prstGeom>
                    <a:noFill/>
                    <a:ln>
                      <a:noFill/>
                    </a:ln>
                  </pic:spPr>
                </pic:pic>
              </a:graphicData>
            </a:graphic>
          </wp:anchor>
        </w:drawing>
      </w:r>
      <w:r>
        <w:rPr>
          <w:rFonts w:hint="eastAsia" w:ascii="Times New Roman" w:hAnsi="Times New Roman" w:eastAsia="宋体"/>
          <w:color w:val="auto"/>
          <w:sz w:val="24"/>
          <w:highlight w:val="none"/>
          <w:lang w:val="en-US" w:eastAsia="zh-CN"/>
        </w:rPr>
        <w:t>2、总平面布置</w:t>
      </w:r>
    </w:p>
    <w:p w14:paraId="71320A7F">
      <w:pPr>
        <w:spacing w:line="360" w:lineRule="auto"/>
        <w:ind w:firstLine="480" w:firstLineChars="200"/>
        <w:jc w:val="left"/>
        <w:rPr>
          <w:rFonts w:hint="eastAsia" w:ascii="Times New Roman" w:hAnsi="Times New Roman" w:eastAsia="宋体"/>
          <w:color w:val="auto"/>
          <w:sz w:val="24"/>
          <w:highlight w:val="none"/>
          <w:lang w:val="en-US" w:eastAsia="zh-CN"/>
        </w:rPr>
      </w:pPr>
      <w:r>
        <w:rPr>
          <w:rFonts w:ascii="Times New Roman" w:hAnsi="Times New Roman" w:eastAsia="宋体"/>
          <w:color w:val="auto"/>
          <w:sz w:val="24"/>
          <w:highlight w:val="none"/>
        </w:rPr>
        <w:t>项目建设地点为</w:t>
      </w:r>
      <w:r>
        <w:rPr>
          <w:rFonts w:hint="eastAsia" w:ascii="Times New Roman" w:hAnsi="Times New Roman" w:eastAsia="宋体" w:cs="Times New Roman"/>
          <w:color w:val="auto"/>
          <w:sz w:val="24"/>
          <w:highlight w:val="none"/>
        </w:rPr>
        <w:t>安徽省淮南市田家庵区</w:t>
      </w:r>
      <w:r>
        <w:rPr>
          <w:rFonts w:hint="eastAsia" w:ascii="Times New Roman" w:hAnsi="Times New Roman" w:eastAsia="宋体" w:cs="Times New Roman"/>
          <w:color w:val="auto"/>
          <w:sz w:val="24"/>
          <w:highlight w:val="none"/>
          <w:lang w:val="en-US" w:eastAsia="zh-CN"/>
        </w:rPr>
        <w:t>滁新高速与合淮路交叉口往南400m</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rPr>
        <w:t>购置</w:t>
      </w:r>
      <w:r>
        <w:rPr>
          <w:rFonts w:hint="eastAsia" w:ascii="Times New Roman" w:hAnsi="Times New Roman" w:eastAsia="宋体"/>
          <w:color w:val="auto"/>
          <w:sz w:val="24"/>
          <w:highlight w:val="none"/>
          <w:lang w:val="en-US" w:eastAsia="zh-CN"/>
        </w:rPr>
        <w:t>工业用地进行二级加油、加氢合建站建设，总占地面积为15300</w:t>
      </w:r>
      <w:r>
        <w:rPr>
          <w:rFonts w:hint="eastAsia" w:ascii="Times New Roman" w:hAnsi="Times New Roman" w:eastAsia="宋体"/>
          <w:color w:val="auto"/>
          <w:sz w:val="24"/>
          <w:highlight w:val="none"/>
        </w:rPr>
        <w:t>m</w:t>
      </w:r>
      <w:r>
        <w:rPr>
          <w:rFonts w:hint="eastAsia"/>
          <w:color w:val="auto"/>
          <w:sz w:val="24"/>
          <w:highlight w:val="none"/>
          <w:vertAlign w:val="superscript"/>
          <w:lang w:val="en-US" w:eastAsia="zh-CN"/>
        </w:rPr>
        <w:t>2</w:t>
      </w:r>
      <w:r>
        <w:rPr>
          <w:rFonts w:hint="eastAsia"/>
          <w:color w:val="auto"/>
          <w:sz w:val="24"/>
          <w:highlight w:val="none"/>
          <w:vertAlign w:val="baseline"/>
          <w:lang w:val="en-US" w:eastAsia="zh-CN"/>
        </w:rPr>
        <w:t>，</w:t>
      </w:r>
      <w:r>
        <w:rPr>
          <w:rFonts w:hint="eastAsia" w:cs="Times New Roman"/>
          <w:color w:val="auto"/>
          <w:sz w:val="24"/>
          <w:highlight w:val="none"/>
          <w:vertAlign w:val="baseline"/>
          <w:lang w:val="en-US" w:eastAsia="zh-CN"/>
        </w:rPr>
        <w:t>其中包括站区用地面积12870.82</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2</w:t>
      </w:r>
      <w:r>
        <w:rPr>
          <w:rFonts w:hint="eastAsia" w:cs="Times New Roman"/>
          <w:color w:val="auto"/>
          <w:sz w:val="24"/>
          <w:highlight w:val="none"/>
          <w:vertAlign w:val="baseline"/>
          <w:lang w:val="en-US" w:eastAsia="zh-CN"/>
        </w:rPr>
        <w:t>，防护绿地面积2429.18</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2</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本合建站采用分区布置，分为光电充区、加油加氢区、辅助区、制加氢（含充装）区，其中：</w:t>
      </w:r>
    </w:p>
    <w:p w14:paraId="0CEA23CE">
      <w:pPr>
        <w:spacing w:line="360" w:lineRule="auto"/>
        <w:ind w:firstLine="480" w:firstLineChars="200"/>
        <w:jc w:val="left"/>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光电充区位于站区北部，设置了60个充电车位，1座防雨罩棚（顶部带光伏）和3座箱变和环网柜，在该区西侧设置了一个自动洗车机。</w:t>
      </w:r>
    </w:p>
    <w:p w14:paraId="32CB22BD">
      <w:pPr>
        <w:spacing w:line="360" w:lineRule="auto"/>
        <w:ind w:firstLine="480" w:firstLineChars="200"/>
        <w:jc w:val="left"/>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加油加氢区采用敞开式布置，由罩棚（棚下设置埋地油罐，2座30m</w:t>
      </w:r>
      <w:r>
        <w:rPr>
          <w:rFonts w:hint="eastAsia" w:ascii="Times New Roman" w:hAnsi="Times New Roman" w:eastAsia="宋体"/>
          <w:color w:val="auto"/>
          <w:sz w:val="24"/>
          <w:highlight w:val="none"/>
          <w:vertAlign w:val="superscript"/>
          <w:lang w:val="en-US" w:eastAsia="zh-CN"/>
        </w:rPr>
        <w:t>3</w:t>
      </w:r>
      <w:r>
        <w:rPr>
          <w:rFonts w:hint="eastAsia" w:ascii="Times New Roman" w:hAnsi="Times New Roman" w:eastAsia="宋体"/>
          <w:color w:val="auto"/>
          <w:sz w:val="24"/>
          <w:highlight w:val="none"/>
          <w:lang w:val="en-US" w:eastAsia="zh-CN"/>
        </w:rPr>
        <w:t>双层汽油罐和1座30m</w:t>
      </w:r>
      <w:r>
        <w:rPr>
          <w:rFonts w:hint="eastAsia" w:ascii="Times New Roman" w:hAnsi="Times New Roman" w:eastAsia="宋体"/>
          <w:color w:val="auto"/>
          <w:sz w:val="24"/>
          <w:highlight w:val="none"/>
          <w:vertAlign w:val="superscript"/>
          <w:lang w:val="en-US" w:eastAsia="zh-CN"/>
        </w:rPr>
        <w:t>3</w:t>
      </w:r>
      <w:r>
        <w:rPr>
          <w:rFonts w:hint="eastAsia" w:ascii="Times New Roman" w:hAnsi="Times New Roman" w:eastAsia="宋体"/>
          <w:color w:val="auto"/>
          <w:sz w:val="24"/>
          <w:highlight w:val="none"/>
          <w:lang w:val="en-US" w:eastAsia="zh-CN"/>
        </w:rPr>
        <w:t>双层柴油罐）、加油加氢岛、加油机、加氢机构成。设置4台加油机，出售汽油和柴油；设置4台加氢机，出售氢气。</w:t>
      </w:r>
    </w:p>
    <w:p w14:paraId="416D9CBD">
      <w:pPr>
        <w:spacing w:line="360" w:lineRule="auto"/>
        <w:ind w:firstLine="480" w:firstLineChars="200"/>
        <w:jc w:val="left"/>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辅助区位于充电区和加油加氢区中间位置，主要功能为站房。站房为二层，设置在站房内功能房间主要包括营业室、卫生间、办公室、空压机间等。</w:t>
      </w:r>
    </w:p>
    <w:p w14:paraId="5823778A">
      <w:pPr>
        <w:spacing w:line="360" w:lineRule="auto"/>
        <w:ind w:firstLine="480" w:firstLineChars="200"/>
        <w:jc w:val="left"/>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制加氢（含充装）区位于站区东南部，区域内设置制氢撬装设施3套，储氢瓶组4组（76m</w:t>
      </w:r>
      <w:r>
        <w:rPr>
          <w:rFonts w:hint="eastAsia" w:ascii="Times New Roman" w:hAnsi="Times New Roman" w:eastAsia="宋体"/>
          <w:color w:val="auto"/>
          <w:sz w:val="24"/>
          <w:highlight w:val="none"/>
          <w:vertAlign w:val="superscript"/>
          <w:lang w:val="en-US" w:eastAsia="zh-CN"/>
        </w:rPr>
        <w:t>3</w:t>
      </w:r>
      <w:r>
        <w:rPr>
          <w:rFonts w:hint="eastAsia" w:ascii="Times New Roman" w:hAnsi="Times New Roman" w:eastAsia="宋体"/>
          <w:color w:val="auto"/>
          <w:sz w:val="24"/>
          <w:highlight w:val="none"/>
          <w:lang w:val="en-US" w:eastAsia="zh-CN"/>
        </w:rPr>
        <w:t>），2台净化生物沼气长管拖车车位、2台氢气长管拖车车位，7台压缩机，2台加氢机冷水机，4台压缩机冷冻机等。</w:t>
      </w:r>
    </w:p>
    <w:p w14:paraId="6AEB69C7">
      <w:pPr>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汽车加油加气加氢站技术标准》（GB50156-2021）表3.0.18的合建站等级计算方法：75/180+2250/4000＜1，所以本站等级为二级加油加气加氢合建综合站。本项目按火灾危险性分类属于甲类危险场所，站内平面布局严格按照《汽车加油加气加氢站技术标准》GB50156-2021，《建筑设计防火规范》GB50016-2014（2018年版），《建筑防火通用规范》GB55037-2022等相关规范的有关规定布置。本次设计防火间距均满足规范要求，详见下表3.1.7-1、3.1.7-2。</w:t>
      </w:r>
    </w:p>
    <w:p w14:paraId="30D9AA71">
      <w:pPr>
        <w:spacing w:line="360" w:lineRule="auto"/>
        <w:ind w:firstLine="422" w:firstLineChars="20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3.1.7-1</w:t>
      </w:r>
      <w:r>
        <w:rPr>
          <w:rFonts w:hint="default" w:ascii="Times New Roman" w:hAnsi="Times New Roman" w:eastAsia="宋体" w:cs="Times New Roman"/>
          <w:b/>
          <w:bCs/>
          <w:color w:val="auto"/>
          <w:sz w:val="21"/>
          <w:szCs w:val="21"/>
          <w:highlight w:val="none"/>
        </w:rPr>
        <w:t xml:space="preserve"> </w:t>
      </w:r>
      <w:r>
        <w:rPr>
          <w:rFonts w:hint="eastAsia"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汽油</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柴油</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工艺设备与站外建</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构</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筑物的安全间距</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w:t>
      </w:r>
      <w:r>
        <w:rPr>
          <w:rFonts w:hint="eastAsia" w:cs="Times New Roman"/>
          <w:b/>
          <w:bCs/>
          <w:color w:val="auto"/>
          <w:sz w:val="21"/>
          <w:szCs w:val="21"/>
          <w:highlight w:val="none"/>
          <w:lang w:eastAsia="zh-CN"/>
        </w:rPr>
        <w:t>）</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8"/>
        <w:gridCol w:w="1619"/>
        <w:gridCol w:w="1606"/>
        <w:gridCol w:w="1193"/>
        <w:gridCol w:w="1628"/>
        <w:gridCol w:w="908"/>
      </w:tblGrid>
      <w:tr w14:paraId="5CED8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5000" w:type="pct"/>
            <w:gridSpan w:val="6"/>
            <w:tcBorders>
              <w:tl2br w:val="nil"/>
              <w:tr2bl w:val="nil"/>
            </w:tcBorders>
            <w:noWrap w:val="0"/>
            <w:vAlign w:val="center"/>
          </w:tcPr>
          <w:p w14:paraId="31B00BD4">
            <w:pPr>
              <w:jc w:val="center"/>
              <w:rPr>
                <w:rFonts w:hint="eastAsia" w:eastAsia="宋体"/>
                <w:b/>
                <w:color w:val="auto"/>
                <w:sz w:val="21"/>
                <w:szCs w:val="21"/>
                <w:highlight w:val="none"/>
                <w:lang w:eastAsia="zh-CN"/>
              </w:rPr>
            </w:pPr>
            <w:r>
              <w:rPr>
                <w:rFonts w:hint="eastAsia"/>
                <w:b/>
                <w:color w:val="auto"/>
                <w:sz w:val="21"/>
                <w:szCs w:val="21"/>
                <w:highlight w:val="none"/>
              </w:rPr>
              <w:t>站内汽油</w:t>
            </w:r>
            <w:r>
              <w:rPr>
                <w:rFonts w:hint="eastAsia"/>
                <w:b/>
                <w:color w:val="auto"/>
                <w:sz w:val="21"/>
                <w:szCs w:val="21"/>
                <w:highlight w:val="none"/>
                <w:lang w:eastAsia="zh-CN"/>
              </w:rPr>
              <w:t>（</w:t>
            </w:r>
            <w:r>
              <w:rPr>
                <w:rFonts w:hint="eastAsia"/>
                <w:b/>
                <w:color w:val="auto"/>
                <w:sz w:val="21"/>
                <w:szCs w:val="21"/>
                <w:highlight w:val="none"/>
                <w:lang w:val="en-US" w:eastAsia="zh-CN"/>
              </w:rPr>
              <w:t>柴油</w:t>
            </w:r>
            <w:r>
              <w:rPr>
                <w:rFonts w:hint="eastAsia"/>
                <w:b/>
                <w:color w:val="auto"/>
                <w:sz w:val="21"/>
                <w:szCs w:val="21"/>
                <w:highlight w:val="none"/>
                <w:lang w:eastAsia="zh-CN"/>
              </w:rPr>
              <w:t>）</w:t>
            </w:r>
            <w:r>
              <w:rPr>
                <w:rFonts w:hint="eastAsia"/>
                <w:b/>
                <w:color w:val="auto"/>
                <w:sz w:val="21"/>
                <w:szCs w:val="21"/>
                <w:highlight w:val="none"/>
              </w:rPr>
              <w:t>设备</w:t>
            </w:r>
            <w:r>
              <w:rPr>
                <w:rFonts w:hint="eastAsia"/>
                <w:b/>
                <w:color w:val="auto"/>
                <w:sz w:val="21"/>
                <w:szCs w:val="21"/>
                <w:highlight w:val="none"/>
                <w:lang w:eastAsia="zh-CN"/>
              </w:rPr>
              <w:t>（</w:t>
            </w:r>
            <w:r>
              <w:rPr>
                <w:rFonts w:hint="eastAsia"/>
                <w:b/>
                <w:color w:val="auto"/>
                <w:sz w:val="21"/>
                <w:szCs w:val="21"/>
                <w:highlight w:val="none"/>
                <w:lang w:val="en-US" w:eastAsia="zh-CN"/>
              </w:rPr>
              <w:t>二级站</w:t>
            </w:r>
            <w:r>
              <w:rPr>
                <w:rFonts w:hint="eastAsia"/>
                <w:b/>
                <w:color w:val="auto"/>
                <w:sz w:val="21"/>
                <w:szCs w:val="21"/>
                <w:highlight w:val="none"/>
                <w:lang w:eastAsia="zh-CN"/>
              </w:rPr>
              <w:t>）</w:t>
            </w:r>
          </w:p>
        </w:tc>
      </w:tr>
      <w:tr w14:paraId="78CF7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70" w:type="pct"/>
            <w:gridSpan w:val="2"/>
            <w:vMerge w:val="restart"/>
            <w:tcBorders>
              <w:tl2br w:val="nil"/>
              <w:tr2bl w:val="nil"/>
            </w:tcBorders>
            <w:noWrap w:val="0"/>
            <w:vAlign w:val="center"/>
          </w:tcPr>
          <w:p w14:paraId="519EBB1F">
            <w:pPr>
              <w:jc w:val="center"/>
              <w:rPr>
                <w:rFonts w:hint="eastAsia"/>
                <w:bCs/>
                <w:color w:val="auto"/>
                <w:sz w:val="21"/>
                <w:szCs w:val="21"/>
                <w:highlight w:val="none"/>
              </w:rPr>
            </w:pPr>
            <w:r>
              <w:rPr>
                <w:rFonts w:hint="eastAsia"/>
                <w:bCs/>
                <w:color w:val="auto"/>
                <w:sz w:val="21"/>
                <w:szCs w:val="21"/>
                <w:highlight w:val="none"/>
              </w:rPr>
              <w:t>站外建（构）筑物</w:t>
            </w:r>
          </w:p>
        </w:tc>
        <w:tc>
          <w:tcPr>
            <w:tcW w:w="1642" w:type="pct"/>
            <w:gridSpan w:val="2"/>
            <w:tcBorders>
              <w:tl2br w:val="nil"/>
              <w:tr2bl w:val="nil"/>
            </w:tcBorders>
            <w:noWrap w:val="0"/>
            <w:vAlign w:val="center"/>
          </w:tcPr>
          <w:p w14:paraId="1F3886C0">
            <w:pPr>
              <w:jc w:val="center"/>
              <w:rPr>
                <w:rFonts w:hint="eastAsia"/>
                <w:bCs/>
                <w:color w:val="auto"/>
                <w:sz w:val="21"/>
                <w:szCs w:val="21"/>
                <w:highlight w:val="none"/>
              </w:rPr>
            </w:pPr>
            <w:r>
              <w:rPr>
                <w:rFonts w:hint="eastAsia"/>
                <w:bCs/>
                <w:color w:val="auto"/>
                <w:sz w:val="21"/>
                <w:szCs w:val="21"/>
                <w:highlight w:val="none"/>
              </w:rPr>
              <w:t>地埋油罐</w:t>
            </w:r>
          </w:p>
        </w:tc>
        <w:tc>
          <w:tcPr>
            <w:tcW w:w="1487" w:type="pct"/>
            <w:gridSpan w:val="2"/>
            <w:tcBorders>
              <w:tl2br w:val="nil"/>
              <w:tr2bl w:val="nil"/>
            </w:tcBorders>
            <w:noWrap w:val="0"/>
            <w:vAlign w:val="center"/>
          </w:tcPr>
          <w:p w14:paraId="0EB94416">
            <w:pPr>
              <w:jc w:val="center"/>
              <w:rPr>
                <w:rFonts w:hint="eastAsia"/>
                <w:bCs/>
                <w:color w:val="auto"/>
                <w:sz w:val="21"/>
                <w:szCs w:val="21"/>
                <w:highlight w:val="none"/>
              </w:rPr>
            </w:pPr>
            <w:r>
              <w:rPr>
                <w:rFonts w:hint="eastAsia"/>
                <w:bCs/>
                <w:color w:val="auto"/>
                <w:sz w:val="21"/>
                <w:szCs w:val="21"/>
                <w:highlight w:val="none"/>
              </w:rPr>
              <w:t>加油机、通风管管口</w:t>
            </w:r>
          </w:p>
        </w:tc>
      </w:tr>
      <w:tr w14:paraId="6AA26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870" w:type="pct"/>
            <w:gridSpan w:val="2"/>
            <w:vMerge w:val="continue"/>
            <w:tcBorders>
              <w:tl2br w:val="nil"/>
              <w:tr2bl w:val="nil"/>
            </w:tcBorders>
            <w:noWrap w:val="0"/>
            <w:vAlign w:val="center"/>
          </w:tcPr>
          <w:p w14:paraId="72E01C1E">
            <w:pPr>
              <w:jc w:val="center"/>
              <w:rPr>
                <w:rFonts w:hint="eastAsia"/>
                <w:bCs/>
                <w:color w:val="auto"/>
                <w:sz w:val="21"/>
                <w:szCs w:val="21"/>
                <w:highlight w:val="none"/>
              </w:rPr>
            </w:pPr>
          </w:p>
        </w:tc>
        <w:tc>
          <w:tcPr>
            <w:tcW w:w="942" w:type="pct"/>
            <w:tcBorders>
              <w:tl2br w:val="nil"/>
              <w:tr2bl w:val="nil"/>
            </w:tcBorders>
            <w:noWrap w:val="0"/>
            <w:vAlign w:val="center"/>
          </w:tcPr>
          <w:p w14:paraId="4104B942">
            <w:pPr>
              <w:jc w:val="center"/>
              <w:rPr>
                <w:rFonts w:hint="eastAsia"/>
                <w:bCs/>
                <w:color w:val="auto"/>
                <w:sz w:val="21"/>
                <w:szCs w:val="21"/>
                <w:highlight w:val="none"/>
              </w:rPr>
            </w:pPr>
            <w:r>
              <w:rPr>
                <w:rFonts w:hint="eastAsia"/>
                <w:bCs/>
                <w:color w:val="auto"/>
                <w:sz w:val="21"/>
                <w:szCs w:val="21"/>
                <w:highlight w:val="none"/>
              </w:rPr>
              <w:t>有卸油和加油</w:t>
            </w:r>
          </w:p>
          <w:p w14:paraId="0B14CE0E">
            <w:pPr>
              <w:jc w:val="center"/>
              <w:rPr>
                <w:rFonts w:hint="eastAsia"/>
                <w:bCs/>
                <w:color w:val="auto"/>
                <w:sz w:val="21"/>
                <w:szCs w:val="21"/>
                <w:highlight w:val="none"/>
              </w:rPr>
            </w:pPr>
            <w:r>
              <w:rPr>
                <w:rFonts w:hint="eastAsia"/>
                <w:bCs/>
                <w:color w:val="auto"/>
                <w:sz w:val="21"/>
                <w:szCs w:val="21"/>
                <w:highlight w:val="none"/>
              </w:rPr>
              <w:t>油气回收系统</w:t>
            </w:r>
          </w:p>
        </w:tc>
        <w:tc>
          <w:tcPr>
            <w:tcW w:w="699" w:type="pct"/>
            <w:tcBorders>
              <w:tl2br w:val="nil"/>
              <w:tr2bl w:val="nil"/>
            </w:tcBorders>
            <w:noWrap w:val="0"/>
            <w:vAlign w:val="center"/>
          </w:tcPr>
          <w:p w14:paraId="57EC8C29">
            <w:pPr>
              <w:jc w:val="center"/>
              <w:rPr>
                <w:rFonts w:hint="eastAsia"/>
                <w:bCs/>
                <w:color w:val="auto"/>
                <w:sz w:val="21"/>
                <w:szCs w:val="21"/>
                <w:highlight w:val="none"/>
              </w:rPr>
            </w:pPr>
            <w:r>
              <w:rPr>
                <w:rFonts w:hint="eastAsia"/>
                <w:bCs/>
                <w:color w:val="auto"/>
                <w:sz w:val="21"/>
                <w:szCs w:val="21"/>
                <w:highlight w:val="none"/>
              </w:rPr>
              <w:t>实际距离</w:t>
            </w:r>
          </w:p>
        </w:tc>
        <w:tc>
          <w:tcPr>
            <w:tcW w:w="955" w:type="pct"/>
            <w:tcBorders>
              <w:tl2br w:val="nil"/>
              <w:tr2bl w:val="nil"/>
            </w:tcBorders>
            <w:noWrap w:val="0"/>
            <w:vAlign w:val="center"/>
          </w:tcPr>
          <w:p w14:paraId="35EF1FD5">
            <w:pPr>
              <w:jc w:val="center"/>
              <w:rPr>
                <w:rFonts w:hint="eastAsia"/>
                <w:bCs/>
                <w:color w:val="auto"/>
                <w:sz w:val="21"/>
                <w:szCs w:val="21"/>
                <w:highlight w:val="none"/>
              </w:rPr>
            </w:pPr>
            <w:r>
              <w:rPr>
                <w:rFonts w:hint="eastAsia"/>
                <w:bCs/>
                <w:color w:val="auto"/>
                <w:sz w:val="21"/>
                <w:szCs w:val="21"/>
                <w:highlight w:val="none"/>
              </w:rPr>
              <w:t>有卸油和加油</w:t>
            </w:r>
          </w:p>
          <w:p w14:paraId="17422A37">
            <w:pPr>
              <w:jc w:val="center"/>
              <w:rPr>
                <w:rFonts w:hint="eastAsia"/>
                <w:bCs/>
                <w:color w:val="auto"/>
                <w:sz w:val="21"/>
                <w:szCs w:val="21"/>
                <w:highlight w:val="none"/>
              </w:rPr>
            </w:pPr>
            <w:r>
              <w:rPr>
                <w:rFonts w:hint="eastAsia"/>
                <w:bCs/>
                <w:color w:val="auto"/>
                <w:sz w:val="21"/>
                <w:szCs w:val="21"/>
                <w:highlight w:val="none"/>
              </w:rPr>
              <w:t>油气回收系统</w:t>
            </w:r>
          </w:p>
        </w:tc>
        <w:tc>
          <w:tcPr>
            <w:tcW w:w="532" w:type="pct"/>
            <w:tcBorders>
              <w:tl2br w:val="nil"/>
              <w:tr2bl w:val="nil"/>
            </w:tcBorders>
            <w:noWrap w:val="0"/>
            <w:vAlign w:val="center"/>
          </w:tcPr>
          <w:p w14:paraId="229D0BDD">
            <w:pPr>
              <w:jc w:val="center"/>
              <w:rPr>
                <w:rFonts w:hint="eastAsia"/>
                <w:bCs/>
                <w:color w:val="auto"/>
                <w:sz w:val="21"/>
                <w:szCs w:val="21"/>
                <w:highlight w:val="none"/>
              </w:rPr>
            </w:pPr>
            <w:r>
              <w:rPr>
                <w:rFonts w:hint="eastAsia"/>
                <w:bCs/>
                <w:color w:val="auto"/>
                <w:sz w:val="21"/>
                <w:szCs w:val="21"/>
                <w:highlight w:val="none"/>
              </w:rPr>
              <w:t>实际距离</w:t>
            </w:r>
          </w:p>
        </w:tc>
      </w:tr>
      <w:tr w14:paraId="51E7D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870" w:type="pct"/>
            <w:gridSpan w:val="2"/>
            <w:tcBorders>
              <w:tl2br w:val="nil"/>
              <w:tr2bl w:val="nil"/>
            </w:tcBorders>
            <w:noWrap w:val="0"/>
            <w:vAlign w:val="center"/>
          </w:tcPr>
          <w:p w14:paraId="3C82214D">
            <w:pPr>
              <w:jc w:val="center"/>
              <w:rPr>
                <w:rFonts w:hint="eastAsia"/>
                <w:bCs/>
                <w:color w:val="auto"/>
                <w:sz w:val="21"/>
                <w:szCs w:val="21"/>
                <w:highlight w:val="none"/>
              </w:rPr>
            </w:pPr>
            <w:r>
              <w:rPr>
                <w:rFonts w:hint="eastAsia"/>
                <w:bCs/>
                <w:color w:val="auto"/>
                <w:sz w:val="21"/>
                <w:szCs w:val="21"/>
                <w:highlight w:val="none"/>
              </w:rPr>
              <w:t>重要公共建筑物</w:t>
            </w:r>
          </w:p>
        </w:tc>
        <w:tc>
          <w:tcPr>
            <w:tcW w:w="942" w:type="pct"/>
            <w:tcBorders>
              <w:tl2br w:val="nil"/>
              <w:tr2bl w:val="nil"/>
            </w:tcBorders>
            <w:noWrap w:val="0"/>
            <w:vAlign w:val="center"/>
          </w:tcPr>
          <w:p w14:paraId="0C4184AE">
            <w:pPr>
              <w:jc w:val="center"/>
              <w:rPr>
                <w:rFonts w:hint="eastAsia" w:eastAsia="宋体"/>
                <w:bCs/>
                <w:color w:val="auto"/>
                <w:sz w:val="21"/>
                <w:szCs w:val="21"/>
                <w:highlight w:val="none"/>
                <w:lang w:eastAsia="zh-CN"/>
              </w:rPr>
            </w:pPr>
            <w:r>
              <w:rPr>
                <w:rFonts w:hint="eastAsia"/>
                <w:bCs/>
                <w:color w:val="auto"/>
                <w:sz w:val="21"/>
                <w:szCs w:val="21"/>
                <w:highlight w:val="none"/>
              </w:rPr>
              <w:t>35</w:t>
            </w:r>
            <w:r>
              <w:rPr>
                <w:rFonts w:hint="eastAsia"/>
                <w:bCs/>
                <w:color w:val="auto"/>
                <w:sz w:val="21"/>
                <w:szCs w:val="21"/>
                <w:highlight w:val="none"/>
                <w:lang w:eastAsia="zh-CN"/>
              </w:rPr>
              <w:t>（</w:t>
            </w:r>
            <w:r>
              <w:rPr>
                <w:rFonts w:hint="eastAsia"/>
                <w:bCs/>
                <w:color w:val="auto"/>
                <w:sz w:val="21"/>
                <w:szCs w:val="21"/>
                <w:highlight w:val="none"/>
                <w:lang w:val="en-US" w:eastAsia="zh-CN"/>
              </w:rPr>
              <w:t>25</w:t>
            </w:r>
            <w:r>
              <w:rPr>
                <w:rFonts w:hint="eastAsia"/>
                <w:bCs/>
                <w:color w:val="auto"/>
                <w:sz w:val="21"/>
                <w:szCs w:val="21"/>
                <w:highlight w:val="none"/>
                <w:lang w:eastAsia="zh-CN"/>
              </w:rPr>
              <w:t>）</w:t>
            </w:r>
          </w:p>
        </w:tc>
        <w:tc>
          <w:tcPr>
            <w:tcW w:w="699" w:type="pct"/>
            <w:tcBorders>
              <w:tl2br w:val="nil"/>
              <w:tr2bl w:val="nil"/>
            </w:tcBorders>
            <w:noWrap w:val="0"/>
            <w:vAlign w:val="center"/>
          </w:tcPr>
          <w:p w14:paraId="57D902B2">
            <w:pPr>
              <w:jc w:val="center"/>
              <w:rPr>
                <w:rFonts w:hint="eastAsia"/>
                <w:bCs/>
                <w:color w:val="auto"/>
                <w:sz w:val="21"/>
                <w:szCs w:val="21"/>
                <w:highlight w:val="none"/>
              </w:rPr>
            </w:pPr>
            <w:r>
              <w:rPr>
                <w:rFonts w:hint="eastAsia"/>
                <w:bCs/>
                <w:color w:val="auto"/>
                <w:sz w:val="21"/>
                <w:szCs w:val="21"/>
                <w:highlight w:val="none"/>
              </w:rPr>
              <w:t>/</w:t>
            </w:r>
          </w:p>
        </w:tc>
        <w:tc>
          <w:tcPr>
            <w:tcW w:w="955" w:type="pct"/>
            <w:tcBorders>
              <w:tl2br w:val="nil"/>
              <w:tr2bl w:val="nil"/>
            </w:tcBorders>
            <w:noWrap w:val="0"/>
            <w:vAlign w:val="center"/>
          </w:tcPr>
          <w:p w14:paraId="4C339D42">
            <w:pPr>
              <w:jc w:val="center"/>
              <w:rPr>
                <w:rFonts w:hint="eastAsia" w:ascii="宋体" w:eastAsia="宋体"/>
                <w:bCs/>
                <w:color w:val="auto"/>
                <w:sz w:val="21"/>
                <w:szCs w:val="21"/>
                <w:highlight w:val="none"/>
                <w:lang w:val="en-US" w:eastAsia="zh-CN" w:bidi="ar-SA"/>
              </w:rPr>
            </w:pPr>
            <w:r>
              <w:rPr>
                <w:rFonts w:hint="eastAsia"/>
                <w:bCs/>
                <w:color w:val="auto"/>
                <w:sz w:val="21"/>
                <w:szCs w:val="21"/>
                <w:highlight w:val="none"/>
              </w:rPr>
              <w:t>35</w:t>
            </w:r>
            <w:r>
              <w:rPr>
                <w:rFonts w:hint="eastAsia"/>
                <w:bCs/>
                <w:color w:val="auto"/>
                <w:sz w:val="21"/>
                <w:szCs w:val="21"/>
                <w:highlight w:val="none"/>
                <w:lang w:eastAsia="zh-CN"/>
              </w:rPr>
              <w:t>（</w:t>
            </w:r>
            <w:r>
              <w:rPr>
                <w:rFonts w:hint="eastAsia"/>
                <w:bCs/>
                <w:color w:val="auto"/>
                <w:sz w:val="21"/>
                <w:szCs w:val="21"/>
                <w:highlight w:val="none"/>
                <w:lang w:val="en-US" w:eastAsia="zh-CN"/>
              </w:rPr>
              <w:t>25</w:t>
            </w:r>
            <w:r>
              <w:rPr>
                <w:rFonts w:hint="eastAsia"/>
                <w:bCs/>
                <w:color w:val="auto"/>
                <w:sz w:val="21"/>
                <w:szCs w:val="21"/>
                <w:highlight w:val="none"/>
                <w:lang w:eastAsia="zh-CN"/>
              </w:rPr>
              <w:t>）</w:t>
            </w:r>
          </w:p>
        </w:tc>
        <w:tc>
          <w:tcPr>
            <w:tcW w:w="532" w:type="pct"/>
            <w:tcBorders>
              <w:tl2br w:val="nil"/>
              <w:tr2bl w:val="nil"/>
            </w:tcBorders>
            <w:noWrap w:val="0"/>
            <w:vAlign w:val="center"/>
          </w:tcPr>
          <w:p w14:paraId="555CC577">
            <w:pPr>
              <w:jc w:val="center"/>
              <w:rPr>
                <w:rFonts w:hint="eastAsia"/>
                <w:bCs/>
                <w:color w:val="auto"/>
                <w:sz w:val="21"/>
                <w:szCs w:val="21"/>
                <w:highlight w:val="none"/>
              </w:rPr>
            </w:pPr>
            <w:r>
              <w:rPr>
                <w:rFonts w:hint="eastAsia"/>
                <w:bCs/>
                <w:color w:val="auto"/>
                <w:sz w:val="21"/>
                <w:szCs w:val="21"/>
                <w:highlight w:val="none"/>
              </w:rPr>
              <w:t>/</w:t>
            </w:r>
          </w:p>
        </w:tc>
      </w:tr>
      <w:tr w14:paraId="6BCAB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870" w:type="pct"/>
            <w:gridSpan w:val="2"/>
            <w:tcBorders>
              <w:tl2br w:val="nil"/>
              <w:tr2bl w:val="nil"/>
            </w:tcBorders>
            <w:noWrap w:val="0"/>
            <w:vAlign w:val="center"/>
          </w:tcPr>
          <w:p w14:paraId="7742C0DF">
            <w:pPr>
              <w:jc w:val="center"/>
              <w:rPr>
                <w:rFonts w:hint="eastAsia"/>
                <w:bCs/>
                <w:color w:val="auto"/>
                <w:sz w:val="21"/>
                <w:szCs w:val="21"/>
                <w:highlight w:val="none"/>
              </w:rPr>
            </w:pPr>
            <w:r>
              <w:rPr>
                <w:rFonts w:hint="eastAsia"/>
                <w:bCs/>
                <w:color w:val="auto"/>
                <w:sz w:val="21"/>
                <w:szCs w:val="21"/>
                <w:highlight w:val="none"/>
              </w:rPr>
              <w:t>明火或散发火花的地点</w:t>
            </w:r>
          </w:p>
        </w:tc>
        <w:tc>
          <w:tcPr>
            <w:tcW w:w="942" w:type="pct"/>
            <w:tcBorders>
              <w:tl2br w:val="nil"/>
              <w:tr2bl w:val="nil"/>
            </w:tcBorders>
            <w:noWrap w:val="0"/>
            <w:vAlign w:val="center"/>
          </w:tcPr>
          <w:p w14:paraId="4A667D3A">
            <w:pPr>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17.5</w:t>
            </w:r>
            <w:r>
              <w:rPr>
                <w:rFonts w:hint="eastAsia"/>
                <w:bCs/>
                <w:color w:val="auto"/>
                <w:sz w:val="21"/>
                <w:szCs w:val="21"/>
                <w:highlight w:val="none"/>
                <w:lang w:eastAsia="zh-CN"/>
              </w:rPr>
              <w:t>（</w:t>
            </w:r>
            <w:r>
              <w:rPr>
                <w:rFonts w:hint="eastAsia"/>
                <w:bCs/>
                <w:color w:val="auto"/>
                <w:sz w:val="21"/>
                <w:szCs w:val="21"/>
                <w:highlight w:val="none"/>
                <w:lang w:val="en-US" w:eastAsia="zh-CN"/>
              </w:rPr>
              <w:t>12.5</w:t>
            </w:r>
            <w:r>
              <w:rPr>
                <w:rFonts w:hint="eastAsia"/>
                <w:bCs/>
                <w:color w:val="auto"/>
                <w:sz w:val="21"/>
                <w:szCs w:val="21"/>
                <w:highlight w:val="none"/>
                <w:lang w:eastAsia="zh-CN"/>
              </w:rPr>
              <w:t>）</w:t>
            </w:r>
          </w:p>
        </w:tc>
        <w:tc>
          <w:tcPr>
            <w:tcW w:w="699" w:type="pct"/>
            <w:tcBorders>
              <w:tl2br w:val="nil"/>
              <w:tr2bl w:val="nil"/>
            </w:tcBorders>
            <w:noWrap w:val="0"/>
            <w:vAlign w:val="center"/>
          </w:tcPr>
          <w:p w14:paraId="75DE2721">
            <w:pPr>
              <w:jc w:val="center"/>
              <w:rPr>
                <w:rFonts w:hint="eastAsia"/>
                <w:bCs/>
                <w:color w:val="auto"/>
                <w:sz w:val="21"/>
                <w:szCs w:val="21"/>
                <w:highlight w:val="none"/>
              </w:rPr>
            </w:pPr>
            <w:r>
              <w:rPr>
                <w:rFonts w:hint="eastAsia"/>
                <w:bCs/>
                <w:color w:val="auto"/>
                <w:sz w:val="21"/>
                <w:szCs w:val="21"/>
                <w:highlight w:val="none"/>
              </w:rPr>
              <w:t>/</w:t>
            </w:r>
          </w:p>
        </w:tc>
        <w:tc>
          <w:tcPr>
            <w:tcW w:w="955" w:type="pct"/>
            <w:tcBorders>
              <w:tl2br w:val="nil"/>
              <w:tr2bl w:val="nil"/>
            </w:tcBorders>
            <w:noWrap w:val="0"/>
            <w:vAlign w:val="center"/>
          </w:tcPr>
          <w:p w14:paraId="5CB6DA00">
            <w:pPr>
              <w:jc w:val="center"/>
              <w:rPr>
                <w:rFonts w:hint="eastAsia" w:eastAsia="宋体"/>
                <w:bCs/>
                <w:color w:val="auto"/>
                <w:sz w:val="21"/>
                <w:szCs w:val="21"/>
                <w:highlight w:val="none"/>
                <w:lang w:eastAsia="zh-CN"/>
              </w:rPr>
            </w:pPr>
            <w:r>
              <w:rPr>
                <w:rFonts w:hint="eastAsia"/>
                <w:bCs/>
                <w:color w:val="auto"/>
                <w:sz w:val="21"/>
                <w:szCs w:val="21"/>
                <w:highlight w:val="none"/>
              </w:rPr>
              <w:t>12.5</w:t>
            </w:r>
            <w:r>
              <w:rPr>
                <w:rFonts w:hint="eastAsia"/>
                <w:bCs/>
                <w:color w:val="auto"/>
                <w:sz w:val="21"/>
                <w:szCs w:val="21"/>
                <w:highlight w:val="none"/>
                <w:lang w:eastAsia="zh-CN"/>
              </w:rPr>
              <w:t>（</w:t>
            </w:r>
            <w:r>
              <w:rPr>
                <w:rFonts w:hint="eastAsia"/>
                <w:bCs/>
                <w:color w:val="auto"/>
                <w:sz w:val="21"/>
                <w:szCs w:val="21"/>
                <w:highlight w:val="none"/>
                <w:lang w:val="en-US" w:eastAsia="zh-CN"/>
              </w:rPr>
              <w:t>10</w:t>
            </w:r>
            <w:r>
              <w:rPr>
                <w:rFonts w:hint="eastAsia"/>
                <w:bCs/>
                <w:color w:val="auto"/>
                <w:sz w:val="21"/>
                <w:szCs w:val="21"/>
                <w:highlight w:val="none"/>
                <w:lang w:eastAsia="zh-CN"/>
              </w:rPr>
              <w:t>）</w:t>
            </w:r>
          </w:p>
        </w:tc>
        <w:tc>
          <w:tcPr>
            <w:tcW w:w="532" w:type="pct"/>
            <w:tcBorders>
              <w:tl2br w:val="nil"/>
              <w:tr2bl w:val="nil"/>
            </w:tcBorders>
            <w:noWrap w:val="0"/>
            <w:vAlign w:val="center"/>
          </w:tcPr>
          <w:p w14:paraId="343D06C4">
            <w:pPr>
              <w:jc w:val="center"/>
              <w:rPr>
                <w:rFonts w:hint="eastAsia"/>
                <w:bCs/>
                <w:color w:val="auto"/>
                <w:sz w:val="21"/>
                <w:szCs w:val="21"/>
                <w:highlight w:val="none"/>
              </w:rPr>
            </w:pPr>
            <w:r>
              <w:rPr>
                <w:rFonts w:hint="eastAsia"/>
                <w:bCs/>
                <w:color w:val="auto"/>
                <w:sz w:val="21"/>
                <w:szCs w:val="21"/>
                <w:highlight w:val="none"/>
              </w:rPr>
              <w:t>/</w:t>
            </w:r>
          </w:p>
        </w:tc>
      </w:tr>
      <w:tr w14:paraId="3ECF5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920" w:type="pct"/>
            <w:vMerge w:val="restart"/>
            <w:tcBorders>
              <w:tl2br w:val="nil"/>
              <w:tr2bl w:val="nil"/>
            </w:tcBorders>
            <w:noWrap w:val="0"/>
            <w:vAlign w:val="center"/>
          </w:tcPr>
          <w:p w14:paraId="279572CE">
            <w:pPr>
              <w:jc w:val="center"/>
              <w:rPr>
                <w:rFonts w:hint="eastAsia"/>
                <w:bCs/>
                <w:color w:val="auto"/>
                <w:sz w:val="21"/>
                <w:szCs w:val="21"/>
                <w:highlight w:val="none"/>
              </w:rPr>
            </w:pPr>
            <w:r>
              <w:rPr>
                <w:rFonts w:hint="eastAsia"/>
                <w:bCs/>
                <w:color w:val="auto"/>
                <w:sz w:val="21"/>
                <w:szCs w:val="21"/>
                <w:highlight w:val="none"/>
              </w:rPr>
              <w:t>民用建筑及其他建筑</w:t>
            </w:r>
          </w:p>
        </w:tc>
        <w:tc>
          <w:tcPr>
            <w:tcW w:w="949" w:type="pct"/>
            <w:tcBorders>
              <w:tl2br w:val="nil"/>
              <w:tr2bl w:val="nil"/>
            </w:tcBorders>
            <w:noWrap w:val="0"/>
            <w:vAlign w:val="center"/>
          </w:tcPr>
          <w:p w14:paraId="2C76BFFD">
            <w:pPr>
              <w:jc w:val="center"/>
              <w:rPr>
                <w:rFonts w:hint="eastAsia"/>
                <w:bCs/>
                <w:color w:val="auto"/>
                <w:sz w:val="21"/>
                <w:szCs w:val="21"/>
                <w:highlight w:val="none"/>
              </w:rPr>
            </w:pPr>
            <w:r>
              <w:rPr>
                <w:rFonts w:hint="eastAsia"/>
                <w:bCs/>
                <w:color w:val="auto"/>
                <w:sz w:val="21"/>
                <w:szCs w:val="21"/>
                <w:highlight w:val="none"/>
              </w:rPr>
              <w:t>一类</w:t>
            </w:r>
          </w:p>
        </w:tc>
        <w:tc>
          <w:tcPr>
            <w:tcW w:w="942" w:type="pct"/>
            <w:tcBorders>
              <w:tl2br w:val="nil"/>
              <w:tr2bl w:val="nil"/>
            </w:tcBorders>
            <w:noWrap w:val="0"/>
            <w:vAlign w:val="center"/>
          </w:tcPr>
          <w:p w14:paraId="6A38685C">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14（6）</w:t>
            </w:r>
          </w:p>
        </w:tc>
        <w:tc>
          <w:tcPr>
            <w:tcW w:w="699" w:type="pct"/>
            <w:tcBorders>
              <w:tl2br w:val="nil"/>
              <w:tr2bl w:val="nil"/>
            </w:tcBorders>
            <w:noWrap w:val="0"/>
            <w:vAlign w:val="center"/>
          </w:tcPr>
          <w:p w14:paraId="1F7774FB">
            <w:pPr>
              <w:jc w:val="center"/>
              <w:rPr>
                <w:rFonts w:hint="eastAsia"/>
                <w:bCs/>
                <w:color w:val="auto"/>
                <w:sz w:val="21"/>
                <w:szCs w:val="21"/>
                <w:highlight w:val="none"/>
              </w:rPr>
            </w:pPr>
            <w:r>
              <w:rPr>
                <w:rFonts w:hint="eastAsia"/>
                <w:bCs/>
                <w:color w:val="auto"/>
                <w:sz w:val="21"/>
                <w:szCs w:val="21"/>
                <w:highlight w:val="none"/>
              </w:rPr>
              <w:t>/</w:t>
            </w:r>
          </w:p>
        </w:tc>
        <w:tc>
          <w:tcPr>
            <w:tcW w:w="955" w:type="pct"/>
            <w:tcBorders>
              <w:tl2br w:val="nil"/>
              <w:tr2bl w:val="nil"/>
            </w:tcBorders>
            <w:noWrap w:val="0"/>
            <w:vAlign w:val="center"/>
          </w:tcPr>
          <w:p w14:paraId="768204B1">
            <w:pPr>
              <w:jc w:val="center"/>
              <w:rPr>
                <w:rFonts w:hint="eastAsia" w:eastAsia="宋体"/>
                <w:bCs/>
                <w:color w:val="auto"/>
                <w:sz w:val="21"/>
                <w:szCs w:val="21"/>
                <w:highlight w:val="none"/>
                <w:lang w:eastAsia="zh-CN"/>
              </w:rPr>
            </w:pPr>
            <w:r>
              <w:rPr>
                <w:rFonts w:hint="eastAsia"/>
                <w:bCs/>
                <w:color w:val="auto"/>
                <w:sz w:val="21"/>
                <w:szCs w:val="21"/>
                <w:highlight w:val="none"/>
              </w:rPr>
              <w:t>11</w:t>
            </w:r>
            <w:r>
              <w:rPr>
                <w:rFonts w:hint="eastAsia"/>
                <w:bCs/>
                <w:color w:val="auto"/>
                <w:sz w:val="21"/>
                <w:szCs w:val="21"/>
                <w:highlight w:val="none"/>
                <w:lang w:eastAsia="zh-CN"/>
              </w:rPr>
              <w:t>（</w:t>
            </w:r>
            <w:r>
              <w:rPr>
                <w:rFonts w:hint="eastAsia"/>
                <w:bCs/>
                <w:color w:val="auto"/>
                <w:sz w:val="21"/>
                <w:szCs w:val="21"/>
                <w:highlight w:val="none"/>
                <w:lang w:val="en-US" w:eastAsia="zh-CN"/>
              </w:rPr>
              <w:t>6</w:t>
            </w:r>
            <w:r>
              <w:rPr>
                <w:rFonts w:hint="eastAsia"/>
                <w:bCs/>
                <w:color w:val="auto"/>
                <w:sz w:val="21"/>
                <w:szCs w:val="21"/>
                <w:highlight w:val="none"/>
                <w:lang w:eastAsia="zh-CN"/>
              </w:rPr>
              <w:t>）</w:t>
            </w:r>
          </w:p>
        </w:tc>
        <w:tc>
          <w:tcPr>
            <w:tcW w:w="532" w:type="pct"/>
            <w:tcBorders>
              <w:tl2br w:val="nil"/>
              <w:tr2bl w:val="nil"/>
            </w:tcBorders>
            <w:noWrap w:val="0"/>
            <w:vAlign w:val="center"/>
          </w:tcPr>
          <w:p w14:paraId="21BDAB03">
            <w:pPr>
              <w:jc w:val="center"/>
              <w:rPr>
                <w:rFonts w:hint="eastAsia"/>
                <w:bCs/>
                <w:color w:val="auto"/>
                <w:sz w:val="21"/>
                <w:szCs w:val="21"/>
                <w:highlight w:val="none"/>
              </w:rPr>
            </w:pPr>
            <w:r>
              <w:rPr>
                <w:rFonts w:hint="eastAsia"/>
                <w:bCs/>
                <w:color w:val="auto"/>
                <w:sz w:val="21"/>
                <w:szCs w:val="21"/>
                <w:highlight w:val="none"/>
              </w:rPr>
              <w:t>/</w:t>
            </w:r>
          </w:p>
        </w:tc>
      </w:tr>
      <w:tr w14:paraId="74FF2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920" w:type="pct"/>
            <w:vMerge w:val="continue"/>
            <w:tcBorders>
              <w:tl2br w:val="nil"/>
              <w:tr2bl w:val="nil"/>
            </w:tcBorders>
            <w:noWrap w:val="0"/>
            <w:vAlign w:val="center"/>
          </w:tcPr>
          <w:p w14:paraId="7A874EBD">
            <w:pPr>
              <w:jc w:val="center"/>
              <w:rPr>
                <w:rFonts w:hint="eastAsia"/>
                <w:bCs/>
                <w:color w:val="auto"/>
                <w:sz w:val="21"/>
                <w:szCs w:val="21"/>
                <w:highlight w:val="none"/>
              </w:rPr>
            </w:pPr>
          </w:p>
        </w:tc>
        <w:tc>
          <w:tcPr>
            <w:tcW w:w="949" w:type="pct"/>
            <w:tcBorders>
              <w:tl2br w:val="nil"/>
              <w:tr2bl w:val="nil"/>
            </w:tcBorders>
            <w:noWrap w:val="0"/>
            <w:vAlign w:val="center"/>
          </w:tcPr>
          <w:p w14:paraId="687A6C8C">
            <w:pPr>
              <w:jc w:val="center"/>
              <w:rPr>
                <w:rFonts w:hint="eastAsia"/>
                <w:bCs/>
                <w:color w:val="auto"/>
                <w:sz w:val="21"/>
                <w:szCs w:val="21"/>
                <w:highlight w:val="none"/>
              </w:rPr>
            </w:pPr>
            <w:r>
              <w:rPr>
                <w:rFonts w:hint="eastAsia"/>
                <w:bCs/>
                <w:color w:val="auto"/>
                <w:sz w:val="21"/>
                <w:szCs w:val="21"/>
                <w:highlight w:val="none"/>
              </w:rPr>
              <w:t>二类</w:t>
            </w:r>
          </w:p>
        </w:tc>
        <w:tc>
          <w:tcPr>
            <w:tcW w:w="942" w:type="pct"/>
            <w:tcBorders>
              <w:tl2br w:val="nil"/>
              <w:tr2bl w:val="nil"/>
            </w:tcBorders>
            <w:noWrap w:val="0"/>
            <w:vAlign w:val="center"/>
          </w:tcPr>
          <w:p w14:paraId="4DB68D69">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11（6）</w:t>
            </w:r>
          </w:p>
        </w:tc>
        <w:tc>
          <w:tcPr>
            <w:tcW w:w="699" w:type="pct"/>
            <w:tcBorders>
              <w:tl2br w:val="nil"/>
              <w:tr2bl w:val="nil"/>
            </w:tcBorders>
            <w:noWrap w:val="0"/>
            <w:vAlign w:val="center"/>
          </w:tcPr>
          <w:p w14:paraId="134A68D2">
            <w:pPr>
              <w:jc w:val="center"/>
              <w:rPr>
                <w:rFonts w:hint="eastAsia"/>
                <w:bCs/>
                <w:color w:val="auto"/>
                <w:sz w:val="21"/>
                <w:szCs w:val="21"/>
                <w:highlight w:val="none"/>
              </w:rPr>
            </w:pPr>
            <w:r>
              <w:rPr>
                <w:rFonts w:hint="eastAsia"/>
                <w:bCs/>
                <w:color w:val="auto"/>
                <w:sz w:val="21"/>
                <w:szCs w:val="21"/>
                <w:highlight w:val="none"/>
              </w:rPr>
              <w:t>/</w:t>
            </w:r>
          </w:p>
        </w:tc>
        <w:tc>
          <w:tcPr>
            <w:tcW w:w="955" w:type="pct"/>
            <w:tcBorders>
              <w:tl2br w:val="nil"/>
              <w:tr2bl w:val="nil"/>
            </w:tcBorders>
            <w:noWrap w:val="0"/>
            <w:vAlign w:val="center"/>
          </w:tcPr>
          <w:p w14:paraId="02196AC0">
            <w:pPr>
              <w:jc w:val="center"/>
              <w:rPr>
                <w:rFonts w:hint="eastAsia"/>
                <w:bCs/>
                <w:color w:val="auto"/>
                <w:sz w:val="21"/>
                <w:szCs w:val="21"/>
                <w:highlight w:val="none"/>
              </w:rPr>
            </w:pPr>
            <w:r>
              <w:rPr>
                <w:rFonts w:hint="eastAsia"/>
                <w:bCs/>
                <w:color w:val="auto"/>
                <w:sz w:val="21"/>
                <w:szCs w:val="21"/>
                <w:highlight w:val="none"/>
              </w:rPr>
              <w:t>8.5</w:t>
            </w:r>
            <w:r>
              <w:rPr>
                <w:rFonts w:hint="eastAsia"/>
                <w:bCs/>
                <w:color w:val="auto"/>
                <w:sz w:val="21"/>
                <w:szCs w:val="21"/>
                <w:highlight w:val="none"/>
                <w:lang w:eastAsia="zh-CN"/>
              </w:rPr>
              <w:t>（</w:t>
            </w:r>
            <w:r>
              <w:rPr>
                <w:rFonts w:hint="eastAsia"/>
                <w:bCs/>
                <w:color w:val="auto"/>
                <w:sz w:val="21"/>
                <w:szCs w:val="21"/>
                <w:highlight w:val="none"/>
                <w:lang w:val="en-US" w:eastAsia="zh-CN"/>
              </w:rPr>
              <w:t>6</w:t>
            </w:r>
            <w:r>
              <w:rPr>
                <w:rFonts w:hint="eastAsia"/>
                <w:bCs/>
                <w:color w:val="auto"/>
                <w:sz w:val="21"/>
                <w:szCs w:val="21"/>
                <w:highlight w:val="none"/>
                <w:lang w:eastAsia="zh-CN"/>
              </w:rPr>
              <w:t>）</w:t>
            </w:r>
          </w:p>
        </w:tc>
        <w:tc>
          <w:tcPr>
            <w:tcW w:w="532" w:type="pct"/>
            <w:tcBorders>
              <w:tl2br w:val="nil"/>
              <w:tr2bl w:val="nil"/>
            </w:tcBorders>
            <w:noWrap w:val="0"/>
            <w:vAlign w:val="center"/>
          </w:tcPr>
          <w:p w14:paraId="3049D78F">
            <w:pPr>
              <w:jc w:val="center"/>
              <w:rPr>
                <w:rFonts w:hint="eastAsia"/>
                <w:bCs/>
                <w:color w:val="auto"/>
                <w:sz w:val="21"/>
                <w:szCs w:val="21"/>
                <w:highlight w:val="none"/>
              </w:rPr>
            </w:pPr>
            <w:r>
              <w:rPr>
                <w:rFonts w:hint="eastAsia"/>
                <w:bCs/>
                <w:color w:val="auto"/>
                <w:sz w:val="21"/>
                <w:szCs w:val="21"/>
                <w:highlight w:val="none"/>
              </w:rPr>
              <w:t>/</w:t>
            </w:r>
          </w:p>
        </w:tc>
      </w:tr>
      <w:tr w14:paraId="1ED76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920" w:type="pct"/>
            <w:vMerge w:val="continue"/>
            <w:tcBorders>
              <w:tl2br w:val="nil"/>
              <w:tr2bl w:val="nil"/>
            </w:tcBorders>
            <w:noWrap w:val="0"/>
            <w:vAlign w:val="center"/>
          </w:tcPr>
          <w:p w14:paraId="2C5FC10C">
            <w:pPr>
              <w:jc w:val="center"/>
              <w:rPr>
                <w:rFonts w:hint="eastAsia"/>
                <w:bCs/>
                <w:color w:val="auto"/>
                <w:sz w:val="21"/>
                <w:szCs w:val="21"/>
                <w:highlight w:val="none"/>
              </w:rPr>
            </w:pPr>
          </w:p>
        </w:tc>
        <w:tc>
          <w:tcPr>
            <w:tcW w:w="949" w:type="pct"/>
            <w:tcBorders>
              <w:tl2br w:val="nil"/>
              <w:tr2bl w:val="nil"/>
            </w:tcBorders>
            <w:noWrap w:val="0"/>
            <w:vAlign w:val="center"/>
          </w:tcPr>
          <w:p w14:paraId="2BF22078">
            <w:pPr>
              <w:jc w:val="center"/>
              <w:rPr>
                <w:rFonts w:hint="eastAsia"/>
                <w:bCs/>
                <w:color w:val="auto"/>
                <w:sz w:val="21"/>
                <w:szCs w:val="21"/>
                <w:highlight w:val="none"/>
              </w:rPr>
            </w:pPr>
            <w:r>
              <w:rPr>
                <w:rFonts w:hint="eastAsia"/>
                <w:bCs/>
                <w:color w:val="auto"/>
                <w:sz w:val="21"/>
                <w:szCs w:val="21"/>
                <w:highlight w:val="none"/>
              </w:rPr>
              <w:t>三类</w:t>
            </w:r>
          </w:p>
        </w:tc>
        <w:tc>
          <w:tcPr>
            <w:tcW w:w="942" w:type="pct"/>
            <w:tcBorders>
              <w:tl2br w:val="nil"/>
              <w:tr2bl w:val="nil"/>
            </w:tcBorders>
            <w:noWrap w:val="0"/>
            <w:vAlign w:val="center"/>
          </w:tcPr>
          <w:p w14:paraId="6B646789">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8.5（6）</w:t>
            </w:r>
          </w:p>
        </w:tc>
        <w:tc>
          <w:tcPr>
            <w:tcW w:w="699" w:type="pct"/>
            <w:tcBorders>
              <w:tl2br w:val="nil"/>
              <w:tr2bl w:val="nil"/>
            </w:tcBorders>
            <w:noWrap w:val="0"/>
            <w:vAlign w:val="center"/>
          </w:tcPr>
          <w:p w14:paraId="3C79A88B">
            <w:pPr>
              <w:jc w:val="center"/>
              <w:rPr>
                <w:rFonts w:hint="eastAsia"/>
                <w:bCs/>
                <w:color w:val="auto"/>
                <w:sz w:val="21"/>
                <w:szCs w:val="21"/>
                <w:highlight w:val="none"/>
              </w:rPr>
            </w:pPr>
            <w:r>
              <w:rPr>
                <w:rFonts w:hint="eastAsia"/>
                <w:bCs/>
                <w:color w:val="auto"/>
                <w:sz w:val="21"/>
                <w:szCs w:val="21"/>
                <w:highlight w:val="none"/>
              </w:rPr>
              <w:t>/</w:t>
            </w:r>
          </w:p>
        </w:tc>
        <w:tc>
          <w:tcPr>
            <w:tcW w:w="955" w:type="pct"/>
            <w:tcBorders>
              <w:tl2br w:val="nil"/>
              <w:tr2bl w:val="nil"/>
            </w:tcBorders>
            <w:noWrap w:val="0"/>
            <w:vAlign w:val="center"/>
          </w:tcPr>
          <w:p w14:paraId="3E3B45B0">
            <w:pPr>
              <w:jc w:val="center"/>
              <w:rPr>
                <w:rFonts w:hint="eastAsia"/>
                <w:bCs/>
                <w:color w:val="auto"/>
                <w:sz w:val="21"/>
                <w:szCs w:val="21"/>
                <w:highlight w:val="none"/>
              </w:rPr>
            </w:pPr>
            <w:r>
              <w:rPr>
                <w:rFonts w:hint="eastAsia"/>
                <w:bCs/>
                <w:color w:val="auto"/>
                <w:sz w:val="21"/>
                <w:szCs w:val="21"/>
                <w:highlight w:val="none"/>
              </w:rPr>
              <w:t>7</w:t>
            </w:r>
            <w:r>
              <w:rPr>
                <w:rFonts w:hint="eastAsia"/>
                <w:bCs/>
                <w:color w:val="auto"/>
                <w:sz w:val="21"/>
                <w:szCs w:val="21"/>
                <w:highlight w:val="none"/>
                <w:lang w:eastAsia="zh-CN"/>
              </w:rPr>
              <w:t>（</w:t>
            </w:r>
            <w:r>
              <w:rPr>
                <w:rFonts w:hint="eastAsia"/>
                <w:bCs/>
                <w:color w:val="auto"/>
                <w:sz w:val="21"/>
                <w:szCs w:val="21"/>
                <w:highlight w:val="none"/>
                <w:lang w:val="en-US" w:eastAsia="zh-CN"/>
              </w:rPr>
              <w:t>6</w:t>
            </w:r>
            <w:r>
              <w:rPr>
                <w:rFonts w:hint="eastAsia"/>
                <w:bCs/>
                <w:color w:val="auto"/>
                <w:sz w:val="21"/>
                <w:szCs w:val="21"/>
                <w:highlight w:val="none"/>
                <w:lang w:eastAsia="zh-CN"/>
              </w:rPr>
              <w:t>）</w:t>
            </w:r>
          </w:p>
        </w:tc>
        <w:tc>
          <w:tcPr>
            <w:tcW w:w="532" w:type="pct"/>
            <w:tcBorders>
              <w:tl2br w:val="nil"/>
              <w:tr2bl w:val="nil"/>
            </w:tcBorders>
            <w:noWrap w:val="0"/>
            <w:vAlign w:val="center"/>
          </w:tcPr>
          <w:p w14:paraId="14731184">
            <w:pPr>
              <w:jc w:val="center"/>
              <w:rPr>
                <w:rFonts w:hint="eastAsia"/>
                <w:bCs/>
                <w:color w:val="auto"/>
                <w:sz w:val="21"/>
                <w:szCs w:val="21"/>
                <w:highlight w:val="none"/>
              </w:rPr>
            </w:pPr>
            <w:r>
              <w:rPr>
                <w:rFonts w:hint="eastAsia"/>
                <w:bCs/>
                <w:color w:val="auto"/>
                <w:sz w:val="21"/>
                <w:szCs w:val="21"/>
                <w:highlight w:val="none"/>
              </w:rPr>
              <w:t>/</w:t>
            </w:r>
          </w:p>
        </w:tc>
      </w:tr>
      <w:tr w14:paraId="4FB3C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870" w:type="pct"/>
            <w:gridSpan w:val="2"/>
            <w:tcBorders>
              <w:tl2br w:val="nil"/>
              <w:tr2bl w:val="nil"/>
            </w:tcBorders>
            <w:noWrap w:val="0"/>
            <w:vAlign w:val="center"/>
          </w:tcPr>
          <w:p w14:paraId="34C6D3BB">
            <w:pPr>
              <w:jc w:val="center"/>
              <w:rPr>
                <w:rFonts w:hint="eastAsia"/>
                <w:bCs/>
                <w:color w:val="auto"/>
                <w:sz w:val="21"/>
                <w:szCs w:val="21"/>
                <w:highlight w:val="none"/>
              </w:rPr>
            </w:pPr>
            <w:r>
              <w:rPr>
                <w:rFonts w:hint="eastAsia" w:ascii="宋体" w:hAnsi="宋体" w:eastAsia="宋体" w:cs="宋体"/>
                <w:b w:val="0"/>
                <w:bCs w:val="0"/>
                <w:color w:val="auto"/>
                <w:sz w:val="21"/>
                <w:szCs w:val="21"/>
                <w:highlight w:val="none"/>
              </w:rPr>
              <w:t>甲乙类厂房库房和甲乙类液体储罐（食品厂厂房）</w:t>
            </w:r>
          </w:p>
        </w:tc>
        <w:tc>
          <w:tcPr>
            <w:tcW w:w="942" w:type="pct"/>
            <w:tcBorders>
              <w:tl2br w:val="nil"/>
              <w:tr2bl w:val="nil"/>
            </w:tcBorders>
            <w:noWrap w:val="0"/>
            <w:vAlign w:val="center"/>
          </w:tcPr>
          <w:p w14:paraId="3FC9851F">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15.5（11）</w:t>
            </w:r>
          </w:p>
        </w:tc>
        <w:tc>
          <w:tcPr>
            <w:tcW w:w="699" w:type="pct"/>
            <w:tcBorders>
              <w:tl2br w:val="nil"/>
              <w:tr2bl w:val="nil"/>
            </w:tcBorders>
            <w:noWrap w:val="0"/>
            <w:vAlign w:val="center"/>
          </w:tcPr>
          <w:p w14:paraId="413FA1C0">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42.15</w:t>
            </w:r>
          </w:p>
        </w:tc>
        <w:tc>
          <w:tcPr>
            <w:tcW w:w="955" w:type="pct"/>
            <w:tcBorders>
              <w:tl2br w:val="nil"/>
              <w:tr2bl w:val="nil"/>
            </w:tcBorders>
            <w:noWrap w:val="0"/>
            <w:vAlign w:val="center"/>
          </w:tcPr>
          <w:p w14:paraId="5DF67C91">
            <w:pPr>
              <w:jc w:val="center"/>
              <w:rPr>
                <w:rFonts w:hint="eastAsia"/>
                <w:bCs/>
                <w:color w:val="auto"/>
                <w:sz w:val="21"/>
                <w:szCs w:val="21"/>
                <w:highlight w:val="none"/>
              </w:rPr>
            </w:pPr>
            <w:r>
              <w:rPr>
                <w:rFonts w:hint="eastAsia"/>
                <w:bCs/>
                <w:color w:val="auto"/>
                <w:sz w:val="21"/>
                <w:szCs w:val="21"/>
                <w:highlight w:val="none"/>
                <w:lang w:val="en-US" w:eastAsia="zh-CN"/>
              </w:rPr>
              <w:t>12.5（9）</w:t>
            </w:r>
          </w:p>
        </w:tc>
        <w:tc>
          <w:tcPr>
            <w:tcW w:w="532" w:type="pct"/>
            <w:tcBorders>
              <w:tl2br w:val="nil"/>
              <w:tr2bl w:val="nil"/>
            </w:tcBorders>
            <w:noWrap w:val="0"/>
            <w:vAlign w:val="center"/>
          </w:tcPr>
          <w:p w14:paraId="50E3FFF3">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33.41</w:t>
            </w:r>
          </w:p>
        </w:tc>
      </w:tr>
      <w:tr w14:paraId="4F3DB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870" w:type="pct"/>
            <w:gridSpan w:val="2"/>
            <w:tcBorders>
              <w:tl2br w:val="nil"/>
              <w:tr2bl w:val="nil"/>
            </w:tcBorders>
            <w:noWrap w:val="0"/>
            <w:vAlign w:val="center"/>
          </w:tcPr>
          <w:p w14:paraId="57D348F6">
            <w:pPr>
              <w:jc w:val="center"/>
              <w:rPr>
                <w:rFonts w:hint="eastAsia"/>
                <w:bCs/>
                <w:color w:val="auto"/>
                <w:sz w:val="21"/>
                <w:szCs w:val="21"/>
                <w:highlight w:val="none"/>
              </w:rPr>
            </w:pPr>
            <w:r>
              <w:rPr>
                <w:rFonts w:hint="eastAsia" w:ascii="Times New Roman" w:hAnsi="Times New Roman" w:eastAsia="宋体" w:cs="Times New Roman"/>
                <w:bCs/>
                <w:color w:val="auto"/>
                <w:sz w:val="21"/>
                <w:szCs w:val="21"/>
                <w:highlight w:val="none"/>
              </w:rPr>
              <w:t>丙丁戊类厂房、库房和丙类液体储罐以及容积不大于50m</w:t>
            </w:r>
            <w:r>
              <w:rPr>
                <w:rFonts w:hint="eastAsia" w:ascii="Times New Roman" w:hAnsi="Times New Roman" w:eastAsia="宋体" w:cs="Times New Roman"/>
                <w:bCs/>
                <w:color w:val="auto"/>
                <w:sz w:val="21"/>
                <w:szCs w:val="21"/>
                <w:highlight w:val="none"/>
                <w:vertAlign w:val="superscript"/>
                <w:lang w:val="en-US" w:eastAsia="zh-CN"/>
              </w:rPr>
              <w:t>3</w:t>
            </w:r>
            <w:r>
              <w:rPr>
                <w:rFonts w:hint="eastAsia" w:ascii="Times New Roman" w:hAnsi="Times New Roman" w:eastAsia="宋体" w:cs="Times New Roman"/>
                <w:bCs/>
                <w:color w:val="auto"/>
                <w:sz w:val="21"/>
                <w:szCs w:val="21"/>
                <w:highlight w:val="none"/>
              </w:rPr>
              <w:t>的埋地甲乙类液体储罐（东侧建筑）</w:t>
            </w:r>
          </w:p>
        </w:tc>
        <w:tc>
          <w:tcPr>
            <w:tcW w:w="942" w:type="pct"/>
            <w:tcBorders>
              <w:tl2br w:val="nil"/>
              <w:tr2bl w:val="nil"/>
            </w:tcBorders>
            <w:noWrap w:val="0"/>
            <w:vAlign w:val="center"/>
          </w:tcPr>
          <w:p w14:paraId="3FFDCDD2">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11</w:t>
            </w:r>
            <w:r>
              <w:rPr>
                <w:rFonts w:hint="eastAsia"/>
                <w:bCs/>
                <w:color w:val="auto"/>
                <w:sz w:val="21"/>
                <w:szCs w:val="21"/>
                <w:highlight w:val="none"/>
                <w:lang w:eastAsia="zh-CN"/>
              </w:rPr>
              <w:t>（</w:t>
            </w:r>
            <w:r>
              <w:rPr>
                <w:rFonts w:hint="eastAsia"/>
                <w:bCs/>
                <w:color w:val="auto"/>
                <w:sz w:val="21"/>
                <w:szCs w:val="21"/>
                <w:highlight w:val="none"/>
                <w:lang w:val="en-US" w:eastAsia="zh-CN"/>
              </w:rPr>
              <w:t>9</w:t>
            </w:r>
            <w:r>
              <w:rPr>
                <w:rFonts w:hint="eastAsia"/>
                <w:bCs/>
                <w:color w:val="auto"/>
                <w:sz w:val="21"/>
                <w:szCs w:val="21"/>
                <w:highlight w:val="none"/>
                <w:lang w:eastAsia="zh-CN"/>
              </w:rPr>
              <w:t>）</w:t>
            </w:r>
          </w:p>
        </w:tc>
        <w:tc>
          <w:tcPr>
            <w:tcW w:w="699" w:type="pct"/>
            <w:tcBorders>
              <w:tl2br w:val="nil"/>
              <w:tr2bl w:val="nil"/>
            </w:tcBorders>
            <w:noWrap w:val="0"/>
            <w:vAlign w:val="center"/>
          </w:tcPr>
          <w:p w14:paraId="7BC0EF18">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＞80</w:t>
            </w:r>
          </w:p>
        </w:tc>
        <w:tc>
          <w:tcPr>
            <w:tcW w:w="955" w:type="pct"/>
            <w:tcBorders>
              <w:tl2br w:val="nil"/>
              <w:tr2bl w:val="nil"/>
            </w:tcBorders>
            <w:noWrap w:val="0"/>
            <w:vAlign w:val="center"/>
          </w:tcPr>
          <w:p w14:paraId="7A9F744B">
            <w:pPr>
              <w:jc w:val="center"/>
              <w:rPr>
                <w:rFonts w:hint="eastAsia"/>
                <w:bCs/>
                <w:color w:val="auto"/>
                <w:sz w:val="21"/>
                <w:szCs w:val="21"/>
                <w:highlight w:val="none"/>
              </w:rPr>
            </w:pPr>
            <w:r>
              <w:rPr>
                <w:rFonts w:hint="eastAsia"/>
                <w:bCs/>
                <w:color w:val="auto"/>
                <w:sz w:val="21"/>
                <w:szCs w:val="21"/>
                <w:highlight w:val="none"/>
                <w:lang w:val="en-US" w:eastAsia="zh-CN"/>
              </w:rPr>
              <w:t>10.5</w:t>
            </w:r>
            <w:r>
              <w:rPr>
                <w:rFonts w:hint="eastAsia"/>
                <w:bCs/>
                <w:color w:val="auto"/>
                <w:sz w:val="21"/>
                <w:szCs w:val="21"/>
                <w:highlight w:val="none"/>
                <w:lang w:eastAsia="zh-CN"/>
              </w:rPr>
              <w:t>（</w:t>
            </w:r>
            <w:r>
              <w:rPr>
                <w:rFonts w:hint="eastAsia"/>
                <w:bCs/>
                <w:color w:val="auto"/>
                <w:sz w:val="21"/>
                <w:szCs w:val="21"/>
                <w:highlight w:val="none"/>
                <w:lang w:val="en-US" w:eastAsia="zh-CN"/>
              </w:rPr>
              <w:t>9</w:t>
            </w:r>
            <w:r>
              <w:rPr>
                <w:rFonts w:hint="eastAsia"/>
                <w:bCs/>
                <w:color w:val="auto"/>
                <w:sz w:val="21"/>
                <w:szCs w:val="21"/>
                <w:highlight w:val="none"/>
                <w:lang w:eastAsia="zh-CN"/>
              </w:rPr>
              <w:t>）</w:t>
            </w:r>
          </w:p>
        </w:tc>
        <w:tc>
          <w:tcPr>
            <w:tcW w:w="532" w:type="pct"/>
            <w:tcBorders>
              <w:tl2br w:val="nil"/>
              <w:tr2bl w:val="nil"/>
            </w:tcBorders>
            <w:noWrap w:val="0"/>
            <w:vAlign w:val="center"/>
          </w:tcPr>
          <w:p w14:paraId="2A3E31BE">
            <w:pPr>
              <w:jc w:val="center"/>
              <w:rPr>
                <w:rFonts w:hint="eastAsia"/>
                <w:bCs/>
                <w:color w:val="auto"/>
                <w:sz w:val="21"/>
                <w:szCs w:val="21"/>
                <w:highlight w:val="none"/>
              </w:rPr>
            </w:pPr>
            <w:r>
              <w:rPr>
                <w:rFonts w:hint="eastAsia"/>
                <w:bCs/>
                <w:color w:val="auto"/>
                <w:sz w:val="21"/>
                <w:szCs w:val="21"/>
                <w:highlight w:val="none"/>
                <w:lang w:val="en-US" w:eastAsia="zh-CN"/>
              </w:rPr>
              <w:t>＞80</w:t>
            </w:r>
          </w:p>
        </w:tc>
      </w:tr>
      <w:tr w14:paraId="1A965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870" w:type="pct"/>
            <w:gridSpan w:val="2"/>
            <w:tcBorders>
              <w:tl2br w:val="nil"/>
              <w:tr2bl w:val="nil"/>
            </w:tcBorders>
            <w:noWrap w:val="0"/>
            <w:vAlign w:val="center"/>
          </w:tcPr>
          <w:p w14:paraId="0C801E3F">
            <w:pPr>
              <w:jc w:val="center"/>
              <w:rPr>
                <w:rFonts w:hint="default" w:eastAsia="宋体"/>
                <w:bCs/>
                <w:color w:val="auto"/>
                <w:sz w:val="21"/>
                <w:szCs w:val="21"/>
                <w:highlight w:val="none"/>
                <w:lang w:val="en-US" w:eastAsia="zh-CN"/>
              </w:rPr>
            </w:pPr>
            <w:r>
              <w:rPr>
                <w:rFonts w:hint="eastAsia"/>
                <w:bCs/>
                <w:color w:val="auto"/>
                <w:sz w:val="21"/>
                <w:szCs w:val="21"/>
                <w:highlight w:val="none"/>
              </w:rPr>
              <w:t>城市快速路、主干路</w:t>
            </w:r>
            <w:r>
              <w:rPr>
                <w:rFonts w:hint="eastAsia"/>
                <w:bCs/>
                <w:color w:val="auto"/>
                <w:sz w:val="21"/>
                <w:szCs w:val="21"/>
                <w:highlight w:val="none"/>
                <w:lang w:val="en-US" w:eastAsia="zh-CN"/>
              </w:rPr>
              <w:t>和高速公路、一级公路、二级公路</w:t>
            </w:r>
          </w:p>
        </w:tc>
        <w:tc>
          <w:tcPr>
            <w:tcW w:w="942" w:type="pct"/>
            <w:tcBorders>
              <w:tl2br w:val="nil"/>
              <w:tr2bl w:val="nil"/>
            </w:tcBorders>
            <w:noWrap w:val="0"/>
            <w:vAlign w:val="center"/>
          </w:tcPr>
          <w:p w14:paraId="41E1E813">
            <w:pPr>
              <w:jc w:val="center"/>
              <w:rPr>
                <w:rFonts w:hint="eastAsia" w:eastAsia="宋体"/>
                <w:bCs/>
                <w:color w:val="auto"/>
                <w:sz w:val="21"/>
                <w:szCs w:val="21"/>
                <w:highlight w:val="none"/>
                <w:lang w:eastAsia="zh-CN"/>
              </w:rPr>
            </w:pPr>
            <w:r>
              <w:rPr>
                <w:rFonts w:hint="eastAsia"/>
                <w:bCs/>
                <w:color w:val="auto"/>
                <w:sz w:val="21"/>
                <w:szCs w:val="21"/>
                <w:highlight w:val="none"/>
              </w:rPr>
              <w:t>5.5</w:t>
            </w:r>
            <w:r>
              <w:rPr>
                <w:rFonts w:hint="eastAsia"/>
                <w:bCs/>
                <w:color w:val="auto"/>
                <w:sz w:val="21"/>
                <w:szCs w:val="21"/>
                <w:highlight w:val="none"/>
                <w:lang w:eastAsia="zh-CN"/>
              </w:rPr>
              <w:t>（</w:t>
            </w:r>
            <w:r>
              <w:rPr>
                <w:rFonts w:hint="eastAsia"/>
                <w:bCs/>
                <w:color w:val="auto"/>
                <w:sz w:val="21"/>
                <w:szCs w:val="21"/>
                <w:highlight w:val="none"/>
                <w:lang w:val="en-US" w:eastAsia="zh-CN"/>
              </w:rPr>
              <w:t>3</w:t>
            </w:r>
            <w:r>
              <w:rPr>
                <w:rFonts w:hint="eastAsia"/>
                <w:bCs/>
                <w:color w:val="auto"/>
                <w:sz w:val="21"/>
                <w:szCs w:val="21"/>
                <w:highlight w:val="none"/>
                <w:lang w:eastAsia="zh-CN"/>
              </w:rPr>
              <w:t>）</w:t>
            </w:r>
          </w:p>
        </w:tc>
        <w:tc>
          <w:tcPr>
            <w:tcW w:w="699" w:type="pct"/>
            <w:tcBorders>
              <w:tl2br w:val="nil"/>
              <w:tr2bl w:val="nil"/>
            </w:tcBorders>
            <w:noWrap w:val="0"/>
            <w:vAlign w:val="center"/>
          </w:tcPr>
          <w:p w14:paraId="706E6796">
            <w:pPr>
              <w:jc w:val="center"/>
              <w:rPr>
                <w:rFonts w:hint="eastAsia"/>
                <w:bCs/>
                <w:color w:val="auto"/>
                <w:sz w:val="21"/>
                <w:szCs w:val="21"/>
                <w:highlight w:val="none"/>
              </w:rPr>
            </w:pPr>
            <w:r>
              <w:rPr>
                <w:rFonts w:hint="eastAsia"/>
                <w:bCs/>
                <w:color w:val="auto"/>
                <w:sz w:val="21"/>
                <w:szCs w:val="21"/>
                <w:highlight w:val="none"/>
                <w:lang w:val="en-US" w:eastAsia="zh-CN"/>
              </w:rPr>
              <w:t>56</w:t>
            </w:r>
          </w:p>
        </w:tc>
        <w:tc>
          <w:tcPr>
            <w:tcW w:w="955" w:type="pct"/>
            <w:tcBorders>
              <w:tl2br w:val="nil"/>
              <w:tr2bl w:val="nil"/>
            </w:tcBorders>
            <w:noWrap w:val="0"/>
            <w:vAlign w:val="center"/>
          </w:tcPr>
          <w:p w14:paraId="6EFA1940">
            <w:pPr>
              <w:jc w:val="center"/>
              <w:rPr>
                <w:rFonts w:hint="eastAsia" w:ascii="宋体" w:eastAsia="宋体"/>
                <w:bCs/>
                <w:color w:val="auto"/>
                <w:sz w:val="21"/>
                <w:szCs w:val="21"/>
                <w:highlight w:val="none"/>
                <w:lang w:val="en-US" w:eastAsia="zh-CN" w:bidi="ar-SA"/>
              </w:rPr>
            </w:pPr>
            <w:r>
              <w:rPr>
                <w:rFonts w:hint="eastAsia"/>
                <w:bCs/>
                <w:color w:val="auto"/>
                <w:sz w:val="21"/>
                <w:szCs w:val="21"/>
                <w:highlight w:val="none"/>
              </w:rPr>
              <w:t>5</w:t>
            </w:r>
            <w:r>
              <w:rPr>
                <w:rFonts w:hint="eastAsia"/>
                <w:bCs/>
                <w:color w:val="auto"/>
                <w:sz w:val="21"/>
                <w:szCs w:val="21"/>
                <w:highlight w:val="none"/>
                <w:lang w:eastAsia="zh-CN"/>
              </w:rPr>
              <w:t>（</w:t>
            </w:r>
            <w:r>
              <w:rPr>
                <w:rFonts w:hint="eastAsia"/>
                <w:bCs/>
                <w:color w:val="auto"/>
                <w:sz w:val="21"/>
                <w:szCs w:val="21"/>
                <w:highlight w:val="none"/>
                <w:lang w:val="en-US" w:eastAsia="zh-CN"/>
              </w:rPr>
              <w:t>3</w:t>
            </w:r>
            <w:r>
              <w:rPr>
                <w:rFonts w:hint="eastAsia"/>
                <w:bCs/>
                <w:color w:val="auto"/>
                <w:sz w:val="21"/>
                <w:szCs w:val="21"/>
                <w:highlight w:val="none"/>
                <w:lang w:eastAsia="zh-CN"/>
              </w:rPr>
              <w:t>）</w:t>
            </w:r>
          </w:p>
        </w:tc>
        <w:tc>
          <w:tcPr>
            <w:tcW w:w="532" w:type="pct"/>
            <w:tcBorders>
              <w:tl2br w:val="nil"/>
              <w:tr2bl w:val="nil"/>
            </w:tcBorders>
            <w:noWrap w:val="0"/>
            <w:vAlign w:val="center"/>
          </w:tcPr>
          <w:p w14:paraId="5E092A19">
            <w:pPr>
              <w:jc w:val="center"/>
              <w:rPr>
                <w:rFonts w:hint="eastAsia"/>
                <w:bCs/>
                <w:color w:val="auto"/>
                <w:sz w:val="21"/>
                <w:szCs w:val="21"/>
                <w:highlight w:val="none"/>
              </w:rPr>
            </w:pPr>
            <w:r>
              <w:rPr>
                <w:rFonts w:hint="eastAsia"/>
                <w:bCs/>
                <w:color w:val="auto"/>
                <w:sz w:val="21"/>
                <w:szCs w:val="21"/>
                <w:highlight w:val="none"/>
                <w:lang w:val="en-US" w:eastAsia="zh-CN"/>
              </w:rPr>
              <w:t>52</w:t>
            </w:r>
          </w:p>
        </w:tc>
      </w:tr>
      <w:tr w14:paraId="2261C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870" w:type="pct"/>
            <w:gridSpan w:val="2"/>
            <w:tcBorders>
              <w:tl2br w:val="nil"/>
              <w:tr2bl w:val="nil"/>
            </w:tcBorders>
            <w:noWrap w:val="0"/>
            <w:vAlign w:val="center"/>
          </w:tcPr>
          <w:p w14:paraId="70ED429F">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城市</w:t>
            </w:r>
            <w:r>
              <w:rPr>
                <w:rFonts w:hint="eastAsia"/>
                <w:bCs/>
                <w:color w:val="auto"/>
                <w:sz w:val="21"/>
                <w:szCs w:val="21"/>
                <w:highlight w:val="none"/>
              </w:rPr>
              <w:t>次干路、支路</w:t>
            </w:r>
            <w:r>
              <w:rPr>
                <w:rFonts w:hint="eastAsia"/>
                <w:bCs/>
                <w:color w:val="auto"/>
                <w:sz w:val="21"/>
                <w:szCs w:val="21"/>
                <w:highlight w:val="none"/>
                <w:lang w:val="en-US" w:eastAsia="zh-CN"/>
              </w:rPr>
              <w:t>和三级公路、四级公路</w:t>
            </w:r>
          </w:p>
        </w:tc>
        <w:tc>
          <w:tcPr>
            <w:tcW w:w="942" w:type="pct"/>
            <w:tcBorders>
              <w:tl2br w:val="nil"/>
              <w:tr2bl w:val="nil"/>
            </w:tcBorders>
            <w:noWrap w:val="0"/>
            <w:vAlign w:val="center"/>
          </w:tcPr>
          <w:p w14:paraId="3B01CF19">
            <w:pPr>
              <w:jc w:val="center"/>
              <w:rPr>
                <w:rFonts w:hint="eastAsia" w:eastAsia="宋体"/>
                <w:bCs/>
                <w:color w:val="auto"/>
                <w:sz w:val="21"/>
                <w:szCs w:val="21"/>
                <w:highlight w:val="none"/>
                <w:lang w:eastAsia="zh-CN"/>
              </w:rPr>
            </w:pPr>
            <w:r>
              <w:rPr>
                <w:rFonts w:hint="eastAsia"/>
                <w:bCs/>
                <w:color w:val="auto"/>
                <w:sz w:val="21"/>
                <w:szCs w:val="21"/>
                <w:highlight w:val="none"/>
              </w:rPr>
              <w:t>5</w:t>
            </w:r>
            <w:r>
              <w:rPr>
                <w:rFonts w:hint="eastAsia"/>
                <w:bCs/>
                <w:color w:val="auto"/>
                <w:sz w:val="21"/>
                <w:szCs w:val="21"/>
                <w:highlight w:val="none"/>
                <w:lang w:eastAsia="zh-CN"/>
              </w:rPr>
              <w:t>（</w:t>
            </w:r>
            <w:r>
              <w:rPr>
                <w:rFonts w:hint="eastAsia"/>
                <w:bCs/>
                <w:color w:val="auto"/>
                <w:sz w:val="21"/>
                <w:szCs w:val="21"/>
                <w:highlight w:val="none"/>
                <w:lang w:val="en-US" w:eastAsia="zh-CN"/>
              </w:rPr>
              <w:t>3</w:t>
            </w:r>
            <w:r>
              <w:rPr>
                <w:rFonts w:hint="eastAsia"/>
                <w:bCs/>
                <w:color w:val="auto"/>
                <w:sz w:val="21"/>
                <w:szCs w:val="21"/>
                <w:highlight w:val="none"/>
                <w:lang w:eastAsia="zh-CN"/>
              </w:rPr>
              <w:t>）</w:t>
            </w:r>
          </w:p>
        </w:tc>
        <w:tc>
          <w:tcPr>
            <w:tcW w:w="699" w:type="pct"/>
            <w:tcBorders>
              <w:tl2br w:val="nil"/>
              <w:tr2bl w:val="nil"/>
            </w:tcBorders>
            <w:noWrap w:val="0"/>
            <w:vAlign w:val="center"/>
          </w:tcPr>
          <w:p w14:paraId="28C8D116">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42.31</w:t>
            </w:r>
          </w:p>
        </w:tc>
        <w:tc>
          <w:tcPr>
            <w:tcW w:w="955" w:type="pct"/>
            <w:tcBorders>
              <w:tl2br w:val="nil"/>
              <w:tr2bl w:val="nil"/>
            </w:tcBorders>
            <w:noWrap w:val="0"/>
            <w:vAlign w:val="center"/>
          </w:tcPr>
          <w:p w14:paraId="35DC6C48">
            <w:pPr>
              <w:jc w:val="center"/>
              <w:rPr>
                <w:rFonts w:hint="eastAsia" w:ascii="宋体" w:eastAsia="宋体"/>
                <w:bCs/>
                <w:color w:val="auto"/>
                <w:sz w:val="21"/>
                <w:szCs w:val="21"/>
                <w:highlight w:val="none"/>
                <w:lang w:val="en-US" w:eastAsia="zh-CN" w:bidi="ar-SA"/>
              </w:rPr>
            </w:pPr>
            <w:r>
              <w:rPr>
                <w:rFonts w:hint="eastAsia"/>
                <w:bCs/>
                <w:color w:val="auto"/>
                <w:sz w:val="21"/>
                <w:szCs w:val="21"/>
                <w:highlight w:val="none"/>
              </w:rPr>
              <w:t>5</w:t>
            </w:r>
            <w:r>
              <w:rPr>
                <w:rFonts w:hint="eastAsia"/>
                <w:bCs/>
                <w:color w:val="auto"/>
                <w:sz w:val="21"/>
                <w:szCs w:val="21"/>
                <w:highlight w:val="none"/>
                <w:lang w:eastAsia="zh-CN"/>
              </w:rPr>
              <w:t>（</w:t>
            </w:r>
            <w:r>
              <w:rPr>
                <w:rFonts w:hint="eastAsia"/>
                <w:bCs/>
                <w:color w:val="auto"/>
                <w:sz w:val="21"/>
                <w:szCs w:val="21"/>
                <w:highlight w:val="none"/>
                <w:lang w:val="en-US" w:eastAsia="zh-CN"/>
              </w:rPr>
              <w:t>3</w:t>
            </w:r>
            <w:r>
              <w:rPr>
                <w:rFonts w:hint="eastAsia"/>
                <w:bCs/>
                <w:color w:val="auto"/>
                <w:sz w:val="21"/>
                <w:szCs w:val="21"/>
                <w:highlight w:val="none"/>
                <w:lang w:eastAsia="zh-CN"/>
              </w:rPr>
              <w:t>）</w:t>
            </w:r>
          </w:p>
        </w:tc>
        <w:tc>
          <w:tcPr>
            <w:tcW w:w="532" w:type="pct"/>
            <w:tcBorders>
              <w:tl2br w:val="nil"/>
              <w:tr2bl w:val="nil"/>
            </w:tcBorders>
            <w:noWrap w:val="0"/>
            <w:vAlign w:val="center"/>
          </w:tcPr>
          <w:p w14:paraId="42E5DAED">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33.34</w:t>
            </w:r>
          </w:p>
        </w:tc>
      </w:tr>
      <w:tr w14:paraId="01832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870" w:type="pct"/>
            <w:gridSpan w:val="2"/>
            <w:tcBorders>
              <w:tl2br w:val="nil"/>
              <w:tr2bl w:val="nil"/>
            </w:tcBorders>
            <w:noWrap w:val="0"/>
            <w:vAlign w:val="center"/>
          </w:tcPr>
          <w:p w14:paraId="2E3729BF">
            <w:pPr>
              <w:jc w:val="center"/>
              <w:rPr>
                <w:rFonts w:hint="eastAsia"/>
                <w:bCs/>
                <w:color w:val="auto"/>
                <w:sz w:val="21"/>
                <w:szCs w:val="21"/>
                <w:highlight w:val="none"/>
              </w:rPr>
            </w:pPr>
            <w:r>
              <w:rPr>
                <w:rFonts w:hint="eastAsia"/>
                <w:bCs/>
                <w:color w:val="auto"/>
                <w:sz w:val="21"/>
                <w:szCs w:val="21"/>
                <w:highlight w:val="none"/>
              </w:rPr>
              <w:t>架空通讯线</w:t>
            </w:r>
          </w:p>
        </w:tc>
        <w:tc>
          <w:tcPr>
            <w:tcW w:w="942" w:type="pct"/>
            <w:tcBorders>
              <w:tl2br w:val="nil"/>
              <w:tr2bl w:val="nil"/>
            </w:tcBorders>
            <w:noWrap w:val="0"/>
            <w:vAlign w:val="center"/>
          </w:tcPr>
          <w:p w14:paraId="5E9AD6ED">
            <w:pPr>
              <w:jc w:val="center"/>
              <w:rPr>
                <w:rFonts w:hint="eastAsia" w:eastAsia="宋体"/>
                <w:bCs/>
                <w:color w:val="auto"/>
                <w:sz w:val="21"/>
                <w:szCs w:val="21"/>
                <w:highlight w:val="none"/>
                <w:lang w:eastAsia="zh-CN"/>
              </w:rPr>
            </w:pPr>
            <w:r>
              <w:rPr>
                <w:rFonts w:hint="eastAsia"/>
                <w:bCs/>
                <w:color w:val="auto"/>
                <w:sz w:val="21"/>
                <w:szCs w:val="21"/>
                <w:highlight w:val="none"/>
              </w:rPr>
              <w:t>5</w:t>
            </w:r>
            <w:r>
              <w:rPr>
                <w:rFonts w:hint="eastAsia"/>
                <w:bCs/>
                <w:color w:val="auto"/>
                <w:sz w:val="21"/>
                <w:szCs w:val="21"/>
                <w:highlight w:val="none"/>
                <w:lang w:eastAsia="zh-CN"/>
              </w:rPr>
              <w:t>（</w:t>
            </w:r>
            <w:r>
              <w:rPr>
                <w:rFonts w:hint="eastAsia"/>
                <w:bCs/>
                <w:color w:val="auto"/>
                <w:sz w:val="21"/>
                <w:szCs w:val="21"/>
                <w:highlight w:val="none"/>
                <w:lang w:val="en-US" w:eastAsia="zh-CN"/>
              </w:rPr>
              <w:t>5</w:t>
            </w:r>
            <w:r>
              <w:rPr>
                <w:rFonts w:hint="eastAsia"/>
                <w:bCs/>
                <w:color w:val="auto"/>
                <w:sz w:val="21"/>
                <w:szCs w:val="21"/>
                <w:highlight w:val="none"/>
                <w:lang w:eastAsia="zh-CN"/>
              </w:rPr>
              <w:t>）</w:t>
            </w:r>
          </w:p>
        </w:tc>
        <w:tc>
          <w:tcPr>
            <w:tcW w:w="699" w:type="pct"/>
            <w:tcBorders>
              <w:tl2br w:val="nil"/>
              <w:tr2bl w:val="nil"/>
            </w:tcBorders>
            <w:noWrap w:val="0"/>
            <w:vAlign w:val="center"/>
          </w:tcPr>
          <w:p w14:paraId="2C757EA1">
            <w:pPr>
              <w:jc w:val="center"/>
              <w:rPr>
                <w:rFonts w:hint="eastAsia"/>
                <w:bCs/>
                <w:color w:val="auto"/>
                <w:sz w:val="21"/>
                <w:szCs w:val="21"/>
                <w:highlight w:val="none"/>
              </w:rPr>
            </w:pPr>
            <w:r>
              <w:rPr>
                <w:rFonts w:hint="eastAsia"/>
                <w:bCs/>
                <w:color w:val="auto"/>
                <w:sz w:val="21"/>
                <w:szCs w:val="21"/>
                <w:highlight w:val="none"/>
              </w:rPr>
              <w:t>/</w:t>
            </w:r>
          </w:p>
        </w:tc>
        <w:tc>
          <w:tcPr>
            <w:tcW w:w="955" w:type="pct"/>
            <w:tcBorders>
              <w:tl2br w:val="nil"/>
              <w:tr2bl w:val="nil"/>
            </w:tcBorders>
            <w:noWrap w:val="0"/>
            <w:vAlign w:val="center"/>
          </w:tcPr>
          <w:p w14:paraId="3857ED00">
            <w:pPr>
              <w:jc w:val="center"/>
              <w:rPr>
                <w:rFonts w:hint="eastAsia" w:ascii="宋体" w:eastAsia="宋体"/>
                <w:bCs/>
                <w:color w:val="auto"/>
                <w:sz w:val="21"/>
                <w:szCs w:val="21"/>
                <w:highlight w:val="none"/>
                <w:lang w:val="en-US" w:eastAsia="zh-CN" w:bidi="ar-SA"/>
              </w:rPr>
            </w:pPr>
            <w:r>
              <w:rPr>
                <w:rFonts w:hint="eastAsia"/>
                <w:bCs/>
                <w:color w:val="auto"/>
                <w:sz w:val="21"/>
                <w:szCs w:val="21"/>
                <w:highlight w:val="none"/>
              </w:rPr>
              <w:t>5</w:t>
            </w:r>
            <w:r>
              <w:rPr>
                <w:rFonts w:hint="eastAsia"/>
                <w:bCs/>
                <w:color w:val="auto"/>
                <w:sz w:val="21"/>
                <w:szCs w:val="21"/>
                <w:highlight w:val="none"/>
                <w:lang w:eastAsia="zh-CN"/>
              </w:rPr>
              <w:t>（</w:t>
            </w:r>
            <w:r>
              <w:rPr>
                <w:rFonts w:hint="eastAsia"/>
                <w:bCs/>
                <w:color w:val="auto"/>
                <w:sz w:val="21"/>
                <w:szCs w:val="21"/>
                <w:highlight w:val="none"/>
                <w:lang w:val="en-US" w:eastAsia="zh-CN"/>
              </w:rPr>
              <w:t>5</w:t>
            </w:r>
            <w:r>
              <w:rPr>
                <w:rFonts w:hint="eastAsia"/>
                <w:bCs/>
                <w:color w:val="auto"/>
                <w:sz w:val="21"/>
                <w:szCs w:val="21"/>
                <w:highlight w:val="none"/>
                <w:lang w:eastAsia="zh-CN"/>
              </w:rPr>
              <w:t>）</w:t>
            </w:r>
          </w:p>
        </w:tc>
        <w:tc>
          <w:tcPr>
            <w:tcW w:w="532" w:type="pct"/>
            <w:tcBorders>
              <w:tl2br w:val="nil"/>
              <w:tr2bl w:val="nil"/>
            </w:tcBorders>
            <w:noWrap w:val="0"/>
            <w:vAlign w:val="center"/>
          </w:tcPr>
          <w:p w14:paraId="782E3CEC">
            <w:pPr>
              <w:jc w:val="center"/>
              <w:rPr>
                <w:rFonts w:hint="eastAsia"/>
                <w:bCs/>
                <w:color w:val="auto"/>
                <w:sz w:val="21"/>
                <w:szCs w:val="21"/>
                <w:highlight w:val="none"/>
              </w:rPr>
            </w:pPr>
            <w:r>
              <w:rPr>
                <w:rFonts w:hint="eastAsia"/>
                <w:bCs/>
                <w:color w:val="auto"/>
                <w:sz w:val="21"/>
                <w:szCs w:val="21"/>
                <w:highlight w:val="none"/>
              </w:rPr>
              <w:t>/</w:t>
            </w:r>
          </w:p>
        </w:tc>
      </w:tr>
      <w:tr w14:paraId="6EE84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920" w:type="pct"/>
            <w:vMerge w:val="restart"/>
            <w:tcBorders>
              <w:tl2br w:val="nil"/>
              <w:tr2bl w:val="nil"/>
            </w:tcBorders>
            <w:noWrap w:val="0"/>
            <w:vAlign w:val="center"/>
          </w:tcPr>
          <w:p w14:paraId="0029EFB4">
            <w:pPr>
              <w:jc w:val="center"/>
              <w:rPr>
                <w:rFonts w:hint="eastAsia"/>
                <w:bCs/>
                <w:color w:val="auto"/>
                <w:sz w:val="21"/>
                <w:szCs w:val="21"/>
                <w:highlight w:val="none"/>
              </w:rPr>
            </w:pPr>
            <w:r>
              <w:rPr>
                <w:rFonts w:hint="eastAsia"/>
                <w:bCs/>
                <w:color w:val="auto"/>
                <w:sz w:val="21"/>
                <w:szCs w:val="21"/>
                <w:highlight w:val="none"/>
              </w:rPr>
              <w:t>架空电力线路</w:t>
            </w:r>
          </w:p>
        </w:tc>
        <w:tc>
          <w:tcPr>
            <w:tcW w:w="949" w:type="pct"/>
            <w:tcBorders>
              <w:tl2br w:val="nil"/>
              <w:tr2bl w:val="nil"/>
            </w:tcBorders>
            <w:noWrap w:val="0"/>
            <w:vAlign w:val="center"/>
          </w:tcPr>
          <w:p w14:paraId="2248D3D5">
            <w:pPr>
              <w:jc w:val="center"/>
              <w:rPr>
                <w:rFonts w:hint="eastAsia"/>
                <w:bCs/>
                <w:color w:val="auto"/>
                <w:sz w:val="21"/>
                <w:szCs w:val="21"/>
                <w:highlight w:val="none"/>
              </w:rPr>
            </w:pPr>
            <w:r>
              <w:rPr>
                <w:rFonts w:hint="eastAsia"/>
                <w:bCs/>
                <w:color w:val="auto"/>
                <w:sz w:val="21"/>
                <w:szCs w:val="21"/>
                <w:highlight w:val="none"/>
              </w:rPr>
              <w:t>无绝缘层</w:t>
            </w:r>
          </w:p>
        </w:tc>
        <w:tc>
          <w:tcPr>
            <w:tcW w:w="942" w:type="pct"/>
            <w:tcBorders>
              <w:tl2br w:val="nil"/>
              <w:tr2bl w:val="nil"/>
            </w:tcBorders>
            <w:noWrap w:val="0"/>
            <w:vAlign w:val="center"/>
          </w:tcPr>
          <w:p w14:paraId="5221A4F3">
            <w:pPr>
              <w:jc w:val="center"/>
              <w:rPr>
                <w:rFonts w:hint="eastAsia"/>
                <w:bCs/>
                <w:color w:val="auto"/>
                <w:sz w:val="21"/>
                <w:szCs w:val="21"/>
                <w:highlight w:val="none"/>
              </w:rPr>
            </w:pPr>
            <w:r>
              <w:rPr>
                <w:rFonts w:hint="eastAsia"/>
                <w:bCs/>
                <w:color w:val="auto"/>
                <w:sz w:val="21"/>
                <w:szCs w:val="21"/>
                <w:highlight w:val="none"/>
                <w:lang w:val="en-US" w:eastAsia="zh-CN"/>
              </w:rPr>
              <w:t>1.0（0.75）H，且≥</w:t>
            </w:r>
            <w:r>
              <w:rPr>
                <w:rFonts w:hint="eastAsia"/>
                <w:bCs/>
                <w:color w:val="auto"/>
                <w:sz w:val="21"/>
                <w:szCs w:val="21"/>
                <w:highlight w:val="none"/>
              </w:rPr>
              <w:t>6.5m</w:t>
            </w:r>
          </w:p>
        </w:tc>
        <w:tc>
          <w:tcPr>
            <w:tcW w:w="699" w:type="pct"/>
            <w:tcBorders>
              <w:tl2br w:val="nil"/>
              <w:tr2bl w:val="nil"/>
            </w:tcBorders>
            <w:noWrap w:val="0"/>
            <w:vAlign w:val="center"/>
          </w:tcPr>
          <w:p w14:paraId="64AEAC66">
            <w:pPr>
              <w:jc w:val="center"/>
              <w:rPr>
                <w:rFonts w:hint="eastAsia"/>
                <w:bCs/>
                <w:color w:val="auto"/>
                <w:sz w:val="21"/>
                <w:szCs w:val="21"/>
                <w:highlight w:val="none"/>
              </w:rPr>
            </w:pPr>
            <w:r>
              <w:rPr>
                <w:rFonts w:hint="eastAsia"/>
                <w:bCs/>
                <w:color w:val="auto"/>
                <w:sz w:val="21"/>
                <w:szCs w:val="21"/>
                <w:highlight w:val="none"/>
              </w:rPr>
              <w:t>/</w:t>
            </w:r>
          </w:p>
        </w:tc>
        <w:tc>
          <w:tcPr>
            <w:tcW w:w="955" w:type="pct"/>
            <w:tcBorders>
              <w:tl2br w:val="nil"/>
              <w:tr2bl w:val="nil"/>
            </w:tcBorders>
            <w:noWrap w:val="0"/>
            <w:vAlign w:val="center"/>
          </w:tcPr>
          <w:p w14:paraId="556BB69D">
            <w:pPr>
              <w:jc w:val="center"/>
              <w:rPr>
                <w:rFonts w:hint="eastAsia" w:eastAsia="宋体"/>
                <w:bCs/>
                <w:color w:val="auto"/>
                <w:sz w:val="21"/>
                <w:szCs w:val="21"/>
                <w:highlight w:val="none"/>
                <w:lang w:eastAsia="zh-CN"/>
              </w:rPr>
            </w:pPr>
            <w:r>
              <w:rPr>
                <w:rFonts w:hint="eastAsia"/>
                <w:bCs/>
                <w:color w:val="auto"/>
                <w:sz w:val="21"/>
                <w:szCs w:val="21"/>
                <w:highlight w:val="none"/>
              </w:rPr>
              <w:t>6.5</w:t>
            </w:r>
            <w:r>
              <w:rPr>
                <w:rFonts w:hint="eastAsia"/>
                <w:bCs/>
                <w:color w:val="auto"/>
                <w:sz w:val="21"/>
                <w:szCs w:val="21"/>
                <w:highlight w:val="none"/>
                <w:lang w:eastAsia="zh-CN"/>
              </w:rPr>
              <w:t>（</w:t>
            </w:r>
            <w:r>
              <w:rPr>
                <w:rFonts w:hint="eastAsia"/>
                <w:bCs/>
                <w:color w:val="auto"/>
                <w:sz w:val="21"/>
                <w:szCs w:val="21"/>
                <w:highlight w:val="none"/>
                <w:lang w:val="en-US" w:eastAsia="zh-CN"/>
              </w:rPr>
              <w:t>6.5</w:t>
            </w:r>
            <w:r>
              <w:rPr>
                <w:rFonts w:hint="eastAsia"/>
                <w:bCs/>
                <w:color w:val="auto"/>
                <w:sz w:val="21"/>
                <w:szCs w:val="21"/>
                <w:highlight w:val="none"/>
                <w:lang w:eastAsia="zh-CN"/>
              </w:rPr>
              <w:t>）</w:t>
            </w:r>
          </w:p>
        </w:tc>
        <w:tc>
          <w:tcPr>
            <w:tcW w:w="532" w:type="pct"/>
            <w:tcBorders>
              <w:tl2br w:val="nil"/>
              <w:tr2bl w:val="nil"/>
            </w:tcBorders>
            <w:noWrap w:val="0"/>
            <w:vAlign w:val="center"/>
          </w:tcPr>
          <w:p w14:paraId="49F93CF1">
            <w:pPr>
              <w:jc w:val="center"/>
              <w:rPr>
                <w:rFonts w:hint="eastAsia"/>
                <w:bCs/>
                <w:color w:val="auto"/>
                <w:sz w:val="21"/>
                <w:szCs w:val="21"/>
                <w:highlight w:val="none"/>
              </w:rPr>
            </w:pPr>
            <w:r>
              <w:rPr>
                <w:rFonts w:hint="eastAsia"/>
                <w:bCs/>
                <w:color w:val="auto"/>
                <w:sz w:val="21"/>
                <w:szCs w:val="21"/>
                <w:highlight w:val="none"/>
              </w:rPr>
              <w:t>/</w:t>
            </w:r>
          </w:p>
        </w:tc>
      </w:tr>
      <w:tr w14:paraId="30F75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920" w:type="pct"/>
            <w:vMerge w:val="continue"/>
            <w:tcBorders>
              <w:tl2br w:val="nil"/>
              <w:tr2bl w:val="nil"/>
            </w:tcBorders>
            <w:noWrap w:val="0"/>
            <w:vAlign w:val="center"/>
          </w:tcPr>
          <w:p w14:paraId="2DE46693">
            <w:pPr>
              <w:jc w:val="center"/>
              <w:rPr>
                <w:rFonts w:hint="eastAsia"/>
                <w:bCs/>
                <w:color w:val="auto"/>
                <w:sz w:val="21"/>
                <w:szCs w:val="21"/>
                <w:highlight w:val="none"/>
              </w:rPr>
            </w:pPr>
          </w:p>
        </w:tc>
        <w:tc>
          <w:tcPr>
            <w:tcW w:w="949" w:type="pct"/>
            <w:tcBorders>
              <w:tl2br w:val="nil"/>
              <w:tr2bl w:val="nil"/>
            </w:tcBorders>
            <w:noWrap w:val="0"/>
            <w:vAlign w:val="center"/>
          </w:tcPr>
          <w:p w14:paraId="3A467F08">
            <w:pPr>
              <w:jc w:val="center"/>
              <w:rPr>
                <w:rFonts w:hint="eastAsia"/>
                <w:bCs/>
                <w:color w:val="auto"/>
                <w:sz w:val="21"/>
                <w:szCs w:val="21"/>
                <w:highlight w:val="none"/>
              </w:rPr>
            </w:pPr>
            <w:r>
              <w:rPr>
                <w:rFonts w:hint="eastAsia"/>
                <w:bCs/>
                <w:color w:val="auto"/>
                <w:sz w:val="21"/>
                <w:szCs w:val="21"/>
                <w:highlight w:val="none"/>
              </w:rPr>
              <w:t>有绝缘层</w:t>
            </w:r>
          </w:p>
        </w:tc>
        <w:tc>
          <w:tcPr>
            <w:tcW w:w="942" w:type="pct"/>
            <w:tcBorders>
              <w:tl2br w:val="nil"/>
              <w:tr2bl w:val="nil"/>
            </w:tcBorders>
            <w:noWrap w:val="0"/>
            <w:vAlign w:val="center"/>
          </w:tcPr>
          <w:p w14:paraId="3D542D3E">
            <w:pPr>
              <w:jc w:val="center"/>
              <w:rPr>
                <w:rFonts w:hint="eastAsia"/>
                <w:bCs/>
                <w:color w:val="auto"/>
                <w:sz w:val="21"/>
                <w:szCs w:val="21"/>
                <w:highlight w:val="none"/>
              </w:rPr>
            </w:pPr>
            <w:r>
              <w:rPr>
                <w:rFonts w:hint="eastAsia"/>
                <w:bCs/>
                <w:color w:val="auto"/>
                <w:sz w:val="21"/>
                <w:szCs w:val="21"/>
                <w:highlight w:val="none"/>
                <w:lang w:val="en-US" w:eastAsia="zh-CN"/>
              </w:rPr>
              <w:t>0.75（0.5）H，且≥</w:t>
            </w:r>
            <w:r>
              <w:rPr>
                <w:rFonts w:hint="eastAsia"/>
                <w:bCs/>
                <w:color w:val="auto"/>
                <w:sz w:val="21"/>
                <w:szCs w:val="21"/>
                <w:highlight w:val="none"/>
              </w:rPr>
              <w:t>5m</w:t>
            </w:r>
          </w:p>
        </w:tc>
        <w:tc>
          <w:tcPr>
            <w:tcW w:w="699" w:type="pct"/>
            <w:tcBorders>
              <w:tl2br w:val="nil"/>
              <w:tr2bl w:val="nil"/>
            </w:tcBorders>
            <w:noWrap w:val="0"/>
            <w:vAlign w:val="center"/>
          </w:tcPr>
          <w:p w14:paraId="5CB8D82A">
            <w:pPr>
              <w:jc w:val="center"/>
              <w:rPr>
                <w:rFonts w:hint="eastAsia"/>
                <w:bCs/>
                <w:color w:val="auto"/>
                <w:sz w:val="21"/>
                <w:szCs w:val="21"/>
                <w:highlight w:val="none"/>
              </w:rPr>
            </w:pPr>
            <w:r>
              <w:rPr>
                <w:rFonts w:hint="eastAsia"/>
                <w:bCs/>
                <w:color w:val="auto"/>
                <w:sz w:val="21"/>
                <w:szCs w:val="21"/>
                <w:highlight w:val="none"/>
              </w:rPr>
              <w:t>/</w:t>
            </w:r>
          </w:p>
        </w:tc>
        <w:tc>
          <w:tcPr>
            <w:tcW w:w="955" w:type="pct"/>
            <w:tcBorders>
              <w:tl2br w:val="nil"/>
              <w:tr2bl w:val="nil"/>
            </w:tcBorders>
            <w:noWrap w:val="0"/>
            <w:vAlign w:val="center"/>
          </w:tcPr>
          <w:p w14:paraId="72B972CA">
            <w:pPr>
              <w:jc w:val="center"/>
              <w:rPr>
                <w:rFonts w:hint="eastAsia" w:eastAsia="宋体"/>
                <w:bCs/>
                <w:color w:val="auto"/>
                <w:sz w:val="21"/>
                <w:szCs w:val="21"/>
                <w:highlight w:val="none"/>
                <w:lang w:eastAsia="zh-CN"/>
              </w:rPr>
            </w:pPr>
            <w:r>
              <w:rPr>
                <w:rFonts w:hint="eastAsia"/>
                <w:bCs/>
                <w:color w:val="auto"/>
                <w:sz w:val="21"/>
                <w:szCs w:val="21"/>
                <w:highlight w:val="none"/>
              </w:rPr>
              <w:t>5</w:t>
            </w:r>
            <w:r>
              <w:rPr>
                <w:rFonts w:hint="eastAsia"/>
                <w:bCs/>
                <w:color w:val="auto"/>
                <w:sz w:val="21"/>
                <w:szCs w:val="21"/>
                <w:highlight w:val="none"/>
                <w:lang w:eastAsia="zh-CN"/>
              </w:rPr>
              <w:t>（</w:t>
            </w:r>
            <w:r>
              <w:rPr>
                <w:rFonts w:hint="eastAsia"/>
                <w:bCs/>
                <w:color w:val="auto"/>
                <w:sz w:val="21"/>
                <w:szCs w:val="21"/>
                <w:highlight w:val="none"/>
                <w:lang w:val="en-US" w:eastAsia="zh-CN"/>
              </w:rPr>
              <w:t>5</w:t>
            </w:r>
            <w:r>
              <w:rPr>
                <w:rFonts w:hint="eastAsia"/>
                <w:bCs/>
                <w:color w:val="auto"/>
                <w:sz w:val="21"/>
                <w:szCs w:val="21"/>
                <w:highlight w:val="none"/>
                <w:lang w:eastAsia="zh-CN"/>
              </w:rPr>
              <w:t>）</w:t>
            </w:r>
          </w:p>
        </w:tc>
        <w:tc>
          <w:tcPr>
            <w:tcW w:w="532" w:type="pct"/>
            <w:tcBorders>
              <w:tl2br w:val="nil"/>
              <w:tr2bl w:val="nil"/>
            </w:tcBorders>
            <w:noWrap w:val="0"/>
            <w:vAlign w:val="center"/>
          </w:tcPr>
          <w:p w14:paraId="1291C578">
            <w:pPr>
              <w:jc w:val="center"/>
              <w:rPr>
                <w:rFonts w:hint="eastAsia"/>
                <w:bCs/>
                <w:color w:val="auto"/>
                <w:sz w:val="21"/>
                <w:szCs w:val="21"/>
                <w:highlight w:val="none"/>
              </w:rPr>
            </w:pPr>
            <w:r>
              <w:rPr>
                <w:rFonts w:hint="eastAsia"/>
                <w:bCs/>
                <w:color w:val="auto"/>
                <w:sz w:val="21"/>
                <w:szCs w:val="21"/>
                <w:highlight w:val="none"/>
              </w:rPr>
              <w:t>/</w:t>
            </w:r>
          </w:p>
        </w:tc>
      </w:tr>
    </w:tbl>
    <w:p w14:paraId="1232039E">
      <w:pPr>
        <w:spacing w:line="360" w:lineRule="auto"/>
        <w:ind w:firstLine="422" w:firstLineChars="20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3.1.7-</w:t>
      </w:r>
      <w:r>
        <w:rPr>
          <w:rFonts w:hint="eastAsia" w:ascii="Times New Roman" w:hAnsi="Times New Roman" w:eastAsia="宋体" w:cs="Times New Roman"/>
          <w:b/>
          <w:bCs/>
          <w:color w:val="auto"/>
          <w:sz w:val="21"/>
          <w:szCs w:val="21"/>
          <w:highlight w:val="none"/>
          <w:lang w:val="en-US" w:eastAsia="zh-CN"/>
        </w:rPr>
        <w:t>2</w:t>
      </w:r>
      <w:r>
        <w:rPr>
          <w:rFonts w:hint="eastAsia"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 xml:space="preserve"> </w:t>
      </w:r>
      <w:r>
        <w:rPr>
          <w:rFonts w:hint="eastAsia" w:ascii="宋体" w:hAnsi="宋体" w:eastAsia="宋体" w:cs="宋体"/>
          <w:b/>
          <w:bCs/>
          <w:color w:val="auto"/>
          <w:sz w:val="21"/>
          <w:szCs w:val="21"/>
          <w:highlight w:val="none"/>
        </w:rPr>
        <w:t>加氢合建站中的氢气工艺设备与站外建（构）筑物之间的安全间距</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m</w:t>
      </w:r>
      <w:r>
        <w:rPr>
          <w:rFonts w:hint="eastAsia" w:cs="Times New Roman"/>
          <w:b/>
          <w:bCs/>
          <w:color w:val="auto"/>
          <w:sz w:val="21"/>
          <w:szCs w:val="21"/>
          <w:highlight w:val="none"/>
          <w:lang w:eastAsia="zh-CN"/>
        </w:rPr>
        <w:t>）</w:t>
      </w:r>
    </w:p>
    <w:tbl>
      <w:tblPr>
        <w:tblStyle w:val="49"/>
        <w:tblW w:w="50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1315"/>
        <w:gridCol w:w="793"/>
        <w:gridCol w:w="852"/>
        <w:gridCol w:w="770"/>
        <w:gridCol w:w="726"/>
        <w:gridCol w:w="757"/>
        <w:gridCol w:w="943"/>
        <w:gridCol w:w="694"/>
        <w:gridCol w:w="928"/>
        <w:gridCol w:w="645"/>
        <w:gridCol w:w="15"/>
      </w:tblGrid>
      <w:tr w14:paraId="62736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gridAfter w:val="1"/>
          <w:wAfter w:w="8" w:type="pct"/>
          <w:trHeight w:val="455" w:hRule="atLeast"/>
          <w:jc w:val="center"/>
        </w:trPr>
        <w:tc>
          <w:tcPr>
            <w:tcW w:w="1249" w:type="pct"/>
            <w:gridSpan w:val="2"/>
            <w:vMerge w:val="restart"/>
            <w:tcBorders>
              <w:tl2br w:val="nil"/>
              <w:tr2bl w:val="nil"/>
            </w:tcBorders>
            <w:noWrap w:val="0"/>
            <w:vAlign w:val="center"/>
          </w:tcPr>
          <w:p w14:paraId="7CCD883A">
            <w:pPr>
              <w:jc w:val="center"/>
              <w:rPr>
                <w:rFonts w:hint="eastAsia"/>
                <w:bCs/>
                <w:color w:val="auto"/>
                <w:sz w:val="21"/>
                <w:szCs w:val="21"/>
                <w:highlight w:val="none"/>
              </w:rPr>
            </w:pPr>
            <w:r>
              <w:rPr>
                <w:rFonts w:hint="eastAsia"/>
                <w:bCs/>
                <w:color w:val="auto"/>
                <w:sz w:val="21"/>
                <w:szCs w:val="21"/>
                <w:highlight w:val="none"/>
              </w:rPr>
              <w:t>站外建（构）筑物</w:t>
            </w:r>
          </w:p>
        </w:tc>
        <w:tc>
          <w:tcPr>
            <w:tcW w:w="3741" w:type="pct"/>
            <w:gridSpan w:val="8"/>
            <w:tcBorders>
              <w:tl2br w:val="nil"/>
              <w:tr2bl w:val="nil"/>
            </w:tcBorders>
            <w:noWrap w:val="0"/>
            <w:vAlign w:val="center"/>
          </w:tcPr>
          <w:p w14:paraId="11CC4966">
            <w:pPr>
              <w:jc w:val="center"/>
              <w:rPr>
                <w:rFonts w:hint="eastAsia"/>
                <w:bCs/>
                <w:color w:val="auto"/>
                <w:sz w:val="21"/>
                <w:szCs w:val="21"/>
                <w:highlight w:val="none"/>
              </w:rPr>
            </w:pPr>
            <w:r>
              <w:rPr>
                <w:rFonts w:hint="eastAsia"/>
                <w:bCs/>
                <w:color w:val="auto"/>
                <w:sz w:val="21"/>
                <w:szCs w:val="21"/>
                <w:highlight w:val="none"/>
                <w:lang w:val="en-US" w:eastAsia="zh-CN"/>
              </w:rPr>
              <w:t>站内氢气工艺设备</w:t>
            </w:r>
            <w:r>
              <w:rPr>
                <w:rFonts w:hint="eastAsia"/>
                <w:bCs/>
                <w:color w:val="auto"/>
                <w:sz w:val="21"/>
                <w:szCs w:val="21"/>
                <w:highlight w:val="none"/>
              </w:rPr>
              <w:t>加油机、通风管管口</w:t>
            </w:r>
          </w:p>
        </w:tc>
      </w:tr>
      <w:tr w14:paraId="57CED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805" w:hRule="atLeast"/>
          <w:jc w:val="center"/>
        </w:trPr>
        <w:tc>
          <w:tcPr>
            <w:tcW w:w="1249" w:type="pct"/>
            <w:gridSpan w:val="2"/>
            <w:vMerge w:val="continue"/>
            <w:tcBorders>
              <w:tl2br w:val="nil"/>
              <w:tr2bl w:val="nil"/>
            </w:tcBorders>
            <w:noWrap w:val="0"/>
            <w:vAlign w:val="center"/>
          </w:tcPr>
          <w:p w14:paraId="097A240F">
            <w:pPr>
              <w:jc w:val="center"/>
              <w:rPr>
                <w:rFonts w:hint="eastAsia"/>
                <w:bCs/>
                <w:color w:val="auto"/>
                <w:sz w:val="21"/>
                <w:szCs w:val="21"/>
                <w:highlight w:val="none"/>
              </w:rPr>
            </w:pPr>
          </w:p>
        </w:tc>
        <w:tc>
          <w:tcPr>
            <w:tcW w:w="505" w:type="pct"/>
            <w:tcBorders>
              <w:tl2br w:val="nil"/>
              <w:tr2bl w:val="nil"/>
            </w:tcBorders>
            <w:noWrap w:val="0"/>
            <w:vAlign w:val="center"/>
          </w:tcPr>
          <w:p w14:paraId="1A47FF98">
            <w:pPr>
              <w:jc w:val="center"/>
              <w:rPr>
                <w:rFonts w:hint="default"/>
                <w:bCs/>
                <w:color w:val="auto"/>
                <w:sz w:val="21"/>
                <w:szCs w:val="21"/>
                <w:highlight w:val="none"/>
                <w:lang w:val="en-US"/>
              </w:rPr>
            </w:pPr>
            <w:r>
              <w:rPr>
                <w:rFonts w:hint="eastAsia"/>
                <w:bCs/>
                <w:color w:val="auto"/>
                <w:sz w:val="21"/>
                <w:szCs w:val="21"/>
                <w:highlight w:val="none"/>
                <w:lang w:val="en-US" w:eastAsia="zh-CN"/>
              </w:rPr>
              <w:t>氢气容器</w:t>
            </w:r>
          </w:p>
        </w:tc>
        <w:tc>
          <w:tcPr>
            <w:tcW w:w="455" w:type="pct"/>
            <w:tcBorders>
              <w:tl2br w:val="nil"/>
              <w:tr2bl w:val="nil"/>
            </w:tcBorders>
            <w:noWrap w:val="0"/>
            <w:vAlign w:val="center"/>
          </w:tcPr>
          <w:p w14:paraId="5FF245D8">
            <w:pPr>
              <w:jc w:val="center"/>
              <w:rPr>
                <w:rFonts w:hint="eastAsia"/>
                <w:bCs/>
                <w:color w:val="auto"/>
                <w:sz w:val="21"/>
                <w:szCs w:val="21"/>
                <w:highlight w:val="none"/>
                <w:lang w:val="en-US" w:eastAsia="zh-CN"/>
              </w:rPr>
            </w:pPr>
            <w:r>
              <w:rPr>
                <w:rFonts w:hint="eastAsia"/>
                <w:bCs/>
                <w:color w:val="auto"/>
                <w:sz w:val="21"/>
                <w:szCs w:val="21"/>
                <w:highlight w:val="none"/>
              </w:rPr>
              <w:t>实际距离</w:t>
            </w:r>
          </w:p>
        </w:tc>
        <w:tc>
          <w:tcPr>
            <w:tcW w:w="430" w:type="pct"/>
            <w:tcBorders>
              <w:tl2br w:val="nil"/>
              <w:tr2bl w:val="nil"/>
            </w:tcBorders>
            <w:noWrap w:val="0"/>
            <w:vAlign w:val="center"/>
          </w:tcPr>
          <w:p w14:paraId="605FEBE7">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放空管管口</w:t>
            </w:r>
          </w:p>
        </w:tc>
        <w:tc>
          <w:tcPr>
            <w:tcW w:w="448" w:type="pct"/>
            <w:tcBorders>
              <w:tl2br w:val="nil"/>
              <w:tr2bl w:val="nil"/>
            </w:tcBorders>
            <w:noWrap w:val="0"/>
            <w:vAlign w:val="center"/>
          </w:tcPr>
          <w:p w14:paraId="46A6D40D">
            <w:pPr>
              <w:jc w:val="center"/>
              <w:rPr>
                <w:rFonts w:hint="eastAsia"/>
                <w:bCs/>
                <w:color w:val="auto"/>
                <w:sz w:val="21"/>
                <w:szCs w:val="21"/>
                <w:highlight w:val="none"/>
                <w:lang w:val="en-US" w:eastAsia="zh-CN"/>
              </w:rPr>
            </w:pPr>
            <w:r>
              <w:rPr>
                <w:rFonts w:hint="eastAsia"/>
                <w:bCs/>
                <w:color w:val="auto"/>
                <w:sz w:val="21"/>
                <w:szCs w:val="21"/>
                <w:highlight w:val="none"/>
              </w:rPr>
              <w:t>实际距离</w:t>
            </w:r>
          </w:p>
        </w:tc>
        <w:tc>
          <w:tcPr>
            <w:tcW w:w="558" w:type="pct"/>
            <w:tcBorders>
              <w:tl2br w:val="nil"/>
              <w:tr2bl w:val="nil"/>
            </w:tcBorders>
            <w:noWrap w:val="0"/>
            <w:vAlign w:val="center"/>
          </w:tcPr>
          <w:p w14:paraId="333EBA24">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氢气压缩机、氢气卸气柱</w:t>
            </w:r>
          </w:p>
        </w:tc>
        <w:tc>
          <w:tcPr>
            <w:tcW w:w="410" w:type="pct"/>
            <w:tcBorders>
              <w:tl2br w:val="nil"/>
              <w:tr2bl w:val="nil"/>
            </w:tcBorders>
            <w:noWrap w:val="0"/>
            <w:vAlign w:val="center"/>
          </w:tcPr>
          <w:p w14:paraId="6B572FB8">
            <w:pPr>
              <w:jc w:val="center"/>
              <w:rPr>
                <w:rFonts w:hint="eastAsia"/>
                <w:bCs/>
                <w:color w:val="auto"/>
                <w:sz w:val="21"/>
                <w:szCs w:val="21"/>
                <w:highlight w:val="none"/>
                <w:lang w:val="en-US" w:eastAsia="zh-CN"/>
              </w:rPr>
            </w:pPr>
            <w:r>
              <w:rPr>
                <w:rFonts w:hint="eastAsia"/>
                <w:bCs/>
                <w:color w:val="auto"/>
                <w:sz w:val="21"/>
                <w:szCs w:val="21"/>
                <w:highlight w:val="none"/>
              </w:rPr>
              <w:t>实际距离</w:t>
            </w:r>
          </w:p>
        </w:tc>
        <w:tc>
          <w:tcPr>
            <w:tcW w:w="550" w:type="pct"/>
            <w:tcBorders>
              <w:tl2br w:val="nil"/>
              <w:tr2bl w:val="nil"/>
            </w:tcBorders>
            <w:noWrap w:val="0"/>
            <w:vAlign w:val="center"/>
          </w:tcPr>
          <w:p w14:paraId="04D9D25A">
            <w:pPr>
              <w:jc w:val="center"/>
              <w:rPr>
                <w:rFonts w:hint="eastAsia"/>
                <w:bCs/>
                <w:color w:val="auto"/>
                <w:sz w:val="21"/>
                <w:szCs w:val="21"/>
                <w:highlight w:val="none"/>
              </w:rPr>
            </w:pPr>
            <w:r>
              <w:rPr>
                <w:rFonts w:hint="eastAsia"/>
                <w:bCs/>
                <w:color w:val="auto"/>
                <w:sz w:val="21"/>
                <w:szCs w:val="21"/>
                <w:highlight w:val="none"/>
                <w:lang w:val="en-US" w:eastAsia="zh-CN"/>
              </w:rPr>
              <w:t>加氢机</w:t>
            </w:r>
          </w:p>
        </w:tc>
        <w:tc>
          <w:tcPr>
            <w:tcW w:w="391" w:type="pct"/>
            <w:gridSpan w:val="2"/>
            <w:tcBorders>
              <w:tl2br w:val="nil"/>
              <w:tr2bl w:val="nil"/>
            </w:tcBorders>
            <w:noWrap w:val="0"/>
            <w:vAlign w:val="center"/>
          </w:tcPr>
          <w:p w14:paraId="0624450D">
            <w:pPr>
              <w:jc w:val="center"/>
              <w:rPr>
                <w:rFonts w:hint="eastAsia"/>
                <w:bCs/>
                <w:color w:val="auto"/>
                <w:sz w:val="21"/>
                <w:szCs w:val="21"/>
                <w:highlight w:val="none"/>
              </w:rPr>
            </w:pPr>
            <w:r>
              <w:rPr>
                <w:rFonts w:hint="eastAsia"/>
                <w:bCs/>
                <w:color w:val="auto"/>
                <w:sz w:val="21"/>
                <w:szCs w:val="21"/>
                <w:highlight w:val="none"/>
              </w:rPr>
              <w:t>实际距离</w:t>
            </w:r>
          </w:p>
        </w:tc>
      </w:tr>
      <w:tr w14:paraId="41132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75" w:hRule="atLeast"/>
          <w:jc w:val="center"/>
        </w:trPr>
        <w:tc>
          <w:tcPr>
            <w:tcW w:w="1249" w:type="pct"/>
            <w:gridSpan w:val="2"/>
            <w:tcBorders>
              <w:tl2br w:val="nil"/>
              <w:tr2bl w:val="nil"/>
            </w:tcBorders>
            <w:noWrap w:val="0"/>
            <w:vAlign w:val="center"/>
          </w:tcPr>
          <w:p w14:paraId="7FCB2EEB">
            <w:pPr>
              <w:jc w:val="center"/>
              <w:rPr>
                <w:rFonts w:hint="eastAsia"/>
                <w:bCs/>
                <w:color w:val="auto"/>
                <w:sz w:val="21"/>
                <w:szCs w:val="21"/>
                <w:highlight w:val="none"/>
              </w:rPr>
            </w:pPr>
            <w:r>
              <w:rPr>
                <w:rFonts w:hint="eastAsia"/>
                <w:bCs/>
                <w:color w:val="auto"/>
                <w:sz w:val="21"/>
                <w:szCs w:val="21"/>
                <w:highlight w:val="none"/>
              </w:rPr>
              <w:t>重要公共建筑物</w:t>
            </w:r>
          </w:p>
        </w:tc>
        <w:tc>
          <w:tcPr>
            <w:tcW w:w="505" w:type="pct"/>
            <w:tcBorders>
              <w:tl2br w:val="nil"/>
              <w:tr2bl w:val="nil"/>
            </w:tcBorders>
            <w:noWrap w:val="0"/>
            <w:vAlign w:val="center"/>
          </w:tcPr>
          <w:p w14:paraId="614CA205">
            <w:pPr>
              <w:jc w:val="center"/>
              <w:rPr>
                <w:rFonts w:hint="eastAsia" w:eastAsia="宋体"/>
                <w:bCs/>
                <w:color w:val="auto"/>
                <w:sz w:val="21"/>
                <w:szCs w:val="21"/>
                <w:highlight w:val="none"/>
                <w:lang w:eastAsia="zh-CN"/>
              </w:rPr>
            </w:pPr>
            <w:r>
              <w:rPr>
                <w:rFonts w:hint="eastAsia"/>
                <w:bCs/>
                <w:color w:val="auto"/>
                <w:sz w:val="21"/>
                <w:szCs w:val="21"/>
                <w:highlight w:val="none"/>
              </w:rPr>
              <w:t>35</w:t>
            </w:r>
          </w:p>
        </w:tc>
        <w:tc>
          <w:tcPr>
            <w:tcW w:w="455" w:type="pct"/>
            <w:tcBorders>
              <w:tl2br w:val="nil"/>
              <w:tr2bl w:val="nil"/>
            </w:tcBorders>
            <w:noWrap w:val="0"/>
            <w:vAlign w:val="center"/>
          </w:tcPr>
          <w:p w14:paraId="0BCDD643">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w:t>
            </w:r>
          </w:p>
        </w:tc>
        <w:tc>
          <w:tcPr>
            <w:tcW w:w="430" w:type="pct"/>
            <w:tcBorders>
              <w:tl2br w:val="nil"/>
              <w:tr2bl w:val="nil"/>
            </w:tcBorders>
            <w:noWrap w:val="0"/>
            <w:vAlign w:val="center"/>
          </w:tcPr>
          <w:p w14:paraId="6C1FA57B">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35</w:t>
            </w:r>
          </w:p>
        </w:tc>
        <w:tc>
          <w:tcPr>
            <w:tcW w:w="448" w:type="pct"/>
            <w:tcBorders>
              <w:tl2br w:val="nil"/>
              <w:tr2bl w:val="nil"/>
            </w:tcBorders>
            <w:noWrap w:val="0"/>
            <w:vAlign w:val="center"/>
          </w:tcPr>
          <w:p w14:paraId="4FAF7A2F">
            <w:pPr>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w:t>
            </w:r>
          </w:p>
        </w:tc>
        <w:tc>
          <w:tcPr>
            <w:tcW w:w="558" w:type="pct"/>
            <w:tcBorders>
              <w:tl2br w:val="nil"/>
              <w:tr2bl w:val="nil"/>
            </w:tcBorders>
            <w:noWrap w:val="0"/>
            <w:vAlign w:val="center"/>
          </w:tcPr>
          <w:p w14:paraId="76E36329">
            <w:pPr>
              <w:jc w:val="center"/>
              <w:rPr>
                <w:rFonts w:hint="eastAsia" w:ascii="宋体" w:eastAsia="宋体"/>
                <w:bCs/>
                <w:color w:val="auto"/>
                <w:sz w:val="21"/>
                <w:szCs w:val="21"/>
                <w:highlight w:val="none"/>
                <w:lang w:val="en-US" w:eastAsia="zh-CN" w:bidi="ar-SA"/>
              </w:rPr>
            </w:pPr>
            <w:r>
              <w:rPr>
                <w:rFonts w:hint="eastAsia"/>
                <w:bCs/>
                <w:color w:val="auto"/>
                <w:sz w:val="21"/>
                <w:szCs w:val="21"/>
                <w:highlight w:val="none"/>
              </w:rPr>
              <w:t>35</w:t>
            </w:r>
          </w:p>
        </w:tc>
        <w:tc>
          <w:tcPr>
            <w:tcW w:w="703" w:type="dxa"/>
            <w:tcBorders>
              <w:tl2br w:val="nil"/>
              <w:tr2bl w:val="nil"/>
            </w:tcBorders>
            <w:noWrap w:val="0"/>
            <w:vAlign w:val="center"/>
          </w:tcPr>
          <w:p w14:paraId="79591E03">
            <w:pPr>
              <w:jc w:val="center"/>
              <w:rPr>
                <w:rFonts w:hint="eastAsia" w:eastAsia="宋体"/>
                <w:bCs/>
                <w:color w:val="auto"/>
                <w:sz w:val="21"/>
                <w:szCs w:val="21"/>
                <w:highlight w:val="none"/>
                <w:lang w:val="en-US" w:eastAsia="zh-CN"/>
              </w:rPr>
            </w:pPr>
            <w:r>
              <w:rPr>
                <w:rFonts w:hint="eastAsia"/>
                <w:bCs/>
                <w:color w:val="auto"/>
                <w:sz w:val="21"/>
                <w:szCs w:val="21"/>
                <w:highlight w:val="none"/>
              </w:rPr>
              <w:t>/</w:t>
            </w:r>
          </w:p>
        </w:tc>
        <w:tc>
          <w:tcPr>
            <w:tcW w:w="941" w:type="dxa"/>
            <w:tcBorders>
              <w:tl2br w:val="nil"/>
              <w:tr2bl w:val="nil"/>
            </w:tcBorders>
            <w:noWrap w:val="0"/>
            <w:vAlign w:val="center"/>
          </w:tcPr>
          <w:p w14:paraId="36D283E4">
            <w:pPr>
              <w:jc w:val="center"/>
              <w:rPr>
                <w:rFonts w:hint="eastAsia"/>
                <w:bCs/>
                <w:color w:val="auto"/>
                <w:sz w:val="21"/>
                <w:szCs w:val="21"/>
                <w:highlight w:val="none"/>
              </w:rPr>
            </w:pPr>
            <w:r>
              <w:rPr>
                <w:rFonts w:hint="eastAsia"/>
                <w:bCs/>
                <w:color w:val="auto"/>
                <w:sz w:val="21"/>
                <w:szCs w:val="21"/>
                <w:highlight w:val="none"/>
              </w:rPr>
              <w:t>35</w:t>
            </w:r>
          </w:p>
        </w:tc>
        <w:tc>
          <w:tcPr>
            <w:tcW w:w="391" w:type="pct"/>
            <w:gridSpan w:val="2"/>
            <w:tcBorders>
              <w:tl2br w:val="nil"/>
              <w:tr2bl w:val="nil"/>
            </w:tcBorders>
            <w:noWrap w:val="0"/>
            <w:vAlign w:val="center"/>
          </w:tcPr>
          <w:p w14:paraId="32D92065">
            <w:pPr>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w:t>
            </w:r>
          </w:p>
        </w:tc>
      </w:tr>
      <w:tr w14:paraId="69F05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54" w:hRule="atLeast"/>
          <w:jc w:val="center"/>
        </w:trPr>
        <w:tc>
          <w:tcPr>
            <w:tcW w:w="1249" w:type="pct"/>
            <w:gridSpan w:val="2"/>
            <w:tcBorders>
              <w:tl2br w:val="nil"/>
              <w:tr2bl w:val="nil"/>
            </w:tcBorders>
            <w:noWrap w:val="0"/>
            <w:vAlign w:val="center"/>
          </w:tcPr>
          <w:p w14:paraId="15BEAEF1">
            <w:pPr>
              <w:jc w:val="center"/>
              <w:rPr>
                <w:rFonts w:hint="eastAsia"/>
                <w:bCs/>
                <w:color w:val="auto"/>
                <w:sz w:val="21"/>
                <w:szCs w:val="21"/>
                <w:highlight w:val="none"/>
              </w:rPr>
            </w:pPr>
            <w:r>
              <w:rPr>
                <w:rFonts w:hint="eastAsia"/>
                <w:bCs/>
                <w:color w:val="auto"/>
                <w:sz w:val="21"/>
                <w:szCs w:val="21"/>
                <w:highlight w:val="none"/>
              </w:rPr>
              <w:t>明火或散发火花的地点</w:t>
            </w:r>
          </w:p>
        </w:tc>
        <w:tc>
          <w:tcPr>
            <w:tcW w:w="505" w:type="pct"/>
            <w:tcBorders>
              <w:tl2br w:val="nil"/>
              <w:tr2bl w:val="nil"/>
            </w:tcBorders>
            <w:noWrap w:val="0"/>
            <w:vAlign w:val="center"/>
          </w:tcPr>
          <w:p w14:paraId="509755EF">
            <w:pPr>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35</w:t>
            </w:r>
          </w:p>
        </w:tc>
        <w:tc>
          <w:tcPr>
            <w:tcW w:w="455" w:type="pct"/>
            <w:tcBorders>
              <w:tl2br w:val="nil"/>
              <w:tr2bl w:val="nil"/>
            </w:tcBorders>
            <w:noWrap w:val="0"/>
            <w:vAlign w:val="center"/>
          </w:tcPr>
          <w:p w14:paraId="112389FE">
            <w:pPr>
              <w:jc w:val="center"/>
              <w:rPr>
                <w:rFonts w:hint="default"/>
                <w:bCs/>
                <w:color w:val="auto"/>
                <w:sz w:val="21"/>
                <w:szCs w:val="21"/>
                <w:highlight w:val="none"/>
                <w:lang w:val="en-US" w:eastAsia="zh-CN"/>
              </w:rPr>
            </w:pPr>
            <w:r>
              <w:rPr>
                <w:rFonts w:hint="eastAsia"/>
                <w:bCs/>
                <w:color w:val="auto"/>
                <w:sz w:val="21"/>
                <w:szCs w:val="21"/>
                <w:highlight w:val="none"/>
                <w:lang w:val="en-US" w:eastAsia="zh-CN"/>
              </w:rPr>
              <w:t>/</w:t>
            </w:r>
          </w:p>
        </w:tc>
        <w:tc>
          <w:tcPr>
            <w:tcW w:w="430" w:type="pct"/>
            <w:tcBorders>
              <w:tl2br w:val="nil"/>
              <w:tr2bl w:val="nil"/>
            </w:tcBorders>
            <w:noWrap w:val="0"/>
            <w:vAlign w:val="center"/>
          </w:tcPr>
          <w:p w14:paraId="634EE00A">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30</w:t>
            </w:r>
          </w:p>
        </w:tc>
        <w:tc>
          <w:tcPr>
            <w:tcW w:w="448" w:type="pct"/>
            <w:tcBorders>
              <w:tl2br w:val="nil"/>
              <w:tr2bl w:val="nil"/>
            </w:tcBorders>
            <w:noWrap w:val="0"/>
            <w:vAlign w:val="center"/>
          </w:tcPr>
          <w:p w14:paraId="5E243A34">
            <w:pPr>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w:t>
            </w:r>
          </w:p>
        </w:tc>
        <w:tc>
          <w:tcPr>
            <w:tcW w:w="558" w:type="pct"/>
            <w:tcBorders>
              <w:tl2br w:val="nil"/>
              <w:tr2bl w:val="nil"/>
            </w:tcBorders>
            <w:noWrap w:val="0"/>
            <w:vAlign w:val="center"/>
          </w:tcPr>
          <w:p w14:paraId="1D37843E">
            <w:pPr>
              <w:jc w:val="center"/>
              <w:rPr>
                <w:rFonts w:hint="default" w:eastAsia="宋体"/>
                <w:bCs/>
                <w:color w:val="auto"/>
                <w:sz w:val="21"/>
                <w:szCs w:val="21"/>
                <w:highlight w:val="none"/>
                <w:lang w:val="en-US" w:eastAsia="zh-CN"/>
              </w:rPr>
            </w:pPr>
            <w:r>
              <w:rPr>
                <w:rFonts w:hint="eastAsia" w:eastAsia="宋体"/>
                <w:bCs/>
                <w:color w:val="auto"/>
                <w:sz w:val="21"/>
                <w:szCs w:val="21"/>
                <w:highlight w:val="none"/>
                <w:lang w:val="en-US" w:eastAsia="zh-CN"/>
              </w:rPr>
              <w:t>20</w:t>
            </w:r>
          </w:p>
        </w:tc>
        <w:tc>
          <w:tcPr>
            <w:tcW w:w="703" w:type="dxa"/>
            <w:tcBorders>
              <w:tl2br w:val="nil"/>
              <w:tr2bl w:val="nil"/>
            </w:tcBorders>
            <w:noWrap w:val="0"/>
            <w:vAlign w:val="center"/>
          </w:tcPr>
          <w:p w14:paraId="35A0662B">
            <w:pPr>
              <w:jc w:val="center"/>
              <w:rPr>
                <w:rFonts w:hint="default" w:eastAsia="宋体"/>
                <w:bCs/>
                <w:color w:val="auto"/>
                <w:sz w:val="21"/>
                <w:szCs w:val="21"/>
                <w:highlight w:val="none"/>
                <w:lang w:val="en-US" w:eastAsia="zh-CN"/>
              </w:rPr>
            </w:pPr>
            <w:r>
              <w:rPr>
                <w:rFonts w:hint="eastAsia"/>
                <w:bCs/>
                <w:color w:val="auto"/>
                <w:sz w:val="21"/>
                <w:szCs w:val="21"/>
                <w:highlight w:val="none"/>
              </w:rPr>
              <w:t>/</w:t>
            </w:r>
          </w:p>
        </w:tc>
        <w:tc>
          <w:tcPr>
            <w:tcW w:w="941" w:type="dxa"/>
            <w:tcBorders>
              <w:tl2br w:val="nil"/>
              <w:tr2bl w:val="nil"/>
            </w:tcBorders>
            <w:noWrap w:val="0"/>
            <w:vAlign w:val="center"/>
          </w:tcPr>
          <w:p w14:paraId="58B591BD">
            <w:pPr>
              <w:jc w:val="center"/>
              <w:rPr>
                <w:rFonts w:hint="eastAsia"/>
                <w:bCs/>
                <w:color w:val="auto"/>
                <w:sz w:val="21"/>
                <w:szCs w:val="21"/>
                <w:highlight w:val="none"/>
              </w:rPr>
            </w:pPr>
            <w:r>
              <w:rPr>
                <w:rFonts w:hint="eastAsia" w:eastAsia="宋体"/>
                <w:bCs/>
                <w:color w:val="auto"/>
                <w:sz w:val="21"/>
                <w:szCs w:val="21"/>
                <w:highlight w:val="none"/>
                <w:lang w:val="en-US" w:eastAsia="zh-CN"/>
              </w:rPr>
              <w:t>20</w:t>
            </w:r>
          </w:p>
        </w:tc>
        <w:tc>
          <w:tcPr>
            <w:tcW w:w="391" w:type="pct"/>
            <w:gridSpan w:val="2"/>
            <w:tcBorders>
              <w:tl2br w:val="nil"/>
              <w:tr2bl w:val="nil"/>
            </w:tcBorders>
            <w:noWrap w:val="0"/>
            <w:vAlign w:val="center"/>
          </w:tcPr>
          <w:p w14:paraId="2089B27B">
            <w:pPr>
              <w:jc w:val="center"/>
              <w:rPr>
                <w:rFonts w:hint="eastAsia"/>
                <w:bCs/>
                <w:color w:val="auto"/>
                <w:sz w:val="21"/>
                <w:szCs w:val="21"/>
                <w:highlight w:val="none"/>
              </w:rPr>
            </w:pPr>
          </w:p>
        </w:tc>
      </w:tr>
      <w:tr w14:paraId="3F6D6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75" w:hRule="atLeast"/>
          <w:jc w:val="center"/>
        </w:trPr>
        <w:tc>
          <w:tcPr>
            <w:tcW w:w="779" w:type="pct"/>
            <w:vMerge w:val="restart"/>
            <w:tcBorders>
              <w:tl2br w:val="nil"/>
              <w:tr2bl w:val="nil"/>
            </w:tcBorders>
            <w:noWrap w:val="0"/>
            <w:vAlign w:val="center"/>
          </w:tcPr>
          <w:p w14:paraId="24A043F3">
            <w:pPr>
              <w:jc w:val="center"/>
              <w:rPr>
                <w:rFonts w:hint="eastAsia"/>
                <w:bCs/>
                <w:color w:val="auto"/>
                <w:sz w:val="21"/>
                <w:szCs w:val="21"/>
                <w:highlight w:val="none"/>
              </w:rPr>
            </w:pPr>
            <w:r>
              <w:rPr>
                <w:rFonts w:hint="eastAsia"/>
                <w:bCs/>
                <w:color w:val="auto"/>
                <w:sz w:val="21"/>
                <w:szCs w:val="21"/>
                <w:highlight w:val="none"/>
              </w:rPr>
              <w:t>民用建筑及其他建筑</w:t>
            </w:r>
          </w:p>
        </w:tc>
        <w:tc>
          <w:tcPr>
            <w:tcW w:w="470" w:type="pct"/>
            <w:tcBorders>
              <w:tl2br w:val="nil"/>
              <w:tr2bl w:val="nil"/>
            </w:tcBorders>
            <w:noWrap w:val="0"/>
            <w:vAlign w:val="center"/>
          </w:tcPr>
          <w:p w14:paraId="0BF7D94C">
            <w:pPr>
              <w:jc w:val="center"/>
              <w:rPr>
                <w:rFonts w:hint="eastAsia"/>
                <w:bCs/>
                <w:color w:val="auto"/>
                <w:sz w:val="21"/>
                <w:szCs w:val="21"/>
                <w:highlight w:val="none"/>
              </w:rPr>
            </w:pPr>
            <w:r>
              <w:rPr>
                <w:rFonts w:hint="eastAsia"/>
                <w:bCs/>
                <w:color w:val="auto"/>
                <w:sz w:val="21"/>
                <w:szCs w:val="21"/>
                <w:highlight w:val="none"/>
              </w:rPr>
              <w:t>一类</w:t>
            </w:r>
          </w:p>
        </w:tc>
        <w:tc>
          <w:tcPr>
            <w:tcW w:w="505" w:type="pct"/>
            <w:tcBorders>
              <w:tl2br w:val="nil"/>
              <w:tr2bl w:val="nil"/>
            </w:tcBorders>
            <w:noWrap w:val="0"/>
            <w:vAlign w:val="center"/>
          </w:tcPr>
          <w:p w14:paraId="7F3F4B15">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30</w:t>
            </w:r>
          </w:p>
        </w:tc>
        <w:tc>
          <w:tcPr>
            <w:tcW w:w="455" w:type="pct"/>
            <w:tcBorders>
              <w:tl2br w:val="nil"/>
              <w:tr2bl w:val="nil"/>
            </w:tcBorders>
            <w:noWrap w:val="0"/>
            <w:vAlign w:val="center"/>
          </w:tcPr>
          <w:p w14:paraId="6C1E2CA6">
            <w:pPr>
              <w:jc w:val="center"/>
              <w:rPr>
                <w:rFonts w:hint="eastAsia"/>
                <w:bCs/>
                <w:color w:val="auto"/>
                <w:sz w:val="21"/>
                <w:szCs w:val="21"/>
                <w:highlight w:val="none"/>
                <w:lang w:val="en-US" w:eastAsia="zh-CN"/>
              </w:rPr>
            </w:pPr>
          </w:p>
        </w:tc>
        <w:tc>
          <w:tcPr>
            <w:tcW w:w="430" w:type="pct"/>
            <w:tcBorders>
              <w:tl2br w:val="nil"/>
              <w:tr2bl w:val="nil"/>
            </w:tcBorders>
            <w:noWrap w:val="0"/>
            <w:vAlign w:val="center"/>
          </w:tcPr>
          <w:p w14:paraId="20DB1AF8">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25</w:t>
            </w:r>
          </w:p>
        </w:tc>
        <w:tc>
          <w:tcPr>
            <w:tcW w:w="448" w:type="pct"/>
            <w:tcBorders>
              <w:tl2br w:val="nil"/>
              <w:tr2bl w:val="nil"/>
            </w:tcBorders>
            <w:noWrap w:val="0"/>
            <w:vAlign w:val="center"/>
          </w:tcPr>
          <w:p w14:paraId="030EA0A2">
            <w:pPr>
              <w:jc w:val="center"/>
              <w:rPr>
                <w:rFonts w:hint="eastAsia"/>
                <w:bCs/>
                <w:color w:val="auto"/>
                <w:sz w:val="21"/>
                <w:szCs w:val="21"/>
                <w:highlight w:val="none"/>
              </w:rPr>
            </w:pPr>
          </w:p>
        </w:tc>
        <w:tc>
          <w:tcPr>
            <w:tcW w:w="558" w:type="pct"/>
            <w:tcBorders>
              <w:tl2br w:val="nil"/>
              <w:tr2bl w:val="nil"/>
            </w:tcBorders>
            <w:noWrap w:val="0"/>
            <w:vAlign w:val="center"/>
          </w:tcPr>
          <w:p w14:paraId="24673659">
            <w:pPr>
              <w:jc w:val="center"/>
              <w:rPr>
                <w:rFonts w:hint="default" w:eastAsia="宋体"/>
                <w:bCs/>
                <w:color w:val="auto"/>
                <w:sz w:val="21"/>
                <w:szCs w:val="21"/>
                <w:highlight w:val="none"/>
                <w:lang w:val="en-US" w:eastAsia="zh-CN"/>
              </w:rPr>
            </w:pPr>
            <w:r>
              <w:rPr>
                <w:rFonts w:hint="eastAsia" w:eastAsia="宋体"/>
                <w:bCs/>
                <w:color w:val="auto"/>
                <w:sz w:val="21"/>
                <w:szCs w:val="21"/>
                <w:highlight w:val="none"/>
                <w:lang w:val="en-US" w:eastAsia="zh-CN"/>
              </w:rPr>
              <w:t>20</w:t>
            </w:r>
          </w:p>
        </w:tc>
        <w:tc>
          <w:tcPr>
            <w:tcW w:w="703" w:type="dxa"/>
            <w:tcBorders>
              <w:tl2br w:val="nil"/>
              <w:tr2bl w:val="nil"/>
            </w:tcBorders>
            <w:noWrap w:val="0"/>
            <w:vAlign w:val="center"/>
          </w:tcPr>
          <w:p w14:paraId="051B74DB">
            <w:pPr>
              <w:jc w:val="center"/>
              <w:rPr>
                <w:rFonts w:hint="eastAsia" w:eastAsia="宋体"/>
                <w:bCs/>
                <w:color w:val="auto"/>
                <w:sz w:val="21"/>
                <w:szCs w:val="21"/>
                <w:highlight w:val="none"/>
                <w:lang w:val="en-US" w:eastAsia="zh-CN"/>
              </w:rPr>
            </w:pPr>
            <w:r>
              <w:rPr>
                <w:rFonts w:hint="eastAsia"/>
                <w:bCs/>
                <w:color w:val="auto"/>
                <w:sz w:val="21"/>
                <w:szCs w:val="21"/>
                <w:highlight w:val="none"/>
              </w:rPr>
              <w:t>/</w:t>
            </w:r>
          </w:p>
        </w:tc>
        <w:tc>
          <w:tcPr>
            <w:tcW w:w="941" w:type="dxa"/>
            <w:tcBorders>
              <w:tl2br w:val="nil"/>
              <w:tr2bl w:val="nil"/>
            </w:tcBorders>
            <w:noWrap w:val="0"/>
            <w:vAlign w:val="center"/>
          </w:tcPr>
          <w:p w14:paraId="3B4DED60">
            <w:pPr>
              <w:jc w:val="center"/>
              <w:rPr>
                <w:rFonts w:hint="eastAsia"/>
                <w:bCs/>
                <w:color w:val="auto"/>
                <w:sz w:val="21"/>
                <w:szCs w:val="21"/>
                <w:highlight w:val="none"/>
              </w:rPr>
            </w:pPr>
            <w:r>
              <w:rPr>
                <w:rFonts w:hint="eastAsia" w:eastAsia="宋体"/>
                <w:bCs/>
                <w:color w:val="auto"/>
                <w:sz w:val="21"/>
                <w:szCs w:val="21"/>
                <w:highlight w:val="none"/>
                <w:lang w:val="en-US" w:eastAsia="zh-CN"/>
              </w:rPr>
              <w:t>20</w:t>
            </w:r>
          </w:p>
        </w:tc>
        <w:tc>
          <w:tcPr>
            <w:tcW w:w="391" w:type="pct"/>
            <w:gridSpan w:val="2"/>
            <w:tcBorders>
              <w:tl2br w:val="nil"/>
              <w:tr2bl w:val="nil"/>
            </w:tcBorders>
            <w:noWrap w:val="0"/>
            <w:vAlign w:val="center"/>
          </w:tcPr>
          <w:p w14:paraId="587F7463">
            <w:pPr>
              <w:jc w:val="center"/>
              <w:rPr>
                <w:rFonts w:hint="eastAsia"/>
                <w:bCs/>
                <w:color w:val="auto"/>
                <w:sz w:val="21"/>
                <w:szCs w:val="21"/>
                <w:highlight w:val="none"/>
              </w:rPr>
            </w:pPr>
          </w:p>
        </w:tc>
      </w:tr>
      <w:tr w14:paraId="2A99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75" w:hRule="atLeast"/>
          <w:jc w:val="center"/>
        </w:trPr>
        <w:tc>
          <w:tcPr>
            <w:tcW w:w="779" w:type="pct"/>
            <w:vMerge w:val="continue"/>
            <w:tcBorders>
              <w:tl2br w:val="nil"/>
              <w:tr2bl w:val="nil"/>
            </w:tcBorders>
            <w:noWrap w:val="0"/>
            <w:vAlign w:val="center"/>
          </w:tcPr>
          <w:p w14:paraId="4563A3C2">
            <w:pPr>
              <w:jc w:val="center"/>
              <w:rPr>
                <w:rFonts w:hint="eastAsia"/>
                <w:bCs/>
                <w:color w:val="auto"/>
                <w:sz w:val="21"/>
                <w:szCs w:val="21"/>
                <w:highlight w:val="none"/>
              </w:rPr>
            </w:pPr>
          </w:p>
        </w:tc>
        <w:tc>
          <w:tcPr>
            <w:tcW w:w="470" w:type="pct"/>
            <w:tcBorders>
              <w:tl2br w:val="nil"/>
              <w:tr2bl w:val="nil"/>
            </w:tcBorders>
            <w:noWrap w:val="0"/>
            <w:vAlign w:val="center"/>
          </w:tcPr>
          <w:p w14:paraId="5765206C">
            <w:pPr>
              <w:jc w:val="center"/>
              <w:rPr>
                <w:rFonts w:hint="eastAsia"/>
                <w:bCs/>
                <w:color w:val="auto"/>
                <w:sz w:val="21"/>
                <w:szCs w:val="21"/>
                <w:highlight w:val="none"/>
              </w:rPr>
            </w:pPr>
            <w:r>
              <w:rPr>
                <w:rFonts w:hint="eastAsia"/>
                <w:bCs/>
                <w:color w:val="auto"/>
                <w:sz w:val="21"/>
                <w:szCs w:val="21"/>
                <w:highlight w:val="none"/>
              </w:rPr>
              <w:t>二类</w:t>
            </w:r>
          </w:p>
        </w:tc>
        <w:tc>
          <w:tcPr>
            <w:tcW w:w="505" w:type="pct"/>
            <w:tcBorders>
              <w:tl2br w:val="nil"/>
              <w:tr2bl w:val="nil"/>
            </w:tcBorders>
            <w:noWrap w:val="0"/>
            <w:vAlign w:val="center"/>
          </w:tcPr>
          <w:p w14:paraId="1220CB15">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25</w:t>
            </w:r>
          </w:p>
        </w:tc>
        <w:tc>
          <w:tcPr>
            <w:tcW w:w="455" w:type="pct"/>
            <w:tcBorders>
              <w:tl2br w:val="nil"/>
              <w:tr2bl w:val="nil"/>
            </w:tcBorders>
            <w:noWrap w:val="0"/>
            <w:vAlign w:val="center"/>
          </w:tcPr>
          <w:p w14:paraId="2C0AA2E7">
            <w:pPr>
              <w:jc w:val="center"/>
              <w:rPr>
                <w:rFonts w:hint="eastAsia"/>
                <w:bCs/>
                <w:color w:val="auto"/>
                <w:sz w:val="21"/>
                <w:szCs w:val="21"/>
                <w:highlight w:val="none"/>
                <w:lang w:val="en-US" w:eastAsia="zh-CN"/>
              </w:rPr>
            </w:pPr>
          </w:p>
        </w:tc>
        <w:tc>
          <w:tcPr>
            <w:tcW w:w="430" w:type="pct"/>
            <w:tcBorders>
              <w:tl2br w:val="nil"/>
              <w:tr2bl w:val="nil"/>
            </w:tcBorders>
            <w:noWrap w:val="0"/>
            <w:vAlign w:val="center"/>
          </w:tcPr>
          <w:p w14:paraId="6077A852">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20</w:t>
            </w:r>
          </w:p>
        </w:tc>
        <w:tc>
          <w:tcPr>
            <w:tcW w:w="448" w:type="pct"/>
            <w:tcBorders>
              <w:tl2br w:val="nil"/>
              <w:tr2bl w:val="nil"/>
            </w:tcBorders>
            <w:noWrap w:val="0"/>
            <w:vAlign w:val="center"/>
          </w:tcPr>
          <w:p w14:paraId="56963D37">
            <w:pPr>
              <w:jc w:val="center"/>
              <w:rPr>
                <w:rFonts w:hint="eastAsia"/>
                <w:bCs/>
                <w:color w:val="auto"/>
                <w:sz w:val="21"/>
                <w:szCs w:val="21"/>
                <w:highlight w:val="none"/>
              </w:rPr>
            </w:pPr>
          </w:p>
        </w:tc>
        <w:tc>
          <w:tcPr>
            <w:tcW w:w="558" w:type="pct"/>
            <w:tcBorders>
              <w:tl2br w:val="nil"/>
              <w:tr2bl w:val="nil"/>
            </w:tcBorders>
            <w:noWrap w:val="0"/>
            <w:vAlign w:val="center"/>
          </w:tcPr>
          <w:p w14:paraId="5B633951">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14</w:t>
            </w:r>
          </w:p>
        </w:tc>
        <w:tc>
          <w:tcPr>
            <w:tcW w:w="703" w:type="dxa"/>
            <w:tcBorders>
              <w:tl2br w:val="nil"/>
              <w:tr2bl w:val="nil"/>
            </w:tcBorders>
            <w:noWrap w:val="0"/>
            <w:vAlign w:val="center"/>
          </w:tcPr>
          <w:p w14:paraId="32E6FB1E">
            <w:pPr>
              <w:jc w:val="center"/>
              <w:rPr>
                <w:rFonts w:hint="eastAsia"/>
                <w:bCs/>
                <w:color w:val="auto"/>
                <w:sz w:val="21"/>
                <w:szCs w:val="21"/>
                <w:highlight w:val="none"/>
                <w:lang w:val="en-US" w:eastAsia="zh-CN"/>
              </w:rPr>
            </w:pPr>
            <w:r>
              <w:rPr>
                <w:rFonts w:hint="eastAsia"/>
                <w:bCs/>
                <w:color w:val="auto"/>
                <w:sz w:val="21"/>
                <w:szCs w:val="21"/>
                <w:highlight w:val="none"/>
              </w:rPr>
              <w:t>/</w:t>
            </w:r>
          </w:p>
        </w:tc>
        <w:tc>
          <w:tcPr>
            <w:tcW w:w="941" w:type="dxa"/>
            <w:tcBorders>
              <w:tl2br w:val="nil"/>
              <w:tr2bl w:val="nil"/>
            </w:tcBorders>
            <w:noWrap w:val="0"/>
            <w:vAlign w:val="center"/>
          </w:tcPr>
          <w:p w14:paraId="2BDAD471">
            <w:pPr>
              <w:jc w:val="center"/>
              <w:rPr>
                <w:rFonts w:hint="eastAsia"/>
                <w:bCs/>
                <w:color w:val="auto"/>
                <w:sz w:val="21"/>
                <w:szCs w:val="21"/>
                <w:highlight w:val="none"/>
              </w:rPr>
            </w:pPr>
            <w:r>
              <w:rPr>
                <w:rFonts w:hint="eastAsia"/>
                <w:bCs/>
                <w:color w:val="auto"/>
                <w:sz w:val="21"/>
                <w:szCs w:val="21"/>
                <w:highlight w:val="none"/>
                <w:lang w:val="en-US" w:eastAsia="zh-CN"/>
              </w:rPr>
              <w:t>14</w:t>
            </w:r>
          </w:p>
        </w:tc>
        <w:tc>
          <w:tcPr>
            <w:tcW w:w="391" w:type="pct"/>
            <w:gridSpan w:val="2"/>
            <w:tcBorders>
              <w:tl2br w:val="nil"/>
              <w:tr2bl w:val="nil"/>
            </w:tcBorders>
            <w:noWrap w:val="0"/>
            <w:vAlign w:val="center"/>
          </w:tcPr>
          <w:p w14:paraId="538C2334">
            <w:pPr>
              <w:jc w:val="center"/>
              <w:rPr>
                <w:rFonts w:hint="eastAsia"/>
                <w:bCs/>
                <w:color w:val="auto"/>
                <w:sz w:val="21"/>
                <w:szCs w:val="21"/>
                <w:highlight w:val="none"/>
              </w:rPr>
            </w:pPr>
          </w:p>
        </w:tc>
      </w:tr>
      <w:tr w14:paraId="647E7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75" w:hRule="atLeast"/>
          <w:jc w:val="center"/>
        </w:trPr>
        <w:tc>
          <w:tcPr>
            <w:tcW w:w="779" w:type="pct"/>
            <w:vMerge w:val="continue"/>
            <w:tcBorders>
              <w:tl2br w:val="nil"/>
              <w:tr2bl w:val="nil"/>
            </w:tcBorders>
            <w:noWrap w:val="0"/>
            <w:vAlign w:val="center"/>
          </w:tcPr>
          <w:p w14:paraId="3EDAE1AC">
            <w:pPr>
              <w:jc w:val="center"/>
              <w:rPr>
                <w:rFonts w:hint="eastAsia"/>
                <w:bCs/>
                <w:color w:val="auto"/>
                <w:sz w:val="21"/>
                <w:szCs w:val="21"/>
                <w:highlight w:val="none"/>
              </w:rPr>
            </w:pPr>
          </w:p>
        </w:tc>
        <w:tc>
          <w:tcPr>
            <w:tcW w:w="470" w:type="pct"/>
            <w:tcBorders>
              <w:tl2br w:val="nil"/>
              <w:tr2bl w:val="nil"/>
            </w:tcBorders>
            <w:noWrap w:val="0"/>
            <w:vAlign w:val="center"/>
          </w:tcPr>
          <w:p w14:paraId="7E6AAC7D">
            <w:pPr>
              <w:jc w:val="center"/>
              <w:rPr>
                <w:rFonts w:hint="eastAsia"/>
                <w:bCs/>
                <w:color w:val="auto"/>
                <w:sz w:val="21"/>
                <w:szCs w:val="21"/>
                <w:highlight w:val="none"/>
              </w:rPr>
            </w:pPr>
            <w:r>
              <w:rPr>
                <w:rFonts w:hint="eastAsia"/>
                <w:bCs/>
                <w:color w:val="auto"/>
                <w:sz w:val="21"/>
                <w:szCs w:val="21"/>
                <w:highlight w:val="none"/>
              </w:rPr>
              <w:t>三类</w:t>
            </w:r>
          </w:p>
        </w:tc>
        <w:tc>
          <w:tcPr>
            <w:tcW w:w="505" w:type="pct"/>
            <w:tcBorders>
              <w:tl2br w:val="nil"/>
              <w:tr2bl w:val="nil"/>
            </w:tcBorders>
            <w:noWrap w:val="0"/>
            <w:vAlign w:val="center"/>
          </w:tcPr>
          <w:p w14:paraId="74DB26B8">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25</w:t>
            </w:r>
          </w:p>
        </w:tc>
        <w:tc>
          <w:tcPr>
            <w:tcW w:w="455" w:type="pct"/>
            <w:tcBorders>
              <w:tl2br w:val="nil"/>
              <w:tr2bl w:val="nil"/>
            </w:tcBorders>
            <w:noWrap w:val="0"/>
            <w:vAlign w:val="center"/>
          </w:tcPr>
          <w:p w14:paraId="7F3AAA78">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＞100</w:t>
            </w:r>
          </w:p>
        </w:tc>
        <w:tc>
          <w:tcPr>
            <w:tcW w:w="430" w:type="pct"/>
            <w:tcBorders>
              <w:tl2br w:val="nil"/>
              <w:tr2bl w:val="nil"/>
            </w:tcBorders>
            <w:noWrap w:val="0"/>
            <w:vAlign w:val="center"/>
          </w:tcPr>
          <w:p w14:paraId="48910C23">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20</w:t>
            </w:r>
          </w:p>
        </w:tc>
        <w:tc>
          <w:tcPr>
            <w:tcW w:w="448" w:type="pct"/>
            <w:tcBorders>
              <w:tl2br w:val="nil"/>
              <w:tr2bl w:val="nil"/>
            </w:tcBorders>
            <w:noWrap w:val="0"/>
            <w:vAlign w:val="center"/>
          </w:tcPr>
          <w:p w14:paraId="4FC64EEE">
            <w:pPr>
              <w:jc w:val="center"/>
              <w:rPr>
                <w:rFonts w:hint="eastAsia"/>
                <w:bCs/>
                <w:color w:val="auto"/>
                <w:sz w:val="21"/>
                <w:szCs w:val="21"/>
                <w:highlight w:val="none"/>
              </w:rPr>
            </w:pPr>
            <w:r>
              <w:rPr>
                <w:rFonts w:hint="eastAsia"/>
                <w:bCs/>
                <w:color w:val="auto"/>
                <w:sz w:val="21"/>
                <w:szCs w:val="21"/>
                <w:highlight w:val="none"/>
                <w:lang w:val="en-US" w:eastAsia="zh-CN"/>
              </w:rPr>
              <w:t>＞100</w:t>
            </w:r>
          </w:p>
        </w:tc>
        <w:tc>
          <w:tcPr>
            <w:tcW w:w="558" w:type="pct"/>
            <w:tcBorders>
              <w:tl2br w:val="nil"/>
              <w:tr2bl w:val="nil"/>
            </w:tcBorders>
            <w:noWrap w:val="0"/>
            <w:vAlign w:val="center"/>
          </w:tcPr>
          <w:p w14:paraId="0FC43C65">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12</w:t>
            </w:r>
          </w:p>
        </w:tc>
        <w:tc>
          <w:tcPr>
            <w:tcW w:w="703" w:type="dxa"/>
            <w:tcBorders>
              <w:tl2br w:val="nil"/>
              <w:tr2bl w:val="nil"/>
            </w:tcBorders>
            <w:noWrap w:val="0"/>
            <w:vAlign w:val="center"/>
          </w:tcPr>
          <w:p w14:paraId="3F0BC5F9">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＞100</w:t>
            </w:r>
          </w:p>
        </w:tc>
        <w:tc>
          <w:tcPr>
            <w:tcW w:w="941" w:type="dxa"/>
            <w:tcBorders>
              <w:tl2br w:val="nil"/>
              <w:tr2bl w:val="nil"/>
            </w:tcBorders>
            <w:noWrap w:val="0"/>
            <w:vAlign w:val="center"/>
          </w:tcPr>
          <w:p w14:paraId="0DB76B4C">
            <w:pPr>
              <w:jc w:val="center"/>
              <w:rPr>
                <w:rFonts w:hint="eastAsia"/>
                <w:bCs/>
                <w:color w:val="auto"/>
                <w:sz w:val="21"/>
                <w:szCs w:val="21"/>
                <w:highlight w:val="none"/>
              </w:rPr>
            </w:pPr>
            <w:r>
              <w:rPr>
                <w:rFonts w:hint="eastAsia"/>
                <w:bCs/>
                <w:color w:val="auto"/>
                <w:sz w:val="21"/>
                <w:szCs w:val="21"/>
                <w:highlight w:val="none"/>
                <w:lang w:val="en-US" w:eastAsia="zh-CN"/>
              </w:rPr>
              <w:t>12</w:t>
            </w:r>
          </w:p>
        </w:tc>
        <w:tc>
          <w:tcPr>
            <w:tcW w:w="391" w:type="pct"/>
            <w:gridSpan w:val="2"/>
            <w:tcBorders>
              <w:tl2br w:val="nil"/>
              <w:tr2bl w:val="nil"/>
            </w:tcBorders>
            <w:noWrap w:val="0"/>
            <w:vAlign w:val="center"/>
          </w:tcPr>
          <w:p w14:paraId="69FA8F89">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＞100</w:t>
            </w:r>
          </w:p>
        </w:tc>
      </w:tr>
      <w:tr w14:paraId="22C2B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75" w:hRule="atLeast"/>
          <w:jc w:val="center"/>
        </w:trPr>
        <w:tc>
          <w:tcPr>
            <w:tcW w:w="1249" w:type="pct"/>
            <w:gridSpan w:val="2"/>
            <w:tcBorders>
              <w:tl2br w:val="nil"/>
              <w:tr2bl w:val="nil"/>
            </w:tcBorders>
            <w:noWrap w:val="0"/>
            <w:vAlign w:val="center"/>
          </w:tcPr>
          <w:p w14:paraId="64C3D7A5">
            <w:pPr>
              <w:jc w:val="center"/>
              <w:rPr>
                <w:rFonts w:hint="eastAsia"/>
                <w:bCs/>
                <w:color w:val="auto"/>
                <w:sz w:val="21"/>
                <w:szCs w:val="21"/>
                <w:highlight w:val="none"/>
              </w:rPr>
            </w:pPr>
            <w:r>
              <w:rPr>
                <w:rFonts w:hint="eastAsia" w:ascii="宋体" w:hAnsi="宋体" w:eastAsia="宋体" w:cs="宋体"/>
                <w:b w:val="0"/>
                <w:bCs w:val="0"/>
                <w:color w:val="auto"/>
                <w:sz w:val="21"/>
                <w:szCs w:val="21"/>
                <w:highlight w:val="none"/>
              </w:rPr>
              <w:t>甲乙类厂房库房和甲乙类液体储罐（食品厂厂房）</w:t>
            </w:r>
          </w:p>
        </w:tc>
        <w:tc>
          <w:tcPr>
            <w:tcW w:w="505" w:type="pct"/>
            <w:tcBorders>
              <w:tl2br w:val="nil"/>
              <w:tr2bl w:val="nil"/>
            </w:tcBorders>
            <w:noWrap w:val="0"/>
            <w:vAlign w:val="center"/>
          </w:tcPr>
          <w:p w14:paraId="2D37A65E">
            <w:pPr>
              <w:jc w:val="center"/>
              <w:rPr>
                <w:rFonts w:hint="default"/>
                <w:bCs/>
                <w:color w:val="auto"/>
                <w:sz w:val="21"/>
                <w:szCs w:val="21"/>
                <w:highlight w:val="none"/>
                <w:lang w:val="en-US" w:eastAsia="zh-CN"/>
              </w:rPr>
            </w:pPr>
            <w:r>
              <w:rPr>
                <w:rFonts w:hint="eastAsia"/>
                <w:bCs/>
                <w:color w:val="auto"/>
                <w:sz w:val="21"/>
                <w:szCs w:val="21"/>
                <w:highlight w:val="none"/>
                <w:lang w:val="en-US" w:eastAsia="zh-CN"/>
              </w:rPr>
              <w:t>30</w:t>
            </w:r>
          </w:p>
        </w:tc>
        <w:tc>
          <w:tcPr>
            <w:tcW w:w="455" w:type="pct"/>
            <w:tcBorders>
              <w:tl2br w:val="nil"/>
              <w:tr2bl w:val="nil"/>
            </w:tcBorders>
            <w:noWrap w:val="0"/>
            <w:vAlign w:val="center"/>
          </w:tcPr>
          <w:p w14:paraId="690697B4">
            <w:pPr>
              <w:jc w:val="center"/>
              <w:rPr>
                <w:rFonts w:hint="default"/>
                <w:bCs/>
                <w:color w:val="auto"/>
                <w:sz w:val="21"/>
                <w:szCs w:val="21"/>
                <w:highlight w:val="none"/>
                <w:lang w:val="en-US" w:eastAsia="zh-CN"/>
              </w:rPr>
            </w:pPr>
            <w:r>
              <w:rPr>
                <w:rFonts w:hint="eastAsia"/>
                <w:bCs/>
                <w:color w:val="auto"/>
                <w:sz w:val="21"/>
                <w:szCs w:val="21"/>
                <w:highlight w:val="none"/>
                <w:lang w:val="en-US" w:eastAsia="zh-CN"/>
              </w:rPr>
              <w:t>31.77</w:t>
            </w:r>
          </w:p>
        </w:tc>
        <w:tc>
          <w:tcPr>
            <w:tcW w:w="430" w:type="pct"/>
            <w:tcBorders>
              <w:tl2br w:val="nil"/>
              <w:tr2bl w:val="nil"/>
            </w:tcBorders>
            <w:noWrap w:val="0"/>
            <w:vAlign w:val="center"/>
          </w:tcPr>
          <w:p w14:paraId="00B38051">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25</w:t>
            </w:r>
          </w:p>
        </w:tc>
        <w:tc>
          <w:tcPr>
            <w:tcW w:w="448" w:type="pct"/>
            <w:tcBorders>
              <w:tl2br w:val="nil"/>
              <w:tr2bl w:val="nil"/>
            </w:tcBorders>
            <w:noWrap w:val="0"/>
            <w:vAlign w:val="center"/>
          </w:tcPr>
          <w:p w14:paraId="3D8229A5">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55.74</w:t>
            </w:r>
          </w:p>
        </w:tc>
        <w:tc>
          <w:tcPr>
            <w:tcW w:w="558" w:type="pct"/>
            <w:tcBorders>
              <w:tl2br w:val="nil"/>
              <w:tr2bl w:val="nil"/>
            </w:tcBorders>
            <w:noWrap w:val="0"/>
            <w:vAlign w:val="center"/>
          </w:tcPr>
          <w:p w14:paraId="3D2954D9">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18</w:t>
            </w:r>
          </w:p>
        </w:tc>
        <w:tc>
          <w:tcPr>
            <w:tcW w:w="703" w:type="dxa"/>
            <w:tcBorders>
              <w:tl2br w:val="nil"/>
              <w:tr2bl w:val="nil"/>
            </w:tcBorders>
            <w:noWrap w:val="0"/>
            <w:vAlign w:val="center"/>
          </w:tcPr>
          <w:p w14:paraId="192AB1FD">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18.31</w:t>
            </w:r>
          </w:p>
        </w:tc>
        <w:tc>
          <w:tcPr>
            <w:tcW w:w="941" w:type="dxa"/>
            <w:tcBorders>
              <w:tl2br w:val="nil"/>
              <w:tr2bl w:val="nil"/>
            </w:tcBorders>
            <w:noWrap w:val="0"/>
            <w:vAlign w:val="center"/>
          </w:tcPr>
          <w:p w14:paraId="343E5C69">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18</w:t>
            </w:r>
          </w:p>
        </w:tc>
        <w:tc>
          <w:tcPr>
            <w:tcW w:w="391" w:type="pct"/>
            <w:gridSpan w:val="2"/>
            <w:tcBorders>
              <w:tl2br w:val="nil"/>
              <w:tr2bl w:val="nil"/>
            </w:tcBorders>
            <w:noWrap w:val="0"/>
            <w:vAlign w:val="center"/>
          </w:tcPr>
          <w:p w14:paraId="6B39C61B">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33.41</w:t>
            </w:r>
          </w:p>
        </w:tc>
      </w:tr>
      <w:tr w14:paraId="6E918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75" w:hRule="atLeast"/>
          <w:jc w:val="center"/>
        </w:trPr>
        <w:tc>
          <w:tcPr>
            <w:tcW w:w="1249" w:type="pct"/>
            <w:gridSpan w:val="2"/>
            <w:tcBorders>
              <w:tl2br w:val="nil"/>
              <w:tr2bl w:val="nil"/>
            </w:tcBorders>
            <w:noWrap w:val="0"/>
            <w:vAlign w:val="center"/>
          </w:tcPr>
          <w:p w14:paraId="1A516016">
            <w:pPr>
              <w:jc w:val="center"/>
              <w:rPr>
                <w:rFonts w:hint="eastAsia"/>
                <w:bCs/>
                <w:color w:val="auto"/>
                <w:sz w:val="21"/>
                <w:szCs w:val="21"/>
                <w:highlight w:val="none"/>
              </w:rPr>
            </w:pPr>
            <w:r>
              <w:rPr>
                <w:rFonts w:hint="eastAsia" w:ascii="Times New Roman" w:hAnsi="Times New Roman" w:eastAsia="宋体" w:cs="Times New Roman"/>
                <w:bCs/>
                <w:color w:val="auto"/>
                <w:sz w:val="21"/>
                <w:szCs w:val="21"/>
                <w:highlight w:val="none"/>
              </w:rPr>
              <w:t>丙丁戊类厂房、库房和丙类液体储罐以及容积不大于50m</w:t>
            </w:r>
            <w:r>
              <w:rPr>
                <w:rFonts w:hint="eastAsia" w:ascii="Times New Roman" w:hAnsi="Times New Roman" w:eastAsia="宋体" w:cs="Times New Roman"/>
                <w:bCs/>
                <w:color w:val="auto"/>
                <w:sz w:val="21"/>
                <w:szCs w:val="21"/>
                <w:highlight w:val="none"/>
                <w:vertAlign w:val="superscript"/>
                <w:lang w:val="en-US" w:eastAsia="zh-CN"/>
              </w:rPr>
              <w:t>3</w:t>
            </w:r>
            <w:r>
              <w:rPr>
                <w:rFonts w:hint="eastAsia" w:ascii="Times New Roman" w:hAnsi="Times New Roman" w:eastAsia="宋体" w:cs="Times New Roman"/>
                <w:bCs/>
                <w:color w:val="auto"/>
                <w:sz w:val="21"/>
                <w:szCs w:val="21"/>
                <w:highlight w:val="none"/>
              </w:rPr>
              <w:t>的埋地甲乙类液体储罐（东侧建筑）</w:t>
            </w:r>
          </w:p>
        </w:tc>
        <w:tc>
          <w:tcPr>
            <w:tcW w:w="505" w:type="pct"/>
            <w:tcBorders>
              <w:tl2br w:val="nil"/>
              <w:tr2bl w:val="nil"/>
            </w:tcBorders>
            <w:noWrap w:val="0"/>
            <w:vAlign w:val="center"/>
          </w:tcPr>
          <w:p w14:paraId="5560FABC">
            <w:pPr>
              <w:jc w:val="center"/>
              <w:rPr>
                <w:rFonts w:hint="default"/>
                <w:bCs/>
                <w:color w:val="auto"/>
                <w:sz w:val="21"/>
                <w:szCs w:val="21"/>
                <w:highlight w:val="none"/>
                <w:lang w:val="en-US" w:eastAsia="zh-CN"/>
              </w:rPr>
            </w:pPr>
            <w:r>
              <w:rPr>
                <w:rFonts w:hint="eastAsia"/>
                <w:bCs/>
                <w:color w:val="auto"/>
                <w:sz w:val="21"/>
                <w:szCs w:val="21"/>
                <w:highlight w:val="none"/>
                <w:lang w:val="en-US" w:eastAsia="zh-CN"/>
              </w:rPr>
              <w:t>20</w:t>
            </w:r>
          </w:p>
        </w:tc>
        <w:tc>
          <w:tcPr>
            <w:tcW w:w="455" w:type="pct"/>
            <w:tcBorders>
              <w:tl2br w:val="nil"/>
              <w:tr2bl w:val="nil"/>
            </w:tcBorders>
            <w:noWrap w:val="0"/>
            <w:vAlign w:val="center"/>
          </w:tcPr>
          <w:p w14:paraId="70B66139">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＞100</w:t>
            </w:r>
          </w:p>
        </w:tc>
        <w:tc>
          <w:tcPr>
            <w:tcW w:w="430" w:type="pct"/>
            <w:tcBorders>
              <w:tl2br w:val="nil"/>
              <w:tr2bl w:val="nil"/>
            </w:tcBorders>
            <w:noWrap w:val="0"/>
            <w:vAlign w:val="center"/>
          </w:tcPr>
          <w:p w14:paraId="181E8C2B">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15</w:t>
            </w:r>
          </w:p>
        </w:tc>
        <w:tc>
          <w:tcPr>
            <w:tcW w:w="448" w:type="pct"/>
            <w:tcBorders>
              <w:tl2br w:val="nil"/>
              <w:tr2bl w:val="nil"/>
            </w:tcBorders>
            <w:noWrap w:val="0"/>
            <w:vAlign w:val="center"/>
          </w:tcPr>
          <w:p w14:paraId="6F5931B1">
            <w:pPr>
              <w:jc w:val="center"/>
              <w:rPr>
                <w:rFonts w:hint="eastAsia"/>
                <w:bCs/>
                <w:color w:val="auto"/>
                <w:sz w:val="21"/>
                <w:szCs w:val="21"/>
                <w:highlight w:val="none"/>
              </w:rPr>
            </w:pPr>
            <w:r>
              <w:rPr>
                <w:rFonts w:hint="eastAsia"/>
                <w:bCs/>
                <w:color w:val="auto"/>
                <w:sz w:val="21"/>
                <w:szCs w:val="21"/>
                <w:highlight w:val="none"/>
                <w:lang w:val="en-US" w:eastAsia="zh-CN"/>
              </w:rPr>
              <w:t>＞100</w:t>
            </w:r>
          </w:p>
        </w:tc>
        <w:tc>
          <w:tcPr>
            <w:tcW w:w="558" w:type="pct"/>
            <w:tcBorders>
              <w:tl2br w:val="nil"/>
              <w:tr2bl w:val="nil"/>
            </w:tcBorders>
            <w:noWrap w:val="0"/>
            <w:vAlign w:val="center"/>
          </w:tcPr>
          <w:p w14:paraId="60BA806F">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12</w:t>
            </w:r>
          </w:p>
        </w:tc>
        <w:tc>
          <w:tcPr>
            <w:tcW w:w="703" w:type="dxa"/>
            <w:tcBorders>
              <w:tl2br w:val="nil"/>
              <w:tr2bl w:val="nil"/>
            </w:tcBorders>
            <w:noWrap w:val="0"/>
            <w:vAlign w:val="center"/>
          </w:tcPr>
          <w:p w14:paraId="61518F18">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＞100</w:t>
            </w:r>
          </w:p>
        </w:tc>
        <w:tc>
          <w:tcPr>
            <w:tcW w:w="941" w:type="dxa"/>
            <w:tcBorders>
              <w:tl2br w:val="nil"/>
              <w:tr2bl w:val="nil"/>
            </w:tcBorders>
            <w:noWrap w:val="0"/>
            <w:vAlign w:val="center"/>
          </w:tcPr>
          <w:p w14:paraId="53794FC5">
            <w:pPr>
              <w:jc w:val="center"/>
              <w:rPr>
                <w:rFonts w:hint="eastAsia"/>
                <w:bCs/>
                <w:color w:val="auto"/>
                <w:sz w:val="21"/>
                <w:szCs w:val="21"/>
                <w:highlight w:val="none"/>
              </w:rPr>
            </w:pPr>
            <w:r>
              <w:rPr>
                <w:rFonts w:hint="eastAsia"/>
                <w:bCs/>
                <w:color w:val="auto"/>
                <w:sz w:val="21"/>
                <w:szCs w:val="21"/>
                <w:highlight w:val="none"/>
                <w:lang w:val="en-US" w:eastAsia="zh-CN"/>
              </w:rPr>
              <w:t>12</w:t>
            </w:r>
          </w:p>
        </w:tc>
        <w:tc>
          <w:tcPr>
            <w:tcW w:w="391" w:type="pct"/>
            <w:gridSpan w:val="2"/>
            <w:tcBorders>
              <w:tl2br w:val="nil"/>
              <w:tr2bl w:val="nil"/>
            </w:tcBorders>
            <w:noWrap w:val="0"/>
            <w:vAlign w:val="center"/>
          </w:tcPr>
          <w:p w14:paraId="7A0E1690">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＞100</w:t>
            </w:r>
          </w:p>
        </w:tc>
      </w:tr>
      <w:tr w14:paraId="5B0F2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40" w:hRule="atLeast"/>
          <w:jc w:val="center"/>
        </w:trPr>
        <w:tc>
          <w:tcPr>
            <w:tcW w:w="1249" w:type="pct"/>
            <w:gridSpan w:val="2"/>
            <w:tcBorders>
              <w:tl2br w:val="nil"/>
              <w:tr2bl w:val="nil"/>
            </w:tcBorders>
            <w:noWrap w:val="0"/>
            <w:vAlign w:val="center"/>
          </w:tcPr>
          <w:p w14:paraId="79445C39">
            <w:pPr>
              <w:jc w:val="center"/>
              <w:rPr>
                <w:rFonts w:hint="default" w:eastAsia="宋体"/>
                <w:bCs/>
                <w:color w:val="auto"/>
                <w:sz w:val="21"/>
                <w:szCs w:val="21"/>
                <w:highlight w:val="none"/>
                <w:lang w:val="en-US" w:eastAsia="zh-CN"/>
              </w:rPr>
            </w:pPr>
            <w:r>
              <w:rPr>
                <w:rFonts w:hint="eastAsia"/>
                <w:bCs/>
                <w:color w:val="auto"/>
                <w:sz w:val="21"/>
                <w:szCs w:val="21"/>
                <w:highlight w:val="none"/>
              </w:rPr>
              <w:t>城市快速路、主干路</w:t>
            </w:r>
            <w:r>
              <w:rPr>
                <w:rFonts w:hint="eastAsia"/>
                <w:bCs/>
                <w:color w:val="auto"/>
                <w:sz w:val="21"/>
                <w:szCs w:val="21"/>
                <w:highlight w:val="none"/>
                <w:lang w:val="en-US" w:eastAsia="zh-CN"/>
              </w:rPr>
              <w:t>和高速公路</w:t>
            </w:r>
          </w:p>
        </w:tc>
        <w:tc>
          <w:tcPr>
            <w:tcW w:w="505" w:type="pct"/>
            <w:tcBorders>
              <w:tl2br w:val="nil"/>
              <w:tr2bl w:val="nil"/>
            </w:tcBorders>
            <w:noWrap w:val="0"/>
            <w:vAlign w:val="center"/>
          </w:tcPr>
          <w:p w14:paraId="271518D6">
            <w:pPr>
              <w:jc w:val="center"/>
              <w:rPr>
                <w:rFonts w:hint="default" w:eastAsia="宋体"/>
                <w:bCs/>
                <w:color w:val="auto"/>
                <w:sz w:val="21"/>
                <w:szCs w:val="21"/>
                <w:highlight w:val="none"/>
                <w:lang w:val="en-US" w:eastAsia="zh-CN"/>
              </w:rPr>
            </w:pPr>
            <w:r>
              <w:rPr>
                <w:rFonts w:hint="eastAsia" w:eastAsia="宋体"/>
                <w:bCs/>
                <w:color w:val="auto"/>
                <w:sz w:val="21"/>
                <w:szCs w:val="21"/>
                <w:highlight w:val="none"/>
                <w:lang w:val="en-US" w:eastAsia="zh-CN"/>
              </w:rPr>
              <w:t>15</w:t>
            </w:r>
          </w:p>
        </w:tc>
        <w:tc>
          <w:tcPr>
            <w:tcW w:w="455" w:type="pct"/>
            <w:tcBorders>
              <w:tl2br w:val="nil"/>
              <w:tr2bl w:val="nil"/>
            </w:tcBorders>
            <w:noWrap w:val="0"/>
            <w:vAlign w:val="center"/>
          </w:tcPr>
          <w:p w14:paraId="1E9E41D7">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48.74</w:t>
            </w:r>
          </w:p>
        </w:tc>
        <w:tc>
          <w:tcPr>
            <w:tcW w:w="430" w:type="pct"/>
            <w:tcBorders>
              <w:tl2br w:val="nil"/>
              <w:tr2bl w:val="nil"/>
            </w:tcBorders>
            <w:noWrap w:val="0"/>
            <w:vAlign w:val="center"/>
          </w:tcPr>
          <w:p w14:paraId="2EADB8A9">
            <w:pPr>
              <w:jc w:val="center"/>
              <w:rPr>
                <w:rFonts w:hint="default"/>
                <w:bCs/>
                <w:color w:val="auto"/>
                <w:sz w:val="21"/>
                <w:szCs w:val="21"/>
                <w:highlight w:val="none"/>
                <w:lang w:val="en-US"/>
              </w:rPr>
            </w:pPr>
            <w:r>
              <w:rPr>
                <w:rFonts w:hint="eastAsia"/>
                <w:bCs/>
                <w:color w:val="auto"/>
                <w:sz w:val="21"/>
                <w:szCs w:val="21"/>
                <w:highlight w:val="none"/>
                <w:lang w:val="en-US" w:eastAsia="zh-CN"/>
              </w:rPr>
              <w:t>15</w:t>
            </w:r>
          </w:p>
        </w:tc>
        <w:tc>
          <w:tcPr>
            <w:tcW w:w="448" w:type="pct"/>
            <w:tcBorders>
              <w:tl2br w:val="nil"/>
              <w:tr2bl w:val="nil"/>
            </w:tcBorders>
            <w:noWrap w:val="0"/>
            <w:vAlign w:val="center"/>
          </w:tcPr>
          <w:p w14:paraId="10887885">
            <w:pPr>
              <w:jc w:val="center"/>
              <w:rPr>
                <w:rFonts w:hint="default"/>
                <w:bCs/>
                <w:color w:val="auto"/>
                <w:sz w:val="21"/>
                <w:szCs w:val="21"/>
                <w:highlight w:val="none"/>
                <w:lang w:val="en-US" w:eastAsia="zh-CN"/>
              </w:rPr>
            </w:pPr>
            <w:r>
              <w:rPr>
                <w:rFonts w:hint="eastAsia"/>
                <w:bCs/>
                <w:color w:val="auto"/>
                <w:sz w:val="21"/>
                <w:szCs w:val="21"/>
                <w:highlight w:val="none"/>
                <w:lang w:val="en-US" w:eastAsia="zh-CN"/>
              </w:rPr>
              <w:t>48.99</w:t>
            </w:r>
          </w:p>
        </w:tc>
        <w:tc>
          <w:tcPr>
            <w:tcW w:w="558" w:type="pct"/>
            <w:tcBorders>
              <w:tl2br w:val="nil"/>
              <w:tr2bl w:val="nil"/>
            </w:tcBorders>
            <w:noWrap w:val="0"/>
            <w:vAlign w:val="center"/>
          </w:tcPr>
          <w:p w14:paraId="57E9A884">
            <w:pPr>
              <w:jc w:val="center"/>
              <w:rPr>
                <w:rFonts w:hint="eastAsia" w:ascii="宋体" w:eastAsia="宋体"/>
                <w:bCs/>
                <w:color w:val="auto"/>
                <w:sz w:val="21"/>
                <w:szCs w:val="21"/>
                <w:highlight w:val="none"/>
                <w:lang w:val="en-US" w:eastAsia="zh-CN" w:bidi="ar-SA"/>
              </w:rPr>
            </w:pPr>
            <w:r>
              <w:rPr>
                <w:rFonts w:hint="eastAsia" w:eastAsia="宋体"/>
                <w:bCs/>
                <w:color w:val="auto"/>
                <w:sz w:val="21"/>
                <w:szCs w:val="21"/>
                <w:highlight w:val="none"/>
                <w:lang w:val="en-US" w:eastAsia="zh-CN"/>
              </w:rPr>
              <w:t>6</w:t>
            </w:r>
          </w:p>
        </w:tc>
        <w:tc>
          <w:tcPr>
            <w:tcW w:w="703" w:type="dxa"/>
            <w:tcBorders>
              <w:tl2br w:val="nil"/>
              <w:tr2bl w:val="nil"/>
            </w:tcBorders>
            <w:noWrap w:val="0"/>
            <w:vAlign w:val="center"/>
          </w:tcPr>
          <w:p w14:paraId="3859C63E">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60.73</w:t>
            </w:r>
          </w:p>
        </w:tc>
        <w:tc>
          <w:tcPr>
            <w:tcW w:w="941" w:type="dxa"/>
            <w:tcBorders>
              <w:tl2br w:val="nil"/>
              <w:tr2bl w:val="nil"/>
            </w:tcBorders>
            <w:noWrap w:val="0"/>
            <w:vAlign w:val="center"/>
          </w:tcPr>
          <w:p w14:paraId="389D4479">
            <w:pPr>
              <w:jc w:val="center"/>
              <w:rPr>
                <w:rFonts w:hint="eastAsia"/>
                <w:bCs/>
                <w:color w:val="auto"/>
                <w:sz w:val="21"/>
                <w:szCs w:val="21"/>
                <w:highlight w:val="none"/>
              </w:rPr>
            </w:pPr>
            <w:r>
              <w:rPr>
                <w:rFonts w:hint="eastAsia" w:eastAsia="宋体"/>
                <w:bCs/>
                <w:color w:val="auto"/>
                <w:sz w:val="21"/>
                <w:szCs w:val="21"/>
                <w:highlight w:val="none"/>
                <w:lang w:val="en-US" w:eastAsia="zh-CN"/>
              </w:rPr>
              <w:t>6</w:t>
            </w:r>
          </w:p>
        </w:tc>
        <w:tc>
          <w:tcPr>
            <w:tcW w:w="391" w:type="pct"/>
            <w:gridSpan w:val="2"/>
            <w:tcBorders>
              <w:tl2br w:val="nil"/>
              <w:tr2bl w:val="nil"/>
            </w:tcBorders>
            <w:noWrap w:val="0"/>
            <w:vAlign w:val="center"/>
          </w:tcPr>
          <w:p w14:paraId="16240DE8">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＞100</w:t>
            </w:r>
          </w:p>
        </w:tc>
      </w:tr>
      <w:tr w14:paraId="6B3F5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40" w:hRule="atLeast"/>
          <w:jc w:val="center"/>
        </w:trPr>
        <w:tc>
          <w:tcPr>
            <w:tcW w:w="1249" w:type="pct"/>
            <w:gridSpan w:val="2"/>
            <w:tcBorders>
              <w:tl2br w:val="nil"/>
              <w:tr2bl w:val="nil"/>
            </w:tcBorders>
            <w:noWrap w:val="0"/>
            <w:vAlign w:val="center"/>
          </w:tcPr>
          <w:p w14:paraId="28C4F639">
            <w:pPr>
              <w:jc w:val="center"/>
              <w:rPr>
                <w:rFonts w:hint="eastAsia"/>
                <w:bCs/>
                <w:color w:val="auto"/>
                <w:sz w:val="21"/>
                <w:szCs w:val="21"/>
                <w:highlight w:val="none"/>
              </w:rPr>
            </w:pPr>
            <w:r>
              <w:rPr>
                <w:rFonts w:hint="eastAsia"/>
                <w:bCs/>
                <w:color w:val="auto"/>
                <w:sz w:val="21"/>
                <w:szCs w:val="21"/>
                <w:highlight w:val="none"/>
                <w:lang w:val="en-US" w:eastAsia="zh-CN"/>
              </w:rPr>
              <w:t>一级公路、二级公路</w:t>
            </w:r>
          </w:p>
        </w:tc>
        <w:tc>
          <w:tcPr>
            <w:tcW w:w="505" w:type="pct"/>
            <w:tcBorders>
              <w:tl2br w:val="nil"/>
              <w:tr2bl w:val="nil"/>
            </w:tcBorders>
            <w:noWrap w:val="0"/>
            <w:vAlign w:val="center"/>
          </w:tcPr>
          <w:p w14:paraId="1E40190C">
            <w:pPr>
              <w:jc w:val="center"/>
              <w:rPr>
                <w:rFonts w:hint="eastAsia" w:eastAsia="宋体"/>
                <w:bCs/>
                <w:color w:val="auto"/>
                <w:sz w:val="21"/>
                <w:szCs w:val="21"/>
                <w:highlight w:val="none"/>
                <w:lang w:val="en-US" w:eastAsia="zh-CN"/>
              </w:rPr>
            </w:pPr>
            <w:r>
              <w:rPr>
                <w:rFonts w:hint="eastAsia" w:eastAsia="宋体"/>
                <w:bCs/>
                <w:color w:val="auto"/>
                <w:sz w:val="21"/>
                <w:szCs w:val="21"/>
                <w:highlight w:val="none"/>
                <w:lang w:val="en-US" w:eastAsia="zh-CN"/>
              </w:rPr>
              <w:t>15</w:t>
            </w:r>
          </w:p>
        </w:tc>
        <w:tc>
          <w:tcPr>
            <w:tcW w:w="455" w:type="pct"/>
            <w:tcBorders>
              <w:tl2br w:val="nil"/>
              <w:tr2bl w:val="nil"/>
            </w:tcBorders>
            <w:noWrap w:val="0"/>
            <w:vAlign w:val="center"/>
          </w:tcPr>
          <w:p w14:paraId="1CB51256">
            <w:pPr>
              <w:jc w:val="center"/>
              <w:rPr>
                <w:rFonts w:hint="eastAsia"/>
                <w:bCs/>
                <w:color w:val="auto"/>
                <w:sz w:val="21"/>
                <w:szCs w:val="21"/>
                <w:highlight w:val="none"/>
              </w:rPr>
            </w:pPr>
            <w:r>
              <w:rPr>
                <w:rFonts w:hint="eastAsia"/>
                <w:bCs/>
                <w:color w:val="auto"/>
                <w:sz w:val="21"/>
                <w:szCs w:val="21"/>
                <w:highlight w:val="none"/>
                <w:lang w:val="en-US" w:eastAsia="zh-CN"/>
              </w:rPr>
              <w:t>＞100</w:t>
            </w:r>
          </w:p>
        </w:tc>
        <w:tc>
          <w:tcPr>
            <w:tcW w:w="430" w:type="pct"/>
            <w:tcBorders>
              <w:tl2br w:val="nil"/>
              <w:tr2bl w:val="nil"/>
            </w:tcBorders>
            <w:noWrap w:val="0"/>
            <w:vAlign w:val="center"/>
          </w:tcPr>
          <w:p w14:paraId="0B7B7790">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15</w:t>
            </w:r>
          </w:p>
        </w:tc>
        <w:tc>
          <w:tcPr>
            <w:tcW w:w="448" w:type="pct"/>
            <w:tcBorders>
              <w:tl2br w:val="nil"/>
              <w:tr2bl w:val="nil"/>
            </w:tcBorders>
            <w:noWrap w:val="0"/>
            <w:vAlign w:val="center"/>
          </w:tcPr>
          <w:p w14:paraId="39DABDC8">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＞100</w:t>
            </w:r>
          </w:p>
        </w:tc>
        <w:tc>
          <w:tcPr>
            <w:tcW w:w="558" w:type="pct"/>
            <w:tcBorders>
              <w:tl2br w:val="nil"/>
              <w:tr2bl w:val="nil"/>
            </w:tcBorders>
            <w:noWrap w:val="0"/>
            <w:vAlign w:val="center"/>
          </w:tcPr>
          <w:p w14:paraId="27256B6B">
            <w:pPr>
              <w:jc w:val="center"/>
              <w:rPr>
                <w:rFonts w:hint="eastAsia" w:eastAsia="宋体"/>
                <w:bCs/>
                <w:color w:val="auto"/>
                <w:sz w:val="21"/>
                <w:szCs w:val="21"/>
                <w:highlight w:val="none"/>
                <w:lang w:val="en-US" w:eastAsia="zh-CN"/>
              </w:rPr>
            </w:pPr>
            <w:r>
              <w:rPr>
                <w:rFonts w:hint="eastAsia" w:eastAsia="宋体"/>
                <w:bCs/>
                <w:color w:val="auto"/>
                <w:sz w:val="21"/>
                <w:szCs w:val="21"/>
                <w:highlight w:val="none"/>
                <w:lang w:val="en-US" w:eastAsia="zh-CN"/>
              </w:rPr>
              <w:t>6</w:t>
            </w:r>
          </w:p>
        </w:tc>
        <w:tc>
          <w:tcPr>
            <w:tcW w:w="703" w:type="dxa"/>
            <w:tcBorders>
              <w:tl2br w:val="nil"/>
              <w:tr2bl w:val="nil"/>
            </w:tcBorders>
            <w:noWrap w:val="0"/>
            <w:vAlign w:val="center"/>
          </w:tcPr>
          <w:p w14:paraId="41D984CC">
            <w:pPr>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＞100</w:t>
            </w:r>
          </w:p>
        </w:tc>
        <w:tc>
          <w:tcPr>
            <w:tcW w:w="941" w:type="dxa"/>
            <w:tcBorders>
              <w:tl2br w:val="nil"/>
              <w:tr2bl w:val="nil"/>
            </w:tcBorders>
            <w:noWrap w:val="0"/>
            <w:vAlign w:val="center"/>
          </w:tcPr>
          <w:p w14:paraId="0DD05C02">
            <w:pPr>
              <w:jc w:val="center"/>
              <w:rPr>
                <w:rFonts w:hint="eastAsia"/>
                <w:bCs/>
                <w:color w:val="auto"/>
                <w:sz w:val="21"/>
                <w:szCs w:val="21"/>
                <w:highlight w:val="none"/>
                <w:lang w:val="en-US" w:eastAsia="zh-CN"/>
              </w:rPr>
            </w:pPr>
            <w:r>
              <w:rPr>
                <w:rFonts w:hint="eastAsia" w:eastAsia="宋体"/>
                <w:bCs/>
                <w:color w:val="auto"/>
                <w:sz w:val="21"/>
                <w:szCs w:val="21"/>
                <w:highlight w:val="none"/>
                <w:lang w:val="en-US" w:eastAsia="zh-CN"/>
              </w:rPr>
              <w:t>6</w:t>
            </w:r>
          </w:p>
        </w:tc>
        <w:tc>
          <w:tcPr>
            <w:tcW w:w="391" w:type="pct"/>
            <w:gridSpan w:val="2"/>
            <w:tcBorders>
              <w:tl2br w:val="nil"/>
              <w:tr2bl w:val="nil"/>
            </w:tcBorders>
            <w:noWrap w:val="0"/>
            <w:vAlign w:val="center"/>
          </w:tcPr>
          <w:p w14:paraId="6B7197EE">
            <w:pPr>
              <w:jc w:val="center"/>
              <w:rPr>
                <w:rFonts w:hint="default"/>
                <w:bCs/>
                <w:color w:val="auto"/>
                <w:sz w:val="21"/>
                <w:szCs w:val="21"/>
                <w:highlight w:val="none"/>
                <w:lang w:val="en-US" w:eastAsia="zh-CN"/>
              </w:rPr>
            </w:pPr>
            <w:r>
              <w:rPr>
                <w:rFonts w:hint="eastAsia"/>
                <w:bCs/>
                <w:color w:val="auto"/>
                <w:sz w:val="21"/>
                <w:szCs w:val="21"/>
                <w:highlight w:val="none"/>
                <w:lang w:val="en-US" w:eastAsia="zh-CN"/>
              </w:rPr>
              <w:t>72.68</w:t>
            </w:r>
          </w:p>
        </w:tc>
      </w:tr>
      <w:tr w14:paraId="32C43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75" w:hRule="atLeast"/>
          <w:jc w:val="center"/>
        </w:trPr>
        <w:tc>
          <w:tcPr>
            <w:tcW w:w="1249" w:type="pct"/>
            <w:gridSpan w:val="2"/>
            <w:tcBorders>
              <w:tl2br w:val="nil"/>
              <w:tr2bl w:val="nil"/>
            </w:tcBorders>
            <w:noWrap w:val="0"/>
            <w:vAlign w:val="center"/>
          </w:tcPr>
          <w:p w14:paraId="3CB6CE67">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城市</w:t>
            </w:r>
            <w:r>
              <w:rPr>
                <w:rFonts w:hint="eastAsia"/>
                <w:bCs/>
                <w:color w:val="auto"/>
                <w:sz w:val="21"/>
                <w:szCs w:val="21"/>
                <w:highlight w:val="none"/>
              </w:rPr>
              <w:t>次干路、支路</w:t>
            </w:r>
            <w:r>
              <w:rPr>
                <w:rFonts w:hint="eastAsia"/>
                <w:bCs/>
                <w:color w:val="auto"/>
                <w:sz w:val="21"/>
                <w:szCs w:val="21"/>
                <w:highlight w:val="none"/>
                <w:lang w:val="en-US" w:eastAsia="zh-CN"/>
              </w:rPr>
              <w:t>和三级公路、四级公路</w:t>
            </w:r>
          </w:p>
        </w:tc>
        <w:tc>
          <w:tcPr>
            <w:tcW w:w="505" w:type="pct"/>
            <w:tcBorders>
              <w:tl2br w:val="nil"/>
              <w:tr2bl w:val="nil"/>
            </w:tcBorders>
            <w:noWrap w:val="0"/>
            <w:vAlign w:val="center"/>
          </w:tcPr>
          <w:p w14:paraId="026CE5B8">
            <w:pPr>
              <w:jc w:val="center"/>
              <w:rPr>
                <w:rFonts w:hint="default" w:eastAsia="宋体"/>
                <w:bCs/>
                <w:color w:val="auto"/>
                <w:sz w:val="21"/>
                <w:szCs w:val="21"/>
                <w:highlight w:val="none"/>
                <w:lang w:val="en-US" w:eastAsia="zh-CN"/>
              </w:rPr>
            </w:pPr>
            <w:r>
              <w:rPr>
                <w:rFonts w:hint="eastAsia" w:eastAsia="宋体"/>
                <w:bCs/>
                <w:color w:val="auto"/>
                <w:sz w:val="21"/>
                <w:szCs w:val="21"/>
                <w:highlight w:val="none"/>
                <w:lang w:val="en-US" w:eastAsia="zh-CN"/>
              </w:rPr>
              <w:t>10</w:t>
            </w:r>
          </w:p>
        </w:tc>
        <w:tc>
          <w:tcPr>
            <w:tcW w:w="780" w:type="dxa"/>
            <w:tcBorders>
              <w:tl2br w:val="nil"/>
              <w:tr2bl w:val="nil"/>
            </w:tcBorders>
            <w:noWrap w:val="0"/>
            <w:vAlign w:val="center"/>
          </w:tcPr>
          <w:p w14:paraId="156E0F42">
            <w:pPr>
              <w:jc w:val="center"/>
              <w:rPr>
                <w:rFonts w:hint="eastAsia"/>
                <w:bCs/>
                <w:color w:val="auto"/>
                <w:sz w:val="21"/>
                <w:szCs w:val="21"/>
                <w:highlight w:val="none"/>
              </w:rPr>
            </w:pPr>
            <w:r>
              <w:rPr>
                <w:rFonts w:hint="eastAsia"/>
                <w:bCs/>
                <w:color w:val="auto"/>
                <w:sz w:val="21"/>
                <w:szCs w:val="21"/>
                <w:highlight w:val="none"/>
                <w:lang w:val="en-US" w:eastAsia="zh-CN"/>
              </w:rPr>
              <w:t>/</w:t>
            </w:r>
          </w:p>
        </w:tc>
        <w:tc>
          <w:tcPr>
            <w:tcW w:w="430" w:type="pct"/>
            <w:tcBorders>
              <w:tl2br w:val="nil"/>
              <w:tr2bl w:val="nil"/>
            </w:tcBorders>
            <w:noWrap w:val="0"/>
            <w:vAlign w:val="center"/>
          </w:tcPr>
          <w:p w14:paraId="3848BD04">
            <w:pPr>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10</w:t>
            </w:r>
          </w:p>
        </w:tc>
        <w:tc>
          <w:tcPr>
            <w:tcW w:w="767" w:type="dxa"/>
            <w:tcBorders>
              <w:tl2br w:val="nil"/>
              <w:tr2bl w:val="nil"/>
            </w:tcBorders>
            <w:noWrap w:val="0"/>
            <w:vAlign w:val="center"/>
          </w:tcPr>
          <w:p w14:paraId="11A842DE">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w:t>
            </w:r>
          </w:p>
        </w:tc>
        <w:tc>
          <w:tcPr>
            <w:tcW w:w="558" w:type="pct"/>
            <w:tcBorders>
              <w:tl2br w:val="nil"/>
              <w:tr2bl w:val="nil"/>
            </w:tcBorders>
            <w:noWrap w:val="0"/>
            <w:vAlign w:val="center"/>
          </w:tcPr>
          <w:p w14:paraId="5AEB8D2F">
            <w:pPr>
              <w:jc w:val="center"/>
              <w:rPr>
                <w:rFonts w:hint="eastAsia" w:ascii="宋体" w:eastAsia="宋体"/>
                <w:bCs/>
                <w:color w:val="auto"/>
                <w:sz w:val="21"/>
                <w:szCs w:val="21"/>
                <w:highlight w:val="none"/>
                <w:lang w:val="en-US" w:eastAsia="zh-CN" w:bidi="ar-SA"/>
              </w:rPr>
            </w:pPr>
            <w:r>
              <w:rPr>
                <w:rFonts w:hint="eastAsia" w:eastAsia="宋体"/>
                <w:bCs/>
                <w:color w:val="auto"/>
                <w:sz w:val="21"/>
                <w:szCs w:val="21"/>
                <w:highlight w:val="none"/>
                <w:lang w:val="en-US" w:eastAsia="zh-CN"/>
              </w:rPr>
              <w:t>5</w:t>
            </w:r>
          </w:p>
        </w:tc>
        <w:tc>
          <w:tcPr>
            <w:tcW w:w="703" w:type="dxa"/>
            <w:tcBorders>
              <w:tl2br w:val="nil"/>
              <w:tr2bl w:val="nil"/>
            </w:tcBorders>
            <w:noWrap w:val="0"/>
            <w:vAlign w:val="center"/>
          </w:tcPr>
          <w:p w14:paraId="72EECD5F">
            <w:pPr>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w:t>
            </w:r>
          </w:p>
        </w:tc>
        <w:tc>
          <w:tcPr>
            <w:tcW w:w="941" w:type="dxa"/>
            <w:tcBorders>
              <w:tl2br w:val="nil"/>
              <w:tr2bl w:val="nil"/>
            </w:tcBorders>
            <w:noWrap w:val="0"/>
            <w:vAlign w:val="center"/>
          </w:tcPr>
          <w:p w14:paraId="4C5B99DD">
            <w:pPr>
              <w:jc w:val="center"/>
              <w:rPr>
                <w:rFonts w:hint="default" w:eastAsia="宋体"/>
                <w:bCs/>
                <w:color w:val="auto"/>
                <w:sz w:val="21"/>
                <w:szCs w:val="21"/>
                <w:highlight w:val="none"/>
                <w:lang w:val="en-US" w:eastAsia="zh-CN"/>
              </w:rPr>
            </w:pPr>
            <w:r>
              <w:rPr>
                <w:rFonts w:hint="eastAsia" w:eastAsia="宋体"/>
                <w:bCs/>
                <w:color w:val="auto"/>
                <w:sz w:val="21"/>
                <w:szCs w:val="21"/>
                <w:highlight w:val="none"/>
                <w:lang w:val="en-US" w:eastAsia="zh-CN"/>
              </w:rPr>
              <w:t>5</w:t>
            </w:r>
          </w:p>
        </w:tc>
        <w:tc>
          <w:tcPr>
            <w:tcW w:w="669" w:type="dxa"/>
            <w:gridSpan w:val="2"/>
            <w:tcBorders>
              <w:tl2br w:val="nil"/>
              <w:tr2bl w:val="nil"/>
            </w:tcBorders>
            <w:noWrap w:val="0"/>
            <w:vAlign w:val="center"/>
          </w:tcPr>
          <w:p w14:paraId="7CF12AD1">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w:t>
            </w:r>
          </w:p>
        </w:tc>
      </w:tr>
      <w:tr w14:paraId="6B20F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75" w:hRule="atLeast"/>
          <w:jc w:val="center"/>
        </w:trPr>
        <w:tc>
          <w:tcPr>
            <w:tcW w:w="1249" w:type="pct"/>
            <w:gridSpan w:val="2"/>
            <w:tcBorders>
              <w:tl2br w:val="nil"/>
              <w:tr2bl w:val="nil"/>
            </w:tcBorders>
            <w:noWrap w:val="0"/>
            <w:vAlign w:val="center"/>
          </w:tcPr>
          <w:p w14:paraId="44C9712F">
            <w:pPr>
              <w:jc w:val="center"/>
              <w:rPr>
                <w:rFonts w:hint="eastAsia"/>
                <w:bCs/>
                <w:color w:val="auto"/>
                <w:sz w:val="21"/>
                <w:szCs w:val="21"/>
                <w:highlight w:val="none"/>
              </w:rPr>
            </w:pPr>
            <w:r>
              <w:rPr>
                <w:rFonts w:hint="eastAsia"/>
                <w:bCs/>
                <w:color w:val="auto"/>
                <w:sz w:val="21"/>
                <w:szCs w:val="21"/>
                <w:highlight w:val="none"/>
              </w:rPr>
              <w:t>架空通讯线</w:t>
            </w:r>
          </w:p>
        </w:tc>
        <w:tc>
          <w:tcPr>
            <w:tcW w:w="505" w:type="pct"/>
            <w:tcBorders>
              <w:tl2br w:val="nil"/>
              <w:tr2bl w:val="nil"/>
            </w:tcBorders>
            <w:noWrap w:val="0"/>
            <w:vAlign w:val="center"/>
          </w:tcPr>
          <w:p w14:paraId="6F000216">
            <w:pPr>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1.0H</w:t>
            </w:r>
          </w:p>
        </w:tc>
        <w:tc>
          <w:tcPr>
            <w:tcW w:w="780" w:type="dxa"/>
            <w:tcBorders>
              <w:tl2br w:val="nil"/>
              <w:tr2bl w:val="nil"/>
            </w:tcBorders>
            <w:noWrap w:val="0"/>
            <w:vAlign w:val="center"/>
          </w:tcPr>
          <w:p w14:paraId="5B973852">
            <w:pPr>
              <w:jc w:val="center"/>
              <w:rPr>
                <w:rFonts w:hint="eastAsia"/>
                <w:bCs/>
                <w:color w:val="auto"/>
                <w:sz w:val="21"/>
                <w:szCs w:val="21"/>
                <w:highlight w:val="none"/>
              </w:rPr>
            </w:pPr>
            <w:r>
              <w:rPr>
                <w:rFonts w:hint="eastAsia"/>
                <w:bCs/>
                <w:color w:val="auto"/>
                <w:sz w:val="21"/>
                <w:szCs w:val="21"/>
                <w:highlight w:val="none"/>
                <w:lang w:val="en-US" w:eastAsia="zh-CN"/>
              </w:rPr>
              <w:t>/</w:t>
            </w:r>
          </w:p>
        </w:tc>
        <w:tc>
          <w:tcPr>
            <w:tcW w:w="430" w:type="pct"/>
            <w:tcBorders>
              <w:tl2br w:val="nil"/>
              <w:tr2bl w:val="nil"/>
            </w:tcBorders>
            <w:noWrap w:val="0"/>
            <w:vAlign w:val="center"/>
          </w:tcPr>
          <w:p w14:paraId="6DA72D45">
            <w:pPr>
              <w:jc w:val="center"/>
              <w:rPr>
                <w:rFonts w:hint="eastAsia"/>
                <w:bCs/>
                <w:color w:val="auto"/>
                <w:sz w:val="21"/>
                <w:szCs w:val="21"/>
                <w:highlight w:val="none"/>
              </w:rPr>
            </w:pPr>
            <w:r>
              <w:rPr>
                <w:rFonts w:hint="eastAsia"/>
                <w:bCs/>
                <w:color w:val="auto"/>
                <w:sz w:val="21"/>
                <w:szCs w:val="21"/>
                <w:highlight w:val="none"/>
                <w:lang w:val="en-US" w:eastAsia="zh-CN"/>
              </w:rPr>
              <w:t>0.75H</w:t>
            </w:r>
          </w:p>
        </w:tc>
        <w:tc>
          <w:tcPr>
            <w:tcW w:w="767" w:type="dxa"/>
            <w:tcBorders>
              <w:tl2br w:val="nil"/>
              <w:tr2bl w:val="nil"/>
            </w:tcBorders>
            <w:noWrap w:val="0"/>
            <w:vAlign w:val="center"/>
          </w:tcPr>
          <w:p w14:paraId="64735793">
            <w:pPr>
              <w:jc w:val="center"/>
              <w:rPr>
                <w:rFonts w:hint="eastAsia"/>
                <w:bCs/>
                <w:color w:val="auto"/>
                <w:sz w:val="21"/>
                <w:szCs w:val="21"/>
                <w:highlight w:val="none"/>
              </w:rPr>
            </w:pPr>
            <w:r>
              <w:rPr>
                <w:rFonts w:hint="eastAsia"/>
                <w:bCs/>
                <w:color w:val="auto"/>
                <w:sz w:val="21"/>
                <w:szCs w:val="21"/>
                <w:highlight w:val="none"/>
                <w:lang w:val="en-US" w:eastAsia="zh-CN"/>
              </w:rPr>
              <w:t>/</w:t>
            </w:r>
          </w:p>
        </w:tc>
        <w:tc>
          <w:tcPr>
            <w:tcW w:w="558" w:type="pct"/>
            <w:tcBorders>
              <w:tl2br w:val="nil"/>
              <w:tr2bl w:val="nil"/>
            </w:tcBorders>
            <w:noWrap w:val="0"/>
            <w:vAlign w:val="center"/>
          </w:tcPr>
          <w:p w14:paraId="041835EE">
            <w:pPr>
              <w:jc w:val="center"/>
              <w:rPr>
                <w:rFonts w:hint="eastAsia" w:ascii="宋体" w:eastAsia="宋体"/>
                <w:bCs/>
                <w:color w:val="auto"/>
                <w:sz w:val="21"/>
                <w:szCs w:val="21"/>
                <w:highlight w:val="none"/>
                <w:lang w:val="en-US" w:eastAsia="zh-CN" w:bidi="ar-SA"/>
              </w:rPr>
            </w:pPr>
            <w:r>
              <w:rPr>
                <w:rFonts w:hint="eastAsia"/>
                <w:bCs/>
                <w:color w:val="auto"/>
                <w:sz w:val="21"/>
                <w:szCs w:val="21"/>
                <w:highlight w:val="none"/>
                <w:lang w:val="en-US" w:eastAsia="zh-CN"/>
              </w:rPr>
              <w:t>0.75H</w:t>
            </w:r>
          </w:p>
        </w:tc>
        <w:tc>
          <w:tcPr>
            <w:tcW w:w="703" w:type="dxa"/>
            <w:tcBorders>
              <w:tl2br w:val="nil"/>
              <w:tr2bl w:val="nil"/>
            </w:tcBorders>
            <w:noWrap w:val="0"/>
            <w:vAlign w:val="center"/>
          </w:tcPr>
          <w:p w14:paraId="15117047">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w:t>
            </w:r>
          </w:p>
        </w:tc>
        <w:tc>
          <w:tcPr>
            <w:tcW w:w="941" w:type="dxa"/>
            <w:tcBorders>
              <w:tl2br w:val="nil"/>
              <w:tr2bl w:val="nil"/>
            </w:tcBorders>
            <w:noWrap w:val="0"/>
            <w:vAlign w:val="center"/>
          </w:tcPr>
          <w:p w14:paraId="129A4A96">
            <w:pPr>
              <w:jc w:val="center"/>
              <w:rPr>
                <w:rFonts w:hint="eastAsia"/>
                <w:bCs/>
                <w:color w:val="auto"/>
                <w:sz w:val="21"/>
                <w:szCs w:val="21"/>
                <w:highlight w:val="none"/>
              </w:rPr>
            </w:pPr>
            <w:r>
              <w:rPr>
                <w:rFonts w:hint="eastAsia"/>
                <w:bCs/>
                <w:color w:val="auto"/>
                <w:sz w:val="21"/>
                <w:szCs w:val="21"/>
                <w:highlight w:val="none"/>
                <w:lang w:val="en-US" w:eastAsia="zh-CN"/>
              </w:rPr>
              <w:t>0.75H</w:t>
            </w:r>
          </w:p>
        </w:tc>
        <w:tc>
          <w:tcPr>
            <w:tcW w:w="669" w:type="dxa"/>
            <w:gridSpan w:val="2"/>
            <w:tcBorders>
              <w:tl2br w:val="nil"/>
              <w:tr2bl w:val="nil"/>
            </w:tcBorders>
            <w:noWrap w:val="0"/>
            <w:vAlign w:val="center"/>
          </w:tcPr>
          <w:p w14:paraId="6074A425">
            <w:pPr>
              <w:jc w:val="center"/>
              <w:rPr>
                <w:rFonts w:hint="eastAsia"/>
                <w:bCs/>
                <w:color w:val="auto"/>
                <w:sz w:val="21"/>
                <w:szCs w:val="21"/>
                <w:highlight w:val="none"/>
              </w:rPr>
            </w:pPr>
            <w:r>
              <w:rPr>
                <w:rFonts w:hint="eastAsia"/>
                <w:bCs/>
                <w:color w:val="auto"/>
                <w:sz w:val="21"/>
                <w:szCs w:val="21"/>
                <w:highlight w:val="none"/>
                <w:lang w:val="en-US" w:eastAsia="zh-CN"/>
              </w:rPr>
              <w:t>/</w:t>
            </w:r>
          </w:p>
        </w:tc>
      </w:tr>
      <w:tr w14:paraId="48882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65" w:hRule="atLeast"/>
          <w:jc w:val="center"/>
        </w:trPr>
        <w:tc>
          <w:tcPr>
            <w:tcW w:w="779" w:type="pct"/>
            <w:vMerge w:val="restart"/>
            <w:tcBorders>
              <w:tl2br w:val="nil"/>
              <w:tr2bl w:val="nil"/>
            </w:tcBorders>
            <w:noWrap w:val="0"/>
            <w:vAlign w:val="center"/>
          </w:tcPr>
          <w:p w14:paraId="38220B40">
            <w:pPr>
              <w:jc w:val="center"/>
              <w:rPr>
                <w:rFonts w:hint="eastAsia"/>
                <w:bCs/>
                <w:color w:val="auto"/>
                <w:sz w:val="21"/>
                <w:szCs w:val="21"/>
                <w:highlight w:val="none"/>
              </w:rPr>
            </w:pPr>
            <w:r>
              <w:rPr>
                <w:rFonts w:hint="eastAsia"/>
                <w:bCs/>
                <w:color w:val="auto"/>
                <w:sz w:val="21"/>
                <w:szCs w:val="21"/>
                <w:highlight w:val="none"/>
              </w:rPr>
              <w:t>架空电力线路</w:t>
            </w:r>
          </w:p>
        </w:tc>
        <w:tc>
          <w:tcPr>
            <w:tcW w:w="470" w:type="pct"/>
            <w:tcBorders>
              <w:tl2br w:val="nil"/>
              <w:tr2bl w:val="nil"/>
            </w:tcBorders>
            <w:noWrap w:val="0"/>
            <w:vAlign w:val="center"/>
          </w:tcPr>
          <w:p w14:paraId="3A9C9941">
            <w:pPr>
              <w:jc w:val="center"/>
              <w:rPr>
                <w:rFonts w:hint="eastAsia"/>
                <w:bCs/>
                <w:color w:val="auto"/>
                <w:sz w:val="21"/>
                <w:szCs w:val="21"/>
                <w:highlight w:val="none"/>
              </w:rPr>
            </w:pPr>
            <w:r>
              <w:rPr>
                <w:rFonts w:hint="eastAsia"/>
                <w:bCs/>
                <w:color w:val="auto"/>
                <w:sz w:val="21"/>
                <w:szCs w:val="21"/>
                <w:highlight w:val="none"/>
              </w:rPr>
              <w:t>无绝缘层</w:t>
            </w:r>
          </w:p>
        </w:tc>
        <w:tc>
          <w:tcPr>
            <w:tcW w:w="505" w:type="pct"/>
            <w:tcBorders>
              <w:tl2br w:val="nil"/>
              <w:tr2bl w:val="nil"/>
            </w:tcBorders>
            <w:noWrap w:val="0"/>
            <w:vAlign w:val="center"/>
          </w:tcPr>
          <w:p w14:paraId="3FA32C5D">
            <w:pPr>
              <w:jc w:val="center"/>
              <w:rPr>
                <w:rFonts w:hint="eastAsia"/>
                <w:bCs/>
                <w:color w:val="auto"/>
                <w:sz w:val="21"/>
                <w:szCs w:val="21"/>
                <w:highlight w:val="none"/>
              </w:rPr>
            </w:pPr>
            <w:r>
              <w:rPr>
                <w:rFonts w:hint="eastAsia"/>
                <w:bCs/>
                <w:color w:val="auto"/>
                <w:sz w:val="21"/>
                <w:szCs w:val="21"/>
                <w:highlight w:val="none"/>
                <w:lang w:val="en-US" w:eastAsia="zh-CN"/>
              </w:rPr>
              <w:t>1.5H</w:t>
            </w:r>
          </w:p>
        </w:tc>
        <w:tc>
          <w:tcPr>
            <w:tcW w:w="780" w:type="dxa"/>
            <w:tcBorders>
              <w:tl2br w:val="nil"/>
              <w:tr2bl w:val="nil"/>
            </w:tcBorders>
            <w:noWrap w:val="0"/>
            <w:vAlign w:val="center"/>
          </w:tcPr>
          <w:p w14:paraId="2B881F9D">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w:t>
            </w:r>
          </w:p>
        </w:tc>
        <w:tc>
          <w:tcPr>
            <w:tcW w:w="430" w:type="pct"/>
            <w:tcBorders>
              <w:tl2br w:val="nil"/>
              <w:tr2bl w:val="nil"/>
            </w:tcBorders>
            <w:noWrap w:val="0"/>
            <w:vAlign w:val="center"/>
          </w:tcPr>
          <w:p w14:paraId="05F706F2">
            <w:pPr>
              <w:jc w:val="center"/>
              <w:rPr>
                <w:rFonts w:hint="eastAsia"/>
                <w:bCs/>
                <w:color w:val="auto"/>
                <w:sz w:val="21"/>
                <w:szCs w:val="21"/>
                <w:highlight w:val="none"/>
              </w:rPr>
            </w:pPr>
            <w:r>
              <w:rPr>
                <w:rFonts w:hint="eastAsia"/>
                <w:bCs/>
                <w:color w:val="auto"/>
                <w:sz w:val="21"/>
                <w:szCs w:val="21"/>
                <w:highlight w:val="none"/>
                <w:lang w:val="en-US" w:eastAsia="zh-CN"/>
              </w:rPr>
              <w:t>1.0H</w:t>
            </w:r>
          </w:p>
        </w:tc>
        <w:tc>
          <w:tcPr>
            <w:tcW w:w="767" w:type="dxa"/>
            <w:tcBorders>
              <w:tl2br w:val="nil"/>
              <w:tr2bl w:val="nil"/>
            </w:tcBorders>
            <w:noWrap w:val="0"/>
            <w:vAlign w:val="center"/>
          </w:tcPr>
          <w:p w14:paraId="2B420E6A">
            <w:pPr>
              <w:jc w:val="center"/>
              <w:rPr>
                <w:rFonts w:hint="eastAsia"/>
                <w:bCs/>
                <w:color w:val="auto"/>
                <w:sz w:val="21"/>
                <w:szCs w:val="21"/>
                <w:highlight w:val="none"/>
              </w:rPr>
            </w:pPr>
            <w:r>
              <w:rPr>
                <w:rFonts w:hint="eastAsia"/>
                <w:bCs/>
                <w:color w:val="auto"/>
                <w:sz w:val="21"/>
                <w:szCs w:val="21"/>
                <w:highlight w:val="none"/>
                <w:lang w:val="en-US" w:eastAsia="zh-CN"/>
              </w:rPr>
              <w:t>/</w:t>
            </w:r>
          </w:p>
        </w:tc>
        <w:tc>
          <w:tcPr>
            <w:tcW w:w="558" w:type="pct"/>
            <w:tcBorders>
              <w:tl2br w:val="nil"/>
              <w:tr2bl w:val="nil"/>
            </w:tcBorders>
            <w:noWrap w:val="0"/>
            <w:vAlign w:val="center"/>
          </w:tcPr>
          <w:p w14:paraId="77F17B02">
            <w:pPr>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1.0H</w:t>
            </w:r>
          </w:p>
        </w:tc>
        <w:tc>
          <w:tcPr>
            <w:tcW w:w="703" w:type="dxa"/>
            <w:tcBorders>
              <w:tl2br w:val="nil"/>
              <w:tr2bl w:val="nil"/>
            </w:tcBorders>
            <w:noWrap w:val="0"/>
            <w:vAlign w:val="center"/>
          </w:tcPr>
          <w:p w14:paraId="3CD59207">
            <w:pPr>
              <w:jc w:val="center"/>
              <w:rPr>
                <w:rFonts w:hint="eastAsia"/>
                <w:bCs/>
                <w:color w:val="auto"/>
                <w:sz w:val="21"/>
                <w:szCs w:val="21"/>
                <w:highlight w:val="none"/>
                <w:lang w:val="en-US" w:eastAsia="zh-CN"/>
              </w:rPr>
            </w:pPr>
            <w:r>
              <w:rPr>
                <w:rFonts w:hint="eastAsia"/>
                <w:bCs/>
                <w:color w:val="auto"/>
                <w:sz w:val="21"/>
                <w:szCs w:val="21"/>
                <w:highlight w:val="none"/>
                <w:lang w:val="en-US" w:eastAsia="zh-CN"/>
              </w:rPr>
              <w:t>/</w:t>
            </w:r>
          </w:p>
        </w:tc>
        <w:tc>
          <w:tcPr>
            <w:tcW w:w="941" w:type="dxa"/>
            <w:tcBorders>
              <w:tl2br w:val="nil"/>
              <w:tr2bl w:val="nil"/>
            </w:tcBorders>
            <w:noWrap w:val="0"/>
            <w:vAlign w:val="center"/>
          </w:tcPr>
          <w:p w14:paraId="245558EB">
            <w:pPr>
              <w:jc w:val="center"/>
              <w:rPr>
                <w:rFonts w:hint="eastAsia"/>
                <w:bCs/>
                <w:color w:val="auto"/>
                <w:sz w:val="21"/>
                <w:szCs w:val="21"/>
                <w:highlight w:val="none"/>
              </w:rPr>
            </w:pPr>
            <w:r>
              <w:rPr>
                <w:rFonts w:hint="eastAsia"/>
                <w:bCs/>
                <w:color w:val="auto"/>
                <w:sz w:val="21"/>
                <w:szCs w:val="21"/>
                <w:highlight w:val="none"/>
                <w:lang w:val="en-US" w:eastAsia="zh-CN"/>
              </w:rPr>
              <w:t>1.0H</w:t>
            </w:r>
          </w:p>
        </w:tc>
        <w:tc>
          <w:tcPr>
            <w:tcW w:w="669" w:type="dxa"/>
            <w:gridSpan w:val="2"/>
            <w:tcBorders>
              <w:tl2br w:val="nil"/>
              <w:tr2bl w:val="nil"/>
            </w:tcBorders>
            <w:noWrap w:val="0"/>
            <w:vAlign w:val="center"/>
          </w:tcPr>
          <w:p w14:paraId="7D79AAFB">
            <w:pPr>
              <w:jc w:val="center"/>
              <w:rPr>
                <w:rFonts w:hint="eastAsia"/>
                <w:bCs/>
                <w:color w:val="auto"/>
                <w:sz w:val="21"/>
                <w:szCs w:val="21"/>
                <w:highlight w:val="none"/>
              </w:rPr>
            </w:pPr>
            <w:r>
              <w:rPr>
                <w:rFonts w:hint="eastAsia"/>
                <w:bCs/>
                <w:color w:val="auto"/>
                <w:sz w:val="21"/>
                <w:szCs w:val="21"/>
                <w:highlight w:val="none"/>
                <w:lang w:val="en-US" w:eastAsia="zh-CN"/>
              </w:rPr>
              <w:t>/</w:t>
            </w:r>
          </w:p>
        </w:tc>
      </w:tr>
      <w:tr w14:paraId="79C7C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55" w:hRule="atLeast"/>
          <w:jc w:val="center"/>
        </w:trPr>
        <w:tc>
          <w:tcPr>
            <w:tcW w:w="779" w:type="pct"/>
            <w:vMerge w:val="continue"/>
            <w:tcBorders>
              <w:tl2br w:val="nil"/>
              <w:tr2bl w:val="nil"/>
            </w:tcBorders>
            <w:noWrap w:val="0"/>
            <w:vAlign w:val="center"/>
          </w:tcPr>
          <w:p w14:paraId="12CCD815">
            <w:pPr>
              <w:jc w:val="center"/>
              <w:rPr>
                <w:rFonts w:hint="eastAsia"/>
                <w:bCs/>
                <w:color w:val="auto"/>
                <w:sz w:val="21"/>
                <w:szCs w:val="21"/>
                <w:highlight w:val="none"/>
              </w:rPr>
            </w:pPr>
          </w:p>
        </w:tc>
        <w:tc>
          <w:tcPr>
            <w:tcW w:w="470" w:type="pct"/>
            <w:tcBorders>
              <w:tl2br w:val="nil"/>
              <w:tr2bl w:val="nil"/>
            </w:tcBorders>
            <w:noWrap w:val="0"/>
            <w:vAlign w:val="center"/>
          </w:tcPr>
          <w:p w14:paraId="315CD69C">
            <w:pPr>
              <w:jc w:val="center"/>
              <w:rPr>
                <w:rFonts w:hint="eastAsia"/>
                <w:bCs/>
                <w:color w:val="auto"/>
                <w:sz w:val="21"/>
                <w:szCs w:val="21"/>
                <w:highlight w:val="none"/>
              </w:rPr>
            </w:pPr>
            <w:r>
              <w:rPr>
                <w:rFonts w:hint="eastAsia"/>
                <w:bCs/>
                <w:color w:val="auto"/>
                <w:sz w:val="21"/>
                <w:szCs w:val="21"/>
                <w:highlight w:val="none"/>
              </w:rPr>
              <w:t>有绝缘层</w:t>
            </w:r>
          </w:p>
        </w:tc>
        <w:tc>
          <w:tcPr>
            <w:tcW w:w="505" w:type="pct"/>
            <w:tcBorders>
              <w:tl2br w:val="nil"/>
              <w:tr2bl w:val="nil"/>
            </w:tcBorders>
            <w:noWrap w:val="0"/>
            <w:vAlign w:val="center"/>
          </w:tcPr>
          <w:p w14:paraId="42D2B4EE">
            <w:pPr>
              <w:jc w:val="center"/>
              <w:rPr>
                <w:rFonts w:hint="eastAsia"/>
                <w:bCs/>
                <w:color w:val="auto"/>
                <w:sz w:val="21"/>
                <w:szCs w:val="21"/>
                <w:highlight w:val="none"/>
              </w:rPr>
            </w:pPr>
            <w:r>
              <w:rPr>
                <w:rFonts w:hint="eastAsia"/>
                <w:bCs/>
                <w:color w:val="auto"/>
                <w:sz w:val="21"/>
                <w:szCs w:val="21"/>
                <w:highlight w:val="none"/>
                <w:lang w:val="en-US" w:eastAsia="zh-CN"/>
              </w:rPr>
              <w:t>1.0H</w:t>
            </w:r>
          </w:p>
        </w:tc>
        <w:tc>
          <w:tcPr>
            <w:tcW w:w="455" w:type="pct"/>
            <w:tcBorders>
              <w:tl2br w:val="nil"/>
              <w:tr2bl w:val="nil"/>
            </w:tcBorders>
            <w:noWrap w:val="0"/>
            <w:vAlign w:val="center"/>
          </w:tcPr>
          <w:p w14:paraId="1B898254">
            <w:pPr>
              <w:jc w:val="center"/>
              <w:rPr>
                <w:rFonts w:hint="eastAsia"/>
                <w:bCs/>
                <w:color w:val="auto"/>
                <w:sz w:val="21"/>
                <w:szCs w:val="21"/>
                <w:highlight w:val="none"/>
                <w:lang w:val="en-US" w:eastAsia="zh-CN"/>
              </w:rPr>
            </w:pPr>
            <w:r>
              <w:rPr>
                <w:rFonts w:hint="eastAsia"/>
                <w:bCs/>
                <w:color w:val="auto"/>
                <w:sz w:val="21"/>
                <w:szCs w:val="21"/>
                <w:highlight w:val="none"/>
              </w:rPr>
              <w:t>/</w:t>
            </w:r>
          </w:p>
        </w:tc>
        <w:tc>
          <w:tcPr>
            <w:tcW w:w="430" w:type="pct"/>
            <w:tcBorders>
              <w:tl2br w:val="nil"/>
              <w:tr2bl w:val="nil"/>
            </w:tcBorders>
            <w:noWrap w:val="0"/>
            <w:vAlign w:val="center"/>
          </w:tcPr>
          <w:p w14:paraId="6106D2B9">
            <w:pPr>
              <w:jc w:val="center"/>
              <w:rPr>
                <w:rFonts w:hint="eastAsia"/>
                <w:bCs/>
                <w:color w:val="auto"/>
                <w:sz w:val="21"/>
                <w:szCs w:val="21"/>
                <w:highlight w:val="none"/>
              </w:rPr>
            </w:pPr>
            <w:r>
              <w:rPr>
                <w:rFonts w:hint="eastAsia"/>
                <w:bCs/>
                <w:color w:val="auto"/>
                <w:sz w:val="21"/>
                <w:szCs w:val="21"/>
                <w:highlight w:val="none"/>
                <w:lang w:val="en-US" w:eastAsia="zh-CN"/>
              </w:rPr>
              <w:t>1.0H</w:t>
            </w:r>
          </w:p>
        </w:tc>
        <w:tc>
          <w:tcPr>
            <w:tcW w:w="448" w:type="pct"/>
            <w:tcBorders>
              <w:tl2br w:val="nil"/>
              <w:tr2bl w:val="nil"/>
            </w:tcBorders>
            <w:noWrap w:val="0"/>
            <w:vAlign w:val="center"/>
          </w:tcPr>
          <w:p w14:paraId="0F5F1E18">
            <w:pPr>
              <w:jc w:val="center"/>
              <w:rPr>
                <w:rFonts w:hint="eastAsia"/>
                <w:bCs/>
                <w:color w:val="auto"/>
                <w:sz w:val="21"/>
                <w:szCs w:val="21"/>
                <w:highlight w:val="none"/>
              </w:rPr>
            </w:pPr>
            <w:r>
              <w:rPr>
                <w:rFonts w:hint="eastAsia"/>
                <w:bCs/>
                <w:color w:val="auto"/>
                <w:sz w:val="21"/>
                <w:szCs w:val="21"/>
                <w:highlight w:val="none"/>
              </w:rPr>
              <w:t>/</w:t>
            </w:r>
          </w:p>
        </w:tc>
        <w:tc>
          <w:tcPr>
            <w:tcW w:w="558" w:type="pct"/>
            <w:tcBorders>
              <w:tl2br w:val="nil"/>
              <w:tr2bl w:val="nil"/>
            </w:tcBorders>
            <w:noWrap w:val="0"/>
            <w:vAlign w:val="center"/>
          </w:tcPr>
          <w:p w14:paraId="530869AF">
            <w:pPr>
              <w:jc w:val="center"/>
              <w:rPr>
                <w:rFonts w:hint="eastAsia" w:eastAsia="宋体"/>
                <w:bCs/>
                <w:color w:val="auto"/>
                <w:sz w:val="21"/>
                <w:szCs w:val="21"/>
                <w:highlight w:val="none"/>
                <w:lang w:eastAsia="zh-CN"/>
              </w:rPr>
            </w:pPr>
            <w:r>
              <w:rPr>
                <w:rFonts w:hint="eastAsia"/>
                <w:bCs/>
                <w:color w:val="auto"/>
                <w:sz w:val="21"/>
                <w:szCs w:val="21"/>
                <w:highlight w:val="none"/>
                <w:lang w:val="en-US" w:eastAsia="zh-CN"/>
              </w:rPr>
              <w:t>1.0H</w:t>
            </w:r>
          </w:p>
        </w:tc>
        <w:tc>
          <w:tcPr>
            <w:tcW w:w="410" w:type="pct"/>
            <w:tcBorders>
              <w:tl2br w:val="nil"/>
              <w:tr2bl w:val="nil"/>
            </w:tcBorders>
            <w:noWrap w:val="0"/>
            <w:vAlign w:val="center"/>
          </w:tcPr>
          <w:p w14:paraId="0161205A">
            <w:pPr>
              <w:jc w:val="center"/>
              <w:rPr>
                <w:rFonts w:hint="eastAsia"/>
                <w:bCs/>
                <w:color w:val="auto"/>
                <w:sz w:val="21"/>
                <w:szCs w:val="21"/>
                <w:highlight w:val="none"/>
                <w:lang w:val="en-US" w:eastAsia="zh-CN"/>
              </w:rPr>
            </w:pPr>
            <w:r>
              <w:rPr>
                <w:rFonts w:hint="eastAsia"/>
                <w:bCs/>
                <w:color w:val="auto"/>
                <w:sz w:val="21"/>
                <w:szCs w:val="21"/>
                <w:highlight w:val="none"/>
              </w:rPr>
              <w:t>/</w:t>
            </w:r>
          </w:p>
        </w:tc>
        <w:tc>
          <w:tcPr>
            <w:tcW w:w="550" w:type="pct"/>
            <w:tcBorders>
              <w:tl2br w:val="nil"/>
              <w:tr2bl w:val="nil"/>
            </w:tcBorders>
            <w:noWrap w:val="0"/>
            <w:vAlign w:val="center"/>
          </w:tcPr>
          <w:p w14:paraId="125F2B64">
            <w:pPr>
              <w:jc w:val="center"/>
              <w:rPr>
                <w:rFonts w:hint="eastAsia"/>
                <w:bCs/>
                <w:color w:val="auto"/>
                <w:sz w:val="21"/>
                <w:szCs w:val="21"/>
                <w:highlight w:val="none"/>
              </w:rPr>
            </w:pPr>
            <w:r>
              <w:rPr>
                <w:rFonts w:hint="eastAsia"/>
                <w:bCs/>
                <w:color w:val="auto"/>
                <w:sz w:val="21"/>
                <w:szCs w:val="21"/>
                <w:highlight w:val="none"/>
                <w:lang w:val="en-US" w:eastAsia="zh-CN"/>
              </w:rPr>
              <w:t>1.0H</w:t>
            </w:r>
          </w:p>
        </w:tc>
        <w:tc>
          <w:tcPr>
            <w:tcW w:w="391" w:type="pct"/>
            <w:gridSpan w:val="2"/>
            <w:tcBorders>
              <w:tl2br w:val="nil"/>
              <w:tr2bl w:val="nil"/>
            </w:tcBorders>
            <w:noWrap w:val="0"/>
            <w:vAlign w:val="center"/>
          </w:tcPr>
          <w:p w14:paraId="67F3E879">
            <w:pPr>
              <w:jc w:val="center"/>
              <w:rPr>
                <w:rFonts w:hint="eastAsia"/>
                <w:bCs/>
                <w:color w:val="auto"/>
                <w:sz w:val="21"/>
                <w:szCs w:val="21"/>
                <w:highlight w:val="none"/>
              </w:rPr>
            </w:pPr>
            <w:r>
              <w:rPr>
                <w:rFonts w:hint="eastAsia"/>
                <w:bCs/>
                <w:color w:val="auto"/>
                <w:sz w:val="21"/>
                <w:szCs w:val="21"/>
                <w:highlight w:val="none"/>
              </w:rPr>
              <w:t>/</w:t>
            </w:r>
          </w:p>
        </w:tc>
      </w:tr>
    </w:tbl>
    <w:p w14:paraId="6E8E9076">
      <w:pPr>
        <w:spacing w:line="360" w:lineRule="auto"/>
        <w:ind w:firstLine="480" w:firstLineChars="200"/>
        <w:jc w:val="left"/>
        <w:rPr>
          <w:rFonts w:ascii="Times New Roman" w:hAnsi="Times New Roman" w:eastAsia="宋体"/>
          <w:color w:val="auto"/>
          <w:sz w:val="24"/>
          <w:highlight w:val="none"/>
        </w:rPr>
      </w:pPr>
      <w:r>
        <w:rPr>
          <w:rFonts w:ascii="Times New Roman" w:hAnsi="Times New Roman" w:eastAsia="宋体"/>
          <w:color w:val="auto"/>
          <w:sz w:val="24"/>
          <w:highlight w:val="none"/>
        </w:rPr>
        <w:t>本项目</w:t>
      </w:r>
      <w:r>
        <w:rPr>
          <w:rFonts w:hint="eastAsia" w:ascii="Times New Roman" w:hAnsi="Times New Roman" w:eastAsia="宋体"/>
          <w:color w:val="auto"/>
          <w:sz w:val="24"/>
          <w:highlight w:val="none"/>
          <w:lang w:val="en-US" w:eastAsia="zh-CN"/>
        </w:rPr>
        <w:t>站内</w:t>
      </w:r>
      <w:r>
        <w:rPr>
          <w:rFonts w:ascii="Times New Roman" w:hAnsi="Times New Roman" w:eastAsia="宋体"/>
          <w:color w:val="auto"/>
          <w:sz w:val="24"/>
          <w:highlight w:val="none"/>
        </w:rPr>
        <w:t>具体车间平面布置图见图3.</w:t>
      </w:r>
      <w:r>
        <w:rPr>
          <w:rFonts w:hint="eastAsia" w:ascii="Times New Roman" w:hAnsi="Times New Roman" w:eastAsia="宋体"/>
          <w:color w:val="auto"/>
          <w:sz w:val="24"/>
          <w:highlight w:val="none"/>
          <w:lang w:val="en-US" w:eastAsia="zh-CN"/>
        </w:rPr>
        <w:t>1</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2</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雨污管线</w:t>
      </w:r>
      <w:r>
        <w:rPr>
          <w:rFonts w:ascii="Times New Roman" w:hAnsi="Times New Roman" w:eastAsia="宋体"/>
          <w:color w:val="auto"/>
          <w:sz w:val="24"/>
          <w:highlight w:val="none"/>
        </w:rPr>
        <w:t>图见图3.</w:t>
      </w:r>
      <w:r>
        <w:rPr>
          <w:rFonts w:hint="eastAsia" w:ascii="Times New Roman" w:hAnsi="Times New Roman" w:eastAsia="宋体"/>
          <w:color w:val="auto"/>
          <w:sz w:val="24"/>
          <w:highlight w:val="none"/>
          <w:lang w:val="en-US" w:eastAsia="zh-CN"/>
        </w:rPr>
        <w:t>1</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3</w:t>
      </w:r>
      <w:r>
        <w:rPr>
          <w:rFonts w:ascii="Times New Roman" w:hAnsi="Times New Roman" w:eastAsia="宋体"/>
          <w:color w:val="auto"/>
          <w:sz w:val="24"/>
          <w:highlight w:val="none"/>
        </w:rPr>
        <w:t>。</w:t>
      </w:r>
    </w:p>
    <w:p w14:paraId="1B949990">
      <w:pPr>
        <w:spacing w:line="360" w:lineRule="auto"/>
        <w:ind w:firstLine="482" w:firstLineChars="200"/>
        <w:jc w:val="left"/>
        <w:rPr>
          <w:rFonts w:ascii="Times New Roman" w:hAnsi="Times New Roman" w:eastAsia="宋体"/>
          <w:b/>
          <w:color w:val="auto"/>
          <w:sz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rtlGutter w:val="0"/>
          <w:docGrid w:type="lines" w:linePitch="312" w:charSpace="0"/>
        </w:sectPr>
      </w:pPr>
    </w:p>
    <w:p w14:paraId="0426676C">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ascii="Times New Roman" w:hAnsi="Times New Roman" w:eastAsia="宋体"/>
          <w:b/>
          <w:color w:val="auto"/>
          <w:sz w:val="24"/>
          <w:highlight w:val="none"/>
        </w:rPr>
      </w:pPr>
      <w:r>
        <w:rPr>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2531110</wp:posOffset>
                </wp:positionH>
                <wp:positionV relativeFrom="paragraph">
                  <wp:posOffset>2908300</wp:posOffset>
                </wp:positionV>
                <wp:extent cx="924560" cy="314325"/>
                <wp:effectExtent l="0" t="0" r="0" b="0"/>
                <wp:wrapNone/>
                <wp:docPr id="6" name="文本框 31"/>
                <wp:cNvGraphicFramePr/>
                <a:graphic xmlns:a="http://schemas.openxmlformats.org/drawingml/2006/main">
                  <a:graphicData uri="http://schemas.microsoft.com/office/word/2010/wordprocessingShape">
                    <wps:wsp>
                      <wps:cNvSpPr txBox="1"/>
                      <wps:spPr>
                        <a:xfrm>
                          <a:off x="0" y="0"/>
                          <a:ext cx="924560" cy="314325"/>
                        </a:xfrm>
                        <a:prstGeom prst="rect">
                          <a:avLst/>
                        </a:prstGeom>
                        <a:solidFill>
                          <a:srgbClr val="FFFFFF">
                            <a:alpha val="0"/>
                          </a:srgbClr>
                        </a:solidFill>
                        <a:ln>
                          <a:noFill/>
                        </a:ln>
                      </wps:spPr>
                      <wps:txbx>
                        <w:txbxContent>
                          <w:p w14:paraId="60D04A40">
                            <w:pPr>
                              <w:rPr>
                                <w:rFonts w:hint="default" w:eastAsia="宋体"/>
                                <w:b/>
                                <w:bCs/>
                                <w:color w:val="FFFFFF"/>
                                <w:lang w:val="en-US" w:eastAsia="zh-CN"/>
                              </w:rPr>
                            </w:pPr>
                            <w:r>
                              <w:rPr>
                                <w:rFonts w:hint="eastAsia"/>
                                <w:b/>
                                <w:bCs/>
                                <w:color w:val="FFFFFF"/>
                                <w:lang w:val="en-US" w:eastAsia="zh-CN"/>
                              </w:rPr>
                              <w:t>雨水排口</w:t>
                            </w:r>
                          </w:p>
                        </w:txbxContent>
                      </wps:txbx>
                      <wps:bodyPr wrap="square" upright="0"/>
                    </wps:wsp>
                  </a:graphicData>
                </a:graphic>
              </wp:anchor>
            </w:drawing>
          </mc:Choice>
          <mc:Fallback>
            <w:pict>
              <v:shape id="文本框 31" o:spid="_x0000_s1026" o:spt="202" type="#_x0000_t202" style="position:absolute;left:0pt;margin-left:199.3pt;margin-top:229pt;height:24.75pt;width:72.8pt;z-index:251665408;mso-width-relative:page;mso-height-relative:page;" fillcolor="#FFFFFF" filled="t" stroked="f" coordsize="21600,21600" o:gfxdata="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dYpxn2gAAAAsBAAAPAAAAAAAA&#10;AAEAIAAAACIAAABkcnMvZG93bnJldi54bWxQSwECFAAUAAAACACHTuJAfqBAx9cBAACiAwAADgAA&#10;AAAAAAABACAAAAApAQAAZHJzL2Uyb0RvYy54bWxQSwUGAAAAAAYABgBZAQAAcgUAAAAA&#10;">
                <v:fill on="t" opacity="0f" focussize="0,0"/>
                <v:stroke on="f"/>
                <v:imagedata o:title=""/>
                <o:lock v:ext="edit" aspectratio="f"/>
                <v:textbox>
                  <w:txbxContent>
                    <w:p w14:paraId="60D04A40">
                      <w:pPr>
                        <w:rPr>
                          <w:rFonts w:hint="default" w:eastAsia="宋体"/>
                          <w:b/>
                          <w:bCs/>
                          <w:color w:val="FFFFFF"/>
                          <w:lang w:val="en-US" w:eastAsia="zh-CN"/>
                        </w:rPr>
                      </w:pPr>
                      <w:r>
                        <w:rPr>
                          <w:rFonts w:hint="eastAsia"/>
                          <w:b/>
                          <w:bCs/>
                          <w:color w:val="FFFFFF"/>
                          <w:lang w:val="en-US" w:eastAsia="zh-CN"/>
                        </w:rPr>
                        <w:t>雨水排口</w:t>
                      </w:r>
                    </w:p>
                  </w:txbxContent>
                </v:textbox>
              </v:shape>
            </w:pict>
          </mc:Fallback>
        </mc:AlternateContent>
      </w:r>
      <w:r>
        <w:rPr>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2514600</wp:posOffset>
                </wp:positionH>
                <wp:positionV relativeFrom="paragraph">
                  <wp:posOffset>2743200</wp:posOffset>
                </wp:positionV>
                <wp:extent cx="924560" cy="314325"/>
                <wp:effectExtent l="0" t="0" r="0" b="0"/>
                <wp:wrapNone/>
                <wp:docPr id="5" name="文本框 30"/>
                <wp:cNvGraphicFramePr/>
                <a:graphic xmlns:a="http://schemas.openxmlformats.org/drawingml/2006/main">
                  <a:graphicData uri="http://schemas.microsoft.com/office/word/2010/wordprocessingShape">
                    <wps:wsp>
                      <wps:cNvSpPr txBox="1"/>
                      <wps:spPr>
                        <a:xfrm>
                          <a:off x="0" y="0"/>
                          <a:ext cx="924560" cy="314325"/>
                        </a:xfrm>
                        <a:prstGeom prst="rect">
                          <a:avLst/>
                        </a:prstGeom>
                        <a:solidFill>
                          <a:srgbClr val="FFFFFF">
                            <a:alpha val="0"/>
                          </a:srgbClr>
                        </a:solidFill>
                        <a:ln>
                          <a:noFill/>
                        </a:ln>
                      </wps:spPr>
                      <wps:txbx>
                        <w:txbxContent>
                          <w:p w14:paraId="5F3FA0ED">
                            <w:pPr>
                              <w:rPr>
                                <w:rFonts w:hint="default" w:eastAsia="宋体"/>
                                <w:b/>
                                <w:bCs/>
                                <w:color w:val="FFFFFF"/>
                                <w:lang w:val="en-US" w:eastAsia="zh-CN"/>
                              </w:rPr>
                            </w:pPr>
                            <w:r>
                              <w:rPr>
                                <w:rFonts w:hint="eastAsia"/>
                                <w:b/>
                                <w:bCs/>
                                <w:color w:val="FFFFFF"/>
                                <w:lang w:val="en-US" w:eastAsia="zh-CN"/>
                              </w:rPr>
                              <w:t>污水排口</w:t>
                            </w:r>
                          </w:p>
                        </w:txbxContent>
                      </wps:txbx>
                      <wps:bodyPr vert="horz" wrap="square" anchor="t" anchorCtr="0" upright="0"/>
                    </wps:wsp>
                  </a:graphicData>
                </a:graphic>
              </wp:anchor>
            </w:drawing>
          </mc:Choice>
          <mc:Fallback>
            <w:pict>
              <v:shape id="文本框 30" o:spid="_x0000_s1026" o:spt="202" type="#_x0000_t202" style="position:absolute;left:0pt;margin-left:198pt;margin-top:216pt;height:24.75pt;width:72.8pt;z-index:251664384;mso-width-relative:page;mso-height-relative:page;" fillcolor="#FFFFFF" filled="t" stroked="f" coordsize="21600,21600" o:gfxdata="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F&#10;0BRi2gAAAAsBAAAPAAAAAAAAAAEAIAAAACIAAABkcnMvZG93bnJldi54bWxQSwECFAAUAAAACACH&#10;TuJAFK7MTukBAADHAwAADgAAAAAAAAABACAAAAApAQAAZHJzL2Uyb0RvYy54bWxQSwUGAAAAAAYA&#10;BgBZAQAAhAUAAAAA&#10;">
                <v:fill on="t" opacity="0f" focussize="0,0"/>
                <v:stroke on="f"/>
                <v:imagedata o:title=""/>
                <o:lock v:ext="edit" aspectratio="f"/>
                <v:textbox>
                  <w:txbxContent>
                    <w:p w14:paraId="5F3FA0ED">
                      <w:pPr>
                        <w:rPr>
                          <w:rFonts w:hint="default" w:eastAsia="宋体"/>
                          <w:b/>
                          <w:bCs/>
                          <w:color w:val="FFFFFF"/>
                          <w:lang w:val="en-US" w:eastAsia="zh-CN"/>
                        </w:rPr>
                      </w:pPr>
                      <w:r>
                        <w:rPr>
                          <w:rFonts w:hint="eastAsia"/>
                          <w:b/>
                          <w:bCs/>
                          <w:color w:val="FFFFFF"/>
                          <w:lang w:val="en-US" w:eastAsia="zh-CN"/>
                        </w:rPr>
                        <w:t>污水排口</w:t>
                      </w:r>
                    </w:p>
                  </w:txbxContent>
                </v:textbox>
              </v:shape>
            </w:pict>
          </mc:Fallback>
        </mc:AlternateContent>
      </w:r>
      <w:r>
        <w:rPr>
          <w:color w:val="auto"/>
          <w:sz w:val="21"/>
          <w:highlight w:val="none"/>
        </w:rPr>
        <mc:AlternateContent>
          <mc:Choice Requires="wps">
            <w:drawing>
              <wp:anchor distT="0" distB="0" distL="114300" distR="114300" simplePos="0" relativeHeight="251662336" behindDoc="0" locked="0" layoutInCell="1" allowOverlap="1">
                <wp:simplePos x="0" y="0"/>
                <wp:positionH relativeFrom="column">
                  <wp:posOffset>2388870</wp:posOffset>
                </wp:positionH>
                <wp:positionV relativeFrom="paragraph">
                  <wp:posOffset>2817495</wp:posOffset>
                </wp:positionV>
                <wp:extent cx="152400" cy="161925"/>
                <wp:effectExtent l="4445" t="4445" r="14605" b="5080"/>
                <wp:wrapNone/>
                <wp:docPr id="3" name="自选图形 21"/>
                <wp:cNvGraphicFramePr/>
                <a:graphic xmlns:a="http://schemas.openxmlformats.org/drawingml/2006/main">
                  <a:graphicData uri="http://schemas.microsoft.com/office/word/2010/wordprocessingShape">
                    <wps:wsp>
                      <wps:cNvSpPr/>
                      <wps:spPr>
                        <a:xfrm>
                          <a:off x="0" y="0"/>
                          <a:ext cx="152400" cy="161925"/>
                        </a:xfrm>
                        <a:prstGeom prst="flowChartSummingJunction">
                          <a:avLst/>
                        </a:prstGeom>
                        <a:solidFill>
                          <a:srgbClr val="FFFFFF"/>
                        </a:solidFill>
                        <a:ln w="9525" cap="flat" cmpd="sng">
                          <a:solidFill>
                            <a:srgbClr val="F79646"/>
                          </a:solidFill>
                          <a:prstDash val="solid"/>
                          <a:headEnd type="none" w="med" len="med"/>
                          <a:tailEnd type="none" w="med" len="med"/>
                        </a:ln>
                      </wps:spPr>
                      <wps:bodyPr vert="horz" wrap="square" anchor="t" anchorCtr="0" upright="1"/>
                    </wps:wsp>
                  </a:graphicData>
                </a:graphic>
              </wp:anchor>
            </w:drawing>
          </mc:Choice>
          <mc:Fallback>
            <w:pict>
              <v:shape id="自选图形 21" o:spid="_x0000_s1026" o:spt="123" type="#_x0000_t123" style="position:absolute;left:0pt;margin-left:188.1pt;margin-top:221.85pt;height:12.75pt;width:12pt;z-index:251662336;mso-width-relative:page;mso-height-relative:page;" fillcolor="#FFFFFF" filled="t" stroked="t" coordsize="21600,21600" o:gfxdata="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7mWEO2AAAAAsBAAAPAAAAAAAAAAEAIAAAACIAAABkcnMvZG93bnJldi54bWxQ&#10;SwECFAAUAAAACACHTuJA/eFqpTACAABhBAAADgAAAAAAAAABACAAAAAnAQAAZHJzL2Uyb0RvYy54&#10;bWxQSwUGAAAAAAYABgBZAQAAyQUAAAAA&#10;">
                <v:fill on="t" focussize="0,0"/>
                <v:stroke color="#F79646" joinstyle="round"/>
                <v:imagedata o:title=""/>
                <o:lock v:ext="edit" aspectratio="f"/>
              </v:shape>
            </w:pict>
          </mc:Fallback>
        </mc:AlternateContent>
      </w:r>
      <w:r>
        <w:rPr>
          <w:color w:val="auto"/>
          <w:sz w:val="21"/>
          <w:highlight w:val="none"/>
        </w:rPr>
        <mc:AlternateContent>
          <mc:Choice Requires="wps">
            <w:drawing>
              <wp:anchor distT="0" distB="0" distL="114300" distR="114300" simplePos="0" relativeHeight="251663360" behindDoc="0" locked="0" layoutInCell="1" allowOverlap="1">
                <wp:simplePos x="0" y="0"/>
                <wp:positionH relativeFrom="column">
                  <wp:posOffset>2411730</wp:posOffset>
                </wp:positionH>
                <wp:positionV relativeFrom="paragraph">
                  <wp:posOffset>2980690</wp:posOffset>
                </wp:positionV>
                <wp:extent cx="171450" cy="152400"/>
                <wp:effectExtent l="4445" t="4445" r="14605" b="14605"/>
                <wp:wrapNone/>
                <wp:docPr id="4" name="自选图形 22"/>
                <wp:cNvGraphicFramePr/>
                <a:graphic xmlns:a="http://schemas.openxmlformats.org/drawingml/2006/main">
                  <a:graphicData uri="http://schemas.microsoft.com/office/word/2010/wordprocessingShape">
                    <wps:wsp>
                      <wps:cNvSpPr/>
                      <wps:spPr>
                        <a:xfrm>
                          <a:off x="0" y="0"/>
                          <a:ext cx="171450" cy="152400"/>
                        </a:xfrm>
                        <a:prstGeom prst="flowChartOr">
                          <a:avLst/>
                        </a:prstGeom>
                        <a:solidFill>
                          <a:srgbClr val="FFFFFF"/>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22" o:spid="_x0000_s1026" o:spt="124" type="#_x0000_t124" style="position:absolute;left:0pt;margin-left:189.9pt;margin-top:234.7pt;height:12pt;width:13.5pt;z-index:251663360;mso-width-relative:page;mso-height-relative:page;" fillcolor="#FFFFFF" filled="t" stroked="t" coordsize="21600,21600" o:gfxdata="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WCI0M2wAAAAsBAAAPAAAAAAAAAAEAIAAAACIAAABkcnMvZG93bnJldi54bWxQSwEC&#10;FAAUAAAACACHTuJAN6eqTSoCAABUBAAADgAAAAAAAAABACAAAAAqAQAAZHJzL2Uyb0RvYy54bWxQ&#10;SwUGAAAAAAYABgBZAQAAxgUAAAAA&#10;">
                <v:fill on="t" focussize="0,0"/>
                <v:stroke color="#00B050" joinstyle="round"/>
                <v:imagedata o:title=""/>
                <o:lock v:ext="edit" aspectratio="f"/>
              </v:shape>
            </w:pict>
          </mc:Fallback>
        </mc:AlternateContent>
      </w:r>
      <w:r>
        <w:rPr>
          <w:color w:val="auto"/>
          <w:sz w:val="21"/>
          <w:highlight w:val="none"/>
        </w:rPr>
        <mc:AlternateContent>
          <mc:Choice Requires="wps">
            <w:drawing>
              <wp:anchor distT="0" distB="0" distL="114300" distR="114300" simplePos="0" relativeHeight="251691008" behindDoc="0" locked="0" layoutInCell="1" allowOverlap="1">
                <wp:simplePos x="0" y="0"/>
                <wp:positionH relativeFrom="column">
                  <wp:posOffset>3132455</wp:posOffset>
                </wp:positionH>
                <wp:positionV relativeFrom="paragraph">
                  <wp:posOffset>5207635</wp:posOffset>
                </wp:positionV>
                <wp:extent cx="2419350" cy="323850"/>
                <wp:effectExtent l="4445" t="4445" r="14605" b="14605"/>
                <wp:wrapNone/>
                <wp:docPr id="32" name="文本框 785"/>
                <wp:cNvGraphicFramePr/>
                <a:graphic xmlns:a="http://schemas.openxmlformats.org/drawingml/2006/main">
                  <a:graphicData uri="http://schemas.microsoft.com/office/word/2010/wordprocessingShape">
                    <wps:wsp>
                      <wps:cNvSpPr txBox="1"/>
                      <wps:spPr>
                        <a:xfrm>
                          <a:off x="0" y="0"/>
                          <a:ext cx="2419350" cy="3238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806DA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b/>
                                <w:color w:val="auto"/>
                                <w:sz w:val="24"/>
                              </w:rPr>
                            </w:pPr>
                            <w:r>
                              <w:rPr>
                                <w:rFonts w:ascii="Times New Roman" w:hAnsi="Times New Roman" w:eastAsia="宋体"/>
                                <w:b/>
                                <w:color w:val="auto"/>
                                <w:sz w:val="24"/>
                              </w:rPr>
                              <w:t>图3.</w:t>
                            </w:r>
                            <w:r>
                              <w:rPr>
                                <w:rFonts w:hint="eastAsia" w:ascii="Times New Roman" w:hAnsi="Times New Roman" w:eastAsia="宋体"/>
                                <w:b/>
                                <w:color w:val="auto"/>
                                <w:sz w:val="24"/>
                                <w:lang w:val="en-US" w:eastAsia="zh-CN"/>
                              </w:rPr>
                              <w:t>1</w:t>
                            </w:r>
                            <w:r>
                              <w:rPr>
                                <w:rFonts w:ascii="Times New Roman" w:hAnsi="Times New Roman" w:eastAsia="宋体"/>
                                <w:b/>
                                <w:color w:val="auto"/>
                                <w:sz w:val="24"/>
                              </w:rPr>
                              <w:t>-</w:t>
                            </w:r>
                            <w:r>
                              <w:rPr>
                                <w:rFonts w:hint="eastAsia" w:ascii="Times New Roman" w:hAnsi="Times New Roman" w:eastAsia="宋体"/>
                                <w:b/>
                                <w:color w:val="auto"/>
                                <w:sz w:val="24"/>
                                <w:lang w:val="en-US" w:eastAsia="zh-CN"/>
                              </w:rPr>
                              <w:t>3</w:t>
                            </w:r>
                            <w:r>
                              <w:rPr>
                                <w:rFonts w:hint="eastAsia"/>
                                <w:b/>
                                <w:color w:val="auto"/>
                                <w:sz w:val="24"/>
                                <w:lang w:val="en-US" w:eastAsia="zh-CN"/>
                              </w:rPr>
                              <w:t xml:space="preserve">  </w:t>
                            </w:r>
                            <w:r>
                              <w:rPr>
                                <w:rFonts w:ascii="Times New Roman" w:hAnsi="Times New Roman" w:eastAsia="宋体"/>
                                <w:b/>
                                <w:color w:val="auto"/>
                                <w:sz w:val="24"/>
                              </w:rPr>
                              <w:t>平面布置图</w:t>
                            </w:r>
                          </w:p>
                          <w:p w14:paraId="6D617360"/>
                        </w:txbxContent>
                      </wps:txbx>
                      <wps:bodyPr vert="horz" wrap="square" anchor="t" anchorCtr="0" upright="1"/>
                    </wps:wsp>
                  </a:graphicData>
                </a:graphic>
              </wp:anchor>
            </w:drawing>
          </mc:Choice>
          <mc:Fallback>
            <w:pict>
              <v:shape id="文本框 785" o:spid="_x0000_s1026" o:spt="202" type="#_x0000_t202" style="position:absolute;left:0pt;margin-left:246.65pt;margin-top:410.05pt;height:25.5pt;width:190.5pt;z-index:251691008;mso-width-relative:page;mso-height-relative:page;" fillcolor="#FFFFFF" filled="t" stroked="t" coordsize="21600,21600" o:gfxdata="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4OVXz2QAAAAsBAAAPAAAAAAAAAAEAIAAAACIAAABkcnMvZG93bnJldi54bWxQSwEC&#10;FAAUAAAACACHTuJAOsaiZSwCAABsBAAADgAAAAAAAAABACAAAAAoAQAAZHJzL2Uyb0RvYy54bWxQ&#10;SwUGAAAAAAYABgBZAQAAxgUAAAAA&#10;">
                <v:fill on="t" focussize="0,0"/>
                <v:stroke color="#000000" joinstyle="miter"/>
                <v:imagedata o:title=""/>
                <o:lock v:ext="edit" aspectratio="f"/>
                <v:textbox>
                  <w:txbxContent>
                    <w:p w14:paraId="60806DA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b/>
                          <w:color w:val="auto"/>
                          <w:sz w:val="24"/>
                        </w:rPr>
                      </w:pPr>
                      <w:r>
                        <w:rPr>
                          <w:rFonts w:ascii="Times New Roman" w:hAnsi="Times New Roman" w:eastAsia="宋体"/>
                          <w:b/>
                          <w:color w:val="auto"/>
                          <w:sz w:val="24"/>
                        </w:rPr>
                        <w:t>图3.</w:t>
                      </w:r>
                      <w:r>
                        <w:rPr>
                          <w:rFonts w:hint="eastAsia" w:ascii="Times New Roman" w:hAnsi="Times New Roman" w:eastAsia="宋体"/>
                          <w:b/>
                          <w:color w:val="auto"/>
                          <w:sz w:val="24"/>
                          <w:lang w:val="en-US" w:eastAsia="zh-CN"/>
                        </w:rPr>
                        <w:t>1</w:t>
                      </w:r>
                      <w:r>
                        <w:rPr>
                          <w:rFonts w:ascii="Times New Roman" w:hAnsi="Times New Roman" w:eastAsia="宋体"/>
                          <w:b/>
                          <w:color w:val="auto"/>
                          <w:sz w:val="24"/>
                        </w:rPr>
                        <w:t>-</w:t>
                      </w:r>
                      <w:r>
                        <w:rPr>
                          <w:rFonts w:hint="eastAsia" w:ascii="Times New Roman" w:hAnsi="Times New Roman" w:eastAsia="宋体"/>
                          <w:b/>
                          <w:color w:val="auto"/>
                          <w:sz w:val="24"/>
                          <w:lang w:val="en-US" w:eastAsia="zh-CN"/>
                        </w:rPr>
                        <w:t>3</w:t>
                      </w:r>
                      <w:r>
                        <w:rPr>
                          <w:rFonts w:hint="eastAsia"/>
                          <w:b/>
                          <w:color w:val="auto"/>
                          <w:sz w:val="24"/>
                          <w:lang w:val="en-US" w:eastAsia="zh-CN"/>
                        </w:rPr>
                        <w:t xml:space="preserve">  </w:t>
                      </w:r>
                      <w:r>
                        <w:rPr>
                          <w:rFonts w:ascii="Times New Roman" w:hAnsi="Times New Roman" w:eastAsia="宋体"/>
                          <w:b/>
                          <w:color w:val="auto"/>
                          <w:sz w:val="24"/>
                        </w:rPr>
                        <w:t>平面布置图</w:t>
                      </w:r>
                    </w:p>
                    <w:p w14:paraId="6D617360"/>
                  </w:txbxContent>
                </v:textbox>
              </v:shape>
            </w:pict>
          </mc:Fallback>
        </mc:AlternateContent>
      </w:r>
      <w:r>
        <w:rPr>
          <w:color w:val="auto"/>
          <w:sz w:val="21"/>
          <w:highlight w:val="none"/>
        </w:rPr>
        <mc:AlternateContent>
          <mc:Choice Requires="wps">
            <w:drawing>
              <wp:anchor distT="0" distB="0" distL="114300" distR="114300" simplePos="0" relativeHeight="251768832" behindDoc="0" locked="0" layoutInCell="1" allowOverlap="1">
                <wp:simplePos x="0" y="0"/>
                <wp:positionH relativeFrom="column">
                  <wp:posOffset>2614295</wp:posOffset>
                </wp:positionH>
                <wp:positionV relativeFrom="paragraph">
                  <wp:posOffset>3843020</wp:posOffset>
                </wp:positionV>
                <wp:extent cx="659130" cy="314325"/>
                <wp:effectExtent l="0" t="0" r="0" b="0"/>
                <wp:wrapNone/>
                <wp:docPr id="390" name="文本框 31"/>
                <wp:cNvGraphicFramePr/>
                <a:graphic xmlns:a="http://schemas.openxmlformats.org/drawingml/2006/main">
                  <a:graphicData uri="http://schemas.microsoft.com/office/word/2010/wordprocessingShape">
                    <wps:wsp>
                      <wps:cNvSpPr txBox="1"/>
                      <wps:spPr>
                        <a:xfrm>
                          <a:off x="0" y="0"/>
                          <a:ext cx="659130" cy="314325"/>
                        </a:xfrm>
                        <a:prstGeom prst="rect">
                          <a:avLst/>
                        </a:prstGeom>
                        <a:solidFill>
                          <a:srgbClr val="FFFFFF">
                            <a:alpha val="0"/>
                          </a:srgbClr>
                        </a:solidFill>
                        <a:ln>
                          <a:noFill/>
                        </a:ln>
                      </wps:spPr>
                      <wps:txbx>
                        <w:txbxContent>
                          <w:p w14:paraId="07ED7342">
                            <w:pPr>
                              <w:keepNext w:val="0"/>
                              <w:keepLines w:val="0"/>
                              <w:pageBreakBefore w:val="0"/>
                              <w:widowControl w:val="0"/>
                              <w:kinsoku/>
                              <w:wordWrap/>
                              <w:overflowPunct/>
                              <w:topLinePunct w:val="0"/>
                              <w:bidi w:val="0"/>
                              <w:adjustRightInd w:val="0"/>
                              <w:snapToGrid w:val="0"/>
                              <w:textAlignment w:val="auto"/>
                              <w:rPr>
                                <w:rFonts w:hint="default" w:eastAsia="宋体"/>
                                <w:b/>
                                <w:bCs/>
                                <w:color w:val="FF0000"/>
                                <w:sz w:val="22"/>
                                <w:szCs w:val="24"/>
                                <w:lang w:val="en-US" w:eastAsia="zh-CN"/>
                              </w:rPr>
                            </w:pPr>
                            <w:r>
                              <w:rPr>
                                <w:rFonts w:hint="eastAsia"/>
                                <w:b/>
                                <w:bCs/>
                                <w:color w:val="FF0000"/>
                                <w:sz w:val="13"/>
                                <w:szCs w:val="13"/>
                                <w:lang w:val="en-US" w:eastAsia="zh-CN"/>
                              </w:rPr>
                              <w:t>初期雨水池</w:t>
                            </w:r>
                          </w:p>
                        </w:txbxContent>
                      </wps:txbx>
                      <wps:bodyPr vert="horz" wrap="square" anchor="t" anchorCtr="0" upright="0"/>
                    </wps:wsp>
                  </a:graphicData>
                </a:graphic>
              </wp:anchor>
            </w:drawing>
          </mc:Choice>
          <mc:Fallback>
            <w:pict>
              <v:shape id="文本框 31" o:spid="_x0000_s1026" o:spt="202" type="#_x0000_t202" style="position:absolute;left:0pt;margin-left:205.85pt;margin-top:302.6pt;height:24.75pt;width:51.9pt;z-index:251768832;mso-width-relative:page;mso-height-relative:page;" fillcolor="#FFFFFF" filled="t" stroked="f" coordsize="21600,21600" o:gfxdata="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fPV9NkAAAALAQAADwAAAAAAAAABACAAAAAiAAAAZHJzL2Rvd25yZXYueG1sUEsBAhQAFAAAAAgA&#10;h07iQOar4r7rAQAAyQMAAA4AAAAAAAAAAQAgAAAAKAEAAGRycy9lMm9Eb2MueG1sUEsFBgAAAAAG&#10;AAYAWQEAAIUFAAAAAA==&#10;">
                <v:fill on="t" opacity="0f" focussize="0,0"/>
                <v:stroke on="f"/>
                <v:imagedata o:title=""/>
                <o:lock v:ext="edit" aspectratio="f"/>
                <v:textbox>
                  <w:txbxContent>
                    <w:p w14:paraId="07ED7342">
                      <w:pPr>
                        <w:keepNext w:val="0"/>
                        <w:keepLines w:val="0"/>
                        <w:pageBreakBefore w:val="0"/>
                        <w:widowControl w:val="0"/>
                        <w:kinsoku/>
                        <w:wordWrap/>
                        <w:overflowPunct/>
                        <w:topLinePunct w:val="0"/>
                        <w:bidi w:val="0"/>
                        <w:adjustRightInd w:val="0"/>
                        <w:snapToGrid w:val="0"/>
                        <w:textAlignment w:val="auto"/>
                        <w:rPr>
                          <w:rFonts w:hint="default" w:eastAsia="宋体"/>
                          <w:b/>
                          <w:bCs/>
                          <w:color w:val="FF0000"/>
                          <w:sz w:val="22"/>
                          <w:szCs w:val="24"/>
                          <w:lang w:val="en-US" w:eastAsia="zh-CN"/>
                        </w:rPr>
                      </w:pPr>
                      <w:r>
                        <w:rPr>
                          <w:rFonts w:hint="eastAsia"/>
                          <w:b/>
                          <w:bCs/>
                          <w:color w:val="FF0000"/>
                          <w:sz w:val="13"/>
                          <w:szCs w:val="13"/>
                          <w:lang w:val="en-US" w:eastAsia="zh-CN"/>
                        </w:rPr>
                        <w:t>初期雨水池</w:t>
                      </w:r>
                    </w:p>
                  </w:txbxContent>
                </v:textbox>
              </v:shape>
            </w:pict>
          </mc:Fallback>
        </mc:AlternateContent>
      </w:r>
      <w:r>
        <w:rPr>
          <w:color w:val="auto"/>
          <w:sz w:val="21"/>
          <w:highlight w:val="none"/>
        </w:rPr>
        <mc:AlternateContent>
          <mc:Choice Requires="wps">
            <w:drawing>
              <wp:anchor distT="0" distB="0" distL="114300" distR="114300" simplePos="0" relativeHeight="251769856" behindDoc="0" locked="0" layoutInCell="1" allowOverlap="1">
                <wp:simplePos x="0" y="0"/>
                <wp:positionH relativeFrom="column">
                  <wp:posOffset>2803525</wp:posOffset>
                </wp:positionH>
                <wp:positionV relativeFrom="paragraph">
                  <wp:posOffset>4031615</wp:posOffset>
                </wp:positionV>
                <wp:extent cx="401955" cy="142240"/>
                <wp:effectExtent l="0" t="0" r="0" b="0"/>
                <wp:wrapNone/>
                <wp:docPr id="391" name="文本框 31"/>
                <wp:cNvGraphicFramePr/>
                <a:graphic xmlns:a="http://schemas.openxmlformats.org/drawingml/2006/main">
                  <a:graphicData uri="http://schemas.microsoft.com/office/word/2010/wordprocessingShape">
                    <wps:wsp>
                      <wps:cNvSpPr txBox="1"/>
                      <wps:spPr>
                        <a:xfrm>
                          <a:off x="0" y="0"/>
                          <a:ext cx="401955" cy="142240"/>
                        </a:xfrm>
                        <a:prstGeom prst="rect">
                          <a:avLst/>
                        </a:prstGeom>
                        <a:solidFill>
                          <a:srgbClr val="FFFFFF">
                            <a:alpha val="0"/>
                          </a:srgbClr>
                        </a:solidFill>
                        <a:ln>
                          <a:noFill/>
                        </a:ln>
                      </wps:spPr>
                      <wps:txbx>
                        <w:txbxContent>
                          <w:p w14:paraId="31D529D5">
                            <w:pPr>
                              <w:keepNext w:val="0"/>
                              <w:keepLines w:val="0"/>
                              <w:pageBreakBefore w:val="0"/>
                              <w:widowControl w:val="0"/>
                              <w:kinsoku/>
                              <w:wordWrap/>
                              <w:overflowPunct/>
                              <w:topLinePunct w:val="0"/>
                              <w:bidi w:val="0"/>
                              <w:adjustRightInd w:val="0"/>
                              <w:snapToGrid w:val="0"/>
                              <w:textAlignment w:val="auto"/>
                              <w:rPr>
                                <w:rFonts w:hint="default" w:eastAsia="宋体"/>
                                <w:b/>
                                <w:bCs/>
                                <w:color w:val="FF0000"/>
                                <w:sz w:val="22"/>
                                <w:szCs w:val="24"/>
                                <w:lang w:val="en-US" w:eastAsia="zh-CN"/>
                              </w:rPr>
                            </w:pPr>
                            <w:r>
                              <w:rPr>
                                <w:rFonts w:hint="eastAsia"/>
                                <w:b/>
                                <w:bCs/>
                                <w:color w:val="FF0000"/>
                                <w:sz w:val="13"/>
                                <w:szCs w:val="13"/>
                                <w:lang w:val="en-US" w:eastAsia="zh-CN"/>
                              </w:rPr>
                              <w:t>隔油池</w:t>
                            </w:r>
                          </w:p>
                        </w:txbxContent>
                      </wps:txbx>
                      <wps:bodyPr vert="horz" wrap="square" lIns="0" tIns="0" rIns="0" bIns="0" anchor="t" anchorCtr="0" upright="0"/>
                    </wps:wsp>
                  </a:graphicData>
                </a:graphic>
              </wp:anchor>
            </w:drawing>
          </mc:Choice>
          <mc:Fallback>
            <w:pict>
              <v:shape id="文本框 31" o:spid="_x0000_s1026" o:spt="202" type="#_x0000_t202" style="position:absolute;left:0pt;margin-left:220.75pt;margin-top:317.45pt;height:11.2pt;width:31.65pt;z-index:251769856;mso-width-relative:page;mso-height-relative:page;" fillcolor="#FFFFFF" filled="t" stroked="f" coordsize="21600,21600" o:gfxdata="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QjTrHZAAAACwEAAA8AAAAAAAAAAQAgAAAAIgAAAGRycy9kb3ducmV2&#10;LnhtbFBLAQIUABQAAAAIAIdO4kBAT0xG+wEAAO0DAAAOAAAAAAAAAAEAIAAAACgBAABkcnMvZTJv&#10;RG9jLnhtbFBLBQYAAAAABgAGAFkBAACVBQAAAAA=&#10;">
                <v:fill on="t" opacity="0f" focussize="0,0"/>
                <v:stroke on="f"/>
                <v:imagedata o:title=""/>
                <o:lock v:ext="edit" aspectratio="f"/>
                <v:textbox inset="0mm,0mm,0mm,0mm">
                  <w:txbxContent>
                    <w:p w14:paraId="31D529D5">
                      <w:pPr>
                        <w:keepNext w:val="0"/>
                        <w:keepLines w:val="0"/>
                        <w:pageBreakBefore w:val="0"/>
                        <w:widowControl w:val="0"/>
                        <w:kinsoku/>
                        <w:wordWrap/>
                        <w:overflowPunct/>
                        <w:topLinePunct w:val="0"/>
                        <w:bidi w:val="0"/>
                        <w:adjustRightInd w:val="0"/>
                        <w:snapToGrid w:val="0"/>
                        <w:textAlignment w:val="auto"/>
                        <w:rPr>
                          <w:rFonts w:hint="default" w:eastAsia="宋体"/>
                          <w:b/>
                          <w:bCs/>
                          <w:color w:val="FF0000"/>
                          <w:sz w:val="22"/>
                          <w:szCs w:val="24"/>
                          <w:lang w:val="en-US" w:eastAsia="zh-CN"/>
                        </w:rPr>
                      </w:pPr>
                      <w:r>
                        <w:rPr>
                          <w:rFonts w:hint="eastAsia"/>
                          <w:b/>
                          <w:bCs/>
                          <w:color w:val="FF0000"/>
                          <w:sz w:val="13"/>
                          <w:szCs w:val="13"/>
                          <w:lang w:val="en-US" w:eastAsia="zh-CN"/>
                        </w:rPr>
                        <w:t>隔油池</w:t>
                      </w:r>
                    </w:p>
                  </w:txbxContent>
                </v:textbox>
              </v:shape>
            </w:pict>
          </mc:Fallback>
        </mc:AlternateContent>
      </w:r>
      <w:r>
        <w:rPr>
          <w:color w:val="auto"/>
          <w:sz w:val="21"/>
          <w:highlight w:val="none"/>
        </w:rPr>
        <mc:AlternateContent>
          <mc:Choice Requires="wps">
            <w:drawing>
              <wp:anchor distT="0" distB="0" distL="114300" distR="114300" simplePos="0" relativeHeight="251771904" behindDoc="0" locked="0" layoutInCell="1" allowOverlap="1">
                <wp:simplePos x="0" y="0"/>
                <wp:positionH relativeFrom="column">
                  <wp:posOffset>2829560</wp:posOffset>
                </wp:positionH>
                <wp:positionV relativeFrom="paragraph">
                  <wp:posOffset>4222750</wp:posOffset>
                </wp:positionV>
                <wp:extent cx="447040" cy="170815"/>
                <wp:effectExtent l="0" t="0" r="0" b="0"/>
                <wp:wrapNone/>
                <wp:docPr id="393" name="文本框 31"/>
                <wp:cNvGraphicFramePr/>
                <a:graphic xmlns:a="http://schemas.openxmlformats.org/drawingml/2006/main">
                  <a:graphicData uri="http://schemas.microsoft.com/office/word/2010/wordprocessingShape">
                    <wps:wsp>
                      <wps:cNvSpPr txBox="1"/>
                      <wps:spPr>
                        <a:xfrm>
                          <a:off x="0" y="0"/>
                          <a:ext cx="447040" cy="170815"/>
                        </a:xfrm>
                        <a:prstGeom prst="rect">
                          <a:avLst/>
                        </a:prstGeom>
                        <a:solidFill>
                          <a:srgbClr val="FFFFFF">
                            <a:alpha val="0"/>
                          </a:srgbClr>
                        </a:solidFill>
                        <a:ln>
                          <a:noFill/>
                        </a:ln>
                      </wps:spPr>
                      <wps:txbx>
                        <w:txbxContent>
                          <w:p w14:paraId="3654D662">
                            <w:pPr>
                              <w:keepNext w:val="0"/>
                              <w:keepLines w:val="0"/>
                              <w:pageBreakBefore w:val="0"/>
                              <w:widowControl w:val="0"/>
                              <w:kinsoku/>
                              <w:wordWrap/>
                              <w:overflowPunct/>
                              <w:topLinePunct w:val="0"/>
                              <w:bidi w:val="0"/>
                              <w:adjustRightInd w:val="0"/>
                              <w:snapToGrid w:val="0"/>
                              <w:textAlignment w:val="auto"/>
                              <w:rPr>
                                <w:rFonts w:hint="default" w:eastAsia="宋体"/>
                                <w:b/>
                                <w:bCs/>
                                <w:color w:val="FF0000"/>
                                <w:sz w:val="22"/>
                                <w:szCs w:val="24"/>
                                <w:lang w:val="en-US" w:eastAsia="zh-CN"/>
                              </w:rPr>
                            </w:pPr>
                            <w:r>
                              <w:rPr>
                                <w:rFonts w:hint="eastAsia"/>
                                <w:b/>
                                <w:bCs/>
                                <w:color w:val="FF0000"/>
                                <w:sz w:val="13"/>
                                <w:szCs w:val="13"/>
                                <w:lang w:val="en-US" w:eastAsia="zh-CN"/>
                              </w:rPr>
                              <w:t>封水井</w:t>
                            </w:r>
                          </w:p>
                        </w:txbxContent>
                      </wps:txbx>
                      <wps:bodyPr wrap="square" lIns="0" tIns="0" rIns="0" bIns="0" upright="0"/>
                    </wps:wsp>
                  </a:graphicData>
                </a:graphic>
              </wp:anchor>
            </w:drawing>
          </mc:Choice>
          <mc:Fallback>
            <w:pict>
              <v:shape id="文本框 31" o:spid="_x0000_s1026" o:spt="202" type="#_x0000_t202" style="position:absolute;left:0pt;margin-left:222.8pt;margin-top:332.5pt;height:13.45pt;width:35.2pt;z-index:251771904;mso-width-relative:page;mso-height-relative:page;" fillcolor="#FFFFFF" filled="t" stroked="f" coordsize="21600,21600" o:gfxdata="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v/J+CNgA&#10;AAALAQAADwAAAAAAAAABACAAAAAiAAAAZHJzL2Rvd25yZXYueG1sUEsBAhQAFAAAAAgAh07iQDeF&#10;qRXmAQAAyAMAAA4AAAAAAAAAAQAgAAAAJwEAAGRycy9lMm9Eb2MueG1sUEsFBgAAAAAGAAYAWQEA&#10;AH8FAAAAAA==&#10;">
                <v:fill on="t" opacity="0f" focussize="0,0"/>
                <v:stroke on="f"/>
                <v:imagedata o:title=""/>
                <o:lock v:ext="edit" aspectratio="f"/>
                <v:textbox inset="0mm,0mm,0mm,0mm">
                  <w:txbxContent>
                    <w:p w14:paraId="3654D662">
                      <w:pPr>
                        <w:keepNext w:val="0"/>
                        <w:keepLines w:val="0"/>
                        <w:pageBreakBefore w:val="0"/>
                        <w:widowControl w:val="0"/>
                        <w:kinsoku/>
                        <w:wordWrap/>
                        <w:overflowPunct/>
                        <w:topLinePunct w:val="0"/>
                        <w:bidi w:val="0"/>
                        <w:adjustRightInd w:val="0"/>
                        <w:snapToGrid w:val="0"/>
                        <w:textAlignment w:val="auto"/>
                        <w:rPr>
                          <w:rFonts w:hint="default" w:eastAsia="宋体"/>
                          <w:b/>
                          <w:bCs/>
                          <w:color w:val="FF0000"/>
                          <w:sz w:val="22"/>
                          <w:szCs w:val="24"/>
                          <w:lang w:val="en-US" w:eastAsia="zh-CN"/>
                        </w:rPr>
                      </w:pPr>
                      <w:r>
                        <w:rPr>
                          <w:rFonts w:hint="eastAsia"/>
                          <w:b/>
                          <w:bCs/>
                          <w:color w:val="FF0000"/>
                          <w:sz w:val="13"/>
                          <w:szCs w:val="13"/>
                          <w:lang w:val="en-US" w:eastAsia="zh-CN"/>
                        </w:rPr>
                        <w:t>封水井</w:t>
                      </w:r>
                    </w:p>
                  </w:txbxContent>
                </v:textbox>
              </v:shape>
            </w:pict>
          </mc:Fallback>
        </mc:AlternateContent>
      </w:r>
      <w:r>
        <w:rPr>
          <w:color w:val="auto"/>
          <w:sz w:val="21"/>
          <w:highlight w:val="none"/>
        </w:rPr>
        <mc:AlternateContent>
          <mc:Choice Requires="wps">
            <w:drawing>
              <wp:anchor distT="0" distB="0" distL="114300" distR="114300" simplePos="0" relativeHeight="251770880" behindDoc="0" locked="0" layoutInCell="1" allowOverlap="1">
                <wp:simplePos x="0" y="0"/>
                <wp:positionH relativeFrom="column">
                  <wp:posOffset>2894965</wp:posOffset>
                </wp:positionH>
                <wp:positionV relativeFrom="paragraph">
                  <wp:posOffset>4253230</wp:posOffset>
                </wp:positionV>
                <wp:extent cx="76200" cy="90805"/>
                <wp:effectExtent l="17145" t="14605" r="20955" b="27940"/>
                <wp:wrapNone/>
                <wp:docPr id="392" name="矩形 884"/>
                <wp:cNvGraphicFramePr/>
                <a:graphic xmlns:a="http://schemas.openxmlformats.org/drawingml/2006/main">
                  <a:graphicData uri="http://schemas.microsoft.com/office/word/2010/wordprocessingShape">
                    <wps:wsp>
                      <wps:cNvSpPr/>
                      <wps:spPr>
                        <a:xfrm rot="-960000">
                          <a:off x="0" y="0"/>
                          <a:ext cx="76200" cy="90805"/>
                        </a:xfrm>
                        <a:prstGeom prst="rect">
                          <a:avLst/>
                        </a:prstGeom>
                        <a:solidFill>
                          <a:srgbClr val="FFFFFF"/>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84" o:spid="_x0000_s1026" o:spt="1" style="position:absolute;left:0pt;margin-left:227.95pt;margin-top:334.9pt;height:7.15pt;width:6pt;rotation:-1048576f;z-index:251770880;mso-width-relative:page;mso-height-relative:page;" fillcolor="#FFFFFF" filled="t" stroked="t" coordsize="21600,21600" o:gfxdata="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BQ/ou9gAAAALAQAADwAAAAAAAAABACAAAAAiAAAAZHJzL2Rvd25yZXYueG1sUEsBAhQAFAAAAAgA&#10;h07iQJ02ggglAgAAYAQAAA4AAAAAAAAAAQAgAAAAJwEAAGRycy9lMm9Eb2MueG1sUEsFBgAAAAAG&#10;AAYAWQEAAL4FAAAAAA==&#10;">
                <v:fill on="t" focussize="0,0"/>
                <v:stroke color="#000000" joinstyle="miter"/>
                <v:imagedata o:title=""/>
                <o:lock v:ext="edit" aspectratio="f"/>
              </v:rect>
            </w:pict>
          </mc:Fallback>
        </mc:AlternateContent>
      </w:r>
      <w:r>
        <w:rPr>
          <w:color w:val="auto"/>
          <w:sz w:val="21"/>
          <w:highlight w:val="none"/>
        </w:rPr>
        <mc:AlternateContent>
          <mc:Choice Requires="wps">
            <w:drawing>
              <wp:anchor distT="0" distB="0" distL="114300" distR="114300" simplePos="0" relativeHeight="251767808" behindDoc="0" locked="0" layoutInCell="1" allowOverlap="1">
                <wp:simplePos x="0" y="0"/>
                <wp:positionH relativeFrom="column">
                  <wp:posOffset>2839720</wp:posOffset>
                </wp:positionH>
                <wp:positionV relativeFrom="paragraph">
                  <wp:posOffset>4009390</wp:posOffset>
                </wp:positionV>
                <wp:extent cx="127635" cy="168275"/>
                <wp:effectExtent l="26670" t="20320" r="36195" b="20955"/>
                <wp:wrapNone/>
                <wp:docPr id="389" name="矩形 882"/>
                <wp:cNvGraphicFramePr/>
                <a:graphic xmlns:a="http://schemas.openxmlformats.org/drawingml/2006/main">
                  <a:graphicData uri="http://schemas.microsoft.com/office/word/2010/wordprocessingShape">
                    <wps:wsp>
                      <wps:cNvSpPr/>
                      <wps:spPr>
                        <a:xfrm rot="-960000">
                          <a:off x="0" y="0"/>
                          <a:ext cx="127635" cy="168275"/>
                        </a:xfrm>
                        <a:prstGeom prst="rect">
                          <a:avLst/>
                        </a:prstGeom>
                        <a:solidFill>
                          <a:srgbClr val="FFFFFF"/>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82" o:spid="_x0000_s1026" o:spt="1" style="position:absolute;left:0pt;margin-left:223.6pt;margin-top:315.7pt;height:13.25pt;width:10.05pt;rotation:-1048576f;z-index:251767808;mso-width-relative:page;mso-height-relative:page;" fillcolor="#FFFFFF" filled="t" stroked="t" coordsize="21600,21600" o:gfxdata="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pZwo22gAAAAsBAAAPAAAAAAAAAAEAIAAAACIAAABkcnMvZG93bnJldi54bWxQSwECFAAU&#10;AAAACACHTuJA7VwsHigCAABiBAAADgAAAAAAAAABACAAAAApAQAAZHJzL2Uyb0RvYy54bWxQSwUG&#10;AAAAAAYABgBZAQAAwwUAAAAA&#10;">
                <v:fill on="t" focussize="0,0"/>
                <v:stroke color="#000000" joinstyle="miter"/>
                <v:imagedata o:title=""/>
                <o:lock v:ext="edit" aspectratio="f"/>
              </v:rect>
            </w:pict>
          </mc:Fallback>
        </mc:AlternateContent>
      </w:r>
      <w:r>
        <w:rPr>
          <w:color w:val="auto"/>
          <w:sz w:val="21"/>
          <w:highlight w:val="none"/>
        </w:rPr>
        <mc:AlternateContent>
          <mc:Choice Requires="wps">
            <w:drawing>
              <wp:anchor distT="0" distB="0" distL="114300" distR="114300" simplePos="0" relativeHeight="251692032" behindDoc="0" locked="0" layoutInCell="1" allowOverlap="1">
                <wp:simplePos x="0" y="0"/>
                <wp:positionH relativeFrom="column">
                  <wp:posOffset>2797175</wp:posOffset>
                </wp:positionH>
                <wp:positionV relativeFrom="paragraph">
                  <wp:posOffset>3940810</wp:posOffset>
                </wp:positionV>
                <wp:extent cx="127635" cy="76835"/>
                <wp:effectExtent l="13970" t="22225" r="29845" b="34290"/>
                <wp:wrapNone/>
                <wp:docPr id="33" name="矩形 786"/>
                <wp:cNvGraphicFramePr/>
                <a:graphic xmlns:a="http://schemas.openxmlformats.org/drawingml/2006/main">
                  <a:graphicData uri="http://schemas.microsoft.com/office/word/2010/wordprocessingShape">
                    <wps:wsp>
                      <wps:cNvSpPr/>
                      <wps:spPr>
                        <a:xfrm rot="-960000">
                          <a:off x="0" y="0"/>
                          <a:ext cx="127635" cy="76835"/>
                        </a:xfrm>
                        <a:prstGeom prst="rect">
                          <a:avLst/>
                        </a:prstGeom>
                        <a:solidFill>
                          <a:srgbClr val="FFFFFF"/>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786" o:spid="_x0000_s1026" o:spt="1" style="position:absolute;left:0pt;margin-left:220.25pt;margin-top:310.3pt;height:6.05pt;width:10.05pt;rotation:-1048576f;z-index:251692032;mso-width-relative:page;mso-height-relative:page;" fillcolor="#FFFFFF" filled="t" stroked="t" coordsize="21600,21600" o:gfxdata="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SIR/LZAAAACwEAAA8AAAAAAAAAAQAgAAAAIgAAAGRycy9kb3ducmV2LnhtbFBLAQIUABQAAAAI&#10;AIdO4kBIZ60dJQIAAGAEAAAOAAAAAAAAAAEAIAAAACgBAABkcnMvZTJvRG9jLnhtbFBLBQYAAAAA&#10;BgAGAFkBAAC/BQAAAAA=&#10;">
                <v:fill on="t" focussize="0,0"/>
                <v:stroke color="#000000" joinstyle="miter"/>
                <v:imagedata o:title=""/>
                <o:lock v:ext="edit" aspectratio="f"/>
              </v:rect>
            </w:pict>
          </mc:Fallback>
        </mc:AlternateContent>
      </w:r>
      <w:r>
        <w:rPr>
          <w:color w:val="auto"/>
          <w:highlight w:val="none"/>
        </w:rPr>
        <w:drawing>
          <wp:inline distT="0" distB="0" distL="114300" distR="114300">
            <wp:extent cx="8688705" cy="5550535"/>
            <wp:effectExtent l="0" t="0" r="17145" b="12065"/>
            <wp:docPr id="556"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320"/>
                    <pic:cNvPicPr>
                      <a:picLocks noChangeAspect="1"/>
                    </pic:cNvPicPr>
                  </pic:nvPicPr>
                  <pic:blipFill>
                    <a:blip r:embed="rId38"/>
                    <a:srcRect b="4898"/>
                    <a:stretch>
                      <a:fillRect/>
                    </a:stretch>
                  </pic:blipFill>
                  <pic:spPr>
                    <a:xfrm>
                      <a:off x="0" y="0"/>
                      <a:ext cx="8688705" cy="5550535"/>
                    </a:xfrm>
                    <a:prstGeom prst="rect">
                      <a:avLst/>
                    </a:prstGeom>
                    <a:noFill/>
                    <a:ln>
                      <a:noFill/>
                    </a:ln>
                  </pic:spPr>
                </pic:pic>
              </a:graphicData>
            </a:graphic>
          </wp:inline>
        </w:drawing>
      </w:r>
      <w:r>
        <w:rPr>
          <w:color w:val="auto"/>
          <w:highlight w:val="none"/>
        </w:rPr>
        <w:drawing>
          <wp:anchor distT="0" distB="0" distL="114300" distR="114300" simplePos="0" relativeHeight="251689984" behindDoc="0" locked="0" layoutInCell="1" allowOverlap="1">
            <wp:simplePos x="0" y="0"/>
            <wp:positionH relativeFrom="column">
              <wp:posOffset>7431405</wp:posOffset>
            </wp:positionH>
            <wp:positionV relativeFrom="paragraph">
              <wp:posOffset>83185</wp:posOffset>
            </wp:positionV>
            <wp:extent cx="1297305" cy="962660"/>
            <wp:effectExtent l="0" t="0" r="17145" b="8890"/>
            <wp:wrapNone/>
            <wp:docPr id="31" name="图片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84"/>
                    <pic:cNvPicPr>
                      <a:picLocks noChangeAspect="1"/>
                    </pic:cNvPicPr>
                  </pic:nvPicPr>
                  <pic:blipFill>
                    <a:blip r:embed="rId32"/>
                    <a:stretch>
                      <a:fillRect/>
                    </a:stretch>
                  </pic:blipFill>
                  <pic:spPr>
                    <a:xfrm>
                      <a:off x="0" y="0"/>
                      <a:ext cx="1297305" cy="962660"/>
                    </a:xfrm>
                    <a:prstGeom prst="rect">
                      <a:avLst/>
                    </a:prstGeom>
                    <a:noFill/>
                    <a:ln>
                      <a:noFill/>
                    </a:ln>
                  </pic:spPr>
                </pic:pic>
              </a:graphicData>
            </a:graphic>
          </wp:anchor>
        </w:drawing>
      </w:r>
    </w:p>
    <w:p w14:paraId="295226BC">
      <w:pPr>
        <w:jc w:val="center"/>
        <w:rPr>
          <w:rFonts w:ascii="Times New Roman" w:hAnsi="Times New Roman" w:eastAsia="宋体"/>
          <w:b/>
          <w:color w:val="auto"/>
          <w:sz w:val="24"/>
          <w:highlight w:val="none"/>
        </w:rPr>
      </w:pPr>
      <w:r>
        <w:rPr>
          <w:color w:val="auto"/>
          <w:sz w:val="21"/>
          <w:highlight w:val="none"/>
        </w:rPr>
        <mc:AlternateContent>
          <mc:Choice Requires="wps">
            <w:drawing>
              <wp:anchor distT="0" distB="0" distL="114300" distR="114300" simplePos="0" relativeHeight="251773952" behindDoc="0" locked="0" layoutInCell="1" allowOverlap="1">
                <wp:simplePos x="0" y="0"/>
                <wp:positionH relativeFrom="column">
                  <wp:posOffset>3370580</wp:posOffset>
                </wp:positionH>
                <wp:positionV relativeFrom="paragraph">
                  <wp:posOffset>5135245</wp:posOffset>
                </wp:positionV>
                <wp:extent cx="2419350" cy="323850"/>
                <wp:effectExtent l="4445" t="4445" r="14605" b="14605"/>
                <wp:wrapNone/>
                <wp:docPr id="340" name="文本框 785"/>
                <wp:cNvGraphicFramePr/>
                <a:graphic xmlns:a="http://schemas.openxmlformats.org/drawingml/2006/main">
                  <a:graphicData uri="http://schemas.microsoft.com/office/word/2010/wordprocessingShape">
                    <wps:wsp>
                      <wps:cNvSpPr txBox="1"/>
                      <wps:spPr>
                        <a:xfrm>
                          <a:off x="0" y="0"/>
                          <a:ext cx="2419350" cy="3238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98C3373">
                            <w:pPr>
                              <w:jc w:val="center"/>
                            </w:pPr>
                            <w:r>
                              <w:rPr>
                                <w:rFonts w:ascii="Times New Roman" w:hAnsi="Times New Roman" w:eastAsia="宋体"/>
                                <w:b/>
                                <w:color w:val="auto"/>
                                <w:sz w:val="24"/>
                              </w:rPr>
                              <w:t>图3.</w:t>
                            </w:r>
                            <w:r>
                              <w:rPr>
                                <w:rFonts w:hint="eastAsia" w:ascii="Times New Roman" w:hAnsi="Times New Roman" w:eastAsia="宋体"/>
                                <w:b/>
                                <w:color w:val="auto"/>
                                <w:sz w:val="24"/>
                                <w:lang w:val="en-US" w:eastAsia="zh-CN"/>
                              </w:rPr>
                              <w:t>1</w:t>
                            </w:r>
                            <w:r>
                              <w:rPr>
                                <w:rFonts w:ascii="Times New Roman" w:hAnsi="Times New Roman" w:eastAsia="宋体"/>
                                <w:b/>
                                <w:color w:val="auto"/>
                                <w:sz w:val="24"/>
                              </w:rPr>
                              <w:t>-</w:t>
                            </w:r>
                            <w:r>
                              <w:rPr>
                                <w:rFonts w:hint="eastAsia" w:ascii="Times New Roman" w:hAnsi="Times New Roman" w:eastAsia="宋体"/>
                                <w:b/>
                                <w:color w:val="auto"/>
                                <w:sz w:val="24"/>
                                <w:lang w:val="en-US" w:eastAsia="zh-CN"/>
                              </w:rPr>
                              <w:t>4</w:t>
                            </w:r>
                            <w:r>
                              <w:rPr>
                                <w:rFonts w:hint="eastAsia"/>
                                <w:b/>
                                <w:color w:val="auto"/>
                                <w:sz w:val="24"/>
                                <w:lang w:val="en-US" w:eastAsia="zh-CN"/>
                              </w:rPr>
                              <w:t xml:space="preserve">  </w:t>
                            </w:r>
                            <w:r>
                              <w:rPr>
                                <w:rFonts w:hint="eastAsia" w:ascii="Times New Roman" w:hAnsi="Times New Roman" w:eastAsia="宋体"/>
                                <w:b/>
                                <w:color w:val="auto"/>
                                <w:sz w:val="24"/>
                                <w:lang w:val="en-US" w:eastAsia="zh-CN"/>
                              </w:rPr>
                              <w:t>雨污管线图</w:t>
                            </w:r>
                          </w:p>
                        </w:txbxContent>
                      </wps:txbx>
                      <wps:bodyPr vert="horz" wrap="square" anchor="t" anchorCtr="0" upright="1"/>
                    </wps:wsp>
                  </a:graphicData>
                </a:graphic>
              </wp:anchor>
            </w:drawing>
          </mc:Choice>
          <mc:Fallback>
            <w:pict>
              <v:shape id="文本框 785" o:spid="_x0000_s1026" o:spt="202" type="#_x0000_t202" style="position:absolute;left:0pt;margin-left:265.4pt;margin-top:404.35pt;height:25.5pt;width:190.5pt;z-index:251773952;mso-width-relative:page;mso-height-relative:page;" fillcolor="#FFFFFF" filled="t" stroked="t" coordsize="21600,21600" o:gfxdata="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xdyCE2QAAAAsBAAAPAAAAAAAAAAEAIAAAACIAAABkcnMvZG93bnJldi54bWxQSwEC&#10;FAAUAAAACACHTuJAT79DqSwCAABtBAAADgAAAAAAAAABACAAAAAoAQAAZHJzL2Uyb0RvYy54bWxQ&#10;SwUGAAAAAAYABgBZAQAAxgUAAAAA&#10;">
                <v:fill on="t" focussize="0,0"/>
                <v:stroke color="#000000" joinstyle="miter"/>
                <v:imagedata o:title=""/>
                <o:lock v:ext="edit" aspectratio="f"/>
                <v:textbox>
                  <w:txbxContent>
                    <w:p w14:paraId="498C3373">
                      <w:pPr>
                        <w:jc w:val="center"/>
                      </w:pPr>
                      <w:r>
                        <w:rPr>
                          <w:rFonts w:ascii="Times New Roman" w:hAnsi="Times New Roman" w:eastAsia="宋体"/>
                          <w:b/>
                          <w:color w:val="auto"/>
                          <w:sz w:val="24"/>
                        </w:rPr>
                        <w:t>图3.</w:t>
                      </w:r>
                      <w:r>
                        <w:rPr>
                          <w:rFonts w:hint="eastAsia" w:ascii="Times New Roman" w:hAnsi="Times New Roman" w:eastAsia="宋体"/>
                          <w:b/>
                          <w:color w:val="auto"/>
                          <w:sz w:val="24"/>
                          <w:lang w:val="en-US" w:eastAsia="zh-CN"/>
                        </w:rPr>
                        <w:t>1</w:t>
                      </w:r>
                      <w:r>
                        <w:rPr>
                          <w:rFonts w:ascii="Times New Roman" w:hAnsi="Times New Roman" w:eastAsia="宋体"/>
                          <w:b/>
                          <w:color w:val="auto"/>
                          <w:sz w:val="24"/>
                        </w:rPr>
                        <w:t>-</w:t>
                      </w:r>
                      <w:r>
                        <w:rPr>
                          <w:rFonts w:hint="eastAsia" w:ascii="Times New Roman" w:hAnsi="Times New Roman" w:eastAsia="宋体"/>
                          <w:b/>
                          <w:color w:val="auto"/>
                          <w:sz w:val="24"/>
                          <w:lang w:val="en-US" w:eastAsia="zh-CN"/>
                        </w:rPr>
                        <w:t>4</w:t>
                      </w:r>
                      <w:r>
                        <w:rPr>
                          <w:rFonts w:hint="eastAsia"/>
                          <w:b/>
                          <w:color w:val="auto"/>
                          <w:sz w:val="24"/>
                          <w:lang w:val="en-US" w:eastAsia="zh-CN"/>
                        </w:rPr>
                        <w:t xml:space="preserve">  </w:t>
                      </w:r>
                      <w:r>
                        <w:rPr>
                          <w:rFonts w:hint="eastAsia" w:ascii="Times New Roman" w:hAnsi="Times New Roman" w:eastAsia="宋体"/>
                          <w:b/>
                          <w:color w:val="auto"/>
                          <w:sz w:val="24"/>
                          <w:lang w:val="en-US" w:eastAsia="zh-CN"/>
                        </w:rPr>
                        <w:t>雨污管线图</w:t>
                      </w:r>
                    </w:p>
                  </w:txbxContent>
                </v:textbox>
              </v:shape>
            </w:pict>
          </mc:Fallback>
        </mc:AlternateContent>
      </w:r>
      <w:r>
        <w:rPr>
          <w:color w:val="auto"/>
          <w:sz w:val="24"/>
          <w:highlight w:val="none"/>
        </w:rPr>
        <mc:AlternateContent>
          <mc:Choice Requires="wps">
            <w:drawing>
              <wp:anchor distT="0" distB="0" distL="114300" distR="114300" simplePos="0" relativeHeight="251765760" behindDoc="0" locked="0" layoutInCell="1" allowOverlap="1">
                <wp:simplePos x="0" y="0"/>
                <wp:positionH relativeFrom="column">
                  <wp:posOffset>1715770</wp:posOffset>
                </wp:positionH>
                <wp:positionV relativeFrom="paragraph">
                  <wp:posOffset>2287270</wp:posOffset>
                </wp:positionV>
                <wp:extent cx="80010" cy="76200"/>
                <wp:effectExtent l="15875" t="16510" r="18415" b="21590"/>
                <wp:wrapNone/>
                <wp:docPr id="378" name="矩形 871"/>
                <wp:cNvGraphicFramePr/>
                <a:graphic xmlns:a="http://schemas.openxmlformats.org/drawingml/2006/main">
                  <a:graphicData uri="http://schemas.microsoft.com/office/word/2010/wordprocessingShape">
                    <wps:wsp>
                      <wps:cNvSpPr/>
                      <wps:spPr>
                        <a:xfrm rot="-1080000">
                          <a:off x="0" y="0"/>
                          <a:ext cx="80010" cy="76200"/>
                        </a:xfrm>
                        <a:prstGeom prst="rect">
                          <a:avLst/>
                        </a:prstGeom>
                        <a:solidFill>
                          <a:srgbClr val="FF0000">
                            <a:alpha val="53000"/>
                          </a:srgbClr>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矩形 871" o:spid="_x0000_s1026" o:spt="1" style="position:absolute;left:0pt;margin-left:135.1pt;margin-top:180.1pt;height:6pt;width:6.3pt;rotation:-1179648f;z-index:251765760;mso-width-relative:page;mso-height-relative:page;" fillcolor="#FF0000" filled="t" stroked="t" coordsize="21600,21600" o:gfxdata="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0kRgsdgA&#10;AAALAQAADwAAAAAAAAABACAAAAAiAAAAZHJzL2Rvd25yZXYueG1sUEsBAhQAFAAAAAgAh07iQPN+&#10;wCUfAgAAXQQAAA4AAAAAAAAAAQAgAAAAJwEAAGRycy9lMm9Eb2MueG1sUEsFBgAAAAAGAAYAWQEA&#10;ALgFAAAAAA==&#10;">
                <v:fill on="t" opacity="34734f" focussize="0,0"/>
                <v:stroke color="#00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62688" behindDoc="0" locked="0" layoutInCell="1" allowOverlap="1">
                <wp:simplePos x="0" y="0"/>
                <wp:positionH relativeFrom="column">
                  <wp:posOffset>2043430</wp:posOffset>
                </wp:positionH>
                <wp:positionV relativeFrom="paragraph">
                  <wp:posOffset>2552700</wp:posOffset>
                </wp:positionV>
                <wp:extent cx="1172210" cy="319405"/>
                <wp:effectExtent l="21590" t="155575" r="25400" b="172720"/>
                <wp:wrapNone/>
                <wp:docPr id="366" name="矩形 855"/>
                <wp:cNvGraphicFramePr/>
                <a:graphic xmlns:a="http://schemas.openxmlformats.org/drawingml/2006/main">
                  <a:graphicData uri="http://schemas.microsoft.com/office/word/2010/wordprocessingShape">
                    <wps:wsp>
                      <wps:cNvSpPr/>
                      <wps:spPr>
                        <a:xfrm rot="-960000">
                          <a:off x="0" y="0"/>
                          <a:ext cx="1172210" cy="319405"/>
                        </a:xfrm>
                        <a:prstGeom prst="rect">
                          <a:avLst/>
                        </a:prstGeom>
                        <a:solidFill>
                          <a:srgbClr val="4F81BD">
                            <a:alpha val="50000"/>
                          </a:srgbClr>
                        </a:solidFill>
                        <a:ln>
                          <a:noFill/>
                        </a:ln>
                      </wps:spPr>
                      <wps:bodyPr vert="horz" wrap="square" anchor="t" anchorCtr="0" upright="1"/>
                    </wps:wsp>
                  </a:graphicData>
                </a:graphic>
              </wp:anchor>
            </w:drawing>
          </mc:Choice>
          <mc:Fallback>
            <w:pict>
              <v:rect id="矩形 855" o:spid="_x0000_s1026" o:spt="1" style="position:absolute;left:0pt;margin-left:160.9pt;margin-top:201pt;height:25.15pt;width:92.3pt;rotation:-1048576f;z-index:251762688;mso-width-relative:page;mso-height-relative:page;" fillcolor="#4F81BD" filled="t" stroked="f" coordsize="21600,21600" o:gfxdata="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wXV9XaAAAACwEAAA8AAAAAAAAAAQAgAAAAIgAAAGRycy9kb3ducmV2LnhtbFBLAQIUABQA&#10;AAAIAIdO4kCj2X/p7gEAAMUDAAAOAAAAAAAAAAEAIAAAACkBAABkcnMvZTJvRG9jLnhtbFBLBQYA&#10;AAAABgAGAFkBAACJBQAAAAA=&#10;">
                <v:fill on="t" opacity="32768f" focussize="0,0"/>
                <v:stroke on="f"/>
                <v:imagedata o:title=""/>
                <o:lock v:ext="edit" aspectratio="f"/>
              </v:rect>
            </w:pict>
          </mc:Fallback>
        </mc:AlternateContent>
      </w:r>
      <w:r>
        <w:rPr>
          <w:color w:val="auto"/>
          <w:sz w:val="24"/>
          <w:highlight w:val="none"/>
        </w:rPr>
        <mc:AlternateContent>
          <mc:Choice Requires="wps">
            <w:drawing>
              <wp:anchor distT="0" distB="0" distL="114300" distR="114300" simplePos="0" relativeHeight="251761664" behindDoc="0" locked="0" layoutInCell="1" allowOverlap="1">
                <wp:simplePos x="0" y="0"/>
                <wp:positionH relativeFrom="column">
                  <wp:posOffset>1844675</wp:posOffset>
                </wp:positionH>
                <wp:positionV relativeFrom="paragraph">
                  <wp:posOffset>1695450</wp:posOffset>
                </wp:positionV>
                <wp:extent cx="1315085" cy="727710"/>
                <wp:effectExtent l="74930" t="167005" r="76835" b="172085"/>
                <wp:wrapNone/>
                <wp:docPr id="365" name="矩形 854"/>
                <wp:cNvGraphicFramePr/>
                <a:graphic xmlns:a="http://schemas.openxmlformats.org/drawingml/2006/main">
                  <a:graphicData uri="http://schemas.microsoft.com/office/word/2010/wordprocessingShape">
                    <wps:wsp>
                      <wps:cNvSpPr/>
                      <wps:spPr>
                        <a:xfrm rot="-960000">
                          <a:off x="0" y="0"/>
                          <a:ext cx="1315085" cy="727710"/>
                        </a:xfrm>
                        <a:prstGeom prst="rect">
                          <a:avLst/>
                        </a:prstGeom>
                        <a:solidFill>
                          <a:srgbClr val="4F81BD">
                            <a:alpha val="50000"/>
                          </a:srgbClr>
                        </a:solidFill>
                        <a:ln>
                          <a:noFill/>
                        </a:ln>
                      </wps:spPr>
                      <wps:bodyPr vert="horz" wrap="square" anchor="t" anchorCtr="0" upright="1"/>
                    </wps:wsp>
                  </a:graphicData>
                </a:graphic>
              </wp:anchor>
            </w:drawing>
          </mc:Choice>
          <mc:Fallback>
            <w:pict>
              <v:rect id="矩形 854" o:spid="_x0000_s1026" o:spt="1" style="position:absolute;left:0pt;margin-left:145.25pt;margin-top:133.5pt;height:57.3pt;width:103.55pt;rotation:-1048576f;z-index:251761664;mso-width-relative:page;mso-height-relative:page;" fillcolor="#4F81BD" filled="t" stroked="f" coordsize="21600,21600" o:gfxdata="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QXdqZ2wAAAAsBAAAPAAAAAAAAAAEAIAAAACIAAABkcnMvZG93bnJldi54bWxQSwECFAAU&#10;AAAACACHTuJAqskpj+4BAADFAwAADgAAAAAAAAABACAAAAAqAQAAZHJzL2Uyb0RvYy54bWxQSwUG&#10;AAAAAAYABgBZAQAAigUAAAAA&#10;">
                <v:fill on="t" opacity="32768f" focussize="0,0"/>
                <v:stroke on="f"/>
                <v:imagedata o:title=""/>
                <o:lock v:ext="edit" aspectratio="f"/>
              </v:rect>
            </w:pict>
          </mc:Fallback>
        </mc:AlternateContent>
      </w:r>
      <w:r>
        <w:rPr>
          <w:color w:val="auto"/>
          <w:sz w:val="24"/>
          <w:highlight w:val="none"/>
        </w:rPr>
        <mc:AlternateContent>
          <mc:Choice Requires="wps">
            <w:drawing>
              <wp:anchor distT="0" distB="0" distL="114300" distR="114300" simplePos="0" relativeHeight="251759616" behindDoc="0" locked="0" layoutInCell="1" allowOverlap="1">
                <wp:simplePos x="0" y="0"/>
                <wp:positionH relativeFrom="column">
                  <wp:posOffset>3072130</wp:posOffset>
                </wp:positionH>
                <wp:positionV relativeFrom="paragraph">
                  <wp:posOffset>2447290</wp:posOffset>
                </wp:positionV>
                <wp:extent cx="80010" cy="145415"/>
                <wp:effectExtent l="26670" t="14605" r="26670" b="30480"/>
                <wp:wrapNone/>
                <wp:docPr id="363" name="矩形 849"/>
                <wp:cNvGraphicFramePr/>
                <a:graphic xmlns:a="http://schemas.openxmlformats.org/drawingml/2006/main">
                  <a:graphicData uri="http://schemas.microsoft.com/office/word/2010/wordprocessingShape">
                    <wps:wsp>
                      <wps:cNvSpPr/>
                      <wps:spPr>
                        <a:xfrm rot="-1080000">
                          <a:off x="0" y="0"/>
                          <a:ext cx="80010" cy="145415"/>
                        </a:xfrm>
                        <a:prstGeom prst="rect">
                          <a:avLst/>
                        </a:prstGeom>
                        <a:solidFill>
                          <a:srgbClr val="4F81BD"/>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49" o:spid="_x0000_s1026" o:spt="1" style="position:absolute;left:0pt;margin-left:241.9pt;margin-top:192.7pt;height:11.45pt;width:6.3pt;rotation:-1179648f;z-index:251759616;mso-width-relative:page;mso-height-relative:page;" fillcolor="#4F81BD" filled="t" stroked="t" coordsize="21600,21600" o:gfxdata="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Wo3/ENgAAAALAQAADwAAAAAAAAABACAAAAAiAAAAZHJzL2Rvd25yZXYueG1sUEsBAhQA&#10;FAAAAAgAh07iQL6xbFYrAgAAYgQAAA4AAAAAAAAAAQAgAAAAJwEAAGRycy9lMm9Eb2MueG1sUEsF&#10;BgAAAAAGAAYAWQEAAMQFAAAAAA==&#10;">
                <v:fill on="t" focussize="0,0"/>
                <v:stroke color="#00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57568" behindDoc="0" locked="0" layoutInCell="1" allowOverlap="1">
                <wp:simplePos x="0" y="0"/>
                <wp:positionH relativeFrom="column">
                  <wp:posOffset>2995930</wp:posOffset>
                </wp:positionH>
                <wp:positionV relativeFrom="paragraph">
                  <wp:posOffset>2475865</wp:posOffset>
                </wp:positionV>
                <wp:extent cx="80010" cy="145415"/>
                <wp:effectExtent l="26670" t="14605" r="26670" b="30480"/>
                <wp:wrapNone/>
                <wp:docPr id="361" name="矩形 847"/>
                <wp:cNvGraphicFramePr/>
                <a:graphic xmlns:a="http://schemas.openxmlformats.org/drawingml/2006/main">
                  <a:graphicData uri="http://schemas.microsoft.com/office/word/2010/wordprocessingShape">
                    <wps:wsp>
                      <wps:cNvSpPr/>
                      <wps:spPr>
                        <a:xfrm rot="-1080000">
                          <a:off x="0" y="0"/>
                          <a:ext cx="80010" cy="145415"/>
                        </a:xfrm>
                        <a:prstGeom prst="rect">
                          <a:avLst/>
                        </a:prstGeom>
                        <a:solidFill>
                          <a:srgbClr val="FF0000">
                            <a:alpha val="53000"/>
                          </a:srgbClr>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47" o:spid="_x0000_s1026" o:spt="1" style="position:absolute;left:0pt;margin-left:235.9pt;margin-top:194.95pt;height:11.45pt;width:6.3pt;rotation:-1179648f;z-index:251757568;mso-width-relative:page;mso-height-relative:page;" fillcolor="#FF0000" filled="t" stroked="t" coordsize="21600,21600" o:gfxdata="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kJRxx2wAAAAsBAAAPAAAAAAAAAAEAIAAAACIAAABkcnMvZG93&#10;bnJldi54bWxQSwECFAAUAAAACACHTuJAYeAihDYCAACDBAAADgAAAAAAAAABACAAAAAqAQAAZHJz&#10;L2Uyb0RvYy54bWxQSwUGAAAAAAYABgBZAQAA0gUAAAAA&#10;">
                <v:fill on="t" opacity="34734f" focussize="0,0"/>
                <v:stroke color="#00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53472" behindDoc="0" locked="0" layoutInCell="1" allowOverlap="1">
                <wp:simplePos x="0" y="0"/>
                <wp:positionH relativeFrom="column">
                  <wp:posOffset>1925320</wp:posOffset>
                </wp:positionH>
                <wp:positionV relativeFrom="paragraph">
                  <wp:posOffset>2249805</wp:posOffset>
                </wp:positionV>
                <wp:extent cx="1692910" cy="454025"/>
                <wp:effectExtent l="2540" t="8890" r="19050" b="13335"/>
                <wp:wrapNone/>
                <wp:docPr id="357" name="直线 800"/>
                <wp:cNvGraphicFramePr/>
                <a:graphic xmlns:a="http://schemas.openxmlformats.org/drawingml/2006/main">
                  <a:graphicData uri="http://schemas.microsoft.com/office/word/2010/wordprocessingShape">
                    <wps:wsp>
                      <wps:cNvCnPr/>
                      <wps:spPr>
                        <a:xfrm flipH="1">
                          <a:off x="0" y="0"/>
                          <a:ext cx="1692910" cy="454025"/>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800" o:spid="_x0000_s1026" o:spt="20" style="position:absolute;left:0pt;flip:x;margin-left:151.6pt;margin-top:177.15pt;height:35.75pt;width:133.3pt;z-index:251753472;mso-width-relative:page;mso-height-relative:page;" filled="f" stroked="t" coordsize="21600,21600" o:gfxdata="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y2YvaAAAACwEAAA8AAAAAAAAAAQAgAAAAIgAAAGRycy9kb3du&#10;cmV2LnhtbFBLAQIUABQAAAAIAIdO4kAnpBNk/QEAAPgDAAAOAAAAAAAAAAEAIAAAACkBAABkcnMv&#10;ZTJvRG9jLnhtbFBLBQYAAAAABgAGAFkBAACYBQ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696128" behindDoc="0" locked="0" layoutInCell="1" allowOverlap="1">
                <wp:simplePos x="0" y="0"/>
                <wp:positionH relativeFrom="column">
                  <wp:posOffset>3538855</wp:posOffset>
                </wp:positionH>
                <wp:positionV relativeFrom="paragraph">
                  <wp:posOffset>2204720</wp:posOffset>
                </wp:positionV>
                <wp:extent cx="1972310" cy="884555"/>
                <wp:effectExtent l="3810" t="8890" r="5080" b="20955"/>
                <wp:wrapNone/>
                <wp:docPr id="37" name="直线 793"/>
                <wp:cNvGraphicFramePr/>
                <a:graphic xmlns:a="http://schemas.openxmlformats.org/drawingml/2006/main">
                  <a:graphicData uri="http://schemas.microsoft.com/office/word/2010/wordprocessingShape">
                    <wps:wsp>
                      <wps:cNvCnPr/>
                      <wps:spPr>
                        <a:xfrm flipH="1" flipV="1">
                          <a:off x="0" y="0"/>
                          <a:ext cx="1972310" cy="884555"/>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3" o:spid="_x0000_s1026" o:spt="20" style="position:absolute;left:0pt;flip:x y;margin-left:278.65pt;margin-top:173.6pt;height:69.65pt;width:155.3pt;z-index:251696128;mso-width-relative:page;mso-height-relative:page;" filled="f" stroked="t" coordsize="21600,21600" o:gfxdata="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xl+S9sAAAALAQAADwAAAAAAAAABACAAAAAiAAAAZHJz&#10;L2Rvd25yZXYueG1sUEsBAhQAFAAAAAgAh07iQM4HkY4BAgAAAQQAAA4AAAAAAAAAAQAgAAAAKgEA&#10;AGRycy9lMm9Eb2MueG1sUEsFBgAAAAAGAAYAWQEAAJ0FA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752448" behindDoc="0" locked="0" layoutInCell="1" allowOverlap="1">
                <wp:simplePos x="0" y="0"/>
                <wp:positionH relativeFrom="column">
                  <wp:posOffset>3181985</wp:posOffset>
                </wp:positionH>
                <wp:positionV relativeFrom="paragraph">
                  <wp:posOffset>1452880</wp:posOffset>
                </wp:positionV>
                <wp:extent cx="346075" cy="746760"/>
                <wp:effectExtent l="8890" t="3810" r="26035" b="11430"/>
                <wp:wrapNone/>
                <wp:docPr id="356" name="直线 799"/>
                <wp:cNvGraphicFramePr/>
                <a:graphic xmlns:a="http://schemas.openxmlformats.org/drawingml/2006/main">
                  <a:graphicData uri="http://schemas.microsoft.com/office/word/2010/wordprocessingShape">
                    <wps:wsp>
                      <wps:cNvCnPr/>
                      <wps:spPr>
                        <a:xfrm flipH="1" flipV="1">
                          <a:off x="0" y="0"/>
                          <a:ext cx="346075" cy="746760"/>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9" o:spid="_x0000_s1026" o:spt="20" style="position:absolute;left:0pt;flip:x y;margin-left:250.55pt;margin-top:114.4pt;height:58.8pt;width:27.25pt;z-index:251752448;mso-width-relative:page;mso-height-relative:page;" filled="f" stroked="t" coordsize="21600,21600" o:gfxdata="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uUY7r2gAAAAsBAAAPAAAAAAAAAAEAIAAAACIAAABk&#10;cnMvZG93bnJldi54bWxQSwECFAAUAAAACACHTuJAs6F/XgQCAAABBAAADgAAAAAAAAABACAAAAAp&#10;AQAAZHJzL2Uyb0RvYy54bWxQSwUGAAAAAAYABgBZAQAAnwU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754496" behindDoc="0" locked="0" layoutInCell="1" allowOverlap="1">
                <wp:simplePos x="0" y="0"/>
                <wp:positionH relativeFrom="column">
                  <wp:posOffset>1575435</wp:posOffset>
                </wp:positionH>
                <wp:positionV relativeFrom="paragraph">
                  <wp:posOffset>1852295</wp:posOffset>
                </wp:positionV>
                <wp:extent cx="353695" cy="1221105"/>
                <wp:effectExtent l="8890" t="2540" r="37465" b="14605"/>
                <wp:wrapNone/>
                <wp:docPr id="358" name="直线 54"/>
                <wp:cNvGraphicFramePr/>
                <a:graphic xmlns:a="http://schemas.openxmlformats.org/drawingml/2006/main">
                  <a:graphicData uri="http://schemas.microsoft.com/office/word/2010/wordprocessingShape">
                    <wps:wsp>
                      <wps:cNvCnPr/>
                      <wps:spPr>
                        <a:xfrm>
                          <a:off x="0" y="0"/>
                          <a:ext cx="353695" cy="1221105"/>
                        </a:xfrm>
                        <a:prstGeom prst="line">
                          <a:avLst/>
                        </a:prstGeom>
                        <a:ln w="19050" cap="flat" cmpd="sng">
                          <a:solidFill>
                            <a:srgbClr val="00B050"/>
                          </a:solidFill>
                          <a:prstDash val="dash"/>
                          <a:headEnd type="none" w="med" len="med"/>
                          <a:tailEnd type="arrow" w="med" len="med"/>
                        </a:ln>
                      </wps:spPr>
                      <wps:bodyPr upright="1"/>
                    </wps:wsp>
                  </a:graphicData>
                </a:graphic>
              </wp:anchor>
            </w:drawing>
          </mc:Choice>
          <mc:Fallback>
            <w:pict>
              <v:line id="直线 54" o:spid="_x0000_s1026" o:spt="20" style="position:absolute;left:0pt;margin-left:124.05pt;margin-top:145.85pt;height:96.15pt;width:27.85pt;z-index:251754496;mso-width-relative:page;mso-height-relative:page;" filled="f" stroked="t" coordsize="21600,21600" o:gfxdata="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u/q0PbAAAACwEAAA8AAAAAAAAAAQAgAAAAIgAAAGRycy9kb3ducmV2Lnht&#10;bFBLAQIUABQAAAAIAIdO4kCUBQrl9gEAAOQDAAAOAAAAAAAAAAEAIAAAACoBAABkcnMvZTJvRG9j&#10;LnhtbFBLBQYAAAAABgAGAFkBAACSBQAAAAA=&#10;">
                <v:fill on="f" focussize="0,0"/>
                <v:stroke weight="1.5pt" color="#00B050" joinstyle="round" dashstyle="dash" endarrow="open"/>
                <v:imagedata o:title=""/>
                <o:lock v:ext="edit" aspectratio="f"/>
              </v:line>
            </w:pict>
          </mc:Fallback>
        </mc:AlternateContent>
      </w:r>
      <w:r>
        <w:rPr>
          <w:color w:val="auto"/>
          <w:sz w:val="24"/>
          <w:highlight w:val="none"/>
        </w:rPr>
        <mc:AlternateContent>
          <mc:Choice Requires="wps">
            <w:drawing>
              <wp:anchor distT="0" distB="0" distL="114300" distR="114300" simplePos="0" relativeHeight="251751424" behindDoc="0" locked="0" layoutInCell="1" allowOverlap="1">
                <wp:simplePos x="0" y="0"/>
                <wp:positionH relativeFrom="column">
                  <wp:posOffset>1588770</wp:posOffset>
                </wp:positionH>
                <wp:positionV relativeFrom="paragraph">
                  <wp:posOffset>1463040</wp:posOffset>
                </wp:positionV>
                <wp:extent cx="1435100" cy="385445"/>
                <wp:effectExtent l="2540" t="8890" r="10160" b="24765"/>
                <wp:wrapNone/>
                <wp:docPr id="355" name="直线 798"/>
                <wp:cNvGraphicFramePr/>
                <a:graphic xmlns:a="http://schemas.openxmlformats.org/drawingml/2006/main">
                  <a:graphicData uri="http://schemas.microsoft.com/office/word/2010/wordprocessingShape">
                    <wps:wsp>
                      <wps:cNvCnPr/>
                      <wps:spPr>
                        <a:xfrm flipH="1">
                          <a:off x="0" y="0"/>
                          <a:ext cx="1435100" cy="385445"/>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8" o:spid="_x0000_s1026" o:spt="20" style="position:absolute;left:0pt;flip:x;margin-left:125.1pt;margin-top:115.2pt;height:30.35pt;width:113pt;z-index:251751424;mso-width-relative:page;mso-height-relative:page;" filled="f" stroked="t" coordsize="21600,21600" o:gfxdata="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1LcU2QAAAAsBAAAPAAAAAAAAAAEAIAAAACIAAABkcnMvZG93&#10;bnJldi54bWxQSwECFAAUAAAACACHTuJAk/3/Yf8BAAD4AwAADgAAAAAAAAABACAAAAAoAQAAZHJz&#10;L2Uyb0RvYy54bWxQSwUGAAAAAAYABgBZAQAAmQU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693056" behindDoc="0" locked="0" layoutInCell="1" allowOverlap="1">
                <wp:simplePos x="0" y="0"/>
                <wp:positionH relativeFrom="column">
                  <wp:posOffset>2444115</wp:posOffset>
                </wp:positionH>
                <wp:positionV relativeFrom="paragraph">
                  <wp:posOffset>3632835</wp:posOffset>
                </wp:positionV>
                <wp:extent cx="3224530" cy="823595"/>
                <wp:effectExtent l="2540" t="9525" r="11430" b="24130"/>
                <wp:wrapNone/>
                <wp:docPr id="34" name="直线 790"/>
                <wp:cNvGraphicFramePr/>
                <a:graphic xmlns:a="http://schemas.openxmlformats.org/drawingml/2006/main">
                  <a:graphicData uri="http://schemas.microsoft.com/office/word/2010/wordprocessingShape">
                    <wps:wsp>
                      <wps:cNvCnPr/>
                      <wps:spPr>
                        <a:xfrm flipV="1">
                          <a:off x="0" y="0"/>
                          <a:ext cx="3224530" cy="823595"/>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0" o:spid="_x0000_s1026" o:spt="20" style="position:absolute;left:0pt;flip:y;margin-left:192.45pt;margin-top:286.05pt;height:64.85pt;width:253.9pt;z-index:251693056;mso-width-relative:page;mso-height-relative:page;" filled="f" stroked="t" coordsize="21600,21600" o:gfxdata="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3O12faAAAACwEAAA8AAAAAAAAAAQAgAAAAIgAAAGRycy9kb3du&#10;cmV2LnhtbFBLAQIUABQAAAAIAIdO4kBcLglr/QEAAPcDAAAOAAAAAAAAAAEAIAAAACkBAABkcnMv&#10;ZTJvRG9jLnhtbFBLBQYAAAAABgAGAFkBAACYBQ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695104" behindDoc="0" locked="0" layoutInCell="1" allowOverlap="1">
                <wp:simplePos x="0" y="0"/>
                <wp:positionH relativeFrom="column">
                  <wp:posOffset>5494020</wp:posOffset>
                </wp:positionH>
                <wp:positionV relativeFrom="paragraph">
                  <wp:posOffset>3073400</wp:posOffset>
                </wp:positionV>
                <wp:extent cx="180340" cy="568960"/>
                <wp:effectExtent l="8890" t="3175" r="20320" b="18415"/>
                <wp:wrapNone/>
                <wp:docPr id="36" name="直线 792"/>
                <wp:cNvGraphicFramePr/>
                <a:graphic xmlns:a="http://schemas.openxmlformats.org/drawingml/2006/main">
                  <a:graphicData uri="http://schemas.microsoft.com/office/word/2010/wordprocessingShape">
                    <wps:wsp>
                      <wps:cNvCnPr/>
                      <wps:spPr>
                        <a:xfrm flipH="1" flipV="1">
                          <a:off x="0" y="0"/>
                          <a:ext cx="180340" cy="568960"/>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2" o:spid="_x0000_s1026" o:spt="20" style="position:absolute;left:0pt;flip:x y;margin-left:432.6pt;margin-top:242pt;height:44.8pt;width:14.2pt;z-index:251695104;mso-width-relative:page;mso-height-relative:page;" filled="f" stroked="t" coordsize="21600,21600" o:gfxdata="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GgmxL2gAAAAsBAAAPAAAAAAAAAAEAIAAAACIAAABkcnMv&#10;ZG93bnJldi54bWxQSwECFAAUAAAACACHTuJAZjBrFgECAAAABAAADgAAAAAAAAABACAAAAApAQAA&#10;ZHJzL2Uyb0RvYy54bWxQSwUGAAAAAAYABgBZAQAAnAU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694080" behindDoc="0" locked="0" layoutInCell="1" allowOverlap="1">
                <wp:simplePos x="0" y="0"/>
                <wp:positionH relativeFrom="column">
                  <wp:posOffset>3478530</wp:posOffset>
                </wp:positionH>
                <wp:positionV relativeFrom="paragraph">
                  <wp:posOffset>2792095</wp:posOffset>
                </wp:positionV>
                <wp:extent cx="1483995" cy="453390"/>
                <wp:effectExtent l="2540" t="8890" r="18415" b="13970"/>
                <wp:wrapNone/>
                <wp:docPr id="35" name="直线 791"/>
                <wp:cNvGraphicFramePr/>
                <a:graphic xmlns:a="http://schemas.openxmlformats.org/drawingml/2006/main">
                  <a:graphicData uri="http://schemas.microsoft.com/office/word/2010/wordprocessingShape">
                    <wps:wsp>
                      <wps:cNvCnPr/>
                      <wps:spPr>
                        <a:xfrm flipV="1">
                          <a:off x="0" y="0"/>
                          <a:ext cx="1483995" cy="453390"/>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1" o:spid="_x0000_s1026" o:spt="20" style="position:absolute;left:0pt;flip:y;margin-left:273.9pt;margin-top:219.85pt;height:35.7pt;width:116.85pt;z-index:251694080;mso-width-relative:page;mso-height-relative:page;" filled="f" stroked="t" coordsize="21600,21600" o:gfxdata="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kyhlzaAAAACwEAAA8AAAAAAAAAAQAgAAAAIgAAAGRycy9kb3du&#10;cmV2LnhtbFBLAQIUABQAAAAIAIdO4kA25wLn/QEAAPcDAAAOAAAAAAAAAAEAIAAAACkBAABkcnMv&#10;ZTJvRG9jLnhtbFBLBQYAAAAABgAGAFkBAACYBQ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749376" behindDoc="0" locked="0" layoutInCell="1" allowOverlap="1">
                <wp:simplePos x="0" y="0"/>
                <wp:positionH relativeFrom="column">
                  <wp:posOffset>3295650</wp:posOffset>
                </wp:positionH>
                <wp:positionV relativeFrom="paragraph">
                  <wp:posOffset>2632075</wp:posOffset>
                </wp:positionV>
                <wp:extent cx="408940" cy="1444625"/>
                <wp:effectExtent l="8890" t="2540" r="20320" b="19685"/>
                <wp:wrapNone/>
                <wp:docPr id="353" name="直线 796"/>
                <wp:cNvGraphicFramePr/>
                <a:graphic xmlns:a="http://schemas.openxmlformats.org/drawingml/2006/main">
                  <a:graphicData uri="http://schemas.microsoft.com/office/word/2010/wordprocessingShape">
                    <wps:wsp>
                      <wps:cNvCnPr/>
                      <wps:spPr>
                        <a:xfrm flipH="1" flipV="1">
                          <a:off x="0" y="0"/>
                          <a:ext cx="408940" cy="1444625"/>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6" o:spid="_x0000_s1026" o:spt="20" style="position:absolute;left:0pt;flip:x y;margin-left:259.5pt;margin-top:207.25pt;height:113.75pt;width:32.2pt;z-index:251749376;mso-width-relative:page;mso-height-relative:page;" filled="f" stroked="t" coordsize="21600,21600" o:gfxdata="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q15h9sAAAALAQAADwAAAAAAAAABACAAAAAiAAAA&#10;ZHJzL2Rvd25yZXYueG1sUEsBAhQAFAAAAAgAh07iQPORR7IEAgAAAgQAAA4AAAAAAAAAAQAgAAAA&#10;KgEAAGRycy9lMm9Eb2MueG1sUEsFBgAAAAAGAAYAWQEAAKAFA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743232" behindDoc="0" locked="0" layoutInCell="1" allowOverlap="1">
                <wp:simplePos x="0" y="0"/>
                <wp:positionH relativeFrom="column">
                  <wp:posOffset>3589020</wp:posOffset>
                </wp:positionH>
                <wp:positionV relativeFrom="paragraph">
                  <wp:posOffset>2785110</wp:posOffset>
                </wp:positionV>
                <wp:extent cx="845820" cy="1198245"/>
                <wp:effectExtent l="164465" t="101600" r="170815" b="109855"/>
                <wp:wrapNone/>
                <wp:docPr id="347" name="矩形 852"/>
                <wp:cNvGraphicFramePr/>
                <a:graphic xmlns:a="http://schemas.openxmlformats.org/drawingml/2006/main">
                  <a:graphicData uri="http://schemas.microsoft.com/office/word/2010/wordprocessingShape">
                    <wps:wsp>
                      <wps:cNvSpPr/>
                      <wps:spPr>
                        <a:xfrm rot="-1080000">
                          <a:off x="0" y="0"/>
                          <a:ext cx="845820" cy="1198245"/>
                        </a:xfrm>
                        <a:prstGeom prst="rect">
                          <a:avLst/>
                        </a:prstGeom>
                        <a:solidFill>
                          <a:srgbClr val="4F81BD">
                            <a:alpha val="50000"/>
                          </a:srgbClr>
                        </a:solidFill>
                        <a:ln>
                          <a:noFill/>
                        </a:ln>
                      </wps:spPr>
                      <wps:bodyPr vert="horz" wrap="square" anchor="t" anchorCtr="0" upright="1"/>
                    </wps:wsp>
                  </a:graphicData>
                </a:graphic>
              </wp:anchor>
            </w:drawing>
          </mc:Choice>
          <mc:Fallback>
            <w:pict>
              <v:rect id="矩形 852" o:spid="_x0000_s1026" o:spt="1" style="position:absolute;left:0pt;margin-left:282.6pt;margin-top:219.3pt;height:94.35pt;width:66.6pt;rotation:-1179648f;z-index:251743232;mso-width-relative:page;mso-height-relative:page;" fillcolor="#4F81BD" filled="t" stroked="f" coordsize="21600,21600" o:gfxdata="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ul5HtsAAAALAQAADwAAAAAAAAABACAAAAAiAAAAZHJzL2Rvd25yZXYueG1sUEsBAhQAFAAA&#10;AAgAh07iQCvgNInsAQAAxgMAAA4AAAAAAAAAAQAgAAAAKgEAAGRycy9lMm9Eb2MueG1sUEsFBgAA&#10;AAAGAAYAWQEAAIgFAAAAAA==&#10;">
                <v:fill on="t" opacity="32768f" focussize="0,0"/>
                <v:stroke on="f"/>
                <v:imagedata o:title=""/>
                <o:lock v:ext="edit" aspectratio="f"/>
              </v:rect>
            </w:pict>
          </mc:Fallback>
        </mc:AlternateContent>
      </w:r>
      <w:r>
        <w:rPr>
          <w:color w:val="auto"/>
          <w:sz w:val="24"/>
          <w:highlight w:val="none"/>
        </w:rPr>
        <mc:AlternateContent>
          <mc:Choice Requires="wps">
            <w:drawing>
              <wp:anchor distT="0" distB="0" distL="114300" distR="114300" simplePos="0" relativeHeight="251744256" behindDoc="0" locked="0" layoutInCell="1" allowOverlap="1">
                <wp:simplePos x="0" y="0"/>
                <wp:positionH relativeFrom="column">
                  <wp:posOffset>4495165</wp:posOffset>
                </wp:positionH>
                <wp:positionV relativeFrom="paragraph">
                  <wp:posOffset>2927985</wp:posOffset>
                </wp:positionV>
                <wp:extent cx="623570" cy="835025"/>
                <wp:effectExtent l="113665" t="76200" r="120015" b="79375"/>
                <wp:wrapNone/>
                <wp:docPr id="348" name="矩形 853"/>
                <wp:cNvGraphicFramePr/>
                <a:graphic xmlns:a="http://schemas.openxmlformats.org/drawingml/2006/main">
                  <a:graphicData uri="http://schemas.microsoft.com/office/word/2010/wordprocessingShape">
                    <wps:wsp>
                      <wps:cNvSpPr/>
                      <wps:spPr>
                        <a:xfrm rot="-1080000">
                          <a:off x="0" y="0"/>
                          <a:ext cx="623570" cy="835025"/>
                        </a:xfrm>
                        <a:prstGeom prst="rect">
                          <a:avLst/>
                        </a:prstGeom>
                        <a:solidFill>
                          <a:srgbClr val="4F81BD">
                            <a:alpha val="50000"/>
                          </a:srgbClr>
                        </a:solidFill>
                        <a:ln>
                          <a:noFill/>
                        </a:ln>
                      </wps:spPr>
                      <wps:bodyPr vert="horz" wrap="square" anchor="t" anchorCtr="0" upright="1"/>
                    </wps:wsp>
                  </a:graphicData>
                </a:graphic>
              </wp:anchor>
            </w:drawing>
          </mc:Choice>
          <mc:Fallback>
            <w:pict>
              <v:rect id="矩形 853" o:spid="_x0000_s1026" o:spt="1" style="position:absolute;left:0pt;margin-left:353.95pt;margin-top:230.55pt;height:65.75pt;width:49.1pt;rotation:-1179648f;z-index:251744256;mso-width-relative:page;mso-height-relative:page;" fillcolor="#4F81BD" filled="t" stroked="f" coordsize="21600,21600" o:gfxdata="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KUi/y2gAAAAsBAAAPAAAAAAAAAAEAIAAAACIAAABkcnMvZG93bnJldi54bWxQSwECFAAUAAAA&#10;CACHTuJA2FfisuwBAADFAwAADgAAAAAAAAABACAAAAApAQAAZHJzL2Uyb0RvYy54bWxQSwUGAAAA&#10;AAYABgBZAQAAhwUAAAAA&#10;">
                <v:fill on="t" opacity="32768f" focussize="0,0"/>
                <v:stroke on="f"/>
                <v:imagedata o:title=""/>
                <o:lock v:ext="edit" aspectratio="f"/>
              </v:rect>
            </w:pict>
          </mc:Fallback>
        </mc:AlternateContent>
      </w:r>
      <w:r>
        <w:rPr>
          <w:color w:val="auto"/>
          <w:sz w:val="24"/>
          <w:highlight w:val="none"/>
        </w:rPr>
        <mc:AlternateContent>
          <mc:Choice Requires="wps">
            <w:drawing>
              <wp:anchor distT="0" distB="0" distL="114300" distR="114300" simplePos="0" relativeHeight="251697152" behindDoc="0" locked="0" layoutInCell="1" allowOverlap="1">
                <wp:simplePos x="0" y="0"/>
                <wp:positionH relativeFrom="column">
                  <wp:posOffset>3364230</wp:posOffset>
                </wp:positionH>
                <wp:positionV relativeFrom="paragraph">
                  <wp:posOffset>2428875</wp:posOffset>
                </wp:positionV>
                <wp:extent cx="668020" cy="190500"/>
                <wp:effectExtent l="2540" t="8890" r="15240" b="10160"/>
                <wp:wrapNone/>
                <wp:docPr id="38" name="直线 794"/>
                <wp:cNvGraphicFramePr/>
                <a:graphic xmlns:a="http://schemas.openxmlformats.org/drawingml/2006/main">
                  <a:graphicData uri="http://schemas.microsoft.com/office/word/2010/wordprocessingShape">
                    <wps:wsp>
                      <wps:cNvCnPr/>
                      <wps:spPr>
                        <a:xfrm flipH="1">
                          <a:off x="0" y="0"/>
                          <a:ext cx="668020" cy="190500"/>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4" o:spid="_x0000_s1026" o:spt="20" style="position:absolute;left:0pt;flip:x;margin-left:264.9pt;margin-top:191.25pt;height:15pt;width:52.6pt;z-index:251697152;mso-width-relative:page;mso-height-relative:page;" filled="f" stroked="t" coordsize="21600,21600" o:gfxdata="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FxN/j2gAAAAsBAAAPAAAAAAAAAAEAIAAAACIAAABkcnMvZG93bnJl&#10;di54bWxQSwECFAAUAAAACACHTuJArUg9Y/sBAAD2AwAADgAAAAAAAAABACAAAAApAQAAZHJzL2Uy&#10;b0RvYy54bWxQSwUGAAAAAAYABgBZAQAAlgU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764736" behindDoc="0" locked="0" layoutInCell="1" allowOverlap="1">
                <wp:simplePos x="0" y="0"/>
                <wp:positionH relativeFrom="column">
                  <wp:posOffset>2172970</wp:posOffset>
                </wp:positionH>
                <wp:positionV relativeFrom="paragraph">
                  <wp:posOffset>4001135</wp:posOffset>
                </wp:positionV>
                <wp:extent cx="80010" cy="76200"/>
                <wp:effectExtent l="15875" t="16510" r="18415" b="21590"/>
                <wp:wrapNone/>
                <wp:docPr id="377" name="矩形 870"/>
                <wp:cNvGraphicFramePr/>
                <a:graphic xmlns:a="http://schemas.openxmlformats.org/drawingml/2006/main">
                  <a:graphicData uri="http://schemas.microsoft.com/office/word/2010/wordprocessingShape">
                    <wps:wsp>
                      <wps:cNvSpPr/>
                      <wps:spPr>
                        <a:xfrm rot="-1080000">
                          <a:off x="0" y="0"/>
                          <a:ext cx="80010" cy="76200"/>
                        </a:xfrm>
                        <a:prstGeom prst="rect">
                          <a:avLst/>
                        </a:prstGeom>
                        <a:solidFill>
                          <a:srgbClr val="FF0000">
                            <a:alpha val="53000"/>
                          </a:srgbClr>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70" o:spid="_x0000_s1026" o:spt="1" style="position:absolute;left:0pt;margin-left:171.1pt;margin-top:315.05pt;height:6pt;width:6.3pt;rotation:-1179648f;z-index:251764736;mso-width-relative:page;mso-height-relative:page;" fillcolor="#FF0000" filled="t" stroked="t" coordsize="21600,21600" o:gfxdata="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A/stnaAAAACwEAAA8AAAAAAAAAAQAgAAAAIgAAAGRycy9kb3ducmV2&#10;LnhtbFBLAQIUABQAAAAIAIdO4kB94uAZMwIAAIIEAAAOAAAAAAAAAAEAIAAAACkBAABkcnMvZTJv&#10;RG9jLnhtbFBLBQYAAAAABgAGAFkBAADOBQAAAAA=&#10;">
                <v:fill on="t" opacity="34734f" focussize="0,0"/>
                <v:stroke color="#00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60640" behindDoc="0" locked="0" layoutInCell="1" allowOverlap="1">
                <wp:simplePos x="0" y="0"/>
                <wp:positionH relativeFrom="column">
                  <wp:posOffset>2130425</wp:posOffset>
                </wp:positionH>
                <wp:positionV relativeFrom="paragraph">
                  <wp:posOffset>3808730</wp:posOffset>
                </wp:positionV>
                <wp:extent cx="80010" cy="145415"/>
                <wp:effectExtent l="26670" t="14605" r="26670" b="30480"/>
                <wp:wrapNone/>
                <wp:docPr id="364" name="矩形 851"/>
                <wp:cNvGraphicFramePr/>
                <a:graphic xmlns:a="http://schemas.openxmlformats.org/drawingml/2006/main">
                  <a:graphicData uri="http://schemas.microsoft.com/office/word/2010/wordprocessingShape">
                    <wps:wsp>
                      <wps:cNvSpPr/>
                      <wps:spPr>
                        <a:xfrm rot="-1080000">
                          <a:off x="0" y="0"/>
                          <a:ext cx="80010" cy="145415"/>
                        </a:xfrm>
                        <a:prstGeom prst="rect">
                          <a:avLst/>
                        </a:prstGeom>
                        <a:solidFill>
                          <a:srgbClr val="FF0000">
                            <a:alpha val="53000"/>
                          </a:srgbClr>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51" o:spid="_x0000_s1026" o:spt="1" style="position:absolute;left:0pt;margin-left:167.75pt;margin-top:299.9pt;height:11.45pt;width:6.3pt;rotation:-1179648f;z-index:251760640;mso-width-relative:page;mso-height-relative:page;" fillcolor="#FF0000" filled="t" stroked="t" coordsize="21600,21600" o:gfxdata="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5WVdi3AAAAAsBAAAPAAAAAAAAAAEAIAAAACIAAABkcnMvZG93&#10;bnJldi54bWxQSwECFAAUAAAACACHTuJAeCnpczUCAACDBAAADgAAAAAAAAABACAAAAArAQAAZHJz&#10;L2Uyb0RvYy54bWxQSwUGAAAAAAYABgBZAQAA0gUAAAAA&#10;">
                <v:fill on="t" opacity="34734f" focussize="0,0"/>
                <v:stroke color="#00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58592" behindDoc="0" locked="0" layoutInCell="1" allowOverlap="1">
                <wp:simplePos x="0" y="0"/>
                <wp:positionH relativeFrom="column">
                  <wp:posOffset>1779905</wp:posOffset>
                </wp:positionH>
                <wp:positionV relativeFrom="paragraph">
                  <wp:posOffset>2442845</wp:posOffset>
                </wp:positionV>
                <wp:extent cx="80010" cy="145415"/>
                <wp:effectExtent l="26670" t="14605" r="26670" b="30480"/>
                <wp:wrapNone/>
                <wp:docPr id="362" name="矩形 848"/>
                <wp:cNvGraphicFramePr/>
                <a:graphic xmlns:a="http://schemas.openxmlformats.org/drawingml/2006/main">
                  <a:graphicData uri="http://schemas.microsoft.com/office/word/2010/wordprocessingShape">
                    <wps:wsp>
                      <wps:cNvSpPr/>
                      <wps:spPr>
                        <a:xfrm rot="-1080000">
                          <a:off x="0" y="0"/>
                          <a:ext cx="80010" cy="145415"/>
                        </a:xfrm>
                        <a:prstGeom prst="rect">
                          <a:avLst/>
                        </a:prstGeom>
                        <a:solidFill>
                          <a:srgbClr val="FF0000">
                            <a:alpha val="53000"/>
                          </a:srgbClr>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48" o:spid="_x0000_s1026" o:spt="1" style="position:absolute;left:0pt;margin-left:140.15pt;margin-top:192.35pt;height:11.45pt;width:6.3pt;rotation:-1179648f;z-index:251758592;mso-width-relative:page;mso-height-relative:page;" fillcolor="#FF0000" filled="t" stroked="t" coordsize="21600,21600" o:gfxdata="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TlsRr2wAAAAsBAAAPAAAAAAAAAAEAIAAAACIAAABkcnMvZG93&#10;bnJldi54bWxQSwECFAAUAAAACACHTuJAvMuEJDYCAACDBAAADgAAAAAAAAABACAAAAAqAQAAZHJz&#10;L2Uyb0RvYy54bWxQSwUGAAAAAAYABgBZAQAA0gUAAAAA&#10;">
                <v:fill on="t" opacity="34734f" focussize="0,0"/>
                <v:stroke color="#00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56544" behindDoc="0" locked="0" layoutInCell="1" allowOverlap="1">
                <wp:simplePos x="0" y="0"/>
                <wp:positionH relativeFrom="column">
                  <wp:posOffset>1802130</wp:posOffset>
                </wp:positionH>
                <wp:positionV relativeFrom="paragraph">
                  <wp:posOffset>2369185</wp:posOffset>
                </wp:positionV>
                <wp:extent cx="205740" cy="680085"/>
                <wp:effectExtent l="8890" t="2540" r="33020" b="3175"/>
                <wp:wrapNone/>
                <wp:docPr id="360" name="直线 54"/>
                <wp:cNvGraphicFramePr/>
                <a:graphic xmlns:a="http://schemas.openxmlformats.org/drawingml/2006/main">
                  <a:graphicData uri="http://schemas.microsoft.com/office/word/2010/wordprocessingShape">
                    <wps:wsp>
                      <wps:cNvCnPr/>
                      <wps:spPr>
                        <a:xfrm>
                          <a:off x="0" y="0"/>
                          <a:ext cx="205740" cy="680085"/>
                        </a:xfrm>
                        <a:prstGeom prst="line">
                          <a:avLst/>
                        </a:prstGeom>
                        <a:ln w="19050" cap="flat" cmpd="sng">
                          <a:solidFill>
                            <a:srgbClr val="F79646"/>
                          </a:solidFill>
                          <a:prstDash val="dash"/>
                          <a:headEnd type="none" w="med" len="med"/>
                          <a:tailEnd type="arrow" w="med" len="med"/>
                        </a:ln>
                      </wps:spPr>
                      <wps:bodyPr upright="1"/>
                    </wps:wsp>
                  </a:graphicData>
                </a:graphic>
              </wp:anchor>
            </w:drawing>
          </mc:Choice>
          <mc:Fallback>
            <w:pict>
              <v:line id="直线 54" o:spid="_x0000_s1026" o:spt="20" style="position:absolute;left:0pt;margin-left:141.9pt;margin-top:186.55pt;height:53.55pt;width:16.2pt;z-index:251756544;mso-width-relative:page;mso-height-relative:page;" filled="f" stroked="t" coordsize="21600,21600" o:gfxdata="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B/8DGNcAAAALAQAADwAAAAAAAAABACAAAAAiAAAAZHJzL2Rvd25yZXYueG1sUEsB&#10;AhQAFAAAAAgAh07iQC6j90v2AQAA4wMAAA4AAAAAAAAAAQAgAAAAJgEAAGRycy9lMm9Eb2MueG1s&#10;UEsFBgAAAAAGAAYAWQEAAI4FAAAAAA==&#10;">
                <v:fill on="f" focussize="0,0"/>
                <v:stroke weight="1.5pt" color="#F79646" joinstyle="round" dashstyle="dash" endarrow="open"/>
                <v:imagedata o:title=""/>
                <o:lock v:ext="edit" aspectratio="f"/>
              </v:line>
            </w:pict>
          </mc:Fallback>
        </mc:AlternateContent>
      </w:r>
      <w:r>
        <w:rPr>
          <w:color w:val="auto"/>
          <w:sz w:val="24"/>
          <w:highlight w:val="none"/>
        </w:rPr>
        <mc:AlternateContent>
          <mc:Choice Requires="wps">
            <w:drawing>
              <wp:anchor distT="0" distB="0" distL="114300" distR="114300" simplePos="0" relativeHeight="251755520" behindDoc="0" locked="0" layoutInCell="1" allowOverlap="1">
                <wp:simplePos x="0" y="0"/>
                <wp:positionH relativeFrom="column">
                  <wp:posOffset>1908810</wp:posOffset>
                </wp:positionH>
                <wp:positionV relativeFrom="paragraph">
                  <wp:posOffset>2765425</wp:posOffset>
                </wp:positionV>
                <wp:extent cx="389890" cy="107950"/>
                <wp:effectExtent l="2540" t="8890" r="7620" b="16510"/>
                <wp:wrapNone/>
                <wp:docPr id="359" name="直线 54"/>
                <wp:cNvGraphicFramePr/>
                <a:graphic xmlns:a="http://schemas.openxmlformats.org/drawingml/2006/main">
                  <a:graphicData uri="http://schemas.microsoft.com/office/word/2010/wordprocessingShape">
                    <wps:wsp>
                      <wps:cNvCnPr/>
                      <wps:spPr>
                        <a:xfrm flipH="1">
                          <a:off x="0" y="0"/>
                          <a:ext cx="389890" cy="107950"/>
                        </a:xfrm>
                        <a:prstGeom prst="line">
                          <a:avLst/>
                        </a:prstGeom>
                        <a:ln w="19050" cap="flat" cmpd="sng">
                          <a:solidFill>
                            <a:srgbClr val="F79646"/>
                          </a:solidFill>
                          <a:prstDash val="dash"/>
                          <a:headEnd type="none" w="med" len="sm"/>
                          <a:tailEnd type="none" w="med" len="med"/>
                        </a:ln>
                      </wps:spPr>
                      <wps:bodyPr upright="1"/>
                    </wps:wsp>
                  </a:graphicData>
                </a:graphic>
              </wp:anchor>
            </w:drawing>
          </mc:Choice>
          <mc:Fallback>
            <w:pict>
              <v:line id="直线 54" o:spid="_x0000_s1026" o:spt="20" style="position:absolute;left:0pt;flip:x;margin-left:150.3pt;margin-top:217.75pt;height:8.5pt;width:30.7pt;z-index:251755520;mso-width-relative:page;mso-height-relative:page;" filled="f" stroked="t" coordsize="21600,21600" o:gfxdata="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SF/ovXAAAACwEAAA8AAAAAAAAAAQAgAAAAIgAAAGRycy9kb3ducmV2&#10;LnhtbFBLAQIUABQAAAAIAIdO4kB7u5CQ/QEAAOsDAAAOAAAAAAAAAAEAIAAAACYBAABkcnMvZTJv&#10;RG9jLnhtbFBLBQYAAAAABgAGAFkBAACVBQAAAAA=&#10;">
                <v:fill on="f" focussize="0,0"/>
                <v:stroke weight="1.5pt" color="#F79646" joinstyle="round" dashstyle="dash" startarrowlength="short"/>
                <v:imagedata o:title=""/>
                <o:lock v:ext="edit" aspectratio="f"/>
              </v:line>
            </w:pict>
          </mc:Fallback>
        </mc:AlternateContent>
      </w:r>
      <w:r>
        <w:rPr>
          <w:color w:val="auto"/>
          <w:sz w:val="24"/>
          <w:highlight w:val="none"/>
        </w:rPr>
        <mc:AlternateContent>
          <mc:Choice Requires="wps">
            <w:drawing>
              <wp:anchor distT="0" distB="0" distL="114300" distR="114300" simplePos="0" relativeHeight="251750400" behindDoc="0" locked="0" layoutInCell="1" allowOverlap="1">
                <wp:simplePos x="0" y="0"/>
                <wp:positionH relativeFrom="column">
                  <wp:posOffset>2103755</wp:posOffset>
                </wp:positionH>
                <wp:positionV relativeFrom="paragraph">
                  <wp:posOffset>2664460</wp:posOffset>
                </wp:positionV>
                <wp:extent cx="87630" cy="280670"/>
                <wp:effectExtent l="8890" t="2540" r="17780" b="21590"/>
                <wp:wrapNone/>
                <wp:docPr id="354" name="直线 797"/>
                <wp:cNvGraphicFramePr/>
                <a:graphic xmlns:a="http://schemas.openxmlformats.org/drawingml/2006/main">
                  <a:graphicData uri="http://schemas.microsoft.com/office/word/2010/wordprocessingShape">
                    <wps:wsp>
                      <wps:cNvCnPr/>
                      <wps:spPr>
                        <a:xfrm flipH="1" flipV="1">
                          <a:off x="0" y="0"/>
                          <a:ext cx="87630" cy="280670"/>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7" o:spid="_x0000_s1026" o:spt="20" style="position:absolute;left:0pt;flip:x y;margin-left:165.65pt;margin-top:209.8pt;height:22.1pt;width:6.9pt;z-index:251750400;mso-width-relative:page;mso-height-relative:page;" filled="f" stroked="t" coordsize="21600,21600" o:gfxdata="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3OU8NoAAAALAQAADwAAAAAAAAABACAAAAAiAAAAZHJz&#10;L2Rvd25yZXYueG1sUEsBAhQAFAAAAAgAh07iQA78lyICAgAAAAQAAA4AAAAAAAAAAQAgAAAAKQEA&#10;AGRycy9lMm9Eb2MueG1sUEsFBgAAAAAGAAYAWQEAAJ0FA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748352" behindDoc="0" locked="0" layoutInCell="1" allowOverlap="1">
                <wp:simplePos x="0" y="0"/>
                <wp:positionH relativeFrom="column">
                  <wp:posOffset>2197100</wp:posOffset>
                </wp:positionH>
                <wp:positionV relativeFrom="paragraph">
                  <wp:posOffset>2633980</wp:posOffset>
                </wp:positionV>
                <wp:extent cx="1152525" cy="318770"/>
                <wp:effectExtent l="2540" t="8890" r="6985" b="15240"/>
                <wp:wrapNone/>
                <wp:docPr id="352" name="直线 795"/>
                <wp:cNvGraphicFramePr/>
                <a:graphic xmlns:a="http://schemas.openxmlformats.org/drawingml/2006/main">
                  <a:graphicData uri="http://schemas.microsoft.com/office/word/2010/wordprocessingShape">
                    <wps:wsp>
                      <wps:cNvCnPr/>
                      <wps:spPr>
                        <a:xfrm flipH="1">
                          <a:off x="0" y="0"/>
                          <a:ext cx="1152525" cy="318770"/>
                        </a:xfrm>
                        <a:prstGeom prst="line">
                          <a:avLst/>
                        </a:prstGeom>
                        <a:ln w="19050" cap="flat" cmpd="sng">
                          <a:solidFill>
                            <a:srgbClr val="00B050"/>
                          </a:solidFill>
                          <a:prstDash val="dash"/>
                          <a:miter/>
                          <a:headEnd type="none" w="med" len="med"/>
                          <a:tailEnd type="none" w="med" len="med"/>
                        </a:ln>
                      </wps:spPr>
                      <wps:bodyPr upright="1"/>
                    </wps:wsp>
                  </a:graphicData>
                </a:graphic>
              </wp:anchor>
            </w:drawing>
          </mc:Choice>
          <mc:Fallback>
            <w:pict>
              <v:line id="直线 795" o:spid="_x0000_s1026" o:spt="20" style="position:absolute;left:0pt;flip:x;margin-left:173pt;margin-top:207.4pt;height:25.1pt;width:90.75pt;z-index:251748352;mso-width-relative:page;mso-height-relative:page;" filled="f" stroked="t" coordsize="21600,21600" o:gfxdata="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X5l19oAAAALAQAADwAAAAAAAAABACAAAAAiAAAAZHJzL2Rv&#10;d25yZXYueG1sUEsBAhQAFAAAAAgAh07iQPNJb9D/AQAA+AMAAA4AAAAAAAAAAQAgAAAAKQEAAGRy&#10;cy9lMm9Eb2MueG1sUEsFBgAAAAAGAAYAWQEAAJoFAAAAAA==&#10;">
                <v:fill on="f" focussize="0,0"/>
                <v:stroke weight="1.5pt" color="#00B050" joinstyle="miter" dashstyle="dash"/>
                <v:imagedata o:title=""/>
                <o:lock v:ext="edit" aspectratio="f"/>
              </v:line>
            </w:pict>
          </mc:Fallback>
        </mc:AlternateContent>
      </w:r>
      <w:r>
        <w:rPr>
          <w:color w:val="auto"/>
          <w:sz w:val="24"/>
          <w:highlight w:val="none"/>
        </w:rPr>
        <mc:AlternateContent>
          <mc:Choice Requires="wps">
            <w:drawing>
              <wp:anchor distT="0" distB="0" distL="114300" distR="114300" simplePos="0" relativeHeight="251742208" behindDoc="0" locked="0" layoutInCell="1" allowOverlap="1">
                <wp:simplePos x="0" y="0"/>
                <wp:positionH relativeFrom="column">
                  <wp:posOffset>2329180</wp:posOffset>
                </wp:positionH>
                <wp:positionV relativeFrom="paragraph">
                  <wp:posOffset>3245485</wp:posOffset>
                </wp:positionV>
                <wp:extent cx="933450" cy="696595"/>
                <wp:effectExtent l="87630" t="127000" r="102870" b="128905"/>
                <wp:wrapNone/>
                <wp:docPr id="346" name="矩形 850"/>
                <wp:cNvGraphicFramePr/>
                <a:graphic xmlns:a="http://schemas.openxmlformats.org/drawingml/2006/main">
                  <a:graphicData uri="http://schemas.microsoft.com/office/word/2010/wordprocessingShape">
                    <wps:wsp>
                      <wps:cNvSpPr/>
                      <wps:spPr>
                        <a:xfrm rot="-1020000">
                          <a:off x="0" y="0"/>
                          <a:ext cx="933450" cy="696595"/>
                        </a:xfrm>
                        <a:prstGeom prst="rect">
                          <a:avLst/>
                        </a:prstGeom>
                        <a:solidFill>
                          <a:srgbClr val="FF0000">
                            <a:alpha val="50000"/>
                          </a:srgbClr>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50" o:spid="_x0000_s1026" o:spt="1" style="position:absolute;left:0pt;margin-left:183.4pt;margin-top:255.55pt;height:54.85pt;width:73.5pt;rotation:-1114112f;z-index:251742208;mso-width-relative:page;mso-height-relative:page;" fillcolor="#FF0000" filled="t" stroked="t" coordsize="21600,21600" o:gfxdata="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ZAS8a2QAAAAsBAAAPAAAAAAAAAAEAIAAAACIAAABkcnMvZG93bnJl&#10;di54bWxQSwECFAAUAAAACACHTuJA0takuDUCAACEBAAADgAAAAAAAAABACAAAAAoAQAAZHJzL2Uy&#10;b0RvYy54bWxQSwUGAAAAAAYABgBZAQAAzwUAAAAA&#10;">
                <v:fill on="t" opacity="32768f" focussize="0,0"/>
                <v:stroke color="#000000" joinstyle="miter"/>
                <v:imagedata o:title=""/>
                <o:lock v:ext="edit" aspectratio="f"/>
              </v:rect>
            </w:pict>
          </mc:Fallback>
        </mc:AlternateContent>
      </w:r>
      <w:r>
        <w:rPr>
          <w:color w:val="auto"/>
          <w:sz w:val="21"/>
          <w:highlight w:val="none"/>
        </w:rPr>
        <mc:AlternateContent>
          <mc:Choice Requires="wps">
            <w:drawing>
              <wp:anchor distT="0" distB="0" distL="114300" distR="114300" simplePos="0" relativeHeight="251669504" behindDoc="0" locked="0" layoutInCell="1" allowOverlap="1">
                <wp:simplePos x="0" y="0"/>
                <wp:positionH relativeFrom="column">
                  <wp:posOffset>1864360</wp:posOffset>
                </wp:positionH>
                <wp:positionV relativeFrom="paragraph">
                  <wp:posOffset>2855595</wp:posOffset>
                </wp:positionV>
                <wp:extent cx="137795" cy="137160"/>
                <wp:effectExtent l="4445" t="4445" r="10160" b="10795"/>
                <wp:wrapNone/>
                <wp:docPr id="10" name="自选图形 62"/>
                <wp:cNvGraphicFramePr/>
                <a:graphic xmlns:a="http://schemas.openxmlformats.org/drawingml/2006/main">
                  <a:graphicData uri="http://schemas.microsoft.com/office/word/2010/wordprocessingShape">
                    <wps:wsp>
                      <wps:cNvSpPr/>
                      <wps:spPr>
                        <a:xfrm>
                          <a:off x="0" y="0"/>
                          <a:ext cx="137795" cy="137160"/>
                        </a:xfrm>
                        <a:prstGeom prst="flowChartOr">
                          <a:avLst/>
                        </a:prstGeom>
                        <a:solidFill>
                          <a:srgbClr val="FFFFFF"/>
                        </a:solidFill>
                        <a:ln w="9525" cap="flat" cmpd="sng">
                          <a:solidFill>
                            <a:srgbClr val="00B050"/>
                          </a:solidFill>
                          <a:prstDash val="solid"/>
                          <a:headEnd type="none" w="med" len="med"/>
                          <a:tailEnd type="none" w="med" len="med"/>
                        </a:ln>
                      </wps:spPr>
                      <wps:bodyPr vert="horz" wrap="square" anchor="t" anchorCtr="0" upright="1"/>
                    </wps:wsp>
                  </a:graphicData>
                </a:graphic>
              </wp:anchor>
            </w:drawing>
          </mc:Choice>
          <mc:Fallback>
            <w:pict>
              <v:shape id="自选图形 62" o:spid="_x0000_s1026" o:spt="124" type="#_x0000_t124" style="position:absolute;left:0pt;margin-left:146.8pt;margin-top:224.85pt;height:10.8pt;width:10.85pt;z-index:251669504;mso-width-relative:page;mso-height-relative:page;" fillcolor="#FFFFFF" filled="t" stroked="t" coordsize="21600,21600" o:gfxdata="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CTH367bAAAACwEAAA8AAAAAAAAAAQAgAAAAIgAAAGRycy9kb3ducmV2LnhtbFBL&#10;AQIUABQAAAAIAIdO4kDZV8UTLAIAAFUEAAAOAAAAAAAAAAEAIAAAACoBAABkcnMvZTJvRG9jLnht&#10;bFBLBQYAAAAABgAGAFkBAADIBQAAAAA=&#10;">
                <v:fill on="t" focussize="0,0"/>
                <v:stroke color="#00B050" joinstyle="round"/>
                <v:imagedata o:title=""/>
                <o:lock v:ext="edit" aspectratio="f"/>
              </v:shape>
            </w:pict>
          </mc:Fallback>
        </mc:AlternateContent>
      </w:r>
      <w:r>
        <w:rPr>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1975485</wp:posOffset>
                </wp:positionH>
                <wp:positionV relativeFrom="paragraph">
                  <wp:posOffset>2765425</wp:posOffset>
                </wp:positionV>
                <wp:extent cx="143510" cy="139700"/>
                <wp:effectExtent l="4445" t="4445" r="23495" b="8255"/>
                <wp:wrapNone/>
                <wp:docPr id="9" name="自选图形 61"/>
                <wp:cNvGraphicFramePr/>
                <a:graphic xmlns:a="http://schemas.openxmlformats.org/drawingml/2006/main">
                  <a:graphicData uri="http://schemas.microsoft.com/office/word/2010/wordprocessingShape">
                    <wps:wsp>
                      <wps:cNvSpPr/>
                      <wps:spPr>
                        <a:xfrm>
                          <a:off x="0" y="0"/>
                          <a:ext cx="143510" cy="139700"/>
                        </a:xfrm>
                        <a:prstGeom prst="flowChartSummingJunction">
                          <a:avLst/>
                        </a:prstGeom>
                        <a:solidFill>
                          <a:srgbClr val="FFFFFF"/>
                        </a:solidFill>
                        <a:ln w="9525" cap="flat" cmpd="sng">
                          <a:solidFill>
                            <a:srgbClr val="F79646"/>
                          </a:solidFill>
                          <a:prstDash val="solid"/>
                          <a:headEnd type="none" w="med" len="med"/>
                          <a:tailEnd type="none" w="med" len="med"/>
                        </a:ln>
                      </wps:spPr>
                      <wps:bodyPr vert="horz" wrap="square" anchor="t" anchorCtr="0" upright="1"/>
                    </wps:wsp>
                  </a:graphicData>
                </a:graphic>
              </wp:anchor>
            </w:drawing>
          </mc:Choice>
          <mc:Fallback>
            <w:pict>
              <v:shape id="自选图形 61" o:spid="_x0000_s1026" o:spt="123" type="#_x0000_t123" style="position:absolute;left:0pt;margin-left:155.55pt;margin-top:217.75pt;height:11pt;width:11.3pt;z-index:251668480;mso-width-relative:page;mso-height-relative:page;" fillcolor="#FFFFFF" filled="t" stroked="t" coordsize="21600,21600" o:gfxdata="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bqqlPXAAAACwEAAA8AAAAAAAAAAQAgAAAAIgAAAGRycy9kb3ducmV2Lnht&#10;bFBLAQIUABQAAAAIAIdO4kDsDK1mMwIAAGEEAAAOAAAAAAAAAAEAIAAAACYBAABkcnMvZTJvRG9j&#10;LnhtbFBLBQYAAAAABgAGAFkBAADLBQAAAAA=&#10;">
                <v:fill on="t" focussize="0,0"/>
                <v:stroke color="#F79646" joinstyle="round"/>
                <v:imagedata o:title=""/>
                <o:lock v:ext="edit" aspectratio="f"/>
              </v:shape>
            </w:pict>
          </mc:Fallback>
        </mc:AlternateContent>
      </w:r>
      <w:r>
        <w:rPr>
          <w:color w:val="auto"/>
          <w:highlight w:val="none"/>
        </w:rPr>
        <w:drawing>
          <wp:inline distT="0" distB="0" distL="114300" distR="114300">
            <wp:extent cx="8858250" cy="5346065"/>
            <wp:effectExtent l="9525" t="9525" r="9525" b="16510"/>
            <wp:docPr id="557"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319"/>
                    <pic:cNvPicPr>
                      <a:picLocks noChangeAspect="1"/>
                    </pic:cNvPicPr>
                  </pic:nvPicPr>
                  <pic:blipFill>
                    <a:blip r:embed="rId39"/>
                    <a:srcRect/>
                    <a:stretch>
                      <a:fillRect/>
                    </a:stretch>
                  </pic:blipFill>
                  <pic:spPr>
                    <a:xfrm>
                      <a:off x="0" y="0"/>
                      <a:ext cx="8858250" cy="5346065"/>
                    </a:xfrm>
                    <a:prstGeom prst="rect">
                      <a:avLst/>
                    </a:prstGeom>
                    <a:noFill/>
                    <a:ln w="9525" cap="flat" cmpd="sng">
                      <a:solidFill>
                        <a:srgbClr val="000000"/>
                      </a:solidFill>
                      <a:prstDash val="solid"/>
                      <a:miter/>
                      <a:headEnd type="none" w="med" len="med"/>
                      <a:tailEnd type="none" w="med" len="med"/>
                    </a:ln>
                  </pic:spPr>
                </pic:pic>
              </a:graphicData>
            </a:graphic>
          </wp:inline>
        </w:drawing>
      </w:r>
      <w:r>
        <w:rPr>
          <w:color w:val="auto"/>
          <w:sz w:val="24"/>
          <w:highlight w:val="none"/>
        </w:rPr>
        <mc:AlternateContent>
          <mc:Choice Requires="wpg">
            <w:drawing>
              <wp:anchor distT="0" distB="0" distL="114300" distR="114300" simplePos="0" relativeHeight="251763712" behindDoc="0" locked="0" layoutInCell="1" allowOverlap="1">
                <wp:simplePos x="0" y="0"/>
                <wp:positionH relativeFrom="column">
                  <wp:posOffset>6800215</wp:posOffset>
                </wp:positionH>
                <wp:positionV relativeFrom="paragraph">
                  <wp:posOffset>2964815</wp:posOffset>
                </wp:positionV>
                <wp:extent cx="931545" cy="835025"/>
                <wp:effectExtent l="0" t="0" r="0" b="0"/>
                <wp:wrapNone/>
                <wp:docPr id="376" name="组合 868"/>
                <wp:cNvGraphicFramePr/>
                <a:graphic xmlns:a="http://schemas.openxmlformats.org/drawingml/2006/main">
                  <a:graphicData uri="http://schemas.microsoft.com/office/word/2010/wordprocessingGroup">
                    <wpg:wgp>
                      <wpg:cNvGrpSpPr/>
                      <wpg:grpSpPr>
                        <a:xfrm>
                          <a:off x="0" y="0"/>
                          <a:ext cx="931545" cy="835025"/>
                          <a:chOff x="21696" y="1323666"/>
                          <a:chExt cx="1467" cy="1315"/>
                        </a:xfrm>
                      </wpg:grpSpPr>
                      <wps:wsp>
                        <wps:cNvPr id="367" name="直线 54"/>
                        <wps:cNvCnPr/>
                        <wps:spPr>
                          <a:xfrm flipH="1">
                            <a:off x="21696" y="1324098"/>
                            <a:ext cx="470" cy="2"/>
                          </a:xfrm>
                          <a:prstGeom prst="line">
                            <a:avLst/>
                          </a:prstGeom>
                          <a:ln w="19050" cap="flat" cmpd="sng">
                            <a:solidFill>
                              <a:srgbClr val="00B050"/>
                            </a:solidFill>
                            <a:prstDash val="dash"/>
                            <a:headEnd type="none" w="med" len="sm"/>
                            <a:tailEnd type="none" w="med" len="med"/>
                          </a:ln>
                        </wps:spPr>
                        <wps:bodyPr upright="1"/>
                      </wps:wsp>
                      <wps:wsp>
                        <wps:cNvPr id="368" name="直线 54"/>
                        <wps:cNvCnPr/>
                        <wps:spPr>
                          <a:xfrm flipH="1">
                            <a:off x="21748" y="1323824"/>
                            <a:ext cx="470" cy="2"/>
                          </a:xfrm>
                          <a:prstGeom prst="line">
                            <a:avLst/>
                          </a:prstGeom>
                          <a:ln w="19050" cap="flat" cmpd="sng">
                            <a:solidFill>
                              <a:srgbClr val="F79646"/>
                            </a:solidFill>
                            <a:prstDash val="dash"/>
                            <a:headEnd type="none" w="med" len="sm"/>
                            <a:tailEnd type="none" w="med" len="med"/>
                          </a:ln>
                        </wps:spPr>
                        <wps:bodyPr upright="1"/>
                      </wps:wsp>
                      <wps:wsp>
                        <wps:cNvPr id="369" name="文本框 805"/>
                        <wps:cNvSpPr txBox="1"/>
                        <wps:spPr>
                          <a:xfrm>
                            <a:off x="22449" y="1323666"/>
                            <a:ext cx="664" cy="330"/>
                          </a:xfrm>
                          <a:prstGeom prst="rect">
                            <a:avLst/>
                          </a:prstGeom>
                          <a:solidFill>
                            <a:srgbClr val="FFFFFF">
                              <a:alpha val="0"/>
                            </a:srgbClr>
                          </a:solidFill>
                          <a:ln>
                            <a:noFill/>
                          </a:ln>
                        </wps:spPr>
                        <wps:txbx>
                          <w:txbxContent>
                            <w:p w14:paraId="0BC924A3">
                              <w:pPr>
                                <w:rPr>
                                  <w:rFonts w:hint="eastAsia"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污水管线</w:t>
                              </w:r>
                            </w:p>
                          </w:txbxContent>
                        </wps:txbx>
                        <wps:bodyPr vert="horz" wrap="square" lIns="0" tIns="0" rIns="0" bIns="0" anchor="t" anchorCtr="0" upright="1"/>
                      </wps:wsp>
                      <wps:wsp>
                        <wps:cNvPr id="370" name="直线 54"/>
                        <wps:cNvCnPr/>
                        <wps:spPr>
                          <a:xfrm flipH="1">
                            <a:off x="21696" y="1324131"/>
                            <a:ext cx="470" cy="2"/>
                          </a:xfrm>
                          <a:prstGeom prst="line">
                            <a:avLst/>
                          </a:prstGeom>
                          <a:ln w="19050" cap="flat" cmpd="sng">
                            <a:solidFill>
                              <a:srgbClr val="00B050"/>
                            </a:solidFill>
                            <a:prstDash val="dash"/>
                            <a:headEnd type="none" w="med" len="sm"/>
                            <a:tailEnd type="none" w="med" len="med"/>
                          </a:ln>
                        </wps:spPr>
                        <wps:bodyPr upright="1"/>
                      </wps:wsp>
                      <wps:wsp>
                        <wps:cNvPr id="371" name="文本框 808"/>
                        <wps:cNvSpPr txBox="1"/>
                        <wps:spPr>
                          <a:xfrm>
                            <a:off x="22494" y="1323975"/>
                            <a:ext cx="664" cy="330"/>
                          </a:xfrm>
                          <a:prstGeom prst="rect">
                            <a:avLst/>
                          </a:prstGeom>
                          <a:solidFill>
                            <a:srgbClr val="FFFFFF">
                              <a:alpha val="0"/>
                            </a:srgbClr>
                          </a:solidFill>
                          <a:ln>
                            <a:noFill/>
                          </a:ln>
                        </wps:spPr>
                        <wps:txbx>
                          <w:txbxContent>
                            <w:p w14:paraId="34903783">
                              <w:pPr>
                                <w:rPr>
                                  <w:rFonts w:hint="eastAsia"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雨水管线</w:t>
                              </w:r>
                            </w:p>
                          </w:txbxContent>
                        </wps:txbx>
                        <wps:bodyPr vert="horz" wrap="square" lIns="0" tIns="0" rIns="0" bIns="0" anchor="t" anchorCtr="0" upright="1"/>
                      </wps:wsp>
                      <wps:wsp>
                        <wps:cNvPr id="372" name="矩形 856"/>
                        <wps:cNvSpPr/>
                        <wps:spPr>
                          <a:xfrm>
                            <a:off x="21756" y="1324413"/>
                            <a:ext cx="480" cy="135"/>
                          </a:xfrm>
                          <a:prstGeom prst="rect">
                            <a:avLst/>
                          </a:prstGeom>
                          <a:solidFill>
                            <a:srgbClr val="4F81BD">
                              <a:alpha val="51999"/>
                            </a:srgbClr>
                          </a:solidFill>
                          <a:ln w="9525" cap="flat" cmpd="sng">
                            <a:solidFill>
                              <a:srgbClr val="000000"/>
                            </a:solidFill>
                            <a:prstDash val="solid"/>
                            <a:miter/>
                            <a:headEnd type="none" w="med" len="med"/>
                            <a:tailEnd type="none" w="med" len="med"/>
                          </a:ln>
                        </wps:spPr>
                        <wps:bodyPr vert="horz" wrap="square" anchor="t" anchorCtr="0" upright="1"/>
                      </wps:wsp>
                      <wps:wsp>
                        <wps:cNvPr id="373" name="矩形 857"/>
                        <wps:cNvSpPr/>
                        <wps:spPr>
                          <a:xfrm>
                            <a:off x="21765" y="1324703"/>
                            <a:ext cx="480" cy="135"/>
                          </a:xfrm>
                          <a:prstGeom prst="rect">
                            <a:avLst/>
                          </a:prstGeom>
                          <a:solidFill>
                            <a:srgbClr val="FF0000">
                              <a:alpha val="50999"/>
                            </a:srgbClr>
                          </a:solidFill>
                          <a:ln w="9525" cap="flat" cmpd="sng">
                            <a:solidFill>
                              <a:srgbClr val="000000"/>
                            </a:solidFill>
                            <a:prstDash val="solid"/>
                            <a:miter/>
                            <a:headEnd type="none" w="med" len="med"/>
                            <a:tailEnd type="none" w="med" len="med"/>
                          </a:ln>
                        </wps:spPr>
                        <wps:bodyPr vert="horz" wrap="square" anchor="t" anchorCtr="0" upright="1"/>
                      </wps:wsp>
                      <wps:wsp>
                        <wps:cNvPr id="374" name="文本框 858"/>
                        <wps:cNvSpPr txBox="1"/>
                        <wps:spPr>
                          <a:xfrm>
                            <a:off x="22475" y="1324332"/>
                            <a:ext cx="664" cy="330"/>
                          </a:xfrm>
                          <a:prstGeom prst="rect">
                            <a:avLst/>
                          </a:prstGeom>
                          <a:solidFill>
                            <a:srgbClr val="FFFFFF">
                              <a:alpha val="0"/>
                            </a:srgbClr>
                          </a:solidFill>
                          <a:ln>
                            <a:noFill/>
                          </a:ln>
                        </wps:spPr>
                        <wps:txbx>
                          <w:txbxContent>
                            <w:p w14:paraId="08971A7E">
                              <w:pPr>
                                <w:rPr>
                                  <w:rFonts w:hint="default"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一般防渗区</w:t>
                              </w:r>
                            </w:p>
                          </w:txbxContent>
                        </wps:txbx>
                        <wps:bodyPr vert="horz" wrap="square" lIns="0" tIns="0" rIns="0" bIns="0" anchor="t" anchorCtr="0" upright="1"/>
                      </wps:wsp>
                      <wps:wsp>
                        <wps:cNvPr id="375" name="文本框 859"/>
                        <wps:cNvSpPr txBox="1"/>
                        <wps:spPr>
                          <a:xfrm>
                            <a:off x="22499" y="1324651"/>
                            <a:ext cx="664" cy="330"/>
                          </a:xfrm>
                          <a:prstGeom prst="rect">
                            <a:avLst/>
                          </a:prstGeom>
                          <a:solidFill>
                            <a:srgbClr val="FFFFFF">
                              <a:alpha val="0"/>
                            </a:srgbClr>
                          </a:solidFill>
                          <a:ln>
                            <a:noFill/>
                          </a:ln>
                        </wps:spPr>
                        <wps:txbx>
                          <w:txbxContent>
                            <w:p w14:paraId="29ED01D6">
                              <w:pPr>
                                <w:rPr>
                                  <w:rFonts w:hint="default"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重点防渗区</w:t>
                              </w:r>
                            </w:p>
                          </w:txbxContent>
                        </wps:txbx>
                        <wps:bodyPr vert="horz" wrap="square" lIns="0" tIns="0" rIns="0" bIns="0" anchor="t" anchorCtr="0" upright="1"/>
                      </wps:wsp>
                    </wpg:wgp>
                  </a:graphicData>
                </a:graphic>
              </wp:anchor>
            </w:drawing>
          </mc:Choice>
          <mc:Fallback>
            <w:pict>
              <v:group id="组合 868" o:spid="_x0000_s1026" o:spt="203" style="position:absolute;left:0pt;margin-left:535.45pt;margin-top:233.45pt;height:65.75pt;width:73.35pt;z-index:251763712;mso-width-relative:page;mso-height-relative:page;" coordorigin="21696,1323666" coordsize="1467,1315" o:gfxdata="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">
                <o:lock v:ext="edit" aspectratio="f"/>
                <v:line id="直线 54" o:spid="_x0000_s1026" o:spt="20" style="position:absolute;left:21696;top:1324098;flip:x;height:2;width:470;" filled="f" stroked="t" coordsize="21600,21600" o:gfxdata="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G58OvQAA&#10;ANwAAAAPAAAAAAAAAAEAIAAAACIAAABkcnMvZG93bnJldi54bWxQSwECFAAUAAAACACHTuJAMy8F&#10;njsAAAA5AAAAEAAAAAAAAAABACAAAAAMAQAAZHJzL3NoYXBleG1sLnhtbFBLBQYAAAAABgAGAFsB&#10;AAC2AwAAAAA=&#10;">
                  <v:fill on="f" focussize="0,0"/>
                  <v:stroke weight="1.5pt" color="#00B050" joinstyle="round" dashstyle="dash" startarrowlength="short"/>
                  <v:imagedata o:title=""/>
                  <o:lock v:ext="edit" aspectratio="f"/>
                </v:line>
                <v:line id="直线 54" o:spid="_x0000_s1026" o:spt="20" style="position:absolute;left:21748;top:1323824;flip:x;height:2;width:470;" filled="f" stroked="t" coordsize="21600,21600" o:gfxdata="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pdAyxugAAANwA&#10;AAAPAAAAAAAAAAEAIAAAACIAAABkcnMvZG93bnJldi54bWxQSwECFAAUAAAACACHTuJAMy8FnjsA&#10;AAA5AAAAEAAAAAAAAAABACAAAAAJAQAAZHJzL3NoYXBleG1sLnhtbFBLBQYAAAAABgAGAFsBAACz&#10;AwAAAAA=&#10;">
                  <v:fill on="f" focussize="0,0"/>
                  <v:stroke weight="1.5pt" color="#F79646" joinstyle="round" dashstyle="dash" startarrowlength="short"/>
                  <v:imagedata o:title=""/>
                  <o:lock v:ext="edit" aspectratio="f"/>
                </v:line>
                <v:shape id="文本框 805" o:spid="_x0000_s1026" o:spt="202" type="#_x0000_t202" style="position:absolute;left:22449;top:1323666;height:330;width:664;" fillcolor="#FFFFFF" filled="t" stroked="f" coordsize="21600,21600" o:gfxdata="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sfRC8AAAA&#10;3A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0BC924A3">
                        <w:pPr>
                          <w:rPr>
                            <w:rFonts w:hint="eastAsia"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污水管线</w:t>
                        </w:r>
                      </w:p>
                    </w:txbxContent>
                  </v:textbox>
                </v:shape>
                <v:line id="直线 54" o:spid="_x0000_s1026" o:spt="20" style="position:absolute;left:21696;top:1324131;flip:x;height:2;width:470;" filled="f" stroked="t" coordsize="21600,21600" o:gfxdata="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krkae5AAAA3AAA&#10;AA8AAAAAAAAAAQAgAAAAIgAAAGRycy9kb3ducmV2LnhtbFBLAQIUABQAAAAIAIdO4kAzLwWeOwAA&#10;ADkAAAAQAAAAAAAAAAEAIAAAAAgBAABkcnMvc2hhcGV4bWwueG1sUEsFBgAAAAAGAAYAWwEAALID&#10;AAAAAA==&#10;">
                  <v:fill on="f" focussize="0,0"/>
                  <v:stroke weight="1.5pt" color="#00B050" joinstyle="round" dashstyle="dash" startarrowlength="short"/>
                  <v:imagedata o:title=""/>
                  <o:lock v:ext="edit" aspectratio="f"/>
                </v:line>
                <v:shape id="文本框 808" o:spid="_x0000_s1026" o:spt="202" type="#_x0000_t202" style="position:absolute;left:22494;top:1323975;height:330;width:664;" fillcolor="#FFFFFF" filled="t" stroked="f" coordsize="21600,21600" o:gfxdata="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Q+fL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34903783">
                        <w:pPr>
                          <w:rPr>
                            <w:rFonts w:hint="eastAsia"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雨水管线</w:t>
                        </w:r>
                      </w:p>
                    </w:txbxContent>
                  </v:textbox>
                </v:shape>
                <v:rect id="矩形 856" o:spid="_x0000_s1026" o:spt="1" style="position:absolute;left:21756;top:1324413;height:135;width:480;" fillcolor="#4F81BD" filled="t" stroked="t" coordsize="21600,21600" o:gfxdata="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v/NK/&#10;AAAA3AAAAA8AAAAAAAAAAQAgAAAAIgAAAGRycy9kb3ducmV2LnhtbFBLAQIUABQAAAAIAIdO4kAz&#10;LwWeOwAAADkAAAAQAAAAAAAAAAEAIAAAAA4BAABkcnMvc2hhcGV4bWwueG1sUEsFBgAAAAAGAAYA&#10;WwEAALgDAAAAAA==&#10;">
                  <v:fill on="t" opacity="34078f" focussize="0,0"/>
                  <v:stroke color="#000000" joinstyle="miter"/>
                  <v:imagedata o:title=""/>
                  <o:lock v:ext="edit" aspectratio="f"/>
                </v:rect>
                <v:rect id="矩形 857" o:spid="_x0000_s1026" o:spt="1" style="position:absolute;left:21765;top:1324703;height:135;width:480;" fillcolor="#FF0000" filled="t" stroked="t" coordsize="21600,21600" o:gfxdata="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KhOkugAAANwA&#10;AAAPAAAAAAAAAAEAIAAAACIAAABkcnMvZG93bnJldi54bWxQSwECFAAUAAAACACHTuJAMy8FnjsA&#10;AAA5AAAAEAAAAAAAAAABACAAAAAJAQAAZHJzL3NoYXBleG1sLnhtbFBLBQYAAAAABgAGAFsBAACz&#10;AwAAAAA=&#10;">
                  <v:fill on="t" opacity="33422f" focussize="0,0"/>
                  <v:stroke color="#000000" joinstyle="miter"/>
                  <v:imagedata o:title=""/>
                  <o:lock v:ext="edit" aspectratio="f"/>
                </v:rect>
                <v:shape id="文本框 858" o:spid="_x0000_s1026" o:spt="202" type="#_x0000_t202" style="position:absolute;left:22475;top:1324332;height:330;width:664;" fillcolor="#FFFFFF" filled="t" stroked="f" coordsize="21600,21600" o:gfxdata="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NERT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08971A7E">
                        <w:pPr>
                          <w:rPr>
                            <w:rFonts w:hint="default"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一般防渗区</w:t>
                        </w:r>
                      </w:p>
                    </w:txbxContent>
                  </v:textbox>
                </v:shape>
                <v:shape id="文本框 859" o:spid="_x0000_s1026" o:spt="202" type="#_x0000_t202" style="position:absolute;left:22499;top:1324651;height:330;width:664;" fillcolor="#FFFFFF" filled="t" stroked="f" coordsize="21600,21600" o:gfxdata="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eOHI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29ED01D6">
                        <w:pPr>
                          <w:rPr>
                            <w:rFonts w:hint="default"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重点防渗区</w:t>
                        </w:r>
                      </w:p>
                    </w:txbxContent>
                  </v:textbox>
                </v:shape>
              </v:group>
            </w:pict>
          </mc:Fallback>
        </mc:AlternateContent>
      </w:r>
    </w:p>
    <w:p w14:paraId="2416E387">
      <w:pPr>
        <w:rPr>
          <w:rFonts w:ascii="Times New Roman" w:hAnsi="Times New Roman" w:eastAsia="宋体"/>
          <w:b/>
          <w:color w:val="auto"/>
          <w:sz w:val="24"/>
          <w:highlight w:val="none"/>
        </w:rPr>
        <w:sectPr>
          <w:pgSz w:w="16838" w:h="11906" w:orient="landscape"/>
          <w:pgMar w:top="1803" w:right="1440" w:bottom="1803" w:left="1440" w:header="851" w:footer="992" w:gutter="0"/>
          <w:pgBorders>
            <w:top w:val="none" w:sz="0" w:space="0"/>
            <w:left w:val="none" w:sz="0" w:space="0"/>
            <w:bottom w:val="none" w:sz="0" w:space="0"/>
            <w:right w:val="none" w:sz="0" w:space="0"/>
          </w:pgBorders>
          <w:cols w:space="720" w:num="1"/>
          <w:docGrid w:type="linesAndChars" w:linePitch="312" w:charSpace="0"/>
        </w:sectPr>
      </w:pPr>
      <w:r>
        <w:rPr>
          <w:color w:val="auto"/>
          <w:sz w:val="21"/>
          <w:highlight w:val="none"/>
        </w:rPr>
        <mc:AlternateContent>
          <mc:Choice Requires="wps">
            <w:drawing>
              <wp:anchor distT="0" distB="0" distL="114300" distR="114300" simplePos="0" relativeHeight="251774976" behindDoc="0" locked="0" layoutInCell="1" allowOverlap="1">
                <wp:simplePos x="0" y="0"/>
                <wp:positionH relativeFrom="column">
                  <wp:posOffset>3456305</wp:posOffset>
                </wp:positionH>
                <wp:positionV relativeFrom="paragraph">
                  <wp:posOffset>5148580</wp:posOffset>
                </wp:positionV>
                <wp:extent cx="2419350" cy="323850"/>
                <wp:effectExtent l="4445" t="4445" r="14605" b="14605"/>
                <wp:wrapNone/>
                <wp:docPr id="489" name="文本框 785"/>
                <wp:cNvGraphicFramePr/>
                <a:graphic xmlns:a="http://schemas.openxmlformats.org/drawingml/2006/main">
                  <a:graphicData uri="http://schemas.microsoft.com/office/word/2010/wordprocessingShape">
                    <wps:wsp>
                      <wps:cNvSpPr txBox="1"/>
                      <wps:spPr>
                        <a:xfrm>
                          <a:off x="0" y="0"/>
                          <a:ext cx="2419350" cy="3238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1C689B8">
                            <w:pPr>
                              <w:jc w:val="center"/>
                            </w:pPr>
                            <w:r>
                              <w:rPr>
                                <w:rFonts w:ascii="Times New Roman" w:hAnsi="Times New Roman" w:eastAsia="宋体"/>
                                <w:b/>
                                <w:color w:val="auto"/>
                                <w:sz w:val="24"/>
                              </w:rPr>
                              <w:t>图3.</w:t>
                            </w:r>
                            <w:r>
                              <w:rPr>
                                <w:rFonts w:hint="eastAsia" w:ascii="Times New Roman" w:hAnsi="Times New Roman" w:eastAsia="宋体"/>
                                <w:b/>
                                <w:color w:val="auto"/>
                                <w:sz w:val="24"/>
                                <w:lang w:val="en-US" w:eastAsia="zh-CN"/>
                              </w:rPr>
                              <w:t>1</w:t>
                            </w:r>
                            <w:r>
                              <w:rPr>
                                <w:rFonts w:ascii="Times New Roman" w:hAnsi="Times New Roman" w:eastAsia="宋体"/>
                                <w:b/>
                                <w:color w:val="auto"/>
                                <w:sz w:val="24"/>
                              </w:rPr>
                              <w:t>-</w:t>
                            </w:r>
                            <w:r>
                              <w:rPr>
                                <w:rFonts w:hint="eastAsia" w:ascii="Times New Roman" w:hAnsi="Times New Roman" w:eastAsia="宋体"/>
                                <w:b/>
                                <w:color w:val="auto"/>
                                <w:sz w:val="24"/>
                                <w:lang w:val="en-US" w:eastAsia="zh-CN"/>
                              </w:rPr>
                              <w:t>5</w:t>
                            </w:r>
                            <w:r>
                              <w:rPr>
                                <w:rFonts w:hint="eastAsia"/>
                                <w:b/>
                                <w:color w:val="auto"/>
                                <w:sz w:val="24"/>
                                <w:lang w:val="en-US" w:eastAsia="zh-CN"/>
                              </w:rPr>
                              <w:t xml:space="preserve">  </w:t>
                            </w:r>
                            <w:r>
                              <w:rPr>
                                <w:rFonts w:hint="eastAsia" w:ascii="Times New Roman" w:hAnsi="Times New Roman" w:eastAsia="宋体"/>
                                <w:b/>
                                <w:color w:val="auto"/>
                                <w:sz w:val="24"/>
                                <w:lang w:val="en-US" w:eastAsia="zh-CN"/>
                              </w:rPr>
                              <w:t>雨污管线图</w:t>
                            </w:r>
                          </w:p>
                        </w:txbxContent>
                      </wps:txbx>
                      <wps:bodyPr vert="horz" wrap="square" anchor="t" anchorCtr="0" upright="1"/>
                    </wps:wsp>
                  </a:graphicData>
                </a:graphic>
              </wp:anchor>
            </w:drawing>
          </mc:Choice>
          <mc:Fallback>
            <w:pict>
              <v:shape id="文本框 785" o:spid="_x0000_s1026" o:spt="202" type="#_x0000_t202" style="position:absolute;left:0pt;margin-left:272.15pt;margin-top:405.4pt;height:25.5pt;width:190.5pt;z-index:251774976;mso-width-relative:page;mso-height-relative:page;" fillcolor="#FFFFFF" filled="t" stroked="t" coordsize="21600,21600" o:gfxdata="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mPnMKtkAAAALAQAADwAAAAAAAAABACAAAAAiAAAAZHJzL2Rvd25yZXYueG1sUEsB&#10;AhQAFAAAAAgAh07iQJLX0KYtAgAAbQQAAA4AAAAAAAAAAQAgAAAAKAEAAGRycy9lMm9Eb2MueG1s&#10;UEsFBgAAAAAGAAYAWQEAAMcFAAAAAA==&#10;">
                <v:fill on="t" focussize="0,0"/>
                <v:stroke color="#000000" joinstyle="miter"/>
                <v:imagedata o:title=""/>
                <o:lock v:ext="edit" aspectratio="f"/>
                <v:textbox>
                  <w:txbxContent>
                    <w:p w14:paraId="21C689B8">
                      <w:pPr>
                        <w:jc w:val="center"/>
                      </w:pPr>
                      <w:r>
                        <w:rPr>
                          <w:rFonts w:ascii="Times New Roman" w:hAnsi="Times New Roman" w:eastAsia="宋体"/>
                          <w:b/>
                          <w:color w:val="auto"/>
                          <w:sz w:val="24"/>
                        </w:rPr>
                        <w:t>图3.</w:t>
                      </w:r>
                      <w:r>
                        <w:rPr>
                          <w:rFonts w:hint="eastAsia" w:ascii="Times New Roman" w:hAnsi="Times New Roman" w:eastAsia="宋体"/>
                          <w:b/>
                          <w:color w:val="auto"/>
                          <w:sz w:val="24"/>
                          <w:lang w:val="en-US" w:eastAsia="zh-CN"/>
                        </w:rPr>
                        <w:t>1</w:t>
                      </w:r>
                      <w:r>
                        <w:rPr>
                          <w:rFonts w:ascii="Times New Roman" w:hAnsi="Times New Roman" w:eastAsia="宋体"/>
                          <w:b/>
                          <w:color w:val="auto"/>
                          <w:sz w:val="24"/>
                        </w:rPr>
                        <w:t>-</w:t>
                      </w:r>
                      <w:r>
                        <w:rPr>
                          <w:rFonts w:hint="eastAsia" w:ascii="Times New Roman" w:hAnsi="Times New Roman" w:eastAsia="宋体"/>
                          <w:b/>
                          <w:color w:val="auto"/>
                          <w:sz w:val="24"/>
                          <w:lang w:val="en-US" w:eastAsia="zh-CN"/>
                        </w:rPr>
                        <w:t>5</w:t>
                      </w:r>
                      <w:r>
                        <w:rPr>
                          <w:rFonts w:hint="eastAsia"/>
                          <w:b/>
                          <w:color w:val="auto"/>
                          <w:sz w:val="24"/>
                          <w:lang w:val="en-US" w:eastAsia="zh-CN"/>
                        </w:rPr>
                        <w:t xml:space="preserve">  </w:t>
                      </w:r>
                      <w:r>
                        <w:rPr>
                          <w:rFonts w:hint="eastAsia" w:ascii="Times New Roman" w:hAnsi="Times New Roman" w:eastAsia="宋体"/>
                          <w:b/>
                          <w:color w:val="auto"/>
                          <w:sz w:val="24"/>
                          <w:lang w:val="en-US" w:eastAsia="zh-CN"/>
                        </w:rPr>
                        <w:t>雨污管线图</w:t>
                      </w:r>
                    </w:p>
                  </w:txbxContent>
                </v:textbox>
              </v:shape>
            </w:pict>
          </mc:Fallback>
        </mc:AlternateContent>
      </w:r>
      <w:r>
        <w:rPr>
          <w:color w:val="auto"/>
          <w:highlight w:val="none"/>
        </w:rPr>
        <w:drawing>
          <wp:inline distT="0" distB="0" distL="114300" distR="114300">
            <wp:extent cx="8453120" cy="5509260"/>
            <wp:effectExtent l="9525" t="9525" r="14605" b="24765"/>
            <wp:docPr id="558"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321"/>
                    <pic:cNvPicPr>
                      <a:picLocks noChangeAspect="1"/>
                    </pic:cNvPicPr>
                  </pic:nvPicPr>
                  <pic:blipFill>
                    <a:blip r:embed="rId40"/>
                    <a:stretch>
                      <a:fillRect/>
                    </a:stretch>
                  </pic:blipFill>
                  <pic:spPr>
                    <a:xfrm>
                      <a:off x="0" y="0"/>
                      <a:ext cx="8453120" cy="5509260"/>
                    </a:xfrm>
                    <a:prstGeom prst="rect">
                      <a:avLst/>
                    </a:prstGeom>
                    <a:noFill/>
                    <a:ln w="9525" cap="flat" cmpd="sng">
                      <a:solidFill>
                        <a:srgbClr val="000000"/>
                      </a:solidFill>
                      <a:prstDash val="solid"/>
                      <a:miter/>
                      <a:headEnd type="none" w="med" len="med"/>
                      <a:tailEnd type="none" w="med" len="med"/>
                    </a:ln>
                  </pic:spPr>
                </pic:pic>
              </a:graphicData>
            </a:graphic>
          </wp:inline>
        </w:drawing>
      </w:r>
      <w:r>
        <w:rPr>
          <w:color w:val="auto"/>
          <w:sz w:val="24"/>
          <w:highlight w:val="none"/>
        </w:rPr>
        <mc:AlternateContent>
          <mc:Choice Requires="wpg">
            <w:drawing>
              <wp:anchor distT="0" distB="0" distL="114300" distR="114300" simplePos="0" relativeHeight="251766784" behindDoc="0" locked="0" layoutInCell="1" allowOverlap="1">
                <wp:simplePos x="0" y="0"/>
                <wp:positionH relativeFrom="column">
                  <wp:posOffset>6800215</wp:posOffset>
                </wp:positionH>
                <wp:positionV relativeFrom="paragraph">
                  <wp:posOffset>2964815</wp:posOffset>
                </wp:positionV>
                <wp:extent cx="931545" cy="835025"/>
                <wp:effectExtent l="0" t="0" r="0" b="0"/>
                <wp:wrapNone/>
                <wp:docPr id="388" name="组合 872"/>
                <wp:cNvGraphicFramePr/>
                <a:graphic xmlns:a="http://schemas.openxmlformats.org/drawingml/2006/main">
                  <a:graphicData uri="http://schemas.microsoft.com/office/word/2010/wordprocessingGroup">
                    <wpg:wgp>
                      <wpg:cNvGrpSpPr/>
                      <wpg:grpSpPr>
                        <a:xfrm>
                          <a:off x="0" y="0"/>
                          <a:ext cx="931545" cy="835025"/>
                          <a:chOff x="21696" y="1323666"/>
                          <a:chExt cx="1467" cy="1315"/>
                        </a:xfrm>
                      </wpg:grpSpPr>
                      <wps:wsp>
                        <wps:cNvPr id="379" name="直线 54"/>
                        <wps:cNvCnPr/>
                        <wps:spPr>
                          <a:xfrm flipH="1">
                            <a:off x="21696" y="1324098"/>
                            <a:ext cx="470" cy="2"/>
                          </a:xfrm>
                          <a:prstGeom prst="line">
                            <a:avLst/>
                          </a:prstGeom>
                          <a:ln w="19050" cap="flat" cmpd="sng">
                            <a:solidFill>
                              <a:srgbClr val="00B050"/>
                            </a:solidFill>
                            <a:prstDash val="dash"/>
                            <a:headEnd type="none" w="med" len="sm"/>
                            <a:tailEnd type="none" w="med" len="med"/>
                          </a:ln>
                        </wps:spPr>
                        <wps:bodyPr upright="1"/>
                      </wps:wsp>
                      <wps:wsp>
                        <wps:cNvPr id="380" name="直线 54"/>
                        <wps:cNvCnPr/>
                        <wps:spPr>
                          <a:xfrm flipH="1">
                            <a:off x="21748" y="1323824"/>
                            <a:ext cx="470" cy="2"/>
                          </a:xfrm>
                          <a:prstGeom prst="line">
                            <a:avLst/>
                          </a:prstGeom>
                          <a:ln w="19050" cap="flat" cmpd="sng">
                            <a:solidFill>
                              <a:srgbClr val="F79646"/>
                            </a:solidFill>
                            <a:prstDash val="dash"/>
                            <a:headEnd type="none" w="med" len="sm"/>
                            <a:tailEnd type="none" w="med" len="med"/>
                          </a:ln>
                        </wps:spPr>
                        <wps:bodyPr upright="1"/>
                      </wps:wsp>
                      <wps:wsp>
                        <wps:cNvPr id="381" name="文本框 875"/>
                        <wps:cNvSpPr txBox="1"/>
                        <wps:spPr>
                          <a:xfrm>
                            <a:off x="22449" y="1323666"/>
                            <a:ext cx="664" cy="330"/>
                          </a:xfrm>
                          <a:prstGeom prst="rect">
                            <a:avLst/>
                          </a:prstGeom>
                          <a:solidFill>
                            <a:srgbClr val="FFFFFF">
                              <a:alpha val="0"/>
                            </a:srgbClr>
                          </a:solidFill>
                          <a:ln>
                            <a:noFill/>
                          </a:ln>
                        </wps:spPr>
                        <wps:txbx>
                          <w:txbxContent>
                            <w:p w14:paraId="2B8F8381">
                              <w:pPr>
                                <w:rPr>
                                  <w:rFonts w:hint="eastAsia"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污水管线</w:t>
                              </w:r>
                            </w:p>
                          </w:txbxContent>
                        </wps:txbx>
                        <wps:bodyPr wrap="square" lIns="0" tIns="0" rIns="0" bIns="0" upright="1"/>
                      </wps:wsp>
                      <wps:wsp>
                        <wps:cNvPr id="382" name="直线 54"/>
                        <wps:cNvCnPr/>
                        <wps:spPr>
                          <a:xfrm flipH="1">
                            <a:off x="21696" y="1324131"/>
                            <a:ext cx="470" cy="2"/>
                          </a:xfrm>
                          <a:prstGeom prst="line">
                            <a:avLst/>
                          </a:prstGeom>
                          <a:ln w="19050" cap="flat" cmpd="sng">
                            <a:solidFill>
                              <a:srgbClr val="00B050"/>
                            </a:solidFill>
                            <a:prstDash val="dash"/>
                            <a:headEnd type="none" w="med" len="sm"/>
                            <a:tailEnd type="none" w="med" len="med"/>
                          </a:ln>
                        </wps:spPr>
                        <wps:bodyPr upright="1"/>
                      </wps:wsp>
                      <wps:wsp>
                        <wps:cNvPr id="383" name="文本框 877"/>
                        <wps:cNvSpPr txBox="1"/>
                        <wps:spPr>
                          <a:xfrm>
                            <a:off x="22494" y="1323975"/>
                            <a:ext cx="664" cy="330"/>
                          </a:xfrm>
                          <a:prstGeom prst="rect">
                            <a:avLst/>
                          </a:prstGeom>
                          <a:solidFill>
                            <a:srgbClr val="FFFFFF">
                              <a:alpha val="0"/>
                            </a:srgbClr>
                          </a:solidFill>
                          <a:ln>
                            <a:noFill/>
                          </a:ln>
                        </wps:spPr>
                        <wps:txbx>
                          <w:txbxContent>
                            <w:p w14:paraId="7FCD8FA1">
                              <w:pPr>
                                <w:rPr>
                                  <w:rFonts w:hint="eastAsia"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雨水管线</w:t>
                              </w:r>
                            </w:p>
                          </w:txbxContent>
                        </wps:txbx>
                        <wps:bodyPr wrap="square" lIns="0" tIns="0" rIns="0" bIns="0" upright="1"/>
                      </wps:wsp>
                      <wps:wsp>
                        <wps:cNvPr id="384" name="矩形 878"/>
                        <wps:cNvSpPr/>
                        <wps:spPr>
                          <a:xfrm>
                            <a:off x="21756" y="1324413"/>
                            <a:ext cx="480" cy="135"/>
                          </a:xfrm>
                          <a:prstGeom prst="rect">
                            <a:avLst/>
                          </a:prstGeom>
                          <a:solidFill>
                            <a:srgbClr val="4F81BD">
                              <a:alpha val="51999"/>
                            </a:srgbClr>
                          </a:solidFill>
                          <a:ln w="9525" cap="flat" cmpd="sng">
                            <a:solidFill>
                              <a:srgbClr val="000000"/>
                            </a:solidFill>
                            <a:prstDash val="solid"/>
                            <a:miter/>
                            <a:headEnd type="none" w="med" len="med"/>
                            <a:tailEnd type="none" w="med" len="med"/>
                          </a:ln>
                        </wps:spPr>
                        <wps:bodyPr wrap="square" upright="1"/>
                      </wps:wsp>
                      <wps:wsp>
                        <wps:cNvPr id="385" name="矩形 879"/>
                        <wps:cNvSpPr/>
                        <wps:spPr>
                          <a:xfrm>
                            <a:off x="21765" y="1324703"/>
                            <a:ext cx="480" cy="135"/>
                          </a:xfrm>
                          <a:prstGeom prst="rect">
                            <a:avLst/>
                          </a:prstGeom>
                          <a:solidFill>
                            <a:srgbClr val="FF0000">
                              <a:alpha val="50999"/>
                            </a:srgbClr>
                          </a:solidFill>
                          <a:ln w="9525" cap="flat" cmpd="sng">
                            <a:solidFill>
                              <a:srgbClr val="000000"/>
                            </a:solidFill>
                            <a:prstDash val="solid"/>
                            <a:miter/>
                            <a:headEnd type="none" w="med" len="med"/>
                            <a:tailEnd type="none" w="med" len="med"/>
                          </a:ln>
                        </wps:spPr>
                        <wps:bodyPr wrap="square" upright="1"/>
                      </wps:wsp>
                      <wps:wsp>
                        <wps:cNvPr id="386" name="文本框 880"/>
                        <wps:cNvSpPr txBox="1"/>
                        <wps:spPr>
                          <a:xfrm>
                            <a:off x="22475" y="1324332"/>
                            <a:ext cx="664" cy="330"/>
                          </a:xfrm>
                          <a:prstGeom prst="rect">
                            <a:avLst/>
                          </a:prstGeom>
                          <a:solidFill>
                            <a:srgbClr val="FFFFFF">
                              <a:alpha val="0"/>
                            </a:srgbClr>
                          </a:solidFill>
                          <a:ln>
                            <a:noFill/>
                          </a:ln>
                        </wps:spPr>
                        <wps:txbx>
                          <w:txbxContent>
                            <w:p w14:paraId="1EB3F10E">
                              <w:pPr>
                                <w:rPr>
                                  <w:rFonts w:hint="default"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一般防渗区</w:t>
                              </w:r>
                            </w:p>
                          </w:txbxContent>
                        </wps:txbx>
                        <wps:bodyPr wrap="square" lIns="0" tIns="0" rIns="0" bIns="0" upright="1"/>
                      </wps:wsp>
                      <wps:wsp>
                        <wps:cNvPr id="387" name="文本框 881"/>
                        <wps:cNvSpPr txBox="1"/>
                        <wps:spPr>
                          <a:xfrm>
                            <a:off x="22499" y="1324651"/>
                            <a:ext cx="664" cy="330"/>
                          </a:xfrm>
                          <a:prstGeom prst="rect">
                            <a:avLst/>
                          </a:prstGeom>
                          <a:solidFill>
                            <a:srgbClr val="FFFFFF">
                              <a:alpha val="0"/>
                            </a:srgbClr>
                          </a:solidFill>
                          <a:ln>
                            <a:noFill/>
                          </a:ln>
                        </wps:spPr>
                        <wps:txbx>
                          <w:txbxContent>
                            <w:p w14:paraId="26C4652C">
                              <w:pPr>
                                <w:rPr>
                                  <w:rFonts w:hint="default"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重点防渗区</w:t>
                              </w:r>
                            </w:p>
                          </w:txbxContent>
                        </wps:txbx>
                        <wps:bodyPr wrap="square" lIns="0" tIns="0" rIns="0" bIns="0" upright="1"/>
                      </wps:wsp>
                    </wpg:wgp>
                  </a:graphicData>
                </a:graphic>
              </wp:anchor>
            </w:drawing>
          </mc:Choice>
          <mc:Fallback>
            <w:pict>
              <v:group id="组合 872" o:spid="_x0000_s1026" o:spt="203" style="position:absolute;left:0pt;margin-left:535.45pt;margin-top:233.45pt;height:65.75pt;width:73.35pt;z-index:251766784;mso-width-relative:page;mso-height-relative:page;" coordorigin="21696,1323666" coordsize="1467,1315" o:gfxdata="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">
                <o:lock v:ext="edit" aspectratio="f"/>
                <v:line id="直线 54" o:spid="_x0000_s1026" o:spt="20" style="position:absolute;left:21696;top:1324098;flip:x;height:2;width:470;" filled="f" stroked="t" coordsize="21600,21600" o:gfxdata="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ETg6vQAA&#10;ANwAAAAPAAAAAAAAAAEAIAAAACIAAABkcnMvZG93bnJldi54bWxQSwECFAAUAAAACACHTuJAMy8F&#10;njsAAAA5AAAAEAAAAAAAAAABACAAAAAMAQAAZHJzL3NoYXBleG1sLnhtbFBLBQYAAAAABgAGAFsB&#10;AAC2AwAAAAA=&#10;">
                  <v:fill on="f" focussize="0,0"/>
                  <v:stroke weight="1.5pt" color="#00B050" joinstyle="round" dashstyle="dash" startarrowlength="short"/>
                  <v:imagedata o:title=""/>
                  <o:lock v:ext="edit" aspectratio="f"/>
                </v:line>
                <v:line id="直线 54" o:spid="_x0000_s1026" o:spt="20" style="position:absolute;left:21748;top:1323824;flip:x;height:2;width:470;" filled="f" stroked="t" coordsize="21600,21600" o:gfxdata="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cO5k25AAAA3AAA&#10;AA8AAAAAAAAAAQAgAAAAIgAAAGRycy9kb3ducmV2LnhtbFBLAQIUABQAAAAIAIdO4kAzLwWeOwAA&#10;ADkAAAAQAAAAAAAAAAEAIAAAAAgBAABkcnMvc2hhcGV4bWwueG1sUEsFBgAAAAAGAAYAWwEAALID&#10;AAAAAA==&#10;">
                  <v:fill on="f" focussize="0,0"/>
                  <v:stroke weight="1.5pt" color="#F79646" joinstyle="round" dashstyle="dash" startarrowlength="short"/>
                  <v:imagedata o:title=""/>
                  <o:lock v:ext="edit" aspectratio="f"/>
                </v:line>
                <v:shape id="文本框 875" o:spid="_x0000_s1026" o:spt="202" type="#_x0000_t202" style="position:absolute;left:22449;top:1323666;height:330;width:664;" fillcolor="#FFFFFF" filled="t" stroked="f" coordsize="21600,21600" o:gfxdata="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lpfs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2B8F8381">
                        <w:pPr>
                          <w:rPr>
                            <w:rFonts w:hint="eastAsia"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污水管线</w:t>
                        </w:r>
                      </w:p>
                    </w:txbxContent>
                  </v:textbox>
                </v:shape>
                <v:line id="直线 54" o:spid="_x0000_s1026" o:spt="20" style="position:absolute;left:21696;top:1324131;flip:x;height:2;width:470;" filled="f" stroked="t" coordsize="21600,21600" o:gfxdata="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Ng2my8AAAA&#10;3AAAAA8AAAAAAAAAAQAgAAAAIgAAAGRycy9kb3ducmV2LnhtbFBLAQIUABQAAAAIAIdO4kAzLwWe&#10;OwAAADkAAAAQAAAAAAAAAAEAIAAAAAsBAABkcnMvc2hhcGV4bWwueG1sUEsFBgAAAAAGAAYAWwEA&#10;ALUDAAAAAA==&#10;">
                  <v:fill on="f" focussize="0,0"/>
                  <v:stroke weight="1.5pt" color="#00B050" joinstyle="round" dashstyle="dash" startarrowlength="short"/>
                  <v:imagedata o:title=""/>
                  <o:lock v:ext="edit" aspectratio="f"/>
                </v:line>
                <v:shape id="文本框 877" o:spid="_x0000_s1026" o:spt="202" type="#_x0000_t202" style="position:absolute;left:22494;top:1323975;height:330;width:664;" fillcolor="#FFFFFF" filled="t" stroked="f" coordsize="21600,21600" o:gfxdata="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8IrAC8AAAA&#10;3A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7FCD8FA1">
                        <w:pPr>
                          <w:rPr>
                            <w:rFonts w:hint="eastAsia"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雨水管线</w:t>
                        </w:r>
                      </w:p>
                    </w:txbxContent>
                  </v:textbox>
                </v:shape>
                <v:rect id="矩形 878" o:spid="_x0000_s1026" o:spt="1" style="position:absolute;left:21756;top:1324413;height:135;width:480;" fillcolor="#4F81BD" filled="t" stroked="t" coordsize="21600,21600" o:gfxdata="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4fsRq/&#10;AAAA3AAAAA8AAAAAAAAAAQAgAAAAIgAAAGRycy9kb3ducmV2LnhtbFBLAQIUABQAAAAIAIdO4kAz&#10;LwWeOwAAADkAAAAQAAAAAAAAAAEAIAAAAA4BAABkcnMvc2hhcGV4bWwueG1sUEsFBgAAAAAGAAYA&#10;WwEAALgDAAAAAA==&#10;">
                  <v:fill on="t" opacity="34078f" focussize="0,0"/>
                  <v:stroke color="#000000" joinstyle="miter"/>
                  <v:imagedata o:title=""/>
                  <o:lock v:ext="edit" aspectratio="f"/>
                </v:rect>
                <v:rect id="矩形 879" o:spid="_x0000_s1026" o:spt="1" style="position:absolute;left:21765;top:1324703;height:135;width:480;" fillcolor="#FF0000" filled="t" stroked="t" coordsize="21600,21600" o:gfxdata="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Wl5sugAAANwA&#10;AAAPAAAAAAAAAAEAIAAAACIAAABkcnMvZG93bnJldi54bWxQSwECFAAUAAAACACHTuJAMy8FnjsA&#10;AAA5AAAAEAAAAAAAAAABACAAAAAJAQAAZHJzL3NoYXBleG1sLnhtbFBLBQYAAAAABgAGAFsBAACz&#10;AwAAAAA=&#10;">
                  <v:fill on="t" opacity="33422f" focussize="0,0"/>
                  <v:stroke color="#000000" joinstyle="miter"/>
                  <v:imagedata o:title=""/>
                  <o:lock v:ext="edit" aspectratio="f"/>
                </v:rect>
                <v:shape id="文本框 880" o:spid="_x0000_s1026" o:spt="202" type="#_x0000_t202" style="position:absolute;left:22475;top:1324332;height:330;width:664;" fillcolor="#FFFFFF" filled="t" stroked="f" coordsize="21600,21600" o:gfxdata="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9/D5i8AAAA&#10;3A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1EB3F10E">
                        <w:pPr>
                          <w:rPr>
                            <w:rFonts w:hint="default"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一般防渗区</w:t>
                        </w:r>
                      </w:p>
                    </w:txbxContent>
                  </v:textbox>
                </v:shape>
                <v:shape id="文本框 881" o:spid="_x0000_s1026" o:spt="202" type="#_x0000_t202" style="position:absolute;left:22499;top:1324651;height:330;width:664;" fillcolor="#FFFFFF" filled="t" stroked="f" coordsize="21600,21600" o:gfxdata="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AzqgO8AAAA&#10;3A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26C4652C">
                        <w:pPr>
                          <w:rPr>
                            <w:rFonts w:hint="default" w:ascii="方正楷体_GB2312" w:hAnsi="方正楷体_GB2312" w:eastAsia="方正楷体_GB2312" w:cs="方正楷体_GB2312"/>
                            <w:b w:val="0"/>
                            <w:bCs w:val="0"/>
                            <w:sz w:val="13"/>
                            <w:szCs w:val="13"/>
                            <w:lang w:val="en-US" w:eastAsia="zh-CN"/>
                          </w:rPr>
                        </w:pPr>
                        <w:r>
                          <w:rPr>
                            <w:rFonts w:hint="eastAsia" w:ascii="方正楷体_GB2312" w:hAnsi="方正楷体_GB2312" w:eastAsia="方正楷体_GB2312" w:cs="方正楷体_GB2312"/>
                            <w:b w:val="0"/>
                            <w:bCs w:val="0"/>
                            <w:sz w:val="13"/>
                            <w:szCs w:val="13"/>
                            <w:lang w:val="en-US" w:eastAsia="zh-CN"/>
                          </w:rPr>
                          <w:t>重点防渗区</w:t>
                        </w:r>
                      </w:p>
                    </w:txbxContent>
                  </v:textbox>
                </v:shape>
              </v:group>
            </w:pict>
          </mc:Fallback>
        </mc:AlternateContent>
      </w:r>
      <w:r>
        <w:rPr>
          <w:color w:val="auto"/>
          <w:sz w:val="21"/>
          <w:highlight w:val="none"/>
        </w:rPr>
        <mc:AlternateContent>
          <mc:Choice Requires="wps">
            <w:drawing>
              <wp:anchor distT="0" distB="0" distL="114300" distR="114300" simplePos="0" relativeHeight="251667456" behindDoc="0" locked="0" layoutInCell="1" allowOverlap="1">
                <wp:simplePos x="0" y="0"/>
                <wp:positionH relativeFrom="column">
                  <wp:posOffset>1358900</wp:posOffset>
                </wp:positionH>
                <wp:positionV relativeFrom="paragraph">
                  <wp:posOffset>2433955</wp:posOffset>
                </wp:positionV>
                <wp:extent cx="65405" cy="21590"/>
                <wp:effectExtent l="1270" t="4445" r="9525" b="12065"/>
                <wp:wrapNone/>
                <wp:docPr id="8" name="直线 59"/>
                <wp:cNvGraphicFramePr/>
                <a:graphic xmlns:a="http://schemas.openxmlformats.org/drawingml/2006/main">
                  <a:graphicData uri="http://schemas.microsoft.com/office/word/2010/wordprocessingShape">
                    <wps:wsp>
                      <wps:cNvCnPr/>
                      <wps:spPr>
                        <a:xfrm flipH="1">
                          <a:off x="0" y="0"/>
                          <a:ext cx="65405" cy="21590"/>
                        </a:xfrm>
                        <a:prstGeom prst="line">
                          <a:avLst/>
                        </a:prstGeom>
                        <a:ln w="9525" cap="flat" cmpd="sng">
                          <a:solidFill>
                            <a:srgbClr val="F79646"/>
                          </a:solidFill>
                          <a:prstDash val="dash"/>
                          <a:headEnd type="none" w="med" len="med"/>
                          <a:tailEnd type="none" w="med" len="med"/>
                        </a:ln>
                      </wps:spPr>
                      <wps:bodyPr upright="1"/>
                    </wps:wsp>
                  </a:graphicData>
                </a:graphic>
              </wp:anchor>
            </w:drawing>
          </mc:Choice>
          <mc:Fallback>
            <w:pict>
              <v:line id="直线 59" o:spid="_x0000_s1026" o:spt="20" style="position:absolute;left:0pt;flip:x;margin-left:107pt;margin-top:191.65pt;height:1.7pt;width:5.15pt;z-index:251667456;mso-width-relative:page;mso-height-relative:page;" filled="f" stroked="t" coordsize="21600,21600" o:gfxdata="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nUBq6tkAAAALAQAADwAAAAAAAAABACAAAAAiAAAAZHJzL2Rvd25yZXYueG1s&#10;UEsBAhQAFAAAAAgAh07iQEVniZ33AQAA5wMAAA4AAAAAAAAAAQAgAAAAKAEAAGRycy9lMm9Eb2Mu&#10;eG1sUEsFBgAAAAAGAAYAWQEAAJEFAAAAAA==&#10;">
                <v:fill on="f" focussize="0,0"/>
                <v:stroke color="#F79646" joinstyle="round" dashstyle="dash"/>
                <v:imagedata o:title=""/>
                <o:lock v:ext="edit" aspectratio="f"/>
              </v:line>
            </w:pict>
          </mc:Fallback>
        </mc:AlternateContent>
      </w:r>
      <w:r>
        <w:rPr>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2236470</wp:posOffset>
                </wp:positionH>
                <wp:positionV relativeFrom="paragraph">
                  <wp:posOffset>1391920</wp:posOffset>
                </wp:positionV>
                <wp:extent cx="14605" cy="68580"/>
                <wp:effectExtent l="4445" t="1270" r="19050" b="6350"/>
                <wp:wrapNone/>
                <wp:docPr id="7" name="直线 55"/>
                <wp:cNvGraphicFramePr/>
                <a:graphic xmlns:a="http://schemas.openxmlformats.org/drawingml/2006/main">
                  <a:graphicData uri="http://schemas.microsoft.com/office/word/2010/wordprocessingShape">
                    <wps:wsp>
                      <wps:cNvCnPr/>
                      <wps:spPr>
                        <a:xfrm flipH="1">
                          <a:off x="0" y="0"/>
                          <a:ext cx="14605" cy="68580"/>
                        </a:xfrm>
                        <a:prstGeom prst="line">
                          <a:avLst/>
                        </a:prstGeom>
                        <a:ln w="9525" cap="flat" cmpd="sng">
                          <a:solidFill>
                            <a:srgbClr val="F79646"/>
                          </a:solidFill>
                          <a:prstDash val="solid"/>
                          <a:headEnd type="none" w="med" len="med"/>
                          <a:tailEnd type="none" w="med" len="med"/>
                        </a:ln>
                      </wps:spPr>
                      <wps:bodyPr upright="1"/>
                    </wps:wsp>
                  </a:graphicData>
                </a:graphic>
              </wp:anchor>
            </w:drawing>
          </mc:Choice>
          <mc:Fallback>
            <w:pict>
              <v:line id="直线 55" o:spid="_x0000_s1026" o:spt="20" style="position:absolute;left:0pt;flip:x;margin-left:176.1pt;margin-top:109.6pt;height:5.4pt;width:1.15pt;z-index:251666432;mso-width-relative:page;mso-height-relative:page;" filled="f" stroked="t" coordsize="21600,21600" o:gfxdata="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PckrjZAAAACwEAAA8AAAAAAAAAAQAgAAAAIgAAAGRycy9kb3ducmV2Lnht&#10;bFBLAQIUABQAAAAIAIdO4kCY6pe7+AEAAOgDAAAOAAAAAAAAAAEAIAAAACgBAABkcnMvZTJvRG9j&#10;LnhtbFBLBQYAAAAABgAGAFkBAACSBQAAAAA=&#10;">
                <v:fill on="f" focussize="0,0"/>
                <v:stroke color="#F79646" joinstyle="round"/>
                <v:imagedata o:title=""/>
                <o:lock v:ext="edit" aspectratio="f"/>
              </v:line>
            </w:pict>
          </mc:Fallback>
        </mc:AlternateContent>
      </w:r>
    </w:p>
    <w:p w14:paraId="5FB7D1AC">
      <w:pPr>
        <w:pStyle w:val="218"/>
        <w:spacing w:before="62" w:after="156"/>
        <w:rPr>
          <w:color w:val="auto"/>
          <w:highlight w:val="none"/>
        </w:rPr>
      </w:pPr>
      <w:bookmarkStart w:id="206" w:name="_Toc7162"/>
      <w:bookmarkStart w:id="207" w:name="_Toc152922008"/>
      <w:bookmarkStart w:id="208" w:name="_Toc152922602"/>
      <w:r>
        <w:rPr>
          <w:color w:val="auto"/>
          <w:highlight w:val="none"/>
        </w:rPr>
        <w:t>3.</w:t>
      </w:r>
      <w:r>
        <w:rPr>
          <w:rFonts w:hint="eastAsia"/>
          <w:color w:val="auto"/>
          <w:highlight w:val="none"/>
          <w:lang w:val="en-US" w:eastAsia="zh-CN"/>
        </w:rPr>
        <w:t>2施工期</w:t>
      </w:r>
      <w:r>
        <w:rPr>
          <w:color w:val="auto"/>
          <w:highlight w:val="none"/>
        </w:rPr>
        <w:t>工艺流程</w:t>
      </w:r>
      <w:bookmarkEnd w:id="206"/>
    </w:p>
    <w:p w14:paraId="37EC95A7">
      <w:pPr>
        <w:spacing w:line="360" w:lineRule="auto"/>
        <w:ind w:firstLine="480" w:firstLineChars="200"/>
        <w:jc w:val="left"/>
        <w:rPr>
          <w:rFonts w:hint="eastAsia" w:ascii="Times New Roman" w:hAnsi="Times New Roman" w:eastAsia="宋体" w:cs="Times New Roman"/>
          <w:b w:val="0"/>
          <w:bCs/>
          <w:color w:val="auto"/>
          <w:sz w:val="24"/>
          <w:highlight w:val="none"/>
          <w:lang w:val="en-US" w:eastAsia="zh-CN"/>
        </w:rPr>
      </w:pPr>
      <w:r>
        <w:rPr>
          <w:rFonts w:hint="eastAsia" w:ascii="Times New Roman" w:hAnsi="Times New Roman" w:eastAsia="宋体" w:cs="Times New Roman"/>
          <w:b w:val="0"/>
          <w:bCs/>
          <w:color w:val="auto"/>
          <w:sz w:val="24"/>
          <w:highlight w:val="none"/>
          <w:lang w:val="en-US" w:eastAsia="zh-CN"/>
        </w:rPr>
        <w:t>拟建项目为加油加氢站项目，包含新建罩棚、站房、埋地油罐、隔油池、生化池等建设内容。施工期污染主要来自站房、土建施工阶段。土建阶段主要进行打桩测桩、建筑物土建施工、道路修建、公共设施建设及内外装修等。项目施工期主要工艺过程为建筑施工过程，本项目的工程量小，施工期会产生一定的噪声及扬尘，同时会产生一定的施工人员生活污水、施工废水、装修废气和建筑垃圾等；同时建筑施工机械和运输车辆会产生较大的噪声。</w:t>
      </w:r>
    </w:p>
    <w:p w14:paraId="2113C59F">
      <w:pPr>
        <w:spacing w:line="360" w:lineRule="auto"/>
        <w:ind w:firstLine="420" w:firstLineChars="200"/>
        <w:jc w:val="center"/>
        <w:rPr>
          <w:color w:val="auto"/>
          <w:highlight w:val="none"/>
        </w:rPr>
      </w:pPr>
      <w:r>
        <w:rPr>
          <w:color w:val="auto"/>
          <w:highlight w:val="none"/>
        </w:rPr>
        <w:drawing>
          <wp:inline distT="0" distB="0" distL="114300" distR="114300">
            <wp:extent cx="3093720" cy="4949825"/>
            <wp:effectExtent l="0" t="0" r="11430" b="3175"/>
            <wp:docPr id="55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219"/>
                    <pic:cNvPicPr>
                      <a:picLocks noChangeAspect="1"/>
                    </pic:cNvPicPr>
                  </pic:nvPicPr>
                  <pic:blipFill>
                    <a:blip r:embed="rId41"/>
                    <a:stretch>
                      <a:fillRect/>
                    </a:stretch>
                  </pic:blipFill>
                  <pic:spPr>
                    <a:xfrm>
                      <a:off x="0" y="0"/>
                      <a:ext cx="3093720" cy="4949825"/>
                    </a:xfrm>
                    <a:prstGeom prst="rect">
                      <a:avLst/>
                    </a:prstGeom>
                    <a:noFill/>
                    <a:ln>
                      <a:noFill/>
                    </a:ln>
                  </pic:spPr>
                </pic:pic>
              </a:graphicData>
            </a:graphic>
          </wp:inline>
        </w:drawing>
      </w:r>
    </w:p>
    <w:p w14:paraId="6B1023AB">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2</w:t>
      </w:r>
      <w:r>
        <w:rPr>
          <w:rFonts w:ascii="Times New Roman" w:hAnsi="Times New Roman" w:eastAsia="宋体"/>
          <w:b/>
          <w:color w:val="auto"/>
          <w:sz w:val="24"/>
          <w:highlight w:val="none"/>
        </w:rPr>
        <w:t>-1</w:t>
      </w:r>
      <w:r>
        <w:rPr>
          <w:rFonts w:hint="eastAsia"/>
          <w:b/>
          <w:color w:val="auto"/>
          <w:sz w:val="24"/>
          <w:highlight w:val="none"/>
          <w:lang w:val="en-US" w:eastAsia="zh-CN"/>
        </w:rPr>
        <w:t xml:space="preserve">  </w:t>
      </w:r>
      <w:r>
        <w:rPr>
          <w:rFonts w:hint="eastAsia" w:ascii="Times New Roman" w:hAnsi="Times New Roman" w:eastAsia="宋体"/>
          <w:b/>
          <w:color w:val="auto"/>
          <w:sz w:val="24"/>
          <w:highlight w:val="none"/>
          <w:lang w:val="en-US" w:eastAsia="zh-CN"/>
        </w:rPr>
        <w:t>施工期工艺流程</w:t>
      </w:r>
      <w:r>
        <w:rPr>
          <w:rFonts w:ascii="Times New Roman" w:hAnsi="Times New Roman" w:eastAsia="宋体"/>
          <w:b/>
          <w:color w:val="auto"/>
          <w:sz w:val="24"/>
          <w:highlight w:val="none"/>
        </w:rPr>
        <w:t>及产污节点</w:t>
      </w:r>
    </w:p>
    <w:p w14:paraId="24D273B0">
      <w:pPr>
        <w:spacing w:line="360" w:lineRule="auto"/>
        <w:ind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施工工艺简介：</w:t>
      </w:r>
    </w:p>
    <w:p w14:paraId="3A45CBFC">
      <w:p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w:t>
      </w:r>
      <w:r>
        <w:rPr>
          <w:rFonts w:ascii="Times New Roman" w:hAnsi="Times New Roman" w:eastAsia="Times New Roman" w:cs="Times New Roman"/>
          <w:color w:val="auto"/>
          <w:sz w:val="24"/>
          <w:highlight w:val="none"/>
          <w:lang w:val="zh-CN"/>
        </w:rPr>
        <w:t>1</w:t>
      </w:r>
      <w:r>
        <w:rPr>
          <w:rFonts w:hint="eastAsia" w:ascii="Times New Roman" w:hAnsi="Times New Roman" w:eastAsia="Times New Roman" w:cs="Times New Roman"/>
          <w:color w:val="auto"/>
          <w:sz w:val="24"/>
          <w:highlight w:val="none"/>
          <w:lang w:val="zh-CN"/>
        </w:rPr>
        <w:t>）场地平整和基础工程：清除地表杂物、杂草，按设计标高找平压实，处理软基（换填碎石/灰土），保证场地坡度满足排水要求。建设项目将施工过程中产生的建筑垃圾、碎石、砂土、粘土共同用作填土材料。利用压路机分片压碾，并浇水湿润填土以利于密实。然后利用起重机械吊起特制的重锤来冲击基土表面，使地基受到压密，一般夯打为</w:t>
      </w:r>
      <w:r>
        <w:rPr>
          <w:rFonts w:hint="default" w:ascii="Times New Roman" w:hAnsi="Times New Roman" w:eastAsia="Times New Roman" w:cs="Times New Roman"/>
          <w:color w:val="auto"/>
          <w:sz w:val="24"/>
          <w:highlight w:val="none"/>
          <w:lang w:val="zh-CN"/>
        </w:rPr>
        <w:t>8~12</w:t>
      </w:r>
      <w:r>
        <w:rPr>
          <w:rFonts w:hint="eastAsia" w:ascii="Times New Roman" w:hAnsi="Times New Roman" w:eastAsia="Times New Roman" w:cs="Times New Roman"/>
          <w:color w:val="auto"/>
          <w:sz w:val="24"/>
          <w:highlight w:val="none"/>
          <w:lang w:val="zh-CN"/>
        </w:rPr>
        <w:t>遍。该工段主要污染物为施工机械产生的噪声、扬尘、汽车尾气、建筑垃圾。</w:t>
      </w:r>
    </w:p>
    <w:p w14:paraId="7C57E8E9">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kern w:val="2"/>
          <w:sz w:val="24"/>
          <w:szCs w:val="22"/>
          <w:highlight w:val="none"/>
          <w:lang w:val="zh-CN" w:eastAsia="zh-CN" w:bidi="ar-SA"/>
        </w:rPr>
        <w:t>（2）</w:t>
      </w:r>
      <w:r>
        <w:rPr>
          <w:rFonts w:hint="eastAsia" w:ascii="Times New Roman" w:hAnsi="Times New Roman" w:eastAsia="Times New Roman" w:cs="Times New Roman"/>
          <w:color w:val="auto"/>
          <w:sz w:val="24"/>
          <w:highlight w:val="none"/>
          <w:lang w:val="zh-CN"/>
        </w:rPr>
        <w:t>主体工程：依据规划红线和使用要求，对加油站边界及站房、雨棚、加油岛等建构筑物位置进行精确的定位放线，建设项目主体工程主要包括构筑物的建筑、</w:t>
      </w:r>
      <w:r>
        <w:rPr>
          <w:rFonts w:hint="eastAsia" w:ascii="Times New Roman" w:hAnsi="Times New Roman" w:eastAsia="宋体" w:cs="Times New Roman"/>
          <w:color w:val="auto"/>
          <w:sz w:val="24"/>
          <w:highlight w:val="none"/>
          <w:lang w:val="en-US" w:eastAsia="zh-CN"/>
        </w:rPr>
        <w:t>油罐、加油机、</w:t>
      </w:r>
      <w:r>
        <w:rPr>
          <w:rFonts w:hint="eastAsia" w:ascii="Times New Roman" w:hAnsi="Times New Roman" w:eastAsia="Times New Roman" w:cs="Times New Roman"/>
          <w:color w:val="auto"/>
          <w:sz w:val="24"/>
          <w:highlight w:val="none"/>
          <w:lang w:val="zh-CN"/>
        </w:rPr>
        <w:t>制氢装置、管道</w:t>
      </w:r>
      <w:r>
        <w:rPr>
          <w:rFonts w:hint="eastAsia" w:ascii="Times New Roman" w:hAnsi="Times New Roman" w:eastAsia="宋体" w:cs="Times New Roman"/>
          <w:color w:val="auto"/>
          <w:sz w:val="24"/>
          <w:highlight w:val="none"/>
          <w:lang w:val="en-US" w:eastAsia="zh-CN"/>
        </w:rPr>
        <w:t>等</w:t>
      </w:r>
      <w:r>
        <w:rPr>
          <w:rFonts w:hint="eastAsia" w:ascii="Times New Roman" w:hAnsi="Times New Roman" w:eastAsia="Times New Roman" w:cs="Times New Roman"/>
          <w:color w:val="auto"/>
          <w:sz w:val="24"/>
          <w:highlight w:val="none"/>
          <w:lang w:val="zh-CN"/>
        </w:rPr>
        <w:t>的组装与焊接。</w:t>
      </w:r>
      <w:r>
        <w:rPr>
          <w:rFonts w:hint="eastAsia" w:ascii="Times New Roman" w:hAnsi="Times New Roman" w:eastAsia="宋体" w:cs="Times New Roman"/>
          <w:color w:val="auto"/>
          <w:sz w:val="24"/>
          <w:highlight w:val="none"/>
          <w:lang w:val="en-US" w:eastAsia="zh-CN"/>
        </w:rPr>
        <w:t>首先</w:t>
      </w:r>
      <w:r>
        <w:rPr>
          <w:rFonts w:hint="eastAsia" w:ascii="Times New Roman" w:hAnsi="Times New Roman" w:eastAsia="Times New Roman" w:cs="Times New Roman"/>
          <w:color w:val="auto"/>
          <w:sz w:val="24"/>
          <w:highlight w:val="none"/>
          <w:lang w:val="zh-CN"/>
        </w:rPr>
        <w:t>测量放线，用全站仪定位储罐区、加油岛、站房、管网等核心构筑物轴线，设置控制桩并复核。</w:t>
      </w:r>
    </w:p>
    <w:p w14:paraId="60560281">
      <w:pPr>
        <w:numPr>
          <w:ilvl w:val="0"/>
          <w:numId w:val="0"/>
        </w:numPr>
        <w:spacing w:line="360" w:lineRule="auto"/>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储罐区采用放坡开挖（或支护开挖），预留操作面；同步开挖输油管道沟、给排水沟、电缆沟，做好基坑降水（明沟/井点降水）。基坑/沟槽底部铺设砂石垫层，碾压密实，检测承载力达标后，浇筑混凝土垫层（储罐区垫层需找平找坡）。</w:t>
      </w:r>
    </w:p>
    <w:p w14:paraId="5B17129D">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储罐基础施工：浇筑钢筋混凝土储罐支墩（或环形基础），预埋固定件，养护至设计强度（通常7-14天）。储罐制作、下放：工厂预制双层储罐并检测（渗漏试验），现场用起重机吊装下放至支墩上，调整水平度，固定限位装置。储罐周边铺设HDPE防渗膜，阴阳角做加强处理，膜上覆盖保护层（无纺布+砂石），完成防渗检测。</w:t>
      </w:r>
    </w:p>
    <w:p w14:paraId="7DBDFD8B">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管网安装：按设计铺设输油管道（PE管/钢管，钢管需防腐）、给排水管、电缆保护管，管道接口焊接/热熔连接后做压力试验、渗漏试验。</w:t>
      </w:r>
    </w:p>
    <w:p w14:paraId="3F2DEAEF">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基坑/沟槽回填：管网验收合格后，采用分层回填（每层20-30cm）、分层压实，储罐区回填需避免冲击储罐。</w:t>
      </w:r>
    </w:p>
    <w:p w14:paraId="73DE5CD6">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站房施工：按</w:t>
      </w:r>
      <w:r>
        <w:rPr>
          <w:rFonts w:hint="eastAsia" w:eastAsia="Times New Roman" w:cs="Times New Roman"/>
          <w:color w:val="auto"/>
          <w:sz w:val="24"/>
          <w:highlight w:val="none"/>
          <w:lang w:val="zh-CN"/>
        </w:rPr>
        <w:t>“</w:t>
      </w:r>
      <w:r>
        <w:rPr>
          <w:rFonts w:hint="eastAsia" w:ascii="Times New Roman" w:hAnsi="Times New Roman" w:eastAsia="Times New Roman" w:cs="Times New Roman"/>
          <w:color w:val="auto"/>
          <w:sz w:val="24"/>
          <w:highlight w:val="none"/>
          <w:lang w:val="zh-CN"/>
        </w:rPr>
        <w:t>基础垫层→钢筋混凝土基础→主体结构（砖混/框架）→墙体砌筑→屋面工程→内外装修</w:t>
      </w:r>
      <w:r>
        <w:rPr>
          <w:rFonts w:hint="eastAsia" w:eastAsia="Times New Roman" w:cs="Times New Roman"/>
          <w:color w:val="auto"/>
          <w:sz w:val="24"/>
          <w:highlight w:val="none"/>
          <w:lang w:val="zh-CN"/>
        </w:rPr>
        <w:t>”</w:t>
      </w:r>
      <w:r>
        <w:rPr>
          <w:rFonts w:hint="eastAsia" w:ascii="Times New Roman" w:hAnsi="Times New Roman" w:eastAsia="Times New Roman" w:cs="Times New Roman"/>
          <w:color w:val="auto"/>
          <w:sz w:val="24"/>
          <w:highlight w:val="none"/>
          <w:lang w:val="zh-CN"/>
        </w:rPr>
        <w:t>流程施工，同步安装门窗。</w:t>
      </w:r>
    </w:p>
    <w:p w14:paraId="7B42B4E1">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加油岛施工：浇筑钢筋混凝土加油岛基础与主体，表面贴防滑地砖，预留加油机枪座、接地端子安装位。</w:t>
      </w:r>
    </w:p>
    <w:p w14:paraId="59D954F6">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设备安装：吊装安装加油机、油罐人孔盖、通气管、液位仪、防爆电气设备，连接输油管道与加油机。调试与检测：进行储罐渗漏复核、管道压力试验、加油机计量校准、消防系统联动测试、电气接地电阻检测。</w:t>
      </w:r>
    </w:p>
    <w:p w14:paraId="5B22FA19">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制氢装置的组装主要是根据设计图纸，将不同设备、组件进行组装，然后进行管道的焊接。主体工程工期稍长，主要污染物为施工机械噪声、扬尘、焊接烟尘、建筑弃渣等。</w:t>
      </w:r>
    </w:p>
    <w:p w14:paraId="3FB01809">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kern w:val="2"/>
          <w:sz w:val="24"/>
          <w:szCs w:val="22"/>
          <w:highlight w:val="none"/>
          <w:lang w:val="zh-CN" w:eastAsia="zh-CN" w:bidi="ar-SA"/>
        </w:rPr>
        <w:t>（3）</w:t>
      </w:r>
      <w:r>
        <w:rPr>
          <w:rFonts w:hint="eastAsia" w:ascii="Times New Roman" w:hAnsi="Times New Roman" w:eastAsia="Times New Roman" w:cs="Times New Roman"/>
          <w:color w:val="auto"/>
          <w:sz w:val="24"/>
          <w:highlight w:val="none"/>
          <w:lang w:val="zh-CN"/>
        </w:rPr>
        <w:t>装饰工程：</w:t>
      </w:r>
      <w:r>
        <w:rPr>
          <w:rFonts w:hint="eastAsia" w:ascii="Times New Roman" w:hAnsi="Times New Roman" w:eastAsia="宋体" w:cs="Times New Roman"/>
          <w:color w:val="auto"/>
          <w:sz w:val="24"/>
          <w:highlight w:val="none"/>
          <w:lang w:val="en-US" w:eastAsia="zh-CN"/>
        </w:rPr>
        <w:t>后期主要进行装饰装修、消防等工程的建设。</w:t>
      </w:r>
      <w:r>
        <w:rPr>
          <w:rFonts w:hint="eastAsia" w:ascii="Times New Roman" w:hAnsi="Times New Roman" w:eastAsia="Times New Roman" w:cs="Times New Roman"/>
          <w:color w:val="auto"/>
          <w:sz w:val="24"/>
          <w:highlight w:val="none"/>
          <w:lang w:val="zh-CN"/>
        </w:rPr>
        <w:t>消防设施安装：铺设消防管网，安装消防栓、灭火器、防火沙箱、紧急切断装置，确保与储罐、加油机联动。</w:t>
      </w:r>
    </w:p>
    <w:p w14:paraId="45C5CA83">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利用各种加工机械对木材、塑钢等按图进行加工，同时进行屋面制作，然后采用浅色环保型高级涂料对构筑物进行涂刷。制氢装置出厂之前已完成油漆刷涂，施工期主要对管线进行油漆施工，本工段时间较短，且使用的涂料和油漆量较少，有少量的有机废气挥发，并产生废漆刷、废漆包装物等废装修材料。</w:t>
      </w:r>
    </w:p>
    <w:p w14:paraId="2D3D63E5">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w:t>
      </w:r>
      <w:r>
        <w:rPr>
          <w:rFonts w:hint="default" w:ascii="Times New Roman" w:hAnsi="Times New Roman" w:eastAsia="Times New Roman" w:cs="Times New Roman"/>
          <w:color w:val="auto"/>
          <w:sz w:val="24"/>
          <w:highlight w:val="none"/>
          <w:lang w:val="zh-CN"/>
        </w:rPr>
        <w:t>4</w:t>
      </w:r>
      <w:r>
        <w:rPr>
          <w:rFonts w:hint="eastAsia" w:ascii="Times New Roman" w:hAnsi="Times New Roman" w:eastAsia="Times New Roman" w:cs="Times New Roman"/>
          <w:color w:val="auto"/>
          <w:sz w:val="24"/>
          <w:highlight w:val="none"/>
          <w:lang w:val="zh-CN"/>
        </w:rPr>
        <w:t>）安装工程：包括道路、雨污管网的铺设等，站区地面浇筑混凝土（或铺设沥青），做防滑处理，划设停车位、行车线，完善排水系统（雨水井、排水沟）。主要污染物是施工机械产生的噪声、尾气、废弃物等。</w:t>
      </w:r>
    </w:p>
    <w:p w14:paraId="34B465F3">
      <w:pPr>
        <w:numPr>
          <w:ilvl w:val="0"/>
          <w:numId w:val="0"/>
        </w:numPr>
        <w:spacing w:line="360" w:lineRule="auto"/>
        <w:ind w:firstLine="480" w:firstLineChars="200"/>
        <w:rPr>
          <w:rFonts w:hint="eastAsia" w:ascii="Times New Roman" w:hAnsi="Times New Roman" w:eastAsia="Times New Roman" w:cs="Times New Roman"/>
          <w:color w:val="auto"/>
          <w:sz w:val="24"/>
          <w:highlight w:val="none"/>
          <w:lang w:val="zh-CN"/>
        </w:rPr>
      </w:pPr>
      <w:r>
        <w:rPr>
          <w:rFonts w:hint="eastAsia" w:ascii="Times New Roman" w:hAnsi="Times New Roman" w:eastAsia="Times New Roman" w:cs="Times New Roman"/>
          <w:color w:val="auto"/>
          <w:sz w:val="24"/>
          <w:highlight w:val="none"/>
          <w:lang w:val="zh-CN"/>
        </w:rPr>
        <w:t>（</w:t>
      </w:r>
      <w:r>
        <w:rPr>
          <w:rFonts w:hint="default" w:ascii="Times New Roman" w:hAnsi="Times New Roman" w:eastAsia="Times New Roman" w:cs="Times New Roman"/>
          <w:color w:val="auto"/>
          <w:sz w:val="24"/>
          <w:highlight w:val="none"/>
          <w:lang w:val="zh-CN"/>
        </w:rPr>
        <w:t>5</w:t>
      </w:r>
      <w:r>
        <w:rPr>
          <w:rFonts w:hint="eastAsia" w:ascii="Times New Roman" w:hAnsi="Times New Roman" w:eastAsia="Times New Roman" w:cs="Times New Roman"/>
          <w:color w:val="auto"/>
          <w:sz w:val="24"/>
          <w:highlight w:val="none"/>
          <w:lang w:val="zh-CN"/>
        </w:rPr>
        <w:t>）工程验收：建筑工程竣工验收，全面审查建筑工程是否符合设计和工程质量要求。</w:t>
      </w:r>
    </w:p>
    <w:p w14:paraId="7350F8F9">
      <w:pPr>
        <w:spacing w:line="360" w:lineRule="auto"/>
        <w:ind w:firstLine="482" w:firstLineChars="200"/>
        <w:jc w:val="both"/>
        <w:rPr>
          <w:rFonts w:hint="eastAsia" w:ascii="宋体" w:hAnsi="宋体" w:eastAsia="宋体" w:cs="宋体"/>
          <w:b w:val="0"/>
          <w:bCs w:val="0"/>
          <w:color w:val="auto"/>
          <w:sz w:val="24"/>
          <w:szCs w:val="24"/>
          <w:highlight w:val="none"/>
        </w:rPr>
      </w:pPr>
      <w:r>
        <w:rPr>
          <w:rFonts w:hint="eastAsia" w:ascii="宋体" w:hAnsi="宋体" w:eastAsia="宋体" w:cs="宋体"/>
          <w:b/>
          <w:bCs/>
          <w:color w:val="auto"/>
          <w:sz w:val="24"/>
          <w:szCs w:val="24"/>
          <w:highlight w:val="none"/>
        </w:rPr>
        <w:t>工艺产污环节分析：</w:t>
      </w:r>
      <w:r>
        <w:rPr>
          <w:rFonts w:hint="eastAsia" w:ascii="宋体" w:hAnsi="宋体" w:eastAsia="宋体" w:cs="宋体"/>
          <w:b w:val="0"/>
          <w:bCs w:val="0"/>
          <w:color w:val="auto"/>
          <w:sz w:val="24"/>
          <w:szCs w:val="24"/>
          <w:highlight w:val="none"/>
        </w:rPr>
        <w:t>根据工艺流程及描述，本项目施工期产污环节见下表：</w:t>
      </w:r>
    </w:p>
    <w:p w14:paraId="15C4CAB5">
      <w:pPr>
        <w:spacing w:line="440" w:lineRule="exact"/>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表</w:t>
      </w:r>
      <w:r>
        <w:rPr>
          <w:rFonts w:hint="eastAsia"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w:t>
      </w:r>
      <w:r>
        <w:rPr>
          <w:rFonts w:hint="eastAsia" w:ascii="Times New Roman" w:hAnsi="Times New Roman" w:cs="Times New Roman"/>
          <w:b/>
          <w:color w:val="auto"/>
          <w:sz w:val="24"/>
          <w:highlight w:val="none"/>
          <w:lang w:val="en-US" w:eastAsia="zh-CN"/>
        </w:rPr>
        <w:t>2</w:t>
      </w:r>
      <w:r>
        <w:rPr>
          <w:rFonts w:hint="default" w:ascii="Times New Roman" w:hAnsi="Times New Roman" w:cs="Times New Roman"/>
          <w:b/>
          <w:color w:val="auto"/>
          <w:sz w:val="24"/>
          <w:highlight w:val="none"/>
        </w:rPr>
        <w:t>-</w:t>
      </w:r>
      <w:r>
        <w:rPr>
          <w:rFonts w:hint="eastAsia" w:ascii="Times New Roman" w:hAnsi="Times New Roman" w:cs="Times New Roman"/>
          <w:b/>
          <w:color w:val="auto"/>
          <w:sz w:val="24"/>
          <w:highlight w:val="none"/>
          <w:lang w:val="en-US" w:eastAsia="zh-CN"/>
        </w:rPr>
        <w:t>1</w:t>
      </w:r>
      <w:r>
        <w:rPr>
          <w:rFonts w:hint="eastAsia" w:cs="Times New Roman"/>
          <w:b/>
          <w:color w:val="auto"/>
          <w:sz w:val="24"/>
          <w:highlight w:val="none"/>
          <w:lang w:val="en-US" w:eastAsia="zh-CN"/>
        </w:rPr>
        <w:t xml:space="preserve">  </w:t>
      </w:r>
      <w:r>
        <w:rPr>
          <w:rFonts w:hint="default" w:ascii="Times New Roman" w:hAnsi="Times New Roman" w:cs="Times New Roman"/>
          <w:b/>
          <w:color w:val="auto"/>
          <w:sz w:val="24"/>
          <w:highlight w:val="none"/>
        </w:rPr>
        <w:t>主要污染工序、污染因子汇总</w:t>
      </w:r>
    </w:p>
    <w:tbl>
      <w:tblPr>
        <w:tblStyle w:val="49"/>
        <w:tblW w:w="50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661"/>
        <w:gridCol w:w="1709"/>
        <w:gridCol w:w="3880"/>
      </w:tblGrid>
      <w:tr w14:paraId="78A9A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noWrap w:val="0"/>
            <w:tcMar>
              <w:left w:w="0" w:type="dxa"/>
              <w:right w:w="0" w:type="dxa"/>
            </w:tcMar>
            <w:vAlign w:val="center"/>
          </w:tcPr>
          <w:p w14:paraId="53913D28">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污染类型</w:t>
            </w:r>
          </w:p>
        </w:tc>
        <w:tc>
          <w:tcPr>
            <w:tcW w:w="989" w:type="pct"/>
            <w:noWrap w:val="0"/>
            <w:vAlign w:val="center"/>
          </w:tcPr>
          <w:p w14:paraId="5EB20B53">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产污工序</w:t>
            </w:r>
          </w:p>
        </w:tc>
        <w:tc>
          <w:tcPr>
            <w:tcW w:w="1018" w:type="pct"/>
            <w:noWrap w:val="0"/>
            <w:tcMar>
              <w:left w:w="0" w:type="dxa"/>
              <w:right w:w="0" w:type="dxa"/>
            </w:tcMar>
            <w:vAlign w:val="center"/>
          </w:tcPr>
          <w:p w14:paraId="27A9A02D">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排放源</w:t>
            </w:r>
          </w:p>
        </w:tc>
        <w:tc>
          <w:tcPr>
            <w:tcW w:w="2311" w:type="pct"/>
            <w:noWrap w:val="0"/>
            <w:tcMar>
              <w:left w:w="0" w:type="dxa"/>
              <w:right w:w="0" w:type="dxa"/>
            </w:tcMar>
            <w:vAlign w:val="center"/>
          </w:tcPr>
          <w:p w14:paraId="3780A4E4">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排放因子</w:t>
            </w:r>
          </w:p>
        </w:tc>
      </w:tr>
      <w:tr w14:paraId="4A419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vMerge w:val="restart"/>
            <w:noWrap w:val="0"/>
            <w:tcMar>
              <w:left w:w="0" w:type="dxa"/>
              <w:right w:w="0" w:type="dxa"/>
            </w:tcMar>
            <w:vAlign w:val="center"/>
          </w:tcPr>
          <w:p w14:paraId="7D08D61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989" w:type="pct"/>
            <w:noWrap w:val="0"/>
            <w:vAlign w:val="center"/>
          </w:tcPr>
          <w:p w14:paraId="5C45FE0E">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场地平整</w:t>
            </w:r>
          </w:p>
        </w:tc>
        <w:tc>
          <w:tcPr>
            <w:tcW w:w="1018" w:type="pct"/>
            <w:vMerge w:val="restart"/>
            <w:noWrap w:val="0"/>
            <w:tcMar>
              <w:left w:w="0" w:type="dxa"/>
              <w:right w:w="0" w:type="dxa"/>
            </w:tcMar>
            <w:vAlign w:val="center"/>
          </w:tcPr>
          <w:p w14:paraId="0A84F49A">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施工无组织废气</w:t>
            </w:r>
          </w:p>
        </w:tc>
        <w:tc>
          <w:tcPr>
            <w:tcW w:w="2311" w:type="pct"/>
            <w:noWrap w:val="0"/>
            <w:tcMar>
              <w:left w:w="0" w:type="dxa"/>
              <w:right w:w="0" w:type="dxa"/>
            </w:tcMar>
            <w:vAlign w:val="center"/>
          </w:tcPr>
          <w:p w14:paraId="21F8174F">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扬尘（TSP）、汽车尾气（NOx、CO和烃类等）</w:t>
            </w:r>
          </w:p>
        </w:tc>
      </w:tr>
      <w:tr w14:paraId="0D781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vMerge w:val="continue"/>
            <w:noWrap w:val="0"/>
            <w:tcMar>
              <w:left w:w="0" w:type="dxa"/>
              <w:right w:w="0" w:type="dxa"/>
            </w:tcMar>
            <w:vAlign w:val="center"/>
          </w:tcPr>
          <w:p w14:paraId="69EF57F7">
            <w:pPr>
              <w:adjustRightInd w:val="0"/>
              <w:snapToGrid w:val="0"/>
              <w:jc w:val="center"/>
              <w:rPr>
                <w:rFonts w:hint="default" w:ascii="Times New Roman" w:hAnsi="Times New Roman" w:cs="Times New Roman"/>
                <w:color w:val="auto"/>
                <w:szCs w:val="21"/>
                <w:highlight w:val="none"/>
              </w:rPr>
            </w:pPr>
          </w:p>
        </w:tc>
        <w:tc>
          <w:tcPr>
            <w:tcW w:w="989" w:type="pct"/>
            <w:noWrap w:val="0"/>
            <w:vAlign w:val="center"/>
          </w:tcPr>
          <w:p w14:paraId="6A37DF29">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基础工程</w:t>
            </w:r>
          </w:p>
        </w:tc>
        <w:tc>
          <w:tcPr>
            <w:tcW w:w="1018" w:type="pct"/>
            <w:vMerge w:val="continue"/>
            <w:noWrap w:val="0"/>
            <w:tcMar>
              <w:left w:w="0" w:type="dxa"/>
              <w:right w:w="0" w:type="dxa"/>
            </w:tcMar>
            <w:vAlign w:val="center"/>
          </w:tcPr>
          <w:p w14:paraId="69429024">
            <w:pPr>
              <w:adjustRightInd w:val="0"/>
              <w:snapToGrid w:val="0"/>
              <w:jc w:val="center"/>
              <w:rPr>
                <w:rFonts w:hint="eastAsia" w:ascii="Times New Roman" w:hAnsi="Times New Roman" w:eastAsia="宋体" w:cs="Times New Roman"/>
                <w:color w:val="auto"/>
                <w:szCs w:val="21"/>
                <w:highlight w:val="none"/>
                <w:lang w:eastAsia="zh-CN"/>
              </w:rPr>
            </w:pPr>
          </w:p>
        </w:tc>
        <w:tc>
          <w:tcPr>
            <w:tcW w:w="2311" w:type="pct"/>
            <w:noWrap w:val="0"/>
            <w:tcMar>
              <w:left w:w="0" w:type="dxa"/>
              <w:right w:w="0" w:type="dxa"/>
            </w:tcMar>
            <w:vAlign w:val="center"/>
          </w:tcPr>
          <w:p w14:paraId="4995D9A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扬尘（TSP）、汽车尾气（NOx、CO和烃类等）</w:t>
            </w:r>
          </w:p>
        </w:tc>
      </w:tr>
      <w:tr w14:paraId="24F50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vMerge w:val="continue"/>
            <w:noWrap w:val="0"/>
            <w:tcMar>
              <w:left w:w="0" w:type="dxa"/>
              <w:right w:w="0" w:type="dxa"/>
            </w:tcMar>
            <w:vAlign w:val="center"/>
          </w:tcPr>
          <w:p w14:paraId="55097DD7">
            <w:pPr>
              <w:adjustRightInd w:val="0"/>
              <w:snapToGrid w:val="0"/>
              <w:jc w:val="center"/>
              <w:rPr>
                <w:rFonts w:hint="default" w:ascii="Times New Roman" w:hAnsi="Times New Roman" w:cs="Times New Roman"/>
                <w:color w:val="auto"/>
                <w:szCs w:val="21"/>
                <w:highlight w:val="none"/>
              </w:rPr>
            </w:pPr>
          </w:p>
        </w:tc>
        <w:tc>
          <w:tcPr>
            <w:tcW w:w="989" w:type="pct"/>
            <w:noWrap w:val="0"/>
            <w:vAlign w:val="center"/>
          </w:tcPr>
          <w:p w14:paraId="11099B72">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主体工程</w:t>
            </w:r>
          </w:p>
        </w:tc>
        <w:tc>
          <w:tcPr>
            <w:tcW w:w="1018" w:type="pct"/>
            <w:vMerge w:val="continue"/>
            <w:noWrap w:val="0"/>
            <w:tcMar>
              <w:left w:w="0" w:type="dxa"/>
              <w:right w:w="0" w:type="dxa"/>
            </w:tcMar>
            <w:vAlign w:val="center"/>
          </w:tcPr>
          <w:p w14:paraId="4F2BDF70">
            <w:pPr>
              <w:adjustRightInd w:val="0"/>
              <w:snapToGrid w:val="0"/>
              <w:jc w:val="center"/>
              <w:rPr>
                <w:rFonts w:hint="default" w:ascii="Times New Roman" w:hAnsi="Times New Roman" w:cs="Times New Roman"/>
                <w:color w:val="auto"/>
                <w:szCs w:val="21"/>
                <w:highlight w:val="none"/>
              </w:rPr>
            </w:pPr>
          </w:p>
        </w:tc>
        <w:tc>
          <w:tcPr>
            <w:tcW w:w="2311" w:type="pct"/>
            <w:noWrap w:val="0"/>
            <w:tcMar>
              <w:left w:w="0" w:type="dxa"/>
              <w:right w:w="0" w:type="dxa"/>
            </w:tcMar>
            <w:vAlign w:val="center"/>
          </w:tcPr>
          <w:p w14:paraId="091BF64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扬尘（TSP）、焊接烟尘</w:t>
            </w:r>
          </w:p>
        </w:tc>
      </w:tr>
      <w:tr w14:paraId="70A21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vMerge w:val="continue"/>
            <w:noWrap w:val="0"/>
            <w:tcMar>
              <w:left w:w="0" w:type="dxa"/>
              <w:right w:w="0" w:type="dxa"/>
            </w:tcMar>
            <w:vAlign w:val="center"/>
          </w:tcPr>
          <w:p w14:paraId="126E0553">
            <w:pPr>
              <w:adjustRightInd w:val="0"/>
              <w:snapToGrid w:val="0"/>
              <w:jc w:val="center"/>
              <w:rPr>
                <w:rFonts w:hint="default" w:ascii="Times New Roman" w:hAnsi="Times New Roman" w:cs="Times New Roman"/>
                <w:color w:val="auto"/>
                <w:szCs w:val="21"/>
                <w:highlight w:val="none"/>
              </w:rPr>
            </w:pPr>
          </w:p>
        </w:tc>
        <w:tc>
          <w:tcPr>
            <w:tcW w:w="989" w:type="pct"/>
            <w:noWrap w:val="0"/>
            <w:vAlign w:val="center"/>
          </w:tcPr>
          <w:p w14:paraId="40368082">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装饰工程</w:t>
            </w:r>
          </w:p>
        </w:tc>
        <w:tc>
          <w:tcPr>
            <w:tcW w:w="1018" w:type="pct"/>
            <w:vMerge w:val="continue"/>
            <w:noWrap w:val="0"/>
            <w:tcMar>
              <w:left w:w="0" w:type="dxa"/>
              <w:right w:w="0" w:type="dxa"/>
            </w:tcMar>
            <w:vAlign w:val="center"/>
          </w:tcPr>
          <w:p w14:paraId="638D2E57">
            <w:pPr>
              <w:adjustRightInd w:val="0"/>
              <w:snapToGrid w:val="0"/>
              <w:jc w:val="center"/>
              <w:rPr>
                <w:rFonts w:hint="eastAsia" w:ascii="Times New Roman" w:hAnsi="Times New Roman" w:eastAsia="宋体" w:cs="Times New Roman"/>
                <w:color w:val="auto"/>
                <w:szCs w:val="21"/>
                <w:highlight w:val="none"/>
                <w:lang w:eastAsia="zh-CN"/>
              </w:rPr>
            </w:pPr>
          </w:p>
        </w:tc>
        <w:tc>
          <w:tcPr>
            <w:tcW w:w="2311" w:type="pct"/>
            <w:noWrap w:val="0"/>
            <w:tcMar>
              <w:left w:w="0" w:type="dxa"/>
              <w:right w:w="0" w:type="dxa"/>
            </w:tcMar>
            <w:vAlign w:val="center"/>
          </w:tcPr>
          <w:p w14:paraId="3E0B8D31">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扬尘（TSP）、装修废气（有机废气）</w:t>
            </w:r>
          </w:p>
        </w:tc>
      </w:tr>
      <w:tr w14:paraId="0EF08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vMerge w:val="continue"/>
            <w:noWrap w:val="0"/>
            <w:tcMar>
              <w:left w:w="0" w:type="dxa"/>
              <w:right w:w="0" w:type="dxa"/>
            </w:tcMar>
            <w:vAlign w:val="center"/>
          </w:tcPr>
          <w:p w14:paraId="638F2F27">
            <w:pPr>
              <w:adjustRightInd w:val="0"/>
              <w:snapToGrid w:val="0"/>
              <w:jc w:val="center"/>
              <w:rPr>
                <w:rFonts w:hint="default" w:ascii="Times New Roman" w:hAnsi="Times New Roman" w:cs="Times New Roman"/>
                <w:color w:val="auto"/>
                <w:szCs w:val="21"/>
                <w:highlight w:val="none"/>
              </w:rPr>
            </w:pPr>
          </w:p>
        </w:tc>
        <w:tc>
          <w:tcPr>
            <w:tcW w:w="989" w:type="pct"/>
            <w:noWrap w:val="0"/>
            <w:vAlign w:val="center"/>
          </w:tcPr>
          <w:p w14:paraId="199B727D">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安装工程</w:t>
            </w:r>
          </w:p>
        </w:tc>
        <w:tc>
          <w:tcPr>
            <w:tcW w:w="1018" w:type="pct"/>
            <w:vMerge w:val="continue"/>
            <w:noWrap w:val="0"/>
            <w:tcMar>
              <w:left w:w="0" w:type="dxa"/>
              <w:right w:w="0" w:type="dxa"/>
            </w:tcMar>
            <w:vAlign w:val="center"/>
          </w:tcPr>
          <w:p w14:paraId="6B4C2C97">
            <w:pPr>
              <w:adjustRightInd w:val="0"/>
              <w:snapToGrid w:val="0"/>
              <w:jc w:val="center"/>
              <w:rPr>
                <w:rFonts w:hint="default" w:ascii="Times New Roman" w:hAnsi="Times New Roman" w:cs="Times New Roman"/>
                <w:color w:val="auto"/>
                <w:szCs w:val="21"/>
                <w:highlight w:val="none"/>
              </w:rPr>
            </w:pPr>
          </w:p>
        </w:tc>
        <w:tc>
          <w:tcPr>
            <w:tcW w:w="2311" w:type="pct"/>
            <w:noWrap w:val="0"/>
            <w:tcMar>
              <w:left w:w="0" w:type="dxa"/>
              <w:right w:w="0" w:type="dxa"/>
            </w:tcMar>
            <w:vAlign w:val="center"/>
          </w:tcPr>
          <w:p w14:paraId="3AD1E6B3">
            <w:pPr>
              <w:adjustRightInd w:val="0"/>
              <w:snapToGrid w:val="0"/>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汽车尾气（NOx、CO和烃类等）</w:t>
            </w:r>
          </w:p>
        </w:tc>
      </w:tr>
      <w:tr w14:paraId="4597B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vMerge w:val="restart"/>
            <w:noWrap w:val="0"/>
            <w:tcMar>
              <w:left w:w="0" w:type="dxa"/>
              <w:right w:w="0" w:type="dxa"/>
            </w:tcMar>
            <w:vAlign w:val="center"/>
          </w:tcPr>
          <w:p w14:paraId="2FB5FF2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989" w:type="pct"/>
            <w:noWrap w:val="0"/>
            <w:vAlign w:val="center"/>
          </w:tcPr>
          <w:p w14:paraId="00126B2E">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施工</w:t>
            </w:r>
          </w:p>
        </w:tc>
        <w:tc>
          <w:tcPr>
            <w:tcW w:w="1018" w:type="pct"/>
            <w:noWrap w:val="0"/>
            <w:tcMar>
              <w:left w:w="0" w:type="dxa"/>
              <w:right w:w="0" w:type="dxa"/>
            </w:tcMar>
            <w:vAlign w:val="center"/>
          </w:tcPr>
          <w:p w14:paraId="7EB84F92">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eastAsia="zh-CN"/>
              </w:rPr>
              <w:t>施工废水（混凝土养护水、洗车废水、地面冲洗水）</w:t>
            </w:r>
          </w:p>
        </w:tc>
        <w:tc>
          <w:tcPr>
            <w:tcW w:w="2311" w:type="pct"/>
            <w:noWrap w:val="0"/>
            <w:tcMar>
              <w:left w:w="0" w:type="dxa"/>
              <w:right w:w="0" w:type="dxa"/>
            </w:tcMar>
            <w:vAlign w:val="center"/>
          </w:tcPr>
          <w:p w14:paraId="7C4BE99E">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SS、COD、石油类</w:t>
            </w:r>
          </w:p>
        </w:tc>
      </w:tr>
      <w:tr w14:paraId="78B13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vMerge w:val="continue"/>
            <w:noWrap w:val="0"/>
            <w:tcMar>
              <w:left w:w="0" w:type="dxa"/>
              <w:right w:w="0" w:type="dxa"/>
            </w:tcMar>
            <w:vAlign w:val="center"/>
          </w:tcPr>
          <w:p w14:paraId="13CA98E6">
            <w:pPr>
              <w:adjustRightInd w:val="0"/>
              <w:snapToGrid w:val="0"/>
              <w:jc w:val="center"/>
              <w:rPr>
                <w:rFonts w:hint="default" w:ascii="Times New Roman" w:hAnsi="Times New Roman" w:cs="Times New Roman"/>
                <w:color w:val="auto"/>
                <w:szCs w:val="21"/>
                <w:highlight w:val="none"/>
              </w:rPr>
            </w:pPr>
          </w:p>
        </w:tc>
        <w:tc>
          <w:tcPr>
            <w:tcW w:w="989" w:type="pct"/>
            <w:noWrap w:val="0"/>
            <w:vAlign w:val="center"/>
          </w:tcPr>
          <w:p w14:paraId="6D920169">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员工生活</w:t>
            </w:r>
          </w:p>
        </w:tc>
        <w:tc>
          <w:tcPr>
            <w:tcW w:w="1018" w:type="pct"/>
            <w:noWrap w:val="0"/>
            <w:tcMar>
              <w:left w:w="0" w:type="dxa"/>
              <w:right w:w="0" w:type="dxa"/>
            </w:tcMar>
            <w:vAlign w:val="center"/>
          </w:tcPr>
          <w:p w14:paraId="79DA390B">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生活污水</w:t>
            </w:r>
          </w:p>
        </w:tc>
        <w:tc>
          <w:tcPr>
            <w:tcW w:w="2311" w:type="pct"/>
            <w:noWrap w:val="0"/>
            <w:tcMar>
              <w:left w:w="0" w:type="dxa"/>
              <w:right w:w="0" w:type="dxa"/>
            </w:tcMar>
            <w:vAlign w:val="center"/>
          </w:tcPr>
          <w:p w14:paraId="468F4B90">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pH、SS、COD、BOD</w:t>
            </w:r>
            <w:r>
              <w:rPr>
                <w:rFonts w:hint="eastAsia" w:cs="Times New Roman"/>
                <w:color w:val="auto"/>
                <w:szCs w:val="21"/>
                <w:highlight w:val="none"/>
                <w:vertAlign w:val="subscript"/>
                <w:lang w:val="en-US" w:eastAsia="zh-CN"/>
              </w:rPr>
              <w:t>5</w:t>
            </w:r>
            <w:r>
              <w:rPr>
                <w:rFonts w:hint="eastAsia" w:cs="Times New Roman"/>
                <w:color w:val="auto"/>
                <w:szCs w:val="21"/>
                <w:highlight w:val="none"/>
                <w:lang w:val="en-US" w:eastAsia="zh-CN"/>
              </w:rPr>
              <w:t>、NH</w:t>
            </w:r>
            <w:r>
              <w:rPr>
                <w:rFonts w:hint="eastAsia" w:cs="Times New Roman"/>
                <w:color w:val="auto"/>
                <w:szCs w:val="21"/>
                <w:highlight w:val="none"/>
                <w:vertAlign w:val="subscript"/>
                <w:lang w:val="en-US" w:eastAsia="zh-CN"/>
              </w:rPr>
              <w:t>3</w:t>
            </w:r>
            <w:r>
              <w:rPr>
                <w:rFonts w:hint="eastAsia" w:cs="Times New Roman"/>
                <w:color w:val="auto"/>
                <w:szCs w:val="21"/>
                <w:highlight w:val="none"/>
                <w:lang w:val="en-US" w:eastAsia="zh-CN"/>
              </w:rPr>
              <w:t>-N、TN、TP、</w:t>
            </w:r>
          </w:p>
        </w:tc>
      </w:tr>
      <w:tr w14:paraId="2D5BD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noWrap w:val="0"/>
            <w:tcMar>
              <w:left w:w="0" w:type="dxa"/>
              <w:right w:w="0" w:type="dxa"/>
            </w:tcMar>
            <w:vAlign w:val="center"/>
          </w:tcPr>
          <w:p w14:paraId="1A28586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989" w:type="pct"/>
            <w:noWrap w:val="0"/>
            <w:vAlign w:val="center"/>
          </w:tcPr>
          <w:p w14:paraId="4AD1DD1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生产设备</w:t>
            </w:r>
          </w:p>
        </w:tc>
        <w:tc>
          <w:tcPr>
            <w:tcW w:w="1018" w:type="pct"/>
            <w:noWrap w:val="0"/>
            <w:tcMar>
              <w:left w:w="0" w:type="dxa"/>
              <w:right w:w="0" w:type="dxa"/>
            </w:tcMar>
            <w:vAlign w:val="center"/>
          </w:tcPr>
          <w:p w14:paraId="2437B78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机械设备噪声</w:t>
            </w:r>
          </w:p>
        </w:tc>
        <w:tc>
          <w:tcPr>
            <w:tcW w:w="2311" w:type="pct"/>
            <w:noWrap w:val="0"/>
            <w:tcMar>
              <w:left w:w="0" w:type="dxa"/>
              <w:right w:w="0" w:type="dxa"/>
            </w:tcMar>
            <w:vAlign w:val="center"/>
          </w:tcPr>
          <w:p w14:paraId="03B1641D">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连续等效A声级</w:t>
            </w:r>
          </w:p>
        </w:tc>
      </w:tr>
      <w:tr w14:paraId="67888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vMerge w:val="restart"/>
            <w:noWrap w:val="0"/>
            <w:tcMar>
              <w:left w:w="0" w:type="dxa"/>
              <w:right w:w="0" w:type="dxa"/>
            </w:tcMar>
            <w:vAlign w:val="center"/>
          </w:tcPr>
          <w:p w14:paraId="2EA2410F">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固废</w:t>
            </w:r>
          </w:p>
        </w:tc>
        <w:tc>
          <w:tcPr>
            <w:tcW w:w="989" w:type="pct"/>
            <w:noWrap w:val="0"/>
            <w:vAlign w:val="center"/>
          </w:tcPr>
          <w:p w14:paraId="56F5037B">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施工</w:t>
            </w:r>
          </w:p>
        </w:tc>
        <w:tc>
          <w:tcPr>
            <w:tcW w:w="1018" w:type="pct"/>
            <w:noWrap w:val="0"/>
            <w:tcMar>
              <w:left w:w="0" w:type="dxa"/>
              <w:right w:w="0" w:type="dxa"/>
            </w:tcMar>
            <w:vAlign w:val="center"/>
          </w:tcPr>
          <w:p w14:paraId="2FD571B0">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2311" w:type="pct"/>
            <w:noWrap w:val="0"/>
            <w:tcMar>
              <w:left w:w="0" w:type="dxa"/>
              <w:right w:w="0" w:type="dxa"/>
            </w:tcMar>
            <w:vAlign w:val="center"/>
          </w:tcPr>
          <w:p w14:paraId="42915FF1">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建筑垃圾、建筑弃渣、废装修材料（废漆刷、废漆包装物等）、废弃物</w:t>
            </w:r>
          </w:p>
        </w:tc>
      </w:tr>
      <w:tr w14:paraId="64F74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1" w:type="pct"/>
            <w:vMerge w:val="continue"/>
            <w:noWrap w:val="0"/>
            <w:tcMar>
              <w:left w:w="0" w:type="dxa"/>
              <w:right w:w="0" w:type="dxa"/>
            </w:tcMar>
            <w:vAlign w:val="center"/>
          </w:tcPr>
          <w:p w14:paraId="47A6275D">
            <w:pPr>
              <w:adjustRightInd w:val="0"/>
              <w:snapToGrid w:val="0"/>
              <w:jc w:val="center"/>
              <w:rPr>
                <w:rFonts w:hint="default" w:ascii="Times New Roman" w:hAnsi="Times New Roman" w:cs="Times New Roman"/>
                <w:color w:val="auto"/>
                <w:szCs w:val="21"/>
                <w:highlight w:val="none"/>
              </w:rPr>
            </w:pPr>
          </w:p>
        </w:tc>
        <w:tc>
          <w:tcPr>
            <w:tcW w:w="989" w:type="pct"/>
            <w:noWrap w:val="0"/>
            <w:vAlign w:val="center"/>
          </w:tcPr>
          <w:p w14:paraId="56258E84">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员工生活</w:t>
            </w:r>
          </w:p>
        </w:tc>
        <w:tc>
          <w:tcPr>
            <w:tcW w:w="1018" w:type="pct"/>
            <w:noWrap w:val="0"/>
            <w:tcMar>
              <w:left w:w="0" w:type="dxa"/>
              <w:right w:w="0" w:type="dxa"/>
            </w:tcMar>
            <w:vAlign w:val="center"/>
          </w:tcPr>
          <w:p w14:paraId="30CCE382">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2311" w:type="pct"/>
            <w:noWrap w:val="0"/>
            <w:tcMar>
              <w:left w:w="0" w:type="dxa"/>
              <w:right w:w="0" w:type="dxa"/>
            </w:tcMar>
            <w:vAlign w:val="center"/>
          </w:tcPr>
          <w:p w14:paraId="67CA0565">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生活垃圾</w:t>
            </w:r>
          </w:p>
        </w:tc>
      </w:tr>
    </w:tbl>
    <w:p w14:paraId="58A210C5">
      <w:pPr>
        <w:pStyle w:val="218"/>
        <w:spacing w:before="62" w:after="156"/>
        <w:rPr>
          <w:color w:val="auto"/>
          <w:highlight w:val="none"/>
        </w:rPr>
      </w:pPr>
      <w:bookmarkStart w:id="209" w:name="_Toc1751"/>
      <w:r>
        <w:rPr>
          <w:color w:val="auto"/>
          <w:highlight w:val="none"/>
        </w:rPr>
        <w:t>3.</w:t>
      </w:r>
      <w:r>
        <w:rPr>
          <w:rFonts w:hint="eastAsia"/>
          <w:color w:val="auto"/>
          <w:highlight w:val="none"/>
          <w:lang w:val="en-US" w:eastAsia="zh-CN"/>
        </w:rPr>
        <w:t>3营运期</w:t>
      </w:r>
      <w:r>
        <w:rPr>
          <w:color w:val="auto"/>
          <w:highlight w:val="none"/>
        </w:rPr>
        <w:t>生产工艺流程</w:t>
      </w:r>
      <w:bookmarkEnd w:id="207"/>
      <w:bookmarkEnd w:id="208"/>
      <w:bookmarkEnd w:id="209"/>
    </w:p>
    <w:p w14:paraId="728DA774">
      <w:pPr>
        <w:pStyle w:val="4"/>
        <w:spacing w:after="156"/>
        <w:rPr>
          <w:color w:val="auto"/>
          <w:highlight w:val="none"/>
        </w:rPr>
      </w:pPr>
      <w:bookmarkStart w:id="210" w:name="_Toc152922603"/>
      <w:bookmarkStart w:id="211" w:name="_Toc152921644"/>
      <w:bookmarkStart w:id="212" w:name="_Toc152923284"/>
      <w:bookmarkStart w:id="213" w:name="_Toc152922009"/>
      <w:r>
        <w:rPr>
          <w:color w:val="auto"/>
          <w:highlight w:val="none"/>
        </w:rPr>
        <w:t>3.</w:t>
      </w:r>
      <w:r>
        <w:rPr>
          <w:rFonts w:hint="eastAsia"/>
          <w:color w:val="auto"/>
          <w:highlight w:val="none"/>
          <w:lang w:val="en-US" w:eastAsia="zh-CN"/>
        </w:rPr>
        <w:t>3</w:t>
      </w:r>
      <w:r>
        <w:rPr>
          <w:color w:val="auto"/>
          <w:highlight w:val="none"/>
        </w:rPr>
        <w:t>.1</w:t>
      </w:r>
      <w:r>
        <w:rPr>
          <w:rFonts w:hint="eastAsia"/>
          <w:color w:val="auto"/>
          <w:highlight w:val="none"/>
          <w:lang w:val="en-US" w:eastAsia="zh-CN"/>
        </w:rPr>
        <w:t>生产工艺流程</w:t>
      </w:r>
      <w:bookmarkEnd w:id="210"/>
      <w:bookmarkEnd w:id="211"/>
      <w:bookmarkEnd w:id="212"/>
      <w:bookmarkEnd w:id="213"/>
    </w:p>
    <w:p w14:paraId="0D9CEA07">
      <w:pPr>
        <w:spacing w:line="360" w:lineRule="auto"/>
        <w:ind w:firstLine="480" w:firstLineChars="200"/>
        <w:jc w:val="left"/>
        <w:rPr>
          <w:rFonts w:hint="default" w:ascii="Times New Roman" w:hAnsi="Times New Roman" w:eastAsia="宋体"/>
          <w:b w:val="0"/>
          <w:bCs/>
          <w:color w:val="auto"/>
          <w:sz w:val="24"/>
          <w:highlight w:val="none"/>
          <w:lang w:val="en-US" w:eastAsia="zh-CN"/>
        </w:rPr>
      </w:pPr>
      <w:r>
        <w:rPr>
          <w:rFonts w:hint="eastAsia" w:ascii="Times New Roman" w:hAnsi="Times New Roman" w:eastAsia="宋体"/>
          <w:b w:val="0"/>
          <w:bCs/>
          <w:color w:val="auto"/>
          <w:sz w:val="24"/>
          <w:highlight w:val="none"/>
          <w:lang w:val="en-US" w:eastAsia="zh-CN"/>
        </w:rPr>
        <w:t>本项目营运期主要进行制氢加氢、外售成品油以及对汽车进行充电（光电充部分优先使用，不足部分进行电网购电），营运期各工艺详见下列工艺流程</w:t>
      </w:r>
    </w:p>
    <w:p w14:paraId="63219248">
      <w:pPr>
        <w:numPr>
          <w:ilvl w:val="0"/>
          <w:numId w:val="0"/>
        </w:numPr>
        <w:spacing w:line="360" w:lineRule="auto"/>
        <w:ind w:firstLine="482" w:firstLineChars="200"/>
        <w:jc w:val="left"/>
        <w:rPr>
          <w:rFonts w:hint="eastAsia" w:ascii="Times New Roman" w:hAnsi="Times New Roman" w:eastAsia="宋体"/>
          <w:b/>
          <w:color w:val="auto"/>
          <w:sz w:val="24"/>
          <w:highlight w:val="none"/>
          <w:lang w:val="en-US" w:eastAsia="zh-CN"/>
        </w:rPr>
      </w:pPr>
      <w:r>
        <w:rPr>
          <w:rFonts w:hint="eastAsia" w:ascii="Times New Roman" w:hAnsi="Times New Roman" w:eastAsia="宋体"/>
          <w:b/>
          <w:color w:val="auto"/>
          <w:kern w:val="2"/>
          <w:sz w:val="24"/>
          <w:szCs w:val="22"/>
          <w:highlight w:val="none"/>
          <w:lang w:val="en-US" w:eastAsia="zh-CN" w:bidi="ar-SA"/>
        </w:rPr>
        <w:t>1、</w:t>
      </w:r>
      <w:r>
        <w:rPr>
          <w:rFonts w:hint="eastAsia" w:ascii="Times New Roman" w:hAnsi="Times New Roman" w:eastAsia="宋体"/>
          <w:b/>
          <w:color w:val="auto"/>
          <w:sz w:val="24"/>
          <w:highlight w:val="none"/>
          <w:lang w:val="en-US" w:eastAsia="zh-CN"/>
        </w:rPr>
        <w:t>制氢工艺</w:t>
      </w:r>
    </w:p>
    <w:p w14:paraId="052CA37F">
      <w:pPr>
        <w:numPr>
          <w:ilvl w:val="0"/>
          <w:numId w:val="0"/>
        </w:numPr>
        <w:spacing w:line="360" w:lineRule="auto"/>
        <w:jc w:val="center"/>
        <w:rPr>
          <w:rFonts w:hint="eastAsia" w:ascii="Times New Roman" w:hAnsi="Times New Roman" w:eastAsia="宋体"/>
          <w:b/>
          <w:color w:val="auto"/>
          <w:sz w:val="24"/>
          <w:highlight w:val="none"/>
          <w:lang w:val="en-US" w:eastAsia="zh-CN"/>
        </w:rPr>
      </w:pPr>
      <w:r>
        <w:rPr>
          <w:color w:val="auto"/>
          <w:sz w:val="24"/>
          <w:highlight w:val="none"/>
        </w:rPr>
        <mc:AlternateContent>
          <mc:Choice Requires="wpg">
            <w:drawing>
              <wp:inline distT="0" distB="0" distL="114300" distR="114300">
                <wp:extent cx="4734560" cy="6511925"/>
                <wp:effectExtent l="0" t="0" r="66040" b="0"/>
                <wp:docPr id="110" name="组合 59"/>
                <wp:cNvGraphicFramePr/>
                <a:graphic xmlns:a="http://schemas.openxmlformats.org/drawingml/2006/main">
                  <a:graphicData uri="http://schemas.microsoft.com/office/word/2010/wordprocessingGroup">
                    <wpg:wgp>
                      <wpg:cNvGrpSpPr/>
                      <wpg:grpSpPr>
                        <a:xfrm>
                          <a:off x="0" y="0"/>
                          <a:ext cx="4734560" cy="6511925"/>
                          <a:chOff x="19224" y="725927"/>
                          <a:chExt cx="7456" cy="10255"/>
                        </a:xfrm>
                      </wpg:grpSpPr>
                      <wps:wsp>
                        <wps:cNvPr id="39" name="矩形 473"/>
                        <wps:cNvSpPr/>
                        <wps:spPr>
                          <a:xfrm>
                            <a:off x="22534" y="728433"/>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A334B9B">
                              <w:pPr>
                                <w:pStyle w:val="421"/>
                                <w:bidi w:val="0"/>
                                <w:ind w:left="0" w:leftChars="0" w:firstLine="0" w:firstLineChars="0"/>
                                <w:jc w:val="center"/>
                                <w:rPr>
                                  <w:rFonts w:hint="default" w:eastAsia="宋体"/>
                                  <w:lang w:val="en-US" w:eastAsia="zh-CN"/>
                                </w:rPr>
                              </w:pPr>
                              <w:r>
                                <w:rPr>
                                  <w:rFonts w:hint="eastAsia" w:eastAsia="宋体"/>
                                  <w:lang w:val="en-US" w:eastAsia="zh-CN"/>
                                </w:rPr>
                                <w:t>干燥</w:t>
                              </w:r>
                            </w:p>
                          </w:txbxContent>
                        </wps:txbx>
                        <wps:bodyPr vert="horz" wrap="square" lIns="0" tIns="0" rIns="0" bIns="0" anchor="t" anchorCtr="0" upright="1"/>
                      </wps:wsp>
                      <wps:wsp>
                        <wps:cNvPr id="40" name="自选图形 474"/>
                        <wps:cNvCnPr/>
                        <wps:spPr>
                          <a:xfrm flipH="1">
                            <a:off x="23193" y="728875"/>
                            <a:ext cx="2" cy="432"/>
                          </a:xfrm>
                          <a:prstGeom prst="straightConnector1">
                            <a:avLst/>
                          </a:prstGeom>
                          <a:ln w="9525" cap="flat" cmpd="sng">
                            <a:solidFill>
                              <a:srgbClr val="000000"/>
                            </a:solidFill>
                            <a:prstDash val="solid"/>
                            <a:round/>
                            <a:headEnd type="none" w="med" len="med"/>
                            <a:tailEnd type="triangle" w="med" len="med"/>
                          </a:ln>
                        </wps:spPr>
                        <wps:bodyPr/>
                      </wps:wsp>
                      <wps:wsp>
                        <wps:cNvPr id="41" name="自选图形 474"/>
                        <wps:cNvCnPr/>
                        <wps:spPr>
                          <a:xfrm>
                            <a:off x="23210" y="729768"/>
                            <a:ext cx="0" cy="394"/>
                          </a:xfrm>
                          <a:prstGeom prst="straightConnector1">
                            <a:avLst/>
                          </a:prstGeom>
                          <a:ln w="9525" cap="flat" cmpd="sng">
                            <a:solidFill>
                              <a:srgbClr val="000000"/>
                            </a:solidFill>
                            <a:prstDash val="solid"/>
                            <a:round/>
                            <a:headEnd type="none" w="med" len="med"/>
                            <a:tailEnd type="triangle" w="med" len="med"/>
                          </a:ln>
                        </wps:spPr>
                        <wps:bodyPr/>
                      </wps:wsp>
                      <wps:wsp>
                        <wps:cNvPr id="42" name="自选图形 474"/>
                        <wps:cNvCnPr/>
                        <wps:spPr>
                          <a:xfrm flipH="1">
                            <a:off x="23263" y="731505"/>
                            <a:ext cx="2" cy="432"/>
                          </a:xfrm>
                          <a:prstGeom prst="straightConnector1">
                            <a:avLst/>
                          </a:prstGeom>
                          <a:ln w="9525" cap="flat" cmpd="sng">
                            <a:solidFill>
                              <a:srgbClr val="000000"/>
                            </a:solidFill>
                            <a:prstDash val="solid"/>
                            <a:round/>
                            <a:headEnd type="none" w="med" len="med"/>
                            <a:tailEnd type="triangle" w="med" len="med"/>
                          </a:ln>
                        </wps:spPr>
                        <wps:bodyPr/>
                      </wps:wsp>
                      <wps:wsp>
                        <wps:cNvPr id="43" name="矩形 473"/>
                        <wps:cNvSpPr/>
                        <wps:spPr>
                          <a:xfrm>
                            <a:off x="22610" y="731057"/>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DB0BE37">
                              <w:pPr>
                                <w:pStyle w:val="421"/>
                                <w:bidi w:val="0"/>
                                <w:ind w:left="0" w:leftChars="0" w:firstLine="0" w:firstLineChars="0"/>
                                <w:jc w:val="center"/>
                                <w:rPr>
                                  <w:rFonts w:hint="default" w:eastAsia="宋体"/>
                                  <w:lang w:val="en-US" w:eastAsia="zh-CN"/>
                                </w:rPr>
                              </w:pPr>
                              <w:r>
                                <w:rPr>
                                  <w:rFonts w:hint="eastAsia" w:eastAsia="宋体"/>
                                  <w:lang w:val="en-US" w:eastAsia="zh-CN"/>
                                </w:rPr>
                                <w:t>中温转化</w:t>
                              </w:r>
                            </w:p>
                          </w:txbxContent>
                        </wps:txbx>
                        <wps:bodyPr vert="horz" wrap="square" lIns="0" tIns="0" rIns="0" bIns="0" anchor="t" anchorCtr="0" upright="1"/>
                      </wps:wsp>
                      <wps:wsp>
                        <wps:cNvPr id="44" name="自选图形 474"/>
                        <wps:cNvCnPr/>
                        <wps:spPr>
                          <a:xfrm flipH="1">
                            <a:off x="23256" y="733245"/>
                            <a:ext cx="2" cy="432"/>
                          </a:xfrm>
                          <a:prstGeom prst="straightConnector1">
                            <a:avLst/>
                          </a:prstGeom>
                          <a:ln w="9525" cap="flat" cmpd="sng">
                            <a:solidFill>
                              <a:srgbClr val="000000"/>
                            </a:solidFill>
                            <a:prstDash val="solid"/>
                            <a:round/>
                            <a:headEnd type="none" w="med" len="med"/>
                            <a:tailEnd type="triangle" w="med" len="med"/>
                          </a:ln>
                        </wps:spPr>
                        <wps:bodyPr/>
                      </wps:wsp>
                      <wps:wsp>
                        <wps:cNvPr id="45" name="矩形 473"/>
                        <wps:cNvSpPr/>
                        <wps:spPr>
                          <a:xfrm>
                            <a:off x="22605" y="732810"/>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148DFC0">
                              <w:pPr>
                                <w:pStyle w:val="421"/>
                                <w:bidi w:val="0"/>
                                <w:ind w:left="0" w:leftChars="0" w:firstLine="0" w:firstLineChars="0"/>
                                <w:jc w:val="center"/>
                                <w:rPr>
                                  <w:rFonts w:hint="default" w:eastAsia="宋体"/>
                                  <w:lang w:val="en-US" w:eastAsia="zh-CN"/>
                                </w:rPr>
                              </w:pPr>
                              <w:r>
                                <w:rPr>
                                  <w:rFonts w:hint="eastAsia" w:eastAsia="宋体"/>
                                  <w:lang w:val="en-US" w:eastAsia="zh-CN"/>
                                </w:rPr>
                                <w:t>PSA提纯</w:t>
                              </w:r>
                            </w:p>
                          </w:txbxContent>
                        </wps:txbx>
                        <wps:bodyPr vert="horz" wrap="square" lIns="0" tIns="0" rIns="0" bIns="0" anchor="t" anchorCtr="0" upright="1"/>
                      </wps:wsp>
                      <wps:wsp>
                        <wps:cNvPr id="46" name="矩形 473"/>
                        <wps:cNvSpPr/>
                        <wps:spPr>
                          <a:xfrm>
                            <a:off x="22592" y="734514"/>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CF7E0DB">
                              <w:pPr>
                                <w:pStyle w:val="421"/>
                                <w:bidi w:val="0"/>
                                <w:ind w:left="0" w:leftChars="0" w:firstLine="0" w:firstLineChars="0"/>
                                <w:jc w:val="center"/>
                                <w:rPr>
                                  <w:rFonts w:hint="default" w:eastAsia="宋体"/>
                                  <w:lang w:val="en-US" w:eastAsia="zh-CN"/>
                                </w:rPr>
                              </w:pPr>
                              <w:r>
                                <w:rPr>
                                  <w:rFonts w:hint="eastAsia" w:eastAsia="宋体"/>
                                  <w:lang w:val="en-US" w:eastAsia="zh-CN"/>
                                </w:rPr>
                                <w:t>充装</w:t>
                              </w:r>
                            </w:p>
                          </w:txbxContent>
                        </wps:txbx>
                        <wps:bodyPr vert="horz" wrap="square" lIns="0" tIns="0" rIns="0" bIns="0" anchor="t" anchorCtr="0" upright="1"/>
                      </wps:wsp>
                      <wps:wsp>
                        <wps:cNvPr id="47" name="自选图形 474"/>
                        <wps:cNvCnPr/>
                        <wps:spPr>
                          <a:xfrm flipH="1">
                            <a:off x="23227" y="734111"/>
                            <a:ext cx="8" cy="389"/>
                          </a:xfrm>
                          <a:prstGeom prst="straightConnector1">
                            <a:avLst/>
                          </a:prstGeom>
                          <a:ln w="9525" cap="flat" cmpd="sng">
                            <a:solidFill>
                              <a:srgbClr val="000000"/>
                            </a:solidFill>
                            <a:prstDash val="solid"/>
                            <a:round/>
                            <a:headEnd type="none" w="med" len="med"/>
                            <a:tailEnd type="triangle" w="med" len="med"/>
                          </a:ln>
                        </wps:spPr>
                        <wps:bodyPr/>
                      </wps:wsp>
                      <wps:wsp>
                        <wps:cNvPr id="48" name="自选图形 490"/>
                        <wps:cNvCnPr/>
                        <wps:spPr>
                          <a:xfrm>
                            <a:off x="23850" y="730350"/>
                            <a:ext cx="503" cy="0"/>
                          </a:xfrm>
                          <a:prstGeom prst="straightConnector1">
                            <a:avLst/>
                          </a:prstGeom>
                          <a:ln w="9525" cap="flat" cmpd="sng">
                            <a:solidFill>
                              <a:srgbClr val="000000"/>
                            </a:solidFill>
                            <a:prstDash val="dash"/>
                            <a:round/>
                            <a:headEnd type="none" w="med" len="med"/>
                            <a:tailEnd type="triangle" w="med" len="med"/>
                          </a:ln>
                        </wps:spPr>
                        <wps:bodyPr/>
                      </wps:wsp>
                      <wps:wsp>
                        <wps:cNvPr id="49" name="自选图形 490"/>
                        <wps:cNvCnPr/>
                        <wps:spPr>
                          <a:xfrm>
                            <a:off x="23873" y="729567"/>
                            <a:ext cx="503" cy="0"/>
                          </a:xfrm>
                          <a:prstGeom prst="straightConnector1">
                            <a:avLst/>
                          </a:prstGeom>
                          <a:ln w="9525" cap="flat" cmpd="sng">
                            <a:solidFill>
                              <a:srgbClr val="000000"/>
                            </a:solidFill>
                            <a:prstDash val="dash"/>
                            <a:round/>
                            <a:headEnd type="none" w="med" len="med"/>
                            <a:tailEnd type="triangle" w="med" len="med"/>
                          </a:ln>
                        </wps:spPr>
                        <wps:bodyPr/>
                      </wps:wsp>
                      <wps:wsp>
                        <wps:cNvPr id="50" name="自选图形 490"/>
                        <wps:cNvCnPr/>
                        <wps:spPr>
                          <a:xfrm>
                            <a:off x="23937" y="731288"/>
                            <a:ext cx="503" cy="0"/>
                          </a:xfrm>
                          <a:prstGeom prst="straightConnector1">
                            <a:avLst/>
                          </a:prstGeom>
                          <a:ln w="9525" cap="flat" cmpd="sng">
                            <a:solidFill>
                              <a:srgbClr val="000000"/>
                            </a:solidFill>
                            <a:prstDash val="dash"/>
                            <a:round/>
                            <a:headEnd type="none" w="med" len="med"/>
                            <a:tailEnd type="triangle" w="med" len="med"/>
                          </a:ln>
                        </wps:spPr>
                        <wps:bodyPr/>
                      </wps:wsp>
                      <wps:wsp>
                        <wps:cNvPr id="51" name="自选图形 490"/>
                        <wps:cNvCnPr/>
                        <wps:spPr>
                          <a:xfrm>
                            <a:off x="23906" y="733237"/>
                            <a:ext cx="503" cy="0"/>
                          </a:xfrm>
                          <a:prstGeom prst="straightConnector1">
                            <a:avLst/>
                          </a:prstGeom>
                          <a:ln w="9525" cap="flat" cmpd="sng">
                            <a:solidFill>
                              <a:srgbClr val="F79646"/>
                            </a:solidFill>
                            <a:prstDash val="dash"/>
                            <a:round/>
                            <a:headEnd type="none" w="med" len="med"/>
                            <a:tailEnd type="triangle" w="med" len="med"/>
                          </a:ln>
                        </wps:spPr>
                        <wps:bodyPr/>
                      </wps:wsp>
                      <wps:wsp>
                        <wps:cNvPr id="52" name="矩形 489"/>
                        <wps:cNvSpPr/>
                        <wps:spPr>
                          <a:xfrm>
                            <a:off x="24543" y="731937"/>
                            <a:ext cx="809" cy="433"/>
                          </a:xfrm>
                          <a:prstGeom prst="rect">
                            <a:avLst/>
                          </a:prstGeom>
                          <a:solidFill>
                            <a:srgbClr val="FFFFFF">
                              <a:alpha val="0"/>
                            </a:srgbClr>
                          </a:solidFill>
                          <a:ln>
                            <a:noFill/>
                          </a:ln>
                        </wps:spPr>
                        <wps:txbx>
                          <w:txbxContent>
                            <w:p w14:paraId="3E2009B7">
                              <w:pPr>
                                <w:pStyle w:val="421"/>
                                <w:bidi w:val="0"/>
                                <w:ind w:left="0" w:leftChars="0" w:firstLine="0" w:firstLineChars="0"/>
                                <w:jc w:val="both"/>
                                <w:rPr>
                                  <w:rFonts w:hint="default" w:eastAsia="宋体"/>
                                  <w:lang w:val="en-US" w:eastAsia="zh-CN"/>
                                </w:rPr>
                              </w:pPr>
                              <w:r>
                                <w:rPr>
                                  <w:rFonts w:hint="eastAsia"/>
                                  <w:lang w:val="en-US" w:eastAsia="zh-CN"/>
                                </w:rPr>
                                <w:t>N</w:t>
                              </w:r>
                              <w:r>
                                <w:rPr>
                                  <w:rFonts w:hint="eastAsia"/>
                                  <w:vertAlign w:val="subscript"/>
                                  <w:lang w:val="en-US" w:eastAsia="zh-CN"/>
                                </w:rPr>
                                <w:t>3</w:t>
                              </w:r>
                            </w:p>
                          </w:txbxContent>
                        </wps:txbx>
                        <wps:bodyPr vert="horz" wrap="square" lIns="0" tIns="0" rIns="0" bIns="0" anchor="t" anchorCtr="0" upright="1"/>
                      </wps:wsp>
                      <wps:wsp>
                        <wps:cNvPr id="53" name="矩形 489"/>
                        <wps:cNvSpPr/>
                        <wps:spPr>
                          <a:xfrm>
                            <a:off x="23870" y="726738"/>
                            <a:ext cx="1893" cy="433"/>
                          </a:xfrm>
                          <a:prstGeom prst="rect">
                            <a:avLst/>
                          </a:prstGeom>
                          <a:solidFill>
                            <a:srgbClr val="FFFFFF">
                              <a:alpha val="0"/>
                            </a:srgbClr>
                          </a:solidFill>
                          <a:ln>
                            <a:noFill/>
                          </a:ln>
                        </wps:spPr>
                        <wps:txbx>
                          <w:txbxContent>
                            <w:p w14:paraId="6437CAD9">
                              <w:pPr>
                                <w:pStyle w:val="421"/>
                                <w:bidi w:val="0"/>
                                <w:jc w:val="both"/>
                                <w:rPr>
                                  <w:rFonts w:hint="default" w:eastAsia="宋体"/>
                                  <w:vertAlign w:val="baseline"/>
                                  <w:lang w:val="en-US" w:eastAsia="zh-CN"/>
                                </w:rPr>
                              </w:pPr>
                              <w:r>
                                <w:rPr>
                                  <w:rFonts w:hint="eastAsia"/>
                                  <w:lang w:val="en-US" w:eastAsia="zh-CN"/>
                                </w:rPr>
                                <w:t>S</w:t>
                              </w:r>
                              <w:r>
                                <w:rPr>
                                  <w:rFonts w:hint="eastAsia"/>
                                  <w:vertAlign w:val="subscript"/>
                                  <w:lang w:val="en-US" w:eastAsia="zh-CN"/>
                                </w:rPr>
                                <w:t>1</w:t>
                              </w:r>
                              <w:r>
                                <w:rPr>
                                  <w:rFonts w:hint="eastAsia"/>
                                  <w:lang w:val="en-US" w:eastAsia="zh-CN"/>
                                </w:rPr>
                                <w:t>、N</w:t>
                              </w:r>
                              <w:r>
                                <w:rPr>
                                  <w:rFonts w:hint="eastAsia"/>
                                  <w:vertAlign w:val="subscript"/>
                                  <w:lang w:val="en-US" w:eastAsia="zh-CN"/>
                                </w:rPr>
                                <w:t>1</w:t>
                              </w:r>
                            </w:p>
                          </w:txbxContent>
                        </wps:txbx>
                        <wps:bodyPr vert="horz" wrap="square" lIns="0" tIns="0" rIns="0" bIns="0" anchor="t" anchorCtr="0" upright="1"/>
                      </wps:wsp>
                      <wps:wsp>
                        <wps:cNvPr id="54" name="矩形 489"/>
                        <wps:cNvSpPr/>
                        <wps:spPr>
                          <a:xfrm>
                            <a:off x="24330" y="727455"/>
                            <a:ext cx="2350" cy="691"/>
                          </a:xfrm>
                          <a:prstGeom prst="rect">
                            <a:avLst/>
                          </a:prstGeom>
                          <a:solidFill>
                            <a:srgbClr val="FFFFFF">
                              <a:alpha val="0"/>
                            </a:srgbClr>
                          </a:solidFill>
                          <a:ln>
                            <a:noFill/>
                          </a:ln>
                        </wps:spPr>
                        <wps:txbx>
                          <w:txbxContent>
                            <w:p w14:paraId="434DE485">
                              <w:pPr>
                                <w:pStyle w:val="421"/>
                                <w:bidi w:val="0"/>
                                <w:ind w:left="0" w:leftChars="0" w:firstLine="0" w:firstLineChars="0"/>
                                <w:jc w:val="both"/>
                                <w:rPr>
                                  <w:rFonts w:hint="default" w:eastAsia="宋体"/>
                                  <w:lang w:val="en-US" w:eastAsia="zh-CN"/>
                                </w:rPr>
                              </w:pPr>
                              <w:r>
                                <w:rPr>
                                  <w:rFonts w:hint="eastAsia"/>
                                  <w:lang w:val="en-US" w:eastAsia="zh-CN"/>
                                </w:rPr>
                                <w:t>S</w:t>
                              </w:r>
                              <w:r>
                                <w:rPr>
                                  <w:rFonts w:hint="eastAsia"/>
                                  <w:vertAlign w:val="subscript"/>
                                  <w:lang w:val="en-US" w:eastAsia="zh-CN"/>
                                </w:rPr>
                                <w:t>2</w:t>
                              </w:r>
                            </w:p>
                          </w:txbxContent>
                        </wps:txbx>
                        <wps:bodyPr vert="horz" wrap="square" anchor="t" anchorCtr="0" upright="1"/>
                      </wps:wsp>
                      <wps:wsp>
                        <wps:cNvPr id="55" name="矩形 469"/>
                        <wps:cNvSpPr/>
                        <wps:spPr>
                          <a:xfrm>
                            <a:off x="22522" y="726728"/>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671F83A">
                              <w:pPr>
                                <w:pStyle w:val="421"/>
                                <w:bidi w:val="0"/>
                                <w:ind w:left="0" w:leftChars="0" w:firstLine="0" w:firstLineChars="0"/>
                                <w:jc w:val="center"/>
                                <w:rPr>
                                  <w:rFonts w:hint="default" w:eastAsia="宋体"/>
                                  <w:lang w:val="en-US" w:eastAsia="zh-CN"/>
                                </w:rPr>
                              </w:pPr>
                              <w:r>
                                <w:rPr>
                                  <w:rFonts w:hint="eastAsia"/>
                                  <w:lang w:val="en-US" w:eastAsia="zh-CN"/>
                                </w:rPr>
                                <w:t>减压除杂</w:t>
                              </w:r>
                            </w:p>
                          </w:txbxContent>
                        </wps:txbx>
                        <wps:bodyPr vert="horz" wrap="square" lIns="0" tIns="0" rIns="0" bIns="0" anchor="t" anchorCtr="0" upright="1"/>
                      </wps:wsp>
                      <wps:wsp>
                        <wps:cNvPr id="56" name="矩形 470"/>
                        <wps:cNvSpPr/>
                        <wps:spPr>
                          <a:xfrm>
                            <a:off x="22569" y="725927"/>
                            <a:ext cx="1287" cy="433"/>
                          </a:xfrm>
                          <a:prstGeom prst="rect">
                            <a:avLst/>
                          </a:prstGeom>
                          <a:solidFill>
                            <a:srgbClr val="FFFFFF">
                              <a:alpha val="0"/>
                            </a:srgbClr>
                          </a:solidFill>
                          <a:ln>
                            <a:noFill/>
                          </a:ln>
                        </wps:spPr>
                        <wps:txbx>
                          <w:txbxContent>
                            <w:p w14:paraId="4717D514">
                              <w:pPr>
                                <w:pStyle w:val="421"/>
                                <w:bidi w:val="0"/>
                                <w:ind w:left="0" w:leftChars="0" w:firstLine="0" w:firstLineChars="0"/>
                                <w:rPr>
                                  <w:rFonts w:hint="default"/>
                                  <w:lang w:val="en-US"/>
                                </w:rPr>
                              </w:pPr>
                              <w:r>
                                <w:rPr>
                                  <w:rFonts w:hint="eastAsia"/>
                                  <w:lang w:val="en-US" w:eastAsia="zh-CN"/>
                                </w:rPr>
                                <w:t>净化沼气</w:t>
                              </w:r>
                            </w:p>
                          </w:txbxContent>
                        </wps:txbx>
                        <wps:bodyPr vert="horz" wrap="square" lIns="0" tIns="0" rIns="0" bIns="0" anchor="t" anchorCtr="0" upright="1"/>
                      </wps:wsp>
                      <wps:wsp>
                        <wps:cNvPr id="57" name="自选图形 471"/>
                        <wps:cNvCnPr/>
                        <wps:spPr>
                          <a:xfrm>
                            <a:off x="23160" y="726279"/>
                            <a:ext cx="0" cy="447"/>
                          </a:xfrm>
                          <a:prstGeom prst="straightConnector1">
                            <a:avLst/>
                          </a:prstGeom>
                          <a:ln w="9525" cap="flat" cmpd="sng">
                            <a:solidFill>
                              <a:srgbClr val="000000"/>
                            </a:solidFill>
                            <a:prstDash val="solid"/>
                            <a:round/>
                            <a:headEnd type="none" w="med" len="med"/>
                            <a:tailEnd type="triangle" w="med" len="med"/>
                          </a:ln>
                        </wps:spPr>
                        <wps:bodyPr/>
                      </wps:wsp>
                      <wps:wsp>
                        <wps:cNvPr id="58" name="自选图形 472"/>
                        <wps:cNvCnPr/>
                        <wps:spPr>
                          <a:xfrm>
                            <a:off x="23178" y="727171"/>
                            <a:ext cx="1" cy="368"/>
                          </a:xfrm>
                          <a:prstGeom prst="straightConnector1">
                            <a:avLst/>
                          </a:prstGeom>
                          <a:ln w="9525" cap="flat" cmpd="sng">
                            <a:solidFill>
                              <a:srgbClr val="000000"/>
                            </a:solidFill>
                            <a:prstDash val="solid"/>
                            <a:round/>
                            <a:headEnd type="none" w="med" len="med"/>
                            <a:tailEnd type="triangle" w="med" len="med"/>
                          </a:ln>
                        </wps:spPr>
                        <wps:bodyPr/>
                      </wps:wsp>
                      <wps:wsp>
                        <wps:cNvPr id="59" name="矩形 473"/>
                        <wps:cNvSpPr/>
                        <wps:spPr>
                          <a:xfrm>
                            <a:off x="22533" y="727547"/>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5B6A412">
                              <w:pPr>
                                <w:pStyle w:val="421"/>
                                <w:bidi w:val="0"/>
                                <w:ind w:left="0" w:leftChars="0" w:firstLine="0" w:firstLineChars="0"/>
                                <w:jc w:val="center"/>
                                <w:rPr>
                                  <w:rFonts w:hint="default" w:eastAsia="宋体"/>
                                  <w:lang w:val="en-US" w:eastAsia="zh-CN"/>
                                </w:rPr>
                              </w:pPr>
                              <w:r>
                                <w:rPr>
                                  <w:rFonts w:hint="eastAsia" w:eastAsia="宋体"/>
                                  <w:lang w:val="en-US" w:eastAsia="zh-CN"/>
                                </w:rPr>
                                <w:t>脱硫</w:t>
                              </w:r>
                            </w:p>
                          </w:txbxContent>
                        </wps:txbx>
                        <wps:bodyPr vert="horz" wrap="square" lIns="0" tIns="0" rIns="0" bIns="0" anchor="t" anchorCtr="0" upright="1"/>
                      </wps:wsp>
                      <wps:wsp>
                        <wps:cNvPr id="60" name="自选图形 474"/>
                        <wps:cNvCnPr/>
                        <wps:spPr>
                          <a:xfrm>
                            <a:off x="23184" y="727986"/>
                            <a:ext cx="0" cy="447"/>
                          </a:xfrm>
                          <a:prstGeom prst="straightConnector1">
                            <a:avLst/>
                          </a:prstGeom>
                          <a:ln w="9525" cap="flat" cmpd="sng">
                            <a:solidFill>
                              <a:srgbClr val="000000"/>
                            </a:solidFill>
                            <a:prstDash val="solid"/>
                            <a:round/>
                            <a:headEnd type="none" w="med" len="med"/>
                            <a:tailEnd type="triangle" w="med" len="med"/>
                          </a:ln>
                        </wps:spPr>
                        <wps:bodyPr/>
                      </wps:wsp>
                      <wps:wsp>
                        <wps:cNvPr id="61" name="自选图形 488"/>
                        <wps:cNvCnPr/>
                        <wps:spPr>
                          <a:xfrm>
                            <a:off x="23843" y="727764"/>
                            <a:ext cx="503" cy="0"/>
                          </a:xfrm>
                          <a:prstGeom prst="straightConnector1">
                            <a:avLst/>
                          </a:prstGeom>
                          <a:ln w="9525" cap="flat" cmpd="sng">
                            <a:solidFill>
                              <a:srgbClr val="000000"/>
                            </a:solidFill>
                            <a:prstDash val="dash"/>
                            <a:round/>
                            <a:headEnd type="none" w="med" len="med"/>
                            <a:tailEnd type="triangle" w="med" len="med"/>
                          </a:ln>
                        </wps:spPr>
                        <wps:bodyPr/>
                      </wps:wsp>
                      <wps:wsp>
                        <wps:cNvPr id="62" name="自选图形 490"/>
                        <wps:cNvCnPr/>
                        <wps:spPr>
                          <a:xfrm>
                            <a:off x="21603" y="728712"/>
                            <a:ext cx="503" cy="0"/>
                          </a:xfrm>
                          <a:prstGeom prst="straightConnector1">
                            <a:avLst/>
                          </a:prstGeom>
                          <a:ln w="9525" cap="flat" cmpd="sng">
                            <a:solidFill>
                              <a:srgbClr val="000000"/>
                            </a:solidFill>
                            <a:prstDash val="dash"/>
                            <a:round/>
                            <a:headEnd type="none" w="med" len="med"/>
                            <a:tailEnd type="triangle" w="med" len="med"/>
                          </a:ln>
                        </wps:spPr>
                        <wps:bodyPr/>
                      </wps:wsp>
                      <wps:wsp>
                        <wps:cNvPr id="63" name="自选图形 488"/>
                        <wps:cNvCnPr/>
                        <wps:spPr>
                          <a:xfrm>
                            <a:off x="23843" y="726968"/>
                            <a:ext cx="503" cy="0"/>
                          </a:xfrm>
                          <a:prstGeom prst="straightConnector1">
                            <a:avLst/>
                          </a:prstGeom>
                          <a:ln w="9525" cap="flat" cmpd="sng">
                            <a:solidFill>
                              <a:srgbClr val="000000"/>
                            </a:solidFill>
                            <a:prstDash val="dash"/>
                            <a:round/>
                            <a:headEnd type="none" w="med" len="med"/>
                            <a:tailEnd type="triangle" w="med" len="med"/>
                          </a:ln>
                        </wps:spPr>
                        <wps:bodyPr/>
                      </wps:wsp>
                      <wps:wsp>
                        <wps:cNvPr id="64" name="矩形 473"/>
                        <wps:cNvSpPr/>
                        <wps:spPr>
                          <a:xfrm>
                            <a:off x="22558" y="729326"/>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83AA79">
                              <w:pPr>
                                <w:pStyle w:val="421"/>
                                <w:bidi w:val="0"/>
                                <w:ind w:left="0" w:leftChars="0" w:firstLine="0" w:firstLineChars="0"/>
                                <w:jc w:val="center"/>
                                <w:rPr>
                                  <w:rFonts w:hint="default" w:eastAsia="宋体"/>
                                  <w:lang w:val="en-US" w:eastAsia="zh-CN"/>
                                </w:rPr>
                              </w:pPr>
                              <w:r>
                                <w:rPr>
                                  <w:rFonts w:hint="eastAsia" w:eastAsia="宋体"/>
                                  <w:lang w:val="en-US" w:eastAsia="zh-CN"/>
                                </w:rPr>
                                <w:t>混合</w:t>
                              </w:r>
                            </w:p>
                          </w:txbxContent>
                        </wps:txbx>
                        <wps:bodyPr vert="horz" wrap="square" lIns="0" tIns="0" rIns="0" bIns="0" anchor="t" anchorCtr="0" upright="1"/>
                      </wps:wsp>
                      <wps:wsp>
                        <wps:cNvPr id="65" name="自选图形 474"/>
                        <wps:cNvCnPr/>
                        <wps:spPr>
                          <a:xfrm flipH="1">
                            <a:off x="23213" y="730617"/>
                            <a:ext cx="2" cy="432"/>
                          </a:xfrm>
                          <a:prstGeom prst="straightConnector1">
                            <a:avLst/>
                          </a:prstGeom>
                          <a:ln w="9525" cap="flat" cmpd="sng">
                            <a:solidFill>
                              <a:srgbClr val="000000"/>
                            </a:solidFill>
                            <a:prstDash val="solid"/>
                            <a:round/>
                            <a:headEnd type="none" w="med" len="med"/>
                            <a:tailEnd type="triangle" w="med" len="med"/>
                          </a:ln>
                        </wps:spPr>
                        <wps:bodyPr/>
                      </wps:wsp>
                      <wps:wsp>
                        <wps:cNvPr id="66" name="矩形 473"/>
                        <wps:cNvSpPr/>
                        <wps:spPr>
                          <a:xfrm>
                            <a:off x="22566" y="730170"/>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5FBD344">
                              <w:pPr>
                                <w:pStyle w:val="421"/>
                                <w:bidi w:val="0"/>
                                <w:ind w:left="0" w:leftChars="0" w:firstLine="0" w:firstLineChars="0"/>
                                <w:jc w:val="center"/>
                                <w:rPr>
                                  <w:rFonts w:hint="default" w:eastAsia="宋体"/>
                                  <w:lang w:val="en-US" w:eastAsia="zh-CN"/>
                                </w:rPr>
                              </w:pPr>
                              <w:r>
                                <w:rPr>
                                  <w:rFonts w:hint="eastAsia" w:eastAsia="宋体"/>
                                  <w:lang w:val="en-US" w:eastAsia="zh-CN"/>
                                </w:rPr>
                                <w:t>重整转换</w:t>
                              </w:r>
                            </w:p>
                          </w:txbxContent>
                        </wps:txbx>
                        <wps:bodyPr vert="horz" wrap="square" lIns="0" tIns="0" rIns="0" bIns="0" anchor="t" anchorCtr="0" upright="1"/>
                      </wps:wsp>
                      <wps:wsp>
                        <wps:cNvPr id="67" name="矩形 473"/>
                        <wps:cNvSpPr/>
                        <wps:spPr>
                          <a:xfrm>
                            <a:off x="22625" y="731936"/>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73EFA0">
                              <w:pPr>
                                <w:pStyle w:val="421"/>
                                <w:bidi w:val="0"/>
                                <w:ind w:left="0" w:leftChars="0" w:firstLine="0" w:firstLineChars="0"/>
                                <w:jc w:val="center"/>
                                <w:rPr>
                                  <w:rFonts w:hint="default" w:eastAsia="宋体"/>
                                  <w:lang w:val="en-US" w:eastAsia="zh-CN"/>
                                </w:rPr>
                              </w:pPr>
                              <w:r>
                                <w:rPr>
                                  <w:rFonts w:hint="eastAsia" w:eastAsia="宋体"/>
                                  <w:lang w:val="en-US" w:eastAsia="zh-CN"/>
                                </w:rPr>
                                <w:t>气水分离</w:t>
                              </w:r>
                            </w:p>
                          </w:txbxContent>
                        </wps:txbx>
                        <wps:bodyPr vert="horz" wrap="square" lIns="0" tIns="0" rIns="0" bIns="0" anchor="t" anchorCtr="0" upright="1"/>
                      </wps:wsp>
                      <wps:wsp>
                        <wps:cNvPr id="68" name="自选图形 474"/>
                        <wps:cNvCnPr/>
                        <wps:spPr>
                          <a:xfrm flipH="1">
                            <a:off x="23257" y="732378"/>
                            <a:ext cx="2" cy="432"/>
                          </a:xfrm>
                          <a:prstGeom prst="straightConnector1">
                            <a:avLst/>
                          </a:prstGeom>
                          <a:ln w="9525" cap="flat" cmpd="sng">
                            <a:solidFill>
                              <a:srgbClr val="000000"/>
                            </a:solidFill>
                            <a:prstDash val="solid"/>
                            <a:round/>
                            <a:headEnd type="none" w="med" len="med"/>
                            <a:tailEnd type="triangle" w="med" len="med"/>
                          </a:ln>
                        </wps:spPr>
                        <wps:bodyPr/>
                      </wps:wsp>
                      <wps:wsp>
                        <wps:cNvPr id="69" name="矩形 473"/>
                        <wps:cNvSpPr/>
                        <wps:spPr>
                          <a:xfrm>
                            <a:off x="22614" y="733675"/>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700E7ED">
                              <w:pPr>
                                <w:pStyle w:val="421"/>
                                <w:bidi w:val="0"/>
                                <w:ind w:left="0" w:leftChars="0" w:firstLine="0" w:firstLineChars="0"/>
                                <w:jc w:val="center"/>
                                <w:rPr>
                                  <w:rFonts w:hint="default" w:eastAsia="宋体"/>
                                  <w:lang w:val="en-US" w:eastAsia="zh-CN"/>
                                </w:rPr>
                              </w:pPr>
                              <w:r>
                                <w:rPr>
                                  <w:rFonts w:hint="eastAsia" w:eastAsia="宋体"/>
                                  <w:lang w:val="en-US" w:eastAsia="zh-CN"/>
                                </w:rPr>
                                <w:t>暂存</w:t>
                              </w:r>
                            </w:p>
                          </w:txbxContent>
                        </wps:txbx>
                        <wps:bodyPr vert="horz" wrap="square" lIns="0" tIns="0" rIns="0" bIns="0" anchor="t" anchorCtr="0" upright="1"/>
                      </wps:wsp>
                      <wps:wsp>
                        <wps:cNvPr id="70" name="矩形 489"/>
                        <wps:cNvSpPr/>
                        <wps:spPr>
                          <a:xfrm>
                            <a:off x="24417" y="730118"/>
                            <a:ext cx="626" cy="433"/>
                          </a:xfrm>
                          <a:prstGeom prst="rect">
                            <a:avLst/>
                          </a:prstGeom>
                          <a:solidFill>
                            <a:srgbClr val="FFFFFF">
                              <a:alpha val="0"/>
                            </a:srgbClr>
                          </a:solidFill>
                          <a:ln>
                            <a:noFill/>
                          </a:ln>
                        </wps:spPr>
                        <wps:txbx>
                          <w:txbxContent>
                            <w:p w14:paraId="6ED587A9">
                              <w:pPr>
                                <w:pStyle w:val="421"/>
                                <w:bidi w:val="0"/>
                                <w:ind w:left="0" w:leftChars="0" w:firstLine="0" w:firstLineChars="0"/>
                                <w:jc w:val="both"/>
                                <w:rPr>
                                  <w:rFonts w:hint="default" w:eastAsia="宋体"/>
                                  <w:lang w:val="en-US" w:eastAsia="zh-CN"/>
                                </w:rPr>
                              </w:pPr>
                              <w:r>
                                <w:rPr>
                                  <w:rFonts w:hint="eastAsia"/>
                                  <w:lang w:val="en-US" w:eastAsia="zh-CN"/>
                                </w:rPr>
                                <w:t>S</w:t>
                              </w:r>
                              <w:r>
                                <w:rPr>
                                  <w:rFonts w:hint="eastAsia"/>
                                  <w:vertAlign w:val="subscript"/>
                                  <w:lang w:val="en-US" w:eastAsia="zh-CN"/>
                                </w:rPr>
                                <w:t>4、</w:t>
                              </w:r>
                              <w:r>
                                <w:rPr>
                                  <w:rFonts w:hint="eastAsia"/>
                                  <w:vertAlign w:val="baseline"/>
                                  <w:lang w:val="en-US" w:eastAsia="zh-CN"/>
                                </w:rPr>
                                <w:t>G</w:t>
                              </w:r>
                              <w:r>
                                <w:rPr>
                                  <w:rFonts w:hint="eastAsia"/>
                                  <w:vertAlign w:val="subscript"/>
                                  <w:lang w:val="en-US" w:eastAsia="zh-CN"/>
                                </w:rPr>
                                <w:t>2</w:t>
                              </w:r>
                            </w:p>
                          </w:txbxContent>
                        </wps:txbx>
                        <wps:bodyPr vert="horz" wrap="square" lIns="0" tIns="0" rIns="0" bIns="0" anchor="t" anchorCtr="0" upright="1"/>
                      </wps:wsp>
                      <wps:wsp>
                        <wps:cNvPr id="71" name="矩形 489"/>
                        <wps:cNvSpPr/>
                        <wps:spPr>
                          <a:xfrm>
                            <a:off x="24459" y="729321"/>
                            <a:ext cx="809" cy="433"/>
                          </a:xfrm>
                          <a:prstGeom prst="rect">
                            <a:avLst/>
                          </a:prstGeom>
                          <a:solidFill>
                            <a:srgbClr val="FFFFFF">
                              <a:alpha val="0"/>
                            </a:srgbClr>
                          </a:solidFill>
                          <a:ln>
                            <a:noFill/>
                          </a:ln>
                        </wps:spPr>
                        <wps:txbx>
                          <w:txbxContent>
                            <w:p w14:paraId="2956A9AE">
                              <w:pPr>
                                <w:pStyle w:val="421"/>
                                <w:bidi w:val="0"/>
                                <w:ind w:left="0" w:leftChars="0" w:firstLine="0" w:firstLineChars="0"/>
                                <w:jc w:val="both"/>
                                <w:rPr>
                                  <w:rFonts w:hint="default" w:eastAsia="宋体"/>
                                  <w:lang w:val="en-US" w:eastAsia="zh-CN"/>
                                </w:rPr>
                              </w:pPr>
                              <w:r>
                                <w:rPr>
                                  <w:rFonts w:hint="eastAsia"/>
                                  <w:lang w:val="en-US" w:eastAsia="zh-CN"/>
                                </w:rPr>
                                <w:t>N</w:t>
                              </w:r>
                              <w:r>
                                <w:rPr>
                                  <w:rFonts w:hint="eastAsia"/>
                                  <w:vertAlign w:val="subscript"/>
                                  <w:lang w:val="en-US" w:eastAsia="zh-CN"/>
                                </w:rPr>
                                <w:t>2</w:t>
                              </w:r>
                            </w:p>
                          </w:txbxContent>
                        </wps:txbx>
                        <wps:bodyPr vert="horz" wrap="square" lIns="0" tIns="0" rIns="0" bIns="0" anchor="t" anchorCtr="0" upright="1"/>
                      </wps:wsp>
                      <wps:wsp>
                        <wps:cNvPr id="72" name="自选图形 490"/>
                        <wps:cNvCnPr/>
                        <wps:spPr>
                          <a:xfrm>
                            <a:off x="23945" y="732163"/>
                            <a:ext cx="503" cy="0"/>
                          </a:xfrm>
                          <a:prstGeom prst="straightConnector1">
                            <a:avLst/>
                          </a:prstGeom>
                          <a:ln w="9525" cap="flat" cmpd="sng">
                            <a:solidFill>
                              <a:srgbClr val="000000"/>
                            </a:solidFill>
                            <a:prstDash val="dash"/>
                            <a:round/>
                            <a:headEnd type="none" w="med" len="med"/>
                            <a:tailEnd type="triangle" w="med" len="med"/>
                          </a:ln>
                        </wps:spPr>
                        <wps:bodyPr/>
                      </wps:wsp>
                      <wps:wsp>
                        <wps:cNvPr id="73" name="矩形 489"/>
                        <wps:cNvSpPr/>
                        <wps:spPr>
                          <a:xfrm>
                            <a:off x="24467" y="731053"/>
                            <a:ext cx="809" cy="433"/>
                          </a:xfrm>
                          <a:prstGeom prst="rect">
                            <a:avLst/>
                          </a:prstGeom>
                          <a:solidFill>
                            <a:srgbClr val="FFFFFF">
                              <a:alpha val="0"/>
                            </a:srgbClr>
                          </a:solidFill>
                          <a:ln>
                            <a:noFill/>
                          </a:ln>
                        </wps:spPr>
                        <wps:txbx>
                          <w:txbxContent>
                            <w:p w14:paraId="34842A37">
                              <w:pPr>
                                <w:pStyle w:val="421"/>
                                <w:bidi w:val="0"/>
                                <w:ind w:left="0" w:leftChars="0" w:firstLine="0" w:firstLineChars="0"/>
                                <w:jc w:val="both"/>
                                <w:rPr>
                                  <w:rFonts w:hint="default" w:eastAsia="宋体"/>
                                  <w:lang w:val="en-US" w:eastAsia="zh-CN"/>
                                </w:rPr>
                              </w:pPr>
                              <w:r>
                                <w:rPr>
                                  <w:rFonts w:hint="eastAsia"/>
                                  <w:lang w:val="en-US" w:eastAsia="zh-CN"/>
                                </w:rPr>
                                <w:t>S</w:t>
                              </w:r>
                              <w:r>
                                <w:rPr>
                                  <w:rFonts w:hint="eastAsia"/>
                                  <w:vertAlign w:val="subscript"/>
                                  <w:lang w:val="en-US" w:eastAsia="zh-CN"/>
                                </w:rPr>
                                <w:t>5</w:t>
                              </w:r>
                            </w:p>
                          </w:txbxContent>
                        </wps:txbx>
                        <wps:bodyPr vert="horz" wrap="square" lIns="0" tIns="0" rIns="0" bIns="0" anchor="t" anchorCtr="0" upright="1"/>
                      </wps:wsp>
                      <wps:wsp>
                        <wps:cNvPr id="74" name="矩形 489"/>
                        <wps:cNvSpPr/>
                        <wps:spPr>
                          <a:xfrm>
                            <a:off x="24450" y="732895"/>
                            <a:ext cx="1001" cy="879"/>
                          </a:xfrm>
                          <a:prstGeom prst="rect">
                            <a:avLst/>
                          </a:prstGeom>
                          <a:solidFill>
                            <a:srgbClr val="FFFFFF">
                              <a:alpha val="0"/>
                            </a:srgbClr>
                          </a:solidFill>
                          <a:ln>
                            <a:noFill/>
                          </a:ln>
                        </wps:spPr>
                        <wps:txbx>
                          <w:txbxContent>
                            <w:p w14:paraId="711D4AE0">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both"/>
                                <w:textAlignment w:val="baseline"/>
                                <w:rPr>
                                  <w:rFonts w:hint="default" w:eastAsia="宋体"/>
                                  <w:lang w:val="en-US" w:eastAsia="zh-CN"/>
                                </w:rPr>
                              </w:pPr>
                              <w:r>
                                <w:rPr>
                                  <w:rFonts w:hint="eastAsia" w:eastAsia="宋体"/>
                                  <w:lang w:val="en-US" w:eastAsia="zh-CN"/>
                                </w:rPr>
                                <w:t>G3</w:t>
                              </w:r>
                            </w:p>
                            <w:p w14:paraId="019D61E2">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both"/>
                                <w:textAlignment w:val="baseline"/>
                                <w:rPr>
                                  <w:rFonts w:hint="eastAsia" w:eastAsia="宋体"/>
                                  <w:lang w:val="en-US" w:eastAsia="zh-CN"/>
                                </w:rPr>
                              </w:pPr>
                              <w:r>
                                <w:rPr>
                                  <w:rFonts w:hint="eastAsia" w:eastAsia="宋体"/>
                                  <w:lang w:val="en-US" w:eastAsia="zh-CN"/>
                                </w:rPr>
                                <w:t>解吸气</w:t>
                              </w:r>
                            </w:p>
                          </w:txbxContent>
                        </wps:txbx>
                        <wps:bodyPr vert="horz" wrap="square" lIns="0" tIns="0" rIns="0" bIns="0" anchor="t" anchorCtr="0" upright="1"/>
                      </wps:wsp>
                      <wps:wsp>
                        <wps:cNvPr id="75" name="矩形 470"/>
                        <wps:cNvSpPr/>
                        <wps:spPr>
                          <a:xfrm>
                            <a:off x="20774" y="726782"/>
                            <a:ext cx="897" cy="433"/>
                          </a:xfrm>
                          <a:prstGeom prst="rect">
                            <a:avLst/>
                          </a:prstGeom>
                          <a:solidFill>
                            <a:srgbClr val="FFFFFF">
                              <a:alpha val="0"/>
                            </a:srgbClr>
                          </a:solidFill>
                          <a:ln>
                            <a:noFill/>
                          </a:ln>
                        </wps:spPr>
                        <wps:txbx>
                          <w:txbxContent>
                            <w:p w14:paraId="77530E48">
                              <w:pPr>
                                <w:pStyle w:val="421"/>
                                <w:bidi w:val="0"/>
                                <w:ind w:left="0" w:leftChars="0" w:firstLine="0" w:firstLineChars="0"/>
                                <w:rPr>
                                  <w:rFonts w:hint="default"/>
                                  <w:lang w:val="en-US"/>
                                </w:rPr>
                              </w:pPr>
                              <w:r>
                                <w:rPr>
                                  <w:rFonts w:hint="eastAsia"/>
                                  <w:lang w:val="en-US" w:eastAsia="zh-CN"/>
                                </w:rPr>
                                <w:t>自来水</w:t>
                              </w:r>
                            </w:p>
                          </w:txbxContent>
                        </wps:txbx>
                        <wps:bodyPr vert="horz" wrap="square" lIns="0" tIns="0" rIns="0" bIns="0" anchor="t" anchorCtr="0" upright="1"/>
                      </wps:wsp>
                      <wps:wsp>
                        <wps:cNvPr id="76" name="自选图形 471"/>
                        <wps:cNvCnPr/>
                        <wps:spPr>
                          <a:xfrm>
                            <a:off x="21180" y="727164"/>
                            <a:ext cx="0" cy="447"/>
                          </a:xfrm>
                          <a:prstGeom prst="straightConnector1">
                            <a:avLst/>
                          </a:prstGeom>
                          <a:ln w="9525" cap="flat" cmpd="sng">
                            <a:solidFill>
                              <a:srgbClr val="000000"/>
                            </a:solidFill>
                            <a:prstDash val="solid"/>
                            <a:round/>
                            <a:headEnd type="none" w="med" len="med"/>
                            <a:tailEnd type="triangle" w="med" len="med"/>
                          </a:ln>
                        </wps:spPr>
                        <wps:bodyPr/>
                      </wps:wsp>
                      <wps:wsp>
                        <wps:cNvPr id="77" name="矩形 469"/>
                        <wps:cNvSpPr/>
                        <wps:spPr>
                          <a:xfrm>
                            <a:off x="20677" y="727628"/>
                            <a:ext cx="912"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25493D8">
                              <w:pPr>
                                <w:pStyle w:val="421"/>
                                <w:bidi w:val="0"/>
                                <w:ind w:left="0" w:leftChars="0" w:firstLine="0" w:firstLineChars="0"/>
                                <w:jc w:val="center"/>
                                <w:rPr>
                                  <w:rFonts w:hint="default" w:eastAsia="宋体"/>
                                  <w:lang w:val="en-US" w:eastAsia="zh-CN"/>
                                </w:rPr>
                              </w:pPr>
                              <w:r>
                                <w:rPr>
                                  <w:rFonts w:hint="eastAsia"/>
                                  <w:lang w:val="en-US" w:eastAsia="zh-CN"/>
                                </w:rPr>
                                <w:t>除盐</w:t>
                              </w:r>
                            </w:p>
                          </w:txbxContent>
                        </wps:txbx>
                        <wps:bodyPr vert="horz" wrap="square" lIns="0" tIns="0" rIns="0" bIns="0" anchor="t" anchorCtr="0" upright="1"/>
                      </wps:wsp>
                      <wps:wsp>
                        <wps:cNvPr id="78" name="自选图形 471"/>
                        <wps:cNvCnPr/>
                        <wps:spPr>
                          <a:xfrm>
                            <a:off x="21135" y="728079"/>
                            <a:ext cx="0" cy="447"/>
                          </a:xfrm>
                          <a:prstGeom prst="straightConnector1">
                            <a:avLst/>
                          </a:prstGeom>
                          <a:ln w="9525" cap="flat" cmpd="sng">
                            <a:solidFill>
                              <a:srgbClr val="000000"/>
                            </a:solidFill>
                            <a:prstDash val="solid"/>
                            <a:round/>
                            <a:headEnd type="none" w="med" len="med"/>
                            <a:tailEnd type="triangle" w="med" len="med"/>
                          </a:ln>
                        </wps:spPr>
                        <wps:bodyPr/>
                      </wps:wsp>
                      <wps:wsp>
                        <wps:cNvPr id="79" name="矩形 469"/>
                        <wps:cNvSpPr/>
                        <wps:spPr>
                          <a:xfrm>
                            <a:off x="20677" y="728513"/>
                            <a:ext cx="912"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BD33FD6">
                              <w:pPr>
                                <w:pStyle w:val="421"/>
                                <w:bidi w:val="0"/>
                                <w:ind w:left="0" w:leftChars="0" w:firstLine="0" w:firstLineChars="0"/>
                                <w:jc w:val="center"/>
                                <w:rPr>
                                  <w:rFonts w:hint="default" w:eastAsia="宋体"/>
                                  <w:lang w:val="en-US" w:eastAsia="zh-CN"/>
                                </w:rPr>
                              </w:pPr>
                              <w:r>
                                <w:rPr>
                                  <w:rFonts w:hint="eastAsia"/>
                                  <w:lang w:val="en-US" w:eastAsia="zh-CN"/>
                                </w:rPr>
                                <w:t>除氧</w:t>
                              </w:r>
                            </w:p>
                          </w:txbxContent>
                        </wps:txbx>
                        <wps:bodyPr vert="horz" wrap="square" lIns="0" tIns="0" rIns="0" bIns="0" anchor="t" anchorCtr="0" upright="1"/>
                      </wps:wsp>
                      <wps:wsp>
                        <wps:cNvPr id="80" name="自选图形 471"/>
                        <wps:cNvCnPr/>
                        <wps:spPr>
                          <a:xfrm>
                            <a:off x="21165" y="728949"/>
                            <a:ext cx="0" cy="447"/>
                          </a:xfrm>
                          <a:prstGeom prst="straightConnector1">
                            <a:avLst/>
                          </a:prstGeom>
                          <a:ln w="9525" cap="flat" cmpd="sng">
                            <a:solidFill>
                              <a:srgbClr val="000000"/>
                            </a:solidFill>
                            <a:prstDash val="solid"/>
                            <a:round/>
                            <a:headEnd type="none" w="med" len="med"/>
                            <a:tailEnd type="triangle" w="med" len="med"/>
                          </a:ln>
                        </wps:spPr>
                        <wps:bodyPr/>
                      </wps:wsp>
                      <wps:wsp>
                        <wps:cNvPr id="81" name="矩形 469"/>
                        <wps:cNvSpPr/>
                        <wps:spPr>
                          <a:xfrm>
                            <a:off x="20432" y="729378"/>
                            <a:ext cx="1443"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E0CE419">
                              <w:pPr>
                                <w:pStyle w:val="421"/>
                                <w:bidi w:val="0"/>
                                <w:ind w:left="0" w:leftChars="0" w:firstLine="0" w:firstLineChars="0"/>
                                <w:jc w:val="center"/>
                                <w:rPr>
                                  <w:rFonts w:hint="default" w:eastAsia="宋体"/>
                                  <w:lang w:val="en-US" w:eastAsia="zh-CN"/>
                                </w:rPr>
                              </w:pPr>
                              <w:r>
                                <w:rPr>
                                  <w:rFonts w:hint="eastAsia"/>
                                  <w:lang w:val="en-US" w:eastAsia="zh-CN"/>
                                </w:rPr>
                                <w:t>蒸汽发生器除氧</w:t>
                              </w:r>
                            </w:p>
                          </w:txbxContent>
                        </wps:txbx>
                        <wps:bodyPr vert="horz" wrap="square" lIns="0" tIns="0" rIns="0" bIns="0" anchor="t" anchorCtr="0" upright="1"/>
                      </wps:wsp>
                      <wps:wsp>
                        <wps:cNvPr id="82" name="自选图形 471"/>
                        <wps:cNvCnPr>
                          <a:stCxn id="81" idx="3"/>
                        </wps:cNvCnPr>
                        <wps:spPr>
                          <a:xfrm>
                            <a:off x="21875" y="729595"/>
                            <a:ext cx="682" cy="3"/>
                          </a:xfrm>
                          <a:prstGeom prst="straightConnector1">
                            <a:avLst/>
                          </a:prstGeom>
                          <a:ln w="9525" cap="flat" cmpd="sng">
                            <a:solidFill>
                              <a:srgbClr val="000000"/>
                            </a:solidFill>
                            <a:prstDash val="solid"/>
                            <a:round/>
                            <a:headEnd type="none" w="med" len="med"/>
                            <a:tailEnd type="triangle" w="med" len="med"/>
                          </a:ln>
                        </wps:spPr>
                        <wps:bodyPr/>
                      </wps:wsp>
                      <wps:wsp>
                        <wps:cNvPr id="83" name="自选图形 471"/>
                        <wps:cNvCnPr/>
                        <wps:spPr>
                          <a:xfrm>
                            <a:off x="21855" y="730344"/>
                            <a:ext cx="717" cy="4"/>
                          </a:xfrm>
                          <a:prstGeom prst="straightConnector1">
                            <a:avLst/>
                          </a:prstGeom>
                          <a:ln w="9525" cap="flat" cmpd="sng">
                            <a:solidFill>
                              <a:srgbClr val="FF0000"/>
                            </a:solidFill>
                            <a:prstDash val="dash"/>
                            <a:round/>
                            <a:headEnd type="none" w="med" len="med"/>
                            <a:tailEnd type="triangle" w="med" len="med"/>
                          </a:ln>
                        </wps:spPr>
                        <wps:bodyPr/>
                      </wps:wsp>
                      <wps:wsp>
                        <wps:cNvPr id="84" name="矩形 470"/>
                        <wps:cNvSpPr/>
                        <wps:spPr>
                          <a:xfrm>
                            <a:off x="20100" y="730112"/>
                            <a:ext cx="1855" cy="433"/>
                          </a:xfrm>
                          <a:prstGeom prst="rect">
                            <a:avLst/>
                          </a:prstGeom>
                          <a:solidFill>
                            <a:srgbClr val="FFFFFF">
                              <a:alpha val="0"/>
                            </a:srgbClr>
                          </a:solidFill>
                          <a:ln>
                            <a:noFill/>
                          </a:ln>
                        </wps:spPr>
                        <wps:txbx>
                          <w:txbxContent>
                            <w:p w14:paraId="19FE0074">
                              <w:pPr>
                                <w:pStyle w:val="421"/>
                                <w:bidi w:val="0"/>
                                <w:ind w:left="0" w:leftChars="0" w:firstLine="0" w:firstLineChars="0"/>
                                <w:rPr>
                                  <w:rFonts w:hint="default" w:eastAsia="宋体"/>
                                  <w:lang w:val="en-US" w:eastAsia="zh-CN"/>
                                </w:rPr>
                              </w:pPr>
                              <w:r>
                                <w:rPr>
                                  <w:rFonts w:hint="eastAsia"/>
                                  <w:lang w:val="en-US" w:eastAsia="zh-CN"/>
                                </w:rPr>
                                <w:t>沼气燃烧供热</w:t>
                              </w:r>
                            </w:p>
                          </w:txbxContent>
                        </wps:txbx>
                        <wps:bodyPr vert="horz" wrap="square" lIns="0" tIns="0" rIns="0" bIns="0" anchor="t" anchorCtr="0" upright="1"/>
                      </wps:wsp>
                      <wps:wsp>
                        <wps:cNvPr id="85" name="直线 228"/>
                        <wps:cNvCnPr/>
                        <wps:spPr>
                          <a:xfrm flipH="1">
                            <a:off x="19706" y="732024"/>
                            <a:ext cx="2896" cy="8"/>
                          </a:xfrm>
                          <a:prstGeom prst="line">
                            <a:avLst/>
                          </a:prstGeom>
                          <a:ln w="9525" cap="flat" cmpd="sng">
                            <a:solidFill>
                              <a:srgbClr val="FF0000"/>
                            </a:solidFill>
                            <a:prstDash val="dash"/>
                            <a:miter/>
                            <a:headEnd type="none" w="med" len="med"/>
                            <a:tailEnd type="none" w="med" len="med"/>
                          </a:ln>
                        </wps:spPr>
                        <wps:bodyPr upright="1"/>
                      </wps:wsp>
                      <wps:wsp>
                        <wps:cNvPr id="86" name="直线 229"/>
                        <wps:cNvCnPr/>
                        <wps:spPr>
                          <a:xfrm flipV="1">
                            <a:off x="19707" y="729590"/>
                            <a:ext cx="9" cy="2471"/>
                          </a:xfrm>
                          <a:prstGeom prst="line">
                            <a:avLst/>
                          </a:prstGeom>
                          <a:ln w="9525" cap="flat" cmpd="sng">
                            <a:solidFill>
                              <a:srgbClr val="FF0000"/>
                            </a:solidFill>
                            <a:prstDash val="dash"/>
                            <a:miter/>
                            <a:headEnd type="none" w="med" len="med"/>
                            <a:tailEnd type="none" w="med" len="med"/>
                          </a:ln>
                        </wps:spPr>
                        <wps:bodyPr upright="1"/>
                      </wps:wsp>
                      <wps:wsp>
                        <wps:cNvPr id="87" name="自选图形 471"/>
                        <wps:cNvCnPr>
                          <a:endCxn id="81" idx="1"/>
                        </wps:cNvCnPr>
                        <wps:spPr>
                          <a:xfrm>
                            <a:off x="19713" y="729588"/>
                            <a:ext cx="719" cy="7"/>
                          </a:xfrm>
                          <a:prstGeom prst="straightConnector1">
                            <a:avLst/>
                          </a:prstGeom>
                          <a:ln w="9525" cap="flat" cmpd="sng">
                            <a:solidFill>
                              <a:srgbClr val="FF0000"/>
                            </a:solidFill>
                            <a:prstDash val="dash"/>
                            <a:round/>
                            <a:headEnd type="none" w="med" len="med"/>
                            <a:tailEnd type="triangle" w="med" len="med"/>
                          </a:ln>
                        </wps:spPr>
                        <wps:bodyPr/>
                      </wps:wsp>
                      <wps:wsp>
                        <wps:cNvPr id="88" name="矩形 470"/>
                        <wps:cNvSpPr/>
                        <wps:spPr>
                          <a:xfrm>
                            <a:off x="20025" y="731649"/>
                            <a:ext cx="1855" cy="433"/>
                          </a:xfrm>
                          <a:prstGeom prst="rect">
                            <a:avLst/>
                          </a:prstGeom>
                          <a:solidFill>
                            <a:srgbClr val="FFFFFF">
                              <a:alpha val="0"/>
                            </a:srgbClr>
                          </a:solidFill>
                          <a:ln>
                            <a:noFill/>
                          </a:ln>
                        </wps:spPr>
                        <wps:txbx>
                          <w:txbxContent>
                            <w:p w14:paraId="16555133">
                              <w:pPr>
                                <w:pStyle w:val="421"/>
                                <w:bidi w:val="0"/>
                                <w:ind w:left="0" w:leftChars="0" w:firstLine="0" w:firstLineChars="0"/>
                                <w:rPr>
                                  <w:rFonts w:hint="default" w:eastAsia="宋体"/>
                                  <w:color w:val="FF0000"/>
                                  <w:sz w:val="21"/>
                                  <w:szCs w:val="21"/>
                                  <w:lang w:val="en-US" w:eastAsia="zh-CN"/>
                                </w:rPr>
                              </w:pPr>
                              <w:r>
                                <w:rPr>
                                  <w:rFonts w:hint="eastAsia"/>
                                  <w:color w:val="FF0000"/>
                                  <w:sz w:val="21"/>
                                  <w:szCs w:val="21"/>
                                  <w:lang w:val="en-US" w:eastAsia="zh-CN"/>
                                </w:rPr>
                                <w:t>余热回收</w:t>
                              </w:r>
                            </w:p>
                          </w:txbxContent>
                        </wps:txbx>
                        <wps:bodyPr vert="horz" wrap="square" lIns="0" tIns="0" rIns="0" bIns="0" anchor="t" anchorCtr="0" upright="1"/>
                      </wps:wsp>
                      <wps:wsp>
                        <wps:cNvPr id="89" name="自选图形 471"/>
                        <wps:cNvCnPr/>
                        <wps:spPr>
                          <a:xfrm flipH="1" flipV="1">
                            <a:off x="23856" y="730607"/>
                            <a:ext cx="2801" cy="2"/>
                          </a:xfrm>
                          <a:prstGeom prst="straightConnector1">
                            <a:avLst/>
                          </a:prstGeom>
                          <a:ln w="9525" cap="flat" cmpd="sng">
                            <a:solidFill>
                              <a:srgbClr val="F79646"/>
                            </a:solidFill>
                            <a:prstDash val="dash"/>
                            <a:round/>
                            <a:headEnd type="none" w="med" len="med"/>
                            <a:tailEnd type="triangle" w="med" len="med"/>
                          </a:ln>
                        </wps:spPr>
                        <wps:bodyPr/>
                      </wps:wsp>
                      <wps:wsp>
                        <wps:cNvPr id="90" name="自选图形 490"/>
                        <wps:cNvCnPr/>
                        <wps:spPr>
                          <a:xfrm flipV="1">
                            <a:off x="25289" y="733370"/>
                            <a:ext cx="1350" cy="2"/>
                          </a:xfrm>
                          <a:prstGeom prst="straightConnector1">
                            <a:avLst/>
                          </a:prstGeom>
                          <a:ln w="9525" cap="flat" cmpd="sng">
                            <a:solidFill>
                              <a:srgbClr val="F79646"/>
                            </a:solidFill>
                            <a:prstDash val="dash"/>
                            <a:round/>
                            <a:headEnd type="none" w="med" len="sm"/>
                            <a:tailEnd type="none" w="med" len="med"/>
                          </a:ln>
                        </wps:spPr>
                        <wps:bodyPr/>
                      </wps:wsp>
                      <wps:wsp>
                        <wps:cNvPr id="91" name="自选图形 490"/>
                        <wps:cNvCnPr/>
                        <wps:spPr>
                          <a:xfrm>
                            <a:off x="26622" y="730591"/>
                            <a:ext cx="1" cy="2796"/>
                          </a:xfrm>
                          <a:prstGeom prst="straightConnector1">
                            <a:avLst/>
                          </a:prstGeom>
                          <a:ln w="9525" cap="flat" cmpd="sng">
                            <a:solidFill>
                              <a:srgbClr val="F79646"/>
                            </a:solidFill>
                            <a:prstDash val="dash"/>
                            <a:round/>
                            <a:headEnd type="none" w="med" len="sm"/>
                            <a:tailEnd type="none" w="med" len="med"/>
                          </a:ln>
                        </wps:spPr>
                        <wps:bodyPr/>
                      </wps:wsp>
                      <wps:wsp>
                        <wps:cNvPr id="92" name="矩形 470"/>
                        <wps:cNvSpPr/>
                        <wps:spPr>
                          <a:xfrm>
                            <a:off x="25426" y="732960"/>
                            <a:ext cx="1162" cy="433"/>
                          </a:xfrm>
                          <a:prstGeom prst="rect">
                            <a:avLst/>
                          </a:prstGeom>
                          <a:solidFill>
                            <a:srgbClr val="FFFFFF">
                              <a:alpha val="0"/>
                            </a:srgbClr>
                          </a:solidFill>
                          <a:ln>
                            <a:noFill/>
                          </a:ln>
                        </wps:spPr>
                        <wps:txbx>
                          <w:txbxContent>
                            <w:p w14:paraId="6FAF9506">
                              <w:pPr>
                                <w:pStyle w:val="421"/>
                                <w:bidi w:val="0"/>
                                <w:ind w:left="0" w:leftChars="0" w:firstLine="0" w:firstLineChars="0"/>
                                <w:rPr>
                                  <w:rFonts w:hint="default" w:eastAsia="宋体"/>
                                  <w:color w:val="F79646"/>
                                  <w:sz w:val="21"/>
                                  <w:szCs w:val="21"/>
                                  <w:lang w:val="en-US" w:eastAsia="zh-CN"/>
                                </w:rPr>
                              </w:pPr>
                              <w:r>
                                <w:rPr>
                                  <w:rFonts w:hint="eastAsia"/>
                                  <w:color w:val="F79646"/>
                                  <w:sz w:val="21"/>
                                  <w:szCs w:val="21"/>
                                  <w:lang w:val="en-US" w:eastAsia="zh-CN"/>
                                </w:rPr>
                                <w:t>燃料回收</w:t>
                              </w:r>
                            </w:p>
                          </w:txbxContent>
                        </wps:txbx>
                        <wps:bodyPr vert="horz" wrap="square" lIns="0" tIns="0" rIns="0" bIns="0" anchor="t" anchorCtr="0" upright="1"/>
                      </wps:wsp>
                      <wps:wsp>
                        <wps:cNvPr id="93" name="直线 237"/>
                        <wps:cNvCnPr/>
                        <wps:spPr>
                          <a:xfrm flipH="1" flipV="1">
                            <a:off x="19466" y="732146"/>
                            <a:ext cx="3122" cy="15"/>
                          </a:xfrm>
                          <a:prstGeom prst="line">
                            <a:avLst/>
                          </a:prstGeom>
                          <a:ln w="9525" cap="flat" cmpd="sng">
                            <a:solidFill>
                              <a:srgbClr val="00B050"/>
                            </a:solidFill>
                            <a:prstDash val="dash"/>
                            <a:miter/>
                            <a:headEnd type="none" w="med" len="med"/>
                            <a:tailEnd type="none" w="med" len="med"/>
                          </a:ln>
                        </wps:spPr>
                        <wps:bodyPr upright="1"/>
                      </wps:wsp>
                      <wps:wsp>
                        <wps:cNvPr id="94" name="直线 238"/>
                        <wps:cNvCnPr/>
                        <wps:spPr>
                          <a:xfrm flipV="1">
                            <a:off x="19468" y="728702"/>
                            <a:ext cx="14" cy="3440"/>
                          </a:xfrm>
                          <a:prstGeom prst="line">
                            <a:avLst/>
                          </a:prstGeom>
                          <a:ln w="9525" cap="flat" cmpd="sng">
                            <a:solidFill>
                              <a:srgbClr val="00B050"/>
                            </a:solidFill>
                            <a:prstDash val="dash"/>
                            <a:miter/>
                            <a:headEnd type="none" w="med" len="med"/>
                            <a:tailEnd type="none" w="med" len="med"/>
                          </a:ln>
                        </wps:spPr>
                        <wps:bodyPr upright="1"/>
                      </wps:wsp>
                      <wps:wsp>
                        <wps:cNvPr id="95" name="自选图形 471"/>
                        <wps:cNvCnPr/>
                        <wps:spPr>
                          <a:xfrm>
                            <a:off x="19479" y="728698"/>
                            <a:ext cx="1203" cy="9"/>
                          </a:xfrm>
                          <a:prstGeom prst="straightConnector1">
                            <a:avLst/>
                          </a:prstGeom>
                          <a:ln w="9525" cap="flat" cmpd="sng">
                            <a:solidFill>
                              <a:srgbClr val="00B050"/>
                            </a:solidFill>
                            <a:prstDash val="dash"/>
                            <a:round/>
                            <a:headEnd type="none" w="med" len="med"/>
                            <a:tailEnd type="triangle" w="med" len="med"/>
                          </a:ln>
                        </wps:spPr>
                        <wps:bodyPr/>
                      </wps:wsp>
                      <wps:wsp>
                        <wps:cNvPr id="96" name="矩形 470"/>
                        <wps:cNvSpPr/>
                        <wps:spPr>
                          <a:xfrm>
                            <a:off x="19500" y="728762"/>
                            <a:ext cx="1855" cy="433"/>
                          </a:xfrm>
                          <a:prstGeom prst="rect">
                            <a:avLst/>
                          </a:prstGeom>
                          <a:solidFill>
                            <a:srgbClr val="FFFFFF">
                              <a:alpha val="0"/>
                            </a:srgbClr>
                          </a:solidFill>
                          <a:ln>
                            <a:noFill/>
                          </a:ln>
                        </wps:spPr>
                        <wps:txbx>
                          <w:txbxContent>
                            <w:p w14:paraId="7CF464A8">
                              <w:pPr>
                                <w:pStyle w:val="421"/>
                                <w:bidi w:val="0"/>
                                <w:ind w:left="0" w:leftChars="0" w:firstLine="0" w:firstLineChars="0"/>
                                <w:rPr>
                                  <w:rFonts w:hint="default" w:eastAsia="宋体"/>
                                  <w:color w:val="00B050"/>
                                  <w:sz w:val="21"/>
                                  <w:szCs w:val="21"/>
                                  <w:lang w:val="en-US" w:eastAsia="zh-CN"/>
                                </w:rPr>
                              </w:pPr>
                              <w:r>
                                <w:rPr>
                                  <w:rFonts w:hint="eastAsia"/>
                                  <w:color w:val="00B050"/>
                                  <w:sz w:val="21"/>
                                  <w:szCs w:val="21"/>
                                  <w:lang w:val="en-US" w:eastAsia="zh-CN"/>
                                </w:rPr>
                                <w:t>冷凝水回收</w:t>
                              </w:r>
                            </w:p>
                          </w:txbxContent>
                        </wps:txbx>
                        <wps:bodyPr vert="horz" wrap="square" lIns="0" tIns="0" rIns="0" bIns="0" anchor="t" anchorCtr="0" upright="1"/>
                      </wps:wsp>
                      <wps:wsp>
                        <wps:cNvPr id="97" name="自选图形 488"/>
                        <wps:cNvCnPr/>
                        <wps:spPr>
                          <a:xfrm>
                            <a:off x="21638" y="727839"/>
                            <a:ext cx="503" cy="0"/>
                          </a:xfrm>
                          <a:prstGeom prst="straightConnector1">
                            <a:avLst/>
                          </a:prstGeom>
                          <a:ln w="9525" cap="flat" cmpd="sng">
                            <a:solidFill>
                              <a:srgbClr val="000000"/>
                            </a:solidFill>
                            <a:prstDash val="dash"/>
                            <a:round/>
                            <a:headEnd type="none" w="med" len="med"/>
                            <a:tailEnd type="triangle" w="med" len="med"/>
                          </a:ln>
                        </wps:spPr>
                        <wps:bodyPr/>
                      </wps:wsp>
                      <wps:wsp>
                        <wps:cNvPr id="98" name="矩形 489"/>
                        <wps:cNvSpPr/>
                        <wps:spPr>
                          <a:xfrm>
                            <a:off x="22005" y="727535"/>
                            <a:ext cx="968" cy="1032"/>
                          </a:xfrm>
                          <a:prstGeom prst="rect">
                            <a:avLst/>
                          </a:prstGeom>
                          <a:solidFill>
                            <a:srgbClr val="FFFFFF">
                              <a:alpha val="0"/>
                            </a:srgbClr>
                          </a:solidFill>
                          <a:ln>
                            <a:noFill/>
                          </a:ln>
                        </wps:spPr>
                        <wps:txbx>
                          <w:txbxContent>
                            <w:p w14:paraId="14910CDF">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both"/>
                                <w:textAlignment w:val="baseline"/>
                                <w:rPr>
                                  <w:rFonts w:hint="eastAsia"/>
                                  <w:vertAlign w:val="subscript"/>
                                  <w:lang w:val="en-US" w:eastAsia="zh-CN"/>
                                </w:rPr>
                              </w:pPr>
                              <w:r>
                                <w:rPr>
                                  <w:rFonts w:hint="eastAsia"/>
                                  <w:lang w:val="en-US" w:eastAsia="zh-CN"/>
                                </w:rPr>
                                <w:t>S</w:t>
                              </w:r>
                              <w:r>
                                <w:rPr>
                                  <w:rFonts w:hint="eastAsia"/>
                                  <w:vertAlign w:val="subscript"/>
                                  <w:lang w:val="en-US" w:eastAsia="zh-CN"/>
                                </w:rPr>
                                <w:t>3、</w:t>
                              </w:r>
                            </w:p>
                            <w:p w14:paraId="68489B64">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both"/>
                                <w:textAlignment w:val="baseline"/>
                                <w:rPr>
                                  <w:rFonts w:hint="default" w:eastAsia="宋体"/>
                                  <w:lang w:val="en-US" w:eastAsia="zh-CN"/>
                                </w:rPr>
                              </w:pPr>
                              <w:r>
                                <w:rPr>
                                  <w:rFonts w:hint="eastAsia"/>
                                  <w:lang w:val="en-US" w:eastAsia="zh-CN"/>
                                </w:rPr>
                                <w:t>W</w:t>
                              </w:r>
                              <w:r>
                                <w:rPr>
                                  <w:rFonts w:hint="eastAsia"/>
                                  <w:vertAlign w:val="subscript"/>
                                  <w:lang w:val="en-US" w:eastAsia="zh-CN"/>
                                </w:rPr>
                                <w:t>1</w:t>
                              </w:r>
                            </w:p>
                          </w:txbxContent>
                        </wps:txbx>
                        <wps:bodyPr vert="horz" wrap="square" anchor="t" anchorCtr="0" upright="1"/>
                      </wps:wsp>
                      <wps:wsp>
                        <wps:cNvPr id="99" name="矩形 489"/>
                        <wps:cNvSpPr/>
                        <wps:spPr>
                          <a:xfrm>
                            <a:off x="22107" y="728490"/>
                            <a:ext cx="680" cy="433"/>
                          </a:xfrm>
                          <a:prstGeom prst="rect">
                            <a:avLst/>
                          </a:prstGeom>
                          <a:solidFill>
                            <a:srgbClr val="FFFFFF">
                              <a:alpha val="0"/>
                            </a:srgbClr>
                          </a:solidFill>
                          <a:ln>
                            <a:noFill/>
                          </a:ln>
                        </wps:spPr>
                        <wps:txbx>
                          <w:txbxContent>
                            <w:p w14:paraId="020690EC">
                              <w:pPr>
                                <w:pStyle w:val="421"/>
                                <w:bidi w:val="0"/>
                                <w:ind w:left="0" w:leftChars="0" w:firstLine="0" w:firstLineChars="0"/>
                                <w:jc w:val="both"/>
                                <w:rPr>
                                  <w:rFonts w:hint="default" w:eastAsia="宋体"/>
                                  <w:lang w:val="en-US" w:eastAsia="zh-CN"/>
                                </w:rPr>
                              </w:pPr>
                              <w:r>
                                <w:rPr>
                                  <w:rFonts w:hint="eastAsia" w:eastAsia="宋体"/>
                                  <w:lang w:val="en-US" w:eastAsia="zh-CN"/>
                                </w:rPr>
                                <w:t>G</w:t>
                              </w:r>
                              <w:r>
                                <w:rPr>
                                  <w:rFonts w:hint="eastAsia" w:eastAsia="宋体"/>
                                  <w:vertAlign w:val="subscript"/>
                                  <w:lang w:val="en-US" w:eastAsia="zh-CN"/>
                                </w:rPr>
                                <w:t>1</w:t>
                              </w:r>
                            </w:p>
                          </w:txbxContent>
                        </wps:txbx>
                        <wps:bodyPr vert="horz" wrap="square" lIns="0" tIns="0" rIns="0" bIns="0" anchor="t" anchorCtr="0" upright="1"/>
                      </wps:wsp>
                      <wps:wsp>
                        <wps:cNvPr id="100" name="矩形 470"/>
                        <wps:cNvSpPr/>
                        <wps:spPr>
                          <a:xfrm>
                            <a:off x="19224" y="732129"/>
                            <a:ext cx="2590" cy="433"/>
                          </a:xfrm>
                          <a:prstGeom prst="rect">
                            <a:avLst/>
                          </a:prstGeom>
                          <a:solidFill>
                            <a:srgbClr val="FFFFFF">
                              <a:alpha val="0"/>
                            </a:srgbClr>
                          </a:solidFill>
                          <a:ln>
                            <a:noFill/>
                          </a:ln>
                        </wps:spPr>
                        <wps:txbx>
                          <w:txbxContent>
                            <w:p w14:paraId="31733BFF">
                              <w:pPr>
                                <w:pStyle w:val="421"/>
                                <w:bidi w:val="0"/>
                                <w:ind w:left="0" w:leftChars="0" w:firstLine="0" w:firstLineChars="0"/>
                                <w:jc w:val="both"/>
                                <w:rPr>
                                  <w:rFonts w:hint="default" w:eastAsia="宋体"/>
                                  <w:color w:val="auto"/>
                                  <w:sz w:val="21"/>
                                  <w:szCs w:val="21"/>
                                  <w:lang w:val="en-US" w:eastAsia="zh-CN"/>
                                </w:rPr>
                              </w:pPr>
                              <w:r>
                                <w:rPr>
                                  <w:rFonts w:hint="eastAsia" w:eastAsia="宋体"/>
                                  <w:color w:val="auto"/>
                                  <w:sz w:val="21"/>
                                  <w:szCs w:val="21"/>
                                  <w:lang w:val="en-US" w:eastAsia="zh-CN"/>
                                </w:rPr>
                                <w:t>间接循环冷却水系统</w:t>
                              </w:r>
                            </w:p>
                          </w:txbxContent>
                        </wps:txbx>
                        <wps:bodyPr vert="horz" wrap="square" lIns="0" tIns="0" rIns="0" bIns="0" anchor="t" anchorCtr="0" upright="1"/>
                      </wps:wsp>
                      <wps:wsp>
                        <wps:cNvPr id="101" name="自选图形 474"/>
                        <wps:cNvCnPr/>
                        <wps:spPr>
                          <a:xfrm>
                            <a:off x="21612" y="732351"/>
                            <a:ext cx="1022" cy="0"/>
                          </a:xfrm>
                          <a:prstGeom prst="straightConnector1">
                            <a:avLst/>
                          </a:prstGeom>
                          <a:ln w="9525" cap="flat" cmpd="sng">
                            <a:solidFill>
                              <a:srgbClr val="000000"/>
                            </a:solidFill>
                            <a:prstDash val="dash"/>
                            <a:round/>
                            <a:headEnd type="none" w="med" len="med"/>
                            <a:tailEnd type="triangle" w="med" len="med"/>
                          </a:ln>
                        </wps:spPr>
                        <wps:bodyPr/>
                      </wps:wsp>
                      <wps:wsp>
                        <wps:cNvPr id="102" name="自选图形 474"/>
                        <wps:cNvCnPr/>
                        <wps:spPr>
                          <a:xfrm flipH="1">
                            <a:off x="23227" y="734953"/>
                            <a:ext cx="8" cy="389"/>
                          </a:xfrm>
                          <a:prstGeom prst="straightConnector1">
                            <a:avLst/>
                          </a:prstGeom>
                          <a:ln w="9525" cap="flat" cmpd="sng">
                            <a:solidFill>
                              <a:srgbClr val="000000"/>
                            </a:solidFill>
                            <a:prstDash val="solid"/>
                            <a:round/>
                            <a:headEnd type="none" w="med" len="med"/>
                            <a:tailEnd type="triangle" w="med" len="med"/>
                          </a:ln>
                        </wps:spPr>
                        <wps:bodyPr/>
                      </wps:wsp>
                      <wps:wsp>
                        <wps:cNvPr id="103" name="直线 247"/>
                        <wps:cNvCnPr/>
                        <wps:spPr>
                          <a:xfrm>
                            <a:off x="21386" y="735305"/>
                            <a:ext cx="3531" cy="18"/>
                          </a:xfrm>
                          <a:prstGeom prst="line">
                            <a:avLst/>
                          </a:prstGeom>
                          <a:ln w="9525" cap="flat" cmpd="sng">
                            <a:solidFill>
                              <a:srgbClr val="000000"/>
                            </a:solidFill>
                            <a:prstDash val="solid"/>
                            <a:miter/>
                            <a:headEnd type="none" w="med" len="med"/>
                            <a:tailEnd type="none" w="med" len="med"/>
                          </a:ln>
                        </wps:spPr>
                        <wps:bodyPr upright="1"/>
                      </wps:wsp>
                      <wps:wsp>
                        <wps:cNvPr id="104" name="自选图形 474"/>
                        <wps:cNvCnPr/>
                        <wps:spPr>
                          <a:xfrm flipH="1">
                            <a:off x="21379" y="735319"/>
                            <a:ext cx="8" cy="389"/>
                          </a:xfrm>
                          <a:prstGeom prst="straightConnector1">
                            <a:avLst/>
                          </a:prstGeom>
                          <a:ln w="9525" cap="flat" cmpd="sng">
                            <a:solidFill>
                              <a:srgbClr val="000000"/>
                            </a:solidFill>
                            <a:prstDash val="solid"/>
                            <a:round/>
                            <a:headEnd type="none" w="med" len="med"/>
                            <a:tailEnd type="triangle" w="med" len="med"/>
                          </a:ln>
                        </wps:spPr>
                        <wps:bodyPr/>
                      </wps:wsp>
                      <wps:wsp>
                        <wps:cNvPr id="105" name="自选图形 474"/>
                        <wps:cNvCnPr/>
                        <wps:spPr>
                          <a:xfrm flipH="1">
                            <a:off x="24910" y="735337"/>
                            <a:ext cx="8" cy="389"/>
                          </a:xfrm>
                          <a:prstGeom prst="straightConnector1">
                            <a:avLst/>
                          </a:prstGeom>
                          <a:ln w="9525" cap="flat" cmpd="sng">
                            <a:solidFill>
                              <a:srgbClr val="000000"/>
                            </a:solidFill>
                            <a:prstDash val="solid"/>
                            <a:round/>
                            <a:headEnd type="none" w="med" len="med"/>
                            <a:tailEnd type="triangle" w="med" len="med"/>
                          </a:ln>
                        </wps:spPr>
                        <wps:bodyPr/>
                      </wps:wsp>
                      <wps:wsp>
                        <wps:cNvPr id="106" name="矩形 489"/>
                        <wps:cNvSpPr/>
                        <wps:spPr>
                          <a:xfrm>
                            <a:off x="20756" y="735750"/>
                            <a:ext cx="964" cy="433"/>
                          </a:xfrm>
                          <a:prstGeom prst="rect">
                            <a:avLst/>
                          </a:prstGeom>
                          <a:solidFill>
                            <a:srgbClr val="FFFFFF">
                              <a:alpha val="0"/>
                            </a:srgbClr>
                          </a:solidFill>
                          <a:ln>
                            <a:noFill/>
                          </a:ln>
                        </wps:spPr>
                        <wps:txbx>
                          <w:txbxContent>
                            <w:p w14:paraId="5FCF0582">
                              <w:pPr>
                                <w:pStyle w:val="421"/>
                                <w:bidi w:val="0"/>
                                <w:ind w:left="0" w:leftChars="0" w:firstLine="0" w:firstLineChars="0"/>
                                <w:jc w:val="both"/>
                                <w:rPr>
                                  <w:rFonts w:hint="default" w:eastAsia="宋体"/>
                                  <w:lang w:val="en-US" w:eastAsia="zh-CN"/>
                                </w:rPr>
                              </w:pPr>
                              <w:r>
                                <w:rPr>
                                  <w:rFonts w:hint="eastAsia" w:eastAsia="宋体"/>
                                  <w:lang w:val="en-US" w:eastAsia="zh-CN"/>
                                </w:rPr>
                                <w:t>长管车</w:t>
                              </w:r>
                            </w:p>
                          </w:txbxContent>
                        </wps:txbx>
                        <wps:bodyPr vert="horz" wrap="square" lIns="0" tIns="0" rIns="0" bIns="0" anchor="t" anchorCtr="0" upright="1"/>
                      </wps:wsp>
                      <wps:wsp>
                        <wps:cNvPr id="107" name="矩形 489"/>
                        <wps:cNvSpPr/>
                        <wps:spPr>
                          <a:xfrm>
                            <a:off x="24725" y="735750"/>
                            <a:ext cx="1001" cy="433"/>
                          </a:xfrm>
                          <a:prstGeom prst="rect">
                            <a:avLst/>
                          </a:prstGeom>
                          <a:solidFill>
                            <a:srgbClr val="FFFFFF">
                              <a:alpha val="0"/>
                            </a:srgbClr>
                          </a:solidFill>
                          <a:ln>
                            <a:noFill/>
                          </a:ln>
                        </wps:spPr>
                        <wps:txbx>
                          <w:txbxContent>
                            <w:p w14:paraId="55B6A7B1">
                              <w:pPr>
                                <w:pStyle w:val="421"/>
                                <w:bidi w:val="0"/>
                                <w:ind w:left="0" w:leftChars="0" w:firstLine="0" w:firstLineChars="0"/>
                                <w:jc w:val="both"/>
                                <w:rPr>
                                  <w:rFonts w:hint="default" w:eastAsia="宋体"/>
                                  <w:lang w:val="en-US" w:eastAsia="zh-CN"/>
                                </w:rPr>
                              </w:pPr>
                              <w:r>
                                <w:rPr>
                                  <w:rFonts w:hint="eastAsia" w:eastAsia="宋体"/>
                                  <w:lang w:val="en-US" w:eastAsia="zh-CN"/>
                                </w:rPr>
                                <w:t>加氢机</w:t>
                              </w:r>
                            </w:p>
                          </w:txbxContent>
                        </wps:txbx>
                        <wps:bodyPr vert="horz" wrap="square" lIns="0" tIns="0" rIns="0" bIns="0" anchor="t" anchorCtr="0" upright="1"/>
                      </wps:wsp>
                      <wps:wsp>
                        <wps:cNvPr id="108" name="自选图形 490"/>
                        <wps:cNvCnPr/>
                        <wps:spPr>
                          <a:xfrm>
                            <a:off x="23920" y="732875"/>
                            <a:ext cx="503" cy="0"/>
                          </a:xfrm>
                          <a:prstGeom prst="straightConnector1">
                            <a:avLst/>
                          </a:prstGeom>
                          <a:ln w="9525" cap="flat" cmpd="sng">
                            <a:solidFill>
                              <a:srgbClr val="000000"/>
                            </a:solidFill>
                            <a:prstDash val="dash"/>
                            <a:round/>
                            <a:headEnd type="none" w="med" len="med"/>
                            <a:tailEnd type="triangle" w="med" len="med"/>
                          </a:ln>
                        </wps:spPr>
                        <wps:bodyPr/>
                      </wps:wsp>
                      <wps:wsp>
                        <wps:cNvPr id="109" name="矩形 489"/>
                        <wps:cNvSpPr/>
                        <wps:spPr>
                          <a:xfrm>
                            <a:off x="24497" y="732587"/>
                            <a:ext cx="809" cy="433"/>
                          </a:xfrm>
                          <a:prstGeom prst="rect">
                            <a:avLst/>
                          </a:prstGeom>
                          <a:solidFill>
                            <a:srgbClr val="FFFFFF">
                              <a:alpha val="0"/>
                            </a:srgbClr>
                          </a:solidFill>
                          <a:ln>
                            <a:noFill/>
                          </a:ln>
                        </wps:spPr>
                        <wps:txbx>
                          <w:txbxContent>
                            <w:p w14:paraId="656C2469">
                              <w:pPr>
                                <w:pStyle w:val="421"/>
                                <w:bidi w:val="0"/>
                                <w:ind w:left="0" w:leftChars="0" w:firstLine="0" w:firstLineChars="0"/>
                                <w:jc w:val="both"/>
                                <w:rPr>
                                  <w:rFonts w:hint="default" w:eastAsia="宋体"/>
                                  <w:lang w:val="en-US" w:eastAsia="zh-CN"/>
                                </w:rPr>
                              </w:pPr>
                              <w:r>
                                <w:rPr>
                                  <w:rFonts w:hint="eastAsia"/>
                                  <w:lang w:val="en-US" w:eastAsia="zh-CN"/>
                                </w:rPr>
                                <w:t>S</w:t>
                              </w:r>
                              <w:r>
                                <w:rPr>
                                  <w:rFonts w:hint="eastAsia"/>
                                  <w:vertAlign w:val="subscript"/>
                                  <w:lang w:val="en-US" w:eastAsia="zh-CN"/>
                                </w:rPr>
                                <w:t>6</w:t>
                              </w:r>
                            </w:p>
                          </w:txbxContent>
                        </wps:txbx>
                        <wps:bodyPr vert="horz" wrap="square" lIns="0" tIns="0" rIns="0" bIns="0" anchor="t" anchorCtr="0" upright="1"/>
                      </wps:wsp>
                    </wpg:wgp>
                  </a:graphicData>
                </a:graphic>
              </wp:inline>
            </w:drawing>
          </mc:Choice>
          <mc:Fallback>
            <w:pict>
              <v:group id="组合 59" o:spid="_x0000_s1026" o:spt="203" style="height:512.75pt;width:372.8pt;" coordorigin="19224,725927" coordsize="7456,10255" o:gfxdata="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">
                <o:lock v:ext="edit" aspectratio="f"/>
                <v:rect id="矩形 473" o:spid="_x0000_s1026" o:spt="1" style="position:absolute;left:22534;top:728433;height:433;width:1287;" fillcolor="#FFFFFF" filled="t" stroked="t" coordsize="21600,21600" o:gfxdata="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HZQe/&#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1A334B9B">
                        <w:pPr>
                          <w:pStyle w:val="421"/>
                          <w:bidi w:val="0"/>
                          <w:ind w:left="0" w:leftChars="0" w:firstLine="0" w:firstLineChars="0"/>
                          <w:jc w:val="center"/>
                          <w:rPr>
                            <w:rFonts w:hint="default" w:eastAsia="宋体"/>
                            <w:lang w:val="en-US" w:eastAsia="zh-CN"/>
                          </w:rPr>
                        </w:pPr>
                        <w:r>
                          <w:rPr>
                            <w:rFonts w:hint="eastAsia" w:eastAsia="宋体"/>
                            <w:lang w:val="en-US" w:eastAsia="zh-CN"/>
                          </w:rPr>
                          <w:t>干燥</w:t>
                        </w:r>
                      </w:p>
                    </w:txbxContent>
                  </v:textbox>
                </v:rect>
                <v:shape id="自选图形 474" o:spid="_x0000_s1026" o:spt="32" type="#_x0000_t32" style="position:absolute;left:23193;top:728875;flip:x;height:432;width:2;" filled="f" stroked="t" coordsize="21600,21600" o:gfxdata="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E6TS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自选图形 474" o:spid="_x0000_s1026" o:spt="32" type="#_x0000_t32" style="position:absolute;left:23210;top:729768;height:394;width:0;" filled="f" stroked="t" coordsize="21600,21600" o:gfxdata="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3Njf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自选图形 474" o:spid="_x0000_s1026" o:spt="32" type="#_x0000_t32" style="position:absolute;left:23263;top:731505;flip:x;height:432;width:2;" filled="f" stroked="t" coordsize="21600,21600" o:gfxdata="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0Kil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矩形 473" o:spid="_x0000_s1026" o:spt="1" style="position:absolute;left:22610;top:731057;height:433;width:1287;" fillcolor="#FFFFFF" filled="t" stroked="t" coordsize="21600,21600" o:gfxdata="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pIZC/&#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6DB0BE37">
                        <w:pPr>
                          <w:pStyle w:val="421"/>
                          <w:bidi w:val="0"/>
                          <w:ind w:left="0" w:leftChars="0" w:firstLine="0" w:firstLineChars="0"/>
                          <w:jc w:val="center"/>
                          <w:rPr>
                            <w:rFonts w:hint="default" w:eastAsia="宋体"/>
                            <w:lang w:val="en-US" w:eastAsia="zh-CN"/>
                          </w:rPr>
                        </w:pPr>
                        <w:r>
                          <w:rPr>
                            <w:rFonts w:hint="eastAsia" w:eastAsia="宋体"/>
                            <w:lang w:val="en-US" w:eastAsia="zh-CN"/>
                          </w:rPr>
                          <w:t>中温转化</w:t>
                        </w:r>
                      </w:p>
                    </w:txbxContent>
                  </v:textbox>
                </v:rect>
                <v:shape id="自选图形 474" o:spid="_x0000_s1026" o:spt="32" type="#_x0000_t32" style="position:absolute;left:23256;top:733245;flip:x;height:432;width:2;" filled="f" stroked="t" coordsize="21600,21600" o:gfxdata="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dZVK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矩形 473" o:spid="_x0000_s1026" o:spt="1" style="position:absolute;left:22605;top:732810;height:433;width:1287;" fillcolor="#FFFFFF" filled="t" stroked="t" coordsize="21600,21600" o:gfxdata="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zBx/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7148DFC0">
                        <w:pPr>
                          <w:pStyle w:val="421"/>
                          <w:bidi w:val="0"/>
                          <w:ind w:left="0" w:leftChars="0" w:firstLine="0" w:firstLineChars="0"/>
                          <w:jc w:val="center"/>
                          <w:rPr>
                            <w:rFonts w:hint="default" w:eastAsia="宋体"/>
                            <w:lang w:val="en-US" w:eastAsia="zh-CN"/>
                          </w:rPr>
                        </w:pPr>
                        <w:r>
                          <w:rPr>
                            <w:rFonts w:hint="eastAsia" w:eastAsia="宋体"/>
                            <w:lang w:val="en-US" w:eastAsia="zh-CN"/>
                          </w:rPr>
                          <w:t>PSA提纯</w:t>
                        </w:r>
                      </w:p>
                    </w:txbxContent>
                  </v:textbox>
                </v:rect>
                <v:rect id="矩形 473" o:spid="_x0000_s1026" o:spt="1" style="position:absolute;left:22592;top:734514;height:433;width:1287;" fillcolor="#FFFFFF" filled="t" stroked="t" coordsize="21600,21600" o:gfxdata="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HoII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2CF7E0DB">
                        <w:pPr>
                          <w:pStyle w:val="421"/>
                          <w:bidi w:val="0"/>
                          <w:ind w:left="0" w:leftChars="0" w:firstLine="0" w:firstLineChars="0"/>
                          <w:jc w:val="center"/>
                          <w:rPr>
                            <w:rFonts w:hint="default" w:eastAsia="宋体"/>
                            <w:lang w:val="en-US" w:eastAsia="zh-CN"/>
                          </w:rPr>
                        </w:pPr>
                        <w:r>
                          <w:rPr>
                            <w:rFonts w:hint="eastAsia" w:eastAsia="宋体"/>
                            <w:lang w:val="en-US" w:eastAsia="zh-CN"/>
                          </w:rPr>
                          <w:t>充装</w:t>
                        </w:r>
                      </w:p>
                    </w:txbxContent>
                  </v:textbox>
                </v:rect>
                <v:shape id="自选图形 474" o:spid="_x0000_s1026" o:spt="32" type="#_x0000_t32" style="position:absolute;left:23227;top:734111;flip:x;height:389;width:8;" filled="f" stroked="t" coordsize="21600,21600" o:gfxdata="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6cLP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自选图形 490" o:spid="_x0000_s1026" o:spt="32" type="#_x0000_t32" style="position:absolute;left:23850;top:730350;height:0;width:503;" filled="f" stroked="t" coordsize="21600,21600" o:gfxdata="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G2kWugAAANs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shape>
                <v:shape id="自选图形 490" o:spid="_x0000_s1026" o:spt="32" type="#_x0000_t32" style="position:absolute;left:23873;top:729567;height:0;width:503;" filled="f" stroked="t" coordsize="21600,21600" o:gfxdata="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8yNvQAA&#10;ANs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shape id="自选图形 490" o:spid="_x0000_s1026" o:spt="32" type="#_x0000_t32" style="position:absolute;left:23937;top:731288;height:0;width:503;" filled="f" stroked="t" coordsize="21600,21600" o:gfxdata="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u08825AAAA2w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shape>
                <v:shape id="自选图形 490" o:spid="_x0000_s1026" o:spt="32" type="#_x0000_t32" style="position:absolute;left:23906;top:733237;height:0;width:503;" filled="f" stroked="t" coordsize="21600,21600" o:gfxdata="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srMoL4A&#10;AADbAAAADwAAAAAAAAABACAAAAAiAAAAZHJzL2Rvd25yZXYueG1sUEsBAhQAFAAAAAgAh07iQDMv&#10;BZ47AAAAOQAAABAAAAAAAAAAAQAgAAAADQEAAGRycy9zaGFwZXhtbC54bWxQSwUGAAAAAAYABgBb&#10;AQAAtwMAAAAA&#10;">
                  <v:fill on="f" focussize="0,0"/>
                  <v:stroke color="#F79646" joinstyle="round" dashstyle="dash" endarrow="block"/>
                  <v:imagedata o:title=""/>
                  <o:lock v:ext="edit" aspectratio="f"/>
                </v:shape>
                <v:rect id="矩形 489" o:spid="_x0000_s1026" o:spt="1" style="position:absolute;left:24543;top:731937;height:433;width:809;" fillcolor="#FFFFFF" filled="t" stroked="f" coordsize="21600,21600" o:gfxdata="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6OXTvQAA&#10;ANs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3E2009B7">
                        <w:pPr>
                          <w:pStyle w:val="421"/>
                          <w:bidi w:val="0"/>
                          <w:ind w:left="0" w:leftChars="0" w:firstLine="0" w:firstLineChars="0"/>
                          <w:jc w:val="both"/>
                          <w:rPr>
                            <w:rFonts w:hint="default" w:eastAsia="宋体"/>
                            <w:lang w:val="en-US" w:eastAsia="zh-CN"/>
                          </w:rPr>
                        </w:pPr>
                        <w:r>
                          <w:rPr>
                            <w:rFonts w:hint="eastAsia"/>
                            <w:lang w:val="en-US" w:eastAsia="zh-CN"/>
                          </w:rPr>
                          <w:t>N</w:t>
                        </w:r>
                        <w:r>
                          <w:rPr>
                            <w:rFonts w:hint="eastAsia"/>
                            <w:vertAlign w:val="subscript"/>
                            <w:lang w:val="en-US" w:eastAsia="zh-CN"/>
                          </w:rPr>
                          <w:t>3</w:t>
                        </w:r>
                      </w:p>
                    </w:txbxContent>
                  </v:textbox>
                </v:rect>
                <v:rect id="矩形 489" o:spid="_x0000_s1026" o:spt="1" style="position:absolute;left:23870;top:726738;height:433;width:1893;" fillcolor="#FFFFFF" filled="t" stroked="f" coordsize="21600,21600" o:gfxdata="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pEBIvQAA&#10;ANs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6437CAD9">
                        <w:pPr>
                          <w:pStyle w:val="421"/>
                          <w:bidi w:val="0"/>
                          <w:jc w:val="both"/>
                          <w:rPr>
                            <w:rFonts w:hint="default" w:eastAsia="宋体"/>
                            <w:vertAlign w:val="baseline"/>
                            <w:lang w:val="en-US" w:eastAsia="zh-CN"/>
                          </w:rPr>
                        </w:pPr>
                        <w:r>
                          <w:rPr>
                            <w:rFonts w:hint="eastAsia"/>
                            <w:lang w:val="en-US" w:eastAsia="zh-CN"/>
                          </w:rPr>
                          <w:t>S</w:t>
                        </w:r>
                        <w:r>
                          <w:rPr>
                            <w:rFonts w:hint="eastAsia"/>
                            <w:vertAlign w:val="subscript"/>
                            <w:lang w:val="en-US" w:eastAsia="zh-CN"/>
                          </w:rPr>
                          <w:t>1</w:t>
                        </w:r>
                        <w:r>
                          <w:rPr>
                            <w:rFonts w:hint="eastAsia"/>
                            <w:lang w:val="en-US" w:eastAsia="zh-CN"/>
                          </w:rPr>
                          <w:t>、N</w:t>
                        </w:r>
                        <w:r>
                          <w:rPr>
                            <w:rFonts w:hint="eastAsia"/>
                            <w:vertAlign w:val="subscript"/>
                            <w:lang w:val="en-US" w:eastAsia="zh-CN"/>
                          </w:rPr>
                          <w:t>1</w:t>
                        </w:r>
                      </w:p>
                    </w:txbxContent>
                  </v:textbox>
                </v:rect>
                <v:rect id="矩形 489" o:spid="_x0000_s1026" o:spt="1" style="position:absolute;left:24330;top:727455;height:691;width:2350;" fillcolor="#FFFFFF" filled="t" stroked="f" coordsize="21600,21600" o:gfxdata="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KGhHr4A&#10;AADbAAAADwAAAAAAAAABACAAAAAiAAAAZHJzL2Rvd25yZXYueG1sUEsBAhQAFAAAAAgAh07iQDMv&#10;BZ47AAAAOQAAABAAAAAAAAAAAQAgAAAADQEAAGRycy9zaGFwZXhtbC54bWxQSwUGAAAAAAYABgBb&#10;AQAAtwMAAAAA&#10;">
                  <v:fill on="t" opacity="0f" focussize="0,0"/>
                  <v:stroke on="f"/>
                  <v:imagedata o:title=""/>
                  <o:lock v:ext="edit" aspectratio="f"/>
                  <v:textbox>
                    <w:txbxContent>
                      <w:p w14:paraId="434DE485">
                        <w:pPr>
                          <w:pStyle w:val="421"/>
                          <w:bidi w:val="0"/>
                          <w:ind w:left="0" w:leftChars="0" w:firstLine="0" w:firstLineChars="0"/>
                          <w:jc w:val="both"/>
                          <w:rPr>
                            <w:rFonts w:hint="default" w:eastAsia="宋体"/>
                            <w:lang w:val="en-US" w:eastAsia="zh-CN"/>
                          </w:rPr>
                        </w:pPr>
                        <w:r>
                          <w:rPr>
                            <w:rFonts w:hint="eastAsia"/>
                            <w:lang w:val="en-US" w:eastAsia="zh-CN"/>
                          </w:rPr>
                          <w:t>S</w:t>
                        </w:r>
                        <w:r>
                          <w:rPr>
                            <w:rFonts w:hint="eastAsia"/>
                            <w:vertAlign w:val="subscript"/>
                            <w:lang w:val="en-US" w:eastAsia="zh-CN"/>
                          </w:rPr>
                          <w:t>2</w:t>
                        </w:r>
                      </w:p>
                    </w:txbxContent>
                  </v:textbox>
                </v:rect>
                <v:rect id="矩形 469" o:spid="_x0000_s1026" o:spt="1" style="position:absolute;left:22522;top:726728;height:433;width:1287;" fillcolor="#FFFFFF" filled="t" stroked="t" coordsize="21600,21600" o:gfxdata="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FYqi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0671F83A">
                        <w:pPr>
                          <w:pStyle w:val="421"/>
                          <w:bidi w:val="0"/>
                          <w:ind w:left="0" w:leftChars="0" w:firstLine="0" w:firstLineChars="0"/>
                          <w:jc w:val="center"/>
                          <w:rPr>
                            <w:rFonts w:hint="default" w:eastAsia="宋体"/>
                            <w:lang w:val="en-US" w:eastAsia="zh-CN"/>
                          </w:rPr>
                        </w:pPr>
                        <w:r>
                          <w:rPr>
                            <w:rFonts w:hint="eastAsia"/>
                            <w:lang w:val="en-US" w:eastAsia="zh-CN"/>
                          </w:rPr>
                          <w:t>减压除杂</w:t>
                        </w:r>
                      </w:p>
                    </w:txbxContent>
                  </v:textbox>
                </v:rect>
                <v:rect id="矩形 470" o:spid="_x0000_s1026" o:spt="1" style="position:absolute;left:22569;top:725927;height:433;width:1287;" fillcolor="#FFFFFF" filled="t" stroked="f" coordsize="21600,21600" o:gfxdata="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0+PQvQAA&#10;ANs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4717D514">
                        <w:pPr>
                          <w:pStyle w:val="421"/>
                          <w:bidi w:val="0"/>
                          <w:ind w:left="0" w:leftChars="0" w:firstLine="0" w:firstLineChars="0"/>
                          <w:rPr>
                            <w:rFonts w:hint="default"/>
                            <w:lang w:val="en-US"/>
                          </w:rPr>
                        </w:pPr>
                        <w:r>
                          <w:rPr>
                            <w:rFonts w:hint="eastAsia"/>
                            <w:lang w:val="en-US" w:eastAsia="zh-CN"/>
                          </w:rPr>
                          <w:t>净化沼气</w:t>
                        </w:r>
                      </w:p>
                    </w:txbxContent>
                  </v:textbox>
                </v:rect>
                <v:shape id="自选图形 471" o:spid="_x0000_s1026" o:spt="32" type="#_x0000_t32" style="position:absolute;left:23160;top:726279;height:447;width:0;" filled="f" stroked="t" coordsize="21600,21600" o:gfxdata="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g/IT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自选图形 472" o:spid="_x0000_s1026" o:spt="32" type="#_x0000_t32" style="position:absolute;left:23178;top:727171;height:368;width:1;" filled="f" stroked="t" coordsize="21600,21600" o:gfxdata="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5BcP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rect id="矩形 473" o:spid="_x0000_s1026" o:spt="1" style="position:absolute;left:22533;top:727547;height:433;width:1287;" fillcolor="#FFFFFF" filled="t" stroked="t" coordsize="21600,21600" o:gfxdata="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YgKe/&#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05B6A412">
                        <w:pPr>
                          <w:pStyle w:val="421"/>
                          <w:bidi w:val="0"/>
                          <w:ind w:left="0" w:leftChars="0" w:firstLine="0" w:firstLineChars="0"/>
                          <w:jc w:val="center"/>
                          <w:rPr>
                            <w:rFonts w:hint="default" w:eastAsia="宋体"/>
                            <w:lang w:val="en-US" w:eastAsia="zh-CN"/>
                          </w:rPr>
                        </w:pPr>
                        <w:r>
                          <w:rPr>
                            <w:rFonts w:hint="eastAsia" w:eastAsia="宋体"/>
                            <w:lang w:val="en-US" w:eastAsia="zh-CN"/>
                          </w:rPr>
                          <w:t>脱硫</w:t>
                        </w:r>
                      </w:p>
                    </w:txbxContent>
                  </v:textbox>
                </v:rect>
                <v:shape id="自选图形 474" o:spid="_x0000_s1026" o:spt="32" type="#_x0000_t32" style="position:absolute;left:23184;top:727986;height:447;width:0;" filled="f" stroked="t" coordsize="21600,21600" o:gfxdata="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ipqHugAAANsA&#10;AAAPAAAAAAAAAAEAIAAAACIAAABkcnMvZG93bnJldi54bWxQSwECFAAUAAAACACHTuJAMy8FnjsA&#10;AAA5AAAAEAAAAAAAAAABACAAAAAJAQAAZHJzL3NoYXBleG1sLnhtbFBLBQYAAAAABgAGAFsBAACz&#10;AwAAAAA=&#10;">
                  <v:fill on="f" focussize="0,0"/>
                  <v:stroke color="#000000" joinstyle="round" endarrow="block"/>
                  <v:imagedata o:title=""/>
                  <o:lock v:ext="edit" aspectratio="f"/>
                </v:shape>
                <v:shape id="自选图形 488" o:spid="_x0000_s1026" o:spt="32" type="#_x0000_t32" style="position:absolute;left:23843;top:727764;height:0;width:503;" filled="f" stroked="t" coordsize="21600,21600" o:gfxdata="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lJzrvQAA&#10;ANs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shape id="自选图形 490" o:spid="_x0000_s1026" o:spt="32" type="#_x0000_t32" style="position:absolute;left:21603;top:728712;height:0;width:503;" filled="f" stroked="t" coordsize="21600,21600" o:gfxdata="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RgKcvQAA&#10;ANs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shape id="自选图形 488" o:spid="_x0000_s1026" o:spt="32" type="#_x0000_t32" style="position:absolute;left:23843;top:726968;height:0;width:503;" filled="f" stroked="t" coordsize="21600,21600" o:gfxdata="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CqcHvQAA&#10;ANs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rect id="矩形 473" o:spid="_x0000_s1026" o:spt="1" style="position:absolute;left:22558;top:729326;height:433;width:1287;" fillcolor="#FFFFFF" filled="t" stroked="t" coordsize="21600,21600" o:gfxdata="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NeWE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7F83AA79">
                        <w:pPr>
                          <w:pStyle w:val="421"/>
                          <w:bidi w:val="0"/>
                          <w:ind w:left="0" w:leftChars="0" w:firstLine="0" w:firstLineChars="0"/>
                          <w:jc w:val="center"/>
                          <w:rPr>
                            <w:rFonts w:hint="default" w:eastAsia="宋体"/>
                            <w:lang w:val="en-US" w:eastAsia="zh-CN"/>
                          </w:rPr>
                        </w:pPr>
                        <w:r>
                          <w:rPr>
                            <w:rFonts w:hint="eastAsia" w:eastAsia="宋体"/>
                            <w:lang w:val="en-US" w:eastAsia="zh-CN"/>
                          </w:rPr>
                          <w:t>混合</w:t>
                        </w:r>
                      </w:p>
                    </w:txbxContent>
                  </v:textbox>
                </v:rect>
                <v:shape id="自选图形 474" o:spid="_x0000_s1026" o:spt="32" type="#_x0000_t32" style="position:absolute;left:23213;top:730617;flip:x;height:432;width:2;" filled="f" stroked="t" coordsize="21600,21600" o:gfxdata="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xssb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rect id="矩形 473" o:spid="_x0000_s1026" o:spt="1" style="position:absolute;left:22566;top:730170;height:433;width:1287;" fillcolor="#FFFFFF" filled="t" stroked="t" coordsize="21600,21600" o:gfxdata="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q95o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inset="0mm,0mm,0mm,0mm">
                    <w:txbxContent>
                      <w:p w14:paraId="55FBD344">
                        <w:pPr>
                          <w:pStyle w:val="421"/>
                          <w:bidi w:val="0"/>
                          <w:ind w:left="0" w:leftChars="0" w:firstLine="0" w:firstLineChars="0"/>
                          <w:jc w:val="center"/>
                          <w:rPr>
                            <w:rFonts w:hint="default" w:eastAsia="宋体"/>
                            <w:lang w:val="en-US" w:eastAsia="zh-CN"/>
                          </w:rPr>
                        </w:pPr>
                        <w:r>
                          <w:rPr>
                            <w:rFonts w:hint="eastAsia" w:eastAsia="宋体"/>
                            <w:lang w:val="en-US" w:eastAsia="zh-CN"/>
                          </w:rPr>
                          <w:t>重整转换</w:t>
                        </w:r>
                      </w:p>
                    </w:txbxContent>
                  </v:textbox>
                </v:rect>
                <v:rect id="矩形 473" o:spid="_x0000_s1026" o:spt="1" style="position:absolute;left:22625;top:731936;height:433;width:1287;" fillcolor="#FFFFFF" filled="t" stroked="t" coordsize="21600,21600" o:gfxdata="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bne/O/&#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7F73EFA0">
                        <w:pPr>
                          <w:pStyle w:val="421"/>
                          <w:bidi w:val="0"/>
                          <w:ind w:left="0" w:leftChars="0" w:firstLine="0" w:firstLineChars="0"/>
                          <w:jc w:val="center"/>
                          <w:rPr>
                            <w:rFonts w:hint="default" w:eastAsia="宋体"/>
                            <w:lang w:val="en-US" w:eastAsia="zh-CN"/>
                          </w:rPr>
                        </w:pPr>
                        <w:r>
                          <w:rPr>
                            <w:rFonts w:hint="eastAsia" w:eastAsia="宋体"/>
                            <w:lang w:val="en-US" w:eastAsia="zh-CN"/>
                          </w:rPr>
                          <w:t>气水分离</w:t>
                        </w:r>
                      </w:p>
                    </w:txbxContent>
                  </v:textbox>
                </v:rect>
                <v:shape id="自选图形 474" o:spid="_x0000_s1026" o:spt="32" type="#_x0000_t32" style="position:absolute;left:23257;top:732378;flip:x;height:432;width:2;" filled="f" stroked="t" coordsize="21600,21600" o:gfxdata="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Y3DL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rect id="矩形 473" o:spid="_x0000_s1026" o:spt="1" style="position:absolute;left:22614;top:733675;height:433;width:1287;" fillcolor="#FFFFFF" filled="t" stroked="t" coordsize="21600,21600" o:gfxdata="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g0Shq/&#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5700E7ED">
                        <w:pPr>
                          <w:pStyle w:val="421"/>
                          <w:bidi w:val="0"/>
                          <w:ind w:left="0" w:leftChars="0" w:firstLine="0" w:firstLineChars="0"/>
                          <w:jc w:val="center"/>
                          <w:rPr>
                            <w:rFonts w:hint="default" w:eastAsia="宋体"/>
                            <w:lang w:val="en-US" w:eastAsia="zh-CN"/>
                          </w:rPr>
                        </w:pPr>
                        <w:r>
                          <w:rPr>
                            <w:rFonts w:hint="eastAsia" w:eastAsia="宋体"/>
                            <w:lang w:val="en-US" w:eastAsia="zh-CN"/>
                          </w:rPr>
                          <w:t>暂存</w:t>
                        </w:r>
                      </w:p>
                    </w:txbxContent>
                  </v:textbox>
                </v:rect>
                <v:rect id="矩形 489" o:spid="_x0000_s1026" o:spt="1" style="position:absolute;left:24417;top:730118;height:433;width:626;" fillcolor="#FFFFFF" filled="t" stroked="f" coordsize="21600,21600" o:gfxdata="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7Dgl+5AAAA2wAA&#10;AA8AAAAAAAAAAQAgAAAAIgAAAGRycy9kb3ducmV2LnhtbFBLAQIUABQAAAAIAIdO4kAzLwWeOwAA&#10;ADkAAAAQAAAAAAAAAAEAIAAAAAgBAABkcnMvc2hhcGV4bWwueG1sUEsFBgAAAAAGAAYAWwEAALID&#10;AAAAAA==&#10;">
                  <v:fill on="t" opacity="0f" focussize="0,0"/>
                  <v:stroke on="f"/>
                  <v:imagedata o:title=""/>
                  <o:lock v:ext="edit" aspectratio="f"/>
                  <v:textbox inset="0mm,0mm,0mm,0mm">
                    <w:txbxContent>
                      <w:p w14:paraId="6ED587A9">
                        <w:pPr>
                          <w:pStyle w:val="421"/>
                          <w:bidi w:val="0"/>
                          <w:ind w:left="0" w:leftChars="0" w:firstLine="0" w:firstLineChars="0"/>
                          <w:jc w:val="both"/>
                          <w:rPr>
                            <w:rFonts w:hint="default" w:eastAsia="宋体"/>
                            <w:lang w:val="en-US" w:eastAsia="zh-CN"/>
                          </w:rPr>
                        </w:pPr>
                        <w:r>
                          <w:rPr>
                            <w:rFonts w:hint="eastAsia"/>
                            <w:lang w:val="en-US" w:eastAsia="zh-CN"/>
                          </w:rPr>
                          <w:t>S</w:t>
                        </w:r>
                        <w:r>
                          <w:rPr>
                            <w:rFonts w:hint="eastAsia"/>
                            <w:vertAlign w:val="subscript"/>
                            <w:lang w:val="en-US" w:eastAsia="zh-CN"/>
                          </w:rPr>
                          <w:t>4、</w:t>
                        </w:r>
                        <w:r>
                          <w:rPr>
                            <w:rFonts w:hint="eastAsia"/>
                            <w:vertAlign w:val="baseline"/>
                            <w:lang w:val="en-US" w:eastAsia="zh-CN"/>
                          </w:rPr>
                          <w:t>G</w:t>
                        </w:r>
                        <w:r>
                          <w:rPr>
                            <w:rFonts w:hint="eastAsia"/>
                            <w:vertAlign w:val="subscript"/>
                            <w:lang w:val="en-US" w:eastAsia="zh-CN"/>
                          </w:rPr>
                          <w:t>2</w:t>
                        </w:r>
                      </w:p>
                    </w:txbxContent>
                  </v:textbox>
                </v:rect>
                <v:rect id="矩形 489" o:spid="_x0000_s1026" o:spt="1" style="position:absolute;left:24459;top:729321;height:433;width:809;" fillcolor="#FFFFFF" filled="t" stroked="f" coordsize="21600,21600" o:gfxdata="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GPJ8S8AAAA&#10;2w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2956A9AE">
                        <w:pPr>
                          <w:pStyle w:val="421"/>
                          <w:bidi w:val="0"/>
                          <w:ind w:left="0" w:leftChars="0" w:firstLine="0" w:firstLineChars="0"/>
                          <w:jc w:val="both"/>
                          <w:rPr>
                            <w:rFonts w:hint="default" w:eastAsia="宋体"/>
                            <w:lang w:val="en-US" w:eastAsia="zh-CN"/>
                          </w:rPr>
                        </w:pPr>
                        <w:r>
                          <w:rPr>
                            <w:rFonts w:hint="eastAsia"/>
                            <w:lang w:val="en-US" w:eastAsia="zh-CN"/>
                          </w:rPr>
                          <w:t>N</w:t>
                        </w:r>
                        <w:r>
                          <w:rPr>
                            <w:rFonts w:hint="eastAsia"/>
                            <w:vertAlign w:val="subscript"/>
                            <w:lang w:val="en-US" w:eastAsia="zh-CN"/>
                          </w:rPr>
                          <w:t>2</w:t>
                        </w:r>
                      </w:p>
                    </w:txbxContent>
                  </v:textbox>
                </v:rect>
                <v:shape id="自选图形 490" o:spid="_x0000_s1026" o:spt="32" type="#_x0000_t32" style="position:absolute;left:23945;top:732163;height:0;width:503;" filled="f" stroked="t" coordsize="21600,21600" o:gfxdata="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5RBvQAA&#10;ANs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rect id="矩形 489" o:spid="_x0000_s1026" o:spt="1" style="position:absolute;left:24467;top:731053;height:433;width:809;" fillcolor="#FFFFFF" filled="t" stroked="f" coordsize="21600,21600" o:gfxdata="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4RHCi8AAAA&#10;2w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34842A37">
                        <w:pPr>
                          <w:pStyle w:val="421"/>
                          <w:bidi w:val="0"/>
                          <w:ind w:left="0" w:leftChars="0" w:firstLine="0" w:firstLineChars="0"/>
                          <w:jc w:val="both"/>
                          <w:rPr>
                            <w:rFonts w:hint="default" w:eastAsia="宋体"/>
                            <w:lang w:val="en-US" w:eastAsia="zh-CN"/>
                          </w:rPr>
                        </w:pPr>
                        <w:r>
                          <w:rPr>
                            <w:rFonts w:hint="eastAsia"/>
                            <w:lang w:val="en-US" w:eastAsia="zh-CN"/>
                          </w:rPr>
                          <w:t>S</w:t>
                        </w:r>
                        <w:r>
                          <w:rPr>
                            <w:rFonts w:hint="eastAsia"/>
                            <w:vertAlign w:val="subscript"/>
                            <w:lang w:val="en-US" w:eastAsia="zh-CN"/>
                          </w:rPr>
                          <w:t>5</w:t>
                        </w:r>
                      </w:p>
                    </w:txbxContent>
                  </v:textbox>
                </v:rect>
                <v:rect id="矩形 489" o:spid="_x0000_s1026" o:spt="1" style="position:absolute;left:24450;top:732895;height:879;width:1001;" fillcolor="#FFFFFF" filled="t" stroked="f" coordsize="21600,21600" o:gfxdata="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4hFy8AAAA&#10;2w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711D4AE0">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both"/>
                          <w:textAlignment w:val="baseline"/>
                          <w:rPr>
                            <w:rFonts w:hint="default" w:eastAsia="宋体"/>
                            <w:lang w:val="en-US" w:eastAsia="zh-CN"/>
                          </w:rPr>
                        </w:pPr>
                        <w:r>
                          <w:rPr>
                            <w:rFonts w:hint="eastAsia" w:eastAsia="宋体"/>
                            <w:lang w:val="en-US" w:eastAsia="zh-CN"/>
                          </w:rPr>
                          <w:t>G3</w:t>
                        </w:r>
                      </w:p>
                      <w:p w14:paraId="019D61E2">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both"/>
                          <w:textAlignment w:val="baseline"/>
                          <w:rPr>
                            <w:rFonts w:hint="eastAsia" w:eastAsia="宋体"/>
                            <w:lang w:val="en-US" w:eastAsia="zh-CN"/>
                          </w:rPr>
                        </w:pPr>
                        <w:r>
                          <w:rPr>
                            <w:rFonts w:hint="eastAsia" w:eastAsia="宋体"/>
                            <w:lang w:val="en-US" w:eastAsia="zh-CN"/>
                          </w:rPr>
                          <w:t>解吸气</w:t>
                        </w:r>
                      </w:p>
                    </w:txbxContent>
                  </v:textbox>
                </v:rect>
                <v:rect id="矩形 470" o:spid="_x0000_s1026" o:spt="1" style="position:absolute;left:20774;top:726782;height:433;width:897;" fillcolor="#FFFFFF" filled="t" stroked="f" coordsize="21600,21600" o:gfxdata="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60Ice8AAAA&#10;2w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77530E48">
                        <w:pPr>
                          <w:pStyle w:val="421"/>
                          <w:bidi w:val="0"/>
                          <w:ind w:left="0" w:leftChars="0" w:firstLine="0" w:firstLineChars="0"/>
                          <w:rPr>
                            <w:rFonts w:hint="default"/>
                            <w:lang w:val="en-US"/>
                          </w:rPr>
                        </w:pPr>
                        <w:r>
                          <w:rPr>
                            <w:rFonts w:hint="eastAsia"/>
                            <w:lang w:val="en-US" w:eastAsia="zh-CN"/>
                          </w:rPr>
                          <w:t>自来水</w:t>
                        </w:r>
                      </w:p>
                    </w:txbxContent>
                  </v:textbox>
                </v:rect>
                <v:shape id="自选图形 471" o:spid="_x0000_s1026" o:spt="32" type="#_x0000_t32" style="position:absolute;left:21180;top:727164;height:447;width:0;" filled="f" stroked="t" coordsize="21600,21600" o:gfxdata="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L2MbW/&#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rect id="矩形 469" o:spid="_x0000_s1026" o:spt="1" style="position:absolute;left:20677;top:727628;height:433;width:912;" fillcolor="#FFFFFF" filled="t" stroked="t" coordsize="21600,21600" o:gfxdata="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7S6/&#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725493D8">
                        <w:pPr>
                          <w:pStyle w:val="421"/>
                          <w:bidi w:val="0"/>
                          <w:ind w:left="0" w:leftChars="0" w:firstLine="0" w:firstLineChars="0"/>
                          <w:jc w:val="center"/>
                          <w:rPr>
                            <w:rFonts w:hint="default" w:eastAsia="宋体"/>
                            <w:lang w:val="en-US" w:eastAsia="zh-CN"/>
                          </w:rPr>
                        </w:pPr>
                        <w:r>
                          <w:rPr>
                            <w:rFonts w:hint="eastAsia"/>
                            <w:lang w:val="en-US" w:eastAsia="zh-CN"/>
                          </w:rPr>
                          <w:t>除盐</w:t>
                        </w:r>
                      </w:p>
                    </w:txbxContent>
                  </v:textbox>
                </v:rect>
                <v:shape id="自选图形 471" o:spid="_x0000_s1026" o:spt="32" type="#_x0000_t32" style="position:absolute;left:21135;top:728079;height:447;width:0;" filled="f" stroked="t" coordsize="21600,21600" o:gfxdata="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wlAFy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矩形 469" o:spid="_x0000_s1026" o:spt="1" style="position:absolute;left:20677;top:728513;height:433;width:912;" fillcolor="#FFFFFF" filled="t" stroked="t" coordsize="21600,21600" o:gfxdata="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3t3Me/&#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3BD33FD6">
                        <w:pPr>
                          <w:pStyle w:val="421"/>
                          <w:bidi w:val="0"/>
                          <w:ind w:left="0" w:leftChars="0" w:firstLine="0" w:firstLineChars="0"/>
                          <w:jc w:val="center"/>
                          <w:rPr>
                            <w:rFonts w:hint="default" w:eastAsia="宋体"/>
                            <w:lang w:val="en-US" w:eastAsia="zh-CN"/>
                          </w:rPr>
                        </w:pPr>
                        <w:r>
                          <w:rPr>
                            <w:rFonts w:hint="eastAsia"/>
                            <w:lang w:val="en-US" w:eastAsia="zh-CN"/>
                          </w:rPr>
                          <w:t>除氧</w:t>
                        </w:r>
                      </w:p>
                    </w:txbxContent>
                  </v:textbox>
                </v:rect>
                <v:shape id="自选图形 471" o:spid="_x0000_s1026" o:spt="32" type="#_x0000_t32" style="position:absolute;left:21165;top:728949;height:447;width:0;" filled="f" stroked="t" coordsize="21600,21600" o:gfxdata="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GfH2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矩形 469" o:spid="_x0000_s1026" o:spt="1" style="position:absolute;left:20432;top:729378;height:433;width:1443;" fillcolor="#FFFFFF" filled="t" stroked="t" coordsize="21600,21600" o:gfxdata="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6g5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1E0CE419">
                        <w:pPr>
                          <w:pStyle w:val="421"/>
                          <w:bidi w:val="0"/>
                          <w:ind w:left="0" w:leftChars="0" w:firstLine="0" w:firstLineChars="0"/>
                          <w:jc w:val="center"/>
                          <w:rPr>
                            <w:rFonts w:hint="default" w:eastAsia="宋体"/>
                            <w:lang w:val="en-US" w:eastAsia="zh-CN"/>
                          </w:rPr>
                        </w:pPr>
                        <w:r>
                          <w:rPr>
                            <w:rFonts w:hint="eastAsia"/>
                            <w:lang w:val="en-US" w:eastAsia="zh-CN"/>
                          </w:rPr>
                          <w:t>蒸汽发生器除氧</w:t>
                        </w:r>
                      </w:p>
                    </w:txbxContent>
                  </v:textbox>
                </v:rect>
                <v:shape id="自选图形 471" o:spid="_x0000_s1026" o:spt="32" type="#_x0000_t32" style="position:absolute;left:21875;top:729595;height:3;width:682;" filled="f" stroked="t" coordsize="21600,21600" o:gfxdata="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GEeR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471" o:spid="_x0000_s1026" o:spt="32" type="#_x0000_t32" style="position:absolute;left:21855;top:730344;height:4;width:717;" filled="f" stroked="t" coordsize="21600,21600" o:gfxdata="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qgWxe/&#10;AAAA2wAAAA8AAAAAAAAAAQAgAAAAIgAAAGRycy9kb3ducmV2LnhtbFBLAQIUABQAAAAIAIdO4kAz&#10;LwWeOwAAADkAAAAQAAAAAAAAAAEAIAAAAA4BAABkcnMvc2hhcGV4bWwueG1sUEsFBgAAAAAGAAYA&#10;WwEAALgDAAAAAA==&#10;">
                  <v:fill on="f" focussize="0,0"/>
                  <v:stroke color="#FF0000" joinstyle="round" dashstyle="dash" endarrow="block"/>
                  <v:imagedata o:title=""/>
                  <o:lock v:ext="edit" aspectratio="f"/>
                </v:shape>
                <v:rect id="矩形 470" o:spid="_x0000_s1026" o:spt="1" style="position:absolute;left:20100;top:730112;height:433;width:1855;" fillcolor="#FFFFFF" filled="t" stroked="f" coordsize="21600,21600" o:gfxdata="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Qt9Hu8AAAA&#10;2w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19FE0074">
                        <w:pPr>
                          <w:pStyle w:val="421"/>
                          <w:bidi w:val="0"/>
                          <w:ind w:left="0" w:leftChars="0" w:firstLine="0" w:firstLineChars="0"/>
                          <w:rPr>
                            <w:rFonts w:hint="default" w:eastAsia="宋体"/>
                            <w:lang w:val="en-US" w:eastAsia="zh-CN"/>
                          </w:rPr>
                        </w:pPr>
                        <w:r>
                          <w:rPr>
                            <w:rFonts w:hint="eastAsia"/>
                            <w:lang w:val="en-US" w:eastAsia="zh-CN"/>
                          </w:rPr>
                          <w:t>沼气燃烧供热</w:t>
                        </w:r>
                      </w:p>
                    </w:txbxContent>
                  </v:textbox>
                </v:rect>
                <v:line id="直线 228" o:spid="_x0000_s1026" o:spt="20" style="position:absolute;left:19706;top:732024;flip:x;height:8;width:2896;" filled="f" stroked="t" coordsize="21600,21600" o:gfxdata="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HWQKvQAA&#10;ANsAAAAPAAAAAAAAAAEAIAAAACIAAABkcnMvZG93bnJldi54bWxQSwECFAAUAAAACACHTuJAMy8F&#10;njsAAAA5AAAAEAAAAAAAAAABACAAAAAMAQAAZHJzL3NoYXBleG1sLnhtbFBLBQYAAAAABgAGAFsB&#10;AAC2AwAAAAA=&#10;">
                  <v:fill on="f" focussize="0,0"/>
                  <v:stroke color="#FF0000" joinstyle="miter" dashstyle="dash"/>
                  <v:imagedata o:title=""/>
                  <o:lock v:ext="edit" aspectratio="f"/>
                </v:line>
                <v:line id="直线 229" o:spid="_x0000_s1026" o:spt="20" style="position:absolute;left:19707;top:729590;flip:y;height:2471;width:9;" filled="f" stroked="t" coordsize="21600,21600" o:gfxdata="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M/6fb4A&#10;AADbAAAADwAAAAAAAAABACAAAAAiAAAAZHJzL2Rvd25yZXYueG1sUEsBAhQAFAAAAAgAh07iQDMv&#10;BZ47AAAAOQAAABAAAAAAAAAAAQAgAAAADQEAAGRycy9zaGFwZXhtbC54bWxQSwUGAAAAAAYABgBb&#10;AQAAtwMAAAAA&#10;">
                  <v:fill on="f" focussize="0,0"/>
                  <v:stroke color="#FF0000" joinstyle="miter" dashstyle="dash"/>
                  <v:imagedata o:title=""/>
                  <o:lock v:ext="edit" aspectratio="f"/>
                </v:line>
                <v:shape id="自选图形 471" o:spid="_x0000_s1026" o:spt="32" type="#_x0000_t32" style="position:absolute;left:19713;top:729588;height:7;width:719;" filled="f" stroked="t" coordsize="21600,21600" o:gfxdata="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bXRS/&#10;AAAA2wAAAA8AAAAAAAAAAQAgAAAAIgAAAGRycy9kb3ducmV2LnhtbFBLAQIUABQAAAAIAIdO4kAz&#10;LwWeOwAAADkAAAAQAAAAAAAAAAEAIAAAAA4BAABkcnMvc2hhcGV4bWwueG1sUEsFBgAAAAAGAAYA&#10;WwEAALgDAAAAAA==&#10;">
                  <v:fill on="f" focussize="0,0"/>
                  <v:stroke color="#FF0000" joinstyle="round" dashstyle="dash" endarrow="block"/>
                  <v:imagedata o:title=""/>
                  <o:lock v:ext="edit" aspectratio="f"/>
                </v:shape>
                <v:rect id="矩形 470" o:spid="_x0000_s1026" o:spt="1" style="position:absolute;left:20025;top:731649;height:433;width:1855;" fillcolor="#FFFFFF" filled="t" stroked="f" coordsize="21600,21600" o:gfxdata="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lYP5+twAAANsAAAAP&#10;AAAAAAAAAAEAIAAAACIAAABkcnMvZG93bnJldi54bWxQSwECFAAUAAAACACHTuJAMy8FnjsAAAA5&#10;AAAAEAAAAAAAAAABACAAAAAGAQAAZHJzL3NoYXBleG1sLnhtbFBLBQYAAAAABgAGAFsBAACwAwAA&#10;AAA=&#10;">
                  <v:fill on="t" opacity="0f" focussize="0,0"/>
                  <v:stroke on="f"/>
                  <v:imagedata o:title=""/>
                  <o:lock v:ext="edit" aspectratio="f"/>
                  <v:textbox inset="0mm,0mm,0mm,0mm">
                    <w:txbxContent>
                      <w:p w14:paraId="16555133">
                        <w:pPr>
                          <w:pStyle w:val="421"/>
                          <w:bidi w:val="0"/>
                          <w:ind w:left="0" w:leftChars="0" w:firstLine="0" w:firstLineChars="0"/>
                          <w:rPr>
                            <w:rFonts w:hint="default" w:eastAsia="宋体"/>
                            <w:color w:val="FF0000"/>
                            <w:sz w:val="21"/>
                            <w:szCs w:val="21"/>
                            <w:lang w:val="en-US" w:eastAsia="zh-CN"/>
                          </w:rPr>
                        </w:pPr>
                        <w:r>
                          <w:rPr>
                            <w:rFonts w:hint="eastAsia"/>
                            <w:color w:val="FF0000"/>
                            <w:sz w:val="21"/>
                            <w:szCs w:val="21"/>
                            <w:lang w:val="en-US" w:eastAsia="zh-CN"/>
                          </w:rPr>
                          <w:t>余热回收</w:t>
                        </w:r>
                      </w:p>
                    </w:txbxContent>
                  </v:textbox>
                </v:rect>
                <v:shape id="自选图形 471" o:spid="_x0000_s1026" o:spt="32" type="#_x0000_t32" style="position:absolute;left:23856;top:730607;flip:x y;height:2;width:2801;" filled="f" stroked="t" coordsize="21600,21600" o:gfxdata="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72z74A&#10;AADbAAAADwAAAAAAAAABACAAAAAiAAAAZHJzL2Rvd25yZXYueG1sUEsBAhQAFAAAAAgAh07iQDMv&#10;BZ47AAAAOQAAABAAAAAAAAAAAQAgAAAADQEAAGRycy9zaGFwZXhtbC54bWxQSwUGAAAAAAYABgBb&#10;AQAAtwMAAAAA&#10;">
                  <v:fill on="f" focussize="0,0"/>
                  <v:stroke color="#F79646" joinstyle="round" dashstyle="dash" endarrow="block"/>
                  <v:imagedata o:title=""/>
                  <o:lock v:ext="edit" aspectratio="f"/>
                </v:shape>
                <v:shape id="自选图形 490" o:spid="_x0000_s1026" o:spt="32" type="#_x0000_t32" style="position:absolute;left:25289;top:733370;flip:y;height:2;width:1350;" filled="f" stroked="t" coordsize="21600,21600" o:gfxdata="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dAvsugAAANsA&#10;AAAPAAAAAAAAAAEAIAAAACIAAABkcnMvZG93bnJldi54bWxQSwECFAAUAAAACACHTuJAMy8FnjsA&#10;AAA5AAAAEAAAAAAAAAABACAAAAAJAQAAZHJzL3NoYXBleG1sLnhtbFBLBQYAAAAABgAGAFsBAACz&#10;AwAAAAA=&#10;">
                  <v:fill on="f" focussize="0,0"/>
                  <v:stroke color="#F79646" joinstyle="round" dashstyle="dash" startarrowlength="short"/>
                  <v:imagedata o:title=""/>
                  <o:lock v:ext="edit" aspectratio="f"/>
                </v:shape>
                <v:shape id="自选图形 490" o:spid="_x0000_s1026" o:spt="32" type="#_x0000_t32" style="position:absolute;left:26622;top:730591;height:2796;width:1;" filled="f" stroked="t" coordsize="21600,21600" o:gfxdata="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YqZNvQAA&#10;ANsAAAAPAAAAAAAAAAEAIAAAACIAAABkcnMvZG93bnJldi54bWxQSwECFAAUAAAACACHTuJAMy8F&#10;njsAAAA5AAAAEAAAAAAAAAABACAAAAAMAQAAZHJzL3NoYXBleG1sLnhtbFBLBQYAAAAABgAGAFsB&#10;AAC2AwAAAAA=&#10;">
                  <v:fill on="f" focussize="0,0"/>
                  <v:stroke color="#F79646" joinstyle="round" dashstyle="dash" startarrowlength="short"/>
                  <v:imagedata o:title=""/>
                  <o:lock v:ext="edit" aspectratio="f"/>
                </v:shape>
                <v:rect id="矩形 470" o:spid="_x0000_s1026" o:spt="1" style="position:absolute;left:25426;top:732960;height:433;width:1162;" fillcolor="#FFFFFF" filled="t" stroked="f" coordsize="21600,21600" o:gfxdata="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UV9JvQAA&#10;ANs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6FAF9506">
                        <w:pPr>
                          <w:pStyle w:val="421"/>
                          <w:bidi w:val="0"/>
                          <w:ind w:left="0" w:leftChars="0" w:firstLine="0" w:firstLineChars="0"/>
                          <w:rPr>
                            <w:rFonts w:hint="default" w:eastAsia="宋体"/>
                            <w:color w:val="F79646"/>
                            <w:sz w:val="21"/>
                            <w:szCs w:val="21"/>
                            <w:lang w:val="en-US" w:eastAsia="zh-CN"/>
                          </w:rPr>
                        </w:pPr>
                        <w:r>
                          <w:rPr>
                            <w:rFonts w:hint="eastAsia"/>
                            <w:color w:val="F79646"/>
                            <w:sz w:val="21"/>
                            <w:szCs w:val="21"/>
                            <w:lang w:val="en-US" w:eastAsia="zh-CN"/>
                          </w:rPr>
                          <w:t>燃料回收</w:t>
                        </w:r>
                      </w:p>
                    </w:txbxContent>
                  </v:textbox>
                </v:rect>
                <v:line id="直线 237" o:spid="_x0000_s1026" o:spt="20" style="position:absolute;left:19466;top:732146;flip:x y;height:15;width:3122;" filled="f" stroked="t" coordsize="21600,21600" o:gfxdata="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k/pSb4A&#10;AADbAAAADwAAAAAAAAABACAAAAAiAAAAZHJzL2Rvd25yZXYueG1sUEsBAhQAFAAAAAgAh07iQDMv&#10;BZ47AAAAOQAAABAAAAAAAAAAAQAgAAAADQEAAGRycy9zaGFwZXhtbC54bWxQSwUGAAAAAAYABgBb&#10;AQAAtwMAAAAA&#10;">
                  <v:fill on="f" focussize="0,0"/>
                  <v:stroke color="#00B050" joinstyle="miter" dashstyle="dash"/>
                  <v:imagedata o:title=""/>
                  <o:lock v:ext="edit" aspectratio="f"/>
                </v:line>
                <v:line id="直线 238" o:spid="_x0000_s1026" o:spt="20" style="position:absolute;left:19468;top:728702;flip:y;height:3440;width:14;" filled="f" stroked="t" coordsize="21600,21600" o:gfxdata="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t+hsK/&#10;AAAA2wAAAA8AAAAAAAAAAQAgAAAAIgAAAGRycy9kb3ducmV2LnhtbFBLAQIUABQAAAAIAIdO4kAz&#10;LwWeOwAAADkAAAAQAAAAAAAAAAEAIAAAAA4BAABkcnMvc2hhcGV4bWwueG1sUEsFBgAAAAAGAAYA&#10;WwEAALgDAAAAAA==&#10;">
                  <v:fill on="f" focussize="0,0"/>
                  <v:stroke color="#00B050" joinstyle="miter" dashstyle="dash"/>
                  <v:imagedata o:title=""/>
                  <o:lock v:ext="edit" aspectratio="f"/>
                </v:line>
                <v:shape id="自选图形 471" o:spid="_x0000_s1026" o:spt="32" type="#_x0000_t32" style="position:absolute;left:19479;top:728698;height:9;width:1203;" filled="f" stroked="t" coordsize="21600,21600" o:gfxdata="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Jfe6vQAA&#10;ANsAAAAPAAAAAAAAAAEAIAAAACIAAABkcnMvZG93bnJldi54bWxQSwECFAAUAAAACACHTuJAMy8F&#10;njsAAAA5AAAAEAAAAAAAAAABACAAAAAMAQAAZHJzL3NoYXBleG1sLnhtbFBLBQYAAAAABgAGAFsB&#10;AAC2AwAAAAA=&#10;">
                  <v:fill on="f" focussize="0,0"/>
                  <v:stroke color="#00B050" joinstyle="round" dashstyle="dash" endarrow="block"/>
                  <v:imagedata o:title=""/>
                  <o:lock v:ext="edit" aspectratio="f"/>
                </v:shape>
                <v:rect id="矩形 470" o:spid="_x0000_s1026" o:spt="1" style="position:absolute;left:19500;top:728762;height:433;width:1855;" fillcolor="#FFFFFF" filled="t" stroked="f" coordsize="21600,21600" o:gfxdata="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llKvQAA&#10;ANs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7CF464A8">
                        <w:pPr>
                          <w:pStyle w:val="421"/>
                          <w:bidi w:val="0"/>
                          <w:ind w:left="0" w:leftChars="0" w:firstLine="0" w:firstLineChars="0"/>
                          <w:rPr>
                            <w:rFonts w:hint="default" w:eastAsia="宋体"/>
                            <w:color w:val="00B050"/>
                            <w:sz w:val="21"/>
                            <w:szCs w:val="21"/>
                            <w:lang w:val="en-US" w:eastAsia="zh-CN"/>
                          </w:rPr>
                        </w:pPr>
                        <w:r>
                          <w:rPr>
                            <w:rFonts w:hint="eastAsia"/>
                            <w:color w:val="00B050"/>
                            <w:sz w:val="21"/>
                            <w:szCs w:val="21"/>
                            <w:lang w:val="en-US" w:eastAsia="zh-CN"/>
                          </w:rPr>
                          <w:t>冷凝水回收</w:t>
                        </w:r>
                      </w:p>
                    </w:txbxContent>
                  </v:textbox>
                </v:rect>
                <v:shape id="自选图形 488" o:spid="_x0000_s1026" o:spt="32" type="#_x0000_t32" style="position:absolute;left:21638;top:727839;height:0;width:503;" filled="f" stroked="t" coordsize="21600,21600" o:gfxdata="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k0SO8AAAA&#10;2w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shape>
                <v:rect id="矩形 489" o:spid="_x0000_s1026" o:spt="1" style="position:absolute;left:22005;top:727535;height:1032;width:968;" fillcolor="#FFFFFF" filled="t" stroked="f" coordsize="21600,21600" o:gfxdata="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pVEYG2AAAA2wAAAA8A&#10;AAAAAAAAAQAgAAAAIgAAAGRycy9kb3ducmV2LnhtbFBLAQIUABQAAAAIAIdO4kAzLwWeOwAAADkA&#10;AAAQAAAAAAAAAAEAIAAAAAUBAABkcnMvc2hhcGV4bWwueG1sUEsFBgAAAAAGAAYAWwEAAK8DAAAA&#10;AA==&#10;">
                  <v:fill on="t" opacity="0f" focussize="0,0"/>
                  <v:stroke on="f"/>
                  <v:imagedata o:title=""/>
                  <o:lock v:ext="edit" aspectratio="f"/>
                  <v:textbox>
                    <w:txbxContent>
                      <w:p w14:paraId="14910CDF">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both"/>
                          <w:textAlignment w:val="baseline"/>
                          <w:rPr>
                            <w:rFonts w:hint="eastAsia"/>
                            <w:vertAlign w:val="subscript"/>
                            <w:lang w:val="en-US" w:eastAsia="zh-CN"/>
                          </w:rPr>
                        </w:pPr>
                        <w:r>
                          <w:rPr>
                            <w:rFonts w:hint="eastAsia"/>
                            <w:lang w:val="en-US" w:eastAsia="zh-CN"/>
                          </w:rPr>
                          <w:t>S</w:t>
                        </w:r>
                        <w:r>
                          <w:rPr>
                            <w:rFonts w:hint="eastAsia"/>
                            <w:vertAlign w:val="subscript"/>
                            <w:lang w:val="en-US" w:eastAsia="zh-CN"/>
                          </w:rPr>
                          <w:t>3、</w:t>
                        </w:r>
                      </w:p>
                      <w:p w14:paraId="68489B64">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both"/>
                          <w:textAlignment w:val="baseline"/>
                          <w:rPr>
                            <w:rFonts w:hint="default" w:eastAsia="宋体"/>
                            <w:lang w:val="en-US" w:eastAsia="zh-CN"/>
                          </w:rPr>
                        </w:pPr>
                        <w:r>
                          <w:rPr>
                            <w:rFonts w:hint="eastAsia"/>
                            <w:lang w:val="en-US" w:eastAsia="zh-CN"/>
                          </w:rPr>
                          <w:t>W</w:t>
                        </w:r>
                        <w:r>
                          <w:rPr>
                            <w:rFonts w:hint="eastAsia"/>
                            <w:vertAlign w:val="subscript"/>
                            <w:lang w:val="en-US" w:eastAsia="zh-CN"/>
                          </w:rPr>
                          <w:t>1</w:t>
                        </w:r>
                      </w:p>
                    </w:txbxContent>
                  </v:textbox>
                </v:rect>
                <v:rect id="矩形 489" o:spid="_x0000_s1026" o:spt="1" style="position:absolute;left:22107;top:728490;height:433;width:680;" fillcolor="#FFFFFF" filled="t" stroked="f" coordsize="21600,21600" o:gfxdata="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9c04vQAA&#10;ANs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020690EC">
                        <w:pPr>
                          <w:pStyle w:val="421"/>
                          <w:bidi w:val="0"/>
                          <w:ind w:left="0" w:leftChars="0" w:firstLine="0" w:firstLineChars="0"/>
                          <w:jc w:val="both"/>
                          <w:rPr>
                            <w:rFonts w:hint="default" w:eastAsia="宋体"/>
                            <w:lang w:val="en-US" w:eastAsia="zh-CN"/>
                          </w:rPr>
                        </w:pPr>
                        <w:r>
                          <w:rPr>
                            <w:rFonts w:hint="eastAsia" w:eastAsia="宋体"/>
                            <w:lang w:val="en-US" w:eastAsia="zh-CN"/>
                          </w:rPr>
                          <w:t>G</w:t>
                        </w:r>
                        <w:r>
                          <w:rPr>
                            <w:rFonts w:hint="eastAsia" w:eastAsia="宋体"/>
                            <w:vertAlign w:val="subscript"/>
                            <w:lang w:val="en-US" w:eastAsia="zh-CN"/>
                          </w:rPr>
                          <w:t>1</w:t>
                        </w:r>
                      </w:p>
                    </w:txbxContent>
                  </v:textbox>
                </v:rect>
                <v:rect id="矩形 470" o:spid="_x0000_s1026" o:spt="1" style="position:absolute;left:19224;top:732129;height:433;width:2590;" fillcolor="#FFFFFF" filled="t" stroked="f" coordsize="21600,21600" o:gfxdata="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XHCm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31733BFF">
                        <w:pPr>
                          <w:pStyle w:val="421"/>
                          <w:bidi w:val="0"/>
                          <w:ind w:left="0" w:leftChars="0" w:firstLine="0" w:firstLineChars="0"/>
                          <w:jc w:val="both"/>
                          <w:rPr>
                            <w:rFonts w:hint="default" w:eastAsia="宋体"/>
                            <w:color w:val="auto"/>
                            <w:sz w:val="21"/>
                            <w:szCs w:val="21"/>
                            <w:lang w:val="en-US" w:eastAsia="zh-CN"/>
                          </w:rPr>
                        </w:pPr>
                        <w:r>
                          <w:rPr>
                            <w:rFonts w:hint="eastAsia" w:eastAsia="宋体"/>
                            <w:color w:val="auto"/>
                            <w:sz w:val="21"/>
                            <w:szCs w:val="21"/>
                            <w:lang w:val="en-US" w:eastAsia="zh-CN"/>
                          </w:rPr>
                          <w:t>间接循环冷却水系统</w:t>
                        </w:r>
                      </w:p>
                    </w:txbxContent>
                  </v:textbox>
                </v:rect>
                <v:shape id="自选图形 474" o:spid="_x0000_s1026" o:spt="32" type="#_x0000_t32" style="position:absolute;left:21612;top:732351;height:0;width:1022;" filled="f" stroked="t" coordsize="21600,21600" o:gfxdata="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UUOs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shape>
                <v:shape id="自选图形 474" o:spid="_x0000_s1026" o:spt="32" type="#_x0000_t32" style="position:absolute;left:23227;top:734953;flip:x;height:389;width:8;" filled="f" stroked="t" coordsize="21600,21600" o:gfxdata="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eA+FL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line id="直线 247" o:spid="_x0000_s1026" o:spt="20" style="position:absolute;left:21386;top:735305;height:18;width:3531;" filled="f" stroked="t" coordsize="21600,21600" o:gfxdata="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0fra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line>
                <v:shape id="自选图形 474" o:spid="_x0000_s1026" o:spt="32" type="#_x0000_t32" style="position:absolute;left:21379;top:735319;flip:x;height:389;width:8;" filled="f" stroked="t" coordsize="21600,21600" o:gfxdata="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FA/u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474" o:spid="_x0000_s1026" o:spt="32" type="#_x0000_t32" style="position:absolute;left:24910;top:735337;flip:x;height:389;width:8;" filled="f" stroked="t" coordsize="21600,21600" o:gfxdata="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gmmYL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rect id="矩形 489" o:spid="_x0000_s1026" o:spt="1" style="position:absolute;left:20756;top:735750;height:433;width:964;" fillcolor="#FFFFFF" filled="t" stroked="f" coordsize="21600,21600" o:gfxdata="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n5TUm5AAAA3AAA&#10;AA8AAAAAAAAAAQAgAAAAIgAAAGRycy9kb3ducmV2LnhtbFBLAQIUABQAAAAIAIdO4kAzLwWeOwAA&#10;ADkAAAAQAAAAAAAAAAEAIAAAAAgBAABkcnMvc2hhcGV4bWwueG1sUEsFBgAAAAAGAAYAWwEAALID&#10;AAAAAA==&#10;">
                  <v:fill on="t" opacity="0f" focussize="0,0"/>
                  <v:stroke on="f"/>
                  <v:imagedata o:title=""/>
                  <o:lock v:ext="edit" aspectratio="f"/>
                  <v:textbox inset="0mm,0mm,0mm,0mm">
                    <w:txbxContent>
                      <w:p w14:paraId="5FCF0582">
                        <w:pPr>
                          <w:pStyle w:val="421"/>
                          <w:bidi w:val="0"/>
                          <w:ind w:left="0" w:leftChars="0" w:firstLine="0" w:firstLineChars="0"/>
                          <w:jc w:val="both"/>
                          <w:rPr>
                            <w:rFonts w:hint="default" w:eastAsia="宋体"/>
                            <w:lang w:val="en-US" w:eastAsia="zh-CN"/>
                          </w:rPr>
                        </w:pPr>
                        <w:r>
                          <w:rPr>
                            <w:rFonts w:hint="eastAsia" w:eastAsia="宋体"/>
                            <w:lang w:val="en-US" w:eastAsia="zh-CN"/>
                          </w:rPr>
                          <w:t>长管车</w:t>
                        </w:r>
                      </w:p>
                    </w:txbxContent>
                  </v:textbox>
                </v:rect>
                <v:rect id="矩形 489" o:spid="_x0000_s1026" o:spt="1" style="position:absolute;left:24725;top:735750;height:433;width:1001;" fillcolor="#FFFFFF" filled="t" stroked="f" coordsize="21600,21600" o:gfxdata="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rXo0r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55B6A7B1">
                        <w:pPr>
                          <w:pStyle w:val="421"/>
                          <w:bidi w:val="0"/>
                          <w:ind w:left="0" w:leftChars="0" w:firstLine="0" w:firstLineChars="0"/>
                          <w:jc w:val="both"/>
                          <w:rPr>
                            <w:rFonts w:hint="default" w:eastAsia="宋体"/>
                            <w:lang w:val="en-US" w:eastAsia="zh-CN"/>
                          </w:rPr>
                        </w:pPr>
                        <w:r>
                          <w:rPr>
                            <w:rFonts w:hint="eastAsia" w:eastAsia="宋体"/>
                            <w:lang w:val="en-US" w:eastAsia="zh-CN"/>
                          </w:rPr>
                          <w:t>加氢机</w:t>
                        </w:r>
                      </w:p>
                    </w:txbxContent>
                  </v:textbox>
                </v:rect>
                <v:shape id="自选图形 490" o:spid="_x0000_s1026" o:spt="32" type="#_x0000_t32" style="position:absolute;left:23920;top:732875;height:0;width:503;" filled="f" stroked="t" coordsize="21600,21600" o:gfxdata="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a+ox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rect id="矩形 489" o:spid="_x0000_s1026" o:spt="1" style="position:absolute;left:24497;top:732587;height:433;width:809;" fillcolor="#FFFFFF" filled="t" stroked="f" coordsize="21600,21600" o:gfxdata="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GbZO7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656C2469">
                        <w:pPr>
                          <w:pStyle w:val="421"/>
                          <w:bidi w:val="0"/>
                          <w:ind w:left="0" w:leftChars="0" w:firstLine="0" w:firstLineChars="0"/>
                          <w:jc w:val="both"/>
                          <w:rPr>
                            <w:rFonts w:hint="default" w:eastAsia="宋体"/>
                            <w:lang w:val="en-US" w:eastAsia="zh-CN"/>
                          </w:rPr>
                        </w:pPr>
                        <w:r>
                          <w:rPr>
                            <w:rFonts w:hint="eastAsia"/>
                            <w:lang w:val="en-US" w:eastAsia="zh-CN"/>
                          </w:rPr>
                          <w:t>S</w:t>
                        </w:r>
                        <w:r>
                          <w:rPr>
                            <w:rFonts w:hint="eastAsia"/>
                            <w:vertAlign w:val="subscript"/>
                            <w:lang w:val="en-US" w:eastAsia="zh-CN"/>
                          </w:rPr>
                          <w:t>6</w:t>
                        </w:r>
                      </w:p>
                    </w:txbxContent>
                  </v:textbox>
                </v:rect>
                <w10:wrap type="none"/>
                <w10:anchorlock/>
              </v:group>
            </w:pict>
          </mc:Fallback>
        </mc:AlternateContent>
      </w:r>
    </w:p>
    <w:p w14:paraId="078BC697">
      <w:pPr>
        <w:rPr>
          <w:rFonts w:ascii="Times New Roman" w:hAnsi="Times New Roman" w:eastAsia="宋体"/>
          <w:color w:val="auto"/>
          <w:highlight w:val="none"/>
        </w:rPr>
      </w:pPr>
    </w:p>
    <w:p w14:paraId="3405343C">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3</w:t>
      </w:r>
      <w:r>
        <w:rPr>
          <w:rFonts w:ascii="Times New Roman" w:hAnsi="Times New Roman" w:eastAsia="宋体"/>
          <w:b/>
          <w:color w:val="auto"/>
          <w:sz w:val="24"/>
          <w:highlight w:val="none"/>
        </w:rPr>
        <w:t>-1</w:t>
      </w:r>
      <w:r>
        <w:rPr>
          <w:rFonts w:hint="eastAsia"/>
          <w:b/>
          <w:color w:val="auto"/>
          <w:sz w:val="24"/>
          <w:highlight w:val="none"/>
          <w:lang w:val="en-US" w:eastAsia="zh-CN"/>
        </w:rPr>
        <w:t xml:space="preserve">  </w:t>
      </w:r>
      <w:r>
        <w:rPr>
          <w:rFonts w:hint="eastAsia" w:ascii="Times New Roman" w:hAnsi="Times New Roman" w:eastAsia="宋体"/>
          <w:b/>
          <w:color w:val="auto"/>
          <w:sz w:val="24"/>
          <w:highlight w:val="none"/>
          <w:lang w:val="en-US" w:eastAsia="zh-CN"/>
        </w:rPr>
        <w:t>制氢生产工艺流程</w:t>
      </w:r>
      <w:r>
        <w:rPr>
          <w:rFonts w:ascii="Times New Roman" w:hAnsi="Times New Roman" w:eastAsia="宋体"/>
          <w:b/>
          <w:color w:val="auto"/>
          <w:sz w:val="24"/>
          <w:highlight w:val="none"/>
        </w:rPr>
        <w:t>及产污节点</w:t>
      </w:r>
    </w:p>
    <w:p w14:paraId="66F74391">
      <w:pPr>
        <w:snapToGrid w:val="0"/>
        <w:spacing w:line="360" w:lineRule="auto"/>
        <w:rPr>
          <w:rFonts w:ascii="Times New Roman" w:hAnsi="Times New Roman" w:eastAsia="宋体"/>
          <w:b/>
          <w:bCs/>
          <w:color w:val="auto"/>
          <w:sz w:val="24"/>
          <w:szCs w:val="18"/>
          <w:highlight w:val="none"/>
        </w:rPr>
      </w:pPr>
      <w:r>
        <w:rPr>
          <w:rFonts w:hint="eastAsia" w:ascii="Times New Roman" w:hAnsi="Times New Roman" w:eastAsia="宋体"/>
          <w:b/>
          <w:bCs/>
          <w:color w:val="auto"/>
          <w:sz w:val="24"/>
          <w:szCs w:val="18"/>
          <w:highlight w:val="none"/>
          <w:lang w:val="en-US" w:eastAsia="zh-CN"/>
        </w:rPr>
        <w:t>制氢</w:t>
      </w:r>
      <w:r>
        <w:rPr>
          <w:rFonts w:ascii="Times New Roman" w:hAnsi="Times New Roman" w:eastAsia="宋体"/>
          <w:b/>
          <w:bCs/>
          <w:color w:val="auto"/>
          <w:sz w:val="24"/>
          <w:szCs w:val="18"/>
          <w:highlight w:val="none"/>
        </w:rPr>
        <w:t>工艺流程简述：</w:t>
      </w:r>
    </w:p>
    <w:p w14:paraId="655FBA2C">
      <w:pPr>
        <w:spacing w:line="360" w:lineRule="auto"/>
        <w:ind w:firstLine="480"/>
        <w:rPr>
          <w:rFonts w:eastAsia="Times New Roman"/>
          <w:color w:val="auto"/>
          <w:sz w:val="24"/>
          <w:highlight w:val="none"/>
          <w:lang w:val="zh-CN"/>
        </w:rPr>
      </w:pPr>
      <w:bookmarkStart w:id="214" w:name="_Toc152922010"/>
      <w:bookmarkStart w:id="215" w:name="_Toc152921645"/>
      <w:bookmarkStart w:id="216" w:name="_Toc152923285"/>
      <w:bookmarkStart w:id="217" w:name="_Toc152922604"/>
      <w:r>
        <w:rPr>
          <w:rFonts w:eastAsia="Times New Roman"/>
          <w:color w:val="auto"/>
          <w:sz w:val="24"/>
          <w:highlight w:val="none"/>
          <w:lang w:val="zh-CN"/>
        </w:rPr>
        <w:t>（1）</w:t>
      </w:r>
      <w:r>
        <w:rPr>
          <w:rFonts w:hint="eastAsia" w:eastAsia="宋体"/>
          <w:color w:val="auto"/>
          <w:sz w:val="24"/>
          <w:highlight w:val="none"/>
          <w:lang w:val="en-US" w:eastAsia="zh-CN"/>
        </w:rPr>
        <w:t>减压除杂</w:t>
      </w:r>
      <w:r>
        <w:rPr>
          <w:rFonts w:eastAsia="Times New Roman"/>
          <w:color w:val="auto"/>
          <w:sz w:val="24"/>
          <w:highlight w:val="none"/>
          <w:lang w:val="zh-CN"/>
        </w:rPr>
        <w:t>：</w:t>
      </w:r>
      <w:r>
        <w:rPr>
          <w:rFonts w:hint="eastAsia" w:eastAsia="宋体"/>
          <w:color w:val="auto"/>
          <w:sz w:val="24"/>
          <w:highlight w:val="none"/>
          <w:lang w:val="en-US" w:eastAsia="zh-CN"/>
        </w:rPr>
        <w:t>外购净化沼气采用长管车运输至站内制氢工艺区CNG卸车位，通过沼气减压撬调整沼气压力，沼气减压撬是一种用于沼气压力调节的集成设备，核心功能是将沼气从高压状态降至低压，满足后续制氢装置使用需求，同时具备安全切断、流量控制等功能，内设过滤器，可去除沼气中颗粒物和水分。</w:t>
      </w:r>
      <w:r>
        <w:rPr>
          <w:rFonts w:eastAsia="Times New Roman"/>
          <w:color w:val="auto"/>
          <w:sz w:val="24"/>
          <w:highlight w:val="none"/>
          <w:lang w:val="zh-CN"/>
        </w:rPr>
        <w:t>此工序主要污染物为</w:t>
      </w:r>
      <w:r>
        <w:rPr>
          <w:rFonts w:hint="eastAsia" w:eastAsia="宋体"/>
          <w:color w:val="auto"/>
          <w:sz w:val="24"/>
          <w:highlight w:val="none"/>
          <w:lang w:val="en-US" w:eastAsia="zh-CN"/>
        </w:rPr>
        <w:t>机械</w:t>
      </w:r>
      <w:r>
        <w:rPr>
          <w:rFonts w:eastAsia="Times New Roman"/>
          <w:color w:val="auto"/>
          <w:sz w:val="24"/>
          <w:highlight w:val="none"/>
          <w:lang w:val="zh-CN"/>
        </w:rPr>
        <w:t>噪声N</w:t>
      </w:r>
      <w:r>
        <w:rPr>
          <w:rFonts w:hint="eastAsia" w:eastAsia="宋体"/>
          <w:color w:val="auto"/>
          <w:sz w:val="24"/>
          <w:highlight w:val="none"/>
          <w:lang w:val="en-US" w:eastAsia="zh-CN"/>
        </w:rPr>
        <w:t>1</w:t>
      </w:r>
      <w:r>
        <w:rPr>
          <w:rFonts w:eastAsia="Times New Roman"/>
          <w:color w:val="auto"/>
          <w:sz w:val="24"/>
          <w:highlight w:val="none"/>
          <w:lang w:val="zh-CN"/>
        </w:rPr>
        <w:t>，废</w:t>
      </w:r>
      <w:r>
        <w:rPr>
          <w:rFonts w:hint="eastAsia" w:eastAsia="宋体"/>
          <w:color w:val="auto"/>
          <w:sz w:val="24"/>
          <w:highlight w:val="none"/>
          <w:lang w:val="en-US" w:eastAsia="zh-CN"/>
        </w:rPr>
        <w:t>过滤介质</w:t>
      </w:r>
      <w:r>
        <w:rPr>
          <w:rFonts w:eastAsia="Times New Roman"/>
          <w:color w:val="auto"/>
          <w:sz w:val="24"/>
          <w:highlight w:val="none"/>
          <w:lang w:val="zh-CN"/>
        </w:rPr>
        <w:t>S</w:t>
      </w:r>
      <w:r>
        <w:rPr>
          <w:rFonts w:hint="eastAsia" w:eastAsia="宋体"/>
          <w:color w:val="auto"/>
          <w:sz w:val="24"/>
          <w:highlight w:val="none"/>
          <w:vertAlign w:val="subscript"/>
          <w:lang w:val="en-US" w:eastAsia="zh-CN"/>
        </w:rPr>
        <w:t>1</w:t>
      </w:r>
      <w:r>
        <w:rPr>
          <w:rFonts w:eastAsia="Times New Roman"/>
          <w:color w:val="auto"/>
          <w:sz w:val="24"/>
          <w:highlight w:val="none"/>
          <w:lang w:val="zh-CN"/>
        </w:rPr>
        <w:t>。</w:t>
      </w:r>
    </w:p>
    <w:p w14:paraId="48788506">
      <w:pPr>
        <w:spacing w:line="360" w:lineRule="auto"/>
        <w:ind w:firstLine="480"/>
        <w:rPr>
          <w:rFonts w:eastAsia="Times New Roman"/>
          <w:color w:val="auto"/>
          <w:sz w:val="24"/>
          <w:highlight w:val="none"/>
          <w:lang w:val="zh-CN"/>
        </w:rPr>
      </w:pPr>
      <w:r>
        <w:rPr>
          <w:rFonts w:eastAsia="Times New Roman"/>
          <w:color w:val="auto"/>
          <w:sz w:val="24"/>
          <w:highlight w:val="none"/>
          <w:lang w:val="zh-CN"/>
        </w:rPr>
        <w:t>（2）</w:t>
      </w:r>
      <w:r>
        <w:rPr>
          <w:rFonts w:hint="eastAsia" w:eastAsia="宋体"/>
          <w:color w:val="auto"/>
          <w:sz w:val="24"/>
          <w:highlight w:val="none"/>
          <w:lang w:val="en-US" w:eastAsia="zh-CN"/>
        </w:rPr>
        <w:t>脱硫</w:t>
      </w:r>
      <w:r>
        <w:rPr>
          <w:rFonts w:eastAsia="Times New Roman"/>
          <w:color w:val="auto"/>
          <w:sz w:val="24"/>
          <w:highlight w:val="none"/>
          <w:lang w:val="zh-CN"/>
        </w:rPr>
        <w:t>：</w:t>
      </w:r>
      <w:r>
        <w:rPr>
          <w:rFonts w:hint="eastAsia" w:eastAsia="宋体"/>
          <w:color w:val="auto"/>
          <w:sz w:val="24"/>
          <w:highlight w:val="none"/>
          <w:lang w:val="en-US" w:eastAsia="zh-CN"/>
        </w:rPr>
        <w:t>进入脱硫部分的沼气经高温转化炉烟气预热段预热升温至380℃左右进入脱硫槽。在脱硫槽中，沼气中硫化氢与氧化锌反应生成固体硫化锌被吸收下来。脱除硫化氢后的气体硫含量小于0.1PPm，进入转化部分。</w:t>
      </w:r>
      <w:r>
        <w:rPr>
          <w:rFonts w:eastAsia="Times New Roman"/>
          <w:color w:val="auto"/>
          <w:sz w:val="24"/>
          <w:highlight w:val="none"/>
          <w:lang w:val="zh-CN"/>
        </w:rPr>
        <w:t>此工序主要污染物为</w:t>
      </w:r>
      <w:r>
        <w:rPr>
          <w:rFonts w:hint="eastAsia" w:eastAsia="宋体"/>
          <w:color w:val="auto"/>
          <w:sz w:val="24"/>
          <w:highlight w:val="none"/>
          <w:lang w:val="en-US" w:eastAsia="zh-CN"/>
        </w:rPr>
        <w:t>废脱硫剂</w:t>
      </w:r>
      <w:r>
        <w:rPr>
          <w:rFonts w:eastAsia="Times New Roman"/>
          <w:color w:val="auto"/>
          <w:sz w:val="24"/>
          <w:highlight w:val="none"/>
          <w:lang w:val="zh-CN"/>
        </w:rPr>
        <w:t>S</w:t>
      </w:r>
      <w:r>
        <w:rPr>
          <w:rFonts w:eastAsia="Times New Roman"/>
          <w:color w:val="auto"/>
          <w:sz w:val="24"/>
          <w:highlight w:val="none"/>
          <w:vertAlign w:val="subscript"/>
          <w:lang w:val="zh-CN"/>
        </w:rPr>
        <w:t>2</w:t>
      </w:r>
      <w:r>
        <w:rPr>
          <w:rFonts w:eastAsia="Times New Roman"/>
          <w:color w:val="auto"/>
          <w:sz w:val="24"/>
          <w:highlight w:val="none"/>
          <w:lang w:val="zh-CN"/>
        </w:rPr>
        <w:t>。</w:t>
      </w:r>
    </w:p>
    <w:p w14:paraId="26FE19A0">
      <w:pPr>
        <w:spacing w:line="360" w:lineRule="auto"/>
        <w:ind w:firstLine="480"/>
        <w:rPr>
          <w:rFonts w:eastAsia="Times New Roman"/>
          <w:color w:val="auto"/>
          <w:sz w:val="24"/>
          <w:highlight w:val="none"/>
          <w:lang w:val="zh-CN"/>
        </w:rPr>
      </w:pPr>
      <w:r>
        <w:rPr>
          <w:rFonts w:eastAsia="Times New Roman"/>
          <w:color w:val="auto"/>
          <w:sz w:val="24"/>
          <w:highlight w:val="none"/>
          <w:lang w:val="zh-CN"/>
        </w:rPr>
        <w:t>（</w:t>
      </w:r>
      <w:r>
        <w:rPr>
          <w:rFonts w:hint="eastAsia" w:eastAsia="宋体"/>
          <w:color w:val="auto"/>
          <w:sz w:val="24"/>
          <w:highlight w:val="none"/>
          <w:lang w:val="en-US" w:eastAsia="zh-CN"/>
        </w:rPr>
        <w:t>3</w:t>
      </w:r>
      <w:r>
        <w:rPr>
          <w:rFonts w:eastAsia="Times New Roman"/>
          <w:color w:val="auto"/>
          <w:sz w:val="24"/>
          <w:highlight w:val="none"/>
          <w:lang w:val="zh-CN"/>
        </w:rPr>
        <w:t>）</w:t>
      </w:r>
      <w:r>
        <w:rPr>
          <w:rFonts w:hint="eastAsia" w:eastAsia="宋体"/>
          <w:color w:val="auto"/>
          <w:sz w:val="24"/>
          <w:highlight w:val="none"/>
          <w:lang w:val="en-US" w:eastAsia="zh-CN"/>
        </w:rPr>
        <w:t>干燥</w:t>
      </w:r>
      <w:r>
        <w:rPr>
          <w:rFonts w:eastAsia="Times New Roman"/>
          <w:color w:val="auto"/>
          <w:sz w:val="24"/>
          <w:highlight w:val="none"/>
          <w:lang w:val="zh-CN"/>
        </w:rPr>
        <w:t>：</w:t>
      </w:r>
      <w:r>
        <w:rPr>
          <w:rFonts w:hint="eastAsia" w:eastAsia="宋体"/>
          <w:color w:val="auto"/>
          <w:sz w:val="24"/>
          <w:highlight w:val="none"/>
          <w:lang w:val="en-US" w:eastAsia="zh-CN"/>
        </w:rPr>
        <w:t>经过脱硫沼气进一步进行干燥去除水分，出口露点≤-20℃，确保无液态水。</w:t>
      </w:r>
    </w:p>
    <w:p w14:paraId="428FED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highlight w:val="none"/>
          <w:lang w:val="en-US" w:eastAsia="zh-CN"/>
        </w:rPr>
      </w:pPr>
      <w:r>
        <w:rPr>
          <w:rFonts w:eastAsia="Times New Roman"/>
          <w:color w:val="auto"/>
          <w:sz w:val="24"/>
          <w:highlight w:val="none"/>
          <w:lang w:val="zh-CN"/>
        </w:rPr>
        <w:t>（</w:t>
      </w:r>
      <w:r>
        <w:rPr>
          <w:rFonts w:hint="eastAsia" w:eastAsia="宋体"/>
          <w:color w:val="auto"/>
          <w:sz w:val="24"/>
          <w:highlight w:val="none"/>
          <w:lang w:val="en-US" w:eastAsia="zh-CN"/>
        </w:rPr>
        <w:t>4</w:t>
      </w:r>
      <w:r>
        <w:rPr>
          <w:rFonts w:eastAsia="Times New Roman"/>
          <w:color w:val="auto"/>
          <w:sz w:val="24"/>
          <w:highlight w:val="none"/>
          <w:lang w:val="zh-CN"/>
        </w:rPr>
        <w:t>）</w:t>
      </w:r>
      <w:r>
        <w:rPr>
          <w:rFonts w:hint="eastAsia" w:eastAsia="宋体"/>
          <w:color w:val="auto"/>
          <w:sz w:val="24"/>
          <w:highlight w:val="none"/>
          <w:lang w:val="en-US" w:eastAsia="zh-CN"/>
        </w:rPr>
        <w:t>混合</w:t>
      </w:r>
      <w:r>
        <w:rPr>
          <w:rFonts w:eastAsia="Times New Roman"/>
          <w:color w:val="auto"/>
          <w:sz w:val="24"/>
          <w:highlight w:val="none"/>
          <w:lang w:val="zh-CN"/>
        </w:rPr>
        <w:t>：</w:t>
      </w:r>
      <w:r>
        <w:rPr>
          <w:rFonts w:hint="eastAsia" w:eastAsia="宋体"/>
          <w:color w:val="auto"/>
          <w:sz w:val="24"/>
          <w:highlight w:val="none"/>
          <w:lang w:val="en-US" w:eastAsia="zh-CN"/>
        </w:rPr>
        <w:t>外部产生脱盐水经除氧后进入余热蒸汽发生器，除氧所需热能来自中温转化余热回收，产生蒸汽与净化处理后沼气混合，净化处理后沼气</w:t>
      </w:r>
      <w:r>
        <w:rPr>
          <w:rFonts w:hint="eastAsia" w:eastAsia="Times New Roman"/>
          <w:color w:val="auto"/>
          <w:sz w:val="24"/>
          <w:highlight w:val="none"/>
          <w:lang w:val="zh-CN"/>
        </w:rPr>
        <w:t>按水碳比3与水蒸气混合</w:t>
      </w:r>
      <w:r>
        <w:rPr>
          <w:rFonts w:hint="eastAsia" w:eastAsia="宋体"/>
          <w:color w:val="auto"/>
          <w:sz w:val="24"/>
          <w:highlight w:val="none"/>
          <w:lang w:val="en-US" w:eastAsia="zh-CN"/>
        </w:rPr>
        <w:t>。</w:t>
      </w:r>
      <w:r>
        <w:rPr>
          <w:rFonts w:eastAsia="Times New Roman"/>
          <w:color w:val="auto"/>
          <w:sz w:val="24"/>
          <w:highlight w:val="none"/>
          <w:lang w:val="zh-CN"/>
        </w:rPr>
        <w:t>此工序</w:t>
      </w:r>
      <w:r>
        <w:rPr>
          <w:rFonts w:hint="eastAsia" w:eastAsia="宋体"/>
          <w:color w:val="auto"/>
          <w:sz w:val="24"/>
          <w:highlight w:val="none"/>
          <w:lang w:val="en-US" w:eastAsia="zh-CN"/>
        </w:rPr>
        <w:t>机械</w:t>
      </w:r>
      <w:r>
        <w:rPr>
          <w:rFonts w:eastAsia="Times New Roman"/>
          <w:color w:val="auto"/>
          <w:sz w:val="24"/>
          <w:highlight w:val="none"/>
          <w:lang w:val="zh-CN"/>
        </w:rPr>
        <w:t>噪声N</w:t>
      </w:r>
      <w:r>
        <w:rPr>
          <w:rFonts w:hint="eastAsia" w:eastAsia="宋体"/>
          <w:color w:val="auto"/>
          <w:sz w:val="24"/>
          <w:highlight w:val="none"/>
          <w:lang w:val="en-US" w:eastAsia="zh-CN"/>
        </w:rPr>
        <w:t>2、除氧过程产生除氧废气（G1）、除盐过后产生浓水W1、废过滤材料S3。</w:t>
      </w:r>
    </w:p>
    <w:p w14:paraId="5144A0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highlight w:val="none"/>
          <w:lang w:val="zh-CN" w:eastAsia="zh-CN"/>
        </w:rPr>
      </w:pPr>
      <w:r>
        <w:rPr>
          <w:rFonts w:eastAsia="Times New Roman"/>
          <w:color w:val="auto"/>
          <w:sz w:val="24"/>
          <w:highlight w:val="none"/>
          <w:lang w:val="zh-CN"/>
        </w:rPr>
        <w:t>（</w:t>
      </w:r>
      <w:r>
        <w:rPr>
          <w:rFonts w:hint="eastAsia" w:eastAsia="宋体"/>
          <w:color w:val="auto"/>
          <w:sz w:val="24"/>
          <w:highlight w:val="none"/>
          <w:lang w:val="en-US" w:eastAsia="zh-CN"/>
        </w:rPr>
        <w:t>5</w:t>
      </w:r>
      <w:r>
        <w:rPr>
          <w:rFonts w:eastAsia="Times New Roman"/>
          <w:color w:val="auto"/>
          <w:sz w:val="24"/>
          <w:highlight w:val="none"/>
          <w:lang w:val="zh-CN"/>
        </w:rPr>
        <w:t>）</w:t>
      </w:r>
      <w:r>
        <w:rPr>
          <w:rFonts w:hint="eastAsia" w:eastAsia="宋体"/>
          <w:color w:val="auto"/>
          <w:sz w:val="24"/>
          <w:highlight w:val="none"/>
          <w:lang w:val="en-US" w:eastAsia="zh-CN"/>
        </w:rPr>
        <w:t>重整转换：净化处理后沼气</w:t>
      </w:r>
      <w:r>
        <w:rPr>
          <w:rFonts w:hint="eastAsia" w:eastAsia="Times New Roman"/>
          <w:color w:val="auto"/>
          <w:sz w:val="24"/>
          <w:highlight w:val="none"/>
          <w:lang w:val="zh-CN"/>
        </w:rPr>
        <w:t>按水碳比3与水蒸气混合，再经</w:t>
      </w:r>
      <w:r>
        <w:rPr>
          <w:rFonts w:hint="eastAsia" w:eastAsia="宋体"/>
          <w:color w:val="auto"/>
          <w:sz w:val="24"/>
          <w:highlight w:val="none"/>
          <w:lang w:val="en-US" w:eastAsia="zh-CN"/>
        </w:rPr>
        <w:t>高温</w:t>
      </w:r>
      <w:r>
        <w:rPr>
          <w:rFonts w:hint="eastAsia" w:eastAsia="Times New Roman"/>
          <w:color w:val="auto"/>
          <w:sz w:val="24"/>
          <w:highlight w:val="none"/>
          <w:lang w:val="zh-CN"/>
        </w:rPr>
        <w:t>转化炉对流段加热至</w:t>
      </w:r>
      <w:r>
        <w:rPr>
          <w:rFonts w:hint="eastAsia" w:eastAsia="宋体"/>
          <w:color w:val="auto"/>
          <w:sz w:val="24"/>
          <w:highlight w:val="none"/>
          <w:lang w:val="en-US" w:eastAsia="zh-CN"/>
        </w:rPr>
        <w:t>7</w:t>
      </w:r>
      <w:r>
        <w:rPr>
          <w:rFonts w:hint="eastAsia" w:eastAsia="Times New Roman"/>
          <w:color w:val="auto"/>
          <w:sz w:val="24"/>
          <w:highlight w:val="none"/>
          <w:lang w:val="zh-CN"/>
        </w:rPr>
        <w:t>00℃左右，进入转化炉辐射段。</w:t>
      </w:r>
      <w:r>
        <w:rPr>
          <w:rFonts w:hint="eastAsia" w:eastAsia="宋体"/>
          <w:color w:val="auto"/>
          <w:sz w:val="24"/>
          <w:highlight w:val="none"/>
          <w:lang w:val="en-US" w:eastAsia="zh-CN"/>
        </w:rPr>
        <w:t>高温</w:t>
      </w:r>
      <w:r>
        <w:rPr>
          <w:rFonts w:hint="eastAsia" w:eastAsia="Times New Roman"/>
          <w:color w:val="auto"/>
          <w:sz w:val="24"/>
          <w:highlight w:val="none"/>
          <w:lang w:val="zh-CN"/>
        </w:rPr>
        <w:t>转化炉</w:t>
      </w:r>
      <w:r>
        <w:rPr>
          <w:rFonts w:hint="eastAsia" w:eastAsia="宋体"/>
          <w:color w:val="auto"/>
          <w:sz w:val="24"/>
          <w:highlight w:val="none"/>
          <w:lang w:val="en-US" w:eastAsia="zh-CN"/>
        </w:rPr>
        <w:t>所需热能来自于解吸气燃烧和沼气燃烧功能。沼气</w:t>
      </w:r>
      <w:r>
        <w:rPr>
          <w:rFonts w:hint="eastAsia" w:eastAsia="Times New Roman"/>
          <w:color w:val="auto"/>
          <w:sz w:val="24"/>
          <w:highlight w:val="none"/>
          <w:lang w:val="zh-CN"/>
        </w:rPr>
        <w:t>在转化催化剂的作用下，发生复杂的水蒸气转化反应，从而生产出氢气、甲烷、一氧化碳、二氧化碳和水的平衡混合物。主要反应有：</w:t>
      </w:r>
    </w:p>
    <w:p w14:paraId="3AA6541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eastAsia" w:eastAsia="宋体"/>
          <w:color w:val="auto"/>
          <w:sz w:val="24"/>
          <w:highlight w:val="none"/>
          <w:vertAlign w:val="baseline"/>
          <w:lang w:val="en-US" w:eastAsia="zh-CN"/>
        </w:rPr>
      </w:pPr>
      <w:r>
        <w:rPr>
          <w:rFonts w:hint="eastAsia" w:eastAsia="宋体"/>
          <w:color w:val="auto"/>
          <w:sz w:val="24"/>
          <w:highlight w:val="none"/>
          <w:lang w:val="en-US" w:eastAsia="zh-CN"/>
        </w:rPr>
        <w:t>CnHm+nH</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O=nCO+(n+m/2)H</w:t>
      </w:r>
      <w:r>
        <w:rPr>
          <w:rFonts w:hint="eastAsia" w:eastAsia="宋体"/>
          <w:color w:val="auto"/>
          <w:sz w:val="24"/>
          <w:highlight w:val="none"/>
          <w:vertAlign w:val="subscript"/>
          <w:lang w:val="en-US" w:eastAsia="zh-CN"/>
        </w:rPr>
        <w:t xml:space="preserve">2     </w:t>
      </w:r>
      <w:r>
        <w:rPr>
          <w:rFonts w:hint="eastAsia" w:eastAsia="宋体"/>
          <w:color w:val="auto"/>
          <w:sz w:val="24"/>
          <w:highlight w:val="none"/>
          <w:vertAlign w:val="baseline"/>
          <w:lang w:val="en-US" w:eastAsia="zh-CN"/>
        </w:rPr>
        <w:t>①</w:t>
      </w:r>
    </w:p>
    <w:p w14:paraId="5E7ECD5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eastAsia" w:eastAsia="宋体"/>
          <w:color w:val="auto"/>
          <w:sz w:val="24"/>
          <w:highlight w:val="none"/>
          <w:lang w:val="en-US" w:eastAsia="zh-CN"/>
        </w:rPr>
      </w:pPr>
      <w:r>
        <w:rPr>
          <w:rFonts w:hint="eastAsia" w:eastAsia="宋体"/>
          <w:color w:val="auto"/>
          <w:sz w:val="24"/>
          <w:highlight w:val="none"/>
          <w:lang w:val="en-US" w:eastAsia="zh-CN"/>
        </w:rPr>
        <w:t>CO+3H</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=CH</w:t>
      </w:r>
      <w:r>
        <w:rPr>
          <w:rFonts w:hint="eastAsia" w:eastAsia="宋体"/>
          <w:color w:val="auto"/>
          <w:sz w:val="24"/>
          <w:highlight w:val="none"/>
          <w:vertAlign w:val="subscript"/>
          <w:lang w:val="en-US" w:eastAsia="zh-CN"/>
        </w:rPr>
        <w:t>4</w:t>
      </w:r>
      <w:r>
        <w:rPr>
          <w:rFonts w:hint="eastAsia" w:eastAsia="宋体"/>
          <w:color w:val="auto"/>
          <w:sz w:val="24"/>
          <w:highlight w:val="none"/>
          <w:lang w:val="en-US" w:eastAsia="zh-CN"/>
        </w:rPr>
        <w:t>+H</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 xml:space="preserve">O             </w:t>
      </w:r>
      <w:r>
        <w:rPr>
          <w:rFonts w:hint="eastAsia" w:eastAsia="宋体"/>
          <w:color w:val="auto"/>
          <w:sz w:val="24"/>
          <w:highlight w:val="none"/>
          <w:vertAlign w:val="baseline"/>
          <w:lang w:val="en-US" w:eastAsia="zh-CN"/>
        </w:rPr>
        <w:t>②</w:t>
      </w:r>
    </w:p>
    <w:p w14:paraId="17F5F86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default" w:eastAsia="宋体"/>
          <w:color w:val="auto"/>
          <w:sz w:val="24"/>
          <w:highlight w:val="none"/>
          <w:lang w:val="en-US" w:eastAsia="zh-CN"/>
        </w:rPr>
      </w:pPr>
      <w:r>
        <w:rPr>
          <w:rFonts w:hint="eastAsia" w:eastAsia="宋体"/>
          <w:color w:val="auto"/>
          <w:sz w:val="24"/>
          <w:highlight w:val="none"/>
          <w:lang w:val="en-US" w:eastAsia="zh-CN"/>
        </w:rPr>
        <w:t>CO+H</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O=CO</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+H</w:t>
      </w:r>
      <w:r>
        <w:rPr>
          <w:rFonts w:hint="eastAsia" w:eastAsia="宋体"/>
          <w:color w:val="auto"/>
          <w:sz w:val="24"/>
          <w:highlight w:val="none"/>
          <w:vertAlign w:val="subscript"/>
          <w:lang w:val="en-US" w:eastAsia="zh-CN"/>
        </w:rPr>
        <w:t xml:space="preserve">2                     </w:t>
      </w:r>
      <w:r>
        <w:rPr>
          <w:rFonts w:hint="eastAsia" w:eastAsia="宋体"/>
          <w:color w:val="auto"/>
          <w:sz w:val="24"/>
          <w:highlight w:val="none"/>
          <w:vertAlign w:val="baseline"/>
          <w:lang w:val="en-US" w:eastAsia="zh-CN"/>
        </w:rPr>
        <w:t>③</w:t>
      </w:r>
    </w:p>
    <w:p w14:paraId="5752FC3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Times New Roman"/>
          <w:color w:val="auto"/>
          <w:sz w:val="24"/>
          <w:highlight w:val="none"/>
          <w:lang w:val="zh-CN"/>
        </w:rPr>
      </w:pPr>
      <w:r>
        <w:rPr>
          <w:rFonts w:hint="eastAsia" w:eastAsia="Times New Roman"/>
          <w:color w:val="auto"/>
          <w:sz w:val="24"/>
          <w:highlight w:val="none"/>
          <w:lang w:val="zh-CN"/>
        </w:rPr>
        <w:t>以甲烷为主的气态烃，蒸汽转化过程较为简单，主要发生上述反应，最终产品气组成由反应②③平衡决定。</w:t>
      </w:r>
    </w:p>
    <w:p w14:paraId="31B9192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highlight w:val="none"/>
          <w:lang w:val="en-US" w:eastAsia="zh-CN"/>
        </w:rPr>
      </w:pPr>
      <w:r>
        <w:rPr>
          <w:rFonts w:hint="eastAsia" w:eastAsia="Times New Roman"/>
          <w:color w:val="auto"/>
          <w:sz w:val="24"/>
          <w:highlight w:val="none"/>
          <w:lang w:val="zh-CN"/>
        </w:rPr>
        <w:t>烃类水蒸气转化反应是体积增大的强吸热反应，低压、高温、高水碳比有利于上述反应的进行。反应过程所需热量由转化炉顶部的气体燃料烧嘴提供，出转化炉850℃高温转化气经转化气</w:t>
      </w:r>
      <w:r>
        <w:rPr>
          <w:rFonts w:hint="eastAsia" w:eastAsia="宋体"/>
          <w:color w:val="auto"/>
          <w:sz w:val="24"/>
          <w:highlight w:val="none"/>
          <w:lang w:val="en-US" w:eastAsia="zh-CN"/>
        </w:rPr>
        <w:t>与</w:t>
      </w:r>
      <w:r>
        <w:rPr>
          <w:rFonts w:hint="eastAsia" w:eastAsia="Times New Roman"/>
          <w:color w:val="auto"/>
          <w:sz w:val="24"/>
          <w:highlight w:val="none"/>
          <w:lang w:val="zh-CN"/>
        </w:rPr>
        <w:t>蒸汽发生器</w:t>
      </w:r>
      <w:r>
        <w:rPr>
          <w:rFonts w:hint="eastAsia" w:eastAsia="宋体"/>
          <w:color w:val="auto"/>
          <w:sz w:val="24"/>
          <w:highlight w:val="none"/>
          <w:lang w:val="en-US" w:eastAsia="zh-CN"/>
        </w:rPr>
        <w:t>预热器</w:t>
      </w:r>
      <w:r>
        <w:rPr>
          <w:rFonts w:hint="eastAsia" w:eastAsia="Times New Roman"/>
          <w:color w:val="auto"/>
          <w:sz w:val="24"/>
          <w:highlight w:val="none"/>
          <w:lang w:val="zh-CN"/>
        </w:rPr>
        <w:t>换热后，温度降至340℃，进入中温变换部分。</w:t>
      </w:r>
      <w:r>
        <w:rPr>
          <w:rFonts w:eastAsia="Times New Roman"/>
          <w:color w:val="auto"/>
          <w:sz w:val="24"/>
          <w:highlight w:val="none"/>
          <w:lang w:val="zh-CN"/>
        </w:rPr>
        <w:t>此工序</w:t>
      </w:r>
      <w:r>
        <w:rPr>
          <w:rFonts w:hint="eastAsia" w:eastAsia="宋体"/>
          <w:color w:val="auto"/>
          <w:sz w:val="24"/>
          <w:highlight w:val="none"/>
          <w:lang w:val="en-US" w:eastAsia="zh-CN"/>
        </w:rPr>
        <w:t>产生燃烧废气G</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、废催化剂S</w:t>
      </w:r>
      <w:r>
        <w:rPr>
          <w:rFonts w:hint="eastAsia" w:eastAsia="宋体"/>
          <w:color w:val="auto"/>
          <w:sz w:val="24"/>
          <w:highlight w:val="none"/>
          <w:vertAlign w:val="subscript"/>
          <w:lang w:val="en-US" w:eastAsia="zh-CN"/>
        </w:rPr>
        <w:t>4</w:t>
      </w:r>
      <w:r>
        <w:rPr>
          <w:rFonts w:hint="eastAsia" w:eastAsia="宋体"/>
          <w:color w:val="auto"/>
          <w:sz w:val="24"/>
          <w:highlight w:val="none"/>
          <w:lang w:val="en-US" w:eastAsia="zh-CN"/>
        </w:rPr>
        <w:t>。</w:t>
      </w:r>
    </w:p>
    <w:p w14:paraId="4A1DA61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highlight w:val="none"/>
          <w:lang w:val="en-US" w:eastAsia="zh-CN"/>
        </w:rPr>
      </w:pPr>
      <w:r>
        <w:rPr>
          <w:rFonts w:hint="eastAsia" w:eastAsia="宋体"/>
          <w:color w:val="auto"/>
          <w:kern w:val="2"/>
          <w:sz w:val="24"/>
          <w:szCs w:val="22"/>
          <w:highlight w:val="none"/>
          <w:lang w:val="en-US" w:eastAsia="zh-CN" w:bidi="ar-SA"/>
        </w:rPr>
        <w:t>（</w:t>
      </w:r>
      <w:r>
        <w:rPr>
          <w:rFonts w:hint="eastAsia"/>
          <w:color w:val="auto"/>
          <w:kern w:val="2"/>
          <w:sz w:val="24"/>
          <w:szCs w:val="22"/>
          <w:highlight w:val="none"/>
          <w:lang w:val="en-US" w:eastAsia="zh-CN" w:bidi="ar-SA"/>
        </w:rPr>
        <w:t>6</w:t>
      </w:r>
      <w:r>
        <w:rPr>
          <w:rFonts w:hint="eastAsia" w:eastAsia="宋体"/>
          <w:color w:val="auto"/>
          <w:kern w:val="2"/>
          <w:sz w:val="24"/>
          <w:szCs w:val="22"/>
          <w:highlight w:val="none"/>
          <w:lang w:val="en-US" w:eastAsia="zh-CN" w:bidi="ar-SA"/>
        </w:rPr>
        <w:t>）</w:t>
      </w:r>
      <w:r>
        <w:rPr>
          <w:rFonts w:hint="eastAsia" w:eastAsia="宋体"/>
          <w:color w:val="auto"/>
          <w:sz w:val="24"/>
          <w:highlight w:val="none"/>
          <w:lang w:val="en-US" w:eastAsia="zh-CN"/>
        </w:rPr>
        <w:t>中温转化、气水分离</w:t>
      </w:r>
      <w:r>
        <w:rPr>
          <w:rFonts w:eastAsia="Times New Roman"/>
          <w:color w:val="auto"/>
          <w:sz w:val="24"/>
          <w:highlight w:val="none"/>
          <w:lang w:val="zh-CN"/>
        </w:rPr>
        <w:t>：</w:t>
      </w:r>
      <w:r>
        <w:rPr>
          <w:rFonts w:hint="eastAsia" w:eastAsia="宋体"/>
          <w:color w:val="auto"/>
          <w:sz w:val="24"/>
          <w:highlight w:val="none"/>
          <w:lang w:val="en-US" w:eastAsia="zh-CN"/>
        </w:rPr>
        <w:t>转化炉中转化气含10%左右的CO，变换的作用是使CO在催化剂</w:t>
      </w:r>
      <w:r>
        <w:rPr>
          <w:rFonts w:hint="eastAsia"/>
          <w:color w:val="auto"/>
          <w:sz w:val="24"/>
          <w:highlight w:val="none"/>
          <w:lang w:val="en-US" w:eastAsia="zh-CN"/>
        </w:rPr>
        <w:t>（</w:t>
      </w:r>
      <w:r>
        <w:rPr>
          <w:rFonts w:hint="eastAsia" w:eastAsia="宋体"/>
          <w:color w:val="auto"/>
          <w:sz w:val="24"/>
          <w:highlight w:val="none"/>
          <w:lang w:val="en-US" w:eastAsia="zh-CN"/>
        </w:rPr>
        <w:t>Fe2O</w:t>
      </w:r>
      <w:r>
        <w:rPr>
          <w:rFonts w:hint="eastAsia" w:eastAsia="宋体"/>
          <w:color w:val="auto"/>
          <w:sz w:val="24"/>
          <w:highlight w:val="none"/>
          <w:vertAlign w:val="subscript"/>
          <w:lang w:val="en-US" w:eastAsia="zh-CN"/>
        </w:rPr>
        <w:t>3</w:t>
      </w:r>
      <w:r>
        <w:rPr>
          <w:rFonts w:hint="eastAsia" w:eastAsia="宋体"/>
          <w:color w:val="auto"/>
          <w:sz w:val="24"/>
          <w:highlight w:val="none"/>
          <w:lang w:val="en-US" w:eastAsia="zh-CN"/>
        </w:rPr>
        <w:t>，Cr</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O</w:t>
      </w:r>
      <w:r>
        <w:rPr>
          <w:rFonts w:hint="eastAsia" w:eastAsia="宋体"/>
          <w:color w:val="auto"/>
          <w:sz w:val="24"/>
          <w:highlight w:val="none"/>
          <w:vertAlign w:val="subscript"/>
          <w:lang w:val="en-US" w:eastAsia="zh-CN"/>
        </w:rPr>
        <w:t>3</w:t>
      </w:r>
      <w:r>
        <w:rPr>
          <w:rFonts w:hint="eastAsia"/>
          <w:color w:val="auto"/>
          <w:sz w:val="24"/>
          <w:highlight w:val="none"/>
          <w:vertAlign w:val="subscript"/>
          <w:lang w:val="en-US" w:eastAsia="zh-CN"/>
        </w:rPr>
        <w:t>）</w:t>
      </w:r>
      <w:r>
        <w:rPr>
          <w:rFonts w:hint="eastAsia" w:eastAsia="宋体"/>
          <w:color w:val="auto"/>
          <w:sz w:val="24"/>
          <w:highlight w:val="none"/>
          <w:lang w:val="en-US" w:eastAsia="zh-CN"/>
        </w:rPr>
        <w:t>作用下，</w:t>
      </w:r>
      <w:r>
        <w:rPr>
          <w:rFonts w:hint="eastAsia"/>
          <w:color w:val="auto"/>
          <w:sz w:val="24"/>
          <w:highlight w:val="none"/>
          <w:lang w:val="en-US" w:eastAsia="zh-CN"/>
        </w:rPr>
        <w:t>与水蒸气</w:t>
      </w:r>
      <w:r>
        <w:rPr>
          <w:rFonts w:hint="eastAsia" w:eastAsia="宋体"/>
          <w:color w:val="auto"/>
          <w:sz w:val="24"/>
          <w:highlight w:val="none"/>
          <w:lang w:val="en-US" w:eastAsia="zh-CN"/>
        </w:rPr>
        <w:t>反应而生成CO</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和H</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。这样，增加了需要的氢气量。中温变换反应的方程式：</w:t>
      </w:r>
    </w:p>
    <w:p w14:paraId="16227EE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center"/>
        <w:textAlignment w:val="auto"/>
        <w:rPr>
          <w:rFonts w:hint="default" w:eastAsia="宋体"/>
          <w:color w:val="auto"/>
          <w:sz w:val="24"/>
          <w:highlight w:val="none"/>
          <w:lang w:val="en-US" w:eastAsia="zh-CN"/>
        </w:rPr>
      </w:pPr>
      <w:r>
        <w:rPr>
          <w:rFonts w:hint="eastAsia" w:eastAsia="宋体"/>
          <w:color w:val="auto"/>
          <w:sz w:val="24"/>
          <w:highlight w:val="none"/>
          <w:lang w:val="en-US" w:eastAsia="zh-CN"/>
        </w:rPr>
        <w:t>CO+H</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O=CO</w:t>
      </w:r>
      <w:r>
        <w:rPr>
          <w:rFonts w:hint="eastAsia" w:eastAsia="宋体"/>
          <w:color w:val="auto"/>
          <w:sz w:val="24"/>
          <w:highlight w:val="none"/>
          <w:vertAlign w:val="subscript"/>
          <w:lang w:val="en-US" w:eastAsia="zh-CN"/>
        </w:rPr>
        <w:t>2</w:t>
      </w:r>
      <w:r>
        <w:rPr>
          <w:rFonts w:hint="eastAsia" w:eastAsia="宋体"/>
          <w:color w:val="auto"/>
          <w:sz w:val="24"/>
          <w:highlight w:val="none"/>
          <w:lang w:val="en-US" w:eastAsia="zh-CN"/>
        </w:rPr>
        <w:t>+H</w:t>
      </w:r>
      <w:r>
        <w:rPr>
          <w:rFonts w:hint="eastAsia" w:eastAsia="宋体"/>
          <w:color w:val="auto"/>
          <w:sz w:val="24"/>
          <w:highlight w:val="none"/>
          <w:vertAlign w:val="subscript"/>
          <w:lang w:val="en-US" w:eastAsia="zh-CN"/>
        </w:rPr>
        <w:t>2</w:t>
      </w:r>
    </w:p>
    <w:p w14:paraId="143CDA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highlight w:val="none"/>
          <w:lang w:val="en-US" w:eastAsia="zh-CN"/>
        </w:rPr>
      </w:pPr>
      <w:r>
        <w:rPr>
          <w:rFonts w:hint="eastAsia" w:eastAsia="宋体"/>
          <w:color w:val="auto"/>
          <w:sz w:val="24"/>
          <w:highlight w:val="none"/>
          <w:lang w:val="en-US" w:eastAsia="zh-CN"/>
        </w:rPr>
        <w:t>这是一个可逆的放热反应，该反应的发生不需要额外提供热能，选择中温反应兼顾了变换反应的速度和深度。增加过量</w:t>
      </w:r>
      <w:r>
        <w:rPr>
          <w:rFonts w:hint="eastAsia"/>
          <w:color w:val="auto"/>
          <w:sz w:val="24"/>
          <w:highlight w:val="none"/>
          <w:lang w:val="en-US" w:eastAsia="zh-CN"/>
        </w:rPr>
        <w:t>的水蒸气</w:t>
      </w:r>
      <w:r>
        <w:rPr>
          <w:rFonts w:hint="eastAsia" w:eastAsia="宋体"/>
          <w:color w:val="auto"/>
          <w:sz w:val="24"/>
          <w:highlight w:val="none"/>
          <w:lang w:val="en-US" w:eastAsia="zh-CN"/>
        </w:rPr>
        <w:t>，有利于反应向右侧进行。</w:t>
      </w:r>
    </w:p>
    <w:p w14:paraId="6D3141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eastAsia="宋体"/>
          <w:color w:val="auto"/>
          <w:sz w:val="24"/>
          <w:highlight w:val="none"/>
          <w:lang w:val="en-US" w:eastAsia="zh-CN"/>
        </w:rPr>
      </w:pPr>
      <w:r>
        <w:rPr>
          <w:rFonts w:hint="eastAsia" w:eastAsia="宋体"/>
          <w:color w:val="auto"/>
          <w:sz w:val="24"/>
          <w:highlight w:val="none"/>
          <w:lang w:val="en-US" w:eastAsia="zh-CN"/>
        </w:rPr>
        <w:t>将变换气中CO含量降至2</w:t>
      </w:r>
      <w:r>
        <w:rPr>
          <w:rFonts w:hint="eastAsia"/>
          <w:color w:val="auto"/>
          <w:sz w:val="24"/>
          <w:highlight w:val="none"/>
          <w:lang w:val="en-US" w:eastAsia="zh-CN"/>
        </w:rPr>
        <w:t>%～</w:t>
      </w:r>
      <w:r>
        <w:rPr>
          <w:rFonts w:hint="eastAsia" w:eastAsia="宋体"/>
          <w:color w:val="auto"/>
          <w:sz w:val="24"/>
          <w:highlight w:val="none"/>
          <w:lang w:val="en-US" w:eastAsia="zh-CN"/>
        </w:rPr>
        <w:t>3%左右，同时继续生产氢气。中变气经过蒸汽发生器给水换热器、脱盐水预热器进行热交换回收部分余热后，再经水冷却器冷却至40℃，经分水器进行水气分离后进入PSA部分，水气分离产生冷凝水回用于除氧阶段，与除盐水一起再次循环使用。</w:t>
      </w:r>
      <w:r>
        <w:rPr>
          <w:rFonts w:eastAsia="Times New Roman"/>
          <w:color w:val="auto"/>
          <w:sz w:val="24"/>
          <w:highlight w:val="none"/>
          <w:lang w:val="zh-CN"/>
        </w:rPr>
        <w:t>此工序</w:t>
      </w:r>
      <w:r>
        <w:rPr>
          <w:rFonts w:hint="eastAsia" w:eastAsia="宋体"/>
          <w:color w:val="auto"/>
          <w:sz w:val="24"/>
          <w:highlight w:val="none"/>
          <w:lang w:val="en-US" w:eastAsia="zh-CN"/>
        </w:rPr>
        <w:t>产生废催化剂S</w:t>
      </w:r>
      <w:r>
        <w:rPr>
          <w:rFonts w:hint="eastAsia" w:eastAsia="宋体"/>
          <w:color w:val="auto"/>
          <w:sz w:val="24"/>
          <w:highlight w:val="none"/>
          <w:vertAlign w:val="subscript"/>
          <w:lang w:val="en-US" w:eastAsia="zh-CN"/>
        </w:rPr>
        <w:t>5</w:t>
      </w:r>
      <w:r>
        <w:rPr>
          <w:rFonts w:hint="eastAsia" w:eastAsia="宋体"/>
          <w:color w:val="auto"/>
          <w:sz w:val="24"/>
          <w:highlight w:val="none"/>
          <w:lang w:val="en-US" w:eastAsia="zh-CN"/>
        </w:rPr>
        <w:t>。</w:t>
      </w:r>
    </w:p>
    <w:p w14:paraId="4F1AC16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eastAsia="Times New Roman"/>
          <w:color w:val="auto"/>
          <w:sz w:val="24"/>
          <w:highlight w:val="none"/>
          <w:lang w:val="zh-CN"/>
        </w:rPr>
      </w:pPr>
      <w:r>
        <w:rPr>
          <w:rFonts w:eastAsia="Times New Roman"/>
          <w:color w:val="auto"/>
          <w:kern w:val="2"/>
          <w:sz w:val="24"/>
          <w:szCs w:val="22"/>
          <w:highlight w:val="none"/>
          <w:lang w:val="zh-CN" w:eastAsia="zh-CN" w:bidi="ar-SA"/>
        </w:rPr>
        <w:t>（</w:t>
      </w:r>
      <w:r>
        <w:rPr>
          <w:rFonts w:hint="eastAsia" w:eastAsia="Times New Roman"/>
          <w:color w:val="auto"/>
          <w:kern w:val="2"/>
          <w:sz w:val="24"/>
          <w:szCs w:val="22"/>
          <w:highlight w:val="none"/>
          <w:lang w:val="en-US" w:eastAsia="zh-CN" w:bidi="ar-SA"/>
        </w:rPr>
        <w:t>7</w:t>
      </w:r>
      <w:r>
        <w:rPr>
          <w:rFonts w:eastAsia="Times New Roman"/>
          <w:color w:val="auto"/>
          <w:kern w:val="2"/>
          <w:sz w:val="24"/>
          <w:szCs w:val="22"/>
          <w:highlight w:val="none"/>
          <w:lang w:val="zh-CN" w:eastAsia="zh-CN" w:bidi="ar-SA"/>
        </w:rPr>
        <w:t>）</w:t>
      </w:r>
      <w:r>
        <w:rPr>
          <w:rFonts w:hint="eastAsia" w:ascii="Times New Roman" w:hAnsi="Times New Roman" w:eastAsia="Times New Roman" w:cs="Times New Roman"/>
          <w:color w:val="auto"/>
          <w:sz w:val="24"/>
          <w:highlight w:val="none"/>
          <w:lang w:val="zh-CN" w:eastAsia="zh-CN"/>
        </w:rPr>
        <w:t>PSA提纯</w:t>
      </w:r>
      <w:r>
        <w:rPr>
          <w:rFonts w:ascii="Times New Roman" w:hAnsi="Times New Roman" w:eastAsia="Times New Roman" w:cs="Times New Roman"/>
          <w:color w:val="auto"/>
          <w:sz w:val="24"/>
          <w:highlight w:val="none"/>
          <w:lang w:val="zh-CN"/>
        </w:rPr>
        <w:t>：</w:t>
      </w:r>
      <w:r>
        <w:rPr>
          <w:rFonts w:hint="eastAsia" w:ascii="宋体" w:hAnsi="宋体" w:eastAsia="宋体" w:cs="宋体"/>
          <w:b w:val="0"/>
          <w:bCs w:val="0"/>
          <w:color w:val="auto"/>
          <w:sz w:val="24"/>
          <w:szCs w:val="24"/>
          <w:highlight w:val="none"/>
          <w:lang w:val="en-US" w:eastAsia="zh-CN"/>
        </w:rPr>
        <w:t>中温转化后混合气</w:t>
      </w:r>
      <w:r>
        <w:rPr>
          <w:rFonts w:hint="eastAsia" w:ascii="宋体" w:hAnsi="宋体" w:eastAsia="宋体" w:cs="宋体"/>
          <w:b w:val="0"/>
          <w:bCs w:val="0"/>
          <w:color w:val="auto"/>
          <w:sz w:val="24"/>
          <w:szCs w:val="24"/>
          <w:highlight w:val="none"/>
        </w:rPr>
        <w:t>送入变压吸附工段，在其中装填的多种吸附剂（使用寿命</w:t>
      </w:r>
      <w:r>
        <w:rPr>
          <w:rFonts w:ascii="Times New Roman" w:hAnsi="Times New Roman" w:eastAsia="Times New Roman" w:cs="Times New Roman"/>
          <w:b w:val="0"/>
          <w:bCs w:val="0"/>
          <w:color w:val="auto"/>
          <w:sz w:val="24"/>
          <w:szCs w:val="24"/>
          <w:highlight w:val="none"/>
        </w:rPr>
        <w:t>1</w:t>
      </w:r>
      <w:r>
        <w:rPr>
          <w:rFonts w:hint="eastAsia" w:ascii="Times New Roman" w:hAnsi="Times New Roman" w:eastAsia="宋体" w:cs="Times New Roman"/>
          <w:b w:val="0"/>
          <w:bCs w:val="0"/>
          <w:color w:val="auto"/>
          <w:sz w:val="24"/>
          <w:szCs w:val="24"/>
          <w:highlight w:val="none"/>
          <w:lang w:val="en-US" w:eastAsia="zh-CN"/>
        </w:rPr>
        <w:t>5</w:t>
      </w:r>
      <w:r>
        <w:rPr>
          <w:rFonts w:hint="eastAsia" w:ascii="宋体" w:hAnsi="宋体" w:eastAsia="宋体" w:cs="宋体"/>
          <w:b w:val="0"/>
          <w:bCs w:val="0"/>
          <w:color w:val="auto"/>
          <w:sz w:val="24"/>
          <w:szCs w:val="24"/>
          <w:highlight w:val="none"/>
        </w:rPr>
        <w:t>年，由厂家处理）的依次选择吸附作用下，以二氧化碳为主的杂质等组分均被一次性吸附下来，得到产品氢气经产品气缓冲后通过管道送至氢气压缩机压缩，经压缩后的氢气送往氢气充装台充装。解吸气经过解吸气缓冲罐后送往燃烧气缓冲罐并通过管道送往</w:t>
      </w:r>
      <w:r>
        <w:rPr>
          <w:rFonts w:hint="eastAsia" w:ascii="宋体" w:hAnsi="宋体" w:eastAsia="宋体" w:cs="宋体"/>
          <w:b w:val="0"/>
          <w:bCs w:val="0"/>
          <w:color w:val="auto"/>
          <w:sz w:val="24"/>
          <w:szCs w:val="24"/>
          <w:highlight w:val="none"/>
          <w:lang w:val="en-US" w:eastAsia="zh-CN"/>
        </w:rPr>
        <w:t>高温转化炉燃烧嘴燃烧</w:t>
      </w:r>
      <w:r>
        <w:rPr>
          <w:rFonts w:hint="eastAsia" w:eastAsia="宋体"/>
          <w:color w:val="auto"/>
          <w:sz w:val="24"/>
          <w:highlight w:val="none"/>
          <w:lang w:val="en-US" w:eastAsia="zh-CN"/>
        </w:rPr>
        <w:t>。</w:t>
      </w:r>
      <w:r>
        <w:rPr>
          <w:rFonts w:eastAsia="Times New Roman"/>
          <w:color w:val="auto"/>
          <w:sz w:val="24"/>
          <w:highlight w:val="none"/>
          <w:lang w:val="zh-CN"/>
        </w:rPr>
        <w:t>此工序</w:t>
      </w:r>
      <w:r>
        <w:rPr>
          <w:rFonts w:hint="eastAsia" w:eastAsia="宋体"/>
          <w:color w:val="auto"/>
          <w:sz w:val="24"/>
          <w:highlight w:val="none"/>
          <w:lang w:val="en-US" w:eastAsia="zh-CN"/>
        </w:rPr>
        <w:t>产生废吸附剂S</w:t>
      </w:r>
      <w:r>
        <w:rPr>
          <w:rFonts w:hint="eastAsia" w:eastAsia="宋体"/>
          <w:color w:val="auto"/>
          <w:sz w:val="24"/>
          <w:highlight w:val="none"/>
          <w:vertAlign w:val="subscript"/>
          <w:lang w:val="en-US" w:eastAsia="zh-CN"/>
        </w:rPr>
        <w:t>6</w:t>
      </w:r>
      <w:r>
        <w:rPr>
          <w:rFonts w:hint="eastAsia" w:eastAsia="宋体"/>
          <w:color w:val="auto"/>
          <w:sz w:val="24"/>
          <w:highlight w:val="none"/>
          <w:lang w:val="en-US" w:eastAsia="zh-CN"/>
        </w:rPr>
        <w:t>。</w:t>
      </w:r>
    </w:p>
    <w:p w14:paraId="486259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Times New Roman" w:cs="Times New Roman"/>
          <w:color w:val="auto"/>
          <w:sz w:val="24"/>
          <w:highlight w:val="none"/>
          <w:lang w:val="zh-CN"/>
        </w:rPr>
      </w:pPr>
      <w:r>
        <w:rPr>
          <w:rFonts w:ascii="Times New Roman" w:hAnsi="Times New Roman" w:eastAsia="Times New Roman" w:cs="Times New Roman"/>
          <w:color w:val="auto"/>
          <w:sz w:val="24"/>
          <w:highlight w:val="none"/>
          <w:lang w:val="zh-CN"/>
        </w:rPr>
        <w:t>（</w:t>
      </w:r>
      <w:r>
        <w:rPr>
          <w:rFonts w:hint="eastAsia" w:eastAsia="Times New Roman" w:cs="Times New Roman"/>
          <w:color w:val="auto"/>
          <w:sz w:val="24"/>
          <w:highlight w:val="none"/>
          <w:lang w:val="en-US" w:eastAsia="zh-CN"/>
        </w:rPr>
        <w:t>8</w:t>
      </w:r>
      <w:r>
        <w:rPr>
          <w:rFonts w:ascii="Times New Roman" w:hAnsi="Times New Roman" w:eastAsia="Times New Roman" w:cs="Times New Roman"/>
          <w:color w:val="auto"/>
          <w:sz w:val="24"/>
          <w:highlight w:val="none"/>
          <w:lang w:val="zh-CN"/>
        </w:rPr>
        <w:t>）</w:t>
      </w:r>
      <w:r>
        <w:rPr>
          <w:rFonts w:hint="eastAsia" w:ascii="Times New Roman" w:hAnsi="Times New Roman" w:eastAsia="宋体" w:cs="Times New Roman"/>
          <w:color w:val="auto"/>
          <w:sz w:val="24"/>
          <w:highlight w:val="none"/>
          <w:lang w:val="en-US" w:eastAsia="zh-CN"/>
        </w:rPr>
        <w:t>暂存、充装</w:t>
      </w:r>
      <w:r>
        <w:rPr>
          <w:rFonts w:ascii="Times New Roman" w:hAnsi="Times New Roman" w:eastAsia="Times New Roman" w:cs="Times New Roman"/>
          <w:color w:val="auto"/>
          <w:sz w:val="24"/>
          <w:highlight w:val="none"/>
          <w:lang w:val="zh-CN"/>
        </w:rPr>
        <w:t>：</w:t>
      </w:r>
      <w:r>
        <w:rPr>
          <w:rFonts w:hint="eastAsia" w:ascii="Times New Roman" w:hAnsi="Times New Roman" w:eastAsia="Times New Roman" w:cs="Times New Roman"/>
          <w:color w:val="auto"/>
          <w:sz w:val="24"/>
          <w:highlight w:val="none"/>
          <w:lang w:val="zh-CN"/>
        </w:rPr>
        <w:t>氢含量为≥99.</w:t>
      </w:r>
      <w:r>
        <w:rPr>
          <w:rFonts w:hint="eastAsia" w:ascii="Times New Roman" w:hAnsi="Times New Roman" w:eastAsia="宋体" w:cs="Times New Roman"/>
          <w:color w:val="auto"/>
          <w:sz w:val="24"/>
          <w:highlight w:val="none"/>
          <w:lang w:val="en-US" w:eastAsia="zh-CN"/>
        </w:rPr>
        <w:t>9</w:t>
      </w:r>
      <w:r>
        <w:rPr>
          <w:rFonts w:hint="eastAsia" w:ascii="Times New Roman" w:hAnsi="Times New Roman" w:eastAsia="Times New Roman" w:cs="Times New Roman"/>
          <w:color w:val="auto"/>
          <w:sz w:val="24"/>
          <w:highlight w:val="none"/>
          <w:lang w:val="zh-CN"/>
        </w:rPr>
        <w:t>%的原料氢气经过过滤器清除氢气中的灰尘及机械杂质，进入压缩机分级压缩，压缩后进入冷却器分级冷却至常温≤45℃</w:t>
      </w:r>
      <w:r>
        <w:rPr>
          <w:rFonts w:hint="eastAsia" w:eastAsia="Times New Roman" w:cs="Times New Roman"/>
          <w:color w:val="auto"/>
          <w:sz w:val="24"/>
          <w:highlight w:val="none"/>
          <w:lang w:val="zh-CN"/>
        </w:rPr>
        <w:t>，</w:t>
      </w:r>
      <w:r>
        <w:rPr>
          <w:rFonts w:hint="eastAsia" w:ascii="Times New Roman" w:hAnsi="Times New Roman" w:eastAsia="Times New Roman" w:cs="Times New Roman"/>
          <w:color w:val="auto"/>
          <w:sz w:val="24"/>
          <w:highlight w:val="none"/>
          <w:lang w:val="zh-CN"/>
        </w:rPr>
        <w:t>通过阻火器后送入充装系统后分为</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Times New Roman" w:cs="Times New Roman"/>
          <w:color w:val="auto"/>
          <w:sz w:val="24"/>
          <w:highlight w:val="none"/>
          <w:lang w:val="zh-CN"/>
        </w:rPr>
        <w:t>路，1路压缩氢气充装到长管拖车，压力为20.0±0.5MPa；另</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Times New Roman" w:cs="Times New Roman"/>
          <w:color w:val="auto"/>
          <w:sz w:val="24"/>
          <w:highlight w:val="none"/>
          <w:lang w:val="zh-CN"/>
        </w:rPr>
        <w:t>路压缩氢气经汇流排充装到</w:t>
      </w:r>
      <w:r>
        <w:rPr>
          <w:rFonts w:hint="eastAsia" w:ascii="Times New Roman" w:hAnsi="Times New Roman" w:eastAsia="宋体" w:cs="Times New Roman"/>
          <w:color w:val="auto"/>
          <w:sz w:val="24"/>
          <w:highlight w:val="none"/>
          <w:lang w:val="en-US" w:eastAsia="zh-CN"/>
        </w:rPr>
        <w:t>气氢气气瓶瓶组</w:t>
      </w:r>
      <w:r>
        <w:rPr>
          <w:rFonts w:hint="eastAsia" w:ascii="Times New Roman" w:hAnsi="Times New Roman" w:eastAsia="Times New Roman" w:cs="Times New Roman"/>
          <w:color w:val="auto"/>
          <w:sz w:val="24"/>
          <w:highlight w:val="none"/>
          <w:lang w:val="zh-CN"/>
        </w:rPr>
        <w:t>，压力为</w:t>
      </w:r>
      <w:r>
        <w:rPr>
          <w:rFonts w:hint="eastAsia" w:ascii="Times New Roman" w:hAnsi="Times New Roman" w:eastAsia="宋体" w:cs="Times New Roman"/>
          <w:color w:val="auto"/>
          <w:sz w:val="24"/>
          <w:highlight w:val="none"/>
          <w:lang w:val="en-US" w:eastAsia="zh-CN"/>
        </w:rPr>
        <w:t>25</w:t>
      </w:r>
      <w:r>
        <w:rPr>
          <w:rFonts w:hint="eastAsia" w:ascii="Times New Roman" w:hAnsi="Times New Roman" w:eastAsia="Times New Roman" w:cs="Times New Roman"/>
          <w:color w:val="auto"/>
          <w:sz w:val="24"/>
          <w:highlight w:val="none"/>
          <w:lang w:val="zh-CN"/>
        </w:rPr>
        <w:t>MPa</w:t>
      </w:r>
      <w:r>
        <w:rPr>
          <w:rFonts w:hint="eastAsia" w:ascii="Times New Roman" w:hAnsi="Times New Roman" w:eastAsia="宋体" w:cs="Times New Roman"/>
          <w:color w:val="auto"/>
          <w:sz w:val="24"/>
          <w:highlight w:val="none"/>
          <w:lang w:val="en-US" w:eastAsia="zh-CN"/>
        </w:rPr>
        <w:t>/45</w:t>
      </w:r>
      <w:r>
        <w:rPr>
          <w:rFonts w:hint="eastAsia" w:ascii="Times New Roman" w:hAnsi="Times New Roman" w:eastAsia="Times New Roman" w:cs="Times New Roman"/>
          <w:color w:val="auto"/>
          <w:sz w:val="24"/>
          <w:highlight w:val="none"/>
          <w:lang w:val="zh-CN"/>
        </w:rPr>
        <w:t>MPa，</w:t>
      </w:r>
      <w:r>
        <w:rPr>
          <w:rFonts w:hint="eastAsia" w:ascii="Times New Roman" w:hAnsi="Times New Roman" w:eastAsia="宋体" w:cs="Times New Roman"/>
          <w:color w:val="auto"/>
          <w:sz w:val="24"/>
          <w:highlight w:val="none"/>
          <w:lang w:val="en-US" w:eastAsia="zh-CN"/>
        </w:rPr>
        <w:t>瓶组内高压氢气经管道进入加氢机内供汽车加氢使用</w:t>
      </w:r>
      <w:r>
        <w:rPr>
          <w:rFonts w:hint="eastAsia" w:ascii="Times New Roman" w:hAnsi="Times New Roman" w:eastAsia="Times New Roman" w:cs="Times New Roman"/>
          <w:color w:val="auto"/>
          <w:sz w:val="24"/>
          <w:highlight w:val="none"/>
          <w:lang w:val="zh-CN"/>
        </w:rPr>
        <w:t>（注：氢气设备及管道检修后或首次开车必须经氮气置换氮含量达到98%以上为合格）</w:t>
      </w:r>
    </w:p>
    <w:p w14:paraId="6CC20F8D">
      <w:pPr>
        <w:numPr>
          <w:ilvl w:val="0"/>
          <w:numId w:val="0"/>
        </w:numPr>
        <w:spacing w:line="360" w:lineRule="auto"/>
        <w:ind w:firstLine="482" w:firstLineChars="200"/>
        <w:jc w:val="left"/>
        <w:rPr>
          <w:rFonts w:hint="eastAsia" w:ascii="Times New Roman" w:hAnsi="Times New Roman" w:eastAsia="宋体"/>
          <w:b/>
          <w:color w:val="auto"/>
          <w:sz w:val="24"/>
          <w:highlight w:val="none"/>
          <w:lang w:val="en-US" w:eastAsia="zh-CN"/>
        </w:rPr>
      </w:pPr>
      <w:r>
        <w:rPr>
          <w:rFonts w:hint="eastAsia" w:ascii="Times New Roman" w:hAnsi="Times New Roman" w:eastAsia="宋体"/>
          <w:b/>
          <w:color w:val="auto"/>
          <w:kern w:val="2"/>
          <w:sz w:val="24"/>
          <w:szCs w:val="22"/>
          <w:highlight w:val="none"/>
          <w:lang w:val="en-US" w:eastAsia="zh-CN" w:bidi="ar-SA"/>
        </w:rPr>
        <w:t>2、氢气充装</w:t>
      </w:r>
      <w:r>
        <w:rPr>
          <w:rFonts w:hint="eastAsia" w:ascii="Times New Roman" w:hAnsi="Times New Roman" w:eastAsia="宋体"/>
          <w:b/>
          <w:color w:val="auto"/>
          <w:sz w:val="24"/>
          <w:highlight w:val="none"/>
          <w:lang w:val="en-US" w:eastAsia="zh-CN"/>
        </w:rPr>
        <w:t>工艺</w:t>
      </w:r>
    </w:p>
    <w:p w14:paraId="42239C5F">
      <w:pPr>
        <w:numPr>
          <w:ilvl w:val="0"/>
          <w:numId w:val="0"/>
        </w:numPr>
        <w:spacing w:line="360" w:lineRule="auto"/>
        <w:jc w:val="left"/>
        <w:rPr>
          <w:rFonts w:hint="eastAsia" w:ascii="Times New Roman" w:hAnsi="Times New Roman" w:eastAsia="宋体"/>
          <w:b/>
          <w:color w:val="auto"/>
          <w:kern w:val="2"/>
          <w:sz w:val="24"/>
          <w:szCs w:val="22"/>
          <w:highlight w:val="none"/>
          <w:lang w:val="en-US" w:eastAsia="zh-CN" w:bidi="ar-SA"/>
        </w:rPr>
      </w:pPr>
      <w:r>
        <w:rPr>
          <w:color w:val="auto"/>
          <w:sz w:val="24"/>
          <w:highlight w:val="none"/>
        </w:rPr>
        <mc:AlternateContent>
          <mc:Choice Requires="wpg">
            <w:drawing>
              <wp:inline distT="0" distB="0" distL="114300" distR="114300">
                <wp:extent cx="5323205" cy="875665"/>
                <wp:effectExtent l="0" t="0" r="0" b="57785"/>
                <wp:docPr id="136" name="组合 210"/>
                <wp:cNvGraphicFramePr/>
                <a:graphic xmlns:a="http://schemas.openxmlformats.org/drawingml/2006/main">
                  <a:graphicData uri="http://schemas.microsoft.com/office/word/2010/wordprocessingGroup">
                    <wpg:wgp>
                      <wpg:cNvGrpSpPr/>
                      <wpg:grpSpPr>
                        <a:xfrm>
                          <a:off x="0" y="0"/>
                          <a:ext cx="5323205" cy="875665"/>
                          <a:chOff x="15856" y="782281"/>
                          <a:chExt cx="8383" cy="1379"/>
                        </a:xfrm>
                      </wpg:grpSpPr>
                      <wps:wsp>
                        <wps:cNvPr id="114" name="矩形 469"/>
                        <wps:cNvSpPr/>
                        <wps:spPr>
                          <a:xfrm>
                            <a:off x="19097" y="782298"/>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D98FF84">
                              <w:pPr>
                                <w:pStyle w:val="421"/>
                                <w:bidi w:val="0"/>
                                <w:ind w:left="0" w:leftChars="0" w:firstLine="0" w:firstLineChars="0"/>
                                <w:jc w:val="center"/>
                                <w:rPr>
                                  <w:rFonts w:hint="eastAsia" w:eastAsia="宋体"/>
                                  <w:lang w:val="en-US" w:eastAsia="zh-CN"/>
                                </w:rPr>
                              </w:pPr>
                              <w:r>
                                <w:rPr>
                                  <w:rFonts w:hint="eastAsia"/>
                                  <w:lang w:val="en-US" w:eastAsia="zh-CN"/>
                                </w:rPr>
                                <w:t>储氢瓶组</w:t>
                              </w:r>
                            </w:p>
                          </w:txbxContent>
                        </wps:txbx>
                        <wps:bodyPr vert="horz" wrap="square" lIns="0" tIns="0" rIns="0" bIns="0" anchor="t" anchorCtr="0" upright="1"/>
                      </wps:wsp>
                      <wps:wsp>
                        <wps:cNvPr id="115" name="矩形 470"/>
                        <wps:cNvSpPr/>
                        <wps:spPr>
                          <a:xfrm>
                            <a:off x="15856" y="782791"/>
                            <a:ext cx="1512" cy="433"/>
                          </a:xfrm>
                          <a:prstGeom prst="rect">
                            <a:avLst/>
                          </a:prstGeom>
                          <a:solidFill>
                            <a:srgbClr val="FFFFFF">
                              <a:alpha val="0"/>
                            </a:srgbClr>
                          </a:solidFill>
                          <a:ln>
                            <a:noFill/>
                          </a:ln>
                        </wps:spPr>
                        <wps:txbx>
                          <w:txbxContent>
                            <w:p w14:paraId="6FE9DAFC">
                              <w:pPr>
                                <w:pStyle w:val="421"/>
                                <w:bidi w:val="0"/>
                                <w:ind w:left="0" w:leftChars="0" w:firstLine="0" w:firstLineChars="0"/>
                                <w:rPr>
                                  <w:rFonts w:hint="default"/>
                                  <w:lang w:val="en-US"/>
                                </w:rPr>
                              </w:pPr>
                              <w:r>
                                <w:rPr>
                                  <w:rFonts w:hint="eastAsia"/>
                                  <w:lang w:val="en-US" w:eastAsia="zh-CN"/>
                                </w:rPr>
                                <w:t>氢气</w:t>
                              </w:r>
                            </w:p>
                          </w:txbxContent>
                        </wps:txbx>
                        <wps:bodyPr vert="horz" wrap="square" lIns="0" tIns="0" rIns="0" bIns="0" anchor="t" anchorCtr="0" upright="1"/>
                      </wps:wsp>
                      <wps:wsp>
                        <wps:cNvPr id="121" name="自选图形 471"/>
                        <wps:cNvCnPr/>
                        <wps:spPr>
                          <a:xfrm>
                            <a:off x="16578" y="783022"/>
                            <a:ext cx="674" cy="2"/>
                          </a:xfrm>
                          <a:prstGeom prst="straightConnector1">
                            <a:avLst/>
                          </a:prstGeom>
                          <a:ln w="9525" cap="flat" cmpd="sng">
                            <a:solidFill>
                              <a:srgbClr val="000000"/>
                            </a:solidFill>
                            <a:prstDash val="solid"/>
                            <a:round/>
                            <a:headEnd type="none" w="med" len="med"/>
                            <a:tailEnd type="triangle" w="med" len="med"/>
                          </a:ln>
                        </wps:spPr>
                        <wps:bodyPr/>
                      </wps:wsp>
                      <wps:wsp>
                        <wps:cNvPr id="122" name="自选图形 471"/>
                        <wps:cNvCnPr/>
                        <wps:spPr>
                          <a:xfrm>
                            <a:off x="18465" y="782514"/>
                            <a:ext cx="629" cy="1"/>
                          </a:xfrm>
                          <a:prstGeom prst="straightConnector1">
                            <a:avLst/>
                          </a:prstGeom>
                          <a:ln w="9525" cap="flat" cmpd="sng">
                            <a:solidFill>
                              <a:srgbClr val="000000"/>
                            </a:solidFill>
                            <a:prstDash val="solid"/>
                            <a:round/>
                            <a:headEnd type="none" w="med" len="med"/>
                            <a:tailEnd type="triangle" w="med" len="med"/>
                          </a:ln>
                        </wps:spPr>
                        <wps:bodyPr/>
                      </wps:wsp>
                      <wps:wsp>
                        <wps:cNvPr id="123" name="矩形 469"/>
                        <wps:cNvSpPr/>
                        <wps:spPr>
                          <a:xfrm>
                            <a:off x="19105" y="783228"/>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7C3E063">
                              <w:pPr>
                                <w:pStyle w:val="421"/>
                                <w:bidi w:val="0"/>
                                <w:ind w:left="0" w:leftChars="0" w:firstLine="0" w:firstLineChars="0"/>
                                <w:jc w:val="center"/>
                                <w:rPr>
                                  <w:rFonts w:hint="eastAsia" w:eastAsia="宋体"/>
                                  <w:lang w:val="en-US" w:eastAsia="zh-CN"/>
                                </w:rPr>
                              </w:pPr>
                              <w:r>
                                <w:rPr>
                                  <w:rFonts w:hint="eastAsia"/>
                                  <w:lang w:val="en-US" w:eastAsia="zh-CN"/>
                                </w:rPr>
                                <w:t>加气柱</w:t>
                              </w:r>
                            </w:p>
                          </w:txbxContent>
                        </wps:txbx>
                        <wps:bodyPr vert="horz" wrap="square" lIns="0" tIns="0" rIns="0" bIns="0" anchor="t" anchorCtr="0" upright="1"/>
                      </wps:wsp>
                      <wps:wsp>
                        <wps:cNvPr id="124" name="自选图形 471"/>
                        <wps:cNvCnPr/>
                        <wps:spPr>
                          <a:xfrm>
                            <a:off x="22334" y="783439"/>
                            <a:ext cx="629" cy="1"/>
                          </a:xfrm>
                          <a:prstGeom prst="straightConnector1">
                            <a:avLst/>
                          </a:prstGeom>
                          <a:ln w="9525" cap="flat" cmpd="sng">
                            <a:solidFill>
                              <a:srgbClr val="000000"/>
                            </a:solidFill>
                            <a:prstDash val="solid"/>
                            <a:round/>
                            <a:headEnd type="none" w="med" len="med"/>
                            <a:tailEnd type="triangle" w="med" len="med"/>
                          </a:ln>
                        </wps:spPr>
                        <wps:bodyPr/>
                      </wps:wsp>
                      <wps:wsp>
                        <wps:cNvPr id="125" name="矩形 470"/>
                        <wps:cNvSpPr/>
                        <wps:spPr>
                          <a:xfrm>
                            <a:off x="17314" y="782791"/>
                            <a:ext cx="665" cy="433"/>
                          </a:xfrm>
                          <a:prstGeom prst="rect">
                            <a:avLst/>
                          </a:prstGeom>
                          <a:solidFill>
                            <a:srgbClr val="FFFFFF">
                              <a:alpha val="0"/>
                            </a:srgbClr>
                          </a:solidFill>
                          <a:ln>
                            <a:noFill/>
                          </a:ln>
                        </wps:spPr>
                        <wps:txbx>
                          <w:txbxContent>
                            <w:p w14:paraId="60D2D099">
                              <w:pPr>
                                <w:pStyle w:val="421"/>
                                <w:bidi w:val="0"/>
                                <w:ind w:left="0" w:leftChars="0" w:firstLine="0" w:firstLineChars="0"/>
                                <w:rPr>
                                  <w:rFonts w:hint="default"/>
                                  <w:lang w:val="en-US"/>
                                </w:rPr>
                              </w:pPr>
                              <w:r>
                                <w:rPr>
                                  <w:rFonts w:hint="eastAsia"/>
                                  <w:lang w:val="en-US" w:eastAsia="zh-CN"/>
                                </w:rPr>
                                <w:t>压缩</w:t>
                              </w:r>
                            </w:p>
                          </w:txbxContent>
                        </wps:txbx>
                        <wps:bodyPr vert="horz" wrap="square" lIns="0" tIns="0" rIns="0" bIns="0" anchor="t" anchorCtr="0" upright="1"/>
                      </wps:wsp>
                      <wps:wsp>
                        <wps:cNvPr id="126" name="矩形 470"/>
                        <wps:cNvSpPr/>
                        <wps:spPr>
                          <a:xfrm>
                            <a:off x="23105" y="783178"/>
                            <a:ext cx="665" cy="433"/>
                          </a:xfrm>
                          <a:prstGeom prst="rect">
                            <a:avLst/>
                          </a:prstGeom>
                          <a:solidFill>
                            <a:srgbClr val="FFFFFF">
                              <a:alpha val="0"/>
                            </a:srgbClr>
                          </a:solidFill>
                          <a:ln>
                            <a:noFill/>
                          </a:ln>
                        </wps:spPr>
                        <wps:txbx>
                          <w:txbxContent>
                            <w:p w14:paraId="1B33FD99">
                              <w:pPr>
                                <w:pStyle w:val="421"/>
                                <w:bidi w:val="0"/>
                                <w:ind w:left="0" w:leftChars="0" w:firstLine="0" w:firstLineChars="0"/>
                                <w:rPr>
                                  <w:rFonts w:hint="default"/>
                                  <w:lang w:val="en-US"/>
                                </w:rPr>
                              </w:pPr>
                              <w:r>
                                <w:rPr>
                                  <w:rFonts w:hint="eastAsia"/>
                                  <w:lang w:val="en-US" w:eastAsia="zh-CN"/>
                                </w:rPr>
                                <w:t>外运</w:t>
                              </w:r>
                            </w:p>
                          </w:txbxContent>
                        </wps:txbx>
                        <wps:bodyPr vert="horz" wrap="square" lIns="0" tIns="0" rIns="0" bIns="0" anchor="t" anchorCtr="0" upright="1"/>
                      </wps:wsp>
                      <wps:wsp>
                        <wps:cNvPr id="127" name="自选图形 471"/>
                        <wps:cNvCnPr/>
                        <wps:spPr>
                          <a:xfrm>
                            <a:off x="18479" y="783453"/>
                            <a:ext cx="629" cy="1"/>
                          </a:xfrm>
                          <a:prstGeom prst="straightConnector1">
                            <a:avLst/>
                          </a:prstGeom>
                          <a:ln w="9525" cap="flat" cmpd="sng">
                            <a:solidFill>
                              <a:srgbClr val="000000"/>
                            </a:solidFill>
                            <a:prstDash val="solid"/>
                            <a:round/>
                            <a:headEnd type="none" w="med" len="med"/>
                            <a:tailEnd type="triangle" w="med" len="med"/>
                          </a:ln>
                        </wps:spPr>
                        <wps:bodyPr/>
                      </wps:wsp>
                      <wps:wsp>
                        <wps:cNvPr id="128" name="自选图形 471"/>
                        <wps:cNvCnPr/>
                        <wps:spPr>
                          <a:xfrm>
                            <a:off x="20385" y="782521"/>
                            <a:ext cx="629" cy="1"/>
                          </a:xfrm>
                          <a:prstGeom prst="straightConnector1">
                            <a:avLst/>
                          </a:prstGeom>
                          <a:ln w="9525" cap="flat" cmpd="sng">
                            <a:solidFill>
                              <a:srgbClr val="000000"/>
                            </a:solidFill>
                            <a:prstDash val="solid"/>
                            <a:round/>
                            <a:headEnd type="none" w="med" len="med"/>
                            <a:tailEnd type="triangle" w="med" len="med"/>
                          </a:ln>
                        </wps:spPr>
                        <wps:bodyPr/>
                      </wps:wsp>
                      <wps:wsp>
                        <wps:cNvPr id="129" name="矩形 469"/>
                        <wps:cNvSpPr/>
                        <wps:spPr>
                          <a:xfrm>
                            <a:off x="21026" y="782303"/>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690B0D5">
                              <w:pPr>
                                <w:pStyle w:val="421"/>
                                <w:bidi w:val="0"/>
                                <w:ind w:left="0" w:leftChars="0" w:firstLine="0" w:firstLineChars="0"/>
                                <w:jc w:val="center"/>
                                <w:rPr>
                                  <w:rFonts w:hint="eastAsia" w:eastAsia="宋体"/>
                                  <w:lang w:val="en-US" w:eastAsia="zh-CN"/>
                                </w:rPr>
                              </w:pPr>
                              <w:r>
                                <w:rPr>
                                  <w:rFonts w:hint="eastAsia"/>
                                  <w:lang w:val="en-US" w:eastAsia="zh-CN"/>
                                </w:rPr>
                                <w:t>加氢机</w:t>
                              </w:r>
                            </w:p>
                          </w:txbxContent>
                        </wps:txbx>
                        <wps:bodyPr vert="horz" wrap="square" lIns="0" tIns="0" rIns="0" bIns="0" anchor="t" anchorCtr="0" upright="1"/>
                      </wps:wsp>
                      <wps:wsp>
                        <wps:cNvPr id="130" name="自选图形 471"/>
                        <wps:cNvCnPr/>
                        <wps:spPr>
                          <a:xfrm>
                            <a:off x="20392" y="783453"/>
                            <a:ext cx="629" cy="1"/>
                          </a:xfrm>
                          <a:prstGeom prst="straightConnector1">
                            <a:avLst/>
                          </a:prstGeom>
                          <a:ln w="9525" cap="flat" cmpd="sng">
                            <a:solidFill>
                              <a:srgbClr val="000000"/>
                            </a:solidFill>
                            <a:prstDash val="solid"/>
                            <a:round/>
                            <a:headEnd type="none" w="med" len="med"/>
                            <a:tailEnd type="triangle" w="med" len="med"/>
                          </a:ln>
                        </wps:spPr>
                        <wps:bodyPr/>
                      </wps:wsp>
                      <wps:wsp>
                        <wps:cNvPr id="131" name="矩形 469"/>
                        <wps:cNvSpPr/>
                        <wps:spPr>
                          <a:xfrm>
                            <a:off x="21040" y="783228"/>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793908D">
                              <w:pPr>
                                <w:pStyle w:val="421"/>
                                <w:bidi w:val="0"/>
                                <w:ind w:left="0" w:leftChars="0" w:firstLine="0" w:firstLineChars="0"/>
                                <w:jc w:val="center"/>
                                <w:rPr>
                                  <w:rFonts w:hint="eastAsia" w:eastAsia="宋体"/>
                                  <w:lang w:val="en-US" w:eastAsia="zh-CN"/>
                                </w:rPr>
                              </w:pPr>
                              <w:r>
                                <w:rPr>
                                  <w:rFonts w:hint="eastAsia"/>
                                  <w:lang w:val="en-US" w:eastAsia="zh-CN"/>
                                </w:rPr>
                                <w:t>长管车</w:t>
                              </w:r>
                            </w:p>
                          </w:txbxContent>
                        </wps:txbx>
                        <wps:bodyPr vert="horz" wrap="square" lIns="0" tIns="0" rIns="0" bIns="0" anchor="t" anchorCtr="0" upright="1"/>
                      </wps:wsp>
                      <wps:wsp>
                        <wps:cNvPr id="132" name="自选图形 471"/>
                        <wps:cNvCnPr/>
                        <wps:spPr>
                          <a:xfrm>
                            <a:off x="22327" y="782528"/>
                            <a:ext cx="629" cy="1"/>
                          </a:xfrm>
                          <a:prstGeom prst="straightConnector1">
                            <a:avLst/>
                          </a:prstGeom>
                          <a:ln w="9525" cap="flat" cmpd="sng">
                            <a:solidFill>
                              <a:srgbClr val="000000"/>
                            </a:solidFill>
                            <a:prstDash val="solid"/>
                            <a:round/>
                            <a:headEnd type="none" w="med" len="med"/>
                            <a:tailEnd type="triangle" w="med" len="med"/>
                          </a:ln>
                        </wps:spPr>
                        <wps:bodyPr/>
                      </wps:wsp>
                      <wps:wsp>
                        <wps:cNvPr id="133" name="矩形 470"/>
                        <wps:cNvSpPr/>
                        <wps:spPr>
                          <a:xfrm>
                            <a:off x="22965" y="782281"/>
                            <a:ext cx="1275" cy="433"/>
                          </a:xfrm>
                          <a:prstGeom prst="rect">
                            <a:avLst/>
                          </a:prstGeom>
                          <a:solidFill>
                            <a:srgbClr val="FFFFFF">
                              <a:alpha val="0"/>
                            </a:srgbClr>
                          </a:solidFill>
                          <a:ln>
                            <a:noFill/>
                          </a:ln>
                        </wps:spPr>
                        <wps:txbx>
                          <w:txbxContent>
                            <w:p w14:paraId="4E8002D0">
                              <w:pPr>
                                <w:pStyle w:val="421"/>
                                <w:bidi w:val="0"/>
                                <w:ind w:left="0" w:leftChars="0" w:firstLine="0" w:firstLineChars="0"/>
                                <w:rPr>
                                  <w:rFonts w:hint="default"/>
                                  <w:lang w:val="en-US"/>
                                </w:rPr>
                              </w:pPr>
                              <w:r>
                                <w:rPr>
                                  <w:rFonts w:hint="eastAsia"/>
                                  <w:lang w:val="en-US" w:eastAsia="zh-CN"/>
                                </w:rPr>
                                <w:t>车辆加氢</w:t>
                              </w:r>
                            </w:p>
                          </w:txbxContent>
                        </wps:txbx>
                        <wps:bodyPr vert="horz" wrap="square" lIns="0" tIns="0" rIns="0" bIns="0" anchor="t" anchorCtr="0" upright="1"/>
                      </wps:wsp>
                      <wps:wsp>
                        <wps:cNvPr id="134" name="直线 89"/>
                        <wps:cNvCnPr/>
                        <wps:spPr>
                          <a:xfrm>
                            <a:off x="18465" y="782521"/>
                            <a:ext cx="7" cy="939"/>
                          </a:xfrm>
                          <a:prstGeom prst="line">
                            <a:avLst/>
                          </a:prstGeom>
                          <a:ln w="9525" cap="flat" cmpd="sng">
                            <a:solidFill>
                              <a:srgbClr val="000000"/>
                            </a:solidFill>
                            <a:prstDash val="solid"/>
                            <a:miter/>
                            <a:headEnd type="none" w="med" len="med"/>
                            <a:tailEnd type="none" w="med" len="med"/>
                          </a:ln>
                        </wps:spPr>
                        <wps:bodyPr upright="1"/>
                      </wps:wsp>
                      <wps:wsp>
                        <wps:cNvPr id="135" name="自选图形 471"/>
                        <wps:cNvCnPr/>
                        <wps:spPr>
                          <a:xfrm>
                            <a:off x="17856" y="783042"/>
                            <a:ext cx="629" cy="1"/>
                          </a:xfrm>
                          <a:prstGeom prst="straightConnector1">
                            <a:avLst/>
                          </a:prstGeom>
                          <a:ln w="9525" cap="flat" cmpd="sng">
                            <a:solidFill>
                              <a:srgbClr val="000000"/>
                            </a:solidFill>
                            <a:prstDash val="solid"/>
                            <a:round/>
                            <a:headEnd type="none" w="med" len="med"/>
                            <a:tailEnd type="triangle" w="med" len="med"/>
                          </a:ln>
                        </wps:spPr>
                        <wps:bodyPr/>
                      </wps:wsp>
                    </wpg:wgp>
                  </a:graphicData>
                </a:graphic>
              </wp:inline>
            </w:drawing>
          </mc:Choice>
          <mc:Fallback>
            <w:pict>
              <v:group id="组合 210" o:spid="_x0000_s1026" o:spt="203" style="height:68.95pt;width:419.15pt;" coordorigin="15856,782281" coordsize="8383,1379" o:gfxdata="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">
                <o:lock v:ext="edit" aspectratio="f"/>
                <v:rect id="矩形 469" o:spid="_x0000_s1026" o:spt="1" style="position:absolute;left:19097;top:782298;height:433;width:1287;" fillcolor="#FFFFFF" filled="t" stroked="t" coordsize="21600,21600" o:gfxdata="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Iha2/&#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3D98FF84">
                        <w:pPr>
                          <w:pStyle w:val="421"/>
                          <w:bidi w:val="0"/>
                          <w:ind w:left="0" w:leftChars="0" w:firstLine="0" w:firstLineChars="0"/>
                          <w:jc w:val="center"/>
                          <w:rPr>
                            <w:rFonts w:hint="eastAsia" w:eastAsia="宋体"/>
                            <w:lang w:val="en-US" w:eastAsia="zh-CN"/>
                          </w:rPr>
                        </w:pPr>
                        <w:r>
                          <w:rPr>
                            <w:rFonts w:hint="eastAsia"/>
                            <w:lang w:val="en-US" w:eastAsia="zh-CN"/>
                          </w:rPr>
                          <w:t>储氢瓶组</w:t>
                        </w:r>
                      </w:p>
                    </w:txbxContent>
                  </v:textbox>
                </v:rect>
                <v:rect id="矩形 470" o:spid="_x0000_s1026" o:spt="1" style="position:absolute;left:15856;top:782791;height:433;width:1512;" fillcolor="#FFFFFF" filled="t" stroked="f" coordsize="21600,21600" o:gfxdata="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PJF47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6FE9DAFC">
                        <w:pPr>
                          <w:pStyle w:val="421"/>
                          <w:bidi w:val="0"/>
                          <w:ind w:left="0" w:leftChars="0" w:firstLine="0" w:firstLineChars="0"/>
                          <w:rPr>
                            <w:rFonts w:hint="default"/>
                            <w:lang w:val="en-US"/>
                          </w:rPr>
                        </w:pPr>
                        <w:r>
                          <w:rPr>
                            <w:rFonts w:hint="eastAsia"/>
                            <w:lang w:val="en-US" w:eastAsia="zh-CN"/>
                          </w:rPr>
                          <w:t>氢气</w:t>
                        </w:r>
                      </w:p>
                    </w:txbxContent>
                  </v:textbox>
                </v:rect>
                <v:shape id="自选图形 471" o:spid="_x0000_s1026" o:spt="32" type="#_x0000_t32" style="position:absolute;left:16578;top:783022;height:2;width:674;" filled="f" stroked="t" coordsize="21600,21600" o:gfxdata="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6FMPS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471" o:spid="_x0000_s1026" o:spt="32" type="#_x0000_t32" style="position:absolute;left:18465;top:782514;height:1;width:629;" filled="f" stroked="t" coordsize="21600,21600" o:gfxdata="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5XroO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矩形 469" o:spid="_x0000_s1026" o:spt="1" style="position:absolute;left:19105;top:783228;height:433;width:1287;" fillcolor="#FFFFFF" filled="t" stroked="t" coordsize="21600,21600" o:gfxdata="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N12S/&#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67C3E063">
                        <w:pPr>
                          <w:pStyle w:val="421"/>
                          <w:bidi w:val="0"/>
                          <w:ind w:left="0" w:leftChars="0" w:firstLine="0" w:firstLineChars="0"/>
                          <w:jc w:val="center"/>
                          <w:rPr>
                            <w:rFonts w:hint="eastAsia" w:eastAsia="宋体"/>
                            <w:lang w:val="en-US" w:eastAsia="zh-CN"/>
                          </w:rPr>
                        </w:pPr>
                        <w:r>
                          <w:rPr>
                            <w:rFonts w:hint="eastAsia"/>
                            <w:lang w:val="en-US" w:eastAsia="zh-CN"/>
                          </w:rPr>
                          <w:t>加气柱</w:t>
                        </w:r>
                      </w:p>
                    </w:txbxContent>
                  </v:textbox>
                </v:rect>
                <v:shape id="自选图形 471" o:spid="_x0000_s1026" o:spt="32" type="#_x0000_t32" style="position:absolute;left:22334;top:783439;height:1;width:629;" filled="f" stroked="t" coordsize="21600,21600" o:gfxdata="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pNs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矩形 470" o:spid="_x0000_s1026" o:spt="1" style="position:absolute;left:17314;top:782791;height:433;width:665;" fillcolor="#FFFFFF" filled="t" stroked="f" coordsize="21600,21600" o:gfxdata="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p6PXr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60D2D099">
                        <w:pPr>
                          <w:pStyle w:val="421"/>
                          <w:bidi w:val="0"/>
                          <w:ind w:left="0" w:leftChars="0" w:firstLine="0" w:firstLineChars="0"/>
                          <w:rPr>
                            <w:rFonts w:hint="default"/>
                            <w:lang w:val="en-US"/>
                          </w:rPr>
                        </w:pPr>
                        <w:r>
                          <w:rPr>
                            <w:rFonts w:hint="eastAsia"/>
                            <w:lang w:val="en-US" w:eastAsia="zh-CN"/>
                          </w:rPr>
                          <w:t>压缩</w:t>
                        </w:r>
                      </w:p>
                    </w:txbxContent>
                  </v:textbox>
                </v:rect>
                <v:rect id="矩形 470" o:spid="_x0000_s1026" o:spt="1" style="position:absolute;left:23105;top:783178;height:433;width:665;" fillcolor="#FFFFFF" filled="t" stroked="f" coordsize="21600,21600" o:gfxdata="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kwRKb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1B33FD99">
                        <w:pPr>
                          <w:pStyle w:val="421"/>
                          <w:bidi w:val="0"/>
                          <w:ind w:left="0" w:leftChars="0" w:firstLine="0" w:firstLineChars="0"/>
                          <w:rPr>
                            <w:rFonts w:hint="default"/>
                            <w:lang w:val="en-US"/>
                          </w:rPr>
                        </w:pPr>
                        <w:r>
                          <w:rPr>
                            <w:rFonts w:hint="eastAsia"/>
                            <w:lang w:val="en-US" w:eastAsia="zh-CN"/>
                          </w:rPr>
                          <w:t>外运</w:t>
                        </w:r>
                      </w:p>
                    </w:txbxContent>
                  </v:textbox>
                </v:rect>
                <v:shape id="自选图形 471" o:spid="_x0000_s1026" o:spt="32" type="#_x0000_t32" style="position:absolute;left:18479;top:783453;height:1;width:629;" filled="f" stroked="t" coordsize="21600,21600" o:gfxdata="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4gDRu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471" o:spid="_x0000_s1026" o:spt="32" type="#_x0000_t32" style="position:absolute;left:20385;top:782521;height:1;width:629;" filled="f" stroked="t" coordsize="21600,21600" o:gfxdata="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W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rect id="矩形 469" o:spid="_x0000_s1026" o:spt="1" style="position:absolute;left:21026;top:782303;height:433;width:1287;" fillcolor="#FFFFFF" filled="t" stroked="t" coordsize="21600,21600" o:gfxdata="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Nl4I6/&#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5690B0D5">
                        <w:pPr>
                          <w:pStyle w:val="421"/>
                          <w:bidi w:val="0"/>
                          <w:ind w:left="0" w:leftChars="0" w:firstLine="0" w:firstLineChars="0"/>
                          <w:jc w:val="center"/>
                          <w:rPr>
                            <w:rFonts w:hint="eastAsia" w:eastAsia="宋体"/>
                            <w:lang w:val="en-US" w:eastAsia="zh-CN"/>
                          </w:rPr>
                        </w:pPr>
                        <w:r>
                          <w:rPr>
                            <w:rFonts w:hint="eastAsia"/>
                            <w:lang w:val="en-US" w:eastAsia="zh-CN"/>
                          </w:rPr>
                          <w:t>加氢机</w:t>
                        </w:r>
                      </w:p>
                    </w:txbxContent>
                  </v:textbox>
                </v:rect>
                <v:shape id="自选图形 471" o:spid="_x0000_s1026" o:spt="32" type="#_x0000_t32" style="position:absolute;left:20392;top:783453;height:1;width:629;" filled="f" stroked="t" coordsize="21600,21600" o:gfxdata="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EAOy&#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rect id="矩形 469" o:spid="_x0000_s1026" o:spt="1" style="position:absolute;left:21040;top:783228;height:433;width:1287;" fillcolor="#FFFFFF" filled="t" stroked="t" coordsize="21600,21600" o:gfxdata="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Mp6&#10;VcEAAADcAAAADwAAAAAAAAABACAAAAAiAAAAZHJzL2Rvd25yZXYueG1sUEsBAhQAFAAAAAgAh07i&#10;QDMvBZ47AAAAOQAAABAAAAAAAAAAAQAgAAAAEAEAAGRycy9zaGFwZXhtbC54bWxQSwUGAAAAAAYA&#10;BgBbAQAAugMAAAAA&#10;">
                  <v:fill on="t" focussize="0,0"/>
                  <v:stroke color="#000000" joinstyle="miter"/>
                  <v:imagedata o:title=""/>
                  <o:lock v:ext="edit" aspectratio="f"/>
                  <v:textbox inset="0mm,0mm,0mm,0mm">
                    <w:txbxContent>
                      <w:p w14:paraId="0793908D">
                        <w:pPr>
                          <w:pStyle w:val="421"/>
                          <w:bidi w:val="0"/>
                          <w:ind w:left="0" w:leftChars="0" w:firstLine="0" w:firstLineChars="0"/>
                          <w:jc w:val="center"/>
                          <w:rPr>
                            <w:rFonts w:hint="eastAsia" w:eastAsia="宋体"/>
                            <w:lang w:val="en-US" w:eastAsia="zh-CN"/>
                          </w:rPr>
                        </w:pPr>
                        <w:r>
                          <w:rPr>
                            <w:rFonts w:hint="eastAsia"/>
                            <w:lang w:val="en-US" w:eastAsia="zh-CN"/>
                          </w:rPr>
                          <w:t>长管车</w:t>
                        </w:r>
                      </w:p>
                    </w:txbxContent>
                  </v:textbox>
                </v:rect>
                <v:shape id="自选图形 471" o:spid="_x0000_s1026" o:spt="32" type="#_x0000_t32" style="position:absolute;left:22327;top:782528;height:1;width:629;" filled="f" stroked="t" coordsize="21600,21600" o:gfxdata="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jjhe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矩形 470" o:spid="_x0000_s1026" o:spt="1" style="position:absolute;left:22965;top:782281;height:433;width:1275;" fillcolor="#FFFFFF" filled="t" stroked="f" coordsize="21600,21600" o:gfxdata="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IkbL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4E8002D0">
                        <w:pPr>
                          <w:pStyle w:val="421"/>
                          <w:bidi w:val="0"/>
                          <w:ind w:left="0" w:leftChars="0" w:firstLine="0" w:firstLineChars="0"/>
                          <w:rPr>
                            <w:rFonts w:hint="default"/>
                            <w:lang w:val="en-US"/>
                          </w:rPr>
                        </w:pPr>
                        <w:r>
                          <w:rPr>
                            <w:rFonts w:hint="eastAsia"/>
                            <w:lang w:val="en-US" w:eastAsia="zh-CN"/>
                          </w:rPr>
                          <w:t>车辆加氢</w:t>
                        </w:r>
                      </w:p>
                    </w:txbxContent>
                  </v:textbox>
                </v:rect>
                <v:line id="直线 89" o:spid="_x0000_s1026" o:spt="20" style="position:absolute;left:18465;top:782521;height:939;width:7;" filled="f" stroked="t" coordsize="21600,21600" o:gfxdata="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xLH+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line>
                <v:shape id="自选图形 471" o:spid="_x0000_s1026" o:spt="32" type="#_x0000_t32" style="position:absolute;left:17856;top:783042;height:1;width:629;" filled="f" stroked="t" coordsize="21600,21600" o:gfxdata="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Z6Aq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w10:wrap type="none"/>
                <w10:anchorlock/>
              </v:group>
            </w:pict>
          </mc:Fallback>
        </mc:AlternateContent>
      </w:r>
    </w:p>
    <w:p w14:paraId="1111333E">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3</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2</w:t>
      </w:r>
      <w:r>
        <w:rPr>
          <w:rFonts w:hint="eastAsia"/>
          <w:b/>
          <w:color w:val="auto"/>
          <w:sz w:val="24"/>
          <w:highlight w:val="none"/>
          <w:lang w:val="en-US" w:eastAsia="zh-CN"/>
        </w:rPr>
        <w:t xml:space="preserve">  </w:t>
      </w:r>
      <w:r>
        <w:rPr>
          <w:rFonts w:hint="eastAsia" w:ascii="Times New Roman" w:hAnsi="Times New Roman" w:eastAsia="宋体"/>
          <w:b/>
          <w:color w:val="auto"/>
          <w:sz w:val="24"/>
          <w:highlight w:val="none"/>
          <w:lang w:val="en-US" w:eastAsia="zh-CN"/>
        </w:rPr>
        <w:t>制氢生产工艺流程</w:t>
      </w:r>
      <w:r>
        <w:rPr>
          <w:rFonts w:ascii="Times New Roman" w:hAnsi="Times New Roman" w:eastAsia="宋体"/>
          <w:b/>
          <w:color w:val="auto"/>
          <w:sz w:val="24"/>
          <w:highlight w:val="none"/>
        </w:rPr>
        <w:t>及产污节点</w:t>
      </w:r>
    </w:p>
    <w:p w14:paraId="3E22C93E">
      <w:pPr>
        <w:numPr>
          <w:ilvl w:val="0"/>
          <w:numId w:val="0"/>
        </w:numPr>
        <w:spacing w:line="360" w:lineRule="auto"/>
        <w:ind w:firstLine="482" w:firstLineChars="200"/>
        <w:jc w:val="left"/>
        <w:rPr>
          <w:rFonts w:hint="eastAsia" w:ascii="Times New Roman" w:hAnsi="Times New Roman" w:eastAsia="宋体"/>
          <w:b/>
          <w:color w:val="auto"/>
          <w:kern w:val="2"/>
          <w:sz w:val="24"/>
          <w:szCs w:val="22"/>
          <w:highlight w:val="none"/>
          <w:lang w:val="en-US" w:eastAsia="zh-CN" w:bidi="ar-SA"/>
        </w:rPr>
      </w:pPr>
      <w:r>
        <w:rPr>
          <w:rFonts w:hint="eastAsia" w:ascii="Times New Roman" w:hAnsi="Times New Roman" w:eastAsia="宋体"/>
          <w:b/>
          <w:color w:val="auto"/>
          <w:kern w:val="2"/>
          <w:sz w:val="24"/>
          <w:szCs w:val="22"/>
          <w:highlight w:val="none"/>
          <w:lang w:val="en-US" w:eastAsia="zh-CN" w:bidi="ar-SA"/>
        </w:rPr>
        <w:t>加氢工艺流程简述：</w:t>
      </w:r>
    </w:p>
    <w:p w14:paraId="41F652F8">
      <w:pPr>
        <w:numPr>
          <w:ilvl w:val="0"/>
          <w:numId w:val="0"/>
        </w:numPr>
        <w:spacing w:line="360" w:lineRule="auto"/>
        <w:ind w:firstLine="480" w:firstLineChars="200"/>
        <w:jc w:val="left"/>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制好的氢气主要有2种充装方式，长管车充装和加氢机加氢。</w:t>
      </w:r>
    </w:p>
    <w:p w14:paraId="76A89E29">
      <w:pPr>
        <w:numPr>
          <w:ilvl w:val="0"/>
          <w:numId w:val="0"/>
        </w:numPr>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长管车充装：制好的氢气≥99.999%（vol%），压力为～2.0MPa，温度≤40℃，经氢气膜压机压缩至22MPa，通过氢气加气柱充装至氢气长管拖车外运。</w:t>
      </w:r>
    </w:p>
    <w:p w14:paraId="14FF104A">
      <w:pPr>
        <w:numPr>
          <w:ilvl w:val="0"/>
          <w:numId w:val="0"/>
        </w:numPr>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加氢机单元：氢气经压缩机压缩后，储存在储氢罐中，当汽车需要加氢时，可以从储氢瓶组取气，然后通过加氢机为汽车加氢。加氢机首先从低压瓶组取气，当汽车车载瓶压力与长管拖车或低压瓶组的氢气压力平衡时，停止取气，并切换至中压储氢罐，开始从中压储氢罐取气对车辆进行加注。当中压储氢罐压力下降不满足加注需求时，开始从高压储氢罐取气加注，直至汽车车载储氢瓶内的压力达到35MPa。若汽车储气瓶压力未能达到35MPa，压缩机开始运行，直接给加氢机供气，直至汽车加满氢气。</w:t>
      </w:r>
      <w:r>
        <w:rPr>
          <w:rFonts w:hint="default" w:ascii="Times New Roman" w:hAnsi="Times New Roman" w:eastAsia="Times New Roman" w:cs="Times New Roman"/>
          <w:color w:val="auto"/>
          <w:sz w:val="24"/>
          <w:highlight w:val="none"/>
          <w:lang w:val="zh-CN"/>
        </w:rPr>
        <w:t>氢气设备及管道检修后或首次开车必须经氮气置换氮含量达到98%以上为合格。</w:t>
      </w:r>
    </w:p>
    <w:p w14:paraId="62A89C55">
      <w:pPr>
        <w:numPr>
          <w:ilvl w:val="0"/>
          <w:numId w:val="0"/>
        </w:numPr>
        <w:spacing w:line="360" w:lineRule="auto"/>
        <w:ind w:firstLine="480" w:firstLineChars="200"/>
        <w:jc w:val="left"/>
        <w:rPr>
          <w:rFonts w:hint="default" w:ascii="Times New Roman" w:hAnsi="Times New Roman" w:eastAsia="宋体"/>
          <w:b/>
          <w:color w:val="auto"/>
          <w:kern w:val="2"/>
          <w:sz w:val="24"/>
          <w:szCs w:val="22"/>
          <w:highlight w:val="none"/>
          <w:lang w:val="en-US" w:eastAsia="zh-CN" w:bidi="ar-SA"/>
        </w:rPr>
      </w:pPr>
      <w:r>
        <w:rPr>
          <w:rFonts w:hint="eastAsia" w:ascii="Times New Roman" w:hAnsi="Times New Roman" w:eastAsia="宋体" w:cs="Times New Roman"/>
          <w:color w:val="auto"/>
          <w:sz w:val="24"/>
          <w:highlight w:val="none"/>
          <w:lang w:val="en-US" w:eastAsia="zh-CN"/>
        </w:rPr>
        <w:t>项目产品氢制成后通过除杂、压缩后经管道</w:t>
      </w:r>
      <w:r>
        <w:rPr>
          <w:rFonts w:hint="eastAsia" w:cs="Times New Roman"/>
          <w:color w:val="auto"/>
          <w:sz w:val="24"/>
          <w:highlight w:val="none"/>
          <w:lang w:val="en-US" w:eastAsia="zh-CN"/>
        </w:rPr>
        <w:t>输入</w:t>
      </w:r>
      <w:r>
        <w:rPr>
          <w:rFonts w:hint="eastAsia" w:ascii="Times New Roman" w:hAnsi="Times New Roman" w:eastAsia="宋体" w:cs="Times New Roman"/>
          <w:color w:val="auto"/>
          <w:sz w:val="24"/>
          <w:highlight w:val="none"/>
          <w:lang w:val="en-US" w:eastAsia="zh-CN"/>
        </w:rPr>
        <w:t>加氢机进行加氢，或充装至长管拖车，在管道输送和充装过</w:t>
      </w:r>
      <w:r>
        <w:rPr>
          <w:rFonts w:hint="eastAsia" w:cs="Times New Roman"/>
          <w:color w:val="auto"/>
          <w:sz w:val="24"/>
          <w:highlight w:val="none"/>
          <w:lang w:val="en-US" w:eastAsia="zh-CN"/>
        </w:rPr>
        <w:t>程中</w:t>
      </w:r>
      <w:r>
        <w:rPr>
          <w:rFonts w:hint="eastAsia" w:ascii="Times New Roman" w:hAnsi="Times New Roman" w:eastAsia="宋体" w:cs="Times New Roman"/>
          <w:color w:val="auto"/>
          <w:sz w:val="24"/>
          <w:highlight w:val="none"/>
          <w:lang w:val="en-US" w:eastAsia="zh-CN"/>
        </w:rPr>
        <w:t>可能会产生极少量逸散，由于产品氢为纯度99.999％的氢气，故无组织逸散气体对周边环境影响非常小。</w:t>
      </w:r>
    </w:p>
    <w:p w14:paraId="057A66F9">
      <w:pPr>
        <w:numPr>
          <w:ilvl w:val="0"/>
          <w:numId w:val="0"/>
        </w:numPr>
        <w:spacing w:line="360" w:lineRule="auto"/>
        <w:ind w:firstLine="482" w:firstLineChars="200"/>
        <w:jc w:val="left"/>
        <w:rPr>
          <w:rFonts w:hint="eastAsia" w:ascii="Times New Roman" w:hAnsi="Times New Roman" w:eastAsia="宋体"/>
          <w:b/>
          <w:color w:val="auto"/>
          <w:sz w:val="24"/>
          <w:highlight w:val="none"/>
          <w:lang w:val="en-US" w:eastAsia="zh-CN"/>
        </w:rPr>
      </w:pPr>
      <w:r>
        <w:rPr>
          <w:rFonts w:hint="eastAsia" w:ascii="Times New Roman" w:hAnsi="Times New Roman" w:eastAsia="宋体"/>
          <w:b/>
          <w:color w:val="auto"/>
          <w:kern w:val="2"/>
          <w:sz w:val="24"/>
          <w:szCs w:val="22"/>
          <w:highlight w:val="none"/>
          <w:lang w:val="en-US" w:eastAsia="zh-CN" w:bidi="ar-SA"/>
        </w:rPr>
        <w:t>2、柴油、汽油加油过程</w:t>
      </w:r>
    </w:p>
    <w:p w14:paraId="45F7B2D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项目采用的工艺流程是常规的自吸流程：成品油罐车将来油通过卸油管道先卸到地埋式储油罐中，再由潜油泵将油品从储油罐中经输油管道送入加油机中，然后给汽车加油，每个加油枪设单独管线吸油。</w:t>
      </w:r>
    </w:p>
    <w:p w14:paraId="0CA15A4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Times New Roman"/>
          <w:color w:val="auto"/>
          <w:sz w:val="24"/>
          <w:highlight w:val="none"/>
          <w:lang w:val="zh-CN" w:eastAsia="zh-CN"/>
        </w:rPr>
      </w:pPr>
      <w:r>
        <w:rPr>
          <w:color w:val="auto"/>
          <w:sz w:val="24"/>
          <w:highlight w:val="none"/>
        </w:rPr>
        <mc:AlternateContent>
          <mc:Choice Requires="wpg">
            <w:drawing>
              <wp:inline distT="0" distB="0" distL="114300" distR="114300">
                <wp:extent cx="4860290" cy="1402715"/>
                <wp:effectExtent l="0" t="0" r="0" b="0"/>
                <wp:docPr id="153" name="组合 255"/>
                <wp:cNvGraphicFramePr/>
                <a:graphic xmlns:a="http://schemas.openxmlformats.org/drawingml/2006/main">
                  <a:graphicData uri="http://schemas.microsoft.com/office/word/2010/wordprocessingGroup">
                    <wpg:wgp>
                      <wpg:cNvGrpSpPr/>
                      <wpg:grpSpPr>
                        <a:xfrm>
                          <a:off x="0" y="0"/>
                          <a:ext cx="4860290" cy="1402715"/>
                          <a:chOff x="16063" y="787499"/>
                          <a:chExt cx="7654" cy="2209"/>
                        </a:xfrm>
                      </wpg:grpSpPr>
                      <wps:wsp>
                        <wps:cNvPr id="137" name="矩形 469"/>
                        <wps:cNvSpPr/>
                        <wps:spPr>
                          <a:xfrm>
                            <a:off x="18561" y="788438"/>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C5CD81">
                              <w:pPr>
                                <w:pStyle w:val="421"/>
                                <w:bidi w:val="0"/>
                                <w:ind w:left="0" w:leftChars="0" w:firstLine="0" w:firstLineChars="0"/>
                                <w:jc w:val="center"/>
                                <w:rPr>
                                  <w:rFonts w:hint="eastAsia" w:eastAsia="宋体"/>
                                  <w:lang w:val="en-US" w:eastAsia="zh-CN"/>
                                </w:rPr>
                              </w:pPr>
                              <w:r>
                                <w:rPr>
                                  <w:rFonts w:hint="eastAsia"/>
                                  <w:lang w:val="en-US" w:eastAsia="zh-CN"/>
                                </w:rPr>
                                <w:t>埋地油罐</w:t>
                              </w:r>
                            </w:p>
                          </w:txbxContent>
                        </wps:txbx>
                        <wps:bodyPr vert="horz" wrap="square" lIns="0" tIns="0" rIns="0" bIns="0" anchor="t" anchorCtr="0" upright="1"/>
                      </wps:wsp>
                      <wps:wsp>
                        <wps:cNvPr id="138" name="矩形 470"/>
                        <wps:cNvSpPr/>
                        <wps:spPr>
                          <a:xfrm>
                            <a:off x="16063" y="788385"/>
                            <a:ext cx="1512" cy="433"/>
                          </a:xfrm>
                          <a:prstGeom prst="rect">
                            <a:avLst/>
                          </a:prstGeom>
                          <a:solidFill>
                            <a:srgbClr val="FFFFFF">
                              <a:alpha val="0"/>
                            </a:srgbClr>
                          </a:solidFill>
                          <a:ln>
                            <a:noFill/>
                          </a:ln>
                        </wps:spPr>
                        <wps:txbx>
                          <w:txbxContent>
                            <w:p w14:paraId="67ABAFF9">
                              <w:pPr>
                                <w:pStyle w:val="421"/>
                                <w:bidi w:val="0"/>
                                <w:ind w:left="0" w:leftChars="0" w:firstLine="0" w:firstLineChars="0"/>
                                <w:rPr>
                                  <w:rFonts w:hint="default"/>
                                  <w:lang w:val="en-US"/>
                                </w:rPr>
                              </w:pPr>
                              <w:r>
                                <w:rPr>
                                  <w:rFonts w:hint="eastAsia"/>
                                  <w:lang w:val="en-US" w:eastAsia="zh-CN"/>
                                </w:rPr>
                                <w:t>柴油油罐车</w:t>
                              </w:r>
                            </w:p>
                          </w:txbxContent>
                        </wps:txbx>
                        <wps:bodyPr vert="horz" wrap="square" lIns="0" tIns="0" rIns="0" bIns="0" anchor="t" anchorCtr="0" upright="1"/>
                      </wps:wsp>
                      <wps:wsp>
                        <wps:cNvPr id="139" name="自选图形 471"/>
                        <wps:cNvCnPr/>
                        <wps:spPr>
                          <a:xfrm>
                            <a:off x="17688" y="788652"/>
                            <a:ext cx="880" cy="2"/>
                          </a:xfrm>
                          <a:prstGeom prst="straightConnector1">
                            <a:avLst/>
                          </a:prstGeom>
                          <a:ln w="9525" cap="flat" cmpd="sng">
                            <a:solidFill>
                              <a:srgbClr val="000000"/>
                            </a:solidFill>
                            <a:prstDash val="solid"/>
                            <a:round/>
                            <a:headEnd type="none" w="med" len="med"/>
                            <a:tailEnd type="triangle" w="med" len="med"/>
                          </a:ln>
                        </wps:spPr>
                        <wps:bodyPr/>
                      </wps:wsp>
                      <wps:wsp>
                        <wps:cNvPr id="140" name="自选图形 471"/>
                        <wps:cNvCnPr/>
                        <wps:spPr>
                          <a:xfrm>
                            <a:off x="19870" y="788634"/>
                            <a:ext cx="629" cy="1"/>
                          </a:xfrm>
                          <a:prstGeom prst="straightConnector1">
                            <a:avLst/>
                          </a:prstGeom>
                          <a:ln w="9525" cap="flat" cmpd="sng">
                            <a:solidFill>
                              <a:srgbClr val="000000"/>
                            </a:solidFill>
                            <a:prstDash val="solid"/>
                            <a:round/>
                            <a:headEnd type="none" w="med" len="med"/>
                            <a:tailEnd type="triangle" w="med" len="med"/>
                          </a:ln>
                        </wps:spPr>
                        <wps:bodyPr/>
                      </wps:wsp>
                      <wps:wsp>
                        <wps:cNvPr id="141" name="矩形 469"/>
                        <wps:cNvSpPr/>
                        <wps:spPr>
                          <a:xfrm>
                            <a:off x="20496" y="788408"/>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ADCAA0D">
                              <w:pPr>
                                <w:pStyle w:val="421"/>
                                <w:bidi w:val="0"/>
                                <w:ind w:left="0" w:leftChars="0" w:firstLine="0" w:firstLineChars="0"/>
                                <w:jc w:val="center"/>
                                <w:rPr>
                                  <w:rFonts w:hint="eastAsia" w:eastAsia="宋体"/>
                                  <w:lang w:val="en-US" w:eastAsia="zh-CN"/>
                                </w:rPr>
                              </w:pPr>
                              <w:r>
                                <w:rPr>
                                  <w:rFonts w:hint="eastAsia"/>
                                  <w:lang w:val="en-US" w:eastAsia="zh-CN"/>
                                </w:rPr>
                                <w:t>加油机</w:t>
                              </w:r>
                            </w:p>
                          </w:txbxContent>
                        </wps:txbx>
                        <wps:bodyPr vert="horz" wrap="square" lIns="0" tIns="0" rIns="0" bIns="0" anchor="t" anchorCtr="0" upright="1"/>
                      </wps:wsp>
                      <wps:wsp>
                        <wps:cNvPr id="142" name="自选图形 471"/>
                        <wps:cNvCnPr/>
                        <wps:spPr>
                          <a:xfrm>
                            <a:off x="21805" y="788634"/>
                            <a:ext cx="629" cy="1"/>
                          </a:xfrm>
                          <a:prstGeom prst="straightConnector1">
                            <a:avLst/>
                          </a:prstGeom>
                          <a:ln w="9525" cap="flat" cmpd="sng">
                            <a:solidFill>
                              <a:srgbClr val="000000"/>
                            </a:solidFill>
                            <a:prstDash val="solid"/>
                            <a:round/>
                            <a:headEnd type="none" w="med" len="med"/>
                            <a:tailEnd type="triangle" w="med" len="med"/>
                          </a:ln>
                        </wps:spPr>
                        <wps:bodyPr/>
                      </wps:wsp>
                      <wps:wsp>
                        <wps:cNvPr id="143" name="矩形 469"/>
                        <wps:cNvSpPr/>
                        <wps:spPr>
                          <a:xfrm>
                            <a:off x="22431" y="788408"/>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E1690F9">
                              <w:pPr>
                                <w:pStyle w:val="421"/>
                                <w:bidi w:val="0"/>
                                <w:ind w:left="0" w:leftChars="0" w:firstLine="0" w:firstLineChars="0"/>
                                <w:jc w:val="center"/>
                                <w:rPr>
                                  <w:rFonts w:hint="eastAsia" w:eastAsia="宋体"/>
                                  <w:lang w:val="en-US" w:eastAsia="zh-CN"/>
                                </w:rPr>
                              </w:pPr>
                              <w:r>
                                <w:rPr>
                                  <w:rFonts w:hint="eastAsia"/>
                                  <w:lang w:val="en-US" w:eastAsia="zh-CN"/>
                                </w:rPr>
                                <w:t>加油车辆</w:t>
                              </w:r>
                            </w:p>
                          </w:txbxContent>
                        </wps:txbx>
                        <wps:bodyPr vert="horz" wrap="square" lIns="0" tIns="0" rIns="0" bIns="0" anchor="t" anchorCtr="0" upright="1"/>
                      </wps:wsp>
                      <wps:wsp>
                        <wps:cNvPr id="144" name="矩形 470"/>
                        <wps:cNvSpPr/>
                        <wps:spPr>
                          <a:xfrm>
                            <a:off x="17780" y="788259"/>
                            <a:ext cx="665" cy="433"/>
                          </a:xfrm>
                          <a:prstGeom prst="rect">
                            <a:avLst/>
                          </a:prstGeom>
                          <a:solidFill>
                            <a:srgbClr val="FFFFFF">
                              <a:alpha val="0"/>
                            </a:srgbClr>
                          </a:solidFill>
                          <a:ln>
                            <a:noFill/>
                          </a:ln>
                        </wps:spPr>
                        <wps:txbx>
                          <w:txbxContent>
                            <w:p w14:paraId="133295D5">
                              <w:pPr>
                                <w:pStyle w:val="421"/>
                                <w:bidi w:val="0"/>
                                <w:ind w:left="0" w:leftChars="0" w:firstLine="0" w:firstLineChars="0"/>
                                <w:rPr>
                                  <w:rFonts w:hint="default"/>
                                  <w:lang w:val="en-US"/>
                                </w:rPr>
                              </w:pPr>
                              <w:r>
                                <w:rPr>
                                  <w:rFonts w:hint="eastAsia"/>
                                  <w:lang w:val="en-US" w:eastAsia="zh-CN"/>
                                </w:rPr>
                                <w:t>卸油</w:t>
                              </w:r>
                            </w:p>
                          </w:txbxContent>
                        </wps:txbx>
                        <wps:bodyPr vert="horz" wrap="square" lIns="0" tIns="0" rIns="0" bIns="0" anchor="t" anchorCtr="0" upright="1"/>
                      </wps:wsp>
                      <wps:wsp>
                        <wps:cNvPr id="145" name="自选图形 471"/>
                        <wps:cNvCnPr/>
                        <wps:spPr>
                          <a:xfrm>
                            <a:off x="19181" y="788865"/>
                            <a:ext cx="0" cy="401"/>
                          </a:xfrm>
                          <a:prstGeom prst="straightConnector1">
                            <a:avLst/>
                          </a:prstGeom>
                          <a:ln w="9525" cap="flat" cmpd="sng">
                            <a:solidFill>
                              <a:srgbClr val="000000"/>
                            </a:solidFill>
                            <a:prstDash val="dash"/>
                            <a:round/>
                            <a:headEnd type="none" w="med" len="med"/>
                            <a:tailEnd type="triangle" w="med" len="med"/>
                          </a:ln>
                        </wps:spPr>
                        <wps:bodyPr/>
                      </wps:wsp>
                      <wps:wsp>
                        <wps:cNvPr id="146" name="矩形 470"/>
                        <wps:cNvSpPr/>
                        <wps:spPr>
                          <a:xfrm>
                            <a:off x="19046" y="789276"/>
                            <a:ext cx="665" cy="433"/>
                          </a:xfrm>
                          <a:prstGeom prst="rect">
                            <a:avLst/>
                          </a:prstGeom>
                          <a:solidFill>
                            <a:srgbClr val="FFFFFF">
                              <a:alpha val="0"/>
                            </a:srgbClr>
                          </a:solidFill>
                          <a:ln>
                            <a:noFill/>
                          </a:ln>
                        </wps:spPr>
                        <wps:txbx>
                          <w:txbxContent>
                            <w:p w14:paraId="597B3C63">
                              <w:pPr>
                                <w:pStyle w:val="421"/>
                                <w:bidi w:val="0"/>
                                <w:ind w:left="0" w:leftChars="0" w:firstLine="0" w:firstLineChars="0"/>
                                <w:rPr>
                                  <w:rFonts w:hint="default" w:eastAsia="宋体"/>
                                  <w:lang w:val="en-US" w:eastAsia="zh-CN"/>
                                </w:rPr>
                              </w:pPr>
                              <w:r>
                                <w:rPr>
                                  <w:rFonts w:hint="eastAsia"/>
                                  <w:lang w:val="en-US" w:eastAsia="zh-CN"/>
                                </w:rPr>
                                <w:t>S7</w:t>
                              </w:r>
                            </w:p>
                          </w:txbxContent>
                        </wps:txbx>
                        <wps:bodyPr vert="horz" wrap="square" lIns="0" tIns="0" rIns="0" bIns="0" anchor="t" anchorCtr="0" upright="1"/>
                      </wps:wsp>
                      <wps:wsp>
                        <wps:cNvPr id="147" name="自选图形 471"/>
                        <wps:cNvCnPr/>
                        <wps:spPr>
                          <a:xfrm flipH="1" flipV="1">
                            <a:off x="16816" y="787928"/>
                            <a:ext cx="3" cy="457"/>
                          </a:xfrm>
                          <a:prstGeom prst="straightConnector1">
                            <a:avLst/>
                          </a:prstGeom>
                          <a:ln w="9525" cap="flat" cmpd="sng">
                            <a:solidFill>
                              <a:srgbClr val="000000"/>
                            </a:solidFill>
                            <a:prstDash val="dash"/>
                            <a:round/>
                            <a:headEnd type="none" w="med" len="med"/>
                            <a:tailEnd type="triangle" w="med" len="med"/>
                          </a:ln>
                        </wps:spPr>
                        <wps:bodyPr/>
                      </wps:wsp>
                      <wps:wsp>
                        <wps:cNvPr id="148" name="矩形 470"/>
                        <wps:cNvSpPr/>
                        <wps:spPr>
                          <a:xfrm>
                            <a:off x="16625" y="787499"/>
                            <a:ext cx="766" cy="433"/>
                          </a:xfrm>
                          <a:prstGeom prst="rect">
                            <a:avLst/>
                          </a:prstGeom>
                          <a:solidFill>
                            <a:srgbClr val="FFFFFF">
                              <a:alpha val="0"/>
                            </a:srgbClr>
                          </a:solidFill>
                          <a:ln>
                            <a:noFill/>
                          </a:ln>
                        </wps:spPr>
                        <wps:txbx>
                          <w:txbxContent>
                            <w:p w14:paraId="68600027">
                              <w:pPr>
                                <w:pStyle w:val="421"/>
                                <w:bidi w:val="0"/>
                                <w:ind w:left="0" w:leftChars="0" w:firstLine="0" w:firstLineChars="0"/>
                                <w:rPr>
                                  <w:rFonts w:hint="default"/>
                                  <w:lang w:val="en-US"/>
                                </w:rPr>
                              </w:pPr>
                              <w:r>
                                <w:rPr>
                                  <w:rFonts w:hint="eastAsia"/>
                                  <w:lang w:val="en-US" w:eastAsia="zh-CN"/>
                                </w:rPr>
                                <w:t>G4</w:t>
                              </w:r>
                            </w:p>
                          </w:txbxContent>
                        </wps:txbx>
                        <wps:bodyPr vert="horz" wrap="square" lIns="0" tIns="0" rIns="0" bIns="0" anchor="t" anchorCtr="0" upright="1"/>
                      </wps:wsp>
                      <wps:wsp>
                        <wps:cNvPr id="149" name="自选图形 471"/>
                        <wps:cNvCnPr/>
                        <wps:spPr>
                          <a:xfrm flipH="1" flipV="1">
                            <a:off x="19186" y="787913"/>
                            <a:ext cx="3" cy="457"/>
                          </a:xfrm>
                          <a:prstGeom prst="straightConnector1">
                            <a:avLst/>
                          </a:prstGeom>
                          <a:ln w="9525" cap="flat" cmpd="sng">
                            <a:solidFill>
                              <a:srgbClr val="000000"/>
                            </a:solidFill>
                            <a:prstDash val="dash"/>
                            <a:round/>
                            <a:headEnd type="none" w="med" len="med"/>
                            <a:tailEnd type="triangle" w="med" len="med"/>
                          </a:ln>
                        </wps:spPr>
                        <wps:bodyPr/>
                      </wps:wsp>
                      <wps:wsp>
                        <wps:cNvPr id="150" name="自选图形 471"/>
                        <wps:cNvCnPr/>
                        <wps:spPr>
                          <a:xfrm flipH="1" flipV="1">
                            <a:off x="21112" y="787902"/>
                            <a:ext cx="3" cy="457"/>
                          </a:xfrm>
                          <a:prstGeom prst="straightConnector1">
                            <a:avLst/>
                          </a:prstGeom>
                          <a:ln w="9525" cap="flat" cmpd="sng">
                            <a:solidFill>
                              <a:srgbClr val="000000"/>
                            </a:solidFill>
                            <a:prstDash val="dash"/>
                            <a:round/>
                            <a:headEnd type="none" w="med" len="med"/>
                            <a:tailEnd type="triangle" w="med" len="med"/>
                          </a:ln>
                        </wps:spPr>
                        <wps:bodyPr/>
                      </wps:wsp>
                      <wps:wsp>
                        <wps:cNvPr id="151" name="矩形 470"/>
                        <wps:cNvSpPr/>
                        <wps:spPr>
                          <a:xfrm>
                            <a:off x="18905" y="787529"/>
                            <a:ext cx="766" cy="433"/>
                          </a:xfrm>
                          <a:prstGeom prst="rect">
                            <a:avLst/>
                          </a:prstGeom>
                          <a:solidFill>
                            <a:srgbClr val="FFFFFF">
                              <a:alpha val="0"/>
                            </a:srgbClr>
                          </a:solidFill>
                          <a:ln>
                            <a:noFill/>
                          </a:ln>
                        </wps:spPr>
                        <wps:txbx>
                          <w:txbxContent>
                            <w:p w14:paraId="1FB70E89">
                              <w:pPr>
                                <w:pStyle w:val="421"/>
                                <w:bidi w:val="0"/>
                                <w:ind w:left="0" w:leftChars="0" w:firstLine="0" w:firstLineChars="0"/>
                                <w:rPr>
                                  <w:rFonts w:hint="default"/>
                                  <w:lang w:val="en-US"/>
                                </w:rPr>
                              </w:pPr>
                              <w:r>
                                <w:rPr>
                                  <w:rFonts w:hint="eastAsia"/>
                                  <w:lang w:val="en-US" w:eastAsia="zh-CN"/>
                                </w:rPr>
                                <w:t>G5</w:t>
                              </w:r>
                            </w:p>
                          </w:txbxContent>
                        </wps:txbx>
                        <wps:bodyPr vert="horz" wrap="square" lIns="0" tIns="0" rIns="0" bIns="0" anchor="t" anchorCtr="0" upright="1"/>
                      </wps:wsp>
                      <wps:wsp>
                        <wps:cNvPr id="152" name="矩形 470"/>
                        <wps:cNvSpPr/>
                        <wps:spPr>
                          <a:xfrm>
                            <a:off x="20870" y="787514"/>
                            <a:ext cx="1096" cy="433"/>
                          </a:xfrm>
                          <a:prstGeom prst="rect">
                            <a:avLst/>
                          </a:prstGeom>
                          <a:solidFill>
                            <a:srgbClr val="FFFFFF">
                              <a:alpha val="0"/>
                            </a:srgbClr>
                          </a:solidFill>
                          <a:ln>
                            <a:noFill/>
                          </a:ln>
                        </wps:spPr>
                        <wps:txbx>
                          <w:txbxContent>
                            <w:p w14:paraId="4A21DE6A">
                              <w:pPr>
                                <w:pStyle w:val="421"/>
                                <w:bidi w:val="0"/>
                                <w:ind w:left="0" w:leftChars="0" w:firstLine="0" w:firstLineChars="0"/>
                                <w:rPr>
                                  <w:rFonts w:hint="default"/>
                                  <w:lang w:val="en-US"/>
                                </w:rPr>
                              </w:pPr>
                              <w:r>
                                <w:rPr>
                                  <w:rFonts w:hint="eastAsia"/>
                                  <w:lang w:val="en-US" w:eastAsia="zh-CN"/>
                                </w:rPr>
                                <w:t>G6</w:t>
                              </w:r>
                            </w:p>
                          </w:txbxContent>
                        </wps:txbx>
                        <wps:bodyPr vert="horz" wrap="square" lIns="0" tIns="0" rIns="0" bIns="0" anchor="t" anchorCtr="0" upright="1"/>
                      </wps:wsp>
                    </wpg:wgp>
                  </a:graphicData>
                </a:graphic>
              </wp:inline>
            </w:drawing>
          </mc:Choice>
          <mc:Fallback>
            <w:pict>
              <v:group id="组合 255" o:spid="_x0000_s1026" o:spt="203" style="height:110.45pt;width:382.7pt;" coordorigin="16063,787499" coordsize="7654,2209" o:gfxdata="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">
                <o:lock v:ext="edit" aspectratio="f"/>
                <v:rect id="矩形 469" o:spid="_x0000_s1026" o:spt="1" style="position:absolute;left:18561;top:788438;height:433;width:1287;" fillcolor="#FFFFFF" filled="t" stroked="t" coordsize="21600,21600" o:gfxdata="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G9H&#10;usEAAADcAAAADwAAAAAAAAABACAAAAAiAAAAZHJzL2Rvd25yZXYueG1sUEsBAhQAFAAAAAgAh07i&#10;QDMvBZ47AAAAOQAAABAAAAAAAAAAAQAgAAAAEAEAAGRycy9zaGFwZXhtbC54bWxQSwUGAAAAAAYA&#10;BgBbAQAAugMAAAAA&#10;">
                  <v:fill on="t" focussize="0,0"/>
                  <v:stroke color="#000000" joinstyle="miter"/>
                  <v:imagedata o:title=""/>
                  <o:lock v:ext="edit" aspectratio="f"/>
                  <v:textbox inset="0mm,0mm,0mm,0mm">
                    <w:txbxContent>
                      <w:p w14:paraId="7FC5CD81">
                        <w:pPr>
                          <w:pStyle w:val="421"/>
                          <w:bidi w:val="0"/>
                          <w:ind w:left="0" w:leftChars="0" w:firstLine="0" w:firstLineChars="0"/>
                          <w:jc w:val="center"/>
                          <w:rPr>
                            <w:rFonts w:hint="eastAsia" w:eastAsia="宋体"/>
                            <w:lang w:val="en-US" w:eastAsia="zh-CN"/>
                          </w:rPr>
                        </w:pPr>
                        <w:r>
                          <w:rPr>
                            <w:rFonts w:hint="eastAsia"/>
                            <w:lang w:val="en-US" w:eastAsia="zh-CN"/>
                          </w:rPr>
                          <w:t>埋地油罐</w:t>
                        </w:r>
                      </w:p>
                    </w:txbxContent>
                  </v:textbox>
                </v:rect>
                <v:rect id="矩形 470" o:spid="_x0000_s1026" o:spt="1" style="position:absolute;left:16063;top:788385;height:433;width:1512;" fillcolor="#FFFFFF" filled="t" stroked="f" coordsize="21600,21600" o:gfxdata="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RrYd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67ABAFF9">
                        <w:pPr>
                          <w:pStyle w:val="421"/>
                          <w:bidi w:val="0"/>
                          <w:ind w:left="0" w:leftChars="0" w:firstLine="0" w:firstLineChars="0"/>
                          <w:rPr>
                            <w:rFonts w:hint="default"/>
                            <w:lang w:val="en-US"/>
                          </w:rPr>
                        </w:pPr>
                        <w:r>
                          <w:rPr>
                            <w:rFonts w:hint="eastAsia"/>
                            <w:lang w:val="en-US" w:eastAsia="zh-CN"/>
                          </w:rPr>
                          <w:t>柴油油罐车</w:t>
                        </w:r>
                      </w:p>
                    </w:txbxContent>
                  </v:textbox>
                </v:rect>
                <v:shape id="自选图形 471" o:spid="_x0000_s1026" o:spt="32" type="#_x0000_t32" style="position:absolute;left:17688;top:788652;height:2;width:880;" filled="f" stroked="t" coordsize="21600,21600" o:gfxdata="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Uqqi+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471" o:spid="_x0000_s1026" o:spt="32" type="#_x0000_t32" style="position:absolute;left:19870;top:788634;height:1;width:629;" filled="f" stroked="t" coordsize="21600,21600" o:gfxdata="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FnDP&#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shape>
                <v:rect id="矩形 469" o:spid="_x0000_s1026" o:spt="1" style="position:absolute;left:20496;top:788408;height:433;width:1287;" fillcolor="#FFFFFF" filled="t" stroked="t" coordsize="21600,21600" o:gfxdata="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DMCSi/&#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1ADCAA0D">
                        <w:pPr>
                          <w:pStyle w:val="421"/>
                          <w:bidi w:val="0"/>
                          <w:ind w:left="0" w:leftChars="0" w:firstLine="0" w:firstLineChars="0"/>
                          <w:jc w:val="center"/>
                          <w:rPr>
                            <w:rFonts w:hint="eastAsia" w:eastAsia="宋体"/>
                            <w:lang w:val="en-US" w:eastAsia="zh-CN"/>
                          </w:rPr>
                        </w:pPr>
                        <w:r>
                          <w:rPr>
                            <w:rFonts w:hint="eastAsia"/>
                            <w:lang w:val="en-US" w:eastAsia="zh-CN"/>
                          </w:rPr>
                          <w:t>加油机</w:t>
                        </w:r>
                      </w:p>
                    </w:txbxContent>
                  </v:textbox>
                </v:rect>
                <v:shape id="自选图形 471" o:spid="_x0000_s1026" o:spt="32" type="#_x0000_t32" style="position:absolute;left:21805;top:788634;height:1;width:629;" filled="f" stroked="t" coordsize="21600,21600" o:gfxdata="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iEsj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矩形 469" o:spid="_x0000_s1026" o:spt="1" style="position:absolute;left:22431;top:788408;height:433;width:1287;" fillcolor="#FFFFFF" filled="t" stroked="t" coordsize="21600,21600" o:gfxdata="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1Iy&#10;xMEAAADcAAAADwAAAAAAAAABACAAAAAiAAAAZHJzL2Rvd25yZXYueG1sUEsBAhQAFAAAAAgAh07i&#10;QDMvBZ47AAAAOQAAABAAAAAAAAAAAQAgAAAAEAEAAGRycy9zaGFwZXhtbC54bWxQSwUGAAAAAAYA&#10;BgBbAQAAugMAAAAA&#10;">
                  <v:fill on="t" focussize="0,0"/>
                  <v:stroke color="#000000" joinstyle="miter"/>
                  <v:imagedata o:title=""/>
                  <o:lock v:ext="edit" aspectratio="f"/>
                  <v:textbox inset="0mm,0mm,0mm,0mm">
                    <w:txbxContent>
                      <w:p w14:paraId="5E1690F9">
                        <w:pPr>
                          <w:pStyle w:val="421"/>
                          <w:bidi w:val="0"/>
                          <w:ind w:left="0" w:leftChars="0" w:firstLine="0" w:firstLineChars="0"/>
                          <w:jc w:val="center"/>
                          <w:rPr>
                            <w:rFonts w:hint="eastAsia" w:eastAsia="宋体"/>
                            <w:lang w:val="en-US" w:eastAsia="zh-CN"/>
                          </w:rPr>
                        </w:pPr>
                        <w:r>
                          <w:rPr>
                            <w:rFonts w:hint="eastAsia"/>
                            <w:lang w:val="en-US" w:eastAsia="zh-CN"/>
                          </w:rPr>
                          <w:t>加油车辆</w:t>
                        </w:r>
                      </w:p>
                    </w:txbxContent>
                  </v:textbox>
                </v:rect>
                <v:rect id="矩形 470" o:spid="_x0000_s1026" o:spt="1" style="position:absolute;left:17780;top:788259;height:433;width:665;" fillcolor="#FFFFFF" filled="t" stroked="f" coordsize="21600,21600" o:gfxdata="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A3PZb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133295D5">
                        <w:pPr>
                          <w:pStyle w:val="421"/>
                          <w:bidi w:val="0"/>
                          <w:ind w:left="0" w:leftChars="0" w:firstLine="0" w:firstLineChars="0"/>
                          <w:rPr>
                            <w:rFonts w:hint="default"/>
                            <w:lang w:val="en-US"/>
                          </w:rPr>
                        </w:pPr>
                        <w:r>
                          <w:rPr>
                            <w:rFonts w:hint="eastAsia"/>
                            <w:lang w:val="en-US" w:eastAsia="zh-CN"/>
                          </w:rPr>
                          <w:t>卸油</w:t>
                        </w:r>
                      </w:p>
                    </w:txbxContent>
                  </v:textbox>
                </v:rect>
                <v:shape id="自选图形 471" o:spid="_x0000_s1026" o:spt="32" type="#_x0000_t32" style="position:absolute;left:19181;top:788865;height:401;width:0;" filled="f" stroked="t" coordsize="21600,21600" o:gfxdata="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gD8b7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shape>
                <v:rect id="矩形 470" o:spid="_x0000_s1026" o:spt="1" style="position:absolute;left:19046;top:789276;height:433;width:665;" fillcolor="#FFFFFF" filled="t" stroked="f" coordsize="21600,21600" o:gfxdata="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SJugAAANwA&#10;AAAPAAAAAAAAAAEAIAAAACIAAABkcnMvZG93bnJldi54bWxQSwECFAAUAAAACACHTuJAMy8FnjsA&#10;AAA5AAAAEAAAAAAAAAABACAAAAAJAQAAZHJzL3NoYXBleG1sLnhtbFBLBQYAAAAABgAGAFsBAACz&#10;AwAAAAA=&#10;">
                  <v:fill on="t" opacity="0f" focussize="0,0"/>
                  <v:stroke on="f"/>
                  <v:imagedata o:title=""/>
                  <o:lock v:ext="edit" aspectratio="f"/>
                  <v:textbox inset="0mm,0mm,0mm,0mm">
                    <w:txbxContent>
                      <w:p w14:paraId="597B3C63">
                        <w:pPr>
                          <w:pStyle w:val="421"/>
                          <w:bidi w:val="0"/>
                          <w:ind w:left="0" w:leftChars="0" w:firstLine="0" w:firstLineChars="0"/>
                          <w:rPr>
                            <w:rFonts w:hint="default" w:eastAsia="宋体"/>
                            <w:lang w:val="en-US" w:eastAsia="zh-CN"/>
                          </w:rPr>
                        </w:pPr>
                        <w:r>
                          <w:rPr>
                            <w:rFonts w:hint="eastAsia"/>
                            <w:lang w:val="en-US" w:eastAsia="zh-CN"/>
                          </w:rPr>
                          <w:t>S7</w:t>
                        </w:r>
                      </w:p>
                    </w:txbxContent>
                  </v:textbox>
                </v:rect>
                <v:shape id="自选图形 471" o:spid="_x0000_s1026" o:spt="32" type="#_x0000_t32" style="position:absolute;left:16816;top:787928;flip:x y;height:457;width:3;" filled="f" stroked="t" coordsize="21600,21600" o:gfxdata="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YRSAq8AAAA&#10;3A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shape>
                <v:rect id="矩形 470" o:spid="_x0000_s1026" o:spt="1" style="position:absolute;left:16625;top:787499;height:433;width:766;" fillcolor="#FFFFFF" filled="t" stroked="f" coordsize="21600,21600" o:gfxdata="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QMVg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68600027">
                        <w:pPr>
                          <w:pStyle w:val="421"/>
                          <w:bidi w:val="0"/>
                          <w:ind w:left="0" w:leftChars="0" w:firstLine="0" w:firstLineChars="0"/>
                          <w:rPr>
                            <w:rFonts w:hint="default"/>
                            <w:lang w:val="en-US"/>
                          </w:rPr>
                        </w:pPr>
                        <w:r>
                          <w:rPr>
                            <w:rFonts w:hint="eastAsia"/>
                            <w:lang w:val="en-US" w:eastAsia="zh-CN"/>
                          </w:rPr>
                          <w:t>G4</w:t>
                        </w:r>
                      </w:p>
                    </w:txbxContent>
                  </v:textbox>
                </v:rect>
                <v:shape id="自选图形 471" o:spid="_x0000_s1026" o:spt="32" type="#_x0000_t32" style="position:absolute;left:19186;top:787913;flip:x y;height:457;width:3;" filled="f" stroked="t" coordsize="21600,21600" o:gfxdata="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jCeeO8AAAA&#10;3A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shape>
                <v:shape id="自选图形 471" o:spid="_x0000_s1026" o:spt="32" type="#_x0000_t32" style="position:absolute;left:21112;top:787902;flip:x y;height:457;width:3;" filled="f" stroked="t" coordsize="21600,21600" o:gfxdata="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IUaj&#10;wAAAANw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shape>
                <v:rect id="矩形 470" o:spid="_x0000_s1026" o:spt="1" style="position:absolute;left:18905;top:787529;height:433;width:766;" fillcolor="#FFFFFF" filled="t" stroked="f" coordsize="21600,21600" o:gfxdata="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aP6IL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1FB70E89">
                        <w:pPr>
                          <w:pStyle w:val="421"/>
                          <w:bidi w:val="0"/>
                          <w:ind w:left="0" w:leftChars="0" w:firstLine="0" w:firstLineChars="0"/>
                          <w:rPr>
                            <w:rFonts w:hint="default"/>
                            <w:lang w:val="en-US"/>
                          </w:rPr>
                        </w:pPr>
                        <w:r>
                          <w:rPr>
                            <w:rFonts w:hint="eastAsia"/>
                            <w:lang w:val="en-US" w:eastAsia="zh-CN"/>
                          </w:rPr>
                          <w:t>G5</w:t>
                        </w:r>
                      </w:p>
                    </w:txbxContent>
                  </v:textbox>
                </v:rect>
                <v:rect id="矩形 470" o:spid="_x0000_s1026" o:spt="1" style="position:absolute;left:20870;top:787514;height:433;width:1096;" fillcolor="#FFFFFF" filled="t" stroked="f" coordsize="21600,21600" o:gfxdata="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XFkV7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4A21DE6A">
                        <w:pPr>
                          <w:pStyle w:val="421"/>
                          <w:bidi w:val="0"/>
                          <w:ind w:left="0" w:leftChars="0" w:firstLine="0" w:firstLineChars="0"/>
                          <w:rPr>
                            <w:rFonts w:hint="default"/>
                            <w:lang w:val="en-US"/>
                          </w:rPr>
                        </w:pPr>
                        <w:r>
                          <w:rPr>
                            <w:rFonts w:hint="eastAsia"/>
                            <w:lang w:val="en-US" w:eastAsia="zh-CN"/>
                          </w:rPr>
                          <w:t>G6</w:t>
                        </w:r>
                      </w:p>
                    </w:txbxContent>
                  </v:textbox>
                </v:rect>
                <w10:wrap type="none"/>
                <w10:anchorlock/>
              </v:group>
            </w:pict>
          </mc:Fallback>
        </mc:AlternateContent>
      </w:r>
    </w:p>
    <w:p w14:paraId="3E034856">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3</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3</w:t>
      </w:r>
      <w:r>
        <w:rPr>
          <w:rFonts w:hint="eastAsia"/>
          <w:b/>
          <w:color w:val="auto"/>
          <w:sz w:val="24"/>
          <w:highlight w:val="none"/>
          <w:lang w:val="en-US" w:eastAsia="zh-CN"/>
        </w:rPr>
        <w:t xml:space="preserve">  </w:t>
      </w:r>
      <w:r>
        <w:rPr>
          <w:rFonts w:hint="eastAsia" w:ascii="Times New Roman" w:hAnsi="Times New Roman" w:eastAsia="宋体"/>
          <w:b/>
          <w:color w:val="auto"/>
          <w:sz w:val="24"/>
          <w:highlight w:val="none"/>
          <w:lang w:val="en-US" w:eastAsia="zh-CN"/>
        </w:rPr>
        <w:t>柴油加油过程工艺流程</w:t>
      </w:r>
      <w:r>
        <w:rPr>
          <w:rFonts w:ascii="Times New Roman" w:hAnsi="Times New Roman" w:eastAsia="宋体"/>
          <w:b/>
          <w:color w:val="auto"/>
          <w:sz w:val="24"/>
          <w:highlight w:val="none"/>
        </w:rPr>
        <w:t>及产污节点</w:t>
      </w:r>
    </w:p>
    <w:p w14:paraId="5623C23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一、柴油加油</w:t>
      </w:r>
      <w:r>
        <w:rPr>
          <w:rFonts w:hint="eastAsia" w:ascii="Times New Roman" w:hAnsi="Times New Roman" w:eastAsia="宋体"/>
          <w:b/>
          <w:color w:val="auto"/>
          <w:kern w:val="2"/>
          <w:sz w:val="24"/>
          <w:szCs w:val="22"/>
          <w:highlight w:val="none"/>
          <w:lang w:val="en-US" w:eastAsia="zh-CN" w:bidi="ar-SA"/>
        </w:rPr>
        <w:t>工艺流程简述：</w:t>
      </w:r>
    </w:p>
    <w:p w14:paraId="6226F58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kern w:val="2"/>
          <w:sz w:val="24"/>
          <w:szCs w:val="22"/>
          <w:highlight w:val="none"/>
          <w:lang w:val="en-US" w:eastAsia="zh-CN" w:bidi="ar-SA"/>
        </w:rPr>
        <w:t>（1）</w:t>
      </w:r>
      <w:r>
        <w:rPr>
          <w:rFonts w:hint="eastAsia" w:ascii="Times New Roman" w:hAnsi="Times New Roman" w:eastAsia="宋体" w:cs="Times New Roman"/>
          <w:color w:val="auto"/>
          <w:sz w:val="24"/>
          <w:highlight w:val="none"/>
          <w:lang w:val="en-US" w:eastAsia="zh-CN"/>
        </w:rPr>
        <w:t>卸油过程：油罐车将柴油运至场地内再通过密闭卸油点把柴油卸至埋地油罐。在油罐车卸油过程中，储油车内压力减小，地下储罐内压力增加，地下储罐与油罐车内的压力差，使卸油过程中地下油罐内产生的油气通过立管排放，油罐车内产生的油气通过呼吸控制阀挥发油气。储油罐一般5年清理一次，清罐时将产生清罐油渣和清罐废水，统称为S7清罐废物。</w:t>
      </w:r>
    </w:p>
    <w:p w14:paraId="01E94DE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kern w:val="2"/>
          <w:sz w:val="24"/>
          <w:szCs w:val="22"/>
          <w:highlight w:val="none"/>
          <w:lang w:val="en-US" w:eastAsia="zh-CN" w:bidi="ar-SA"/>
        </w:rPr>
        <w:t>（2）</w:t>
      </w:r>
      <w:r>
        <w:rPr>
          <w:rFonts w:hint="eastAsia" w:ascii="Times New Roman" w:hAnsi="Times New Roman" w:eastAsia="宋体" w:cs="Times New Roman"/>
          <w:color w:val="auto"/>
          <w:sz w:val="24"/>
          <w:highlight w:val="none"/>
          <w:lang w:val="en-US" w:eastAsia="zh-CN"/>
        </w:rPr>
        <w:t>加油过程：加油机通过加油枪给汽车油罐加油，油通过潜污泵从埋地油罐输送至加油机。加油过程中通过计量器进行计量，加油车辆油罐随着柴油的注入，车辆油罐内产生的油气逸散至大气中。加油过程产生加油机的运行噪声。</w:t>
      </w:r>
    </w:p>
    <w:p w14:paraId="1B8EEE6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kern w:val="2"/>
          <w:sz w:val="24"/>
          <w:szCs w:val="22"/>
          <w:highlight w:val="none"/>
          <w:lang w:val="en-US" w:eastAsia="zh-CN" w:bidi="ar-SA"/>
        </w:rPr>
        <w:t>二、</w:t>
      </w:r>
      <w:r>
        <w:rPr>
          <w:rFonts w:hint="eastAsia" w:ascii="Times New Roman" w:hAnsi="Times New Roman" w:eastAsia="宋体" w:cs="Times New Roman"/>
          <w:b/>
          <w:bCs/>
          <w:color w:val="auto"/>
          <w:sz w:val="24"/>
          <w:highlight w:val="none"/>
          <w:lang w:val="en-US" w:eastAsia="zh-CN"/>
        </w:rPr>
        <w:t>汽油加油过程</w:t>
      </w:r>
    </w:p>
    <w:p w14:paraId="15D5C6C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Times New Roman" w:cs="Times New Roman"/>
          <w:color w:val="auto"/>
          <w:sz w:val="24"/>
          <w:highlight w:val="none"/>
          <w:lang w:val="zh-CN"/>
        </w:rPr>
      </w:pPr>
      <w:r>
        <w:rPr>
          <w:color w:val="auto"/>
          <w:sz w:val="24"/>
          <w:highlight w:val="none"/>
        </w:rPr>
        <mc:AlternateContent>
          <mc:Choice Requires="wpg">
            <w:drawing>
              <wp:inline distT="0" distB="0" distL="114300" distR="114300">
                <wp:extent cx="5046980" cy="1591310"/>
                <wp:effectExtent l="0" t="0" r="0" b="0"/>
                <wp:docPr id="283" name="组合 886"/>
                <wp:cNvGraphicFramePr/>
                <a:graphic xmlns:a="http://schemas.openxmlformats.org/drawingml/2006/main">
                  <a:graphicData uri="http://schemas.microsoft.com/office/word/2010/wordprocessingGroup">
                    <wpg:wgp>
                      <wpg:cNvGrpSpPr/>
                      <wpg:grpSpPr>
                        <a:xfrm>
                          <a:off x="0" y="0"/>
                          <a:ext cx="5046980" cy="1591310"/>
                          <a:chOff x="7373" y="1449729"/>
                          <a:chExt cx="7948" cy="2506"/>
                        </a:xfrm>
                      </wpg:grpSpPr>
                      <wps:wsp>
                        <wps:cNvPr id="262" name="矩形 469"/>
                        <wps:cNvSpPr/>
                        <wps:spPr>
                          <a:xfrm>
                            <a:off x="10165" y="1451004"/>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592FDB6">
                              <w:pPr>
                                <w:pStyle w:val="421"/>
                                <w:bidi w:val="0"/>
                                <w:ind w:left="0" w:leftChars="0" w:firstLine="0" w:firstLineChars="0"/>
                                <w:jc w:val="center"/>
                                <w:rPr>
                                  <w:rFonts w:hint="eastAsia" w:eastAsia="宋体"/>
                                  <w:lang w:val="en-US" w:eastAsia="zh-CN"/>
                                </w:rPr>
                              </w:pPr>
                              <w:r>
                                <w:rPr>
                                  <w:rFonts w:hint="eastAsia"/>
                                  <w:lang w:val="en-US" w:eastAsia="zh-CN"/>
                                </w:rPr>
                                <w:t>埋地油罐</w:t>
                              </w:r>
                            </w:p>
                          </w:txbxContent>
                        </wps:txbx>
                        <wps:bodyPr vert="horz" wrap="square" lIns="0" tIns="0" rIns="0" bIns="0" anchor="t" anchorCtr="0" upright="1"/>
                      </wps:wsp>
                      <wps:wsp>
                        <wps:cNvPr id="263" name="矩形 470"/>
                        <wps:cNvSpPr/>
                        <wps:spPr>
                          <a:xfrm>
                            <a:off x="7373" y="1450928"/>
                            <a:ext cx="1512" cy="433"/>
                          </a:xfrm>
                          <a:prstGeom prst="rect">
                            <a:avLst/>
                          </a:prstGeom>
                          <a:solidFill>
                            <a:srgbClr val="FFFFFF">
                              <a:alpha val="0"/>
                            </a:srgbClr>
                          </a:solidFill>
                          <a:ln>
                            <a:noFill/>
                          </a:ln>
                        </wps:spPr>
                        <wps:txbx>
                          <w:txbxContent>
                            <w:p w14:paraId="505C6BF5">
                              <w:pPr>
                                <w:pStyle w:val="421"/>
                                <w:bidi w:val="0"/>
                                <w:ind w:left="0" w:leftChars="0" w:firstLine="0" w:firstLineChars="0"/>
                                <w:rPr>
                                  <w:rFonts w:hint="default"/>
                                  <w:lang w:val="en-US"/>
                                </w:rPr>
                              </w:pPr>
                              <w:r>
                                <w:rPr>
                                  <w:rFonts w:hint="eastAsia"/>
                                  <w:lang w:val="en-US" w:eastAsia="zh-CN"/>
                                </w:rPr>
                                <w:t>汽油油罐车</w:t>
                              </w:r>
                            </w:p>
                          </w:txbxContent>
                        </wps:txbx>
                        <wps:bodyPr vert="horz" wrap="square" lIns="0" tIns="0" rIns="0" bIns="0" anchor="t" anchorCtr="0" upright="1"/>
                      </wps:wsp>
                      <wps:wsp>
                        <wps:cNvPr id="264" name="自选图形 471"/>
                        <wps:cNvCnPr/>
                        <wps:spPr>
                          <a:xfrm>
                            <a:off x="8982" y="1451211"/>
                            <a:ext cx="1190" cy="9"/>
                          </a:xfrm>
                          <a:prstGeom prst="straightConnector1">
                            <a:avLst/>
                          </a:prstGeom>
                          <a:ln w="9525" cap="flat" cmpd="sng">
                            <a:solidFill>
                              <a:srgbClr val="000000"/>
                            </a:solidFill>
                            <a:prstDash val="solid"/>
                            <a:round/>
                            <a:headEnd type="none" w="med" len="med"/>
                            <a:tailEnd type="triangle" w="med" len="med"/>
                          </a:ln>
                        </wps:spPr>
                        <wps:bodyPr/>
                      </wps:wsp>
                      <wps:wsp>
                        <wps:cNvPr id="265" name="自选图形 471"/>
                        <wps:cNvCnPr/>
                        <wps:spPr>
                          <a:xfrm>
                            <a:off x="11474" y="1451200"/>
                            <a:ext cx="629" cy="1"/>
                          </a:xfrm>
                          <a:prstGeom prst="straightConnector1">
                            <a:avLst/>
                          </a:prstGeom>
                          <a:ln w="9525" cap="flat" cmpd="sng">
                            <a:solidFill>
                              <a:srgbClr val="000000"/>
                            </a:solidFill>
                            <a:prstDash val="solid"/>
                            <a:round/>
                            <a:headEnd type="none" w="med" len="med"/>
                            <a:tailEnd type="triangle" w="med" len="med"/>
                          </a:ln>
                        </wps:spPr>
                        <wps:bodyPr/>
                      </wps:wsp>
                      <wps:wsp>
                        <wps:cNvPr id="266" name="矩形 469"/>
                        <wps:cNvSpPr/>
                        <wps:spPr>
                          <a:xfrm>
                            <a:off x="12100" y="1450974"/>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DCC368D">
                              <w:pPr>
                                <w:pStyle w:val="421"/>
                                <w:bidi w:val="0"/>
                                <w:ind w:left="0" w:leftChars="0" w:firstLine="0" w:firstLineChars="0"/>
                                <w:jc w:val="center"/>
                                <w:rPr>
                                  <w:rFonts w:hint="eastAsia" w:eastAsia="宋体"/>
                                  <w:lang w:val="en-US" w:eastAsia="zh-CN"/>
                                </w:rPr>
                              </w:pPr>
                              <w:r>
                                <w:rPr>
                                  <w:rFonts w:hint="eastAsia"/>
                                  <w:lang w:val="en-US" w:eastAsia="zh-CN"/>
                                </w:rPr>
                                <w:t>加油机</w:t>
                              </w:r>
                            </w:p>
                          </w:txbxContent>
                        </wps:txbx>
                        <wps:bodyPr vert="horz" wrap="square" lIns="0" tIns="0" rIns="0" bIns="0" anchor="t" anchorCtr="0" upright="1"/>
                      </wps:wsp>
                      <wps:wsp>
                        <wps:cNvPr id="267" name="自选图形 471"/>
                        <wps:cNvCnPr/>
                        <wps:spPr>
                          <a:xfrm>
                            <a:off x="13409" y="1451200"/>
                            <a:ext cx="629" cy="1"/>
                          </a:xfrm>
                          <a:prstGeom prst="straightConnector1">
                            <a:avLst/>
                          </a:prstGeom>
                          <a:ln w="9525" cap="flat" cmpd="sng">
                            <a:solidFill>
                              <a:srgbClr val="000000"/>
                            </a:solidFill>
                            <a:prstDash val="solid"/>
                            <a:round/>
                            <a:headEnd type="none" w="med" len="med"/>
                            <a:tailEnd type="triangle" w="med" len="med"/>
                          </a:ln>
                        </wps:spPr>
                        <wps:bodyPr/>
                      </wps:wsp>
                      <wps:wsp>
                        <wps:cNvPr id="268" name="矩形 469"/>
                        <wps:cNvSpPr/>
                        <wps:spPr>
                          <a:xfrm>
                            <a:off x="14035" y="1450974"/>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6F4BB99">
                              <w:pPr>
                                <w:pStyle w:val="421"/>
                                <w:bidi w:val="0"/>
                                <w:ind w:left="0" w:leftChars="0" w:firstLine="0" w:firstLineChars="0"/>
                                <w:jc w:val="center"/>
                                <w:rPr>
                                  <w:rFonts w:hint="eastAsia" w:eastAsia="宋体"/>
                                  <w:lang w:val="en-US" w:eastAsia="zh-CN"/>
                                </w:rPr>
                              </w:pPr>
                              <w:r>
                                <w:rPr>
                                  <w:rFonts w:hint="eastAsia"/>
                                  <w:lang w:val="en-US" w:eastAsia="zh-CN"/>
                                </w:rPr>
                                <w:t>加油车辆</w:t>
                              </w:r>
                            </w:p>
                          </w:txbxContent>
                        </wps:txbx>
                        <wps:bodyPr vert="horz" wrap="square" lIns="0" tIns="0" rIns="0" bIns="0" anchor="t" anchorCtr="0" upright="1"/>
                      </wps:wsp>
                      <wps:wsp>
                        <wps:cNvPr id="269" name="矩形 470"/>
                        <wps:cNvSpPr/>
                        <wps:spPr>
                          <a:xfrm>
                            <a:off x="9384" y="1450825"/>
                            <a:ext cx="665" cy="433"/>
                          </a:xfrm>
                          <a:prstGeom prst="rect">
                            <a:avLst/>
                          </a:prstGeom>
                          <a:solidFill>
                            <a:srgbClr val="FFFFFF">
                              <a:alpha val="0"/>
                            </a:srgbClr>
                          </a:solidFill>
                          <a:ln>
                            <a:noFill/>
                          </a:ln>
                        </wps:spPr>
                        <wps:txbx>
                          <w:txbxContent>
                            <w:p w14:paraId="6700336F">
                              <w:pPr>
                                <w:pStyle w:val="421"/>
                                <w:bidi w:val="0"/>
                                <w:ind w:left="0" w:leftChars="0" w:firstLine="0" w:firstLineChars="0"/>
                                <w:rPr>
                                  <w:rFonts w:hint="default"/>
                                  <w:lang w:val="en-US"/>
                                </w:rPr>
                              </w:pPr>
                              <w:r>
                                <w:rPr>
                                  <w:rFonts w:hint="eastAsia"/>
                                  <w:lang w:val="en-US" w:eastAsia="zh-CN"/>
                                </w:rPr>
                                <w:t>卸油</w:t>
                              </w:r>
                            </w:p>
                          </w:txbxContent>
                        </wps:txbx>
                        <wps:bodyPr vert="horz" wrap="square" lIns="0" tIns="0" rIns="0" bIns="0" anchor="t" anchorCtr="0" upright="1"/>
                      </wps:wsp>
                      <wps:wsp>
                        <wps:cNvPr id="270" name="自选图形 471"/>
                        <wps:cNvCnPr/>
                        <wps:spPr>
                          <a:xfrm>
                            <a:off x="10785" y="1451431"/>
                            <a:ext cx="0" cy="401"/>
                          </a:xfrm>
                          <a:prstGeom prst="straightConnector1">
                            <a:avLst/>
                          </a:prstGeom>
                          <a:ln w="9525" cap="flat" cmpd="sng">
                            <a:solidFill>
                              <a:srgbClr val="000000"/>
                            </a:solidFill>
                            <a:prstDash val="dash"/>
                            <a:round/>
                            <a:headEnd type="none" w="med" len="med"/>
                            <a:tailEnd type="triangle" w="med" len="med"/>
                          </a:ln>
                        </wps:spPr>
                        <wps:bodyPr/>
                      </wps:wsp>
                      <wps:wsp>
                        <wps:cNvPr id="271" name="矩形 470"/>
                        <wps:cNvSpPr/>
                        <wps:spPr>
                          <a:xfrm>
                            <a:off x="10635" y="1451803"/>
                            <a:ext cx="665" cy="433"/>
                          </a:xfrm>
                          <a:prstGeom prst="rect">
                            <a:avLst/>
                          </a:prstGeom>
                          <a:solidFill>
                            <a:srgbClr val="FFFFFF">
                              <a:alpha val="0"/>
                            </a:srgbClr>
                          </a:solidFill>
                          <a:ln>
                            <a:noFill/>
                          </a:ln>
                        </wps:spPr>
                        <wps:txbx>
                          <w:txbxContent>
                            <w:p w14:paraId="7FA8F44B">
                              <w:pPr>
                                <w:pStyle w:val="421"/>
                                <w:bidi w:val="0"/>
                                <w:ind w:left="0" w:leftChars="0" w:firstLine="0" w:firstLineChars="0"/>
                                <w:rPr>
                                  <w:rFonts w:hint="default" w:eastAsia="宋体"/>
                                  <w:lang w:val="en-US" w:eastAsia="zh-CN"/>
                                </w:rPr>
                              </w:pPr>
                              <w:r>
                                <w:rPr>
                                  <w:rFonts w:hint="eastAsia"/>
                                  <w:lang w:val="en-US" w:eastAsia="zh-CN"/>
                                </w:rPr>
                                <w:t>S7</w:t>
                              </w:r>
                            </w:p>
                          </w:txbxContent>
                        </wps:txbx>
                        <wps:bodyPr vert="horz" wrap="square" lIns="0" tIns="0" rIns="0" bIns="0" anchor="t" anchorCtr="0" upright="1"/>
                      </wps:wsp>
                      <wps:wsp>
                        <wps:cNvPr id="272" name="自选图形 471"/>
                        <wps:cNvCnPr>
                          <a:stCxn id="276" idx="1"/>
                        </wps:cNvCnPr>
                        <wps:spPr>
                          <a:xfrm flipH="1">
                            <a:off x="7717" y="1449946"/>
                            <a:ext cx="589" cy="6"/>
                          </a:xfrm>
                          <a:prstGeom prst="straightConnector1">
                            <a:avLst/>
                          </a:prstGeom>
                          <a:ln w="9525" cap="flat" cmpd="sng">
                            <a:solidFill>
                              <a:srgbClr val="000000"/>
                            </a:solidFill>
                            <a:prstDash val="dash"/>
                            <a:round/>
                            <a:headEnd type="none" w="med" len="med"/>
                            <a:tailEnd type="none" w="med" len="med"/>
                          </a:ln>
                        </wps:spPr>
                        <wps:bodyPr/>
                      </wps:wsp>
                      <wps:wsp>
                        <wps:cNvPr id="273" name="自选图形 471"/>
                        <wps:cNvCnPr/>
                        <wps:spPr>
                          <a:xfrm flipV="1">
                            <a:off x="10617" y="1450174"/>
                            <a:ext cx="2" cy="837"/>
                          </a:xfrm>
                          <a:prstGeom prst="straightConnector1">
                            <a:avLst/>
                          </a:prstGeom>
                          <a:ln w="9525" cap="flat" cmpd="sng">
                            <a:solidFill>
                              <a:srgbClr val="000000"/>
                            </a:solidFill>
                            <a:prstDash val="dash"/>
                            <a:round/>
                            <a:headEnd type="none" w="med" len="med"/>
                            <a:tailEnd type="triangle" w="med" len="med"/>
                          </a:ln>
                        </wps:spPr>
                        <wps:bodyPr/>
                      </wps:wsp>
                      <wps:wsp>
                        <wps:cNvPr id="274" name="自选图形 471"/>
                        <wps:cNvCnPr>
                          <a:stCxn id="266" idx="0"/>
                        </wps:cNvCnPr>
                        <wps:spPr>
                          <a:xfrm flipV="1">
                            <a:off x="12744" y="1450188"/>
                            <a:ext cx="2" cy="786"/>
                          </a:xfrm>
                          <a:prstGeom prst="straightConnector1">
                            <a:avLst/>
                          </a:prstGeom>
                          <a:ln w="9525" cap="flat" cmpd="sng">
                            <a:solidFill>
                              <a:srgbClr val="000000"/>
                            </a:solidFill>
                            <a:prstDash val="dash"/>
                            <a:round/>
                            <a:headEnd type="none" w="med" len="med"/>
                            <a:tailEnd type="triangle" w="med" len="med"/>
                          </a:ln>
                        </wps:spPr>
                        <wps:bodyPr/>
                      </wps:wsp>
                      <wps:wsp>
                        <wps:cNvPr id="275" name="矩形 470"/>
                        <wps:cNvSpPr/>
                        <wps:spPr>
                          <a:xfrm>
                            <a:off x="12784" y="1450425"/>
                            <a:ext cx="766" cy="433"/>
                          </a:xfrm>
                          <a:prstGeom prst="rect">
                            <a:avLst/>
                          </a:prstGeom>
                          <a:solidFill>
                            <a:srgbClr val="FFFFFF">
                              <a:alpha val="0"/>
                            </a:srgbClr>
                          </a:solidFill>
                          <a:ln>
                            <a:noFill/>
                          </a:ln>
                        </wps:spPr>
                        <wps:txbx>
                          <w:txbxContent>
                            <w:p w14:paraId="7F749EFC">
                              <w:pPr>
                                <w:pStyle w:val="421"/>
                                <w:bidi w:val="0"/>
                                <w:ind w:left="0" w:leftChars="0" w:firstLine="0" w:firstLineChars="0"/>
                                <w:rPr>
                                  <w:rFonts w:hint="default"/>
                                  <w:lang w:val="en-US"/>
                                </w:rPr>
                              </w:pPr>
                              <w:r>
                                <w:rPr>
                                  <w:rFonts w:hint="eastAsia"/>
                                  <w:lang w:val="en-US" w:eastAsia="zh-CN"/>
                                </w:rPr>
                                <w:t>油气</w:t>
                              </w:r>
                            </w:p>
                          </w:txbxContent>
                        </wps:txbx>
                        <wps:bodyPr vert="horz" wrap="square" lIns="0" tIns="0" rIns="0" bIns="0" anchor="t" anchorCtr="0" upright="1"/>
                      </wps:wsp>
                      <wps:wsp>
                        <wps:cNvPr id="276" name="矩形 469"/>
                        <wps:cNvSpPr/>
                        <wps:spPr>
                          <a:xfrm>
                            <a:off x="8306" y="1449729"/>
                            <a:ext cx="2455"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A5DE10">
                              <w:pPr>
                                <w:pStyle w:val="421"/>
                                <w:bidi w:val="0"/>
                                <w:ind w:left="0" w:leftChars="0" w:firstLine="0" w:firstLineChars="0"/>
                                <w:jc w:val="center"/>
                                <w:rPr>
                                  <w:rFonts w:hint="eastAsia" w:eastAsia="宋体"/>
                                  <w:lang w:val="en-US" w:eastAsia="zh-CN"/>
                                </w:rPr>
                              </w:pPr>
                              <w:r>
                                <w:rPr>
                                  <w:rFonts w:hint="eastAsia"/>
                                  <w:lang w:val="en-US" w:eastAsia="zh-CN"/>
                                </w:rPr>
                                <w:t>一次油气回收系统</w:t>
                              </w:r>
                            </w:p>
                          </w:txbxContent>
                        </wps:txbx>
                        <wps:bodyPr vert="horz" wrap="square" lIns="0" tIns="0" rIns="0" bIns="0" anchor="t" anchorCtr="0" upright="1"/>
                      </wps:wsp>
                      <wps:wsp>
                        <wps:cNvPr id="277" name="矩形 469"/>
                        <wps:cNvSpPr/>
                        <wps:spPr>
                          <a:xfrm>
                            <a:off x="11255" y="1449753"/>
                            <a:ext cx="2455"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D3E7B6E">
                              <w:pPr>
                                <w:pStyle w:val="421"/>
                                <w:bidi w:val="0"/>
                                <w:ind w:left="0" w:leftChars="0" w:firstLine="0" w:firstLineChars="0"/>
                                <w:jc w:val="center"/>
                                <w:rPr>
                                  <w:rFonts w:hint="eastAsia" w:eastAsia="宋体"/>
                                  <w:lang w:val="en-US" w:eastAsia="zh-CN"/>
                                </w:rPr>
                              </w:pPr>
                              <w:r>
                                <w:rPr>
                                  <w:rFonts w:hint="eastAsia"/>
                                  <w:lang w:val="en-US" w:eastAsia="zh-CN"/>
                                </w:rPr>
                                <w:t>二次油气回收系统</w:t>
                              </w:r>
                            </w:p>
                          </w:txbxContent>
                        </wps:txbx>
                        <wps:bodyPr vert="horz" wrap="square" lIns="0" tIns="0" rIns="0" bIns="0" anchor="t" anchorCtr="0" upright="1"/>
                      </wps:wsp>
                      <wps:wsp>
                        <wps:cNvPr id="278" name="自选图形 471"/>
                        <wps:cNvCnPr/>
                        <wps:spPr>
                          <a:xfrm>
                            <a:off x="11417" y="1450194"/>
                            <a:ext cx="0" cy="823"/>
                          </a:xfrm>
                          <a:prstGeom prst="straightConnector1">
                            <a:avLst/>
                          </a:prstGeom>
                          <a:ln w="9525" cap="flat" cmpd="sng">
                            <a:solidFill>
                              <a:srgbClr val="000000"/>
                            </a:solidFill>
                            <a:prstDash val="dash"/>
                            <a:round/>
                            <a:headEnd type="none" w="med" len="med"/>
                            <a:tailEnd type="triangle" w="med" len="med"/>
                          </a:ln>
                        </wps:spPr>
                        <wps:bodyPr/>
                      </wps:wsp>
                      <wps:wsp>
                        <wps:cNvPr id="279" name="自选图形 471"/>
                        <wps:cNvCnPr/>
                        <wps:spPr>
                          <a:xfrm>
                            <a:off x="7728" y="1449988"/>
                            <a:ext cx="6" cy="1000"/>
                          </a:xfrm>
                          <a:prstGeom prst="straightConnector1">
                            <a:avLst/>
                          </a:prstGeom>
                          <a:ln w="9525" cap="flat" cmpd="sng">
                            <a:solidFill>
                              <a:srgbClr val="000000"/>
                            </a:solidFill>
                            <a:prstDash val="dash"/>
                            <a:round/>
                            <a:headEnd type="none" w="med" len="med"/>
                            <a:tailEnd type="triangle" w="med" len="med"/>
                          </a:ln>
                        </wps:spPr>
                        <wps:bodyPr/>
                      </wps:wsp>
                      <wps:wsp>
                        <wps:cNvPr id="280" name="矩形 470"/>
                        <wps:cNvSpPr/>
                        <wps:spPr>
                          <a:xfrm>
                            <a:off x="11436" y="1450425"/>
                            <a:ext cx="766" cy="433"/>
                          </a:xfrm>
                          <a:prstGeom prst="rect">
                            <a:avLst/>
                          </a:prstGeom>
                          <a:solidFill>
                            <a:srgbClr val="FFFFFF">
                              <a:alpha val="0"/>
                            </a:srgbClr>
                          </a:solidFill>
                          <a:ln>
                            <a:noFill/>
                          </a:ln>
                        </wps:spPr>
                        <wps:txbx>
                          <w:txbxContent>
                            <w:p w14:paraId="210D1551">
                              <w:pPr>
                                <w:pStyle w:val="421"/>
                                <w:bidi w:val="0"/>
                                <w:ind w:left="0" w:leftChars="0" w:firstLine="0" w:firstLineChars="0"/>
                                <w:rPr>
                                  <w:rFonts w:hint="default"/>
                                  <w:lang w:val="en-US"/>
                                </w:rPr>
                              </w:pPr>
                              <w:r>
                                <w:rPr>
                                  <w:rFonts w:hint="eastAsia"/>
                                  <w:lang w:val="en-US" w:eastAsia="zh-CN"/>
                                </w:rPr>
                                <w:t>油气</w:t>
                              </w:r>
                            </w:p>
                          </w:txbxContent>
                        </wps:txbx>
                        <wps:bodyPr vert="horz" wrap="square" lIns="0" tIns="0" rIns="0" bIns="0" anchor="t" anchorCtr="0" upright="1"/>
                      </wps:wsp>
                      <wps:wsp>
                        <wps:cNvPr id="281" name="矩形 470"/>
                        <wps:cNvSpPr/>
                        <wps:spPr>
                          <a:xfrm>
                            <a:off x="10066" y="1450419"/>
                            <a:ext cx="766" cy="433"/>
                          </a:xfrm>
                          <a:prstGeom prst="rect">
                            <a:avLst/>
                          </a:prstGeom>
                          <a:solidFill>
                            <a:srgbClr val="FFFFFF">
                              <a:alpha val="0"/>
                            </a:srgbClr>
                          </a:solidFill>
                          <a:ln>
                            <a:noFill/>
                          </a:ln>
                        </wps:spPr>
                        <wps:txbx>
                          <w:txbxContent>
                            <w:p w14:paraId="6E99B75B">
                              <w:pPr>
                                <w:pStyle w:val="421"/>
                                <w:bidi w:val="0"/>
                                <w:ind w:left="0" w:leftChars="0" w:firstLine="0" w:firstLineChars="0"/>
                                <w:rPr>
                                  <w:rFonts w:hint="default"/>
                                  <w:lang w:val="en-US"/>
                                </w:rPr>
                              </w:pPr>
                              <w:r>
                                <w:rPr>
                                  <w:rFonts w:hint="eastAsia"/>
                                  <w:lang w:val="en-US" w:eastAsia="zh-CN"/>
                                </w:rPr>
                                <w:t>油气</w:t>
                              </w:r>
                            </w:p>
                          </w:txbxContent>
                        </wps:txbx>
                        <wps:bodyPr vert="horz" wrap="square" lIns="0" tIns="0" rIns="0" bIns="0" anchor="t" anchorCtr="0" upright="1"/>
                      </wps:wsp>
                      <wps:wsp>
                        <wps:cNvPr id="282" name="矩形 470"/>
                        <wps:cNvSpPr/>
                        <wps:spPr>
                          <a:xfrm>
                            <a:off x="7790" y="1450366"/>
                            <a:ext cx="766" cy="433"/>
                          </a:xfrm>
                          <a:prstGeom prst="rect">
                            <a:avLst/>
                          </a:prstGeom>
                          <a:solidFill>
                            <a:srgbClr val="FFFFFF">
                              <a:alpha val="0"/>
                            </a:srgbClr>
                          </a:solidFill>
                          <a:ln>
                            <a:noFill/>
                          </a:ln>
                        </wps:spPr>
                        <wps:txbx>
                          <w:txbxContent>
                            <w:p w14:paraId="0C48B7FE">
                              <w:pPr>
                                <w:pStyle w:val="421"/>
                                <w:bidi w:val="0"/>
                                <w:ind w:left="0" w:leftChars="0" w:firstLine="0" w:firstLineChars="0"/>
                                <w:rPr>
                                  <w:rFonts w:hint="default"/>
                                  <w:lang w:val="en-US"/>
                                </w:rPr>
                              </w:pPr>
                              <w:r>
                                <w:rPr>
                                  <w:rFonts w:hint="eastAsia"/>
                                  <w:lang w:val="en-US" w:eastAsia="zh-CN"/>
                                </w:rPr>
                                <w:t>油气</w:t>
                              </w:r>
                            </w:p>
                          </w:txbxContent>
                        </wps:txbx>
                        <wps:bodyPr vert="horz" wrap="square" lIns="0" tIns="0" rIns="0" bIns="0" anchor="t" anchorCtr="0" upright="1"/>
                      </wps:wsp>
                    </wpg:wgp>
                  </a:graphicData>
                </a:graphic>
              </wp:inline>
            </w:drawing>
          </mc:Choice>
          <mc:Fallback>
            <w:pict>
              <v:group id="组合 886" o:spid="_x0000_s1026" o:spt="203" style="height:125.3pt;width:397.4pt;" coordorigin="7373,1449729" coordsize="7948,2506" o:gfxdata="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">
                <o:lock v:ext="edit" aspectratio="f"/>
                <v:rect id="矩形 469" o:spid="_x0000_s1026" o:spt="1" style="position:absolute;left:10165;top:1451004;height:433;width:1287;" fillcolor="#FFFFFF" filled="t" stroked="t" coordsize="21600,21600" o:gfxdata="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6qQ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0592FDB6">
                        <w:pPr>
                          <w:pStyle w:val="421"/>
                          <w:bidi w:val="0"/>
                          <w:ind w:left="0" w:leftChars="0" w:firstLine="0" w:firstLineChars="0"/>
                          <w:jc w:val="center"/>
                          <w:rPr>
                            <w:rFonts w:hint="eastAsia" w:eastAsia="宋体"/>
                            <w:lang w:val="en-US" w:eastAsia="zh-CN"/>
                          </w:rPr>
                        </w:pPr>
                        <w:r>
                          <w:rPr>
                            <w:rFonts w:hint="eastAsia"/>
                            <w:lang w:val="en-US" w:eastAsia="zh-CN"/>
                          </w:rPr>
                          <w:t>埋地油罐</w:t>
                        </w:r>
                      </w:p>
                    </w:txbxContent>
                  </v:textbox>
                </v:rect>
                <v:rect id="矩形 470" o:spid="_x0000_s1026" o:spt="1" style="position:absolute;left:7373;top:1450928;height:433;width:1512;" fillcolor="#FFFFFF" filled="t" stroked="f" coordsize="21600,21600" o:gfxdata="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RqDb4A&#10;AADcAAAADwAAAAAAAAABACAAAAAiAAAAZHJzL2Rvd25yZXYueG1sUEsBAhQAFAAAAAgAh07iQDMv&#10;BZ47AAAAOQAAABAAAAAAAAAAAQAgAAAADQEAAGRycy9zaGFwZXhtbC54bWxQSwUGAAAAAAYABgBb&#10;AQAAtwMAAAAA&#10;">
                  <v:fill on="t" opacity="0f" focussize="0,0"/>
                  <v:stroke on="f"/>
                  <v:imagedata o:title=""/>
                  <o:lock v:ext="edit" aspectratio="f"/>
                  <v:textbox inset="0mm,0mm,0mm,0mm">
                    <w:txbxContent>
                      <w:p w14:paraId="505C6BF5">
                        <w:pPr>
                          <w:pStyle w:val="421"/>
                          <w:bidi w:val="0"/>
                          <w:ind w:left="0" w:leftChars="0" w:firstLine="0" w:firstLineChars="0"/>
                          <w:rPr>
                            <w:rFonts w:hint="default"/>
                            <w:lang w:val="en-US"/>
                          </w:rPr>
                        </w:pPr>
                        <w:r>
                          <w:rPr>
                            <w:rFonts w:hint="eastAsia"/>
                            <w:lang w:val="en-US" w:eastAsia="zh-CN"/>
                          </w:rPr>
                          <w:t>汽油油罐车</w:t>
                        </w:r>
                      </w:p>
                    </w:txbxContent>
                  </v:textbox>
                </v:rect>
                <v:shape id="自选图形 471" o:spid="_x0000_s1026" o:spt="32" type="#_x0000_t32" style="position:absolute;left:8982;top:1451211;height:9;width:1190;" filled="f" stroked="t" coordsize="21600,21600" o:gfxdata="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9S9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自选图形 471" o:spid="_x0000_s1026" o:spt="32" type="#_x0000_t32" style="position:absolute;left:11474;top:1451200;height:1;width:629;" filled="f" stroked="t" coordsize="21600,21600" o:gfxdata="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x7ku/&#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rect id="矩形 469" o:spid="_x0000_s1026" o:spt="1" style="position:absolute;left:12100;top:1450974;height:433;width:1287;" fillcolor="#FFFFFF" filled="t" stroked="t" coordsize="21600,21600" o:gfxdata="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7WsQ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7DCC368D">
                        <w:pPr>
                          <w:pStyle w:val="421"/>
                          <w:bidi w:val="0"/>
                          <w:ind w:left="0" w:leftChars="0" w:firstLine="0" w:firstLineChars="0"/>
                          <w:jc w:val="center"/>
                          <w:rPr>
                            <w:rFonts w:hint="eastAsia" w:eastAsia="宋体"/>
                            <w:lang w:val="en-US" w:eastAsia="zh-CN"/>
                          </w:rPr>
                        </w:pPr>
                        <w:r>
                          <w:rPr>
                            <w:rFonts w:hint="eastAsia"/>
                            <w:lang w:val="en-US" w:eastAsia="zh-CN"/>
                          </w:rPr>
                          <w:t>加油机</w:t>
                        </w:r>
                      </w:p>
                    </w:txbxContent>
                  </v:textbox>
                </v:rect>
                <v:shape id="自选图形 471" o:spid="_x0000_s1026" o:spt="32" type="#_x0000_t32" style="position:absolute;left:13409;top:1451200;height:1;width:629;" filled="f" stroked="t" coordsize="21600,21600" o:gfxdata="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2/Vp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rect id="矩形 469" o:spid="_x0000_s1026" o:spt="1" style="position:absolute;left:14035;top:1450974;height:433;width:1287;" fillcolor="#FFFFFF" filled="t" stroked="t" coordsize="21600,21600" o:gfxdata="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mnam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0mm,0mm,0mm">
                    <w:txbxContent>
                      <w:p w14:paraId="76F4BB99">
                        <w:pPr>
                          <w:pStyle w:val="421"/>
                          <w:bidi w:val="0"/>
                          <w:ind w:left="0" w:leftChars="0" w:firstLine="0" w:firstLineChars="0"/>
                          <w:jc w:val="center"/>
                          <w:rPr>
                            <w:rFonts w:hint="eastAsia" w:eastAsia="宋体"/>
                            <w:lang w:val="en-US" w:eastAsia="zh-CN"/>
                          </w:rPr>
                        </w:pPr>
                        <w:r>
                          <w:rPr>
                            <w:rFonts w:hint="eastAsia"/>
                            <w:lang w:val="en-US" w:eastAsia="zh-CN"/>
                          </w:rPr>
                          <w:t>加油车辆</w:t>
                        </w:r>
                      </w:p>
                    </w:txbxContent>
                  </v:textbox>
                </v:rect>
                <v:rect id="矩形 470" o:spid="_x0000_s1026" o:spt="1" style="position:absolute;left:9384;top:1450825;height:433;width:665;" fillcolor="#FFFFFF" filled="t" stroked="f" coordsize="21600,21600" o:gfxdata="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pxd574A&#10;AADcAAAADwAAAAAAAAABACAAAAAiAAAAZHJzL2Rvd25yZXYueG1sUEsBAhQAFAAAAAgAh07iQDMv&#10;BZ47AAAAOQAAABAAAAAAAAAAAQAgAAAADQEAAGRycy9zaGFwZXhtbC54bWxQSwUGAAAAAAYABgBb&#10;AQAAtwMAAAAA&#10;">
                  <v:fill on="t" opacity="0f" focussize="0,0"/>
                  <v:stroke on="f"/>
                  <v:imagedata o:title=""/>
                  <o:lock v:ext="edit" aspectratio="f"/>
                  <v:textbox inset="0mm,0mm,0mm,0mm">
                    <w:txbxContent>
                      <w:p w14:paraId="6700336F">
                        <w:pPr>
                          <w:pStyle w:val="421"/>
                          <w:bidi w:val="0"/>
                          <w:ind w:left="0" w:leftChars="0" w:firstLine="0" w:firstLineChars="0"/>
                          <w:rPr>
                            <w:rFonts w:hint="default"/>
                            <w:lang w:val="en-US"/>
                          </w:rPr>
                        </w:pPr>
                        <w:r>
                          <w:rPr>
                            <w:rFonts w:hint="eastAsia"/>
                            <w:lang w:val="en-US" w:eastAsia="zh-CN"/>
                          </w:rPr>
                          <w:t>卸油</w:t>
                        </w:r>
                      </w:p>
                    </w:txbxContent>
                  </v:textbox>
                </v:rect>
                <v:shape id="自选图形 471" o:spid="_x0000_s1026" o:spt="32" type="#_x0000_t32" style="position:absolute;left:10785;top:1451431;height:401;width:0;" filled="f" stroked="t" coordsize="21600,21600" o:gfxdata="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PvQ2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shape>
                <v:rect id="矩形 470" o:spid="_x0000_s1026" o:spt="1" style="position:absolute;left:10635;top:1451803;height:433;width:665;" fillcolor="#FFFFFF" filled="t" stroked="f" coordsize="21600,21600" o:gfxdata="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M8c8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7FA8F44B">
                        <w:pPr>
                          <w:pStyle w:val="421"/>
                          <w:bidi w:val="0"/>
                          <w:ind w:left="0" w:leftChars="0" w:firstLine="0" w:firstLineChars="0"/>
                          <w:rPr>
                            <w:rFonts w:hint="default" w:eastAsia="宋体"/>
                            <w:lang w:val="en-US" w:eastAsia="zh-CN"/>
                          </w:rPr>
                        </w:pPr>
                        <w:r>
                          <w:rPr>
                            <w:rFonts w:hint="eastAsia"/>
                            <w:lang w:val="en-US" w:eastAsia="zh-CN"/>
                          </w:rPr>
                          <w:t>S7</w:t>
                        </w:r>
                      </w:p>
                    </w:txbxContent>
                  </v:textbox>
                </v:rect>
                <v:shape id="自选图形 471" o:spid="_x0000_s1026" o:spt="32" type="#_x0000_t32" style="position:absolute;left:7717;top:1449946;flip:x;height:6;width:589;" filled="f" stroked="t" coordsize="21600,21600" o:gfxdata="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eg2JS/&#10;AAAA3AAAAA8AAAAAAAAAAQAgAAAAIgAAAGRycy9kb3ducmV2LnhtbFBLAQIUABQAAAAIAIdO4kAz&#10;LwWeOwAAADkAAAAQAAAAAAAAAAEAIAAAAA4BAABkcnMvc2hhcGV4bWwueG1sUEsFBgAAAAAGAAYA&#10;WwEAALgDAAAAAA==&#10;">
                  <v:fill on="f" focussize="0,0"/>
                  <v:stroke color="#000000" joinstyle="round" dashstyle="dash"/>
                  <v:imagedata o:title=""/>
                  <o:lock v:ext="edit" aspectratio="f"/>
                </v:shape>
                <v:shape id="自选图形 471" o:spid="_x0000_s1026" o:spt="32" type="#_x0000_t32" style="position:absolute;left:10617;top:1450174;flip:y;height:837;width:2;" filled="f" stroked="t" coordsize="21600,21600" o:gfxdata="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p+0Gb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shape>
                <v:shape id="自选图形 471" o:spid="_x0000_s1026" o:spt="32" type="#_x0000_t32" style="position:absolute;left:12744;top:1450188;flip:y;height:786;width:2;" filled="f" stroked="t" coordsize="21600,21600" o:gfxdata="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XYsbb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shape>
                <v:rect id="矩形 470" o:spid="_x0000_s1026" o:spt="1" style="position:absolute;left:12784;top:1450425;height:433;width:766;" fillcolor="#FFFFFF" filled="t" stroked="f" coordsize="21600,21600" o:gfxdata="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oIwT+8AAAA&#10;3A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7F749EFC">
                        <w:pPr>
                          <w:pStyle w:val="421"/>
                          <w:bidi w:val="0"/>
                          <w:ind w:left="0" w:leftChars="0" w:firstLine="0" w:firstLineChars="0"/>
                          <w:rPr>
                            <w:rFonts w:hint="default"/>
                            <w:lang w:val="en-US"/>
                          </w:rPr>
                        </w:pPr>
                        <w:r>
                          <w:rPr>
                            <w:rFonts w:hint="eastAsia"/>
                            <w:lang w:val="en-US" w:eastAsia="zh-CN"/>
                          </w:rPr>
                          <w:t>油气</w:t>
                        </w:r>
                      </w:p>
                    </w:txbxContent>
                  </v:textbox>
                </v:rect>
                <v:rect id="矩形 469" o:spid="_x0000_s1026" o:spt="1" style="position:absolute;left:8306;top:1449729;height:433;width:2455;" fillcolor="#FFFFFF" filled="t" stroked="t" coordsize="21600,21600" o:gfxdata="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bDqd&#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w:txbxContent>
                      <w:p w14:paraId="7FA5DE10">
                        <w:pPr>
                          <w:pStyle w:val="421"/>
                          <w:bidi w:val="0"/>
                          <w:ind w:left="0" w:leftChars="0" w:firstLine="0" w:firstLineChars="0"/>
                          <w:jc w:val="center"/>
                          <w:rPr>
                            <w:rFonts w:hint="eastAsia" w:eastAsia="宋体"/>
                            <w:lang w:val="en-US" w:eastAsia="zh-CN"/>
                          </w:rPr>
                        </w:pPr>
                        <w:r>
                          <w:rPr>
                            <w:rFonts w:hint="eastAsia"/>
                            <w:lang w:val="en-US" w:eastAsia="zh-CN"/>
                          </w:rPr>
                          <w:t>一次油气回收系统</w:t>
                        </w:r>
                      </w:p>
                    </w:txbxContent>
                  </v:textbox>
                </v:rect>
                <v:rect id="矩形 469" o:spid="_x0000_s1026" o:spt="1" style="position:absolute;left:11255;top:1449753;height:433;width:2455;" fillcolor="#FFFFFF" filled="t" stroked="t" coordsize="21600,21600" o:gfxdata="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SCfB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6D3E7B6E">
                        <w:pPr>
                          <w:pStyle w:val="421"/>
                          <w:bidi w:val="0"/>
                          <w:ind w:left="0" w:leftChars="0" w:firstLine="0" w:firstLineChars="0"/>
                          <w:jc w:val="center"/>
                          <w:rPr>
                            <w:rFonts w:hint="eastAsia" w:eastAsia="宋体"/>
                            <w:lang w:val="en-US" w:eastAsia="zh-CN"/>
                          </w:rPr>
                        </w:pPr>
                        <w:r>
                          <w:rPr>
                            <w:rFonts w:hint="eastAsia"/>
                            <w:lang w:val="en-US" w:eastAsia="zh-CN"/>
                          </w:rPr>
                          <w:t>二次油气回收系统</w:t>
                        </w:r>
                      </w:p>
                    </w:txbxContent>
                  </v:textbox>
                </v:rect>
                <v:shape id="自选图形 471" o:spid="_x0000_s1026" o:spt="32" type="#_x0000_t32" style="position:absolute;left:11417;top:1450194;height:823;width:0;" filled="f" stroked="t" coordsize="21600,21600" o:gfxdata="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SPgw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shape>
                <v:shape id="自选图形 471" o:spid="_x0000_s1026" o:spt="32" type="#_x0000_t32" style="position:absolute;left:7728;top:1449988;height:1000;width:6;" filled="f" stroked="t" coordsize="21600,21600" o:gfxdata="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Rdq74A&#10;AADcAAAADwAAAAAAAAABACAAAAAiAAAAZHJzL2Rvd25yZXYueG1sUEsBAhQAFAAAAAgAh07iQDMv&#10;BZ47AAAAOQAAABAAAAAAAAAAAQAgAAAADQEAAGRycy9zaGFwZXhtbC54bWxQSwUGAAAAAAYABgBb&#10;AQAAtwMAAAAA&#10;">
                  <v:fill on="f" focussize="0,0"/>
                  <v:stroke color="#000000" joinstyle="round" dashstyle="dash" endarrow="block"/>
                  <v:imagedata o:title=""/>
                  <o:lock v:ext="edit" aspectratio="f"/>
                </v:shape>
                <v:rect id="矩形 470" o:spid="_x0000_s1026" o:spt="1" style="position:absolute;left:11436;top:1450425;height:433;width:766;" fillcolor="#FFFFFF" filled="t" stroked="f" coordsize="21600,21600" o:gfxdata="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hKAugAAANwA&#10;AAAPAAAAAAAAAAEAIAAAACIAAABkcnMvZG93bnJldi54bWxQSwECFAAUAAAACACHTuJAMy8FnjsA&#10;AAA5AAAAEAAAAAAAAAABACAAAAAJAQAAZHJzL3NoYXBleG1sLnhtbFBLBQYAAAAABgAGAFsBAACz&#10;AwAAAAA=&#10;">
                  <v:fill on="t" opacity="0f" focussize="0,0"/>
                  <v:stroke on="f"/>
                  <v:imagedata o:title=""/>
                  <o:lock v:ext="edit" aspectratio="f"/>
                  <v:textbox inset="0mm,0mm,0mm,0mm">
                    <w:txbxContent>
                      <w:p w14:paraId="210D1551">
                        <w:pPr>
                          <w:pStyle w:val="421"/>
                          <w:bidi w:val="0"/>
                          <w:ind w:left="0" w:leftChars="0" w:firstLine="0" w:firstLineChars="0"/>
                          <w:rPr>
                            <w:rFonts w:hint="default"/>
                            <w:lang w:val="en-US"/>
                          </w:rPr>
                        </w:pPr>
                        <w:r>
                          <w:rPr>
                            <w:rFonts w:hint="eastAsia"/>
                            <w:lang w:val="en-US" w:eastAsia="zh-CN"/>
                          </w:rPr>
                          <w:t>油气</w:t>
                        </w:r>
                      </w:p>
                    </w:txbxContent>
                  </v:textbox>
                </v:rect>
                <v:rect id="矩形 470" o:spid="_x0000_s1026" o:spt="1" style="position:absolute;left:10066;top:1450419;height:433;width:766;" fillcolor="#FFFFFF" filled="t" stroked="f" coordsize="21600,21600" o:gfxdata="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mtxu8AAAA&#10;3A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6E99B75B">
                        <w:pPr>
                          <w:pStyle w:val="421"/>
                          <w:bidi w:val="0"/>
                          <w:ind w:left="0" w:leftChars="0" w:firstLine="0" w:firstLineChars="0"/>
                          <w:rPr>
                            <w:rFonts w:hint="default"/>
                            <w:lang w:val="en-US"/>
                          </w:rPr>
                        </w:pPr>
                        <w:r>
                          <w:rPr>
                            <w:rFonts w:hint="eastAsia"/>
                            <w:lang w:val="en-US" w:eastAsia="zh-CN"/>
                          </w:rPr>
                          <w:t>油气</w:t>
                        </w:r>
                      </w:p>
                    </w:txbxContent>
                  </v:textbox>
                </v:rect>
                <v:rect id="矩形 470" o:spid="_x0000_s1026" o:spt="1" style="position:absolute;left:7790;top:1450366;height:433;width:766;" fillcolor="#FFFFFF" filled="t" stroked="f" coordsize="21600,21600" o:gfxdata="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A0KWy8AAAA&#10;3AAAAA8AAAAAAAAAAQAgAAAAIgAAAGRycy9kb3ducmV2LnhtbFBLAQIUABQAAAAIAIdO4kAzLwWe&#10;OwAAADkAAAAQAAAAAAAAAAEAIAAAAAsBAABkcnMvc2hhcGV4bWwueG1sUEsFBgAAAAAGAAYAWwEA&#10;ALUDAAAAAA==&#10;">
                  <v:fill on="t" opacity="0f" focussize="0,0"/>
                  <v:stroke on="f"/>
                  <v:imagedata o:title=""/>
                  <o:lock v:ext="edit" aspectratio="f"/>
                  <v:textbox inset="0mm,0mm,0mm,0mm">
                    <w:txbxContent>
                      <w:p w14:paraId="0C48B7FE">
                        <w:pPr>
                          <w:pStyle w:val="421"/>
                          <w:bidi w:val="0"/>
                          <w:ind w:left="0" w:leftChars="0" w:firstLine="0" w:firstLineChars="0"/>
                          <w:rPr>
                            <w:rFonts w:hint="default"/>
                            <w:lang w:val="en-US"/>
                          </w:rPr>
                        </w:pPr>
                        <w:r>
                          <w:rPr>
                            <w:rFonts w:hint="eastAsia"/>
                            <w:lang w:val="en-US" w:eastAsia="zh-CN"/>
                          </w:rPr>
                          <w:t>油气</w:t>
                        </w:r>
                      </w:p>
                    </w:txbxContent>
                  </v:textbox>
                </v:rect>
                <w10:wrap type="none"/>
                <w10:anchorlock/>
              </v:group>
            </w:pict>
          </mc:Fallback>
        </mc:AlternateContent>
      </w:r>
    </w:p>
    <w:p w14:paraId="7D2F7AF4">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3</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4</w:t>
      </w:r>
      <w:r>
        <w:rPr>
          <w:rFonts w:hint="eastAsia"/>
          <w:b/>
          <w:color w:val="auto"/>
          <w:sz w:val="24"/>
          <w:highlight w:val="none"/>
          <w:lang w:val="en-US" w:eastAsia="zh-CN"/>
        </w:rPr>
        <w:t xml:space="preserve"> </w:t>
      </w:r>
      <w:r>
        <w:rPr>
          <w:rFonts w:hint="eastAsia" w:ascii="Times New Roman" w:hAnsi="Times New Roman" w:eastAsia="宋体"/>
          <w:b/>
          <w:color w:val="auto"/>
          <w:sz w:val="24"/>
          <w:highlight w:val="none"/>
          <w:lang w:val="en-US" w:eastAsia="zh-CN"/>
        </w:rPr>
        <w:t xml:space="preserve"> 汽油加油过程工艺流程</w:t>
      </w:r>
      <w:r>
        <w:rPr>
          <w:rFonts w:ascii="Times New Roman" w:hAnsi="Times New Roman" w:eastAsia="宋体"/>
          <w:b/>
          <w:color w:val="auto"/>
          <w:sz w:val="24"/>
          <w:highlight w:val="none"/>
        </w:rPr>
        <w:t>及产污节点</w:t>
      </w:r>
    </w:p>
    <w:p w14:paraId="2323F97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汽油加油</w:t>
      </w:r>
      <w:r>
        <w:rPr>
          <w:rFonts w:hint="eastAsia" w:ascii="Times New Roman" w:hAnsi="Times New Roman" w:eastAsia="宋体"/>
          <w:b/>
          <w:color w:val="auto"/>
          <w:kern w:val="2"/>
          <w:sz w:val="24"/>
          <w:szCs w:val="22"/>
          <w:highlight w:val="none"/>
          <w:lang w:val="en-US" w:eastAsia="zh-CN" w:bidi="ar-SA"/>
        </w:rPr>
        <w:t>工艺流程简述：</w:t>
      </w:r>
    </w:p>
    <w:p w14:paraId="1FE413EE">
      <w:pPr>
        <w:numPr>
          <w:ilvl w:val="0"/>
          <w:numId w:val="0"/>
        </w:numPr>
        <w:spacing w:line="360" w:lineRule="auto"/>
        <w:ind w:firstLine="480" w:firstLineChars="0"/>
        <w:rPr>
          <w:rFonts w:hint="eastAsia" w:ascii="Times New Roman" w:hAnsi="Times New Roman" w:eastAsia="Times New Roman" w:cs="Times New Roman"/>
          <w:color w:val="auto"/>
          <w:sz w:val="24"/>
          <w:highlight w:val="none"/>
          <w:lang w:val="en-US" w:eastAsia="zh-CN"/>
        </w:rPr>
      </w:pPr>
      <w:r>
        <w:rPr>
          <w:rFonts w:hint="eastAsia" w:ascii="Times New Roman" w:hAnsi="Times New Roman" w:eastAsia="Times New Roman" w:cs="Times New Roman"/>
          <w:color w:val="auto"/>
          <w:kern w:val="2"/>
          <w:sz w:val="24"/>
          <w:szCs w:val="22"/>
          <w:highlight w:val="none"/>
          <w:lang w:val="en-US" w:eastAsia="zh-CN" w:bidi="ar-SA"/>
        </w:rPr>
        <w:t>（1）</w:t>
      </w:r>
      <w:r>
        <w:rPr>
          <w:rFonts w:hint="eastAsia" w:ascii="Times New Roman" w:hAnsi="Times New Roman" w:eastAsia="Times New Roman" w:cs="Times New Roman"/>
          <w:color w:val="auto"/>
          <w:sz w:val="24"/>
          <w:highlight w:val="none"/>
          <w:lang w:val="en-US" w:eastAsia="zh-CN"/>
        </w:rPr>
        <w:t>卸油过程：汽油首先通过油罐车将汽油运至场地内，再通过密闭卸油点把汽油卸至埋地卧式油罐。项目安装卸油油气回收系统即一次油气回收系统，对92#、</w:t>
      </w:r>
      <w:r>
        <w:rPr>
          <w:rFonts w:hint="default" w:ascii="Times New Roman" w:hAnsi="Times New Roman" w:eastAsia="Times New Roman" w:cs="Times New Roman"/>
          <w:color w:val="auto"/>
          <w:sz w:val="24"/>
          <w:highlight w:val="none"/>
          <w:lang w:val="en-US" w:eastAsia="zh-CN"/>
        </w:rPr>
        <w:t>95#</w:t>
      </w:r>
      <w:r>
        <w:rPr>
          <w:rFonts w:hint="eastAsia" w:ascii="Times New Roman" w:hAnsi="Times New Roman" w:eastAsia="Times New Roman" w:cs="Times New Roman"/>
          <w:color w:val="auto"/>
          <w:sz w:val="24"/>
          <w:highlight w:val="none"/>
          <w:lang w:val="en-US" w:eastAsia="zh-CN"/>
        </w:rPr>
        <w:t>汽油卸油时产生的油气进行回收。卸油油气回收系统主要工作原理为在油罐车卸油过程中，储油车内压力减小，地下储罐内压力增加，地下储罐与油罐车内的压力差，使卸油过程中挥发的油气通过管线密闭回到油罐车内，运回储油库进行处理，从而达到油气收集的目的。加油站和油罐车均安装卸油回气快速接头，油罐车同时配备带快速接头的软管。卸油过程罐车与埋地油罐内油气气压基本平衡，气液等体积置换，卸油过程管道密闭。</w:t>
      </w:r>
    </w:p>
    <w:p w14:paraId="01C77C7D">
      <w:pPr>
        <w:numPr>
          <w:ilvl w:val="0"/>
          <w:numId w:val="0"/>
        </w:numPr>
        <w:spacing w:line="360" w:lineRule="auto"/>
        <w:ind w:firstLine="480" w:firstLineChars="0"/>
        <w:rPr>
          <w:rFonts w:hint="eastAsia" w:ascii="Times New Roman" w:hAnsi="Times New Roman" w:eastAsia="Times New Roman" w:cs="Times New Roman"/>
          <w:color w:val="auto"/>
          <w:sz w:val="24"/>
          <w:highlight w:val="none"/>
          <w:lang w:val="en-US" w:eastAsia="zh-CN"/>
        </w:rPr>
      </w:pPr>
      <w:r>
        <w:rPr>
          <w:rFonts w:hint="eastAsia" w:ascii="Times New Roman" w:hAnsi="Times New Roman" w:eastAsia="Times New Roman" w:cs="Times New Roman"/>
          <w:color w:val="auto"/>
          <w:kern w:val="2"/>
          <w:sz w:val="24"/>
          <w:szCs w:val="22"/>
          <w:highlight w:val="none"/>
          <w:lang w:val="zh-CN" w:eastAsia="zh-CN" w:bidi="ar-SA"/>
        </w:rPr>
        <w:t>（2）</w:t>
      </w:r>
      <w:r>
        <w:rPr>
          <w:rFonts w:hint="eastAsia" w:ascii="Times New Roman" w:hAnsi="Times New Roman" w:eastAsia="Times New Roman" w:cs="Times New Roman"/>
          <w:color w:val="auto"/>
          <w:sz w:val="24"/>
          <w:highlight w:val="none"/>
          <w:lang w:val="en-US" w:eastAsia="zh-CN"/>
        </w:rPr>
        <w:t>加油过程：加油包括加油和油气回收两个过程。加油：待加油车辆进入指定场地后，通过潜油泵将油从埋地卧式油罐抽出，通过加油机给车辆油箱加油。油气回收：在加油枪加油过程中，通过真空泵产生一定真空度，经过油气回收油枪和同轴皮管、油气回收管等油气回收设</w:t>
      </w:r>
      <w:r>
        <w:rPr>
          <w:rFonts w:hint="eastAsia" w:eastAsia="Times New Roman" w:cs="Times New Roman"/>
          <w:color w:val="auto"/>
          <w:sz w:val="24"/>
          <w:highlight w:val="none"/>
          <w:lang w:val="en-US" w:eastAsia="zh-CN"/>
        </w:rPr>
        <w:t>备对</w:t>
      </w:r>
      <w:r>
        <w:rPr>
          <w:rFonts w:hint="eastAsia" w:ascii="Times New Roman" w:hAnsi="Times New Roman" w:eastAsia="Times New Roman" w:cs="Times New Roman"/>
          <w:color w:val="auto"/>
          <w:sz w:val="24"/>
          <w:highlight w:val="none"/>
          <w:lang w:val="en-US" w:eastAsia="zh-CN"/>
        </w:rPr>
        <w:t>汽车油箱油气进行回收。加油油气回收系统对汽油进行回收，加油机回收的汽油全部回收至油罐内。加油油气经</w:t>
      </w:r>
      <w:r>
        <w:rPr>
          <w:rFonts w:hint="default" w:ascii="Times New Roman" w:hAnsi="Times New Roman" w:eastAsia="Times New Roman" w:cs="Times New Roman"/>
          <w:color w:val="auto"/>
          <w:sz w:val="24"/>
          <w:highlight w:val="none"/>
          <w:lang w:val="en-US" w:eastAsia="zh-CN"/>
        </w:rPr>
        <w:t>1.2:1</w:t>
      </w:r>
      <w:r>
        <w:rPr>
          <w:rFonts w:hint="eastAsia" w:ascii="Times New Roman" w:hAnsi="Times New Roman" w:eastAsia="Times New Roman" w:cs="Times New Roman"/>
          <w:color w:val="auto"/>
          <w:sz w:val="24"/>
          <w:highlight w:val="none"/>
          <w:lang w:val="en-US" w:eastAsia="zh-CN"/>
        </w:rPr>
        <w:t>的汽液比进行回收，回收后使油罐内平衡后多余油气经通气立管（4m）外排。</w:t>
      </w:r>
    </w:p>
    <w:p w14:paraId="3F71C10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三、储油罐清罐过程</w:t>
      </w:r>
    </w:p>
    <w:p w14:paraId="2D879D3C">
      <w:pPr>
        <w:pStyle w:val="18"/>
        <w:jc w:val="center"/>
        <w:rPr>
          <w:rFonts w:eastAsia="Times New Roman"/>
          <w:color w:val="auto"/>
          <w:sz w:val="24"/>
          <w:highlight w:val="none"/>
          <w:lang w:val="zh-CN"/>
        </w:rPr>
      </w:pPr>
      <w:r>
        <w:rPr>
          <w:color w:val="auto"/>
          <w:sz w:val="24"/>
          <w:highlight w:val="none"/>
        </w:rPr>
        <mc:AlternateContent>
          <mc:Choice Requires="wpg">
            <w:drawing>
              <wp:inline distT="0" distB="0" distL="114300" distR="114300">
                <wp:extent cx="5628005" cy="820420"/>
                <wp:effectExtent l="0" t="0" r="0" b="0"/>
                <wp:docPr id="165" name="组合 500"/>
                <wp:cNvGraphicFramePr/>
                <a:graphic xmlns:a="http://schemas.openxmlformats.org/drawingml/2006/main">
                  <a:graphicData uri="http://schemas.microsoft.com/office/word/2010/wordprocessingGroup">
                    <wpg:wgp>
                      <wpg:cNvGrpSpPr/>
                      <wpg:grpSpPr>
                        <a:xfrm>
                          <a:off x="0" y="0"/>
                          <a:ext cx="5628005" cy="820420"/>
                          <a:chOff x="15874" y="797602"/>
                          <a:chExt cx="8863" cy="1292"/>
                        </a:xfrm>
                      </wpg:grpSpPr>
                      <wps:wsp>
                        <wps:cNvPr id="154" name="矩形 469"/>
                        <wps:cNvSpPr/>
                        <wps:spPr>
                          <a:xfrm>
                            <a:off x="17554" y="797648"/>
                            <a:ext cx="1246"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B175B10">
                              <w:pPr>
                                <w:pStyle w:val="421"/>
                                <w:bidi w:val="0"/>
                                <w:ind w:left="0" w:leftChars="0" w:firstLine="0" w:firstLineChars="0"/>
                                <w:jc w:val="center"/>
                                <w:rPr>
                                  <w:rFonts w:hint="eastAsia" w:eastAsia="宋体"/>
                                  <w:lang w:val="en-US" w:eastAsia="zh-CN"/>
                                </w:rPr>
                              </w:pPr>
                              <w:r>
                                <w:rPr>
                                  <w:rFonts w:hint="eastAsia"/>
                                  <w:lang w:val="en-US" w:eastAsia="zh-CN"/>
                                </w:rPr>
                                <w:t>油体排空</w:t>
                              </w:r>
                            </w:p>
                          </w:txbxContent>
                        </wps:txbx>
                        <wps:bodyPr vert="horz" wrap="square" lIns="0" tIns="0" rIns="0" bIns="0" anchor="t" anchorCtr="0" upright="1"/>
                      </wps:wsp>
                      <wps:wsp>
                        <wps:cNvPr id="155" name="矩形 470"/>
                        <wps:cNvSpPr/>
                        <wps:spPr>
                          <a:xfrm>
                            <a:off x="15874" y="797602"/>
                            <a:ext cx="1227" cy="433"/>
                          </a:xfrm>
                          <a:prstGeom prst="rect">
                            <a:avLst/>
                          </a:prstGeom>
                          <a:solidFill>
                            <a:srgbClr val="FFFFFF">
                              <a:alpha val="0"/>
                            </a:srgbClr>
                          </a:solidFill>
                          <a:ln>
                            <a:noFill/>
                          </a:ln>
                        </wps:spPr>
                        <wps:txbx>
                          <w:txbxContent>
                            <w:p w14:paraId="3C9B5920">
                              <w:pPr>
                                <w:pStyle w:val="421"/>
                                <w:bidi w:val="0"/>
                                <w:ind w:left="0" w:leftChars="0" w:firstLine="0" w:firstLineChars="0"/>
                                <w:rPr>
                                  <w:rFonts w:hint="default"/>
                                  <w:lang w:val="en-US"/>
                                </w:rPr>
                              </w:pPr>
                              <w:r>
                                <w:rPr>
                                  <w:rFonts w:hint="eastAsia"/>
                                  <w:lang w:val="en-US" w:eastAsia="zh-CN"/>
                                </w:rPr>
                                <w:t>准备工作</w:t>
                              </w:r>
                            </w:p>
                          </w:txbxContent>
                        </wps:txbx>
                        <wps:bodyPr vert="horz" wrap="square" lIns="0" tIns="0" rIns="0" bIns="0" anchor="t" anchorCtr="0" upright="1"/>
                      </wps:wsp>
                      <wps:wsp>
                        <wps:cNvPr id="156" name="自选图形 471"/>
                        <wps:cNvCnPr/>
                        <wps:spPr>
                          <a:xfrm>
                            <a:off x="17047" y="797855"/>
                            <a:ext cx="488" cy="9"/>
                          </a:xfrm>
                          <a:prstGeom prst="straightConnector1">
                            <a:avLst/>
                          </a:prstGeom>
                          <a:ln w="9525" cap="flat" cmpd="sng">
                            <a:solidFill>
                              <a:srgbClr val="000000"/>
                            </a:solidFill>
                            <a:prstDash val="solid"/>
                            <a:round/>
                            <a:headEnd type="none" w="med" len="med"/>
                            <a:tailEnd type="triangle" w="med" len="med"/>
                          </a:ln>
                        </wps:spPr>
                        <wps:bodyPr/>
                      </wps:wsp>
                      <wps:wsp>
                        <wps:cNvPr id="157" name="自选图形 471"/>
                        <wps:cNvCnPr/>
                        <wps:spPr>
                          <a:xfrm>
                            <a:off x="18794" y="797880"/>
                            <a:ext cx="629" cy="1"/>
                          </a:xfrm>
                          <a:prstGeom prst="straightConnector1">
                            <a:avLst/>
                          </a:prstGeom>
                          <a:ln w="9525" cap="flat" cmpd="sng">
                            <a:solidFill>
                              <a:srgbClr val="000000"/>
                            </a:solidFill>
                            <a:prstDash val="solid"/>
                            <a:round/>
                            <a:headEnd type="none" w="med" len="med"/>
                            <a:tailEnd type="triangle" w="med" len="med"/>
                          </a:ln>
                        </wps:spPr>
                        <wps:bodyPr/>
                      </wps:wsp>
                      <wps:wsp>
                        <wps:cNvPr id="158" name="矩形 469"/>
                        <wps:cNvSpPr/>
                        <wps:spPr>
                          <a:xfrm>
                            <a:off x="19434" y="797658"/>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A3CE724">
                              <w:pPr>
                                <w:pStyle w:val="421"/>
                                <w:bidi w:val="0"/>
                                <w:ind w:left="0" w:leftChars="0" w:firstLine="0" w:firstLineChars="0"/>
                                <w:jc w:val="center"/>
                                <w:rPr>
                                  <w:rFonts w:hint="eastAsia" w:eastAsia="宋体"/>
                                  <w:lang w:val="en-US" w:eastAsia="zh-CN"/>
                                </w:rPr>
                              </w:pPr>
                              <w:r>
                                <w:rPr>
                                  <w:rFonts w:hint="eastAsia"/>
                                  <w:lang w:val="en-US" w:eastAsia="zh-CN"/>
                                </w:rPr>
                                <w:t>前期作业</w:t>
                              </w:r>
                            </w:p>
                          </w:txbxContent>
                        </wps:txbx>
                        <wps:bodyPr vert="horz" wrap="square" lIns="0" tIns="0" rIns="0" bIns="0" anchor="t" anchorCtr="0" upright="1"/>
                      </wps:wsp>
                      <wps:wsp>
                        <wps:cNvPr id="159" name="自选图形 471"/>
                        <wps:cNvCnPr/>
                        <wps:spPr>
                          <a:xfrm>
                            <a:off x="20723" y="797874"/>
                            <a:ext cx="629" cy="1"/>
                          </a:xfrm>
                          <a:prstGeom prst="straightConnector1">
                            <a:avLst/>
                          </a:prstGeom>
                          <a:ln w="9525" cap="flat" cmpd="sng">
                            <a:solidFill>
                              <a:srgbClr val="000000"/>
                            </a:solidFill>
                            <a:prstDash val="solid"/>
                            <a:round/>
                            <a:headEnd type="none" w="med" len="med"/>
                            <a:tailEnd type="triangle" w="med" len="med"/>
                          </a:ln>
                        </wps:spPr>
                        <wps:bodyPr/>
                      </wps:wsp>
                      <wps:wsp>
                        <wps:cNvPr id="160" name="矩形 469"/>
                        <wps:cNvSpPr/>
                        <wps:spPr>
                          <a:xfrm>
                            <a:off x="21365" y="797664"/>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9E34F5A">
                              <w:pPr>
                                <w:pStyle w:val="421"/>
                                <w:bidi w:val="0"/>
                                <w:ind w:left="0" w:leftChars="0" w:firstLine="0" w:firstLineChars="0"/>
                                <w:jc w:val="center"/>
                                <w:rPr>
                                  <w:rFonts w:hint="eastAsia" w:eastAsia="宋体"/>
                                  <w:lang w:val="en-US" w:eastAsia="zh-CN"/>
                                </w:rPr>
                              </w:pPr>
                              <w:r>
                                <w:rPr>
                                  <w:rFonts w:hint="eastAsia"/>
                                  <w:lang w:val="en-US" w:eastAsia="zh-CN"/>
                                </w:rPr>
                                <w:t>清洗油罐</w:t>
                              </w:r>
                            </w:p>
                          </w:txbxContent>
                        </wps:txbx>
                        <wps:bodyPr vert="horz" wrap="square" lIns="0" tIns="0" rIns="0" bIns="0" anchor="t" anchorCtr="0" upright="1"/>
                      </wps:wsp>
                      <wps:wsp>
                        <wps:cNvPr id="161" name="自选图形 471"/>
                        <wps:cNvCnPr/>
                        <wps:spPr>
                          <a:xfrm>
                            <a:off x="21989" y="798090"/>
                            <a:ext cx="0" cy="401"/>
                          </a:xfrm>
                          <a:prstGeom prst="straightConnector1">
                            <a:avLst/>
                          </a:prstGeom>
                          <a:ln w="9525" cap="flat" cmpd="sng">
                            <a:solidFill>
                              <a:srgbClr val="000000"/>
                            </a:solidFill>
                            <a:prstDash val="dash"/>
                            <a:round/>
                            <a:headEnd type="none" w="med" len="med"/>
                            <a:tailEnd type="triangle" w="med" len="med"/>
                          </a:ln>
                        </wps:spPr>
                        <wps:bodyPr/>
                      </wps:wsp>
                      <wps:wsp>
                        <wps:cNvPr id="162" name="自选图形 471"/>
                        <wps:cNvCnPr>
                          <a:stCxn id="160" idx="3"/>
                        </wps:cNvCnPr>
                        <wps:spPr>
                          <a:xfrm flipV="1">
                            <a:off x="22652" y="797875"/>
                            <a:ext cx="802" cy="6"/>
                          </a:xfrm>
                          <a:prstGeom prst="straightConnector1">
                            <a:avLst/>
                          </a:prstGeom>
                          <a:ln w="9525" cap="flat" cmpd="sng">
                            <a:solidFill>
                              <a:srgbClr val="000000"/>
                            </a:solidFill>
                            <a:prstDash val="solid"/>
                            <a:round/>
                            <a:headEnd type="none" w="med" len="med"/>
                            <a:tailEnd type="triangle" w="med" len="med"/>
                          </a:ln>
                        </wps:spPr>
                        <wps:bodyPr/>
                      </wps:wsp>
                      <wps:wsp>
                        <wps:cNvPr id="163" name="矩形 469"/>
                        <wps:cNvSpPr/>
                        <wps:spPr>
                          <a:xfrm>
                            <a:off x="23451" y="797648"/>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80BF88">
                              <w:pPr>
                                <w:pStyle w:val="421"/>
                                <w:bidi w:val="0"/>
                                <w:ind w:left="0" w:leftChars="0" w:firstLine="0" w:firstLineChars="0"/>
                                <w:jc w:val="center"/>
                                <w:rPr>
                                  <w:rFonts w:hint="eastAsia" w:eastAsia="宋体"/>
                                  <w:lang w:val="en-US" w:eastAsia="zh-CN"/>
                                </w:rPr>
                              </w:pPr>
                              <w:r>
                                <w:rPr>
                                  <w:rFonts w:hint="eastAsia"/>
                                  <w:lang w:val="en-US" w:eastAsia="zh-CN"/>
                                </w:rPr>
                                <w:t>清场</w:t>
                              </w:r>
                            </w:p>
                          </w:txbxContent>
                        </wps:txbx>
                        <wps:bodyPr vert="horz" wrap="square" lIns="0" tIns="0" rIns="0" bIns="0" anchor="t" anchorCtr="0" upright="1"/>
                      </wps:wsp>
                      <wps:wsp>
                        <wps:cNvPr id="164" name="矩形 470"/>
                        <wps:cNvSpPr/>
                        <wps:spPr>
                          <a:xfrm>
                            <a:off x="19200" y="798462"/>
                            <a:ext cx="4845" cy="433"/>
                          </a:xfrm>
                          <a:prstGeom prst="rect">
                            <a:avLst/>
                          </a:prstGeom>
                          <a:solidFill>
                            <a:srgbClr val="FFFFFF">
                              <a:alpha val="0"/>
                            </a:srgbClr>
                          </a:solidFill>
                          <a:ln>
                            <a:noFill/>
                          </a:ln>
                        </wps:spPr>
                        <wps:txbx>
                          <w:txbxContent>
                            <w:p w14:paraId="72E7840C">
                              <w:pPr>
                                <w:pStyle w:val="421"/>
                                <w:bidi w:val="0"/>
                                <w:ind w:left="0" w:leftChars="0" w:firstLine="0" w:firstLineChars="0"/>
                                <w:rPr>
                                  <w:rFonts w:hint="default"/>
                                  <w:lang w:val="en-US"/>
                                </w:rPr>
                              </w:pPr>
                              <w:r>
                                <w:rPr>
                                  <w:rFonts w:hint="eastAsia"/>
                                  <w:lang w:val="en-US" w:eastAsia="zh-CN"/>
                                </w:rPr>
                                <w:t>W2含油废水、S7含油废渣、清洗废液</w:t>
                              </w:r>
                            </w:p>
                          </w:txbxContent>
                        </wps:txbx>
                        <wps:bodyPr vert="horz" wrap="square" lIns="0" tIns="0" rIns="0" bIns="0" anchor="t" anchorCtr="0" upright="1"/>
                      </wps:wsp>
                    </wpg:wgp>
                  </a:graphicData>
                </a:graphic>
              </wp:inline>
            </w:drawing>
          </mc:Choice>
          <mc:Fallback>
            <w:pict>
              <v:group id="组合 500" o:spid="_x0000_s1026" o:spt="203" style="height:64.6pt;width:443.15pt;" coordorigin="15874,797602" coordsize="8863,1292" o:gfxdata="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">
                <o:lock v:ext="edit" aspectratio="f"/>
                <v:rect id="矩形 469" o:spid="_x0000_s1026" o:spt="1" style="position:absolute;left:17554;top:797648;height:433;width:1246;" fillcolor="#FFFFFF" filled="t" stroked="t" coordsize="21600,21600" o:gfxdata="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ViPG2/&#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0B175B10">
                        <w:pPr>
                          <w:pStyle w:val="421"/>
                          <w:bidi w:val="0"/>
                          <w:ind w:left="0" w:leftChars="0" w:firstLine="0" w:firstLineChars="0"/>
                          <w:jc w:val="center"/>
                          <w:rPr>
                            <w:rFonts w:hint="eastAsia" w:eastAsia="宋体"/>
                            <w:lang w:val="en-US" w:eastAsia="zh-CN"/>
                          </w:rPr>
                        </w:pPr>
                        <w:r>
                          <w:rPr>
                            <w:rFonts w:hint="eastAsia"/>
                            <w:lang w:val="en-US" w:eastAsia="zh-CN"/>
                          </w:rPr>
                          <w:t>油体排空</w:t>
                        </w:r>
                      </w:p>
                    </w:txbxContent>
                  </v:textbox>
                </v:rect>
                <v:rect id="矩形 470" o:spid="_x0000_s1026" o:spt="1" style="position:absolute;left:15874;top:797602;height:433;width:1227;" fillcolor="#FFFFFF" filled="t" stroked="f" coordsize="21600,21600" o:gfxdata="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pj8I7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3C9B5920">
                        <w:pPr>
                          <w:pStyle w:val="421"/>
                          <w:bidi w:val="0"/>
                          <w:ind w:left="0" w:leftChars="0" w:firstLine="0" w:firstLineChars="0"/>
                          <w:rPr>
                            <w:rFonts w:hint="default"/>
                            <w:lang w:val="en-US"/>
                          </w:rPr>
                        </w:pPr>
                        <w:r>
                          <w:rPr>
                            <w:rFonts w:hint="eastAsia"/>
                            <w:lang w:val="en-US" w:eastAsia="zh-CN"/>
                          </w:rPr>
                          <w:t>准备工作</w:t>
                        </w:r>
                      </w:p>
                    </w:txbxContent>
                  </v:textbox>
                </v:rect>
                <v:shape id="自选图形 471" o:spid="_x0000_s1026" o:spt="32" type="#_x0000_t32" style="position:absolute;left:17047;top:797855;height:9;width:488;" filled="f" stroked="t" coordsize="21600,21600" o:gfxdata="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lq2/2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471" o:spid="_x0000_s1026" o:spt="32" type="#_x0000_t32" style="position:absolute;left:18794;top:797880;height:1;width:629;" filled="f" stroked="t" coordsize="21600,21600" o:gfxdata="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Jn5m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矩形 469" o:spid="_x0000_s1026" o:spt="1" style="position:absolute;left:19434;top:797658;height:433;width:1287;" fillcolor="#FFFFFF" filled="t" stroked="t" coordsize="21600,21600" o:gfxdata="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C82a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14:paraId="4A3CE724">
                        <w:pPr>
                          <w:pStyle w:val="421"/>
                          <w:bidi w:val="0"/>
                          <w:ind w:left="0" w:leftChars="0" w:firstLine="0" w:firstLineChars="0"/>
                          <w:jc w:val="center"/>
                          <w:rPr>
                            <w:rFonts w:hint="eastAsia" w:eastAsia="宋体"/>
                            <w:lang w:val="en-US" w:eastAsia="zh-CN"/>
                          </w:rPr>
                        </w:pPr>
                        <w:r>
                          <w:rPr>
                            <w:rFonts w:hint="eastAsia"/>
                            <w:lang w:val="en-US" w:eastAsia="zh-CN"/>
                          </w:rPr>
                          <w:t>前期作业</w:t>
                        </w:r>
                      </w:p>
                    </w:txbxContent>
                  </v:textbox>
                </v:rect>
                <v:shape id="自选图形 471" o:spid="_x0000_s1026" o:spt="32" type="#_x0000_t32" style="position:absolute;left:20723;top:797874;height:1;width:629;" filled="f" stroked="t" coordsize="21600,21600" o:gfxdata="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j1T4+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矩形 469" o:spid="_x0000_s1026" o:spt="1" style="position:absolute;left:21365;top:797664;height:433;width:1287;" fillcolor="#FFFFFF" filled="t" stroked="t" coordsize="21600,21600" o:gfxdata="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18NO/&#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59E34F5A">
                        <w:pPr>
                          <w:pStyle w:val="421"/>
                          <w:bidi w:val="0"/>
                          <w:ind w:left="0" w:leftChars="0" w:firstLine="0" w:firstLineChars="0"/>
                          <w:jc w:val="center"/>
                          <w:rPr>
                            <w:rFonts w:hint="eastAsia" w:eastAsia="宋体"/>
                            <w:lang w:val="en-US" w:eastAsia="zh-CN"/>
                          </w:rPr>
                        </w:pPr>
                        <w:r>
                          <w:rPr>
                            <w:rFonts w:hint="eastAsia"/>
                            <w:lang w:val="en-US" w:eastAsia="zh-CN"/>
                          </w:rPr>
                          <w:t>清洗油罐</w:t>
                        </w:r>
                      </w:p>
                    </w:txbxContent>
                  </v:textbox>
                </v:rect>
                <v:shape id="自选图形 471" o:spid="_x0000_s1026" o:spt="32" type="#_x0000_t32" style="position:absolute;left:21989;top:798090;height:401;width:0;" filled="f" stroked="t" coordsize="21600,21600" o:gfxdata="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o6mDL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shape>
                <v:shape id="自选图形 471" o:spid="_x0000_s1026" o:spt="32" type="#_x0000_t32" style="position:absolute;left:22652;top:797875;flip:y;height:6;width:802;" filled="f" stroked="t" coordsize="21600,21600" o:gfxdata="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D/btL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rect id="矩形 469" o:spid="_x0000_s1026" o:spt="1" style="position:absolute;left:23451;top:797648;height:433;width:1287;" fillcolor="#FFFFFF" filled="t" stroked="t" coordsize="21600,21600" o:gfxdata="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Odu&#10;pMEAAADcAAAADwAAAAAAAAABACAAAAAiAAAAZHJzL2Rvd25yZXYueG1sUEsBAhQAFAAAAAgAh07i&#10;QDMvBZ47AAAAOQAAABAAAAAAAAAAAQAgAAAAEAEAAGRycy9zaGFwZXhtbC54bWxQSwUGAAAAAAYA&#10;BgBbAQAAugMAAAAA&#10;">
                  <v:fill on="t" focussize="0,0"/>
                  <v:stroke color="#000000" joinstyle="miter"/>
                  <v:imagedata o:title=""/>
                  <o:lock v:ext="edit" aspectratio="f"/>
                  <v:textbox inset="0mm,0mm,0mm,0mm">
                    <w:txbxContent>
                      <w:p w14:paraId="7980BF88">
                        <w:pPr>
                          <w:pStyle w:val="421"/>
                          <w:bidi w:val="0"/>
                          <w:ind w:left="0" w:leftChars="0" w:firstLine="0" w:firstLineChars="0"/>
                          <w:jc w:val="center"/>
                          <w:rPr>
                            <w:rFonts w:hint="eastAsia" w:eastAsia="宋体"/>
                            <w:lang w:val="en-US" w:eastAsia="zh-CN"/>
                          </w:rPr>
                        </w:pPr>
                        <w:r>
                          <w:rPr>
                            <w:rFonts w:hint="eastAsia"/>
                            <w:lang w:val="en-US" w:eastAsia="zh-CN"/>
                          </w:rPr>
                          <w:t>清场</w:t>
                        </w:r>
                      </w:p>
                    </w:txbxContent>
                  </v:textbox>
                </v:rect>
                <v:rect id="矩形 470" o:spid="_x0000_s1026" o:spt="1" style="position:absolute;left:19200;top:798462;height:433;width:4845;" fillcolor="#FFFFFF" filled="t" stroked="f" coordsize="21600,21600" o:gfxdata="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uJMFugAAANwA&#10;AAAPAAAAAAAAAAEAIAAAACIAAABkcnMvZG93bnJldi54bWxQSwECFAAUAAAACACHTuJAMy8FnjsA&#10;AAA5AAAAEAAAAAAAAAABACAAAAAJAQAAZHJzL3NoYXBleG1sLnhtbFBLBQYAAAAABgAGAFsBAACz&#10;AwAAAAA=&#10;">
                  <v:fill on="t" opacity="0f" focussize="0,0"/>
                  <v:stroke on="f"/>
                  <v:imagedata o:title=""/>
                  <o:lock v:ext="edit" aspectratio="f"/>
                  <v:textbox inset="0mm,0mm,0mm,0mm">
                    <w:txbxContent>
                      <w:p w14:paraId="72E7840C">
                        <w:pPr>
                          <w:pStyle w:val="421"/>
                          <w:bidi w:val="0"/>
                          <w:ind w:left="0" w:leftChars="0" w:firstLine="0" w:firstLineChars="0"/>
                          <w:rPr>
                            <w:rFonts w:hint="default"/>
                            <w:lang w:val="en-US"/>
                          </w:rPr>
                        </w:pPr>
                        <w:r>
                          <w:rPr>
                            <w:rFonts w:hint="eastAsia"/>
                            <w:lang w:val="en-US" w:eastAsia="zh-CN"/>
                          </w:rPr>
                          <w:t>W2含油废水、S7含油废渣、清洗废液</w:t>
                        </w:r>
                      </w:p>
                    </w:txbxContent>
                  </v:textbox>
                </v:rect>
                <w10:wrap type="none"/>
                <w10:anchorlock/>
              </v:group>
            </w:pict>
          </mc:Fallback>
        </mc:AlternateContent>
      </w:r>
    </w:p>
    <w:p w14:paraId="2CD3EC02">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3</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5  项目清罐工艺流程及产排污节点图</w:t>
      </w:r>
    </w:p>
    <w:p w14:paraId="7F514CFF">
      <w:pPr>
        <w:rPr>
          <w:rFonts w:eastAsia="Times New Roman"/>
          <w:color w:val="auto"/>
          <w:sz w:val="24"/>
          <w:highlight w:val="none"/>
          <w:lang w:val="zh-CN"/>
        </w:rPr>
      </w:pPr>
      <w:r>
        <w:rPr>
          <w:rFonts w:hint="eastAsia" w:ascii="Times New Roman" w:hAnsi="Times New Roman" w:eastAsia="宋体" w:cs="Times New Roman"/>
          <w:b/>
          <w:bCs/>
          <w:color w:val="auto"/>
          <w:sz w:val="24"/>
          <w:highlight w:val="none"/>
          <w:lang w:val="en-US" w:eastAsia="zh-CN"/>
        </w:rPr>
        <w:t>清罐</w:t>
      </w:r>
      <w:r>
        <w:rPr>
          <w:rFonts w:hint="eastAsia" w:ascii="Times New Roman" w:hAnsi="Times New Roman" w:eastAsia="宋体"/>
          <w:b/>
          <w:color w:val="auto"/>
          <w:kern w:val="2"/>
          <w:sz w:val="24"/>
          <w:szCs w:val="22"/>
          <w:highlight w:val="none"/>
          <w:lang w:val="en-US" w:eastAsia="zh-CN" w:bidi="ar-SA"/>
        </w:rPr>
        <w:t>工艺流程简述：</w:t>
      </w:r>
    </w:p>
    <w:p w14:paraId="1EB544B2">
      <w:pPr>
        <w:numPr>
          <w:ilvl w:val="0"/>
          <w:numId w:val="0"/>
        </w:numPr>
        <w:spacing w:line="360" w:lineRule="auto"/>
        <w:ind w:firstLine="480" w:firstLineChars="0"/>
        <w:rPr>
          <w:rFonts w:hint="eastAsia" w:ascii="Times New Roman" w:hAnsi="Times New Roman" w:eastAsia="Times New Roman" w:cs="Times New Roman"/>
          <w:color w:val="auto"/>
          <w:sz w:val="24"/>
          <w:highlight w:val="none"/>
          <w:lang w:val="zh-CN" w:eastAsia="zh-CN"/>
        </w:rPr>
      </w:pPr>
      <w:r>
        <w:rPr>
          <w:rFonts w:hint="eastAsia" w:ascii="Times New Roman" w:hAnsi="Times New Roman" w:eastAsia="Times New Roman" w:cs="Times New Roman"/>
          <w:color w:val="auto"/>
          <w:sz w:val="24"/>
          <w:highlight w:val="none"/>
          <w:lang w:val="en-US" w:eastAsia="zh-CN"/>
        </w:rPr>
        <w:t>根据加油站实际清罐情况，油罐一般每5年清洗一次，油罐检修之前，先尽量将油体排空，然后拆卸输油管线，脱离开油罐与其他罐、管的连接，并加盲板封堵，将阀门关闭，防止油气进入；打开人孔、通气孔和排污口，使罐内充分通风；清洗油罐，最后将检修场地清理干净。化学清洗剂由专业的检修单位提供，评价要求尽量使用能满足工艺要求的不燃或难燃性化学清洗剂。从油罐、加油机等设备中清出的含油废渣、油污，由清罐公司收集交由有资质的专业单位处理。</w:t>
      </w:r>
    </w:p>
    <w:p w14:paraId="207AF33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四、洗车服务工艺过程</w:t>
      </w:r>
    </w:p>
    <w:p w14:paraId="46D4036F">
      <w:pPr>
        <w:numPr>
          <w:ilvl w:val="0"/>
          <w:numId w:val="0"/>
        </w:numPr>
        <w:spacing w:line="360" w:lineRule="auto"/>
        <w:jc w:val="center"/>
        <w:rPr>
          <w:rFonts w:hint="eastAsia" w:ascii="Times New Roman" w:hAnsi="Times New Roman" w:eastAsia="宋体"/>
          <w:b/>
          <w:color w:val="auto"/>
          <w:kern w:val="2"/>
          <w:sz w:val="24"/>
          <w:szCs w:val="22"/>
          <w:highlight w:val="none"/>
          <w:lang w:val="en-US" w:eastAsia="zh-CN" w:bidi="ar-SA"/>
        </w:rPr>
      </w:pPr>
      <w:r>
        <w:rPr>
          <w:color w:val="auto"/>
          <w:sz w:val="24"/>
          <w:highlight w:val="none"/>
        </w:rPr>
        <mc:AlternateContent>
          <mc:Choice Requires="wpg">
            <w:drawing>
              <wp:inline distT="0" distB="0" distL="114300" distR="114300">
                <wp:extent cx="4989830" cy="1392555"/>
                <wp:effectExtent l="0" t="0" r="0" b="0"/>
                <wp:docPr id="606" name="组合 606"/>
                <wp:cNvGraphicFramePr/>
                <a:graphic xmlns:a="http://schemas.openxmlformats.org/drawingml/2006/main">
                  <a:graphicData uri="http://schemas.microsoft.com/office/word/2010/wordprocessingGroup">
                    <wpg:wgp>
                      <wpg:cNvGrpSpPr/>
                      <wpg:grpSpPr>
                        <a:xfrm>
                          <a:off x="0" y="0"/>
                          <a:ext cx="4989830" cy="1392555"/>
                          <a:chOff x="10312" y="1483765"/>
                          <a:chExt cx="7858" cy="2193"/>
                        </a:xfrm>
                      </wpg:grpSpPr>
                      <wps:wsp>
                        <wps:cNvPr id="182" name="自选图形 471"/>
                        <wps:cNvCnPr>
                          <a:stCxn id="180" idx="3"/>
                          <a:endCxn id="188" idx="1"/>
                        </wps:cNvCnPr>
                        <wps:spPr>
                          <a:xfrm>
                            <a:off x="13238" y="1484837"/>
                            <a:ext cx="599" cy="10"/>
                          </a:xfrm>
                          <a:prstGeom prst="straightConnector1">
                            <a:avLst/>
                          </a:prstGeom>
                          <a:ln w="9525" cap="flat" cmpd="sng">
                            <a:solidFill>
                              <a:srgbClr val="000000"/>
                            </a:solidFill>
                            <a:prstDash val="solid"/>
                            <a:round/>
                            <a:headEnd type="none" w="med" len="med"/>
                            <a:tailEnd type="triangle" w="med" len="med"/>
                          </a:ln>
                        </wps:spPr>
                        <wps:bodyPr/>
                      </wps:wsp>
                      <wps:wsp>
                        <wps:cNvPr id="183" name="自选图形 471"/>
                        <wps:cNvCnPr/>
                        <wps:spPr>
                          <a:xfrm>
                            <a:off x="15095" y="1484844"/>
                            <a:ext cx="629" cy="1"/>
                          </a:xfrm>
                          <a:prstGeom prst="straightConnector1">
                            <a:avLst/>
                          </a:prstGeom>
                          <a:ln w="9525" cap="flat" cmpd="sng">
                            <a:solidFill>
                              <a:srgbClr val="000000"/>
                            </a:solidFill>
                            <a:prstDash val="solid"/>
                            <a:round/>
                            <a:headEnd type="none" w="med" len="med"/>
                            <a:tailEnd type="triangle" w="med" len="med"/>
                          </a:ln>
                        </wps:spPr>
                        <wps:bodyPr/>
                      </wps:wsp>
                      <wps:wsp>
                        <wps:cNvPr id="185" name="自选图形 471"/>
                        <wps:cNvCnPr/>
                        <wps:spPr>
                          <a:xfrm>
                            <a:off x="14470" y="1485209"/>
                            <a:ext cx="0" cy="401"/>
                          </a:xfrm>
                          <a:prstGeom prst="straightConnector1">
                            <a:avLst/>
                          </a:prstGeom>
                          <a:ln w="9525" cap="flat" cmpd="sng">
                            <a:solidFill>
                              <a:srgbClr val="000000"/>
                            </a:solidFill>
                            <a:prstDash val="dash"/>
                            <a:round/>
                            <a:headEnd type="none" w="med" len="med"/>
                            <a:tailEnd type="triangle" w="med" len="med"/>
                          </a:ln>
                        </wps:spPr>
                        <wps:bodyPr/>
                      </wps:wsp>
                      <wps:wsp>
                        <wps:cNvPr id="186" name="自选图形 471"/>
                        <wps:cNvCnPr/>
                        <wps:spPr>
                          <a:xfrm flipV="1">
                            <a:off x="16579" y="1484834"/>
                            <a:ext cx="802" cy="6"/>
                          </a:xfrm>
                          <a:prstGeom prst="straightConnector1">
                            <a:avLst/>
                          </a:prstGeom>
                          <a:ln w="9525" cap="flat" cmpd="sng">
                            <a:solidFill>
                              <a:srgbClr val="000000"/>
                            </a:solidFill>
                            <a:prstDash val="solid"/>
                            <a:round/>
                            <a:headEnd type="none" w="med" len="med"/>
                            <a:tailEnd type="triangle" w="med" len="med"/>
                          </a:ln>
                        </wps:spPr>
                        <wps:bodyPr/>
                      </wps:wsp>
                      <wps:wsp>
                        <wps:cNvPr id="187" name="矩形 470"/>
                        <wps:cNvSpPr/>
                        <wps:spPr>
                          <a:xfrm>
                            <a:off x="14313" y="1485526"/>
                            <a:ext cx="662" cy="433"/>
                          </a:xfrm>
                          <a:prstGeom prst="rect">
                            <a:avLst/>
                          </a:prstGeom>
                          <a:solidFill>
                            <a:srgbClr val="FFFFFF">
                              <a:alpha val="0"/>
                            </a:srgbClr>
                          </a:solidFill>
                          <a:ln>
                            <a:noFill/>
                          </a:ln>
                        </wps:spPr>
                        <wps:txbx>
                          <w:txbxContent>
                            <w:p w14:paraId="1081A2D1">
                              <w:pPr>
                                <w:pStyle w:val="421"/>
                                <w:bidi w:val="0"/>
                                <w:ind w:left="0" w:leftChars="0" w:firstLine="0" w:firstLineChars="0"/>
                                <w:rPr>
                                  <w:rFonts w:hint="default"/>
                                  <w:lang w:val="en-US"/>
                                </w:rPr>
                              </w:pPr>
                              <w:r>
                                <w:rPr>
                                  <w:rFonts w:hint="eastAsia"/>
                                  <w:lang w:val="en-US" w:eastAsia="zh-CN"/>
                                </w:rPr>
                                <w:t>W</w:t>
                              </w:r>
                              <w:r>
                                <w:rPr>
                                  <w:rFonts w:hint="eastAsia"/>
                                  <w:vertAlign w:val="subscript"/>
                                  <w:lang w:val="en-US" w:eastAsia="zh-CN"/>
                                </w:rPr>
                                <w:t>4</w:t>
                              </w:r>
                            </w:p>
                          </w:txbxContent>
                        </wps:txbx>
                        <wps:bodyPr vert="horz" wrap="square" lIns="0" tIns="0" rIns="0" bIns="0" anchor="t" anchorCtr="0" upright="1"/>
                      </wps:wsp>
                      <wpg:grpSp>
                        <wpg:cNvPr id="607" name="组合 604"/>
                        <wpg:cNvGrpSpPr/>
                        <wpg:grpSpPr>
                          <a:xfrm>
                            <a:off x="10312" y="1484492"/>
                            <a:ext cx="6258" cy="698"/>
                            <a:chOff x="10312" y="1484492"/>
                            <a:chExt cx="6258" cy="698"/>
                          </a:xfrm>
                        </wpg:grpSpPr>
                        <wps:wsp>
                          <wps:cNvPr id="180" name="矩形 469"/>
                          <wps:cNvSpPr/>
                          <wps:spPr>
                            <a:xfrm>
                              <a:off x="11992" y="1484492"/>
                              <a:ext cx="1246" cy="68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B3F93D">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center"/>
                                  <w:textAlignment w:val="baseline"/>
                                  <w:rPr>
                                    <w:rFonts w:hint="eastAsia" w:eastAsia="宋体"/>
                                    <w:lang w:val="en-US" w:eastAsia="zh-CN"/>
                                  </w:rPr>
                                </w:pPr>
                                <w:r>
                                  <w:rPr>
                                    <w:rFonts w:hint="eastAsia"/>
                                    <w:lang w:val="en-US" w:eastAsia="zh-CN"/>
                                  </w:rPr>
                                  <w:t>喷水、洗涤剂</w:t>
                                </w:r>
                              </w:p>
                            </w:txbxContent>
                          </wps:txbx>
                          <wps:bodyPr vert="horz" wrap="square" lIns="0" tIns="0" rIns="0" bIns="0" anchor="t" anchorCtr="0" upright="1"/>
                        </wps:wsp>
                        <wps:wsp>
                          <wps:cNvPr id="181" name="矩形 470"/>
                          <wps:cNvSpPr/>
                          <wps:spPr>
                            <a:xfrm>
                              <a:off x="10312" y="1484611"/>
                              <a:ext cx="1227" cy="433"/>
                            </a:xfrm>
                            <a:prstGeom prst="rect">
                              <a:avLst/>
                            </a:prstGeom>
                            <a:solidFill>
                              <a:srgbClr val="FFFFFF">
                                <a:alpha val="0"/>
                              </a:srgbClr>
                            </a:solidFill>
                            <a:ln>
                              <a:noFill/>
                            </a:ln>
                          </wps:spPr>
                          <wps:txbx>
                            <w:txbxContent>
                              <w:p w14:paraId="3A45136F">
                                <w:pPr>
                                  <w:pStyle w:val="421"/>
                                  <w:bidi w:val="0"/>
                                  <w:ind w:left="0" w:leftChars="0" w:firstLine="0" w:firstLineChars="0"/>
                                  <w:rPr>
                                    <w:rFonts w:hint="eastAsia" w:eastAsia="宋体"/>
                                    <w:lang w:val="en-US" w:eastAsia="zh-CN"/>
                                  </w:rPr>
                                </w:pPr>
                                <w:r>
                                  <w:rPr>
                                    <w:rFonts w:hint="eastAsia"/>
                                    <w:lang w:val="en-US" w:eastAsia="zh-CN"/>
                                  </w:rPr>
                                  <w:t>小型汽车</w:t>
                                </w:r>
                              </w:p>
                            </w:txbxContent>
                          </wps:txbx>
                          <wps:bodyPr vert="horz" wrap="square" lIns="0" tIns="0" rIns="0" bIns="0" anchor="t" anchorCtr="0" upright="1"/>
                        </wps:wsp>
                        <wps:wsp>
                          <wps:cNvPr id="184" name="矩形 469"/>
                          <wps:cNvSpPr/>
                          <wps:spPr>
                            <a:xfrm>
                              <a:off x="15732" y="1484622"/>
                              <a:ext cx="838"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F58E417">
                                <w:pPr>
                                  <w:pStyle w:val="421"/>
                                  <w:bidi w:val="0"/>
                                  <w:ind w:left="0" w:leftChars="0" w:firstLine="0" w:firstLineChars="0"/>
                                  <w:jc w:val="center"/>
                                  <w:rPr>
                                    <w:rFonts w:hint="eastAsia" w:eastAsia="宋体"/>
                                    <w:lang w:val="en-US" w:eastAsia="zh-CN"/>
                                  </w:rPr>
                                </w:pPr>
                                <w:r>
                                  <w:rPr>
                                    <w:rFonts w:hint="eastAsia"/>
                                    <w:lang w:val="en-US" w:eastAsia="zh-CN"/>
                                  </w:rPr>
                                  <w:t>风干</w:t>
                                </w:r>
                              </w:p>
                            </w:txbxContent>
                          </wps:txbx>
                          <wps:bodyPr vert="horz" wrap="square" lIns="0" tIns="0" rIns="0" bIns="0" anchor="t" anchorCtr="0" upright="1"/>
                        </wps:wsp>
                        <wps:wsp>
                          <wps:cNvPr id="188" name="矩形 469"/>
                          <wps:cNvSpPr/>
                          <wps:spPr>
                            <a:xfrm>
                              <a:off x="13837" y="1484502"/>
                              <a:ext cx="1246" cy="68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381B3CD">
                                <w:pPr>
                                  <w:pStyle w:val="421"/>
                                  <w:keepNext w:val="0"/>
                                  <w:keepLines w:val="0"/>
                                  <w:pageBreakBefore w:val="0"/>
                                  <w:widowControl w:val="0"/>
                                  <w:kinsoku/>
                                  <w:wordWrap/>
                                  <w:overflowPunct/>
                                  <w:topLinePunct w:val="0"/>
                                  <w:bidi w:val="0"/>
                                  <w:adjustRightInd w:val="0"/>
                                  <w:snapToGrid w:val="0"/>
                                  <w:spacing w:line="240" w:lineRule="atLeast"/>
                                  <w:ind w:left="0" w:leftChars="0" w:firstLine="0" w:firstLineChars="0"/>
                                  <w:jc w:val="center"/>
                                  <w:textAlignment w:val="baseline"/>
                                  <w:rPr>
                                    <w:rFonts w:hint="eastAsia" w:eastAsia="宋体"/>
                                    <w:lang w:val="en-US" w:eastAsia="zh-CN"/>
                                  </w:rPr>
                                </w:pPr>
                                <w:r>
                                  <w:rPr>
                                    <w:rFonts w:hint="eastAsia"/>
                                    <w:lang w:val="en-US" w:eastAsia="zh-CN"/>
                                  </w:rPr>
                                  <w:t>刷车、冲洗</w:t>
                                </w:r>
                              </w:p>
                            </w:txbxContent>
                          </wps:txbx>
                          <wps:bodyPr wrap="square" lIns="0" tIns="0" rIns="0" bIns="0" upright="1"/>
                        </wps:wsp>
                      </wpg:grpSp>
                      <wps:wsp>
                        <wps:cNvPr id="189" name="自选图形 471"/>
                        <wps:cNvCnPr/>
                        <wps:spPr>
                          <a:xfrm>
                            <a:off x="11513" y="1484882"/>
                            <a:ext cx="488" cy="9"/>
                          </a:xfrm>
                          <a:prstGeom prst="straightConnector1">
                            <a:avLst/>
                          </a:prstGeom>
                          <a:ln w="9525" cap="flat" cmpd="sng">
                            <a:solidFill>
                              <a:srgbClr val="000000"/>
                            </a:solidFill>
                            <a:prstDash val="solid"/>
                            <a:round/>
                            <a:headEnd type="none" w="med" len="med"/>
                            <a:tailEnd type="triangle" w="med" len="med"/>
                          </a:ln>
                        </wps:spPr>
                        <wps:bodyPr/>
                      </wps:wsp>
                      <wps:wsp>
                        <wps:cNvPr id="190" name="矩形 470"/>
                        <wps:cNvSpPr/>
                        <wps:spPr>
                          <a:xfrm>
                            <a:off x="17432" y="1484597"/>
                            <a:ext cx="738" cy="433"/>
                          </a:xfrm>
                          <a:prstGeom prst="rect">
                            <a:avLst/>
                          </a:prstGeom>
                          <a:solidFill>
                            <a:srgbClr val="FFFFFF">
                              <a:alpha val="0"/>
                            </a:srgbClr>
                          </a:solidFill>
                          <a:ln>
                            <a:noFill/>
                          </a:ln>
                        </wps:spPr>
                        <wps:txbx>
                          <w:txbxContent>
                            <w:p w14:paraId="4B0849DF">
                              <w:pPr>
                                <w:pStyle w:val="421"/>
                                <w:bidi w:val="0"/>
                                <w:ind w:left="0" w:leftChars="0" w:firstLine="0" w:firstLineChars="0"/>
                                <w:rPr>
                                  <w:rFonts w:hint="eastAsia" w:eastAsia="宋体"/>
                                  <w:lang w:val="en-US" w:eastAsia="zh-CN"/>
                                </w:rPr>
                              </w:pPr>
                              <w:r>
                                <w:rPr>
                                  <w:rFonts w:hint="eastAsia"/>
                                  <w:lang w:val="en-US" w:eastAsia="zh-CN"/>
                                </w:rPr>
                                <w:t>离开</w:t>
                              </w:r>
                            </w:p>
                          </w:txbxContent>
                        </wps:txbx>
                        <wps:bodyPr vert="horz" wrap="square" lIns="0" tIns="0" rIns="0" bIns="0" anchor="t" anchorCtr="0" upright="1"/>
                      </wps:wsp>
                      <wps:wsp>
                        <wps:cNvPr id="191" name="自选图形 471"/>
                        <wps:cNvCnPr/>
                        <wps:spPr>
                          <a:xfrm>
                            <a:off x="14484" y="1484142"/>
                            <a:ext cx="9" cy="365"/>
                          </a:xfrm>
                          <a:prstGeom prst="straightConnector1">
                            <a:avLst/>
                          </a:prstGeom>
                          <a:ln w="9525" cap="flat" cmpd="sng">
                            <a:solidFill>
                              <a:srgbClr val="000000"/>
                            </a:solidFill>
                            <a:prstDash val="solid"/>
                            <a:round/>
                            <a:headEnd type="none" w="med" len="med"/>
                            <a:tailEnd type="triangle" w="med" len="med"/>
                          </a:ln>
                        </wps:spPr>
                        <wps:bodyPr/>
                      </wps:wsp>
                      <wps:wsp>
                        <wps:cNvPr id="192" name="矩形 470"/>
                        <wps:cNvSpPr/>
                        <wps:spPr>
                          <a:xfrm>
                            <a:off x="14367" y="1483765"/>
                            <a:ext cx="471" cy="433"/>
                          </a:xfrm>
                          <a:prstGeom prst="rect">
                            <a:avLst/>
                          </a:prstGeom>
                          <a:solidFill>
                            <a:srgbClr val="FFFFFF">
                              <a:alpha val="0"/>
                            </a:srgbClr>
                          </a:solidFill>
                          <a:ln>
                            <a:noFill/>
                          </a:ln>
                        </wps:spPr>
                        <wps:txbx>
                          <w:txbxContent>
                            <w:p w14:paraId="507C3472">
                              <w:pPr>
                                <w:pStyle w:val="421"/>
                                <w:bidi w:val="0"/>
                                <w:ind w:left="0" w:leftChars="0" w:firstLine="0" w:firstLineChars="0"/>
                                <w:rPr>
                                  <w:rFonts w:hint="default" w:eastAsia="宋体"/>
                                  <w:lang w:val="en-US" w:eastAsia="zh-CN"/>
                                </w:rPr>
                              </w:pPr>
                              <w:r>
                                <w:rPr>
                                  <w:rFonts w:hint="eastAsia" w:eastAsia="宋体"/>
                                  <w:lang w:val="en-US" w:eastAsia="zh-CN"/>
                                </w:rPr>
                                <w:t>水</w:t>
                              </w:r>
                            </w:p>
                          </w:txbxContent>
                        </wps:txbx>
                        <wps:bodyPr vert="horz" wrap="square" lIns="0" tIns="0" rIns="0" bIns="0" anchor="t" anchorCtr="0" upright="1"/>
                      </wps:wsp>
                      <wps:wsp>
                        <wps:cNvPr id="193" name="自选图形 471"/>
                        <wps:cNvCnPr/>
                        <wps:spPr>
                          <a:xfrm>
                            <a:off x="12610" y="1485194"/>
                            <a:ext cx="0" cy="401"/>
                          </a:xfrm>
                          <a:prstGeom prst="straightConnector1">
                            <a:avLst/>
                          </a:prstGeom>
                          <a:ln w="9525" cap="flat" cmpd="sng">
                            <a:solidFill>
                              <a:srgbClr val="000000"/>
                            </a:solidFill>
                            <a:prstDash val="dash"/>
                            <a:round/>
                            <a:headEnd type="none" w="med" len="med"/>
                            <a:tailEnd type="triangle" w="med" len="med"/>
                          </a:ln>
                        </wps:spPr>
                        <wps:bodyPr/>
                      </wps:wsp>
                      <wps:wsp>
                        <wps:cNvPr id="194" name="矩形 470"/>
                        <wps:cNvSpPr/>
                        <wps:spPr>
                          <a:xfrm>
                            <a:off x="12483" y="1485511"/>
                            <a:ext cx="662" cy="433"/>
                          </a:xfrm>
                          <a:prstGeom prst="rect">
                            <a:avLst/>
                          </a:prstGeom>
                          <a:solidFill>
                            <a:srgbClr val="FFFFFF">
                              <a:alpha val="0"/>
                            </a:srgbClr>
                          </a:solidFill>
                          <a:ln>
                            <a:noFill/>
                          </a:ln>
                        </wps:spPr>
                        <wps:txbx>
                          <w:txbxContent>
                            <w:p w14:paraId="2343A530">
                              <w:pPr>
                                <w:pStyle w:val="421"/>
                                <w:bidi w:val="0"/>
                                <w:ind w:left="0" w:leftChars="0" w:firstLine="0" w:firstLineChars="0"/>
                                <w:rPr>
                                  <w:rFonts w:hint="default"/>
                                  <w:lang w:val="en-US"/>
                                </w:rPr>
                              </w:pPr>
                              <w:r>
                                <w:rPr>
                                  <w:rFonts w:hint="eastAsia"/>
                                  <w:lang w:val="en-US" w:eastAsia="zh-CN"/>
                                </w:rPr>
                                <w:t>W</w:t>
                              </w:r>
                              <w:r>
                                <w:rPr>
                                  <w:rFonts w:hint="eastAsia"/>
                                  <w:vertAlign w:val="subscript"/>
                                  <w:lang w:val="en-US" w:eastAsia="zh-CN"/>
                                </w:rPr>
                                <w:t>3</w:t>
                              </w:r>
                            </w:p>
                          </w:txbxContent>
                        </wps:txbx>
                        <wps:bodyPr wrap="square" lIns="0" tIns="0" rIns="0" bIns="0" upright="1"/>
                      </wps:wsp>
                    </wpg:wgp>
                  </a:graphicData>
                </a:graphic>
              </wp:inline>
            </w:drawing>
          </mc:Choice>
          <mc:Fallback>
            <w:pict>
              <v:group id="_x0000_s1026" o:spid="_x0000_s1026" o:spt="203" style="height:109.65pt;width:392.9pt;" coordorigin="10312,1483765" coordsize="7858,2193" o:gfxdata="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">
                <o:lock v:ext="edit" aspectratio="f"/>
                <v:shape id="自选图形 471" o:spid="_x0000_s1026" o:spt="32" type="#_x0000_t32" style="position:absolute;left:13238;top:1484837;height:10;width:599;" filled="f" stroked="t" coordsize="21600,21600" o:gfxdata="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x8bm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471" o:spid="_x0000_s1026" o:spt="32" type="#_x0000_t32" style="position:absolute;left:15095;top:1484844;height:1;width:629;" filled="f" stroked="t" coordsize="21600,21600" o:gfxdata="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9VCK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471" o:spid="_x0000_s1026" o:spt="32" type="#_x0000_t32" style="position:absolute;left:14470;top:1485209;height:401;width:0;" filled="f" stroked="t" coordsize="21600,21600" o:gfxdata="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blG9b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shape>
                <v:shape id="自选图形 471" o:spid="_x0000_s1026" o:spt="32" type="#_x0000_t32" style="position:absolute;left:16579;top:1484834;flip:y;height:6;width:802;" filled="f" stroked="t" coordsize="21600,21600" o:gfxdata="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wg7Tb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rect id="矩形 470" o:spid="_x0000_s1026" o:spt="1" style="position:absolute;left:14313;top:1485526;height:433;width:662;" fillcolor="#FFFFFF" filled="t" stroked="f" coordsize="21600,21600" o:gfxdata="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2briL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1081A2D1">
                        <w:pPr>
                          <w:pStyle w:val="421"/>
                          <w:bidi w:val="0"/>
                          <w:ind w:left="0" w:leftChars="0" w:firstLine="0" w:firstLineChars="0"/>
                          <w:rPr>
                            <w:rFonts w:hint="default"/>
                            <w:lang w:val="en-US"/>
                          </w:rPr>
                        </w:pPr>
                        <w:r>
                          <w:rPr>
                            <w:rFonts w:hint="eastAsia"/>
                            <w:lang w:val="en-US" w:eastAsia="zh-CN"/>
                          </w:rPr>
                          <w:t>W</w:t>
                        </w:r>
                        <w:r>
                          <w:rPr>
                            <w:rFonts w:hint="eastAsia"/>
                            <w:vertAlign w:val="subscript"/>
                            <w:lang w:val="en-US" w:eastAsia="zh-CN"/>
                          </w:rPr>
                          <w:t>4</w:t>
                        </w:r>
                      </w:p>
                    </w:txbxContent>
                  </v:textbox>
                </v:rect>
                <v:group id="组合 604" o:spid="_x0000_s1026" o:spt="203" style="position:absolute;left:10312;top:1484492;height:698;width:6258;" coordorigin="10312,1484492" coordsize="6258,698" o:gfxdata="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C2cjAvwAAANwAAAAPAAAAAAAAAAEAIAAAACIAAABkcnMvZG93bnJldi54&#10;bWxQSwECFAAUAAAACACHTuJAMy8FnjsAAAA5AAAAFQAAAAAAAAABACAAAAAOAQAAZHJzL2dyb3Vw&#10;c2hhcGV4bWwueG1sUEsFBgAAAAAGAAYAYAEAAMsDAAAAAA==&#10;">
                  <o:lock v:ext="edit" aspectratio="f"/>
                  <v:rect id="矩形 469" o:spid="_x0000_s1026" o:spt="1" style="position:absolute;left:11992;top:1484492;height:689;width:1246;" fillcolor="#FFFFFF" filled="t" stroked="t" coordsize="21600,21600" o:gfxdata="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5Fim/&#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7FB3F93D">
                          <w:pPr>
                            <w:pStyle w:val="421"/>
                            <w:keepNext w:val="0"/>
                            <w:keepLines w:val="0"/>
                            <w:pageBreakBefore w:val="0"/>
                            <w:widowControl w:val="0"/>
                            <w:kinsoku/>
                            <w:wordWrap/>
                            <w:overflowPunct/>
                            <w:topLinePunct w:val="0"/>
                            <w:bidi w:val="0"/>
                            <w:adjustRightInd w:val="0"/>
                            <w:snapToGrid/>
                            <w:spacing w:line="240" w:lineRule="atLeast"/>
                            <w:ind w:left="0" w:leftChars="0" w:firstLine="0" w:firstLineChars="0"/>
                            <w:jc w:val="center"/>
                            <w:textAlignment w:val="baseline"/>
                            <w:rPr>
                              <w:rFonts w:hint="eastAsia" w:eastAsia="宋体"/>
                              <w:lang w:val="en-US" w:eastAsia="zh-CN"/>
                            </w:rPr>
                          </w:pPr>
                          <w:r>
                            <w:rPr>
                              <w:rFonts w:hint="eastAsia"/>
                              <w:lang w:val="en-US" w:eastAsia="zh-CN"/>
                            </w:rPr>
                            <w:t>喷水、洗涤剂</w:t>
                          </w:r>
                        </w:p>
                      </w:txbxContent>
                    </v:textbox>
                  </v:rect>
                  <v:rect id="矩形 470" o:spid="_x0000_s1026" o:spt="1" style="position:absolute;left:10312;top:1484611;height:433;width:1227;" fillcolor="#FFFFFF" filled="t" stroked="f" coordsize="21600,21600" o:gfxdata="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w9ZnugAAANwA&#10;AAAPAAAAAAAAAAEAIAAAACIAAABkcnMvZG93bnJldi54bWxQSwECFAAUAAAACACHTuJAMy8FnjsA&#10;AAA5AAAAEAAAAAAAAAABACAAAAAJAQAAZHJzL3NoYXBleG1sLnhtbFBLBQYAAAAABgAGAFsBAACz&#10;AwAAAAA=&#10;">
                    <v:fill on="t" opacity="0f" focussize="0,0"/>
                    <v:stroke on="f"/>
                    <v:imagedata o:title=""/>
                    <o:lock v:ext="edit" aspectratio="f"/>
                    <v:textbox inset="0mm,0mm,0mm,0mm">
                      <w:txbxContent>
                        <w:p w14:paraId="3A45136F">
                          <w:pPr>
                            <w:pStyle w:val="421"/>
                            <w:bidi w:val="0"/>
                            <w:ind w:left="0" w:leftChars="0" w:firstLine="0" w:firstLineChars="0"/>
                            <w:rPr>
                              <w:rFonts w:hint="eastAsia" w:eastAsia="宋体"/>
                              <w:lang w:val="en-US" w:eastAsia="zh-CN"/>
                            </w:rPr>
                          </w:pPr>
                          <w:r>
                            <w:rPr>
                              <w:rFonts w:hint="eastAsia"/>
                              <w:lang w:val="en-US" w:eastAsia="zh-CN"/>
                            </w:rPr>
                            <w:t>小型汽车</w:t>
                          </w:r>
                        </w:p>
                      </w:txbxContent>
                    </v:textbox>
                  </v:rect>
                  <v:rect id="矩形 469" o:spid="_x0000_s1026" o:spt="1" style="position:absolute;left:15732;top:1484622;height:433;width:838;" fillcolor="#FFFFFF" filled="t" stroked="t" coordsize="21600,21600" o:gfxdata="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CECq/&#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3F58E417">
                          <w:pPr>
                            <w:pStyle w:val="421"/>
                            <w:bidi w:val="0"/>
                            <w:ind w:left="0" w:leftChars="0" w:firstLine="0" w:firstLineChars="0"/>
                            <w:jc w:val="center"/>
                            <w:rPr>
                              <w:rFonts w:hint="eastAsia" w:eastAsia="宋体"/>
                              <w:lang w:val="en-US" w:eastAsia="zh-CN"/>
                            </w:rPr>
                          </w:pPr>
                          <w:r>
                            <w:rPr>
                              <w:rFonts w:hint="eastAsia"/>
                              <w:lang w:val="en-US" w:eastAsia="zh-CN"/>
                            </w:rPr>
                            <w:t>风干</w:t>
                          </w:r>
                        </w:p>
                      </w:txbxContent>
                    </v:textbox>
                  </v:rect>
                  <v:rect id="矩形 469" o:spid="_x0000_s1026" o:spt="1" style="position:absolute;left:13837;top:1484502;height:689;width:1246;" fillcolor="#FFFFFF" filled="t" stroked="t" coordsize="21600,21600" o:gfxdata="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PGi+/&#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2381B3CD">
                          <w:pPr>
                            <w:pStyle w:val="421"/>
                            <w:keepNext w:val="0"/>
                            <w:keepLines w:val="0"/>
                            <w:pageBreakBefore w:val="0"/>
                            <w:widowControl w:val="0"/>
                            <w:kinsoku/>
                            <w:wordWrap/>
                            <w:overflowPunct/>
                            <w:topLinePunct w:val="0"/>
                            <w:bidi w:val="0"/>
                            <w:adjustRightInd w:val="0"/>
                            <w:snapToGrid w:val="0"/>
                            <w:spacing w:line="240" w:lineRule="atLeast"/>
                            <w:ind w:left="0" w:leftChars="0" w:firstLine="0" w:firstLineChars="0"/>
                            <w:jc w:val="center"/>
                            <w:textAlignment w:val="baseline"/>
                            <w:rPr>
                              <w:rFonts w:hint="eastAsia" w:eastAsia="宋体"/>
                              <w:lang w:val="en-US" w:eastAsia="zh-CN"/>
                            </w:rPr>
                          </w:pPr>
                          <w:r>
                            <w:rPr>
                              <w:rFonts w:hint="eastAsia"/>
                              <w:lang w:val="en-US" w:eastAsia="zh-CN"/>
                            </w:rPr>
                            <w:t>刷车、冲洗</w:t>
                          </w:r>
                        </w:p>
                      </w:txbxContent>
                    </v:textbox>
                  </v:rect>
                </v:group>
                <v:shape id="自选图形 471" o:spid="_x0000_s1026" o:spt="32" type="#_x0000_t32" style="position:absolute;left:11513;top:1484882;height:9;width:488;" filled="f" stroked="t" coordsize="21600,21600" o:gfxdata="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aVY8i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矩形 470" o:spid="_x0000_s1026" o:spt="1" style="position:absolute;left:17432;top:1484597;height:433;width:738;" fillcolor="#FFFFFF" filled="t" stroked="f" coordsize="21600,21600" o:gfxdata="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VuUh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4B0849DF">
                        <w:pPr>
                          <w:pStyle w:val="421"/>
                          <w:bidi w:val="0"/>
                          <w:ind w:left="0" w:leftChars="0" w:firstLine="0" w:firstLineChars="0"/>
                          <w:rPr>
                            <w:rFonts w:hint="eastAsia" w:eastAsia="宋体"/>
                            <w:lang w:val="en-US" w:eastAsia="zh-CN"/>
                          </w:rPr>
                        </w:pPr>
                        <w:r>
                          <w:rPr>
                            <w:rFonts w:hint="eastAsia"/>
                            <w:lang w:val="en-US" w:eastAsia="zh-CN"/>
                          </w:rPr>
                          <w:t>离开</w:t>
                        </w:r>
                      </w:p>
                    </w:txbxContent>
                  </v:textbox>
                </v:rect>
                <v:shape id="自选图形 471" o:spid="_x0000_s1026" o:spt="32" type="#_x0000_t32" style="position:absolute;left:14484;top:1484142;height:365;width:9;" filled="f" stroked="t" coordsize="21600,21600" o:gfxdata="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06+RO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矩形 470" o:spid="_x0000_s1026" o:spt="1" style="position:absolute;left:14367;top:1483765;height:433;width:471;" fillcolor="#FFFFFF" filled="t" stroked="f" coordsize="21600,21600" o:gfxdata="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sjezb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507C3472">
                        <w:pPr>
                          <w:pStyle w:val="421"/>
                          <w:bidi w:val="0"/>
                          <w:ind w:left="0" w:leftChars="0" w:firstLine="0" w:firstLineChars="0"/>
                          <w:rPr>
                            <w:rFonts w:hint="default" w:eastAsia="宋体"/>
                            <w:lang w:val="en-US" w:eastAsia="zh-CN"/>
                          </w:rPr>
                        </w:pPr>
                        <w:r>
                          <w:rPr>
                            <w:rFonts w:hint="eastAsia" w:eastAsia="宋体"/>
                            <w:lang w:val="en-US" w:eastAsia="zh-CN"/>
                          </w:rPr>
                          <w:t>水</w:t>
                        </w:r>
                      </w:p>
                    </w:txbxContent>
                  </v:textbox>
                </v:rect>
                <v:shape id="自选图形 471" o:spid="_x0000_s1026" o:spt="32" type="#_x0000_t32" style="position:absolute;left:12610;top:1485194;height:401;width:0;" filled="f" stroked="t" coordsize="21600,21600" o:gfxdata="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MXtx7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shape>
                <v:rect id="矩形 470" o:spid="_x0000_s1026" o:spt="1" style="position:absolute;left:12483;top:1485511;height:433;width:662;" fillcolor="#FFFFFF" filled="t" stroked="f" coordsize="21600,21600" o:gfxdata="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m3jIrsAAADc&#10;AAAADwAAAAAAAAABACAAAAAiAAAAZHJzL2Rvd25yZXYueG1sUEsBAhQAFAAAAAgAh07iQDMvBZ47&#10;AAAAOQAAABAAAAAAAAAAAQAgAAAACgEAAGRycy9zaGFwZXhtbC54bWxQSwUGAAAAAAYABgBbAQAA&#10;tAMAAAAA&#10;">
                  <v:fill on="t" opacity="0f" focussize="0,0"/>
                  <v:stroke on="f"/>
                  <v:imagedata o:title=""/>
                  <o:lock v:ext="edit" aspectratio="f"/>
                  <v:textbox inset="0mm,0mm,0mm,0mm">
                    <w:txbxContent>
                      <w:p w14:paraId="2343A530">
                        <w:pPr>
                          <w:pStyle w:val="421"/>
                          <w:bidi w:val="0"/>
                          <w:ind w:left="0" w:leftChars="0" w:firstLine="0" w:firstLineChars="0"/>
                          <w:rPr>
                            <w:rFonts w:hint="default"/>
                            <w:lang w:val="en-US"/>
                          </w:rPr>
                        </w:pPr>
                        <w:r>
                          <w:rPr>
                            <w:rFonts w:hint="eastAsia"/>
                            <w:lang w:val="en-US" w:eastAsia="zh-CN"/>
                          </w:rPr>
                          <w:t>W</w:t>
                        </w:r>
                        <w:r>
                          <w:rPr>
                            <w:rFonts w:hint="eastAsia"/>
                            <w:vertAlign w:val="subscript"/>
                            <w:lang w:val="en-US" w:eastAsia="zh-CN"/>
                          </w:rPr>
                          <w:t>3</w:t>
                        </w:r>
                      </w:p>
                    </w:txbxContent>
                  </v:textbox>
                </v:rect>
                <w10:wrap type="none"/>
                <w10:anchorlock/>
              </v:group>
            </w:pict>
          </mc:Fallback>
        </mc:AlternateContent>
      </w:r>
    </w:p>
    <w:p w14:paraId="292B909A">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3</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6  洗车工艺流程及产排污节点图</w:t>
      </w:r>
    </w:p>
    <w:p w14:paraId="25CB621C">
      <w:pPr>
        <w:rPr>
          <w:rFonts w:eastAsia="Times New Roman"/>
          <w:color w:val="auto"/>
          <w:sz w:val="24"/>
          <w:highlight w:val="none"/>
          <w:lang w:val="zh-CN"/>
        </w:rPr>
      </w:pPr>
      <w:r>
        <w:rPr>
          <w:rFonts w:hint="eastAsia" w:ascii="Times New Roman" w:hAnsi="Times New Roman" w:eastAsia="宋体" w:cs="Times New Roman"/>
          <w:b/>
          <w:bCs/>
          <w:color w:val="auto"/>
          <w:sz w:val="24"/>
          <w:highlight w:val="none"/>
          <w:lang w:val="en-US" w:eastAsia="zh-CN"/>
        </w:rPr>
        <w:t>清罐</w:t>
      </w:r>
      <w:r>
        <w:rPr>
          <w:rFonts w:hint="eastAsia" w:ascii="Times New Roman" w:hAnsi="Times New Roman" w:eastAsia="宋体"/>
          <w:b/>
          <w:color w:val="auto"/>
          <w:kern w:val="2"/>
          <w:sz w:val="24"/>
          <w:szCs w:val="22"/>
          <w:highlight w:val="none"/>
          <w:lang w:val="en-US" w:eastAsia="zh-CN" w:bidi="ar-SA"/>
        </w:rPr>
        <w:t>工艺流程简述：</w:t>
      </w:r>
    </w:p>
    <w:p w14:paraId="33163DF5">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本项目外购成品洗车机设备，仅为来加油站加油顾客免费提供洗车服务，洗车房仅能为小型轿车提供洗车服务。</w:t>
      </w:r>
    </w:p>
    <w:p w14:paraId="61ABAD1A">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喷水、洗涤剂：小型汽车开入洗车房后，洗车房配备的自动水枪先对汽车进行喷水冲洗表面灰尘，然后洗车机内部喷头将洗涤剂均匀的喷在汽车表面（由于洗车服务为免费附赠服务，因此出于成本考虑洗涤剂用量较少，洗涤剂与水</w:t>
      </w:r>
      <w:r>
        <w:rPr>
          <w:rFonts w:hint="eastAsia" w:ascii="宋体" w:hAnsi="宋体" w:eastAsia="宋体" w:cs="宋体"/>
          <w:b w:val="0"/>
          <w:bCs w:val="0"/>
          <w:color w:val="auto"/>
          <w:sz w:val="24"/>
          <w:szCs w:val="24"/>
          <w:highlight w:val="none"/>
          <w:lang w:val="en-US" w:eastAsia="zh-CN"/>
        </w:rPr>
        <w:t>质量</w:t>
      </w:r>
      <w:r>
        <w:rPr>
          <w:rFonts w:hint="eastAsia" w:ascii="宋体" w:hAnsi="宋体" w:eastAsia="宋体" w:cs="宋体"/>
          <w:b w:val="0"/>
          <w:bCs w:val="0"/>
          <w:color w:val="auto"/>
          <w:sz w:val="24"/>
          <w:szCs w:val="24"/>
          <w:highlight w:val="none"/>
        </w:rPr>
        <w:t>比例为</w:t>
      </w:r>
      <w:r>
        <w:rPr>
          <w:rFonts w:ascii="Times New Roman" w:hAnsi="Times New Roman" w:eastAsia="Times New Roman" w:cs="Times New Roman"/>
          <w:b w:val="0"/>
          <w:bCs w:val="0"/>
          <w:color w:val="auto"/>
          <w:sz w:val="24"/>
          <w:szCs w:val="24"/>
          <w:highlight w:val="none"/>
        </w:rPr>
        <w:t>1:500</w:t>
      </w:r>
      <w:r>
        <w:rPr>
          <w:rFonts w:hint="eastAsia" w:ascii="宋体" w:hAnsi="宋体" w:eastAsia="宋体" w:cs="宋体"/>
          <w:b w:val="0"/>
          <w:bCs w:val="0"/>
          <w:color w:val="auto"/>
          <w:sz w:val="24"/>
          <w:szCs w:val="24"/>
          <w:highlight w:val="none"/>
        </w:rPr>
        <w:t>），此工序产生洗车废水</w:t>
      </w:r>
      <w:r>
        <w:rPr>
          <w:rFonts w:hint="default" w:ascii="Times New Roman" w:hAnsi="Times New Roman" w:eastAsia="Times New Roman" w:cs="Times New Roman"/>
          <w:b w:val="0"/>
          <w:bCs w:val="0"/>
          <w:color w:val="auto"/>
          <w:sz w:val="24"/>
          <w:szCs w:val="24"/>
          <w:highlight w:val="none"/>
        </w:rPr>
        <w:t>W</w:t>
      </w:r>
      <w:r>
        <w:rPr>
          <w:rFonts w:hint="eastAsia" w:ascii="Times New Roman" w:hAnsi="Times New Roman" w:eastAsia="宋体" w:cs="Times New Roman"/>
          <w:b w:val="0"/>
          <w:bCs w:val="0"/>
          <w:color w:val="auto"/>
          <w:sz w:val="24"/>
          <w:szCs w:val="24"/>
          <w:highlight w:val="none"/>
          <w:vertAlign w:val="subscript"/>
          <w:lang w:val="en-US" w:eastAsia="zh-CN"/>
        </w:rPr>
        <w:t>3</w:t>
      </w:r>
      <w:r>
        <w:rPr>
          <w:rFonts w:hint="eastAsia" w:ascii="宋体" w:hAnsi="宋体" w:eastAsia="宋体" w:cs="宋体"/>
          <w:b w:val="0"/>
          <w:bCs w:val="0"/>
          <w:color w:val="auto"/>
          <w:sz w:val="24"/>
          <w:szCs w:val="24"/>
          <w:highlight w:val="none"/>
        </w:rPr>
        <w:t>，废水污染物主要为：</w:t>
      </w:r>
      <w:r>
        <w:rPr>
          <w:rFonts w:hint="default" w:ascii="Times New Roman" w:hAnsi="Times New Roman" w:eastAsia="Times New Roman" w:cs="Times New Roman"/>
          <w:b w:val="0"/>
          <w:bCs w:val="0"/>
          <w:color w:val="auto"/>
          <w:sz w:val="24"/>
          <w:szCs w:val="24"/>
          <w:highlight w:val="none"/>
        </w:rPr>
        <w:t>LAS3mg/l</w:t>
      </w:r>
      <w:r>
        <w:rPr>
          <w:rFonts w:hint="eastAsia" w:ascii="宋体" w:hAnsi="宋体" w:eastAsia="宋体" w:cs="宋体"/>
          <w:b w:val="0"/>
          <w:bCs w:val="0"/>
          <w:color w:val="auto"/>
          <w:sz w:val="24"/>
          <w:szCs w:val="24"/>
          <w:highlight w:val="none"/>
        </w:rPr>
        <w:t>。</w:t>
      </w:r>
    </w:p>
    <w:p w14:paraId="7AB3AC8B">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刷洗、冲洗：洗车机内部自动毛刷对汽车表面进行刷洗，然后自动水枪冲洗汽车，洗去表面洗涤剂及污垢，此工序产生含微量洗涤剂的废水</w:t>
      </w:r>
      <w:r>
        <w:rPr>
          <w:rFonts w:hint="default" w:ascii="Times New Roman" w:hAnsi="Times New Roman" w:eastAsia="Times New Roman" w:cs="Times New Roman"/>
          <w:b w:val="0"/>
          <w:bCs w:val="0"/>
          <w:color w:val="auto"/>
          <w:sz w:val="24"/>
          <w:szCs w:val="24"/>
          <w:highlight w:val="none"/>
        </w:rPr>
        <w:t>W</w:t>
      </w:r>
      <w:r>
        <w:rPr>
          <w:rFonts w:hint="eastAsia" w:ascii="Times New Roman" w:hAnsi="Times New Roman" w:eastAsia="宋体" w:cs="Times New Roman"/>
          <w:b w:val="0"/>
          <w:bCs w:val="0"/>
          <w:color w:val="auto"/>
          <w:sz w:val="24"/>
          <w:szCs w:val="24"/>
          <w:highlight w:val="none"/>
          <w:vertAlign w:val="subscript"/>
          <w:lang w:val="en-US" w:eastAsia="zh-CN"/>
        </w:rPr>
        <w:t>4</w:t>
      </w:r>
      <w:r>
        <w:rPr>
          <w:rFonts w:hint="eastAsia" w:ascii="宋体" w:hAnsi="宋体" w:eastAsia="宋体" w:cs="宋体"/>
          <w:b w:val="0"/>
          <w:bCs w:val="0"/>
          <w:color w:val="auto"/>
          <w:sz w:val="24"/>
          <w:szCs w:val="24"/>
          <w:highlight w:val="none"/>
        </w:rPr>
        <w:t>，废水污染物主要为：</w:t>
      </w:r>
      <w:r>
        <w:rPr>
          <w:rFonts w:hint="default" w:ascii="Times New Roman" w:hAnsi="Times New Roman" w:eastAsia="Times New Roman" w:cs="Times New Roman"/>
          <w:b w:val="0"/>
          <w:bCs w:val="0"/>
          <w:color w:val="auto"/>
          <w:sz w:val="24"/>
          <w:szCs w:val="24"/>
          <w:highlight w:val="none"/>
        </w:rPr>
        <w:t>COD</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BOD</w:t>
      </w:r>
      <w:r>
        <w:rPr>
          <w:rFonts w:hint="default" w:ascii="Times New Roman" w:hAnsi="Times New Roman" w:eastAsia="Times New Roman" w:cs="Times New Roman"/>
          <w:b w:val="0"/>
          <w:bCs w:val="0"/>
          <w:color w:val="auto"/>
          <w:sz w:val="15"/>
          <w:szCs w:val="15"/>
          <w:highlight w:val="none"/>
        </w:rPr>
        <w:t>5</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SS</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LAS</w:t>
      </w:r>
      <w:r>
        <w:rPr>
          <w:rFonts w:hint="eastAsia" w:ascii="宋体" w:hAnsi="宋体" w:eastAsia="宋体" w:cs="宋体"/>
          <w:b w:val="0"/>
          <w:bCs w:val="0"/>
          <w:color w:val="auto"/>
          <w:sz w:val="24"/>
          <w:szCs w:val="24"/>
          <w:highlight w:val="none"/>
        </w:rPr>
        <w:t>、氨氮。</w:t>
      </w:r>
    </w:p>
    <w:p w14:paraId="3CE9C158">
      <w:pPr>
        <w:numPr>
          <w:ilvl w:val="0"/>
          <w:numId w:val="0"/>
        </w:numPr>
        <w:spacing w:line="360" w:lineRule="auto"/>
        <w:ind w:firstLine="480" w:firstLineChars="200"/>
        <w:jc w:val="left"/>
        <w:rPr>
          <w:rFonts w:hint="eastAsia" w:ascii="Times New Roman" w:hAnsi="Times New Roman" w:eastAsia="宋体"/>
          <w:b/>
          <w:color w:val="auto"/>
          <w:kern w:val="2"/>
          <w:sz w:val="24"/>
          <w:szCs w:val="22"/>
          <w:highlight w:val="none"/>
          <w:lang w:val="en-US" w:eastAsia="zh-CN" w:bidi="ar-SA"/>
        </w:rPr>
      </w:pPr>
      <w:r>
        <w:rPr>
          <w:rFonts w:hint="eastAsia" w:ascii="宋体" w:hAnsi="宋体" w:eastAsia="宋体" w:cs="宋体"/>
          <w:b w:val="0"/>
          <w:bCs w:val="0"/>
          <w:color w:val="auto"/>
          <w:sz w:val="24"/>
          <w:szCs w:val="24"/>
          <w:highlight w:val="none"/>
        </w:rPr>
        <w:t>风干：自动洗车机对清洗完毕的车辆进行表面风干，使汽车表面干燥，而后汽车离开。</w:t>
      </w:r>
    </w:p>
    <w:p w14:paraId="5E18D711">
      <w:pPr>
        <w:numPr>
          <w:ilvl w:val="0"/>
          <w:numId w:val="0"/>
        </w:numPr>
        <w:spacing w:line="360" w:lineRule="auto"/>
        <w:ind w:firstLine="482" w:firstLineChars="200"/>
        <w:jc w:val="left"/>
        <w:rPr>
          <w:rFonts w:hint="eastAsia" w:ascii="Times New Roman" w:hAnsi="Times New Roman" w:eastAsia="宋体"/>
          <w:b/>
          <w:color w:val="auto"/>
          <w:sz w:val="24"/>
          <w:highlight w:val="none"/>
          <w:lang w:val="en-US" w:eastAsia="zh-CN"/>
        </w:rPr>
      </w:pPr>
      <w:r>
        <w:rPr>
          <w:rFonts w:hint="eastAsia" w:ascii="Times New Roman" w:hAnsi="Times New Roman" w:eastAsia="宋体"/>
          <w:b/>
          <w:color w:val="auto"/>
          <w:kern w:val="2"/>
          <w:sz w:val="24"/>
          <w:szCs w:val="22"/>
          <w:highlight w:val="none"/>
          <w:lang w:val="en-US" w:eastAsia="zh-CN" w:bidi="ar-SA"/>
        </w:rPr>
        <w:t>3、光电充过程</w:t>
      </w:r>
    </w:p>
    <w:p w14:paraId="1D231D37">
      <w:pPr>
        <w:numPr>
          <w:ilvl w:val="0"/>
          <w:numId w:val="0"/>
        </w:numPr>
        <w:spacing w:line="360" w:lineRule="auto"/>
        <w:ind w:firstLine="480" w:firstLineChars="0"/>
        <w:rPr>
          <w:rFonts w:hint="default" w:ascii="Times New Roman" w:hAnsi="Times New Roman" w:eastAsia="Times New Roman" w:cs="Times New Roman"/>
          <w:color w:val="auto"/>
          <w:sz w:val="24"/>
          <w:highlight w:val="none"/>
          <w:lang w:val="en-US" w:eastAsia="zh-CN"/>
        </w:rPr>
      </w:pPr>
      <w:r>
        <w:rPr>
          <w:rFonts w:hint="eastAsia" w:ascii="Times New Roman" w:hAnsi="Times New Roman" w:eastAsia="Times New Roman" w:cs="Times New Roman"/>
          <w:color w:val="auto"/>
          <w:sz w:val="24"/>
          <w:highlight w:val="none"/>
          <w:lang w:val="en-US" w:eastAsia="zh-CN"/>
        </w:rPr>
        <w:t>站内充电部分电能来源主要来自</w:t>
      </w:r>
      <w:r>
        <w:rPr>
          <w:rFonts w:hint="eastAsia" w:ascii="Times New Roman" w:hAnsi="Times New Roman" w:eastAsia="Times New Roman" w:cs="Times New Roman"/>
          <w:color w:val="auto"/>
          <w:sz w:val="24"/>
          <w:highlight w:val="none"/>
          <w:lang w:val="zh-CN" w:eastAsia="zh-CN"/>
        </w:rPr>
        <w:t>市政供电接入，光伏部分利用停车位区域采用BIPV形式（</w:t>
      </w:r>
      <w:r>
        <w:rPr>
          <w:rFonts w:hint="eastAsia" w:ascii="Times New Roman" w:hAnsi="Times New Roman" w:eastAsia="Times New Roman" w:cs="Times New Roman"/>
          <w:color w:val="auto"/>
          <w:sz w:val="24"/>
          <w:highlight w:val="none"/>
          <w:lang w:val="en-US" w:eastAsia="zh-CN"/>
        </w:rPr>
        <w:t>光伏建筑一体化</w:t>
      </w:r>
      <w:r>
        <w:rPr>
          <w:rFonts w:hint="eastAsia" w:ascii="Times New Roman" w:hAnsi="Times New Roman" w:eastAsia="Times New Roman" w:cs="Times New Roman"/>
          <w:color w:val="auto"/>
          <w:sz w:val="24"/>
          <w:highlight w:val="none"/>
          <w:lang w:val="zh-CN" w:eastAsia="zh-CN"/>
        </w:rPr>
        <w:t>）打造光伏车棚，配置三台100</w:t>
      </w:r>
      <w:r>
        <w:rPr>
          <w:rFonts w:hint="eastAsia" w:ascii="Times New Roman" w:hAnsi="Times New Roman" w:eastAsia="Times New Roman" w:cs="Times New Roman"/>
          <w:color w:val="auto"/>
          <w:sz w:val="24"/>
          <w:highlight w:val="none"/>
          <w:lang w:val="en-US" w:eastAsia="zh-CN"/>
        </w:rPr>
        <w:t>k</w:t>
      </w:r>
      <w:r>
        <w:rPr>
          <w:rFonts w:hint="eastAsia" w:ascii="Times New Roman" w:hAnsi="Times New Roman" w:eastAsia="Times New Roman" w:cs="Times New Roman"/>
          <w:color w:val="auto"/>
          <w:sz w:val="24"/>
          <w:highlight w:val="none"/>
          <w:lang w:val="zh-CN" w:eastAsia="zh-CN"/>
        </w:rPr>
        <w:t>W逆变器，接入箱变低压侧进行并网</w:t>
      </w:r>
      <w:r>
        <w:rPr>
          <w:rFonts w:hint="eastAsia" w:ascii="Times New Roman" w:hAnsi="Times New Roman" w:eastAsia="Times New Roman" w:cs="Times New Roman"/>
          <w:color w:val="auto"/>
          <w:sz w:val="24"/>
          <w:highlight w:val="none"/>
          <w:lang w:val="en-US" w:eastAsia="zh-CN"/>
        </w:rPr>
        <w:t>提供部分电能供充电使用，光伏发电量优先使用，由于光伏所发电量远小于站内用电量，故本次光伏</w:t>
      </w:r>
      <w:r>
        <w:rPr>
          <w:rFonts w:hint="eastAsia" w:eastAsia="Times New Roman" w:cs="Times New Roman"/>
          <w:color w:val="auto"/>
          <w:sz w:val="24"/>
          <w:highlight w:val="none"/>
          <w:lang w:val="en-US" w:eastAsia="zh-CN"/>
        </w:rPr>
        <w:t>不再</w:t>
      </w:r>
      <w:r>
        <w:rPr>
          <w:rFonts w:hint="eastAsia" w:ascii="Times New Roman" w:hAnsi="Times New Roman" w:eastAsia="Times New Roman" w:cs="Times New Roman"/>
          <w:color w:val="auto"/>
          <w:sz w:val="24"/>
          <w:highlight w:val="none"/>
          <w:lang w:val="en-US" w:eastAsia="zh-CN"/>
        </w:rPr>
        <w:t>配置储能。</w:t>
      </w:r>
    </w:p>
    <w:p w14:paraId="0A44CA07">
      <w:pPr>
        <w:rPr>
          <w:rFonts w:eastAsia="Times New Roman"/>
          <w:color w:val="auto"/>
          <w:sz w:val="24"/>
          <w:highlight w:val="none"/>
          <w:lang w:val="zh-CN"/>
        </w:rPr>
      </w:pPr>
      <w:r>
        <w:rPr>
          <w:color w:val="auto"/>
          <w:sz w:val="24"/>
          <w:highlight w:val="none"/>
        </w:rPr>
        <mc:AlternateContent>
          <mc:Choice Requires="wpg">
            <w:drawing>
              <wp:inline distT="0" distB="0" distL="114300" distR="114300">
                <wp:extent cx="5607685" cy="907415"/>
                <wp:effectExtent l="0" t="0" r="0" b="0"/>
                <wp:docPr id="179" name="组合 517"/>
                <wp:cNvGraphicFramePr/>
                <a:graphic xmlns:a="http://schemas.openxmlformats.org/drawingml/2006/main">
                  <a:graphicData uri="http://schemas.microsoft.com/office/word/2010/wordprocessingGroup">
                    <wpg:wgp>
                      <wpg:cNvGrpSpPr/>
                      <wpg:grpSpPr>
                        <a:xfrm>
                          <a:off x="0" y="0"/>
                          <a:ext cx="5607685" cy="907415"/>
                          <a:chOff x="15998" y="804344"/>
                          <a:chExt cx="8831" cy="1429"/>
                        </a:xfrm>
                      </wpg:grpSpPr>
                      <wps:wsp>
                        <wps:cNvPr id="166" name="自选图形 474"/>
                        <wps:cNvCnPr>
                          <a:stCxn id="178" idx="2"/>
                          <a:endCxn id="169" idx="0"/>
                        </wps:cNvCnPr>
                        <wps:spPr>
                          <a:xfrm flipH="1">
                            <a:off x="18681" y="804777"/>
                            <a:ext cx="5" cy="530"/>
                          </a:xfrm>
                          <a:prstGeom prst="straightConnector1">
                            <a:avLst/>
                          </a:prstGeom>
                          <a:ln w="9525" cap="flat" cmpd="sng">
                            <a:solidFill>
                              <a:srgbClr val="000000"/>
                            </a:solidFill>
                            <a:prstDash val="solid"/>
                            <a:round/>
                            <a:headEnd type="none" w="med" len="med"/>
                            <a:tailEnd type="triangle" w="med" len="med"/>
                          </a:ln>
                        </wps:spPr>
                        <wps:bodyPr/>
                      </wps:wsp>
                      <wps:wsp>
                        <wps:cNvPr id="167" name="自选图形 472"/>
                        <wps:cNvCnPr/>
                        <wps:spPr>
                          <a:xfrm>
                            <a:off x="17300" y="805521"/>
                            <a:ext cx="791" cy="3"/>
                          </a:xfrm>
                          <a:prstGeom prst="straightConnector1">
                            <a:avLst/>
                          </a:prstGeom>
                          <a:ln w="9525" cap="flat" cmpd="sng">
                            <a:solidFill>
                              <a:srgbClr val="000000"/>
                            </a:solidFill>
                            <a:prstDash val="solid"/>
                            <a:round/>
                            <a:headEnd type="none" w="med" len="med"/>
                            <a:tailEnd type="triangle" w="med" len="med"/>
                          </a:ln>
                        </wps:spPr>
                        <wps:bodyPr/>
                      </wps:wsp>
                      <wps:wsp>
                        <wps:cNvPr id="168" name="矩形 473"/>
                        <wps:cNvSpPr/>
                        <wps:spPr>
                          <a:xfrm>
                            <a:off x="16013" y="805304"/>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53E4C35">
                              <w:pPr>
                                <w:pStyle w:val="421"/>
                                <w:bidi w:val="0"/>
                                <w:ind w:left="0" w:leftChars="0" w:firstLine="0" w:firstLineChars="0"/>
                                <w:jc w:val="center"/>
                                <w:rPr>
                                  <w:rFonts w:hint="default" w:eastAsia="宋体"/>
                                  <w:lang w:val="en-US" w:eastAsia="zh-CN"/>
                                </w:rPr>
                              </w:pPr>
                              <w:r>
                                <w:rPr>
                                  <w:rFonts w:hint="eastAsia" w:eastAsia="宋体"/>
                                  <w:lang w:val="en-US" w:eastAsia="zh-CN"/>
                                </w:rPr>
                                <w:t>站外电网</w:t>
                              </w:r>
                            </w:p>
                          </w:txbxContent>
                        </wps:txbx>
                        <wps:bodyPr vert="horz" wrap="square" lIns="0" tIns="0" rIns="0" bIns="0" anchor="t" anchorCtr="0" upright="1"/>
                      </wps:wsp>
                      <wps:wsp>
                        <wps:cNvPr id="169" name="矩形 473"/>
                        <wps:cNvSpPr/>
                        <wps:spPr>
                          <a:xfrm>
                            <a:off x="18091" y="805307"/>
                            <a:ext cx="1179"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781BB08">
                              <w:pPr>
                                <w:pStyle w:val="421"/>
                                <w:bidi w:val="0"/>
                                <w:ind w:left="0" w:leftChars="0" w:firstLine="0" w:firstLineChars="0"/>
                                <w:jc w:val="center"/>
                                <w:rPr>
                                  <w:rFonts w:hint="default" w:eastAsia="宋体"/>
                                  <w:lang w:val="en-US" w:eastAsia="zh-CN"/>
                                </w:rPr>
                              </w:pPr>
                              <w:r>
                                <w:rPr>
                                  <w:rFonts w:hint="eastAsia" w:eastAsia="宋体"/>
                                  <w:lang w:val="en-US" w:eastAsia="zh-CN"/>
                                </w:rPr>
                                <w:t>变压器</w:t>
                              </w:r>
                            </w:p>
                          </w:txbxContent>
                        </wps:txbx>
                        <wps:bodyPr vert="horz" wrap="square" lIns="0" tIns="0" rIns="0" bIns="0" anchor="t" anchorCtr="0" upright="1"/>
                      </wps:wsp>
                      <wps:wsp>
                        <wps:cNvPr id="170" name="矩形 489"/>
                        <wps:cNvSpPr/>
                        <wps:spPr>
                          <a:xfrm>
                            <a:off x="23407" y="805335"/>
                            <a:ext cx="1423" cy="433"/>
                          </a:xfrm>
                          <a:prstGeom prst="rect">
                            <a:avLst/>
                          </a:prstGeom>
                          <a:solidFill>
                            <a:srgbClr val="FFFFFF">
                              <a:alpha val="0"/>
                            </a:srgbClr>
                          </a:solidFill>
                          <a:ln>
                            <a:noFill/>
                          </a:ln>
                        </wps:spPr>
                        <wps:txbx>
                          <w:txbxContent>
                            <w:p w14:paraId="23302014">
                              <w:pPr>
                                <w:pStyle w:val="421"/>
                                <w:bidi w:val="0"/>
                                <w:ind w:left="0" w:leftChars="0" w:firstLine="0" w:firstLineChars="0"/>
                                <w:jc w:val="both"/>
                                <w:rPr>
                                  <w:rFonts w:hint="default" w:eastAsia="宋体"/>
                                  <w:lang w:val="en-US" w:eastAsia="zh-CN"/>
                                </w:rPr>
                              </w:pPr>
                              <w:r>
                                <w:rPr>
                                  <w:rFonts w:hint="eastAsia" w:eastAsia="宋体"/>
                                  <w:lang w:val="en-US" w:eastAsia="zh-CN"/>
                                </w:rPr>
                                <w:t>汽车充电</w:t>
                              </w:r>
                            </w:p>
                          </w:txbxContent>
                        </wps:txbx>
                        <wps:bodyPr vert="horz" wrap="square" lIns="0" tIns="0" rIns="0" bIns="0" anchor="t" anchorCtr="0" upright="1"/>
                      </wps:wsp>
                      <wps:wsp>
                        <wps:cNvPr id="171" name="矩形 473"/>
                        <wps:cNvSpPr/>
                        <wps:spPr>
                          <a:xfrm>
                            <a:off x="20023" y="805316"/>
                            <a:ext cx="1122"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3D4394A">
                              <w:pPr>
                                <w:pStyle w:val="421"/>
                                <w:bidi w:val="0"/>
                                <w:ind w:left="0" w:leftChars="0" w:firstLine="0" w:firstLineChars="0"/>
                                <w:jc w:val="center"/>
                                <w:rPr>
                                  <w:rFonts w:hint="default" w:eastAsia="宋体"/>
                                  <w:lang w:val="en-US" w:eastAsia="zh-CN"/>
                                </w:rPr>
                              </w:pPr>
                              <w:r>
                                <w:rPr>
                                  <w:rFonts w:hint="eastAsia" w:eastAsia="宋体"/>
                                  <w:lang w:val="en-US" w:eastAsia="zh-CN"/>
                                </w:rPr>
                                <w:t>配电柜</w:t>
                              </w:r>
                            </w:p>
                          </w:txbxContent>
                        </wps:txbx>
                        <wps:bodyPr vert="horz" wrap="square" lIns="0" tIns="0" rIns="0" bIns="0" anchor="t" anchorCtr="0" upright="1"/>
                      </wps:wsp>
                      <wps:wsp>
                        <wps:cNvPr id="172" name="矩形 473"/>
                        <wps:cNvSpPr/>
                        <wps:spPr>
                          <a:xfrm>
                            <a:off x="21751" y="805341"/>
                            <a:ext cx="1106"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6C73505">
                              <w:pPr>
                                <w:pStyle w:val="421"/>
                                <w:bidi w:val="0"/>
                                <w:ind w:left="0" w:leftChars="0" w:firstLine="0" w:firstLineChars="0"/>
                                <w:jc w:val="center"/>
                                <w:rPr>
                                  <w:rFonts w:hint="default" w:eastAsia="宋体"/>
                                  <w:lang w:val="en-US" w:eastAsia="zh-CN"/>
                                </w:rPr>
                              </w:pPr>
                              <w:r>
                                <w:rPr>
                                  <w:rFonts w:hint="eastAsia" w:eastAsia="宋体"/>
                                  <w:lang w:val="en-US" w:eastAsia="zh-CN"/>
                                </w:rPr>
                                <w:t>充电桩</w:t>
                              </w:r>
                            </w:p>
                          </w:txbxContent>
                        </wps:txbx>
                        <wps:bodyPr vert="horz" wrap="square" lIns="0" tIns="0" rIns="0" bIns="0" anchor="t" anchorCtr="0" upright="1"/>
                      </wps:wsp>
                      <wps:wsp>
                        <wps:cNvPr id="173" name="自选图形 472"/>
                        <wps:cNvCnPr/>
                        <wps:spPr>
                          <a:xfrm flipV="1">
                            <a:off x="19296" y="805522"/>
                            <a:ext cx="711" cy="5"/>
                          </a:xfrm>
                          <a:prstGeom prst="straightConnector1">
                            <a:avLst/>
                          </a:prstGeom>
                          <a:ln w="9525" cap="flat" cmpd="sng">
                            <a:solidFill>
                              <a:srgbClr val="000000"/>
                            </a:solidFill>
                            <a:prstDash val="solid"/>
                            <a:round/>
                            <a:headEnd type="none" w="med" len="med"/>
                            <a:tailEnd type="triangle" w="med" len="med"/>
                          </a:ln>
                        </wps:spPr>
                        <wps:bodyPr/>
                      </wps:wsp>
                      <wps:wsp>
                        <wps:cNvPr id="174" name="自选图形 472"/>
                        <wps:cNvCnPr/>
                        <wps:spPr>
                          <a:xfrm flipV="1">
                            <a:off x="21150" y="805516"/>
                            <a:ext cx="587" cy="11"/>
                          </a:xfrm>
                          <a:prstGeom prst="straightConnector1">
                            <a:avLst/>
                          </a:prstGeom>
                          <a:ln w="9525" cap="flat" cmpd="sng">
                            <a:solidFill>
                              <a:srgbClr val="000000"/>
                            </a:solidFill>
                            <a:prstDash val="solid"/>
                            <a:round/>
                            <a:headEnd type="none" w="med" len="med"/>
                            <a:tailEnd type="triangle" w="med" len="med"/>
                          </a:ln>
                        </wps:spPr>
                        <wps:bodyPr/>
                      </wps:wsp>
                      <wps:wsp>
                        <wps:cNvPr id="175" name="自选图形 472"/>
                        <wps:cNvCnPr/>
                        <wps:spPr>
                          <a:xfrm flipV="1">
                            <a:off x="22860" y="805538"/>
                            <a:ext cx="426" cy="5"/>
                          </a:xfrm>
                          <a:prstGeom prst="straightConnector1">
                            <a:avLst/>
                          </a:prstGeom>
                          <a:ln w="9525" cap="flat" cmpd="sng">
                            <a:solidFill>
                              <a:srgbClr val="000000"/>
                            </a:solidFill>
                            <a:prstDash val="solid"/>
                            <a:round/>
                            <a:headEnd type="none" w="med" len="med"/>
                            <a:tailEnd type="triangle" w="med" len="med"/>
                          </a:ln>
                        </wps:spPr>
                        <wps:bodyPr/>
                      </wps:wsp>
                      <wps:wsp>
                        <wps:cNvPr id="176" name="矩形 473"/>
                        <wps:cNvSpPr/>
                        <wps:spPr>
                          <a:xfrm>
                            <a:off x="15998" y="804359"/>
                            <a:ext cx="1287"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F2CF3D0">
                              <w:pPr>
                                <w:pStyle w:val="421"/>
                                <w:bidi w:val="0"/>
                                <w:ind w:left="0" w:leftChars="0" w:firstLine="0" w:firstLineChars="0"/>
                                <w:jc w:val="center"/>
                                <w:rPr>
                                  <w:rFonts w:hint="default" w:eastAsia="宋体"/>
                                  <w:lang w:val="en-US" w:eastAsia="zh-CN"/>
                                </w:rPr>
                              </w:pPr>
                              <w:r>
                                <w:rPr>
                                  <w:rFonts w:hint="eastAsia" w:eastAsia="宋体"/>
                                  <w:lang w:val="en-US" w:eastAsia="zh-CN"/>
                                </w:rPr>
                                <w:t>光伏发电</w:t>
                              </w:r>
                            </w:p>
                          </w:txbxContent>
                        </wps:txbx>
                        <wps:bodyPr vert="horz" wrap="square" lIns="0" tIns="0" rIns="0" bIns="0" anchor="t" anchorCtr="0" upright="1"/>
                      </wps:wsp>
                      <wps:wsp>
                        <wps:cNvPr id="177" name="自选图形 472"/>
                        <wps:cNvCnPr/>
                        <wps:spPr>
                          <a:xfrm>
                            <a:off x="17291" y="804582"/>
                            <a:ext cx="791" cy="3"/>
                          </a:xfrm>
                          <a:prstGeom prst="straightConnector1">
                            <a:avLst/>
                          </a:prstGeom>
                          <a:ln w="9525" cap="flat" cmpd="sng">
                            <a:solidFill>
                              <a:srgbClr val="000000"/>
                            </a:solidFill>
                            <a:prstDash val="solid"/>
                            <a:round/>
                            <a:headEnd type="none" w="med" len="med"/>
                            <a:tailEnd type="triangle" w="med" len="med"/>
                          </a:ln>
                        </wps:spPr>
                        <wps:bodyPr/>
                      </wps:wsp>
                      <wps:wsp>
                        <wps:cNvPr id="178" name="矩形 473"/>
                        <wps:cNvSpPr/>
                        <wps:spPr>
                          <a:xfrm>
                            <a:off x="18062" y="804344"/>
                            <a:ext cx="1248" cy="433"/>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68AF6D">
                              <w:pPr>
                                <w:pStyle w:val="421"/>
                                <w:bidi w:val="0"/>
                                <w:ind w:left="0" w:leftChars="0" w:firstLine="0" w:firstLineChars="0"/>
                                <w:jc w:val="center"/>
                                <w:rPr>
                                  <w:rFonts w:hint="default" w:eastAsia="宋体"/>
                                  <w:lang w:val="en-US" w:eastAsia="zh-CN"/>
                                </w:rPr>
                              </w:pPr>
                              <w:r>
                                <w:rPr>
                                  <w:rFonts w:hint="eastAsia" w:eastAsia="宋体"/>
                                  <w:lang w:val="en-US" w:eastAsia="zh-CN"/>
                                </w:rPr>
                                <w:t>逆变器</w:t>
                              </w:r>
                            </w:p>
                          </w:txbxContent>
                        </wps:txbx>
                        <wps:bodyPr vert="horz" wrap="square" lIns="0" tIns="0" rIns="0" bIns="0" anchor="t" anchorCtr="0" upright="1"/>
                      </wps:wsp>
                    </wpg:wgp>
                  </a:graphicData>
                </a:graphic>
              </wp:inline>
            </w:drawing>
          </mc:Choice>
          <mc:Fallback>
            <w:pict>
              <v:group id="组合 517" o:spid="_x0000_s1026" o:spt="203" style="height:71.45pt;width:441.55pt;" coordorigin="15998,804344" coordsize="8831,1429" o:gfxdata="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">
                <o:lock v:ext="edit" aspectratio="f"/>
                <v:shape id="自选图形 474" o:spid="_x0000_s1026" o:spt="32" type="#_x0000_t32" style="position:absolute;left:18681;top:804777;flip:x;height:530;width:5;" filled="f" stroked="t" coordsize="21600,21600" o:gfxdata="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wTdt7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自选图形 472" o:spid="_x0000_s1026" o:spt="32" type="#_x0000_t32" style="position:absolute;left:17300;top:805521;height:3;width:791;" filled="f" stroked="t" coordsize="21600,21600" o:gfxdata="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hKtNu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矩形 473" o:spid="_x0000_s1026" o:spt="1" style="position:absolute;left:16013;top:805304;height:433;width:1287;" fillcolor="#FFFFFF" filled="t" stroked="t" coordsize="21600,21600" o:gfxdata="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D/NW/&#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553E4C35">
                        <w:pPr>
                          <w:pStyle w:val="421"/>
                          <w:bidi w:val="0"/>
                          <w:ind w:left="0" w:leftChars="0" w:firstLine="0" w:firstLineChars="0"/>
                          <w:jc w:val="center"/>
                          <w:rPr>
                            <w:rFonts w:hint="default" w:eastAsia="宋体"/>
                            <w:lang w:val="en-US" w:eastAsia="zh-CN"/>
                          </w:rPr>
                        </w:pPr>
                        <w:r>
                          <w:rPr>
                            <w:rFonts w:hint="eastAsia" w:eastAsia="宋体"/>
                            <w:lang w:val="en-US" w:eastAsia="zh-CN"/>
                          </w:rPr>
                          <w:t>站外电网</w:t>
                        </w:r>
                      </w:p>
                    </w:txbxContent>
                  </v:textbox>
                </v:rect>
                <v:rect id="矩形 473" o:spid="_x0000_s1026" o:spt="1" style="position:absolute;left:18091;top:805307;height:433;width:1179;" fillcolor="#FFFFFF" filled="t" stroked="t" coordsize="21600,21600" o:gfxdata="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Q9Z&#10;TsEAAADcAAAADwAAAAAAAAABACAAAAAiAAAAZHJzL2Rvd25yZXYueG1sUEsBAhQAFAAAAAgAh07i&#10;QDMvBZ47AAAAOQAAABAAAAAAAAAAAQAgAAAAEAEAAGRycy9zaGFwZXhtbC54bWxQSwUGAAAAAAYA&#10;BgBbAQAAugMAAAAA&#10;">
                  <v:fill on="t" focussize="0,0"/>
                  <v:stroke color="#000000" joinstyle="miter"/>
                  <v:imagedata o:title=""/>
                  <o:lock v:ext="edit" aspectratio="f"/>
                  <v:textbox inset="0mm,0mm,0mm,0mm">
                    <w:txbxContent>
                      <w:p w14:paraId="3781BB08">
                        <w:pPr>
                          <w:pStyle w:val="421"/>
                          <w:bidi w:val="0"/>
                          <w:ind w:left="0" w:leftChars="0" w:firstLine="0" w:firstLineChars="0"/>
                          <w:jc w:val="center"/>
                          <w:rPr>
                            <w:rFonts w:hint="default" w:eastAsia="宋体"/>
                            <w:lang w:val="en-US" w:eastAsia="zh-CN"/>
                          </w:rPr>
                        </w:pPr>
                        <w:r>
                          <w:rPr>
                            <w:rFonts w:hint="eastAsia" w:eastAsia="宋体"/>
                            <w:lang w:val="en-US" w:eastAsia="zh-CN"/>
                          </w:rPr>
                          <w:t>变压器</w:t>
                        </w:r>
                      </w:p>
                    </w:txbxContent>
                  </v:textbox>
                </v:rect>
                <v:rect id="矩形 489" o:spid="_x0000_s1026" o:spt="1" style="position:absolute;left:23407;top:805335;height:433;width:1423;" fillcolor="#FFFFFF" filled="t" stroked="f" coordsize="21600,21600" o:gfxdata="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WgPbvQAA&#10;ANwAAAAPAAAAAAAAAAEAIAAAACIAAABkcnMvZG93bnJldi54bWxQSwECFAAUAAAACACHTuJAMy8F&#10;njsAAAA5AAAAEAAAAAAAAAABACAAAAAMAQAAZHJzL3NoYXBleG1sLnhtbFBLBQYAAAAABgAGAFsB&#10;AAC2AwAAAAA=&#10;">
                  <v:fill on="t" opacity="0f" focussize="0,0"/>
                  <v:stroke on="f"/>
                  <v:imagedata o:title=""/>
                  <o:lock v:ext="edit" aspectratio="f"/>
                  <v:textbox inset="0mm,0mm,0mm,0mm">
                    <w:txbxContent>
                      <w:p w14:paraId="23302014">
                        <w:pPr>
                          <w:pStyle w:val="421"/>
                          <w:bidi w:val="0"/>
                          <w:ind w:left="0" w:leftChars="0" w:firstLine="0" w:firstLineChars="0"/>
                          <w:jc w:val="both"/>
                          <w:rPr>
                            <w:rFonts w:hint="default" w:eastAsia="宋体"/>
                            <w:lang w:val="en-US" w:eastAsia="zh-CN"/>
                          </w:rPr>
                        </w:pPr>
                        <w:r>
                          <w:rPr>
                            <w:rFonts w:hint="eastAsia" w:eastAsia="宋体"/>
                            <w:lang w:val="en-US" w:eastAsia="zh-CN"/>
                          </w:rPr>
                          <w:t>汽车充电</w:t>
                        </w:r>
                      </w:p>
                    </w:txbxContent>
                  </v:textbox>
                </v:rect>
                <v:rect id="矩形 473" o:spid="_x0000_s1026" o:spt="1" style="position:absolute;left:20023;top:805316;height:433;width:1122;" fillcolor="#FFFFFF" filled="t" stroked="t" coordsize="21600,21600" o:gfxdata="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qDD&#10;lcEAAADcAAAADwAAAAAAAAABACAAAAAiAAAAZHJzL2Rvd25yZXYueG1sUEsBAhQAFAAAAAgAh07i&#10;QDMvBZ47AAAAOQAAABAAAAAAAAAAAQAgAAAAEAEAAGRycy9zaGFwZXhtbC54bWxQSwUGAAAAAAYA&#10;BgBbAQAAugMAAAAA&#10;">
                  <v:fill on="t" focussize="0,0"/>
                  <v:stroke color="#000000" joinstyle="miter"/>
                  <v:imagedata o:title=""/>
                  <o:lock v:ext="edit" aspectratio="f"/>
                  <v:textbox inset="0mm,0mm,0mm,0mm">
                    <w:txbxContent>
                      <w:p w14:paraId="53D4394A">
                        <w:pPr>
                          <w:pStyle w:val="421"/>
                          <w:bidi w:val="0"/>
                          <w:ind w:left="0" w:leftChars="0" w:firstLine="0" w:firstLineChars="0"/>
                          <w:jc w:val="center"/>
                          <w:rPr>
                            <w:rFonts w:hint="default" w:eastAsia="宋体"/>
                            <w:lang w:val="en-US" w:eastAsia="zh-CN"/>
                          </w:rPr>
                        </w:pPr>
                        <w:r>
                          <w:rPr>
                            <w:rFonts w:hint="eastAsia" w:eastAsia="宋体"/>
                            <w:lang w:val="en-US" w:eastAsia="zh-CN"/>
                          </w:rPr>
                          <w:t>配电柜</w:t>
                        </w:r>
                      </w:p>
                    </w:txbxContent>
                  </v:textbox>
                </v:rect>
                <v:rect id="矩形 473" o:spid="_x0000_s1026" o:spt="1" style="position:absolute;left:21751;top:805341;height:433;width:1106;" fillcolor="#FFFFFF" filled="t" stroked="t" coordsize="21600,21600" o:gfxdata="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l3i&#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inset="0mm,0mm,0mm,0mm">
                    <w:txbxContent>
                      <w:p w14:paraId="66C73505">
                        <w:pPr>
                          <w:pStyle w:val="421"/>
                          <w:bidi w:val="0"/>
                          <w:ind w:left="0" w:leftChars="0" w:firstLine="0" w:firstLineChars="0"/>
                          <w:jc w:val="center"/>
                          <w:rPr>
                            <w:rFonts w:hint="default" w:eastAsia="宋体"/>
                            <w:lang w:val="en-US" w:eastAsia="zh-CN"/>
                          </w:rPr>
                        </w:pPr>
                        <w:r>
                          <w:rPr>
                            <w:rFonts w:hint="eastAsia" w:eastAsia="宋体"/>
                            <w:lang w:val="en-US" w:eastAsia="zh-CN"/>
                          </w:rPr>
                          <w:t>充电桩</w:t>
                        </w:r>
                      </w:p>
                    </w:txbxContent>
                  </v:textbox>
                </v:rect>
                <v:shape id="自选图形 472" o:spid="_x0000_s1026" o:spt="32" type="#_x0000_t32" style="position:absolute;left:19296;top:805522;flip:y;height:5;width:711;" filled="f" stroked="t" coordsize="21600,21600" o:gfxdata="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qujy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472" o:spid="_x0000_s1026" o:spt="32" type="#_x0000_t32" style="position:absolute;left:21150;top:805516;flip:y;height:11;width:587;" filled="f" stroked="t" coordsize="21600,21600" o:gfxdata="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Q3CG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472" o:spid="_x0000_s1026" o:spt="32" type="#_x0000_t32" style="position:absolute;left:22860;top:805538;flip:y;height:5;width:426;" filled="f" stroked="t" coordsize="21600,21600" o:gfxdata="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D9Ud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rect id="矩形 473" o:spid="_x0000_s1026" o:spt="1" style="position:absolute;left:15998;top:804359;height:433;width:1287;" fillcolor="#FFFFFF" filled="t" stroked="t" coordsize="21600,21600" o:gfxdata="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Ulb&#10;4cEAAADcAAAADwAAAAAAAAABACAAAAAiAAAAZHJzL2Rvd25yZXYueG1sUEsBAhQAFAAAAAgAh07i&#10;QDMvBZ47AAAAOQAAABAAAAAAAAAAAQAgAAAAEAEAAGRycy9zaGFwZXhtbC54bWxQSwUGAAAAAAYA&#10;BgBbAQAAugMAAAAA&#10;">
                  <v:fill on="t" focussize="0,0"/>
                  <v:stroke color="#000000" joinstyle="miter"/>
                  <v:imagedata o:title=""/>
                  <o:lock v:ext="edit" aspectratio="f"/>
                  <v:textbox inset="0mm,0mm,0mm,0mm">
                    <w:txbxContent>
                      <w:p w14:paraId="0F2CF3D0">
                        <w:pPr>
                          <w:pStyle w:val="421"/>
                          <w:bidi w:val="0"/>
                          <w:ind w:left="0" w:leftChars="0" w:firstLine="0" w:firstLineChars="0"/>
                          <w:jc w:val="center"/>
                          <w:rPr>
                            <w:rFonts w:hint="default" w:eastAsia="宋体"/>
                            <w:lang w:val="en-US" w:eastAsia="zh-CN"/>
                          </w:rPr>
                        </w:pPr>
                        <w:r>
                          <w:rPr>
                            <w:rFonts w:hint="eastAsia" w:eastAsia="宋体"/>
                            <w:lang w:val="en-US" w:eastAsia="zh-CN"/>
                          </w:rPr>
                          <w:t>光伏发电</w:t>
                        </w:r>
                      </w:p>
                    </w:txbxContent>
                  </v:textbox>
                </v:rect>
                <v:shape id="自选图形 472" o:spid="_x0000_s1026" o:spt="32" type="#_x0000_t32" style="position:absolute;left:17291;top:804582;height:3;width:791;" filled="f" stroked="t" coordsize="21600,21600" o:gfxdata="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2TIga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rect id="矩形 473" o:spid="_x0000_s1026" o:spt="1" style="position:absolute;left:18062;top:804344;height:433;width:1248;" fillcolor="#FFFFFF" filled="t" stroked="t" coordsize="21600,21600" o:gfxdata="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agi/&#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inset="0mm,0mm,0mm,0mm">
                    <w:txbxContent>
                      <w:p w14:paraId="1768AF6D">
                        <w:pPr>
                          <w:pStyle w:val="421"/>
                          <w:bidi w:val="0"/>
                          <w:ind w:left="0" w:leftChars="0" w:firstLine="0" w:firstLineChars="0"/>
                          <w:jc w:val="center"/>
                          <w:rPr>
                            <w:rFonts w:hint="default" w:eastAsia="宋体"/>
                            <w:lang w:val="en-US" w:eastAsia="zh-CN"/>
                          </w:rPr>
                        </w:pPr>
                        <w:r>
                          <w:rPr>
                            <w:rFonts w:hint="eastAsia" w:eastAsia="宋体"/>
                            <w:lang w:val="en-US" w:eastAsia="zh-CN"/>
                          </w:rPr>
                          <w:t>逆变器</w:t>
                        </w:r>
                      </w:p>
                    </w:txbxContent>
                  </v:textbox>
                </v:rect>
                <w10:wrap type="none"/>
                <w10:anchorlock/>
              </v:group>
            </w:pict>
          </mc:Fallback>
        </mc:AlternateContent>
      </w:r>
    </w:p>
    <w:p w14:paraId="6414FCB4">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3</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7  项目光充电工艺流程及产排污节点图</w:t>
      </w:r>
    </w:p>
    <w:p w14:paraId="65DEA8F0">
      <w:pPr>
        <w:rPr>
          <w:rFonts w:eastAsia="Times New Roman"/>
          <w:color w:val="auto"/>
          <w:sz w:val="24"/>
          <w:highlight w:val="none"/>
          <w:lang w:val="zh-CN"/>
        </w:rPr>
      </w:pPr>
      <w:r>
        <w:rPr>
          <w:rFonts w:hint="eastAsia" w:ascii="Times New Roman" w:hAnsi="Times New Roman" w:eastAsia="宋体" w:cs="Times New Roman"/>
          <w:b/>
          <w:bCs/>
          <w:color w:val="auto"/>
          <w:sz w:val="24"/>
          <w:highlight w:val="none"/>
          <w:lang w:val="en-US" w:eastAsia="zh-CN"/>
        </w:rPr>
        <w:t>充电</w:t>
      </w:r>
      <w:r>
        <w:rPr>
          <w:rFonts w:hint="eastAsia" w:ascii="Times New Roman" w:hAnsi="Times New Roman" w:eastAsia="宋体"/>
          <w:b/>
          <w:color w:val="auto"/>
          <w:kern w:val="2"/>
          <w:sz w:val="24"/>
          <w:szCs w:val="22"/>
          <w:highlight w:val="none"/>
          <w:lang w:val="en-US" w:eastAsia="zh-CN" w:bidi="ar-SA"/>
        </w:rPr>
        <w:t>工艺流程简述：</w:t>
      </w:r>
    </w:p>
    <w:p w14:paraId="711257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Times New Roman" w:cs="Times New Roman"/>
          <w:color w:val="auto"/>
          <w:sz w:val="24"/>
          <w:highlight w:val="none"/>
          <w:lang w:val="zh-CN" w:eastAsia="zh-CN"/>
        </w:rPr>
      </w:pPr>
      <w:r>
        <w:rPr>
          <w:rFonts w:hint="eastAsia" w:ascii="Times New Roman" w:hAnsi="Times New Roman" w:eastAsia="Times New Roman" w:cs="Times New Roman"/>
          <w:color w:val="auto"/>
          <w:sz w:val="24"/>
          <w:highlight w:val="none"/>
          <w:lang w:val="zh-CN" w:eastAsia="zh-CN"/>
        </w:rPr>
        <w:t>电能来源：由市政供电接入10KV电压等级，经</w:t>
      </w:r>
      <w:r>
        <w:rPr>
          <w:rFonts w:hint="default" w:ascii="Times New Roman" w:hAnsi="Times New Roman" w:eastAsia="Times New Roman" w:cs="Times New Roman"/>
          <w:color w:val="auto"/>
          <w:sz w:val="24"/>
          <w:highlight w:val="none"/>
          <w:lang w:val="zh-CN" w:eastAsia="zh-CN"/>
        </w:rPr>
        <w:t>10KV</w:t>
      </w:r>
      <w:r>
        <w:rPr>
          <w:rFonts w:hint="eastAsia" w:ascii="Times New Roman" w:hAnsi="Times New Roman" w:eastAsia="Times New Roman" w:cs="Times New Roman"/>
          <w:color w:val="auto"/>
          <w:sz w:val="24"/>
          <w:highlight w:val="none"/>
          <w:lang w:val="zh-CN" w:eastAsia="zh-CN"/>
        </w:rPr>
        <w:t>级充电桩箱变变压后经配电室分别分配至充电桩进行新能源车辆充电。</w:t>
      </w:r>
    </w:p>
    <w:p w14:paraId="322C395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eastAsia="宋体"/>
          <w:color w:val="auto"/>
          <w:sz w:val="24"/>
          <w:highlight w:val="none"/>
          <w:lang w:val="en-US" w:eastAsia="zh-CN"/>
        </w:rPr>
      </w:pPr>
      <w:r>
        <w:rPr>
          <w:rFonts w:hint="eastAsia" w:eastAsia="宋体"/>
          <w:color w:val="auto"/>
          <w:sz w:val="24"/>
          <w:highlight w:val="none"/>
          <w:lang w:val="en-US" w:eastAsia="zh-CN"/>
        </w:rPr>
        <w:t>光电充采取并网系统，并网控制设备为逆变器，先将光伏发电并入电网充电桩从电网取电（优先使用光伏电力，不足部分由电网补充）。</w:t>
      </w:r>
    </w:p>
    <w:p w14:paraId="645B207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eastAsia="宋体"/>
          <w:color w:val="auto"/>
          <w:sz w:val="24"/>
          <w:highlight w:val="none"/>
          <w:lang w:val="en-US" w:eastAsia="zh-CN"/>
        </w:rPr>
      </w:pPr>
      <w:r>
        <w:rPr>
          <w:rFonts w:hint="eastAsia" w:eastAsia="宋体"/>
          <w:color w:val="auto"/>
          <w:sz w:val="24"/>
          <w:highlight w:val="none"/>
          <w:lang w:val="en-US" w:eastAsia="zh-CN"/>
        </w:rPr>
        <w:t>光伏组件将太阳能转化为直流电，利用光伏逆变器将直流电转换为交流电（若充电桩为交流输入）或直接为直流充电桩供电（若采用直流耦合系统）。站内配套充电桩：交流充电桩（AC）或直流充电桩（DC）。</w:t>
      </w:r>
    </w:p>
    <w:bookmarkEnd w:id="214"/>
    <w:bookmarkEnd w:id="215"/>
    <w:bookmarkEnd w:id="216"/>
    <w:bookmarkEnd w:id="217"/>
    <w:p w14:paraId="4B901DEA">
      <w:pPr>
        <w:pStyle w:val="4"/>
        <w:spacing w:after="156"/>
        <w:rPr>
          <w:rFonts w:hint="default" w:ascii="Times New Roman" w:hAnsi="Times New Roman" w:eastAsia="宋体" w:cs="Times New Roman"/>
          <w:b/>
          <w:color w:val="auto"/>
          <w:highlight w:val="none"/>
        </w:rPr>
      </w:pPr>
      <w:bookmarkStart w:id="218" w:name="_Toc4617"/>
      <w:r>
        <w:rPr>
          <w:rFonts w:hint="eastAsia" w:ascii="Times New Roman" w:hAnsi="Times New Roman" w:eastAsia="宋体" w:cs="Times New Roman"/>
          <w:b/>
          <w:color w:val="auto"/>
          <w:highlight w:val="none"/>
          <w:lang w:val="en-US" w:eastAsia="zh-CN"/>
        </w:rPr>
        <w:t>3.3.2</w:t>
      </w:r>
      <w:r>
        <w:rPr>
          <w:rFonts w:hint="default" w:ascii="Times New Roman" w:hAnsi="Times New Roman" w:eastAsia="宋体" w:cs="Times New Roman"/>
          <w:b/>
          <w:color w:val="auto"/>
          <w:highlight w:val="none"/>
        </w:rPr>
        <w:t>污染工序及污染因子</w:t>
      </w:r>
      <w:bookmarkEnd w:id="218"/>
    </w:p>
    <w:p w14:paraId="7B2A1C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eastAsia" w:cs="Times New Roman"/>
          <w:color w:val="auto"/>
          <w:sz w:val="24"/>
          <w:highlight w:val="none"/>
          <w:lang w:eastAsia="zh-CN"/>
        </w:rPr>
        <w:t>本</w:t>
      </w:r>
      <w:r>
        <w:rPr>
          <w:rFonts w:hint="default" w:ascii="Times New Roman" w:hAnsi="Times New Roman" w:cs="Times New Roman"/>
          <w:color w:val="auto"/>
          <w:sz w:val="24"/>
          <w:highlight w:val="none"/>
        </w:rPr>
        <w:t>项目主要污染工序及污染因子汇总情况见</w:t>
      </w:r>
      <w:r>
        <w:rPr>
          <w:rFonts w:hint="eastAsia" w:ascii="Times New Roman" w:hAnsi="Times New Roman" w:cs="Times New Roman"/>
          <w:color w:val="auto"/>
          <w:sz w:val="24"/>
          <w:highlight w:val="none"/>
          <w:lang w:eastAsia="zh-CN"/>
        </w:rPr>
        <w:t>下表</w:t>
      </w:r>
      <w:r>
        <w:rPr>
          <w:rFonts w:hint="default" w:ascii="Times New Roman" w:hAnsi="Times New Roman" w:cs="Times New Roman"/>
          <w:color w:val="auto"/>
          <w:sz w:val="24"/>
          <w:highlight w:val="none"/>
        </w:rPr>
        <w:t>。</w:t>
      </w:r>
    </w:p>
    <w:p w14:paraId="65C9DECF">
      <w:pPr>
        <w:spacing w:line="440" w:lineRule="exact"/>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表</w:t>
      </w:r>
      <w:r>
        <w:rPr>
          <w:rFonts w:hint="eastAsia"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w:t>
      </w:r>
      <w:r>
        <w:rPr>
          <w:rFonts w:hint="eastAsia"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.2-</w:t>
      </w:r>
      <w:r>
        <w:rPr>
          <w:rFonts w:hint="eastAsia" w:ascii="Times New Roman" w:hAnsi="Times New Roman" w:cs="Times New Roman"/>
          <w:b/>
          <w:color w:val="auto"/>
          <w:sz w:val="24"/>
          <w:highlight w:val="none"/>
          <w:lang w:val="en-US" w:eastAsia="zh-CN"/>
        </w:rPr>
        <w:t>1</w:t>
      </w:r>
      <w:r>
        <w:rPr>
          <w:rFonts w:hint="eastAsia" w:cs="Times New Roman"/>
          <w:b/>
          <w:color w:val="auto"/>
          <w:sz w:val="24"/>
          <w:highlight w:val="none"/>
          <w:lang w:val="en-US" w:eastAsia="zh-CN"/>
        </w:rPr>
        <w:t xml:space="preserve">  </w:t>
      </w:r>
      <w:r>
        <w:rPr>
          <w:rFonts w:hint="default" w:ascii="Times New Roman" w:hAnsi="Times New Roman" w:cs="Times New Roman"/>
          <w:b/>
          <w:color w:val="auto"/>
          <w:sz w:val="24"/>
          <w:highlight w:val="none"/>
        </w:rPr>
        <w:t>主要污染工序、污染因子汇总</w:t>
      </w:r>
    </w:p>
    <w:tbl>
      <w:tblPr>
        <w:tblStyle w:val="49"/>
        <w:tblW w:w="87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8"/>
        <w:gridCol w:w="1994"/>
        <w:gridCol w:w="1837"/>
        <w:gridCol w:w="1454"/>
        <w:gridCol w:w="2458"/>
      </w:tblGrid>
      <w:tr w14:paraId="269FD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noWrap w:val="0"/>
            <w:tcMar>
              <w:left w:w="0" w:type="dxa"/>
              <w:right w:w="0" w:type="dxa"/>
            </w:tcMar>
            <w:vAlign w:val="center"/>
          </w:tcPr>
          <w:p w14:paraId="4FBC30B0">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污染类型</w:t>
            </w:r>
          </w:p>
        </w:tc>
        <w:tc>
          <w:tcPr>
            <w:tcW w:w="1994" w:type="dxa"/>
            <w:noWrap w:val="0"/>
            <w:vAlign w:val="center"/>
          </w:tcPr>
          <w:p w14:paraId="78720214">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产污工序</w:t>
            </w:r>
          </w:p>
        </w:tc>
        <w:tc>
          <w:tcPr>
            <w:tcW w:w="1837" w:type="dxa"/>
            <w:noWrap w:val="0"/>
            <w:tcMar>
              <w:left w:w="0" w:type="dxa"/>
              <w:right w:w="0" w:type="dxa"/>
            </w:tcMar>
            <w:vAlign w:val="center"/>
          </w:tcPr>
          <w:p w14:paraId="6F5FA642">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排放源</w:t>
            </w:r>
          </w:p>
        </w:tc>
        <w:tc>
          <w:tcPr>
            <w:tcW w:w="1454" w:type="dxa"/>
            <w:noWrap w:val="0"/>
            <w:tcMar>
              <w:left w:w="0" w:type="dxa"/>
              <w:right w:w="0" w:type="dxa"/>
            </w:tcMar>
            <w:vAlign w:val="center"/>
          </w:tcPr>
          <w:p w14:paraId="1F1B94F0">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编号</w:t>
            </w:r>
          </w:p>
        </w:tc>
        <w:tc>
          <w:tcPr>
            <w:tcW w:w="2458" w:type="dxa"/>
            <w:noWrap w:val="0"/>
            <w:tcMar>
              <w:left w:w="0" w:type="dxa"/>
              <w:right w:w="0" w:type="dxa"/>
            </w:tcMar>
            <w:vAlign w:val="center"/>
          </w:tcPr>
          <w:p w14:paraId="1233C30B">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排放因子</w:t>
            </w:r>
          </w:p>
        </w:tc>
      </w:tr>
      <w:tr w14:paraId="305EF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restart"/>
            <w:noWrap w:val="0"/>
            <w:tcMar>
              <w:left w:w="0" w:type="dxa"/>
              <w:right w:w="0" w:type="dxa"/>
            </w:tcMar>
            <w:vAlign w:val="center"/>
          </w:tcPr>
          <w:p w14:paraId="74D7DF9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1994" w:type="dxa"/>
            <w:noWrap w:val="0"/>
            <w:vAlign w:val="center"/>
          </w:tcPr>
          <w:p w14:paraId="0970FCAA">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除氧</w:t>
            </w:r>
          </w:p>
        </w:tc>
        <w:tc>
          <w:tcPr>
            <w:tcW w:w="1837" w:type="dxa"/>
            <w:noWrap w:val="0"/>
            <w:tcMar>
              <w:left w:w="0" w:type="dxa"/>
              <w:right w:w="0" w:type="dxa"/>
            </w:tcMar>
            <w:vAlign w:val="center"/>
          </w:tcPr>
          <w:p w14:paraId="13581557">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除氧槽</w:t>
            </w:r>
          </w:p>
        </w:tc>
        <w:tc>
          <w:tcPr>
            <w:tcW w:w="1454" w:type="dxa"/>
            <w:noWrap w:val="0"/>
            <w:tcMar>
              <w:left w:w="0" w:type="dxa"/>
              <w:right w:w="0" w:type="dxa"/>
            </w:tcMar>
            <w:vAlign w:val="center"/>
          </w:tcPr>
          <w:p w14:paraId="77490366">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G</w:t>
            </w:r>
            <w:r>
              <w:rPr>
                <w:rFonts w:hint="default" w:ascii="Times New Roman" w:hAnsi="Times New Roman" w:cs="Times New Roman"/>
                <w:color w:val="auto"/>
                <w:szCs w:val="21"/>
                <w:highlight w:val="none"/>
                <w:vertAlign w:val="subscript"/>
              </w:rPr>
              <w:t>1</w:t>
            </w:r>
          </w:p>
        </w:tc>
        <w:tc>
          <w:tcPr>
            <w:tcW w:w="2458" w:type="dxa"/>
            <w:noWrap w:val="0"/>
            <w:tcMar>
              <w:left w:w="0" w:type="dxa"/>
              <w:right w:w="0" w:type="dxa"/>
            </w:tcMar>
            <w:vAlign w:val="center"/>
          </w:tcPr>
          <w:p w14:paraId="22C4EB49">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O</w:t>
            </w:r>
            <w:r>
              <w:rPr>
                <w:rFonts w:hint="eastAsia" w:ascii="Times New Roman" w:hAnsi="Times New Roman" w:cs="Times New Roman"/>
                <w:color w:val="auto"/>
                <w:szCs w:val="21"/>
                <w:highlight w:val="none"/>
                <w:vertAlign w:val="subscript"/>
                <w:lang w:val="en-US" w:eastAsia="zh-CN"/>
              </w:rPr>
              <w:t>2</w:t>
            </w:r>
            <w:r>
              <w:rPr>
                <w:rFonts w:hint="eastAsia" w:cs="Times New Roman"/>
                <w:color w:val="auto"/>
                <w:szCs w:val="21"/>
                <w:highlight w:val="none"/>
                <w:lang w:val="en-US" w:eastAsia="zh-CN"/>
              </w:rPr>
              <w:t>、水蒸气</w:t>
            </w:r>
          </w:p>
        </w:tc>
      </w:tr>
      <w:tr w14:paraId="21850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0674987B">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0CC15779">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燃烧</w:t>
            </w:r>
          </w:p>
        </w:tc>
        <w:tc>
          <w:tcPr>
            <w:tcW w:w="1837" w:type="dxa"/>
            <w:noWrap w:val="0"/>
            <w:tcMar>
              <w:left w:w="0" w:type="dxa"/>
              <w:right w:w="0" w:type="dxa"/>
            </w:tcMar>
            <w:vAlign w:val="center"/>
          </w:tcPr>
          <w:p w14:paraId="61B4DAE5">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高温转换炉</w:t>
            </w:r>
          </w:p>
        </w:tc>
        <w:tc>
          <w:tcPr>
            <w:tcW w:w="1454" w:type="dxa"/>
            <w:noWrap w:val="0"/>
            <w:tcMar>
              <w:left w:w="0" w:type="dxa"/>
              <w:right w:w="0" w:type="dxa"/>
            </w:tcMar>
            <w:vAlign w:val="center"/>
          </w:tcPr>
          <w:p w14:paraId="5B0690FD">
            <w:pPr>
              <w:adjustRightInd w:val="0"/>
              <w:snapToGrid w:val="0"/>
              <w:jc w:val="center"/>
              <w:rPr>
                <w:rFonts w:hint="default"/>
                <w:color w:val="auto"/>
                <w:highlight w:val="none"/>
                <w:lang w:val="en-US" w:eastAsia="zh-CN"/>
              </w:rPr>
            </w:pPr>
            <w:r>
              <w:rPr>
                <w:rFonts w:hint="default" w:ascii="Times New Roman" w:hAnsi="Times New Roman" w:cs="Times New Roman"/>
                <w:color w:val="auto"/>
                <w:szCs w:val="21"/>
                <w:highlight w:val="none"/>
              </w:rPr>
              <w:t>G</w:t>
            </w:r>
            <w:r>
              <w:rPr>
                <w:rFonts w:hint="eastAsia" w:cs="Times New Roman"/>
                <w:color w:val="auto"/>
                <w:szCs w:val="21"/>
                <w:highlight w:val="none"/>
                <w:vertAlign w:val="subscript"/>
                <w:lang w:val="en-US" w:eastAsia="zh-CN"/>
              </w:rPr>
              <w:t>2</w:t>
            </w:r>
          </w:p>
        </w:tc>
        <w:tc>
          <w:tcPr>
            <w:tcW w:w="2458" w:type="dxa"/>
            <w:noWrap w:val="0"/>
            <w:tcMar>
              <w:left w:w="0" w:type="dxa"/>
              <w:right w:w="0" w:type="dxa"/>
            </w:tcMar>
            <w:vAlign w:val="center"/>
          </w:tcPr>
          <w:p w14:paraId="0038300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颗粒物</w:t>
            </w:r>
            <w:r>
              <w:rPr>
                <w:rFonts w:hint="eastAsia" w:ascii="Times New Roman" w:hAnsi="Times New Roman" w:cs="Times New Roman"/>
                <w:color w:val="auto"/>
                <w:szCs w:val="21"/>
                <w:highlight w:val="none"/>
                <w:lang w:eastAsia="zh-CN"/>
              </w:rPr>
              <w:t>、</w:t>
            </w:r>
            <w:r>
              <w:rPr>
                <w:rFonts w:hint="eastAsia" w:ascii="Times New Roman" w:hAnsi="Times New Roman" w:cs="Times New Roman"/>
                <w:color w:val="auto"/>
                <w:szCs w:val="21"/>
                <w:highlight w:val="none"/>
                <w:lang w:val="en-US" w:eastAsia="zh-CN"/>
              </w:rPr>
              <w:t>SO</w:t>
            </w:r>
            <w:r>
              <w:rPr>
                <w:rFonts w:hint="eastAsia" w:ascii="Times New Roman" w:hAnsi="Times New Roman" w:cs="Times New Roman"/>
                <w:color w:val="auto"/>
                <w:szCs w:val="21"/>
                <w:highlight w:val="none"/>
                <w:vertAlign w:val="subscript"/>
                <w:lang w:val="en-US" w:eastAsia="zh-CN"/>
              </w:rPr>
              <w:t>2</w:t>
            </w:r>
            <w:r>
              <w:rPr>
                <w:rFonts w:hint="eastAsia" w:ascii="Times New Roman" w:hAnsi="Times New Roman" w:cs="Times New Roman"/>
                <w:color w:val="auto"/>
                <w:szCs w:val="21"/>
                <w:highlight w:val="none"/>
                <w:lang w:val="en-US" w:eastAsia="zh-CN"/>
              </w:rPr>
              <w:t>、NOx</w:t>
            </w:r>
          </w:p>
        </w:tc>
      </w:tr>
      <w:tr w14:paraId="0D14D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7D7F2830">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4756A107">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解吸</w:t>
            </w:r>
          </w:p>
        </w:tc>
        <w:tc>
          <w:tcPr>
            <w:tcW w:w="1837" w:type="dxa"/>
            <w:noWrap w:val="0"/>
            <w:tcMar>
              <w:left w:w="0" w:type="dxa"/>
              <w:right w:w="0" w:type="dxa"/>
            </w:tcMar>
            <w:vAlign w:val="center"/>
          </w:tcPr>
          <w:p w14:paraId="0AB30BF2">
            <w:pPr>
              <w:adjustRightInd w:val="0"/>
              <w:snapToGrid w:val="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解吸塔</w:t>
            </w:r>
          </w:p>
        </w:tc>
        <w:tc>
          <w:tcPr>
            <w:tcW w:w="1454" w:type="dxa"/>
            <w:noWrap w:val="0"/>
            <w:tcMar>
              <w:left w:w="0" w:type="dxa"/>
              <w:right w:w="0" w:type="dxa"/>
            </w:tcMar>
            <w:vAlign w:val="center"/>
          </w:tcPr>
          <w:p w14:paraId="7B4A9D4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G</w:t>
            </w:r>
            <w:r>
              <w:rPr>
                <w:rFonts w:hint="eastAsia" w:cs="Times New Roman"/>
                <w:color w:val="auto"/>
                <w:szCs w:val="21"/>
                <w:highlight w:val="none"/>
                <w:vertAlign w:val="subscript"/>
                <w:lang w:val="en-US" w:eastAsia="zh-CN"/>
              </w:rPr>
              <w:t>3</w:t>
            </w:r>
          </w:p>
        </w:tc>
        <w:tc>
          <w:tcPr>
            <w:tcW w:w="2458" w:type="dxa"/>
            <w:noWrap w:val="0"/>
            <w:tcMar>
              <w:left w:w="0" w:type="dxa"/>
              <w:right w:w="0" w:type="dxa"/>
            </w:tcMar>
            <w:vAlign w:val="center"/>
          </w:tcPr>
          <w:p w14:paraId="0835F852">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甲烷、一氧化碳、氢气、二氧化碳等</w:t>
            </w:r>
          </w:p>
        </w:tc>
      </w:tr>
      <w:tr w14:paraId="69FFA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7F6F90AD">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6B4CBA2E">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卸油</w:t>
            </w:r>
          </w:p>
        </w:tc>
        <w:tc>
          <w:tcPr>
            <w:tcW w:w="1837" w:type="dxa"/>
            <w:noWrap w:val="0"/>
            <w:tcMar>
              <w:left w:w="0" w:type="dxa"/>
              <w:right w:w="0" w:type="dxa"/>
            </w:tcMar>
            <w:vAlign w:val="center"/>
          </w:tcPr>
          <w:p w14:paraId="78130ACE">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卸油罐车</w:t>
            </w:r>
          </w:p>
        </w:tc>
        <w:tc>
          <w:tcPr>
            <w:tcW w:w="1454" w:type="dxa"/>
            <w:noWrap w:val="0"/>
            <w:tcMar>
              <w:left w:w="0" w:type="dxa"/>
              <w:right w:w="0" w:type="dxa"/>
            </w:tcMar>
            <w:vAlign w:val="center"/>
          </w:tcPr>
          <w:p w14:paraId="1B0BCE7E">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G</w:t>
            </w:r>
            <w:r>
              <w:rPr>
                <w:rFonts w:hint="eastAsia" w:cs="Times New Roman"/>
                <w:color w:val="auto"/>
                <w:szCs w:val="21"/>
                <w:highlight w:val="none"/>
                <w:vertAlign w:val="subscript"/>
                <w:lang w:val="en-US" w:eastAsia="zh-CN"/>
              </w:rPr>
              <w:t>4</w:t>
            </w:r>
          </w:p>
        </w:tc>
        <w:tc>
          <w:tcPr>
            <w:tcW w:w="2458" w:type="dxa"/>
            <w:noWrap w:val="0"/>
            <w:tcMar>
              <w:left w:w="0" w:type="dxa"/>
              <w:right w:w="0" w:type="dxa"/>
            </w:tcMar>
            <w:vAlign w:val="center"/>
          </w:tcPr>
          <w:p w14:paraId="0412A57B">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r>
      <w:tr w14:paraId="53127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39F31872">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37DEED59">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大小呼吸</w:t>
            </w:r>
          </w:p>
        </w:tc>
        <w:tc>
          <w:tcPr>
            <w:tcW w:w="1837" w:type="dxa"/>
            <w:noWrap w:val="0"/>
            <w:tcMar>
              <w:left w:w="0" w:type="dxa"/>
              <w:right w:w="0" w:type="dxa"/>
            </w:tcMar>
            <w:vAlign w:val="center"/>
          </w:tcPr>
          <w:p w14:paraId="145C00AF">
            <w:pPr>
              <w:adjustRightInd w:val="0"/>
              <w:snapToGrid w:val="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储油罐</w:t>
            </w:r>
          </w:p>
        </w:tc>
        <w:tc>
          <w:tcPr>
            <w:tcW w:w="1454" w:type="dxa"/>
            <w:noWrap w:val="0"/>
            <w:tcMar>
              <w:left w:w="0" w:type="dxa"/>
              <w:right w:w="0" w:type="dxa"/>
            </w:tcMar>
            <w:vAlign w:val="center"/>
          </w:tcPr>
          <w:p w14:paraId="2F79B88F">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G</w:t>
            </w:r>
            <w:r>
              <w:rPr>
                <w:rFonts w:hint="eastAsia" w:cs="Times New Roman"/>
                <w:color w:val="auto"/>
                <w:szCs w:val="21"/>
                <w:highlight w:val="none"/>
                <w:vertAlign w:val="subscript"/>
                <w:lang w:val="en-US" w:eastAsia="zh-CN"/>
              </w:rPr>
              <w:t>5</w:t>
            </w:r>
          </w:p>
        </w:tc>
        <w:tc>
          <w:tcPr>
            <w:tcW w:w="2458" w:type="dxa"/>
            <w:noWrap w:val="0"/>
            <w:tcMar>
              <w:left w:w="0" w:type="dxa"/>
              <w:right w:w="0" w:type="dxa"/>
            </w:tcMar>
            <w:vAlign w:val="center"/>
          </w:tcPr>
          <w:p w14:paraId="612E76B3">
            <w:pPr>
              <w:adjustRightInd w:val="0"/>
              <w:snapToGrid w:val="0"/>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非甲烷总烃</w:t>
            </w:r>
          </w:p>
        </w:tc>
      </w:tr>
      <w:tr w14:paraId="36122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0DE00384">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2484C6E7">
            <w:pPr>
              <w:adjustRightInd w:val="0"/>
              <w:snapToGrid w:val="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加油</w:t>
            </w:r>
          </w:p>
        </w:tc>
        <w:tc>
          <w:tcPr>
            <w:tcW w:w="1837" w:type="dxa"/>
            <w:noWrap w:val="0"/>
            <w:tcMar>
              <w:left w:w="0" w:type="dxa"/>
              <w:right w:w="0" w:type="dxa"/>
            </w:tcMar>
            <w:vAlign w:val="center"/>
          </w:tcPr>
          <w:p w14:paraId="0D8BC903">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加油机</w:t>
            </w:r>
          </w:p>
        </w:tc>
        <w:tc>
          <w:tcPr>
            <w:tcW w:w="1454" w:type="dxa"/>
            <w:noWrap w:val="0"/>
            <w:tcMar>
              <w:left w:w="0" w:type="dxa"/>
              <w:right w:w="0" w:type="dxa"/>
            </w:tcMar>
            <w:vAlign w:val="center"/>
          </w:tcPr>
          <w:p w14:paraId="5942E731">
            <w:pPr>
              <w:adjustRightInd w:val="0"/>
              <w:snapToGrid w:val="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G</w:t>
            </w:r>
            <w:r>
              <w:rPr>
                <w:rFonts w:hint="eastAsia" w:cs="Times New Roman"/>
                <w:color w:val="auto"/>
                <w:szCs w:val="21"/>
                <w:highlight w:val="none"/>
                <w:vertAlign w:val="subscript"/>
                <w:lang w:val="en-US" w:eastAsia="zh-CN"/>
              </w:rPr>
              <w:t>6</w:t>
            </w:r>
          </w:p>
        </w:tc>
        <w:tc>
          <w:tcPr>
            <w:tcW w:w="2458" w:type="dxa"/>
            <w:noWrap w:val="0"/>
            <w:tcMar>
              <w:left w:w="0" w:type="dxa"/>
              <w:right w:w="0" w:type="dxa"/>
            </w:tcMar>
            <w:vAlign w:val="center"/>
          </w:tcPr>
          <w:p w14:paraId="4E55D12B">
            <w:pPr>
              <w:adjustRightInd w:val="0"/>
              <w:snapToGrid w:val="0"/>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eastAsia="zh-CN"/>
              </w:rPr>
              <w:t>非甲烷总烃</w:t>
            </w:r>
          </w:p>
        </w:tc>
      </w:tr>
      <w:tr w14:paraId="07FF6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516CFB34">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1A02BFF4">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无组织逸散</w:t>
            </w:r>
          </w:p>
        </w:tc>
        <w:tc>
          <w:tcPr>
            <w:tcW w:w="1837" w:type="dxa"/>
            <w:noWrap w:val="0"/>
            <w:tcMar>
              <w:left w:w="0" w:type="dxa"/>
              <w:right w:w="0" w:type="dxa"/>
            </w:tcMar>
            <w:vAlign w:val="center"/>
          </w:tcPr>
          <w:p w14:paraId="70C31C91">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制氢工艺区</w:t>
            </w:r>
          </w:p>
        </w:tc>
        <w:tc>
          <w:tcPr>
            <w:tcW w:w="1454" w:type="dxa"/>
            <w:noWrap w:val="0"/>
            <w:tcMar>
              <w:left w:w="0" w:type="dxa"/>
              <w:right w:w="0" w:type="dxa"/>
            </w:tcMar>
            <w:vAlign w:val="center"/>
          </w:tcPr>
          <w:p w14:paraId="3A5A0D85">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2458" w:type="dxa"/>
            <w:noWrap w:val="0"/>
            <w:tcMar>
              <w:left w:w="0" w:type="dxa"/>
              <w:right w:w="0" w:type="dxa"/>
            </w:tcMar>
            <w:vAlign w:val="center"/>
          </w:tcPr>
          <w:p w14:paraId="2175B6B7">
            <w:pPr>
              <w:adjustRightInd w:val="0"/>
              <w:snapToGrid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甲烷、H</w:t>
            </w:r>
            <w:r>
              <w:rPr>
                <w:rFonts w:hint="eastAsia" w:ascii="Times New Roman" w:hAnsi="Times New Roman" w:cs="Times New Roman"/>
                <w:color w:val="auto"/>
                <w:szCs w:val="21"/>
                <w:highlight w:val="none"/>
                <w:vertAlign w:val="subscript"/>
                <w:lang w:val="en-US" w:eastAsia="zh-CN"/>
              </w:rPr>
              <w:t>2</w:t>
            </w:r>
            <w:r>
              <w:rPr>
                <w:rFonts w:hint="eastAsia" w:ascii="Times New Roman" w:hAnsi="Times New Roman" w:cs="Times New Roman"/>
                <w:color w:val="auto"/>
                <w:szCs w:val="21"/>
                <w:highlight w:val="none"/>
                <w:lang w:val="en-US" w:eastAsia="zh-CN"/>
              </w:rPr>
              <w:t>、H</w:t>
            </w:r>
            <w:r>
              <w:rPr>
                <w:rFonts w:hint="eastAsia" w:ascii="Times New Roman" w:hAnsi="Times New Roman" w:cs="Times New Roman"/>
                <w:color w:val="auto"/>
                <w:szCs w:val="21"/>
                <w:highlight w:val="none"/>
                <w:vertAlign w:val="subscript"/>
                <w:lang w:val="en-US" w:eastAsia="zh-CN"/>
              </w:rPr>
              <w:t>2</w:t>
            </w:r>
            <w:r>
              <w:rPr>
                <w:rFonts w:hint="eastAsia" w:ascii="Times New Roman" w:hAnsi="Times New Roman" w:cs="Times New Roman"/>
                <w:color w:val="auto"/>
                <w:szCs w:val="21"/>
                <w:highlight w:val="none"/>
                <w:vertAlign w:val="baseline"/>
                <w:lang w:val="en-US" w:eastAsia="zh-CN"/>
              </w:rPr>
              <w:t>S</w:t>
            </w:r>
            <w:r>
              <w:rPr>
                <w:rFonts w:hint="eastAsia"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CO</w:t>
            </w:r>
          </w:p>
        </w:tc>
      </w:tr>
      <w:tr w14:paraId="644AD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restart"/>
            <w:noWrap w:val="0"/>
            <w:tcMar>
              <w:left w:w="0" w:type="dxa"/>
              <w:right w:w="0" w:type="dxa"/>
            </w:tcMar>
            <w:vAlign w:val="center"/>
          </w:tcPr>
          <w:p w14:paraId="49AB21C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1994" w:type="dxa"/>
            <w:noWrap w:val="0"/>
            <w:vAlign w:val="center"/>
          </w:tcPr>
          <w:p w14:paraId="347F7254">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制备除盐水</w:t>
            </w:r>
          </w:p>
        </w:tc>
        <w:tc>
          <w:tcPr>
            <w:tcW w:w="1837" w:type="dxa"/>
            <w:noWrap w:val="0"/>
            <w:tcMar>
              <w:left w:w="0" w:type="dxa"/>
              <w:right w:w="0" w:type="dxa"/>
            </w:tcMar>
            <w:vAlign w:val="center"/>
          </w:tcPr>
          <w:p w14:paraId="7E4DB5BB">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除氧槽</w:t>
            </w:r>
          </w:p>
        </w:tc>
        <w:tc>
          <w:tcPr>
            <w:tcW w:w="1454" w:type="dxa"/>
            <w:noWrap w:val="0"/>
            <w:tcMar>
              <w:left w:w="0" w:type="dxa"/>
              <w:right w:w="0" w:type="dxa"/>
            </w:tcMar>
            <w:vAlign w:val="center"/>
          </w:tcPr>
          <w:p w14:paraId="62B95AE3">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w:t>
            </w:r>
            <w:r>
              <w:rPr>
                <w:rFonts w:hint="eastAsia" w:cs="Times New Roman"/>
                <w:color w:val="auto"/>
                <w:szCs w:val="21"/>
                <w:highlight w:val="none"/>
                <w:vertAlign w:val="subscript"/>
                <w:lang w:val="en-US" w:eastAsia="zh-CN"/>
              </w:rPr>
              <w:t>2</w:t>
            </w:r>
          </w:p>
        </w:tc>
        <w:tc>
          <w:tcPr>
            <w:tcW w:w="2458" w:type="dxa"/>
            <w:noWrap w:val="0"/>
            <w:tcMar>
              <w:left w:w="0" w:type="dxa"/>
              <w:right w:w="0" w:type="dxa"/>
            </w:tcMar>
            <w:vAlign w:val="center"/>
          </w:tcPr>
          <w:p w14:paraId="28E103DE">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pH、SS、COD</w:t>
            </w:r>
          </w:p>
        </w:tc>
      </w:tr>
      <w:tr w14:paraId="0B0CA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799A7341">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1A3DA02E">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高温转化气冷却</w:t>
            </w:r>
          </w:p>
        </w:tc>
        <w:tc>
          <w:tcPr>
            <w:tcW w:w="1837" w:type="dxa"/>
            <w:noWrap w:val="0"/>
            <w:tcMar>
              <w:left w:w="0" w:type="dxa"/>
              <w:right w:w="0" w:type="dxa"/>
            </w:tcMar>
            <w:vAlign w:val="center"/>
          </w:tcPr>
          <w:p w14:paraId="28D4CDF9">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间接循环冷却水</w:t>
            </w:r>
          </w:p>
        </w:tc>
        <w:tc>
          <w:tcPr>
            <w:tcW w:w="1454" w:type="dxa"/>
            <w:noWrap w:val="0"/>
            <w:tcMar>
              <w:left w:w="0" w:type="dxa"/>
              <w:right w:w="0" w:type="dxa"/>
            </w:tcMar>
            <w:vAlign w:val="center"/>
          </w:tcPr>
          <w:p w14:paraId="442EAC51">
            <w:pPr>
              <w:adjustRightInd w:val="0"/>
              <w:snapToGrid w:val="0"/>
              <w:jc w:val="center"/>
              <w:rPr>
                <w:rFonts w:hint="eastAsia" w:cs="Times New Roman"/>
                <w:color w:val="auto"/>
                <w:szCs w:val="21"/>
                <w:highlight w:val="none"/>
                <w:lang w:val="en-US" w:eastAsia="zh-CN"/>
              </w:rPr>
            </w:pPr>
          </w:p>
        </w:tc>
        <w:tc>
          <w:tcPr>
            <w:tcW w:w="2458" w:type="dxa"/>
            <w:noWrap w:val="0"/>
            <w:tcMar>
              <w:left w:w="0" w:type="dxa"/>
              <w:right w:w="0" w:type="dxa"/>
            </w:tcMar>
            <w:vAlign w:val="center"/>
          </w:tcPr>
          <w:p w14:paraId="0D44F773">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pH、SS、COD</w:t>
            </w:r>
          </w:p>
        </w:tc>
      </w:tr>
      <w:tr w14:paraId="2955C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44974F6D">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6C94951E">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员工生活</w:t>
            </w:r>
          </w:p>
        </w:tc>
        <w:tc>
          <w:tcPr>
            <w:tcW w:w="1837" w:type="dxa"/>
            <w:noWrap w:val="0"/>
            <w:tcMar>
              <w:left w:w="0" w:type="dxa"/>
              <w:right w:w="0" w:type="dxa"/>
            </w:tcMar>
            <w:vAlign w:val="center"/>
          </w:tcPr>
          <w:p w14:paraId="51BC2EBD">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生活污水</w:t>
            </w:r>
          </w:p>
        </w:tc>
        <w:tc>
          <w:tcPr>
            <w:tcW w:w="1454" w:type="dxa"/>
            <w:noWrap w:val="0"/>
            <w:tcMar>
              <w:left w:w="0" w:type="dxa"/>
              <w:right w:w="0" w:type="dxa"/>
            </w:tcMar>
            <w:vAlign w:val="center"/>
          </w:tcPr>
          <w:p w14:paraId="5B439D8D">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val="en-US" w:eastAsia="zh-CN"/>
              </w:rPr>
              <w:t>/</w:t>
            </w:r>
          </w:p>
        </w:tc>
        <w:tc>
          <w:tcPr>
            <w:tcW w:w="2458" w:type="dxa"/>
            <w:noWrap w:val="0"/>
            <w:tcMar>
              <w:left w:w="0" w:type="dxa"/>
              <w:right w:w="0" w:type="dxa"/>
            </w:tcMar>
            <w:vAlign w:val="center"/>
          </w:tcPr>
          <w:p w14:paraId="773DC333">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pH、SS、COD、BOD</w:t>
            </w:r>
            <w:r>
              <w:rPr>
                <w:rFonts w:hint="eastAsia" w:cs="Times New Roman"/>
                <w:color w:val="auto"/>
                <w:szCs w:val="21"/>
                <w:highlight w:val="none"/>
                <w:vertAlign w:val="subscript"/>
                <w:lang w:val="en-US" w:eastAsia="zh-CN"/>
              </w:rPr>
              <w:t>5</w:t>
            </w:r>
            <w:r>
              <w:rPr>
                <w:rFonts w:hint="eastAsia" w:cs="Times New Roman"/>
                <w:color w:val="auto"/>
                <w:szCs w:val="21"/>
                <w:highlight w:val="none"/>
                <w:lang w:val="en-US" w:eastAsia="zh-CN"/>
              </w:rPr>
              <w:t>、NH</w:t>
            </w:r>
            <w:r>
              <w:rPr>
                <w:rFonts w:hint="eastAsia" w:cs="Times New Roman"/>
                <w:color w:val="auto"/>
                <w:szCs w:val="21"/>
                <w:highlight w:val="none"/>
                <w:vertAlign w:val="subscript"/>
                <w:lang w:val="en-US" w:eastAsia="zh-CN"/>
              </w:rPr>
              <w:t>3</w:t>
            </w:r>
            <w:r>
              <w:rPr>
                <w:rFonts w:hint="eastAsia" w:cs="Times New Roman"/>
                <w:color w:val="auto"/>
                <w:szCs w:val="21"/>
                <w:highlight w:val="none"/>
                <w:lang w:val="en-US" w:eastAsia="zh-CN"/>
              </w:rPr>
              <w:t>-N、TN、TP</w:t>
            </w:r>
          </w:p>
        </w:tc>
      </w:tr>
      <w:tr w14:paraId="7C871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0396A671">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47B865E0">
            <w:pPr>
              <w:adjustRightInd w:val="0"/>
              <w:snapToGrid w:val="0"/>
              <w:jc w:val="center"/>
              <w:rPr>
                <w:rFonts w:hint="eastAsia" w:cs="Times New Roman"/>
                <w:color w:val="auto"/>
                <w:szCs w:val="21"/>
                <w:highlight w:val="none"/>
                <w:lang w:eastAsia="zh-CN"/>
              </w:rPr>
            </w:pPr>
            <w:r>
              <w:rPr>
                <w:rFonts w:hint="eastAsia" w:cs="Times New Roman"/>
                <w:color w:val="auto"/>
                <w:szCs w:val="21"/>
                <w:highlight w:val="none"/>
                <w:lang w:val="en-US" w:eastAsia="zh-CN"/>
              </w:rPr>
              <w:t>初期雨水</w:t>
            </w:r>
          </w:p>
        </w:tc>
        <w:tc>
          <w:tcPr>
            <w:tcW w:w="1837" w:type="dxa"/>
            <w:noWrap w:val="0"/>
            <w:tcMar>
              <w:left w:w="0" w:type="dxa"/>
              <w:right w:w="0" w:type="dxa"/>
            </w:tcMar>
            <w:vAlign w:val="center"/>
          </w:tcPr>
          <w:p w14:paraId="6027CC1F">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站内</w:t>
            </w:r>
          </w:p>
        </w:tc>
        <w:tc>
          <w:tcPr>
            <w:tcW w:w="1454" w:type="dxa"/>
            <w:noWrap w:val="0"/>
            <w:tcMar>
              <w:left w:w="0" w:type="dxa"/>
              <w:right w:w="0" w:type="dxa"/>
            </w:tcMar>
            <w:vAlign w:val="center"/>
          </w:tcPr>
          <w:p w14:paraId="40A8D49D">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2458" w:type="dxa"/>
            <w:noWrap w:val="0"/>
            <w:tcMar>
              <w:left w:w="0" w:type="dxa"/>
              <w:right w:w="0" w:type="dxa"/>
            </w:tcMar>
            <w:vAlign w:val="center"/>
          </w:tcPr>
          <w:p w14:paraId="14BE493F">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pH、SS、COD、石油类</w:t>
            </w:r>
          </w:p>
        </w:tc>
      </w:tr>
      <w:tr w14:paraId="187B0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58C83B7D">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56F9FCE2">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蒸发器首次煮锅</w:t>
            </w:r>
          </w:p>
        </w:tc>
        <w:tc>
          <w:tcPr>
            <w:tcW w:w="1837" w:type="dxa"/>
            <w:noWrap w:val="0"/>
            <w:tcMar>
              <w:left w:w="0" w:type="dxa"/>
              <w:right w:w="0" w:type="dxa"/>
            </w:tcMar>
            <w:vAlign w:val="center"/>
          </w:tcPr>
          <w:p w14:paraId="0E87F092">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排污水</w:t>
            </w:r>
          </w:p>
        </w:tc>
        <w:tc>
          <w:tcPr>
            <w:tcW w:w="1454" w:type="dxa"/>
            <w:noWrap w:val="0"/>
            <w:tcMar>
              <w:left w:w="0" w:type="dxa"/>
              <w:right w:w="0" w:type="dxa"/>
            </w:tcMar>
            <w:vAlign w:val="center"/>
          </w:tcPr>
          <w:p w14:paraId="203BF7C2">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w:t>
            </w:r>
          </w:p>
        </w:tc>
        <w:tc>
          <w:tcPr>
            <w:tcW w:w="2458" w:type="dxa"/>
            <w:noWrap w:val="0"/>
            <w:tcMar>
              <w:left w:w="0" w:type="dxa"/>
              <w:right w:w="0" w:type="dxa"/>
            </w:tcMar>
            <w:vAlign w:val="center"/>
          </w:tcPr>
          <w:p w14:paraId="2FA9E7E7">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pH、SS、COD</w:t>
            </w:r>
          </w:p>
        </w:tc>
      </w:tr>
      <w:tr w14:paraId="4F321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998" w:type="dxa"/>
            <w:vMerge w:val="continue"/>
            <w:noWrap w:val="0"/>
            <w:tcMar>
              <w:left w:w="0" w:type="dxa"/>
              <w:right w:w="0" w:type="dxa"/>
            </w:tcMar>
            <w:vAlign w:val="center"/>
          </w:tcPr>
          <w:p w14:paraId="459EBA8C">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37D1DDF7">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洗车</w:t>
            </w:r>
          </w:p>
        </w:tc>
        <w:tc>
          <w:tcPr>
            <w:tcW w:w="1837" w:type="dxa"/>
            <w:noWrap w:val="0"/>
            <w:tcMar>
              <w:left w:w="0" w:type="dxa"/>
              <w:right w:w="0" w:type="dxa"/>
            </w:tcMar>
            <w:vAlign w:val="center"/>
          </w:tcPr>
          <w:p w14:paraId="43D872E3">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洗车机</w:t>
            </w:r>
          </w:p>
        </w:tc>
        <w:tc>
          <w:tcPr>
            <w:tcW w:w="1454" w:type="dxa"/>
            <w:noWrap w:val="0"/>
            <w:tcMar>
              <w:left w:w="0" w:type="dxa"/>
              <w:right w:w="0" w:type="dxa"/>
            </w:tcMar>
            <w:vAlign w:val="center"/>
          </w:tcPr>
          <w:p w14:paraId="236E3F75">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W</w:t>
            </w:r>
            <w:r>
              <w:rPr>
                <w:rFonts w:hint="eastAsia" w:cs="Times New Roman"/>
                <w:color w:val="auto"/>
                <w:szCs w:val="21"/>
                <w:highlight w:val="none"/>
                <w:vertAlign w:val="subscript"/>
                <w:lang w:val="en-US" w:eastAsia="zh-CN"/>
              </w:rPr>
              <w:t>3</w:t>
            </w:r>
            <w:r>
              <w:rPr>
                <w:rFonts w:hint="eastAsia" w:cs="Times New Roman"/>
                <w:color w:val="auto"/>
                <w:szCs w:val="21"/>
                <w:highlight w:val="none"/>
                <w:vertAlign w:val="baseline"/>
                <w:lang w:val="en-US" w:eastAsia="zh-CN"/>
              </w:rPr>
              <w:t>、</w:t>
            </w:r>
            <w:r>
              <w:rPr>
                <w:rFonts w:hint="eastAsia" w:cs="Times New Roman"/>
                <w:color w:val="auto"/>
                <w:szCs w:val="21"/>
                <w:highlight w:val="none"/>
                <w:lang w:val="en-US" w:eastAsia="zh-CN"/>
              </w:rPr>
              <w:t>W</w:t>
            </w:r>
            <w:r>
              <w:rPr>
                <w:rFonts w:hint="eastAsia" w:cs="Times New Roman"/>
                <w:color w:val="auto"/>
                <w:szCs w:val="21"/>
                <w:highlight w:val="none"/>
                <w:vertAlign w:val="subscript"/>
                <w:lang w:val="en-US" w:eastAsia="zh-CN"/>
              </w:rPr>
              <w:t>4</w:t>
            </w:r>
          </w:p>
        </w:tc>
        <w:tc>
          <w:tcPr>
            <w:tcW w:w="2458" w:type="dxa"/>
            <w:noWrap w:val="0"/>
            <w:tcMar>
              <w:left w:w="0" w:type="dxa"/>
              <w:right w:w="0" w:type="dxa"/>
            </w:tcMar>
            <w:vAlign w:val="center"/>
          </w:tcPr>
          <w:p w14:paraId="2AAAFDE3">
            <w:pPr>
              <w:adjustRightInd w:val="0"/>
              <w:snapToGrid w:val="0"/>
              <w:jc w:val="center"/>
              <w:rPr>
                <w:rFonts w:hint="eastAsia" w:eastAsia="宋体" w:cs="Times New Roman"/>
                <w:color w:val="auto"/>
                <w:szCs w:val="21"/>
                <w:highlight w:val="none"/>
                <w:lang w:val="en-US" w:eastAsia="zh-CN"/>
              </w:rPr>
            </w:pPr>
            <w:r>
              <w:rPr>
                <w:rFonts w:hint="eastAsia" w:cs="Times New Roman"/>
                <w:color w:val="auto"/>
                <w:szCs w:val="21"/>
                <w:highlight w:val="none"/>
                <w:lang w:val="en-US" w:eastAsia="zh-CN"/>
              </w:rPr>
              <w:t>pH、SS、COD、</w:t>
            </w:r>
            <w:r>
              <w:rPr>
                <w:rFonts w:hint="default" w:ascii="Times New Roman" w:hAnsi="Times New Roman" w:eastAsia="Times New Roman" w:cs="Times New Roman"/>
                <w:b w:val="0"/>
                <w:bCs w:val="0"/>
                <w:color w:val="auto"/>
                <w:sz w:val="24"/>
                <w:szCs w:val="24"/>
                <w:highlight w:val="none"/>
              </w:rPr>
              <w:t>LAS</w:t>
            </w:r>
            <w:r>
              <w:rPr>
                <w:rFonts w:hint="eastAsia" w:ascii="Times New Roman" w:hAnsi="Times New Roman" w:eastAsia="宋体" w:cs="Times New Roman"/>
                <w:b w:val="0"/>
                <w:bCs w:val="0"/>
                <w:color w:val="auto"/>
                <w:sz w:val="24"/>
                <w:szCs w:val="24"/>
                <w:highlight w:val="none"/>
                <w:lang w:eastAsia="zh-CN"/>
              </w:rPr>
              <w:t>、</w:t>
            </w:r>
            <w:r>
              <w:rPr>
                <w:rFonts w:hint="eastAsia" w:cs="Times New Roman"/>
                <w:color w:val="auto"/>
                <w:szCs w:val="21"/>
                <w:highlight w:val="none"/>
                <w:lang w:val="en-US" w:eastAsia="zh-CN"/>
              </w:rPr>
              <w:t>NH</w:t>
            </w:r>
            <w:r>
              <w:rPr>
                <w:rFonts w:hint="eastAsia" w:cs="Times New Roman"/>
                <w:color w:val="auto"/>
                <w:szCs w:val="21"/>
                <w:highlight w:val="none"/>
                <w:vertAlign w:val="subscript"/>
                <w:lang w:val="en-US" w:eastAsia="zh-CN"/>
              </w:rPr>
              <w:t>3</w:t>
            </w:r>
            <w:r>
              <w:rPr>
                <w:rFonts w:hint="eastAsia" w:cs="Times New Roman"/>
                <w:color w:val="auto"/>
                <w:szCs w:val="21"/>
                <w:highlight w:val="none"/>
                <w:lang w:val="en-US" w:eastAsia="zh-CN"/>
              </w:rPr>
              <w:t>-N</w:t>
            </w:r>
          </w:p>
        </w:tc>
      </w:tr>
      <w:tr w14:paraId="4A3D9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6A9BF544">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112F89BF">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油罐清洗</w:t>
            </w:r>
          </w:p>
        </w:tc>
        <w:tc>
          <w:tcPr>
            <w:tcW w:w="1837" w:type="dxa"/>
            <w:noWrap w:val="0"/>
            <w:tcMar>
              <w:left w:w="0" w:type="dxa"/>
              <w:right w:w="0" w:type="dxa"/>
            </w:tcMar>
            <w:vAlign w:val="center"/>
          </w:tcPr>
          <w:p w14:paraId="6169AEE8">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油罐</w:t>
            </w:r>
          </w:p>
        </w:tc>
        <w:tc>
          <w:tcPr>
            <w:tcW w:w="1454" w:type="dxa"/>
            <w:noWrap w:val="0"/>
            <w:tcMar>
              <w:left w:w="0" w:type="dxa"/>
              <w:right w:w="0" w:type="dxa"/>
            </w:tcMar>
            <w:vAlign w:val="center"/>
          </w:tcPr>
          <w:p w14:paraId="487E2FB6">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W</w:t>
            </w:r>
            <w:r>
              <w:rPr>
                <w:rFonts w:hint="eastAsia" w:cs="Times New Roman"/>
                <w:color w:val="auto"/>
                <w:szCs w:val="21"/>
                <w:highlight w:val="none"/>
                <w:vertAlign w:val="subscript"/>
                <w:lang w:val="en-US" w:eastAsia="zh-CN"/>
              </w:rPr>
              <w:t>2</w:t>
            </w:r>
          </w:p>
        </w:tc>
        <w:tc>
          <w:tcPr>
            <w:tcW w:w="2458" w:type="dxa"/>
            <w:noWrap w:val="0"/>
            <w:tcMar>
              <w:left w:w="0" w:type="dxa"/>
              <w:right w:w="0" w:type="dxa"/>
            </w:tcMar>
            <w:vAlign w:val="center"/>
          </w:tcPr>
          <w:p w14:paraId="584F27A4">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pH、SS、COD、石油类</w:t>
            </w:r>
          </w:p>
        </w:tc>
      </w:tr>
      <w:tr w14:paraId="1D86B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noWrap w:val="0"/>
            <w:tcMar>
              <w:left w:w="0" w:type="dxa"/>
              <w:right w:w="0" w:type="dxa"/>
            </w:tcMar>
            <w:vAlign w:val="center"/>
          </w:tcPr>
          <w:p w14:paraId="16217EC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1994" w:type="dxa"/>
            <w:noWrap w:val="0"/>
            <w:vAlign w:val="center"/>
          </w:tcPr>
          <w:p w14:paraId="4B977DAE">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生产设备</w:t>
            </w:r>
          </w:p>
        </w:tc>
        <w:tc>
          <w:tcPr>
            <w:tcW w:w="1837" w:type="dxa"/>
            <w:noWrap w:val="0"/>
            <w:tcMar>
              <w:left w:w="0" w:type="dxa"/>
              <w:right w:w="0" w:type="dxa"/>
            </w:tcMar>
            <w:vAlign w:val="center"/>
          </w:tcPr>
          <w:p w14:paraId="6BF6F73C">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机械设备噪声</w:t>
            </w:r>
          </w:p>
        </w:tc>
        <w:tc>
          <w:tcPr>
            <w:tcW w:w="1454" w:type="dxa"/>
            <w:noWrap w:val="0"/>
            <w:tcMar>
              <w:left w:w="0" w:type="dxa"/>
              <w:right w:w="0" w:type="dxa"/>
            </w:tcMar>
            <w:vAlign w:val="center"/>
          </w:tcPr>
          <w:p w14:paraId="76CFDCD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2458" w:type="dxa"/>
            <w:noWrap w:val="0"/>
            <w:tcMar>
              <w:left w:w="0" w:type="dxa"/>
              <w:right w:w="0" w:type="dxa"/>
            </w:tcMar>
            <w:vAlign w:val="center"/>
          </w:tcPr>
          <w:p w14:paraId="333D497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连续等效A声级</w:t>
            </w:r>
          </w:p>
        </w:tc>
      </w:tr>
      <w:tr w14:paraId="14EA7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restart"/>
            <w:noWrap w:val="0"/>
            <w:tcMar>
              <w:left w:w="0" w:type="dxa"/>
              <w:right w:w="0" w:type="dxa"/>
            </w:tcMar>
            <w:vAlign w:val="center"/>
          </w:tcPr>
          <w:p w14:paraId="5D05D81A">
            <w:pPr>
              <w:adjustRightInd w:val="0"/>
              <w:snapToGrid w:val="0"/>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固废</w:t>
            </w:r>
          </w:p>
        </w:tc>
        <w:tc>
          <w:tcPr>
            <w:tcW w:w="1994" w:type="dxa"/>
            <w:noWrap w:val="0"/>
            <w:vAlign w:val="center"/>
          </w:tcPr>
          <w:p w14:paraId="1E9274E5">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减压除杂</w:t>
            </w:r>
          </w:p>
        </w:tc>
        <w:tc>
          <w:tcPr>
            <w:tcW w:w="1837" w:type="dxa"/>
            <w:noWrap w:val="0"/>
            <w:tcMar>
              <w:left w:w="0" w:type="dxa"/>
              <w:right w:w="0" w:type="dxa"/>
            </w:tcMar>
            <w:vAlign w:val="center"/>
          </w:tcPr>
          <w:p w14:paraId="0340E101">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减压撬</w:t>
            </w:r>
          </w:p>
        </w:tc>
        <w:tc>
          <w:tcPr>
            <w:tcW w:w="1454" w:type="dxa"/>
            <w:noWrap w:val="0"/>
            <w:tcMar>
              <w:left w:w="0" w:type="dxa"/>
              <w:right w:w="0" w:type="dxa"/>
            </w:tcMar>
            <w:vAlign w:val="center"/>
          </w:tcPr>
          <w:p w14:paraId="6D2E5B11">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S</w:t>
            </w:r>
            <w:r>
              <w:rPr>
                <w:rFonts w:hint="eastAsia" w:cs="Times New Roman"/>
                <w:color w:val="auto"/>
                <w:szCs w:val="21"/>
                <w:highlight w:val="none"/>
                <w:vertAlign w:val="subscript"/>
                <w:lang w:val="en-US" w:eastAsia="zh-CN"/>
              </w:rPr>
              <w:t>1</w:t>
            </w:r>
          </w:p>
        </w:tc>
        <w:tc>
          <w:tcPr>
            <w:tcW w:w="2458" w:type="dxa"/>
            <w:noWrap w:val="0"/>
            <w:tcMar>
              <w:left w:w="0" w:type="dxa"/>
              <w:right w:w="0" w:type="dxa"/>
            </w:tcMar>
            <w:vAlign w:val="center"/>
          </w:tcPr>
          <w:p w14:paraId="3B6EAB34">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废过滤膜（过滤粉尘）</w:t>
            </w:r>
          </w:p>
        </w:tc>
      </w:tr>
      <w:tr w14:paraId="23428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13ABD702">
            <w:pPr>
              <w:adjustRightInd w:val="0"/>
              <w:snapToGrid w:val="0"/>
              <w:jc w:val="center"/>
              <w:rPr>
                <w:rFonts w:hint="eastAsia" w:cs="Times New Roman"/>
                <w:color w:val="auto"/>
                <w:szCs w:val="21"/>
                <w:highlight w:val="none"/>
                <w:lang w:eastAsia="zh-CN"/>
              </w:rPr>
            </w:pPr>
          </w:p>
        </w:tc>
        <w:tc>
          <w:tcPr>
            <w:tcW w:w="1994" w:type="dxa"/>
            <w:noWrap w:val="0"/>
            <w:vAlign w:val="center"/>
          </w:tcPr>
          <w:p w14:paraId="1213FDD0">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脱硫</w:t>
            </w:r>
          </w:p>
        </w:tc>
        <w:tc>
          <w:tcPr>
            <w:tcW w:w="1837" w:type="dxa"/>
            <w:noWrap w:val="0"/>
            <w:tcMar>
              <w:left w:w="0" w:type="dxa"/>
              <w:right w:w="0" w:type="dxa"/>
            </w:tcMar>
            <w:vAlign w:val="center"/>
          </w:tcPr>
          <w:p w14:paraId="5EE8380C">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脱硫塔</w:t>
            </w:r>
          </w:p>
        </w:tc>
        <w:tc>
          <w:tcPr>
            <w:tcW w:w="1454" w:type="dxa"/>
            <w:noWrap w:val="0"/>
            <w:tcMar>
              <w:left w:w="0" w:type="dxa"/>
              <w:right w:w="0" w:type="dxa"/>
            </w:tcMar>
            <w:vAlign w:val="center"/>
          </w:tcPr>
          <w:p w14:paraId="552A5374">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S</w:t>
            </w:r>
            <w:r>
              <w:rPr>
                <w:rFonts w:hint="eastAsia" w:cs="Times New Roman"/>
                <w:color w:val="auto"/>
                <w:szCs w:val="21"/>
                <w:highlight w:val="none"/>
                <w:vertAlign w:val="subscript"/>
                <w:lang w:val="en-US" w:eastAsia="zh-CN"/>
              </w:rPr>
              <w:t>2</w:t>
            </w:r>
          </w:p>
        </w:tc>
        <w:tc>
          <w:tcPr>
            <w:tcW w:w="2458" w:type="dxa"/>
            <w:noWrap w:val="0"/>
            <w:tcMar>
              <w:left w:w="0" w:type="dxa"/>
              <w:right w:w="0" w:type="dxa"/>
            </w:tcMar>
            <w:vAlign w:val="center"/>
          </w:tcPr>
          <w:p w14:paraId="26C60650">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废脱硫剂</w:t>
            </w:r>
          </w:p>
        </w:tc>
      </w:tr>
      <w:tr w14:paraId="5D47B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531D9E6A">
            <w:pPr>
              <w:adjustRightInd w:val="0"/>
              <w:snapToGrid w:val="0"/>
              <w:jc w:val="center"/>
              <w:rPr>
                <w:rFonts w:hint="eastAsia" w:cs="Times New Roman"/>
                <w:color w:val="auto"/>
                <w:szCs w:val="21"/>
                <w:highlight w:val="none"/>
                <w:lang w:eastAsia="zh-CN"/>
              </w:rPr>
            </w:pPr>
          </w:p>
        </w:tc>
        <w:tc>
          <w:tcPr>
            <w:tcW w:w="1994" w:type="dxa"/>
            <w:noWrap w:val="0"/>
            <w:vAlign w:val="center"/>
          </w:tcPr>
          <w:p w14:paraId="6E9B069D">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脱盐水制备</w:t>
            </w:r>
          </w:p>
        </w:tc>
        <w:tc>
          <w:tcPr>
            <w:tcW w:w="1837" w:type="dxa"/>
            <w:noWrap w:val="0"/>
            <w:tcMar>
              <w:left w:w="0" w:type="dxa"/>
              <w:right w:w="0" w:type="dxa"/>
            </w:tcMar>
            <w:vAlign w:val="center"/>
          </w:tcPr>
          <w:p w14:paraId="5052A548">
            <w:pPr>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脱盐水撬</w:t>
            </w:r>
          </w:p>
        </w:tc>
        <w:tc>
          <w:tcPr>
            <w:tcW w:w="1454" w:type="dxa"/>
            <w:noWrap w:val="0"/>
            <w:tcMar>
              <w:left w:w="0" w:type="dxa"/>
              <w:right w:w="0" w:type="dxa"/>
            </w:tcMar>
            <w:vAlign w:val="center"/>
          </w:tcPr>
          <w:p w14:paraId="5A74828F">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S</w:t>
            </w:r>
            <w:r>
              <w:rPr>
                <w:rFonts w:hint="eastAsia" w:cs="Times New Roman"/>
                <w:color w:val="auto"/>
                <w:szCs w:val="21"/>
                <w:highlight w:val="none"/>
                <w:vertAlign w:val="subscript"/>
                <w:lang w:val="en-US" w:eastAsia="zh-CN"/>
              </w:rPr>
              <w:t>3</w:t>
            </w:r>
          </w:p>
        </w:tc>
        <w:tc>
          <w:tcPr>
            <w:tcW w:w="2458" w:type="dxa"/>
            <w:noWrap w:val="0"/>
            <w:tcMar>
              <w:left w:w="0" w:type="dxa"/>
              <w:right w:w="0" w:type="dxa"/>
            </w:tcMar>
            <w:vAlign w:val="center"/>
          </w:tcPr>
          <w:p w14:paraId="695BDD91">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废活性炭、废滤芯、废反渗透膜</w:t>
            </w:r>
          </w:p>
        </w:tc>
      </w:tr>
      <w:tr w14:paraId="3782A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8" w:type="dxa"/>
            <w:vMerge w:val="continue"/>
            <w:noWrap w:val="0"/>
            <w:tcMar>
              <w:left w:w="0" w:type="dxa"/>
              <w:right w:w="0" w:type="dxa"/>
            </w:tcMar>
            <w:vAlign w:val="center"/>
          </w:tcPr>
          <w:p w14:paraId="7AB5B151">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39D7888D">
            <w:pPr>
              <w:jc w:val="center"/>
              <w:rPr>
                <w:rFonts w:hint="default" w:ascii="Times New Roman" w:hAnsi="Times New Roman" w:eastAsia="宋体" w:cs="Times New Roman"/>
                <w:color w:val="auto"/>
                <w:spacing w:val="4"/>
                <w:szCs w:val="21"/>
                <w:highlight w:val="none"/>
                <w:lang w:val="en-US" w:eastAsia="zh-CN"/>
              </w:rPr>
            </w:pPr>
            <w:r>
              <w:rPr>
                <w:rFonts w:hint="eastAsia" w:ascii="Times New Roman" w:hAnsi="Times New Roman" w:eastAsia="宋体" w:cs="Times New Roman"/>
                <w:color w:val="auto"/>
                <w:spacing w:val="4"/>
                <w:szCs w:val="21"/>
                <w:highlight w:val="none"/>
                <w:lang w:val="en-US" w:eastAsia="zh-CN"/>
              </w:rPr>
              <w:t>重整转换</w:t>
            </w:r>
          </w:p>
        </w:tc>
        <w:tc>
          <w:tcPr>
            <w:tcW w:w="1837" w:type="dxa"/>
            <w:noWrap w:val="0"/>
            <w:tcMar>
              <w:left w:w="0" w:type="dxa"/>
              <w:right w:w="0" w:type="dxa"/>
            </w:tcMar>
            <w:vAlign w:val="center"/>
          </w:tcPr>
          <w:p w14:paraId="62142C2C">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高温转换炉</w:t>
            </w:r>
          </w:p>
        </w:tc>
        <w:tc>
          <w:tcPr>
            <w:tcW w:w="1454" w:type="dxa"/>
            <w:noWrap w:val="0"/>
            <w:tcMar>
              <w:left w:w="0" w:type="dxa"/>
              <w:right w:w="0" w:type="dxa"/>
            </w:tcMar>
            <w:vAlign w:val="center"/>
          </w:tcPr>
          <w:p w14:paraId="1B06A9BE">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S</w:t>
            </w:r>
            <w:r>
              <w:rPr>
                <w:rFonts w:hint="eastAsia" w:cs="Times New Roman"/>
                <w:color w:val="auto"/>
                <w:szCs w:val="21"/>
                <w:highlight w:val="none"/>
                <w:vertAlign w:val="subscript"/>
                <w:lang w:val="en-US" w:eastAsia="zh-CN"/>
              </w:rPr>
              <w:t>4</w:t>
            </w:r>
          </w:p>
        </w:tc>
        <w:tc>
          <w:tcPr>
            <w:tcW w:w="2458" w:type="dxa"/>
            <w:noWrap w:val="0"/>
            <w:tcMar>
              <w:left w:w="0" w:type="dxa"/>
              <w:right w:w="0" w:type="dxa"/>
            </w:tcMar>
            <w:vAlign w:val="center"/>
          </w:tcPr>
          <w:p w14:paraId="1712D2A8">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废催化剂</w:t>
            </w:r>
          </w:p>
        </w:tc>
      </w:tr>
      <w:tr w14:paraId="69935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8" w:type="dxa"/>
            <w:vMerge w:val="continue"/>
            <w:noWrap w:val="0"/>
            <w:tcMar>
              <w:left w:w="0" w:type="dxa"/>
              <w:right w:w="0" w:type="dxa"/>
            </w:tcMar>
            <w:vAlign w:val="center"/>
          </w:tcPr>
          <w:p w14:paraId="06A2532A">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7B976CEE">
            <w:pPr>
              <w:jc w:val="center"/>
              <w:rPr>
                <w:rFonts w:hint="default" w:cs="Times New Roman"/>
                <w:color w:val="auto"/>
                <w:spacing w:val="4"/>
                <w:szCs w:val="21"/>
                <w:highlight w:val="none"/>
                <w:lang w:val="en-US" w:eastAsia="zh-CN"/>
              </w:rPr>
            </w:pPr>
            <w:r>
              <w:rPr>
                <w:rFonts w:hint="eastAsia" w:cs="Times New Roman"/>
                <w:color w:val="auto"/>
                <w:spacing w:val="4"/>
                <w:szCs w:val="21"/>
                <w:highlight w:val="none"/>
                <w:lang w:val="en-US" w:eastAsia="zh-CN"/>
              </w:rPr>
              <w:t>中温转化</w:t>
            </w:r>
          </w:p>
        </w:tc>
        <w:tc>
          <w:tcPr>
            <w:tcW w:w="1837" w:type="dxa"/>
            <w:noWrap w:val="0"/>
            <w:tcMar>
              <w:left w:w="0" w:type="dxa"/>
              <w:right w:w="0" w:type="dxa"/>
            </w:tcMar>
            <w:vAlign w:val="center"/>
          </w:tcPr>
          <w:p w14:paraId="5A97D7F2">
            <w:pPr>
              <w:jc w:val="center"/>
              <w:rPr>
                <w:rFonts w:hint="eastAsia" w:cs="Times New Roman"/>
                <w:color w:val="auto"/>
                <w:szCs w:val="21"/>
                <w:highlight w:val="none"/>
                <w:lang w:val="en-US" w:eastAsia="zh-CN"/>
              </w:rPr>
            </w:pPr>
            <w:r>
              <w:rPr>
                <w:rFonts w:hint="eastAsia" w:cs="Times New Roman"/>
                <w:color w:val="auto"/>
                <w:spacing w:val="4"/>
                <w:szCs w:val="21"/>
                <w:highlight w:val="none"/>
                <w:lang w:val="en-US" w:eastAsia="zh-CN"/>
              </w:rPr>
              <w:t>中温转化</w:t>
            </w:r>
          </w:p>
        </w:tc>
        <w:tc>
          <w:tcPr>
            <w:tcW w:w="1454" w:type="dxa"/>
            <w:noWrap w:val="0"/>
            <w:tcMar>
              <w:left w:w="0" w:type="dxa"/>
              <w:right w:w="0" w:type="dxa"/>
            </w:tcMar>
            <w:vAlign w:val="center"/>
          </w:tcPr>
          <w:p w14:paraId="35B958ED">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S</w:t>
            </w:r>
            <w:r>
              <w:rPr>
                <w:rFonts w:hint="eastAsia" w:cs="Times New Roman"/>
                <w:color w:val="auto"/>
                <w:szCs w:val="21"/>
                <w:highlight w:val="none"/>
                <w:vertAlign w:val="subscript"/>
                <w:lang w:val="en-US" w:eastAsia="zh-CN"/>
              </w:rPr>
              <w:t>5</w:t>
            </w:r>
          </w:p>
        </w:tc>
        <w:tc>
          <w:tcPr>
            <w:tcW w:w="2458" w:type="dxa"/>
            <w:noWrap w:val="0"/>
            <w:tcMar>
              <w:left w:w="0" w:type="dxa"/>
              <w:right w:w="0" w:type="dxa"/>
            </w:tcMar>
            <w:vAlign w:val="center"/>
          </w:tcPr>
          <w:p w14:paraId="782A0C76">
            <w:pPr>
              <w:jc w:val="center"/>
              <w:rPr>
                <w:rFonts w:hint="eastAsia" w:cs="Times New Roman"/>
                <w:color w:val="auto"/>
                <w:szCs w:val="21"/>
                <w:highlight w:val="none"/>
                <w:lang w:eastAsia="zh-CN"/>
              </w:rPr>
            </w:pPr>
            <w:r>
              <w:rPr>
                <w:rFonts w:hint="eastAsia" w:cs="Times New Roman"/>
                <w:color w:val="auto"/>
                <w:szCs w:val="21"/>
                <w:highlight w:val="none"/>
                <w:lang w:val="en-US" w:eastAsia="zh-CN"/>
              </w:rPr>
              <w:t>废催化剂</w:t>
            </w:r>
          </w:p>
        </w:tc>
      </w:tr>
      <w:tr w14:paraId="23082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7E5B729C">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1F63790E">
            <w:pPr>
              <w:jc w:val="center"/>
              <w:rPr>
                <w:rFonts w:hint="default" w:ascii="Times New Roman" w:hAnsi="Times New Roman" w:eastAsia="宋体" w:cs="Times New Roman"/>
                <w:color w:val="auto"/>
                <w:spacing w:val="4"/>
                <w:szCs w:val="21"/>
                <w:highlight w:val="none"/>
                <w:lang w:val="en-US" w:eastAsia="zh-CN"/>
              </w:rPr>
            </w:pPr>
            <w:r>
              <w:rPr>
                <w:rFonts w:hint="eastAsia" w:cs="Times New Roman"/>
                <w:color w:val="auto"/>
                <w:spacing w:val="4"/>
                <w:szCs w:val="21"/>
                <w:highlight w:val="none"/>
                <w:lang w:val="en-US" w:eastAsia="zh-CN"/>
              </w:rPr>
              <w:t>PSA转换</w:t>
            </w:r>
          </w:p>
        </w:tc>
        <w:tc>
          <w:tcPr>
            <w:tcW w:w="1837" w:type="dxa"/>
            <w:noWrap w:val="0"/>
            <w:tcMar>
              <w:left w:w="0" w:type="dxa"/>
              <w:right w:w="0" w:type="dxa"/>
            </w:tcMar>
            <w:vAlign w:val="center"/>
          </w:tcPr>
          <w:p w14:paraId="71B35A27">
            <w:pPr>
              <w:jc w:val="center"/>
              <w:rPr>
                <w:rFonts w:hint="default" w:ascii="Times New Roman" w:hAnsi="Times New Roman" w:cs="Times New Roman"/>
                <w:color w:val="auto"/>
                <w:szCs w:val="21"/>
                <w:highlight w:val="none"/>
                <w:lang w:val="en-US" w:eastAsia="zh-CN"/>
              </w:rPr>
            </w:pPr>
            <w:r>
              <w:rPr>
                <w:rFonts w:hint="eastAsia" w:cs="Times New Roman"/>
                <w:color w:val="auto"/>
                <w:spacing w:val="4"/>
                <w:szCs w:val="21"/>
                <w:highlight w:val="none"/>
                <w:lang w:val="en-US" w:eastAsia="zh-CN"/>
              </w:rPr>
              <w:t>PSA转换塔</w:t>
            </w:r>
          </w:p>
        </w:tc>
        <w:tc>
          <w:tcPr>
            <w:tcW w:w="1454" w:type="dxa"/>
            <w:noWrap w:val="0"/>
            <w:tcMar>
              <w:left w:w="0" w:type="dxa"/>
              <w:right w:w="0" w:type="dxa"/>
            </w:tcMar>
            <w:vAlign w:val="center"/>
          </w:tcPr>
          <w:p w14:paraId="6058A24E">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S</w:t>
            </w:r>
            <w:r>
              <w:rPr>
                <w:rFonts w:hint="eastAsia" w:cs="Times New Roman"/>
                <w:color w:val="auto"/>
                <w:szCs w:val="21"/>
                <w:highlight w:val="none"/>
                <w:vertAlign w:val="subscript"/>
                <w:lang w:val="en-US" w:eastAsia="zh-CN"/>
              </w:rPr>
              <w:t>6</w:t>
            </w:r>
          </w:p>
        </w:tc>
        <w:tc>
          <w:tcPr>
            <w:tcW w:w="2458" w:type="dxa"/>
            <w:noWrap w:val="0"/>
            <w:tcMar>
              <w:left w:w="0" w:type="dxa"/>
              <w:right w:w="0" w:type="dxa"/>
            </w:tcMar>
            <w:vAlign w:val="center"/>
          </w:tcPr>
          <w:p w14:paraId="19C1A4E0">
            <w:pPr>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废吸附剂</w:t>
            </w:r>
          </w:p>
        </w:tc>
      </w:tr>
      <w:tr w14:paraId="37F04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29FFEC43">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03B243B4">
            <w:pPr>
              <w:jc w:val="center"/>
              <w:rPr>
                <w:rFonts w:hint="eastAsia" w:cs="Times New Roman"/>
                <w:color w:val="auto"/>
                <w:spacing w:val="4"/>
                <w:szCs w:val="21"/>
                <w:highlight w:val="none"/>
                <w:lang w:eastAsia="zh-CN"/>
              </w:rPr>
            </w:pPr>
            <w:r>
              <w:rPr>
                <w:rFonts w:hint="eastAsia" w:cs="Times New Roman"/>
                <w:color w:val="auto"/>
                <w:spacing w:val="4"/>
                <w:szCs w:val="21"/>
                <w:highlight w:val="none"/>
                <w:lang w:val="en-US" w:eastAsia="zh-CN"/>
              </w:rPr>
              <w:t>制氮</w:t>
            </w:r>
          </w:p>
        </w:tc>
        <w:tc>
          <w:tcPr>
            <w:tcW w:w="1837" w:type="dxa"/>
            <w:noWrap w:val="0"/>
            <w:tcMar>
              <w:left w:w="0" w:type="dxa"/>
              <w:right w:w="0" w:type="dxa"/>
            </w:tcMar>
            <w:vAlign w:val="center"/>
          </w:tcPr>
          <w:p w14:paraId="110921FF">
            <w:pPr>
              <w:jc w:val="center"/>
              <w:rPr>
                <w:rFonts w:hint="eastAsia" w:cs="Times New Roman"/>
                <w:color w:val="auto"/>
                <w:szCs w:val="21"/>
                <w:highlight w:val="none"/>
                <w:lang w:eastAsia="zh-CN"/>
              </w:rPr>
            </w:pPr>
            <w:r>
              <w:rPr>
                <w:rFonts w:hint="eastAsia" w:cs="Times New Roman"/>
                <w:color w:val="auto"/>
                <w:spacing w:val="4"/>
                <w:szCs w:val="21"/>
                <w:highlight w:val="none"/>
                <w:lang w:val="en-US" w:eastAsia="zh-CN"/>
              </w:rPr>
              <w:t>制氮机</w:t>
            </w:r>
          </w:p>
        </w:tc>
        <w:tc>
          <w:tcPr>
            <w:tcW w:w="1454" w:type="dxa"/>
            <w:noWrap w:val="0"/>
            <w:tcMar>
              <w:left w:w="0" w:type="dxa"/>
              <w:right w:w="0" w:type="dxa"/>
            </w:tcMar>
            <w:vAlign w:val="center"/>
          </w:tcPr>
          <w:p w14:paraId="1F882E1F">
            <w:pPr>
              <w:adjustRightInd w:val="0"/>
              <w:snapToGrid w:val="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2458" w:type="dxa"/>
            <w:noWrap w:val="0"/>
            <w:tcMar>
              <w:left w:w="0" w:type="dxa"/>
              <w:right w:w="0" w:type="dxa"/>
            </w:tcMar>
            <w:vAlign w:val="center"/>
          </w:tcPr>
          <w:p w14:paraId="6A139355">
            <w:pPr>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废滤芯</w:t>
            </w:r>
          </w:p>
        </w:tc>
      </w:tr>
      <w:tr w14:paraId="31053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8" w:type="dxa"/>
            <w:vMerge w:val="continue"/>
            <w:noWrap w:val="0"/>
            <w:tcMar>
              <w:left w:w="0" w:type="dxa"/>
              <w:right w:w="0" w:type="dxa"/>
            </w:tcMar>
            <w:vAlign w:val="center"/>
          </w:tcPr>
          <w:p w14:paraId="600A250E">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5E409742">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油罐清洗</w:t>
            </w:r>
          </w:p>
        </w:tc>
        <w:tc>
          <w:tcPr>
            <w:tcW w:w="1837" w:type="dxa"/>
            <w:noWrap w:val="0"/>
            <w:tcMar>
              <w:left w:w="0" w:type="dxa"/>
              <w:right w:w="0" w:type="dxa"/>
            </w:tcMar>
            <w:vAlign w:val="center"/>
          </w:tcPr>
          <w:p w14:paraId="32C2C7EF">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油罐</w:t>
            </w:r>
          </w:p>
        </w:tc>
        <w:tc>
          <w:tcPr>
            <w:tcW w:w="1454" w:type="dxa"/>
            <w:noWrap w:val="0"/>
            <w:tcMar>
              <w:left w:w="0" w:type="dxa"/>
              <w:right w:w="0" w:type="dxa"/>
            </w:tcMar>
            <w:vAlign w:val="center"/>
          </w:tcPr>
          <w:p w14:paraId="0868A9E4">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highlight w:val="none"/>
                <w:lang w:val="en-US" w:eastAsia="zh-CN"/>
              </w:rPr>
              <w:t>S</w:t>
            </w:r>
            <w:r>
              <w:rPr>
                <w:rFonts w:hint="eastAsia" w:cs="Times New Roman"/>
                <w:color w:val="auto"/>
                <w:szCs w:val="21"/>
                <w:highlight w:val="none"/>
                <w:vertAlign w:val="subscript"/>
                <w:lang w:val="en-US" w:eastAsia="zh-CN"/>
              </w:rPr>
              <w:t>7</w:t>
            </w:r>
          </w:p>
        </w:tc>
        <w:tc>
          <w:tcPr>
            <w:tcW w:w="2458" w:type="dxa"/>
            <w:noWrap w:val="0"/>
            <w:tcMar>
              <w:left w:w="0" w:type="dxa"/>
              <w:right w:w="0" w:type="dxa"/>
            </w:tcMar>
            <w:vAlign w:val="center"/>
          </w:tcPr>
          <w:p w14:paraId="06A5977B">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废油渣、废清洗液</w:t>
            </w:r>
          </w:p>
        </w:tc>
      </w:tr>
      <w:tr w14:paraId="016C0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98" w:type="dxa"/>
            <w:vMerge w:val="continue"/>
            <w:noWrap w:val="0"/>
            <w:tcMar>
              <w:left w:w="0" w:type="dxa"/>
              <w:right w:w="0" w:type="dxa"/>
            </w:tcMar>
            <w:vAlign w:val="center"/>
          </w:tcPr>
          <w:p w14:paraId="21B83849">
            <w:pPr>
              <w:adjustRightInd w:val="0"/>
              <w:snapToGrid w:val="0"/>
              <w:jc w:val="center"/>
              <w:rPr>
                <w:rFonts w:hint="default" w:ascii="Times New Roman" w:hAnsi="Times New Roman" w:cs="Times New Roman"/>
                <w:color w:val="auto"/>
                <w:szCs w:val="21"/>
                <w:highlight w:val="none"/>
              </w:rPr>
            </w:pPr>
          </w:p>
        </w:tc>
        <w:tc>
          <w:tcPr>
            <w:tcW w:w="1994" w:type="dxa"/>
            <w:noWrap w:val="0"/>
            <w:vAlign w:val="center"/>
          </w:tcPr>
          <w:p w14:paraId="79F4B388">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员工生活</w:t>
            </w:r>
          </w:p>
        </w:tc>
        <w:tc>
          <w:tcPr>
            <w:tcW w:w="1837" w:type="dxa"/>
            <w:noWrap w:val="0"/>
            <w:tcMar>
              <w:left w:w="0" w:type="dxa"/>
              <w:right w:w="0" w:type="dxa"/>
            </w:tcMar>
            <w:vAlign w:val="center"/>
          </w:tcPr>
          <w:p w14:paraId="387B0BF7">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1454" w:type="dxa"/>
            <w:noWrap w:val="0"/>
            <w:tcMar>
              <w:left w:w="0" w:type="dxa"/>
              <w:right w:w="0" w:type="dxa"/>
            </w:tcMar>
            <w:vAlign w:val="center"/>
          </w:tcPr>
          <w:p w14:paraId="7FD279D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2458" w:type="dxa"/>
            <w:noWrap w:val="0"/>
            <w:tcMar>
              <w:left w:w="0" w:type="dxa"/>
              <w:right w:w="0" w:type="dxa"/>
            </w:tcMar>
            <w:vAlign w:val="center"/>
          </w:tcPr>
          <w:p w14:paraId="6B98D0C8">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生活垃圾</w:t>
            </w:r>
          </w:p>
        </w:tc>
      </w:tr>
    </w:tbl>
    <w:p w14:paraId="6365BD5F">
      <w:pPr>
        <w:pStyle w:val="218"/>
        <w:spacing w:before="62" w:after="156"/>
        <w:rPr>
          <w:color w:val="auto"/>
          <w:highlight w:val="none"/>
        </w:rPr>
      </w:pPr>
      <w:bookmarkStart w:id="219" w:name="_Toc152922605"/>
      <w:bookmarkStart w:id="220" w:name="_Toc5875"/>
      <w:bookmarkStart w:id="221" w:name="_Toc152922011"/>
      <w:r>
        <w:rPr>
          <w:color w:val="auto"/>
          <w:highlight w:val="none"/>
        </w:rPr>
        <w:t>3.</w:t>
      </w:r>
      <w:r>
        <w:rPr>
          <w:rFonts w:hint="eastAsia"/>
          <w:color w:val="auto"/>
          <w:highlight w:val="none"/>
          <w:lang w:val="en-US" w:eastAsia="zh-CN"/>
        </w:rPr>
        <w:t>4物料</w:t>
      </w:r>
      <w:r>
        <w:rPr>
          <w:color w:val="auto"/>
          <w:highlight w:val="none"/>
        </w:rPr>
        <w:t>平衡和水平衡</w:t>
      </w:r>
      <w:bookmarkEnd w:id="219"/>
      <w:bookmarkEnd w:id="220"/>
      <w:bookmarkEnd w:id="221"/>
    </w:p>
    <w:p w14:paraId="5393B253">
      <w:pPr>
        <w:pStyle w:val="4"/>
        <w:spacing w:after="156"/>
        <w:rPr>
          <w:color w:val="auto"/>
          <w:highlight w:val="none"/>
        </w:rPr>
      </w:pPr>
      <w:bookmarkStart w:id="222" w:name="_Toc152922012"/>
      <w:bookmarkStart w:id="223" w:name="_Toc152922606"/>
      <w:bookmarkStart w:id="224" w:name="_Toc117150230"/>
      <w:bookmarkStart w:id="225" w:name="_Toc152921647"/>
      <w:bookmarkStart w:id="226" w:name="_Toc152923287"/>
      <w:r>
        <w:rPr>
          <w:color w:val="auto"/>
          <w:highlight w:val="none"/>
        </w:rPr>
        <w:t>3.</w:t>
      </w:r>
      <w:r>
        <w:rPr>
          <w:rFonts w:hint="eastAsia"/>
          <w:color w:val="auto"/>
          <w:highlight w:val="none"/>
          <w:lang w:val="en-US" w:eastAsia="zh-CN"/>
        </w:rPr>
        <w:t>4</w:t>
      </w:r>
      <w:r>
        <w:rPr>
          <w:color w:val="auto"/>
          <w:highlight w:val="none"/>
        </w:rPr>
        <w:t>.1</w:t>
      </w:r>
      <w:r>
        <w:rPr>
          <w:rFonts w:hint="eastAsia"/>
          <w:color w:val="auto"/>
          <w:highlight w:val="none"/>
          <w:lang w:val="en-US" w:eastAsia="zh-CN"/>
        </w:rPr>
        <w:t>物料</w:t>
      </w:r>
      <w:r>
        <w:rPr>
          <w:color w:val="auto"/>
          <w:highlight w:val="none"/>
        </w:rPr>
        <w:t>平衡</w:t>
      </w:r>
      <w:bookmarkEnd w:id="222"/>
      <w:bookmarkEnd w:id="223"/>
      <w:bookmarkEnd w:id="224"/>
      <w:bookmarkEnd w:id="225"/>
      <w:bookmarkEnd w:id="226"/>
    </w:p>
    <w:p w14:paraId="5D13A857">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本项目产品氢气纯度为99.95%~99.99%，本次环评考虑产污情况最大的情况下进行分析，即纯度为99.99%时的物料衡算。根据企业提供资料沼气经过一系列转化最终转化率为73%，本项目设计转化过程水碳比为3</w:t>
      </w:r>
      <w:r>
        <w:rPr>
          <w:rFonts w:hint="eastAsia" w:cs="Times New Roman"/>
          <w:b w:val="0"/>
          <w:bCs w:val="0"/>
          <w:color w:val="auto"/>
          <w:kern w:val="2"/>
          <w:sz w:val="24"/>
          <w:szCs w:val="24"/>
          <w:highlight w:val="none"/>
          <w:lang w:val="en-US" w:eastAsia="zh-CN" w:bidi="ar-SA"/>
        </w:rPr>
        <w:t>（</w:t>
      </w:r>
      <w:r>
        <w:rPr>
          <w:rFonts w:hint="eastAsia" w:ascii="Times New Roman" w:hAnsi="Times New Roman" w:eastAsia="宋体" w:cs="Times New Roman"/>
          <w:b w:val="0"/>
          <w:bCs w:val="0"/>
          <w:color w:val="auto"/>
          <w:kern w:val="2"/>
          <w:sz w:val="24"/>
          <w:szCs w:val="24"/>
          <w:highlight w:val="none"/>
          <w:lang w:val="en-US" w:eastAsia="zh-CN" w:bidi="ar-SA"/>
        </w:rPr>
        <w:t>mol/mo</w:t>
      </w:r>
      <w:r>
        <w:rPr>
          <w:rFonts w:hint="eastAsia" w:cs="Times New Roman"/>
          <w:b w:val="0"/>
          <w:bCs w:val="0"/>
          <w:color w:val="auto"/>
          <w:kern w:val="2"/>
          <w:sz w:val="24"/>
          <w:szCs w:val="24"/>
          <w:highlight w:val="none"/>
          <w:lang w:val="en-US" w:eastAsia="zh-CN" w:bidi="ar-SA"/>
        </w:rPr>
        <w:t>l）</w:t>
      </w:r>
      <w:r>
        <w:rPr>
          <w:rFonts w:hint="eastAsia" w:ascii="Times New Roman" w:hAnsi="Times New Roman" w:eastAsia="宋体" w:cs="Times New Roman"/>
          <w:b w:val="0"/>
          <w:bCs w:val="0"/>
          <w:color w:val="auto"/>
          <w:kern w:val="2"/>
          <w:sz w:val="24"/>
          <w:szCs w:val="24"/>
          <w:highlight w:val="none"/>
          <w:lang w:val="en-US" w:eastAsia="zh-CN" w:bidi="ar-SA"/>
        </w:rPr>
        <w:t>。</w:t>
      </w:r>
    </w:p>
    <w:p w14:paraId="4D20B99D">
      <w:pPr>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1  沼气物料组分含量一览表</w:t>
      </w:r>
    </w:p>
    <w:tbl>
      <w:tblPr>
        <w:tblStyle w:val="49"/>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218"/>
        <w:gridCol w:w="1222"/>
        <w:gridCol w:w="1433"/>
        <w:gridCol w:w="1303"/>
        <w:gridCol w:w="1579"/>
        <w:gridCol w:w="1764"/>
      </w:tblGrid>
      <w:tr w14:paraId="43A0FE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 w:hRule="atLeast"/>
        </w:trPr>
        <w:tc>
          <w:tcPr>
            <w:tcW w:w="1432"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13C3A">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物料名称</w:t>
            </w:r>
          </w:p>
        </w:tc>
        <w:tc>
          <w:tcPr>
            <w:tcW w:w="1606" w:type="pct"/>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7D32A3">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燃料生物燃气</w:t>
            </w:r>
          </w:p>
        </w:tc>
        <w:tc>
          <w:tcPr>
            <w:tcW w:w="1960" w:type="pct"/>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AA6B4A">
            <w:pPr>
              <w:keepNext w:val="0"/>
              <w:keepLines w:val="0"/>
              <w:widowControl/>
              <w:suppressLineNumbers w:val="0"/>
              <w:jc w:val="center"/>
              <w:textAlignment w:val="center"/>
              <w:rPr>
                <w:rFonts w:hint="eastAsia" w:ascii="宋体" w:hAnsi="宋体" w:eastAsia="宋体" w:cs="宋体"/>
                <w:b/>
                <w:bCs/>
                <w:i w:val="0"/>
                <w:iCs w:val="0"/>
                <w:color w:val="auto"/>
                <w:sz w:val="18"/>
                <w:szCs w:val="18"/>
                <w:highlight w:val="none"/>
                <w:u w:val="none"/>
              </w:rPr>
            </w:pPr>
            <w:r>
              <w:rPr>
                <w:rFonts w:hint="eastAsia" w:ascii="宋体" w:hAnsi="宋体" w:eastAsia="宋体" w:cs="宋体"/>
                <w:b/>
                <w:bCs/>
                <w:i w:val="0"/>
                <w:iCs w:val="0"/>
                <w:color w:val="auto"/>
                <w:kern w:val="0"/>
                <w:sz w:val="18"/>
                <w:szCs w:val="18"/>
                <w:highlight w:val="none"/>
                <w:u w:val="none"/>
                <w:lang w:val="en-US" w:eastAsia="zh-CN" w:bidi="ar"/>
              </w:rPr>
              <w:t>提氢解吸气</w:t>
            </w:r>
          </w:p>
        </w:tc>
      </w:tr>
      <w:tr w14:paraId="57A8DF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59C76661">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组份</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50EF3534">
            <w:pPr>
              <w:keepNext w:val="0"/>
              <w:keepLines w:val="0"/>
              <w:widowControl/>
              <w:suppressLineNumbers w:val="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分子量</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7B0634B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kmol/h</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74BE718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v%</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3A22E4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kmol/h</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3B0ED7D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v%</w:t>
            </w:r>
          </w:p>
        </w:tc>
      </w:tr>
      <w:tr w14:paraId="09DD9F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0A332E4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CO</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4C8D8FF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28.01</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57D46EE3">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010C729B">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40290FB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0.6876</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5691849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0.0469</w:t>
            </w:r>
          </w:p>
        </w:tc>
      </w:tr>
      <w:tr w14:paraId="7CB81C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623B0AF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CO</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2</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4EC470E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44.01</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468985A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0.0039</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72A77F66">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0.0078</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4A905D0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6.3719</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43819BC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0.4346</w:t>
            </w:r>
          </w:p>
        </w:tc>
      </w:tr>
      <w:tr w14:paraId="0A6A90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68D98E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H</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2</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6C2A80B5">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2.02</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167793CF">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730216DC">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0D35F87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4.9001</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0DA7A0F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0.3342</w:t>
            </w:r>
          </w:p>
        </w:tc>
      </w:tr>
      <w:tr w14:paraId="5EBC07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0F9A172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CH</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4</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014F6A3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16.04</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53EBE25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0.4717</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07EDAEE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0.9491</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074F93F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2.5888</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0114203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0.1766</w:t>
            </w:r>
          </w:p>
        </w:tc>
      </w:tr>
      <w:tr w14:paraId="2BB0CC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4F30500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C</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2</w:t>
            </w:r>
            <w:r>
              <w:rPr>
                <w:rFonts w:hint="default" w:ascii="Times New Roman" w:hAnsi="Times New Roman" w:eastAsia="宋体" w:cs="Times New Roman"/>
                <w:i w:val="0"/>
                <w:iCs w:val="0"/>
                <w:color w:val="auto"/>
                <w:kern w:val="0"/>
                <w:sz w:val="18"/>
                <w:szCs w:val="18"/>
                <w:highlight w:val="none"/>
                <w:u w:val="none"/>
                <w:lang w:val="en-US" w:eastAsia="zh-CN" w:bidi="ar"/>
              </w:rPr>
              <w:t>H</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6</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2846EAA2">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30.07</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02105C3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0.0126</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5326733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0.0253</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73ED4A76">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74DD4A36">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r>
      <w:tr w14:paraId="526BEE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3D4B4AC4">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C</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3</w:t>
            </w:r>
            <w:r>
              <w:rPr>
                <w:rFonts w:hint="default" w:ascii="Times New Roman" w:hAnsi="Times New Roman" w:eastAsia="宋体" w:cs="Times New Roman"/>
                <w:i w:val="0"/>
                <w:iCs w:val="0"/>
                <w:color w:val="auto"/>
                <w:kern w:val="0"/>
                <w:sz w:val="18"/>
                <w:szCs w:val="18"/>
                <w:highlight w:val="none"/>
                <w:u w:val="none"/>
                <w:lang w:val="en-US" w:eastAsia="zh-CN" w:bidi="ar"/>
              </w:rPr>
              <w:t>H</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8</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3B50E9A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44.10</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6E76CB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0.0413</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48F9B1F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0.0042</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73A1E259">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6AF9962C">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r>
      <w:tr w14:paraId="27D45F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300113C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C</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4</w:t>
            </w:r>
            <w:r>
              <w:rPr>
                <w:rFonts w:hint="default" w:ascii="Times New Roman" w:hAnsi="Times New Roman" w:eastAsia="宋体" w:cs="Times New Roman"/>
                <w:i w:val="0"/>
                <w:iCs w:val="0"/>
                <w:color w:val="auto"/>
                <w:kern w:val="0"/>
                <w:sz w:val="18"/>
                <w:szCs w:val="18"/>
                <w:highlight w:val="none"/>
                <w:u w:val="none"/>
                <w:lang w:val="en-US" w:eastAsia="zh-CN" w:bidi="ar"/>
              </w:rPr>
              <w:t>H</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10</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7DEA5A3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58.12</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6BC5C81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0.0132</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6A873E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0.0013</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47A17CC1">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6EF4E201">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r>
      <w:tr w14:paraId="446025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6AC5F2C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C</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5</w:t>
            </w:r>
            <w:r>
              <w:rPr>
                <w:rFonts w:hint="default" w:ascii="Times New Roman" w:hAnsi="Times New Roman" w:eastAsia="宋体" w:cs="Times New Roman"/>
                <w:i w:val="0"/>
                <w:iCs w:val="0"/>
                <w:color w:val="auto"/>
                <w:kern w:val="0"/>
                <w:sz w:val="18"/>
                <w:szCs w:val="18"/>
                <w:highlight w:val="none"/>
                <w:u w:val="none"/>
                <w:lang w:val="en-US" w:eastAsia="zh-CN" w:bidi="ar"/>
              </w:rPr>
              <w:t>H</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12</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421E8EE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72.15</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2BB133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0.0101</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7768F7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0.0010</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2A2C9119">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1892DD40">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r>
      <w:tr w14:paraId="0F73A2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7746ABF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N</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2</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0DA678D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28.01</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4A9AEB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0.1110</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3F6D48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0.0113</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08CA442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0.1023</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18C7F4D0">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0.0070</w:t>
            </w:r>
          </w:p>
        </w:tc>
      </w:tr>
      <w:tr w14:paraId="7C0E1A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038F4D91">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H</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2</w:t>
            </w:r>
            <w:r>
              <w:rPr>
                <w:rFonts w:hint="default" w:ascii="Times New Roman" w:hAnsi="Times New Roman" w:eastAsia="宋体" w:cs="Times New Roman"/>
                <w:i w:val="0"/>
                <w:iCs w:val="0"/>
                <w:color w:val="auto"/>
                <w:kern w:val="0"/>
                <w:sz w:val="18"/>
                <w:szCs w:val="18"/>
                <w:highlight w:val="none"/>
                <w:u w:val="none"/>
                <w:lang w:val="en-US" w:eastAsia="zh-CN" w:bidi="ar"/>
              </w:rPr>
              <w:t>O</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362777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18.01</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2497A701">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1A96D056">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72948099">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0.0100</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3B4DE2B8">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0.0007</w:t>
            </w:r>
          </w:p>
        </w:tc>
      </w:tr>
      <w:tr w14:paraId="129BEB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715" w:type="pct"/>
            <w:tcBorders>
              <w:top w:val="single" w:color="000000" w:sz="4" w:space="0"/>
              <w:left w:val="single" w:color="000000" w:sz="4" w:space="0"/>
              <w:bottom w:val="single" w:color="000000" w:sz="4" w:space="0"/>
              <w:right w:val="single" w:color="000000" w:sz="4" w:space="0"/>
            </w:tcBorders>
            <w:noWrap/>
            <w:vAlign w:val="center"/>
          </w:tcPr>
          <w:p w14:paraId="081B52CB">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H</w:t>
            </w:r>
            <w:r>
              <w:rPr>
                <w:rFonts w:hint="default" w:ascii="Times New Roman" w:hAnsi="Times New Roman" w:eastAsia="宋体" w:cs="Times New Roman"/>
                <w:i w:val="0"/>
                <w:iCs w:val="0"/>
                <w:color w:val="auto"/>
                <w:kern w:val="0"/>
                <w:sz w:val="18"/>
                <w:szCs w:val="18"/>
                <w:highlight w:val="none"/>
                <w:u w:val="none"/>
                <w:vertAlign w:val="subscript"/>
                <w:lang w:val="en-US" w:eastAsia="zh-CN" w:bidi="ar"/>
              </w:rPr>
              <w:t>2</w:t>
            </w:r>
            <w:r>
              <w:rPr>
                <w:rFonts w:hint="default" w:ascii="Times New Roman" w:hAnsi="Times New Roman" w:eastAsia="宋体" w:cs="Times New Roman"/>
                <w:i w:val="0"/>
                <w:iCs w:val="0"/>
                <w:color w:val="auto"/>
                <w:kern w:val="0"/>
                <w:sz w:val="18"/>
                <w:szCs w:val="18"/>
                <w:highlight w:val="none"/>
                <w:u w:val="none"/>
                <w:lang w:val="en-US" w:eastAsia="zh-CN" w:bidi="ar"/>
              </w:rPr>
              <w:t>S</w:t>
            </w:r>
          </w:p>
        </w:tc>
        <w:tc>
          <w:tcPr>
            <w:tcW w:w="717" w:type="pct"/>
            <w:tcBorders>
              <w:top w:val="single" w:color="000000" w:sz="4" w:space="0"/>
              <w:left w:val="single" w:color="000000" w:sz="4" w:space="0"/>
              <w:bottom w:val="single" w:color="000000" w:sz="4" w:space="0"/>
              <w:right w:val="single" w:color="000000" w:sz="4" w:space="0"/>
            </w:tcBorders>
            <w:noWrap/>
            <w:vAlign w:val="center"/>
          </w:tcPr>
          <w:p w14:paraId="5CB64687">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34.08</w:t>
            </w:r>
          </w:p>
        </w:tc>
        <w:tc>
          <w:tcPr>
            <w:tcW w:w="841" w:type="pct"/>
            <w:tcBorders>
              <w:top w:val="single" w:color="000000" w:sz="4" w:space="0"/>
              <w:left w:val="single" w:color="000000" w:sz="4" w:space="0"/>
              <w:bottom w:val="single" w:color="auto" w:sz="4" w:space="0"/>
              <w:right w:val="single" w:color="000000" w:sz="4" w:space="0"/>
            </w:tcBorders>
            <w:noWrap/>
            <w:vAlign w:val="center"/>
          </w:tcPr>
          <w:p w14:paraId="54FAB11C">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lang w:val="en-US"/>
              </w:rPr>
            </w:pPr>
            <w:r>
              <w:rPr>
                <w:rFonts w:hint="eastAsia" w:ascii="Times New Roman" w:hAnsi="Times New Roman" w:eastAsia="宋体" w:cs="Times New Roman"/>
                <w:i w:val="0"/>
                <w:iCs w:val="0"/>
                <w:color w:val="auto"/>
                <w:kern w:val="0"/>
                <w:sz w:val="18"/>
                <w:szCs w:val="18"/>
                <w:highlight w:val="none"/>
                <w:u w:val="none"/>
                <w:lang w:val="en-US" w:eastAsia="zh-CN" w:bidi="ar"/>
              </w:rPr>
              <w:t>0.0001</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51EE72DC">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1E5491CC">
            <w:pPr>
              <w:jc w:val="center"/>
              <w:rPr>
                <w:rFonts w:hint="eastAsia" w:ascii="Times New Roman" w:hAnsi="Times New Roman" w:eastAsia="宋体" w:cs="Times New Roman"/>
                <w:i w:val="0"/>
                <w:iCs w:val="0"/>
                <w:color w:val="auto"/>
                <w:sz w:val="18"/>
                <w:szCs w:val="18"/>
                <w:highlight w:val="none"/>
                <w:u w:val="none"/>
                <w:lang w:val="en-US" w:eastAsia="zh-CN"/>
              </w:rPr>
            </w:pPr>
            <w:r>
              <w:rPr>
                <w:rFonts w:hint="eastAsia" w:ascii="Times New Roman" w:hAnsi="Times New Roman" w:eastAsia="宋体" w:cs="Times New Roman"/>
                <w:i w:val="0"/>
                <w:iCs w:val="0"/>
                <w:color w:val="auto"/>
                <w:sz w:val="18"/>
                <w:szCs w:val="18"/>
                <w:highlight w:val="none"/>
                <w:u w:val="none"/>
                <w:lang w:val="en-US" w:eastAsia="zh-CN"/>
              </w:rPr>
              <w:t>/</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07B2A370">
            <w:pPr>
              <w:jc w:val="center"/>
              <w:rPr>
                <w:rFonts w:hint="default" w:ascii="Times New Roman" w:hAnsi="Times New Roman" w:eastAsia="宋体" w:cs="Times New Roman"/>
                <w:i w:val="0"/>
                <w:iCs w:val="0"/>
                <w:color w:val="auto"/>
                <w:sz w:val="18"/>
                <w:szCs w:val="18"/>
                <w:highlight w:val="none"/>
                <w:u w:val="none"/>
              </w:rPr>
            </w:pPr>
          </w:p>
        </w:tc>
      </w:tr>
      <w:tr w14:paraId="2D6CC1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432" w:type="pct"/>
            <w:gridSpan w:val="2"/>
            <w:tcBorders>
              <w:top w:val="single" w:color="000000" w:sz="4" w:space="0"/>
              <w:left w:val="single" w:color="000000" w:sz="4" w:space="0"/>
              <w:bottom w:val="single" w:color="000000" w:sz="4" w:space="0"/>
              <w:right w:val="single" w:color="000000" w:sz="4" w:space="0"/>
            </w:tcBorders>
            <w:noWrap/>
            <w:vAlign w:val="center"/>
          </w:tcPr>
          <w:p w14:paraId="68DACEFD">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总计</w:t>
            </w:r>
          </w:p>
        </w:tc>
        <w:tc>
          <w:tcPr>
            <w:tcW w:w="841" w:type="pct"/>
            <w:tcBorders>
              <w:top w:val="single" w:color="000000" w:sz="4" w:space="0"/>
              <w:left w:val="single" w:color="000000" w:sz="4" w:space="0"/>
              <w:bottom w:val="single" w:color="000000" w:sz="4" w:space="0"/>
              <w:right w:val="single" w:color="000000" w:sz="4" w:space="0"/>
            </w:tcBorders>
            <w:noWrap/>
            <w:vAlign w:val="center"/>
          </w:tcPr>
          <w:p w14:paraId="2B009E5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0.4969</w:t>
            </w:r>
          </w:p>
        </w:tc>
        <w:tc>
          <w:tcPr>
            <w:tcW w:w="765" w:type="pct"/>
            <w:tcBorders>
              <w:top w:val="single" w:color="000000" w:sz="4" w:space="0"/>
              <w:left w:val="single" w:color="000000" w:sz="4" w:space="0"/>
              <w:bottom w:val="single" w:color="000000" w:sz="4" w:space="0"/>
              <w:right w:val="single" w:color="000000" w:sz="4" w:space="0"/>
            </w:tcBorders>
            <w:noWrap/>
            <w:vAlign w:val="center"/>
          </w:tcPr>
          <w:p w14:paraId="27F37043">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100.000</w:t>
            </w:r>
          </w:p>
        </w:tc>
        <w:tc>
          <w:tcPr>
            <w:tcW w:w="927" w:type="pct"/>
            <w:tcBorders>
              <w:top w:val="single" w:color="000000" w:sz="4" w:space="0"/>
              <w:left w:val="single" w:color="000000" w:sz="4" w:space="0"/>
              <w:bottom w:val="single" w:color="000000" w:sz="4" w:space="0"/>
              <w:right w:val="single" w:color="000000" w:sz="4" w:space="0"/>
            </w:tcBorders>
            <w:noWrap/>
            <w:vAlign w:val="center"/>
          </w:tcPr>
          <w:p w14:paraId="0A61E9FE">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14.6606</w:t>
            </w:r>
          </w:p>
        </w:tc>
        <w:tc>
          <w:tcPr>
            <w:tcW w:w="1033" w:type="pct"/>
            <w:tcBorders>
              <w:top w:val="single" w:color="000000" w:sz="4" w:space="0"/>
              <w:left w:val="single" w:color="000000" w:sz="4" w:space="0"/>
              <w:bottom w:val="single" w:color="000000" w:sz="4" w:space="0"/>
              <w:right w:val="single" w:color="000000" w:sz="4" w:space="0"/>
            </w:tcBorders>
            <w:noWrap/>
            <w:vAlign w:val="center"/>
          </w:tcPr>
          <w:p w14:paraId="601234AA">
            <w:pPr>
              <w:keepNext w:val="0"/>
              <w:keepLines w:val="0"/>
              <w:widowControl/>
              <w:suppressLineNumbers w:val="0"/>
              <w:jc w:val="center"/>
              <w:textAlignment w:val="center"/>
              <w:rPr>
                <w:rFonts w:hint="default" w:ascii="Times New Roman" w:hAnsi="Times New Roman" w:eastAsia="宋体" w:cs="Times New Roman"/>
                <w:i w:val="0"/>
                <w:iCs w:val="0"/>
                <w:color w:val="auto"/>
                <w:sz w:val="18"/>
                <w:szCs w:val="18"/>
                <w:highlight w:val="none"/>
                <w:u w:val="none"/>
              </w:rPr>
            </w:pPr>
            <w:r>
              <w:rPr>
                <w:rFonts w:hint="default" w:ascii="Times New Roman" w:hAnsi="Times New Roman" w:eastAsia="宋体" w:cs="Times New Roman"/>
                <w:i w:val="0"/>
                <w:iCs w:val="0"/>
                <w:color w:val="auto"/>
                <w:kern w:val="0"/>
                <w:sz w:val="18"/>
                <w:szCs w:val="18"/>
                <w:highlight w:val="none"/>
                <w:u w:val="none"/>
                <w:lang w:val="en-US" w:eastAsia="zh-CN" w:bidi="ar"/>
              </w:rPr>
              <w:t>100.0000</w:t>
            </w:r>
          </w:p>
        </w:tc>
      </w:tr>
      <w:tr w14:paraId="454520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432" w:type="pct"/>
            <w:gridSpan w:val="2"/>
            <w:tcBorders>
              <w:top w:val="single" w:color="000000" w:sz="4" w:space="0"/>
              <w:left w:val="single" w:color="000000" w:sz="4" w:space="0"/>
              <w:bottom w:val="single" w:color="000000" w:sz="4" w:space="0"/>
              <w:right w:val="single" w:color="000000" w:sz="4" w:space="0"/>
            </w:tcBorders>
            <w:noWrap/>
            <w:vAlign w:val="center"/>
          </w:tcPr>
          <w:p w14:paraId="7ABF36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平均分子量kg/kmol</w:t>
            </w:r>
          </w:p>
        </w:tc>
        <w:tc>
          <w:tcPr>
            <w:tcW w:w="1606" w:type="pct"/>
            <w:gridSpan w:val="2"/>
            <w:tcBorders>
              <w:top w:val="single" w:color="000000" w:sz="4" w:space="0"/>
              <w:left w:val="single" w:color="000000" w:sz="4" w:space="0"/>
              <w:bottom w:val="single" w:color="000000" w:sz="4" w:space="0"/>
              <w:right w:val="single" w:color="000000" w:sz="4" w:space="0"/>
            </w:tcBorders>
            <w:noWrap/>
            <w:vAlign w:val="center"/>
          </w:tcPr>
          <w:p w14:paraId="645982C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16.98</w:t>
            </w:r>
          </w:p>
        </w:tc>
        <w:tc>
          <w:tcPr>
            <w:tcW w:w="1960" w:type="pct"/>
            <w:gridSpan w:val="2"/>
            <w:tcBorders>
              <w:top w:val="single" w:color="000000" w:sz="4" w:space="0"/>
              <w:left w:val="single" w:color="000000" w:sz="4" w:space="0"/>
              <w:bottom w:val="single" w:color="000000" w:sz="4" w:space="0"/>
              <w:right w:val="single" w:color="000000" w:sz="4" w:space="0"/>
            </w:tcBorders>
            <w:noWrap/>
            <w:vAlign w:val="center"/>
          </w:tcPr>
          <w:p w14:paraId="77754D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24.16</w:t>
            </w:r>
          </w:p>
        </w:tc>
      </w:tr>
      <w:tr w14:paraId="10AB79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6"/>
            <w:tcBorders>
              <w:top w:val="single" w:color="000000" w:sz="4" w:space="0"/>
              <w:left w:val="single" w:color="000000" w:sz="4" w:space="0"/>
              <w:bottom w:val="single" w:color="000000" w:sz="4" w:space="0"/>
              <w:right w:val="single" w:color="000000" w:sz="4" w:space="0"/>
            </w:tcBorders>
            <w:noWrap/>
            <w:vAlign w:val="center"/>
          </w:tcPr>
          <w:p w14:paraId="584B86D6">
            <w:pPr>
              <w:keepNext w:val="0"/>
              <w:keepLines w:val="0"/>
              <w:widowControl/>
              <w:suppressLineNumbers w:val="0"/>
              <w:jc w:val="both"/>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eastAsia="宋体" w:cs="Times New Roman"/>
                <w:i w:val="0"/>
                <w:iCs w:val="0"/>
                <w:color w:val="auto"/>
                <w:kern w:val="0"/>
                <w:sz w:val="18"/>
                <w:szCs w:val="18"/>
                <w:highlight w:val="none"/>
                <w:u w:val="none"/>
                <w:lang w:val="en-US" w:eastAsia="zh-CN" w:bidi="ar"/>
              </w:rPr>
              <w:t>注：使用生物质沼气中C、H化合物含量</w:t>
            </w:r>
            <w:r>
              <w:rPr>
                <w:rFonts w:hint="default" w:ascii="Times New Roman" w:hAnsi="Times New Roman" w:eastAsia="宋体" w:cs="Times New Roman"/>
                <w:i w:val="0"/>
                <w:iCs w:val="0"/>
                <w:color w:val="auto"/>
                <w:kern w:val="0"/>
                <w:sz w:val="18"/>
                <w:szCs w:val="18"/>
                <w:highlight w:val="none"/>
                <w:u w:val="none"/>
                <w:lang w:val="en-US" w:eastAsia="zh-CN" w:bidi="ar"/>
              </w:rPr>
              <w:t>≥</w:t>
            </w:r>
            <w:r>
              <w:rPr>
                <w:rFonts w:hint="eastAsia" w:ascii="Times New Roman" w:hAnsi="Times New Roman" w:eastAsia="宋体" w:cs="Times New Roman"/>
                <w:i w:val="0"/>
                <w:iCs w:val="0"/>
                <w:color w:val="auto"/>
                <w:kern w:val="0"/>
                <w:sz w:val="18"/>
                <w:szCs w:val="18"/>
                <w:highlight w:val="none"/>
                <w:u w:val="none"/>
                <w:lang w:val="en-US" w:eastAsia="zh-CN" w:bidi="ar"/>
              </w:rPr>
              <w:t>98%</w:t>
            </w:r>
          </w:p>
        </w:tc>
      </w:tr>
    </w:tbl>
    <w:p w14:paraId="4431E4FC">
      <w:pPr>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kern w:val="2"/>
          <w:sz w:val="24"/>
          <w:szCs w:val="24"/>
          <w:highlight w:val="none"/>
          <w:lang w:val="en-US" w:eastAsia="zh-CN" w:bidi="ar-SA"/>
        </w:rPr>
        <w:t>-</w:t>
      </w:r>
      <w:r>
        <w:rPr>
          <w:rFonts w:hint="eastAsia" w:cs="Times New Roman"/>
          <w:b/>
          <w:bCs/>
          <w:color w:val="auto"/>
          <w:kern w:val="2"/>
          <w:sz w:val="24"/>
          <w:szCs w:val="24"/>
          <w:highlight w:val="none"/>
          <w:lang w:val="en-US" w:eastAsia="zh-CN" w:bidi="ar-SA"/>
        </w:rPr>
        <w:t>2</w:t>
      </w:r>
      <w:r>
        <w:rPr>
          <w:rFonts w:hint="eastAsia" w:ascii="Times New Roman" w:hAnsi="Times New Roman" w:eastAsia="宋体" w:cs="Times New Roman"/>
          <w:b/>
          <w:bCs/>
          <w:color w:val="auto"/>
          <w:kern w:val="2"/>
          <w:sz w:val="24"/>
          <w:szCs w:val="24"/>
          <w:highlight w:val="none"/>
          <w:lang w:val="en-US" w:eastAsia="zh-CN" w:bidi="ar-SA"/>
        </w:rPr>
        <w:t xml:space="preserve">  单套沼气制氢工艺物料平衡一览表（kg/h）</w:t>
      </w:r>
    </w:p>
    <w:tbl>
      <w:tblPr>
        <w:tblStyle w:val="5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1"/>
        <w:gridCol w:w="1616"/>
        <w:gridCol w:w="1370"/>
        <w:gridCol w:w="1851"/>
        <w:gridCol w:w="2221"/>
      </w:tblGrid>
      <w:tr w14:paraId="63615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7ADC3E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序号</w:t>
            </w:r>
          </w:p>
        </w:tc>
        <w:tc>
          <w:tcPr>
            <w:tcW w:w="1752" w:type="pct"/>
            <w:gridSpan w:val="2"/>
            <w:noWrap w:val="0"/>
            <w:vAlign w:val="center"/>
          </w:tcPr>
          <w:p w14:paraId="24B839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入方</w:t>
            </w:r>
          </w:p>
        </w:tc>
        <w:tc>
          <w:tcPr>
            <w:tcW w:w="2389" w:type="pct"/>
            <w:gridSpan w:val="2"/>
            <w:noWrap w:val="0"/>
            <w:vAlign w:val="center"/>
          </w:tcPr>
          <w:p w14:paraId="3918437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出方</w:t>
            </w:r>
          </w:p>
        </w:tc>
      </w:tr>
      <w:tr w14:paraId="6135E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1175F5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w:t>
            </w:r>
          </w:p>
        </w:tc>
        <w:tc>
          <w:tcPr>
            <w:tcW w:w="1616" w:type="dxa"/>
            <w:noWrap w:val="0"/>
            <w:vAlign w:val="center"/>
          </w:tcPr>
          <w:p w14:paraId="653ECF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沼气</w:t>
            </w:r>
          </w:p>
        </w:tc>
        <w:tc>
          <w:tcPr>
            <w:tcW w:w="1370" w:type="dxa"/>
            <w:noWrap w:val="0"/>
            <w:vAlign w:val="center"/>
          </w:tcPr>
          <w:p w14:paraId="66AE2C7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218.13</w:t>
            </w:r>
          </w:p>
        </w:tc>
        <w:tc>
          <w:tcPr>
            <w:tcW w:w="1086" w:type="pct"/>
            <w:noWrap w:val="0"/>
            <w:vAlign w:val="center"/>
          </w:tcPr>
          <w:p w14:paraId="1DAD22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产品氢气</w:t>
            </w:r>
          </w:p>
        </w:tc>
        <w:tc>
          <w:tcPr>
            <w:tcW w:w="1303" w:type="pct"/>
            <w:noWrap w:val="0"/>
            <w:vAlign w:val="center"/>
          </w:tcPr>
          <w:p w14:paraId="2AB228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44.95</w:t>
            </w:r>
          </w:p>
        </w:tc>
      </w:tr>
      <w:tr w14:paraId="5FB9B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607D47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w:t>
            </w:r>
          </w:p>
        </w:tc>
        <w:tc>
          <w:tcPr>
            <w:tcW w:w="1616" w:type="dxa"/>
            <w:noWrap w:val="0"/>
            <w:vAlign w:val="center"/>
          </w:tcPr>
          <w:p w14:paraId="362C39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新鲜水</w:t>
            </w:r>
          </w:p>
        </w:tc>
        <w:tc>
          <w:tcPr>
            <w:tcW w:w="1370" w:type="dxa"/>
            <w:noWrap w:val="0"/>
            <w:vAlign w:val="center"/>
          </w:tcPr>
          <w:p w14:paraId="4665D80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320.16</w:t>
            </w:r>
          </w:p>
        </w:tc>
        <w:tc>
          <w:tcPr>
            <w:tcW w:w="1086" w:type="pct"/>
            <w:noWrap w:val="0"/>
            <w:vAlign w:val="center"/>
          </w:tcPr>
          <w:p w14:paraId="0DF9A1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冷凝水</w:t>
            </w:r>
          </w:p>
        </w:tc>
        <w:tc>
          <w:tcPr>
            <w:tcW w:w="1303" w:type="pct"/>
            <w:noWrap w:val="0"/>
            <w:vAlign w:val="center"/>
          </w:tcPr>
          <w:p w14:paraId="3D6088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266.68</w:t>
            </w:r>
          </w:p>
        </w:tc>
      </w:tr>
      <w:tr w14:paraId="569B5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600A0E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w:t>
            </w:r>
          </w:p>
        </w:tc>
        <w:tc>
          <w:tcPr>
            <w:tcW w:w="1616" w:type="dxa"/>
            <w:noWrap w:val="0"/>
            <w:vAlign w:val="center"/>
          </w:tcPr>
          <w:p w14:paraId="614F44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蒸汽冷凝水</w:t>
            </w:r>
          </w:p>
        </w:tc>
        <w:tc>
          <w:tcPr>
            <w:tcW w:w="1370" w:type="dxa"/>
            <w:noWrap w:val="0"/>
            <w:vAlign w:val="center"/>
          </w:tcPr>
          <w:p w14:paraId="5EC882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266.68</w:t>
            </w:r>
          </w:p>
        </w:tc>
        <w:tc>
          <w:tcPr>
            <w:tcW w:w="1086" w:type="pct"/>
            <w:noWrap w:val="0"/>
            <w:vAlign w:val="center"/>
          </w:tcPr>
          <w:p w14:paraId="6EE76ED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除氧废气</w:t>
            </w:r>
          </w:p>
        </w:tc>
        <w:tc>
          <w:tcPr>
            <w:tcW w:w="1303" w:type="pct"/>
            <w:noWrap w:val="0"/>
            <w:vAlign w:val="center"/>
          </w:tcPr>
          <w:p w14:paraId="0D6427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0.4</w:t>
            </w:r>
          </w:p>
        </w:tc>
      </w:tr>
      <w:tr w14:paraId="1272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7E7942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w:t>
            </w:r>
          </w:p>
        </w:tc>
        <w:tc>
          <w:tcPr>
            <w:tcW w:w="1616" w:type="dxa"/>
            <w:noWrap w:val="0"/>
            <w:vAlign w:val="center"/>
          </w:tcPr>
          <w:p w14:paraId="018329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蒸发器回用水</w:t>
            </w:r>
          </w:p>
        </w:tc>
        <w:tc>
          <w:tcPr>
            <w:tcW w:w="1370" w:type="dxa"/>
            <w:noWrap w:val="0"/>
            <w:vAlign w:val="center"/>
          </w:tcPr>
          <w:p w14:paraId="06BB88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94</w:t>
            </w:r>
          </w:p>
        </w:tc>
        <w:tc>
          <w:tcPr>
            <w:tcW w:w="1086" w:type="pct"/>
            <w:noWrap w:val="0"/>
            <w:vAlign w:val="center"/>
          </w:tcPr>
          <w:p w14:paraId="2F8E34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脱硫剂去除硫量</w:t>
            </w:r>
          </w:p>
        </w:tc>
        <w:tc>
          <w:tcPr>
            <w:tcW w:w="1303" w:type="pct"/>
            <w:noWrap w:val="0"/>
            <w:vAlign w:val="center"/>
          </w:tcPr>
          <w:p w14:paraId="5FD1B5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0.003</w:t>
            </w:r>
          </w:p>
        </w:tc>
      </w:tr>
      <w:tr w14:paraId="2DA34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24930BB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5</w:t>
            </w:r>
          </w:p>
        </w:tc>
        <w:tc>
          <w:tcPr>
            <w:tcW w:w="948" w:type="pct"/>
            <w:noWrap w:val="0"/>
            <w:vAlign w:val="center"/>
          </w:tcPr>
          <w:p w14:paraId="7A90975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804" w:type="pct"/>
            <w:noWrap w:val="0"/>
            <w:vAlign w:val="center"/>
          </w:tcPr>
          <w:p w14:paraId="510E186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1086" w:type="pct"/>
            <w:noWrap w:val="0"/>
            <w:vAlign w:val="center"/>
          </w:tcPr>
          <w:p w14:paraId="15AFB37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解吸气</w:t>
            </w:r>
          </w:p>
        </w:tc>
        <w:tc>
          <w:tcPr>
            <w:tcW w:w="1303" w:type="pct"/>
            <w:noWrap w:val="0"/>
            <w:vAlign w:val="center"/>
          </w:tcPr>
          <w:p w14:paraId="1B82E0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412.9</w:t>
            </w:r>
          </w:p>
        </w:tc>
      </w:tr>
      <w:tr w14:paraId="1D923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70674B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w:t>
            </w:r>
          </w:p>
        </w:tc>
        <w:tc>
          <w:tcPr>
            <w:tcW w:w="948" w:type="pct"/>
            <w:noWrap w:val="0"/>
            <w:vAlign w:val="center"/>
          </w:tcPr>
          <w:p w14:paraId="3AA3D9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804" w:type="pct"/>
            <w:noWrap w:val="0"/>
            <w:vAlign w:val="center"/>
          </w:tcPr>
          <w:p w14:paraId="01CB19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bidi="ar"/>
              </w:rPr>
            </w:pPr>
          </w:p>
        </w:tc>
        <w:tc>
          <w:tcPr>
            <w:tcW w:w="1086" w:type="pct"/>
            <w:noWrap w:val="0"/>
            <w:vAlign w:val="center"/>
          </w:tcPr>
          <w:p w14:paraId="224912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余量蒸汽</w:t>
            </w:r>
          </w:p>
        </w:tc>
        <w:tc>
          <w:tcPr>
            <w:tcW w:w="1303" w:type="pct"/>
            <w:noWrap w:val="0"/>
            <w:vAlign w:val="center"/>
          </w:tcPr>
          <w:p w14:paraId="35278A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94</w:t>
            </w:r>
          </w:p>
        </w:tc>
      </w:tr>
      <w:tr w14:paraId="27EBA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66892CC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p>
        </w:tc>
        <w:tc>
          <w:tcPr>
            <w:tcW w:w="948" w:type="pct"/>
            <w:noWrap w:val="0"/>
            <w:vAlign w:val="center"/>
          </w:tcPr>
          <w:p w14:paraId="3854F2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804" w:type="pct"/>
            <w:noWrap w:val="0"/>
            <w:vAlign w:val="center"/>
          </w:tcPr>
          <w:p w14:paraId="217731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bidi="ar"/>
              </w:rPr>
            </w:pPr>
          </w:p>
        </w:tc>
        <w:tc>
          <w:tcPr>
            <w:tcW w:w="1086" w:type="pct"/>
            <w:noWrap w:val="0"/>
            <w:vAlign w:val="center"/>
          </w:tcPr>
          <w:p w14:paraId="2D2B5B9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浓水</w:t>
            </w:r>
          </w:p>
        </w:tc>
        <w:tc>
          <w:tcPr>
            <w:tcW w:w="1303" w:type="pct"/>
            <w:noWrap w:val="0"/>
            <w:vAlign w:val="center"/>
          </w:tcPr>
          <w:p w14:paraId="6B599A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80.04</w:t>
            </w:r>
          </w:p>
        </w:tc>
      </w:tr>
      <w:tr w14:paraId="4D15A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77C5B1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合计</w:t>
            </w:r>
          </w:p>
        </w:tc>
        <w:tc>
          <w:tcPr>
            <w:tcW w:w="948" w:type="pct"/>
            <w:noWrap w:val="0"/>
            <w:vAlign w:val="center"/>
          </w:tcPr>
          <w:p w14:paraId="1861A2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804" w:type="pct"/>
            <w:noWrap w:val="0"/>
            <w:vAlign w:val="center"/>
          </w:tcPr>
          <w:p w14:paraId="3AB5F6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898.973</w:t>
            </w:r>
          </w:p>
        </w:tc>
        <w:tc>
          <w:tcPr>
            <w:tcW w:w="1086" w:type="pct"/>
            <w:noWrap w:val="0"/>
            <w:vAlign w:val="center"/>
          </w:tcPr>
          <w:p w14:paraId="5E8DD6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bidi="ar"/>
              </w:rPr>
            </w:pPr>
          </w:p>
        </w:tc>
        <w:tc>
          <w:tcPr>
            <w:tcW w:w="1303" w:type="pct"/>
            <w:noWrap w:val="0"/>
            <w:vAlign w:val="center"/>
          </w:tcPr>
          <w:p w14:paraId="45B3A9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898.973</w:t>
            </w:r>
          </w:p>
        </w:tc>
      </w:tr>
    </w:tbl>
    <w:p w14:paraId="38C4BE6E">
      <w:pPr>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4"/>
          <w:szCs w:val="24"/>
          <w:highlight w:val="none"/>
          <w:lang w:val="en-US" w:eastAsia="zh-CN" w:bidi="ar-SA"/>
        </w:rPr>
      </w:pPr>
      <w:r>
        <w:rPr>
          <w:color w:val="auto"/>
          <w:sz w:val="24"/>
          <w:highlight w:val="none"/>
        </w:rPr>
        <mc:AlternateContent>
          <mc:Choice Requires="wpg">
            <w:drawing>
              <wp:inline distT="0" distB="0" distL="114300" distR="114300">
                <wp:extent cx="5325745" cy="2667000"/>
                <wp:effectExtent l="0" t="0" r="0" b="0"/>
                <wp:docPr id="531" name="组合 893"/>
                <wp:cNvGraphicFramePr/>
                <a:graphic xmlns:a="http://schemas.openxmlformats.org/drawingml/2006/main">
                  <a:graphicData uri="http://schemas.microsoft.com/office/word/2010/wordprocessingGroup">
                    <wpg:wgp>
                      <wpg:cNvGrpSpPr/>
                      <wpg:grpSpPr>
                        <a:xfrm>
                          <a:off x="0" y="0"/>
                          <a:ext cx="5325745" cy="2667000"/>
                          <a:chOff x="6950" y="1532812"/>
                          <a:chExt cx="8387" cy="4200"/>
                        </a:xfrm>
                      </wpg:grpSpPr>
                      <wps:wsp>
                        <wps:cNvPr id="490" name="矩形 939"/>
                        <wps:cNvSpPr/>
                        <wps:spPr>
                          <a:xfrm>
                            <a:off x="11093" y="1533782"/>
                            <a:ext cx="762" cy="380"/>
                          </a:xfrm>
                          <a:prstGeom prst="rect">
                            <a:avLst/>
                          </a:prstGeom>
                          <a:noFill/>
                          <a:ln>
                            <a:noFill/>
                          </a:ln>
                        </wps:spPr>
                        <wps:txbx>
                          <w:txbxContent>
                            <w:p w14:paraId="27150E15">
                              <w:pPr>
                                <w:rPr>
                                  <w:rFonts w:hint="default" w:eastAsia="宋体"/>
                                  <w:lang w:val="en-US" w:eastAsia="zh-CN"/>
                                </w:rPr>
                              </w:pPr>
                              <w:r>
                                <w:rPr>
                                  <w:rFonts w:hint="eastAsia"/>
                                  <w:lang w:val="en-US" w:eastAsia="zh-CN"/>
                                </w:rPr>
                                <w:t>506.4</w:t>
                              </w:r>
                            </w:p>
                          </w:txbxContent>
                        </wps:txbx>
                        <wps:bodyPr vert="horz" wrap="square" lIns="0" tIns="0" rIns="0" bIns="0" anchor="t" anchorCtr="0" upright="1"/>
                      </wps:wsp>
                      <wps:wsp>
                        <wps:cNvPr id="491" name="矩形 879"/>
                        <wps:cNvSpPr/>
                        <wps:spPr>
                          <a:xfrm>
                            <a:off x="7559" y="1536604"/>
                            <a:ext cx="1353" cy="409"/>
                          </a:xfrm>
                          <a:prstGeom prst="rect">
                            <a:avLst/>
                          </a:prstGeom>
                          <a:noFill/>
                          <a:ln>
                            <a:noFill/>
                          </a:ln>
                        </wps:spPr>
                        <wps:txbx>
                          <w:txbxContent>
                            <w:p w14:paraId="7AB12601">
                              <w:pPr>
                                <w:rPr>
                                  <w:rFonts w:hint="default" w:eastAsia="宋体"/>
                                  <w:lang w:val="en-US" w:eastAsia="zh-CN"/>
                                </w:rPr>
                              </w:pPr>
                              <w:r>
                                <w:rPr>
                                  <w:rFonts w:hint="eastAsia"/>
                                  <w:lang w:val="en-US" w:eastAsia="zh-CN"/>
                                </w:rPr>
                                <w:t>新鲜水320.16</w:t>
                              </w:r>
                            </w:p>
                          </w:txbxContent>
                        </wps:txbx>
                        <wps:bodyPr vert="horz" wrap="square" lIns="0" tIns="0" rIns="0" bIns="0" anchor="t" anchorCtr="0" upright="1"/>
                      </wps:wsp>
                      <wps:wsp>
                        <wps:cNvPr id="492" name="直线 81"/>
                        <wps:cNvCnPr/>
                        <wps:spPr>
                          <a:xfrm flipH="1">
                            <a:off x="12412" y="1534284"/>
                            <a:ext cx="4" cy="520"/>
                          </a:xfrm>
                          <a:prstGeom prst="line">
                            <a:avLst/>
                          </a:prstGeom>
                          <a:ln w="9525" cap="flat" cmpd="sng">
                            <a:solidFill>
                              <a:srgbClr val="000000"/>
                            </a:solidFill>
                            <a:prstDash val="solid"/>
                            <a:headEnd type="none" w="med" len="med"/>
                            <a:tailEnd type="triangle" w="med" len="med"/>
                          </a:ln>
                        </wps:spPr>
                        <wps:bodyPr upright="1"/>
                      </wps:wsp>
                      <wps:wsp>
                        <wps:cNvPr id="493" name="矩形 803"/>
                        <wps:cNvSpPr/>
                        <wps:spPr>
                          <a:xfrm>
                            <a:off x="7703" y="1533891"/>
                            <a:ext cx="1042" cy="450"/>
                          </a:xfrm>
                          <a:prstGeom prst="rect">
                            <a:avLst/>
                          </a:prstGeom>
                          <a:noFill/>
                          <a:ln w="9525" cap="flat" cmpd="sng">
                            <a:solidFill>
                              <a:srgbClr val="000000"/>
                            </a:solidFill>
                            <a:prstDash val="solid"/>
                            <a:miter/>
                            <a:headEnd type="none" w="med" len="med"/>
                            <a:tailEnd type="none" w="med" len="med"/>
                          </a:ln>
                        </wps:spPr>
                        <wps:txbx>
                          <w:txbxContent>
                            <w:p w14:paraId="14647399">
                              <w:pPr>
                                <w:jc w:val="center"/>
                              </w:pPr>
                              <w:r>
                                <w:rPr>
                                  <w:rFonts w:hint="eastAsia"/>
                                  <w:lang w:val="en-US" w:eastAsia="zh-CN"/>
                                </w:rPr>
                                <w:t>脱盐水</w:t>
                              </w:r>
                            </w:p>
                          </w:txbxContent>
                        </wps:txbx>
                        <wps:bodyPr vert="horz" wrap="square" anchor="t" anchorCtr="0" upright="1"/>
                      </wps:wsp>
                      <wps:wsp>
                        <wps:cNvPr id="494" name="直线 125"/>
                        <wps:cNvCnPr/>
                        <wps:spPr>
                          <a:xfrm>
                            <a:off x="10182" y="1533139"/>
                            <a:ext cx="7" cy="761"/>
                          </a:xfrm>
                          <a:prstGeom prst="line">
                            <a:avLst/>
                          </a:prstGeom>
                          <a:ln w="9525" cap="flat" cmpd="sng">
                            <a:solidFill>
                              <a:srgbClr val="000000"/>
                            </a:solidFill>
                            <a:prstDash val="solid"/>
                            <a:headEnd type="none" w="med" len="med"/>
                            <a:tailEnd type="triangle" w="med" len="med"/>
                          </a:ln>
                        </wps:spPr>
                        <wps:bodyPr upright="1"/>
                      </wps:wsp>
                      <wps:wsp>
                        <wps:cNvPr id="495" name="直线 126"/>
                        <wps:cNvCnPr/>
                        <wps:spPr>
                          <a:xfrm flipH="1" flipV="1">
                            <a:off x="8195" y="1535238"/>
                            <a:ext cx="6" cy="455"/>
                          </a:xfrm>
                          <a:prstGeom prst="line">
                            <a:avLst/>
                          </a:prstGeom>
                          <a:ln w="9525" cap="flat" cmpd="sng">
                            <a:solidFill>
                              <a:srgbClr val="000000"/>
                            </a:solidFill>
                            <a:prstDash val="solid"/>
                            <a:headEnd type="none" w="med" len="med"/>
                            <a:tailEnd type="triangle" w="med" len="med"/>
                          </a:ln>
                        </wps:spPr>
                        <wps:bodyPr upright="1"/>
                      </wps:wsp>
                      <wps:wsp>
                        <wps:cNvPr id="496" name="直线 127"/>
                        <wps:cNvCnPr/>
                        <wps:spPr>
                          <a:xfrm flipH="1" flipV="1">
                            <a:off x="8737" y="1535040"/>
                            <a:ext cx="2956" cy="14"/>
                          </a:xfrm>
                          <a:prstGeom prst="line">
                            <a:avLst/>
                          </a:prstGeom>
                          <a:ln w="9525" cap="flat" cmpd="sng">
                            <a:solidFill>
                              <a:srgbClr val="000000"/>
                            </a:solidFill>
                            <a:prstDash val="solid"/>
                            <a:headEnd type="none" w="med" len="med"/>
                            <a:tailEnd type="triangle" w="med" len="med"/>
                          </a:ln>
                        </wps:spPr>
                        <wps:bodyPr upright="1"/>
                      </wps:wsp>
                      <wps:wsp>
                        <wps:cNvPr id="497" name="矩形 875"/>
                        <wps:cNvSpPr/>
                        <wps:spPr>
                          <a:xfrm>
                            <a:off x="9391" y="1532812"/>
                            <a:ext cx="600" cy="470"/>
                          </a:xfrm>
                          <a:prstGeom prst="rect">
                            <a:avLst/>
                          </a:prstGeom>
                          <a:noFill/>
                          <a:ln>
                            <a:noFill/>
                          </a:ln>
                        </wps:spPr>
                        <wps:txbx>
                          <w:txbxContent>
                            <w:p w14:paraId="7B356B1E">
                              <w:pPr>
                                <w:rPr>
                                  <w:rFonts w:hint="default" w:eastAsia="宋体"/>
                                  <w:lang w:val="en-US" w:eastAsia="zh-CN"/>
                                </w:rPr>
                              </w:pPr>
                              <w:r>
                                <w:rPr>
                                  <w:rFonts w:hint="eastAsia" w:eastAsia="宋体"/>
                                  <w:lang w:val="en-US" w:eastAsia="zh-CN"/>
                                </w:rPr>
                                <w:t>506.4</w:t>
                              </w:r>
                            </w:p>
                          </w:txbxContent>
                        </wps:txbx>
                        <wps:bodyPr vert="horz" wrap="square" lIns="0" tIns="0" rIns="0" bIns="0" anchor="t" anchorCtr="0" upright="1"/>
                      </wps:wsp>
                      <wps:wsp>
                        <wps:cNvPr id="498" name="矩形 803"/>
                        <wps:cNvSpPr/>
                        <wps:spPr>
                          <a:xfrm>
                            <a:off x="7624" y="1535708"/>
                            <a:ext cx="1153" cy="450"/>
                          </a:xfrm>
                          <a:prstGeom prst="rect">
                            <a:avLst/>
                          </a:prstGeom>
                          <a:noFill/>
                          <a:ln w="9525" cap="flat" cmpd="sng">
                            <a:solidFill>
                              <a:srgbClr val="000000"/>
                            </a:solidFill>
                            <a:prstDash val="solid"/>
                            <a:miter/>
                            <a:headEnd type="none" w="med" len="med"/>
                            <a:tailEnd type="none" w="med" len="med"/>
                          </a:ln>
                        </wps:spPr>
                        <wps:txbx>
                          <w:txbxContent>
                            <w:p w14:paraId="2C94CB5A">
                              <w:pPr>
                                <w:jc w:val="center"/>
                              </w:pPr>
                              <w:r>
                                <w:rPr>
                                  <w:rFonts w:hint="eastAsia"/>
                                  <w:lang w:val="en-US" w:eastAsia="zh-CN"/>
                                </w:rPr>
                                <w:t>脱盐水撬保洁</w:t>
                              </w:r>
                              <w:r>
                                <w:rPr>
                                  <w:rFonts w:hint="eastAsia"/>
                                </w:rPr>
                                <w:t>用水</w:t>
                              </w:r>
                            </w:p>
                          </w:txbxContent>
                        </wps:txbx>
                        <wps:bodyPr vert="horz" wrap="square" anchor="t" anchorCtr="0" upright="1"/>
                      </wps:wsp>
                      <wps:wsp>
                        <wps:cNvPr id="499" name="直线 133"/>
                        <wps:cNvCnPr/>
                        <wps:spPr>
                          <a:xfrm>
                            <a:off x="12375" y="1535271"/>
                            <a:ext cx="7" cy="455"/>
                          </a:xfrm>
                          <a:prstGeom prst="line">
                            <a:avLst/>
                          </a:prstGeom>
                          <a:ln w="9525" cap="flat" cmpd="sng">
                            <a:solidFill>
                              <a:srgbClr val="000000"/>
                            </a:solidFill>
                            <a:prstDash val="solid"/>
                            <a:headEnd type="none" w="med" len="med"/>
                            <a:tailEnd type="triangle" w="med" len="med"/>
                          </a:ln>
                        </wps:spPr>
                        <wps:bodyPr upright="1"/>
                      </wps:wsp>
                      <wps:wsp>
                        <wps:cNvPr id="500" name="矩形 879"/>
                        <wps:cNvSpPr/>
                        <wps:spPr>
                          <a:xfrm>
                            <a:off x="9154" y="1535771"/>
                            <a:ext cx="1369" cy="380"/>
                          </a:xfrm>
                          <a:prstGeom prst="rect">
                            <a:avLst/>
                          </a:prstGeom>
                          <a:noFill/>
                          <a:ln>
                            <a:noFill/>
                          </a:ln>
                        </wps:spPr>
                        <wps:txbx>
                          <w:txbxContent>
                            <w:p w14:paraId="53D77596">
                              <w:pPr>
                                <w:rPr>
                                  <w:rFonts w:hint="default" w:eastAsia="宋体"/>
                                  <w:lang w:val="en-US" w:eastAsia="zh-CN"/>
                                </w:rPr>
                              </w:pPr>
                              <w:r>
                                <w:rPr>
                                  <w:rFonts w:hint="eastAsia"/>
                                  <w:lang w:val="en-US" w:eastAsia="zh-CN"/>
                                </w:rPr>
                                <w:t>浓水80.04</w:t>
                              </w:r>
                            </w:p>
                          </w:txbxContent>
                        </wps:txbx>
                        <wps:bodyPr vert="horz" wrap="square" lIns="0" tIns="0" rIns="0" bIns="0" anchor="t" anchorCtr="0" upright="1"/>
                      </wps:wsp>
                      <wps:wsp>
                        <wps:cNvPr id="501" name="矩形 809"/>
                        <wps:cNvSpPr/>
                        <wps:spPr>
                          <a:xfrm>
                            <a:off x="9402" y="1533902"/>
                            <a:ext cx="1593" cy="433"/>
                          </a:xfrm>
                          <a:prstGeom prst="rect">
                            <a:avLst/>
                          </a:prstGeom>
                          <a:noFill/>
                          <a:ln w="9525" cap="flat" cmpd="sng">
                            <a:solidFill>
                              <a:srgbClr val="000000"/>
                            </a:solidFill>
                            <a:prstDash val="solid"/>
                            <a:miter/>
                            <a:headEnd type="none" w="med" len="med"/>
                            <a:tailEnd type="none" w="med" len="med"/>
                          </a:ln>
                        </wps:spPr>
                        <wps:txbx>
                          <w:txbxContent>
                            <w:p w14:paraId="401DC85E">
                              <w:pPr>
                                <w:rPr>
                                  <w:rFonts w:hint="default"/>
                                  <w:lang w:val="en-US"/>
                                </w:rPr>
                              </w:pPr>
                              <w:r>
                                <w:rPr>
                                  <w:rFonts w:hint="eastAsia"/>
                                  <w:lang w:val="en-US" w:eastAsia="zh-CN"/>
                                </w:rPr>
                                <w:t>制氢反应用汽</w:t>
                              </w:r>
                            </w:p>
                          </w:txbxContent>
                        </wps:txbx>
                        <wps:bodyPr vert="horz" wrap="square" anchor="t" anchorCtr="0" upright="1"/>
                      </wps:wsp>
                      <wps:wsp>
                        <wps:cNvPr id="502" name="直线 142"/>
                        <wps:cNvCnPr/>
                        <wps:spPr>
                          <a:xfrm flipV="1">
                            <a:off x="8773" y="1535927"/>
                            <a:ext cx="361" cy="2"/>
                          </a:xfrm>
                          <a:prstGeom prst="line">
                            <a:avLst/>
                          </a:prstGeom>
                          <a:ln w="9525" cap="flat" cmpd="sng">
                            <a:solidFill>
                              <a:srgbClr val="000000"/>
                            </a:solidFill>
                            <a:prstDash val="solid"/>
                            <a:headEnd type="none" w="med" len="med"/>
                            <a:tailEnd type="triangle" w="med" len="med"/>
                          </a:ln>
                        </wps:spPr>
                        <wps:bodyPr upright="1"/>
                      </wps:wsp>
                      <wps:wsp>
                        <wps:cNvPr id="503" name="直线 146"/>
                        <wps:cNvCnPr/>
                        <wps:spPr>
                          <a:xfrm>
                            <a:off x="13123" y="1533137"/>
                            <a:ext cx="696" cy="5"/>
                          </a:xfrm>
                          <a:prstGeom prst="line">
                            <a:avLst/>
                          </a:prstGeom>
                          <a:ln w="9525" cap="flat" cmpd="sng">
                            <a:solidFill>
                              <a:srgbClr val="000000"/>
                            </a:solidFill>
                            <a:prstDash val="solid"/>
                            <a:headEnd type="none" w="med" len="med"/>
                            <a:tailEnd type="triangle" w="med" len="med"/>
                          </a:ln>
                        </wps:spPr>
                        <wps:bodyPr upright="1"/>
                      </wps:wsp>
                      <wps:wsp>
                        <wps:cNvPr id="504" name="直线 147"/>
                        <wps:cNvCnPr/>
                        <wps:spPr>
                          <a:xfrm flipV="1">
                            <a:off x="11010" y="1534109"/>
                            <a:ext cx="746" cy="12"/>
                          </a:xfrm>
                          <a:prstGeom prst="line">
                            <a:avLst/>
                          </a:prstGeom>
                          <a:ln w="9525" cap="flat" cmpd="sng">
                            <a:solidFill>
                              <a:srgbClr val="000000"/>
                            </a:solidFill>
                            <a:prstDash val="solid"/>
                            <a:headEnd type="none" w="med" len="med"/>
                            <a:tailEnd type="triangle" w="med" len="med"/>
                          </a:ln>
                        </wps:spPr>
                        <wps:bodyPr upright="1"/>
                      </wps:wsp>
                      <wps:wsp>
                        <wps:cNvPr id="505" name="矩形 807"/>
                        <wps:cNvSpPr/>
                        <wps:spPr>
                          <a:xfrm>
                            <a:off x="11767" y="1533872"/>
                            <a:ext cx="1327" cy="433"/>
                          </a:xfrm>
                          <a:prstGeom prst="rect">
                            <a:avLst/>
                          </a:prstGeom>
                          <a:noFill/>
                          <a:ln w="9525" cap="flat" cmpd="sng">
                            <a:solidFill>
                              <a:srgbClr val="000000"/>
                            </a:solidFill>
                            <a:prstDash val="solid"/>
                            <a:miter/>
                            <a:headEnd type="none" w="med" len="med"/>
                            <a:tailEnd type="none" w="med" len="med"/>
                          </a:ln>
                        </wps:spPr>
                        <wps:txbx>
                          <w:txbxContent>
                            <w:p w14:paraId="45592DED">
                              <w:pPr>
                                <w:jc w:val="center"/>
                              </w:pPr>
                              <w:r>
                                <w:rPr>
                                  <w:rFonts w:hint="eastAsia"/>
                                  <w:lang w:val="en-US" w:eastAsia="zh-CN"/>
                                </w:rPr>
                                <w:t>参与反应</w:t>
                              </w:r>
                            </w:p>
                          </w:txbxContent>
                        </wps:txbx>
                        <wps:bodyPr vert="horz" wrap="square" anchor="t" anchorCtr="0" upright="1"/>
                      </wps:wsp>
                      <wps:wsp>
                        <wps:cNvPr id="506" name="矩形 807"/>
                        <wps:cNvSpPr/>
                        <wps:spPr>
                          <a:xfrm>
                            <a:off x="11697" y="1534820"/>
                            <a:ext cx="1518" cy="433"/>
                          </a:xfrm>
                          <a:prstGeom prst="rect">
                            <a:avLst/>
                          </a:prstGeom>
                          <a:noFill/>
                          <a:ln w="9525" cap="flat" cmpd="sng">
                            <a:solidFill>
                              <a:srgbClr val="000000"/>
                            </a:solidFill>
                            <a:prstDash val="solid"/>
                            <a:miter/>
                            <a:headEnd type="none" w="med" len="med"/>
                            <a:tailEnd type="none" w="med" len="med"/>
                          </a:ln>
                        </wps:spPr>
                        <wps:txbx>
                          <w:txbxContent>
                            <w:p w14:paraId="655DEA35">
                              <w:pPr>
                                <w:jc w:val="center"/>
                              </w:pPr>
                              <w:r>
                                <w:rPr>
                                  <w:rFonts w:hint="eastAsia"/>
                                  <w:lang w:val="en-US" w:eastAsia="zh-CN"/>
                                </w:rPr>
                                <w:t>冷凝气水分离参与反应</w:t>
                              </w:r>
                            </w:p>
                          </w:txbxContent>
                        </wps:txbx>
                        <wps:bodyPr vert="horz" wrap="square" anchor="t" anchorCtr="0" upright="1"/>
                      </wps:wsp>
                      <wps:wsp>
                        <wps:cNvPr id="507" name="矩形 807"/>
                        <wps:cNvSpPr/>
                        <wps:spPr>
                          <a:xfrm>
                            <a:off x="7709" y="1534787"/>
                            <a:ext cx="1027" cy="433"/>
                          </a:xfrm>
                          <a:prstGeom prst="rect">
                            <a:avLst/>
                          </a:prstGeom>
                          <a:noFill/>
                          <a:ln w="9525" cap="flat" cmpd="sng">
                            <a:solidFill>
                              <a:srgbClr val="000000"/>
                            </a:solidFill>
                            <a:prstDash val="solid"/>
                            <a:miter/>
                            <a:headEnd type="none" w="med" len="med"/>
                            <a:tailEnd type="none" w="med" len="med"/>
                          </a:ln>
                        </wps:spPr>
                        <wps:txbx>
                          <w:txbxContent>
                            <w:p w14:paraId="2E5375BC">
                              <w:pPr>
                                <w:jc w:val="center"/>
                              </w:pPr>
                              <w:r>
                                <w:rPr>
                                  <w:rFonts w:hint="eastAsia"/>
                                  <w:lang w:val="en-US" w:eastAsia="zh-CN"/>
                                </w:rPr>
                                <w:t>除氧器</w:t>
                              </w:r>
                            </w:p>
                          </w:txbxContent>
                        </wps:txbx>
                        <wps:bodyPr vert="horz" wrap="square" anchor="t" anchorCtr="0" upright="1"/>
                      </wps:wsp>
                      <wps:wsp>
                        <wps:cNvPr id="508" name="直线 153"/>
                        <wps:cNvCnPr/>
                        <wps:spPr>
                          <a:xfrm flipV="1">
                            <a:off x="8942" y="1533125"/>
                            <a:ext cx="1235" cy="7"/>
                          </a:xfrm>
                          <a:prstGeom prst="line">
                            <a:avLst/>
                          </a:prstGeom>
                          <a:ln w="9525" cap="flat" cmpd="sng">
                            <a:solidFill>
                              <a:srgbClr val="000000"/>
                            </a:solidFill>
                            <a:prstDash val="solid"/>
                            <a:headEnd type="none" w="med" len="sm"/>
                            <a:tailEnd type="none" w="med" len="med"/>
                          </a:ln>
                        </wps:spPr>
                        <wps:bodyPr upright="1"/>
                      </wps:wsp>
                      <wps:wsp>
                        <wps:cNvPr id="509" name="直线 285"/>
                        <wps:cNvCnPr/>
                        <wps:spPr>
                          <a:xfrm>
                            <a:off x="13113" y="1534051"/>
                            <a:ext cx="864" cy="14"/>
                          </a:xfrm>
                          <a:prstGeom prst="line">
                            <a:avLst/>
                          </a:prstGeom>
                          <a:ln w="9525" cap="flat" cmpd="sng">
                            <a:solidFill>
                              <a:srgbClr val="000000"/>
                            </a:solidFill>
                            <a:prstDash val="solid"/>
                            <a:headEnd type="none" w="med" len="med"/>
                            <a:tailEnd type="triangle" w="med" len="med"/>
                          </a:ln>
                        </wps:spPr>
                        <wps:bodyPr upright="1"/>
                      </wps:wsp>
                      <wps:wsp>
                        <wps:cNvPr id="510" name="矩形 875"/>
                        <wps:cNvSpPr/>
                        <wps:spPr>
                          <a:xfrm>
                            <a:off x="8786" y="1534278"/>
                            <a:ext cx="600" cy="380"/>
                          </a:xfrm>
                          <a:prstGeom prst="rect">
                            <a:avLst/>
                          </a:prstGeom>
                          <a:noFill/>
                          <a:ln>
                            <a:noFill/>
                          </a:ln>
                        </wps:spPr>
                        <wps:txbx>
                          <w:txbxContent>
                            <w:p w14:paraId="5FCF0004">
                              <w:pPr>
                                <w:rPr>
                                  <w:rFonts w:hint="default" w:eastAsia="宋体"/>
                                  <w:lang w:val="en-US" w:eastAsia="zh-CN"/>
                                </w:rPr>
                              </w:pPr>
                              <w:r>
                                <w:rPr>
                                  <w:rFonts w:hint="eastAsia" w:eastAsia="宋体"/>
                                  <w:lang w:val="en-US" w:eastAsia="zh-CN"/>
                                </w:rPr>
                                <w:t>0.4</w:t>
                              </w:r>
                            </w:p>
                          </w:txbxContent>
                        </wps:txbx>
                        <wps:bodyPr vert="horz" wrap="square" lIns="0" tIns="0" rIns="0" bIns="0" anchor="t" anchorCtr="0" upright="1"/>
                      </wps:wsp>
                      <wps:wsp>
                        <wps:cNvPr id="511" name="矩形 939"/>
                        <wps:cNvSpPr/>
                        <wps:spPr>
                          <a:xfrm>
                            <a:off x="9383" y="1534675"/>
                            <a:ext cx="762" cy="380"/>
                          </a:xfrm>
                          <a:prstGeom prst="rect">
                            <a:avLst/>
                          </a:prstGeom>
                          <a:noFill/>
                          <a:ln>
                            <a:noFill/>
                          </a:ln>
                        </wps:spPr>
                        <wps:txbx>
                          <w:txbxContent>
                            <w:p w14:paraId="372CE83A">
                              <w:pPr>
                                <w:rPr>
                                  <w:rFonts w:hint="default" w:eastAsia="宋体"/>
                                  <w:lang w:val="en-US" w:eastAsia="zh-CN"/>
                                </w:rPr>
                              </w:pPr>
                              <w:r>
                                <w:rPr>
                                  <w:rFonts w:hint="eastAsia"/>
                                  <w:lang w:val="en-US" w:eastAsia="zh-CN"/>
                                </w:rPr>
                                <w:t>266.68</w:t>
                              </w:r>
                            </w:p>
                          </w:txbxContent>
                        </wps:txbx>
                        <wps:bodyPr vert="horz" wrap="square" lIns="0" tIns="0" rIns="0" bIns="0" anchor="t" anchorCtr="0" upright="1"/>
                      </wps:wsp>
                      <wps:wsp>
                        <wps:cNvPr id="512" name="矩形 939"/>
                        <wps:cNvSpPr/>
                        <wps:spPr>
                          <a:xfrm>
                            <a:off x="13812" y="1532965"/>
                            <a:ext cx="762" cy="380"/>
                          </a:xfrm>
                          <a:prstGeom prst="rect">
                            <a:avLst/>
                          </a:prstGeom>
                          <a:noFill/>
                          <a:ln>
                            <a:noFill/>
                          </a:ln>
                        </wps:spPr>
                        <wps:txbx>
                          <w:txbxContent>
                            <w:p w14:paraId="68334420">
                              <w:pPr>
                                <w:rPr>
                                  <w:rFonts w:hint="default" w:eastAsia="宋体"/>
                                  <w:lang w:val="en-US" w:eastAsia="zh-CN"/>
                                </w:rPr>
                              </w:pPr>
                              <w:r>
                                <w:rPr>
                                  <w:rFonts w:hint="eastAsia"/>
                                  <w:lang w:val="en-US" w:eastAsia="zh-CN"/>
                                </w:rPr>
                                <w:t>0.003</w:t>
                              </w:r>
                            </w:p>
                          </w:txbxContent>
                        </wps:txbx>
                        <wps:bodyPr vert="horz" wrap="square" lIns="0" tIns="0" rIns="0" bIns="0" anchor="t" anchorCtr="0" upright="1"/>
                      </wps:wsp>
                      <wps:wsp>
                        <wps:cNvPr id="513" name="直线 293"/>
                        <wps:cNvCnPr/>
                        <wps:spPr>
                          <a:xfrm flipH="1">
                            <a:off x="12427" y="1533384"/>
                            <a:ext cx="4" cy="475"/>
                          </a:xfrm>
                          <a:prstGeom prst="line">
                            <a:avLst/>
                          </a:prstGeom>
                          <a:ln w="9525" cap="flat" cmpd="sng">
                            <a:solidFill>
                              <a:srgbClr val="000000"/>
                            </a:solidFill>
                            <a:prstDash val="solid"/>
                            <a:headEnd type="none" w="med" len="med"/>
                            <a:tailEnd type="triangle" w="med" len="med"/>
                          </a:ln>
                        </wps:spPr>
                        <wps:bodyPr upright="1"/>
                      </wps:wsp>
                      <wps:wsp>
                        <wps:cNvPr id="514" name="矩形 807"/>
                        <wps:cNvSpPr/>
                        <wps:spPr>
                          <a:xfrm>
                            <a:off x="11797" y="1532927"/>
                            <a:ext cx="1327" cy="433"/>
                          </a:xfrm>
                          <a:prstGeom prst="rect">
                            <a:avLst/>
                          </a:prstGeom>
                          <a:noFill/>
                          <a:ln w="9525" cap="flat" cmpd="sng">
                            <a:solidFill>
                              <a:srgbClr val="000000"/>
                            </a:solidFill>
                            <a:prstDash val="solid"/>
                            <a:miter/>
                            <a:headEnd type="none" w="med" len="med"/>
                            <a:tailEnd type="none" w="med" len="med"/>
                          </a:ln>
                        </wps:spPr>
                        <wps:txbx>
                          <w:txbxContent>
                            <w:p w14:paraId="29633295">
                              <w:pPr>
                                <w:jc w:val="center"/>
                              </w:pPr>
                              <w:r>
                                <w:rPr>
                                  <w:rFonts w:hint="eastAsia"/>
                                  <w:lang w:val="en-US" w:eastAsia="zh-CN"/>
                                </w:rPr>
                                <w:t>沼气脱硫</w:t>
                              </w:r>
                            </w:p>
                          </w:txbxContent>
                        </wps:txbx>
                        <wps:bodyPr vert="horz" wrap="square" anchor="t" anchorCtr="0" upright="1"/>
                      </wps:wsp>
                      <wps:wsp>
                        <wps:cNvPr id="515" name="矩形 939"/>
                        <wps:cNvSpPr/>
                        <wps:spPr>
                          <a:xfrm>
                            <a:off x="12458" y="1533407"/>
                            <a:ext cx="762" cy="380"/>
                          </a:xfrm>
                          <a:prstGeom prst="rect">
                            <a:avLst/>
                          </a:prstGeom>
                          <a:noFill/>
                          <a:ln>
                            <a:noFill/>
                          </a:ln>
                        </wps:spPr>
                        <wps:txbx>
                          <w:txbxContent>
                            <w:p w14:paraId="0FBACE1A">
                              <w:pPr>
                                <w:rPr>
                                  <w:rFonts w:hint="default" w:eastAsia="宋体"/>
                                  <w:lang w:val="en-US" w:eastAsia="zh-CN"/>
                                </w:rPr>
                              </w:pPr>
                              <w:r>
                                <w:rPr>
                                  <w:rFonts w:hint="eastAsia"/>
                                  <w:lang w:val="en-US" w:eastAsia="zh-CN"/>
                                </w:rPr>
                                <w:t>218.13</w:t>
                              </w:r>
                            </w:p>
                          </w:txbxContent>
                        </wps:txbx>
                        <wps:bodyPr vert="horz" wrap="square" lIns="0" tIns="0" rIns="0" bIns="0" anchor="t" anchorCtr="0" upright="1"/>
                      </wps:wsp>
                      <wps:wsp>
                        <wps:cNvPr id="516" name="矩形 807"/>
                        <wps:cNvSpPr/>
                        <wps:spPr>
                          <a:xfrm>
                            <a:off x="11592" y="1535750"/>
                            <a:ext cx="1518" cy="433"/>
                          </a:xfrm>
                          <a:prstGeom prst="rect">
                            <a:avLst/>
                          </a:prstGeom>
                          <a:noFill/>
                          <a:ln w="9525" cap="flat" cmpd="sng">
                            <a:solidFill>
                              <a:srgbClr val="000000"/>
                            </a:solidFill>
                            <a:prstDash val="solid"/>
                            <a:miter/>
                            <a:headEnd type="none" w="med" len="med"/>
                            <a:tailEnd type="none" w="med" len="med"/>
                          </a:ln>
                        </wps:spPr>
                        <wps:txbx>
                          <w:txbxContent>
                            <w:p w14:paraId="181D9F8E">
                              <w:pPr>
                                <w:jc w:val="center"/>
                                <w:rPr>
                                  <w:rFonts w:hint="default" w:eastAsia="宋体"/>
                                  <w:lang w:val="en-US" w:eastAsia="zh-CN"/>
                                </w:rPr>
                              </w:pPr>
                              <w:r>
                                <w:rPr>
                                  <w:rFonts w:hint="eastAsia"/>
                                  <w:lang w:val="en-US" w:eastAsia="zh-CN"/>
                                </w:rPr>
                                <w:t>产品44.95</w:t>
                              </w:r>
                            </w:p>
                          </w:txbxContent>
                        </wps:txbx>
                        <wps:bodyPr vert="horz" wrap="square" anchor="t" anchorCtr="0" upright="1"/>
                      </wps:wsp>
                      <wps:wsp>
                        <wps:cNvPr id="517" name="直线 298"/>
                        <wps:cNvCnPr/>
                        <wps:spPr>
                          <a:xfrm flipV="1">
                            <a:off x="8201" y="1536156"/>
                            <a:ext cx="10" cy="466"/>
                          </a:xfrm>
                          <a:prstGeom prst="line">
                            <a:avLst/>
                          </a:prstGeom>
                          <a:ln w="9525" cap="flat" cmpd="sng">
                            <a:solidFill>
                              <a:srgbClr val="000000"/>
                            </a:solidFill>
                            <a:prstDash val="solid"/>
                            <a:headEnd type="none" w="med" len="med"/>
                            <a:tailEnd type="triangle" w="med" len="med"/>
                          </a:ln>
                        </wps:spPr>
                        <wps:bodyPr upright="1"/>
                      </wps:wsp>
                      <wps:wsp>
                        <wps:cNvPr id="518" name="直线 299"/>
                        <wps:cNvCnPr/>
                        <wps:spPr>
                          <a:xfrm flipH="1" flipV="1">
                            <a:off x="8210" y="1534350"/>
                            <a:ext cx="6" cy="436"/>
                          </a:xfrm>
                          <a:prstGeom prst="line">
                            <a:avLst/>
                          </a:prstGeom>
                          <a:ln w="9525" cap="flat" cmpd="sng">
                            <a:solidFill>
                              <a:srgbClr val="000000"/>
                            </a:solidFill>
                            <a:prstDash val="solid"/>
                            <a:headEnd type="none" w="med" len="med"/>
                            <a:tailEnd type="triangle" w="med" len="med"/>
                          </a:ln>
                        </wps:spPr>
                        <wps:bodyPr upright="1"/>
                      </wps:wsp>
                      <wps:wsp>
                        <wps:cNvPr id="519" name="自选图形 300"/>
                        <wps:cNvCnPr/>
                        <wps:spPr>
                          <a:xfrm flipV="1">
                            <a:off x="8473" y="1534498"/>
                            <a:ext cx="285" cy="255"/>
                          </a:xfrm>
                          <a:prstGeom prst="curvedConnector3">
                            <a:avLst>
                              <a:gd name="adj1" fmla="val 50176"/>
                            </a:avLst>
                          </a:prstGeom>
                          <a:ln w="9525" cap="flat" cmpd="sng">
                            <a:solidFill>
                              <a:srgbClr val="000000"/>
                            </a:solidFill>
                            <a:prstDash val="dash"/>
                            <a:miter/>
                            <a:headEnd type="arrow" w="med" len="med"/>
                            <a:tailEnd type="arrow" w="med" len="med"/>
                          </a:ln>
                        </wps:spPr>
                        <wps:bodyPr/>
                      </wps:wsp>
                      <wps:wsp>
                        <wps:cNvPr id="520" name="矩形 879"/>
                        <wps:cNvSpPr/>
                        <wps:spPr>
                          <a:xfrm>
                            <a:off x="13969" y="1533896"/>
                            <a:ext cx="1369" cy="380"/>
                          </a:xfrm>
                          <a:prstGeom prst="rect">
                            <a:avLst/>
                          </a:prstGeom>
                          <a:noFill/>
                          <a:ln>
                            <a:noFill/>
                          </a:ln>
                        </wps:spPr>
                        <wps:txbx>
                          <w:txbxContent>
                            <w:p w14:paraId="3F688AAE">
                              <w:pPr>
                                <w:rPr>
                                  <w:rFonts w:hint="default" w:eastAsia="宋体"/>
                                  <w:lang w:val="en-US" w:eastAsia="zh-CN"/>
                                </w:rPr>
                              </w:pPr>
                              <w:r>
                                <w:rPr>
                                  <w:rFonts w:hint="eastAsia"/>
                                  <w:lang w:val="en-US" w:eastAsia="zh-CN"/>
                                </w:rPr>
                                <w:t>解吸气412.9</w:t>
                              </w:r>
                            </w:p>
                          </w:txbxContent>
                        </wps:txbx>
                        <wps:bodyPr vert="horz" wrap="square" lIns="0" tIns="0" rIns="0" bIns="0" anchor="t" anchorCtr="0" upright="1"/>
                      </wps:wsp>
                      <wps:wsp>
                        <wps:cNvPr id="521" name="矩形 875"/>
                        <wps:cNvSpPr/>
                        <wps:spPr>
                          <a:xfrm>
                            <a:off x="8263" y="1535206"/>
                            <a:ext cx="869" cy="470"/>
                          </a:xfrm>
                          <a:prstGeom prst="rect">
                            <a:avLst/>
                          </a:prstGeom>
                          <a:noFill/>
                          <a:ln>
                            <a:noFill/>
                          </a:ln>
                        </wps:spPr>
                        <wps:txbx>
                          <w:txbxContent>
                            <w:p w14:paraId="75D98852">
                              <w:pPr>
                                <w:rPr>
                                  <w:rFonts w:hint="default" w:eastAsia="宋体"/>
                                  <w:lang w:val="en-US" w:eastAsia="zh-CN"/>
                                </w:rPr>
                              </w:pPr>
                              <w:r>
                                <w:rPr>
                                  <w:rFonts w:hint="eastAsia" w:eastAsia="宋体"/>
                                  <w:lang w:val="en-US" w:eastAsia="zh-CN"/>
                                </w:rPr>
                                <w:t>240.12</w:t>
                              </w:r>
                            </w:p>
                          </w:txbxContent>
                        </wps:txbx>
                        <wps:bodyPr vert="horz" wrap="square" lIns="0" tIns="0" rIns="0" bIns="0" anchor="t" anchorCtr="0" upright="1"/>
                      </wps:wsp>
                      <wps:wsp>
                        <wps:cNvPr id="522" name="直线 303"/>
                        <wps:cNvCnPr/>
                        <wps:spPr>
                          <a:xfrm flipH="1" flipV="1">
                            <a:off x="8217" y="1533335"/>
                            <a:ext cx="5" cy="557"/>
                          </a:xfrm>
                          <a:prstGeom prst="line">
                            <a:avLst/>
                          </a:prstGeom>
                          <a:ln w="9525" cap="flat" cmpd="sng">
                            <a:solidFill>
                              <a:srgbClr val="000000"/>
                            </a:solidFill>
                            <a:prstDash val="solid"/>
                            <a:headEnd type="none" w="med" len="med"/>
                            <a:tailEnd type="triangle" w="med" len="med"/>
                          </a:ln>
                        </wps:spPr>
                        <wps:bodyPr upright="1"/>
                      </wps:wsp>
                      <wps:wsp>
                        <wps:cNvPr id="523" name="矩形 809"/>
                        <wps:cNvSpPr/>
                        <wps:spPr>
                          <a:xfrm>
                            <a:off x="7494" y="1532890"/>
                            <a:ext cx="1461" cy="433"/>
                          </a:xfrm>
                          <a:prstGeom prst="rect">
                            <a:avLst/>
                          </a:prstGeom>
                          <a:noFill/>
                          <a:ln w="9525" cap="flat" cmpd="sng">
                            <a:solidFill>
                              <a:srgbClr val="000000"/>
                            </a:solidFill>
                            <a:prstDash val="solid"/>
                            <a:miter/>
                            <a:headEnd type="none" w="med" len="med"/>
                            <a:tailEnd type="none" w="med" len="med"/>
                          </a:ln>
                        </wps:spPr>
                        <wps:txbx>
                          <w:txbxContent>
                            <w:p w14:paraId="2036E6C7">
                              <w:pPr>
                                <w:rPr>
                                  <w:rFonts w:hint="default"/>
                                  <w:lang w:val="en-US"/>
                                </w:rPr>
                              </w:pPr>
                              <w:r>
                                <w:rPr>
                                  <w:rFonts w:hint="eastAsia"/>
                                  <w:lang w:val="en-US" w:eastAsia="zh-CN"/>
                                </w:rPr>
                                <w:t>蒸汽发生器</w:t>
                              </w:r>
                            </w:p>
                          </w:txbxContent>
                        </wps:txbx>
                        <wps:bodyPr vert="horz" wrap="square" anchor="t" anchorCtr="0" upright="1"/>
                      </wps:wsp>
                      <wps:wsp>
                        <wps:cNvPr id="524" name="直线 305"/>
                        <wps:cNvCnPr/>
                        <wps:spPr>
                          <a:xfrm flipV="1">
                            <a:off x="6963" y="1533111"/>
                            <a:ext cx="522" cy="5"/>
                          </a:xfrm>
                          <a:prstGeom prst="line">
                            <a:avLst/>
                          </a:prstGeom>
                          <a:ln w="9525" cap="flat" cmpd="sng">
                            <a:solidFill>
                              <a:srgbClr val="000000"/>
                            </a:solidFill>
                            <a:prstDash val="solid"/>
                            <a:headEnd type="none" w="med" len="sm"/>
                            <a:tailEnd type="none" w="med" len="med"/>
                          </a:ln>
                        </wps:spPr>
                        <wps:bodyPr upright="1"/>
                      </wps:wsp>
                      <wps:wsp>
                        <wps:cNvPr id="525" name="直线 306"/>
                        <wps:cNvCnPr/>
                        <wps:spPr>
                          <a:xfrm flipH="1">
                            <a:off x="6953" y="1533117"/>
                            <a:ext cx="12" cy="1915"/>
                          </a:xfrm>
                          <a:prstGeom prst="line">
                            <a:avLst/>
                          </a:prstGeom>
                          <a:ln w="9525" cap="flat" cmpd="sng">
                            <a:solidFill>
                              <a:srgbClr val="000000"/>
                            </a:solidFill>
                            <a:prstDash val="solid"/>
                            <a:headEnd type="none" w="med" len="sm"/>
                            <a:tailEnd type="none" w="med" len="med"/>
                          </a:ln>
                        </wps:spPr>
                        <wps:bodyPr upright="1"/>
                      </wps:wsp>
                      <wps:wsp>
                        <wps:cNvPr id="526" name="直线 307"/>
                        <wps:cNvCnPr/>
                        <wps:spPr>
                          <a:xfrm flipV="1">
                            <a:off x="6950" y="1535015"/>
                            <a:ext cx="765" cy="12"/>
                          </a:xfrm>
                          <a:prstGeom prst="line">
                            <a:avLst/>
                          </a:prstGeom>
                          <a:ln w="9525" cap="flat" cmpd="sng">
                            <a:solidFill>
                              <a:srgbClr val="000000"/>
                            </a:solidFill>
                            <a:prstDash val="solid"/>
                            <a:headEnd type="none" w="med" len="med"/>
                            <a:tailEnd type="triangle" w="med" len="med"/>
                          </a:ln>
                        </wps:spPr>
                        <wps:bodyPr upright="1"/>
                      </wps:wsp>
                      <wps:wsp>
                        <wps:cNvPr id="527" name="矩形 875"/>
                        <wps:cNvSpPr/>
                        <wps:spPr>
                          <a:xfrm>
                            <a:off x="7028" y="1534770"/>
                            <a:ext cx="600" cy="470"/>
                          </a:xfrm>
                          <a:prstGeom prst="rect">
                            <a:avLst/>
                          </a:prstGeom>
                          <a:noFill/>
                          <a:ln>
                            <a:noFill/>
                          </a:ln>
                        </wps:spPr>
                        <wps:txbx>
                          <w:txbxContent>
                            <w:p w14:paraId="64A830D8">
                              <w:pPr>
                                <w:rPr>
                                  <w:rFonts w:hint="default" w:eastAsia="宋体"/>
                                  <w:lang w:val="en-US" w:eastAsia="zh-CN"/>
                                </w:rPr>
                              </w:pPr>
                              <w:r>
                                <w:rPr>
                                  <w:rFonts w:hint="eastAsia" w:eastAsia="宋体"/>
                                  <w:lang w:val="en-US" w:eastAsia="zh-CN"/>
                                </w:rPr>
                                <w:t>94</w:t>
                              </w:r>
                            </w:p>
                          </w:txbxContent>
                        </wps:txbx>
                        <wps:bodyPr vert="horz" wrap="square" lIns="0" tIns="0" rIns="0" bIns="0" anchor="t" anchorCtr="0" upright="1"/>
                      </wps:wsp>
                      <wps:wsp>
                        <wps:cNvPr id="528" name="矩形 875"/>
                        <wps:cNvSpPr/>
                        <wps:spPr>
                          <a:xfrm>
                            <a:off x="7628" y="1534431"/>
                            <a:ext cx="600" cy="470"/>
                          </a:xfrm>
                          <a:prstGeom prst="rect">
                            <a:avLst/>
                          </a:prstGeom>
                          <a:noFill/>
                          <a:ln>
                            <a:noFill/>
                          </a:ln>
                        </wps:spPr>
                        <wps:txbx>
                          <w:txbxContent>
                            <w:p w14:paraId="4A65DA29">
                              <w:pPr>
                                <w:rPr>
                                  <w:rFonts w:hint="default" w:eastAsia="宋体"/>
                                  <w:lang w:val="en-US" w:eastAsia="zh-CN"/>
                                </w:rPr>
                              </w:pPr>
                              <w:r>
                                <w:rPr>
                                  <w:rFonts w:hint="eastAsia" w:eastAsia="宋体"/>
                                  <w:lang w:val="en-US" w:eastAsia="zh-CN"/>
                                </w:rPr>
                                <w:t>600.4</w:t>
                              </w:r>
                            </w:p>
                          </w:txbxContent>
                        </wps:txbx>
                        <wps:bodyPr vert="horz" wrap="square" lIns="0" tIns="0" rIns="0" bIns="0" anchor="t" anchorCtr="0" upright="1"/>
                      </wps:wsp>
                      <wps:wsp>
                        <wps:cNvPr id="529" name="矩形 875"/>
                        <wps:cNvSpPr/>
                        <wps:spPr>
                          <a:xfrm>
                            <a:off x="8218" y="1533421"/>
                            <a:ext cx="600" cy="316"/>
                          </a:xfrm>
                          <a:prstGeom prst="rect">
                            <a:avLst/>
                          </a:prstGeom>
                          <a:noFill/>
                          <a:ln>
                            <a:noFill/>
                          </a:ln>
                        </wps:spPr>
                        <wps:txbx>
                          <w:txbxContent>
                            <w:p w14:paraId="35BE9069">
                              <w:pPr>
                                <w:rPr>
                                  <w:rFonts w:hint="default" w:eastAsia="宋体"/>
                                  <w:lang w:val="en-US" w:eastAsia="zh-CN"/>
                                </w:rPr>
                              </w:pPr>
                              <w:r>
                                <w:rPr>
                                  <w:rFonts w:hint="eastAsia" w:eastAsia="宋体"/>
                                  <w:lang w:val="en-US" w:eastAsia="zh-CN"/>
                                </w:rPr>
                                <w:t>600.4</w:t>
                              </w:r>
                            </w:p>
                          </w:txbxContent>
                        </wps:txbx>
                        <wps:bodyPr vert="horz" wrap="square" lIns="0" tIns="0" rIns="0" bIns="0" anchor="t" anchorCtr="0" upright="1"/>
                      </wps:wsp>
                      <wps:wsp>
                        <wps:cNvPr id="530" name="矩形 939"/>
                        <wps:cNvSpPr/>
                        <wps:spPr>
                          <a:xfrm>
                            <a:off x="12522" y="1534375"/>
                            <a:ext cx="762" cy="380"/>
                          </a:xfrm>
                          <a:prstGeom prst="rect">
                            <a:avLst/>
                          </a:prstGeom>
                          <a:noFill/>
                          <a:ln>
                            <a:noFill/>
                          </a:ln>
                        </wps:spPr>
                        <wps:txbx>
                          <w:txbxContent>
                            <w:p w14:paraId="3ADF4F2A">
                              <w:pPr>
                                <w:rPr>
                                  <w:rFonts w:hint="default" w:eastAsia="宋体"/>
                                  <w:lang w:val="en-US" w:eastAsia="zh-CN"/>
                                </w:rPr>
                              </w:pPr>
                              <w:r>
                                <w:rPr>
                                  <w:rFonts w:hint="eastAsia"/>
                                  <w:lang w:val="en-US" w:eastAsia="zh-CN"/>
                                </w:rPr>
                                <w:t>311.63</w:t>
                              </w:r>
                            </w:p>
                          </w:txbxContent>
                        </wps:txbx>
                        <wps:bodyPr vert="horz" wrap="square" lIns="0" tIns="0" rIns="0" bIns="0" anchor="t" anchorCtr="0" upright="1"/>
                      </wps:wsp>
                    </wpg:wgp>
                  </a:graphicData>
                </a:graphic>
              </wp:inline>
            </w:drawing>
          </mc:Choice>
          <mc:Fallback>
            <w:pict>
              <v:group id="组合 893" o:spid="_x0000_s1026" o:spt="203" style="height:210pt;width:419.35pt;" coordorigin="6950,1532812" coordsize="8387,4200" o:gfxdata="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">
                <o:lock v:ext="edit" aspectratio="f"/>
                <v:rect id="矩形 939" o:spid="_x0000_s1026" o:spt="1" style="position:absolute;left:11093;top:1533782;height:380;width:762;" filled="f" stroked="f" coordsize="21600,21600" o:gfxdata="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AHdx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27150E15">
                        <w:pPr>
                          <w:rPr>
                            <w:rFonts w:hint="default" w:eastAsia="宋体"/>
                            <w:lang w:val="en-US" w:eastAsia="zh-CN"/>
                          </w:rPr>
                        </w:pPr>
                        <w:r>
                          <w:rPr>
                            <w:rFonts w:hint="eastAsia"/>
                            <w:lang w:val="en-US" w:eastAsia="zh-CN"/>
                          </w:rPr>
                          <w:t>506.4</w:t>
                        </w:r>
                      </w:p>
                    </w:txbxContent>
                  </v:textbox>
                </v:rect>
                <v:rect id="矩形 879" o:spid="_x0000_s1026" o:spt="1" style="position:absolute;left:7559;top:1536604;height:409;width:1353;" filled="f" stroked="f" coordsize="21600,21600" o:gfxdata="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014X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7AB12601">
                        <w:pPr>
                          <w:rPr>
                            <w:rFonts w:hint="default" w:eastAsia="宋体"/>
                            <w:lang w:val="en-US" w:eastAsia="zh-CN"/>
                          </w:rPr>
                        </w:pPr>
                        <w:r>
                          <w:rPr>
                            <w:rFonts w:hint="eastAsia"/>
                            <w:lang w:val="en-US" w:eastAsia="zh-CN"/>
                          </w:rPr>
                          <w:t>新鲜水320.16</w:t>
                        </w:r>
                      </w:p>
                    </w:txbxContent>
                  </v:textbox>
                </v:rect>
                <v:line id="直线 81" o:spid="_x0000_s1026" o:spt="20" style="position:absolute;left:12412;top:1534284;flip:x;height:520;width:4;" filled="f" stroked="t" coordsize="21600,21600" o:gfxdata="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X5/+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03" o:spid="_x0000_s1026" o:spt="1" style="position:absolute;left:7703;top:1533891;height:450;width:1042;" filled="f" stroked="t" coordsize="21600,21600" o:gfxdata="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GXNm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14647399">
                        <w:pPr>
                          <w:jc w:val="center"/>
                        </w:pPr>
                        <w:r>
                          <w:rPr>
                            <w:rFonts w:hint="eastAsia"/>
                            <w:lang w:val="en-US" w:eastAsia="zh-CN"/>
                          </w:rPr>
                          <w:t>脱盐水</w:t>
                        </w:r>
                      </w:p>
                    </w:txbxContent>
                  </v:textbox>
                </v:rect>
                <v:line id="直线 125" o:spid="_x0000_s1026" o:spt="20" style="position:absolute;left:10182;top:1533139;height:761;width:7;" filled="f" stroked="t" coordsize="21600,21600" o:gfxdata="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4s62&#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126" o:spid="_x0000_s1026" o:spt="20" style="position:absolute;left:8195;top:1535238;flip:x y;height:455;width:6;" filled="f" stroked="t" coordsize="21600,21600" o:gfxdata="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R1aAL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27" o:spid="_x0000_s1026" o:spt="20" style="position:absolute;left:8737;top:1535040;flip:x y;height:14;width:2956;" filled="f" stroked="t" coordsize="21600,21600" o:gfxdata="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PxH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75" o:spid="_x0000_s1026" o:spt="1" style="position:absolute;left:9391;top:1532812;height:470;width:600;" filled="f" stroked="f" coordsize="21600,21600" o:gfxdata="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Fs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7B356B1E">
                        <w:pPr>
                          <w:rPr>
                            <w:rFonts w:hint="default" w:eastAsia="宋体"/>
                            <w:lang w:val="en-US" w:eastAsia="zh-CN"/>
                          </w:rPr>
                        </w:pPr>
                        <w:r>
                          <w:rPr>
                            <w:rFonts w:hint="eastAsia" w:eastAsia="宋体"/>
                            <w:lang w:val="en-US" w:eastAsia="zh-CN"/>
                          </w:rPr>
                          <w:t>506.4</w:t>
                        </w:r>
                      </w:p>
                    </w:txbxContent>
                  </v:textbox>
                </v:rect>
                <v:rect id="矩形 803" o:spid="_x0000_s1026" o:spt="1" style="position:absolute;left:7624;top:1535708;height:450;width:1153;" filled="f" stroked="t" coordsize="21600,21600" o:gfxdata="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73hF7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14:paraId="2C94CB5A">
                        <w:pPr>
                          <w:jc w:val="center"/>
                        </w:pPr>
                        <w:r>
                          <w:rPr>
                            <w:rFonts w:hint="eastAsia"/>
                            <w:lang w:val="en-US" w:eastAsia="zh-CN"/>
                          </w:rPr>
                          <w:t>脱盐水撬保洁</w:t>
                        </w:r>
                        <w:r>
                          <w:rPr>
                            <w:rFonts w:hint="eastAsia"/>
                          </w:rPr>
                          <w:t>用水</w:t>
                        </w:r>
                      </w:p>
                    </w:txbxContent>
                  </v:textbox>
                </v:rect>
                <v:line id="直线 133" o:spid="_x0000_s1026" o:spt="20" style="position:absolute;left:12375;top:1535271;height:455;width:7;" filled="f" stroked="t" coordsize="21600,21600" o:gfxdata="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LjYS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79" o:spid="_x0000_s1026" o:spt="1" style="position:absolute;left:9154;top:1535771;height:380;width:1369;" filled="f" stroked="f" coordsize="21600,21600" o:gfxdata="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6kfeugAAANw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53D77596">
                        <w:pPr>
                          <w:rPr>
                            <w:rFonts w:hint="default" w:eastAsia="宋体"/>
                            <w:lang w:val="en-US" w:eastAsia="zh-CN"/>
                          </w:rPr>
                        </w:pPr>
                        <w:r>
                          <w:rPr>
                            <w:rFonts w:hint="eastAsia"/>
                            <w:lang w:val="en-US" w:eastAsia="zh-CN"/>
                          </w:rPr>
                          <w:t>浓水80.04</w:t>
                        </w:r>
                      </w:p>
                    </w:txbxContent>
                  </v:textbox>
                </v:rect>
                <v:rect id="矩形 809" o:spid="_x0000_s1026" o:spt="1" style="position:absolute;left:9402;top:1533902;height:433;width:1593;" filled="f" stroked="t" coordsize="21600,21600" o:gfxdata="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s0pC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14:paraId="401DC85E">
                        <w:pPr>
                          <w:rPr>
                            <w:rFonts w:hint="default"/>
                            <w:lang w:val="en-US"/>
                          </w:rPr>
                        </w:pPr>
                        <w:r>
                          <w:rPr>
                            <w:rFonts w:hint="eastAsia"/>
                            <w:lang w:val="en-US" w:eastAsia="zh-CN"/>
                          </w:rPr>
                          <w:t>制氢反应用汽</w:t>
                        </w:r>
                      </w:p>
                    </w:txbxContent>
                  </v:textbox>
                </v:rect>
                <v:line id="直线 142" o:spid="_x0000_s1026" o:spt="20" style="position:absolute;left:8773;top:1535927;flip:y;height:2;width:361;" filled="f" stroked="t" coordsize="21600,21600" o:gfxdata="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sSZf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46" o:spid="_x0000_s1026" o:spt="20" style="position:absolute;left:13123;top:1533137;height:5;width:696;" filled="f" stroked="t" coordsize="21600,21600" o:gfxdata="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4MzY&#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147" o:spid="_x0000_s1026" o:spt="20" style="position:absolute;left:11010;top:1534109;flip:y;height:12;width:746;" filled="f" stroked="t" coordsize="21600,21600" o:gfxdata="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u3WBy/&#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07" o:spid="_x0000_s1026" o:spt="1" style="position:absolute;left:11767;top:1533872;height:433;width:1327;" filled="f" stroked="t" coordsize="21600,21600" o:gfxdata="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X1JO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14:paraId="45592DED">
                        <w:pPr>
                          <w:jc w:val="center"/>
                        </w:pPr>
                        <w:r>
                          <w:rPr>
                            <w:rFonts w:hint="eastAsia"/>
                            <w:lang w:val="en-US" w:eastAsia="zh-CN"/>
                          </w:rPr>
                          <w:t>参与反应</w:t>
                        </w:r>
                      </w:p>
                    </w:txbxContent>
                  </v:textbox>
                </v:rect>
                <v:rect id="矩形 807" o:spid="_x0000_s1026" o:spt="1" style="position:absolute;left:11697;top:1534820;height:433;width:1518;" filled="f" stroked="t" coordsize="21600,21600" o:gfxdata="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hUrk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655DEA35">
                        <w:pPr>
                          <w:jc w:val="center"/>
                        </w:pPr>
                        <w:r>
                          <w:rPr>
                            <w:rFonts w:hint="eastAsia"/>
                            <w:lang w:val="en-US" w:eastAsia="zh-CN"/>
                          </w:rPr>
                          <w:t>冷凝气水分离参与反应</w:t>
                        </w:r>
                      </w:p>
                    </w:txbxContent>
                  </v:textbox>
                </v:rect>
                <v:rect id="矩形 807" o:spid="_x0000_s1026" o:spt="1" style="position:absolute;left:7709;top:1534787;height:433;width:1027;" filled="f" stroked="t" coordsize="21600,21600" o:gfxdata="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J73+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14:paraId="2E5375BC">
                        <w:pPr>
                          <w:jc w:val="center"/>
                        </w:pPr>
                        <w:r>
                          <w:rPr>
                            <w:rFonts w:hint="eastAsia"/>
                            <w:lang w:val="en-US" w:eastAsia="zh-CN"/>
                          </w:rPr>
                          <w:t>除氧器</w:t>
                        </w:r>
                      </w:p>
                    </w:txbxContent>
                  </v:textbox>
                </v:rect>
                <v:line id="直线 153" o:spid="_x0000_s1026" o:spt="20" style="position:absolute;left:8942;top:1533125;flip:y;height:7;width:1235;" filled="f" stroked="t" coordsize="21600,21600" o:gfxdata="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vJjhO5AAAA3AAA&#10;AA8AAAAAAAAAAQAgAAAAIgAAAGRycy9kb3ducmV2LnhtbFBLAQIUABQAAAAIAIdO4kAzLwWeOwAA&#10;ADkAAAAQAAAAAAAAAAEAIAAAAAgBAABkcnMvc2hhcGV4bWwueG1sUEsFBgAAAAAGAAYAWwEAALID&#10;AAAAAA==&#10;">
                  <v:fill on="f" focussize="0,0"/>
                  <v:stroke color="#000000" joinstyle="round" startarrowlength="short"/>
                  <v:imagedata o:title=""/>
                  <o:lock v:ext="edit" aspectratio="f"/>
                </v:line>
                <v:line id="直线 285" o:spid="_x0000_s1026" o:spt="20" style="position:absolute;left:13113;top:1534051;height:14;width:864;" filled="f" stroked="t" coordsize="21600,21600" o:gfxdata="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CPsy&#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5" o:spid="_x0000_s1026" o:spt="1" style="position:absolute;left:8786;top:1534278;height:380;width:600;" filled="f" stroked="f" coordsize="21600,21600" o:gfxdata="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M9EDugAAANw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5FCF0004">
                        <w:pPr>
                          <w:rPr>
                            <w:rFonts w:hint="default" w:eastAsia="宋体"/>
                            <w:lang w:val="en-US" w:eastAsia="zh-CN"/>
                          </w:rPr>
                        </w:pPr>
                        <w:r>
                          <w:rPr>
                            <w:rFonts w:hint="eastAsia" w:eastAsia="宋体"/>
                            <w:lang w:val="en-US" w:eastAsia="zh-CN"/>
                          </w:rPr>
                          <w:t>0.4</w:t>
                        </w:r>
                      </w:p>
                    </w:txbxContent>
                  </v:textbox>
                </v:rect>
                <v:rect id="矩形 939" o:spid="_x0000_s1026" o:spt="1" style="position:absolute;left:9383;top:1534675;height:380;width:762;" filled="f" stroked="f" coordsize="21600,21600" o:gfxdata="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dJ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372CE83A">
                        <w:pPr>
                          <w:rPr>
                            <w:rFonts w:hint="default" w:eastAsia="宋体"/>
                            <w:lang w:val="en-US" w:eastAsia="zh-CN"/>
                          </w:rPr>
                        </w:pPr>
                        <w:r>
                          <w:rPr>
                            <w:rFonts w:hint="eastAsia"/>
                            <w:lang w:val="en-US" w:eastAsia="zh-CN"/>
                          </w:rPr>
                          <w:t>266.68</w:t>
                        </w:r>
                      </w:p>
                    </w:txbxContent>
                  </v:textbox>
                </v:rect>
                <v:rect id="矩形 939" o:spid="_x0000_s1026" o:spt="1" style="position:absolute;left:13812;top:1532965;height:380;width:762;" filled="f" stroked="f" coordsize="21600,21600" o:gfxdata="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K3q7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68334420">
                        <w:pPr>
                          <w:rPr>
                            <w:rFonts w:hint="default" w:eastAsia="宋体"/>
                            <w:lang w:val="en-US" w:eastAsia="zh-CN"/>
                          </w:rPr>
                        </w:pPr>
                        <w:r>
                          <w:rPr>
                            <w:rFonts w:hint="eastAsia"/>
                            <w:lang w:val="en-US" w:eastAsia="zh-CN"/>
                          </w:rPr>
                          <w:t>0.003</w:t>
                        </w:r>
                      </w:p>
                    </w:txbxContent>
                  </v:textbox>
                </v:rect>
                <v:line id="直线 293" o:spid="_x0000_s1026" o:spt="20" style="position:absolute;left:12427;top:1533384;flip:x;height:475;width:4;" filled="f" stroked="t" coordsize="21600,21600" o:gfxdata="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h1a1&#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07" o:spid="_x0000_s1026" o:spt="1" style="position:absolute;left:11797;top:1532927;height:433;width:1327;" filled="f" stroked="t" coordsize="21600,21600" o:gfxdata="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cLn1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29633295">
                        <w:pPr>
                          <w:jc w:val="center"/>
                        </w:pPr>
                        <w:r>
                          <w:rPr>
                            <w:rFonts w:hint="eastAsia"/>
                            <w:lang w:val="en-US" w:eastAsia="zh-CN"/>
                          </w:rPr>
                          <w:t>沼气脱硫</w:t>
                        </w:r>
                      </w:p>
                    </w:txbxContent>
                  </v:textbox>
                </v:rect>
                <v:rect id="矩形 939" o:spid="_x0000_s1026" o:spt="1" style="position:absolute;left:12458;top:1533407;height:380;width:762;" filled="f" stroked="f" coordsize="21600,21600" o:gfxdata="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0Rym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0FBACE1A">
                        <w:pPr>
                          <w:rPr>
                            <w:rFonts w:hint="default" w:eastAsia="宋体"/>
                            <w:lang w:val="en-US" w:eastAsia="zh-CN"/>
                          </w:rPr>
                        </w:pPr>
                        <w:r>
                          <w:rPr>
                            <w:rFonts w:hint="eastAsia"/>
                            <w:lang w:val="en-US" w:eastAsia="zh-CN"/>
                          </w:rPr>
                          <w:t>218.13</w:t>
                        </w:r>
                      </w:p>
                    </w:txbxContent>
                  </v:textbox>
                </v:rect>
                <v:rect id="矩形 807" o:spid="_x0000_s1026" o:spt="1" style="position:absolute;left:11592;top:1535750;height:433;width:1518;" filled="f" stroked="t" coordsize="21600,21600" o:gfxdata="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lzcO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181D9F8E">
                        <w:pPr>
                          <w:jc w:val="center"/>
                          <w:rPr>
                            <w:rFonts w:hint="default" w:eastAsia="宋体"/>
                            <w:lang w:val="en-US" w:eastAsia="zh-CN"/>
                          </w:rPr>
                        </w:pPr>
                        <w:r>
                          <w:rPr>
                            <w:rFonts w:hint="eastAsia"/>
                            <w:lang w:val="en-US" w:eastAsia="zh-CN"/>
                          </w:rPr>
                          <w:t>产品44.95</w:t>
                        </w:r>
                      </w:p>
                    </w:txbxContent>
                  </v:textbox>
                </v:rect>
                <v:line id="直线 298" o:spid="_x0000_s1026" o:spt="20" style="position:absolute;left:8201;top:1536156;flip:y;height:466;width:10;" filled="f" stroked="t" coordsize="21600,21600" o:gfxdata="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68ULa/&#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299" o:spid="_x0000_s1026" o:spt="20" style="position:absolute;left:8210;top:1534350;flip:x y;height:436;width:6;" filled="f" stroked="t" coordsize="21600,21600" o:gfxdata="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LvlZugAAANwA&#10;AAAPAAAAAAAAAAEAIAAAACIAAABkcnMvZG93bnJldi54bWxQSwECFAAUAAAACACHTuJAMy8FnjsA&#10;AAA5AAAAEAAAAAAAAAABACAAAAAJAQAAZHJzL3NoYXBleG1sLnhtbFBLBQYAAAAABgAGAFsBAACz&#10;AwAAAAA=&#10;">
                  <v:fill on="f" focussize="0,0"/>
                  <v:stroke color="#000000" joinstyle="round" endarrow="block"/>
                  <v:imagedata o:title=""/>
                  <o:lock v:ext="edit" aspectratio="f"/>
                </v:line>
                <v:shape id="自选图形 300" o:spid="_x0000_s1026" o:spt="38" type="#_x0000_t38" style="position:absolute;left:8473;top:1534498;flip:y;height:255;width:285;" filled="f" stroked="t" coordsize="21600,21600" o:gfxdata="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EEVbO8AAAA&#10;3AAAAA8AAAAAAAAAAQAgAAAAIgAAAGRycy9kb3ducmV2LnhtbFBLAQIUABQAAAAIAIdO4kAzLwWe&#10;OwAAADkAAAAQAAAAAAAAAAEAIAAAAAsBAABkcnMvc2hhcGV4bWwueG1sUEsFBgAAAAAGAAYAWwEA&#10;ALUDAAAAAA==&#10;" adj="10838">
                  <v:fill on="f" focussize="0,0"/>
                  <v:stroke color="#000000" joinstyle="miter" dashstyle="dash" startarrow="open" endarrow="open"/>
                  <v:imagedata o:title=""/>
                  <o:lock v:ext="edit" aspectratio="f"/>
                </v:shape>
                <v:rect id="矩形 879" o:spid="_x0000_s1026" o:spt="1" style="position:absolute;left:13969;top:1533896;height:380;width:1369;" filled="f" stroked="f" coordsize="21600,21600" o:gfxdata="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lfG765AAAA3A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14:paraId="3F688AAE">
                        <w:pPr>
                          <w:rPr>
                            <w:rFonts w:hint="default" w:eastAsia="宋体"/>
                            <w:lang w:val="en-US" w:eastAsia="zh-CN"/>
                          </w:rPr>
                        </w:pPr>
                        <w:r>
                          <w:rPr>
                            <w:rFonts w:hint="eastAsia"/>
                            <w:lang w:val="en-US" w:eastAsia="zh-CN"/>
                          </w:rPr>
                          <w:t>解吸气412.9</w:t>
                        </w:r>
                      </w:p>
                    </w:txbxContent>
                  </v:textbox>
                </v:rect>
                <v:rect id="矩形 875" o:spid="_x0000_s1026" o:spt="1" style="position:absolute;left:8263;top:1535206;height:470;width:869;" filled="f" stroked="f" coordsize="21600,21600" o:gfxdata="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hO+J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75D98852">
                        <w:pPr>
                          <w:rPr>
                            <w:rFonts w:hint="default" w:eastAsia="宋体"/>
                            <w:lang w:val="en-US" w:eastAsia="zh-CN"/>
                          </w:rPr>
                        </w:pPr>
                        <w:r>
                          <w:rPr>
                            <w:rFonts w:hint="eastAsia" w:eastAsia="宋体"/>
                            <w:lang w:val="en-US" w:eastAsia="zh-CN"/>
                          </w:rPr>
                          <w:t>240.12</w:t>
                        </w:r>
                      </w:p>
                    </w:txbxContent>
                  </v:textbox>
                </v:rect>
                <v:line id="直线 303" o:spid="_x0000_s1026" o:spt="20" style="position:absolute;left:8217;top:1533335;flip:x y;height:557;width:5;" filled="f" stroked="t" coordsize="21600,21600" o:gfxdata="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6oED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809" o:spid="_x0000_s1026" o:spt="1" style="position:absolute;left:7494;top:1532890;height:433;width:1461;" filled="f" stroked="t" coordsize="21600,21600" o:gfxdata="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Ee1H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2036E6C7">
                        <w:pPr>
                          <w:rPr>
                            <w:rFonts w:hint="default"/>
                            <w:lang w:val="en-US"/>
                          </w:rPr>
                        </w:pPr>
                        <w:r>
                          <w:rPr>
                            <w:rFonts w:hint="eastAsia"/>
                            <w:lang w:val="en-US" w:eastAsia="zh-CN"/>
                          </w:rPr>
                          <w:t>蒸汽发生器</w:t>
                        </w:r>
                      </w:p>
                    </w:txbxContent>
                  </v:textbox>
                </v:rect>
                <v:line id="直线 305" o:spid="_x0000_s1026" o:spt="20" style="position:absolute;left:6963;top:1533111;flip:y;height:5;width:522;" filled="f" stroked="t" coordsize="21600,21600" o:gfxdata="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THYdr4A&#10;AADcAAAADwAAAAAAAAABACAAAAAiAAAAZHJzL2Rvd25yZXYueG1sUEsBAhQAFAAAAAgAh07iQDMv&#10;BZ47AAAAOQAAABAAAAAAAAAAAQAgAAAADQEAAGRycy9zaGFwZXhtbC54bWxQSwUGAAAAAAYABgBb&#10;AQAAtwMAAAAA&#10;">
                  <v:fill on="f" focussize="0,0"/>
                  <v:stroke color="#000000" joinstyle="round" startarrowlength="short"/>
                  <v:imagedata o:title=""/>
                  <o:lock v:ext="edit" aspectratio="f"/>
                </v:line>
                <v:line id="直线 306" o:spid="_x0000_s1026" o:spt="20" style="position:absolute;left:6953;top:1533117;flip:x;height:1915;width:12;" filled="f" stroked="t" coordsize="21600,21600" o:gfxdata="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n197b4A&#10;AADcAAAADwAAAAAAAAABACAAAAAiAAAAZHJzL2Rvd25yZXYueG1sUEsBAhQAFAAAAAgAh07iQDMv&#10;BZ47AAAAOQAAABAAAAAAAAAAAQAgAAAADQEAAGRycy9zaGFwZXhtbC54bWxQSwUGAAAAAAYABgBb&#10;AQAAtwMAAAAA&#10;">
                  <v:fill on="f" focussize="0,0"/>
                  <v:stroke color="#000000" joinstyle="round" startarrowlength="short"/>
                  <v:imagedata o:title=""/>
                  <o:lock v:ext="edit" aspectratio="f"/>
                </v:line>
                <v:line id="直线 307" o:spid="_x0000_s1026" o:spt="20" style="position:absolute;left:6950;top:1535015;flip:y;height:12;width:765;" filled="f" stroked="t" coordsize="21600,21600" o:gfxdata="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cP5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75" o:spid="_x0000_s1026" o:spt="1" style="position:absolute;left:7028;top:1534770;height:470;width:600;" filled="f" stroked="f" coordsize="21600,21600" o:gfxdata="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raDy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64A830D8">
                        <w:pPr>
                          <w:rPr>
                            <w:rFonts w:hint="default" w:eastAsia="宋体"/>
                            <w:lang w:val="en-US" w:eastAsia="zh-CN"/>
                          </w:rPr>
                        </w:pPr>
                        <w:r>
                          <w:rPr>
                            <w:rFonts w:hint="eastAsia" w:eastAsia="宋体"/>
                            <w:lang w:val="en-US" w:eastAsia="zh-CN"/>
                          </w:rPr>
                          <w:t>94</w:t>
                        </w:r>
                      </w:p>
                    </w:txbxContent>
                  </v:textbox>
                </v:rect>
                <v:rect id="矩形 875" o:spid="_x0000_s1026" o:spt="1" style="position:absolute;left:7628;top:1534431;height:470;width:600;" filled="f" stroked="f" coordsize="21600,21600" o:gfxdata="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cpF7i5AAAA3A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14:paraId="4A65DA29">
                        <w:pPr>
                          <w:rPr>
                            <w:rFonts w:hint="default" w:eastAsia="宋体"/>
                            <w:lang w:val="en-US" w:eastAsia="zh-CN"/>
                          </w:rPr>
                        </w:pPr>
                        <w:r>
                          <w:rPr>
                            <w:rFonts w:hint="eastAsia" w:eastAsia="宋体"/>
                            <w:lang w:val="en-US" w:eastAsia="zh-CN"/>
                          </w:rPr>
                          <w:t>600.4</w:t>
                        </w:r>
                      </w:p>
                    </w:txbxContent>
                  </v:textbox>
                </v:rect>
                <v:rect id="矩形 875" o:spid="_x0000_s1026" o:spt="1" style="position:absolute;left:8218;top:1533421;height:316;width:600;" filled="f" stroked="f" coordsize="21600,21600" o:gfxdata="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GWyI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35BE9069">
                        <w:pPr>
                          <w:rPr>
                            <w:rFonts w:hint="default" w:eastAsia="宋体"/>
                            <w:lang w:val="en-US" w:eastAsia="zh-CN"/>
                          </w:rPr>
                        </w:pPr>
                        <w:r>
                          <w:rPr>
                            <w:rFonts w:hint="eastAsia" w:eastAsia="宋体"/>
                            <w:lang w:val="en-US" w:eastAsia="zh-CN"/>
                          </w:rPr>
                          <w:t>600.4</w:t>
                        </w:r>
                      </w:p>
                    </w:txbxContent>
                  </v:textbox>
                </v:rect>
                <v:rect id="矩形 939" o:spid="_x0000_s1026" o:spt="1" style="position:absolute;left:12522;top:1534375;height:380;width:762;" filled="f" stroked="f" coordsize="21600,21600" o:gfxdata="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IaNY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3ADF4F2A">
                        <w:pPr>
                          <w:rPr>
                            <w:rFonts w:hint="default" w:eastAsia="宋体"/>
                            <w:lang w:val="en-US" w:eastAsia="zh-CN"/>
                          </w:rPr>
                        </w:pPr>
                        <w:r>
                          <w:rPr>
                            <w:rFonts w:hint="eastAsia"/>
                            <w:lang w:val="en-US" w:eastAsia="zh-CN"/>
                          </w:rPr>
                          <w:t>311.63</w:t>
                        </w:r>
                      </w:p>
                    </w:txbxContent>
                  </v:textbox>
                </v:rect>
                <w10:wrap type="none"/>
                <w10:anchorlock/>
              </v:group>
            </w:pict>
          </mc:Fallback>
        </mc:AlternateContent>
      </w:r>
    </w:p>
    <w:p w14:paraId="129F7D5D">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4</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1  单套制氢设备物料平衡图（kg/h）</w:t>
      </w:r>
    </w:p>
    <w:p w14:paraId="41FE5536">
      <w:pPr>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kern w:val="2"/>
          <w:sz w:val="24"/>
          <w:szCs w:val="24"/>
          <w:highlight w:val="none"/>
          <w:lang w:val="en-US" w:eastAsia="zh-CN" w:bidi="ar-SA"/>
        </w:rPr>
        <w:t>-</w:t>
      </w:r>
      <w:r>
        <w:rPr>
          <w:rFonts w:hint="eastAsia" w:cs="Times New Roman"/>
          <w:b/>
          <w:bCs/>
          <w:color w:val="auto"/>
          <w:kern w:val="2"/>
          <w:sz w:val="24"/>
          <w:szCs w:val="24"/>
          <w:highlight w:val="none"/>
          <w:lang w:val="en-US" w:eastAsia="zh-CN" w:bidi="ar-SA"/>
        </w:rPr>
        <w:t>3</w:t>
      </w:r>
      <w:r>
        <w:rPr>
          <w:rFonts w:hint="eastAsia" w:ascii="Times New Roman" w:hAnsi="Times New Roman" w:eastAsia="宋体" w:cs="Times New Roman"/>
          <w:b/>
          <w:bCs/>
          <w:color w:val="auto"/>
          <w:kern w:val="2"/>
          <w:sz w:val="24"/>
          <w:szCs w:val="24"/>
          <w:highlight w:val="none"/>
          <w:lang w:val="en-US" w:eastAsia="zh-CN" w:bidi="ar-SA"/>
        </w:rPr>
        <w:t xml:space="preserve">  沼气制氢工艺物料平衡一览表（t/a）</w:t>
      </w:r>
    </w:p>
    <w:tbl>
      <w:tblPr>
        <w:tblStyle w:val="5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1"/>
        <w:gridCol w:w="1616"/>
        <w:gridCol w:w="1621"/>
        <w:gridCol w:w="1600"/>
        <w:gridCol w:w="2221"/>
      </w:tblGrid>
      <w:tr w14:paraId="4A71F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05C501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序号</w:t>
            </w:r>
          </w:p>
        </w:tc>
        <w:tc>
          <w:tcPr>
            <w:tcW w:w="1899" w:type="pct"/>
            <w:gridSpan w:val="2"/>
            <w:noWrap w:val="0"/>
            <w:vAlign w:val="center"/>
          </w:tcPr>
          <w:p w14:paraId="2EB12C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入方</w:t>
            </w:r>
          </w:p>
        </w:tc>
        <w:tc>
          <w:tcPr>
            <w:tcW w:w="2242" w:type="pct"/>
            <w:gridSpan w:val="2"/>
            <w:noWrap w:val="0"/>
            <w:vAlign w:val="center"/>
          </w:tcPr>
          <w:p w14:paraId="447118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出方</w:t>
            </w:r>
          </w:p>
        </w:tc>
      </w:tr>
      <w:tr w14:paraId="27380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2421D1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w:t>
            </w:r>
          </w:p>
        </w:tc>
        <w:tc>
          <w:tcPr>
            <w:tcW w:w="948" w:type="pct"/>
            <w:noWrap w:val="0"/>
            <w:vAlign w:val="center"/>
          </w:tcPr>
          <w:p w14:paraId="3B32E92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沼气</w:t>
            </w:r>
          </w:p>
        </w:tc>
        <w:tc>
          <w:tcPr>
            <w:tcW w:w="951" w:type="pct"/>
            <w:noWrap w:val="0"/>
            <w:vAlign w:val="center"/>
          </w:tcPr>
          <w:p w14:paraId="46AD78D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4711.608</w:t>
            </w:r>
          </w:p>
        </w:tc>
        <w:tc>
          <w:tcPr>
            <w:tcW w:w="939" w:type="pct"/>
            <w:noWrap w:val="0"/>
            <w:vAlign w:val="center"/>
          </w:tcPr>
          <w:p w14:paraId="74C099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产品氢气</w:t>
            </w:r>
          </w:p>
        </w:tc>
        <w:tc>
          <w:tcPr>
            <w:tcW w:w="2221" w:type="dxa"/>
            <w:noWrap w:val="0"/>
            <w:vAlign w:val="center"/>
          </w:tcPr>
          <w:p w14:paraId="37F4150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970.92</w:t>
            </w:r>
          </w:p>
        </w:tc>
      </w:tr>
      <w:tr w14:paraId="1AB98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51129A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w:t>
            </w:r>
          </w:p>
        </w:tc>
        <w:tc>
          <w:tcPr>
            <w:tcW w:w="948" w:type="pct"/>
            <w:noWrap w:val="0"/>
            <w:vAlign w:val="center"/>
          </w:tcPr>
          <w:p w14:paraId="1FA17C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新鲜水</w:t>
            </w:r>
          </w:p>
        </w:tc>
        <w:tc>
          <w:tcPr>
            <w:tcW w:w="951" w:type="pct"/>
            <w:noWrap w:val="0"/>
            <w:vAlign w:val="center"/>
          </w:tcPr>
          <w:p w14:paraId="72F8835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6915.456</w:t>
            </w:r>
          </w:p>
        </w:tc>
        <w:tc>
          <w:tcPr>
            <w:tcW w:w="939" w:type="pct"/>
            <w:noWrap w:val="0"/>
            <w:vAlign w:val="center"/>
          </w:tcPr>
          <w:p w14:paraId="3C3F87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冷凝水</w:t>
            </w:r>
          </w:p>
        </w:tc>
        <w:tc>
          <w:tcPr>
            <w:tcW w:w="2221" w:type="dxa"/>
            <w:noWrap w:val="0"/>
            <w:vAlign w:val="center"/>
          </w:tcPr>
          <w:p w14:paraId="2A8B9A1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5760.288</w:t>
            </w:r>
          </w:p>
        </w:tc>
      </w:tr>
      <w:tr w14:paraId="323D3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2BCEB4E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3</w:t>
            </w:r>
          </w:p>
        </w:tc>
        <w:tc>
          <w:tcPr>
            <w:tcW w:w="948" w:type="pct"/>
            <w:noWrap w:val="0"/>
            <w:vAlign w:val="center"/>
          </w:tcPr>
          <w:p w14:paraId="779F64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蒸汽冷凝水</w:t>
            </w:r>
          </w:p>
        </w:tc>
        <w:tc>
          <w:tcPr>
            <w:tcW w:w="951" w:type="pct"/>
            <w:noWrap w:val="0"/>
            <w:vAlign w:val="center"/>
          </w:tcPr>
          <w:p w14:paraId="2D50774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5760.288</w:t>
            </w:r>
          </w:p>
        </w:tc>
        <w:tc>
          <w:tcPr>
            <w:tcW w:w="939" w:type="pct"/>
            <w:noWrap w:val="0"/>
            <w:vAlign w:val="center"/>
          </w:tcPr>
          <w:p w14:paraId="15BAAF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除氧废气</w:t>
            </w:r>
          </w:p>
        </w:tc>
        <w:tc>
          <w:tcPr>
            <w:tcW w:w="2221" w:type="dxa"/>
            <w:noWrap w:val="0"/>
            <w:vAlign w:val="center"/>
          </w:tcPr>
          <w:p w14:paraId="156383F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8.64</w:t>
            </w:r>
          </w:p>
        </w:tc>
      </w:tr>
      <w:tr w14:paraId="018E3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16C0C4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4</w:t>
            </w:r>
          </w:p>
        </w:tc>
        <w:tc>
          <w:tcPr>
            <w:tcW w:w="948" w:type="pct"/>
            <w:noWrap w:val="0"/>
            <w:vAlign w:val="center"/>
          </w:tcPr>
          <w:p w14:paraId="7BD471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蒸发器回用水</w:t>
            </w:r>
          </w:p>
        </w:tc>
        <w:tc>
          <w:tcPr>
            <w:tcW w:w="951" w:type="pct"/>
            <w:noWrap w:val="0"/>
            <w:vAlign w:val="center"/>
          </w:tcPr>
          <w:p w14:paraId="713140A7">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bidi="ar"/>
              </w:rPr>
              <w:t>2030.4</w:t>
            </w:r>
          </w:p>
        </w:tc>
        <w:tc>
          <w:tcPr>
            <w:tcW w:w="939" w:type="pct"/>
            <w:noWrap w:val="0"/>
            <w:vAlign w:val="center"/>
          </w:tcPr>
          <w:p w14:paraId="488FC4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脱硫剂去除量</w:t>
            </w:r>
          </w:p>
        </w:tc>
        <w:tc>
          <w:tcPr>
            <w:tcW w:w="2221" w:type="dxa"/>
            <w:noWrap w:val="0"/>
            <w:vAlign w:val="center"/>
          </w:tcPr>
          <w:p w14:paraId="4B700CD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0.0648</w:t>
            </w:r>
          </w:p>
        </w:tc>
      </w:tr>
      <w:tr w14:paraId="11F1D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0E597C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5</w:t>
            </w:r>
          </w:p>
        </w:tc>
        <w:tc>
          <w:tcPr>
            <w:tcW w:w="948" w:type="pct"/>
            <w:noWrap w:val="0"/>
            <w:vAlign w:val="center"/>
          </w:tcPr>
          <w:p w14:paraId="2C8E84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951" w:type="pct"/>
            <w:noWrap w:val="0"/>
            <w:vAlign w:val="center"/>
          </w:tcPr>
          <w:p w14:paraId="313B19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939" w:type="pct"/>
            <w:noWrap w:val="0"/>
            <w:vAlign w:val="center"/>
          </w:tcPr>
          <w:p w14:paraId="4DBEC1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解吸气</w:t>
            </w:r>
          </w:p>
        </w:tc>
        <w:tc>
          <w:tcPr>
            <w:tcW w:w="2221" w:type="dxa"/>
            <w:noWrap w:val="0"/>
            <w:vAlign w:val="center"/>
          </w:tcPr>
          <w:p w14:paraId="7E49522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8918.64</w:t>
            </w:r>
          </w:p>
        </w:tc>
      </w:tr>
      <w:tr w14:paraId="5824B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04A134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6</w:t>
            </w:r>
          </w:p>
        </w:tc>
        <w:tc>
          <w:tcPr>
            <w:tcW w:w="948" w:type="pct"/>
            <w:noWrap w:val="0"/>
            <w:vAlign w:val="center"/>
          </w:tcPr>
          <w:p w14:paraId="235721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951" w:type="pct"/>
            <w:noWrap w:val="0"/>
            <w:vAlign w:val="center"/>
          </w:tcPr>
          <w:p w14:paraId="2C68F2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bidi="ar"/>
              </w:rPr>
            </w:pPr>
          </w:p>
        </w:tc>
        <w:tc>
          <w:tcPr>
            <w:tcW w:w="939" w:type="pct"/>
            <w:noWrap w:val="0"/>
            <w:vAlign w:val="center"/>
          </w:tcPr>
          <w:p w14:paraId="2DEB1F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沼气燃烧量</w:t>
            </w:r>
          </w:p>
        </w:tc>
        <w:tc>
          <w:tcPr>
            <w:tcW w:w="2221" w:type="dxa"/>
            <w:noWrap w:val="0"/>
            <w:vAlign w:val="center"/>
          </w:tcPr>
          <w:p w14:paraId="6287CD8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2030.4</w:t>
            </w:r>
          </w:p>
        </w:tc>
      </w:tr>
      <w:tr w14:paraId="1C19B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550C47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7</w:t>
            </w:r>
          </w:p>
        </w:tc>
        <w:tc>
          <w:tcPr>
            <w:tcW w:w="948" w:type="pct"/>
            <w:noWrap w:val="0"/>
            <w:vAlign w:val="center"/>
          </w:tcPr>
          <w:p w14:paraId="2D73BE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951" w:type="pct"/>
            <w:noWrap w:val="0"/>
            <w:vAlign w:val="center"/>
          </w:tcPr>
          <w:p w14:paraId="12F3C6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bidi="ar"/>
              </w:rPr>
            </w:pPr>
          </w:p>
        </w:tc>
        <w:tc>
          <w:tcPr>
            <w:tcW w:w="939" w:type="pct"/>
            <w:noWrap w:val="0"/>
            <w:vAlign w:val="center"/>
          </w:tcPr>
          <w:p w14:paraId="25701A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余量蒸汽</w:t>
            </w:r>
          </w:p>
        </w:tc>
        <w:tc>
          <w:tcPr>
            <w:tcW w:w="2221" w:type="dxa"/>
            <w:noWrap w:val="0"/>
            <w:vAlign w:val="center"/>
          </w:tcPr>
          <w:p w14:paraId="12AD26C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2"/>
                <w:szCs w:val="22"/>
                <w:highlight w:val="none"/>
                <w:u w:val="none"/>
                <w:lang w:val="en-US" w:eastAsia="zh-CN" w:bidi="ar"/>
              </w:rPr>
              <w:t>1728.864</w:t>
            </w:r>
          </w:p>
        </w:tc>
      </w:tr>
      <w:tr w14:paraId="732BE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5B48FA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合计</w:t>
            </w:r>
          </w:p>
        </w:tc>
        <w:tc>
          <w:tcPr>
            <w:tcW w:w="948" w:type="pct"/>
            <w:noWrap w:val="0"/>
            <w:vAlign w:val="center"/>
          </w:tcPr>
          <w:p w14:paraId="24BFD0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951" w:type="pct"/>
            <w:noWrap w:val="0"/>
            <w:vAlign w:val="center"/>
          </w:tcPr>
          <w:p w14:paraId="3D0D3289">
            <w:pPr>
              <w:keepNext w:val="0"/>
              <w:keepLines w:val="0"/>
              <w:widowControl/>
              <w:suppressLineNumbers w:val="0"/>
              <w:jc w:val="center"/>
              <w:textAlignment w:val="center"/>
              <w:rPr>
                <w:rFonts w:hint="default" w:ascii="宋体" w:hAnsi="宋体" w:eastAsia="宋体" w:cs="宋体"/>
                <w:i w:val="0"/>
                <w:iCs w:val="0"/>
                <w:color w:val="auto"/>
                <w:kern w:val="2"/>
                <w:sz w:val="22"/>
                <w:szCs w:val="22"/>
                <w:highlight w:val="none"/>
                <w:u w:val="none"/>
                <w:lang w:val="en-US" w:eastAsia="zh-CN" w:bidi="ar-SA"/>
              </w:rPr>
            </w:pPr>
            <w:r>
              <w:rPr>
                <w:rFonts w:hint="eastAsia" w:ascii="Times New Roman" w:hAnsi="Times New Roman" w:eastAsia="宋体" w:cs="Times New Roman"/>
                <w:i w:val="0"/>
                <w:iCs w:val="0"/>
                <w:color w:val="auto"/>
                <w:kern w:val="0"/>
                <w:sz w:val="22"/>
                <w:szCs w:val="22"/>
                <w:highlight w:val="none"/>
                <w:u w:val="none"/>
                <w:lang w:val="en-US" w:eastAsia="zh-CN" w:bidi="ar"/>
              </w:rPr>
              <w:t>19417.752</w:t>
            </w:r>
          </w:p>
        </w:tc>
        <w:tc>
          <w:tcPr>
            <w:tcW w:w="939" w:type="pct"/>
            <w:noWrap w:val="0"/>
            <w:vAlign w:val="center"/>
          </w:tcPr>
          <w:p w14:paraId="7FA475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bidi="ar"/>
              </w:rPr>
            </w:pPr>
          </w:p>
        </w:tc>
        <w:tc>
          <w:tcPr>
            <w:tcW w:w="2221" w:type="dxa"/>
            <w:noWrap w:val="0"/>
            <w:vAlign w:val="center"/>
          </w:tcPr>
          <w:p w14:paraId="3E16E36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2"/>
                <w:szCs w:val="22"/>
                <w:highlight w:val="none"/>
                <w:u w:val="none"/>
                <w:lang w:val="en-US" w:eastAsia="zh-CN" w:bidi="ar"/>
              </w:rPr>
              <w:t>19417.752</w:t>
            </w:r>
          </w:p>
        </w:tc>
      </w:tr>
    </w:tbl>
    <w:p w14:paraId="21842D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4"/>
          <w:highlight w:val="none"/>
          <w:lang w:val="en-US" w:eastAsia="zh-CN"/>
        </w:rPr>
      </w:pPr>
      <w:r>
        <w:rPr>
          <w:color w:val="auto"/>
          <w:sz w:val="24"/>
          <w:highlight w:val="none"/>
        </w:rPr>
        <mc:AlternateContent>
          <mc:Choice Requires="wpg">
            <w:drawing>
              <wp:inline distT="0" distB="0" distL="114300" distR="114300">
                <wp:extent cx="5325745" cy="2667000"/>
                <wp:effectExtent l="2540" t="0" r="0" b="0"/>
                <wp:docPr id="609" name="组合 889"/>
                <wp:cNvGraphicFramePr/>
                <a:graphic xmlns:a="http://schemas.openxmlformats.org/drawingml/2006/main">
                  <a:graphicData uri="http://schemas.microsoft.com/office/word/2010/wordprocessingGroup">
                    <wpg:wgp>
                      <wpg:cNvGrpSpPr/>
                      <wpg:grpSpPr>
                        <a:xfrm>
                          <a:off x="0" y="0"/>
                          <a:ext cx="5325745" cy="2667000"/>
                          <a:chOff x="8313" y="1532357"/>
                          <a:chExt cx="8387" cy="4200"/>
                        </a:xfrm>
                      </wpg:grpSpPr>
                      <wps:wsp>
                        <wps:cNvPr id="300" name="矩形 939"/>
                        <wps:cNvSpPr/>
                        <wps:spPr>
                          <a:xfrm>
                            <a:off x="12456" y="1533327"/>
                            <a:ext cx="762" cy="380"/>
                          </a:xfrm>
                          <a:prstGeom prst="rect">
                            <a:avLst/>
                          </a:prstGeom>
                          <a:noFill/>
                          <a:ln>
                            <a:noFill/>
                          </a:ln>
                        </wps:spPr>
                        <wps:txbx>
                          <w:txbxContent>
                            <w:p w14:paraId="4DD7FE85">
                              <w:pPr>
                                <w:rPr>
                                  <w:rFonts w:hint="default" w:eastAsia="宋体"/>
                                  <w:lang w:val="en-US" w:eastAsia="zh-CN"/>
                                </w:rPr>
                              </w:pPr>
                              <w:r>
                                <w:rPr>
                                  <w:rFonts w:hint="eastAsia"/>
                                  <w:lang w:val="en-US" w:eastAsia="zh-CN"/>
                                </w:rPr>
                                <w:t>1519.2</w:t>
                              </w:r>
                            </w:p>
                          </w:txbxContent>
                        </wps:txbx>
                        <wps:bodyPr vert="horz" wrap="square" lIns="0" tIns="0" rIns="0" bIns="0" anchor="t" anchorCtr="0" upright="1"/>
                      </wps:wsp>
                      <wps:wsp>
                        <wps:cNvPr id="301" name="矩形 879"/>
                        <wps:cNvSpPr/>
                        <wps:spPr>
                          <a:xfrm>
                            <a:off x="8922" y="1536149"/>
                            <a:ext cx="1353" cy="409"/>
                          </a:xfrm>
                          <a:prstGeom prst="rect">
                            <a:avLst/>
                          </a:prstGeom>
                          <a:noFill/>
                          <a:ln>
                            <a:noFill/>
                          </a:ln>
                        </wps:spPr>
                        <wps:txbx>
                          <w:txbxContent>
                            <w:p w14:paraId="000C8208">
                              <w:pPr>
                                <w:rPr>
                                  <w:rFonts w:hint="default" w:eastAsia="宋体"/>
                                  <w:lang w:val="en-US" w:eastAsia="zh-CN"/>
                                </w:rPr>
                              </w:pPr>
                              <w:r>
                                <w:rPr>
                                  <w:rFonts w:hint="eastAsia"/>
                                  <w:lang w:val="en-US" w:eastAsia="zh-CN"/>
                                </w:rPr>
                                <w:t>新鲜水960.48</w:t>
                              </w:r>
                            </w:p>
                          </w:txbxContent>
                        </wps:txbx>
                        <wps:bodyPr vert="horz" wrap="square" lIns="0" tIns="0" rIns="0" bIns="0" anchor="t" anchorCtr="0" upright="1"/>
                      </wps:wsp>
                      <wps:wsp>
                        <wps:cNvPr id="302" name="直线 316"/>
                        <wps:cNvCnPr/>
                        <wps:spPr>
                          <a:xfrm flipH="1">
                            <a:off x="13775" y="1533829"/>
                            <a:ext cx="4" cy="520"/>
                          </a:xfrm>
                          <a:prstGeom prst="line">
                            <a:avLst/>
                          </a:prstGeom>
                          <a:ln w="9525" cap="flat" cmpd="sng">
                            <a:solidFill>
                              <a:srgbClr val="000000"/>
                            </a:solidFill>
                            <a:prstDash val="solid"/>
                            <a:headEnd type="none" w="med" len="med"/>
                            <a:tailEnd type="triangle" w="med" len="med"/>
                          </a:ln>
                        </wps:spPr>
                        <wps:bodyPr upright="1"/>
                      </wps:wsp>
                      <wps:wsp>
                        <wps:cNvPr id="303" name="矩形 803"/>
                        <wps:cNvSpPr/>
                        <wps:spPr>
                          <a:xfrm>
                            <a:off x="9066" y="1533436"/>
                            <a:ext cx="1042" cy="450"/>
                          </a:xfrm>
                          <a:prstGeom prst="rect">
                            <a:avLst/>
                          </a:prstGeom>
                          <a:noFill/>
                          <a:ln w="9525" cap="flat" cmpd="sng">
                            <a:solidFill>
                              <a:srgbClr val="000000"/>
                            </a:solidFill>
                            <a:prstDash val="solid"/>
                            <a:miter/>
                            <a:headEnd type="none" w="med" len="med"/>
                            <a:tailEnd type="none" w="med" len="med"/>
                          </a:ln>
                        </wps:spPr>
                        <wps:txbx>
                          <w:txbxContent>
                            <w:p w14:paraId="3BDAAB2E">
                              <w:pPr>
                                <w:jc w:val="center"/>
                              </w:pPr>
                              <w:r>
                                <w:rPr>
                                  <w:rFonts w:hint="eastAsia"/>
                                  <w:lang w:val="en-US" w:eastAsia="zh-CN"/>
                                </w:rPr>
                                <w:t>脱盐水</w:t>
                              </w:r>
                            </w:p>
                          </w:txbxContent>
                        </wps:txbx>
                        <wps:bodyPr vert="horz" wrap="square" anchor="t" anchorCtr="0" upright="1"/>
                      </wps:wsp>
                      <wps:wsp>
                        <wps:cNvPr id="304" name="直线 318"/>
                        <wps:cNvCnPr/>
                        <wps:spPr>
                          <a:xfrm>
                            <a:off x="11545" y="1532684"/>
                            <a:ext cx="7" cy="761"/>
                          </a:xfrm>
                          <a:prstGeom prst="line">
                            <a:avLst/>
                          </a:prstGeom>
                          <a:ln w="9525" cap="flat" cmpd="sng">
                            <a:solidFill>
                              <a:srgbClr val="000000"/>
                            </a:solidFill>
                            <a:prstDash val="solid"/>
                            <a:headEnd type="none" w="med" len="med"/>
                            <a:tailEnd type="triangle" w="med" len="med"/>
                          </a:ln>
                        </wps:spPr>
                        <wps:bodyPr upright="1"/>
                      </wps:wsp>
                      <wps:wsp>
                        <wps:cNvPr id="305" name="直线 319"/>
                        <wps:cNvCnPr/>
                        <wps:spPr>
                          <a:xfrm flipH="1" flipV="1">
                            <a:off x="9558" y="1534783"/>
                            <a:ext cx="6" cy="455"/>
                          </a:xfrm>
                          <a:prstGeom prst="line">
                            <a:avLst/>
                          </a:prstGeom>
                          <a:ln w="9525" cap="flat" cmpd="sng">
                            <a:solidFill>
                              <a:srgbClr val="000000"/>
                            </a:solidFill>
                            <a:prstDash val="solid"/>
                            <a:headEnd type="none" w="med" len="med"/>
                            <a:tailEnd type="triangle" w="med" len="med"/>
                          </a:ln>
                        </wps:spPr>
                        <wps:bodyPr upright="1"/>
                      </wps:wsp>
                      <wps:wsp>
                        <wps:cNvPr id="306" name="直线 320"/>
                        <wps:cNvCnPr/>
                        <wps:spPr>
                          <a:xfrm flipH="1" flipV="1">
                            <a:off x="10100" y="1534585"/>
                            <a:ext cx="2956" cy="14"/>
                          </a:xfrm>
                          <a:prstGeom prst="line">
                            <a:avLst/>
                          </a:prstGeom>
                          <a:ln w="9525" cap="flat" cmpd="sng">
                            <a:solidFill>
                              <a:srgbClr val="000000"/>
                            </a:solidFill>
                            <a:prstDash val="solid"/>
                            <a:headEnd type="none" w="med" len="med"/>
                            <a:tailEnd type="triangle" w="med" len="med"/>
                          </a:ln>
                        </wps:spPr>
                        <wps:bodyPr upright="1"/>
                      </wps:wsp>
                      <wps:wsp>
                        <wps:cNvPr id="307" name="矩形 875"/>
                        <wps:cNvSpPr/>
                        <wps:spPr>
                          <a:xfrm>
                            <a:off x="10754" y="1532357"/>
                            <a:ext cx="780" cy="470"/>
                          </a:xfrm>
                          <a:prstGeom prst="rect">
                            <a:avLst/>
                          </a:prstGeom>
                          <a:noFill/>
                          <a:ln>
                            <a:noFill/>
                          </a:ln>
                        </wps:spPr>
                        <wps:txbx>
                          <w:txbxContent>
                            <w:p w14:paraId="410D00B2">
                              <w:pPr>
                                <w:rPr>
                                  <w:rFonts w:hint="default" w:eastAsia="宋体"/>
                                  <w:color w:val="0000FF"/>
                                  <w:lang w:val="en-US" w:eastAsia="zh-CN"/>
                                </w:rPr>
                              </w:pPr>
                              <w:r>
                                <w:rPr>
                                  <w:rFonts w:hint="eastAsia" w:eastAsia="宋体"/>
                                  <w:color w:val="0000FF"/>
                                  <w:lang w:val="en-US" w:eastAsia="zh-CN"/>
                                </w:rPr>
                                <w:t>1519.2</w:t>
                              </w:r>
                            </w:p>
                          </w:txbxContent>
                        </wps:txbx>
                        <wps:bodyPr vert="horz" wrap="square" lIns="0" tIns="0" rIns="0" bIns="0" anchor="t" anchorCtr="0" upright="1"/>
                      </wps:wsp>
                      <wps:wsp>
                        <wps:cNvPr id="308" name="矩形 803"/>
                        <wps:cNvSpPr/>
                        <wps:spPr>
                          <a:xfrm>
                            <a:off x="8987" y="1535253"/>
                            <a:ext cx="1153" cy="450"/>
                          </a:xfrm>
                          <a:prstGeom prst="rect">
                            <a:avLst/>
                          </a:prstGeom>
                          <a:noFill/>
                          <a:ln w="9525" cap="flat" cmpd="sng">
                            <a:solidFill>
                              <a:srgbClr val="000000"/>
                            </a:solidFill>
                            <a:prstDash val="solid"/>
                            <a:miter/>
                            <a:headEnd type="none" w="med" len="med"/>
                            <a:tailEnd type="none" w="med" len="med"/>
                          </a:ln>
                        </wps:spPr>
                        <wps:txbx>
                          <w:txbxContent>
                            <w:p w14:paraId="7B969020">
                              <w:pPr>
                                <w:jc w:val="center"/>
                              </w:pPr>
                              <w:r>
                                <w:rPr>
                                  <w:rFonts w:hint="eastAsia"/>
                                  <w:lang w:val="en-US" w:eastAsia="zh-CN"/>
                                </w:rPr>
                                <w:t>脱盐水撬保洁</w:t>
                              </w:r>
                              <w:r>
                                <w:rPr>
                                  <w:rFonts w:hint="eastAsia"/>
                                </w:rPr>
                                <w:t>用水</w:t>
                              </w:r>
                            </w:p>
                          </w:txbxContent>
                        </wps:txbx>
                        <wps:bodyPr vert="horz" wrap="square" anchor="t" anchorCtr="0" upright="1"/>
                      </wps:wsp>
                      <wps:wsp>
                        <wps:cNvPr id="309" name="直线 323"/>
                        <wps:cNvCnPr/>
                        <wps:spPr>
                          <a:xfrm>
                            <a:off x="13738" y="1534816"/>
                            <a:ext cx="7" cy="455"/>
                          </a:xfrm>
                          <a:prstGeom prst="line">
                            <a:avLst/>
                          </a:prstGeom>
                          <a:ln w="9525" cap="flat" cmpd="sng">
                            <a:solidFill>
                              <a:srgbClr val="000000"/>
                            </a:solidFill>
                            <a:prstDash val="solid"/>
                            <a:headEnd type="none" w="med" len="med"/>
                            <a:tailEnd type="triangle" w="med" len="med"/>
                          </a:ln>
                        </wps:spPr>
                        <wps:bodyPr upright="1"/>
                      </wps:wsp>
                      <wps:wsp>
                        <wps:cNvPr id="310" name="矩形 879"/>
                        <wps:cNvSpPr/>
                        <wps:spPr>
                          <a:xfrm>
                            <a:off x="10517" y="1535316"/>
                            <a:ext cx="1369" cy="380"/>
                          </a:xfrm>
                          <a:prstGeom prst="rect">
                            <a:avLst/>
                          </a:prstGeom>
                          <a:noFill/>
                          <a:ln>
                            <a:noFill/>
                          </a:ln>
                        </wps:spPr>
                        <wps:txbx>
                          <w:txbxContent>
                            <w:p w14:paraId="690CB501">
                              <w:pPr>
                                <w:rPr>
                                  <w:rFonts w:hint="default" w:eastAsia="宋体"/>
                                  <w:lang w:val="en-US" w:eastAsia="zh-CN"/>
                                </w:rPr>
                              </w:pPr>
                              <w:r>
                                <w:rPr>
                                  <w:rFonts w:hint="eastAsia"/>
                                  <w:lang w:val="en-US" w:eastAsia="zh-CN"/>
                                </w:rPr>
                                <w:t>浓水240.12</w:t>
                              </w:r>
                            </w:p>
                          </w:txbxContent>
                        </wps:txbx>
                        <wps:bodyPr vert="horz" wrap="square" lIns="0" tIns="0" rIns="0" bIns="0" anchor="t" anchorCtr="0" upright="1"/>
                      </wps:wsp>
                      <wps:wsp>
                        <wps:cNvPr id="311" name="矩形 809"/>
                        <wps:cNvSpPr/>
                        <wps:spPr>
                          <a:xfrm>
                            <a:off x="10765" y="1533447"/>
                            <a:ext cx="1593" cy="433"/>
                          </a:xfrm>
                          <a:prstGeom prst="rect">
                            <a:avLst/>
                          </a:prstGeom>
                          <a:noFill/>
                          <a:ln w="9525" cap="flat" cmpd="sng">
                            <a:solidFill>
                              <a:srgbClr val="000000"/>
                            </a:solidFill>
                            <a:prstDash val="solid"/>
                            <a:miter/>
                            <a:headEnd type="none" w="med" len="med"/>
                            <a:tailEnd type="none" w="med" len="med"/>
                          </a:ln>
                        </wps:spPr>
                        <wps:txbx>
                          <w:txbxContent>
                            <w:p w14:paraId="3180ACCA">
                              <w:pPr>
                                <w:rPr>
                                  <w:rFonts w:hint="default"/>
                                  <w:lang w:val="en-US"/>
                                </w:rPr>
                              </w:pPr>
                              <w:r>
                                <w:rPr>
                                  <w:rFonts w:hint="eastAsia"/>
                                  <w:lang w:val="en-US" w:eastAsia="zh-CN"/>
                                </w:rPr>
                                <w:t>制氢反应用汽</w:t>
                              </w:r>
                            </w:p>
                          </w:txbxContent>
                        </wps:txbx>
                        <wps:bodyPr vert="horz" wrap="square" anchor="t" anchorCtr="0" upright="1"/>
                      </wps:wsp>
                      <wps:wsp>
                        <wps:cNvPr id="312" name="直线 326"/>
                        <wps:cNvCnPr/>
                        <wps:spPr>
                          <a:xfrm flipV="1">
                            <a:off x="10136" y="1535472"/>
                            <a:ext cx="361" cy="2"/>
                          </a:xfrm>
                          <a:prstGeom prst="line">
                            <a:avLst/>
                          </a:prstGeom>
                          <a:ln w="9525" cap="flat" cmpd="sng">
                            <a:solidFill>
                              <a:srgbClr val="000000"/>
                            </a:solidFill>
                            <a:prstDash val="solid"/>
                            <a:headEnd type="none" w="med" len="med"/>
                            <a:tailEnd type="triangle" w="med" len="med"/>
                          </a:ln>
                        </wps:spPr>
                        <wps:bodyPr upright="1"/>
                      </wps:wsp>
                      <wps:wsp>
                        <wps:cNvPr id="313" name="直线 327"/>
                        <wps:cNvCnPr/>
                        <wps:spPr>
                          <a:xfrm>
                            <a:off x="14486" y="1532682"/>
                            <a:ext cx="696" cy="5"/>
                          </a:xfrm>
                          <a:prstGeom prst="line">
                            <a:avLst/>
                          </a:prstGeom>
                          <a:ln w="9525" cap="flat" cmpd="sng">
                            <a:solidFill>
                              <a:srgbClr val="000000"/>
                            </a:solidFill>
                            <a:prstDash val="solid"/>
                            <a:headEnd type="none" w="med" len="med"/>
                            <a:tailEnd type="triangle" w="med" len="med"/>
                          </a:ln>
                        </wps:spPr>
                        <wps:bodyPr upright="1"/>
                      </wps:wsp>
                      <wps:wsp>
                        <wps:cNvPr id="314" name="直线 328"/>
                        <wps:cNvCnPr/>
                        <wps:spPr>
                          <a:xfrm flipV="1">
                            <a:off x="12373" y="1533654"/>
                            <a:ext cx="746" cy="12"/>
                          </a:xfrm>
                          <a:prstGeom prst="line">
                            <a:avLst/>
                          </a:prstGeom>
                          <a:ln w="9525" cap="flat" cmpd="sng">
                            <a:solidFill>
                              <a:srgbClr val="000000"/>
                            </a:solidFill>
                            <a:prstDash val="solid"/>
                            <a:headEnd type="none" w="med" len="med"/>
                            <a:tailEnd type="triangle" w="med" len="med"/>
                          </a:ln>
                        </wps:spPr>
                        <wps:bodyPr upright="1"/>
                      </wps:wsp>
                      <wps:wsp>
                        <wps:cNvPr id="315" name="矩形 807"/>
                        <wps:cNvSpPr/>
                        <wps:spPr>
                          <a:xfrm>
                            <a:off x="13130" y="1533417"/>
                            <a:ext cx="1327" cy="433"/>
                          </a:xfrm>
                          <a:prstGeom prst="rect">
                            <a:avLst/>
                          </a:prstGeom>
                          <a:noFill/>
                          <a:ln w="9525" cap="flat" cmpd="sng">
                            <a:solidFill>
                              <a:srgbClr val="000000"/>
                            </a:solidFill>
                            <a:prstDash val="solid"/>
                            <a:miter/>
                            <a:headEnd type="none" w="med" len="med"/>
                            <a:tailEnd type="none" w="med" len="med"/>
                          </a:ln>
                        </wps:spPr>
                        <wps:txbx>
                          <w:txbxContent>
                            <w:p w14:paraId="6C45CA16">
                              <w:pPr>
                                <w:jc w:val="center"/>
                              </w:pPr>
                              <w:r>
                                <w:rPr>
                                  <w:rFonts w:hint="eastAsia"/>
                                  <w:lang w:val="en-US" w:eastAsia="zh-CN"/>
                                </w:rPr>
                                <w:t>参与反应</w:t>
                              </w:r>
                            </w:p>
                          </w:txbxContent>
                        </wps:txbx>
                        <wps:bodyPr vert="horz" wrap="square" anchor="t" anchorCtr="0" upright="1"/>
                      </wps:wsp>
                      <wps:wsp>
                        <wps:cNvPr id="316" name="矩形 807"/>
                        <wps:cNvSpPr/>
                        <wps:spPr>
                          <a:xfrm>
                            <a:off x="13060" y="1534365"/>
                            <a:ext cx="1518" cy="433"/>
                          </a:xfrm>
                          <a:prstGeom prst="rect">
                            <a:avLst/>
                          </a:prstGeom>
                          <a:noFill/>
                          <a:ln w="9525" cap="flat" cmpd="sng">
                            <a:solidFill>
                              <a:srgbClr val="000000"/>
                            </a:solidFill>
                            <a:prstDash val="solid"/>
                            <a:miter/>
                            <a:headEnd type="none" w="med" len="med"/>
                            <a:tailEnd type="none" w="med" len="med"/>
                          </a:ln>
                        </wps:spPr>
                        <wps:txbx>
                          <w:txbxContent>
                            <w:p w14:paraId="39BDC2AE">
                              <w:pPr>
                                <w:jc w:val="center"/>
                              </w:pPr>
                              <w:r>
                                <w:rPr>
                                  <w:rFonts w:hint="eastAsia"/>
                                  <w:lang w:val="en-US" w:eastAsia="zh-CN"/>
                                </w:rPr>
                                <w:t>冷凝气水分离参与反应</w:t>
                              </w:r>
                            </w:p>
                          </w:txbxContent>
                        </wps:txbx>
                        <wps:bodyPr vert="horz" wrap="square" anchor="t" anchorCtr="0" upright="1"/>
                      </wps:wsp>
                      <wps:wsp>
                        <wps:cNvPr id="317" name="矩形 807"/>
                        <wps:cNvSpPr/>
                        <wps:spPr>
                          <a:xfrm>
                            <a:off x="9072" y="1534332"/>
                            <a:ext cx="1027" cy="433"/>
                          </a:xfrm>
                          <a:prstGeom prst="rect">
                            <a:avLst/>
                          </a:prstGeom>
                          <a:noFill/>
                          <a:ln w="9525" cap="flat" cmpd="sng">
                            <a:solidFill>
                              <a:srgbClr val="000000"/>
                            </a:solidFill>
                            <a:prstDash val="solid"/>
                            <a:miter/>
                            <a:headEnd type="none" w="med" len="med"/>
                            <a:tailEnd type="none" w="med" len="med"/>
                          </a:ln>
                        </wps:spPr>
                        <wps:txbx>
                          <w:txbxContent>
                            <w:p w14:paraId="6DFB31D4">
                              <w:pPr>
                                <w:jc w:val="center"/>
                              </w:pPr>
                              <w:r>
                                <w:rPr>
                                  <w:rFonts w:hint="eastAsia"/>
                                  <w:lang w:val="en-US" w:eastAsia="zh-CN"/>
                                </w:rPr>
                                <w:t>除氧器</w:t>
                              </w:r>
                            </w:p>
                          </w:txbxContent>
                        </wps:txbx>
                        <wps:bodyPr vert="horz" wrap="square" anchor="t" anchorCtr="0" upright="1"/>
                      </wps:wsp>
                      <wps:wsp>
                        <wps:cNvPr id="318" name="直线 332"/>
                        <wps:cNvCnPr/>
                        <wps:spPr>
                          <a:xfrm flipV="1">
                            <a:off x="10305" y="1532670"/>
                            <a:ext cx="1235" cy="7"/>
                          </a:xfrm>
                          <a:prstGeom prst="line">
                            <a:avLst/>
                          </a:prstGeom>
                          <a:ln w="9525" cap="flat" cmpd="sng">
                            <a:solidFill>
                              <a:srgbClr val="000000"/>
                            </a:solidFill>
                            <a:prstDash val="solid"/>
                            <a:headEnd type="none" w="med" len="sm"/>
                            <a:tailEnd type="none" w="med" len="med"/>
                          </a:ln>
                        </wps:spPr>
                        <wps:bodyPr upright="1"/>
                      </wps:wsp>
                      <wps:wsp>
                        <wps:cNvPr id="319" name="直线 333"/>
                        <wps:cNvCnPr/>
                        <wps:spPr>
                          <a:xfrm>
                            <a:off x="14476" y="1533596"/>
                            <a:ext cx="864" cy="14"/>
                          </a:xfrm>
                          <a:prstGeom prst="line">
                            <a:avLst/>
                          </a:prstGeom>
                          <a:ln w="9525" cap="flat" cmpd="sng">
                            <a:solidFill>
                              <a:srgbClr val="000000"/>
                            </a:solidFill>
                            <a:prstDash val="solid"/>
                            <a:headEnd type="none" w="med" len="med"/>
                            <a:tailEnd type="triangle" w="med" len="med"/>
                          </a:ln>
                        </wps:spPr>
                        <wps:bodyPr upright="1"/>
                      </wps:wsp>
                      <wps:wsp>
                        <wps:cNvPr id="320" name="矩形 875"/>
                        <wps:cNvSpPr/>
                        <wps:spPr>
                          <a:xfrm>
                            <a:off x="10149" y="1533823"/>
                            <a:ext cx="600" cy="380"/>
                          </a:xfrm>
                          <a:prstGeom prst="rect">
                            <a:avLst/>
                          </a:prstGeom>
                          <a:noFill/>
                          <a:ln>
                            <a:noFill/>
                          </a:ln>
                        </wps:spPr>
                        <wps:txbx>
                          <w:txbxContent>
                            <w:p w14:paraId="6AFA2B1C">
                              <w:pPr>
                                <w:rPr>
                                  <w:rFonts w:hint="default" w:eastAsia="宋体"/>
                                  <w:lang w:val="en-US" w:eastAsia="zh-CN"/>
                                </w:rPr>
                              </w:pPr>
                              <w:r>
                                <w:rPr>
                                  <w:rFonts w:hint="eastAsia" w:eastAsia="宋体"/>
                                  <w:lang w:val="en-US" w:eastAsia="zh-CN"/>
                                </w:rPr>
                                <w:t>1.2</w:t>
                              </w:r>
                            </w:p>
                          </w:txbxContent>
                        </wps:txbx>
                        <wps:bodyPr vert="horz" wrap="square" lIns="0" tIns="0" rIns="0" bIns="0" anchor="t" anchorCtr="0" upright="1"/>
                      </wps:wsp>
                      <wps:wsp>
                        <wps:cNvPr id="321" name="矩形 939"/>
                        <wps:cNvSpPr/>
                        <wps:spPr>
                          <a:xfrm>
                            <a:off x="10746" y="1534220"/>
                            <a:ext cx="762" cy="380"/>
                          </a:xfrm>
                          <a:prstGeom prst="rect">
                            <a:avLst/>
                          </a:prstGeom>
                          <a:noFill/>
                          <a:ln>
                            <a:noFill/>
                          </a:ln>
                        </wps:spPr>
                        <wps:txbx>
                          <w:txbxContent>
                            <w:p w14:paraId="579F0087">
                              <w:pPr>
                                <w:rPr>
                                  <w:rFonts w:hint="default" w:eastAsia="宋体"/>
                                  <w:lang w:val="en-US" w:eastAsia="zh-CN"/>
                                </w:rPr>
                              </w:pPr>
                              <w:r>
                                <w:rPr>
                                  <w:rFonts w:hint="eastAsia"/>
                                  <w:lang w:val="en-US" w:eastAsia="zh-CN"/>
                                </w:rPr>
                                <w:t>800.04</w:t>
                              </w:r>
                            </w:p>
                          </w:txbxContent>
                        </wps:txbx>
                        <wps:bodyPr vert="horz" wrap="square" lIns="0" tIns="0" rIns="0" bIns="0" anchor="t" anchorCtr="0" upright="1"/>
                      </wps:wsp>
                      <wps:wsp>
                        <wps:cNvPr id="322" name="矩形 939"/>
                        <wps:cNvSpPr/>
                        <wps:spPr>
                          <a:xfrm>
                            <a:off x="15175" y="1532510"/>
                            <a:ext cx="762" cy="380"/>
                          </a:xfrm>
                          <a:prstGeom prst="rect">
                            <a:avLst/>
                          </a:prstGeom>
                          <a:noFill/>
                          <a:ln>
                            <a:noFill/>
                          </a:ln>
                        </wps:spPr>
                        <wps:txbx>
                          <w:txbxContent>
                            <w:p w14:paraId="35EC890F">
                              <w:pPr>
                                <w:rPr>
                                  <w:rFonts w:hint="default" w:eastAsia="宋体"/>
                                  <w:lang w:val="en-US" w:eastAsia="zh-CN"/>
                                </w:rPr>
                              </w:pPr>
                              <w:r>
                                <w:rPr>
                                  <w:rFonts w:hint="eastAsia"/>
                                  <w:lang w:val="en-US" w:eastAsia="zh-CN"/>
                                </w:rPr>
                                <w:t>0.009</w:t>
                              </w:r>
                            </w:p>
                          </w:txbxContent>
                        </wps:txbx>
                        <wps:bodyPr vert="horz" wrap="square" lIns="0" tIns="0" rIns="0" bIns="0" anchor="t" anchorCtr="0" upright="1"/>
                      </wps:wsp>
                      <wps:wsp>
                        <wps:cNvPr id="323" name="直线 338"/>
                        <wps:cNvCnPr/>
                        <wps:spPr>
                          <a:xfrm flipH="1">
                            <a:off x="13790" y="1532929"/>
                            <a:ext cx="4" cy="475"/>
                          </a:xfrm>
                          <a:prstGeom prst="line">
                            <a:avLst/>
                          </a:prstGeom>
                          <a:ln w="9525" cap="flat" cmpd="sng">
                            <a:solidFill>
                              <a:srgbClr val="000000"/>
                            </a:solidFill>
                            <a:prstDash val="solid"/>
                            <a:headEnd type="none" w="med" len="med"/>
                            <a:tailEnd type="triangle" w="med" len="med"/>
                          </a:ln>
                        </wps:spPr>
                        <wps:bodyPr upright="1"/>
                      </wps:wsp>
                      <wps:wsp>
                        <wps:cNvPr id="324" name="矩形 807"/>
                        <wps:cNvSpPr/>
                        <wps:spPr>
                          <a:xfrm>
                            <a:off x="13160" y="1532472"/>
                            <a:ext cx="1327" cy="433"/>
                          </a:xfrm>
                          <a:prstGeom prst="rect">
                            <a:avLst/>
                          </a:prstGeom>
                          <a:noFill/>
                          <a:ln w="9525" cap="flat" cmpd="sng">
                            <a:solidFill>
                              <a:srgbClr val="000000"/>
                            </a:solidFill>
                            <a:prstDash val="solid"/>
                            <a:miter/>
                            <a:headEnd type="none" w="med" len="med"/>
                            <a:tailEnd type="none" w="med" len="med"/>
                          </a:ln>
                        </wps:spPr>
                        <wps:txbx>
                          <w:txbxContent>
                            <w:p w14:paraId="6AA261D0">
                              <w:pPr>
                                <w:jc w:val="center"/>
                              </w:pPr>
                              <w:r>
                                <w:rPr>
                                  <w:rFonts w:hint="eastAsia"/>
                                  <w:lang w:val="en-US" w:eastAsia="zh-CN"/>
                                </w:rPr>
                                <w:t>沼气脱硫</w:t>
                              </w:r>
                            </w:p>
                          </w:txbxContent>
                        </wps:txbx>
                        <wps:bodyPr vert="horz" wrap="square" anchor="t" anchorCtr="0" upright="1"/>
                      </wps:wsp>
                      <wps:wsp>
                        <wps:cNvPr id="325" name="矩形 939"/>
                        <wps:cNvSpPr/>
                        <wps:spPr>
                          <a:xfrm>
                            <a:off x="13821" y="1532952"/>
                            <a:ext cx="762" cy="380"/>
                          </a:xfrm>
                          <a:prstGeom prst="rect">
                            <a:avLst/>
                          </a:prstGeom>
                          <a:noFill/>
                          <a:ln>
                            <a:noFill/>
                          </a:ln>
                        </wps:spPr>
                        <wps:txbx>
                          <w:txbxContent>
                            <w:p w14:paraId="60B1A0CF">
                              <w:pPr>
                                <w:rPr>
                                  <w:rFonts w:hint="default" w:eastAsia="宋体"/>
                                  <w:lang w:val="en-US" w:eastAsia="zh-CN"/>
                                </w:rPr>
                              </w:pPr>
                              <w:r>
                                <w:rPr>
                                  <w:rFonts w:hint="eastAsia"/>
                                  <w:lang w:val="en-US" w:eastAsia="zh-CN"/>
                                </w:rPr>
                                <w:t>654.39</w:t>
                              </w:r>
                            </w:p>
                          </w:txbxContent>
                        </wps:txbx>
                        <wps:bodyPr vert="horz" wrap="square" lIns="0" tIns="0" rIns="0" bIns="0" anchor="t" anchorCtr="0" upright="1"/>
                      </wps:wsp>
                      <wps:wsp>
                        <wps:cNvPr id="326" name="矩形 807"/>
                        <wps:cNvSpPr/>
                        <wps:spPr>
                          <a:xfrm>
                            <a:off x="12955" y="1535295"/>
                            <a:ext cx="1518" cy="433"/>
                          </a:xfrm>
                          <a:prstGeom prst="rect">
                            <a:avLst/>
                          </a:prstGeom>
                          <a:noFill/>
                          <a:ln w="9525" cap="flat" cmpd="sng">
                            <a:solidFill>
                              <a:srgbClr val="000000"/>
                            </a:solidFill>
                            <a:prstDash val="solid"/>
                            <a:miter/>
                            <a:headEnd type="none" w="med" len="med"/>
                            <a:tailEnd type="none" w="med" len="med"/>
                          </a:ln>
                        </wps:spPr>
                        <wps:txbx>
                          <w:txbxContent>
                            <w:p w14:paraId="5D832706">
                              <w:pPr>
                                <w:jc w:val="center"/>
                                <w:rPr>
                                  <w:rFonts w:hint="default" w:eastAsia="宋体"/>
                                  <w:lang w:val="en-US" w:eastAsia="zh-CN"/>
                                </w:rPr>
                              </w:pPr>
                              <w:r>
                                <w:rPr>
                                  <w:rFonts w:hint="eastAsia"/>
                                  <w:lang w:val="en-US" w:eastAsia="zh-CN"/>
                                </w:rPr>
                                <w:t>产品134.85</w:t>
                              </w:r>
                            </w:p>
                          </w:txbxContent>
                        </wps:txbx>
                        <wps:bodyPr vert="horz" wrap="square" anchor="t" anchorCtr="0" upright="1"/>
                      </wps:wsp>
                      <wps:wsp>
                        <wps:cNvPr id="327" name="直线 342"/>
                        <wps:cNvCnPr/>
                        <wps:spPr>
                          <a:xfrm flipV="1">
                            <a:off x="9564" y="1535701"/>
                            <a:ext cx="10" cy="466"/>
                          </a:xfrm>
                          <a:prstGeom prst="line">
                            <a:avLst/>
                          </a:prstGeom>
                          <a:ln w="9525" cap="flat" cmpd="sng">
                            <a:solidFill>
                              <a:srgbClr val="000000"/>
                            </a:solidFill>
                            <a:prstDash val="solid"/>
                            <a:headEnd type="none" w="med" len="med"/>
                            <a:tailEnd type="triangle" w="med" len="med"/>
                          </a:ln>
                        </wps:spPr>
                        <wps:bodyPr upright="1"/>
                      </wps:wsp>
                      <wps:wsp>
                        <wps:cNvPr id="328" name="直线 343"/>
                        <wps:cNvCnPr/>
                        <wps:spPr>
                          <a:xfrm flipH="1" flipV="1">
                            <a:off x="9573" y="1533895"/>
                            <a:ext cx="6" cy="436"/>
                          </a:xfrm>
                          <a:prstGeom prst="line">
                            <a:avLst/>
                          </a:prstGeom>
                          <a:ln w="9525" cap="flat" cmpd="sng">
                            <a:solidFill>
                              <a:srgbClr val="000000"/>
                            </a:solidFill>
                            <a:prstDash val="solid"/>
                            <a:headEnd type="none" w="med" len="med"/>
                            <a:tailEnd type="triangle" w="med" len="med"/>
                          </a:ln>
                        </wps:spPr>
                        <wps:bodyPr upright="1"/>
                      </wps:wsp>
                      <wps:wsp>
                        <wps:cNvPr id="329" name="自选图形 344"/>
                        <wps:cNvCnPr/>
                        <wps:spPr>
                          <a:xfrm flipV="1">
                            <a:off x="9836" y="1534043"/>
                            <a:ext cx="285" cy="255"/>
                          </a:xfrm>
                          <a:prstGeom prst="curvedConnector3">
                            <a:avLst>
                              <a:gd name="adj1" fmla="val 50176"/>
                            </a:avLst>
                          </a:prstGeom>
                          <a:ln w="9525" cap="flat" cmpd="sng">
                            <a:solidFill>
                              <a:srgbClr val="000000"/>
                            </a:solidFill>
                            <a:prstDash val="dash"/>
                            <a:miter/>
                            <a:headEnd type="arrow" w="med" len="med"/>
                            <a:tailEnd type="arrow" w="med" len="med"/>
                          </a:ln>
                        </wps:spPr>
                        <wps:bodyPr/>
                      </wps:wsp>
                      <wps:wsp>
                        <wps:cNvPr id="330" name="矩形 879"/>
                        <wps:cNvSpPr/>
                        <wps:spPr>
                          <a:xfrm>
                            <a:off x="15332" y="1533441"/>
                            <a:ext cx="1369" cy="380"/>
                          </a:xfrm>
                          <a:prstGeom prst="rect">
                            <a:avLst/>
                          </a:prstGeom>
                          <a:noFill/>
                          <a:ln>
                            <a:noFill/>
                          </a:ln>
                        </wps:spPr>
                        <wps:txbx>
                          <w:txbxContent>
                            <w:p w14:paraId="7D13AFDD">
                              <w:pPr>
                                <w:rPr>
                                  <w:rFonts w:hint="default" w:eastAsia="宋体"/>
                                  <w:lang w:val="en-US" w:eastAsia="zh-CN"/>
                                </w:rPr>
                              </w:pPr>
                              <w:r>
                                <w:rPr>
                                  <w:rFonts w:hint="eastAsia"/>
                                  <w:lang w:val="en-US" w:eastAsia="zh-CN"/>
                                </w:rPr>
                                <w:t>解吸气1238.7</w:t>
                              </w:r>
                            </w:p>
                          </w:txbxContent>
                        </wps:txbx>
                        <wps:bodyPr vert="horz" wrap="square" lIns="0" tIns="0" rIns="0" bIns="0" anchor="t" anchorCtr="0" upright="1"/>
                      </wps:wsp>
                      <wps:wsp>
                        <wps:cNvPr id="331" name="矩形 875"/>
                        <wps:cNvSpPr/>
                        <wps:spPr>
                          <a:xfrm>
                            <a:off x="9626" y="1534751"/>
                            <a:ext cx="869" cy="470"/>
                          </a:xfrm>
                          <a:prstGeom prst="rect">
                            <a:avLst/>
                          </a:prstGeom>
                          <a:noFill/>
                          <a:ln>
                            <a:noFill/>
                          </a:ln>
                        </wps:spPr>
                        <wps:txbx>
                          <w:txbxContent>
                            <w:p w14:paraId="7B279645">
                              <w:pPr>
                                <w:rPr>
                                  <w:rFonts w:hint="default" w:eastAsia="宋体"/>
                                  <w:lang w:val="en-US" w:eastAsia="zh-CN"/>
                                </w:rPr>
                              </w:pPr>
                              <w:r>
                                <w:rPr>
                                  <w:rFonts w:hint="eastAsia" w:eastAsia="宋体"/>
                                  <w:lang w:val="en-US" w:eastAsia="zh-CN"/>
                                </w:rPr>
                                <w:t>720.36</w:t>
                              </w:r>
                            </w:p>
                          </w:txbxContent>
                        </wps:txbx>
                        <wps:bodyPr vert="horz" wrap="square" lIns="0" tIns="0" rIns="0" bIns="0" anchor="t" anchorCtr="0" upright="1"/>
                      </wps:wsp>
                      <wps:wsp>
                        <wps:cNvPr id="332" name="直线 348"/>
                        <wps:cNvCnPr/>
                        <wps:spPr>
                          <a:xfrm flipH="1" flipV="1">
                            <a:off x="9580" y="1532880"/>
                            <a:ext cx="5" cy="557"/>
                          </a:xfrm>
                          <a:prstGeom prst="line">
                            <a:avLst/>
                          </a:prstGeom>
                          <a:ln w="9525" cap="flat" cmpd="sng">
                            <a:solidFill>
                              <a:srgbClr val="000000"/>
                            </a:solidFill>
                            <a:prstDash val="solid"/>
                            <a:headEnd type="none" w="med" len="med"/>
                            <a:tailEnd type="triangle" w="med" len="med"/>
                          </a:ln>
                        </wps:spPr>
                        <wps:bodyPr upright="1"/>
                      </wps:wsp>
                      <wps:wsp>
                        <wps:cNvPr id="333" name="矩形 809"/>
                        <wps:cNvSpPr/>
                        <wps:spPr>
                          <a:xfrm>
                            <a:off x="8857" y="1532435"/>
                            <a:ext cx="1461" cy="433"/>
                          </a:xfrm>
                          <a:prstGeom prst="rect">
                            <a:avLst/>
                          </a:prstGeom>
                          <a:noFill/>
                          <a:ln w="9525" cap="flat" cmpd="sng">
                            <a:solidFill>
                              <a:srgbClr val="000000"/>
                            </a:solidFill>
                            <a:prstDash val="solid"/>
                            <a:miter/>
                            <a:headEnd type="none" w="med" len="med"/>
                            <a:tailEnd type="none" w="med" len="med"/>
                          </a:ln>
                        </wps:spPr>
                        <wps:txbx>
                          <w:txbxContent>
                            <w:p w14:paraId="06C764B1">
                              <w:pPr>
                                <w:rPr>
                                  <w:rFonts w:hint="default"/>
                                  <w:lang w:val="en-US"/>
                                </w:rPr>
                              </w:pPr>
                              <w:r>
                                <w:rPr>
                                  <w:rFonts w:hint="eastAsia"/>
                                  <w:lang w:val="en-US" w:eastAsia="zh-CN"/>
                                </w:rPr>
                                <w:t>蒸汽发生器</w:t>
                              </w:r>
                            </w:p>
                          </w:txbxContent>
                        </wps:txbx>
                        <wps:bodyPr vert="horz" wrap="square" anchor="t" anchorCtr="0" upright="1"/>
                      </wps:wsp>
                      <wps:wsp>
                        <wps:cNvPr id="334" name="直线 350"/>
                        <wps:cNvCnPr/>
                        <wps:spPr>
                          <a:xfrm flipV="1">
                            <a:off x="8326" y="1532656"/>
                            <a:ext cx="522" cy="5"/>
                          </a:xfrm>
                          <a:prstGeom prst="line">
                            <a:avLst/>
                          </a:prstGeom>
                          <a:ln w="9525" cap="flat" cmpd="sng">
                            <a:solidFill>
                              <a:srgbClr val="000000"/>
                            </a:solidFill>
                            <a:prstDash val="solid"/>
                            <a:headEnd type="none" w="med" len="sm"/>
                            <a:tailEnd type="none" w="med" len="med"/>
                          </a:ln>
                        </wps:spPr>
                        <wps:bodyPr upright="1"/>
                      </wps:wsp>
                      <wps:wsp>
                        <wps:cNvPr id="335" name="直线 351"/>
                        <wps:cNvCnPr/>
                        <wps:spPr>
                          <a:xfrm flipH="1">
                            <a:off x="8316" y="1532662"/>
                            <a:ext cx="12" cy="1915"/>
                          </a:xfrm>
                          <a:prstGeom prst="line">
                            <a:avLst/>
                          </a:prstGeom>
                          <a:ln w="9525" cap="flat" cmpd="sng">
                            <a:solidFill>
                              <a:srgbClr val="000000"/>
                            </a:solidFill>
                            <a:prstDash val="solid"/>
                            <a:headEnd type="none" w="med" len="sm"/>
                            <a:tailEnd type="none" w="med" len="med"/>
                          </a:ln>
                        </wps:spPr>
                        <wps:bodyPr upright="1"/>
                      </wps:wsp>
                      <wps:wsp>
                        <wps:cNvPr id="336" name="直线 352"/>
                        <wps:cNvCnPr/>
                        <wps:spPr>
                          <a:xfrm flipV="1">
                            <a:off x="8313" y="1534560"/>
                            <a:ext cx="765" cy="12"/>
                          </a:xfrm>
                          <a:prstGeom prst="line">
                            <a:avLst/>
                          </a:prstGeom>
                          <a:ln w="9525" cap="flat" cmpd="sng">
                            <a:solidFill>
                              <a:srgbClr val="000000"/>
                            </a:solidFill>
                            <a:prstDash val="solid"/>
                            <a:headEnd type="none" w="med" len="med"/>
                            <a:tailEnd type="triangle" w="med" len="med"/>
                          </a:ln>
                        </wps:spPr>
                        <wps:bodyPr upright="1"/>
                      </wps:wsp>
                      <wps:wsp>
                        <wps:cNvPr id="337" name="矩形 875"/>
                        <wps:cNvSpPr/>
                        <wps:spPr>
                          <a:xfrm>
                            <a:off x="8391" y="1534315"/>
                            <a:ext cx="600" cy="470"/>
                          </a:xfrm>
                          <a:prstGeom prst="rect">
                            <a:avLst/>
                          </a:prstGeom>
                          <a:noFill/>
                          <a:ln>
                            <a:noFill/>
                          </a:ln>
                        </wps:spPr>
                        <wps:txbx>
                          <w:txbxContent>
                            <w:p w14:paraId="7340125A">
                              <w:pPr>
                                <w:rPr>
                                  <w:rFonts w:hint="default" w:eastAsia="宋体"/>
                                  <w:lang w:val="en-US" w:eastAsia="zh-CN"/>
                                </w:rPr>
                              </w:pPr>
                              <w:r>
                                <w:rPr>
                                  <w:rFonts w:hint="eastAsia" w:eastAsia="宋体"/>
                                  <w:lang w:val="en-US" w:eastAsia="zh-CN"/>
                                </w:rPr>
                                <w:t>282</w:t>
                              </w:r>
                            </w:p>
                          </w:txbxContent>
                        </wps:txbx>
                        <wps:bodyPr vert="horz" wrap="square" lIns="0" tIns="0" rIns="0" bIns="0" anchor="t" anchorCtr="0" upright="1"/>
                      </wps:wsp>
                      <wps:wsp>
                        <wps:cNvPr id="338" name="矩形 875"/>
                        <wps:cNvSpPr/>
                        <wps:spPr>
                          <a:xfrm>
                            <a:off x="8991" y="1533916"/>
                            <a:ext cx="720" cy="470"/>
                          </a:xfrm>
                          <a:prstGeom prst="rect">
                            <a:avLst/>
                          </a:prstGeom>
                          <a:noFill/>
                          <a:ln>
                            <a:noFill/>
                          </a:ln>
                        </wps:spPr>
                        <wps:txbx>
                          <w:txbxContent>
                            <w:p w14:paraId="159B4E70">
                              <w:pPr>
                                <w:rPr>
                                  <w:rFonts w:hint="default" w:eastAsia="宋体"/>
                                  <w:lang w:val="en-US" w:eastAsia="zh-CN"/>
                                </w:rPr>
                              </w:pPr>
                              <w:r>
                                <w:rPr>
                                  <w:rFonts w:hint="eastAsia" w:eastAsia="宋体"/>
                                  <w:lang w:val="en-US" w:eastAsia="zh-CN"/>
                                </w:rPr>
                                <w:t>1801.2</w:t>
                              </w:r>
                            </w:p>
                          </w:txbxContent>
                        </wps:txbx>
                        <wps:bodyPr vert="horz" wrap="square" lIns="0" tIns="0" rIns="0" bIns="0" anchor="t" anchorCtr="0" upright="1"/>
                      </wps:wsp>
                      <wps:wsp>
                        <wps:cNvPr id="339" name="矩形 875"/>
                        <wps:cNvSpPr/>
                        <wps:spPr>
                          <a:xfrm>
                            <a:off x="9581" y="1532966"/>
                            <a:ext cx="600" cy="316"/>
                          </a:xfrm>
                          <a:prstGeom prst="rect">
                            <a:avLst/>
                          </a:prstGeom>
                          <a:noFill/>
                          <a:ln>
                            <a:noFill/>
                          </a:ln>
                        </wps:spPr>
                        <wps:txbx>
                          <w:txbxContent>
                            <w:p w14:paraId="18B6F452">
                              <w:pPr>
                                <w:rPr>
                                  <w:rFonts w:hint="default" w:eastAsia="宋体"/>
                                  <w:lang w:val="en-US" w:eastAsia="zh-CN"/>
                                </w:rPr>
                              </w:pPr>
                              <w:r>
                                <w:rPr>
                                  <w:rFonts w:hint="eastAsia" w:eastAsia="宋体"/>
                                  <w:lang w:val="en-US" w:eastAsia="zh-CN"/>
                                </w:rPr>
                                <w:t>1801.2</w:t>
                              </w:r>
                            </w:p>
                          </w:txbxContent>
                        </wps:txbx>
                        <wps:bodyPr vert="horz" wrap="square" lIns="0" tIns="0" rIns="0" bIns="0" anchor="t" anchorCtr="0" upright="1"/>
                      </wps:wsp>
                    </wpg:wgp>
                  </a:graphicData>
                </a:graphic>
              </wp:inline>
            </w:drawing>
          </mc:Choice>
          <mc:Fallback>
            <w:pict>
              <v:group id="组合 889" o:spid="_x0000_s1026" o:spt="203" style="height:210pt;width:419.35pt;" coordorigin="8313,1532357" coordsize="8387,4200" o:gfxdata="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">
                <o:lock v:ext="edit" aspectratio="f"/>
                <v:rect id="矩形 939" o:spid="_x0000_s1026" o:spt="1" style="position:absolute;left:12456;top:1533327;height:380;width:762;" filled="f" stroked="f" coordsize="21600,21600" o:gfxdata="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oYUmugAAANw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4DD7FE85">
                        <w:pPr>
                          <w:rPr>
                            <w:rFonts w:hint="default" w:eastAsia="宋体"/>
                            <w:lang w:val="en-US" w:eastAsia="zh-CN"/>
                          </w:rPr>
                        </w:pPr>
                        <w:r>
                          <w:rPr>
                            <w:rFonts w:hint="eastAsia"/>
                            <w:lang w:val="en-US" w:eastAsia="zh-CN"/>
                          </w:rPr>
                          <w:t>1519.2</w:t>
                        </w:r>
                      </w:p>
                    </w:txbxContent>
                  </v:textbox>
                </v:rect>
                <v:rect id="矩形 879" o:spid="_x0000_s1026" o:spt="1" style="position:absolute;left:8922;top:1536149;height:409;width:1353;" filled="f" stroked="f" coordsize="21600,21600" o:gfxdata="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vtIL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000C8208">
                        <w:pPr>
                          <w:rPr>
                            <w:rFonts w:hint="default" w:eastAsia="宋体"/>
                            <w:lang w:val="en-US" w:eastAsia="zh-CN"/>
                          </w:rPr>
                        </w:pPr>
                        <w:r>
                          <w:rPr>
                            <w:rFonts w:hint="eastAsia"/>
                            <w:lang w:val="en-US" w:eastAsia="zh-CN"/>
                          </w:rPr>
                          <w:t>新鲜水960.48</w:t>
                        </w:r>
                      </w:p>
                    </w:txbxContent>
                  </v:textbox>
                </v:rect>
                <v:line id="直线 316" o:spid="_x0000_s1026" o:spt="20" style="position:absolute;left:13775;top:1533829;flip:x;height:520;width:4;" filled="f" stroked="t" coordsize="21600,21600" o:gfxdata="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WacL&#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03" o:spid="_x0000_s1026" o:spt="1" style="position:absolute;left:9066;top:1533436;height:450;width:1042;" filled="f" stroked="t" coordsize="21600,21600" o:gfxdata="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G5K4S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14:paraId="3BDAAB2E">
                        <w:pPr>
                          <w:jc w:val="center"/>
                        </w:pPr>
                        <w:r>
                          <w:rPr>
                            <w:rFonts w:hint="eastAsia"/>
                            <w:lang w:val="en-US" w:eastAsia="zh-CN"/>
                          </w:rPr>
                          <w:t>脱盐水</w:t>
                        </w:r>
                      </w:p>
                    </w:txbxContent>
                  </v:textbox>
                </v:rect>
                <v:line id="直线 318" o:spid="_x0000_s1026" o:spt="20" style="position:absolute;left:11545;top:1532684;height:761;width:7;" filled="f" stroked="t" coordsize="21600,21600" o:gfxdata="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QpZU&#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319" o:spid="_x0000_s1026" o:spt="20" style="position:absolute;left:9558;top:1534783;flip:x y;height:455;width:6;" filled="f" stroked="t" coordsize="21600,21600" o:gfxdata="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vQLi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320" o:spid="_x0000_s1026" o:spt="20" style="position:absolute;left:10100;top:1534585;flip:x y;height:14;width:2956;" filled="f" stroked="t" coordsize="21600,21600" o:gfxdata="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cl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875" o:spid="_x0000_s1026" o:spt="1" style="position:absolute;left:10754;top:1532357;height:470;width:780;" filled="f" stroked="f" coordsize="21600,21600" o:gfxdata="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IHVK/&#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410D00B2">
                        <w:pPr>
                          <w:rPr>
                            <w:rFonts w:hint="default" w:eastAsia="宋体"/>
                            <w:color w:val="0000FF"/>
                            <w:lang w:val="en-US" w:eastAsia="zh-CN"/>
                          </w:rPr>
                        </w:pPr>
                        <w:r>
                          <w:rPr>
                            <w:rFonts w:hint="eastAsia" w:eastAsia="宋体"/>
                            <w:color w:val="0000FF"/>
                            <w:lang w:val="en-US" w:eastAsia="zh-CN"/>
                          </w:rPr>
                          <w:t>1519.2</w:t>
                        </w:r>
                      </w:p>
                    </w:txbxContent>
                  </v:textbox>
                </v:rect>
                <v:rect id="矩形 803" o:spid="_x0000_s1026" o:spt="1" style="position:absolute;left:8987;top:1535253;height:450;width:1153;" filled="f" stroked="t" coordsize="21600,21600" o:gfxdata="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Hbn1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14:paraId="7B969020">
                        <w:pPr>
                          <w:jc w:val="center"/>
                        </w:pPr>
                        <w:r>
                          <w:rPr>
                            <w:rFonts w:hint="eastAsia"/>
                            <w:lang w:val="en-US" w:eastAsia="zh-CN"/>
                          </w:rPr>
                          <w:t>脱盐水撬保洁</w:t>
                        </w:r>
                        <w:r>
                          <w:rPr>
                            <w:rFonts w:hint="eastAsia"/>
                          </w:rPr>
                          <w:t>用水</w:t>
                        </w:r>
                      </w:p>
                    </w:txbxContent>
                  </v:textbox>
                </v:rect>
                <v:line id="直线 323" o:spid="_x0000_s1026" o:spt="20" style="position:absolute;left:13738;top:1534816;height:455;width:7;" filled="f" stroked="t" coordsize="21600,21600" o:gfxdata="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QznK&#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9" o:spid="_x0000_s1026" o:spt="1" style="position:absolute;left:10517;top:1535316;height:380;width:1369;" filled="f" stroked="f" coordsize="21600,21600" o:gfxdata="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eBP7ugAAANw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690CB501">
                        <w:pPr>
                          <w:rPr>
                            <w:rFonts w:hint="default" w:eastAsia="宋体"/>
                            <w:lang w:val="en-US" w:eastAsia="zh-CN"/>
                          </w:rPr>
                        </w:pPr>
                        <w:r>
                          <w:rPr>
                            <w:rFonts w:hint="eastAsia"/>
                            <w:lang w:val="en-US" w:eastAsia="zh-CN"/>
                          </w:rPr>
                          <w:t>浓水240.12</w:t>
                        </w:r>
                      </w:p>
                    </w:txbxContent>
                  </v:textbox>
                </v:rect>
                <v:rect id="矩形 809" o:spid="_x0000_s1026" o:spt="1" style="position:absolute;left:10765;top:1533447;height:433;width:1593;" filled="f" stroked="t" coordsize="21600,21600" o:gfxdata="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oa1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3180ACCA">
                        <w:pPr>
                          <w:rPr>
                            <w:rFonts w:hint="default"/>
                            <w:lang w:val="en-US"/>
                          </w:rPr>
                        </w:pPr>
                        <w:r>
                          <w:rPr>
                            <w:rFonts w:hint="eastAsia"/>
                            <w:lang w:val="en-US" w:eastAsia="zh-CN"/>
                          </w:rPr>
                          <w:t>制氢反应用汽</w:t>
                        </w:r>
                      </w:p>
                    </w:txbxContent>
                  </v:textbox>
                </v:rect>
                <v:line id="直线 326" o:spid="_x0000_s1026" o:spt="20" style="position:absolute;left:10136;top:1535472;flip:y;height:2;width:361;" filled="f" stroked="t" coordsize="21600,21600" o:gfxdata="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gDH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327" o:spid="_x0000_s1026" o:spt="20" style="position:absolute;left:14486;top:1532682;height:5;width:696;" filled="f" stroked="t" coordsize="21600,21600" o:gfxdata="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5ymP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328" o:spid="_x0000_s1026" o:spt="20" style="position:absolute;left:12373;top:1533654;flip:y;height:12;width:746;" filled="f" stroked="t" coordsize="21600,21600" o:gfxdata="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glDD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07" o:spid="_x0000_s1026" o:spt="1" style="position:absolute;left:13130;top:1533417;height:433;width:1327;" filled="f" stroked="t" coordsize="21600,21600" o:gfxdata="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MWAt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6C45CA16">
                        <w:pPr>
                          <w:jc w:val="center"/>
                        </w:pPr>
                        <w:r>
                          <w:rPr>
                            <w:rFonts w:hint="eastAsia"/>
                            <w:lang w:val="en-US" w:eastAsia="zh-CN"/>
                          </w:rPr>
                          <w:t>参与反应</w:t>
                        </w:r>
                      </w:p>
                    </w:txbxContent>
                  </v:textbox>
                </v:rect>
                <v:rect id="矩形 807" o:spid="_x0000_s1026" o:spt="1" style="position:absolute;left:13060;top:1534365;height:433;width:1518;" filled="f" stroked="t" coordsize="21600,21600" o:gfxdata="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Bcew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39BDC2AE">
                        <w:pPr>
                          <w:jc w:val="center"/>
                        </w:pPr>
                        <w:r>
                          <w:rPr>
                            <w:rFonts w:hint="eastAsia"/>
                            <w:lang w:val="en-US" w:eastAsia="zh-CN"/>
                          </w:rPr>
                          <w:t>冷凝气水分离参与反应</w:t>
                        </w:r>
                      </w:p>
                    </w:txbxContent>
                  </v:textbox>
                </v:rect>
                <v:rect id="矩形 807" o:spid="_x0000_s1026" o:spt="1" style="position:absolute;left:9072;top:1534332;height:433;width:1027;" filled="f" stroked="t" coordsize="21600,21600" o:gfxdata="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W7ta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6DFB31D4">
                        <w:pPr>
                          <w:jc w:val="center"/>
                        </w:pPr>
                        <w:r>
                          <w:rPr>
                            <w:rFonts w:hint="eastAsia"/>
                            <w:lang w:val="en-US" w:eastAsia="zh-CN"/>
                          </w:rPr>
                          <w:t>除氧器</w:t>
                        </w:r>
                      </w:p>
                    </w:txbxContent>
                  </v:textbox>
                </v:rect>
                <v:line id="直线 332" o:spid="_x0000_s1026" o:spt="20" style="position:absolute;left:10305;top:1532670;flip:y;height:7;width:1235;" filled="f" stroked="t" coordsize="21600,21600" o:gfxdata="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FvaNrgAAADcAAAA&#10;DwAAAAAAAAABACAAAAAiAAAAZHJzL2Rvd25yZXYueG1sUEsBAhQAFAAAAAgAh07iQDMvBZ47AAAA&#10;OQAAABAAAAAAAAAAAQAgAAAABwEAAGRycy9zaGFwZXhtbC54bWxQSwUGAAAAAAYABgBbAQAAsQMA&#10;AAAA&#10;">
                  <v:fill on="f" focussize="0,0"/>
                  <v:stroke color="#000000" joinstyle="round" startarrowlength="short"/>
                  <v:imagedata o:title=""/>
                  <o:lock v:ext="edit" aspectratio="f"/>
                </v:line>
                <v:line id="直线 333" o:spid="_x0000_s1026" o:spt="20" style="position:absolute;left:14476;top:1533596;height:14;width:864;" filled="f" stroked="t" coordsize="21600,21600" o:gfxdata="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mq8X&#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5" o:spid="_x0000_s1026" o:spt="1" style="position:absolute;left:10149;top:1533823;height:380;width:600;" filled="f" stroked="f" coordsize="21600,21600" o:gfxdata="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8U2Ua5AAAA3A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14:paraId="6AFA2B1C">
                        <w:pPr>
                          <w:rPr>
                            <w:rFonts w:hint="default" w:eastAsia="宋体"/>
                            <w:lang w:val="en-US" w:eastAsia="zh-CN"/>
                          </w:rPr>
                        </w:pPr>
                        <w:r>
                          <w:rPr>
                            <w:rFonts w:hint="eastAsia" w:eastAsia="宋体"/>
                            <w:lang w:val="en-US" w:eastAsia="zh-CN"/>
                          </w:rPr>
                          <w:t>1.2</w:t>
                        </w:r>
                      </w:p>
                    </w:txbxContent>
                  </v:textbox>
                </v:rect>
                <v:rect id="矩形 939" o:spid="_x0000_s1026" o:spt="1" style="position:absolute;left:10746;top:1534220;height:380;width:762;" filled="f" stroked="f" coordsize="21600,21600" o:gfxdata="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Fh83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579F0087">
                        <w:pPr>
                          <w:rPr>
                            <w:rFonts w:hint="default" w:eastAsia="宋体"/>
                            <w:lang w:val="en-US" w:eastAsia="zh-CN"/>
                          </w:rPr>
                        </w:pPr>
                        <w:r>
                          <w:rPr>
                            <w:rFonts w:hint="eastAsia"/>
                            <w:lang w:val="en-US" w:eastAsia="zh-CN"/>
                          </w:rPr>
                          <w:t>800.04</w:t>
                        </w:r>
                      </w:p>
                    </w:txbxContent>
                  </v:textbox>
                </v:rect>
                <v:rect id="矩形 939" o:spid="_x0000_s1026" o:spt="1" style="position:absolute;left:15175;top:1532510;height:380;width:762;" filled="f" stroked="f" coordsize="21600,21600" o:gfxdata="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K4q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35EC890F">
                        <w:pPr>
                          <w:rPr>
                            <w:rFonts w:hint="default" w:eastAsia="宋体"/>
                            <w:lang w:val="en-US" w:eastAsia="zh-CN"/>
                          </w:rPr>
                        </w:pPr>
                        <w:r>
                          <w:rPr>
                            <w:rFonts w:hint="eastAsia"/>
                            <w:lang w:val="en-US" w:eastAsia="zh-CN"/>
                          </w:rPr>
                          <w:t>0.009</w:t>
                        </w:r>
                      </w:p>
                    </w:txbxContent>
                  </v:textbox>
                </v:rect>
                <v:line id="直线 338" o:spid="_x0000_s1026" o:spt="20" style="position:absolute;left:13790;top:1532929;flip:x;height:475;width:4;" filled="f" stroked="t" coordsize="21600,21600" o:gfxdata="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oF7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07" o:spid="_x0000_s1026" o:spt="1" style="position:absolute;left:13160;top:1532472;height:433;width:1327;" filled="f" stroked="t" coordsize="21600,21600" o:gfxdata="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5e+Q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6AA261D0">
                        <w:pPr>
                          <w:jc w:val="center"/>
                        </w:pPr>
                        <w:r>
                          <w:rPr>
                            <w:rFonts w:hint="eastAsia"/>
                            <w:lang w:val="en-US" w:eastAsia="zh-CN"/>
                          </w:rPr>
                          <w:t>沼气脱硫</w:t>
                        </w:r>
                      </w:p>
                    </w:txbxContent>
                  </v:textbox>
                </v:rect>
                <v:rect id="矩形 939" o:spid="_x0000_s1026" o:spt="1" style="position:absolute;left:13821;top:1532952;height:380;width:762;" filled="f" stroked="f" coordsize="21600,21600" o:gfxdata="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N63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60B1A0CF">
                        <w:pPr>
                          <w:rPr>
                            <w:rFonts w:hint="default" w:eastAsia="宋体"/>
                            <w:lang w:val="en-US" w:eastAsia="zh-CN"/>
                          </w:rPr>
                        </w:pPr>
                        <w:r>
                          <w:rPr>
                            <w:rFonts w:hint="eastAsia"/>
                            <w:lang w:val="en-US" w:eastAsia="zh-CN"/>
                          </w:rPr>
                          <w:t>654.39</w:t>
                        </w:r>
                      </w:p>
                    </w:txbxContent>
                  </v:textbox>
                </v:rect>
                <v:rect id="矩形 807" o:spid="_x0000_s1026" o:spt="1" style="position:absolute;left:12955;top:1535295;height:433;width:1518;" filled="f" stroked="t" coordsize="21600,21600" o:gfxdata="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p71Hy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14:paraId="5D832706">
                        <w:pPr>
                          <w:jc w:val="center"/>
                          <w:rPr>
                            <w:rFonts w:hint="default" w:eastAsia="宋体"/>
                            <w:lang w:val="en-US" w:eastAsia="zh-CN"/>
                          </w:rPr>
                        </w:pPr>
                        <w:r>
                          <w:rPr>
                            <w:rFonts w:hint="eastAsia"/>
                            <w:lang w:val="en-US" w:eastAsia="zh-CN"/>
                          </w:rPr>
                          <w:t>产品134.85</w:t>
                        </w:r>
                      </w:p>
                    </w:txbxContent>
                  </v:textbox>
                </v:rect>
                <v:line id="直线 342" o:spid="_x0000_s1026" o:spt="20" style="position:absolute;left:9564;top:1535701;flip:y;height:466;width:10;" filled="f" stroked="t" coordsize="21600,21600" o:gfxdata="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2m1jz&#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343" o:spid="_x0000_s1026" o:spt="20" style="position:absolute;left:9573;top:1533895;flip:x y;height:436;width:6;" filled="f" stroked="t" coordsize="21600,21600" o:gfxdata="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gJ8Ry5AAAA3AAA&#10;AA8AAAAAAAAAAQAgAAAAIgAAAGRycy9kb3ducmV2LnhtbFBLAQIUABQAAAAIAIdO4kAzLwWeOwAA&#10;ADkAAAAQAAAAAAAAAAEAIAAAAAgBAABkcnMvc2hhcGV4bWwueG1sUEsFBgAAAAAGAAYAWwEAALID&#10;AAAAAA==&#10;">
                  <v:fill on="f" focussize="0,0"/>
                  <v:stroke color="#000000" joinstyle="round" endarrow="block"/>
                  <v:imagedata o:title=""/>
                  <o:lock v:ext="edit" aspectratio="f"/>
                </v:line>
                <v:shape id="自选图形 344" o:spid="_x0000_s1026" o:spt="38" type="#_x0000_t38" style="position:absolute;left:9836;top:1534043;flip:y;height:255;width:285;" filled="f" stroked="t" coordsize="21600,21600" o:gfxdata="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kjXfa8AAAA&#10;3AAAAA8AAAAAAAAAAQAgAAAAIgAAAGRycy9kb3ducmV2LnhtbFBLAQIUABQAAAAIAIdO4kAzLwWe&#10;OwAAADkAAAAQAAAAAAAAAAEAIAAAAAsBAABkcnMvc2hhcGV4bWwueG1sUEsFBgAAAAAGAAYAWwEA&#10;ALUDAAAAAA==&#10;" adj="10838">
                  <v:fill on="f" focussize="0,0"/>
                  <v:stroke color="#000000" joinstyle="miter" dashstyle="dash" startarrow="open" endarrow="open"/>
                  <v:imagedata o:title=""/>
                  <o:lock v:ext="edit" aspectratio="f"/>
                </v:shape>
                <v:rect id="矩形 879" o:spid="_x0000_s1026" o:spt="1" style="position:absolute;left:15332;top:1533441;height:380;width:1369;" filled="f" stroked="f" coordsize="21600,21600" o:gfxdata="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rNT5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7D13AFDD">
                        <w:pPr>
                          <w:rPr>
                            <w:rFonts w:hint="default" w:eastAsia="宋体"/>
                            <w:lang w:val="en-US" w:eastAsia="zh-CN"/>
                          </w:rPr>
                        </w:pPr>
                        <w:r>
                          <w:rPr>
                            <w:rFonts w:hint="eastAsia"/>
                            <w:lang w:val="en-US" w:eastAsia="zh-CN"/>
                          </w:rPr>
                          <w:t>解吸气1238.7</w:t>
                        </w:r>
                      </w:p>
                    </w:txbxContent>
                  </v:textbox>
                </v:rect>
                <v:rect id="矩形 875" o:spid="_x0000_s1026" o:spt="1" style="position:absolute;left:9626;top:1534751;height:470;width:869;" filled="f" stroked="f" coordsize="21600,21600" o:gfxdata="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YHqA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7B279645">
                        <w:pPr>
                          <w:rPr>
                            <w:rFonts w:hint="default" w:eastAsia="宋体"/>
                            <w:lang w:val="en-US" w:eastAsia="zh-CN"/>
                          </w:rPr>
                        </w:pPr>
                        <w:r>
                          <w:rPr>
                            <w:rFonts w:hint="eastAsia" w:eastAsia="宋体"/>
                            <w:lang w:val="en-US" w:eastAsia="zh-CN"/>
                          </w:rPr>
                          <w:t>720.36</w:t>
                        </w:r>
                      </w:p>
                    </w:txbxContent>
                  </v:textbox>
                </v:rect>
                <v:line id="直线 348" o:spid="_x0000_s1026" o:spt="20" style="position:absolute;left:9580;top:1532880;flip:x y;height:557;width:5;" filled="f" stroked="t" coordsize="21600,21600" o:gfxdata="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OFAr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矩形 809" o:spid="_x0000_s1026" o:spt="1" style="position:absolute;left:8857;top:1532435;height:433;width:1461;" filled="f" stroked="t" coordsize="21600,21600" o:gfxdata="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1eE5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06C764B1">
                        <w:pPr>
                          <w:rPr>
                            <w:rFonts w:hint="default"/>
                            <w:lang w:val="en-US"/>
                          </w:rPr>
                        </w:pPr>
                        <w:r>
                          <w:rPr>
                            <w:rFonts w:hint="eastAsia"/>
                            <w:lang w:val="en-US" w:eastAsia="zh-CN"/>
                          </w:rPr>
                          <w:t>蒸汽发生器</w:t>
                        </w:r>
                      </w:p>
                    </w:txbxContent>
                  </v:textbox>
                </v:rect>
                <v:line id="直线 350" o:spid="_x0000_s1026" o:spt="20" style="position:absolute;left:8326;top:1532656;flip:y;height:5;width:522;" filled="f" stroked="t" coordsize="21600,21600" o:gfxdata="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o4xTvQAA&#10;ANwAAAAPAAAAAAAAAAEAIAAAACIAAABkcnMvZG93bnJldi54bWxQSwECFAAUAAAACACHTuJAMy8F&#10;njsAAAA5AAAAEAAAAAAAAAABACAAAAAMAQAAZHJzL3NoYXBleG1sLnhtbFBLBQYAAAAABgAGAFsB&#10;AAC2AwAAAAA=&#10;">
                  <v:fill on="f" focussize="0,0"/>
                  <v:stroke color="#000000" joinstyle="round" startarrowlength="short"/>
                  <v:imagedata o:title=""/>
                  <o:lock v:ext="edit" aspectratio="f"/>
                </v:line>
                <v:line id="直线 351" o:spid="_x0000_s1026" o:spt="20" style="position:absolute;left:8316;top:1532662;flip:x;height:1915;width:12;" filled="f" stroked="t" coordsize="21600,21600" o:gfxdata="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7ynIvQAA&#10;ANwAAAAPAAAAAAAAAAEAIAAAACIAAABkcnMvZG93bnJldi54bWxQSwECFAAUAAAACACHTuJAMy8F&#10;njsAAAA5AAAAEAAAAAAAAAABACAAAAAMAQAAZHJzL3NoYXBleG1sLnhtbFBLBQYAAAAABgAGAFsB&#10;AAC2AwAAAAA=&#10;">
                  <v:fill on="f" focussize="0,0"/>
                  <v:stroke color="#000000" joinstyle="round" startarrowlength="short"/>
                  <v:imagedata o:title=""/>
                  <o:lock v:ext="edit" aspectratio="f"/>
                </v:line>
                <v:line id="直线 352" o:spid="_x0000_s1026" o:spt="20" style="position:absolute;left:8313;top:1534560;flip:y;height:12;width:765;" filled="f" stroked="t" coordsize="21600,21600" o:gfxdata="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Dmu1&#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5" o:spid="_x0000_s1026" o:spt="1" style="position:absolute;left:8391;top:1534315;height:470;width:600;" filled="f" stroked="f" coordsize="21600,21600" o:gfxdata="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STX7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7340125A">
                        <w:pPr>
                          <w:rPr>
                            <w:rFonts w:hint="default" w:eastAsia="宋体"/>
                            <w:lang w:val="en-US" w:eastAsia="zh-CN"/>
                          </w:rPr>
                        </w:pPr>
                        <w:r>
                          <w:rPr>
                            <w:rFonts w:hint="eastAsia" w:eastAsia="宋体"/>
                            <w:lang w:val="en-US" w:eastAsia="zh-CN"/>
                          </w:rPr>
                          <w:t>282</w:t>
                        </w:r>
                      </w:p>
                    </w:txbxContent>
                  </v:textbox>
                </v:rect>
                <v:rect id="矩形 875" o:spid="_x0000_s1026" o:spt="1" style="position:absolute;left:8991;top:1533916;height:470;width:720;" filled="f" stroked="f" coordsize="21600,21600" o:gfxdata="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7Q5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159B4E70">
                        <w:pPr>
                          <w:rPr>
                            <w:rFonts w:hint="default" w:eastAsia="宋体"/>
                            <w:lang w:val="en-US" w:eastAsia="zh-CN"/>
                          </w:rPr>
                        </w:pPr>
                        <w:r>
                          <w:rPr>
                            <w:rFonts w:hint="eastAsia" w:eastAsia="宋体"/>
                            <w:lang w:val="en-US" w:eastAsia="zh-CN"/>
                          </w:rPr>
                          <w:t>1801.2</w:t>
                        </w:r>
                      </w:p>
                    </w:txbxContent>
                  </v:textbox>
                </v:rect>
                <v:rect id="矩形 875" o:spid="_x0000_s1026" o:spt="1" style="position:absolute;left:9581;top:1532966;height:316;width:600;" filled="f" stroked="f" coordsize="21600,21600" o:gfxdata="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v35ga/&#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18B6F452">
                        <w:pPr>
                          <w:rPr>
                            <w:rFonts w:hint="default" w:eastAsia="宋体"/>
                            <w:lang w:val="en-US" w:eastAsia="zh-CN"/>
                          </w:rPr>
                        </w:pPr>
                        <w:r>
                          <w:rPr>
                            <w:rFonts w:hint="eastAsia" w:eastAsia="宋体"/>
                            <w:lang w:val="en-US" w:eastAsia="zh-CN"/>
                          </w:rPr>
                          <w:t>1801.2</w:t>
                        </w:r>
                      </w:p>
                    </w:txbxContent>
                  </v:textbox>
                </v:rect>
                <w10:wrap type="none"/>
                <w10:anchorlock/>
              </v:group>
            </w:pict>
          </mc:Fallback>
        </mc:AlternateContent>
      </w:r>
    </w:p>
    <w:p w14:paraId="6F90AA6E">
      <w:pPr>
        <w:spacing w:line="360" w:lineRule="auto"/>
        <w:ind w:firstLine="482" w:firstLineChars="200"/>
        <w:jc w:val="center"/>
        <w:rPr>
          <w:rFonts w:ascii="Times New Roman" w:hAnsi="Times New Roman" w:eastAsia="宋体"/>
          <w:b/>
          <w:color w:val="auto"/>
          <w:sz w:val="24"/>
          <w:highlight w:val="none"/>
        </w:rPr>
      </w:pPr>
      <w:r>
        <w:rPr>
          <w:rFonts w:ascii="Times New Roman" w:hAnsi="Times New Roman" w:eastAsia="宋体"/>
          <w:b/>
          <w:color w:val="auto"/>
          <w:sz w:val="24"/>
          <w:highlight w:val="none"/>
        </w:rPr>
        <w:t>图3.</w:t>
      </w:r>
      <w:r>
        <w:rPr>
          <w:rFonts w:hint="eastAsia" w:ascii="Times New Roman" w:hAnsi="Times New Roman" w:eastAsia="宋体"/>
          <w:b/>
          <w:color w:val="auto"/>
          <w:sz w:val="24"/>
          <w:highlight w:val="none"/>
          <w:lang w:val="en-US" w:eastAsia="zh-CN"/>
        </w:rPr>
        <w:t>4</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2  三套制氢设备物料平衡图（kg/h）</w:t>
      </w:r>
    </w:p>
    <w:p w14:paraId="537AD3D6">
      <w:pPr>
        <w:spacing w:line="440" w:lineRule="exact"/>
        <w:ind w:firstLine="480" w:firstLineChars="200"/>
        <w:rPr>
          <w:rFonts w:hint="default"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2、硫元素</w:t>
      </w:r>
      <w:r>
        <w:rPr>
          <w:rFonts w:hint="default" w:ascii="Times New Roman" w:hAnsi="Times New Roman" w:eastAsia="宋体" w:cs="Times New Roman"/>
          <w:color w:val="auto"/>
          <w:sz w:val="24"/>
          <w:highlight w:val="none"/>
        </w:rPr>
        <w:t>平衡</w:t>
      </w:r>
    </w:p>
    <w:p w14:paraId="178B3F81">
      <w:pPr>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w:t>
      </w:r>
      <w:r>
        <w:rPr>
          <w:rFonts w:hint="eastAsia" w:ascii="Times New Roman" w:hAnsi="Times New Roman" w:eastAsia="宋体" w:cs="Times New Roman"/>
          <w:b/>
          <w:bCs/>
          <w:color w:val="auto"/>
          <w:kern w:val="2"/>
          <w:sz w:val="24"/>
          <w:szCs w:val="24"/>
          <w:highlight w:val="none"/>
          <w:lang w:val="en-US" w:eastAsia="zh-CN" w:bidi="ar-SA"/>
        </w:rPr>
        <w:t>3</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1</w:t>
      </w:r>
      <w:r>
        <w:rPr>
          <w:rFonts w:hint="default" w:ascii="Times New Roman" w:hAnsi="Times New Roman" w:eastAsia="宋体" w:cs="Times New Roman"/>
          <w:b/>
          <w:bCs/>
          <w:color w:val="auto"/>
          <w:kern w:val="2"/>
          <w:sz w:val="24"/>
          <w:szCs w:val="24"/>
          <w:highlight w:val="none"/>
          <w:lang w:val="en-US" w:eastAsia="zh-CN" w:bidi="ar-SA"/>
        </w:rPr>
        <w:t>-</w:t>
      </w:r>
      <w:r>
        <w:rPr>
          <w:rFonts w:hint="eastAsia" w:cs="Times New Roman"/>
          <w:b/>
          <w:bCs/>
          <w:color w:val="auto"/>
          <w:kern w:val="2"/>
          <w:sz w:val="24"/>
          <w:szCs w:val="24"/>
          <w:highlight w:val="none"/>
          <w:lang w:val="en-US" w:eastAsia="zh-CN" w:bidi="ar-SA"/>
        </w:rPr>
        <w:t>4</w:t>
      </w:r>
      <w:r>
        <w:rPr>
          <w:rFonts w:hint="eastAsia" w:ascii="Times New Roman" w:hAnsi="Times New Roman" w:eastAsia="宋体" w:cs="Times New Roman"/>
          <w:b/>
          <w:bCs/>
          <w:color w:val="auto"/>
          <w:kern w:val="2"/>
          <w:sz w:val="24"/>
          <w:szCs w:val="24"/>
          <w:highlight w:val="none"/>
          <w:lang w:val="en-US" w:eastAsia="zh-CN" w:bidi="ar-SA"/>
        </w:rPr>
        <w:t xml:space="preserve">  沼气制氢工艺硫元素平衡一览表（t/a）</w:t>
      </w:r>
    </w:p>
    <w:tbl>
      <w:tblPr>
        <w:tblStyle w:val="5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8"/>
        <w:gridCol w:w="2038"/>
        <w:gridCol w:w="1621"/>
        <w:gridCol w:w="1600"/>
        <w:gridCol w:w="2222"/>
      </w:tblGrid>
      <w:tr w14:paraId="76F8F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609" w:type="pct"/>
            <w:noWrap w:val="0"/>
            <w:vAlign w:val="center"/>
          </w:tcPr>
          <w:p w14:paraId="3651FA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序号</w:t>
            </w:r>
          </w:p>
        </w:tc>
        <w:tc>
          <w:tcPr>
            <w:tcW w:w="2147" w:type="pct"/>
            <w:gridSpan w:val="2"/>
            <w:noWrap w:val="0"/>
            <w:vAlign w:val="center"/>
          </w:tcPr>
          <w:p w14:paraId="6478A8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入方</w:t>
            </w:r>
          </w:p>
        </w:tc>
        <w:tc>
          <w:tcPr>
            <w:tcW w:w="2243" w:type="pct"/>
            <w:gridSpan w:val="2"/>
            <w:noWrap w:val="0"/>
            <w:vAlign w:val="center"/>
          </w:tcPr>
          <w:p w14:paraId="0DA079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出方</w:t>
            </w:r>
          </w:p>
        </w:tc>
      </w:tr>
      <w:tr w14:paraId="3732E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609" w:type="pct"/>
            <w:noWrap w:val="0"/>
            <w:vAlign w:val="center"/>
          </w:tcPr>
          <w:p w14:paraId="184CBE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1</w:t>
            </w:r>
          </w:p>
        </w:tc>
        <w:tc>
          <w:tcPr>
            <w:tcW w:w="1196" w:type="pct"/>
            <w:noWrap w:val="0"/>
            <w:vAlign w:val="center"/>
          </w:tcPr>
          <w:p w14:paraId="3AE538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原料沼气含硫量</w:t>
            </w:r>
          </w:p>
        </w:tc>
        <w:tc>
          <w:tcPr>
            <w:tcW w:w="951" w:type="pct"/>
            <w:noWrap w:val="0"/>
            <w:vAlign w:val="center"/>
          </w:tcPr>
          <w:p w14:paraId="222752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0.0648</w:t>
            </w:r>
          </w:p>
        </w:tc>
        <w:tc>
          <w:tcPr>
            <w:tcW w:w="939" w:type="pct"/>
            <w:noWrap w:val="0"/>
            <w:vAlign w:val="center"/>
          </w:tcPr>
          <w:p w14:paraId="477E34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脱硫剂去除量</w:t>
            </w:r>
          </w:p>
        </w:tc>
        <w:tc>
          <w:tcPr>
            <w:tcW w:w="1304" w:type="pct"/>
            <w:noWrap w:val="0"/>
            <w:vAlign w:val="center"/>
          </w:tcPr>
          <w:p w14:paraId="6E75162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0.0648</w:t>
            </w:r>
          </w:p>
        </w:tc>
      </w:tr>
      <w:tr w14:paraId="1B34D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609" w:type="pct"/>
            <w:noWrap w:val="0"/>
            <w:vAlign w:val="center"/>
          </w:tcPr>
          <w:p w14:paraId="40A496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2</w:t>
            </w:r>
          </w:p>
        </w:tc>
        <w:tc>
          <w:tcPr>
            <w:tcW w:w="1196" w:type="pct"/>
            <w:noWrap w:val="0"/>
            <w:vAlign w:val="center"/>
          </w:tcPr>
          <w:p w14:paraId="13DDDD0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燃料沼气含硫量</w:t>
            </w:r>
          </w:p>
        </w:tc>
        <w:tc>
          <w:tcPr>
            <w:tcW w:w="951" w:type="pct"/>
            <w:noWrap w:val="0"/>
            <w:vAlign w:val="center"/>
          </w:tcPr>
          <w:p w14:paraId="4BF4FC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0.09</w:t>
            </w:r>
          </w:p>
        </w:tc>
        <w:tc>
          <w:tcPr>
            <w:tcW w:w="939" w:type="pct"/>
            <w:noWrap w:val="0"/>
            <w:vAlign w:val="center"/>
          </w:tcPr>
          <w:p w14:paraId="2E480D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燃烧去除硫量</w:t>
            </w:r>
          </w:p>
        </w:tc>
        <w:tc>
          <w:tcPr>
            <w:tcW w:w="1304" w:type="pct"/>
            <w:noWrap w:val="0"/>
            <w:vAlign w:val="center"/>
          </w:tcPr>
          <w:p w14:paraId="0F8399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0.09</w:t>
            </w:r>
          </w:p>
        </w:tc>
      </w:tr>
      <w:tr w14:paraId="1A903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609" w:type="pct"/>
            <w:noWrap w:val="0"/>
            <w:vAlign w:val="center"/>
          </w:tcPr>
          <w:p w14:paraId="628BA8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合计</w:t>
            </w:r>
          </w:p>
        </w:tc>
        <w:tc>
          <w:tcPr>
            <w:tcW w:w="1196" w:type="pct"/>
            <w:noWrap w:val="0"/>
            <w:vAlign w:val="center"/>
          </w:tcPr>
          <w:p w14:paraId="1492FC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951" w:type="pct"/>
            <w:noWrap w:val="0"/>
            <w:vAlign w:val="center"/>
          </w:tcPr>
          <w:p w14:paraId="178CEA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0.1548</w:t>
            </w:r>
          </w:p>
        </w:tc>
        <w:tc>
          <w:tcPr>
            <w:tcW w:w="939" w:type="pct"/>
            <w:noWrap w:val="0"/>
            <w:vAlign w:val="center"/>
          </w:tcPr>
          <w:p w14:paraId="1B1125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bidi="ar"/>
              </w:rPr>
            </w:pPr>
          </w:p>
        </w:tc>
        <w:tc>
          <w:tcPr>
            <w:tcW w:w="1304" w:type="pct"/>
            <w:noWrap w:val="0"/>
            <w:vAlign w:val="center"/>
          </w:tcPr>
          <w:p w14:paraId="019450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eastAsia" w:ascii="Times New Roman" w:hAnsi="Times New Roman" w:eastAsia="宋体" w:cs="Times New Roman"/>
                <w:b w:val="0"/>
                <w:bCs w:val="0"/>
                <w:i w:val="0"/>
                <w:iCs w:val="0"/>
                <w:color w:val="auto"/>
                <w:kern w:val="0"/>
                <w:sz w:val="21"/>
                <w:szCs w:val="21"/>
                <w:highlight w:val="none"/>
                <w:u w:val="none"/>
                <w:lang w:val="en-US" w:eastAsia="zh-CN" w:bidi="ar"/>
              </w:rPr>
              <w:t>0.1548</w:t>
            </w:r>
          </w:p>
        </w:tc>
      </w:tr>
    </w:tbl>
    <w:p w14:paraId="2F55EDFB">
      <w:pPr>
        <w:pStyle w:val="4"/>
        <w:spacing w:after="156"/>
        <w:rPr>
          <w:rFonts w:ascii="Times New Roman" w:hAnsi="Times New Roman" w:eastAsia="宋体"/>
          <w:b w:val="0"/>
          <w:color w:val="auto"/>
          <w:sz w:val="24"/>
          <w:highlight w:val="none"/>
        </w:rPr>
      </w:pPr>
      <w:r>
        <w:rPr>
          <w:color w:val="auto"/>
          <w:highlight w:val="none"/>
        </w:rPr>
        <w:t>3.</w:t>
      </w:r>
      <w:r>
        <w:rPr>
          <w:rFonts w:hint="eastAsia"/>
          <w:color w:val="auto"/>
          <w:highlight w:val="none"/>
          <w:lang w:val="en-US" w:eastAsia="zh-CN"/>
        </w:rPr>
        <w:t>4</w:t>
      </w:r>
      <w:r>
        <w:rPr>
          <w:color w:val="auto"/>
          <w:highlight w:val="none"/>
        </w:rPr>
        <w:t>.</w:t>
      </w:r>
      <w:r>
        <w:rPr>
          <w:rFonts w:hint="eastAsia"/>
          <w:color w:val="auto"/>
          <w:highlight w:val="none"/>
          <w:lang w:val="en-US" w:eastAsia="zh-CN"/>
        </w:rPr>
        <w:t>2水</w:t>
      </w:r>
      <w:r>
        <w:rPr>
          <w:color w:val="auto"/>
          <w:highlight w:val="none"/>
        </w:rPr>
        <w:t>平衡</w:t>
      </w:r>
    </w:p>
    <w:p w14:paraId="68BCACDB">
      <w:pPr>
        <w:keepNext w:val="0"/>
        <w:keepLines w:val="0"/>
        <w:pageBreakBefore w:val="0"/>
        <w:widowControl w:val="0"/>
        <w:kinsoku/>
        <w:wordWrap/>
        <w:overflowPunct/>
        <w:topLinePunct w:val="0"/>
        <w:autoSpaceDE/>
        <w:bidi w:val="0"/>
        <w:adjustRightInd w:val="0"/>
        <w:snapToGrid w:val="0"/>
        <w:spacing w:line="360" w:lineRule="auto"/>
        <w:ind w:firstLine="482" w:firstLineChars="200"/>
        <w:textAlignment w:val="auto"/>
        <w:rPr>
          <w:b/>
          <w:color w:val="auto"/>
          <w:sz w:val="24"/>
          <w:szCs w:val="28"/>
          <w:highlight w:val="none"/>
        </w:rPr>
      </w:pPr>
      <w:r>
        <w:rPr>
          <w:b/>
          <w:color w:val="auto"/>
          <w:sz w:val="24"/>
          <w:szCs w:val="28"/>
          <w:highlight w:val="none"/>
        </w:rPr>
        <w:t>1、给水</w:t>
      </w:r>
    </w:p>
    <w:p w14:paraId="7E6EFD62">
      <w:pPr>
        <w:keepNext w:val="0"/>
        <w:keepLines w:val="0"/>
        <w:pageBreakBefore w:val="0"/>
        <w:widowControl w:val="0"/>
        <w:kinsoku/>
        <w:wordWrap/>
        <w:overflowPunct/>
        <w:topLinePunct w:val="0"/>
        <w:autoSpaceDE/>
        <w:bidi w:val="0"/>
        <w:adjustRightInd w:val="0"/>
        <w:snapToGrid w:val="0"/>
        <w:spacing w:line="360" w:lineRule="auto"/>
        <w:ind w:firstLine="480" w:firstLineChars="200"/>
        <w:jc w:val="left"/>
        <w:textAlignment w:val="auto"/>
        <w:rPr>
          <w:bCs/>
          <w:color w:val="auto"/>
          <w:sz w:val="24"/>
          <w:szCs w:val="28"/>
          <w:highlight w:val="none"/>
        </w:rPr>
      </w:pPr>
      <w:r>
        <w:rPr>
          <w:bCs/>
          <w:color w:val="auto"/>
          <w:sz w:val="24"/>
          <w:szCs w:val="28"/>
          <w:highlight w:val="none"/>
        </w:rPr>
        <w:t>项目用水主要环节为生产用水、生活用水等。</w:t>
      </w:r>
    </w:p>
    <w:p w14:paraId="02F23A76">
      <w:pPr>
        <w:keepNext w:val="0"/>
        <w:keepLines w:val="0"/>
        <w:pageBreakBefore w:val="0"/>
        <w:widowControl w:val="0"/>
        <w:numPr>
          <w:ilvl w:val="0"/>
          <w:numId w:val="0"/>
        </w:numPr>
        <w:kinsoku/>
        <w:wordWrap/>
        <w:overflowPunct/>
        <w:topLinePunct w:val="0"/>
        <w:autoSpaceDE/>
        <w:bidi w:val="0"/>
        <w:adjustRightInd w:val="0"/>
        <w:snapToGrid w:val="0"/>
        <w:spacing w:line="360" w:lineRule="auto"/>
        <w:ind w:firstLine="480" w:firstLineChars="200"/>
        <w:jc w:val="left"/>
        <w:textAlignment w:val="auto"/>
        <w:rPr>
          <w:bCs/>
          <w:color w:val="auto"/>
          <w:sz w:val="24"/>
          <w:szCs w:val="28"/>
          <w:highlight w:val="none"/>
        </w:rPr>
      </w:pPr>
      <w:r>
        <w:rPr>
          <w:rFonts w:hint="eastAsia"/>
          <w:bCs/>
          <w:color w:val="auto"/>
          <w:kern w:val="2"/>
          <w:sz w:val="24"/>
          <w:szCs w:val="28"/>
          <w:highlight w:val="none"/>
          <w:lang w:val="en-US" w:eastAsia="zh-CN" w:bidi="ar-SA"/>
        </w:rPr>
        <w:t>（一）</w:t>
      </w:r>
      <w:r>
        <w:rPr>
          <w:bCs/>
          <w:color w:val="auto"/>
          <w:sz w:val="24"/>
          <w:szCs w:val="28"/>
          <w:highlight w:val="none"/>
        </w:rPr>
        <w:t>生活用水</w:t>
      </w:r>
    </w:p>
    <w:p w14:paraId="73472377">
      <w:pPr>
        <w:keepNext w:val="0"/>
        <w:keepLines w:val="0"/>
        <w:pageBreakBefore w:val="0"/>
        <w:widowControl w:val="0"/>
        <w:kinsoku/>
        <w:wordWrap/>
        <w:overflowPunct/>
        <w:topLinePunct w:val="0"/>
        <w:autoSpaceDE/>
        <w:autoSpaceDN w:val="0"/>
        <w:bidi w:val="0"/>
        <w:adjustRightInd w:val="0"/>
        <w:snapToGrid w:val="0"/>
        <w:spacing w:line="360" w:lineRule="auto"/>
        <w:ind w:firstLine="480" w:firstLineChars="200"/>
        <w:jc w:val="left"/>
        <w:textAlignment w:val="auto"/>
        <w:rPr>
          <w:rFonts w:hint="eastAsia" w:cs="Times New Roman"/>
          <w:color w:val="auto"/>
          <w:sz w:val="24"/>
          <w:highlight w:val="none"/>
          <w:lang w:eastAsia="zh-CN"/>
        </w:rPr>
      </w:pPr>
      <w:r>
        <w:rPr>
          <w:bCs/>
          <w:color w:val="auto"/>
          <w:sz w:val="24"/>
          <w:szCs w:val="28"/>
          <w:highlight w:val="none"/>
        </w:rPr>
        <w:t>本项目</w:t>
      </w:r>
      <w:r>
        <w:rPr>
          <w:rFonts w:cs="Times New Roman"/>
          <w:color w:val="auto"/>
          <w:sz w:val="24"/>
          <w:highlight w:val="none"/>
        </w:rPr>
        <w:t>劳动定员</w:t>
      </w:r>
      <w:r>
        <w:rPr>
          <w:rFonts w:hint="eastAsia" w:cs="Times New Roman"/>
          <w:color w:val="auto"/>
          <w:sz w:val="24"/>
          <w:highlight w:val="none"/>
          <w:lang w:val="en-US" w:eastAsia="zh-CN"/>
        </w:rPr>
        <w:t>30</w:t>
      </w:r>
      <w:r>
        <w:rPr>
          <w:rFonts w:cs="Times New Roman"/>
          <w:color w:val="auto"/>
          <w:sz w:val="24"/>
          <w:highlight w:val="none"/>
        </w:rPr>
        <w:t>人，</w:t>
      </w:r>
      <w:r>
        <w:rPr>
          <w:rFonts w:hint="eastAsia" w:cs="Times New Roman"/>
          <w:color w:val="auto"/>
          <w:sz w:val="24"/>
          <w:highlight w:val="none"/>
        </w:rPr>
        <w:t>根据《安徽省行业用水定额》（DB34/T679-20</w:t>
      </w:r>
      <w:r>
        <w:rPr>
          <w:rFonts w:hint="eastAsia" w:cs="Times New Roman"/>
          <w:color w:val="auto"/>
          <w:sz w:val="24"/>
          <w:highlight w:val="none"/>
          <w:lang w:val="en-US" w:eastAsia="zh-CN"/>
        </w:rPr>
        <w:t>25</w:t>
      </w:r>
      <w:r>
        <w:rPr>
          <w:rFonts w:hint="eastAsia" w:cs="Times New Roman"/>
          <w:color w:val="auto"/>
          <w:sz w:val="24"/>
          <w:highlight w:val="none"/>
        </w:rPr>
        <w:t>）中的相关内容，办公用水定额取</w:t>
      </w:r>
      <w:r>
        <w:rPr>
          <w:rFonts w:hint="eastAsia" w:cs="Times New Roman"/>
          <w:color w:val="auto"/>
          <w:sz w:val="24"/>
          <w:highlight w:val="none"/>
          <w:lang w:val="en-US" w:eastAsia="zh-CN"/>
        </w:rPr>
        <w:t>通用定额38</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rPr>
        <w:t>/人·d</w:t>
      </w:r>
      <w:r>
        <w:rPr>
          <w:rFonts w:hint="eastAsia" w:cs="Times New Roman"/>
          <w:color w:val="auto"/>
          <w:sz w:val="24"/>
          <w:highlight w:val="none"/>
        </w:rPr>
        <w:t>。则生活用水量大约为</w:t>
      </w:r>
      <w:r>
        <w:rPr>
          <w:rFonts w:hint="eastAsia" w:cs="Times New Roman"/>
          <w:color w:val="auto"/>
          <w:sz w:val="24"/>
          <w:highlight w:val="none"/>
          <w:lang w:val="en-US" w:eastAsia="zh-CN"/>
        </w:rPr>
        <w:t>3.12</w:t>
      </w:r>
      <w:r>
        <w:rPr>
          <w:rFonts w:hint="eastAsia" w:cs="Times New Roman"/>
          <w:color w:val="auto"/>
          <w:sz w:val="24"/>
          <w:highlight w:val="none"/>
        </w:rPr>
        <w:t>t/d，</w:t>
      </w:r>
      <w:r>
        <w:rPr>
          <w:rFonts w:hint="eastAsia" w:cs="Times New Roman"/>
          <w:color w:val="auto"/>
          <w:sz w:val="24"/>
          <w:highlight w:val="none"/>
          <w:lang w:val="en-US" w:eastAsia="zh-CN"/>
        </w:rPr>
        <w:t>1140</w:t>
      </w:r>
      <w:r>
        <w:rPr>
          <w:rFonts w:hint="eastAsia" w:cs="Times New Roman"/>
          <w:color w:val="auto"/>
          <w:sz w:val="24"/>
          <w:highlight w:val="none"/>
        </w:rPr>
        <w:t>t/a</w:t>
      </w:r>
      <w:r>
        <w:rPr>
          <w:rFonts w:hint="eastAsia" w:cs="Times New Roman"/>
          <w:color w:val="auto"/>
          <w:sz w:val="24"/>
          <w:highlight w:val="none"/>
          <w:lang w:eastAsia="zh-CN"/>
        </w:rPr>
        <w:t>。</w:t>
      </w:r>
    </w:p>
    <w:p w14:paraId="71A6A31D">
      <w:pPr>
        <w:keepNext w:val="0"/>
        <w:keepLines w:val="0"/>
        <w:pageBreakBefore w:val="0"/>
        <w:widowControl w:val="0"/>
        <w:kinsoku/>
        <w:wordWrap/>
        <w:overflowPunct/>
        <w:topLinePunct w:val="0"/>
        <w:autoSpaceDE/>
        <w:autoSpaceDN w:val="0"/>
        <w:bidi w:val="0"/>
        <w:adjustRightInd w:val="0"/>
        <w:snapToGrid w:val="0"/>
        <w:spacing w:line="360" w:lineRule="auto"/>
        <w:ind w:firstLine="480" w:firstLineChars="200"/>
        <w:jc w:val="left"/>
        <w:textAlignment w:val="auto"/>
        <w:rPr>
          <w:rFonts w:hint="eastAsia" w:cs="Times New Roman"/>
          <w:color w:val="auto"/>
          <w:sz w:val="24"/>
          <w:highlight w:val="none"/>
          <w:lang w:val="en-US" w:eastAsia="zh-CN"/>
        </w:rPr>
      </w:pPr>
      <w:r>
        <w:rPr>
          <w:rFonts w:hint="eastAsia" w:cs="Times New Roman"/>
          <w:color w:val="auto"/>
          <w:sz w:val="24"/>
          <w:highlight w:val="none"/>
          <w:lang w:val="en-US" w:eastAsia="zh-CN"/>
        </w:rPr>
        <w:t>本项目保洁区域为站房内办公区，总面积为308.45m</w:t>
      </w:r>
      <w:r>
        <w:rPr>
          <w:rFonts w:hint="eastAsia" w:cs="Times New Roman"/>
          <w:color w:val="auto"/>
          <w:sz w:val="24"/>
          <w:highlight w:val="none"/>
          <w:vertAlign w:val="superscript"/>
          <w:lang w:val="en-US" w:eastAsia="zh-CN"/>
        </w:rPr>
        <w:t>2</w:t>
      </w:r>
      <w:r>
        <w:rPr>
          <w:rFonts w:hint="eastAsia" w:cs="Times New Roman"/>
          <w:color w:val="auto"/>
          <w:sz w:val="24"/>
          <w:highlight w:val="none"/>
          <w:vertAlign w:val="baseline"/>
          <w:lang w:val="en-US" w:eastAsia="zh-CN"/>
        </w:rPr>
        <w:t>，</w:t>
      </w:r>
      <w:r>
        <w:rPr>
          <w:rFonts w:hint="eastAsia" w:cs="Times New Roman"/>
          <w:color w:val="auto"/>
          <w:sz w:val="24"/>
          <w:highlight w:val="none"/>
          <w:lang w:val="en-US" w:eastAsia="zh-CN"/>
        </w:rPr>
        <w:t>用水量为1.5L/m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计算，则单次地面冲洗用水量为0.46m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/次，按照每日地面保洁一次，则地面清洗用水量为167.9m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/a（0.46m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/d）。</w:t>
      </w:r>
    </w:p>
    <w:p w14:paraId="73E3FBBB">
      <w:pPr>
        <w:keepNext w:val="0"/>
        <w:keepLines w:val="0"/>
        <w:pageBreakBefore w:val="0"/>
        <w:widowControl w:val="0"/>
        <w:kinsoku/>
        <w:wordWrap/>
        <w:overflowPunct/>
        <w:topLinePunct w:val="0"/>
        <w:autoSpaceDE/>
        <w:bidi w:val="0"/>
        <w:adjustRightInd w:val="0"/>
        <w:snapToGrid w:val="0"/>
        <w:spacing w:line="360" w:lineRule="auto"/>
        <w:ind w:firstLine="480" w:firstLineChars="200"/>
        <w:textAlignment w:val="auto"/>
        <w:rPr>
          <w:bCs/>
          <w:color w:val="auto"/>
          <w:sz w:val="24"/>
          <w:szCs w:val="28"/>
          <w:highlight w:val="none"/>
        </w:rPr>
      </w:pPr>
      <w:r>
        <w:rPr>
          <w:bCs/>
          <w:color w:val="auto"/>
          <w:sz w:val="24"/>
          <w:szCs w:val="28"/>
          <w:highlight w:val="none"/>
        </w:rPr>
        <w:t>（二）生产用水</w:t>
      </w:r>
    </w:p>
    <w:p w14:paraId="7BF95758">
      <w:pPr>
        <w:keepNext w:val="0"/>
        <w:keepLines w:val="0"/>
        <w:pageBreakBefore w:val="0"/>
        <w:widowControl w:val="0"/>
        <w:kinsoku/>
        <w:wordWrap/>
        <w:overflowPunct/>
        <w:topLinePunct w:val="0"/>
        <w:autoSpaceDE/>
        <w:bidi w:val="0"/>
        <w:adjustRightInd w:val="0"/>
        <w:snapToGrid w:val="0"/>
        <w:spacing w:line="360" w:lineRule="auto"/>
        <w:ind w:firstLine="480" w:firstLineChars="200"/>
        <w:textAlignment w:val="auto"/>
        <w:rPr>
          <w:rFonts w:hint="eastAsia"/>
          <w:bCs/>
          <w:color w:val="auto"/>
          <w:sz w:val="24"/>
          <w:szCs w:val="28"/>
          <w:highlight w:val="none"/>
          <w:lang w:val="en-US" w:eastAsia="zh-CN"/>
        </w:rPr>
      </w:pPr>
      <w:r>
        <w:rPr>
          <w:rFonts w:hint="eastAsia"/>
          <w:bCs/>
          <w:color w:val="auto"/>
          <w:sz w:val="24"/>
          <w:szCs w:val="28"/>
          <w:highlight w:val="none"/>
          <w:lang w:val="en-US" w:eastAsia="zh-CN"/>
        </w:rPr>
        <w:t>本项目生产环节用水涉及脱盐水制水、循环冷却水系统用水和洗车机用水。</w:t>
      </w:r>
    </w:p>
    <w:p w14:paraId="32B8A835">
      <w:pPr>
        <w:keepNext w:val="0"/>
        <w:keepLines w:val="0"/>
        <w:pageBreakBefore w:val="0"/>
        <w:widowControl w:val="0"/>
        <w:kinsoku/>
        <w:wordWrap/>
        <w:overflowPunct/>
        <w:topLinePunct w:val="0"/>
        <w:autoSpaceDE/>
        <w:bidi w:val="0"/>
        <w:adjustRightInd w:val="0"/>
        <w:snapToGrid w:val="0"/>
        <w:spacing w:line="360" w:lineRule="auto"/>
        <w:ind w:firstLine="480" w:firstLineChars="200"/>
        <w:textAlignment w:val="auto"/>
        <w:rPr>
          <w:rFonts w:hint="eastAsia"/>
          <w:bCs/>
          <w:color w:val="auto"/>
          <w:sz w:val="24"/>
          <w:szCs w:val="28"/>
          <w:highlight w:val="none"/>
          <w:lang w:val="en-US" w:eastAsia="zh-CN"/>
        </w:rPr>
      </w:pPr>
      <w:r>
        <w:rPr>
          <w:rFonts w:hint="eastAsia"/>
          <w:bCs/>
          <w:color w:val="auto"/>
          <w:sz w:val="24"/>
          <w:szCs w:val="28"/>
          <w:highlight w:val="none"/>
          <w:lang w:val="en-US" w:eastAsia="zh-CN"/>
        </w:rPr>
        <w:t>①脱盐水制水</w:t>
      </w:r>
    </w:p>
    <w:p w14:paraId="47F92B0D">
      <w:pPr>
        <w:keepNext w:val="0"/>
        <w:keepLines w:val="0"/>
        <w:pageBreakBefore w:val="0"/>
        <w:widowControl w:val="0"/>
        <w:kinsoku/>
        <w:wordWrap/>
        <w:overflowPunct/>
        <w:topLinePunct w:val="0"/>
        <w:autoSpaceDE/>
        <w:bidi w:val="0"/>
        <w:adjustRightInd w:val="0"/>
        <w:snapToGrid w:val="0"/>
        <w:spacing w:line="360" w:lineRule="auto"/>
        <w:ind w:firstLine="480" w:firstLineChars="200"/>
        <w:textAlignment w:val="auto"/>
        <w:rPr>
          <w:rFonts w:hint="eastAsia"/>
          <w:bCs/>
          <w:color w:val="auto"/>
          <w:sz w:val="24"/>
          <w:szCs w:val="28"/>
          <w:highlight w:val="none"/>
          <w:lang w:val="en-US" w:eastAsia="zh-CN"/>
        </w:rPr>
      </w:pPr>
      <w:r>
        <w:rPr>
          <w:rFonts w:hint="eastAsia"/>
          <w:bCs/>
          <w:color w:val="auto"/>
          <w:sz w:val="24"/>
          <w:szCs w:val="28"/>
          <w:highlight w:val="none"/>
          <w:lang w:val="en-US" w:eastAsia="zh-CN"/>
        </w:rPr>
        <w:t>项目制氢环节使用蒸汽，脱盐水站产生脱盐水经余热蒸汽发生器产生蒸汽，蒸汽一部分用于参与制氢反应，剩余部分加热除氧器进行除氧。本项目使用脱盐水撬制取脱盐水，工艺为项目设置一套3t/h的脱盐水制备装置，制备效率为75%，则脱盐水制备用水量为6946.56m</w:t>
      </w:r>
      <w:r>
        <w:rPr>
          <w:rFonts w:hint="eastAsia"/>
          <w:bCs/>
          <w:color w:val="auto"/>
          <w:sz w:val="24"/>
          <w:szCs w:val="28"/>
          <w:highlight w:val="none"/>
          <w:vertAlign w:val="superscript"/>
          <w:lang w:val="en-US" w:eastAsia="zh-CN"/>
        </w:rPr>
        <w:t>3</w:t>
      </w:r>
      <w:r>
        <w:rPr>
          <w:rFonts w:hint="eastAsia"/>
          <w:bCs/>
          <w:color w:val="auto"/>
          <w:sz w:val="24"/>
          <w:szCs w:val="28"/>
          <w:highlight w:val="none"/>
          <w:lang w:val="en-US" w:eastAsia="zh-CN"/>
        </w:rPr>
        <w:t>/a，浓水产生量为1728.864m</w:t>
      </w:r>
      <w:r>
        <w:rPr>
          <w:rFonts w:hint="eastAsia"/>
          <w:bCs/>
          <w:color w:val="auto"/>
          <w:sz w:val="24"/>
          <w:szCs w:val="28"/>
          <w:highlight w:val="none"/>
          <w:vertAlign w:val="superscript"/>
          <w:lang w:val="en-US" w:eastAsia="zh-CN"/>
        </w:rPr>
        <w:t>3</w:t>
      </w:r>
      <w:r>
        <w:rPr>
          <w:rFonts w:hint="eastAsia"/>
          <w:bCs/>
          <w:color w:val="auto"/>
          <w:sz w:val="24"/>
          <w:szCs w:val="28"/>
          <w:highlight w:val="none"/>
          <w:lang w:val="en-US" w:eastAsia="zh-CN"/>
        </w:rPr>
        <w:t>/a。</w:t>
      </w:r>
    </w:p>
    <w:p w14:paraId="7E14D154">
      <w:pPr>
        <w:spacing w:line="360" w:lineRule="auto"/>
        <w:rPr>
          <w:rFonts w:hint="eastAsia"/>
          <w:bCs/>
          <w:color w:val="auto"/>
          <w:sz w:val="24"/>
          <w:szCs w:val="28"/>
          <w:highlight w:val="none"/>
          <w:lang w:val="en-US" w:eastAsia="zh-CN"/>
        </w:rPr>
      </w:pPr>
      <w:r>
        <w:rPr>
          <w:color w:val="auto"/>
          <w:sz w:val="24"/>
          <w:highlight w:val="none"/>
        </w:rPr>
        <mc:AlternateContent>
          <mc:Choice Requires="wpg">
            <w:drawing>
              <wp:inline distT="0" distB="0" distL="114300" distR="114300">
                <wp:extent cx="5849620" cy="2635250"/>
                <wp:effectExtent l="0" t="0" r="0" b="0"/>
                <wp:docPr id="231" name="组合 25"/>
                <wp:cNvGraphicFramePr/>
                <a:graphic xmlns:a="http://schemas.openxmlformats.org/drawingml/2006/main">
                  <a:graphicData uri="http://schemas.microsoft.com/office/word/2010/wordprocessingGroup">
                    <wpg:wgp>
                      <wpg:cNvGrpSpPr/>
                      <wpg:grpSpPr>
                        <a:xfrm>
                          <a:off x="0" y="0"/>
                          <a:ext cx="5849620" cy="2635250"/>
                          <a:chOff x="3955" y="867094"/>
                          <a:chExt cx="9212" cy="4150"/>
                        </a:xfrm>
                      </wpg:grpSpPr>
                      <wps:wsp>
                        <wps:cNvPr id="195" name="自选图形 497"/>
                        <wps:cNvCnPr/>
                        <wps:spPr>
                          <a:xfrm flipV="1">
                            <a:off x="12167" y="868004"/>
                            <a:ext cx="451" cy="418"/>
                          </a:xfrm>
                          <a:prstGeom prst="curvedConnector3">
                            <a:avLst>
                              <a:gd name="adj1" fmla="val 50111"/>
                            </a:avLst>
                          </a:prstGeom>
                          <a:ln w="9525" cap="flat" cmpd="sng">
                            <a:solidFill>
                              <a:srgbClr val="000000"/>
                            </a:solidFill>
                            <a:prstDash val="dash"/>
                            <a:headEnd type="none" w="med" len="med"/>
                            <a:tailEnd type="arrow" w="med" len="med"/>
                          </a:ln>
                        </wps:spPr>
                        <wps:bodyPr/>
                      </wps:wsp>
                      <wps:wsp>
                        <wps:cNvPr id="196" name="矩形 939"/>
                        <wps:cNvSpPr/>
                        <wps:spPr>
                          <a:xfrm>
                            <a:off x="9026" y="867311"/>
                            <a:ext cx="762" cy="380"/>
                          </a:xfrm>
                          <a:prstGeom prst="rect">
                            <a:avLst/>
                          </a:prstGeom>
                          <a:noFill/>
                          <a:ln>
                            <a:noFill/>
                          </a:ln>
                        </wps:spPr>
                        <wps:txbx>
                          <w:txbxContent>
                            <w:p w14:paraId="6C81CE53">
                              <w:pPr>
                                <w:rPr>
                                  <w:rFonts w:hint="default" w:eastAsia="宋体"/>
                                  <w:lang w:val="en-US" w:eastAsia="zh-CN"/>
                                </w:rPr>
                              </w:pPr>
                              <w:r>
                                <w:rPr>
                                  <w:rFonts w:hint="eastAsia"/>
                                  <w:lang w:val="en-US" w:eastAsia="zh-CN"/>
                                </w:rPr>
                                <w:t>239.72</w:t>
                              </w:r>
                            </w:p>
                          </w:txbxContent>
                        </wps:txbx>
                        <wps:bodyPr vert="horz" wrap="square" lIns="0" tIns="0" rIns="0" bIns="0" anchor="t" anchorCtr="0" upright="1"/>
                      </wps:wsp>
                      <wps:wsp>
                        <wps:cNvPr id="197" name="直线 68"/>
                        <wps:cNvCnPr/>
                        <wps:spPr>
                          <a:xfrm flipH="1">
                            <a:off x="4859" y="867094"/>
                            <a:ext cx="3" cy="1519"/>
                          </a:xfrm>
                          <a:prstGeom prst="line">
                            <a:avLst/>
                          </a:prstGeom>
                          <a:ln w="9525" cap="flat" cmpd="sng">
                            <a:solidFill>
                              <a:srgbClr val="000000"/>
                            </a:solidFill>
                            <a:prstDash val="dash"/>
                            <a:headEnd type="none" w="med" len="med"/>
                            <a:tailEnd type="triangle" w="med" len="med"/>
                          </a:ln>
                        </wps:spPr>
                        <wps:bodyPr upright="1"/>
                      </wps:wsp>
                      <wps:wsp>
                        <wps:cNvPr id="198" name="矩形 879"/>
                        <wps:cNvSpPr/>
                        <wps:spPr>
                          <a:xfrm>
                            <a:off x="5343" y="869984"/>
                            <a:ext cx="1534" cy="409"/>
                          </a:xfrm>
                          <a:prstGeom prst="rect">
                            <a:avLst/>
                          </a:prstGeom>
                          <a:noFill/>
                          <a:ln>
                            <a:noFill/>
                          </a:ln>
                        </wps:spPr>
                        <wps:txbx>
                          <w:txbxContent>
                            <w:p w14:paraId="564D94EC">
                              <w:pPr>
                                <w:rPr>
                                  <w:rFonts w:hint="default" w:eastAsia="宋体"/>
                                  <w:lang w:val="en-US" w:eastAsia="zh-CN"/>
                                </w:rPr>
                              </w:pPr>
                              <w:r>
                                <w:rPr>
                                  <w:rFonts w:hint="eastAsia"/>
                                  <w:lang w:val="en-US" w:eastAsia="zh-CN"/>
                                </w:rPr>
                                <w:t>新鲜水321.6</w:t>
                              </w:r>
                            </w:p>
                          </w:txbxContent>
                        </wps:txbx>
                        <wps:bodyPr vert="horz" wrap="square" lIns="0" tIns="0" rIns="0" bIns="0" anchor="t" anchorCtr="0" upright="1"/>
                      </wps:wsp>
                      <wps:wsp>
                        <wps:cNvPr id="199" name="直线 80"/>
                        <wps:cNvCnPr/>
                        <wps:spPr>
                          <a:xfrm flipV="1">
                            <a:off x="8954" y="870172"/>
                            <a:ext cx="3505" cy="9"/>
                          </a:xfrm>
                          <a:prstGeom prst="line">
                            <a:avLst/>
                          </a:prstGeom>
                          <a:ln w="9525" cap="flat" cmpd="sng">
                            <a:solidFill>
                              <a:srgbClr val="000000"/>
                            </a:solidFill>
                            <a:prstDash val="solid"/>
                            <a:headEnd type="none" w="med" len="med"/>
                            <a:tailEnd type="none" w="med" len="med"/>
                          </a:ln>
                        </wps:spPr>
                        <wps:bodyPr upright="1"/>
                      </wps:wsp>
                      <wps:wsp>
                        <wps:cNvPr id="200" name="直线 119"/>
                        <wps:cNvCnPr/>
                        <wps:spPr>
                          <a:xfrm flipV="1">
                            <a:off x="6435" y="869338"/>
                            <a:ext cx="729" cy="5"/>
                          </a:xfrm>
                          <a:prstGeom prst="line">
                            <a:avLst/>
                          </a:prstGeom>
                          <a:ln w="9525" cap="flat" cmpd="sng">
                            <a:solidFill>
                              <a:srgbClr val="000000"/>
                            </a:solidFill>
                            <a:prstDash val="solid"/>
                            <a:headEnd type="none" w="med" len="med"/>
                            <a:tailEnd type="triangle" w="med" len="med"/>
                          </a:ln>
                        </wps:spPr>
                        <wps:bodyPr upright="1"/>
                      </wps:wsp>
                      <wps:wsp>
                        <wps:cNvPr id="201" name="直线 121"/>
                        <wps:cNvCnPr/>
                        <wps:spPr>
                          <a:xfrm>
                            <a:off x="6434" y="868212"/>
                            <a:ext cx="8" cy="1122"/>
                          </a:xfrm>
                          <a:prstGeom prst="line">
                            <a:avLst/>
                          </a:prstGeom>
                          <a:ln w="9525" cap="flat" cmpd="sng">
                            <a:solidFill>
                              <a:srgbClr val="000000"/>
                            </a:solidFill>
                            <a:prstDash val="solid"/>
                            <a:headEnd type="none" w="med" len="med"/>
                            <a:tailEnd type="none" w="med" len="med"/>
                          </a:ln>
                        </wps:spPr>
                        <wps:bodyPr upright="1"/>
                      </wps:wsp>
                      <wps:wsp>
                        <wps:cNvPr id="202" name="直线 122"/>
                        <wps:cNvCnPr/>
                        <wps:spPr>
                          <a:xfrm flipV="1">
                            <a:off x="6434" y="868216"/>
                            <a:ext cx="665" cy="3"/>
                          </a:xfrm>
                          <a:prstGeom prst="line">
                            <a:avLst/>
                          </a:prstGeom>
                          <a:ln w="9525" cap="flat" cmpd="sng">
                            <a:solidFill>
                              <a:srgbClr val="000000"/>
                            </a:solidFill>
                            <a:prstDash val="solid"/>
                            <a:headEnd type="none" w="med" len="med"/>
                            <a:tailEnd type="triangle" w="med" len="med"/>
                          </a:ln>
                        </wps:spPr>
                        <wps:bodyPr upright="1"/>
                      </wps:wsp>
                      <wps:wsp>
                        <wps:cNvPr id="203" name="矩形 803"/>
                        <wps:cNvSpPr/>
                        <wps:spPr>
                          <a:xfrm>
                            <a:off x="3955" y="868605"/>
                            <a:ext cx="1793" cy="450"/>
                          </a:xfrm>
                          <a:prstGeom prst="rect">
                            <a:avLst/>
                          </a:prstGeom>
                          <a:noFill/>
                          <a:ln w="9525" cap="flat" cmpd="sng">
                            <a:solidFill>
                              <a:srgbClr val="000000"/>
                            </a:solidFill>
                            <a:prstDash val="solid"/>
                            <a:miter/>
                            <a:headEnd type="none" w="med" len="med"/>
                            <a:tailEnd type="none" w="med" len="med"/>
                          </a:ln>
                        </wps:spPr>
                        <wps:txbx>
                          <w:txbxContent>
                            <w:p w14:paraId="7E010DE7">
                              <w:pPr>
                                <w:jc w:val="center"/>
                              </w:pPr>
                              <w:r>
                                <w:rPr>
                                  <w:rFonts w:hint="eastAsia"/>
                                  <w:lang w:val="en-US" w:eastAsia="zh-CN"/>
                                </w:rPr>
                                <w:t>余热蒸汽发生器食堂</w:t>
                              </w:r>
                              <w:r>
                                <w:rPr>
                                  <w:rFonts w:hint="eastAsia"/>
                                </w:rPr>
                                <w:t>用水</w:t>
                              </w:r>
                            </w:p>
                          </w:txbxContent>
                        </wps:txbx>
                        <wps:bodyPr vert="horz" wrap="square" anchor="t" anchorCtr="0" upright="1"/>
                      </wps:wsp>
                      <wps:wsp>
                        <wps:cNvPr id="204" name="直线 129"/>
                        <wps:cNvCnPr/>
                        <wps:spPr>
                          <a:xfrm flipV="1">
                            <a:off x="5771" y="868854"/>
                            <a:ext cx="671" cy="2"/>
                          </a:xfrm>
                          <a:prstGeom prst="line">
                            <a:avLst/>
                          </a:prstGeom>
                          <a:ln w="9525" cap="flat" cmpd="sng">
                            <a:solidFill>
                              <a:srgbClr val="000000"/>
                            </a:solidFill>
                            <a:prstDash val="solid"/>
                            <a:headEnd type="none" w="med" len="med"/>
                            <a:tailEnd type="triangle" w="med" len="med"/>
                          </a:ln>
                        </wps:spPr>
                        <wps:bodyPr upright="1"/>
                      </wps:wsp>
                      <wps:wsp>
                        <wps:cNvPr id="205" name="直线 130"/>
                        <wps:cNvCnPr/>
                        <wps:spPr>
                          <a:xfrm flipH="1" flipV="1">
                            <a:off x="12165" y="868880"/>
                            <a:ext cx="1" cy="470"/>
                          </a:xfrm>
                          <a:prstGeom prst="line">
                            <a:avLst/>
                          </a:prstGeom>
                          <a:ln w="9525" cap="flat" cmpd="sng">
                            <a:solidFill>
                              <a:srgbClr val="000000"/>
                            </a:solidFill>
                            <a:prstDash val="solid"/>
                            <a:headEnd type="none" w="med" len="med"/>
                            <a:tailEnd type="triangle" w="med" len="med"/>
                          </a:ln>
                        </wps:spPr>
                        <wps:bodyPr upright="1"/>
                      </wps:wsp>
                      <wps:wsp>
                        <wps:cNvPr id="206" name="直线 141"/>
                        <wps:cNvCnPr/>
                        <wps:spPr>
                          <a:xfrm>
                            <a:off x="6749" y="870188"/>
                            <a:ext cx="1031" cy="1"/>
                          </a:xfrm>
                          <a:prstGeom prst="line">
                            <a:avLst/>
                          </a:prstGeom>
                          <a:ln w="9525" cap="flat" cmpd="sng">
                            <a:solidFill>
                              <a:srgbClr val="000000"/>
                            </a:solidFill>
                            <a:prstDash val="solid"/>
                            <a:headEnd type="none" w="med" len="med"/>
                            <a:tailEnd type="triangle" w="med" len="med"/>
                          </a:ln>
                        </wps:spPr>
                        <wps:bodyPr upright="1"/>
                      </wps:wsp>
                      <wps:wsp>
                        <wps:cNvPr id="207" name="矩形 875"/>
                        <wps:cNvSpPr/>
                        <wps:spPr>
                          <a:xfrm>
                            <a:off x="5821" y="868494"/>
                            <a:ext cx="600" cy="380"/>
                          </a:xfrm>
                          <a:prstGeom prst="rect">
                            <a:avLst/>
                          </a:prstGeom>
                          <a:noFill/>
                          <a:ln>
                            <a:noFill/>
                          </a:ln>
                        </wps:spPr>
                        <wps:txbx>
                          <w:txbxContent>
                            <w:p w14:paraId="16EEBDB3">
                              <w:pPr>
                                <w:rPr>
                                  <w:rFonts w:hint="default" w:eastAsia="宋体"/>
                                  <w:lang w:val="en-US" w:eastAsia="zh-CN"/>
                                </w:rPr>
                              </w:pPr>
                              <w:r>
                                <w:rPr>
                                  <w:rFonts w:hint="eastAsia" w:eastAsia="宋体"/>
                                  <w:lang w:val="en-US" w:eastAsia="zh-CN"/>
                                </w:rPr>
                                <w:t>600.4</w:t>
                              </w:r>
                            </w:p>
                          </w:txbxContent>
                        </wps:txbx>
                        <wps:bodyPr vert="horz" wrap="square" lIns="0" tIns="0" rIns="0" bIns="0" anchor="t" anchorCtr="0" upright="1"/>
                      </wps:wsp>
                      <wps:wsp>
                        <wps:cNvPr id="208" name="矩形 803"/>
                        <wps:cNvSpPr/>
                        <wps:spPr>
                          <a:xfrm>
                            <a:off x="7791" y="869946"/>
                            <a:ext cx="1153" cy="450"/>
                          </a:xfrm>
                          <a:prstGeom prst="rect">
                            <a:avLst/>
                          </a:prstGeom>
                          <a:noFill/>
                          <a:ln w="9525" cap="flat" cmpd="sng">
                            <a:solidFill>
                              <a:srgbClr val="000000"/>
                            </a:solidFill>
                            <a:prstDash val="solid"/>
                            <a:miter/>
                            <a:headEnd type="none" w="med" len="med"/>
                            <a:tailEnd type="none" w="med" len="med"/>
                          </a:ln>
                        </wps:spPr>
                        <wps:txbx>
                          <w:txbxContent>
                            <w:p w14:paraId="48A68112">
                              <w:pPr>
                                <w:jc w:val="center"/>
                              </w:pPr>
                              <w:r>
                                <w:rPr>
                                  <w:rFonts w:hint="eastAsia"/>
                                  <w:lang w:val="en-US" w:eastAsia="zh-CN"/>
                                </w:rPr>
                                <w:t>脱盐水撬保洁</w:t>
                              </w:r>
                              <w:r>
                                <w:rPr>
                                  <w:rFonts w:hint="eastAsia"/>
                                </w:rPr>
                                <w:t>用水</w:t>
                              </w:r>
                            </w:p>
                          </w:txbxContent>
                        </wps:txbx>
                        <wps:bodyPr vert="horz" wrap="square" anchor="t" anchorCtr="0" upright="1"/>
                      </wps:wsp>
                      <wps:wsp>
                        <wps:cNvPr id="209" name="直线 156"/>
                        <wps:cNvCnPr/>
                        <wps:spPr>
                          <a:xfrm>
                            <a:off x="8388" y="870405"/>
                            <a:ext cx="7" cy="455"/>
                          </a:xfrm>
                          <a:prstGeom prst="line">
                            <a:avLst/>
                          </a:prstGeom>
                          <a:ln w="9525" cap="flat" cmpd="sng">
                            <a:solidFill>
                              <a:srgbClr val="000000"/>
                            </a:solidFill>
                            <a:prstDash val="solid"/>
                            <a:headEnd type="none" w="med" len="med"/>
                            <a:tailEnd type="triangle" w="med" len="med"/>
                          </a:ln>
                        </wps:spPr>
                        <wps:bodyPr upright="1"/>
                      </wps:wsp>
                      <wps:wsp>
                        <wps:cNvPr id="210" name="矩形 879"/>
                        <wps:cNvSpPr/>
                        <wps:spPr>
                          <a:xfrm>
                            <a:off x="7694" y="870864"/>
                            <a:ext cx="1369" cy="380"/>
                          </a:xfrm>
                          <a:prstGeom prst="rect">
                            <a:avLst/>
                          </a:prstGeom>
                          <a:noFill/>
                          <a:ln>
                            <a:noFill/>
                          </a:ln>
                        </wps:spPr>
                        <wps:txbx>
                          <w:txbxContent>
                            <w:p w14:paraId="33B44913">
                              <w:pPr>
                                <w:rPr>
                                  <w:rFonts w:hint="default" w:eastAsia="宋体"/>
                                  <w:lang w:val="en-US" w:eastAsia="zh-CN"/>
                                </w:rPr>
                              </w:pPr>
                              <w:r>
                                <w:rPr>
                                  <w:rFonts w:hint="eastAsia"/>
                                  <w:lang w:val="en-US" w:eastAsia="zh-CN"/>
                                </w:rPr>
                                <w:t>浓水80.04</w:t>
                              </w:r>
                            </w:p>
                          </w:txbxContent>
                        </wps:txbx>
                        <wps:bodyPr vert="horz" wrap="square" lIns="0" tIns="0" rIns="0" bIns="0" anchor="t" anchorCtr="0" upright="1"/>
                      </wps:wsp>
                      <wps:wsp>
                        <wps:cNvPr id="211" name="矩形 809"/>
                        <wps:cNvSpPr/>
                        <wps:spPr>
                          <a:xfrm>
                            <a:off x="7095" y="868001"/>
                            <a:ext cx="1593" cy="433"/>
                          </a:xfrm>
                          <a:prstGeom prst="rect">
                            <a:avLst/>
                          </a:prstGeom>
                          <a:noFill/>
                          <a:ln w="9525" cap="flat" cmpd="sng">
                            <a:solidFill>
                              <a:srgbClr val="000000"/>
                            </a:solidFill>
                            <a:prstDash val="solid"/>
                            <a:miter/>
                            <a:headEnd type="none" w="med" len="med"/>
                            <a:tailEnd type="none" w="med" len="med"/>
                          </a:ln>
                        </wps:spPr>
                        <wps:txbx>
                          <w:txbxContent>
                            <w:p w14:paraId="08A85D44">
                              <w:pPr>
                                <w:rPr>
                                  <w:rFonts w:hint="default"/>
                                  <w:lang w:val="en-US"/>
                                </w:rPr>
                              </w:pPr>
                              <w:r>
                                <w:rPr>
                                  <w:rFonts w:hint="eastAsia"/>
                                  <w:lang w:val="en-US" w:eastAsia="zh-CN"/>
                                </w:rPr>
                                <w:t>制氢反应用汽</w:t>
                              </w:r>
                            </w:p>
                          </w:txbxContent>
                        </wps:txbx>
                        <wps:bodyPr vert="horz" wrap="square" anchor="t" anchorCtr="0" upright="1"/>
                      </wps:wsp>
                      <wps:wsp>
                        <wps:cNvPr id="212" name="直线 159"/>
                        <wps:cNvCnPr/>
                        <wps:spPr>
                          <a:xfrm flipV="1">
                            <a:off x="8680" y="868239"/>
                            <a:ext cx="361" cy="2"/>
                          </a:xfrm>
                          <a:prstGeom prst="line">
                            <a:avLst/>
                          </a:prstGeom>
                          <a:ln w="9525" cap="flat" cmpd="sng">
                            <a:solidFill>
                              <a:srgbClr val="000000"/>
                            </a:solidFill>
                            <a:prstDash val="solid"/>
                            <a:headEnd type="none" w="med" len="med"/>
                            <a:tailEnd type="triangle" w="med" len="med"/>
                          </a:ln>
                        </wps:spPr>
                        <wps:bodyPr upright="1"/>
                      </wps:wsp>
                      <wps:wsp>
                        <wps:cNvPr id="213" name="直线 160"/>
                        <wps:cNvCnPr/>
                        <wps:spPr>
                          <a:xfrm>
                            <a:off x="9030" y="867606"/>
                            <a:ext cx="10" cy="1030"/>
                          </a:xfrm>
                          <a:prstGeom prst="line">
                            <a:avLst/>
                          </a:prstGeom>
                          <a:ln w="9525" cap="flat" cmpd="sng">
                            <a:solidFill>
                              <a:srgbClr val="000000"/>
                            </a:solidFill>
                            <a:prstDash val="solid"/>
                            <a:headEnd type="none" w="med" len="med"/>
                            <a:tailEnd type="none" w="med" len="med"/>
                          </a:ln>
                        </wps:spPr>
                        <wps:bodyPr upright="1"/>
                      </wps:wsp>
                      <wps:wsp>
                        <wps:cNvPr id="214" name="直线 209"/>
                        <wps:cNvCnPr/>
                        <wps:spPr>
                          <a:xfrm>
                            <a:off x="9031" y="867611"/>
                            <a:ext cx="696" cy="5"/>
                          </a:xfrm>
                          <a:prstGeom prst="line">
                            <a:avLst/>
                          </a:prstGeom>
                          <a:ln w="9525" cap="flat" cmpd="sng">
                            <a:solidFill>
                              <a:srgbClr val="000000"/>
                            </a:solidFill>
                            <a:prstDash val="solid"/>
                            <a:headEnd type="none" w="med" len="med"/>
                            <a:tailEnd type="triangle" w="med" len="med"/>
                          </a:ln>
                        </wps:spPr>
                        <wps:bodyPr upright="1"/>
                      </wps:wsp>
                      <wps:wsp>
                        <wps:cNvPr id="215" name="直线 230"/>
                        <wps:cNvCnPr/>
                        <wps:spPr>
                          <a:xfrm>
                            <a:off x="9033" y="868640"/>
                            <a:ext cx="612" cy="3"/>
                          </a:xfrm>
                          <a:prstGeom prst="line">
                            <a:avLst/>
                          </a:prstGeom>
                          <a:ln w="9525" cap="flat" cmpd="sng">
                            <a:solidFill>
                              <a:srgbClr val="000000"/>
                            </a:solidFill>
                            <a:prstDash val="solid"/>
                            <a:headEnd type="none" w="med" len="med"/>
                            <a:tailEnd type="triangle" w="med" len="med"/>
                          </a:ln>
                        </wps:spPr>
                        <wps:bodyPr upright="1"/>
                      </wps:wsp>
                      <wps:wsp>
                        <wps:cNvPr id="216" name="矩形 809"/>
                        <wps:cNvSpPr/>
                        <wps:spPr>
                          <a:xfrm>
                            <a:off x="7171" y="869112"/>
                            <a:ext cx="1808" cy="433"/>
                          </a:xfrm>
                          <a:prstGeom prst="rect">
                            <a:avLst/>
                          </a:prstGeom>
                          <a:noFill/>
                          <a:ln w="9525" cap="flat" cmpd="sng">
                            <a:solidFill>
                              <a:srgbClr val="000000"/>
                            </a:solidFill>
                            <a:prstDash val="solid"/>
                            <a:miter/>
                            <a:headEnd type="none" w="med" len="med"/>
                            <a:tailEnd type="none" w="med" len="med"/>
                          </a:ln>
                        </wps:spPr>
                        <wps:txbx>
                          <w:txbxContent>
                            <w:p w14:paraId="71BA5F9B">
                              <w:pPr>
                                <w:rPr>
                                  <w:rFonts w:hint="default"/>
                                  <w:lang w:val="en-US"/>
                                </w:rPr>
                              </w:pPr>
                              <w:r>
                                <w:rPr>
                                  <w:rFonts w:hint="eastAsia"/>
                                  <w:lang w:val="en-US" w:eastAsia="zh-CN"/>
                                </w:rPr>
                                <w:t>直接加热除氧器</w:t>
                              </w:r>
                            </w:p>
                          </w:txbxContent>
                        </wps:txbx>
                        <wps:bodyPr vert="horz" wrap="square" anchor="t" anchorCtr="0" upright="1"/>
                      </wps:wsp>
                      <wps:wsp>
                        <wps:cNvPr id="217" name="矩形 807"/>
                        <wps:cNvSpPr/>
                        <wps:spPr>
                          <a:xfrm>
                            <a:off x="9715" y="867416"/>
                            <a:ext cx="1207" cy="433"/>
                          </a:xfrm>
                          <a:prstGeom prst="rect">
                            <a:avLst/>
                          </a:prstGeom>
                          <a:noFill/>
                          <a:ln w="9525" cap="flat" cmpd="sng">
                            <a:solidFill>
                              <a:srgbClr val="000000"/>
                            </a:solidFill>
                            <a:prstDash val="solid"/>
                            <a:miter/>
                            <a:headEnd type="none" w="med" len="med"/>
                            <a:tailEnd type="none" w="med" len="med"/>
                          </a:ln>
                        </wps:spPr>
                        <wps:txbx>
                          <w:txbxContent>
                            <w:p w14:paraId="7BCDF95F">
                              <w:pPr>
                                <w:jc w:val="center"/>
                              </w:pPr>
                              <w:r>
                                <w:rPr>
                                  <w:rFonts w:hint="eastAsia"/>
                                  <w:lang w:val="en-US" w:eastAsia="zh-CN"/>
                                </w:rPr>
                                <w:t>参与反应</w:t>
                              </w:r>
                            </w:p>
                          </w:txbxContent>
                        </wps:txbx>
                        <wps:bodyPr vert="horz" wrap="square" anchor="t" anchorCtr="0" upright="1"/>
                      </wps:wsp>
                      <wps:wsp>
                        <wps:cNvPr id="218" name="矩形 807"/>
                        <wps:cNvSpPr/>
                        <wps:spPr>
                          <a:xfrm>
                            <a:off x="9660" y="868394"/>
                            <a:ext cx="1518" cy="433"/>
                          </a:xfrm>
                          <a:prstGeom prst="rect">
                            <a:avLst/>
                          </a:prstGeom>
                          <a:noFill/>
                          <a:ln w="9525" cap="flat" cmpd="sng">
                            <a:solidFill>
                              <a:srgbClr val="000000"/>
                            </a:solidFill>
                            <a:prstDash val="solid"/>
                            <a:miter/>
                            <a:headEnd type="none" w="med" len="med"/>
                            <a:tailEnd type="none" w="med" len="med"/>
                          </a:ln>
                        </wps:spPr>
                        <wps:txbx>
                          <w:txbxContent>
                            <w:p w14:paraId="4EAC5E0D">
                              <w:pPr>
                                <w:jc w:val="center"/>
                              </w:pPr>
                              <w:r>
                                <w:rPr>
                                  <w:rFonts w:hint="eastAsia"/>
                                  <w:lang w:val="en-US" w:eastAsia="zh-CN"/>
                                </w:rPr>
                                <w:t>冷凝气水分离参与反应</w:t>
                              </w:r>
                            </w:p>
                          </w:txbxContent>
                        </wps:txbx>
                        <wps:bodyPr vert="horz" wrap="square" anchor="t" anchorCtr="0" upright="1"/>
                      </wps:wsp>
                      <wps:wsp>
                        <wps:cNvPr id="219" name="直线 272"/>
                        <wps:cNvCnPr/>
                        <wps:spPr>
                          <a:xfrm flipV="1">
                            <a:off x="11193" y="868637"/>
                            <a:ext cx="429" cy="3"/>
                          </a:xfrm>
                          <a:prstGeom prst="line">
                            <a:avLst/>
                          </a:prstGeom>
                          <a:ln w="9525" cap="flat" cmpd="sng">
                            <a:solidFill>
                              <a:srgbClr val="000000"/>
                            </a:solidFill>
                            <a:prstDash val="solid"/>
                            <a:headEnd type="none" w="med" len="med"/>
                            <a:tailEnd type="triangle" w="med" len="med"/>
                          </a:ln>
                        </wps:spPr>
                        <wps:bodyPr upright="1"/>
                      </wps:wsp>
                      <wps:wsp>
                        <wps:cNvPr id="220" name="矩形 807"/>
                        <wps:cNvSpPr/>
                        <wps:spPr>
                          <a:xfrm>
                            <a:off x="11642" y="868436"/>
                            <a:ext cx="1027" cy="433"/>
                          </a:xfrm>
                          <a:prstGeom prst="rect">
                            <a:avLst/>
                          </a:prstGeom>
                          <a:noFill/>
                          <a:ln w="9525" cap="flat" cmpd="sng">
                            <a:solidFill>
                              <a:srgbClr val="000000"/>
                            </a:solidFill>
                            <a:prstDash val="solid"/>
                            <a:miter/>
                            <a:headEnd type="none" w="med" len="med"/>
                            <a:tailEnd type="none" w="med" len="med"/>
                          </a:ln>
                        </wps:spPr>
                        <wps:txbx>
                          <w:txbxContent>
                            <w:p w14:paraId="0FD0FE60">
                              <w:pPr>
                                <w:jc w:val="center"/>
                              </w:pPr>
                              <w:r>
                                <w:rPr>
                                  <w:rFonts w:hint="eastAsia"/>
                                  <w:lang w:val="en-US" w:eastAsia="zh-CN"/>
                                </w:rPr>
                                <w:t>除氧器</w:t>
                              </w:r>
                            </w:p>
                          </w:txbxContent>
                        </wps:txbx>
                        <wps:bodyPr vert="horz" wrap="square" anchor="t" anchorCtr="0" upright="1"/>
                      </wps:wsp>
                      <wps:wsp>
                        <wps:cNvPr id="221" name="直线 282"/>
                        <wps:cNvCnPr/>
                        <wps:spPr>
                          <a:xfrm flipV="1">
                            <a:off x="9003" y="869353"/>
                            <a:ext cx="3167" cy="13"/>
                          </a:xfrm>
                          <a:prstGeom prst="line">
                            <a:avLst/>
                          </a:prstGeom>
                          <a:ln w="9525" cap="flat" cmpd="sng">
                            <a:solidFill>
                              <a:srgbClr val="000000"/>
                            </a:solidFill>
                            <a:prstDash val="solid"/>
                            <a:headEnd type="none" w="med" len="sm"/>
                            <a:tailEnd type="none" w="med" len="med"/>
                          </a:ln>
                        </wps:spPr>
                        <wps:bodyPr upright="1"/>
                      </wps:wsp>
                      <wps:wsp>
                        <wps:cNvPr id="222" name="直线 408"/>
                        <wps:cNvCnPr/>
                        <wps:spPr>
                          <a:xfrm flipH="1">
                            <a:off x="11990" y="867102"/>
                            <a:ext cx="7" cy="1347"/>
                          </a:xfrm>
                          <a:prstGeom prst="line">
                            <a:avLst/>
                          </a:prstGeom>
                          <a:ln w="9525" cap="flat" cmpd="sng">
                            <a:solidFill>
                              <a:srgbClr val="000000"/>
                            </a:solidFill>
                            <a:prstDash val="dash"/>
                            <a:headEnd type="none" w="med" len="med"/>
                            <a:tailEnd type="none" w="med" len="med"/>
                          </a:ln>
                        </wps:spPr>
                        <wps:bodyPr upright="1"/>
                      </wps:wsp>
                      <wps:wsp>
                        <wps:cNvPr id="223" name="直线 469"/>
                        <wps:cNvCnPr/>
                        <wps:spPr>
                          <a:xfrm>
                            <a:off x="4857" y="867099"/>
                            <a:ext cx="7145" cy="34"/>
                          </a:xfrm>
                          <a:prstGeom prst="line">
                            <a:avLst/>
                          </a:prstGeom>
                          <a:ln w="9525" cap="flat" cmpd="sng">
                            <a:solidFill>
                              <a:srgbClr val="000000"/>
                            </a:solidFill>
                            <a:prstDash val="dash"/>
                            <a:headEnd type="none" w="med" len="sm"/>
                            <a:tailEnd type="none" w="med" len="med"/>
                          </a:ln>
                        </wps:spPr>
                        <wps:bodyPr upright="1"/>
                      </wps:wsp>
                      <wps:wsp>
                        <wps:cNvPr id="224" name="直线 470"/>
                        <wps:cNvCnPr/>
                        <wps:spPr>
                          <a:xfrm flipV="1">
                            <a:off x="12441" y="868871"/>
                            <a:ext cx="8" cy="1302"/>
                          </a:xfrm>
                          <a:prstGeom prst="line">
                            <a:avLst/>
                          </a:prstGeom>
                          <a:ln w="9525" cap="flat" cmpd="sng">
                            <a:solidFill>
                              <a:srgbClr val="000000"/>
                            </a:solidFill>
                            <a:prstDash val="solid"/>
                            <a:headEnd type="none" w="med" len="med"/>
                            <a:tailEnd type="triangle" w="med" len="med"/>
                          </a:ln>
                        </wps:spPr>
                        <wps:bodyPr upright="1"/>
                      </wps:wsp>
                      <wps:wsp>
                        <wps:cNvPr id="225" name="矩形 875"/>
                        <wps:cNvSpPr/>
                        <wps:spPr>
                          <a:xfrm>
                            <a:off x="6464" y="867912"/>
                            <a:ext cx="600" cy="380"/>
                          </a:xfrm>
                          <a:prstGeom prst="rect">
                            <a:avLst/>
                          </a:prstGeom>
                          <a:noFill/>
                          <a:ln>
                            <a:noFill/>
                          </a:ln>
                        </wps:spPr>
                        <wps:txbx>
                          <w:txbxContent>
                            <w:p w14:paraId="03ECA452">
                              <w:pPr>
                                <w:rPr>
                                  <w:rFonts w:hint="default" w:eastAsia="宋体"/>
                                  <w:lang w:val="en-US" w:eastAsia="zh-CN"/>
                                </w:rPr>
                              </w:pPr>
                              <w:r>
                                <w:rPr>
                                  <w:rFonts w:hint="eastAsia" w:eastAsia="宋体"/>
                                  <w:lang w:val="en-US" w:eastAsia="zh-CN"/>
                                </w:rPr>
                                <w:t>506.4</w:t>
                              </w:r>
                            </w:p>
                          </w:txbxContent>
                        </wps:txbx>
                        <wps:bodyPr vert="horz" wrap="square" lIns="0" tIns="0" rIns="0" bIns="0" anchor="t" anchorCtr="0" upright="1"/>
                      </wps:wsp>
                      <wps:wsp>
                        <wps:cNvPr id="226" name="矩形 875"/>
                        <wps:cNvSpPr/>
                        <wps:spPr>
                          <a:xfrm>
                            <a:off x="6464" y="869014"/>
                            <a:ext cx="600" cy="380"/>
                          </a:xfrm>
                          <a:prstGeom prst="rect">
                            <a:avLst/>
                          </a:prstGeom>
                          <a:noFill/>
                          <a:ln>
                            <a:noFill/>
                          </a:ln>
                        </wps:spPr>
                        <wps:txbx>
                          <w:txbxContent>
                            <w:p w14:paraId="525F9ADB">
                              <w:pPr>
                                <w:rPr>
                                  <w:rFonts w:hint="default" w:eastAsia="宋体"/>
                                  <w:lang w:val="en-US" w:eastAsia="zh-CN"/>
                                </w:rPr>
                              </w:pPr>
                              <w:r>
                                <w:rPr>
                                  <w:rFonts w:hint="eastAsia" w:eastAsia="宋体"/>
                                  <w:lang w:val="en-US" w:eastAsia="zh-CN"/>
                                </w:rPr>
                                <w:t>94</w:t>
                              </w:r>
                            </w:p>
                          </w:txbxContent>
                        </wps:txbx>
                        <wps:bodyPr vert="horz" wrap="square" lIns="0" tIns="0" rIns="0" bIns="0" anchor="t" anchorCtr="0" upright="1"/>
                      </wps:wsp>
                      <wps:wsp>
                        <wps:cNvPr id="227" name="矩形 939"/>
                        <wps:cNvSpPr/>
                        <wps:spPr>
                          <a:xfrm>
                            <a:off x="9026" y="868324"/>
                            <a:ext cx="762" cy="380"/>
                          </a:xfrm>
                          <a:prstGeom prst="rect">
                            <a:avLst/>
                          </a:prstGeom>
                          <a:noFill/>
                          <a:ln>
                            <a:noFill/>
                          </a:ln>
                        </wps:spPr>
                        <wps:txbx>
                          <w:txbxContent>
                            <w:p w14:paraId="19E53923">
                              <w:pPr>
                                <w:rPr>
                                  <w:rFonts w:hint="default" w:eastAsia="宋体"/>
                                  <w:lang w:val="en-US" w:eastAsia="zh-CN"/>
                                </w:rPr>
                              </w:pPr>
                              <w:r>
                                <w:rPr>
                                  <w:rFonts w:hint="eastAsia"/>
                                  <w:lang w:val="en-US" w:eastAsia="zh-CN"/>
                                </w:rPr>
                                <w:t>266.68</w:t>
                              </w:r>
                            </w:p>
                          </w:txbxContent>
                        </wps:txbx>
                        <wps:bodyPr vert="horz" wrap="square" lIns="0" tIns="0" rIns="0" bIns="0" anchor="t" anchorCtr="0" upright="1"/>
                      </wps:wsp>
                      <wps:wsp>
                        <wps:cNvPr id="228" name="矩形 939"/>
                        <wps:cNvSpPr/>
                        <wps:spPr>
                          <a:xfrm>
                            <a:off x="9225" y="869839"/>
                            <a:ext cx="762" cy="380"/>
                          </a:xfrm>
                          <a:prstGeom prst="rect">
                            <a:avLst/>
                          </a:prstGeom>
                          <a:noFill/>
                          <a:ln>
                            <a:noFill/>
                          </a:ln>
                        </wps:spPr>
                        <wps:txbx>
                          <w:txbxContent>
                            <w:p w14:paraId="2573AB84">
                              <w:pPr>
                                <w:rPr>
                                  <w:rFonts w:hint="default" w:eastAsia="宋体"/>
                                  <w:lang w:val="en-US" w:eastAsia="zh-CN"/>
                                </w:rPr>
                              </w:pPr>
                              <w:r>
                                <w:rPr>
                                  <w:rFonts w:hint="eastAsia"/>
                                  <w:lang w:val="en-US" w:eastAsia="zh-CN"/>
                                </w:rPr>
                                <w:t>241.12</w:t>
                              </w:r>
                            </w:p>
                          </w:txbxContent>
                        </wps:txbx>
                        <wps:bodyPr vert="horz" wrap="square" lIns="0" tIns="0" rIns="0" bIns="0" anchor="t" anchorCtr="0" upright="1"/>
                      </wps:wsp>
                      <wps:wsp>
                        <wps:cNvPr id="229" name="矩形 939"/>
                        <wps:cNvSpPr/>
                        <wps:spPr>
                          <a:xfrm>
                            <a:off x="12405" y="867604"/>
                            <a:ext cx="762" cy="380"/>
                          </a:xfrm>
                          <a:prstGeom prst="rect">
                            <a:avLst/>
                          </a:prstGeom>
                          <a:noFill/>
                          <a:ln>
                            <a:noFill/>
                          </a:ln>
                        </wps:spPr>
                        <wps:txbx>
                          <w:txbxContent>
                            <w:p w14:paraId="113C69A6">
                              <w:pPr>
                                <w:rPr>
                                  <w:rFonts w:hint="default" w:eastAsia="宋体"/>
                                  <w:lang w:val="en-US" w:eastAsia="zh-CN"/>
                                </w:rPr>
                              </w:pPr>
                              <w:r>
                                <w:rPr>
                                  <w:rFonts w:hint="eastAsia"/>
                                  <w:lang w:val="en-US" w:eastAsia="zh-CN"/>
                                </w:rPr>
                                <w:t>0.4</w:t>
                              </w:r>
                            </w:p>
                          </w:txbxContent>
                        </wps:txbx>
                        <wps:bodyPr vert="horz" wrap="square" lIns="0" tIns="0" rIns="0" bIns="0" anchor="t" anchorCtr="0" upright="1"/>
                      </wps:wsp>
                      <wps:wsp>
                        <wps:cNvPr id="230" name="矩形 875"/>
                        <wps:cNvSpPr/>
                        <wps:spPr>
                          <a:xfrm>
                            <a:off x="4861" y="867234"/>
                            <a:ext cx="600" cy="380"/>
                          </a:xfrm>
                          <a:prstGeom prst="rect">
                            <a:avLst/>
                          </a:prstGeom>
                          <a:noFill/>
                          <a:ln>
                            <a:noFill/>
                          </a:ln>
                        </wps:spPr>
                        <wps:txbx>
                          <w:txbxContent>
                            <w:p w14:paraId="14654A66">
                              <w:pPr>
                                <w:rPr>
                                  <w:rFonts w:hint="default" w:eastAsia="宋体"/>
                                  <w:lang w:val="en-US" w:eastAsia="zh-CN"/>
                                </w:rPr>
                              </w:pPr>
                              <w:r>
                                <w:rPr>
                                  <w:rFonts w:hint="eastAsia" w:eastAsia="宋体"/>
                                  <w:lang w:val="en-US" w:eastAsia="zh-CN"/>
                                </w:rPr>
                                <w:t>600.4</w:t>
                              </w:r>
                            </w:p>
                          </w:txbxContent>
                        </wps:txbx>
                        <wps:bodyPr vert="horz" wrap="square" lIns="0" tIns="0" rIns="0" bIns="0" anchor="t" anchorCtr="0" upright="1"/>
                      </wps:wsp>
                    </wpg:wgp>
                  </a:graphicData>
                </a:graphic>
              </wp:inline>
            </w:drawing>
          </mc:Choice>
          <mc:Fallback>
            <w:pict>
              <v:group id="组合 25" o:spid="_x0000_s1026" o:spt="203" style="height:207.5pt;width:460.6pt;" coordorigin="3955,867094" coordsize="9212,4150" o:gfxdata="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">
                <o:lock v:ext="edit" aspectratio="f"/>
                <v:shape id="自选图形 497" o:spid="_x0000_s1026" o:spt="38" type="#_x0000_t38" style="position:absolute;left:12167;top:868004;flip:y;height:418;width:451;" filled="f" stroked="t" coordsize="21600,21600" o:gfxdata="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8W0K/&#10;AAAA3AAAAA8AAAAAAAAAAQAgAAAAIgAAAGRycy9kb3ducmV2LnhtbFBLAQIUABQAAAAIAIdO4kAz&#10;LwWeOwAAADkAAAAQAAAAAAAAAAEAIAAAAA4BAABkcnMvc2hhcGV4bWwueG1sUEsFBgAAAAAGAAYA&#10;WwEAALgDAAAAAA==&#10;" adj="10824">
                  <v:fill on="f" focussize="0,0"/>
                  <v:stroke color="#000000" joinstyle="round" dashstyle="dash" endarrow="open"/>
                  <v:imagedata o:title=""/>
                  <o:lock v:ext="edit" aspectratio="f"/>
                </v:shape>
                <v:rect id="矩形 939" o:spid="_x0000_s1026" o:spt="1" style="position:absolute;left:9026;top:867311;height:380;width:762;" filled="f" stroked="f" coordsize="21600,21600" o:gfxdata="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cpDr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6C81CE53">
                        <w:pPr>
                          <w:rPr>
                            <w:rFonts w:hint="default" w:eastAsia="宋体"/>
                            <w:lang w:val="en-US" w:eastAsia="zh-CN"/>
                          </w:rPr>
                        </w:pPr>
                        <w:r>
                          <w:rPr>
                            <w:rFonts w:hint="eastAsia"/>
                            <w:lang w:val="en-US" w:eastAsia="zh-CN"/>
                          </w:rPr>
                          <w:t>239.72</w:t>
                        </w:r>
                      </w:p>
                    </w:txbxContent>
                  </v:textbox>
                </v:rect>
                <v:line id="直线 68" o:spid="_x0000_s1026" o:spt="20" style="position:absolute;left:4859;top:867094;flip:x;height:1519;width:3;" filled="f" stroked="t" coordsize="21600,21600" o:gfxdata="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2tcMxtwAAANwAAAAP&#10;AAAAAAAAAAEAIAAAACIAAABkcnMvZG93bnJldi54bWxQSwECFAAUAAAACACHTuJAMy8FnjsAAAA5&#10;AAAAEAAAAAAAAAABACAAAAAGAQAAZHJzL3NoYXBleG1sLnhtbFBLBQYAAAAABgAGAFsBAACwAwAA&#10;AAA=&#10;">
                  <v:fill on="f" focussize="0,0"/>
                  <v:stroke color="#000000" joinstyle="round" dashstyle="dash" endarrow="block"/>
                  <v:imagedata o:title=""/>
                  <o:lock v:ext="edit" aspectratio="f"/>
                </v:line>
                <v:rect id="矩形 879" o:spid="_x0000_s1026" o:spt="1" style="position:absolute;left:5343;top:869984;height:409;width:1534;" filled="f" stroked="f" coordsize="21600,21600" o:gfxdata="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xlyR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564D94EC">
                        <w:pPr>
                          <w:rPr>
                            <w:rFonts w:hint="default" w:eastAsia="宋体"/>
                            <w:lang w:val="en-US" w:eastAsia="zh-CN"/>
                          </w:rPr>
                        </w:pPr>
                        <w:r>
                          <w:rPr>
                            <w:rFonts w:hint="eastAsia"/>
                            <w:lang w:val="en-US" w:eastAsia="zh-CN"/>
                          </w:rPr>
                          <w:t>新鲜水321.6</w:t>
                        </w:r>
                      </w:p>
                    </w:txbxContent>
                  </v:textbox>
                </v:rect>
                <v:line id="直线 80" o:spid="_x0000_s1026" o:spt="20" style="position:absolute;left:8954;top:870172;flip:y;height:9;width:3505;" filled="f" stroked="t" coordsize="21600,21600" o:gfxdata="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81Fs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直线 119" o:spid="_x0000_s1026" o:spt="20" style="position:absolute;left:6435;top:869338;flip:y;height:5;width:729;" filled="f" stroked="t" coordsize="21600,21600" o:gfxdata="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mk3q/&#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21" o:spid="_x0000_s1026" o:spt="20" style="position:absolute;left:6434;top:868212;height:1122;width:8;" filled="f" stroked="t" coordsize="21600,21600" o:gfxdata="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lF3A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直线 122" o:spid="_x0000_s1026" o:spt="20" style="position:absolute;left:6434;top:868216;flip:y;height:3;width:665;" filled="f" stroked="t" coordsize="21600,21600" o:gfxdata="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u4qJa/&#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03" o:spid="_x0000_s1026" o:spt="1" style="position:absolute;left:3955;top:868605;height:450;width:1793;" filled="f" stroked="t" coordsize="21600,21600" o:gfxdata="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YJBm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14:paraId="7E010DE7">
                        <w:pPr>
                          <w:jc w:val="center"/>
                        </w:pPr>
                        <w:r>
                          <w:rPr>
                            <w:rFonts w:hint="eastAsia"/>
                            <w:lang w:val="en-US" w:eastAsia="zh-CN"/>
                          </w:rPr>
                          <w:t>余热蒸汽发生器食堂</w:t>
                        </w:r>
                        <w:r>
                          <w:rPr>
                            <w:rFonts w:hint="eastAsia"/>
                          </w:rPr>
                          <w:t>用水</w:t>
                        </w:r>
                      </w:p>
                    </w:txbxContent>
                  </v:textbox>
                </v:rect>
                <v:line id="直线 129" o:spid="_x0000_s1026" o:spt="20" style="position:absolute;left:5771;top:868854;flip:y;height:2;width:671;" filled="f" stroked="t" coordsize="21600,21600" o:gfxdata="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sdlX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30" o:spid="_x0000_s1026" o:spt="20" style="position:absolute;left:12165;top:868880;flip:x y;height:470;width:1;" filled="f" stroked="t" coordsize="21600,21600" o:gfxdata="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1wNf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直线 141" o:spid="_x0000_s1026" o:spt="20" style="position:absolute;left:6749;top:870188;height:1;width:1031;" filled="f" stroked="t" coordsize="21600,21600" o:gfxdata="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09oi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75" o:spid="_x0000_s1026" o:spt="1" style="position:absolute;left:5821;top:868494;height:380;width:600;" filled="f" stroked="f" coordsize="21600,21600" o:gfxdata="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akSz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16EEBDB3">
                        <w:pPr>
                          <w:rPr>
                            <w:rFonts w:hint="default" w:eastAsia="宋体"/>
                            <w:lang w:val="en-US" w:eastAsia="zh-CN"/>
                          </w:rPr>
                        </w:pPr>
                        <w:r>
                          <w:rPr>
                            <w:rFonts w:hint="eastAsia" w:eastAsia="宋体"/>
                            <w:lang w:val="en-US" w:eastAsia="zh-CN"/>
                          </w:rPr>
                          <w:t>600.4</w:t>
                        </w:r>
                      </w:p>
                    </w:txbxContent>
                  </v:textbox>
                </v:rect>
                <v:rect id="矩形 803" o:spid="_x0000_s1026" o:spt="1" style="position:absolute;left:7791;top:869946;height:450;width:1153;" filled="f" stroked="t" coordsize="21600,21600" o:gfxdata="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fy2aL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14:paraId="48A68112">
                        <w:pPr>
                          <w:jc w:val="center"/>
                        </w:pPr>
                        <w:r>
                          <w:rPr>
                            <w:rFonts w:hint="eastAsia"/>
                            <w:lang w:val="en-US" w:eastAsia="zh-CN"/>
                          </w:rPr>
                          <w:t>脱盐水撬保洁</w:t>
                        </w:r>
                        <w:r>
                          <w:rPr>
                            <w:rFonts w:hint="eastAsia"/>
                          </w:rPr>
                          <w:t>用水</w:t>
                        </w:r>
                      </w:p>
                    </w:txbxContent>
                  </v:textbox>
                </v:rect>
                <v:line id="直线 156" o:spid="_x0000_s1026" o:spt="20" style="position:absolute;left:8388;top:870405;height:455;width:7;" filled="f" stroked="t" coordsize="21600,21600" o:gfxdata="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yiNl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79" o:spid="_x0000_s1026" o:spt="1" style="position:absolute;left:7694;top:870864;height:380;width:1369;" filled="f" stroked="f" coordsize="21600,21600" o:gfxdata="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ZHGa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33B44913">
                        <w:pPr>
                          <w:rPr>
                            <w:rFonts w:hint="default" w:eastAsia="宋体"/>
                            <w:lang w:val="en-US" w:eastAsia="zh-CN"/>
                          </w:rPr>
                        </w:pPr>
                        <w:r>
                          <w:rPr>
                            <w:rFonts w:hint="eastAsia"/>
                            <w:lang w:val="en-US" w:eastAsia="zh-CN"/>
                          </w:rPr>
                          <w:t>浓水80.04</w:t>
                        </w:r>
                      </w:p>
                    </w:txbxContent>
                  </v:textbox>
                </v:rect>
                <v:rect id="矩形 809" o:spid="_x0000_s1026" o:spt="1" style="position:absolute;left:7095;top:868001;height:433;width:1593;" filled="f" stroked="t" coordsize="21600,21600" o:gfxdata="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0fiSi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14:paraId="08A85D44">
                        <w:pPr>
                          <w:rPr>
                            <w:rFonts w:hint="default"/>
                            <w:lang w:val="en-US"/>
                          </w:rPr>
                        </w:pPr>
                        <w:r>
                          <w:rPr>
                            <w:rFonts w:hint="eastAsia"/>
                            <w:lang w:val="en-US" w:eastAsia="zh-CN"/>
                          </w:rPr>
                          <w:t>制氢反应用汽</w:t>
                        </w:r>
                      </w:p>
                    </w:txbxContent>
                  </v:textbox>
                </v:rect>
                <v:line id="直线 159" o:spid="_x0000_s1026" o:spt="20" style="position:absolute;left:8680;top:868239;flip:y;height:2;width:361;" filled="f" stroked="t" coordsize="21600,21600" o:gfxdata="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5hPku/&#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160" o:spid="_x0000_s1026" o:spt="20" style="position:absolute;left:9030;top:867606;height:1030;width:10;" filled="f" stroked="t" coordsize="21600,21600" o:gfxdata="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T8PG/&#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直线 209" o:spid="_x0000_s1026" o:spt="20" style="position:absolute;left:9031;top:867611;height:5;width:696;" filled="f" stroked="t" coordsize="21600,21600" o:gfxdata="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6Dx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230" o:spid="_x0000_s1026" o:spt="20" style="position:absolute;left:9033;top:868640;height:3;width:612;" filled="f" stroked="t" coordsize="21600,21600" o:gfxdata="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2q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09" o:spid="_x0000_s1026" o:spt="1" style="position:absolute;left:7171;top:869112;height:433;width:1808;" filled="f" stroked="t" coordsize="21600,21600" o:gfxdata="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2EVy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14:paraId="71BA5F9B">
                        <w:pPr>
                          <w:rPr>
                            <w:rFonts w:hint="default"/>
                            <w:lang w:val="en-US"/>
                          </w:rPr>
                        </w:pPr>
                        <w:r>
                          <w:rPr>
                            <w:rFonts w:hint="eastAsia"/>
                            <w:lang w:val="en-US" w:eastAsia="zh-CN"/>
                          </w:rPr>
                          <w:t>直接加热除氧器</w:t>
                        </w:r>
                      </w:p>
                    </w:txbxContent>
                  </v:textbox>
                </v:rect>
                <v:rect id="矩形 807" o:spid="_x0000_s1026" o:spt="1" style="position:absolute;left:9715;top:867416;height:433;width:1207;" filled="f" stroked="t" coordsize="21600,21600" o:gfxdata="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bq0x7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14:paraId="7BCDF95F">
                        <w:pPr>
                          <w:jc w:val="center"/>
                        </w:pPr>
                        <w:r>
                          <w:rPr>
                            <w:rFonts w:hint="eastAsia"/>
                            <w:lang w:val="en-US" w:eastAsia="zh-CN"/>
                          </w:rPr>
                          <w:t>参与反应</w:t>
                        </w:r>
                      </w:p>
                    </w:txbxContent>
                  </v:textbox>
                </v:rect>
                <v:rect id="矩形 807" o:spid="_x0000_s1026" o:spt="1" style="position:absolute;left:9660;top:868394;height:433;width:1518;" filled="f" stroked="t" coordsize="21600,21600" o:gfxdata="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wlILW5AAAA3AAA&#10;AA8AAAAAAAAAAQAgAAAAIgAAAGRycy9kb3ducmV2LnhtbFBLAQIUABQAAAAIAIdO4kAzLwWeOwAA&#10;ADkAAAAQAAAAAAAAAAEAIAAAAAgBAABkcnMvc2hhcGV4bWwueG1sUEsFBgAAAAAGAAYAWwEAALID&#10;AAAAAA==&#10;">
                  <v:fill on="f" focussize="0,0"/>
                  <v:stroke color="#000000" joinstyle="miter"/>
                  <v:imagedata o:title=""/>
                  <o:lock v:ext="edit" aspectratio="f"/>
                  <v:textbox>
                    <w:txbxContent>
                      <w:p w14:paraId="4EAC5E0D">
                        <w:pPr>
                          <w:jc w:val="center"/>
                        </w:pPr>
                        <w:r>
                          <w:rPr>
                            <w:rFonts w:hint="eastAsia"/>
                            <w:lang w:val="en-US" w:eastAsia="zh-CN"/>
                          </w:rPr>
                          <w:t>冷凝气水分离参与反应</w:t>
                        </w:r>
                      </w:p>
                    </w:txbxContent>
                  </v:textbox>
                </v:rect>
                <v:line id="直线 272" o:spid="_x0000_s1026" o:spt="20" style="position:absolute;left:11193;top:868637;flip:y;height:3;width:429;" filled="f" stroked="t" coordsize="21600,21600" o:gfxdata="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DFrDq/&#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07" o:spid="_x0000_s1026" o:spt="1" style="position:absolute;left:11642;top:868436;height:433;width:1027;" filled="f" stroked="t" coordsize="21600,21600" o:gfxdata="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D/mDr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14:paraId="0FD0FE60">
                        <w:pPr>
                          <w:jc w:val="center"/>
                        </w:pPr>
                        <w:r>
                          <w:rPr>
                            <w:rFonts w:hint="eastAsia"/>
                            <w:lang w:val="en-US" w:eastAsia="zh-CN"/>
                          </w:rPr>
                          <w:t>除氧器</w:t>
                        </w:r>
                      </w:p>
                    </w:txbxContent>
                  </v:textbox>
                </v:rect>
                <v:line id="直线 282" o:spid="_x0000_s1026" o:spt="20" style="position:absolute;left:9003;top:869353;flip:y;height:13;width:3167;" filled="f" stroked="t" coordsize="21600,21600" o:gfxdata="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ey2i74A&#10;AADcAAAADwAAAAAAAAABACAAAAAiAAAAZHJzL2Rvd25yZXYueG1sUEsBAhQAFAAAAAgAh07iQDMv&#10;BZ47AAAAOQAAABAAAAAAAAAAAQAgAAAADQEAAGRycy9zaGFwZXhtbC54bWxQSwUGAAAAAAYABgBb&#10;AQAAtwMAAAAA&#10;">
                  <v:fill on="f" focussize="0,0"/>
                  <v:stroke color="#000000" joinstyle="round" startarrowlength="short"/>
                  <v:imagedata o:title=""/>
                  <o:lock v:ext="edit" aspectratio="f"/>
                </v:line>
                <v:line id="直线 408" o:spid="_x0000_s1026" o:spt="20" style="position:absolute;left:11990;top:867102;flip:x;height:1347;width:7;" filled="f" stroked="t" coordsize="21600,21600" o:gfxdata="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cu0LugAAANwA&#10;AAAPAAAAAAAAAAEAIAAAACIAAABkcnMvZG93bnJldi54bWxQSwECFAAUAAAACACHTuJAMy8FnjsA&#10;AAA5AAAAEAAAAAAAAAABACAAAAAJAQAAZHJzL3NoYXBleG1sLnhtbFBLBQYAAAAABgAGAFsBAACz&#10;AwAAAAA=&#10;">
                  <v:fill on="f" focussize="0,0"/>
                  <v:stroke color="#000000" joinstyle="round" dashstyle="dash"/>
                  <v:imagedata o:title=""/>
                  <o:lock v:ext="edit" aspectratio="f"/>
                </v:line>
                <v:line id="直线 469" o:spid="_x0000_s1026" o:spt="20" style="position:absolute;left:4857;top:867099;height:34;width:7145;" filled="f" stroked="t" coordsize="21600,21600" o:gfxdata="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Zhek+/&#10;AAAA3AAAAA8AAAAAAAAAAQAgAAAAIgAAAGRycy9kb3ducmV2LnhtbFBLAQIUABQAAAAIAIdO4kAz&#10;LwWeOwAAADkAAAAQAAAAAAAAAAEAIAAAAA4BAABkcnMvc2hhcGV4bWwueG1sUEsFBgAAAAAGAAYA&#10;WwEAALgDAAAAAA==&#10;">
                  <v:fill on="f" focussize="0,0"/>
                  <v:stroke color="#000000" joinstyle="round" dashstyle="dash" startarrowlength="short"/>
                  <v:imagedata o:title=""/>
                  <o:lock v:ext="edit" aspectratio="f"/>
                </v:line>
                <v:line id="直线 470" o:spid="_x0000_s1026" o:spt="20" style="position:absolute;left:12441;top:868871;flip:y;height:1302;width:8;" filled="f" stroked="t" coordsize="21600,21600" o:gfxdata="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qMkZ&#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5" o:spid="_x0000_s1026" o:spt="1" style="position:absolute;left:6464;top:867912;height:380;width:600;" filled="f" stroked="f" coordsize="21600,21600" o:gfxdata="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CdU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03ECA452">
                        <w:pPr>
                          <w:rPr>
                            <w:rFonts w:hint="default" w:eastAsia="宋体"/>
                            <w:lang w:val="en-US" w:eastAsia="zh-CN"/>
                          </w:rPr>
                        </w:pPr>
                        <w:r>
                          <w:rPr>
                            <w:rFonts w:hint="eastAsia" w:eastAsia="宋体"/>
                            <w:lang w:val="en-US" w:eastAsia="zh-CN"/>
                          </w:rPr>
                          <w:t>506.4</w:t>
                        </w:r>
                      </w:p>
                    </w:txbxContent>
                  </v:textbox>
                </v:rect>
                <v:rect id="矩形 875" o:spid="_x0000_s1026" o:spt="1" style="position:absolute;left:6464;top:869014;height:380;width:600;" filled="f" stroked="f" coordsize="21600,21600" o:gfxdata="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lQ6z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525F9ADB">
                        <w:pPr>
                          <w:rPr>
                            <w:rFonts w:hint="default" w:eastAsia="宋体"/>
                            <w:lang w:val="en-US" w:eastAsia="zh-CN"/>
                          </w:rPr>
                        </w:pPr>
                        <w:r>
                          <w:rPr>
                            <w:rFonts w:hint="eastAsia" w:eastAsia="宋体"/>
                            <w:lang w:val="en-US" w:eastAsia="zh-CN"/>
                          </w:rPr>
                          <w:t>94</w:t>
                        </w:r>
                      </w:p>
                    </w:txbxContent>
                  </v:textbox>
                </v:rect>
                <v:rect id="矩形 939" o:spid="_x0000_s1026" o:spt="1" style="position:absolute;left:9026;top:868324;height:380;width:762;" filled="f" stroked="f" coordsize="21600,21600" o:gfxdata="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YcT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19E53923">
                        <w:pPr>
                          <w:rPr>
                            <w:rFonts w:hint="default" w:eastAsia="宋体"/>
                            <w:lang w:val="en-US" w:eastAsia="zh-CN"/>
                          </w:rPr>
                        </w:pPr>
                        <w:r>
                          <w:rPr>
                            <w:rFonts w:hint="eastAsia"/>
                            <w:lang w:val="en-US" w:eastAsia="zh-CN"/>
                          </w:rPr>
                          <w:t>266.68</w:t>
                        </w:r>
                      </w:p>
                    </w:txbxContent>
                  </v:textbox>
                </v:rect>
                <v:rect id="矩形 939" o:spid="_x0000_s1026" o:spt="1" style="position:absolute;left:9225;top:869839;height:380;width:762;" filled="f" stroked="f" coordsize="21600,21600" o:gfxdata="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eD2t25AAAA3A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14:paraId="2573AB84">
                        <w:pPr>
                          <w:rPr>
                            <w:rFonts w:hint="default" w:eastAsia="宋体"/>
                            <w:lang w:val="en-US" w:eastAsia="zh-CN"/>
                          </w:rPr>
                        </w:pPr>
                        <w:r>
                          <w:rPr>
                            <w:rFonts w:hint="eastAsia"/>
                            <w:lang w:val="en-US" w:eastAsia="zh-CN"/>
                          </w:rPr>
                          <w:t>241.12</w:t>
                        </w:r>
                      </w:p>
                    </w:txbxContent>
                  </v:textbox>
                </v:rect>
                <v:rect id="矩形 939" o:spid="_x0000_s1026" o:spt="1" style="position:absolute;left:12405;top:867604;height:380;width:762;" filled="f" stroked="f" coordsize="21600,21600" o:gfxdata="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jPf0a/&#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113C69A6">
                        <w:pPr>
                          <w:rPr>
                            <w:rFonts w:hint="default" w:eastAsia="宋体"/>
                            <w:lang w:val="en-US" w:eastAsia="zh-CN"/>
                          </w:rPr>
                        </w:pPr>
                        <w:r>
                          <w:rPr>
                            <w:rFonts w:hint="eastAsia"/>
                            <w:lang w:val="en-US" w:eastAsia="zh-CN"/>
                          </w:rPr>
                          <w:t>0.4</w:t>
                        </w:r>
                      </w:p>
                    </w:txbxContent>
                  </v:textbox>
                </v:rect>
                <v:rect id="矩形 875" o:spid="_x0000_s1026" o:spt="1" style="position:absolute;left:4861;top:867234;height:380;width:600;" filled="f" stroked="f" coordsize="21600,21600" o:gfxdata="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wsQAa5AAAA3A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14:paraId="14654A66">
                        <w:pPr>
                          <w:rPr>
                            <w:rFonts w:hint="default" w:eastAsia="宋体"/>
                            <w:lang w:val="en-US" w:eastAsia="zh-CN"/>
                          </w:rPr>
                        </w:pPr>
                        <w:r>
                          <w:rPr>
                            <w:rFonts w:hint="eastAsia" w:eastAsia="宋体"/>
                            <w:lang w:val="en-US" w:eastAsia="zh-CN"/>
                          </w:rPr>
                          <w:t>600.4</w:t>
                        </w:r>
                      </w:p>
                    </w:txbxContent>
                  </v:textbox>
                </v:rect>
                <w10:wrap type="none"/>
                <w10:anchorlock/>
              </v:group>
            </w:pict>
          </mc:Fallback>
        </mc:AlternateContent>
      </w:r>
    </w:p>
    <w:p w14:paraId="4CE0AC00">
      <w:pPr>
        <w:spacing w:line="360" w:lineRule="auto"/>
        <w:ind w:firstLine="482" w:firstLineChars="200"/>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图</w:t>
      </w:r>
      <w:r>
        <w:rPr>
          <w:rFonts w:hint="default"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w:t>
      </w:r>
      <w:r>
        <w:rPr>
          <w:rFonts w:hint="eastAsia"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w:t>
      </w:r>
      <w:r>
        <w:rPr>
          <w:rFonts w:hint="eastAsia" w:cs="Times New Roman"/>
          <w:b/>
          <w:color w:val="auto"/>
          <w:sz w:val="24"/>
          <w:highlight w:val="none"/>
          <w:lang w:val="en-US" w:eastAsia="zh-CN"/>
        </w:rPr>
        <w:t xml:space="preserve">3  </w:t>
      </w:r>
      <w:r>
        <w:rPr>
          <w:rFonts w:hint="eastAsia" w:ascii="Times New Roman" w:hAnsi="Times New Roman" w:cs="Times New Roman"/>
          <w:b/>
          <w:color w:val="auto"/>
          <w:sz w:val="24"/>
          <w:highlight w:val="none"/>
          <w:lang w:val="en-US" w:eastAsia="zh-CN"/>
        </w:rPr>
        <w:t>单套装置蒸汽</w:t>
      </w:r>
      <w:r>
        <w:rPr>
          <w:rFonts w:hint="default" w:ascii="Times New Roman" w:hAnsi="Times New Roman" w:cs="Times New Roman"/>
          <w:b/>
          <w:color w:val="auto"/>
          <w:sz w:val="24"/>
          <w:highlight w:val="none"/>
        </w:rPr>
        <w:t>平衡图（单位：</w:t>
      </w:r>
      <w:r>
        <w:rPr>
          <w:rFonts w:hint="eastAsia" w:ascii="Times New Roman" w:hAnsi="Times New Roman" w:cs="Times New Roman"/>
          <w:b/>
          <w:color w:val="auto"/>
          <w:sz w:val="24"/>
          <w:highlight w:val="none"/>
          <w:lang w:val="en-US" w:eastAsia="zh-CN"/>
        </w:rPr>
        <w:t>kg</w:t>
      </w:r>
      <w:r>
        <w:rPr>
          <w:rFonts w:hint="default" w:ascii="Times New Roman" w:hAnsi="Times New Roman" w:cs="Times New Roman"/>
          <w:b/>
          <w:color w:val="auto"/>
          <w:sz w:val="24"/>
          <w:highlight w:val="none"/>
        </w:rPr>
        <w:t>/</w:t>
      </w:r>
      <w:r>
        <w:rPr>
          <w:rFonts w:hint="eastAsia" w:ascii="Times New Roman" w:hAnsi="Times New Roman" w:cs="Times New Roman"/>
          <w:b/>
          <w:color w:val="auto"/>
          <w:sz w:val="24"/>
          <w:highlight w:val="none"/>
          <w:lang w:val="en-US" w:eastAsia="zh-CN"/>
        </w:rPr>
        <w:t>h</w:t>
      </w:r>
      <w:r>
        <w:rPr>
          <w:rFonts w:hint="default" w:ascii="Times New Roman" w:hAnsi="Times New Roman" w:cs="Times New Roman"/>
          <w:b/>
          <w:color w:val="auto"/>
          <w:sz w:val="24"/>
          <w:highlight w:val="none"/>
        </w:rPr>
        <w:t>）</w:t>
      </w:r>
    </w:p>
    <w:p w14:paraId="6E98F448">
      <w:pPr>
        <w:keepNext w:val="0"/>
        <w:keepLines w:val="0"/>
        <w:pageBreakBefore w:val="0"/>
        <w:widowControl w:val="0"/>
        <w:kinsoku/>
        <w:wordWrap/>
        <w:overflowPunct/>
        <w:topLinePunct w:val="0"/>
        <w:autoSpaceDE/>
        <w:autoSpaceDN w:val="0"/>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脱盐水制备系统需定期反冲洗膜及石英砂、活性炭等过滤组件，可使膜及其他组件不结垢堵塞。本项目反冲洗包括两部分，一部分为反冲洗石英砂、活性炭等，其反冲洗水采用自来水，反冲洗频率约为5d一次，冲洗时间为20min，每次冲洗水量为0.5t。一部分为RO反渗透膜冲洗，根据企业纯水类型，冲洗频率为3月/次，冲洗废水均直接进入污水管网，由于冲洗用量较少，频次较低，且均为利用自来水对脱盐水撬进行制备，环评不对其进行核算。</w:t>
      </w:r>
    </w:p>
    <w:p w14:paraId="352C9C28">
      <w:pPr>
        <w:keepNext w:val="0"/>
        <w:keepLines w:val="0"/>
        <w:pageBreakBefore w:val="0"/>
        <w:widowControl w:val="0"/>
        <w:kinsoku/>
        <w:wordWrap/>
        <w:overflowPunct/>
        <w:topLinePunct w:val="0"/>
        <w:autoSpaceDE/>
        <w:autoSpaceDN w:val="0"/>
        <w:bidi w:val="0"/>
        <w:adjustRightInd/>
        <w:snapToGrid/>
        <w:spacing w:line="360" w:lineRule="auto"/>
        <w:ind w:firstLine="480" w:firstLineChars="200"/>
        <w:jc w:val="left"/>
        <w:textAlignment w:val="auto"/>
        <w:rPr>
          <w:rFonts w:hint="eastAsia"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②循环冷却水系统用水</w:t>
      </w:r>
    </w:p>
    <w:p w14:paraId="7C84A2E8">
      <w:pPr>
        <w:keepNext w:val="0"/>
        <w:keepLines w:val="0"/>
        <w:pageBreakBefore w:val="0"/>
        <w:widowControl w:val="0"/>
        <w:kinsoku/>
        <w:wordWrap/>
        <w:overflowPunct/>
        <w:topLinePunct w:val="0"/>
        <w:autoSpaceDE/>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本项目采用间接循环冷却水系统进行氢气压缩机、中温转化气间接冷却，配套冷却水塔（使用自来水进行冷却），本项目所使用的循环水系统为闭式冷却水系统，根据企业核实，系统最大循环水量为200m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/h。根据《工业循环冷却水处理设计规范》（GB/T50050-2017），闭式冷却系统的补充水量不宜大于循环水量的1</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，则最大补充水量为：200×1</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=0.2m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/h</w:t>
      </w:r>
    </w:p>
    <w:p w14:paraId="675455A8">
      <w:pPr>
        <w:keepNext w:val="0"/>
        <w:keepLines w:val="0"/>
        <w:pageBreakBefore w:val="0"/>
        <w:widowControl w:val="0"/>
        <w:kinsoku/>
        <w:wordWrap/>
        <w:overflowPunct/>
        <w:topLinePunct w:val="0"/>
        <w:autoSpaceDE/>
        <w:autoSpaceDN w:val="0"/>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根据上式可知，补充水量为0.2×24=4.8m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/d（按全年365计，每天用水4.8m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/d），全年补水量为4.8m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/d×365d=1752m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/a。</w:t>
      </w:r>
    </w:p>
    <w:p w14:paraId="36B916D6">
      <w:pPr>
        <w:spacing w:line="360" w:lineRule="auto"/>
        <w:ind w:firstLine="480" w:firstLineChars="200"/>
        <w:rPr>
          <w:rFonts w:hint="eastAsia"/>
          <w:bCs/>
          <w:color w:val="auto"/>
          <w:sz w:val="24"/>
          <w:szCs w:val="28"/>
          <w:highlight w:val="none"/>
          <w:lang w:val="en-US" w:eastAsia="zh-CN"/>
        </w:rPr>
      </w:pPr>
      <w:r>
        <w:rPr>
          <w:rFonts w:hint="eastAsia"/>
          <w:bCs/>
          <w:color w:val="auto"/>
          <w:sz w:val="24"/>
          <w:szCs w:val="28"/>
          <w:highlight w:val="none"/>
          <w:lang w:val="en-US" w:eastAsia="zh-CN"/>
        </w:rPr>
        <w:t>③洗车过程用水</w:t>
      </w:r>
    </w:p>
    <w:p w14:paraId="1CF20D54">
      <w:pPr>
        <w:spacing w:line="360" w:lineRule="auto"/>
        <w:ind w:firstLine="480" w:firstLineChars="200"/>
        <w:rPr>
          <w:rFonts w:hint="eastAsia" w:eastAsia="宋体"/>
          <w:bCs/>
          <w:color w:val="auto"/>
          <w:sz w:val="24"/>
          <w:szCs w:val="28"/>
          <w:highlight w:val="none"/>
          <w:lang w:val="en-US" w:eastAsia="zh-CN"/>
        </w:rPr>
      </w:pPr>
      <w:r>
        <w:rPr>
          <w:rFonts w:hint="eastAsia" w:ascii="宋体" w:hAnsi="宋体" w:eastAsia="宋体" w:cs="宋体"/>
          <w:b w:val="0"/>
          <w:bCs w:val="0"/>
          <w:color w:val="auto"/>
          <w:sz w:val="24"/>
          <w:szCs w:val="24"/>
          <w:highlight w:val="none"/>
        </w:rPr>
        <w:t>本项目洗车机仅提供给加油客户使用，采用自动洗车机洗车方法，洗车机仅供清洗小型轿车，</w:t>
      </w:r>
      <w:r>
        <w:rPr>
          <w:rFonts w:hint="eastAsia" w:ascii="宋体" w:hAnsi="宋体" w:eastAsia="宋体" w:cs="宋体"/>
          <w:b w:val="0"/>
          <w:bCs w:val="0"/>
          <w:color w:val="auto"/>
          <w:sz w:val="24"/>
          <w:szCs w:val="24"/>
          <w:highlight w:val="none"/>
          <w:lang w:val="en-US" w:eastAsia="zh-CN"/>
        </w:rPr>
        <w:t>经企业购置洗车机配置说明</w:t>
      </w:r>
      <w:r>
        <w:rPr>
          <w:rFonts w:hint="eastAsia" w:ascii="宋体" w:hAnsi="宋体" w:eastAsia="宋体" w:cs="宋体"/>
          <w:b w:val="0"/>
          <w:bCs w:val="0"/>
          <w:color w:val="auto"/>
          <w:sz w:val="24"/>
          <w:szCs w:val="24"/>
          <w:highlight w:val="none"/>
        </w:rPr>
        <w:t>，洗车机清洗每辆轿车用水约</w:t>
      </w:r>
      <w:r>
        <w:rPr>
          <w:rFonts w:ascii="Times New Roman" w:hAnsi="Times New Roman" w:eastAsia="Times New Roman" w:cs="Times New Roman"/>
          <w:b w:val="0"/>
          <w:bCs w:val="0"/>
          <w:color w:val="auto"/>
          <w:sz w:val="24"/>
          <w:szCs w:val="24"/>
          <w:highlight w:val="none"/>
        </w:rPr>
        <w:t>60L/</w:t>
      </w:r>
      <w:r>
        <w:rPr>
          <w:rFonts w:hint="eastAsia" w:ascii="宋体" w:hAnsi="宋体" w:eastAsia="宋体" w:cs="宋体"/>
          <w:b w:val="0"/>
          <w:bCs w:val="0"/>
          <w:color w:val="auto"/>
          <w:sz w:val="24"/>
          <w:szCs w:val="24"/>
          <w:highlight w:val="none"/>
        </w:rPr>
        <w:t>辆。本项目清洗车辆约</w:t>
      </w:r>
      <w:r>
        <w:rPr>
          <w:rFonts w:hint="eastAsia" w:ascii="Times New Roman" w:hAnsi="Times New Roman" w:eastAsia="宋体" w:cs="Times New Roman"/>
          <w:b w:val="0"/>
          <w:bCs w:val="0"/>
          <w:color w:val="auto"/>
          <w:sz w:val="24"/>
          <w:szCs w:val="24"/>
          <w:highlight w:val="none"/>
          <w:lang w:val="en-US" w:eastAsia="zh-CN"/>
        </w:rPr>
        <w:t>4</w:t>
      </w:r>
      <w:r>
        <w:rPr>
          <w:rFonts w:hint="default" w:ascii="Times New Roman" w:hAnsi="Times New Roman" w:eastAsia="Times New Roman" w:cs="Times New Roman"/>
          <w:b w:val="0"/>
          <w:bCs w:val="0"/>
          <w:color w:val="auto"/>
          <w:sz w:val="24"/>
          <w:szCs w:val="24"/>
          <w:highlight w:val="none"/>
        </w:rPr>
        <w:t>0</w:t>
      </w:r>
      <w:r>
        <w:rPr>
          <w:rFonts w:hint="eastAsia" w:ascii="宋体" w:hAnsi="宋体" w:eastAsia="宋体" w:cs="宋体"/>
          <w:b w:val="0"/>
          <w:bCs w:val="0"/>
          <w:color w:val="auto"/>
          <w:sz w:val="24"/>
          <w:szCs w:val="24"/>
          <w:highlight w:val="none"/>
        </w:rPr>
        <w:t>辆</w:t>
      </w:r>
      <w:r>
        <w:rPr>
          <w:rFonts w:hint="default" w:ascii="Times New Roman" w:hAnsi="Times New Roman" w:eastAsia="Times New Roman" w:cs="Times New Roman"/>
          <w:b w:val="0"/>
          <w:bCs w:val="0"/>
          <w:color w:val="auto"/>
          <w:sz w:val="24"/>
          <w:szCs w:val="24"/>
          <w:highlight w:val="none"/>
        </w:rPr>
        <w:t>/d</w:t>
      </w:r>
      <w:r>
        <w:rPr>
          <w:rFonts w:hint="eastAsia" w:ascii="宋体" w:hAnsi="宋体" w:eastAsia="宋体" w:cs="宋体"/>
          <w:b w:val="0"/>
          <w:bCs w:val="0"/>
          <w:color w:val="auto"/>
          <w:sz w:val="24"/>
          <w:szCs w:val="24"/>
          <w:highlight w:val="none"/>
        </w:rPr>
        <w:t>，则年清洗车辆</w:t>
      </w:r>
      <w:r>
        <w:rPr>
          <w:rFonts w:hint="eastAsia" w:ascii="Times New Roman" w:hAnsi="Times New Roman" w:eastAsia="宋体" w:cs="Times New Roman"/>
          <w:b w:val="0"/>
          <w:bCs w:val="0"/>
          <w:color w:val="auto"/>
          <w:sz w:val="24"/>
          <w:szCs w:val="24"/>
          <w:highlight w:val="none"/>
          <w:lang w:val="en-US" w:eastAsia="zh-CN"/>
        </w:rPr>
        <w:t>146</w:t>
      </w:r>
      <w:r>
        <w:rPr>
          <w:rFonts w:hint="default" w:ascii="Times New Roman" w:hAnsi="Times New Roman" w:eastAsia="Times New Roman" w:cs="Times New Roman"/>
          <w:b w:val="0"/>
          <w:bCs w:val="0"/>
          <w:color w:val="auto"/>
          <w:sz w:val="24"/>
          <w:szCs w:val="24"/>
          <w:highlight w:val="none"/>
        </w:rPr>
        <w:t>00</w:t>
      </w:r>
      <w:r>
        <w:rPr>
          <w:rFonts w:hint="eastAsia" w:ascii="宋体" w:hAnsi="宋体" w:eastAsia="宋体" w:cs="宋体"/>
          <w:b w:val="0"/>
          <w:bCs w:val="0"/>
          <w:color w:val="auto"/>
          <w:sz w:val="24"/>
          <w:szCs w:val="24"/>
          <w:highlight w:val="none"/>
        </w:rPr>
        <w:t>辆</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，洗车用水量为</w:t>
      </w:r>
      <w:r>
        <w:rPr>
          <w:rFonts w:hint="eastAsia" w:ascii="Times New Roman" w:hAnsi="Times New Roman" w:eastAsia="宋体" w:cs="Times New Roman"/>
          <w:b w:val="0"/>
          <w:bCs w:val="0"/>
          <w:color w:val="auto"/>
          <w:sz w:val="24"/>
          <w:szCs w:val="24"/>
          <w:highlight w:val="none"/>
          <w:lang w:val="en-US" w:eastAsia="zh-CN"/>
        </w:rPr>
        <w:t>2.4</w:t>
      </w:r>
      <w:r>
        <w:rPr>
          <w:rFonts w:hint="default" w:ascii="Times New Roman" w:hAnsi="Times New Roman" w:eastAsia="Times New Roman" w:cs="Times New Roman"/>
          <w:b w:val="0"/>
          <w:bCs w:val="0"/>
          <w:color w:val="auto"/>
          <w:sz w:val="24"/>
          <w:szCs w:val="24"/>
          <w:highlight w:val="none"/>
        </w:rPr>
        <w:t>t/d</w:t>
      </w:r>
      <w:r>
        <w:rPr>
          <w:rFonts w:hint="eastAsia" w:ascii="宋体" w:hAnsi="宋体" w:eastAsia="宋体" w:cs="宋体"/>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876</w:t>
      </w:r>
      <w:r>
        <w:rPr>
          <w:rFonts w:hint="default" w:ascii="Times New Roman" w:hAnsi="Times New Roman" w:eastAsia="Times New Roman" w:cs="Times New Roman"/>
          <w:b w:val="0"/>
          <w:bCs w:val="0"/>
          <w:color w:val="auto"/>
          <w:sz w:val="24"/>
          <w:szCs w:val="24"/>
          <w:highlight w:val="none"/>
        </w:rPr>
        <w:t>t/a</w:t>
      </w:r>
      <w:r>
        <w:rPr>
          <w:rFonts w:hint="eastAsia" w:ascii="宋体" w:hAnsi="宋体" w:eastAsia="宋体" w:cs="宋体"/>
          <w:b w:val="0"/>
          <w:bCs w:val="0"/>
          <w:color w:val="auto"/>
          <w:sz w:val="24"/>
          <w:szCs w:val="24"/>
          <w:highlight w:val="none"/>
        </w:rPr>
        <w:t>）</w:t>
      </w:r>
      <w:r>
        <w:rPr>
          <w:rFonts w:hint="eastAsia" w:ascii="宋体" w:hAnsi="宋体" w:eastAsia="宋体" w:cs="宋体"/>
          <w:b w:val="0"/>
          <w:bCs w:val="0"/>
          <w:color w:val="auto"/>
          <w:sz w:val="24"/>
          <w:szCs w:val="24"/>
          <w:highlight w:val="none"/>
          <w:lang w:eastAsia="zh-CN"/>
        </w:rPr>
        <w:t>。</w:t>
      </w:r>
    </w:p>
    <w:p w14:paraId="57F53EFC">
      <w:pPr>
        <w:numPr>
          <w:ilvl w:val="0"/>
          <w:numId w:val="0"/>
        </w:numPr>
        <w:spacing w:line="360" w:lineRule="auto"/>
        <w:ind w:firstLine="482" w:firstLineChars="200"/>
        <w:rPr>
          <w:b/>
          <w:color w:val="auto"/>
          <w:sz w:val="24"/>
          <w:szCs w:val="28"/>
          <w:highlight w:val="none"/>
        </w:rPr>
      </w:pPr>
      <w:r>
        <w:rPr>
          <w:b/>
          <w:color w:val="auto"/>
          <w:kern w:val="2"/>
          <w:sz w:val="24"/>
          <w:szCs w:val="28"/>
          <w:highlight w:val="none"/>
          <w:lang w:val="en-US" w:eastAsia="zh-CN" w:bidi="ar-SA"/>
        </w:rPr>
        <w:t>2、</w:t>
      </w:r>
      <w:r>
        <w:rPr>
          <w:b/>
          <w:color w:val="auto"/>
          <w:sz w:val="24"/>
          <w:szCs w:val="28"/>
          <w:highlight w:val="none"/>
        </w:rPr>
        <w:t>排水</w:t>
      </w:r>
    </w:p>
    <w:p w14:paraId="2F2B4150">
      <w:pPr>
        <w:keepNext w:val="0"/>
        <w:keepLines w:val="0"/>
        <w:pageBreakBefore w:val="0"/>
        <w:widowControl w:val="0"/>
        <w:kinsoku/>
        <w:wordWrap/>
        <w:overflowPunct/>
        <w:topLinePunct w:val="0"/>
        <w:autoSpaceDE/>
        <w:bidi w:val="0"/>
        <w:adjustRightInd/>
        <w:snapToGrid/>
        <w:spacing w:line="360" w:lineRule="auto"/>
        <w:ind w:firstLine="480" w:firstLineChars="200"/>
        <w:jc w:val="left"/>
        <w:textAlignment w:val="auto"/>
        <w:rPr>
          <w:bCs/>
          <w:color w:val="auto"/>
          <w:sz w:val="24"/>
          <w:szCs w:val="28"/>
          <w:highlight w:val="none"/>
        </w:rPr>
      </w:pPr>
      <w:r>
        <w:rPr>
          <w:bCs/>
          <w:color w:val="auto"/>
          <w:sz w:val="24"/>
          <w:szCs w:val="28"/>
          <w:highlight w:val="none"/>
        </w:rPr>
        <w:t>项目排水主要环节为生产废水、生活污水</w:t>
      </w:r>
      <w:r>
        <w:rPr>
          <w:rFonts w:hint="eastAsia"/>
          <w:bCs/>
          <w:color w:val="auto"/>
          <w:sz w:val="24"/>
          <w:szCs w:val="28"/>
          <w:highlight w:val="none"/>
          <w:lang w:eastAsia="zh-CN"/>
        </w:rPr>
        <w:t>（</w:t>
      </w:r>
      <w:r>
        <w:rPr>
          <w:rFonts w:hint="eastAsia"/>
          <w:bCs/>
          <w:color w:val="auto"/>
          <w:sz w:val="24"/>
          <w:szCs w:val="28"/>
          <w:highlight w:val="none"/>
          <w:lang w:val="en-US" w:eastAsia="zh-CN"/>
        </w:rPr>
        <w:t>含食堂废水、保洁废水</w:t>
      </w:r>
      <w:r>
        <w:rPr>
          <w:rFonts w:hint="eastAsia"/>
          <w:bCs/>
          <w:color w:val="auto"/>
          <w:sz w:val="24"/>
          <w:szCs w:val="28"/>
          <w:highlight w:val="none"/>
          <w:lang w:eastAsia="zh-CN"/>
        </w:rPr>
        <w:t>）</w:t>
      </w:r>
      <w:r>
        <w:rPr>
          <w:bCs/>
          <w:color w:val="auto"/>
          <w:sz w:val="24"/>
          <w:szCs w:val="28"/>
          <w:highlight w:val="none"/>
        </w:rPr>
        <w:t>等。</w:t>
      </w:r>
    </w:p>
    <w:p w14:paraId="79B75196">
      <w:pPr>
        <w:keepNext w:val="0"/>
        <w:keepLines w:val="0"/>
        <w:pageBreakBefore w:val="0"/>
        <w:widowControl w:val="0"/>
        <w:numPr>
          <w:ilvl w:val="0"/>
          <w:numId w:val="0"/>
        </w:numPr>
        <w:kinsoku/>
        <w:wordWrap/>
        <w:overflowPunct/>
        <w:topLinePunct w:val="0"/>
        <w:autoSpaceDE/>
        <w:bidi w:val="0"/>
        <w:adjustRightInd/>
        <w:snapToGrid/>
        <w:spacing w:line="360" w:lineRule="auto"/>
        <w:ind w:firstLine="480" w:firstLineChars="200"/>
        <w:jc w:val="left"/>
        <w:textAlignment w:val="auto"/>
        <w:rPr>
          <w:bCs/>
          <w:color w:val="auto"/>
          <w:sz w:val="24"/>
          <w:szCs w:val="28"/>
          <w:highlight w:val="none"/>
        </w:rPr>
      </w:pPr>
      <w:r>
        <w:rPr>
          <w:rFonts w:hint="eastAsia"/>
          <w:bCs/>
          <w:color w:val="auto"/>
          <w:kern w:val="2"/>
          <w:sz w:val="24"/>
          <w:szCs w:val="28"/>
          <w:highlight w:val="none"/>
          <w:lang w:val="en-US" w:eastAsia="zh-CN" w:bidi="ar-SA"/>
        </w:rPr>
        <w:t>（一）</w:t>
      </w:r>
      <w:r>
        <w:rPr>
          <w:bCs/>
          <w:color w:val="auto"/>
          <w:sz w:val="24"/>
          <w:szCs w:val="28"/>
          <w:highlight w:val="none"/>
        </w:rPr>
        <w:t>生活污水</w:t>
      </w:r>
    </w:p>
    <w:p w14:paraId="7BD73670">
      <w:pPr>
        <w:keepNext w:val="0"/>
        <w:keepLines w:val="0"/>
        <w:pageBreakBefore w:val="0"/>
        <w:widowControl w:val="0"/>
        <w:kinsoku/>
        <w:wordWrap/>
        <w:overflowPunct/>
        <w:topLinePunct w:val="0"/>
        <w:autoSpaceDE/>
        <w:autoSpaceDN w:val="0"/>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highlight w:val="none"/>
          <w:lang w:val="en-US" w:eastAsia="zh-CN"/>
        </w:rPr>
      </w:pPr>
      <w:r>
        <w:rPr>
          <w:bCs/>
          <w:color w:val="auto"/>
          <w:sz w:val="24"/>
          <w:szCs w:val="28"/>
          <w:highlight w:val="none"/>
        </w:rPr>
        <w:t>本项目职工生活</w:t>
      </w:r>
      <w:r>
        <w:rPr>
          <w:rFonts w:hint="eastAsia"/>
          <w:bCs/>
          <w:color w:val="auto"/>
          <w:sz w:val="24"/>
          <w:szCs w:val="28"/>
          <w:highlight w:val="none"/>
          <w:lang w:val="en-US" w:eastAsia="zh-CN"/>
        </w:rPr>
        <w:t>办公区</w:t>
      </w:r>
      <w:r>
        <w:rPr>
          <w:bCs/>
          <w:color w:val="auto"/>
          <w:sz w:val="24"/>
          <w:szCs w:val="28"/>
          <w:highlight w:val="none"/>
        </w:rPr>
        <w:t>用水量约为</w:t>
      </w:r>
      <w:r>
        <w:rPr>
          <w:rFonts w:hint="eastAsia"/>
          <w:bCs/>
          <w:color w:val="auto"/>
          <w:sz w:val="24"/>
          <w:szCs w:val="28"/>
          <w:highlight w:val="none"/>
          <w:lang w:val="en-US" w:eastAsia="zh-CN"/>
        </w:rPr>
        <w:t>3.12</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/d、</w:t>
      </w:r>
      <w:r>
        <w:rPr>
          <w:rFonts w:hint="eastAsia"/>
          <w:bCs/>
          <w:color w:val="auto"/>
          <w:sz w:val="24"/>
          <w:szCs w:val="28"/>
          <w:highlight w:val="none"/>
          <w:lang w:val="en-US" w:eastAsia="zh-CN"/>
        </w:rPr>
        <w:t>1140</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/a。废水产生量按用水量的8</w:t>
      </w:r>
      <w:r>
        <w:rPr>
          <w:rFonts w:hint="eastAsia"/>
          <w:bCs/>
          <w:color w:val="auto"/>
          <w:sz w:val="24"/>
          <w:szCs w:val="28"/>
          <w:highlight w:val="none"/>
          <w:lang w:val="en-US" w:eastAsia="zh-CN"/>
        </w:rPr>
        <w:t>5</w:t>
      </w:r>
      <w:r>
        <w:rPr>
          <w:bCs/>
          <w:color w:val="auto"/>
          <w:sz w:val="24"/>
          <w:szCs w:val="28"/>
          <w:highlight w:val="none"/>
        </w:rPr>
        <w:t>%计，</w:t>
      </w:r>
      <w:r>
        <w:rPr>
          <w:rFonts w:hint="eastAsia" w:cs="Times New Roman"/>
          <w:color w:val="auto"/>
          <w:sz w:val="24"/>
          <w:highlight w:val="none"/>
        </w:rPr>
        <w:t>则生活污水产生量为</w:t>
      </w:r>
      <w:r>
        <w:rPr>
          <w:rFonts w:hint="eastAsia" w:cs="Times New Roman"/>
          <w:color w:val="auto"/>
          <w:sz w:val="24"/>
          <w:highlight w:val="none"/>
          <w:lang w:val="en-US" w:eastAsia="zh-CN"/>
        </w:rPr>
        <w:t>2.652</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/d</w:t>
      </w:r>
      <w:r>
        <w:rPr>
          <w:rFonts w:hint="eastAsia" w:cs="Times New Roman"/>
          <w:color w:val="auto"/>
          <w:sz w:val="24"/>
          <w:highlight w:val="none"/>
        </w:rPr>
        <w:t>，</w:t>
      </w:r>
      <w:r>
        <w:rPr>
          <w:rFonts w:hint="eastAsia" w:cs="Times New Roman"/>
          <w:color w:val="auto"/>
          <w:sz w:val="24"/>
          <w:highlight w:val="none"/>
          <w:lang w:val="en-US" w:eastAsia="zh-CN"/>
        </w:rPr>
        <w:t>969</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/a</w:t>
      </w:r>
      <w:r>
        <w:rPr>
          <w:rFonts w:hint="eastAsia" w:cs="Times New Roman"/>
          <w:color w:val="auto"/>
          <w:sz w:val="24"/>
          <w:highlight w:val="none"/>
        </w:rPr>
        <w:t>。</w:t>
      </w:r>
      <w:r>
        <w:rPr>
          <w:rFonts w:hint="eastAsia"/>
          <w:bCs/>
          <w:color w:val="auto"/>
          <w:sz w:val="24"/>
          <w:szCs w:val="28"/>
          <w:highlight w:val="none"/>
          <w:lang w:val="en-US" w:eastAsia="zh-CN"/>
        </w:rPr>
        <w:t>生活污水经化粪池收集预处理</w:t>
      </w:r>
      <w:r>
        <w:rPr>
          <w:rFonts w:hint="eastAsia" w:cs="Times New Roman"/>
          <w:color w:val="auto"/>
          <w:sz w:val="24"/>
          <w:highlight w:val="none"/>
          <w:lang w:val="en-US" w:eastAsia="zh-CN"/>
        </w:rPr>
        <w:t>接管市政污水管网进入田家庵经济开发区污水处理站处理。保洁废水产生系数按照</w:t>
      </w:r>
      <w:r>
        <w:rPr>
          <w:bCs/>
          <w:color w:val="auto"/>
          <w:sz w:val="24"/>
          <w:szCs w:val="28"/>
          <w:highlight w:val="none"/>
        </w:rPr>
        <w:t>用水量的8</w:t>
      </w:r>
      <w:r>
        <w:rPr>
          <w:rFonts w:hint="eastAsia"/>
          <w:bCs/>
          <w:color w:val="auto"/>
          <w:sz w:val="24"/>
          <w:szCs w:val="28"/>
          <w:highlight w:val="none"/>
          <w:lang w:val="en-US" w:eastAsia="zh-CN"/>
        </w:rPr>
        <w:t>0</w:t>
      </w:r>
      <w:r>
        <w:rPr>
          <w:bCs/>
          <w:color w:val="auto"/>
          <w:sz w:val="24"/>
          <w:szCs w:val="28"/>
          <w:highlight w:val="none"/>
        </w:rPr>
        <w:t>%计</w:t>
      </w:r>
      <w:r>
        <w:rPr>
          <w:rFonts w:hint="eastAsia"/>
          <w:bCs/>
          <w:color w:val="auto"/>
          <w:sz w:val="24"/>
          <w:szCs w:val="28"/>
          <w:highlight w:val="none"/>
          <w:lang w:eastAsia="zh-CN"/>
        </w:rPr>
        <w:t>，</w:t>
      </w:r>
      <w:r>
        <w:rPr>
          <w:rFonts w:hint="eastAsia"/>
          <w:bCs/>
          <w:color w:val="auto"/>
          <w:sz w:val="24"/>
          <w:szCs w:val="28"/>
          <w:highlight w:val="none"/>
          <w:lang w:val="en-US" w:eastAsia="zh-CN"/>
        </w:rPr>
        <w:t>保洁废水产生量为0.368</w:t>
      </w:r>
      <w:r>
        <w:rPr>
          <w:rFonts w:hint="eastAsia" w:cs="Times New Roman"/>
          <w:color w:val="auto"/>
          <w:sz w:val="24"/>
          <w:highlight w:val="none"/>
          <w:lang w:val="en-US" w:eastAsia="zh-CN"/>
        </w:rPr>
        <w:t>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/d，134.32</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/a</w:t>
      </w:r>
      <w:r>
        <w:rPr>
          <w:rFonts w:hint="eastAsia"/>
          <w:bCs/>
          <w:color w:val="auto"/>
          <w:sz w:val="24"/>
          <w:szCs w:val="28"/>
          <w:highlight w:val="none"/>
          <w:lang w:eastAsia="zh-CN"/>
        </w:rPr>
        <w:t>。</w:t>
      </w:r>
      <w:r>
        <w:rPr>
          <w:rFonts w:hint="eastAsia" w:cs="Times New Roman"/>
          <w:color w:val="auto"/>
          <w:sz w:val="24"/>
          <w:highlight w:val="none"/>
          <w:lang w:val="en-US" w:eastAsia="zh-CN"/>
        </w:rPr>
        <w:t>接管市政污水管网进入田家庵经济开发区污水处理站处理。</w:t>
      </w:r>
      <w:r>
        <w:rPr>
          <w:rFonts w:hint="eastAsia" w:ascii="Times New Roman" w:hAnsi="Times New Roman" w:eastAsia="宋体" w:cs="Times New Roman"/>
          <w:color w:val="auto"/>
          <w:sz w:val="24"/>
          <w:highlight w:val="none"/>
        </w:rPr>
        <w:t>生活污水</w:t>
      </w:r>
      <w:r>
        <w:rPr>
          <w:rFonts w:hint="eastAsia" w:ascii="Times New Roman" w:hAnsi="Times New Roman" w:eastAsia="宋体" w:cs="Times New Roman"/>
          <w:color w:val="auto"/>
          <w:sz w:val="24"/>
          <w:highlight w:val="none"/>
          <w:lang w:eastAsia="zh-CN"/>
        </w:rPr>
        <w:t>、</w:t>
      </w:r>
      <w:r>
        <w:rPr>
          <w:rFonts w:hint="eastAsia"/>
          <w:bCs/>
          <w:color w:val="auto"/>
          <w:sz w:val="24"/>
          <w:szCs w:val="28"/>
          <w:highlight w:val="none"/>
          <w:lang w:val="en-US" w:eastAsia="zh-CN"/>
        </w:rPr>
        <w:t>保洁废水</w:t>
      </w:r>
      <w:r>
        <w:rPr>
          <w:rFonts w:hint="eastAsia" w:ascii="Times New Roman" w:hAnsi="Times New Roman" w:eastAsia="宋体" w:cs="Times New Roman"/>
          <w:color w:val="auto"/>
          <w:sz w:val="24"/>
          <w:highlight w:val="none"/>
        </w:rPr>
        <w:t>中含有的主要污染物包括</w:t>
      </w:r>
      <w:r>
        <w:rPr>
          <w:rFonts w:hint="eastAsia" w:ascii="Times New Roman" w:hAnsi="Times New Roman" w:eastAsia="宋体" w:cs="Times New Roman"/>
          <w:color w:val="auto"/>
          <w:sz w:val="24"/>
          <w:highlight w:val="none"/>
          <w:lang w:val="en-US" w:eastAsia="zh-CN"/>
        </w:rPr>
        <w:t>pH、</w:t>
      </w:r>
      <w:r>
        <w:rPr>
          <w:rFonts w:hint="eastAsia" w:ascii="Times New Roman" w:hAnsi="Times New Roman" w:eastAsia="宋体" w:cs="Times New Roman"/>
          <w:color w:val="auto"/>
          <w:sz w:val="24"/>
          <w:highlight w:val="none"/>
        </w:rPr>
        <w:t>COD、NH</w:t>
      </w:r>
      <w:r>
        <w:rPr>
          <w:rFonts w:hint="eastAsia" w:ascii="Times New Roman" w:hAnsi="Times New Roman" w:eastAsia="宋体" w:cs="Times New Roman"/>
          <w:color w:val="auto"/>
          <w:sz w:val="24"/>
          <w:highlight w:val="none"/>
          <w:vertAlign w:val="subscript"/>
        </w:rPr>
        <w:t>3</w:t>
      </w:r>
      <w:r>
        <w:rPr>
          <w:rFonts w:hint="eastAsia" w:ascii="Times New Roman" w:hAnsi="Times New Roman" w:eastAsia="宋体" w:cs="Times New Roman"/>
          <w:color w:val="auto"/>
          <w:sz w:val="24"/>
          <w:highlight w:val="none"/>
        </w:rPr>
        <w:t>-N、SS、BOD</w:t>
      </w:r>
      <w:r>
        <w:rPr>
          <w:rFonts w:hint="eastAsia" w:ascii="Times New Roman" w:hAnsi="Times New Roman" w:eastAsia="宋体" w:cs="Times New Roman"/>
          <w:color w:val="auto"/>
          <w:sz w:val="24"/>
          <w:highlight w:val="none"/>
          <w:vertAlign w:val="subscript"/>
        </w:rPr>
        <w:t>5</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TP、TN等。</w:t>
      </w:r>
    </w:p>
    <w:p w14:paraId="5DD69FA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bCs/>
          <w:color w:val="auto"/>
          <w:sz w:val="24"/>
          <w:szCs w:val="28"/>
          <w:highlight w:val="none"/>
        </w:rPr>
      </w:pPr>
      <w:r>
        <w:rPr>
          <w:rFonts w:hint="eastAsia"/>
          <w:bCs/>
          <w:color w:val="auto"/>
          <w:kern w:val="2"/>
          <w:sz w:val="24"/>
          <w:szCs w:val="28"/>
          <w:highlight w:val="none"/>
          <w:lang w:val="en-US" w:eastAsia="zh-CN" w:bidi="ar-SA"/>
        </w:rPr>
        <w:t>（二）</w:t>
      </w:r>
      <w:r>
        <w:rPr>
          <w:bCs/>
          <w:color w:val="auto"/>
          <w:sz w:val="24"/>
          <w:szCs w:val="28"/>
          <w:highlight w:val="none"/>
        </w:rPr>
        <w:t>生产废水</w:t>
      </w:r>
    </w:p>
    <w:p w14:paraId="52756F47">
      <w:pPr>
        <w:spacing w:line="360" w:lineRule="auto"/>
        <w:ind w:firstLine="480" w:firstLineChars="200"/>
        <w:rPr>
          <w:rFonts w:hint="default"/>
          <w:bCs/>
          <w:color w:val="auto"/>
          <w:sz w:val="24"/>
          <w:szCs w:val="28"/>
          <w:highlight w:val="none"/>
          <w:lang w:val="en-US" w:eastAsia="zh-CN"/>
        </w:rPr>
      </w:pPr>
      <w:r>
        <w:rPr>
          <w:rFonts w:hint="eastAsia"/>
          <w:bCs/>
          <w:color w:val="auto"/>
          <w:sz w:val="24"/>
          <w:szCs w:val="28"/>
          <w:highlight w:val="none"/>
          <w:lang w:val="en-US" w:eastAsia="zh-CN"/>
        </w:rPr>
        <w:t>①脱盐水制水产生浓水、反冲洗水</w:t>
      </w:r>
    </w:p>
    <w:p w14:paraId="2E898ADF">
      <w:pPr>
        <w:spacing w:line="360" w:lineRule="auto"/>
        <w:ind w:firstLine="480" w:firstLineChars="200"/>
        <w:rPr>
          <w:rFonts w:hint="default"/>
          <w:bCs/>
          <w:color w:val="auto"/>
          <w:sz w:val="24"/>
          <w:szCs w:val="28"/>
          <w:highlight w:val="none"/>
          <w:lang w:val="en-US" w:eastAsia="zh-CN"/>
        </w:rPr>
      </w:pPr>
      <w:r>
        <w:rPr>
          <w:rFonts w:hint="eastAsia"/>
          <w:bCs/>
          <w:color w:val="auto"/>
          <w:sz w:val="24"/>
          <w:szCs w:val="28"/>
          <w:highlight w:val="none"/>
          <w:lang w:val="en-US" w:eastAsia="zh-CN"/>
        </w:rPr>
        <w:t>本项目使用脱盐水撬制取脱盐水，工艺为项目设置一套3t/h的脱盐水制备装置，制备效率为75%，则脱盐水制备用水量为6946.56m</w:t>
      </w:r>
      <w:r>
        <w:rPr>
          <w:rFonts w:hint="eastAsia"/>
          <w:bCs/>
          <w:color w:val="auto"/>
          <w:sz w:val="24"/>
          <w:szCs w:val="28"/>
          <w:highlight w:val="none"/>
          <w:vertAlign w:val="superscript"/>
          <w:lang w:val="en-US" w:eastAsia="zh-CN"/>
        </w:rPr>
        <w:t>3</w:t>
      </w:r>
      <w:r>
        <w:rPr>
          <w:rFonts w:hint="eastAsia"/>
          <w:bCs/>
          <w:color w:val="auto"/>
          <w:sz w:val="24"/>
          <w:szCs w:val="28"/>
          <w:highlight w:val="none"/>
          <w:lang w:val="en-US" w:eastAsia="zh-CN"/>
        </w:rPr>
        <w:t>/a，浓水产生量为1728.864m</w:t>
      </w:r>
      <w:r>
        <w:rPr>
          <w:rFonts w:hint="eastAsia"/>
          <w:bCs/>
          <w:color w:val="auto"/>
          <w:sz w:val="24"/>
          <w:szCs w:val="28"/>
          <w:highlight w:val="none"/>
          <w:vertAlign w:val="superscript"/>
          <w:lang w:val="en-US" w:eastAsia="zh-CN"/>
        </w:rPr>
        <w:t>3</w:t>
      </w:r>
      <w:r>
        <w:rPr>
          <w:rFonts w:hint="eastAsia"/>
          <w:bCs/>
          <w:color w:val="auto"/>
          <w:sz w:val="24"/>
          <w:szCs w:val="28"/>
          <w:highlight w:val="none"/>
          <w:lang w:val="en-US" w:eastAsia="zh-CN"/>
        </w:rPr>
        <w:t>/a。浓水直接接管市政污水</w:t>
      </w:r>
      <w:r>
        <w:rPr>
          <w:rFonts w:hint="eastAsia" w:cs="Times New Roman"/>
          <w:color w:val="auto"/>
          <w:sz w:val="24"/>
          <w:highlight w:val="none"/>
          <w:lang w:val="en-US" w:eastAsia="zh-CN"/>
        </w:rPr>
        <w:t>管网进入田家庵经济开发区污水处理站处理。反冲洗</w:t>
      </w:r>
      <w:r>
        <w:rPr>
          <w:rFonts w:hint="eastAsia" w:ascii="Times New Roman" w:hAnsi="Times New Roman" w:eastAsia="宋体" w:cs="Times New Roman"/>
          <w:color w:val="auto"/>
          <w:sz w:val="24"/>
          <w:highlight w:val="none"/>
          <w:lang w:val="en-US" w:eastAsia="zh-CN"/>
        </w:rPr>
        <w:t>5d一次，0.5t/次，</w:t>
      </w:r>
      <w:r>
        <w:rPr>
          <w:rFonts w:hint="eastAsia"/>
          <w:bCs/>
          <w:color w:val="auto"/>
          <w:sz w:val="24"/>
          <w:szCs w:val="28"/>
          <w:highlight w:val="none"/>
          <w:lang w:val="en-US" w:eastAsia="zh-CN"/>
        </w:rPr>
        <w:t>直接接管市政污水</w:t>
      </w:r>
      <w:r>
        <w:rPr>
          <w:rFonts w:hint="eastAsia" w:cs="Times New Roman"/>
          <w:color w:val="auto"/>
          <w:sz w:val="24"/>
          <w:highlight w:val="none"/>
          <w:lang w:val="en-US" w:eastAsia="zh-CN"/>
        </w:rPr>
        <w:t>管网进入田家庵经济开发区污水处理站处理。</w:t>
      </w:r>
    </w:p>
    <w:p w14:paraId="198A8BF6">
      <w:pPr>
        <w:keepNext w:val="0"/>
        <w:keepLines w:val="0"/>
        <w:pageBreakBefore w:val="0"/>
        <w:widowControl w:val="0"/>
        <w:kinsoku/>
        <w:wordWrap/>
        <w:overflowPunct/>
        <w:topLinePunct w:val="0"/>
        <w:autoSpaceDE/>
        <w:autoSpaceDN w:val="0"/>
        <w:bidi w:val="0"/>
        <w:adjustRightInd/>
        <w:snapToGrid/>
        <w:spacing w:line="360" w:lineRule="auto"/>
        <w:ind w:firstLine="480" w:firstLineChars="200"/>
        <w:jc w:val="left"/>
        <w:textAlignment w:val="auto"/>
        <w:rPr>
          <w:rFonts w:hint="eastAsia" w:ascii="Times New Roman" w:hAnsi="Times New Roman" w:eastAsia="宋体" w:cs="Times New Roman"/>
          <w:b w:val="0"/>
          <w:bCs w:val="0"/>
          <w:color w:val="auto"/>
          <w:sz w:val="24"/>
          <w:highlight w:val="none"/>
          <w:lang w:val="en-US" w:eastAsia="zh-CN"/>
        </w:rPr>
      </w:pPr>
      <w:r>
        <w:rPr>
          <w:rFonts w:hint="eastAsia" w:ascii="Times New Roman" w:hAnsi="Times New Roman" w:eastAsia="宋体" w:cs="Times New Roman"/>
          <w:b w:val="0"/>
          <w:bCs w:val="0"/>
          <w:color w:val="auto"/>
          <w:sz w:val="24"/>
          <w:highlight w:val="none"/>
          <w:lang w:val="en-US" w:eastAsia="zh-CN"/>
        </w:rPr>
        <w:t>②循环冷却水系统排水</w:t>
      </w:r>
    </w:p>
    <w:p w14:paraId="019A9298">
      <w:pPr>
        <w:keepNext w:val="0"/>
        <w:keepLines w:val="0"/>
        <w:pageBreakBefore w:val="0"/>
        <w:widowControl w:val="0"/>
        <w:kinsoku/>
        <w:wordWrap/>
        <w:overflowPunct/>
        <w:topLinePunct w:val="0"/>
        <w:autoSpaceDE/>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本项目循环冷却水系统每个季度排放一次，年排放量为300m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/a（折合0.82m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/d），直接接管市政污水管网。</w:t>
      </w:r>
    </w:p>
    <w:p w14:paraId="3D84770A">
      <w:pPr>
        <w:spacing w:line="360" w:lineRule="auto"/>
        <w:ind w:firstLine="480" w:firstLineChars="200"/>
        <w:rPr>
          <w:rFonts w:hint="default"/>
          <w:bCs/>
          <w:color w:val="auto"/>
          <w:sz w:val="24"/>
          <w:szCs w:val="28"/>
          <w:highlight w:val="none"/>
          <w:lang w:val="en-US" w:eastAsia="zh-CN"/>
        </w:rPr>
      </w:pPr>
      <w:r>
        <w:rPr>
          <w:rFonts w:hint="eastAsia"/>
          <w:bCs/>
          <w:color w:val="auto"/>
          <w:sz w:val="24"/>
          <w:szCs w:val="28"/>
          <w:highlight w:val="none"/>
          <w:lang w:val="en-US" w:eastAsia="zh-CN"/>
        </w:rPr>
        <w:t>③洗车废水排水</w:t>
      </w:r>
    </w:p>
    <w:p w14:paraId="130885C9">
      <w:pPr>
        <w:spacing w:line="360" w:lineRule="auto"/>
        <w:ind w:firstLine="480" w:firstLineChars="200"/>
        <w:rPr>
          <w:rFonts w:hint="default" w:eastAsia="宋体"/>
          <w:bCs/>
          <w:color w:val="auto"/>
          <w:sz w:val="24"/>
          <w:szCs w:val="28"/>
          <w:highlight w:val="none"/>
          <w:lang w:val="en-US" w:eastAsia="zh-CN"/>
        </w:rPr>
      </w:pPr>
      <w:r>
        <w:rPr>
          <w:rFonts w:hint="eastAsia" w:ascii="宋体" w:hAnsi="宋体" w:eastAsia="宋体" w:cs="宋体"/>
          <w:b w:val="0"/>
          <w:bCs w:val="0"/>
          <w:color w:val="auto"/>
          <w:sz w:val="24"/>
          <w:szCs w:val="24"/>
          <w:highlight w:val="none"/>
        </w:rPr>
        <w:t>本项目清洗车辆约</w:t>
      </w:r>
      <w:r>
        <w:rPr>
          <w:rFonts w:hint="eastAsia" w:ascii="Times New Roman" w:hAnsi="Times New Roman" w:eastAsia="宋体" w:cs="Times New Roman"/>
          <w:b w:val="0"/>
          <w:bCs w:val="0"/>
          <w:color w:val="auto"/>
          <w:sz w:val="24"/>
          <w:szCs w:val="24"/>
          <w:highlight w:val="none"/>
          <w:lang w:val="en-US" w:eastAsia="zh-CN"/>
        </w:rPr>
        <w:t>4</w:t>
      </w:r>
      <w:r>
        <w:rPr>
          <w:rFonts w:hint="default" w:ascii="Times New Roman" w:hAnsi="Times New Roman" w:eastAsia="Times New Roman" w:cs="Times New Roman"/>
          <w:b w:val="0"/>
          <w:bCs w:val="0"/>
          <w:color w:val="auto"/>
          <w:sz w:val="24"/>
          <w:szCs w:val="24"/>
          <w:highlight w:val="none"/>
        </w:rPr>
        <w:t>0</w:t>
      </w:r>
      <w:r>
        <w:rPr>
          <w:rFonts w:hint="eastAsia" w:ascii="宋体" w:hAnsi="宋体" w:eastAsia="宋体" w:cs="宋体"/>
          <w:b w:val="0"/>
          <w:bCs w:val="0"/>
          <w:color w:val="auto"/>
          <w:sz w:val="24"/>
          <w:szCs w:val="24"/>
          <w:highlight w:val="none"/>
        </w:rPr>
        <w:t>辆</w:t>
      </w:r>
      <w:r>
        <w:rPr>
          <w:rFonts w:hint="default" w:ascii="Times New Roman" w:hAnsi="Times New Roman" w:eastAsia="Times New Roman" w:cs="Times New Roman"/>
          <w:b w:val="0"/>
          <w:bCs w:val="0"/>
          <w:color w:val="auto"/>
          <w:sz w:val="24"/>
          <w:szCs w:val="24"/>
          <w:highlight w:val="none"/>
        </w:rPr>
        <w:t>/d</w:t>
      </w:r>
      <w:r>
        <w:rPr>
          <w:rFonts w:hint="eastAsia" w:ascii="宋体" w:hAnsi="宋体" w:eastAsia="宋体" w:cs="宋体"/>
          <w:b w:val="0"/>
          <w:bCs w:val="0"/>
          <w:color w:val="auto"/>
          <w:sz w:val="24"/>
          <w:szCs w:val="24"/>
          <w:highlight w:val="none"/>
        </w:rPr>
        <w:t>，则年清洗车辆</w:t>
      </w:r>
      <w:r>
        <w:rPr>
          <w:rFonts w:hint="eastAsia" w:ascii="Times New Roman" w:hAnsi="Times New Roman" w:eastAsia="宋体" w:cs="Times New Roman"/>
          <w:b w:val="0"/>
          <w:bCs w:val="0"/>
          <w:color w:val="auto"/>
          <w:sz w:val="24"/>
          <w:szCs w:val="24"/>
          <w:highlight w:val="none"/>
          <w:lang w:val="en-US" w:eastAsia="zh-CN"/>
        </w:rPr>
        <w:t>146</w:t>
      </w:r>
      <w:r>
        <w:rPr>
          <w:rFonts w:hint="default" w:ascii="Times New Roman" w:hAnsi="Times New Roman" w:eastAsia="Times New Roman" w:cs="Times New Roman"/>
          <w:b w:val="0"/>
          <w:bCs w:val="0"/>
          <w:color w:val="auto"/>
          <w:sz w:val="24"/>
          <w:szCs w:val="24"/>
          <w:highlight w:val="none"/>
        </w:rPr>
        <w:t>00</w:t>
      </w:r>
      <w:r>
        <w:rPr>
          <w:rFonts w:hint="eastAsia" w:ascii="宋体" w:hAnsi="宋体" w:eastAsia="宋体" w:cs="宋体"/>
          <w:b w:val="0"/>
          <w:bCs w:val="0"/>
          <w:color w:val="auto"/>
          <w:sz w:val="24"/>
          <w:szCs w:val="24"/>
          <w:highlight w:val="none"/>
        </w:rPr>
        <w:t>辆</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，洗车用水量为</w:t>
      </w:r>
      <w:r>
        <w:rPr>
          <w:rFonts w:hint="eastAsia" w:ascii="Times New Roman" w:hAnsi="Times New Roman" w:eastAsia="宋体" w:cs="Times New Roman"/>
          <w:b w:val="0"/>
          <w:bCs w:val="0"/>
          <w:color w:val="auto"/>
          <w:sz w:val="24"/>
          <w:szCs w:val="24"/>
          <w:highlight w:val="none"/>
          <w:lang w:val="en-US" w:eastAsia="zh-CN"/>
        </w:rPr>
        <w:t>2.4</w:t>
      </w:r>
      <w:r>
        <w:rPr>
          <w:rFonts w:hint="default" w:ascii="Times New Roman" w:hAnsi="Times New Roman" w:eastAsia="Times New Roman" w:cs="Times New Roman"/>
          <w:b w:val="0"/>
          <w:bCs w:val="0"/>
          <w:color w:val="auto"/>
          <w:sz w:val="24"/>
          <w:szCs w:val="24"/>
          <w:highlight w:val="none"/>
        </w:rPr>
        <w:t>t/d</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lang w:val="en-US" w:eastAsia="zh-CN"/>
        </w:rPr>
        <w:t>洗车全年365d</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876</w:t>
      </w:r>
      <w:r>
        <w:rPr>
          <w:rFonts w:hint="default" w:ascii="Times New Roman" w:hAnsi="Times New Roman" w:eastAsia="Times New Roman" w:cs="Times New Roman"/>
          <w:b w:val="0"/>
          <w:bCs w:val="0"/>
          <w:color w:val="auto"/>
          <w:sz w:val="24"/>
          <w:szCs w:val="24"/>
          <w:highlight w:val="none"/>
        </w:rPr>
        <w:t>t/a</w:t>
      </w:r>
      <w:r>
        <w:rPr>
          <w:rFonts w:hint="eastAsia" w:ascii="宋体" w:hAnsi="宋体" w:eastAsia="宋体" w:cs="宋体"/>
          <w:b w:val="0"/>
          <w:bCs w:val="0"/>
          <w:color w:val="auto"/>
          <w:sz w:val="24"/>
          <w:szCs w:val="24"/>
          <w:highlight w:val="none"/>
        </w:rPr>
        <w:t>）</w:t>
      </w:r>
      <w:r>
        <w:rPr>
          <w:rFonts w:hint="eastAsia" w:ascii="宋体" w:hAnsi="宋体" w:eastAsia="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lang w:val="en-US" w:eastAsia="zh-CN"/>
        </w:rPr>
        <w:t>废水产生系数按照</w:t>
      </w:r>
      <w:r>
        <w:rPr>
          <w:rFonts w:hint="eastAsia" w:ascii="Times New Roman" w:hAnsi="Times New Roman" w:eastAsia="宋体" w:cs="Times New Roman"/>
          <w:color w:val="auto"/>
          <w:sz w:val="24"/>
          <w:highlight w:val="none"/>
          <w:lang w:val="en-US" w:eastAsia="zh-CN"/>
        </w:rPr>
        <w:t>85%计</w:t>
      </w:r>
      <w:r>
        <w:rPr>
          <w:rFonts w:hint="eastAsia" w:ascii="宋体" w:hAnsi="宋体" w:eastAsia="宋体" w:cs="宋体"/>
          <w:b w:val="0"/>
          <w:bCs w:val="0"/>
          <w:color w:val="auto"/>
          <w:sz w:val="24"/>
          <w:szCs w:val="24"/>
          <w:highlight w:val="none"/>
          <w:lang w:val="en-US" w:eastAsia="zh-CN"/>
        </w:rPr>
        <w:t>，则洗车废水产生量为</w:t>
      </w:r>
      <w:r>
        <w:rPr>
          <w:rFonts w:hint="eastAsia" w:ascii="Times New Roman" w:hAnsi="Times New Roman" w:eastAsia="宋体" w:cs="Times New Roman"/>
          <w:b w:val="0"/>
          <w:bCs w:val="0"/>
          <w:color w:val="auto"/>
          <w:sz w:val="24"/>
          <w:szCs w:val="24"/>
          <w:highlight w:val="none"/>
          <w:lang w:val="en-US" w:eastAsia="zh-CN"/>
        </w:rPr>
        <w:t>2.04</w:t>
      </w:r>
      <w:r>
        <w:rPr>
          <w:rFonts w:hint="default" w:ascii="Times New Roman" w:hAnsi="Times New Roman" w:eastAsia="Times New Roman" w:cs="Times New Roman"/>
          <w:b w:val="0"/>
          <w:bCs w:val="0"/>
          <w:color w:val="auto"/>
          <w:sz w:val="24"/>
          <w:szCs w:val="24"/>
          <w:highlight w:val="none"/>
        </w:rPr>
        <w:t>t/d</w:t>
      </w:r>
      <w:r>
        <w:rPr>
          <w:rFonts w:hint="eastAsia" w:ascii="宋体" w:hAnsi="宋体" w:eastAsia="宋体" w:cs="宋体"/>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744.6</w:t>
      </w:r>
      <w:r>
        <w:rPr>
          <w:rFonts w:hint="default" w:ascii="Times New Roman" w:hAnsi="Times New Roman" w:eastAsia="Times New Roman" w:cs="Times New Roman"/>
          <w:b w:val="0"/>
          <w:bCs w:val="0"/>
          <w:color w:val="auto"/>
          <w:sz w:val="24"/>
          <w:szCs w:val="24"/>
          <w:highlight w:val="none"/>
        </w:rPr>
        <w:t>t/a</w:t>
      </w:r>
      <w:r>
        <w:rPr>
          <w:rFonts w:hint="eastAsia" w:ascii="宋体" w:hAnsi="宋体" w:eastAsia="宋体" w:cs="宋体"/>
          <w:b w:val="0"/>
          <w:bCs w:val="0"/>
          <w:color w:val="auto"/>
          <w:sz w:val="24"/>
          <w:szCs w:val="24"/>
          <w:highlight w:val="none"/>
        </w:rPr>
        <w:t>）</w:t>
      </w:r>
      <w:r>
        <w:rPr>
          <w:rFonts w:hint="eastAsia" w:ascii="宋体" w:hAnsi="宋体" w:eastAsia="宋体" w:cs="宋体"/>
          <w:b w:val="0"/>
          <w:bCs w:val="0"/>
          <w:color w:val="auto"/>
          <w:sz w:val="24"/>
          <w:szCs w:val="24"/>
          <w:highlight w:val="none"/>
          <w:lang w:eastAsia="zh-CN"/>
        </w:rPr>
        <w:t>，</w:t>
      </w:r>
      <w:r>
        <w:rPr>
          <w:rFonts w:hint="eastAsia" w:ascii="Times New Roman" w:hAnsi="Times New Roman" w:eastAsia="宋体" w:cs="Times New Roman"/>
          <w:color w:val="auto"/>
          <w:sz w:val="24"/>
          <w:highlight w:val="none"/>
        </w:rPr>
        <w:t>主要污染物包括</w:t>
      </w:r>
      <w:r>
        <w:rPr>
          <w:rFonts w:hint="eastAsia" w:ascii="Times New Roman" w:hAnsi="Times New Roman" w:eastAsia="宋体" w:cs="Times New Roman"/>
          <w:color w:val="auto"/>
          <w:sz w:val="24"/>
          <w:highlight w:val="none"/>
          <w:lang w:val="en-US" w:eastAsia="zh-CN"/>
        </w:rPr>
        <w:t>pH、</w:t>
      </w:r>
      <w:r>
        <w:rPr>
          <w:rFonts w:hint="eastAsia" w:ascii="Times New Roman" w:hAnsi="Times New Roman" w:eastAsia="宋体" w:cs="Times New Roman"/>
          <w:color w:val="auto"/>
          <w:sz w:val="24"/>
          <w:highlight w:val="none"/>
        </w:rPr>
        <w:t>COD、SS、</w:t>
      </w:r>
      <w:r>
        <w:rPr>
          <w:rFonts w:hint="eastAsia" w:ascii="Times New Roman" w:hAnsi="Times New Roman" w:eastAsia="宋体" w:cs="Times New Roman"/>
          <w:color w:val="auto"/>
          <w:sz w:val="24"/>
          <w:highlight w:val="none"/>
          <w:lang w:val="en-US" w:eastAsia="zh-CN"/>
        </w:rPr>
        <w:t>LAS等。</w:t>
      </w:r>
    </w:p>
    <w:p w14:paraId="568960B5">
      <w:pPr>
        <w:pStyle w:val="18"/>
        <w:keepNext w:val="0"/>
        <w:keepLines w:val="0"/>
        <w:pageBreakBefore w:val="0"/>
        <w:widowControl w:val="0"/>
        <w:tabs>
          <w:tab w:val="left" w:pos="4278"/>
        </w:tabs>
        <w:kinsoku/>
        <w:wordWrap/>
        <w:overflowPunct/>
        <w:topLinePunct w:val="0"/>
        <w:autoSpaceDE/>
        <w:autoSpaceDN/>
        <w:bidi w:val="0"/>
        <w:adjustRightInd/>
        <w:snapToGrid/>
        <w:spacing w:after="0" w:line="360" w:lineRule="auto"/>
        <w:ind w:right="0" w:firstLine="480" w:firstLineChars="200"/>
        <w:jc w:val="left"/>
        <w:textAlignment w:val="auto"/>
        <w:rPr>
          <w:rFonts w:hint="eastAsia"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val="en-US" w:eastAsia="zh-CN"/>
        </w:rPr>
        <w:t>④</w:t>
      </w:r>
      <w:r>
        <w:rPr>
          <w:rFonts w:hint="eastAsia" w:cs="Times New Roman"/>
          <w:bCs/>
          <w:color w:val="auto"/>
          <w:sz w:val="24"/>
          <w:szCs w:val="24"/>
          <w:highlight w:val="none"/>
          <w:lang w:val="en-US" w:eastAsia="zh-CN"/>
        </w:rPr>
        <w:t>制氮机排水</w:t>
      </w:r>
    </w:p>
    <w:p w14:paraId="0DC991AE">
      <w:pPr>
        <w:pStyle w:val="18"/>
        <w:keepNext w:val="0"/>
        <w:keepLines w:val="0"/>
        <w:pageBreakBefore w:val="0"/>
        <w:widowControl w:val="0"/>
        <w:tabs>
          <w:tab w:val="left" w:pos="4278"/>
        </w:tabs>
        <w:kinsoku/>
        <w:wordWrap/>
        <w:overflowPunct/>
        <w:topLinePunct w:val="0"/>
        <w:autoSpaceDE/>
        <w:autoSpaceDN/>
        <w:bidi w:val="0"/>
        <w:adjustRightInd/>
        <w:snapToGrid/>
        <w:spacing w:after="0" w:line="360" w:lineRule="auto"/>
        <w:ind w:right="0" w:firstLine="480" w:firstLineChars="200"/>
        <w:jc w:val="lef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val="0"/>
          <w:bCs w:val="0"/>
          <w:color w:val="auto"/>
          <w:kern w:val="2"/>
          <w:sz w:val="24"/>
          <w:szCs w:val="24"/>
          <w:highlight w:val="none"/>
          <w:lang w:val="en-US" w:eastAsia="zh-CN" w:bidi="ar-SA"/>
        </w:rPr>
        <w:t>项目空氮制备装置会定期产生废水，其原因是空气中有水蒸气，空气压缩过程中水蒸气会被带入系统，后经冷却器降温，水蒸气遇冷凝结成水，根据设计单位提供资料，平均每3个小时巡检排一次水，一次废水量为1.5kg左右，项目年工作</w:t>
      </w:r>
      <w:r>
        <w:rPr>
          <w:rFonts w:hint="eastAsia" w:cs="Times New Roman"/>
          <w:b w:val="0"/>
          <w:bCs w:val="0"/>
          <w:color w:val="auto"/>
          <w:kern w:val="2"/>
          <w:sz w:val="24"/>
          <w:szCs w:val="24"/>
          <w:highlight w:val="none"/>
          <w:lang w:val="en-US" w:eastAsia="zh-CN" w:bidi="ar-SA"/>
        </w:rPr>
        <w:t>7200</w:t>
      </w:r>
      <w:r>
        <w:rPr>
          <w:rFonts w:hint="default" w:ascii="Times New Roman" w:hAnsi="Times New Roman" w:eastAsia="宋体" w:cs="Times New Roman"/>
          <w:b w:val="0"/>
          <w:bCs w:val="0"/>
          <w:color w:val="auto"/>
          <w:kern w:val="2"/>
          <w:sz w:val="24"/>
          <w:szCs w:val="24"/>
          <w:highlight w:val="none"/>
          <w:lang w:val="en-US" w:eastAsia="zh-CN" w:bidi="ar-SA"/>
        </w:rPr>
        <w:t>h，则废水产生量为</w:t>
      </w:r>
      <w:r>
        <w:rPr>
          <w:rFonts w:hint="eastAsia" w:cs="Times New Roman"/>
          <w:b w:val="0"/>
          <w:bCs w:val="0"/>
          <w:color w:val="auto"/>
          <w:kern w:val="2"/>
          <w:sz w:val="24"/>
          <w:szCs w:val="24"/>
          <w:highlight w:val="none"/>
          <w:lang w:val="en-US" w:eastAsia="zh-CN" w:bidi="ar-SA"/>
        </w:rPr>
        <w:t>3.6</w:t>
      </w:r>
      <w:r>
        <w:rPr>
          <w:rFonts w:hint="default" w:ascii="Times New Roman" w:hAnsi="Times New Roman" w:eastAsia="宋体" w:cs="Times New Roman"/>
          <w:b w:val="0"/>
          <w:bCs w:val="0"/>
          <w:color w:val="auto"/>
          <w:kern w:val="2"/>
          <w:sz w:val="24"/>
          <w:szCs w:val="24"/>
          <w:highlight w:val="none"/>
          <w:lang w:val="en-US" w:eastAsia="zh-CN" w:bidi="ar-SA"/>
        </w:rPr>
        <w:t>t/a，</w:t>
      </w:r>
      <w:r>
        <w:rPr>
          <w:rFonts w:hint="eastAsia" w:cs="Times New Roman"/>
          <w:b w:val="0"/>
          <w:bCs w:val="0"/>
          <w:color w:val="auto"/>
          <w:kern w:val="2"/>
          <w:sz w:val="24"/>
          <w:szCs w:val="24"/>
          <w:highlight w:val="none"/>
          <w:lang w:val="en-US" w:eastAsia="zh-CN" w:bidi="ar-SA"/>
        </w:rPr>
        <w:t>该部分水经站内洒水使用或者直接接管市政污水管网。</w:t>
      </w:r>
    </w:p>
    <w:p w14:paraId="76FFA175">
      <w:pPr>
        <w:spacing w:line="360" w:lineRule="auto"/>
        <w:ind w:firstLine="480" w:firstLineChars="200"/>
        <w:rPr>
          <w:rFonts w:hint="eastAsia"/>
          <w:bCs/>
          <w:color w:val="auto"/>
          <w:sz w:val="24"/>
          <w:szCs w:val="28"/>
          <w:highlight w:val="none"/>
          <w:lang w:val="en-US" w:eastAsia="zh-CN"/>
        </w:rPr>
      </w:pPr>
      <w:r>
        <w:rPr>
          <w:rFonts w:hint="eastAsia"/>
          <w:bCs/>
          <w:color w:val="auto"/>
          <w:sz w:val="24"/>
          <w:szCs w:val="28"/>
          <w:highlight w:val="none"/>
          <w:lang w:val="en-US" w:eastAsia="zh-CN"/>
        </w:rPr>
        <w:t>⑤蒸汽发生器排污水</w:t>
      </w:r>
    </w:p>
    <w:p w14:paraId="210F529A">
      <w:pPr>
        <w:spacing w:line="360" w:lineRule="auto"/>
        <w:ind w:firstLine="480" w:firstLineChars="200"/>
        <w:rPr>
          <w:rFonts w:hint="default"/>
          <w:bCs/>
          <w:color w:val="auto"/>
          <w:sz w:val="24"/>
          <w:szCs w:val="28"/>
          <w:highlight w:val="none"/>
          <w:lang w:val="en-US" w:eastAsia="zh-CN"/>
        </w:rPr>
      </w:pPr>
      <w:r>
        <w:rPr>
          <w:rFonts w:hint="eastAsia"/>
          <w:bCs/>
          <w:color w:val="auto"/>
          <w:sz w:val="24"/>
          <w:szCs w:val="28"/>
          <w:highlight w:val="none"/>
          <w:lang w:val="en-US" w:eastAsia="zh-CN"/>
        </w:rPr>
        <w:t>根据企业核实，蒸汽发生器在使用初期使用氢氧化钠、磷酸三钠进行煮炉，清除金属表面的油污、锈蚀，防止结垢和腐蚀，并形成保护膜以延长锅炉寿命。首次煮锅废水产生量约为1t，该部分废水经桶装酸碱调节后排入市政污水管网</w:t>
      </w:r>
      <w:r>
        <w:rPr>
          <w:rFonts w:hint="eastAsia" w:cs="Times New Roman"/>
          <w:color w:val="auto"/>
          <w:sz w:val="24"/>
          <w:highlight w:val="none"/>
          <w:lang w:val="en-US" w:eastAsia="zh-CN"/>
        </w:rPr>
        <w:t>进入田家庵经济开发区污水处理站处理。</w:t>
      </w:r>
    </w:p>
    <w:p w14:paraId="7FE690BC">
      <w:pPr>
        <w:spacing w:line="360" w:lineRule="auto"/>
        <w:ind w:firstLine="480" w:firstLineChars="200"/>
        <w:rPr>
          <w:rFonts w:hint="eastAsia"/>
          <w:bCs/>
          <w:color w:val="auto"/>
          <w:sz w:val="24"/>
          <w:szCs w:val="28"/>
          <w:highlight w:val="none"/>
          <w:lang w:val="en-US" w:eastAsia="zh-CN"/>
        </w:rPr>
      </w:pPr>
      <w:r>
        <w:rPr>
          <w:rFonts w:hint="eastAsia"/>
          <w:bCs/>
          <w:color w:val="auto"/>
          <w:sz w:val="24"/>
          <w:szCs w:val="28"/>
          <w:highlight w:val="none"/>
          <w:lang w:val="en-US" w:eastAsia="zh-CN"/>
        </w:rPr>
        <w:t>本项目中变气经过中变气水冷器后会将未反应完全的水蒸气冷凝出来，变成冷凝水分离处理，分离出来的冷凝水与新鲜的脱盐水经过除氧器除氧后一起进入废热蒸汽发生器，经过继续加热后变成水蒸气继续参加反应。冷凝水在热交换过程中均是处于间接加热，不与其他物料接触，而且废热蒸汽发生器采用脱盐水，根据项目的工艺分析，本项目不会产生冷凝废水。</w:t>
      </w:r>
    </w:p>
    <w:p w14:paraId="23F1ED2E">
      <w:pPr>
        <w:spacing w:line="360" w:lineRule="auto"/>
        <w:ind w:firstLine="480" w:firstLineChars="200"/>
        <w:rPr>
          <w:rFonts w:hint="default"/>
          <w:bCs/>
          <w:color w:val="auto"/>
          <w:sz w:val="24"/>
          <w:szCs w:val="28"/>
          <w:highlight w:val="none"/>
          <w:lang w:val="en-US" w:eastAsia="zh-CN"/>
        </w:rPr>
      </w:pPr>
      <w:r>
        <w:rPr>
          <w:rFonts w:hint="eastAsia"/>
          <w:bCs/>
          <w:color w:val="auto"/>
          <w:sz w:val="24"/>
          <w:szCs w:val="28"/>
          <w:highlight w:val="none"/>
          <w:lang w:val="en-US" w:eastAsia="zh-CN"/>
        </w:rPr>
        <w:t>⑥初期雨水</w:t>
      </w:r>
    </w:p>
    <w:p w14:paraId="1B75E6F4">
      <w:pPr>
        <w:keepNext w:val="0"/>
        <w:keepLines w:val="0"/>
        <w:pageBreakBefore w:val="0"/>
        <w:widowControl/>
        <w:kinsoku/>
        <w:wordWrap/>
        <w:overflowPunct/>
        <w:topLinePunct/>
        <w:autoSpaceDE/>
        <w:autoSpaceDN/>
        <w:bidi w:val="0"/>
        <w:adjustRightInd w:val="0"/>
        <w:snapToGrid/>
        <w:spacing w:line="360" w:lineRule="auto"/>
        <w:ind w:left="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根据《室外排水设计标准》</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GB50014-2021</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，雨水暴雨公式采用淮南市暴雨强度公式：</w:t>
      </w:r>
    </w:p>
    <w:p w14:paraId="755CDBAE">
      <w:pPr>
        <w:keepNext w:val="0"/>
        <w:keepLines w:val="0"/>
        <w:pageBreakBefore w:val="0"/>
        <w:widowControl/>
        <w:kinsoku/>
        <w:wordWrap/>
        <w:overflowPunct/>
        <w:topLinePunct/>
        <w:autoSpaceDE/>
        <w:autoSpaceDN/>
        <w:bidi w:val="0"/>
        <w:adjustRightInd w:val="0"/>
        <w:snapToGrid/>
        <w:spacing w:line="360" w:lineRule="auto"/>
        <w:ind w:right="0"/>
        <w:jc w:val="center"/>
        <w:textAlignment w:val="baseline"/>
        <w:rPr>
          <w:rFonts w:hint="default" w:ascii="Times New Roman" w:hAnsi="Times New Roman" w:eastAsia="宋体" w:cs="Times New Roman"/>
          <w:color w:val="auto"/>
          <w:spacing w:val="0"/>
          <w:position w:val="0"/>
          <w:sz w:val="24"/>
          <w:szCs w:val="24"/>
          <w:highlight w:val="none"/>
          <w:vertAlign w:val="superscript"/>
        </w:rPr>
      </w:pPr>
      <w:r>
        <w:rPr>
          <w:rFonts w:hint="default" w:ascii="Times New Roman" w:hAnsi="Times New Roman" w:eastAsia="宋体" w:cs="Times New Roman"/>
          <w:color w:val="auto"/>
          <w:spacing w:val="0"/>
          <w:position w:val="0"/>
          <w:sz w:val="24"/>
          <w:szCs w:val="24"/>
          <w:highlight w:val="none"/>
        </w:rPr>
        <w:t>q=2034×</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1+0.71×lgP</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t+6.24</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vertAlign w:val="superscript"/>
        </w:rPr>
        <w:t>0.71</w:t>
      </w:r>
    </w:p>
    <w:p w14:paraId="2E9A36BA">
      <w:pPr>
        <w:keepNext w:val="0"/>
        <w:keepLines w:val="0"/>
        <w:pageBreakBefore w:val="0"/>
        <w:widowControl/>
        <w:kinsoku/>
        <w:wordWrap/>
        <w:overflowPunct/>
        <w:topLinePunct/>
        <w:autoSpaceDE/>
        <w:autoSpaceDN/>
        <w:bidi w:val="0"/>
        <w:adjustRightInd w:val="0"/>
        <w:snapToGrid/>
        <w:spacing w:line="360" w:lineRule="auto"/>
        <w:ind w:left="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重现期P采用</w:t>
      </w:r>
      <w:r>
        <w:rPr>
          <w:rFonts w:hint="default" w:ascii="Times New Roman" w:hAnsi="Times New Roman" w:eastAsia="宋体" w:cs="Times New Roman"/>
          <w:color w:val="auto"/>
          <w:spacing w:val="0"/>
          <w:position w:val="0"/>
          <w:sz w:val="24"/>
          <w:szCs w:val="24"/>
          <w:highlight w:val="none"/>
          <w:lang w:val="en-US" w:eastAsia="zh-CN"/>
        </w:rPr>
        <w:t>2</w:t>
      </w:r>
      <w:r>
        <w:rPr>
          <w:rFonts w:hint="default" w:ascii="Times New Roman" w:hAnsi="Times New Roman" w:eastAsia="宋体" w:cs="Times New Roman"/>
          <w:color w:val="auto"/>
          <w:spacing w:val="0"/>
          <w:position w:val="0"/>
          <w:sz w:val="24"/>
          <w:szCs w:val="24"/>
          <w:highlight w:val="none"/>
        </w:rPr>
        <w:t>年，降雨历时t取</w:t>
      </w:r>
      <w:r>
        <w:rPr>
          <w:rFonts w:hint="default" w:ascii="Times New Roman" w:hAnsi="Times New Roman" w:eastAsia="宋体" w:cs="Times New Roman"/>
          <w:color w:val="auto"/>
          <w:spacing w:val="0"/>
          <w:position w:val="0"/>
          <w:sz w:val="24"/>
          <w:szCs w:val="24"/>
          <w:highlight w:val="none"/>
          <w:lang w:val="en-US" w:eastAsia="zh-CN"/>
        </w:rPr>
        <w:t>15</w:t>
      </w:r>
      <w:r>
        <w:rPr>
          <w:rFonts w:hint="default" w:ascii="Times New Roman" w:hAnsi="Times New Roman" w:eastAsia="宋体" w:cs="Times New Roman"/>
          <w:color w:val="auto"/>
          <w:spacing w:val="0"/>
          <w:position w:val="0"/>
          <w:sz w:val="24"/>
          <w:szCs w:val="24"/>
          <w:highlight w:val="none"/>
        </w:rPr>
        <w:t>min，计算出q=</w:t>
      </w:r>
      <w:r>
        <w:rPr>
          <w:rFonts w:hint="default" w:ascii="Times New Roman" w:hAnsi="Times New Roman" w:eastAsia="宋体" w:cs="Times New Roman"/>
          <w:color w:val="auto"/>
          <w:spacing w:val="0"/>
          <w:position w:val="0"/>
          <w:sz w:val="24"/>
          <w:szCs w:val="24"/>
          <w:highlight w:val="none"/>
          <w:lang w:val="en-US" w:eastAsia="zh-CN"/>
        </w:rPr>
        <w:t>281.964</w:t>
      </w:r>
      <w:r>
        <w:rPr>
          <w:rFonts w:hint="default" w:ascii="Times New Roman" w:hAnsi="Times New Roman" w:eastAsia="宋体" w:cs="Times New Roman"/>
          <w:color w:val="auto"/>
          <w:spacing w:val="0"/>
          <w:position w:val="0"/>
          <w:sz w:val="24"/>
          <w:szCs w:val="24"/>
          <w:highlight w:val="none"/>
        </w:rPr>
        <w:t>L/s.ha。初期雨水量</w:t>
      </w:r>
      <w:r>
        <w:rPr>
          <w:rFonts w:hint="eastAsia" w:ascii="Times New Roman" w:hAnsi="Times New Roman" w:eastAsia="宋体" w:cs="Times New Roman"/>
          <w:color w:val="auto"/>
          <w:spacing w:val="0"/>
          <w:position w:val="0"/>
          <w:sz w:val="24"/>
          <w:szCs w:val="24"/>
          <w:highlight w:val="none"/>
          <w:lang w:eastAsia="zh-CN"/>
        </w:rPr>
        <w:t>计算公式</w:t>
      </w:r>
      <w:r>
        <w:rPr>
          <w:rFonts w:hint="default" w:ascii="Times New Roman" w:hAnsi="Times New Roman" w:eastAsia="宋体" w:cs="Times New Roman"/>
          <w:color w:val="auto"/>
          <w:spacing w:val="0"/>
          <w:position w:val="0"/>
          <w:sz w:val="24"/>
          <w:szCs w:val="24"/>
          <w:highlight w:val="none"/>
        </w:rPr>
        <w:t>如下：</w:t>
      </w:r>
    </w:p>
    <w:p w14:paraId="2245DDC4">
      <w:pPr>
        <w:keepNext w:val="0"/>
        <w:keepLines w:val="0"/>
        <w:pageBreakBefore w:val="0"/>
        <w:widowControl/>
        <w:kinsoku/>
        <w:wordWrap/>
        <w:overflowPunct/>
        <w:topLinePunct/>
        <w:autoSpaceDE/>
        <w:autoSpaceDN/>
        <w:bidi w:val="0"/>
        <w:adjustRightInd w:val="0"/>
        <w:snapToGrid/>
        <w:spacing w:line="360" w:lineRule="auto"/>
        <w:ind w:right="0"/>
        <w:jc w:val="center"/>
        <w:textAlignment w:val="baseline"/>
        <w:rPr>
          <w:rFonts w:hint="eastAsia" w:ascii="Times New Roman" w:hAnsi="Times New Roman" w:eastAsia="宋体" w:cs="Times New Roman"/>
          <w:color w:val="auto"/>
          <w:spacing w:val="0"/>
          <w:position w:val="0"/>
          <w:sz w:val="24"/>
          <w:szCs w:val="24"/>
          <w:highlight w:val="none"/>
          <w:lang w:val="en-US" w:eastAsia="zh-CN"/>
        </w:rPr>
      </w:pPr>
      <w:r>
        <w:rPr>
          <w:rFonts w:hint="default" w:ascii="Times New Roman" w:hAnsi="Times New Roman" w:eastAsia="宋体" w:cs="Times New Roman"/>
          <w:color w:val="auto"/>
          <w:spacing w:val="0"/>
          <w:position w:val="0"/>
          <w:sz w:val="24"/>
          <w:szCs w:val="24"/>
          <w:highlight w:val="none"/>
        </w:rPr>
        <w:t>Q=q×</w:t>
      </w:r>
      <w:r>
        <w:rPr>
          <w:rFonts w:hint="default" w:ascii="Times New Roman" w:hAnsi="Times New Roman" w:eastAsia="宋体" w:cs="Times New Roman"/>
          <w:color w:val="auto"/>
          <w:spacing w:val="0"/>
          <w:position w:val="0"/>
          <w:sz w:val="24"/>
          <w:szCs w:val="24"/>
          <w:highlight w:val="none"/>
        </w:rPr>
        <w:drawing>
          <wp:inline distT="0" distB="0" distL="114300" distR="114300">
            <wp:extent cx="100330" cy="138430"/>
            <wp:effectExtent l="0" t="0" r="13970" b="14605"/>
            <wp:docPr id="560" name="图片 220"/>
            <wp:cNvGraphicFramePr/>
            <a:graphic xmlns:a="http://schemas.openxmlformats.org/drawingml/2006/main">
              <a:graphicData uri="http://schemas.openxmlformats.org/drawingml/2006/picture">
                <pic:pic xmlns:pic="http://schemas.openxmlformats.org/drawingml/2006/picture">
                  <pic:nvPicPr>
                    <pic:cNvPr id="560" name="图片 220"/>
                    <pic:cNvPicPr/>
                  </pic:nvPicPr>
                  <pic:blipFill>
                    <a:blip r:embed="rId42"/>
                    <a:stretch>
                      <a:fillRect/>
                    </a:stretch>
                  </pic:blipFill>
                  <pic:spPr>
                    <a:xfrm>
                      <a:off x="0" y="0"/>
                      <a:ext cx="100330" cy="138430"/>
                    </a:xfrm>
                    <a:prstGeom prst="rect">
                      <a:avLst/>
                    </a:prstGeom>
                    <a:noFill/>
                    <a:ln>
                      <a:noFill/>
                    </a:ln>
                  </pic:spPr>
                </pic:pic>
              </a:graphicData>
            </a:graphic>
          </wp:inline>
        </w:drawing>
      </w:r>
      <w:r>
        <w:rPr>
          <w:rFonts w:hint="default" w:ascii="Times New Roman" w:hAnsi="Times New Roman" w:eastAsia="宋体" w:cs="Times New Roman"/>
          <w:color w:val="auto"/>
          <w:spacing w:val="0"/>
          <w:position w:val="0"/>
          <w:sz w:val="24"/>
          <w:szCs w:val="24"/>
          <w:highlight w:val="none"/>
        </w:rPr>
        <w:t>×F×</w:t>
      </w:r>
      <w:r>
        <w:rPr>
          <w:rFonts w:hint="eastAsia" w:ascii="Times New Roman" w:hAnsi="Times New Roman" w:eastAsia="宋体" w:cs="Times New Roman"/>
          <w:color w:val="auto"/>
          <w:spacing w:val="0"/>
          <w:position w:val="0"/>
          <w:sz w:val="24"/>
          <w:szCs w:val="24"/>
          <w:highlight w:val="none"/>
          <w:lang w:val="en-US" w:eastAsia="zh-CN"/>
        </w:rPr>
        <w:t>T</w:t>
      </w:r>
    </w:p>
    <w:p w14:paraId="064C4068">
      <w:pPr>
        <w:keepNext w:val="0"/>
        <w:keepLines w:val="0"/>
        <w:pageBreakBefore w:val="0"/>
        <w:widowControl/>
        <w:kinsoku/>
        <w:wordWrap/>
        <w:overflowPunct/>
        <w:topLinePunct/>
        <w:autoSpaceDE/>
        <w:autoSpaceDN/>
        <w:bidi w:val="0"/>
        <w:adjustRightInd w:val="0"/>
        <w:snapToGrid/>
        <w:spacing w:line="360" w:lineRule="auto"/>
        <w:ind w:left="0" w:right="0" w:firstLine="480" w:firstLineChars="200"/>
        <w:jc w:val="both"/>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式中：Q——初期雨水流量</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L/s</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14:paraId="0F6C086D">
      <w:pPr>
        <w:keepNext w:val="0"/>
        <w:keepLines w:val="0"/>
        <w:pageBreakBefore w:val="0"/>
        <w:widowControl/>
        <w:kinsoku/>
        <w:wordWrap/>
        <w:overflowPunct/>
        <w:topLinePunct/>
        <w:autoSpaceDE/>
        <w:autoSpaceDN/>
        <w:bidi w:val="0"/>
        <w:adjustRightInd w:val="0"/>
        <w:snapToGrid/>
        <w:spacing w:line="360" w:lineRule="auto"/>
        <w:ind w:left="0" w:right="0" w:firstLine="1200" w:firstLineChars="500"/>
        <w:jc w:val="both"/>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q——设计暴雨强度</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L/s·ha</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14:paraId="2EA92959">
      <w:pPr>
        <w:keepNext w:val="0"/>
        <w:keepLines w:val="0"/>
        <w:pageBreakBefore w:val="0"/>
        <w:widowControl/>
        <w:kinsoku/>
        <w:wordWrap/>
        <w:overflowPunct/>
        <w:topLinePunct/>
        <w:autoSpaceDE/>
        <w:autoSpaceDN/>
        <w:bidi w:val="0"/>
        <w:adjustRightInd w:val="0"/>
        <w:snapToGrid/>
        <w:spacing w:line="360" w:lineRule="auto"/>
        <w:ind w:left="0" w:right="0" w:firstLine="1200" w:firstLineChars="500"/>
        <w:jc w:val="both"/>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φ——径流系数，取0.</w:t>
      </w:r>
      <w:r>
        <w:rPr>
          <w:rFonts w:hint="eastAsia" w:ascii="Times New Roman" w:hAnsi="Times New Roman" w:eastAsia="宋体" w:cs="Times New Roman"/>
          <w:color w:val="auto"/>
          <w:spacing w:val="0"/>
          <w:position w:val="0"/>
          <w:sz w:val="24"/>
          <w:szCs w:val="24"/>
          <w:highlight w:val="none"/>
          <w:lang w:val="en-US" w:eastAsia="zh-CN"/>
        </w:rPr>
        <w:t>9</w:t>
      </w:r>
      <w:r>
        <w:rPr>
          <w:rFonts w:hint="default" w:ascii="Times New Roman" w:hAnsi="Times New Roman" w:eastAsia="宋体" w:cs="Times New Roman"/>
          <w:color w:val="auto"/>
          <w:spacing w:val="0"/>
          <w:position w:val="0"/>
          <w:sz w:val="24"/>
          <w:szCs w:val="24"/>
          <w:highlight w:val="none"/>
        </w:rPr>
        <w:t>；</w:t>
      </w:r>
    </w:p>
    <w:p w14:paraId="30EE1636">
      <w:pPr>
        <w:keepNext w:val="0"/>
        <w:keepLines w:val="0"/>
        <w:pageBreakBefore w:val="0"/>
        <w:widowControl/>
        <w:kinsoku/>
        <w:wordWrap/>
        <w:overflowPunct/>
        <w:topLinePunct/>
        <w:autoSpaceDE/>
        <w:autoSpaceDN/>
        <w:bidi w:val="0"/>
        <w:adjustRightInd w:val="0"/>
        <w:snapToGrid/>
        <w:spacing w:line="360" w:lineRule="auto"/>
        <w:ind w:left="0" w:right="0" w:firstLine="1200" w:firstLineChars="500"/>
        <w:jc w:val="both"/>
        <w:textAlignment w:val="baseline"/>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F——汇水面积</w:t>
      </w:r>
      <w:r>
        <w:rPr>
          <w:rFonts w:hint="eastAsia" w:ascii="Times New Roman" w:hAnsi="Times New Roman" w:eastAsia="宋体" w:cs="Times New Roman"/>
          <w:color w:val="auto"/>
          <w:spacing w:val="0"/>
          <w:position w:val="0"/>
          <w:sz w:val="24"/>
          <w:szCs w:val="24"/>
          <w:highlight w:val="none"/>
          <w:lang w:eastAsia="zh-CN"/>
        </w:rPr>
        <w:t>（</w:t>
      </w:r>
      <w:r>
        <w:rPr>
          <w:rFonts w:hint="eastAsia" w:ascii="Times New Roman" w:hAnsi="Times New Roman" w:eastAsia="宋体" w:cs="Times New Roman"/>
          <w:color w:val="auto"/>
          <w:spacing w:val="0"/>
          <w:position w:val="0"/>
          <w:sz w:val="24"/>
          <w:szCs w:val="24"/>
          <w:highlight w:val="none"/>
          <w:lang w:val="en-US" w:eastAsia="zh-CN"/>
        </w:rPr>
        <w:t>加油区域1156m</w:t>
      </w:r>
      <w:r>
        <w:rPr>
          <w:rFonts w:hint="eastAsia" w:ascii="Times New Roman" w:hAnsi="Times New Roman" w:eastAsia="宋体" w:cs="Times New Roman"/>
          <w:color w:val="auto"/>
          <w:spacing w:val="0"/>
          <w:position w:val="0"/>
          <w:sz w:val="24"/>
          <w:szCs w:val="24"/>
          <w:highlight w:val="none"/>
          <w:vertAlign w:val="superscript"/>
          <w:lang w:val="en-US" w:eastAsia="zh-CN"/>
        </w:rPr>
        <w:t>2</w:t>
      </w:r>
      <w:r>
        <w:rPr>
          <w:rFonts w:hint="eastAsia" w:ascii="Times New Roman" w:hAnsi="Times New Roman" w:eastAsia="宋体" w:cs="Times New Roman"/>
          <w:color w:val="auto"/>
          <w:spacing w:val="0"/>
          <w:position w:val="0"/>
          <w:sz w:val="24"/>
          <w:szCs w:val="24"/>
          <w:highlight w:val="none"/>
          <w:vertAlign w:val="baseline"/>
          <w:lang w:val="en-US" w:eastAsia="zh-CN"/>
        </w:rPr>
        <w:t>，</w:t>
      </w:r>
      <w:r>
        <w:rPr>
          <w:rFonts w:hint="eastAsia" w:ascii="Times New Roman" w:hAnsi="Times New Roman" w:eastAsia="宋体" w:cs="Times New Roman"/>
          <w:color w:val="auto"/>
          <w:spacing w:val="0"/>
          <w:position w:val="0"/>
          <w:sz w:val="24"/>
          <w:szCs w:val="24"/>
          <w:highlight w:val="none"/>
          <w:lang w:val="en-US" w:eastAsia="zh-CN"/>
        </w:rPr>
        <w:t>0.1156</w:t>
      </w:r>
      <w:r>
        <w:rPr>
          <w:rFonts w:hint="default" w:ascii="Times New Roman" w:hAnsi="Times New Roman" w:eastAsia="宋体" w:cs="Times New Roman"/>
          <w:color w:val="auto"/>
          <w:spacing w:val="0"/>
          <w:position w:val="0"/>
          <w:sz w:val="24"/>
          <w:szCs w:val="24"/>
          <w:highlight w:val="none"/>
          <w:lang w:val="en-US" w:eastAsia="zh-CN"/>
        </w:rPr>
        <w:t>ha</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w:t>
      </w:r>
    </w:p>
    <w:p w14:paraId="0CF5E540">
      <w:pPr>
        <w:keepNext w:val="0"/>
        <w:keepLines w:val="0"/>
        <w:widowControl/>
        <w:suppressLineNumbers w:val="0"/>
        <w:ind w:firstLine="1200" w:firstLineChars="50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为收水时间，按15min计算。</w:t>
      </w:r>
    </w:p>
    <w:p w14:paraId="0A4C2049">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pacing w:val="0"/>
          <w:position w:val="0"/>
          <w:sz w:val="24"/>
          <w:szCs w:val="24"/>
          <w:highlight w:val="none"/>
        </w:rPr>
        <w:t>经计算暴雨流量为</w:t>
      </w:r>
      <w:r>
        <w:rPr>
          <w:rFonts w:hint="default" w:ascii="Times New Roman" w:hAnsi="Times New Roman" w:eastAsia="宋体" w:cs="Times New Roman"/>
          <w:color w:val="auto"/>
          <w:spacing w:val="0"/>
          <w:position w:val="0"/>
          <w:sz w:val="24"/>
          <w:szCs w:val="24"/>
          <w:highlight w:val="none"/>
          <w:lang w:val="en-US" w:eastAsia="zh-CN"/>
        </w:rPr>
        <w:t>0.</w:t>
      </w:r>
      <w:r>
        <w:rPr>
          <w:rFonts w:hint="eastAsia" w:ascii="Times New Roman" w:hAnsi="Times New Roman" w:eastAsia="宋体" w:cs="Times New Roman"/>
          <w:color w:val="auto"/>
          <w:spacing w:val="0"/>
          <w:position w:val="0"/>
          <w:sz w:val="24"/>
          <w:szCs w:val="24"/>
          <w:highlight w:val="none"/>
          <w:lang w:val="en-US" w:eastAsia="zh-CN"/>
        </w:rPr>
        <w:t>0293</w:t>
      </w:r>
      <w:r>
        <w:rPr>
          <w:rFonts w:hint="default" w:ascii="Times New Roman" w:hAnsi="Times New Roman" w:eastAsia="宋体" w:cs="Times New Roman"/>
          <w:color w:val="auto"/>
          <w:spacing w:val="0"/>
          <w:position w:val="0"/>
          <w:sz w:val="24"/>
          <w:szCs w:val="24"/>
          <w:highlight w:val="none"/>
        </w:rPr>
        <w:t>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/s，则暴雨初期雨水产生量每次为</w:t>
      </w:r>
      <w:r>
        <w:rPr>
          <w:rFonts w:hint="eastAsia" w:ascii="Times New Roman" w:hAnsi="Times New Roman" w:eastAsia="宋体" w:cs="Times New Roman"/>
          <w:color w:val="auto"/>
          <w:spacing w:val="0"/>
          <w:position w:val="0"/>
          <w:sz w:val="24"/>
          <w:szCs w:val="24"/>
          <w:highlight w:val="none"/>
          <w:lang w:val="en-US" w:eastAsia="zh-CN"/>
        </w:rPr>
        <w:t>26.4</w:t>
      </w:r>
      <w:r>
        <w:rPr>
          <w:rFonts w:hint="default" w:ascii="Times New Roman" w:hAnsi="Times New Roman" w:eastAsia="宋体" w:cs="Times New Roman"/>
          <w:color w:val="auto"/>
          <w:spacing w:val="0"/>
          <w:position w:val="0"/>
          <w:sz w:val="24"/>
          <w:szCs w:val="24"/>
          <w:highlight w:val="none"/>
        </w:rPr>
        <w:t>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/次</w:t>
      </w:r>
      <w:r>
        <w:rPr>
          <w:rFonts w:hint="eastAsia" w:ascii="Times New Roman" w:hAnsi="Times New Roman" w:eastAsia="宋体" w:cs="Times New Roman"/>
          <w:color w:val="auto"/>
          <w:spacing w:val="0"/>
          <w:position w:val="0"/>
          <w:sz w:val="24"/>
          <w:szCs w:val="24"/>
          <w:highlight w:val="none"/>
          <w:lang w:eastAsia="zh-CN"/>
        </w:rPr>
        <w:t>。</w:t>
      </w:r>
    </w:p>
    <w:p w14:paraId="5AF27ECD">
      <w:pPr>
        <w:pStyle w:val="288"/>
        <w:autoSpaceDE w:val="0"/>
        <w:spacing w:line="360" w:lineRule="auto"/>
        <w:ind w:firstLine="480"/>
        <w:rPr>
          <w:rFonts w:hint="default" w:ascii="Times New Roman" w:hAnsi="Times New Roman" w:eastAsia="宋体" w:cs="Times New Roman"/>
          <w:color w:val="auto"/>
          <w:sz w:val="24"/>
          <w:szCs w:val="24"/>
          <w:highlight w:val="none"/>
          <w:lang w:val="en-US" w:eastAsia="zh-CN"/>
        </w:rPr>
      </w:pPr>
      <w:r>
        <w:rPr>
          <w:rFonts w:hint="eastAsia" w:cs="Times New Roman"/>
          <w:b w:val="0"/>
          <w:bCs w:val="0"/>
          <w:color w:val="auto"/>
          <w:kern w:val="0"/>
          <w:sz w:val="24"/>
          <w:highlight w:val="none"/>
          <w:lang w:val="en-US" w:eastAsia="zh-CN"/>
        </w:rPr>
        <w:t>根</w:t>
      </w:r>
      <w:r>
        <w:rPr>
          <w:rFonts w:hint="default" w:ascii="Times New Roman" w:hAnsi="Times New Roman" w:cs="Times New Roman"/>
          <w:b w:val="0"/>
          <w:bCs w:val="0"/>
          <w:color w:val="auto"/>
          <w:kern w:val="0"/>
          <w:sz w:val="24"/>
          <w:highlight w:val="none"/>
          <w:lang w:val="en-US" w:eastAsia="zh-CN"/>
        </w:rPr>
        <w:t>据企业提供的高程图，项目区西南侧地势较低</w:t>
      </w:r>
      <w:r>
        <w:rPr>
          <w:rFonts w:hint="default" w:ascii="Times New Roman" w:hAnsi="Times New Roman" w:cs="Times New Roman"/>
          <w:b w:val="0"/>
          <w:bCs w:val="0"/>
          <w:color w:val="auto"/>
          <w:kern w:val="0"/>
          <w:sz w:val="24"/>
          <w:highlight w:val="none"/>
          <w:lang w:eastAsia="zh-CN"/>
        </w:rPr>
        <w:t>，</w:t>
      </w:r>
      <w:r>
        <w:rPr>
          <w:rFonts w:hint="eastAsia" w:ascii="Times New Roman" w:hAnsi="Times New Roman" w:cs="Times New Roman"/>
          <w:b w:val="0"/>
          <w:bCs w:val="0"/>
          <w:color w:val="auto"/>
          <w:kern w:val="0"/>
          <w:sz w:val="24"/>
          <w:highlight w:val="none"/>
          <w:lang w:val="en-US" w:eastAsia="zh-CN"/>
        </w:rPr>
        <w:t>企业拟建设一个隔油池和水封井，</w:t>
      </w:r>
      <w:r>
        <w:rPr>
          <w:rFonts w:hint="default" w:ascii="Times New Roman" w:hAnsi="Times New Roman" w:cs="Times New Roman"/>
          <w:b w:val="0"/>
          <w:bCs w:val="0"/>
          <w:color w:val="auto"/>
          <w:kern w:val="0"/>
          <w:sz w:val="24"/>
          <w:highlight w:val="none"/>
          <w:lang w:val="en-US" w:eastAsia="zh-CN"/>
        </w:rPr>
        <w:t>本次评价建议</w:t>
      </w:r>
      <w:r>
        <w:rPr>
          <w:rFonts w:hint="eastAsia" w:ascii="Times New Roman" w:hAnsi="Times New Roman" w:cs="Times New Roman"/>
          <w:b w:val="0"/>
          <w:bCs w:val="0"/>
          <w:color w:val="auto"/>
          <w:kern w:val="0"/>
          <w:sz w:val="24"/>
          <w:highlight w:val="none"/>
          <w:lang w:val="en-US" w:eastAsia="zh-CN"/>
        </w:rPr>
        <w:t>利用隔油池兼做初期雨水池，初期雨水经管沟引入隔油池隔油沉淀处理排放，</w:t>
      </w:r>
      <w:r>
        <w:rPr>
          <w:rFonts w:hint="default" w:ascii="Times New Roman" w:hAnsi="Times New Roman" w:cs="Times New Roman"/>
          <w:b w:val="0"/>
          <w:bCs w:val="0"/>
          <w:color w:val="auto"/>
          <w:kern w:val="0"/>
          <w:sz w:val="24"/>
          <w:highlight w:val="none"/>
          <w:lang w:val="en-US" w:eastAsia="zh-CN"/>
        </w:rPr>
        <w:t>初期雨水池设置于站内南侧设置，设置容积为3</w:t>
      </w:r>
      <w:r>
        <w:rPr>
          <w:rFonts w:hint="eastAsia" w:ascii="Times New Roman" w:hAnsi="Times New Roman" w:cs="Times New Roman"/>
          <w:b w:val="0"/>
          <w:bCs w:val="0"/>
          <w:color w:val="auto"/>
          <w:kern w:val="0"/>
          <w:sz w:val="24"/>
          <w:highlight w:val="none"/>
          <w:lang w:val="en-US" w:eastAsia="zh-CN"/>
        </w:rPr>
        <w:t>0</w:t>
      </w:r>
      <w:r>
        <w:rPr>
          <w:rFonts w:hint="default" w:ascii="Times New Roman" w:hAnsi="Times New Roman" w:cs="Times New Roman"/>
          <w:b w:val="0"/>
          <w:bCs w:val="0"/>
          <w:color w:val="auto"/>
          <w:kern w:val="0"/>
          <w:sz w:val="24"/>
          <w:highlight w:val="none"/>
          <w:lang w:val="en-US" w:eastAsia="zh-CN"/>
        </w:rPr>
        <w:t>立方（预留</w:t>
      </w:r>
      <w:r>
        <w:rPr>
          <w:rFonts w:hint="eastAsia" w:ascii="Times New Roman" w:hAnsi="Times New Roman" w:cs="Times New Roman"/>
          <w:b w:val="0"/>
          <w:bCs w:val="0"/>
          <w:color w:val="auto"/>
          <w:kern w:val="0"/>
          <w:sz w:val="24"/>
          <w:highlight w:val="none"/>
          <w:lang w:val="en-US" w:eastAsia="zh-CN"/>
        </w:rPr>
        <w:t>1</w:t>
      </w:r>
      <w:r>
        <w:rPr>
          <w:rFonts w:hint="default" w:ascii="Times New Roman" w:hAnsi="Times New Roman" w:cs="Times New Roman"/>
          <w:b w:val="0"/>
          <w:bCs w:val="0"/>
          <w:color w:val="auto"/>
          <w:kern w:val="0"/>
          <w:sz w:val="24"/>
          <w:highlight w:val="none"/>
          <w:lang w:val="en-US" w:eastAsia="zh-CN"/>
        </w:rPr>
        <w:t>0%），</w:t>
      </w:r>
      <w:r>
        <w:rPr>
          <w:rFonts w:hint="default" w:ascii="Times New Roman" w:hAnsi="Times New Roman" w:cs="Times New Roman"/>
          <w:color w:val="auto"/>
          <w:kern w:val="0"/>
          <w:sz w:val="24"/>
          <w:szCs w:val="24"/>
          <w:highlight w:val="none"/>
          <w:lang w:val="en-US" w:eastAsia="zh-CN" w:bidi="ar"/>
        </w:rPr>
        <w:t>确保初期雨水能够被有效收集，不排入外环境。</w:t>
      </w:r>
    </w:p>
    <w:p w14:paraId="2C0D3C51">
      <w:pPr>
        <w:pStyle w:val="18"/>
        <w:tabs>
          <w:tab w:val="left" w:pos="4278"/>
        </w:tabs>
        <w:spacing w:line="240" w:lineRule="auto"/>
        <w:ind w:right="104"/>
        <w:jc w:val="center"/>
        <w:rPr>
          <w:rFonts w:ascii="Times New Roman" w:hAnsi="Times New Roman"/>
          <w:b/>
          <w:bCs/>
          <w:color w:val="auto"/>
          <w:highlight w:val="none"/>
        </w:rPr>
      </w:pPr>
      <w:r>
        <w:rPr>
          <w:rFonts w:ascii="Times New Roman" w:hAnsi="Times New Roman"/>
          <w:b/>
          <w:bCs/>
          <w:color w:val="auto"/>
          <w:highlight w:val="none"/>
        </w:rPr>
        <w:t>表</w:t>
      </w:r>
      <w:r>
        <w:rPr>
          <w:rFonts w:hint="eastAsia" w:ascii="Times New Roman" w:hAnsi="Times New Roman"/>
          <w:b/>
          <w:bCs/>
          <w:color w:val="auto"/>
          <w:highlight w:val="none"/>
          <w:lang w:val="en-US" w:eastAsia="zh-CN"/>
        </w:rPr>
        <w:t>3.</w:t>
      </w:r>
      <w:r>
        <w:rPr>
          <w:rFonts w:hint="eastAsia"/>
          <w:b/>
          <w:bCs/>
          <w:color w:val="auto"/>
          <w:highlight w:val="none"/>
          <w:lang w:val="en-US" w:eastAsia="zh-CN"/>
        </w:rPr>
        <w:t>4</w:t>
      </w:r>
      <w:r>
        <w:rPr>
          <w:rFonts w:hint="eastAsia" w:ascii="Times New Roman" w:hAnsi="Times New Roman"/>
          <w:b/>
          <w:bCs/>
          <w:color w:val="auto"/>
          <w:highlight w:val="none"/>
          <w:lang w:val="en-US" w:eastAsia="zh-CN"/>
        </w:rPr>
        <w:t>.2-1</w:t>
      </w:r>
      <w:r>
        <w:rPr>
          <w:rFonts w:hint="eastAsia"/>
          <w:b/>
          <w:bCs/>
          <w:color w:val="auto"/>
          <w:highlight w:val="none"/>
          <w:lang w:val="en-US" w:eastAsia="zh-CN"/>
        </w:rPr>
        <w:t xml:space="preserve">  </w:t>
      </w:r>
      <w:r>
        <w:rPr>
          <w:rFonts w:ascii="Times New Roman" w:hAnsi="Times New Roman"/>
          <w:b/>
          <w:bCs/>
          <w:color w:val="auto"/>
          <w:highlight w:val="none"/>
        </w:rPr>
        <w:t>项目</w:t>
      </w:r>
      <w:r>
        <w:rPr>
          <w:rFonts w:hint="eastAsia" w:ascii="Times New Roman" w:hAnsi="Times New Roman"/>
          <w:b/>
          <w:bCs/>
          <w:color w:val="auto"/>
          <w:highlight w:val="none"/>
          <w:lang w:val="en-US" w:eastAsia="zh-CN"/>
        </w:rPr>
        <w:t>用</w:t>
      </w:r>
      <w:r>
        <w:rPr>
          <w:rFonts w:ascii="Times New Roman" w:hAnsi="Times New Roman"/>
          <w:b/>
          <w:bCs/>
          <w:color w:val="auto"/>
          <w:highlight w:val="none"/>
        </w:rPr>
        <w:t>排水量一览表</w:t>
      </w:r>
    </w:p>
    <w:tbl>
      <w:tblPr>
        <w:tblStyle w:val="49"/>
        <w:tblW w:w="5016" w:type="pct"/>
        <w:tblInd w:w="0" w:type="dxa"/>
        <w:tblLayout w:type="autofit"/>
        <w:tblCellMar>
          <w:top w:w="0" w:type="dxa"/>
          <w:left w:w="0" w:type="dxa"/>
          <w:bottom w:w="0" w:type="dxa"/>
          <w:right w:w="0" w:type="dxa"/>
        </w:tblCellMar>
      </w:tblPr>
      <w:tblGrid>
        <w:gridCol w:w="2338"/>
        <w:gridCol w:w="1882"/>
        <w:gridCol w:w="911"/>
        <w:gridCol w:w="961"/>
        <w:gridCol w:w="1001"/>
        <w:gridCol w:w="1250"/>
      </w:tblGrid>
      <w:tr w14:paraId="0BF3D495">
        <w:tblPrEx>
          <w:tblCellMar>
            <w:top w:w="0" w:type="dxa"/>
            <w:left w:w="0" w:type="dxa"/>
            <w:bottom w:w="0" w:type="dxa"/>
            <w:right w:w="0" w:type="dxa"/>
          </w:tblCellMar>
        </w:tblPrEx>
        <w:tc>
          <w:tcPr>
            <w:tcW w:w="1401" w:type="pct"/>
            <w:tcBorders>
              <w:top w:val="single" w:color="000000" w:sz="4" w:space="0"/>
              <w:left w:val="single" w:color="000000" w:sz="4" w:space="0"/>
              <w:bottom w:val="single" w:color="000000" w:sz="4" w:space="0"/>
              <w:right w:val="single" w:color="000000" w:sz="4" w:space="0"/>
            </w:tcBorders>
            <w:noWrap w:val="0"/>
            <w:vAlign w:val="center"/>
          </w:tcPr>
          <w:p w14:paraId="12F701E1">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废水名称</w:t>
            </w:r>
          </w:p>
        </w:tc>
        <w:tc>
          <w:tcPr>
            <w:tcW w:w="1128" w:type="pct"/>
            <w:tcBorders>
              <w:top w:val="single" w:color="000000" w:sz="4" w:space="0"/>
              <w:left w:val="single" w:color="000000" w:sz="4" w:space="0"/>
              <w:bottom w:val="single" w:color="000000" w:sz="4" w:space="0"/>
              <w:right w:val="single" w:color="000000" w:sz="4" w:space="0"/>
            </w:tcBorders>
            <w:noWrap w:val="0"/>
            <w:vAlign w:val="center"/>
          </w:tcPr>
          <w:p w14:paraId="7CBF7C07">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废水来源</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3A7AB07F">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用水量(m</w:t>
            </w:r>
            <w:r>
              <w:rPr>
                <w:rFonts w:hint="default" w:ascii="Times New Roman" w:hAnsi="Times New Roman" w:cs="Times New Roman"/>
                <w:b/>
                <w:bCs/>
                <w:color w:val="auto"/>
                <w:highlight w:val="none"/>
                <w:vertAlign w:val="superscript"/>
              </w:rPr>
              <w:t>3</w:t>
            </w:r>
            <w:r>
              <w:rPr>
                <w:rFonts w:hint="default" w:ascii="Times New Roman" w:hAnsi="Times New Roman" w:cs="Times New Roman"/>
                <w:b/>
                <w:bCs/>
                <w:color w:val="auto"/>
                <w:highlight w:val="none"/>
              </w:rPr>
              <w:t>/d)</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1C216BB2">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产污系数</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05DFA4DA">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排水量(m</w:t>
            </w:r>
            <w:r>
              <w:rPr>
                <w:rFonts w:hint="default" w:ascii="Times New Roman" w:hAnsi="Times New Roman" w:cs="Times New Roman"/>
                <w:b/>
                <w:bCs/>
                <w:color w:val="auto"/>
                <w:highlight w:val="none"/>
                <w:vertAlign w:val="superscript"/>
              </w:rPr>
              <w:t>3</w:t>
            </w:r>
            <w:r>
              <w:rPr>
                <w:rFonts w:hint="default" w:ascii="Times New Roman" w:hAnsi="Times New Roman" w:cs="Times New Roman"/>
                <w:b/>
                <w:bCs/>
                <w:color w:val="auto"/>
                <w:highlight w:val="none"/>
              </w:rPr>
              <w:t>/d)</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06008A83">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年排水量</w:t>
            </w:r>
          </w:p>
          <w:p w14:paraId="591664F8">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(m</w:t>
            </w:r>
            <w:r>
              <w:rPr>
                <w:rFonts w:hint="default" w:ascii="Times New Roman" w:hAnsi="Times New Roman" w:cs="Times New Roman"/>
                <w:b/>
                <w:bCs/>
                <w:color w:val="auto"/>
                <w:highlight w:val="none"/>
                <w:vertAlign w:val="superscript"/>
              </w:rPr>
              <w:t>3</w:t>
            </w:r>
            <w:r>
              <w:rPr>
                <w:rFonts w:hint="default" w:ascii="Times New Roman" w:hAnsi="Times New Roman" w:cs="Times New Roman"/>
                <w:b/>
                <w:bCs/>
                <w:color w:val="auto"/>
                <w:highlight w:val="none"/>
              </w:rPr>
              <w:t>/a)</w:t>
            </w:r>
          </w:p>
        </w:tc>
      </w:tr>
      <w:tr w14:paraId="086C0064">
        <w:tblPrEx>
          <w:tblCellMar>
            <w:top w:w="0" w:type="dxa"/>
            <w:left w:w="0" w:type="dxa"/>
            <w:bottom w:w="0" w:type="dxa"/>
            <w:right w:w="0" w:type="dxa"/>
          </w:tblCellMar>
        </w:tblPrEx>
        <w:trPr>
          <w:trHeight w:val="330" w:hRule="atLeast"/>
        </w:trPr>
        <w:tc>
          <w:tcPr>
            <w:tcW w:w="1401" w:type="pct"/>
            <w:tcBorders>
              <w:top w:val="single" w:color="000000" w:sz="4" w:space="0"/>
              <w:left w:val="single" w:color="000000" w:sz="4" w:space="0"/>
              <w:right w:val="single" w:color="000000" w:sz="4" w:space="0"/>
            </w:tcBorders>
            <w:noWrap w:val="0"/>
            <w:vAlign w:val="center"/>
          </w:tcPr>
          <w:p w14:paraId="13895654">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pacing w:val="4"/>
                <w:sz w:val="21"/>
                <w:szCs w:val="21"/>
                <w:highlight w:val="none"/>
              </w:rPr>
              <w:t>生活</w:t>
            </w:r>
            <w:r>
              <w:rPr>
                <w:rFonts w:hint="eastAsia" w:ascii="Times New Roman" w:hAnsi="Times New Roman" w:eastAsia="宋体" w:cs="Times New Roman"/>
                <w:color w:val="auto"/>
                <w:spacing w:val="4"/>
                <w:sz w:val="21"/>
                <w:szCs w:val="21"/>
                <w:highlight w:val="none"/>
                <w:lang w:val="en-US" w:eastAsia="zh-CN"/>
              </w:rPr>
              <w:t>污水</w:t>
            </w:r>
          </w:p>
        </w:tc>
        <w:tc>
          <w:tcPr>
            <w:tcW w:w="1128" w:type="pct"/>
            <w:tcBorders>
              <w:top w:val="single" w:color="000000" w:sz="4" w:space="0"/>
              <w:left w:val="single" w:color="000000" w:sz="4" w:space="0"/>
              <w:bottom w:val="single" w:color="000000" w:sz="4" w:space="0"/>
              <w:right w:val="single" w:color="000000" w:sz="4" w:space="0"/>
            </w:tcBorders>
            <w:noWrap w:val="0"/>
            <w:vAlign w:val="center"/>
          </w:tcPr>
          <w:p w14:paraId="6B73C3E1">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生活用水</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52DDB822">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3.12</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1098971B">
            <w:pPr>
              <w:pStyle w:val="227"/>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0.8</w:t>
            </w:r>
            <w:r>
              <w:rPr>
                <w:rFonts w:hint="default" w:ascii="Times New Roman" w:hAnsi="Times New Roman" w:cs="Times New Roman"/>
                <w:color w:val="auto"/>
                <w:sz w:val="21"/>
                <w:szCs w:val="21"/>
                <w:highlight w:val="none"/>
                <w:lang w:val="en-US" w:eastAsia="zh-CN"/>
              </w:rPr>
              <w:t>5</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2CC9E186">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2.652</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0C5763F1">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969</w:t>
            </w:r>
          </w:p>
        </w:tc>
      </w:tr>
      <w:tr w14:paraId="1FEA7886">
        <w:tblPrEx>
          <w:tblCellMar>
            <w:top w:w="0" w:type="dxa"/>
            <w:left w:w="0" w:type="dxa"/>
            <w:bottom w:w="0" w:type="dxa"/>
            <w:right w:w="0" w:type="dxa"/>
          </w:tblCellMar>
        </w:tblPrEx>
        <w:tc>
          <w:tcPr>
            <w:tcW w:w="1401" w:type="pct"/>
            <w:tcBorders>
              <w:top w:val="single" w:color="000000" w:sz="4" w:space="0"/>
              <w:left w:val="single" w:color="000000" w:sz="4" w:space="0"/>
              <w:right w:val="single" w:color="000000" w:sz="4" w:space="0"/>
            </w:tcBorders>
            <w:noWrap w:val="0"/>
            <w:vAlign w:val="center"/>
          </w:tcPr>
          <w:p w14:paraId="58CC9D31">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保洁废水</w:t>
            </w:r>
          </w:p>
        </w:tc>
        <w:tc>
          <w:tcPr>
            <w:tcW w:w="1128" w:type="pct"/>
            <w:tcBorders>
              <w:top w:val="single" w:color="000000" w:sz="4" w:space="0"/>
              <w:left w:val="single" w:color="000000" w:sz="4" w:space="0"/>
              <w:bottom w:val="single" w:color="000000" w:sz="4" w:space="0"/>
              <w:right w:val="single" w:color="000000" w:sz="4" w:space="0"/>
            </w:tcBorders>
            <w:noWrap w:val="0"/>
            <w:vAlign w:val="center"/>
          </w:tcPr>
          <w:p w14:paraId="7D4741D8">
            <w:pPr>
              <w:pStyle w:val="227"/>
              <w:adjustRightInd/>
              <w:snapToGrid/>
              <w:spacing w:line="240" w:lineRule="auto"/>
              <w:ind w:firstLine="0" w:firstLineChars="0"/>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cs="Times New Roman"/>
                <w:color w:val="auto"/>
                <w:spacing w:val="4"/>
                <w:sz w:val="21"/>
                <w:szCs w:val="21"/>
                <w:highlight w:val="none"/>
                <w:lang w:val="en-US" w:eastAsia="zh-CN"/>
              </w:rPr>
              <w:t>保洁用水</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6166CE48">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0.46</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7B2C5CA6">
            <w:pPr>
              <w:pStyle w:val="227"/>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0.8</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0E6300D0">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0.368</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6E4CB2B5">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134.32</w:t>
            </w:r>
          </w:p>
        </w:tc>
      </w:tr>
      <w:tr w14:paraId="4B54811C">
        <w:tblPrEx>
          <w:tblCellMar>
            <w:top w:w="0" w:type="dxa"/>
            <w:left w:w="0" w:type="dxa"/>
            <w:bottom w:w="0" w:type="dxa"/>
            <w:right w:w="0" w:type="dxa"/>
          </w:tblCellMar>
        </w:tblPrEx>
        <w:tc>
          <w:tcPr>
            <w:tcW w:w="1401" w:type="pct"/>
            <w:tcBorders>
              <w:top w:val="single" w:color="000000" w:sz="4" w:space="0"/>
              <w:left w:val="single" w:color="000000" w:sz="4" w:space="0"/>
              <w:bottom w:val="single" w:color="000000" w:sz="4" w:space="0"/>
              <w:right w:val="single" w:color="000000" w:sz="4" w:space="0"/>
            </w:tcBorders>
            <w:noWrap w:val="0"/>
            <w:vAlign w:val="center"/>
          </w:tcPr>
          <w:p w14:paraId="0CDB9A00">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间接循环冷却废水</w:t>
            </w:r>
          </w:p>
        </w:tc>
        <w:tc>
          <w:tcPr>
            <w:tcW w:w="1128" w:type="pct"/>
            <w:tcBorders>
              <w:top w:val="single" w:color="000000" w:sz="4" w:space="0"/>
              <w:left w:val="single" w:color="000000" w:sz="4" w:space="0"/>
              <w:bottom w:val="single" w:color="000000" w:sz="4" w:space="0"/>
              <w:right w:val="single" w:color="000000" w:sz="4" w:space="0"/>
            </w:tcBorders>
            <w:noWrap w:val="0"/>
            <w:vAlign w:val="center"/>
          </w:tcPr>
          <w:p w14:paraId="2814180F">
            <w:pPr>
              <w:pStyle w:val="227"/>
              <w:adjustRightInd/>
              <w:snapToGrid/>
              <w:spacing w:before="42"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间接循环</w:t>
            </w:r>
            <w:r>
              <w:rPr>
                <w:rFonts w:hint="eastAsia" w:ascii="Times New Roman" w:hAnsi="Times New Roman" w:eastAsia="宋体" w:cs="Times New Roman"/>
                <w:color w:val="auto"/>
                <w:spacing w:val="4"/>
                <w:sz w:val="21"/>
                <w:szCs w:val="21"/>
                <w:highlight w:val="none"/>
                <w:lang w:val="en-US" w:eastAsia="zh-CN"/>
              </w:rPr>
              <w:t>系统</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3CA5D52F">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5.62</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52ED6794">
            <w:pPr>
              <w:pStyle w:val="227"/>
              <w:adjustRightInd/>
              <w:snapToGrid/>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037BD7AB">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0.82</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1854D2A2">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300</w:t>
            </w:r>
          </w:p>
        </w:tc>
      </w:tr>
      <w:tr w14:paraId="0F94E4C3">
        <w:tblPrEx>
          <w:tblCellMar>
            <w:top w:w="0" w:type="dxa"/>
            <w:left w:w="0" w:type="dxa"/>
            <w:bottom w:w="0" w:type="dxa"/>
            <w:right w:w="0" w:type="dxa"/>
          </w:tblCellMar>
        </w:tblPrEx>
        <w:tc>
          <w:tcPr>
            <w:tcW w:w="1401" w:type="pct"/>
            <w:tcBorders>
              <w:top w:val="single" w:color="000000" w:sz="4" w:space="0"/>
              <w:left w:val="single" w:color="000000" w:sz="4" w:space="0"/>
              <w:bottom w:val="single" w:color="000000" w:sz="4" w:space="0"/>
              <w:right w:val="single" w:color="000000" w:sz="4" w:space="0"/>
            </w:tcBorders>
            <w:noWrap w:val="0"/>
            <w:vAlign w:val="center"/>
          </w:tcPr>
          <w:p w14:paraId="20F8E266">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制备脱盐水</w:t>
            </w:r>
          </w:p>
        </w:tc>
        <w:tc>
          <w:tcPr>
            <w:tcW w:w="1128" w:type="pct"/>
            <w:tcBorders>
              <w:top w:val="single" w:color="000000" w:sz="4" w:space="0"/>
              <w:left w:val="single" w:color="000000" w:sz="4" w:space="0"/>
              <w:bottom w:val="single" w:color="000000" w:sz="4" w:space="0"/>
              <w:right w:val="single" w:color="000000" w:sz="4" w:space="0"/>
            </w:tcBorders>
            <w:noWrap w:val="0"/>
            <w:vAlign w:val="center"/>
          </w:tcPr>
          <w:p w14:paraId="2F4ECEA8">
            <w:pPr>
              <w:pStyle w:val="227"/>
              <w:adjustRightInd/>
              <w:snapToGrid/>
              <w:spacing w:before="42" w:line="240" w:lineRule="auto"/>
              <w:ind w:firstLine="0" w:firstLineChars="0"/>
              <w:jc w:val="center"/>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脱盐水制备</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1E177EB7">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19.032</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4DECCF15">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0.25</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15AD120F">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4.737</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74D6858B">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1728.864</w:t>
            </w:r>
          </w:p>
        </w:tc>
      </w:tr>
      <w:tr w14:paraId="57528E1A">
        <w:tblPrEx>
          <w:tblCellMar>
            <w:top w:w="0" w:type="dxa"/>
            <w:left w:w="0" w:type="dxa"/>
            <w:bottom w:w="0" w:type="dxa"/>
            <w:right w:w="0" w:type="dxa"/>
          </w:tblCellMar>
        </w:tblPrEx>
        <w:tc>
          <w:tcPr>
            <w:tcW w:w="1401" w:type="pct"/>
            <w:tcBorders>
              <w:top w:val="single" w:color="000000" w:sz="4" w:space="0"/>
              <w:left w:val="single" w:color="000000" w:sz="4" w:space="0"/>
              <w:bottom w:val="single" w:color="000000" w:sz="4" w:space="0"/>
              <w:right w:val="single" w:color="000000" w:sz="4" w:space="0"/>
            </w:tcBorders>
            <w:noWrap w:val="0"/>
            <w:vAlign w:val="center"/>
          </w:tcPr>
          <w:p w14:paraId="1EDBF0A7">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反冲洗废水</w:t>
            </w:r>
          </w:p>
        </w:tc>
        <w:tc>
          <w:tcPr>
            <w:tcW w:w="1128" w:type="pct"/>
            <w:tcBorders>
              <w:top w:val="single" w:color="000000" w:sz="4" w:space="0"/>
              <w:left w:val="single" w:color="000000" w:sz="4" w:space="0"/>
              <w:bottom w:val="single" w:color="000000" w:sz="4" w:space="0"/>
              <w:right w:val="single" w:color="000000" w:sz="4" w:space="0"/>
            </w:tcBorders>
            <w:noWrap w:val="0"/>
            <w:vAlign w:val="center"/>
          </w:tcPr>
          <w:p w14:paraId="0AB49BC0">
            <w:pPr>
              <w:pStyle w:val="227"/>
              <w:adjustRightInd/>
              <w:snapToGrid/>
              <w:spacing w:before="42" w:line="240" w:lineRule="auto"/>
              <w:ind w:firstLine="0" w:firstLineChars="0"/>
              <w:jc w:val="center"/>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脱盐水制备</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2ED0EEBE">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013FB321">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16956733">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1D55CB48">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36.5</w:t>
            </w:r>
          </w:p>
        </w:tc>
      </w:tr>
      <w:tr w14:paraId="03F9B98E">
        <w:tblPrEx>
          <w:tblCellMar>
            <w:top w:w="0" w:type="dxa"/>
            <w:left w:w="0" w:type="dxa"/>
            <w:bottom w:w="0" w:type="dxa"/>
            <w:right w:w="0" w:type="dxa"/>
          </w:tblCellMar>
        </w:tblPrEx>
        <w:tc>
          <w:tcPr>
            <w:tcW w:w="1401" w:type="pct"/>
            <w:tcBorders>
              <w:top w:val="single" w:color="000000" w:sz="4" w:space="0"/>
              <w:left w:val="single" w:color="000000" w:sz="4" w:space="0"/>
              <w:bottom w:val="single" w:color="000000" w:sz="4" w:space="0"/>
              <w:right w:val="single" w:color="000000" w:sz="4" w:space="0"/>
            </w:tcBorders>
            <w:noWrap w:val="0"/>
            <w:vAlign w:val="center"/>
          </w:tcPr>
          <w:p w14:paraId="64503924">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洗车废水</w:t>
            </w:r>
          </w:p>
        </w:tc>
        <w:tc>
          <w:tcPr>
            <w:tcW w:w="1128" w:type="pct"/>
            <w:tcBorders>
              <w:top w:val="single" w:color="000000" w:sz="4" w:space="0"/>
              <w:left w:val="single" w:color="000000" w:sz="4" w:space="0"/>
              <w:bottom w:val="single" w:color="000000" w:sz="4" w:space="0"/>
              <w:right w:val="single" w:color="000000" w:sz="4" w:space="0"/>
            </w:tcBorders>
            <w:noWrap w:val="0"/>
            <w:vAlign w:val="center"/>
          </w:tcPr>
          <w:p w14:paraId="19A398CA">
            <w:pPr>
              <w:pStyle w:val="227"/>
              <w:adjustRightInd/>
              <w:snapToGrid/>
              <w:spacing w:before="42" w:line="240" w:lineRule="auto"/>
              <w:ind w:firstLine="0" w:firstLineChars="0"/>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洗车</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286A8DE7">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0D86B277">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0.85</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0D9AD9BE">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2.04</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44400737">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744.6</w:t>
            </w:r>
          </w:p>
        </w:tc>
      </w:tr>
      <w:tr w14:paraId="6D762CD5">
        <w:tblPrEx>
          <w:tblCellMar>
            <w:top w:w="0" w:type="dxa"/>
            <w:left w:w="0" w:type="dxa"/>
            <w:bottom w:w="0" w:type="dxa"/>
            <w:right w:w="0" w:type="dxa"/>
          </w:tblCellMar>
        </w:tblPrEx>
        <w:tc>
          <w:tcPr>
            <w:tcW w:w="1401" w:type="pct"/>
            <w:tcBorders>
              <w:top w:val="single" w:color="000000" w:sz="4" w:space="0"/>
              <w:left w:val="single" w:color="000000" w:sz="4" w:space="0"/>
              <w:bottom w:val="single" w:color="000000" w:sz="4" w:space="0"/>
              <w:right w:val="single" w:color="000000" w:sz="4" w:space="0"/>
            </w:tcBorders>
            <w:noWrap w:val="0"/>
            <w:vAlign w:val="center"/>
          </w:tcPr>
          <w:p w14:paraId="1CC24227">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制氮机排水</w:t>
            </w:r>
          </w:p>
        </w:tc>
        <w:tc>
          <w:tcPr>
            <w:tcW w:w="1128" w:type="pct"/>
            <w:tcBorders>
              <w:top w:val="single" w:color="000000" w:sz="4" w:space="0"/>
              <w:left w:val="single" w:color="000000" w:sz="4" w:space="0"/>
              <w:bottom w:val="single" w:color="000000" w:sz="4" w:space="0"/>
              <w:right w:val="single" w:color="000000" w:sz="4" w:space="0"/>
            </w:tcBorders>
            <w:noWrap w:val="0"/>
            <w:vAlign w:val="center"/>
          </w:tcPr>
          <w:p w14:paraId="4DB6CD28">
            <w:pPr>
              <w:pStyle w:val="227"/>
              <w:adjustRightInd/>
              <w:snapToGrid/>
              <w:spacing w:before="42" w:line="240" w:lineRule="auto"/>
              <w:ind w:firstLine="0" w:firstLineChars="0"/>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压缩空气制氮</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6E0E9F9B">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08FD00DE">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0DC6BFCB">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0.012</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28D3F2C6">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3.6</w:t>
            </w:r>
          </w:p>
        </w:tc>
      </w:tr>
      <w:tr w14:paraId="258ACD88">
        <w:tblPrEx>
          <w:tblCellMar>
            <w:top w:w="0" w:type="dxa"/>
            <w:left w:w="0" w:type="dxa"/>
            <w:bottom w:w="0" w:type="dxa"/>
            <w:right w:w="0" w:type="dxa"/>
          </w:tblCellMar>
        </w:tblPrEx>
        <w:tc>
          <w:tcPr>
            <w:tcW w:w="1401" w:type="pct"/>
            <w:tcBorders>
              <w:top w:val="single" w:color="000000" w:sz="4" w:space="0"/>
              <w:left w:val="single" w:color="000000" w:sz="4" w:space="0"/>
              <w:bottom w:val="single" w:color="000000" w:sz="4" w:space="0"/>
              <w:right w:val="single" w:color="000000" w:sz="4" w:space="0"/>
            </w:tcBorders>
            <w:noWrap w:val="0"/>
            <w:vAlign w:val="center"/>
          </w:tcPr>
          <w:p w14:paraId="2427980E">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蒸汽发生器排污水</w:t>
            </w:r>
          </w:p>
        </w:tc>
        <w:tc>
          <w:tcPr>
            <w:tcW w:w="1128" w:type="pct"/>
            <w:tcBorders>
              <w:top w:val="single" w:color="000000" w:sz="4" w:space="0"/>
              <w:left w:val="single" w:color="000000" w:sz="4" w:space="0"/>
              <w:bottom w:val="single" w:color="000000" w:sz="4" w:space="0"/>
              <w:right w:val="single" w:color="000000" w:sz="4" w:space="0"/>
            </w:tcBorders>
            <w:noWrap w:val="0"/>
            <w:vAlign w:val="center"/>
          </w:tcPr>
          <w:p w14:paraId="2BD5E12F">
            <w:pPr>
              <w:pStyle w:val="227"/>
              <w:adjustRightInd/>
              <w:snapToGrid/>
              <w:spacing w:before="42" w:line="240" w:lineRule="auto"/>
              <w:ind w:firstLine="0" w:firstLineChars="0"/>
              <w:jc w:val="center"/>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首次煮锅</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4914244A">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/次</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3F99BC5B">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3B111FBF">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0.003</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5A0185E2">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r>
      <w:tr w14:paraId="65A32737">
        <w:tblPrEx>
          <w:tblCellMar>
            <w:top w:w="0" w:type="dxa"/>
            <w:left w:w="0" w:type="dxa"/>
            <w:bottom w:w="0" w:type="dxa"/>
            <w:right w:w="0" w:type="dxa"/>
          </w:tblCellMar>
        </w:tblPrEx>
        <w:tc>
          <w:tcPr>
            <w:tcW w:w="1401" w:type="pct"/>
            <w:tcBorders>
              <w:top w:val="single" w:color="000000" w:sz="4" w:space="0"/>
              <w:left w:val="single" w:color="000000" w:sz="4" w:space="0"/>
              <w:bottom w:val="single" w:color="000000" w:sz="4" w:space="0"/>
              <w:right w:val="single" w:color="000000" w:sz="4" w:space="0"/>
            </w:tcBorders>
            <w:noWrap w:val="0"/>
            <w:vAlign w:val="center"/>
          </w:tcPr>
          <w:p w14:paraId="29E018EE">
            <w:pPr>
              <w:pStyle w:val="22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初期雨水</w:t>
            </w:r>
          </w:p>
        </w:tc>
        <w:tc>
          <w:tcPr>
            <w:tcW w:w="3598" w:type="pct"/>
            <w:gridSpan w:val="5"/>
            <w:tcBorders>
              <w:top w:val="single" w:color="000000" w:sz="4" w:space="0"/>
              <w:left w:val="single" w:color="000000" w:sz="4" w:space="0"/>
              <w:bottom w:val="single" w:color="000000" w:sz="4" w:space="0"/>
              <w:right w:val="single" w:color="000000" w:sz="4" w:space="0"/>
            </w:tcBorders>
            <w:noWrap w:val="0"/>
            <w:vAlign w:val="center"/>
          </w:tcPr>
          <w:p w14:paraId="319B70B3">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26.4m</w:t>
            </w:r>
            <w:r>
              <w:rPr>
                <w:rFonts w:hint="eastAsia" w:ascii="Times New Roman" w:hAnsi="Times New Roman" w:cs="Times New Roman"/>
                <w:color w:val="auto"/>
                <w:sz w:val="21"/>
                <w:szCs w:val="21"/>
                <w:highlight w:val="none"/>
                <w:vertAlign w:val="superscript"/>
                <w:lang w:val="en-US" w:eastAsia="zh-CN"/>
              </w:rPr>
              <w:t>3</w:t>
            </w:r>
            <w:r>
              <w:rPr>
                <w:rFonts w:hint="eastAsia" w:ascii="Times New Roman" w:hAnsi="Times New Roman" w:cs="Times New Roman"/>
                <w:color w:val="auto"/>
                <w:sz w:val="21"/>
                <w:szCs w:val="21"/>
                <w:highlight w:val="none"/>
                <w:lang w:val="en-US" w:eastAsia="zh-CN"/>
              </w:rPr>
              <w:t>/次</w:t>
            </w:r>
          </w:p>
        </w:tc>
      </w:tr>
      <w:tr w14:paraId="54570A5C">
        <w:tblPrEx>
          <w:tblCellMar>
            <w:top w:w="0" w:type="dxa"/>
            <w:left w:w="0" w:type="dxa"/>
            <w:bottom w:w="0" w:type="dxa"/>
            <w:right w:w="0" w:type="dxa"/>
          </w:tblCellMar>
        </w:tblPrEx>
        <w:tc>
          <w:tcPr>
            <w:tcW w:w="2529" w:type="pct"/>
            <w:gridSpan w:val="2"/>
            <w:tcBorders>
              <w:top w:val="single" w:color="000000" w:sz="4" w:space="0"/>
              <w:left w:val="single" w:color="000000" w:sz="4" w:space="0"/>
              <w:bottom w:val="single" w:color="000000" w:sz="4" w:space="0"/>
              <w:right w:val="single" w:color="000000" w:sz="4" w:space="0"/>
            </w:tcBorders>
            <w:noWrap w:val="0"/>
            <w:vAlign w:val="center"/>
          </w:tcPr>
          <w:p w14:paraId="53DA830C">
            <w:pPr>
              <w:pStyle w:val="227"/>
              <w:adjustRightInd/>
              <w:snapToGrid/>
              <w:spacing w:before="41" w:line="240" w:lineRule="auto"/>
              <w:ind w:right="7"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合计</w:t>
            </w:r>
          </w:p>
        </w:tc>
        <w:tc>
          <w:tcPr>
            <w:tcW w:w="546" w:type="pct"/>
            <w:tcBorders>
              <w:top w:val="single" w:color="000000" w:sz="4" w:space="0"/>
              <w:left w:val="single" w:color="000000" w:sz="4" w:space="0"/>
              <w:bottom w:val="single" w:color="000000" w:sz="4" w:space="0"/>
              <w:right w:val="single" w:color="000000" w:sz="4" w:space="0"/>
            </w:tcBorders>
            <w:noWrap w:val="0"/>
            <w:vAlign w:val="center"/>
          </w:tcPr>
          <w:p w14:paraId="3134EB6A">
            <w:pPr>
              <w:pStyle w:val="227"/>
              <w:adjustRightInd/>
              <w:snapToGrid/>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31.732</w:t>
            </w:r>
          </w:p>
        </w:tc>
        <w:tc>
          <w:tcPr>
            <w:tcW w:w="576" w:type="pct"/>
            <w:tcBorders>
              <w:top w:val="single" w:color="000000" w:sz="4" w:space="0"/>
              <w:left w:val="single" w:color="000000" w:sz="4" w:space="0"/>
              <w:bottom w:val="single" w:color="000000" w:sz="4" w:space="0"/>
              <w:right w:val="single" w:color="000000" w:sz="4" w:space="0"/>
            </w:tcBorders>
            <w:noWrap w:val="0"/>
            <w:vAlign w:val="center"/>
          </w:tcPr>
          <w:p w14:paraId="6ED8CB07">
            <w:pPr>
              <w:widowControl/>
              <w:jc w:val="center"/>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kern w:val="0"/>
                <w:szCs w:val="21"/>
                <w:highlight w:val="none"/>
                <w:lang w:val="en-US" w:eastAsia="zh-CN" w:bidi="ar"/>
              </w:rPr>
              <w:t>/</w:t>
            </w:r>
          </w:p>
        </w:tc>
        <w:tc>
          <w:tcPr>
            <w:tcW w:w="600" w:type="pct"/>
            <w:tcBorders>
              <w:top w:val="single" w:color="000000" w:sz="4" w:space="0"/>
              <w:left w:val="single" w:color="000000" w:sz="4" w:space="0"/>
              <w:bottom w:val="single" w:color="000000" w:sz="4" w:space="0"/>
              <w:right w:val="single" w:color="000000" w:sz="4" w:space="0"/>
            </w:tcBorders>
            <w:noWrap w:val="0"/>
            <w:vAlign w:val="center"/>
          </w:tcPr>
          <w:p w14:paraId="1F551042">
            <w:pPr>
              <w:widowControl/>
              <w:jc w:val="center"/>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cs="Times New Roman"/>
                <w:color w:val="auto"/>
                <w:kern w:val="0"/>
                <w:szCs w:val="21"/>
                <w:highlight w:val="none"/>
                <w:lang w:val="en-US" w:eastAsia="zh-CN" w:bidi="ar"/>
              </w:rPr>
              <w:t>11.732</w:t>
            </w:r>
          </w:p>
        </w:tc>
        <w:tc>
          <w:tcPr>
            <w:tcW w:w="748" w:type="pct"/>
            <w:tcBorders>
              <w:top w:val="single" w:color="000000" w:sz="4" w:space="0"/>
              <w:left w:val="single" w:color="000000" w:sz="4" w:space="0"/>
              <w:bottom w:val="single" w:color="000000" w:sz="4" w:space="0"/>
              <w:right w:val="single" w:color="000000" w:sz="4" w:space="0"/>
            </w:tcBorders>
            <w:noWrap w:val="0"/>
            <w:vAlign w:val="center"/>
          </w:tcPr>
          <w:p w14:paraId="2F7909F1">
            <w:pPr>
              <w:widowControl/>
              <w:jc w:val="center"/>
              <w:rPr>
                <w:rFonts w:hint="default" w:ascii="宋体" w:hAnsi="宋体" w:eastAsia="宋体" w:cs="宋体"/>
                <w:i w:val="0"/>
                <w:iCs w:val="0"/>
                <w:color w:val="auto"/>
                <w:kern w:val="2"/>
                <w:sz w:val="18"/>
                <w:szCs w:val="18"/>
                <w:highlight w:val="none"/>
                <w:u w:val="none"/>
                <w:lang w:val="en-US" w:eastAsia="zh-CN" w:bidi="ar-SA"/>
              </w:rPr>
            </w:pPr>
            <w:r>
              <w:rPr>
                <w:rFonts w:hint="eastAsia" w:ascii="Times New Roman" w:hAnsi="Times New Roman" w:eastAsia="宋体" w:cs="Times New Roman"/>
                <w:color w:val="auto"/>
                <w:kern w:val="0"/>
                <w:szCs w:val="21"/>
                <w:highlight w:val="none"/>
                <w:lang w:val="en-US" w:eastAsia="zh-CN" w:bidi="ar"/>
              </w:rPr>
              <w:t>3917.884</w:t>
            </w:r>
          </w:p>
        </w:tc>
      </w:tr>
      <w:tr w14:paraId="5D09039F">
        <w:tblPrEx>
          <w:tblCellMar>
            <w:top w:w="0" w:type="dxa"/>
            <w:left w:w="0" w:type="dxa"/>
            <w:bottom w:w="0" w:type="dxa"/>
            <w:right w:w="0" w:type="dxa"/>
          </w:tblCellMar>
        </w:tblPrEx>
        <w:trPr>
          <w:trHeight w:val="334" w:hRule="atLeast"/>
        </w:trPr>
        <w:tc>
          <w:tcPr>
            <w:tcW w:w="5000" w:type="pct"/>
            <w:gridSpan w:val="6"/>
            <w:tcBorders>
              <w:top w:val="single" w:color="000000" w:sz="4" w:space="0"/>
              <w:left w:val="single" w:color="000000" w:sz="4" w:space="0"/>
              <w:bottom w:val="single" w:color="000000" w:sz="4" w:space="0"/>
              <w:right w:val="single" w:color="000000" w:sz="4" w:space="0"/>
            </w:tcBorders>
            <w:noWrap w:val="0"/>
            <w:vAlign w:val="center"/>
          </w:tcPr>
          <w:p w14:paraId="120BBB7E">
            <w:pPr>
              <w:widowControl/>
              <w:rPr>
                <w:rFonts w:hint="eastAsia" w:ascii="Times New Roman" w:hAnsi="Times New Roman" w:cs="Times New Roman"/>
                <w:color w:val="auto"/>
                <w:kern w:val="0"/>
                <w:szCs w:val="21"/>
                <w:highlight w:val="none"/>
                <w:lang w:val="en-US" w:eastAsia="zh-CN" w:bidi="ar"/>
              </w:rPr>
            </w:pPr>
            <w:r>
              <w:rPr>
                <w:rFonts w:hint="eastAsia" w:ascii="Times New Roman" w:hAnsi="Times New Roman" w:cs="Times New Roman"/>
                <w:color w:val="auto"/>
                <w:kern w:val="0"/>
                <w:szCs w:val="21"/>
                <w:highlight w:val="none"/>
                <w:lang w:val="en-US" w:eastAsia="zh-CN" w:bidi="ar"/>
              </w:rPr>
              <w:t>（1）沼气脱硫过程产生少量水分由于在干燥环节损耗，且产生量较少，因此不计入水平衡核算。</w:t>
            </w:r>
          </w:p>
          <w:p w14:paraId="6DDB43DF">
            <w:pPr>
              <w:widowControl/>
              <w:rPr>
                <w:rFonts w:hint="eastAsia" w:ascii="Times New Roman" w:hAnsi="Times New Roman" w:eastAsia="宋体" w:cs="Times New Roman"/>
                <w:color w:val="auto"/>
                <w:kern w:val="0"/>
                <w:szCs w:val="21"/>
                <w:highlight w:val="none"/>
                <w:lang w:eastAsia="zh-CN" w:bidi="ar"/>
              </w:rPr>
            </w:pPr>
            <w:r>
              <w:rPr>
                <w:rFonts w:hint="eastAsia" w:ascii="Times New Roman" w:hAnsi="Times New Roman" w:cs="Times New Roman"/>
                <w:color w:val="auto"/>
                <w:kern w:val="0"/>
                <w:szCs w:val="21"/>
                <w:highlight w:val="none"/>
                <w:lang w:eastAsia="zh-CN" w:bidi="ar"/>
              </w:rPr>
              <w:t>（</w:t>
            </w:r>
            <w:r>
              <w:rPr>
                <w:rFonts w:hint="eastAsia" w:ascii="Times New Roman" w:hAnsi="Times New Roman" w:cs="Times New Roman"/>
                <w:color w:val="auto"/>
                <w:kern w:val="0"/>
                <w:szCs w:val="21"/>
                <w:highlight w:val="none"/>
                <w:lang w:val="en-US" w:eastAsia="zh-CN" w:bidi="ar"/>
              </w:rPr>
              <w:t>2</w:t>
            </w:r>
            <w:r>
              <w:rPr>
                <w:rFonts w:hint="eastAsia" w:ascii="Times New Roman" w:hAnsi="Times New Roman" w:cs="Times New Roman"/>
                <w:color w:val="auto"/>
                <w:kern w:val="0"/>
                <w:szCs w:val="21"/>
                <w:highlight w:val="none"/>
                <w:lang w:eastAsia="zh-CN" w:bidi="ar"/>
              </w:rPr>
              <w:t>）</w:t>
            </w:r>
            <w:r>
              <w:rPr>
                <w:rFonts w:hint="default" w:ascii="Times New Roman" w:hAnsi="Times New Roman" w:cs="Times New Roman"/>
                <w:color w:val="auto"/>
                <w:kern w:val="0"/>
                <w:szCs w:val="21"/>
                <w:highlight w:val="none"/>
                <w:lang w:bidi="ar"/>
              </w:rPr>
              <w:t>废水总量为</w:t>
            </w:r>
            <w:r>
              <w:rPr>
                <w:rFonts w:hint="eastAsia" w:ascii="Times New Roman" w:hAnsi="Times New Roman" w:cs="Times New Roman"/>
                <w:color w:val="auto"/>
                <w:kern w:val="0"/>
                <w:szCs w:val="21"/>
                <w:highlight w:val="none"/>
                <w:lang w:val="en-US" w:eastAsia="zh-CN" w:bidi="ar"/>
              </w:rPr>
              <w:t>3917.884</w:t>
            </w:r>
            <w:r>
              <w:rPr>
                <w:rFonts w:hint="default" w:ascii="Times New Roman" w:hAnsi="Times New Roman" w:cs="Times New Roman"/>
                <w:bCs/>
                <w:color w:val="auto"/>
                <w:szCs w:val="21"/>
                <w:highlight w:val="none"/>
              </w:rPr>
              <w:t>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bCs/>
                <w:color w:val="auto"/>
                <w:szCs w:val="21"/>
                <w:highlight w:val="none"/>
              </w:rPr>
              <w:t>/</w:t>
            </w:r>
            <w:r>
              <w:rPr>
                <w:rFonts w:hint="eastAsia" w:ascii="Times New Roman" w:hAnsi="Times New Roman" w:cs="Times New Roman"/>
                <w:bCs/>
                <w:color w:val="auto"/>
                <w:szCs w:val="21"/>
                <w:highlight w:val="none"/>
                <w:lang w:val="en-US" w:eastAsia="zh-CN"/>
              </w:rPr>
              <w:t>a</w:t>
            </w:r>
          </w:p>
        </w:tc>
      </w:tr>
    </w:tbl>
    <w:p w14:paraId="7D095492">
      <w:pPr>
        <w:spacing w:line="360" w:lineRule="auto"/>
        <w:ind w:firstLine="480" w:firstLineChars="200"/>
        <w:rPr>
          <w:rFonts w:hint="eastAsia"/>
          <w:bCs/>
          <w:color w:val="auto"/>
          <w:sz w:val="24"/>
          <w:szCs w:val="28"/>
          <w:highlight w:val="none"/>
        </w:rPr>
      </w:pPr>
      <w:r>
        <w:rPr>
          <w:bCs/>
          <w:color w:val="auto"/>
          <w:sz w:val="24"/>
          <w:szCs w:val="28"/>
          <w:highlight w:val="none"/>
        </w:rPr>
        <w:t>由上表可知，本项目全厂废水产生量为</w:t>
      </w:r>
      <w:r>
        <w:rPr>
          <w:rFonts w:hint="eastAsia"/>
          <w:bCs/>
          <w:color w:val="auto"/>
          <w:sz w:val="24"/>
          <w:szCs w:val="28"/>
          <w:highlight w:val="none"/>
          <w:lang w:val="en-US" w:eastAsia="zh-CN"/>
        </w:rPr>
        <w:t>11.732</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/d，</w:t>
      </w:r>
      <w:r>
        <w:rPr>
          <w:rFonts w:hint="eastAsia"/>
          <w:bCs/>
          <w:color w:val="auto"/>
          <w:sz w:val="24"/>
          <w:szCs w:val="28"/>
          <w:highlight w:val="none"/>
          <w:lang w:val="en-US" w:eastAsia="zh-CN"/>
        </w:rPr>
        <w:t>3917.884</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/a，本项目水平衡图见图</w:t>
      </w:r>
      <w:r>
        <w:rPr>
          <w:rFonts w:hint="eastAsia"/>
          <w:bCs/>
          <w:color w:val="auto"/>
          <w:sz w:val="24"/>
          <w:szCs w:val="28"/>
          <w:highlight w:val="none"/>
          <w:lang w:val="en-US" w:eastAsia="zh-CN"/>
        </w:rPr>
        <w:t>3</w:t>
      </w:r>
      <w:r>
        <w:rPr>
          <w:bCs/>
          <w:color w:val="auto"/>
          <w:sz w:val="24"/>
          <w:szCs w:val="28"/>
          <w:highlight w:val="none"/>
        </w:rPr>
        <w:t>.3-</w:t>
      </w:r>
      <w:r>
        <w:rPr>
          <w:rFonts w:hint="eastAsia"/>
          <w:bCs/>
          <w:color w:val="auto"/>
          <w:sz w:val="24"/>
          <w:szCs w:val="28"/>
          <w:highlight w:val="none"/>
          <w:lang w:val="en-US" w:eastAsia="zh-CN"/>
        </w:rPr>
        <w:t>5</w:t>
      </w:r>
      <w:r>
        <w:rPr>
          <w:bCs/>
          <w:color w:val="auto"/>
          <w:sz w:val="24"/>
          <w:szCs w:val="28"/>
          <w:highlight w:val="none"/>
        </w:rPr>
        <w:t>。</w:t>
      </w:r>
    </w:p>
    <w:p w14:paraId="348D091E">
      <w:pPr>
        <w:pStyle w:val="103"/>
        <w:ind w:left="0" w:leftChars="0" w:firstLine="0" w:firstLineChars="0"/>
        <w:jc w:val="center"/>
        <w:rPr>
          <w:rFonts w:hint="eastAsia"/>
          <w:color w:val="auto"/>
          <w:highlight w:val="none"/>
        </w:rPr>
      </w:pPr>
      <w:r>
        <w:rPr>
          <w:color w:val="auto"/>
          <w:sz w:val="24"/>
          <w:highlight w:val="none"/>
        </w:rPr>
        <mc:AlternateContent>
          <mc:Choice Requires="wpg">
            <w:drawing>
              <wp:inline distT="0" distB="0" distL="114300" distR="114300">
                <wp:extent cx="5340350" cy="4630420"/>
                <wp:effectExtent l="0" t="0" r="12065" b="17780"/>
                <wp:docPr id="610" name="组合 892"/>
                <wp:cNvGraphicFramePr/>
                <a:graphic xmlns:a="http://schemas.openxmlformats.org/drawingml/2006/main">
                  <a:graphicData uri="http://schemas.microsoft.com/office/word/2010/wordprocessingGroup">
                    <wpg:wgp>
                      <wpg:cNvGrpSpPr/>
                      <wpg:grpSpPr>
                        <a:xfrm>
                          <a:off x="0" y="0"/>
                          <a:ext cx="5340350" cy="4630420"/>
                          <a:chOff x="5501" y="1607039"/>
                          <a:chExt cx="8410" cy="7292"/>
                        </a:xfrm>
                      </wpg:grpSpPr>
                      <wps:wsp>
                        <wps:cNvPr id="394" name="直线 487"/>
                        <wps:cNvCnPr/>
                        <wps:spPr>
                          <a:xfrm flipH="1">
                            <a:off x="6614" y="1607781"/>
                            <a:ext cx="19" cy="4278"/>
                          </a:xfrm>
                          <a:prstGeom prst="line">
                            <a:avLst/>
                          </a:prstGeom>
                          <a:ln w="9525" cap="flat" cmpd="sng">
                            <a:solidFill>
                              <a:srgbClr val="000000"/>
                            </a:solidFill>
                            <a:prstDash val="solid"/>
                            <a:headEnd type="none" w="med" len="med"/>
                            <a:tailEnd type="none" w="med" len="med"/>
                          </a:ln>
                        </wps:spPr>
                        <wps:bodyPr upright="1"/>
                      </wps:wsp>
                      <wps:wsp>
                        <wps:cNvPr id="395" name="矩形 875"/>
                        <wps:cNvSpPr/>
                        <wps:spPr>
                          <a:xfrm>
                            <a:off x="9103" y="1607039"/>
                            <a:ext cx="643" cy="380"/>
                          </a:xfrm>
                          <a:prstGeom prst="rect">
                            <a:avLst/>
                          </a:prstGeom>
                          <a:noFill/>
                          <a:ln>
                            <a:noFill/>
                          </a:ln>
                        </wps:spPr>
                        <wps:txbx>
                          <w:txbxContent>
                            <w:p w14:paraId="2BAFFED3">
                              <w:pPr>
                                <w:rPr>
                                  <w:rFonts w:hint="default" w:eastAsia="宋体"/>
                                  <w:lang w:val="en-US" w:eastAsia="zh-CN"/>
                                </w:rPr>
                              </w:pPr>
                              <w:r>
                                <w:rPr>
                                  <w:rFonts w:hint="eastAsia"/>
                                  <w:lang w:val="en-US" w:eastAsia="zh-CN"/>
                                </w:rPr>
                                <w:t>0.468</w:t>
                              </w:r>
                            </w:p>
                          </w:txbxContent>
                        </wps:txbx>
                        <wps:bodyPr vert="horz" wrap="square" lIns="0" tIns="0" rIns="0" bIns="0" anchor="t" anchorCtr="0" upright="1"/>
                      </wps:wsp>
                      <wps:wsp>
                        <wps:cNvPr id="396" name="直线 422"/>
                        <wps:cNvCnPr/>
                        <wps:spPr>
                          <a:xfrm>
                            <a:off x="6604" y="1609554"/>
                            <a:ext cx="1386" cy="10"/>
                          </a:xfrm>
                          <a:prstGeom prst="line">
                            <a:avLst/>
                          </a:prstGeom>
                          <a:ln w="9525" cap="flat" cmpd="sng">
                            <a:solidFill>
                              <a:srgbClr val="000000"/>
                            </a:solidFill>
                            <a:prstDash val="solid"/>
                            <a:headEnd type="none" w="med" len="sm"/>
                            <a:tailEnd type="triangle" w="med" len="med"/>
                          </a:ln>
                        </wps:spPr>
                        <wps:bodyPr upright="1"/>
                      </wps:wsp>
                      <wps:wsp>
                        <wps:cNvPr id="397" name="矩形 803"/>
                        <wps:cNvSpPr/>
                        <wps:spPr>
                          <a:xfrm>
                            <a:off x="7984" y="1609399"/>
                            <a:ext cx="1907" cy="346"/>
                          </a:xfrm>
                          <a:prstGeom prst="rect">
                            <a:avLst/>
                          </a:prstGeom>
                          <a:noFill/>
                          <a:ln w="9525" cap="flat" cmpd="sng">
                            <a:solidFill>
                              <a:srgbClr val="000000"/>
                            </a:solidFill>
                            <a:prstDash val="solid"/>
                            <a:miter/>
                            <a:headEnd type="none" w="med" len="med"/>
                            <a:tailEnd type="none" w="med" len="med"/>
                          </a:ln>
                        </wps:spPr>
                        <wps:txbx>
                          <w:txbxContent>
                            <w:p w14:paraId="09C3A54E">
                              <w:pPr>
                                <w:jc w:val="center"/>
                              </w:pPr>
                              <w:r>
                                <w:rPr>
                                  <w:rFonts w:hint="eastAsia"/>
                                  <w:lang w:val="en-US" w:eastAsia="zh-CN"/>
                                </w:rPr>
                                <w:t>蒸汽发生器煮锅洗车用水</w:t>
                              </w:r>
                            </w:p>
                          </w:txbxContent>
                        </wps:txbx>
                        <wps:bodyPr vert="horz" wrap="square" lIns="0" tIns="0" rIns="0" bIns="0" anchor="t" anchorCtr="0" upright="1"/>
                      </wps:wsp>
                      <wps:wsp>
                        <wps:cNvPr id="398" name="矩形 803"/>
                        <wps:cNvSpPr/>
                        <wps:spPr>
                          <a:xfrm>
                            <a:off x="7984" y="1609924"/>
                            <a:ext cx="1907" cy="346"/>
                          </a:xfrm>
                          <a:prstGeom prst="rect">
                            <a:avLst/>
                          </a:prstGeom>
                          <a:noFill/>
                          <a:ln w="9525" cap="flat" cmpd="sng">
                            <a:solidFill>
                              <a:srgbClr val="000000"/>
                            </a:solidFill>
                            <a:prstDash val="solid"/>
                            <a:miter/>
                            <a:headEnd type="none" w="med" len="med"/>
                            <a:tailEnd type="none" w="med" len="med"/>
                          </a:ln>
                        </wps:spPr>
                        <wps:txbx>
                          <w:txbxContent>
                            <w:p w14:paraId="6829C9F2">
                              <w:pPr>
                                <w:jc w:val="center"/>
                              </w:pPr>
                              <w:r>
                                <w:rPr>
                                  <w:rFonts w:hint="eastAsia"/>
                                  <w:lang w:val="en-US" w:eastAsia="zh-CN"/>
                                </w:rPr>
                                <w:t>制氮机排水</w:t>
                              </w:r>
                            </w:p>
                          </w:txbxContent>
                        </wps:txbx>
                        <wps:bodyPr vert="horz" wrap="square" lIns="0" tIns="0" rIns="0" bIns="0" anchor="t" anchorCtr="0" upright="1"/>
                      </wps:wsp>
                      <wps:wsp>
                        <wps:cNvPr id="399" name="矩形 875"/>
                        <wps:cNvSpPr/>
                        <wps:spPr>
                          <a:xfrm>
                            <a:off x="7160" y="1609215"/>
                            <a:ext cx="646" cy="380"/>
                          </a:xfrm>
                          <a:prstGeom prst="rect">
                            <a:avLst/>
                          </a:prstGeom>
                          <a:noFill/>
                          <a:ln>
                            <a:noFill/>
                          </a:ln>
                        </wps:spPr>
                        <wps:txbx>
                          <w:txbxContent>
                            <w:p w14:paraId="54A8521D">
                              <w:pPr>
                                <w:rPr>
                                  <w:rFonts w:hint="default" w:eastAsia="宋体"/>
                                  <w:lang w:val="en-US" w:eastAsia="zh-CN"/>
                                </w:rPr>
                              </w:pPr>
                              <w:r>
                                <w:rPr>
                                  <w:rFonts w:hint="eastAsia" w:eastAsia="宋体"/>
                                  <w:lang w:val="en-US" w:eastAsia="zh-CN"/>
                                </w:rPr>
                                <w:t>0.003</w:t>
                              </w:r>
                            </w:p>
                          </w:txbxContent>
                        </wps:txbx>
                        <wps:bodyPr vert="horz" wrap="square" lIns="0" tIns="0" rIns="0" bIns="0" anchor="t" anchorCtr="0" upright="1"/>
                      </wps:wsp>
                      <wps:wsp>
                        <wps:cNvPr id="400" name="直线 435"/>
                        <wps:cNvCnPr/>
                        <wps:spPr>
                          <a:xfrm flipV="1">
                            <a:off x="9904" y="1610106"/>
                            <a:ext cx="1677" cy="1"/>
                          </a:xfrm>
                          <a:prstGeom prst="line">
                            <a:avLst/>
                          </a:prstGeom>
                          <a:ln w="9525" cap="flat" cmpd="sng">
                            <a:solidFill>
                              <a:srgbClr val="000000"/>
                            </a:solidFill>
                            <a:prstDash val="solid"/>
                            <a:headEnd type="none" w="med" len="sm"/>
                            <a:tailEnd type="triangle" w="med" len="med"/>
                          </a:ln>
                        </wps:spPr>
                        <wps:bodyPr upright="1"/>
                      </wps:wsp>
                      <wps:wsp>
                        <wps:cNvPr id="401" name="矩形 875"/>
                        <wps:cNvSpPr/>
                        <wps:spPr>
                          <a:xfrm>
                            <a:off x="10190" y="1609710"/>
                            <a:ext cx="602" cy="380"/>
                          </a:xfrm>
                          <a:prstGeom prst="rect">
                            <a:avLst/>
                          </a:prstGeom>
                          <a:noFill/>
                          <a:ln>
                            <a:noFill/>
                          </a:ln>
                        </wps:spPr>
                        <wps:txbx>
                          <w:txbxContent>
                            <w:p w14:paraId="18366587">
                              <w:pPr>
                                <w:rPr>
                                  <w:rFonts w:hint="default" w:eastAsia="宋体"/>
                                  <w:lang w:val="en-US" w:eastAsia="zh-CN"/>
                                </w:rPr>
                              </w:pPr>
                              <w:r>
                                <w:rPr>
                                  <w:rFonts w:hint="eastAsia" w:eastAsia="宋体"/>
                                  <w:lang w:val="en-US" w:eastAsia="zh-CN"/>
                                </w:rPr>
                                <w:t>0.012</w:t>
                              </w:r>
                            </w:p>
                          </w:txbxContent>
                        </wps:txbx>
                        <wps:bodyPr vert="horz" wrap="square" lIns="0" tIns="0" rIns="0" bIns="0" anchor="t" anchorCtr="0" upright="1"/>
                      </wps:wsp>
                      <wps:wsp>
                        <wps:cNvPr id="402" name="直线 425"/>
                        <wps:cNvCnPr/>
                        <wps:spPr>
                          <a:xfrm>
                            <a:off x="9904" y="1609582"/>
                            <a:ext cx="1661" cy="3"/>
                          </a:xfrm>
                          <a:prstGeom prst="line">
                            <a:avLst/>
                          </a:prstGeom>
                          <a:ln w="9525" cap="flat" cmpd="sng">
                            <a:solidFill>
                              <a:srgbClr val="000000"/>
                            </a:solidFill>
                            <a:prstDash val="solid"/>
                            <a:headEnd type="none" w="med" len="sm"/>
                            <a:tailEnd type="triangle" w="med" len="med"/>
                          </a:ln>
                        </wps:spPr>
                        <wps:bodyPr upright="1"/>
                      </wps:wsp>
                      <wps:wsp>
                        <wps:cNvPr id="403" name="矩形 879"/>
                        <wps:cNvSpPr/>
                        <wps:spPr>
                          <a:xfrm>
                            <a:off x="5501" y="1610721"/>
                            <a:ext cx="755" cy="653"/>
                          </a:xfrm>
                          <a:prstGeom prst="rect">
                            <a:avLst/>
                          </a:prstGeom>
                          <a:noFill/>
                          <a:ln>
                            <a:noFill/>
                          </a:ln>
                        </wps:spPr>
                        <wps:txbx>
                          <w:txbxContent>
                            <w:p w14:paraId="72DFEF21">
                              <w:pPr>
                                <w:rPr>
                                  <w:rFonts w:hint="eastAsia"/>
                                  <w:lang w:val="en-US" w:eastAsia="zh-CN"/>
                                </w:rPr>
                              </w:pPr>
                              <w:r>
                                <w:rPr>
                                  <w:rFonts w:hint="eastAsia"/>
                                  <w:lang w:val="en-US" w:eastAsia="zh-CN"/>
                                </w:rPr>
                                <w:t>新鲜水</w:t>
                              </w:r>
                            </w:p>
                            <w:p w14:paraId="5A0AEBFE">
                              <w:pPr>
                                <w:rPr>
                                  <w:rFonts w:hint="default" w:eastAsia="宋体"/>
                                  <w:lang w:val="en-US" w:eastAsia="zh-CN"/>
                                </w:rPr>
                              </w:pPr>
                              <w:r>
                                <w:rPr>
                                  <w:rFonts w:hint="eastAsia"/>
                                  <w:lang w:val="en-US" w:eastAsia="zh-CN"/>
                                </w:rPr>
                                <w:t>30.735</w:t>
                              </w:r>
                            </w:p>
                          </w:txbxContent>
                        </wps:txbx>
                        <wps:bodyPr vert="horz" wrap="square" lIns="0" tIns="0" rIns="0" bIns="0" anchor="t" anchorCtr="0" upright="1"/>
                      </wps:wsp>
                      <wps:wsp>
                        <wps:cNvPr id="404" name="矩形 875"/>
                        <wps:cNvSpPr/>
                        <wps:spPr>
                          <a:xfrm>
                            <a:off x="10190" y="1609185"/>
                            <a:ext cx="692" cy="380"/>
                          </a:xfrm>
                          <a:prstGeom prst="rect">
                            <a:avLst/>
                          </a:prstGeom>
                          <a:noFill/>
                          <a:ln>
                            <a:noFill/>
                          </a:ln>
                        </wps:spPr>
                        <wps:txbx>
                          <w:txbxContent>
                            <w:p w14:paraId="0AFDC500">
                              <w:pPr>
                                <w:rPr>
                                  <w:rFonts w:hint="default" w:eastAsia="宋体"/>
                                  <w:lang w:val="en-US" w:eastAsia="zh-CN"/>
                                </w:rPr>
                              </w:pPr>
                              <w:r>
                                <w:rPr>
                                  <w:rFonts w:hint="eastAsia" w:eastAsia="宋体"/>
                                  <w:lang w:val="en-US" w:eastAsia="zh-CN"/>
                                </w:rPr>
                                <w:t>0.003</w:t>
                              </w:r>
                            </w:p>
                          </w:txbxContent>
                        </wps:txbx>
                        <wps:bodyPr vert="horz" wrap="square" lIns="0" tIns="0" rIns="0" bIns="0" anchor="t" anchorCtr="0" upright="1"/>
                      </wps:wsp>
                      <wps:wsp>
                        <wps:cNvPr id="405" name="矩形 809"/>
                        <wps:cNvSpPr/>
                        <wps:spPr>
                          <a:xfrm>
                            <a:off x="7287" y="1611871"/>
                            <a:ext cx="962" cy="308"/>
                          </a:xfrm>
                          <a:prstGeom prst="rect">
                            <a:avLst/>
                          </a:prstGeom>
                          <a:noFill/>
                          <a:ln w="9525" cap="flat" cmpd="sng">
                            <a:solidFill>
                              <a:srgbClr val="000000"/>
                            </a:solidFill>
                            <a:prstDash val="solid"/>
                            <a:miter/>
                            <a:headEnd type="none" w="med" len="med"/>
                            <a:tailEnd type="none" w="med" len="med"/>
                          </a:ln>
                        </wps:spPr>
                        <wps:txbx>
                          <w:txbxContent>
                            <w:p w14:paraId="4157740C">
                              <w:r>
                                <w:rPr>
                                  <w:rFonts w:hint="eastAsia"/>
                                  <w:lang w:val="en-US" w:eastAsia="zh-CN"/>
                                </w:rPr>
                                <w:t>脱盐水撬</w:t>
                              </w:r>
                            </w:p>
                          </w:txbxContent>
                        </wps:txbx>
                        <wps:bodyPr vert="horz" wrap="square" lIns="0" tIns="0" rIns="0" bIns="0" anchor="t" anchorCtr="0" upright="1"/>
                      </wps:wsp>
                      <wps:wsp>
                        <wps:cNvPr id="406" name="直线 489"/>
                        <wps:cNvCnPr/>
                        <wps:spPr>
                          <a:xfrm flipV="1">
                            <a:off x="8060" y="1612798"/>
                            <a:ext cx="704" cy="7"/>
                          </a:xfrm>
                          <a:prstGeom prst="line">
                            <a:avLst/>
                          </a:prstGeom>
                          <a:ln w="9525" cap="flat" cmpd="sng">
                            <a:solidFill>
                              <a:srgbClr val="000000"/>
                            </a:solidFill>
                            <a:prstDash val="solid"/>
                            <a:headEnd type="none" w="med" len="med"/>
                            <a:tailEnd type="triangle" w="med" len="med"/>
                          </a:ln>
                        </wps:spPr>
                        <wps:bodyPr upright="1"/>
                      </wps:wsp>
                      <wps:wsp>
                        <wps:cNvPr id="407" name="矩形 803"/>
                        <wps:cNvSpPr/>
                        <wps:spPr>
                          <a:xfrm>
                            <a:off x="10559" y="1612622"/>
                            <a:ext cx="1153" cy="319"/>
                          </a:xfrm>
                          <a:prstGeom prst="rect">
                            <a:avLst/>
                          </a:prstGeom>
                          <a:noFill/>
                          <a:ln w="9525" cap="flat" cmpd="sng">
                            <a:solidFill>
                              <a:srgbClr val="000000"/>
                            </a:solidFill>
                            <a:prstDash val="solid"/>
                            <a:miter/>
                            <a:headEnd type="none" w="med" len="med"/>
                            <a:tailEnd type="none" w="med" len="med"/>
                          </a:ln>
                        </wps:spPr>
                        <wps:txbx>
                          <w:txbxContent>
                            <w:p w14:paraId="0BF9FB57">
                              <w:pPr>
                                <w:jc w:val="center"/>
                              </w:pPr>
                              <w:r>
                                <w:rPr>
                                  <w:rFonts w:hint="eastAsia"/>
                                  <w:lang w:val="en-US" w:eastAsia="zh-CN"/>
                                </w:rPr>
                                <w:t>工艺用气</w:t>
                              </w:r>
                            </w:p>
                          </w:txbxContent>
                        </wps:txbx>
                        <wps:bodyPr vert="horz" wrap="square" lIns="0" tIns="0" rIns="0" bIns="0" anchor="t" anchorCtr="0" upright="1"/>
                      </wps:wsp>
                      <wps:wsp>
                        <wps:cNvPr id="408" name="矩形 875"/>
                        <wps:cNvSpPr/>
                        <wps:spPr>
                          <a:xfrm>
                            <a:off x="9951" y="1612510"/>
                            <a:ext cx="589" cy="380"/>
                          </a:xfrm>
                          <a:prstGeom prst="rect">
                            <a:avLst/>
                          </a:prstGeom>
                          <a:noFill/>
                          <a:ln>
                            <a:noFill/>
                          </a:ln>
                        </wps:spPr>
                        <wps:txbx>
                          <w:txbxContent>
                            <w:p w14:paraId="037BEA46">
                              <w:pPr>
                                <w:rPr>
                                  <w:rFonts w:hint="default" w:eastAsia="宋体"/>
                                  <w:lang w:val="en-US" w:eastAsia="zh-CN"/>
                                </w:rPr>
                              </w:pPr>
                              <w:r>
                                <w:rPr>
                                  <w:rFonts w:hint="eastAsia" w:eastAsia="宋体"/>
                                  <w:lang w:val="en-US" w:eastAsia="zh-CN"/>
                                </w:rPr>
                                <w:t>30.01876</w:t>
                              </w:r>
                            </w:p>
                          </w:txbxContent>
                        </wps:txbx>
                        <wps:bodyPr vert="horz" wrap="square" lIns="0" tIns="0" rIns="0" bIns="0" anchor="t" anchorCtr="0" upright="1"/>
                      </wps:wsp>
                      <wps:wsp>
                        <wps:cNvPr id="409" name="直线 356"/>
                        <wps:cNvCnPr/>
                        <wps:spPr>
                          <a:xfrm flipH="1">
                            <a:off x="7694" y="1612179"/>
                            <a:ext cx="4" cy="475"/>
                          </a:xfrm>
                          <a:prstGeom prst="line">
                            <a:avLst/>
                          </a:prstGeom>
                          <a:ln w="9525" cap="flat" cmpd="sng">
                            <a:solidFill>
                              <a:srgbClr val="000000"/>
                            </a:solidFill>
                            <a:prstDash val="solid"/>
                            <a:headEnd type="none" w="med" len="med"/>
                            <a:tailEnd type="triangle" w="med" len="med"/>
                          </a:ln>
                        </wps:spPr>
                        <wps:bodyPr upright="1"/>
                      </wps:wsp>
                      <wps:wsp>
                        <wps:cNvPr id="410" name="直线 365"/>
                        <wps:cNvCnPr/>
                        <wps:spPr>
                          <a:xfrm flipV="1">
                            <a:off x="9900" y="1612801"/>
                            <a:ext cx="663" cy="7"/>
                          </a:xfrm>
                          <a:prstGeom prst="line">
                            <a:avLst/>
                          </a:prstGeom>
                          <a:ln w="9525" cap="flat" cmpd="sng">
                            <a:solidFill>
                              <a:srgbClr val="000000"/>
                            </a:solidFill>
                            <a:prstDash val="solid"/>
                            <a:headEnd type="none" w="med" len="med"/>
                            <a:tailEnd type="triangle" w="med" len="med"/>
                          </a:ln>
                        </wps:spPr>
                        <wps:bodyPr upright="1"/>
                      </wps:wsp>
                      <wps:wsp>
                        <wps:cNvPr id="411" name="直线 370"/>
                        <wps:cNvCnPr/>
                        <wps:spPr>
                          <a:xfrm flipV="1">
                            <a:off x="8249" y="1612024"/>
                            <a:ext cx="566" cy="8"/>
                          </a:xfrm>
                          <a:prstGeom prst="line">
                            <a:avLst/>
                          </a:prstGeom>
                          <a:ln w="9525" cap="flat" cmpd="sng">
                            <a:solidFill>
                              <a:srgbClr val="000000"/>
                            </a:solidFill>
                            <a:prstDash val="solid"/>
                            <a:headEnd type="none" w="med" len="med"/>
                            <a:tailEnd type="triangle" w="med" len="med"/>
                          </a:ln>
                        </wps:spPr>
                        <wps:bodyPr upright="1"/>
                      </wps:wsp>
                      <wps:wsp>
                        <wps:cNvPr id="412" name="矩形 809"/>
                        <wps:cNvSpPr/>
                        <wps:spPr>
                          <a:xfrm>
                            <a:off x="8825" y="1611854"/>
                            <a:ext cx="1479" cy="308"/>
                          </a:xfrm>
                          <a:prstGeom prst="rect">
                            <a:avLst/>
                          </a:prstGeom>
                          <a:noFill/>
                          <a:ln w="9525" cap="flat" cmpd="sng">
                            <a:solidFill>
                              <a:srgbClr val="000000"/>
                            </a:solidFill>
                            <a:prstDash val="solid"/>
                            <a:miter/>
                            <a:headEnd type="none" w="med" len="med"/>
                            <a:tailEnd type="none" w="med" len="med"/>
                          </a:ln>
                        </wps:spPr>
                        <wps:txbx>
                          <w:txbxContent>
                            <w:p w14:paraId="0E334CB8">
                              <w:pPr>
                                <w:jc w:val="center"/>
                                <w:rPr>
                                  <w:rFonts w:hint="default"/>
                                  <w:lang w:val="en-US"/>
                                </w:rPr>
                              </w:pPr>
                              <w:r>
                                <w:rPr>
                                  <w:rFonts w:hint="eastAsia"/>
                                  <w:lang w:val="en-US" w:eastAsia="zh-CN"/>
                                </w:rPr>
                                <w:t>浓水、反冲洗水</w:t>
                              </w:r>
                            </w:p>
                          </w:txbxContent>
                        </wps:txbx>
                        <wps:bodyPr vert="horz" wrap="square" lIns="0" tIns="0" rIns="0" bIns="0" anchor="t" anchorCtr="0" upright="1"/>
                      </wps:wsp>
                      <wps:wsp>
                        <wps:cNvPr id="413" name="矩形 809"/>
                        <wps:cNvSpPr/>
                        <wps:spPr>
                          <a:xfrm>
                            <a:off x="7309" y="1612636"/>
                            <a:ext cx="735" cy="308"/>
                          </a:xfrm>
                          <a:prstGeom prst="rect">
                            <a:avLst/>
                          </a:prstGeom>
                          <a:noFill/>
                          <a:ln w="9525" cap="flat" cmpd="sng">
                            <a:solidFill>
                              <a:srgbClr val="000000"/>
                            </a:solidFill>
                            <a:prstDash val="solid"/>
                            <a:miter/>
                            <a:headEnd type="none" w="med" len="med"/>
                            <a:tailEnd type="none" w="med" len="med"/>
                          </a:ln>
                        </wps:spPr>
                        <wps:txbx>
                          <w:txbxContent>
                            <w:p w14:paraId="6793C96C">
                              <w:pPr>
                                <w:rPr>
                                  <w:rFonts w:hint="eastAsia" w:eastAsia="宋体"/>
                                  <w:lang w:val="en-US" w:eastAsia="zh-CN"/>
                                </w:rPr>
                              </w:pPr>
                              <w:r>
                                <w:rPr>
                                  <w:rFonts w:hint="eastAsia"/>
                                  <w:lang w:val="en-US" w:eastAsia="zh-CN"/>
                                </w:rPr>
                                <w:t>除氧器</w:t>
                              </w:r>
                            </w:p>
                          </w:txbxContent>
                        </wps:txbx>
                        <wps:bodyPr vert="horz" wrap="square" lIns="0" tIns="0" rIns="0" bIns="0" anchor="t" anchorCtr="0" upright="1"/>
                      </wps:wsp>
                      <wps:wsp>
                        <wps:cNvPr id="414" name="矩形 939"/>
                        <wps:cNvSpPr/>
                        <wps:spPr>
                          <a:xfrm>
                            <a:off x="10562" y="1607506"/>
                            <a:ext cx="762" cy="380"/>
                          </a:xfrm>
                          <a:prstGeom prst="rect">
                            <a:avLst/>
                          </a:prstGeom>
                          <a:noFill/>
                          <a:ln>
                            <a:noFill/>
                          </a:ln>
                        </wps:spPr>
                        <wps:txbx>
                          <w:txbxContent>
                            <w:p w14:paraId="0334D33D">
                              <w:pPr>
                                <w:rPr>
                                  <w:rFonts w:hint="default" w:eastAsia="宋体"/>
                                  <w:lang w:val="en-US" w:eastAsia="zh-CN"/>
                                </w:rPr>
                              </w:pPr>
                              <w:r>
                                <w:rPr>
                                  <w:rFonts w:hint="eastAsia"/>
                                  <w:lang w:val="en-US" w:eastAsia="zh-CN"/>
                                </w:rPr>
                                <w:t>2.652</w:t>
                              </w:r>
                            </w:p>
                          </w:txbxContent>
                        </wps:txbx>
                        <wps:bodyPr vert="horz" wrap="square" lIns="0" tIns="0" rIns="0" bIns="0" anchor="t" anchorCtr="0" upright="1"/>
                      </wps:wsp>
                      <wps:wsp>
                        <wps:cNvPr id="415" name="矩形 809"/>
                        <wps:cNvSpPr/>
                        <wps:spPr>
                          <a:xfrm>
                            <a:off x="8768" y="1612646"/>
                            <a:ext cx="1128" cy="308"/>
                          </a:xfrm>
                          <a:prstGeom prst="rect">
                            <a:avLst/>
                          </a:prstGeom>
                          <a:noFill/>
                          <a:ln w="9525" cap="flat" cmpd="sng">
                            <a:solidFill>
                              <a:srgbClr val="000000"/>
                            </a:solidFill>
                            <a:prstDash val="solid"/>
                            <a:miter/>
                            <a:headEnd type="none" w="med" len="med"/>
                            <a:tailEnd type="none" w="med" len="med"/>
                          </a:ln>
                        </wps:spPr>
                        <wps:txbx>
                          <w:txbxContent>
                            <w:p w14:paraId="6811FC43">
                              <w:pPr>
                                <w:rPr>
                                  <w:rFonts w:hint="default" w:eastAsia="宋体"/>
                                  <w:lang w:val="en-US" w:eastAsia="zh-CN"/>
                                </w:rPr>
                              </w:pPr>
                              <w:r>
                                <w:rPr>
                                  <w:rFonts w:hint="eastAsia"/>
                                  <w:lang w:val="en-US" w:eastAsia="zh-CN"/>
                                </w:rPr>
                                <w:t>蒸汽发生器</w:t>
                              </w:r>
                            </w:p>
                          </w:txbxContent>
                        </wps:txbx>
                        <wps:bodyPr vert="horz" wrap="square" lIns="0" tIns="0" rIns="0" bIns="0" anchor="t" anchorCtr="0" upright="1"/>
                      </wps:wsp>
                      <wps:wsp>
                        <wps:cNvPr id="416" name="直线 498"/>
                        <wps:cNvCnPr/>
                        <wps:spPr>
                          <a:xfrm flipV="1">
                            <a:off x="10517" y="1607786"/>
                            <a:ext cx="1068" cy="5"/>
                          </a:xfrm>
                          <a:prstGeom prst="line">
                            <a:avLst/>
                          </a:prstGeom>
                          <a:ln w="9525" cap="flat" cmpd="sng">
                            <a:solidFill>
                              <a:srgbClr val="000000"/>
                            </a:solidFill>
                            <a:prstDash val="solid"/>
                            <a:headEnd type="none" w="med" len="med"/>
                            <a:tailEnd type="triangle" w="med" len="med"/>
                          </a:ln>
                        </wps:spPr>
                        <wps:bodyPr upright="1"/>
                      </wps:wsp>
                      <wps:wsp>
                        <wps:cNvPr id="417" name="直线 503"/>
                        <wps:cNvCnPr/>
                        <wps:spPr>
                          <a:xfrm>
                            <a:off x="12155" y="1612454"/>
                            <a:ext cx="10" cy="646"/>
                          </a:xfrm>
                          <a:prstGeom prst="line">
                            <a:avLst/>
                          </a:prstGeom>
                          <a:ln w="9525" cap="flat" cmpd="sng">
                            <a:solidFill>
                              <a:srgbClr val="000000"/>
                            </a:solidFill>
                            <a:prstDash val="solid"/>
                            <a:headEnd type="none" w="med" len="med"/>
                            <a:tailEnd type="none" w="med" len="med"/>
                          </a:ln>
                        </wps:spPr>
                        <wps:bodyPr upright="1"/>
                      </wps:wsp>
                      <wps:wsp>
                        <wps:cNvPr id="418" name="矩形 803"/>
                        <wps:cNvSpPr/>
                        <wps:spPr>
                          <a:xfrm>
                            <a:off x="8035" y="1608324"/>
                            <a:ext cx="1128" cy="302"/>
                          </a:xfrm>
                          <a:prstGeom prst="rect">
                            <a:avLst/>
                          </a:prstGeom>
                          <a:noFill/>
                          <a:ln w="9525" cap="flat" cmpd="sng">
                            <a:solidFill>
                              <a:srgbClr val="000000"/>
                            </a:solidFill>
                            <a:prstDash val="solid"/>
                            <a:miter/>
                            <a:headEnd type="none" w="med" len="med"/>
                            <a:tailEnd type="none" w="med" len="med"/>
                          </a:ln>
                        </wps:spPr>
                        <wps:txbx>
                          <w:txbxContent>
                            <w:p w14:paraId="2D6BD3D9">
                              <w:pPr>
                                <w:jc w:val="center"/>
                              </w:pPr>
                              <w:r>
                                <w:rPr>
                                  <w:rFonts w:hint="eastAsia"/>
                                  <w:lang w:val="en-US" w:eastAsia="zh-CN"/>
                                </w:rPr>
                                <w:t>保洁</w:t>
                              </w:r>
                              <w:r>
                                <w:rPr>
                                  <w:rFonts w:hint="eastAsia"/>
                                </w:rPr>
                                <w:t>用水</w:t>
                              </w:r>
                            </w:p>
                          </w:txbxContent>
                        </wps:txbx>
                        <wps:bodyPr vert="horz" wrap="square" lIns="0" tIns="0" rIns="0" bIns="0" anchor="t" anchorCtr="0" upright="1"/>
                      </wps:wsp>
                      <wps:wsp>
                        <wps:cNvPr id="419" name="矩形 803"/>
                        <wps:cNvSpPr/>
                        <wps:spPr>
                          <a:xfrm>
                            <a:off x="12710" y="1612278"/>
                            <a:ext cx="1022" cy="337"/>
                          </a:xfrm>
                          <a:prstGeom prst="rect">
                            <a:avLst/>
                          </a:prstGeom>
                          <a:noFill/>
                          <a:ln w="9525" cap="flat" cmpd="sng">
                            <a:solidFill>
                              <a:srgbClr val="000000"/>
                            </a:solidFill>
                            <a:prstDash val="solid"/>
                            <a:miter/>
                            <a:headEnd type="none" w="med" len="med"/>
                            <a:tailEnd type="none" w="med" len="med"/>
                          </a:ln>
                        </wps:spPr>
                        <wps:txbx>
                          <w:txbxContent>
                            <w:p w14:paraId="6BEAE72A">
                              <w:pPr>
                                <w:jc w:val="center"/>
                              </w:pPr>
                              <w:r>
                                <w:rPr>
                                  <w:rFonts w:hint="eastAsia"/>
                                  <w:lang w:val="en-US" w:eastAsia="zh-CN"/>
                                </w:rPr>
                                <w:t>参与反应</w:t>
                              </w:r>
                            </w:p>
                          </w:txbxContent>
                        </wps:txbx>
                        <wps:bodyPr vert="horz" wrap="square" lIns="0" tIns="0" rIns="0" bIns="0" anchor="t" anchorCtr="0" upright="1"/>
                      </wps:wsp>
                      <wps:wsp>
                        <wps:cNvPr id="420" name="矩形 803"/>
                        <wps:cNvSpPr/>
                        <wps:spPr>
                          <a:xfrm>
                            <a:off x="8067" y="1607630"/>
                            <a:ext cx="1153" cy="275"/>
                          </a:xfrm>
                          <a:prstGeom prst="rect">
                            <a:avLst/>
                          </a:prstGeom>
                          <a:noFill/>
                          <a:ln w="9525" cap="flat" cmpd="sng">
                            <a:solidFill>
                              <a:srgbClr val="000000"/>
                            </a:solidFill>
                            <a:prstDash val="solid"/>
                            <a:miter/>
                            <a:headEnd type="none" w="med" len="med"/>
                            <a:tailEnd type="none" w="med" len="med"/>
                          </a:ln>
                        </wps:spPr>
                        <wps:txbx>
                          <w:txbxContent>
                            <w:p w14:paraId="0D42F766">
                              <w:pPr>
                                <w:jc w:val="center"/>
                              </w:pPr>
                              <w:r>
                                <w:rPr>
                                  <w:rFonts w:hint="eastAsia"/>
                                </w:rPr>
                                <w:t>生活用水</w:t>
                              </w:r>
                            </w:p>
                          </w:txbxContent>
                        </wps:txbx>
                        <wps:bodyPr vert="horz" wrap="square" lIns="0" tIns="0" rIns="0" bIns="0" anchor="t" anchorCtr="0" upright="1"/>
                      </wps:wsp>
                      <wps:wsp>
                        <wps:cNvPr id="421" name="直线 380"/>
                        <wps:cNvCnPr/>
                        <wps:spPr>
                          <a:xfrm>
                            <a:off x="6199" y="1611105"/>
                            <a:ext cx="407" cy="1"/>
                          </a:xfrm>
                          <a:prstGeom prst="line">
                            <a:avLst/>
                          </a:prstGeom>
                          <a:ln w="9525" cap="flat" cmpd="sng">
                            <a:solidFill>
                              <a:srgbClr val="000000"/>
                            </a:solidFill>
                            <a:prstDash val="solid"/>
                            <a:headEnd type="none" w="med" len="med"/>
                            <a:tailEnd type="triangle" w="med" len="med"/>
                          </a:ln>
                        </wps:spPr>
                        <wps:bodyPr upright="1"/>
                      </wps:wsp>
                      <wps:wsp>
                        <wps:cNvPr id="422" name="矩形 807"/>
                        <wps:cNvSpPr/>
                        <wps:spPr>
                          <a:xfrm>
                            <a:off x="9800" y="1607626"/>
                            <a:ext cx="718" cy="301"/>
                          </a:xfrm>
                          <a:prstGeom prst="rect">
                            <a:avLst/>
                          </a:prstGeom>
                          <a:noFill/>
                          <a:ln w="9525" cap="flat" cmpd="sng">
                            <a:solidFill>
                              <a:srgbClr val="000000"/>
                            </a:solidFill>
                            <a:prstDash val="solid"/>
                            <a:miter/>
                            <a:headEnd type="none" w="med" len="med"/>
                            <a:tailEnd type="none" w="med" len="med"/>
                          </a:ln>
                        </wps:spPr>
                        <wps:txbx>
                          <w:txbxContent>
                            <w:p w14:paraId="78C9E45C">
                              <w:pPr>
                                <w:jc w:val="both"/>
                              </w:pPr>
                              <w:r>
                                <w:t>化粪池</w:t>
                              </w:r>
                            </w:p>
                          </w:txbxContent>
                        </wps:txbx>
                        <wps:bodyPr vert="horz" wrap="square" lIns="0" tIns="0" rIns="0" bIns="0" anchor="t" anchorCtr="0" upright="1"/>
                      </wps:wsp>
                      <wps:wsp>
                        <wps:cNvPr id="423" name="直线 366"/>
                        <wps:cNvCnPr/>
                        <wps:spPr>
                          <a:xfrm flipV="1">
                            <a:off x="11719" y="1612802"/>
                            <a:ext cx="417" cy="7"/>
                          </a:xfrm>
                          <a:prstGeom prst="line">
                            <a:avLst/>
                          </a:prstGeom>
                          <a:ln w="9525" cap="flat" cmpd="sng">
                            <a:solidFill>
                              <a:srgbClr val="000000"/>
                            </a:solidFill>
                            <a:prstDash val="solid"/>
                            <a:headEnd type="none" w="med" len="med"/>
                            <a:tailEnd type="triangle" w="med" len="med"/>
                          </a:ln>
                        </wps:spPr>
                        <wps:bodyPr upright="1"/>
                      </wps:wsp>
                      <wps:wsp>
                        <wps:cNvPr id="424" name="直线 488"/>
                        <wps:cNvCnPr/>
                        <wps:spPr>
                          <a:xfrm>
                            <a:off x="9223" y="1607794"/>
                            <a:ext cx="577" cy="3"/>
                          </a:xfrm>
                          <a:prstGeom prst="line">
                            <a:avLst/>
                          </a:prstGeom>
                          <a:ln w="9525" cap="flat" cmpd="sng">
                            <a:solidFill>
                              <a:srgbClr val="000000"/>
                            </a:solidFill>
                            <a:prstDash val="solid"/>
                            <a:headEnd type="none" w="med" len="med"/>
                            <a:tailEnd type="triangle" w="med" len="med"/>
                          </a:ln>
                        </wps:spPr>
                        <wps:bodyPr upright="1"/>
                      </wps:wsp>
                      <wps:wsp>
                        <wps:cNvPr id="425" name="直线 367"/>
                        <wps:cNvCnPr/>
                        <wps:spPr>
                          <a:xfrm>
                            <a:off x="12160" y="1612453"/>
                            <a:ext cx="575" cy="1"/>
                          </a:xfrm>
                          <a:prstGeom prst="line">
                            <a:avLst/>
                          </a:prstGeom>
                          <a:ln w="9525" cap="flat" cmpd="sng">
                            <a:solidFill>
                              <a:srgbClr val="000000"/>
                            </a:solidFill>
                            <a:prstDash val="solid"/>
                            <a:headEnd type="none" w="med" len="med"/>
                            <a:tailEnd type="triangle" w="med" len="med"/>
                          </a:ln>
                        </wps:spPr>
                        <wps:bodyPr upright="1"/>
                      </wps:wsp>
                      <wps:wsp>
                        <wps:cNvPr id="426" name="直线 750"/>
                        <wps:cNvCnPr/>
                        <wps:spPr>
                          <a:xfrm>
                            <a:off x="6625" y="1607784"/>
                            <a:ext cx="1446" cy="13"/>
                          </a:xfrm>
                          <a:prstGeom prst="line">
                            <a:avLst/>
                          </a:prstGeom>
                          <a:ln w="9525" cap="flat" cmpd="sng">
                            <a:solidFill>
                              <a:srgbClr val="000000"/>
                            </a:solidFill>
                            <a:prstDash val="solid"/>
                            <a:headEnd type="none" w="med" len="med"/>
                            <a:tailEnd type="triangle" w="med" len="med"/>
                          </a:ln>
                        </wps:spPr>
                        <wps:bodyPr upright="1"/>
                      </wps:wsp>
                      <wps:wsp>
                        <wps:cNvPr id="427" name="直线 368"/>
                        <wps:cNvCnPr/>
                        <wps:spPr>
                          <a:xfrm flipV="1">
                            <a:off x="12163" y="1613102"/>
                            <a:ext cx="661" cy="7"/>
                          </a:xfrm>
                          <a:prstGeom prst="line">
                            <a:avLst/>
                          </a:prstGeom>
                          <a:ln w="9525" cap="flat" cmpd="sng">
                            <a:solidFill>
                              <a:srgbClr val="000000"/>
                            </a:solidFill>
                            <a:prstDash val="solid"/>
                            <a:headEnd type="none" w="med" len="med"/>
                            <a:tailEnd type="triangle" w="med" len="med"/>
                          </a:ln>
                        </wps:spPr>
                        <wps:bodyPr upright="1"/>
                      </wps:wsp>
                      <wps:wsp>
                        <wps:cNvPr id="428" name="矩形 875"/>
                        <wps:cNvSpPr/>
                        <wps:spPr>
                          <a:xfrm>
                            <a:off x="7295" y="1608017"/>
                            <a:ext cx="437" cy="380"/>
                          </a:xfrm>
                          <a:prstGeom prst="rect">
                            <a:avLst/>
                          </a:prstGeom>
                          <a:noFill/>
                          <a:ln>
                            <a:noFill/>
                          </a:ln>
                        </wps:spPr>
                        <wps:txbx>
                          <w:txbxContent>
                            <w:p w14:paraId="0F3811B3">
                              <w:pPr>
                                <w:rPr>
                                  <w:rFonts w:hint="default" w:eastAsia="宋体"/>
                                  <w:lang w:val="en-US" w:eastAsia="zh-CN"/>
                                </w:rPr>
                              </w:pPr>
                              <w:r>
                                <w:rPr>
                                  <w:rFonts w:hint="eastAsia" w:eastAsia="宋体"/>
                                  <w:lang w:val="en-US" w:eastAsia="zh-CN"/>
                                </w:rPr>
                                <w:t>0.46</w:t>
                              </w:r>
                            </w:p>
                          </w:txbxContent>
                        </wps:txbx>
                        <wps:bodyPr vert="horz" wrap="square" lIns="0" tIns="0" rIns="0" bIns="0" anchor="t" anchorCtr="0" upright="1"/>
                      </wps:wsp>
                      <wps:wsp>
                        <wps:cNvPr id="429" name="矩形 803"/>
                        <wps:cNvSpPr/>
                        <wps:spPr>
                          <a:xfrm>
                            <a:off x="12822" y="1612934"/>
                            <a:ext cx="917" cy="317"/>
                          </a:xfrm>
                          <a:prstGeom prst="rect">
                            <a:avLst/>
                          </a:prstGeom>
                          <a:noFill/>
                          <a:ln w="9525" cap="flat" cmpd="sng">
                            <a:solidFill>
                              <a:srgbClr val="000000"/>
                            </a:solidFill>
                            <a:prstDash val="solid"/>
                            <a:miter/>
                            <a:headEnd type="none" w="med" len="med"/>
                            <a:tailEnd type="none" w="med" len="med"/>
                          </a:ln>
                        </wps:spPr>
                        <wps:txbx>
                          <w:txbxContent>
                            <w:p w14:paraId="09C84A6F">
                              <w:pPr>
                                <w:jc w:val="center"/>
                              </w:pPr>
                              <w:r>
                                <w:rPr>
                                  <w:rFonts w:hint="eastAsia"/>
                                  <w:lang w:val="en-US" w:eastAsia="zh-CN"/>
                                </w:rPr>
                                <w:t>冷凝水</w:t>
                              </w:r>
                            </w:p>
                          </w:txbxContent>
                        </wps:txbx>
                        <wps:bodyPr vert="horz" wrap="square" lIns="0" tIns="0" rIns="0" bIns="0" anchor="t" anchorCtr="0" upright="1"/>
                      </wps:wsp>
                      <wps:wsp>
                        <wps:cNvPr id="430" name="矩形 875"/>
                        <wps:cNvSpPr/>
                        <wps:spPr>
                          <a:xfrm>
                            <a:off x="9244" y="1607546"/>
                            <a:ext cx="643" cy="380"/>
                          </a:xfrm>
                          <a:prstGeom prst="rect">
                            <a:avLst/>
                          </a:prstGeom>
                          <a:noFill/>
                          <a:ln>
                            <a:noFill/>
                          </a:ln>
                        </wps:spPr>
                        <wps:txbx>
                          <w:txbxContent>
                            <w:p w14:paraId="7586AC6F">
                              <w:pPr>
                                <w:rPr>
                                  <w:rFonts w:hint="default" w:eastAsia="宋体"/>
                                  <w:lang w:val="en-US" w:eastAsia="zh-CN"/>
                                </w:rPr>
                              </w:pPr>
                              <w:r>
                                <w:rPr>
                                  <w:rFonts w:hint="eastAsia" w:eastAsia="宋体"/>
                                  <w:lang w:val="en-US" w:eastAsia="zh-CN"/>
                                </w:rPr>
                                <w:t>2.652</w:t>
                              </w:r>
                            </w:p>
                          </w:txbxContent>
                        </wps:txbx>
                        <wps:bodyPr vert="horz" wrap="square" lIns="0" tIns="0" rIns="0" bIns="0" anchor="t" anchorCtr="0" upright="1"/>
                      </wps:wsp>
                      <wps:wsp>
                        <wps:cNvPr id="431" name="矩形 875"/>
                        <wps:cNvSpPr/>
                        <wps:spPr>
                          <a:xfrm>
                            <a:off x="8070" y="1612513"/>
                            <a:ext cx="762" cy="380"/>
                          </a:xfrm>
                          <a:prstGeom prst="rect">
                            <a:avLst/>
                          </a:prstGeom>
                          <a:noFill/>
                          <a:ln>
                            <a:noFill/>
                          </a:ln>
                        </wps:spPr>
                        <wps:txbx>
                          <w:txbxContent>
                            <w:p w14:paraId="5E5983FA">
                              <w:pPr>
                                <w:rPr>
                                  <w:rFonts w:hint="default" w:eastAsia="宋体"/>
                                  <w:lang w:val="en-US" w:eastAsia="zh-CN"/>
                                </w:rPr>
                              </w:pPr>
                              <w:r>
                                <w:rPr>
                                  <w:rFonts w:hint="eastAsia"/>
                                  <w:lang w:val="en-US" w:eastAsia="zh-CN"/>
                                </w:rPr>
                                <w:t>35.59</w:t>
                              </w:r>
                            </w:p>
                          </w:txbxContent>
                        </wps:txbx>
                        <wps:bodyPr vert="horz" wrap="square" lIns="0" tIns="0" rIns="0" bIns="0" anchor="t" anchorCtr="0" upright="1"/>
                      </wps:wsp>
                      <wps:wsp>
                        <wps:cNvPr id="432" name="矩形 875"/>
                        <wps:cNvSpPr/>
                        <wps:spPr>
                          <a:xfrm>
                            <a:off x="10470" y="1608188"/>
                            <a:ext cx="643" cy="294"/>
                          </a:xfrm>
                          <a:prstGeom prst="rect">
                            <a:avLst/>
                          </a:prstGeom>
                          <a:noFill/>
                          <a:ln>
                            <a:noFill/>
                          </a:ln>
                        </wps:spPr>
                        <wps:txbx>
                          <w:txbxContent>
                            <w:p w14:paraId="1A8C903D">
                              <w:pPr>
                                <w:rPr>
                                  <w:rFonts w:hint="default" w:eastAsia="宋体"/>
                                  <w:lang w:val="en-US" w:eastAsia="zh-CN"/>
                                </w:rPr>
                              </w:pPr>
                              <w:r>
                                <w:rPr>
                                  <w:rFonts w:hint="eastAsia"/>
                                  <w:lang w:val="en-US" w:eastAsia="zh-CN"/>
                                </w:rPr>
                                <w:t>0.368</w:t>
                              </w:r>
                            </w:p>
                          </w:txbxContent>
                        </wps:txbx>
                        <wps:bodyPr vert="horz" wrap="square" lIns="0" tIns="0" rIns="0" bIns="0" anchor="t" anchorCtr="0" upright="1"/>
                      </wps:wsp>
                      <wps:wsp>
                        <wps:cNvPr id="433" name="直线 383"/>
                        <wps:cNvCnPr/>
                        <wps:spPr>
                          <a:xfrm>
                            <a:off x="6627" y="1611997"/>
                            <a:ext cx="663" cy="2"/>
                          </a:xfrm>
                          <a:prstGeom prst="line">
                            <a:avLst/>
                          </a:prstGeom>
                          <a:ln w="9525" cap="flat" cmpd="sng">
                            <a:solidFill>
                              <a:srgbClr val="000000"/>
                            </a:solidFill>
                            <a:prstDash val="solid"/>
                            <a:headEnd type="none" w="med" len="med"/>
                            <a:tailEnd type="triangle" w="med" len="med"/>
                          </a:ln>
                        </wps:spPr>
                        <wps:bodyPr upright="1"/>
                      </wps:wsp>
                      <wps:wsp>
                        <wps:cNvPr id="434" name="矩形 877"/>
                        <wps:cNvSpPr/>
                        <wps:spPr>
                          <a:xfrm>
                            <a:off x="8277" y="1611716"/>
                            <a:ext cx="491" cy="380"/>
                          </a:xfrm>
                          <a:prstGeom prst="rect">
                            <a:avLst/>
                          </a:prstGeom>
                          <a:noFill/>
                          <a:ln>
                            <a:noFill/>
                          </a:ln>
                        </wps:spPr>
                        <wps:txbx>
                          <w:txbxContent>
                            <w:p w14:paraId="67C94BD7">
                              <w:pPr>
                                <w:rPr>
                                  <w:rFonts w:hint="default" w:eastAsia="宋体"/>
                                  <w:lang w:val="en-US" w:eastAsia="zh-CN"/>
                                </w:rPr>
                              </w:pPr>
                              <w:r>
                                <w:rPr>
                                  <w:rFonts w:hint="eastAsia" w:eastAsia="宋体"/>
                                  <w:lang w:val="en-US" w:eastAsia="zh-CN"/>
                                </w:rPr>
                                <w:t>4.837</w:t>
                              </w:r>
                            </w:p>
                          </w:txbxContent>
                        </wps:txbx>
                        <wps:bodyPr vert="horz" wrap="square" lIns="0" tIns="0" rIns="0" bIns="0" anchor="t" anchorCtr="0" upright="1"/>
                      </wps:wsp>
                      <wps:wsp>
                        <wps:cNvPr id="435" name="矩形 875"/>
                        <wps:cNvSpPr/>
                        <wps:spPr>
                          <a:xfrm>
                            <a:off x="12162" y="1612175"/>
                            <a:ext cx="744" cy="380"/>
                          </a:xfrm>
                          <a:prstGeom prst="rect">
                            <a:avLst/>
                          </a:prstGeom>
                          <a:noFill/>
                          <a:ln>
                            <a:noFill/>
                          </a:ln>
                        </wps:spPr>
                        <wps:txbx>
                          <w:txbxContent>
                            <w:p w14:paraId="71FF1B76">
                              <w:pPr>
                                <w:rPr>
                                  <w:rFonts w:hint="default" w:eastAsia="宋体"/>
                                  <w:lang w:val="en-US" w:eastAsia="zh-CN"/>
                                </w:rPr>
                              </w:pPr>
                              <w:r>
                                <w:rPr>
                                  <w:rFonts w:hint="eastAsia" w:eastAsia="宋体"/>
                                  <w:lang w:val="en-US" w:eastAsia="zh-CN"/>
                                </w:rPr>
                                <w:t>14.21</w:t>
                              </w:r>
                            </w:p>
                          </w:txbxContent>
                        </wps:txbx>
                        <wps:bodyPr vert="horz" wrap="square" lIns="0" tIns="0" rIns="0" bIns="0" anchor="t" anchorCtr="0" upright="1"/>
                      </wps:wsp>
                      <wps:wsp>
                        <wps:cNvPr id="436" name="矩形 877"/>
                        <wps:cNvSpPr/>
                        <wps:spPr>
                          <a:xfrm>
                            <a:off x="6651" y="1611709"/>
                            <a:ext cx="762" cy="380"/>
                          </a:xfrm>
                          <a:prstGeom prst="rect">
                            <a:avLst/>
                          </a:prstGeom>
                          <a:noFill/>
                          <a:ln>
                            <a:noFill/>
                          </a:ln>
                        </wps:spPr>
                        <wps:txbx>
                          <w:txbxContent>
                            <w:p w14:paraId="135BED1C">
                              <w:pPr>
                                <w:rPr>
                                  <w:rFonts w:hint="default" w:eastAsia="宋体"/>
                                  <w:lang w:val="en-US" w:eastAsia="zh-CN"/>
                                </w:rPr>
                              </w:pPr>
                              <w:r>
                                <w:rPr>
                                  <w:rFonts w:hint="eastAsia" w:eastAsia="宋体"/>
                                  <w:lang w:val="en-US" w:eastAsia="zh-CN"/>
                                </w:rPr>
                                <w:t>19.13</w:t>
                              </w:r>
                            </w:p>
                          </w:txbxContent>
                        </wps:txbx>
                        <wps:bodyPr vert="horz" wrap="square" lIns="0" tIns="0" rIns="0" bIns="0" anchor="t" anchorCtr="0" upright="1"/>
                      </wps:wsp>
                      <wps:wsp>
                        <wps:cNvPr id="437" name="直线 387"/>
                        <wps:cNvCnPr/>
                        <wps:spPr>
                          <a:xfrm flipH="1">
                            <a:off x="13235" y="1613261"/>
                            <a:ext cx="10" cy="316"/>
                          </a:xfrm>
                          <a:prstGeom prst="line">
                            <a:avLst/>
                          </a:prstGeom>
                          <a:ln w="9525" cap="flat" cmpd="sng">
                            <a:solidFill>
                              <a:srgbClr val="000000"/>
                            </a:solidFill>
                            <a:prstDash val="dash"/>
                            <a:headEnd type="none" w="med" len="med"/>
                            <a:tailEnd type="none" w="med" len="med"/>
                          </a:ln>
                        </wps:spPr>
                        <wps:bodyPr upright="1"/>
                      </wps:wsp>
                      <wps:wsp>
                        <wps:cNvPr id="438" name="矩形 875"/>
                        <wps:cNvSpPr/>
                        <wps:spPr>
                          <a:xfrm>
                            <a:off x="12171" y="1612719"/>
                            <a:ext cx="624" cy="380"/>
                          </a:xfrm>
                          <a:prstGeom prst="rect">
                            <a:avLst/>
                          </a:prstGeom>
                          <a:noFill/>
                          <a:ln>
                            <a:noFill/>
                          </a:ln>
                        </wps:spPr>
                        <wps:txbx>
                          <w:txbxContent>
                            <w:p w14:paraId="51B5995C">
                              <w:pPr>
                                <w:rPr>
                                  <w:rFonts w:hint="default" w:eastAsia="宋体"/>
                                  <w:lang w:val="en-US" w:eastAsia="zh-CN"/>
                                </w:rPr>
                              </w:pPr>
                              <w:r>
                                <w:rPr>
                                  <w:rFonts w:hint="eastAsia" w:eastAsia="宋体"/>
                                  <w:lang w:val="en-US" w:eastAsia="zh-CN"/>
                                </w:rPr>
                                <w:t>15.808</w:t>
                              </w:r>
                            </w:p>
                          </w:txbxContent>
                        </wps:txbx>
                        <wps:bodyPr vert="horz" wrap="square" lIns="0" tIns="0" rIns="0" bIns="0" anchor="t" anchorCtr="0" upright="1"/>
                      </wps:wsp>
                      <wps:wsp>
                        <wps:cNvPr id="439" name="矩形 875"/>
                        <wps:cNvSpPr/>
                        <wps:spPr>
                          <a:xfrm>
                            <a:off x="8970" y="1607888"/>
                            <a:ext cx="643" cy="380"/>
                          </a:xfrm>
                          <a:prstGeom prst="rect">
                            <a:avLst/>
                          </a:prstGeom>
                          <a:noFill/>
                          <a:ln>
                            <a:noFill/>
                          </a:ln>
                        </wps:spPr>
                        <wps:txbx>
                          <w:txbxContent>
                            <w:p w14:paraId="70F29CD8">
                              <w:pPr>
                                <w:rPr>
                                  <w:rFonts w:hint="default" w:eastAsia="宋体"/>
                                  <w:lang w:val="en-US" w:eastAsia="zh-CN"/>
                                </w:rPr>
                              </w:pPr>
                              <w:r>
                                <w:rPr>
                                  <w:rFonts w:hint="eastAsia"/>
                                  <w:lang w:val="en-US" w:eastAsia="zh-CN"/>
                                </w:rPr>
                                <w:t>0.092</w:t>
                              </w:r>
                            </w:p>
                          </w:txbxContent>
                        </wps:txbx>
                        <wps:bodyPr vert="horz" wrap="square" lIns="0" tIns="0" rIns="0" bIns="0" anchor="t" anchorCtr="0" upright="1"/>
                      </wps:wsp>
                      <wps:wsp>
                        <wps:cNvPr id="440" name="直线 399"/>
                        <wps:cNvCnPr/>
                        <wps:spPr>
                          <a:xfrm>
                            <a:off x="7668" y="1613566"/>
                            <a:ext cx="5552" cy="2"/>
                          </a:xfrm>
                          <a:prstGeom prst="line">
                            <a:avLst/>
                          </a:prstGeom>
                          <a:ln w="9525" cap="flat" cmpd="sng">
                            <a:solidFill>
                              <a:srgbClr val="000000"/>
                            </a:solidFill>
                            <a:prstDash val="dash"/>
                            <a:headEnd type="none" w="med" len="med"/>
                            <a:tailEnd type="none" w="med" len="med"/>
                          </a:ln>
                        </wps:spPr>
                        <wps:bodyPr upright="1"/>
                      </wps:wsp>
                      <wps:wsp>
                        <wps:cNvPr id="441" name="直线 118"/>
                        <wps:cNvCnPr/>
                        <wps:spPr>
                          <a:xfrm>
                            <a:off x="6645" y="1608465"/>
                            <a:ext cx="1384" cy="20"/>
                          </a:xfrm>
                          <a:prstGeom prst="line">
                            <a:avLst/>
                          </a:prstGeom>
                          <a:ln w="9525" cap="flat" cmpd="sng">
                            <a:solidFill>
                              <a:srgbClr val="000000"/>
                            </a:solidFill>
                            <a:prstDash val="solid"/>
                            <a:headEnd type="none" w="med" len="med"/>
                            <a:tailEnd type="triangle" w="med" len="med"/>
                          </a:ln>
                        </wps:spPr>
                        <wps:bodyPr upright="1"/>
                      </wps:wsp>
                      <wps:wsp>
                        <wps:cNvPr id="442" name="直线 400"/>
                        <wps:cNvCnPr/>
                        <wps:spPr>
                          <a:xfrm flipH="1" flipV="1">
                            <a:off x="7673" y="1612932"/>
                            <a:ext cx="2" cy="622"/>
                          </a:xfrm>
                          <a:prstGeom prst="line">
                            <a:avLst/>
                          </a:prstGeom>
                          <a:ln w="9525" cap="flat" cmpd="sng">
                            <a:solidFill>
                              <a:srgbClr val="000000"/>
                            </a:solidFill>
                            <a:prstDash val="dash"/>
                            <a:headEnd type="none" w="med" len="med"/>
                            <a:tailEnd type="triangle" w="med" len="med"/>
                          </a:ln>
                        </wps:spPr>
                        <wps:bodyPr upright="1"/>
                      </wps:wsp>
                      <wps:wsp>
                        <wps:cNvPr id="443" name="自选图形 401"/>
                        <wps:cNvCnPr/>
                        <wps:spPr>
                          <a:xfrm flipV="1">
                            <a:off x="7754" y="1612331"/>
                            <a:ext cx="446" cy="294"/>
                          </a:xfrm>
                          <a:prstGeom prst="curvedConnector3">
                            <a:avLst>
                              <a:gd name="adj1" fmla="val 50222"/>
                            </a:avLst>
                          </a:prstGeom>
                          <a:ln w="9525" cap="flat" cmpd="sng">
                            <a:solidFill>
                              <a:srgbClr val="000000"/>
                            </a:solidFill>
                            <a:prstDash val="dash"/>
                            <a:headEnd type="none" w="med" len="med"/>
                            <a:tailEnd type="arrow" w="med" len="med"/>
                          </a:ln>
                        </wps:spPr>
                        <wps:bodyPr/>
                      </wps:wsp>
                      <wps:wsp>
                        <wps:cNvPr id="444" name="自选图形 162"/>
                        <wps:cNvCnPr/>
                        <wps:spPr>
                          <a:xfrm rot="-5400000">
                            <a:off x="8564" y="1607993"/>
                            <a:ext cx="343" cy="296"/>
                          </a:xfrm>
                          <a:prstGeom prst="curvedConnector3">
                            <a:avLst>
                              <a:gd name="adj1" fmla="val 50000"/>
                            </a:avLst>
                          </a:prstGeom>
                          <a:ln w="9525" cap="flat" cmpd="sng">
                            <a:solidFill>
                              <a:srgbClr val="000000"/>
                            </a:solidFill>
                            <a:prstDash val="dash"/>
                            <a:headEnd type="none" w="med" len="med"/>
                            <a:tailEnd type="arrow" w="med" len="med"/>
                          </a:ln>
                        </wps:spPr>
                        <wps:bodyPr/>
                      </wps:wsp>
                      <wps:wsp>
                        <wps:cNvPr id="445" name="矩形 877"/>
                        <wps:cNvSpPr/>
                        <wps:spPr>
                          <a:xfrm>
                            <a:off x="8202" y="1612132"/>
                            <a:ext cx="762" cy="380"/>
                          </a:xfrm>
                          <a:prstGeom prst="rect">
                            <a:avLst/>
                          </a:prstGeom>
                          <a:noFill/>
                          <a:ln>
                            <a:noFill/>
                          </a:ln>
                        </wps:spPr>
                        <wps:txbx>
                          <w:txbxContent>
                            <w:p w14:paraId="2F4460B8">
                              <w:pPr>
                                <w:rPr>
                                  <w:rFonts w:hint="default" w:eastAsia="宋体"/>
                                  <w:lang w:val="en-US" w:eastAsia="zh-CN"/>
                                </w:rPr>
                              </w:pPr>
                              <w:r>
                                <w:rPr>
                                  <w:rFonts w:hint="eastAsia" w:eastAsia="宋体"/>
                                  <w:lang w:val="en-US" w:eastAsia="zh-CN"/>
                                </w:rPr>
                                <w:t>0.083</w:t>
                              </w:r>
                            </w:p>
                          </w:txbxContent>
                        </wps:txbx>
                        <wps:bodyPr vert="horz" wrap="square" lIns="0" tIns="0" rIns="0" bIns="0" anchor="t" anchorCtr="0" upright="1"/>
                      </wps:wsp>
                      <wps:wsp>
                        <wps:cNvPr id="446" name="自选图形 360"/>
                        <wps:cNvCnPr/>
                        <wps:spPr>
                          <a:xfrm flipV="1">
                            <a:off x="8607" y="1607270"/>
                            <a:ext cx="446" cy="294"/>
                          </a:xfrm>
                          <a:prstGeom prst="curvedConnector3">
                            <a:avLst>
                              <a:gd name="adj1" fmla="val 50222"/>
                            </a:avLst>
                          </a:prstGeom>
                          <a:ln w="9525" cap="flat" cmpd="sng">
                            <a:solidFill>
                              <a:srgbClr val="000000"/>
                            </a:solidFill>
                            <a:prstDash val="dash"/>
                            <a:headEnd type="none" w="med" len="med"/>
                            <a:tailEnd type="arrow" w="med" len="med"/>
                          </a:ln>
                        </wps:spPr>
                        <wps:bodyPr/>
                      </wps:wsp>
                      <wps:wsp>
                        <wps:cNvPr id="447" name="直线 403"/>
                        <wps:cNvCnPr/>
                        <wps:spPr>
                          <a:xfrm flipH="1">
                            <a:off x="9375" y="1612972"/>
                            <a:ext cx="10" cy="316"/>
                          </a:xfrm>
                          <a:prstGeom prst="line">
                            <a:avLst/>
                          </a:prstGeom>
                          <a:ln w="9525" cap="flat" cmpd="sng">
                            <a:solidFill>
                              <a:srgbClr val="000000"/>
                            </a:solidFill>
                            <a:prstDash val="dash"/>
                            <a:headEnd type="none" w="med" len="med"/>
                            <a:tailEnd type="none" w="med" len="med"/>
                          </a:ln>
                        </wps:spPr>
                        <wps:bodyPr upright="1"/>
                      </wps:wsp>
                      <wps:wsp>
                        <wps:cNvPr id="448" name="矩形 875"/>
                        <wps:cNvSpPr/>
                        <wps:spPr>
                          <a:xfrm>
                            <a:off x="7276" y="1607505"/>
                            <a:ext cx="482" cy="380"/>
                          </a:xfrm>
                          <a:prstGeom prst="rect">
                            <a:avLst/>
                          </a:prstGeom>
                          <a:noFill/>
                          <a:ln>
                            <a:noFill/>
                          </a:ln>
                        </wps:spPr>
                        <wps:txbx>
                          <w:txbxContent>
                            <w:p w14:paraId="06FB8168">
                              <w:pPr>
                                <w:rPr>
                                  <w:rFonts w:hint="default" w:eastAsia="宋体"/>
                                  <w:lang w:val="en-US" w:eastAsia="zh-CN"/>
                                </w:rPr>
                              </w:pPr>
                              <w:r>
                                <w:rPr>
                                  <w:rFonts w:hint="eastAsia" w:eastAsia="宋体"/>
                                  <w:lang w:val="en-US" w:eastAsia="zh-CN"/>
                                </w:rPr>
                                <w:t>3.12</w:t>
                              </w:r>
                            </w:p>
                          </w:txbxContent>
                        </wps:txbx>
                        <wps:bodyPr vert="horz" wrap="square" lIns="0" tIns="0" rIns="0" bIns="0" anchor="t" anchorCtr="0" upright="1"/>
                      </wps:wsp>
                      <wps:wsp>
                        <wps:cNvPr id="449" name="直线 382"/>
                        <wps:cNvCnPr/>
                        <wps:spPr>
                          <a:xfrm>
                            <a:off x="9166" y="1608499"/>
                            <a:ext cx="2421" cy="16"/>
                          </a:xfrm>
                          <a:prstGeom prst="line">
                            <a:avLst/>
                          </a:prstGeom>
                          <a:ln w="9525" cap="flat" cmpd="sng">
                            <a:solidFill>
                              <a:srgbClr val="000000"/>
                            </a:solidFill>
                            <a:prstDash val="solid"/>
                            <a:headEnd type="none" w="med" len="med"/>
                            <a:tailEnd type="triangle" w="med" len="med"/>
                          </a:ln>
                        </wps:spPr>
                        <wps:bodyPr upright="1"/>
                      </wps:wsp>
                      <wps:wsp>
                        <wps:cNvPr id="450" name="直线 404"/>
                        <wps:cNvCnPr/>
                        <wps:spPr>
                          <a:xfrm>
                            <a:off x="7904" y="1613216"/>
                            <a:ext cx="1501" cy="11"/>
                          </a:xfrm>
                          <a:prstGeom prst="line">
                            <a:avLst/>
                          </a:prstGeom>
                          <a:ln w="9525" cap="flat" cmpd="sng">
                            <a:solidFill>
                              <a:srgbClr val="000000"/>
                            </a:solidFill>
                            <a:prstDash val="dash"/>
                            <a:headEnd type="none" w="med" len="med"/>
                            <a:tailEnd type="none" w="med" len="med"/>
                          </a:ln>
                        </wps:spPr>
                        <wps:bodyPr upright="1"/>
                      </wps:wsp>
                      <wps:wsp>
                        <wps:cNvPr id="451" name="直线 405"/>
                        <wps:cNvCnPr/>
                        <wps:spPr>
                          <a:xfrm flipH="1" flipV="1">
                            <a:off x="7892" y="1612914"/>
                            <a:ext cx="2" cy="290"/>
                          </a:xfrm>
                          <a:prstGeom prst="line">
                            <a:avLst/>
                          </a:prstGeom>
                          <a:ln w="9525" cap="flat" cmpd="sng">
                            <a:solidFill>
                              <a:srgbClr val="000000"/>
                            </a:solidFill>
                            <a:prstDash val="dash"/>
                            <a:headEnd type="none" w="med" len="med"/>
                            <a:tailEnd type="triangle" w="med" len="med"/>
                          </a:ln>
                        </wps:spPr>
                        <wps:bodyPr upright="1"/>
                      </wps:wsp>
                      <wps:wsp>
                        <wps:cNvPr id="452" name="直线 415"/>
                        <wps:cNvCnPr/>
                        <wps:spPr>
                          <a:xfrm>
                            <a:off x="6651" y="1609051"/>
                            <a:ext cx="1384" cy="20"/>
                          </a:xfrm>
                          <a:prstGeom prst="line">
                            <a:avLst/>
                          </a:prstGeom>
                          <a:ln w="9525" cap="flat" cmpd="sng">
                            <a:solidFill>
                              <a:srgbClr val="000000"/>
                            </a:solidFill>
                            <a:prstDash val="solid"/>
                            <a:headEnd type="none" w="med" len="med"/>
                            <a:tailEnd type="triangle" w="med" len="med"/>
                          </a:ln>
                        </wps:spPr>
                        <wps:bodyPr upright="1"/>
                      </wps:wsp>
                      <wps:wsp>
                        <wps:cNvPr id="453" name="矩形 877"/>
                        <wps:cNvSpPr/>
                        <wps:spPr>
                          <a:xfrm>
                            <a:off x="6958" y="1612251"/>
                            <a:ext cx="762" cy="380"/>
                          </a:xfrm>
                          <a:prstGeom prst="rect">
                            <a:avLst/>
                          </a:prstGeom>
                          <a:noFill/>
                          <a:ln>
                            <a:noFill/>
                          </a:ln>
                        </wps:spPr>
                        <wps:txbx>
                          <w:txbxContent>
                            <w:p w14:paraId="297EFE02">
                              <w:pPr>
                                <w:rPr>
                                  <w:rFonts w:hint="default" w:eastAsia="宋体"/>
                                  <w:lang w:val="en-US" w:eastAsia="zh-CN"/>
                                </w:rPr>
                              </w:pPr>
                              <w:r>
                                <w:rPr>
                                  <w:rFonts w:hint="eastAsia" w:eastAsia="宋体"/>
                                  <w:lang w:val="en-US" w:eastAsia="zh-CN"/>
                                </w:rPr>
                                <w:t>14.293</w:t>
                              </w:r>
                            </w:p>
                          </w:txbxContent>
                        </wps:txbx>
                        <wps:bodyPr vert="horz" wrap="square" lIns="0" tIns="0" rIns="0" bIns="0" anchor="t" anchorCtr="0" upright="1"/>
                      </wps:wsp>
                      <wps:wsp>
                        <wps:cNvPr id="454" name="矩形 803"/>
                        <wps:cNvSpPr/>
                        <wps:spPr>
                          <a:xfrm>
                            <a:off x="8029" y="1608934"/>
                            <a:ext cx="1128" cy="302"/>
                          </a:xfrm>
                          <a:prstGeom prst="rect">
                            <a:avLst/>
                          </a:prstGeom>
                          <a:noFill/>
                          <a:ln w="9525" cap="flat" cmpd="sng">
                            <a:solidFill>
                              <a:srgbClr val="000000"/>
                            </a:solidFill>
                            <a:prstDash val="solid"/>
                            <a:miter/>
                            <a:headEnd type="none" w="med" len="med"/>
                            <a:tailEnd type="none" w="med" len="med"/>
                          </a:ln>
                        </wps:spPr>
                        <wps:txbx>
                          <w:txbxContent>
                            <w:p w14:paraId="41F04B0B">
                              <w:pPr>
                                <w:jc w:val="center"/>
                              </w:pPr>
                              <w:r>
                                <w:rPr>
                                  <w:rFonts w:hint="eastAsia"/>
                                  <w:lang w:val="en-US" w:eastAsia="zh-CN"/>
                                </w:rPr>
                                <w:t>洗车用水</w:t>
                              </w:r>
                            </w:p>
                          </w:txbxContent>
                        </wps:txbx>
                        <wps:bodyPr vert="horz" wrap="square" lIns="0" tIns="0" rIns="0" bIns="0" anchor="t" anchorCtr="0" upright="1"/>
                      </wps:wsp>
                      <wps:wsp>
                        <wps:cNvPr id="455" name="直线 417"/>
                        <wps:cNvCnPr/>
                        <wps:spPr>
                          <a:xfrm flipV="1">
                            <a:off x="9160" y="1609062"/>
                            <a:ext cx="2428" cy="16"/>
                          </a:xfrm>
                          <a:prstGeom prst="line">
                            <a:avLst/>
                          </a:prstGeom>
                          <a:ln w="9525" cap="flat" cmpd="sng">
                            <a:solidFill>
                              <a:srgbClr val="000000"/>
                            </a:solidFill>
                            <a:prstDash val="solid"/>
                            <a:headEnd type="none" w="med" len="med"/>
                            <a:tailEnd type="triangle" w="med" len="med"/>
                          </a:ln>
                        </wps:spPr>
                        <wps:bodyPr upright="1"/>
                      </wps:wsp>
                      <wps:wsp>
                        <wps:cNvPr id="456" name="矩形 875"/>
                        <wps:cNvSpPr/>
                        <wps:spPr>
                          <a:xfrm>
                            <a:off x="7295" y="1608735"/>
                            <a:ext cx="437" cy="380"/>
                          </a:xfrm>
                          <a:prstGeom prst="rect">
                            <a:avLst/>
                          </a:prstGeom>
                          <a:noFill/>
                          <a:ln>
                            <a:noFill/>
                          </a:ln>
                        </wps:spPr>
                        <wps:txbx>
                          <w:txbxContent>
                            <w:p w14:paraId="179B50B3">
                              <w:pPr>
                                <w:rPr>
                                  <w:rFonts w:hint="default" w:eastAsia="宋体"/>
                                  <w:lang w:val="en-US" w:eastAsia="zh-CN"/>
                                </w:rPr>
                              </w:pPr>
                              <w:r>
                                <w:rPr>
                                  <w:rFonts w:hint="eastAsia" w:eastAsia="宋体"/>
                                  <w:lang w:val="en-US" w:eastAsia="zh-CN"/>
                                </w:rPr>
                                <w:t>2.4</w:t>
                              </w:r>
                            </w:p>
                          </w:txbxContent>
                        </wps:txbx>
                        <wps:bodyPr vert="horz" wrap="square" lIns="0" tIns="0" rIns="0" bIns="0" anchor="t" anchorCtr="0" upright="1"/>
                      </wps:wsp>
                      <wps:wsp>
                        <wps:cNvPr id="457" name="矩形 875"/>
                        <wps:cNvSpPr/>
                        <wps:spPr>
                          <a:xfrm>
                            <a:off x="10201" y="1613225"/>
                            <a:ext cx="624" cy="380"/>
                          </a:xfrm>
                          <a:prstGeom prst="rect">
                            <a:avLst/>
                          </a:prstGeom>
                          <a:noFill/>
                          <a:ln>
                            <a:noFill/>
                          </a:ln>
                        </wps:spPr>
                        <wps:txbx>
                          <w:txbxContent>
                            <w:p w14:paraId="559D382A">
                              <w:pPr>
                                <w:rPr>
                                  <w:rFonts w:hint="default" w:eastAsia="宋体"/>
                                  <w:lang w:val="en-US" w:eastAsia="zh-CN"/>
                                </w:rPr>
                              </w:pPr>
                              <w:r>
                                <w:rPr>
                                  <w:rFonts w:hint="eastAsia" w:eastAsia="宋体"/>
                                  <w:lang w:val="en-US" w:eastAsia="zh-CN"/>
                                </w:rPr>
                                <w:t>15.808</w:t>
                              </w:r>
                            </w:p>
                          </w:txbxContent>
                        </wps:txbx>
                        <wps:bodyPr vert="horz" wrap="square" lIns="0" tIns="0" rIns="0" bIns="0" anchor="t" anchorCtr="0" upright="1"/>
                      </wps:wsp>
                      <wps:wsp>
                        <wps:cNvPr id="458" name="自选图形 419"/>
                        <wps:cNvCnPr/>
                        <wps:spPr>
                          <a:xfrm flipV="1">
                            <a:off x="8508" y="1608694"/>
                            <a:ext cx="394" cy="252"/>
                          </a:xfrm>
                          <a:prstGeom prst="curvedConnector3">
                            <a:avLst>
                              <a:gd name="adj1" fmla="val 50255"/>
                            </a:avLst>
                          </a:prstGeom>
                          <a:ln w="9525" cap="flat" cmpd="sng">
                            <a:solidFill>
                              <a:srgbClr val="000000"/>
                            </a:solidFill>
                            <a:prstDash val="dash"/>
                            <a:headEnd type="none" w="med" len="med"/>
                            <a:tailEnd type="arrow" w="med" len="med"/>
                          </a:ln>
                        </wps:spPr>
                        <wps:bodyPr/>
                      </wps:wsp>
                      <wps:wsp>
                        <wps:cNvPr id="459" name="矩形 875"/>
                        <wps:cNvSpPr/>
                        <wps:spPr>
                          <a:xfrm>
                            <a:off x="8897" y="1608587"/>
                            <a:ext cx="643" cy="380"/>
                          </a:xfrm>
                          <a:prstGeom prst="rect">
                            <a:avLst/>
                          </a:prstGeom>
                          <a:noFill/>
                          <a:ln>
                            <a:noFill/>
                          </a:ln>
                        </wps:spPr>
                        <wps:txbx>
                          <w:txbxContent>
                            <w:p w14:paraId="6C027FE0">
                              <w:pPr>
                                <w:rPr>
                                  <w:rFonts w:hint="default" w:eastAsia="宋体"/>
                                  <w:lang w:val="en-US" w:eastAsia="zh-CN"/>
                                </w:rPr>
                              </w:pPr>
                              <w:r>
                                <w:rPr>
                                  <w:rFonts w:hint="eastAsia"/>
                                  <w:lang w:val="en-US" w:eastAsia="zh-CN"/>
                                </w:rPr>
                                <w:t>0.36</w:t>
                              </w:r>
                            </w:p>
                          </w:txbxContent>
                        </wps:txbx>
                        <wps:bodyPr vert="horz" wrap="square" lIns="0" tIns="0" rIns="0" bIns="0" anchor="t" anchorCtr="0" upright="1"/>
                      </wps:wsp>
                      <wps:wsp>
                        <wps:cNvPr id="460" name="矩形 875"/>
                        <wps:cNvSpPr/>
                        <wps:spPr>
                          <a:xfrm>
                            <a:off x="10507" y="1608774"/>
                            <a:ext cx="643" cy="294"/>
                          </a:xfrm>
                          <a:prstGeom prst="rect">
                            <a:avLst/>
                          </a:prstGeom>
                          <a:noFill/>
                          <a:ln>
                            <a:noFill/>
                          </a:ln>
                        </wps:spPr>
                        <wps:txbx>
                          <w:txbxContent>
                            <w:p w14:paraId="209C6FDD">
                              <w:pPr>
                                <w:rPr>
                                  <w:rFonts w:hint="default" w:eastAsia="宋体"/>
                                  <w:lang w:val="en-US" w:eastAsia="zh-CN"/>
                                </w:rPr>
                              </w:pPr>
                              <w:r>
                                <w:rPr>
                                  <w:rFonts w:hint="eastAsia"/>
                                  <w:lang w:val="en-US" w:eastAsia="zh-CN"/>
                                </w:rPr>
                                <w:t>2.04</w:t>
                              </w:r>
                            </w:p>
                          </w:txbxContent>
                        </wps:txbx>
                        <wps:bodyPr vert="horz" wrap="square" lIns="0" tIns="0" rIns="0" bIns="0" anchor="t" anchorCtr="0" upright="1"/>
                      </wps:wsp>
                      <wps:wsp>
                        <wps:cNvPr id="461" name="矩形 875"/>
                        <wps:cNvSpPr/>
                        <wps:spPr>
                          <a:xfrm>
                            <a:off x="8249" y="1612954"/>
                            <a:ext cx="624" cy="380"/>
                          </a:xfrm>
                          <a:prstGeom prst="rect">
                            <a:avLst/>
                          </a:prstGeom>
                          <a:noFill/>
                          <a:ln>
                            <a:noFill/>
                          </a:ln>
                        </wps:spPr>
                        <wps:txbx>
                          <w:txbxContent>
                            <w:p w14:paraId="0549D34F">
                              <w:pPr>
                                <w:rPr>
                                  <w:rFonts w:hint="default" w:eastAsia="宋体"/>
                                  <w:lang w:val="en-US" w:eastAsia="zh-CN"/>
                                </w:rPr>
                              </w:pPr>
                              <w:r>
                                <w:rPr>
                                  <w:rFonts w:hint="eastAsia" w:eastAsia="宋体"/>
                                  <w:lang w:val="en-US" w:eastAsia="zh-CN"/>
                                </w:rPr>
                                <w:t>5.572</w:t>
                              </w:r>
                            </w:p>
                          </w:txbxContent>
                        </wps:txbx>
                        <wps:bodyPr vert="horz" wrap="square" lIns="0" tIns="0" rIns="0" bIns="0" anchor="t" anchorCtr="0" upright="1"/>
                      </wps:wsp>
                      <wps:wsp>
                        <wps:cNvPr id="462" name="直线 412"/>
                        <wps:cNvCnPr/>
                        <wps:spPr>
                          <a:xfrm>
                            <a:off x="10296" y="1611992"/>
                            <a:ext cx="1290" cy="18"/>
                          </a:xfrm>
                          <a:prstGeom prst="line">
                            <a:avLst/>
                          </a:prstGeom>
                          <a:ln w="9525" cap="flat" cmpd="sng">
                            <a:solidFill>
                              <a:srgbClr val="000000"/>
                            </a:solidFill>
                            <a:prstDash val="solid"/>
                            <a:headEnd type="none" w="med" len="med"/>
                            <a:tailEnd type="triangle" w="med" len="med"/>
                          </a:ln>
                        </wps:spPr>
                        <wps:bodyPr upright="1"/>
                      </wps:wsp>
                      <wps:wsp>
                        <wps:cNvPr id="463" name="矩形 877"/>
                        <wps:cNvSpPr/>
                        <wps:spPr>
                          <a:xfrm>
                            <a:off x="8377" y="1610397"/>
                            <a:ext cx="762" cy="380"/>
                          </a:xfrm>
                          <a:prstGeom prst="rect">
                            <a:avLst/>
                          </a:prstGeom>
                          <a:noFill/>
                          <a:ln>
                            <a:noFill/>
                          </a:ln>
                        </wps:spPr>
                        <wps:txbx>
                          <w:txbxContent>
                            <w:p w14:paraId="4317EDD8">
                              <w:pPr>
                                <w:rPr>
                                  <w:rFonts w:hint="default" w:eastAsia="宋体"/>
                                  <w:lang w:val="en-US" w:eastAsia="zh-CN"/>
                                </w:rPr>
                              </w:pPr>
                              <w:r>
                                <w:rPr>
                                  <w:rFonts w:hint="eastAsia" w:eastAsia="宋体"/>
                                  <w:lang w:val="en-US" w:eastAsia="zh-CN"/>
                                </w:rPr>
                                <w:t>4.8</w:t>
                              </w:r>
                            </w:p>
                          </w:txbxContent>
                        </wps:txbx>
                        <wps:bodyPr vert="horz" wrap="square" lIns="0" tIns="0" rIns="0" bIns="0" anchor="t" anchorCtr="0" upright="1"/>
                      </wps:wsp>
                      <wps:wsp>
                        <wps:cNvPr id="464" name="矩形 877"/>
                        <wps:cNvSpPr/>
                        <wps:spPr>
                          <a:xfrm>
                            <a:off x="8807" y="1611311"/>
                            <a:ext cx="762" cy="380"/>
                          </a:xfrm>
                          <a:prstGeom prst="rect">
                            <a:avLst/>
                          </a:prstGeom>
                          <a:noFill/>
                          <a:ln>
                            <a:noFill/>
                          </a:ln>
                        </wps:spPr>
                        <wps:txbx>
                          <w:txbxContent>
                            <w:p w14:paraId="2E139511">
                              <w:pPr>
                                <w:rPr>
                                  <w:rFonts w:hint="default" w:eastAsia="宋体"/>
                                  <w:lang w:val="en-US" w:eastAsia="zh-CN"/>
                                </w:rPr>
                              </w:pPr>
                              <w:r>
                                <w:rPr>
                                  <w:rFonts w:hint="eastAsia" w:eastAsia="宋体"/>
                                  <w:lang w:val="en-US" w:eastAsia="zh-CN"/>
                                </w:rPr>
                                <w:t>4800</w:t>
                              </w:r>
                            </w:p>
                          </w:txbxContent>
                        </wps:txbx>
                        <wps:bodyPr vert="horz" wrap="square" lIns="0" tIns="0" rIns="0" bIns="0" anchor="t" anchorCtr="0" upright="1"/>
                      </wps:wsp>
                      <wps:wsp>
                        <wps:cNvPr id="465" name="矩形 803"/>
                        <wps:cNvSpPr/>
                        <wps:spPr>
                          <a:xfrm>
                            <a:off x="6630" y="1613985"/>
                            <a:ext cx="1907" cy="346"/>
                          </a:xfrm>
                          <a:prstGeom prst="rect">
                            <a:avLst/>
                          </a:prstGeom>
                          <a:noFill/>
                          <a:ln w="9525" cap="flat" cmpd="sng">
                            <a:solidFill>
                              <a:srgbClr val="000000"/>
                            </a:solidFill>
                            <a:prstDash val="solid"/>
                            <a:miter/>
                            <a:headEnd type="none" w="med" len="med"/>
                            <a:tailEnd type="none" w="med" len="med"/>
                          </a:ln>
                        </wps:spPr>
                        <wps:txbx>
                          <w:txbxContent>
                            <w:p w14:paraId="4EEF3D4B">
                              <w:pPr>
                                <w:jc w:val="center"/>
                              </w:pPr>
                              <w:r>
                                <w:rPr>
                                  <w:rFonts w:hint="eastAsia"/>
                                  <w:lang w:val="en-US" w:eastAsia="zh-CN"/>
                                </w:rPr>
                                <w:t>初期雨水</w:t>
                              </w:r>
                            </w:p>
                          </w:txbxContent>
                        </wps:txbx>
                        <wps:bodyPr vert="horz" wrap="square" lIns="0" tIns="0" rIns="0" bIns="0" anchor="t" anchorCtr="0" upright="1"/>
                      </wps:wsp>
                      <wps:wsp>
                        <wps:cNvPr id="466" name="直线 496"/>
                        <wps:cNvCnPr/>
                        <wps:spPr>
                          <a:xfrm flipV="1">
                            <a:off x="9175" y="1611089"/>
                            <a:ext cx="2413" cy="1"/>
                          </a:xfrm>
                          <a:prstGeom prst="line">
                            <a:avLst/>
                          </a:prstGeom>
                          <a:ln w="9525" cap="flat" cmpd="sng">
                            <a:solidFill>
                              <a:srgbClr val="000000"/>
                            </a:solidFill>
                            <a:prstDash val="solid"/>
                            <a:headEnd type="none" w="med" len="med"/>
                            <a:tailEnd type="triangle" w="med" len="med"/>
                          </a:ln>
                        </wps:spPr>
                        <wps:bodyPr upright="1"/>
                      </wps:wsp>
                      <wps:wsp>
                        <wps:cNvPr id="467" name="直线 438"/>
                        <wps:cNvCnPr/>
                        <wps:spPr>
                          <a:xfrm flipV="1">
                            <a:off x="8532" y="1614179"/>
                            <a:ext cx="1397" cy="7"/>
                          </a:xfrm>
                          <a:prstGeom prst="line">
                            <a:avLst/>
                          </a:prstGeom>
                          <a:ln w="9525" cap="flat" cmpd="sng">
                            <a:solidFill>
                              <a:srgbClr val="000000"/>
                            </a:solidFill>
                            <a:prstDash val="solid"/>
                            <a:headEnd type="none" w="med" len="sm"/>
                            <a:tailEnd type="triangle" w="med" len="med"/>
                          </a:ln>
                        </wps:spPr>
                        <wps:bodyPr upright="1"/>
                      </wps:wsp>
                      <wps:wsp>
                        <wps:cNvPr id="468" name="直线 381"/>
                        <wps:cNvCnPr/>
                        <wps:spPr>
                          <a:xfrm>
                            <a:off x="6636" y="1611101"/>
                            <a:ext cx="478" cy="1"/>
                          </a:xfrm>
                          <a:prstGeom prst="line">
                            <a:avLst/>
                          </a:prstGeom>
                          <a:ln w="9525" cap="flat" cmpd="sng">
                            <a:solidFill>
                              <a:srgbClr val="000000"/>
                            </a:solidFill>
                            <a:prstDash val="solid"/>
                            <a:headEnd type="none" w="med" len="med"/>
                            <a:tailEnd type="triangle" w="med" len="med"/>
                          </a:ln>
                        </wps:spPr>
                        <wps:bodyPr upright="1"/>
                      </wps:wsp>
                      <wps:wsp>
                        <wps:cNvPr id="469" name="直线 439"/>
                        <wps:cNvCnPr/>
                        <wps:spPr>
                          <a:xfrm flipH="1">
                            <a:off x="11580" y="1607778"/>
                            <a:ext cx="3" cy="4278"/>
                          </a:xfrm>
                          <a:prstGeom prst="line">
                            <a:avLst/>
                          </a:prstGeom>
                          <a:ln w="9525" cap="flat" cmpd="sng">
                            <a:solidFill>
                              <a:srgbClr val="000000"/>
                            </a:solidFill>
                            <a:prstDash val="solid"/>
                            <a:headEnd type="none" w="med" len="med"/>
                            <a:tailEnd type="none" w="med" len="med"/>
                          </a:ln>
                        </wps:spPr>
                        <wps:bodyPr upright="1"/>
                      </wps:wsp>
                      <wps:wsp>
                        <wps:cNvPr id="470" name="矩形 803"/>
                        <wps:cNvSpPr/>
                        <wps:spPr>
                          <a:xfrm>
                            <a:off x="7122" y="1610937"/>
                            <a:ext cx="2072" cy="302"/>
                          </a:xfrm>
                          <a:prstGeom prst="rect">
                            <a:avLst/>
                          </a:prstGeom>
                          <a:noFill/>
                          <a:ln w="9525" cap="flat" cmpd="sng">
                            <a:solidFill>
                              <a:srgbClr val="000000"/>
                            </a:solidFill>
                            <a:prstDash val="solid"/>
                            <a:miter/>
                            <a:headEnd type="none" w="med" len="med"/>
                            <a:tailEnd type="none" w="med" len="med"/>
                          </a:ln>
                        </wps:spPr>
                        <wps:txbx>
                          <w:txbxContent>
                            <w:p w14:paraId="3E251591">
                              <w:pPr>
                                <w:jc w:val="center"/>
                              </w:pPr>
                              <w:r>
                                <w:rPr>
                                  <w:rFonts w:hint="eastAsia"/>
                                  <w:lang w:val="en-US" w:eastAsia="zh-CN"/>
                                </w:rPr>
                                <w:t>间接循环冷却水系统</w:t>
                              </w:r>
                            </w:p>
                          </w:txbxContent>
                        </wps:txbx>
                        <wps:bodyPr vert="horz" wrap="square" lIns="0" tIns="0" rIns="0" bIns="0" anchor="t" anchorCtr="0" upright="1"/>
                      </wps:wsp>
                      <wps:wsp>
                        <wps:cNvPr id="471" name="直线 385"/>
                        <wps:cNvCnPr/>
                        <wps:spPr>
                          <a:xfrm>
                            <a:off x="9201" y="1611194"/>
                            <a:ext cx="1079" cy="19"/>
                          </a:xfrm>
                          <a:prstGeom prst="line">
                            <a:avLst/>
                          </a:prstGeom>
                          <a:ln w="9525" cap="flat" cmpd="sng">
                            <a:solidFill>
                              <a:srgbClr val="000000"/>
                            </a:solidFill>
                            <a:prstDash val="dash"/>
                            <a:headEnd type="none" w="med" len="med"/>
                            <a:tailEnd type="none" w="med" len="med"/>
                          </a:ln>
                        </wps:spPr>
                        <wps:bodyPr upright="1"/>
                      </wps:wsp>
                      <wps:wsp>
                        <wps:cNvPr id="472" name="直线 386"/>
                        <wps:cNvCnPr/>
                        <wps:spPr>
                          <a:xfrm flipV="1">
                            <a:off x="8131" y="1611616"/>
                            <a:ext cx="2150" cy="7"/>
                          </a:xfrm>
                          <a:prstGeom prst="line">
                            <a:avLst/>
                          </a:prstGeom>
                          <a:ln w="9525" cap="flat" cmpd="sng">
                            <a:solidFill>
                              <a:srgbClr val="000000"/>
                            </a:solidFill>
                            <a:prstDash val="dash"/>
                            <a:headEnd type="none" w="med" len="med"/>
                            <a:tailEnd type="none" w="med" len="med"/>
                          </a:ln>
                        </wps:spPr>
                        <wps:bodyPr upright="1"/>
                      </wps:wsp>
                      <wps:wsp>
                        <wps:cNvPr id="473" name="直线 388"/>
                        <wps:cNvCnPr/>
                        <wps:spPr>
                          <a:xfrm flipH="1" flipV="1">
                            <a:off x="8129" y="1611225"/>
                            <a:ext cx="2" cy="421"/>
                          </a:xfrm>
                          <a:prstGeom prst="line">
                            <a:avLst/>
                          </a:prstGeom>
                          <a:ln w="9525" cap="flat" cmpd="sng">
                            <a:solidFill>
                              <a:srgbClr val="000000"/>
                            </a:solidFill>
                            <a:prstDash val="dash"/>
                            <a:headEnd type="none" w="med" len="med"/>
                            <a:tailEnd type="triangle" w="med" len="med"/>
                          </a:ln>
                        </wps:spPr>
                        <wps:bodyPr upright="1"/>
                      </wps:wsp>
                      <wps:wsp>
                        <wps:cNvPr id="474" name="矩形 877"/>
                        <wps:cNvSpPr/>
                        <wps:spPr>
                          <a:xfrm>
                            <a:off x="9421" y="1610741"/>
                            <a:ext cx="762" cy="380"/>
                          </a:xfrm>
                          <a:prstGeom prst="rect">
                            <a:avLst/>
                          </a:prstGeom>
                          <a:noFill/>
                          <a:ln>
                            <a:noFill/>
                          </a:ln>
                        </wps:spPr>
                        <wps:txbx>
                          <w:txbxContent>
                            <w:p w14:paraId="41073DC4">
                              <w:pPr>
                                <w:rPr>
                                  <w:rFonts w:hint="default" w:eastAsia="宋体"/>
                                  <w:lang w:val="en-US" w:eastAsia="zh-CN"/>
                                </w:rPr>
                              </w:pPr>
                              <w:r>
                                <w:rPr>
                                  <w:rFonts w:hint="eastAsia" w:eastAsia="宋体"/>
                                  <w:lang w:val="en-US" w:eastAsia="zh-CN"/>
                                </w:rPr>
                                <w:t>0.82</w:t>
                              </w:r>
                            </w:p>
                          </w:txbxContent>
                        </wps:txbx>
                        <wps:bodyPr vert="horz" wrap="square" lIns="0" tIns="0" rIns="0" bIns="0" anchor="t" anchorCtr="0" upright="1"/>
                      </wps:wsp>
                      <wps:wsp>
                        <wps:cNvPr id="475" name="矩形 877"/>
                        <wps:cNvSpPr/>
                        <wps:spPr>
                          <a:xfrm>
                            <a:off x="6640" y="1610723"/>
                            <a:ext cx="762" cy="380"/>
                          </a:xfrm>
                          <a:prstGeom prst="rect">
                            <a:avLst/>
                          </a:prstGeom>
                          <a:noFill/>
                          <a:ln>
                            <a:noFill/>
                          </a:ln>
                        </wps:spPr>
                        <wps:txbx>
                          <w:txbxContent>
                            <w:p w14:paraId="29DAE17B">
                              <w:pPr>
                                <w:rPr>
                                  <w:rFonts w:hint="default" w:eastAsia="宋体"/>
                                  <w:lang w:val="en-US" w:eastAsia="zh-CN"/>
                                </w:rPr>
                              </w:pPr>
                              <w:r>
                                <w:rPr>
                                  <w:rFonts w:hint="eastAsia" w:eastAsia="宋体"/>
                                  <w:lang w:val="en-US" w:eastAsia="zh-CN"/>
                                </w:rPr>
                                <w:t>5.62</w:t>
                              </w:r>
                            </w:p>
                          </w:txbxContent>
                        </wps:txbx>
                        <wps:bodyPr vert="horz" wrap="square" lIns="0" tIns="0" rIns="0" bIns="0" anchor="t" anchorCtr="0" upright="1"/>
                      </wps:wsp>
                      <wps:wsp>
                        <wps:cNvPr id="476" name="自选图形 391"/>
                        <wps:cNvCnPr/>
                        <wps:spPr>
                          <a:xfrm flipV="1">
                            <a:off x="7964" y="1610642"/>
                            <a:ext cx="446" cy="294"/>
                          </a:xfrm>
                          <a:prstGeom prst="curvedConnector3">
                            <a:avLst>
                              <a:gd name="adj1" fmla="val 50222"/>
                            </a:avLst>
                          </a:prstGeom>
                          <a:ln w="9525" cap="flat" cmpd="sng">
                            <a:solidFill>
                              <a:srgbClr val="000000"/>
                            </a:solidFill>
                            <a:prstDash val="dash"/>
                            <a:headEnd type="none" w="med" len="med"/>
                            <a:tailEnd type="arrow" w="med" len="med"/>
                          </a:ln>
                        </wps:spPr>
                        <wps:bodyPr/>
                      </wps:wsp>
                      <wps:wsp>
                        <wps:cNvPr id="477" name="直线 398"/>
                        <wps:cNvCnPr/>
                        <wps:spPr>
                          <a:xfrm flipH="1">
                            <a:off x="10270" y="1611221"/>
                            <a:ext cx="10" cy="395"/>
                          </a:xfrm>
                          <a:prstGeom prst="line">
                            <a:avLst/>
                          </a:prstGeom>
                          <a:ln w="9525" cap="flat" cmpd="sng">
                            <a:solidFill>
                              <a:srgbClr val="000000"/>
                            </a:solidFill>
                            <a:prstDash val="dash"/>
                            <a:headEnd type="none" w="med" len="med"/>
                            <a:tailEnd type="none" w="med" len="med"/>
                          </a:ln>
                        </wps:spPr>
                        <wps:bodyPr upright="1"/>
                      </wps:wsp>
                      <wps:wsp>
                        <wps:cNvPr id="478" name="矩形 875"/>
                        <wps:cNvSpPr/>
                        <wps:spPr>
                          <a:xfrm>
                            <a:off x="8815" y="1613848"/>
                            <a:ext cx="948" cy="380"/>
                          </a:xfrm>
                          <a:prstGeom prst="rect">
                            <a:avLst/>
                          </a:prstGeom>
                          <a:noFill/>
                          <a:ln>
                            <a:noFill/>
                          </a:ln>
                        </wps:spPr>
                        <wps:txbx>
                          <w:txbxContent>
                            <w:p w14:paraId="5BEF508C">
                              <w:pPr>
                                <w:rPr>
                                  <w:rFonts w:hint="default" w:eastAsia="宋体"/>
                                  <w:lang w:val="en-US" w:eastAsia="zh-CN"/>
                                </w:rPr>
                              </w:pPr>
                              <w:r>
                                <w:rPr>
                                  <w:rFonts w:hint="eastAsia" w:eastAsia="宋体"/>
                                  <w:lang w:val="en-US" w:eastAsia="zh-CN"/>
                                </w:rPr>
                                <w:t>26.4/次</w:t>
                              </w:r>
                            </w:p>
                          </w:txbxContent>
                        </wps:txbx>
                        <wps:bodyPr vert="horz" wrap="square" lIns="0" tIns="0" rIns="0" bIns="0" anchor="t" anchorCtr="0" upright="1"/>
                      </wps:wsp>
                      <wps:wsp>
                        <wps:cNvPr id="479" name="矩形 803"/>
                        <wps:cNvSpPr/>
                        <wps:spPr>
                          <a:xfrm>
                            <a:off x="9913" y="1613976"/>
                            <a:ext cx="1907" cy="346"/>
                          </a:xfrm>
                          <a:prstGeom prst="rect">
                            <a:avLst/>
                          </a:prstGeom>
                          <a:noFill/>
                          <a:ln w="9525" cap="flat" cmpd="sng">
                            <a:solidFill>
                              <a:srgbClr val="000000"/>
                            </a:solidFill>
                            <a:prstDash val="solid"/>
                            <a:miter/>
                            <a:headEnd type="none" w="med" len="med"/>
                            <a:tailEnd type="none" w="med" len="med"/>
                          </a:ln>
                        </wps:spPr>
                        <wps:txbx>
                          <w:txbxContent>
                            <w:p w14:paraId="6FAE3B0B">
                              <w:pPr>
                                <w:jc w:val="center"/>
                              </w:pPr>
                              <w:r>
                                <w:rPr>
                                  <w:rFonts w:hint="eastAsia"/>
                                  <w:lang w:val="en-US" w:eastAsia="zh-CN"/>
                                </w:rPr>
                                <w:t>初期雨水收集池</w:t>
                              </w:r>
                            </w:p>
                          </w:txbxContent>
                        </wps:txbx>
                        <wps:bodyPr vert="horz" wrap="square" lIns="0" tIns="0" rIns="0" bIns="0" anchor="t" anchorCtr="0" upright="1"/>
                      </wps:wsp>
                      <wps:wsp>
                        <wps:cNvPr id="480" name="直线 442"/>
                        <wps:cNvCnPr/>
                        <wps:spPr>
                          <a:xfrm flipV="1">
                            <a:off x="11812" y="1614149"/>
                            <a:ext cx="2093" cy="2"/>
                          </a:xfrm>
                          <a:prstGeom prst="line">
                            <a:avLst/>
                          </a:prstGeom>
                          <a:ln w="9525" cap="flat" cmpd="sng">
                            <a:solidFill>
                              <a:srgbClr val="000000"/>
                            </a:solidFill>
                            <a:prstDash val="solid"/>
                            <a:headEnd type="none" w="med" len="sm"/>
                            <a:tailEnd type="none" w="med" len="med"/>
                          </a:ln>
                        </wps:spPr>
                        <wps:bodyPr upright="1"/>
                      </wps:wsp>
                      <wps:wsp>
                        <wps:cNvPr id="481" name="直线 443"/>
                        <wps:cNvCnPr/>
                        <wps:spPr>
                          <a:xfrm flipH="1" flipV="1">
                            <a:off x="13905" y="1610277"/>
                            <a:ext cx="7" cy="3885"/>
                          </a:xfrm>
                          <a:prstGeom prst="line">
                            <a:avLst/>
                          </a:prstGeom>
                          <a:ln w="9525" cap="flat" cmpd="sng">
                            <a:solidFill>
                              <a:srgbClr val="000000"/>
                            </a:solidFill>
                            <a:prstDash val="solid"/>
                            <a:headEnd type="none" w="med" len="sm"/>
                            <a:tailEnd type="none" w="med" len="med"/>
                          </a:ln>
                        </wps:spPr>
                        <wps:bodyPr upright="1"/>
                      </wps:wsp>
                      <wps:wsp>
                        <wps:cNvPr id="482" name="矩形 803"/>
                        <wps:cNvSpPr/>
                        <wps:spPr>
                          <a:xfrm>
                            <a:off x="12415" y="1609560"/>
                            <a:ext cx="1265" cy="992"/>
                          </a:xfrm>
                          <a:prstGeom prst="rect">
                            <a:avLst/>
                          </a:prstGeom>
                          <a:noFill/>
                          <a:ln w="9525" cap="flat" cmpd="sng">
                            <a:solidFill>
                              <a:srgbClr val="000000"/>
                            </a:solidFill>
                            <a:prstDash val="solid"/>
                            <a:miter/>
                            <a:headEnd type="none" w="med" len="med"/>
                            <a:tailEnd type="none" w="med" len="med"/>
                          </a:ln>
                        </wps:spPr>
                        <wps:txbx>
                          <w:txbxContent>
                            <w:p w14:paraId="4650151D">
                              <w:pPr>
                                <w:jc w:val="center"/>
                              </w:pPr>
                              <w:r>
                                <w:rPr>
                                  <w:rFonts w:hint="eastAsia"/>
                                  <w:lang w:val="en-US" w:eastAsia="zh-CN"/>
                                </w:rPr>
                                <w:t>田家庵经济开发区污水处理站</w:t>
                              </w:r>
                            </w:p>
                          </w:txbxContent>
                        </wps:txbx>
                        <wps:bodyPr vert="horz" wrap="square" lIns="0" tIns="0" rIns="0" bIns="0" anchor="t" anchorCtr="0" upright="1"/>
                      </wps:wsp>
                      <wps:wsp>
                        <wps:cNvPr id="483" name="直线 445"/>
                        <wps:cNvCnPr/>
                        <wps:spPr>
                          <a:xfrm>
                            <a:off x="11605" y="1610120"/>
                            <a:ext cx="804" cy="6"/>
                          </a:xfrm>
                          <a:prstGeom prst="line">
                            <a:avLst/>
                          </a:prstGeom>
                          <a:ln w="9525" cap="flat" cmpd="sng">
                            <a:solidFill>
                              <a:srgbClr val="000000"/>
                            </a:solidFill>
                            <a:prstDash val="solid"/>
                            <a:headEnd type="none" w="med" len="med"/>
                            <a:tailEnd type="triangle" w="med" len="med"/>
                          </a:ln>
                        </wps:spPr>
                        <wps:bodyPr upright="1"/>
                      </wps:wsp>
                      <wps:wsp>
                        <wps:cNvPr id="484" name="直线 446"/>
                        <wps:cNvCnPr/>
                        <wps:spPr>
                          <a:xfrm flipH="1" flipV="1">
                            <a:off x="13686" y="1610273"/>
                            <a:ext cx="225" cy="1"/>
                          </a:xfrm>
                          <a:prstGeom prst="line">
                            <a:avLst/>
                          </a:prstGeom>
                          <a:ln w="9525" cap="flat" cmpd="sng">
                            <a:solidFill>
                              <a:srgbClr val="000000"/>
                            </a:solidFill>
                            <a:prstDash val="solid"/>
                            <a:headEnd type="none" w="med" len="med"/>
                            <a:tailEnd type="triangle" w="med" len="med"/>
                          </a:ln>
                        </wps:spPr>
                        <wps:bodyPr upright="1"/>
                      </wps:wsp>
                      <wps:wsp>
                        <wps:cNvPr id="485" name="直线 447"/>
                        <wps:cNvCnPr/>
                        <wps:spPr>
                          <a:xfrm>
                            <a:off x="12915" y="1610543"/>
                            <a:ext cx="17" cy="451"/>
                          </a:xfrm>
                          <a:prstGeom prst="line">
                            <a:avLst/>
                          </a:prstGeom>
                          <a:ln w="9525" cap="flat" cmpd="sng">
                            <a:solidFill>
                              <a:srgbClr val="000000"/>
                            </a:solidFill>
                            <a:prstDash val="solid"/>
                            <a:headEnd type="none" w="med" len="med"/>
                            <a:tailEnd type="triangle" w="med" len="med"/>
                          </a:ln>
                        </wps:spPr>
                        <wps:bodyPr upright="1"/>
                      </wps:wsp>
                      <wps:wsp>
                        <wps:cNvPr id="486" name="矩形 875"/>
                        <wps:cNvSpPr/>
                        <wps:spPr>
                          <a:xfrm>
                            <a:off x="12567" y="1610980"/>
                            <a:ext cx="769" cy="380"/>
                          </a:xfrm>
                          <a:prstGeom prst="rect">
                            <a:avLst/>
                          </a:prstGeom>
                          <a:noFill/>
                          <a:ln>
                            <a:noFill/>
                          </a:ln>
                        </wps:spPr>
                        <wps:txbx>
                          <w:txbxContent>
                            <w:p w14:paraId="6464997A">
                              <w:pPr>
                                <w:rPr>
                                  <w:rFonts w:hint="default" w:eastAsia="宋体"/>
                                  <w:lang w:val="en-US" w:eastAsia="zh-CN"/>
                                </w:rPr>
                              </w:pPr>
                              <w:r>
                                <w:rPr>
                                  <w:rFonts w:hint="eastAsia" w:eastAsia="宋体"/>
                                  <w:lang w:val="en-US" w:eastAsia="zh-CN"/>
                                </w:rPr>
                                <w:t>瓦埠湖</w:t>
                              </w:r>
                            </w:p>
                          </w:txbxContent>
                        </wps:txbx>
                        <wps:bodyPr vert="horz" wrap="square" lIns="0" tIns="0" rIns="0" bIns="0" anchor="t" anchorCtr="0" upright="1"/>
                      </wps:wsp>
                      <wps:wsp>
                        <wps:cNvPr id="487" name="矩形 875"/>
                        <wps:cNvSpPr/>
                        <wps:spPr>
                          <a:xfrm>
                            <a:off x="11660" y="1609740"/>
                            <a:ext cx="602" cy="380"/>
                          </a:xfrm>
                          <a:prstGeom prst="rect">
                            <a:avLst/>
                          </a:prstGeom>
                          <a:noFill/>
                          <a:ln>
                            <a:noFill/>
                          </a:ln>
                        </wps:spPr>
                        <wps:txbx>
                          <w:txbxContent>
                            <w:p w14:paraId="3D615395">
                              <w:pPr>
                                <w:rPr>
                                  <w:rFonts w:hint="default" w:eastAsia="宋体"/>
                                  <w:lang w:val="en-US" w:eastAsia="zh-CN"/>
                                </w:rPr>
                              </w:pPr>
                              <w:r>
                                <w:rPr>
                                  <w:rFonts w:hint="eastAsia" w:eastAsia="宋体"/>
                                  <w:lang w:val="en-US" w:eastAsia="zh-CN"/>
                                </w:rPr>
                                <w:t>11.732</w:t>
                              </w:r>
                            </w:p>
                          </w:txbxContent>
                        </wps:txbx>
                        <wps:bodyPr vert="horz" wrap="square" lIns="0" tIns="0" rIns="0" bIns="0" anchor="t" anchorCtr="0" upright="1"/>
                      </wps:wsp>
                      <wps:wsp>
                        <wps:cNvPr id="488" name="矩形 875"/>
                        <wps:cNvSpPr/>
                        <wps:spPr>
                          <a:xfrm>
                            <a:off x="10640" y="1611600"/>
                            <a:ext cx="602" cy="380"/>
                          </a:xfrm>
                          <a:prstGeom prst="rect">
                            <a:avLst/>
                          </a:prstGeom>
                          <a:noFill/>
                          <a:ln>
                            <a:noFill/>
                          </a:ln>
                        </wps:spPr>
                        <wps:txbx>
                          <w:txbxContent>
                            <w:p w14:paraId="275833B5">
                              <w:pPr>
                                <w:rPr>
                                  <w:rFonts w:hint="default" w:eastAsia="宋体"/>
                                  <w:lang w:val="en-US" w:eastAsia="zh-CN"/>
                                </w:rPr>
                              </w:pPr>
                              <w:r>
                                <w:rPr>
                                  <w:rFonts w:hint="eastAsia" w:eastAsia="宋体"/>
                                  <w:lang w:val="en-US" w:eastAsia="zh-CN"/>
                                </w:rPr>
                                <w:t>4.837</w:t>
                              </w:r>
                            </w:p>
                          </w:txbxContent>
                        </wps:txbx>
                        <wps:bodyPr vert="horz" wrap="square" lIns="0" tIns="0" rIns="0" bIns="0" anchor="t" anchorCtr="0" upright="1"/>
                      </wps:wsp>
                    </wpg:wgp>
                  </a:graphicData>
                </a:graphic>
              </wp:inline>
            </w:drawing>
          </mc:Choice>
          <mc:Fallback>
            <w:pict>
              <v:group id="组合 892" o:spid="_x0000_s1026" o:spt="203" style="height:364.6pt;width:420.5pt;" coordorigin="5501,1607039" coordsize="8410,7292" o:gfxdata="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">
                <o:lock v:ext="edit" aspectratio="f"/>
                <v:line id="直线 487" o:spid="_x0000_s1026" o:spt="20" style="position:absolute;left:6614;top:1607781;flip:x;height:4278;width:19;" filled="f" stroked="t" coordsize="21600,21600" o:gfxdata="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jaQE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矩形 875" o:spid="_x0000_s1026" o:spt="1" style="position:absolute;left:9103;top:1607039;height:380;width:643;" filled="f" stroked="f" coordsize="21600,21600" o:gfxdata="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NyzO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2BAFFED3">
                        <w:pPr>
                          <w:rPr>
                            <w:rFonts w:hint="default" w:eastAsia="宋体"/>
                            <w:lang w:val="en-US" w:eastAsia="zh-CN"/>
                          </w:rPr>
                        </w:pPr>
                        <w:r>
                          <w:rPr>
                            <w:rFonts w:hint="eastAsia"/>
                            <w:lang w:val="en-US" w:eastAsia="zh-CN"/>
                          </w:rPr>
                          <w:t>0.468</w:t>
                        </w:r>
                      </w:p>
                    </w:txbxContent>
                  </v:textbox>
                </v:rect>
                <v:line id="直线 422" o:spid="_x0000_s1026" o:spt="20" style="position:absolute;left:6604;top:1609554;height:10;width:1386;" filled="f" stroked="t" coordsize="21600,21600" o:gfxdata="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y+LF&#10;wAAAANwAAAAPAAAAAAAAAAEAIAAAACIAAABkcnMvZG93bnJldi54bWxQSwECFAAUAAAACACHTuJA&#10;My8FnjsAAAA5AAAAEAAAAAAAAAABACAAAAAPAQAAZHJzL3NoYXBleG1sLnhtbFBLBQYAAAAABgAG&#10;AFsBAAC5AwAAAAA=&#10;">
                  <v:fill on="f" focussize="0,0"/>
                  <v:stroke color="#000000" joinstyle="round" startarrowlength="short" endarrow="block"/>
                  <v:imagedata o:title=""/>
                  <o:lock v:ext="edit" aspectratio="f"/>
                </v:line>
                <v:rect id="矩形 803" o:spid="_x0000_s1026" o:spt="1" style="position:absolute;left:7984;top:1609399;height:346;width:1907;" filled="f" stroked="t" coordsize="21600,21600" o:gfxdata="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NLDK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inset="0mm,0mm,0mm,0mm">
                    <w:txbxContent>
                      <w:p w14:paraId="09C3A54E">
                        <w:pPr>
                          <w:jc w:val="center"/>
                        </w:pPr>
                        <w:r>
                          <w:rPr>
                            <w:rFonts w:hint="eastAsia"/>
                            <w:lang w:val="en-US" w:eastAsia="zh-CN"/>
                          </w:rPr>
                          <w:t>蒸汽发生器煮锅洗车用水</w:t>
                        </w:r>
                      </w:p>
                    </w:txbxContent>
                  </v:textbox>
                </v:rect>
                <v:rect id="矩形 803" o:spid="_x0000_s1026" o:spt="1" style="position:absolute;left:7984;top:1609924;height:346;width:1907;" filled="f" stroked="t" coordsize="21600,21600" o:gfxdata="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rJLi5AAAA3AAA&#10;AA8AAAAAAAAAAQAgAAAAIgAAAGRycy9kb3ducmV2LnhtbFBLAQIUABQAAAAIAIdO4kAzLwWeOwAA&#10;ADkAAAAQAAAAAAAAAAEAIAAAAAgBAABkcnMvc2hhcGV4bWwueG1sUEsFBgAAAAAGAAYAWwEAALID&#10;AAAAAA==&#10;">
                  <v:fill on="f" focussize="0,0"/>
                  <v:stroke color="#000000" joinstyle="miter"/>
                  <v:imagedata o:title=""/>
                  <o:lock v:ext="edit" aspectratio="f"/>
                  <v:textbox inset="0mm,0mm,0mm,0mm">
                    <w:txbxContent>
                      <w:p w14:paraId="6829C9F2">
                        <w:pPr>
                          <w:jc w:val="center"/>
                        </w:pPr>
                        <w:r>
                          <w:rPr>
                            <w:rFonts w:hint="eastAsia"/>
                            <w:lang w:val="en-US" w:eastAsia="zh-CN"/>
                          </w:rPr>
                          <w:t>制氮机排水</w:t>
                        </w:r>
                      </w:p>
                    </w:txbxContent>
                  </v:textbox>
                </v:rect>
                <v:rect id="矩形 875" o:spid="_x0000_s1026" o:spt="1" style="position:absolute;left:7160;top:1609215;height:380;width:646;" filled="f" stroked="f" coordsize="21600,21600" o:gfxdata="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ZG5P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54A8521D">
                        <w:pPr>
                          <w:rPr>
                            <w:rFonts w:hint="default" w:eastAsia="宋体"/>
                            <w:lang w:val="en-US" w:eastAsia="zh-CN"/>
                          </w:rPr>
                        </w:pPr>
                        <w:r>
                          <w:rPr>
                            <w:rFonts w:hint="eastAsia" w:eastAsia="宋体"/>
                            <w:lang w:val="en-US" w:eastAsia="zh-CN"/>
                          </w:rPr>
                          <w:t>0.003</w:t>
                        </w:r>
                      </w:p>
                    </w:txbxContent>
                  </v:textbox>
                </v:rect>
                <v:line id="直线 435" o:spid="_x0000_s1026" o:spt="20" style="position:absolute;left:9904;top:1610106;flip:y;height:1;width:1677;" filled="f" stroked="t" coordsize="21600,21600" o:gfxdata="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asVXrsAAADc&#10;AAAADwAAAAAAAAABACAAAAAiAAAAZHJzL2Rvd25yZXYueG1sUEsBAhQAFAAAAAgAh07iQDMvBZ47&#10;AAAAOQAAABAAAAAAAAAAAQAgAAAACgEAAGRycy9zaGFwZXhtbC54bWxQSwUGAAAAAAYABgBbAQAA&#10;tAMAAAAA&#10;">
                  <v:fill on="f" focussize="0,0"/>
                  <v:stroke color="#000000" joinstyle="round" startarrowlength="short" endarrow="block"/>
                  <v:imagedata o:title=""/>
                  <o:lock v:ext="edit" aspectratio="f"/>
                </v:line>
                <v:rect id="矩形 875" o:spid="_x0000_s1026" o:spt="1" style="position:absolute;left:10190;top:1609710;height:380;width:602;" filled="f" stroked="f" coordsize="21600,21600" o:gfxdata="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tH7d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18366587">
                        <w:pPr>
                          <w:rPr>
                            <w:rFonts w:hint="default" w:eastAsia="宋体"/>
                            <w:lang w:val="en-US" w:eastAsia="zh-CN"/>
                          </w:rPr>
                        </w:pPr>
                        <w:r>
                          <w:rPr>
                            <w:rFonts w:hint="eastAsia" w:eastAsia="宋体"/>
                            <w:lang w:val="en-US" w:eastAsia="zh-CN"/>
                          </w:rPr>
                          <w:t>0.012</w:t>
                        </w:r>
                      </w:p>
                    </w:txbxContent>
                  </v:textbox>
                </v:rect>
                <v:line id="直线 425" o:spid="_x0000_s1026" o:spt="20" style="position:absolute;left:9904;top:1609582;height:3;width:1661;" filled="f" stroked="t" coordsize="21600,21600" o:gfxdata="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ZQvCS/&#10;AAAA3AAAAA8AAAAAAAAAAQAgAAAAIgAAAGRycy9kb3ducmV2LnhtbFBLAQIUABQAAAAIAIdO4kAz&#10;LwWeOwAAADkAAAAQAAAAAAAAAAEAIAAAAA4BAABkcnMvc2hhcGV4bWwueG1sUEsFBgAAAAAGAAYA&#10;WwEAALgDAAAAAA==&#10;">
                  <v:fill on="f" focussize="0,0"/>
                  <v:stroke color="#000000" joinstyle="round" startarrowlength="short" endarrow="block"/>
                  <v:imagedata o:title=""/>
                  <o:lock v:ext="edit" aspectratio="f"/>
                </v:line>
                <v:rect id="矩形 879" o:spid="_x0000_s1026" o:spt="1" style="position:absolute;left:5501;top:1610721;height:653;width:755;" filled="f" stroked="f" coordsize="21600,21600" o:gfxdata="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TZ1j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72DFEF21">
                        <w:pPr>
                          <w:rPr>
                            <w:rFonts w:hint="eastAsia"/>
                            <w:lang w:val="en-US" w:eastAsia="zh-CN"/>
                          </w:rPr>
                        </w:pPr>
                        <w:r>
                          <w:rPr>
                            <w:rFonts w:hint="eastAsia"/>
                            <w:lang w:val="en-US" w:eastAsia="zh-CN"/>
                          </w:rPr>
                          <w:t>新鲜水</w:t>
                        </w:r>
                      </w:p>
                      <w:p w14:paraId="5A0AEBFE">
                        <w:pPr>
                          <w:rPr>
                            <w:rFonts w:hint="default" w:eastAsia="宋体"/>
                            <w:lang w:val="en-US" w:eastAsia="zh-CN"/>
                          </w:rPr>
                        </w:pPr>
                        <w:r>
                          <w:rPr>
                            <w:rFonts w:hint="eastAsia"/>
                            <w:lang w:val="en-US" w:eastAsia="zh-CN"/>
                          </w:rPr>
                          <w:t>30.735</w:t>
                        </w:r>
                      </w:p>
                    </w:txbxContent>
                  </v:textbox>
                </v:rect>
                <v:rect id="矩形 875" o:spid="_x0000_s1026" o:spt="1" style="position:absolute;left:10190;top:1609185;height:380;width:692;" filled="f" stroked="f" coordsize="21600,21600" o:gfxdata="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swTkC/&#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0AFDC500">
                        <w:pPr>
                          <w:rPr>
                            <w:rFonts w:hint="default" w:eastAsia="宋体"/>
                            <w:lang w:val="en-US" w:eastAsia="zh-CN"/>
                          </w:rPr>
                        </w:pPr>
                        <w:r>
                          <w:rPr>
                            <w:rFonts w:hint="eastAsia" w:eastAsia="宋体"/>
                            <w:lang w:val="en-US" w:eastAsia="zh-CN"/>
                          </w:rPr>
                          <w:t>0.003</w:t>
                        </w:r>
                      </w:p>
                    </w:txbxContent>
                  </v:textbox>
                </v:rect>
                <v:rect id="矩形 809" o:spid="_x0000_s1026" o:spt="1" style="position:absolute;left:7287;top:1611871;height:308;width:962;" filled="f" stroked="t" coordsize="21600,21600" o:gfxdata="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kK08S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inset="0mm,0mm,0mm,0mm">
                    <w:txbxContent>
                      <w:p w14:paraId="4157740C">
                        <w:r>
                          <w:rPr>
                            <w:rFonts w:hint="eastAsia"/>
                            <w:lang w:val="en-US" w:eastAsia="zh-CN"/>
                          </w:rPr>
                          <w:t>脱盐水撬</w:t>
                        </w:r>
                      </w:p>
                    </w:txbxContent>
                  </v:textbox>
                </v:rect>
                <v:line id="直线 489" o:spid="_x0000_s1026" o:spt="20" style="position:absolute;left:8060;top:1612798;flip:y;height:7;width:704;" filled="f" stroked="t" coordsize="21600,21600" o:gfxdata="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IbG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03" o:spid="_x0000_s1026" o:spt="1" style="position:absolute;left:10559;top:1612622;height:319;width:1153;" filled="f" stroked="t" coordsize="21600,21600" o:gfxdata="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U6Ci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inset="0mm,0mm,0mm,0mm">
                    <w:txbxContent>
                      <w:p w14:paraId="0BF9FB57">
                        <w:pPr>
                          <w:jc w:val="center"/>
                        </w:pPr>
                        <w:r>
                          <w:rPr>
                            <w:rFonts w:hint="eastAsia"/>
                            <w:lang w:val="en-US" w:eastAsia="zh-CN"/>
                          </w:rPr>
                          <w:t>工艺用气</w:t>
                        </w:r>
                      </w:p>
                    </w:txbxContent>
                  </v:textbox>
                </v:rect>
                <v:rect id="矩形 875" o:spid="_x0000_s1026" o:spt="1" style="position:absolute;left:9951;top:1612510;height:380;width:589;" filled="f" stroked="f" coordsize="21600,21600" o:gfxdata="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fURFugAAANw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14:paraId="037BEA46">
                        <w:pPr>
                          <w:rPr>
                            <w:rFonts w:hint="default" w:eastAsia="宋体"/>
                            <w:lang w:val="en-US" w:eastAsia="zh-CN"/>
                          </w:rPr>
                        </w:pPr>
                        <w:r>
                          <w:rPr>
                            <w:rFonts w:hint="eastAsia" w:eastAsia="宋体"/>
                            <w:lang w:val="en-US" w:eastAsia="zh-CN"/>
                          </w:rPr>
                          <w:t>30.01876</w:t>
                        </w:r>
                      </w:p>
                    </w:txbxContent>
                  </v:textbox>
                </v:rect>
                <v:line id="直线 356" o:spid="_x0000_s1026" o:spt="20" style="position:absolute;left:7694;top:1612179;flip:x;height:475;width:4;" filled="f" stroked="t" coordsize="21600,21600" o:gfxdata="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NX+B+/&#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365" o:spid="_x0000_s1026" o:spt="20" style="position:absolute;left:9900;top:1612801;flip:y;height:7;width:663;" filled="f" stroked="t" coordsize="21600,21600" o:gfxdata="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0x1+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线 370" o:spid="_x0000_s1026" o:spt="20" style="position:absolute;left:8249;top:1612024;flip:y;height:8;width:566;" filled="f" stroked="t" coordsize="21600,21600" o:gfxdata="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4Ys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09" o:spid="_x0000_s1026" o:spt="1" style="position:absolute;left:8825;top:1611854;height:308;width:1479;" filled="f" stroked="t" coordsize="21600,21600" o:gfxdata="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M63W2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inset="0mm,0mm,0mm,0mm">
                    <w:txbxContent>
                      <w:p w14:paraId="0E334CB8">
                        <w:pPr>
                          <w:jc w:val="center"/>
                          <w:rPr>
                            <w:rFonts w:hint="default"/>
                            <w:lang w:val="en-US"/>
                          </w:rPr>
                        </w:pPr>
                        <w:r>
                          <w:rPr>
                            <w:rFonts w:hint="eastAsia"/>
                            <w:lang w:val="en-US" w:eastAsia="zh-CN"/>
                          </w:rPr>
                          <w:t>浓水、反冲洗水</w:t>
                        </w:r>
                      </w:p>
                    </w:txbxContent>
                  </v:textbox>
                </v:rect>
                <v:rect id="矩形 809" o:spid="_x0000_s1026" o:spt="1" style="position:absolute;left:7309;top:1612636;height:308;width:735;" filled="f" stroked="t" coordsize="21600,21600" o:gfxdata="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x2ePa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inset="0mm,0mm,0mm,0mm">
                    <w:txbxContent>
                      <w:p w14:paraId="6793C96C">
                        <w:pPr>
                          <w:rPr>
                            <w:rFonts w:hint="eastAsia" w:eastAsia="宋体"/>
                            <w:lang w:val="en-US" w:eastAsia="zh-CN"/>
                          </w:rPr>
                        </w:pPr>
                        <w:r>
                          <w:rPr>
                            <w:rFonts w:hint="eastAsia"/>
                            <w:lang w:val="en-US" w:eastAsia="zh-CN"/>
                          </w:rPr>
                          <w:t>除氧器</w:t>
                        </w:r>
                      </w:p>
                    </w:txbxContent>
                  </v:textbox>
                </v:rect>
                <v:rect id="矩形 939" o:spid="_x0000_s1026" o:spt="1" style="position:absolute;left:10562;top:1607506;height:380;width:762;" filled="f" stroked="f" coordsize="21600,21600" o:gfxdata="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unYn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0334D33D">
                        <w:pPr>
                          <w:rPr>
                            <w:rFonts w:hint="default" w:eastAsia="宋体"/>
                            <w:lang w:val="en-US" w:eastAsia="zh-CN"/>
                          </w:rPr>
                        </w:pPr>
                        <w:r>
                          <w:rPr>
                            <w:rFonts w:hint="eastAsia"/>
                            <w:lang w:val="en-US" w:eastAsia="zh-CN"/>
                          </w:rPr>
                          <w:t>2.652</w:t>
                        </w:r>
                      </w:p>
                    </w:txbxContent>
                  </v:textbox>
                </v:rect>
                <v:rect id="矩形 809" o:spid="_x0000_s1026" o:spt="1" style="position:absolute;left:8768;top:1612646;height:308;width:1128;" filled="f" stroked="t" coordsize="21600,21600" o:gfxdata="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TRRm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inset="0mm,0mm,0mm,0mm">
                    <w:txbxContent>
                      <w:p w14:paraId="6811FC43">
                        <w:pPr>
                          <w:rPr>
                            <w:rFonts w:hint="default" w:eastAsia="宋体"/>
                            <w:lang w:val="en-US" w:eastAsia="zh-CN"/>
                          </w:rPr>
                        </w:pPr>
                        <w:r>
                          <w:rPr>
                            <w:rFonts w:hint="eastAsia"/>
                            <w:lang w:val="en-US" w:eastAsia="zh-CN"/>
                          </w:rPr>
                          <w:t>蒸汽发生器</w:t>
                        </w:r>
                      </w:p>
                    </w:txbxContent>
                  </v:textbox>
                </v:rect>
                <v:line id="直线 498" o:spid="_x0000_s1026" o:spt="20" style="position:absolute;left:10517;top:1607786;flip:y;height:5;width:1068;" filled="f" stroked="t" coordsize="21600,21600" o:gfxdata="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R+r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503" o:spid="_x0000_s1026" o:spt="20" style="position:absolute;left:12155;top:1612454;height:646;width:10;" filled="f" stroked="t" coordsize="21600,21600" o:gfxdata="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OjNAq/&#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rect id="矩形 803" o:spid="_x0000_s1026" o:spt="1" style="position:absolute;left:8035;top:1608324;height:302;width:1128;" filled="f" stroked="t" coordsize="21600,21600" o:gfxdata="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LS6oe5AAAA3AAA&#10;AA8AAAAAAAAAAQAgAAAAIgAAAGRycy9kb3ducmV2LnhtbFBLAQIUABQAAAAIAIdO4kAzLwWeOwAA&#10;ADkAAAAQAAAAAAAAAAEAIAAAAAgBAABkcnMvc2hhcGV4bWwueG1sUEsFBgAAAAAGAAYAWwEAALID&#10;AAAAAA==&#10;">
                  <v:fill on="f" focussize="0,0"/>
                  <v:stroke color="#000000" joinstyle="miter"/>
                  <v:imagedata o:title=""/>
                  <o:lock v:ext="edit" aspectratio="f"/>
                  <v:textbox inset="0mm,0mm,0mm,0mm">
                    <w:txbxContent>
                      <w:p w14:paraId="2D6BD3D9">
                        <w:pPr>
                          <w:jc w:val="center"/>
                        </w:pPr>
                        <w:r>
                          <w:rPr>
                            <w:rFonts w:hint="eastAsia"/>
                            <w:lang w:val="en-US" w:eastAsia="zh-CN"/>
                          </w:rPr>
                          <w:t>保洁</w:t>
                        </w:r>
                        <w:r>
                          <w:rPr>
                            <w:rFonts w:hint="eastAsia"/>
                          </w:rPr>
                          <w:t>用水</w:t>
                        </w:r>
                      </w:p>
                    </w:txbxContent>
                  </v:textbox>
                </v:rect>
                <v:rect id="矩形 803" o:spid="_x0000_s1026" o:spt="1" style="position:absolute;left:12710;top:1612278;height:337;width:1022;" filled="f" stroked="t" coordsize="21600,21600" o:gfxdata="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2eTxy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inset="0mm,0mm,0mm,0mm">
                    <w:txbxContent>
                      <w:p w14:paraId="6BEAE72A">
                        <w:pPr>
                          <w:jc w:val="center"/>
                        </w:pPr>
                        <w:r>
                          <w:rPr>
                            <w:rFonts w:hint="eastAsia"/>
                            <w:lang w:val="en-US" w:eastAsia="zh-CN"/>
                          </w:rPr>
                          <w:t>参与反应</w:t>
                        </w:r>
                      </w:p>
                    </w:txbxContent>
                  </v:textbox>
                </v:rect>
                <v:rect id="矩形 803" o:spid="_x0000_s1026" o:spt="1" style="position:absolute;left:8067;top:1607630;height:275;width:1153;" filled="f" stroked="t" coordsize="21600,21600" o:gfxdata="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LILDy5AAAA3AAA&#10;AA8AAAAAAAAAAQAgAAAAIgAAAGRycy9kb3ducmV2LnhtbFBLAQIUABQAAAAIAIdO4kAzLwWeOwAA&#10;ADkAAAAQAAAAAAAAAAEAIAAAAAgBAABkcnMvc2hhcGV4bWwueG1sUEsFBgAAAAAGAAYAWwEAALID&#10;AAAAAA==&#10;">
                  <v:fill on="f" focussize="0,0"/>
                  <v:stroke color="#000000" joinstyle="miter"/>
                  <v:imagedata o:title=""/>
                  <o:lock v:ext="edit" aspectratio="f"/>
                  <v:textbox inset="0mm,0mm,0mm,0mm">
                    <w:txbxContent>
                      <w:p w14:paraId="0D42F766">
                        <w:pPr>
                          <w:jc w:val="center"/>
                        </w:pPr>
                        <w:r>
                          <w:rPr>
                            <w:rFonts w:hint="eastAsia"/>
                          </w:rPr>
                          <w:t>生活用水</w:t>
                        </w:r>
                      </w:p>
                    </w:txbxContent>
                  </v:textbox>
                </v:rect>
                <v:line id="直线 380" o:spid="_x0000_s1026" o:spt="20" style="position:absolute;left:6199;top:1611105;height:1;width:407;" filled="f" stroked="t" coordsize="21600,21600" o:gfxdata="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8qpM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07" o:spid="_x0000_s1026" o:spt="1" style="position:absolute;left:9800;top:1607626;height:301;width:718;" filled="f" stroked="t" coordsize="21600,21600" o:gfxdata="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VYX0L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inset="0mm,0mm,0mm,0mm">
                    <w:txbxContent>
                      <w:p w14:paraId="78C9E45C">
                        <w:pPr>
                          <w:jc w:val="both"/>
                        </w:pPr>
                        <w:r>
                          <w:t>化粪池</w:t>
                        </w:r>
                      </w:p>
                    </w:txbxContent>
                  </v:textbox>
                </v:rect>
                <v:line id="直线 366" o:spid="_x0000_s1026" o:spt="20" style="position:absolute;left:11719;top:1612802;flip:y;height:7;width:417;" filled="f" stroked="t" coordsize="21600,21600" o:gfxdata="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CpOV&#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488" o:spid="_x0000_s1026" o:spt="20" style="position:absolute;left:9223;top:1607794;height:3;width:577;" filled="f" stroked="t" coordsize="21600,21600" o:gfxdata="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9dB1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367" o:spid="_x0000_s1026" o:spt="20" style="position:absolute;left:12160;top:1612453;height:1;width:575;" filled="f" stroked="t" coordsize="21600,21600" o:gfxdata="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EaLK&#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750" o:spid="_x0000_s1026" o:spt="20" style="position:absolute;left:6625;top:1607784;height:13;width:1446;" filled="f" stroked="t" coordsize="21600,21600" o:gfxdata="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DDPL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368" o:spid="_x0000_s1026" o:spt="20" style="position:absolute;left:12163;top:1613102;flip:y;height:7;width:661;" filled="f" stroked="t" coordsize="21600,21600" o:gfxdata="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MZW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5" o:spid="_x0000_s1026" o:spt="1" style="position:absolute;left:7295;top:1608017;height:380;width:437;" filled="f" stroked="f" coordsize="21600,21600" o:gfxdata="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HIGCW5AAAA3AAA&#10;AA8AAAAAAAAAAQAgAAAAIgAAAGRycy9kb3ducmV2LnhtbFBLAQIUABQAAAAIAIdO4kAzLwWeOwAA&#10;ADkAAAAQAAAAAAAAAAEAIAAAAAgBAABkcnMvc2hhcGV4bWwueG1sUEsFBgAAAAAGAAYAWwEAALID&#10;AAAAAA==&#10;">
                  <v:fill on="f" focussize="0,0"/>
                  <v:stroke on="f"/>
                  <v:imagedata o:title=""/>
                  <o:lock v:ext="edit" aspectratio="f"/>
                  <v:textbox inset="0mm,0mm,0mm,0mm">
                    <w:txbxContent>
                      <w:p w14:paraId="0F3811B3">
                        <w:pPr>
                          <w:rPr>
                            <w:rFonts w:hint="default" w:eastAsia="宋体"/>
                            <w:lang w:val="en-US" w:eastAsia="zh-CN"/>
                          </w:rPr>
                        </w:pPr>
                        <w:r>
                          <w:rPr>
                            <w:rFonts w:hint="eastAsia" w:eastAsia="宋体"/>
                            <w:lang w:val="en-US" w:eastAsia="zh-CN"/>
                          </w:rPr>
                          <w:t>0.46</w:t>
                        </w:r>
                      </w:p>
                    </w:txbxContent>
                  </v:textbox>
                </v:rect>
                <v:rect id="矩形 803" o:spid="_x0000_s1026" o:spt="1" style="position:absolute;left:12822;top:1612934;height:317;width:917;" filled="f" stroked="t" coordsize="21600,21600" o:gfxdata="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PyhaG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inset="0mm,0mm,0mm,0mm">
                    <w:txbxContent>
                      <w:p w14:paraId="09C84A6F">
                        <w:pPr>
                          <w:jc w:val="center"/>
                        </w:pPr>
                        <w:r>
                          <w:rPr>
                            <w:rFonts w:hint="eastAsia"/>
                            <w:lang w:val="en-US" w:eastAsia="zh-CN"/>
                          </w:rPr>
                          <w:t>冷凝水</w:t>
                        </w:r>
                      </w:p>
                    </w:txbxContent>
                  </v:textbox>
                </v:rect>
                <v:rect id="矩形 875" o:spid="_x0000_s1026" o:spt="1" style="position:absolute;left:9244;top:1607546;height:380;width:643;" filled="f" stroked="f" coordsize="21600,21600" o:gfxdata="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meC/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7586AC6F">
                        <w:pPr>
                          <w:rPr>
                            <w:rFonts w:hint="default" w:eastAsia="宋体"/>
                            <w:lang w:val="en-US" w:eastAsia="zh-CN"/>
                          </w:rPr>
                        </w:pPr>
                        <w:r>
                          <w:rPr>
                            <w:rFonts w:hint="eastAsia" w:eastAsia="宋体"/>
                            <w:lang w:val="en-US" w:eastAsia="zh-CN"/>
                          </w:rPr>
                          <w:t>2.652</w:t>
                        </w:r>
                      </w:p>
                    </w:txbxContent>
                  </v:textbox>
                </v:rect>
                <v:rect id="矩形 875" o:spid="_x0000_s1026" o:spt="1" style="position:absolute;left:8070;top:1612513;height:380;width:762;" filled="f" stroked="f" coordsize="21600,21600" o:gfxdata="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UrJ2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5E5983FA">
                        <w:pPr>
                          <w:rPr>
                            <w:rFonts w:hint="default" w:eastAsia="宋体"/>
                            <w:lang w:val="en-US" w:eastAsia="zh-CN"/>
                          </w:rPr>
                        </w:pPr>
                        <w:r>
                          <w:rPr>
                            <w:rFonts w:hint="eastAsia"/>
                            <w:lang w:val="en-US" w:eastAsia="zh-CN"/>
                          </w:rPr>
                          <w:t>35.59</w:t>
                        </w:r>
                      </w:p>
                    </w:txbxContent>
                  </v:textbox>
                </v:rect>
                <v:rect id="矩形 875" o:spid="_x0000_s1026" o:spt="1" style="position:absolute;left:10470;top:1608188;height:294;width:643;" filled="f" stroked="f" coordsize="21600,21600" o:gfxdata="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m5Er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1A8C903D">
                        <w:pPr>
                          <w:rPr>
                            <w:rFonts w:hint="default" w:eastAsia="宋体"/>
                            <w:lang w:val="en-US" w:eastAsia="zh-CN"/>
                          </w:rPr>
                        </w:pPr>
                        <w:r>
                          <w:rPr>
                            <w:rFonts w:hint="eastAsia"/>
                            <w:lang w:val="en-US" w:eastAsia="zh-CN"/>
                          </w:rPr>
                          <w:t>0.368</w:t>
                        </w:r>
                      </w:p>
                    </w:txbxContent>
                  </v:textbox>
                </v:rect>
                <v:line id="直线 383" o:spid="_x0000_s1026" o:spt="20" style="position:absolute;left:6627;top:1611997;height:2;width:663;" filled="f" stroked="t" coordsize="21600,21600" o:gfxdata="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VtCf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77" o:spid="_x0000_s1026" o:spt="1" style="position:absolute;left:8277;top:1611716;height:380;width:491;" filled="f" stroked="f" coordsize="21600,21600" o:gfxdata="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VchP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67C94BD7">
                        <w:pPr>
                          <w:rPr>
                            <w:rFonts w:hint="default" w:eastAsia="宋体"/>
                            <w:lang w:val="en-US" w:eastAsia="zh-CN"/>
                          </w:rPr>
                        </w:pPr>
                        <w:r>
                          <w:rPr>
                            <w:rFonts w:hint="eastAsia" w:eastAsia="宋体"/>
                            <w:lang w:val="en-US" w:eastAsia="zh-CN"/>
                          </w:rPr>
                          <w:t>4.837</w:t>
                        </w:r>
                      </w:p>
                    </w:txbxContent>
                  </v:textbox>
                </v:rect>
                <v:rect id="矩形 875" o:spid="_x0000_s1026" o:spt="1" style="position:absolute;left:12162;top:1612175;height:380;width:744;" filled="f" stroked="f" coordsize="21600,21600" o:gfxdata="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ECFm&#10;wAAAANw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14:paraId="71FF1B76">
                        <w:pPr>
                          <w:rPr>
                            <w:rFonts w:hint="default" w:eastAsia="宋体"/>
                            <w:lang w:val="en-US" w:eastAsia="zh-CN"/>
                          </w:rPr>
                        </w:pPr>
                        <w:r>
                          <w:rPr>
                            <w:rFonts w:hint="eastAsia" w:eastAsia="宋体"/>
                            <w:lang w:val="en-US" w:eastAsia="zh-CN"/>
                          </w:rPr>
                          <w:t>14.21</w:t>
                        </w:r>
                      </w:p>
                    </w:txbxContent>
                  </v:textbox>
                </v:rect>
                <v:rect id="矩形 877" o:spid="_x0000_s1026" o:spt="1" style="position:absolute;left:6651;top:1611709;height:380;width:762;" filled="f" stroked="f" coordsize="21600,21600" o:gfxdata="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CvxG/&#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135BED1C">
                        <w:pPr>
                          <w:rPr>
                            <w:rFonts w:hint="default" w:eastAsia="宋体"/>
                            <w:lang w:val="en-US" w:eastAsia="zh-CN"/>
                          </w:rPr>
                        </w:pPr>
                        <w:r>
                          <w:rPr>
                            <w:rFonts w:hint="eastAsia" w:eastAsia="宋体"/>
                            <w:lang w:val="en-US" w:eastAsia="zh-CN"/>
                          </w:rPr>
                          <w:t>19.13</w:t>
                        </w:r>
                      </w:p>
                    </w:txbxContent>
                  </v:textbox>
                </v:rect>
                <v:line id="直线 387" o:spid="_x0000_s1026" o:spt="20" style="position:absolute;left:13235;top:1613261;flip:x;height:316;width:10;" filled="f" stroked="t" coordsize="21600,21600" o:gfxdata="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ZcatrsAAADc&#10;AAAADwAAAAAAAAABACAAAAAiAAAAZHJzL2Rvd25yZXYueG1sUEsBAhQAFAAAAAgAh07iQDMvBZ47&#10;AAAAOQAAABAAAAAAAAAAAQAgAAAACgEAAGRycy9zaGFwZXhtbC54bWxQSwUGAAAAAAYABgBbAQAA&#10;tAMAAAAA&#10;">
                  <v:fill on="f" focussize="0,0"/>
                  <v:stroke color="#000000" joinstyle="round" dashstyle="dash"/>
                  <v:imagedata o:title=""/>
                  <o:lock v:ext="edit" aspectratio="f"/>
                </v:line>
                <v:rect id="矩形 875" o:spid="_x0000_s1026" o:spt="1" style="position:absolute;left:12171;top:1612719;height:380;width:624;" filled="f" stroked="f" coordsize="21600,21600" o:gfxdata="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BGO+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51B5995C">
                        <w:pPr>
                          <w:rPr>
                            <w:rFonts w:hint="default" w:eastAsia="宋体"/>
                            <w:lang w:val="en-US" w:eastAsia="zh-CN"/>
                          </w:rPr>
                        </w:pPr>
                        <w:r>
                          <w:rPr>
                            <w:rFonts w:hint="eastAsia" w:eastAsia="宋体"/>
                            <w:lang w:val="en-US" w:eastAsia="zh-CN"/>
                          </w:rPr>
                          <w:t>15.808</w:t>
                        </w:r>
                      </w:p>
                    </w:txbxContent>
                  </v:textbox>
                </v:rect>
                <v:rect id="矩形 875" o:spid="_x0000_s1026" o:spt="1" style="position:absolute;left:8970;top:1607888;height:380;width:643;" filled="f" stroked="f" coordsize="21600,21600" o:gfxdata="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10rY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70F29CD8">
                        <w:pPr>
                          <w:rPr>
                            <w:rFonts w:hint="default" w:eastAsia="宋体"/>
                            <w:lang w:val="en-US" w:eastAsia="zh-CN"/>
                          </w:rPr>
                        </w:pPr>
                        <w:r>
                          <w:rPr>
                            <w:rFonts w:hint="eastAsia"/>
                            <w:lang w:val="en-US" w:eastAsia="zh-CN"/>
                          </w:rPr>
                          <w:t>0.092</w:t>
                        </w:r>
                      </w:p>
                    </w:txbxContent>
                  </v:textbox>
                </v:rect>
                <v:line id="直线 399" o:spid="_x0000_s1026" o:spt="20" style="position:absolute;left:7668;top:1613566;height:2;width:5552;" filled="f" stroked="t" coordsize="21600,21600" o:gfxdata="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c2/cvQAA&#10;ANwAAAAPAAAAAAAAAAEAIAAAACIAAABkcnMvZG93bnJldi54bWxQSwECFAAUAAAACACHTuJAMy8F&#10;njsAAAA5AAAAEAAAAAAAAAABACAAAAAMAQAAZHJzL3NoYXBleG1sLnhtbFBLBQYAAAAABgAGAFsB&#10;AAC2AwAAAAA=&#10;">
                  <v:fill on="f" focussize="0,0"/>
                  <v:stroke color="#000000" joinstyle="round" dashstyle="dash"/>
                  <v:imagedata o:title=""/>
                  <o:lock v:ext="edit" aspectratio="f"/>
                </v:line>
                <v:line id="直线 118" o:spid="_x0000_s1026" o:spt="20" style="position:absolute;left:6645;top:1608465;height:20;width:1384;" filled="f" stroked="t" coordsize="21600,21600" o:gfxdata="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L1QW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直线 400" o:spid="_x0000_s1026" o:spt="20" style="position:absolute;left:7673;top:1612932;flip:x y;height:622;width:2;" filled="f" stroked="t" coordsize="21600,21600" o:gfxdata="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b2t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shape id="自选图形 401" o:spid="_x0000_s1026" o:spt="38" type="#_x0000_t38" style="position:absolute;left:7754;top:1612331;flip:y;height:294;width:446;" filled="f" stroked="t" coordsize="21600,21600" o:gfxdata="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GKlgr4A&#10;AADcAAAADwAAAAAAAAABACAAAAAiAAAAZHJzL2Rvd25yZXYueG1sUEsBAhQAFAAAAAgAh07iQDMv&#10;BZ47AAAAOQAAABAAAAAAAAAAAQAgAAAADQEAAGRycy9zaGFwZXhtbC54bWxQSwUGAAAAAAYABgBb&#10;AQAAtwMAAAAA&#10;" adj="10848">
                  <v:fill on="f" focussize="0,0"/>
                  <v:stroke color="#000000" joinstyle="round" dashstyle="dash" endarrow="open"/>
                  <v:imagedata o:title=""/>
                  <o:lock v:ext="edit" aspectratio="f"/>
                </v:shape>
                <v:shape id="自选图形 162" o:spid="_x0000_s1026" o:spt="38" type="#_x0000_t38" style="position:absolute;left:8564;top:1607993;height:296;width:343;rotation:-5898240f;" filled="f" stroked="t" coordsize="21600,21600" o:gfxdata="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ABfCm/&#10;AAAA3AAAAA8AAAAAAAAAAQAgAAAAIgAAAGRycy9kb3ducmV2LnhtbFBLAQIUABQAAAAIAIdO4kAz&#10;LwWeOwAAADkAAAAQAAAAAAAAAAEAIAAAAA4BAABkcnMvc2hhcGV4bWwueG1sUEsFBgAAAAAGAAYA&#10;WwEAALgDAAAAAA==&#10;" adj="10800">
                  <v:fill on="f" focussize="0,0"/>
                  <v:stroke color="#000000" joinstyle="round" dashstyle="dash" endarrow="open"/>
                  <v:imagedata o:title=""/>
                  <o:lock v:ext="edit" aspectratio="f"/>
                </v:shape>
                <v:rect id="矩形 877" o:spid="_x0000_s1026" o:spt="1" style="position:absolute;left:8202;top:1612132;height:380;width:762;" filled="f" stroked="f" coordsize="21600,21600" o:gfxdata="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hZSG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2F4460B8">
                        <w:pPr>
                          <w:rPr>
                            <w:rFonts w:hint="default" w:eastAsia="宋体"/>
                            <w:lang w:val="en-US" w:eastAsia="zh-CN"/>
                          </w:rPr>
                        </w:pPr>
                        <w:r>
                          <w:rPr>
                            <w:rFonts w:hint="eastAsia" w:eastAsia="宋体"/>
                            <w:lang w:val="en-US" w:eastAsia="zh-CN"/>
                          </w:rPr>
                          <w:t>0.083</w:t>
                        </w:r>
                      </w:p>
                    </w:txbxContent>
                  </v:textbox>
                </v:rect>
                <v:shape id="自选图形 360" o:spid="_x0000_s1026" o:spt="38" type="#_x0000_t38" style="position:absolute;left:8607;top:1607270;flip:y;height:294;width:446;" filled="f" stroked="t" coordsize="21600,21600" o:gfxdata="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FQYavQAA&#10;ANwAAAAPAAAAAAAAAAEAIAAAACIAAABkcnMvZG93bnJldi54bWxQSwECFAAUAAAACACHTuJAMy8F&#10;njsAAAA5AAAAEAAAAAAAAAABACAAAAAMAQAAZHJzL3NoYXBleG1sLnhtbFBLBQYAAAAABgAGAFsB&#10;AAC2AwAAAAA=&#10;" adj="10848">
                  <v:fill on="f" focussize="0,0"/>
                  <v:stroke color="#000000" joinstyle="round" dashstyle="dash" endarrow="open"/>
                  <v:imagedata o:title=""/>
                  <o:lock v:ext="edit" aspectratio="f"/>
                </v:shape>
                <v:line id="直线 403" o:spid="_x0000_s1026" o:spt="20" style="position:absolute;left:9375;top:1612972;flip:x;height:316;width:10;" filled="f" stroked="t" coordsize="21600,21600" o:gfxdata="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kWnLugAAANwA&#10;AAAPAAAAAAAAAAEAIAAAACIAAABkcnMvZG93bnJldi54bWxQSwECFAAUAAAACACHTuJAMy8FnjsA&#10;AAA5AAAAEAAAAAAAAAABACAAAAAJAQAAZHJzL3NoYXBleG1sLnhtbFBLBQYAAAAABgAGAFsBAACz&#10;AwAAAAA=&#10;">
                  <v:fill on="f" focussize="0,0"/>
                  <v:stroke color="#000000" joinstyle="round" dashstyle="dash"/>
                  <v:imagedata o:title=""/>
                  <o:lock v:ext="edit" aspectratio="f"/>
                </v:line>
                <v:rect id="矩形 875" o:spid="_x0000_s1026" o:spt="1" style="position:absolute;left:7276;top:1607505;height:380;width:482;" filled="f" stroked="f" coordsize="21600,21600" o:gfxdata="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X/Y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06FB8168">
                        <w:pPr>
                          <w:rPr>
                            <w:rFonts w:hint="default" w:eastAsia="宋体"/>
                            <w:lang w:val="en-US" w:eastAsia="zh-CN"/>
                          </w:rPr>
                        </w:pPr>
                        <w:r>
                          <w:rPr>
                            <w:rFonts w:hint="eastAsia" w:eastAsia="宋体"/>
                            <w:lang w:val="en-US" w:eastAsia="zh-CN"/>
                          </w:rPr>
                          <w:t>3.12</w:t>
                        </w:r>
                      </w:p>
                    </w:txbxContent>
                  </v:textbox>
                </v:rect>
                <v:line id="直线 382" o:spid="_x0000_s1026" o:spt="20" style="position:absolute;left:9166;top:1608499;height:16;width:2421;" filled="f" stroked="t" coordsize="21600,21600" o:gfxdata="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g01v&#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404" o:spid="_x0000_s1026" o:spt="20" style="position:absolute;left:7904;top:1613216;height:11;width:1501;" filled="f" stroked="t" coordsize="21600,21600" o:gfxdata="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qvkBvQAA&#10;ANwAAAAPAAAAAAAAAAEAIAAAACIAAABkcnMvZG93bnJldi54bWxQSwECFAAUAAAACACHTuJAMy8F&#10;njsAAAA5AAAAEAAAAAAAAAABACAAAAAMAQAAZHJzL3NoYXBleG1sLnhtbFBLBQYAAAAABgAGAFsB&#10;AAC2AwAAAAA=&#10;">
                  <v:fill on="f" focussize="0,0"/>
                  <v:stroke color="#000000" joinstyle="round" dashstyle="dash"/>
                  <v:imagedata o:title=""/>
                  <o:lock v:ext="edit" aspectratio="f"/>
                </v:line>
                <v:line id="直线 405" o:spid="_x0000_s1026" o:spt="20" style="position:absolute;left:7892;top:1612914;flip:x y;height:290;width:2;" filled="f" stroked="t" coordsize="21600,21600" o:gfxdata="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9rUH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line id="直线 415" o:spid="_x0000_s1026" o:spt="20" style="position:absolute;left:6651;top:1609051;height:20;width:1384;" filled="f" stroked="t" coordsize="21600,21600" o:gfxdata="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knD&#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7" o:spid="_x0000_s1026" o:spt="1" style="position:absolute;left:6958;top:1612251;height:380;width:762;" filled="f" stroked="f" coordsize="21600,21600" o:gfxdata="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avkp&#10;wAAAANw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14:paraId="297EFE02">
                        <w:pPr>
                          <w:rPr>
                            <w:rFonts w:hint="default" w:eastAsia="宋体"/>
                            <w:lang w:val="en-US" w:eastAsia="zh-CN"/>
                          </w:rPr>
                        </w:pPr>
                        <w:r>
                          <w:rPr>
                            <w:rFonts w:hint="eastAsia" w:eastAsia="宋体"/>
                            <w:lang w:val="en-US" w:eastAsia="zh-CN"/>
                          </w:rPr>
                          <w:t>14.293</w:t>
                        </w:r>
                      </w:p>
                    </w:txbxContent>
                  </v:textbox>
                </v:rect>
                <v:rect id="矩形 803" o:spid="_x0000_s1026" o:spt="1" style="position:absolute;left:8029;top:1608934;height:302;width:1128;" filled="f" stroked="t" coordsize="21600,21600" o:gfxdata="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9VlC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inset="0mm,0mm,0mm,0mm">
                    <w:txbxContent>
                      <w:p w14:paraId="41F04B0B">
                        <w:pPr>
                          <w:jc w:val="center"/>
                        </w:pPr>
                        <w:r>
                          <w:rPr>
                            <w:rFonts w:hint="eastAsia"/>
                            <w:lang w:val="en-US" w:eastAsia="zh-CN"/>
                          </w:rPr>
                          <w:t>洗车用水</w:t>
                        </w:r>
                      </w:p>
                    </w:txbxContent>
                  </v:textbox>
                </v:rect>
                <v:line id="直线 417" o:spid="_x0000_s1026" o:spt="20" style="position:absolute;left:9160;top:1609062;flip:y;height:16;width:2428;" filled="f" stroked="t" coordsize="21600,21600" o:gfxdata="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qd0H&#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5" o:spid="_x0000_s1026" o:spt="1" style="position:absolute;left:7295;top:1608735;height:380;width:437;" filled="f" stroked="f" coordsize="21600,21600" o:gfxdata="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cdWrG/&#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179B50B3">
                        <w:pPr>
                          <w:rPr>
                            <w:rFonts w:hint="default" w:eastAsia="宋体"/>
                            <w:lang w:val="en-US" w:eastAsia="zh-CN"/>
                          </w:rPr>
                        </w:pPr>
                        <w:r>
                          <w:rPr>
                            <w:rFonts w:hint="eastAsia" w:eastAsia="宋体"/>
                            <w:lang w:val="en-US" w:eastAsia="zh-CN"/>
                          </w:rPr>
                          <w:t>2.4</w:t>
                        </w:r>
                      </w:p>
                    </w:txbxContent>
                  </v:textbox>
                </v:rect>
                <v:rect id="矩形 875" o:spid="_x0000_s1026" o:spt="1" style="position:absolute;left:10201;top:1613225;height:380;width:624;" filled="f" stroked="f" coordsize="21600,21600" o:gfxdata="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4Uf8q&#10;wAAAANw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14:paraId="559D382A">
                        <w:pPr>
                          <w:rPr>
                            <w:rFonts w:hint="default" w:eastAsia="宋体"/>
                            <w:lang w:val="en-US" w:eastAsia="zh-CN"/>
                          </w:rPr>
                        </w:pPr>
                        <w:r>
                          <w:rPr>
                            <w:rFonts w:hint="eastAsia" w:eastAsia="宋体"/>
                            <w:lang w:val="en-US" w:eastAsia="zh-CN"/>
                          </w:rPr>
                          <w:t>15.808</w:t>
                        </w:r>
                      </w:p>
                    </w:txbxContent>
                  </v:textbox>
                </v:rect>
                <v:shape id="自选图形 419" o:spid="_x0000_s1026" o:spt="38" type="#_x0000_t38" style="position:absolute;left:8508;top:1608694;flip:y;height:252;width:394;" filled="f" stroked="t" coordsize="21600,21600" o:gfxdata="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OLTqC8AAAA&#10;3AAAAA8AAAAAAAAAAQAgAAAAIgAAAGRycy9kb3ducmV2LnhtbFBLAQIUABQAAAAIAIdO4kAzLwWe&#10;OwAAADkAAAAQAAAAAAAAAAEAIAAAAAsBAABkcnMvc2hhcGV4bWwueG1sUEsFBgAAAAAGAAYAWwEA&#10;ALUDAAAAAA==&#10;" adj="10855">
                  <v:fill on="f" focussize="0,0"/>
                  <v:stroke color="#000000" joinstyle="round" dashstyle="dash" endarrow="open"/>
                  <v:imagedata o:title=""/>
                  <o:lock v:ext="edit" aspectratio="f"/>
                </v:shape>
                <v:rect id="矩形 875" o:spid="_x0000_s1026" o:spt="1" style="position:absolute;left:8897;top:1608587;height:380;width:643;" filled="f" stroked="f" coordsize="21600,21600" o:gfxdata="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oLOw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6C027FE0">
                        <w:pPr>
                          <w:rPr>
                            <w:rFonts w:hint="default" w:eastAsia="宋体"/>
                            <w:lang w:val="en-US" w:eastAsia="zh-CN"/>
                          </w:rPr>
                        </w:pPr>
                        <w:r>
                          <w:rPr>
                            <w:rFonts w:hint="eastAsia"/>
                            <w:lang w:val="en-US" w:eastAsia="zh-CN"/>
                          </w:rPr>
                          <w:t>0.36</w:t>
                        </w:r>
                      </w:p>
                    </w:txbxContent>
                  </v:textbox>
                </v:rect>
                <v:rect id="矩形 875" o:spid="_x0000_s1026" o:spt="1" style="position:absolute;left:10507;top:1608774;height:294;width:643;" filled="f" stroked="f" coordsize="21600,21600" o:gfxdata="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1K3j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209C6FDD">
                        <w:pPr>
                          <w:rPr>
                            <w:rFonts w:hint="default" w:eastAsia="宋体"/>
                            <w:lang w:val="en-US" w:eastAsia="zh-CN"/>
                          </w:rPr>
                        </w:pPr>
                        <w:r>
                          <w:rPr>
                            <w:rFonts w:hint="eastAsia"/>
                            <w:lang w:val="en-US" w:eastAsia="zh-CN"/>
                          </w:rPr>
                          <w:t>2.04</w:t>
                        </w:r>
                      </w:p>
                    </w:txbxContent>
                  </v:textbox>
                </v:rect>
                <v:rect id="矩形 875" o:spid="_x0000_s1026" o:spt="1" style="position:absolute;left:8249;top:1612954;height:380;width:624;" filled="f" stroked="f" coordsize="21600,21600" o:gfxdata="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aYCH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0549D34F">
                        <w:pPr>
                          <w:rPr>
                            <w:rFonts w:hint="default" w:eastAsia="宋体"/>
                            <w:lang w:val="en-US" w:eastAsia="zh-CN"/>
                          </w:rPr>
                        </w:pPr>
                        <w:r>
                          <w:rPr>
                            <w:rFonts w:hint="eastAsia" w:eastAsia="宋体"/>
                            <w:lang w:val="en-US" w:eastAsia="zh-CN"/>
                          </w:rPr>
                          <w:t>5.572</w:t>
                        </w:r>
                      </w:p>
                    </w:txbxContent>
                  </v:textbox>
                </v:rect>
                <v:line id="直线 412" o:spid="_x0000_s1026" o:spt="20" style="position:absolute;left:10296;top:1611992;height:18;width:1290;" filled="f" stroked="t" coordsize="21600,21600" o:gfxdata="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Sg36/&#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877" o:spid="_x0000_s1026" o:spt="1" style="position:absolute;left:8377;top:1610397;height:380;width:762;" filled="f" stroked="f" coordsize="21600,21600" o:gfxdata="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GM5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4317EDD8">
                        <w:pPr>
                          <w:rPr>
                            <w:rFonts w:hint="default" w:eastAsia="宋体"/>
                            <w:lang w:val="en-US" w:eastAsia="zh-CN"/>
                          </w:rPr>
                        </w:pPr>
                        <w:r>
                          <w:rPr>
                            <w:rFonts w:hint="eastAsia" w:eastAsia="宋体"/>
                            <w:lang w:val="en-US" w:eastAsia="zh-CN"/>
                          </w:rPr>
                          <w:t>4.8</w:t>
                        </w:r>
                      </w:p>
                    </w:txbxContent>
                  </v:textbox>
                </v:rect>
                <v:rect id="矩形 877" o:spid="_x0000_s1026" o:spt="1" style="position:absolute;left:8807;top:1611311;height:380;width:762;" filled="f" stroked="f" coordsize="21600,21600" o:gfxdata="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76vg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14:paraId="2E139511">
                        <w:pPr>
                          <w:rPr>
                            <w:rFonts w:hint="default" w:eastAsia="宋体"/>
                            <w:lang w:val="en-US" w:eastAsia="zh-CN"/>
                          </w:rPr>
                        </w:pPr>
                        <w:r>
                          <w:rPr>
                            <w:rFonts w:hint="eastAsia" w:eastAsia="宋体"/>
                            <w:lang w:val="en-US" w:eastAsia="zh-CN"/>
                          </w:rPr>
                          <w:t>4800</w:t>
                        </w:r>
                      </w:p>
                    </w:txbxContent>
                  </v:textbox>
                </v:rect>
                <v:rect id="矩形 803" o:spid="_x0000_s1026" o:spt="1" style="position:absolute;left:6630;top:1613985;height:346;width:1907;" filled="f" stroked="t" coordsize="21600,21600" o:gfxdata="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1TZk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inset="0mm,0mm,0mm,0mm">
                    <w:txbxContent>
                      <w:p w14:paraId="4EEF3D4B">
                        <w:pPr>
                          <w:jc w:val="center"/>
                        </w:pPr>
                        <w:r>
                          <w:rPr>
                            <w:rFonts w:hint="eastAsia"/>
                            <w:lang w:val="en-US" w:eastAsia="zh-CN"/>
                          </w:rPr>
                          <w:t>初期雨水</w:t>
                        </w:r>
                      </w:p>
                    </w:txbxContent>
                  </v:textbox>
                </v:rect>
                <v:line id="直线 496" o:spid="_x0000_s1026" o:spt="20" style="position:absolute;left:9175;top:1611089;flip:y;height:1;width:2413;" filled="f" stroked="t" coordsize="21600,21600" o:gfxdata="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F4nN&#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438" o:spid="_x0000_s1026" o:spt="20" style="position:absolute;left:8532;top:1614179;flip:y;height:7;width:1397;" filled="f" stroked="t" coordsize="21600,21600" o:gfxdata="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OdaIq/&#10;AAAA3AAAAA8AAAAAAAAAAQAgAAAAIgAAAGRycy9kb3ducmV2LnhtbFBLAQIUABQAAAAIAIdO4kAz&#10;LwWeOwAAADkAAAAQAAAAAAAAAAEAIAAAAA4BAABkcnMvc2hhcGV4bWwueG1sUEsFBgAAAAAGAAYA&#10;WwEAALgDAAAAAA==&#10;">
                  <v:fill on="f" focussize="0,0"/>
                  <v:stroke color="#000000" joinstyle="round" startarrowlength="short" endarrow="block"/>
                  <v:imagedata o:title=""/>
                  <o:lock v:ext="edit" aspectratio="f"/>
                </v:line>
                <v:line id="直线 381" o:spid="_x0000_s1026" o:spt="20" style="position:absolute;left:6636;top:1611101;height:1;width:478;" filled="f" stroked="t" coordsize="21600,21600" o:gfxdata="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6tJS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线 439" o:spid="_x0000_s1026" o:spt="20" style="position:absolute;left:11580;top:1607778;flip:x;height:4278;width:3;" filled="f" stroked="t" coordsize="21600,21600" o:gfxdata="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UiCz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rect id="矩形 803" o:spid="_x0000_s1026" o:spt="1" style="position:absolute;left:7122;top:1610937;height:302;width:2072;" filled="f" stroked="t" coordsize="21600,21600" o:gfxdata="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XsDIbgAAADcAAAA&#10;DwAAAAAAAAABACAAAAAiAAAAZHJzL2Rvd25yZXYueG1sUEsBAhQAFAAAAAgAh07iQDMvBZ47AAAA&#10;OQAAABAAAAAAAAAAAQAgAAAABwEAAGRycy9zaGFwZXhtbC54bWxQSwUGAAAAAAYABgBbAQAAsQMA&#10;AAAA&#10;">
                  <v:fill on="f" focussize="0,0"/>
                  <v:stroke color="#000000" joinstyle="miter"/>
                  <v:imagedata o:title=""/>
                  <o:lock v:ext="edit" aspectratio="f"/>
                  <v:textbox inset="0mm,0mm,0mm,0mm">
                    <w:txbxContent>
                      <w:p w14:paraId="3E251591">
                        <w:pPr>
                          <w:jc w:val="center"/>
                        </w:pPr>
                        <w:r>
                          <w:rPr>
                            <w:rFonts w:hint="eastAsia"/>
                            <w:lang w:val="en-US" w:eastAsia="zh-CN"/>
                          </w:rPr>
                          <w:t>间接循环冷却水系统</w:t>
                        </w:r>
                      </w:p>
                    </w:txbxContent>
                  </v:textbox>
                </v:rect>
                <v:line id="直线 385" o:spid="_x0000_s1026" o:spt="20" style="position:absolute;left:9201;top:1611194;height:19;width:1079;" filled="f" stroked="t" coordsize="21600,21600" o:gfxdata="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lTAPq/&#10;AAAA3AAAAA8AAAAAAAAAAQAgAAAAIgAAAGRycy9kb3ducmV2LnhtbFBLAQIUABQAAAAIAIdO4kAz&#10;LwWeOwAAADkAAAAQAAAAAAAAAAEAIAAAAA4BAABkcnMvc2hhcGV4bWwueG1sUEsFBgAAAAAGAAYA&#10;WwEAALgDAAAAAA==&#10;">
                  <v:fill on="f" focussize="0,0"/>
                  <v:stroke color="#000000" joinstyle="round" dashstyle="dash"/>
                  <v:imagedata o:title=""/>
                  <o:lock v:ext="edit" aspectratio="f"/>
                </v:line>
                <v:line id="直线 386" o:spid="_x0000_s1026" o:spt="20" style="position:absolute;left:8131;top:1611616;flip:y;height:7;width:2150;" filled="f" stroked="t" coordsize="21600,21600" o:gfxdata="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4oA7rsAAADc&#10;AAAADwAAAAAAAAABACAAAAAiAAAAZHJzL2Rvd25yZXYueG1sUEsBAhQAFAAAAAgAh07iQDMvBZ47&#10;AAAAOQAAABAAAAAAAAAAAQAgAAAACgEAAGRycy9zaGFwZXhtbC54bWxQSwUGAAAAAAYABgBbAQAA&#10;tAMAAAAA&#10;">
                  <v:fill on="f" focussize="0,0"/>
                  <v:stroke color="#000000" joinstyle="round" dashstyle="dash"/>
                  <v:imagedata o:title=""/>
                  <o:lock v:ext="edit" aspectratio="f"/>
                </v:line>
                <v:line id="直线 388" o:spid="_x0000_s1026" o:spt="20" style="position:absolute;left:8129;top:1611225;flip:x y;height:421;width:2;" filled="f" stroked="t" coordsize="21600,21600" o:gfxdata="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3dKL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rect id="矩形 877" o:spid="_x0000_s1026" o:spt="1" style="position:absolute;left:9421;top:1610741;height:380;width:762;" filled="f" stroked="f" coordsize="21600,21600" o:gfxdata="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zY9P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41073DC4">
                        <w:pPr>
                          <w:rPr>
                            <w:rFonts w:hint="default" w:eastAsia="宋体"/>
                            <w:lang w:val="en-US" w:eastAsia="zh-CN"/>
                          </w:rPr>
                        </w:pPr>
                        <w:r>
                          <w:rPr>
                            <w:rFonts w:hint="eastAsia" w:eastAsia="宋体"/>
                            <w:lang w:val="en-US" w:eastAsia="zh-CN"/>
                          </w:rPr>
                          <w:t>0.82</w:t>
                        </w:r>
                      </w:p>
                    </w:txbxContent>
                  </v:textbox>
                </v:rect>
                <v:rect id="矩形 877" o:spid="_x0000_s1026" o:spt="1" style="position:absolute;left:6640;top:1610723;height:380;width:762;" filled="f" stroked="f" coordsize="21600,21600" o:gfxdata="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epim&#10;wAAAANwAAAAPAAAAAAAAAAEAIAAAACIAAABkcnMvZG93bnJldi54bWxQSwECFAAUAAAACACHTuJA&#10;My8FnjsAAAA5AAAAEAAAAAAAAAABACAAAAAPAQAAZHJzL3NoYXBleG1sLnhtbFBLBQYAAAAABgAG&#10;AFsBAAC5AwAAAAA=&#10;">
                  <v:fill on="f" focussize="0,0"/>
                  <v:stroke on="f"/>
                  <v:imagedata o:title=""/>
                  <o:lock v:ext="edit" aspectratio="f"/>
                  <v:textbox inset="0mm,0mm,0mm,0mm">
                    <w:txbxContent>
                      <w:p w14:paraId="29DAE17B">
                        <w:pPr>
                          <w:rPr>
                            <w:rFonts w:hint="default" w:eastAsia="宋体"/>
                            <w:lang w:val="en-US" w:eastAsia="zh-CN"/>
                          </w:rPr>
                        </w:pPr>
                        <w:r>
                          <w:rPr>
                            <w:rFonts w:hint="eastAsia" w:eastAsia="宋体"/>
                            <w:lang w:val="en-US" w:eastAsia="zh-CN"/>
                          </w:rPr>
                          <w:t>5.62</w:t>
                        </w:r>
                      </w:p>
                    </w:txbxContent>
                  </v:textbox>
                </v:rect>
                <v:shape id="自选图形 391" o:spid="_x0000_s1026" o:spt="38" type="#_x0000_t38" style="position:absolute;left:7964;top:1610642;flip:y;height:294;width:446;" filled="f" stroked="t" coordsize="21600,21600" o:gfxdata="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ecynvQAA&#10;ANwAAAAPAAAAAAAAAAEAIAAAACIAAABkcnMvZG93bnJldi54bWxQSwECFAAUAAAACACHTuJAMy8F&#10;njsAAAA5AAAAEAAAAAAAAAABACAAAAAMAQAAZHJzL3NoYXBleG1sLnhtbFBLBQYAAAAABgAGAFsB&#10;AAC2AwAAAAA=&#10;" adj="10848">
                  <v:fill on="f" focussize="0,0"/>
                  <v:stroke color="#000000" joinstyle="round" dashstyle="dash" endarrow="open"/>
                  <v:imagedata o:title=""/>
                  <o:lock v:ext="edit" aspectratio="f"/>
                </v:shape>
                <v:line id="直线 398" o:spid="_x0000_s1026" o:spt="20" style="position:absolute;left:10270;top:1611221;flip:x;height:395;width:10;" filled="f" stroked="t" coordsize="21600,21600" o:gfxdata="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aN2ugAAANwA&#10;AAAPAAAAAAAAAAEAIAAAACIAAABkcnMvZG93bnJldi54bWxQSwECFAAUAAAACACHTuJAMy8FnjsA&#10;AAA5AAAAEAAAAAAAAAABACAAAAAJAQAAZHJzL3NoYXBleG1sLnhtbFBLBQYAAAAABgAGAFsBAACz&#10;AwAAAAA=&#10;">
                  <v:fill on="f" focussize="0,0"/>
                  <v:stroke color="#000000" joinstyle="round" dashstyle="dash"/>
                  <v:imagedata o:title=""/>
                  <o:lock v:ext="edit" aspectratio="f"/>
                </v:line>
                <v:rect id="矩形 875" o:spid="_x0000_s1026" o:spt="1" style="position:absolute;left:8815;top:1613848;height:380;width:948;" filled="f" stroked="f" coordsize="21600,21600" o:gfxdata="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ns3O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5BEF508C">
                        <w:pPr>
                          <w:rPr>
                            <w:rFonts w:hint="default" w:eastAsia="宋体"/>
                            <w:lang w:val="en-US" w:eastAsia="zh-CN"/>
                          </w:rPr>
                        </w:pPr>
                        <w:r>
                          <w:rPr>
                            <w:rFonts w:hint="eastAsia" w:eastAsia="宋体"/>
                            <w:lang w:val="en-US" w:eastAsia="zh-CN"/>
                          </w:rPr>
                          <w:t>26.4/次</w:t>
                        </w:r>
                      </w:p>
                    </w:txbxContent>
                  </v:textbox>
                </v:rect>
                <v:rect id="矩形 803" o:spid="_x0000_s1026" o:spt="1" style="position:absolute;left:9913;top:1613976;height:346;width:1907;" filled="f" stroked="t" coordsize="21600,21600" o:gfxdata="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Qaq8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inset="0mm,0mm,0mm,0mm">
                    <w:txbxContent>
                      <w:p w14:paraId="6FAE3B0B">
                        <w:pPr>
                          <w:jc w:val="center"/>
                        </w:pPr>
                        <w:r>
                          <w:rPr>
                            <w:rFonts w:hint="eastAsia"/>
                            <w:lang w:val="en-US" w:eastAsia="zh-CN"/>
                          </w:rPr>
                          <w:t>初期雨水收集池</w:t>
                        </w:r>
                      </w:p>
                    </w:txbxContent>
                  </v:textbox>
                </v:rect>
                <v:line id="直线 442" o:spid="_x0000_s1026" o:spt="20" style="position:absolute;left:11812;top:1614149;flip:y;height:2;width:2093;" filled="f" stroked="t" coordsize="21600,21600" o:gfxdata="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OjY7StwAAANwAAAAP&#10;AAAAAAAAAAEAIAAAACIAAABkcnMvZG93bnJldi54bWxQSwECFAAUAAAACACHTuJAMy8FnjsAAAA5&#10;AAAAEAAAAAAAAAABACAAAAAGAQAAZHJzL3NoYXBleG1sLnhtbFBLBQYAAAAABgAGAFsBAACwAwAA&#10;AAA=&#10;">
                  <v:fill on="f" focussize="0,0"/>
                  <v:stroke color="#000000" joinstyle="round" startarrowlength="short"/>
                  <v:imagedata o:title=""/>
                  <o:lock v:ext="edit" aspectratio="f"/>
                </v:line>
                <v:line id="直线 443" o:spid="_x0000_s1026" o:spt="20" style="position:absolute;left:13905;top:1610277;flip:x y;height:3885;width:7;" filled="f" stroked="t" coordsize="21600,21600" o:gfxdata="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WC4O/&#10;AAAA3AAAAA8AAAAAAAAAAQAgAAAAIgAAAGRycy9kb3ducmV2LnhtbFBLAQIUABQAAAAIAIdO4kAz&#10;LwWeOwAAADkAAAAQAAAAAAAAAAEAIAAAAA4BAABkcnMvc2hhcGV4bWwueG1sUEsFBgAAAAAGAAYA&#10;WwEAALgDAAAAAA==&#10;">
                  <v:fill on="f" focussize="0,0"/>
                  <v:stroke color="#000000" joinstyle="round" startarrowlength="short"/>
                  <v:imagedata o:title=""/>
                  <o:lock v:ext="edit" aspectratio="f"/>
                </v:line>
                <v:rect id="矩形 803" o:spid="_x0000_s1026" o:spt="1" style="position:absolute;left:12415;top:1609560;height:992;width:1265;" filled="f" stroked="t" coordsize="21600,21600" o:gfxdata="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zBI6r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inset="0mm,0mm,0mm,0mm">
                    <w:txbxContent>
                      <w:p w14:paraId="4650151D">
                        <w:pPr>
                          <w:jc w:val="center"/>
                        </w:pPr>
                        <w:r>
                          <w:rPr>
                            <w:rFonts w:hint="eastAsia"/>
                            <w:lang w:val="en-US" w:eastAsia="zh-CN"/>
                          </w:rPr>
                          <w:t>田家庵经济开发区污水处理站</w:t>
                        </w:r>
                      </w:p>
                    </w:txbxContent>
                  </v:textbox>
                </v:rect>
                <v:line id="直线 445" o:spid="_x0000_s1026" o:spt="20" style="position:absolute;left:11605;top:1610120;height:6;width:804;" filled="f" stroked="t" coordsize="21600,21600" o:gfxdata="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0sAf&#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直线 446" o:spid="_x0000_s1026" o:spt="20" style="position:absolute;left:13686;top:1610273;flip:x y;height:1;width:225;" filled="f" stroked="t" coordsize="21600,21600" o:gfxdata="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iGlG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线 447" o:spid="_x0000_s1026" o:spt="20" style="position:absolute;left:12915;top:1610543;height:451;width:17;" filled="f" stroked="t" coordsize="21600,21600" o:gfxdata="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d/3w&#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875" o:spid="_x0000_s1026" o:spt="1" style="position:absolute;left:12567;top:1610980;height:380;width:769;" filled="f" stroked="f" coordsize="21600,21600" o:gfxdata="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9dva/&#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6464997A">
                        <w:pPr>
                          <w:rPr>
                            <w:rFonts w:hint="default" w:eastAsia="宋体"/>
                            <w:lang w:val="en-US" w:eastAsia="zh-CN"/>
                          </w:rPr>
                        </w:pPr>
                        <w:r>
                          <w:rPr>
                            <w:rFonts w:hint="eastAsia" w:eastAsia="宋体"/>
                            <w:lang w:val="en-US" w:eastAsia="zh-CN"/>
                          </w:rPr>
                          <w:t>瓦埠湖</w:t>
                        </w:r>
                      </w:p>
                    </w:txbxContent>
                  </v:textbox>
                </v:rect>
                <v:rect id="矩形 875" o:spid="_x0000_s1026" o:spt="1" style="position:absolute;left:11660;top:1609740;height:380;width:602;" filled="f" stroked="f" coordsize="21600,21600" o:gfxdata="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Yx022/&#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14:paraId="3D615395">
                        <w:pPr>
                          <w:rPr>
                            <w:rFonts w:hint="default" w:eastAsia="宋体"/>
                            <w:lang w:val="en-US" w:eastAsia="zh-CN"/>
                          </w:rPr>
                        </w:pPr>
                        <w:r>
                          <w:rPr>
                            <w:rFonts w:hint="eastAsia" w:eastAsia="宋体"/>
                            <w:lang w:val="en-US" w:eastAsia="zh-CN"/>
                          </w:rPr>
                          <w:t>11.732</w:t>
                        </w:r>
                      </w:p>
                    </w:txbxContent>
                  </v:textbox>
                </v:rect>
                <v:rect id="矩形 875" o:spid="_x0000_s1026" o:spt="1" style="position:absolute;left:10640;top:1611600;height:380;width:602;" filled="f" stroked="f" coordsize="21600,21600" o:gfxdata="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65HH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275833B5">
                        <w:pPr>
                          <w:rPr>
                            <w:rFonts w:hint="default" w:eastAsia="宋体"/>
                            <w:lang w:val="en-US" w:eastAsia="zh-CN"/>
                          </w:rPr>
                        </w:pPr>
                        <w:r>
                          <w:rPr>
                            <w:rFonts w:hint="eastAsia" w:eastAsia="宋体"/>
                            <w:lang w:val="en-US" w:eastAsia="zh-CN"/>
                          </w:rPr>
                          <w:t>4.837</w:t>
                        </w:r>
                      </w:p>
                    </w:txbxContent>
                  </v:textbox>
                </v:rect>
                <w10:wrap type="none"/>
                <w10:anchorlock/>
              </v:group>
            </w:pict>
          </mc:Fallback>
        </mc:AlternateContent>
      </w:r>
    </w:p>
    <w:p w14:paraId="52E15A9F">
      <w:pPr>
        <w:spacing w:line="240" w:lineRule="auto"/>
        <w:jc w:val="center"/>
        <w:rPr>
          <w:rFonts w:hint="eastAsia" w:ascii="Times New Roman" w:hAnsi="Times New Roman" w:eastAsia="宋体" w:cs="Times New Roman"/>
          <w:b/>
          <w:color w:val="auto"/>
          <w:sz w:val="24"/>
          <w:highlight w:val="none"/>
          <w:lang w:val="en-US" w:eastAsia="zh-CN"/>
        </w:rPr>
      </w:pPr>
      <w:r>
        <w:rPr>
          <w:rFonts w:hint="default" w:ascii="Times New Roman" w:hAnsi="Times New Roman" w:cs="Times New Roman"/>
          <w:b/>
          <w:color w:val="auto"/>
          <w:sz w:val="24"/>
          <w:highlight w:val="none"/>
        </w:rPr>
        <w:t>图</w:t>
      </w:r>
      <w:r>
        <w:rPr>
          <w:rFonts w:hint="default"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w:t>
      </w:r>
      <w:r>
        <w:rPr>
          <w:rFonts w:hint="eastAsia" w:cs="Times New Roman"/>
          <w:b/>
          <w:color w:val="auto"/>
          <w:sz w:val="24"/>
          <w:highlight w:val="none"/>
          <w:lang w:val="en-US" w:eastAsia="zh-CN"/>
        </w:rPr>
        <w:t>4</w:t>
      </w:r>
      <w:r>
        <w:rPr>
          <w:rFonts w:hint="default" w:ascii="Times New Roman" w:hAnsi="Times New Roman" w:cs="Times New Roman"/>
          <w:b/>
          <w:color w:val="auto"/>
          <w:sz w:val="24"/>
          <w:highlight w:val="none"/>
        </w:rPr>
        <w:t>-</w:t>
      </w:r>
      <w:r>
        <w:rPr>
          <w:rFonts w:hint="eastAsia" w:cs="Times New Roman"/>
          <w:b/>
          <w:color w:val="auto"/>
          <w:sz w:val="24"/>
          <w:highlight w:val="none"/>
          <w:lang w:val="en-US" w:eastAsia="zh-CN"/>
        </w:rPr>
        <w:t xml:space="preserve">4  </w:t>
      </w:r>
      <w:r>
        <w:rPr>
          <w:rFonts w:hint="default" w:ascii="Times New Roman" w:hAnsi="Times New Roman" w:cs="Times New Roman"/>
          <w:b/>
          <w:color w:val="auto"/>
          <w:sz w:val="24"/>
          <w:highlight w:val="none"/>
        </w:rPr>
        <w:t>本项目建成后水平衡图（单位：m</w:t>
      </w:r>
      <w:r>
        <w:rPr>
          <w:rFonts w:hint="default" w:ascii="Times New Roman" w:hAnsi="Times New Roman" w:cs="Times New Roman"/>
          <w:b/>
          <w:color w:val="auto"/>
          <w:sz w:val="24"/>
          <w:highlight w:val="none"/>
          <w:vertAlign w:val="superscript"/>
        </w:rPr>
        <w:t>3</w:t>
      </w:r>
      <w:r>
        <w:rPr>
          <w:rFonts w:hint="default" w:ascii="Times New Roman" w:hAnsi="Times New Roman" w:cs="Times New Roman"/>
          <w:b/>
          <w:color w:val="auto"/>
          <w:sz w:val="24"/>
          <w:highlight w:val="none"/>
        </w:rPr>
        <w:t>/d）</w:t>
      </w:r>
      <w:r>
        <w:rPr>
          <w:rFonts w:hint="eastAsia" w:ascii="Times New Roman" w:hAnsi="Times New Roman" w:cs="Times New Roman"/>
          <w:b/>
          <w:color w:val="auto"/>
          <w:sz w:val="24"/>
          <w:highlight w:val="none"/>
          <w:lang w:val="en-US" w:eastAsia="zh-CN"/>
        </w:rPr>
        <w:tab/>
      </w:r>
    </w:p>
    <w:p w14:paraId="71498777">
      <w:pPr>
        <w:pStyle w:val="218"/>
        <w:spacing w:before="62" w:after="156"/>
        <w:rPr>
          <w:color w:val="auto"/>
          <w:highlight w:val="none"/>
        </w:rPr>
      </w:pPr>
      <w:bookmarkStart w:id="227" w:name="_Toc152922608"/>
      <w:bookmarkStart w:id="228" w:name="_Toc152922014"/>
      <w:bookmarkStart w:id="229" w:name="_Toc27573"/>
      <w:r>
        <w:rPr>
          <w:color w:val="auto"/>
          <w:highlight w:val="none"/>
        </w:rPr>
        <w:t>3.</w:t>
      </w:r>
      <w:r>
        <w:rPr>
          <w:rFonts w:hint="eastAsia"/>
          <w:color w:val="auto"/>
          <w:highlight w:val="none"/>
          <w:lang w:val="en-US" w:eastAsia="zh-CN"/>
        </w:rPr>
        <w:t>5</w:t>
      </w:r>
      <w:r>
        <w:rPr>
          <w:color w:val="auto"/>
          <w:highlight w:val="none"/>
        </w:rPr>
        <w:t>运营期污染源强核算</w:t>
      </w:r>
      <w:bookmarkEnd w:id="227"/>
      <w:bookmarkEnd w:id="228"/>
      <w:bookmarkEnd w:id="229"/>
    </w:p>
    <w:p w14:paraId="27D80B9C">
      <w:pPr>
        <w:pStyle w:val="4"/>
        <w:spacing w:after="156"/>
        <w:rPr>
          <w:color w:val="auto"/>
          <w:highlight w:val="none"/>
        </w:rPr>
      </w:pPr>
      <w:bookmarkStart w:id="230" w:name="_Toc117150233"/>
      <w:bookmarkStart w:id="231" w:name="_Toc152923290"/>
      <w:bookmarkStart w:id="232" w:name="_Toc152922609"/>
      <w:bookmarkStart w:id="233" w:name="_Toc152921650"/>
      <w:bookmarkStart w:id="234" w:name="_Toc152922015"/>
      <w:r>
        <w:rPr>
          <w:color w:val="auto"/>
          <w:highlight w:val="none"/>
        </w:rPr>
        <w:t>3.</w:t>
      </w:r>
      <w:r>
        <w:rPr>
          <w:rFonts w:hint="eastAsia"/>
          <w:color w:val="auto"/>
          <w:highlight w:val="none"/>
          <w:lang w:val="en-US" w:eastAsia="zh-CN"/>
        </w:rPr>
        <w:t>5</w:t>
      </w:r>
      <w:r>
        <w:rPr>
          <w:color w:val="auto"/>
          <w:highlight w:val="none"/>
        </w:rPr>
        <w:t>.1废气</w:t>
      </w:r>
      <w:bookmarkEnd w:id="230"/>
      <w:bookmarkEnd w:id="231"/>
      <w:bookmarkEnd w:id="232"/>
      <w:bookmarkEnd w:id="233"/>
      <w:bookmarkEnd w:id="234"/>
    </w:p>
    <w:p w14:paraId="7010F6B2">
      <w:pPr>
        <w:spacing w:line="360" w:lineRule="auto"/>
        <w:ind w:firstLine="482" w:firstLineChars="200"/>
        <w:rPr>
          <w:rFonts w:ascii="Times New Roman" w:hAnsi="Times New Roman" w:eastAsia="宋体" w:cs="Times New Roman"/>
          <w:b/>
          <w:color w:val="auto"/>
          <w:sz w:val="24"/>
          <w:szCs w:val="28"/>
          <w:highlight w:val="none"/>
        </w:rPr>
      </w:pPr>
      <w:bookmarkStart w:id="235" w:name="_Toc152923291"/>
      <w:bookmarkStart w:id="236" w:name="_Toc152922610"/>
      <w:bookmarkStart w:id="237" w:name="_Toc152922016"/>
      <w:bookmarkStart w:id="238" w:name="_Toc152921651"/>
      <w:r>
        <w:rPr>
          <w:rFonts w:hint="eastAsia" w:ascii="Times New Roman" w:hAnsi="Times New Roman" w:eastAsia="宋体" w:cs="Times New Roman"/>
          <w:b/>
          <w:color w:val="auto"/>
          <w:sz w:val="24"/>
          <w:szCs w:val="28"/>
          <w:highlight w:val="none"/>
          <w:lang w:val="en-US" w:eastAsia="zh-CN"/>
        </w:rPr>
        <w:t>1、</w:t>
      </w:r>
      <w:r>
        <w:rPr>
          <w:rFonts w:ascii="Times New Roman" w:hAnsi="Times New Roman" w:eastAsia="宋体" w:cs="Times New Roman"/>
          <w:b/>
          <w:color w:val="auto"/>
          <w:sz w:val="24"/>
          <w:szCs w:val="28"/>
          <w:highlight w:val="none"/>
        </w:rPr>
        <w:t>废气种类</w:t>
      </w:r>
      <w:bookmarkEnd w:id="235"/>
      <w:bookmarkEnd w:id="236"/>
      <w:bookmarkEnd w:id="237"/>
      <w:bookmarkEnd w:id="238"/>
    </w:p>
    <w:p w14:paraId="40CA0C87">
      <w:pPr>
        <w:spacing w:line="360" w:lineRule="auto"/>
        <w:ind w:firstLine="480" w:firstLineChars="200"/>
        <w:jc w:val="left"/>
        <w:rPr>
          <w:rFonts w:ascii="Times New Roman" w:hAnsi="Times New Roman" w:eastAsia="宋体"/>
          <w:color w:val="auto"/>
          <w:sz w:val="24"/>
          <w:highlight w:val="none"/>
        </w:rPr>
      </w:pPr>
      <w:r>
        <w:rPr>
          <w:rFonts w:ascii="Times New Roman" w:hAnsi="Times New Roman" w:eastAsia="宋体"/>
          <w:color w:val="auto"/>
          <w:sz w:val="24"/>
          <w:highlight w:val="none"/>
        </w:rPr>
        <w:t>项目废气主要为</w:t>
      </w:r>
      <w:r>
        <w:rPr>
          <w:rFonts w:hint="eastAsia" w:ascii="Times New Roman" w:hAnsi="Times New Roman" w:eastAsia="宋体"/>
          <w:color w:val="auto"/>
          <w:sz w:val="24"/>
          <w:highlight w:val="none"/>
          <w:lang w:val="en-US" w:eastAsia="zh-CN"/>
        </w:rPr>
        <w:t>除氧废气G</w:t>
      </w:r>
      <w:r>
        <w:rPr>
          <w:rFonts w:hint="eastAsia" w:ascii="Times New Roman" w:hAnsi="Times New Roman" w:eastAsia="宋体"/>
          <w:color w:val="auto"/>
          <w:sz w:val="24"/>
          <w:highlight w:val="none"/>
          <w:vertAlign w:val="subscript"/>
          <w:lang w:val="en-US" w:eastAsia="zh-CN"/>
        </w:rPr>
        <w:t>1</w:t>
      </w:r>
      <w:r>
        <w:rPr>
          <w:rFonts w:hint="eastAsia" w:ascii="Times New Roman" w:hAnsi="Times New Roman" w:eastAsia="宋体"/>
          <w:color w:val="auto"/>
          <w:sz w:val="24"/>
          <w:highlight w:val="none"/>
          <w:lang w:val="en-US" w:eastAsia="zh-CN"/>
        </w:rPr>
        <w:t>、转化炉燃烧废气G</w:t>
      </w:r>
      <w:r>
        <w:rPr>
          <w:rFonts w:hint="eastAsia" w:ascii="Times New Roman" w:hAnsi="Times New Roman" w:eastAsia="宋体"/>
          <w:color w:val="auto"/>
          <w:sz w:val="24"/>
          <w:highlight w:val="none"/>
          <w:vertAlign w:val="subscript"/>
          <w:lang w:val="en-US" w:eastAsia="zh-CN"/>
        </w:rPr>
        <w:t>2</w:t>
      </w:r>
      <w:r>
        <w:rPr>
          <w:rFonts w:hint="eastAsia" w:ascii="Times New Roman" w:hAnsi="Times New Roman" w:eastAsia="宋体"/>
          <w:color w:val="auto"/>
          <w:sz w:val="24"/>
          <w:highlight w:val="none"/>
          <w:vertAlign w:val="baseline"/>
          <w:lang w:val="en-US" w:eastAsia="zh-CN"/>
        </w:rPr>
        <w:t>、PSA提纯解吸气，油品装卸过程废气</w:t>
      </w:r>
      <w:r>
        <w:rPr>
          <w:rFonts w:hint="eastAsia" w:ascii="Times New Roman" w:hAnsi="Times New Roman" w:eastAsia="宋体"/>
          <w:color w:val="auto"/>
          <w:sz w:val="24"/>
          <w:highlight w:val="none"/>
          <w:lang w:val="en-US" w:eastAsia="zh-CN"/>
        </w:rPr>
        <w:t>G</w:t>
      </w:r>
      <w:r>
        <w:rPr>
          <w:rFonts w:hint="eastAsia" w:ascii="Times New Roman" w:hAnsi="Times New Roman" w:eastAsia="宋体"/>
          <w:color w:val="auto"/>
          <w:sz w:val="24"/>
          <w:highlight w:val="none"/>
          <w:vertAlign w:val="subscript"/>
          <w:lang w:val="en-US" w:eastAsia="zh-CN"/>
        </w:rPr>
        <w:t>4</w:t>
      </w:r>
      <w:r>
        <w:rPr>
          <w:rFonts w:hint="eastAsia" w:ascii="Times New Roman" w:hAnsi="Times New Roman" w:eastAsia="宋体"/>
          <w:color w:val="auto"/>
          <w:sz w:val="24"/>
          <w:highlight w:val="none"/>
          <w:lang w:val="en-US" w:eastAsia="zh-CN"/>
        </w:rPr>
        <w:t>、油品加油过程G</w:t>
      </w:r>
      <w:r>
        <w:rPr>
          <w:rFonts w:hint="eastAsia" w:ascii="Times New Roman" w:hAnsi="Times New Roman" w:eastAsia="宋体"/>
          <w:color w:val="auto"/>
          <w:sz w:val="24"/>
          <w:highlight w:val="none"/>
          <w:vertAlign w:val="subscript"/>
          <w:lang w:val="en-US" w:eastAsia="zh-CN"/>
        </w:rPr>
        <w:t>6</w:t>
      </w:r>
      <w:r>
        <w:rPr>
          <w:rFonts w:hint="eastAsia" w:ascii="Times New Roman" w:hAnsi="Times New Roman" w:eastAsia="宋体"/>
          <w:color w:val="auto"/>
          <w:sz w:val="24"/>
          <w:highlight w:val="none"/>
          <w:lang w:val="en-US" w:eastAsia="zh-CN"/>
        </w:rPr>
        <w:t>和储罐呼吸废气G</w:t>
      </w:r>
      <w:r>
        <w:rPr>
          <w:rFonts w:hint="eastAsia" w:ascii="Times New Roman" w:hAnsi="Times New Roman" w:eastAsia="宋体"/>
          <w:color w:val="auto"/>
          <w:sz w:val="24"/>
          <w:highlight w:val="none"/>
          <w:vertAlign w:val="subscript"/>
          <w:lang w:val="en-US" w:eastAsia="zh-CN"/>
        </w:rPr>
        <w:t>5</w:t>
      </w:r>
      <w:r>
        <w:rPr>
          <w:rFonts w:hint="eastAsia" w:ascii="Times New Roman" w:hAnsi="Times New Roman" w:eastAsia="宋体"/>
          <w:color w:val="auto"/>
          <w:sz w:val="24"/>
          <w:highlight w:val="none"/>
          <w:lang w:val="en-US" w:eastAsia="zh-CN"/>
        </w:rPr>
        <w:t>，以及制氢工艺区无组织废气、站内汽车尾气</w:t>
      </w:r>
      <w:r>
        <w:rPr>
          <w:rFonts w:ascii="Times New Roman" w:hAnsi="Times New Roman" w:eastAsia="宋体"/>
          <w:color w:val="auto"/>
          <w:sz w:val="24"/>
          <w:highlight w:val="none"/>
        </w:rPr>
        <w:t>。</w:t>
      </w:r>
    </w:p>
    <w:p w14:paraId="50A8D113">
      <w:pPr>
        <w:spacing w:line="360" w:lineRule="auto"/>
        <w:ind w:firstLine="482" w:firstLineChars="200"/>
        <w:rPr>
          <w:rFonts w:hint="default" w:ascii="Times New Roman" w:hAnsi="Times New Roman" w:eastAsia="宋体" w:cs="Times New Roman"/>
          <w:b/>
          <w:color w:val="auto"/>
          <w:sz w:val="24"/>
          <w:szCs w:val="28"/>
          <w:highlight w:val="none"/>
          <w:lang w:val="en-US" w:eastAsia="zh-CN"/>
        </w:rPr>
      </w:pPr>
      <w:r>
        <w:rPr>
          <w:rFonts w:hint="eastAsia" w:ascii="Times New Roman" w:hAnsi="Times New Roman" w:eastAsia="宋体" w:cs="Times New Roman"/>
          <w:b/>
          <w:color w:val="auto"/>
          <w:sz w:val="24"/>
          <w:szCs w:val="28"/>
          <w:highlight w:val="none"/>
          <w:lang w:val="en-US" w:eastAsia="zh-CN"/>
        </w:rPr>
        <w:t>2、源强核算</w:t>
      </w:r>
    </w:p>
    <w:p w14:paraId="161CCFD8">
      <w:pPr>
        <w:spacing w:line="360" w:lineRule="auto"/>
        <w:ind w:firstLine="480" w:firstLineChars="200"/>
        <w:jc w:val="left"/>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废气源强核算按照《污染源源强核算技术指南总则》（HJ942-2018）的相关要求，工艺废气等污染物源强核算依据污染物不同可采用物料衡算法、产污系数法。本项目采用产污系数法结合物料衡算法对废气产生量和废气污染物源强进行核算。</w:t>
      </w:r>
    </w:p>
    <w:p w14:paraId="366BC15E">
      <w:pPr>
        <w:spacing w:line="360" w:lineRule="auto"/>
        <w:ind w:firstLine="482" w:firstLineChars="200"/>
        <w:jc w:val="left"/>
        <w:rPr>
          <w:rFonts w:hint="eastAsia" w:ascii="Times New Roman" w:hAnsi="Times New Roman" w:eastAsia="宋体"/>
          <w:b/>
          <w:bCs/>
          <w:color w:val="auto"/>
          <w:sz w:val="24"/>
          <w:highlight w:val="none"/>
        </w:rPr>
      </w:pPr>
      <w:r>
        <w:rPr>
          <w:rFonts w:ascii="Times New Roman" w:hAnsi="Times New Roman" w:eastAsia="宋体"/>
          <w:b/>
          <w:bCs/>
          <w:color w:val="auto"/>
          <w:sz w:val="24"/>
          <w:highlight w:val="none"/>
        </w:rPr>
        <w:t>（1）</w:t>
      </w:r>
      <w:r>
        <w:rPr>
          <w:rFonts w:hint="eastAsia" w:ascii="Times New Roman" w:hAnsi="Times New Roman" w:eastAsia="宋体"/>
          <w:b/>
          <w:bCs/>
          <w:color w:val="auto"/>
          <w:sz w:val="24"/>
          <w:highlight w:val="none"/>
          <w:lang w:val="en-US" w:eastAsia="zh-CN"/>
        </w:rPr>
        <w:t>除氧废气G</w:t>
      </w:r>
      <w:r>
        <w:rPr>
          <w:rFonts w:hint="eastAsia" w:ascii="Times New Roman" w:hAnsi="Times New Roman" w:eastAsia="宋体"/>
          <w:b/>
          <w:bCs/>
          <w:color w:val="auto"/>
          <w:sz w:val="24"/>
          <w:highlight w:val="none"/>
          <w:vertAlign w:val="subscript"/>
          <w:lang w:val="en-US" w:eastAsia="zh-CN"/>
        </w:rPr>
        <w:t>1</w:t>
      </w:r>
    </w:p>
    <w:p w14:paraId="68E803FE">
      <w:p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本项目除氧装置除氧过程中，会有少量气体排放，主要成分为</w:t>
      </w:r>
      <w:r>
        <w:rPr>
          <w:rFonts w:ascii="Times New Roman" w:hAnsi="Times New Roman" w:eastAsia="Times New Roman" w:cs="Times New Roman"/>
          <w:b w:val="0"/>
          <w:bCs w:val="0"/>
          <w:color w:val="auto"/>
          <w:sz w:val="24"/>
          <w:szCs w:val="24"/>
          <w:highlight w:val="none"/>
        </w:rPr>
        <w:t>O</w:t>
      </w:r>
      <w:r>
        <w:rPr>
          <w:rFonts w:hint="default" w:ascii="Times New Roman" w:hAnsi="Times New Roman" w:eastAsia="Times New Roman" w:cs="Times New Roman"/>
          <w:b w:val="0"/>
          <w:bCs w:val="0"/>
          <w:color w:val="auto"/>
          <w:sz w:val="15"/>
          <w:szCs w:val="15"/>
          <w:highlight w:val="none"/>
        </w:rPr>
        <w:t>2</w:t>
      </w:r>
      <w:r>
        <w:rPr>
          <w:rFonts w:hint="eastAsia" w:ascii="Times New Roman" w:hAnsi="Times New Roman" w:eastAsia="宋体" w:cs="Times New Roman"/>
          <w:b w:val="0"/>
          <w:bCs w:val="0"/>
          <w:color w:val="auto"/>
          <w:sz w:val="15"/>
          <w:szCs w:val="15"/>
          <w:highlight w:val="none"/>
          <w:lang w:eastAsia="zh-CN"/>
        </w:rPr>
        <w:t>、</w:t>
      </w:r>
      <w:r>
        <w:rPr>
          <w:rFonts w:ascii="Times New Roman" w:hAnsi="Times New Roman" w:eastAsia="Times New Roman" w:cs="Times New Roman"/>
          <w:b w:val="0"/>
          <w:bCs w:val="0"/>
          <w:color w:val="auto"/>
          <w:sz w:val="24"/>
          <w:szCs w:val="24"/>
          <w:highlight w:val="none"/>
        </w:rPr>
        <w:t>CO</w:t>
      </w:r>
      <w:r>
        <w:rPr>
          <w:rFonts w:hint="default" w:ascii="Times New Roman" w:hAnsi="Times New Roman" w:eastAsia="Times New Roman" w:cs="Times New Roman"/>
          <w:b w:val="0"/>
          <w:bCs w:val="0"/>
          <w:color w:val="auto"/>
          <w:sz w:val="15"/>
          <w:szCs w:val="15"/>
          <w:highlight w:val="none"/>
        </w:rPr>
        <w:t>2</w:t>
      </w:r>
      <w:r>
        <w:rPr>
          <w:rFonts w:hint="eastAsia" w:ascii="宋体" w:hAnsi="宋体" w:eastAsia="宋体" w:cs="宋体"/>
          <w:b w:val="0"/>
          <w:bCs w:val="0"/>
          <w:color w:val="auto"/>
          <w:sz w:val="24"/>
          <w:szCs w:val="24"/>
          <w:highlight w:val="none"/>
        </w:rPr>
        <w:t>、水蒸气，对环境影响较小，无组织排放。</w:t>
      </w:r>
    </w:p>
    <w:p w14:paraId="4A18449B">
      <w:pPr>
        <w:spacing w:line="360" w:lineRule="auto"/>
        <w:ind w:firstLine="482" w:firstLineChars="200"/>
        <w:jc w:val="left"/>
        <w:rPr>
          <w:rFonts w:hint="default" w:ascii="Times New Roman" w:hAnsi="Times New Roman" w:eastAsia="宋体"/>
          <w:b/>
          <w:bCs/>
          <w:color w:val="auto"/>
          <w:sz w:val="24"/>
          <w:highlight w:val="none"/>
          <w:lang w:val="en-US"/>
        </w:rPr>
      </w:pPr>
      <w:r>
        <w:rPr>
          <w:rFonts w:ascii="Times New Roman" w:hAnsi="Times New Roman" w:eastAsia="宋体"/>
          <w:b/>
          <w:bCs/>
          <w:color w:val="auto"/>
          <w:sz w:val="24"/>
          <w:highlight w:val="none"/>
        </w:rPr>
        <w:t>（</w:t>
      </w:r>
      <w:r>
        <w:rPr>
          <w:rFonts w:hint="eastAsia" w:ascii="Times New Roman" w:hAnsi="Times New Roman" w:eastAsia="宋体"/>
          <w:b/>
          <w:bCs/>
          <w:color w:val="auto"/>
          <w:sz w:val="24"/>
          <w:highlight w:val="none"/>
          <w:lang w:val="en-US" w:eastAsia="zh-CN"/>
        </w:rPr>
        <w:t>2</w:t>
      </w:r>
      <w:r>
        <w:rPr>
          <w:rFonts w:ascii="Times New Roman" w:hAnsi="Times New Roman" w:eastAsia="宋体"/>
          <w:b/>
          <w:bCs/>
          <w:color w:val="auto"/>
          <w:sz w:val="24"/>
          <w:highlight w:val="none"/>
        </w:rPr>
        <w:t>）</w:t>
      </w:r>
      <w:r>
        <w:rPr>
          <w:rFonts w:hint="eastAsia" w:ascii="Times New Roman" w:hAnsi="Times New Roman" w:eastAsia="宋体"/>
          <w:b/>
          <w:bCs/>
          <w:color w:val="auto"/>
          <w:sz w:val="24"/>
          <w:highlight w:val="none"/>
          <w:lang w:val="en-US" w:eastAsia="zh-CN"/>
        </w:rPr>
        <w:t>转化炉燃烧废气G</w:t>
      </w:r>
      <w:r>
        <w:rPr>
          <w:rFonts w:hint="eastAsia" w:ascii="Times New Roman" w:hAnsi="Times New Roman" w:eastAsia="宋体"/>
          <w:b/>
          <w:bCs/>
          <w:color w:val="auto"/>
          <w:sz w:val="24"/>
          <w:highlight w:val="none"/>
          <w:vertAlign w:val="subscript"/>
          <w:lang w:val="en-US" w:eastAsia="zh-CN"/>
        </w:rPr>
        <w:t>2</w:t>
      </w:r>
    </w:p>
    <w:p w14:paraId="677C6EA0">
      <w:pPr>
        <w:spacing w:line="360" w:lineRule="auto"/>
        <w:ind w:firstLine="480" w:firstLineChars="200"/>
        <w:jc w:val="left"/>
        <w:rPr>
          <w:rFonts w:hint="default" w:ascii="Times New Roman" w:hAnsi="Times New Roman" w:eastAsia="宋体" w:cs="Times New Roman"/>
          <w:b w:val="0"/>
          <w:bCs w:val="0"/>
          <w:color w:val="auto"/>
          <w:sz w:val="24"/>
          <w:szCs w:val="24"/>
          <w:highlight w:val="none"/>
        </w:rPr>
      </w:pPr>
      <w:r>
        <w:rPr>
          <w:rFonts w:hint="eastAsia" w:ascii="宋体" w:hAnsi="宋体" w:eastAsia="宋体" w:cs="宋体"/>
          <w:b w:val="0"/>
          <w:bCs w:val="0"/>
          <w:color w:val="auto"/>
          <w:sz w:val="24"/>
          <w:szCs w:val="24"/>
          <w:highlight w:val="none"/>
        </w:rPr>
        <w:t>本项目</w:t>
      </w:r>
      <w:r>
        <w:rPr>
          <w:rFonts w:hint="eastAsia" w:ascii="宋体" w:hAnsi="宋体" w:eastAsia="宋体" w:cs="宋体"/>
          <w:b w:val="0"/>
          <w:bCs w:val="0"/>
          <w:color w:val="auto"/>
          <w:sz w:val="24"/>
          <w:szCs w:val="24"/>
          <w:highlight w:val="none"/>
          <w:lang w:val="en-US" w:eastAsia="zh-CN"/>
        </w:rPr>
        <w:t>沼气</w:t>
      </w:r>
      <w:r>
        <w:rPr>
          <w:rFonts w:hint="eastAsia" w:ascii="宋体" w:hAnsi="宋体" w:eastAsia="宋体" w:cs="宋体"/>
          <w:b w:val="0"/>
          <w:bCs w:val="0"/>
          <w:color w:val="auto"/>
          <w:sz w:val="24"/>
          <w:szCs w:val="24"/>
          <w:highlight w:val="none"/>
        </w:rPr>
        <w:t>重整转化过程为强吸热反应，需要在高温下进行，由管外燃料气（燃料</w:t>
      </w:r>
      <w:r>
        <w:rPr>
          <w:rFonts w:hint="eastAsia" w:ascii="宋体" w:hAnsi="宋体" w:eastAsia="宋体" w:cs="宋体"/>
          <w:b w:val="0"/>
          <w:bCs w:val="0"/>
          <w:color w:val="auto"/>
          <w:sz w:val="24"/>
          <w:szCs w:val="24"/>
          <w:highlight w:val="none"/>
          <w:lang w:val="en-US" w:eastAsia="zh-CN"/>
        </w:rPr>
        <w:t>沼气</w:t>
      </w:r>
      <w:r>
        <w:rPr>
          <w:rFonts w:ascii="Times New Roman" w:hAnsi="Times New Roman" w:eastAsia="Times New Roman" w:cs="Times New Roman"/>
          <w:b w:val="0"/>
          <w:bCs w:val="0"/>
          <w:color w:val="auto"/>
          <w:sz w:val="24"/>
          <w:szCs w:val="24"/>
          <w:highlight w:val="none"/>
        </w:rPr>
        <w:t>+PSA</w:t>
      </w:r>
      <w:r>
        <w:rPr>
          <w:rFonts w:hint="eastAsia" w:ascii="宋体" w:hAnsi="宋体" w:eastAsia="宋体" w:cs="宋体"/>
          <w:b w:val="0"/>
          <w:bCs w:val="0"/>
          <w:color w:val="auto"/>
          <w:sz w:val="24"/>
          <w:szCs w:val="24"/>
          <w:highlight w:val="none"/>
        </w:rPr>
        <w:t>解析气）燃烧后向转化炉供热</w:t>
      </w:r>
      <w:r>
        <w:rPr>
          <w:rFonts w:hint="eastAsia" w:ascii="宋体" w:hAnsi="宋体" w:eastAsia="宋体" w:cs="宋体"/>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供热烟气最终经15m排气筒</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DA001</w:t>
      </w:r>
      <w:r>
        <w:rPr>
          <w:rFonts w:hint="eastAsia" w:ascii="Times New Roman" w:hAnsi="Times New Roman" w:eastAsia="宋体" w:cs="Times New Roman"/>
          <w:b w:val="0"/>
          <w:bCs w:val="0"/>
          <w:color w:val="auto"/>
          <w:sz w:val="24"/>
          <w:szCs w:val="24"/>
          <w:highlight w:val="none"/>
          <w:lang w:val="en-US" w:eastAsia="zh-CN"/>
        </w:rPr>
        <w:t>、DA002、DA003）</w:t>
      </w:r>
      <w:r>
        <w:rPr>
          <w:rFonts w:hint="default" w:ascii="Times New Roman" w:hAnsi="Times New Roman" w:eastAsia="宋体" w:cs="Times New Roman"/>
          <w:b w:val="0"/>
          <w:bCs w:val="0"/>
          <w:color w:val="auto"/>
          <w:sz w:val="24"/>
          <w:szCs w:val="24"/>
          <w:highlight w:val="none"/>
          <w:lang w:val="en-US" w:eastAsia="zh-CN"/>
        </w:rPr>
        <w:t>排放</w:t>
      </w:r>
      <w:r>
        <w:rPr>
          <w:rFonts w:hint="default" w:ascii="Times New Roman" w:hAnsi="Times New Roman" w:eastAsia="宋体" w:cs="Times New Roman"/>
          <w:b w:val="0"/>
          <w:bCs w:val="0"/>
          <w:color w:val="auto"/>
          <w:sz w:val="24"/>
          <w:szCs w:val="24"/>
          <w:highlight w:val="none"/>
        </w:rPr>
        <w:t>。</w:t>
      </w:r>
    </w:p>
    <w:p w14:paraId="5C83ECCF">
      <w:p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根据设计，</w:t>
      </w:r>
      <w:r>
        <w:rPr>
          <w:rFonts w:hint="eastAsia" w:ascii="宋体" w:hAnsi="宋体" w:eastAsia="宋体" w:cs="宋体"/>
          <w:b w:val="0"/>
          <w:bCs w:val="0"/>
          <w:color w:val="auto"/>
          <w:sz w:val="24"/>
          <w:szCs w:val="24"/>
          <w:highlight w:val="none"/>
          <w:lang w:val="en-US" w:eastAsia="zh-CN"/>
        </w:rPr>
        <w:t>单台</w:t>
      </w:r>
      <w:r>
        <w:rPr>
          <w:rFonts w:hint="default" w:ascii="Times New Roman" w:hAnsi="Times New Roman" w:eastAsia="宋体" w:cs="Times New Roman"/>
          <w:b w:val="0"/>
          <w:bCs w:val="0"/>
          <w:color w:val="auto"/>
          <w:sz w:val="24"/>
          <w:szCs w:val="24"/>
          <w:highlight w:val="none"/>
          <w:lang w:val="en-US" w:eastAsia="zh-CN"/>
        </w:rPr>
        <w:t>转化炉需要热量为385347Kcal/h</w:t>
      </w:r>
      <w:r>
        <w:rPr>
          <w:rFonts w:hint="eastAsia" w:ascii="Times New Roman" w:hAnsi="Times New Roman" w:eastAsia="宋体" w:cs="Times New Roman"/>
          <w:b w:val="0"/>
          <w:bCs w:val="0"/>
          <w:color w:val="auto"/>
          <w:sz w:val="24"/>
          <w:szCs w:val="24"/>
          <w:highlight w:val="none"/>
          <w:lang w:val="en-US" w:eastAsia="zh-CN"/>
        </w:rPr>
        <w:t>（1612291.848kJ），</w:t>
      </w:r>
      <w:r>
        <w:rPr>
          <w:rFonts w:hint="eastAsia" w:ascii="宋体" w:hAnsi="宋体" w:eastAsia="宋体" w:cs="宋体"/>
          <w:b w:val="0"/>
          <w:bCs w:val="0"/>
          <w:color w:val="auto"/>
          <w:sz w:val="24"/>
          <w:szCs w:val="24"/>
          <w:highlight w:val="none"/>
        </w:rPr>
        <w:t>根据物料衡算，</w:t>
      </w:r>
      <w:r>
        <w:rPr>
          <w:rFonts w:hint="eastAsia" w:ascii="Times New Roman" w:hAnsi="Times New Roman" w:eastAsia="宋体" w:cs="Times New Roman"/>
          <w:b w:val="0"/>
          <w:bCs w:val="0"/>
          <w:color w:val="auto"/>
          <w:sz w:val="24"/>
          <w:szCs w:val="24"/>
          <w:highlight w:val="none"/>
          <w:lang w:val="en-US" w:eastAsia="zh-CN"/>
        </w:rPr>
        <w:t>单套设备</w:t>
      </w:r>
      <w:r>
        <w:rPr>
          <w:rFonts w:hint="default" w:ascii="Times New Roman" w:hAnsi="Times New Roman" w:eastAsia="Times New Roman" w:cs="Times New Roman"/>
          <w:b w:val="0"/>
          <w:bCs w:val="0"/>
          <w:color w:val="auto"/>
          <w:sz w:val="24"/>
          <w:szCs w:val="24"/>
          <w:highlight w:val="none"/>
        </w:rPr>
        <w:t>PSA</w:t>
      </w:r>
      <w:r>
        <w:rPr>
          <w:rFonts w:hint="eastAsia" w:ascii="宋体" w:hAnsi="宋体" w:eastAsia="宋体" w:cs="宋体"/>
          <w:b w:val="0"/>
          <w:bCs w:val="0"/>
          <w:color w:val="auto"/>
          <w:sz w:val="24"/>
          <w:szCs w:val="24"/>
          <w:highlight w:val="none"/>
        </w:rPr>
        <w:t>解</w:t>
      </w:r>
      <w:r>
        <w:rPr>
          <w:rFonts w:hint="eastAsia" w:ascii="宋体" w:hAnsi="宋体" w:eastAsia="宋体" w:cs="宋体"/>
          <w:b w:val="0"/>
          <w:bCs w:val="0"/>
          <w:color w:val="auto"/>
          <w:sz w:val="24"/>
          <w:szCs w:val="24"/>
          <w:highlight w:val="none"/>
          <w:lang w:val="en-US" w:eastAsia="zh-CN"/>
        </w:rPr>
        <w:t>吸</w:t>
      </w:r>
      <w:r>
        <w:rPr>
          <w:rFonts w:hint="eastAsia" w:ascii="宋体" w:hAnsi="宋体" w:eastAsia="宋体" w:cs="宋体"/>
          <w:b w:val="0"/>
          <w:bCs w:val="0"/>
          <w:color w:val="auto"/>
          <w:sz w:val="24"/>
          <w:szCs w:val="24"/>
          <w:highlight w:val="none"/>
        </w:rPr>
        <w:t>气产生量为</w:t>
      </w:r>
      <w:r>
        <w:rPr>
          <w:rFonts w:hint="eastAsia" w:ascii="Times New Roman" w:hAnsi="Times New Roman" w:eastAsia="宋体" w:cs="Times New Roman"/>
          <w:b w:val="0"/>
          <w:bCs w:val="0"/>
          <w:color w:val="auto"/>
          <w:sz w:val="24"/>
          <w:szCs w:val="24"/>
          <w:highlight w:val="none"/>
          <w:lang w:val="en-US" w:eastAsia="zh-CN"/>
        </w:rPr>
        <w:t>412.9kg</w:t>
      </w:r>
      <w:r>
        <w:rPr>
          <w:rFonts w:hint="default" w:ascii="Times New Roman" w:hAnsi="Times New Roman" w:eastAsia="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h，单套产生量为2972.88t/a（</w:t>
      </w:r>
      <w:r>
        <w:rPr>
          <w:rFonts w:hint="eastAsia" w:ascii="宋体" w:hAnsi="宋体" w:eastAsia="宋体" w:cs="宋体"/>
          <w:b w:val="0"/>
          <w:bCs w:val="0"/>
          <w:color w:val="auto"/>
          <w:sz w:val="24"/>
          <w:szCs w:val="24"/>
          <w:highlight w:val="none"/>
        </w:rPr>
        <w:t>约</w:t>
      </w:r>
      <w:r>
        <w:rPr>
          <w:rFonts w:hint="eastAsia" w:ascii="Times New Roman" w:hAnsi="Times New Roman" w:eastAsia="宋体" w:cs="Times New Roman"/>
          <w:b w:val="0"/>
          <w:bCs w:val="0"/>
          <w:color w:val="auto"/>
          <w:sz w:val="24"/>
          <w:szCs w:val="24"/>
          <w:highlight w:val="none"/>
          <w:lang w:val="en-US" w:eastAsia="zh-CN"/>
        </w:rPr>
        <w:t>275.6</w:t>
      </w:r>
      <w:r>
        <w:rPr>
          <w:rFonts w:hint="eastAsia" w:ascii="宋体" w:hAnsi="宋体" w:eastAsia="宋体" w:cs="宋体"/>
          <w:b w:val="0"/>
          <w:bCs w:val="0"/>
          <w:color w:val="auto"/>
          <w:sz w:val="24"/>
          <w:szCs w:val="24"/>
          <w:highlight w:val="none"/>
        </w:rPr>
        <w:t>万</w:t>
      </w:r>
      <w:r>
        <w:rPr>
          <w:rFonts w:hint="default" w:ascii="Times New Roman" w:hAnsi="Times New Roman" w:eastAsia="Times New Roman" w:cs="Times New Roman"/>
          <w:b w:val="0"/>
          <w:bCs w:val="0"/>
          <w:color w:val="auto"/>
          <w:sz w:val="24"/>
          <w:szCs w:val="24"/>
          <w:highlight w:val="none"/>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，其中氢气约</w:t>
      </w:r>
      <w:r>
        <w:rPr>
          <w:rFonts w:hint="eastAsia" w:ascii="Times New Roman" w:hAnsi="Times New Roman" w:eastAsia="宋体" w:cs="Times New Roman"/>
          <w:b w:val="0"/>
          <w:bCs w:val="0"/>
          <w:color w:val="auto"/>
          <w:sz w:val="24"/>
          <w:szCs w:val="24"/>
          <w:highlight w:val="none"/>
          <w:lang w:val="en-US" w:eastAsia="zh-CN"/>
        </w:rPr>
        <w:t>92.105</w:t>
      </w:r>
      <w:r>
        <w:rPr>
          <w:rFonts w:hint="eastAsia" w:ascii="宋体" w:hAnsi="宋体" w:eastAsia="宋体" w:cs="宋体"/>
          <w:b w:val="0"/>
          <w:bCs w:val="0"/>
          <w:color w:val="auto"/>
          <w:sz w:val="24"/>
          <w:szCs w:val="24"/>
          <w:highlight w:val="none"/>
        </w:rPr>
        <w:t>万</w:t>
      </w:r>
      <w:r>
        <w:rPr>
          <w:rFonts w:hint="default" w:ascii="Times New Roman" w:hAnsi="Times New Roman" w:eastAsia="Times New Roman" w:cs="Times New Roman"/>
          <w:b w:val="0"/>
          <w:bCs w:val="0"/>
          <w:color w:val="auto"/>
          <w:sz w:val="24"/>
          <w:szCs w:val="24"/>
          <w:highlight w:val="none"/>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C</w:t>
      </w:r>
      <w:r>
        <w:rPr>
          <w:rFonts w:hint="eastAsia" w:ascii="Times New Roman" w:hAnsi="Times New Roman" w:eastAsia="宋体" w:cs="Times New Roman"/>
          <w:b w:val="0"/>
          <w:bCs w:val="0"/>
          <w:color w:val="auto"/>
          <w:sz w:val="24"/>
          <w:szCs w:val="24"/>
          <w:highlight w:val="none"/>
          <w:lang w:val="en-US" w:eastAsia="zh-CN"/>
        </w:rPr>
        <w:t>H</w:t>
      </w:r>
      <w:r>
        <w:rPr>
          <w:rFonts w:hint="eastAsia" w:ascii="Times New Roman" w:hAnsi="Times New Roman" w:eastAsia="宋体" w:cs="Times New Roman"/>
          <w:b w:val="0"/>
          <w:bCs w:val="0"/>
          <w:color w:val="auto"/>
          <w:sz w:val="24"/>
          <w:szCs w:val="24"/>
          <w:highlight w:val="none"/>
          <w:vertAlign w:val="subscript"/>
          <w:lang w:val="en-US" w:eastAsia="zh-CN"/>
        </w:rPr>
        <w:t>4</w:t>
      </w:r>
      <w:r>
        <w:rPr>
          <w:rFonts w:hint="eastAsia" w:ascii="宋体" w:hAnsi="宋体" w:eastAsia="宋体" w:cs="宋体"/>
          <w:b w:val="0"/>
          <w:bCs w:val="0"/>
          <w:color w:val="auto"/>
          <w:sz w:val="24"/>
          <w:szCs w:val="24"/>
          <w:highlight w:val="none"/>
        </w:rPr>
        <w:t>约</w:t>
      </w:r>
      <w:r>
        <w:rPr>
          <w:rFonts w:hint="eastAsia" w:ascii="Times New Roman" w:hAnsi="Times New Roman" w:eastAsia="宋体" w:cs="Times New Roman"/>
          <w:b w:val="0"/>
          <w:bCs w:val="0"/>
          <w:color w:val="auto"/>
          <w:sz w:val="24"/>
          <w:szCs w:val="24"/>
          <w:highlight w:val="none"/>
          <w:lang w:val="en-US" w:eastAsia="zh-CN"/>
        </w:rPr>
        <w:t>48.67</w:t>
      </w:r>
      <w:r>
        <w:rPr>
          <w:rFonts w:hint="eastAsia" w:ascii="宋体" w:hAnsi="宋体" w:eastAsia="宋体" w:cs="宋体"/>
          <w:b w:val="0"/>
          <w:bCs w:val="0"/>
          <w:color w:val="auto"/>
          <w:sz w:val="24"/>
          <w:szCs w:val="24"/>
          <w:highlight w:val="none"/>
        </w:rPr>
        <w:t>万</w:t>
      </w:r>
      <w:r>
        <w:rPr>
          <w:rFonts w:hint="default" w:ascii="Times New Roman" w:hAnsi="Times New Roman" w:eastAsia="Times New Roman" w:cs="Times New Roman"/>
          <w:b w:val="0"/>
          <w:bCs w:val="0"/>
          <w:color w:val="auto"/>
          <w:sz w:val="24"/>
          <w:szCs w:val="24"/>
          <w:highlight w:val="none"/>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/a</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Times New Roman" w:cs="Times New Roman"/>
          <w:b w:val="0"/>
          <w:bCs w:val="0"/>
          <w:color w:val="auto"/>
          <w:sz w:val="24"/>
          <w:szCs w:val="24"/>
          <w:highlight w:val="none"/>
        </w:rPr>
        <w:t>CO</w:t>
      </w:r>
      <w:r>
        <w:rPr>
          <w:rFonts w:hint="eastAsia" w:ascii="宋体" w:hAnsi="宋体" w:eastAsia="宋体" w:cs="宋体"/>
          <w:b w:val="0"/>
          <w:bCs w:val="0"/>
          <w:color w:val="auto"/>
          <w:sz w:val="24"/>
          <w:szCs w:val="24"/>
          <w:highlight w:val="none"/>
        </w:rPr>
        <w:t>和</w:t>
      </w:r>
      <w:r>
        <w:rPr>
          <w:rFonts w:hint="eastAsia" w:ascii="宋体" w:hAnsi="宋体" w:eastAsia="宋体" w:cs="宋体"/>
          <w:b w:val="0"/>
          <w:bCs w:val="0"/>
          <w:color w:val="auto"/>
          <w:sz w:val="24"/>
          <w:szCs w:val="24"/>
          <w:highlight w:val="none"/>
          <w:lang w:val="en-US" w:eastAsia="zh-CN"/>
        </w:rPr>
        <w:t>其他</w:t>
      </w:r>
      <w:r>
        <w:rPr>
          <w:rFonts w:hint="eastAsia" w:ascii="宋体" w:hAnsi="宋体" w:eastAsia="宋体" w:cs="宋体"/>
          <w:b w:val="0"/>
          <w:bCs w:val="0"/>
          <w:color w:val="auto"/>
          <w:sz w:val="24"/>
          <w:szCs w:val="24"/>
          <w:highlight w:val="none"/>
        </w:rPr>
        <w:t>烃类等约</w:t>
      </w:r>
      <w:r>
        <w:rPr>
          <w:rFonts w:hint="eastAsia" w:ascii="Times New Roman" w:hAnsi="Times New Roman" w:eastAsia="宋体" w:cs="Times New Roman"/>
          <w:b w:val="0"/>
          <w:bCs w:val="0"/>
          <w:color w:val="auto"/>
          <w:sz w:val="24"/>
          <w:szCs w:val="24"/>
          <w:highlight w:val="none"/>
          <w:lang w:val="en-US" w:eastAsia="zh-CN"/>
        </w:rPr>
        <w:t>12.926</w:t>
      </w:r>
      <w:r>
        <w:rPr>
          <w:rFonts w:hint="eastAsia" w:ascii="宋体" w:hAnsi="宋体" w:eastAsia="宋体" w:cs="宋体"/>
          <w:b w:val="0"/>
          <w:bCs w:val="0"/>
          <w:color w:val="auto"/>
          <w:sz w:val="24"/>
          <w:szCs w:val="24"/>
          <w:highlight w:val="none"/>
        </w:rPr>
        <w:t>万</w:t>
      </w:r>
      <w:r>
        <w:rPr>
          <w:rFonts w:hint="default" w:ascii="Times New Roman" w:hAnsi="Times New Roman" w:eastAsia="Times New Roman" w:cs="Times New Roman"/>
          <w:b w:val="0"/>
          <w:bCs w:val="0"/>
          <w:color w:val="auto"/>
          <w:sz w:val="24"/>
          <w:szCs w:val="24"/>
          <w:highlight w:val="none"/>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，可</w:t>
      </w:r>
      <w:r>
        <w:rPr>
          <w:rFonts w:hint="eastAsia" w:ascii="Times New Roman" w:hAnsi="Times New Roman" w:eastAsia="宋体" w:cs="Times New Roman"/>
          <w:b w:val="0"/>
          <w:bCs w:val="0"/>
          <w:color w:val="auto"/>
          <w:sz w:val="24"/>
          <w:szCs w:val="24"/>
          <w:highlight w:val="none"/>
          <w:lang w:val="en-US" w:eastAsia="zh-CN"/>
        </w:rPr>
        <w:t>燃组分合计量为153.701万</w:t>
      </w:r>
      <w:r>
        <w:rPr>
          <w:rFonts w:hint="default" w:ascii="Times New Roman" w:hAnsi="Times New Roman" w:eastAsia="宋体" w:cs="Times New Roman"/>
          <w:b w:val="0"/>
          <w:bCs w:val="0"/>
          <w:color w:val="auto"/>
          <w:sz w:val="24"/>
          <w:szCs w:val="24"/>
          <w:highlight w:val="none"/>
          <w:lang w:val="en-US" w:eastAsia="zh-CN"/>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/a</w:t>
      </w:r>
      <w:r>
        <w:rPr>
          <w:rFonts w:hint="eastAsia" w:ascii="Times New Roman" w:hAnsi="Times New Roman" w:eastAsia="宋体" w:cs="Times New Roman"/>
          <w:b w:val="0"/>
          <w:bCs w:val="0"/>
          <w:color w:val="auto"/>
          <w:sz w:val="24"/>
          <w:szCs w:val="24"/>
          <w:highlight w:val="none"/>
          <w:lang w:val="en-US" w:eastAsia="zh-CN"/>
        </w:rPr>
        <w:t>，其余为二氧化碳等不可燃气体，解吸气低位发热值为3720kJ/kg），三套年产生量为8918.64t/a</w:t>
      </w:r>
      <w:r>
        <w:rPr>
          <w:rFonts w:hint="eastAsia" w:ascii="宋体" w:hAnsi="宋体" w:eastAsia="宋体" w:cs="宋体"/>
          <w:b w:val="0"/>
          <w:bCs w:val="0"/>
          <w:color w:val="auto"/>
          <w:sz w:val="24"/>
          <w:szCs w:val="24"/>
          <w:highlight w:val="none"/>
        </w:rPr>
        <w:t>（约</w:t>
      </w:r>
      <w:r>
        <w:rPr>
          <w:rFonts w:hint="eastAsia" w:ascii="Times New Roman" w:hAnsi="Times New Roman" w:eastAsia="宋体" w:cs="Times New Roman"/>
          <w:b w:val="0"/>
          <w:bCs w:val="0"/>
          <w:color w:val="auto"/>
          <w:sz w:val="24"/>
          <w:szCs w:val="24"/>
          <w:highlight w:val="none"/>
          <w:lang w:val="en-US" w:eastAsia="zh-CN"/>
        </w:rPr>
        <w:t>826.8</w:t>
      </w:r>
      <w:r>
        <w:rPr>
          <w:rFonts w:hint="eastAsia" w:ascii="宋体" w:hAnsi="宋体" w:eastAsia="宋体" w:cs="宋体"/>
          <w:b w:val="0"/>
          <w:bCs w:val="0"/>
          <w:color w:val="auto"/>
          <w:sz w:val="24"/>
          <w:szCs w:val="24"/>
          <w:highlight w:val="none"/>
        </w:rPr>
        <w:t>万</w:t>
      </w:r>
      <w:r>
        <w:rPr>
          <w:rFonts w:hint="default" w:ascii="Times New Roman" w:hAnsi="Times New Roman" w:eastAsia="Times New Roman" w:cs="Times New Roman"/>
          <w:b w:val="0"/>
          <w:bCs w:val="0"/>
          <w:color w:val="auto"/>
          <w:sz w:val="24"/>
          <w:szCs w:val="24"/>
          <w:highlight w:val="none"/>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，其中氢气约</w:t>
      </w:r>
      <w:r>
        <w:rPr>
          <w:rFonts w:hint="eastAsia" w:ascii="Times New Roman" w:hAnsi="Times New Roman" w:eastAsia="宋体" w:cs="Times New Roman"/>
          <w:b w:val="0"/>
          <w:bCs w:val="0"/>
          <w:color w:val="auto"/>
          <w:sz w:val="24"/>
          <w:szCs w:val="24"/>
          <w:highlight w:val="none"/>
          <w:lang w:val="en-US" w:eastAsia="zh-CN"/>
        </w:rPr>
        <w:t>276.315</w:t>
      </w:r>
      <w:r>
        <w:rPr>
          <w:rFonts w:hint="eastAsia" w:ascii="宋体" w:hAnsi="宋体" w:eastAsia="宋体" w:cs="宋体"/>
          <w:b w:val="0"/>
          <w:bCs w:val="0"/>
          <w:color w:val="auto"/>
          <w:sz w:val="24"/>
          <w:szCs w:val="24"/>
          <w:highlight w:val="none"/>
        </w:rPr>
        <w:t>万</w:t>
      </w:r>
      <w:r>
        <w:rPr>
          <w:rFonts w:hint="default" w:ascii="Times New Roman" w:hAnsi="Times New Roman" w:eastAsia="Times New Roman" w:cs="Times New Roman"/>
          <w:b w:val="0"/>
          <w:bCs w:val="0"/>
          <w:color w:val="auto"/>
          <w:sz w:val="24"/>
          <w:szCs w:val="24"/>
          <w:highlight w:val="none"/>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C</w:t>
      </w:r>
      <w:r>
        <w:rPr>
          <w:rFonts w:hint="eastAsia" w:ascii="Times New Roman" w:hAnsi="Times New Roman" w:eastAsia="宋体" w:cs="Times New Roman"/>
          <w:b w:val="0"/>
          <w:bCs w:val="0"/>
          <w:color w:val="auto"/>
          <w:sz w:val="24"/>
          <w:szCs w:val="24"/>
          <w:highlight w:val="none"/>
          <w:lang w:val="en-US" w:eastAsia="zh-CN"/>
        </w:rPr>
        <w:t>H</w:t>
      </w:r>
      <w:r>
        <w:rPr>
          <w:rFonts w:hint="eastAsia" w:ascii="Times New Roman" w:hAnsi="Times New Roman" w:eastAsia="宋体" w:cs="Times New Roman"/>
          <w:b w:val="0"/>
          <w:bCs w:val="0"/>
          <w:color w:val="auto"/>
          <w:sz w:val="24"/>
          <w:szCs w:val="24"/>
          <w:highlight w:val="none"/>
          <w:vertAlign w:val="subscript"/>
          <w:lang w:val="en-US" w:eastAsia="zh-CN"/>
        </w:rPr>
        <w:t>4</w:t>
      </w:r>
      <w:r>
        <w:rPr>
          <w:rFonts w:hint="eastAsia" w:ascii="宋体" w:hAnsi="宋体" w:eastAsia="宋体" w:cs="宋体"/>
          <w:b w:val="0"/>
          <w:bCs w:val="0"/>
          <w:color w:val="auto"/>
          <w:sz w:val="24"/>
          <w:szCs w:val="24"/>
          <w:highlight w:val="none"/>
        </w:rPr>
        <w:t>约</w:t>
      </w:r>
      <w:r>
        <w:rPr>
          <w:rFonts w:hint="eastAsia" w:ascii="Times New Roman" w:hAnsi="Times New Roman" w:eastAsia="宋体" w:cs="Times New Roman"/>
          <w:b w:val="0"/>
          <w:bCs w:val="0"/>
          <w:color w:val="auto"/>
          <w:sz w:val="24"/>
          <w:szCs w:val="24"/>
          <w:highlight w:val="none"/>
          <w:lang w:val="en-US" w:eastAsia="zh-CN"/>
        </w:rPr>
        <w:t>146.01</w:t>
      </w:r>
      <w:r>
        <w:rPr>
          <w:rFonts w:hint="eastAsia" w:ascii="宋体" w:hAnsi="宋体" w:eastAsia="宋体" w:cs="宋体"/>
          <w:b w:val="0"/>
          <w:bCs w:val="0"/>
          <w:color w:val="auto"/>
          <w:sz w:val="24"/>
          <w:szCs w:val="24"/>
          <w:highlight w:val="none"/>
        </w:rPr>
        <w:t>万</w:t>
      </w:r>
      <w:r>
        <w:rPr>
          <w:rFonts w:hint="default" w:ascii="Times New Roman" w:hAnsi="Times New Roman" w:eastAsia="Times New Roman" w:cs="Times New Roman"/>
          <w:b w:val="0"/>
          <w:bCs w:val="0"/>
          <w:color w:val="auto"/>
          <w:sz w:val="24"/>
          <w:szCs w:val="24"/>
          <w:highlight w:val="none"/>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/a</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Times New Roman" w:cs="Times New Roman"/>
          <w:b w:val="0"/>
          <w:bCs w:val="0"/>
          <w:color w:val="auto"/>
          <w:sz w:val="24"/>
          <w:szCs w:val="24"/>
          <w:highlight w:val="none"/>
        </w:rPr>
        <w:t>CO</w:t>
      </w:r>
      <w:r>
        <w:rPr>
          <w:rFonts w:hint="eastAsia" w:ascii="宋体" w:hAnsi="宋体" w:eastAsia="宋体" w:cs="宋体"/>
          <w:b w:val="0"/>
          <w:bCs w:val="0"/>
          <w:color w:val="auto"/>
          <w:sz w:val="24"/>
          <w:szCs w:val="24"/>
          <w:highlight w:val="none"/>
        </w:rPr>
        <w:t>和</w:t>
      </w:r>
      <w:r>
        <w:rPr>
          <w:rFonts w:hint="eastAsia" w:ascii="宋体" w:hAnsi="宋体" w:eastAsia="宋体" w:cs="宋体"/>
          <w:b w:val="0"/>
          <w:bCs w:val="0"/>
          <w:color w:val="auto"/>
          <w:sz w:val="24"/>
          <w:szCs w:val="24"/>
          <w:highlight w:val="none"/>
          <w:lang w:val="en-US" w:eastAsia="zh-CN"/>
        </w:rPr>
        <w:t>其他</w:t>
      </w:r>
      <w:r>
        <w:rPr>
          <w:rFonts w:hint="eastAsia" w:ascii="宋体" w:hAnsi="宋体" w:eastAsia="宋体" w:cs="宋体"/>
          <w:b w:val="0"/>
          <w:bCs w:val="0"/>
          <w:color w:val="auto"/>
          <w:sz w:val="24"/>
          <w:szCs w:val="24"/>
          <w:highlight w:val="none"/>
        </w:rPr>
        <w:t>烃类等约</w:t>
      </w:r>
      <w:r>
        <w:rPr>
          <w:rFonts w:hint="eastAsia" w:ascii="Times New Roman" w:hAnsi="Times New Roman" w:eastAsia="宋体" w:cs="Times New Roman"/>
          <w:b w:val="0"/>
          <w:bCs w:val="0"/>
          <w:color w:val="auto"/>
          <w:sz w:val="24"/>
          <w:szCs w:val="24"/>
          <w:highlight w:val="none"/>
          <w:lang w:val="en-US" w:eastAsia="zh-CN"/>
        </w:rPr>
        <w:t>38.778</w:t>
      </w:r>
      <w:r>
        <w:rPr>
          <w:rFonts w:hint="eastAsia" w:ascii="宋体" w:hAnsi="宋体" w:eastAsia="宋体" w:cs="宋体"/>
          <w:b w:val="0"/>
          <w:bCs w:val="0"/>
          <w:color w:val="auto"/>
          <w:sz w:val="24"/>
          <w:szCs w:val="24"/>
          <w:highlight w:val="none"/>
        </w:rPr>
        <w:t>万</w:t>
      </w:r>
      <w:r>
        <w:rPr>
          <w:rFonts w:hint="default" w:ascii="Times New Roman" w:hAnsi="Times New Roman" w:eastAsia="Times New Roman" w:cs="Times New Roman"/>
          <w:b w:val="0"/>
          <w:bCs w:val="0"/>
          <w:color w:val="auto"/>
          <w:sz w:val="24"/>
          <w:szCs w:val="24"/>
          <w:highlight w:val="none"/>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，可</w:t>
      </w:r>
      <w:r>
        <w:rPr>
          <w:rFonts w:hint="eastAsia" w:ascii="Times New Roman" w:hAnsi="Times New Roman" w:eastAsia="宋体" w:cs="Times New Roman"/>
          <w:b w:val="0"/>
          <w:bCs w:val="0"/>
          <w:color w:val="auto"/>
          <w:sz w:val="24"/>
          <w:szCs w:val="24"/>
          <w:highlight w:val="none"/>
          <w:lang w:val="en-US" w:eastAsia="zh-CN"/>
        </w:rPr>
        <w:t>燃组分合计量为461.103万</w:t>
      </w:r>
      <w:r>
        <w:rPr>
          <w:rFonts w:hint="default" w:ascii="Times New Roman" w:hAnsi="Times New Roman" w:eastAsia="宋体" w:cs="Times New Roman"/>
          <w:b w:val="0"/>
          <w:bCs w:val="0"/>
          <w:color w:val="auto"/>
          <w:sz w:val="24"/>
          <w:szCs w:val="24"/>
          <w:highlight w:val="none"/>
          <w:lang w:val="en-US" w:eastAsia="zh-CN"/>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/a</w:t>
      </w:r>
      <w:r>
        <w:rPr>
          <w:rFonts w:hint="eastAsia" w:ascii="Times New Roman" w:hAnsi="Times New Roman" w:eastAsia="宋体" w:cs="Times New Roman"/>
          <w:b w:val="0"/>
          <w:bCs w:val="0"/>
          <w:color w:val="auto"/>
          <w:sz w:val="24"/>
          <w:szCs w:val="24"/>
          <w:highlight w:val="none"/>
          <w:lang w:val="en-US" w:eastAsia="zh-CN"/>
        </w:rPr>
        <w:t>，其余为二氧化碳等不可燃气体，解吸气低位发热值为3720kJ/kg），剩余热量不足部分燃烧净化沼气，本项目所用沼气低位发热值35000kJ/kg，则根据热量平衡，则单套装置需要额外补充沼气2.18kg/h（15.696t/a，20706.15</w:t>
      </w:r>
      <w:r>
        <w:rPr>
          <w:rFonts w:hint="default" w:ascii="Times New Roman" w:hAnsi="Times New Roman" w:eastAsia="宋体" w:cs="Times New Roman"/>
          <w:b w:val="0"/>
          <w:bCs w:val="0"/>
          <w:color w:val="auto"/>
          <w:sz w:val="24"/>
          <w:szCs w:val="24"/>
          <w:highlight w:val="none"/>
          <w:lang w:val="en-US" w:eastAsia="zh-CN"/>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/a</w:t>
      </w:r>
      <w:r>
        <w:rPr>
          <w:rFonts w:hint="eastAsia" w:ascii="Times New Roman" w:hAnsi="Times New Roman" w:eastAsia="宋体" w:cs="Times New Roman"/>
          <w:b w:val="0"/>
          <w:bCs w:val="0"/>
          <w:color w:val="auto"/>
          <w:sz w:val="24"/>
          <w:szCs w:val="24"/>
          <w:highlight w:val="none"/>
          <w:lang w:val="en-US" w:eastAsia="zh-CN"/>
        </w:rPr>
        <w:t>），三套装置沼气年燃烧使用量47.088t/a（62118.45</w:t>
      </w:r>
      <w:r>
        <w:rPr>
          <w:rFonts w:hint="default" w:ascii="Times New Roman" w:hAnsi="Times New Roman" w:eastAsia="宋体" w:cs="Times New Roman"/>
          <w:b w:val="0"/>
          <w:bCs w:val="0"/>
          <w:color w:val="auto"/>
          <w:sz w:val="24"/>
          <w:szCs w:val="24"/>
          <w:highlight w:val="none"/>
          <w:lang w:val="en-US" w:eastAsia="zh-CN"/>
        </w:rPr>
        <w:t>Nm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/a</w:t>
      </w:r>
      <w:r>
        <w:rPr>
          <w:rFonts w:hint="eastAsia" w:ascii="Times New Roman" w:hAnsi="Times New Roman" w:eastAsia="宋体" w:cs="Times New Roman"/>
          <w:b w:val="0"/>
          <w:bCs w:val="0"/>
          <w:color w:val="auto"/>
          <w:sz w:val="24"/>
          <w:szCs w:val="24"/>
          <w:highlight w:val="none"/>
          <w:lang w:val="en-US" w:eastAsia="zh-CN"/>
        </w:rPr>
        <w:t>）</w:t>
      </w:r>
      <w:r>
        <w:rPr>
          <w:rFonts w:hint="eastAsia" w:ascii="宋体" w:hAnsi="宋体" w:eastAsia="宋体" w:cs="宋体"/>
          <w:b w:val="0"/>
          <w:bCs w:val="0"/>
          <w:color w:val="auto"/>
          <w:sz w:val="24"/>
          <w:szCs w:val="24"/>
          <w:highlight w:val="none"/>
        </w:rPr>
        <w:t>。燃料气燃烧会产生二氧化硫、氮氧化物、颗粒物、非甲烷总烃。</w:t>
      </w:r>
    </w:p>
    <w:p w14:paraId="4B5F77E9">
      <w:pPr>
        <w:spacing w:line="360" w:lineRule="auto"/>
        <w:ind w:firstLine="480" w:firstLineChars="200"/>
        <w:jc w:val="left"/>
        <w:rPr>
          <w:rFonts w:hint="eastAsia" w:ascii="宋体" w:hAnsi="宋体" w:eastAsia="宋体" w:cs="宋体"/>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①</w:t>
      </w:r>
      <w:r>
        <w:rPr>
          <w:rFonts w:hint="default" w:ascii="Times New Roman" w:hAnsi="Times New Roman" w:eastAsia="宋体" w:cs="Times New Roman"/>
          <w:b w:val="0"/>
          <w:bCs w:val="0"/>
          <w:color w:val="auto"/>
          <w:sz w:val="24"/>
          <w:szCs w:val="24"/>
          <w:highlight w:val="none"/>
        </w:rPr>
        <w:t>氮氧化物、颗粒物</w:t>
      </w:r>
      <w:r>
        <w:rPr>
          <w:rFonts w:hint="default" w:ascii="Times New Roman" w:hAnsi="Times New Roman" w:eastAsia="宋体" w:cs="Times New Roman"/>
          <w:color w:val="auto"/>
          <w:sz w:val="24"/>
          <w:highlight w:val="none"/>
          <w:lang w:val="en-US" w:eastAsia="zh-CN"/>
        </w:rPr>
        <w:t>参考《排放源统计调查产排污核算方法和系数手册》中《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中天然气工业炉窑产排污系数。</w:t>
      </w:r>
      <w:r>
        <w:rPr>
          <w:rFonts w:hint="eastAsia" w:ascii="宋体" w:hAnsi="宋体" w:eastAsia="宋体" w:cs="宋体"/>
          <w:b w:val="0"/>
          <w:bCs w:val="0"/>
          <w:color w:val="auto"/>
          <w:sz w:val="24"/>
          <w:szCs w:val="24"/>
          <w:highlight w:val="none"/>
        </w:rPr>
        <w:t>解</w:t>
      </w:r>
      <w:r>
        <w:rPr>
          <w:rFonts w:hint="eastAsia" w:ascii="宋体" w:hAnsi="宋体" w:eastAsia="宋体" w:cs="宋体"/>
          <w:b w:val="0"/>
          <w:bCs w:val="0"/>
          <w:color w:val="auto"/>
          <w:sz w:val="24"/>
          <w:szCs w:val="24"/>
          <w:highlight w:val="none"/>
          <w:lang w:val="en-US" w:eastAsia="zh-CN"/>
        </w:rPr>
        <w:t>吸</w:t>
      </w:r>
      <w:r>
        <w:rPr>
          <w:rFonts w:hint="eastAsia" w:ascii="宋体" w:hAnsi="宋体" w:eastAsia="宋体" w:cs="宋体"/>
          <w:b w:val="0"/>
          <w:bCs w:val="0"/>
          <w:color w:val="auto"/>
          <w:sz w:val="24"/>
          <w:szCs w:val="24"/>
          <w:highlight w:val="none"/>
        </w:rPr>
        <w:t>气</w:t>
      </w:r>
      <w:r>
        <w:rPr>
          <w:rFonts w:hint="eastAsia" w:ascii="宋体" w:hAnsi="宋体" w:eastAsia="宋体" w:cs="宋体"/>
          <w:b w:val="0"/>
          <w:bCs w:val="0"/>
          <w:color w:val="auto"/>
          <w:sz w:val="24"/>
          <w:szCs w:val="24"/>
          <w:highlight w:val="none"/>
          <w:lang w:val="en-US" w:eastAsia="zh-CN"/>
        </w:rPr>
        <w:t>按照可燃部分核算燃烧烟气产生量，不燃部分直接作为烟气组成部分。沼气燃烧产生烟气计入烟气产生量。</w:t>
      </w:r>
    </w:p>
    <w:p w14:paraId="4E893107">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单套设备废气产生量为</w:t>
      </w:r>
      <w:r>
        <w:rPr>
          <w:rFonts w:hint="eastAsia" w:ascii="宋体" w:hAnsi="宋体" w:eastAsia="宋体" w:cs="宋体"/>
          <w:b w:val="0"/>
          <w:bCs w:val="0"/>
          <w:color w:val="auto"/>
          <w:sz w:val="24"/>
          <w:szCs w:val="24"/>
          <w:highlight w:val="none"/>
          <w:lang w:val="en-US" w:eastAsia="zh-CN"/>
        </w:rPr>
        <w:t>：</w:t>
      </w:r>
    </w:p>
    <w:p w14:paraId="0416BBD6">
      <w:pPr>
        <w:spacing w:line="360" w:lineRule="auto"/>
        <w:ind w:firstLine="480" w:firstLineChars="200"/>
        <w:jc w:val="left"/>
        <w:rPr>
          <w:rFonts w:hint="eastAsia" w:ascii="Times New Roman" w:hAnsi="Times New Roman" w:eastAsia="宋体" w:cs="Times New Roman"/>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lang w:val="en-US" w:eastAsia="zh-CN"/>
        </w:rPr>
        <w:t>烟气产生量为</w:t>
      </w:r>
      <w:r>
        <w:rPr>
          <w:rFonts w:hint="eastAsia" w:ascii="Times New Roman" w:hAnsi="Times New Roman" w:eastAsia="宋体" w:cs="Times New Roman"/>
          <w:b w:val="0"/>
          <w:bCs w:val="0"/>
          <w:color w:val="auto"/>
          <w:sz w:val="24"/>
          <w:szCs w:val="24"/>
          <w:highlight w:val="none"/>
          <w:lang w:val="en-US" w:eastAsia="zh-CN"/>
        </w:rPr>
        <w:t>153.701</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default" w:ascii="Times New Roman" w:hAnsi="Times New Roman" w:eastAsia="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13.6+（275.6</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lang w:val="en-US" w:eastAsia="zh-CN"/>
        </w:rPr>
        <w:t>153.701</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eastAsia"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lang w:val="en-US" w:eastAsia="zh-CN"/>
        </w:rPr>
        <w:t>20706.15</w:t>
      </w:r>
      <w:r>
        <w:rPr>
          <w:rFonts w:hint="default" w:ascii="Times New Roman" w:hAnsi="Times New Roman" w:eastAsia="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13.6=22403929.64</w:t>
      </w:r>
      <w:r>
        <w:rPr>
          <w:rFonts w:hint="default" w:ascii="Times New Roman" w:hAnsi="Times New Roman" w:eastAsia="宋体" w:cs="Times New Roman"/>
          <w:b w:val="0"/>
          <w:bCs w:val="0"/>
          <w:color w:val="auto"/>
          <w:sz w:val="24"/>
          <w:szCs w:val="24"/>
          <w:highlight w:val="no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p>
    <w:p w14:paraId="1B62355A">
      <w:pPr>
        <w:spacing w:line="360" w:lineRule="auto"/>
        <w:ind w:firstLine="480" w:firstLineChars="200"/>
        <w:jc w:val="left"/>
        <w:rPr>
          <w:rFonts w:hint="eastAsia"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lang w:val="en-US" w:eastAsia="zh-CN"/>
        </w:rPr>
        <w:t>NOx</w:t>
      </w:r>
      <w:r>
        <w:rPr>
          <w:rFonts w:hint="eastAsia" w:ascii="Times New Roman" w:hAnsi="Times New Roman" w:eastAsia="宋体" w:cs="Times New Roman"/>
          <w:color w:val="auto"/>
          <w:sz w:val="24"/>
          <w:szCs w:val="24"/>
          <w:highlight w:val="none"/>
          <w:lang w:val="en-US" w:eastAsia="zh-CN"/>
        </w:rPr>
        <w:t>产生量=</w:t>
      </w:r>
      <w:r>
        <w:rPr>
          <w:rFonts w:hint="eastAsia" w:ascii="Times New Roman" w:hAnsi="Times New Roman" w:eastAsia="宋体" w:cs="Times New Roman"/>
          <w:b w:val="0"/>
          <w:bCs w:val="0"/>
          <w:color w:val="auto"/>
          <w:sz w:val="24"/>
          <w:szCs w:val="24"/>
          <w:highlight w:val="none"/>
          <w:lang w:val="en-US" w:eastAsia="zh-CN"/>
        </w:rPr>
        <w:t>153.701</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default" w:ascii="Times New Roman" w:hAnsi="Times New Roman" w:eastAsia="Times New Roman" w:cs="Times New Roman"/>
          <w:b w:val="0"/>
          <w:bCs w:val="0"/>
          <w:color w:val="auto"/>
          <w:sz w:val="24"/>
          <w:szCs w:val="24"/>
          <w:highlight w:val="none"/>
        </w:rPr>
        <w:t>×</w:t>
      </w:r>
      <w:r>
        <w:rPr>
          <w:rFonts w:hint="default" w:ascii="Times New Roman" w:hAnsi="Times New Roman" w:eastAsia="宋体" w:cs="Times New Roman"/>
          <w:color w:val="auto"/>
          <w:sz w:val="24"/>
          <w:szCs w:val="24"/>
          <w:highlight w:val="none"/>
          <w:lang w:val="en-US" w:eastAsia="zh-CN"/>
        </w:rPr>
        <w:t>0.00187</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lang w:val="en-US" w:eastAsia="zh-CN"/>
        </w:rPr>
        <w:t>20706.15</w:t>
      </w:r>
      <w:r>
        <w:rPr>
          <w:rFonts w:hint="default" w:ascii="Times New Roman" w:hAnsi="Times New Roman" w:eastAsia="Times New Roman" w:cs="Times New Roman"/>
          <w:b w:val="0"/>
          <w:bCs w:val="0"/>
          <w:color w:val="auto"/>
          <w:sz w:val="24"/>
          <w:szCs w:val="24"/>
          <w:highlight w:val="none"/>
        </w:rPr>
        <w:t>×</w:t>
      </w:r>
      <w:r>
        <w:rPr>
          <w:rFonts w:hint="default" w:ascii="Times New Roman" w:hAnsi="Times New Roman" w:eastAsia="宋体" w:cs="Times New Roman"/>
          <w:color w:val="auto"/>
          <w:sz w:val="24"/>
          <w:szCs w:val="24"/>
          <w:highlight w:val="none"/>
          <w:lang w:val="en-US" w:eastAsia="zh-CN"/>
        </w:rPr>
        <w:t>0.00187</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=2.9129t/a；</w:t>
      </w:r>
    </w:p>
    <w:p w14:paraId="71345BF7">
      <w:pPr>
        <w:spacing w:line="360" w:lineRule="auto"/>
        <w:ind w:firstLine="480" w:firstLineChars="200"/>
        <w:jc w:val="left"/>
        <w:rPr>
          <w:rFonts w:hint="default"/>
          <w:color w:val="auto"/>
          <w:highlight w:val="none"/>
          <w:lang w:val="en-US" w:eastAsia="zh-CN"/>
        </w:rPr>
      </w:pPr>
      <w:r>
        <w:rPr>
          <w:rFonts w:hint="default" w:ascii="Times New Roman" w:hAnsi="Times New Roman" w:eastAsia="宋体" w:cs="Times New Roman"/>
          <w:color w:val="auto"/>
          <w:sz w:val="24"/>
          <w:szCs w:val="24"/>
          <w:highlight w:val="none"/>
          <w:lang w:val="en-US" w:eastAsia="zh-CN"/>
        </w:rPr>
        <w:t>烟尘</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153.701</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default" w:ascii="Times New Roman" w:hAnsi="Times New Roman" w:eastAsia="Times New Roman" w:cs="Times New Roman"/>
          <w:b w:val="0"/>
          <w:bCs w:val="0"/>
          <w:color w:val="auto"/>
          <w:sz w:val="24"/>
          <w:szCs w:val="24"/>
          <w:highlight w:val="none"/>
        </w:rPr>
        <w:t>×</w:t>
      </w:r>
      <w:r>
        <w:rPr>
          <w:rFonts w:hint="default" w:ascii="Times New Roman" w:hAnsi="Times New Roman" w:eastAsia="宋体" w:cs="Times New Roman"/>
          <w:color w:val="auto"/>
          <w:sz w:val="24"/>
          <w:szCs w:val="24"/>
          <w:highlight w:val="none"/>
          <w:lang w:val="en-US" w:eastAsia="zh-CN"/>
        </w:rPr>
        <w:t>0.00</w:t>
      </w:r>
      <w:r>
        <w:rPr>
          <w:rFonts w:hint="eastAsia" w:ascii="Times New Roman" w:hAnsi="Times New Roman" w:eastAsia="宋体" w:cs="Times New Roman"/>
          <w:color w:val="auto"/>
          <w:sz w:val="24"/>
          <w:szCs w:val="24"/>
          <w:highlight w:val="none"/>
          <w:lang w:val="en-US" w:eastAsia="zh-CN"/>
        </w:rPr>
        <w:t>0286</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lang w:val="en-US" w:eastAsia="zh-CN"/>
        </w:rPr>
        <w:t>20706.15</w:t>
      </w:r>
      <w:r>
        <w:rPr>
          <w:rFonts w:hint="default" w:ascii="Times New Roman" w:hAnsi="Times New Roman" w:eastAsia="Times New Roman" w:cs="Times New Roman"/>
          <w:b w:val="0"/>
          <w:bCs w:val="0"/>
          <w:color w:val="auto"/>
          <w:sz w:val="24"/>
          <w:szCs w:val="24"/>
          <w:highlight w:val="none"/>
        </w:rPr>
        <w:t>×</w:t>
      </w:r>
      <w:r>
        <w:rPr>
          <w:rFonts w:hint="default" w:ascii="Times New Roman" w:hAnsi="Times New Roman" w:eastAsia="宋体" w:cs="Times New Roman"/>
          <w:color w:val="auto"/>
          <w:sz w:val="24"/>
          <w:szCs w:val="24"/>
          <w:highlight w:val="none"/>
          <w:lang w:val="en-US" w:eastAsia="zh-CN"/>
        </w:rPr>
        <w:t>0.00</w:t>
      </w:r>
      <w:r>
        <w:rPr>
          <w:rFonts w:hint="eastAsia" w:ascii="Times New Roman" w:hAnsi="Times New Roman" w:eastAsia="宋体" w:cs="Times New Roman"/>
          <w:color w:val="auto"/>
          <w:sz w:val="24"/>
          <w:szCs w:val="24"/>
          <w:highlight w:val="none"/>
          <w:lang w:val="en-US" w:eastAsia="zh-CN"/>
        </w:rPr>
        <w:t>0286</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=0.4455t/a。</w:t>
      </w:r>
    </w:p>
    <w:p w14:paraId="1687FDC5">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三套设备废气总产生量为</w:t>
      </w:r>
      <w:r>
        <w:rPr>
          <w:rFonts w:hint="eastAsia" w:ascii="宋体" w:hAnsi="宋体" w:eastAsia="宋体" w:cs="宋体"/>
          <w:b w:val="0"/>
          <w:bCs w:val="0"/>
          <w:color w:val="auto"/>
          <w:sz w:val="24"/>
          <w:szCs w:val="24"/>
          <w:highlight w:val="none"/>
          <w:lang w:val="en-US" w:eastAsia="zh-CN"/>
        </w:rPr>
        <w:t>：</w:t>
      </w:r>
    </w:p>
    <w:p w14:paraId="6BD0E26C">
      <w:pPr>
        <w:spacing w:line="360" w:lineRule="auto"/>
        <w:ind w:firstLine="480" w:firstLineChars="200"/>
        <w:jc w:val="left"/>
        <w:rPr>
          <w:rFonts w:hint="eastAsia" w:ascii="Times New Roman" w:hAnsi="Times New Roman" w:eastAsia="宋体" w:cs="Times New Roman"/>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lang w:val="en-US" w:eastAsia="zh-CN"/>
        </w:rPr>
        <w:t>烟气产生量为</w:t>
      </w:r>
      <w:r>
        <w:rPr>
          <w:rFonts w:hint="eastAsia" w:ascii="Times New Roman" w:hAnsi="Times New Roman" w:eastAsia="宋体" w:cs="Times New Roman"/>
          <w:b w:val="0"/>
          <w:bCs w:val="0"/>
          <w:color w:val="auto"/>
          <w:sz w:val="24"/>
          <w:szCs w:val="24"/>
          <w:highlight w:val="none"/>
          <w:lang w:val="en-US" w:eastAsia="zh-CN"/>
        </w:rPr>
        <w:t>461.103</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default" w:ascii="Times New Roman" w:hAnsi="Times New Roman" w:eastAsia="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13.6+（826.8</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lang w:val="en-US" w:eastAsia="zh-CN"/>
        </w:rPr>
        <w:t>461.03</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eastAsia"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lang w:val="en-US" w:eastAsia="zh-CN"/>
        </w:rPr>
        <w:t>62118.45</w:t>
      </w:r>
      <w:r>
        <w:rPr>
          <w:rFonts w:hint="default" w:ascii="Times New Roman" w:hAnsi="Times New Roman" w:eastAsia="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13.6=67212518.92</w:t>
      </w:r>
      <w:r>
        <w:rPr>
          <w:rFonts w:hint="default" w:ascii="Times New Roman" w:hAnsi="Times New Roman" w:eastAsia="宋体" w:cs="Times New Roman"/>
          <w:b w:val="0"/>
          <w:bCs w:val="0"/>
          <w:color w:val="auto"/>
          <w:sz w:val="24"/>
          <w:szCs w:val="24"/>
          <w:highlight w:val="none"/>
          <w:lang w:val="en-US" w:eastAsia="zh-CN"/>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w:t>
      </w:r>
    </w:p>
    <w:p w14:paraId="6E0E7135">
      <w:pPr>
        <w:spacing w:line="360" w:lineRule="auto"/>
        <w:ind w:firstLine="480" w:firstLineChars="200"/>
        <w:jc w:val="left"/>
        <w:rPr>
          <w:rFonts w:hint="eastAsia"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lang w:val="en-US" w:eastAsia="zh-CN"/>
        </w:rPr>
        <w:t>NOx</w:t>
      </w:r>
      <w:r>
        <w:rPr>
          <w:rFonts w:hint="eastAsia" w:ascii="Times New Roman" w:hAnsi="Times New Roman" w:eastAsia="宋体" w:cs="Times New Roman"/>
          <w:color w:val="auto"/>
          <w:sz w:val="24"/>
          <w:szCs w:val="24"/>
          <w:highlight w:val="none"/>
          <w:lang w:val="en-US" w:eastAsia="zh-CN"/>
        </w:rPr>
        <w:t>产生量=</w:t>
      </w:r>
      <w:r>
        <w:rPr>
          <w:rFonts w:hint="eastAsia" w:ascii="Times New Roman" w:hAnsi="Times New Roman" w:eastAsia="宋体" w:cs="Times New Roman"/>
          <w:b w:val="0"/>
          <w:bCs w:val="0"/>
          <w:color w:val="auto"/>
          <w:sz w:val="24"/>
          <w:szCs w:val="24"/>
          <w:highlight w:val="none"/>
          <w:lang w:val="en-US" w:eastAsia="zh-CN"/>
        </w:rPr>
        <w:t>461.103</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default" w:ascii="Times New Roman" w:hAnsi="Times New Roman" w:eastAsia="Times New Roman" w:cs="Times New Roman"/>
          <w:b w:val="0"/>
          <w:bCs w:val="0"/>
          <w:color w:val="auto"/>
          <w:sz w:val="24"/>
          <w:szCs w:val="24"/>
          <w:highlight w:val="none"/>
        </w:rPr>
        <w:t>×</w:t>
      </w:r>
      <w:r>
        <w:rPr>
          <w:rFonts w:hint="default" w:ascii="Times New Roman" w:hAnsi="Times New Roman" w:eastAsia="宋体" w:cs="Times New Roman"/>
          <w:color w:val="auto"/>
          <w:sz w:val="24"/>
          <w:szCs w:val="24"/>
          <w:highlight w:val="none"/>
          <w:lang w:val="en-US" w:eastAsia="zh-CN"/>
        </w:rPr>
        <w:t>0.00187</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lang w:val="en-US" w:eastAsia="zh-CN"/>
        </w:rPr>
        <w:t>62118.45</w:t>
      </w:r>
      <w:r>
        <w:rPr>
          <w:rFonts w:hint="default" w:ascii="Times New Roman" w:hAnsi="Times New Roman" w:eastAsia="Times New Roman" w:cs="Times New Roman"/>
          <w:b w:val="0"/>
          <w:bCs w:val="0"/>
          <w:color w:val="auto"/>
          <w:sz w:val="24"/>
          <w:szCs w:val="24"/>
          <w:highlight w:val="none"/>
        </w:rPr>
        <w:t>×</w:t>
      </w:r>
      <w:r>
        <w:rPr>
          <w:rFonts w:hint="default" w:ascii="Times New Roman" w:hAnsi="Times New Roman" w:eastAsia="宋体" w:cs="Times New Roman"/>
          <w:color w:val="auto"/>
          <w:sz w:val="24"/>
          <w:szCs w:val="24"/>
          <w:highlight w:val="none"/>
          <w:lang w:val="en-US" w:eastAsia="zh-CN"/>
        </w:rPr>
        <w:t>0.00187</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=8.7387t/a；</w:t>
      </w:r>
    </w:p>
    <w:p w14:paraId="0C60BD53">
      <w:pPr>
        <w:spacing w:line="360" w:lineRule="auto"/>
        <w:ind w:firstLine="480" w:firstLineChars="200"/>
        <w:jc w:val="left"/>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lang w:val="en-US" w:eastAsia="zh-CN"/>
        </w:rPr>
        <w:t>烟尘</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461.103</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default" w:ascii="Times New Roman" w:hAnsi="Times New Roman" w:eastAsia="Times New Roman" w:cs="Times New Roman"/>
          <w:b w:val="0"/>
          <w:bCs w:val="0"/>
          <w:color w:val="auto"/>
          <w:sz w:val="24"/>
          <w:szCs w:val="24"/>
          <w:highlight w:val="none"/>
        </w:rPr>
        <w:t>×</w:t>
      </w:r>
      <w:r>
        <w:rPr>
          <w:rFonts w:hint="default" w:ascii="Times New Roman" w:hAnsi="Times New Roman" w:eastAsia="宋体" w:cs="Times New Roman"/>
          <w:color w:val="auto"/>
          <w:sz w:val="24"/>
          <w:szCs w:val="24"/>
          <w:highlight w:val="none"/>
          <w:lang w:val="en-US" w:eastAsia="zh-CN"/>
        </w:rPr>
        <w:t>0.00</w:t>
      </w:r>
      <w:r>
        <w:rPr>
          <w:rFonts w:hint="eastAsia" w:ascii="Times New Roman" w:hAnsi="Times New Roman" w:eastAsia="宋体" w:cs="Times New Roman"/>
          <w:color w:val="auto"/>
          <w:sz w:val="24"/>
          <w:szCs w:val="24"/>
          <w:highlight w:val="none"/>
          <w:lang w:val="en-US" w:eastAsia="zh-CN"/>
        </w:rPr>
        <w:t>0286</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lang w:val="en-US" w:eastAsia="zh-CN"/>
        </w:rPr>
        <w:t>62118.45</w:t>
      </w:r>
      <w:r>
        <w:rPr>
          <w:rFonts w:hint="default" w:ascii="Times New Roman" w:hAnsi="Times New Roman" w:eastAsia="Times New Roman" w:cs="Times New Roman"/>
          <w:b w:val="0"/>
          <w:bCs w:val="0"/>
          <w:color w:val="auto"/>
          <w:sz w:val="24"/>
          <w:szCs w:val="24"/>
          <w:highlight w:val="none"/>
        </w:rPr>
        <w:t>×</w:t>
      </w:r>
      <w:r>
        <w:rPr>
          <w:rFonts w:hint="default" w:ascii="Times New Roman" w:hAnsi="Times New Roman" w:eastAsia="宋体" w:cs="Times New Roman"/>
          <w:color w:val="auto"/>
          <w:sz w:val="24"/>
          <w:szCs w:val="24"/>
          <w:highlight w:val="none"/>
          <w:lang w:val="en-US" w:eastAsia="zh-CN"/>
        </w:rPr>
        <w:t>0.00</w:t>
      </w:r>
      <w:r>
        <w:rPr>
          <w:rFonts w:hint="eastAsia" w:ascii="Times New Roman" w:hAnsi="Times New Roman" w:eastAsia="宋体" w:cs="Times New Roman"/>
          <w:color w:val="auto"/>
          <w:sz w:val="24"/>
          <w:szCs w:val="24"/>
          <w:highlight w:val="none"/>
          <w:lang w:val="en-US" w:eastAsia="zh-CN"/>
        </w:rPr>
        <w:t>028</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=1.3365t/a。</w:t>
      </w:r>
    </w:p>
    <w:p w14:paraId="597D4DF5">
      <w:pPr>
        <w:spacing w:line="360" w:lineRule="auto"/>
        <w:ind w:firstLine="480" w:firstLineChars="200"/>
        <w:jc w:val="left"/>
        <w:rPr>
          <w:rFonts w:hint="eastAsia"/>
          <w:color w:val="auto"/>
          <w:highlight w:val="none"/>
        </w:rPr>
      </w:pPr>
      <w:r>
        <w:rPr>
          <w:rFonts w:hint="eastAsia" w:ascii="宋体" w:hAnsi="宋体" w:eastAsia="宋体" w:cs="宋体"/>
          <w:b w:val="0"/>
          <w:bCs w:val="0"/>
          <w:color w:val="auto"/>
          <w:sz w:val="24"/>
          <w:szCs w:val="24"/>
          <w:highlight w:val="none"/>
          <w:lang w:eastAsia="zh-CN"/>
        </w:rPr>
        <w:t>②</w:t>
      </w:r>
      <w:r>
        <w:rPr>
          <w:rFonts w:hint="eastAsia" w:ascii="Times New Roman" w:hAnsi="Times New Roman" w:eastAsia="宋体"/>
          <w:color w:val="auto"/>
          <w:sz w:val="24"/>
          <w:highlight w:val="none"/>
          <w:lang w:val="en-US" w:eastAsia="zh-CN"/>
        </w:rPr>
        <w:t>二氧化硫产生量根据原料带入硫量进行核算，</w:t>
      </w:r>
      <w:r>
        <w:rPr>
          <w:rFonts w:hint="eastAsia" w:ascii="宋体" w:hAnsi="宋体" w:eastAsia="宋体" w:cs="宋体"/>
          <w:b w:val="0"/>
          <w:bCs w:val="0"/>
          <w:color w:val="auto"/>
          <w:sz w:val="24"/>
          <w:szCs w:val="24"/>
          <w:highlight w:val="none"/>
        </w:rPr>
        <w:t>转化炉的燃料是解析气和天然气的混合气，简称燃料气，解</w:t>
      </w:r>
      <w:r>
        <w:rPr>
          <w:rFonts w:hint="eastAsia" w:ascii="宋体" w:hAnsi="宋体" w:eastAsia="宋体" w:cs="宋体"/>
          <w:b w:val="0"/>
          <w:bCs w:val="0"/>
          <w:color w:val="auto"/>
          <w:sz w:val="24"/>
          <w:szCs w:val="24"/>
          <w:highlight w:val="none"/>
          <w:lang w:val="en-US" w:eastAsia="zh-CN"/>
        </w:rPr>
        <w:t>吸</w:t>
      </w:r>
      <w:r>
        <w:rPr>
          <w:rFonts w:hint="eastAsia" w:ascii="宋体" w:hAnsi="宋体" w:eastAsia="宋体" w:cs="宋体"/>
          <w:b w:val="0"/>
          <w:bCs w:val="0"/>
          <w:color w:val="auto"/>
          <w:sz w:val="24"/>
          <w:szCs w:val="24"/>
          <w:highlight w:val="none"/>
        </w:rPr>
        <w:t>气不含硫，</w:t>
      </w:r>
      <w:r>
        <w:rPr>
          <w:rFonts w:hint="eastAsia" w:ascii="宋体" w:hAnsi="宋体" w:eastAsia="宋体" w:cs="宋体"/>
          <w:b w:val="0"/>
          <w:bCs w:val="0"/>
          <w:color w:val="auto"/>
          <w:sz w:val="24"/>
          <w:szCs w:val="24"/>
          <w:highlight w:val="none"/>
          <w:lang w:val="en-US" w:eastAsia="zh-CN"/>
        </w:rPr>
        <w:t>根据企业提供资料，沼气含硫量为</w:t>
      </w:r>
      <w:r>
        <w:rPr>
          <w:rFonts w:hint="default" w:ascii="Times New Roman" w:hAnsi="Times New Roman" w:eastAsia="宋体" w:cs="Times New Roman"/>
          <w:b w:val="0"/>
          <w:bCs w:val="0"/>
          <w:color w:val="auto"/>
          <w:sz w:val="24"/>
          <w:szCs w:val="24"/>
          <w:highlight w:val="none"/>
          <w:lang w:val="en-US" w:eastAsia="zh-CN"/>
        </w:rPr>
        <w:t>19.15</w:t>
      </w:r>
      <w:r>
        <w:rPr>
          <w:rFonts w:hint="default" w:ascii="Times New Roman" w:hAnsi="Times New Roman" w:eastAsia="Times New Roman" w:cs="Times New Roman"/>
          <w:b w:val="0"/>
          <w:bCs w:val="0"/>
          <w:color w:val="auto"/>
          <w:sz w:val="24"/>
          <w:szCs w:val="24"/>
          <w:highlight w:val="none"/>
        </w:rPr>
        <w:t>mg/</w:t>
      </w:r>
      <w:r>
        <w:rPr>
          <w:rFonts w:hint="eastAsia" w:ascii="Times New Roman" w:hAnsi="Times New Roman" w:eastAsia="宋体" w:cs="Times New Roman"/>
          <w:b w:val="0"/>
          <w:bCs w:val="0"/>
          <w:color w:val="auto"/>
          <w:sz w:val="24"/>
          <w:szCs w:val="24"/>
          <w:highlight w:val="none"/>
          <w:lang w:val="en-US" w:eastAsia="zh-CN"/>
        </w:rPr>
        <w:t>kg</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vertAlign w:val="baseline"/>
          <w:lang w:val="en-US" w:eastAsia="zh-CN"/>
        </w:rPr>
        <w:t>三套沼气用量为4711.608</w:t>
      </w:r>
      <w:r>
        <w:rPr>
          <w:rFonts w:hint="eastAsia" w:ascii="Times New Roman" w:hAnsi="Times New Roman" w:eastAsia="宋体" w:cs="Times New Roman"/>
          <w:b w:val="0"/>
          <w:bCs w:val="0"/>
          <w:color w:val="auto"/>
          <w:sz w:val="24"/>
          <w:szCs w:val="24"/>
          <w:highlight w:val="none"/>
          <w:lang w:val="en-US" w:eastAsia="zh-CN"/>
        </w:rPr>
        <w:t>t/a</w:t>
      </w:r>
      <w:r>
        <w:rPr>
          <w:rFonts w:hint="eastAsia" w:ascii="宋体" w:hAnsi="宋体" w:eastAsia="宋体" w:cs="宋体"/>
          <w:b w:val="0"/>
          <w:bCs w:val="0"/>
          <w:color w:val="auto"/>
          <w:sz w:val="24"/>
          <w:szCs w:val="24"/>
          <w:highlight w:val="none"/>
        </w:rPr>
        <w:t>，其中二氧化硫最大产生量为：</w:t>
      </w:r>
      <w:r>
        <w:rPr>
          <w:rFonts w:hint="eastAsia" w:ascii="Times New Roman" w:hAnsi="Times New Roman" w:eastAsia="宋体" w:cs="Times New Roman"/>
          <w:b w:val="0"/>
          <w:bCs w:val="0"/>
          <w:color w:val="auto"/>
          <w:sz w:val="24"/>
          <w:szCs w:val="24"/>
          <w:highlight w:val="none"/>
          <w:lang w:val="en-US" w:eastAsia="zh-CN"/>
        </w:rPr>
        <w:t>19.15</w:t>
      </w:r>
      <w:r>
        <w:rPr>
          <w:rFonts w:hint="default" w:ascii="Times New Roman" w:hAnsi="Times New Roman" w:eastAsia="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4711.608t/a</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6</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Times New Roman" w:cs="Times New Roman"/>
          <w:b w:val="0"/>
          <w:bCs w:val="0"/>
          <w:color w:val="auto"/>
          <w:sz w:val="24"/>
          <w:szCs w:val="24"/>
          <w:highlight w:val="none"/>
        </w:rPr>
        <w:t>=0.</w:t>
      </w:r>
      <w:r>
        <w:rPr>
          <w:rFonts w:hint="eastAsia" w:ascii="Times New Roman" w:hAnsi="Times New Roman" w:eastAsia="宋体" w:cs="Times New Roman"/>
          <w:b w:val="0"/>
          <w:bCs w:val="0"/>
          <w:color w:val="auto"/>
          <w:sz w:val="24"/>
          <w:szCs w:val="24"/>
          <w:highlight w:val="none"/>
          <w:lang w:val="en-US" w:eastAsia="zh-CN"/>
        </w:rPr>
        <w:t>18</w:t>
      </w:r>
      <w:r>
        <w:rPr>
          <w:rFonts w:hint="default" w:ascii="Times New Roman" w:hAnsi="Times New Roman" w:eastAsia="Times New Roman" w:cs="Times New Roman"/>
          <w:b w:val="0"/>
          <w:bCs w:val="0"/>
          <w:color w:val="auto"/>
          <w:sz w:val="24"/>
          <w:szCs w:val="24"/>
          <w:highlight w:val="none"/>
        </w:rPr>
        <w:t>t/a</w:t>
      </w:r>
      <w:r>
        <w:rPr>
          <w:rFonts w:hint="eastAsia" w:ascii="宋体" w:hAnsi="宋体" w:eastAsia="宋体" w:cs="宋体"/>
          <w:b w:val="0"/>
          <w:bCs w:val="0"/>
          <w:color w:val="auto"/>
          <w:sz w:val="24"/>
          <w:szCs w:val="24"/>
          <w:highlight w:val="none"/>
        </w:rPr>
        <w:t>。</w:t>
      </w:r>
    </w:p>
    <w:p w14:paraId="59545FF0">
      <w:pPr>
        <w:pStyle w:val="561"/>
        <w:rPr>
          <w:color w:val="auto"/>
          <w:highlight w:val="none"/>
        </w:rPr>
      </w:pPr>
      <w:r>
        <w:rPr>
          <w:rFonts w:hint="eastAsia"/>
          <w:color w:val="auto"/>
          <w:highlight w:val="none"/>
        </w:rPr>
        <w:t>表</w:t>
      </w:r>
      <w:r>
        <w:rPr>
          <w:rFonts w:hint="eastAsia"/>
          <w:color w:val="auto"/>
          <w:highlight w:val="none"/>
          <w:lang w:val="en-US" w:eastAsia="zh-CN"/>
        </w:rPr>
        <w:t xml:space="preserve">3.5.1-1  </w:t>
      </w:r>
      <w:r>
        <w:rPr>
          <w:rFonts w:hint="eastAsia"/>
          <w:color w:val="auto"/>
          <w:highlight w:val="none"/>
        </w:rPr>
        <w:t>天然气</w:t>
      </w:r>
      <w:r>
        <w:rPr>
          <w:rFonts w:hint="eastAsia"/>
          <w:color w:val="auto"/>
          <w:highlight w:val="none"/>
          <w:lang w:val="en-US" w:eastAsia="zh-CN"/>
        </w:rPr>
        <w:t>熔窑</w:t>
      </w:r>
      <w:r>
        <w:rPr>
          <w:rFonts w:hint="eastAsia"/>
          <w:color w:val="auto"/>
          <w:highlight w:val="none"/>
        </w:rPr>
        <w:t>烟气核算</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9"/>
        <w:gridCol w:w="1125"/>
        <w:gridCol w:w="1455"/>
        <w:gridCol w:w="1335"/>
        <w:gridCol w:w="1335"/>
        <w:gridCol w:w="735"/>
        <w:gridCol w:w="1075"/>
      </w:tblGrid>
      <w:tr w14:paraId="58EFF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6" w:type="pct"/>
            <w:noWrap w:val="0"/>
            <w:vAlign w:val="center"/>
          </w:tcPr>
          <w:p w14:paraId="5AF351B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废气污染物</w:t>
            </w:r>
          </w:p>
        </w:tc>
        <w:tc>
          <w:tcPr>
            <w:tcW w:w="660" w:type="pct"/>
            <w:noWrap w:val="0"/>
            <w:vAlign w:val="center"/>
          </w:tcPr>
          <w:p w14:paraId="56EDAFEC">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原料名称</w:t>
            </w:r>
          </w:p>
        </w:tc>
        <w:tc>
          <w:tcPr>
            <w:tcW w:w="853" w:type="pct"/>
            <w:noWrap w:val="0"/>
            <w:vAlign w:val="center"/>
          </w:tcPr>
          <w:p w14:paraId="388CE0E7">
            <w:pPr>
              <w:keepNext w:val="0"/>
              <w:keepLines w:val="0"/>
              <w:pageBreakBefore w:val="0"/>
              <w:widowControl w:val="0"/>
              <w:kinsoku/>
              <w:wordWrap/>
              <w:overflowPunct/>
              <w:topLinePunct w:val="0"/>
              <w:autoSpaceDE/>
              <w:autoSpaceDN/>
              <w:bidi w:val="0"/>
              <w:adjustRightInd/>
              <w:snapToGrid/>
              <w:spacing w:line="240" w:lineRule="atLeast"/>
              <w:ind w:firstLine="422" w:firstLineChars="200"/>
              <w:jc w:val="both"/>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单位</w:t>
            </w:r>
          </w:p>
        </w:tc>
        <w:tc>
          <w:tcPr>
            <w:tcW w:w="783" w:type="pct"/>
            <w:noWrap w:val="0"/>
            <w:vAlign w:val="center"/>
          </w:tcPr>
          <w:p w14:paraId="17403D2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产污系数</w:t>
            </w:r>
          </w:p>
        </w:tc>
        <w:tc>
          <w:tcPr>
            <w:tcW w:w="783" w:type="pct"/>
            <w:noWrap w:val="0"/>
            <w:vAlign w:val="center"/>
          </w:tcPr>
          <w:p w14:paraId="6201D393">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产生量</w:t>
            </w:r>
          </w:p>
        </w:tc>
        <w:tc>
          <w:tcPr>
            <w:tcW w:w="431" w:type="pct"/>
            <w:noWrap w:val="0"/>
            <w:vAlign w:val="center"/>
          </w:tcPr>
          <w:p w14:paraId="1ABD48F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措施</w:t>
            </w:r>
          </w:p>
        </w:tc>
        <w:tc>
          <w:tcPr>
            <w:tcW w:w="630" w:type="pct"/>
            <w:noWrap w:val="0"/>
            <w:vAlign w:val="center"/>
          </w:tcPr>
          <w:p w14:paraId="16B5E74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去除效率</w:t>
            </w:r>
          </w:p>
        </w:tc>
      </w:tr>
      <w:tr w14:paraId="6694C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856" w:type="pct"/>
            <w:noWrap w:val="0"/>
            <w:vAlign w:val="center"/>
          </w:tcPr>
          <w:p w14:paraId="1439A4A5">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工业废气量</w:t>
            </w:r>
          </w:p>
        </w:tc>
        <w:tc>
          <w:tcPr>
            <w:tcW w:w="660" w:type="pct"/>
            <w:vMerge w:val="restart"/>
            <w:noWrap w:val="0"/>
            <w:vAlign w:val="center"/>
          </w:tcPr>
          <w:p w14:paraId="60D4BBD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天然气</w:t>
            </w:r>
          </w:p>
        </w:tc>
        <w:tc>
          <w:tcPr>
            <w:tcW w:w="853" w:type="pct"/>
            <w:noWrap w:val="0"/>
            <w:vAlign w:val="center"/>
          </w:tcPr>
          <w:p w14:paraId="4D464F0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-原料</w:t>
            </w:r>
          </w:p>
        </w:tc>
        <w:tc>
          <w:tcPr>
            <w:tcW w:w="783" w:type="pct"/>
            <w:noWrap w:val="0"/>
            <w:vAlign w:val="center"/>
          </w:tcPr>
          <w:p w14:paraId="5ECF7164">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13.6</w:t>
            </w:r>
          </w:p>
        </w:tc>
        <w:tc>
          <w:tcPr>
            <w:tcW w:w="783" w:type="pct"/>
            <w:noWrap w:val="0"/>
            <w:vAlign w:val="center"/>
          </w:tcPr>
          <w:p w14:paraId="0F695127">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67212518.92m</w:t>
            </w:r>
            <w:r>
              <w:rPr>
                <w:rFonts w:hint="eastAsia" w:ascii="Times New Roman" w:hAnsi="Times New Roman" w:eastAsia="宋体" w:cs="Times New Roman"/>
                <w:color w:val="auto"/>
                <w:sz w:val="21"/>
                <w:szCs w:val="21"/>
                <w:highlight w:val="none"/>
                <w:vertAlign w:val="superscript"/>
                <w:lang w:val="en-US" w:eastAsia="zh-CN"/>
              </w:rPr>
              <w:t>3</w:t>
            </w:r>
          </w:p>
        </w:tc>
        <w:tc>
          <w:tcPr>
            <w:tcW w:w="431" w:type="pct"/>
            <w:vMerge w:val="restart"/>
            <w:noWrap w:val="0"/>
            <w:vAlign w:val="center"/>
          </w:tcPr>
          <w:p w14:paraId="41DEC185">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低氮燃烧器</w:t>
            </w:r>
          </w:p>
        </w:tc>
        <w:tc>
          <w:tcPr>
            <w:tcW w:w="630" w:type="pct"/>
            <w:noWrap w:val="0"/>
            <w:vAlign w:val="center"/>
          </w:tcPr>
          <w:p w14:paraId="68329E7F">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19A8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6" w:type="pct"/>
            <w:noWrap w:val="0"/>
            <w:vAlign w:val="center"/>
          </w:tcPr>
          <w:p w14:paraId="6E1D4A58">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SO</w:t>
            </w:r>
            <w:r>
              <w:rPr>
                <w:rFonts w:hint="default" w:ascii="Times New Roman" w:hAnsi="Times New Roman" w:eastAsia="宋体" w:cs="Times New Roman"/>
                <w:color w:val="auto"/>
                <w:sz w:val="21"/>
                <w:szCs w:val="21"/>
                <w:highlight w:val="none"/>
                <w:vertAlign w:val="subscript"/>
                <w:lang w:val="en-US" w:eastAsia="zh-CN"/>
              </w:rPr>
              <w:t>2</w:t>
            </w:r>
          </w:p>
        </w:tc>
        <w:tc>
          <w:tcPr>
            <w:tcW w:w="660" w:type="pct"/>
            <w:vMerge w:val="continue"/>
            <w:noWrap w:val="0"/>
            <w:vAlign w:val="center"/>
          </w:tcPr>
          <w:p w14:paraId="3D13F360">
            <w:pPr>
              <w:keepNext w:val="0"/>
              <w:keepLines w:val="0"/>
              <w:pageBreakBefore w:val="0"/>
              <w:widowControl w:val="0"/>
              <w:kinsoku/>
              <w:wordWrap/>
              <w:overflowPunct/>
              <w:topLinePunct w:val="0"/>
              <w:autoSpaceDE/>
              <w:autoSpaceDN/>
              <w:bidi w:val="0"/>
              <w:adjustRightInd/>
              <w:snapToGrid/>
              <w:spacing w:line="240" w:lineRule="atLeast"/>
              <w:ind w:firstLine="420" w:firstLineChars="200"/>
              <w:jc w:val="center"/>
              <w:textAlignment w:val="auto"/>
              <w:rPr>
                <w:rFonts w:hint="default" w:ascii="Times New Roman" w:hAnsi="Times New Roman" w:eastAsia="宋体" w:cs="Times New Roman"/>
                <w:color w:val="auto"/>
                <w:sz w:val="21"/>
                <w:szCs w:val="21"/>
                <w:highlight w:val="none"/>
                <w:lang w:val="en-US" w:eastAsia="zh-CN"/>
              </w:rPr>
            </w:pPr>
          </w:p>
        </w:tc>
        <w:tc>
          <w:tcPr>
            <w:tcW w:w="853" w:type="pct"/>
            <w:noWrap w:val="0"/>
            <w:vAlign w:val="center"/>
          </w:tcPr>
          <w:p w14:paraId="72D6E958">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3" w:type="pct"/>
            <w:noWrap w:val="0"/>
            <w:vAlign w:val="center"/>
          </w:tcPr>
          <w:p w14:paraId="7199315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783" w:type="pct"/>
            <w:noWrap w:val="0"/>
            <w:vAlign w:val="center"/>
          </w:tcPr>
          <w:p w14:paraId="0F22C0CB">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0.18t/a</w:t>
            </w:r>
          </w:p>
        </w:tc>
        <w:tc>
          <w:tcPr>
            <w:tcW w:w="431" w:type="pct"/>
            <w:vMerge w:val="continue"/>
            <w:noWrap w:val="0"/>
            <w:vAlign w:val="center"/>
          </w:tcPr>
          <w:p w14:paraId="52341758">
            <w:pPr>
              <w:keepNext w:val="0"/>
              <w:keepLines w:val="0"/>
              <w:pageBreakBefore w:val="0"/>
              <w:widowControl w:val="0"/>
              <w:kinsoku/>
              <w:wordWrap/>
              <w:overflowPunct/>
              <w:topLinePunct w:val="0"/>
              <w:autoSpaceDE/>
              <w:autoSpaceDN/>
              <w:bidi w:val="0"/>
              <w:adjustRightInd/>
              <w:snapToGrid/>
              <w:spacing w:line="240" w:lineRule="atLeast"/>
              <w:ind w:firstLine="420" w:firstLineChars="200"/>
              <w:jc w:val="center"/>
              <w:textAlignment w:val="auto"/>
              <w:rPr>
                <w:rFonts w:hint="default" w:ascii="Times New Roman" w:hAnsi="Times New Roman" w:eastAsia="宋体" w:cs="Times New Roman"/>
                <w:color w:val="auto"/>
                <w:sz w:val="21"/>
                <w:szCs w:val="21"/>
                <w:highlight w:val="none"/>
                <w:lang w:val="en-US" w:eastAsia="zh-CN"/>
              </w:rPr>
            </w:pPr>
          </w:p>
        </w:tc>
        <w:tc>
          <w:tcPr>
            <w:tcW w:w="630" w:type="pct"/>
            <w:noWrap w:val="0"/>
            <w:vAlign w:val="center"/>
          </w:tcPr>
          <w:p w14:paraId="3AD2DAA0">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r w14:paraId="3FE3E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856" w:type="pct"/>
            <w:noWrap w:val="0"/>
            <w:vAlign w:val="center"/>
          </w:tcPr>
          <w:p w14:paraId="0C505DBA">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NOx</w:t>
            </w:r>
          </w:p>
        </w:tc>
        <w:tc>
          <w:tcPr>
            <w:tcW w:w="660" w:type="pct"/>
            <w:vMerge w:val="continue"/>
            <w:noWrap w:val="0"/>
            <w:vAlign w:val="center"/>
          </w:tcPr>
          <w:p w14:paraId="77DBCCF4">
            <w:pPr>
              <w:keepNext w:val="0"/>
              <w:keepLines w:val="0"/>
              <w:pageBreakBefore w:val="0"/>
              <w:widowControl w:val="0"/>
              <w:kinsoku/>
              <w:wordWrap/>
              <w:overflowPunct/>
              <w:topLinePunct w:val="0"/>
              <w:autoSpaceDE/>
              <w:autoSpaceDN/>
              <w:bidi w:val="0"/>
              <w:adjustRightInd/>
              <w:snapToGrid/>
              <w:spacing w:line="240" w:lineRule="atLeast"/>
              <w:ind w:firstLine="420" w:firstLineChars="200"/>
              <w:jc w:val="center"/>
              <w:textAlignment w:val="auto"/>
              <w:rPr>
                <w:rFonts w:hint="default" w:ascii="Times New Roman" w:hAnsi="Times New Roman" w:eastAsia="宋体" w:cs="Times New Roman"/>
                <w:color w:val="auto"/>
                <w:sz w:val="21"/>
                <w:szCs w:val="21"/>
                <w:highlight w:val="none"/>
                <w:lang w:val="en-US" w:eastAsia="zh-CN"/>
              </w:rPr>
            </w:pPr>
          </w:p>
        </w:tc>
        <w:tc>
          <w:tcPr>
            <w:tcW w:w="853" w:type="pct"/>
            <w:noWrap w:val="0"/>
            <w:vAlign w:val="center"/>
          </w:tcPr>
          <w:p w14:paraId="0556741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kg</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-原料</w:t>
            </w:r>
          </w:p>
        </w:tc>
        <w:tc>
          <w:tcPr>
            <w:tcW w:w="783" w:type="pct"/>
            <w:noWrap w:val="0"/>
            <w:vAlign w:val="center"/>
          </w:tcPr>
          <w:p w14:paraId="7963DC5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0.00187</w:t>
            </w:r>
          </w:p>
        </w:tc>
        <w:tc>
          <w:tcPr>
            <w:tcW w:w="783" w:type="pct"/>
            <w:noWrap w:val="0"/>
            <w:vAlign w:val="center"/>
          </w:tcPr>
          <w:p w14:paraId="5FFABBC1">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8.7387t/a</w:t>
            </w:r>
          </w:p>
        </w:tc>
        <w:tc>
          <w:tcPr>
            <w:tcW w:w="431" w:type="pct"/>
            <w:vMerge w:val="continue"/>
            <w:noWrap w:val="0"/>
            <w:vAlign w:val="center"/>
          </w:tcPr>
          <w:p w14:paraId="1D0B5AFB">
            <w:pPr>
              <w:keepNext w:val="0"/>
              <w:keepLines w:val="0"/>
              <w:pageBreakBefore w:val="0"/>
              <w:widowControl w:val="0"/>
              <w:kinsoku/>
              <w:wordWrap/>
              <w:overflowPunct/>
              <w:topLinePunct w:val="0"/>
              <w:autoSpaceDE/>
              <w:autoSpaceDN/>
              <w:bidi w:val="0"/>
              <w:adjustRightInd/>
              <w:snapToGrid/>
              <w:spacing w:line="240" w:lineRule="atLeast"/>
              <w:ind w:firstLine="420" w:firstLineChars="200"/>
              <w:jc w:val="center"/>
              <w:textAlignment w:val="auto"/>
              <w:rPr>
                <w:rFonts w:hint="default" w:ascii="Times New Roman" w:hAnsi="Times New Roman" w:eastAsia="宋体" w:cs="Times New Roman"/>
                <w:color w:val="auto"/>
                <w:sz w:val="21"/>
                <w:szCs w:val="21"/>
                <w:highlight w:val="none"/>
                <w:lang w:val="en-US" w:eastAsia="zh-CN"/>
              </w:rPr>
            </w:pPr>
          </w:p>
        </w:tc>
        <w:tc>
          <w:tcPr>
            <w:tcW w:w="630" w:type="pct"/>
            <w:noWrap w:val="0"/>
            <w:vAlign w:val="center"/>
          </w:tcPr>
          <w:p w14:paraId="5379F86E">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val="en-US" w:eastAsia="zh-CN"/>
              </w:rPr>
              <w:t>%</w:t>
            </w:r>
          </w:p>
        </w:tc>
      </w:tr>
      <w:tr w14:paraId="0D906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6" w:type="pct"/>
            <w:noWrap w:val="0"/>
            <w:vAlign w:val="center"/>
          </w:tcPr>
          <w:p w14:paraId="4E840CB0">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烟尘</w:t>
            </w:r>
          </w:p>
        </w:tc>
        <w:tc>
          <w:tcPr>
            <w:tcW w:w="660" w:type="pct"/>
            <w:vMerge w:val="continue"/>
            <w:noWrap w:val="0"/>
            <w:vAlign w:val="center"/>
          </w:tcPr>
          <w:p w14:paraId="112F5198">
            <w:pPr>
              <w:keepNext w:val="0"/>
              <w:keepLines w:val="0"/>
              <w:pageBreakBefore w:val="0"/>
              <w:widowControl w:val="0"/>
              <w:kinsoku/>
              <w:wordWrap/>
              <w:overflowPunct/>
              <w:topLinePunct w:val="0"/>
              <w:autoSpaceDE/>
              <w:autoSpaceDN/>
              <w:bidi w:val="0"/>
              <w:adjustRightInd/>
              <w:snapToGrid/>
              <w:spacing w:line="240" w:lineRule="atLeast"/>
              <w:ind w:firstLine="420" w:firstLineChars="200"/>
              <w:jc w:val="center"/>
              <w:textAlignment w:val="auto"/>
              <w:rPr>
                <w:rFonts w:hint="default" w:ascii="Times New Roman" w:hAnsi="Times New Roman" w:eastAsia="宋体" w:cs="Times New Roman"/>
                <w:color w:val="auto"/>
                <w:sz w:val="21"/>
                <w:szCs w:val="21"/>
                <w:highlight w:val="none"/>
                <w:lang w:val="en-US" w:eastAsia="zh-CN"/>
              </w:rPr>
            </w:pPr>
          </w:p>
        </w:tc>
        <w:tc>
          <w:tcPr>
            <w:tcW w:w="853" w:type="pct"/>
            <w:noWrap w:val="0"/>
            <w:vAlign w:val="center"/>
          </w:tcPr>
          <w:p w14:paraId="69EEE4B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kg</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-原料</w:t>
            </w:r>
          </w:p>
        </w:tc>
        <w:tc>
          <w:tcPr>
            <w:tcW w:w="783" w:type="pct"/>
            <w:noWrap w:val="0"/>
            <w:vAlign w:val="center"/>
          </w:tcPr>
          <w:p w14:paraId="7DA3CC1A">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0.000286</w:t>
            </w:r>
          </w:p>
        </w:tc>
        <w:tc>
          <w:tcPr>
            <w:tcW w:w="783" w:type="pct"/>
            <w:noWrap w:val="0"/>
            <w:vAlign w:val="center"/>
          </w:tcPr>
          <w:p w14:paraId="5B5AE290">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1.3365t/a</w:t>
            </w:r>
          </w:p>
        </w:tc>
        <w:tc>
          <w:tcPr>
            <w:tcW w:w="431" w:type="pct"/>
            <w:vMerge w:val="continue"/>
            <w:noWrap w:val="0"/>
            <w:vAlign w:val="center"/>
          </w:tcPr>
          <w:p w14:paraId="051428B8">
            <w:pPr>
              <w:keepNext w:val="0"/>
              <w:keepLines w:val="0"/>
              <w:pageBreakBefore w:val="0"/>
              <w:widowControl w:val="0"/>
              <w:kinsoku/>
              <w:wordWrap/>
              <w:overflowPunct/>
              <w:topLinePunct w:val="0"/>
              <w:autoSpaceDE/>
              <w:autoSpaceDN/>
              <w:bidi w:val="0"/>
              <w:adjustRightInd/>
              <w:snapToGrid/>
              <w:spacing w:line="240" w:lineRule="atLeast"/>
              <w:ind w:firstLine="420" w:firstLineChars="200"/>
              <w:jc w:val="center"/>
              <w:textAlignment w:val="auto"/>
              <w:rPr>
                <w:rFonts w:hint="default" w:ascii="Times New Roman" w:hAnsi="Times New Roman" w:eastAsia="宋体" w:cs="Times New Roman"/>
                <w:color w:val="auto"/>
                <w:sz w:val="21"/>
                <w:szCs w:val="21"/>
                <w:highlight w:val="none"/>
                <w:lang w:val="en-US" w:eastAsia="zh-CN"/>
              </w:rPr>
            </w:pPr>
          </w:p>
        </w:tc>
        <w:tc>
          <w:tcPr>
            <w:tcW w:w="630" w:type="pct"/>
            <w:noWrap w:val="0"/>
            <w:vAlign w:val="center"/>
          </w:tcPr>
          <w:p w14:paraId="73C41F24">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r>
    </w:tbl>
    <w:p w14:paraId="022661BF">
      <w:pPr>
        <w:spacing w:line="360" w:lineRule="auto"/>
        <w:ind w:firstLine="420" w:firstLineChars="200"/>
        <w:jc w:val="left"/>
        <w:rPr>
          <w:rFonts w:hint="default" w:ascii="Times New Roman" w:hAnsi="Times New Roman" w:eastAsia="宋体" w:cs="Times New Roman"/>
          <w:b/>
          <w:bCs/>
          <w:color w:val="auto"/>
          <w:sz w:val="24"/>
          <w:szCs w:val="24"/>
          <w:highlight w:val="none"/>
          <w:vertAlign w:val="baseline"/>
          <w:lang w:val="en-US" w:eastAsia="zh-CN"/>
        </w:rPr>
      </w:pPr>
      <w:r>
        <w:rPr>
          <w:rFonts w:hint="eastAsia"/>
          <w:color w:val="auto"/>
          <w:highlight w:val="none"/>
          <w:lang w:eastAsia="zh-CN"/>
        </w:rPr>
        <w:t>③</w:t>
      </w:r>
      <w:r>
        <w:rPr>
          <w:rFonts w:hint="eastAsia" w:ascii="宋体" w:hAnsi="宋体" w:eastAsia="宋体" w:cs="宋体"/>
          <w:b w:val="0"/>
          <w:bCs w:val="0"/>
          <w:color w:val="auto"/>
          <w:sz w:val="24"/>
          <w:szCs w:val="24"/>
          <w:highlight w:val="none"/>
        </w:rPr>
        <w:t>非甲烷总烃根据《排放源统计调查产排污核算方法和系数手册》</w:t>
      </w:r>
      <w:r>
        <w:rPr>
          <w:rFonts w:hint="eastAsia" w:ascii="宋体" w:hAnsi="宋体" w:eastAsia="宋体" w:cs="宋体"/>
          <w:b w:val="0"/>
          <w:bCs w:val="0"/>
          <w:color w:val="auto"/>
          <w:sz w:val="24"/>
          <w:szCs w:val="24"/>
          <w:highlight w:val="none"/>
          <w:lang w:val="en-US" w:eastAsia="zh-CN"/>
        </w:rPr>
        <w:t>中</w:t>
      </w:r>
      <w:r>
        <w:rPr>
          <w:rFonts w:hint="eastAsia" w:ascii="宋体" w:hAnsi="宋体" w:cs="宋体"/>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vertAlign w:val="baseline"/>
          <w:lang w:val="en-US" w:eastAsia="zh-CN"/>
        </w:rPr>
        <w:t>2511原油加工及石油制品制造行业</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lang w:val="en-US" w:eastAsia="zh-CN"/>
        </w:rPr>
        <w:t>工艺加热炉</w:t>
      </w:r>
      <w:r>
        <w:rPr>
          <w:rFonts w:hint="eastAsia" w:ascii="Times New Roman" w:hAnsi="Times New Roman" w:eastAsia="宋体" w:cs="Times New Roman"/>
          <w:b w:val="0"/>
          <w:bCs w:val="0"/>
          <w:color w:val="auto"/>
          <w:sz w:val="24"/>
          <w:szCs w:val="24"/>
          <w:highlight w:val="none"/>
          <w:vertAlign w:val="baseline"/>
          <w:lang w:val="en-US" w:eastAsia="zh-CN"/>
        </w:rPr>
        <w:t>挥发性有机物产污系数表进行核算</w:t>
      </w:r>
      <w:r>
        <w:rPr>
          <w:rFonts w:hint="eastAsia" w:ascii="Times New Roman" w:hAnsi="Times New Roman" w:eastAsia="宋体"/>
          <w:color w:val="auto"/>
          <w:sz w:val="24"/>
          <w:highlight w:val="none"/>
          <w:lang w:val="en-US" w:eastAsia="zh-CN"/>
        </w:rPr>
        <w:t>。单套设备非甲烷总烃</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153.701</w:t>
      </w:r>
      <w:r>
        <w:rPr>
          <w:rFonts w:hint="default" w:ascii="Times New Roman" w:hAnsi="Times New Roman" w:eastAsia="Times New Roman" w:cs="Times New Roman"/>
          <w:b w:val="0"/>
          <w:bCs w:val="0"/>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1.38</w:t>
      </w:r>
      <w:r>
        <w:rPr>
          <w:rFonts w:hint="eastAsia" w:ascii="Times New Roman" w:hAnsi="Times New Roman" w:eastAsia="宋体" w:cs="Times New Roman"/>
          <w:b w:val="0"/>
          <w:bCs w:val="0"/>
          <w:color w:val="auto"/>
          <w:sz w:val="24"/>
          <w:szCs w:val="24"/>
          <w:highlight w:val="none"/>
          <w:vertAlign w:val="baseline"/>
          <w:lang w:val="en-US" w:eastAsia="zh-CN"/>
        </w:rPr>
        <w:t>+</w:t>
      </w:r>
      <w:r>
        <w:rPr>
          <w:rFonts w:hint="eastAsia" w:ascii="Times New Roman" w:hAnsi="Times New Roman" w:eastAsia="宋体" w:cs="Times New Roman"/>
          <w:b w:val="0"/>
          <w:bCs w:val="0"/>
          <w:color w:val="auto"/>
          <w:sz w:val="24"/>
          <w:szCs w:val="24"/>
          <w:highlight w:val="none"/>
          <w:lang w:val="en-US" w:eastAsia="zh-CN"/>
        </w:rPr>
        <w:t>20706.15</w:t>
      </w:r>
      <w:r>
        <w:rPr>
          <w:rFonts w:hint="default" w:ascii="Times New Roman" w:hAnsi="Times New Roman" w:eastAsia="Times New Roman" w:cs="Times New Roman"/>
          <w:b w:val="0"/>
          <w:bCs w:val="0"/>
          <w:color w:val="auto"/>
          <w:sz w:val="24"/>
          <w:szCs w:val="24"/>
          <w:highlight w:val="none"/>
        </w:rPr>
        <w:t>×10</w:t>
      </w:r>
      <w:r>
        <w:rPr>
          <w:rFonts w:hint="eastAsia" w:ascii="Times New Roman" w:hAnsi="Times New Roman" w:eastAsia="宋体" w:cs="Times New Roman"/>
          <w:b w:val="0"/>
          <w:bCs w:val="0"/>
          <w:color w:val="auto"/>
          <w:sz w:val="24"/>
          <w:szCs w:val="24"/>
          <w:highlight w:val="none"/>
          <w:vertAlign w:val="superscript"/>
          <w:lang w:val="en-US" w:eastAsia="zh-CN"/>
        </w:rPr>
        <w:t>-4</w:t>
      </w:r>
      <w:r>
        <w:rPr>
          <w:rFonts w:hint="default" w:ascii="Times New Roman" w:hAnsi="Times New Roman" w:eastAsia="Times New Roman" w:cs="Times New Roman"/>
          <w:b w:val="0"/>
          <w:bCs w:val="0"/>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1.38</w:t>
      </w:r>
      <w:r>
        <w:rPr>
          <w:rFonts w:hint="eastAsia" w:ascii="Times New Roman" w:hAnsi="Times New Roman" w:eastAsia="宋体" w:cs="Times New Roman"/>
          <w:b w:val="0"/>
          <w:bCs w:val="0"/>
          <w:color w:val="auto"/>
          <w:sz w:val="24"/>
          <w:szCs w:val="24"/>
          <w:highlight w:val="none"/>
          <w:vertAlign w:val="baseline"/>
          <w:lang w:val="en-US" w:eastAsia="zh-CN"/>
        </w:rPr>
        <w:t>=214.96kg/a=0.215t/a，三套设备</w:t>
      </w:r>
      <w:r>
        <w:rPr>
          <w:rFonts w:hint="eastAsia" w:ascii="Times New Roman" w:hAnsi="Times New Roman" w:eastAsia="宋体"/>
          <w:color w:val="auto"/>
          <w:sz w:val="24"/>
          <w:highlight w:val="none"/>
          <w:lang w:val="en-US" w:eastAsia="zh-CN"/>
        </w:rPr>
        <w:t>非甲烷总烃产生量为0.645</w:t>
      </w:r>
      <w:r>
        <w:rPr>
          <w:rFonts w:hint="eastAsia" w:ascii="Times New Roman" w:hAnsi="Times New Roman" w:eastAsia="宋体" w:cs="Times New Roman"/>
          <w:b w:val="0"/>
          <w:bCs w:val="0"/>
          <w:color w:val="auto"/>
          <w:sz w:val="24"/>
          <w:szCs w:val="24"/>
          <w:highlight w:val="none"/>
          <w:vertAlign w:val="baseline"/>
          <w:lang w:val="en-US" w:eastAsia="zh-CN"/>
        </w:rPr>
        <w:t>t/a。</w:t>
      </w:r>
    </w:p>
    <w:p w14:paraId="0EA519E3">
      <w:pPr>
        <w:pStyle w:val="561"/>
        <w:rPr>
          <w:rFonts w:hint="eastAsia"/>
          <w:color w:val="auto"/>
          <w:highlight w:val="none"/>
        </w:rPr>
      </w:pPr>
    </w:p>
    <w:p w14:paraId="4892A128">
      <w:pPr>
        <w:pStyle w:val="561"/>
        <w:rPr>
          <w:color w:val="auto"/>
          <w:highlight w:val="none"/>
        </w:rPr>
      </w:pPr>
      <w:r>
        <w:rPr>
          <w:rFonts w:hint="eastAsia"/>
          <w:color w:val="auto"/>
          <w:highlight w:val="none"/>
        </w:rPr>
        <w:t>表</w:t>
      </w:r>
      <w:r>
        <w:rPr>
          <w:rFonts w:hint="eastAsia"/>
          <w:color w:val="auto"/>
          <w:highlight w:val="none"/>
          <w:lang w:val="en-US" w:eastAsia="zh-CN"/>
        </w:rPr>
        <w:t>3.5.1-2  燃烧烟气工业炉窑挥发性有机物产污系数表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3"/>
        <w:gridCol w:w="1200"/>
        <w:gridCol w:w="1185"/>
        <w:gridCol w:w="1530"/>
        <w:gridCol w:w="1275"/>
        <w:gridCol w:w="1170"/>
        <w:gridCol w:w="1096"/>
      </w:tblGrid>
      <w:tr w14:paraId="74923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3" w:type="pct"/>
            <w:noWrap w:val="0"/>
            <w:vAlign w:val="center"/>
          </w:tcPr>
          <w:p w14:paraId="073CC485">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炉窑类型</w:t>
            </w:r>
          </w:p>
        </w:tc>
        <w:tc>
          <w:tcPr>
            <w:tcW w:w="704" w:type="pct"/>
            <w:noWrap w:val="0"/>
            <w:vAlign w:val="center"/>
          </w:tcPr>
          <w:p w14:paraId="6A8753F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原料名称</w:t>
            </w:r>
          </w:p>
        </w:tc>
        <w:tc>
          <w:tcPr>
            <w:tcW w:w="695" w:type="pct"/>
            <w:noWrap w:val="0"/>
            <w:vAlign w:val="center"/>
          </w:tcPr>
          <w:p w14:paraId="6D76F15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规模等级</w:t>
            </w:r>
          </w:p>
        </w:tc>
        <w:tc>
          <w:tcPr>
            <w:tcW w:w="897" w:type="pct"/>
            <w:noWrap w:val="0"/>
            <w:vAlign w:val="center"/>
          </w:tcPr>
          <w:p w14:paraId="616BB69E">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污染物指标</w:t>
            </w:r>
          </w:p>
        </w:tc>
        <w:tc>
          <w:tcPr>
            <w:tcW w:w="748" w:type="pct"/>
            <w:noWrap w:val="0"/>
            <w:vAlign w:val="center"/>
          </w:tcPr>
          <w:p w14:paraId="7ABFEB7A">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单位</w:t>
            </w:r>
          </w:p>
        </w:tc>
        <w:tc>
          <w:tcPr>
            <w:tcW w:w="686" w:type="pct"/>
            <w:noWrap w:val="0"/>
            <w:vAlign w:val="center"/>
          </w:tcPr>
          <w:p w14:paraId="3FC550B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产污系数</w:t>
            </w:r>
          </w:p>
        </w:tc>
        <w:tc>
          <w:tcPr>
            <w:tcW w:w="643" w:type="pct"/>
            <w:noWrap w:val="0"/>
            <w:vAlign w:val="center"/>
          </w:tcPr>
          <w:p w14:paraId="517979E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产生量</w:t>
            </w:r>
          </w:p>
        </w:tc>
      </w:tr>
      <w:tr w14:paraId="2D4BE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623" w:type="pct"/>
            <w:noWrap w:val="0"/>
            <w:vAlign w:val="center"/>
          </w:tcPr>
          <w:p w14:paraId="50AB6E5C">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加热炉</w:t>
            </w:r>
          </w:p>
        </w:tc>
        <w:tc>
          <w:tcPr>
            <w:tcW w:w="704" w:type="pct"/>
            <w:noWrap w:val="0"/>
            <w:vAlign w:val="center"/>
          </w:tcPr>
          <w:p w14:paraId="735C26D2">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天然气</w:t>
            </w:r>
          </w:p>
        </w:tc>
        <w:tc>
          <w:tcPr>
            <w:tcW w:w="695" w:type="pct"/>
            <w:noWrap w:val="0"/>
            <w:vAlign w:val="center"/>
          </w:tcPr>
          <w:p w14:paraId="61358ED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所有规模</w:t>
            </w:r>
          </w:p>
        </w:tc>
        <w:tc>
          <w:tcPr>
            <w:tcW w:w="897" w:type="pct"/>
            <w:noWrap w:val="0"/>
            <w:vAlign w:val="center"/>
          </w:tcPr>
          <w:p w14:paraId="0DB35877">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挥发性有机废气</w:t>
            </w:r>
          </w:p>
        </w:tc>
        <w:tc>
          <w:tcPr>
            <w:tcW w:w="748" w:type="pct"/>
            <w:noWrap w:val="0"/>
            <w:vAlign w:val="center"/>
          </w:tcPr>
          <w:p w14:paraId="6F8C54F4">
            <w:pPr>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sz w:val="20"/>
                <w:szCs w:val="20"/>
                <w:highlight w:val="none"/>
                <w:lang w:val="en-US" w:eastAsia="zh-CN"/>
              </w:rPr>
              <w:t>kg</w:t>
            </w:r>
            <w:r>
              <w:rPr>
                <w:rFonts w:hint="default" w:ascii="Times New Roman" w:hAnsi="Times New Roman" w:eastAsia="Times New Roman" w:cs="Times New Roman"/>
                <w:b w:val="0"/>
                <w:bCs w:val="0"/>
                <w:color w:val="auto"/>
                <w:sz w:val="20"/>
                <w:szCs w:val="20"/>
                <w:highlight w:val="none"/>
              </w:rPr>
              <w:t>/</w:t>
            </w:r>
            <w:r>
              <w:rPr>
                <w:rFonts w:hint="default" w:ascii="Times New Roman" w:hAnsi="Times New Roman" w:eastAsia="宋体" w:cs="Times New Roman"/>
                <w:b w:val="0"/>
                <w:bCs w:val="0"/>
                <w:color w:val="auto"/>
                <w:sz w:val="20"/>
                <w:szCs w:val="20"/>
                <w:highlight w:val="none"/>
                <w:lang w:val="en-US" w:eastAsia="zh-CN"/>
              </w:rPr>
              <w:t>万</w:t>
            </w:r>
            <w:r>
              <w:rPr>
                <w:rFonts w:hint="default" w:ascii="Times New Roman" w:hAnsi="Times New Roman" w:eastAsia="宋体" w:cs="Times New Roman"/>
                <w:b w:val="0"/>
                <w:bCs w:val="0"/>
                <w:color w:val="auto"/>
                <w:sz w:val="24"/>
                <w:szCs w:val="24"/>
                <w:highlight w:val="none"/>
                <w:lang w:val="en-US" w:eastAsia="zh-CN"/>
              </w:rPr>
              <w:t>Nm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0"/>
                <w:szCs w:val="20"/>
                <w:highlight w:val="none"/>
              </w:rPr>
              <w:t>-</w:t>
            </w:r>
            <w:r>
              <w:rPr>
                <w:rFonts w:hint="default" w:ascii="Times New Roman" w:hAnsi="Times New Roman" w:eastAsia="宋体" w:cs="Times New Roman"/>
                <w:b w:val="0"/>
                <w:bCs w:val="0"/>
                <w:color w:val="auto"/>
                <w:sz w:val="20"/>
                <w:szCs w:val="20"/>
                <w:highlight w:val="none"/>
              </w:rPr>
              <w:t>燃料</w:t>
            </w:r>
          </w:p>
        </w:tc>
        <w:tc>
          <w:tcPr>
            <w:tcW w:w="686" w:type="pct"/>
            <w:noWrap w:val="0"/>
            <w:vAlign w:val="center"/>
          </w:tcPr>
          <w:p w14:paraId="4F4BAC2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1.38</w:t>
            </w:r>
          </w:p>
        </w:tc>
        <w:tc>
          <w:tcPr>
            <w:tcW w:w="643" w:type="pct"/>
            <w:noWrap w:val="0"/>
            <w:vAlign w:val="center"/>
          </w:tcPr>
          <w:p w14:paraId="2A72D25A">
            <w:pPr>
              <w:keepNext w:val="0"/>
              <w:keepLines w:val="0"/>
              <w:pageBreakBefore w:val="0"/>
              <w:widowControl w:val="0"/>
              <w:kinsoku/>
              <w:wordWrap/>
              <w:overflowPunct/>
              <w:topLinePunct w:val="0"/>
              <w:autoSpaceDE/>
              <w:autoSpaceDN/>
              <w:bidi w:val="0"/>
              <w:adjustRightInd/>
              <w:snapToGrid/>
              <w:spacing w:line="240" w:lineRule="atLeast"/>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0.645t/a</w:t>
            </w:r>
          </w:p>
        </w:tc>
      </w:tr>
    </w:tbl>
    <w:p w14:paraId="44E9DB54">
      <w:pPr>
        <w:spacing w:line="360" w:lineRule="auto"/>
        <w:ind w:firstLine="482" w:firstLineChars="200"/>
        <w:jc w:val="left"/>
        <w:rPr>
          <w:rFonts w:hint="eastAsia" w:ascii="Times New Roman" w:hAnsi="Times New Roman" w:eastAsia="宋体"/>
          <w:b/>
          <w:bCs/>
          <w:color w:val="auto"/>
          <w:sz w:val="24"/>
          <w:highlight w:val="none"/>
          <w:vertAlign w:val="subscript"/>
          <w:lang w:val="en-US" w:eastAsia="zh-CN"/>
        </w:rPr>
      </w:pPr>
      <w:r>
        <w:rPr>
          <w:rFonts w:hint="eastAsia" w:ascii="Times New Roman" w:hAnsi="Times New Roman" w:eastAsia="宋体"/>
          <w:b/>
          <w:bCs/>
          <w:color w:val="auto"/>
          <w:sz w:val="24"/>
          <w:highlight w:val="none"/>
          <w:vertAlign w:val="baseline"/>
          <w:lang w:val="en-US" w:eastAsia="zh-CN"/>
        </w:rPr>
        <w:t>（3）PSA提纯解吸气G</w:t>
      </w:r>
      <w:r>
        <w:rPr>
          <w:rFonts w:hint="eastAsia" w:ascii="Times New Roman" w:hAnsi="Times New Roman" w:eastAsia="宋体"/>
          <w:b/>
          <w:bCs/>
          <w:color w:val="auto"/>
          <w:sz w:val="24"/>
          <w:highlight w:val="none"/>
          <w:vertAlign w:val="subscript"/>
          <w:lang w:val="en-US" w:eastAsia="zh-CN"/>
        </w:rPr>
        <w:t>3</w:t>
      </w:r>
    </w:p>
    <w:p w14:paraId="46BE774F">
      <w:pPr>
        <w:spacing w:line="360" w:lineRule="auto"/>
        <w:ind w:firstLine="480" w:firstLineChars="200"/>
        <w:jc w:val="left"/>
        <w:rPr>
          <w:rFonts w:hint="default" w:ascii="Times New Roman" w:hAnsi="Times New Roman" w:eastAsia="宋体"/>
          <w:color w:val="auto"/>
          <w:sz w:val="24"/>
          <w:highlight w:val="none"/>
          <w:vertAlign w:val="baseline"/>
          <w:lang w:val="en-US" w:eastAsia="zh-CN"/>
        </w:rPr>
      </w:pPr>
      <w:r>
        <w:rPr>
          <w:rFonts w:hint="eastAsia" w:ascii="Times New Roman" w:hAnsi="Times New Roman" w:eastAsia="宋体"/>
          <w:color w:val="auto"/>
          <w:sz w:val="24"/>
          <w:highlight w:val="none"/>
          <w:vertAlign w:val="baseline"/>
          <w:lang w:val="en-US" w:eastAsia="zh-CN"/>
        </w:rPr>
        <w:t>PSA提氢部分</w:t>
      </w:r>
      <w:r>
        <w:rPr>
          <w:rFonts w:hint="eastAsia"/>
          <w:color w:val="auto"/>
          <w:sz w:val="24"/>
          <w:highlight w:val="none"/>
          <w:vertAlign w:val="baseline"/>
          <w:lang w:val="en-US" w:eastAsia="zh-CN"/>
        </w:rPr>
        <w:t>采用</w:t>
      </w:r>
      <w:r>
        <w:rPr>
          <w:rFonts w:hint="eastAsia" w:ascii="Times New Roman" w:hAnsi="Times New Roman" w:eastAsia="宋体"/>
          <w:color w:val="auto"/>
          <w:sz w:val="24"/>
          <w:highlight w:val="none"/>
          <w:vertAlign w:val="baseline"/>
          <w:lang w:val="en-US" w:eastAsia="zh-CN"/>
        </w:rPr>
        <w:t>6塔冲洗流程，其吸附和再生工艺过程由吸附、连续均压降压、顺放、逆放、冲洗、连续均压升压和产品最终升压等步骤组成。经这一过程后吸附塔便完成了一个完整的</w:t>
      </w:r>
      <w:r>
        <w:rPr>
          <w:rFonts w:hint="eastAsia"/>
          <w:color w:val="auto"/>
          <w:sz w:val="24"/>
          <w:highlight w:val="none"/>
          <w:vertAlign w:val="baseline"/>
          <w:lang w:val="en-US" w:eastAsia="zh-CN"/>
        </w:rPr>
        <w:t>“</w:t>
      </w:r>
      <w:r>
        <w:rPr>
          <w:rFonts w:hint="eastAsia" w:ascii="Times New Roman" w:hAnsi="Times New Roman" w:eastAsia="宋体"/>
          <w:color w:val="auto"/>
          <w:sz w:val="24"/>
          <w:highlight w:val="none"/>
          <w:vertAlign w:val="baseline"/>
          <w:lang w:val="en-US" w:eastAsia="zh-CN"/>
        </w:rPr>
        <w:t>吸附-再生</w:t>
      </w:r>
      <w:r>
        <w:rPr>
          <w:rFonts w:hint="eastAsia"/>
          <w:color w:val="auto"/>
          <w:sz w:val="24"/>
          <w:highlight w:val="none"/>
          <w:vertAlign w:val="baseline"/>
          <w:lang w:val="en-US" w:eastAsia="zh-CN"/>
        </w:rPr>
        <w:t>”</w:t>
      </w:r>
      <w:r>
        <w:rPr>
          <w:rFonts w:hint="eastAsia" w:ascii="Times New Roman" w:hAnsi="Times New Roman" w:eastAsia="宋体"/>
          <w:color w:val="auto"/>
          <w:sz w:val="24"/>
          <w:highlight w:val="none"/>
          <w:vertAlign w:val="baseline"/>
          <w:lang w:val="en-US" w:eastAsia="zh-CN"/>
        </w:rPr>
        <w:t>循环，又为下一次吸附做好了准备。6个吸附塔交替进行以上的吸附、再生操作，即可实现气体的连续分离与提纯，其中在再生环节产生解吸气，解吸气经管道收集送入转化炉燃烧嘴作为燃料燃烧供能，根据企业提供设计资料，单套装置解吸气产生量为412.9kg/h（2972.88t/a）。</w:t>
      </w:r>
    </w:p>
    <w:p w14:paraId="5214FDE4">
      <w:pPr>
        <w:spacing w:line="360" w:lineRule="auto"/>
        <w:ind w:firstLine="482" w:firstLineChars="200"/>
        <w:jc w:val="left"/>
        <w:rPr>
          <w:rFonts w:hint="eastAsia" w:ascii="Times New Roman" w:hAnsi="Times New Roman" w:eastAsia="宋体"/>
          <w:b/>
          <w:bCs/>
          <w:color w:val="auto"/>
          <w:sz w:val="24"/>
          <w:highlight w:val="none"/>
          <w:vertAlign w:val="subscript"/>
          <w:lang w:val="en-US" w:eastAsia="zh-CN"/>
        </w:rPr>
      </w:pPr>
      <w:r>
        <w:rPr>
          <w:rFonts w:hint="eastAsia" w:ascii="Times New Roman" w:hAnsi="Times New Roman" w:eastAsia="宋体"/>
          <w:b/>
          <w:bCs/>
          <w:color w:val="auto"/>
          <w:sz w:val="24"/>
          <w:highlight w:val="none"/>
          <w:vertAlign w:val="baseline"/>
          <w:lang w:val="en-US" w:eastAsia="zh-CN"/>
        </w:rPr>
        <w:t>（4）油品装卸过程废气G4、油品加油过程G6和储罐呼吸废气G5</w:t>
      </w:r>
    </w:p>
    <w:p w14:paraId="562C8C57">
      <w:pPr>
        <w:widowControl/>
        <w:snapToGrid w:val="0"/>
        <w:spacing w:line="500" w:lineRule="exact"/>
        <w:ind w:firstLine="480" w:firstLineChars="200"/>
        <w:jc w:val="left"/>
        <w:rPr>
          <w:rFonts w:hint="default" w:ascii="Times New Roman" w:hAnsi="Times New Roman" w:cs="Times New Roman"/>
          <w:color w:val="auto"/>
          <w:sz w:val="24"/>
          <w:szCs w:val="24"/>
          <w:highlight w:val="none"/>
        </w:rPr>
      </w:pPr>
      <w:r>
        <w:rPr>
          <w:color w:val="auto"/>
          <w:sz w:val="24"/>
          <w:highlight w:val="none"/>
        </w:rPr>
        <w:t>加油站油气损耗主要来自于油罐车卸油损耗（当油品从油罐车卸油到储油罐中、会产生卸油损耗）、油品储存损耗（当加油站汽油、柴油储存于储油罐中，</w:t>
      </w:r>
      <w:r>
        <w:rPr>
          <w:rFonts w:hint="default" w:ascii="Times New Roman" w:hAnsi="Times New Roman" w:cs="Times New Roman"/>
          <w:color w:val="auto"/>
          <w:sz w:val="24"/>
          <w:szCs w:val="24"/>
          <w:highlight w:val="none"/>
        </w:rPr>
        <w:t>会随着外界环境温度的变化产生油品的储存损耗）及油品零售损耗（当油品储油罐通过加油机输送到汽车时，会发生加油零售损耗）。油气以无组织排放的形式散逸到空气中。</w:t>
      </w:r>
    </w:p>
    <w:p w14:paraId="0A162C31">
      <w:pPr>
        <w:widowControl/>
        <w:snapToGrid w:val="0"/>
        <w:spacing w:line="500" w:lineRule="exact"/>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根据《散装液态石油产品损耗》（GB11085-89）中关于安徽地区油气损耗率，结合本项目销售量，由油品损耗量计算公式：</w:t>
      </w:r>
    </w:p>
    <w:p w14:paraId="4FAC1A46">
      <w:pPr>
        <w:widowControl/>
        <w:snapToGrid w:val="0"/>
        <w:spacing w:line="500" w:lineRule="exact"/>
        <w:ind w:firstLine="480" w:firstLineChars="20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Q=mq</w:t>
      </w:r>
    </w:p>
    <w:p w14:paraId="6BF1E517">
      <w:pPr>
        <w:widowControl/>
        <w:snapToGrid w:val="0"/>
        <w:spacing w:line="500" w:lineRule="exact"/>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其中：m—油品质量，q—汽油或柴油的相应损耗率。</w:t>
      </w:r>
    </w:p>
    <w:p w14:paraId="46A7ABB8">
      <w:pPr>
        <w:widowControl/>
        <w:snapToGrid w:val="0"/>
        <w:spacing w:line="500" w:lineRule="exact"/>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本项目采用地埋卧式油罐，整个储油及加油系统均为密闭系统，根据《散装液态石油产品损耗》（GB11085-89）卧式罐贮存损耗率忽略不计。</w:t>
      </w:r>
    </w:p>
    <w:p w14:paraId="2B66B937">
      <w:pPr>
        <w:pStyle w:val="562"/>
        <w:widowControl/>
        <w:snapToGrid w:val="0"/>
        <w:spacing w:line="500" w:lineRule="exact"/>
        <w:ind w:firstLineChars="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①柴油油气</w:t>
      </w:r>
    </w:p>
    <w:p w14:paraId="68715C00">
      <w:pPr>
        <w:widowControl/>
        <w:snapToGrid w:val="0"/>
        <w:spacing w:line="500" w:lineRule="exact"/>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本项目年销售柴油</w:t>
      </w:r>
      <w:r>
        <w:rPr>
          <w:rFonts w:hint="eastAsia" w:ascii="Times New Roman" w:hAnsi="Times New Roman" w:cs="Times New Roman"/>
          <w:color w:val="auto"/>
          <w:sz w:val="24"/>
          <w:szCs w:val="24"/>
          <w:highlight w:val="none"/>
          <w:lang w:val="en-US" w:eastAsia="zh-CN"/>
        </w:rPr>
        <w:t>2680</w:t>
      </w:r>
      <w:r>
        <w:rPr>
          <w:rFonts w:hint="default" w:ascii="Times New Roman" w:hAnsi="Times New Roman" w:cs="Times New Roman"/>
          <w:color w:val="auto"/>
          <w:sz w:val="24"/>
          <w:szCs w:val="24"/>
          <w:highlight w:val="none"/>
        </w:rPr>
        <w:t>t，根据《散装液态石油产品损耗》（GB11085-89），则柴油油气损耗量预测结果见</w:t>
      </w:r>
      <w:r>
        <w:rPr>
          <w:rFonts w:hint="eastAsia" w:ascii="Times New Roman" w:hAnsi="Times New Roman" w:cs="Times New Roman"/>
          <w:color w:val="auto"/>
          <w:sz w:val="24"/>
          <w:szCs w:val="24"/>
          <w:highlight w:val="none"/>
          <w:lang w:val="en-US" w:eastAsia="zh-CN"/>
        </w:rPr>
        <w:t>下表</w:t>
      </w:r>
      <w:r>
        <w:rPr>
          <w:rFonts w:hint="default" w:ascii="Times New Roman" w:hAnsi="Times New Roman" w:cs="Times New Roman"/>
          <w:color w:val="auto"/>
          <w:sz w:val="24"/>
          <w:szCs w:val="24"/>
          <w:highlight w:val="none"/>
        </w:rPr>
        <w:t>。</w:t>
      </w:r>
    </w:p>
    <w:p w14:paraId="52667E03">
      <w:pPr>
        <w:pStyle w:val="561"/>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表3.</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.1-3  柴油油气损耗量预测</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单位：t/a</w:t>
      </w:r>
      <w:r>
        <w:rPr>
          <w:rFonts w:hint="eastAsia" w:cs="Times New Roman"/>
          <w:color w:val="auto"/>
          <w:sz w:val="24"/>
          <w:szCs w:val="24"/>
          <w:highlight w:val="none"/>
          <w:lang w:val="en-US" w:eastAsia="zh-CN"/>
        </w:rPr>
        <w:t>）</w:t>
      </w:r>
    </w:p>
    <w:tbl>
      <w:tblPr>
        <w:tblStyle w:val="49"/>
        <w:tblW w:w="8463" w:type="dxa"/>
        <w:jc w:val="center"/>
        <w:tblBorders>
          <w:top w:val="single" w:color="0D0D0D" w:sz="4" w:space="0"/>
          <w:left w:val="single" w:color="0D0D0D" w:sz="4" w:space="0"/>
          <w:bottom w:val="single" w:color="0D0D0D" w:sz="4" w:space="0"/>
          <w:right w:val="single" w:color="0D0D0D" w:sz="4" w:space="0"/>
          <w:insideH w:val="single" w:color="0D0D0D" w:sz="4" w:space="0"/>
          <w:insideV w:val="single" w:color="0D0D0D" w:sz="4" w:space="0"/>
        </w:tblBorders>
        <w:tblLayout w:type="autofit"/>
        <w:tblCellMar>
          <w:top w:w="0" w:type="dxa"/>
          <w:left w:w="108" w:type="dxa"/>
          <w:bottom w:w="0" w:type="dxa"/>
          <w:right w:w="108" w:type="dxa"/>
        </w:tblCellMar>
      </w:tblPr>
      <w:tblGrid>
        <w:gridCol w:w="2227"/>
        <w:gridCol w:w="1418"/>
        <w:gridCol w:w="1416"/>
        <w:gridCol w:w="3402"/>
      </w:tblGrid>
      <w:tr w14:paraId="3629CD79">
        <w:tblPrEx>
          <w:tblBorders>
            <w:top w:val="single" w:color="0D0D0D" w:sz="4" w:space="0"/>
            <w:left w:val="single" w:color="0D0D0D" w:sz="4" w:space="0"/>
            <w:bottom w:val="single" w:color="0D0D0D" w:sz="4" w:space="0"/>
            <w:right w:val="single" w:color="0D0D0D" w:sz="4" w:space="0"/>
            <w:insideH w:val="single" w:color="0D0D0D" w:sz="4" w:space="0"/>
            <w:insideV w:val="single" w:color="0D0D0D" w:sz="4" w:space="0"/>
          </w:tblBorders>
          <w:tblCellMar>
            <w:top w:w="0" w:type="dxa"/>
            <w:left w:w="108" w:type="dxa"/>
            <w:bottom w:w="0" w:type="dxa"/>
            <w:right w:w="108" w:type="dxa"/>
          </w:tblCellMar>
        </w:tblPrEx>
        <w:trPr>
          <w:trHeight w:val="369" w:hRule="atLeast"/>
          <w:jc w:val="center"/>
        </w:trPr>
        <w:tc>
          <w:tcPr>
            <w:tcW w:w="2227" w:type="dxa"/>
            <w:vMerge w:val="restart"/>
            <w:noWrap w:val="0"/>
            <w:vAlign w:val="top"/>
          </w:tcPr>
          <w:p w14:paraId="39EA6FCB">
            <w:pPr>
              <w:widowControl/>
              <w:adjustRightInd w:val="0"/>
              <w:snapToGrid w:val="0"/>
              <w:ind w:firstLine="964" w:firstLineChars="400"/>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项目</w:t>
            </w:r>
          </w:p>
          <w:p w14:paraId="2556FF01">
            <w:pPr>
              <w:widowControl/>
              <w:adjustRightInd w:val="0"/>
              <w:snapToGrid w:val="0"/>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损耗类型</w:t>
            </w:r>
          </w:p>
        </w:tc>
        <w:tc>
          <w:tcPr>
            <w:tcW w:w="2834" w:type="dxa"/>
            <w:gridSpan w:val="2"/>
            <w:noWrap w:val="0"/>
            <w:vAlign w:val="center"/>
          </w:tcPr>
          <w:p w14:paraId="7594BD1F">
            <w:pPr>
              <w:widowControl/>
              <w:adjustRightInd w:val="0"/>
              <w:snapToGrid w:val="0"/>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柴油</w:t>
            </w:r>
          </w:p>
        </w:tc>
        <w:tc>
          <w:tcPr>
            <w:tcW w:w="3402" w:type="dxa"/>
            <w:vMerge w:val="restart"/>
            <w:noWrap w:val="0"/>
            <w:vAlign w:val="center"/>
          </w:tcPr>
          <w:p w14:paraId="1824394B">
            <w:pPr>
              <w:widowControl/>
              <w:adjustRightInd w:val="0"/>
              <w:snapToGrid w:val="0"/>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备注</w:t>
            </w:r>
          </w:p>
        </w:tc>
      </w:tr>
      <w:tr w14:paraId="7B4548C1">
        <w:tblPrEx>
          <w:tblBorders>
            <w:top w:val="single" w:color="0D0D0D" w:sz="4" w:space="0"/>
            <w:left w:val="single" w:color="0D0D0D" w:sz="4" w:space="0"/>
            <w:bottom w:val="single" w:color="0D0D0D" w:sz="4" w:space="0"/>
            <w:right w:val="single" w:color="0D0D0D" w:sz="4" w:space="0"/>
            <w:insideH w:val="single" w:color="0D0D0D" w:sz="4" w:space="0"/>
            <w:insideV w:val="single" w:color="0D0D0D" w:sz="4" w:space="0"/>
          </w:tblBorders>
          <w:tblCellMar>
            <w:top w:w="0" w:type="dxa"/>
            <w:left w:w="108" w:type="dxa"/>
            <w:bottom w:w="0" w:type="dxa"/>
            <w:right w:w="108" w:type="dxa"/>
          </w:tblCellMar>
        </w:tblPrEx>
        <w:trPr>
          <w:trHeight w:val="369" w:hRule="atLeast"/>
          <w:jc w:val="center"/>
        </w:trPr>
        <w:tc>
          <w:tcPr>
            <w:tcW w:w="2227" w:type="dxa"/>
            <w:vMerge w:val="continue"/>
            <w:noWrap w:val="0"/>
            <w:vAlign w:val="center"/>
          </w:tcPr>
          <w:p w14:paraId="2BA193BE">
            <w:pPr>
              <w:widowControl/>
              <w:adjustRightInd w:val="0"/>
              <w:snapToGrid w:val="0"/>
              <w:jc w:val="center"/>
              <w:rPr>
                <w:rFonts w:hint="default" w:ascii="Times New Roman" w:hAnsi="Times New Roman" w:cs="Times New Roman"/>
                <w:b/>
                <w:color w:val="auto"/>
                <w:sz w:val="24"/>
                <w:szCs w:val="24"/>
                <w:highlight w:val="none"/>
              </w:rPr>
            </w:pPr>
          </w:p>
        </w:tc>
        <w:tc>
          <w:tcPr>
            <w:tcW w:w="1418" w:type="dxa"/>
            <w:noWrap w:val="0"/>
            <w:vAlign w:val="center"/>
          </w:tcPr>
          <w:p w14:paraId="412A7100">
            <w:pPr>
              <w:widowControl/>
              <w:adjustRightInd w:val="0"/>
              <w:snapToGrid w:val="0"/>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损耗率</w:t>
            </w:r>
          </w:p>
        </w:tc>
        <w:tc>
          <w:tcPr>
            <w:tcW w:w="1416" w:type="dxa"/>
            <w:noWrap w:val="0"/>
            <w:vAlign w:val="center"/>
          </w:tcPr>
          <w:p w14:paraId="200A894B">
            <w:pPr>
              <w:widowControl/>
              <w:adjustRightInd w:val="0"/>
              <w:snapToGrid w:val="0"/>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损耗量</w:t>
            </w:r>
          </w:p>
        </w:tc>
        <w:tc>
          <w:tcPr>
            <w:tcW w:w="3402" w:type="dxa"/>
            <w:vMerge w:val="continue"/>
            <w:noWrap w:val="0"/>
            <w:vAlign w:val="top"/>
          </w:tcPr>
          <w:p w14:paraId="6E810B74">
            <w:pPr>
              <w:widowControl/>
              <w:adjustRightInd w:val="0"/>
              <w:snapToGrid w:val="0"/>
              <w:jc w:val="center"/>
              <w:rPr>
                <w:rFonts w:hint="default" w:ascii="Times New Roman" w:hAnsi="Times New Roman" w:cs="Times New Roman"/>
                <w:color w:val="auto"/>
                <w:sz w:val="24"/>
                <w:szCs w:val="24"/>
                <w:highlight w:val="none"/>
              </w:rPr>
            </w:pPr>
          </w:p>
        </w:tc>
      </w:tr>
      <w:tr w14:paraId="13B72EBF">
        <w:tblPrEx>
          <w:tblBorders>
            <w:top w:val="single" w:color="0D0D0D" w:sz="4" w:space="0"/>
            <w:left w:val="single" w:color="0D0D0D" w:sz="4" w:space="0"/>
            <w:bottom w:val="single" w:color="0D0D0D" w:sz="4" w:space="0"/>
            <w:right w:val="single" w:color="0D0D0D" w:sz="4" w:space="0"/>
            <w:insideH w:val="single" w:color="0D0D0D" w:sz="4" w:space="0"/>
            <w:insideV w:val="single" w:color="0D0D0D" w:sz="4" w:space="0"/>
          </w:tblBorders>
          <w:tblCellMar>
            <w:top w:w="0" w:type="dxa"/>
            <w:left w:w="108" w:type="dxa"/>
            <w:bottom w:w="0" w:type="dxa"/>
            <w:right w:w="108" w:type="dxa"/>
          </w:tblCellMar>
        </w:tblPrEx>
        <w:trPr>
          <w:trHeight w:val="369" w:hRule="atLeast"/>
          <w:jc w:val="center"/>
        </w:trPr>
        <w:tc>
          <w:tcPr>
            <w:tcW w:w="2227" w:type="dxa"/>
            <w:noWrap w:val="0"/>
            <w:vAlign w:val="center"/>
          </w:tcPr>
          <w:p w14:paraId="77B81EF3">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卸油损耗</w:t>
            </w:r>
          </w:p>
        </w:tc>
        <w:tc>
          <w:tcPr>
            <w:tcW w:w="1418" w:type="dxa"/>
            <w:noWrap w:val="0"/>
            <w:vAlign w:val="center"/>
          </w:tcPr>
          <w:p w14:paraId="3FA34BFD">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0.05%</w:t>
            </w:r>
          </w:p>
        </w:tc>
        <w:tc>
          <w:tcPr>
            <w:tcW w:w="1416" w:type="dxa"/>
            <w:noWrap w:val="0"/>
            <w:vAlign w:val="center"/>
          </w:tcPr>
          <w:p w14:paraId="0E92AA4E">
            <w:pPr>
              <w:widowControl/>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1.34</w:t>
            </w:r>
          </w:p>
        </w:tc>
        <w:tc>
          <w:tcPr>
            <w:tcW w:w="3402" w:type="dxa"/>
            <w:noWrap w:val="0"/>
            <w:vAlign w:val="center"/>
          </w:tcPr>
          <w:p w14:paraId="069000CE">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柴油挥卸油损耗主要为柴油罐车挂壁损耗，未挥发至空气中。</w:t>
            </w:r>
          </w:p>
        </w:tc>
      </w:tr>
      <w:tr w14:paraId="3B629865">
        <w:tblPrEx>
          <w:tblBorders>
            <w:top w:val="single" w:color="0D0D0D" w:sz="4" w:space="0"/>
            <w:left w:val="single" w:color="0D0D0D" w:sz="4" w:space="0"/>
            <w:bottom w:val="single" w:color="0D0D0D" w:sz="4" w:space="0"/>
            <w:right w:val="single" w:color="0D0D0D" w:sz="4" w:space="0"/>
            <w:insideH w:val="single" w:color="0D0D0D" w:sz="4" w:space="0"/>
            <w:insideV w:val="single" w:color="0D0D0D" w:sz="4" w:space="0"/>
          </w:tblBorders>
          <w:tblCellMar>
            <w:top w:w="0" w:type="dxa"/>
            <w:left w:w="108" w:type="dxa"/>
            <w:bottom w:w="0" w:type="dxa"/>
            <w:right w:w="108" w:type="dxa"/>
          </w:tblCellMar>
        </w:tblPrEx>
        <w:trPr>
          <w:trHeight w:val="369" w:hRule="atLeast"/>
          <w:jc w:val="center"/>
        </w:trPr>
        <w:tc>
          <w:tcPr>
            <w:tcW w:w="2227" w:type="dxa"/>
            <w:noWrap w:val="0"/>
            <w:vAlign w:val="center"/>
          </w:tcPr>
          <w:p w14:paraId="6EFFC93D">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零售损耗</w:t>
            </w:r>
          </w:p>
        </w:tc>
        <w:tc>
          <w:tcPr>
            <w:tcW w:w="1418" w:type="dxa"/>
            <w:noWrap w:val="0"/>
            <w:vAlign w:val="center"/>
          </w:tcPr>
          <w:p w14:paraId="365CFAA0">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0.08%</w:t>
            </w:r>
          </w:p>
        </w:tc>
        <w:tc>
          <w:tcPr>
            <w:tcW w:w="1416" w:type="dxa"/>
            <w:noWrap w:val="0"/>
            <w:vAlign w:val="center"/>
          </w:tcPr>
          <w:p w14:paraId="4A2BFC98">
            <w:pPr>
              <w:widowControl/>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2.144</w:t>
            </w:r>
          </w:p>
        </w:tc>
        <w:tc>
          <w:tcPr>
            <w:tcW w:w="3402" w:type="dxa"/>
            <w:noWrap w:val="0"/>
            <w:vAlign w:val="center"/>
          </w:tcPr>
          <w:p w14:paraId="524BC915">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其中约80%为计量损耗</w:t>
            </w:r>
          </w:p>
        </w:tc>
      </w:tr>
      <w:tr w14:paraId="4C726452">
        <w:tblPrEx>
          <w:tblBorders>
            <w:top w:val="single" w:color="0D0D0D" w:sz="4" w:space="0"/>
            <w:left w:val="single" w:color="0D0D0D" w:sz="4" w:space="0"/>
            <w:bottom w:val="single" w:color="0D0D0D" w:sz="4" w:space="0"/>
            <w:right w:val="single" w:color="0D0D0D" w:sz="4" w:space="0"/>
            <w:insideH w:val="single" w:color="0D0D0D" w:sz="4" w:space="0"/>
            <w:insideV w:val="single" w:color="0D0D0D" w:sz="4" w:space="0"/>
          </w:tblBorders>
          <w:tblCellMar>
            <w:top w:w="0" w:type="dxa"/>
            <w:left w:w="108" w:type="dxa"/>
            <w:bottom w:w="0" w:type="dxa"/>
            <w:right w:w="108" w:type="dxa"/>
          </w:tblCellMar>
        </w:tblPrEx>
        <w:trPr>
          <w:trHeight w:val="369" w:hRule="atLeast"/>
          <w:jc w:val="center"/>
        </w:trPr>
        <w:tc>
          <w:tcPr>
            <w:tcW w:w="2227" w:type="dxa"/>
            <w:noWrap w:val="0"/>
            <w:vAlign w:val="center"/>
          </w:tcPr>
          <w:p w14:paraId="625E008B">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合计损耗量</w:t>
            </w:r>
          </w:p>
        </w:tc>
        <w:tc>
          <w:tcPr>
            <w:tcW w:w="1418" w:type="dxa"/>
            <w:noWrap w:val="0"/>
            <w:vAlign w:val="center"/>
          </w:tcPr>
          <w:p w14:paraId="6E0D00F7">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c>
          <w:tcPr>
            <w:tcW w:w="1416" w:type="dxa"/>
            <w:noWrap w:val="0"/>
            <w:vAlign w:val="center"/>
          </w:tcPr>
          <w:p w14:paraId="4EBE99A7">
            <w:pPr>
              <w:widowControl/>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3.484</w:t>
            </w:r>
          </w:p>
        </w:tc>
        <w:tc>
          <w:tcPr>
            <w:tcW w:w="3402" w:type="dxa"/>
            <w:noWrap w:val="0"/>
            <w:vAlign w:val="center"/>
          </w:tcPr>
          <w:p w14:paraId="70056BAF">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r>
      <w:tr w14:paraId="26BB9D04">
        <w:tblPrEx>
          <w:tblBorders>
            <w:top w:val="single" w:color="0D0D0D" w:sz="4" w:space="0"/>
            <w:left w:val="single" w:color="0D0D0D" w:sz="4" w:space="0"/>
            <w:bottom w:val="single" w:color="0D0D0D" w:sz="4" w:space="0"/>
            <w:right w:val="single" w:color="0D0D0D" w:sz="4" w:space="0"/>
            <w:insideH w:val="single" w:color="0D0D0D" w:sz="4" w:space="0"/>
            <w:insideV w:val="single" w:color="0D0D0D" w:sz="4" w:space="0"/>
          </w:tblBorders>
          <w:tblCellMar>
            <w:top w:w="0" w:type="dxa"/>
            <w:left w:w="108" w:type="dxa"/>
            <w:bottom w:w="0" w:type="dxa"/>
            <w:right w:w="108" w:type="dxa"/>
          </w:tblCellMar>
        </w:tblPrEx>
        <w:trPr>
          <w:trHeight w:val="369" w:hRule="atLeast"/>
          <w:jc w:val="center"/>
        </w:trPr>
        <w:tc>
          <w:tcPr>
            <w:tcW w:w="2227" w:type="dxa"/>
            <w:noWrap w:val="0"/>
            <w:vAlign w:val="center"/>
          </w:tcPr>
          <w:p w14:paraId="623E6955">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实际挥发量</w:t>
            </w:r>
          </w:p>
        </w:tc>
        <w:tc>
          <w:tcPr>
            <w:tcW w:w="1418" w:type="dxa"/>
            <w:noWrap w:val="0"/>
            <w:vAlign w:val="center"/>
          </w:tcPr>
          <w:p w14:paraId="5FFFADB6">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c>
          <w:tcPr>
            <w:tcW w:w="1416" w:type="dxa"/>
            <w:noWrap w:val="0"/>
            <w:vAlign w:val="center"/>
          </w:tcPr>
          <w:p w14:paraId="55F4FD6E">
            <w:pPr>
              <w:widowControl/>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0.4288</w:t>
            </w:r>
          </w:p>
        </w:tc>
        <w:tc>
          <w:tcPr>
            <w:tcW w:w="3402" w:type="dxa"/>
            <w:noWrap w:val="0"/>
            <w:vAlign w:val="center"/>
          </w:tcPr>
          <w:p w14:paraId="0802F828">
            <w:pPr>
              <w:widowControl/>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r>
    </w:tbl>
    <w:p w14:paraId="7DBA4A34">
      <w:pPr>
        <w:widowControl/>
        <w:spacing w:line="360" w:lineRule="auto"/>
        <w:ind w:firstLine="360" w:firstLineChars="15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由</w:t>
      </w:r>
      <w:r>
        <w:rPr>
          <w:rFonts w:hint="default" w:ascii="Times New Roman" w:hAnsi="Times New Roman" w:cs="Times New Roman"/>
          <w:color w:val="auto"/>
          <w:sz w:val="24"/>
          <w:szCs w:val="24"/>
          <w:highlight w:val="none"/>
          <w:lang w:val="en-US" w:eastAsia="zh-CN"/>
        </w:rPr>
        <w:t>表3.4.1-3</w:t>
      </w:r>
      <w:r>
        <w:rPr>
          <w:rFonts w:hint="default" w:ascii="Times New Roman" w:hAnsi="Times New Roman" w:cs="Times New Roman"/>
          <w:color w:val="auto"/>
          <w:sz w:val="24"/>
          <w:szCs w:val="24"/>
          <w:highlight w:val="none"/>
        </w:rPr>
        <w:t>可知，本项目柴油损耗量为</w:t>
      </w:r>
      <w:r>
        <w:rPr>
          <w:rFonts w:hint="eastAsia" w:ascii="Times New Roman" w:hAnsi="Times New Roman" w:cs="Times New Roman"/>
          <w:color w:val="auto"/>
          <w:sz w:val="24"/>
          <w:szCs w:val="24"/>
          <w:highlight w:val="none"/>
          <w:lang w:val="en-US" w:eastAsia="zh-CN"/>
        </w:rPr>
        <w:t>3.484</w:t>
      </w:r>
      <w:r>
        <w:rPr>
          <w:rFonts w:hint="default" w:ascii="Times New Roman" w:hAnsi="Times New Roman" w:cs="Times New Roman"/>
          <w:color w:val="auto"/>
          <w:sz w:val="24"/>
          <w:szCs w:val="24"/>
          <w:highlight w:val="none"/>
        </w:rPr>
        <w:t>t/a，实际损耗柴油挥发量约为</w:t>
      </w:r>
      <w:r>
        <w:rPr>
          <w:rFonts w:hint="eastAsia" w:ascii="Times New Roman" w:hAnsi="Times New Roman" w:cs="Times New Roman"/>
          <w:color w:val="auto"/>
          <w:sz w:val="24"/>
          <w:szCs w:val="24"/>
          <w:highlight w:val="none"/>
          <w:lang w:val="en-US" w:eastAsia="zh-CN"/>
        </w:rPr>
        <w:t>0.4288</w:t>
      </w:r>
      <w:r>
        <w:rPr>
          <w:rFonts w:hint="default" w:ascii="Times New Roman" w:hAnsi="Times New Roman" w:cs="Times New Roman"/>
          <w:color w:val="auto"/>
          <w:sz w:val="24"/>
          <w:szCs w:val="24"/>
          <w:highlight w:val="none"/>
        </w:rPr>
        <w:t>t/a。</w:t>
      </w:r>
    </w:p>
    <w:p w14:paraId="592BA009">
      <w:pPr>
        <w:pStyle w:val="562"/>
        <w:widowControl/>
        <w:spacing w:line="360" w:lineRule="auto"/>
        <w:ind w:firstLineChars="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②汽油油气</w:t>
      </w:r>
    </w:p>
    <w:p w14:paraId="318132DC">
      <w:pPr>
        <w:widowControl/>
        <w:spacing w:line="500" w:lineRule="exact"/>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根据项目设计方案，本项目针对汽油设置有卸油油气回收系统（即一次油气回收系统），同时安装分散式加油油气回收系统（即二次油气回收系统）。</w:t>
      </w:r>
    </w:p>
    <w:p w14:paraId="2AB72077">
      <w:pPr>
        <w:widowControl/>
        <w:spacing w:line="500" w:lineRule="exact"/>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卸油油气回收系统将油罐车向油罐卸油产生的油气密闭回收至油罐车内，运往油库处理，卸油油气回收系统回收率95%。</w:t>
      </w:r>
    </w:p>
    <w:p w14:paraId="02BE96FB">
      <w:pPr>
        <w:widowControl/>
        <w:spacing w:line="500" w:lineRule="exact"/>
        <w:ind w:firstLine="360" w:firstLineChars="150"/>
        <w:rPr>
          <w:color w:val="auto"/>
          <w:sz w:val="24"/>
          <w:highlight w:val="none"/>
        </w:rPr>
      </w:pPr>
      <w:r>
        <w:rPr>
          <w:rFonts w:hint="default" w:ascii="Times New Roman" w:hAnsi="Times New Roman" w:cs="Times New Roman"/>
          <w:color w:val="auto"/>
          <w:sz w:val="24"/>
          <w:szCs w:val="24"/>
          <w:highlight w:val="none"/>
        </w:rPr>
        <w:t>分散式加油油气回收系统将车辆加油时，加油车辆油箱上空产生的油气通过真空辅助回收系统按汽液比1.2:1的比例回收至埋地油罐内，少量油气通过加油车辆油箱接口处逸散至大气环境中。另回收过程中因回收的油气需平衡油罐压</w:t>
      </w:r>
      <w:r>
        <w:rPr>
          <w:color w:val="auto"/>
          <w:sz w:val="24"/>
          <w:highlight w:val="none"/>
        </w:rPr>
        <w:t>强，油箱内油气平衡过程中，少部分油气通过通气立管外排。加油油气回收系统回收效率为9</w:t>
      </w:r>
      <w:r>
        <w:rPr>
          <w:rFonts w:hint="eastAsia"/>
          <w:color w:val="auto"/>
          <w:sz w:val="24"/>
          <w:highlight w:val="none"/>
          <w:lang w:val="en-US" w:eastAsia="zh-CN"/>
        </w:rPr>
        <w:t>5</w:t>
      </w:r>
      <w:r>
        <w:rPr>
          <w:color w:val="auto"/>
          <w:sz w:val="24"/>
          <w:highlight w:val="none"/>
        </w:rPr>
        <w:t>%。</w:t>
      </w:r>
    </w:p>
    <w:p w14:paraId="14690DA6">
      <w:pPr>
        <w:widowControl/>
        <w:spacing w:line="500" w:lineRule="exact"/>
        <w:ind w:firstLine="360" w:firstLineChars="150"/>
        <w:rPr>
          <w:color w:val="auto"/>
          <w:sz w:val="24"/>
          <w:highlight w:val="none"/>
        </w:rPr>
      </w:pPr>
      <w:r>
        <w:rPr>
          <w:color w:val="auto"/>
          <w:sz w:val="24"/>
          <w:highlight w:val="none"/>
        </w:rPr>
        <w:t>通过通气立管外排的和加油时逸散的油气主要为C2-C8碳氢化合物，评价以非甲烷总烃作为油气挥发的污染物指标。</w:t>
      </w:r>
    </w:p>
    <w:p w14:paraId="0B784F16">
      <w:pPr>
        <w:widowControl/>
        <w:spacing w:line="500" w:lineRule="exact"/>
        <w:ind w:firstLine="360" w:firstLineChars="150"/>
        <w:rPr>
          <w:color w:val="auto"/>
          <w:sz w:val="24"/>
          <w:highlight w:val="none"/>
        </w:rPr>
      </w:pPr>
      <w:r>
        <w:rPr>
          <w:color w:val="auto"/>
          <w:sz w:val="24"/>
          <w:highlight w:val="none"/>
        </w:rPr>
        <w:t>根据《散装液态石油产品损耗》（GB11085-89）中关于</w:t>
      </w:r>
      <w:r>
        <w:rPr>
          <w:rFonts w:hint="eastAsia"/>
          <w:color w:val="auto"/>
          <w:sz w:val="24"/>
          <w:highlight w:val="none"/>
        </w:rPr>
        <w:t>安徽</w:t>
      </w:r>
      <w:r>
        <w:rPr>
          <w:color w:val="auto"/>
          <w:sz w:val="24"/>
          <w:highlight w:val="none"/>
        </w:rPr>
        <w:t>地区油气损耗率的规定，结合本项目年汽油销售量</w:t>
      </w:r>
      <w:r>
        <w:rPr>
          <w:rFonts w:hint="eastAsia"/>
          <w:color w:val="auto"/>
          <w:sz w:val="24"/>
          <w:highlight w:val="none"/>
          <w:lang w:val="en-US" w:eastAsia="zh-CN"/>
        </w:rPr>
        <w:t>3000</w:t>
      </w:r>
      <w:r>
        <w:rPr>
          <w:color w:val="auto"/>
          <w:sz w:val="24"/>
          <w:highlight w:val="none"/>
        </w:rPr>
        <w:t>t/a，计算出汽油油气损耗量为</w:t>
      </w:r>
      <w:r>
        <w:rPr>
          <w:rFonts w:hint="eastAsia"/>
          <w:color w:val="auto"/>
          <w:sz w:val="24"/>
          <w:highlight w:val="none"/>
          <w:lang w:val="en-US" w:eastAsia="zh-CN"/>
        </w:rPr>
        <w:t>0.735</w:t>
      </w:r>
      <w:r>
        <w:rPr>
          <w:color w:val="auto"/>
          <w:sz w:val="24"/>
          <w:highlight w:val="none"/>
        </w:rPr>
        <w:t>t/a。汽油损耗产生的油气经卸油油气回收系统、加油油气回收系统的排放量统计见表</w:t>
      </w:r>
      <w:r>
        <w:rPr>
          <w:rFonts w:hint="eastAsia"/>
          <w:color w:val="auto"/>
          <w:sz w:val="24"/>
          <w:highlight w:val="none"/>
          <w:lang w:val="en-US" w:eastAsia="zh-CN"/>
        </w:rPr>
        <w:t>3.4.1-4</w:t>
      </w:r>
      <w:r>
        <w:rPr>
          <w:color w:val="auto"/>
          <w:sz w:val="24"/>
          <w:highlight w:val="none"/>
        </w:rPr>
        <w:t>。</w:t>
      </w:r>
    </w:p>
    <w:p w14:paraId="0B3ECB99">
      <w:pPr>
        <w:pStyle w:val="561"/>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表3.</w:t>
      </w:r>
      <w:r>
        <w:rPr>
          <w:rFonts w:hint="eastAsia" w:cs="Times New Roman"/>
          <w:color w:val="auto"/>
          <w:highlight w:val="none"/>
          <w:lang w:val="en-US" w:eastAsia="zh-CN"/>
        </w:rPr>
        <w:t>5</w:t>
      </w:r>
      <w:r>
        <w:rPr>
          <w:rFonts w:hint="eastAsia" w:ascii="Times New Roman" w:hAnsi="Times New Roman" w:eastAsia="宋体" w:cs="Times New Roman"/>
          <w:color w:val="auto"/>
          <w:highlight w:val="none"/>
          <w:lang w:val="en-US" w:eastAsia="zh-CN"/>
        </w:rPr>
        <w:t>.1-4  汽油油气产生量和排放量</w:t>
      </w:r>
      <w:r>
        <w:rPr>
          <w:rFonts w:hint="eastAsia" w:cs="Times New Roman"/>
          <w:color w:val="auto"/>
          <w:highlight w:val="none"/>
          <w:lang w:val="en-US" w:eastAsia="zh-CN"/>
        </w:rPr>
        <w:t>（</w:t>
      </w:r>
      <w:r>
        <w:rPr>
          <w:rFonts w:hint="eastAsia" w:ascii="Times New Roman" w:hAnsi="Times New Roman" w:eastAsia="宋体" w:cs="Times New Roman"/>
          <w:color w:val="auto"/>
          <w:highlight w:val="none"/>
          <w:lang w:val="en-US" w:eastAsia="zh-CN"/>
        </w:rPr>
        <w:t>单位：t/a</w:t>
      </w:r>
      <w:r>
        <w:rPr>
          <w:rFonts w:hint="eastAsia" w:cs="Times New Roman"/>
          <w:color w:val="auto"/>
          <w:highlight w:val="none"/>
          <w:lang w:val="en-US" w:eastAsia="zh-CN"/>
        </w:rPr>
        <w:t>）</w:t>
      </w:r>
    </w:p>
    <w:tbl>
      <w:tblPr>
        <w:tblStyle w:val="49"/>
        <w:tblW w:w="87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850"/>
        <w:gridCol w:w="851"/>
        <w:gridCol w:w="1277"/>
        <w:gridCol w:w="1916"/>
        <w:gridCol w:w="1593"/>
        <w:gridCol w:w="1117"/>
      </w:tblGrid>
      <w:tr w14:paraId="40E62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4" w:type="dxa"/>
            <w:vMerge w:val="restart"/>
            <w:tcBorders>
              <w:top w:val="single" w:color="auto" w:sz="12" w:space="0"/>
              <w:tl2br w:val="single" w:color="auto" w:sz="12" w:space="0"/>
            </w:tcBorders>
            <w:noWrap w:val="0"/>
            <w:vAlign w:val="center"/>
          </w:tcPr>
          <w:p w14:paraId="677017F8">
            <w:pPr>
              <w:widowControl/>
              <w:adjustRightInd w:val="0"/>
              <w:snapToGrid w:val="0"/>
              <w:ind w:firstLine="420" w:firstLineChars="200"/>
              <w:rPr>
                <w:color w:val="auto"/>
                <w:szCs w:val="21"/>
                <w:highlight w:val="none"/>
              </w:rPr>
            </w:pPr>
            <w:r>
              <w:rPr>
                <w:color w:val="auto"/>
                <w:szCs w:val="21"/>
                <w:highlight w:val="none"/>
              </w:rPr>
              <w:t>项目</w:t>
            </w:r>
          </w:p>
          <w:p w14:paraId="5EF649A6">
            <w:pPr>
              <w:widowControl/>
              <w:adjustRightInd w:val="0"/>
              <w:snapToGrid w:val="0"/>
              <w:rPr>
                <w:color w:val="auto"/>
                <w:szCs w:val="21"/>
                <w:highlight w:val="none"/>
              </w:rPr>
            </w:pPr>
            <w:r>
              <w:rPr>
                <w:color w:val="auto"/>
                <w:szCs w:val="21"/>
                <w:highlight w:val="none"/>
              </w:rPr>
              <w:t>类型</w:t>
            </w:r>
          </w:p>
        </w:tc>
        <w:tc>
          <w:tcPr>
            <w:tcW w:w="850" w:type="dxa"/>
            <w:vMerge w:val="restart"/>
            <w:tcBorders>
              <w:top w:val="single" w:color="auto" w:sz="12" w:space="0"/>
            </w:tcBorders>
            <w:noWrap w:val="0"/>
            <w:vAlign w:val="center"/>
          </w:tcPr>
          <w:p w14:paraId="1B6F0A8C">
            <w:pPr>
              <w:widowControl/>
              <w:adjustRightInd w:val="0"/>
              <w:snapToGrid w:val="0"/>
              <w:jc w:val="center"/>
              <w:rPr>
                <w:color w:val="auto"/>
                <w:szCs w:val="21"/>
                <w:highlight w:val="none"/>
              </w:rPr>
            </w:pPr>
            <w:r>
              <w:rPr>
                <w:color w:val="auto"/>
                <w:szCs w:val="21"/>
                <w:highlight w:val="none"/>
              </w:rPr>
              <w:t>损耗率</w:t>
            </w:r>
          </w:p>
        </w:tc>
        <w:tc>
          <w:tcPr>
            <w:tcW w:w="851" w:type="dxa"/>
            <w:vMerge w:val="restart"/>
            <w:tcBorders>
              <w:top w:val="single" w:color="auto" w:sz="12" w:space="0"/>
            </w:tcBorders>
            <w:noWrap w:val="0"/>
            <w:vAlign w:val="center"/>
          </w:tcPr>
          <w:p w14:paraId="453280EA">
            <w:pPr>
              <w:widowControl/>
              <w:adjustRightInd w:val="0"/>
              <w:snapToGrid w:val="0"/>
              <w:jc w:val="center"/>
              <w:rPr>
                <w:color w:val="auto"/>
                <w:szCs w:val="21"/>
                <w:highlight w:val="none"/>
              </w:rPr>
            </w:pPr>
            <w:r>
              <w:rPr>
                <w:color w:val="auto"/>
                <w:szCs w:val="21"/>
                <w:highlight w:val="none"/>
              </w:rPr>
              <w:t>油气</w:t>
            </w:r>
          </w:p>
          <w:p w14:paraId="06D3CE36">
            <w:pPr>
              <w:widowControl/>
              <w:adjustRightInd w:val="0"/>
              <w:snapToGrid w:val="0"/>
              <w:jc w:val="center"/>
              <w:rPr>
                <w:color w:val="auto"/>
                <w:szCs w:val="21"/>
                <w:highlight w:val="none"/>
              </w:rPr>
            </w:pPr>
            <w:r>
              <w:rPr>
                <w:color w:val="auto"/>
                <w:szCs w:val="21"/>
                <w:highlight w:val="none"/>
              </w:rPr>
              <w:t>产生量</w:t>
            </w:r>
          </w:p>
        </w:tc>
        <w:tc>
          <w:tcPr>
            <w:tcW w:w="1277" w:type="dxa"/>
            <w:vMerge w:val="restart"/>
            <w:tcBorders>
              <w:top w:val="single" w:color="auto" w:sz="12" w:space="0"/>
            </w:tcBorders>
            <w:noWrap w:val="0"/>
            <w:vAlign w:val="center"/>
          </w:tcPr>
          <w:p w14:paraId="335F9CA2">
            <w:pPr>
              <w:widowControl/>
              <w:adjustRightInd w:val="0"/>
              <w:snapToGrid w:val="0"/>
              <w:jc w:val="center"/>
              <w:rPr>
                <w:color w:val="auto"/>
                <w:szCs w:val="21"/>
                <w:highlight w:val="none"/>
              </w:rPr>
            </w:pPr>
            <w:r>
              <w:rPr>
                <w:color w:val="auto"/>
                <w:szCs w:val="21"/>
                <w:highlight w:val="none"/>
              </w:rPr>
              <w:t>油气回收</w:t>
            </w:r>
          </w:p>
          <w:p w14:paraId="6197065E">
            <w:pPr>
              <w:widowControl/>
              <w:adjustRightInd w:val="0"/>
              <w:snapToGrid w:val="0"/>
              <w:jc w:val="center"/>
              <w:rPr>
                <w:color w:val="auto"/>
                <w:szCs w:val="21"/>
                <w:highlight w:val="none"/>
              </w:rPr>
            </w:pPr>
            <w:r>
              <w:rPr>
                <w:color w:val="auto"/>
                <w:szCs w:val="21"/>
                <w:highlight w:val="none"/>
              </w:rPr>
              <w:t>系统回收量</w:t>
            </w:r>
          </w:p>
        </w:tc>
        <w:tc>
          <w:tcPr>
            <w:tcW w:w="4626" w:type="dxa"/>
            <w:gridSpan w:val="3"/>
            <w:tcBorders>
              <w:top w:val="single" w:color="auto" w:sz="12" w:space="0"/>
            </w:tcBorders>
            <w:noWrap w:val="0"/>
            <w:vAlign w:val="center"/>
          </w:tcPr>
          <w:p w14:paraId="5CA199F7">
            <w:pPr>
              <w:widowControl/>
              <w:adjustRightInd w:val="0"/>
              <w:snapToGrid w:val="0"/>
              <w:jc w:val="center"/>
              <w:rPr>
                <w:color w:val="auto"/>
                <w:szCs w:val="21"/>
                <w:highlight w:val="none"/>
              </w:rPr>
            </w:pPr>
            <w:r>
              <w:rPr>
                <w:color w:val="auto"/>
                <w:szCs w:val="21"/>
                <w:highlight w:val="none"/>
              </w:rPr>
              <w:t>油气排放量</w:t>
            </w:r>
          </w:p>
        </w:tc>
      </w:tr>
      <w:tr w14:paraId="7D104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34" w:type="dxa"/>
            <w:vMerge w:val="continue"/>
            <w:noWrap w:val="0"/>
            <w:vAlign w:val="center"/>
          </w:tcPr>
          <w:p w14:paraId="115B6419">
            <w:pPr>
              <w:widowControl/>
              <w:adjustRightInd w:val="0"/>
              <w:snapToGrid w:val="0"/>
              <w:jc w:val="center"/>
              <w:rPr>
                <w:color w:val="auto"/>
                <w:szCs w:val="21"/>
                <w:highlight w:val="none"/>
              </w:rPr>
            </w:pPr>
          </w:p>
        </w:tc>
        <w:tc>
          <w:tcPr>
            <w:tcW w:w="850" w:type="dxa"/>
            <w:vMerge w:val="continue"/>
            <w:noWrap w:val="0"/>
            <w:vAlign w:val="center"/>
          </w:tcPr>
          <w:p w14:paraId="438458C3">
            <w:pPr>
              <w:widowControl/>
              <w:adjustRightInd w:val="0"/>
              <w:snapToGrid w:val="0"/>
              <w:jc w:val="center"/>
              <w:rPr>
                <w:color w:val="auto"/>
                <w:szCs w:val="21"/>
                <w:highlight w:val="none"/>
              </w:rPr>
            </w:pPr>
          </w:p>
        </w:tc>
        <w:tc>
          <w:tcPr>
            <w:tcW w:w="851" w:type="dxa"/>
            <w:vMerge w:val="continue"/>
            <w:noWrap w:val="0"/>
            <w:vAlign w:val="center"/>
          </w:tcPr>
          <w:p w14:paraId="4937CC98">
            <w:pPr>
              <w:widowControl/>
              <w:adjustRightInd w:val="0"/>
              <w:snapToGrid w:val="0"/>
              <w:jc w:val="center"/>
              <w:rPr>
                <w:color w:val="auto"/>
                <w:szCs w:val="21"/>
                <w:highlight w:val="none"/>
              </w:rPr>
            </w:pPr>
          </w:p>
        </w:tc>
        <w:tc>
          <w:tcPr>
            <w:tcW w:w="1277" w:type="dxa"/>
            <w:vMerge w:val="continue"/>
            <w:noWrap w:val="0"/>
            <w:vAlign w:val="center"/>
          </w:tcPr>
          <w:p w14:paraId="4ED22647">
            <w:pPr>
              <w:widowControl/>
              <w:adjustRightInd w:val="0"/>
              <w:snapToGrid w:val="0"/>
              <w:jc w:val="center"/>
              <w:rPr>
                <w:color w:val="auto"/>
                <w:szCs w:val="21"/>
                <w:highlight w:val="none"/>
              </w:rPr>
            </w:pPr>
          </w:p>
        </w:tc>
        <w:tc>
          <w:tcPr>
            <w:tcW w:w="1916" w:type="dxa"/>
            <w:noWrap w:val="0"/>
            <w:vAlign w:val="center"/>
          </w:tcPr>
          <w:p w14:paraId="3E1778D1">
            <w:pPr>
              <w:widowControl/>
              <w:adjustRightInd w:val="0"/>
              <w:snapToGrid w:val="0"/>
              <w:jc w:val="center"/>
              <w:rPr>
                <w:color w:val="auto"/>
                <w:szCs w:val="21"/>
                <w:highlight w:val="none"/>
              </w:rPr>
            </w:pPr>
            <w:r>
              <w:rPr>
                <w:color w:val="auto"/>
                <w:szCs w:val="21"/>
                <w:highlight w:val="none"/>
              </w:rPr>
              <w:t>通气立管排放量</w:t>
            </w:r>
          </w:p>
        </w:tc>
        <w:tc>
          <w:tcPr>
            <w:tcW w:w="1593" w:type="dxa"/>
            <w:noWrap w:val="0"/>
            <w:vAlign w:val="center"/>
          </w:tcPr>
          <w:p w14:paraId="3CC189CD">
            <w:pPr>
              <w:widowControl/>
              <w:adjustRightInd w:val="0"/>
              <w:snapToGrid w:val="0"/>
              <w:jc w:val="center"/>
              <w:rPr>
                <w:color w:val="auto"/>
                <w:szCs w:val="21"/>
                <w:highlight w:val="none"/>
              </w:rPr>
            </w:pPr>
            <w:r>
              <w:rPr>
                <w:color w:val="auto"/>
                <w:szCs w:val="21"/>
                <w:highlight w:val="none"/>
              </w:rPr>
              <w:t>无组织排放量</w:t>
            </w:r>
          </w:p>
        </w:tc>
        <w:tc>
          <w:tcPr>
            <w:tcW w:w="1117" w:type="dxa"/>
            <w:noWrap w:val="0"/>
            <w:vAlign w:val="center"/>
          </w:tcPr>
          <w:p w14:paraId="71FB7BE0">
            <w:pPr>
              <w:widowControl/>
              <w:adjustRightInd w:val="0"/>
              <w:snapToGrid w:val="0"/>
              <w:jc w:val="center"/>
              <w:rPr>
                <w:color w:val="auto"/>
                <w:szCs w:val="21"/>
                <w:highlight w:val="none"/>
              </w:rPr>
            </w:pPr>
            <w:r>
              <w:rPr>
                <w:color w:val="auto"/>
                <w:szCs w:val="21"/>
                <w:highlight w:val="none"/>
              </w:rPr>
              <w:t>总排放量</w:t>
            </w:r>
          </w:p>
        </w:tc>
      </w:tr>
      <w:tr w14:paraId="32E2B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4" w:type="dxa"/>
            <w:noWrap w:val="0"/>
            <w:vAlign w:val="center"/>
          </w:tcPr>
          <w:p w14:paraId="775E1E3A">
            <w:pPr>
              <w:widowControl/>
              <w:adjustRightInd w:val="0"/>
              <w:snapToGrid w:val="0"/>
              <w:jc w:val="center"/>
              <w:rPr>
                <w:color w:val="auto"/>
                <w:szCs w:val="21"/>
                <w:highlight w:val="none"/>
              </w:rPr>
            </w:pPr>
            <w:r>
              <w:rPr>
                <w:color w:val="auto"/>
                <w:szCs w:val="21"/>
                <w:highlight w:val="none"/>
              </w:rPr>
              <w:t>卸油</w:t>
            </w:r>
          </w:p>
        </w:tc>
        <w:tc>
          <w:tcPr>
            <w:tcW w:w="850" w:type="dxa"/>
            <w:noWrap w:val="0"/>
            <w:vAlign w:val="center"/>
          </w:tcPr>
          <w:p w14:paraId="331DA4E5">
            <w:pPr>
              <w:widowControl/>
              <w:adjustRightInd w:val="0"/>
              <w:snapToGrid w:val="0"/>
              <w:jc w:val="center"/>
              <w:rPr>
                <w:color w:val="auto"/>
                <w:szCs w:val="21"/>
                <w:highlight w:val="none"/>
              </w:rPr>
            </w:pPr>
            <w:r>
              <w:rPr>
                <w:color w:val="auto"/>
                <w:szCs w:val="21"/>
                <w:highlight w:val="none"/>
              </w:rPr>
              <w:t>0.20%</w:t>
            </w:r>
          </w:p>
        </w:tc>
        <w:tc>
          <w:tcPr>
            <w:tcW w:w="851" w:type="dxa"/>
            <w:noWrap w:val="0"/>
            <w:vAlign w:val="center"/>
          </w:tcPr>
          <w:p w14:paraId="6A4B8594">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6</w:t>
            </w:r>
          </w:p>
        </w:tc>
        <w:tc>
          <w:tcPr>
            <w:tcW w:w="1277" w:type="dxa"/>
            <w:noWrap w:val="0"/>
            <w:vAlign w:val="center"/>
          </w:tcPr>
          <w:p w14:paraId="3CD4B010">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5.7</w:t>
            </w:r>
          </w:p>
        </w:tc>
        <w:tc>
          <w:tcPr>
            <w:tcW w:w="1916" w:type="dxa"/>
            <w:noWrap w:val="0"/>
            <w:vAlign w:val="center"/>
          </w:tcPr>
          <w:p w14:paraId="7C14F21F">
            <w:pPr>
              <w:widowControl/>
              <w:adjustRightInd w:val="0"/>
              <w:snapToGrid w:val="0"/>
              <w:jc w:val="center"/>
              <w:rPr>
                <w:color w:val="auto"/>
                <w:szCs w:val="21"/>
                <w:highlight w:val="none"/>
              </w:rPr>
            </w:pPr>
            <w:r>
              <w:rPr>
                <w:color w:val="auto"/>
                <w:szCs w:val="21"/>
                <w:highlight w:val="none"/>
              </w:rPr>
              <w:t>／</w:t>
            </w:r>
          </w:p>
        </w:tc>
        <w:tc>
          <w:tcPr>
            <w:tcW w:w="1593" w:type="dxa"/>
            <w:noWrap w:val="0"/>
            <w:vAlign w:val="center"/>
          </w:tcPr>
          <w:p w14:paraId="5B6514EA">
            <w:pPr>
              <w:widowControl/>
              <w:adjustRightInd w:val="0"/>
              <w:snapToGrid w:val="0"/>
              <w:jc w:val="center"/>
              <w:rPr>
                <w:rFonts w:hint="default" w:eastAsia="宋体"/>
                <w:color w:val="auto"/>
                <w:szCs w:val="21"/>
                <w:highlight w:val="none"/>
                <w:lang w:val="en-US" w:eastAsia="zh-CN"/>
              </w:rPr>
            </w:pPr>
            <w:r>
              <w:rPr>
                <w:rFonts w:hint="eastAsia" w:eastAsia="宋体"/>
                <w:color w:val="auto"/>
                <w:szCs w:val="21"/>
                <w:highlight w:val="none"/>
                <w:lang w:val="en-US" w:eastAsia="zh-CN"/>
              </w:rPr>
              <w:t>0.3</w:t>
            </w:r>
          </w:p>
        </w:tc>
        <w:tc>
          <w:tcPr>
            <w:tcW w:w="1117" w:type="dxa"/>
            <w:noWrap w:val="0"/>
            <w:vAlign w:val="center"/>
          </w:tcPr>
          <w:p w14:paraId="45FEF8EE">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rPr>
              <w:t>0.</w:t>
            </w:r>
            <w:r>
              <w:rPr>
                <w:rFonts w:hint="eastAsia"/>
                <w:color w:val="auto"/>
                <w:szCs w:val="21"/>
                <w:highlight w:val="none"/>
                <w:lang w:val="en-US" w:eastAsia="zh-CN"/>
              </w:rPr>
              <w:t>3</w:t>
            </w:r>
          </w:p>
        </w:tc>
      </w:tr>
      <w:tr w14:paraId="47272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4" w:type="dxa"/>
            <w:noWrap w:val="0"/>
            <w:vAlign w:val="center"/>
          </w:tcPr>
          <w:p w14:paraId="1AC9B810">
            <w:pPr>
              <w:widowControl/>
              <w:adjustRightInd w:val="0"/>
              <w:snapToGrid w:val="0"/>
              <w:jc w:val="center"/>
              <w:rPr>
                <w:color w:val="auto"/>
                <w:szCs w:val="21"/>
                <w:highlight w:val="none"/>
              </w:rPr>
            </w:pPr>
            <w:r>
              <w:rPr>
                <w:color w:val="auto"/>
                <w:szCs w:val="21"/>
                <w:highlight w:val="none"/>
              </w:rPr>
              <w:t>加油零售</w:t>
            </w:r>
          </w:p>
        </w:tc>
        <w:tc>
          <w:tcPr>
            <w:tcW w:w="850" w:type="dxa"/>
            <w:noWrap w:val="0"/>
            <w:vAlign w:val="center"/>
          </w:tcPr>
          <w:p w14:paraId="76954FDF">
            <w:pPr>
              <w:widowControl/>
              <w:adjustRightInd w:val="0"/>
              <w:snapToGrid w:val="0"/>
              <w:jc w:val="center"/>
              <w:rPr>
                <w:color w:val="auto"/>
                <w:szCs w:val="21"/>
                <w:highlight w:val="none"/>
              </w:rPr>
            </w:pPr>
            <w:r>
              <w:rPr>
                <w:color w:val="auto"/>
                <w:szCs w:val="21"/>
                <w:highlight w:val="none"/>
              </w:rPr>
              <w:t>0.29%</w:t>
            </w:r>
          </w:p>
        </w:tc>
        <w:tc>
          <w:tcPr>
            <w:tcW w:w="851" w:type="dxa"/>
            <w:noWrap w:val="0"/>
            <w:vAlign w:val="center"/>
          </w:tcPr>
          <w:p w14:paraId="60D4A2A5">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8.7</w:t>
            </w:r>
          </w:p>
        </w:tc>
        <w:tc>
          <w:tcPr>
            <w:tcW w:w="1277" w:type="dxa"/>
            <w:noWrap w:val="0"/>
            <w:vAlign w:val="center"/>
          </w:tcPr>
          <w:p w14:paraId="03FC7B58">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8.265</w:t>
            </w:r>
          </w:p>
        </w:tc>
        <w:tc>
          <w:tcPr>
            <w:tcW w:w="1916" w:type="dxa"/>
            <w:noWrap w:val="0"/>
            <w:vAlign w:val="center"/>
          </w:tcPr>
          <w:p w14:paraId="5F89B6CB">
            <w:pPr>
              <w:widowControl/>
              <w:adjustRightInd w:val="0"/>
              <w:snapToGrid w:val="0"/>
              <w:jc w:val="center"/>
              <w:rPr>
                <w:rFonts w:hint="default" w:eastAsia="宋体"/>
                <w:color w:val="auto"/>
                <w:szCs w:val="21"/>
                <w:highlight w:val="none"/>
                <w:lang w:val="en-US" w:eastAsia="zh-CN"/>
              </w:rPr>
            </w:pPr>
            <w:r>
              <w:rPr>
                <w:rFonts w:hint="eastAsia" w:eastAsia="宋体"/>
                <w:color w:val="auto"/>
                <w:szCs w:val="21"/>
                <w:highlight w:val="none"/>
                <w:lang w:val="en-US" w:eastAsia="zh-CN"/>
              </w:rPr>
              <w:t>0.087</w:t>
            </w:r>
          </w:p>
        </w:tc>
        <w:tc>
          <w:tcPr>
            <w:tcW w:w="1593" w:type="dxa"/>
            <w:noWrap w:val="0"/>
            <w:vAlign w:val="center"/>
          </w:tcPr>
          <w:p w14:paraId="107ADA7A">
            <w:pPr>
              <w:widowControl/>
              <w:adjustRightInd w:val="0"/>
              <w:snapToGrid w:val="0"/>
              <w:jc w:val="center"/>
              <w:rPr>
                <w:rFonts w:hint="default" w:eastAsia="宋体"/>
                <w:color w:val="auto"/>
                <w:szCs w:val="21"/>
                <w:highlight w:val="none"/>
                <w:lang w:val="en-US" w:eastAsia="zh-CN"/>
              </w:rPr>
            </w:pPr>
            <w:r>
              <w:rPr>
                <w:rFonts w:hint="eastAsia" w:eastAsia="宋体"/>
                <w:color w:val="auto"/>
                <w:szCs w:val="21"/>
                <w:highlight w:val="none"/>
                <w:lang w:val="en-US" w:eastAsia="zh-CN"/>
              </w:rPr>
              <w:t>0.348</w:t>
            </w:r>
          </w:p>
        </w:tc>
        <w:tc>
          <w:tcPr>
            <w:tcW w:w="1117" w:type="dxa"/>
            <w:noWrap w:val="0"/>
            <w:vAlign w:val="center"/>
          </w:tcPr>
          <w:p w14:paraId="2F9C6021">
            <w:pPr>
              <w:widowControl/>
              <w:adjustRightInd w:val="0"/>
              <w:snapToGrid w:val="0"/>
              <w:jc w:val="center"/>
              <w:rPr>
                <w:rFonts w:hint="default" w:eastAsia="宋体"/>
                <w:color w:val="auto"/>
                <w:szCs w:val="21"/>
                <w:highlight w:val="none"/>
                <w:lang w:val="en-US" w:eastAsia="zh-CN"/>
              </w:rPr>
            </w:pPr>
            <w:r>
              <w:rPr>
                <w:rFonts w:hint="eastAsia" w:eastAsia="宋体"/>
                <w:color w:val="auto"/>
                <w:szCs w:val="21"/>
                <w:highlight w:val="none"/>
                <w:lang w:val="en-US" w:eastAsia="zh-CN"/>
              </w:rPr>
              <w:t>0.435</w:t>
            </w:r>
          </w:p>
        </w:tc>
      </w:tr>
      <w:tr w14:paraId="1D5F7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84" w:type="dxa"/>
            <w:gridSpan w:val="2"/>
            <w:noWrap w:val="0"/>
            <w:vAlign w:val="center"/>
          </w:tcPr>
          <w:p w14:paraId="13AB923B">
            <w:pPr>
              <w:widowControl/>
              <w:adjustRightInd w:val="0"/>
              <w:snapToGrid w:val="0"/>
              <w:jc w:val="center"/>
              <w:rPr>
                <w:color w:val="auto"/>
                <w:szCs w:val="21"/>
                <w:highlight w:val="none"/>
              </w:rPr>
            </w:pPr>
            <w:r>
              <w:rPr>
                <w:color w:val="auto"/>
                <w:szCs w:val="21"/>
                <w:highlight w:val="none"/>
              </w:rPr>
              <w:t>合计</w:t>
            </w:r>
          </w:p>
        </w:tc>
        <w:tc>
          <w:tcPr>
            <w:tcW w:w="851" w:type="dxa"/>
            <w:noWrap w:val="0"/>
            <w:vAlign w:val="center"/>
          </w:tcPr>
          <w:p w14:paraId="4B83EA33">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14.7</w:t>
            </w:r>
          </w:p>
        </w:tc>
        <w:tc>
          <w:tcPr>
            <w:tcW w:w="1277" w:type="dxa"/>
            <w:noWrap w:val="0"/>
            <w:vAlign w:val="center"/>
          </w:tcPr>
          <w:p w14:paraId="232BBA7C">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13.965</w:t>
            </w:r>
          </w:p>
        </w:tc>
        <w:tc>
          <w:tcPr>
            <w:tcW w:w="1916" w:type="dxa"/>
            <w:noWrap w:val="0"/>
            <w:vAlign w:val="center"/>
          </w:tcPr>
          <w:p w14:paraId="27DE12C1">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0.087</w:t>
            </w:r>
          </w:p>
        </w:tc>
        <w:tc>
          <w:tcPr>
            <w:tcW w:w="1593" w:type="dxa"/>
            <w:noWrap w:val="0"/>
            <w:vAlign w:val="center"/>
          </w:tcPr>
          <w:p w14:paraId="1A4F4D1A">
            <w:pPr>
              <w:widowControl/>
              <w:adjustRightInd w:val="0"/>
              <w:snapToGrid w:val="0"/>
              <w:jc w:val="center"/>
              <w:rPr>
                <w:rFonts w:hint="default" w:eastAsia="宋体"/>
                <w:color w:val="auto"/>
                <w:szCs w:val="21"/>
                <w:highlight w:val="none"/>
                <w:lang w:val="en-US" w:eastAsia="zh-CN"/>
              </w:rPr>
            </w:pPr>
            <w:r>
              <w:rPr>
                <w:rFonts w:hint="eastAsia" w:eastAsia="宋体"/>
                <w:color w:val="auto"/>
                <w:szCs w:val="21"/>
                <w:highlight w:val="none"/>
                <w:lang w:val="en-US" w:eastAsia="zh-CN"/>
              </w:rPr>
              <w:t>0.648</w:t>
            </w:r>
          </w:p>
        </w:tc>
        <w:tc>
          <w:tcPr>
            <w:tcW w:w="1117" w:type="dxa"/>
            <w:noWrap w:val="0"/>
            <w:vAlign w:val="center"/>
          </w:tcPr>
          <w:p w14:paraId="792BC2B3">
            <w:pPr>
              <w:widowControl/>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0.735</w:t>
            </w:r>
          </w:p>
        </w:tc>
      </w:tr>
      <w:tr w14:paraId="6FBA1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8738" w:type="dxa"/>
            <w:gridSpan w:val="7"/>
            <w:tcBorders>
              <w:bottom w:val="single" w:color="auto" w:sz="12" w:space="0"/>
            </w:tcBorders>
            <w:noWrap w:val="0"/>
            <w:vAlign w:val="center"/>
          </w:tcPr>
          <w:p w14:paraId="6CE56CC6">
            <w:pPr>
              <w:widowControl/>
              <w:adjustRightInd w:val="0"/>
              <w:snapToGrid w:val="0"/>
              <w:rPr>
                <w:color w:val="auto"/>
                <w:sz w:val="18"/>
                <w:szCs w:val="18"/>
                <w:highlight w:val="none"/>
              </w:rPr>
            </w:pPr>
            <w:r>
              <w:rPr>
                <w:color w:val="auto"/>
                <w:sz w:val="18"/>
                <w:szCs w:val="18"/>
                <w:highlight w:val="none"/>
              </w:rPr>
              <w:t>注：卸油损耗的油气通过卸油油气回收系统收至油罐车内，然后运回油库处理。</w:t>
            </w:r>
          </w:p>
        </w:tc>
      </w:tr>
    </w:tbl>
    <w:p w14:paraId="3CC66F48">
      <w:pPr>
        <w:widowControl/>
        <w:snapToGrid w:val="0"/>
        <w:spacing w:line="520" w:lineRule="exact"/>
        <w:ind w:firstLine="480" w:firstLineChars="200"/>
        <w:jc w:val="left"/>
        <w:rPr>
          <w:color w:val="auto"/>
          <w:sz w:val="24"/>
          <w:highlight w:val="none"/>
        </w:rPr>
      </w:pPr>
      <w:r>
        <w:rPr>
          <w:color w:val="auto"/>
          <w:sz w:val="24"/>
          <w:highlight w:val="none"/>
        </w:rPr>
        <w:t>通过</w:t>
      </w:r>
      <w:r>
        <w:rPr>
          <w:rFonts w:hint="eastAsia"/>
          <w:color w:val="auto"/>
          <w:sz w:val="24"/>
          <w:highlight w:val="none"/>
          <w:lang w:val="en-US" w:eastAsia="zh-CN"/>
        </w:rPr>
        <w:t>上表</w:t>
      </w:r>
      <w:r>
        <w:rPr>
          <w:color w:val="auto"/>
          <w:sz w:val="24"/>
          <w:highlight w:val="none"/>
        </w:rPr>
        <w:t>可知，本项目汽油损耗量为</w:t>
      </w:r>
      <w:r>
        <w:rPr>
          <w:rFonts w:hint="eastAsia"/>
          <w:color w:val="auto"/>
          <w:sz w:val="24"/>
          <w:highlight w:val="none"/>
          <w:lang w:val="en-US" w:eastAsia="zh-CN"/>
        </w:rPr>
        <w:t>0.735</w:t>
      </w:r>
      <w:r>
        <w:rPr>
          <w:color w:val="auto"/>
          <w:sz w:val="24"/>
          <w:highlight w:val="none"/>
        </w:rPr>
        <w:t>t/a。卸油损耗的油气通过卸油油气回收管回收至油罐车内，运回油库处理；加油零售损耗的油气通过加油油气回收系统回收至埋地油罐内。损耗的汽油经卸油油气回收系统和加油油气回收系统回收后，通过通气立管排放量约为0.</w:t>
      </w:r>
      <w:r>
        <w:rPr>
          <w:rFonts w:hint="eastAsia"/>
          <w:color w:val="auto"/>
          <w:sz w:val="24"/>
          <w:highlight w:val="none"/>
          <w:lang w:val="en-US" w:eastAsia="zh-CN"/>
        </w:rPr>
        <w:t>087</w:t>
      </w:r>
      <w:r>
        <w:rPr>
          <w:color w:val="auto"/>
          <w:sz w:val="24"/>
          <w:highlight w:val="none"/>
        </w:rPr>
        <w:t>t/a，无组织排放量为</w:t>
      </w:r>
      <w:r>
        <w:rPr>
          <w:rFonts w:hint="eastAsia"/>
          <w:color w:val="auto"/>
          <w:sz w:val="24"/>
          <w:highlight w:val="none"/>
          <w:lang w:val="en-US" w:eastAsia="zh-CN"/>
        </w:rPr>
        <w:t>0.0.648</w:t>
      </w:r>
      <w:r>
        <w:rPr>
          <w:color w:val="auto"/>
          <w:sz w:val="24"/>
          <w:highlight w:val="none"/>
        </w:rPr>
        <w:t>t/a。因此，本项目汽油油气排放量合计为</w:t>
      </w:r>
      <w:r>
        <w:rPr>
          <w:rFonts w:hint="eastAsia"/>
          <w:color w:val="auto"/>
          <w:sz w:val="24"/>
          <w:highlight w:val="none"/>
          <w:lang w:val="en-US" w:eastAsia="zh-CN"/>
        </w:rPr>
        <w:t>0.735</w:t>
      </w:r>
      <w:r>
        <w:rPr>
          <w:color w:val="auto"/>
          <w:sz w:val="24"/>
          <w:highlight w:val="none"/>
        </w:rPr>
        <w:t>t/a。</w:t>
      </w:r>
    </w:p>
    <w:p w14:paraId="1185C57B">
      <w:pPr>
        <w:spacing w:line="360" w:lineRule="auto"/>
        <w:ind w:firstLine="480" w:firstLineChars="200"/>
        <w:jc w:val="left"/>
        <w:rPr>
          <w:color w:val="auto"/>
          <w:sz w:val="24"/>
          <w:highlight w:val="none"/>
        </w:rPr>
      </w:pPr>
      <w:r>
        <w:rPr>
          <w:rFonts w:hint="eastAsia"/>
          <w:color w:val="auto"/>
          <w:sz w:val="24"/>
          <w:highlight w:val="none"/>
          <w:lang w:val="en-US" w:eastAsia="zh-CN"/>
        </w:rPr>
        <w:t>综上</w:t>
      </w:r>
      <w:r>
        <w:rPr>
          <w:color w:val="auto"/>
          <w:sz w:val="24"/>
          <w:highlight w:val="none"/>
        </w:rPr>
        <w:t>，加油站柴油</w:t>
      </w:r>
      <w:r>
        <w:rPr>
          <w:rFonts w:hint="eastAsia"/>
          <w:color w:val="auto"/>
          <w:sz w:val="24"/>
          <w:highlight w:val="none"/>
        </w:rPr>
        <w:t>和</w:t>
      </w:r>
      <w:r>
        <w:rPr>
          <w:color w:val="auto"/>
          <w:sz w:val="24"/>
          <w:highlight w:val="none"/>
        </w:rPr>
        <w:t>汽油损耗的油气经卸油回收系统和加油回收系统后，加油站油气总排放量为</w:t>
      </w:r>
      <w:r>
        <w:rPr>
          <w:rFonts w:hint="eastAsia"/>
          <w:color w:val="auto"/>
          <w:sz w:val="24"/>
          <w:highlight w:val="none"/>
          <w:lang w:val="en-US" w:eastAsia="zh-CN"/>
        </w:rPr>
        <w:t>1.1638</w:t>
      </w:r>
      <w:r>
        <w:rPr>
          <w:color w:val="auto"/>
          <w:sz w:val="24"/>
          <w:highlight w:val="none"/>
        </w:rPr>
        <w:t>t/a，按365天计，每天24h计，则排放速率为</w:t>
      </w:r>
      <w:r>
        <w:rPr>
          <w:rFonts w:hint="eastAsia"/>
          <w:color w:val="auto"/>
          <w:sz w:val="24"/>
          <w:highlight w:val="none"/>
        </w:rPr>
        <w:t>0.</w:t>
      </w:r>
      <w:r>
        <w:rPr>
          <w:rFonts w:hint="eastAsia"/>
          <w:color w:val="auto"/>
          <w:sz w:val="24"/>
          <w:highlight w:val="none"/>
          <w:lang w:val="en-US" w:eastAsia="zh-CN"/>
        </w:rPr>
        <w:t>1329</w:t>
      </w:r>
      <w:r>
        <w:rPr>
          <w:color w:val="auto"/>
          <w:sz w:val="24"/>
          <w:highlight w:val="none"/>
        </w:rPr>
        <w:t>kg/h。</w:t>
      </w:r>
    </w:p>
    <w:p w14:paraId="0F9BA27C">
      <w:pPr>
        <w:spacing w:line="360" w:lineRule="auto"/>
        <w:ind w:firstLine="480" w:firstLineChars="200"/>
        <w:jc w:val="left"/>
        <w:rPr>
          <w:rFonts w:hint="eastAsia"/>
          <w:color w:val="auto"/>
          <w:sz w:val="24"/>
          <w:highlight w:val="none"/>
          <w:lang w:val="en-US" w:eastAsia="zh-CN"/>
        </w:rPr>
      </w:pPr>
      <w:r>
        <w:rPr>
          <w:rFonts w:hint="eastAsia"/>
          <w:color w:val="auto"/>
          <w:sz w:val="24"/>
          <w:highlight w:val="none"/>
          <w:lang w:val="en-US" w:eastAsia="zh-CN"/>
        </w:rPr>
        <w:t>储罐小呼吸废气</w:t>
      </w:r>
    </w:p>
    <w:p w14:paraId="4DAE28FD">
      <w:pPr>
        <w:spacing w:line="360" w:lineRule="auto"/>
        <w:ind w:firstLine="480" w:firstLineChars="200"/>
        <w:jc w:val="left"/>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①</w:t>
      </w:r>
      <w:r>
        <w:rPr>
          <w:rFonts w:hint="eastAsia" w:ascii="Times New Roman" w:hAnsi="Times New Roman" w:cs="Times New Roman"/>
          <w:color w:val="auto"/>
          <w:sz w:val="24"/>
          <w:szCs w:val="24"/>
          <w:highlight w:val="none"/>
          <w:lang w:val="en-US" w:eastAsia="zh-CN"/>
        </w:rPr>
        <w:t>柴油储罐</w:t>
      </w:r>
    </w:p>
    <w:p w14:paraId="6C31E963">
      <w:pPr>
        <w:spacing w:line="360" w:lineRule="auto"/>
        <w:ind w:firstLine="480" w:firstLineChars="200"/>
        <w:jc w:val="left"/>
        <w:rPr>
          <w:rFonts w:hint="eastAsia"/>
          <w:color w:val="auto"/>
          <w:sz w:val="24"/>
          <w:highlight w:val="none"/>
          <w:lang w:val="en-US" w:eastAsia="zh-CN"/>
        </w:rPr>
      </w:pPr>
      <w:r>
        <w:rPr>
          <w:rFonts w:hint="eastAsia"/>
          <w:color w:val="auto"/>
          <w:sz w:val="24"/>
          <w:highlight w:val="none"/>
          <w:lang w:val="en-US" w:eastAsia="zh-CN"/>
        </w:rPr>
        <w:t>柴油的蒸汽压低，约为汽油蒸汽压的0.0075倍，参考《散装液态石油产品损耗》（GB/T11085-1989）中散装液态石油产品贮存损耗，采用卧式罐贮存损耗忽略不计。本项目采用卧式双层钢制储罐密封储存，储罐小呼吸损失可以忽略不计。根据《挥发性有机物无组织排放控制标准》（GB37822-2019）：液态VOCs物料应采用密闭管道输送，本项目撬装式加油装置采用自吸式卸油工艺将柴油从专用车辆通过柴油罐配套软管和导管卸入30m</w:t>
      </w:r>
      <w:r>
        <w:rPr>
          <w:rFonts w:hint="eastAsia"/>
          <w:color w:val="auto"/>
          <w:sz w:val="24"/>
          <w:highlight w:val="none"/>
          <w:vertAlign w:val="superscript"/>
          <w:lang w:val="en-US" w:eastAsia="zh-CN"/>
        </w:rPr>
        <w:t>3</w:t>
      </w:r>
      <w:r>
        <w:rPr>
          <w:rFonts w:hint="eastAsia"/>
          <w:color w:val="auto"/>
          <w:sz w:val="24"/>
          <w:highlight w:val="none"/>
          <w:lang w:val="en-US" w:eastAsia="zh-CN"/>
        </w:rPr>
        <w:t>阻隔防爆油罐内，符合要求。柴油挥发性低，因此柴油油罐小呼吸废气量小，无须设置油气回收装置，通过通气管直接外排。</w:t>
      </w:r>
    </w:p>
    <w:p w14:paraId="74433B3D">
      <w:pPr>
        <w:pStyle w:val="562"/>
        <w:widowControl/>
        <w:spacing w:line="360" w:lineRule="auto"/>
        <w:ind w:firstLineChars="0"/>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②汽油</w:t>
      </w:r>
      <w:r>
        <w:rPr>
          <w:rFonts w:hint="eastAsia" w:ascii="Times New Roman" w:hAnsi="Times New Roman" w:cs="Times New Roman"/>
          <w:color w:val="auto"/>
          <w:sz w:val="24"/>
          <w:szCs w:val="24"/>
          <w:highlight w:val="none"/>
          <w:lang w:val="en-US" w:eastAsia="zh-CN"/>
        </w:rPr>
        <w:t>储罐</w:t>
      </w:r>
    </w:p>
    <w:p w14:paraId="44AEFD9A">
      <w:pPr>
        <w:spacing w:line="360" w:lineRule="auto"/>
        <w:ind w:firstLine="480" w:firstLineChars="200"/>
        <w:jc w:val="left"/>
        <w:rPr>
          <w:rFonts w:hint="default"/>
          <w:color w:val="auto"/>
          <w:sz w:val="24"/>
          <w:highlight w:val="none"/>
          <w:lang w:val="en-US" w:eastAsia="zh-CN"/>
        </w:rPr>
      </w:pPr>
      <w:r>
        <w:rPr>
          <w:rFonts w:hint="eastAsia"/>
          <w:color w:val="auto"/>
          <w:sz w:val="24"/>
          <w:highlight w:val="none"/>
          <w:lang w:val="en-US" w:eastAsia="zh-CN"/>
        </w:rPr>
        <w:t>项目采用密闭储罐，并在储罐呼吸阀处设置油气排放处置装置（三次油气回收），当油罐压力超过预设的压力值时（+150Pa），设备内部的真空泵自动开始运行，抽取储罐内的油气通过采用冷凝+膜分离方法对油气进行回收处理，其回收效率95%。根据《环境影响评价环境影响评价工程师职业资格登记培训教材—社会区域类》中的资料可知，储油罐小呼吸烃类平均排放率为0.12kg/m</w:t>
      </w:r>
      <w:r>
        <w:rPr>
          <w:rFonts w:hint="eastAsia"/>
          <w:color w:val="auto"/>
          <w:sz w:val="24"/>
          <w:highlight w:val="none"/>
          <w:vertAlign w:val="superscript"/>
          <w:lang w:val="en-US" w:eastAsia="zh-CN"/>
        </w:rPr>
        <w:t>3</w:t>
      </w:r>
      <w:r>
        <w:rPr>
          <w:rFonts w:hint="eastAsia"/>
          <w:color w:val="auto"/>
          <w:sz w:val="24"/>
          <w:highlight w:val="none"/>
          <w:lang w:val="en-US" w:eastAsia="zh-CN"/>
        </w:rPr>
        <w:t>•通过量，本项目汽油年销售量为3000t/a（体积V=3000÷0.76），油气产生量为0.799t/a。本项目拟在通气管采取油气处理装置对储罐小呼吸进行控制，油气回收系统回收效率可达95%以上，本次评价保守考虑，按95%计。经过油气回收系统的回收处理后，则油气排放量为0.028t/a。</w:t>
      </w:r>
    </w:p>
    <w:p w14:paraId="7F6F749A">
      <w:pPr>
        <w:spacing w:line="360" w:lineRule="auto"/>
        <w:ind w:firstLine="482" w:firstLineChars="200"/>
        <w:jc w:val="left"/>
        <w:rPr>
          <w:rFonts w:hint="eastAsia" w:ascii="Times New Roman" w:hAnsi="Times New Roman" w:eastAsia="宋体"/>
          <w:b/>
          <w:bCs/>
          <w:color w:val="auto"/>
          <w:sz w:val="24"/>
          <w:highlight w:val="none"/>
          <w:vertAlign w:val="subscript"/>
          <w:lang w:val="en-US" w:eastAsia="zh-CN"/>
        </w:rPr>
      </w:pPr>
      <w:r>
        <w:rPr>
          <w:rFonts w:hint="eastAsia" w:ascii="Times New Roman" w:hAnsi="Times New Roman" w:eastAsia="宋体"/>
          <w:b/>
          <w:bCs/>
          <w:color w:val="auto"/>
          <w:sz w:val="24"/>
          <w:highlight w:val="none"/>
          <w:vertAlign w:val="baseline"/>
          <w:lang w:val="en-US" w:eastAsia="zh-CN"/>
        </w:rPr>
        <w:t>（5）制氢工艺区无组织废气</w:t>
      </w:r>
    </w:p>
    <w:p w14:paraId="7873EC80">
      <w:pPr>
        <w:spacing w:line="360" w:lineRule="auto"/>
        <w:ind w:firstLine="480" w:firstLineChars="200"/>
        <w:jc w:val="left"/>
        <w:rPr>
          <w:rFonts w:hint="eastAsia"/>
          <w:color w:val="auto"/>
          <w:sz w:val="24"/>
          <w:highlight w:val="none"/>
          <w:lang w:val="en-US" w:eastAsia="zh-CN"/>
        </w:rPr>
      </w:pPr>
      <w:r>
        <w:rPr>
          <w:rFonts w:hint="eastAsia"/>
          <w:color w:val="auto"/>
          <w:sz w:val="24"/>
          <w:highlight w:val="none"/>
          <w:lang w:val="en-US" w:eastAsia="zh-CN"/>
        </w:rPr>
        <w:t>本项目生产过程对设备密闭性要求很高，工程设计设备、物料输送管道及泵的密封处均采用优质密封环，可有效避免无组织废气排放。项目氢气充装完之后，拆卸软管，需要把充装软管头的残留氢气排掉，间歇排放，对环境影响较小，无组织排放。</w:t>
      </w:r>
    </w:p>
    <w:p w14:paraId="00C47A0E">
      <w:pPr>
        <w:spacing w:line="360" w:lineRule="auto"/>
        <w:ind w:firstLine="482" w:firstLineChars="200"/>
        <w:jc w:val="left"/>
        <w:rPr>
          <w:rFonts w:hint="eastAsia" w:ascii="Times New Roman" w:hAnsi="Times New Roman" w:eastAsia="宋体"/>
          <w:b/>
          <w:bCs/>
          <w:color w:val="auto"/>
          <w:sz w:val="24"/>
          <w:highlight w:val="none"/>
          <w:vertAlign w:val="subscript"/>
          <w:lang w:val="en-US" w:eastAsia="zh-CN"/>
        </w:rPr>
      </w:pPr>
      <w:r>
        <w:rPr>
          <w:rFonts w:hint="eastAsia" w:ascii="Times New Roman" w:hAnsi="Times New Roman" w:eastAsia="宋体"/>
          <w:b/>
          <w:bCs/>
          <w:color w:val="auto"/>
          <w:sz w:val="24"/>
          <w:highlight w:val="none"/>
          <w:vertAlign w:val="baseline"/>
          <w:lang w:val="en-US" w:eastAsia="zh-CN"/>
        </w:rPr>
        <w:t>（6）站内车辆无组织废气</w:t>
      </w:r>
    </w:p>
    <w:p w14:paraId="5E09F8B6">
      <w:pPr>
        <w:spacing w:line="360" w:lineRule="auto"/>
        <w:ind w:firstLine="480" w:firstLineChars="200"/>
        <w:jc w:val="left"/>
        <w:rPr>
          <w:rFonts w:hint="eastAsia"/>
          <w:color w:val="auto"/>
          <w:sz w:val="24"/>
          <w:highlight w:val="none"/>
          <w:lang w:val="en-US" w:eastAsia="zh-CN"/>
        </w:rPr>
      </w:pPr>
      <w:r>
        <w:rPr>
          <w:rFonts w:hint="eastAsia"/>
          <w:color w:val="auto"/>
          <w:sz w:val="24"/>
          <w:highlight w:val="none"/>
          <w:lang w:val="en-US" w:eastAsia="zh-CN"/>
        </w:rPr>
        <w:t>汽车尾气，车辆所排放的尾气中主要污染物为CO、NO</w:t>
      </w:r>
      <w:r>
        <w:rPr>
          <w:rFonts w:hint="eastAsia"/>
          <w:color w:val="auto"/>
          <w:sz w:val="24"/>
          <w:highlight w:val="none"/>
          <w:vertAlign w:val="subscript"/>
          <w:lang w:val="en-US" w:eastAsia="zh-CN"/>
        </w:rPr>
        <w:t>X</w:t>
      </w:r>
      <w:r>
        <w:rPr>
          <w:rFonts w:hint="eastAsia"/>
          <w:color w:val="auto"/>
          <w:sz w:val="24"/>
          <w:highlight w:val="none"/>
          <w:lang w:val="en-US" w:eastAsia="zh-CN"/>
        </w:rPr>
        <w:t>及颗粒物，污染物产生量较少，且间歇产生及排放，加之项目区域地势较为开阔，排放的汽车尾气能够迅速被环境空气稀释、扩散，对周围环境影响不大。</w:t>
      </w:r>
    </w:p>
    <w:p w14:paraId="700AEC5F">
      <w:pPr>
        <w:spacing w:line="360" w:lineRule="auto"/>
        <w:ind w:firstLine="482" w:firstLineChars="200"/>
        <w:jc w:val="left"/>
        <w:rPr>
          <w:rFonts w:hint="eastAsia" w:ascii="Times New Roman" w:hAnsi="Times New Roman" w:eastAsia="宋体" w:cs="Times New Roman"/>
          <w:b/>
          <w:bCs/>
          <w:color w:val="auto"/>
          <w:sz w:val="24"/>
          <w:highlight w:val="none"/>
          <w:vertAlign w:val="baseline"/>
          <w:lang w:val="en-US" w:eastAsia="zh-CN"/>
        </w:rPr>
      </w:pPr>
      <w:r>
        <w:rPr>
          <w:rFonts w:hint="eastAsia" w:ascii="Times New Roman" w:hAnsi="Times New Roman" w:eastAsia="宋体" w:cs="Times New Roman"/>
          <w:b/>
          <w:bCs/>
          <w:color w:val="auto"/>
          <w:sz w:val="24"/>
          <w:highlight w:val="none"/>
          <w:vertAlign w:val="baseline"/>
          <w:lang w:val="en-US" w:eastAsia="zh-CN"/>
        </w:rPr>
        <w:t>（7）、交通运输移动废气污染源</w:t>
      </w:r>
    </w:p>
    <w:p w14:paraId="17F3502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 w:val="0"/>
          <w:bCs w:val="0"/>
          <w:color w:val="auto"/>
          <w:sz w:val="24"/>
          <w:szCs w:val="24"/>
          <w:highlight w:val="none"/>
        </w:rPr>
      </w:pPr>
      <w:r>
        <w:rPr>
          <w:rFonts w:hint="eastAsia"/>
          <w:snapToGrid w:val="0"/>
          <w:color w:val="auto"/>
          <w:spacing w:val="0"/>
          <w:kern w:val="2"/>
          <w:sz w:val="24"/>
          <w:szCs w:val="24"/>
          <w:highlight w:val="none"/>
        </w:rPr>
        <w:t>本项目建成后产生的交通尾气主要来自</w:t>
      </w:r>
      <w:r>
        <w:rPr>
          <w:rFonts w:hint="eastAsia"/>
          <w:snapToGrid w:val="0"/>
          <w:color w:val="auto"/>
          <w:spacing w:val="0"/>
          <w:kern w:val="2"/>
          <w:sz w:val="24"/>
          <w:szCs w:val="24"/>
          <w:highlight w:val="none"/>
          <w:lang w:val="en-US" w:eastAsia="zh-CN"/>
        </w:rPr>
        <w:t>原料</w:t>
      </w:r>
      <w:r>
        <w:rPr>
          <w:rFonts w:hint="eastAsia"/>
          <w:snapToGrid w:val="0"/>
          <w:color w:val="auto"/>
          <w:spacing w:val="0"/>
          <w:kern w:val="2"/>
          <w:sz w:val="24"/>
          <w:szCs w:val="24"/>
          <w:highlight w:val="none"/>
        </w:rPr>
        <w:t>车辆进出项目场地时排放的汽车尾气</w:t>
      </w:r>
      <w:r>
        <w:rPr>
          <w:rFonts w:hint="eastAsia"/>
          <w:snapToGrid w:val="0"/>
          <w:color w:val="auto"/>
          <w:spacing w:val="0"/>
          <w:kern w:val="2"/>
          <w:sz w:val="24"/>
          <w:szCs w:val="24"/>
          <w:highlight w:val="none"/>
          <w:lang w:eastAsia="zh-CN"/>
        </w:rPr>
        <w:t>，</w:t>
      </w:r>
      <w:r>
        <w:rPr>
          <w:rFonts w:hint="eastAsia" w:ascii="宋体" w:hAnsi="宋体" w:eastAsia="宋体" w:cs="宋体"/>
          <w:b w:val="0"/>
          <w:bCs w:val="0"/>
          <w:color w:val="auto"/>
          <w:sz w:val="24"/>
          <w:szCs w:val="24"/>
          <w:highlight w:val="none"/>
        </w:rPr>
        <w:t>运输方式为公路运输。</w:t>
      </w:r>
      <w:r>
        <w:rPr>
          <w:rFonts w:hint="eastAsia" w:ascii="宋体" w:hAnsi="宋体" w:cs="宋体"/>
          <w:b w:val="0"/>
          <w:bCs w:val="0"/>
          <w:color w:val="auto"/>
          <w:sz w:val="24"/>
          <w:szCs w:val="24"/>
          <w:highlight w:val="none"/>
          <w:lang w:eastAsia="zh-CN"/>
        </w:rPr>
        <w:t>由于</w:t>
      </w:r>
      <w:r>
        <w:rPr>
          <w:rFonts w:hint="eastAsia" w:ascii="宋体" w:hAnsi="宋体" w:eastAsia="宋体" w:cs="宋体"/>
          <w:b w:val="0"/>
          <w:bCs w:val="0"/>
          <w:color w:val="auto"/>
          <w:sz w:val="24"/>
          <w:szCs w:val="24"/>
          <w:highlight w:val="none"/>
        </w:rPr>
        <w:t>受本项目原料及产品运输影响，淮南市境内新增年运输量约为</w:t>
      </w:r>
      <w:r>
        <w:rPr>
          <w:rFonts w:hint="eastAsia" w:ascii="Times New Roman" w:hAnsi="Times New Roman" w:eastAsia="宋体" w:cs="Times New Roman"/>
          <w:b w:val="0"/>
          <w:bCs w:val="0"/>
          <w:color w:val="auto"/>
          <w:sz w:val="24"/>
          <w:szCs w:val="24"/>
          <w:highlight w:val="none"/>
          <w:lang w:val="en-US" w:eastAsia="zh-CN"/>
        </w:rPr>
        <w:t>1535</w:t>
      </w:r>
      <w:r>
        <w:rPr>
          <w:rFonts w:hint="eastAsia" w:ascii="宋体" w:hAnsi="宋体" w:eastAsia="宋体" w:cs="宋体"/>
          <w:b w:val="0"/>
          <w:bCs w:val="0"/>
          <w:color w:val="auto"/>
          <w:sz w:val="24"/>
          <w:szCs w:val="24"/>
          <w:highlight w:val="none"/>
        </w:rPr>
        <w:t>次，年增加总运输距离</w:t>
      </w:r>
      <w:r>
        <w:rPr>
          <w:rFonts w:hint="eastAsia" w:ascii="宋体" w:hAnsi="宋体" w:eastAsia="宋体" w:cs="宋体"/>
          <w:b w:val="0"/>
          <w:bCs w:val="0"/>
          <w:color w:val="auto"/>
          <w:sz w:val="24"/>
          <w:szCs w:val="24"/>
          <w:highlight w:val="none"/>
          <w:lang w:val="en-US" w:eastAsia="zh-CN"/>
        </w:rPr>
        <w:t>按照</w:t>
      </w:r>
      <w:r>
        <w:rPr>
          <w:rFonts w:hint="eastAsia" w:ascii="宋体" w:hAnsi="宋体" w:eastAsia="宋体" w:cs="宋体"/>
          <w:b w:val="0"/>
          <w:bCs w:val="0"/>
          <w:color w:val="auto"/>
          <w:sz w:val="24"/>
          <w:szCs w:val="24"/>
          <w:highlight w:val="none"/>
        </w:rPr>
        <w:t>为</w:t>
      </w:r>
      <w:r>
        <w:rPr>
          <w:rFonts w:hint="eastAsia" w:ascii="Times New Roman" w:hAnsi="Times New Roman" w:eastAsia="宋体" w:cs="Times New Roman"/>
          <w:b w:val="0"/>
          <w:bCs w:val="0"/>
          <w:color w:val="auto"/>
          <w:sz w:val="24"/>
          <w:szCs w:val="24"/>
          <w:highlight w:val="none"/>
          <w:lang w:val="en-US" w:eastAsia="zh-CN"/>
        </w:rPr>
        <w:t>10</w:t>
      </w:r>
      <w:r>
        <w:rPr>
          <w:rFonts w:hint="eastAsia" w:ascii="宋体" w:hAnsi="宋体" w:eastAsia="宋体" w:cs="宋体"/>
          <w:b w:val="0"/>
          <w:bCs w:val="0"/>
          <w:color w:val="auto"/>
          <w:sz w:val="24"/>
          <w:szCs w:val="24"/>
          <w:highlight w:val="none"/>
        </w:rPr>
        <w:t>万</w:t>
      </w:r>
      <w:r>
        <w:rPr>
          <w:rFonts w:hint="default" w:ascii="Times New Roman" w:hAnsi="Times New Roman" w:eastAsia="Times New Roman" w:cs="Times New Roman"/>
          <w:b w:val="0"/>
          <w:bCs w:val="0"/>
          <w:color w:val="auto"/>
          <w:sz w:val="24"/>
          <w:szCs w:val="24"/>
          <w:highlight w:val="none"/>
        </w:rPr>
        <w:t>km</w:t>
      </w:r>
      <w:r>
        <w:rPr>
          <w:rFonts w:hint="eastAsia" w:ascii="宋体" w:hAnsi="宋体" w:eastAsia="宋体" w:cs="宋体"/>
          <w:b w:val="0"/>
          <w:bCs w:val="0"/>
          <w:color w:val="auto"/>
          <w:sz w:val="24"/>
          <w:szCs w:val="24"/>
          <w:highlight w:val="none"/>
        </w:rPr>
        <w:t>。</w:t>
      </w:r>
    </w:p>
    <w:p w14:paraId="7F32FC8F">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ascii="宋体" w:hAnsi="宋体" w:eastAsia="宋体" w:cs="宋体"/>
          <w:b w:val="0"/>
          <w:bCs w:val="0"/>
          <w:color w:val="auto"/>
          <w:sz w:val="24"/>
          <w:szCs w:val="24"/>
          <w:highlight w:val="none"/>
        </w:rPr>
      </w:pPr>
      <w:r>
        <w:rPr>
          <w:rFonts w:hint="eastAsia"/>
          <w:snapToGrid w:val="0"/>
          <w:color w:val="auto"/>
          <w:spacing w:val="0"/>
          <w:kern w:val="2"/>
          <w:sz w:val="24"/>
          <w:szCs w:val="24"/>
          <w:highlight w:val="none"/>
        </w:rPr>
        <w:t>汽车</w:t>
      </w:r>
      <w:r>
        <w:rPr>
          <w:rFonts w:hint="eastAsia" w:ascii="宋体" w:hAnsi="宋体" w:eastAsia="宋体" w:cs="宋体"/>
          <w:b w:val="0"/>
          <w:bCs w:val="0"/>
          <w:color w:val="auto"/>
          <w:sz w:val="24"/>
          <w:szCs w:val="24"/>
          <w:highlight w:val="none"/>
        </w:rPr>
        <w:t>尾气排放的污染物主要是</w:t>
      </w:r>
      <w:r>
        <w:rPr>
          <w:rFonts w:hint="default" w:ascii="Times New Roman" w:hAnsi="Times New Roman" w:eastAsia="宋体" w:cs="Times New Roman"/>
          <w:b w:val="0"/>
          <w:bCs w:val="0"/>
          <w:color w:val="auto"/>
          <w:sz w:val="24"/>
          <w:szCs w:val="24"/>
          <w:highlight w:val="none"/>
        </w:rPr>
        <w:t>CO</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NOx</w:t>
      </w:r>
      <w:r>
        <w:rPr>
          <w:rFonts w:hint="eastAsia" w:ascii="宋体" w:hAnsi="宋体" w:eastAsia="宋体" w:cs="宋体"/>
          <w:b w:val="0"/>
          <w:bCs w:val="0"/>
          <w:color w:val="auto"/>
          <w:sz w:val="24"/>
          <w:szCs w:val="24"/>
          <w:highlight w:val="none"/>
        </w:rPr>
        <w:t>。汽车在进出项目场地时是低速行驶，启动是冷启动，污染物排放系数参照《轻型汽车污染物排放限值及测量方法（中国第五阶段）》（</w:t>
      </w:r>
      <w:r>
        <w:rPr>
          <w:rFonts w:hint="default" w:ascii="Times New Roman" w:hAnsi="Times New Roman" w:eastAsia="Times New Roman" w:cs="Times New Roman"/>
          <w:b w:val="0"/>
          <w:bCs w:val="0"/>
          <w:color w:val="auto"/>
          <w:sz w:val="24"/>
          <w:szCs w:val="24"/>
          <w:highlight w:val="none"/>
        </w:rPr>
        <w:t>GB18352.5-2013</w:t>
      </w:r>
      <w:r>
        <w:rPr>
          <w:rFonts w:hint="eastAsia" w:ascii="宋体" w:hAnsi="宋体" w:eastAsia="宋体" w:cs="宋体"/>
          <w:b w:val="0"/>
          <w:bCs w:val="0"/>
          <w:color w:val="auto"/>
          <w:sz w:val="24"/>
          <w:szCs w:val="24"/>
          <w:highlight w:val="none"/>
        </w:rPr>
        <w:t>）选取（常温下</w:t>
      </w:r>
      <w:r>
        <w:rPr>
          <w:rFonts w:hint="eastAsia" w:ascii="宋体" w:hAnsi="宋体" w:cs="宋体"/>
          <w:b w:val="0"/>
          <w:bCs w:val="0"/>
          <w:color w:val="auto"/>
          <w:sz w:val="24"/>
          <w:szCs w:val="24"/>
          <w:highlight w:val="none"/>
          <w:lang w:eastAsia="zh-CN"/>
        </w:rPr>
        <w:t>冷启动</w:t>
      </w:r>
      <w:r>
        <w:rPr>
          <w:rFonts w:hint="eastAsia" w:ascii="宋体" w:hAnsi="宋体" w:eastAsia="宋体" w:cs="宋体"/>
          <w:b w:val="0"/>
          <w:bCs w:val="0"/>
          <w:color w:val="auto"/>
          <w:sz w:val="24"/>
          <w:szCs w:val="24"/>
          <w:highlight w:val="none"/>
        </w:rPr>
        <w:t>后排气污染物排放试验</w:t>
      </w:r>
      <w:r>
        <w:rPr>
          <w:rFonts w:hint="eastAsia" w:ascii="宋体" w:hAnsi="宋体" w:eastAsia="宋体" w:cs="宋体"/>
          <w:b w:val="0"/>
          <w:bCs w:val="0"/>
          <w:color w:val="auto"/>
          <w:sz w:val="24"/>
          <w:szCs w:val="24"/>
          <w:highlight w:val="none"/>
          <w:lang w:val="en-US" w:eastAsia="zh-CN"/>
        </w:rPr>
        <w:t>排放限值中</w:t>
      </w:r>
      <w:r>
        <w:rPr>
          <w:rFonts w:hint="eastAsia" w:ascii="宋体" w:hAnsi="宋体" w:eastAsia="宋体" w:cs="宋体"/>
          <w:b w:val="0"/>
          <w:bCs w:val="0"/>
          <w:color w:val="auto"/>
          <w:sz w:val="24"/>
          <w:szCs w:val="24"/>
          <w:highlight w:val="none"/>
        </w:rPr>
        <w:t>取最大值），分别为</w:t>
      </w:r>
      <w:r>
        <w:rPr>
          <w:rFonts w:hint="default" w:ascii="Times New Roman" w:hAnsi="Times New Roman" w:eastAsia="Times New Roman" w:cs="Times New Roman"/>
          <w:b w:val="0"/>
          <w:bCs w:val="0"/>
          <w:color w:val="auto"/>
          <w:sz w:val="24"/>
          <w:szCs w:val="24"/>
          <w:highlight w:val="none"/>
        </w:rPr>
        <w:t>CO1000mg/km</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NOx82mg/km</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THC160mg/km</w:t>
      </w:r>
      <w:r>
        <w:rPr>
          <w:rFonts w:hint="eastAsia" w:ascii="宋体" w:hAnsi="宋体" w:eastAsia="宋体" w:cs="宋体"/>
          <w:b w:val="0"/>
          <w:bCs w:val="0"/>
          <w:color w:val="auto"/>
          <w:sz w:val="24"/>
          <w:szCs w:val="24"/>
          <w:highlight w:val="none"/>
        </w:rPr>
        <w:t>，颗粒物</w:t>
      </w:r>
      <w:r>
        <w:rPr>
          <w:rFonts w:hint="default" w:ascii="Times New Roman" w:hAnsi="Times New Roman" w:eastAsia="Times New Roman" w:cs="Times New Roman"/>
          <w:b w:val="0"/>
          <w:bCs w:val="0"/>
          <w:color w:val="auto"/>
          <w:sz w:val="24"/>
          <w:szCs w:val="24"/>
          <w:highlight w:val="none"/>
        </w:rPr>
        <w:t>4.5mg/km</w:t>
      </w:r>
      <w:r>
        <w:rPr>
          <w:rFonts w:hint="eastAsia" w:ascii="宋体" w:hAnsi="宋体" w:eastAsia="宋体" w:cs="宋体"/>
          <w:b w:val="0"/>
          <w:bCs w:val="0"/>
          <w:color w:val="auto"/>
          <w:sz w:val="24"/>
          <w:szCs w:val="24"/>
          <w:highlight w:val="none"/>
        </w:rPr>
        <w:t>。根据评价范围内总运输距离计算得出各污染物的排放量为</w:t>
      </w:r>
      <w:r>
        <w:rPr>
          <w:rFonts w:hint="default" w:ascii="Times New Roman" w:hAnsi="Times New Roman" w:eastAsia="Times New Roman" w:cs="Times New Roman"/>
          <w:b w:val="0"/>
          <w:bCs w:val="0"/>
          <w:color w:val="auto"/>
          <w:sz w:val="24"/>
          <w:szCs w:val="24"/>
          <w:highlight w:val="none"/>
        </w:rPr>
        <w:t>CO</w:t>
      </w:r>
      <w:r>
        <w:rPr>
          <w:rFonts w:hint="eastAsia" w:ascii="Times New Roman" w:hAnsi="Times New Roman" w:eastAsia="宋体" w:cs="Times New Roman"/>
          <w:b w:val="0"/>
          <w:bCs w:val="0"/>
          <w:color w:val="auto"/>
          <w:sz w:val="24"/>
          <w:szCs w:val="24"/>
          <w:highlight w:val="none"/>
          <w:lang w:val="en-US" w:eastAsia="zh-CN"/>
        </w:rPr>
        <w:t>100</w:t>
      </w:r>
      <w:r>
        <w:rPr>
          <w:rFonts w:hint="default" w:ascii="Times New Roman" w:hAnsi="Times New Roman" w:eastAsia="Times New Roman" w:cs="Times New Roman"/>
          <w:b w:val="0"/>
          <w:bCs w:val="0"/>
          <w:color w:val="auto"/>
          <w:sz w:val="24"/>
          <w:szCs w:val="24"/>
          <w:highlight w:val="none"/>
        </w:rPr>
        <w:t>kg/a</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NOx</w:t>
      </w:r>
      <w:r>
        <w:rPr>
          <w:rFonts w:hint="eastAsia" w:ascii="Times New Roman" w:hAnsi="Times New Roman" w:eastAsia="宋体" w:cs="Times New Roman"/>
          <w:b w:val="0"/>
          <w:bCs w:val="0"/>
          <w:color w:val="auto"/>
          <w:sz w:val="24"/>
          <w:szCs w:val="24"/>
          <w:highlight w:val="none"/>
          <w:lang w:val="en-US" w:eastAsia="zh-CN"/>
        </w:rPr>
        <w:t>8.2</w:t>
      </w:r>
      <w:r>
        <w:rPr>
          <w:rFonts w:hint="default" w:ascii="Times New Roman" w:hAnsi="Times New Roman" w:eastAsia="Times New Roman" w:cs="Times New Roman"/>
          <w:b w:val="0"/>
          <w:bCs w:val="0"/>
          <w:color w:val="auto"/>
          <w:sz w:val="24"/>
          <w:szCs w:val="24"/>
          <w:highlight w:val="none"/>
        </w:rPr>
        <w:t>kg/a</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THC</w:t>
      </w:r>
      <w:r>
        <w:rPr>
          <w:rFonts w:hint="eastAsia" w:ascii="Times New Roman" w:hAnsi="Times New Roman" w:eastAsia="宋体" w:cs="Times New Roman"/>
          <w:b w:val="0"/>
          <w:bCs w:val="0"/>
          <w:color w:val="auto"/>
          <w:sz w:val="24"/>
          <w:szCs w:val="24"/>
          <w:highlight w:val="none"/>
          <w:lang w:val="en-US" w:eastAsia="zh-CN"/>
        </w:rPr>
        <w:t>16</w:t>
      </w:r>
      <w:r>
        <w:rPr>
          <w:rFonts w:hint="default" w:ascii="Times New Roman" w:hAnsi="Times New Roman" w:eastAsia="Times New Roman" w:cs="Times New Roman"/>
          <w:b w:val="0"/>
          <w:bCs w:val="0"/>
          <w:color w:val="auto"/>
          <w:sz w:val="24"/>
          <w:szCs w:val="24"/>
          <w:highlight w:val="none"/>
        </w:rPr>
        <w:t>kg/a</w:t>
      </w:r>
      <w:r>
        <w:rPr>
          <w:rFonts w:hint="eastAsia" w:ascii="宋体" w:hAnsi="宋体" w:eastAsia="宋体" w:cs="宋体"/>
          <w:b w:val="0"/>
          <w:bCs w:val="0"/>
          <w:color w:val="auto"/>
          <w:sz w:val="24"/>
          <w:szCs w:val="24"/>
          <w:highlight w:val="none"/>
        </w:rPr>
        <w:t>，颗粒物</w:t>
      </w:r>
      <w:r>
        <w:rPr>
          <w:rFonts w:hint="eastAsia" w:ascii="Times New Roman" w:hAnsi="Times New Roman" w:eastAsia="宋体" w:cs="Times New Roman"/>
          <w:b w:val="0"/>
          <w:bCs w:val="0"/>
          <w:color w:val="auto"/>
          <w:sz w:val="24"/>
          <w:szCs w:val="24"/>
          <w:highlight w:val="none"/>
          <w:lang w:val="en-US" w:eastAsia="zh-CN"/>
        </w:rPr>
        <w:t>0.45</w:t>
      </w:r>
      <w:r>
        <w:rPr>
          <w:rFonts w:hint="default" w:ascii="Times New Roman" w:hAnsi="Times New Roman" w:eastAsia="Times New Roman" w:cs="Times New Roman"/>
          <w:b w:val="0"/>
          <w:bCs w:val="0"/>
          <w:color w:val="auto"/>
          <w:sz w:val="24"/>
          <w:szCs w:val="24"/>
          <w:highlight w:val="none"/>
        </w:rPr>
        <w:t>kg/a</w:t>
      </w:r>
      <w:r>
        <w:rPr>
          <w:rFonts w:hint="eastAsia" w:ascii="宋体" w:hAnsi="宋体" w:eastAsia="宋体" w:cs="宋体"/>
          <w:b w:val="0"/>
          <w:bCs w:val="0"/>
          <w:color w:val="auto"/>
          <w:sz w:val="24"/>
          <w:szCs w:val="24"/>
          <w:highlight w:val="none"/>
        </w:rPr>
        <w:t>。</w:t>
      </w:r>
    </w:p>
    <w:p w14:paraId="52F8DE63">
      <w:pPr>
        <w:spacing w:line="360" w:lineRule="auto"/>
        <w:ind w:firstLine="480"/>
        <w:rPr>
          <w:rFonts w:ascii="Times New Roman" w:hAnsi="Times New Roman" w:eastAsia="宋体"/>
          <w:color w:val="auto"/>
          <w:sz w:val="24"/>
          <w:highlight w:val="none"/>
        </w:rPr>
      </w:pPr>
      <w:r>
        <w:rPr>
          <w:rFonts w:hint="eastAsia" w:ascii="Times New Roman" w:hAnsi="Times New Roman" w:cs="Times New Roman"/>
          <w:color w:val="auto"/>
          <w:sz w:val="24"/>
          <w:highlight w:val="none"/>
          <w:lang w:eastAsia="zh-CN"/>
        </w:rPr>
        <w:t>本项目</w:t>
      </w:r>
      <w:r>
        <w:rPr>
          <w:rFonts w:hint="eastAsia" w:cs="Times New Roman"/>
          <w:color w:val="auto"/>
          <w:sz w:val="24"/>
          <w:highlight w:val="none"/>
          <w:lang w:eastAsia="zh-CN"/>
        </w:rPr>
        <w:t>废气</w:t>
      </w:r>
      <w:r>
        <w:rPr>
          <w:rFonts w:hint="default" w:ascii="Times New Roman" w:hAnsi="Times New Roman" w:cs="Times New Roman"/>
          <w:color w:val="auto"/>
          <w:sz w:val="24"/>
          <w:highlight w:val="none"/>
        </w:rPr>
        <w:t>产生及排放情况详见下表。</w:t>
      </w:r>
    </w:p>
    <w:p w14:paraId="43AABC85">
      <w:pPr>
        <w:spacing w:line="360" w:lineRule="auto"/>
        <w:ind w:firstLine="480" w:firstLineChars="200"/>
        <w:jc w:val="left"/>
        <w:rPr>
          <w:rFonts w:ascii="Times New Roman" w:hAnsi="Times New Roman" w:eastAsia="宋体"/>
          <w:color w:val="auto"/>
          <w:sz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58D0E9E1">
      <w:pPr>
        <w:ind w:firstLine="480" w:firstLineChars="200"/>
        <w:jc w:val="center"/>
        <w:rPr>
          <w:rFonts w:ascii="Times New Roman" w:hAnsi="Times New Roman" w:eastAsia="宋体"/>
          <w:color w:val="auto"/>
          <w:sz w:val="24"/>
          <w:highlight w:val="none"/>
        </w:rPr>
      </w:pPr>
      <w:r>
        <w:rPr>
          <w:rFonts w:ascii="Times New Roman" w:hAnsi="Times New Roman" w:eastAsia="宋体"/>
          <w:b/>
          <w:color w:val="auto"/>
          <w:kern w:val="0"/>
          <w:sz w:val="24"/>
          <w:szCs w:val="24"/>
          <w:highlight w:val="none"/>
        </w:rPr>
        <w:t>表</w:t>
      </w:r>
      <w:r>
        <w:rPr>
          <w:rFonts w:ascii="Times New Roman" w:hAnsi="Times New Roman" w:eastAsia="宋体"/>
          <w:b/>
          <w:color w:val="auto"/>
          <w:sz w:val="24"/>
          <w:highlight w:val="none"/>
        </w:rPr>
        <w:t>3.</w:t>
      </w:r>
      <w:r>
        <w:rPr>
          <w:rFonts w:hint="eastAsia"/>
          <w:b/>
          <w:color w:val="auto"/>
          <w:sz w:val="24"/>
          <w:highlight w:val="none"/>
          <w:lang w:val="en-US" w:eastAsia="zh-CN"/>
        </w:rPr>
        <w:t>5</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2</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 xml:space="preserve">5  </w:t>
      </w:r>
      <w:r>
        <w:rPr>
          <w:rFonts w:ascii="Times New Roman" w:hAnsi="Times New Roman" w:eastAsia="宋体"/>
          <w:b/>
          <w:color w:val="auto"/>
          <w:kern w:val="0"/>
          <w:sz w:val="24"/>
          <w:szCs w:val="24"/>
          <w:highlight w:val="none"/>
        </w:rPr>
        <w:t>有组织废气排放情况表</w:t>
      </w:r>
    </w:p>
    <w:tbl>
      <w:tblPr>
        <w:tblStyle w:val="53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918"/>
        <w:gridCol w:w="638"/>
        <w:gridCol w:w="975"/>
        <w:gridCol w:w="638"/>
        <w:gridCol w:w="666"/>
        <w:gridCol w:w="787"/>
        <w:gridCol w:w="1130"/>
        <w:gridCol w:w="656"/>
        <w:gridCol w:w="586"/>
        <w:gridCol w:w="701"/>
        <w:gridCol w:w="701"/>
        <w:gridCol w:w="732"/>
        <w:gridCol w:w="502"/>
        <w:gridCol w:w="642"/>
        <w:gridCol w:w="675"/>
        <w:gridCol w:w="547"/>
        <w:gridCol w:w="530"/>
        <w:gridCol w:w="404"/>
        <w:gridCol w:w="908"/>
        <w:gridCol w:w="670"/>
      </w:tblGrid>
      <w:tr w14:paraId="1A4B5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38" w:hRule="atLeast"/>
          <w:tblHeader/>
          <w:jc w:val="center"/>
        </w:trPr>
        <w:tc>
          <w:tcPr>
            <w:tcW w:w="327" w:type="pct"/>
            <w:vMerge w:val="restart"/>
            <w:noWrap w:val="0"/>
            <w:vAlign w:val="center"/>
          </w:tcPr>
          <w:p w14:paraId="19791300">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生产线</w:t>
            </w:r>
          </w:p>
        </w:tc>
        <w:tc>
          <w:tcPr>
            <w:tcW w:w="228" w:type="pct"/>
            <w:vMerge w:val="restart"/>
            <w:noWrap w:val="0"/>
            <w:vAlign w:val="center"/>
          </w:tcPr>
          <w:p w14:paraId="4CB59429">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污染源</w:t>
            </w:r>
          </w:p>
        </w:tc>
        <w:tc>
          <w:tcPr>
            <w:tcW w:w="348" w:type="pct"/>
            <w:vMerge w:val="restart"/>
            <w:noWrap w:val="0"/>
            <w:vAlign w:val="center"/>
          </w:tcPr>
          <w:p w14:paraId="1CA8BB2C">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污染物</w:t>
            </w:r>
          </w:p>
          <w:p w14:paraId="225E7CF3">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名称</w:t>
            </w:r>
          </w:p>
        </w:tc>
        <w:tc>
          <w:tcPr>
            <w:tcW w:w="747" w:type="pct"/>
            <w:gridSpan w:val="3"/>
            <w:noWrap w:val="0"/>
            <w:vAlign w:val="center"/>
          </w:tcPr>
          <w:p w14:paraId="4FBC9BC6">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产生状况</w:t>
            </w:r>
          </w:p>
        </w:tc>
        <w:tc>
          <w:tcPr>
            <w:tcW w:w="403" w:type="pct"/>
            <w:vMerge w:val="restart"/>
            <w:noWrap w:val="0"/>
            <w:vAlign w:val="center"/>
          </w:tcPr>
          <w:p w14:paraId="5F1FC1A5">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处理措施</w:t>
            </w:r>
          </w:p>
        </w:tc>
        <w:tc>
          <w:tcPr>
            <w:tcW w:w="234" w:type="pct"/>
            <w:vMerge w:val="restart"/>
            <w:noWrap w:val="0"/>
            <w:vAlign w:val="center"/>
          </w:tcPr>
          <w:p w14:paraId="32509AD1">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处理效率</w:t>
            </w:r>
          </w:p>
        </w:tc>
        <w:tc>
          <w:tcPr>
            <w:tcW w:w="209" w:type="pct"/>
            <w:vMerge w:val="restart"/>
            <w:noWrap w:val="0"/>
            <w:vAlign w:val="center"/>
          </w:tcPr>
          <w:p w14:paraId="5EF74C19">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是否为可行技术</w:t>
            </w:r>
          </w:p>
        </w:tc>
        <w:tc>
          <w:tcPr>
            <w:tcW w:w="761" w:type="pct"/>
            <w:gridSpan w:val="3"/>
            <w:noWrap w:val="0"/>
            <w:vAlign w:val="center"/>
          </w:tcPr>
          <w:p w14:paraId="0CB53973">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排放状况</w:t>
            </w:r>
          </w:p>
        </w:tc>
        <w:tc>
          <w:tcPr>
            <w:tcW w:w="408" w:type="pct"/>
            <w:gridSpan w:val="2"/>
            <w:noWrap w:val="0"/>
            <w:vAlign w:val="center"/>
          </w:tcPr>
          <w:p w14:paraId="3B887E75">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执行标准</w:t>
            </w:r>
          </w:p>
        </w:tc>
        <w:tc>
          <w:tcPr>
            <w:tcW w:w="1092" w:type="pct"/>
            <w:gridSpan w:val="5"/>
            <w:noWrap w:val="0"/>
            <w:vAlign w:val="center"/>
          </w:tcPr>
          <w:p w14:paraId="26D87EDB">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排放源参数</w:t>
            </w:r>
          </w:p>
        </w:tc>
        <w:tc>
          <w:tcPr>
            <w:tcW w:w="239" w:type="pct"/>
            <w:vMerge w:val="restart"/>
            <w:noWrap w:val="0"/>
            <w:vAlign w:val="center"/>
          </w:tcPr>
          <w:p w14:paraId="294E7000">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年排放</w:t>
            </w:r>
          </w:p>
          <w:p w14:paraId="7B6D0D58">
            <w:pPr>
              <w:widowControl w:val="0"/>
              <w:spacing w:line="240" w:lineRule="auto"/>
              <w:ind w:firstLine="0" w:firstLineChars="0"/>
              <w:jc w:val="center"/>
              <w:textAlignment w:val="center"/>
              <w:rPr>
                <w:rFonts w:ascii="Times New Roman" w:hAnsi="Times New Roman" w:eastAsia="宋体" w:cs="Times New Roman"/>
                <w:b/>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时间</w:t>
            </w:r>
          </w:p>
          <w:p w14:paraId="723D837C">
            <w:pPr>
              <w:widowControl w:val="0"/>
              <w:spacing w:line="240" w:lineRule="auto"/>
              <w:ind w:firstLine="0" w:firstLineChars="0"/>
              <w:jc w:val="center"/>
              <w:textAlignment w:val="center"/>
              <w:rPr>
                <w:rFonts w:ascii="Times New Roman" w:hAnsi="Times New Roman" w:eastAsia="宋体" w:cs="Times New Roman"/>
                <w:b/>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h</w:t>
            </w:r>
          </w:p>
        </w:tc>
      </w:tr>
      <w:tr w14:paraId="0994E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38" w:hRule="atLeast"/>
          <w:tblHeader/>
          <w:jc w:val="center"/>
        </w:trPr>
        <w:tc>
          <w:tcPr>
            <w:tcW w:w="327" w:type="pct"/>
            <w:vMerge w:val="continue"/>
            <w:noWrap w:val="0"/>
            <w:vAlign w:val="center"/>
          </w:tcPr>
          <w:p w14:paraId="007DCEE9">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p>
        </w:tc>
        <w:tc>
          <w:tcPr>
            <w:tcW w:w="228" w:type="pct"/>
            <w:vMerge w:val="continue"/>
            <w:noWrap w:val="0"/>
            <w:vAlign w:val="center"/>
          </w:tcPr>
          <w:p w14:paraId="5873D12F">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p>
        </w:tc>
        <w:tc>
          <w:tcPr>
            <w:tcW w:w="348" w:type="pct"/>
            <w:vMerge w:val="continue"/>
            <w:noWrap w:val="0"/>
            <w:vAlign w:val="center"/>
          </w:tcPr>
          <w:p w14:paraId="4363AF05">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p>
        </w:tc>
        <w:tc>
          <w:tcPr>
            <w:tcW w:w="228" w:type="pct"/>
            <w:noWrap w:val="0"/>
            <w:vAlign w:val="center"/>
          </w:tcPr>
          <w:p w14:paraId="3C257CD3">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浓度</w:t>
            </w:r>
          </w:p>
          <w:p w14:paraId="2BAF994A">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mg/m</w:t>
            </w:r>
            <w:r>
              <w:rPr>
                <w:rFonts w:ascii="Times New Roman" w:hAnsi="Times New Roman" w:eastAsia="宋体" w:cs="Times New Roman"/>
                <w:b/>
                <w:i w:val="0"/>
                <w:color w:val="auto"/>
                <w:kern w:val="0"/>
                <w:sz w:val="21"/>
                <w:szCs w:val="21"/>
                <w:highlight w:val="none"/>
                <w:vertAlign w:val="superscript"/>
                <w:lang w:val="en-US" w:eastAsia="zh-CN" w:bidi="ar-SA"/>
              </w:rPr>
              <w:t>3</w:t>
            </w:r>
          </w:p>
        </w:tc>
        <w:tc>
          <w:tcPr>
            <w:tcW w:w="238" w:type="pct"/>
            <w:noWrap w:val="0"/>
            <w:vAlign w:val="center"/>
          </w:tcPr>
          <w:p w14:paraId="7F1A680B">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速率</w:t>
            </w:r>
          </w:p>
          <w:p w14:paraId="1BC6C18E">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kg/h</w:t>
            </w:r>
          </w:p>
        </w:tc>
        <w:tc>
          <w:tcPr>
            <w:tcW w:w="280" w:type="pct"/>
            <w:noWrap w:val="0"/>
            <w:vAlign w:val="center"/>
          </w:tcPr>
          <w:p w14:paraId="5083E113">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产生量</w:t>
            </w:r>
          </w:p>
          <w:p w14:paraId="4050CAD8">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t/a</w:t>
            </w:r>
          </w:p>
        </w:tc>
        <w:tc>
          <w:tcPr>
            <w:tcW w:w="403" w:type="pct"/>
            <w:vMerge w:val="continue"/>
            <w:noWrap w:val="0"/>
            <w:vAlign w:val="center"/>
          </w:tcPr>
          <w:p w14:paraId="542FA27F">
            <w:pPr>
              <w:widowControl w:val="0"/>
              <w:spacing w:line="240" w:lineRule="auto"/>
              <w:ind w:firstLine="0" w:firstLineChars="0"/>
              <w:jc w:val="both"/>
              <w:textAlignment w:val="center"/>
              <w:rPr>
                <w:rFonts w:ascii="Times New Roman" w:hAnsi="Times New Roman" w:eastAsia="宋体" w:cs="Times New Roman"/>
                <w:b w:val="0"/>
                <w:i w:val="0"/>
                <w:color w:val="auto"/>
                <w:kern w:val="0"/>
                <w:sz w:val="21"/>
                <w:szCs w:val="21"/>
                <w:highlight w:val="none"/>
                <w:lang w:val="en-US" w:eastAsia="zh-CN" w:bidi="ar-SA"/>
              </w:rPr>
            </w:pPr>
          </w:p>
        </w:tc>
        <w:tc>
          <w:tcPr>
            <w:tcW w:w="234" w:type="pct"/>
            <w:vMerge w:val="continue"/>
            <w:noWrap w:val="0"/>
            <w:vAlign w:val="center"/>
          </w:tcPr>
          <w:p w14:paraId="78416667">
            <w:pPr>
              <w:widowControl w:val="0"/>
              <w:spacing w:line="240" w:lineRule="auto"/>
              <w:ind w:firstLine="0" w:firstLineChars="0"/>
              <w:jc w:val="both"/>
              <w:textAlignment w:val="center"/>
              <w:rPr>
                <w:rFonts w:ascii="Times New Roman" w:hAnsi="Times New Roman" w:eastAsia="宋体" w:cs="Times New Roman"/>
                <w:b w:val="0"/>
                <w:i w:val="0"/>
                <w:color w:val="auto"/>
                <w:kern w:val="0"/>
                <w:sz w:val="21"/>
                <w:szCs w:val="21"/>
                <w:highlight w:val="none"/>
                <w:lang w:val="en-US" w:eastAsia="zh-CN" w:bidi="ar-SA"/>
              </w:rPr>
            </w:pPr>
          </w:p>
        </w:tc>
        <w:tc>
          <w:tcPr>
            <w:tcW w:w="209" w:type="pct"/>
            <w:vMerge w:val="continue"/>
            <w:noWrap w:val="0"/>
            <w:vAlign w:val="center"/>
          </w:tcPr>
          <w:p w14:paraId="58617372">
            <w:pPr>
              <w:widowControl w:val="0"/>
              <w:spacing w:line="240" w:lineRule="auto"/>
              <w:ind w:firstLine="0" w:firstLineChars="0"/>
              <w:jc w:val="both"/>
              <w:textAlignment w:val="center"/>
              <w:rPr>
                <w:rFonts w:ascii="Times New Roman" w:hAnsi="Times New Roman" w:eastAsia="宋体" w:cs="Times New Roman"/>
                <w:b w:val="0"/>
                <w:i w:val="0"/>
                <w:color w:val="auto"/>
                <w:kern w:val="0"/>
                <w:sz w:val="21"/>
                <w:szCs w:val="21"/>
                <w:highlight w:val="none"/>
                <w:lang w:val="en-US" w:eastAsia="zh-CN" w:bidi="ar-SA"/>
              </w:rPr>
            </w:pPr>
          </w:p>
        </w:tc>
        <w:tc>
          <w:tcPr>
            <w:tcW w:w="250" w:type="pct"/>
            <w:noWrap w:val="0"/>
            <w:vAlign w:val="center"/>
          </w:tcPr>
          <w:p w14:paraId="1F3038A5">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浓度</w:t>
            </w:r>
          </w:p>
          <w:p w14:paraId="39B1E8DA">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mg/m</w:t>
            </w:r>
            <w:r>
              <w:rPr>
                <w:rFonts w:ascii="Times New Roman" w:hAnsi="Times New Roman" w:eastAsia="宋体" w:cs="Times New Roman"/>
                <w:b/>
                <w:i w:val="0"/>
                <w:color w:val="auto"/>
                <w:kern w:val="0"/>
                <w:sz w:val="21"/>
                <w:szCs w:val="21"/>
                <w:highlight w:val="none"/>
                <w:vertAlign w:val="superscript"/>
                <w:lang w:val="en-US" w:eastAsia="zh-CN" w:bidi="ar-SA"/>
              </w:rPr>
              <w:t>3</w:t>
            </w:r>
          </w:p>
        </w:tc>
        <w:tc>
          <w:tcPr>
            <w:tcW w:w="250" w:type="pct"/>
            <w:noWrap w:val="0"/>
            <w:vAlign w:val="center"/>
          </w:tcPr>
          <w:p w14:paraId="1804FA3E">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速率</w:t>
            </w:r>
          </w:p>
          <w:p w14:paraId="2DEB9B83">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kg/h</w:t>
            </w:r>
          </w:p>
        </w:tc>
        <w:tc>
          <w:tcPr>
            <w:tcW w:w="261" w:type="pct"/>
            <w:noWrap w:val="0"/>
            <w:vAlign w:val="center"/>
          </w:tcPr>
          <w:p w14:paraId="745BC4C6">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hint="eastAsia" w:ascii="Times New Roman" w:hAnsi="Times New Roman" w:eastAsia="宋体" w:cs="Times New Roman"/>
                <w:b/>
                <w:i w:val="0"/>
                <w:color w:val="auto"/>
                <w:kern w:val="0"/>
                <w:sz w:val="21"/>
                <w:szCs w:val="21"/>
                <w:highlight w:val="none"/>
                <w:lang w:val="en-US" w:eastAsia="zh-CN" w:bidi="ar-SA"/>
              </w:rPr>
              <w:t>排放</w:t>
            </w:r>
            <w:r>
              <w:rPr>
                <w:rFonts w:ascii="Times New Roman" w:hAnsi="Times New Roman" w:eastAsia="宋体" w:cs="Times New Roman"/>
                <w:b/>
                <w:i w:val="0"/>
                <w:color w:val="auto"/>
                <w:kern w:val="0"/>
                <w:sz w:val="21"/>
                <w:szCs w:val="21"/>
                <w:highlight w:val="none"/>
                <w:lang w:val="en-US" w:eastAsia="zh-CN" w:bidi="ar-SA"/>
              </w:rPr>
              <w:t>量</w:t>
            </w:r>
          </w:p>
          <w:p w14:paraId="3A09023B">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t/a</w:t>
            </w:r>
          </w:p>
        </w:tc>
        <w:tc>
          <w:tcPr>
            <w:tcW w:w="179" w:type="pct"/>
            <w:noWrap w:val="0"/>
            <w:vAlign w:val="center"/>
          </w:tcPr>
          <w:p w14:paraId="3A4B768A">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速率</w:t>
            </w:r>
          </w:p>
          <w:p w14:paraId="1FBC51C7">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kg/h</w:t>
            </w:r>
          </w:p>
        </w:tc>
        <w:tc>
          <w:tcPr>
            <w:tcW w:w="229" w:type="pct"/>
            <w:noWrap w:val="0"/>
            <w:vAlign w:val="center"/>
          </w:tcPr>
          <w:p w14:paraId="14548DBF">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浓度</w:t>
            </w:r>
          </w:p>
          <w:p w14:paraId="2B0F5FA8">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mg/m³</w:t>
            </w:r>
          </w:p>
        </w:tc>
        <w:tc>
          <w:tcPr>
            <w:tcW w:w="240" w:type="pct"/>
            <w:noWrap w:val="0"/>
            <w:vAlign w:val="center"/>
          </w:tcPr>
          <w:p w14:paraId="5AE69565">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编号</w:t>
            </w:r>
          </w:p>
        </w:tc>
        <w:tc>
          <w:tcPr>
            <w:tcW w:w="195" w:type="pct"/>
            <w:noWrap w:val="0"/>
            <w:vAlign w:val="center"/>
          </w:tcPr>
          <w:p w14:paraId="773FDD45">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高度</w:t>
            </w:r>
          </w:p>
          <w:p w14:paraId="3193417C">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m</w:t>
            </w:r>
          </w:p>
        </w:tc>
        <w:tc>
          <w:tcPr>
            <w:tcW w:w="189" w:type="pct"/>
            <w:noWrap w:val="0"/>
            <w:vAlign w:val="center"/>
          </w:tcPr>
          <w:p w14:paraId="481B4DB0">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直径</w:t>
            </w:r>
          </w:p>
          <w:p w14:paraId="665F37DE">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m</w:t>
            </w:r>
          </w:p>
        </w:tc>
        <w:tc>
          <w:tcPr>
            <w:tcW w:w="144" w:type="pct"/>
            <w:noWrap w:val="0"/>
            <w:vAlign w:val="center"/>
          </w:tcPr>
          <w:p w14:paraId="30960F0E">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温度</w:t>
            </w:r>
          </w:p>
          <w:p w14:paraId="1A271DF4">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w:t>
            </w:r>
          </w:p>
        </w:tc>
        <w:tc>
          <w:tcPr>
            <w:tcW w:w="322" w:type="pct"/>
            <w:noWrap w:val="0"/>
            <w:vAlign w:val="center"/>
          </w:tcPr>
          <w:p w14:paraId="14A394FE">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排气量</w:t>
            </w:r>
          </w:p>
          <w:p w14:paraId="5F1AE6C5">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Nm</w:t>
            </w:r>
            <w:r>
              <w:rPr>
                <w:rFonts w:ascii="Times New Roman" w:hAnsi="Times New Roman" w:eastAsia="宋体" w:cs="Times New Roman"/>
                <w:b/>
                <w:i w:val="0"/>
                <w:color w:val="auto"/>
                <w:kern w:val="0"/>
                <w:sz w:val="21"/>
                <w:szCs w:val="21"/>
                <w:highlight w:val="none"/>
                <w:vertAlign w:val="superscript"/>
                <w:lang w:val="en-US" w:eastAsia="zh-CN" w:bidi="ar-SA"/>
              </w:rPr>
              <w:t>3</w:t>
            </w:r>
            <w:r>
              <w:rPr>
                <w:rFonts w:ascii="Times New Roman" w:hAnsi="Times New Roman" w:eastAsia="宋体" w:cs="Times New Roman"/>
                <w:b/>
                <w:i w:val="0"/>
                <w:color w:val="auto"/>
                <w:kern w:val="0"/>
                <w:sz w:val="21"/>
                <w:szCs w:val="21"/>
                <w:highlight w:val="none"/>
                <w:lang w:val="en-US" w:eastAsia="zh-CN" w:bidi="ar-SA"/>
              </w:rPr>
              <w:t>/h</w:t>
            </w:r>
          </w:p>
        </w:tc>
        <w:tc>
          <w:tcPr>
            <w:tcW w:w="239" w:type="pct"/>
            <w:vMerge w:val="continue"/>
            <w:noWrap w:val="0"/>
            <w:vAlign w:val="center"/>
          </w:tcPr>
          <w:p w14:paraId="47318D0F">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p>
        </w:tc>
      </w:tr>
      <w:tr w14:paraId="33F5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41" w:hRule="atLeast"/>
          <w:jc w:val="center"/>
        </w:trPr>
        <w:tc>
          <w:tcPr>
            <w:tcW w:w="327" w:type="pct"/>
            <w:vMerge w:val="restart"/>
            <w:noWrap w:val="0"/>
            <w:vAlign w:val="center"/>
          </w:tcPr>
          <w:p w14:paraId="27630B1C">
            <w:pPr>
              <w:adjustRightInd w:val="0"/>
              <w:snapToGrid w:val="0"/>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zCs w:val="21"/>
                <w:highlight w:val="none"/>
                <w:lang w:val="en-US" w:eastAsia="zh-CN"/>
              </w:rPr>
              <w:t>500Nm</w:t>
            </w:r>
            <w:r>
              <w:rPr>
                <w:rFonts w:hint="eastAsia" w:ascii="Times New Roman" w:hAnsi="Times New Roman" w:eastAsia="宋体" w:cs="Times New Roman"/>
                <w:color w:val="auto"/>
                <w:szCs w:val="21"/>
                <w:highlight w:val="none"/>
                <w:vertAlign w:val="superscript"/>
                <w:lang w:val="en-US" w:eastAsia="zh-CN"/>
              </w:rPr>
              <w:t>3</w:t>
            </w:r>
            <w:r>
              <w:rPr>
                <w:rFonts w:hint="eastAsia" w:ascii="Times New Roman" w:hAnsi="Times New Roman" w:eastAsia="宋体" w:cs="Times New Roman"/>
                <w:color w:val="auto"/>
                <w:szCs w:val="21"/>
                <w:highlight w:val="none"/>
                <w:lang w:val="en-US" w:eastAsia="zh-CN"/>
              </w:rPr>
              <w:t>/h制氢装置</w:t>
            </w:r>
          </w:p>
        </w:tc>
        <w:tc>
          <w:tcPr>
            <w:tcW w:w="228" w:type="pct"/>
            <w:vMerge w:val="restart"/>
            <w:noWrap w:val="0"/>
            <w:vAlign w:val="center"/>
          </w:tcPr>
          <w:p w14:paraId="08E23F83">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转化炉排气筒</w:t>
            </w:r>
          </w:p>
        </w:tc>
        <w:tc>
          <w:tcPr>
            <w:tcW w:w="348" w:type="pct"/>
            <w:noWrap w:val="0"/>
            <w:vAlign w:val="center"/>
          </w:tcPr>
          <w:p w14:paraId="2FD4D8B9">
            <w:pPr>
              <w:adjustRightInd w:val="0"/>
              <w:snapToGrid w:val="0"/>
              <w:jc w:val="center"/>
              <w:textAlignment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 w:val="21"/>
                <w:szCs w:val="21"/>
                <w:highlight w:val="none"/>
                <w:lang w:eastAsia="zh-CN"/>
              </w:rPr>
              <w:t>颗粒物</w:t>
            </w:r>
          </w:p>
        </w:tc>
        <w:tc>
          <w:tcPr>
            <w:tcW w:w="228" w:type="pct"/>
            <w:noWrap w:val="0"/>
            <w:vAlign w:val="center"/>
          </w:tcPr>
          <w:p w14:paraId="30A00F02">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bidi="ar"/>
              </w:rPr>
            </w:pPr>
            <w:r>
              <w:rPr>
                <w:rFonts w:hint="eastAsia" w:ascii="Times New Roman" w:hAnsi="Times New Roman" w:eastAsia="宋体" w:cs="Times New Roman"/>
                <w:color w:val="auto"/>
                <w:szCs w:val="21"/>
                <w:highlight w:val="none"/>
                <w:lang w:val="en-US" w:eastAsia="zh-CN"/>
              </w:rPr>
              <w:t>19.89</w:t>
            </w:r>
          </w:p>
        </w:tc>
        <w:tc>
          <w:tcPr>
            <w:tcW w:w="238" w:type="pct"/>
            <w:noWrap w:val="0"/>
            <w:vAlign w:val="center"/>
          </w:tcPr>
          <w:p w14:paraId="1BB2131A">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bidi="ar"/>
              </w:rPr>
            </w:pPr>
            <w:r>
              <w:rPr>
                <w:rFonts w:hint="eastAsia" w:ascii="Times New Roman" w:hAnsi="Times New Roman" w:eastAsia="宋体" w:cs="Times New Roman"/>
                <w:color w:val="auto"/>
                <w:szCs w:val="21"/>
                <w:highlight w:val="none"/>
                <w:lang w:val="en-US" w:eastAsia="zh-CN"/>
              </w:rPr>
              <w:t>0.0619</w:t>
            </w:r>
          </w:p>
        </w:tc>
        <w:tc>
          <w:tcPr>
            <w:tcW w:w="280" w:type="pct"/>
            <w:noWrap w:val="0"/>
            <w:vAlign w:val="center"/>
          </w:tcPr>
          <w:p w14:paraId="5D3BCFAD">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bidi="ar"/>
              </w:rPr>
            </w:pPr>
            <w:r>
              <w:rPr>
                <w:rFonts w:hint="eastAsia" w:ascii="Times New Roman" w:hAnsi="Times New Roman" w:eastAsia="宋体" w:cs="Times New Roman"/>
                <w:color w:val="auto"/>
                <w:szCs w:val="21"/>
                <w:highlight w:val="none"/>
                <w:lang w:val="en-US" w:eastAsia="zh-CN"/>
              </w:rPr>
              <w:t>0.4455</w:t>
            </w:r>
          </w:p>
        </w:tc>
        <w:tc>
          <w:tcPr>
            <w:tcW w:w="403" w:type="pct"/>
            <w:vMerge w:val="restart"/>
            <w:noWrap w:val="0"/>
            <w:tcMar>
              <w:left w:w="57" w:type="dxa"/>
              <w:right w:w="57" w:type="dxa"/>
            </w:tcMar>
            <w:vAlign w:val="center"/>
          </w:tcPr>
          <w:p w14:paraId="6402479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低氮燃烧器</w:t>
            </w:r>
          </w:p>
        </w:tc>
        <w:tc>
          <w:tcPr>
            <w:tcW w:w="234" w:type="pct"/>
            <w:noWrap w:val="0"/>
            <w:tcMar>
              <w:left w:w="57" w:type="dxa"/>
              <w:right w:w="57" w:type="dxa"/>
            </w:tcMar>
            <w:vAlign w:val="center"/>
          </w:tcPr>
          <w:p w14:paraId="729848E0">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209" w:type="pct"/>
            <w:noWrap w:val="0"/>
            <w:tcMar>
              <w:left w:w="57" w:type="dxa"/>
              <w:right w:w="57" w:type="dxa"/>
            </w:tcMar>
            <w:vAlign w:val="center"/>
          </w:tcPr>
          <w:p w14:paraId="58F0D627">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04314B26">
            <w:pPr>
              <w:adjustRightInd w:val="0"/>
              <w:snapToGrid w:val="0"/>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zCs w:val="21"/>
                <w:highlight w:val="none"/>
                <w:lang w:val="en-US" w:eastAsia="zh-CN"/>
              </w:rPr>
              <w:t>19.89</w:t>
            </w:r>
          </w:p>
        </w:tc>
        <w:tc>
          <w:tcPr>
            <w:tcW w:w="701" w:type="dxa"/>
            <w:noWrap w:val="0"/>
            <w:vAlign w:val="center"/>
          </w:tcPr>
          <w:p w14:paraId="47355BFC">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bidi="ar"/>
              </w:rPr>
            </w:pPr>
            <w:r>
              <w:rPr>
                <w:rFonts w:hint="eastAsia" w:ascii="Times New Roman" w:hAnsi="Times New Roman" w:eastAsia="宋体" w:cs="Times New Roman"/>
                <w:color w:val="auto"/>
                <w:szCs w:val="21"/>
                <w:highlight w:val="none"/>
                <w:lang w:val="en-US" w:eastAsia="zh-CN"/>
              </w:rPr>
              <w:t>0.0619</w:t>
            </w:r>
          </w:p>
        </w:tc>
        <w:tc>
          <w:tcPr>
            <w:tcW w:w="732" w:type="dxa"/>
            <w:noWrap w:val="0"/>
            <w:vAlign w:val="center"/>
          </w:tcPr>
          <w:p w14:paraId="2515FDE6">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bidi="ar"/>
              </w:rPr>
            </w:pPr>
            <w:r>
              <w:rPr>
                <w:rFonts w:hint="eastAsia" w:ascii="Times New Roman" w:hAnsi="Times New Roman" w:eastAsia="宋体" w:cs="Times New Roman"/>
                <w:color w:val="auto"/>
                <w:szCs w:val="21"/>
                <w:highlight w:val="none"/>
                <w:lang w:val="en-US" w:eastAsia="zh-CN"/>
              </w:rPr>
              <w:t>0.4455</w:t>
            </w:r>
          </w:p>
        </w:tc>
        <w:tc>
          <w:tcPr>
            <w:tcW w:w="179" w:type="pct"/>
            <w:noWrap w:val="0"/>
            <w:vAlign w:val="center"/>
          </w:tcPr>
          <w:p w14:paraId="00BCDD9E">
            <w:pPr>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229" w:type="pct"/>
            <w:noWrap w:val="0"/>
            <w:vAlign w:val="center"/>
          </w:tcPr>
          <w:p w14:paraId="7C9F47B9">
            <w:pPr>
              <w:widowControl/>
              <w:jc w:val="center"/>
              <w:textAlignment w:val="center"/>
              <w:rPr>
                <w:rFonts w:ascii="Times New Roman" w:hAnsi="Times New Roman" w:eastAsia="宋体" w:cs="Times New Roman"/>
                <w:color w:val="auto"/>
                <w:kern w:val="0"/>
                <w:sz w:val="21"/>
                <w:szCs w:val="21"/>
                <w:highlight w:val="none"/>
                <w:lang w:bidi="ar"/>
              </w:rPr>
            </w:pPr>
            <w:r>
              <w:rPr>
                <w:rFonts w:ascii="Times New Roman" w:hAnsi="Times New Roman" w:eastAsia="宋体" w:cs="Times New Roman"/>
                <w:color w:val="auto"/>
                <w:kern w:val="0"/>
                <w:sz w:val="21"/>
                <w:szCs w:val="21"/>
                <w:highlight w:val="none"/>
                <w:lang w:bidi="ar"/>
              </w:rPr>
              <w:t>20</w:t>
            </w:r>
          </w:p>
        </w:tc>
        <w:tc>
          <w:tcPr>
            <w:tcW w:w="240" w:type="pct"/>
            <w:vMerge w:val="restart"/>
            <w:noWrap w:val="0"/>
            <w:vAlign w:val="center"/>
          </w:tcPr>
          <w:p w14:paraId="4E605F6E">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DA0</w:t>
            </w:r>
            <w:r>
              <w:rPr>
                <w:rFonts w:hint="eastAsia" w:ascii="Times New Roman" w:hAnsi="Times New Roman" w:eastAsia="宋体" w:cs="Times New Roman"/>
                <w:color w:val="auto"/>
                <w:kern w:val="0"/>
                <w:sz w:val="21"/>
                <w:szCs w:val="21"/>
                <w:highlight w:val="none"/>
                <w:lang w:val="en-US" w:eastAsia="zh-CN" w:bidi="ar-SA"/>
              </w:rPr>
              <w:t>01</w:t>
            </w:r>
          </w:p>
        </w:tc>
        <w:tc>
          <w:tcPr>
            <w:tcW w:w="195" w:type="pct"/>
            <w:vMerge w:val="restart"/>
            <w:noWrap w:val="0"/>
            <w:vAlign w:val="center"/>
          </w:tcPr>
          <w:p w14:paraId="0E51E03C">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w:t>
            </w:r>
          </w:p>
        </w:tc>
        <w:tc>
          <w:tcPr>
            <w:tcW w:w="189" w:type="pct"/>
            <w:vMerge w:val="restart"/>
            <w:noWrap w:val="0"/>
            <w:vAlign w:val="center"/>
          </w:tcPr>
          <w:p w14:paraId="3F0B6160">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0.25</w:t>
            </w:r>
          </w:p>
        </w:tc>
        <w:tc>
          <w:tcPr>
            <w:tcW w:w="144" w:type="pct"/>
            <w:vMerge w:val="restart"/>
            <w:noWrap w:val="0"/>
            <w:vAlign w:val="center"/>
          </w:tcPr>
          <w:p w14:paraId="1AB67638">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100</w:t>
            </w:r>
          </w:p>
        </w:tc>
        <w:tc>
          <w:tcPr>
            <w:tcW w:w="322" w:type="pct"/>
            <w:vMerge w:val="restart"/>
            <w:noWrap w:val="0"/>
            <w:vAlign w:val="center"/>
          </w:tcPr>
          <w:p w14:paraId="2A3EDEB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3111.66</w:t>
            </w:r>
          </w:p>
        </w:tc>
        <w:tc>
          <w:tcPr>
            <w:tcW w:w="239" w:type="pct"/>
            <w:vMerge w:val="restart"/>
            <w:noWrap w:val="0"/>
            <w:vAlign w:val="center"/>
          </w:tcPr>
          <w:p w14:paraId="27E75ECB">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7200</w:t>
            </w:r>
          </w:p>
        </w:tc>
      </w:tr>
      <w:tr w14:paraId="049B7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67" w:hRule="atLeast"/>
          <w:jc w:val="center"/>
        </w:trPr>
        <w:tc>
          <w:tcPr>
            <w:tcW w:w="327" w:type="pct"/>
            <w:vMerge w:val="continue"/>
            <w:noWrap w:val="0"/>
            <w:vAlign w:val="center"/>
          </w:tcPr>
          <w:p w14:paraId="1E9DF2EE">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28" w:type="pct"/>
            <w:vMerge w:val="continue"/>
            <w:noWrap w:val="0"/>
            <w:vAlign w:val="center"/>
          </w:tcPr>
          <w:p w14:paraId="3BE069AA">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48" w:type="pct"/>
            <w:noWrap w:val="0"/>
            <w:vAlign w:val="center"/>
          </w:tcPr>
          <w:p w14:paraId="68D940E2">
            <w:pPr>
              <w:adjustRightInd w:val="0"/>
              <w:snapToGrid w:val="0"/>
              <w:jc w:val="center"/>
              <w:textAlignment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 w:val="21"/>
                <w:szCs w:val="21"/>
                <w:highlight w:val="none"/>
                <w:lang w:val="en-US" w:eastAsia="zh-CN"/>
              </w:rPr>
              <w:t>NOx</w:t>
            </w:r>
          </w:p>
        </w:tc>
        <w:tc>
          <w:tcPr>
            <w:tcW w:w="228" w:type="pct"/>
            <w:noWrap w:val="0"/>
            <w:vAlign w:val="center"/>
          </w:tcPr>
          <w:p w14:paraId="3BCE72BE">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bidi="ar"/>
              </w:rPr>
            </w:pPr>
            <w:r>
              <w:rPr>
                <w:rFonts w:hint="eastAsia" w:ascii="Times New Roman" w:hAnsi="Times New Roman" w:eastAsia="宋体" w:cs="Times New Roman"/>
                <w:color w:val="auto"/>
                <w:szCs w:val="21"/>
                <w:highlight w:val="none"/>
                <w:lang w:val="en-US" w:eastAsia="zh-CN"/>
              </w:rPr>
              <w:t>130.02</w:t>
            </w:r>
          </w:p>
        </w:tc>
        <w:tc>
          <w:tcPr>
            <w:tcW w:w="238" w:type="pct"/>
            <w:noWrap w:val="0"/>
            <w:vAlign w:val="center"/>
          </w:tcPr>
          <w:p w14:paraId="2F2F1CA7">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0.4046</w:t>
            </w:r>
          </w:p>
        </w:tc>
        <w:tc>
          <w:tcPr>
            <w:tcW w:w="280" w:type="pct"/>
            <w:noWrap w:val="0"/>
            <w:vAlign w:val="center"/>
          </w:tcPr>
          <w:p w14:paraId="1B4F1A88">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2.9129</w:t>
            </w:r>
          </w:p>
        </w:tc>
        <w:tc>
          <w:tcPr>
            <w:tcW w:w="403" w:type="pct"/>
            <w:vMerge w:val="continue"/>
            <w:noWrap w:val="0"/>
            <w:vAlign w:val="center"/>
          </w:tcPr>
          <w:p w14:paraId="5BED9242">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4" w:type="pct"/>
            <w:noWrap w:val="0"/>
            <w:vAlign w:val="center"/>
          </w:tcPr>
          <w:p w14:paraId="614D9E2B">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50</w:t>
            </w:r>
            <w:r>
              <w:rPr>
                <w:rFonts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7200916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250" w:type="pct"/>
            <w:noWrap w:val="0"/>
            <w:vAlign w:val="center"/>
          </w:tcPr>
          <w:p w14:paraId="7422944E">
            <w:pPr>
              <w:adjustRightInd w:val="0"/>
              <w:snapToGrid w:val="0"/>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zCs w:val="21"/>
                <w:highlight w:val="none"/>
                <w:lang w:val="en-US" w:eastAsia="zh-CN"/>
              </w:rPr>
              <w:t>65.01</w:t>
            </w:r>
          </w:p>
        </w:tc>
        <w:tc>
          <w:tcPr>
            <w:tcW w:w="250" w:type="pct"/>
            <w:noWrap w:val="0"/>
            <w:vAlign w:val="center"/>
          </w:tcPr>
          <w:p w14:paraId="706D37C3">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0.2023</w:t>
            </w:r>
          </w:p>
        </w:tc>
        <w:tc>
          <w:tcPr>
            <w:tcW w:w="261" w:type="pct"/>
            <w:noWrap w:val="0"/>
            <w:vAlign w:val="center"/>
          </w:tcPr>
          <w:p w14:paraId="25F581A2">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1.4565</w:t>
            </w:r>
          </w:p>
        </w:tc>
        <w:tc>
          <w:tcPr>
            <w:tcW w:w="179" w:type="pct"/>
            <w:noWrap w:val="0"/>
            <w:vAlign w:val="center"/>
          </w:tcPr>
          <w:p w14:paraId="06761E30">
            <w:pPr>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Cs w:val="21"/>
                <w:highlight w:val="none"/>
                <w:lang w:val="en-US" w:eastAsia="zh-CN"/>
              </w:rPr>
              <w:t>/</w:t>
            </w:r>
          </w:p>
        </w:tc>
        <w:tc>
          <w:tcPr>
            <w:tcW w:w="229" w:type="pct"/>
            <w:noWrap w:val="0"/>
            <w:vAlign w:val="center"/>
          </w:tcPr>
          <w:p w14:paraId="5A807685">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100</w:t>
            </w:r>
          </w:p>
        </w:tc>
        <w:tc>
          <w:tcPr>
            <w:tcW w:w="240" w:type="pct"/>
            <w:vMerge w:val="continue"/>
            <w:noWrap w:val="0"/>
            <w:vAlign w:val="center"/>
          </w:tcPr>
          <w:p w14:paraId="0A9539D3">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95" w:type="pct"/>
            <w:vMerge w:val="continue"/>
            <w:noWrap w:val="0"/>
            <w:vAlign w:val="center"/>
          </w:tcPr>
          <w:p w14:paraId="6E3E234C">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89" w:type="pct"/>
            <w:vMerge w:val="continue"/>
            <w:noWrap w:val="0"/>
            <w:vAlign w:val="center"/>
          </w:tcPr>
          <w:p w14:paraId="45ACF11E">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44" w:type="pct"/>
            <w:vMerge w:val="continue"/>
            <w:noWrap w:val="0"/>
            <w:vAlign w:val="center"/>
          </w:tcPr>
          <w:p w14:paraId="44D2767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22" w:type="pct"/>
            <w:vMerge w:val="continue"/>
            <w:noWrap w:val="0"/>
            <w:vAlign w:val="center"/>
          </w:tcPr>
          <w:p w14:paraId="6E0ACB8A">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9" w:type="pct"/>
            <w:vMerge w:val="continue"/>
            <w:noWrap w:val="0"/>
            <w:vAlign w:val="center"/>
          </w:tcPr>
          <w:p w14:paraId="50DD70EA">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r>
      <w:tr w14:paraId="1A82A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15" w:hRule="atLeast"/>
          <w:jc w:val="center"/>
        </w:trPr>
        <w:tc>
          <w:tcPr>
            <w:tcW w:w="327" w:type="pct"/>
            <w:vMerge w:val="continue"/>
            <w:noWrap w:val="0"/>
            <w:vAlign w:val="center"/>
          </w:tcPr>
          <w:p w14:paraId="411C64D7">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28" w:type="pct"/>
            <w:vMerge w:val="continue"/>
            <w:noWrap w:val="0"/>
            <w:vAlign w:val="center"/>
          </w:tcPr>
          <w:p w14:paraId="3B4EDF56">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48" w:type="pct"/>
            <w:noWrap w:val="0"/>
            <w:vAlign w:val="center"/>
          </w:tcPr>
          <w:p w14:paraId="05FAA6BC">
            <w:pPr>
              <w:adjustRightInd w:val="0"/>
              <w:snapToGrid w:val="0"/>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p>
        </w:tc>
        <w:tc>
          <w:tcPr>
            <w:tcW w:w="228" w:type="pct"/>
            <w:noWrap w:val="0"/>
            <w:vAlign w:val="center"/>
          </w:tcPr>
          <w:p w14:paraId="5081CC21">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2.57</w:t>
            </w:r>
          </w:p>
        </w:tc>
        <w:tc>
          <w:tcPr>
            <w:tcW w:w="238" w:type="pct"/>
            <w:noWrap w:val="0"/>
            <w:vAlign w:val="center"/>
          </w:tcPr>
          <w:p w14:paraId="34F27959">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0.008</w:t>
            </w:r>
          </w:p>
        </w:tc>
        <w:tc>
          <w:tcPr>
            <w:tcW w:w="280" w:type="pct"/>
            <w:noWrap w:val="0"/>
            <w:vAlign w:val="center"/>
          </w:tcPr>
          <w:p w14:paraId="0C814921">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0.06</w:t>
            </w:r>
          </w:p>
        </w:tc>
        <w:tc>
          <w:tcPr>
            <w:tcW w:w="403" w:type="pct"/>
            <w:vMerge w:val="continue"/>
            <w:noWrap w:val="0"/>
            <w:vAlign w:val="center"/>
          </w:tcPr>
          <w:p w14:paraId="6E8A4A6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4" w:type="pct"/>
            <w:noWrap w:val="0"/>
            <w:vAlign w:val="center"/>
          </w:tcPr>
          <w:p w14:paraId="22ADECD0">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5D86A2E3">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3FA4FBA7">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2.57</w:t>
            </w:r>
          </w:p>
        </w:tc>
        <w:tc>
          <w:tcPr>
            <w:tcW w:w="701" w:type="dxa"/>
            <w:noWrap w:val="0"/>
            <w:vAlign w:val="center"/>
          </w:tcPr>
          <w:p w14:paraId="6319A605">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0.008</w:t>
            </w:r>
          </w:p>
        </w:tc>
        <w:tc>
          <w:tcPr>
            <w:tcW w:w="732" w:type="dxa"/>
            <w:noWrap w:val="0"/>
            <w:vAlign w:val="center"/>
          </w:tcPr>
          <w:p w14:paraId="32321B75">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0.06</w:t>
            </w:r>
          </w:p>
        </w:tc>
        <w:tc>
          <w:tcPr>
            <w:tcW w:w="179" w:type="pct"/>
            <w:noWrap w:val="0"/>
            <w:vAlign w:val="center"/>
          </w:tcPr>
          <w:p w14:paraId="2A3DBD8B">
            <w:pPr>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w:t>
            </w:r>
          </w:p>
        </w:tc>
        <w:tc>
          <w:tcPr>
            <w:tcW w:w="229" w:type="pct"/>
            <w:noWrap w:val="0"/>
            <w:vAlign w:val="center"/>
          </w:tcPr>
          <w:p w14:paraId="04E23A94">
            <w:pPr>
              <w:widowControl/>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 w:val="21"/>
                <w:szCs w:val="21"/>
                <w:highlight w:val="none"/>
                <w:lang w:val="en-US" w:eastAsia="zh-CN"/>
              </w:rPr>
              <w:t>50</w:t>
            </w:r>
          </w:p>
        </w:tc>
        <w:tc>
          <w:tcPr>
            <w:tcW w:w="240" w:type="pct"/>
            <w:vMerge w:val="continue"/>
            <w:noWrap w:val="0"/>
            <w:vAlign w:val="center"/>
          </w:tcPr>
          <w:p w14:paraId="4BEFE742">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95" w:type="pct"/>
            <w:vMerge w:val="continue"/>
            <w:noWrap w:val="0"/>
            <w:vAlign w:val="center"/>
          </w:tcPr>
          <w:p w14:paraId="20BB27E8">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89" w:type="pct"/>
            <w:vMerge w:val="continue"/>
            <w:noWrap w:val="0"/>
            <w:vAlign w:val="center"/>
          </w:tcPr>
          <w:p w14:paraId="07368624">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44" w:type="pct"/>
            <w:vMerge w:val="continue"/>
            <w:noWrap w:val="0"/>
            <w:vAlign w:val="center"/>
          </w:tcPr>
          <w:p w14:paraId="2CEFBF33">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22" w:type="pct"/>
            <w:vMerge w:val="continue"/>
            <w:noWrap w:val="0"/>
            <w:vAlign w:val="center"/>
          </w:tcPr>
          <w:p w14:paraId="7B97BB9D">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9" w:type="pct"/>
            <w:vMerge w:val="continue"/>
            <w:noWrap w:val="0"/>
            <w:vAlign w:val="center"/>
          </w:tcPr>
          <w:p w14:paraId="57D19D80">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r>
      <w:tr w14:paraId="044AD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46" w:hRule="atLeast"/>
          <w:jc w:val="center"/>
        </w:trPr>
        <w:tc>
          <w:tcPr>
            <w:tcW w:w="327" w:type="pct"/>
            <w:vMerge w:val="continue"/>
            <w:noWrap w:val="0"/>
            <w:vAlign w:val="center"/>
          </w:tcPr>
          <w:p w14:paraId="7A3F4483">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28" w:type="pct"/>
            <w:vMerge w:val="continue"/>
            <w:noWrap w:val="0"/>
            <w:vAlign w:val="center"/>
          </w:tcPr>
          <w:p w14:paraId="49C98073">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48" w:type="pct"/>
            <w:noWrap w:val="0"/>
            <w:vAlign w:val="center"/>
          </w:tcPr>
          <w:p w14:paraId="6A238758">
            <w:pPr>
              <w:adjustRightInd w:val="0"/>
              <w:snapToGrid w:val="0"/>
              <w:jc w:val="center"/>
              <w:textAlignment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非甲烷总烃</w:t>
            </w:r>
          </w:p>
        </w:tc>
        <w:tc>
          <w:tcPr>
            <w:tcW w:w="228" w:type="pct"/>
            <w:noWrap w:val="0"/>
            <w:vAlign w:val="center"/>
          </w:tcPr>
          <w:p w14:paraId="11BE3638">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9.64</w:t>
            </w:r>
          </w:p>
        </w:tc>
        <w:tc>
          <w:tcPr>
            <w:tcW w:w="238" w:type="pct"/>
            <w:noWrap w:val="0"/>
            <w:vAlign w:val="center"/>
          </w:tcPr>
          <w:p w14:paraId="60E6F8CF">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0.03</w:t>
            </w:r>
          </w:p>
        </w:tc>
        <w:tc>
          <w:tcPr>
            <w:tcW w:w="280" w:type="pct"/>
            <w:noWrap w:val="0"/>
            <w:vAlign w:val="center"/>
          </w:tcPr>
          <w:p w14:paraId="2F85F9D1">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0.215</w:t>
            </w:r>
          </w:p>
        </w:tc>
        <w:tc>
          <w:tcPr>
            <w:tcW w:w="403" w:type="pct"/>
            <w:vMerge w:val="continue"/>
            <w:noWrap w:val="0"/>
            <w:vAlign w:val="center"/>
          </w:tcPr>
          <w:p w14:paraId="1C31CCFC">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4" w:type="pct"/>
            <w:noWrap w:val="0"/>
            <w:vAlign w:val="center"/>
          </w:tcPr>
          <w:p w14:paraId="0A851EA9">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0B7B6E3D">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72E2A3A4">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9.64</w:t>
            </w:r>
          </w:p>
        </w:tc>
        <w:tc>
          <w:tcPr>
            <w:tcW w:w="701" w:type="dxa"/>
            <w:noWrap w:val="0"/>
            <w:vAlign w:val="center"/>
          </w:tcPr>
          <w:p w14:paraId="54928E49">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0.03</w:t>
            </w:r>
          </w:p>
        </w:tc>
        <w:tc>
          <w:tcPr>
            <w:tcW w:w="732" w:type="dxa"/>
            <w:noWrap w:val="0"/>
            <w:vAlign w:val="center"/>
          </w:tcPr>
          <w:p w14:paraId="6E5325C4">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0.215</w:t>
            </w:r>
          </w:p>
        </w:tc>
        <w:tc>
          <w:tcPr>
            <w:tcW w:w="179" w:type="pct"/>
            <w:noWrap w:val="0"/>
            <w:vAlign w:val="center"/>
          </w:tcPr>
          <w:p w14:paraId="24C1C67A">
            <w:pPr>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w:t>
            </w:r>
          </w:p>
        </w:tc>
        <w:tc>
          <w:tcPr>
            <w:tcW w:w="229" w:type="pct"/>
            <w:noWrap w:val="0"/>
            <w:vAlign w:val="center"/>
          </w:tcPr>
          <w:p w14:paraId="07A74BB5">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240" w:type="pct"/>
            <w:vMerge w:val="continue"/>
            <w:noWrap w:val="0"/>
            <w:vAlign w:val="center"/>
          </w:tcPr>
          <w:p w14:paraId="7DC4E68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95" w:type="pct"/>
            <w:vMerge w:val="continue"/>
            <w:noWrap w:val="0"/>
            <w:vAlign w:val="center"/>
          </w:tcPr>
          <w:p w14:paraId="5CE7B0CE">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89" w:type="pct"/>
            <w:vMerge w:val="continue"/>
            <w:noWrap w:val="0"/>
            <w:vAlign w:val="center"/>
          </w:tcPr>
          <w:p w14:paraId="1D6DC6EA">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44" w:type="pct"/>
            <w:vMerge w:val="continue"/>
            <w:noWrap w:val="0"/>
            <w:vAlign w:val="center"/>
          </w:tcPr>
          <w:p w14:paraId="27A60900">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22" w:type="pct"/>
            <w:vMerge w:val="continue"/>
            <w:noWrap w:val="0"/>
            <w:vAlign w:val="center"/>
          </w:tcPr>
          <w:p w14:paraId="4C0D5CC0">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9" w:type="pct"/>
            <w:vMerge w:val="continue"/>
            <w:noWrap w:val="0"/>
            <w:vAlign w:val="center"/>
          </w:tcPr>
          <w:p w14:paraId="103FE6A6">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r>
      <w:tr w14:paraId="6658A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7" w:hRule="atLeast"/>
          <w:jc w:val="center"/>
        </w:trPr>
        <w:tc>
          <w:tcPr>
            <w:tcW w:w="327" w:type="pct"/>
            <w:vMerge w:val="restart"/>
            <w:noWrap w:val="0"/>
            <w:vAlign w:val="center"/>
          </w:tcPr>
          <w:p w14:paraId="3D921C34">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500Nm</w:t>
            </w:r>
            <w:r>
              <w:rPr>
                <w:rFonts w:hint="eastAsia" w:ascii="Times New Roman" w:hAnsi="Times New Roman" w:eastAsia="宋体" w:cs="Times New Roman"/>
                <w:color w:val="auto"/>
                <w:szCs w:val="21"/>
                <w:highlight w:val="none"/>
                <w:vertAlign w:val="superscript"/>
                <w:lang w:val="en-US" w:eastAsia="zh-CN"/>
              </w:rPr>
              <w:t>3</w:t>
            </w:r>
            <w:r>
              <w:rPr>
                <w:rFonts w:hint="eastAsia" w:ascii="Times New Roman" w:hAnsi="Times New Roman" w:eastAsia="宋体" w:cs="Times New Roman"/>
                <w:color w:val="auto"/>
                <w:szCs w:val="21"/>
                <w:highlight w:val="none"/>
                <w:lang w:val="en-US" w:eastAsia="zh-CN"/>
              </w:rPr>
              <w:t>/h制氢装置</w:t>
            </w:r>
          </w:p>
        </w:tc>
        <w:tc>
          <w:tcPr>
            <w:tcW w:w="228" w:type="pct"/>
            <w:vMerge w:val="restart"/>
            <w:noWrap w:val="0"/>
            <w:vAlign w:val="center"/>
          </w:tcPr>
          <w:p w14:paraId="7EF5CF82">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转化炉排气筒</w:t>
            </w:r>
          </w:p>
        </w:tc>
        <w:tc>
          <w:tcPr>
            <w:tcW w:w="348" w:type="pct"/>
            <w:noWrap w:val="0"/>
            <w:vAlign w:val="center"/>
          </w:tcPr>
          <w:p w14:paraId="1DC401E5">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颗粒物</w:t>
            </w:r>
          </w:p>
        </w:tc>
        <w:tc>
          <w:tcPr>
            <w:tcW w:w="638" w:type="dxa"/>
            <w:noWrap w:val="0"/>
            <w:vAlign w:val="center"/>
          </w:tcPr>
          <w:p w14:paraId="3A52DCF9">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19.89</w:t>
            </w:r>
          </w:p>
        </w:tc>
        <w:tc>
          <w:tcPr>
            <w:tcW w:w="666" w:type="dxa"/>
            <w:noWrap w:val="0"/>
            <w:vAlign w:val="center"/>
          </w:tcPr>
          <w:p w14:paraId="797D230F">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0.0619</w:t>
            </w:r>
          </w:p>
        </w:tc>
        <w:tc>
          <w:tcPr>
            <w:tcW w:w="787" w:type="dxa"/>
            <w:noWrap w:val="0"/>
            <w:vAlign w:val="center"/>
          </w:tcPr>
          <w:p w14:paraId="1461F600">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0.4455</w:t>
            </w:r>
          </w:p>
        </w:tc>
        <w:tc>
          <w:tcPr>
            <w:tcW w:w="403" w:type="pct"/>
            <w:vMerge w:val="restart"/>
            <w:noWrap w:val="0"/>
            <w:vAlign w:val="center"/>
          </w:tcPr>
          <w:p w14:paraId="5ABF9698">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低氮燃烧器</w:t>
            </w:r>
          </w:p>
        </w:tc>
        <w:tc>
          <w:tcPr>
            <w:tcW w:w="234" w:type="pct"/>
            <w:noWrap w:val="0"/>
            <w:vAlign w:val="center"/>
          </w:tcPr>
          <w:p w14:paraId="601C2E97">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750B77F8">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2709F348">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19.89</w:t>
            </w:r>
          </w:p>
        </w:tc>
        <w:tc>
          <w:tcPr>
            <w:tcW w:w="701" w:type="dxa"/>
            <w:noWrap w:val="0"/>
            <w:vAlign w:val="center"/>
          </w:tcPr>
          <w:p w14:paraId="325A1FB2">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0.0619</w:t>
            </w:r>
          </w:p>
        </w:tc>
        <w:tc>
          <w:tcPr>
            <w:tcW w:w="732" w:type="dxa"/>
            <w:noWrap w:val="0"/>
            <w:vAlign w:val="center"/>
          </w:tcPr>
          <w:p w14:paraId="2DA84580">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0.4455</w:t>
            </w:r>
          </w:p>
        </w:tc>
        <w:tc>
          <w:tcPr>
            <w:tcW w:w="179" w:type="pct"/>
            <w:noWrap w:val="0"/>
            <w:vAlign w:val="center"/>
          </w:tcPr>
          <w:p w14:paraId="4888F584">
            <w:pPr>
              <w:jc w:val="center"/>
              <w:textAlignment w:val="center"/>
              <w:rPr>
                <w:rFonts w:hint="default"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229" w:type="pct"/>
            <w:noWrap w:val="0"/>
            <w:vAlign w:val="center"/>
          </w:tcPr>
          <w:p w14:paraId="37022B39">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kern w:val="0"/>
                <w:sz w:val="21"/>
                <w:szCs w:val="21"/>
                <w:highlight w:val="none"/>
                <w:lang w:bidi="ar"/>
              </w:rPr>
              <w:t>20</w:t>
            </w:r>
          </w:p>
        </w:tc>
        <w:tc>
          <w:tcPr>
            <w:tcW w:w="240" w:type="pct"/>
            <w:vMerge w:val="restart"/>
            <w:noWrap w:val="0"/>
            <w:vAlign w:val="center"/>
          </w:tcPr>
          <w:p w14:paraId="693FDA1D">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DA002</w:t>
            </w:r>
          </w:p>
        </w:tc>
        <w:tc>
          <w:tcPr>
            <w:tcW w:w="195" w:type="pct"/>
            <w:vMerge w:val="restart"/>
            <w:noWrap w:val="0"/>
            <w:vAlign w:val="center"/>
          </w:tcPr>
          <w:p w14:paraId="5D76040F">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w:t>
            </w:r>
          </w:p>
        </w:tc>
        <w:tc>
          <w:tcPr>
            <w:tcW w:w="189" w:type="pct"/>
            <w:vMerge w:val="restart"/>
            <w:noWrap w:val="0"/>
            <w:vAlign w:val="center"/>
          </w:tcPr>
          <w:p w14:paraId="0DF181BA">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0.25</w:t>
            </w:r>
          </w:p>
        </w:tc>
        <w:tc>
          <w:tcPr>
            <w:tcW w:w="144" w:type="pct"/>
            <w:vMerge w:val="restart"/>
            <w:noWrap w:val="0"/>
            <w:vAlign w:val="center"/>
          </w:tcPr>
          <w:p w14:paraId="36DD6588">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100</w:t>
            </w:r>
          </w:p>
        </w:tc>
        <w:tc>
          <w:tcPr>
            <w:tcW w:w="322" w:type="pct"/>
            <w:vMerge w:val="restart"/>
            <w:noWrap w:val="0"/>
            <w:vAlign w:val="center"/>
          </w:tcPr>
          <w:p w14:paraId="2A140B77">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3111.66</w:t>
            </w:r>
          </w:p>
        </w:tc>
        <w:tc>
          <w:tcPr>
            <w:tcW w:w="239" w:type="pct"/>
            <w:vMerge w:val="restart"/>
            <w:noWrap w:val="0"/>
            <w:vAlign w:val="center"/>
          </w:tcPr>
          <w:p w14:paraId="43AE68A1">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7200</w:t>
            </w:r>
          </w:p>
        </w:tc>
      </w:tr>
      <w:tr w14:paraId="2414E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67" w:hRule="atLeast"/>
          <w:jc w:val="center"/>
        </w:trPr>
        <w:tc>
          <w:tcPr>
            <w:tcW w:w="327" w:type="pct"/>
            <w:vMerge w:val="continue"/>
            <w:noWrap w:val="0"/>
            <w:vAlign w:val="center"/>
          </w:tcPr>
          <w:p w14:paraId="72705B28">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28" w:type="pct"/>
            <w:vMerge w:val="continue"/>
            <w:noWrap w:val="0"/>
            <w:vAlign w:val="center"/>
          </w:tcPr>
          <w:p w14:paraId="2BBEF5FE">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48" w:type="pct"/>
            <w:noWrap w:val="0"/>
            <w:vAlign w:val="center"/>
          </w:tcPr>
          <w:p w14:paraId="0BF0EE57">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NOx</w:t>
            </w:r>
          </w:p>
        </w:tc>
        <w:tc>
          <w:tcPr>
            <w:tcW w:w="638" w:type="dxa"/>
            <w:noWrap w:val="0"/>
            <w:vAlign w:val="center"/>
          </w:tcPr>
          <w:p w14:paraId="7530A841">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130.02</w:t>
            </w:r>
          </w:p>
        </w:tc>
        <w:tc>
          <w:tcPr>
            <w:tcW w:w="666" w:type="dxa"/>
            <w:noWrap w:val="0"/>
            <w:vAlign w:val="center"/>
          </w:tcPr>
          <w:p w14:paraId="6A88B66E">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0.4046</w:t>
            </w:r>
          </w:p>
        </w:tc>
        <w:tc>
          <w:tcPr>
            <w:tcW w:w="787" w:type="dxa"/>
            <w:noWrap w:val="0"/>
            <w:vAlign w:val="center"/>
          </w:tcPr>
          <w:p w14:paraId="731A1F3A">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2.9129</w:t>
            </w:r>
          </w:p>
        </w:tc>
        <w:tc>
          <w:tcPr>
            <w:tcW w:w="403" w:type="pct"/>
            <w:vMerge w:val="continue"/>
            <w:noWrap w:val="0"/>
            <w:vAlign w:val="center"/>
          </w:tcPr>
          <w:p w14:paraId="789CC93F">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4" w:type="pct"/>
            <w:noWrap w:val="0"/>
            <w:vAlign w:val="center"/>
          </w:tcPr>
          <w:p w14:paraId="5C16639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50</w:t>
            </w:r>
            <w:r>
              <w:rPr>
                <w:rFonts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04E8EB55">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42C4AE5A">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65.01</w:t>
            </w:r>
          </w:p>
        </w:tc>
        <w:tc>
          <w:tcPr>
            <w:tcW w:w="701" w:type="dxa"/>
            <w:noWrap w:val="0"/>
            <w:vAlign w:val="center"/>
          </w:tcPr>
          <w:p w14:paraId="42E8AF9D">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0.2023</w:t>
            </w:r>
          </w:p>
        </w:tc>
        <w:tc>
          <w:tcPr>
            <w:tcW w:w="732" w:type="dxa"/>
            <w:noWrap w:val="0"/>
            <w:vAlign w:val="center"/>
          </w:tcPr>
          <w:p w14:paraId="6705E0B6">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1.4565</w:t>
            </w:r>
          </w:p>
        </w:tc>
        <w:tc>
          <w:tcPr>
            <w:tcW w:w="179" w:type="pct"/>
            <w:noWrap w:val="0"/>
            <w:vAlign w:val="center"/>
          </w:tcPr>
          <w:p w14:paraId="48CC9DAF">
            <w:pPr>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w:t>
            </w:r>
          </w:p>
        </w:tc>
        <w:tc>
          <w:tcPr>
            <w:tcW w:w="229" w:type="pct"/>
            <w:noWrap w:val="0"/>
            <w:vAlign w:val="center"/>
          </w:tcPr>
          <w:p w14:paraId="43C70921">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240" w:type="pct"/>
            <w:vMerge w:val="continue"/>
            <w:noWrap w:val="0"/>
            <w:vAlign w:val="center"/>
          </w:tcPr>
          <w:p w14:paraId="53DF3228">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95" w:type="pct"/>
            <w:vMerge w:val="continue"/>
            <w:noWrap w:val="0"/>
            <w:vAlign w:val="center"/>
          </w:tcPr>
          <w:p w14:paraId="1AD32CDE">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89" w:type="pct"/>
            <w:vMerge w:val="continue"/>
            <w:noWrap w:val="0"/>
            <w:vAlign w:val="center"/>
          </w:tcPr>
          <w:p w14:paraId="3AD16C16">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44" w:type="pct"/>
            <w:vMerge w:val="continue"/>
            <w:noWrap w:val="0"/>
            <w:vAlign w:val="center"/>
          </w:tcPr>
          <w:p w14:paraId="0346A9FF">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22" w:type="pct"/>
            <w:vMerge w:val="continue"/>
            <w:noWrap w:val="0"/>
            <w:vAlign w:val="center"/>
          </w:tcPr>
          <w:p w14:paraId="04A4F3F6">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9" w:type="pct"/>
            <w:vMerge w:val="continue"/>
            <w:noWrap w:val="0"/>
            <w:vAlign w:val="center"/>
          </w:tcPr>
          <w:p w14:paraId="04A00A98">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p>
        </w:tc>
      </w:tr>
      <w:tr w14:paraId="3AB09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6" w:hRule="atLeast"/>
          <w:jc w:val="center"/>
        </w:trPr>
        <w:tc>
          <w:tcPr>
            <w:tcW w:w="327" w:type="pct"/>
            <w:vMerge w:val="continue"/>
            <w:noWrap w:val="0"/>
            <w:vAlign w:val="center"/>
          </w:tcPr>
          <w:p w14:paraId="1A03DEB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28" w:type="pct"/>
            <w:vMerge w:val="continue"/>
            <w:noWrap w:val="0"/>
            <w:vAlign w:val="center"/>
          </w:tcPr>
          <w:p w14:paraId="6B41512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48" w:type="pct"/>
            <w:noWrap w:val="0"/>
            <w:vAlign w:val="center"/>
          </w:tcPr>
          <w:p w14:paraId="59433885">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p>
        </w:tc>
        <w:tc>
          <w:tcPr>
            <w:tcW w:w="638" w:type="dxa"/>
            <w:noWrap w:val="0"/>
            <w:vAlign w:val="center"/>
          </w:tcPr>
          <w:p w14:paraId="127CA948">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2.57</w:t>
            </w:r>
          </w:p>
        </w:tc>
        <w:tc>
          <w:tcPr>
            <w:tcW w:w="666" w:type="dxa"/>
            <w:noWrap w:val="0"/>
            <w:vAlign w:val="center"/>
          </w:tcPr>
          <w:p w14:paraId="66CD9974">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0.008</w:t>
            </w:r>
          </w:p>
        </w:tc>
        <w:tc>
          <w:tcPr>
            <w:tcW w:w="787" w:type="dxa"/>
            <w:noWrap w:val="0"/>
            <w:vAlign w:val="center"/>
          </w:tcPr>
          <w:p w14:paraId="124F47E9">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0.06</w:t>
            </w:r>
          </w:p>
        </w:tc>
        <w:tc>
          <w:tcPr>
            <w:tcW w:w="403" w:type="pct"/>
            <w:vMerge w:val="continue"/>
            <w:noWrap w:val="0"/>
            <w:vAlign w:val="center"/>
          </w:tcPr>
          <w:p w14:paraId="4381A62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4" w:type="pct"/>
            <w:noWrap w:val="0"/>
            <w:vAlign w:val="center"/>
          </w:tcPr>
          <w:p w14:paraId="40E58981">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3DFDB64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52FCA389">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2.57</w:t>
            </w:r>
          </w:p>
        </w:tc>
        <w:tc>
          <w:tcPr>
            <w:tcW w:w="701" w:type="dxa"/>
            <w:noWrap w:val="0"/>
            <w:vAlign w:val="center"/>
          </w:tcPr>
          <w:p w14:paraId="70ACDDD5">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0.008</w:t>
            </w:r>
          </w:p>
        </w:tc>
        <w:tc>
          <w:tcPr>
            <w:tcW w:w="732" w:type="dxa"/>
            <w:noWrap w:val="0"/>
            <w:vAlign w:val="center"/>
          </w:tcPr>
          <w:p w14:paraId="022E9C0D">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0.06</w:t>
            </w:r>
          </w:p>
        </w:tc>
        <w:tc>
          <w:tcPr>
            <w:tcW w:w="179" w:type="pct"/>
            <w:noWrap w:val="0"/>
            <w:vAlign w:val="center"/>
          </w:tcPr>
          <w:p w14:paraId="3E37C36C">
            <w:pPr>
              <w:jc w:val="center"/>
              <w:textAlignment w:val="center"/>
              <w:rPr>
                <w:rFonts w:hint="default"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w:t>
            </w:r>
          </w:p>
        </w:tc>
        <w:tc>
          <w:tcPr>
            <w:tcW w:w="229" w:type="pct"/>
            <w:noWrap w:val="0"/>
            <w:vAlign w:val="center"/>
          </w:tcPr>
          <w:p w14:paraId="47A4F73B">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240" w:type="pct"/>
            <w:vMerge w:val="continue"/>
            <w:noWrap w:val="0"/>
            <w:vAlign w:val="center"/>
          </w:tcPr>
          <w:p w14:paraId="44C17F76">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95" w:type="pct"/>
            <w:vMerge w:val="continue"/>
            <w:noWrap w:val="0"/>
            <w:vAlign w:val="center"/>
          </w:tcPr>
          <w:p w14:paraId="68CBC9FF">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89" w:type="pct"/>
            <w:vMerge w:val="continue"/>
            <w:noWrap w:val="0"/>
            <w:vAlign w:val="center"/>
          </w:tcPr>
          <w:p w14:paraId="2C9BF155">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44" w:type="pct"/>
            <w:vMerge w:val="continue"/>
            <w:noWrap w:val="0"/>
            <w:vAlign w:val="center"/>
          </w:tcPr>
          <w:p w14:paraId="513CD232">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22" w:type="pct"/>
            <w:vMerge w:val="continue"/>
            <w:noWrap w:val="0"/>
            <w:vAlign w:val="center"/>
          </w:tcPr>
          <w:p w14:paraId="02C5948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9" w:type="pct"/>
            <w:vMerge w:val="continue"/>
            <w:noWrap w:val="0"/>
            <w:vAlign w:val="center"/>
          </w:tcPr>
          <w:p w14:paraId="45FE6720">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r>
      <w:tr w14:paraId="712A9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74" w:hRule="atLeast"/>
          <w:jc w:val="center"/>
        </w:trPr>
        <w:tc>
          <w:tcPr>
            <w:tcW w:w="327" w:type="pct"/>
            <w:vMerge w:val="continue"/>
            <w:noWrap w:val="0"/>
            <w:vAlign w:val="center"/>
          </w:tcPr>
          <w:p w14:paraId="046C136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28" w:type="pct"/>
            <w:vMerge w:val="continue"/>
            <w:noWrap w:val="0"/>
            <w:vAlign w:val="center"/>
          </w:tcPr>
          <w:p w14:paraId="35387D7D">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48" w:type="pct"/>
            <w:noWrap w:val="0"/>
            <w:vAlign w:val="center"/>
          </w:tcPr>
          <w:p w14:paraId="3BE4E7AE">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非甲烷总烃</w:t>
            </w:r>
          </w:p>
        </w:tc>
        <w:tc>
          <w:tcPr>
            <w:tcW w:w="638" w:type="dxa"/>
            <w:noWrap w:val="0"/>
            <w:vAlign w:val="center"/>
          </w:tcPr>
          <w:p w14:paraId="758E3D73">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9.64</w:t>
            </w:r>
          </w:p>
        </w:tc>
        <w:tc>
          <w:tcPr>
            <w:tcW w:w="666" w:type="dxa"/>
            <w:noWrap w:val="0"/>
            <w:vAlign w:val="center"/>
          </w:tcPr>
          <w:p w14:paraId="29B10703">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0.03</w:t>
            </w:r>
          </w:p>
        </w:tc>
        <w:tc>
          <w:tcPr>
            <w:tcW w:w="787" w:type="dxa"/>
            <w:noWrap w:val="0"/>
            <w:vAlign w:val="center"/>
          </w:tcPr>
          <w:p w14:paraId="087427BB">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0.215</w:t>
            </w:r>
          </w:p>
        </w:tc>
        <w:tc>
          <w:tcPr>
            <w:tcW w:w="403" w:type="pct"/>
            <w:vMerge w:val="continue"/>
            <w:noWrap w:val="0"/>
            <w:vAlign w:val="center"/>
          </w:tcPr>
          <w:p w14:paraId="5FFC32AE">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234" w:type="pct"/>
            <w:noWrap w:val="0"/>
            <w:vAlign w:val="center"/>
          </w:tcPr>
          <w:p w14:paraId="2B38741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085432C7">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7C619704">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9.64</w:t>
            </w:r>
          </w:p>
        </w:tc>
        <w:tc>
          <w:tcPr>
            <w:tcW w:w="701" w:type="dxa"/>
            <w:noWrap w:val="0"/>
            <w:vAlign w:val="center"/>
          </w:tcPr>
          <w:p w14:paraId="04571198">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0.03</w:t>
            </w:r>
          </w:p>
        </w:tc>
        <w:tc>
          <w:tcPr>
            <w:tcW w:w="732" w:type="dxa"/>
            <w:noWrap w:val="0"/>
            <w:vAlign w:val="center"/>
          </w:tcPr>
          <w:p w14:paraId="4F967334">
            <w:pPr>
              <w:adjustRightInd w:val="0"/>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0.215</w:t>
            </w:r>
          </w:p>
        </w:tc>
        <w:tc>
          <w:tcPr>
            <w:tcW w:w="179" w:type="pct"/>
            <w:noWrap w:val="0"/>
            <w:vAlign w:val="center"/>
          </w:tcPr>
          <w:p w14:paraId="08F16F32">
            <w:pPr>
              <w:jc w:val="center"/>
              <w:textAlignment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w:t>
            </w:r>
          </w:p>
        </w:tc>
        <w:tc>
          <w:tcPr>
            <w:tcW w:w="229" w:type="pct"/>
            <w:noWrap w:val="0"/>
            <w:vAlign w:val="center"/>
          </w:tcPr>
          <w:p w14:paraId="76DDCED6">
            <w:pPr>
              <w:widowControl/>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240" w:type="pct"/>
            <w:vMerge w:val="continue"/>
            <w:noWrap w:val="0"/>
            <w:vAlign w:val="center"/>
          </w:tcPr>
          <w:p w14:paraId="3104F5DC">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95" w:type="pct"/>
            <w:vMerge w:val="continue"/>
            <w:noWrap w:val="0"/>
            <w:vAlign w:val="center"/>
          </w:tcPr>
          <w:p w14:paraId="30D650E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89" w:type="pct"/>
            <w:vMerge w:val="continue"/>
            <w:noWrap w:val="0"/>
            <w:vAlign w:val="center"/>
          </w:tcPr>
          <w:p w14:paraId="5761F43A">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44" w:type="pct"/>
            <w:vMerge w:val="continue"/>
            <w:noWrap w:val="0"/>
            <w:vAlign w:val="center"/>
          </w:tcPr>
          <w:p w14:paraId="7CEA1F9C">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22" w:type="pct"/>
            <w:vMerge w:val="continue"/>
            <w:noWrap w:val="0"/>
            <w:vAlign w:val="center"/>
          </w:tcPr>
          <w:p w14:paraId="3F1736C4">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9" w:type="pct"/>
            <w:vMerge w:val="continue"/>
            <w:noWrap w:val="0"/>
            <w:vAlign w:val="center"/>
          </w:tcPr>
          <w:p w14:paraId="220A1BB6">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r>
      <w:tr w14:paraId="5BC55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74" w:hRule="atLeast"/>
          <w:jc w:val="center"/>
        </w:trPr>
        <w:tc>
          <w:tcPr>
            <w:tcW w:w="327" w:type="pct"/>
            <w:vMerge w:val="restart"/>
            <w:noWrap w:val="0"/>
            <w:vAlign w:val="center"/>
          </w:tcPr>
          <w:p w14:paraId="68D7F8BF">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500Nm</w:t>
            </w:r>
            <w:r>
              <w:rPr>
                <w:rFonts w:hint="eastAsia" w:ascii="Times New Roman" w:hAnsi="Times New Roman" w:eastAsia="宋体" w:cs="Times New Roman"/>
                <w:color w:val="auto"/>
                <w:szCs w:val="21"/>
                <w:highlight w:val="none"/>
                <w:vertAlign w:val="superscript"/>
                <w:lang w:val="en-US" w:eastAsia="zh-CN"/>
              </w:rPr>
              <w:t>3</w:t>
            </w:r>
            <w:r>
              <w:rPr>
                <w:rFonts w:hint="eastAsia" w:ascii="Times New Roman" w:hAnsi="Times New Roman" w:eastAsia="宋体" w:cs="Times New Roman"/>
                <w:color w:val="auto"/>
                <w:szCs w:val="21"/>
                <w:highlight w:val="none"/>
                <w:lang w:val="en-US" w:eastAsia="zh-CN"/>
              </w:rPr>
              <w:t>/h制氢装置</w:t>
            </w:r>
          </w:p>
        </w:tc>
        <w:tc>
          <w:tcPr>
            <w:tcW w:w="228" w:type="pct"/>
            <w:vMerge w:val="restart"/>
            <w:noWrap w:val="0"/>
            <w:vAlign w:val="center"/>
          </w:tcPr>
          <w:p w14:paraId="47C452B5">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转化炉排气筒</w:t>
            </w:r>
          </w:p>
        </w:tc>
        <w:tc>
          <w:tcPr>
            <w:tcW w:w="348" w:type="pct"/>
            <w:noWrap w:val="0"/>
            <w:vAlign w:val="center"/>
          </w:tcPr>
          <w:p w14:paraId="6BA79D7B">
            <w:pPr>
              <w:adjustRightInd w:val="0"/>
              <w:snapToGrid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颗粒物</w:t>
            </w:r>
          </w:p>
        </w:tc>
        <w:tc>
          <w:tcPr>
            <w:tcW w:w="638" w:type="dxa"/>
            <w:noWrap w:val="0"/>
            <w:vAlign w:val="center"/>
          </w:tcPr>
          <w:p w14:paraId="5A72A38A">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19.89</w:t>
            </w:r>
          </w:p>
        </w:tc>
        <w:tc>
          <w:tcPr>
            <w:tcW w:w="666" w:type="dxa"/>
            <w:noWrap w:val="0"/>
            <w:vAlign w:val="center"/>
          </w:tcPr>
          <w:p w14:paraId="3F73CDA8">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0.0619</w:t>
            </w:r>
          </w:p>
        </w:tc>
        <w:tc>
          <w:tcPr>
            <w:tcW w:w="787" w:type="dxa"/>
            <w:noWrap w:val="0"/>
            <w:vAlign w:val="center"/>
          </w:tcPr>
          <w:p w14:paraId="798D96CB">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0.4455</w:t>
            </w:r>
          </w:p>
        </w:tc>
        <w:tc>
          <w:tcPr>
            <w:tcW w:w="403" w:type="pct"/>
            <w:vMerge w:val="restart"/>
            <w:noWrap w:val="0"/>
            <w:vAlign w:val="center"/>
          </w:tcPr>
          <w:p w14:paraId="694561CA">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低氮燃烧器</w:t>
            </w:r>
          </w:p>
        </w:tc>
        <w:tc>
          <w:tcPr>
            <w:tcW w:w="234" w:type="pct"/>
            <w:noWrap w:val="0"/>
            <w:vAlign w:val="center"/>
          </w:tcPr>
          <w:p w14:paraId="2CA75859">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611073F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71970FA3">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19.89</w:t>
            </w:r>
          </w:p>
        </w:tc>
        <w:tc>
          <w:tcPr>
            <w:tcW w:w="701" w:type="dxa"/>
            <w:noWrap w:val="0"/>
            <w:vAlign w:val="center"/>
          </w:tcPr>
          <w:p w14:paraId="442AE22E">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0.0619</w:t>
            </w:r>
          </w:p>
        </w:tc>
        <w:tc>
          <w:tcPr>
            <w:tcW w:w="732" w:type="dxa"/>
            <w:noWrap w:val="0"/>
            <w:vAlign w:val="center"/>
          </w:tcPr>
          <w:p w14:paraId="33784BC6">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0.4455</w:t>
            </w:r>
          </w:p>
        </w:tc>
        <w:tc>
          <w:tcPr>
            <w:tcW w:w="179" w:type="pct"/>
            <w:noWrap w:val="0"/>
            <w:vAlign w:val="center"/>
          </w:tcPr>
          <w:p w14:paraId="7FF84987">
            <w:pPr>
              <w:jc w:val="center"/>
              <w:textAlignment w:val="center"/>
              <w:rPr>
                <w:rFonts w:hint="eastAsia"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229" w:type="pct"/>
            <w:noWrap w:val="0"/>
            <w:vAlign w:val="center"/>
          </w:tcPr>
          <w:p w14:paraId="46F43E7E">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kern w:val="0"/>
                <w:sz w:val="21"/>
                <w:szCs w:val="21"/>
                <w:highlight w:val="none"/>
                <w:lang w:bidi="ar"/>
              </w:rPr>
              <w:t>20</w:t>
            </w:r>
          </w:p>
        </w:tc>
        <w:tc>
          <w:tcPr>
            <w:tcW w:w="240" w:type="pct"/>
            <w:vMerge w:val="restart"/>
            <w:noWrap w:val="0"/>
            <w:vAlign w:val="center"/>
          </w:tcPr>
          <w:p w14:paraId="247D79C8">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DA003</w:t>
            </w:r>
          </w:p>
        </w:tc>
        <w:tc>
          <w:tcPr>
            <w:tcW w:w="195" w:type="pct"/>
            <w:vMerge w:val="restart"/>
            <w:noWrap w:val="0"/>
            <w:vAlign w:val="center"/>
          </w:tcPr>
          <w:p w14:paraId="4B13A8B4">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15</w:t>
            </w:r>
          </w:p>
        </w:tc>
        <w:tc>
          <w:tcPr>
            <w:tcW w:w="189" w:type="pct"/>
            <w:vMerge w:val="restart"/>
            <w:noWrap w:val="0"/>
            <w:vAlign w:val="center"/>
          </w:tcPr>
          <w:p w14:paraId="3AD73B7A">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0.25</w:t>
            </w:r>
          </w:p>
        </w:tc>
        <w:tc>
          <w:tcPr>
            <w:tcW w:w="144" w:type="pct"/>
            <w:vMerge w:val="restart"/>
            <w:noWrap w:val="0"/>
            <w:vAlign w:val="center"/>
          </w:tcPr>
          <w:p w14:paraId="146BCE7C">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100</w:t>
            </w:r>
          </w:p>
        </w:tc>
        <w:tc>
          <w:tcPr>
            <w:tcW w:w="322" w:type="pct"/>
            <w:vMerge w:val="restart"/>
            <w:noWrap w:val="0"/>
            <w:vAlign w:val="center"/>
          </w:tcPr>
          <w:p w14:paraId="4DFE9EE6">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3111.66</w:t>
            </w:r>
          </w:p>
        </w:tc>
        <w:tc>
          <w:tcPr>
            <w:tcW w:w="239" w:type="pct"/>
            <w:vMerge w:val="restart"/>
            <w:noWrap w:val="0"/>
            <w:vAlign w:val="center"/>
          </w:tcPr>
          <w:p w14:paraId="09EC37F8">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7200</w:t>
            </w:r>
          </w:p>
        </w:tc>
      </w:tr>
      <w:tr w14:paraId="150F4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74" w:hRule="atLeast"/>
          <w:jc w:val="center"/>
        </w:trPr>
        <w:tc>
          <w:tcPr>
            <w:tcW w:w="327" w:type="pct"/>
            <w:vMerge w:val="continue"/>
            <w:noWrap w:val="0"/>
            <w:vAlign w:val="center"/>
          </w:tcPr>
          <w:p w14:paraId="5BD5F40D">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28" w:type="pct"/>
            <w:vMerge w:val="continue"/>
            <w:noWrap w:val="0"/>
            <w:vAlign w:val="center"/>
          </w:tcPr>
          <w:p w14:paraId="3C018A6C">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48" w:type="pct"/>
            <w:noWrap w:val="0"/>
            <w:vAlign w:val="center"/>
          </w:tcPr>
          <w:p w14:paraId="69B56819">
            <w:pPr>
              <w:adjustRightInd w:val="0"/>
              <w:snapToGrid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NOx</w:t>
            </w:r>
          </w:p>
        </w:tc>
        <w:tc>
          <w:tcPr>
            <w:tcW w:w="638" w:type="dxa"/>
            <w:noWrap w:val="0"/>
            <w:vAlign w:val="center"/>
          </w:tcPr>
          <w:p w14:paraId="3620797F">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130.02</w:t>
            </w:r>
          </w:p>
        </w:tc>
        <w:tc>
          <w:tcPr>
            <w:tcW w:w="666" w:type="dxa"/>
            <w:noWrap w:val="0"/>
            <w:vAlign w:val="center"/>
          </w:tcPr>
          <w:p w14:paraId="7CC5AED7">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0.4046</w:t>
            </w:r>
          </w:p>
        </w:tc>
        <w:tc>
          <w:tcPr>
            <w:tcW w:w="787" w:type="dxa"/>
            <w:noWrap w:val="0"/>
            <w:vAlign w:val="center"/>
          </w:tcPr>
          <w:p w14:paraId="07E7CDCF">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2.9129</w:t>
            </w:r>
          </w:p>
        </w:tc>
        <w:tc>
          <w:tcPr>
            <w:tcW w:w="403" w:type="pct"/>
            <w:vMerge w:val="continue"/>
            <w:noWrap w:val="0"/>
            <w:vAlign w:val="center"/>
          </w:tcPr>
          <w:p w14:paraId="176B3BBB">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234" w:type="pct"/>
            <w:noWrap w:val="0"/>
            <w:vAlign w:val="center"/>
          </w:tcPr>
          <w:p w14:paraId="7066704E">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50</w:t>
            </w:r>
            <w:r>
              <w:rPr>
                <w:rFonts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101259EC">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31D8E2C1">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65.01</w:t>
            </w:r>
          </w:p>
        </w:tc>
        <w:tc>
          <w:tcPr>
            <w:tcW w:w="701" w:type="dxa"/>
            <w:noWrap w:val="0"/>
            <w:vAlign w:val="center"/>
          </w:tcPr>
          <w:p w14:paraId="427D5C0E">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0.2023</w:t>
            </w:r>
          </w:p>
        </w:tc>
        <w:tc>
          <w:tcPr>
            <w:tcW w:w="732" w:type="dxa"/>
            <w:noWrap w:val="0"/>
            <w:vAlign w:val="center"/>
          </w:tcPr>
          <w:p w14:paraId="571BDD2F">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1.4565</w:t>
            </w:r>
          </w:p>
        </w:tc>
        <w:tc>
          <w:tcPr>
            <w:tcW w:w="179" w:type="pct"/>
            <w:noWrap w:val="0"/>
            <w:vAlign w:val="center"/>
          </w:tcPr>
          <w:p w14:paraId="0AF4BFE7">
            <w:pPr>
              <w:jc w:val="center"/>
              <w:textAlignment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w:t>
            </w:r>
          </w:p>
        </w:tc>
        <w:tc>
          <w:tcPr>
            <w:tcW w:w="229" w:type="pct"/>
            <w:noWrap w:val="0"/>
            <w:vAlign w:val="center"/>
          </w:tcPr>
          <w:p w14:paraId="2543930A">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240" w:type="pct"/>
            <w:vMerge w:val="continue"/>
            <w:noWrap w:val="0"/>
            <w:vAlign w:val="center"/>
          </w:tcPr>
          <w:p w14:paraId="7D96531E">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95" w:type="pct"/>
            <w:vMerge w:val="continue"/>
            <w:noWrap w:val="0"/>
            <w:vAlign w:val="center"/>
          </w:tcPr>
          <w:p w14:paraId="10EFEFDD">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89" w:type="pct"/>
            <w:vMerge w:val="continue"/>
            <w:noWrap w:val="0"/>
            <w:vAlign w:val="center"/>
          </w:tcPr>
          <w:p w14:paraId="212260BD">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44" w:type="pct"/>
            <w:vMerge w:val="continue"/>
            <w:noWrap w:val="0"/>
            <w:vAlign w:val="center"/>
          </w:tcPr>
          <w:p w14:paraId="051F09BF">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22" w:type="pct"/>
            <w:vMerge w:val="continue"/>
            <w:noWrap w:val="0"/>
            <w:vAlign w:val="center"/>
          </w:tcPr>
          <w:p w14:paraId="6A8DCF78">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9" w:type="pct"/>
            <w:vMerge w:val="continue"/>
            <w:noWrap w:val="0"/>
            <w:vAlign w:val="center"/>
          </w:tcPr>
          <w:p w14:paraId="3135E183">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r>
      <w:tr w14:paraId="38783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74" w:hRule="atLeast"/>
          <w:jc w:val="center"/>
        </w:trPr>
        <w:tc>
          <w:tcPr>
            <w:tcW w:w="327" w:type="pct"/>
            <w:vMerge w:val="continue"/>
            <w:noWrap w:val="0"/>
            <w:vAlign w:val="center"/>
          </w:tcPr>
          <w:p w14:paraId="373BC59C">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28" w:type="pct"/>
            <w:vMerge w:val="continue"/>
            <w:noWrap w:val="0"/>
            <w:vAlign w:val="center"/>
          </w:tcPr>
          <w:p w14:paraId="1FEFC255">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48" w:type="pct"/>
            <w:noWrap w:val="0"/>
            <w:vAlign w:val="center"/>
          </w:tcPr>
          <w:p w14:paraId="6CCEF476">
            <w:pPr>
              <w:adjustRightInd w:val="0"/>
              <w:snapToGrid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p>
        </w:tc>
        <w:tc>
          <w:tcPr>
            <w:tcW w:w="638" w:type="dxa"/>
            <w:noWrap w:val="0"/>
            <w:vAlign w:val="center"/>
          </w:tcPr>
          <w:p w14:paraId="671B35F7">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2.57</w:t>
            </w:r>
          </w:p>
        </w:tc>
        <w:tc>
          <w:tcPr>
            <w:tcW w:w="666" w:type="dxa"/>
            <w:noWrap w:val="0"/>
            <w:vAlign w:val="center"/>
          </w:tcPr>
          <w:p w14:paraId="41D056E9">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0.008</w:t>
            </w:r>
          </w:p>
        </w:tc>
        <w:tc>
          <w:tcPr>
            <w:tcW w:w="787" w:type="dxa"/>
            <w:noWrap w:val="0"/>
            <w:vAlign w:val="center"/>
          </w:tcPr>
          <w:p w14:paraId="6BB0DE51">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0.06</w:t>
            </w:r>
          </w:p>
        </w:tc>
        <w:tc>
          <w:tcPr>
            <w:tcW w:w="403" w:type="pct"/>
            <w:vMerge w:val="continue"/>
            <w:noWrap w:val="0"/>
            <w:vAlign w:val="center"/>
          </w:tcPr>
          <w:p w14:paraId="50B7807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234" w:type="pct"/>
            <w:noWrap w:val="0"/>
            <w:vAlign w:val="center"/>
          </w:tcPr>
          <w:p w14:paraId="7522AB72">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394074A8">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2E00A1C8">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2.57</w:t>
            </w:r>
          </w:p>
        </w:tc>
        <w:tc>
          <w:tcPr>
            <w:tcW w:w="701" w:type="dxa"/>
            <w:noWrap w:val="0"/>
            <w:vAlign w:val="center"/>
          </w:tcPr>
          <w:p w14:paraId="4254743C">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0.008</w:t>
            </w:r>
          </w:p>
        </w:tc>
        <w:tc>
          <w:tcPr>
            <w:tcW w:w="732" w:type="dxa"/>
            <w:noWrap w:val="0"/>
            <w:vAlign w:val="center"/>
          </w:tcPr>
          <w:p w14:paraId="553787CB">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0.06</w:t>
            </w:r>
          </w:p>
        </w:tc>
        <w:tc>
          <w:tcPr>
            <w:tcW w:w="179" w:type="pct"/>
            <w:noWrap w:val="0"/>
            <w:vAlign w:val="center"/>
          </w:tcPr>
          <w:p w14:paraId="76A05069">
            <w:pPr>
              <w:jc w:val="center"/>
              <w:textAlignment w:val="center"/>
              <w:rPr>
                <w:rFonts w:hint="eastAsia"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1.6</w:t>
            </w:r>
          </w:p>
        </w:tc>
        <w:tc>
          <w:tcPr>
            <w:tcW w:w="229" w:type="pct"/>
            <w:noWrap w:val="0"/>
            <w:vAlign w:val="center"/>
          </w:tcPr>
          <w:p w14:paraId="3CEE89D7">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240" w:type="pct"/>
            <w:vMerge w:val="continue"/>
            <w:noWrap w:val="0"/>
            <w:vAlign w:val="center"/>
          </w:tcPr>
          <w:p w14:paraId="5D65E1B3">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95" w:type="pct"/>
            <w:vMerge w:val="continue"/>
            <w:noWrap w:val="0"/>
            <w:vAlign w:val="center"/>
          </w:tcPr>
          <w:p w14:paraId="7A4E63A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89" w:type="pct"/>
            <w:vMerge w:val="continue"/>
            <w:noWrap w:val="0"/>
            <w:vAlign w:val="center"/>
          </w:tcPr>
          <w:p w14:paraId="30EBAC00">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44" w:type="pct"/>
            <w:vMerge w:val="continue"/>
            <w:noWrap w:val="0"/>
            <w:vAlign w:val="center"/>
          </w:tcPr>
          <w:p w14:paraId="41E45FA7">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22" w:type="pct"/>
            <w:vMerge w:val="continue"/>
            <w:noWrap w:val="0"/>
            <w:vAlign w:val="center"/>
          </w:tcPr>
          <w:p w14:paraId="4B5BBD23">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9" w:type="pct"/>
            <w:vMerge w:val="continue"/>
            <w:noWrap w:val="0"/>
            <w:vAlign w:val="center"/>
          </w:tcPr>
          <w:p w14:paraId="69BBEEC2">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r>
      <w:tr w14:paraId="3C227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4" w:hRule="atLeast"/>
          <w:jc w:val="center"/>
        </w:trPr>
        <w:tc>
          <w:tcPr>
            <w:tcW w:w="327" w:type="pct"/>
            <w:vMerge w:val="continue"/>
            <w:noWrap w:val="0"/>
            <w:vAlign w:val="center"/>
          </w:tcPr>
          <w:p w14:paraId="40582CB0">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28" w:type="pct"/>
            <w:vMerge w:val="continue"/>
            <w:noWrap w:val="0"/>
            <w:vAlign w:val="center"/>
          </w:tcPr>
          <w:p w14:paraId="476DB0F5">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48" w:type="pct"/>
            <w:noWrap w:val="0"/>
            <w:vAlign w:val="center"/>
          </w:tcPr>
          <w:p w14:paraId="54CC7E62">
            <w:pPr>
              <w:adjustRightInd w:val="0"/>
              <w:snapToGrid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eastAsia="zh-CN"/>
              </w:rPr>
              <w:t>非甲烷总烃</w:t>
            </w:r>
          </w:p>
        </w:tc>
        <w:tc>
          <w:tcPr>
            <w:tcW w:w="638" w:type="dxa"/>
            <w:noWrap w:val="0"/>
            <w:vAlign w:val="center"/>
          </w:tcPr>
          <w:p w14:paraId="65B41A6C">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9.64</w:t>
            </w:r>
          </w:p>
        </w:tc>
        <w:tc>
          <w:tcPr>
            <w:tcW w:w="666" w:type="dxa"/>
            <w:noWrap w:val="0"/>
            <w:vAlign w:val="center"/>
          </w:tcPr>
          <w:p w14:paraId="2D66B367">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0.03</w:t>
            </w:r>
          </w:p>
        </w:tc>
        <w:tc>
          <w:tcPr>
            <w:tcW w:w="787" w:type="dxa"/>
            <w:noWrap w:val="0"/>
            <w:vAlign w:val="center"/>
          </w:tcPr>
          <w:p w14:paraId="365F0287">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0.215</w:t>
            </w:r>
          </w:p>
        </w:tc>
        <w:tc>
          <w:tcPr>
            <w:tcW w:w="403" w:type="pct"/>
            <w:vMerge w:val="continue"/>
            <w:noWrap w:val="0"/>
            <w:vAlign w:val="center"/>
          </w:tcPr>
          <w:p w14:paraId="0E48253E">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p>
        </w:tc>
        <w:tc>
          <w:tcPr>
            <w:tcW w:w="234" w:type="pct"/>
            <w:noWrap w:val="0"/>
            <w:vAlign w:val="center"/>
          </w:tcPr>
          <w:p w14:paraId="4F9497D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c>
          <w:tcPr>
            <w:tcW w:w="209" w:type="pct"/>
            <w:noWrap w:val="0"/>
            <w:vAlign w:val="center"/>
          </w:tcPr>
          <w:p w14:paraId="4822198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是</w:t>
            </w:r>
          </w:p>
        </w:tc>
        <w:tc>
          <w:tcPr>
            <w:tcW w:w="701" w:type="dxa"/>
            <w:noWrap w:val="0"/>
            <w:vAlign w:val="center"/>
          </w:tcPr>
          <w:p w14:paraId="2B85BC2A">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9.64</w:t>
            </w:r>
          </w:p>
        </w:tc>
        <w:tc>
          <w:tcPr>
            <w:tcW w:w="701" w:type="dxa"/>
            <w:noWrap w:val="0"/>
            <w:vAlign w:val="center"/>
          </w:tcPr>
          <w:p w14:paraId="30E18843">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0.03</w:t>
            </w:r>
          </w:p>
        </w:tc>
        <w:tc>
          <w:tcPr>
            <w:tcW w:w="732" w:type="dxa"/>
            <w:noWrap w:val="0"/>
            <w:vAlign w:val="center"/>
          </w:tcPr>
          <w:p w14:paraId="2BBCBC98">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0.215</w:t>
            </w:r>
          </w:p>
        </w:tc>
        <w:tc>
          <w:tcPr>
            <w:tcW w:w="179" w:type="pct"/>
            <w:noWrap w:val="0"/>
            <w:vAlign w:val="center"/>
          </w:tcPr>
          <w:p w14:paraId="4AB2FFB9">
            <w:pPr>
              <w:jc w:val="center"/>
              <w:textAlignment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10</w:t>
            </w:r>
          </w:p>
        </w:tc>
        <w:tc>
          <w:tcPr>
            <w:tcW w:w="229" w:type="pct"/>
            <w:noWrap w:val="0"/>
            <w:vAlign w:val="center"/>
          </w:tcPr>
          <w:p w14:paraId="6E0BD834">
            <w:pPr>
              <w:widowControl/>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240" w:type="pct"/>
            <w:vMerge w:val="continue"/>
            <w:noWrap w:val="0"/>
            <w:vAlign w:val="center"/>
          </w:tcPr>
          <w:p w14:paraId="007E0A90">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95" w:type="pct"/>
            <w:vMerge w:val="continue"/>
            <w:noWrap w:val="0"/>
            <w:vAlign w:val="center"/>
          </w:tcPr>
          <w:p w14:paraId="38477938">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89" w:type="pct"/>
            <w:vMerge w:val="continue"/>
            <w:noWrap w:val="0"/>
            <w:vAlign w:val="center"/>
          </w:tcPr>
          <w:p w14:paraId="0567E5F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44" w:type="pct"/>
            <w:vMerge w:val="continue"/>
            <w:noWrap w:val="0"/>
            <w:vAlign w:val="center"/>
          </w:tcPr>
          <w:p w14:paraId="64E3644A">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322" w:type="pct"/>
            <w:vMerge w:val="continue"/>
            <w:noWrap w:val="0"/>
            <w:vAlign w:val="center"/>
          </w:tcPr>
          <w:p w14:paraId="28F00F94">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239" w:type="pct"/>
            <w:vMerge w:val="continue"/>
            <w:noWrap w:val="0"/>
            <w:vAlign w:val="center"/>
          </w:tcPr>
          <w:p w14:paraId="7618E9F3">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r>
    </w:tbl>
    <w:p w14:paraId="67EBFB6B">
      <w:pPr>
        <w:ind w:firstLine="480" w:firstLineChars="200"/>
        <w:jc w:val="center"/>
        <w:rPr>
          <w:rFonts w:ascii="Times New Roman" w:hAnsi="Times New Roman" w:eastAsia="宋体"/>
          <w:color w:val="auto"/>
          <w:sz w:val="24"/>
          <w:highlight w:val="none"/>
        </w:rPr>
      </w:pPr>
      <w:r>
        <w:rPr>
          <w:rFonts w:ascii="Times New Roman" w:hAnsi="Times New Roman" w:eastAsia="宋体"/>
          <w:b/>
          <w:color w:val="auto"/>
          <w:kern w:val="0"/>
          <w:sz w:val="24"/>
          <w:szCs w:val="24"/>
          <w:highlight w:val="none"/>
        </w:rPr>
        <w:t>表</w:t>
      </w:r>
      <w:r>
        <w:rPr>
          <w:rFonts w:ascii="Times New Roman" w:hAnsi="Times New Roman" w:eastAsia="宋体"/>
          <w:b/>
          <w:color w:val="auto"/>
          <w:sz w:val="24"/>
          <w:highlight w:val="none"/>
        </w:rPr>
        <w:t>3.</w:t>
      </w:r>
      <w:r>
        <w:rPr>
          <w:rFonts w:hint="eastAsia"/>
          <w:b/>
          <w:color w:val="auto"/>
          <w:sz w:val="24"/>
          <w:highlight w:val="none"/>
          <w:lang w:val="en-US" w:eastAsia="zh-CN"/>
        </w:rPr>
        <w:t>5</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2</w:t>
      </w:r>
      <w:r>
        <w:rPr>
          <w:rFonts w:ascii="Times New Roman" w:hAnsi="Times New Roman" w:eastAsia="宋体"/>
          <w:b/>
          <w:color w:val="auto"/>
          <w:sz w:val="24"/>
          <w:highlight w:val="none"/>
        </w:rPr>
        <w:t>-</w:t>
      </w:r>
      <w:r>
        <w:rPr>
          <w:rFonts w:hint="eastAsia" w:ascii="Times New Roman" w:hAnsi="Times New Roman" w:eastAsia="宋体"/>
          <w:b/>
          <w:color w:val="auto"/>
          <w:sz w:val="24"/>
          <w:highlight w:val="none"/>
          <w:lang w:val="en-US" w:eastAsia="zh-CN"/>
        </w:rPr>
        <w:t>6</w:t>
      </w:r>
      <w:r>
        <w:rPr>
          <w:rFonts w:hint="eastAsia"/>
          <w:b/>
          <w:color w:val="auto"/>
          <w:sz w:val="24"/>
          <w:highlight w:val="none"/>
          <w:lang w:val="en-US" w:eastAsia="zh-CN"/>
        </w:rPr>
        <w:t xml:space="preserve">  </w:t>
      </w:r>
      <w:r>
        <w:rPr>
          <w:rFonts w:ascii="Times New Roman" w:hAnsi="Times New Roman" w:eastAsia="宋体"/>
          <w:b/>
          <w:color w:val="auto"/>
          <w:kern w:val="0"/>
          <w:sz w:val="24"/>
          <w:szCs w:val="24"/>
          <w:highlight w:val="none"/>
        </w:rPr>
        <w:t>无组织废气排放情况表</w:t>
      </w:r>
    </w:p>
    <w:tbl>
      <w:tblPr>
        <w:tblStyle w:val="49"/>
        <w:tblW w:w="136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6"/>
        <w:gridCol w:w="1914"/>
        <w:gridCol w:w="1207"/>
        <w:gridCol w:w="1069"/>
        <w:gridCol w:w="2793"/>
        <w:gridCol w:w="1017"/>
        <w:gridCol w:w="983"/>
        <w:gridCol w:w="965"/>
        <w:gridCol w:w="1121"/>
        <w:gridCol w:w="1080"/>
      </w:tblGrid>
      <w:tr w14:paraId="29A15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6" w:type="dxa"/>
            <w:vMerge w:val="restart"/>
            <w:tcBorders>
              <w:tl2br w:val="nil"/>
              <w:tr2bl w:val="nil"/>
            </w:tcBorders>
            <w:noWrap w:val="0"/>
            <w:vAlign w:val="center"/>
          </w:tcPr>
          <w:p w14:paraId="680EAAE8">
            <w:pPr>
              <w:widowControl/>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污染源名称</w:t>
            </w:r>
          </w:p>
        </w:tc>
        <w:tc>
          <w:tcPr>
            <w:tcW w:w="1914" w:type="dxa"/>
            <w:vMerge w:val="restart"/>
            <w:tcBorders>
              <w:tl2br w:val="nil"/>
              <w:tr2bl w:val="nil"/>
            </w:tcBorders>
            <w:noWrap w:val="0"/>
            <w:vAlign w:val="center"/>
          </w:tcPr>
          <w:p w14:paraId="5E83B935">
            <w:pPr>
              <w:widowControl/>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污染物名称</w:t>
            </w:r>
          </w:p>
        </w:tc>
        <w:tc>
          <w:tcPr>
            <w:tcW w:w="2276" w:type="dxa"/>
            <w:gridSpan w:val="2"/>
            <w:tcBorders>
              <w:tl2br w:val="nil"/>
              <w:tr2bl w:val="nil"/>
            </w:tcBorders>
            <w:noWrap w:val="0"/>
            <w:vAlign w:val="center"/>
          </w:tcPr>
          <w:p w14:paraId="278544BB">
            <w:pPr>
              <w:widowControl/>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产生情况</w:t>
            </w:r>
          </w:p>
        </w:tc>
        <w:tc>
          <w:tcPr>
            <w:tcW w:w="2793" w:type="dxa"/>
            <w:vMerge w:val="restart"/>
            <w:tcBorders>
              <w:tl2br w:val="nil"/>
              <w:tr2bl w:val="nil"/>
            </w:tcBorders>
            <w:noWrap w:val="0"/>
            <w:vAlign w:val="center"/>
          </w:tcPr>
          <w:p w14:paraId="77A09F26">
            <w:pPr>
              <w:widowControl/>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拟采取的污染治理措施</w:t>
            </w:r>
          </w:p>
        </w:tc>
        <w:tc>
          <w:tcPr>
            <w:tcW w:w="2000" w:type="dxa"/>
            <w:gridSpan w:val="2"/>
            <w:tcBorders>
              <w:tl2br w:val="nil"/>
              <w:tr2bl w:val="nil"/>
            </w:tcBorders>
            <w:noWrap w:val="0"/>
            <w:vAlign w:val="center"/>
          </w:tcPr>
          <w:p w14:paraId="0C018360">
            <w:pPr>
              <w:widowControl/>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排放情况</w:t>
            </w:r>
          </w:p>
        </w:tc>
        <w:tc>
          <w:tcPr>
            <w:tcW w:w="3166" w:type="dxa"/>
            <w:gridSpan w:val="3"/>
            <w:tcBorders>
              <w:tl2br w:val="nil"/>
              <w:tr2bl w:val="nil"/>
            </w:tcBorders>
            <w:noWrap w:val="0"/>
            <w:vAlign w:val="center"/>
          </w:tcPr>
          <w:p w14:paraId="579E1DCA">
            <w:pPr>
              <w:widowControl/>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面源参数（</w:t>
            </w:r>
            <w:r>
              <w:rPr>
                <w:rFonts w:ascii="Times New Roman" w:hAnsi="Times New Roman" w:eastAsia="宋体"/>
                <w:b/>
                <w:bCs/>
                <w:color w:val="auto"/>
                <w:kern w:val="0"/>
                <w:szCs w:val="21"/>
                <w:highlight w:val="none"/>
              </w:rPr>
              <w:t>m</w:t>
            </w:r>
            <w:r>
              <w:rPr>
                <w:rFonts w:ascii="Times New Roman" w:hAnsi="Times New Roman" w:eastAsia="宋体"/>
                <w:b/>
                <w:color w:val="auto"/>
                <w:kern w:val="0"/>
                <w:szCs w:val="21"/>
                <w:highlight w:val="none"/>
              </w:rPr>
              <w:t>）</w:t>
            </w:r>
          </w:p>
        </w:tc>
      </w:tr>
      <w:tr w14:paraId="39026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6" w:type="dxa"/>
            <w:vMerge w:val="continue"/>
            <w:tcBorders>
              <w:tl2br w:val="nil"/>
              <w:tr2bl w:val="nil"/>
            </w:tcBorders>
            <w:noWrap w:val="0"/>
            <w:vAlign w:val="center"/>
          </w:tcPr>
          <w:p w14:paraId="63E7E462">
            <w:pPr>
              <w:widowControl/>
              <w:jc w:val="center"/>
              <w:rPr>
                <w:rFonts w:ascii="Times New Roman" w:hAnsi="Times New Roman" w:eastAsia="宋体"/>
                <w:b/>
                <w:color w:val="auto"/>
                <w:kern w:val="0"/>
                <w:szCs w:val="21"/>
                <w:highlight w:val="none"/>
              </w:rPr>
            </w:pPr>
          </w:p>
        </w:tc>
        <w:tc>
          <w:tcPr>
            <w:tcW w:w="1914" w:type="dxa"/>
            <w:vMerge w:val="continue"/>
            <w:tcBorders>
              <w:tl2br w:val="nil"/>
              <w:tr2bl w:val="nil"/>
            </w:tcBorders>
            <w:noWrap w:val="0"/>
            <w:vAlign w:val="center"/>
          </w:tcPr>
          <w:p w14:paraId="17C3D7AE">
            <w:pPr>
              <w:widowControl/>
              <w:jc w:val="center"/>
              <w:rPr>
                <w:rFonts w:ascii="Times New Roman" w:hAnsi="Times New Roman" w:eastAsia="宋体"/>
                <w:b/>
                <w:color w:val="auto"/>
                <w:kern w:val="0"/>
                <w:szCs w:val="21"/>
                <w:highlight w:val="none"/>
              </w:rPr>
            </w:pPr>
          </w:p>
        </w:tc>
        <w:tc>
          <w:tcPr>
            <w:tcW w:w="1207" w:type="dxa"/>
            <w:tcBorders>
              <w:tl2br w:val="nil"/>
              <w:tr2bl w:val="nil"/>
            </w:tcBorders>
            <w:noWrap w:val="0"/>
            <w:vAlign w:val="center"/>
          </w:tcPr>
          <w:p w14:paraId="18CECA25">
            <w:pPr>
              <w:widowControl/>
              <w:jc w:val="center"/>
              <w:rPr>
                <w:rFonts w:ascii="Times New Roman" w:hAnsi="Times New Roman" w:eastAsia="宋体"/>
                <w:b/>
                <w:color w:val="auto"/>
                <w:kern w:val="0"/>
                <w:szCs w:val="21"/>
                <w:highlight w:val="none"/>
              </w:rPr>
            </w:pPr>
            <w:r>
              <w:rPr>
                <w:rFonts w:ascii="Times New Roman" w:hAnsi="Times New Roman" w:eastAsia="宋体"/>
                <w:b/>
                <w:bCs/>
                <w:color w:val="auto"/>
                <w:kern w:val="0"/>
                <w:szCs w:val="21"/>
                <w:highlight w:val="none"/>
              </w:rPr>
              <w:t>t/a</w:t>
            </w:r>
          </w:p>
        </w:tc>
        <w:tc>
          <w:tcPr>
            <w:tcW w:w="1069" w:type="dxa"/>
            <w:tcBorders>
              <w:tl2br w:val="nil"/>
              <w:tr2bl w:val="nil"/>
            </w:tcBorders>
            <w:noWrap w:val="0"/>
            <w:vAlign w:val="center"/>
          </w:tcPr>
          <w:p w14:paraId="7F5B74F5">
            <w:pPr>
              <w:widowControl/>
              <w:jc w:val="center"/>
              <w:rPr>
                <w:rFonts w:ascii="Times New Roman" w:hAnsi="Times New Roman" w:eastAsia="宋体"/>
                <w:b/>
                <w:color w:val="auto"/>
                <w:kern w:val="0"/>
                <w:szCs w:val="21"/>
                <w:highlight w:val="none"/>
              </w:rPr>
            </w:pPr>
            <w:r>
              <w:rPr>
                <w:rFonts w:ascii="Times New Roman" w:hAnsi="Times New Roman" w:eastAsia="宋体"/>
                <w:b/>
                <w:bCs/>
                <w:color w:val="auto"/>
                <w:kern w:val="0"/>
                <w:szCs w:val="21"/>
                <w:highlight w:val="none"/>
              </w:rPr>
              <w:t>kg/h</w:t>
            </w:r>
          </w:p>
        </w:tc>
        <w:tc>
          <w:tcPr>
            <w:tcW w:w="2793" w:type="dxa"/>
            <w:vMerge w:val="continue"/>
            <w:tcBorders>
              <w:tl2br w:val="nil"/>
              <w:tr2bl w:val="nil"/>
            </w:tcBorders>
            <w:noWrap w:val="0"/>
            <w:vAlign w:val="center"/>
          </w:tcPr>
          <w:p w14:paraId="3C7CA454">
            <w:pPr>
              <w:widowControl/>
              <w:jc w:val="center"/>
              <w:rPr>
                <w:rFonts w:ascii="Times New Roman" w:hAnsi="Times New Roman" w:eastAsia="宋体"/>
                <w:b/>
                <w:color w:val="auto"/>
                <w:kern w:val="0"/>
                <w:szCs w:val="21"/>
                <w:highlight w:val="none"/>
              </w:rPr>
            </w:pPr>
          </w:p>
        </w:tc>
        <w:tc>
          <w:tcPr>
            <w:tcW w:w="1017" w:type="dxa"/>
            <w:tcBorders>
              <w:tl2br w:val="nil"/>
              <w:tr2bl w:val="nil"/>
            </w:tcBorders>
            <w:noWrap w:val="0"/>
            <w:vAlign w:val="center"/>
          </w:tcPr>
          <w:p w14:paraId="7BB312B3">
            <w:pPr>
              <w:widowControl/>
              <w:jc w:val="center"/>
              <w:rPr>
                <w:rFonts w:ascii="Times New Roman" w:hAnsi="Times New Roman" w:eastAsia="宋体"/>
                <w:b/>
                <w:color w:val="auto"/>
                <w:kern w:val="0"/>
                <w:szCs w:val="21"/>
                <w:highlight w:val="none"/>
              </w:rPr>
            </w:pPr>
            <w:r>
              <w:rPr>
                <w:rFonts w:ascii="Times New Roman" w:hAnsi="Times New Roman" w:eastAsia="宋体"/>
                <w:b/>
                <w:bCs/>
                <w:color w:val="auto"/>
                <w:kern w:val="0"/>
                <w:szCs w:val="21"/>
                <w:highlight w:val="none"/>
              </w:rPr>
              <w:t>t/a</w:t>
            </w:r>
          </w:p>
        </w:tc>
        <w:tc>
          <w:tcPr>
            <w:tcW w:w="983" w:type="dxa"/>
            <w:tcBorders>
              <w:tl2br w:val="nil"/>
              <w:tr2bl w:val="nil"/>
            </w:tcBorders>
            <w:noWrap w:val="0"/>
            <w:vAlign w:val="center"/>
          </w:tcPr>
          <w:p w14:paraId="6D8C8C63">
            <w:pPr>
              <w:widowControl/>
              <w:jc w:val="center"/>
              <w:rPr>
                <w:rFonts w:ascii="Times New Roman" w:hAnsi="Times New Roman" w:eastAsia="宋体"/>
                <w:b/>
                <w:color w:val="auto"/>
                <w:kern w:val="0"/>
                <w:szCs w:val="21"/>
                <w:highlight w:val="none"/>
              </w:rPr>
            </w:pPr>
            <w:r>
              <w:rPr>
                <w:rFonts w:ascii="Times New Roman" w:hAnsi="Times New Roman" w:eastAsia="宋体"/>
                <w:b/>
                <w:bCs/>
                <w:color w:val="auto"/>
                <w:kern w:val="0"/>
                <w:szCs w:val="21"/>
                <w:highlight w:val="none"/>
              </w:rPr>
              <w:t>kg/h</w:t>
            </w:r>
          </w:p>
        </w:tc>
        <w:tc>
          <w:tcPr>
            <w:tcW w:w="965" w:type="dxa"/>
            <w:tcBorders>
              <w:tl2br w:val="nil"/>
              <w:tr2bl w:val="nil"/>
            </w:tcBorders>
            <w:noWrap w:val="0"/>
            <w:vAlign w:val="center"/>
          </w:tcPr>
          <w:p w14:paraId="546B3FDB">
            <w:pPr>
              <w:widowControl/>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长度</w:t>
            </w:r>
          </w:p>
        </w:tc>
        <w:tc>
          <w:tcPr>
            <w:tcW w:w="1121" w:type="dxa"/>
            <w:tcBorders>
              <w:tl2br w:val="nil"/>
              <w:tr2bl w:val="nil"/>
            </w:tcBorders>
            <w:noWrap w:val="0"/>
            <w:vAlign w:val="center"/>
          </w:tcPr>
          <w:p w14:paraId="5072005A">
            <w:pPr>
              <w:widowControl/>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宽度</w:t>
            </w:r>
          </w:p>
        </w:tc>
        <w:tc>
          <w:tcPr>
            <w:tcW w:w="1080" w:type="dxa"/>
            <w:tcBorders>
              <w:tl2br w:val="nil"/>
              <w:tr2bl w:val="nil"/>
            </w:tcBorders>
            <w:noWrap w:val="0"/>
            <w:vAlign w:val="center"/>
          </w:tcPr>
          <w:p w14:paraId="3D0F8D01">
            <w:pPr>
              <w:widowControl/>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有效高度</w:t>
            </w:r>
          </w:p>
        </w:tc>
      </w:tr>
      <w:tr w14:paraId="7352F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546" w:type="dxa"/>
            <w:tcBorders>
              <w:tl2br w:val="nil"/>
              <w:tr2bl w:val="nil"/>
            </w:tcBorders>
            <w:noWrap w:val="0"/>
            <w:vAlign w:val="center"/>
          </w:tcPr>
          <w:p w14:paraId="577F33AD">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除氧废气</w:t>
            </w:r>
          </w:p>
        </w:tc>
        <w:tc>
          <w:tcPr>
            <w:tcW w:w="1914" w:type="dxa"/>
            <w:tcBorders>
              <w:tl2br w:val="nil"/>
              <w:tr2bl w:val="nil"/>
            </w:tcBorders>
            <w:noWrap w:val="0"/>
            <w:vAlign w:val="center"/>
          </w:tcPr>
          <w:p w14:paraId="5006BAB9">
            <w:pPr>
              <w:tabs>
                <w:tab w:val="left" w:pos="2200"/>
                <w:tab w:val="left" w:pos="3960"/>
                <w:tab w:val="left" w:pos="5280"/>
              </w:tabs>
              <w:snapToGrid w:val="0"/>
              <w:ind w:left="-105" w:leftChars="-50" w:right="-105" w:rightChars="-50"/>
              <w:jc w:val="center"/>
              <w:rPr>
                <w:rFonts w:hint="default" w:ascii="Times New Roman" w:hAnsi="Times New Roman" w:eastAsia="宋体"/>
                <w:color w:val="auto"/>
                <w:szCs w:val="21"/>
                <w:highlight w:val="none"/>
                <w:lang w:val="en-US" w:eastAsia="zh-CN"/>
              </w:rPr>
            </w:pPr>
            <w:r>
              <w:rPr>
                <w:rFonts w:hint="default" w:ascii="Times New Roman" w:hAnsi="Times New Roman" w:eastAsia="宋体"/>
                <w:color w:val="auto"/>
                <w:szCs w:val="21"/>
                <w:highlight w:val="none"/>
                <w:lang w:val="en-US" w:eastAsia="zh-CN"/>
              </w:rPr>
              <w:t>O</w:t>
            </w:r>
            <w:r>
              <w:rPr>
                <w:rFonts w:hint="default" w:ascii="Times New Roman" w:hAnsi="Times New Roman" w:eastAsia="宋体"/>
                <w:color w:val="auto"/>
                <w:szCs w:val="21"/>
                <w:highlight w:val="none"/>
                <w:vertAlign w:val="subscript"/>
                <w:lang w:val="en-US" w:eastAsia="zh-CN"/>
              </w:rPr>
              <w:t>2</w:t>
            </w:r>
            <w:r>
              <w:rPr>
                <w:rFonts w:hint="default" w:ascii="Times New Roman" w:hAnsi="Times New Roman" w:eastAsia="宋体"/>
                <w:color w:val="auto"/>
                <w:szCs w:val="21"/>
                <w:highlight w:val="none"/>
                <w:lang w:val="en-US" w:eastAsia="zh-CN"/>
              </w:rPr>
              <w:t>、CO</w:t>
            </w:r>
            <w:r>
              <w:rPr>
                <w:rFonts w:hint="default" w:ascii="Times New Roman" w:hAnsi="Times New Roman" w:eastAsia="宋体"/>
                <w:color w:val="auto"/>
                <w:szCs w:val="21"/>
                <w:highlight w:val="none"/>
                <w:vertAlign w:val="subscript"/>
                <w:lang w:val="en-US" w:eastAsia="zh-CN"/>
              </w:rPr>
              <w:t>2</w:t>
            </w:r>
            <w:r>
              <w:rPr>
                <w:rFonts w:hint="default" w:ascii="Times New Roman" w:hAnsi="Times New Roman" w:eastAsia="宋体"/>
                <w:color w:val="auto"/>
                <w:szCs w:val="21"/>
                <w:highlight w:val="none"/>
                <w:lang w:val="en-US" w:eastAsia="zh-CN"/>
              </w:rPr>
              <w:t>、水</w:t>
            </w:r>
          </w:p>
        </w:tc>
        <w:tc>
          <w:tcPr>
            <w:tcW w:w="1207" w:type="dxa"/>
            <w:tcBorders>
              <w:tl2br w:val="nil"/>
              <w:tr2bl w:val="nil"/>
            </w:tcBorders>
            <w:noWrap w:val="0"/>
            <w:vAlign w:val="center"/>
          </w:tcPr>
          <w:p w14:paraId="64264CFD">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w:t>
            </w:r>
          </w:p>
        </w:tc>
        <w:tc>
          <w:tcPr>
            <w:tcW w:w="1069" w:type="dxa"/>
            <w:tcBorders>
              <w:tl2br w:val="nil"/>
              <w:tr2bl w:val="nil"/>
            </w:tcBorders>
            <w:noWrap w:val="0"/>
            <w:vAlign w:val="center"/>
          </w:tcPr>
          <w:p w14:paraId="71033177">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w:t>
            </w:r>
          </w:p>
        </w:tc>
        <w:tc>
          <w:tcPr>
            <w:tcW w:w="2793" w:type="dxa"/>
            <w:tcBorders>
              <w:tl2br w:val="nil"/>
              <w:tr2bl w:val="nil"/>
            </w:tcBorders>
            <w:noWrap w:val="0"/>
            <w:vAlign w:val="center"/>
          </w:tcPr>
          <w:p w14:paraId="314F41AA">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无组织排放</w:t>
            </w:r>
          </w:p>
        </w:tc>
        <w:tc>
          <w:tcPr>
            <w:tcW w:w="1017" w:type="dxa"/>
            <w:tcBorders>
              <w:tl2br w:val="nil"/>
              <w:tr2bl w:val="nil"/>
            </w:tcBorders>
            <w:noWrap w:val="0"/>
            <w:vAlign w:val="center"/>
          </w:tcPr>
          <w:p w14:paraId="3CB0E3B3">
            <w:pPr>
              <w:jc w:val="center"/>
              <w:rPr>
                <w:rFonts w:hint="default" w:ascii="Times New Roman" w:hAnsi="Times New Roman" w:eastAsia="宋体"/>
                <w:color w:val="auto"/>
                <w:sz w:val="21"/>
                <w:szCs w:val="21"/>
                <w:highlight w:val="none"/>
                <w:lang w:val="en-US"/>
              </w:rPr>
            </w:pPr>
            <w:r>
              <w:rPr>
                <w:rFonts w:hint="eastAsia" w:ascii="Times New Roman" w:hAnsi="Times New Roman" w:eastAsia="宋体"/>
                <w:color w:val="auto"/>
                <w:sz w:val="21"/>
                <w:szCs w:val="21"/>
                <w:highlight w:val="none"/>
                <w:lang w:val="en-US" w:eastAsia="zh-CN"/>
              </w:rPr>
              <w:t>/</w:t>
            </w:r>
          </w:p>
        </w:tc>
        <w:tc>
          <w:tcPr>
            <w:tcW w:w="983" w:type="dxa"/>
            <w:tcBorders>
              <w:tl2br w:val="nil"/>
              <w:tr2bl w:val="nil"/>
            </w:tcBorders>
            <w:noWrap w:val="0"/>
            <w:vAlign w:val="center"/>
          </w:tcPr>
          <w:p w14:paraId="2B5C7EAA">
            <w:pPr>
              <w:jc w:val="center"/>
              <w:rPr>
                <w:rFonts w:hint="default" w:ascii="Times New Roman" w:hAnsi="Times New Roman" w:eastAsia="宋体"/>
                <w:color w:val="auto"/>
                <w:sz w:val="21"/>
                <w:szCs w:val="21"/>
                <w:highlight w:val="none"/>
                <w:lang w:val="en-US"/>
              </w:rPr>
            </w:pPr>
            <w:r>
              <w:rPr>
                <w:rFonts w:hint="eastAsia" w:ascii="Times New Roman" w:hAnsi="Times New Roman" w:eastAsia="宋体"/>
                <w:color w:val="auto"/>
                <w:sz w:val="21"/>
                <w:szCs w:val="21"/>
                <w:highlight w:val="none"/>
                <w:lang w:val="en-US" w:eastAsia="zh-CN"/>
              </w:rPr>
              <w:t>/</w:t>
            </w:r>
          </w:p>
        </w:tc>
        <w:tc>
          <w:tcPr>
            <w:tcW w:w="965" w:type="dxa"/>
            <w:tcBorders>
              <w:tl2br w:val="nil"/>
              <w:tr2bl w:val="nil"/>
            </w:tcBorders>
            <w:noWrap w:val="0"/>
            <w:vAlign w:val="center"/>
          </w:tcPr>
          <w:p w14:paraId="52D2B792">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151.66</w:t>
            </w:r>
          </w:p>
        </w:tc>
        <w:tc>
          <w:tcPr>
            <w:tcW w:w="1121" w:type="dxa"/>
            <w:tcBorders>
              <w:tl2br w:val="nil"/>
              <w:tr2bl w:val="nil"/>
            </w:tcBorders>
            <w:noWrap w:val="0"/>
            <w:vAlign w:val="center"/>
          </w:tcPr>
          <w:p w14:paraId="0E507EFD">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100.88</w:t>
            </w:r>
          </w:p>
        </w:tc>
        <w:tc>
          <w:tcPr>
            <w:tcW w:w="1080" w:type="dxa"/>
            <w:tcBorders>
              <w:tl2br w:val="nil"/>
              <w:tr2bl w:val="nil"/>
            </w:tcBorders>
            <w:noWrap w:val="0"/>
            <w:vAlign w:val="center"/>
          </w:tcPr>
          <w:p w14:paraId="57A037A6">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5</w:t>
            </w:r>
          </w:p>
        </w:tc>
      </w:tr>
      <w:tr w14:paraId="6C389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1546" w:type="dxa"/>
            <w:tcBorders>
              <w:tl2br w:val="nil"/>
              <w:tr2bl w:val="nil"/>
            </w:tcBorders>
            <w:noWrap w:val="0"/>
            <w:vAlign w:val="center"/>
          </w:tcPr>
          <w:p w14:paraId="63697E48">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油品装卸、加油</w:t>
            </w:r>
          </w:p>
        </w:tc>
        <w:tc>
          <w:tcPr>
            <w:tcW w:w="1914" w:type="dxa"/>
            <w:tcBorders>
              <w:tl2br w:val="nil"/>
              <w:tr2bl w:val="nil"/>
            </w:tcBorders>
            <w:noWrap w:val="0"/>
            <w:vAlign w:val="center"/>
          </w:tcPr>
          <w:p w14:paraId="02FE9B21">
            <w:pPr>
              <w:tabs>
                <w:tab w:val="left" w:pos="2200"/>
                <w:tab w:val="left" w:pos="3960"/>
                <w:tab w:val="left" w:pos="5280"/>
              </w:tabs>
              <w:snapToGrid w:val="0"/>
              <w:ind w:left="-105" w:leftChars="-50" w:right="-105" w:rightChars="-5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非甲烷总烃</w:t>
            </w:r>
          </w:p>
        </w:tc>
        <w:tc>
          <w:tcPr>
            <w:tcW w:w="1207" w:type="dxa"/>
            <w:tcBorders>
              <w:tl2br w:val="nil"/>
              <w:tr2bl w:val="nil"/>
            </w:tcBorders>
            <w:noWrap w:val="0"/>
            <w:vAlign w:val="center"/>
          </w:tcPr>
          <w:p w14:paraId="1DF9D808">
            <w:pPr>
              <w:jc w:val="center"/>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1.1666</w:t>
            </w:r>
          </w:p>
        </w:tc>
        <w:tc>
          <w:tcPr>
            <w:tcW w:w="1069" w:type="dxa"/>
            <w:tcBorders>
              <w:tl2br w:val="nil"/>
              <w:tr2bl w:val="nil"/>
            </w:tcBorders>
            <w:noWrap w:val="0"/>
            <w:vAlign w:val="center"/>
          </w:tcPr>
          <w:p w14:paraId="220BD0EA">
            <w:pPr>
              <w:jc w:val="center"/>
              <w:rPr>
                <w:rFonts w:hint="default"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0.1332</w:t>
            </w:r>
          </w:p>
        </w:tc>
        <w:tc>
          <w:tcPr>
            <w:tcW w:w="2793" w:type="dxa"/>
            <w:tcBorders>
              <w:tl2br w:val="nil"/>
              <w:tr2bl w:val="nil"/>
            </w:tcBorders>
            <w:noWrap w:val="0"/>
            <w:vAlign w:val="center"/>
          </w:tcPr>
          <w:p w14:paraId="4B08D2F8">
            <w:pPr>
              <w:widowControl/>
              <w:jc w:val="both"/>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设置油气一次回收装置、二次回收装置，汽油储罐呼吸阀装油气回收装置</w:t>
            </w:r>
          </w:p>
        </w:tc>
        <w:tc>
          <w:tcPr>
            <w:tcW w:w="1017" w:type="dxa"/>
            <w:tcBorders>
              <w:tl2br w:val="nil"/>
              <w:tr2bl w:val="nil"/>
            </w:tcBorders>
            <w:noWrap w:val="0"/>
            <w:vAlign w:val="center"/>
          </w:tcPr>
          <w:p w14:paraId="7B71A7CC">
            <w:pPr>
              <w:jc w:val="center"/>
              <w:rPr>
                <w:rFonts w:hint="default" w:ascii="Times New Roman" w:hAnsi="Times New Roman"/>
                <w:color w:val="auto"/>
                <w:highlight w:val="none"/>
                <w:lang w:val="en-US"/>
              </w:rPr>
            </w:pPr>
            <w:r>
              <w:rPr>
                <w:rFonts w:hint="eastAsia" w:ascii="Times New Roman" w:hAnsi="Times New Roman"/>
                <w:color w:val="auto"/>
                <w:highlight w:val="none"/>
                <w:lang w:val="en-US" w:eastAsia="zh-CN"/>
              </w:rPr>
              <w:t>1.1666</w:t>
            </w:r>
          </w:p>
        </w:tc>
        <w:tc>
          <w:tcPr>
            <w:tcW w:w="983" w:type="dxa"/>
            <w:tcBorders>
              <w:tl2br w:val="nil"/>
              <w:tr2bl w:val="nil"/>
            </w:tcBorders>
            <w:noWrap w:val="0"/>
            <w:vAlign w:val="center"/>
          </w:tcPr>
          <w:p w14:paraId="10F664D2">
            <w:pPr>
              <w:jc w:val="center"/>
              <w:rPr>
                <w:rFonts w:hint="default" w:ascii="Times New Roman" w:hAnsi="Times New Roman"/>
                <w:color w:val="auto"/>
                <w:highlight w:val="none"/>
                <w:lang w:val="en-US"/>
              </w:rPr>
            </w:pPr>
            <w:r>
              <w:rPr>
                <w:rFonts w:hint="eastAsia" w:ascii="Times New Roman" w:hAnsi="Times New Roman"/>
                <w:color w:val="auto"/>
                <w:highlight w:val="none"/>
                <w:lang w:val="en-US" w:eastAsia="zh-CN"/>
              </w:rPr>
              <w:t>0.1332</w:t>
            </w:r>
          </w:p>
        </w:tc>
        <w:tc>
          <w:tcPr>
            <w:tcW w:w="965" w:type="dxa"/>
            <w:tcBorders>
              <w:tl2br w:val="nil"/>
              <w:tr2bl w:val="nil"/>
            </w:tcBorders>
            <w:noWrap w:val="0"/>
            <w:vAlign w:val="center"/>
          </w:tcPr>
          <w:p w14:paraId="0ACA9D8E">
            <w:pPr>
              <w:widowControl/>
              <w:jc w:val="center"/>
              <w:rPr>
                <w:rFonts w:hint="default" w:ascii="Times New Roman" w:hAnsi="Times New Roman" w:eastAsia="宋体"/>
                <w:color w:val="auto"/>
                <w:kern w:val="0"/>
                <w:szCs w:val="21"/>
                <w:highlight w:val="none"/>
                <w:lang w:val="en-US"/>
              </w:rPr>
            </w:pPr>
            <w:r>
              <w:rPr>
                <w:rFonts w:hint="eastAsia" w:ascii="Times New Roman" w:hAnsi="Times New Roman" w:eastAsia="宋体"/>
                <w:color w:val="auto"/>
                <w:kern w:val="0"/>
                <w:szCs w:val="21"/>
                <w:highlight w:val="none"/>
                <w:lang w:val="en-US" w:eastAsia="zh-CN"/>
              </w:rPr>
              <w:t>40</w:t>
            </w:r>
          </w:p>
        </w:tc>
        <w:tc>
          <w:tcPr>
            <w:tcW w:w="1121" w:type="dxa"/>
            <w:tcBorders>
              <w:tl2br w:val="nil"/>
              <w:tr2bl w:val="nil"/>
            </w:tcBorders>
            <w:noWrap w:val="0"/>
            <w:vAlign w:val="center"/>
          </w:tcPr>
          <w:p w14:paraId="77EFB40E">
            <w:pPr>
              <w:widowControl/>
              <w:jc w:val="center"/>
              <w:rPr>
                <w:rFonts w:hint="default" w:ascii="Times New Roman" w:hAnsi="Times New Roman" w:eastAsia="宋体"/>
                <w:color w:val="auto"/>
                <w:kern w:val="0"/>
                <w:szCs w:val="21"/>
                <w:highlight w:val="none"/>
                <w:lang w:val="en-US"/>
              </w:rPr>
            </w:pPr>
            <w:r>
              <w:rPr>
                <w:rFonts w:hint="eastAsia" w:ascii="Times New Roman" w:hAnsi="Times New Roman" w:eastAsia="宋体"/>
                <w:color w:val="auto"/>
                <w:kern w:val="0"/>
                <w:szCs w:val="21"/>
                <w:highlight w:val="none"/>
                <w:lang w:val="en-US" w:eastAsia="zh-CN"/>
              </w:rPr>
              <w:t>29</w:t>
            </w:r>
          </w:p>
        </w:tc>
        <w:tc>
          <w:tcPr>
            <w:tcW w:w="1080" w:type="dxa"/>
            <w:tcBorders>
              <w:tl2br w:val="nil"/>
              <w:tr2bl w:val="nil"/>
            </w:tcBorders>
            <w:noWrap w:val="0"/>
            <w:vAlign w:val="center"/>
          </w:tcPr>
          <w:p w14:paraId="3CB45602">
            <w:pPr>
              <w:widowControl/>
              <w:jc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8</w:t>
            </w:r>
          </w:p>
        </w:tc>
      </w:tr>
      <w:tr w14:paraId="78CE3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1546" w:type="dxa"/>
            <w:tcBorders>
              <w:tl2br w:val="nil"/>
              <w:tr2bl w:val="nil"/>
            </w:tcBorders>
            <w:noWrap w:val="0"/>
            <w:vAlign w:val="center"/>
          </w:tcPr>
          <w:p w14:paraId="17008FAA">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制氢工艺区</w:t>
            </w:r>
          </w:p>
        </w:tc>
        <w:tc>
          <w:tcPr>
            <w:tcW w:w="1914" w:type="dxa"/>
            <w:tcBorders>
              <w:tl2br w:val="nil"/>
              <w:tr2bl w:val="nil"/>
            </w:tcBorders>
            <w:noWrap w:val="0"/>
            <w:vAlign w:val="center"/>
          </w:tcPr>
          <w:p w14:paraId="42130479">
            <w:pPr>
              <w:tabs>
                <w:tab w:val="left" w:pos="2200"/>
                <w:tab w:val="left" w:pos="3960"/>
                <w:tab w:val="left" w:pos="5280"/>
              </w:tabs>
              <w:snapToGrid w:val="0"/>
              <w:ind w:left="-105" w:leftChars="-50" w:right="-105" w:rightChars="-50"/>
              <w:jc w:val="center"/>
              <w:rPr>
                <w:rFonts w:hint="default" w:ascii="Times New Roman" w:hAnsi="Times New Roman" w:eastAsia="宋体"/>
                <w:color w:val="auto"/>
                <w:szCs w:val="21"/>
                <w:highlight w:val="none"/>
                <w:vertAlign w:val="baseline"/>
                <w:lang w:val="en-US" w:eastAsia="zh-CN"/>
              </w:rPr>
            </w:pPr>
            <w:r>
              <w:rPr>
                <w:rFonts w:hint="eastAsia" w:ascii="Times New Roman" w:hAnsi="Times New Roman" w:eastAsia="宋体"/>
                <w:color w:val="auto"/>
                <w:szCs w:val="21"/>
                <w:highlight w:val="none"/>
                <w:lang w:val="en-US" w:eastAsia="zh-CN"/>
              </w:rPr>
              <w:t>H</w:t>
            </w:r>
            <w:r>
              <w:rPr>
                <w:rFonts w:hint="eastAsia" w:ascii="Times New Roman" w:hAnsi="Times New Roman" w:eastAsia="宋体"/>
                <w:color w:val="auto"/>
                <w:szCs w:val="21"/>
                <w:highlight w:val="none"/>
                <w:vertAlign w:val="subscript"/>
                <w:lang w:val="en-US" w:eastAsia="zh-CN"/>
              </w:rPr>
              <w:t>2</w:t>
            </w:r>
            <w:r>
              <w:rPr>
                <w:rFonts w:hint="eastAsia" w:ascii="Times New Roman" w:hAnsi="Times New Roman" w:eastAsia="宋体"/>
                <w:color w:val="auto"/>
                <w:szCs w:val="21"/>
                <w:highlight w:val="none"/>
                <w:vertAlign w:val="baseline"/>
                <w:lang w:val="en-US" w:eastAsia="zh-CN"/>
              </w:rPr>
              <w:t>、CH</w:t>
            </w:r>
            <w:r>
              <w:rPr>
                <w:rFonts w:hint="eastAsia" w:ascii="Times New Roman" w:hAnsi="Times New Roman" w:eastAsia="宋体"/>
                <w:color w:val="auto"/>
                <w:szCs w:val="21"/>
                <w:highlight w:val="none"/>
                <w:vertAlign w:val="subscript"/>
                <w:lang w:val="en-US" w:eastAsia="zh-CN"/>
              </w:rPr>
              <w:t>4</w:t>
            </w:r>
            <w:r>
              <w:rPr>
                <w:rFonts w:hint="eastAsia" w:ascii="Times New Roman" w:hAnsi="Times New Roman" w:eastAsia="宋体"/>
                <w:color w:val="auto"/>
                <w:szCs w:val="21"/>
                <w:highlight w:val="none"/>
                <w:vertAlign w:val="baseline"/>
                <w:lang w:val="en-US" w:eastAsia="zh-CN"/>
              </w:rPr>
              <w:t>、H</w:t>
            </w:r>
            <w:r>
              <w:rPr>
                <w:rFonts w:hint="eastAsia" w:ascii="Times New Roman" w:hAnsi="Times New Roman" w:eastAsia="宋体"/>
                <w:color w:val="auto"/>
                <w:szCs w:val="21"/>
                <w:highlight w:val="none"/>
                <w:vertAlign w:val="subscript"/>
                <w:lang w:val="en-US" w:eastAsia="zh-CN"/>
              </w:rPr>
              <w:t>2</w:t>
            </w:r>
            <w:r>
              <w:rPr>
                <w:rFonts w:hint="eastAsia" w:ascii="Times New Roman" w:hAnsi="Times New Roman" w:eastAsia="宋体"/>
                <w:color w:val="auto"/>
                <w:szCs w:val="21"/>
                <w:highlight w:val="none"/>
                <w:vertAlign w:val="baseline"/>
                <w:lang w:val="en-US" w:eastAsia="zh-CN"/>
              </w:rPr>
              <w:t>S、CO等</w:t>
            </w:r>
          </w:p>
        </w:tc>
        <w:tc>
          <w:tcPr>
            <w:tcW w:w="1207" w:type="dxa"/>
            <w:tcBorders>
              <w:tl2br w:val="nil"/>
              <w:tr2bl w:val="nil"/>
            </w:tcBorders>
            <w:noWrap w:val="0"/>
            <w:vAlign w:val="center"/>
          </w:tcPr>
          <w:p w14:paraId="5CA4CEEC">
            <w:pPr>
              <w:jc w:val="center"/>
              <w:rPr>
                <w:rFonts w:hint="default" w:ascii="Times New Roman" w:hAnsi="Times New Roman"/>
                <w:color w:val="auto"/>
                <w:highlight w:val="none"/>
                <w:lang w:val="en-US" w:eastAsia="zh-CN"/>
              </w:rPr>
            </w:pPr>
            <w:r>
              <w:rPr>
                <w:rFonts w:hint="eastAsia" w:ascii="Times New Roman" w:hAnsi="Times New Roman" w:eastAsia="宋体"/>
                <w:color w:val="auto"/>
                <w:sz w:val="21"/>
                <w:szCs w:val="21"/>
                <w:highlight w:val="none"/>
                <w:lang w:val="en-US" w:eastAsia="zh-CN"/>
              </w:rPr>
              <w:t>/</w:t>
            </w:r>
          </w:p>
        </w:tc>
        <w:tc>
          <w:tcPr>
            <w:tcW w:w="1069" w:type="dxa"/>
            <w:tcBorders>
              <w:tl2br w:val="nil"/>
              <w:tr2bl w:val="nil"/>
            </w:tcBorders>
            <w:noWrap w:val="0"/>
            <w:vAlign w:val="center"/>
          </w:tcPr>
          <w:p w14:paraId="70FBB8F6">
            <w:pPr>
              <w:jc w:val="center"/>
              <w:rPr>
                <w:rFonts w:hint="default" w:ascii="Times New Roman" w:hAnsi="Times New Roman"/>
                <w:color w:val="auto"/>
                <w:highlight w:val="none"/>
                <w:lang w:val="en-US" w:eastAsia="zh-CN"/>
              </w:rPr>
            </w:pPr>
            <w:r>
              <w:rPr>
                <w:rFonts w:hint="eastAsia" w:ascii="Times New Roman" w:hAnsi="Times New Roman" w:eastAsia="宋体"/>
                <w:color w:val="auto"/>
                <w:sz w:val="21"/>
                <w:szCs w:val="21"/>
                <w:highlight w:val="none"/>
                <w:lang w:val="en-US" w:eastAsia="zh-CN"/>
              </w:rPr>
              <w:t>/</w:t>
            </w:r>
          </w:p>
        </w:tc>
        <w:tc>
          <w:tcPr>
            <w:tcW w:w="2793" w:type="dxa"/>
            <w:tcBorders>
              <w:tl2br w:val="nil"/>
              <w:tr2bl w:val="nil"/>
            </w:tcBorders>
            <w:noWrap w:val="0"/>
            <w:vAlign w:val="center"/>
          </w:tcPr>
          <w:p w14:paraId="61C19898">
            <w:pPr>
              <w:widowControl/>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无组织排放</w:t>
            </w:r>
          </w:p>
        </w:tc>
        <w:tc>
          <w:tcPr>
            <w:tcW w:w="1017" w:type="dxa"/>
            <w:tcBorders>
              <w:tl2br w:val="nil"/>
              <w:tr2bl w:val="nil"/>
            </w:tcBorders>
            <w:noWrap w:val="0"/>
            <w:vAlign w:val="center"/>
          </w:tcPr>
          <w:p w14:paraId="5FE3FA57">
            <w:pPr>
              <w:jc w:val="center"/>
              <w:rPr>
                <w:rFonts w:hint="eastAsia" w:ascii="Times New Roman" w:hAnsi="Times New Roman"/>
                <w:color w:val="auto"/>
                <w:highlight w:val="none"/>
                <w:lang w:val="en-US" w:eastAsia="zh-CN"/>
              </w:rPr>
            </w:pPr>
            <w:r>
              <w:rPr>
                <w:rFonts w:hint="eastAsia" w:ascii="Times New Roman" w:hAnsi="Times New Roman" w:eastAsia="宋体"/>
                <w:color w:val="auto"/>
                <w:sz w:val="21"/>
                <w:szCs w:val="21"/>
                <w:highlight w:val="none"/>
                <w:lang w:val="en-US" w:eastAsia="zh-CN"/>
              </w:rPr>
              <w:t>/</w:t>
            </w:r>
          </w:p>
        </w:tc>
        <w:tc>
          <w:tcPr>
            <w:tcW w:w="983" w:type="dxa"/>
            <w:tcBorders>
              <w:tl2br w:val="nil"/>
              <w:tr2bl w:val="nil"/>
            </w:tcBorders>
            <w:noWrap w:val="0"/>
            <w:vAlign w:val="center"/>
          </w:tcPr>
          <w:p w14:paraId="3BD4525A">
            <w:pPr>
              <w:jc w:val="center"/>
              <w:rPr>
                <w:rFonts w:hint="eastAsia" w:ascii="Times New Roman" w:hAnsi="Times New Roman"/>
                <w:color w:val="auto"/>
                <w:highlight w:val="none"/>
                <w:lang w:val="en-US" w:eastAsia="zh-CN"/>
              </w:rPr>
            </w:pPr>
            <w:r>
              <w:rPr>
                <w:rFonts w:hint="eastAsia" w:ascii="Times New Roman" w:hAnsi="Times New Roman" w:eastAsia="宋体"/>
                <w:color w:val="auto"/>
                <w:sz w:val="21"/>
                <w:szCs w:val="21"/>
                <w:highlight w:val="none"/>
                <w:lang w:val="en-US" w:eastAsia="zh-CN"/>
              </w:rPr>
              <w:t>/</w:t>
            </w:r>
          </w:p>
        </w:tc>
        <w:tc>
          <w:tcPr>
            <w:tcW w:w="965" w:type="dxa"/>
            <w:tcBorders>
              <w:tl2br w:val="nil"/>
              <w:tr2bl w:val="nil"/>
            </w:tcBorders>
            <w:noWrap w:val="0"/>
            <w:vAlign w:val="center"/>
          </w:tcPr>
          <w:p w14:paraId="526C75CC">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76.1</w:t>
            </w:r>
          </w:p>
        </w:tc>
        <w:tc>
          <w:tcPr>
            <w:tcW w:w="1121" w:type="dxa"/>
            <w:tcBorders>
              <w:tl2br w:val="nil"/>
              <w:tr2bl w:val="nil"/>
            </w:tcBorders>
            <w:noWrap w:val="0"/>
            <w:vAlign w:val="center"/>
          </w:tcPr>
          <w:p w14:paraId="406DCFCE">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71.49</w:t>
            </w:r>
          </w:p>
        </w:tc>
        <w:tc>
          <w:tcPr>
            <w:tcW w:w="1080" w:type="dxa"/>
            <w:tcBorders>
              <w:tl2br w:val="nil"/>
              <w:tr2bl w:val="nil"/>
            </w:tcBorders>
            <w:noWrap w:val="0"/>
            <w:vAlign w:val="center"/>
          </w:tcPr>
          <w:p w14:paraId="329CCA8D">
            <w:pPr>
              <w:widowControl/>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5</w:t>
            </w:r>
          </w:p>
        </w:tc>
      </w:tr>
      <w:tr w14:paraId="41024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1546" w:type="dxa"/>
            <w:tcBorders>
              <w:tl2br w:val="nil"/>
              <w:tr2bl w:val="nil"/>
            </w:tcBorders>
            <w:noWrap w:val="0"/>
            <w:vAlign w:val="center"/>
          </w:tcPr>
          <w:p w14:paraId="6D5671A9">
            <w:pPr>
              <w:widowControl/>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车辆尾气</w:t>
            </w:r>
          </w:p>
        </w:tc>
        <w:tc>
          <w:tcPr>
            <w:tcW w:w="1914" w:type="dxa"/>
            <w:tcBorders>
              <w:tl2br w:val="nil"/>
              <w:tr2bl w:val="nil"/>
            </w:tcBorders>
            <w:noWrap w:val="0"/>
            <w:vAlign w:val="center"/>
          </w:tcPr>
          <w:p w14:paraId="29E788FF">
            <w:pPr>
              <w:tabs>
                <w:tab w:val="left" w:pos="2200"/>
                <w:tab w:val="left" w:pos="3960"/>
                <w:tab w:val="left" w:pos="5280"/>
              </w:tabs>
              <w:snapToGrid w:val="0"/>
              <w:ind w:left="-105" w:leftChars="-50" w:right="-105" w:rightChars="-5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CO、NO</w:t>
            </w:r>
            <w:r>
              <w:rPr>
                <w:rFonts w:hint="eastAsia" w:ascii="Times New Roman" w:hAnsi="Times New Roman" w:eastAsia="宋体"/>
                <w:color w:val="auto"/>
                <w:szCs w:val="21"/>
                <w:highlight w:val="none"/>
                <w:vertAlign w:val="subscript"/>
                <w:lang w:val="en-US" w:eastAsia="zh-CN"/>
              </w:rPr>
              <w:t>X</w:t>
            </w:r>
            <w:r>
              <w:rPr>
                <w:rFonts w:hint="eastAsia" w:ascii="Times New Roman" w:hAnsi="Times New Roman" w:eastAsia="宋体"/>
                <w:color w:val="auto"/>
                <w:szCs w:val="21"/>
                <w:highlight w:val="none"/>
                <w:lang w:val="en-US" w:eastAsia="zh-CN"/>
              </w:rPr>
              <w:t>及颗粒物</w:t>
            </w:r>
          </w:p>
        </w:tc>
        <w:tc>
          <w:tcPr>
            <w:tcW w:w="1207" w:type="dxa"/>
            <w:tcBorders>
              <w:tl2br w:val="nil"/>
              <w:tr2bl w:val="nil"/>
            </w:tcBorders>
            <w:noWrap w:val="0"/>
            <w:vAlign w:val="center"/>
          </w:tcPr>
          <w:p w14:paraId="779BE135">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w:t>
            </w:r>
          </w:p>
        </w:tc>
        <w:tc>
          <w:tcPr>
            <w:tcW w:w="1069" w:type="dxa"/>
            <w:tcBorders>
              <w:tl2br w:val="nil"/>
              <w:tr2bl w:val="nil"/>
            </w:tcBorders>
            <w:noWrap w:val="0"/>
            <w:vAlign w:val="center"/>
          </w:tcPr>
          <w:p w14:paraId="577585D0">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w:t>
            </w:r>
          </w:p>
        </w:tc>
        <w:tc>
          <w:tcPr>
            <w:tcW w:w="2793" w:type="dxa"/>
            <w:tcBorders>
              <w:tl2br w:val="nil"/>
              <w:tr2bl w:val="nil"/>
            </w:tcBorders>
            <w:noWrap w:val="0"/>
            <w:vAlign w:val="center"/>
          </w:tcPr>
          <w:p w14:paraId="0816B081">
            <w:pPr>
              <w:widowControl/>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无组织排放</w:t>
            </w:r>
          </w:p>
        </w:tc>
        <w:tc>
          <w:tcPr>
            <w:tcW w:w="1017" w:type="dxa"/>
            <w:tcBorders>
              <w:tl2br w:val="nil"/>
              <w:tr2bl w:val="nil"/>
            </w:tcBorders>
            <w:noWrap w:val="0"/>
            <w:vAlign w:val="center"/>
          </w:tcPr>
          <w:p w14:paraId="3822EE84">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w:t>
            </w:r>
          </w:p>
        </w:tc>
        <w:tc>
          <w:tcPr>
            <w:tcW w:w="983" w:type="dxa"/>
            <w:tcBorders>
              <w:tl2br w:val="nil"/>
              <w:tr2bl w:val="nil"/>
            </w:tcBorders>
            <w:noWrap w:val="0"/>
            <w:vAlign w:val="center"/>
          </w:tcPr>
          <w:p w14:paraId="13DA24DA">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w:t>
            </w:r>
          </w:p>
        </w:tc>
        <w:tc>
          <w:tcPr>
            <w:tcW w:w="965" w:type="dxa"/>
            <w:tcBorders>
              <w:tl2br w:val="nil"/>
              <w:tr2bl w:val="nil"/>
            </w:tcBorders>
            <w:noWrap w:val="0"/>
            <w:vAlign w:val="center"/>
          </w:tcPr>
          <w:p w14:paraId="185E8111">
            <w:pPr>
              <w:widowControl/>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151.66</w:t>
            </w:r>
          </w:p>
        </w:tc>
        <w:tc>
          <w:tcPr>
            <w:tcW w:w="1121" w:type="dxa"/>
            <w:tcBorders>
              <w:tl2br w:val="nil"/>
              <w:tr2bl w:val="nil"/>
            </w:tcBorders>
            <w:noWrap w:val="0"/>
            <w:vAlign w:val="center"/>
          </w:tcPr>
          <w:p w14:paraId="78E5988D">
            <w:pPr>
              <w:widowControl/>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100.88</w:t>
            </w:r>
          </w:p>
        </w:tc>
        <w:tc>
          <w:tcPr>
            <w:tcW w:w="1080" w:type="dxa"/>
            <w:tcBorders>
              <w:tl2br w:val="nil"/>
              <w:tr2bl w:val="nil"/>
            </w:tcBorders>
            <w:noWrap w:val="0"/>
            <w:vAlign w:val="center"/>
          </w:tcPr>
          <w:p w14:paraId="7B5C9556">
            <w:pPr>
              <w:widowControl/>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5</w:t>
            </w:r>
          </w:p>
        </w:tc>
      </w:tr>
    </w:tbl>
    <w:p w14:paraId="64EA79FD">
      <w:pPr>
        <w:spacing w:line="360" w:lineRule="auto"/>
        <w:ind w:firstLine="480" w:firstLineChars="200"/>
        <w:rPr>
          <w:rFonts w:hint="default" w:ascii="Times New Roman" w:hAnsi="Times New Roman" w:eastAsia="宋体" w:cs="Times New Roman"/>
          <w:b/>
          <w:color w:val="auto"/>
          <w:sz w:val="24"/>
          <w:szCs w:val="28"/>
          <w:highlight w:val="none"/>
          <w:lang w:val="en-US" w:eastAsia="zh-CN"/>
        </w:rPr>
      </w:pPr>
      <w:r>
        <w:rPr>
          <w:rFonts w:hint="eastAsia" w:ascii="Times New Roman" w:hAnsi="Times New Roman" w:eastAsia="宋体" w:cs="Times New Roman"/>
          <w:b/>
          <w:color w:val="auto"/>
          <w:sz w:val="24"/>
          <w:szCs w:val="28"/>
          <w:highlight w:val="none"/>
          <w:lang w:val="en-US" w:eastAsia="zh-CN"/>
        </w:rPr>
        <w:t>3</w:t>
      </w:r>
      <w:r>
        <w:rPr>
          <w:rFonts w:hint="default" w:ascii="Times New Roman" w:hAnsi="Times New Roman" w:eastAsia="宋体" w:cs="Times New Roman"/>
          <w:b/>
          <w:color w:val="auto"/>
          <w:sz w:val="24"/>
          <w:szCs w:val="28"/>
          <w:highlight w:val="none"/>
          <w:lang w:val="en-US" w:eastAsia="zh-CN"/>
        </w:rPr>
        <w:t>、非正常工况</w:t>
      </w:r>
    </w:p>
    <w:p w14:paraId="1C5BF766">
      <w:pPr>
        <w:spacing w:line="360" w:lineRule="auto"/>
        <w:ind w:firstLine="482"/>
        <w:rPr>
          <w:rFonts w:hint="default" w:ascii="Times New Roman" w:hAnsi="Times New Roman" w:cs="Times New Roman"/>
          <w:color w:val="auto"/>
          <w:sz w:val="24"/>
          <w:szCs w:val="20"/>
          <w:highlight w:val="none"/>
        </w:rPr>
      </w:pPr>
      <w:r>
        <w:rPr>
          <w:rFonts w:hint="default" w:ascii="Times New Roman" w:hAnsi="Times New Roman" w:cs="Times New Roman"/>
          <w:color w:val="auto"/>
          <w:sz w:val="24"/>
          <w:szCs w:val="20"/>
          <w:highlight w:val="none"/>
        </w:rPr>
        <w:t>建设项目非正常工况是指生产运行阶段的开、停车、检修、操作不正常等，不包括发生事故工况。其他非正常工况排污是指工艺设备或环保设施达不到设计规定的指标运行时的排污。</w:t>
      </w:r>
    </w:p>
    <w:p w14:paraId="60C55DF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0"/>
          <w:highlight w:val="none"/>
        </w:rPr>
      </w:pPr>
      <w:r>
        <w:rPr>
          <w:rFonts w:hint="eastAsia" w:ascii="Times New Roman" w:hAnsi="Times New Roman" w:cs="Times New Roman"/>
          <w:color w:val="auto"/>
          <w:sz w:val="24"/>
          <w:szCs w:val="20"/>
          <w:highlight w:val="none"/>
          <w:lang w:eastAsia="zh-CN"/>
        </w:rPr>
        <w:t>（</w:t>
      </w:r>
      <w:r>
        <w:rPr>
          <w:rFonts w:hint="eastAsia" w:ascii="Times New Roman" w:hAnsi="Times New Roman" w:cs="Times New Roman"/>
          <w:color w:val="auto"/>
          <w:sz w:val="24"/>
          <w:szCs w:val="20"/>
          <w:highlight w:val="none"/>
          <w:lang w:val="en-US" w:eastAsia="zh-CN"/>
        </w:rPr>
        <w:t>1</w:t>
      </w:r>
      <w:r>
        <w:rPr>
          <w:rFonts w:hint="eastAsia" w:ascii="Times New Roman" w:hAnsi="Times New Roman" w:cs="Times New Roman"/>
          <w:color w:val="auto"/>
          <w:sz w:val="24"/>
          <w:szCs w:val="20"/>
          <w:highlight w:val="none"/>
          <w:lang w:eastAsia="zh-CN"/>
        </w:rPr>
        <w:t>）</w:t>
      </w:r>
      <w:r>
        <w:rPr>
          <w:rFonts w:hint="default" w:ascii="Times New Roman" w:hAnsi="Times New Roman" w:cs="Times New Roman"/>
          <w:color w:val="auto"/>
          <w:sz w:val="24"/>
          <w:szCs w:val="20"/>
          <w:highlight w:val="none"/>
        </w:rPr>
        <w:t>开、停车污染源分析</w:t>
      </w:r>
    </w:p>
    <w:p w14:paraId="51E4D7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开车装置在开车前，需用氮气对系统进行吹扫、置换，吹扫</w:t>
      </w:r>
      <w:r>
        <w:rPr>
          <w:rFonts w:hint="default" w:ascii="Times New Roman" w:hAnsi="Times New Roman" w:eastAsia="Times New Roman" w:cs="Times New Roman"/>
          <w:b w:val="0"/>
          <w:bCs w:val="0"/>
          <w:color w:val="auto"/>
          <w:sz w:val="24"/>
          <w:szCs w:val="24"/>
          <w:highlight w:val="none"/>
        </w:rPr>
        <w:t>/</w:t>
      </w:r>
      <w:r>
        <w:rPr>
          <w:rFonts w:hint="eastAsia" w:ascii="宋体" w:hAnsi="宋体" w:eastAsia="宋体" w:cs="宋体"/>
          <w:b w:val="0"/>
          <w:bCs w:val="0"/>
          <w:color w:val="auto"/>
          <w:sz w:val="24"/>
          <w:szCs w:val="24"/>
          <w:highlight w:val="none"/>
        </w:rPr>
        <w:t>置换气中含有微量的粉尘，可直接排入周边环境。</w:t>
      </w:r>
    </w:p>
    <w:p w14:paraId="404343E3">
      <w:pPr>
        <w:spacing w:line="360" w:lineRule="auto"/>
        <w:ind w:firstLine="482"/>
        <w:rPr>
          <w:rFonts w:hint="default" w:ascii="Times New Roman" w:hAnsi="Times New Roman" w:cs="Times New Roman"/>
          <w:color w:val="auto"/>
          <w:sz w:val="24"/>
          <w:szCs w:val="20"/>
          <w:highlight w:val="none"/>
        </w:rPr>
      </w:pPr>
      <w:r>
        <w:rPr>
          <w:rFonts w:hint="eastAsia" w:ascii="Times New Roman" w:hAnsi="Times New Roman" w:cs="Times New Roman"/>
          <w:color w:val="auto"/>
          <w:sz w:val="24"/>
          <w:szCs w:val="20"/>
          <w:highlight w:val="none"/>
          <w:lang w:val="en-US" w:eastAsia="zh-CN"/>
        </w:rPr>
        <w:t>（2）</w:t>
      </w:r>
      <w:r>
        <w:rPr>
          <w:rFonts w:hint="default" w:ascii="Times New Roman" w:hAnsi="Times New Roman" w:cs="Times New Roman"/>
          <w:color w:val="auto"/>
          <w:sz w:val="24"/>
          <w:szCs w:val="20"/>
          <w:highlight w:val="none"/>
        </w:rPr>
        <w:t>生产设备故障和检修</w:t>
      </w:r>
    </w:p>
    <w:p w14:paraId="32E33F3B">
      <w:pPr>
        <w:spacing w:line="360" w:lineRule="auto"/>
        <w:ind w:firstLine="482"/>
        <w:rPr>
          <w:rFonts w:hint="eastAsia" w:ascii="宋体" w:hAnsi="宋体" w:eastAsia="宋体" w:cs="宋体"/>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rPr>
        <w:t>装置检修停车后，将系统内残余气体送应急焚烧装置，之后用氮气对全系统进行吹扫，一年停车一次，氮气吹扫气体送至应急焚烧装置，一般可在</w:t>
      </w:r>
      <w:r>
        <w:rPr>
          <w:rFonts w:hint="default" w:ascii="Times New Roman" w:hAnsi="Times New Roman" w:eastAsia="Times New Roman" w:cs="Times New Roman"/>
          <w:b w:val="0"/>
          <w:bCs w:val="0"/>
          <w:color w:val="auto"/>
          <w:sz w:val="24"/>
          <w:szCs w:val="24"/>
          <w:highlight w:val="none"/>
        </w:rPr>
        <w:t>20min</w:t>
      </w:r>
      <w:r>
        <w:rPr>
          <w:rFonts w:hint="default" w:ascii="Times New Roman" w:hAnsi="Times New Roman" w:eastAsia="宋体" w:cs="Times New Roman"/>
          <w:b w:val="0"/>
          <w:bCs w:val="0"/>
          <w:color w:val="auto"/>
          <w:sz w:val="24"/>
          <w:szCs w:val="24"/>
          <w:highlight w:val="none"/>
        </w:rPr>
        <w:t>内可完成吹扫过程。</w:t>
      </w:r>
      <w:r>
        <w:rPr>
          <w:rFonts w:hint="default" w:ascii="Times New Roman" w:hAnsi="Times New Roman" w:eastAsia="宋体" w:cs="Times New Roman"/>
          <w:b w:val="0"/>
          <w:bCs w:val="0"/>
          <w:color w:val="auto"/>
          <w:sz w:val="24"/>
          <w:szCs w:val="24"/>
          <w:highlight w:val="none"/>
          <w:lang w:val="en-US" w:eastAsia="zh-CN"/>
        </w:rPr>
        <w:t>同时本项目设置ESD系统（紧急停车系统），共设置四个</w:t>
      </w:r>
      <w:r>
        <w:rPr>
          <w:rFonts w:hint="default" w:ascii="Times New Roman" w:hAnsi="Times New Roman" w:eastAsia="宋体" w:cs="Times New Roman"/>
          <w:b w:val="0"/>
          <w:bCs w:val="0"/>
          <w:color w:val="auto"/>
          <w:sz w:val="24"/>
          <w:szCs w:val="24"/>
          <w:highlight w:val="none"/>
        </w:rPr>
        <w:t>关断等级（按危险程度划分）一级关断（全平台关断）</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触发条件：火灾、可燃气大量泄漏、自然灾害等极端情况。动作：关闭所有工艺设备（除应急发电机和火炬系统），启动弃平台程序。二级关断（火灾关断）触发条件：火气系统检测到火灾或可燃气泄漏。动作：关闭相关工艺单元，保持</w:t>
      </w:r>
      <w:r>
        <w:rPr>
          <w:rFonts w:hint="eastAsia" w:ascii="宋体" w:hAnsi="宋体" w:eastAsia="宋体" w:cs="宋体"/>
          <w:b w:val="0"/>
          <w:bCs w:val="0"/>
          <w:color w:val="auto"/>
          <w:sz w:val="24"/>
          <w:szCs w:val="24"/>
          <w:highlight w:val="none"/>
        </w:rPr>
        <w:t>供电和仪表风系统。三级关断（工艺故障关断）触发条件：关键参数超限（如压力高高、液位高高）。动作：局部设备或单系统关断。四级关断（单设备关断）触发条件：单个设备故障（如泵过热）。动作：仅关停故障设备</w:t>
      </w:r>
      <w:r>
        <w:rPr>
          <w:rFonts w:hint="eastAsia" w:ascii="宋体" w:hAnsi="宋体" w:eastAsia="宋体" w:cs="宋体"/>
          <w:b w:val="0"/>
          <w:bCs w:val="0"/>
          <w:color w:val="auto"/>
          <w:sz w:val="24"/>
          <w:szCs w:val="24"/>
          <w:highlight w:val="none"/>
          <w:lang w:eastAsia="zh-CN"/>
        </w:rPr>
        <w:t>。</w:t>
      </w:r>
    </w:p>
    <w:p w14:paraId="3B62AABB">
      <w:pPr>
        <w:spacing w:line="360" w:lineRule="auto"/>
        <w:ind w:firstLine="482"/>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lang w:val="en-US" w:eastAsia="zh-CN"/>
        </w:rPr>
        <w:t>火炬</w:t>
      </w:r>
      <w:r>
        <w:rPr>
          <w:rFonts w:hint="eastAsia" w:ascii="宋体" w:hAnsi="宋体" w:eastAsia="宋体" w:cs="宋体"/>
          <w:b w:val="0"/>
          <w:bCs w:val="0"/>
          <w:color w:val="auto"/>
          <w:sz w:val="24"/>
          <w:szCs w:val="24"/>
          <w:highlight w:val="none"/>
        </w:rPr>
        <w:t>参照《排污许可证申请与核发技术规范 石化工业》（</w:t>
      </w:r>
      <w:r>
        <w:rPr>
          <w:rFonts w:hint="default" w:ascii="Times New Roman" w:hAnsi="Times New Roman" w:eastAsia="Times New Roman" w:cs="Times New Roman"/>
          <w:b w:val="0"/>
          <w:bCs w:val="0"/>
          <w:color w:val="auto"/>
          <w:sz w:val="24"/>
          <w:szCs w:val="24"/>
          <w:highlight w:val="none"/>
        </w:rPr>
        <w:t>HJ853-2017</w:t>
      </w:r>
      <w:r>
        <w:rPr>
          <w:rFonts w:hint="eastAsia" w:ascii="宋体" w:hAnsi="宋体" w:eastAsia="宋体" w:cs="宋体"/>
          <w:b w:val="0"/>
          <w:bCs w:val="0"/>
          <w:color w:val="auto"/>
          <w:sz w:val="24"/>
          <w:szCs w:val="24"/>
          <w:highlight w:val="none"/>
        </w:rPr>
        <w:t>）中</w:t>
      </w:r>
      <w:r>
        <w:rPr>
          <w:rFonts w:hint="default" w:ascii="Times New Roman" w:hAnsi="Times New Roman" w:eastAsia="Times New Roman" w:cs="Times New Roman"/>
          <w:b w:val="0"/>
          <w:bCs w:val="0"/>
          <w:color w:val="auto"/>
          <w:sz w:val="24"/>
          <w:szCs w:val="24"/>
          <w:highlight w:val="none"/>
        </w:rPr>
        <w:t>9.2.3</w:t>
      </w:r>
      <w:r>
        <w:rPr>
          <w:rFonts w:hint="eastAsia" w:ascii="宋体" w:hAnsi="宋体" w:eastAsia="宋体" w:cs="宋体"/>
          <w:b w:val="0"/>
          <w:bCs w:val="0"/>
          <w:color w:val="auto"/>
          <w:sz w:val="24"/>
          <w:szCs w:val="24"/>
          <w:highlight w:val="none"/>
        </w:rPr>
        <w:t>火炬排放污染物量的相关公式进行计算，具体如下。</w:t>
      </w:r>
    </w:p>
    <w:p w14:paraId="3009158A">
      <w:pPr>
        <w:spacing w:line="360" w:lineRule="auto"/>
        <w:ind w:firstLine="482"/>
        <w:jc w:val="center"/>
        <w:rPr>
          <w:rFonts w:hint="default" w:ascii="宋体" w:hAnsi="宋体" w:eastAsia="宋体" w:cs="宋体"/>
          <w:b w:val="0"/>
          <w:bCs w:val="0"/>
          <w:color w:val="auto"/>
          <w:sz w:val="24"/>
          <w:szCs w:val="24"/>
          <w:highlight w:val="none"/>
        </w:rPr>
      </w:pPr>
      <w:r>
        <w:rPr>
          <w:color w:val="auto"/>
          <w:highlight w:val="none"/>
        </w:rPr>
        <w:drawing>
          <wp:inline distT="0" distB="0" distL="114300" distR="114300">
            <wp:extent cx="3607435" cy="821690"/>
            <wp:effectExtent l="0" t="0" r="12065" b="16510"/>
            <wp:docPr id="561"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23"/>
                    <pic:cNvPicPr>
                      <a:picLocks noChangeAspect="1"/>
                    </pic:cNvPicPr>
                  </pic:nvPicPr>
                  <pic:blipFill>
                    <a:blip r:embed="rId43"/>
                    <a:stretch>
                      <a:fillRect/>
                    </a:stretch>
                  </pic:blipFill>
                  <pic:spPr>
                    <a:xfrm>
                      <a:off x="0" y="0"/>
                      <a:ext cx="3607435" cy="821690"/>
                    </a:xfrm>
                    <a:prstGeom prst="rect">
                      <a:avLst/>
                    </a:prstGeom>
                    <a:noFill/>
                    <a:ln>
                      <a:noFill/>
                    </a:ln>
                  </pic:spPr>
                </pic:pic>
              </a:graphicData>
            </a:graphic>
          </wp:inline>
        </w:drawing>
      </w:r>
    </w:p>
    <w:p w14:paraId="056234B1">
      <w:pPr>
        <w:spacing w:line="360" w:lineRule="auto"/>
        <w:ind w:firstLine="482"/>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式中：</w:t>
      </w:r>
      <w:r>
        <w:rPr>
          <w:rFonts w:ascii="Times New Roman" w:hAnsi="Times New Roman" w:eastAsia="Times New Roman" w:cs="Times New Roman"/>
          <w:b w:val="0"/>
          <w:bCs w:val="0"/>
          <w:color w:val="auto"/>
          <w:sz w:val="24"/>
          <w:szCs w:val="24"/>
          <w:highlight w:val="none"/>
        </w:rPr>
        <w:t>S</w:t>
      </w:r>
      <w:r>
        <w:rPr>
          <w:rFonts w:hint="default" w:ascii="Times New Roman" w:hAnsi="Times New Roman" w:eastAsia="Times New Roman" w:cs="Times New Roman"/>
          <w:b w:val="0"/>
          <w:bCs w:val="0"/>
          <w:color w:val="auto"/>
          <w:sz w:val="15"/>
          <w:szCs w:val="15"/>
          <w:highlight w:val="none"/>
        </w:rPr>
        <w:t>i</w:t>
      </w:r>
      <w:r>
        <w:rPr>
          <w:rFonts w:hint="default" w:ascii="Times New Roman" w:hAnsi="Times New Roman" w:eastAsia="Times New Roman" w:cs="Times New Roman"/>
          <w:b w:val="0"/>
          <w:bCs w:val="0"/>
          <w:color w:val="auto"/>
          <w:sz w:val="24"/>
          <w:szCs w:val="24"/>
          <w:highlight w:val="none"/>
        </w:rPr>
        <w:t>——</w:t>
      </w:r>
      <w:r>
        <w:rPr>
          <w:rFonts w:hint="eastAsia" w:ascii="宋体" w:hAnsi="宋体" w:eastAsia="宋体" w:cs="宋体"/>
          <w:b w:val="0"/>
          <w:bCs w:val="0"/>
          <w:color w:val="auto"/>
          <w:sz w:val="24"/>
          <w:szCs w:val="24"/>
          <w:highlight w:val="none"/>
        </w:rPr>
        <w:t>火炬气中的硫含量，</w:t>
      </w:r>
      <w:r>
        <w:rPr>
          <w:rFonts w:hint="default" w:ascii="Times New Roman" w:hAnsi="Times New Roman" w:eastAsia="Times New Roman" w:cs="Times New Roman"/>
          <w:b w:val="0"/>
          <w:bCs w:val="0"/>
          <w:color w:val="auto"/>
          <w:sz w:val="24"/>
          <w:szCs w:val="24"/>
          <w:highlight w:val="none"/>
        </w:rPr>
        <w:t>kg/m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Times New Roman" w:hAnsi="Times New Roman" w:eastAsia="宋体" w:cs="Times New Roman"/>
          <w:b w:val="0"/>
          <w:bCs w:val="0"/>
          <w:color w:val="auto"/>
          <w:sz w:val="24"/>
          <w:szCs w:val="24"/>
          <w:highlight w:val="none"/>
          <w:vertAlign w:val="baseline"/>
          <w:lang w:val="en-US" w:eastAsia="zh-CN"/>
        </w:rPr>
        <w:t>，</w:t>
      </w:r>
    </w:p>
    <w:p w14:paraId="608C8E55">
      <w:pPr>
        <w:keepNext w:val="0"/>
        <w:keepLines w:val="0"/>
        <w:pageBreakBefore w:val="0"/>
        <w:widowControl w:val="0"/>
        <w:kinsoku/>
        <w:wordWrap/>
        <w:overflowPunct/>
        <w:topLinePunct w:val="0"/>
        <w:autoSpaceDE/>
        <w:autoSpaceDN/>
        <w:bidi w:val="0"/>
        <w:adjustRightInd w:val="0"/>
        <w:snapToGrid w:val="0"/>
        <w:spacing w:line="360" w:lineRule="auto"/>
        <w:ind w:firstLine="1134"/>
        <w:jc w:val="left"/>
        <w:textAlignment w:val="auto"/>
        <w:rPr>
          <w:rFonts w:hint="eastAsia" w:ascii="宋体" w:hAnsi="宋体" w:eastAsia="宋体" w:cs="宋体"/>
          <w:b w:val="0"/>
          <w:bCs w:val="0"/>
          <w:color w:val="auto"/>
          <w:sz w:val="24"/>
          <w:szCs w:val="24"/>
          <w:highlight w:val="none"/>
        </w:rPr>
      </w:pPr>
      <w:r>
        <w:rPr>
          <w:rFonts w:hint="default" w:ascii="Times New Roman" w:hAnsi="Times New Roman" w:eastAsia="Times New Roman" w:cs="Times New Roman"/>
          <w:b w:val="0"/>
          <w:bCs w:val="0"/>
          <w:color w:val="auto"/>
          <w:sz w:val="24"/>
          <w:szCs w:val="24"/>
          <w:highlight w:val="none"/>
        </w:rPr>
        <w:t>Q</w:t>
      </w:r>
      <w:r>
        <w:rPr>
          <w:rFonts w:hint="default" w:ascii="Times New Roman" w:hAnsi="Times New Roman" w:eastAsia="Times New Roman" w:cs="Times New Roman"/>
          <w:b w:val="0"/>
          <w:bCs w:val="0"/>
          <w:color w:val="auto"/>
          <w:sz w:val="15"/>
          <w:szCs w:val="15"/>
          <w:highlight w:val="none"/>
        </w:rPr>
        <w:t>i</w:t>
      </w:r>
      <w:r>
        <w:rPr>
          <w:rFonts w:hint="default" w:ascii="Times New Roman" w:hAnsi="Times New Roman" w:eastAsia="Times New Roman" w:cs="Times New Roman"/>
          <w:b w:val="0"/>
          <w:bCs w:val="0"/>
          <w:color w:val="auto"/>
          <w:sz w:val="24"/>
          <w:szCs w:val="24"/>
          <w:highlight w:val="none"/>
        </w:rPr>
        <w:t>——</w:t>
      </w:r>
      <w:r>
        <w:rPr>
          <w:rFonts w:hint="eastAsia" w:ascii="宋体" w:hAnsi="宋体" w:eastAsia="宋体" w:cs="宋体"/>
          <w:b w:val="0"/>
          <w:bCs w:val="0"/>
          <w:color w:val="auto"/>
          <w:sz w:val="24"/>
          <w:szCs w:val="24"/>
          <w:highlight w:val="none"/>
        </w:rPr>
        <w:t>火炬气流量，</w:t>
      </w:r>
      <w:r>
        <w:rPr>
          <w:rFonts w:hint="default" w:ascii="Times New Roman" w:hAnsi="Times New Roman" w:eastAsia="Times New Roman" w:cs="Times New Roman"/>
          <w:b w:val="0"/>
          <w:bCs w:val="0"/>
          <w:color w:val="auto"/>
          <w:sz w:val="24"/>
          <w:szCs w:val="24"/>
          <w:highlight w:val="none"/>
        </w:rPr>
        <w:t>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/h</w:t>
      </w:r>
      <w:r>
        <w:rPr>
          <w:rFonts w:hint="eastAsia" w:ascii="宋体" w:hAnsi="宋体" w:eastAsia="宋体" w:cs="宋体"/>
          <w:b w:val="0"/>
          <w:bCs w:val="0"/>
          <w:color w:val="auto"/>
          <w:sz w:val="24"/>
          <w:szCs w:val="24"/>
          <w:highlight w:val="none"/>
        </w:rPr>
        <w:t>，取值</w:t>
      </w:r>
      <w:r>
        <w:rPr>
          <w:rFonts w:hint="default" w:ascii="Times New Roman" w:hAnsi="Times New Roman" w:eastAsia="Times New Roman" w:cs="Times New Roman"/>
          <w:b w:val="0"/>
          <w:bCs w:val="0"/>
          <w:color w:val="auto"/>
          <w:sz w:val="24"/>
          <w:szCs w:val="24"/>
          <w:highlight w:val="none"/>
        </w:rPr>
        <w:t>80m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Times New Roman" w:cs="Times New Roman"/>
          <w:b w:val="0"/>
          <w:bCs w:val="0"/>
          <w:color w:val="auto"/>
          <w:sz w:val="24"/>
          <w:szCs w:val="24"/>
          <w:highlight w:val="none"/>
        </w:rPr>
        <w:t>/h</w:t>
      </w:r>
      <w:r>
        <w:rPr>
          <w:rFonts w:hint="eastAsia" w:ascii="宋体" w:hAnsi="宋体" w:eastAsia="宋体" w:cs="宋体"/>
          <w:b w:val="0"/>
          <w:bCs w:val="0"/>
          <w:color w:val="auto"/>
          <w:sz w:val="24"/>
          <w:szCs w:val="24"/>
          <w:highlight w:val="none"/>
        </w:rPr>
        <w:t>；</w:t>
      </w:r>
    </w:p>
    <w:p w14:paraId="2B57DB82">
      <w:pPr>
        <w:keepNext w:val="0"/>
        <w:keepLines w:val="0"/>
        <w:pageBreakBefore w:val="0"/>
        <w:widowControl w:val="0"/>
        <w:kinsoku/>
        <w:wordWrap/>
        <w:overflowPunct/>
        <w:topLinePunct w:val="0"/>
        <w:autoSpaceDE/>
        <w:autoSpaceDN/>
        <w:bidi w:val="0"/>
        <w:adjustRightInd w:val="0"/>
        <w:snapToGrid w:val="0"/>
        <w:spacing w:line="360" w:lineRule="auto"/>
        <w:ind w:firstLine="1134"/>
        <w:jc w:val="left"/>
        <w:textAlignment w:val="auto"/>
        <w:rPr>
          <w:rFonts w:hint="eastAsia" w:ascii="宋体" w:hAnsi="宋体" w:eastAsia="宋体" w:cs="宋体"/>
          <w:b w:val="0"/>
          <w:bCs w:val="0"/>
          <w:color w:val="auto"/>
          <w:sz w:val="24"/>
          <w:szCs w:val="24"/>
          <w:highlight w:val="none"/>
        </w:rPr>
      </w:pPr>
      <w:r>
        <w:rPr>
          <w:rFonts w:hint="default" w:ascii="Times New Roman" w:hAnsi="Times New Roman" w:eastAsia="Times New Roman" w:cs="Times New Roman"/>
          <w:b w:val="0"/>
          <w:bCs w:val="0"/>
          <w:color w:val="auto"/>
          <w:sz w:val="24"/>
          <w:szCs w:val="24"/>
          <w:highlight w:val="none"/>
        </w:rPr>
        <w:t>t</w:t>
      </w:r>
      <w:r>
        <w:rPr>
          <w:rFonts w:hint="default" w:ascii="Times New Roman" w:hAnsi="Times New Roman" w:eastAsia="Times New Roman" w:cs="Times New Roman"/>
          <w:b w:val="0"/>
          <w:bCs w:val="0"/>
          <w:color w:val="auto"/>
          <w:sz w:val="15"/>
          <w:szCs w:val="15"/>
          <w:highlight w:val="none"/>
        </w:rPr>
        <w:t>i</w:t>
      </w:r>
      <w:r>
        <w:rPr>
          <w:rFonts w:hint="default" w:ascii="Times New Roman" w:hAnsi="Times New Roman" w:eastAsia="Times New Roman" w:cs="Times New Roman"/>
          <w:b w:val="0"/>
          <w:bCs w:val="0"/>
          <w:color w:val="auto"/>
          <w:sz w:val="24"/>
          <w:szCs w:val="24"/>
          <w:highlight w:val="none"/>
        </w:rPr>
        <w:t>——</w:t>
      </w:r>
      <w:r>
        <w:rPr>
          <w:rFonts w:hint="eastAsia" w:ascii="宋体" w:hAnsi="宋体" w:eastAsia="宋体" w:cs="宋体"/>
          <w:b w:val="0"/>
          <w:bCs w:val="0"/>
          <w:color w:val="auto"/>
          <w:sz w:val="24"/>
          <w:szCs w:val="24"/>
          <w:highlight w:val="none"/>
        </w:rPr>
        <w:t>火炬系统</w:t>
      </w:r>
      <w:r>
        <w:rPr>
          <w:rFonts w:hint="default" w:ascii="Times New Roman" w:hAnsi="Times New Roman" w:eastAsia="Times New Roman" w:cs="Times New Roman"/>
          <w:b w:val="0"/>
          <w:bCs w:val="0"/>
          <w:color w:val="auto"/>
          <w:sz w:val="24"/>
          <w:szCs w:val="24"/>
          <w:highlight w:val="none"/>
        </w:rPr>
        <w:t>i</w:t>
      </w:r>
      <w:r>
        <w:rPr>
          <w:rFonts w:hint="eastAsia" w:ascii="宋体" w:hAnsi="宋体" w:eastAsia="宋体" w:cs="宋体"/>
          <w:b w:val="0"/>
          <w:bCs w:val="0"/>
          <w:color w:val="auto"/>
          <w:sz w:val="24"/>
          <w:szCs w:val="24"/>
          <w:highlight w:val="none"/>
        </w:rPr>
        <w:t>的年运行时间，</w:t>
      </w:r>
      <w:r>
        <w:rPr>
          <w:rFonts w:hint="default" w:ascii="Times New Roman" w:hAnsi="Times New Roman" w:eastAsia="Times New Roman" w:cs="Times New Roman"/>
          <w:b w:val="0"/>
          <w:bCs w:val="0"/>
          <w:color w:val="auto"/>
          <w:sz w:val="24"/>
          <w:szCs w:val="24"/>
          <w:highlight w:val="none"/>
        </w:rPr>
        <w:t>h/a</w:t>
      </w:r>
      <w:r>
        <w:rPr>
          <w:rFonts w:hint="eastAsia" w:ascii="宋体" w:hAnsi="宋体" w:eastAsia="宋体" w:cs="宋体"/>
          <w:b w:val="0"/>
          <w:bCs w:val="0"/>
          <w:color w:val="auto"/>
          <w:sz w:val="24"/>
          <w:szCs w:val="24"/>
          <w:highlight w:val="none"/>
        </w:rPr>
        <w:t>；</w:t>
      </w:r>
    </w:p>
    <w:p w14:paraId="24E4469C">
      <w:pPr>
        <w:keepNext w:val="0"/>
        <w:keepLines w:val="0"/>
        <w:pageBreakBefore w:val="0"/>
        <w:widowControl w:val="0"/>
        <w:kinsoku/>
        <w:wordWrap/>
        <w:overflowPunct/>
        <w:topLinePunct w:val="0"/>
        <w:autoSpaceDE/>
        <w:autoSpaceDN/>
        <w:bidi w:val="0"/>
        <w:adjustRightInd w:val="0"/>
        <w:snapToGrid w:val="0"/>
        <w:spacing w:line="360" w:lineRule="auto"/>
        <w:ind w:firstLine="1134"/>
        <w:jc w:val="left"/>
        <w:textAlignment w:val="auto"/>
        <w:rPr>
          <w:rFonts w:hint="eastAsia" w:ascii="宋体" w:hAnsi="宋体" w:eastAsia="宋体" w:cs="宋体"/>
          <w:b w:val="0"/>
          <w:bCs w:val="0"/>
          <w:color w:val="auto"/>
          <w:sz w:val="24"/>
          <w:szCs w:val="24"/>
          <w:highlight w:val="none"/>
        </w:rPr>
      </w:pPr>
      <w:r>
        <w:rPr>
          <w:rFonts w:hint="default" w:ascii="Times New Roman" w:hAnsi="Times New Roman" w:eastAsia="Times New Roman" w:cs="Times New Roman"/>
          <w:b w:val="0"/>
          <w:bCs w:val="0"/>
          <w:color w:val="auto"/>
          <w:sz w:val="24"/>
          <w:szCs w:val="24"/>
          <w:highlight w:val="none"/>
        </w:rPr>
        <w:t>α——</w:t>
      </w:r>
      <w:r>
        <w:rPr>
          <w:rFonts w:hint="eastAsia" w:ascii="宋体" w:hAnsi="宋体" w:eastAsia="宋体" w:cs="宋体"/>
          <w:b w:val="0"/>
          <w:bCs w:val="0"/>
          <w:color w:val="auto"/>
          <w:sz w:val="24"/>
          <w:szCs w:val="24"/>
          <w:highlight w:val="none"/>
        </w:rPr>
        <w:t>排放系数，</w:t>
      </w:r>
      <w:r>
        <w:rPr>
          <w:rFonts w:hint="default" w:ascii="Times New Roman" w:hAnsi="Times New Roman" w:eastAsia="Times New Roman" w:cs="Times New Roman"/>
          <w:b w:val="0"/>
          <w:bCs w:val="0"/>
          <w:color w:val="auto"/>
          <w:sz w:val="24"/>
          <w:szCs w:val="24"/>
          <w:highlight w:val="none"/>
        </w:rPr>
        <w:t>kg/m</w:t>
      </w:r>
      <w:r>
        <w:rPr>
          <w:rFonts w:hint="eastAsia" w:ascii="Times New Roman" w:hAnsi="Times New Roman" w:eastAsia="宋体" w:cs="Times New Roman"/>
          <w:b w:val="0"/>
          <w:bCs w:val="0"/>
          <w:color w:val="auto"/>
          <w:sz w:val="24"/>
          <w:szCs w:val="24"/>
          <w:highlight w:val="none"/>
          <w:vertAlign w:val="superscript"/>
          <w:lang w:val="en-US" w:eastAsia="zh-CN"/>
        </w:rPr>
        <w:t>3</w:t>
      </w:r>
      <w:r>
        <w:rPr>
          <w:rFonts w:hint="eastAsia" w:ascii="宋体" w:hAnsi="宋体" w:eastAsia="宋体" w:cs="宋体"/>
          <w:b w:val="0"/>
          <w:bCs w:val="0"/>
          <w:color w:val="auto"/>
          <w:sz w:val="24"/>
          <w:szCs w:val="24"/>
          <w:highlight w:val="none"/>
        </w:rPr>
        <w:t>，</w:t>
      </w:r>
      <w:r>
        <w:rPr>
          <w:rFonts w:hint="eastAsia" w:ascii="Times New Roman" w:hAnsi="Times New Roman" w:eastAsia="Times New Roman" w:cs="Times New Roman"/>
          <w:b w:val="0"/>
          <w:bCs w:val="0"/>
          <w:color w:val="auto"/>
          <w:sz w:val="24"/>
          <w:szCs w:val="24"/>
          <w:highlight w:val="none"/>
        </w:rPr>
        <w:t>总烃</w:t>
      </w:r>
      <w:r>
        <w:rPr>
          <w:rFonts w:hint="eastAsia" w:ascii="Times New Roman" w:hAnsi="Times New Roman" w:eastAsia="Times New Roman" w:cs="Times New Roman"/>
          <w:b w:val="0"/>
          <w:bCs w:val="0"/>
          <w:color w:val="auto"/>
          <w:sz w:val="24"/>
          <w:szCs w:val="24"/>
          <w:highlight w:val="none"/>
          <w:lang w:eastAsia="zh-CN"/>
        </w:rPr>
        <w:t>：</w:t>
      </w:r>
      <w:r>
        <w:rPr>
          <w:rFonts w:hint="eastAsia" w:ascii="Times New Roman" w:hAnsi="Times New Roman" w:eastAsia="Times New Roman" w:cs="Times New Roman"/>
          <w:b w:val="0"/>
          <w:bCs w:val="0"/>
          <w:color w:val="auto"/>
          <w:sz w:val="24"/>
          <w:szCs w:val="24"/>
          <w:highlight w:val="none"/>
          <w:lang w:val="en-US" w:eastAsia="zh-CN"/>
        </w:rPr>
        <w:t>0.002；NO</w:t>
      </w:r>
      <w:r>
        <w:rPr>
          <w:rFonts w:hint="eastAsia" w:ascii="Times New Roman" w:hAnsi="Times New Roman" w:eastAsia="Times New Roman" w:cs="Times New Roman"/>
          <w:b w:val="0"/>
          <w:bCs w:val="0"/>
          <w:color w:val="auto"/>
          <w:sz w:val="24"/>
          <w:szCs w:val="24"/>
          <w:highlight w:val="none"/>
          <w:vertAlign w:val="subscript"/>
          <w:lang w:val="en-US" w:eastAsia="zh-CN"/>
        </w:rPr>
        <w:t>X</w:t>
      </w:r>
      <w:r>
        <w:rPr>
          <w:rFonts w:hint="eastAsia" w:ascii="Times New Roman" w:hAnsi="Times New Roman" w:eastAsia="Times New Roman" w:cs="Times New Roman"/>
          <w:b w:val="0"/>
          <w:bCs w:val="0"/>
          <w:color w:val="auto"/>
          <w:sz w:val="24"/>
          <w:szCs w:val="24"/>
          <w:highlight w:val="none"/>
          <w:lang w:val="en-US" w:eastAsia="zh-CN"/>
        </w:rPr>
        <w:t>：0.0054；</w:t>
      </w:r>
    </w:p>
    <w:p w14:paraId="208F3CDC">
      <w:pPr>
        <w:keepNext w:val="0"/>
        <w:keepLines w:val="0"/>
        <w:pageBreakBefore w:val="0"/>
        <w:widowControl w:val="0"/>
        <w:kinsoku/>
        <w:wordWrap/>
        <w:overflowPunct/>
        <w:topLinePunct w:val="0"/>
        <w:autoSpaceDE/>
        <w:autoSpaceDN/>
        <w:bidi w:val="0"/>
        <w:adjustRightInd w:val="0"/>
        <w:snapToGrid w:val="0"/>
        <w:spacing w:line="360" w:lineRule="auto"/>
        <w:ind w:firstLine="1134"/>
        <w:jc w:val="left"/>
        <w:textAlignment w:val="auto"/>
        <w:rPr>
          <w:rFonts w:hint="eastAsia" w:ascii="Times New Roman" w:hAnsi="Times New Roman" w:cs="Times New Roman"/>
          <w:color w:val="auto"/>
          <w:sz w:val="24"/>
          <w:szCs w:val="20"/>
          <w:highlight w:val="none"/>
          <w:lang w:eastAsia="zh-CN"/>
        </w:rPr>
      </w:pPr>
      <w:r>
        <w:rPr>
          <w:rFonts w:hint="default" w:ascii="Times New Roman" w:hAnsi="Times New Roman" w:eastAsia="Times New Roman" w:cs="Times New Roman"/>
          <w:b w:val="0"/>
          <w:bCs w:val="0"/>
          <w:color w:val="auto"/>
          <w:sz w:val="24"/>
          <w:szCs w:val="24"/>
          <w:highlight w:val="none"/>
        </w:rPr>
        <w:t>n——</w:t>
      </w:r>
      <w:r>
        <w:rPr>
          <w:rFonts w:hint="eastAsia" w:ascii="宋体" w:hAnsi="宋体" w:eastAsia="宋体" w:cs="宋体"/>
          <w:b w:val="0"/>
          <w:bCs w:val="0"/>
          <w:color w:val="auto"/>
          <w:sz w:val="24"/>
          <w:szCs w:val="24"/>
          <w:highlight w:val="none"/>
        </w:rPr>
        <w:t>火炬个数，</w:t>
      </w:r>
      <w:r>
        <w:rPr>
          <w:rFonts w:hint="default" w:ascii="Times New Roman" w:hAnsi="Times New Roman" w:eastAsia="Times New Roman" w:cs="Times New Roman"/>
          <w:b w:val="0"/>
          <w:bCs w:val="0"/>
          <w:color w:val="auto"/>
          <w:sz w:val="24"/>
          <w:szCs w:val="24"/>
          <w:highlight w:val="none"/>
        </w:rPr>
        <w:t>1</w:t>
      </w:r>
      <w:r>
        <w:rPr>
          <w:rFonts w:hint="eastAsia" w:ascii="宋体" w:hAnsi="宋体" w:eastAsia="宋体" w:cs="宋体"/>
          <w:b w:val="0"/>
          <w:bCs w:val="0"/>
          <w:color w:val="auto"/>
          <w:sz w:val="24"/>
          <w:szCs w:val="24"/>
          <w:highlight w:val="none"/>
        </w:rPr>
        <w:t>个。</w:t>
      </w:r>
    </w:p>
    <w:p w14:paraId="63FA457F">
      <w:pPr>
        <w:keepNext w:val="0"/>
        <w:keepLines w:val="0"/>
        <w:pageBreakBefore w:val="0"/>
        <w:widowControl w:val="0"/>
        <w:kinsoku/>
        <w:wordWrap/>
        <w:overflowPunct/>
        <w:topLinePunct w:val="0"/>
        <w:autoSpaceDE/>
        <w:autoSpaceDN/>
        <w:bidi w:val="0"/>
        <w:adjustRightInd/>
        <w:snapToGrid/>
        <w:spacing w:line="360" w:lineRule="auto"/>
        <w:ind w:firstLine="482"/>
        <w:jc w:val="left"/>
        <w:textAlignment w:val="auto"/>
        <w:rPr>
          <w:rFonts w:hint="default" w:ascii="Times New Roman" w:hAnsi="Times New Roman" w:cs="Times New Roman"/>
          <w:b w:val="0"/>
          <w:bCs w:val="0"/>
          <w:color w:val="auto"/>
          <w:sz w:val="24"/>
          <w:szCs w:val="20"/>
          <w:highlight w:val="none"/>
        </w:rPr>
      </w:pPr>
      <w:r>
        <w:rPr>
          <w:rFonts w:hint="default" w:ascii="Times New Roman" w:hAnsi="Times New Roman" w:cs="Times New Roman"/>
          <w:color w:val="auto"/>
          <w:sz w:val="24"/>
          <w:szCs w:val="20"/>
          <w:highlight w:val="none"/>
        </w:rPr>
        <w:t>非正常工况下废气排放情况详见</w:t>
      </w:r>
      <w:r>
        <w:rPr>
          <w:rFonts w:hint="eastAsia" w:ascii="Times New Roman" w:hAnsi="Times New Roman" w:cs="Times New Roman"/>
          <w:b w:val="0"/>
          <w:bCs w:val="0"/>
          <w:color w:val="auto"/>
          <w:sz w:val="24"/>
          <w:szCs w:val="20"/>
          <w:highlight w:val="none"/>
          <w:lang w:eastAsia="zh-CN"/>
        </w:rPr>
        <w:t>下表</w:t>
      </w:r>
      <w:r>
        <w:rPr>
          <w:rFonts w:hint="eastAsia" w:ascii="Times New Roman" w:hAnsi="Times New Roman" w:cs="Times New Roman"/>
          <w:b w:val="0"/>
          <w:bCs w:val="0"/>
          <w:color w:val="auto"/>
          <w:sz w:val="24"/>
          <w:szCs w:val="20"/>
          <w:highlight w:val="none"/>
          <w:lang w:val="en-US" w:eastAsia="zh-CN"/>
        </w:rPr>
        <w:t>3.4.2-7</w:t>
      </w:r>
      <w:r>
        <w:rPr>
          <w:rFonts w:hint="eastAsia" w:ascii="Times New Roman" w:hAnsi="Times New Roman" w:cs="Times New Roman"/>
          <w:b w:val="0"/>
          <w:bCs w:val="0"/>
          <w:color w:val="auto"/>
          <w:sz w:val="24"/>
          <w:szCs w:val="20"/>
          <w:highlight w:val="none"/>
          <w:lang w:eastAsia="zh-CN"/>
        </w:rPr>
        <w:t>、</w:t>
      </w:r>
      <w:r>
        <w:rPr>
          <w:rFonts w:hint="eastAsia" w:ascii="Times New Roman" w:hAnsi="Times New Roman" w:cs="Times New Roman"/>
          <w:b w:val="0"/>
          <w:bCs w:val="0"/>
          <w:color w:val="auto"/>
          <w:sz w:val="24"/>
          <w:szCs w:val="20"/>
          <w:highlight w:val="none"/>
          <w:lang w:val="en-US" w:eastAsia="zh-CN"/>
        </w:rPr>
        <w:t>图3.4-1</w:t>
      </w:r>
      <w:r>
        <w:rPr>
          <w:rFonts w:hint="default" w:ascii="Times New Roman" w:hAnsi="Times New Roman" w:cs="Times New Roman"/>
          <w:b w:val="0"/>
          <w:bCs w:val="0"/>
          <w:color w:val="auto"/>
          <w:sz w:val="24"/>
          <w:szCs w:val="20"/>
          <w:highlight w:val="none"/>
        </w:rPr>
        <w:t>。</w:t>
      </w:r>
    </w:p>
    <w:p w14:paraId="245C9710">
      <w:pPr>
        <w:pStyle w:val="539"/>
        <w:adjustRightInd w:val="0"/>
        <w:snapToGrid w:val="0"/>
        <w:spacing w:line="360" w:lineRule="auto"/>
        <w:ind w:firstLine="482"/>
        <w:jc w:val="center"/>
        <w:rPr>
          <w:rStyle w:val="540"/>
          <w:rFonts w:hint="default" w:ascii="Times New Roman" w:hAnsi="Times New Roman" w:cs="Times New Roman"/>
          <w:color w:val="auto"/>
          <w:sz w:val="24"/>
          <w:highlight w:val="none"/>
        </w:rPr>
      </w:pPr>
      <w:r>
        <w:rPr>
          <w:rStyle w:val="540"/>
          <w:rFonts w:hint="default" w:ascii="Times New Roman" w:hAnsi="Times New Roman" w:cs="Times New Roman"/>
          <w:color w:val="auto"/>
          <w:sz w:val="24"/>
          <w:highlight w:val="none"/>
        </w:rPr>
        <w:t>表</w:t>
      </w:r>
      <w:r>
        <w:rPr>
          <w:rFonts w:hint="eastAsia" w:ascii="Times New Roman" w:hAnsi="Times New Roman" w:cs="Times New Roman"/>
          <w:b/>
          <w:bCs w:val="0"/>
          <w:color w:val="auto"/>
          <w:sz w:val="24"/>
          <w:highlight w:val="none"/>
          <w:lang w:val="en-US" w:eastAsia="zh-CN"/>
        </w:rPr>
        <w:t>3.</w:t>
      </w:r>
      <w:r>
        <w:rPr>
          <w:rFonts w:hint="eastAsia" w:cs="Times New Roman"/>
          <w:b/>
          <w:bCs w:val="0"/>
          <w:color w:val="auto"/>
          <w:sz w:val="24"/>
          <w:highlight w:val="none"/>
          <w:lang w:val="en-US" w:eastAsia="zh-CN"/>
        </w:rPr>
        <w:t>5</w:t>
      </w:r>
      <w:r>
        <w:rPr>
          <w:rFonts w:hint="eastAsia" w:ascii="Times New Roman" w:hAnsi="Times New Roman" w:cs="Times New Roman"/>
          <w:b/>
          <w:bCs w:val="0"/>
          <w:color w:val="auto"/>
          <w:sz w:val="24"/>
          <w:highlight w:val="none"/>
          <w:lang w:val="en-US" w:eastAsia="zh-CN"/>
        </w:rPr>
        <w:t>.2</w:t>
      </w:r>
      <w:r>
        <w:rPr>
          <w:rFonts w:hint="default" w:ascii="Times New Roman" w:hAnsi="Times New Roman" w:cs="Times New Roman"/>
          <w:b/>
          <w:bCs w:val="0"/>
          <w:color w:val="auto"/>
          <w:sz w:val="24"/>
          <w:highlight w:val="none"/>
        </w:rPr>
        <w:t>-</w:t>
      </w:r>
      <w:r>
        <w:rPr>
          <w:rFonts w:hint="eastAsia" w:ascii="Times New Roman" w:hAnsi="Times New Roman" w:cs="Times New Roman"/>
          <w:b/>
          <w:bCs w:val="0"/>
          <w:color w:val="auto"/>
          <w:sz w:val="24"/>
          <w:highlight w:val="none"/>
          <w:lang w:val="en-US" w:eastAsia="zh-CN"/>
        </w:rPr>
        <w:t>7</w:t>
      </w:r>
      <w:r>
        <w:rPr>
          <w:rFonts w:hint="eastAsia" w:cs="Times New Roman"/>
          <w:b/>
          <w:bCs w:val="0"/>
          <w:color w:val="auto"/>
          <w:sz w:val="24"/>
          <w:highlight w:val="none"/>
          <w:lang w:val="en-US" w:eastAsia="zh-CN"/>
        </w:rPr>
        <w:t xml:space="preserve">  </w:t>
      </w:r>
      <w:r>
        <w:rPr>
          <w:rStyle w:val="540"/>
          <w:rFonts w:hint="default" w:ascii="Times New Roman" w:hAnsi="Times New Roman" w:cs="Times New Roman"/>
          <w:color w:val="auto"/>
          <w:sz w:val="24"/>
          <w:highlight w:val="none"/>
        </w:rPr>
        <w:t>非正常排放参数表</w:t>
      </w:r>
    </w:p>
    <w:tbl>
      <w:tblPr>
        <w:tblStyle w:val="535"/>
        <w:tblpPr w:leftFromText="181" w:rightFromText="181" w:bottomFromText="142" w:vertAnchor="text" w:tblpXSpec="center" w:tblpY="1"/>
        <w:tblOverlap w:val="never"/>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2105"/>
        <w:gridCol w:w="3557"/>
        <w:gridCol w:w="2593"/>
        <w:gridCol w:w="1006"/>
        <w:gridCol w:w="1407"/>
        <w:gridCol w:w="1665"/>
        <w:gridCol w:w="1673"/>
      </w:tblGrid>
      <w:tr w14:paraId="31CEC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51" w:type="pct"/>
            <w:noWrap w:val="0"/>
            <w:vAlign w:val="center"/>
          </w:tcPr>
          <w:p w14:paraId="695CDA56">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污染源</w:t>
            </w:r>
          </w:p>
        </w:tc>
        <w:tc>
          <w:tcPr>
            <w:tcW w:w="1269" w:type="pct"/>
            <w:noWrap w:val="0"/>
            <w:vAlign w:val="center"/>
          </w:tcPr>
          <w:p w14:paraId="35B7877A">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非正常工况情景</w:t>
            </w:r>
          </w:p>
        </w:tc>
        <w:tc>
          <w:tcPr>
            <w:tcW w:w="925" w:type="pct"/>
            <w:noWrap w:val="0"/>
            <w:vAlign w:val="center"/>
          </w:tcPr>
          <w:p w14:paraId="40C37BCA">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污染物</w:t>
            </w:r>
          </w:p>
        </w:tc>
        <w:tc>
          <w:tcPr>
            <w:tcW w:w="359" w:type="pct"/>
            <w:noWrap w:val="0"/>
            <w:vAlign w:val="center"/>
          </w:tcPr>
          <w:p w14:paraId="748FFAE4">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频次</w:t>
            </w:r>
          </w:p>
        </w:tc>
        <w:tc>
          <w:tcPr>
            <w:tcW w:w="502" w:type="pct"/>
            <w:noWrap w:val="0"/>
            <w:vAlign w:val="center"/>
          </w:tcPr>
          <w:p w14:paraId="236CDB8C">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持续时间</w:t>
            </w:r>
          </w:p>
        </w:tc>
        <w:tc>
          <w:tcPr>
            <w:tcW w:w="594" w:type="pct"/>
            <w:noWrap w:val="0"/>
            <w:vAlign w:val="center"/>
          </w:tcPr>
          <w:p w14:paraId="66B464A9">
            <w:pPr>
              <w:widowControl w:val="0"/>
              <w:spacing w:line="240" w:lineRule="auto"/>
              <w:ind w:firstLine="0" w:firstLineChars="0"/>
              <w:jc w:val="center"/>
              <w:textAlignment w:val="center"/>
              <w:rPr>
                <w:rFonts w:hint="default"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排放量kg</w:t>
            </w:r>
          </w:p>
        </w:tc>
        <w:tc>
          <w:tcPr>
            <w:tcW w:w="597" w:type="pct"/>
            <w:noWrap w:val="0"/>
            <w:vAlign w:val="center"/>
          </w:tcPr>
          <w:p w14:paraId="54C3B171">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排放浓度mg/m</w:t>
            </w:r>
            <w:r>
              <w:rPr>
                <w:rFonts w:ascii="Times New Roman" w:hAnsi="Times New Roman" w:eastAsia="宋体" w:cs="Times New Roman"/>
                <w:b/>
                <w:i w:val="0"/>
                <w:color w:val="auto"/>
                <w:kern w:val="0"/>
                <w:sz w:val="21"/>
                <w:szCs w:val="21"/>
                <w:highlight w:val="none"/>
                <w:vertAlign w:val="superscript"/>
                <w:lang w:val="en-US" w:eastAsia="zh-CN" w:bidi="ar-SA"/>
              </w:rPr>
              <w:t>3</w:t>
            </w:r>
          </w:p>
        </w:tc>
      </w:tr>
      <w:tr w14:paraId="4716B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jc w:val="center"/>
        </w:trPr>
        <w:tc>
          <w:tcPr>
            <w:tcW w:w="751" w:type="pct"/>
            <w:vMerge w:val="restart"/>
            <w:noWrap w:val="0"/>
            <w:vAlign w:val="center"/>
          </w:tcPr>
          <w:p w14:paraId="6F9BB70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应急焚烧装置</w:t>
            </w:r>
          </w:p>
        </w:tc>
        <w:tc>
          <w:tcPr>
            <w:tcW w:w="1269" w:type="pct"/>
            <w:vMerge w:val="restart"/>
            <w:noWrap w:val="0"/>
            <w:vAlign w:val="center"/>
          </w:tcPr>
          <w:p w14:paraId="15975F6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停车检修</w:t>
            </w:r>
          </w:p>
        </w:tc>
        <w:tc>
          <w:tcPr>
            <w:tcW w:w="925" w:type="pct"/>
            <w:noWrap w:val="0"/>
            <w:vAlign w:val="center"/>
          </w:tcPr>
          <w:p w14:paraId="4D880328">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非甲烷总烃</w:t>
            </w:r>
          </w:p>
        </w:tc>
        <w:tc>
          <w:tcPr>
            <w:tcW w:w="359" w:type="pct"/>
            <w:noWrap w:val="0"/>
            <w:vAlign w:val="center"/>
          </w:tcPr>
          <w:p w14:paraId="3DA230B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低</w:t>
            </w:r>
          </w:p>
        </w:tc>
        <w:tc>
          <w:tcPr>
            <w:tcW w:w="502" w:type="pct"/>
            <w:noWrap w:val="0"/>
            <w:vAlign w:val="center"/>
          </w:tcPr>
          <w:p w14:paraId="27900506">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20min/次</w:t>
            </w:r>
          </w:p>
        </w:tc>
        <w:tc>
          <w:tcPr>
            <w:tcW w:w="594" w:type="pct"/>
            <w:noWrap w:val="0"/>
            <w:vAlign w:val="center"/>
          </w:tcPr>
          <w:p w14:paraId="093A7826">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0.053</w:t>
            </w:r>
          </w:p>
        </w:tc>
        <w:tc>
          <w:tcPr>
            <w:tcW w:w="597" w:type="pct"/>
            <w:noWrap w:val="0"/>
            <w:vAlign w:val="center"/>
          </w:tcPr>
          <w:p w14:paraId="7BDD3615">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w:t>
            </w:r>
          </w:p>
        </w:tc>
      </w:tr>
      <w:tr w14:paraId="2464A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jc w:val="center"/>
        </w:trPr>
        <w:tc>
          <w:tcPr>
            <w:tcW w:w="751" w:type="pct"/>
            <w:vMerge w:val="continue"/>
            <w:noWrap w:val="0"/>
            <w:vAlign w:val="center"/>
          </w:tcPr>
          <w:p w14:paraId="4F7DA44C">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1269" w:type="pct"/>
            <w:vMerge w:val="continue"/>
            <w:noWrap w:val="0"/>
            <w:vAlign w:val="center"/>
          </w:tcPr>
          <w:p w14:paraId="0A40360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925" w:type="pct"/>
            <w:noWrap w:val="0"/>
            <w:vAlign w:val="center"/>
          </w:tcPr>
          <w:p w14:paraId="48BF380C">
            <w:pPr>
              <w:adjustRightInd w:val="0"/>
              <w:snapToGrid w:val="0"/>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NO</w:t>
            </w:r>
            <w:r>
              <w:rPr>
                <w:rFonts w:hint="eastAsia" w:ascii="Times New Roman" w:hAnsi="Times New Roman" w:eastAsia="宋体" w:cs="Times New Roman"/>
                <w:color w:val="auto"/>
                <w:sz w:val="21"/>
                <w:szCs w:val="21"/>
                <w:highlight w:val="none"/>
                <w:vertAlign w:val="subscript"/>
                <w:lang w:val="en-US" w:eastAsia="zh-CN"/>
              </w:rPr>
              <w:t>X</w:t>
            </w:r>
          </w:p>
        </w:tc>
        <w:tc>
          <w:tcPr>
            <w:tcW w:w="359" w:type="pct"/>
            <w:noWrap w:val="0"/>
            <w:vAlign w:val="center"/>
          </w:tcPr>
          <w:p w14:paraId="4862776A">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低</w:t>
            </w:r>
          </w:p>
        </w:tc>
        <w:tc>
          <w:tcPr>
            <w:tcW w:w="502" w:type="pct"/>
            <w:noWrap w:val="0"/>
            <w:vAlign w:val="center"/>
          </w:tcPr>
          <w:p w14:paraId="7C303DF2">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20min/次</w:t>
            </w:r>
          </w:p>
        </w:tc>
        <w:tc>
          <w:tcPr>
            <w:tcW w:w="594" w:type="pct"/>
            <w:noWrap w:val="0"/>
            <w:vAlign w:val="center"/>
          </w:tcPr>
          <w:p w14:paraId="468D9283">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1.44</w:t>
            </w:r>
          </w:p>
        </w:tc>
        <w:tc>
          <w:tcPr>
            <w:tcW w:w="597" w:type="pct"/>
            <w:noWrap w:val="0"/>
            <w:vAlign w:val="center"/>
          </w:tcPr>
          <w:p w14:paraId="615C7234">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54</w:t>
            </w:r>
          </w:p>
        </w:tc>
      </w:tr>
    </w:tbl>
    <w:p w14:paraId="3A753B7D">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color w:val="auto"/>
          <w:sz w:val="24"/>
          <w:szCs w:val="20"/>
          <w:highlight w:val="none"/>
        </w:rPr>
      </w:pPr>
      <w:r>
        <w:rPr>
          <w:color w:val="auto"/>
          <w:sz w:val="21"/>
          <w:highlight w:val="none"/>
        </w:rPr>
        <mc:AlternateContent>
          <mc:Choice Requires="wps">
            <w:drawing>
              <wp:anchor distT="0" distB="0" distL="114300" distR="114300" simplePos="0" relativeHeight="251741184" behindDoc="0" locked="0" layoutInCell="1" allowOverlap="1">
                <wp:simplePos x="0" y="0"/>
                <wp:positionH relativeFrom="column">
                  <wp:posOffset>2857500</wp:posOffset>
                </wp:positionH>
                <wp:positionV relativeFrom="paragraph">
                  <wp:posOffset>5326380</wp:posOffset>
                </wp:positionV>
                <wp:extent cx="3227705" cy="285750"/>
                <wp:effectExtent l="0" t="0" r="10795" b="0"/>
                <wp:wrapNone/>
                <wp:docPr id="345" name="文本框 846"/>
                <wp:cNvGraphicFramePr/>
                <a:graphic xmlns:a="http://schemas.openxmlformats.org/drawingml/2006/main">
                  <a:graphicData uri="http://schemas.microsoft.com/office/word/2010/wordprocessingShape">
                    <wps:wsp>
                      <wps:cNvSpPr txBox="1"/>
                      <wps:spPr>
                        <a:xfrm>
                          <a:off x="0" y="0"/>
                          <a:ext cx="3227705" cy="285750"/>
                        </a:xfrm>
                        <a:prstGeom prst="rect">
                          <a:avLst/>
                        </a:prstGeom>
                        <a:solidFill>
                          <a:srgbClr val="FFFFFF"/>
                        </a:solidFill>
                        <a:ln>
                          <a:noFill/>
                        </a:ln>
                      </wps:spPr>
                      <wps:txbx>
                        <w:txbxContent>
                          <w:p w14:paraId="0884B2DF">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val="en-US" w:eastAsia="zh-CN"/>
                              </w:rPr>
                              <w:t>图3.</w:t>
                            </w:r>
                            <w:r>
                              <w:rPr>
                                <w:rFonts w:hint="eastAsia" w:cs="Times New Roman"/>
                                <w:b/>
                                <w:bCs/>
                                <w:sz w:val="24"/>
                                <w:szCs w:val="24"/>
                                <w:lang w:val="en-US" w:eastAsia="zh-CN"/>
                              </w:rPr>
                              <w:t>5</w:t>
                            </w:r>
                            <w:r>
                              <w:rPr>
                                <w:rFonts w:hint="default" w:ascii="Times New Roman" w:hAnsi="Times New Roman" w:cs="Times New Roman"/>
                                <w:b/>
                                <w:bCs/>
                                <w:sz w:val="24"/>
                                <w:szCs w:val="24"/>
                                <w:lang w:val="en-US" w:eastAsia="zh-CN"/>
                              </w:rPr>
                              <w:t>-1  事故状态下站内应急处置措施</w:t>
                            </w:r>
                            <w:r>
                              <w:rPr>
                                <w:rFonts w:hint="eastAsia" w:ascii="Times New Roman" w:hAnsi="Times New Roman" w:cs="Times New Roman"/>
                                <w:b/>
                                <w:bCs/>
                                <w:sz w:val="24"/>
                                <w:szCs w:val="24"/>
                                <w:lang w:val="en-US" w:eastAsia="zh-CN"/>
                              </w:rPr>
                              <w:t>图</w:t>
                            </w:r>
                          </w:p>
                        </w:txbxContent>
                      </wps:txbx>
                      <wps:bodyPr vert="horz" wrap="square" anchor="t" anchorCtr="0" upright="1"/>
                    </wps:wsp>
                  </a:graphicData>
                </a:graphic>
              </wp:anchor>
            </w:drawing>
          </mc:Choice>
          <mc:Fallback>
            <w:pict>
              <v:shape id="文本框 846" o:spid="_x0000_s1026" o:spt="202" type="#_x0000_t202" style="position:absolute;left:0pt;margin-left:225pt;margin-top:419.4pt;height:22.5pt;width:254.15pt;z-index:251741184;mso-width-relative:page;mso-height-relative:page;" fillcolor="#FFFFFF" filled="t" stroked="f" coordsize="21600,21600" o:gfxdata="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BlmwUjYAAAA&#10;CwEAAA8AAAAAAAAAAQAgAAAAIgAAAGRycy9kb3ducmV2LnhtbFBLAQIUABQAAAAIAIdO4kDG8GpC&#10;5AEAAK4DAAAOAAAAAAAAAAEAIAAAACcBAABkcnMvZTJvRG9jLnhtbFBLBQYAAAAABgAGAFkBAAB9&#10;BQAAAAA=&#10;">
                <v:fill on="t" focussize="0,0"/>
                <v:stroke on="f"/>
                <v:imagedata o:title=""/>
                <o:lock v:ext="edit" aspectratio="f"/>
                <v:textbox>
                  <w:txbxContent>
                    <w:p w14:paraId="0884B2DF">
                      <w:pP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val="en-US" w:eastAsia="zh-CN"/>
                        </w:rPr>
                        <w:t>图3.</w:t>
                      </w:r>
                      <w:r>
                        <w:rPr>
                          <w:rFonts w:hint="eastAsia" w:cs="Times New Roman"/>
                          <w:b/>
                          <w:bCs/>
                          <w:sz w:val="24"/>
                          <w:szCs w:val="24"/>
                          <w:lang w:val="en-US" w:eastAsia="zh-CN"/>
                        </w:rPr>
                        <w:t>5</w:t>
                      </w:r>
                      <w:r>
                        <w:rPr>
                          <w:rFonts w:hint="default" w:ascii="Times New Roman" w:hAnsi="Times New Roman" w:cs="Times New Roman"/>
                          <w:b/>
                          <w:bCs/>
                          <w:sz w:val="24"/>
                          <w:szCs w:val="24"/>
                          <w:lang w:val="en-US" w:eastAsia="zh-CN"/>
                        </w:rPr>
                        <w:t>-1  事故状态下站内应急处置措施</w:t>
                      </w:r>
                      <w:r>
                        <w:rPr>
                          <w:rFonts w:hint="eastAsia" w:ascii="Times New Roman" w:hAnsi="Times New Roman" w:cs="Times New Roman"/>
                          <w:b/>
                          <w:bCs/>
                          <w:sz w:val="24"/>
                          <w:szCs w:val="24"/>
                          <w:lang w:val="en-US" w:eastAsia="zh-CN"/>
                        </w:rPr>
                        <w:t>图</w:t>
                      </w:r>
                    </w:p>
                  </w:txbxContent>
                </v:textbox>
              </v:shape>
            </w:pict>
          </mc:Fallback>
        </mc:AlternateContent>
      </w:r>
      <w:r>
        <w:rPr>
          <w:color w:val="auto"/>
          <w:highlight w:val="none"/>
        </w:rPr>
        <w:drawing>
          <wp:inline distT="0" distB="0" distL="114300" distR="114300">
            <wp:extent cx="8861425" cy="5248275"/>
            <wp:effectExtent l="9525" t="9525" r="25400" b="19050"/>
            <wp:docPr id="562"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306"/>
                    <pic:cNvPicPr>
                      <a:picLocks noChangeAspect="1"/>
                    </pic:cNvPicPr>
                  </pic:nvPicPr>
                  <pic:blipFill>
                    <a:blip r:embed="rId44"/>
                    <a:stretch>
                      <a:fillRect/>
                    </a:stretch>
                  </pic:blipFill>
                  <pic:spPr>
                    <a:xfrm>
                      <a:off x="0" y="0"/>
                      <a:ext cx="8861425" cy="5248275"/>
                    </a:xfrm>
                    <a:prstGeom prst="rect">
                      <a:avLst/>
                    </a:prstGeom>
                    <a:noFill/>
                    <a:ln w="9525" cap="flat" cmpd="sng">
                      <a:solidFill>
                        <a:srgbClr val="0000FF"/>
                      </a:solidFill>
                      <a:prstDash val="solid"/>
                      <a:miter/>
                      <a:headEnd type="none" w="med" len="med"/>
                      <a:tailEnd type="none" w="med" len="med"/>
                    </a:ln>
                  </pic:spPr>
                </pic:pic>
              </a:graphicData>
            </a:graphic>
          </wp:inline>
        </w:drawing>
      </w:r>
    </w:p>
    <w:p w14:paraId="25C2A5DA">
      <w:pPr>
        <w:spacing w:line="360" w:lineRule="auto"/>
        <w:ind w:firstLine="480" w:firstLineChars="200"/>
        <w:jc w:val="left"/>
        <w:rPr>
          <w:rFonts w:ascii="Times New Roman" w:hAnsi="Times New Roman" w:eastAsia="宋体"/>
          <w:color w:val="auto"/>
          <w:sz w:val="24"/>
          <w:highlight w:val="none"/>
        </w:rPr>
        <w:sectPr>
          <w:pgSz w:w="16838" w:h="11906" w:orient="landscape"/>
          <w:pgMar w:top="1803" w:right="1440" w:bottom="1803" w:left="1440" w:header="851" w:footer="992" w:gutter="0"/>
          <w:pgBorders>
            <w:top w:val="none" w:sz="0" w:space="0"/>
            <w:left w:val="none" w:sz="0" w:space="0"/>
            <w:bottom w:val="none" w:sz="0" w:space="0"/>
            <w:right w:val="none" w:sz="0" w:space="0"/>
          </w:pgBorders>
          <w:cols w:space="720" w:num="1"/>
          <w:docGrid w:type="linesAndChars" w:linePitch="312" w:charSpace="0"/>
        </w:sectPr>
      </w:pPr>
    </w:p>
    <w:p w14:paraId="63E23AAF">
      <w:pPr>
        <w:pStyle w:val="4"/>
        <w:spacing w:before="240" w:after="156"/>
        <w:rPr>
          <w:color w:val="auto"/>
          <w:highlight w:val="none"/>
        </w:rPr>
      </w:pPr>
      <w:bookmarkStart w:id="239" w:name="_Toc152921657"/>
      <w:bookmarkStart w:id="240" w:name="_Toc117150235"/>
      <w:bookmarkStart w:id="241" w:name="_Toc152922022"/>
      <w:bookmarkStart w:id="242" w:name="_Toc152922616"/>
      <w:bookmarkStart w:id="243" w:name="_Toc152923297"/>
      <w:r>
        <w:rPr>
          <w:color w:val="auto"/>
          <w:highlight w:val="none"/>
        </w:rPr>
        <w:t>3.</w:t>
      </w:r>
      <w:r>
        <w:rPr>
          <w:rFonts w:hint="eastAsia"/>
          <w:color w:val="auto"/>
          <w:highlight w:val="none"/>
          <w:lang w:val="en-US" w:eastAsia="zh-CN"/>
        </w:rPr>
        <w:t>5</w:t>
      </w:r>
      <w:r>
        <w:rPr>
          <w:color w:val="auto"/>
          <w:highlight w:val="none"/>
        </w:rPr>
        <w:t>.</w:t>
      </w:r>
      <w:r>
        <w:rPr>
          <w:rFonts w:hint="eastAsia"/>
          <w:color w:val="auto"/>
          <w:highlight w:val="none"/>
          <w:lang w:val="en-US" w:eastAsia="zh-CN"/>
        </w:rPr>
        <w:t>2废水</w:t>
      </w:r>
    </w:p>
    <w:p w14:paraId="6B837D8F">
      <w:pPr>
        <w:pStyle w:val="541"/>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项目</w:t>
      </w:r>
      <w:r>
        <w:rPr>
          <w:rFonts w:hint="default" w:ascii="Times New Roman" w:hAnsi="Times New Roman" w:eastAsia="宋体" w:cs="Times New Roman"/>
          <w:color w:val="auto"/>
          <w:spacing w:val="0"/>
          <w:sz w:val="24"/>
          <w:highlight w:val="none"/>
          <w:lang w:eastAsia="zh-CN"/>
        </w:rPr>
        <w:t>运营期间</w:t>
      </w:r>
      <w:r>
        <w:rPr>
          <w:rFonts w:hint="default" w:ascii="Times New Roman" w:hAnsi="Times New Roman" w:eastAsia="宋体" w:cs="Times New Roman"/>
          <w:color w:val="auto"/>
          <w:spacing w:val="0"/>
          <w:sz w:val="24"/>
          <w:highlight w:val="none"/>
        </w:rPr>
        <w:t>用水环节主要为</w:t>
      </w:r>
      <w:r>
        <w:rPr>
          <w:rFonts w:hint="default" w:ascii="Times New Roman" w:hAnsi="Times New Roman" w:eastAsia="宋体" w:cs="Times New Roman"/>
          <w:color w:val="auto"/>
          <w:spacing w:val="0"/>
          <w:sz w:val="24"/>
          <w:highlight w:val="none"/>
          <w:lang w:eastAsia="zh-CN"/>
        </w:rPr>
        <w:t>生活</w:t>
      </w:r>
      <w:r>
        <w:rPr>
          <w:rFonts w:hint="default" w:ascii="Times New Roman" w:hAnsi="Times New Roman" w:eastAsia="宋体" w:cs="Times New Roman"/>
          <w:color w:val="auto"/>
          <w:spacing w:val="0"/>
          <w:sz w:val="24"/>
          <w:highlight w:val="none"/>
        </w:rPr>
        <w:t>用水</w:t>
      </w:r>
      <w:r>
        <w:rPr>
          <w:rFonts w:hint="eastAsia" w:ascii="Times New Roman" w:hAnsi="Times New Roman" w:eastAsia="宋体" w:cs="Times New Roman"/>
          <w:color w:val="auto"/>
          <w:spacing w:val="0"/>
          <w:sz w:val="24"/>
          <w:highlight w:val="none"/>
          <w:lang w:eastAsia="zh-CN"/>
        </w:rPr>
        <w:t>、</w:t>
      </w:r>
      <w:r>
        <w:rPr>
          <w:rFonts w:hint="eastAsia" w:ascii="Times New Roman" w:hAnsi="Times New Roman" w:eastAsia="宋体" w:cs="Times New Roman"/>
          <w:color w:val="auto"/>
          <w:spacing w:val="0"/>
          <w:sz w:val="24"/>
          <w:highlight w:val="none"/>
          <w:lang w:val="en-US" w:eastAsia="zh-CN"/>
        </w:rPr>
        <w:t>保洁、洗车及生产工艺用水</w:t>
      </w:r>
      <w:r>
        <w:rPr>
          <w:rFonts w:hint="default" w:ascii="Times New Roman" w:hAnsi="Times New Roman" w:eastAsia="宋体" w:cs="Times New Roman"/>
          <w:color w:val="auto"/>
          <w:spacing w:val="0"/>
          <w:sz w:val="24"/>
          <w:highlight w:val="none"/>
          <w:lang w:eastAsia="zh-CN"/>
        </w:rPr>
        <w:t>，</w:t>
      </w:r>
      <w:r>
        <w:rPr>
          <w:rFonts w:hint="eastAsia" w:ascii="Times New Roman" w:hAnsi="Times New Roman" w:eastAsia="宋体" w:cs="Times New Roman"/>
          <w:color w:val="auto"/>
          <w:spacing w:val="0"/>
          <w:sz w:val="24"/>
          <w:highlight w:val="none"/>
          <w:lang w:val="en-US" w:eastAsia="zh-CN"/>
        </w:rPr>
        <w:t>制氮机排水属于空气压缩产生水分，用于站内绿化，不计算其污染物。本项目</w:t>
      </w:r>
      <w:r>
        <w:rPr>
          <w:rFonts w:hint="default" w:ascii="Times New Roman" w:hAnsi="Times New Roman" w:eastAsia="宋体" w:cs="Times New Roman"/>
          <w:color w:val="auto"/>
          <w:spacing w:val="0"/>
          <w:sz w:val="24"/>
          <w:highlight w:val="none"/>
        </w:rPr>
        <w:t>用水及废水产生量分析如下：</w:t>
      </w:r>
    </w:p>
    <w:p w14:paraId="595D530A">
      <w:pPr>
        <w:pStyle w:val="54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sz w:val="24"/>
          <w:highlight w:val="none"/>
          <w:lang w:val="en-US" w:eastAsia="zh-CN"/>
        </w:rPr>
      </w:pPr>
      <w:r>
        <w:rPr>
          <w:rFonts w:hint="eastAsia" w:ascii="Times New Roman" w:hAnsi="Times New Roman" w:eastAsia="宋体" w:cs="Times New Roman"/>
          <w:color w:val="auto"/>
          <w:spacing w:val="0"/>
          <w:sz w:val="24"/>
          <w:highlight w:val="none"/>
          <w:lang w:eastAsia="zh-CN"/>
        </w:rPr>
        <w:t>（</w:t>
      </w:r>
      <w:r>
        <w:rPr>
          <w:rFonts w:hint="eastAsia" w:ascii="Times New Roman" w:hAnsi="Times New Roman" w:eastAsia="宋体" w:cs="Times New Roman"/>
          <w:color w:val="auto"/>
          <w:spacing w:val="0"/>
          <w:sz w:val="24"/>
          <w:highlight w:val="none"/>
          <w:lang w:val="en-US" w:eastAsia="zh-CN"/>
        </w:rPr>
        <w:t>1</w:t>
      </w:r>
      <w:r>
        <w:rPr>
          <w:rFonts w:hint="eastAsia" w:ascii="Times New Roman" w:hAnsi="Times New Roman" w:eastAsia="宋体" w:cs="Times New Roman"/>
          <w:color w:val="auto"/>
          <w:spacing w:val="0"/>
          <w:sz w:val="24"/>
          <w:highlight w:val="none"/>
          <w:lang w:eastAsia="zh-CN"/>
        </w:rPr>
        <w:t>）</w:t>
      </w:r>
      <w:r>
        <w:rPr>
          <w:rFonts w:hint="eastAsia" w:ascii="Times New Roman" w:hAnsi="Times New Roman" w:eastAsia="宋体" w:cs="Times New Roman"/>
          <w:color w:val="auto"/>
          <w:spacing w:val="0"/>
          <w:sz w:val="24"/>
          <w:highlight w:val="none"/>
          <w:lang w:val="en-US" w:eastAsia="zh-CN"/>
        </w:rPr>
        <w:t>生活污水</w:t>
      </w:r>
    </w:p>
    <w:p w14:paraId="44DC12E2">
      <w:pPr>
        <w:keepNext w:val="0"/>
        <w:keepLines w:val="0"/>
        <w:pageBreakBefore w:val="0"/>
        <w:widowControl w:val="0"/>
        <w:kinsoku/>
        <w:wordWrap/>
        <w:overflowPunct/>
        <w:topLinePunct w:val="0"/>
        <w:autoSpaceDE/>
        <w:autoSpaceDN w:val="0"/>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sz w:val="24"/>
          <w:highlight w:val="none"/>
        </w:rPr>
      </w:pPr>
      <w:r>
        <w:rPr>
          <w:bCs/>
          <w:color w:val="auto"/>
          <w:sz w:val="24"/>
          <w:szCs w:val="28"/>
          <w:highlight w:val="none"/>
        </w:rPr>
        <w:t>本项目</w:t>
      </w:r>
      <w:r>
        <w:rPr>
          <w:rFonts w:cs="Times New Roman"/>
          <w:color w:val="auto"/>
          <w:sz w:val="24"/>
          <w:highlight w:val="none"/>
        </w:rPr>
        <w:t>劳动定员</w:t>
      </w:r>
      <w:r>
        <w:rPr>
          <w:rFonts w:hint="eastAsia" w:cs="Times New Roman"/>
          <w:color w:val="auto"/>
          <w:sz w:val="24"/>
          <w:highlight w:val="none"/>
          <w:lang w:val="en-US" w:eastAsia="zh-CN"/>
        </w:rPr>
        <w:t>30</w:t>
      </w:r>
      <w:r>
        <w:rPr>
          <w:rFonts w:cs="Times New Roman"/>
          <w:color w:val="auto"/>
          <w:sz w:val="24"/>
          <w:highlight w:val="none"/>
        </w:rPr>
        <w:t>人，</w:t>
      </w:r>
      <w:r>
        <w:rPr>
          <w:rFonts w:hint="eastAsia" w:cs="Times New Roman"/>
          <w:color w:val="auto"/>
          <w:sz w:val="24"/>
          <w:highlight w:val="none"/>
        </w:rPr>
        <w:t>根据《安徽省行业用水定额》（DB34/T679-20</w:t>
      </w:r>
      <w:r>
        <w:rPr>
          <w:rFonts w:hint="eastAsia" w:cs="Times New Roman"/>
          <w:color w:val="auto"/>
          <w:sz w:val="24"/>
          <w:highlight w:val="none"/>
          <w:lang w:val="en-US" w:eastAsia="zh-CN"/>
        </w:rPr>
        <w:t>25</w:t>
      </w:r>
      <w:r>
        <w:rPr>
          <w:rFonts w:hint="eastAsia" w:cs="Times New Roman"/>
          <w:color w:val="auto"/>
          <w:sz w:val="24"/>
          <w:highlight w:val="none"/>
        </w:rPr>
        <w:t>）中的相关内容，办公用水定额取</w:t>
      </w:r>
      <w:r>
        <w:rPr>
          <w:rFonts w:hint="eastAsia" w:cs="Times New Roman"/>
          <w:color w:val="auto"/>
          <w:sz w:val="24"/>
          <w:highlight w:val="none"/>
          <w:lang w:val="en-US" w:eastAsia="zh-CN"/>
        </w:rPr>
        <w:t>通用定额38</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rPr>
        <w:t>/人·d</w:t>
      </w:r>
      <w:r>
        <w:rPr>
          <w:rFonts w:hint="eastAsia" w:cs="Times New Roman"/>
          <w:color w:val="auto"/>
          <w:sz w:val="24"/>
          <w:highlight w:val="none"/>
        </w:rPr>
        <w:t>。则生活用水量大约为</w:t>
      </w:r>
      <w:r>
        <w:rPr>
          <w:rFonts w:hint="eastAsia" w:cs="Times New Roman"/>
          <w:color w:val="auto"/>
          <w:sz w:val="24"/>
          <w:highlight w:val="none"/>
          <w:lang w:val="en-US" w:eastAsia="zh-CN"/>
        </w:rPr>
        <w:t>3.12</w:t>
      </w:r>
      <w:r>
        <w:rPr>
          <w:rFonts w:hint="eastAsia" w:cs="Times New Roman"/>
          <w:color w:val="auto"/>
          <w:sz w:val="24"/>
          <w:highlight w:val="none"/>
        </w:rPr>
        <w:t>t/d，</w:t>
      </w:r>
      <w:r>
        <w:rPr>
          <w:rFonts w:hint="eastAsia" w:cs="Times New Roman"/>
          <w:color w:val="auto"/>
          <w:sz w:val="24"/>
          <w:highlight w:val="none"/>
          <w:lang w:val="en-US" w:eastAsia="zh-CN"/>
        </w:rPr>
        <w:t>1140</w:t>
      </w:r>
      <w:r>
        <w:rPr>
          <w:rFonts w:hint="eastAsia" w:cs="Times New Roman"/>
          <w:color w:val="auto"/>
          <w:sz w:val="24"/>
          <w:highlight w:val="none"/>
        </w:rPr>
        <w:t>t/a</w:t>
      </w:r>
      <w:r>
        <w:rPr>
          <w:rFonts w:hint="eastAsia" w:cs="Times New Roman"/>
          <w:color w:val="auto"/>
          <w:sz w:val="24"/>
          <w:highlight w:val="none"/>
          <w:lang w:eastAsia="zh-CN"/>
        </w:rPr>
        <w:t>。</w:t>
      </w:r>
      <w:r>
        <w:rPr>
          <w:bCs/>
          <w:color w:val="auto"/>
          <w:sz w:val="24"/>
          <w:szCs w:val="28"/>
          <w:highlight w:val="none"/>
        </w:rPr>
        <w:t>废水产生量按用水量的8</w:t>
      </w:r>
      <w:r>
        <w:rPr>
          <w:rFonts w:hint="eastAsia"/>
          <w:bCs/>
          <w:color w:val="auto"/>
          <w:sz w:val="24"/>
          <w:szCs w:val="28"/>
          <w:highlight w:val="none"/>
          <w:lang w:val="en-US" w:eastAsia="zh-CN"/>
        </w:rPr>
        <w:t>5</w:t>
      </w:r>
      <w:r>
        <w:rPr>
          <w:bCs/>
          <w:color w:val="auto"/>
          <w:sz w:val="24"/>
          <w:szCs w:val="28"/>
          <w:highlight w:val="none"/>
        </w:rPr>
        <w:t>%计，</w:t>
      </w:r>
      <w:r>
        <w:rPr>
          <w:rFonts w:hint="eastAsia" w:cs="Times New Roman"/>
          <w:color w:val="auto"/>
          <w:sz w:val="24"/>
          <w:highlight w:val="none"/>
        </w:rPr>
        <w:t>则生活污水产生量为</w:t>
      </w:r>
      <w:r>
        <w:rPr>
          <w:rFonts w:hint="eastAsia" w:cs="Times New Roman"/>
          <w:color w:val="auto"/>
          <w:sz w:val="24"/>
          <w:highlight w:val="none"/>
          <w:lang w:val="en-US" w:eastAsia="zh-CN"/>
        </w:rPr>
        <w:t>2.652</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/d</w:t>
      </w:r>
      <w:r>
        <w:rPr>
          <w:rFonts w:hint="eastAsia" w:cs="Times New Roman"/>
          <w:color w:val="auto"/>
          <w:sz w:val="24"/>
          <w:highlight w:val="none"/>
        </w:rPr>
        <w:t>，</w:t>
      </w:r>
      <w:r>
        <w:rPr>
          <w:rFonts w:hint="eastAsia" w:cs="Times New Roman"/>
          <w:color w:val="auto"/>
          <w:sz w:val="24"/>
          <w:highlight w:val="none"/>
          <w:lang w:val="en-US" w:eastAsia="zh-CN"/>
        </w:rPr>
        <w:t>969</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/a</w:t>
      </w:r>
      <w:r>
        <w:rPr>
          <w:rFonts w:hint="eastAsia" w:cs="Times New Roman"/>
          <w:color w:val="auto"/>
          <w:sz w:val="24"/>
          <w:highlight w:val="none"/>
        </w:rPr>
        <w:t>。</w:t>
      </w:r>
    </w:p>
    <w:p w14:paraId="566ED87F">
      <w:pPr>
        <w:pStyle w:val="54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color w:val="auto"/>
          <w:spacing w:val="0"/>
          <w:sz w:val="24"/>
          <w:highlight w:val="none"/>
          <w:lang w:val="en-US" w:eastAsia="zh-CN"/>
        </w:rPr>
      </w:pPr>
      <w:r>
        <w:rPr>
          <w:rFonts w:hint="default" w:ascii="Times New Roman" w:hAnsi="Times New Roman" w:eastAsia="宋体" w:cs="Times New Roman"/>
          <w:color w:val="auto"/>
          <w:spacing w:val="0"/>
          <w:sz w:val="24"/>
          <w:highlight w:val="none"/>
        </w:rPr>
        <w:t>生活污水水质指标参照《生活污染源产排污系数手册》中</w:t>
      </w:r>
      <w:r>
        <w:rPr>
          <w:rFonts w:hint="eastAsia" w:cs="Times New Roman"/>
          <w:color w:val="auto"/>
          <w:spacing w:val="0"/>
          <w:sz w:val="24"/>
          <w:highlight w:val="none"/>
          <w:lang w:eastAsia="zh-CN"/>
        </w:rPr>
        <w:t>“</w:t>
      </w:r>
      <w:r>
        <w:rPr>
          <w:rFonts w:hint="default" w:ascii="Times New Roman" w:hAnsi="Times New Roman" w:eastAsia="宋体" w:cs="Times New Roman"/>
          <w:color w:val="auto"/>
          <w:spacing w:val="0"/>
          <w:sz w:val="24"/>
          <w:highlight w:val="none"/>
        </w:rPr>
        <w:t>表1-1城镇生活源水污染物产生系数</w:t>
      </w:r>
      <w:r>
        <w:rPr>
          <w:rFonts w:hint="eastAsia" w:cs="Times New Roman"/>
          <w:color w:val="auto"/>
          <w:spacing w:val="0"/>
          <w:sz w:val="24"/>
          <w:highlight w:val="none"/>
          <w:lang w:eastAsia="zh-CN"/>
        </w:rPr>
        <w:t>”</w:t>
      </w:r>
      <w:r>
        <w:rPr>
          <w:rFonts w:hint="default" w:ascii="Times New Roman" w:hAnsi="Times New Roman" w:eastAsia="宋体" w:cs="Times New Roman"/>
          <w:color w:val="auto"/>
          <w:spacing w:val="0"/>
          <w:sz w:val="24"/>
          <w:highlight w:val="none"/>
        </w:rPr>
        <w:t>中四区产污系数</w:t>
      </w:r>
      <w:r>
        <w:rPr>
          <w:rFonts w:hint="eastAsia" w:ascii="Times New Roman" w:hAnsi="Times New Roman" w:eastAsia="宋体" w:cs="Times New Roman"/>
          <w:color w:val="auto"/>
          <w:spacing w:val="0"/>
          <w:sz w:val="24"/>
          <w:highlight w:val="none"/>
          <w:lang w:eastAsia="zh-CN"/>
        </w:rPr>
        <w:t>，</w:t>
      </w:r>
      <w:r>
        <w:rPr>
          <w:rFonts w:hint="default" w:ascii="Times New Roman" w:hAnsi="Times New Roman" w:eastAsia="宋体" w:cs="Times New Roman"/>
          <w:color w:val="auto"/>
          <w:spacing w:val="0"/>
          <w:sz w:val="24"/>
          <w:highlight w:val="none"/>
          <w:lang w:eastAsia="zh-CN"/>
        </w:rPr>
        <w:t>生活污水</w:t>
      </w:r>
      <w:r>
        <w:rPr>
          <w:rFonts w:hint="default" w:ascii="Times New Roman" w:hAnsi="Times New Roman" w:eastAsia="宋体" w:cs="Times New Roman"/>
          <w:color w:val="auto"/>
          <w:spacing w:val="0"/>
          <w:sz w:val="24"/>
          <w:highlight w:val="none"/>
        </w:rPr>
        <w:t>主要污染物为COD3</w:t>
      </w:r>
      <w:r>
        <w:rPr>
          <w:rFonts w:hint="eastAsia" w:ascii="Times New Roman" w:hAnsi="Times New Roman" w:eastAsia="宋体" w:cs="Times New Roman"/>
          <w:color w:val="auto"/>
          <w:spacing w:val="0"/>
          <w:sz w:val="24"/>
          <w:highlight w:val="none"/>
          <w:lang w:val="en-US" w:eastAsia="zh-CN"/>
        </w:rPr>
        <w:t>4</w:t>
      </w:r>
      <w:r>
        <w:rPr>
          <w:rFonts w:hint="default" w:ascii="Times New Roman" w:hAnsi="Times New Roman" w:eastAsia="宋体" w:cs="Times New Roman"/>
          <w:color w:val="auto"/>
          <w:spacing w:val="0"/>
          <w:sz w:val="24"/>
          <w:highlight w:val="none"/>
        </w:rPr>
        <w:t>0mg/L、NH</w:t>
      </w:r>
      <w:r>
        <w:rPr>
          <w:rFonts w:hint="default" w:ascii="Times New Roman" w:hAnsi="Times New Roman" w:eastAsia="宋体" w:cs="Times New Roman"/>
          <w:color w:val="auto"/>
          <w:spacing w:val="0"/>
          <w:sz w:val="24"/>
          <w:highlight w:val="none"/>
          <w:vertAlign w:val="subscript"/>
        </w:rPr>
        <w:t>3</w:t>
      </w:r>
      <w:r>
        <w:rPr>
          <w:rFonts w:hint="default" w:ascii="Times New Roman" w:hAnsi="Times New Roman" w:eastAsia="宋体" w:cs="Times New Roman"/>
          <w:color w:val="auto"/>
          <w:spacing w:val="0"/>
          <w:sz w:val="24"/>
          <w:highlight w:val="none"/>
        </w:rPr>
        <w:t>-N30mg/L、BOD</w:t>
      </w:r>
      <w:r>
        <w:rPr>
          <w:rFonts w:hint="default" w:ascii="Times New Roman" w:hAnsi="Times New Roman" w:eastAsia="宋体" w:cs="Times New Roman"/>
          <w:color w:val="auto"/>
          <w:spacing w:val="0"/>
          <w:sz w:val="24"/>
          <w:highlight w:val="none"/>
          <w:vertAlign w:val="subscript"/>
        </w:rPr>
        <w:t>5</w:t>
      </w:r>
      <w:r>
        <w:rPr>
          <w:rFonts w:hint="default" w:ascii="Times New Roman" w:hAnsi="Times New Roman" w:eastAsia="宋体" w:cs="Times New Roman"/>
          <w:color w:val="auto"/>
          <w:spacing w:val="0"/>
          <w:sz w:val="24"/>
          <w:highlight w:val="none"/>
        </w:rPr>
        <w:t>1</w:t>
      </w:r>
      <w:r>
        <w:rPr>
          <w:rFonts w:hint="eastAsia" w:ascii="Times New Roman" w:hAnsi="Times New Roman" w:eastAsia="宋体" w:cs="Times New Roman"/>
          <w:color w:val="auto"/>
          <w:spacing w:val="0"/>
          <w:sz w:val="24"/>
          <w:highlight w:val="none"/>
          <w:lang w:val="en-US" w:eastAsia="zh-CN"/>
        </w:rPr>
        <w:t>6</w:t>
      </w:r>
      <w:r>
        <w:rPr>
          <w:rFonts w:hint="default" w:ascii="Times New Roman" w:hAnsi="Times New Roman" w:eastAsia="宋体" w:cs="Times New Roman"/>
          <w:color w:val="auto"/>
          <w:spacing w:val="0"/>
          <w:sz w:val="24"/>
          <w:highlight w:val="none"/>
        </w:rPr>
        <w:t>0mg/L、SS</w:t>
      </w:r>
      <w:r>
        <w:rPr>
          <w:rFonts w:hint="default" w:cs="Times New Roman"/>
          <w:color w:val="auto"/>
          <w:spacing w:val="0"/>
          <w:sz w:val="24"/>
          <w:highlight w:val="none"/>
          <w:lang w:val="en-US" w:eastAsia="zh-CN"/>
        </w:rPr>
        <w:t>2</w:t>
      </w:r>
      <w:r>
        <w:rPr>
          <w:rFonts w:hint="eastAsia" w:cs="Times New Roman"/>
          <w:color w:val="auto"/>
          <w:spacing w:val="0"/>
          <w:sz w:val="24"/>
          <w:highlight w:val="none"/>
          <w:lang w:val="en-US" w:eastAsia="zh-CN"/>
        </w:rPr>
        <w:t>0</w:t>
      </w:r>
      <w:r>
        <w:rPr>
          <w:rFonts w:hint="default" w:cs="Times New Roman"/>
          <w:color w:val="auto"/>
          <w:spacing w:val="0"/>
          <w:sz w:val="24"/>
          <w:highlight w:val="none"/>
          <w:lang w:val="en-US" w:eastAsia="zh-CN"/>
        </w:rPr>
        <w:t>0mg/L</w:t>
      </w:r>
      <w:r>
        <w:rPr>
          <w:rFonts w:hint="eastAsia" w:cs="Times New Roman"/>
          <w:color w:val="auto"/>
          <w:spacing w:val="0"/>
          <w:sz w:val="24"/>
          <w:highlight w:val="none"/>
          <w:lang w:val="en-US" w:eastAsia="zh-CN"/>
        </w:rPr>
        <w:t>、TN44.8</w:t>
      </w:r>
      <w:r>
        <w:rPr>
          <w:rFonts w:hint="default" w:cs="Times New Roman"/>
          <w:color w:val="auto"/>
          <w:spacing w:val="0"/>
          <w:sz w:val="24"/>
          <w:highlight w:val="none"/>
          <w:lang w:val="en-US" w:eastAsia="zh-CN"/>
        </w:rPr>
        <w:t>mg/L</w:t>
      </w:r>
      <w:r>
        <w:rPr>
          <w:rFonts w:hint="eastAsia" w:cs="Times New Roman"/>
          <w:color w:val="auto"/>
          <w:spacing w:val="0"/>
          <w:sz w:val="24"/>
          <w:highlight w:val="none"/>
          <w:lang w:val="en-US" w:eastAsia="zh-CN"/>
        </w:rPr>
        <w:t>、TP4.27</w:t>
      </w:r>
      <w:r>
        <w:rPr>
          <w:rFonts w:hint="default" w:cs="Times New Roman"/>
          <w:color w:val="auto"/>
          <w:spacing w:val="0"/>
          <w:sz w:val="24"/>
          <w:highlight w:val="none"/>
          <w:lang w:val="en-US" w:eastAsia="zh-CN"/>
        </w:rPr>
        <w:t>mg/L。</w:t>
      </w:r>
    </w:p>
    <w:p w14:paraId="0F17791A">
      <w:pPr>
        <w:pStyle w:val="54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8"/>
          <w:highlight w:val="none"/>
          <w:lang w:val="en-US" w:eastAsia="zh-CN"/>
        </w:rPr>
      </w:pPr>
      <w:r>
        <w:rPr>
          <w:rFonts w:hint="eastAsia"/>
          <w:bCs/>
          <w:color w:val="auto"/>
          <w:spacing w:val="0"/>
          <w:kern w:val="2"/>
          <w:sz w:val="24"/>
          <w:szCs w:val="28"/>
          <w:highlight w:val="none"/>
          <w:lang w:val="en-US" w:eastAsia="zh-CN" w:bidi="ar-SA"/>
        </w:rPr>
        <w:t>（2）</w:t>
      </w:r>
      <w:r>
        <w:rPr>
          <w:rFonts w:hint="eastAsia"/>
          <w:bCs/>
          <w:color w:val="auto"/>
          <w:sz w:val="24"/>
          <w:szCs w:val="28"/>
          <w:highlight w:val="none"/>
          <w:lang w:val="en-US" w:eastAsia="zh-CN"/>
        </w:rPr>
        <w:t>保洁废水</w:t>
      </w:r>
    </w:p>
    <w:p w14:paraId="5E5BC189">
      <w:pPr>
        <w:keepNext w:val="0"/>
        <w:keepLines w:val="0"/>
        <w:pageBreakBefore w:val="0"/>
        <w:widowControl w:val="0"/>
        <w:kinsoku/>
        <w:wordWrap/>
        <w:overflowPunct/>
        <w:topLinePunct w:val="0"/>
        <w:autoSpaceDE/>
        <w:autoSpaceDN w:val="0"/>
        <w:bidi w:val="0"/>
        <w:adjustRightInd/>
        <w:snapToGrid/>
        <w:spacing w:line="360" w:lineRule="auto"/>
        <w:ind w:firstLine="480" w:firstLineChars="200"/>
        <w:jc w:val="left"/>
        <w:textAlignment w:val="auto"/>
        <w:rPr>
          <w:rFonts w:hint="default" w:eastAsia="宋体" w:cs="Times New Roman"/>
          <w:color w:val="auto"/>
          <w:sz w:val="24"/>
          <w:highlight w:val="none"/>
          <w:lang w:val="en-US" w:eastAsia="zh-CN"/>
        </w:rPr>
      </w:pPr>
      <w:r>
        <w:rPr>
          <w:rFonts w:hint="eastAsia" w:cs="Times New Roman"/>
          <w:color w:val="auto"/>
          <w:sz w:val="24"/>
          <w:highlight w:val="none"/>
          <w:lang w:val="en-US" w:eastAsia="zh-CN"/>
        </w:rPr>
        <w:t>本项目保洁区域为站房内办公区，总面积为308.45m</w:t>
      </w:r>
      <w:r>
        <w:rPr>
          <w:rFonts w:hint="eastAsia" w:cs="Times New Roman"/>
          <w:color w:val="auto"/>
          <w:sz w:val="24"/>
          <w:highlight w:val="none"/>
          <w:vertAlign w:val="superscript"/>
          <w:lang w:val="en-US" w:eastAsia="zh-CN"/>
        </w:rPr>
        <w:t>2</w:t>
      </w:r>
      <w:r>
        <w:rPr>
          <w:rFonts w:hint="eastAsia" w:cs="Times New Roman"/>
          <w:color w:val="auto"/>
          <w:sz w:val="24"/>
          <w:highlight w:val="none"/>
          <w:vertAlign w:val="baseline"/>
          <w:lang w:val="en-US" w:eastAsia="zh-CN"/>
        </w:rPr>
        <w:t>，</w:t>
      </w:r>
      <w:r>
        <w:rPr>
          <w:rFonts w:hint="eastAsia" w:cs="Times New Roman"/>
          <w:color w:val="auto"/>
          <w:sz w:val="24"/>
          <w:highlight w:val="none"/>
          <w:lang w:val="en-US" w:eastAsia="zh-CN"/>
        </w:rPr>
        <w:t>用水量为1.5L/m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计算，则单次地面冲洗用水量为0.46m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/次，按照每日地面保洁一次，则地面清洗用水量为167.9m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/a（0.46m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/d）。废水产生系数按照</w:t>
      </w:r>
      <w:r>
        <w:rPr>
          <w:bCs/>
          <w:color w:val="auto"/>
          <w:sz w:val="24"/>
          <w:szCs w:val="28"/>
          <w:highlight w:val="none"/>
        </w:rPr>
        <w:t>用水量的8</w:t>
      </w:r>
      <w:r>
        <w:rPr>
          <w:rFonts w:hint="eastAsia"/>
          <w:bCs/>
          <w:color w:val="auto"/>
          <w:sz w:val="24"/>
          <w:szCs w:val="28"/>
          <w:highlight w:val="none"/>
          <w:lang w:val="en-US" w:eastAsia="zh-CN"/>
        </w:rPr>
        <w:t>0</w:t>
      </w:r>
      <w:r>
        <w:rPr>
          <w:bCs/>
          <w:color w:val="auto"/>
          <w:sz w:val="24"/>
          <w:szCs w:val="28"/>
          <w:highlight w:val="none"/>
        </w:rPr>
        <w:t>%计</w:t>
      </w:r>
      <w:r>
        <w:rPr>
          <w:rFonts w:hint="eastAsia"/>
          <w:bCs/>
          <w:color w:val="auto"/>
          <w:sz w:val="24"/>
          <w:szCs w:val="28"/>
          <w:highlight w:val="none"/>
          <w:lang w:eastAsia="zh-CN"/>
        </w:rPr>
        <w:t>，</w:t>
      </w:r>
      <w:r>
        <w:rPr>
          <w:rFonts w:hint="eastAsia"/>
          <w:bCs/>
          <w:color w:val="auto"/>
          <w:sz w:val="24"/>
          <w:szCs w:val="28"/>
          <w:highlight w:val="none"/>
          <w:lang w:val="en-US" w:eastAsia="zh-CN"/>
        </w:rPr>
        <w:t>保洁废水产生量为0.368</w:t>
      </w:r>
      <w:r>
        <w:rPr>
          <w:rFonts w:hint="eastAsia" w:cs="Times New Roman"/>
          <w:color w:val="auto"/>
          <w:sz w:val="24"/>
          <w:highlight w:val="none"/>
          <w:lang w:val="en-US" w:eastAsia="zh-CN"/>
        </w:rPr>
        <w:t>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/d，134.32</w:t>
      </w:r>
      <w:r>
        <w:rPr>
          <w:bCs/>
          <w:color w:val="auto"/>
          <w:sz w:val="24"/>
          <w:szCs w:val="28"/>
          <w:highlight w:val="none"/>
        </w:rPr>
        <w:t>m</w:t>
      </w:r>
      <w:r>
        <w:rPr>
          <w:bCs/>
          <w:color w:val="auto"/>
          <w:sz w:val="24"/>
          <w:szCs w:val="28"/>
          <w:highlight w:val="none"/>
          <w:vertAlign w:val="superscript"/>
        </w:rPr>
        <w:t>3</w:t>
      </w:r>
      <w:r>
        <w:rPr>
          <w:bCs/>
          <w:color w:val="auto"/>
          <w:sz w:val="24"/>
          <w:szCs w:val="28"/>
          <w:highlight w:val="none"/>
        </w:rPr>
        <w:t>/a</w:t>
      </w:r>
      <w:r>
        <w:rPr>
          <w:rFonts w:hint="eastAsia"/>
          <w:bCs/>
          <w:color w:val="auto"/>
          <w:sz w:val="24"/>
          <w:szCs w:val="28"/>
          <w:highlight w:val="none"/>
          <w:lang w:eastAsia="zh-CN"/>
        </w:rPr>
        <w:t>。</w:t>
      </w:r>
      <w:r>
        <w:rPr>
          <w:rFonts w:hint="eastAsia"/>
          <w:bCs/>
          <w:color w:val="auto"/>
          <w:sz w:val="24"/>
          <w:szCs w:val="28"/>
          <w:highlight w:val="none"/>
          <w:lang w:val="en-US" w:eastAsia="zh-CN"/>
        </w:rPr>
        <w:t>本项目保洁区域为站房，其他生产区域主要采用吸尘器等进行清扫。由于保洁过程不涉及工业生产区域，保洁废水水质参照常规生活污水水质数据。</w:t>
      </w:r>
    </w:p>
    <w:p w14:paraId="45820A8F">
      <w:pPr>
        <w:pStyle w:val="54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bCs/>
          <w:color w:val="auto"/>
          <w:sz w:val="24"/>
          <w:szCs w:val="28"/>
          <w:highlight w:val="none"/>
          <w:lang w:val="en-US" w:eastAsia="zh-CN"/>
        </w:rPr>
      </w:pPr>
      <w:r>
        <w:rPr>
          <w:rFonts w:hint="eastAsia"/>
          <w:bCs/>
          <w:color w:val="auto"/>
          <w:sz w:val="24"/>
          <w:szCs w:val="28"/>
          <w:highlight w:val="none"/>
          <w:lang w:eastAsia="zh-CN"/>
        </w:rPr>
        <w:t>（</w:t>
      </w:r>
      <w:r>
        <w:rPr>
          <w:rFonts w:hint="eastAsia"/>
          <w:bCs/>
          <w:color w:val="auto"/>
          <w:sz w:val="24"/>
          <w:szCs w:val="28"/>
          <w:highlight w:val="none"/>
          <w:lang w:val="en-US" w:eastAsia="zh-CN"/>
        </w:rPr>
        <w:t>3</w:t>
      </w:r>
      <w:r>
        <w:rPr>
          <w:rFonts w:hint="eastAsia"/>
          <w:bCs/>
          <w:color w:val="auto"/>
          <w:sz w:val="24"/>
          <w:szCs w:val="28"/>
          <w:highlight w:val="none"/>
          <w:lang w:eastAsia="zh-CN"/>
        </w:rPr>
        <w:t>）</w:t>
      </w:r>
      <w:r>
        <w:rPr>
          <w:rFonts w:hint="eastAsia"/>
          <w:bCs/>
          <w:color w:val="auto"/>
          <w:sz w:val="24"/>
          <w:szCs w:val="28"/>
          <w:highlight w:val="none"/>
          <w:lang w:val="en-US" w:eastAsia="zh-CN"/>
        </w:rPr>
        <w:t>间接循环冷却排水</w:t>
      </w:r>
    </w:p>
    <w:p w14:paraId="34EBF107">
      <w:pPr>
        <w:pStyle w:val="541"/>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Cs/>
          <w:color w:val="auto"/>
          <w:sz w:val="24"/>
          <w:szCs w:val="28"/>
          <w:highlight w:val="none"/>
          <w:lang w:val="en-US" w:eastAsia="zh-CN"/>
        </w:rPr>
      </w:pPr>
      <w:r>
        <w:rPr>
          <w:rFonts w:hint="eastAsia"/>
          <w:bCs/>
          <w:color w:val="auto"/>
          <w:sz w:val="24"/>
          <w:szCs w:val="28"/>
          <w:highlight w:val="none"/>
          <w:lang w:val="en-US" w:eastAsia="zh-CN"/>
        </w:rPr>
        <w:t>间接冷却系统排水属于清净下水，</w:t>
      </w:r>
      <w:r>
        <w:rPr>
          <w:rFonts w:hint="eastAsia" w:ascii="Times New Roman" w:hAnsi="Times New Roman" w:eastAsia="宋体" w:cs="Times New Roman"/>
          <w:color w:val="auto"/>
          <w:sz w:val="24"/>
          <w:highlight w:val="none"/>
          <w:lang w:val="en-US" w:eastAsia="zh-CN"/>
        </w:rPr>
        <w:t>年排放量为300m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/a（折合0.82m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lang w:val="en-US" w:eastAsia="zh-CN"/>
        </w:rPr>
        <w:t>/d），</w:t>
      </w:r>
      <w:r>
        <w:rPr>
          <w:rFonts w:hint="eastAsia"/>
          <w:bCs/>
          <w:color w:val="auto"/>
          <w:sz w:val="24"/>
          <w:szCs w:val="28"/>
          <w:highlight w:val="none"/>
          <w:lang w:val="en-US" w:eastAsia="zh-CN"/>
        </w:rPr>
        <w:t>污染物主要为温度、COD等。</w:t>
      </w:r>
    </w:p>
    <w:p w14:paraId="7FB29CD8">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bCs/>
          <w:color w:val="auto"/>
          <w:sz w:val="24"/>
          <w:szCs w:val="28"/>
          <w:highlight w:val="none"/>
          <w:lang w:val="en-US" w:eastAsia="zh-CN"/>
        </w:rPr>
      </w:pPr>
      <w:r>
        <w:rPr>
          <w:rFonts w:hint="eastAsia"/>
          <w:bCs/>
          <w:color w:val="auto"/>
          <w:sz w:val="24"/>
          <w:szCs w:val="28"/>
          <w:highlight w:val="none"/>
          <w:lang w:eastAsia="zh-CN"/>
        </w:rPr>
        <w:t>（</w:t>
      </w:r>
      <w:r>
        <w:rPr>
          <w:rFonts w:hint="eastAsia"/>
          <w:bCs/>
          <w:color w:val="auto"/>
          <w:sz w:val="24"/>
          <w:szCs w:val="28"/>
          <w:highlight w:val="none"/>
          <w:lang w:val="en-US" w:eastAsia="zh-CN"/>
        </w:rPr>
        <w:t>4</w:t>
      </w:r>
      <w:r>
        <w:rPr>
          <w:rFonts w:hint="eastAsia"/>
          <w:bCs/>
          <w:color w:val="auto"/>
          <w:sz w:val="24"/>
          <w:szCs w:val="28"/>
          <w:highlight w:val="none"/>
          <w:lang w:eastAsia="zh-CN"/>
        </w:rPr>
        <w:t>）</w:t>
      </w:r>
      <w:r>
        <w:rPr>
          <w:rFonts w:hint="eastAsia"/>
          <w:bCs/>
          <w:color w:val="auto"/>
          <w:sz w:val="24"/>
          <w:szCs w:val="28"/>
          <w:highlight w:val="none"/>
          <w:lang w:val="en-US" w:eastAsia="zh-CN"/>
        </w:rPr>
        <w:t>脱盐水制水产生浓水、反冲洗废水</w:t>
      </w:r>
    </w:p>
    <w:p w14:paraId="115FBAFE">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eastAsia="宋体"/>
          <w:bCs/>
          <w:color w:val="auto"/>
          <w:sz w:val="24"/>
          <w:szCs w:val="28"/>
          <w:highlight w:val="none"/>
          <w:lang w:val="en-US" w:eastAsia="zh-CN"/>
        </w:rPr>
      </w:pPr>
      <w:r>
        <w:rPr>
          <w:rFonts w:hint="eastAsia"/>
          <w:bCs/>
          <w:color w:val="auto"/>
          <w:sz w:val="24"/>
          <w:szCs w:val="28"/>
          <w:highlight w:val="none"/>
          <w:lang w:val="en-US" w:eastAsia="zh-CN"/>
        </w:rPr>
        <w:t>本项目使用脱盐水撬制取脱盐水，工艺为项目设置一套3t/h的脱盐水制备装置，制备效率为75%，则脱盐水制备用水量为6946.56m</w:t>
      </w:r>
      <w:r>
        <w:rPr>
          <w:rFonts w:hint="eastAsia"/>
          <w:bCs/>
          <w:color w:val="auto"/>
          <w:sz w:val="24"/>
          <w:szCs w:val="28"/>
          <w:highlight w:val="none"/>
          <w:vertAlign w:val="superscript"/>
          <w:lang w:val="en-US" w:eastAsia="zh-CN"/>
        </w:rPr>
        <w:t>3</w:t>
      </w:r>
      <w:r>
        <w:rPr>
          <w:rFonts w:hint="eastAsia"/>
          <w:bCs/>
          <w:color w:val="auto"/>
          <w:sz w:val="24"/>
          <w:szCs w:val="28"/>
          <w:highlight w:val="none"/>
          <w:lang w:val="en-US" w:eastAsia="zh-CN"/>
        </w:rPr>
        <w:t>/a，浓水产生量为1728.864m</w:t>
      </w:r>
      <w:r>
        <w:rPr>
          <w:rFonts w:hint="eastAsia"/>
          <w:bCs/>
          <w:color w:val="auto"/>
          <w:sz w:val="24"/>
          <w:szCs w:val="28"/>
          <w:highlight w:val="none"/>
          <w:vertAlign w:val="superscript"/>
          <w:lang w:val="en-US" w:eastAsia="zh-CN"/>
        </w:rPr>
        <w:t>3</w:t>
      </w:r>
      <w:r>
        <w:rPr>
          <w:rFonts w:hint="eastAsia"/>
          <w:bCs/>
          <w:color w:val="auto"/>
          <w:sz w:val="24"/>
          <w:szCs w:val="28"/>
          <w:highlight w:val="none"/>
          <w:lang w:val="en-US" w:eastAsia="zh-CN"/>
        </w:rPr>
        <w:t>/a。反冲洗废水产生量为36.5m</w:t>
      </w:r>
      <w:r>
        <w:rPr>
          <w:rFonts w:hint="eastAsia"/>
          <w:bCs/>
          <w:color w:val="auto"/>
          <w:sz w:val="24"/>
          <w:szCs w:val="28"/>
          <w:highlight w:val="none"/>
          <w:vertAlign w:val="superscript"/>
          <w:lang w:val="en-US" w:eastAsia="zh-CN"/>
        </w:rPr>
        <w:t>3</w:t>
      </w:r>
      <w:r>
        <w:rPr>
          <w:rFonts w:hint="eastAsia"/>
          <w:bCs/>
          <w:color w:val="auto"/>
          <w:sz w:val="24"/>
          <w:szCs w:val="28"/>
          <w:highlight w:val="none"/>
          <w:lang w:val="en-US" w:eastAsia="zh-CN"/>
        </w:rPr>
        <w:t>/a。浓水直接接管市政污水</w:t>
      </w:r>
      <w:r>
        <w:rPr>
          <w:rFonts w:hint="eastAsia" w:cs="Times New Roman"/>
          <w:color w:val="auto"/>
          <w:sz w:val="24"/>
          <w:highlight w:val="none"/>
          <w:lang w:val="en-US" w:eastAsia="zh-CN"/>
        </w:rPr>
        <w:t>管网进入田家庵经济开发区污水处理站处理。脱盐水制备产生浓水、反冲洗废水水质参照同类型脱盐水制备浓水、反冲洗水质，</w:t>
      </w:r>
      <w:r>
        <w:rPr>
          <w:rFonts w:hint="default" w:ascii="Times New Roman" w:hAnsi="Times New Roman" w:eastAsia="宋体" w:cs="Times New Roman"/>
          <w:color w:val="auto"/>
          <w:spacing w:val="0"/>
          <w:sz w:val="24"/>
          <w:highlight w:val="none"/>
        </w:rPr>
        <w:t>COD</w:t>
      </w:r>
      <w:r>
        <w:rPr>
          <w:rFonts w:hint="eastAsia" w:ascii="Times New Roman" w:hAnsi="Times New Roman" w:eastAsia="宋体" w:cs="Times New Roman"/>
          <w:color w:val="auto"/>
          <w:spacing w:val="0"/>
          <w:sz w:val="24"/>
          <w:highlight w:val="none"/>
          <w:lang w:val="en-US" w:eastAsia="zh-CN"/>
        </w:rPr>
        <w:t>10</w:t>
      </w:r>
      <w:r>
        <w:rPr>
          <w:rFonts w:hint="default" w:ascii="Times New Roman" w:hAnsi="Times New Roman" w:eastAsia="宋体" w:cs="Times New Roman"/>
          <w:color w:val="auto"/>
          <w:spacing w:val="0"/>
          <w:sz w:val="24"/>
          <w:highlight w:val="none"/>
        </w:rPr>
        <w:t>0mg/L</w:t>
      </w:r>
      <w:r>
        <w:rPr>
          <w:rFonts w:hint="eastAsia" w:ascii="Times New Roman" w:hAnsi="Times New Roman" w:eastAsia="宋体" w:cs="Times New Roman"/>
          <w:color w:val="auto"/>
          <w:spacing w:val="0"/>
          <w:sz w:val="24"/>
          <w:highlight w:val="none"/>
          <w:lang w:eastAsia="zh-CN"/>
        </w:rPr>
        <w:t>、</w:t>
      </w:r>
      <w:r>
        <w:rPr>
          <w:rFonts w:hint="default" w:ascii="Times New Roman" w:hAnsi="Times New Roman" w:eastAsia="宋体" w:cs="Times New Roman"/>
          <w:color w:val="auto"/>
          <w:spacing w:val="0"/>
          <w:sz w:val="24"/>
          <w:highlight w:val="none"/>
        </w:rPr>
        <w:t>SS</w:t>
      </w:r>
      <w:r>
        <w:rPr>
          <w:rFonts w:hint="eastAsia" w:cs="Times New Roman"/>
          <w:color w:val="auto"/>
          <w:spacing w:val="0"/>
          <w:sz w:val="24"/>
          <w:highlight w:val="none"/>
          <w:lang w:val="en-US" w:eastAsia="zh-CN"/>
        </w:rPr>
        <w:t>8</w:t>
      </w:r>
      <w:r>
        <w:rPr>
          <w:rFonts w:hint="default" w:cs="Times New Roman"/>
          <w:color w:val="auto"/>
          <w:spacing w:val="0"/>
          <w:sz w:val="24"/>
          <w:highlight w:val="none"/>
          <w:lang w:val="en-US" w:eastAsia="zh-CN"/>
        </w:rPr>
        <w:t>0mg/L</w:t>
      </w:r>
    </w:p>
    <w:p w14:paraId="1A5476E8">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bCs/>
          <w:color w:val="auto"/>
          <w:sz w:val="24"/>
          <w:szCs w:val="28"/>
          <w:highlight w:val="none"/>
          <w:lang w:val="en-US" w:eastAsia="zh-CN"/>
        </w:rPr>
      </w:pPr>
      <w:r>
        <w:rPr>
          <w:rFonts w:hint="eastAsia"/>
          <w:bCs/>
          <w:color w:val="auto"/>
          <w:sz w:val="24"/>
          <w:szCs w:val="28"/>
          <w:highlight w:val="none"/>
          <w:lang w:eastAsia="zh-CN"/>
        </w:rPr>
        <w:t>（</w:t>
      </w:r>
      <w:r>
        <w:rPr>
          <w:rFonts w:hint="eastAsia"/>
          <w:bCs/>
          <w:color w:val="auto"/>
          <w:sz w:val="24"/>
          <w:szCs w:val="28"/>
          <w:highlight w:val="none"/>
          <w:lang w:val="en-US" w:eastAsia="zh-CN"/>
        </w:rPr>
        <w:t>5</w:t>
      </w:r>
      <w:r>
        <w:rPr>
          <w:rFonts w:hint="eastAsia"/>
          <w:bCs/>
          <w:color w:val="auto"/>
          <w:sz w:val="24"/>
          <w:szCs w:val="28"/>
          <w:highlight w:val="none"/>
          <w:lang w:eastAsia="zh-CN"/>
        </w:rPr>
        <w:t>）</w:t>
      </w:r>
      <w:r>
        <w:rPr>
          <w:rFonts w:hint="eastAsia"/>
          <w:bCs/>
          <w:color w:val="auto"/>
          <w:sz w:val="24"/>
          <w:szCs w:val="28"/>
          <w:highlight w:val="none"/>
          <w:lang w:val="en-US" w:eastAsia="zh-CN"/>
        </w:rPr>
        <w:t>洗车废水排水</w:t>
      </w:r>
    </w:p>
    <w:p w14:paraId="0687C298">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宋体" w:hAnsi="宋体" w:eastAsia="宋体" w:cs="宋体"/>
          <w:b w:val="0"/>
          <w:bCs w:val="0"/>
          <w:color w:val="auto"/>
          <w:sz w:val="24"/>
          <w:szCs w:val="24"/>
          <w:highlight w:val="none"/>
        </w:rPr>
        <w:t>本项目清洗车辆约</w:t>
      </w:r>
      <w:r>
        <w:rPr>
          <w:rFonts w:hint="eastAsia" w:ascii="Times New Roman" w:hAnsi="Times New Roman" w:eastAsia="宋体" w:cs="Times New Roman"/>
          <w:b w:val="0"/>
          <w:bCs w:val="0"/>
          <w:color w:val="auto"/>
          <w:sz w:val="24"/>
          <w:szCs w:val="24"/>
          <w:highlight w:val="none"/>
          <w:lang w:val="en-US" w:eastAsia="zh-CN"/>
        </w:rPr>
        <w:t>4</w:t>
      </w:r>
      <w:r>
        <w:rPr>
          <w:rFonts w:hint="default" w:ascii="Times New Roman" w:hAnsi="Times New Roman" w:eastAsia="Times New Roman" w:cs="Times New Roman"/>
          <w:b w:val="0"/>
          <w:bCs w:val="0"/>
          <w:color w:val="auto"/>
          <w:sz w:val="24"/>
          <w:szCs w:val="24"/>
          <w:highlight w:val="none"/>
        </w:rPr>
        <w:t>0</w:t>
      </w:r>
      <w:r>
        <w:rPr>
          <w:rFonts w:hint="eastAsia" w:ascii="宋体" w:hAnsi="宋体" w:eastAsia="宋体" w:cs="宋体"/>
          <w:b w:val="0"/>
          <w:bCs w:val="0"/>
          <w:color w:val="auto"/>
          <w:sz w:val="24"/>
          <w:szCs w:val="24"/>
          <w:highlight w:val="none"/>
        </w:rPr>
        <w:t>辆</w:t>
      </w:r>
      <w:r>
        <w:rPr>
          <w:rFonts w:hint="default" w:ascii="Times New Roman" w:hAnsi="Times New Roman" w:eastAsia="Times New Roman" w:cs="Times New Roman"/>
          <w:b w:val="0"/>
          <w:bCs w:val="0"/>
          <w:color w:val="auto"/>
          <w:sz w:val="24"/>
          <w:szCs w:val="24"/>
          <w:highlight w:val="none"/>
        </w:rPr>
        <w:t>/d</w:t>
      </w:r>
      <w:r>
        <w:rPr>
          <w:rFonts w:hint="eastAsia" w:ascii="宋体" w:hAnsi="宋体" w:eastAsia="宋体" w:cs="宋体"/>
          <w:b w:val="0"/>
          <w:bCs w:val="0"/>
          <w:color w:val="auto"/>
          <w:sz w:val="24"/>
          <w:szCs w:val="24"/>
          <w:highlight w:val="none"/>
        </w:rPr>
        <w:t>，则年清洗车辆</w:t>
      </w:r>
      <w:r>
        <w:rPr>
          <w:rFonts w:hint="eastAsia" w:ascii="Times New Roman" w:hAnsi="Times New Roman" w:eastAsia="宋体" w:cs="Times New Roman"/>
          <w:b w:val="0"/>
          <w:bCs w:val="0"/>
          <w:color w:val="auto"/>
          <w:sz w:val="24"/>
          <w:szCs w:val="24"/>
          <w:highlight w:val="none"/>
          <w:lang w:val="en-US" w:eastAsia="zh-CN"/>
        </w:rPr>
        <w:t>146</w:t>
      </w:r>
      <w:r>
        <w:rPr>
          <w:rFonts w:hint="default" w:ascii="Times New Roman" w:hAnsi="Times New Roman" w:eastAsia="Times New Roman" w:cs="Times New Roman"/>
          <w:b w:val="0"/>
          <w:bCs w:val="0"/>
          <w:color w:val="auto"/>
          <w:sz w:val="24"/>
          <w:szCs w:val="24"/>
          <w:highlight w:val="none"/>
        </w:rPr>
        <w:t>00</w:t>
      </w:r>
      <w:r>
        <w:rPr>
          <w:rFonts w:hint="eastAsia" w:ascii="宋体" w:hAnsi="宋体" w:eastAsia="宋体" w:cs="宋体"/>
          <w:b w:val="0"/>
          <w:bCs w:val="0"/>
          <w:color w:val="auto"/>
          <w:sz w:val="24"/>
          <w:szCs w:val="24"/>
          <w:highlight w:val="none"/>
        </w:rPr>
        <w:t>辆</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，洗车用水量为</w:t>
      </w:r>
      <w:r>
        <w:rPr>
          <w:rFonts w:hint="eastAsia" w:ascii="Times New Roman" w:hAnsi="Times New Roman" w:eastAsia="宋体" w:cs="Times New Roman"/>
          <w:b w:val="0"/>
          <w:bCs w:val="0"/>
          <w:color w:val="auto"/>
          <w:sz w:val="24"/>
          <w:szCs w:val="24"/>
          <w:highlight w:val="none"/>
          <w:lang w:val="en-US" w:eastAsia="zh-CN"/>
        </w:rPr>
        <w:t>2.4</w:t>
      </w:r>
      <w:r>
        <w:rPr>
          <w:rFonts w:hint="default" w:ascii="Times New Roman" w:hAnsi="Times New Roman" w:eastAsia="Times New Roman" w:cs="Times New Roman"/>
          <w:b w:val="0"/>
          <w:bCs w:val="0"/>
          <w:color w:val="auto"/>
          <w:sz w:val="24"/>
          <w:szCs w:val="24"/>
          <w:highlight w:val="none"/>
        </w:rPr>
        <w:t>t/d</w:t>
      </w:r>
      <w:r>
        <w:rPr>
          <w:rFonts w:hint="eastAsia" w:ascii="宋体" w:hAnsi="宋体" w:eastAsia="宋体" w:cs="宋体"/>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876</w:t>
      </w:r>
      <w:r>
        <w:rPr>
          <w:rFonts w:hint="default" w:ascii="Times New Roman" w:hAnsi="Times New Roman" w:eastAsia="Times New Roman" w:cs="Times New Roman"/>
          <w:b w:val="0"/>
          <w:bCs w:val="0"/>
          <w:color w:val="auto"/>
          <w:sz w:val="24"/>
          <w:szCs w:val="24"/>
          <w:highlight w:val="none"/>
        </w:rPr>
        <w:t>t/a</w:t>
      </w:r>
      <w:r>
        <w:rPr>
          <w:rFonts w:hint="eastAsia" w:ascii="宋体" w:hAnsi="宋体" w:eastAsia="宋体" w:cs="宋体"/>
          <w:b w:val="0"/>
          <w:bCs w:val="0"/>
          <w:color w:val="auto"/>
          <w:sz w:val="24"/>
          <w:szCs w:val="24"/>
          <w:highlight w:val="none"/>
        </w:rPr>
        <w:t>）</w:t>
      </w:r>
      <w:r>
        <w:rPr>
          <w:rFonts w:hint="eastAsia" w:ascii="宋体" w:hAnsi="宋体" w:eastAsia="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lang w:val="en-US" w:eastAsia="zh-CN"/>
        </w:rPr>
        <w:t>废水产生系数按照</w:t>
      </w:r>
      <w:r>
        <w:rPr>
          <w:rFonts w:hint="eastAsia" w:ascii="Times New Roman" w:hAnsi="Times New Roman" w:eastAsia="宋体" w:cs="Times New Roman"/>
          <w:color w:val="auto"/>
          <w:sz w:val="24"/>
          <w:highlight w:val="none"/>
          <w:lang w:val="en-US" w:eastAsia="zh-CN"/>
        </w:rPr>
        <w:t>85%计</w:t>
      </w:r>
      <w:r>
        <w:rPr>
          <w:rFonts w:hint="eastAsia" w:ascii="宋体" w:hAnsi="宋体" w:eastAsia="宋体" w:cs="宋体"/>
          <w:b w:val="0"/>
          <w:bCs w:val="0"/>
          <w:color w:val="auto"/>
          <w:sz w:val="24"/>
          <w:szCs w:val="24"/>
          <w:highlight w:val="none"/>
          <w:lang w:val="en-US" w:eastAsia="zh-CN"/>
        </w:rPr>
        <w:t>，则洗车废水产生量为</w:t>
      </w:r>
      <w:r>
        <w:rPr>
          <w:rFonts w:hint="eastAsia" w:ascii="Times New Roman" w:hAnsi="Times New Roman" w:eastAsia="宋体" w:cs="Times New Roman"/>
          <w:b w:val="0"/>
          <w:bCs w:val="0"/>
          <w:color w:val="auto"/>
          <w:sz w:val="24"/>
          <w:szCs w:val="24"/>
          <w:highlight w:val="none"/>
          <w:lang w:val="en-US" w:eastAsia="zh-CN"/>
        </w:rPr>
        <w:t>2.04</w:t>
      </w:r>
      <w:r>
        <w:rPr>
          <w:rFonts w:hint="default" w:ascii="Times New Roman" w:hAnsi="Times New Roman" w:eastAsia="Times New Roman" w:cs="Times New Roman"/>
          <w:b w:val="0"/>
          <w:bCs w:val="0"/>
          <w:color w:val="auto"/>
          <w:sz w:val="24"/>
          <w:szCs w:val="24"/>
          <w:highlight w:val="none"/>
        </w:rPr>
        <w:t>t/d</w:t>
      </w:r>
      <w:r>
        <w:rPr>
          <w:rFonts w:hint="eastAsia" w:ascii="宋体" w:hAnsi="宋体" w:eastAsia="宋体" w:cs="宋体"/>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val="en-US" w:eastAsia="zh-CN"/>
        </w:rPr>
        <w:t>744.6</w:t>
      </w:r>
      <w:r>
        <w:rPr>
          <w:rFonts w:hint="default" w:ascii="Times New Roman" w:hAnsi="Times New Roman" w:eastAsia="Times New Roman" w:cs="Times New Roman"/>
          <w:b w:val="0"/>
          <w:bCs w:val="0"/>
          <w:color w:val="auto"/>
          <w:sz w:val="24"/>
          <w:szCs w:val="24"/>
          <w:highlight w:val="none"/>
        </w:rPr>
        <w:t>t/a</w:t>
      </w:r>
      <w:r>
        <w:rPr>
          <w:rFonts w:hint="eastAsia" w:ascii="宋体" w:hAnsi="宋体" w:eastAsia="宋体" w:cs="宋体"/>
          <w:b w:val="0"/>
          <w:bCs w:val="0"/>
          <w:color w:val="auto"/>
          <w:sz w:val="24"/>
          <w:szCs w:val="24"/>
          <w:highlight w:val="none"/>
        </w:rPr>
        <w:t>）</w:t>
      </w:r>
      <w:r>
        <w:rPr>
          <w:rFonts w:hint="eastAsia" w:ascii="宋体" w:hAnsi="宋体" w:eastAsia="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lang w:val="en-US" w:eastAsia="zh-CN"/>
        </w:rPr>
        <w:t>参考同类型加油站洗车机</w:t>
      </w:r>
      <w:r>
        <w:rPr>
          <w:rFonts w:hint="eastAsia" w:ascii="Times New Roman" w:hAnsi="Times New Roman" w:eastAsia="宋体" w:cs="Times New Roman"/>
          <w:color w:val="auto"/>
          <w:sz w:val="24"/>
          <w:highlight w:val="none"/>
        </w:rPr>
        <w:t>主要污染物包括</w:t>
      </w:r>
      <w:r>
        <w:rPr>
          <w:rFonts w:hint="default" w:ascii="Times New Roman" w:hAnsi="Times New Roman" w:eastAsia="Times New Roman" w:cs="Times New Roman"/>
          <w:b w:val="0"/>
          <w:bCs w:val="0"/>
          <w:color w:val="auto"/>
          <w:sz w:val="24"/>
          <w:szCs w:val="24"/>
          <w:highlight w:val="none"/>
        </w:rPr>
        <w:t>COD250mg/L</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BOD</w:t>
      </w:r>
      <w:r>
        <w:rPr>
          <w:rFonts w:hint="default" w:ascii="Times New Roman" w:hAnsi="Times New Roman" w:eastAsia="Times New Roman" w:cs="Times New Roman"/>
          <w:b w:val="0"/>
          <w:bCs w:val="0"/>
          <w:color w:val="auto"/>
          <w:sz w:val="15"/>
          <w:szCs w:val="15"/>
          <w:highlight w:val="none"/>
        </w:rPr>
        <w:t>5</w:t>
      </w:r>
      <w:r>
        <w:rPr>
          <w:rFonts w:hint="default" w:ascii="Times New Roman" w:hAnsi="Times New Roman" w:eastAsia="Times New Roman" w:cs="Times New Roman"/>
          <w:b w:val="0"/>
          <w:bCs w:val="0"/>
          <w:color w:val="auto"/>
          <w:sz w:val="24"/>
          <w:szCs w:val="24"/>
          <w:highlight w:val="none"/>
        </w:rPr>
        <w:t>5</w:t>
      </w:r>
      <w:r>
        <w:rPr>
          <w:rFonts w:hint="eastAsia" w:ascii="Times New Roman" w:hAnsi="Times New Roman" w:eastAsia="宋体" w:cs="Times New Roman"/>
          <w:b w:val="0"/>
          <w:bCs w:val="0"/>
          <w:color w:val="auto"/>
          <w:sz w:val="24"/>
          <w:szCs w:val="24"/>
          <w:highlight w:val="none"/>
          <w:lang w:val="en-US" w:eastAsia="zh-CN"/>
        </w:rPr>
        <w:t>0</w:t>
      </w:r>
      <w:r>
        <w:rPr>
          <w:rFonts w:hint="default" w:ascii="Times New Roman" w:hAnsi="Times New Roman" w:eastAsia="Times New Roman" w:cs="Times New Roman"/>
          <w:b w:val="0"/>
          <w:bCs w:val="0"/>
          <w:color w:val="auto"/>
          <w:sz w:val="24"/>
          <w:szCs w:val="24"/>
          <w:highlight w:val="none"/>
        </w:rPr>
        <w:t>mg/L</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SS100mg/L</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LAS3mg/l</w:t>
      </w:r>
      <w:r>
        <w:rPr>
          <w:rFonts w:hint="eastAsia" w:ascii="宋体" w:hAnsi="宋体" w:eastAsia="宋体" w:cs="宋体"/>
          <w:b w:val="0"/>
          <w:bCs w:val="0"/>
          <w:color w:val="auto"/>
          <w:sz w:val="24"/>
          <w:szCs w:val="24"/>
          <w:highlight w:val="none"/>
        </w:rPr>
        <w:t>、氨氮</w:t>
      </w:r>
      <w:r>
        <w:rPr>
          <w:rFonts w:hint="default" w:ascii="Times New Roman" w:hAnsi="Times New Roman" w:eastAsia="Times New Roman" w:cs="Times New Roman"/>
          <w:b w:val="0"/>
          <w:bCs w:val="0"/>
          <w:color w:val="auto"/>
          <w:sz w:val="24"/>
          <w:szCs w:val="24"/>
          <w:highlight w:val="none"/>
        </w:rPr>
        <w:t>15mg/L</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石油类25</w:t>
      </w:r>
      <w:r>
        <w:rPr>
          <w:rFonts w:hint="default" w:ascii="Times New Roman" w:hAnsi="Times New Roman" w:eastAsia="Times New Roman" w:cs="Times New Roman"/>
          <w:b w:val="0"/>
          <w:bCs w:val="0"/>
          <w:color w:val="auto"/>
          <w:sz w:val="24"/>
          <w:szCs w:val="24"/>
          <w:highlight w:val="none"/>
        </w:rPr>
        <w:t>mg/l</w:t>
      </w:r>
      <w:r>
        <w:rPr>
          <w:rFonts w:hint="eastAsia" w:ascii="Times New Roman" w:hAnsi="Times New Roman" w:eastAsia="宋体" w:cs="Times New Roman"/>
          <w:color w:val="auto"/>
          <w:sz w:val="24"/>
          <w:highlight w:val="none"/>
          <w:lang w:val="en-US" w:eastAsia="zh-CN"/>
        </w:rPr>
        <w:t>等。</w:t>
      </w:r>
    </w:p>
    <w:p w14:paraId="6EA3EC9B">
      <w:pPr>
        <w:pStyle w:val="54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bCs/>
          <w:color w:val="auto"/>
          <w:sz w:val="24"/>
          <w:szCs w:val="28"/>
          <w:highlight w:val="none"/>
          <w:lang w:val="en-US" w:eastAsia="zh-CN"/>
        </w:rPr>
      </w:pPr>
      <w:r>
        <w:rPr>
          <w:rFonts w:hint="eastAsia"/>
          <w:bCs/>
          <w:color w:val="auto"/>
          <w:spacing w:val="0"/>
          <w:kern w:val="2"/>
          <w:sz w:val="24"/>
          <w:szCs w:val="28"/>
          <w:highlight w:val="none"/>
          <w:lang w:val="en-US" w:eastAsia="zh-CN" w:bidi="ar-SA"/>
        </w:rPr>
        <w:t>（6）</w:t>
      </w:r>
      <w:r>
        <w:rPr>
          <w:rFonts w:hint="eastAsia"/>
          <w:bCs/>
          <w:color w:val="auto"/>
          <w:sz w:val="24"/>
          <w:szCs w:val="28"/>
          <w:highlight w:val="none"/>
          <w:lang w:val="en-US" w:eastAsia="zh-CN"/>
        </w:rPr>
        <w:t>蒸汽发生器排污水</w:t>
      </w:r>
    </w:p>
    <w:p w14:paraId="49D59FE1">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bCs/>
          <w:color w:val="auto"/>
          <w:sz w:val="24"/>
          <w:szCs w:val="28"/>
          <w:highlight w:val="none"/>
          <w:lang w:val="en-US" w:eastAsia="zh-CN"/>
        </w:rPr>
        <w:t>首次煮锅废水产生量约为1t，该部分废水经桶装酸碱调节后排入市政污水管网</w:t>
      </w:r>
      <w:r>
        <w:rPr>
          <w:rFonts w:hint="eastAsia" w:cs="Times New Roman"/>
          <w:color w:val="auto"/>
          <w:sz w:val="24"/>
          <w:highlight w:val="none"/>
          <w:lang w:val="en-US" w:eastAsia="zh-CN"/>
        </w:rPr>
        <w:t>进入田家庵经济开发区污水处理站处理。</w:t>
      </w:r>
    </w:p>
    <w:p w14:paraId="7EBA4CEF">
      <w:pPr>
        <w:pStyle w:val="54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eastAsia"/>
          <w:bCs/>
          <w:color w:val="auto"/>
          <w:sz w:val="24"/>
          <w:szCs w:val="28"/>
          <w:highlight w:val="none"/>
          <w:lang w:val="en-US" w:eastAsia="zh-CN"/>
        </w:rPr>
      </w:pPr>
      <w:r>
        <w:rPr>
          <w:rFonts w:hint="eastAsia"/>
          <w:bCs/>
          <w:color w:val="auto"/>
          <w:spacing w:val="0"/>
          <w:kern w:val="2"/>
          <w:sz w:val="24"/>
          <w:szCs w:val="28"/>
          <w:highlight w:val="none"/>
          <w:lang w:val="en-US" w:eastAsia="zh-CN" w:bidi="ar-SA"/>
        </w:rPr>
        <w:t>（7）初期雨水</w:t>
      </w:r>
    </w:p>
    <w:p w14:paraId="0C888236">
      <w:pPr>
        <w:pStyle w:val="288"/>
        <w:keepNext w:val="0"/>
        <w:keepLines w:val="0"/>
        <w:pageBreakBefore w:val="0"/>
        <w:widowControl w:val="0"/>
        <w:kinsoku/>
        <w:wordWrap/>
        <w:overflowPunct/>
        <w:topLinePunct w:val="0"/>
        <w:autoSpaceDE w:val="0"/>
        <w:autoSpaceDN/>
        <w:bidi w:val="0"/>
        <w:adjustRightInd w:val="0"/>
        <w:snapToGrid w:val="0"/>
        <w:spacing w:line="360" w:lineRule="auto"/>
        <w:ind w:firstLine="480"/>
        <w:textAlignment w:val="auto"/>
        <w:rPr>
          <w:rFonts w:hint="default" w:ascii="Times New Roman" w:hAnsi="Times New Roman" w:eastAsia="宋体" w:cs="Times New Roman"/>
          <w:color w:val="auto"/>
          <w:sz w:val="24"/>
          <w:szCs w:val="24"/>
          <w:highlight w:val="none"/>
          <w:lang w:val="en-US" w:eastAsia="zh-CN"/>
        </w:rPr>
      </w:pPr>
      <w:r>
        <w:rPr>
          <w:rFonts w:hint="eastAsia" w:eastAsia="宋体"/>
          <w:bCs/>
          <w:color w:val="auto"/>
          <w:sz w:val="24"/>
          <w:szCs w:val="28"/>
          <w:highlight w:val="none"/>
          <w:lang w:val="en-US" w:eastAsia="zh-CN"/>
        </w:rPr>
        <w:t>根据前述计算，</w:t>
      </w:r>
      <w:r>
        <w:rPr>
          <w:rFonts w:hint="default" w:ascii="Times New Roman" w:hAnsi="Times New Roman" w:eastAsia="宋体" w:cs="Times New Roman"/>
          <w:color w:val="auto"/>
          <w:spacing w:val="0"/>
          <w:position w:val="0"/>
          <w:sz w:val="24"/>
          <w:szCs w:val="24"/>
          <w:highlight w:val="none"/>
        </w:rPr>
        <w:t>暴雨初期雨水产生量每次为</w:t>
      </w:r>
      <w:r>
        <w:rPr>
          <w:rFonts w:hint="eastAsia" w:ascii="Times New Roman" w:hAnsi="Times New Roman" w:eastAsia="宋体" w:cs="Times New Roman"/>
          <w:color w:val="auto"/>
          <w:spacing w:val="0"/>
          <w:position w:val="0"/>
          <w:sz w:val="24"/>
          <w:szCs w:val="24"/>
          <w:highlight w:val="none"/>
          <w:lang w:val="en-US" w:eastAsia="zh-CN"/>
        </w:rPr>
        <w:t>26.4</w:t>
      </w:r>
      <w:r>
        <w:rPr>
          <w:rFonts w:hint="default" w:ascii="Times New Roman" w:hAnsi="Times New Roman" w:eastAsia="宋体" w:cs="Times New Roman"/>
          <w:color w:val="auto"/>
          <w:spacing w:val="0"/>
          <w:position w:val="0"/>
          <w:sz w:val="24"/>
          <w:szCs w:val="24"/>
          <w:highlight w:val="none"/>
        </w:rPr>
        <w:t>m</w:t>
      </w:r>
      <w:r>
        <w:rPr>
          <w:rFonts w:hint="default" w:ascii="Times New Roman" w:hAnsi="Times New Roman" w:eastAsia="宋体" w:cs="Times New Roman"/>
          <w:color w:val="auto"/>
          <w:spacing w:val="0"/>
          <w:position w:val="0"/>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/次</w:t>
      </w:r>
      <w:r>
        <w:rPr>
          <w:rFonts w:hint="eastAsia" w:ascii="Times New Roman" w:hAnsi="Times New Roman" w:eastAsia="宋体" w:cs="Times New Roman"/>
          <w:color w:val="auto"/>
          <w:spacing w:val="0"/>
          <w:position w:val="0"/>
          <w:sz w:val="24"/>
          <w:szCs w:val="24"/>
          <w:highlight w:val="none"/>
          <w:lang w:eastAsia="zh-CN"/>
        </w:rPr>
        <w:t>，</w:t>
      </w:r>
      <w:r>
        <w:rPr>
          <w:rFonts w:hint="default" w:ascii="Times New Roman" w:hAnsi="Times New Roman" w:cs="Times New Roman"/>
          <w:b w:val="0"/>
          <w:bCs w:val="0"/>
          <w:color w:val="auto"/>
          <w:kern w:val="0"/>
          <w:sz w:val="24"/>
          <w:highlight w:val="none"/>
          <w:lang w:val="en-US" w:eastAsia="zh-CN"/>
        </w:rPr>
        <w:t>本次评价建议</w:t>
      </w:r>
      <w:r>
        <w:rPr>
          <w:rFonts w:hint="eastAsia" w:ascii="Times New Roman" w:hAnsi="Times New Roman" w:cs="Times New Roman"/>
          <w:b w:val="0"/>
          <w:bCs w:val="0"/>
          <w:color w:val="auto"/>
          <w:kern w:val="0"/>
          <w:sz w:val="24"/>
          <w:highlight w:val="none"/>
          <w:lang w:val="en-US" w:eastAsia="zh-CN"/>
        </w:rPr>
        <w:t>利用拟建隔油池作为</w:t>
      </w:r>
      <w:r>
        <w:rPr>
          <w:rFonts w:hint="default" w:ascii="Times New Roman" w:hAnsi="Times New Roman" w:cs="Times New Roman"/>
          <w:b w:val="0"/>
          <w:bCs w:val="0"/>
          <w:color w:val="auto"/>
          <w:kern w:val="0"/>
          <w:sz w:val="24"/>
          <w:highlight w:val="none"/>
          <w:lang w:val="en-US" w:eastAsia="zh-CN"/>
        </w:rPr>
        <w:t>初期雨水池</w:t>
      </w:r>
      <w:r>
        <w:rPr>
          <w:rFonts w:hint="eastAsia" w:ascii="Times New Roman" w:hAnsi="Times New Roman" w:cs="Times New Roman"/>
          <w:b w:val="0"/>
          <w:bCs w:val="0"/>
          <w:color w:val="auto"/>
          <w:kern w:val="0"/>
          <w:sz w:val="24"/>
          <w:highlight w:val="none"/>
          <w:lang w:val="en-US" w:eastAsia="zh-CN"/>
        </w:rPr>
        <w:t>，前期雨水经管沟导入隔油池进行隔油沉淀处理，后期雨水排入市政雨水管线，隔油池</w:t>
      </w:r>
      <w:r>
        <w:rPr>
          <w:rFonts w:hint="default" w:ascii="Times New Roman" w:hAnsi="Times New Roman" w:cs="Times New Roman"/>
          <w:b w:val="0"/>
          <w:bCs w:val="0"/>
          <w:color w:val="auto"/>
          <w:kern w:val="0"/>
          <w:sz w:val="24"/>
          <w:highlight w:val="none"/>
          <w:lang w:val="en-US" w:eastAsia="zh-CN"/>
        </w:rPr>
        <w:t>设置于站内南侧设置，设置容积为</w:t>
      </w:r>
      <w:r>
        <w:rPr>
          <w:rFonts w:hint="eastAsia" w:ascii="Times New Roman" w:hAnsi="Times New Roman" w:cs="Times New Roman"/>
          <w:b w:val="0"/>
          <w:bCs w:val="0"/>
          <w:color w:val="auto"/>
          <w:kern w:val="0"/>
          <w:sz w:val="24"/>
          <w:highlight w:val="none"/>
          <w:lang w:val="en-US" w:eastAsia="zh-CN"/>
        </w:rPr>
        <w:t>30</w:t>
      </w:r>
      <w:r>
        <w:rPr>
          <w:rFonts w:hint="default" w:ascii="Times New Roman" w:hAnsi="Times New Roman" w:cs="Times New Roman"/>
          <w:b w:val="0"/>
          <w:bCs w:val="0"/>
          <w:color w:val="auto"/>
          <w:kern w:val="0"/>
          <w:sz w:val="24"/>
          <w:highlight w:val="none"/>
          <w:lang w:val="en-US" w:eastAsia="zh-CN"/>
        </w:rPr>
        <w:t>立方（预留</w:t>
      </w:r>
      <w:r>
        <w:rPr>
          <w:rFonts w:hint="eastAsia" w:ascii="Times New Roman" w:hAnsi="Times New Roman" w:cs="Times New Roman"/>
          <w:b w:val="0"/>
          <w:bCs w:val="0"/>
          <w:color w:val="auto"/>
          <w:kern w:val="0"/>
          <w:sz w:val="24"/>
          <w:highlight w:val="none"/>
          <w:lang w:val="en-US" w:eastAsia="zh-CN"/>
        </w:rPr>
        <w:t>1</w:t>
      </w:r>
      <w:r>
        <w:rPr>
          <w:rFonts w:hint="default" w:ascii="Times New Roman" w:hAnsi="Times New Roman" w:cs="Times New Roman"/>
          <w:b w:val="0"/>
          <w:bCs w:val="0"/>
          <w:color w:val="auto"/>
          <w:kern w:val="0"/>
          <w:sz w:val="24"/>
          <w:highlight w:val="none"/>
          <w:lang w:val="en-US" w:eastAsia="zh-CN"/>
        </w:rPr>
        <w:t>0%），</w:t>
      </w:r>
      <w:r>
        <w:rPr>
          <w:rFonts w:hint="default" w:ascii="Times New Roman" w:hAnsi="Times New Roman" w:cs="Times New Roman"/>
          <w:color w:val="auto"/>
          <w:kern w:val="0"/>
          <w:sz w:val="24"/>
          <w:szCs w:val="24"/>
          <w:highlight w:val="none"/>
          <w:lang w:val="en-US" w:eastAsia="zh-CN" w:bidi="ar"/>
        </w:rPr>
        <w:t>确保初期雨水能够被有效收集，不排入外环境。</w:t>
      </w:r>
      <w:r>
        <w:rPr>
          <w:rFonts w:hint="eastAsia" w:ascii="Times New Roman" w:hAnsi="Times New Roman" w:cs="Times New Roman"/>
          <w:color w:val="auto"/>
          <w:kern w:val="0"/>
          <w:sz w:val="24"/>
          <w:szCs w:val="24"/>
          <w:highlight w:val="none"/>
          <w:lang w:val="en-US" w:eastAsia="zh-CN" w:bidi="ar"/>
        </w:rPr>
        <w:t>初期雨水经隔油沉淀后接管市政污水管网</w:t>
      </w:r>
      <w:r>
        <w:rPr>
          <w:rFonts w:hint="eastAsia" w:cs="Times New Roman"/>
          <w:color w:val="auto"/>
          <w:sz w:val="24"/>
          <w:highlight w:val="none"/>
          <w:lang w:val="en-US" w:eastAsia="zh-CN"/>
        </w:rPr>
        <w:t>进入田家庵经济开发区污水处理站处理。</w:t>
      </w:r>
    </w:p>
    <w:p w14:paraId="2DC76871">
      <w:pPr>
        <w:pStyle w:val="54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napToGrid/>
          <w:color w:val="auto"/>
          <w:spacing w:val="0"/>
          <w:kern w:val="2"/>
          <w:sz w:val="24"/>
          <w:szCs w:val="22"/>
          <w:highlight w:val="none"/>
          <w:lang w:val="en-US" w:eastAsia="zh-CN" w:bidi="ar-SA"/>
        </w:rPr>
      </w:pPr>
      <w:r>
        <w:rPr>
          <w:rFonts w:hint="default" w:ascii="Times New Roman" w:hAnsi="Times New Roman" w:eastAsia="宋体" w:cs="Times New Roman"/>
          <w:snapToGrid/>
          <w:color w:val="auto"/>
          <w:spacing w:val="0"/>
          <w:kern w:val="2"/>
          <w:sz w:val="24"/>
          <w:szCs w:val="22"/>
          <w:highlight w:val="none"/>
          <w:lang w:val="en-US" w:eastAsia="zh-CN" w:bidi="ar-SA"/>
        </w:rPr>
        <w:t>本项目建成后废水产生及排放情况见下表。</w:t>
      </w:r>
    </w:p>
    <w:p w14:paraId="1DD75BF9">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3.</w:t>
      </w: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 xml:space="preserve">.2-1  </w:t>
      </w:r>
      <w:r>
        <w:rPr>
          <w:rFonts w:hint="default" w:ascii="Times New Roman" w:hAnsi="Times New Roman" w:eastAsia="宋体" w:cs="Times New Roman"/>
          <w:b/>
          <w:bCs/>
          <w:color w:val="auto"/>
          <w:sz w:val="24"/>
          <w:szCs w:val="24"/>
          <w:highlight w:val="none"/>
          <w:lang w:val="en-US" w:eastAsia="zh-CN"/>
        </w:rPr>
        <w:t>项目</w:t>
      </w:r>
      <w:r>
        <w:rPr>
          <w:rFonts w:hint="eastAsia" w:ascii="Times New Roman" w:hAnsi="Times New Roman" w:eastAsia="宋体" w:cs="Times New Roman"/>
          <w:b/>
          <w:bCs/>
          <w:color w:val="auto"/>
          <w:sz w:val="24"/>
          <w:szCs w:val="24"/>
          <w:highlight w:val="none"/>
          <w:lang w:val="en-US" w:eastAsia="zh-CN"/>
        </w:rPr>
        <w:t>废水</w:t>
      </w:r>
      <w:r>
        <w:rPr>
          <w:rFonts w:hint="default" w:ascii="Times New Roman" w:hAnsi="Times New Roman" w:eastAsia="宋体" w:cs="Times New Roman"/>
          <w:b/>
          <w:bCs/>
          <w:color w:val="auto"/>
          <w:sz w:val="24"/>
          <w:szCs w:val="24"/>
          <w:highlight w:val="none"/>
          <w:lang w:val="en-US" w:eastAsia="zh-CN"/>
        </w:rPr>
        <w:t>中主要污染物产生及接管情况一览表</w:t>
      </w:r>
      <w:r>
        <w:rPr>
          <w:rFonts w:hint="eastAsia" w:ascii="Times New Roman" w:hAnsi="Times New Roman" w:eastAsia="宋体" w:cs="Times New Roman"/>
          <w:b/>
          <w:bCs/>
          <w:color w:val="auto"/>
          <w:sz w:val="24"/>
          <w:szCs w:val="24"/>
          <w:highlight w:val="none"/>
          <w:lang w:val="en-US" w:eastAsia="zh-CN"/>
        </w:rPr>
        <w:t>（pH无量纲）</w:t>
      </w:r>
    </w:p>
    <w:tbl>
      <w:tblPr>
        <w:tblStyle w:val="49"/>
        <w:tblW w:w="55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996"/>
        <w:gridCol w:w="1169"/>
        <w:gridCol w:w="1243"/>
        <w:gridCol w:w="1026"/>
        <w:gridCol w:w="1555"/>
        <w:gridCol w:w="1147"/>
        <w:gridCol w:w="1087"/>
      </w:tblGrid>
      <w:tr w14:paraId="694B0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08" w:type="pct"/>
            <w:vMerge w:val="restart"/>
            <w:noWrap w:val="0"/>
            <w:tcMar>
              <w:top w:w="0" w:type="dxa"/>
              <w:left w:w="28" w:type="dxa"/>
              <w:bottom w:w="0" w:type="dxa"/>
              <w:right w:w="28" w:type="dxa"/>
            </w:tcMar>
            <w:vAlign w:val="center"/>
          </w:tcPr>
          <w:p w14:paraId="490C3D2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532" w:type="pct"/>
            <w:vMerge w:val="restart"/>
            <w:noWrap w:val="0"/>
            <w:tcMar>
              <w:top w:w="0" w:type="dxa"/>
              <w:left w:w="28" w:type="dxa"/>
              <w:bottom w:w="0" w:type="dxa"/>
              <w:right w:w="28" w:type="dxa"/>
            </w:tcMar>
            <w:vAlign w:val="center"/>
          </w:tcPr>
          <w:p w14:paraId="5E1CDBD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废水量</w:t>
            </w:r>
          </w:p>
          <w:p w14:paraId="3695F25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t/a</w:t>
            </w:r>
            <w:r>
              <w:rPr>
                <w:rFonts w:hint="default" w:ascii="Times New Roman" w:hAnsi="Times New Roman" w:eastAsia="宋体" w:cs="Times New Roman"/>
                <w:b/>
                <w:bCs/>
                <w:color w:val="auto"/>
                <w:sz w:val="21"/>
                <w:szCs w:val="21"/>
                <w:highlight w:val="none"/>
                <w:lang w:eastAsia="zh-CN"/>
              </w:rPr>
              <w:t>）</w:t>
            </w:r>
          </w:p>
        </w:tc>
        <w:tc>
          <w:tcPr>
            <w:tcW w:w="624" w:type="pct"/>
            <w:vMerge w:val="restart"/>
            <w:noWrap w:val="0"/>
            <w:vAlign w:val="center"/>
          </w:tcPr>
          <w:p w14:paraId="5E4C74F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1211" w:type="pct"/>
            <w:gridSpan w:val="2"/>
            <w:noWrap w:val="0"/>
            <w:tcMar>
              <w:top w:w="0" w:type="dxa"/>
              <w:left w:w="28" w:type="dxa"/>
              <w:bottom w:w="0" w:type="dxa"/>
              <w:right w:w="28" w:type="dxa"/>
            </w:tcMar>
            <w:vAlign w:val="center"/>
          </w:tcPr>
          <w:p w14:paraId="09F737D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产生情况</w:t>
            </w:r>
          </w:p>
        </w:tc>
        <w:tc>
          <w:tcPr>
            <w:tcW w:w="830" w:type="pct"/>
            <w:vMerge w:val="restart"/>
            <w:noWrap w:val="0"/>
            <w:vAlign w:val="center"/>
          </w:tcPr>
          <w:p w14:paraId="33DB27C2">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拟采取的</w:t>
            </w:r>
          </w:p>
          <w:p w14:paraId="64863F17">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处理方式</w:t>
            </w:r>
          </w:p>
        </w:tc>
        <w:tc>
          <w:tcPr>
            <w:tcW w:w="1193" w:type="pct"/>
            <w:gridSpan w:val="2"/>
            <w:noWrap w:val="0"/>
            <w:vAlign w:val="center"/>
          </w:tcPr>
          <w:p w14:paraId="12926E3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接管情况</w:t>
            </w:r>
          </w:p>
        </w:tc>
      </w:tr>
      <w:tr w14:paraId="04051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08" w:type="pct"/>
            <w:vMerge w:val="continue"/>
            <w:noWrap w:val="0"/>
            <w:vAlign w:val="center"/>
          </w:tcPr>
          <w:p w14:paraId="7F708E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vAlign w:val="center"/>
          </w:tcPr>
          <w:p w14:paraId="0BBA22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p>
        </w:tc>
        <w:tc>
          <w:tcPr>
            <w:tcW w:w="624" w:type="pct"/>
            <w:vMerge w:val="continue"/>
            <w:noWrap w:val="0"/>
            <w:vAlign w:val="center"/>
          </w:tcPr>
          <w:p w14:paraId="181D3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p>
        </w:tc>
        <w:tc>
          <w:tcPr>
            <w:tcW w:w="663" w:type="pct"/>
            <w:noWrap w:val="0"/>
            <w:tcMar>
              <w:top w:w="0" w:type="dxa"/>
              <w:left w:w="28" w:type="dxa"/>
              <w:bottom w:w="0" w:type="dxa"/>
              <w:right w:w="28" w:type="dxa"/>
            </w:tcMar>
            <w:vAlign w:val="center"/>
          </w:tcPr>
          <w:p w14:paraId="396DF378">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产生浓度</w:t>
            </w:r>
            <w:r>
              <w:rPr>
                <w:rFonts w:hint="default" w:ascii="Times New Roman" w:hAnsi="Times New Roman" w:eastAsia="宋体" w:cs="Times New Roman"/>
                <w:b/>
                <w:bCs/>
                <w:color w:val="auto"/>
                <w:sz w:val="21"/>
                <w:szCs w:val="21"/>
                <w:highlight w:val="none"/>
              </w:rPr>
              <w:t>（mg/L）</w:t>
            </w:r>
          </w:p>
        </w:tc>
        <w:tc>
          <w:tcPr>
            <w:tcW w:w="547" w:type="pct"/>
            <w:noWrap w:val="0"/>
            <w:vAlign w:val="center"/>
          </w:tcPr>
          <w:p w14:paraId="7D0B2374">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产生量</w:t>
            </w:r>
          </w:p>
          <w:p w14:paraId="73E82CE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（t/a）</w:t>
            </w:r>
          </w:p>
        </w:tc>
        <w:tc>
          <w:tcPr>
            <w:tcW w:w="830" w:type="pct"/>
            <w:vMerge w:val="continue"/>
            <w:noWrap w:val="0"/>
            <w:vAlign w:val="center"/>
          </w:tcPr>
          <w:p w14:paraId="551A2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rPr>
            </w:pPr>
          </w:p>
        </w:tc>
        <w:tc>
          <w:tcPr>
            <w:tcW w:w="612" w:type="pct"/>
            <w:noWrap w:val="0"/>
            <w:vAlign w:val="center"/>
          </w:tcPr>
          <w:p w14:paraId="7D355FCC">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排放</w:t>
            </w:r>
            <w:r>
              <w:rPr>
                <w:rFonts w:hint="default" w:ascii="Times New Roman" w:hAnsi="Times New Roman" w:eastAsia="宋体" w:cs="Times New Roman"/>
                <w:b/>
                <w:bCs/>
                <w:color w:val="auto"/>
                <w:sz w:val="21"/>
                <w:szCs w:val="21"/>
                <w:highlight w:val="none"/>
              </w:rPr>
              <w:t>浓度（mg/L）</w:t>
            </w:r>
          </w:p>
        </w:tc>
        <w:tc>
          <w:tcPr>
            <w:tcW w:w="580" w:type="pct"/>
            <w:noWrap w:val="0"/>
            <w:vAlign w:val="center"/>
          </w:tcPr>
          <w:p w14:paraId="3BE227A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排放量（t/a）</w:t>
            </w:r>
          </w:p>
        </w:tc>
      </w:tr>
      <w:tr w14:paraId="5FD6E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08" w:type="pct"/>
            <w:vMerge w:val="restart"/>
            <w:noWrap w:val="0"/>
            <w:vAlign w:val="center"/>
          </w:tcPr>
          <w:p w14:paraId="291EA717">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生活</w:t>
            </w:r>
          </w:p>
          <w:p w14:paraId="1833F11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污水</w:t>
            </w:r>
            <w:r>
              <w:rPr>
                <w:rFonts w:hint="eastAsia" w:ascii="Times New Roman" w:hAnsi="Times New Roman" w:eastAsia="宋体" w:cs="Times New Roman"/>
                <w:b/>
                <w:bCs/>
                <w:color w:val="auto"/>
                <w:sz w:val="21"/>
                <w:szCs w:val="21"/>
                <w:highlight w:val="none"/>
                <w:lang w:eastAsia="zh-CN"/>
              </w:rPr>
              <w:t>、</w:t>
            </w:r>
            <w:r>
              <w:rPr>
                <w:rFonts w:hint="eastAsia" w:ascii="Times New Roman" w:hAnsi="Times New Roman" w:eastAsia="宋体" w:cs="Times New Roman"/>
                <w:b/>
                <w:bCs/>
                <w:color w:val="auto"/>
                <w:sz w:val="21"/>
                <w:szCs w:val="21"/>
                <w:highlight w:val="none"/>
                <w:lang w:val="en-US" w:eastAsia="zh-CN"/>
              </w:rPr>
              <w:t>保洁废水</w:t>
            </w:r>
          </w:p>
        </w:tc>
        <w:tc>
          <w:tcPr>
            <w:tcW w:w="532" w:type="pct"/>
            <w:vMerge w:val="restart"/>
            <w:noWrap w:val="0"/>
            <w:vAlign w:val="center"/>
          </w:tcPr>
          <w:p w14:paraId="24414C42">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103.32</w:t>
            </w:r>
          </w:p>
        </w:tc>
        <w:tc>
          <w:tcPr>
            <w:tcW w:w="624" w:type="pct"/>
            <w:noWrap w:val="0"/>
            <w:vAlign w:val="center"/>
          </w:tcPr>
          <w:p w14:paraId="278619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pH</w:t>
            </w:r>
          </w:p>
        </w:tc>
        <w:tc>
          <w:tcPr>
            <w:tcW w:w="663" w:type="pct"/>
            <w:noWrap w:val="0"/>
            <w:tcMar>
              <w:top w:w="0" w:type="dxa"/>
              <w:left w:w="28" w:type="dxa"/>
              <w:bottom w:w="0" w:type="dxa"/>
              <w:right w:w="28" w:type="dxa"/>
            </w:tcMar>
            <w:vAlign w:val="center"/>
          </w:tcPr>
          <w:p w14:paraId="26E0484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w:t>
            </w:r>
          </w:p>
        </w:tc>
        <w:tc>
          <w:tcPr>
            <w:tcW w:w="547" w:type="pct"/>
            <w:noWrap w:val="0"/>
            <w:vAlign w:val="center"/>
          </w:tcPr>
          <w:p w14:paraId="576DCFC8">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w:t>
            </w:r>
          </w:p>
        </w:tc>
        <w:tc>
          <w:tcPr>
            <w:tcW w:w="830" w:type="pct"/>
            <w:vMerge w:val="restart"/>
            <w:noWrap w:val="0"/>
            <w:vAlign w:val="center"/>
          </w:tcPr>
          <w:p w14:paraId="31AC0E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经化粪池</w:t>
            </w:r>
            <w:r>
              <w:rPr>
                <w:rFonts w:hint="eastAsia" w:ascii="Times New Roman" w:hAnsi="Times New Roman" w:eastAsia="宋体" w:cs="Times New Roman"/>
                <w:i w:val="0"/>
                <w:iCs w:val="0"/>
                <w:color w:val="auto"/>
                <w:kern w:val="0"/>
                <w:sz w:val="21"/>
                <w:szCs w:val="21"/>
                <w:highlight w:val="none"/>
                <w:u w:val="none"/>
                <w:lang w:val="en-US" w:eastAsia="zh-CN" w:bidi="ar"/>
              </w:rPr>
              <w:t>收集预处理</w:t>
            </w:r>
            <w:r>
              <w:rPr>
                <w:rFonts w:hint="default" w:ascii="Times New Roman" w:hAnsi="Times New Roman" w:eastAsia="宋体" w:cs="Times New Roman"/>
                <w:i w:val="0"/>
                <w:iCs w:val="0"/>
                <w:color w:val="auto"/>
                <w:kern w:val="0"/>
                <w:sz w:val="21"/>
                <w:szCs w:val="21"/>
                <w:highlight w:val="none"/>
                <w:u w:val="none"/>
                <w:lang w:val="en-US" w:eastAsia="zh-CN" w:bidi="ar"/>
              </w:rPr>
              <w:t>后接管市政污水管网</w:t>
            </w:r>
          </w:p>
        </w:tc>
        <w:tc>
          <w:tcPr>
            <w:tcW w:w="612" w:type="pct"/>
            <w:noWrap w:val="0"/>
            <w:vAlign w:val="center"/>
          </w:tcPr>
          <w:p w14:paraId="1B546F6F">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lang w:val="en-US" w:eastAsia="zh-CN"/>
              </w:rPr>
              <w:t>/</w:t>
            </w:r>
          </w:p>
        </w:tc>
        <w:tc>
          <w:tcPr>
            <w:tcW w:w="580" w:type="pct"/>
            <w:noWrap w:val="0"/>
            <w:vAlign w:val="center"/>
          </w:tcPr>
          <w:p w14:paraId="642FACCB">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w:t>
            </w:r>
          </w:p>
        </w:tc>
      </w:tr>
      <w:tr w14:paraId="652C2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08" w:type="pct"/>
            <w:vMerge w:val="continue"/>
            <w:noWrap w:val="0"/>
            <w:tcMar>
              <w:top w:w="0" w:type="dxa"/>
              <w:left w:w="28" w:type="dxa"/>
              <w:bottom w:w="0" w:type="dxa"/>
              <w:right w:w="28" w:type="dxa"/>
            </w:tcMar>
            <w:vAlign w:val="center"/>
          </w:tcPr>
          <w:p w14:paraId="5F82B28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tcMar>
              <w:top w:w="0" w:type="dxa"/>
              <w:left w:w="28" w:type="dxa"/>
              <w:bottom w:w="0" w:type="dxa"/>
              <w:right w:w="28" w:type="dxa"/>
            </w:tcMar>
            <w:vAlign w:val="center"/>
          </w:tcPr>
          <w:p w14:paraId="3970DD40">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24" w:type="pct"/>
            <w:noWrap w:val="0"/>
            <w:vAlign w:val="center"/>
          </w:tcPr>
          <w:p w14:paraId="4228FC4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663" w:type="pct"/>
            <w:noWrap w:val="0"/>
            <w:tcMar>
              <w:top w:w="0" w:type="dxa"/>
              <w:left w:w="28" w:type="dxa"/>
              <w:bottom w:w="0" w:type="dxa"/>
              <w:right w:w="28" w:type="dxa"/>
            </w:tcMar>
            <w:vAlign w:val="center"/>
          </w:tcPr>
          <w:p w14:paraId="57CA44E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0</w:t>
            </w:r>
          </w:p>
        </w:tc>
        <w:tc>
          <w:tcPr>
            <w:tcW w:w="547" w:type="pct"/>
            <w:noWrap w:val="0"/>
            <w:vAlign w:val="center"/>
          </w:tcPr>
          <w:p w14:paraId="4F83F0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0.375</w:t>
            </w:r>
          </w:p>
        </w:tc>
        <w:tc>
          <w:tcPr>
            <w:tcW w:w="830" w:type="pct"/>
            <w:vMerge w:val="continue"/>
            <w:noWrap w:val="0"/>
            <w:vAlign w:val="center"/>
          </w:tcPr>
          <w:p w14:paraId="211AA7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rPr>
            </w:pPr>
          </w:p>
        </w:tc>
        <w:tc>
          <w:tcPr>
            <w:tcW w:w="612" w:type="pct"/>
            <w:noWrap w:val="0"/>
            <w:vAlign w:val="center"/>
          </w:tcPr>
          <w:p w14:paraId="67612F6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3</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0</w:t>
            </w:r>
          </w:p>
        </w:tc>
        <w:tc>
          <w:tcPr>
            <w:tcW w:w="580" w:type="pct"/>
            <w:noWrap w:val="0"/>
            <w:vAlign w:val="center"/>
          </w:tcPr>
          <w:p w14:paraId="14572F7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0.375</w:t>
            </w:r>
          </w:p>
        </w:tc>
      </w:tr>
      <w:tr w14:paraId="631AB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7" w:hRule="atLeast"/>
          <w:jc w:val="center"/>
        </w:trPr>
        <w:tc>
          <w:tcPr>
            <w:tcW w:w="608" w:type="pct"/>
            <w:vMerge w:val="continue"/>
            <w:noWrap w:val="0"/>
            <w:vAlign w:val="center"/>
          </w:tcPr>
          <w:p w14:paraId="75583A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32" w:type="pct"/>
            <w:vMerge w:val="continue"/>
            <w:noWrap w:val="0"/>
            <w:vAlign w:val="center"/>
          </w:tcPr>
          <w:p w14:paraId="170342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1768C24D">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663" w:type="pct"/>
            <w:noWrap w:val="0"/>
            <w:tcMar>
              <w:top w:w="0" w:type="dxa"/>
              <w:left w:w="28" w:type="dxa"/>
              <w:bottom w:w="0" w:type="dxa"/>
              <w:right w:w="28" w:type="dxa"/>
            </w:tcMar>
            <w:vAlign w:val="center"/>
          </w:tcPr>
          <w:p w14:paraId="75F7512C">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0</w:t>
            </w:r>
          </w:p>
        </w:tc>
        <w:tc>
          <w:tcPr>
            <w:tcW w:w="547" w:type="pct"/>
            <w:noWrap w:val="0"/>
            <w:vAlign w:val="center"/>
          </w:tcPr>
          <w:p w14:paraId="3E3D34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0.221</w:t>
            </w:r>
          </w:p>
        </w:tc>
        <w:tc>
          <w:tcPr>
            <w:tcW w:w="830" w:type="pct"/>
            <w:vMerge w:val="continue"/>
            <w:noWrap w:val="0"/>
            <w:vAlign w:val="center"/>
          </w:tcPr>
          <w:p w14:paraId="493CE87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02A67341">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w:t>
            </w:r>
            <w:r>
              <w:rPr>
                <w:rFonts w:hint="eastAsia"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0</w:t>
            </w:r>
          </w:p>
        </w:tc>
        <w:tc>
          <w:tcPr>
            <w:tcW w:w="580" w:type="pct"/>
            <w:noWrap w:val="0"/>
            <w:vAlign w:val="center"/>
          </w:tcPr>
          <w:p w14:paraId="08BFEB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0.221</w:t>
            </w:r>
          </w:p>
        </w:tc>
      </w:tr>
      <w:tr w14:paraId="6A2E3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608" w:type="pct"/>
            <w:vMerge w:val="continue"/>
            <w:noWrap w:val="0"/>
            <w:vAlign w:val="center"/>
          </w:tcPr>
          <w:p w14:paraId="74CB41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32" w:type="pct"/>
            <w:vMerge w:val="continue"/>
            <w:noWrap w:val="0"/>
            <w:vAlign w:val="center"/>
          </w:tcPr>
          <w:p w14:paraId="375BB4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6BDF24FF">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663" w:type="pct"/>
            <w:noWrap w:val="0"/>
            <w:tcMar>
              <w:top w:w="0" w:type="dxa"/>
              <w:left w:w="28" w:type="dxa"/>
              <w:bottom w:w="0" w:type="dxa"/>
              <w:right w:w="28" w:type="dxa"/>
            </w:tcMar>
            <w:vAlign w:val="center"/>
          </w:tcPr>
          <w:p w14:paraId="60E7BA9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0</w:t>
            </w:r>
          </w:p>
        </w:tc>
        <w:tc>
          <w:tcPr>
            <w:tcW w:w="547" w:type="pct"/>
            <w:noWrap w:val="0"/>
            <w:vAlign w:val="center"/>
          </w:tcPr>
          <w:p w14:paraId="3530DA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0.177</w:t>
            </w:r>
          </w:p>
        </w:tc>
        <w:tc>
          <w:tcPr>
            <w:tcW w:w="830" w:type="pct"/>
            <w:vMerge w:val="continue"/>
            <w:noWrap w:val="0"/>
            <w:vAlign w:val="center"/>
          </w:tcPr>
          <w:p w14:paraId="522DAB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151ECB6C">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0</w:t>
            </w:r>
          </w:p>
        </w:tc>
        <w:tc>
          <w:tcPr>
            <w:tcW w:w="580" w:type="pct"/>
            <w:noWrap w:val="0"/>
            <w:vAlign w:val="center"/>
          </w:tcPr>
          <w:p w14:paraId="114017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0.177</w:t>
            </w:r>
          </w:p>
        </w:tc>
      </w:tr>
      <w:tr w14:paraId="2C14A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360706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32" w:type="pct"/>
            <w:vMerge w:val="continue"/>
            <w:noWrap w:val="0"/>
            <w:vAlign w:val="center"/>
          </w:tcPr>
          <w:p w14:paraId="40A642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3B2B227B">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663" w:type="pct"/>
            <w:noWrap w:val="0"/>
            <w:tcMar>
              <w:top w:w="0" w:type="dxa"/>
              <w:left w:w="28" w:type="dxa"/>
              <w:bottom w:w="0" w:type="dxa"/>
              <w:right w:w="28" w:type="dxa"/>
            </w:tcMar>
            <w:vAlign w:val="center"/>
          </w:tcPr>
          <w:p w14:paraId="66F2F25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547" w:type="pct"/>
            <w:noWrap w:val="0"/>
            <w:vAlign w:val="center"/>
          </w:tcPr>
          <w:p w14:paraId="095C24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0.033</w:t>
            </w:r>
          </w:p>
        </w:tc>
        <w:tc>
          <w:tcPr>
            <w:tcW w:w="830" w:type="pct"/>
            <w:vMerge w:val="continue"/>
            <w:noWrap w:val="0"/>
            <w:vAlign w:val="center"/>
          </w:tcPr>
          <w:p w14:paraId="46AF485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574FB181">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30</w:t>
            </w:r>
          </w:p>
        </w:tc>
        <w:tc>
          <w:tcPr>
            <w:tcW w:w="580" w:type="pct"/>
            <w:noWrap w:val="0"/>
            <w:vAlign w:val="center"/>
          </w:tcPr>
          <w:p w14:paraId="66D5D7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0.033</w:t>
            </w:r>
          </w:p>
        </w:tc>
      </w:tr>
      <w:tr w14:paraId="48FE7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536653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32" w:type="pct"/>
            <w:vMerge w:val="continue"/>
            <w:noWrap w:val="0"/>
            <w:vAlign w:val="center"/>
          </w:tcPr>
          <w:p w14:paraId="4C8FC1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19578367">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总氮</w:t>
            </w:r>
          </w:p>
        </w:tc>
        <w:tc>
          <w:tcPr>
            <w:tcW w:w="663" w:type="pct"/>
            <w:noWrap w:val="0"/>
            <w:tcMar>
              <w:top w:w="0" w:type="dxa"/>
              <w:left w:w="28" w:type="dxa"/>
              <w:bottom w:w="0" w:type="dxa"/>
              <w:right w:w="28" w:type="dxa"/>
            </w:tcMar>
            <w:vAlign w:val="center"/>
          </w:tcPr>
          <w:p w14:paraId="03B8642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44.8</w:t>
            </w:r>
          </w:p>
        </w:tc>
        <w:tc>
          <w:tcPr>
            <w:tcW w:w="547" w:type="pct"/>
            <w:noWrap w:val="0"/>
            <w:vAlign w:val="center"/>
          </w:tcPr>
          <w:p w14:paraId="56D707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0.049</w:t>
            </w:r>
          </w:p>
        </w:tc>
        <w:tc>
          <w:tcPr>
            <w:tcW w:w="830" w:type="pct"/>
            <w:vMerge w:val="continue"/>
            <w:noWrap w:val="0"/>
            <w:vAlign w:val="center"/>
          </w:tcPr>
          <w:p w14:paraId="49798F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4576B198">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44.8</w:t>
            </w:r>
          </w:p>
        </w:tc>
        <w:tc>
          <w:tcPr>
            <w:tcW w:w="580" w:type="pct"/>
            <w:noWrap w:val="0"/>
            <w:vAlign w:val="center"/>
          </w:tcPr>
          <w:p w14:paraId="650770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0.049</w:t>
            </w:r>
          </w:p>
        </w:tc>
      </w:tr>
      <w:tr w14:paraId="4AC77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0847D7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32" w:type="pct"/>
            <w:vMerge w:val="continue"/>
            <w:noWrap w:val="0"/>
            <w:vAlign w:val="center"/>
          </w:tcPr>
          <w:p w14:paraId="471BE8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51DF5E41">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TP</w:t>
            </w:r>
          </w:p>
        </w:tc>
        <w:tc>
          <w:tcPr>
            <w:tcW w:w="663" w:type="pct"/>
            <w:noWrap w:val="0"/>
            <w:tcMar>
              <w:top w:w="0" w:type="dxa"/>
              <w:left w:w="28" w:type="dxa"/>
              <w:bottom w:w="0" w:type="dxa"/>
              <w:right w:w="28" w:type="dxa"/>
            </w:tcMar>
            <w:vAlign w:val="center"/>
          </w:tcPr>
          <w:p w14:paraId="19FE9B40">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4.27</w:t>
            </w:r>
          </w:p>
        </w:tc>
        <w:tc>
          <w:tcPr>
            <w:tcW w:w="547" w:type="pct"/>
            <w:noWrap w:val="0"/>
            <w:vAlign w:val="center"/>
          </w:tcPr>
          <w:p w14:paraId="5488C95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c>
          <w:tcPr>
            <w:tcW w:w="830" w:type="pct"/>
            <w:vMerge w:val="continue"/>
            <w:noWrap w:val="0"/>
            <w:vAlign w:val="center"/>
          </w:tcPr>
          <w:p w14:paraId="248104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6E5690D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4.27</w:t>
            </w:r>
          </w:p>
        </w:tc>
        <w:tc>
          <w:tcPr>
            <w:tcW w:w="580" w:type="pct"/>
            <w:noWrap w:val="0"/>
            <w:vAlign w:val="center"/>
          </w:tcPr>
          <w:p w14:paraId="4609A3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r>
      <w:tr w14:paraId="60F40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restart"/>
            <w:noWrap w:val="0"/>
            <w:vAlign w:val="center"/>
          </w:tcPr>
          <w:p w14:paraId="2235FC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洗车废水</w:t>
            </w:r>
          </w:p>
        </w:tc>
        <w:tc>
          <w:tcPr>
            <w:tcW w:w="532" w:type="pct"/>
            <w:vMerge w:val="restart"/>
            <w:noWrap w:val="0"/>
            <w:vAlign w:val="center"/>
          </w:tcPr>
          <w:p w14:paraId="7E2669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744.6</w:t>
            </w:r>
          </w:p>
        </w:tc>
        <w:tc>
          <w:tcPr>
            <w:tcW w:w="624" w:type="pct"/>
            <w:noWrap w:val="0"/>
            <w:vAlign w:val="center"/>
          </w:tcPr>
          <w:p w14:paraId="6CCFDB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pH</w:t>
            </w:r>
          </w:p>
        </w:tc>
        <w:tc>
          <w:tcPr>
            <w:tcW w:w="663" w:type="pct"/>
            <w:noWrap w:val="0"/>
            <w:tcMar>
              <w:top w:w="0" w:type="dxa"/>
              <w:left w:w="28" w:type="dxa"/>
              <w:bottom w:w="0" w:type="dxa"/>
              <w:right w:w="28" w:type="dxa"/>
            </w:tcMar>
            <w:vAlign w:val="center"/>
          </w:tcPr>
          <w:p w14:paraId="62FE2D5F">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w:t>
            </w:r>
          </w:p>
        </w:tc>
        <w:tc>
          <w:tcPr>
            <w:tcW w:w="547" w:type="pct"/>
            <w:noWrap w:val="0"/>
            <w:vAlign w:val="center"/>
          </w:tcPr>
          <w:p w14:paraId="4A16DCD4">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w:t>
            </w:r>
          </w:p>
        </w:tc>
        <w:tc>
          <w:tcPr>
            <w:tcW w:w="830" w:type="pct"/>
            <w:vMerge w:val="restart"/>
            <w:noWrap w:val="0"/>
            <w:vAlign w:val="center"/>
          </w:tcPr>
          <w:p w14:paraId="00A803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i w:val="0"/>
                <w:iCs w:val="0"/>
                <w:color w:val="auto"/>
                <w:kern w:val="0"/>
                <w:sz w:val="21"/>
                <w:szCs w:val="21"/>
                <w:highlight w:val="none"/>
                <w:u w:val="none"/>
                <w:lang w:val="en-US" w:eastAsia="zh-CN" w:bidi="ar"/>
              </w:rPr>
              <w:t>隔油沉淀</w:t>
            </w:r>
            <w:r>
              <w:rPr>
                <w:rFonts w:hint="default" w:ascii="Times New Roman" w:hAnsi="Times New Roman" w:eastAsia="宋体" w:cs="Times New Roman"/>
                <w:i w:val="0"/>
                <w:iCs w:val="0"/>
                <w:color w:val="auto"/>
                <w:kern w:val="0"/>
                <w:sz w:val="21"/>
                <w:szCs w:val="21"/>
                <w:highlight w:val="none"/>
                <w:u w:val="none"/>
                <w:lang w:val="en-US" w:eastAsia="zh-CN" w:bidi="ar"/>
              </w:rPr>
              <w:t>接管市政污水管网</w:t>
            </w:r>
          </w:p>
        </w:tc>
        <w:tc>
          <w:tcPr>
            <w:tcW w:w="612" w:type="pct"/>
            <w:noWrap w:val="0"/>
            <w:vAlign w:val="center"/>
          </w:tcPr>
          <w:p w14:paraId="5CCDBF9F">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w:t>
            </w:r>
          </w:p>
        </w:tc>
        <w:tc>
          <w:tcPr>
            <w:tcW w:w="580" w:type="pct"/>
            <w:noWrap w:val="0"/>
            <w:vAlign w:val="center"/>
          </w:tcPr>
          <w:p w14:paraId="2027CB42">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cs="Times New Roman"/>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w:t>
            </w:r>
          </w:p>
        </w:tc>
      </w:tr>
      <w:tr w14:paraId="764C5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30F450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vAlign w:val="center"/>
          </w:tcPr>
          <w:p w14:paraId="4C75D99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7C7DE67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COD</w:t>
            </w:r>
          </w:p>
        </w:tc>
        <w:tc>
          <w:tcPr>
            <w:tcW w:w="663" w:type="pct"/>
            <w:noWrap w:val="0"/>
            <w:tcMar>
              <w:top w:w="0" w:type="dxa"/>
              <w:left w:w="28" w:type="dxa"/>
              <w:bottom w:w="0" w:type="dxa"/>
              <w:right w:w="28" w:type="dxa"/>
            </w:tcMar>
            <w:vAlign w:val="center"/>
          </w:tcPr>
          <w:p w14:paraId="17B9A1D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250</w:t>
            </w:r>
          </w:p>
        </w:tc>
        <w:tc>
          <w:tcPr>
            <w:tcW w:w="547" w:type="pct"/>
            <w:noWrap w:val="0"/>
            <w:vAlign w:val="center"/>
          </w:tcPr>
          <w:p w14:paraId="0EB8C1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0.186</w:t>
            </w:r>
          </w:p>
        </w:tc>
        <w:tc>
          <w:tcPr>
            <w:tcW w:w="830" w:type="pct"/>
            <w:vMerge w:val="continue"/>
            <w:noWrap w:val="0"/>
            <w:vAlign w:val="center"/>
          </w:tcPr>
          <w:p w14:paraId="7C4B38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0EA17DE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250</w:t>
            </w:r>
          </w:p>
        </w:tc>
        <w:tc>
          <w:tcPr>
            <w:tcW w:w="580" w:type="pct"/>
            <w:noWrap w:val="0"/>
            <w:vAlign w:val="center"/>
          </w:tcPr>
          <w:p w14:paraId="366C0D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0.186</w:t>
            </w:r>
          </w:p>
        </w:tc>
      </w:tr>
      <w:tr w14:paraId="79413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1DF864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vAlign w:val="center"/>
          </w:tcPr>
          <w:p w14:paraId="3FA667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79310A1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SS</w:t>
            </w:r>
          </w:p>
        </w:tc>
        <w:tc>
          <w:tcPr>
            <w:tcW w:w="663" w:type="pct"/>
            <w:noWrap w:val="0"/>
            <w:tcMar>
              <w:top w:w="0" w:type="dxa"/>
              <w:left w:w="28" w:type="dxa"/>
              <w:bottom w:w="0" w:type="dxa"/>
              <w:right w:w="28" w:type="dxa"/>
            </w:tcMar>
            <w:vAlign w:val="center"/>
          </w:tcPr>
          <w:p w14:paraId="0BD71CAC">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0</w:t>
            </w:r>
          </w:p>
        </w:tc>
        <w:tc>
          <w:tcPr>
            <w:tcW w:w="547" w:type="pct"/>
            <w:noWrap w:val="0"/>
            <w:vAlign w:val="center"/>
          </w:tcPr>
          <w:p w14:paraId="6F4B43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0.074</w:t>
            </w:r>
          </w:p>
        </w:tc>
        <w:tc>
          <w:tcPr>
            <w:tcW w:w="830" w:type="pct"/>
            <w:vMerge w:val="continue"/>
            <w:noWrap w:val="0"/>
            <w:vAlign w:val="center"/>
          </w:tcPr>
          <w:p w14:paraId="3841A8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1571819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w:t>
            </w:r>
          </w:p>
        </w:tc>
        <w:tc>
          <w:tcPr>
            <w:tcW w:w="580" w:type="pct"/>
            <w:noWrap w:val="0"/>
            <w:vAlign w:val="center"/>
          </w:tcPr>
          <w:p w14:paraId="7E9D29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0.06</w:t>
            </w:r>
          </w:p>
        </w:tc>
      </w:tr>
      <w:tr w14:paraId="352EF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19AE55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vAlign w:val="center"/>
          </w:tcPr>
          <w:p w14:paraId="79A970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46E454D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663" w:type="pct"/>
            <w:noWrap w:val="0"/>
            <w:tcMar>
              <w:top w:w="0" w:type="dxa"/>
              <w:left w:w="28" w:type="dxa"/>
              <w:bottom w:w="0" w:type="dxa"/>
              <w:right w:w="28" w:type="dxa"/>
            </w:tcMar>
            <w:vAlign w:val="center"/>
          </w:tcPr>
          <w:p w14:paraId="281C75F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547" w:type="pct"/>
            <w:noWrap w:val="0"/>
            <w:vAlign w:val="center"/>
          </w:tcPr>
          <w:p w14:paraId="3C3A112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0.037</w:t>
            </w:r>
          </w:p>
        </w:tc>
        <w:tc>
          <w:tcPr>
            <w:tcW w:w="830" w:type="pct"/>
            <w:vMerge w:val="continue"/>
            <w:noWrap w:val="0"/>
            <w:vAlign w:val="center"/>
          </w:tcPr>
          <w:p w14:paraId="35E5E9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40B5431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580" w:type="pct"/>
            <w:noWrap w:val="0"/>
            <w:vAlign w:val="center"/>
          </w:tcPr>
          <w:p w14:paraId="43AAC8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0.037</w:t>
            </w:r>
          </w:p>
        </w:tc>
      </w:tr>
      <w:tr w14:paraId="6C1CF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086A23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vAlign w:val="center"/>
          </w:tcPr>
          <w:p w14:paraId="591CFC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7EE17A8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氨氮</w:t>
            </w:r>
          </w:p>
        </w:tc>
        <w:tc>
          <w:tcPr>
            <w:tcW w:w="663" w:type="pct"/>
            <w:noWrap w:val="0"/>
            <w:tcMar>
              <w:top w:w="0" w:type="dxa"/>
              <w:left w:w="28" w:type="dxa"/>
              <w:bottom w:w="0" w:type="dxa"/>
              <w:right w:w="28" w:type="dxa"/>
            </w:tcMar>
            <w:vAlign w:val="center"/>
          </w:tcPr>
          <w:p w14:paraId="1B50360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547" w:type="pct"/>
            <w:noWrap w:val="0"/>
            <w:vAlign w:val="center"/>
          </w:tcPr>
          <w:p w14:paraId="7272C4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c>
          <w:tcPr>
            <w:tcW w:w="830" w:type="pct"/>
            <w:vMerge w:val="continue"/>
            <w:noWrap w:val="0"/>
            <w:vAlign w:val="center"/>
          </w:tcPr>
          <w:p w14:paraId="41AF2A0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607E09D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580" w:type="pct"/>
            <w:noWrap w:val="0"/>
            <w:vAlign w:val="center"/>
          </w:tcPr>
          <w:p w14:paraId="2AE13E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r>
      <w:tr w14:paraId="73137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3EDBB5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vAlign w:val="center"/>
          </w:tcPr>
          <w:p w14:paraId="083A9F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0DEAAD0C">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LAS</w:t>
            </w:r>
          </w:p>
        </w:tc>
        <w:tc>
          <w:tcPr>
            <w:tcW w:w="663" w:type="pct"/>
            <w:noWrap w:val="0"/>
            <w:tcMar>
              <w:top w:w="0" w:type="dxa"/>
              <w:left w:w="28" w:type="dxa"/>
              <w:bottom w:w="0" w:type="dxa"/>
              <w:right w:w="28" w:type="dxa"/>
            </w:tcMar>
            <w:vAlign w:val="center"/>
          </w:tcPr>
          <w:p w14:paraId="4EC50B80">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547" w:type="pct"/>
            <w:noWrap w:val="0"/>
            <w:vAlign w:val="center"/>
          </w:tcPr>
          <w:p w14:paraId="626FB5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830" w:type="pct"/>
            <w:vMerge w:val="continue"/>
            <w:noWrap w:val="0"/>
            <w:vAlign w:val="center"/>
          </w:tcPr>
          <w:p w14:paraId="04346F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6D85C65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580" w:type="pct"/>
            <w:noWrap w:val="0"/>
            <w:vAlign w:val="center"/>
          </w:tcPr>
          <w:p w14:paraId="0F90EC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r>
      <w:tr w14:paraId="1F9C7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37FDC7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vAlign w:val="center"/>
          </w:tcPr>
          <w:p w14:paraId="441851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0B1640FF">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663" w:type="pct"/>
            <w:noWrap w:val="0"/>
            <w:tcMar>
              <w:top w:w="0" w:type="dxa"/>
              <w:left w:w="28" w:type="dxa"/>
              <w:bottom w:w="0" w:type="dxa"/>
              <w:right w:w="28" w:type="dxa"/>
            </w:tcMar>
            <w:vAlign w:val="center"/>
          </w:tcPr>
          <w:p w14:paraId="36DA8CF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w:t>
            </w:r>
          </w:p>
        </w:tc>
        <w:tc>
          <w:tcPr>
            <w:tcW w:w="547" w:type="pct"/>
            <w:noWrap w:val="0"/>
            <w:vAlign w:val="center"/>
          </w:tcPr>
          <w:p w14:paraId="0277E3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0.019</w:t>
            </w:r>
          </w:p>
        </w:tc>
        <w:tc>
          <w:tcPr>
            <w:tcW w:w="830" w:type="pct"/>
            <w:vMerge w:val="continue"/>
            <w:noWrap w:val="0"/>
            <w:vAlign w:val="center"/>
          </w:tcPr>
          <w:p w14:paraId="2A5378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03E936C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580" w:type="pct"/>
            <w:noWrap w:val="0"/>
            <w:vAlign w:val="center"/>
          </w:tcPr>
          <w:p w14:paraId="34DCE8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r>
      <w:tr w14:paraId="4F646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4" w:hRule="atLeast"/>
          <w:jc w:val="center"/>
        </w:trPr>
        <w:tc>
          <w:tcPr>
            <w:tcW w:w="608" w:type="pct"/>
            <w:vMerge w:val="restart"/>
            <w:noWrap w:val="0"/>
            <w:vAlign w:val="center"/>
          </w:tcPr>
          <w:p w14:paraId="20F60C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间接循环冷却排水</w:t>
            </w:r>
          </w:p>
        </w:tc>
        <w:tc>
          <w:tcPr>
            <w:tcW w:w="532" w:type="pct"/>
            <w:vMerge w:val="restart"/>
            <w:noWrap w:val="0"/>
            <w:vAlign w:val="center"/>
          </w:tcPr>
          <w:p w14:paraId="6A6D80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300</w:t>
            </w:r>
          </w:p>
        </w:tc>
        <w:tc>
          <w:tcPr>
            <w:tcW w:w="624" w:type="pct"/>
            <w:noWrap w:val="0"/>
            <w:vAlign w:val="center"/>
          </w:tcPr>
          <w:p w14:paraId="2B9DD62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温度</w:t>
            </w:r>
          </w:p>
        </w:tc>
        <w:tc>
          <w:tcPr>
            <w:tcW w:w="663" w:type="pct"/>
            <w:noWrap w:val="0"/>
            <w:tcMar>
              <w:top w:w="0" w:type="dxa"/>
              <w:left w:w="28" w:type="dxa"/>
              <w:bottom w:w="0" w:type="dxa"/>
              <w:right w:w="28" w:type="dxa"/>
            </w:tcMar>
            <w:vAlign w:val="center"/>
          </w:tcPr>
          <w:p w14:paraId="747CFB1D">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7" w:type="pct"/>
            <w:noWrap w:val="0"/>
            <w:vAlign w:val="center"/>
          </w:tcPr>
          <w:p w14:paraId="7FABE5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30" w:type="pct"/>
            <w:vMerge w:val="restart"/>
            <w:noWrap w:val="0"/>
            <w:vAlign w:val="center"/>
          </w:tcPr>
          <w:p w14:paraId="7DBEF0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i w:val="0"/>
                <w:iCs w:val="0"/>
                <w:color w:val="auto"/>
                <w:kern w:val="0"/>
                <w:sz w:val="21"/>
                <w:szCs w:val="21"/>
                <w:highlight w:val="none"/>
                <w:u w:val="none"/>
                <w:lang w:val="en-US" w:eastAsia="zh-CN" w:bidi="ar"/>
              </w:rPr>
              <w:t>直接</w:t>
            </w:r>
            <w:r>
              <w:rPr>
                <w:rFonts w:hint="default" w:ascii="Times New Roman" w:hAnsi="Times New Roman" w:eastAsia="宋体" w:cs="Times New Roman"/>
                <w:i w:val="0"/>
                <w:iCs w:val="0"/>
                <w:color w:val="auto"/>
                <w:kern w:val="0"/>
                <w:sz w:val="21"/>
                <w:szCs w:val="21"/>
                <w:highlight w:val="none"/>
                <w:u w:val="none"/>
                <w:lang w:val="en-US" w:eastAsia="zh-CN" w:bidi="ar"/>
              </w:rPr>
              <w:t>接管市政污水管网</w:t>
            </w:r>
          </w:p>
        </w:tc>
        <w:tc>
          <w:tcPr>
            <w:tcW w:w="612" w:type="pct"/>
            <w:noWrap w:val="0"/>
            <w:vAlign w:val="center"/>
          </w:tcPr>
          <w:p w14:paraId="34E0D6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580" w:type="pct"/>
            <w:noWrap w:val="0"/>
            <w:vAlign w:val="center"/>
          </w:tcPr>
          <w:p w14:paraId="7439B53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color w:val="auto"/>
                <w:sz w:val="21"/>
                <w:szCs w:val="21"/>
                <w:highlight w:val="none"/>
                <w:lang w:val="en-US" w:eastAsia="zh-CN"/>
              </w:rPr>
            </w:pPr>
          </w:p>
        </w:tc>
      </w:tr>
      <w:tr w14:paraId="46929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180E290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vAlign w:val="center"/>
          </w:tcPr>
          <w:p w14:paraId="408534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156427C2">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663" w:type="pct"/>
            <w:noWrap w:val="0"/>
            <w:tcMar>
              <w:top w:w="0" w:type="dxa"/>
              <w:left w:w="28" w:type="dxa"/>
              <w:bottom w:w="0" w:type="dxa"/>
              <w:right w:w="28" w:type="dxa"/>
            </w:tcMar>
            <w:vAlign w:val="center"/>
          </w:tcPr>
          <w:p w14:paraId="092611A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547" w:type="pct"/>
            <w:noWrap w:val="0"/>
            <w:vAlign w:val="center"/>
          </w:tcPr>
          <w:p w14:paraId="43416F4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0.018</w:t>
            </w:r>
          </w:p>
        </w:tc>
        <w:tc>
          <w:tcPr>
            <w:tcW w:w="830" w:type="pct"/>
            <w:vMerge w:val="continue"/>
            <w:noWrap w:val="0"/>
            <w:vAlign w:val="center"/>
          </w:tcPr>
          <w:p w14:paraId="46DDC683">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3B90A56B">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60</w:t>
            </w:r>
          </w:p>
        </w:tc>
        <w:tc>
          <w:tcPr>
            <w:tcW w:w="580" w:type="pct"/>
            <w:noWrap w:val="0"/>
            <w:vAlign w:val="center"/>
          </w:tcPr>
          <w:p w14:paraId="1321EF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0.018</w:t>
            </w:r>
          </w:p>
        </w:tc>
      </w:tr>
      <w:tr w14:paraId="0B624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2" w:hRule="atLeast"/>
          <w:jc w:val="center"/>
        </w:trPr>
        <w:tc>
          <w:tcPr>
            <w:tcW w:w="608" w:type="pct"/>
            <w:vMerge w:val="restart"/>
            <w:noWrap w:val="0"/>
            <w:vAlign w:val="center"/>
          </w:tcPr>
          <w:p w14:paraId="0993E2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浓水、反冲洗废水</w:t>
            </w:r>
          </w:p>
        </w:tc>
        <w:tc>
          <w:tcPr>
            <w:tcW w:w="532" w:type="pct"/>
            <w:vMerge w:val="restart"/>
            <w:noWrap w:val="0"/>
            <w:vAlign w:val="center"/>
          </w:tcPr>
          <w:p w14:paraId="2C7E8C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1765.364</w:t>
            </w:r>
          </w:p>
        </w:tc>
        <w:tc>
          <w:tcPr>
            <w:tcW w:w="624" w:type="pct"/>
            <w:noWrap w:val="0"/>
            <w:vAlign w:val="center"/>
          </w:tcPr>
          <w:p w14:paraId="305711D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663" w:type="pct"/>
            <w:noWrap w:val="0"/>
            <w:tcMar>
              <w:top w:w="0" w:type="dxa"/>
              <w:left w:w="28" w:type="dxa"/>
              <w:bottom w:w="0" w:type="dxa"/>
              <w:right w:w="28" w:type="dxa"/>
            </w:tcMar>
            <w:vAlign w:val="center"/>
          </w:tcPr>
          <w:p w14:paraId="2FC6AA0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w:t>
            </w:r>
          </w:p>
        </w:tc>
        <w:tc>
          <w:tcPr>
            <w:tcW w:w="547" w:type="pct"/>
            <w:noWrap w:val="0"/>
            <w:vAlign w:val="center"/>
          </w:tcPr>
          <w:p w14:paraId="7E9463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0.177</w:t>
            </w:r>
          </w:p>
        </w:tc>
        <w:tc>
          <w:tcPr>
            <w:tcW w:w="830" w:type="pct"/>
            <w:vMerge w:val="restart"/>
            <w:noWrap w:val="0"/>
            <w:vAlign w:val="center"/>
          </w:tcPr>
          <w:p w14:paraId="5A35D81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i w:val="0"/>
                <w:iCs w:val="0"/>
                <w:color w:val="auto"/>
                <w:kern w:val="0"/>
                <w:sz w:val="21"/>
                <w:szCs w:val="21"/>
                <w:highlight w:val="none"/>
                <w:u w:val="none"/>
                <w:lang w:val="en-US" w:eastAsia="zh-CN" w:bidi="ar"/>
              </w:rPr>
              <w:t>直接</w:t>
            </w:r>
            <w:r>
              <w:rPr>
                <w:rFonts w:hint="default" w:ascii="Times New Roman" w:hAnsi="Times New Roman" w:eastAsia="宋体" w:cs="Times New Roman"/>
                <w:i w:val="0"/>
                <w:iCs w:val="0"/>
                <w:color w:val="auto"/>
                <w:kern w:val="0"/>
                <w:sz w:val="21"/>
                <w:szCs w:val="21"/>
                <w:highlight w:val="none"/>
                <w:u w:val="none"/>
                <w:lang w:val="en-US" w:eastAsia="zh-CN" w:bidi="ar"/>
              </w:rPr>
              <w:t>接管市政污水管网</w:t>
            </w:r>
          </w:p>
        </w:tc>
        <w:tc>
          <w:tcPr>
            <w:tcW w:w="612" w:type="pct"/>
            <w:noWrap w:val="0"/>
            <w:vAlign w:val="center"/>
          </w:tcPr>
          <w:p w14:paraId="5EA9641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100</w:t>
            </w:r>
          </w:p>
        </w:tc>
        <w:tc>
          <w:tcPr>
            <w:tcW w:w="580" w:type="pct"/>
            <w:noWrap w:val="0"/>
            <w:vAlign w:val="center"/>
          </w:tcPr>
          <w:p w14:paraId="111234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0.177</w:t>
            </w:r>
          </w:p>
        </w:tc>
      </w:tr>
      <w:tr w14:paraId="33F3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226510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p>
        </w:tc>
        <w:tc>
          <w:tcPr>
            <w:tcW w:w="532" w:type="pct"/>
            <w:vMerge w:val="continue"/>
            <w:noWrap w:val="0"/>
            <w:vAlign w:val="center"/>
          </w:tcPr>
          <w:p w14:paraId="7F9D08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3B92200B">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SS</w:t>
            </w:r>
          </w:p>
        </w:tc>
        <w:tc>
          <w:tcPr>
            <w:tcW w:w="663" w:type="pct"/>
            <w:noWrap w:val="0"/>
            <w:tcMar>
              <w:top w:w="0" w:type="dxa"/>
              <w:left w:w="28" w:type="dxa"/>
              <w:bottom w:w="0" w:type="dxa"/>
              <w:right w:w="28" w:type="dxa"/>
            </w:tcMar>
            <w:vAlign w:val="center"/>
          </w:tcPr>
          <w:p w14:paraId="668B7A0F">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w:t>
            </w:r>
          </w:p>
        </w:tc>
        <w:tc>
          <w:tcPr>
            <w:tcW w:w="547" w:type="pct"/>
            <w:noWrap w:val="0"/>
            <w:vAlign w:val="center"/>
          </w:tcPr>
          <w:p w14:paraId="4E61D5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0.141</w:t>
            </w:r>
          </w:p>
        </w:tc>
        <w:tc>
          <w:tcPr>
            <w:tcW w:w="830" w:type="pct"/>
            <w:vMerge w:val="continue"/>
            <w:noWrap w:val="0"/>
            <w:vAlign w:val="center"/>
          </w:tcPr>
          <w:p w14:paraId="0910B1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79CBC6A0">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80</w:t>
            </w:r>
          </w:p>
        </w:tc>
        <w:tc>
          <w:tcPr>
            <w:tcW w:w="580" w:type="pct"/>
            <w:noWrap w:val="0"/>
            <w:vAlign w:val="center"/>
          </w:tcPr>
          <w:p w14:paraId="2D2B32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0.141</w:t>
            </w:r>
          </w:p>
        </w:tc>
      </w:tr>
      <w:tr w14:paraId="72BCA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7" w:hRule="atLeast"/>
          <w:jc w:val="center"/>
        </w:trPr>
        <w:tc>
          <w:tcPr>
            <w:tcW w:w="608" w:type="pct"/>
            <w:vMerge w:val="restart"/>
            <w:noWrap w:val="0"/>
            <w:vAlign w:val="center"/>
          </w:tcPr>
          <w:p w14:paraId="4ABB65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蒸汽发生器排污水</w:t>
            </w:r>
          </w:p>
        </w:tc>
        <w:tc>
          <w:tcPr>
            <w:tcW w:w="532" w:type="pct"/>
            <w:vMerge w:val="restart"/>
            <w:noWrap w:val="0"/>
            <w:vAlign w:val="center"/>
          </w:tcPr>
          <w:p w14:paraId="7E3AC3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624" w:type="pct"/>
            <w:noWrap w:val="0"/>
            <w:vAlign w:val="center"/>
          </w:tcPr>
          <w:p w14:paraId="007B3E64">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663" w:type="pct"/>
            <w:noWrap w:val="0"/>
            <w:tcMar>
              <w:top w:w="0" w:type="dxa"/>
              <w:left w:w="28" w:type="dxa"/>
              <w:bottom w:w="0" w:type="dxa"/>
              <w:right w:w="28" w:type="dxa"/>
            </w:tcMar>
            <w:vAlign w:val="center"/>
          </w:tcPr>
          <w:p w14:paraId="106E8B5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7" w:type="pct"/>
            <w:noWrap w:val="0"/>
            <w:vAlign w:val="center"/>
          </w:tcPr>
          <w:p w14:paraId="1FF45C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30" w:type="pct"/>
            <w:vMerge w:val="restart"/>
            <w:noWrap w:val="0"/>
            <w:vAlign w:val="center"/>
          </w:tcPr>
          <w:p w14:paraId="366543D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酸碱调节接管</w:t>
            </w:r>
            <w:r>
              <w:rPr>
                <w:rFonts w:hint="default" w:ascii="Times New Roman" w:hAnsi="Times New Roman" w:eastAsia="宋体" w:cs="Times New Roman"/>
                <w:i w:val="0"/>
                <w:iCs w:val="0"/>
                <w:color w:val="auto"/>
                <w:kern w:val="0"/>
                <w:sz w:val="21"/>
                <w:szCs w:val="21"/>
                <w:highlight w:val="none"/>
                <w:u w:val="none"/>
                <w:lang w:val="en-US" w:eastAsia="zh-CN" w:bidi="ar"/>
              </w:rPr>
              <w:t>市政污水管网</w:t>
            </w:r>
          </w:p>
        </w:tc>
        <w:tc>
          <w:tcPr>
            <w:tcW w:w="612" w:type="pct"/>
            <w:noWrap w:val="0"/>
            <w:vAlign w:val="center"/>
          </w:tcPr>
          <w:p w14:paraId="5A67149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w:t>
            </w:r>
          </w:p>
        </w:tc>
        <w:tc>
          <w:tcPr>
            <w:tcW w:w="580" w:type="pct"/>
            <w:noWrap w:val="0"/>
            <w:vAlign w:val="center"/>
          </w:tcPr>
          <w:p w14:paraId="2BE7F6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532B3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58D7DE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32" w:type="pct"/>
            <w:vMerge w:val="continue"/>
            <w:noWrap w:val="0"/>
            <w:vAlign w:val="center"/>
          </w:tcPr>
          <w:p w14:paraId="241EB1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1F1B6F1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SS</w:t>
            </w:r>
          </w:p>
        </w:tc>
        <w:tc>
          <w:tcPr>
            <w:tcW w:w="663" w:type="pct"/>
            <w:noWrap w:val="0"/>
            <w:tcMar>
              <w:top w:w="0" w:type="dxa"/>
              <w:left w:w="28" w:type="dxa"/>
              <w:bottom w:w="0" w:type="dxa"/>
              <w:right w:w="28" w:type="dxa"/>
            </w:tcMar>
            <w:vAlign w:val="center"/>
          </w:tcPr>
          <w:p w14:paraId="56BE6417">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47" w:type="pct"/>
            <w:noWrap w:val="0"/>
            <w:vAlign w:val="center"/>
          </w:tcPr>
          <w:p w14:paraId="2DC975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30" w:type="pct"/>
            <w:vMerge w:val="continue"/>
            <w:noWrap w:val="0"/>
            <w:vAlign w:val="center"/>
          </w:tcPr>
          <w:p w14:paraId="07AB32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632588A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w:t>
            </w:r>
          </w:p>
        </w:tc>
        <w:tc>
          <w:tcPr>
            <w:tcW w:w="580" w:type="pct"/>
            <w:noWrap w:val="0"/>
            <w:vAlign w:val="center"/>
          </w:tcPr>
          <w:p w14:paraId="5753B2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0C2AE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restart"/>
            <w:noWrap w:val="0"/>
            <w:vAlign w:val="center"/>
          </w:tcPr>
          <w:p w14:paraId="39C388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初期雨水</w:t>
            </w:r>
          </w:p>
        </w:tc>
        <w:tc>
          <w:tcPr>
            <w:tcW w:w="532" w:type="pct"/>
            <w:vMerge w:val="restart"/>
            <w:noWrap w:val="0"/>
            <w:vAlign w:val="center"/>
          </w:tcPr>
          <w:p w14:paraId="6C3BDF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26.4m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/次</w:t>
            </w:r>
          </w:p>
        </w:tc>
        <w:tc>
          <w:tcPr>
            <w:tcW w:w="624" w:type="pct"/>
            <w:noWrap w:val="0"/>
            <w:vAlign w:val="center"/>
          </w:tcPr>
          <w:p w14:paraId="4FDBAFF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663" w:type="pct"/>
            <w:noWrap w:val="0"/>
            <w:tcMar>
              <w:top w:w="0" w:type="dxa"/>
              <w:left w:w="28" w:type="dxa"/>
              <w:bottom w:w="0" w:type="dxa"/>
              <w:right w:w="28" w:type="dxa"/>
            </w:tcMar>
            <w:vAlign w:val="center"/>
          </w:tcPr>
          <w:p w14:paraId="70365F5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150</w:t>
            </w:r>
          </w:p>
        </w:tc>
        <w:tc>
          <w:tcPr>
            <w:tcW w:w="547" w:type="pct"/>
            <w:noWrap w:val="0"/>
            <w:vAlign w:val="center"/>
          </w:tcPr>
          <w:p w14:paraId="4AB798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0.004</w:t>
            </w:r>
          </w:p>
        </w:tc>
        <w:tc>
          <w:tcPr>
            <w:tcW w:w="830" w:type="pct"/>
            <w:vMerge w:val="restart"/>
            <w:noWrap w:val="0"/>
            <w:vAlign w:val="center"/>
          </w:tcPr>
          <w:p w14:paraId="7C8CA7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i w:val="0"/>
                <w:iCs w:val="0"/>
                <w:color w:val="auto"/>
                <w:kern w:val="0"/>
                <w:sz w:val="21"/>
                <w:szCs w:val="21"/>
                <w:highlight w:val="none"/>
                <w:u w:val="none"/>
                <w:lang w:val="en-US" w:eastAsia="zh-CN" w:bidi="ar"/>
              </w:rPr>
              <w:t>隔油沉淀</w:t>
            </w:r>
            <w:r>
              <w:rPr>
                <w:rFonts w:hint="default" w:ascii="Times New Roman" w:hAnsi="Times New Roman" w:eastAsia="宋体" w:cs="Times New Roman"/>
                <w:i w:val="0"/>
                <w:iCs w:val="0"/>
                <w:color w:val="auto"/>
                <w:kern w:val="0"/>
                <w:sz w:val="21"/>
                <w:szCs w:val="21"/>
                <w:highlight w:val="none"/>
                <w:u w:val="none"/>
                <w:lang w:val="en-US" w:eastAsia="zh-CN" w:bidi="ar"/>
              </w:rPr>
              <w:t>接管市政污水管网</w:t>
            </w:r>
          </w:p>
        </w:tc>
        <w:tc>
          <w:tcPr>
            <w:tcW w:w="612" w:type="pct"/>
            <w:noWrap w:val="0"/>
            <w:vAlign w:val="center"/>
          </w:tcPr>
          <w:p w14:paraId="375B9002">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150</w:t>
            </w:r>
          </w:p>
        </w:tc>
        <w:tc>
          <w:tcPr>
            <w:tcW w:w="580" w:type="pct"/>
            <w:noWrap w:val="0"/>
            <w:vAlign w:val="center"/>
          </w:tcPr>
          <w:p w14:paraId="55E179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0.004</w:t>
            </w:r>
          </w:p>
        </w:tc>
      </w:tr>
      <w:tr w14:paraId="407C5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71D20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32" w:type="pct"/>
            <w:vMerge w:val="continue"/>
            <w:noWrap w:val="0"/>
            <w:vAlign w:val="center"/>
          </w:tcPr>
          <w:p w14:paraId="30EE29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121E0EB2">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SS</w:t>
            </w:r>
          </w:p>
        </w:tc>
        <w:tc>
          <w:tcPr>
            <w:tcW w:w="663" w:type="pct"/>
            <w:noWrap w:val="0"/>
            <w:tcMar>
              <w:top w:w="0" w:type="dxa"/>
              <w:left w:w="28" w:type="dxa"/>
              <w:bottom w:w="0" w:type="dxa"/>
              <w:right w:w="28" w:type="dxa"/>
            </w:tcMar>
            <w:vAlign w:val="center"/>
          </w:tcPr>
          <w:p w14:paraId="233207E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547" w:type="pct"/>
            <w:noWrap w:val="0"/>
            <w:vAlign w:val="center"/>
          </w:tcPr>
          <w:p w14:paraId="4B5CE2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c>
          <w:tcPr>
            <w:tcW w:w="830" w:type="pct"/>
            <w:vMerge w:val="continue"/>
            <w:noWrap w:val="0"/>
            <w:vAlign w:val="center"/>
          </w:tcPr>
          <w:p w14:paraId="3BE796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246A3E7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100</w:t>
            </w:r>
          </w:p>
        </w:tc>
        <w:tc>
          <w:tcPr>
            <w:tcW w:w="580" w:type="pct"/>
            <w:noWrap w:val="0"/>
            <w:vAlign w:val="center"/>
          </w:tcPr>
          <w:p w14:paraId="611D9C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0.003</w:t>
            </w:r>
          </w:p>
        </w:tc>
      </w:tr>
      <w:tr w14:paraId="5550A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608" w:type="pct"/>
            <w:vMerge w:val="continue"/>
            <w:noWrap w:val="0"/>
            <w:vAlign w:val="center"/>
          </w:tcPr>
          <w:p w14:paraId="02D020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532" w:type="pct"/>
            <w:vMerge w:val="continue"/>
            <w:noWrap w:val="0"/>
            <w:vAlign w:val="center"/>
          </w:tcPr>
          <w:p w14:paraId="4135D2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rPr>
            </w:pPr>
          </w:p>
        </w:tc>
        <w:tc>
          <w:tcPr>
            <w:tcW w:w="624" w:type="pct"/>
            <w:noWrap w:val="0"/>
            <w:vAlign w:val="center"/>
          </w:tcPr>
          <w:p w14:paraId="3D171E3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663" w:type="pct"/>
            <w:noWrap w:val="0"/>
            <w:tcMar>
              <w:top w:w="0" w:type="dxa"/>
              <w:left w:w="28" w:type="dxa"/>
              <w:bottom w:w="0" w:type="dxa"/>
              <w:right w:w="28" w:type="dxa"/>
            </w:tcMar>
            <w:vAlign w:val="center"/>
          </w:tcPr>
          <w:p w14:paraId="5F91C11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w:t>
            </w:r>
          </w:p>
        </w:tc>
        <w:tc>
          <w:tcPr>
            <w:tcW w:w="547" w:type="pct"/>
            <w:noWrap w:val="0"/>
            <w:vAlign w:val="center"/>
          </w:tcPr>
          <w:p w14:paraId="22DB3C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0.0002</w:t>
            </w:r>
          </w:p>
        </w:tc>
        <w:tc>
          <w:tcPr>
            <w:tcW w:w="830" w:type="pct"/>
            <w:vMerge w:val="continue"/>
            <w:noWrap w:val="0"/>
            <w:vAlign w:val="center"/>
          </w:tcPr>
          <w:p w14:paraId="36139A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12" w:type="pct"/>
            <w:noWrap w:val="0"/>
            <w:vAlign w:val="center"/>
          </w:tcPr>
          <w:p w14:paraId="47886AD2">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eastAsia"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5</w:t>
            </w:r>
          </w:p>
        </w:tc>
        <w:tc>
          <w:tcPr>
            <w:tcW w:w="580" w:type="pct"/>
            <w:noWrap w:val="0"/>
            <w:vAlign w:val="center"/>
          </w:tcPr>
          <w:p w14:paraId="37B0BC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0.0001</w:t>
            </w:r>
          </w:p>
        </w:tc>
      </w:tr>
    </w:tbl>
    <w:p w14:paraId="32BBFC1F">
      <w:pPr>
        <w:pStyle w:val="4"/>
        <w:spacing w:before="240" w:after="156"/>
        <w:rPr>
          <w:color w:val="auto"/>
          <w:highlight w:val="none"/>
        </w:rPr>
      </w:pPr>
      <w:r>
        <w:rPr>
          <w:color w:val="auto"/>
          <w:highlight w:val="none"/>
        </w:rPr>
        <w:t>3.</w:t>
      </w:r>
      <w:r>
        <w:rPr>
          <w:rFonts w:hint="eastAsia"/>
          <w:color w:val="auto"/>
          <w:highlight w:val="none"/>
          <w:lang w:val="en-US" w:eastAsia="zh-CN"/>
        </w:rPr>
        <w:t>5</w:t>
      </w:r>
      <w:r>
        <w:rPr>
          <w:color w:val="auto"/>
          <w:highlight w:val="none"/>
        </w:rPr>
        <w:t>.</w:t>
      </w:r>
      <w:r>
        <w:rPr>
          <w:rFonts w:hint="eastAsia"/>
          <w:color w:val="auto"/>
          <w:highlight w:val="none"/>
          <w:lang w:val="en-US" w:eastAsia="zh-CN"/>
        </w:rPr>
        <w:t>3</w:t>
      </w:r>
      <w:r>
        <w:rPr>
          <w:color w:val="auto"/>
          <w:highlight w:val="none"/>
        </w:rPr>
        <w:t>噪声</w:t>
      </w:r>
      <w:bookmarkEnd w:id="239"/>
      <w:bookmarkEnd w:id="240"/>
      <w:bookmarkEnd w:id="241"/>
      <w:bookmarkEnd w:id="242"/>
      <w:bookmarkEnd w:id="243"/>
    </w:p>
    <w:p w14:paraId="501FCB5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olor w:val="auto"/>
          <w:sz w:val="24"/>
          <w:highlight w:val="none"/>
        </w:rPr>
      </w:pPr>
      <w:r>
        <w:rPr>
          <w:rFonts w:hint="default" w:ascii="Times New Roman" w:hAnsi="Times New Roman" w:cs="Times New Roman"/>
          <w:color w:val="auto"/>
          <w:sz w:val="24"/>
          <w:szCs w:val="24"/>
          <w:highlight w:val="none"/>
          <w:lang w:eastAsia="zh-CN"/>
        </w:rPr>
        <w:t>根据类比调查，拟建项目主要噪声设备为</w:t>
      </w:r>
      <w:r>
        <w:rPr>
          <w:rFonts w:hint="eastAsia" w:ascii="Times New Roman" w:hAnsi="Times New Roman" w:cs="Times New Roman"/>
          <w:color w:val="auto"/>
          <w:sz w:val="24"/>
          <w:szCs w:val="24"/>
          <w:highlight w:val="none"/>
          <w:lang w:val="en-US" w:eastAsia="zh-CN"/>
        </w:rPr>
        <w:t>风机、冷却机组</w:t>
      </w:r>
      <w:r>
        <w:rPr>
          <w:rFonts w:hint="default" w:ascii="Times New Roman" w:hAnsi="Times New Roman" w:cs="Times New Roman"/>
          <w:color w:val="auto"/>
          <w:sz w:val="24"/>
          <w:szCs w:val="24"/>
          <w:highlight w:val="none"/>
          <w:lang w:eastAsia="zh-CN"/>
        </w:rPr>
        <w:t>等，噪声源强为</w:t>
      </w:r>
      <w:r>
        <w:rPr>
          <w:rFonts w:hint="eastAsia" w:ascii="Times New Roman" w:hAnsi="Times New Roman" w:cs="Times New Roman"/>
          <w:color w:val="auto"/>
          <w:sz w:val="24"/>
          <w:szCs w:val="24"/>
          <w:highlight w:val="none"/>
          <w:lang w:val="en-US" w:eastAsia="zh-CN"/>
        </w:rPr>
        <w:t>60</w:t>
      </w:r>
      <w:r>
        <w:rPr>
          <w:rFonts w:hint="default" w:ascii="Times New Roman" w:hAnsi="Times New Roman" w:cs="Times New Roman"/>
          <w:color w:val="auto"/>
          <w:sz w:val="24"/>
          <w:szCs w:val="24"/>
          <w:highlight w:val="none"/>
          <w:lang w:val="en-US" w:eastAsia="zh-CN"/>
        </w:rPr>
        <w:t>~90</w:t>
      </w:r>
      <w:r>
        <w:rPr>
          <w:rFonts w:hint="default" w:ascii="Times New Roman" w:hAnsi="Times New Roman" w:cs="Times New Roman"/>
          <w:color w:val="auto"/>
          <w:sz w:val="24"/>
          <w:szCs w:val="24"/>
          <w:highlight w:val="none"/>
          <w:lang w:eastAsia="zh-CN"/>
        </w:rPr>
        <w:t>dB（A），噪声源强见下表。</w:t>
      </w:r>
    </w:p>
    <w:p w14:paraId="34252C6F">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3.</w:t>
      </w: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.3-1</w:t>
      </w:r>
      <w:r>
        <w:rPr>
          <w:rFonts w:hint="eastAsia"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本项目主要高噪声设备一览表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4"/>
        <w:gridCol w:w="2304"/>
        <w:gridCol w:w="895"/>
        <w:gridCol w:w="914"/>
        <w:gridCol w:w="1428"/>
        <w:gridCol w:w="2354"/>
      </w:tblGrid>
      <w:tr w14:paraId="78AD3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66" w:type="pct"/>
            <w:noWrap w:val="0"/>
            <w:vAlign w:val="center"/>
          </w:tcPr>
          <w:p w14:paraId="08D18C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1352" w:type="pct"/>
            <w:noWrap w:val="0"/>
            <w:vAlign w:val="center"/>
          </w:tcPr>
          <w:p w14:paraId="032FCB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设备名称</w:t>
            </w:r>
          </w:p>
        </w:tc>
        <w:tc>
          <w:tcPr>
            <w:tcW w:w="525" w:type="pct"/>
            <w:noWrap w:val="0"/>
            <w:vAlign w:val="center"/>
          </w:tcPr>
          <w:p w14:paraId="2124FD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数量</w:t>
            </w:r>
          </w:p>
        </w:tc>
        <w:tc>
          <w:tcPr>
            <w:tcW w:w="536" w:type="pct"/>
            <w:noWrap w:val="0"/>
            <w:vAlign w:val="center"/>
          </w:tcPr>
          <w:p w14:paraId="3D7178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距离</w:t>
            </w:r>
          </w:p>
        </w:tc>
        <w:tc>
          <w:tcPr>
            <w:tcW w:w="838" w:type="pct"/>
            <w:noWrap w:val="0"/>
            <w:vAlign w:val="center"/>
          </w:tcPr>
          <w:p w14:paraId="240F08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声级值dB(A)</w:t>
            </w:r>
          </w:p>
        </w:tc>
        <w:tc>
          <w:tcPr>
            <w:tcW w:w="1381" w:type="pct"/>
            <w:noWrap w:val="0"/>
            <w:vAlign w:val="center"/>
          </w:tcPr>
          <w:p w14:paraId="74DB8C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治理措施</w:t>
            </w:r>
          </w:p>
        </w:tc>
      </w:tr>
      <w:tr w14:paraId="5A3C5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6E0A5E70">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w:t>
            </w:r>
          </w:p>
        </w:tc>
        <w:tc>
          <w:tcPr>
            <w:tcW w:w="1352" w:type="pct"/>
            <w:noWrap w:val="0"/>
            <w:vAlign w:val="center"/>
          </w:tcPr>
          <w:p w14:paraId="4E8F3C12">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撬装式制氢设备（含风机）</w:t>
            </w:r>
          </w:p>
        </w:tc>
        <w:tc>
          <w:tcPr>
            <w:tcW w:w="525" w:type="pct"/>
            <w:noWrap w:val="0"/>
            <w:vAlign w:val="center"/>
          </w:tcPr>
          <w:p w14:paraId="3BE84A65">
            <w:pPr>
              <w:pStyle w:val="563"/>
              <w:bidi w:val="0"/>
              <w:ind w:firstLine="0" w:firstLineChars="0"/>
              <w:rPr>
                <w:rFonts w:hint="default" w:ascii="Times New Roman" w:hAnsi="Times New Roman" w:cs="Times New Roman"/>
                <w:color w:val="auto"/>
                <w:sz w:val="21"/>
                <w:highlight w:val="none"/>
                <w:lang w:val="en-US" w:eastAsia="zh-CN"/>
              </w:rPr>
            </w:pPr>
            <w:r>
              <w:rPr>
                <w:rFonts w:hint="default"/>
                <w:color w:val="auto"/>
                <w:highlight w:val="none"/>
                <w:lang w:val="en-US" w:eastAsia="zh-CN"/>
              </w:rPr>
              <w:t>3</w:t>
            </w:r>
          </w:p>
        </w:tc>
        <w:tc>
          <w:tcPr>
            <w:tcW w:w="536" w:type="pct"/>
            <w:noWrap w:val="0"/>
            <w:vAlign w:val="center"/>
          </w:tcPr>
          <w:p w14:paraId="4D8C7333">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71041A41">
            <w:pPr>
              <w:pStyle w:val="563"/>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70~</w:t>
            </w:r>
            <w:r>
              <w:rPr>
                <w:rFonts w:hint="default"/>
                <w:color w:val="auto"/>
                <w:highlight w:val="none"/>
                <w:lang w:val="en-US" w:eastAsia="zh-CN"/>
              </w:rPr>
              <w:t>80</w:t>
            </w:r>
          </w:p>
        </w:tc>
        <w:tc>
          <w:tcPr>
            <w:tcW w:w="1381" w:type="pct"/>
            <w:vMerge w:val="restart"/>
            <w:noWrap w:val="0"/>
            <w:vAlign w:val="center"/>
          </w:tcPr>
          <w:p w14:paraId="170780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合理布局</w:t>
            </w:r>
            <w:r>
              <w:rPr>
                <w:rFonts w:hint="default" w:ascii="Times New Roman" w:hAnsi="Times New Roman"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eastAsia="zh-CN"/>
              </w:rPr>
              <w:t>厂房隔声、基座减振</w:t>
            </w:r>
          </w:p>
        </w:tc>
      </w:tr>
      <w:tr w14:paraId="27547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17353D69">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2</w:t>
            </w:r>
          </w:p>
        </w:tc>
        <w:tc>
          <w:tcPr>
            <w:tcW w:w="1352" w:type="pct"/>
            <w:noWrap w:val="0"/>
            <w:vAlign w:val="center"/>
          </w:tcPr>
          <w:p w14:paraId="033A00B4">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氢气压缩机</w:t>
            </w:r>
          </w:p>
        </w:tc>
        <w:tc>
          <w:tcPr>
            <w:tcW w:w="525" w:type="pct"/>
            <w:noWrap w:val="0"/>
            <w:vAlign w:val="center"/>
          </w:tcPr>
          <w:p w14:paraId="65B6BAA6">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7</w:t>
            </w:r>
          </w:p>
        </w:tc>
        <w:tc>
          <w:tcPr>
            <w:tcW w:w="536" w:type="pct"/>
            <w:noWrap w:val="0"/>
            <w:vAlign w:val="center"/>
          </w:tcPr>
          <w:p w14:paraId="2D9C50D1">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08B47153">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65~</w:t>
            </w:r>
            <w:r>
              <w:rPr>
                <w:rFonts w:hint="default"/>
                <w:color w:val="auto"/>
                <w:highlight w:val="none"/>
                <w:lang w:val="en-US" w:eastAsia="zh-CN"/>
              </w:rPr>
              <w:t>75</w:t>
            </w:r>
          </w:p>
        </w:tc>
        <w:tc>
          <w:tcPr>
            <w:tcW w:w="1381" w:type="pct"/>
            <w:vMerge w:val="continue"/>
            <w:noWrap w:val="0"/>
            <w:vAlign w:val="center"/>
          </w:tcPr>
          <w:p w14:paraId="599326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5ABA3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458CF0C9">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3</w:t>
            </w:r>
          </w:p>
        </w:tc>
        <w:tc>
          <w:tcPr>
            <w:tcW w:w="1352" w:type="pct"/>
            <w:noWrap w:val="0"/>
            <w:vAlign w:val="center"/>
          </w:tcPr>
          <w:p w14:paraId="6498FE2F">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冷水机</w:t>
            </w:r>
          </w:p>
        </w:tc>
        <w:tc>
          <w:tcPr>
            <w:tcW w:w="525" w:type="pct"/>
            <w:noWrap w:val="0"/>
            <w:vAlign w:val="center"/>
          </w:tcPr>
          <w:p w14:paraId="2E3EA209">
            <w:pPr>
              <w:pStyle w:val="563"/>
              <w:bidi w:val="0"/>
              <w:ind w:firstLine="0" w:firstLineChars="0"/>
              <w:rPr>
                <w:rFonts w:hint="eastAsia" w:ascii="Times New Roman" w:hAnsi="Times New Roman" w:cs="Times New Roman"/>
                <w:color w:val="auto"/>
                <w:sz w:val="21"/>
                <w:highlight w:val="none"/>
                <w:lang w:val="en-US" w:eastAsia="zh-CN"/>
              </w:rPr>
            </w:pPr>
            <w:r>
              <w:rPr>
                <w:rFonts w:hint="eastAsia"/>
                <w:color w:val="auto"/>
                <w:highlight w:val="none"/>
                <w:lang w:val="en-US" w:eastAsia="zh-CN"/>
              </w:rPr>
              <w:t>5</w:t>
            </w:r>
          </w:p>
        </w:tc>
        <w:tc>
          <w:tcPr>
            <w:tcW w:w="536" w:type="pct"/>
            <w:noWrap w:val="0"/>
            <w:vAlign w:val="center"/>
          </w:tcPr>
          <w:p w14:paraId="7520AEA0">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1AD35D73">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70~</w:t>
            </w:r>
            <w:r>
              <w:rPr>
                <w:rFonts w:hint="default"/>
                <w:color w:val="auto"/>
                <w:highlight w:val="none"/>
                <w:lang w:val="en-US" w:eastAsia="zh-CN"/>
              </w:rPr>
              <w:t>80</w:t>
            </w:r>
          </w:p>
        </w:tc>
        <w:tc>
          <w:tcPr>
            <w:tcW w:w="1381" w:type="pct"/>
            <w:vMerge w:val="continue"/>
            <w:noWrap w:val="0"/>
            <w:vAlign w:val="center"/>
          </w:tcPr>
          <w:p w14:paraId="7C5524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01753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7EF140E1">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4</w:t>
            </w:r>
          </w:p>
        </w:tc>
        <w:tc>
          <w:tcPr>
            <w:tcW w:w="1352" w:type="pct"/>
            <w:noWrap w:val="0"/>
            <w:vAlign w:val="center"/>
          </w:tcPr>
          <w:p w14:paraId="46F54395">
            <w:pPr>
              <w:pStyle w:val="563"/>
              <w:bidi w:val="0"/>
              <w:ind w:firstLine="0" w:firstLineChars="0"/>
              <w:rPr>
                <w:rFonts w:hint="default" w:ascii="Times New Roman" w:hAnsi="Times New Roman" w:cs="Times New Roman"/>
                <w:color w:val="auto"/>
                <w:sz w:val="21"/>
                <w:szCs w:val="21"/>
                <w:highlight w:val="none"/>
                <w:lang w:eastAsia="zh-CN"/>
              </w:rPr>
            </w:pPr>
            <w:r>
              <w:rPr>
                <w:rFonts w:hint="eastAsia"/>
                <w:color w:val="auto"/>
                <w:highlight w:val="none"/>
                <w:lang w:val="en-US" w:eastAsia="zh-CN"/>
              </w:rPr>
              <w:t>储氢瓶组</w:t>
            </w:r>
          </w:p>
        </w:tc>
        <w:tc>
          <w:tcPr>
            <w:tcW w:w="525" w:type="pct"/>
            <w:noWrap w:val="0"/>
            <w:vAlign w:val="center"/>
          </w:tcPr>
          <w:p w14:paraId="13207596">
            <w:pPr>
              <w:pStyle w:val="563"/>
              <w:bidi w:val="0"/>
              <w:ind w:firstLine="0" w:firstLineChars="0"/>
              <w:rPr>
                <w:rFonts w:hint="default" w:cs="Times New Roman"/>
                <w:color w:val="auto"/>
                <w:sz w:val="21"/>
                <w:szCs w:val="21"/>
                <w:highlight w:val="none"/>
                <w:lang w:val="en-US" w:eastAsia="zh-CN"/>
              </w:rPr>
            </w:pPr>
            <w:r>
              <w:rPr>
                <w:rFonts w:hint="eastAsia"/>
                <w:color w:val="auto"/>
                <w:highlight w:val="none"/>
                <w:lang w:val="en-US" w:eastAsia="zh-CN"/>
              </w:rPr>
              <w:t>4</w:t>
            </w:r>
          </w:p>
        </w:tc>
        <w:tc>
          <w:tcPr>
            <w:tcW w:w="536" w:type="pct"/>
            <w:noWrap w:val="0"/>
            <w:vAlign w:val="center"/>
          </w:tcPr>
          <w:p w14:paraId="6BDB9D42">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07A8A911">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70~</w:t>
            </w:r>
            <w:r>
              <w:rPr>
                <w:rFonts w:hint="default"/>
                <w:color w:val="auto"/>
                <w:highlight w:val="none"/>
                <w:lang w:val="en-US" w:eastAsia="zh-CN"/>
              </w:rPr>
              <w:t>80</w:t>
            </w:r>
          </w:p>
        </w:tc>
        <w:tc>
          <w:tcPr>
            <w:tcW w:w="1381" w:type="pct"/>
            <w:vMerge w:val="continue"/>
            <w:noWrap w:val="0"/>
            <w:vAlign w:val="center"/>
          </w:tcPr>
          <w:p w14:paraId="186817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7C6BC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6B0256D3">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5</w:t>
            </w:r>
          </w:p>
        </w:tc>
        <w:tc>
          <w:tcPr>
            <w:tcW w:w="1352" w:type="pct"/>
            <w:noWrap w:val="0"/>
            <w:vAlign w:val="center"/>
          </w:tcPr>
          <w:p w14:paraId="6414FC3F">
            <w:pPr>
              <w:pStyle w:val="563"/>
              <w:bidi w:val="0"/>
              <w:ind w:firstLine="0" w:firstLineChars="0"/>
              <w:rPr>
                <w:rFonts w:hint="default" w:ascii="Times New Roman" w:hAnsi="Times New Roman" w:cs="Times New Roman"/>
                <w:color w:val="auto"/>
                <w:sz w:val="21"/>
                <w:szCs w:val="21"/>
                <w:highlight w:val="none"/>
                <w:lang w:eastAsia="zh-CN"/>
              </w:rPr>
            </w:pPr>
            <w:r>
              <w:rPr>
                <w:rFonts w:hint="eastAsia"/>
                <w:color w:val="auto"/>
                <w:highlight w:val="none"/>
                <w:lang w:val="en-US" w:eastAsia="zh-CN"/>
              </w:rPr>
              <w:t>卸气柱</w:t>
            </w:r>
          </w:p>
        </w:tc>
        <w:tc>
          <w:tcPr>
            <w:tcW w:w="525" w:type="pct"/>
            <w:noWrap w:val="0"/>
            <w:vAlign w:val="center"/>
          </w:tcPr>
          <w:p w14:paraId="255B24FF">
            <w:pPr>
              <w:pStyle w:val="563"/>
              <w:bidi w:val="0"/>
              <w:ind w:firstLine="0" w:firstLineChars="0"/>
              <w:rPr>
                <w:rFonts w:hint="default" w:cs="Times New Roman"/>
                <w:color w:val="auto"/>
                <w:sz w:val="21"/>
                <w:szCs w:val="21"/>
                <w:highlight w:val="none"/>
                <w:lang w:val="en-US" w:eastAsia="zh-CN"/>
              </w:rPr>
            </w:pPr>
            <w:r>
              <w:rPr>
                <w:rFonts w:hint="default"/>
                <w:color w:val="auto"/>
                <w:highlight w:val="none"/>
                <w:lang w:val="en-US" w:eastAsia="zh-CN"/>
              </w:rPr>
              <w:t>2</w:t>
            </w:r>
          </w:p>
        </w:tc>
        <w:tc>
          <w:tcPr>
            <w:tcW w:w="536" w:type="pct"/>
            <w:noWrap w:val="0"/>
            <w:vAlign w:val="center"/>
          </w:tcPr>
          <w:p w14:paraId="0002D071">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5DB149B8">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80~</w:t>
            </w:r>
            <w:r>
              <w:rPr>
                <w:rFonts w:hint="default"/>
                <w:color w:val="auto"/>
                <w:highlight w:val="none"/>
                <w:lang w:val="en-US" w:eastAsia="zh-CN"/>
              </w:rPr>
              <w:t>85</w:t>
            </w:r>
          </w:p>
        </w:tc>
        <w:tc>
          <w:tcPr>
            <w:tcW w:w="1381" w:type="pct"/>
            <w:vMerge w:val="continue"/>
            <w:noWrap w:val="0"/>
            <w:vAlign w:val="center"/>
          </w:tcPr>
          <w:p w14:paraId="5C37C3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13655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08298937">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6</w:t>
            </w:r>
          </w:p>
        </w:tc>
        <w:tc>
          <w:tcPr>
            <w:tcW w:w="1352" w:type="pct"/>
            <w:noWrap w:val="0"/>
            <w:vAlign w:val="center"/>
          </w:tcPr>
          <w:p w14:paraId="5F2108D1">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加氢机冷冻机</w:t>
            </w:r>
          </w:p>
        </w:tc>
        <w:tc>
          <w:tcPr>
            <w:tcW w:w="525" w:type="pct"/>
            <w:noWrap w:val="0"/>
            <w:vAlign w:val="center"/>
          </w:tcPr>
          <w:p w14:paraId="7ABA70DF">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2</w:t>
            </w:r>
          </w:p>
        </w:tc>
        <w:tc>
          <w:tcPr>
            <w:tcW w:w="536" w:type="pct"/>
            <w:noWrap w:val="0"/>
            <w:vAlign w:val="center"/>
          </w:tcPr>
          <w:p w14:paraId="322961E2">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22B47291">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80~</w:t>
            </w:r>
            <w:r>
              <w:rPr>
                <w:rFonts w:hint="default"/>
                <w:color w:val="auto"/>
                <w:highlight w:val="none"/>
                <w:lang w:val="en-US" w:eastAsia="zh-CN"/>
              </w:rPr>
              <w:t>85</w:t>
            </w:r>
          </w:p>
        </w:tc>
        <w:tc>
          <w:tcPr>
            <w:tcW w:w="1381" w:type="pct"/>
            <w:vMerge w:val="continue"/>
            <w:noWrap w:val="0"/>
            <w:vAlign w:val="center"/>
          </w:tcPr>
          <w:p w14:paraId="158F83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2807B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2D2906E5">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7</w:t>
            </w:r>
          </w:p>
        </w:tc>
        <w:tc>
          <w:tcPr>
            <w:tcW w:w="1352" w:type="pct"/>
            <w:noWrap w:val="0"/>
            <w:vAlign w:val="center"/>
          </w:tcPr>
          <w:p w14:paraId="04A5B7B8">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氢气充装柱</w:t>
            </w:r>
          </w:p>
        </w:tc>
        <w:tc>
          <w:tcPr>
            <w:tcW w:w="525" w:type="pct"/>
            <w:noWrap w:val="0"/>
            <w:vAlign w:val="center"/>
          </w:tcPr>
          <w:p w14:paraId="087F7E3C">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w:t>
            </w:r>
          </w:p>
          <w:p w14:paraId="735C2237">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center"/>
              <w:rPr>
                <w:rFonts w:hint="eastAsia" w:cs="Times New Roman"/>
                <w:color w:val="auto"/>
                <w:sz w:val="21"/>
                <w:szCs w:val="21"/>
                <w:highlight w:val="none"/>
                <w:lang w:val="en-US" w:eastAsia="zh-CN"/>
              </w:rPr>
            </w:pPr>
          </w:p>
        </w:tc>
        <w:tc>
          <w:tcPr>
            <w:tcW w:w="536" w:type="pct"/>
            <w:noWrap w:val="0"/>
            <w:vAlign w:val="center"/>
          </w:tcPr>
          <w:p w14:paraId="5061960C">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4FE60A9F">
            <w:pPr>
              <w:pStyle w:val="563"/>
              <w:bidi w:val="0"/>
              <w:ind w:firstLine="0" w:firstLineChars="0"/>
              <w:rPr>
                <w:rFonts w:hint="default" w:ascii="Times New Roman" w:hAnsi="Times New Roman" w:cs="Times New Roman"/>
                <w:color w:val="auto"/>
                <w:sz w:val="21"/>
                <w:highlight w:val="none"/>
              </w:rPr>
            </w:pPr>
            <w:r>
              <w:rPr>
                <w:rFonts w:hint="eastAsia"/>
                <w:color w:val="auto"/>
                <w:highlight w:val="none"/>
                <w:lang w:val="en-US" w:eastAsia="zh-CN"/>
              </w:rPr>
              <w:t>70~</w:t>
            </w:r>
            <w:r>
              <w:rPr>
                <w:rFonts w:hint="default"/>
                <w:color w:val="auto"/>
                <w:highlight w:val="none"/>
                <w:lang w:val="en-US" w:eastAsia="zh-CN"/>
              </w:rPr>
              <w:t>80</w:t>
            </w:r>
          </w:p>
        </w:tc>
        <w:tc>
          <w:tcPr>
            <w:tcW w:w="1381" w:type="pct"/>
            <w:vMerge w:val="continue"/>
            <w:noWrap w:val="0"/>
            <w:vAlign w:val="center"/>
          </w:tcPr>
          <w:p w14:paraId="72744B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0DCD4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130BF2F7">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8</w:t>
            </w:r>
          </w:p>
        </w:tc>
        <w:tc>
          <w:tcPr>
            <w:tcW w:w="1352" w:type="pct"/>
            <w:noWrap w:val="0"/>
            <w:vAlign w:val="center"/>
          </w:tcPr>
          <w:p w14:paraId="52A4988E">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净化生物沼气减压撬</w:t>
            </w:r>
          </w:p>
        </w:tc>
        <w:tc>
          <w:tcPr>
            <w:tcW w:w="525" w:type="pct"/>
            <w:noWrap w:val="0"/>
            <w:vAlign w:val="center"/>
          </w:tcPr>
          <w:p w14:paraId="06513670">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3</w:t>
            </w:r>
          </w:p>
        </w:tc>
        <w:tc>
          <w:tcPr>
            <w:tcW w:w="536" w:type="pct"/>
            <w:noWrap w:val="0"/>
            <w:vAlign w:val="center"/>
          </w:tcPr>
          <w:p w14:paraId="7167A61A">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75C4F3A7">
            <w:pPr>
              <w:pStyle w:val="563"/>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70~</w:t>
            </w:r>
            <w:r>
              <w:rPr>
                <w:rFonts w:hint="default"/>
                <w:color w:val="auto"/>
                <w:highlight w:val="none"/>
                <w:lang w:val="en-US" w:eastAsia="zh-CN"/>
              </w:rPr>
              <w:t>80</w:t>
            </w:r>
          </w:p>
        </w:tc>
        <w:tc>
          <w:tcPr>
            <w:tcW w:w="1381" w:type="pct"/>
            <w:vMerge w:val="continue"/>
            <w:noWrap w:val="0"/>
            <w:vAlign w:val="center"/>
          </w:tcPr>
          <w:p w14:paraId="5513CC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041AC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72FB77F1">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9</w:t>
            </w:r>
          </w:p>
        </w:tc>
        <w:tc>
          <w:tcPr>
            <w:tcW w:w="1352" w:type="pct"/>
            <w:noWrap w:val="0"/>
            <w:vAlign w:val="center"/>
          </w:tcPr>
          <w:p w14:paraId="5EEC1454">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氮气汇流排</w:t>
            </w:r>
          </w:p>
        </w:tc>
        <w:tc>
          <w:tcPr>
            <w:tcW w:w="525" w:type="pct"/>
            <w:noWrap w:val="0"/>
            <w:vAlign w:val="center"/>
          </w:tcPr>
          <w:p w14:paraId="0AD8CBA0">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1</w:t>
            </w:r>
          </w:p>
        </w:tc>
        <w:tc>
          <w:tcPr>
            <w:tcW w:w="536" w:type="pct"/>
            <w:noWrap w:val="0"/>
            <w:vAlign w:val="center"/>
          </w:tcPr>
          <w:p w14:paraId="3ACB6584">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27FD1993">
            <w:pPr>
              <w:pStyle w:val="563"/>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80~</w:t>
            </w:r>
            <w:r>
              <w:rPr>
                <w:rFonts w:hint="default"/>
                <w:color w:val="auto"/>
                <w:highlight w:val="none"/>
                <w:lang w:val="en-US" w:eastAsia="zh-CN"/>
              </w:rPr>
              <w:t>85</w:t>
            </w:r>
          </w:p>
        </w:tc>
        <w:tc>
          <w:tcPr>
            <w:tcW w:w="1381" w:type="pct"/>
            <w:vMerge w:val="continue"/>
            <w:noWrap w:val="0"/>
            <w:vAlign w:val="center"/>
          </w:tcPr>
          <w:p w14:paraId="56F570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76AFD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7DAD415C">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10</w:t>
            </w:r>
          </w:p>
        </w:tc>
        <w:tc>
          <w:tcPr>
            <w:tcW w:w="1352" w:type="pct"/>
            <w:noWrap w:val="0"/>
            <w:vAlign w:val="center"/>
          </w:tcPr>
          <w:p w14:paraId="2A6C5804">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缓冲罐</w:t>
            </w:r>
          </w:p>
        </w:tc>
        <w:tc>
          <w:tcPr>
            <w:tcW w:w="525" w:type="pct"/>
            <w:noWrap w:val="0"/>
            <w:vAlign w:val="center"/>
          </w:tcPr>
          <w:p w14:paraId="006302A1">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3</w:t>
            </w:r>
          </w:p>
        </w:tc>
        <w:tc>
          <w:tcPr>
            <w:tcW w:w="536" w:type="pct"/>
            <w:noWrap w:val="0"/>
            <w:vAlign w:val="center"/>
          </w:tcPr>
          <w:p w14:paraId="6DF2E71A">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3B2A1474">
            <w:pPr>
              <w:pStyle w:val="563"/>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70~</w:t>
            </w:r>
            <w:r>
              <w:rPr>
                <w:rFonts w:hint="default"/>
                <w:color w:val="auto"/>
                <w:highlight w:val="none"/>
                <w:lang w:val="en-US" w:eastAsia="zh-CN"/>
              </w:rPr>
              <w:t>80</w:t>
            </w:r>
          </w:p>
        </w:tc>
        <w:tc>
          <w:tcPr>
            <w:tcW w:w="1381" w:type="pct"/>
            <w:vMerge w:val="continue"/>
            <w:noWrap w:val="0"/>
            <w:vAlign w:val="center"/>
          </w:tcPr>
          <w:p w14:paraId="0EA60F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490FB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366" w:type="pct"/>
            <w:noWrap w:val="0"/>
            <w:vAlign w:val="center"/>
          </w:tcPr>
          <w:p w14:paraId="614E5BE7">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11</w:t>
            </w:r>
          </w:p>
        </w:tc>
        <w:tc>
          <w:tcPr>
            <w:tcW w:w="1352" w:type="pct"/>
            <w:noWrap w:val="0"/>
            <w:vAlign w:val="center"/>
          </w:tcPr>
          <w:p w14:paraId="5AC676CC">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顺序控制盘</w:t>
            </w:r>
          </w:p>
        </w:tc>
        <w:tc>
          <w:tcPr>
            <w:tcW w:w="525" w:type="pct"/>
            <w:noWrap w:val="0"/>
            <w:vAlign w:val="center"/>
          </w:tcPr>
          <w:p w14:paraId="1B5DB0AB">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3</w:t>
            </w:r>
          </w:p>
        </w:tc>
        <w:tc>
          <w:tcPr>
            <w:tcW w:w="536" w:type="pct"/>
            <w:noWrap w:val="0"/>
            <w:vAlign w:val="center"/>
          </w:tcPr>
          <w:p w14:paraId="7FE5784E">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0D42F63D">
            <w:pPr>
              <w:pStyle w:val="563"/>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80~</w:t>
            </w:r>
            <w:r>
              <w:rPr>
                <w:rFonts w:hint="default"/>
                <w:color w:val="auto"/>
                <w:highlight w:val="none"/>
                <w:lang w:val="en-US" w:eastAsia="zh-CN"/>
              </w:rPr>
              <w:t>85</w:t>
            </w:r>
          </w:p>
        </w:tc>
        <w:tc>
          <w:tcPr>
            <w:tcW w:w="1381" w:type="pct"/>
            <w:vMerge w:val="continue"/>
            <w:noWrap w:val="0"/>
            <w:vAlign w:val="center"/>
          </w:tcPr>
          <w:p w14:paraId="74EE33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7074C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366" w:type="pct"/>
            <w:noWrap w:val="0"/>
            <w:vAlign w:val="center"/>
          </w:tcPr>
          <w:p w14:paraId="435BCA58">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12</w:t>
            </w:r>
          </w:p>
        </w:tc>
        <w:tc>
          <w:tcPr>
            <w:tcW w:w="1352" w:type="pct"/>
            <w:noWrap w:val="0"/>
            <w:vAlign w:val="center"/>
          </w:tcPr>
          <w:p w14:paraId="4F39BB4B">
            <w:pPr>
              <w:pStyle w:val="563"/>
              <w:bidi w:val="0"/>
              <w:ind w:firstLine="0" w:firstLineChars="0"/>
              <w:rPr>
                <w:rFonts w:hint="default" w:ascii="Times New Roman" w:hAnsi="Times New Roman" w:cs="Times New Roman"/>
                <w:color w:val="auto"/>
                <w:sz w:val="21"/>
                <w:szCs w:val="21"/>
                <w:highlight w:val="none"/>
                <w:lang w:eastAsia="zh-CN"/>
              </w:rPr>
            </w:pPr>
            <w:r>
              <w:rPr>
                <w:rFonts w:hint="eastAsia"/>
                <w:color w:val="auto"/>
                <w:highlight w:val="none"/>
                <w:lang w:val="en-US" w:eastAsia="zh-CN"/>
              </w:rPr>
              <w:t>制氮机</w:t>
            </w:r>
          </w:p>
        </w:tc>
        <w:tc>
          <w:tcPr>
            <w:tcW w:w="525" w:type="pct"/>
            <w:noWrap w:val="0"/>
            <w:vAlign w:val="center"/>
          </w:tcPr>
          <w:p w14:paraId="355133D6">
            <w:pPr>
              <w:pStyle w:val="563"/>
              <w:bidi w:val="0"/>
              <w:ind w:firstLine="0" w:firstLineChars="0"/>
              <w:rPr>
                <w:rFonts w:hint="default" w:cs="Times New Roman"/>
                <w:color w:val="auto"/>
                <w:sz w:val="21"/>
                <w:szCs w:val="21"/>
                <w:highlight w:val="none"/>
                <w:lang w:val="en-US" w:eastAsia="zh-CN"/>
              </w:rPr>
            </w:pPr>
            <w:r>
              <w:rPr>
                <w:rFonts w:hint="eastAsia"/>
                <w:color w:val="auto"/>
                <w:highlight w:val="none"/>
                <w:lang w:val="en-US" w:eastAsia="zh-CN"/>
              </w:rPr>
              <w:t>1</w:t>
            </w:r>
          </w:p>
        </w:tc>
        <w:tc>
          <w:tcPr>
            <w:tcW w:w="536" w:type="pct"/>
            <w:noWrap w:val="0"/>
            <w:vAlign w:val="center"/>
          </w:tcPr>
          <w:p w14:paraId="09B117D9">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1m</w:t>
            </w:r>
          </w:p>
        </w:tc>
        <w:tc>
          <w:tcPr>
            <w:tcW w:w="838" w:type="pct"/>
            <w:noWrap w:val="0"/>
            <w:vAlign w:val="center"/>
          </w:tcPr>
          <w:p w14:paraId="326267E9">
            <w:pPr>
              <w:pStyle w:val="563"/>
              <w:bidi w:val="0"/>
              <w:ind w:firstLine="0" w:firstLineChars="0"/>
              <w:rPr>
                <w:rFonts w:hint="default" w:ascii="Times New Roman" w:hAnsi="Times New Roman" w:cs="Times New Roman"/>
                <w:color w:val="auto"/>
                <w:sz w:val="21"/>
                <w:highlight w:val="none"/>
              </w:rPr>
            </w:pPr>
            <w:r>
              <w:rPr>
                <w:rFonts w:hint="eastAsia"/>
                <w:color w:val="auto"/>
                <w:highlight w:val="none"/>
                <w:lang w:val="en-US" w:eastAsia="zh-CN"/>
              </w:rPr>
              <w:t>80~</w:t>
            </w:r>
            <w:r>
              <w:rPr>
                <w:rFonts w:hint="default"/>
                <w:color w:val="auto"/>
                <w:highlight w:val="none"/>
                <w:lang w:val="en-US" w:eastAsia="zh-CN"/>
              </w:rPr>
              <w:t>90</w:t>
            </w:r>
          </w:p>
        </w:tc>
        <w:tc>
          <w:tcPr>
            <w:tcW w:w="1381" w:type="pct"/>
            <w:vMerge w:val="continue"/>
            <w:noWrap w:val="0"/>
            <w:vAlign w:val="center"/>
          </w:tcPr>
          <w:p w14:paraId="2ECE47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31E9C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66" w:type="pct"/>
            <w:noWrap w:val="0"/>
            <w:vAlign w:val="center"/>
          </w:tcPr>
          <w:p w14:paraId="12988C9C">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w:t>
            </w:r>
            <w:r>
              <w:rPr>
                <w:rFonts w:hint="eastAsia" w:ascii="Times New Roman" w:hAnsi="Times New Roman" w:cs="Times New Roman"/>
                <w:color w:val="auto"/>
                <w:sz w:val="21"/>
                <w:highlight w:val="none"/>
                <w:lang w:val="en-US" w:eastAsia="zh-CN"/>
              </w:rPr>
              <w:t>3</w:t>
            </w:r>
          </w:p>
        </w:tc>
        <w:tc>
          <w:tcPr>
            <w:tcW w:w="1352" w:type="pct"/>
            <w:noWrap w:val="0"/>
            <w:vAlign w:val="center"/>
          </w:tcPr>
          <w:p w14:paraId="22AEAC65">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蒸汽发生器</w:t>
            </w:r>
          </w:p>
        </w:tc>
        <w:tc>
          <w:tcPr>
            <w:tcW w:w="525" w:type="pct"/>
            <w:noWrap w:val="0"/>
            <w:vAlign w:val="center"/>
          </w:tcPr>
          <w:p w14:paraId="64292738">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3</w:t>
            </w:r>
          </w:p>
        </w:tc>
        <w:tc>
          <w:tcPr>
            <w:tcW w:w="536" w:type="pct"/>
            <w:noWrap w:val="0"/>
            <w:vAlign w:val="center"/>
          </w:tcPr>
          <w:p w14:paraId="474DD043">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7CF07BD8">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70~</w:t>
            </w:r>
            <w:r>
              <w:rPr>
                <w:rFonts w:hint="default"/>
                <w:color w:val="auto"/>
                <w:highlight w:val="none"/>
                <w:lang w:val="en-US" w:eastAsia="zh-CN"/>
              </w:rPr>
              <w:t>80</w:t>
            </w:r>
          </w:p>
        </w:tc>
        <w:tc>
          <w:tcPr>
            <w:tcW w:w="1381" w:type="pct"/>
            <w:vMerge w:val="continue"/>
            <w:noWrap w:val="0"/>
            <w:vAlign w:val="center"/>
          </w:tcPr>
          <w:p w14:paraId="6E6E45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33F22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66" w:type="pct"/>
            <w:noWrap w:val="0"/>
            <w:vAlign w:val="center"/>
          </w:tcPr>
          <w:p w14:paraId="7750E03F">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bookmarkStart w:id="244" w:name="_Toc152923298"/>
            <w:bookmarkStart w:id="245" w:name="_Toc152922023"/>
            <w:bookmarkStart w:id="246" w:name="_Toc152921658"/>
            <w:bookmarkStart w:id="247" w:name="_Toc117150236"/>
            <w:bookmarkStart w:id="248" w:name="_Toc152922617"/>
            <w:r>
              <w:rPr>
                <w:rFonts w:hint="eastAsia" w:ascii="Times New Roman" w:hAnsi="Times New Roman" w:cs="Times New Roman"/>
                <w:color w:val="auto"/>
                <w:sz w:val="21"/>
                <w:highlight w:val="none"/>
                <w:lang w:val="en-US" w:eastAsia="zh-CN"/>
              </w:rPr>
              <w:t>14</w:t>
            </w:r>
          </w:p>
        </w:tc>
        <w:tc>
          <w:tcPr>
            <w:tcW w:w="1352" w:type="pct"/>
            <w:noWrap w:val="0"/>
            <w:vAlign w:val="center"/>
          </w:tcPr>
          <w:p w14:paraId="22AF1EE2">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脱盐水撬</w:t>
            </w:r>
          </w:p>
        </w:tc>
        <w:tc>
          <w:tcPr>
            <w:tcW w:w="525" w:type="pct"/>
            <w:noWrap w:val="0"/>
            <w:vAlign w:val="center"/>
          </w:tcPr>
          <w:p w14:paraId="689DA23F">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1</w:t>
            </w:r>
          </w:p>
        </w:tc>
        <w:tc>
          <w:tcPr>
            <w:tcW w:w="536" w:type="pct"/>
            <w:noWrap w:val="0"/>
            <w:vAlign w:val="center"/>
          </w:tcPr>
          <w:p w14:paraId="4261D057">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0205BFD0">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80~</w:t>
            </w:r>
            <w:r>
              <w:rPr>
                <w:rFonts w:hint="default"/>
                <w:color w:val="auto"/>
                <w:highlight w:val="none"/>
                <w:lang w:val="en-US" w:eastAsia="zh-CN"/>
              </w:rPr>
              <w:t>85</w:t>
            </w:r>
          </w:p>
        </w:tc>
        <w:tc>
          <w:tcPr>
            <w:tcW w:w="1381" w:type="pct"/>
            <w:vMerge w:val="continue"/>
            <w:noWrap w:val="0"/>
            <w:vAlign w:val="center"/>
          </w:tcPr>
          <w:p w14:paraId="346EB7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3389A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66" w:type="pct"/>
            <w:noWrap w:val="0"/>
            <w:vAlign w:val="center"/>
          </w:tcPr>
          <w:p w14:paraId="3D91B02D">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15</w:t>
            </w:r>
          </w:p>
        </w:tc>
        <w:tc>
          <w:tcPr>
            <w:tcW w:w="1352" w:type="pct"/>
            <w:noWrap w:val="0"/>
            <w:vAlign w:val="center"/>
          </w:tcPr>
          <w:p w14:paraId="47FFD29A">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密闭循环冷却水系统</w:t>
            </w:r>
          </w:p>
        </w:tc>
        <w:tc>
          <w:tcPr>
            <w:tcW w:w="525" w:type="pct"/>
            <w:noWrap w:val="0"/>
            <w:vAlign w:val="center"/>
          </w:tcPr>
          <w:p w14:paraId="308F30AC">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1</w:t>
            </w:r>
          </w:p>
        </w:tc>
        <w:tc>
          <w:tcPr>
            <w:tcW w:w="536" w:type="pct"/>
            <w:noWrap w:val="0"/>
            <w:vAlign w:val="center"/>
          </w:tcPr>
          <w:p w14:paraId="1CA8E398">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38E78EE6">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70~</w:t>
            </w:r>
            <w:r>
              <w:rPr>
                <w:rFonts w:hint="default"/>
                <w:color w:val="auto"/>
                <w:highlight w:val="none"/>
                <w:lang w:val="en-US" w:eastAsia="zh-CN"/>
              </w:rPr>
              <w:t>80</w:t>
            </w:r>
          </w:p>
        </w:tc>
        <w:tc>
          <w:tcPr>
            <w:tcW w:w="1381" w:type="pct"/>
            <w:vMerge w:val="continue"/>
            <w:noWrap w:val="0"/>
            <w:vAlign w:val="center"/>
          </w:tcPr>
          <w:p w14:paraId="1EB689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23102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66" w:type="pct"/>
            <w:noWrap w:val="0"/>
            <w:vAlign w:val="center"/>
          </w:tcPr>
          <w:p w14:paraId="098832F2">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16</w:t>
            </w:r>
          </w:p>
        </w:tc>
        <w:tc>
          <w:tcPr>
            <w:tcW w:w="1352" w:type="pct"/>
            <w:noWrap w:val="0"/>
            <w:vAlign w:val="center"/>
          </w:tcPr>
          <w:p w14:paraId="7DB9CE5E">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双油品四枪加油机</w:t>
            </w:r>
          </w:p>
        </w:tc>
        <w:tc>
          <w:tcPr>
            <w:tcW w:w="525" w:type="pct"/>
            <w:noWrap w:val="0"/>
            <w:vAlign w:val="center"/>
          </w:tcPr>
          <w:p w14:paraId="5CC385C0">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4</w:t>
            </w:r>
          </w:p>
        </w:tc>
        <w:tc>
          <w:tcPr>
            <w:tcW w:w="536" w:type="pct"/>
            <w:noWrap w:val="0"/>
            <w:vAlign w:val="center"/>
          </w:tcPr>
          <w:p w14:paraId="67D84EA2">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3A76E454">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70~</w:t>
            </w:r>
            <w:r>
              <w:rPr>
                <w:rFonts w:hint="default"/>
                <w:color w:val="auto"/>
                <w:highlight w:val="none"/>
                <w:lang w:val="en-US" w:eastAsia="zh-CN"/>
              </w:rPr>
              <w:t>80</w:t>
            </w:r>
          </w:p>
        </w:tc>
        <w:tc>
          <w:tcPr>
            <w:tcW w:w="1381" w:type="pct"/>
            <w:vMerge w:val="continue"/>
            <w:noWrap w:val="0"/>
            <w:vAlign w:val="center"/>
          </w:tcPr>
          <w:p w14:paraId="17AC06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5FB26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66" w:type="pct"/>
            <w:noWrap w:val="0"/>
            <w:vAlign w:val="center"/>
          </w:tcPr>
          <w:p w14:paraId="0338FB10">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17</w:t>
            </w:r>
          </w:p>
        </w:tc>
        <w:tc>
          <w:tcPr>
            <w:tcW w:w="1352" w:type="pct"/>
            <w:noWrap w:val="0"/>
            <w:vAlign w:val="center"/>
          </w:tcPr>
          <w:p w14:paraId="444A6587">
            <w:pPr>
              <w:pStyle w:val="563"/>
              <w:bidi w:val="0"/>
              <w:ind w:firstLine="0" w:firstLineChars="0"/>
              <w:rPr>
                <w:rFonts w:hint="eastAsia"/>
                <w:color w:val="auto"/>
                <w:highlight w:val="none"/>
                <w:lang w:val="en-US" w:eastAsia="zh-CN"/>
              </w:rPr>
            </w:pPr>
            <w:r>
              <w:rPr>
                <w:rFonts w:hint="eastAsia"/>
                <w:color w:val="auto"/>
                <w:highlight w:val="none"/>
                <w:lang w:val="en-US" w:eastAsia="zh-CN"/>
              </w:rPr>
              <w:t>氢气加气机</w:t>
            </w:r>
          </w:p>
        </w:tc>
        <w:tc>
          <w:tcPr>
            <w:tcW w:w="525" w:type="pct"/>
            <w:noWrap w:val="0"/>
            <w:vAlign w:val="center"/>
          </w:tcPr>
          <w:p w14:paraId="18CFEFE3">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4</w:t>
            </w:r>
          </w:p>
        </w:tc>
        <w:tc>
          <w:tcPr>
            <w:tcW w:w="536" w:type="pct"/>
            <w:noWrap w:val="0"/>
            <w:vAlign w:val="center"/>
          </w:tcPr>
          <w:p w14:paraId="10EE6A45">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1F74FB49">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65~</w:t>
            </w:r>
            <w:r>
              <w:rPr>
                <w:rFonts w:hint="default"/>
                <w:color w:val="auto"/>
                <w:highlight w:val="none"/>
                <w:lang w:val="en-US" w:eastAsia="zh-CN"/>
              </w:rPr>
              <w:t>75</w:t>
            </w:r>
          </w:p>
        </w:tc>
        <w:tc>
          <w:tcPr>
            <w:tcW w:w="1381" w:type="pct"/>
            <w:vMerge w:val="continue"/>
            <w:noWrap w:val="0"/>
            <w:vAlign w:val="center"/>
          </w:tcPr>
          <w:p w14:paraId="4F8FF6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6D786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66" w:type="pct"/>
            <w:noWrap w:val="0"/>
            <w:vAlign w:val="center"/>
          </w:tcPr>
          <w:p w14:paraId="791DDC72">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18</w:t>
            </w:r>
          </w:p>
        </w:tc>
        <w:tc>
          <w:tcPr>
            <w:tcW w:w="1352" w:type="pct"/>
            <w:noWrap w:val="0"/>
            <w:vAlign w:val="center"/>
          </w:tcPr>
          <w:p w14:paraId="7C1A2337">
            <w:pPr>
              <w:pStyle w:val="563"/>
              <w:bidi w:val="0"/>
              <w:ind w:firstLine="0" w:firstLineChars="0"/>
              <w:rPr>
                <w:rFonts w:hint="eastAsia"/>
                <w:color w:val="auto"/>
                <w:highlight w:val="none"/>
                <w:lang w:val="en-US" w:eastAsia="zh-CN"/>
              </w:rPr>
            </w:pPr>
            <w:r>
              <w:rPr>
                <w:rFonts w:hint="eastAsia"/>
                <w:color w:val="auto"/>
                <w:highlight w:val="none"/>
                <w:lang w:val="en-US" w:eastAsia="zh-CN"/>
              </w:rPr>
              <w:t>密闭式卸油管路系统</w:t>
            </w:r>
          </w:p>
        </w:tc>
        <w:tc>
          <w:tcPr>
            <w:tcW w:w="525" w:type="pct"/>
            <w:noWrap w:val="0"/>
            <w:vAlign w:val="center"/>
          </w:tcPr>
          <w:p w14:paraId="23790735">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4</w:t>
            </w:r>
          </w:p>
        </w:tc>
        <w:tc>
          <w:tcPr>
            <w:tcW w:w="536" w:type="pct"/>
            <w:noWrap w:val="0"/>
            <w:vAlign w:val="center"/>
          </w:tcPr>
          <w:p w14:paraId="2FAA2957">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596A932B">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65~</w:t>
            </w:r>
            <w:r>
              <w:rPr>
                <w:rFonts w:hint="default"/>
                <w:color w:val="auto"/>
                <w:highlight w:val="none"/>
                <w:lang w:val="en-US" w:eastAsia="zh-CN"/>
              </w:rPr>
              <w:t>75</w:t>
            </w:r>
          </w:p>
        </w:tc>
        <w:tc>
          <w:tcPr>
            <w:tcW w:w="1381" w:type="pct"/>
            <w:vMerge w:val="continue"/>
            <w:noWrap w:val="0"/>
            <w:vAlign w:val="center"/>
          </w:tcPr>
          <w:p w14:paraId="57FD03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4B4C1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66" w:type="pct"/>
            <w:noWrap w:val="0"/>
            <w:vAlign w:val="center"/>
          </w:tcPr>
          <w:p w14:paraId="59182843">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19</w:t>
            </w:r>
          </w:p>
        </w:tc>
        <w:tc>
          <w:tcPr>
            <w:tcW w:w="1352" w:type="pct"/>
            <w:noWrap w:val="0"/>
            <w:vAlign w:val="center"/>
          </w:tcPr>
          <w:p w14:paraId="7342BD47">
            <w:pPr>
              <w:pStyle w:val="563"/>
              <w:bidi w:val="0"/>
              <w:ind w:firstLine="0" w:firstLineChars="0"/>
              <w:rPr>
                <w:rFonts w:hint="eastAsia"/>
                <w:color w:val="auto"/>
                <w:highlight w:val="none"/>
                <w:lang w:val="en-US" w:eastAsia="zh-CN"/>
              </w:rPr>
            </w:pPr>
            <w:r>
              <w:rPr>
                <w:rFonts w:hint="eastAsia"/>
                <w:color w:val="auto"/>
                <w:highlight w:val="none"/>
                <w:lang w:val="en-US" w:eastAsia="zh-CN"/>
              </w:rPr>
              <w:t>卸车机</w:t>
            </w:r>
          </w:p>
        </w:tc>
        <w:tc>
          <w:tcPr>
            <w:tcW w:w="525" w:type="pct"/>
            <w:noWrap w:val="0"/>
            <w:vAlign w:val="center"/>
          </w:tcPr>
          <w:p w14:paraId="4C6C39E0">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1</w:t>
            </w:r>
          </w:p>
        </w:tc>
        <w:tc>
          <w:tcPr>
            <w:tcW w:w="536" w:type="pct"/>
            <w:noWrap w:val="0"/>
            <w:vAlign w:val="center"/>
          </w:tcPr>
          <w:p w14:paraId="2C25E2CB">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2223C816">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80~</w:t>
            </w:r>
            <w:r>
              <w:rPr>
                <w:rFonts w:hint="default"/>
                <w:color w:val="auto"/>
                <w:highlight w:val="none"/>
                <w:lang w:val="en-US" w:eastAsia="zh-CN"/>
              </w:rPr>
              <w:t>85</w:t>
            </w:r>
          </w:p>
        </w:tc>
        <w:tc>
          <w:tcPr>
            <w:tcW w:w="1381" w:type="pct"/>
            <w:vMerge w:val="continue"/>
            <w:noWrap w:val="0"/>
            <w:vAlign w:val="center"/>
          </w:tcPr>
          <w:p w14:paraId="167857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r w14:paraId="344D1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66" w:type="pct"/>
            <w:noWrap w:val="0"/>
            <w:vAlign w:val="center"/>
          </w:tcPr>
          <w:p w14:paraId="537DBAA4">
            <w:pPr>
              <w:pStyle w:val="227"/>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20</w:t>
            </w:r>
          </w:p>
        </w:tc>
        <w:tc>
          <w:tcPr>
            <w:tcW w:w="1352" w:type="pct"/>
            <w:noWrap w:val="0"/>
            <w:vAlign w:val="center"/>
          </w:tcPr>
          <w:p w14:paraId="02CCE76F">
            <w:pPr>
              <w:pStyle w:val="563"/>
              <w:bidi w:val="0"/>
              <w:ind w:firstLine="0" w:firstLineChars="0"/>
              <w:rPr>
                <w:rFonts w:hint="eastAsia"/>
                <w:color w:val="auto"/>
                <w:highlight w:val="none"/>
                <w:lang w:val="en-US" w:eastAsia="zh-CN"/>
              </w:rPr>
            </w:pPr>
            <w:r>
              <w:rPr>
                <w:rFonts w:hint="eastAsia"/>
                <w:color w:val="auto"/>
                <w:highlight w:val="none"/>
                <w:lang w:val="en-US" w:eastAsia="zh-CN"/>
              </w:rPr>
              <w:t>洗车机</w:t>
            </w:r>
          </w:p>
        </w:tc>
        <w:tc>
          <w:tcPr>
            <w:tcW w:w="525" w:type="pct"/>
            <w:noWrap w:val="0"/>
            <w:vAlign w:val="center"/>
          </w:tcPr>
          <w:p w14:paraId="45345CFA">
            <w:pPr>
              <w:pStyle w:val="563"/>
              <w:bidi w:val="0"/>
              <w:ind w:firstLine="0" w:firstLineChars="0"/>
              <w:rPr>
                <w:rFonts w:hint="eastAsia" w:ascii="Times New Roman" w:hAnsi="Times New Roman" w:cs="Times New Roman"/>
                <w:color w:val="auto"/>
                <w:sz w:val="21"/>
                <w:highlight w:val="none"/>
                <w:lang w:val="en-US" w:eastAsia="zh-CN"/>
              </w:rPr>
            </w:pPr>
            <w:r>
              <w:rPr>
                <w:rFonts w:hint="default"/>
                <w:color w:val="auto"/>
                <w:highlight w:val="none"/>
                <w:lang w:val="en-US" w:eastAsia="zh-CN"/>
              </w:rPr>
              <w:t>1</w:t>
            </w:r>
          </w:p>
        </w:tc>
        <w:tc>
          <w:tcPr>
            <w:tcW w:w="536" w:type="pct"/>
            <w:noWrap w:val="0"/>
            <w:vAlign w:val="center"/>
          </w:tcPr>
          <w:p w14:paraId="6B5644F3">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color w:val="auto"/>
                <w:sz w:val="21"/>
                <w:highlight w:val="none"/>
                <w:lang w:val="en-US" w:eastAsia="zh-CN"/>
              </w:rPr>
              <w:t>1m</w:t>
            </w:r>
          </w:p>
        </w:tc>
        <w:tc>
          <w:tcPr>
            <w:tcW w:w="838" w:type="pct"/>
            <w:noWrap w:val="0"/>
            <w:vAlign w:val="center"/>
          </w:tcPr>
          <w:p w14:paraId="1A628CC3">
            <w:pPr>
              <w:pStyle w:val="563"/>
              <w:bidi w:val="0"/>
              <w:ind w:firstLine="0" w:firstLineChars="0"/>
              <w:rPr>
                <w:rFonts w:hint="default" w:ascii="Times New Roman" w:hAnsi="Times New Roman" w:cs="Times New Roman"/>
                <w:color w:val="auto"/>
                <w:sz w:val="21"/>
                <w:highlight w:val="none"/>
                <w:lang w:val="en-US" w:eastAsia="zh-CN"/>
              </w:rPr>
            </w:pPr>
            <w:r>
              <w:rPr>
                <w:rFonts w:hint="eastAsia"/>
                <w:color w:val="auto"/>
                <w:highlight w:val="none"/>
                <w:lang w:val="en-US" w:eastAsia="zh-CN"/>
              </w:rPr>
              <w:t>60~</w:t>
            </w:r>
            <w:r>
              <w:rPr>
                <w:rFonts w:hint="default"/>
                <w:color w:val="auto"/>
                <w:highlight w:val="none"/>
                <w:lang w:val="en-US" w:eastAsia="zh-CN"/>
              </w:rPr>
              <w:t>70</w:t>
            </w:r>
          </w:p>
        </w:tc>
        <w:tc>
          <w:tcPr>
            <w:tcW w:w="1381" w:type="pct"/>
            <w:vMerge w:val="continue"/>
            <w:noWrap w:val="0"/>
            <w:vAlign w:val="center"/>
          </w:tcPr>
          <w:p w14:paraId="568EDD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none"/>
                <w:lang w:eastAsia="zh-CN"/>
              </w:rPr>
            </w:pPr>
          </w:p>
        </w:tc>
      </w:tr>
    </w:tbl>
    <w:p w14:paraId="04D4FBC9">
      <w:pPr>
        <w:pStyle w:val="4"/>
        <w:spacing w:before="240" w:after="156"/>
        <w:rPr>
          <w:color w:val="auto"/>
          <w:highlight w:val="none"/>
        </w:rPr>
      </w:pPr>
      <w:r>
        <w:rPr>
          <w:color w:val="auto"/>
          <w:highlight w:val="none"/>
        </w:rPr>
        <w:t>3.</w:t>
      </w:r>
      <w:r>
        <w:rPr>
          <w:rFonts w:hint="eastAsia"/>
          <w:color w:val="auto"/>
          <w:highlight w:val="none"/>
          <w:lang w:val="en-US" w:eastAsia="zh-CN"/>
        </w:rPr>
        <w:t>5</w:t>
      </w:r>
      <w:r>
        <w:rPr>
          <w:color w:val="auto"/>
          <w:highlight w:val="none"/>
        </w:rPr>
        <w:t>.4固废</w:t>
      </w:r>
      <w:bookmarkEnd w:id="244"/>
      <w:bookmarkEnd w:id="245"/>
      <w:bookmarkEnd w:id="246"/>
      <w:bookmarkEnd w:id="247"/>
      <w:bookmarkEnd w:id="248"/>
    </w:p>
    <w:p w14:paraId="759FFE88">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本项目产生的固废主要是</w:t>
      </w:r>
      <w:r>
        <w:rPr>
          <w:rFonts w:hint="eastAsia" w:ascii="Times New Roman" w:hAnsi="Times New Roman" w:eastAsia="宋体" w:cs="Times New Roman"/>
          <w:color w:val="auto"/>
          <w:sz w:val="24"/>
          <w:szCs w:val="24"/>
          <w:highlight w:val="none"/>
          <w:lang w:val="en-US" w:eastAsia="zh-CN"/>
        </w:rPr>
        <w:t>沼气除杂产生废过滤膜、制氮机</w:t>
      </w:r>
      <w:r>
        <w:rPr>
          <w:rFonts w:hint="default" w:ascii="Times New Roman" w:hAnsi="Times New Roman" w:eastAsia="宋体" w:cs="Times New Roman"/>
          <w:color w:val="auto"/>
          <w:sz w:val="24"/>
          <w:szCs w:val="24"/>
          <w:highlight w:val="none"/>
          <w:lang w:eastAsia="zh-CN"/>
        </w:rPr>
        <w:t>废</w:t>
      </w:r>
      <w:r>
        <w:rPr>
          <w:rFonts w:hint="eastAsia" w:ascii="Times New Roman" w:hAnsi="Times New Roman" w:eastAsia="宋体" w:cs="Times New Roman"/>
          <w:color w:val="auto"/>
          <w:sz w:val="24"/>
          <w:szCs w:val="24"/>
          <w:highlight w:val="none"/>
          <w:lang w:val="en-US" w:eastAsia="zh-CN"/>
        </w:rPr>
        <w:t>过滤膜</w:t>
      </w:r>
      <w:r>
        <w:rPr>
          <w:rFonts w:hint="default" w:ascii="Times New Roman" w:hAnsi="Times New Roman" w:eastAsia="宋体" w:cs="Times New Roman"/>
          <w:color w:val="auto"/>
          <w:sz w:val="24"/>
          <w:szCs w:val="24"/>
          <w:highlight w:val="none"/>
          <w:lang w:eastAsia="zh-CN"/>
        </w:rPr>
        <w:t>、制氢过程产生的</w:t>
      </w:r>
      <w:r>
        <w:rPr>
          <w:rFonts w:hint="eastAsia" w:ascii="Times New Roman" w:hAnsi="Times New Roman" w:eastAsia="宋体" w:cs="Times New Roman"/>
          <w:color w:val="auto"/>
          <w:sz w:val="24"/>
          <w:szCs w:val="24"/>
          <w:highlight w:val="none"/>
          <w:lang w:val="en-US" w:eastAsia="zh-CN"/>
        </w:rPr>
        <w:t>废吸附剂</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废脱硫剂、废催化剂、</w:t>
      </w:r>
      <w:r>
        <w:rPr>
          <w:rFonts w:hint="default" w:ascii="Times New Roman" w:hAnsi="Times New Roman" w:eastAsia="宋体" w:cs="Times New Roman"/>
          <w:color w:val="auto"/>
          <w:sz w:val="24"/>
          <w:szCs w:val="24"/>
          <w:highlight w:val="none"/>
          <w:lang w:eastAsia="zh-CN"/>
        </w:rPr>
        <w:t>脱盐水产生的废滤芯、废滤膜、生活垃圾、</w:t>
      </w:r>
      <w:r>
        <w:rPr>
          <w:rFonts w:hint="eastAsia" w:ascii="Times New Roman" w:hAnsi="Times New Roman" w:eastAsia="宋体" w:cs="Times New Roman"/>
          <w:color w:val="auto"/>
          <w:sz w:val="24"/>
          <w:szCs w:val="24"/>
          <w:highlight w:val="none"/>
          <w:lang w:val="en-US" w:eastAsia="zh-CN"/>
        </w:rPr>
        <w:t>隔油沉淀产生废污泥、清罐废油泥（含废清理液）等。</w:t>
      </w:r>
    </w:p>
    <w:p w14:paraId="027BEED6">
      <w:pPr>
        <w:keepNext w:val="0"/>
        <w:keepLines w:val="0"/>
        <w:pageBreakBefore w:val="0"/>
        <w:widowControl w:val="0"/>
        <w:kinsoku/>
        <w:wordWrap/>
        <w:overflowPunct/>
        <w:topLinePunct w:val="0"/>
        <w:bidi w:val="0"/>
        <w:adjustRightInd/>
        <w:snapToGrid/>
        <w:spacing w:line="360" w:lineRule="auto"/>
        <w:ind w:firstLine="482" w:firstLineChars="200"/>
        <w:jc w:val="both"/>
        <w:textAlignment w:val="auto"/>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color w:val="auto"/>
          <w:sz w:val="24"/>
          <w:szCs w:val="24"/>
          <w:highlight w:val="none"/>
          <w:lang w:eastAsia="zh-CN"/>
        </w:rPr>
        <w:t>（1）生活垃圾</w:t>
      </w:r>
    </w:p>
    <w:p w14:paraId="089D2511">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项目职工人数为</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eastAsia="zh-CN"/>
        </w:rPr>
        <w:t>人，人均生活垃圾产生量按0.5kg/d计，则生活垃圾产生量约0.</w:t>
      </w:r>
      <w:r>
        <w:rPr>
          <w:rFonts w:hint="eastAsia" w:cs="Times New Roman"/>
          <w:color w:val="auto"/>
          <w:sz w:val="24"/>
          <w:szCs w:val="24"/>
          <w:highlight w:val="none"/>
          <w:lang w:val="en-US" w:eastAsia="zh-CN"/>
        </w:rPr>
        <w:t>015</w:t>
      </w:r>
      <w:r>
        <w:rPr>
          <w:rFonts w:hint="default" w:ascii="Times New Roman" w:hAnsi="Times New Roman" w:eastAsia="宋体" w:cs="Times New Roman"/>
          <w:color w:val="auto"/>
          <w:sz w:val="24"/>
          <w:szCs w:val="24"/>
          <w:highlight w:val="none"/>
          <w:lang w:eastAsia="zh-CN"/>
        </w:rPr>
        <w:t>t/d，</w:t>
      </w:r>
      <w:r>
        <w:rPr>
          <w:rFonts w:hint="eastAsia" w:cs="Times New Roman"/>
          <w:color w:val="auto"/>
          <w:sz w:val="24"/>
          <w:szCs w:val="24"/>
          <w:highlight w:val="none"/>
          <w:lang w:val="en-US" w:eastAsia="zh-CN"/>
        </w:rPr>
        <w:t>5.475</w:t>
      </w:r>
      <w:r>
        <w:rPr>
          <w:rFonts w:hint="default" w:ascii="Times New Roman" w:hAnsi="Times New Roman" w:eastAsia="宋体" w:cs="Times New Roman"/>
          <w:color w:val="auto"/>
          <w:sz w:val="24"/>
          <w:szCs w:val="24"/>
          <w:highlight w:val="none"/>
          <w:lang w:eastAsia="zh-CN"/>
        </w:rPr>
        <w:t>t/a，经垃圾桶收集暂存后委托环卫部门集中处理。</w:t>
      </w:r>
    </w:p>
    <w:p w14:paraId="377DDF93">
      <w:pPr>
        <w:keepNext w:val="0"/>
        <w:keepLines w:val="0"/>
        <w:pageBreakBefore w:val="0"/>
        <w:widowControl w:val="0"/>
        <w:kinsoku/>
        <w:wordWrap/>
        <w:overflowPunct/>
        <w:topLinePunct w:val="0"/>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color w:val="auto"/>
          <w:sz w:val="24"/>
          <w:szCs w:val="24"/>
          <w:highlight w:val="none"/>
          <w:lang w:eastAsia="zh-CN"/>
        </w:rPr>
        <w:t>（2）一般工业固体废物</w:t>
      </w:r>
    </w:p>
    <w:p w14:paraId="4D4B7F9D">
      <w:pPr>
        <w:keepNext w:val="0"/>
        <w:keepLines w:val="0"/>
        <w:pageBreakBefore w:val="0"/>
        <w:widowControl w:val="0"/>
        <w:kinsoku/>
        <w:wordWrap/>
        <w:overflowPunct/>
        <w:topLinePunct w:val="0"/>
        <w:bidi w:val="0"/>
        <w:adjustRightInd/>
        <w:snapToGrid/>
        <w:spacing w:line="360" w:lineRule="auto"/>
        <w:ind w:firstLine="482"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①</w:t>
      </w:r>
      <w:r>
        <w:rPr>
          <w:rFonts w:hint="eastAsia" w:ascii="Times New Roman" w:hAnsi="Times New Roman" w:eastAsia="宋体" w:cs="Times New Roman"/>
          <w:color w:val="auto"/>
          <w:sz w:val="24"/>
          <w:szCs w:val="24"/>
          <w:highlight w:val="none"/>
          <w:lang w:val="en-US" w:eastAsia="zh-CN"/>
        </w:rPr>
        <w:t>沼气除杂产生废过滤膜</w:t>
      </w:r>
    </w:p>
    <w:p w14:paraId="78FA2C8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沼气脱硫前须对其进行净化，经沼气减压撬过滤器对沼气进行净化，过滤粉尘等颗粒物，产生量为0.05t/a，经设备厂界更换后回收，进行物理清洗再生使用。由于该过滤装置仅对颗粒物进行过滤，属于一般固废，</w:t>
      </w:r>
      <w:r>
        <w:rPr>
          <w:rFonts w:hint="default" w:ascii="Times New Roman" w:hAnsi="Times New Roman" w:eastAsia="宋体" w:cs="Times New Roman"/>
          <w:color w:val="auto"/>
          <w:sz w:val="24"/>
          <w:szCs w:val="24"/>
          <w:highlight w:val="none"/>
          <w:lang w:eastAsia="zh-CN"/>
        </w:rPr>
        <w:t>根据《一般固体废物分类与代码》（</w:t>
      </w:r>
      <w:r>
        <w:rPr>
          <w:rFonts w:hint="default" w:ascii="Times New Roman" w:hAnsi="Times New Roman" w:eastAsia="宋体" w:cs="Times New Roman"/>
          <w:color w:val="auto"/>
          <w:sz w:val="24"/>
          <w:szCs w:val="24"/>
          <w:highlight w:val="none"/>
          <w:lang w:val="en-US" w:eastAsia="zh-CN"/>
        </w:rPr>
        <w:t>GB/T39198-2020</w:t>
      </w:r>
      <w:r>
        <w:rPr>
          <w:rFonts w:hint="default" w:ascii="Times New Roman" w:hAnsi="Times New Roman" w:eastAsia="宋体" w:cs="Times New Roman"/>
          <w:color w:val="auto"/>
          <w:sz w:val="24"/>
          <w:szCs w:val="24"/>
          <w:highlight w:val="none"/>
          <w:lang w:eastAsia="zh-CN"/>
        </w:rPr>
        <w:t>），该一般固体废物类别代码为</w:t>
      </w:r>
      <w:r>
        <w:rPr>
          <w:rFonts w:hint="default" w:ascii="Times New Roman" w:hAnsi="Times New Roman" w:eastAsia="宋体" w:cs="Times New Roman"/>
          <w:color w:val="auto"/>
          <w:sz w:val="24"/>
          <w:szCs w:val="24"/>
          <w:highlight w:val="none"/>
          <w:lang w:val="en-US" w:eastAsia="zh-CN"/>
        </w:rPr>
        <w:t>99</w:t>
      </w:r>
      <w:r>
        <w:rPr>
          <w:rFonts w:hint="default" w:ascii="Times New Roman" w:hAnsi="Times New Roman" w:eastAsia="宋体" w:cs="Times New Roman"/>
          <w:color w:val="auto"/>
          <w:sz w:val="24"/>
          <w:szCs w:val="24"/>
          <w:highlight w:val="none"/>
          <w:lang w:eastAsia="zh-CN"/>
        </w:rPr>
        <w:t>（不能与本表上述各类对应的其他废物），分类代码为</w:t>
      </w:r>
      <w:r>
        <w:rPr>
          <w:rFonts w:hint="eastAsia" w:ascii="Times New Roman" w:hAnsi="Times New Roman" w:eastAsia="宋体" w:cs="Times New Roman"/>
          <w:color w:val="auto"/>
          <w:sz w:val="24"/>
          <w:szCs w:val="24"/>
          <w:highlight w:val="none"/>
          <w:lang w:val="en-US" w:eastAsia="zh-CN"/>
        </w:rPr>
        <w:t>261</w:t>
      </w:r>
      <w:r>
        <w:rPr>
          <w:rFonts w:hint="default" w:ascii="Times New Roman" w:hAnsi="Times New Roman" w:eastAsia="宋体" w:cs="Times New Roman"/>
          <w:color w:val="auto"/>
          <w:sz w:val="24"/>
          <w:szCs w:val="24"/>
          <w:highlight w:val="none"/>
          <w:lang w:val="en-US" w:eastAsia="zh-CN"/>
        </w:rPr>
        <w:t>-001-</w:t>
      </w:r>
      <w:r>
        <w:rPr>
          <w:rFonts w:hint="eastAsia"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eastAsia="zh-CN"/>
        </w:rPr>
        <w:t>。</w:t>
      </w:r>
    </w:p>
    <w:p w14:paraId="246CED5D">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②</w:t>
      </w:r>
      <w:r>
        <w:rPr>
          <w:rFonts w:hint="eastAsia" w:ascii="Times New Roman" w:hAnsi="Times New Roman" w:eastAsia="宋体" w:cs="Times New Roman"/>
          <w:b/>
          <w:bCs/>
          <w:color w:val="auto"/>
          <w:sz w:val="24"/>
          <w:szCs w:val="24"/>
          <w:highlight w:val="none"/>
          <w:lang w:val="en-US" w:eastAsia="zh-CN"/>
        </w:rPr>
        <w:t>脱盐水</w:t>
      </w:r>
      <w:r>
        <w:rPr>
          <w:rFonts w:hint="default" w:ascii="Times New Roman" w:hAnsi="Times New Roman" w:eastAsia="宋体" w:cs="Times New Roman"/>
          <w:b/>
          <w:bCs/>
          <w:color w:val="auto"/>
          <w:sz w:val="24"/>
          <w:szCs w:val="24"/>
          <w:highlight w:val="none"/>
          <w:lang w:val="en-US" w:eastAsia="zh-CN"/>
        </w:rPr>
        <w:t>制备过程产生</w:t>
      </w:r>
      <w:r>
        <w:rPr>
          <w:rFonts w:hint="eastAsia" w:ascii="Times New Roman" w:hAnsi="Times New Roman" w:eastAsia="宋体" w:cs="Times New Roman"/>
          <w:b/>
          <w:bCs/>
          <w:color w:val="auto"/>
          <w:sz w:val="24"/>
          <w:szCs w:val="24"/>
          <w:highlight w:val="none"/>
          <w:lang w:val="en-US" w:eastAsia="zh-CN"/>
        </w:rPr>
        <w:t>废滤芯、废滤膜</w:t>
      </w:r>
    </w:p>
    <w:p w14:paraId="5DF4265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脱盐水制备过程产生一般固废废滤芯、废滤膜</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根据设备厂家提供资料，一次更换量约为</w:t>
      </w:r>
      <w:r>
        <w:rPr>
          <w:rFonts w:hint="eastAsia" w:ascii="Times New Roman" w:hAnsi="Times New Roman" w:eastAsia="宋体" w:cs="Times New Roman"/>
          <w:color w:val="auto"/>
          <w:sz w:val="24"/>
          <w:szCs w:val="24"/>
          <w:highlight w:val="none"/>
          <w:lang w:val="en-US" w:eastAsia="zh-CN"/>
        </w:rPr>
        <w:t>0.5</w:t>
      </w:r>
      <w:r>
        <w:rPr>
          <w:rFonts w:hint="default" w:ascii="Times New Roman" w:hAnsi="Times New Roman" w:eastAsia="宋体" w:cs="Times New Roman"/>
          <w:color w:val="auto"/>
          <w:sz w:val="24"/>
          <w:szCs w:val="24"/>
          <w:highlight w:val="none"/>
        </w:rPr>
        <w:t>t。交由物资公司回收利用。</w:t>
      </w:r>
      <w:r>
        <w:rPr>
          <w:rFonts w:hint="default" w:ascii="Times New Roman" w:hAnsi="Times New Roman" w:eastAsia="宋体" w:cs="Times New Roman"/>
          <w:color w:val="auto"/>
          <w:sz w:val="24"/>
          <w:szCs w:val="24"/>
          <w:highlight w:val="none"/>
          <w:lang w:eastAsia="zh-CN"/>
        </w:rPr>
        <w:t>根据《一般固体废物分类与代码》（</w:t>
      </w:r>
      <w:r>
        <w:rPr>
          <w:rFonts w:hint="default" w:ascii="Times New Roman" w:hAnsi="Times New Roman" w:eastAsia="宋体" w:cs="Times New Roman"/>
          <w:color w:val="auto"/>
          <w:sz w:val="24"/>
          <w:szCs w:val="24"/>
          <w:highlight w:val="none"/>
          <w:lang w:val="en-US" w:eastAsia="zh-CN"/>
        </w:rPr>
        <w:t>GB/T39198-2020</w:t>
      </w:r>
      <w:r>
        <w:rPr>
          <w:rFonts w:hint="default" w:ascii="Times New Roman" w:hAnsi="Times New Roman" w:eastAsia="宋体" w:cs="Times New Roman"/>
          <w:color w:val="auto"/>
          <w:sz w:val="24"/>
          <w:szCs w:val="24"/>
          <w:highlight w:val="none"/>
          <w:lang w:eastAsia="zh-CN"/>
        </w:rPr>
        <w:t>），该一般固体废物类别代码为</w:t>
      </w:r>
      <w:r>
        <w:rPr>
          <w:rFonts w:hint="default" w:ascii="Times New Roman" w:hAnsi="Times New Roman" w:eastAsia="宋体" w:cs="Times New Roman"/>
          <w:color w:val="auto"/>
          <w:sz w:val="24"/>
          <w:szCs w:val="24"/>
          <w:highlight w:val="none"/>
          <w:lang w:val="en-US" w:eastAsia="zh-CN"/>
        </w:rPr>
        <w:t>99</w:t>
      </w:r>
      <w:r>
        <w:rPr>
          <w:rFonts w:hint="default" w:ascii="Times New Roman" w:hAnsi="Times New Roman" w:eastAsia="宋体" w:cs="Times New Roman"/>
          <w:color w:val="auto"/>
          <w:sz w:val="24"/>
          <w:szCs w:val="24"/>
          <w:highlight w:val="none"/>
          <w:lang w:eastAsia="zh-CN"/>
        </w:rPr>
        <w:t>（不能与本表上述各类对应的其他废物），分类代码为</w:t>
      </w:r>
      <w:r>
        <w:rPr>
          <w:rFonts w:hint="eastAsia" w:ascii="Times New Roman" w:hAnsi="Times New Roman" w:eastAsia="宋体" w:cs="Times New Roman"/>
          <w:color w:val="auto"/>
          <w:sz w:val="24"/>
          <w:szCs w:val="24"/>
          <w:highlight w:val="none"/>
          <w:lang w:val="en-US" w:eastAsia="zh-CN"/>
        </w:rPr>
        <w:t>261</w:t>
      </w:r>
      <w:r>
        <w:rPr>
          <w:rFonts w:hint="default" w:ascii="Times New Roman" w:hAnsi="Times New Roman" w:eastAsia="宋体" w:cs="Times New Roman"/>
          <w:color w:val="auto"/>
          <w:sz w:val="24"/>
          <w:szCs w:val="24"/>
          <w:highlight w:val="none"/>
          <w:lang w:val="en-US" w:eastAsia="zh-CN"/>
        </w:rPr>
        <w:t>-001-</w:t>
      </w:r>
      <w:r>
        <w:rPr>
          <w:rFonts w:hint="eastAsia"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eastAsia="zh-CN"/>
        </w:rPr>
        <w:t>。</w:t>
      </w:r>
    </w:p>
    <w:p w14:paraId="516027D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③</w:t>
      </w:r>
      <w:r>
        <w:rPr>
          <w:rFonts w:hint="default" w:ascii="Times New Roman" w:hAnsi="Times New Roman" w:eastAsia="宋体" w:cs="Times New Roman"/>
          <w:b/>
          <w:bCs/>
          <w:color w:val="auto"/>
          <w:sz w:val="24"/>
          <w:szCs w:val="24"/>
          <w:highlight w:val="none"/>
          <w:lang w:val="en-US" w:eastAsia="zh-CN"/>
        </w:rPr>
        <w:t>制氮机</w:t>
      </w:r>
      <w:r>
        <w:rPr>
          <w:rFonts w:hint="default" w:ascii="Times New Roman" w:hAnsi="Times New Roman" w:eastAsia="宋体" w:cs="Times New Roman"/>
          <w:b/>
          <w:bCs/>
          <w:color w:val="auto"/>
          <w:sz w:val="24"/>
          <w:szCs w:val="24"/>
          <w:highlight w:val="none"/>
          <w:lang w:eastAsia="zh-CN"/>
        </w:rPr>
        <w:t>废</w:t>
      </w:r>
      <w:r>
        <w:rPr>
          <w:rFonts w:hint="default" w:ascii="Times New Roman" w:hAnsi="Times New Roman" w:eastAsia="宋体" w:cs="Times New Roman"/>
          <w:b/>
          <w:bCs/>
          <w:color w:val="auto"/>
          <w:sz w:val="24"/>
          <w:szCs w:val="24"/>
          <w:highlight w:val="none"/>
          <w:lang w:val="en-US" w:eastAsia="zh-CN"/>
        </w:rPr>
        <w:t>过滤膜</w:t>
      </w:r>
    </w:p>
    <w:p w14:paraId="68C23CA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bCs/>
          <w:color w:val="auto"/>
          <w:sz w:val="24"/>
          <w:szCs w:val="24"/>
          <w:highlight w:val="none"/>
          <w:lang w:val="en-US" w:eastAsia="zh-CN"/>
        </w:rPr>
        <w:t>制氮机对空气进行压缩变压吸附制氮气，空气须进行过滤净化，每年对制氮机一整套过滤膜进行更换，更换量为</w:t>
      </w:r>
      <w:r>
        <w:rPr>
          <w:rFonts w:hint="eastAsia" w:cs="Times New Roman"/>
          <w:bCs/>
          <w:color w:val="auto"/>
          <w:sz w:val="24"/>
          <w:szCs w:val="24"/>
          <w:highlight w:val="none"/>
          <w:lang w:val="en-US" w:eastAsia="zh-CN"/>
        </w:rPr>
        <w:t>0.1</w:t>
      </w:r>
      <w:r>
        <w:rPr>
          <w:rFonts w:hint="default" w:ascii="Times New Roman" w:hAnsi="Times New Roman" w:eastAsia="宋体" w:cs="Times New Roman"/>
          <w:bCs/>
          <w:color w:val="auto"/>
          <w:sz w:val="24"/>
          <w:szCs w:val="24"/>
          <w:highlight w:val="none"/>
          <w:lang w:val="en-US" w:eastAsia="zh-CN"/>
        </w:rPr>
        <w:t>t/a，</w:t>
      </w:r>
      <w:r>
        <w:rPr>
          <w:rFonts w:hint="eastAsia" w:ascii="Times New Roman" w:hAnsi="Times New Roman" w:eastAsia="宋体" w:cs="Times New Roman"/>
          <w:bCs/>
          <w:color w:val="auto"/>
          <w:sz w:val="24"/>
          <w:szCs w:val="24"/>
          <w:highlight w:val="none"/>
          <w:lang w:val="en-US" w:eastAsia="zh-CN"/>
        </w:rPr>
        <w:t>交由厂家回收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根据《一般固体废物分类与代码》（</w:t>
      </w:r>
      <w:r>
        <w:rPr>
          <w:rFonts w:hint="default" w:ascii="Times New Roman" w:hAnsi="Times New Roman" w:eastAsia="宋体" w:cs="Times New Roman"/>
          <w:color w:val="auto"/>
          <w:sz w:val="24"/>
          <w:szCs w:val="24"/>
          <w:highlight w:val="none"/>
          <w:lang w:val="en-US" w:eastAsia="zh-CN"/>
        </w:rPr>
        <w:t>GB/T39198-2020</w:t>
      </w:r>
      <w:r>
        <w:rPr>
          <w:rFonts w:hint="default" w:ascii="Times New Roman" w:hAnsi="Times New Roman" w:eastAsia="宋体" w:cs="Times New Roman"/>
          <w:color w:val="auto"/>
          <w:sz w:val="24"/>
          <w:szCs w:val="24"/>
          <w:highlight w:val="none"/>
          <w:lang w:eastAsia="zh-CN"/>
        </w:rPr>
        <w:t>），该一般固体废物类别代码为</w:t>
      </w:r>
      <w:r>
        <w:rPr>
          <w:rFonts w:hint="default" w:ascii="Times New Roman" w:hAnsi="Times New Roman" w:eastAsia="宋体" w:cs="Times New Roman"/>
          <w:color w:val="auto"/>
          <w:sz w:val="24"/>
          <w:szCs w:val="24"/>
          <w:highlight w:val="none"/>
          <w:lang w:val="en-US" w:eastAsia="zh-CN"/>
        </w:rPr>
        <w:t>99</w:t>
      </w:r>
      <w:r>
        <w:rPr>
          <w:rFonts w:hint="default" w:ascii="Times New Roman" w:hAnsi="Times New Roman" w:eastAsia="宋体" w:cs="Times New Roman"/>
          <w:color w:val="auto"/>
          <w:sz w:val="24"/>
          <w:szCs w:val="24"/>
          <w:highlight w:val="none"/>
          <w:lang w:eastAsia="zh-CN"/>
        </w:rPr>
        <w:t>（不能与本表上述各类对应的其他废物），分类代码为</w:t>
      </w:r>
      <w:r>
        <w:rPr>
          <w:rFonts w:hint="eastAsia" w:ascii="Times New Roman" w:hAnsi="Times New Roman" w:eastAsia="宋体" w:cs="Times New Roman"/>
          <w:color w:val="auto"/>
          <w:sz w:val="24"/>
          <w:szCs w:val="24"/>
          <w:highlight w:val="none"/>
          <w:lang w:val="en-US" w:eastAsia="zh-CN"/>
        </w:rPr>
        <w:t>261</w:t>
      </w:r>
      <w:r>
        <w:rPr>
          <w:rFonts w:hint="default" w:ascii="Times New Roman" w:hAnsi="Times New Roman" w:eastAsia="宋体" w:cs="Times New Roman"/>
          <w:color w:val="auto"/>
          <w:sz w:val="24"/>
          <w:szCs w:val="24"/>
          <w:highlight w:val="none"/>
          <w:lang w:val="en-US" w:eastAsia="zh-CN"/>
        </w:rPr>
        <w:t>-001-</w:t>
      </w:r>
      <w:r>
        <w:rPr>
          <w:rFonts w:hint="eastAsia"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eastAsia="zh-CN"/>
        </w:rPr>
        <w:t>。</w:t>
      </w:r>
    </w:p>
    <w:p w14:paraId="4BD38FF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宋体" w:hAnsi="宋体" w:eastAsia="宋体" w:cs="宋体"/>
          <w:b w:val="0"/>
          <w:bCs w:val="0"/>
          <w:color w:val="auto"/>
          <w:sz w:val="24"/>
          <w:szCs w:val="24"/>
          <w:highlight w:val="none"/>
          <w:lang w:val="en-US"/>
        </w:rPr>
      </w:pPr>
      <w:r>
        <w:rPr>
          <w:rFonts w:hint="default" w:ascii="Times New Roman" w:hAnsi="Times New Roman" w:eastAsia="宋体" w:cs="Times New Roman"/>
          <w:b/>
          <w:bCs/>
          <w:color w:val="auto"/>
          <w:sz w:val="24"/>
          <w:szCs w:val="24"/>
          <w:highlight w:val="none"/>
          <w:lang w:val="en-US" w:eastAsia="zh-CN"/>
        </w:rPr>
        <w:t>④</w:t>
      </w:r>
      <w:r>
        <w:rPr>
          <w:rFonts w:hint="eastAsia" w:ascii="Times New Roman" w:hAnsi="Times New Roman" w:eastAsia="宋体" w:cs="Times New Roman"/>
          <w:b/>
          <w:bCs/>
          <w:color w:val="auto"/>
          <w:sz w:val="24"/>
          <w:szCs w:val="24"/>
          <w:highlight w:val="none"/>
          <w:lang w:val="en-US" w:eastAsia="zh-CN"/>
        </w:rPr>
        <w:t>废包装桶</w:t>
      </w:r>
    </w:p>
    <w:p w14:paraId="62C623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eastAsia" w:ascii="宋体" w:hAnsi="宋体" w:eastAsia="宋体" w:cs="宋体"/>
          <w:b w:val="0"/>
          <w:bCs w:val="0"/>
          <w:color w:val="auto"/>
          <w:sz w:val="24"/>
          <w:szCs w:val="24"/>
          <w:highlight w:val="none"/>
        </w:rPr>
        <w:t>项目车用洗涤剂为外购成品水基型清洗剂</w:t>
      </w:r>
      <w:r>
        <w:rPr>
          <w:rFonts w:ascii="Times New Roman" w:hAnsi="Times New Roman" w:eastAsia="Times New Roman" w:cs="Times New Roman"/>
          <w:b w:val="0"/>
          <w:bCs w:val="0"/>
          <w:color w:val="auto"/>
          <w:sz w:val="24"/>
          <w:szCs w:val="24"/>
          <w:highlight w:val="none"/>
        </w:rPr>
        <w:t>25L</w:t>
      </w:r>
      <w:r>
        <w:rPr>
          <w:rFonts w:hint="eastAsia" w:ascii="宋体" w:hAnsi="宋体" w:eastAsia="宋体" w:cs="宋体"/>
          <w:b w:val="0"/>
          <w:bCs w:val="0"/>
          <w:color w:val="auto"/>
          <w:sz w:val="24"/>
          <w:szCs w:val="24"/>
          <w:highlight w:val="none"/>
        </w:rPr>
        <w:t>每桶（塑料桶容器），桶重约</w:t>
      </w:r>
      <w:r>
        <w:rPr>
          <w:rFonts w:hint="default" w:ascii="Times New Roman" w:hAnsi="Times New Roman" w:eastAsia="Times New Roman" w:cs="Times New Roman"/>
          <w:b w:val="0"/>
          <w:bCs w:val="0"/>
          <w:color w:val="auto"/>
          <w:sz w:val="24"/>
          <w:szCs w:val="24"/>
          <w:highlight w:val="none"/>
        </w:rPr>
        <w:t>0.5kg</w:t>
      </w:r>
      <w:r>
        <w:rPr>
          <w:rFonts w:hint="eastAsia" w:ascii="宋体" w:hAnsi="宋体" w:eastAsia="宋体" w:cs="宋体"/>
          <w:b w:val="0"/>
          <w:bCs w:val="0"/>
          <w:color w:val="auto"/>
          <w:sz w:val="24"/>
          <w:szCs w:val="24"/>
          <w:highlight w:val="none"/>
        </w:rPr>
        <w:t>，洗涤剂主要成分为：水</w:t>
      </w:r>
      <w:r>
        <w:rPr>
          <w:rFonts w:hint="default" w:ascii="Times New Roman" w:hAnsi="Times New Roman" w:eastAsia="Times New Roman" w:cs="Times New Roman"/>
          <w:b w:val="0"/>
          <w:bCs w:val="0"/>
          <w:color w:val="auto"/>
          <w:sz w:val="24"/>
          <w:szCs w:val="24"/>
          <w:highlight w:val="none"/>
        </w:rPr>
        <w:t>84.99%</w:t>
      </w:r>
      <w:r>
        <w:rPr>
          <w:rFonts w:hint="eastAsia" w:ascii="宋体" w:hAnsi="宋体" w:eastAsia="宋体" w:cs="宋体"/>
          <w:b w:val="0"/>
          <w:bCs w:val="0"/>
          <w:color w:val="auto"/>
          <w:sz w:val="24"/>
          <w:szCs w:val="24"/>
          <w:highlight w:val="none"/>
          <w:lang w:eastAsia="zh-CN"/>
        </w:rPr>
        <w:t>、</w:t>
      </w:r>
      <w:r>
        <w:rPr>
          <w:rFonts w:hint="default" w:ascii="Times New Roman" w:hAnsi="Times New Roman" w:eastAsia="Times New Roman" w:cs="Times New Roman"/>
          <w:b w:val="0"/>
          <w:bCs w:val="0"/>
          <w:color w:val="auto"/>
          <w:sz w:val="24"/>
          <w:szCs w:val="24"/>
          <w:highlight w:val="none"/>
        </w:rPr>
        <w:t>α-</w:t>
      </w:r>
      <w:r>
        <w:rPr>
          <w:rFonts w:hint="eastAsia" w:ascii="宋体" w:hAnsi="宋体" w:eastAsia="宋体" w:cs="宋体"/>
          <w:b w:val="0"/>
          <w:bCs w:val="0"/>
          <w:color w:val="auto"/>
          <w:sz w:val="24"/>
          <w:szCs w:val="24"/>
          <w:highlight w:val="none"/>
        </w:rPr>
        <w:t>磺基</w:t>
      </w:r>
      <w:r>
        <w:rPr>
          <w:rFonts w:hint="default" w:ascii="Times New Roman" w:hAnsi="Times New Roman" w:eastAsia="Times New Roman" w:cs="Times New Roman"/>
          <w:b w:val="0"/>
          <w:bCs w:val="0"/>
          <w:color w:val="auto"/>
          <w:sz w:val="24"/>
          <w:szCs w:val="24"/>
          <w:highlight w:val="none"/>
        </w:rPr>
        <w:t>-ω-</w:t>
      </w:r>
      <w:r>
        <w:rPr>
          <w:rFonts w:hint="eastAsia" w:ascii="宋体" w:hAnsi="宋体" w:eastAsia="宋体" w:cs="宋体"/>
          <w:b w:val="0"/>
          <w:bCs w:val="0"/>
          <w:color w:val="auto"/>
          <w:sz w:val="24"/>
          <w:szCs w:val="24"/>
          <w:highlight w:val="none"/>
        </w:rPr>
        <w:t>羟基聚</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氧</w:t>
      </w:r>
      <w:r>
        <w:rPr>
          <w:rFonts w:hint="default" w:ascii="Times New Roman" w:hAnsi="Times New Roman" w:eastAsia="Times New Roman" w:cs="Times New Roman"/>
          <w:b w:val="0"/>
          <w:bCs w:val="0"/>
          <w:color w:val="auto"/>
          <w:sz w:val="24"/>
          <w:szCs w:val="24"/>
          <w:highlight w:val="none"/>
        </w:rPr>
        <w:t>-1,2-</w:t>
      </w:r>
      <w:r>
        <w:rPr>
          <w:rFonts w:hint="eastAsia" w:ascii="宋体" w:hAnsi="宋体" w:eastAsia="宋体" w:cs="宋体"/>
          <w:b w:val="0"/>
          <w:bCs w:val="0"/>
          <w:color w:val="auto"/>
          <w:sz w:val="24"/>
          <w:szCs w:val="24"/>
          <w:highlight w:val="none"/>
        </w:rPr>
        <w:t>乙二基</w:t>
      </w:r>
      <w:r>
        <w:rPr>
          <w:rFonts w:hint="eastAsia" w:ascii="宋体" w:hAnsi="宋体" w:cs="宋体"/>
          <w:b w:val="0"/>
          <w:bCs w:val="0"/>
          <w:color w:val="auto"/>
          <w:sz w:val="24"/>
          <w:szCs w:val="24"/>
          <w:highlight w:val="none"/>
          <w:lang w:eastAsia="zh-CN"/>
        </w:rPr>
        <w:t>）</w:t>
      </w:r>
      <w:r>
        <w:rPr>
          <w:rFonts w:hint="default" w:ascii="Times New Roman" w:hAnsi="Times New Roman" w:eastAsia="Times New Roman" w:cs="Times New Roman"/>
          <w:b w:val="0"/>
          <w:bCs w:val="0"/>
          <w:color w:val="auto"/>
          <w:sz w:val="24"/>
          <w:szCs w:val="24"/>
          <w:highlight w:val="none"/>
        </w:rPr>
        <w:t>C12-14-</w:t>
      </w:r>
      <w:r>
        <w:rPr>
          <w:rFonts w:hint="eastAsia" w:ascii="宋体" w:hAnsi="宋体" w:eastAsia="宋体" w:cs="宋体"/>
          <w:b w:val="0"/>
          <w:bCs w:val="0"/>
          <w:color w:val="auto"/>
          <w:sz w:val="24"/>
          <w:szCs w:val="24"/>
          <w:highlight w:val="none"/>
        </w:rPr>
        <w:t>烷基酯钠盐（</w:t>
      </w:r>
      <w:r>
        <w:rPr>
          <w:rFonts w:hint="default" w:ascii="Times New Roman" w:hAnsi="Times New Roman" w:eastAsia="Times New Roman" w:cs="Times New Roman"/>
          <w:b w:val="0"/>
          <w:bCs w:val="0"/>
          <w:color w:val="auto"/>
          <w:sz w:val="24"/>
          <w:szCs w:val="24"/>
          <w:highlight w:val="none"/>
        </w:rPr>
        <w:t>AES</w:t>
      </w:r>
      <w:r>
        <w:rPr>
          <w:rFonts w:hint="eastAsia"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5%</w:t>
      </w:r>
      <w:r>
        <w:rPr>
          <w:rFonts w:hint="eastAsia" w:ascii="宋体" w:hAnsi="宋体" w:eastAsia="宋体" w:cs="宋体"/>
          <w:b w:val="0"/>
          <w:bCs w:val="0"/>
          <w:color w:val="auto"/>
          <w:sz w:val="24"/>
          <w:szCs w:val="24"/>
          <w:highlight w:val="none"/>
          <w:lang w:eastAsia="zh-CN"/>
        </w:rPr>
        <w:t>、</w:t>
      </w:r>
      <w:r>
        <w:rPr>
          <w:rFonts w:hint="default" w:ascii="Times New Roman" w:hAnsi="Times New Roman" w:eastAsia="Times New Roman" w:cs="Times New Roman"/>
          <w:b w:val="0"/>
          <w:bCs w:val="0"/>
          <w:color w:val="auto"/>
          <w:sz w:val="24"/>
          <w:szCs w:val="24"/>
          <w:highlight w:val="none"/>
        </w:rPr>
        <w:t>α-</w:t>
      </w:r>
      <w:r>
        <w:rPr>
          <w:rFonts w:hint="eastAsia" w:ascii="宋体" w:hAnsi="宋体" w:eastAsia="宋体" w:cs="宋体"/>
          <w:b w:val="0"/>
          <w:bCs w:val="0"/>
          <w:color w:val="auto"/>
          <w:sz w:val="24"/>
          <w:szCs w:val="24"/>
          <w:highlight w:val="none"/>
        </w:rPr>
        <w:t>磺酸钠</w:t>
      </w:r>
      <w:r>
        <w:rPr>
          <w:rFonts w:hint="default" w:ascii="Times New Roman" w:hAnsi="Times New Roman" w:eastAsia="Times New Roman" w:cs="Times New Roman"/>
          <w:b w:val="0"/>
          <w:bCs w:val="0"/>
          <w:color w:val="auto"/>
          <w:sz w:val="24"/>
          <w:szCs w:val="24"/>
          <w:highlight w:val="none"/>
        </w:rPr>
        <w:t>-O'-</w:t>
      </w:r>
      <w:r>
        <w:rPr>
          <w:rFonts w:hint="eastAsia" w:eastAsia="宋体" w:cs="Times New Roman"/>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十二碳酰基</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聚氧乙烯</w:t>
      </w:r>
      <w:r>
        <w:rPr>
          <w:rFonts w:hint="default" w:ascii="Times New Roman" w:hAnsi="Times New Roman" w:eastAsia="Times New Roman" w:cs="Times New Roman"/>
          <w:b w:val="0"/>
          <w:bCs w:val="0"/>
          <w:color w:val="auto"/>
          <w:sz w:val="24"/>
          <w:szCs w:val="24"/>
          <w:highlight w:val="none"/>
        </w:rPr>
        <w:t>5%</w:t>
      </w:r>
      <w:r>
        <w:rPr>
          <w:rFonts w:hint="eastAsia" w:ascii="宋体" w:hAnsi="宋体" w:eastAsia="宋体" w:cs="宋体"/>
          <w:b w:val="0"/>
          <w:bCs w:val="0"/>
          <w:color w:val="auto"/>
          <w:sz w:val="24"/>
          <w:szCs w:val="24"/>
          <w:highlight w:val="none"/>
          <w:lang w:eastAsia="zh-CN"/>
        </w:rPr>
        <w:t>、</w:t>
      </w:r>
      <w:r>
        <w:rPr>
          <w:rFonts w:hint="default" w:ascii="Times New Roman" w:hAnsi="Times New Roman" w:eastAsia="Times New Roman" w:cs="Times New Roman"/>
          <w:b w:val="0"/>
          <w:bCs w:val="0"/>
          <w:color w:val="auto"/>
          <w:sz w:val="24"/>
          <w:szCs w:val="24"/>
          <w:highlight w:val="none"/>
        </w:rPr>
        <w:t>N,N-</w:t>
      </w:r>
      <w:r>
        <w:rPr>
          <w:rFonts w:hint="eastAsia" w:ascii="宋体" w:hAnsi="宋体" w:eastAsia="宋体" w:cs="宋体"/>
          <w:b w:val="0"/>
          <w:bCs w:val="0"/>
          <w:color w:val="auto"/>
          <w:sz w:val="24"/>
          <w:szCs w:val="24"/>
          <w:highlight w:val="none"/>
        </w:rPr>
        <w:t>二</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羟基乙基</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椰油酰胺</w:t>
      </w:r>
      <w:r>
        <w:rPr>
          <w:rFonts w:hint="default" w:ascii="Times New Roman" w:hAnsi="Times New Roman" w:eastAsia="Times New Roman" w:cs="Times New Roman"/>
          <w:b w:val="0"/>
          <w:bCs w:val="0"/>
          <w:color w:val="auto"/>
          <w:sz w:val="24"/>
          <w:szCs w:val="24"/>
          <w:highlight w:val="none"/>
        </w:rPr>
        <w:t>5%</w:t>
      </w:r>
      <w:r>
        <w:rPr>
          <w:rFonts w:hint="eastAsia" w:ascii="宋体" w:hAnsi="宋体" w:eastAsia="宋体" w:cs="宋体"/>
          <w:b w:val="0"/>
          <w:bCs w:val="0"/>
          <w:color w:val="auto"/>
          <w:sz w:val="24"/>
          <w:szCs w:val="24"/>
          <w:highlight w:val="none"/>
          <w:lang w:eastAsia="zh-CN"/>
        </w:rPr>
        <w:t>、</w:t>
      </w:r>
      <w:r>
        <w:rPr>
          <w:rFonts w:hint="default" w:ascii="Times New Roman" w:hAnsi="Times New Roman" w:eastAsia="Times New Roman" w:cs="Times New Roman"/>
          <w:b w:val="0"/>
          <w:bCs w:val="0"/>
          <w:color w:val="auto"/>
          <w:sz w:val="24"/>
          <w:szCs w:val="24"/>
          <w:highlight w:val="none"/>
        </w:rPr>
        <w:t>2',4',5',7'-</w:t>
      </w:r>
      <w:r>
        <w:rPr>
          <w:rFonts w:hint="eastAsia" w:ascii="宋体" w:hAnsi="宋体" w:eastAsia="宋体" w:cs="宋体"/>
          <w:b w:val="0"/>
          <w:bCs w:val="0"/>
          <w:color w:val="auto"/>
          <w:sz w:val="24"/>
          <w:szCs w:val="24"/>
          <w:highlight w:val="none"/>
        </w:rPr>
        <w:t>四溴</w:t>
      </w:r>
      <w:r>
        <w:rPr>
          <w:rFonts w:hint="default" w:ascii="Times New Roman" w:hAnsi="Times New Roman" w:eastAsia="Times New Roman" w:cs="Times New Roman"/>
          <w:b w:val="0"/>
          <w:bCs w:val="0"/>
          <w:color w:val="auto"/>
          <w:sz w:val="24"/>
          <w:szCs w:val="24"/>
          <w:highlight w:val="none"/>
        </w:rPr>
        <w:t>-4,5,6,7-</w:t>
      </w:r>
      <w:r>
        <w:rPr>
          <w:rFonts w:hint="eastAsia" w:ascii="宋体" w:hAnsi="宋体" w:eastAsia="宋体" w:cs="宋体"/>
          <w:b w:val="0"/>
          <w:bCs w:val="0"/>
          <w:color w:val="auto"/>
          <w:sz w:val="24"/>
          <w:szCs w:val="24"/>
          <w:highlight w:val="none"/>
        </w:rPr>
        <w:t>四氯</w:t>
      </w:r>
      <w:r>
        <w:rPr>
          <w:rFonts w:hint="default" w:ascii="Times New Roman" w:hAnsi="Times New Roman" w:eastAsia="Times New Roman" w:cs="Times New Roman"/>
          <w:b w:val="0"/>
          <w:bCs w:val="0"/>
          <w:color w:val="auto"/>
          <w:sz w:val="24"/>
          <w:szCs w:val="24"/>
          <w:highlight w:val="none"/>
        </w:rPr>
        <w:t>-3',6'-</w:t>
      </w:r>
      <w:r>
        <w:rPr>
          <w:rFonts w:hint="eastAsia" w:ascii="宋体" w:hAnsi="宋体" w:eastAsia="宋体" w:cs="宋体"/>
          <w:b w:val="0"/>
          <w:bCs w:val="0"/>
          <w:color w:val="auto"/>
          <w:sz w:val="24"/>
          <w:szCs w:val="24"/>
          <w:highlight w:val="none"/>
        </w:rPr>
        <w:t>二羟基</w:t>
      </w:r>
      <w:r>
        <w:rPr>
          <w:rFonts w:hint="default" w:ascii="Times New Roman" w:hAnsi="Times New Roman" w:eastAsia="Times New Roman" w:cs="Times New Roman"/>
          <w:b w:val="0"/>
          <w:bCs w:val="0"/>
          <w:color w:val="auto"/>
          <w:sz w:val="24"/>
          <w:szCs w:val="24"/>
          <w:highlight w:val="none"/>
        </w:rPr>
        <w:t>-</w:t>
      </w:r>
      <w:r>
        <w:rPr>
          <w:rFonts w:hint="eastAsia" w:ascii="宋体" w:hAnsi="宋体" w:eastAsia="宋体" w:cs="宋体"/>
          <w:b w:val="0"/>
          <w:bCs w:val="0"/>
          <w:color w:val="auto"/>
          <w:sz w:val="24"/>
          <w:szCs w:val="24"/>
          <w:highlight w:val="none"/>
        </w:rPr>
        <w:t>螺</w:t>
      </w:r>
      <w:r>
        <w:rPr>
          <w:rFonts w:hint="default" w:ascii="Times New Roman" w:hAnsi="Times New Roman" w:eastAsia="Times New Roman" w:cs="Times New Roman"/>
          <w:b w:val="0"/>
          <w:bCs w:val="0"/>
          <w:color w:val="auto"/>
          <w:sz w:val="24"/>
          <w:szCs w:val="24"/>
          <w:highlight w:val="none"/>
        </w:rPr>
        <w:t>[</w:t>
      </w:r>
      <w:r>
        <w:rPr>
          <w:rFonts w:hint="eastAsia" w:ascii="宋体" w:hAnsi="宋体" w:eastAsia="宋体" w:cs="宋体"/>
          <w:b w:val="0"/>
          <w:bCs w:val="0"/>
          <w:color w:val="auto"/>
          <w:sz w:val="24"/>
          <w:szCs w:val="24"/>
          <w:highlight w:val="none"/>
        </w:rPr>
        <w:t>异苯并呋喃</w:t>
      </w:r>
      <w:r>
        <w:rPr>
          <w:rFonts w:hint="default" w:ascii="Times New Roman" w:hAnsi="Times New Roman" w:eastAsia="Times New Roman" w:cs="Times New Roman"/>
          <w:b w:val="0"/>
          <w:bCs w:val="0"/>
          <w:color w:val="auto"/>
          <w:sz w:val="24"/>
          <w:szCs w:val="24"/>
          <w:highlight w:val="none"/>
        </w:rPr>
        <w:t>-1(3H),9'-(9H)</w:t>
      </w:r>
      <w:r>
        <w:rPr>
          <w:rFonts w:hint="eastAsia" w:ascii="宋体" w:hAnsi="宋体" w:eastAsia="宋体" w:cs="宋体"/>
          <w:b w:val="0"/>
          <w:bCs w:val="0"/>
          <w:color w:val="auto"/>
          <w:sz w:val="24"/>
          <w:szCs w:val="24"/>
          <w:highlight w:val="none"/>
        </w:rPr>
        <w:t>占吨</w:t>
      </w:r>
      <w:r>
        <w:rPr>
          <w:rFonts w:hint="default" w:ascii="Times New Roman" w:hAnsi="Times New Roman" w:eastAsia="Times New Roman" w:cs="Times New Roman"/>
          <w:b w:val="0"/>
          <w:bCs w:val="0"/>
          <w:color w:val="auto"/>
          <w:sz w:val="24"/>
          <w:szCs w:val="24"/>
          <w:highlight w:val="none"/>
        </w:rPr>
        <w:t>]-3-</w:t>
      </w:r>
      <w:r>
        <w:rPr>
          <w:rFonts w:hint="eastAsia" w:ascii="宋体" w:hAnsi="宋体" w:eastAsia="宋体" w:cs="宋体"/>
          <w:b w:val="0"/>
          <w:bCs w:val="0"/>
          <w:color w:val="auto"/>
          <w:sz w:val="24"/>
          <w:szCs w:val="24"/>
          <w:highlight w:val="none"/>
        </w:rPr>
        <w:t>酮</w:t>
      </w:r>
      <w:r>
        <w:rPr>
          <w:rFonts w:hint="default" w:ascii="Times New Roman" w:hAnsi="Times New Roman" w:eastAsia="Times New Roman" w:cs="Times New Roman"/>
          <w:b w:val="0"/>
          <w:bCs w:val="0"/>
          <w:color w:val="auto"/>
          <w:sz w:val="24"/>
          <w:szCs w:val="24"/>
          <w:highlight w:val="none"/>
        </w:rPr>
        <w:t>0.01%</w:t>
      </w:r>
      <w:r>
        <w:rPr>
          <w:rFonts w:hint="eastAsia" w:ascii="宋体" w:hAnsi="宋体" w:eastAsia="宋体" w:cs="宋体"/>
          <w:b w:val="0"/>
          <w:bCs w:val="0"/>
          <w:color w:val="auto"/>
          <w:sz w:val="24"/>
          <w:szCs w:val="24"/>
          <w:highlight w:val="none"/>
        </w:rPr>
        <w:t>；年用洗涤剂约</w:t>
      </w:r>
      <w:r>
        <w:rPr>
          <w:rFonts w:hint="default" w:ascii="Times New Roman" w:hAnsi="Times New Roman" w:eastAsia="Times New Roman" w:cs="Times New Roman"/>
          <w:b w:val="0"/>
          <w:bCs w:val="0"/>
          <w:color w:val="auto"/>
          <w:sz w:val="24"/>
          <w:szCs w:val="24"/>
          <w:highlight w:val="none"/>
        </w:rPr>
        <w:t>0.</w:t>
      </w:r>
      <w:r>
        <w:rPr>
          <w:rFonts w:hint="eastAsia" w:ascii="Times New Roman" w:hAnsi="Times New Roman" w:eastAsia="宋体" w:cs="Times New Roman"/>
          <w:b w:val="0"/>
          <w:bCs w:val="0"/>
          <w:color w:val="auto"/>
          <w:sz w:val="24"/>
          <w:szCs w:val="24"/>
          <w:highlight w:val="none"/>
          <w:lang w:val="en-US" w:eastAsia="zh-CN"/>
        </w:rPr>
        <w:t>9</w:t>
      </w:r>
      <w:r>
        <w:rPr>
          <w:rFonts w:hint="default" w:ascii="Times New Roman" w:hAnsi="Times New Roman" w:eastAsia="Times New Roman" w:cs="Times New Roman"/>
          <w:b w:val="0"/>
          <w:bCs w:val="0"/>
          <w:color w:val="auto"/>
          <w:sz w:val="24"/>
          <w:szCs w:val="24"/>
          <w:highlight w:val="none"/>
        </w:rPr>
        <w:t>t/a</w:t>
      </w:r>
      <w:r>
        <w:rPr>
          <w:rFonts w:hint="eastAsia" w:ascii="宋体" w:hAnsi="宋体" w:eastAsia="宋体" w:cs="宋体"/>
          <w:b w:val="0"/>
          <w:bCs w:val="0"/>
          <w:color w:val="auto"/>
          <w:sz w:val="24"/>
          <w:szCs w:val="24"/>
          <w:highlight w:val="none"/>
        </w:rPr>
        <w:t>，车辆洗涤剂废桶产生量为</w:t>
      </w:r>
      <w:r>
        <w:rPr>
          <w:rFonts w:hint="eastAsia" w:ascii="Times New Roman" w:hAnsi="Times New Roman" w:eastAsia="宋体" w:cs="Times New Roman"/>
          <w:b w:val="0"/>
          <w:bCs w:val="0"/>
          <w:color w:val="auto"/>
          <w:sz w:val="24"/>
          <w:szCs w:val="24"/>
          <w:highlight w:val="none"/>
          <w:lang w:val="en-US" w:eastAsia="zh-CN"/>
        </w:rPr>
        <w:t>18kg</w:t>
      </w:r>
      <w:r>
        <w:rPr>
          <w:rFonts w:hint="default" w:ascii="Times New Roman" w:hAnsi="Times New Roman" w:eastAsia="Times New Roman" w:cs="Times New Roman"/>
          <w:b w:val="0"/>
          <w:bCs w:val="0"/>
          <w:color w:val="auto"/>
          <w:sz w:val="24"/>
          <w:szCs w:val="24"/>
          <w:highlight w:val="none"/>
        </w:rPr>
        <w:t>/a</w:t>
      </w:r>
      <w:r>
        <w:rPr>
          <w:rFonts w:hint="eastAsia" w:ascii="宋体" w:hAnsi="宋体" w:eastAsia="宋体" w:cs="宋体"/>
          <w:b w:val="0"/>
          <w:bCs w:val="0"/>
          <w:color w:val="auto"/>
          <w:sz w:val="24"/>
          <w:szCs w:val="24"/>
          <w:highlight w:val="none"/>
        </w:rPr>
        <w:t>（属一般固废</w:t>
      </w:r>
      <w:r>
        <w:rPr>
          <w:rFonts w:hint="default" w:ascii="Times New Roman" w:hAnsi="Times New Roman" w:eastAsia="Times New Roman" w:cs="Times New Roman"/>
          <w:b w:val="0"/>
          <w:bCs w:val="0"/>
          <w:color w:val="auto"/>
          <w:sz w:val="24"/>
          <w:szCs w:val="24"/>
          <w:highlight w:val="none"/>
        </w:rPr>
        <w:t>99</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lang w:val="en-US" w:eastAsia="zh-CN"/>
        </w:rPr>
        <w:t>61-001-99</w:t>
      </w:r>
      <w:r>
        <w:rPr>
          <w:rFonts w:hint="eastAsia" w:ascii="宋体" w:hAnsi="宋体" w:eastAsia="宋体" w:cs="宋体"/>
          <w:b w:val="0"/>
          <w:bCs w:val="0"/>
          <w:color w:val="auto"/>
          <w:sz w:val="24"/>
          <w:szCs w:val="24"/>
          <w:highlight w:val="none"/>
        </w:rPr>
        <w:t>），收集后暂存于一般固废间，而后外售废品收购站。</w:t>
      </w:r>
    </w:p>
    <w:p w14:paraId="4D69783E">
      <w:pPr>
        <w:pStyle w:val="264"/>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3.</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.4-1</w:t>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一般固体废物产生一览表</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单位：t/a</w:t>
      </w:r>
      <w:r>
        <w:rPr>
          <w:rFonts w:hint="default" w:ascii="Times New Roman" w:hAnsi="Times New Roman" w:cs="Times New Roman"/>
          <w:color w:val="auto"/>
          <w:highlight w:val="none"/>
          <w:lang w:eastAsia="zh-CN"/>
        </w:rPr>
        <w:t>）</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9"/>
        <w:gridCol w:w="1320"/>
        <w:gridCol w:w="1230"/>
        <w:gridCol w:w="1395"/>
        <w:gridCol w:w="1004"/>
        <w:gridCol w:w="1484"/>
      </w:tblGrid>
      <w:tr w14:paraId="1D2FB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5" w:type="pct"/>
            <w:noWrap w:val="0"/>
            <w:vAlign w:val="center"/>
          </w:tcPr>
          <w:p w14:paraId="3751BBBF">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firstLine="0" w:firstLineChars="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774" w:type="pct"/>
            <w:noWrap w:val="0"/>
            <w:vAlign w:val="center"/>
          </w:tcPr>
          <w:p w14:paraId="1AE73EFD">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firstLine="0" w:firstLineChars="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产生工序</w:t>
            </w:r>
          </w:p>
        </w:tc>
        <w:tc>
          <w:tcPr>
            <w:tcW w:w="721" w:type="pct"/>
            <w:noWrap w:val="0"/>
            <w:vAlign w:val="center"/>
          </w:tcPr>
          <w:p w14:paraId="1A202543">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firstLine="0" w:firstLineChars="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818" w:type="pct"/>
            <w:noWrap w:val="0"/>
            <w:vAlign w:val="center"/>
          </w:tcPr>
          <w:p w14:paraId="79EA8C14">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right="0" w:firstLine="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代码</w:t>
            </w:r>
          </w:p>
        </w:tc>
        <w:tc>
          <w:tcPr>
            <w:tcW w:w="589" w:type="pct"/>
            <w:noWrap w:val="0"/>
            <w:vAlign w:val="center"/>
          </w:tcPr>
          <w:p w14:paraId="70CC99AE">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firstLine="0" w:firstLineChars="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产生量（t/a）</w:t>
            </w:r>
          </w:p>
        </w:tc>
        <w:tc>
          <w:tcPr>
            <w:tcW w:w="870" w:type="pct"/>
            <w:noWrap w:val="0"/>
            <w:vAlign w:val="center"/>
          </w:tcPr>
          <w:p w14:paraId="38C7213D">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firstLine="0" w:firstLineChars="0"/>
              <w:jc w:val="center"/>
              <w:textAlignment w:val="baseline"/>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处置方式</w:t>
            </w:r>
          </w:p>
        </w:tc>
      </w:tr>
      <w:tr w14:paraId="4C6D4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225" w:type="pct"/>
            <w:noWrap w:val="0"/>
            <w:vAlign w:val="center"/>
          </w:tcPr>
          <w:p w14:paraId="0102CC12">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firstLine="0" w:firstLineChars="0"/>
              <w:jc w:val="center"/>
              <w:textAlignment w:val="baseline"/>
              <w:rPr>
                <w:rFonts w:hint="default" w:ascii="Times New Roman" w:hAnsi="Times New Roman" w:eastAsia="宋体" w:cs="Times New Roman"/>
                <w:b/>
                <w:bCs/>
                <w:color w:val="auto"/>
                <w:spacing w:val="0"/>
                <w:kern w:val="2"/>
                <w:sz w:val="21"/>
                <w:szCs w:val="22"/>
                <w:highlight w:val="none"/>
                <w:lang w:val="en-US" w:eastAsia="zh-CN" w:bidi="ar-SA"/>
              </w:rPr>
            </w:pPr>
            <w:r>
              <w:rPr>
                <w:rFonts w:hint="default" w:ascii="Times New Roman" w:hAnsi="Times New Roman" w:eastAsia="宋体" w:cs="Times New Roman"/>
                <w:b/>
                <w:bCs/>
                <w:color w:val="auto"/>
                <w:spacing w:val="0"/>
                <w:kern w:val="2"/>
                <w:sz w:val="21"/>
                <w:szCs w:val="22"/>
                <w:highlight w:val="none"/>
                <w:lang w:val="en-US" w:eastAsia="zh-CN" w:bidi="ar-SA"/>
              </w:rPr>
              <w:t>沼气除杂产生废过滤膜</w:t>
            </w:r>
          </w:p>
        </w:tc>
        <w:tc>
          <w:tcPr>
            <w:tcW w:w="774" w:type="pct"/>
            <w:noWrap w:val="0"/>
            <w:vAlign w:val="center"/>
          </w:tcPr>
          <w:p w14:paraId="73363198">
            <w:pPr>
              <w:bidi w:val="0"/>
              <w:jc w:val="center"/>
              <w:rPr>
                <w:rFonts w:hint="default" w:eastAsia="宋体"/>
                <w:color w:val="auto"/>
                <w:highlight w:val="none"/>
                <w:lang w:val="en-US" w:eastAsia="zh-CN"/>
              </w:rPr>
            </w:pPr>
            <w:r>
              <w:rPr>
                <w:rFonts w:hint="eastAsia"/>
                <w:color w:val="auto"/>
                <w:highlight w:val="none"/>
                <w:lang w:val="en-US" w:eastAsia="zh-CN"/>
              </w:rPr>
              <w:t>沼气过滤</w:t>
            </w:r>
          </w:p>
        </w:tc>
        <w:tc>
          <w:tcPr>
            <w:tcW w:w="721" w:type="pct"/>
            <w:noWrap w:val="0"/>
            <w:vAlign w:val="center"/>
          </w:tcPr>
          <w:p w14:paraId="46D9C4BF">
            <w:pPr>
              <w:bidi w:val="0"/>
              <w:jc w:val="center"/>
              <w:rPr>
                <w:rFonts w:hint="default"/>
                <w:color w:val="auto"/>
                <w:highlight w:val="none"/>
              </w:rPr>
            </w:pPr>
            <w:r>
              <w:rPr>
                <w:rFonts w:hint="default"/>
                <w:color w:val="auto"/>
                <w:highlight w:val="none"/>
              </w:rPr>
              <w:t>一般固废</w:t>
            </w:r>
          </w:p>
        </w:tc>
        <w:tc>
          <w:tcPr>
            <w:tcW w:w="818" w:type="pct"/>
            <w:noWrap w:val="0"/>
            <w:vAlign w:val="center"/>
          </w:tcPr>
          <w:p w14:paraId="7CF72C6C">
            <w:pPr>
              <w:bidi w:val="0"/>
              <w:jc w:val="center"/>
              <w:rPr>
                <w:rFonts w:hint="default"/>
                <w:color w:val="auto"/>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589" w:type="pct"/>
            <w:noWrap w:val="0"/>
            <w:vAlign w:val="center"/>
          </w:tcPr>
          <w:p w14:paraId="2BCD0431">
            <w:pPr>
              <w:bidi w:val="0"/>
              <w:jc w:val="center"/>
              <w:rPr>
                <w:rFonts w:hint="default"/>
                <w:color w:val="auto"/>
                <w:highlight w:val="none"/>
                <w:lang w:val="en-US" w:eastAsia="zh-CN"/>
              </w:rPr>
            </w:pPr>
            <w:r>
              <w:rPr>
                <w:rFonts w:hint="eastAsia"/>
                <w:color w:val="auto"/>
                <w:highlight w:val="none"/>
                <w:lang w:val="en-US" w:eastAsia="zh-CN"/>
              </w:rPr>
              <w:t>0.05</w:t>
            </w:r>
          </w:p>
        </w:tc>
        <w:tc>
          <w:tcPr>
            <w:tcW w:w="870" w:type="pct"/>
            <w:noWrap w:val="0"/>
            <w:vAlign w:val="center"/>
          </w:tcPr>
          <w:p w14:paraId="5B99A92D">
            <w:pPr>
              <w:bidi w:val="0"/>
              <w:jc w:val="center"/>
              <w:rPr>
                <w:rFonts w:hint="default" w:eastAsia="宋体"/>
                <w:color w:val="auto"/>
                <w:highlight w:val="none"/>
                <w:lang w:val="en-US" w:eastAsia="zh-CN"/>
              </w:rPr>
            </w:pPr>
            <w:r>
              <w:rPr>
                <w:rFonts w:hint="eastAsia"/>
                <w:color w:val="auto"/>
                <w:highlight w:val="none"/>
                <w:lang w:val="en-US" w:eastAsia="zh-CN"/>
              </w:rPr>
              <w:t>厂家回收</w:t>
            </w:r>
          </w:p>
        </w:tc>
      </w:tr>
      <w:tr w14:paraId="6C5CD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5" w:type="pct"/>
            <w:noWrap w:val="0"/>
            <w:vAlign w:val="center"/>
          </w:tcPr>
          <w:p w14:paraId="1953D6CD">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firstLine="0" w:firstLineChars="0"/>
              <w:jc w:val="center"/>
              <w:textAlignment w:val="baseline"/>
              <w:rPr>
                <w:rFonts w:hint="default" w:ascii="Times New Roman" w:hAnsi="Times New Roman" w:eastAsia="宋体" w:cs="Times New Roman"/>
                <w:b/>
                <w:bCs/>
                <w:color w:val="auto"/>
                <w:spacing w:val="0"/>
                <w:kern w:val="2"/>
                <w:sz w:val="21"/>
                <w:szCs w:val="22"/>
                <w:highlight w:val="none"/>
                <w:lang w:val="en-US" w:eastAsia="zh-CN" w:bidi="ar-SA"/>
              </w:rPr>
            </w:pPr>
            <w:r>
              <w:rPr>
                <w:rFonts w:hint="default" w:ascii="Times New Roman" w:hAnsi="Times New Roman" w:eastAsia="宋体" w:cs="Times New Roman"/>
                <w:b/>
                <w:bCs/>
                <w:color w:val="auto"/>
                <w:spacing w:val="0"/>
                <w:kern w:val="2"/>
                <w:sz w:val="21"/>
                <w:szCs w:val="22"/>
                <w:highlight w:val="none"/>
                <w:lang w:val="en-US" w:eastAsia="zh-CN" w:bidi="ar-SA"/>
              </w:rPr>
              <w:t>废滤芯、废滤膜</w:t>
            </w:r>
          </w:p>
        </w:tc>
        <w:tc>
          <w:tcPr>
            <w:tcW w:w="774" w:type="pct"/>
            <w:noWrap w:val="0"/>
            <w:vAlign w:val="center"/>
          </w:tcPr>
          <w:p w14:paraId="421D0A51">
            <w:pPr>
              <w:bidi w:val="0"/>
              <w:jc w:val="center"/>
              <w:rPr>
                <w:rFonts w:hint="default"/>
                <w:color w:val="auto"/>
                <w:highlight w:val="none"/>
              </w:rPr>
            </w:pPr>
            <w:r>
              <w:rPr>
                <w:rFonts w:hint="default"/>
                <w:color w:val="auto"/>
                <w:highlight w:val="none"/>
                <w:lang w:val="en-US" w:eastAsia="zh-CN"/>
              </w:rPr>
              <w:t>脱盐水制备</w:t>
            </w:r>
          </w:p>
        </w:tc>
        <w:tc>
          <w:tcPr>
            <w:tcW w:w="721" w:type="pct"/>
            <w:noWrap w:val="0"/>
            <w:vAlign w:val="center"/>
          </w:tcPr>
          <w:p w14:paraId="56741059">
            <w:pPr>
              <w:bidi w:val="0"/>
              <w:jc w:val="center"/>
              <w:rPr>
                <w:rFonts w:hint="default"/>
                <w:color w:val="auto"/>
                <w:highlight w:val="none"/>
              </w:rPr>
            </w:pPr>
            <w:r>
              <w:rPr>
                <w:rFonts w:hint="default"/>
                <w:color w:val="auto"/>
                <w:highlight w:val="none"/>
              </w:rPr>
              <w:t>一般固废</w:t>
            </w:r>
          </w:p>
        </w:tc>
        <w:tc>
          <w:tcPr>
            <w:tcW w:w="818" w:type="pct"/>
            <w:noWrap w:val="0"/>
            <w:vAlign w:val="center"/>
          </w:tcPr>
          <w:p w14:paraId="69D24D75">
            <w:pPr>
              <w:bidi w:val="0"/>
              <w:jc w:val="center"/>
              <w:rPr>
                <w:rFonts w:hint="default"/>
                <w:color w:val="auto"/>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589" w:type="pct"/>
            <w:noWrap w:val="0"/>
            <w:vAlign w:val="center"/>
          </w:tcPr>
          <w:p w14:paraId="4884D06D">
            <w:pPr>
              <w:bidi w:val="0"/>
              <w:jc w:val="center"/>
              <w:rPr>
                <w:rFonts w:hint="default"/>
                <w:color w:val="auto"/>
                <w:highlight w:val="none"/>
                <w:lang w:val="en-US" w:eastAsia="zh-CN"/>
              </w:rPr>
            </w:pPr>
            <w:r>
              <w:rPr>
                <w:rFonts w:hint="eastAsia"/>
                <w:color w:val="auto"/>
                <w:highlight w:val="none"/>
                <w:lang w:val="en-US" w:eastAsia="zh-CN"/>
              </w:rPr>
              <w:t>0.5</w:t>
            </w:r>
          </w:p>
        </w:tc>
        <w:tc>
          <w:tcPr>
            <w:tcW w:w="870" w:type="pct"/>
            <w:noWrap w:val="0"/>
            <w:vAlign w:val="center"/>
          </w:tcPr>
          <w:p w14:paraId="648F7B36">
            <w:pPr>
              <w:bidi w:val="0"/>
              <w:jc w:val="center"/>
              <w:rPr>
                <w:rFonts w:hint="default"/>
                <w:color w:val="auto"/>
                <w:highlight w:val="none"/>
              </w:rPr>
            </w:pPr>
            <w:r>
              <w:rPr>
                <w:rFonts w:hint="default"/>
                <w:color w:val="auto"/>
                <w:highlight w:val="none"/>
              </w:rPr>
              <w:t>交由物资公司回收利用</w:t>
            </w:r>
          </w:p>
        </w:tc>
      </w:tr>
      <w:tr w14:paraId="08FD7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5" w:type="pct"/>
            <w:noWrap w:val="0"/>
            <w:vAlign w:val="center"/>
          </w:tcPr>
          <w:p w14:paraId="48013AC9">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firstLine="0" w:firstLineChars="0"/>
              <w:jc w:val="center"/>
              <w:textAlignment w:val="baseline"/>
              <w:rPr>
                <w:rFonts w:hint="default" w:ascii="Times New Roman" w:hAnsi="Times New Roman" w:eastAsia="宋体" w:cs="Times New Roman"/>
                <w:b/>
                <w:bCs/>
                <w:color w:val="auto"/>
                <w:spacing w:val="0"/>
                <w:kern w:val="2"/>
                <w:sz w:val="21"/>
                <w:szCs w:val="22"/>
                <w:highlight w:val="none"/>
                <w:lang w:val="en-US" w:eastAsia="zh-CN" w:bidi="ar-SA"/>
              </w:rPr>
            </w:pPr>
            <w:r>
              <w:rPr>
                <w:rFonts w:hint="default" w:ascii="Times New Roman" w:hAnsi="Times New Roman" w:eastAsia="宋体" w:cs="Times New Roman"/>
                <w:b/>
                <w:bCs/>
                <w:color w:val="auto"/>
                <w:spacing w:val="0"/>
                <w:kern w:val="2"/>
                <w:sz w:val="21"/>
                <w:szCs w:val="22"/>
                <w:highlight w:val="none"/>
                <w:lang w:val="en-US" w:eastAsia="zh-CN" w:bidi="ar-SA"/>
              </w:rPr>
              <w:t>制氮机废过滤膜</w:t>
            </w:r>
          </w:p>
        </w:tc>
        <w:tc>
          <w:tcPr>
            <w:tcW w:w="774" w:type="pct"/>
            <w:noWrap w:val="0"/>
            <w:vAlign w:val="center"/>
          </w:tcPr>
          <w:p w14:paraId="2CC04A44">
            <w:pPr>
              <w:bidi w:val="0"/>
              <w:jc w:val="center"/>
              <w:rPr>
                <w:rFonts w:hint="default"/>
                <w:color w:val="auto"/>
                <w:highlight w:val="none"/>
                <w:lang w:val="en-US" w:eastAsia="zh-CN"/>
              </w:rPr>
            </w:pPr>
            <w:r>
              <w:rPr>
                <w:rFonts w:hint="eastAsia"/>
                <w:color w:val="auto"/>
                <w:highlight w:val="none"/>
                <w:lang w:val="en-US" w:eastAsia="zh-CN"/>
              </w:rPr>
              <w:t>氮气制备</w:t>
            </w:r>
          </w:p>
        </w:tc>
        <w:tc>
          <w:tcPr>
            <w:tcW w:w="721" w:type="pct"/>
            <w:noWrap w:val="0"/>
            <w:vAlign w:val="center"/>
          </w:tcPr>
          <w:p w14:paraId="3336FF7D">
            <w:pPr>
              <w:bidi w:val="0"/>
              <w:jc w:val="center"/>
              <w:rPr>
                <w:rFonts w:hint="default"/>
                <w:color w:val="auto"/>
                <w:highlight w:val="none"/>
              </w:rPr>
            </w:pPr>
            <w:r>
              <w:rPr>
                <w:rFonts w:hint="default"/>
                <w:color w:val="auto"/>
                <w:highlight w:val="none"/>
              </w:rPr>
              <w:t>一般固废</w:t>
            </w:r>
          </w:p>
        </w:tc>
        <w:tc>
          <w:tcPr>
            <w:tcW w:w="818" w:type="pct"/>
            <w:noWrap w:val="0"/>
            <w:vAlign w:val="center"/>
          </w:tcPr>
          <w:p w14:paraId="6FF2DA8A">
            <w:pPr>
              <w:bidi w:val="0"/>
              <w:jc w:val="center"/>
              <w:rPr>
                <w:rFonts w:hint="default"/>
                <w:color w:val="auto"/>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589" w:type="pct"/>
            <w:noWrap w:val="0"/>
            <w:vAlign w:val="center"/>
          </w:tcPr>
          <w:p w14:paraId="70BAC542">
            <w:pPr>
              <w:bidi w:val="0"/>
              <w:jc w:val="center"/>
              <w:rPr>
                <w:rFonts w:hint="default"/>
                <w:color w:val="auto"/>
                <w:highlight w:val="none"/>
                <w:lang w:val="en-US" w:eastAsia="zh-CN"/>
              </w:rPr>
            </w:pPr>
            <w:r>
              <w:rPr>
                <w:rFonts w:hint="default"/>
                <w:color w:val="auto"/>
                <w:highlight w:val="none"/>
                <w:lang w:val="en-US" w:eastAsia="zh-CN"/>
              </w:rPr>
              <w:t>0.</w:t>
            </w:r>
            <w:r>
              <w:rPr>
                <w:rFonts w:hint="eastAsia"/>
                <w:color w:val="auto"/>
                <w:highlight w:val="none"/>
                <w:lang w:val="en-US" w:eastAsia="zh-CN"/>
              </w:rPr>
              <w:t>1</w:t>
            </w:r>
          </w:p>
        </w:tc>
        <w:tc>
          <w:tcPr>
            <w:tcW w:w="870" w:type="pct"/>
            <w:noWrap w:val="0"/>
            <w:vAlign w:val="center"/>
          </w:tcPr>
          <w:p w14:paraId="6820A99B">
            <w:pPr>
              <w:bidi w:val="0"/>
              <w:jc w:val="center"/>
              <w:rPr>
                <w:rFonts w:hint="default"/>
                <w:color w:val="auto"/>
                <w:highlight w:val="none"/>
              </w:rPr>
            </w:pPr>
            <w:r>
              <w:rPr>
                <w:rFonts w:hint="eastAsia"/>
                <w:color w:val="auto"/>
                <w:highlight w:val="none"/>
                <w:lang w:val="en-US" w:eastAsia="zh-CN"/>
              </w:rPr>
              <w:t>厂家回收</w:t>
            </w:r>
          </w:p>
        </w:tc>
      </w:tr>
      <w:tr w14:paraId="24DDC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5" w:type="pct"/>
            <w:noWrap w:val="0"/>
            <w:vAlign w:val="center"/>
          </w:tcPr>
          <w:p w14:paraId="3405C501">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firstLine="0" w:firstLineChars="0"/>
              <w:jc w:val="center"/>
              <w:textAlignment w:val="baseline"/>
              <w:rPr>
                <w:rFonts w:hint="default" w:ascii="Times New Roman" w:hAnsi="Times New Roman" w:eastAsia="宋体" w:cs="Times New Roman"/>
                <w:b/>
                <w:bCs/>
                <w:color w:val="auto"/>
                <w:spacing w:val="0"/>
                <w:kern w:val="2"/>
                <w:sz w:val="21"/>
                <w:szCs w:val="22"/>
                <w:highlight w:val="none"/>
                <w:lang w:val="en-US" w:eastAsia="zh-CN" w:bidi="ar-SA"/>
              </w:rPr>
            </w:pPr>
            <w:r>
              <w:rPr>
                <w:rFonts w:hint="eastAsia" w:ascii="Times New Roman" w:hAnsi="Times New Roman" w:eastAsia="宋体" w:cs="Times New Roman"/>
                <w:b/>
                <w:bCs/>
                <w:color w:val="auto"/>
                <w:spacing w:val="0"/>
                <w:kern w:val="2"/>
                <w:sz w:val="21"/>
                <w:szCs w:val="22"/>
                <w:highlight w:val="none"/>
                <w:lang w:val="en-US" w:eastAsia="zh-CN" w:bidi="ar-SA"/>
              </w:rPr>
              <w:t>废包装桶</w:t>
            </w:r>
          </w:p>
        </w:tc>
        <w:tc>
          <w:tcPr>
            <w:tcW w:w="774" w:type="pct"/>
            <w:noWrap w:val="0"/>
            <w:vAlign w:val="center"/>
          </w:tcPr>
          <w:p w14:paraId="48661280">
            <w:pPr>
              <w:bidi w:val="0"/>
              <w:jc w:val="center"/>
              <w:rPr>
                <w:rFonts w:hint="default"/>
                <w:color w:val="auto"/>
                <w:highlight w:val="none"/>
                <w:lang w:val="en-US" w:eastAsia="zh-CN"/>
              </w:rPr>
            </w:pPr>
            <w:r>
              <w:rPr>
                <w:rFonts w:hint="eastAsia"/>
                <w:color w:val="auto"/>
                <w:highlight w:val="none"/>
                <w:lang w:val="en-US" w:eastAsia="zh-CN"/>
              </w:rPr>
              <w:t>洗车剂使用</w:t>
            </w:r>
          </w:p>
        </w:tc>
        <w:tc>
          <w:tcPr>
            <w:tcW w:w="721" w:type="pct"/>
            <w:noWrap w:val="0"/>
            <w:vAlign w:val="center"/>
          </w:tcPr>
          <w:p w14:paraId="3CFEE043">
            <w:pPr>
              <w:bidi w:val="0"/>
              <w:jc w:val="center"/>
              <w:rPr>
                <w:rFonts w:hint="default"/>
                <w:color w:val="auto"/>
                <w:highlight w:val="none"/>
              </w:rPr>
            </w:pPr>
            <w:r>
              <w:rPr>
                <w:rFonts w:hint="default"/>
                <w:color w:val="auto"/>
                <w:highlight w:val="none"/>
              </w:rPr>
              <w:t>一般固废</w:t>
            </w:r>
          </w:p>
        </w:tc>
        <w:tc>
          <w:tcPr>
            <w:tcW w:w="818" w:type="pct"/>
            <w:noWrap w:val="0"/>
            <w:vAlign w:val="center"/>
          </w:tcPr>
          <w:p w14:paraId="61BC6F8E">
            <w:pPr>
              <w:bidi w:val="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589" w:type="pct"/>
            <w:noWrap w:val="0"/>
            <w:vAlign w:val="center"/>
          </w:tcPr>
          <w:p w14:paraId="64943BA7">
            <w:pPr>
              <w:bidi w:val="0"/>
              <w:jc w:val="center"/>
              <w:rPr>
                <w:rFonts w:hint="default"/>
                <w:color w:val="auto"/>
                <w:highlight w:val="none"/>
                <w:lang w:val="en-US" w:eastAsia="zh-CN"/>
              </w:rPr>
            </w:pPr>
            <w:r>
              <w:rPr>
                <w:rFonts w:hint="eastAsia"/>
                <w:color w:val="auto"/>
                <w:highlight w:val="none"/>
                <w:lang w:val="en-US" w:eastAsia="zh-CN"/>
              </w:rPr>
              <w:t>0.0018</w:t>
            </w:r>
          </w:p>
        </w:tc>
        <w:tc>
          <w:tcPr>
            <w:tcW w:w="870" w:type="pct"/>
            <w:noWrap w:val="0"/>
            <w:vAlign w:val="center"/>
          </w:tcPr>
          <w:p w14:paraId="7CB9CF73">
            <w:pPr>
              <w:bidi w:val="0"/>
              <w:jc w:val="center"/>
              <w:rPr>
                <w:rFonts w:hint="eastAsia"/>
                <w:color w:val="auto"/>
                <w:highlight w:val="none"/>
                <w:lang w:val="en-US" w:eastAsia="zh-CN"/>
              </w:rPr>
            </w:pPr>
            <w:r>
              <w:rPr>
                <w:rFonts w:hint="default"/>
                <w:color w:val="auto"/>
                <w:highlight w:val="none"/>
              </w:rPr>
              <w:t>交由物资公司回收利用</w:t>
            </w:r>
          </w:p>
        </w:tc>
      </w:tr>
    </w:tbl>
    <w:p w14:paraId="23C570B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（3）危险废物</w:t>
      </w:r>
    </w:p>
    <w:p w14:paraId="0C79D89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①废</w:t>
      </w:r>
      <w:r>
        <w:rPr>
          <w:rFonts w:hint="eastAsia" w:ascii="Times New Roman" w:hAnsi="Times New Roman" w:eastAsia="宋体" w:cs="Times New Roman"/>
          <w:b/>
          <w:bCs/>
          <w:color w:val="auto"/>
          <w:sz w:val="24"/>
          <w:szCs w:val="24"/>
          <w:highlight w:val="none"/>
          <w:lang w:val="en-US" w:eastAsia="zh-CN"/>
        </w:rPr>
        <w:t>催化剂、废吸附剂</w:t>
      </w:r>
    </w:p>
    <w:p w14:paraId="233B02B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本项目在高温转化、中温转化工艺环节均使用催化剂，</w:t>
      </w:r>
      <w:r>
        <w:rPr>
          <w:rFonts w:hint="default" w:ascii="Times New Roman" w:hAnsi="Times New Roman" w:eastAsia="宋体" w:cs="Times New Roman"/>
          <w:color w:val="auto"/>
          <w:sz w:val="24"/>
          <w:szCs w:val="24"/>
          <w:highlight w:val="none"/>
          <w:lang w:eastAsia="zh-CN"/>
        </w:rPr>
        <w:t>废催化剂是指失去活性的催化剂，</w:t>
      </w:r>
      <w:r>
        <w:rPr>
          <w:rFonts w:hint="eastAsia" w:cs="Times New Roman"/>
          <w:color w:val="auto"/>
          <w:sz w:val="24"/>
          <w:szCs w:val="24"/>
          <w:highlight w:val="none"/>
          <w:lang w:eastAsia="zh-CN"/>
        </w:rPr>
        <w:t>主要成分是</w:t>
      </w:r>
      <w:r>
        <w:rPr>
          <w:rFonts w:hint="default" w:ascii="Times New Roman" w:hAnsi="Times New Roman" w:eastAsia="宋体" w:cs="Times New Roman"/>
          <w:color w:val="auto"/>
          <w:sz w:val="24"/>
          <w:szCs w:val="24"/>
          <w:highlight w:val="none"/>
          <w:lang w:eastAsia="zh-CN"/>
        </w:rPr>
        <w:t>Zn、Ni、Fe、A1等的氧化物，在该催化剂其活性失效时需进行更换，更换的废催化剂回收价值较高，生产厂家均回收利用再生。其中，</w:t>
      </w:r>
      <w:r>
        <w:rPr>
          <w:rFonts w:hint="eastAsia" w:ascii="Times New Roman" w:hAnsi="Times New Roman" w:eastAsia="宋体" w:cs="Times New Roman"/>
          <w:color w:val="auto"/>
          <w:sz w:val="24"/>
          <w:szCs w:val="24"/>
          <w:highlight w:val="none"/>
          <w:lang w:val="en-US" w:eastAsia="zh-CN"/>
        </w:rPr>
        <w:t>单台脱硫塔使用脱硫剂0.43t/a，每三年更换一次，折合总脱硫量为0.43t/a，</w:t>
      </w:r>
      <w:r>
        <w:rPr>
          <w:rFonts w:hint="default" w:ascii="Times New Roman" w:hAnsi="Times New Roman" w:eastAsia="宋体" w:cs="Times New Roman"/>
          <w:color w:val="auto"/>
          <w:sz w:val="24"/>
          <w:szCs w:val="24"/>
          <w:highlight w:val="none"/>
          <w:lang w:eastAsia="zh-CN"/>
        </w:rPr>
        <w:t>废脱硫剂属于危险废物</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废物类别是HW49其他废物，废物代码是900-041-49</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单台高温转化炉使用催化剂0.43t/a，每三年更换一次，折合总脱硫量为0.43t/a，</w:t>
      </w:r>
      <w:r>
        <w:rPr>
          <w:rFonts w:hint="default" w:ascii="Times New Roman" w:hAnsi="Times New Roman" w:eastAsia="宋体" w:cs="Times New Roman"/>
          <w:color w:val="auto"/>
          <w:sz w:val="24"/>
          <w:szCs w:val="24"/>
          <w:highlight w:val="none"/>
          <w:lang w:eastAsia="zh-CN"/>
        </w:rPr>
        <w:t>废转化剂属于危险废物</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废物类别是HW46含镍废物，废物代码是900-037-46</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单台中温转化炉使用催化剂0.46t/a，每三年更换一次，折合总脱硫量为0.46t/a，</w:t>
      </w:r>
      <w:r>
        <w:rPr>
          <w:rFonts w:hint="default" w:ascii="Times New Roman" w:hAnsi="Times New Roman" w:eastAsia="宋体" w:cs="Times New Roman"/>
          <w:color w:val="auto"/>
          <w:sz w:val="24"/>
          <w:szCs w:val="24"/>
          <w:highlight w:val="none"/>
          <w:lang w:eastAsia="zh-CN"/>
        </w:rPr>
        <w:t>废中变催化剂属于危险废物</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废物类别是HW50废催化剂，废物代码是26</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-156-50</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单套提纯装置使用吸附剂10t/a，每十五年更换一次，折合总脱硫量为2t/a，</w:t>
      </w:r>
      <w:r>
        <w:rPr>
          <w:rFonts w:hint="default" w:ascii="Times New Roman" w:hAnsi="Times New Roman" w:eastAsia="宋体" w:cs="Times New Roman"/>
          <w:color w:val="auto"/>
          <w:sz w:val="24"/>
          <w:szCs w:val="24"/>
          <w:highlight w:val="none"/>
          <w:lang w:eastAsia="zh-CN"/>
        </w:rPr>
        <w:t>废吸附剂危险废物</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废物类别是HW49其他废物，废物代码是900-039-49</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更换后于危废间内暂存，定期委托资质单位进行处置。</w:t>
      </w:r>
    </w:p>
    <w:p w14:paraId="386C51B1">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eastAsia="zh-CN"/>
        </w:rPr>
        <w:t>②</w:t>
      </w:r>
      <w:r>
        <w:rPr>
          <w:rFonts w:hint="eastAsia" w:ascii="Times New Roman" w:hAnsi="Times New Roman" w:eastAsia="宋体" w:cs="Times New Roman"/>
          <w:b/>
          <w:bCs/>
          <w:color w:val="auto"/>
          <w:sz w:val="24"/>
          <w:szCs w:val="24"/>
          <w:highlight w:val="none"/>
          <w:lang w:val="en-US" w:eastAsia="zh-CN"/>
        </w:rPr>
        <w:t>隔油池产生污泥</w:t>
      </w:r>
    </w:p>
    <w:p w14:paraId="0D2B9C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项目设置隔油沉淀池一座，油泥主要来源于</w:t>
      </w:r>
      <w:r>
        <w:rPr>
          <w:rFonts w:hint="eastAsia" w:ascii="Times New Roman" w:hAnsi="Times New Roman" w:cs="Times New Roman"/>
          <w:color w:val="auto"/>
          <w:sz w:val="24"/>
          <w:szCs w:val="24"/>
          <w:highlight w:val="none"/>
          <w:lang w:val="en-US" w:eastAsia="zh-CN"/>
        </w:rPr>
        <w:t>洗车废水、初期雨水</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根据企业以往经验预估</w:t>
      </w:r>
      <w:r>
        <w:rPr>
          <w:rFonts w:hint="default" w:ascii="Times New Roman" w:hAnsi="Times New Roman" w:cs="Times New Roman"/>
          <w:color w:val="auto"/>
          <w:sz w:val="24"/>
          <w:szCs w:val="24"/>
          <w:highlight w:val="none"/>
        </w:rPr>
        <w:t>年排放量为</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t/a</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含水率80%</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，属危险废物HW08：900-210-08，</w:t>
      </w:r>
      <w:r>
        <w:rPr>
          <w:rFonts w:hint="eastAsia" w:ascii="Times New Roman" w:hAnsi="Times New Roman" w:cs="Times New Roman"/>
          <w:color w:val="auto"/>
          <w:sz w:val="24"/>
          <w:szCs w:val="24"/>
          <w:highlight w:val="none"/>
          <w:lang w:val="en-US" w:eastAsia="zh-CN"/>
        </w:rPr>
        <w:t>桶装</w:t>
      </w:r>
      <w:r>
        <w:rPr>
          <w:rFonts w:hint="default" w:ascii="Times New Roman" w:hAnsi="Times New Roman" w:cs="Times New Roman"/>
          <w:color w:val="auto"/>
          <w:sz w:val="24"/>
          <w:szCs w:val="24"/>
          <w:highlight w:val="none"/>
        </w:rPr>
        <w:t>集中收集于危废库内，定期交由有资质单位处理。</w:t>
      </w:r>
    </w:p>
    <w:p w14:paraId="72124A31">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③</w:t>
      </w:r>
      <w:r>
        <w:rPr>
          <w:rFonts w:hint="default" w:ascii="Times New Roman" w:hAnsi="Times New Roman" w:eastAsia="宋体" w:cs="Times New Roman"/>
          <w:b/>
          <w:bCs/>
          <w:color w:val="auto"/>
          <w:sz w:val="24"/>
          <w:szCs w:val="24"/>
          <w:highlight w:val="none"/>
          <w:lang w:val="en-US" w:eastAsia="zh-CN"/>
        </w:rPr>
        <w:t>清罐废油泥（含废清理液）</w:t>
      </w:r>
    </w:p>
    <w:p w14:paraId="4F740476">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加油站的所有储油罐经过一段时间（约3年）的使用后，因冷热温差的变化，冷凝水顺罐流入罐底，加快燃油的乳化，其黑油泥会逐渐增加。导致油品质量下降、腐蚀罐壁，还会给车辆及机器设备造成不应有的损失，故储油罐必须定期定时做好清理工作。储油罐清理委托有相关资质的单位进行，清理过程中有残液产生，油罐清理残液产生量约为</w:t>
      </w:r>
      <w:r>
        <w:rPr>
          <w:rFonts w:hint="eastAsia"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val="en-US" w:eastAsia="zh-CN"/>
        </w:rPr>
        <w:t>t/次，按每三年清理一次，则产生约</w:t>
      </w:r>
      <w:r>
        <w:rPr>
          <w:rFonts w:hint="eastAsia"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val="en-US" w:eastAsia="zh-CN"/>
        </w:rPr>
        <w:t>t/a，该残液属于危废</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cs="Times New Roman"/>
          <w:color w:val="auto"/>
          <w:sz w:val="24"/>
          <w:szCs w:val="24"/>
          <w:highlight w:val="none"/>
        </w:rPr>
        <w:t>HW08</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废物代码：900-249-08），由专业油罐清理单位清理后带走交给具有相关资质的单位负责回收处理，不在加油站内贮存。</w:t>
      </w:r>
    </w:p>
    <w:p w14:paraId="5521DCA2">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3.</w:t>
      </w: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.4-2</w:t>
      </w:r>
      <w:r>
        <w:rPr>
          <w:rFonts w:hint="eastAsia"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项目危险废物产生及治理情况表</w:t>
      </w:r>
    </w:p>
    <w:tbl>
      <w:tblPr>
        <w:tblStyle w:val="49"/>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156"/>
        <w:gridCol w:w="852"/>
        <w:gridCol w:w="1336"/>
        <w:gridCol w:w="927"/>
        <w:gridCol w:w="1104"/>
        <w:gridCol w:w="692"/>
        <w:gridCol w:w="748"/>
        <w:gridCol w:w="760"/>
        <w:gridCol w:w="942"/>
      </w:tblGrid>
      <w:tr w14:paraId="3DCCBAB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79" w:type="pct"/>
            <w:tcBorders>
              <w:tl2br w:val="nil"/>
              <w:tr2bl w:val="nil"/>
            </w:tcBorders>
            <w:noWrap w:val="0"/>
            <w:vAlign w:val="center"/>
          </w:tcPr>
          <w:p w14:paraId="7E13D51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危险废物</w:t>
            </w:r>
          </w:p>
          <w:p w14:paraId="476958E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501" w:type="pct"/>
            <w:tcBorders>
              <w:tl2br w:val="nil"/>
              <w:tr2bl w:val="nil"/>
            </w:tcBorders>
            <w:noWrap w:val="0"/>
            <w:vAlign w:val="center"/>
          </w:tcPr>
          <w:p w14:paraId="6BB8301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危险废物类别</w:t>
            </w:r>
          </w:p>
        </w:tc>
        <w:tc>
          <w:tcPr>
            <w:tcW w:w="784" w:type="pct"/>
            <w:tcBorders>
              <w:tl2br w:val="nil"/>
              <w:tr2bl w:val="nil"/>
            </w:tcBorders>
            <w:noWrap w:val="0"/>
            <w:vAlign w:val="center"/>
          </w:tcPr>
          <w:p w14:paraId="128C841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危险废物</w:t>
            </w:r>
          </w:p>
          <w:p w14:paraId="268E4009">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代码</w:t>
            </w:r>
          </w:p>
        </w:tc>
        <w:tc>
          <w:tcPr>
            <w:tcW w:w="544" w:type="pct"/>
            <w:tcBorders>
              <w:tl2br w:val="nil"/>
              <w:tr2bl w:val="nil"/>
            </w:tcBorders>
            <w:noWrap w:val="0"/>
            <w:vAlign w:val="center"/>
          </w:tcPr>
          <w:p w14:paraId="3C4325D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产生量</w:t>
            </w:r>
            <w:r>
              <w:rPr>
                <w:rFonts w:hint="default" w:ascii="Times New Roman" w:hAnsi="Times New Roman" w:eastAsia="宋体" w:cs="Times New Roman"/>
                <w:b/>
                <w:bCs/>
                <w:color w:val="auto"/>
                <w:sz w:val="21"/>
                <w:szCs w:val="21"/>
                <w:highlight w:val="none"/>
                <w:lang w:eastAsia="zh-CN"/>
              </w:rPr>
              <w:t>（t/a）</w:t>
            </w:r>
          </w:p>
        </w:tc>
        <w:tc>
          <w:tcPr>
            <w:tcW w:w="648" w:type="pct"/>
            <w:tcBorders>
              <w:tl2br w:val="nil"/>
              <w:tr2bl w:val="nil"/>
            </w:tcBorders>
            <w:noWrap w:val="0"/>
            <w:vAlign w:val="center"/>
          </w:tcPr>
          <w:p w14:paraId="181E96E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产生工序及装置</w:t>
            </w:r>
          </w:p>
        </w:tc>
        <w:tc>
          <w:tcPr>
            <w:tcW w:w="406" w:type="pct"/>
            <w:tcBorders>
              <w:tl2br w:val="nil"/>
              <w:tr2bl w:val="nil"/>
            </w:tcBorders>
            <w:noWrap w:val="0"/>
            <w:vAlign w:val="center"/>
          </w:tcPr>
          <w:p w14:paraId="557FEE0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形态</w:t>
            </w:r>
          </w:p>
        </w:tc>
        <w:tc>
          <w:tcPr>
            <w:tcW w:w="439" w:type="pct"/>
            <w:tcBorders>
              <w:tl2br w:val="nil"/>
              <w:tr2bl w:val="nil"/>
            </w:tcBorders>
            <w:noWrap w:val="0"/>
            <w:vAlign w:val="center"/>
          </w:tcPr>
          <w:p w14:paraId="6C8EB38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产废</w:t>
            </w:r>
          </w:p>
          <w:p w14:paraId="67C00E8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周期</w:t>
            </w:r>
          </w:p>
        </w:tc>
        <w:tc>
          <w:tcPr>
            <w:tcW w:w="446" w:type="pct"/>
            <w:tcBorders>
              <w:tl2br w:val="nil"/>
              <w:tr2bl w:val="nil"/>
            </w:tcBorders>
            <w:noWrap w:val="0"/>
            <w:vAlign w:val="center"/>
          </w:tcPr>
          <w:p w14:paraId="12EEFC3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w:t>
            </w:r>
          </w:p>
          <w:p w14:paraId="4D34FD9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特性</w:t>
            </w:r>
          </w:p>
        </w:tc>
        <w:tc>
          <w:tcPr>
            <w:tcW w:w="550" w:type="pct"/>
            <w:tcBorders>
              <w:tl2br w:val="nil"/>
              <w:tr2bl w:val="nil"/>
            </w:tcBorders>
            <w:noWrap w:val="0"/>
            <w:vAlign w:val="center"/>
          </w:tcPr>
          <w:p w14:paraId="04D8B16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污染防治措施</w:t>
            </w:r>
          </w:p>
        </w:tc>
      </w:tr>
      <w:tr w14:paraId="3587D5A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9" w:hRule="atLeast"/>
          <w:jc w:val="center"/>
        </w:trPr>
        <w:tc>
          <w:tcPr>
            <w:tcW w:w="679" w:type="pct"/>
            <w:tcBorders>
              <w:tl2br w:val="nil"/>
              <w:tr2bl w:val="nil"/>
            </w:tcBorders>
            <w:noWrap w:val="0"/>
            <w:vAlign w:val="center"/>
          </w:tcPr>
          <w:p w14:paraId="60EE131E">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废</w:t>
            </w:r>
            <w:r>
              <w:rPr>
                <w:rFonts w:hint="eastAsia" w:ascii="Times New Roman" w:hAnsi="Times New Roman" w:eastAsia="宋体" w:cs="Times New Roman"/>
                <w:b/>
                <w:bCs/>
                <w:color w:val="auto"/>
                <w:sz w:val="21"/>
                <w:szCs w:val="21"/>
                <w:highlight w:val="none"/>
                <w:lang w:val="en-US" w:eastAsia="zh-CN"/>
              </w:rPr>
              <w:t>脱硫剂</w:t>
            </w:r>
          </w:p>
        </w:tc>
        <w:tc>
          <w:tcPr>
            <w:tcW w:w="501" w:type="pct"/>
            <w:tcBorders>
              <w:tl2br w:val="nil"/>
              <w:tr2bl w:val="nil"/>
            </w:tcBorders>
            <w:noWrap w:val="0"/>
            <w:vAlign w:val="center"/>
          </w:tcPr>
          <w:p w14:paraId="012128A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HW</w:t>
            </w:r>
            <w:r>
              <w:rPr>
                <w:rFonts w:hint="eastAsia" w:ascii="Times New Roman" w:hAnsi="Times New Roman" w:eastAsia="宋体" w:cs="Times New Roman"/>
                <w:color w:val="auto"/>
                <w:sz w:val="21"/>
                <w:szCs w:val="21"/>
                <w:highlight w:val="none"/>
                <w:lang w:val="en-US" w:eastAsia="zh-CN"/>
              </w:rPr>
              <w:t>49</w:t>
            </w:r>
          </w:p>
        </w:tc>
        <w:tc>
          <w:tcPr>
            <w:tcW w:w="784" w:type="pct"/>
            <w:tcBorders>
              <w:tl2br w:val="nil"/>
              <w:tr2bl w:val="nil"/>
            </w:tcBorders>
            <w:noWrap w:val="0"/>
            <w:vAlign w:val="center"/>
          </w:tcPr>
          <w:p w14:paraId="182C4F1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900-</w:t>
            </w:r>
            <w:r>
              <w:rPr>
                <w:rFonts w:hint="eastAsia"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49</w:t>
            </w:r>
          </w:p>
        </w:tc>
        <w:tc>
          <w:tcPr>
            <w:tcW w:w="544" w:type="pct"/>
            <w:tcBorders>
              <w:tl2br w:val="nil"/>
              <w:tr2bl w:val="nil"/>
            </w:tcBorders>
            <w:noWrap w:val="0"/>
            <w:vAlign w:val="center"/>
          </w:tcPr>
          <w:p w14:paraId="4235854E">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0.43</w:t>
            </w:r>
          </w:p>
        </w:tc>
        <w:tc>
          <w:tcPr>
            <w:tcW w:w="648" w:type="pct"/>
            <w:tcBorders>
              <w:tl2br w:val="nil"/>
              <w:tr2bl w:val="nil"/>
            </w:tcBorders>
            <w:noWrap w:val="0"/>
            <w:vAlign w:val="center"/>
          </w:tcPr>
          <w:p w14:paraId="0D14FF7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脱硫塔</w:t>
            </w:r>
          </w:p>
        </w:tc>
        <w:tc>
          <w:tcPr>
            <w:tcW w:w="406" w:type="pct"/>
            <w:tcBorders>
              <w:tl2br w:val="nil"/>
              <w:tr2bl w:val="nil"/>
            </w:tcBorders>
            <w:noWrap w:val="0"/>
            <w:vAlign w:val="center"/>
          </w:tcPr>
          <w:p w14:paraId="550D8FB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固态</w:t>
            </w:r>
          </w:p>
        </w:tc>
        <w:tc>
          <w:tcPr>
            <w:tcW w:w="439" w:type="pct"/>
            <w:tcBorders>
              <w:tl2br w:val="nil"/>
              <w:tr2bl w:val="nil"/>
            </w:tcBorders>
            <w:noWrap w:val="0"/>
            <w:vAlign w:val="center"/>
          </w:tcPr>
          <w:p w14:paraId="62D78E6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3a</w:t>
            </w:r>
          </w:p>
        </w:tc>
        <w:tc>
          <w:tcPr>
            <w:tcW w:w="446" w:type="pct"/>
            <w:tcBorders>
              <w:tl2br w:val="nil"/>
              <w:tr2bl w:val="nil"/>
            </w:tcBorders>
            <w:noWrap w:val="0"/>
            <w:vAlign w:val="center"/>
          </w:tcPr>
          <w:p w14:paraId="061BF1C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T/In</w:t>
            </w:r>
          </w:p>
        </w:tc>
        <w:tc>
          <w:tcPr>
            <w:tcW w:w="550" w:type="pct"/>
            <w:vMerge w:val="restart"/>
            <w:tcBorders>
              <w:tl2br w:val="nil"/>
              <w:tr2bl w:val="nil"/>
            </w:tcBorders>
            <w:noWrap w:val="0"/>
            <w:vAlign w:val="center"/>
          </w:tcPr>
          <w:p w14:paraId="464F344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具有资质厂家更换处置</w:t>
            </w:r>
          </w:p>
        </w:tc>
      </w:tr>
      <w:tr w14:paraId="4629DA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9" w:hRule="atLeast"/>
          <w:jc w:val="center"/>
        </w:trPr>
        <w:tc>
          <w:tcPr>
            <w:tcW w:w="679" w:type="pct"/>
            <w:tcBorders>
              <w:tl2br w:val="nil"/>
              <w:tr2bl w:val="nil"/>
            </w:tcBorders>
            <w:noWrap w:val="0"/>
            <w:vAlign w:val="center"/>
          </w:tcPr>
          <w:p w14:paraId="54D5D5E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废</w:t>
            </w:r>
            <w:r>
              <w:rPr>
                <w:rFonts w:hint="eastAsia" w:ascii="Times New Roman" w:hAnsi="Times New Roman" w:eastAsia="宋体" w:cs="Times New Roman"/>
                <w:b/>
                <w:bCs/>
                <w:color w:val="auto"/>
                <w:sz w:val="21"/>
                <w:szCs w:val="21"/>
                <w:highlight w:val="none"/>
                <w:lang w:val="en-US" w:eastAsia="zh-CN"/>
              </w:rPr>
              <w:t>催化剂</w:t>
            </w:r>
          </w:p>
        </w:tc>
        <w:tc>
          <w:tcPr>
            <w:tcW w:w="501" w:type="pct"/>
            <w:tcBorders>
              <w:tl2br w:val="nil"/>
              <w:tr2bl w:val="nil"/>
            </w:tcBorders>
            <w:noWrap w:val="0"/>
            <w:vAlign w:val="center"/>
          </w:tcPr>
          <w:p w14:paraId="241253CE">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HW4</w:t>
            </w:r>
            <w:r>
              <w:rPr>
                <w:rFonts w:hint="eastAsia" w:ascii="Times New Roman" w:hAnsi="Times New Roman" w:eastAsia="宋体" w:cs="Times New Roman"/>
                <w:color w:val="auto"/>
                <w:sz w:val="21"/>
                <w:szCs w:val="21"/>
                <w:highlight w:val="none"/>
                <w:lang w:val="en-US" w:eastAsia="zh-CN"/>
              </w:rPr>
              <w:t>6</w:t>
            </w:r>
          </w:p>
        </w:tc>
        <w:tc>
          <w:tcPr>
            <w:tcW w:w="784" w:type="pct"/>
            <w:tcBorders>
              <w:tl2br w:val="nil"/>
              <w:tr2bl w:val="nil"/>
            </w:tcBorders>
            <w:noWrap w:val="0"/>
            <w:vAlign w:val="center"/>
          </w:tcPr>
          <w:p w14:paraId="358FA4B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900-0</w:t>
            </w:r>
            <w:r>
              <w:rPr>
                <w:rFonts w:hint="eastAsia" w:ascii="Times New Roman" w:hAnsi="Times New Roman" w:eastAsia="宋体" w:cs="Times New Roman"/>
                <w:color w:val="auto"/>
                <w:sz w:val="21"/>
                <w:szCs w:val="21"/>
                <w:highlight w:val="none"/>
                <w:lang w:val="en-US" w:eastAsia="zh-CN"/>
              </w:rPr>
              <w:t>37</w:t>
            </w: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6</w:t>
            </w:r>
          </w:p>
        </w:tc>
        <w:tc>
          <w:tcPr>
            <w:tcW w:w="544" w:type="pct"/>
            <w:tcBorders>
              <w:tl2br w:val="nil"/>
              <w:tr2bl w:val="nil"/>
            </w:tcBorders>
            <w:noWrap w:val="0"/>
            <w:vAlign w:val="center"/>
          </w:tcPr>
          <w:p w14:paraId="7106D1F9">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0.43</w:t>
            </w:r>
          </w:p>
        </w:tc>
        <w:tc>
          <w:tcPr>
            <w:tcW w:w="648" w:type="pct"/>
            <w:tcBorders>
              <w:tl2br w:val="nil"/>
              <w:tr2bl w:val="nil"/>
            </w:tcBorders>
            <w:noWrap w:val="0"/>
            <w:vAlign w:val="center"/>
          </w:tcPr>
          <w:p w14:paraId="322E600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高温转化炉</w:t>
            </w:r>
          </w:p>
        </w:tc>
        <w:tc>
          <w:tcPr>
            <w:tcW w:w="406" w:type="pct"/>
            <w:tcBorders>
              <w:tl2br w:val="nil"/>
              <w:tr2bl w:val="nil"/>
            </w:tcBorders>
            <w:noWrap w:val="0"/>
            <w:vAlign w:val="center"/>
          </w:tcPr>
          <w:p w14:paraId="1650D95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固态</w:t>
            </w:r>
          </w:p>
        </w:tc>
        <w:tc>
          <w:tcPr>
            <w:tcW w:w="439" w:type="pct"/>
            <w:tcBorders>
              <w:tl2br w:val="nil"/>
              <w:tr2bl w:val="nil"/>
            </w:tcBorders>
            <w:noWrap w:val="0"/>
            <w:vAlign w:val="center"/>
          </w:tcPr>
          <w:p w14:paraId="7697CF1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3a</w:t>
            </w:r>
          </w:p>
        </w:tc>
        <w:tc>
          <w:tcPr>
            <w:tcW w:w="446" w:type="pct"/>
            <w:tcBorders>
              <w:tl2br w:val="nil"/>
              <w:tr2bl w:val="nil"/>
            </w:tcBorders>
            <w:noWrap w:val="0"/>
            <w:vAlign w:val="center"/>
          </w:tcPr>
          <w:p w14:paraId="470CCCD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T</w:t>
            </w:r>
          </w:p>
        </w:tc>
        <w:tc>
          <w:tcPr>
            <w:tcW w:w="550" w:type="pct"/>
            <w:vMerge w:val="continue"/>
            <w:tcBorders>
              <w:tl2br w:val="nil"/>
              <w:tr2bl w:val="nil"/>
            </w:tcBorders>
            <w:noWrap w:val="0"/>
            <w:vAlign w:val="center"/>
          </w:tcPr>
          <w:p w14:paraId="44A75E0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3AC1E7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79" w:type="pct"/>
            <w:tcBorders>
              <w:tl2br w:val="nil"/>
              <w:tr2bl w:val="nil"/>
            </w:tcBorders>
            <w:noWrap w:val="0"/>
            <w:vAlign w:val="center"/>
          </w:tcPr>
          <w:p w14:paraId="7E823F5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废催化剂</w:t>
            </w:r>
          </w:p>
        </w:tc>
        <w:tc>
          <w:tcPr>
            <w:tcW w:w="501" w:type="pct"/>
            <w:tcBorders>
              <w:tl2br w:val="nil"/>
              <w:tr2bl w:val="nil"/>
            </w:tcBorders>
            <w:noWrap w:val="0"/>
            <w:vAlign w:val="center"/>
          </w:tcPr>
          <w:p w14:paraId="1292FCF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HW50</w:t>
            </w:r>
          </w:p>
        </w:tc>
        <w:tc>
          <w:tcPr>
            <w:tcW w:w="784" w:type="pct"/>
            <w:tcBorders>
              <w:tl2br w:val="nil"/>
              <w:tr2bl w:val="nil"/>
            </w:tcBorders>
            <w:noWrap w:val="0"/>
            <w:vAlign w:val="center"/>
          </w:tcPr>
          <w:p w14:paraId="1D273EE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4"/>
                <w:szCs w:val="24"/>
                <w:highlight w:val="none"/>
                <w:lang w:eastAsia="zh-CN"/>
              </w:rPr>
              <w:t>26</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-156-50</w:t>
            </w:r>
          </w:p>
        </w:tc>
        <w:tc>
          <w:tcPr>
            <w:tcW w:w="544" w:type="pct"/>
            <w:tcBorders>
              <w:tl2br w:val="nil"/>
              <w:tr2bl w:val="nil"/>
            </w:tcBorders>
            <w:noWrap w:val="0"/>
            <w:vAlign w:val="center"/>
          </w:tcPr>
          <w:p w14:paraId="419DF3C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0.46</w:t>
            </w:r>
          </w:p>
        </w:tc>
        <w:tc>
          <w:tcPr>
            <w:tcW w:w="648" w:type="pct"/>
            <w:tcBorders>
              <w:tl2br w:val="nil"/>
              <w:tr2bl w:val="nil"/>
            </w:tcBorders>
            <w:noWrap w:val="0"/>
            <w:vAlign w:val="center"/>
          </w:tcPr>
          <w:p w14:paraId="1A28FB99">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中温转化炉</w:t>
            </w:r>
          </w:p>
        </w:tc>
        <w:tc>
          <w:tcPr>
            <w:tcW w:w="406" w:type="pct"/>
            <w:tcBorders>
              <w:tl2br w:val="nil"/>
              <w:tr2bl w:val="nil"/>
            </w:tcBorders>
            <w:noWrap w:val="0"/>
            <w:vAlign w:val="center"/>
          </w:tcPr>
          <w:p w14:paraId="449A7C1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固态</w:t>
            </w:r>
          </w:p>
        </w:tc>
        <w:tc>
          <w:tcPr>
            <w:tcW w:w="439" w:type="pct"/>
            <w:tcBorders>
              <w:tl2br w:val="nil"/>
              <w:tr2bl w:val="nil"/>
            </w:tcBorders>
            <w:noWrap w:val="0"/>
            <w:vAlign w:val="center"/>
          </w:tcPr>
          <w:p w14:paraId="707D0AA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3a</w:t>
            </w:r>
          </w:p>
        </w:tc>
        <w:tc>
          <w:tcPr>
            <w:tcW w:w="446" w:type="pct"/>
            <w:tcBorders>
              <w:tl2br w:val="nil"/>
              <w:tr2bl w:val="nil"/>
            </w:tcBorders>
            <w:noWrap w:val="0"/>
            <w:vAlign w:val="center"/>
          </w:tcPr>
          <w:p w14:paraId="7839591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T</w:t>
            </w:r>
          </w:p>
        </w:tc>
        <w:tc>
          <w:tcPr>
            <w:tcW w:w="550" w:type="pct"/>
            <w:vMerge w:val="continue"/>
            <w:tcBorders>
              <w:tl2br w:val="nil"/>
              <w:tr2bl w:val="nil"/>
            </w:tcBorders>
            <w:noWrap w:val="0"/>
            <w:vAlign w:val="center"/>
          </w:tcPr>
          <w:p w14:paraId="049C4CC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148226B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6" w:hRule="atLeast"/>
          <w:jc w:val="center"/>
        </w:trPr>
        <w:tc>
          <w:tcPr>
            <w:tcW w:w="679" w:type="pct"/>
            <w:tcBorders>
              <w:tl2br w:val="nil"/>
              <w:tr2bl w:val="nil"/>
            </w:tcBorders>
            <w:noWrap w:val="0"/>
            <w:vAlign w:val="center"/>
          </w:tcPr>
          <w:p w14:paraId="3792C44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废</w:t>
            </w:r>
            <w:r>
              <w:rPr>
                <w:rFonts w:hint="eastAsia" w:ascii="Times New Roman" w:hAnsi="Times New Roman" w:eastAsia="宋体" w:cs="Times New Roman"/>
                <w:b/>
                <w:bCs/>
                <w:color w:val="auto"/>
                <w:sz w:val="21"/>
                <w:szCs w:val="21"/>
                <w:highlight w:val="none"/>
                <w:lang w:val="en-US" w:eastAsia="zh-CN"/>
              </w:rPr>
              <w:t>吸附剂</w:t>
            </w:r>
          </w:p>
        </w:tc>
        <w:tc>
          <w:tcPr>
            <w:tcW w:w="501" w:type="pct"/>
            <w:tcBorders>
              <w:tl2br w:val="nil"/>
              <w:tr2bl w:val="nil"/>
            </w:tcBorders>
            <w:noWrap w:val="0"/>
            <w:vAlign w:val="center"/>
          </w:tcPr>
          <w:p w14:paraId="4E25C4EE">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HW49</w:t>
            </w:r>
          </w:p>
        </w:tc>
        <w:tc>
          <w:tcPr>
            <w:tcW w:w="784" w:type="pct"/>
            <w:tcBorders>
              <w:tl2br w:val="nil"/>
              <w:tr2bl w:val="nil"/>
            </w:tcBorders>
            <w:noWrap w:val="0"/>
            <w:vAlign w:val="center"/>
          </w:tcPr>
          <w:p w14:paraId="3970155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900-0</w:t>
            </w:r>
            <w:r>
              <w:rPr>
                <w:rFonts w:hint="eastAsia" w:ascii="Times New Roman" w:hAnsi="Times New Roman" w:eastAsia="宋体" w:cs="Times New Roman"/>
                <w:color w:val="auto"/>
                <w:sz w:val="21"/>
                <w:szCs w:val="21"/>
                <w:highlight w:val="none"/>
                <w:lang w:val="en-US" w:eastAsia="zh-CN"/>
              </w:rPr>
              <w:t>39</w:t>
            </w:r>
            <w:r>
              <w:rPr>
                <w:rFonts w:hint="default" w:ascii="Times New Roman" w:hAnsi="Times New Roman" w:eastAsia="宋体" w:cs="Times New Roman"/>
                <w:color w:val="auto"/>
                <w:sz w:val="21"/>
                <w:szCs w:val="21"/>
                <w:highlight w:val="none"/>
                <w:lang w:val="en-US" w:eastAsia="zh-CN"/>
              </w:rPr>
              <w:t>-49</w:t>
            </w:r>
          </w:p>
        </w:tc>
        <w:tc>
          <w:tcPr>
            <w:tcW w:w="544" w:type="pct"/>
            <w:tcBorders>
              <w:tl2br w:val="nil"/>
              <w:tr2bl w:val="nil"/>
            </w:tcBorders>
            <w:noWrap w:val="0"/>
            <w:vAlign w:val="center"/>
          </w:tcPr>
          <w:p w14:paraId="50B779D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w:t>
            </w:r>
          </w:p>
        </w:tc>
        <w:tc>
          <w:tcPr>
            <w:tcW w:w="648" w:type="pct"/>
            <w:tcBorders>
              <w:tl2br w:val="nil"/>
              <w:tr2bl w:val="nil"/>
            </w:tcBorders>
            <w:noWrap w:val="0"/>
            <w:vAlign w:val="center"/>
          </w:tcPr>
          <w:p w14:paraId="660B693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吸附塔</w:t>
            </w:r>
          </w:p>
        </w:tc>
        <w:tc>
          <w:tcPr>
            <w:tcW w:w="406" w:type="pct"/>
            <w:tcBorders>
              <w:tl2br w:val="nil"/>
              <w:tr2bl w:val="nil"/>
            </w:tcBorders>
            <w:noWrap w:val="0"/>
            <w:vAlign w:val="center"/>
          </w:tcPr>
          <w:p w14:paraId="2333C99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固态</w:t>
            </w:r>
          </w:p>
        </w:tc>
        <w:tc>
          <w:tcPr>
            <w:tcW w:w="439" w:type="pct"/>
            <w:tcBorders>
              <w:tl2br w:val="nil"/>
              <w:tr2bl w:val="nil"/>
            </w:tcBorders>
            <w:noWrap w:val="0"/>
            <w:vAlign w:val="center"/>
          </w:tcPr>
          <w:p w14:paraId="388AD76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15a</w:t>
            </w:r>
          </w:p>
        </w:tc>
        <w:tc>
          <w:tcPr>
            <w:tcW w:w="446" w:type="pct"/>
            <w:tcBorders>
              <w:tl2br w:val="nil"/>
              <w:tr2bl w:val="nil"/>
            </w:tcBorders>
            <w:noWrap w:val="0"/>
            <w:vAlign w:val="center"/>
          </w:tcPr>
          <w:p w14:paraId="1B68BBA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w:t>
            </w:r>
          </w:p>
        </w:tc>
        <w:tc>
          <w:tcPr>
            <w:tcW w:w="550" w:type="pct"/>
            <w:vMerge w:val="continue"/>
            <w:tcBorders>
              <w:bottom w:val="single" w:color="auto" w:sz="4" w:space="0"/>
              <w:tl2br w:val="nil"/>
              <w:tr2bl w:val="nil"/>
            </w:tcBorders>
            <w:noWrap w:val="0"/>
            <w:vAlign w:val="center"/>
          </w:tcPr>
          <w:p w14:paraId="0916451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29451BE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122" w:hRule="atLeast"/>
          <w:jc w:val="center"/>
        </w:trPr>
        <w:tc>
          <w:tcPr>
            <w:tcW w:w="679" w:type="pct"/>
            <w:tcBorders>
              <w:tl2br w:val="nil"/>
              <w:tr2bl w:val="nil"/>
            </w:tcBorders>
            <w:noWrap w:val="0"/>
            <w:vAlign w:val="center"/>
          </w:tcPr>
          <w:p w14:paraId="0C9572F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污泥</w:t>
            </w:r>
          </w:p>
        </w:tc>
        <w:tc>
          <w:tcPr>
            <w:tcW w:w="501" w:type="pct"/>
            <w:tcBorders>
              <w:tl2br w:val="nil"/>
              <w:tr2bl w:val="nil"/>
            </w:tcBorders>
            <w:noWrap w:val="0"/>
            <w:vAlign w:val="center"/>
          </w:tcPr>
          <w:p w14:paraId="2DA771A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w:t>
            </w:r>
            <w:r>
              <w:rPr>
                <w:rFonts w:hint="eastAsia" w:ascii="Times New Roman" w:hAnsi="Times New Roman" w:eastAsia="宋体" w:cs="Times New Roman"/>
                <w:color w:val="auto"/>
                <w:sz w:val="21"/>
                <w:szCs w:val="21"/>
                <w:highlight w:val="none"/>
                <w:lang w:val="en-US" w:eastAsia="zh-CN"/>
              </w:rPr>
              <w:t>08</w:t>
            </w:r>
          </w:p>
        </w:tc>
        <w:tc>
          <w:tcPr>
            <w:tcW w:w="784" w:type="pct"/>
            <w:tcBorders>
              <w:tl2br w:val="nil"/>
              <w:tr2bl w:val="nil"/>
            </w:tcBorders>
            <w:noWrap w:val="0"/>
            <w:vAlign w:val="center"/>
          </w:tcPr>
          <w:p w14:paraId="4825C67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900-210-08</w:t>
            </w:r>
          </w:p>
        </w:tc>
        <w:tc>
          <w:tcPr>
            <w:tcW w:w="544" w:type="pct"/>
            <w:tcBorders>
              <w:tl2br w:val="nil"/>
              <w:tr2bl w:val="nil"/>
            </w:tcBorders>
            <w:noWrap w:val="0"/>
            <w:vAlign w:val="center"/>
          </w:tcPr>
          <w:p w14:paraId="15AB317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648" w:type="pct"/>
            <w:tcBorders>
              <w:tl2br w:val="nil"/>
              <w:tr2bl w:val="nil"/>
            </w:tcBorders>
            <w:noWrap w:val="0"/>
            <w:vAlign w:val="center"/>
          </w:tcPr>
          <w:p w14:paraId="27C4B256">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隔油池</w:t>
            </w:r>
          </w:p>
        </w:tc>
        <w:tc>
          <w:tcPr>
            <w:tcW w:w="406" w:type="pct"/>
            <w:tcBorders>
              <w:tl2br w:val="nil"/>
              <w:tr2bl w:val="nil"/>
            </w:tcBorders>
            <w:noWrap w:val="0"/>
            <w:vAlign w:val="center"/>
          </w:tcPr>
          <w:p w14:paraId="6F74A32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液态</w:t>
            </w:r>
          </w:p>
        </w:tc>
        <w:tc>
          <w:tcPr>
            <w:tcW w:w="439" w:type="pct"/>
            <w:tcBorders>
              <w:tl2br w:val="nil"/>
              <w:tr2bl w:val="nil"/>
            </w:tcBorders>
            <w:noWrap w:val="0"/>
            <w:vAlign w:val="center"/>
          </w:tcPr>
          <w:p w14:paraId="7F13356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30d</w:t>
            </w:r>
          </w:p>
        </w:tc>
        <w:tc>
          <w:tcPr>
            <w:tcW w:w="446" w:type="pct"/>
            <w:tcBorders>
              <w:tl2br w:val="nil"/>
              <w:tr2bl w:val="nil"/>
            </w:tcBorders>
            <w:noWrap w:val="0"/>
            <w:vAlign w:val="center"/>
          </w:tcPr>
          <w:p w14:paraId="3B24382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T，I</w:t>
            </w:r>
          </w:p>
        </w:tc>
        <w:tc>
          <w:tcPr>
            <w:tcW w:w="550" w:type="pct"/>
            <w:vMerge w:val="restart"/>
            <w:tcBorders>
              <w:top w:val="single" w:color="auto" w:sz="4" w:space="0"/>
              <w:tl2br w:val="nil"/>
              <w:tr2bl w:val="nil"/>
            </w:tcBorders>
            <w:noWrap w:val="0"/>
            <w:vAlign w:val="center"/>
          </w:tcPr>
          <w:p w14:paraId="7C008D0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危险废物暂存间分类暂存，定期委托有资质单位处置</w:t>
            </w:r>
          </w:p>
        </w:tc>
      </w:tr>
      <w:tr w14:paraId="036E5D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79" w:type="pct"/>
            <w:tcBorders>
              <w:tl2br w:val="nil"/>
              <w:tr2bl w:val="nil"/>
            </w:tcBorders>
            <w:noWrap w:val="0"/>
            <w:vAlign w:val="center"/>
          </w:tcPr>
          <w:p w14:paraId="028A70A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清罐废油泥（含废清理液）</w:t>
            </w:r>
          </w:p>
        </w:tc>
        <w:tc>
          <w:tcPr>
            <w:tcW w:w="501" w:type="pct"/>
            <w:tcBorders>
              <w:tl2br w:val="nil"/>
              <w:tr2bl w:val="nil"/>
            </w:tcBorders>
            <w:noWrap w:val="0"/>
            <w:vAlign w:val="center"/>
          </w:tcPr>
          <w:p w14:paraId="180E754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w:t>
            </w:r>
            <w:r>
              <w:rPr>
                <w:rFonts w:hint="eastAsia" w:ascii="Times New Roman" w:hAnsi="Times New Roman" w:eastAsia="宋体" w:cs="Times New Roman"/>
                <w:color w:val="auto"/>
                <w:sz w:val="21"/>
                <w:szCs w:val="21"/>
                <w:highlight w:val="none"/>
                <w:lang w:val="en-US" w:eastAsia="zh-CN"/>
              </w:rPr>
              <w:t>08</w:t>
            </w:r>
          </w:p>
        </w:tc>
        <w:tc>
          <w:tcPr>
            <w:tcW w:w="784" w:type="pct"/>
            <w:tcBorders>
              <w:tl2br w:val="nil"/>
              <w:tr2bl w:val="nil"/>
            </w:tcBorders>
            <w:noWrap w:val="0"/>
            <w:vAlign w:val="center"/>
          </w:tcPr>
          <w:p w14:paraId="5E51F78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w:t>
            </w:r>
            <w:r>
              <w:rPr>
                <w:rFonts w:hint="eastAsia" w:ascii="Times New Roman" w:hAnsi="Times New Roman" w:eastAsia="宋体" w:cs="Times New Roman"/>
                <w:color w:val="auto"/>
                <w:sz w:val="21"/>
                <w:szCs w:val="21"/>
                <w:highlight w:val="none"/>
                <w:lang w:val="en-US" w:eastAsia="zh-CN"/>
              </w:rPr>
              <w:t>249</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08</w:t>
            </w:r>
          </w:p>
        </w:tc>
        <w:tc>
          <w:tcPr>
            <w:tcW w:w="544" w:type="pct"/>
            <w:tcBorders>
              <w:tl2br w:val="nil"/>
              <w:tr2bl w:val="nil"/>
            </w:tcBorders>
            <w:noWrap w:val="0"/>
            <w:vAlign w:val="center"/>
          </w:tcPr>
          <w:p w14:paraId="46EE307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648" w:type="pct"/>
            <w:tcBorders>
              <w:tl2br w:val="nil"/>
              <w:tr2bl w:val="nil"/>
            </w:tcBorders>
            <w:noWrap w:val="0"/>
            <w:vAlign w:val="center"/>
          </w:tcPr>
          <w:p w14:paraId="7340A93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储油罐</w:t>
            </w:r>
          </w:p>
        </w:tc>
        <w:tc>
          <w:tcPr>
            <w:tcW w:w="406" w:type="pct"/>
            <w:tcBorders>
              <w:tl2br w:val="nil"/>
              <w:tr2bl w:val="nil"/>
            </w:tcBorders>
            <w:noWrap w:val="0"/>
            <w:vAlign w:val="center"/>
          </w:tcPr>
          <w:p w14:paraId="6365265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液</w:t>
            </w:r>
            <w:r>
              <w:rPr>
                <w:rFonts w:hint="default" w:ascii="Times New Roman" w:hAnsi="Times New Roman" w:eastAsia="宋体" w:cs="Times New Roman"/>
                <w:color w:val="auto"/>
                <w:sz w:val="21"/>
                <w:szCs w:val="21"/>
                <w:highlight w:val="none"/>
                <w:lang w:eastAsia="zh-CN"/>
              </w:rPr>
              <w:t>态</w:t>
            </w:r>
          </w:p>
        </w:tc>
        <w:tc>
          <w:tcPr>
            <w:tcW w:w="439" w:type="pct"/>
            <w:tcBorders>
              <w:tl2br w:val="nil"/>
              <w:tr2bl w:val="nil"/>
            </w:tcBorders>
            <w:noWrap w:val="0"/>
            <w:vAlign w:val="center"/>
          </w:tcPr>
          <w:p w14:paraId="7D8347B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1d</w:t>
            </w:r>
          </w:p>
        </w:tc>
        <w:tc>
          <w:tcPr>
            <w:tcW w:w="446" w:type="pct"/>
            <w:tcBorders>
              <w:tl2br w:val="nil"/>
              <w:tr2bl w:val="nil"/>
            </w:tcBorders>
            <w:noWrap w:val="0"/>
            <w:vAlign w:val="center"/>
          </w:tcPr>
          <w:p w14:paraId="73027B4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T，I</w:t>
            </w:r>
          </w:p>
        </w:tc>
        <w:tc>
          <w:tcPr>
            <w:tcW w:w="550" w:type="pct"/>
            <w:vMerge w:val="continue"/>
            <w:tcBorders>
              <w:tl2br w:val="nil"/>
              <w:tr2bl w:val="nil"/>
            </w:tcBorders>
            <w:noWrap w:val="0"/>
            <w:vAlign w:val="center"/>
          </w:tcPr>
          <w:p w14:paraId="39DA7B9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p>
        </w:tc>
      </w:tr>
      <w:tr w14:paraId="2305A18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5000" w:type="pct"/>
            <w:gridSpan w:val="9"/>
            <w:tcBorders>
              <w:tl2br w:val="nil"/>
              <w:tr2bl w:val="nil"/>
            </w:tcBorders>
            <w:noWrap w:val="0"/>
            <w:vAlign w:val="center"/>
          </w:tcPr>
          <w:p w14:paraId="3BDA326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rPr>
              <w:t>注</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危险特性</w:t>
            </w:r>
            <w:r>
              <w:rPr>
                <w:rFonts w:hint="eastAsia"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color w:val="auto"/>
                <w:sz w:val="21"/>
                <w:szCs w:val="21"/>
                <w:highlight w:val="none"/>
              </w:rPr>
              <w:t>腐蚀性（Corrosivity，C）、毒性（Toxicity，T）、易燃性（Ignitability，I）、反应性（Reactivity，R）和感染性（Infectivity，In）。</w:t>
            </w:r>
          </w:p>
        </w:tc>
      </w:tr>
    </w:tbl>
    <w:p w14:paraId="2D97D4AD">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3.</w:t>
      </w: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.4-3</w:t>
      </w:r>
      <w:r>
        <w:rPr>
          <w:rFonts w:hint="eastAsia"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项目固体废物产生及处置情况汇总表</w:t>
      </w:r>
    </w:p>
    <w:tbl>
      <w:tblPr>
        <w:tblStyle w:val="49"/>
        <w:tblW w:w="499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063"/>
        <w:gridCol w:w="2505"/>
        <w:gridCol w:w="1418"/>
        <w:gridCol w:w="2583"/>
        <w:gridCol w:w="948"/>
      </w:tblGrid>
      <w:tr w14:paraId="198215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7" w:hRule="atLeast"/>
          <w:jc w:val="center"/>
        </w:trPr>
        <w:tc>
          <w:tcPr>
            <w:tcW w:w="624" w:type="pct"/>
            <w:tcBorders>
              <w:tl2br w:val="nil"/>
              <w:tr2bl w:val="nil"/>
            </w:tcBorders>
            <w:noWrap w:val="0"/>
            <w:vAlign w:val="center"/>
          </w:tcPr>
          <w:p w14:paraId="6B2BE01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1470" w:type="pct"/>
            <w:tcBorders>
              <w:tl2br w:val="nil"/>
              <w:tr2bl w:val="nil"/>
            </w:tcBorders>
            <w:noWrap w:val="0"/>
            <w:vAlign w:val="center"/>
          </w:tcPr>
          <w:p w14:paraId="5589B3B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废物名称</w:t>
            </w:r>
          </w:p>
        </w:tc>
        <w:tc>
          <w:tcPr>
            <w:tcW w:w="832" w:type="pct"/>
            <w:tcBorders>
              <w:tl2br w:val="nil"/>
              <w:tr2bl w:val="nil"/>
            </w:tcBorders>
            <w:noWrap w:val="0"/>
            <w:vAlign w:val="center"/>
          </w:tcPr>
          <w:p w14:paraId="1E2DBB8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产生量（t/a）</w:t>
            </w:r>
          </w:p>
        </w:tc>
        <w:tc>
          <w:tcPr>
            <w:tcW w:w="1516" w:type="pct"/>
            <w:tcBorders>
              <w:tl2br w:val="nil"/>
              <w:tr2bl w:val="nil"/>
            </w:tcBorders>
            <w:noWrap w:val="0"/>
            <w:vAlign w:val="center"/>
          </w:tcPr>
          <w:p w14:paraId="037A4C0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污染防治措施</w:t>
            </w:r>
          </w:p>
        </w:tc>
        <w:tc>
          <w:tcPr>
            <w:tcW w:w="556" w:type="pct"/>
            <w:tcBorders>
              <w:tl2br w:val="nil"/>
              <w:tr2bl w:val="nil"/>
            </w:tcBorders>
            <w:noWrap w:val="0"/>
            <w:vAlign w:val="center"/>
          </w:tcPr>
          <w:p w14:paraId="498AB7B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排放量（t/a）</w:t>
            </w:r>
          </w:p>
        </w:tc>
      </w:tr>
      <w:tr w14:paraId="2BB54AC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2" w:hRule="atLeast"/>
          <w:jc w:val="center"/>
        </w:trPr>
        <w:tc>
          <w:tcPr>
            <w:tcW w:w="624" w:type="pct"/>
            <w:vMerge w:val="restart"/>
            <w:tcBorders>
              <w:tl2br w:val="nil"/>
              <w:tr2bl w:val="nil"/>
            </w:tcBorders>
            <w:noWrap w:val="0"/>
            <w:vAlign w:val="center"/>
          </w:tcPr>
          <w:p w14:paraId="2E7AA43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1470" w:type="pct"/>
            <w:tcBorders>
              <w:tl2br w:val="nil"/>
              <w:tr2bl w:val="nil"/>
            </w:tcBorders>
            <w:noWrap w:val="0"/>
            <w:vAlign w:val="center"/>
          </w:tcPr>
          <w:p w14:paraId="4BA0345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废脱硫剂</w:t>
            </w:r>
          </w:p>
        </w:tc>
        <w:tc>
          <w:tcPr>
            <w:tcW w:w="832" w:type="pct"/>
            <w:tcBorders>
              <w:tl2br w:val="nil"/>
              <w:tr2bl w:val="nil"/>
            </w:tcBorders>
            <w:noWrap w:val="0"/>
            <w:vAlign w:val="center"/>
          </w:tcPr>
          <w:p w14:paraId="0464FD44">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0.43</w:t>
            </w:r>
          </w:p>
        </w:tc>
        <w:tc>
          <w:tcPr>
            <w:tcW w:w="1516" w:type="pct"/>
            <w:vMerge w:val="restart"/>
            <w:tcBorders>
              <w:tl2br w:val="nil"/>
              <w:tr2bl w:val="nil"/>
            </w:tcBorders>
            <w:noWrap w:val="0"/>
            <w:vAlign w:val="center"/>
          </w:tcPr>
          <w:p w14:paraId="4A62E226">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具有资质厂家更换处置</w:t>
            </w:r>
          </w:p>
        </w:tc>
        <w:tc>
          <w:tcPr>
            <w:tcW w:w="556" w:type="pct"/>
            <w:vMerge w:val="restart"/>
            <w:tcBorders>
              <w:tl2br w:val="nil"/>
              <w:tr2bl w:val="nil"/>
            </w:tcBorders>
            <w:noWrap w:val="0"/>
            <w:vAlign w:val="center"/>
          </w:tcPr>
          <w:p w14:paraId="3009B7F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r>
      <w:tr w14:paraId="03CAB6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2" w:hRule="atLeast"/>
          <w:jc w:val="center"/>
        </w:trPr>
        <w:tc>
          <w:tcPr>
            <w:tcW w:w="624" w:type="pct"/>
            <w:vMerge w:val="continue"/>
            <w:tcBorders>
              <w:tl2br w:val="nil"/>
              <w:tr2bl w:val="nil"/>
            </w:tcBorders>
            <w:noWrap w:val="0"/>
            <w:vAlign w:val="center"/>
          </w:tcPr>
          <w:p w14:paraId="4F99D3E6">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470" w:type="pct"/>
            <w:tcBorders>
              <w:tl2br w:val="nil"/>
              <w:tr2bl w:val="nil"/>
            </w:tcBorders>
            <w:noWrap w:val="0"/>
            <w:vAlign w:val="center"/>
          </w:tcPr>
          <w:p w14:paraId="4FFB26F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废</w:t>
            </w:r>
            <w:r>
              <w:rPr>
                <w:rFonts w:hint="eastAsia" w:ascii="Times New Roman" w:hAnsi="Times New Roman" w:eastAsia="宋体" w:cs="Times New Roman"/>
                <w:b w:val="0"/>
                <w:bCs w:val="0"/>
                <w:color w:val="auto"/>
                <w:sz w:val="21"/>
                <w:szCs w:val="21"/>
                <w:highlight w:val="none"/>
                <w:lang w:val="en-US" w:eastAsia="zh-CN"/>
              </w:rPr>
              <w:t>催化剂</w:t>
            </w:r>
          </w:p>
        </w:tc>
        <w:tc>
          <w:tcPr>
            <w:tcW w:w="832" w:type="pct"/>
            <w:tcBorders>
              <w:tl2br w:val="nil"/>
              <w:tr2bl w:val="nil"/>
            </w:tcBorders>
            <w:noWrap w:val="0"/>
            <w:vAlign w:val="center"/>
          </w:tcPr>
          <w:p w14:paraId="4F3EA8C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0.43</w:t>
            </w:r>
          </w:p>
        </w:tc>
        <w:tc>
          <w:tcPr>
            <w:tcW w:w="1516" w:type="pct"/>
            <w:vMerge w:val="continue"/>
            <w:tcBorders>
              <w:tl2br w:val="nil"/>
              <w:tr2bl w:val="nil"/>
            </w:tcBorders>
            <w:noWrap w:val="0"/>
            <w:vAlign w:val="center"/>
          </w:tcPr>
          <w:p w14:paraId="497707D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6" w:type="pct"/>
            <w:vMerge w:val="continue"/>
            <w:tcBorders>
              <w:tl2br w:val="nil"/>
              <w:tr2bl w:val="nil"/>
            </w:tcBorders>
            <w:noWrap w:val="0"/>
            <w:vAlign w:val="center"/>
          </w:tcPr>
          <w:p w14:paraId="7FBACDB9">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6DFCE29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6" w:hRule="atLeast"/>
          <w:jc w:val="center"/>
        </w:trPr>
        <w:tc>
          <w:tcPr>
            <w:tcW w:w="624" w:type="pct"/>
            <w:vMerge w:val="continue"/>
            <w:tcBorders>
              <w:tl2br w:val="nil"/>
              <w:tr2bl w:val="nil"/>
            </w:tcBorders>
            <w:noWrap w:val="0"/>
            <w:vAlign w:val="center"/>
          </w:tcPr>
          <w:p w14:paraId="4203868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470" w:type="pct"/>
            <w:tcBorders>
              <w:tl2br w:val="nil"/>
              <w:tr2bl w:val="nil"/>
            </w:tcBorders>
            <w:noWrap w:val="0"/>
            <w:vAlign w:val="center"/>
          </w:tcPr>
          <w:p w14:paraId="654D99A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废催化剂</w:t>
            </w:r>
          </w:p>
        </w:tc>
        <w:tc>
          <w:tcPr>
            <w:tcW w:w="832" w:type="pct"/>
            <w:tcBorders>
              <w:tl2br w:val="nil"/>
              <w:tr2bl w:val="nil"/>
            </w:tcBorders>
            <w:noWrap w:val="0"/>
            <w:vAlign w:val="center"/>
          </w:tcPr>
          <w:p w14:paraId="09E3E1F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0.46</w:t>
            </w:r>
          </w:p>
        </w:tc>
        <w:tc>
          <w:tcPr>
            <w:tcW w:w="1516" w:type="pct"/>
            <w:vMerge w:val="continue"/>
            <w:tcBorders>
              <w:tl2br w:val="nil"/>
              <w:tr2bl w:val="nil"/>
            </w:tcBorders>
            <w:noWrap w:val="0"/>
            <w:vAlign w:val="center"/>
          </w:tcPr>
          <w:p w14:paraId="306E6E7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6" w:type="pct"/>
            <w:vMerge w:val="continue"/>
            <w:tcBorders>
              <w:tl2br w:val="nil"/>
              <w:tr2bl w:val="nil"/>
            </w:tcBorders>
            <w:noWrap w:val="0"/>
            <w:vAlign w:val="center"/>
          </w:tcPr>
          <w:p w14:paraId="2E87F3A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60BCDC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24" w:type="pct"/>
            <w:vMerge w:val="continue"/>
            <w:tcBorders>
              <w:tl2br w:val="nil"/>
              <w:tr2bl w:val="nil"/>
            </w:tcBorders>
            <w:noWrap w:val="0"/>
            <w:vAlign w:val="center"/>
          </w:tcPr>
          <w:p w14:paraId="4D2F790E">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470" w:type="pct"/>
            <w:tcBorders>
              <w:tl2br w:val="nil"/>
              <w:tr2bl w:val="nil"/>
            </w:tcBorders>
            <w:noWrap w:val="0"/>
            <w:vAlign w:val="center"/>
          </w:tcPr>
          <w:p w14:paraId="5B79BCF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废</w:t>
            </w:r>
            <w:r>
              <w:rPr>
                <w:rFonts w:hint="eastAsia" w:ascii="Times New Roman" w:hAnsi="Times New Roman" w:eastAsia="宋体" w:cs="Times New Roman"/>
                <w:b w:val="0"/>
                <w:bCs w:val="0"/>
                <w:color w:val="auto"/>
                <w:sz w:val="21"/>
                <w:szCs w:val="21"/>
                <w:highlight w:val="none"/>
                <w:lang w:val="en-US" w:eastAsia="zh-CN"/>
              </w:rPr>
              <w:t>吸附剂</w:t>
            </w:r>
          </w:p>
        </w:tc>
        <w:tc>
          <w:tcPr>
            <w:tcW w:w="832" w:type="pct"/>
            <w:tcBorders>
              <w:tl2br w:val="nil"/>
              <w:tr2bl w:val="nil"/>
            </w:tcBorders>
            <w:noWrap w:val="0"/>
            <w:vAlign w:val="center"/>
          </w:tcPr>
          <w:p w14:paraId="28B49C0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w:t>
            </w:r>
          </w:p>
        </w:tc>
        <w:tc>
          <w:tcPr>
            <w:tcW w:w="1516" w:type="pct"/>
            <w:vMerge w:val="continue"/>
            <w:tcBorders>
              <w:bottom w:val="single" w:color="auto" w:sz="4" w:space="0"/>
              <w:tl2br w:val="nil"/>
              <w:tr2bl w:val="nil"/>
            </w:tcBorders>
            <w:noWrap w:val="0"/>
            <w:vAlign w:val="center"/>
          </w:tcPr>
          <w:p w14:paraId="511B4F5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6" w:type="pct"/>
            <w:vMerge w:val="continue"/>
            <w:tcBorders>
              <w:tl2br w:val="nil"/>
              <w:tr2bl w:val="nil"/>
            </w:tcBorders>
            <w:noWrap w:val="0"/>
            <w:vAlign w:val="center"/>
          </w:tcPr>
          <w:p w14:paraId="7F8714D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619E9C3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24" w:type="pct"/>
            <w:vMerge w:val="continue"/>
            <w:tcBorders>
              <w:tl2br w:val="nil"/>
              <w:tr2bl w:val="nil"/>
            </w:tcBorders>
            <w:noWrap w:val="0"/>
            <w:vAlign w:val="center"/>
          </w:tcPr>
          <w:p w14:paraId="0313424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470" w:type="pct"/>
            <w:tcBorders>
              <w:tl2br w:val="nil"/>
              <w:tr2bl w:val="nil"/>
            </w:tcBorders>
            <w:noWrap w:val="0"/>
            <w:vAlign w:val="center"/>
          </w:tcPr>
          <w:p w14:paraId="23AB592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污泥</w:t>
            </w:r>
          </w:p>
        </w:tc>
        <w:tc>
          <w:tcPr>
            <w:tcW w:w="832" w:type="pct"/>
            <w:tcBorders>
              <w:tl2br w:val="nil"/>
              <w:tr2bl w:val="nil"/>
            </w:tcBorders>
            <w:noWrap w:val="0"/>
            <w:vAlign w:val="center"/>
          </w:tcPr>
          <w:p w14:paraId="27C8393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1516" w:type="pct"/>
            <w:vMerge w:val="restart"/>
            <w:tcBorders>
              <w:top w:val="single" w:color="auto" w:sz="4" w:space="0"/>
              <w:tl2br w:val="nil"/>
              <w:tr2bl w:val="nil"/>
            </w:tcBorders>
            <w:noWrap w:val="0"/>
            <w:vAlign w:val="center"/>
          </w:tcPr>
          <w:p w14:paraId="10EC8E5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危险废物暂存间分类暂存后，定期委托有资质单位安全处置</w:t>
            </w:r>
          </w:p>
        </w:tc>
        <w:tc>
          <w:tcPr>
            <w:tcW w:w="556" w:type="pct"/>
            <w:vMerge w:val="continue"/>
            <w:tcBorders>
              <w:tl2br w:val="nil"/>
              <w:tr2bl w:val="nil"/>
            </w:tcBorders>
            <w:noWrap w:val="0"/>
            <w:vAlign w:val="center"/>
          </w:tcPr>
          <w:p w14:paraId="23079C5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2A479C5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9" w:hRule="atLeast"/>
          <w:jc w:val="center"/>
        </w:trPr>
        <w:tc>
          <w:tcPr>
            <w:tcW w:w="624" w:type="pct"/>
            <w:vMerge w:val="continue"/>
            <w:tcBorders>
              <w:tl2br w:val="nil"/>
              <w:tr2bl w:val="nil"/>
            </w:tcBorders>
            <w:noWrap w:val="0"/>
            <w:vAlign w:val="center"/>
          </w:tcPr>
          <w:p w14:paraId="5864290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470" w:type="pct"/>
            <w:tcBorders>
              <w:tl2br w:val="nil"/>
              <w:tr2bl w:val="nil"/>
            </w:tcBorders>
            <w:noWrap w:val="0"/>
            <w:vAlign w:val="center"/>
          </w:tcPr>
          <w:p w14:paraId="199A647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清罐废油泥（含废清理液）</w:t>
            </w:r>
          </w:p>
        </w:tc>
        <w:tc>
          <w:tcPr>
            <w:tcW w:w="832" w:type="pct"/>
            <w:tcBorders>
              <w:tl2br w:val="nil"/>
              <w:tr2bl w:val="nil"/>
            </w:tcBorders>
            <w:noWrap w:val="0"/>
            <w:vAlign w:val="center"/>
          </w:tcPr>
          <w:p w14:paraId="7F7F1C5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516" w:type="pct"/>
            <w:vMerge w:val="continue"/>
            <w:tcBorders>
              <w:top w:val="single" w:color="auto" w:sz="4" w:space="0"/>
              <w:bottom w:val="single" w:color="auto" w:sz="4" w:space="0"/>
              <w:tl2br w:val="nil"/>
              <w:tr2bl w:val="nil"/>
            </w:tcBorders>
            <w:noWrap w:val="0"/>
            <w:vAlign w:val="center"/>
          </w:tcPr>
          <w:p w14:paraId="78770A3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6" w:type="pct"/>
            <w:vMerge w:val="continue"/>
            <w:tcBorders>
              <w:tl2br w:val="nil"/>
              <w:tr2bl w:val="nil"/>
            </w:tcBorders>
            <w:noWrap w:val="0"/>
            <w:vAlign w:val="center"/>
          </w:tcPr>
          <w:p w14:paraId="3CB6B554">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14BFA30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87" w:hRule="atLeast"/>
          <w:jc w:val="center"/>
        </w:trPr>
        <w:tc>
          <w:tcPr>
            <w:tcW w:w="624" w:type="pct"/>
            <w:vMerge w:val="restart"/>
            <w:tcBorders>
              <w:tl2br w:val="nil"/>
              <w:tr2bl w:val="nil"/>
            </w:tcBorders>
            <w:noWrap w:val="0"/>
            <w:vAlign w:val="center"/>
          </w:tcPr>
          <w:p w14:paraId="3626E34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w:t>
            </w:r>
          </w:p>
          <w:p w14:paraId="7038E83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w:t>
            </w:r>
          </w:p>
        </w:tc>
        <w:tc>
          <w:tcPr>
            <w:tcW w:w="1470" w:type="pct"/>
            <w:tcBorders>
              <w:tl2br w:val="nil"/>
              <w:tr2bl w:val="nil"/>
            </w:tcBorders>
            <w:noWrap w:val="0"/>
            <w:vAlign w:val="center"/>
          </w:tcPr>
          <w:p w14:paraId="233F1FF6">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pacing w:val="0"/>
                <w:kern w:val="2"/>
                <w:sz w:val="21"/>
                <w:szCs w:val="22"/>
                <w:highlight w:val="none"/>
                <w:lang w:val="en-US" w:eastAsia="zh-CN" w:bidi="ar-SA"/>
              </w:rPr>
              <w:t>沼气除杂产生废过滤膜</w:t>
            </w:r>
          </w:p>
        </w:tc>
        <w:tc>
          <w:tcPr>
            <w:tcW w:w="1418" w:type="dxa"/>
            <w:tcBorders>
              <w:tl2br w:val="nil"/>
              <w:tr2bl w:val="nil"/>
            </w:tcBorders>
            <w:noWrap w:val="0"/>
            <w:vAlign w:val="center"/>
          </w:tcPr>
          <w:p w14:paraId="42E81ACC">
            <w:pPr>
              <w:bidi w:val="0"/>
              <w:jc w:val="center"/>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0.05</w:t>
            </w:r>
          </w:p>
        </w:tc>
        <w:tc>
          <w:tcPr>
            <w:tcW w:w="1516" w:type="pct"/>
            <w:vMerge w:val="restart"/>
            <w:tcBorders>
              <w:tl2br w:val="nil"/>
              <w:tr2bl w:val="nil"/>
            </w:tcBorders>
            <w:noWrap w:val="0"/>
            <w:vAlign w:val="center"/>
          </w:tcPr>
          <w:p w14:paraId="5DC6C3D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集中收集，外售综合利用</w:t>
            </w:r>
          </w:p>
        </w:tc>
        <w:tc>
          <w:tcPr>
            <w:tcW w:w="556" w:type="pct"/>
            <w:vMerge w:val="continue"/>
            <w:tcBorders>
              <w:tl2br w:val="nil"/>
              <w:tr2bl w:val="nil"/>
            </w:tcBorders>
            <w:noWrap w:val="0"/>
            <w:vAlign w:val="center"/>
          </w:tcPr>
          <w:p w14:paraId="17AE4424">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628818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02" w:hRule="atLeast"/>
          <w:jc w:val="center"/>
        </w:trPr>
        <w:tc>
          <w:tcPr>
            <w:tcW w:w="624" w:type="pct"/>
            <w:vMerge w:val="continue"/>
            <w:tcBorders>
              <w:tl2br w:val="nil"/>
              <w:tr2bl w:val="nil"/>
            </w:tcBorders>
            <w:noWrap w:val="0"/>
            <w:vAlign w:val="center"/>
          </w:tcPr>
          <w:p w14:paraId="4B17124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470" w:type="pct"/>
            <w:tcBorders>
              <w:tl2br w:val="nil"/>
              <w:tr2bl w:val="nil"/>
            </w:tcBorders>
            <w:noWrap w:val="0"/>
            <w:vAlign w:val="center"/>
          </w:tcPr>
          <w:p w14:paraId="3F5E0016">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pacing w:val="0"/>
                <w:kern w:val="2"/>
                <w:sz w:val="21"/>
                <w:szCs w:val="22"/>
                <w:highlight w:val="none"/>
                <w:lang w:val="en-US" w:eastAsia="zh-CN" w:bidi="ar-SA"/>
              </w:rPr>
              <w:t>废滤芯、废滤膜</w:t>
            </w:r>
          </w:p>
        </w:tc>
        <w:tc>
          <w:tcPr>
            <w:tcW w:w="1418" w:type="dxa"/>
            <w:tcBorders>
              <w:tl2br w:val="nil"/>
              <w:tr2bl w:val="nil"/>
            </w:tcBorders>
            <w:noWrap w:val="0"/>
            <w:vAlign w:val="center"/>
          </w:tcPr>
          <w:p w14:paraId="55B77C2F">
            <w:pPr>
              <w:bidi w:val="0"/>
              <w:jc w:val="center"/>
              <w:rPr>
                <w:rFonts w:hint="default" w:ascii="Times New Roman" w:hAnsi="Times New Roman" w:eastAsia="宋体" w:cs="Times New Roman"/>
                <w:color w:val="auto"/>
                <w:sz w:val="21"/>
                <w:szCs w:val="21"/>
                <w:highlight w:val="none"/>
                <w:lang w:val="en-US" w:eastAsia="zh-CN"/>
              </w:rPr>
            </w:pPr>
            <w:r>
              <w:rPr>
                <w:rFonts w:hint="eastAsia"/>
                <w:color w:val="auto"/>
                <w:highlight w:val="none"/>
                <w:lang w:val="en-US" w:eastAsia="zh-CN"/>
              </w:rPr>
              <w:t>0.5</w:t>
            </w:r>
          </w:p>
        </w:tc>
        <w:tc>
          <w:tcPr>
            <w:tcW w:w="1516" w:type="pct"/>
            <w:vMerge w:val="continue"/>
            <w:tcBorders>
              <w:tl2br w:val="nil"/>
              <w:tr2bl w:val="nil"/>
            </w:tcBorders>
            <w:noWrap w:val="0"/>
            <w:vAlign w:val="center"/>
          </w:tcPr>
          <w:p w14:paraId="7D5132B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6" w:type="pct"/>
            <w:vMerge w:val="continue"/>
            <w:tcBorders>
              <w:tl2br w:val="nil"/>
              <w:tr2bl w:val="nil"/>
            </w:tcBorders>
            <w:noWrap w:val="0"/>
            <w:vAlign w:val="center"/>
          </w:tcPr>
          <w:p w14:paraId="0AAEE8B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D7A69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24" w:type="pct"/>
            <w:vMerge w:val="continue"/>
            <w:tcBorders>
              <w:tl2br w:val="nil"/>
              <w:tr2bl w:val="nil"/>
            </w:tcBorders>
            <w:noWrap w:val="0"/>
            <w:vAlign w:val="center"/>
          </w:tcPr>
          <w:p w14:paraId="291947F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470" w:type="pct"/>
            <w:tcBorders>
              <w:tl2br w:val="nil"/>
              <w:tr2bl w:val="nil"/>
            </w:tcBorders>
            <w:noWrap w:val="0"/>
            <w:vAlign w:val="center"/>
          </w:tcPr>
          <w:p w14:paraId="41EF5B5B">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pacing w:val="0"/>
                <w:kern w:val="2"/>
                <w:sz w:val="21"/>
                <w:szCs w:val="22"/>
                <w:highlight w:val="none"/>
                <w:lang w:val="en-US" w:eastAsia="zh-CN" w:bidi="ar-SA"/>
              </w:rPr>
              <w:t>制氮机废过滤膜</w:t>
            </w:r>
          </w:p>
        </w:tc>
        <w:tc>
          <w:tcPr>
            <w:tcW w:w="1418" w:type="dxa"/>
            <w:tcBorders>
              <w:tl2br w:val="nil"/>
              <w:tr2bl w:val="nil"/>
            </w:tcBorders>
            <w:noWrap w:val="0"/>
            <w:vAlign w:val="center"/>
          </w:tcPr>
          <w:p w14:paraId="6A35AB80">
            <w:pPr>
              <w:bidi w:val="0"/>
              <w:jc w:val="center"/>
              <w:rPr>
                <w:rFonts w:hint="default" w:ascii="Times New Roman" w:hAnsi="Times New Roman" w:eastAsia="宋体" w:cs="Times New Roman"/>
                <w:color w:val="auto"/>
                <w:sz w:val="21"/>
                <w:szCs w:val="21"/>
                <w:highlight w:val="none"/>
                <w:lang w:val="en-US" w:eastAsia="zh-CN"/>
              </w:rPr>
            </w:pPr>
            <w:r>
              <w:rPr>
                <w:rFonts w:hint="default"/>
                <w:color w:val="auto"/>
                <w:highlight w:val="none"/>
                <w:lang w:val="en-US" w:eastAsia="zh-CN"/>
              </w:rPr>
              <w:t>0.</w:t>
            </w:r>
            <w:r>
              <w:rPr>
                <w:rFonts w:hint="eastAsia"/>
                <w:color w:val="auto"/>
                <w:highlight w:val="none"/>
                <w:lang w:val="en-US" w:eastAsia="zh-CN"/>
              </w:rPr>
              <w:t>1</w:t>
            </w:r>
          </w:p>
        </w:tc>
        <w:tc>
          <w:tcPr>
            <w:tcW w:w="1516" w:type="pct"/>
            <w:vMerge w:val="continue"/>
            <w:tcBorders>
              <w:tl2br w:val="nil"/>
              <w:tr2bl w:val="nil"/>
            </w:tcBorders>
            <w:noWrap w:val="0"/>
            <w:vAlign w:val="center"/>
          </w:tcPr>
          <w:p w14:paraId="7859D06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6" w:type="pct"/>
            <w:vMerge w:val="continue"/>
            <w:tcBorders>
              <w:tl2br w:val="nil"/>
              <w:tr2bl w:val="nil"/>
            </w:tcBorders>
            <w:noWrap w:val="0"/>
            <w:vAlign w:val="center"/>
          </w:tcPr>
          <w:p w14:paraId="4D4F4D1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6D9D34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24" w:type="pct"/>
            <w:vMerge w:val="continue"/>
            <w:tcBorders>
              <w:tl2br w:val="nil"/>
              <w:tr2bl w:val="nil"/>
            </w:tcBorders>
            <w:noWrap w:val="0"/>
            <w:vAlign w:val="center"/>
          </w:tcPr>
          <w:p w14:paraId="1B9F68C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1470" w:type="pct"/>
            <w:tcBorders>
              <w:tl2br w:val="nil"/>
              <w:tr2bl w:val="nil"/>
            </w:tcBorders>
            <w:noWrap w:val="0"/>
            <w:vAlign w:val="center"/>
          </w:tcPr>
          <w:p w14:paraId="45A2FFD9">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pacing w:val="0"/>
                <w:kern w:val="2"/>
                <w:sz w:val="21"/>
                <w:szCs w:val="22"/>
                <w:highlight w:val="none"/>
                <w:lang w:val="en-US" w:eastAsia="zh-CN" w:bidi="ar-SA"/>
              </w:rPr>
              <w:t>废包装桶</w:t>
            </w:r>
          </w:p>
        </w:tc>
        <w:tc>
          <w:tcPr>
            <w:tcW w:w="1418" w:type="dxa"/>
            <w:tcBorders>
              <w:tl2br w:val="nil"/>
              <w:tr2bl w:val="nil"/>
            </w:tcBorders>
            <w:noWrap w:val="0"/>
            <w:vAlign w:val="center"/>
          </w:tcPr>
          <w:p w14:paraId="050DB5DD">
            <w:pPr>
              <w:bidi w:val="0"/>
              <w:jc w:val="center"/>
              <w:rPr>
                <w:rFonts w:hint="default" w:cs="Times New Roman"/>
                <w:color w:val="auto"/>
                <w:sz w:val="21"/>
                <w:szCs w:val="21"/>
                <w:highlight w:val="none"/>
                <w:lang w:val="en-US" w:eastAsia="zh-CN"/>
              </w:rPr>
            </w:pPr>
            <w:r>
              <w:rPr>
                <w:rFonts w:hint="eastAsia"/>
                <w:color w:val="auto"/>
                <w:highlight w:val="none"/>
                <w:lang w:val="en-US" w:eastAsia="zh-CN"/>
              </w:rPr>
              <w:t>0.0018</w:t>
            </w:r>
          </w:p>
        </w:tc>
        <w:tc>
          <w:tcPr>
            <w:tcW w:w="1516" w:type="pct"/>
            <w:vMerge w:val="continue"/>
            <w:tcBorders>
              <w:tl2br w:val="nil"/>
              <w:tr2bl w:val="nil"/>
            </w:tcBorders>
            <w:noWrap w:val="0"/>
            <w:vAlign w:val="center"/>
          </w:tcPr>
          <w:p w14:paraId="63E52F8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556" w:type="pct"/>
            <w:vMerge w:val="continue"/>
            <w:tcBorders>
              <w:tl2br w:val="nil"/>
              <w:tr2bl w:val="nil"/>
            </w:tcBorders>
            <w:noWrap w:val="0"/>
            <w:vAlign w:val="center"/>
          </w:tcPr>
          <w:p w14:paraId="419C756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r w14:paraId="536227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24" w:type="pct"/>
            <w:tcBorders>
              <w:tl2br w:val="nil"/>
              <w:tr2bl w:val="nil"/>
            </w:tcBorders>
            <w:noWrap w:val="0"/>
            <w:vAlign w:val="center"/>
          </w:tcPr>
          <w:p w14:paraId="3673EEA4">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c>
          <w:tcPr>
            <w:tcW w:w="1470" w:type="pct"/>
            <w:tcBorders>
              <w:tl2br w:val="nil"/>
              <w:tr2bl w:val="nil"/>
            </w:tcBorders>
            <w:noWrap w:val="0"/>
            <w:vAlign w:val="center"/>
          </w:tcPr>
          <w:p w14:paraId="0FD5CC1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w:t>
            </w:r>
          </w:p>
        </w:tc>
        <w:tc>
          <w:tcPr>
            <w:tcW w:w="832" w:type="pct"/>
            <w:tcBorders>
              <w:tl2br w:val="nil"/>
              <w:tr2bl w:val="nil"/>
            </w:tcBorders>
            <w:noWrap w:val="0"/>
            <w:vAlign w:val="center"/>
          </w:tcPr>
          <w:p w14:paraId="7DEE57E9">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5.475</w:t>
            </w:r>
          </w:p>
        </w:tc>
        <w:tc>
          <w:tcPr>
            <w:tcW w:w="1516" w:type="pct"/>
            <w:tcBorders>
              <w:tl2br w:val="nil"/>
              <w:tr2bl w:val="nil"/>
            </w:tcBorders>
            <w:noWrap w:val="0"/>
            <w:vAlign w:val="center"/>
          </w:tcPr>
          <w:p w14:paraId="44E9C7B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委托环卫部门处理</w:t>
            </w:r>
          </w:p>
        </w:tc>
        <w:tc>
          <w:tcPr>
            <w:tcW w:w="556" w:type="pct"/>
            <w:vMerge w:val="continue"/>
            <w:tcBorders>
              <w:tl2br w:val="nil"/>
              <w:tr2bl w:val="nil"/>
            </w:tcBorders>
            <w:noWrap w:val="0"/>
            <w:vAlign w:val="center"/>
          </w:tcPr>
          <w:p w14:paraId="7BB4B2A4">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r>
    </w:tbl>
    <w:p w14:paraId="3BD37254">
      <w:pPr>
        <w:pStyle w:val="4"/>
        <w:spacing w:after="156"/>
        <w:rPr>
          <w:color w:val="auto"/>
          <w:highlight w:val="none"/>
        </w:rPr>
      </w:pPr>
      <w:bookmarkStart w:id="249" w:name="_Toc152921659"/>
      <w:bookmarkStart w:id="250" w:name="_Toc152922024"/>
      <w:bookmarkStart w:id="251" w:name="_Toc152923299"/>
      <w:bookmarkStart w:id="252" w:name="_Toc152922618"/>
      <w:bookmarkStart w:id="253" w:name="_Toc117150237"/>
      <w:r>
        <w:rPr>
          <w:color w:val="auto"/>
          <w:highlight w:val="none"/>
        </w:rPr>
        <w:t>3.</w:t>
      </w:r>
      <w:r>
        <w:rPr>
          <w:rFonts w:hint="eastAsia"/>
          <w:color w:val="auto"/>
          <w:highlight w:val="none"/>
          <w:lang w:val="en-US" w:eastAsia="zh-CN"/>
        </w:rPr>
        <w:t>5</w:t>
      </w:r>
      <w:r>
        <w:rPr>
          <w:color w:val="auto"/>
          <w:highlight w:val="none"/>
        </w:rPr>
        <w:t>.5建设项目污染物排放量汇总</w:t>
      </w:r>
      <w:bookmarkEnd w:id="249"/>
      <w:bookmarkEnd w:id="250"/>
      <w:bookmarkEnd w:id="251"/>
      <w:bookmarkEnd w:id="252"/>
      <w:bookmarkEnd w:id="253"/>
    </w:p>
    <w:p w14:paraId="5F776358">
      <w:pPr>
        <w:spacing w:line="360" w:lineRule="auto"/>
        <w:ind w:firstLine="480" w:firstLineChars="200"/>
        <w:jc w:val="left"/>
        <w:rPr>
          <w:rFonts w:ascii="Times New Roman" w:hAnsi="Times New Roman" w:eastAsia="宋体"/>
          <w:color w:val="auto"/>
          <w:sz w:val="24"/>
          <w:highlight w:val="none"/>
        </w:rPr>
      </w:pPr>
      <w:r>
        <w:rPr>
          <w:rFonts w:ascii="Times New Roman" w:hAnsi="Times New Roman" w:eastAsia="宋体"/>
          <w:color w:val="auto"/>
          <w:sz w:val="24"/>
          <w:highlight w:val="none"/>
        </w:rPr>
        <w:t>本项目污染物排放量汇总见表3.</w:t>
      </w:r>
      <w:r>
        <w:rPr>
          <w:rFonts w:hint="eastAsia" w:ascii="Times New Roman" w:hAnsi="Times New Roman" w:eastAsia="宋体"/>
          <w:color w:val="auto"/>
          <w:sz w:val="24"/>
          <w:highlight w:val="none"/>
          <w:lang w:val="en-US" w:eastAsia="zh-CN"/>
        </w:rPr>
        <w:t>4.5</w:t>
      </w:r>
      <w:r>
        <w:rPr>
          <w:rFonts w:ascii="Times New Roman" w:hAnsi="Times New Roman" w:eastAsia="宋体"/>
          <w:color w:val="auto"/>
          <w:sz w:val="24"/>
          <w:highlight w:val="none"/>
        </w:rPr>
        <w:t>-1。</w:t>
      </w:r>
    </w:p>
    <w:p w14:paraId="27ADF908">
      <w:pPr>
        <w:spacing w:line="360" w:lineRule="auto"/>
        <w:ind w:firstLine="482" w:firstLineChars="200"/>
        <w:jc w:val="center"/>
        <w:rPr>
          <w:rFonts w:hint="eastAsia" w:ascii="Times New Roman" w:hAnsi="Times New Roman" w:eastAsia="宋体"/>
          <w:b/>
          <w:color w:val="auto"/>
          <w:sz w:val="24"/>
          <w:highlight w:val="none"/>
          <w:lang w:val="en-US" w:eastAsia="zh-CN"/>
        </w:rPr>
      </w:pPr>
      <w:r>
        <w:rPr>
          <w:rFonts w:ascii="Times New Roman" w:hAnsi="Times New Roman" w:eastAsia="宋体"/>
          <w:b/>
          <w:color w:val="auto"/>
          <w:sz w:val="24"/>
          <w:highlight w:val="none"/>
        </w:rPr>
        <w:t>表3.</w:t>
      </w:r>
      <w:r>
        <w:rPr>
          <w:rFonts w:hint="eastAsia"/>
          <w:b/>
          <w:color w:val="auto"/>
          <w:sz w:val="24"/>
          <w:highlight w:val="none"/>
          <w:lang w:val="en-US" w:eastAsia="zh-CN"/>
        </w:rPr>
        <w:t>5</w:t>
      </w:r>
      <w:r>
        <w:rPr>
          <w:rFonts w:hint="eastAsia" w:ascii="Times New Roman" w:hAnsi="Times New Roman" w:eastAsia="宋体"/>
          <w:b/>
          <w:color w:val="auto"/>
          <w:sz w:val="24"/>
          <w:highlight w:val="none"/>
          <w:lang w:val="en-US" w:eastAsia="zh-CN"/>
        </w:rPr>
        <w:t>.5</w:t>
      </w:r>
      <w:r>
        <w:rPr>
          <w:rFonts w:ascii="Times New Roman" w:hAnsi="Times New Roman" w:eastAsia="宋体"/>
          <w:b/>
          <w:color w:val="auto"/>
          <w:sz w:val="24"/>
          <w:highlight w:val="none"/>
        </w:rPr>
        <w:t>-1</w:t>
      </w:r>
      <w:r>
        <w:rPr>
          <w:rFonts w:hint="eastAsia"/>
          <w:b/>
          <w:color w:val="auto"/>
          <w:sz w:val="24"/>
          <w:highlight w:val="none"/>
          <w:lang w:val="en-US" w:eastAsia="zh-CN"/>
        </w:rPr>
        <w:t xml:space="preserve">  </w:t>
      </w:r>
      <w:r>
        <w:rPr>
          <w:rFonts w:ascii="Times New Roman" w:hAnsi="Times New Roman" w:eastAsia="宋体"/>
          <w:b/>
          <w:color w:val="auto"/>
          <w:sz w:val="24"/>
          <w:highlight w:val="none"/>
        </w:rPr>
        <w:t>本项目污染物排放量汇总</w:t>
      </w:r>
      <w:r>
        <w:rPr>
          <w:rFonts w:hint="eastAsia" w:ascii="Times New Roman" w:hAnsi="Times New Roman" w:eastAsia="宋体"/>
          <w:b/>
          <w:color w:val="auto"/>
          <w:sz w:val="24"/>
          <w:highlight w:val="none"/>
          <w:lang w:val="en-US" w:eastAsia="zh-CN"/>
        </w:rPr>
        <w:t>表</w:t>
      </w:r>
    </w:p>
    <w:tbl>
      <w:tblPr>
        <w:tblStyle w:val="49"/>
        <w:tblW w:w="82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1985"/>
        <w:gridCol w:w="1701"/>
        <w:gridCol w:w="1761"/>
        <w:gridCol w:w="1678"/>
      </w:tblGrid>
      <w:tr w14:paraId="5545E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87" w:type="dxa"/>
            <w:tcBorders>
              <w:tl2br w:val="nil"/>
              <w:tr2bl w:val="nil"/>
            </w:tcBorders>
            <w:noWrap w:val="0"/>
            <w:vAlign w:val="center"/>
          </w:tcPr>
          <w:p w14:paraId="22446F42">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类别</w:t>
            </w:r>
          </w:p>
        </w:tc>
        <w:tc>
          <w:tcPr>
            <w:tcW w:w="1985" w:type="dxa"/>
            <w:tcBorders>
              <w:tl2br w:val="nil"/>
              <w:tr2bl w:val="nil"/>
            </w:tcBorders>
            <w:noWrap w:val="0"/>
            <w:vAlign w:val="center"/>
          </w:tcPr>
          <w:p w14:paraId="7E698551">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污染物名称</w:t>
            </w:r>
          </w:p>
        </w:tc>
        <w:tc>
          <w:tcPr>
            <w:tcW w:w="1701" w:type="dxa"/>
            <w:tcBorders>
              <w:tl2br w:val="nil"/>
              <w:tr2bl w:val="nil"/>
            </w:tcBorders>
            <w:noWrap w:val="0"/>
            <w:vAlign w:val="center"/>
          </w:tcPr>
          <w:p w14:paraId="1F208B6A">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产生量</w:t>
            </w:r>
          </w:p>
        </w:tc>
        <w:tc>
          <w:tcPr>
            <w:tcW w:w="1761" w:type="dxa"/>
            <w:tcBorders>
              <w:tl2br w:val="nil"/>
              <w:tr2bl w:val="nil"/>
            </w:tcBorders>
            <w:noWrap w:val="0"/>
            <w:vAlign w:val="center"/>
          </w:tcPr>
          <w:p w14:paraId="613F73AF">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削减量</w:t>
            </w:r>
          </w:p>
        </w:tc>
        <w:tc>
          <w:tcPr>
            <w:tcW w:w="1678" w:type="dxa"/>
            <w:tcBorders>
              <w:tl2br w:val="nil"/>
              <w:tr2bl w:val="nil"/>
            </w:tcBorders>
            <w:noWrap w:val="0"/>
            <w:vAlign w:val="center"/>
          </w:tcPr>
          <w:p w14:paraId="262F64A0">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排放量</w:t>
            </w:r>
          </w:p>
        </w:tc>
      </w:tr>
      <w:tr w14:paraId="07B92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restart"/>
            <w:tcBorders>
              <w:tl2br w:val="nil"/>
              <w:tr2bl w:val="nil"/>
            </w:tcBorders>
            <w:noWrap w:val="0"/>
            <w:vAlign w:val="center"/>
          </w:tcPr>
          <w:p w14:paraId="542812D9">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有组织</w:t>
            </w:r>
          </w:p>
          <w:p w14:paraId="1A303683">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废气</w:t>
            </w:r>
          </w:p>
        </w:tc>
        <w:tc>
          <w:tcPr>
            <w:tcW w:w="1985" w:type="dxa"/>
            <w:tcBorders>
              <w:tl2br w:val="nil"/>
              <w:tr2bl w:val="nil"/>
            </w:tcBorders>
            <w:noWrap w:val="0"/>
            <w:vAlign w:val="center"/>
          </w:tcPr>
          <w:p w14:paraId="1864ACFE">
            <w:pPr>
              <w:adjustRightInd w:val="0"/>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s="Times New Roman"/>
                <w:color w:val="auto"/>
                <w:sz w:val="21"/>
                <w:szCs w:val="21"/>
                <w:highlight w:val="none"/>
                <w:lang w:eastAsia="zh-CN"/>
              </w:rPr>
              <w:t>颗粒物</w:t>
            </w:r>
          </w:p>
        </w:tc>
        <w:tc>
          <w:tcPr>
            <w:tcW w:w="1701" w:type="dxa"/>
            <w:tcBorders>
              <w:tl2br w:val="nil"/>
              <w:tr2bl w:val="nil"/>
            </w:tcBorders>
            <w:noWrap w:val="0"/>
            <w:vAlign w:val="center"/>
          </w:tcPr>
          <w:p w14:paraId="0B41B1D1">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highlight w:val="none"/>
                <w:lang w:val="en-US" w:eastAsia="zh-CN"/>
              </w:rPr>
              <w:t>1.3365</w:t>
            </w:r>
          </w:p>
        </w:tc>
        <w:tc>
          <w:tcPr>
            <w:tcW w:w="1761" w:type="dxa"/>
            <w:tcBorders>
              <w:tl2br w:val="nil"/>
              <w:tr2bl w:val="nil"/>
            </w:tcBorders>
            <w:noWrap w:val="0"/>
            <w:vAlign w:val="center"/>
          </w:tcPr>
          <w:p w14:paraId="09D4C19A">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highlight w:val="none"/>
                <w:lang w:val="en-US" w:eastAsia="zh-CN"/>
              </w:rPr>
              <w:t>0</w:t>
            </w:r>
          </w:p>
        </w:tc>
        <w:tc>
          <w:tcPr>
            <w:tcW w:w="1678" w:type="dxa"/>
            <w:tcBorders>
              <w:tl2br w:val="nil"/>
              <w:tr2bl w:val="nil"/>
            </w:tcBorders>
            <w:noWrap w:val="0"/>
            <w:vAlign w:val="center"/>
          </w:tcPr>
          <w:p w14:paraId="04E47CFB">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highlight w:val="none"/>
                <w:lang w:val="en-US" w:eastAsia="zh-CN"/>
              </w:rPr>
              <w:t>1.3365</w:t>
            </w:r>
          </w:p>
        </w:tc>
      </w:tr>
      <w:tr w14:paraId="36B07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34D1B75C">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66DF377F">
            <w:pPr>
              <w:adjustRightInd w:val="0"/>
              <w:snapToGrid w:val="0"/>
              <w:jc w:val="center"/>
              <w:textAlignment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NOx</w:t>
            </w:r>
          </w:p>
        </w:tc>
        <w:tc>
          <w:tcPr>
            <w:tcW w:w="1701" w:type="dxa"/>
            <w:tcBorders>
              <w:tl2br w:val="nil"/>
              <w:tr2bl w:val="nil"/>
            </w:tcBorders>
            <w:noWrap w:val="0"/>
            <w:vAlign w:val="center"/>
          </w:tcPr>
          <w:p w14:paraId="693BA3E5">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highlight w:val="none"/>
                <w:lang w:val="en-US" w:eastAsia="zh-CN"/>
              </w:rPr>
              <w:t>8.7387</w:t>
            </w:r>
          </w:p>
        </w:tc>
        <w:tc>
          <w:tcPr>
            <w:tcW w:w="1761" w:type="dxa"/>
            <w:tcBorders>
              <w:tl2br w:val="nil"/>
              <w:tr2bl w:val="nil"/>
            </w:tcBorders>
            <w:noWrap w:val="0"/>
            <w:vAlign w:val="center"/>
          </w:tcPr>
          <w:p w14:paraId="616EF600">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highlight w:val="none"/>
                <w:lang w:val="en-US" w:eastAsia="zh-CN"/>
              </w:rPr>
              <w:t>4.3693</w:t>
            </w:r>
          </w:p>
        </w:tc>
        <w:tc>
          <w:tcPr>
            <w:tcW w:w="1678" w:type="dxa"/>
            <w:tcBorders>
              <w:tl2br w:val="nil"/>
              <w:tr2bl w:val="nil"/>
            </w:tcBorders>
            <w:noWrap w:val="0"/>
            <w:vAlign w:val="center"/>
          </w:tcPr>
          <w:p w14:paraId="533F9620">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highlight w:val="none"/>
                <w:lang w:val="en-US" w:eastAsia="zh-CN"/>
              </w:rPr>
              <w:t>4.3694</w:t>
            </w:r>
          </w:p>
        </w:tc>
      </w:tr>
      <w:tr w14:paraId="77A89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1166716D">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6F7D86C1">
            <w:pPr>
              <w:adjustRightInd w:val="0"/>
              <w:snapToGrid w:val="0"/>
              <w:jc w:val="center"/>
              <w:textAlignment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p>
        </w:tc>
        <w:tc>
          <w:tcPr>
            <w:tcW w:w="1701" w:type="dxa"/>
            <w:tcBorders>
              <w:tl2br w:val="nil"/>
              <w:tr2bl w:val="nil"/>
            </w:tcBorders>
            <w:noWrap w:val="0"/>
            <w:vAlign w:val="center"/>
          </w:tcPr>
          <w:p w14:paraId="214A15F1">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szCs w:val="21"/>
                <w:highlight w:val="none"/>
                <w:lang w:val="en-US" w:eastAsia="zh-CN"/>
              </w:rPr>
              <w:t>0.18</w:t>
            </w:r>
          </w:p>
        </w:tc>
        <w:tc>
          <w:tcPr>
            <w:tcW w:w="1761" w:type="dxa"/>
            <w:tcBorders>
              <w:tl2br w:val="nil"/>
              <w:tr2bl w:val="nil"/>
            </w:tcBorders>
            <w:noWrap w:val="0"/>
            <w:vAlign w:val="center"/>
          </w:tcPr>
          <w:p w14:paraId="438B7D40">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highlight w:val="none"/>
                <w:lang w:val="en-US" w:eastAsia="zh-CN"/>
              </w:rPr>
              <w:t>0</w:t>
            </w:r>
          </w:p>
        </w:tc>
        <w:tc>
          <w:tcPr>
            <w:tcW w:w="1678" w:type="dxa"/>
            <w:tcBorders>
              <w:tl2br w:val="nil"/>
              <w:tr2bl w:val="nil"/>
            </w:tcBorders>
            <w:noWrap w:val="0"/>
            <w:vAlign w:val="center"/>
          </w:tcPr>
          <w:p w14:paraId="76767704">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szCs w:val="21"/>
                <w:highlight w:val="none"/>
                <w:lang w:val="en-US" w:eastAsia="zh-CN"/>
              </w:rPr>
              <w:t>0.18</w:t>
            </w:r>
          </w:p>
        </w:tc>
      </w:tr>
      <w:tr w14:paraId="22544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689B3E43">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68B3A79F">
            <w:pPr>
              <w:adjustRightInd w:val="0"/>
              <w:snapToGrid w:val="0"/>
              <w:jc w:val="center"/>
              <w:textAlignment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eastAsia="zh-CN"/>
              </w:rPr>
              <w:t>非甲烷总烃</w:t>
            </w:r>
          </w:p>
        </w:tc>
        <w:tc>
          <w:tcPr>
            <w:tcW w:w="1701" w:type="dxa"/>
            <w:tcBorders>
              <w:tl2br w:val="nil"/>
              <w:tr2bl w:val="nil"/>
            </w:tcBorders>
            <w:noWrap w:val="0"/>
            <w:vAlign w:val="center"/>
          </w:tcPr>
          <w:p w14:paraId="6A737F27">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0.615</w:t>
            </w:r>
          </w:p>
        </w:tc>
        <w:tc>
          <w:tcPr>
            <w:tcW w:w="1761" w:type="dxa"/>
            <w:tcBorders>
              <w:tl2br w:val="nil"/>
              <w:tr2bl w:val="nil"/>
            </w:tcBorders>
            <w:noWrap w:val="0"/>
            <w:vAlign w:val="center"/>
          </w:tcPr>
          <w:p w14:paraId="4F7010D9">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kern w:val="0"/>
                <w:szCs w:val="21"/>
                <w:highlight w:val="none"/>
                <w:lang w:val="en-US" w:eastAsia="zh-CN"/>
              </w:rPr>
              <w:t>0</w:t>
            </w:r>
          </w:p>
        </w:tc>
        <w:tc>
          <w:tcPr>
            <w:tcW w:w="1678" w:type="dxa"/>
            <w:tcBorders>
              <w:tl2br w:val="nil"/>
              <w:tr2bl w:val="nil"/>
            </w:tcBorders>
            <w:noWrap w:val="0"/>
            <w:vAlign w:val="center"/>
          </w:tcPr>
          <w:p w14:paraId="14157C3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0.615</w:t>
            </w:r>
          </w:p>
        </w:tc>
      </w:tr>
      <w:tr w14:paraId="300C7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restart"/>
            <w:tcBorders>
              <w:tl2br w:val="nil"/>
              <w:tr2bl w:val="nil"/>
            </w:tcBorders>
            <w:noWrap w:val="0"/>
            <w:vAlign w:val="center"/>
          </w:tcPr>
          <w:p w14:paraId="1A38BDED">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无组织</w:t>
            </w:r>
          </w:p>
          <w:p w14:paraId="60EA45C3">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废气</w:t>
            </w:r>
          </w:p>
        </w:tc>
        <w:tc>
          <w:tcPr>
            <w:tcW w:w="1985" w:type="dxa"/>
            <w:tcBorders>
              <w:tl2br w:val="nil"/>
              <w:tr2bl w:val="nil"/>
            </w:tcBorders>
            <w:noWrap w:val="0"/>
            <w:vAlign w:val="center"/>
          </w:tcPr>
          <w:p w14:paraId="42D7BE76">
            <w:pPr>
              <w:adjustRightInd w:val="0"/>
              <w:snapToGrid w:val="0"/>
              <w:jc w:val="center"/>
              <w:textAlignment w:val="center"/>
              <w:rPr>
                <w:rFonts w:hint="eastAsia" w:ascii="Times New Roman" w:hAnsi="Times New Roman" w:eastAsia="宋体"/>
                <w:color w:val="auto"/>
                <w:kern w:val="0"/>
                <w:szCs w:val="21"/>
                <w:highlight w:val="none"/>
                <w:lang w:eastAsia="zh-CN"/>
              </w:rPr>
            </w:pPr>
            <w:r>
              <w:rPr>
                <w:rFonts w:hint="eastAsia" w:ascii="Times New Roman" w:hAnsi="Times New Roman" w:eastAsia="宋体" w:cs="Times New Roman"/>
                <w:color w:val="auto"/>
                <w:sz w:val="21"/>
                <w:szCs w:val="21"/>
                <w:highlight w:val="none"/>
                <w:lang w:eastAsia="zh-CN"/>
              </w:rPr>
              <w:t>非甲烷总烃</w:t>
            </w:r>
          </w:p>
        </w:tc>
        <w:tc>
          <w:tcPr>
            <w:tcW w:w="1701" w:type="dxa"/>
            <w:tcBorders>
              <w:tl2br w:val="nil"/>
              <w:tr2bl w:val="nil"/>
            </w:tcBorders>
            <w:noWrap w:val="0"/>
            <w:vAlign w:val="center"/>
          </w:tcPr>
          <w:p w14:paraId="43E432FF">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highlight w:val="none"/>
                <w:lang w:val="en-US" w:eastAsia="zh-CN"/>
              </w:rPr>
              <w:t>1.1666</w:t>
            </w:r>
          </w:p>
        </w:tc>
        <w:tc>
          <w:tcPr>
            <w:tcW w:w="1761" w:type="dxa"/>
            <w:tcBorders>
              <w:tl2br w:val="nil"/>
              <w:tr2bl w:val="nil"/>
            </w:tcBorders>
            <w:noWrap w:val="0"/>
            <w:vAlign w:val="center"/>
          </w:tcPr>
          <w:p w14:paraId="246DB31A">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c>
          <w:tcPr>
            <w:tcW w:w="1678" w:type="dxa"/>
            <w:tcBorders>
              <w:tl2br w:val="nil"/>
              <w:tr2bl w:val="nil"/>
            </w:tcBorders>
            <w:noWrap w:val="0"/>
            <w:vAlign w:val="center"/>
          </w:tcPr>
          <w:p w14:paraId="304EC57E">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highlight w:val="none"/>
                <w:lang w:val="en-US" w:eastAsia="zh-CN"/>
              </w:rPr>
              <w:t>1.1666</w:t>
            </w:r>
          </w:p>
        </w:tc>
      </w:tr>
      <w:tr w14:paraId="17F4E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57FDC706">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7526B4E8">
            <w:pPr>
              <w:adjustRightInd w:val="0"/>
              <w:snapToGrid w:val="0"/>
              <w:jc w:val="center"/>
              <w:textAlignment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颗粒物</w:t>
            </w:r>
          </w:p>
        </w:tc>
        <w:tc>
          <w:tcPr>
            <w:tcW w:w="1701" w:type="dxa"/>
            <w:tcBorders>
              <w:tl2br w:val="nil"/>
              <w:tr2bl w:val="nil"/>
            </w:tcBorders>
            <w:noWrap w:val="0"/>
            <w:vAlign w:val="center"/>
          </w:tcPr>
          <w:p w14:paraId="33306D72">
            <w:pPr>
              <w:snapToGrid w:val="0"/>
              <w:jc w:val="center"/>
              <w:rPr>
                <w:rFonts w:hint="default" w:ascii="Times New Roman" w:hAnsi="Times New Roman" w:eastAsia="宋体"/>
                <w:color w:val="auto"/>
                <w:sz w:val="24"/>
                <w:szCs w:val="24"/>
                <w:highlight w:val="none"/>
                <w:lang w:val="en-US" w:eastAsia="zh-CN"/>
              </w:rPr>
            </w:pPr>
            <w:r>
              <w:rPr>
                <w:rFonts w:hint="eastAsia" w:ascii="Times New Roman" w:hAnsi="Times New Roman" w:eastAsia="宋体"/>
                <w:color w:val="auto"/>
                <w:sz w:val="24"/>
                <w:szCs w:val="24"/>
                <w:highlight w:val="none"/>
                <w:lang w:val="en-US" w:eastAsia="zh-CN"/>
              </w:rPr>
              <w:t>/</w:t>
            </w:r>
          </w:p>
        </w:tc>
        <w:tc>
          <w:tcPr>
            <w:tcW w:w="1761" w:type="dxa"/>
            <w:tcBorders>
              <w:tl2br w:val="nil"/>
              <w:tr2bl w:val="nil"/>
            </w:tcBorders>
            <w:noWrap w:val="0"/>
            <w:vAlign w:val="center"/>
          </w:tcPr>
          <w:p w14:paraId="132298AF">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w:t>
            </w:r>
          </w:p>
        </w:tc>
        <w:tc>
          <w:tcPr>
            <w:tcW w:w="1678" w:type="dxa"/>
            <w:tcBorders>
              <w:tl2br w:val="nil"/>
              <w:tr2bl w:val="nil"/>
            </w:tcBorders>
            <w:noWrap w:val="0"/>
            <w:vAlign w:val="center"/>
          </w:tcPr>
          <w:p w14:paraId="033AC454">
            <w:pPr>
              <w:snapToGrid w:val="0"/>
              <w:jc w:val="center"/>
              <w:rPr>
                <w:rFonts w:hint="eastAsia" w:ascii="Times New Roman" w:hAnsi="Times New Roman" w:eastAsia="宋体"/>
                <w:color w:val="auto"/>
                <w:sz w:val="24"/>
                <w:szCs w:val="24"/>
                <w:highlight w:val="none"/>
                <w:lang w:val="en-US" w:eastAsia="zh-CN"/>
              </w:rPr>
            </w:pPr>
            <w:r>
              <w:rPr>
                <w:rFonts w:hint="eastAsia" w:ascii="Times New Roman" w:hAnsi="Times New Roman" w:eastAsia="宋体"/>
                <w:color w:val="auto"/>
                <w:sz w:val="24"/>
                <w:szCs w:val="24"/>
                <w:highlight w:val="none"/>
                <w:lang w:val="en-US" w:eastAsia="zh-CN"/>
              </w:rPr>
              <w:t>/</w:t>
            </w:r>
          </w:p>
        </w:tc>
      </w:tr>
      <w:tr w14:paraId="123E7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1A7C5471">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7D2A6753">
            <w:pPr>
              <w:adjustRightInd w:val="0"/>
              <w:snapToGrid w:val="0"/>
              <w:jc w:val="center"/>
              <w:textAlignment w:val="center"/>
              <w:rPr>
                <w:rFonts w:ascii="Times New Roman" w:hAnsi="Times New Roman" w:eastAsia="宋体"/>
                <w:color w:val="auto"/>
                <w:kern w:val="0"/>
                <w:szCs w:val="21"/>
                <w:highlight w:val="none"/>
              </w:rPr>
            </w:pPr>
            <w:r>
              <w:rPr>
                <w:rFonts w:hint="eastAsia" w:ascii="Times New Roman" w:hAnsi="Times New Roman" w:eastAsia="宋体"/>
                <w:color w:val="auto"/>
                <w:szCs w:val="21"/>
                <w:highlight w:val="none"/>
                <w:lang w:val="en-US" w:eastAsia="zh-CN"/>
              </w:rPr>
              <w:t>H</w:t>
            </w:r>
            <w:r>
              <w:rPr>
                <w:rFonts w:hint="eastAsia" w:ascii="Times New Roman" w:hAnsi="Times New Roman" w:eastAsia="宋体"/>
                <w:color w:val="auto"/>
                <w:szCs w:val="21"/>
                <w:highlight w:val="none"/>
                <w:vertAlign w:val="subscript"/>
                <w:lang w:val="en-US" w:eastAsia="zh-CN"/>
              </w:rPr>
              <w:t>2</w:t>
            </w:r>
          </w:p>
        </w:tc>
        <w:tc>
          <w:tcPr>
            <w:tcW w:w="1701" w:type="dxa"/>
            <w:tcBorders>
              <w:tl2br w:val="nil"/>
              <w:tr2bl w:val="nil"/>
            </w:tcBorders>
            <w:noWrap w:val="0"/>
            <w:vAlign w:val="center"/>
          </w:tcPr>
          <w:p w14:paraId="7C3CD800">
            <w:pPr>
              <w:snapToGrid w:val="0"/>
              <w:jc w:val="center"/>
              <w:rPr>
                <w:rFonts w:hint="default" w:ascii="Times New Roman" w:hAnsi="Times New Roman" w:eastAsia="宋体"/>
                <w:color w:val="auto"/>
                <w:sz w:val="24"/>
                <w:szCs w:val="24"/>
                <w:highlight w:val="none"/>
                <w:lang w:val="en-US"/>
              </w:rPr>
            </w:pPr>
            <w:r>
              <w:rPr>
                <w:rFonts w:hint="eastAsia" w:ascii="Times New Roman" w:hAnsi="Times New Roman" w:eastAsia="宋体"/>
                <w:color w:val="auto"/>
                <w:sz w:val="24"/>
                <w:szCs w:val="24"/>
                <w:highlight w:val="none"/>
                <w:lang w:val="en-US" w:eastAsia="zh-CN"/>
              </w:rPr>
              <w:t>/</w:t>
            </w:r>
          </w:p>
        </w:tc>
        <w:tc>
          <w:tcPr>
            <w:tcW w:w="1761" w:type="dxa"/>
            <w:tcBorders>
              <w:tl2br w:val="nil"/>
              <w:tr2bl w:val="nil"/>
            </w:tcBorders>
            <w:noWrap w:val="0"/>
            <w:vAlign w:val="center"/>
          </w:tcPr>
          <w:p w14:paraId="78AEC7B2">
            <w:pPr>
              <w:widowControl/>
              <w:snapToGrid w:val="0"/>
              <w:jc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w:t>
            </w:r>
          </w:p>
        </w:tc>
        <w:tc>
          <w:tcPr>
            <w:tcW w:w="1678" w:type="dxa"/>
            <w:tcBorders>
              <w:tl2br w:val="nil"/>
              <w:tr2bl w:val="nil"/>
            </w:tcBorders>
            <w:noWrap w:val="0"/>
            <w:vAlign w:val="center"/>
          </w:tcPr>
          <w:p w14:paraId="11304074">
            <w:pPr>
              <w:snapToGrid w:val="0"/>
              <w:jc w:val="center"/>
              <w:rPr>
                <w:rFonts w:hint="default" w:ascii="Times New Roman" w:hAnsi="Times New Roman" w:eastAsia="宋体"/>
                <w:color w:val="auto"/>
                <w:sz w:val="24"/>
                <w:szCs w:val="24"/>
                <w:highlight w:val="none"/>
                <w:lang w:val="en-US"/>
              </w:rPr>
            </w:pPr>
            <w:r>
              <w:rPr>
                <w:rFonts w:hint="eastAsia" w:ascii="Times New Roman" w:hAnsi="Times New Roman" w:eastAsia="宋体"/>
                <w:color w:val="auto"/>
                <w:sz w:val="24"/>
                <w:szCs w:val="24"/>
                <w:highlight w:val="none"/>
                <w:lang w:val="en-US" w:eastAsia="zh-CN"/>
              </w:rPr>
              <w:t>/</w:t>
            </w:r>
          </w:p>
        </w:tc>
      </w:tr>
      <w:tr w14:paraId="4AAA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5579F881">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5A33F2EE">
            <w:pPr>
              <w:adjustRightInd w:val="0"/>
              <w:snapToGrid w:val="0"/>
              <w:jc w:val="center"/>
              <w:textAlignment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vertAlign w:val="baseline"/>
                <w:lang w:val="en-US" w:eastAsia="zh-CN"/>
              </w:rPr>
              <w:t>CH</w:t>
            </w:r>
            <w:r>
              <w:rPr>
                <w:rFonts w:hint="eastAsia" w:ascii="Times New Roman" w:hAnsi="Times New Roman" w:eastAsia="宋体"/>
                <w:color w:val="auto"/>
                <w:szCs w:val="21"/>
                <w:highlight w:val="none"/>
                <w:vertAlign w:val="subscript"/>
                <w:lang w:val="en-US" w:eastAsia="zh-CN"/>
              </w:rPr>
              <w:t>4</w:t>
            </w:r>
          </w:p>
        </w:tc>
        <w:tc>
          <w:tcPr>
            <w:tcW w:w="1701" w:type="dxa"/>
            <w:tcBorders>
              <w:tl2br w:val="nil"/>
              <w:tr2bl w:val="nil"/>
            </w:tcBorders>
            <w:noWrap w:val="0"/>
            <w:vAlign w:val="center"/>
          </w:tcPr>
          <w:p w14:paraId="084A66A7">
            <w:pPr>
              <w:snapToGrid w:val="0"/>
              <w:jc w:val="center"/>
              <w:rPr>
                <w:rFonts w:hint="eastAsia" w:ascii="Times New Roman" w:hAnsi="Times New Roman"/>
                <w:color w:val="auto"/>
                <w:highlight w:val="none"/>
                <w:lang w:val="en-US" w:eastAsia="zh-CN"/>
              </w:rPr>
            </w:pPr>
            <w:r>
              <w:rPr>
                <w:rFonts w:hint="eastAsia" w:ascii="Times New Roman" w:hAnsi="Times New Roman" w:eastAsia="宋体"/>
                <w:color w:val="auto"/>
                <w:sz w:val="24"/>
                <w:szCs w:val="24"/>
                <w:highlight w:val="none"/>
                <w:lang w:val="en-US" w:eastAsia="zh-CN"/>
              </w:rPr>
              <w:t>/</w:t>
            </w:r>
          </w:p>
        </w:tc>
        <w:tc>
          <w:tcPr>
            <w:tcW w:w="1761" w:type="dxa"/>
            <w:tcBorders>
              <w:tl2br w:val="nil"/>
              <w:tr2bl w:val="nil"/>
            </w:tcBorders>
            <w:noWrap w:val="0"/>
            <w:vAlign w:val="center"/>
          </w:tcPr>
          <w:p w14:paraId="35849E79">
            <w:pPr>
              <w:widowControl/>
              <w:snapToGrid w:val="0"/>
              <w:jc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w:t>
            </w:r>
          </w:p>
        </w:tc>
        <w:tc>
          <w:tcPr>
            <w:tcW w:w="1678" w:type="dxa"/>
            <w:tcBorders>
              <w:tl2br w:val="nil"/>
              <w:tr2bl w:val="nil"/>
            </w:tcBorders>
            <w:noWrap w:val="0"/>
            <w:vAlign w:val="center"/>
          </w:tcPr>
          <w:p w14:paraId="32A15340">
            <w:pPr>
              <w:snapToGrid w:val="0"/>
              <w:jc w:val="center"/>
              <w:rPr>
                <w:rFonts w:hint="eastAsia" w:ascii="Times New Roman" w:hAnsi="Times New Roman"/>
                <w:color w:val="auto"/>
                <w:highlight w:val="none"/>
                <w:lang w:val="en-US" w:eastAsia="zh-CN"/>
              </w:rPr>
            </w:pPr>
            <w:r>
              <w:rPr>
                <w:rFonts w:hint="eastAsia" w:ascii="Times New Roman" w:hAnsi="Times New Roman" w:eastAsia="宋体"/>
                <w:color w:val="auto"/>
                <w:sz w:val="24"/>
                <w:szCs w:val="24"/>
                <w:highlight w:val="none"/>
                <w:lang w:val="en-US" w:eastAsia="zh-CN"/>
              </w:rPr>
              <w:t>/</w:t>
            </w:r>
          </w:p>
        </w:tc>
      </w:tr>
      <w:tr w14:paraId="4A575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087" w:type="dxa"/>
            <w:vMerge w:val="continue"/>
            <w:tcBorders>
              <w:tl2br w:val="nil"/>
              <w:tr2bl w:val="nil"/>
            </w:tcBorders>
            <w:noWrap w:val="0"/>
            <w:vAlign w:val="center"/>
          </w:tcPr>
          <w:p w14:paraId="4B23A161">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026E24CE">
            <w:pPr>
              <w:adjustRightInd w:val="0"/>
              <w:snapToGrid w:val="0"/>
              <w:jc w:val="center"/>
              <w:textAlignment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vertAlign w:val="baseline"/>
                <w:lang w:val="en-US" w:eastAsia="zh-CN"/>
              </w:rPr>
              <w:t>H</w:t>
            </w:r>
            <w:r>
              <w:rPr>
                <w:rFonts w:hint="eastAsia" w:ascii="Times New Roman" w:hAnsi="Times New Roman" w:eastAsia="宋体"/>
                <w:color w:val="auto"/>
                <w:szCs w:val="21"/>
                <w:highlight w:val="none"/>
                <w:vertAlign w:val="subscript"/>
                <w:lang w:val="en-US" w:eastAsia="zh-CN"/>
              </w:rPr>
              <w:t>2</w:t>
            </w:r>
            <w:r>
              <w:rPr>
                <w:rFonts w:hint="eastAsia" w:ascii="Times New Roman" w:hAnsi="Times New Roman" w:eastAsia="宋体"/>
                <w:color w:val="auto"/>
                <w:szCs w:val="21"/>
                <w:highlight w:val="none"/>
                <w:vertAlign w:val="baseline"/>
                <w:lang w:val="en-US" w:eastAsia="zh-CN"/>
              </w:rPr>
              <w:t>S</w:t>
            </w:r>
          </w:p>
        </w:tc>
        <w:tc>
          <w:tcPr>
            <w:tcW w:w="1701" w:type="dxa"/>
            <w:tcBorders>
              <w:tl2br w:val="nil"/>
              <w:tr2bl w:val="nil"/>
            </w:tcBorders>
            <w:noWrap w:val="0"/>
            <w:vAlign w:val="center"/>
          </w:tcPr>
          <w:p w14:paraId="131EB60A">
            <w:pPr>
              <w:snapToGrid w:val="0"/>
              <w:jc w:val="center"/>
              <w:rPr>
                <w:rFonts w:hint="eastAsia" w:ascii="Times New Roman" w:hAnsi="Times New Roman"/>
                <w:color w:val="auto"/>
                <w:highlight w:val="none"/>
                <w:lang w:val="en-US" w:eastAsia="zh-CN"/>
              </w:rPr>
            </w:pPr>
            <w:r>
              <w:rPr>
                <w:rFonts w:hint="eastAsia" w:ascii="Times New Roman" w:hAnsi="Times New Roman" w:eastAsia="宋体"/>
                <w:color w:val="auto"/>
                <w:sz w:val="24"/>
                <w:szCs w:val="24"/>
                <w:highlight w:val="none"/>
                <w:lang w:val="en-US" w:eastAsia="zh-CN"/>
              </w:rPr>
              <w:t>/</w:t>
            </w:r>
          </w:p>
        </w:tc>
        <w:tc>
          <w:tcPr>
            <w:tcW w:w="1761" w:type="dxa"/>
            <w:tcBorders>
              <w:tl2br w:val="nil"/>
              <w:tr2bl w:val="nil"/>
            </w:tcBorders>
            <w:noWrap w:val="0"/>
            <w:vAlign w:val="center"/>
          </w:tcPr>
          <w:p w14:paraId="140CCB44">
            <w:pPr>
              <w:widowControl/>
              <w:snapToGrid w:val="0"/>
              <w:jc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w:t>
            </w:r>
          </w:p>
        </w:tc>
        <w:tc>
          <w:tcPr>
            <w:tcW w:w="1678" w:type="dxa"/>
            <w:tcBorders>
              <w:tl2br w:val="nil"/>
              <w:tr2bl w:val="nil"/>
            </w:tcBorders>
            <w:noWrap w:val="0"/>
            <w:vAlign w:val="center"/>
          </w:tcPr>
          <w:p w14:paraId="26CFE7B6">
            <w:pPr>
              <w:snapToGrid w:val="0"/>
              <w:jc w:val="center"/>
              <w:rPr>
                <w:rFonts w:hint="eastAsia" w:ascii="Times New Roman" w:hAnsi="Times New Roman"/>
                <w:color w:val="auto"/>
                <w:highlight w:val="none"/>
                <w:lang w:val="en-US" w:eastAsia="zh-CN"/>
              </w:rPr>
            </w:pPr>
            <w:r>
              <w:rPr>
                <w:rFonts w:hint="eastAsia" w:ascii="Times New Roman" w:hAnsi="Times New Roman" w:eastAsia="宋体"/>
                <w:color w:val="auto"/>
                <w:sz w:val="24"/>
                <w:szCs w:val="24"/>
                <w:highlight w:val="none"/>
                <w:lang w:val="en-US" w:eastAsia="zh-CN"/>
              </w:rPr>
              <w:t>/</w:t>
            </w:r>
          </w:p>
        </w:tc>
      </w:tr>
      <w:tr w14:paraId="3ECC2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087" w:type="dxa"/>
            <w:vMerge w:val="continue"/>
            <w:tcBorders>
              <w:tl2br w:val="nil"/>
              <w:tr2bl w:val="nil"/>
            </w:tcBorders>
            <w:noWrap w:val="0"/>
            <w:vAlign w:val="center"/>
          </w:tcPr>
          <w:p w14:paraId="14B2D4B6">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6D298DF0">
            <w:pPr>
              <w:adjustRightInd w:val="0"/>
              <w:snapToGrid w:val="0"/>
              <w:jc w:val="center"/>
              <w:textAlignment w:val="center"/>
              <w:rPr>
                <w:rFonts w:hint="eastAsia" w:ascii="Times New Roman" w:hAnsi="Times New Roman" w:eastAsia="宋体"/>
                <w:color w:val="auto"/>
                <w:szCs w:val="21"/>
                <w:highlight w:val="none"/>
                <w:vertAlign w:val="baseline"/>
                <w:lang w:val="en-US" w:eastAsia="zh-CN"/>
              </w:rPr>
            </w:pPr>
            <w:r>
              <w:rPr>
                <w:rFonts w:hint="eastAsia" w:ascii="Times New Roman" w:hAnsi="Times New Roman" w:eastAsia="宋体"/>
                <w:color w:val="auto"/>
                <w:szCs w:val="21"/>
                <w:highlight w:val="none"/>
                <w:vertAlign w:val="baseline"/>
                <w:lang w:val="en-US" w:eastAsia="zh-CN"/>
              </w:rPr>
              <w:t>CO</w:t>
            </w:r>
          </w:p>
        </w:tc>
        <w:tc>
          <w:tcPr>
            <w:tcW w:w="1701" w:type="dxa"/>
            <w:tcBorders>
              <w:tl2br w:val="nil"/>
              <w:tr2bl w:val="nil"/>
            </w:tcBorders>
            <w:noWrap w:val="0"/>
            <w:vAlign w:val="center"/>
          </w:tcPr>
          <w:p w14:paraId="7D203891">
            <w:pPr>
              <w:snapToGrid w:val="0"/>
              <w:jc w:val="center"/>
              <w:rPr>
                <w:rFonts w:hint="eastAsia" w:ascii="Times New Roman" w:hAnsi="Times New Roman"/>
                <w:color w:val="auto"/>
                <w:highlight w:val="none"/>
                <w:lang w:val="en-US" w:eastAsia="zh-CN"/>
              </w:rPr>
            </w:pPr>
            <w:r>
              <w:rPr>
                <w:rFonts w:hint="eastAsia" w:ascii="Times New Roman" w:hAnsi="Times New Roman" w:eastAsia="宋体"/>
                <w:color w:val="auto"/>
                <w:sz w:val="24"/>
                <w:szCs w:val="24"/>
                <w:highlight w:val="none"/>
                <w:lang w:val="en-US" w:eastAsia="zh-CN"/>
              </w:rPr>
              <w:t>/</w:t>
            </w:r>
          </w:p>
        </w:tc>
        <w:tc>
          <w:tcPr>
            <w:tcW w:w="1761" w:type="dxa"/>
            <w:tcBorders>
              <w:tl2br w:val="nil"/>
              <w:tr2bl w:val="nil"/>
            </w:tcBorders>
            <w:noWrap w:val="0"/>
            <w:vAlign w:val="center"/>
          </w:tcPr>
          <w:p w14:paraId="7C3CD16C">
            <w:pPr>
              <w:widowControl/>
              <w:snapToGrid w:val="0"/>
              <w:jc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w:t>
            </w:r>
          </w:p>
        </w:tc>
        <w:tc>
          <w:tcPr>
            <w:tcW w:w="1678" w:type="dxa"/>
            <w:tcBorders>
              <w:tl2br w:val="nil"/>
              <w:tr2bl w:val="nil"/>
            </w:tcBorders>
            <w:noWrap w:val="0"/>
            <w:vAlign w:val="center"/>
          </w:tcPr>
          <w:p w14:paraId="77241463">
            <w:pPr>
              <w:snapToGrid w:val="0"/>
              <w:jc w:val="center"/>
              <w:rPr>
                <w:rFonts w:hint="eastAsia" w:ascii="Times New Roman" w:hAnsi="Times New Roman"/>
                <w:color w:val="auto"/>
                <w:highlight w:val="none"/>
                <w:lang w:val="en-US" w:eastAsia="zh-CN"/>
              </w:rPr>
            </w:pPr>
            <w:r>
              <w:rPr>
                <w:rFonts w:hint="eastAsia" w:ascii="Times New Roman" w:hAnsi="Times New Roman" w:eastAsia="宋体"/>
                <w:color w:val="auto"/>
                <w:sz w:val="24"/>
                <w:szCs w:val="24"/>
                <w:highlight w:val="none"/>
                <w:lang w:val="en-US" w:eastAsia="zh-CN"/>
              </w:rPr>
              <w:t>/</w:t>
            </w:r>
          </w:p>
        </w:tc>
      </w:tr>
      <w:tr w14:paraId="7D7DC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restart"/>
            <w:tcBorders>
              <w:tl2br w:val="nil"/>
              <w:tr2bl w:val="nil"/>
            </w:tcBorders>
            <w:noWrap w:val="0"/>
            <w:vAlign w:val="center"/>
          </w:tcPr>
          <w:p w14:paraId="007FB530">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综合废水</w:t>
            </w:r>
          </w:p>
        </w:tc>
        <w:tc>
          <w:tcPr>
            <w:tcW w:w="1985" w:type="dxa"/>
            <w:tcBorders>
              <w:tl2br w:val="nil"/>
              <w:tr2bl w:val="nil"/>
            </w:tcBorders>
            <w:noWrap w:val="0"/>
            <w:vAlign w:val="center"/>
          </w:tcPr>
          <w:p w14:paraId="012F6DFE">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废水量</w:t>
            </w:r>
          </w:p>
        </w:tc>
        <w:tc>
          <w:tcPr>
            <w:tcW w:w="1701" w:type="dxa"/>
            <w:tcBorders>
              <w:tl2br w:val="nil"/>
              <w:tr2bl w:val="nil"/>
            </w:tcBorders>
            <w:noWrap w:val="0"/>
            <w:vAlign w:val="center"/>
          </w:tcPr>
          <w:p w14:paraId="03AA5808">
            <w:pPr>
              <w:widowControl/>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cs="Times New Roman"/>
                <w:color w:val="auto"/>
                <w:sz w:val="21"/>
                <w:szCs w:val="21"/>
                <w:highlight w:val="none"/>
                <w:lang w:val="en-US" w:eastAsia="zh-CN"/>
              </w:rPr>
              <w:t>3914.884</w:t>
            </w:r>
          </w:p>
        </w:tc>
        <w:tc>
          <w:tcPr>
            <w:tcW w:w="1761" w:type="dxa"/>
            <w:tcBorders>
              <w:tl2br w:val="nil"/>
              <w:tr2bl w:val="nil"/>
            </w:tcBorders>
            <w:noWrap w:val="0"/>
            <w:vAlign w:val="center"/>
          </w:tcPr>
          <w:p w14:paraId="6C2429AA">
            <w:pPr>
              <w:widowControl/>
              <w:snapToGrid w:val="0"/>
              <w:jc w:val="center"/>
              <w:rPr>
                <w:rFonts w:ascii="Times New Roman" w:hAnsi="Times New Roman" w:eastAsia="宋体"/>
                <w:color w:val="auto"/>
                <w:sz w:val="24"/>
                <w:szCs w:val="24"/>
                <w:highlight w:val="none"/>
              </w:rPr>
            </w:pPr>
            <w:r>
              <w:rPr>
                <w:rFonts w:ascii="Times New Roman" w:hAnsi="Times New Roman" w:eastAsia="宋体"/>
                <w:color w:val="auto"/>
                <w:kern w:val="0"/>
                <w:szCs w:val="21"/>
                <w:highlight w:val="none"/>
              </w:rPr>
              <w:t>0</w:t>
            </w:r>
          </w:p>
        </w:tc>
        <w:tc>
          <w:tcPr>
            <w:tcW w:w="1678" w:type="dxa"/>
            <w:tcBorders>
              <w:tl2br w:val="nil"/>
              <w:tr2bl w:val="nil"/>
            </w:tcBorders>
            <w:noWrap w:val="0"/>
            <w:vAlign w:val="center"/>
          </w:tcPr>
          <w:p w14:paraId="5D522AC5">
            <w:pPr>
              <w:widowControl/>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cs="Times New Roman"/>
                <w:color w:val="auto"/>
                <w:sz w:val="21"/>
                <w:szCs w:val="21"/>
                <w:highlight w:val="none"/>
                <w:lang w:val="en-US" w:eastAsia="zh-CN"/>
              </w:rPr>
              <w:t>3914.884</w:t>
            </w:r>
          </w:p>
        </w:tc>
      </w:tr>
      <w:tr w14:paraId="2A074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0CC5DF0C">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404B781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rPr>
              <w:t>COD</w:t>
            </w:r>
          </w:p>
        </w:tc>
        <w:tc>
          <w:tcPr>
            <w:tcW w:w="1701" w:type="dxa"/>
            <w:tcBorders>
              <w:tl2br w:val="nil"/>
              <w:tr2bl w:val="nil"/>
            </w:tcBorders>
            <w:noWrap w:val="0"/>
            <w:vAlign w:val="center"/>
          </w:tcPr>
          <w:p w14:paraId="7FB8EF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szCs w:val="21"/>
                <w:highlight w:val="none"/>
                <w:lang w:val="en-US"/>
              </w:rPr>
            </w:pPr>
            <w:r>
              <w:rPr>
                <w:rFonts w:hint="eastAsia" w:cs="Times New Roman"/>
                <w:color w:val="auto"/>
                <w:sz w:val="21"/>
                <w:szCs w:val="21"/>
                <w:highlight w:val="none"/>
                <w:lang w:val="en-US" w:eastAsia="zh-CN"/>
              </w:rPr>
              <w:t>0.922</w:t>
            </w:r>
          </w:p>
        </w:tc>
        <w:tc>
          <w:tcPr>
            <w:tcW w:w="1761" w:type="dxa"/>
            <w:tcBorders>
              <w:tl2br w:val="nil"/>
              <w:tr2bl w:val="nil"/>
            </w:tcBorders>
            <w:noWrap w:val="0"/>
            <w:vAlign w:val="center"/>
          </w:tcPr>
          <w:p w14:paraId="5B07F284">
            <w:pPr>
              <w:widowControl/>
              <w:snapToGrid w:val="0"/>
              <w:jc w:val="center"/>
              <w:rPr>
                <w:rFonts w:hint="default" w:ascii="Times New Roman" w:hAnsi="Times New Roman" w:eastAsia="宋体"/>
                <w:color w:val="auto"/>
                <w:sz w:val="24"/>
                <w:szCs w:val="24"/>
                <w:highlight w:val="none"/>
                <w:lang w:val="en-US" w:eastAsia="zh-CN"/>
              </w:rPr>
            </w:pPr>
            <w:r>
              <w:rPr>
                <w:rFonts w:ascii="Times New Roman" w:hAnsi="Times New Roman" w:eastAsia="宋体"/>
                <w:color w:val="auto"/>
                <w:kern w:val="0"/>
                <w:szCs w:val="21"/>
                <w:highlight w:val="none"/>
              </w:rPr>
              <w:t>0</w:t>
            </w:r>
          </w:p>
        </w:tc>
        <w:tc>
          <w:tcPr>
            <w:tcW w:w="1678" w:type="dxa"/>
            <w:tcBorders>
              <w:tl2br w:val="nil"/>
              <w:tr2bl w:val="nil"/>
            </w:tcBorders>
            <w:noWrap w:val="0"/>
            <w:vAlign w:val="center"/>
          </w:tcPr>
          <w:p w14:paraId="4D4B86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szCs w:val="21"/>
                <w:highlight w:val="none"/>
                <w:lang w:val="en-US"/>
              </w:rPr>
            </w:pPr>
            <w:r>
              <w:rPr>
                <w:rFonts w:hint="eastAsia" w:cs="Times New Roman"/>
                <w:color w:val="auto"/>
                <w:sz w:val="21"/>
                <w:szCs w:val="21"/>
                <w:highlight w:val="none"/>
                <w:lang w:val="en-US" w:eastAsia="zh-CN"/>
              </w:rPr>
              <w:t>0.922</w:t>
            </w:r>
          </w:p>
        </w:tc>
      </w:tr>
      <w:tr w14:paraId="3AF4D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5492D129">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66B98F54">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rPr>
              <w:t>SS</w:t>
            </w:r>
          </w:p>
        </w:tc>
        <w:tc>
          <w:tcPr>
            <w:tcW w:w="1701" w:type="dxa"/>
            <w:tcBorders>
              <w:tl2br w:val="nil"/>
              <w:tr2bl w:val="nil"/>
            </w:tcBorders>
            <w:noWrap w:val="0"/>
            <w:vAlign w:val="center"/>
          </w:tcPr>
          <w:p w14:paraId="7FC9AB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szCs w:val="21"/>
                <w:highlight w:val="none"/>
                <w:lang w:val="en-US"/>
              </w:rPr>
            </w:pPr>
            <w:r>
              <w:rPr>
                <w:rFonts w:hint="eastAsia" w:cs="Times New Roman"/>
                <w:color w:val="auto"/>
                <w:sz w:val="21"/>
                <w:szCs w:val="21"/>
                <w:highlight w:val="none"/>
                <w:lang w:val="en-US" w:eastAsia="zh-CN"/>
              </w:rPr>
              <w:t>0.436</w:t>
            </w:r>
          </w:p>
        </w:tc>
        <w:tc>
          <w:tcPr>
            <w:tcW w:w="1761" w:type="dxa"/>
            <w:tcBorders>
              <w:tl2br w:val="nil"/>
              <w:tr2bl w:val="nil"/>
            </w:tcBorders>
            <w:noWrap w:val="0"/>
            <w:vAlign w:val="center"/>
          </w:tcPr>
          <w:p w14:paraId="3F9A347D">
            <w:pPr>
              <w:snapToGrid w:val="0"/>
              <w:jc w:val="center"/>
              <w:rPr>
                <w:rFonts w:hint="default" w:ascii="Times New Roman" w:hAnsi="Times New Roman" w:eastAsia="宋体"/>
                <w:color w:val="auto"/>
                <w:sz w:val="24"/>
                <w:szCs w:val="24"/>
                <w:highlight w:val="none"/>
                <w:lang w:val="en-US" w:eastAsia="zh-CN"/>
              </w:rPr>
            </w:pPr>
            <w:r>
              <w:rPr>
                <w:rFonts w:ascii="Times New Roman" w:hAnsi="Times New Roman"/>
                <w:color w:val="auto"/>
                <w:highlight w:val="none"/>
              </w:rPr>
              <w:t>0</w:t>
            </w:r>
            <w:r>
              <w:rPr>
                <w:rFonts w:hint="eastAsia" w:ascii="Times New Roman" w:hAnsi="Times New Roman"/>
                <w:color w:val="auto"/>
                <w:highlight w:val="none"/>
                <w:lang w:val="en-US" w:eastAsia="zh-CN"/>
              </w:rPr>
              <w:t>.014</w:t>
            </w:r>
          </w:p>
        </w:tc>
        <w:tc>
          <w:tcPr>
            <w:tcW w:w="1678" w:type="dxa"/>
            <w:tcBorders>
              <w:tl2br w:val="nil"/>
              <w:tr2bl w:val="nil"/>
            </w:tcBorders>
            <w:noWrap w:val="0"/>
            <w:vAlign w:val="center"/>
          </w:tcPr>
          <w:p w14:paraId="5EB881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szCs w:val="21"/>
                <w:highlight w:val="none"/>
                <w:lang w:val="en-US"/>
              </w:rPr>
            </w:pPr>
            <w:r>
              <w:rPr>
                <w:rFonts w:hint="eastAsia" w:cs="Times New Roman"/>
                <w:color w:val="auto"/>
                <w:sz w:val="21"/>
                <w:szCs w:val="21"/>
                <w:highlight w:val="none"/>
                <w:lang w:val="en-US" w:eastAsia="zh-CN"/>
              </w:rPr>
              <w:t>0.422</w:t>
            </w:r>
          </w:p>
        </w:tc>
      </w:tr>
      <w:tr w14:paraId="03495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1B4D407B">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6EF782A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1701" w:type="dxa"/>
            <w:tcBorders>
              <w:tl2br w:val="nil"/>
              <w:tr2bl w:val="nil"/>
            </w:tcBorders>
            <w:noWrap w:val="0"/>
            <w:vAlign w:val="center"/>
          </w:tcPr>
          <w:p w14:paraId="3B67C3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olor w:val="auto"/>
                <w:szCs w:val="21"/>
                <w:highlight w:val="none"/>
                <w:lang w:val="en-US"/>
              </w:rPr>
            </w:pPr>
            <w:r>
              <w:rPr>
                <w:rFonts w:hint="eastAsia" w:cs="Times New Roman"/>
                <w:color w:val="auto"/>
                <w:sz w:val="21"/>
                <w:szCs w:val="21"/>
                <w:highlight w:val="none"/>
                <w:lang w:val="en-US" w:eastAsia="zh-CN"/>
              </w:rPr>
              <w:t>0.214</w:t>
            </w:r>
          </w:p>
        </w:tc>
        <w:tc>
          <w:tcPr>
            <w:tcW w:w="1761" w:type="dxa"/>
            <w:tcBorders>
              <w:tl2br w:val="nil"/>
              <w:tr2bl w:val="nil"/>
            </w:tcBorders>
            <w:noWrap w:val="0"/>
            <w:vAlign w:val="center"/>
          </w:tcPr>
          <w:p w14:paraId="393D443B">
            <w:pPr>
              <w:widowControl/>
              <w:snapToGrid w:val="0"/>
              <w:jc w:val="center"/>
              <w:rPr>
                <w:rFonts w:hint="default" w:ascii="Times New Roman" w:hAnsi="Times New Roman" w:eastAsia="宋体"/>
                <w:color w:val="auto"/>
                <w:highlight w:val="none"/>
                <w:lang w:val="en-US" w:eastAsia="zh-CN"/>
              </w:rPr>
            </w:pPr>
            <w:r>
              <w:rPr>
                <w:rFonts w:ascii="Times New Roman" w:hAnsi="Times New Roman" w:eastAsia="宋体"/>
                <w:color w:val="auto"/>
                <w:kern w:val="0"/>
                <w:szCs w:val="21"/>
                <w:highlight w:val="none"/>
              </w:rPr>
              <w:t>0</w:t>
            </w:r>
          </w:p>
        </w:tc>
        <w:tc>
          <w:tcPr>
            <w:tcW w:w="1678" w:type="dxa"/>
            <w:tcBorders>
              <w:tl2br w:val="nil"/>
              <w:tr2bl w:val="nil"/>
            </w:tcBorders>
            <w:noWrap w:val="0"/>
            <w:vAlign w:val="center"/>
          </w:tcPr>
          <w:p w14:paraId="2E9728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ascii="Times New Roman" w:hAnsi="Times New Roman"/>
                <w:color w:val="auto"/>
                <w:szCs w:val="21"/>
                <w:highlight w:val="none"/>
              </w:rPr>
            </w:pPr>
            <w:r>
              <w:rPr>
                <w:rFonts w:hint="eastAsia" w:cs="Times New Roman"/>
                <w:color w:val="auto"/>
                <w:sz w:val="21"/>
                <w:szCs w:val="21"/>
                <w:highlight w:val="none"/>
                <w:lang w:val="en-US" w:eastAsia="zh-CN"/>
              </w:rPr>
              <w:t>0.214</w:t>
            </w:r>
          </w:p>
        </w:tc>
      </w:tr>
      <w:tr w14:paraId="068ED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087" w:type="dxa"/>
            <w:vMerge w:val="continue"/>
            <w:tcBorders>
              <w:tl2br w:val="nil"/>
              <w:tr2bl w:val="nil"/>
            </w:tcBorders>
            <w:noWrap w:val="0"/>
            <w:vAlign w:val="center"/>
          </w:tcPr>
          <w:p w14:paraId="08DEE5C4">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45564E5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rPr>
              <w:t>氨氮</w:t>
            </w:r>
          </w:p>
        </w:tc>
        <w:tc>
          <w:tcPr>
            <w:tcW w:w="1701" w:type="dxa"/>
            <w:tcBorders>
              <w:tl2br w:val="nil"/>
              <w:tr2bl w:val="nil"/>
            </w:tcBorders>
            <w:noWrap w:val="0"/>
            <w:vAlign w:val="center"/>
          </w:tcPr>
          <w:p w14:paraId="4C3B95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szCs w:val="21"/>
                <w:highlight w:val="none"/>
                <w:lang w:val="en-US"/>
              </w:rPr>
            </w:pPr>
            <w:r>
              <w:rPr>
                <w:rFonts w:hint="eastAsia" w:cs="Times New Roman"/>
                <w:color w:val="auto"/>
                <w:sz w:val="21"/>
                <w:szCs w:val="21"/>
                <w:highlight w:val="none"/>
                <w:lang w:val="en-US" w:eastAsia="zh-CN"/>
              </w:rPr>
              <w:t>0.044</w:t>
            </w:r>
          </w:p>
        </w:tc>
        <w:tc>
          <w:tcPr>
            <w:tcW w:w="1761" w:type="dxa"/>
            <w:tcBorders>
              <w:tl2br w:val="nil"/>
              <w:tr2bl w:val="nil"/>
            </w:tcBorders>
            <w:noWrap w:val="0"/>
            <w:vAlign w:val="center"/>
          </w:tcPr>
          <w:p w14:paraId="3B8B4382">
            <w:pPr>
              <w:widowControl/>
              <w:snapToGrid w:val="0"/>
              <w:jc w:val="center"/>
              <w:rPr>
                <w:rFonts w:ascii="Times New Roman" w:hAnsi="Times New Roman" w:eastAsia="宋体"/>
                <w:color w:val="auto"/>
                <w:sz w:val="24"/>
                <w:szCs w:val="24"/>
                <w:highlight w:val="none"/>
              </w:rPr>
            </w:pPr>
            <w:r>
              <w:rPr>
                <w:rFonts w:ascii="Times New Roman" w:hAnsi="Times New Roman" w:eastAsia="宋体"/>
                <w:color w:val="auto"/>
                <w:kern w:val="0"/>
                <w:szCs w:val="21"/>
                <w:highlight w:val="none"/>
              </w:rPr>
              <w:t>0</w:t>
            </w:r>
          </w:p>
        </w:tc>
        <w:tc>
          <w:tcPr>
            <w:tcW w:w="1678" w:type="dxa"/>
            <w:tcBorders>
              <w:tl2br w:val="nil"/>
              <w:tr2bl w:val="nil"/>
            </w:tcBorders>
            <w:noWrap w:val="0"/>
            <w:vAlign w:val="center"/>
          </w:tcPr>
          <w:p w14:paraId="7A92D7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szCs w:val="21"/>
                <w:highlight w:val="none"/>
                <w:lang w:val="en-US"/>
              </w:rPr>
            </w:pPr>
            <w:r>
              <w:rPr>
                <w:rFonts w:hint="eastAsia" w:cs="Times New Roman"/>
                <w:color w:val="auto"/>
                <w:sz w:val="21"/>
                <w:szCs w:val="21"/>
                <w:highlight w:val="none"/>
                <w:lang w:val="en-US" w:eastAsia="zh-CN"/>
              </w:rPr>
              <w:t>0.044</w:t>
            </w:r>
          </w:p>
        </w:tc>
      </w:tr>
      <w:tr w14:paraId="2C6CD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08E3C1E0">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5AD5509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总氮</w:t>
            </w:r>
          </w:p>
        </w:tc>
        <w:tc>
          <w:tcPr>
            <w:tcW w:w="1701" w:type="dxa"/>
            <w:tcBorders>
              <w:tl2br w:val="nil"/>
              <w:tr2bl w:val="nil"/>
            </w:tcBorders>
            <w:noWrap w:val="0"/>
            <w:vAlign w:val="center"/>
          </w:tcPr>
          <w:p w14:paraId="4F5491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0.049</w:t>
            </w:r>
          </w:p>
        </w:tc>
        <w:tc>
          <w:tcPr>
            <w:tcW w:w="1761" w:type="dxa"/>
            <w:tcBorders>
              <w:tl2br w:val="nil"/>
              <w:tr2bl w:val="nil"/>
            </w:tcBorders>
            <w:noWrap w:val="0"/>
            <w:vAlign w:val="center"/>
          </w:tcPr>
          <w:p w14:paraId="4AE03E2C">
            <w:pPr>
              <w:snapToGrid w:val="0"/>
              <w:jc w:val="center"/>
              <w:rPr>
                <w:rFonts w:hint="default" w:ascii="Times New Roman" w:hAnsi="Times New Roman" w:eastAsia="宋体"/>
                <w:color w:val="auto"/>
                <w:highlight w:val="none"/>
                <w:lang w:val="en-US" w:eastAsia="zh-CN"/>
              </w:rPr>
            </w:pPr>
            <w:r>
              <w:rPr>
                <w:rFonts w:ascii="Times New Roman" w:hAnsi="Times New Roman"/>
                <w:color w:val="auto"/>
                <w:highlight w:val="none"/>
              </w:rPr>
              <w:t>0</w:t>
            </w:r>
          </w:p>
        </w:tc>
        <w:tc>
          <w:tcPr>
            <w:tcW w:w="1678" w:type="dxa"/>
            <w:tcBorders>
              <w:tl2br w:val="nil"/>
              <w:tr2bl w:val="nil"/>
            </w:tcBorders>
            <w:noWrap w:val="0"/>
            <w:vAlign w:val="center"/>
          </w:tcPr>
          <w:p w14:paraId="408B3A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0.049</w:t>
            </w:r>
          </w:p>
        </w:tc>
      </w:tr>
      <w:tr w14:paraId="546A8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2E99D0F1">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59C7FE94">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TP</w:t>
            </w:r>
          </w:p>
        </w:tc>
        <w:tc>
          <w:tcPr>
            <w:tcW w:w="1701" w:type="dxa"/>
            <w:tcBorders>
              <w:tl2br w:val="nil"/>
              <w:tr2bl w:val="nil"/>
            </w:tcBorders>
            <w:noWrap w:val="0"/>
            <w:vAlign w:val="center"/>
          </w:tcPr>
          <w:p w14:paraId="58D3388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szCs w:val="21"/>
                <w:highlight w:val="none"/>
                <w:lang w:val="en-US"/>
              </w:rPr>
            </w:pPr>
            <w:r>
              <w:rPr>
                <w:rFonts w:hint="eastAsia" w:cs="Times New Roman"/>
                <w:color w:val="auto"/>
                <w:sz w:val="21"/>
                <w:szCs w:val="21"/>
                <w:highlight w:val="none"/>
                <w:lang w:val="en-US" w:eastAsia="zh-CN"/>
              </w:rPr>
              <w:t>0.005</w:t>
            </w:r>
          </w:p>
        </w:tc>
        <w:tc>
          <w:tcPr>
            <w:tcW w:w="1761" w:type="dxa"/>
            <w:tcBorders>
              <w:tl2br w:val="nil"/>
              <w:tr2bl w:val="nil"/>
            </w:tcBorders>
            <w:noWrap w:val="0"/>
            <w:vAlign w:val="center"/>
          </w:tcPr>
          <w:p w14:paraId="2B498605">
            <w:pPr>
              <w:widowControl/>
              <w:snapToGrid w:val="0"/>
              <w:jc w:val="center"/>
              <w:rPr>
                <w:rFonts w:hint="default" w:ascii="Times New Roman" w:hAnsi="Times New Roman" w:eastAsia="宋体"/>
                <w:color w:val="auto"/>
                <w:sz w:val="24"/>
                <w:szCs w:val="24"/>
                <w:highlight w:val="none"/>
                <w:lang w:val="en-US" w:eastAsia="zh-CN"/>
              </w:rPr>
            </w:pPr>
            <w:r>
              <w:rPr>
                <w:rFonts w:ascii="Times New Roman" w:hAnsi="Times New Roman" w:eastAsia="宋体"/>
                <w:color w:val="auto"/>
                <w:kern w:val="0"/>
                <w:szCs w:val="21"/>
                <w:highlight w:val="none"/>
              </w:rPr>
              <w:t>0</w:t>
            </w:r>
          </w:p>
        </w:tc>
        <w:tc>
          <w:tcPr>
            <w:tcW w:w="1678" w:type="dxa"/>
            <w:tcBorders>
              <w:tl2br w:val="nil"/>
              <w:tr2bl w:val="nil"/>
            </w:tcBorders>
            <w:noWrap w:val="0"/>
            <w:vAlign w:val="center"/>
          </w:tcPr>
          <w:p w14:paraId="779506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olor w:val="auto"/>
                <w:szCs w:val="21"/>
                <w:highlight w:val="none"/>
                <w:lang w:val="en-US"/>
              </w:rPr>
            </w:pPr>
            <w:r>
              <w:rPr>
                <w:rFonts w:hint="eastAsia" w:cs="Times New Roman"/>
                <w:color w:val="auto"/>
                <w:sz w:val="21"/>
                <w:szCs w:val="21"/>
                <w:highlight w:val="none"/>
                <w:lang w:val="en-US" w:eastAsia="zh-CN"/>
              </w:rPr>
              <w:t>0.005</w:t>
            </w:r>
          </w:p>
        </w:tc>
      </w:tr>
      <w:tr w14:paraId="79CD9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6B7EF24C">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025A9BD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LAS</w:t>
            </w:r>
          </w:p>
        </w:tc>
        <w:tc>
          <w:tcPr>
            <w:tcW w:w="1701" w:type="dxa"/>
            <w:tcBorders>
              <w:tl2br w:val="nil"/>
              <w:tr2bl w:val="nil"/>
            </w:tcBorders>
            <w:noWrap w:val="0"/>
            <w:vAlign w:val="center"/>
          </w:tcPr>
          <w:p w14:paraId="582918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1761" w:type="dxa"/>
            <w:tcBorders>
              <w:tl2br w:val="nil"/>
              <w:tr2bl w:val="nil"/>
            </w:tcBorders>
            <w:noWrap w:val="0"/>
            <w:vAlign w:val="center"/>
          </w:tcPr>
          <w:p w14:paraId="39F5DB9B">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0</w:t>
            </w:r>
          </w:p>
        </w:tc>
        <w:tc>
          <w:tcPr>
            <w:tcW w:w="1678" w:type="dxa"/>
            <w:tcBorders>
              <w:tl2br w:val="nil"/>
              <w:tr2bl w:val="nil"/>
            </w:tcBorders>
            <w:noWrap w:val="0"/>
            <w:vAlign w:val="center"/>
          </w:tcPr>
          <w:p w14:paraId="0B6550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r>
      <w:tr w14:paraId="11758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5D7A52B4">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4F811F7B">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1701" w:type="dxa"/>
            <w:tcBorders>
              <w:tl2br w:val="nil"/>
              <w:tr2bl w:val="nil"/>
            </w:tcBorders>
            <w:noWrap w:val="0"/>
            <w:vAlign w:val="center"/>
          </w:tcPr>
          <w:p w14:paraId="0016BA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0.019</w:t>
            </w:r>
          </w:p>
        </w:tc>
        <w:tc>
          <w:tcPr>
            <w:tcW w:w="1761" w:type="dxa"/>
            <w:tcBorders>
              <w:tl2br w:val="nil"/>
              <w:tr2bl w:val="nil"/>
            </w:tcBorders>
            <w:noWrap w:val="0"/>
            <w:vAlign w:val="center"/>
          </w:tcPr>
          <w:p w14:paraId="2247A3A9">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0.008</w:t>
            </w:r>
          </w:p>
        </w:tc>
        <w:tc>
          <w:tcPr>
            <w:tcW w:w="1678" w:type="dxa"/>
            <w:tcBorders>
              <w:tl2br w:val="nil"/>
              <w:tr2bl w:val="nil"/>
            </w:tcBorders>
            <w:noWrap w:val="0"/>
            <w:vAlign w:val="center"/>
          </w:tcPr>
          <w:p w14:paraId="011150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r>
      <w:tr w14:paraId="5DBD2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restart"/>
            <w:tcBorders>
              <w:tl2br w:val="nil"/>
              <w:tr2bl w:val="nil"/>
            </w:tcBorders>
            <w:noWrap w:val="0"/>
            <w:vAlign w:val="center"/>
          </w:tcPr>
          <w:p w14:paraId="3DB4B04C">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初期雨水</w:t>
            </w:r>
          </w:p>
        </w:tc>
        <w:tc>
          <w:tcPr>
            <w:tcW w:w="1985" w:type="dxa"/>
            <w:tcBorders>
              <w:tl2br w:val="nil"/>
              <w:tr2bl w:val="nil"/>
            </w:tcBorders>
            <w:noWrap w:val="0"/>
            <w:vAlign w:val="center"/>
          </w:tcPr>
          <w:p w14:paraId="211E1DA4">
            <w:pPr>
              <w:widowControl/>
              <w:snapToGrid w:val="0"/>
              <w:jc w:val="center"/>
              <w:rPr>
                <w:rFonts w:hint="eastAsia" w:ascii="Times New Roman" w:hAnsi="Times New Roman" w:eastAsia="宋体" w:cs="Times New Roman"/>
                <w:color w:val="auto"/>
                <w:sz w:val="21"/>
                <w:szCs w:val="21"/>
                <w:highlight w:val="none"/>
                <w:lang w:val="en-US" w:eastAsia="zh-CN"/>
              </w:rPr>
            </w:pPr>
            <w:r>
              <w:rPr>
                <w:rFonts w:ascii="Times New Roman" w:hAnsi="Times New Roman" w:eastAsia="宋体"/>
                <w:color w:val="auto"/>
                <w:kern w:val="0"/>
                <w:szCs w:val="21"/>
                <w:highlight w:val="none"/>
              </w:rPr>
              <w:t>废水量</w:t>
            </w:r>
          </w:p>
        </w:tc>
        <w:tc>
          <w:tcPr>
            <w:tcW w:w="1701" w:type="dxa"/>
            <w:tcBorders>
              <w:tl2br w:val="nil"/>
              <w:tr2bl w:val="nil"/>
            </w:tcBorders>
            <w:noWrap w:val="0"/>
            <w:vAlign w:val="center"/>
          </w:tcPr>
          <w:p w14:paraId="29068F35">
            <w:pPr>
              <w:widowControl/>
              <w:snapToGrid w:val="0"/>
              <w:jc w:val="center"/>
              <w:rPr>
                <w:rFonts w:hint="default"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6.4</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/次</w:t>
            </w:r>
          </w:p>
        </w:tc>
        <w:tc>
          <w:tcPr>
            <w:tcW w:w="1761" w:type="dxa"/>
            <w:tcBorders>
              <w:tl2br w:val="nil"/>
              <w:tr2bl w:val="nil"/>
            </w:tcBorders>
            <w:noWrap w:val="0"/>
            <w:vAlign w:val="center"/>
          </w:tcPr>
          <w:p w14:paraId="49C95B6C">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c>
          <w:tcPr>
            <w:tcW w:w="1678" w:type="dxa"/>
            <w:tcBorders>
              <w:tl2br w:val="nil"/>
              <w:tr2bl w:val="nil"/>
            </w:tcBorders>
            <w:noWrap w:val="0"/>
            <w:vAlign w:val="center"/>
          </w:tcPr>
          <w:p w14:paraId="64F9DDA1">
            <w:pPr>
              <w:widowControl/>
              <w:snapToGrid w:val="0"/>
              <w:jc w:val="center"/>
              <w:rPr>
                <w:rFonts w:hint="eastAsia"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26.4</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/次</w:t>
            </w:r>
          </w:p>
        </w:tc>
      </w:tr>
      <w:tr w14:paraId="22C94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0BA26739">
            <w:pPr>
              <w:widowControl/>
              <w:snapToGrid w:val="0"/>
              <w:jc w:val="center"/>
              <w:rPr>
                <w:rFonts w:hint="eastAsia" w:ascii="Times New Roman" w:hAnsi="Times New Roman" w:eastAsia="宋体"/>
                <w:color w:val="auto"/>
                <w:kern w:val="0"/>
                <w:szCs w:val="21"/>
                <w:highlight w:val="none"/>
                <w:lang w:val="en-US" w:eastAsia="zh-CN"/>
              </w:rPr>
            </w:pPr>
          </w:p>
        </w:tc>
        <w:tc>
          <w:tcPr>
            <w:tcW w:w="1985" w:type="dxa"/>
            <w:tcBorders>
              <w:tl2br w:val="nil"/>
              <w:tr2bl w:val="nil"/>
            </w:tcBorders>
            <w:noWrap w:val="0"/>
            <w:vAlign w:val="center"/>
          </w:tcPr>
          <w:p w14:paraId="46ECBA7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COD</w:t>
            </w:r>
          </w:p>
        </w:tc>
        <w:tc>
          <w:tcPr>
            <w:tcW w:w="1701" w:type="dxa"/>
            <w:tcBorders>
              <w:tl2br w:val="nil"/>
              <w:tr2bl w:val="nil"/>
            </w:tcBorders>
            <w:noWrap w:val="0"/>
            <w:vAlign w:val="center"/>
          </w:tcPr>
          <w:p w14:paraId="52F5C8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0.004</w:t>
            </w:r>
          </w:p>
        </w:tc>
        <w:tc>
          <w:tcPr>
            <w:tcW w:w="1761" w:type="dxa"/>
            <w:tcBorders>
              <w:tl2br w:val="nil"/>
              <w:tr2bl w:val="nil"/>
            </w:tcBorders>
            <w:noWrap w:val="0"/>
            <w:vAlign w:val="center"/>
          </w:tcPr>
          <w:p w14:paraId="30149A95">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0</w:t>
            </w:r>
          </w:p>
        </w:tc>
        <w:tc>
          <w:tcPr>
            <w:tcW w:w="1678" w:type="dxa"/>
            <w:tcBorders>
              <w:tl2br w:val="nil"/>
              <w:tr2bl w:val="nil"/>
            </w:tcBorders>
            <w:noWrap w:val="0"/>
            <w:vAlign w:val="center"/>
          </w:tcPr>
          <w:p w14:paraId="6E8716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0.004</w:t>
            </w:r>
          </w:p>
        </w:tc>
      </w:tr>
      <w:tr w14:paraId="7DDD6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0F553ED7">
            <w:pPr>
              <w:widowControl/>
              <w:snapToGrid w:val="0"/>
              <w:jc w:val="center"/>
              <w:rPr>
                <w:rFonts w:hint="eastAsia" w:ascii="Times New Roman" w:hAnsi="Times New Roman" w:eastAsia="宋体"/>
                <w:color w:val="auto"/>
                <w:kern w:val="0"/>
                <w:szCs w:val="21"/>
                <w:highlight w:val="none"/>
                <w:lang w:val="en-US" w:eastAsia="zh-CN"/>
              </w:rPr>
            </w:pPr>
          </w:p>
        </w:tc>
        <w:tc>
          <w:tcPr>
            <w:tcW w:w="1985" w:type="dxa"/>
            <w:tcBorders>
              <w:tl2br w:val="nil"/>
              <w:tr2bl w:val="nil"/>
            </w:tcBorders>
            <w:noWrap w:val="0"/>
            <w:vAlign w:val="center"/>
          </w:tcPr>
          <w:p w14:paraId="1A64EE2D">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SS</w:t>
            </w:r>
          </w:p>
        </w:tc>
        <w:tc>
          <w:tcPr>
            <w:tcW w:w="1701" w:type="dxa"/>
            <w:tcBorders>
              <w:tl2br w:val="nil"/>
              <w:tr2bl w:val="nil"/>
            </w:tcBorders>
            <w:noWrap w:val="0"/>
            <w:vAlign w:val="center"/>
          </w:tcPr>
          <w:p w14:paraId="264D5D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c>
          <w:tcPr>
            <w:tcW w:w="1761" w:type="dxa"/>
            <w:tcBorders>
              <w:tl2br w:val="nil"/>
              <w:tr2bl w:val="nil"/>
            </w:tcBorders>
            <w:noWrap w:val="0"/>
            <w:vAlign w:val="center"/>
          </w:tcPr>
          <w:p w14:paraId="4AE72D47">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0.002</w:t>
            </w:r>
          </w:p>
        </w:tc>
        <w:tc>
          <w:tcPr>
            <w:tcW w:w="1678" w:type="dxa"/>
            <w:tcBorders>
              <w:tl2br w:val="nil"/>
              <w:tr2bl w:val="nil"/>
            </w:tcBorders>
            <w:noWrap w:val="0"/>
            <w:vAlign w:val="center"/>
          </w:tcPr>
          <w:p w14:paraId="1AAA84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0.003</w:t>
            </w:r>
          </w:p>
        </w:tc>
      </w:tr>
      <w:tr w14:paraId="159CE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5468F56A">
            <w:pPr>
              <w:widowControl/>
              <w:snapToGrid w:val="0"/>
              <w:jc w:val="center"/>
              <w:rPr>
                <w:rFonts w:hint="eastAsia" w:ascii="Times New Roman" w:hAnsi="Times New Roman" w:eastAsia="宋体"/>
                <w:color w:val="auto"/>
                <w:kern w:val="0"/>
                <w:szCs w:val="21"/>
                <w:highlight w:val="none"/>
                <w:lang w:val="en-US" w:eastAsia="zh-CN"/>
              </w:rPr>
            </w:pPr>
          </w:p>
        </w:tc>
        <w:tc>
          <w:tcPr>
            <w:tcW w:w="1985" w:type="dxa"/>
            <w:tcBorders>
              <w:tl2br w:val="nil"/>
              <w:tr2bl w:val="nil"/>
            </w:tcBorders>
            <w:noWrap w:val="0"/>
            <w:vAlign w:val="center"/>
          </w:tcPr>
          <w:p w14:paraId="4ADA51A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1701" w:type="dxa"/>
            <w:tcBorders>
              <w:tl2br w:val="nil"/>
              <w:tr2bl w:val="nil"/>
            </w:tcBorders>
            <w:noWrap w:val="0"/>
            <w:vAlign w:val="center"/>
          </w:tcPr>
          <w:p w14:paraId="19F0D2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0.0002</w:t>
            </w:r>
          </w:p>
        </w:tc>
        <w:tc>
          <w:tcPr>
            <w:tcW w:w="1761" w:type="dxa"/>
            <w:tcBorders>
              <w:tl2br w:val="nil"/>
              <w:tr2bl w:val="nil"/>
            </w:tcBorders>
            <w:noWrap w:val="0"/>
            <w:vAlign w:val="center"/>
          </w:tcPr>
          <w:p w14:paraId="5D710CD0">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0.0001</w:t>
            </w:r>
          </w:p>
        </w:tc>
        <w:tc>
          <w:tcPr>
            <w:tcW w:w="1678" w:type="dxa"/>
            <w:tcBorders>
              <w:tl2br w:val="nil"/>
              <w:tr2bl w:val="nil"/>
            </w:tcBorders>
            <w:noWrap w:val="0"/>
            <w:vAlign w:val="center"/>
          </w:tcPr>
          <w:p w14:paraId="4756CB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0.0001</w:t>
            </w:r>
          </w:p>
        </w:tc>
      </w:tr>
      <w:tr w14:paraId="4B756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restart"/>
            <w:tcBorders>
              <w:tl2br w:val="nil"/>
              <w:tr2bl w:val="nil"/>
            </w:tcBorders>
            <w:noWrap w:val="0"/>
            <w:vAlign w:val="center"/>
          </w:tcPr>
          <w:p w14:paraId="1D8350ED">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固废</w:t>
            </w:r>
          </w:p>
        </w:tc>
        <w:tc>
          <w:tcPr>
            <w:tcW w:w="1985" w:type="dxa"/>
            <w:tcBorders>
              <w:tl2br w:val="nil"/>
              <w:tr2bl w:val="nil"/>
            </w:tcBorders>
            <w:noWrap w:val="0"/>
            <w:vAlign w:val="center"/>
          </w:tcPr>
          <w:p w14:paraId="4ACDC35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b w:val="0"/>
                <w:bCs w:val="0"/>
                <w:color w:val="auto"/>
                <w:sz w:val="21"/>
                <w:szCs w:val="21"/>
                <w:highlight w:val="none"/>
                <w:lang w:val="en-US" w:eastAsia="zh-CN"/>
              </w:rPr>
              <w:t>废脱硫剂</w:t>
            </w:r>
          </w:p>
        </w:tc>
        <w:tc>
          <w:tcPr>
            <w:tcW w:w="1701" w:type="dxa"/>
            <w:tcBorders>
              <w:tl2br w:val="nil"/>
              <w:tr2bl w:val="nil"/>
            </w:tcBorders>
            <w:noWrap w:val="0"/>
            <w:vAlign w:val="center"/>
          </w:tcPr>
          <w:p w14:paraId="40B72C7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0.43</w:t>
            </w:r>
          </w:p>
        </w:tc>
        <w:tc>
          <w:tcPr>
            <w:tcW w:w="1761" w:type="dxa"/>
            <w:tcBorders>
              <w:tl2br w:val="nil"/>
              <w:tr2bl w:val="nil"/>
            </w:tcBorders>
            <w:noWrap w:val="0"/>
            <w:vAlign w:val="center"/>
          </w:tcPr>
          <w:p w14:paraId="53245B2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0.43</w:t>
            </w:r>
          </w:p>
        </w:tc>
        <w:tc>
          <w:tcPr>
            <w:tcW w:w="1678" w:type="dxa"/>
            <w:tcBorders>
              <w:tl2br w:val="nil"/>
              <w:tr2bl w:val="nil"/>
            </w:tcBorders>
            <w:noWrap w:val="0"/>
            <w:vAlign w:val="center"/>
          </w:tcPr>
          <w:p w14:paraId="1393D67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r w14:paraId="225D7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523BE1AF">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0DC7810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废</w:t>
            </w:r>
            <w:r>
              <w:rPr>
                <w:rFonts w:hint="eastAsia" w:ascii="Times New Roman" w:hAnsi="Times New Roman" w:eastAsia="宋体" w:cs="Times New Roman"/>
                <w:b w:val="0"/>
                <w:bCs w:val="0"/>
                <w:color w:val="auto"/>
                <w:sz w:val="21"/>
                <w:szCs w:val="21"/>
                <w:highlight w:val="none"/>
                <w:lang w:val="en-US" w:eastAsia="zh-CN"/>
              </w:rPr>
              <w:t>催化剂</w:t>
            </w:r>
          </w:p>
        </w:tc>
        <w:tc>
          <w:tcPr>
            <w:tcW w:w="1701" w:type="dxa"/>
            <w:tcBorders>
              <w:tl2br w:val="nil"/>
              <w:tr2bl w:val="nil"/>
            </w:tcBorders>
            <w:noWrap w:val="0"/>
            <w:vAlign w:val="center"/>
          </w:tcPr>
          <w:p w14:paraId="256660F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0.43</w:t>
            </w:r>
          </w:p>
        </w:tc>
        <w:tc>
          <w:tcPr>
            <w:tcW w:w="1761" w:type="dxa"/>
            <w:tcBorders>
              <w:tl2br w:val="nil"/>
              <w:tr2bl w:val="nil"/>
            </w:tcBorders>
            <w:noWrap w:val="0"/>
            <w:vAlign w:val="center"/>
          </w:tcPr>
          <w:p w14:paraId="2E65655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0.43</w:t>
            </w:r>
          </w:p>
        </w:tc>
        <w:tc>
          <w:tcPr>
            <w:tcW w:w="1678" w:type="dxa"/>
            <w:tcBorders>
              <w:tl2br w:val="nil"/>
              <w:tr2bl w:val="nil"/>
            </w:tcBorders>
            <w:noWrap w:val="0"/>
            <w:vAlign w:val="center"/>
          </w:tcPr>
          <w:p w14:paraId="5233DF8B">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0</w:t>
            </w:r>
          </w:p>
        </w:tc>
      </w:tr>
      <w:tr w14:paraId="49231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45841A9D">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00ED4FD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b w:val="0"/>
                <w:bCs w:val="0"/>
                <w:color w:val="auto"/>
                <w:sz w:val="21"/>
                <w:szCs w:val="21"/>
                <w:highlight w:val="none"/>
                <w:lang w:eastAsia="zh-CN"/>
              </w:rPr>
              <w:t>废催化剂</w:t>
            </w:r>
          </w:p>
        </w:tc>
        <w:tc>
          <w:tcPr>
            <w:tcW w:w="1701" w:type="dxa"/>
            <w:tcBorders>
              <w:tl2br w:val="nil"/>
              <w:tr2bl w:val="nil"/>
            </w:tcBorders>
            <w:noWrap w:val="0"/>
            <w:vAlign w:val="center"/>
          </w:tcPr>
          <w:p w14:paraId="1908AF1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rPr>
            </w:pPr>
            <w:r>
              <w:rPr>
                <w:rFonts w:hint="eastAsia" w:cs="Times New Roman"/>
                <w:color w:val="auto"/>
                <w:sz w:val="21"/>
                <w:szCs w:val="21"/>
                <w:highlight w:val="none"/>
                <w:lang w:val="en-US" w:eastAsia="zh-CN"/>
              </w:rPr>
              <w:t>0.46</w:t>
            </w:r>
          </w:p>
        </w:tc>
        <w:tc>
          <w:tcPr>
            <w:tcW w:w="1761" w:type="dxa"/>
            <w:tcBorders>
              <w:tl2br w:val="nil"/>
              <w:tr2bl w:val="nil"/>
            </w:tcBorders>
            <w:noWrap w:val="0"/>
            <w:vAlign w:val="center"/>
          </w:tcPr>
          <w:p w14:paraId="431C82A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rPr>
            </w:pPr>
            <w:r>
              <w:rPr>
                <w:rFonts w:hint="eastAsia" w:cs="Times New Roman"/>
                <w:color w:val="auto"/>
                <w:sz w:val="21"/>
                <w:szCs w:val="21"/>
                <w:highlight w:val="none"/>
                <w:lang w:val="en-US" w:eastAsia="zh-CN"/>
              </w:rPr>
              <w:t>0.46</w:t>
            </w:r>
          </w:p>
        </w:tc>
        <w:tc>
          <w:tcPr>
            <w:tcW w:w="1678" w:type="dxa"/>
            <w:tcBorders>
              <w:tl2br w:val="nil"/>
              <w:tr2bl w:val="nil"/>
            </w:tcBorders>
            <w:noWrap w:val="0"/>
            <w:vAlign w:val="center"/>
          </w:tcPr>
          <w:p w14:paraId="4832DBD6">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r w14:paraId="1EFE7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22524381">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670A793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b w:val="0"/>
                <w:bCs w:val="0"/>
                <w:color w:val="auto"/>
                <w:sz w:val="21"/>
                <w:szCs w:val="21"/>
                <w:highlight w:val="none"/>
                <w:lang w:eastAsia="zh-CN"/>
              </w:rPr>
              <w:t>废</w:t>
            </w:r>
            <w:r>
              <w:rPr>
                <w:rFonts w:hint="eastAsia" w:ascii="Times New Roman" w:hAnsi="Times New Roman" w:eastAsia="宋体" w:cs="Times New Roman"/>
                <w:b w:val="0"/>
                <w:bCs w:val="0"/>
                <w:color w:val="auto"/>
                <w:sz w:val="21"/>
                <w:szCs w:val="21"/>
                <w:highlight w:val="none"/>
                <w:lang w:val="en-US" w:eastAsia="zh-CN"/>
              </w:rPr>
              <w:t>吸附剂</w:t>
            </w:r>
          </w:p>
        </w:tc>
        <w:tc>
          <w:tcPr>
            <w:tcW w:w="1701" w:type="dxa"/>
            <w:tcBorders>
              <w:tl2br w:val="nil"/>
              <w:tr2bl w:val="nil"/>
            </w:tcBorders>
            <w:noWrap w:val="0"/>
            <w:vAlign w:val="center"/>
          </w:tcPr>
          <w:p w14:paraId="42D0D51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rPr>
            </w:pPr>
            <w:r>
              <w:rPr>
                <w:rFonts w:hint="eastAsia" w:ascii="Times New Roman" w:hAnsi="Times New Roman" w:eastAsia="宋体" w:cs="Times New Roman"/>
                <w:b w:val="0"/>
                <w:bCs w:val="0"/>
                <w:color w:val="auto"/>
                <w:sz w:val="21"/>
                <w:szCs w:val="21"/>
                <w:highlight w:val="none"/>
                <w:lang w:val="en-US" w:eastAsia="zh-CN"/>
              </w:rPr>
              <w:t>2</w:t>
            </w:r>
          </w:p>
        </w:tc>
        <w:tc>
          <w:tcPr>
            <w:tcW w:w="1761" w:type="dxa"/>
            <w:tcBorders>
              <w:tl2br w:val="nil"/>
              <w:tr2bl w:val="nil"/>
            </w:tcBorders>
            <w:noWrap w:val="0"/>
            <w:vAlign w:val="center"/>
          </w:tcPr>
          <w:p w14:paraId="1605895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rPr>
            </w:pPr>
            <w:r>
              <w:rPr>
                <w:rFonts w:hint="eastAsia" w:ascii="Times New Roman" w:hAnsi="Times New Roman" w:eastAsia="宋体" w:cs="Times New Roman"/>
                <w:b w:val="0"/>
                <w:bCs w:val="0"/>
                <w:color w:val="auto"/>
                <w:sz w:val="21"/>
                <w:szCs w:val="21"/>
                <w:highlight w:val="none"/>
                <w:lang w:val="en-US" w:eastAsia="zh-CN"/>
              </w:rPr>
              <w:t>2</w:t>
            </w:r>
          </w:p>
        </w:tc>
        <w:tc>
          <w:tcPr>
            <w:tcW w:w="1678" w:type="dxa"/>
            <w:tcBorders>
              <w:tl2br w:val="nil"/>
              <w:tr2bl w:val="nil"/>
            </w:tcBorders>
            <w:noWrap w:val="0"/>
            <w:vAlign w:val="center"/>
          </w:tcPr>
          <w:p w14:paraId="41C526C6">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r w14:paraId="45667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0FC98AC5">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51CE219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eastAsia" w:ascii="Times New Roman" w:hAnsi="Times New Roman" w:eastAsia="宋体" w:cs="Times New Roman"/>
                <w:b w:val="0"/>
                <w:bCs w:val="0"/>
                <w:color w:val="auto"/>
                <w:sz w:val="21"/>
                <w:szCs w:val="21"/>
                <w:highlight w:val="none"/>
                <w:lang w:val="en-US" w:eastAsia="zh-CN"/>
              </w:rPr>
              <w:t>污泥</w:t>
            </w:r>
          </w:p>
        </w:tc>
        <w:tc>
          <w:tcPr>
            <w:tcW w:w="1701" w:type="dxa"/>
            <w:tcBorders>
              <w:tl2br w:val="nil"/>
              <w:tr2bl w:val="nil"/>
            </w:tcBorders>
            <w:noWrap w:val="0"/>
            <w:vAlign w:val="center"/>
          </w:tcPr>
          <w:p w14:paraId="7683232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rPr>
            </w:pPr>
            <w:r>
              <w:rPr>
                <w:rFonts w:hint="eastAsia" w:cs="Times New Roman"/>
                <w:color w:val="auto"/>
                <w:sz w:val="21"/>
                <w:szCs w:val="21"/>
                <w:highlight w:val="none"/>
                <w:lang w:val="en-US" w:eastAsia="zh-CN"/>
              </w:rPr>
              <w:t>3</w:t>
            </w:r>
          </w:p>
        </w:tc>
        <w:tc>
          <w:tcPr>
            <w:tcW w:w="1761" w:type="dxa"/>
            <w:tcBorders>
              <w:tl2br w:val="nil"/>
              <w:tr2bl w:val="nil"/>
            </w:tcBorders>
            <w:noWrap w:val="0"/>
            <w:vAlign w:val="center"/>
          </w:tcPr>
          <w:p w14:paraId="5C7C303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rPr>
            </w:pPr>
            <w:r>
              <w:rPr>
                <w:rFonts w:hint="eastAsia" w:cs="Times New Roman"/>
                <w:color w:val="auto"/>
                <w:sz w:val="21"/>
                <w:szCs w:val="21"/>
                <w:highlight w:val="none"/>
                <w:lang w:val="en-US" w:eastAsia="zh-CN"/>
              </w:rPr>
              <w:t>3</w:t>
            </w:r>
          </w:p>
        </w:tc>
        <w:tc>
          <w:tcPr>
            <w:tcW w:w="1678" w:type="dxa"/>
            <w:tcBorders>
              <w:tl2br w:val="nil"/>
              <w:tr2bl w:val="nil"/>
            </w:tcBorders>
            <w:noWrap w:val="0"/>
            <w:vAlign w:val="center"/>
          </w:tcPr>
          <w:p w14:paraId="688BB27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r w14:paraId="744FA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5CBBAF63">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059C59E4">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b w:val="0"/>
                <w:bCs w:val="0"/>
                <w:color w:val="auto"/>
                <w:sz w:val="21"/>
                <w:szCs w:val="21"/>
                <w:highlight w:val="none"/>
                <w:lang w:val="en-US" w:eastAsia="zh-CN"/>
              </w:rPr>
              <w:t>清罐废油泥（含废清理液）</w:t>
            </w:r>
          </w:p>
        </w:tc>
        <w:tc>
          <w:tcPr>
            <w:tcW w:w="1701" w:type="dxa"/>
            <w:tcBorders>
              <w:tl2br w:val="nil"/>
              <w:tr2bl w:val="nil"/>
            </w:tcBorders>
            <w:noWrap w:val="0"/>
            <w:vAlign w:val="center"/>
          </w:tcPr>
          <w:p w14:paraId="26E0B8D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rPr>
            </w:pPr>
            <w:r>
              <w:rPr>
                <w:rFonts w:hint="eastAsia" w:cs="Times New Roman"/>
                <w:color w:val="auto"/>
                <w:sz w:val="21"/>
                <w:szCs w:val="21"/>
                <w:highlight w:val="none"/>
                <w:lang w:val="en-US" w:eastAsia="zh-CN"/>
              </w:rPr>
              <w:t>1</w:t>
            </w:r>
          </w:p>
        </w:tc>
        <w:tc>
          <w:tcPr>
            <w:tcW w:w="1761" w:type="dxa"/>
            <w:tcBorders>
              <w:tl2br w:val="nil"/>
              <w:tr2bl w:val="nil"/>
            </w:tcBorders>
            <w:noWrap w:val="0"/>
            <w:vAlign w:val="center"/>
          </w:tcPr>
          <w:p w14:paraId="302F400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rPr>
            </w:pPr>
            <w:r>
              <w:rPr>
                <w:rFonts w:hint="eastAsia" w:cs="Times New Roman"/>
                <w:color w:val="auto"/>
                <w:sz w:val="21"/>
                <w:szCs w:val="21"/>
                <w:highlight w:val="none"/>
                <w:lang w:val="en-US" w:eastAsia="zh-CN"/>
              </w:rPr>
              <w:t>1</w:t>
            </w:r>
          </w:p>
        </w:tc>
        <w:tc>
          <w:tcPr>
            <w:tcW w:w="1678" w:type="dxa"/>
            <w:tcBorders>
              <w:tl2br w:val="nil"/>
              <w:tr2bl w:val="nil"/>
            </w:tcBorders>
            <w:noWrap w:val="0"/>
            <w:vAlign w:val="center"/>
          </w:tcPr>
          <w:p w14:paraId="1768D0FC">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r w14:paraId="25CE5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87" w:type="dxa"/>
            <w:vMerge w:val="continue"/>
            <w:tcBorders>
              <w:tl2br w:val="nil"/>
              <w:tr2bl w:val="nil"/>
            </w:tcBorders>
            <w:noWrap w:val="0"/>
            <w:vAlign w:val="center"/>
          </w:tcPr>
          <w:p w14:paraId="4A8449BD">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15E944A9">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ascii="Times New Roman" w:hAnsi="Times New Roman" w:eastAsia="宋体"/>
                <w:color w:val="auto"/>
                <w:kern w:val="0"/>
                <w:szCs w:val="21"/>
                <w:highlight w:val="none"/>
              </w:rPr>
            </w:pPr>
            <w:r>
              <w:rPr>
                <w:rFonts w:hint="default" w:ascii="Times New Roman" w:hAnsi="Times New Roman" w:eastAsia="宋体" w:cs="Times New Roman"/>
                <w:b w:val="0"/>
                <w:bCs w:val="0"/>
                <w:color w:val="auto"/>
                <w:spacing w:val="0"/>
                <w:kern w:val="2"/>
                <w:sz w:val="21"/>
                <w:szCs w:val="22"/>
                <w:highlight w:val="none"/>
                <w:lang w:val="en-US" w:eastAsia="zh-CN" w:bidi="ar-SA"/>
              </w:rPr>
              <w:t>沼气除杂产生废过滤膜</w:t>
            </w:r>
          </w:p>
        </w:tc>
        <w:tc>
          <w:tcPr>
            <w:tcW w:w="1701" w:type="dxa"/>
            <w:tcBorders>
              <w:tl2br w:val="nil"/>
              <w:tr2bl w:val="nil"/>
            </w:tcBorders>
            <w:noWrap w:val="0"/>
            <w:vAlign w:val="center"/>
          </w:tcPr>
          <w:p w14:paraId="13678441">
            <w:pPr>
              <w:bidi w:val="0"/>
              <w:jc w:val="center"/>
              <w:rPr>
                <w:rFonts w:ascii="Times New Roman" w:hAnsi="Times New Roman" w:eastAsia="宋体"/>
                <w:color w:val="auto"/>
                <w:kern w:val="0"/>
                <w:szCs w:val="21"/>
                <w:highlight w:val="none"/>
              </w:rPr>
            </w:pPr>
            <w:r>
              <w:rPr>
                <w:rFonts w:hint="eastAsia"/>
                <w:color w:val="auto"/>
                <w:highlight w:val="none"/>
                <w:lang w:val="en-US" w:eastAsia="zh-CN"/>
              </w:rPr>
              <w:t>0.05</w:t>
            </w:r>
          </w:p>
        </w:tc>
        <w:tc>
          <w:tcPr>
            <w:tcW w:w="1761" w:type="dxa"/>
            <w:tcBorders>
              <w:tl2br w:val="nil"/>
              <w:tr2bl w:val="nil"/>
            </w:tcBorders>
            <w:noWrap w:val="0"/>
            <w:vAlign w:val="center"/>
          </w:tcPr>
          <w:p w14:paraId="3FF4A324">
            <w:pPr>
              <w:bidi w:val="0"/>
              <w:jc w:val="center"/>
              <w:rPr>
                <w:rFonts w:ascii="Times New Roman" w:hAnsi="Times New Roman" w:eastAsia="宋体"/>
                <w:color w:val="auto"/>
                <w:kern w:val="0"/>
                <w:szCs w:val="21"/>
                <w:highlight w:val="none"/>
              </w:rPr>
            </w:pPr>
            <w:r>
              <w:rPr>
                <w:rFonts w:hint="eastAsia"/>
                <w:color w:val="auto"/>
                <w:highlight w:val="none"/>
                <w:lang w:val="en-US" w:eastAsia="zh-CN"/>
              </w:rPr>
              <w:t>0.05</w:t>
            </w:r>
          </w:p>
        </w:tc>
        <w:tc>
          <w:tcPr>
            <w:tcW w:w="1678" w:type="dxa"/>
            <w:tcBorders>
              <w:tl2br w:val="nil"/>
              <w:tr2bl w:val="nil"/>
            </w:tcBorders>
            <w:noWrap w:val="0"/>
            <w:vAlign w:val="center"/>
          </w:tcPr>
          <w:p w14:paraId="17D64403">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r w14:paraId="695F2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67E4CE3D">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30A03211">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ascii="Times New Roman" w:hAnsi="Times New Roman" w:eastAsia="宋体"/>
                <w:color w:val="auto"/>
                <w:kern w:val="0"/>
                <w:szCs w:val="21"/>
                <w:highlight w:val="none"/>
              </w:rPr>
            </w:pPr>
            <w:r>
              <w:rPr>
                <w:rFonts w:hint="default" w:ascii="Times New Roman" w:hAnsi="Times New Roman" w:eastAsia="宋体" w:cs="Times New Roman"/>
                <w:b w:val="0"/>
                <w:bCs w:val="0"/>
                <w:color w:val="auto"/>
                <w:spacing w:val="0"/>
                <w:kern w:val="2"/>
                <w:sz w:val="21"/>
                <w:szCs w:val="22"/>
                <w:highlight w:val="none"/>
                <w:lang w:val="en-US" w:eastAsia="zh-CN" w:bidi="ar-SA"/>
              </w:rPr>
              <w:t>废滤芯、废滤膜</w:t>
            </w:r>
          </w:p>
        </w:tc>
        <w:tc>
          <w:tcPr>
            <w:tcW w:w="1701" w:type="dxa"/>
            <w:tcBorders>
              <w:tl2br w:val="nil"/>
              <w:tr2bl w:val="nil"/>
            </w:tcBorders>
            <w:noWrap w:val="0"/>
            <w:vAlign w:val="center"/>
          </w:tcPr>
          <w:p w14:paraId="1DFCD464">
            <w:pPr>
              <w:bidi w:val="0"/>
              <w:jc w:val="center"/>
              <w:rPr>
                <w:rFonts w:hint="default" w:ascii="Times New Roman" w:hAnsi="Times New Roman" w:eastAsia="宋体"/>
                <w:color w:val="auto"/>
                <w:kern w:val="0"/>
                <w:szCs w:val="21"/>
                <w:highlight w:val="none"/>
                <w:lang w:val="en-US"/>
              </w:rPr>
            </w:pPr>
            <w:r>
              <w:rPr>
                <w:rFonts w:hint="eastAsia"/>
                <w:color w:val="auto"/>
                <w:highlight w:val="none"/>
                <w:lang w:val="en-US" w:eastAsia="zh-CN"/>
              </w:rPr>
              <w:t>0.5</w:t>
            </w:r>
          </w:p>
        </w:tc>
        <w:tc>
          <w:tcPr>
            <w:tcW w:w="1761" w:type="dxa"/>
            <w:tcBorders>
              <w:tl2br w:val="nil"/>
              <w:tr2bl w:val="nil"/>
            </w:tcBorders>
            <w:noWrap w:val="0"/>
            <w:vAlign w:val="center"/>
          </w:tcPr>
          <w:p w14:paraId="17E18C69">
            <w:pPr>
              <w:bidi w:val="0"/>
              <w:jc w:val="center"/>
              <w:rPr>
                <w:rFonts w:hint="default" w:ascii="Times New Roman" w:hAnsi="Times New Roman" w:eastAsia="宋体"/>
                <w:color w:val="auto"/>
                <w:kern w:val="0"/>
                <w:szCs w:val="21"/>
                <w:highlight w:val="none"/>
                <w:lang w:val="en-US"/>
              </w:rPr>
            </w:pPr>
            <w:r>
              <w:rPr>
                <w:rFonts w:hint="eastAsia"/>
                <w:color w:val="auto"/>
                <w:highlight w:val="none"/>
                <w:lang w:val="en-US" w:eastAsia="zh-CN"/>
              </w:rPr>
              <w:t>0.5</w:t>
            </w:r>
          </w:p>
        </w:tc>
        <w:tc>
          <w:tcPr>
            <w:tcW w:w="1678" w:type="dxa"/>
            <w:tcBorders>
              <w:tl2br w:val="nil"/>
              <w:tr2bl w:val="nil"/>
            </w:tcBorders>
            <w:noWrap w:val="0"/>
            <w:vAlign w:val="center"/>
          </w:tcPr>
          <w:p w14:paraId="336A661E">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r w14:paraId="1E35C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4A869ACD">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30F6BC11">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ascii="Times New Roman" w:hAnsi="Times New Roman" w:eastAsia="宋体"/>
                <w:color w:val="auto"/>
                <w:kern w:val="0"/>
                <w:szCs w:val="21"/>
                <w:highlight w:val="none"/>
              </w:rPr>
            </w:pPr>
            <w:r>
              <w:rPr>
                <w:rFonts w:hint="default" w:ascii="Times New Roman" w:hAnsi="Times New Roman" w:eastAsia="宋体" w:cs="Times New Roman"/>
                <w:b w:val="0"/>
                <w:bCs w:val="0"/>
                <w:color w:val="auto"/>
                <w:spacing w:val="0"/>
                <w:kern w:val="2"/>
                <w:sz w:val="21"/>
                <w:szCs w:val="22"/>
                <w:highlight w:val="none"/>
                <w:lang w:val="en-US" w:eastAsia="zh-CN" w:bidi="ar-SA"/>
              </w:rPr>
              <w:t>制氮机废过滤膜</w:t>
            </w:r>
          </w:p>
        </w:tc>
        <w:tc>
          <w:tcPr>
            <w:tcW w:w="1701" w:type="dxa"/>
            <w:tcBorders>
              <w:tl2br w:val="nil"/>
              <w:tr2bl w:val="nil"/>
            </w:tcBorders>
            <w:noWrap w:val="0"/>
            <w:vAlign w:val="center"/>
          </w:tcPr>
          <w:p w14:paraId="5476F138">
            <w:pPr>
              <w:bidi w:val="0"/>
              <w:jc w:val="center"/>
              <w:rPr>
                <w:rFonts w:hint="default" w:ascii="Times New Roman" w:hAnsi="Times New Roman" w:eastAsia="宋体"/>
                <w:color w:val="auto"/>
                <w:kern w:val="0"/>
                <w:szCs w:val="21"/>
                <w:highlight w:val="none"/>
                <w:lang w:val="en-US" w:eastAsia="zh-CN"/>
              </w:rPr>
            </w:pPr>
            <w:r>
              <w:rPr>
                <w:rFonts w:hint="default"/>
                <w:color w:val="auto"/>
                <w:highlight w:val="none"/>
                <w:lang w:val="en-US" w:eastAsia="zh-CN"/>
              </w:rPr>
              <w:t>0.</w:t>
            </w:r>
            <w:r>
              <w:rPr>
                <w:rFonts w:hint="eastAsia"/>
                <w:color w:val="auto"/>
                <w:highlight w:val="none"/>
                <w:lang w:val="en-US" w:eastAsia="zh-CN"/>
              </w:rPr>
              <w:t>1</w:t>
            </w:r>
          </w:p>
        </w:tc>
        <w:tc>
          <w:tcPr>
            <w:tcW w:w="1761" w:type="dxa"/>
            <w:tcBorders>
              <w:tl2br w:val="nil"/>
              <w:tr2bl w:val="nil"/>
            </w:tcBorders>
            <w:noWrap w:val="0"/>
            <w:vAlign w:val="center"/>
          </w:tcPr>
          <w:p w14:paraId="2E5A7D92">
            <w:pPr>
              <w:bidi w:val="0"/>
              <w:jc w:val="center"/>
              <w:rPr>
                <w:rFonts w:hint="default" w:ascii="Times New Roman" w:hAnsi="Times New Roman" w:eastAsia="宋体"/>
                <w:color w:val="auto"/>
                <w:kern w:val="0"/>
                <w:szCs w:val="21"/>
                <w:highlight w:val="none"/>
                <w:lang w:val="en-US"/>
              </w:rPr>
            </w:pPr>
            <w:r>
              <w:rPr>
                <w:rFonts w:hint="default"/>
                <w:color w:val="auto"/>
                <w:highlight w:val="none"/>
                <w:lang w:val="en-US" w:eastAsia="zh-CN"/>
              </w:rPr>
              <w:t>0.</w:t>
            </w:r>
            <w:r>
              <w:rPr>
                <w:rFonts w:hint="eastAsia"/>
                <w:color w:val="auto"/>
                <w:highlight w:val="none"/>
                <w:lang w:val="en-US" w:eastAsia="zh-CN"/>
              </w:rPr>
              <w:t>1</w:t>
            </w:r>
          </w:p>
        </w:tc>
        <w:tc>
          <w:tcPr>
            <w:tcW w:w="1678" w:type="dxa"/>
            <w:tcBorders>
              <w:tl2br w:val="nil"/>
              <w:tr2bl w:val="nil"/>
            </w:tcBorders>
            <w:noWrap w:val="0"/>
            <w:vAlign w:val="center"/>
          </w:tcPr>
          <w:p w14:paraId="1946098B">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r w14:paraId="3F7A3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2F50AD3F">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4145535B">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ascii="Times New Roman" w:hAnsi="Times New Roman" w:eastAsia="宋体"/>
                <w:color w:val="auto"/>
                <w:kern w:val="0"/>
                <w:szCs w:val="21"/>
                <w:highlight w:val="none"/>
              </w:rPr>
            </w:pPr>
            <w:r>
              <w:rPr>
                <w:rFonts w:hint="eastAsia" w:ascii="Times New Roman" w:hAnsi="Times New Roman" w:eastAsia="宋体" w:cs="Times New Roman"/>
                <w:b w:val="0"/>
                <w:bCs w:val="0"/>
                <w:color w:val="auto"/>
                <w:spacing w:val="0"/>
                <w:kern w:val="2"/>
                <w:sz w:val="21"/>
                <w:szCs w:val="22"/>
                <w:highlight w:val="none"/>
                <w:lang w:val="en-US" w:eastAsia="zh-CN" w:bidi="ar-SA"/>
              </w:rPr>
              <w:t>废包装桶</w:t>
            </w:r>
          </w:p>
        </w:tc>
        <w:tc>
          <w:tcPr>
            <w:tcW w:w="1701" w:type="dxa"/>
            <w:tcBorders>
              <w:tl2br w:val="nil"/>
              <w:tr2bl w:val="nil"/>
            </w:tcBorders>
            <w:noWrap w:val="0"/>
            <w:vAlign w:val="center"/>
          </w:tcPr>
          <w:p w14:paraId="69BF8E52">
            <w:pPr>
              <w:bidi w:val="0"/>
              <w:jc w:val="center"/>
              <w:rPr>
                <w:rFonts w:hint="default" w:ascii="Times New Roman" w:hAnsi="Times New Roman" w:eastAsia="宋体"/>
                <w:color w:val="auto"/>
                <w:kern w:val="0"/>
                <w:szCs w:val="21"/>
                <w:highlight w:val="none"/>
                <w:lang w:val="en-US"/>
              </w:rPr>
            </w:pPr>
            <w:r>
              <w:rPr>
                <w:rFonts w:hint="eastAsia"/>
                <w:color w:val="auto"/>
                <w:highlight w:val="none"/>
                <w:lang w:val="en-US" w:eastAsia="zh-CN"/>
              </w:rPr>
              <w:t>0.0018</w:t>
            </w:r>
          </w:p>
        </w:tc>
        <w:tc>
          <w:tcPr>
            <w:tcW w:w="1761" w:type="dxa"/>
            <w:tcBorders>
              <w:tl2br w:val="nil"/>
              <w:tr2bl w:val="nil"/>
            </w:tcBorders>
            <w:noWrap w:val="0"/>
            <w:vAlign w:val="center"/>
          </w:tcPr>
          <w:p w14:paraId="65D67A69">
            <w:pPr>
              <w:bidi w:val="0"/>
              <w:jc w:val="center"/>
              <w:rPr>
                <w:rFonts w:hint="default" w:ascii="Times New Roman" w:hAnsi="Times New Roman" w:eastAsia="宋体"/>
                <w:color w:val="auto"/>
                <w:kern w:val="0"/>
                <w:szCs w:val="21"/>
                <w:highlight w:val="none"/>
                <w:lang w:val="en-US"/>
              </w:rPr>
            </w:pPr>
            <w:r>
              <w:rPr>
                <w:rFonts w:hint="eastAsia"/>
                <w:color w:val="auto"/>
                <w:highlight w:val="none"/>
                <w:lang w:val="en-US" w:eastAsia="zh-CN"/>
              </w:rPr>
              <w:t>0.0018</w:t>
            </w:r>
          </w:p>
        </w:tc>
        <w:tc>
          <w:tcPr>
            <w:tcW w:w="1678" w:type="dxa"/>
            <w:tcBorders>
              <w:tl2br w:val="nil"/>
              <w:tr2bl w:val="nil"/>
            </w:tcBorders>
            <w:noWrap w:val="0"/>
            <w:vAlign w:val="center"/>
          </w:tcPr>
          <w:p w14:paraId="58A0913B">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r w14:paraId="5EC1E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7" w:type="dxa"/>
            <w:vMerge w:val="continue"/>
            <w:tcBorders>
              <w:tl2br w:val="nil"/>
              <w:tr2bl w:val="nil"/>
            </w:tcBorders>
            <w:noWrap w:val="0"/>
            <w:vAlign w:val="center"/>
          </w:tcPr>
          <w:p w14:paraId="26092969">
            <w:pPr>
              <w:widowControl/>
              <w:snapToGrid w:val="0"/>
              <w:jc w:val="center"/>
              <w:rPr>
                <w:rFonts w:ascii="Times New Roman" w:hAnsi="Times New Roman" w:eastAsia="宋体"/>
                <w:color w:val="auto"/>
                <w:kern w:val="0"/>
                <w:szCs w:val="21"/>
                <w:highlight w:val="none"/>
              </w:rPr>
            </w:pPr>
          </w:p>
        </w:tc>
        <w:tc>
          <w:tcPr>
            <w:tcW w:w="1985" w:type="dxa"/>
            <w:tcBorders>
              <w:tl2br w:val="nil"/>
              <w:tr2bl w:val="nil"/>
            </w:tcBorders>
            <w:noWrap w:val="0"/>
            <w:vAlign w:val="center"/>
          </w:tcPr>
          <w:p w14:paraId="719BB88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生活垃圾</w:t>
            </w:r>
          </w:p>
        </w:tc>
        <w:tc>
          <w:tcPr>
            <w:tcW w:w="1701" w:type="dxa"/>
            <w:tcBorders>
              <w:tl2br w:val="nil"/>
              <w:tr2bl w:val="nil"/>
            </w:tcBorders>
            <w:noWrap w:val="0"/>
            <w:vAlign w:val="center"/>
          </w:tcPr>
          <w:p w14:paraId="14289F3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rPr>
            </w:pPr>
            <w:r>
              <w:rPr>
                <w:rFonts w:hint="eastAsia" w:cs="Times New Roman"/>
                <w:color w:val="auto"/>
                <w:sz w:val="21"/>
                <w:szCs w:val="21"/>
                <w:highlight w:val="none"/>
                <w:lang w:val="en-US" w:eastAsia="zh-CN"/>
              </w:rPr>
              <w:t>5.475</w:t>
            </w:r>
          </w:p>
        </w:tc>
        <w:tc>
          <w:tcPr>
            <w:tcW w:w="1761" w:type="dxa"/>
            <w:tcBorders>
              <w:tl2br w:val="nil"/>
              <w:tr2bl w:val="nil"/>
            </w:tcBorders>
            <w:noWrap w:val="0"/>
            <w:vAlign w:val="center"/>
          </w:tcPr>
          <w:p w14:paraId="6CAF486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kern w:val="0"/>
                <w:szCs w:val="21"/>
                <w:highlight w:val="none"/>
              </w:rPr>
            </w:pPr>
            <w:r>
              <w:rPr>
                <w:rFonts w:hint="eastAsia" w:cs="Times New Roman"/>
                <w:color w:val="auto"/>
                <w:sz w:val="21"/>
                <w:szCs w:val="21"/>
                <w:highlight w:val="none"/>
                <w:lang w:val="en-US" w:eastAsia="zh-CN"/>
              </w:rPr>
              <w:t>5.475</w:t>
            </w:r>
          </w:p>
        </w:tc>
        <w:tc>
          <w:tcPr>
            <w:tcW w:w="1678" w:type="dxa"/>
            <w:tcBorders>
              <w:tl2br w:val="nil"/>
              <w:tr2bl w:val="nil"/>
            </w:tcBorders>
            <w:noWrap w:val="0"/>
            <w:vAlign w:val="center"/>
          </w:tcPr>
          <w:p w14:paraId="2D746D18">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0</w:t>
            </w:r>
          </w:p>
        </w:tc>
      </w:tr>
    </w:tbl>
    <w:p w14:paraId="326AAB36">
      <w:pPr>
        <w:pStyle w:val="218"/>
        <w:spacing w:before="62" w:after="156"/>
        <w:rPr>
          <w:color w:val="auto"/>
          <w:highlight w:val="none"/>
        </w:rPr>
      </w:pPr>
      <w:bookmarkStart w:id="254" w:name="_Toc152922619"/>
      <w:bookmarkStart w:id="255" w:name="_Toc152922025"/>
      <w:bookmarkStart w:id="256" w:name="_Toc14498"/>
      <w:r>
        <w:rPr>
          <w:color w:val="auto"/>
          <w:highlight w:val="none"/>
        </w:rPr>
        <w:t>3.</w:t>
      </w:r>
      <w:r>
        <w:rPr>
          <w:rFonts w:hint="eastAsia"/>
          <w:color w:val="auto"/>
          <w:highlight w:val="none"/>
          <w:lang w:val="en-US" w:eastAsia="zh-CN"/>
        </w:rPr>
        <w:t>6</w:t>
      </w:r>
      <w:r>
        <w:rPr>
          <w:color w:val="auto"/>
          <w:highlight w:val="none"/>
        </w:rPr>
        <w:t>清洁生产分析</w:t>
      </w:r>
      <w:bookmarkEnd w:id="254"/>
      <w:bookmarkEnd w:id="255"/>
      <w:bookmarkEnd w:id="256"/>
    </w:p>
    <w:p w14:paraId="418D4D1A">
      <w:pPr>
        <w:pStyle w:val="4"/>
        <w:spacing w:after="156"/>
        <w:rPr>
          <w:rFonts w:hint="eastAsia"/>
          <w:color w:val="auto"/>
          <w:highlight w:val="none"/>
          <w:lang w:val="en-US" w:eastAsia="zh-CN"/>
        </w:rPr>
      </w:pPr>
      <w:r>
        <w:rPr>
          <w:rFonts w:hint="eastAsia"/>
          <w:color w:val="auto"/>
          <w:highlight w:val="none"/>
          <w:lang w:eastAsia="zh-CN"/>
        </w:rPr>
        <w:t>3.6</w:t>
      </w:r>
      <w:r>
        <w:rPr>
          <w:color w:val="auto"/>
          <w:highlight w:val="none"/>
        </w:rPr>
        <w:t>.</w:t>
      </w:r>
      <w:r>
        <w:rPr>
          <w:rFonts w:hint="eastAsia"/>
          <w:color w:val="auto"/>
          <w:highlight w:val="none"/>
          <w:lang w:val="en-US" w:eastAsia="zh-CN"/>
        </w:rPr>
        <w:t>1</w:t>
      </w:r>
      <w:r>
        <w:rPr>
          <w:rFonts w:hint="eastAsia"/>
          <w:color w:val="auto"/>
          <w:highlight w:val="none"/>
        </w:rPr>
        <w:t>产品特征指标</w:t>
      </w:r>
    </w:p>
    <w:p w14:paraId="3C4AE2F5">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lang w:val="en-US" w:eastAsia="zh-CN"/>
        </w:rPr>
        <w:t>（1）项目产品为氢气，制备纯度</w:t>
      </w:r>
      <w:r>
        <w:rPr>
          <w:rFonts w:hint="default" w:ascii="Times New Roman" w:hAnsi="Times New Roman" w:eastAsia="宋体" w:cs="Times New Roman"/>
          <w:b w:val="0"/>
          <w:bCs w:val="0"/>
          <w:color w:val="auto"/>
          <w:sz w:val="24"/>
          <w:szCs w:val="24"/>
          <w:highlight w:val="none"/>
          <w:lang w:val="en-US" w:eastAsia="zh-CN"/>
        </w:rPr>
        <w:t>99.95%~99.999%</w:t>
      </w:r>
      <w:r>
        <w:rPr>
          <w:rFonts w:hint="eastAsia" w:ascii="Times New Roman" w:hAnsi="Times New Roman" w:eastAsia="宋体" w:cs="Times New Roman"/>
          <w:b w:val="0"/>
          <w:bCs w:val="0"/>
          <w:color w:val="auto"/>
          <w:sz w:val="24"/>
          <w:szCs w:val="24"/>
          <w:highlight w:val="none"/>
          <w:lang w:val="en-US" w:eastAsia="zh-CN"/>
        </w:rPr>
        <w:t>氢气，具体纯度可按客户要求进行调整，低纯度氢气执行《氢气第</w:t>
      </w:r>
      <w:r>
        <w:rPr>
          <w:rFonts w:hint="default" w:ascii="Times New Roman" w:hAnsi="Times New Roman" w:eastAsia="宋体" w:cs="Times New Roman"/>
          <w:b w:val="0"/>
          <w:bCs w:val="0"/>
          <w:color w:val="auto"/>
          <w:sz w:val="24"/>
          <w:szCs w:val="24"/>
          <w:highlight w:val="none"/>
          <w:lang w:val="en-US" w:eastAsia="zh-CN"/>
        </w:rPr>
        <w:t>1</w:t>
      </w:r>
      <w:r>
        <w:rPr>
          <w:rFonts w:hint="eastAsia" w:ascii="Times New Roman" w:hAnsi="Times New Roman" w:eastAsia="宋体" w:cs="Times New Roman"/>
          <w:b w:val="0"/>
          <w:bCs w:val="0"/>
          <w:color w:val="auto"/>
          <w:sz w:val="24"/>
          <w:szCs w:val="24"/>
          <w:highlight w:val="none"/>
          <w:lang w:val="en-US" w:eastAsia="zh-CN"/>
        </w:rPr>
        <w:t>部分：工业氢》（</w:t>
      </w:r>
      <w:r>
        <w:rPr>
          <w:rFonts w:hint="default" w:ascii="Times New Roman" w:hAnsi="Times New Roman" w:eastAsia="宋体" w:cs="Times New Roman"/>
          <w:b w:val="0"/>
          <w:bCs w:val="0"/>
          <w:color w:val="auto"/>
          <w:sz w:val="24"/>
          <w:szCs w:val="24"/>
          <w:highlight w:val="none"/>
          <w:lang w:val="en-US" w:eastAsia="zh-CN"/>
        </w:rPr>
        <w:t>GB/T3634.1-2006</w:t>
      </w:r>
      <w:r>
        <w:rPr>
          <w:rFonts w:hint="eastAsia" w:ascii="Times New Roman" w:hAnsi="Times New Roman" w:eastAsia="宋体" w:cs="Times New Roman"/>
          <w:b w:val="0"/>
          <w:bCs w:val="0"/>
          <w:color w:val="auto"/>
          <w:sz w:val="24"/>
          <w:szCs w:val="24"/>
          <w:highlight w:val="none"/>
          <w:lang w:val="en-US" w:eastAsia="zh-CN"/>
        </w:rPr>
        <w:t>）中优等品的指标要求；高纯度氢气执行《氢气第</w:t>
      </w:r>
      <w:r>
        <w:rPr>
          <w:rFonts w:hint="default" w:ascii="Times New Roman" w:hAnsi="Times New Roman" w:eastAsia="宋体" w:cs="Times New Roman"/>
          <w:b w:val="0"/>
          <w:bCs w:val="0"/>
          <w:color w:val="auto"/>
          <w:sz w:val="24"/>
          <w:szCs w:val="24"/>
          <w:highlight w:val="none"/>
          <w:lang w:val="en-US" w:eastAsia="zh-CN"/>
        </w:rPr>
        <w:t>2</w:t>
      </w:r>
      <w:r>
        <w:rPr>
          <w:rFonts w:hint="eastAsia" w:ascii="Times New Roman" w:hAnsi="Times New Roman" w:eastAsia="宋体" w:cs="Times New Roman"/>
          <w:b w:val="0"/>
          <w:bCs w:val="0"/>
          <w:color w:val="auto"/>
          <w:sz w:val="24"/>
          <w:szCs w:val="24"/>
          <w:highlight w:val="none"/>
          <w:lang w:val="en-US" w:eastAsia="zh-CN"/>
        </w:rPr>
        <w:t>部分：纯氢、高纯氢和超高纯氢》（</w:t>
      </w:r>
      <w:r>
        <w:rPr>
          <w:rFonts w:hint="default" w:ascii="Times New Roman" w:hAnsi="Times New Roman" w:eastAsia="宋体" w:cs="Times New Roman"/>
          <w:b w:val="0"/>
          <w:bCs w:val="0"/>
          <w:color w:val="auto"/>
          <w:sz w:val="24"/>
          <w:szCs w:val="24"/>
          <w:highlight w:val="none"/>
          <w:lang w:val="en-US" w:eastAsia="zh-CN"/>
        </w:rPr>
        <w:t>GB/T3634.2-2011</w:t>
      </w:r>
      <w:r>
        <w:rPr>
          <w:rFonts w:hint="eastAsia" w:ascii="Times New Roman" w:hAnsi="Times New Roman" w:eastAsia="宋体" w:cs="Times New Roman"/>
          <w:b w:val="0"/>
          <w:bCs w:val="0"/>
          <w:color w:val="auto"/>
          <w:sz w:val="24"/>
          <w:szCs w:val="24"/>
          <w:highlight w:val="none"/>
          <w:lang w:val="en-US" w:eastAsia="zh-CN"/>
        </w:rPr>
        <w:t>）中纯氢、高纯氢的指标要求。天然气制氢装置产品质量主要取决于</w:t>
      </w:r>
      <w:r>
        <w:rPr>
          <w:rFonts w:hint="default" w:ascii="Times New Roman" w:hAnsi="Times New Roman" w:eastAsia="宋体" w:cs="Times New Roman"/>
          <w:b w:val="0"/>
          <w:bCs w:val="0"/>
          <w:color w:val="auto"/>
          <w:sz w:val="24"/>
          <w:szCs w:val="24"/>
          <w:highlight w:val="none"/>
          <w:lang w:val="en-US" w:eastAsia="zh-CN"/>
        </w:rPr>
        <w:t>PSA</w:t>
      </w:r>
      <w:r>
        <w:rPr>
          <w:rFonts w:hint="eastAsia" w:ascii="Times New Roman" w:hAnsi="Times New Roman" w:eastAsia="宋体" w:cs="Times New Roman"/>
          <w:b w:val="0"/>
          <w:bCs w:val="0"/>
          <w:color w:val="auto"/>
          <w:sz w:val="24"/>
          <w:szCs w:val="24"/>
          <w:highlight w:val="none"/>
          <w:lang w:val="en-US" w:eastAsia="zh-CN"/>
        </w:rPr>
        <w:t>系统配置及原辅材料品质，对于制氢装置根据不同用户需要选取相应的设计参数产品氢气的纯度是可调的，即氢气纯度可在</w:t>
      </w:r>
      <w:r>
        <w:rPr>
          <w:rFonts w:ascii="Times New Roman" w:hAnsi="Times New Roman" w:eastAsia="Times New Roman" w:cs="Times New Roman"/>
          <w:b w:val="0"/>
          <w:bCs w:val="0"/>
          <w:color w:val="auto"/>
          <w:sz w:val="24"/>
          <w:szCs w:val="24"/>
          <w:highlight w:val="none"/>
        </w:rPr>
        <w:t>99.95%~99.999%</w:t>
      </w:r>
      <w:r>
        <w:rPr>
          <w:rFonts w:hint="eastAsia" w:ascii="宋体" w:hAnsi="宋体" w:eastAsia="宋体" w:cs="宋体"/>
          <w:b w:val="0"/>
          <w:bCs w:val="0"/>
          <w:color w:val="auto"/>
          <w:sz w:val="24"/>
          <w:szCs w:val="24"/>
          <w:highlight w:val="none"/>
        </w:rPr>
        <w:t>之间进行调节。对于</w:t>
      </w:r>
      <w:r>
        <w:rPr>
          <w:rFonts w:hint="default" w:ascii="Times New Roman" w:hAnsi="Times New Roman" w:eastAsia="Times New Roman" w:cs="Times New Roman"/>
          <w:b w:val="0"/>
          <w:bCs w:val="0"/>
          <w:color w:val="auto"/>
          <w:sz w:val="24"/>
          <w:szCs w:val="24"/>
          <w:highlight w:val="none"/>
        </w:rPr>
        <w:t>PSA</w:t>
      </w:r>
      <w:r>
        <w:rPr>
          <w:rFonts w:hint="eastAsia" w:ascii="宋体" w:hAnsi="宋体" w:eastAsia="宋体" w:cs="宋体"/>
          <w:b w:val="0"/>
          <w:bCs w:val="0"/>
          <w:color w:val="auto"/>
          <w:sz w:val="24"/>
          <w:szCs w:val="24"/>
          <w:highlight w:val="none"/>
        </w:rPr>
        <w:t>系统配置，可根据用氢组分要求对</w:t>
      </w:r>
      <w:r>
        <w:rPr>
          <w:rFonts w:hint="default" w:ascii="Times New Roman" w:hAnsi="Times New Roman" w:eastAsia="Times New Roman" w:cs="Times New Roman"/>
          <w:b w:val="0"/>
          <w:bCs w:val="0"/>
          <w:color w:val="auto"/>
          <w:sz w:val="24"/>
          <w:szCs w:val="24"/>
          <w:highlight w:val="none"/>
        </w:rPr>
        <w:t>PSA</w:t>
      </w:r>
      <w:r>
        <w:rPr>
          <w:rFonts w:hint="eastAsia" w:ascii="宋体" w:hAnsi="宋体" w:eastAsia="宋体" w:cs="宋体"/>
          <w:b w:val="0"/>
          <w:bCs w:val="0"/>
          <w:color w:val="auto"/>
          <w:sz w:val="24"/>
          <w:szCs w:val="24"/>
          <w:highlight w:val="none"/>
        </w:rPr>
        <w:t>的填料进行选择并确定合理的工艺气停留时间等参数。对于原辅材料天然气和脱盐水，其品质越好，同样的制氢工艺配置得到的产品质量就越高。本项目原料天然气来自管道天然气，为净化天然气，其品质满足《天然气》（</w:t>
      </w:r>
      <w:r>
        <w:rPr>
          <w:rFonts w:hint="default" w:ascii="Times New Roman" w:hAnsi="Times New Roman" w:eastAsia="Times New Roman" w:cs="Times New Roman"/>
          <w:b w:val="0"/>
          <w:bCs w:val="0"/>
          <w:color w:val="auto"/>
          <w:sz w:val="24"/>
          <w:szCs w:val="24"/>
          <w:highlight w:val="none"/>
        </w:rPr>
        <w:t>GB17820-2018</w:t>
      </w:r>
      <w:r>
        <w:rPr>
          <w:rFonts w:hint="eastAsia" w:ascii="宋体" w:hAnsi="宋体" w:eastAsia="宋体" w:cs="宋体"/>
          <w:b w:val="0"/>
          <w:bCs w:val="0"/>
          <w:color w:val="auto"/>
          <w:sz w:val="24"/>
          <w:szCs w:val="24"/>
          <w:highlight w:val="none"/>
        </w:rPr>
        <w:t>）一类标准，杂质含量较低；本项目所用脱盐水来自新建的脱盐水制备装置，采用</w:t>
      </w:r>
      <w:r>
        <w:rPr>
          <w:rFonts w:hint="eastAsia" w:ascii="Times New Roman" w:hAnsi="Times New Roman" w:eastAsia="宋体" w:cs="Times New Roman"/>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多介质过滤器</w:t>
      </w:r>
      <w:r>
        <w:rPr>
          <w:rFonts w:hint="default" w:ascii="Times New Roman" w:hAnsi="Times New Roman" w:eastAsia="Times New Roman" w:cs="Times New Roman"/>
          <w:b w:val="0"/>
          <w:bCs w:val="0"/>
          <w:color w:val="auto"/>
          <w:sz w:val="24"/>
          <w:szCs w:val="24"/>
          <w:highlight w:val="none"/>
        </w:rPr>
        <w:t>+</w:t>
      </w:r>
      <w:r>
        <w:rPr>
          <w:rFonts w:hint="eastAsia" w:ascii="宋体" w:hAnsi="宋体" w:eastAsia="宋体" w:cs="宋体"/>
          <w:b w:val="0"/>
          <w:bCs w:val="0"/>
          <w:color w:val="auto"/>
          <w:sz w:val="24"/>
          <w:szCs w:val="24"/>
          <w:highlight w:val="none"/>
        </w:rPr>
        <w:t>吸附过滤器</w:t>
      </w:r>
      <w:r>
        <w:rPr>
          <w:rFonts w:hint="default" w:ascii="Times New Roman" w:hAnsi="Times New Roman" w:eastAsia="Times New Roman" w:cs="Times New Roman"/>
          <w:b w:val="0"/>
          <w:bCs w:val="0"/>
          <w:color w:val="auto"/>
          <w:sz w:val="24"/>
          <w:szCs w:val="24"/>
          <w:highlight w:val="none"/>
        </w:rPr>
        <w:t>+</w:t>
      </w:r>
      <w:r>
        <w:rPr>
          <w:rFonts w:hint="eastAsia" w:ascii="宋体" w:hAnsi="宋体" w:eastAsia="宋体" w:cs="宋体"/>
          <w:b w:val="0"/>
          <w:bCs w:val="0"/>
          <w:color w:val="auto"/>
          <w:sz w:val="24"/>
          <w:szCs w:val="24"/>
          <w:highlight w:val="none"/>
        </w:rPr>
        <w:t>保安过滤器</w:t>
      </w:r>
      <w:r>
        <w:rPr>
          <w:rFonts w:hint="default" w:ascii="Times New Roman" w:hAnsi="Times New Roman" w:eastAsia="Times New Roman" w:cs="Times New Roman"/>
          <w:b w:val="0"/>
          <w:bCs w:val="0"/>
          <w:color w:val="auto"/>
          <w:sz w:val="24"/>
          <w:szCs w:val="24"/>
          <w:highlight w:val="none"/>
        </w:rPr>
        <w:t>+</w:t>
      </w:r>
      <w:r>
        <w:rPr>
          <w:rFonts w:hint="eastAsia" w:ascii="宋体" w:hAnsi="宋体" w:eastAsia="宋体" w:cs="宋体"/>
          <w:b w:val="0"/>
          <w:bCs w:val="0"/>
          <w:color w:val="auto"/>
          <w:sz w:val="24"/>
          <w:szCs w:val="24"/>
          <w:highlight w:val="none"/>
        </w:rPr>
        <w:t>两级反渗透</w:t>
      </w:r>
      <w:r>
        <w:rPr>
          <w:rFonts w:hint="eastAsia" w:ascii="Times New Roman" w:hAnsi="Times New Roman" w:eastAsia="宋体" w:cs="Times New Roman"/>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工艺，可有效提升氢气产品品质。</w:t>
      </w:r>
    </w:p>
    <w:p w14:paraId="02ABAF1E">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rPr>
        <w:t>综上，本项目产品氢气质量可达</w:t>
      </w:r>
      <w:r>
        <w:rPr>
          <w:rFonts w:hint="default" w:ascii="Times New Roman" w:hAnsi="Times New Roman" w:eastAsia="Times New Roman" w:cs="Times New Roman"/>
          <w:b w:val="0"/>
          <w:bCs w:val="0"/>
          <w:color w:val="auto"/>
          <w:sz w:val="24"/>
          <w:szCs w:val="24"/>
          <w:highlight w:val="none"/>
        </w:rPr>
        <w:t>99.95%~99.999%</w:t>
      </w:r>
      <w:r>
        <w:rPr>
          <w:rFonts w:hint="eastAsia" w:ascii="宋体" w:hAnsi="宋体" w:eastAsia="宋体" w:cs="宋体"/>
          <w:b w:val="0"/>
          <w:bCs w:val="0"/>
          <w:color w:val="auto"/>
          <w:sz w:val="24"/>
          <w:szCs w:val="24"/>
          <w:highlight w:val="none"/>
        </w:rPr>
        <w:t>的高质量要求，符合清洁生产的要求。</w:t>
      </w:r>
    </w:p>
    <w:p w14:paraId="0BA15282">
      <w:pPr>
        <w:pStyle w:val="4"/>
        <w:spacing w:after="156"/>
        <w:rPr>
          <w:rFonts w:hint="eastAsia"/>
          <w:color w:val="auto"/>
          <w:highlight w:val="none"/>
          <w:lang w:val="en-US" w:eastAsia="zh-CN"/>
        </w:rPr>
      </w:pPr>
      <w:r>
        <w:rPr>
          <w:rFonts w:hint="eastAsia"/>
          <w:color w:val="auto"/>
          <w:highlight w:val="none"/>
          <w:lang w:eastAsia="zh-CN"/>
        </w:rPr>
        <w:t>3.6</w:t>
      </w:r>
      <w:r>
        <w:rPr>
          <w:color w:val="auto"/>
          <w:highlight w:val="none"/>
        </w:rPr>
        <w:t>.</w:t>
      </w:r>
      <w:r>
        <w:rPr>
          <w:rFonts w:hint="eastAsia"/>
          <w:color w:val="auto"/>
          <w:highlight w:val="none"/>
          <w:lang w:val="en-US" w:eastAsia="zh-CN"/>
        </w:rPr>
        <w:t>2原辅材料</w:t>
      </w:r>
    </w:p>
    <w:p w14:paraId="33AD6F9A">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eastAsia" w:ascii="宋体" w:hAnsi="宋体" w:eastAsia="宋体" w:cs="宋体"/>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rPr>
        <w:t>本项目主要原料</w:t>
      </w:r>
      <w:r>
        <w:rPr>
          <w:rFonts w:hint="default" w:ascii="Times New Roman" w:hAnsi="Times New Roman" w:eastAsia="宋体" w:cs="Times New Roman"/>
          <w:b w:val="0"/>
          <w:bCs w:val="0"/>
          <w:color w:val="auto"/>
          <w:sz w:val="24"/>
          <w:szCs w:val="24"/>
          <w:highlight w:val="none"/>
          <w:lang w:val="en-US" w:eastAsia="zh-CN"/>
        </w:rPr>
        <w:t>净化沼气外购</w:t>
      </w:r>
      <w:r>
        <w:rPr>
          <w:rFonts w:hint="default" w:ascii="Times New Roman" w:hAnsi="Times New Roman" w:eastAsia="宋体" w:cs="Times New Roman"/>
          <w:b w:val="0"/>
          <w:bCs w:val="0"/>
          <w:color w:val="auto"/>
          <w:sz w:val="24"/>
          <w:szCs w:val="24"/>
          <w:highlight w:val="none"/>
        </w:rPr>
        <w:t>，其质量指标可满足国家标准《天然气》（GB17820-2018）一类标准，总硫、硫化氢含量很低，属清洁原料（燃料）；脱盐水、循环水、压缩空气、氮气等均由新购撬装设备提供；吸附剂使用寿命≥15年，脱硫剂、转化催化剂和中变催化剂使用寿命≥1年，符合清洁生产的要求。</w:t>
      </w:r>
    </w:p>
    <w:p w14:paraId="7344C912">
      <w:pPr>
        <w:pStyle w:val="4"/>
        <w:spacing w:after="156"/>
        <w:rPr>
          <w:rFonts w:hint="eastAsia" w:ascii="Times New Roman" w:hAnsi="Times New Roman" w:eastAsia="宋体" w:cs="Times New Roman"/>
          <w:b/>
          <w:color w:val="auto"/>
          <w:highlight w:val="none"/>
          <w:lang w:val="en-US" w:eastAsia="zh-CN"/>
        </w:rPr>
      </w:pPr>
      <w:r>
        <w:rPr>
          <w:rFonts w:hint="eastAsia" w:cs="Times New Roman"/>
          <w:b/>
          <w:color w:val="auto"/>
          <w:highlight w:val="none"/>
          <w:lang w:val="en-US" w:eastAsia="zh-CN"/>
        </w:rPr>
        <w:t>3.6</w:t>
      </w:r>
      <w:r>
        <w:rPr>
          <w:rFonts w:hint="eastAsia" w:ascii="Times New Roman" w:hAnsi="Times New Roman" w:eastAsia="宋体" w:cs="Times New Roman"/>
          <w:b/>
          <w:color w:val="auto"/>
          <w:highlight w:val="none"/>
          <w:lang w:val="en-US" w:eastAsia="zh-CN"/>
        </w:rPr>
        <w:t>.3工艺与设备先进性分析</w:t>
      </w:r>
    </w:p>
    <w:p w14:paraId="5F5EF6F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kern w:val="2"/>
          <w:sz w:val="24"/>
          <w:szCs w:val="24"/>
          <w:highlight w:val="none"/>
          <w:lang w:val="en-US" w:eastAsia="zh-CN" w:bidi="ar-SA"/>
        </w:rPr>
        <w:t>（1）</w:t>
      </w:r>
      <w:r>
        <w:rPr>
          <w:rFonts w:hint="eastAsia" w:ascii="Times New Roman" w:hAnsi="Times New Roman" w:eastAsia="宋体" w:cs="Times New Roman"/>
          <w:b w:val="0"/>
          <w:bCs w:val="0"/>
          <w:color w:val="auto"/>
          <w:sz w:val="24"/>
          <w:szCs w:val="24"/>
          <w:highlight w:val="none"/>
        </w:rPr>
        <w:t>生产工艺</w:t>
      </w:r>
    </w:p>
    <w:p w14:paraId="14B3054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rPr>
        <w:t>本项目的</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rPr>
        <w:t>00Nm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/h</w:t>
      </w:r>
      <w:r>
        <w:rPr>
          <w:rFonts w:hint="eastAsia" w:ascii="Times New Roman" w:hAnsi="Times New Roman" w:eastAsia="宋体" w:cs="Times New Roman"/>
          <w:b w:val="0"/>
          <w:bCs w:val="0"/>
          <w:color w:val="auto"/>
          <w:sz w:val="24"/>
          <w:szCs w:val="24"/>
          <w:highlight w:val="none"/>
        </w:rPr>
        <w:t>天然气制氢装置采用国内成熟工艺，生产工艺可靠、工艺流程设计合理，综合能耗低，产品质量连续稳定。本项目以</w:t>
      </w:r>
      <w:r>
        <w:rPr>
          <w:rFonts w:hint="eastAsia" w:ascii="Times New Roman" w:hAnsi="Times New Roman" w:eastAsia="宋体" w:cs="Times New Roman"/>
          <w:b w:val="0"/>
          <w:bCs w:val="0"/>
          <w:color w:val="auto"/>
          <w:sz w:val="24"/>
          <w:szCs w:val="24"/>
          <w:highlight w:val="none"/>
          <w:lang w:val="en-US" w:eastAsia="zh-CN"/>
        </w:rPr>
        <w:t>净化生物沼气</w:t>
      </w:r>
      <w:r>
        <w:rPr>
          <w:rFonts w:hint="eastAsia" w:ascii="Times New Roman" w:hAnsi="Times New Roman" w:eastAsia="宋体" w:cs="Times New Roman"/>
          <w:b w:val="0"/>
          <w:bCs w:val="0"/>
          <w:color w:val="auto"/>
          <w:sz w:val="24"/>
          <w:szCs w:val="24"/>
          <w:highlight w:val="none"/>
        </w:rPr>
        <w:t>及项目自产解</w:t>
      </w:r>
      <w:r>
        <w:rPr>
          <w:rFonts w:hint="eastAsia" w:ascii="Times New Roman" w:hAnsi="Times New Roman" w:eastAsia="宋体" w:cs="Times New Roman"/>
          <w:b w:val="0"/>
          <w:bCs w:val="0"/>
          <w:color w:val="auto"/>
          <w:sz w:val="24"/>
          <w:szCs w:val="24"/>
          <w:highlight w:val="none"/>
          <w:lang w:val="en-US" w:eastAsia="zh-CN"/>
        </w:rPr>
        <w:t>吸</w:t>
      </w:r>
      <w:r>
        <w:rPr>
          <w:rFonts w:hint="eastAsia" w:ascii="Times New Roman" w:hAnsi="Times New Roman" w:eastAsia="宋体" w:cs="Times New Roman"/>
          <w:b w:val="0"/>
          <w:bCs w:val="0"/>
          <w:color w:val="auto"/>
          <w:sz w:val="24"/>
          <w:szCs w:val="24"/>
          <w:highlight w:val="none"/>
        </w:rPr>
        <w:t>气</w:t>
      </w:r>
      <w:r>
        <w:rPr>
          <w:rFonts w:hint="eastAsia" w:cs="Times New Roman"/>
          <w:b w:val="0"/>
          <w:bCs w:val="0"/>
          <w:color w:val="auto"/>
          <w:sz w:val="24"/>
          <w:szCs w:val="24"/>
          <w:highlight w:val="none"/>
          <w:lang w:eastAsia="zh-CN"/>
        </w:rPr>
        <w:t>作为</w:t>
      </w:r>
      <w:r>
        <w:rPr>
          <w:rFonts w:hint="eastAsia" w:ascii="Times New Roman" w:hAnsi="Times New Roman" w:eastAsia="宋体" w:cs="Times New Roman"/>
          <w:b w:val="0"/>
          <w:bCs w:val="0"/>
          <w:color w:val="auto"/>
          <w:sz w:val="24"/>
          <w:szCs w:val="24"/>
          <w:highlight w:val="none"/>
        </w:rPr>
        <w:t>转化炉燃料，采用低氮燃烧技术，并设置转化气换热器产蒸汽，具有较高的热效率，节约了能源，减少了污染物排放。</w:t>
      </w:r>
    </w:p>
    <w:p w14:paraId="3D48F09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kern w:val="2"/>
          <w:sz w:val="24"/>
          <w:szCs w:val="24"/>
          <w:highlight w:val="none"/>
          <w:lang w:val="en-US" w:eastAsia="zh-CN" w:bidi="ar-SA"/>
        </w:rPr>
        <w:t>（2）</w:t>
      </w:r>
      <w:r>
        <w:rPr>
          <w:rFonts w:hint="eastAsia" w:ascii="Times New Roman" w:hAnsi="Times New Roman" w:eastAsia="宋体" w:cs="Times New Roman"/>
          <w:b w:val="0"/>
          <w:bCs w:val="0"/>
          <w:color w:val="auto"/>
          <w:sz w:val="24"/>
          <w:szCs w:val="24"/>
          <w:highlight w:val="none"/>
        </w:rPr>
        <w:t>生产设备</w:t>
      </w:r>
    </w:p>
    <w:p w14:paraId="7ABBCCF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rPr>
        <w:t>严格遵守各类标准、规范、规定，在满足工艺条件的前提下，做到工艺先进、结构合理、安全可靠，同时尽量降低成本节省投资。为确保产品质量，在设备的选型上，立足选用符合规范要求的国内外先进设备。所有动力设备如压缩机、机泵等采用一用一备，均为二级能耗。</w:t>
      </w:r>
      <w:r>
        <w:rPr>
          <w:rFonts w:hint="eastAsia" w:ascii="Times New Roman" w:hAnsi="Times New Roman" w:eastAsia="宋体" w:cs="Times New Roman"/>
          <w:b w:val="0"/>
          <w:bCs w:val="0"/>
          <w:color w:val="auto"/>
          <w:sz w:val="24"/>
          <w:szCs w:val="24"/>
          <w:highlight w:val="none"/>
          <w:lang w:val="en-US" w:eastAsia="zh-CN"/>
        </w:rPr>
        <w:t>沼气</w:t>
      </w:r>
      <w:r>
        <w:rPr>
          <w:rFonts w:hint="eastAsia" w:ascii="Times New Roman" w:hAnsi="Times New Roman" w:eastAsia="宋体" w:cs="Times New Roman"/>
          <w:b w:val="0"/>
          <w:bCs w:val="0"/>
          <w:color w:val="auto"/>
          <w:sz w:val="24"/>
          <w:szCs w:val="24"/>
          <w:highlight w:val="none"/>
        </w:rPr>
        <w:t>制氢的关键设备为转化炉，</w:t>
      </w:r>
      <w:r>
        <w:rPr>
          <w:rFonts w:hint="eastAsia" w:ascii="Times New Roman" w:hAnsi="Times New Roman" w:eastAsia="宋体" w:cs="Times New Roman"/>
          <w:b w:val="0"/>
          <w:bCs w:val="0"/>
          <w:color w:val="auto"/>
          <w:sz w:val="24"/>
          <w:szCs w:val="24"/>
          <w:highlight w:val="none"/>
          <w:lang w:val="en-US" w:eastAsia="zh-CN"/>
        </w:rPr>
        <w:t>其</w:t>
      </w:r>
      <w:r>
        <w:rPr>
          <w:rFonts w:hint="eastAsia" w:ascii="Times New Roman" w:hAnsi="Times New Roman" w:eastAsia="宋体" w:cs="Times New Roman"/>
          <w:b w:val="0"/>
          <w:bCs w:val="0"/>
          <w:color w:val="auto"/>
          <w:sz w:val="24"/>
          <w:szCs w:val="24"/>
          <w:highlight w:val="none"/>
        </w:rPr>
        <w:t>采用顶烧方箱炉，尽量简化对流段换热盘管，有效降低转化炉的总高度</w:t>
      </w:r>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rPr>
        <w:t>降低装置的故障率和维修工作量。</w:t>
      </w:r>
    </w:p>
    <w:p w14:paraId="775C630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Times New Roman" w:hAnsi="Times New Roman" w:eastAsia="宋体"/>
          <w:color w:val="auto"/>
          <w:sz w:val="24"/>
          <w:highlight w:val="none"/>
          <w:lang w:eastAsia="zh-CN"/>
        </w:rPr>
      </w:pPr>
      <w:r>
        <w:rPr>
          <w:rFonts w:hint="eastAsia" w:ascii="Times New Roman" w:hAnsi="Times New Roman" w:eastAsia="宋体" w:cs="Times New Roman"/>
          <w:b w:val="0"/>
          <w:bCs w:val="0"/>
          <w:color w:val="auto"/>
          <w:sz w:val="24"/>
          <w:szCs w:val="24"/>
          <w:highlight w:val="none"/>
          <w:lang w:val="en-US" w:eastAsia="zh-CN"/>
        </w:rPr>
        <w:t>本项目的变换气净化工艺选用旋转阀变压吸附净化法，制氢装置撬装布置，布置紧凑，降低了死区面积，一定程度提高了回收率，高性能进口吸附剂，可调节的快速变压吸附周期，产气纯度很容易达标，某些业绩可以做到99.9999%。没有特殊要求情况下，整套装置只有不到180w的电耗，无需仪表风。撬装运输到现场，安装周期一周左右，采用产品气质与设定值偏差量，或原料进气流量偏差量的反馈控制，可持续保障气质合格，初次调试数小时内可稳定，停车重启后半小时可达性能要求，维护保养每5年仅需2天时间</w:t>
      </w:r>
      <w:r>
        <w:rPr>
          <w:rFonts w:hint="eastAsia" w:ascii="Times New Roman" w:hAnsi="Times New Roman" w:eastAsia="宋体"/>
          <w:color w:val="auto"/>
          <w:sz w:val="24"/>
          <w:highlight w:val="none"/>
          <w:lang w:eastAsia="zh-CN"/>
        </w:rPr>
        <w:t>。</w:t>
      </w:r>
    </w:p>
    <w:p w14:paraId="6D251561">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kern w:val="2"/>
          <w:sz w:val="24"/>
          <w:szCs w:val="24"/>
          <w:highlight w:val="none"/>
          <w:lang w:val="en-US" w:eastAsia="zh-CN" w:bidi="ar-SA"/>
        </w:rPr>
        <w:t>（3）</w:t>
      </w:r>
      <w:r>
        <w:rPr>
          <w:rFonts w:hint="eastAsia" w:ascii="宋体" w:hAnsi="宋体" w:eastAsia="宋体" w:cs="宋体"/>
          <w:b w:val="0"/>
          <w:bCs w:val="0"/>
          <w:color w:val="auto"/>
          <w:sz w:val="24"/>
          <w:szCs w:val="24"/>
          <w:highlight w:val="none"/>
        </w:rPr>
        <w:t>控制系统</w:t>
      </w:r>
    </w:p>
    <w:p w14:paraId="7B4321BC">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本项目新建一间控制室。本项目设计范围内所有现场仪表信号通过仪表电缆传到控制室内。控制系统包括</w:t>
      </w:r>
      <w:r>
        <w:rPr>
          <w:rFonts w:hint="default" w:ascii="Times New Roman" w:hAnsi="Times New Roman" w:eastAsia="Times New Roman" w:cs="Times New Roman"/>
          <w:b w:val="0"/>
          <w:bCs w:val="0"/>
          <w:color w:val="auto"/>
          <w:sz w:val="24"/>
          <w:szCs w:val="24"/>
          <w:highlight w:val="none"/>
        </w:rPr>
        <w:t>DCS</w:t>
      </w:r>
      <w:r>
        <w:rPr>
          <w:rFonts w:hint="eastAsia" w:ascii="宋体" w:hAnsi="宋体" w:eastAsia="宋体" w:cs="宋体"/>
          <w:b w:val="0"/>
          <w:bCs w:val="0"/>
          <w:color w:val="auto"/>
          <w:sz w:val="24"/>
          <w:szCs w:val="24"/>
          <w:highlight w:val="none"/>
        </w:rPr>
        <w:t>系统、</w:t>
      </w:r>
      <w:r>
        <w:rPr>
          <w:rFonts w:hint="default" w:ascii="Times New Roman" w:hAnsi="Times New Roman" w:eastAsia="Times New Roman" w:cs="Times New Roman"/>
          <w:b w:val="0"/>
          <w:bCs w:val="0"/>
          <w:color w:val="auto"/>
          <w:sz w:val="24"/>
          <w:szCs w:val="24"/>
          <w:highlight w:val="none"/>
        </w:rPr>
        <w:t>GDS</w:t>
      </w:r>
      <w:r>
        <w:rPr>
          <w:rFonts w:hint="eastAsia" w:ascii="宋体" w:hAnsi="宋体" w:eastAsia="宋体" w:cs="宋体"/>
          <w:b w:val="0"/>
          <w:bCs w:val="0"/>
          <w:color w:val="auto"/>
          <w:sz w:val="24"/>
          <w:szCs w:val="24"/>
          <w:highlight w:val="none"/>
        </w:rPr>
        <w:t>、成套装置系统等。本项目仪表自动控制系统将达到同期同类装置领先的先进水平，实现集中控制、平稳操作、安全生产、强化管理，并在有条件时实施先进控制和优化控制策略，提高产品产量和质量，降低能耗，使工厂实现</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安、稳、长、满、优</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的生产操作。</w:t>
      </w:r>
    </w:p>
    <w:p w14:paraId="371D089B">
      <w:pPr>
        <w:pStyle w:val="4"/>
        <w:spacing w:after="156"/>
        <w:rPr>
          <w:rFonts w:hint="eastAsia" w:ascii="Times New Roman" w:hAnsi="Times New Roman" w:eastAsia="宋体" w:cs="Times New Roman"/>
          <w:b/>
          <w:color w:val="auto"/>
          <w:highlight w:val="none"/>
          <w:lang w:val="en-US" w:eastAsia="zh-CN"/>
        </w:rPr>
      </w:pPr>
      <w:r>
        <w:rPr>
          <w:rFonts w:hint="eastAsia" w:cs="Times New Roman"/>
          <w:b/>
          <w:color w:val="auto"/>
          <w:highlight w:val="none"/>
          <w:lang w:val="en-US" w:eastAsia="zh-CN"/>
        </w:rPr>
        <w:t>3.6</w:t>
      </w:r>
      <w:r>
        <w:rPr>
          <w:rFonts w:hint="eastAsia" w:ascii="Times New Roman" w:hAnsi="Times New Roman" w:eastAsia="宋体" w:cs="Times New Roman"/>
          <w:b/>
          <w:color w:val="auto"/>
          <w:highlight w:val="none"/>
          <w:lang w:val="en-US" w:eastAsia="zh-CN"/>
        </w:rPr>
        <w:t>.4资源回收及循环利用</w:t>
      </w:r>
    </w:p>
    <w:p w14:paraId="2411E10D">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kern w:val="2"/>
          <w:sz w:val="24"/>
          <w:szCs w:val="24"/>
          <w:highlight w:val="none"/>
          <w:lang w:val="en-US" w:eastAsia="zh-CN" w:bidi="ar-SA"/>
        </w:rPr>
        <w:t>（1）</w:t>
      </w:r>
      <w:r>
        <w:rPr>
          <w:rFonts w:hint="eastAsia" w:ascii="宋体" w:hAnsi="宋体" w:eastAsia="宋体" w:cs="宋体"/>
          <w:b w:val="0"/>
          <w:bCs w:val="0"/>
          <w:color w:val="auto"/>
          <w:sz w:val="24"/>
          <w:szCs w:val="24"/>
          <w:highlight w:val="none"/>
        </w:rPr>
        <w:t>项目根据成熟先进的工艺路线的需要选择原料资源，主要原料为</w:t>
      </w:r>
      <w:r>
        <w:rPr>
          <w:rFonts w:hint="eastAsia" w:ascii="宋体" w:hAnsi="宋体" w:eastAsia="宋体" w:cs="宋体"/>
          <w:b w:val="0"/>
          <w:bCs w:val="0"/>
          <w:color w:val="auto"/>
          <w:sz w:val="24"/>
          <w:szCs w:val="24"/>
          <w:highlight w:val="none"/>
          <w:lang w:val="en-US" w:eastAsia="zh-CN"/>
        </w:rPr>
        <w:t>清洁能源生物沼气</w:t>
      </w:r>
      <w:r>
        <w:rPr>
          <w:rFonts w:hint="eastAsia" w:ascii="宋体" w:hAnsi="宋体" w:eastAsia="宋体" w:cs="宋体"/>
          <w:b w:val="0"/>
          <w:bCs w:val="0"/>
          <w:color w:val="auto"/>
          <w:sz w:val="24"/>
          <w:szCs w:val="24"/>
          <w:highlight w:val="none"/>
        </w:rPr>
        <w:t>和脱盐水，</w:t>
      </w:r>
      <w:r>
        <w:rPr>
          <w:rFonts w:hint="eastAsia" w:ascii="宋体" w:hAnsi="宋体" w:eastAsia="宋体" w:cs="宋体"/>
          <w:b w:val="0"/>
          <w:bCs w:val="0"/>
          <w:color w:val="auto"/>
          <w:sz w:val="24"/>
          <w:szCs w:val="24"/>
          <w:highlight w:val="none"/>
          <w:lang w:val="en-US" w:eastAsia="zh-CN"/>
        </w:rPr>
        <w:t>沼气</w:t>
      </w:r>
      <w:r>
        <w:rPr>
          <w:rFonts w:hint="eastAsia" w:ascii="宋体" w:hAnsi="宋体" w:eastAsia="宋体" w:cs="宋体"/>
          <w:b w:val="0"/>
          <w:bCs w:val="0"/>
          <w:color w:val="auto"/>
          <w:sz w:val="24"/>
          <w:szCs w:val="24"/>
          <w:highlight w:val="none"/>
        </w:rPr>
        <w:t>为外购，各原料均符合相应的质量要求，纯度较高，杂质含量低，有利于生产稳定。项目利用转化炉余热产蒸汽，供项目制氢装置、除氧，实现能源的综合利用；</w:t>
      </w:r>
    </w:p>
    <w:p w14:paraId="1D5B8D57">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kern w:val="2"/>
          <w:sz w:val="24"/>
          <w:szCs w:val="24"/>
          <w:highlight w:val="none"/>
          <w:lang w:val="en-US" w:eastAsia="zh-CN" w:bidi="ar-SA"/>
        </w:rPr>
        <w:t>（2）</w:t>
      </w:r>
      <w:r>
        <w:rPr>
          <w:rFonts w:hint="eastAsia" w:ascii="宋体" w:hAnsi="宋体" w:eastAsia="宋体" w:cs="宋体"/>
          <w:b w:val="0"/>
          <w:bCs w:val="0"/>
          <w:color w:val="auto"/>
          <w:sz w:val="24"/>
          <w:szCs w:val="24"/>
          <w:highlight w:val="none"/>
        </w:rPr>
        <w:t>项目冷却用水采用循环使用等技术，尽量降低新鲜水耗量，提高水的循环利用率，有效地节约了水资源；</w:t>
      </w:r>
    </w:p>
    <w:p w14:paraId="707416AB">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（3）本项目利用成熟的生产工艺技术和设备，提高生产过程中的整体技术水平，最大程度</w:t>
      </w:r>
      <w:r>
        <w:rPr>
          <w:rFonts w:hint="eastAsia" w:ascii="宋体" w:hAnsi="宋体" w:cs="宋体"/>
          <w:b w:val="0"/>
          <w:bCs w:val="0"/>
          <w:color w:val="auto"/>
          <w:sz w:val="24"/>
          <w:szCs w:val="24"/>
          <w:highlight w:val="none"/>
          <w:lang w:eastAsia="zh-CN"/>
        </w:rPr>
        <w:t>上</w:t>
      </w:r>
      <w:r>
        <w:rPr>
          <w:rFonts w:hint="eastAsia" w:ascii="宋体" w:hAnsi="宋体" w:eastAsia="宋体" w:cs="宋体"/>
          <w:b w:val="0"/>
          <w:bCs w:val="0"/>
          <w:color w:val="auto"/>
          <w:sz w:val="24"/>
          <w:szCs w:val="24"/>
          <w:highlight w:val="none"/>
        </w:rPr>
        <w:t>合理利用资源，从而达到节能、降耗、减污的目的。清洁生产水平较高。</w:t>
      </w:r>
    </w:p>
    <w:p w14:paraId="238E3A78">
      <w:pPr>
        <w:numPr>
          <w:ilvl w:val="0"/>
          <w:numId w:val="0"/>
        </w:numPr>
        <w:spacing w:line="360" w:lineRule="auto"/>
        <w:ind w:firstLine="482" w:firstLineChars="200"/>
        <w:jc w:val="left"/>
        <w:rPr>
          <w:rFonts w:hint="eastAsia" w:ascii="宋体" w:hAnsi="宋体" w:eastAsia="宋体" w:cs="宋体"/>
          <w:b/>
          <w:bCs/>
          <w:color w:val="auto"/>
          <w:sz w:val="28"/>
          <w:szCs w:val="28"/>
          <w:highlight w:val="none"/>
        </w:rPr>
      </w:pPr>
      <w:r>
        <w:rPr>
          <w:rFonts w:hint="eastAsia" w:cs="Times New Roman"/>
          <w:b/>
          <w:color w:val="auto"/>
          <w:kern w:val="2"/>
          <w:sz w:val="24"/>
          <w:szCs w:val="24"/>
          <w:highlight w:val="none"/>
          <w:lang w:val="en-US" w:eastAsia="zh-CN" w:bidi="ar-SA"/>
        </w:rPr>
        <w:t>3.6</w:t>
      </w:r>
      <w:r>
        <w:rPr>
          <w:rFonts w:hint="default" w:ascii="Times New Roman" w:hAnsi="Times New Roman" w:eastAsia="宋体" w:cs="Times New Roman"/>
          <w:b/>
          <w:color w:val="auto"/>
          <w:kern w:val="2"/>
          <w:sz w:val="24"/>
          <w:szCs w:val="24"/>
          <w:highlight w:val="none"/>
          <w:lang w:val="en-US" w:eastAsia="zh-CN" w:bidi="ar-SA"/>
        </w:rPr>
        <w:t>.</w:t>
      </w:r>
      <w:r>
        <w:rPr>
          <w:rFonts w:hint="eastAsia" w:ascii="Times New Roman" w:hAnsi="Times New Roman" w:eastAsia="宋体" w:cs="Times New Roman"/>
          <w:b/>
          <w:color w:val="auto"/>
          <w:kern w:val="2"/>
          <w:sz w:val="24"/>
          <w:szCs w:val="24"/>
          <w:highlight w:val="none"/>
          <w:lang w:val="en-US" w:eastAsia="zh-CN" w:bidi="ar-SA"/>
        </w:rPr>
        <w:t>5环境管理</w:t>
      </w:r>
    </w:p>
    <w:p w14:paraId="548D0FEA">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企业在正常运营时，将根据环评和相关部门要求，积极落实各项环境保护制度，对日常环境管理采取以下措施：</w:t>
      </w:r>
    </w:p>
    <w:p w14:paraId="574F5FA7">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kern w:val="2"/>
          <w:sz w:val="24"/>
          <w:szCs w:val="24"/>
          <w:highlight w:val="none"/>
          <w:lang w:val="en-US" w:eastAsia="zh-CN" w:bidi="ar-SA"/>
        </w:rPr>
        <w:t>1、</w:t>
      </w:r>
      <w:r>
        <w:rPr>
          <w:rFonts w:hint="eastAsia" w:ascii="宋体" w:hAnsi="宋体" w:eastAsia="宋体" w:cs="宋体"/>
          <w:b w:val="0"/>
          <w:bCs w:val="0"/>
          <w:color w:val="auto"/>
          <w:sz w:val="24"/>
          <w:szCs w:val="24"/>
          <w:highlight w:val="none"/>
        </w:rPr>
        <w:t>根据环保政策和法规要求，制定生产过程中环境管理和风险管理制度；</w:t>
      </w:r>
    </w:p>
    <w:p w14:paraId="04D0F14A">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default" w:ascii="Times New Roman" w:hAnsi="Times New Roman" w:eastAsia="Times New Roman" w:cs="Times New Roman"/>
          <w:b w:val="0"/>
          <w:bCs w:val="0"/>
          <w:color w:val="auto"/>
          <w:sz w:val="24"/>
          <w:szCs w:val="24"/>
          <w:highlight w:val="none"/>
        </w:rPr>
        <w:t>2</w:t>
      </w:r>
      <w:r>
        <w:rPr>
          <w:rFonts w:hint="eastAsia" w:ascii="宋体" w:hAnsi="宋体" w:eastAsia="宋体" w:cs="宋体"/>
          <w:b w:val="0"/>
          <w:bCs w:val="0"/>
          <w:color w:val="auto"/>
          <w:sz w:val="24"/>
          <w:szCs w:val="24"/>
          <w:highlight w:val="none"/>
        </w:rPr>
        <w:t>、采用合理的污染治理措施后，能够确保污染物达标排放并且满足污染物总量指标要求；</w:t>
      </w:r>
    </w:p>
    <w:p w14:paraId="0AE9A786">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default" w:ascii="Times New Roman" w:hAnsi="Times New Roman" w:eastAsia="Times New Roman" w:cs="Times New Roman"/>
          <w:b w:val="0"/>
          <w:bCs w:val="0"/>
          <w:color w:val="auto"/>
          <w:sz w:val="24"/>
          <w:szCs w:val="24"/>
          <w:highlight w:val="none"/>
        </w:rPr>
        <w:t>3</w:t>
      </w:r>
      <w:r>
        <w:rPr>
          <w:rFonts w:hint="eastAsia" w:ascii="宋体" w:hAnsi="宋体" w:eastAsia="宋体" w:cs="宋体"/>
          <w:b w:val="0"/>
          <w:bCs w:val="0"/>
          <w:color w:val="auto"/>
          <w:sz w:val="24"/>
          <w:szCs w:val="24"/>
          <w:highlight w:val="none"/>
        </w:rPr>
        <w:t>、针对污染源执行有效的监控方案，落实相关监控措施；</w:t>
      </w:r>
    </w:p>
    <w:p w14:paraId="6D79DACD">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rPr>
      </w:pPr>
      <w:r>
        <w:rPr>
          <w:rFonts w:hint="default" w:ascii="Times New Roman" w:hAnsi="Times New Roman" w:eastAsia="Times New Roman" w:cs="Times New Roman"/>
          <w:b w:val="0"/>
          <w:bCs w:val="0"/>
          <w:color w:val="auto"/>
          <w:sz w:val="24"/>
          <w:szCs w:val="24"/>
          <w:highlight w:val="none"/>
        </w:rPr>
        <w:t>4</w:t>
      </w:r>
      <w:r>
        <w:rPr>
          <w:rFonts w:hint="eastAsia" w:ascii="宋体" w:hAnsi="宋体" w:eastAsia="宋体" w:cs="宋体"/>
          <w:b w:val="0"/>
          <w:bCs w:val="0"/>
          <w:color w:val="auto"/>
          <w:sz w:val="24"/>
          <w:szCs w:val="24"/>
          <w:highlight w:val="none"/>
        </w:rPr>
        <w:t>、企业应积极开展清洁生产审计工作，从源头减少污染物的产生，完善相关工程节能措施。通过采取以上措施，企业环境管理能够满足清洁生产方面相关指标要求。</w:t>
      </w:r>
    </w:p>
    <w:p w14:paraId="105472F0">
      <w:pPr>
        <w:numPr>
          <w:ilvl w:val="0"/>
          <w:numId w:val="0"/>
        </w:numPr>
        <w:spacing w:line="360" w:lineRule="auto"/>
        <w:ind w:firstLine="482" w:firstLineChars="200"/>
        <w:jc w:val="left"/>
        <w:rPr>
          <w:rFonts w:hint="eastAsia" w:ascii="宋体" w:hAnsi="宋体" w:eastAsia="宋体" w:cs="宋体"/>
          <w:b/>
          <w:bCs/>
          <w:color w:val="auto"/>
          <w:sz w:val="28"/>
          <w:szCs w:val="28"/>
          <w:highlight w:val="none"/>
        </w:rPr>
      </w:pPr>
      <w:r>
        <w:rPr>
          <w:rFonts w:hint="eastAsia" w:cs="Times New Roman"/>
          <w:b/>
          <w:color w:val="auto"/>
          <w:kern w:val="2"/>
          <w:sz w:val="24"/>
          <w:szCs w:val="24"/>
          <w:highlight w:val="none"/>
          <w:lang w:val="en-US" w:eastAsia="zh-CN" w:bidi="ar-SA"/>
        </w:rPr>
        <w:t>3.6</w:t>
      </w:r>
      <w:r>
        <w:rPr>
          <w:rFonts w:hint="default" w:ascii="Times New Roman" w:hAnsi="Times New Roman" w:eastAsia="宋体" w:cs="Times New Roman"/>
          <w:b/>
          <w:color w:val="auto"/>
          <w:kern w:val="2"/>
          <w:sz w:val="24"/>
          <w:szCs w:val="24"/>
          <w:highlight w:val="none"/>
          <w:lang w:val="en-US" w:eastAsia="zh-CN" w:bidi="ar-SA"/>
        </w:rPr>
        <w:t>.</w:t>
      </w:r>
      <w:r>
        <w:rPr>
          <w:rFonts w:hint="eastAsia" w:ascii="Times New Roman" w:hAnsi="Times New Roman" w:eastAsia="宋体" w:cs="Times New Roman"/>
          <w:b/>
          <w:color w:val="auto"/>
          <w:kern w:val="2"/>
          <w:sz w:val="24"/>
          <w:szCs w:val="24"/>
          <w:highlight w:val="none"/>
          <w:lang w:val="en-US" w:eastAsia="zh-CN" w:bidi="ar-SA"/>
        </w:rPr>
        <w:t>6清洁生产结论</w:t>
      </w:r>
    </w:p>
    <w:p w14:paraId="1CC531D3">
      <w:pPr>
        <w:numPr>
          <w:ilvl w:val="0"/>
          <w:numId w:val="0"/>
        </w:numPr>
        <w:spacing w:line="360" w:lineRule="auto"/>
        <w:ind w:firstLine="480" w:firstLineChars="200"/>
        <w:jc w:val="left"/>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rPr>
        <w:t>根据上述分析可知，项目生产工艺和设备选型均符合清洁生产要求，原料来源符合清洁生产要求，本项目的建设符合循环经济要求，项目建设既能实现节约资源、提高能源利用效率，项目的建设将产生明显的环境效益、社会效益和一定的经济效益。因此建设项目符合清洁生产的要求，其清洁生产水平处于国内先进的地位。</w:t>
      </w:r>
    </w:p>
    <w:p w14:paraId="2D4A32D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both"/>
        <w:textAlignment w:val="auto"/>
        <w:outlineLvl w:val="1"/>
        <w:rPr>
          <w:rFonts w:hint="default" w:ascii="Times New Roman" w:hAnsi="Times New Roman" w:eastAsia="宋体" w:cs="Times New Roman"/>
          <w:b/>
          <w:bCs/>
          <w:color w:val="auto"/>
          <w:kern w:val="2"/>
          <w:sz w:val="28"/>
          <w:szCs w:val="28"/>
          <w:highlight w:val="none"/>
          <w:lang w:val="en-US" w:eastAsia="zh-CN" w:bidi="ar-SA"/>
        </w:rPr>
      </w:pPr>
      <w:bookmarkStart w:id="257" w:name="_Toc8430"/>
      <w:bookmarkStart w:id="258" w:name="_Toc5001"/>
      <w:r>
        <w:rPr>
          <w:rFonts w:hint="eastAsia" w:ascii="Times New Roman" w:hAnsi="Times New Roman" w:eastAsia="宋体" w:cs="Times New Roman"/>
          <w:b/>
          <w:bCs/>
          <w:color w:val="auto"/>
          <w:kern w:val="2"/>
          <w:sz w:val="28"/>
          <w:szCs w:val="28"/>
          <w:highlight w:val="none"/>
          <w:lang w:val="en-US" w:eastAsia="zh-CN" w:bidi="ar-SA"/>
        </w:rPr>
        <w:t>3</w:t>
      </w:r>
      <w:r>
        <w:rPr>
          <w:rFonts w:hint="default" w:ascii="Times New Roman" w:hAnsi="Times New Roman" w:eastAsia="宋体" w:cs="Times New Roman"/>
          <w:b/>
          <w:bCs/>
          <w:color w:val="auto"/>
          <w:kern w:val="2"/>
          <w:sz w:val="28"/>
          <w:szCs w:val="28"/>
          <w:highlight w:val="none"/>
          <w:lang w:val="en-US" w:eastAsia="zh-CN" w:bidi="ar-SA"/>
        </w:rPr>
        <w:t>.</w:t>
      </w:r>
      <w:r>
        <w:rPr>
          <w:rFonts w:hint="eastAsia" w:cs="Times New Roman"/>
          <w:b/>
          <w:bCs/>
          <w:color w:val="auto"/>
          <w:kern w:val="2"/>
          <w:sz w:val="28"/>
          <w:szCs w:val="28"/>
          <w:highlight w:val="none"/>
          <w:lang w:val="en-US" w:eastAsia="zh-CN" w:bidi="ar-SA"/>
        </w:rPr>
        <w:t>7</w:t>
      </w:r>
      <w:r>
        <w:rPr>
          <w:rFonts w:hint="default" w:ascii="Times New Roman" w:hAnsi="Times New Roman" w:eastAsia="宋体" w:cs="Times New Roman"/>
          <w:b/>
          <w:bCs/>
          <w:color w:val="auto"/>
          <w:kern w:val="2"/>
          <w:sz w:val="28"/>
          <w:szCs w:val="28"/>
          <w:highlight w:val="none"/>
          <w:lang w:val="en-US" w:eastAsia="zh-CN" w:bidi="ar-SA"/>
        </w:rPr>
        <w:t>环境总量指标</w:t>
      </w:r>
      <w:bookmarkEnd w:id="257"/>
      <w:bookmarkEnd w:id="258"/>
    </w:p>
    <w:p w14:paraId="6793A729">
      <w:pPr>
        <w:widowControl w:val="0"/>
        <w:autoSpaceDE w:val="0"/>
        <w:autoSpaceDN w:val="0"/>
        <w:adjustRightInd w:val="0"/>
        <w:snapToGrid w:val="0"/>
        <w:spacing w:beforeLines="0" w:afterLines="0" w:line="360" w:lineRule="auto"/>
        <w:ind w:firstLine="480" w:firstLineChars="200"/>
        <w:jc w:val="both"/>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根据生态环境部办公厅《关于做好</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十四五</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主要污染物总量减排工作的通知》（环办综合函〔2021〕323号），目前国家对氮氧化物、挥发性有机物、化学需氧量、氨氮等4种主要污染物纳入排放总量控制计划管理。</w:t>
      </w:r>
    </w:p>
    <w:p w14:paraId="56073C66">
      <w:pPr>
        <w:pStyle w:val="4"/>
        <w:spacing w:after="156"/>
        <w:rPr>
          <w:rFonts w:hint="default" w:ascii="Times New Roman" w:hAnsi="Times New Roman" w:eastAsia="宋体" w:cs="Times New Roman"/>
          <w:b/>
          <w:color w:val="auto"/>
          <w:highlight w:val="none"/>
          <w:lang w:val="en-US" w:eastAsia="zh-CN"/>
        </w:rPr>
      </w:pPr>
      <w:bookmarkStart w:id="259" w:name="_Toc26265"/>
      <w:r>
        <w:rPr>
          <w:rFonts w:hint="eastAsia" w:cs="Times New Roman"/>
          <w:b/>
          <w:color w:val="auto"/>
          <w:highlight w:val="none"/>
          <w:lang w:val="en-US" w:eastAsia="zh-CN"/>
        </w:rPr>
        <w:t>3.7</w:t>
      </w:r>
      <w:r>
        <w:rPr>
          <w:rFonts w:hint="default" w:ascii="Times New Roman" w:hAnsi="Times New Roman" w:eastAsia="宋体" w:cs="Times New Roman"/>
          <w:b/>
          <w:color w:val="auto"/>
          <w:highlight w:val="none"/>
          <w:lang w:val="en-US" w:eastAsia="zh-CN"/>
        </w:rPr>
        <w:t>.1废水总量</w:t>
      </w:r>
      <w:bookmarkEnd w:id="259"/>
    </w:p>
    <w:p w14:paraId="25E873F1">
      <w:pPr>
        <w:widowControl w:val="0"/>
        <w:autoSpaceDE w:val="0"/>
        <w:autoSpaceDN w:val="0"/>
        <w:adjustRightInd w:val="0"/>
        <w:snapToGrid w:val="0"/>
        <w:spacing w:beforeLines="0" w:afterLines="0" w:line="360" w:lineRule="auto"/>
        <w:ind w:firstLine="480" w:firstLineChars="200"/>
        <w:jc w:val="both"/>
        <w:rPr>
          <w:rFonts w:hint="default" w:ascii="Times New Roman" w:hAnsi="Times New Roman" w:eastAsia="宋体" w:cs="Times New Roman"/>
          <w:b w:val="0"/>
          <w:bCs/>
          <w:color w:val="auto"/>
          <w:kern w:val="2"/>
          <w:sz w:val="24"/>
          <w:szCs w:val="24"/>
          <w:highlight w:val="none"/>
          <w:lang w:val="zh-CN" w:eastAsia="zh-CN" w:bidi="ar-SA"/>
        </w:rPr>
      </w:pPr>
      <w:r>
        <w:rPr>
          <w:rFonts w:hint="eastAsia" w:ascii="Times New Roman" w:hAnsi="Times New Roman" w:eastAsia="宋体" w:cs="Times New Roman"/>
          <w:b w:val="0"/>
          <w:bCs/>
          <w:color w:val="auto"/>
          <w:kern w:val="2"/>
          <w:sz w:val="24"/>
          <w:szCs w:val="24"/>
          <w:highlight w:val="none"/>
          <w:lang w:val="en-US" w:eastAsia="zh-CN" w:bidi="ar-SA"/>
        </w:rPr>
        <w:t>本项目</w:t>
      </w:r>
      <w:r>
        <w:rPr>
          <w:rFonts w:hint="default" w:ascii="Times New Roman" w:hAnsi="Times New Roman" w:eastAsia="宋体" w:cs="Times New Roman"/>
          <w:b w:val="0"/>
          <w:bCs/>
          <w:color w:val="auto"/>
          <w:kern w:val="2"/>
          <w:sz w:val="24"/>
          <w:szCs w:val="24"/>
          <w:highlight w:val="none"/>
          <w:lang w:val="zh-CN" w:eastAsia="zh-CN" w:bidi="ar-SA"/>
        </w:rPr>
        <w:t>生活污水</w:t>
      </w:r>
      <w:r>
        <w:rPr>
          <w:rFonts w:hint="eastAsia" w:ascii="Times New Roman" w:hAnsi="Times New Roman" w:eastAsia="宋体" w:cs="Times New Roman"/>
          <w:b w:val="0"/>
          <w:bCs/>
          <w:color w:val="auto"/>
          <w:kern w:val="2"/>
          <w:sz w:val="24"/>
          <w:szCs w:val="24"/>
          <w:highlight w:val="none"/>
          <w:lang w:val="zh-CN" w:eastAsia="zh-CN" w:bidi="ar-SA"/>
        </w:rPr>
        <w:t>、</w:t>
      </w:r>
      <w:r>
        <w:rPr>
          <w:rFonts w:hint="eastAsia" w:ascii="Times New Roman" w:hAnsi="Times New Roman" w:eastAsia="宋体" w:cs="Times New Roman"/>
          <w:b w:val="0"/>
          <w:bCs/>
          <w:color w:val="auto"/>
          <w:kern w:val="2"/>
          <w:sz w:val="24"/>
          <w:szCs w:val="24"/>
          <w:highlight w:val="none"/>
          <w:lang w:val="en-US" w:eastAsia="zh-CN" w:bidi="ar-SA"/>
        </w:rPr>
        <w:t>保洁废水经厂区</w:t>
      </w:r>
      <w:r>
        <w:rPr>
          <w:rFonts w:hint="default" w:ascii="Times New Roman" w:hAnsi="Times New Roman" w:eastAsia="宋体" w:cs="Times New Roman"/>
          <w:b w:val="0"/>
          <w:bCs/>
          <w:color w:val="auto"/>
          <w:kern w:val="2"/>
          <w:sz w:val="24"/>
          <w:szCs w:val="24"/>
          <w:highlight w:val="none"/>
          <w:lang w:val="zh-CN" w:eastAsia="zh-CN" w:bidi="ar-SA"/>
        </w:rPr>
        <w:t>化粪池预处理后</w:t>
      </w:r>
      <w:r>
        <w:rPr>
          <w:rFonts w:hint="eastAsia" w:ascii="Times New Roman" w:hAnsi="Times New Roman" w:eastAsia="宋体" w:cs="Times New Roman"/>
          <w:b w:val="0"/>
          <w:bCs/>
          <w:color w:val="auto"/>
          <w:kern w:val="2"/>
          <w:sz w:val="24"/>
          <w:szCs w:val="24"/>
          <w:highlight w:val="none"/>
          <w:lang w:val="en-US" w:eastAsia="zh-CN" w:bidi="ar-SA"/>
        </w:rPr>
        <w:t>接管</w:t>
      </w:r>
      <w:r>
        <w:rPr>
          <w:rFonts w:hint="default" w:ascii="Times New Roman" w:hAnsi="Times New Roman" w:eastAsia="宋体" w:cs="Times New Roman"/>
          <w:b w:val="0"/>
          <w:bCs/>
          <w:color w:val="auto"/>
          <w:kern w:val="2"/>
          <w:sz w:val="24"/>
          <w:szCs w:val="24"/>
          <w:highlight w:val="none"/>
          <w:lang w:val="zh-CN" w:eastAsia="zh-CN" w:bidi="ar-SA"/>
        </w:rPr>
        <w:t>市政污水管网，然后进入</w:t>
      </w:r>
      <w:r>
        <w:rPr>
          <w:rFonts w:hint="eastAsia" w:ascii="Times New Roman" w:hAnsi="Times New Roman" w:eastAsia="宋体" w:cs="Times New Roman"/>
          <w:b w:val="0"/>
          <w:bCs/>
          <w:color w:val="auto"/>
          <w:kern w:val="2"/>
          <w:sz w:val="24"/>
          <w:szCs w:val="24"/>
          <w:highlight w:val="none"/>
          <w:lang w:val="en-US" w:eastAsia="zh-CN" w:bidi="ar-SA"/>
        </w:rPr>
        <w:t>田家庵经济开发区污水处理站</w:t>
      </w:r>
      <w:r>
        <w:rPr>
          <w:rFonts w:hint="default" w:ascii="Times New Roman" w:hAnsi="Times New Roman" w:eastAsia="宋体" w:cs="Times New Roman"/>
          <w:b w:val="0"/>
          <w:bCs/>
          <w:color w:val="auto"/>
          <w:kern w:val="2"/>
          <w:sz w:val="24"/>
          <w:szCs w:val="24"/>
          <w:highlight w:val="none"/>
          <w:lang w:val="zh-CN" w:eastAsia="zh-CN" w:bidi="ar-SA"/>
        </w:rPr>
        <w:t>，</w:t>
      </w:r>
      <w:r>
        <w:rPr>
          <w:rFonts w:hint="eastAsia" w:ascii="Times New Roman" w:hAnsi="Times New Roman" w:eastAsia="宋体" w:cs="Times New Roman"/>
          <w:b w:val="0"/>
          <w:bCs/>
          <w:color w:val="auto"/>
          <w:kern w:val="2"/>
          <w:sz w:val="24"/>
          <w:szCs w:val="24"/>
          <w:highlight w:val="none"/>
          <w:lang w:val="en-US" w:eastAsia="zh-CN" w:bidi="ar-SA"/>
        </w:rPr>
        <w:t>间接循环冷却废水、脱盐水制备产生浓水、反冲洗水直接接管市政污水管网，洗车废水、初期雨水经隔油沉淀处理后接管市政污水管网</w:t>
      </w:r>
      <w:r>
        <w:rPr>
          <w:rFonts w:hint="default" w:ascii="Times New Roman" w:hAnsi="Times New Roman" w:eastAsia="宋体" w:cs="Times New Roman"/>
          <w:b w:val="0"/>
          <w:bCs/>
          <w:color w:val="auto"/>
          <w:kern w:val="2"/>
          <w:sz w:val="24"/>
          <w:szCs w:val="24"/>
          <w:highlight w:val="none"/>
          <w:lang w:val="zh-CN" w:eastAsia="zh-CN" w:bidi="ar-SA"/>
        </w:rPr>
        <w:t>进入</w:t>
      </w:r>
      <w:r>
        <w:rPr>
          <w:rFonts w:hint="eastAsia" w:ascii="Times New Roman" w:hAnsi="Times New Roman" w:eastAsia="宋体" w:cs="Times New Roman"/>
          <w:b w:val="0"/>
          <w:bCs/>
          <w:color w:val="auto"/>
          <w:kern w:val="2"/>
          <w:sz w:val="24"/>
          <w:szCs w:val="24"/>
          <w:highlight w:val="none"/>
          <w:lang w:val="en-US" w:eastAsia="zh-CN" w:bidi="ar-SA"/>
        </w:rPr>
        <w:t>田家庵经济开发区污水处理站</w:t>
      </w:r>
      <w:r>
        <w:rPr>
          <w:rFonts w:hint="eastAsia" w:cs="Times New Roman"/>
          <w:b w:val="0"/>
          <w:bCs/>
          <w:color w:val="auto"/>
          <w:kern w:val="2"/>
          <w:sz w:val="24"/>
          <w:szCs w:val="24"/>
          <w:highlight w:val="none"/>
          <w:lang w:val="zh-CN" w:eastAsia="zh-CN" w:bidi="ar-SA"/>
        </w:rPr>
        <w:t>，</w:t>
      </w:r>
      <w:r>
        <w:rPr>
          <w:rFonts w:hint="eastAsia" w:cs="Times New Roman"/>
          <w:b w:val="0"/>
          <w:bCs/>
          <w:color w:val="auto"/>
          <w:kern w:val="2"/>
          <w:sz w:val="24"/>
          <w:szCs w:val="24"/>
          <w:highlight w:val="none"/>
          <w:lang w:val="en-US" w:eastAsia="zh-CN" w:bidi="ar-SA"/>
        </w:rPr>
        <w:t>尾水</w:t>
      </w:r>
      <w:r>
        <w:rPr>
          <w:rFonts w:hint="default" w:ascii="Times New Roman" w:hAnsi="Times New Roman" w:eastAsia="宋体" w:cs="Times New Roman"/>
          <w:b w:val="0"/>
          <w:bCs/>
          <w:color w:val="auto"/>
          <w:kern w:val="2"/>
          <w:sz w:val="24"/>
          <w:szCs w:val="24"/>
          <w:highlight w:val="none"/>
          <w:lang w:val="zh-CN" w:eastAsia="zh-CN" w:bidi="ar-SA"/>
        </w:rPr>
        <w:t>《城镇污水处理厂污染物排放标准》（GB18918-2002）一级A标准后，尾水排入林桥涧沟，最终汇入瓦埠湖。总量纳入</w:t>
      </w:r>
      <w:r>
        <w:rPr>
          <w:rFonts w:hint="eastAsia" w:ascii="Times New Roman" w:hAnsi="Times New Roman" w:eastAsia="宋体" w:cs="Times New Roman"/>
          <w:b w:val="0"/>
          <w:bCs/>
          <w:color w:val="auto"/>
          <w:kern w:val="2"/>
          <w:sz w:val="24"/>
          <w:szCs w:val="24"/>
          <w:highlight w:val="none"/>
          <w:lang w:val="en-US" w:eastAsia="zh-CN" w:bidi="ar-SA"/>
        </w:rPr>
        <w:t>田家庵经济开发区污水处理站</w:t>
      </w:r>
      <w:r>
        <w:rPr>
          <w:rFonts w:hint="default" w:ascii="Times New Roman" w:hAnsi="Times New Roman" w:eastAsia="宋体" w:cs="Times New Roman"/>
          <w:b w:val="0"/>
          <w:bCs/>
          <w:color w:val="auto"/>
          <w:kern w:val="2"/>
          <w:sz w:val="24"/>
          <w:szCs w:val="24"/>
          <w:highlight w:val="none"/>
          <w:lang w:val="zh-CN" w:eastAsia="zh-CN" w:bidi="ar-SA"/>
        </w:rPr>
        <w:t>总量之中，不需单独申请。</w:t>
      </w:r>
    </w:p>
    <w:p w14:paraId="0A871FF2">
      <w:pPr>
        <w:pStyle w:val="4"/>
        <w:spacing w:after="156"/>
        <w:rPr>
          <w:rFonts w:hint="default" w:ascii="Times New Roman" w:hAnsi="Times New Roman" w:eastAsia="宋体" w:cs="Times New Roman"/>
          <w:b/>
          <w:color w:val="auto"/>
          <w:highlight w:val="none"/>
          <w:lang w:val="en-US" w:eastAsia="zh-CN"/>
        </w:rPr>
      </w:pPr>
      <w:bookmarkStart w:id="260" w:name="_Toc24337"/>
      <w:r>
        <w:rPr>
          <w:rFonts w:hint="eastAsia" w:cs="Times New Roman"/>
          <w:b/>
          <w:color w:val="auto"/>
          <w:highlight w:val="none"/>
          <w:lang w:val="en-US" w:eastAsia="zh-CN"/>
        </w:rPr>
        <w:t>3.7</w:t>
      </w:r>
      <w:r>
        <w:rPr>
          <w:rFonts w:hint="default" w:ascii="Times New Roman" w:hAnsi="Times New Roman" w:eastAsia="宋体" w:cs="Times New Roman"/>
          <w:b/>
          <w:color w:val="auto"/>
          <w:highlight w:val="none"/>
          <w:lang w:val="en-US" w:eastAsia="zh-CN"/>
        </w:rPr>
        <w:t>.2废气总量</w:t>
      </w:r>
      <w:bookmarkEnd w:id="260"/>
    </w:p>
    <w:p w14:paraId="33D245BD">
      <w:pPr>
        <w:widowControl w:val="0"/>
        <w:autoSpaceDE w:val="0"/>
        <w:autoSpaceDN w:val="0"/>
        <w:adjustRightInd w:val="0"/>
        <w:snapToGrid w:val="0"/>
        <w:spacing w:beforeLines="0" w:afterLines="0" w:line="360" w:lineRule="auto"/>
        <w:ind w:firstLine="480" w:firstLineChars="200"/>
        <w:jc w:val="both"/>
        <w:rPr>
          <w:rFonts w:hint="default" w:ascii="Times New Roman" w:hAnsi="Times New Roman" w:eastAsia="宋体" w:cs="Times New Roman"/>
          <w:b w:val="0"/>
          <w:bCs/>
          <w:color w:val="auto"/>
          <w:kern w:val="2"/>
          <w:sz w:val="24"/>
          <w:szCs w:val="24"/>
          <w:highlight w:val="none"/>
          <w:lang w:val="zh-CN" w:eastAsia="zh-CN" w:bidi="ar-SA"/>
        </w:rPr>
      </w:pPr>
      <w:r>
        <w:rPr>
          <w:rFonts w:hint="default" w:ascii="Times New Roman" w:hAnsi="Times New Roman" w:eastAsia="宋体" w:cs="Times New Roman"/>
          <w:b w:val="0"/>
          <w:bCs/>
          <w:color w:val="auto"/>
          <w:kern w:val="2"/>
          <w:sz w:val="24"/>
          <w:szCs w:val="24"/>
          <w:highlight w:val="none"/>
          <w:lang w:val="zh-CN" w:eastAsia="zh-CN" w:bidi="ar-SA"/>
        </w:rPr>
        <w:t>本项目排放主要污染物为</w:t>
      </w:r>
      <w:r>
        <w:rPr>
          <w:rFonts w:hint="eastAsia" w:cs="Times New Roman"/>
          <w:b w:val="0"/>
          <w:bCs/>
          <w:color w:val="auto"/>
          <w:kern w:val="2"/>
          <w:sz w:val="24"/>
          <w:szCs w:val="24"/>
          <w:highlight w:val="none"/>
          <w:lang w:val="en-US" w:eastAsia="zh-CN" w:bidi="ar-SA"/>
        </w:rPr>
        <w:t>非甲烷总烃、NOx、粉尘</w:t>
      </w:r>
      <w:r>
        <w:rPr>
          <w:rFonts w:hint="default" w:ascii="Times New Roman" w:hAnsi="Times New Roman" w:eastAsia="宋体" w:cs="Times New Roman"/>
          <w:b w:val="0"/>
          <w:bCs/>
          <w:color w:val="auto"/>
          <w:kern w:val="2"/>
          <w:sz w:val="24"/>
          <w:szCs w:val="24"/>
          <w:highlight w:val="none"/>
          <w:lang w:val="zh-CN" w:eastAsia="zh-CN" w:bidi="ar-SA"/>
        </w:rPr>
        <w:t>，污染物排放总量指标如下：</w:t>
      </w:r>
    </w:p>
    <w:p w14:paraId="42A5320D">
      <w:pPr>
        <w:widowControl/>
        <w:bidi w:val="0"/>
        <w:spacing w:line="360" w:lineRule="auto"/>
        <w:ind w:firstLine="482" w:firstLineChars="200"/>
        <w:jc w:val="center"/>
        <w:rPr>
          <w:rFonts w:hint="default" w:ascii="Times New Roman" w:hAnsi="Times New Roman" w:eastAsia="宋体" w:cs="Times New Roman"/>
          <w:b w:val="0"/>
          <w:bCs/>
          <w:color w:val="auto"/>
          <w:kern w:val="2"/>
          <w:sz w:val="24"/>
          <w:szCs w:val="21"/>
          <w:highlight w:val="none"/>
          <w:lang w:val="en-US" w:eastAsia="zh-CN" w:bidi="ar-SA"/>
        </w:rPr>
      </w:pPr>
      <w:r>
        <w:rPr>
          <w:rFonts w:hint="default" w:ascii="Times New Roman" w:hAnsi="Times New Roman" w:eastAsia="宋体" w:cs="Times New Roman"/>
          <w:b/>
          <w:bCs w:val="0"/>
          <w:color w:val="auto"/>
          <w:kern w:val="2"/>
          <w:sz w:val="24"/>
          <w:szCs w:val="21"/>
          <w:highlight w:val="none"/>
          <w:lang w:val="en-US" w:eastAsia="zh-CN" w:bidi="ar-SA"/>
        </w:rPr>
        <w:t>表</w:t>
      </w:r>
      <w:r>
        <w:rPr>
          <w:rFonts w:hint="eastAsia" w:cs="Times New Roman"/>
          <w:b/>
          <w:bCs w:val="0"/>
          <w:color w:val="auto"/>
          <w:kern w:val="2"/>
          <w:sz w:val="24"/>
          <w:szCs w:val="21"/>
          <w:highlight w:val="none"/>
          <w:lang w:val="en-US" w:eastAsia="zh-CN" w:bidi="ar-SA"/>
        </w:rPr>
        <w:t>3.7</w:t>
      </w:r>
      <w:r>
        <w:rPr>
          <w:rFonts w:hint="eastAsia" w:ascii="Times New Roman" w:hAnsi="Times New Roman" w:eastAsia="宋体" w:cs="Times New Roman"/>
          <w:b/>
          <w:bCs w:val="0"/>
          <w:color w:val="auto"/>
          <w:kern w:val="2"/>
          <w:sz w:val="24"/>
          <w:szCs w:val="21"/>
          <w:highlight w:val="none"/>
          <w:lang w:val="en-US" w:eastAsia="zh-CN" w:bidi="ar-SA"/>
        </w:rPr>
        <w:t>.2-1</w:t>
      </w:r>
      <w:r>
        <w:rPr>
          <w:rFonts w:hint="eastAsia" w:cs="Times New Roman"/>
          <w:b/>
          <w:bCs w:val="0"/>
          <w:color w:val="auto"/>
          <w:kern w:val="2"/>
          <w:sz w:val="24"/>
          <w:szCs w:val="21"/>
          <w:highlight w:val="none"/>
          <w:lang w:val="en-US" w:eastAsia="zh-CN" w:bidi="ar-SA"/>
        </w:rPr>
        <w:t xml:space="preserve">  </w:t>
      </w:r>
      <w:r>
        <w:rPr>
          <w:rFonts w:hint="default" w:ascii="Times New Roman" w:hAnsi="Times New Roman" w:eastAsia="宋体" w:cs="Times New Roman"/>
          <w:b/>
          <w:bCs w:val="0"/>
          <w:color w:val="auto"/>
          <w:kern w:val="2"/>
          <w:sz w:val="24"/>
          <w:szCs w:val="21"/>
          <w:highlight w:val="none"/>
          <w:lang w:val="en-US" w:eastAsia="zh-CN" w:bidi="ar-SA"/>
        </w:rPr>
        <w:t>建设项目污染物排放总量指标单位：t/a</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2"/>
        <w:gridCol w:w="1674"/>
        <w:gridCol w:w="1374"/>
        <w:gridCol w:w="1258"/>
        <w:gridCol w:w="1781"/>
      </w:tblGrid>
      <w:tr w14:paraId="1E8BD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1427" w:type="pct"/>
            <w:vMerge w:val="restart"/>
            <w:noWrap w:val="0"/>
            <w:vAlign w:val="center"/>
          </w:tcPr>
          <w:p w14:paraId="416D19C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val="0"/>
                <w:color w:val="auto"/>
                <w:kern w:val="2"/>
                <w:sz w:val="21"/>
                <w:szCs w:val="36"/>
                <w:highlight w:val="none"/>
                <w:lang w:val="en-US" w:eastAsia="zh-CN" w:bidi="ar-SA"/>
              </w:rPr>
            </w:pPr>
            <w:r>
              <w:rPr>
                <w:rFonts w:hint="default" w:ascii="Times New Roman" w:hAnsi="Times New Roman" w:eastAsia="宋体" w:cs="Times New Roman"/>
                <w:b/>
                <w:bCs w:val="0"/>
                <w:color w:val="auto"/>
                <w:kern w:val="2"/>
                <w:sz w:val="21"/>
                <w:szCs w:val="36"/>
                <w:highlight w:val="none"/>
                <w:lang w:val="en-US" w:eastAsia="zh-CN" w:bidi="ar-SA"/>
              </w:rPr>
              <w:t>污染物名称</w:t>
            </w:r>
          </w:p>
        </w:tc>
        <w:tc>
          <w:tcPr>
            <w:tcW w:w="982" w:type="pct"/>
            <w:vMerge w:val="restart"/>
            <w:noWrap w:val="0"/>
            <w:vAlign w:val="center"/>
          </w:tcPr>
          <w:p w14:paraId="5ACF4BD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val="0"/>
                <w:color w:val="auto"/>
                <w:kern w:val="2"/>
                <w:sz w:val="21"/>
                <w:szCs w:val="36"/>
                <w:highlight w:val="none"/>
                <w:lang w:val="en-US" w:eastAsia="zh-CN" w:bidi="ar-SA"/>
              </w:rPr>
            </w:pPr>
            <w:r>
              <w:rPr>
                <w:rFonts w:hint="eastAsia" w:ascii="Times New Roman" w:hAnsi="Times New Roman" w:eastAsia="宋体" w:cs="Times New Roman"/>
                <w:b/>
                <w:bCs w:val="0"/>
                <w:color w:val="auto"/>
                <w:kern w:val="2"/>
                <w:sz w:val="21"/>
                <w:szCs w:val="36"/>
                <w:highlight w:val="none"/>
                <w:lang w:val="en-US" w:eastAsia="zh-CN" w:bidi="ar-SA"/>
              </w:rPr>
              <w:t>颗粒物</w:t>
            </w:r>
          </w:p>
        </w:tc>
        <w:tc>
          <w:tcPr>
            <w:tcW w:w="806" w:type="pct"/>
            <w:vMerge w:val="restart"/>
            <w:noWrap w:val="0"/>
            <w:vAlign w:val="center"/>
          </w:tcPr>
          <w:p w14:paraId="4485459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b/>
                <w:bCs w:val="0"/>
                <w:color w:val="auto"/>
                <w:kern w:val="2"/>
                <w:sz w:val="21"/>
                <w:szCs w:val="36"/>
                <w:highlight w:val="none"/>
                <w:lang w:val="en-US" w:eastAsia="zh-CN" w:bidi="ar-SA"/>
              </w:rPr>
            </w:pPr>
            <w:r>
              <w:rPr>
                <w:rFonts w:hint="eastAsia" w:cs="Times New Roman"/>
                <w:b w:val="0"/>
                <w:bCs/>
                <w:color w:val="auto"/>
                <w:kern w:val="2"/>
                <w:sz w:val="24"/>
                <w:szCs w:val="24"/>
                <w:highlight w:val="none"/>
                <w:lang w:val="en-US" w:eastAsia="zh-CN" w:bidi="ar-SA"/>
              </w:rPr>
              <w:t>NOx</w:t>
            </w:r>
          </w:p>
        </w:tc>
        <w:tc>
          <w:tcPr>
            <w:tcW w:w="1783" w:type="pct"/>
            <w:gridSpan w:val="2"/>
            <w:noWrap w:val="0"/>
            <w:vAlign w:val="center"/>
          </w:tcPr>
          <w:p w14:paraId="457FCA9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val="0"/>
                <w:color w:val="auto"/>
                <w:kern w:val="2"/>
                <w:sz w:val="21"/>
                <w:szCs w:val="36"/>
                <w:highlight w:val="none"/>
                <w:lang w:val="en-US" w:eastAsia="zh-CN" w:bidi="ar-SA"/>
              </w:rPr>
            </w:pPr>
            <w:r>
              <w:rPr>
                <w:rFonts w:hint="default" w:ascii="Times New Roman" w:hAnsi="Times New Roman" w:eastAsia="宋体" w:cs="Times New Roman"/>
                <w:b/>
                <w:bCs w:val="0"/>
                <w:color w:val="auto"/>
                <w:kern w:val="2"/>
                <w:sz w:val="21"/>
                <w:szCs w:val="36"/>
                <w:highlight w:val="none"/>
                <w:lang w:val="en-US" w:eastAsia="zh-CN" w:bidi="ar-SA"/>
              </w:rPr>
              <w:t>VOCs</w:t>
            </w:r>
          </w:p>
        </w:tc>
      </w:tr>
      <w:tr w14:paraId="23260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1427" w:type="pct"/>
            <w:vMerge w:val="continue"/>
            <w:noWrap w:val="0"/>
            <w:vAlign w:val="center"/>
          </w:tcPr>
          <w:p w14:paraId="394B2F2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val="0"/>
                <w:color w:val="auto"/>
                <w:kern w:val="2"/>
                <w:sz w:val="21"/>
                <w:szCs w:val="36"/>
                <w:highlight w:val="none"/>
                <w:lang w:val="en-US" w:eastAsia="zh-CN" w:bidi="ar-SA"/>
              </w:rPr>
            </w:pPr>
          </w:p>
        </w:tc>
        <w:tc>
          <w:tcPr>
            <w:tcW w:w="982" w:type="pct"/>
            <w:vMerge w:val="continue"/>
            <w:noWrap w:val="0"/>
            <w:vAlign w:val="center"/>
          </w:tcPr>
          <w:p w14:paraId="39C2537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b/>
                <w:bCs w:val="0"/>
                <w:color w:val="auto"/>
                <w:kern w:val="2"/>
                <w:sz w:val="21"/>
                <w:szCs w:val="36"/>
                <w:highlight w:val="none"/>
                <w:lang w:val="en-US" w:eastAsia="zh-CN" w:bidi="ar-SA"/>
              </w:rPr>
            </w:pPr>
          </w:p>
        </w:tc>
        <w:tc>
          <w:tcPr>
            <w:tcW w:w="806" w:type="pct"/>
            <w:vMerge w:val="continue"/>
            <w:noWrap w:val="0"/>
            <w:vAlign w:val="center"/>
          </w:tcPr>
          <w:p w14:paraId="484B344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b/>
                <w:bCs w:val="0"/>
                <w:color w:val="auto"/>
                <w:kern w:val="2"/>
                <w:sz w:val="21"/>
                <w:szCs w:val="36"/>
                <w:highlight w:val="none"/>
                <w:lang w:val="en-US" w:eastAsia="zh-CN" w:bidi="ar-SA"/>
              </w:rPr>
            </w:pPr>
          </w:p>
        </w:tc>
        <w:tc>
          <w:tcPr>
            <w:tcW w:w="738" w:type="pct"/>
            <w:noWrap w:val="0"/>
            <w:vAlign w:val="center"/>
          </w:tcPr>
          <w:p w14:paraId="48E08BB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b/>
                <w:bCs w:val="0"/>
                <w:color w:val="auto"/>
                <w:kern w:val="2"/>
                <w:sz w:val="21"/>
                <w:szCs w:val="36"/>
                <w:highlight w:val="none"/>
                <w:lang w:val="en-US" w:eastAsia="zh-CN" w:bidi="ar-SA"/>
              </w:rPr>
            </w:pPr>
            <w:r>
              <w:rPr>
                <w:rFonts w:hint="eastAsia" w:ascii="Times New Roman" w:hAnsi="Times New Roman" w:eastAsia="宋体" w:cs="Times New Roman"/>
                <w:b/>
                <w:bCs w:val="0"/>
                <w:color w:val="auto"/>
                <w:kern w:val="2"/>
                <w:sz w:val="21"/>
                <w:szCs w:val="36"/>
                <w:highlight w:val="none"/>
                <w:lang w:val="en-US" w:eastAsia="zh-CN" w:bidi="ar-SA"/>
              </w:rPr>
              <w:t>有组织</w:t>
            </w:r>
          </w:p>
        </w:tc>
        <w:tc>
          <w:tcPr>
            <w:tcW w:w="1045" w:type="pct"/>
            <w:noWrap w:val="0"/>
            <w:vAlign w:val="center"/>
          </w:tcPr>
          <w:p w14:paraId="2E65D6C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val="0"/>
                <w:color w:val="auto"/>
                <w:kern w:val="2"/>
                <w:sz w:val="21"/>
                <w:szCs w:val="36"/>
                <w:highlight w:val="none"/>
                <w:lang w:val="en-US" w:eastAsia="zh-CN" w:bidi="ar-SA"/>
              </w:rPr>
            </w:pPr>
            <w:r>
              <w:rPr>
                <w:rFonts w:hint="eastAsia" w:ascii="Times New Roman" w:hAnsi="Times New Roman" w:eastAsia="宋体" w:cs="Times New Roman"/>
                <w:b/>
                <w:bCs w:val="0"/>
                <w:color w:val="auto"/>
                <w:kern w:val="2"/>
                <w:sz w:val="21"/>
                <w:szCs w:val="36"/>
                <w:highlight w:val="none"/>
                <w:lang w:val="en-US" w:eastAsia="zh-CN" w:bidi="ar-SA"/>
              </w:rPr>
              <w:t>无组织</w:t>
            </w:r>
          </w:p>
        </w:tc>
      </w:tr>
      <w:tr w14:paraId="23368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1427" w:type="pct"/>
            <w:noWrap w:val="0"/>
            <w:vAlign w:val="center"/>
          </w:tcPr>
          <w:p w14:paraId="0A9695FF">
            <w:pPr>
              <w:pStyle w:val="229"/>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textAlignment w:val="auto"/>
              <w:rPr>
                <w:rFonts w:hint="default" w:ascii="Times New Roman" w:hAnsi="Times New Roman" w:eastAsia="宋体" w:cs="Times New Roman"/>
                <w:b/>
                <w:bCs w:val="0"/>
                <w:color w:val="auto"/>
                <w:kern w:val="2"/>
                <w:sz w:val="21"/>
                <w:szCs w:val="36"/>
                <w:highlight w:val="none"/>
                <w:lang w:val="en-US" w:eastAsia="zh-CN" w:bidi="ar-SA"/>
              </w:rPr>
            </w:pPr>
            <w:r>
              <w:rPr>
                <w:rFonts w:hint="default" w:ascii="Times New Roman" w:hAnsi="Times New Roman" w:eastAsia="宋体" w:cs="Times New Roman"/>
                <w:b/>
                <w:bCs w:val="0"/>
                <w:color w:val="auto"/>
                <w:highlight w:val="none"/>
              </w:rPr>
              <w:t>排放量（t/a）</w:t>
            </w:r>
          </w:p>
        </w:tc>
        <w:tc>
          <w:tcPr>
            <w:tcW w:w="982" w:type="pct"/>
            <w:noWrap w:val="0"/>
            <w:vAlign w:val="center"/>
          </w:tcPr>
          <w:p w14:paraId="622A9E8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val="0"/>
                <w:bCs/>
                <w:color w:val="auto"/>
                <w:kern w:val="2"/>
                <w:sz w:val="21"/>
                <w:szCs w:val="36"/>
                <w:highlight w:val="none"/>
                <w:lang w:val="en-US" w:eastAsia="zh-CN" w:bidi="ar-SA"/>
              </w:rPr>
            </w:pPr>
            <w:r>
              <w:rPr>
                <w:rFonts w:hint="eastAsia" w:ascii="Times New Roman" w:hAnsi="Times New Roman" w:eastAsia="宋体" w:cs="Times New Roman"/>
                <w:b w:val="0"/>
                <w:bCs/>
                <w:color w:val="auto"/>
                <w:kern w:val="2"/>
                <w:sz w:val="21"/>
                <w:szCs w:val="36"/>
                <w:highlight w:val="none"/>
                <w:lang w:val="en-US" w:eastAsia="zh-CN" w:bidi="ar-SA"/>
              </w:rPr>
              <w:t>1.3365</w:t>
            </w:r>
          </w:p>
        </w:tc>
        <w:tc>
          <w:tcPr>
            <w:tcW w:w="806" w:type="pct"/>
            <w:noWrap w:val="0"/>
            <w:vAlign w:val="center"/>
          </w:tcPr>
          <w:p w14:paraId="460CACD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cs="Times New Roman"/>
                <w:b w:val="0"/>
                <w:bCs/>
                <w:color w:val="auto"/>
                <w:kern w:val="2"/>
                <w:sz w:val="21"/>
                <w:szCs w:val="36"/>
                <w:highlight w:val="none"/>
                <w:lang w:val="en-US" w:eastAsia="zh-CN" w:bidi="ar-SA"/>
              </w:rPr>
            </w:pPr>
            <w:r>
              <w:rPr>
                <w:rFonts w:hint="eastAsia" w:ascii="Times New Roman" w:hAnsi="Times New Roman" w:eastAsia="宋体" w:cs="Times New Roman"/>
                <w:b w:val="0"/>
                <w:bCs/>
                <w:color w:val="auto"/>
                <w:kern w:val="2"/>
                <w:sz w:val="21"/>
                <w:szCs w:val="36"/>
                <w:highlight w:val="none"/>
                <w:lang w:val="en-US" w:eastAsia="zh-CN" w:bidi="ar-SA"/>
              </w:rPr>
              <w:t>4.3694</w:t>
            </w:r>
          </w:p>
        </w:tc>
        <w:tc>
          <w:tcPr>
            <w:tcW w:w="738" w:type="pct"/>
            <w:noWrap w:val="0"/>
            <w:vAlign w:val="center"/>
          </w:tcPr>
          <w:p w14:paraId="43A5860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val="0"/>
                <w:bCs/>
                <w:color w:val="auto"/>
                <w:kern w:val="2"/>
                <w:sz w:val="21"/>
                <w:szCs w:val="36"/>
                <w:highlight w:val="none"/>
                <w:lang w:val="en-US" w:eastAsia="zh-CN" w:bidi="ar-SA"/>
              </w:rPr>
            </w:pPr>
            <w:r>
              <w:rPr>
                <w:rFonts w:hint="eastAsia" w:cs="Times New Roman"/>
                <w:b w:val="0"/>
                <w:bCs/>
                <w:color w:val="auto"/>
                <w:kern w:val="2"/>
                <w:sz w:val="21"/>
                <w:szCs w:val="36"/>
                <w:highlight w:val="none"/>
                <w:lang w:val="en-US" w:eastAsia="zh-CN" w:bidi="ar-SA"/>
              </w:rPr>
              <w:t>0.645</w:t>
            </w:r>
          </w:p>
        </w:tc>
        <w:tc>
          <w:tcPr>
            <w:tcW w:w="1045" w:type="pct"/>
            <w:noWrap w:val="0"/>
            <w:vAlign w:val="center"/>
          </w:tcPr>
          <w:p w14:paraId="0CA02795">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cs="Times New Roman"/>
                <w:b w:val="0"/>
                <w:bCs/>
                <w:color w:val="auto"/>
                <w:kern w:val="2"/>
                <w:sz w:val="21"/>
                <w:szCs w:val="36"/>
                <w:highlight w:val="none"/>
                <w:lang w:val="en-US" w:eastAsia="zh-CN" w:bidi="ar-SA"/>
              </w:rPr>
            </w:pPr>
            <w:r>
              <w:rPr>
                <w:rFonts w:hint="eastAsia" w:cs="Times New Roman"/>
                <w:b w:val="0"/>
                <w:bCs/>
                <w:color w:val="auto"/>
                <w:kern w:val="2"/>
                <w:sz w:val="21"/>
                <w:szCs w:val="36"/>
                <w:highlight w:val="none"/>
                <w:lang w:val="en-US" w:eastAsia="zh-CN" w:bidi="ar-SA"/>
              </w:rPr>
              <w:t>1.1666</w:t>
            </w:r>
          </w:p>
        </w:tc>
      </w:tr>
      <w:tr w14:paraId="0BEB3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27" w:type="pct"/>
            <w:noWrap w:val="0"/>
            <w:vAlign w:val="center"/>
          </w:tcPr>
          <w:p w14:paraId="41265BE3">
            <w:pPr>
              <w:pStyle w:val="229"/>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textAlignment w:val="auto"/>
              <w:rPr>
                <w:rFonts w:hint="default" w:ascii="Times New Roman" w:hAnsi="Times New Roman" w:eastAsia="宋体" w:cs="Times New Roman"/>
                <w:b/>
                <w:bCs w:val="0"/>
                <w:color w:val="auto"/>
                <w:kern w:val="2"/>
                <w:sz w:val="21"/>
                <w:szCs w:val="36"/>
                <w:highlight w:val="none"/>
                <w:lang w:val="en-US" w:eastAsia="zh-CN" w:bidi="ar-SA"/>
              </w:rPr>
            </w:pPr>
            <w:r>
              <w:rPr>
                <w:rFonts w:hint="default" w:ascii="Times New Roman" w:hAnsi="Times New Roman" w:eastAsia="宋体" w:cs="Times New Roman"/>
                <w:b/>
                <w:bCs w:val="0"/>
                <w:color w:val="auto"/>
                <w:highlight w:val="none"/>
              </w:rPr>
              <w:t>总量指标（t/a）</w:t>
            </w:r>
          </w:p>
        </w:tc>
        <w:tc>
          <w:tcPr>
            <w:tcW w:w="1674" w:type="dxa"/>
            <w:noWrap w:val="0"/>
            <w:vAlign w:val="center"/>
          </w:tcPr>
          <w:p w14:paraId="73A2EA3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b w:val="0"/>
                <w:bCs/>
                <w:color w:val="auto"/>
                <w:kern w:val="2"/>
                <w:sz w:val="21"/>
                <w:szCs w:val="36"/>
                <w:highlight w:val="none"/>
                <w:lang w:val="en-US" w:eastAsia="zh-CN" w:bidi="ar-SA"/>
              </w:rPr>
            </w:pPr>
            <w:r>
              <w:rPr>
                <w:rFonts w:hint="eastAsia" w:ascii="Times New Roman" w:hAnsi="Times New Roman" w:eastAsia="宋体" w:cs="Times New Roman"/>
                <w:b w:val="0"/>
                <w:bCs/>
                <w:color w:val="auto"/>
                <w:kern w:val="2"/>
                <w:sz w:val="21"/>
                <w:szCs w:val="36"/>
                <w:highlight w:val="none"/>
                <w:lang w:val="en-US" w:eastAsia="zh-CN" w:bidi="ar-SA"/>
              </w:rPr>
              <w:t>1.3365</w:t>
            </w:r>
          </w:p>
        </w:tc>
        <w:tc>
          <w:tcPr>
            <w:tcW w:w="1374" w:type="dxa"/>
            <w:noWrap w:val="0"/>
            <w:vAlign w:val="center"/>
          </w:tcPr>
          <w:p w14:paraId="73AE20E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val="0"/>
                <w:bCs/>
                <w:color w:val="auto"/>
                <w:kern w:val="2"/>
                <w:sz w:val="21"/>
                <w:szCs w:val="36"/>
                <w:highlight w:val="none"/>
                <w:lang w:val="en-US" w:eastAsia="zh-CN" w:bidi="ar-SA"/>
              </w:rPr>
            </w:pPr>
            <w:r>
              <w:rPr>
                <w:rFonts w:hint="eastAsia" w:ascii="Times New Roman" w:hAnsi="Times New Roman" w:eastAsia="宋体" w:cs="Times New Roman"/>
                <w:b w:val="0"/>
                <w:bCs/>
                <w:color w:val="auto"/>
                <w:kern w:val="2"/>
                <w:sz w:val="21"/>
                <w:szCs w:val="36"/>
                <w:highlight w:val="none"/>
                <w:lang w:val="en-US" w:eastAsia="zh-CN" w:bidi="ar-SA"/>
              </w:rPr>
              <w:t>4.3694</w:t>
            </w:r>
          </w:p>
        </w:tc>
        <w:tc>
          <w:tcPr>
            <w:tcW w:w="1783" w:type="pct"/>
            <w:gridSpan w:val="2"/>
            <w:noWrap w:val="0"/>
            <w:vAlign w:val="center"/>
          </w:tcPr>
          <w:p w14:paraId="4D12197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cs="Times New Roman"/>
                <w:b w:val="0"/>
                <w:bCs/>
                <w:color w:val="auto"/>
                <w:kern w:val="2"/>
                <w:sz w:val="21"/>
                <w:szCs w:val="36"/>
                <w:highlight w:val="none"/>
                <w:lang w:val="en-US" w:eastAsia="zh-CN" w:bidi="ar-SA"/>
              </w:rPr>
            </w:pPr>
            <w:r>
              <w:rPr>
                <w:rFonts w:hint="eastAsia" w:cs="Times New Roman"/>
                <w:b w:val="0"/>
                <w:bCs/>
                <w:color w:val="auto"/>
                <w:kern w:val="2"/>
                <w:sz w:val="21"/>
                <w:szCs w:val="36"/>
                <w:highlight w:val="none"/>
                <w:lang w:val="en-US" w:eastAsia="zh-CN" w:bidi="ar-SA"/>
              </w:rPr>
              <w:t>1.7816</w:t>
            </w:r>
          </w:p>
        </w:tc>
      </w:tr>
    </w:tbl>
    <w:p w14:paraId="4B092444">
      <w:pPr>
        <w:keepNext w:val="0"/>
        <w:keepLines w:val="0"/>
        <w:pageBreakBefore w:val="0"/>
        <w:widowControl w:val="0"/>
        <w:kinsoku/>
        <w:wordWrap/>
        <w:overflowPunct/>
        <w:topLinePunct w:val="0"/>
        <w:autoSpaceDE w:val="0"/>
        <w:autoSpaceDN w:val="0"/>
        <w:bidi w:val="0"/>
        <w:adjustRightInd w:val="0"/>
        <w:snapToGrid w:val="0"/>
        <w:spacing w:before="157" w:beforeLines="50" w:afterLines="0" w:line="360" w:lineRule="auto"/>
        <w:ind w:firstLine="480" w:firstLineChars="200"/>
        <w:jc w:val="both"/>
        <w:textAlignment w:val="auto"/>
        <w:rPr>
          <w:rFonts w:hint="default" w:ascii="Times New Roman" w:hAnsi="Times New Roman" w:eastAsia="宋体" w:cs="Times New Roman"/>
          <w:b w:val="0"/>
          <w:bCs/>
          <w:color w:val="auto"/>
          <w:kern w:val="2"/>
          <w:sz w:val="24"/>
          <w:szCs w:val="24"/>
          <w:highlight w:val="none"/>
          <w:lang w:val="zh-CN" w:eastAsia="zh-CN" w:bidi="ar-SA"/>
        </w:rPr>
      </w:pPr>
      <w:r>
        <w:rPr>
          <w:rFonts w:hint="default" w:ascii="Times New Roman" w:hAnsi="Times New Roman" w:eastAsia="宋体" w:cs="Times New Roman"/>
          <w:b w:val="0"/>
          <w:bCs/>
          <w:color w:val="auto"/>
          <w:kern w:val="2"/>
          <w:sz w:val="24"/>
          <w:szCs w:val="24"/>
          <w:highlight w:val="none"/>
          <w:lang w:val="zh-CN" w:eastAsia="zh-CN" w:bidi="ar-SA"/>
        </w:rPr>
        <w:t>本项目废气总量指标</w:t>
      </w:r>
      <w:r>
        <w:rPr>
          <w:rFonts w:hint="eastAsia" w:ascii="Times New Roman" w:hAnsi="Times New Roman" w:eastAsia="宋体" w:cs="Times New Roman"/>
          <w:b w:val="0"/>
          <w:bCs/>
          <w:color w:val="auto"/>
          <w:kern w:val="2"/>
          <w:sz w:val="24"/>
          <w:szCs w:val="24"/>
          <w:highlight w:val="none"/>
          <w:lang w:val="en-US" w:eastAsia="zh-CN" w:bidi="ar-SA"/>
        </w:rPr>
        <w:t>颗粒物：1.3365</w:t>
      </w:r>
      <w:r>
        <w:rPr>
          <w:rFonts w:hint="default" w:ascii="Times New Roman" w:hAnsi="Times New Roman" w:eastAsia="宋体" w:cs="Times New Roman"/>
          <w:b w:val="0"/>
          <w:bCs/>
          <w:color w:val="auto"/>
          <w:kern w:val="2"/>
          <w:sz w:val="24"/>
          <w:szCs w:val="24"/>
          <w:highlight w:val="none"/>
          <w:lang w:val="zh-CN" w:eastAsia="zh-CN" w:bidi="ar-SA"/>
        </w:rPr>
        <w:t>t/a</w:t>
      </w:r>
      <w:r>
        <w:rPr>
          <w:rFonts w:hint="eastAsia" w:ascii="Times New Roman" w:hAnsi="Times New Roman" w:eastAsia="宋体" w:cs="Times New Roman"/>
          <w:b w:val="0"/>
          <w:bCs/>
          <w:color w:val="auto"/>
          <w:kern w:val="2"/>
          <w:sz w:val="24"/>
          <w:szCs w:val="24"/>
          <w:highlight w:val="none"/>
          <w:lang w:val="zh-CN" w:eastAsia="zh-CN" w:bidi="ar-SA"/>
        </w:rPr>
        <w:t>、</w:t>
      </w:r>
      <w:r>
        <w:rPr>
          <w:rFonts w:hint="eastAsia" w:cs="Times New Roman"/>
          <w:b w:val="0"/>
          <w:bCs/>
          <w:color w:val="auto"/>
          <w:kern w:val="2"/>
          <w:sz w:val="24"/>
          <w:szCs w:val="24"/>
          <w:highlight w:val="none"/>
          <w:lang w:val="en-US" w:eastAsia="zh-CN" w:bidi="ar-SA"/>
        </w:rPr>
        <w:t>NOx：</w:t>
      </w:r>
      <w:r>
        <w:rPr>
          <w:rFonts w:hint="eastAsia" w:ascii="Times New Roman" w:hAnsi="Times New Roman" w:eastAsia="宋体" w:cs="Times New Roman"/>
          <w:b w:val="0"/>
          <w:bCs/>
          <w:color w:val="auto"/>
          <w:kern w:val="2"/>
          <w:sz w:val="21"/>
          <w:szCs w:val="36"/>
          <w:highlight w:val="none"/>
          <w:lang w:val="en-US" w:eastAsia="zh-CN" w:bidi="ar-SA"/>
        </w:rPr>
        <w:t>4.3694</w:t>
      </w:r>
      <w:r>
        <w:rPr>
          <w:rFonts w:hint="default" w:ascii="Times New Roman" w:hAnsi="Times New Roman" w:eastAsia="宋体" w:cs="Times New Roman"/>
          <w:b w:val="0"/>
          <w:bCs/>
          <w:color w:val="auto"/>
          <w:kern w:val="2"/>
          <w:sz w:val="24"/>
          <w:szCs w:val="24"/>
          <w:highlight w:val="none"/>
          <w:lang w:val="zh-CN" w:eastAsia="zh-CN" w:bidi="ar-SA"/>
        </w:rPr>
        <w:t>t/a</w:t>
      </w:r>
      <w:r>
        <w:rPr>
          <w:rFonts w:hint="eastAsia" w:ascii="Times New Roman" w:hAnsi="Times New Roman" w:eastAsia="宋体" w:cs="Times New Roman"/>
          <w:b w:val="0"/>
          <w:bCs/>
          <w:color w:val="auto"/>
          <w:kern w:val="2"/>
          <w:sz w:val="24"/>
          <w:szCs w:val="24"/>
          <w:highlight w:val="none"/>
          <w:lang w:val="zh-CN" w:eastAsia="zh-CN" w:bidi="ar-SA"/>
        </w:rPr>
        <w:t>、</w:t>
      </w:r>
      <w:r>
        <w:rPr>
          <w:rFonts w:hint="default" w:ascii="Times New Roman" w:hAnsi="Times New Roman" w:eastAsia="宋体" w:cs="Times New Roman"/>
          <w:b w:val="0"/>
          <w:bCs/>
          <w:color w:val="auto"/>
          <w:kern w:val="2"/>
          <w:sz w:val="24"/>
          <w:szCs w:val="24"/>
          <w:highlight w:val="none"/>
          <w:lang w:val="zh-CN" w:eastAsia="zh-CN" w:bidi="ar-SA"/>
        </w:rPr>
        <w:t>VOCs：</w:t>
      </w:r>
      <w:r>
        <w:rPr>
          <w:rFonts w:hint="eastAsia" w:cs="Times New Roman"/>
          <w:b w:val="0"/>
          <w:bCs/>
          <w:color w:val="auto"/>
          <w:kern w:val="2"/>
          <w:sz w:val="21"/>
          <w:szCs w:val="36"/>
          <w:highlight w:val="none"/>
          <w:lang w:val="en-US" w:eastAsia="zh-CN" w:bidi="ar-SA"/>
        </w:rPr>
        <w:t>0.645</w:t>
      </w:r>
      <w:r>
        <w:rPr>
          <w:rFonts w:hint="default" w:ascii="Times New Roman" w:hAnsi="Times New Roman" w:eastAsia="宋体" w:cs="Times New Roman"/>
          <w:b w:val="0"/>
          <w:bCs/>
          <w:color w:val="auto"/>
          <w:kern w:val="2"/>
          <w:sz w:val="24"/>
          <w:szCs w:val="24"/>
          <w:highlight w:val="none"/>
          <w:lang w:val="zh-CN" w:eastAsia="zh-CN" w:bidi="ar-SA"/>
        </w:rPr>
        <w:t>t/a</w:t>
      </w:r>
      <w:r>
        <w:rPr>
          <w:rFonts w:hint="eastAsia" w:ascii="Times New Roman" w:hAnsi="Times New Roman" w:eastAsia="宋体" w:cs="Times New Roman"/>
          <w:b w:val="0"/>
          <w:bCs/>
          <w:color w:val="auto"/>
          <w:kern w:val="2"/>
          <w:sz w:val="24"/>
          <w:szCs w:val="24"/>
          <w:highlight w:val="none"/>
          <w:lang w:val="zh-CN" w:eastAsia="zh-CN" w:bidi="ar-SA"/>
        </w:rPr>
        <w:t>（</w:t>
      </w:r>
      <w:r>
        <w:rPr>
          <w:rFonts w:hint="eastAsia" w:ascii="Times New Roman" w:hAnsi="Times New Roman" w:eastAsia="宋体" w:cs="Times New Roman"/>
          <w:b w:val="0"/>
          <w:bCs/>
          <w:color w:val="auto"/>
          <w:kern w:val="2"/>
          <w:sz w:val="24"/>
          <w:szCs w:val="24"/>
          <w:highlight w:val="none"/>
          <w:lang w:val="en-US" w:eastAsia="zh-CN" w:bidi="ar-SA"/>
        </w:rPr>
        <w:t>有组织</w:t>
      </w:r>
      <w:r>
        <w:rPr>
          <w:rFonts w:hint="eastAsia" w:ascii="Times New Roman" w:hAnsi="Times New Roman" w:eastAsia="宋体" w:cs="Times New Roman"/>
          <w:b w:val="0"/>
          <w:bCs/>
          <w:color w:val="auto"/>
          <w:kern w:val="2"/>
          <w:sz w:val="24"/>
          <w:szCs w:val="24"/>
          <w:highlight w:val="none"/>
          <w:lang w:val="zh-CN" w:eastAsia="zh-CN" w:bidi="ar-SA"/>
        </w:rPr>
        <w:t>）</w:t>
      </w:r>
      <w:r>
        <w:rPr>
          <w:rFonts w:hint="default" w:ascii="Times New Roman" w:hAnsi="Times New Roman" w:eastAsia="宋体" w:cs="Times New Roman"/>
          <w:b w:val="0"/>
          <w:bCs/>
          <w:color w:val="auto"/>
          <w:kern w:val="2"/>
          <w:sz w:val="24"/>
          <w:szCs w:val="24"/>
          <w:highlight w:val="none"/>
          <w:lang w:val="zh-CN" w:eastAsia="zh-CN" w:bidi="ar-SA"/>
        </w:rPr>
        <w:t>。</w:t>
      </w:r>
    </w:p>
    <w:p w14:paraId="7F024268">
      <w:pPr>
        <w:spacing w:line="360" w:lineRule="auto"/>
        <w:ind w:firstLine="480" w:firstLineChars="200"/>
        <w:jc w:val="left"/>
        <w:rPr>
          <w:rFonts w:ascii="Times New Roman" w:hAnsi="Times New Roman" w:eastAsia="宋体"/>
          <w:color w:val="auto"/>
          <w:sz w:val="24"/>
          <w:highlight w:val="none"/>
        </w:rPr>
      </w:pPr>
    </w:p>
    <w:p w14:paraId="73EE23CC">
      <w:pPr>
        <w:spacing w:before="156" w:beforeLines="50" w:line="360" w:lineRule="auto"/>
        <w:outlineLvl w:val="0"/>
        <w:rPr>
          <w:rFonts w:ascii="Times New Roman" w:hAnsi="Times New Roman" w:eastAsia="宋体"/>
          <w:b/>
          <w:bCs/>
          <w:color w:val="auto"/>
          <w:sz w:val="32"/>
          <w:szCs w:val="28"/>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687814F3">
      <w:pPr>
        <w:pStyle w:val="46"/>
        <w:jc w:val="center"/>
        <w:rPr>
          <w:color w:val="auto"/>
          <w:highlight w:val="none"/>
        </w:rPr>
      </w:pPr>
      <w:bookmarkStart w:id="261" w:name="_Toc152922627"/>
      <w:bookmarkStart w:id="262" w:name="_Toc10433"/>
      <w:bookmarkStart w:id="263" w:name="_Toc152922033"/>
      <w:r>
        <w:rPr>
          <w:color w:val="auto"/>
          <w:highlight w:val="none"/>
        </w:rPr>
        <w:t>4环境现状调查与评价</w:t>
      </w:r>
      <w:bookmarkEnd w:id="261"/>
      <w:bookmarkEnd w:id="262"/>
      <w:bookmarkEnd w:id="263"/>
    </w:p>
    <w:p w14:paraId="314F8E66">
      <w:pPr>
        <w:pStyle w:val="218"/>
        <w:spacing w:before="62" w:after="156"/>
        <w:rPr>
          <w:color w:val="auto"/>
          <w:highlight w:val="none"/>
        </w:rPr>
      </w:pPr>
      <w:bookmarkStart w:id="264" w:name="_Toc152922034"/>
      <w:bookmarkStart w:id="265" w:name="_Toc1361"/>
      <w:bookmarkStart w:id="266" w:name="_Toc152922628"/>
      <w:r>
        <w:rPr>
          <w:color w:val="auto"/>
          <w:highlight w:val="none"/>
        </w:rPr>
        <w:t>4.1自然环境现状调查与评价</w:t>
      </w:r>
      <w:bookmarkEnd w:id="264"/>
      <w:bookmarkEnd w:id="265"/>
      <w:bookmarkEnd w:id="266"/>
    </w:p>
    <w:p w14:paraId="14EAF027">
      <w:pPr>
        <w:pStyle w:val="4"/>
        <w:spacing w:after="156"/>
        <w:rPr>
          <w:color w:val="auto"/>
          <w:highlight w:val="none"/>
        </w:rPr>
      </w:pPr>
      <w:bookmarkStart w:id="267" w:name="_Toc152922035"/>
      <w:bookmarkStart w:id="268" w:name="_Toc152921670"/>
      <w:bookmarkStart w:id="269" w:name="_Toc152923310"/>
      <w:bookmarkStart w:id="270" w:name="_Toc152922629"/>
      <w:bookmarkStart w:id="271" w:name="_Toc117150244"/>
      <w:r>
        <w:rPr>
          <w:color w:val="auto"/>
          <w:highlight w:val="none"/>
        </w:rPr>
        <w:t>4.1.1地理位置</w:t>
      </w:r>
      <w:bookmarkEnd w:id="267"/>
      <w:bookmarkEnd w:id="268"/>
      <w:bookmarkEnd w:id="269"/>
      <w:bookmarkEnd w:id="270"/>
      <w:bookmarkEnd w:id="271"/>
    </w:p>
    <w:p w14:paraId="29AD421A">
      <w:pPr>
        <w:pStyle w:val="352"/>
        <w:ind w:firstLine="480"/>
        <w:rPr>
          <w:rFonts w:ascii="宋体" w:hAnsi="宋体" w:eastAsia="宋体" w:cs="宋体"/>
          <w:b w:val="0"/>
          <w:bCs w:val="0"/>
          <w:color w:val="auto"/>
          <w:sz w:val="24"/>
          <w:szCs w:val="24"/>
          <w:highlight w:val="none"/>
        </w:rPr>
      </w:pPr>
      <w:r>
        <w:rPr>
          <w:rFonts w:ascii="宋体" w:hAnsi="宋体" w:eastAsia="宋体" w:cs="宋体"/>
          <w:b w:val="0"/>
          <w:bCs w:val="0"/>
          <w:color w:val="auto"/>
          <w:sz w:val="24"/>
          <w:szCs w:val="24"/>
          <w:highlight w:val="none"/>
        </w:rPr>
        <w:t>淮南市位于东经</w:t>
      </w:r>
      <w:r>
        <w:rPr>
          <w:rFonts w:ascii="Times New Roman" w:hAnsi="Times New Roman" w:eastAsia="Times New Roman" w:cs="Times New Roman"/>
          <w:b w:val="0"/>
          <w:bCs w:val="0"/>
          <w:color w:val="auto"/>
          <w:sz w:val="24"/>
          <w:szCs w:val="24"/>
          <w:highlight w:val="none"/>
        </w:rPr>
        <w:t>116°21′5″</w:t>
      </w:r>
      <w:r>
        <w:rPr>
          <w:rFonts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117°12′30″</w:t>
      </w:r>
      <w:r>
        <w:rPr>
          <w:rFonts w:ascii="宋体" w:hAnsi="宋体" w:eastAsia="宋体" w:cs="宋体"/>
          <w:b w:val="0"/>
          <w:bCs w:val="0"/>
          <w:color w:val="auto"/>
          <w:sz w:val="24"/>
          <w:szCs w:val="24"/>
          <w:highlight w:val="none"/>
        </w:rPr>
        <w:t>，北纬</w:t>
      </w:r>
      <w:r>
        <w:rPr>
          <w:rFonts w:hint="default" w:ascii="Times New Roman" w:hAnsi="Times New Roman" w:eastAsia="Times New Roman" w:cs="Times New Roman"/>
          <w:b w:val="0"/>
          <w:bCs w:val="0"/>
          <w:color w:val="auto"/>
          <w:sz w:val="24"/>
          <w:szCs w:val="24"/>
          <w:highlight w:val="none"/>
        </w:rPr>
        <w:t>31°54′8″</w:t>
      </w:r>
      <w:r>
        <w:rPr>
          <w:rFonts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33°00′26″</w:t>
      </w:r>
      <w:r>
        <w:rPr>
          <w:rFonts w:ascii="宋体" w:hAnsi="宋体" w:eastAsia="宋体" w:cs="宋体"/>
          <w:b w:val="0"/>
          <w:bCs w:val="0"/>
          <w:color w:val="auto"/>
          <w:sz w:val="24"/>
          <w:szCs w:val="24"/>
          <w:highlight w:val="none"/>
        </w:rPr>
        <w:t>之间，地处安徽省中北部，东与滁州市毗邻，东南与合肥市接壤，西南与六安市相连，西与阜阳市相接，北与亳州市、蚌埠市交界。最东端位于大通区孔店乡王祠村以东、高塘湖中心线上，最西端位于凤台县尚塘乡侯海孜以西与利辛县接壤处，最南端位于寿县三觉镇冯楼村槐树庄以南与六安市金安区接壤处，最北端位于凤台县与蒙城县、利辛县交会的茨淮新河主航道中心线上。辖区东西最长距离</w:t>
      </w:r>
      <w:r>
        <w:rPr>
          <w:rFonts w:hint="default" w:ascii="Times New Roman" w:hAnsi="Times New Roman" w:eastAsia="Times New Roman" w:cs="Times New Roman"/>
          <w:b w:val="0"/>
          <w:bCs w:val="0"/>
          <w:color w:val="auto"/>
          <w:sz w:val="24"/>
          <w:szCs w:val="24"/>
          <w:highlight w:val="none"/>
        </w:rPr>
        <w:t>80.23</w:t>
      </w:r>
      <w:r>
        <w:rPr>
          <w:rFonts w:ascii="宋体" w:hAnsi="宋体" w:eastAsia="宋体" w:cs="宋体"/>
          <w:b w:val="0"/>
          <w:bCs w:val="0"/>
          <w:color w:val="auto"/>
          <w:sz w:val="24"/>
          <w:szCs w:val="24"/>
          <w:highlight w:val="none"/>
        </w:rPr>
        <w:t>公里，南北最长距离</w:t>
      </w:r>
      <w:r>
        <w:rPr>
          <w:rFonts w:hint="default" w:ascii="Times New Roman" w:hAnsi="Times New Roman" w:eastAsia="Times New Roman" w:cs="Times New Roman"/>
          <w:b w:val="0"/>
          <w:bCs w:val="0"/>
          <w:color w:val="auto"/>
          <w:sz w:val="24"/>
          <w:szCs w:val="24"/>
          <w:highlight w:val="none"/>
        </w:rPr>
        <w:t>122.68</w:t>
      </w:r>
      <w:r>
        <w:rPr>
          <w:rFonts w:ascii="宋体" w:hAnsi="宋体" w:eastAsia="宋体" w:cs="宋体"/>
          <w:b w:val="0"/>
          <w:bCs w:val="0"/>
          <w:color w:val="auto"/>
          <w:sz w:val="24"/>
          <w:szCs w:val="24"/>
          <w:highlight w:val="none"/>
        </w:rPr>
        <w:t>公里，总面积</w:t>
      </w:r>
      <w:r>
        <w:rPr>
          <w:rFonts w:hint="default" w:ascii="Times New Roman" w:hAnsi="Times New Roman" w:eastAsia="Times New Roman" w:cs="Times New Roman"/>
          <w:b w:val="0"/>
          <w:bCs w:val="0"/>
          <w:color w:val="auto"/>
          <w:sz w:val="24"/>
          <w:szCs w:val="24"/>
          <w:highlight w:val="none"/>
        </w:rPr>
        <w:t>5533</w:t>
      </w:r>
      <w:r>
        <w:rPr>
          <w:rFonts w:ascii="宋体" w:hAnsi="宋体" w:eastAsia="宋体" w:cs="宋体"/>
          <w:b w:val="0"/>
          <w:bCs w:val="0"/>
          <w:color w:val="auto"/>
          <w:sz w:val="24"/>
          <w:szCs w:val="24"/>
          <w:highlight w:val="none"/>
        </w:rPr>
        <w:t>平方公里。</w:t>
      </w:r>
    </w:p>
    <w:p w14:paraId="5EA37CF0">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田家庵区，位于淮南市东部，东接大通区，南连谢家集区，西和八公山区毗连，北靠潘集区。总面积为251余平方公里，是淮南市的中心城区。</w:t>
      </w:r>
      <w:r>
        <w:rPr>
          <w:rFonts w:hint="eastAsia" w:ascii="Times New Roman" w:hAnsi="Times New Roman" w:cs="Times New Roman"/>
          <w:color w:val="auto"/>
          <w:spacing w:val="0"/>
          <w:position w:val="0"/>
          <w:sz w:val="24"/>
          <w:szCs w:val="24"/>
          <w:highlight w:val="none"/>
          <w:lang w:eastAsia="zh-CN"/>
        </w:rPr>
        <w:t>田家庵经开区</w:t>
      </w:r>
      <w:r>
        <w:rPr>
          <w:rFonts w:hint="default" w:ascii="Times New Roman" w:hAnsi="Times New Roman" w:eastAsia="宋体" w:cs="Times New Roman"/>
          <w:color w:val="auto"/>
          <w:spacing w:val="0"/>
          <w:position w:val="0"/>
          <w:sz w:val="24"/>
          <w:szCs w:val="24"/>
          <w:highlight w:val="none"/>
        </w:rPr>
        <w:t>坐落于田家庵区曹庵镇北部。</w:t>
      </w:r>
    </w:p>
    <w:p w14:paraId="2DA81CDC">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color w:val="auto"/>
          <w:spacing w:val="0"/>
          <w:position w:val="0"/>
          <w:sz w:val="24"/>
          <w:szCs w:val="24"/>
          <w:highlight w:val="none"/>
        </w:rPr>
        <w:t>曹庵镇位于安徽省淮南市南部，地处江淮丘陵北部，东距长丰县城水湖镇12公里，西距寿县县城36公里，南到省会合肥市80公里，北到淮南市区27公里，省道102线、311线与国道206线（合淮公路）穿越全镇，位于合肥、淮南、蚌埠三大城市之间，具有</w:t>
      </w:r>
      <w:r>
        <w:rPr>
          <w:rFonts w:hint="eastAsia"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交通走廊</w:t>
      </w:r>
      <w:r>
        <w:rPr>
          <w:rFonts w:hint="eastAsia"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之称。曹庵镇镇域总面积约56.7平方公里，是淮南市南部门户，</w:t>
      </w:r>
      <w:r>
        <w:rPr>
          <w:rFonts w:hint="eastAsia"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合淮同城</w:t>
      </w:r>
      <w:r>
        <w:rPr>
          <w:rFonts w:hint="eastAsia" w:ascii="Times New Roman" w:hAnsi="Times New Roman" w:cs="Times New Roman"/>
          <w:color w:val="auto"/>
          <w:spacing w:val="0"/>
          <w:position w:val="0"/>
          <w:sz w:val="24"/>
          <w:szCs w:val="24"/>
          <w:highlight w:val="none"/>
          <w:lang w:eastAsia="zh-CN"/>
        </w:rPr>
        <w:t>”</w:t>
      </w:r>
      <w:r>
        <w:rPr>
          <w:rFonts w:hint="default" w:ascii="Times New Roman" w:hAnsi="Times New Roman" w:eastAsia="宋体" w:cs="Times New Roman"/>
          <w:color w:val="auto"/>
          <w:spacing w:val="0"/>
          <w:position w:val="0"/>
          <w:sz w:val="24"/>
          <w:szCs w:val="24"/>
          <w:highlight w:val="none"/>
        </w:rPr>
        <w:t>战略的桥头堡</w:t>
      </w:r>
      <w:r>
        <w:rPr>
          <w:rFonts w:hint="eastAsia" w:cs="Times New Roman"/>
          <w:color w:val="auto"/>
          <w:spacing w:val="0"/>
          <w:position w:val="0"/>
          <w:sz w:val="24"/>
          <w:szCs w:val="24"/>
          <w:highlight w:val="none"/>
          <w:lang w:eastAsia="zh-CN"/>
        </w:rPr>
        <w:t>，是</w:t>
      </w:r>
      <w:r>
        <w:rPr>
          <w:rFonts w:hint="default" w:ascii="Times New Roman" w:hAnsi="Times New Roman" w:eastAsia="宋体" w:cs="Times New Roman"/>
          <w:color w:val="auto"/>
          <w:spacing w:val="0"/>
          <w:position w:val="0"/>
          <w:sz w:val="24"/>
          <w:szCs w:val="24"/>
          <w:highlight w:val="none"/>
        </w:rPr>
        <w:t>以现代农业、近郊旅游、工业物流、新型环保建材、新装备、电子信息为主导的特色型乡镇。</w:t>
      </w:r>
    </w:p>
    <w:p w14:paraId="69D957BC">
      <w:pPr>
        <w:pStyle w:val="4"/>
        <w:spacing w:after="156"/>
        <w:rPr>
          <w:color w:val="auto"/>
          <w:highlight w:val="none"/>
        </w:rPr>
      </w:pPr>
      <w:bookmarkStart w:id="272" w:name="_Toc152922036"/>
      <w:bookmarkStart w:id="273" w:name="_Toc152923311"/>
      <w:bookmarkStart w:id="274" w:name="_Toc152922630"/>
      <w:bookmarkStart w:id="275" w:name="_Toc152921671"/>
      <w:bookmarkStart w:id="276" w:name="_Toc117150245"/>
      <w:r>
        <w:rPr>
          <w:color w:val="auto"/>
          <w:highlight w:val="none"/>
        </w:rPr>
        <w:t>4.1.2地形、地貌、地质</w:t>
      </w:r>
      <w:bookmarkEnd w:id="272"/>
      <w:bookmarkEnd w:id="273"/>
      <w:bookmarkEnd w:id="274"/>
      <w:bookmarkEnd w:id="275"/>
      <w:bookmarkEnd w:id="276"/>
    </w:p>
    <w:p w14:paraId="50EFF0DB">
      <w:pPr>
        <w:pStyle w:val="352"/>
        <w:ind w:firstLine="480"/>
        <w:rPr>
          <w:rFonts w:hint="default" w:ascii="宋体" w:hAnsi="宋体" w:eastAsia="宋体" w:cs="宋体"/>
          <w:b w:val="0"/>
          <w:bCs w:val="0"/>
          <w:color w:val="auto"/>
          <w:sz w:val="24"/>
          <w:szCs w:val="24"/>
          <w:highlight w:val="none"/>
        </w:rPr>
      </w:pPr>
      <w:bookmarkStart w:id="277" w:name="_Toc152922631"/>
      <w:bookmarkStart w:id="278" w:name="_Toc117150246"/>
      <w:bookmarkStart w:id="279" w:name="_Toc152922037"/>
      <w:bookmarkStart w:id="280" w:name="_Toc152923312"/>
      <w:bookmarkStart w:id="281" w:name="_Toc152921672"/>
      <w:r>
        <w:rPr>
          <w:rFonts w:hint="default" w:ascii="宋体" w:hAnsi="宋体" w:eastAsia="宋体" w:cs="宋体"/>
          <w:b w:val="0"/>
          <w:bCs w:val="0"/>
          <w:color w:val="auto"/>
          <w:sz w:val="24"/>
          <w:szCs w:val="24"/>
          <w:highlight w:val="none"/>
        </w:rPr>
        <w:t>淮南市在构造单元上属于中朝准地台淮河台坳淮南陷褶断带</w:t>
      </w:r>
      <w:r>
        <w:rPr>
          <w:rFonts w:hint="eastAsia" w:ascii="宋体" w:hAnsi="宋体" w:cs="宋体"/>
          <w:b w:val="0"/>
          <w:bCs w:val="0"/>
          <w:color w:val="auto"/>
          <w:sz w:val="24"/>
          <w:szCs w:val="24"/>
          <w:highlight w:val="none"/>
          <w:lang w:eastAsia="zh-CN"/>
        </w:rPr>
        <w:t>（</w:t>
      </w:r>
      <w:r>
        <w:rPr>
          <w:rFonts w:hint="default" w:ascii="宋体" w:hAnsi="宋体" w:eastAsia="宋体" w:cs="宋体"/>
          <w:b w:val="0"/>
          <w:bCs w:val="0"/>
          <w:color w:val="auto"/>
          <w:sz w:val="24"/>
          <w:szCs w:val="24"/>
          <w:highlight w:val="none"/>
        </w:rPr>
        <w:t>即华北地台豫淮褶皱带</w:t>
      </w:r>
      <w:r>
        <w:rPr>
          <w:rFonts w:hint="eastAsia" w:ascii="宋体" w:hAnsi="宋体" w:cs="宋体"/>
          <w:b w:val="0"/>
          <w:bCs w:val="0"/>
          <w:color w:val="auto"/>
          <w:sz w:val="24"/>
          <w:szCs w:val="24"/>
          <w:highlight w:val="none"/>
          <w:lang w:eastAsia="zh-CN"/>
        </w:rPr>
        <w:t>）</w:t>
      </w:r>
      <w:r>
        <w:rPr>
          <w:rFonts w:hint="default" w:ascii="宋体" w:hAnsi="宋体" w:eastAsia="宋体" w:cs="宋体"/>
          <w:b w:val="0"/>
          <w:bCs w:val="0"/>
          <w:color w:val="auto"/>
          <w:sz w:val="24"/>
          <w:szCs w:val="24"/>
          <w:highlight w:val="none"/>
        </w:rPr>
        <w:t>东部的淮南复向斜。东界为郯庐断裂，西临周口坳陷，北接蚌埠隆起，南邻合肥坳陷，南北为洞山断裂和刘府断裂夹持。区内构造以北西西向构造占主导地位，受后期强烈改造，但总体形态变化不大，复式向斜内次一级褶皱及断裂发育。地质演化历史可分为前震旦纪、震旦纪—三叠纪、侏罗纪一第四纪3个阶段，前震旦纪，淮南地壳处于活动阶段；震旦纪—三叠纪属于剧烈运动时期，先后经历了蚌埠、风阳、皖南、加里东、华西力、印支等运动。其间地壳几度隆起沉降，形成了海陆交互相地层。特别是晚石炭纪和二叠纪时期海陆交互相的沉积环境，成为煤炭资源良好的生成条件，从而形成了境内大量的煤炭资源。侏罗纪一第四纪，经过燕山运动和喜马拉雅运动，逐渐塑造出了今天的地貌特征。</w:t>
      </w:r>
    </w:p>
    <w:p w14:paraId="6081E5D3">
      <w:pPr>
        <w:pStyle w:val="352"/>
        <w:ind w:firstLine="480"/>
        <w:rPr>
          <w:rFonts w:hint="eastAsia" w:ascii="宋体" w:hAnsi="宋体" w:eastAsia="宋体" w:cs="宋体"/>
          <w:b w:val="0"/>
          <w:bCs w:val="0"/>
          <w:color w:val="auto"/>
          <w:sz w:val="24"/>
          <w:szCs w:val="24"/>
          <w:highlight w:val="none"/>
          <w:lang w:eastAsia="zh-CN"/>
        </w:rPr>
      </w:pPr>
      <w:r>
        <w:rPr>
          <w:rFonts w:hint="default" w:ascii="宋体" w:hAnsi="宋体" w:eastAsia="宋体" w:cs="宋体"/>
          <w:b w:val="0"/>
          <w:bCs w:val="0"/>
          <w:color w:val="auto"/>
          <w:sz w:val="24"/>
          <w:szCs w:val="24"/>
          <w:highlight w:val="none"/>
        </w:rPr>
        <w:t>淮南市以淮河为界形成两种不同的地貌类型，淮河以南为丘陵，属于江淮丘陵的一部分；淮河以北为地势平坦的淮北平原，市境南、东为环绕而不连续的高低丘陵，环山均有一斜坡地带，宽约500～1500米，坡度10度左右，海拔40～75米；斜坡地带以下交错衔接洪冲积二级阶地，宽500～2500米，海拔30～40米，坡度2度左右；二级阶地以下是淮河冲积一级阶地，宽2500～3000米，海拔25米以下，坡度平缓；一级阶地以下是淮河高位漫滩，宽2000～3000米，海拔17～20米，漫滩以下是淮河滨河浅滩。淮河以北平原地区为河间浅洼平原，地势呈西北东南向倾斜，海拔20～24米，对高差4～5米</w:t>
      </w:r>
      <w:r>
        <w:rPr>
          <w:rFonts w:hint="eastAsia" w:ascii="宋体" w:hAnsi="宋体" w:eastAsia="宋体" w:cs="宋体"/>
          <w:b w:val="0"/>
          <w:bCs w:val="0"/>
          <w:color w:val="auto"/>
          <w:sz w:val="24"/>
          <w:szCs w:val="24"/>
          <w:highlight w:val="none"/>
          <w:lang w:eastAsia="zh-CN"/>
        </w:rPr>
        <w:t>。</w:t>
      </w:r>
    </w:p>
    <w:p w14:paraId="7D97288C">
      <w:pPr>
        <w:pStyle w:val="352"/>
        <w:ind w:firstLine="480"/>
        <w:rPr>
          <w:rFonts w:hint="default"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lang w:eastAsia="zh-CN"/>
        </w:rPr>
        <w:t>田家庵经开区</w:t>
      </w:r>
      <w:r>
        <w:rPr>
          <w:rFonts w:hint="default" w:ascii="宋体" w:hAnsi="宋体" w:eastAsia="宋体" w:cs="宋体"/>
          <w:b w:val="0"/>
          <w:bCs w:val="0"/>
          <w:color w:val="auto"/>
          <w:sz w:val="24"/>
          <w:szCs w:val="24"/>
          <w:highlight w:val="none"/>
        </w:rPr>
        <w:t>位于淮北冲积平原的南缘，淮河中游的北岸，地势平坦，由西北向东南缓倾。自第三世纪以来，该区由上升转为急剧下降，沉积了很厚的第四纪松散堆积物，厚度明显受古地形的制约。第四纪地层结构复杂多变，呈多层状，层面起伏较小，一般南高北低。成因可分冲积、冲洪积和湖积等。本项目区已是现状建成区，地形较平坦。</w:t>
      </w:r>
    </w:p>
    <w:p w14:paraId="4BF940E0">
      <w:pPr>
        <w:pStyle w:val="4"/>
        <w:spacing w:after="156"/>
        <w:rPr>
          <w:color w:val="auto"/>
          <w:highlight w:val="none"/>
        </w:rPr>
      </w:pPr>
      <w:r>
        <w:rPr>
          <w:color w:val="auto"/>
          <w:highlight w:val="none"/>
        </w:rPr>
        <w:t>4.1.3气象气候</w:t>
      </w:r>
      <w:bookmarkEnd w:id="277"/>
      <w:bookmarkEnd w:id="278"/>
      <w:bookmarkEnd w:id="279"/>
      <w:bookmarkEnd w:id="280"/>
      <w:bookmarkEnd w:id="281"/>
    </w:p>
    <w:p w14:paraId="0D62311E">
      <w:pPr>
        <w:pStyle w:val="352"/>
        <w:ind w:firstLine="480"/>
        <w:rPr>
          <w:rFonts w:hint="default" w:ascii="Times New Roman" w:hAnsi="Times New Roman" w:eastAsia="宋体" w:cs="Times New Roman"/>
          <w:b w:val="0"/>
          <w:bCs w:val="0"/>
          <w:color w:val="auto"/>
          <w:sz w:val="24"/>
          <w:szCs w:val="24"/>
          <w:highlight w:val="none"/>
          <w:lang w:eastAsia="zh-CN"/>
        </w:rPr>
      </w:pPr>
      <w:bookmarkStart w:id="282" w:name="_Toc152922632"/>
      <w:bookmarkStart w:id="283" w:name="_Toc117150247"/>
      <w:bookmarkStart w:id="284" w:name="_Toc152922038"/>
      <w:bookmarkStart w:id="285" w:name="_Toc152921673"/>
      <w:bookmarkStart w:id="286" w:name="_Toc152923313"/>
      <w:r>
        <w:rPr>
          <w:rFonts w:hint="default" w:ascii="Times New Roman" w:hAnsi="Times New Roman" w:eastAsia="宋体" w:cs="Times New Roman"/>
          <w:b w:val="0"/>
          <w:bCs w:val="0"/>
          <w:color w:val="auto"/>
          <w:sz w:val="24"/>
          <w:szCs w:val="24"/>
          <w:highlight w:val="none"/>
          <w:lang w:eastAsia="zh-CN"/>
        </w:rPr>
        <w:t>淮南市属暖温带半湿润季风气候区，四季分明，春暖秋爽，夏炎冬寒，具有明显的大陆气候。春季</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3月到5月</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太阳辐射增强，温度回升快，日差较大，多偏东风，降水较冬季增多。秋季</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9月到11月</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降温快，凉爽，气温日差较大，常刮偏东北风。夏季</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6月到8月</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受海洋性气候影响，气温为全年最高，降水多且集中，多偏南风。冬季</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12月到翌年2月</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eastAsia="zh-CN"/>
        </w:rPr>
        <w:t>受西伯利亚冷空气和蒙古高压南下影响，天气严寒，雨雪稀少，多偏北风。淮南市平均气温16.8℃，平均气压1012.9hPa，平均降水量1040.3mm；年平均蒸发量1600.3mm，平均相对湿度75%；年均日照时数2218.7h，无霜期216天。全年主导风向为东风，夏季东南东风为主导风向，冬季东北东和东南东风为主导风向，年平均风速2.1m/s。</w:t>
      </w:r>
    </w:p>
    <w:p w14:paraId="63E9BB33">
      <w:pPr>
        <w:pStyle w:val="4"/>
        <w:spacing w:after="156"/>
        <w:rPr>
          <w:color w:val="auto"/>
          <w:highlight w:val="none"/>
        </w:rPr>
      </w:pPr>
      <w:r>
        <w:rPr>
          <w:color w:val="auto"/>
          <w:highlight w:val="none"/>
        </w:rPr>
        <w:t>4.1.4水文水系</w:t>
      </w:r>
      <w:bookmarkEnd w:id="282"/>
      <w:bookmarkEnd w:id="283"/>
      <w:bookmarkEnd w:id="284"/>
      <w:bookmarkEnd w:id="285"/>
      <w:bookmarkEnd w:id="286"/>
    </w:p>
    <w:p w14:paraId="681E2303">
      <w:pPr>
        <w:pStyle w:val="352"/>
        <w:ind w:firstLine="480"/>
        <w:rPr>
          <w:rFonts w:hint="default" w:ascii="Times New Roman" w:hAnsi="Times New Roman" w:eastAsia="宋体" w:cs="Times New Roman"/>
          <w:b w:val="0"/>
          <w:bCs w:val="0"/>
          <w:color w:val="auto"/>
          <w:sz w:val="24"/>
          <w:szCs w:val="24"/>
          <w:highlight w:val="none"/>
        </w:rPr>
      </w:pPr>
      <w:bookmarkStart w:id="287" w:name="_Toc152922633"/>
      <w:bookmarkStart w:id="288" w:name="_Toc117150248"/>
      <w:bookmarkStart w:id="289" w:name="_Toc152923314"/>
      <w:bookmarkStart w:id="290" w:name="_Toc152922039"/>
      <w:bookmarkStart w:id="291" w:name="_Toc152921674"/>
      <w:r>
        <w:rPr>
          <w:rFonts w:hint="default" w:ascii="Times New Roman" w:hAnsi="Times New Roman" w:eastAsia="宋体" w:cs="Times New Roman"/>
          <w:b w:val="0"/>
          <w:bCs w:val="0"/>
          <w:color w:val="auto"/>
          <w:sz w:val="24"/>
          <w:szCs w:val="24"/>
          <w:highlight w:val="none"/>
          <w:lang w:eastAsia="zh-CN"/>
        </w:rPr>
        <w:t>田家庵经开区</w:t>
      </w:r>
      <w:r>
        <w:rPr>
          <w:rFonts w:hint="default" w:ascii="Times New Roman" w:hAnsi="Times New Roman" w:eastAsia="宋体" w:cs="Times New Roman"/>
          <w:b w:val="0"/>
          <w:bCs w:val="0"/>
          <w:color w:val="auto"/>
          <w:sz w:val="24"/>
          <w:szCs w:val="24"/>
          <w:highlight w:val="none"/>
        </w:rPr>
        <w:t>位于淮河以南，属淮河流域，邻近区域的地表水体主要有淮河、窑河、西淝河、茨淮新河、泥黑河等，均属淮河水系。</w:t>
      </w:r>
    </w:p>
    <w:p w14:paraId="39F53039">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淮河流域西起桐柏山和伏牛山，南以大别山和江淮丘陵与长江流域分界，北以黄河南堤和沂蒙山与黄河流域分界。淮河流域由淮河与泗、沂、沭河两大水系组成，流域面积29万km2，其中淮河水系为21万km</w:t>
      </w:r>
      <w:r>
        <w:rPr>
          <w:rFonts w:hint="default" w:ascii="Times New Roman" w:hAnsi="Times New Roman" w:eastAsia="宋体" w:cs="Times New Roman"/>
          <w:b w:val="0"/>
          <w:bCs w:val="0"/>
          <w:color w:val="auto"/>
          <w:sz w:val="24"/>
          <w:szCs w:val="24"/>
          <w:highlight w:val="none"/>
          <w:vertAlign w:val="superscript"/>
        </w:rPr>
        <w:t>2</w:t>
      </w:r>
      <w:r>
        <w:rPr>
          <w:rFonts w:hint="default" w:ascii="Times New Roman" w:hAnsi="Times New Roman" w:eastAsia="宋体" w:cs="Times New Roman"/>
          <w:b w:val="0"/>
          <w:bCs w:val="0"/>
          <w:color w:val="auto"/>
          <w:sz w:val="24"/>
          <w:szCs w:val="24"/>
          <w:highlight w:val="none"/>
        </w:rPr>
        <w:t>，泗、沂、沭河水系为8万km2。淮河是我国五大水系之一，发源于河南省桐柏山北麓，流经河南、安徽至江苏扬州三江营入长江。历史上淮河是一条独流入海的河流，公元1194年黄河第四次决堤南泛夺淮，至1855年黄河改道北经山东利津入海的661年间，黄河挟带的大量泥沙淤塞了淮河入海尾闾，逐使淮河改道经三河、高宝湖穿运河至三江营流入长江。</w:t>
      </w:r>
    </w:p>
    <w:p w14:paraId="222D8721">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淮河干流全长1000km，总落差200m，平均比降0.2‰。豫皖两省交界的洪河口以上为上游，长360km，落差177m，比降0.5‰，流域面积3万km2；洪河口至洪泽湖三河闸为中游，长490km，原有落差16m，自三河闸控制后，平均比降0.027‰，流域面积16万km2；洪泽湖以下为下游，流域面积3万km2，入江水道长150km，平均比降0.036‰。淮河干流安徽段上自阜南县洪河口，下至明光市洪山头，全长430km，上承河南大量迅猛来水，下受洪泽湖顶托，中间有天然三峡</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峡山口、荆山峡、浮山峡</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阻水。平水河槽宽一般为260～320m，平均深3～6m；洪水河槽宽度，蚌埠上下一般约1000～1250m，峡山口仅400m，平均深度6.5～7.5m。淮河干流安徽段地势平缓，蓄水能力差，汛期河水暴涨，易泛滥成灾，干旱时期则河流断流。1949年～2005年，安徽省淮河流域水灾面积在1000万亩以上的有10多年，旱灾面积在1000万亩以上的也有10多年。淮河中上游支流多，流域面积大于1000km</w:t>
      </w:r>
      <w:r>
        <w:rPr>
          <w:rFonts w:hint="default" w:ascii="Times New Roman" w:hAnsi="Times New Roman" w:eastAsia="宋体" w:cs="Times New Roman"/>
          <w:b w:val="0"/>
          <w:bCs w:val="0"/>
          <w:color w:val="auto"/>
          <w:sz w:val="24"/>
          <w:szCs w:val="24"/>
          <w:highlight w:val="none"/>
          <w:vertAlign w:val="superscript"/>
          <w:lang w:val="en-US" w:eastAsia="zh-CN"/>
        </w:rPr>
        <w:t>2</w:t>
      </w:r>
      <w:r>
        <w:rPr>
          <w:rFonts w:hint="default" w:ascii="Times New Roman" w:hAnsi="Times New Roman" w:eastAsia="宋体" w:cs="Times New Roman"/>
          <w:b w:val="0"/>
          <w:bCs w:val="0"/>
          <w:color w:val="auto"/>
          <w:sz w:val="24"/>
          <w:szCs w:val="24"/>
          <w:highlight w:val="none"/>
        </w:rPr>
        <w:t>的一级支流21条，其中大于2000km</w:t>
      </w:r>
      <w:r>
        <w:rPr>
          <w:rFonts w:hint="default" w:ascii="Times New Roman" w:hAnsi="Times New Roman" w:eastAsia="宋体" w:cs="Times New Roman"/>
          <w:b w:val="0"/>
          <w:bCs w:val="0"/>
          <w:color w:val="auto"/>
          <w:sz w:val="24"/>
          <w:szCs w:val="24"/>
          <w:highlight w:val="none"/>
          <w:vertAlign w:val="superscript"/>
        </w:rPr>
        <w:t>2</w:t>
      </w:r>
      <w:r>
        <w:rPr>
          <w:rFonts w:hint="default" w:ascii="Times New Roman" w:hAnsi="Times New Roman" w:eastAsia="宋体" w:cs="Times New Roman"/>
          <w:b w:val="0"/>
          <w:bCs w:val="0"/>
          <w:color w:val="auto"/>
          <w:sz w:val="24"/>
          <w:szCs w:val="24"/>
          <w:highlight w:val="none"/>
        </w:rPr>
        <w:t>的有16条，其它小支流达180条以上。淮河主要支流北岸有洪河、颍河、黑茨河、汾泉河、包浍河、沱河、涡河、奎濉河等跨省河流，安徽省境内淮河北岸支流有谷河、润河、八里河、泥黑河、茨河、北淝河等，淮河南岸主要支流有史河、淠河、沣河、汲河、东淝河、窑河、天河、池河、白塔河等，均发源于安徽省境内，并在安徽境内入淮河。</w:t>
      </w:r>
    </w:p>
    <w:p w14:paraId="196ECCB9">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淮河淮南段居淮河中游，是全市工农业生产</w:t>
      </w:r>
      <w:r>
        <w:rPr>
          <w:rFonts w:hint="eastAsia" w:cs="Times New Roman"/>
          <w:b w:val="0"/>
          <w:bCs w:val="0"/>
          <w:color w:val="auto"/>
          <w:sz w:val="24"/>
          <w:szCs w:val="24"/>
          <w:highlight w:val="none"/>
          <w:lang w:eastAsia="zh-CN"/>
        </w:rPr>
        <w:t>和</w:t>
      </w:r>
      <w:r>
        <w:rPr>
          <w:rFonts w:hint="default" w:ascii="Times New Roman" w:hAnsi="Times New Roman" w:eastAsia="宋体" w:cs="Times New Roman"/>
          <w:b w:val="0"/>
          <w:bCs w:val="0"/>
          <w:color w:val="auto"/>
          <w:sz w:val="24"/>
          <w:szCs w:val="24"/>
          <w:highlight w:val="none"/>
        </w:rPr>
        <w:t>人民生活的主要水源。淮河在淮南境内的主要支流有济河、西淝河、东淝河、岗河、架河、泥河、连云港河、永新河、茨淮新河、窑河。淮河在淮南境内长76.13km，河道宽一般400m左右，枯水期河道宽250～300m，丰水期河道宽400～800m，净水域面积21.5km</w:t>
      </w:r>
      <w:r>
        <w:rPr>
          <w:rFonts w:hint="default" w:ascii="Times New Roman" w:hAnsi="Times New Roman" w:eastAsia="宋体" w:cs="Times New Roman"/>
          <w:b w:val="0"/>
          <w:bCs w:val="0"/>
          <w:color w:val="auto"/>
          <w:sz w:val="24"/>
          <w:szCs w:val="24"/>
          <w:highlight w:val="none"/>
          <w:vertAlign w:val="superscript"/>
        </w:rPr>
        <w:t>2</w:t>
      </w:r>
      <w:r>
        <w:rPr>
          <w:rFonts w:hint="default" w:ascii="Times New Roman" w:hAnsi="Times New Roman" w:eastAsia="宋体" w:cs="Times New Roman"/>
          <w:b w:val="0"/>
          <w:bCs w:val="0"/>
          <w:color w:val="auto"/>
          <w:sz w:val="24"/>
          <w:szCs w:val="24"/>
          <w:highlight w:val="none"/>
        </w:rPr>
        <w:t>。建闸后，最低水位15.13m，年平均流量813m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/s。淮河干流淮南段，90%保证率的多年平均流量300m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/s，多年最枯月平均流量20m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/s，近10年最枯月平均流量53.7m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/s，平均含沙量0.581kg/m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最大流速2.22m/s，一般流速0.7～1.0m/s。淮河淮南段还是淮南市排污的主要纳污水域，沿岸共分布有17个排污口，其中有5个排污口在凤台县境内，属淮南市区河段的有12个主要排污口分布于该河段的南岸边。据鲁台子水文站观测资料，淮河历年最大流量12700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/s，年均流量686m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/s，最小流量0.00m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/s；历年平均含沙量0.503kg/m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，历年最大含沙量17.2kg/m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，历年最小含沙量0.002kg/m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w:t>
      </w:r>
    </w:p>
    <w:p w14:paraId="669F7E83">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田家庵区有老</w:t>
      </w:r>
      <w:r>
        <w:rPr>
          <w:rFonts w:hint="default" w:ascii="Times New Roman" w:hAnsi="Times New Roman" w:eastAsia="宋体" w:cs="Times New Roman"/>
          <w:b w:val="0"/>
          <w:bCs w:val="0"/>
          <w:color w:val="auto"/>
          <w:sz w:val="24"/>
          <w:szCs w:val="24"/>
          <w:highlight w:val="none"/>
          <w:lang w:val="en-US" w:eastAsia="zh-CN"/>
        </w:rPr>
        <w:t>龙</w:t>
      </w:r>
      <w:r>
        <w:rPr>
          <w:rFonts w:hint="default" w:ascii="Times New Roman" w:hAnsi="Times New Roman" w:eastAsia="宋体" w:cs="Times New Roman"/>
          <w:b w:val="0"/>
          <w:bCs w:val="0"/>
          <w:color w:val="auto"/>
          <w:sz w:val="24"/>
          <w:szCs w:val="24"/>
          <w:highlight w:val="none"/>
        </w:rPr>
        <w:t>眼水库、泉山水库、十涧湖，北部抵千里淮河。十涧湖，位于田家庵区与谢家集区之间，汇聚舜耕山系西端诸山来水，与谢二矿采煤塌陷区成湖相连通，下与淮河以耿石涵相沟通。石涧湖汇水面积36.13平方公里，控制水位汛期17.3～17.5米，相应水面2.25平方公里；非汛期17.8～18米，相应水面2.62平方公里。</w:t>
      </w:r>
    </w:p>
    <w:p w14:paraId="6046A95B">
      <w:pPr>
        <w:pStyle w:val="352"/>
        <w:ind w:firstLine="480"/>
        <w:rPr>
          <w:rFonts w:hint="default" w:ascii="Times New Roman" w:hAnsi="Times New Roman" w:eastAsia="宋体" w:cs="Times New Roman"/>
          <w:color w:val="auto"/>
          <w:spacing w:val="0"/>
          <w:position w:val="0"/>
          <w:sz w:val="24"/>
          <w:szCs w:val="24"/>
          <w:highlight w:val="none"/>
        </w:rPr>
      </w:pPr>
      <w:r>
        <w:rPr>
          <w:rFonts w:hint="default" w:ascii="Times New Roman" w:hAnsi="Times New Roman" w:eastAsia="宋体" w:cs="Times New Roman"/>
          <w:b w:val="0"/>
          <w:bCs w:val="0"/>
          <w:color w:val="auto"/>
          <w:sz w:val="24"/>
          <w:szCs w:val="24"/>
          <w:highlight w:val="none"/>
        </w:rPr>
        <w:t>田家庵区淮南现代产业园</w:t>
      </w:r>
      <w:r>
        <w:rPr>
          <w:rFonts w:hint="default" w:ascii="Times New Roman" w:hAnsi="Times New Roman" w:eastAsia="宋体" w:cs="Times New Roman"/>
          <w:b w:val="0"/>
          <w:bCs w:val="0"/>
          <w:color w:val="auto"/>
          <w:sz w:val="24"/>
          <w:szCs w:val="24"/>
          <w:highlight w:val="none"/>
          <w:lang w:eastAsia="zh-CN"/>
        </w:rPr>
        <w:t>污水处理站</w:t>
      </w:r>
      <w:r>
        <w:rPr>
          <w:rFonts w:hint="default" w:ascii="Times New Roman" w:hAnsi="Times New Roman" w:eastAsia="宋体" w:cs="Times New Roman"/>
          <w:b w:val="0"/>
          <w:bCs w:val="0"/>
          <w:color w:val="auto"/>
          <w:sz w:val="24"/>
          <w:szCs w:val="24"/>
          <w:highlight w:val="none"/>
        </w:rPr>
        <w:t>尾水排入林桥涧沟，最终汇入瓦埠湖。瓦埠湖属于东淝河水系，东淝河发源于江淮分水岭北侧，东与池河、窑河流域为界，西邻淠河流域，北抵淮河，流域面积4193km</w:t>
      </w:r>
      <w:r>
        <w:rPr>
          <w:rFonts w:hint="default" w:ascii="Times New Roman" w:hAnsi="Times New Roman" w:eastAsia="宋体" w:cs="Times New Roman"/>
          <w:b w:val="0"/>
          <w:bCs w:val="0"/>
          <w:color w:val="auto"/>
          <w:sz w:val="24"/>
          <w:szCs w:val="24"/>
          <w:highlight w:val="none"/>
          <w:vertAlign w:val="superscript"/>
        </w:rPr>
        <w:t>2</w:t>
      </w:r>
      <w:r>
        <w:rPr>
          <w:rFonts w:hint="default" w:ascii="Times New Roman" w:hAnsi="Times New Roman" w:eastAsia="宋体" w:cs="Times New Roman"/>
          <w:b w:val="0"/>
          <w:bCs w:val="0"/>
          <w:color w:val="auto"/>
          <w:sz w:val="24"/>
          <w:szCs w:val="24"/>
          <w:highlight w:val="none"/>
        </w:rPr>
        <w:t>。瓦埠湖是淮河中游较大的湖泊之一，瓦埠湖是受黄泛影响，河道淤积，河床抬高，淮水不断上涨，东淝河出口排水不畅，在其中部低洼处形成的狭长湖泊，属河流型湖泊，具有防洪、灌溉、养殖、供水及旅游等多种功能，湖面狭长，滩多水浅，南北长约51km，湖宽最宽处约6km，平水面积160km</w:t>
      </w:r>
      <w:r>
        <w:rPr>
          <w:rFonts w:hint="default" w:ascii="Times New Roman" w:hAnsi="Times New Roman" w:eastAsia="宋体" w:cs="Times New Roman"/>
          <w:b w:val="0"/>
          <w:bCs w:val="0"/>
          <w:color w:val="auto"/>
          <w:sz w:val="24"/>
          <w:szCs w:val="24"/>
          <w:highlight w:val="none"/>
          <w:vertAlign w:val="superscript"/>
        </w:rPr>
        <w:t>2</w:t>
      </w:r>
      <w:r>
        <w:rPr>
          <w:rFonts w:hint="default" w:ascii="Times New Roman" w:hAnsi="Times New Roman" w:eastAsia="宋体" w:cs="Times New Roman"/>
          <w:b w:val="0"/>
          <w:bCs w:val="0"/>
          <w:color w:val="auto"/>
          <w:sz w:val="24"/>
          <w:szCs w:val="24"/>
          <w:highlight w:val="none"/>
        </w:rPr>
        <w:t>，丰水面积168km</w:t>
      </w:r>
      <w:r>
        <w:rPr>
          <w:rFonts w:hint="default" w:ascii="Times New Roman" w:hAnsi="Times New Roman" w:eastAsia="宋体" w:cs="Times New Roman"/>
          <w:b w:val="0"/>
          <w:bCs w:val="0"/>
          <w:color w:val="auto"/>
          <w:sz w:val="24"/>
          <w:szCs w:val="24"/>
          <w:highlight w:val="none"/>
          <w:vertAlign w:val="superscript"/>
        </w:rPr>
        <w:t>2</w:t>
      </w:r>
      <w:r>
        <w:rPr>
          <w:rFonts w:hint="default" w:ascii="Times New Roman" w:hAnsi="Times New Roman" w:eastAsia="宋体" w:cs="Times New Roman"/>
          <w:b w:val="0"/>
          <w:bCs w:val="0"/>
          <w:color w:val="auto"/>
          <w:sz w:val="24"/>
          <w:szCs w:val="24"/>
          <w:highlight w:val="none"/>
        </w:rPr>
        <w:t>，枯水面积156km</w:t>
      </w:r>
      <w:r>
        <w:rPr>
          <w:rFonts w:hint="default" w:ascii="Times New Roman" w:hAnsi="Times New Roman" w:eastAsia="宋体" w:cs="Times New Roman"/>
          <w:b w:val="0"/>
          <w:bCs w:val="0"/>
          <w:color w:val="auto"/>
          <w:sz w:val="24"/>
          <w:szCs w:val="24"/>
          <w:highlight w:val="none"/>
          <w:vertAlign w:val="superscript"/>
        </w:rPr>
        <w:t>2</w:t>
      </w:r>
      <w:r>
        <w:rPr>
          <w:rFonts w:hint="default" w:ascii="Times New Roman" w:hAnsi="Times New Roman" w:eastAsia="宋体" w:cs="Times New Roman"/>
          <w:b w:val="0"/>
          <w:bCs w:val="0"/>
          <w:color w:val="auto"/>
          <w:sz w:val="24"/>
          <w:szCs w:val="24"/>
          <w:highlight w:val="none"/>
        </w:rPr>
        <w:t>，丰水位18.9m，枯水位15.5m，最大深度4.5m，湖底高程15.5m。流域呈扇形，属丘陵区。西自龙穴山，东北至吴山庙江淮分水岭以北的来水，分两支汇入瓦埠湖，一支源出肥西的大潜山，一支出自六安的龙穴山，两支于董铺汇合后进入平原，至白洋淀进入湖区。湖水经东淝河下段与寿县北五里庙，过东淝河闸，北流至赵台子注入淮河。瓦埠湖正常蓄水位为17.50m，相应库容为1.67亿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；湖水位18.0m时，相应库容2.2亿m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；湖水位19.0m时，相应库容4.0亿m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；湖水位为20.0m时，蓄水量为6.4亿m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；蓄水位为22.0m时，蓄水量为12.9亿m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b w:val="0"/>
          <w:bCs w:val="0"/>
          <w:color w:val="auto"/>
          <w:sz w:val="24"/>
          <w:szCs w:val="24"/>
          <w:highlight w:val="none"/>
        </w:rPr>
        <w:t>；死水位16.5m，相应库容0.66亿m</w:t>
      </w:r>
      <w:r>
        <w:rPr>
          <w:rFonts w:hint="default" w:ascii="Times New Roman" w:hAnsi="Times New Roman" w:eastAsia="宋体" w:cs="Times New Roman"/>
          <w:b w:val="0"/>
          <w:bCs w:val="0"/>
          <w:color w:val="auto"/>
          <w:sz w:val="24"/>
          <w:szCs w:val="24"/>
          <w:highlight w:val="none"/>
          <w:vertAlign w:val="superscript"/>
        </w:rPr>
        <w:t>3</w:t>
      </w:r>
      <w:r>
        <w:rPr>
          <w:rFonts w:hint="default" w:ascii="Times New Roman" w:hAnsi="Times New Roman" w:eastAsia="宋体" w:cs="Times New Roman"/>
          <w:color w:val="auto"/>
          <w:spacing w:val="0"/>
          <w:position w:val="0"/>
          <w:sz w:val="24"/>
          <w:szCs w:val="24"/>
          <w:highlight w:val="none"/>
        </w:rPr>
        <w:t>。</w:t>
      </w:r>
    </w:p>
    <w:p w14:paraId="1476166F">
      <w:pPr>
        <w:pStyle w:val="352"/>
        <w:keepNext w:val="0"/>
        <w:keepLines w:val="0"/>
        <w:pageBreakBefore w:val="0"/>
        <w:widowControl w:val="0"/>
        <w:kinsoku/>
        <w:wordWrap/>
        <w:overflowPunct/>
        <w:topLinePunct w:val="0"/>
        <w:autoSpaceDE/>
        <w:autoSpaceDN/>
        <w:bidi w:val="0"/>
        <w:adjustRightInd/>
        <w:snapToGrid w:val="0"/>
        <w:ind w:firstLine="0" w:firstLineChars="0"/>
        <w:textAlignment w:val="auto"/>
        <w:rPr>
          <w:color w:val="auto"/>
          <w:highlight w:val="none"/>
        </w:rPr>
      </w:pPr>
      <w:r>
        <w:rPr>
          <w:color w:val="auto"/>
          <w:sz w:val="24"/>
          <w:highlight w:val="none"/>
        </w:rPr>
        <mc:AlternateContent>
          <mc:Choice Requires="wps">
            <w:drawing>
              <wp:anchor distT="0" distB="0" distL="114300" distR="114300" simplePos="0" relativeHeight="251732992" behindDoc="0" locked="0" layoutInCell="1" allowOverlap="1">
                <wp:simplePos x="0" y="0"/>
                <wp:positionH relativeFrom="column">
                  <wp:posOffset>3376930</wp:posOffset>
                </wp:positionH>
                <wp:positionV relativeFrom="paragraph">
                  <wp:posOffset>3507105</wp:posOffset>
                </wp:positionV>
                <wp:extent cx="563880" cy="531495"/>
                <wp:effectExtent l="5080" t="4445" r="21590" b="16510"/>
                <wp:wrapNone/>
                <wp:docPr id="296" name="矩形 813"/>
                <wp:cNvGraphicFramePr/>
                <a:graphic xmlns:a="http://schemas.openxmlformats.org/drawingml/2006/main">
                  <a:graphicData uri="http://schemas.microsoft.com/office/word/2010/wordprocessingShape">
                    <wps:wsp>
                      <wps:cNvSpPr/>
                      <wps:spPr>
                        <a:xfrm>
                          <a:off x="0" y="0"/>
                          <a:ext cx="563880" cy="531495"/>
                        </a:xfrm>
                        <a:prstGeom prst="rect">
                          <a:avLst/>
                        </a:prstGeom>
                        <a:solidFill>
                          <a:srgbClr val="FFFFFF">
                            <a:alpha val="0"/>
                          </a:srgbClr>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13" o:spid="_x0000_s1026" o:spt="1" style="position:absolute;left:0pt;margin-left:265.9pt;margin-top:276.15pt;height:41.85pt;width:44.4pt;z-index:251732992;mso-width-relative:page;mso-height-relative:page;" fillcolor="#FFFFFF" filled="t" stroked="t" coordsize="21600,21600" o:gfxdata="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0WTI79kAAAALAQAADwAAAAAAAAABACAAAAAiAAAAZHJzL2Rvd25yZXYueG1sUEsBAhQA&#10;FAAAAAgAh07iQJW9BtsqAgAAcQQAAA4AAAAAAAAAAQAgAAAAKAEAAGRycy9lMm9Eb2MueG1sUEsF&#10;BgAAAAAGAAYAWQEAAMQFAAAAAA==&#10;">
                <v:fill on="t" opacity="0f" focussize="0,0"/>
                <v:stroke color="#000000" joinstyle="miter"/>
                <v:imagedata o:title=""/>
                <o:lock v:ext="edit" aspectratio="f"/>
              </v:rect>
            </w:pict>
          </mc:Fallback>
        </mc:AlternateContent>
      </w:r>
      <w:r>
        <w:rPr>
          <w:color w:val="auto"/>
          <w:sz w:val="24"/>
          <w:highlight w:val="none"/>
        </w:rPr>
        <mc:AlternateContent>
          <mc:Choice Requires="wps">
            <w:drawing>
              <wp:anchor distT="0" distB="0" distL="114300" distR="114300" simplePos="0" relativeHeight="251736064" behindDoc="0" locked="0" layoutInCell="1" allowOverlap="1">
                <wp:simplePos x="0" y="0"/>
                <wp:positionH relativeFrom="column">
                  <wp:posOffset>1945640</wp:posOffset>
                </wp:positionH>
                <wp:positionV relativeFrom="paragraph">
                  <wp:posOffset>4174490</wp:posOffset>
                </wp:positionV>
                <wp:extent cx="987425" cy="222250"/>
                <wp:effectExtent l="33655" t="5080" r="7620" b="229870"/>
                <wp:wrapNone/>
                <wp:docPr id="299" name="自选图形 812"/>
                <wp:cNvGraphicFramePr/>
                <a:graphic xmlns:a="http://schemas.openxmlformats.org/drawingml/2006/main">
                  <a:graphicData uri="http://schemas.microsoft.com/office/word/2010/wordprocessingShape">
                    <wps:wsp>
                      <wps:cNvSpPr/>
                      <wps:spPr>
                        <a:xfrm>
                          <a:off x="0" y="0"/>
                          <a:ext cx="987425" cy="222250"/>
                        </a:xfrm>
                        <a:prstGeom prst="wedgeRectCallout">
                          <a:avLst>
                            <a:gd name="adj1" fmla="val -51537"/>
                            <a:gd name="adj2" fmla="val 144856"/>
                          </a:avLst>
                        </a:prstGeom>
                        <a:solidFill>
                          <a:srgbClr val="FFFFFF"/>
                        </a:solidFill>
                        <a:ln w="9525" cap="flat" cmpd="sng">
                          <a:solidFill>
                            <a:srgbClr val="000000"/>
                          </a:solidFill>
                          <a:prstDash val="solid"/>
                          <a:miter/>
                          <a:headEnd type="none" w="med" len="med"/>
                          <a:tailEnd type="none" w="med" len="med"/>
                        </a:ln>
                      </wps:spPr>
                      <wps:txbx>
                        <w:txbxContent>
                          <w:p w14:paraId="35B31A17">
                            <w:pPr>
                              <w:rPr>
                                <w:rFonts w:hint="default" w:eastAsia="宋体"/>
                                <w:lang w:val="en-US" w:eastAsia="zh-CN"/>
                              </w:rPr>
                            </w:pPr>
                            <w:r>
                              <w:rPr>
                                <w:rFonts w:hint="eastAsia"/>
                                <w:lang w:val="en-US" w:eastAsia="zh-CN"/>
                              </w:rPr>
                              <w:t>本项目所在地</w:t>
                            </w:r>
                          </w:p>
                        </w:txbxContent>
                      </wps:txbx>
                      <wps:bodyPr vert="horz" wrap="square" lIns="0" tIns="0" rIns="0" bIns="0" anchor="t" anchorCtr="0" upright="1"/>
                    </wps:wsp>
                  </a:graphicData>
                </a:graphic>
              </wp:anchor>
            </w:drawing>
          </mc:Choice>
          <mc:Fallback>
            <w:pict>
              <v:shape id="自选图形 812" o:spid="_x0000_s1026" o:spt="61" type="#_x0000_t61" style="position:absolute;left:0pt;margin-left:153.2pt;margin-top:328.7pt;height:17.5pt;width:77.75pt;z-index:251736064;mso-width-relative:page;mso-height-relative:page;" fillcolor="#FFFFFF" filled="t" stroked="t" coordsize="21600,21600" o:gfxdata="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bf2SP3AAAAAsBAAAPAAAAAAAAAAEAIAAAACIAAABkcnMvZG93bnJldi54&#10;bWxQSwECFAAUAAAACACHTuJA6HUXeGgCAADoBAAADgAAAAAAAAABACAAAAArAQAAZHJzL2Uyb0Rv&#10;Yy54bWxQSwUGAAAAAAYABgBZAQAABQYAAAAA&#10;" adj="-332,42089">
                <v:fill on="t" focussize="0,0"/>
                <v:stroke color="#000000" joinstyle="miter"/>
                <v:imagedata o:title=""/>
                <o:lock v:ext="edit" aspectratio="f"/>
                <v:textbox inset="0mm,0mm,0mm,0mm">
                  <w:txbxContent>
                    <w:p w14:paraId="35B31A17">
                      <w:pPr>
                        <w:rPr>
                          <w:rFonts w:hint="default" w:eastAsia="宋体"/>
                          <w:lang w:val="en-US" w:eastAsia="zh-CN"/>
                        </w:rPr>
                      </w:pPr>
                      <w:r>
                        <w:rPr>
                          <w:rFonts w:hint="eastAsia"/>
                          <w:lang w:val="en-US" w:eastAsia="zh-CN"/>
                        </w:rPr>
                        <w:t>本项目所在地</w:t>
                      </w:r>
                    </w:p>
                  </w:txbxContent>
                </v:textbox>
              </v:shape>
            </w:pict>
          </mc:Fallback>
        </mc:AlternateContent>
      </w:r>
      <w:r>
        <w:rPr>
          <w:color w:val="auto"/>
          <w:highlight w:val="none"/>
        </w:rPr>
        <w:drawing>
          <wp:inline distT="0" distB="0" distL="114300" distR="114300">
            <wp:extent cx="5836285" cy="8255000"/>
            <wp:effectExtent l="0" t="0" r="12065" b="12700"/>
            <wp:docPr id="563" name="图片 226" descr="04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226" descr="04水系图"/>
                    <pic:cNvPicPr>
                      <a:picLocks noChangeAspect="1"/>
                    </pic:cNvPicPr>
                  </pic:nvPicPr>
                  <pic:blipFill>
                    <a:blip r:embed="rId45"/>
                    <a:stretch>
                      <a:fillRect/>
                    </a:stretch>
                  </pic:blipFill>
                  <pic:spPr>
                    <a:xfrm>
                      <a:off x="0" y="0"/>
                      <a:ext cx="5836285" cy="8255000"/>
                    </a:xfrm>
                    <a:prstGeom prst="rect">
                      <a:avLst/>
                    </a:prstGeom>
                    <a:noFill/>
                    <a:ln>
                      <a:noFill/>
                    </a:ln>
                  </pic:spPr>
                </pic:pic>
              </a:graphicData>
            </a:graphic>
          </wp:inline>
        </w:drawing>
      </w:r>
      <w:r>
        <w:rPr>
          <w:color w:val="auto"/>
          <w:highlight w:val="none"/>
        </w:rPr>
        <w:drawing>
          <wp:anchor distT="0" distB="0" distL="114300" distR="114300" simplePos="0" relativeHeight="251698176" behindDoc="0" locked="0" layoutInCell="1" allowOverlap="1">
            <wp:simplePos x="0" y="0"/>
            <wp:positionH relativeFrom="column">
              <wp:posOffset>222250</wp:posOffset>
            </wp:positionH>
            <wp:positionV relativeFrom="paragraph">
              <wp:posOffset>3913505</wp:posOffset>
            </wp:positionV>
            <wp:extent cx="2335530" cy="2662555"/>
            <wp:effectExtent l="9525" t="9525" r="17145" b="13970"/>
            <wp:wrapNone/>
            <wp:docPr id="232"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810"/>
                    <pic:cNvPicPr>
                      <a:picLocks noChangeAspect="1"/>
                    </pic:cNvPicPr>
                  </pic:nvPicPr>
                  <pic:blipFill>
                    <a:blip r:embed="rId46"/>
                    <a:stretch>
                      <a:fillRect/>
                    </a:stretch>
                  </pic:blipFill>
                  <pic:spPr>
                    <a:xfrm>
                      <a:off x="0" y="0"/>
                      <a:ext cx="2335530" cy="2662555"/>
                    </a:xfrm>
                    <a:prstGeom prst="rect">
                      <a:avLst/>
                    </a:prstGeom>
                    <a:noFill/>
                    <a:ln w="9525" cap="flat" cmpd="sng">
                      <a:solidFill>
                        <a:srgbClr val="0000FF"/>
                      </a:solidFill>
                      <a:prstDash val="solid"/>
                      <a:miter/>
                      <a:headEnd type="none" w="med" len="med"/>
                      <a:tailEnd type="none" w="med" len="med"/>
                    </a:ln>
                  </pic:spPr>
                </pic:pic>
              </a:graphicData>
            </a:graphic>
          </wp:anchor>
        </w:drawing>
      </w:r>
      <w:r>
        <w:rPr>
          <w:color w:val="auto"/>
          <w:sz w:val="24"/>
          <w:highlight w:val="none"/>
        </w:rPr>
        <mc:AlternateContent>
          <mc:Choice Requires="wps">
            <w:drawing>
              <wp:anchor distT="0" distB="0" distL="114300" distR="114300" simplePos="0" relativeHeight="251735040" behindDoc="0" locked="0" layoutInCell="1" allowOverlap="1">
                <wp:simplePos x="0" y="0"/>
                <wp:positionH relativeFrom="column">
                  <wp:posOffset>1876425</wp:posOffset>
                </wp:positionH>
                <wp:positionV relativeFrom="paragraph">
                  <wp:posOffset>4605655</wp:posOffset>
                </wp:positionV>
                <wp:extent cx="76200" cy="84455"/>
                <wp:effectExtent l="4445" t="4445" r="14605" b="6350"/>
                <wp:wrapNone/>
                <wp:docPr id="298" name="矩形 811"/>
                <wp:cNvGraphicFramePr/>
                <a:graphic xmlns:a="http://schemas.openxmlformats.org/drawingml/2006/main">
                  <a:graphicData uri="http://schemas.microsoft.com/office/word/2010/wordprocessingShape">
                    <wps:wsp>
                      <wps:cNvSpPr/>
                      <wps:spPr>
                        <a:xfrm>
                          <a:off x="0" y="0"/>
                          <a:ext cx="76200" cy="84455"/>
                        </a:xfrm>
                        <a:prstGeom prst="rect">
                          <a:avLst/>
                        </a:prstGeom>
                        <a:solidFill>
                          <a:srgbClr val="FFFFFF"/>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811" o:spid="_x0000_s1026" o:spt="1" style="position:absolute;left:0pt;margin-left:147.75pt;margin-top:362.65pt;height:6.65pt;width:6pt;z-index:251735040;mso-width-relative:page;mso-height-relative:page;" fillcolor="#FFFFFF" filled="t" stroked="t" coordsize="21600,21600" o:gfxdata="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h+DyTZAAAACwEA&#10;AA8AAAAAAAAAAQAgAAAAIgAAAGRycy9kb3ducmV2LnhtbFBLAQIUABQAAAAIAIdO4kB0pyJNGQIA&#10;AFIEAAAOAAAAAAAAAAEAIAAAACgBAABkcnMvZTJvRG9jLnhtbFBLBQYAAAAABgAGAFkBAACzBQAA&#10;AAA=&#10;">
                <v:fill on="t" focussize="0,0"/>
                <v:stroke color="#000000" joinstyle="miter"/>
                <v:imagedata o:title=""/>
                <o:lock v:ext="edit" aspectratio="f"/>
              </v:rect>
            </w:pict>
          </mc:Fallback>
        </mc:AlternateContent>
      </w:r>
    </w:p>
    <w:p w14:paraId="3EBE81DC">
      <w:pPr>
        <w:pStyle w:val="352"/>
        <w:keepNext w:val="0"/>
        <w:keepLines w:val="0"/>
        <w:pageBreakBefore w:val="0"/>
        <w:widowControl w:val="0"/>
        <w:kinsoku/>
        <w:wordWrap/>
        <w:overflowPunct/>
        <w:topLinePunct w:val="0"/>
        <w:autoSpaceDE/>
        <w:autoSpaceDN/>
        <w:bidi w:val="0"/>
        <w:adjustRightInd/>
        <w:snapToGrid w:val="0"/>
        <w:ind w:firstLine="0" w:firstLineChars="0"/>
        <w:jc w:val="center"/>
        <w:textAlignment w:val="auto"/>
        <w:rPr>
          <w:rFonts w:hint="default" w:eastAsia="宋体"/>
          <w:b/>
          <w:bCs/>
          <w:color w:val="auto"/>
          <w:highlight w:val="none"/>
          <w:lang w:val="en-US" w:eastAsia="zh-CN"/>
        </w:rPr>
      </w:pPr>
      <w:r>
        <w:rPr>
          <w:rFonts w:hint="eastAsia"/>
          <w:b/>
          <w:bCs/>
          <w:color w:val="auto"/>
          <w:highlight w:val="none"/>
          <w:lang w:val="en-US" w:eastAsia="zh-CN"/>
        </w:rPr>
        <w:t>图4.1-1  淮南市水系图</w:t>
      </w:r>
    </w:p>
    <w:p w14:paraId="481C785E">
      <w:pPr>
        <w:pStyle w:val="4"/>
        <w:spacing w:after="156"/>
        <w:rPr>
          <w:rFonts w:hint="eastAsia"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4.1.5土壤地质</w:t>
      </w:r>
      <w:bookmarkEnd w:id="287"/>
      <w:bookmarkEnd w:id="288"/>
      <w:bookmarkEnd w:id="289"/>
      <w:bookmarkEnd w:id="290"/>
      <w:bookmarkEnd w:id="291"/>
    </w:p>
    <w:p w14:paraId="72766C89">
      <w:pPr>
        <w:pStyle w:val="352"/>
        <w:ind w:firstLine="480"/>
        <w:rPr>
          <w:rFonts w:ascii="宋体" w:hAnsi="宋体" w:eastAsia="宋体" w:cs="宋体"/>
          <w:b w:val="0"/>
          <w:bCs w:val="0"/>
          <w:color w:val="auto"/>
          <w:sz w:val="24"/>
          <w:szCs w:val="24"/>
          <w:highlight w:val="none"/>
        </w:rPr>
      </w:pPr>
      <w:r>
        <w:rPr>
          <w:rFonts w:hint="default" w:ascii="宋体" w:hAnsi="宋体" w:eastAsia="宋体" w:cs="宋体"/>
          <w:b w:val="0"/>
          <w:bCs w:val="0"/>
          <w:color w:val="auto"/>
          <w:sz w:val="24"/>
          <w:szCs w:val="24"/>
          <w:highlight w:val="none"/>
        </w:rPr>
        <w:t>淮南地区的土壤主要为黄棕壤和水稻土，黄棕壤为晚更新黄土状沉积物上发育的马肝土属，水稻土为发育在马肝土母质上的潴育性马肝田土属。马肝土质比较适中，土层深厚，肥力较高，耕性良好，是本区的主要旱作土壤，易种植蔬菜等旱作物；马肝田系由马肝土上长期种植水稻发育而成，为良土性水稻土，潴育层较厚，剖面发育良好，可作为麦、稻、油菜耕作土壤。</w:t>
      </w:r>
    </w:p>
    <w:p w14:paraId="780440EB">
      <w:pPr>
        <w:pStyle w:val="352"/>
        <w:ind w:firstLine="48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截至2020年底，</w:t>
      </w:r>
      <w:r>
        <w:rPr>
          <w:rFonts w:hint="default" w:ascii="Times New Roman" w:hAnsi="Times New Roman" w:eastAsia="宋体" w:cs="Times New Roman"/>
          <w:b w:val="0"/>
          <w:bCs w:val="0"/>
          <w:color w:val="auto"/>
          <w:sz w:val="24"/>
          <w:szCs w:val="24"/>
          <w:highlight w:val="none"/>
        </w:rPr>
        <w:t>全市森林面积为58796.18公顷，森林覆盖率为10.63%。森林蓄积量224.2万立方米</w:t>
      </w:r>
      <w:r>
        <w:rPr>
          <w:rFonts w:hint="default" w:ascii="Times New Roman" w:hAnsi="Times New Roman" w:eastAsia="宋体" w:cs="Times New Roman"/>
          <w:b w:val="0"/>
          <w:bCs w:val="0"/>
          <w:color w:val="auto"/>
          <w:sz w:val="24"/>
          <w:szCs w:val="24"/>
          <w:highlight w:val="none"/>
          <w:lang w:eastAsia="zh-CN"/>
        </w:rPr>
        <w:t>，重点公益林保有量</w:t>
      </w:r>
      <w:r>
        <w:rPr>
          <w:rFonts w:hint="default" w:ascii="Times New Roman" w:hAnsi="Times New Roman" w:eastAsia="宋体" w:cs="Times New Roman"/>
          <w:b w:val="0"/>
          <w:bCs w:val="0"/>
          <w:color w:val="auto"/>
          <w:sz w:val="24"/>
          <w:szCs w:val="24"/>
          <w:highlight w:val="none"/>
          <w:lang w:val="en-US" w:eastAsia="zh-CN"/>
        </w:rPr>
        <w:t>5.69万亩，国家公园等自然保护地面积占比3.66%，村庄绿化覆盖率48.9%。</w:t>
      </w:r>
    </w:p>
    <w:p w14:paraId="54EC2F45">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田家庵区为淮南市政治、文化、金融中心，为淮南市的主城区。区域内基本为人工植物群落，根据主城区人工植物群落的基本生态功能，可将田家庵区植物群落分为3种主要类型，即观赏型人工群落、环保型人工植物群落、保健型人工植物群落。</w:t>
      </w:r>
    </w:p>
    <w:p w14:paraId="356F3AAA">
      <w:pPr>
        <w:pStyle w:val="352"/>
        <w:ind w:firstLine="480"/>
        <w:rPr>
          <w:rFonts w:hint="default" w:ascii="宋体" w:hAnsi="宋体" w:eastAsia="宋体" w:cs="宋体"/>
          <w:b w:val="0"/>
          <w:bCs w:val="0"/>
          <w:color w:val="auto"/>
          <w:sz w:val="24"/>
          <w:szCs w:val="24"/>
          <w:highlight w:val="none"/>
        </w:rPr>
      </w:pPr>
      <w:r>
        <w:rPr>
          <w:rFonts w:hint="default" w:ascii="宋体" w:hAnsi="宋体" w:eastAsia="宋体" w:cs="宋体"/>
          <w:b w:val="0"/>
          <w:bCs w:val="0"/>
          <w:color w:val="auto"/>
          <w:sz w:val="24"/>
          <w:szCs w:val="24"/>
          <w:highlight w:val="none"/>
        </w:rPr>
        <w:t>观赏型人工植物群落，主要分布于广场、公园和新建居住区。这类群落垂直结构简单，高达乔木种类和数量不多，往往通过灌木层和草本层的物种搭配和人工造景艺术展示出美的韵味，加上复杂的水平分布格局，使整个园林一年四季都能给人以美的感受。</w:t>
      </w:r>
    </w:p>
    <w:p w14:paraId="1DB98CB3">
      <w:pPr>
        <w:pStyle w:val="352"/>
        <w:ind w:firstLine="480"/>
        <w:rPr>
          <w:rFonts w:hint="default" w:ascii="宋体" w:hAnsi="宋体" w:eastAsia="宋体" w:cs="宋体"/>
          <w:b w:val="0"/>
          <w:bCs w:val="0"/>
          <w:color w:val="auto"/>
          <w:sz w:val="24"/>
          <w:szCs w:val="24"/>
          <w:highlight w:val="none"/>
        </w:rPr>
      </w:pPr>
      <w:r>
        <w:rPr>
          <w:rFonts w:hint="default" w:ascii="宋体" w:hAnsi="宋体" w:eastAsia="宋体" w:cs="宋体"/>
          <w:b w:val="0"/>
          <w:bCs w:val="0"/>
          <w:color w:val="auto"/>
          <w:sz w:val="24"/>
          <w:szCs w:val="24"/>
          <w:highlight w:val="none"/>
        </w:rPr>
        <w:t>环保型人工植物群落，该植物群落有防污、防风、降尘等类型。植物群落的组成物种一般具有较强的抗性，对污染物具有吸收、吸附能力，如市区常见植物樟树、龙柏、海桐、女贞、珊瑚树等。群落乔木层树种组成丰富，水平分布格局却较简单。如广玉兰、朴树-海桐-麦冬植群。</w:t>
      </w:r>
    </w:p>
    <w:p w14:paraId="75DF917C">
      <w:pPr>
        <w:pStyle w:val="352"/>
        <w:ind w:firstLine="480"/>
        <w:rPr>
          <w:rFonts w:hint="default" w:ascii="宋体" w:hAnsi="宋体" w:eastAsia="宋体" w:cs="宋体"/>
          <w:b w:val="0"/>
          <w:bCs w:val="0"/>
          <w:color w:val="auto"/>
          <w:sz w:val="24"/>
          <w:szCs w:val="24"/>
          <w:highlight w:val="none"/>
        </w:rPr>
      </w:pPr>
      <w:r>
        <w:rPr>
          <w:rFonts w:hint="default" w:ascii="宋体" w:hAnsi="宋体" w:eastAsia="宋体" w:cs="宋体"/>
          <w:b w:val="0"/>
          <w:bCs w:val="0"/>
          <w:color w:val="auto"/>
          <w:sz w:val="24"/>
          <w:szCs w:val="24"/>
          <w:highlight w:val="none"/>
        </w:rPr>
        <w:t>（3）保健型人工植物群落，保健型人工植物群落物质多样性较丰富，并以一些具有有益分泌物质和挥发物质的物质为主，如本区常见腊梅、桃、垂柳、银杏、雪松、大叶黄杨、合欢、楝树、二球悬铃木、石楠、火棘等许多种树种能释放杀菌素，杀灭空气中的细菌。</w:t>
      </w:r>
    </w:p>
    <w:p w14:paraId="4E87733E">
      <w:pPr>
        <w:pStyle w:val="352"/>
        <w:ind w:firstLine="480"/>
        <w:rPr>
          <w:rFonts w:hint="default" w:ascii="宋体" w:hAnsi="宋体" w:eastAsia="宋体" w:cs="宋体"/>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建成区以外大都是农作物种植区，原始植被经过人为垦殖，现存较少。乡村现存植被，大多是经过人类耕作熟化而形成的农田生态系统。人工种植草本植物，以种植业的粮食与油料作物、蔬菜、瓜果、棉花与麻类等其它经济作物为主，农作物占人工植被面积的65%左右。评价区域内无自然保护区。</w:t>
      </w:r>
    </w:p>
    <w:p w14:paraId="5EBDEFE8">
      <w:pPr>
        <w:pStyle w:val="352"/>
        <w:ind w:firstLine="480"/>
        <w:rPr>
          <w:color w:val="auto"/>
          <w:highlight w:val="none"/>
        </w:rPr>
      </w:pPr>
      <w:r>
        <w:rPr>
          <w:color w:val="auto"/>
          <w:highlight w:val="none"/>
        </w:rPr>
        <w:t>（4）土壤理化特性调查</w:t>
      </w:r>
    </w:p>
    <w:p w14:paraId="040F7901">
      <w:pPr>
        <w:pStyle w:val="352"/>
        <w:ind w:firstLine="480"/>
        <w:rPr>
          <w:color w:val="auto"/>
          <w:highlight w:val="none"/>
        </w:rPr>
      </w:pPr>
      <w:r>
        <w:rPr>
          <w:color w:val="auto"/>
          <w:highlight w:val="none"/>
        </w:rPr>
        <w:t>本次工作对项目区土壤理化特性进行了调查。理化性质调查根据国家土壤信息服务平台（http://www.soilinfo.cn/map/#）查询及现场监测结果，拟建项目所在区域土壤类型为</w:t>
      </w:r>
      <w:r>
        <w:rPr>
          <w:rFonts w:hint="eastAsia"/>
          <w:color w:val="auto"/>
          <w:highlight w:val="none"/>
          <w:lang w:val="en-US" w:eastAsia="zh-CN"/>
        </w:rPr>
        <w:t>黄褐</w:t>
      </w:r>
      <w:r>
        <w:rPr>
          <w:color w:val="auto"/>
          <w:highlight w:val="none"/>
        </w:rPr>
        <w:t>土，拟建项目所在区域土地利用类型主要是工业用地。</w:t>
      </w:r>
      <w:bookmarkStart w:id="292" w:name="_Toc152923315"/>
      <w:bookmarkStart w:id="293" w:name="_Toc152921675"/>
      <w:bookmarkStart w:id="294" w:name="_Toc152922040"/>
      <w:bookmarkStart w:id="295" w:name="_Toc117150249"/>
      <w:bookmarkStart w:id="296" w:name="_Toc152922634"/>
    </w:p>
    <w:p w14:paraId="4860B960">
      <w:pPr>
        <w:pStyle w:val="4"/>
        <w:spacing w:after="156"/>
        <w:rPr>
          <w:rFonts w:hint="eastAsia"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4.1.6生态环境</w:t>
      </w:r>
      <w:bookmarkEnd w:id="292"/>
      <w:bookmarkEnd w:id="293"/>
      <w:bookmarkEnd w:id="294"/>
      <w:bookmarkEnd w:id="295"/>
      <w:bookmarkEnd w:id="296"/>
    </w:p>
    <w:p w14:paraId="3339D500">
      <w:pPr>
        <w:pStyle w:val="352"/>
        <w:ind w:firstLine="480"/>
        <w:rPr>
          <w:rFonts w:hint="default" w:ascii="Times New Roman" w:hAnsi="Times New Roman" w:eastAsia="宋体" w:cs="Times New Roman"/>
          <w:b w:val="0"/>
          <w:bCs w:val="0"/>
          <w:color w:val="auto"/>
          <w:sz w:val="24"/>
          <w:szCs w:val="24"/>
          <w:highlight w:val="none"/>
          <w:lang w:val="en-US" w:eastAsia="zh-CN"/>
        </w:rPr>
      </w:pPr>
      <w:bookmarkStart w:id="297" w:name="_Toc152922635"/>
      <w:bookmarkStart w:id="298" w:name="_Toc152922041"/>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植物资源</w:t>
      </w:r>
    </w:p>
    <w:p w14:paraId="5EECED2D">
      <w:pPr>
        <w:pStyle w:val="352"/>
        <w:ind w:firstLine="480"/>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rPr>
        <w:t>据历史调查资料，淮南市有野生植物139种，其中国家级重点保护植物5种；主要农作</w:t>
      </w:r>
      <w:r>
        <w:rPr>
          <w:rFonts w:hint="default" w:ascii="Times New Roman" w:hAnsi="Times New Roman" w:eastAsia="宋体" w:cs="Times New Roman"/>
          <w:b w:val="0"/>
          <w:bCs w:val="0"/>
          <w:color w:val="auto"/>
          <w:sz w:val="24"/>
          <w:szCs w:val="24"/>
          <w:highlight w:val="none"/>
          <w:lang w:eastAsia="zh-CN"/>
        </w:rPr>
        <w:t>物</w:t>
      </w:r>
      <w:r>
        <w:rPr>
          <w:rFonts w:hint="default" w:ascii="Times New Roman" w:hAnsi="Times New Roman" w:eastAsia="宋体" w:cs="Times New Roman"/>
          <w:b w:val="0"/>
          <w:bCs w:val="0"/>
          <w:color w:val="auto"/>
          <w:sz w:val="24"/>
          <w:szCs w:val="24"/>
          <w:highlight w:val="none"/>
        </w:rPr>
        <w:t>123种，林果335种。评价范围内无原始森林和次生林及各级人民政府批准建立的自然保护区，也无成片</w:t>
      </w:r>
      <w:r>
        <w:rPr>
          <w:rFonts w:hint="default" w:ascii="Times New Roman" w:hAnsi="Times New Roman" w:eastAsia="宋体" w:cs="Times New Roman"/>
          <w:b w:val="0"/>
          <w:bCs w:val="0"/>
          <w:color w:val="auto"/>
          <w:sz w:val="24"/>
          <w:szCs w:val="24"/>
          <w:highlight w:val="none"/>
          <w:lang w:val="en-US" w:eastAsia="zh-CN"/>
        </w:rPr>
        <w:t>g</w:t>
      </w:r>
      <w:r>
        <w:rPr>
          <w:rFonts w:hint="default" w:ascii="Times New Roman" w:hAnsi="Times New Roman" w:eastAsia="宋体" w:cs="Times New Roman"/>
          <w:b w:val="0"/>
          <w:bCs w:val="0"/>
          <w:color w:val="auto"/>
          <w:sz w:val="24"/>
          <w:szCs w:val="24"/>
          <w:highlight w:val="none"/>
        </w:rPr>
        <w:t>森林。现场调查表明，基地区域内陆生草本植物以灰藜、青葙、葎草、茴麻、野塘蒿、白茅等为优势种，木本植物以大官杨、旱柳、臭椿、紫穗槐等为优势种，水生草本植物以芦苇、苔草、浮萍等为主，缺少优势种和丰盛种，无国家重点保护野生植物。林业以农田防护林和</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四旁</w:t>
      </w:r>
      <w:r>
        <w:rPr>
          <w:rFonts w:hint="eastAsia"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绿化为主，树种多系人工栽培的阔叶乔木，主要有香椿、苦楝、白榆、桑树、旱柳、枫杨、梧桐、法国梧桐、合欢等阔叶树种以及雪松、侧柏、园柏等针叶树种；果树有李、桃、杏、石榴、柿子等</w:t>
      </w:r>
      <w:r>
        <w:rPr>
          <w:rFonts w:hint="default" w:ascii="Times New Roman" w:hAnsi="Times New Roman" w:eastAsia="宋体" w:cs="Times New Roman"/>
          <w:b w:val="0"/>
          <w:bCs w:val="0"/>
          <w:color w:val="auto"/>
          <w:sz w:val="24"/>
          <w:szCs w:val="24"/>
          <w:highlight w:val="none"/>
          <w:lang w:eastAsia="zh-CN"/>
        </w:rPr>
        <w:t>。</w:t>
      </w:r>
    </w:p>
    <w:p w14:paraId="2EEC0AF0">
      <w:pPr>
        <w:pStyle w:val="352"/>
        <w:ind w:firstLine="48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（2）水生生物</w:t>
      </w:r>
    </w:p>
    <w:p w14:paraId="4E6D0853">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根据《淮南市生态环境现状调查报告》，淮南市水域的藻类总有7门185种，其中蓝藻门</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i/>
          <w:iCs/>
          <w:color w:val="auto"/>
          <w:sz w:val="24"/>
          <w:szCs w:val="24"/>
          <w:highlight w:val="none"/>
        </w:rPr>
        <w:t>Cyanophyta</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占17.3%，绿藻门</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i/>
          <w:iCs/>
          <w:color w:val="auto"/>
          <w:sz w:val="24"/>
          <w:szCs w:val="24"/>
          <w:highlight w:val="none"/>
        </w:rPr>
        <w:t>Chlorophyta</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占27%，硅藻门</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i/>
          <w:iCs/>
          <w:color w:val="auto"/>
          <w:sz w:val="24"/>
          <w:szCs w:val="24"/>
          <w:highlight w:val="none"/>
        </w:rPr>
        <w:t>Bacillariophyta</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占34.6%，裸藻门</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i/>
          <w:iCs/>
          <w:color w:val="auto"/>
          <w:sz w:val="24"/>
          <w:szCs w:val="24"/>
          <w:highlight w:val="none"/>
        </w:rPr>
        <w:t>Englenophyta</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占15.7%，甲藻门</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i/>
          <w:iCs/>
          <w:color w:val="auto"/>
          <w:sz w:val="24"/>
          <w:szCs w:val="24"/>
          <w:highlight w:val="none"/>
        </w:rPr>
        <w:t>Phrrophyta</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占3.2%，隐藻门</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i/>
          <w:iCs/>
          <w:color w:val="auto"/>
          <w:sz w:val="24"/>
          <w:szCs w:val="24"/>
          <w:highlight w:val="none"/>
        </w:rPr>
        <w:t>Crgpgophyta</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与金藻门</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i/>
          <w:iCs/>
          <w:color w:val="auto"/>
          <w:sz w:val="24"/>
          <w:szCs w:val="24"/>
          <w:highlight w:val="none"/>
        </w:rPr>
        <w:t>Chrgsophyta</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分别占1.1%；藻类个体总量为247.72万个/l，藻类细胞总数1072.79万个/l。浮游动物8种属，优势种为剑水蚤属和长肢秀体水蚤。底栖动物25种，平均密度194.4个/</w:t>
      </w:r>
      <w:r>
        <w:rPr>
          <w:rFonts w:hint="default" w:ascii="Times New Roman" w:hAnsi="Times New Roman" w:eastAsia="宋体" w:cs="Times New Roman"/>
          <w:b w:val="0"/>
          <w:bCs w:val="0"/>
          <w:color w:val="auto"/>
          <w:sz w:val="24"/>
          <w:szCs w:val="24"/>
          <w:highlight w:val="none"/>
          <w:lang w:val="en-US" w:eastAsia="zh-CN"/>
        </w:rPr>
        <w:t>m2</w:t>
      </w:r>
      <w:r>
        <w:rPr>
          <w:rFonts w:hint="default" w:ascii="Times New Roman" w:hAnsi="Times New Roman" w:eastAsia="宋体" w:cs="Times New Roman"/>
          <w:b w:val="0"/>
          <w:bCs w:val="0"/>
          <w:color w:val="auto"/>
          <w:sz w:val="24"/>
          <w:szCs w:val="24"/>
          <w:highlight w:val="none"/>
        </w:rPr>
        <w:t>，其中优势种为梨形环棱螺和黄蚬等。鱼类55种，其中鲤科为最多，占54.6%，其次是鮠科和鳅科。高等维管束植物11种。淮南市辖淮河干流水生浮游生物114种，浮游植物中绿藻门的盘星藻、胶群藻、新月藻、木棉为分布普遍优势种，另有黄藻门、硅藻门、蓝藻门、裸藻门等藻类生物。浮游动物中有轮虫和原生动物53种，鱼类70余种。由于淮河淮南段以有机污染为主，底栖动物种类和生物量很少，底栖动物23种。</w:t>
      </w:r>
    </w:p>
    <w:p w14:paraId="5A04F651">
      <w:pPr>
        <w:pStyle w:val="352"/>
        <w:ind w:firstLine="48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（3）野生动物资源</w:t>
      </w:r>
    </w:p>
    <w:p w14:paraId="6C08E57C">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在《中国动物地理划分》上，安徽省淮河以北的淮河流域属古北界华北区的黄淮平原亚区，其生态地理动物群属温带森林——森林平原、农田动物群，在组成与结构比较简单的生态境域中，动物种类比较贫乏。项目所在地属淮北平原，植被主要为农作物与人工营造的四旁树木的人工植被，野生动物种类较少。现场调查表明，评价区内没有国家重点保护野生动物及其栖息地分布的</w:t>
      </w:r>
      <w:r>
        <w:rPr>
          <w:rFonts w:hint="default" w:ascii="Times New Roman" w:hAnsi="Times New Roman" w:eastAsia="宋体" w:cs="Times New Roman"/>
          <w:b w:val="0"/>
          <w:bCs w:val="0"/>
          <w:color w:val="auto"/>
          <w:sz w:val="24"/>
          <w:szCs w:val="24"/>
          <w:highlight w:val="none"/>
          <w:lang w:eastAsia="zh-CN"/>
        </w:rPr>
        <w:t>记</w:t>
      </w:r>
      <w:r>
        <w:rPr>
          <w:rFonts w:hint="default" w:ascii="Times New Roman" w:hAnsi="Times New Roman" w:eastAsia="宋体" w:cs="Times New Roman"/>
          <w:b w:val="0"/>
          <w:bCs w:val="0"/>
          <w:color w:val="auto"/>
          <w:sz w:val="24"/>
          <w:szCs w:val="24"/>
          <w:highlight w:val="none"/>
        </w:rPr>
        <w:t>录。据历史调查资料，淮南市有鱼类5科22种，鸟类13科17种，两栖类2种，爬行动物4种，兽类10科18种。鸟类和兽类是本区动物主要种类，种类、数量相对较多，按照鸟类不同季节的留</w:t>
      </w:r>
      <w:r>
        <w:rPr>
          <w:rFonts w:hint="default" w:ascii="Times New Roman" w:hAnsi="Times New Roman" w:eastAsia="宋体" w:cs="Times New Roman"/>
          <w:b w:val="0"/>
          <w:bCs w:val="0"/>
          <w:color w:val="auto"/>
          <w:sz w:val="24"/>
          <w:szCs w:val="24"/>
          <w:highlight w:val="none"/>
          <w:lang w:eastAsia="zh-CN"/>
        </w:rPr>
        <w:t>候</w:t>
      </w:r>
      <w:r>
        <w:rPr>
          <w:rFonts w:hint="default" w:ascii="Times New Roman" w:hAnsi="Times New Roman" w:eastAsia="宋体" w:cs="Times New Roman"/>
          <w:b w:val="0"/>
          <w:bCs w:val="0"/>
          <w:color w:val="auto"/>
          <w:sz w:val="24"/>
          <w:szCs w:val="24"/>
          <w:highlight w:val="none"/>
        </w:rPr>
        <w:t>情况，鸟类多为夏候鸟，为本区鸟类的基本种群。哺乳类动物中，兽类以啮齿动物占优势，其中小家鼠、草兔、黄鼬数量较多，为优势种群，此外有蟾蜍、泽蛙等动物。</w:t>
      </w:r>
    </w:p>
    <w:p w14:paraId="47F8365D">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根据现场调查与当地有关部门的咨询，在项目评价范围内无国家及地方重点保护野生动植物的分布。</w:t>
      </w:r>
    </w:p>
    <w:p w14:paraId="21152A7C">
      <w:pPr>
        <w:pStyle w:val="218"/>
        <w:spacing w:before="62" w:after="156"/>
        <w:rPr>
          <w:color w:val="auto"/>
          <w:highlight w:val="none"/>
        </w:rPr>
      </w:pPr>
      <w:bookmarkStart w:id="299" w:name="_Toc12535"/>
      <w:r>
        <w:rPr>
          <w:color w:val="auto"/>
          <w:highlight w:val="none"/>
        </w:rPr>
        <w:t>4.2环境质量现状调查与评价</w:t>
      </w:r>
      <w:bookmarkEnd w:id="297"/>
      <w:bookmarkEnd w:id="298"/>
      <w:bookmarkEnd w:id="299"/>
    </w:p>
    <w:p w14:paraId="1B2922D1">
      <w:pPr>
        <w:pStyle w:val="4"/>
        <w:spacing w:after="156"/>
        <w:rPr>
          <w:color w:val="auto"/>
          <w:highlight w:val="none"/>
        </w:rPr>
      </w:pPr>
      <w:bookmarkStart w:id="300" w:name="_Toc152923317"/>
      <w:bookmarkStart w:id="301" w:name="_Toc152922042"/>
      <w:bookmarkStart w:id="302" w:name="_Toc152922636"/>
      <w:bookmarkStart w:id="303" w:name="_Toc117150251"/>
      <w:bookmarkStart w:id="304" w:name="_Toc152921677"/>
      <w:r>
        <w:rPr>
          <w:color w:val="auto"/>
          <w:highlight w:val="none"/>
        </w:rPr>
        <w:t>4.2.1大气环境质量现状监测与评价</w:t>
      </w:r>
      <w:bookmarkEnd w:id="300"/>
      <w:bookmarkEnd w:id="301"/>
      <w:bookmarkEnd w:id="302"/>
      <w:bookmarkEnd w:id="303"/>
      <w:bookmarkEnd w:id="304"/>
    </w:p>
    <w:p w14:paraId="5FDD42DB">
      <w:pPr>
        <w:pStyle w:val="107"/>
        <w:rPr>
          <w:color w:val="auto"/>
          <w:highlight w:val="none"/>
        </w:rPr>
      </w:pPr>
      <w:r>
        <w:rPr>
          <w:color w:val="auto"/>
          <w:highlight w:val="none"/>
        </w:rPr>
        <w:t>1、基本污染物环境质量现状数据</w:t>
      </w:r>
    </w:p>
    <w:p w14:paraId="43ECDF1B">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根据《</w:t>
      </w:r>
      <w:r>
        <w:rPr>
          <w:rFonts w:hint="default" w:ascii="Times New Roman" w:hAnsi="Times New Roman" w:eastAsia="Times New Roman" w:cs="Times New Roman"/>
          <w:b w:val="0"/>
          <w:bCs w:val="0"/>
          <w:color w:val="auto"/>
          <w:sz w:val="24"/>
          <w:szCs w:val="24"/>
          <w:highlight w:val="none"/>
        </w:rPr>
        <w:t>202</w:t>
      </w:r>
      <w:r>
        <w:rPr>
          <w:rFonts w:hint="eastAsia"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rPr>
        <w:t>年淮南市生态环境质量状况公报》，2024年，全市环境空气质量一级（优）65天，二级（良）218天，三级（轻度污染）69天，四级（中度污染）13天，五级（重度污染）1天；全市年度环境空气达标天数比例为77.3%，与上年相比下降了3.2个百分点；全市环境空气综合指数为3.87，首要污染物为细颗粒物。</w:t>
      </w:r>
    </w:p>
    <w:p w14:paraId="63BFB195">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细颗粒物（PM</w:t>
      </w:r>
      <w:r>
        <w:rPr>
          <w:rFonts w:hint="default" w:ascii="Times New Roman" w:hAnsi="Times New Roman" w:eastAsia="宋体" w:cs="Times New Roman"/>
          <w:b w:val="0"/>
          <w:bCs w:val="0"/>
          <w:color w:val="auto"/>
          <w:sz w:val="24"/>
          <w:szCs w:val="24"/>
          <w:highlight w:val="none"/>
          <w:vertAlign w:val="subscript"/>
        </w:rPr>
        <w:t>2.5</w:t>
      </w:r>
      <w:r>
        <w:rPr>
          <w:rFonts w:hint="default" w:ascii="Times New Roman" w:hAnsi="Times New Roman" w:eastAsia="宋体" w:cs="Times New Roman"/>
          <w:b w:val="0"/>
          <w:bCs w:val="0"/>
          <w:color w:val="auto"/>
          <w:sz w:val="24"/>
          <w:szCs w:val="24"/>
          <w:highlight w:val="none"/>
        </w:rPr>
        <w:t>）日均浓度范围为7～156微克/立方米，日均值达标率为87.6%。年均值为40.0微克/立方米，与上年相比上升了3.4个百分点。</w:t>
      </w:r>
    </w:p>
    <w:p w14:paraId="573846C3">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可吸入颗粒物（PM</w:t>
      </w:r>
      <w:r>
        <w:rPr>
          <w:rFonts w:hint="default" w:ascii="Times New Roman" w:hAnsi="Times New Roman" w:eastAsia="宋体" w:cs="Times New Roman"/>
          <w:b w:val="0"/>
          <w:bCs w:val="0"/>
          <w:color w:val="auto"/>
          <w:sz w:val="24"/>
          <w:szCs w:val="24"/>
          <w:highlight w:val="none"/>
          <w:vertAlign w:val="subscript"/>
        </w:rPr>
        <w:t>10</w:t>
      </w:r>
      <w:r>
        <w:rPr>
          <w:rFonts w:hint="default" w:ascii="Times New Roman" w:hAnsi="Times New Roman" w:eastAsia="宋体" w:cs="Times New Roman"/>
          <w:b w:val="0"/>
          <w:bCs w:val="0"/>
          <w:color w:val="auto"/>
          <w:sz w:val="24"/>
          <w:szCs w:val="24"/>
          <w:highlight w:val="none"/>
        </w:rPr>
        <w:t>）日均浓度范围为10～262微克/立方米，日均值达标率为96.0%。年均值为65.0微克/立方米，与上年相比下降了1.4个百分点。</w:t>
      </w:r>
    </w:p>
    <w:p w14:paraId="59E47F39">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二氧化氮（NO</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）日均浓度范围为5～47微克/立方米，日均值达标率为100%。年均浓度为19微克/立方米，与上年相比下降了9.5个百分点。</w:t>
      </w:r>
    </w:p>
    <w:p w14:paraId="28ACDD59">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二氧化硫（SO</w:t>
      </w:r>
      <w:r>
        <w:rPr>
          <w:rFonts w:hint="default" w:ascii="Times New Roman" w:hAnsi="Times New Roman" w:eastAsia="宋体" w:cs="Times New Roman"/>
          <w:b w:val="0"/>
          <w:bCs w:val="0"/>
          <w:color w:val="auto"/>
          <w:sz w:val="24"/>
          <w:szCs w:val="24"/>
          <w:highlight w:val="none"/>
          <w:vertAlign w:val="subscript"/>
        </w:rPr>
        <w:t>2</w:t>
      </w:r>
      <w:r>
        <w:rPr>
          <w:rFonts w:hint="default" w:ascii="Times New Roman" w:hAnsi="Times New Roman" w:eastAsia="宋体" w:cs="Times New Roman"/>
          <w:b w:val="0"/>
          <w:bCs w:val="0"/>
          <w:color w:val="auto"/>
          <w:sz w:val="24"/>
          <w:szCs w:val="24"/>
          <w:highlight w:val="none"/>
        </w:rPr>
        <w:t>）日均浓度范围为2～13微克/立方米，日均值达标率为100%。年均浓度为7微克/立方米，与上年相比下降了12.5个百分点。</w:t>
      </w:r>
    </w:p>
    <w:p w14:paraId="65E892EF">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一氧化碳（CO）日均浓度范围为0.2～1.1毫克/立方米，日均值达标率为100%。日均值第95百分位数为0.8毫克/立方米，与上年相比上升了14.3个百分点。</w:t>
      </w:r>
    </w:p>
    <w:p w14:paraId="1CC4604B">
      <w:pPr>
        <w:pStyle w:val="352"/>
        <w:ind w:firstLine="480"/>
        <w:rPr>
          <w:rFonts w:hint="eastAsia" w:ascii="宋体" w:hAnsi="宋体" w:eastAsia="宋体" w:cs="宋体"/>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臭氧日最大8小时（O</w:t>
      </w:r>
      <w:r>
        <w:rPr>
          <w:rFonts w:hint="default" w:ascii="Times New Roman" w:hAnsi="Times New Roman" w:eastAsia="宋体" w:cs="Times New Roman"/>
          <w:b w:val="0"/>
          <w:bCs w:val="0"/>
          <w:color w:val="auto"/>
          <w:sz w:val="24"/>
          <w:szCs w:val="24"/>
          <w:highlight w:val="none"/>
          <w:vertAlign w:val="subscript"/>
        </w:rPr>
        <w:t>3</w:t>
      </w:r>
      <w:r>
        <w:rPr>
          <w:rFonts w:hint="default" w:ascii="Times New Roman" w:hAnsi="Times New Roman" w:eastAsia="宋体" w:cs="Times New Roman"/>
          <w:b w:val="0"/>
          <w:bCs w:val="0"/>
          <w:color w:val="auto"/>
          <w:sz w:val="24"/>
          <w:szCs w:val="24"/>
          <w:highlight w:val="none"/>
        </w:rPr>
        <w:t>-8h）滑动平均值范围为16～227微克/立方米，达标率为90.4%。日最大8小时滑动平均值第90百分位数为160微克/立方米，与上年相比上升了1.9个百分点。</w:t>
      </w:r>
    </w:p>
    <w:p w14:paraId="5A16B26A">
      <w:pPr>
        <w:pStyle w:val="352"/>
        <w:ind w:firstLine="480"/>
        <w:rPr>
          <w:color w:val="auto"/>
          <w:highlight w:val="none"/>
        </w:rPr>
      </w:pPr>
      <w:r>
        <w:rPr>
          <w:rFonts w:ascii="宋体" w:hAnsi="宋体" w:eastAsia="宋体" w:cs="宋体"/>
          <w:b w:val="0"/>
          <w:bCs w:val="0"/>
          <w:color w:val="auto"/>
          <w:sz w:val="24"/>
          <w:szCs w:val="24"/>
          <w:highlight w:val="none"/>
        </w:rPr>
        <w:t>年相比上升了</w:t>
      </w:r>
      <w:r>
        <w:rPr>
          <w:rFonts w:hint="default" w:ascii="Times New Roman" w:hAnsi="Times New Roman" w:eastAsia="Times New Roman" w:cs="Times New Roman"/>
          <w:b w:val="0"/>
          <w:bCs w:val="0"/>
          <w:color w:val="auto"/>
          <w:sz w:val="24"/>
          <w:szCs w:val="24"/>
          <w:highlight w:val="none"/>
        </w:rPr>
        <w:t>4.0</w:t>
      </w:r>
      <w:r>
        <w:rPr>
          <w:rFonts w:ascii="宋体" w:hAnsi="宋体" w:eastAsia="宋体" w:cs="宋体"/>
          <w:b w:val="0"/>
          <w:bCs w:val="0"/>
          <w:color w:val="auto"/>
          <w:sz w:val="24"/>
          <w:szCs w:val="24"/>
          <w:highlight w:val="none"/>
        </w:rPr>
        <w:t>个百分点</w:t>
      </w:r>
      <w:r>
        <w:rPr>
          <w:color w:val="auto"/>
          <w:highlight w:val="none"/>
        </w:rPr>
        <w:t>，具体详见下表。</w:t>
      </w:r>
    </w:p>
    <w:p w14:paraId="5DF52FE7">
      <w:pPr>
        <w:pStyle w:val="107"/>
        <w:spacing w:line="240" w:lineRule="auto"/>
        <w:jc w:val="center"/>
        <w:rPr>
          <w:color w:val="auto"/>
          <w:highlight w:val="none"/>
        </w:rPr>
      </w:pPr>
      <w:r>
        <w:rPr>
          <w:color w:val="auto"/>
          <w:highlight w:val="none"/>
        </w:rPr>
        <w:t>表4.2-1</w:t>
      </w:r>
      <w:r>
        <w:rPr>
          <w:rFonts w:hint="eastAsia"/>
          <w:color w:val="auto"/>
          <w:highlight w:val="none"/>
          <w:lang w:val="en-US" w:eastAsia="zh-CN"/>
        </w:rPr>
        <w:t xml:space="preserve">  </w:t>
      </w:r>
      <w:r>
        <w:rPr>
          <w:color w:val="auto"/>
          <w:highlight w:val="none"/>
        </w:rPr>
        <w:t>项目区域空气质量达标判定表</w:t>
      </w:r>
    </w:p>
    <w:tbl>
      <w:tblPr>
        <w:tblStyle w:val="4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2020"/>
        <w:gridCol w:w="1245"/>
        <w:gridCol w:w="1279"/>
        <w:gridCol w:w="1318"/>
        <w:gridCol w:w="1710"/>
      </w:tblGrid>
      <w:tr w14:paraId="23D20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7A8F391F">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污染物</w:t>
            </w:r>
          </w:p>
        </w:tc>
        <w:tc>
          <w:tcPr>
            <w:tcW w:w="1185" w:type="pct"/>
            <w:noWrap w:val="0"/>
            <w:vAlign w:val="center"/>
          </w:tcPr>
          <w:p w14:paraId="0864FC91">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年评价指标</w:t>
            </w:r>
          </w:p>
        </w:tc>
        <w:tc>
          <w:tcPr>
            <w:tcW w:w="730" w:type="pct"/>
            <w:noWrap w:val="0"/>
            <w:vAlign w:val="center"/>
          </w:tcPr>
          <w:p w14:paraId="7C46224C">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现状浓度</w:t>
            </w:r>
          </w:p>
        </w:tc>
        <w:tc>
          <w:tcPr>
            <w:tcW w:w="750" w:type="pct"/>
            <w:noWrap w:val="0"/>
            <w:vAlign w:val="center"/>
          </w:tcPr>
          <w:p w14:paraId="5FADA042">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标准值</w:t>
            </w:r>
          </w:p>
        </w:tc>
        <w:tc>
          <w:tcPr>
            <w:tcW w:w="773" w:type="pct"/>
            <w:noWrap w:val="0"/>
            <w:vAlign w:val="center"/>
          </w:tcPr>
          <w:p w14:paraId="7567905E">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占标率%</w:t>
            </w:r>
          </w:p>
        </w:tc>
        <w:tc>
          <w:tcPr>
            <w:tcW w:w="1003" w:type="pct"/>
            <w:noWrap w:val="0"/>
            <w:vAlign w:val="center"/>
          </w:tcPr>
          <w:p w14:paraId="4218B658">
            <w:pPr>
              <w:jc w:val="center"/>
              <w:rPr>
                <w:rFonts w:ascii="Times New Roman" w:hAnsi="Times New Roman" w:eastAsia="宋体" w:cs="Times New Roman"/>
                <w:b/>
                <w:bCs/>
                <w:color w:val="auto"/>
                <w:szCs w:val="21"/>
                <w:highlight w:val="none"/>
              </w:rPr>
            </w:pPr>
            <w:r>
              <w:rPr>
                <w:rFonts w:ascii="Times New Roman" w:hAnsi="Times New Roman" w:eastAsia="宋体" w:cs="Times New Roman"/>
                <w:b/>
                <w:bCs/>
                <w:color w:val="auto"/>
                <w:szCs w:val="21"/>
                <w:highlight w:val="none"/>
              </w:rPr>
              <w:t>达标情况</w:t>
            </w:r>
          </w:p>
        </w:tc>
      </w:tr>
      <w:tr w14:paraId="5A4E9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0CF975BF">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
              </w:rPr>
              <w:t>PM10</w:t>
            </w:r>
          </w:p>
        </w:tc>
        <w:tc>
          <w:tcPr>
            <w:tcW w:w="1185" w:type="pct"/>
            <w:vMerge w:val="restart"/>
            <w:noWrap w:val="0"/>
            <w:vAlign w:val="center"/>
          </w:tcPr>
          <w:p w14:paraId="0652E77D">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年平均质量浓度</w:t>
            </w:r>
          </w:p>
        </w:tc>
        <w:tc>
          <w:tcPr>
            <w:tcW w:w="730" w:type="pct"/>
            <w:noWrap w:val="0"/>
            <w:vAlign w:val="center"/>
          </w:tcPr>
          <w:p w14:paraId="6CA73AE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65</w:t>
            </w:r>
          </w:p>
        </w:tc>
        <w:tc>
          <w:tcPr>
            <w:tcW w:w="750" w:type="pct"/>
            <w:noWrap w:val="0"/>
            <w:vAlign w:val="center"/>
          </w:tcPr>
          <w:p w14:paraId="7B1E73A6">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70</w:t>
            </w:r>
          </w:p>
        </w:tc>
        <w:tc>
          <w:tcPr>
            <w:tcW w:w="773" w:type="pct"/>
            <w:noWrap w:val="0"/>
            <w:vAlign w:val="center"/>
          </w:tcPr>
          <w:p w14:paraId="389ACF7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92.9</w:t>
            </w:r>
          </w:p>
        </w:tc>
        <w:tc>
          <w:tcPr>
            <w:tcW w:w="1003" w:type="pct"/>
            <w:noWrap w:val="0"/>
            <w:vAlign w:val="center"/>
          </w:tcPr>
          <w:p w14:paraId="1A496A5C">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达标</w:t>
            </w:r>
          </w:p>
        </w:tc>
      </w:tr>
      <w:tr w14:paraId="3E91D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57AE1C39">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PM2.5</w:t>
            </w:r>
          </w:p>
        </w:tc>
        <w:tc>
          <w:tcPr>
            <w:tcW w:w="1185" w:type="pct"/>
            <w:vMerge w:val="continue"/>
            <w:noWrap w:val="0"/>
            <w:vAlign w:val="center"/>
          </w:tcPr>
          <w:p w14:paraId="6F28A454">
            <w:pPr>
              <w:jc w:val="center"/>
              <w:rPr>
                <w:rFonts w:ascii="Times New Roman" w:hAnsi="Times New Roman" w:eastAsia="宋体" w:cs="Times New Roman"/>
                <w:color w:val="auto"/>
                <w:szCs w:val="21"/>
                <w:highlight w:val="none"/>
              </w:rPr>
            </w:pPr>
          </w:p>
        </w:tc>
        <w:tc>
          <w:tcPr>
            <w:tcW w:w="730" w:type="pct"/>
            <w:noWrap w:val="0"/>
            <w:vAlign w:val="center"/>
          </w:tcPr>
          <w:p w14:paraId="145224F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40</w:t>
            </w:r>
          </w:p>
        </w:tc>
        <w:tc>
          <w:tcPr>
            <w:tcW w:w="750" w:type="pct"/>
            <w:noWrap w:val="0"/>
            <w:vAlign w:val="center"/>
          </w:tcPr>
          <w:p w14:paraId="4AECCF7E">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35</w:t>
            </w:r>
          </w:p>
        </w:tc>
        <w:tc>
          <w:tcPr>
            <w:tcW w:w="773" w:type="pct"/>
            <w:noWrap w:val="0"/>
            <w:vAlign w:val="center"/>
          </w:tcPr>
          <w:p w14:paraId="7AFF8973">
            <w:pPr>
              <w:jc w:val="center"/>
              <w:rPr>
                <w:rFonts w:hint="eastAsia" w:ascii="Times New Roman" w:hAnsi="Times New Roman" w:eastAsia="宋体" w:cs="Times New Roman"/>
                <w:color w:val="auto"/>
                <w:szCs w:val="21"/>
                <w:highlight w:val="none"/>
                <w:lang w:eastAsia="zh-CN"/>
              </w:rPr>
            </w:pPr>
            <w:r>
              <w:rPr>
                <w:rFonts w:ascii="Times New Roman" w:hAnsi="Times New Roman" w:eastAsia="宋体" w:cs="Times New Roman"/>
                <w:color w:val="auto"/>
                <w:szCs w:val="21"/>
                <w:highlight w:val="none"/>
              </w:rPr>
              <w:t>1</w:t>
            </w:r>
            <w:r>
              <w:rPr>
                <w:rFonts w:hint="eastAsia" w:ascii="Times New Roman" w:hAnsi="Times New Roman" w:eastAsia="宋体" w:cs="Times New Roman"/>
                <w:color w:val="auto"/>
                <w:szCs w:val="21"/>
                <w:highlight w:val="none"/>
              </w:rPr>
              <w:t>1</w:t>
            </w:r>
            <w:r>
              <w:rPr>
                <w:rFonts w:hint="eastAsia" w:ascii="Times New Roman" w:hAnsi="Times New Roman" w:eastAsia="宋体" w:cs="Times New Roman"/>
                <w:color w:val="auto"/>
                <w:szCs w:val="21"/>
                <w:highlight w:val="none"/>
                <w:lang w:val="en-US" w:eastAsia="zh-CN"/>
              </w:rPr>
              <w:t>4</w:t>
            </w:r>
          </w:p>
        </w:tc>
        <w:tc>
          <w:tcPr>
            <w:tcW w:w="1003" w:type="pct"/>
            <w:noWrap w:val="0"/>
            <w:vAlign w:val="center"/>
          </w:tcPr>
          <w:p w14:paraId="69A57A42">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超标</w:t>
            </w:r>
          </w:p>
        </w:tc>
      </w:tr>
      <w:tr w14:paraId="3B376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2B8C472D">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SO2</w:t>
            </w:r>
          </w:p>
        </w:tc>
        <w:tc>
          <w:tcPr>
            <w:tcW w:w="1185" w:type="pct"/>
            <w:vMerge w:val="continue"/>
            <w:noWrap w:val="0"/>
            <w:vAlign w:val="center"/>
          </w:tcPr>
          <w:p w14:paraId="73945F05">
            <w:pPr>
              <w:jc w:val="center"/>
              <w:rPr>
                <w:rFonts w:ascii="Times New Roman" w:hAnsi="Times New Roman" w:eastAsia="宋体" w:cs="Times New Roman"/>
                <w:color w:val="auto"/>
                <w:szCs w:val="21"/>
                <w:highlight w:val="none"/>
              </w:rPr>
            </w:pPr>
          </w:p>
        </w:tc>
        <w:tc>
          <w:tcPr>
            <w:tcW w:w="730" w:type="pct"/>
            <w:noWrap w:val="0"/>
            <w:vAlign w:val="center"/>
          </w:tcPr>
          <w:p w14:paraId="5DF86843">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val="en-US" w:eastAsia="zh-CN"/>
              </w:rPr>
              <w:t>7</w:t>
            </w:r>
          </w:p>
        </w:tc>
        <w:tc>
          <w:tcPr>
            <w:tcW w:w="750" w:type="pct"/>
            <w:noWrap w:val="0"/>
            <w:vAlign w:val="center"/>
          </w:tcPr>
          <w:p w14:paraId="3460E9C2">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60</w:t>
            </w:r>
          </w:p>
        </w:tc>
        <w:tc>
          <w:tcPr>
            <w:tcW w:w="773" w:type="pct"/>
            <w:noWrap w:val="0"/>
            <w:vAlign w:val="center"/>
          </w:tcPr>
          <w:p w14:paraId="2FF0FF01">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11.7</w:t>
            </w:r>
          </w:p>
        </w:tc>
        <w:tc>
          <w:tcPr>
            <w:tcW w:w="1003" w:type="pct"/>
            <w:noWrap w:val="0"/>
            <w:vAlign w:val="center"/>
          </w:tcPr>
          <w:p w14:paraId="3521B52B">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达标</w:t>
            </w:r>
          </w:p>
        </w:tc>
      </w:tr>
      <w:tr w14:paraId="072D1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14BC14B5">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NO2</w:t>
            </w:r>
          </w:p>
        </w:tc>
        <w:tc>
          <w:tcPr>
            <w:tcW w:w="1185" w:type="pct"/>
            <w:vMerge w:val="continue"/>
            <w:noWrap w:val="0"/>
            <w:vAlign w:val="center"/>
          </w:tcPr>
          <w:p w14:paraId="05D954D5">
            <w:pPr>
              <w:jc w:val="center"/>
              <w:rPr>
                <w:rFonts w:ascii="Times New Roman" w:hAnsi="Times New Roman" w:eastAsia="宋体" w:cs="Times New Roman"/>
                <w:color w:val="auto"/>
                <w:szCs w:val="21"/>
                <w:highlight w:val="none"/>
              </w:rPr>
            </w:pPr>
          </w:p>
        </w:tc>
        <w:tc>
          <w:tcPr>
            <w:tcW w:w="730" w:type="pct"/>
            <w:noWrap w:val="0"/>
            <w:vAlign w:val="center"/>
          </w:tcPr>
          <w:p w14:paraId="25DA3567">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19</w:t>
            </w:r>
          </w:p>
        </w:tc>
        <w:tc>
          <w:tcPr>
            <w:tcW w:w="750" w:type="pct"/>
            <w:noWrap w:val="0"/>
            <w:vAlign w:val="center"/>
          </w:tcPr>
          <w:p w14:paraId="6DF4E998">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40</w:t>
            </w:r>
          </w:p>
        </w:tc>
        <w:tc>
          <w:tcPr>
            <w:tcW w:w="773" w:type="pct"/>
            <w:noWrap w:val="0"/>
            <w:vAlign w:val="center"/>
          </w:tcPr>
          <w:p w14:paraId="0C944E29">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4</w:t>
            </w:r>
            <w:r>
              <w:rPr>
                <w:rFonts w:ascii="Times New Roman" w:hAnsi="Times New Roman" w:eastAsia="宋体" w:cs="Times New Roman"/>
                <w:color w:val="auto"/>
                <w:szCs w:val="21"/>
                <w:highlight w:val="none"/>
              </w:rPr>
              <w:t>7.5</w:t>
            </w:r>
          </w:p>
        </w:tc>
        <w:tc>
          <w:tcPr>
            <w:tcW w:w="1003" w:type="pct"/>
            <w:noWrap w:val="0"/>
            <w:vAlign w:val="center"/>
          </w:tcPr>
          <w:p w14:paraId="2D2F6980">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达标</w:t>
            </w:r>
          </w:p>
        </w:tc>
      </w:tr>
      <w:tr w14:paraId="0CAE8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07216FD4">
            <w:pPr>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O3</w:t>
            </w:r>
          </w:p>
        </w:tc>
        <w:tc>
          <w:tcPr>
            <w:tcW w:w="1185" w:type="pct"/>
            <w:noWrap w:val="0"/>
            <w:vAlign w:val="center"/>
          </w:tcPr>
          <w:p w14:paraId="0A749EC8">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8h平均质量浓度</w:t>
            </w:r>
          </w:p>
        </w:tc>
        <w:tc>
          <w:tcPr>
            <w:tcW w:w="730" w:type="pct"/>
            <w:noWrap w:val="0"/>
            <w:vAlign w:val="center"/>
          </w:tcPr>
          <w:p w14:paraId="7E1077FC">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160</w:t>
            </w:r>
          </w:p>
        </w:tc>
        <w:tc>
          <w:tcPr>
            <w:tcW w:w="750" w:type="pct"/>
            <w:noWrap w:val="0"/>
            <w:vAlign w:val="center"/>
          </w:tcPr>
          <w:p w14:paraId="4D00F21C">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160</w:t>
            </w:r>
          </w:p>
        </w:tc>
        <w:tc>
          <w:tcPr>
            <w:tcW w:w="773" w:type="pct"/>
            <w:noWrap w:val="0"/>
            <w:vAlign w:val="center"/>
          </w:tcPr>
          <w:p w14:paraId="1EE56E29">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100</w:t>
            </w:r>
          </w:p>
        </w:tc>
        <w:tc>
          <w:tcPr>
            <w:tcW w:w="1003" w:type="pct"/>
            <w:noWrap w:val="0"/>
            <w:vAlign w:val="center"/>
          </w:tcPr>
          <w:p w14:paraId="445E8E02">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达标</w:t>
            </w:r>
          </w:p>
        </w:tc>
      </w:tr>
      <w:tr w14:paraId="7ADD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7EA74118">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CO</w:t>
            </w:r>
          </w:p>
        </w:tc>
        <w:tc>
          <w:tcPr>
            <w:tcW w:w="1185" w:type="pct"/>
            <w:noWrap w:val="0"/>
            <w:vAlign w:val="center"/>
          </w:tcPr>
          <w:p w14:paraId="05BAD849">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24小时平均</w:t>
            </w:r>
          </w:p>
        </w:tc>
        <w:tc>
          <w:tcPr>
            <w:tcW w:w="730" w:type="pct"/>
            <w:noWrap w:val="0"/>
            <w:vAlign w:val="center"/>
          </w:tcPr>
          <w:p w14:paraId="452C784E">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0.</w:t>
            </w:r>
            <w:r>
              <w:rPr>
                <w:rFonts w:hint="eastAsia" w:ascii="Times New Roman" w:hAnsi="Times New Roman" w:eastAsia="宋体" w:cs="Times New Roman"/>
                <w:color w:val="auto"/>
                <w:szCs w:val="21"/>
                <w:highlight w:val="none"/>
                <w:lang w:val="en-US" w:eastAsia="zh-CN"/>
              </w:rPr>
              <w:t>8</w:t>
            </w:r>
            <w:r>
              <w:rPr>
                <w:rFonts w:ascii="Times New Roman" w:hAnsi="Times New Roman" w:eastAsia="宋体" w:cs="Times New Roman"/>
                <w:color w:val="auto"/>
                <w:szCs w:val="21"/>
                <w:highlight w:val="none"/>
              </w:rPr>
              <w:t>mg/m³</w:t>
            </w:r>
          </w:p>
        </w:tc>
        <w:tc>
          <w:tcPr>
            <w:tcW w:w="750" w:type="pct"/>
            <w:noWrap w:val="0"/>
            <w:vAlign w:val="center"/>
          </w:tcPr>
          <w:p w14:paraId="25D2BD3A">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4mg/m³</w:t>
            </w:r>
          </w:p>
        </w:tc>
        <w:tc>
          <w:tcPr>
            <w:tcW w:w="773" w:type="pct"/>
            <w:noWrap w:val="0"/>
            <w:vAlign w:val="center"/>
          </w:tcPr>
          <w:p w14:paraId="42905A0C">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w:t>
            </w:r>
          </w:p>
        </w:tc>
        <w:tc>
          <w:tcPr>
            <w:tcW w:w="1003" w:type="pct"/>
            <w:noWrap w:val="0"/>
            <w:vAlign w:val="center"/>
          </w:tcPr>
          <w:p w14:paraId="76040639">
            <w:pPr>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达标</w:t>
            </w:r>
          </w:p>
        </w:tc>
      </w:tr>
    </w:tbl>
    <w:p w14:paraId="104042C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ascii="宋体" w:hAnsi="宋体" w:eastAsia="宋体" w:cs="宋体"/>
          <w:b w:val="0"/>
          <w:bCs w:val="0"/>
          <w:color w:val="auto"/>
          <w:sz w:val="24"/>
          <w:szCs w:val="24"/>
          <w:highlight w:val="none"/>
        </w:rPr>
      </w:pPr>
      <w:r>
        <w:rPr>
          <w:rFonts w:ascii="宋体" w:hAnsi="宋体" w:eastAsia="宋体" w:cs="宋体"/>
          <w:b w:val="0"/>
          <w:bCs w:val="0"/>
          <w:color w:val="auto"/>
          <w:sz w:val="24"/>
          <w:szCs w:val="24"/>
          <w:highlight w:val="none"/>
        </w:rPr>
        <w:t>由上表可知，评价区域环境空气基本污染物</w:t>
      </w:r>
      <w:r>
        <w:rPr>
          <w:rFonts w:ascii="Times New Roman" w:hAnsi="Times New Roman" w:eastAsia="Times New Roman" w:cs="Times New Roman"/>
          <w:b w:val="0"/>
          <w:bCs w:val="0"/>
          <w:color w:val="auto"/>
          <w:sz w:val="24"/>
          <w:szCs w:val="24"/>
          <w:highlight w:val="none"/>
        </w:rPr>
        <w:t>PM</w:t>
      </w:r>
      <w:r>
        <w:rPr>
          <w:rFonts w:hint="default" w:ascii="Times New Roman" w:hAnsi="Times New Roman" w:eastAsia="Times New Roman" w:cs="Times New Roman"/>
          <w:b w:val="0"/>
          <w:bCs w:val="0"/>
          <w:color w:val="auto"/>
          <w:sz w:val="15"/>
          <w:szCs w:val="15"/>
          <w:highlight w:val="none"/>
        </w:rPr>
        <w:t>10</w:t>
      </w:r>
      <w:r>
        <w:rPr>
          <w:rFonts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NO</w:t>
      </w:r>
      <w:r>
        <w:rPr>
          <w:rFonts w:hint="default" w:ascii="Times New Roman" w:hAnsi="Times New Roman" w:eastAsia="Times New Roman" w:cs="Times New Roman"/>
          <w:b w:val="0"/>
          <w:bCs w:val="0"/>
          <w:color w:val="auto"/>
          <w:sz w:val="15"/>
          <w:szCs w:val="15"/>
          <w:highlight w:val="none"/>
        </w:rPr>
        <w:t>2</w:t>
      </w:r>
      <w:r>
        <w:rPr>
          <w:rFonts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SO</w:t>
      </w:r>
      <w:r>
        <w:rPr>
          <w:rFonts w:hint="default" w:ascii="Times New Roman" w:hAnsi="Times New Roman" w:eastAsia="Times New Roman" w:cs="Times New Roman"/>
          <w:b w:val="0"/>
          <w:bCs w:val="0"/>
          <w:color w:val="auto"/>
          <w:sz w:val="15"/>
          <w:szCs w:val="15"/>
          <w:highlight w:val="none"/>
        </w:rPr>
        <w:t>2</w:t>
      </w:r>
      <w:r>
        <w:rPr>
          <w:rFonts w:ascii="宋体" w:hAnsi="宋体" w:eastAsia="宋体" w:cs="宋体"/>
          <w:b w:val="0"/>
          <w:bCs w:val="0"/>
          <w:color w:val="auto"/>
          <w:sz w:val="24"/>
          <w:szCs w:val="24"/>
          <w:highlight w:val="none"/>
        </w:rPr>
        <w:t>、</w:t>
      </w:r>
      <w:r>
        <w:rPr>
          <w:rFonts w:hint="default" w:ascii="Times New Roman" w:hAnsi="Times New Roman" w:eastAsia="Times New Roman" w:cs="Times New Roman"/>
          <w:b w:val="0"/>
          <w:bCs w:val="0"/>
          <w:color w:val="auto"/>
          <w:sz w:val="24"/>
          <w:szCs w:val="24"/>
          <w:highlight w:val="none"/>
        </w:rPr>
        <w:t>CO</w:t>
      </w:r>
      <w:r>
        <w:rPr>
          <w:rFonts w:ascii="宋体" w:hAnsi="宋体" w:eastAsia="宋体" w:cs="宋体"/>
          <w:b w:val="0"/>
          <w:bCs w:val="0"/>
          <w:color w:val="auto"/>
          <w:sz w:val="24"/>
          <w:szCs w:val="24"/>
          <w:highlight w:val="none"/>
        </w:rPr>
        <w:t>和</w:t>
      </w:r>
      <w:r>
        <w:rPr>
          <w:rFonts w:hint="default" w:ascii="Times New Roman" w:hAnsi="Times New Roman" w:eastAsia="Times New Roman" w:cs="Times New Roman"/>
          <w:b w:val="0"/>
          <w:bCs w:val="0"/>
          <w:color w:val="auto"/>
          <w:sz w:val="24"/>
          <w:szCs w:val="24"/>
          <w:highlight w:val="none"/>
        </w:rPr>
        <w:t>O</w:t>
      </w:r>
      <w:r>
        <w:rPr>
          <w:rFonts w:hint="default" w:ascii="Times New Roman" w:hAnsi="Times New Roman" w:eastAsia="Times New Roman" w:cs="Times New Roman"/>
          <w:b w:val="0"/>
          <w:bCs w:val="0"/>
          <w:color w:val="auto"/>
          <w:sz w:val="15"/>
          <w:szCs w:val="15"/>
          <w:highlight w:val="none"/>
        </w:rPr>
        <w:t>3</w:t>
      </w:r>
      <w:r>
        <w:rPr>
          <w:rFonts w:ascii="宋体" w:hAnsi="宋体" w:eastAsia="宋体" w:cs="宋体"/>
          <w:b w:val="0"/>
          <w:bCs w:val="0"/>
          <w:color w:val="auto"/>
          <w:sz w:val="24"/>
          <w:szCs w:val="24"/>
          <w:highlight w:val="none"/>
        </w:rPr>
        <w:t>均满足《环境空气质量标准》（</w:t>
      </w:r>
      <w:r>
        <w:rPr>
          <w:rFonts w:hint="default" w:ascii="Times New Roman" w:hAnsi="Times New Roman" w:eastAsia="Times New Roman" w:cs="Times New Roman"/>
          <w:b w:val="0"/>
          <w:bCs w:val="0"/>
          <w:color w:val="auto"/>
          <w:sz w:val="24"/>
          <w:szCs w:val="24"/>
          <w:highlight w:val="none"/>
        </w:rPr>
        <w:t>GB3095-2012</w:t>
      </w:r>
      <w:r>
        <w:rPr>
          <w:rFonts w:ascii="宋体" w:hAnsi="宋体" w:eastAsia="宋体" w:cs="宋体"/>
          <w:b w:val="0"/>
          <w:bCs w:val="0"/>
          <w:color w:val="auto"/>
          <w:sz w:val="24"/>
          <w:szCs w:val="24"/>
          <w:highlight w:val="none"/>
        </w:rPr>
        <w:t>）及</w:t>
      </w:r>
      <w:r>
        <w:rPr>
          <w:rFonts w:hint="default" w:ascii="Times New Roman" w:hAnsi="Times New Roman" w:eastAsia="Times New Roman" w:cs="Times New Roman"/>
          <w:b w:val="0"/>
          <w:bCs w:val="0"/>
          <w:color w:val="auto"/>
          <w:sz w:val="24"/>
          <w:szCs w:val="24"/>
          <w:highlight w:val="none"/>
        </w:rPr>
        <w:t>2018</w:t>
      </w:r>
      <w:r>
        <w:rPr>
          <w:rFonts w:ascii="宋体" w:hAnsi="宋体" w:eastAsia="宋体" w:cs="宋体"/>
          <w:b w:val="0"/>
          <w:bCs w:val="0"/>
          <w:color w:val="auto"/>
          <w:sz w:val="24"/>
          <w:szCs w:val="24"/>
          <w:highlight w:val="none"/>
        </w:rPr>
        <w:t>年修改单中二级标准，</w:t>
      </w:r>
      <w:r>
        <w:rPr>
          <w:rFonts w:hint="default" w:ascii="Times New Roman" w:hAnsi="Times New Roman" w:eastAsia="Times New Roman" w:cs="Times New Roman"/>
          <w:b w:val="0"/>
          <w:bCs w:val="0"/>
          <w:color w:val="auto"/>
          <w:sz w:val="24"/>
          <w:szCs w:val="24"/>
          <w:highlight w:val="none"/>
        </w:rPr>
        <w:t>PM</w:t>
      </w:r>
      <w:r>
        <w:rPr>
          <w:rFonts w:hint="default" w:ascii="Times New Roman" w:hAnsi="Times New Roman" w:eastAsia="Times New Roman" w:cs="Times New Roman"/>
          <w:b w:val="0"/>
          <w:bCs w:val="0"/>
          <w:color w:val="auto"/>
          <w:sz w:val="15"/>
          <w:szCs w:val="15"/>
          <w:highlight w:val="none"/>
        </w:rPr>
        <w:t>2.5</w:t>
      </w:r>
      <w:r>
        <w:rPr>
          <w:rFonts w:ascii="宋体" w:hAnsi="宋体" w:eastAsia="宋体" w:cs="宋体"/>
          <w:b w:val="0"/>
          <w:bCs w:val="0"/>
          <w:color w:val="auto"/>
          <w:sz w:val="24"/>
          <w:szCs w:val="24"/>
          <w:highlight w:val="none"/>
        </w:rPr>
        <w:t>不满足《环境空气质量标准》（</w:t>
      </w:r>
      <w:r>
        <w:rPr>
          <w:rFonts w:hint="default" w:ascii="Times New Roman" w:hAnsi="Times New Roman" w:eastAsia="Times New Roman" w:cs="Times New Roman"/>
          <w:b w:val="0"/>
          <w:bCs w:val="0"/>
          <w:color w:val="auto"/>
          <w:sz w:val="24"/>
          <w:szCs w:val="24"/>
          <w:highlight w:val="none"/>
        </w:rPr>
        <w:t>GB3095-2012</w:t>
      </w:r>
      <w:r>
        <w:rPr>
          <w:rFonts w:ascii="宋体" w:hAnsi="宋体" w:eastAsia="宋体" w:cs="宋体"/>
          <w:b w:val="0"/>
          <w:bCs w:val="0"/>
          <w:color w:val="auto"/>
          <w:sz w:val="24"/>
          <w:szCs w:val="24"/>
          <w:highlight w:val="none"/>
        </w:rPr>
        <w:t>）及</w:t>
      </w:r>
      <w:r>
        <w:rPr>
          <w:rFonts w:hint="default" w:ascii="Times New Roman" w:hAnsi="Times New Roman" w:eastAsia="Times New Roman" w:cs="Times New Roman"/>
          <w:b w:val="0"/>
          <w:bCs w:val="0"/>
          <w:color w:val="auto"/>
          <w:sz w:val="24"/>
          <w:szCs w:val="24"/>
          <w:highlight w:val="none"/>
        </w:rPr>
        <w:t>2018</w:t>
      </w:r>
      <w:r>
        <w:rPr>
          <w:rFonts w:ascii="宋体" w:hAnsi="宋体" w:eastAsia="宋体" w:cs="宋体"/>
          <w:b w:val="0"/>
          <w:bCs w:val="0"/>
          <w:color w:val="auto"/>
          <w:sz w:val="24"/>
          <w:szCs w:val="24"/>
          <w:highlight w:val="none"/>
        </w:rPr>
        <w:t>年修改单中二级标准。因此，淮南市为环境空气质量不达标区。</w:t>
      </w:r>
    </w:p>
    <w:p w14:paraId="376DE07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b w:val="0"/>
          <w:bCs/>
          <w:color w:val="auto"/>
          <w:sz w:val="24"/>
          <w:highlight w:val="none"/>
          <w:lang w:val="en-US" w:eastAsia="zh-CN"/>
        </w:rPr>
      </w:pPr>
      <w:r>
        <w:rPr>
          <w:rFonts w:hint="eastAsia" w:ascii="Times New Roman" w:hAnsi="Times New Roman" w:eastAsia="宋体"/>
          <w:b w:val="0"/>
          <w:bCs/>
          <w:color w:val="auto"/>
          <w:sz w:val="24"/>
          <w:highlight w:val="none"/>
          <w:lang w:val="en-US" w:eastAsia="zh-CN"/>
        </w:rPr>
        <w:t>针对环境质量状况，淮南市政府采取了一系列的措施：</w:t>
      </w:r>
    </w:p>
    <w:p w14:paraId="383ECAC1">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b w:val="0"/>
          <w:bCs/>
          <w:color w:val="auto"/>
          <w:sz w:val="24"/>
          <w:highlight w:val="none"/>
          <w:lang w:val="en"/>
        </w:rPr>
      </w:pPr>
      <w:r>
        <w:rPr>
          <w:rFonts w:hint="eastAsia" w:ascii="Times New Roman" w:hAnsi="Times New Roman" w:eastAsia="宋体"/>
          <w:b w:val="0"/>
          <w:bCs/>
          <w:color w:val="auto"/>
          <w:sz w:val="24"/>
          <w:highlight w:val="none"/>
          <w:lang w:val="en-US" w:eastAsia="zh-CN"/>
        </w:rPr>
        <w:t>对标先进制定规范：对标长三角地区，制定淮南市建设工程扬尘污染防治</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十达标</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措施，明确施工扬尘管控的具体标准和要求，从工地围挡、物料覆盖、洒水降尘等多方面规范施工行为，有效减少扬尘污染。建立协同工作机制：建立空气质量联席会商、重点区域监督帮扶、快速联动反应等一系列机制，通过定期会商分析空气质量状况，针对重点区域开展精准监督帮扶，对突发污染问题快速响应处置，全年发布建议2411条，帮扶县区100余次，推动解决问题1393个。制定全过程管理办法：在全省率先制定《淮南市农村黑臭水体治理全过程监督管理办法》，规范</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排查识别、成因分析、系统治理、项目管理、长效管控、责任追究</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的全过程，为农村黑臭水体治理提供系统性指导，确保治理工作有序推进。出台多领域协同政策：联合多部门出台金融、税务、交通等领域支持减污降碳协同创新政策。如《金融支持淮南市减污降碳协同创新试点工作的指导意见》，创新推出</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绿色贷</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和</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转型贷</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；出台</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绿色税务标签</w:t>
      </w:r>
      <w:r>
        <w:rPr>
          <w:rFonts w:hint="eastAsia"/>
          <w:b w:val="0"/>
          <w:bCs/>
          <w:color w:val="auto"/>
          <w:sz w:val="24"/>
          <w:highlight w:val="none"/>
          <w:lang w:val="en-US" w:eastAsia="zh-CN"/>
        </w:rPr>
        <w:t>”</w:t>
      </w:r>
      <w:r>
        <w:rPr>
          <w:rFonts w:hint="eastAsia" w:ascii="Times New Roman" w:hAnsi="Times New Roman" w:eastAsia="宋体"/>
          <w:b w:val="0"/>
          <w:bCs/>
          <w:color w:val="auto"/>
          <w:sz w:val="24"/>
          <w:highlight w:val="none"/>
          <w:lang w:val="en-US" w:eastAsia="zh-CN"/>
        </w:rPr>
        <w:t>，为符合条件企业给予税收减免优惠3.69亿元；出台《淮南市交通运输领域减污降碳协同创新实施方案》，优化交通运输结构，使铁、水运输量占比分别高出全省平均水平6.74和5.76个百分点。</w:t>
      </w:r>
    </w:p>
    <w:p w14:paraId="179E3C41">
      <w:pPr>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left"/>
        <w:textAlignment w:val="auto"/>
        <w:rPr>
          <w:rFonts w:ascii="Times New Roman" w:hAnsi="Times New Roman" w:eastAsia="宋体"/>
          <w:b/>
          <w:color w:val="auto"/>
          <w:sz w:val="24"/>
          <w:highlight w:val="none"/>
        </w:rPr>
      </w:pPr>
      <w:r>
        <w:rPr>
          <w:rFonts w:ascii="Times New Roman" w:hAnsi="Times New Roman" w:eastAsia="宋体"/>
          <w:b/>
          <w:color w:val="auto"/>
          <w:sz w:val="24"/>
          <w:highlight w:val="none"/>
        </w:rPr>
        <w:t>2</w:t>
      </w:r>
      <w:r>
        <w:rPr>
          <w:rFonts w:ascii="Times New Roman" w:hAnsi="宋体" w:eastAsia="宋体"/>
          <w:b/>
          <w:color w:val="auto"/>
          <w:sz w:val="24"/>
          <w:highlight w:val="none"/>
        </w:rPr>
        <w:t>、补充污染物环境质量现状分析</w:t>
      </w:r>
    </w:p>
    <w:p w14:paraId="516BF4D1">
      <w:pPr>
        <w:pStyle w:val="352"/>
        <w:ind w:firstLine="480"/>
        <w:rPr>
          <w:color w:val="auto"/>
          <w:highlight w:val="none"/>
        </w:rPr>
      </w:pPr>
      <w:r>
        <w:rPr>
          <w:color w:val="auto"/>
          <w:highlight w:val="none"/>
        </w:rPr>
        <w:t>（1）监测因子和监测点位</w:t>
      </w:r>
    </w:p>
    <w:p w14:paraId="52FC0626">
      <w:pPr>
        <w:pStyle w:val="352"/>
        <w:ind w:firstLine="480"/>
        <w:rPr>
          <w:color w:val="auto"/>
          <w:highlight w:val="none"/>
        </w:rPr>
      </w:pPr>
      <w:r>
        <w:rPr>
          <w:color w:val="auto"/>
          <w:highlight w:val="none"/>
        </w:rPr>
        <w:t>监测因子：</w:t>
      </w:r>
      <w:r>
        <w:rPr>
          <w:rFonts w:hint="eastAsia"/>
          <w:color w:val="auto"/>
          <w:highlight w:val="none"/>
          <w:lang w:val="en-US" w:eastAsia="zh-CN"/>
        </w:rPr>
        <w:t>TSP、H</w:t>
      </w:r>
      <w:r>
        <w:rPr>
          <w:rFonts w:hint="eastAsia"/>
          <w:color w:val="auto"/>
          <w:highlight w:val="none"/>
          <w:vertAlign w:val="subscript"/>
          <w:lang w:val="en-US" w:eastAsia="zh-CN"/>
        </w:rPr>
        <w:t>2</w:t>
      </w:r>
      <w:r>
        <w:rPr>
          <w:rFonts w:hint="eastAsia"/>
          <w:color w:val="auto"/>
          <w:highlight w:val="none"/>
          <w:lang w:val="en-US" w:eastAsia="zh-CN"/>
        </w:rPr>
        <w:t>S、非甲烷总烃、甲烷</w:t>
      </w:r>
      <w:r>
        <w:rPr>
          <w:color w:val="auto"/>
          <w:highlight w:val="none"/>
        </w:rPr>
        <w:t>。</w:t>
      </w:r>
    </w:p>
    <w:p w14:paraId="2185F122">
      <w:pPr>
        <w:pStyle w:val="352"/>
        <w:ind w:firstLine="480"/>
        <w:rPr>
          <w:color w:val="auto"/>
          <w:highlight w:val="none"/>
        </w:rPr>
      </w:pPr>
      <w:r>
        <w:rPr>
          <w:color w:val="auto"/>
          <w:highlight w:val="none"/>
        </w:rPr>
        <w:t>监测点位：</w:t>
      </w:r>
      <w:r>
        <w:rPr>
          <w:rFonts w:hint="eastAsia"/>
          <w:color w:val="auto"/>
          <w:highlight w:val="none"/>
        </w:rPr>
        <w:t>2</w:t>
      </w:r>
      <w:r>
        <w:rPr>
          <w:color w:val="auto"/>
          <w:highlight w:val="none"/>
        </w:rPr>
        <w:t>个。G1：</w:t>
      </w:r>
      <w:r>
        <w:rPr>
          <w:rFonts w:hint="eastAsia"/>
          <w:color w:val="auto"/>
          <w:highlight w:val="none"/>
          <w:lang w:val="en-US" w:eastAsia="zh-CN"/>
        </w:rPr>
        <w:t>项目厂区内</w:t>
      </w:r>
      <w:r>
        <w:rPr>
          <w:color w:val="auto"/>
          <w:highlight w:val="none"/>
        </w:rPr>
        <w:t>，</w:t>
      </w:r>
      <w:r>
        <w:rPr>
          <w:rFonts w:hint="eastAsia"/>
          <w:color w:val="auto"/>
          <w:highlight w:val="none"/>
        </w:rPr>
        <w:t>G2</w:t>
      </w:r>
      <w:r>
        <w:rPr>
          <w:rFonts w:hint="eastAsia"/>
          <w:color w:val="auto"/>
          <w:highlight w:val="none"/>
          <w:lang w:eastAsia="zh-CN"/>
        </w:rPr>
        <w:t>：</w:t>
      </w:r>
      <w:r>
        <w:rPr>
          <w:rFonts w:hint="eastAsia"/>
          <w:color w:val="auto"/>
          <w:highlight w:val="none"/>
          <w:lang w:val="en-US" w:eastAsia="zh-CN"/>
        </w:rPr>
        <w:t>连塘村</w:t>
      </w:r>
      <w:r>
        <w:rPr>
          <w:color w:val="auto"/>
          <w:highlight w:val="none"/>
        </w:rPr>
        <w:t>。</w:t>
      </w:r>
    </w:p>
    <w:p w14:paraId="66E481BE">
      <w:pPr>
        <w:pStyle w:val="352"/>
        <w:ind w:firstLine="480"/>
        <w:rPr>
          <w:color w:val="auto"/>
          <w:highlight w:val="none"/>
        </w:rPr>
      </w:pPr>
      <w:r>
        <w:rPr>
          <w:color w:val="auto"/>
          <w:highlight w:val="none"/>
        </w:rPr>
        <w:t>（2）监测时间和频次</w:t>
      </w:r>
    </w:p>
    <w:p w14:paraId="1C2E76A4">
      <w:pPr>
        <w:pStyle w:val="352"/>
        <w:ind w:firstLine="480"/>
        <w:rPr>
          <w:rFonts w:hint="eastAsia"/>
          <w:color w:val="auto"/>
          <w:highlight w:val="none"/>
          <w:lang w:val="en-US" w:eastAsia="zh-CN"/>
        </w:rPr>
      </w:pPr>
      <w:r>
        <w:rPr>
          <w:rFonts w:hint="eastAsia"/>
          <w:color w:val="auto"/>
          <w:highlight w:val="none"/>
          <w:lang w:val="en-US" w:eastAsia="zh-CN"/>
        </w:rPr>
        <w:t>TSP监测日均浓度，每日采样一次，每日24小时的采样时间；硫化氢、甲烷浓度监测小时浓度，小时值每天采样4次，每次不少于45min；非甲烷总烃监测一次浓度限，每日监测四次；同时记录风速、风向、气温、气压和天气状况。</w:t>
      </w:r>
    </w:p>
    <w:p w14:paraId="0F673DC9">
      <w:pPr>
        <w:pStyle w:val="352"/>
        <w:ind w:firstLine="480"/>
        <w:rPr>
          <w:color w:val="auto"/>
          <w:highlight w:val="none"/>
        </w:rPr>
      </w:pPr>
      <w:r>
        <w:rPr>
          <w:color w:val="auto"/>
          <w:highlight w:val="none"/>
        </w:rPr>
        <w:t>（3）监测点位布设</w:t>
      </w:r>
    </w:p>
    <w:p w14:paraId="6B4C88D1">
      <w:pPr>
        <w:pStyle w:val="352"/>
        <w:ind w:firstLine="480"/>
        <w:rPr>
          <w:color w:val="auto"/>
          <w:highlight w:val="none"/>
        </w:rPr>
      </w:pPr>
      <w:r>
        <w:rPr>
          <w:color w:val="auto"/>
          <w:highlight w:val="none"/>
        </w:rPr>
        <w:t>本次评价污染物补充监测点位基本信息见表4.2-2</w:t>
      </w:r>
      <w:r>
        <w:rPr>
          <w:rFonts w:hint="eastAsia"/>
          <w:color w:val="auto"/>
          <w:highlight w:val="none"/>
          <w:lang w:eastAsia="zh-CN"/>
        </w:rPr>
        <w:t>、</w:t>
      </w:r>
      <w:r>
        <w:rPr>
          <w:rFonts w:hint="eastAsia"/>
          <w:color w:val="auto"/>
          <w:highlight w:val="none"/>
          <w:lang w:val="en-US" w:eastAsia="zh-CN"/>
        </w:rPr>
        <w:t>图4.2-1</w:t>
      </w:r>
      <w:r>
        <w:rPr>
          <w:color w:val="auto"/>
          <w:highlight w:val="none"/>
        </w:rPr>
        <w:t>。</w:t>
      </w:r>
    </w:p>
    <w:p w14:paraId="588223E1">
      <w:pPr>
        <w:pStyle w:val="107"/>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color w:val="auto"/>
          <w:kern w:val="0"/>
          <w:highlight w:val="none"/>
        </w:rPr>
      </w:pPr>
      <w:r>
        <w:rPr>
          <w:color w:val="auto"/>
          <w:kern w:val="0"/>
          <w:highlight w:val="none"/>
        </w:rPr>
        <w:t>表4.2-2</w:t>
      </w:r>
      <w:r>
        <w:rPr>
          <w:rFonts w:hint="eastAsia"/>
          <w:color w:val="auto"/>
          <w:kern w:val="0"/>
          <w:highlight w:val="none"/>
          <w:lang w:val="en-US" w:eastAsia="zh-CN"/>
        </w:rPr>
        <w:t xml:space="preserve">  </w:t>
      </w:r>
      <w:r>
        <w:rPr>
          <w:color w:val="auto"/>
          <w:kern w:val="0"/>
          <w:highlight w:val="none"/>
        </w:rPr>
        <w:t>大气环境质量监测点位基本信息</w:t>
      </w:r>
    </w:p>
    <w:tbl>
      <w:tblPr>
        <w:tblStyle w:val="49"/>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606"/>
        <w:gridCol w:w="2029"/>
        <w:gridCol w:w="1500"/>
        <w:gridCol w:w="1539"/>
        <w:gridCol w:w="1845"/>
      </w:tblGrid>
      <w:tr w14:paraId="5F2BC6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2" w:type="pct"/>
            <w:tcBorders>
              <w:tl2br w:val="nil"/>
              <w:tr2bl w:val="nil"/>
            </w:tcBorders>
            <w:noWrap w:val="0"/>
            <w:vAlign w:val="center"/>
          </w:tcPr>
          <w:p w14:paraId="339A2527">
            <w:pPr>
              <w:autoSpaceDE w:val="0"/>
              <w:autoSpaceDN w:val="0"/>
              <w:adjustRightInd w:val="0"/>
              <w:snapToGrid w:val="0"/>
              <w:jc w:val="center"/>
              <w:rPr>
                <w:rFonts w:ascii="Times New Roman" w:hAnsi="Times New Roman" w:eastAsia="宋体"/>
                <w:b/>
                <w:bCs/>
                <w:color w:val="auto"/>
                <w:kern w:val="0"/>
                <w:szCs w:val="21"/>
                <w:highlight w:val="none"/>
              </w:rPr>
            </w:pPr>
            <w:r>
              <w:rPr>
                <w:rFonts w:ascii="Times New Roman" w:hAnsi="Times New Roman" w:eastAsia="宋体"/>
                <w:b/>
                <w:bCs/>
                <w:color w:val="auto"/>
                <w:kern w:val="0"/>
                <w:szCs w:val="21"/>
                <w:highlight w:val="none"/>
              </w:rPr>
              <w:t>监测点名称</w:t>
            </w:r>
          </w:p>
        </w:tc>
        <w:tc>
          <w:tcPr>
            <w:tcW w:w="1190" w:type="pct"/>
            <w:tcBorders>
              <w:tl2br w:val="nil"/>
              <w:tr2bl w:val="nil"/>
            </w:tcBorders>
            <w:noWrap w:val="0"/>
            <w:vAlign w:val="center"/>
          </w:tcPr>
          <w:p w14:paraId="170A9E9C">
            <w:pPr>
              <w:autoSpaceDE w:val="0"/>
              <w:autoSpaceDN w:val="0"/>
              <w:adjustRightInd w:val="0"/>
              <w:snapToGrid w:val="0"/>
              <w:jc w:val="center"/>
              <w:rPr>
                <w:rFonts w:ascii="Times New Roman" w:hAnsi="Times New Roman" w:eastAsia="宋体"/>
                <w:color w:val="auto"/>
                <w:kern w:val="0"/>
                <w:szCs w:val="21"/>
                <w:highlight w:val="none"/>
              </w:rPr>
            </w:pPr>
            <w:r>
              <w:rPr>
                <w:rFonts w:ascii="Times New Roman" w:hAnsi="Times New Roman" w:eastAsia="宋体"/>
                <w:b/>
                <w:bCs/>
                <w:color w:val="auto"/>
                <w:kern w:val="0"/>
                <w:szCs w:val="21"/>
                <w:highlight w:val="none"/>
              </w:rPr>
              <w:t>监测因子</w:t>
            </w:r>
          </w:p>
        </w:tc>
        <w:tc>
          <w:tcPr>
            <w:tcW w:w="880" w:type="pct"/>
            <w:tcBorders>
              <w:tl2br w:val="nil"/>
              <w:tr2bl w:val="nil"/>
            </w:tcBorders>
            <w:noWrap w:val="0"/>
            <w:vAlign w:val="center"/>
          </w:tcPr>
          <w:p w14:paraId="71627297">
            <w:pPr>
              <w:autoSpaceDE w:val="0"/>
              <w:autoSpaceDN w:val="0"/>
              <w:adjustRightInd w:val="0"/>
              <w:snapToGrid w:val="0"/>
              <w:jc w:val="center"/>
              <w:rPr>
                <w:rFonts w:ascii="Times New Roman" w:hAnsi="Times New Roman" w:eastAsia="宋体"/>
                <w:color w:val="auto"/>
                <w:kern w:val="0"/>
                <w:szCs w:val="21"/>
                <w:highlight w:val="none"/>
              </w:rPr>
            </w:pPr>
            <w:r>
              <w:rPr>
                <w:rFonts w:ascii="Times New Roman" w:hAnsi="Times New Roman" w:eastAsia="宋体"/>
                <w:b/>
                <w:bCs/>
                <w:color w:val="auto"/>
                <w:kern w:val="0"/>
                <w:szCs w:val="21"/>
                <w:highlight w:val="none"/>
              </w:rPr>
              <w:t>监测时间</w:t>
            </w:r>
          </w:p>
        </w:tc>
        <w:tc>
          <w:tcPr>
            <w:tcW w:w="903" w:type="pct"/>
            <w:tcBorders>
              <w:tl2br w:val="nil"/>
              <w:tr2bl w:val="nil"/>
            </w:tcBorders>
            <w:noWrap w:val="0"/>
            <w:vAlign w:val="center"/>
          </w:tcPr>
          <w:p w14:paraId="1EAA837F">
            <w:pPr>
              <w:autoSpaceDE w:val="0"/>
              <w:autoSpaceDN w:val="0"/>
              <w:adjustRightInd w:val="0"/>
              <w:snapToGrid w:val="0"/>
              <w:jc w:val="center"/>
              <w:rPr>
                <w:rFonts w:hint="eastAsia" w:ascii="Times New Roman" w:hAnsi="Times New Roman" w:eastAsia="宋体"/>
                <w:color w:val="auto"/>
                <w:kern w:val="0"/>
                <w:szCs w:val="21"/>
                <w:highlight w:val="none"/>
              </w:rPr>
            </w:pPr>
            <w:r>
              <w:rPr>
                <w:rFonts w:ascii="Times New Roman" w:hAnsi="Times New Roman" w:eastAsia="宋体"/>
                <w:b/>
                <w:bCs/>
                <w:color w:val="auto"/>
                <w:kern w:val="0"/>
                <w:szCs w:val="21"/>
                <w:highlight w:val="none"/>
              </w:rPr>
              <w:t>相对厂址方位</w:t>
            </w:r>
          </w:p>
        </w:tc>
        <w:tc>
          <w:tcPr>
            <w:tcW w:w="1082" w:type="pct"/>
            <w:tcBorders>
              <w:tl2br w:val="nil"/>
              <w:tr2bl w:val="nil"/>
            </w:tcBorders>
            <w:noWrap w:val="0"/>
            <w:vAlign w:val="center"/>
          </w:tcPr>
          <w:p w14:paraId="247CE2E0">
            <w:pPr>
              <w:autoSpaceDE w:val="0"/>
              <w:autoSpaceDN w:val="0"/>
              <w:adjustRightInd w:val="0"/>
              <w:snapToGrid w:val="0"/>
              <w:jc w:val="center"/>
              <w:rPr>
                <w:rFonts w:hint="eastAsia" w:ascii="Times New Roman" w:hAnsi="Times New Roman" w:eastAsia="宋体"/>
                <w:color w:val="auto"/>
                <w:kern w:val="0"/>
                <w:szCs w:val="21"/>
                <w:highlight w:val="none"/>
              </w:rPr>
            </w:pPr>
            <w:r>
              <w:rPr>
                <w:rFonts w:ascii="Times New Roman" w:hAnsi="Times New Roman" w:eastAsia="宋体"/>
                <w:b/>
                <w:bCs/>
                <w:color w:val="auto"/>
                <w:kern w:val="0"/>
                <w:szCs w:val="21"/>
                <w:highlight w:val="none"/>
              </w:rPr>
              <w:t>相对厂界距离/m</w:t>
            </w:r>
          </w:p>
        </w:tc>
      </w:tr>
      <w:tr w14:paraId="36CEE9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2" w:type="pct"/>
            <w:tcBorders>
              <w:tl2br w:val="nil"/>
              <w:tr2bl w:val="nil"/>
            </w:tcBorders>
            <w:noWrap w:val="0"/>
            <w:vAlign w:val="center"/>
          </w:tcPr>
          <w:p w14:paraId="3A0112FF">
            <w:pPr>
              <w:autoSpaceDE w:val="0"/>
              <w:autoSpaceDN w:val="0"/>
              <w:adjustRightInd w:val="0"/>
              <w:snapToGrid w:val="0"/>
              <w:jc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项目地</w:t>
            </w:r>
            <w:r>
              <w:rPr>
                <w:rFonts w:ascii="Times New Roman" w:hAnsi="Times New Roman" w:eastAsia="宋体"/>
                <w:color w:val="auto"/>
                <w:kern w:val="0"/>
                <w:szCs w:val="21"/>
                <w:highlight w:val="none"/>
              </w:rPr>
              <w:t>（</w:t>
            </w:r>
            <w:r>
              <w:rPr>
                <w:rFonts w:ascii="Times New Roman" w:hAnsi="Times New Roman" w:eastAsia="宋体"/>
                <w:color w:val="auto"/>
                <w:szCs w:val="21"/>
                <w:highlight w:val="none"/>
              </w:rPr>
              <w:t>G1</w:t>
            </w:r>
            <w:r>
              <w:rPr>
                <w:rFonts w:ascii="Times New Roman" w:hAnsi="Times New Roman" w:eastAsia="宋体"/>
                <w:color w:val="auto"/>
                <w:kern w:val="0"/>
                <w:szCs w:val="21"/>
                <w:highlight w:val="none"/>
              </w:rPr>
              <w:t>）</w:t>
            </w:r>
          </w:p>
        </w:tc>
        <w:tc>
          <w:tcPr>
            <w:tcW w:w="1190" w:type="pct"/>
            <w:tcBorders>
              <w:tl2br w:val="nil"/>
              <w:tr2bl w:val="nil"/>
            </w:tcBorders>
            <w:noWrap w:val="0"/>
            <w:vAlign w:val="center"/>
          </w:tcPr>
          <w:p w14:paraId="5176C2BF">
            <w:pPr>
              <w:autoSpaceDE w:val="0"/>
              <w:autoSpaceDN w:val="0"/>
              <w:adjustRightInd w:val="0"/>
              <w:snapToGrid w:val="0"/>
              <w:jc w:val="center"/>
              <w:rPr>
                <w:rFonts w:ascii="Times New Roman" w:hAnsi="Times New Roman" w:eastAsia="宋体"/>
                <w:color w:val="auto"/>
                <w:kern w:val="0"/>
                <w:szCs w:val="21"/>
                <w:highlight w:val="none"/>
              </w:rPr>
            </w:pPr>
            <w:r>
              <w:rPr>
                <w:rFonts w:hint="eastAsia"/>
                <w:color w:val="auto"/>
                <w:highlight w:val="none"/>
                <w:lang w:val="en-US" w:eastAsia="zh-CN"/>
              </w:rPr>
              <w:t>TSP、H</w:t>
            </w:r>
            <w:r>
              <w:rPr>
                <w:rFonts w:hint="eastAsia"/>
                <w:color w:val="auto"/>
                <w:highlight w:val="none"/>
                <w:vertAlign w:val="subscript"/>
                <w:lang w:val="en-US" w:eastAsia="zh-CN"/>
              </w:rPr>
              <w:t>2</w:t>
            </w:r>
            <w:r>
              <w:rPr>
                <w:rFonts w:hint="eastAsia"/>
                <w:color w:val="auto"/>
                <w:highlight w:val="none"/>
                <w:lang w:val="en-US" w:eastAsia="zh-CN"/>
              </w:rPr>
              <w:t>S、非甲烷总烃</w:t>
            </w:r>
          </w:p>
        </w:tc>
        <w:tc>
          <w:tcPr>
            <w:tcW w:w="880" w:type="pct"/>
            <w:tcBorders>
              <w:tl2br w:val="nil"/>
              <w:tr2bl w:val="nil"/>
            </w:tcBorders>
            <w:noWrap w:val="0"/>
            <w:vAlign w:val="center"/>
          </w:tcPr>
          <w:p w14:paraId="539F2ADF">
            <w:pPr>
              <w:autoSpaceDE w:val="0"/>
              <w:autoSpaceDN w:val="0"/>
              <w:adjustRightInd w:val="0"/>
              <w:snapToGrid w:val="0"/>
              <w:jc w:val="center"/>
              <w:rPr>
                <w:rFonts w:hint="eastAsia" w:ascii="Times New Roman" w:hAnsi="Times New Roman" w:eastAsia="宋体"/>
                <w:color w:val="auto"/>
                <w:kern w:val="0"/>
                <w:szCs w:val="21"/>
                <w:highlight w:val="none"/>
                <w:lang w:eastAsia="zh-CN"/>
              </w:rPr>
            </w:pPr>
            <w:r>
              <w:rPr>
                <w:rFonts w:ascii="Times New Roman" w:hAnsi="Times New Roman" w:eastAsia="宋体"/>
                <w:color w:val="auto"/>
                <w:kern w:val="0"/>
                <w:szCs w:val="21"/>
                <w:highlight w:val="none"/>
              </w:rPr>
              <w:t>202</w:t>
            </w:r>
            <w:r>
              <w:rPr>
                <w:rFonts w:hint="eastAsia" w:ascii="Times New Roman" w:hAnsi="Times New Roman" w:eastAsia="宋体"/>
                <w:color w:val="auto"/>
                <w:kern w:val="0"/>
                <w:szCs w:val="21"/>
                <w:highlight w:val="none"/>
                <w:lang w:val="en-US" w:eastAsia="zh-CN"/>
              </w:rPr>
              <w:t>5</w:t>
            </w:r>
            <w:r>
              <w:rPr>
                <w:rFonts w:ascii="Times New Roman" w:hAnsi="Times New Roman" w:eastAsia="宋体"/>
                <w:color w:val="auto"/>
                <w:kern w:val="0"/>
                <w:szCs w:val="21"/>
                <w:highlight w:val="none"/>
              </w:rPr>
              <w:t>.1.</w:t>
            </w:r>
            <w:r>
              <w:rPr>
                <w:rFonts w:hint="eastAsia" w:ascii="Times New Roman" w:hAnsi="Times New Roman" w:eastAsia="宋体"/>
                <w:color w:val="auto"/>
                <w:kern w:val="0"/>
                <w:szCs w:val="21"/>
                <w:highlight w:val="none"/>
                <w:lang w:val="en-US" w:eastAsia="zh-CN"/>
              </w:rPr>
              <w:t>2</w:t>
            </w:r>
            <w:r>
              <w:rPr>
                <w:rFonts w:ascii="Times New Roman" w:hAnsi="Times New Roman" w:eastAsia="宋体"/>
                <w:color w:val="auto"/>
                <w:kern w:val="0"/>
                <w:szCs w:val="21"/>
                <w:highlight w:val="none"/>
              </w:rPr>
              <w:t>-</w:t>
            </w:r>
            <w:r>
              <w:rPr>
                <w:rFonts w:hint="eastAsia" w:ascii="Times New Roman" w:hAnsi="Times New Roman" w:eastAsia="宋体"/>
                <w:color w:val="auto"/>
                <w:kern w:val="0"/>
                <w:szCs w:val="21"/>
                <w:highlight w:val="none"/>
                <w:lang w:val="en-US" w:eastAsia="zh-CN"/>
              </w:rPr>
              <w:t>8</w:t>
            </w:r>
          </w:p>
        </w:tc>
        <w:tc>
          <w:tcPr>
            <w:tcW w:w="903" w:type="pct"/>
            <w:tcBorders>
              <w:tl2br w:val="nil"/>
              <w:tr2bl w:val="nil"/>
            </w:tcBorders>
            <w:noWrap w:val="0"/>
            <w:vAlign w:val="center"/>
          </w:tcPr>
          <w:p w14:paraId="337365DE">
            <w:pPr>
              <w:autoSpaceDE w:val="0"/>
              <w:autoSpaceDN w:val="0"/>
              <w:adjustRightInd w:val="0"/>
              <w:snapToGrid w:val="0"/>
              <w:jc w:val="center"/>
              <w:rPr>
                <w:rFonts w:hint="eastAsia" w:ascii="Times New Roman" w:hAnsi="Times New Roman" w:eastAsia="宋体"/>
                <w:color w:val="auto"/>
                <w:kern w:val="0"/>
                <w:szCs w:val="21"/>
                <w:highlight w:val="none"/>
                <w:lang w:eastAsia="zh-CN"/>
              </w:rPr>
            </w:pPr>
            <w:r>
              <w:rPr>
                <w:rFonts w:hint="eastAsia" w:ascii="Times New Roman" w:hAnsi="Times New Roman" w:eastAsia="宋体"/>
                <w:color w:val="auto"/>
                <w:kern w:val="0"/>
                <w:szCs w:val="21"/>
                <w:highlight w:val="none"/>
                <w:lang w:val="en-US" w:eastAsia="zh-CN"/>
              </w:rPr>
              <w:t>/</w:t>
            </w:r>
          </w:p>
        </w:tc>
        <w:tc>
          <w:tcPr>
            <w:tcW w:w="1082" w:type="pct"/>
            <w:tcBorders>
              <w:tl2br w:val="nil"/>
              <w:tr2bl w:val="nil"/>
            </w:tcBorders>
            <w:noWrap w:val="0"/>
            <w:vAlign w:val="center"/>
          </w:tcPr>
          <w:p w14:paraId="74F17AD4">
            <w:pPr>
              <w:autoSpaceDE w:val="0"/>
              <w:autoSpaceDN w:val="0"/>
              <w:adjustRightInd w:val="0"/>
              <w:snapToGrid w:val="0"/>
              <w:jc w:val="center"/>
              <w:rPr>
                <w:rFonts w:hint="eastAsia" w:ascii="Times New Roman" w:hAnsi="Times New Roman" w:eastAsia="宋体"/>
                <w:color w:val="auto"/>
                <w:kern w:val="0"/>
                <w:szCs w:val="21"/>
                <w:highlight w:val="none"/>
                <w:lang w:eastAsia="zh-CN"/>
              </w:rPr>
            </w:pPr>
            <w:r>
              <w:rPr>
                <w:rFonts w:hint="eastAsia" w:ascii="Times New Roman" w:hAnsi="Times New Roman" w:eastAsia="宋体"/>
                <w:color w:val="auto"/>
                <w:kern w:val="0"/>
                <w:szCs w:val="21"/>
                <w:highlight w:val="none"/>
                <w:lang w:val="en-US" w:eastAsia="zh-CN"/>
              </w:rPr>
              <w:t>/</w:t>
            </w:r>
          </w:p>
        </w:tc>
      </w:tr>
      <w:tr w14:paraId="5D09EE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2" w:type="pct"/>
            <w:tcBorders>
              <w:tl2br w:val="nil"/>
              <w:tr2bl w:val="nil"/>
            </w:tcBorders>
            <w:noWrap w:val="0"/>
            <w:vAlign w:val="center"/>
          </w:tcPr>
          <w:p w14:paraId="427ED675">
            <w:pPr>
              <w:autoSpaceDE w:val="0"/>
              <w:autoSpaceDN w:val="0"/>
              <w:adjustRightInd w:val="0"/>
              <w:snapToGrid w:val="0"/>
              <w:jc w:val="center"/>
              <w:rPr>
                <w:rFonts w:ascii="Times New Roman" w:hAnsi="Times New Roman" w:eastAsia="宋体"/>
                <w:color w:val="auto"/>
                <w:kern w:val="0"/>
                <w:szCs w:val="21"/>
                <w:highlight w:val="none"/>
              </w:rPr>
            </w:pPr>
            <w:r>
              <w:rPr>
                <w:rFonts w:hint="eastAsia" w:ascii="宋体" w:hAnsi="宋体" w:eastAsia="宋体" w:cs="宋体"/>
                <w:i w:val="0"/>
                <w:iCs w:val="0"/>
                <w:color w:val="auto"/>
                <w:sz w:val="22"/>
                <w:szCs w:val="22"/>
                <w:highlight w:val="none"/>
                <w:u w:val="none"/>
                <w:lang w:val="en-US" w:eastAsia="zh-CN"/>
              </w:rPr>
              <w:t>连塘村</w:t>
            </w:r>
            <w:r>
              <w:rPr>
                <w:rFonts w:ascii="Times New Roman" w:hAnsi="Times New Roman" w:eastAsia="宋体"/>
                <w:color w:val="auto"/>
                <w:kern w:val="0"/>
                <w:szCs w:val="21"/>
                <w:highlight w:val="none"/>
              </w:rPr>
              <w:t>（</w:t>
            </w:r>
            <w:r>
              <w:rPr>
                <w:rFonts w:ascii="Times New Roman" w:hAnsi="Times New Roman" w:eastAsia="宋体"/>
                <w:color w:val="auto"/>
                <w:szCs w:val="21"/>
                <w:highlight w:val="none"/>
              </w:rPr>
              <w:t>G</w:t>
            </w:r>
            <w:r>
              <w:rPr>
                <w:rFonts w:hint="eastAsia" w:ascii="Times New Roman" w:hAnsi="Times New Roman" w:eastAsia="宋体"/>
                <w:color w:val="auto"/>
                <w:szCs w:val="21"/>
                <w:highlight w:val="none"/>
              </w:rPr>
              <w:t>2</w:t>
            </w:r>
            <w:r>
              <w:rPr>
                <w:rFonts w:ascii="Times New Roman" w:hAnsi="Times New Roman" w:eastAsia="宋体"/>
                <w:color w:val="auto"/>
                <w:kern w:val="0"/>
                <w:szCs w:val="21"/>
                <w:highlight w:val="none"/>
              </w:rPr>
              <w:t>）</w:t>
            </w:r>
          </w:p>
        </w:tc>
        <w:tc>
          <w:tcPr>
            <w:tcW w:w="1190" w:type="pct"/>
            <w:tcBorders>
              <w:tl2br w:val="nil"/>
              <w:tr2bl w:val="nil"/>
            </w:tcBorders>
            <w:noWrap w:val="0"/>
            <w:vAlign w:val="center"/>
          </w:tcPr>
          <w:p w14:paraId="542237D7">
            <w:pPr>
              <w:autoSpaceDE w:val="0"/>
              <w:autoSpaceDN w:val="0"/>
              <w:adjustRightInd w:val="0"/>
              <w:snapToGrid w:val="0"/>
              <w:jc w:val="center"/>
              <w:rPr>
                <w:rFonts w:ascii="Times New Roman" w:hAnsi="Times New Roman" w:eastAsia="宋体"/>
                <w:color w:val="auto"/>
                <w:kern w:val="0"/>
                <w:szCs w:val="21"/>
                <w:highlight w:val="none"/>
              </w:rPr>
            </w:pPr>
            <w:r>
              <w:rPr>
                <w:rFonts w:hint="eastAsia"/>
                <w:color w:val="auto"/>
                <w:highlight w:val="none"/>
                <w:lang w:val="en-US" w:eastAsia="zh-CN"/>
              </w:rPr>
              <w:t>TSP、H</w:t>
            </w:r>
            <w:r>
              <w:rPr>
                <w:rFonts w:hint="eastAsia"/>
                <w:color w:val="auto"/>
                <w:highlight w:val="none"/>
                <w:vertAlign w:val="subscript"/>
                <w:lang w:val="en-US" w:eastAsia="zh-CN"/>
              </w:rPr>
              <w:t>2</w:t>
            </w:r>
            <w:r>
              <w:rPr>
                <w:rFonts w:hint="eastAsia"/>
                <w:color w:val="auto"/>
                <w:highlight w:val="none"/>
                <w:lang w:val="en-US" w:eastAsia="zh-CN"/>
              </w:rPr>
              <w:t>S、非甲烷总烃</w:t>
            </w:r>
          </w:p>
        </w:tc>
        <w:tc>
          <w:tcPr>
            <w:tcW w:w="880" w:type="pct"/>
            <w:tcBorders>
              <w:tl2br w:val="nil"/>
              <w:tr2bl w:val="nil"/>
            </w:tcBorders>
            <w:noWrap w:val="0"/>
            <w:vAlign w:val="center"/>
          </w:tcPr>
          <w:p w14:paraId="4760D9DF">
            <w:pPr>
              <w:autoSpaceDE w:val="0"/>
              <w:autoSpaceDN w:val="0"/>
              <w:adjustRightInd w:val="0"/>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202</w:t>
            </w:r>
            <w:r>
              <w:rPr>
                <w:rFonts w:hint="eastAsia" w:ascii="Times New Roman" w:hAnsi="Times New Roman" w:eastAsia="宋体"/>
                <w:color w:val="auto"/>
                <w:kern w:val="0"/>
                <w:szCs w:val="21"/>
                <w:highlight w:val="none"/>
                <w:lang w:val="en-US" w:eastAsia="zh-CN"/>
              </w:rPr>
              <w:t>5</w:t>
            </w:r>
            <w:r>
              <w:rPr>
                <w:rFonts w:ascii="Times New Roman" w:hAnsi="Times New Roman" w:eastAsia="宋体"/>
                <w:color w:val="auto"/>
                <w:kern w:val="0"/>
                <w:szCs w:val="21"/>
                <w:highlight w:val="none"/>
              </w:rPr>
              <w:t>.1.</w:t>
            </w:r>
            <w:r>
              <w:rPr>
                <w:rFonts w:hint="eastAsia" w:ascii="Times New Roman" w:hAnsi="Times New Roman" w:eastAsia="宋体"/>
                <w:color w:val="auto"/>
                <w:kern w:val="0"/>
                <w:szCs w:val="21"/>
                <w:highlight w:val="none"/>
                <w:lang w:val="en-US" w:eastAsia="zh-CN"/>
              </w:rPr>
              <w:t>2</w:t>
            </w:r>
            <w:r>
              <w:rPr>
                <w:rFonts w:ascii="Times New Roman" w:hAnsi="Times New Roman" w:eastAsia="宋体"/>
                <w:color w:val="auto"/>
                <w:kern w:val="0"/>
                <w:szCs w:val="21"/>
                <w:highlight w:val="none"/>
              </w:rPr>
              <w:t>-</w:t>
            </w:r>
            <w:r>
              <w:rPr>
                <w:rFonts w:hint="eastAsia" w:ascii="Times New Roman" w:hAnsi="Times New Roman" w:eastAsia="宋体"/>
                <w:color w:val="auto"/>
                <w:kern w:val="0"/>
                <w:szCs w:val="21"/>
                <w:highlight w:val="none"/>
                <w:lang w:val="en-US" w:eastAsia="zh-CN"/>
              </w:rPr>
              <w:t>8</w:t>
            </w:r>
          </w:p>
        </w:tc>
        <w:tc>
          <w:tcPr>
            <w:tcW w:w="903" w:type="pct"/>
            <w:tcBorders>
              <w:tl2br w:val="nil"/>
              <w:tr2bl w:val="nil"/>
            </w:tcBorders>
            <w:noWrap w:val="0"/>
            <w:vAlign w:val="center"/>
          </w:tcPr>
          <w:p w14:paraId="263900F1">
            <w:pPr>
              <w:autoSpaceDE w:val="0"/>
              <w:autoSpaceDN w:val="0"/>
              <w:adjustRightInd w:val="0"/>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SW</w:t>
            </w:r>
          </w:p>
        </w:tc>
        <w:tc>
          <w:tcPr>
            <w:tcW w:w="1082" w:type="pct"/>
            <w:tcBorders>
              <w:tl2br w:val="nil"/>
              <w:tr2bl w:val="nil"/>
            </w:tcBorders>
            <w:noWrap w:val="0"/>
            <w:vAlign w:val="center"/>
          </w:tcPr>
          <w:p w14:paraId="7ECAC741">
            <w:pPr>
              <w:autoSpaceDE w:val="0"/>
              <w:autoSpaceDN w:val="0"/>
              <w:adjustRightInd w:val="0"/>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840</w:t>
            </w:r>
          </w:p>
        </w:tc>
      </w:tr>
    </w:tbl>
    <w:p w14:paraId="3EBBCF9A">
      <w:pPr>
        <w:pStyle w:val="23"/>
        <w:jc w:val="center"/>
        <w:rPr>
          <w:rFonts w:ascii="Times New Roman" w:hAnsi="Times New Roman"/>
          <w:color w:val="auto"/>
          <w:highlight w:val="none"/>
        </w:rPr>
      </w:pPr>
      <w:r>
        <w:rPr>
          <w:color w:val="auto"/>
          <w:highlight w:val="none"/>
        </w:rPr>
        <w:drawing>
          <wp:inline distT="0" distB="0" distL="114300" distR="114300">
            <wp:extent cx="5266690" cy="3307080"/>
            <wp:effectExtent l="0" t="0" r="10160" b="7620"/>
            <wp:docPr id="56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324"/>
                    <pic:cNvPicPr>
                      <a:picLocks noChangeAspect="1"/>
                    </pic:cNvPicPr>
                  </pic:nvPicPr>
                  <pic:blipFill>
                    <a:blip r:embed="rId47"/>
                    <a:stretch>
                      <a:fillRect/>
                    </a:stretch>
                  </pic:blipFill>
                  <pic:spPr>
                    <a:xfrm>
                      <a:off x="0" y="0"/>
                      <a:ext cx="5266690" cy="3307080"/>
                    </a:xfrm>
                    <a:prstGeom prst="rect">
                      <a:avLst/>
                    </a:prstGeom>
                    <a:noFill/>
                    <a:ln>
                      <a:noFill/>
                    </a:ln>
                  </pic:spPr>
                </pic:pic>
              </a:graphicData>
            </a:graphic>
          </wp:inline>
        </w:drawing>
      </w:r>
    </w:p>
    <w:p w14:paraId="458CEB7A">
      <w:pPr>
        <w:pStyle w:val="23"/>
        <w:jc w:val="center"/>
        <w:rPr>
          <w:rFonts w:ascii="Times New Roman" w:hAnsi="Times New Roman"/>
          <w:b/>
          <w:color w:val="auto"/>
          <w:sz w:val="24"/>
          <w:highlight w:val="none"/>
        </w:rPr>
      </w:pPr>
      <w:r>
        <w:rPr>
          <w:rFonts w:ascii="Times New Roman" w:hAnsi="Times New Roman"/>
          <w:b/>
          <w:color w:val="auto"/>
          <w:sz w:val="24"/>
          <w:highlight w:val="none"/>
        </w:rPr>
        <w:t>图4.2-1</w:t>
      </w:r>
      <w:r>
        <w:rPr>
          <w:rFonts w:hint="eastAsia" w:ascii="Times New Roman" w:hAnsi="Times New Roman"/>
          <w:b/>
          <w:color w:val="auto"/>
          <w:sz w:val="24"/>
          <w:highlight w:val="none"/>
          <w:lang w:val="en-US" w:eastAsia="zh-CN"/>
        </w:rPr>
        <w:t xml:space="preserve">  </w:t>
      </w:r>
      <w:r>
        <w:rPr>
          <w:rFonts w:ascii="Times New Roman" w:hAnsi="Times New Roman"/>
          <w:b/>
          <w:color w:val="auto"/>
          <w:sz w:val="24"/>
          <w:highlight w:val="none"/>
        </w:rPr>
        <w:t>大气</w:t>
      </w:r>
      <w:r>
        <w:rPr>
          <w:rFonts w:hint="eastAsia" w:ascii="Times New Roman" w:hAnsi="Times New Roman"/>
          <w:b/>
          <w:color w:val="auto"/>
          <w:sz w:val="24"/>
          <w:highlight w:val="none"/>
          <w:lang w:eastAsia="zh-CN"/>
        </w:rPr>
        <w:t>、</w:t>
      </w:r>
      <w:r>
        <w:rPr>
          <w:rFonts w:hint="eastAsia" w:ascii="Times New Roman" w:hAnsi="Times New Roman"/>
          <w:b/>
          <w:color w:val="auto"/>
          <w:sz w:val="24"/>
          <w:highlight w:val="none"/>
          <w:lang w:val="en-US" w:eastAsia="zh-CN"/>
        </w:rPr>
        <w:t>地下水</w:t>
      </w:r>
      <w:r>
        <w:rPr>
          <w:rFonts w:ascii="Times New Roman" w:hAnsi="Times New Roman"/>
          <w:b/>
          <w:color w:val="auto"/>
          <w:sz w:val="24"/>
          <w:highlight w:val="none"/>
        </w:rPr>
        <w:t>监测点位示意图</w:t>
      </w:r>
    </w:p>
    <w:p w14:paraId="49634819">
      <w:pPr>
        <w:pStyle w:val="352"/>
        <w:ind w:firstLine="480"/>
        <w:rPr>
          <w:color w:val="auto"/>
          <w:highlight w:val="none"/>
        </w:rPr>
      </w:pPr>
      <w:r>
        <w:rPr>
          <w:color w:val="auto"/>
          <w:kern w:val="0"/>
          <w:highlight w:val="none"/>
        </w:rPr>
        <w:t>（4）评价方法</w:t>
      </w:r>
    </w:p>
    <w:p w14:paraId="12DC63C0">
      <w:pPr>
        <w:pStyle w:val="352"/>
        <w:ind w:firstLine="480"/>
        <w:rPr>
          <w:color w:val="auto"/>
          <w:kern w:val="0"/>
          <w:highlight w:val="none"/>
        </w:rPr>
      </w:pPr>
      <w:r>
        <w:rPr>
          <w:color w:val="auto"/>
          <w:kern w:val="0"/>
          <w:highlight w:val="none"/>
        </w:rPr>
        <w:t>根据《环境影响评价技术导则大气环境》中子最大浓度占标率对单因子进行评价，最大浓度占标率计算公式为：</w:t>
      </w:r>
    </w:p>
    <w:p w14:paraId="0BBB6515">
      <w:pPr>
        <w:autoSpaceDE w:val="0"/>
        <w:autoSpaceDN w:val="0"/>
        <w:adjustRightInd w:val="0"/>
        <w:snapToGrid w:val="0"/>
        <w:jc w:val="center"/>
        <w:rPr>
          <w:rFonts w:ascii="Times New Roman" w:hAnsi="Times New Roman" w:eastAsia="宋体"/>
          <w:color w:val="auto"/>
          <w:kern w:val="0"/>
          <w:sz w:val="24"/>
          <w:szCs w:val="24"/>
          <w:highlight w:val="none"/>
        </w:rPr>
      </w:pPr>
      <w:r>
        <w:rPr>
          <w:rFonts w:ascii="Times New Roman" w:hAnsi="Times New Roman" w:eastAsia="宋体"/>
          <w:color w:val="auto"/>
          <w:kern w:val="0"/>
          <w:sz w:val="24"/>
          <w:szCs w:val="24"/>
          <w:highlight w:val="none"/>
        </w:rPr>
        <w:drawing>
          <wp:inline distT="0" distB="0" distL="114300" distR="114300">
            <wp:extent cx="1472565" cy="590550"/>
            <wp:effectExtent l="0" t="0" r="13335" b="0"/>
            <wp:docPr id="5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24"/>
                    <pic:cNvPicPr>
                      <a:picLocks noChangeAspect="1"/>
                    </pic:cNvPicPr>
                  </pic:nvPicPr>
                  <pic:blipFill>
                    <a:blip r:embed="rId48"/>
                    <a:stretch>
                      <a:fillRect/>
                    </a:stretch>
                  </pic:blipFill>
                  <pic:spPr>
                    <a:xfrm>
                      <a:off x="0" y="0"/>
                      <a:ext cx="1472565" cy="590550"/>
                    </a:xfrm>
                    <a:prstGeom prst="rect">
                      <a:avLst/>
                    </a:prstGeom>
                    <a:noFill/>
                    <a:ln>
                      <a:noFill/>
                    </a:ln>
                  </pic:spPr>
                </pic:pic>
              </a:graphicData>
            </a:graphic>
          </wp:inline>
        </w:drawing>
      </w:r>
    </w:p>
    <w:p w14:paraId="237AA7FB">
      <w:pPr>
        <w:widowControl/>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kern w:val="0"/>
          <w:sz w:val="24"/>
          <w:szCs w:val="24"/>
          <w:highlight w:val="none"/>
        </w:rPr>
        <w:t>式中：</w:t>
      </w:r>
      <w:r>
        <w:rPr>
          <w:rFonts w:ascii="Times New Roman" w:hAnsi="Times New Roman" w:eastAsia="宋体"/>
          <w:i/>
          <w:iCs/>
          <w:color w:val="auto"/>
          <w:kern w:val="0"/>
          <w:sz w:val="24"/>
          <w:szCs w:val="24"/>
          <w:highlight w:val="none"/>
        </w:rPr>
        <w:t>Pi</w:t>
      </w:r>
      <w:r>
        <w:rPr>
          <w:rFonts w:ascii="Times New Roman" w:hAnsi="Times New Roman" w:eastAsia="宋体"/>
          <w:color w:val="auto"/>
          <w:kern w:val="0"/>
          <w:sz w:val="24"/>
          <w:szCs w:val="24"/>
          <w:highlight w:val="none"/>
        </w:rPr>
        <w:t>—第</w:t>
      </w:r>
      <w:r>
        <w:rPr>
          <w:rFonts w:ascii="Times New Roman" w:hAnsi="Times New Roman" w:eastAsia="宋体"/>
          <w:i/>
          <w:iCs/>
          <w:color w:val="auto"/>
          <w:kern w:val="0"/>
          <w:sz w:val="24"/>
          <w:szCs w:val="24"/>
          <w:highlight w:val="none"/>
        </w:rPr>
        <w:t>i</w:t>
      </w:r>
      <w:r>
        <w:rPr>
          <w:rFonts w:ascii="Times New Roman" w:hAnsi="Times New Roman" w:eastAsia="宋体"/>
          <w:color w:val="auto"/>
          <w:kern w:val="0"/>
          <w:sz w:val="24"/>
          <w:szCs w:val="24"/>
          <w:highlight w:val="none"/>
        </w:rPr>
        <w:t>污染物的最大地面空气质量浓度占标率；</w:t>
      </w:r>
    </w:p>
    <w:p w14:paraId="3811E728">
      <w:pPr>
        <w:widowControl/>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i/>
          <w:iCs/>
          <w:color w:val="auto"/>
          <w:kern w:val="0"/>
          <w:sz w:val="24"/>
          <w:szCs w:val="24"/>
          <w:highlight w:val="none"/>
        </w:rPr>
        <w:t>Ci</w:t>
      </w:r>
      <w:r>
        <w:rPr>
          <w:rFonts w:ascii="Times New Roman" w:hAnsi="Times New Roman" w:eastAsia="宋体"/>
          <w:color w:val="auto"/>
          <w:kern w:val="0"/>
          <w:sz w:val="24"/>
          <w:szCs w:val="24"/>
          <w:highlight w:val="none"/>
        </w:rPr>
        <w:t>―</w:t>
      </w:r>
      <w:r>
        <w:rPr>
          <w:rFonts w:ascii="Times New Roman" w:hAnsi="Times New Roman" w:eastAsia="宋体"/>
          <w:i/>
          <w:iCs/>
          <w:color w:val="auto"/>
          <w:kern w:val="0"/>
          <w:sz w:val="24"/>
          <w:szCs w:val="24"/>
          <w:highlight w:val="none"/>
        </w:rPr>
        <w:t>i</w:t>
      </w:r>
      <w:r>
        <w:rPr>
          <w:rFonts w:ascii="Times New Roman" w:hAnsi="Times New Roman" w:eastAsia="宋体"/>
          <w:color w:val="auto"/>
          <w:kern w:val="0"/>
          <w:sz w:val="24"/>
          <w:szCs w:val="24"/>
          <w:highlight w:val="none"/>
        </w:rPr>
        <w:t>污染物实测浓度，mg/m</w:t>
      </w:r>
      <w:r>
        <w:rPr>
          <w:rFonts w:ascii="Times New Roman" w:hAnsi="Times New Roman" w:eastAsia="宋体"/>
          <w:color w:val="auto"/>
          <w:kern w:val="0"/>
          <w:sz w:val="24"/>
          <w:szCs w:val="24"/>
          <w:highlight w:val="none"/>
          <w:vertAlign w:val="superscript"/>
        </w:rPr>
        <w:t>3</w:t>
      </w:r>
      <w:r>
        <w:rPr>
          <w:rFonts w:ascii="Times New Roman" w:hAnsi="Times New Roman" w:eastAsia="宋体"/>
          <w:color w:val="auto"/>
          <w:kern w:val="0"/>
          <w:sz w:val="24"/>
          <w:szCs w:val="24"/>
          <w:highlight w:val="none"/>
        </w:rPr>
        <w:t>；</w:t>
      </w:r>
    </w:p>
    <w:p w14:paraId="16F5E5D8">
      <w:pPr>
        <w:widowControl/>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i/>
          <w:iCs/>
          <w:color w:val="auto"/>
          <w:kern w:val="0"/>
          <w:sz w:val="24"/>
          <w:szCs w:val="24"/>
          <w:highlight w:val="none"/>
        </w:rPr>
        <w:t>Csi</w:t>
      </w:r>
      <w:r>
        <w:rPr>
          <w:rFonts w:ascii="Times New Roman" w:hAnsi="Times New Roman" w:eastAsia="宋体"/>
          <w:color w:val="auto"/>
          <w:kern w:val="0"/>
          <w:sz w:val="24"/>
          <w:szCs w:val="24"/>
          <w:highlight w:val="none"/>
        </w:rPr>
        <w:t>―</w:t>
      </w:r>
      <w:r>
        <w:rPr>
          <w:rFonts w:ascii="Times New Roman" w:hAnsi="Times New Roman" w:eastAsia="宋体"/>
          <w:i/>
          <w:iCs/>
          <w:color w:val="auto"/>
          <w:kern w:val="0"/>
          <w:sz w:val="24"/>
          <w:szCs w:val="24"/>
          <w:highlight w:val="none"/>
        </w:rPr>
        <w:t>i</w:t>
      </w:r>
      <w:r>
        <w:rPr>
          <w:rFonts w:ascii="Times New Roman" w:hAnsi="Times New Roman" w:eastAsia="宋体"/>
          <w:color w:val="auto"/>
          <w:kern w:val="0"/>
          <w:sz w:val="24"/>
          <w:szCs w:val="24"/>
          <w:highlight w:val="none"/>
        </w:rPr>
        <w:t>污染物评价标准，mg/m</w:t>
      </w:r>
      <w:r>
        <w:rPr>
          <w:rFonts w:ascii="Times New Roman" w:hAnsi="Times New Roman" w:eastAsia="宋体"/>
          <w:color w:val="auto"/>
          <w:kern w:val="0"/>
          <w:sz w:val="24"/>
          <w:szCs w:val="24"/>
          <w:highlight w:val="none"/>
          <w:vertAlign w:val="superscript"/>
        </w:rPr>
        <w:t>3</w:t>
      </w:r>
      <w:r>
        <w:rPr>
          <w:rFonts w:ascii="Times New Roman" w:hAnsi="Times New Roman" w:eastAsia="宋体"/>
          <w:color w:val="auto"/>
          <w:kern w:val="0"/>
          <w:sz w:val="24"/>
          <w:szCs w:val="24"/>
          <w:highlight w:val="none"/>
        </w:rPr>
        <w:t>。</w:t>
      </w:r>
    </w:p>
    <w:p w14:paraId="1C72DBF9">
      <w:pPr>
        <w:widowControl/>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kern w:val="0"/>
          <w:sz w:val="24"/>
          <w:szCs w:val="24"/>
          <w:highlight w:val="none"/>
        </w:rPr>
        <w:t>当最大浓度占标率</w:t>
      </w:r>
      <w:r>
        <w:rPr>
          <w:rFonts w:ascii="Times New Roman" w:hAnsi="Times New Roman" w:eastAsia="宋体"/>
          <w:i/>
          <w:iCs/>
          <w:color w:val="auto"/>
          <w:kern w:val="0"/>
          <w:sz w:val="24"/>
          <w:szCs w:val="24"/>
          <w:highlight w:val="none"/>
        </w:rPr>
        <w:t>Ii</w:t>
      </w:r>
      <w:r>
        <w:rPr>
          <w:rFonts w:ascii="Times New Roman" w:hAnsi="Times New Roman" w:eastAsia="宋体"/>
          <w:color w:val="auto"/>
          <w:kern w:val="0"/>
          <w:sz w:val="24"/>
          <w:szCs w:val="24"/>
          <w:highlight w:val="none"/>
        </w:rPr>
        <w:t>≥1为超标，否则为未超标。</w:t>
      </w:r>
    </w:p>
    <w:p w14:paraId="4B80488F">
      <w:pPr>
        <w:widowControl/>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kern w:val="0"/>
          <w:sz w:val="24"/>
          <w:szCs w:val="24"/>
          <w:highlight w:val="none"/>
        </w:rPr>
        <w:t>（5）监测结果</w:t>
      </w:r>
    </w:p>
    <w:p w14:paraId="4338EEEB">
      <w:pPr>
        <w:pStyle w:val="107"/>
        <w:spacing w:line="240" w:lineRule="auto"/>
        <w:jc w:val="center"/>
        <w:rPr>
          <w:bCs/>
          <w:color w:val="auto"/>
          <w:highlight w:val="none"/>
        </w:rPr>
      </w:pPr>
      <w:r>
        <w:rPr>
          <w:color w:val="auto"/>
          <w:kern w:val="0"/>
          <w:highlight w:val="none"/>
        </w:rPr>
        <w:t>4.2-3</w:t>
      </w:r>
      <w:r>
        <w:rPr>
          <w:rFonts w:hint="eastAsia"/>
          <w:color w:val="auto"/>
          <w:kern w:val="0"/>
          <w:highlight w:val="none"/>
          <w:lang w:val="en-US" w:eastAsia="zh-CN"/>
        </w:rPr>
        <w:t xml:space="preserve">  </w:t>
      </w:r>
      <w:r>
        <w:rPr>
          <w:color w:val="auto"/>
          <w:kern w:val="0"/>
          <w:highlight w:val="none"/>
        </w:rPr>
        <w:t>环境质量现状监测结果表</w:t>
      </w:r>
    </w:p>
    <w:tbl>
      <w:tblPr>
        <w:tblStyle w:val="49"/>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39"/>
        <w:gridCol w:w="1043"/>
        <w:gridCol w:w="1358"/>
        <w:gridCol w:w="1606"/>
        <w:gridCol w:w="1159"/>
        <w:gridCol w:w="1282"/>
        <w:gridCol w:w="702"/>
        <w:gridCol w:w="728"/>
      </w:tblGrid>
      <w:tr w14:paraId="0E527F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5" w:type="pct"/>
            <w:tcBorders>
              <w:tl2br w:val="nil"/>
              <w:tr2bl w:val="nil"/>
            </w:tcBorders>
            <w:noWrap w:val="0"/>
            <w:vAlign w:val="center"/>
          </w:tcPr>
          <w:p w14:paraId="10698F3C">
            <w:pPr>
              <w:widowControl/>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编号</w:t>
            </w:r>
          </w:p>
        </w:tc>
        <w:tc>
          <w:tcPr>
            <w:tcW w:w="612" w:type="pct"/>
            <w:tcBorders>
              <w:tl2br w:val="nil"/>
              <w:tr2bl w:val="nil"/>
            </w:tcBorders>
            <w:noWrap w:val="0"/>
            <w:vAlign w:val="center"/>
          </w:tcPr>
          <w:p w14:paraId="65DEC337">
            <w:pPr>
              <w:widowControl/>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污染物</w:t>
            </w:r>
          </w:p>
        </w:tc>
        <w:tc>
          <w:tcPr>
            <w:tcW w:w="797" w:type="pct"/>
            <w:tcBorders>
              <w:tl2br w:val="nil"/>
              <w:tr2bl w:val="nil"/>
            </w:tcBorders>
            <w:noWrap w:val="0"/>
            <w:vAlign w:val="center"/>
          </w:tcPr>
          <w:p w14:paraId="29C82F9D">
            <w:pPr>
              <w:widowControl/>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平均时间</w:t>
            </w:r>
          </w:p>
        </w:tc>
        <w:tc>
          <w:tcPr>
            <w:tcW w:w="942" w:type="pct"/>
            <w:tcBorders>
              <w:tl2br w:val="nil"/>
              <w:tr2bl w:val="nil"/>
            </w:tcBorders>
            <w:noWrap w:val="0"/>
            <w:vAlign w:val="center"/>
          </w:tcPr>
          <w:p w14:paraId="16564025">
            <w:pPr>
              <w:widowControl/>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监测浓度范围/（mg/m</w:t>
            </w:r>
            <w:r>
              <w:rPr>
                <w:rFonts w:ascii="Times New Roman" w:hAnsi="Times New Roman" w:eastAsia="宋体"/>
                <w:b/>
                <w:bCs/>
                <w:color w:val="auto"/>
                <w:szCs w:val="21"/>
                <w:highlight w:val="none"/>
                <w:vertAlign w:val="superscript"/>
              </w:rPr>
              <w:t>3</w:t>
            </w:r>
            <w:r>
              <w:rPr>
                <w:rFonts w:ascii="Times New Roman" w:hAnsi="Times New Roman" w:eastAsia="宋体"/>
                <w:b/>
                <w:bCs/>
                <w:color w:val="auto"/>
                <w:szCs w:val="21"/>
                <w:highlight w:val="none"/>
              </w:rPr>
              <w:t>）</w:t>
            </w:r>
          </w:p>
        </w:tc>
        <w:tc>
          <w:tcPr>
            <w:tcW w:w="680" w:type="pct"/>
            <w:tcBorders>
              <w:tl2br w:val="nil"/>
              <w:tr2bl w:val="nil"/>
            </w:tcBorders>
            <w:noWrap w:val="0"/>
            <w:vAlign w:val="center"/>
          </w:tcPr>
          <w:p w14:paraId="12FCCBDA">
            <w:pPr>
              <w:widowControl/>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最大浓度占标率</w:t>
            </w:r>
          </w:p>
        </w:tc>
        <w:tc>
          <w:tcPr>
            <w:tcW w:w="752" w:type="pct"/>
            <w:tcBorders>
              <w:tl2br w:val="nil"/>
              <w:tr2bl w:val="nil"/>
            </w:tcBorders>
            <w:noWrap w:val="0"/>
            <w:vAlign w:val="center"/>
          </w:tcPr>
          <w:p w14:paraId="25395AF6">
            <w:pPr>
              <w:widowControl/>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评价标准（mg/m</w:t>
            </w:r>
            <w:r>
              <w:rPr>
                <w:rFonts w:ascii="Times New Roman" w:hAnsi="Times New Roman" w:eastAsia="宋体"/>
                <w:b/>
                <w:bCs/>
                <w:color w:val="auto"/>
                <w:szCs w:val="21"/>
                <w:highlight w:val="none"/>
                <w:vertAlign w:val="superscript"/>
              </w:rPr>
              <w:t>3</w:t>
            </w:r>
            <w:r>
              <w:rPr>
                <w:rFonts w:ascii="Times New Roman" w:hAnsi="Times New Roman" w:eastAsia="宋体"/>
                <w:b/>
                <w:bCs/>
                <w:color w:val="auto"/>
                <w:szCs w:val="21"/>
                <w:highlight w:val="none"/>
              </w:rPr>
              <w:t>）</w:t>
            </w:r>
          </w:p>
        </w:tc>
        <w:tc>
          <w:tcPr>
            <w:tcW w:w="412" w:type="pct"/>
            <w:tcBorders>
              <w:tl2br w:val="nil"/>
              <w:tr2bl w:val="nil"/>
            </w:tcBorders>
            <w:noWrap w:val="0"/>
            <w:vAlign w:val="center"/>
          </w:tcPr>
          <w:p w14:paraId="04F1C34B">
            <w:pPr>
              <w:widowControl/>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超标率%</w:t>
            </w:r>
          </w:p>
        </w:tc>
        <w:tc>
          <w:tcPr>
            <w:tcW w:w="427" w:type="pct"/>
            <w:tcBorders>
              <w:tl2br w:val="nil"/>
              <w:tr2bl w:val="nil"/>
            </w:tcBorders>
            <w:noWrap w:val="0"/>
            <w:vAlign w:val="center"/>
          </w:tcPr>
          <w:p w14:paraId="469264C2">
            <w:pPr>
              <w:widowControl/>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达标情况</w:t>
            </w:r>
          </w:p>
        </w:tc>
      </w:tr>
      <w:tr w14:paraId="3D991D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75" w:type="pct"/>
            <w:vMerge w:val="restart"/>
            <w:tcBorders>
              <w:tl2br w:val="nil"/>
              <w:tr2bl w:val="nil"/>
            </w:tcBorders>
            <w:noWrap w:val="0"/>
            <w:vAlign w:val="center"/>
          </w:tcPr>
          <w:p w14:paraId="3C1CE127">
            <w:pPr>
              <w:widowControl/>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rPr>
              <w:t>G</w:t>
            </w:r>
            <w:r>
              <w:rPr>
                <w:rFonts w:hint="eastAsia" w:ascii="Times New Roman" w:hAnsi="Times New Roman" w:eastAsia="宋体"/>
                <w:color w:val="auto"/>
                <w:szCs w:val="21"/>
                <w:highlight w:val="none"/>
                <w:lang w:val="en-US" w:eastAsia="zh-CN"/>
              </w:rPr>
              <w:t>1</w:t>
            </w:r>
          </w:p>
        </w:tc>
        <w:tc>
          <w:tcPr>
            <w:tcW w:w="612" w:type="pct"/>
            <w:tcBorders>
              <w:tl2br w:val="nil"/>
              <w:tr2bl w:val="nil"/>
            </w:tcBorders>
            <w:noWrap w:val="0"/>
            <w:vAlign w:val="center"/>
          </w:tcPr>
          <w:p w14:paraId="066CE763">
            <w:pPr>
              <w:widowControl/>
              <w:jc w:val="center"/>
              <w:rPr>
                <w:rFonts w:ascii="Times New Roman" w:hAnsi="Times New Roman" w:eastAsia="宋体"/>
                <w:color w:val="auto"/>
                <w:szCs w:val="21"/>
                <w:highlight w:val="none"/>
              </w:rPr>
            </w:pPr>
            <w:r>
              <w:rPr>
                <w:color w:val="auto"/>
                <w:highlight w:val="none"/>
              </w:rPr>
              <w:t>TSP</w:t>
            </w:r>
          </w:p>
        </w:tc>
        <w:tc>
          <w:tcPr>
            <w:tcW w:w="797" w:type="pct"/>
            <w:tcBorders>
              <w:tl2br w:val="nil"/>
              <w:tr2bl w:val="nil"/>
            </w:tcBorders>
            <w:noWrap w:val="0"/>
            <w:vAlign w:val="center"/>
          </w:tcPr>
          <w:p w14:paraId="638EF4EF">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日平均</w:t>
            </w:r>
          </w:p>
        </w:tc>
        <w:tc>
          <w:tcPr>
            <w:tcW w:w="942" w:type="pct"/>
            <w:tcBorders>
              <w:tl2br w:val="nil"/>
              <w:tr2bl w:val="nil"/>
            </w:tcBorders>
            <w:noWrap w:val="0"/>
            <w:vAlign w:val="center"/>
          </w:tcPr>
          <w:p w14:paraId="337944B2">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0.206~0.269</w:t>
            </w:r>
          </w:p>
        </w:tc>
        <w:tc>
          <w:tcPr>
            <w:tcW w:w="680" w:type="pct"/>
            <w:tcBorders>
              <w:tl2br w:val="nil"/>
              <w:tr2bl w:val="nil"/>
            </w:tcBorders>
            <w:noWrap w:val="0"/>
            <w:vAlign w:val="center"/>
          </w:tcPr>
          <w:p w14:paraId="7D802E26">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89.7%</w:t>
            </w:r>
          </w:p>
        </w:tc>
        <w:tc>
          <w:tcPr>
            <w:tcW w:w="752" w:type="pct"/>
            <w:tcBorders>
              <w:tl2br w:val="nil"/>
              <w:tr2bl w:val="nil"/>
            </w:tcBorders>
            <w:noWrap w:val="0"/>
            <w:vAlign w:val="center"/>
          </w:tcPr>
          <w:p w14:paraId="0313FC10">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0.3</w:t>
            </w:r>
          </w:p>
        </w:tc>
        <w:tc>
          <w:tcPr>
            <w:tcW w:w="412" w:type="pct"/>
            <w:tcBorders>
              <w:tl2br w:val="nil"/>
              <w:tr2bl w:val="nil"/>
            </w:tcBorders>
            <w:noWrap w:val="0"/>
            <w:vAlign w:val="center"/>
          </w:tcPr>
          <w:p w14:paraId="47995115">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w:t>
            </w:r>
          </w:p>
        </w:tc>
        <w:tc>
          <w:tcPr>
            <w:tcW w:w="427" w:type="pct"/>
            <w:tcBorders>
              <w:tl2br w:val="nil"/>
              <w:tr2bl w:val="nil"/>
            </w:tcBorders>
            <w:noWrap w:val="0"/>
            <w:vAlign w:val="center"/>
          </w:tcPr>
          <w:p w14:paraId="05E13A8D">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达标</w:t>
            </w:r>
          </w:p>
        </w:tc>
      </w:tr>
      <w:tr w14:paraId="1769FC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75" w:type="pct"/>
            <w:vMerge w:val="continue"/>
            <w:tcBorders>
              <w:tl2br w:val="nil"/>
              <w:tr2bl w:val="nil"/>
            </w:tcBorders>
            <w:noWrap w:val="0"/>
            <w:vAlign w:val="center"/>
          </w:tcPr>
          <w:p w14:paraId="5671BFA2">
            <w:pPr>
              <w:widowControl/>
              <w:jc w:val="center"/>
              <w:rPr>
                <w:rFonts w:ascii="Times New Roman" w:hAnsi="Times New Roman" w:eastAsia="宋体"/>
                <w:color w:val="auto"/>
                <w:szCs w:val="21"/>
                <w:highlight w:val="none"/>
              </w:rPr>
            </w:pPr>
          </w:p>
        </w:tc>
        <w:tc>
          <w:tcPr>
            <w:tcW w:w="612" w:type="pct"/>
            <w:tcBorders>
              <w:tl2br w:val="nil"/>
              <w:tr2bl w:val="nil"/>
            </w:tcBorders>
            <w:noWrap w:val="0"/>
            <w:vAlign w:val="center"/>
          </w:tcPr>
          <w:p w14:paraId="2D363E0B">
            <w:pPr>
              <w:widowControl/>
              <w:jc w:val="center"/>
              <w:rPr>
                <w:rFonts w:ascii="Times New Roman" w:hAnsi="Times New Roman" w:eastAsia="宋体"/>
                <w:color w:val="auto"/>
                <w:szCs w:val="21"/>
                <w:highlight w:val="none"/>
              </w:rPr>
            </w:pPr>
            <w:r>
              <w:rPr>
                <w:rFonts w:hint="eastAsia"/>
                <w:color w:val="auto"/>
                <w:highlight w:val="none"/>
                <w:lang w:val="en-US" w:eastAsia="zh-CN"/>
              </w:rPr>
              <w:t>H</w:t>
            </w:r>
            <w:r>
              <w:rPr>
                <w:rFonts w:hint="eastAsia"/>
                <w:color w:val="auto"/>
                <w:highlight w:val="none"/>
                <w:vertAlign w:val="subscript"/>
                <w:lang w:val="en-US" w:eastAsia="zh-CN"/>
              </w:rPr>
              <w:t>2</w:t>
            </w:r>
            <w:r>
              <w:rPr>
                <w:rFonts w:hint="eastAsia"/>
                <w:color w:val="auto"/>
                <w:highlight w:val="none"/>
                <w:lang w:val="en-US" w:eastAsia="zh-CN"/>
              </w:rPr>
              <w:t>S</w:t>
            </w:r>
          </w:p>
        </w:tc>
        <w:tc>
          <w:tcPr>
            <w:tcW w:w="797" w:type="pct"/>
            <w:tcBorders>
              <w:tl2br w:val="nil"/>
              <w:tr2bl w:val="nil"/>
            </w:tcBorders>
            <w:noWrap w:val="0"/>
            <w:vAlign w:val="center"/>
          </w:tcPr>
          <w:p w14:paraId="14DF7202">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1小时平均</w:t>
            </w:r>
          </w:p>
        </w:tc>
        <w:tc>
          <w:tcPr>
            <w:tcW w:w="942" w:type="pct"/>
            <w:tcBorders>
              <w:tl2br w:val="nil"/>
              <w:tr2bl w:val="nil"/>
            </w:tcBorders>
            <w:noWrap w:val="0"/>
            <w:vAlign w:val="center"/>
          </w:tcPr>
          <w:p w14:paraId="49BBEFF4">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ND</w:t>
            </w:r>
          </w:p>
        </w:tc>
        <w:tc>
          <w:tcPr>
            <w:tcW w:w="680" w:type="pct"/>
            <w:tcBorders>
              <w:tl2br w:val="nil"/>
              <w:tr2bl w:val="nil"/>
            </w:tcBorders>
            <w:noWrap w:val="0"/>
            <w:vAlign w:val="center"/>
          </w:tcPr>
          <w:p w14:paraId="67A470E0">
            <w:pPr>
              <w:widowControl/>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w:t>
            </w:r>
          </w:p>
        </w:tc>
        <w:tc>
          <w:tcPr>
            <w:tcW w:w="752" w:type="pct"/>
            <w:tcBorders>
              <w:tl2br w:val="nil"/>
              <w:tr2bl w:val="nil"/>
            </w:tcBorders>
            <w:noWrap w:val="0"/>
            <w:vAlign w:val="center"/>
          </w:tcPr>
          <w:p w14:paraId="153ED2A1">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0.01</w:t>
            </w:r>
          </w:p>
        </w:tc>
        <w:tc>
          <w:tcPr>
            <w:tcW w:w="412" w:type="pct"/>
            <w:tcBorders>
              <w:tl2br w:val="nil"/>
              <w:tr2bl w:val="nil"/>
            </w:tcBorders>
            <w:noWrap w:val="0"/>
            <w:vAlign w:val="center"/>
          </w:tcPr>
          <w:p w14:paraId="0F19C15B">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w:t>
            </w:r>
          </w:p>
        </w:tc>
        <w:tc>
          <w:tcPr>
            <w:tcW w:w="427" w:type="pct"/>
            <w:tcBorders>
              <w:tl2br w:val="nil"/>
              <w:tr2bl w:val="nil"/>
            </w:tcBorders>
            <w:noWrap w:val="0"/>
            <w:vAlign w:val="center"/>
          </w:tcPr>
          <w:p w14:paraId="401A25A6">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达标</w:t>
            </w:r>
          </w:p>
        </w:tc>
      </w:tr>
      <w:tr w14:paraId="67BCB0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5" w:type="pct"/>
            <w:vMerge w:val="continue"/>
            <w:tcBorders>
              <w:tl2br w:val="nil"/>
              <w:tr2bl w:val="nil"/>
            </w:tcBorders>
            <w:noWrap w:val="0"/>
            <w:vAlign w:val="center"/>
          </w:tcPr>
          <w:p w14:paraId="07F06F78">
            <w:pPr>
              <w:widowControl/>
              <w:jc w:val="center"/>
              <w:rPr>
                <w:rFonts w:ascii="Times New Roman" w:hAnsi="Times New Roman" w:eastAsia="宋体"/>
                <w:color w:val="auto"/>
                <w:szCs w:val="21"/>
                <w:highlight w:val="none"/>
              </w:rPr>
            </w:pPr>
          </w:p>
        </w:tc>
        <w:tc>
          <w:tcPr>
            <w:tcW w:w="612" w:type="pct"/>
            <w:tcBorders>
              <w:tl2br w:val="nil"/>
              <w:tr2bl w:val="nil"/>
            </w:tcBorders>
            <w:noWrap w:val="0"/>
            <w:vAlign w:val="center"/>
          </w:tcPr>
          <w:p w14:paraId="6284166B">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非甲烷总烃</w:t>
            </w:r>
          </w:p>
        </w:tc>
        <w:tc>
          <w:tcPr>
            <w:tcW w:w="797" w:type="pct"/>
            <w:tcBorders>
              <w:tl2br w:val="nil"/>
              <w:tr2bl w:val="nil"/>
            </w:tcBorders>
            <w:noWrap w:val="0"/>
            <w:vAlign w:val="center"/>
          </w:tcPr>
          <w:p w14:paraId="132ED92F">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一次浓度值</w:t>
            </w:r>
          </w:p>
        </w:tc>
        <w:tc>
          <w:tcPr>
            <w:tcW w:w="942" w:type="pct"/>
            <w:tcBorders>
              <w:tl2br w:val="nil"/>
              <w:tr2bl w:val="nil"/>
            </w:tcBorders>
            <w:noWrap w:val="0"/>
            <w:vAlign w:val="center"/>
          </w:tcPr>
          <w:p w14:paraId="452810B5">
            <w:pPr>
              <w:widowControl/>
              <w:jc w:val="center"/>
              <w:rPr>
                <w:rFonts w:ascii="Times New Roman" w:hAnsi="Times New Roman" w:eastAsia="宋体"/>
                <w:color w:val="auto"/>
                <w:szCs w:val="21"/>
                <w:highlight w:val="none"/>
              </w:rPr>
            </w:pPr>
            <w:r>
              <w:rPr>
                <w:rFonts w:hint="eastAsia" w:ascii="Times New Roman" w:hAnsi="Times New Roman" w:eastAsia="宋体"/>
                <w:color w:val="auto"/>
                <w:kern w:val="0"/>
                <w:szCs w:val="21"/>
                <w:highlight w:val="none"/>
                <w:lang w:val="en-US" w:eastAsia="zh-CN"/>
              </w:rPr>
              <w:t>1.07</w:t>
            </w:r>
            <w:r>
              <w:rPr>
                <w:rFonts w:ascii="Times New Roman" w:hAnsi="Times New Roman" w:eastAsia="宋体"/>
                <w:color w:val="auto"/>
                <w:kern w:val="0"/>
                <w:szCs w:val="21"/>
                <w:highlight w:val="none"/>
              </w:rPr>
              <w:t>~</w:t>
            </w:r>
            <w:r>
              <w:rPr>
                <w:rFonts w:hint="eastAsia" w:ascii="Times New Roman" w:hAnsi="Times New Roman" w:eastAsia="宋体"/>
                <w:color w:val="auto"/>
                <w:kern w:val="0"/>
                <w:szCs w:val="21"/>
                <w:highlight w:val="none"/>
                <w:lang w:val="en-US" w:eastAsia="zh-CN"/>
              </w:rPr>
              <w:t>1.24</w:t>
            </w:r>
          </w:p>
        </w:tc>
        <w:tc>
          <w:tcPr>
            <w:tcW w:w="680" w:type="pct"/>
            <w:tcBorders>
              <w:tl2br w:val="nil"/>
              <w:tr2bl w:val="nil"/>
            </w:tcBorders>
            <w:noWrap w:val="0"/>
            <w:vAlign w:val="center"/>
          </w:tcPr>
          <w:p w14:paraId="3C64EF39">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62%</w:t>
            </w:r>
          </w:p>
        </w:tc>
        <w:tc>
          <w:tcPr>
            <w:tcW w:w="752" w:type="pct"/>
            <w:tcBorders>
              <w:tl2br w:val="nil"/>
              <w:tr2bl w:val="nil"/>
            </w:tcBorders>
            <w:noWrap w:val="0"/>
            <w:vAlign w:val="center"/>
          </w:tcPr>
          <w:p w14:paraId="33F31CF3">
            <w:pPr>
              <w:widowControl/>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2</w:t>
            </w:r>
          </w:p>
        </w:tc>
        <w:tc>
          <w:tcPr>
            <w:tcW w:w="412" w:type="pct"/>
            <w:tcBorders>
              <w:tl2br w:val="nil"/>
              <w:tr2bl w:val="nil"/>
            </w:tcBorders>
            <w:noWrap w:val="0"/>
            <w:vAlign w:val="center"/>
          </w:tcPr>
          <w:p w14:paraId="54E8B555">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w:t>
            </w:r>
          </w:p>
        </w:tc>
        <w:tc>
          <w:tcPr>
            <w:tcW w:w="427" w:type="pct"/>
            <w:tcBorders>
              <w:tl2br w:val="nil"/>
              <w:tr2bl w:val="nil"/>
            </w:tcBorders>
            <w:noWrap w:val="0"/>
            <w:vAlign w:val="center"/>
          </w:tcPr>
          <w:p w14:paraId="4CF26133">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达标</w:t>
            </w:r>
          </w:p>
        </w:tc>
      </w:tr>
      <w:tr w14:paraId="73C579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75" w:type="pct"/>
            <w:vMerge w:val="restart"/>
            <w:tcBorders>
              <w:tl2br w:val="nil"/>
              <w:tr2bl w:val="nil"/>
            </w:tcBorders>
            <w:noWrap w:val="0"/>
            <w:vAlign w:val="center"/>
          </w:tcPr>
          <w:p w14:paraId="20941F70">
            <w:pPr>
              <w:widowControl/>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G2</w:t>
            </w:r>
          </w:p>
        </w:tc>
        <w:tc>
          <w:tcPr>
            <w:tcW w:w="612" w:type="pct"/>
            <w:tcBorders>
              <w:tl2br w:val="nil"/>
              <w:tr2bl w:val="nil"/>
            </w:tcBorders>
            <w:noWrap w:val="0"/>
            <w:vAlign w:val="center"/>
          </w:tcPr>
          <w:p w14:paraId="436D6DEF">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zCs w:val="21"/>
                <w:highlight w:val="none"/>
              </w:rPr>
            </w:pPr>
            <w:r>
              <w:rPr>
                <w:color w:val="auto"/>
                <w:highlight w:val="none"/>
              </w:rPr>
              <w:t>TSP</w:t>
            </w:r>
          </w:p>
        </w:tc>
        <w:tc>
          <w:tcPr>
            <w:tcW w:w="797" w:type="pct"/>
            <w:tcBorders>
              <w:tl2br w:val="nil"/>
              <w:tr2bl w:val="nil"/>
            </w:tcBorders>
            <w:noWrap w:val="0"/>
            <w:vAlign w:val="center"/>
          </w:tcPr>
          <w:p w14:paraId="3F351AC8">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日平均</w:t>
            </w:r>
          </w:p>
        </w:tc>
        <w:tc>
          <w:tcPr>
            <w:tcW w:w="942" w:type="pct"/>
            <w:tcBorders>
              <w:tl2br w:val="nil"/>
              <w:tr2bl w:val="nil"/>
            </w:tcBorders>
            <w:noWrap w:val="0"/>
            <w:vAlign w:val="center"/>
          </w:tcPr>
          <w:p w14:paraId="5546A3A0">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0.061~0.078</w:t>
            </w:r>
          </w:p>
        </w:tc>
        <w:tc>
          <w:tcPr>
            <w:tcW w:w="680" w:type="pct"/>
            <w:tcBorders>
              <w:tl2br w:val="nil"/>
              <w:tr2bl w:val="nil"/>
            </w:tcBorders>
            <w:noWrap w:val="0"/>
            <w:vAlign w:val="center"/>
          </w:tcPr>
          <w:p w14:paraId="397D1140">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26%</w:t>
            </w:r>
          </w:p>
        </w:tc>
        <w:tc>
          <w:tcPr>
            <w:tcW w:w="752" w:type="pct"/>
            <w:tcBorders>
              <w:tl2br w:val="nil"/>
              <w:tr2bl w:val="nil"/>
            </w:tcBorders>
            <w:noWrap w:val="0"/>
            <w:vAlign w:val="center"/>
          </w:tcPr>
          <w:p w14:paraId="67793009">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0.3</w:t>
            </w:r>
          </w:p>
        </w:tc>
        <w:tc>
          <w:tcPr>
            <w:tcW w:w="412" w:type="pct"/>
            <w:tcBorders>
              <w:tl2br w:val="nil"/>
              <w:tr2bl w:val="nil"/>
            </w:tcBorders>
            <w:noWrap w:val="0"/>
            <w:vAlign w:val="center"/>
          </w:tcPr>
          <w:p w14:paraId="1DE2173F">
            <w:pPr>
              <w:widowControl/>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w:t>
            </w:r>
          </w:p>
        </w:tc>
        <w:tc>
          <w:tcPr>
            <w:tcW w:w="427" w:type="pct"/>
            <w:tcBorders>
              <w:tl2br w:val="nil"/>
              <w:tr2bl w:val="nil"/>
            </w:tcBorders>
            <w:noWrap w:val="0"/>
            <w:vAlign w:val="center"/>
          </w:tcPr>
          <w:p w14:paraId="3F24DF86">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达标</w:t>
            </w:r>
          </w:p>
        </w:tc>
      </w:tr>
      <w:tr w14:paraId="316F1B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375" w:type="pct"/>
            <w:vMerge w:val="continue"/>
            <w:tcBorders>
              <w:tl2br w:val="nil"/>
              <w:tr2bl w:val="nil"/>
            </w:tcBorders>
            <w:noWrap w:val="0"/>
            <w:vAlign w:val="center"/>
          </w:tcPr>
          <w:p w14:paraId="55C5EB82">
            <w:pPr>
              <w:widowControl/>
              <w:jc w:val="center"/>
              <w:rPr>
                <w:rFonts w:ascii="Times New Roman" w:hAnsi="Times New Roman" w:eastAsia="宋体"/>
                <w:color w:val="auto"/>
                <w:szCs w:val="21"/>
                <w:highlight w:val="none"/>
              </w:rPr>
            </w:pPr>
          </w:p>
        </w:tc>
        <w:tc>
          <w:tcPr>
            <w:tcW w:w="612" w:type="pct"/>
            <w:tcBorders>
              <w:tl2br w:val="nil"/>
              <w:tr2bl w:val="nil"/>
            </w:tcBorders>
            <w:noWrap w:val="0"/>
            <w:vAlign w:val="center"/>
          </w:tcPr>
          <w:p w14:paraId="4DB3475F">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ascii="Times New Roman" w:hAnsi="Times New Roman" w:eastAsia="宋体"/>
                <w:color w:val="auto"/>
                <w:szCs w:val="21"/>
                <w:highlight w:val="none"/>
              </w:rPr>
            </w:pPr>
            <w:r>
              <w:rPr>
                <w:rFonts w:hint="eastAsia"/>
                <w:color w:val="auto"/>
                <w:highlight w:val="none"/>
                <w:lang w:val="en-US" w:eastAsia="zh-CN"/>
              </w:rPr>
              <w:t>H</w:t>
            </w:r>
            <w:r>
              <w:rPr>
                <w:rFonts w:hint="eastAsia"/>
                <w:color w:val="auto"/>
                <w:highlight w:val="none"/>
                <w:vertAlign w:val="subscript"/>
                <w:lang w:val="en-US" w:eastAsia="zh-CN"/>
              </w:rPr>
              <w:t>2</w:t>
            </w:r>
            <w:r>
              <w:rPr>
                <w:rFonts w:hint="eastAsia"/>
                <w:color w:val="auto"/>
                <w:highlight w:val="none"/>
                <w:lang w:val="en-US" w:eastAsia="zh-CN"/>
              </w:rPr>
              <w:t>S</w:t>
            </w:r>
          </w:p>
        </w:tc>
        <w:tc>
          <w:tcPr>
            <w:tcW w:w="797" w:type="pct"/>
            <w:tcBorders>
              <w:tl2br w:val="nil"/>
              <w:tr2bl w:val="nil"/>
            </w:tcBorders>
            <w:noWrap w:val="0"/>
            <w:vAlign w:val="center"/>
          </w:tcPr>
          <w:p w14:paraId="5D281C67">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1小时平均</w:t>
            </w:r>
          </w:p>
        </w:tc>
        <w:tc>
          <w:tcPr>
            <w:tcW w:w="942" w:type="pct"/>
            <w:tcBorders>
              <w:tl2br w:val="nil"/>
              <w:tr2bl w:val="nil"/>
            </w:tcBorders>
            <w:noWrap w:val="0"/>
            <w:vAlign w:val="center"/>
          </w:tcPr>
          <w:p w14:paraId="6424372D">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ND</w:t>
            </w:r>
          </w:p>
        </w:tc>
        <w:tc>
          <w:tcPr>
            <w:tcW w:w="680" w:type="pct"/>
            <w:tcBorders>
              <w:tl2br w:val="nil"/>
              <w:tr2bl w:val="nil"/>
            </w:tcBorders>
            <w:noWrap w:val="0"/>
            <w:vAlign w:val="center"/>
          </w:tcPr>
          <w:p w14:paraId="3CE24C86">
            <w:pPr>
              <w:widowControl/>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752" w:type="pct"/>
            <w:tcBorders>
              <w:tl2br w:val="nil"/>
              <w:tr2bl w:val="nil"/>
            </w:tcBorders>
            <w:noWrap w:val="0"/>
            <w:vAlign w:val="center"/>
          </w:tcPr>
          <w:p w14:paraId="2B104AED">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0.01</w:t>
            </w:r>
          </w:p>
        </w:tc>
        <w:tc>
          <w:tcPr>
            <w:tcW w:w="412" w:type="pct"/>
            <w:tcBorders>
              <w:tl2br w:val="nil"/>
              <w:tr2bl w:val="nil"/>
            </w:tcBorders>
            <w:noWrap w:val="0"/>
            <w:vAlign w:val="center"/>
          </w:tcPr>
          <w:p w14:paraId="17C24763">
            <w:pPr>
              <w:widowControl/>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w:t>
            </w:r>
          </w:p>
        </w:tc>
        <w:tc>
          <w:tcPr>
            <w:tcW w:w="427" w:type="pct"/>
            <w:tcBorders>
              <w:tl2br w:val="nil"/>
              <w:tr2bl w:val="nil"/>
            </w:tcBorders>
            <w:noWrap w:val="0"/>
            <w:vAlign w:val="center"/>
          </w:tcPr>
          <w:p w14:paraId="3D1F29FA">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达标</w:t>
            </w:r>
          </w:p>
        </w:tc>
      </w:tr>
      <w:tr w14:paraId="1E73CB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5" w:type="pct"/>
            <w:vMerge w:val="continue"/>
            <w:tcBorders>
              <w:tl2br w:val="nil"/>
              <w:tr2bl w:val="nil"/>
            </w:tcBorders>
            <w:noWrap w:val="0"/>
            <w:vAlign w:val="center"/>
          </w:tcPr>
          <w:p w14:paraId="379DC393">
            <w:pPr>
              <w:widowControl/>
              <w:jc w:val="center"/>
              <w:rPr>
                <w:rFonts w:ascii="Times New Roman" w:hAnsi="Times New Roman" w:eastAsia="宋体"/>
                <w:color w:val="auto"/>
                <w:szCs w:val="21"/>
                <w:highlight w:val="none"/>
              </w:rPr>
            </w:pPr>
          </w:p>
        </w:tc>
        <w:tc>
          <w:tcPr>
            <w:tcW w:w="612" w:type="pct"/>
            <w:tcBorders>
              <w:tl2br w:val="nil"/>
              <w:tr2bl w:val="nil"/>
            </w:tcBorders>
            <w:noWrap w:val="0"/>
            <w:vAlign w:val="center"/>
          </w:tcPr>
          <w:p w14:paraId="030D910F">
            <w:pPr>
              <w:keepNext w:val="0"/>
              <w:keepLines w:val="0"/>
              <w:pageBreakBefore w:val="0"/>
              <w:widowControl/>
              <w:kinsoku/>
              <w:wordWrap/>
              <w:overflowPunct/>
              <w:topLinePunct w:val="0"/>
              <w:autoSpaceDE/>
              <w:autoSpaceDN/>
              <w:bidi w:val="0"/>
              <w:adjustRightInd/>
              <w:snapToGrid/>
              <w:spacing w:line="240" w:lineRule="atLeast"/>
              <w:jc w:val="center"/>
              <w:textAlignment w:val="auto"/>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非甲烷总烃</w:t>
            </w:r>
          </w:p>
        </w:tc>
        <w:tc>
          <w:tcPr>
            <w:tcW w:w="797" w:type="pct"/>
            <w:tcBorders>
              <w:tl2br w:val="nil"/>
              <w:tr2bl w:val="nil"/>
            </w:tcBorders>
            <w:noWrap w:val="0"/>
            <w:vAlign w:val="center"/>
          </w:tcPr>
          <w:p w14:paraId="7AF848A7">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一次浓度值</w:t>
            </w:r>
          </w:p>
        </w:tc>
        <w:tc>
          <w:tcPr>
            <w:tcW w:w="942" w:type="pct"/>
            <w:tcBorders>
              <w:tl2br w:val="nil"/>
              <w:tr2bl w:val="nil"/>
            </w:tcBorders>
            <w:noWrap w:val="0"/>
            <w:vAlign w:val="center"/>
          </w:tcPr>
          <w:p w14:paraId="18387227">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0.89~1.10</w:t>
            </w:r>
          </w:p>
        </w:tc>
        <w:tc>
          <w:tcPr>
            <w:tcW w:w="680" w:type="pct"/>
            <w:tcBorders>
              <w:tl2br w:val="nil"/>
              <w:tr2bl w:val="nil"/>
            </w:tcBorders>
            <w:noWrap w:val="0"/>
            <w:vAlign w:val="center"/>
          </w:tcPr>
          <w:p w14:paraId="5AD3E32F">
            <w:pPr>
              <w:widowControl/>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55%</w:t>
            </w:r>
          </w:p>
        </w:tc>
        <w:tc>
          <w:tcPr>
            <w:tcW w:w="752" w:type="pct"/>
            <w:tcBorders>
              <w:tl2br w:val="nil"/>
              <w:tr2bl w:val="nil"/>
            </w:tcBorders>
            <w:noWrap w:val="0"/>
            <w:vAlign w:val="center"/>
          </w:tcPr>
          <w:p w14:paraId="55E1D3A5">
            <w:pPr>
              <w:widowControl/>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lang w:val="en-US" w:eastAsia="zh-CN"/>
              </w:rPr>
              <w:t>2</w:t>
            </w:r>
          </w:p>
        </w:tc>
        <w:tc>
          <w:tcPr>
            <w:tcW w:w="412" w:type="pct"/>
            <w:tcBorders>
              <w:tl2br w:val="nil"/>
              <w:tr2bl w:val="nil"/>
            </w:tcBorders>
            <w:noWrap w:val="0"/>
            <w:vAlign w:val="center"/>
          </w:tcPr>
          <w:p w14:paraId="0D67684A">
            <w:pPr>
              <w:widowControl/>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0</w:t>
            </w:r>
          </w:p>
        </w:tc>
        <w:tc>
          <w:tcPr>
            <w:tcW w:w="427" w:type="pct"/>
            <w:tcBorders>
              <w:tl2br w:val="nil"/>
              <w:tr2bl w:val="nil"/>
            </w:tcBorders>
            <w:noWrap w:val="0"/>
            <w:vAlign w:val="center"/>
          </w:tcPr>
          <w:p w14:paraId="1CB54182">
            <w:pPr>
              <w:widowControl/>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达标</w:t>
            </w:r>
          </w:p>
        </w:tc>
      </w:tr>
    </w:tbl>
    <w:p w14:paraId="06AA421E">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宋体" w:hAnsi="宋体" w:eastAsia="宋体" w:cs="宋体"/>
          <w:color w:val="auto"/>
          <w:sz w:val="24"/>
          <w:szCs w:val="24"/>
          <w:highlight w:val="none"/>
          <w:lang w:val="en-US" w:eastAsia="zh-CN"/>
        </w:rPr>
        <w:t>检测结果表明</w:t>
      </w:r>
      <w:r>
        <w:rPr>
          <w:rFonts w:hint="eastAsia" w:ascii="宋体" w:hAnsi="宋体" w:eastAsia="宋体" w:cs="宋体"/>
          <w:color w:val="auto"/>
          <w:sz w:val="24"/>
          <w:szCs w:val="24"/>
          <w:highlight w:val="none"/>
        </w:rPr>
        <w:t>，项</w:t>
      </w:r>
      <w:r>
        <w:rPr>
          <w:rFonts w:hint="default" w:ascii="Times New Roman" w:hAnsi="Times New Roman" w:eastAsia="宋体" w:cs="Times New Roman"/>
          <w:color w:val="auto"/>
          <w:sz w:val="24"/>
          <w:highlight w:val="none"/>
        </w:rPr>
        <w:t>目区非甲烷总烃浓度满足《大气污染物综合排放标准详解》中2.0mg/m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限值要求；</w:t>
      </w:r>
      <w:r>
        <w:rPr>
          <w:rFonts w:hint="default" w:ascii="Times New Roman" w:hAnsi="Times New Roman" w:eastAsia="宋体" w:cs="Times New Roman"/>
          <w:color w:val="auto"/>
          <w:sz w:val="24"/>
          <w:highlight w:val="none"/>
          <w:lang w:val="en-US" w:eastAsia="zh-CN"/>
        </w:rPr>
        <w:t>H</w:t>
      </w:r>
      <w:r>
        <w:rPr>
          <w:rFonts w:hint="default" w:ascii="Times New Roman" w:hAnsi="Times New Roman" w:eastAsia="宋体" w:cs="Times New Roman"/>
          <w:color w:val="auto"/>
          <w:sz w:val="24"/>
          <w:highlight w:val="none"/>
          <w:vertAlign w:val="subscript"/>
          <w:lang w:val="en-US" w:eastAsia="zh-CN"/>
        </w:rPr>
        <w:t>2</w:t>
      </w:r>
      <w:r>
        <w:rPr>
          <w:rFonts w:hint="default" w:ascii="Times New Roman" w:hAnsi="Times New Roman" w:eastAsia="宋体" w:cs="Times New Roman"/>
          <w:color w:val="auto"/>
          <w:sz w:val="24"/>
          <w:highlight w:val="none"/>
          <w:lang w:val="en-US" w:eastAsia="zh-CN"/>
        </w:rPr>
        <w:t>S</w:t>
      </w:r>
      <w:r>
        <w:rPr>
          <w:rFonts w:hint="default" w:ascii="Times New Roman" w:hAnsi="Times New Roman" w:eastAsia="宋体" w:cs="Times New Roman"/>
          <w:color w:val="auto"/>
          <w:sz w:val="24"/>
          <w:highlight w:val="none"/>
        </w:rPr>
        <w:t>浓度满足《环境影响评价技术导则大气环境》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HJ2.2-2018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其他污染物空气质量浓度参考限值0.</w:t>
      </w:r>
      <w:r>
        <w:rPr>
          <w:rFonts w:hint="eastAsia" w:ascii="Times New Roman" w:hAnsi="Times New Roman" w:eastAsia="宋体" w:cs="Times New Roman"/>
          <w:color w:val="auto"/>
          <w:sz w:val="24"/>
          <w:highlight w:val="none"/>
          <w:lang w:val="en-US" w:eastAsia="zh-CN"/>
        </w:rPr>
        <w:t>01</w:t>
      </w:r>
      <w:r>
        <w:rPr>
          <w:rFonts w:hint="default" w:ascii="Times New Roman" w:hAnsi="Times New Roman" w:eastAsia="宋体" w:cs="Times New Roman"/>
          <w:color w:val="auto"/>
          <w:sz w:val="24"/>
          <w:highlight w:val="none"/>
        </w:rPr>
        <w:t>mg/m</w:t>
      </w:r>
      <w:r>
        <w:rPr>
          <w:rFonts w:hint="default" w:ascii="Times New Roman" w:hAnsi="Times New Roman" w:eastAsia="宋体" w:cs="Times New Roman"/>
          <w:color w:val="auto"/>
          <w:sz w:val="24"/>
          <w:highlight w:val="none"/>
          <w:vertAlign w:val="superscript"/>
        </w:rPr>
        <w:t>3</w:t>
      </w:r>
      <w:r>
        <w:rPr>
          <w:rFonts w:hint="eastAsia" w:ascii="Times New Roman" w:hAnsi="Times New Roman" w:eastAsia="宋体" w:cs="Times New Roman"/>
          <w:color w:val="auto"/>
          <w:sz w:val="24"/>
          <w:highlight w:val="none"/>
          <w:vertAlign w:val="baseline"/>
          <w:lang w:val="en-US" w:eastAsia="zh-CN"/>
        </w:rPr>
        <w:t>；</w:t>
      </w:r>
      <w:r>
        <w:rPr>
          <w:rFonts w:hint="default" w:ascii="Times New Roman" w:hAnsi="Times New Roman" w:cs="Times New Roman"/>
          <w:color w:val="auto"/>
          <w:sz w:val="24"/>
          <w:szCs w:val="24"/>
          <w:highlight w:val="none"/>
          <w:lang w:val="en-US" w:eastAsia="zh-CN"/>
        </w:rPr>
        <w:t>甲烷浓度满足《大气环境标准工作手册》的公式计算得到的环境质量标准一次值</w:t>
      </w:r>
      <w:r>
        <w:rPr>
          <w:rFonts w:hint="eastAsia" w:ascii="Times New Roman" w:hAnsi="Times New Roman" w:cs="Times New Roman"/>
          <w:color w:val="auto"/>
          <w:sz w:val="24"/>
          <w:szCs w:val="24"/>
          <w:highlight w:val="none"/>
          <w:lang w:val="en-US" w:eastAsia="zh-CN"/>
        </w:rPr>
        <w:t>0.36</w:t>
      </w:r>
      <w:r>
        <w:rPr>
          <w:rFonts w:hint="default" w:ascii="Times New Roman" w:hAnsi="Times New Roman" w:cs="Times New Roman"/>
          <w:color w:val="auto"/>
          <w:sz w:val="24"/>
          <w:szCs w:val="24"/>
          <w:highlight w:val="none"/>
          <w:lang w:val="en-US" w:eastAsia="zh-CN"/>
        </w:rPr>
        <w:t>mg/m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highlight w:val="none"/>
          <w:lang w:val="en-US" w:eastAsia="zh-CN"/>
        </w:rPr>
        <w:t>TSP日均值满足《环境空气质量标准》（GB3095-2012）中的二级标准。</w:t>
      </w:r>
    </w:p>
    <w:p w14:paraId="622FA514">
      <w:pPr>
        <w:pStyle w:val="4"/>
        <w:spacing w:after="156"/>
        <w:rPr>
          <w:color w:val="auto"/>
          <w:highlight w:val="none"/>
        </w:rPr>
      </w:pPr>
      <w:bookmarkStart w:id="305" w:name="_Toc152921678"/>
      <w:bookmarkStart w:id="306" w:name="_Toc152923318"/>
      <w:bookmarkStart w:id="307" w:name="_Toc117150252"/>
      <w:bookmarkStart w:id="308" w:name="_Toc152922043"/>
      <w:bookmarkStart w:id="309" w:name="_Toc152922637"/>
      <w:r>
        <w:rPr>
          <w:color w:val="auto"/>
          <w:highlight w:val="none"/>
        </w:rPr>
        <w:t>4.2.2地表水环境质量现状监测与评价</w:t>
      </w:r>
      <w:bookmarkEnd w:id="305"/>
      <w:bookmarkEnd w:id="306"/>
      <w:bookmarkEnd w:id="307"/>
      <w:bookmarkEnd w:id="308"/>
      <w:bookmarkEnd w:id="309"/>
    </w:p>
    <w:p w14:paraId="24910515">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根据淮南市生态环境局公开发布的《202</w:t>
      </w:r>
      <w:r>
        <w:rPr>
          <w:rFonts w:hint="eastAsia"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rPr>
        <w:t>年淮南市环境质量状况公报》数据，2024年，全市地表水24个监测断面中优良水质比例为91.7%，比上年下降了4.1个百分点，Ⅳ类水质比例8.3%，总体水质状况优。8个国控断面中优良水质比例为87.5%，Ⅳ类水质比例12.5%，水质总体状况良好；11个省控断面中优良水质比例为90.9%，水质总体状况优。</w:t>
      </w:r>
    </w:p>
    <w:p w14:paraId="3AAFD63F">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河流：全市辖区内淮河干流水质状况为优，永幸河和丁家沟水质状况为优，西淝河、东淝河、架河、泥河、万小河、瓦西干渠、陡涧河和便民沟水质状况为良好。20个监测断面中优良水质比例为100%，与去年持平。其中黄圩和丁家沟河口断面水质均有所好转（Ⅲ类→Ⅱ类），五里闸（II类→Ⅲ类）和西淝河闸下（II类→Ⅲ类）水质均有所下降，其他断面水质保持稳定。</w:t>
      </w:r>
    </w:p>
    <w:p w14:paraId="696125FC">
      <w:pPr>
        <w:pStyle w:val="352"/>
        <w:ind w:firstLine="480"/>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湖库：瓦埠湖和焦岗湖点位水质年均值符合Ⅲ类标准，水质状况为良好；高塘湖和安丰塘点位水质年均值符合Ⅳ类标准，水质轻度污染，主要污染指标为总磷。安丰塘营养状态为中营养，焦岗湖、高塘湖和瓦埠湖营养状态均为轻度富营养。与上年相比，安丰塘点位水质类别由Ⅲ类下降为Ⅳ类，瓦埠湖、高塘湖和焦岗湖点位水质类别保持稳定。</w:t>
      </w:r>
    </w:p>
    <w:p w14:paraId="160E6738">
      <w:pPr>
        <w:pStyle w:val="352"/>
        <w:keepNext w:val="0"/>
        <w:keepLines w:val="0"/>
        <w:pageBreakBefore w:val="0"/>
        <w:widowControl w:val="0"/>
        <w:kinsoku/>
        <w:wordWrap/>
        <w:overflowPunct/>
        <w:topLinePunct w:val="0"/>
        <w:autoSpaceDE/>
        <w:autoSpaceDN/>
        <w:bidi w:val="0"/>
        <w:adjustRightInd/>
        <w:snapToGrid w:val="0"/>
        <w:ind w:firstLine="480"/>
        <w:jc w:val="left"/>
        <w:textAlignment w:val="auto"/>
        <w:rPr>
          <w:rFonts w:hint="default" w:ascii="Times New Roman" w:hAnsi="Times New Roman" w:eastAsia="宋体" w:cs="Times New Roman"/>
          <w:b w:val="0"/>
          <w:bCs w:val="0"/>
          <w:color w:val="auto"/>
          <w:sz w:val="24"/>
          <w:szCs w:val="24"/>
          <w:highlight w:val="none"/>
        </w:rPr>
      </w:pPr>
      <w:r>
        <w:rPr>
          <w:rFonts w:hint="eastAsia" w:ascii="Times New Roman" w:hAnsi="Times New Roman" w:eastAsia="宋体" w:cs="Times New Roman"/>
          <w:b w:val="0"/>
          <w:bCs w:val="0"/>
          <w:color w:val="auto"/>
          <w:sz w:val="24"/>
          <w:szCs w:val="24"/>
          <w:highlight w:val="none"/>
        </w:rPr>
        <w:t>根据淮南市生态环境局202</w:t>
      </w:r>
      <w:r>
        <w:rPr>
          <w:rFonts w:hint="eastAsia" w:ascii="Times New Roman" w:hAnsi="Times New Roman" w:eastAsia="宋体" w:cs="Times New Roman"/>
          <w:b w:val="0"/>
          <w:bCs w:val="0"/>
          <w:color w:val="auto"/>
          <w:sz w:val="24"/>
          <w:szCs w:val="24"/>
          <w:highlight w:val="none"/>
          <w:lang w:val="en-US" w:eastAsia="zh-CN"/>
        </w:rPr>
        <w:t>5</w:t>
      </w:r>
      <w:r>
        <w:rPr>
          <w:rFonts w:hint="eastAsia" w:ascii="Times New Roman" w:hAnsi="Times New Roman" w:eastAsia="宋体" w:cs="Times New Roman"/>
          <w:b w:val="0"/>
          <w:bCs w:val="0"/>
          <w:color w:val="auto"/>
          <w:sz w:val="24"/>
          <w:szCs w:val="24"/>
          <w:highlight w:val="none"/>
        </w:rPr>
        <w:t>年</w:t>
      </w:r>
      <w:r>
        <w:rPr>
          <w:rFonts w:hint="eastAsia" w:ascii="Times New Roman" w:hAnsi="Times New Roman" w:eastAsia="宋体" w:cs="Times New Roman"/>
          <w:b w:val="0"/>
          <w:bCs w:val="0"/>
          <w:color w:val="auto"/>
          <w:sz w:val="24"/>
          <w:szCs w:val="24"/>
          <w:highlight w:val="none"/>
          <w:lang w:val="en-US" w:eastAsia="zh-CN"/>
        </w:rPr>
        <w:t>6</w:t>
      </w:r>
      <w:r>
        <w:rPr>
          <w:rFonts w:hint="eastAsia" w:ascii="Times New Roman" w:hAnsi="Times New Roman" w:eastAsia="宋体" w:cs="Times New Roman"/>
          <w:b w:val="0"/>
          <w:bCs w:val="0"/>
          <w:color w:val="auto"/>
          <w:sz w:val="24"/>
          <w:szCs w:val="24"/>
          <w:highlight w:val="none"/>
        </w:rPr>
        <w:t>月</w:t>
      </w:r>
      <w:r>
        <w:rPr>
          <w:rFonts w:hint="eastAsia" w:ascii="Times New Roman" w:hAnsi="Times New Roman" w:eastAsia="宋体" w:cs="Times New Roman"/>
          <w:b w:val="0"/>
          <w:bCs w:val="0"/>
          <w:color w:val="auto"/>
          <w:sz w:val="24"/>
          <w:szCs w:val="24"/>
          <w:highlight w:val="none"/>
          <w:lang w:val="en-US" w:eastAsia="zh-CN"/>
        </w:rPr>
        <w:t>9</w:t>
      </w:r>
      <w:r>
        <w:rPr>
          <w:rFonts w:hint="eastAsia" w:ascii="Times New Roman" w:hAnsi="Times New Roman" w:eastAsia="宋体" w:cs="Times New Roman"/>
          <w:b w:val="0"/>
          <w:bCs w:val="0"/>
          <w:color w:val="auto"/>
          <w:sz w:val="24"/>
          <w:szCs w:val="24"/>
          <w:highlight w:val="none"/>
        </w:rPr>
        <w:t>日发布的《</w:t>
      </w:r>
      <w:r>
        <w:rPr>
          <w:rFonts w:hint="default" w:ascii="Times New Roman" w:hAnsi="Times New Roman" w:eastAsia="宋体" w:cs="Times New Roman"/>
          <w:b w:val="0"/>
          <w:bCs w:val="0"/>
          <w:color w:val="auto"/>
          <w:sz w:val="24"/>
          <w:szCs w:val="24"/>
          <w:highlight w:val="none"/>
        </w:rPr>
        <w:t>淮南市202</w:t>
      </w:r>
      <w:r>
        <w:rPr>
          <w:rFonts w:hint="eastAsia"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rPr>
        <w:t>年</w:t>
      </w:r>
      <w:r>
        <w:rPr>
          <w:rFonts w:hint="eastAsia" w:ascii="Times New Roman" w:hAnsi="Times New Roman" w:eastAsia="宋体"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rPr>
        <w:t>月环境质量月报</w:t>
      </w:r>
      <w:r>
        <w:rPr>
          <w:rFonts w:hint="eastAsia" w:ascii="Times New Roman" w:hAnsi="Times New Roman" w:eastAsia="宋体" w:cs="Times New Roman"/>
          <w:b w:val="0"/>
          <w:bCs w:val="0"/>
          <w:color w:val="auto"/>
          <w:sz w:val="24"/>
          <w:szCs w:val="24"/>
          <w:highlight w:val="none"/>
        </w:rPr>
        <w:t>》</w:t>
      </w:r>
      <w:r>
        <w:rPr>
          <w:rFonts w:hint="eastAsia" w:ascii="Times New Roman" w:hAnsi="Times New Roman" w:eastAsia="宋体" w:cs="Times New Roman"/>
          <w:b w:val="0"/>
          <w:bCs w:val="0"/>
          <w:color w:val="auto"/>
          <w:sz w:val="24"/>
          <w:szCs w:val="24"/>
          <w:highlight w:val="none"/>
          <w:lang w:eastAsia="zh-CN"/>
        </w:rPr>
        <w:t>（https://sthjj.huainan.gov.cn/public/118319849/1260542651.html）</w:t>
      </w:r>
      <w:r>
        <w:rPr>
          <w:rFonts w:hint="eastAsia" w:ascii="Times New Roman" w:hAnsi="Times New Roman" w:eastAsia="宋体" w:cs="Times New Roman"/>
          <w:b w:val="0"/>
          <w:bCs w:val="0"/>
          <w:color w:val="auto"/>
          <w:sz w:val="24"/>
          <w:szCs w:val="24"/>
          <w:highlight w:val="none"/>
        </w:rPr>
        <w:t>：2025年4月份，安徽省淮南生态环境监测中心对全市环境空气、降雨、降尘、地表水及集中式饮用水源地水质进行了监测。1、4月淮南市空气质量优良率为76.7%，空气质量优0天，良23天，二级以上天数23天。2、降水未出现酸雨。3、地表水水质优良比例为95.8%。4、3个市级集中式饮用水源地水质达标率为100%，水质保持稳定。5、降尘监测结果符合皖北各市平均降尘量不高于7吨/平方千米·月的要求。断面水质状况一览表见表</w:t>
      </w:r>
      <w:r>
        <w:rPr>
          <w:rFonts w:hint="eastAsia" w:ascii="Times New Roman" w:hAnsi="Times New Roman" w:eastAsia="宋体" w:cs="Times New Roman"/>
          <w:b w:val="0"/>
          <w:bCs w:val="0"/>
          <w:color w:val="auto"/>
          <w:sz w:val="24"/>
          <w:szCs w:val="24"/>
          <w:highlight w:val="none"/>
          <w:lang w:val="en-US" w:eastAsia="zh-CN"/>
        </w:rPr>
        <w:t>4.2-4</w:t>
      </w:r>
      <w:r>
        <w:rPr>
          <w:rFonts w:hint="eastAsia" w:ascii="Times New Roman" w:hAnsi="Times New Roman" w:eastAsia="宋体" w:cs="Times New Roman"/>
          <w:b w:val="0"/>
          <w:bCs w:val="0"/>
          <w:color w:val="auto"/>
          <w:sz w:val="24"/>
          <w:szCs w:val="24"/>
          <w:highlight w:val="none"/>
        </w:rPr>
        <w:t>。</w:t>
      </w:r>
    </w:p>
    <w:p w14:paraId="4E191B92">
      <w:pPr>
        <w:pStyle w:val="283"/>
        <w:keepNext w:val="0"/>
        <w:keepLines w:val="0"/>
        <w:pageBreakBefore w:val="0"/>
        <w:widowControl w:val="0"/>
        <w:kinsoku/>
        <w:wordWrap/>
        <w:overflowPunct/>
        <w:topLinePunct w:val="0"/>
        <w:autoSpaceDE/>
        <w:autoSpaceDN/>
        <w:bidi w:val="0"/>
        <w:adjustRightInd/>
        <w:snapToGrid/>
        <w:spacing w:beforeLines="0" w:after="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4.2-4</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淮河监测断面水质统计结果</w:t>
      </w:r>
    </w:p>
    <w:tbl>
      <w:tblPr>
        <w:tblStyle w:val="49"/>
        <w:tblW w:w="8231" w:type="dxa"/>
        <w:jc w:val="center"/>
        <w:tblLayout w:type="autofit"/>
        <w:tblCellMar>
          <w:top w:w="0" w:type="dxa"/>
          <w:left w:w="108" w:type="dxa"/>
          <w:bottom w:w="0" w:type="dxa"/>
          <w:right w:w="108" w:type="dxa"/>
        </w:tblCellMar>
      </w:tblPr>
      <w:tblGrid>
        <w:gridCol w:w="1157"/>
        <w:gridCol w:w="1572"/>
        <w:gridCol w:w="1103"/>
        <w:gridCol w:w="1355"/>
        <w:gridCol w:w="1242"/>
        <w:gridCol w:w="1802"/>
      </w:tblGrid>
      <w:tr w14:paraId="55B6503C">
        <w:tblPrEx>
          <w:tblCellMar>
            <w:top w:w="0" w:type="dxa"/>
            <w:left w:w="108" w:type="dxa"/>
            <w:bottom w:w="0" w:type="dxa"/>
            <w:right w:w="108" w:type="dxa"/>
          </w:tblCellMar>
        </w:tblPrEx>
        <w:trPr>
          <w:trHeight w:val="397" w:hRule="atLeast"/>
          <w:jc w:val="center"/>
        </w:trPr>
        <w:tc>
          <w:tcPr>
            <w:tcW w:w="1157" w:type="dxa"/>
            <w:tcBorders>
              <w:top w:val="single" w:color="000000" w:sz="4" w:space="0"/>
              <w:left w:val="single" w:color="000000" w:sz="4" w:space="0"/>
              <w:bottom w:val="single" w:color="000000" w:sz="4" w:space="0"/>
              <w:right w:val="single" w:color="auto" w:sz="4" w:space="0"/>
            </w:tcBorders>
            <w:noWrap w:val="0"/>
            <w:vAlign w:val="center"/>
          </w:tcPr>
          <w:p w14:paraId="40B0679F">
            <w:pPr>
              <w:pStyle w:val="224"/>
              <w:rPr>
                <w:rFonts w:hint="eastAsia" w:eastAsia="宋体"/>
                <w:b/>
                <w:bCs w:val="0"/>
                <w:color w:val="auto"/>
                <w:sz w:val="21"/>
                <w:szCs w:val="21"/>
                <w:highlight w:val="none"/>
                <w:lang w:val="en-US" w:eastAsia="zh-CN"/>
              </w:rPr>
            </w:pPr>
            <w:r>
              <w:rPr>
                <w:rFonts w:hint="eastAsia" w:eastAsia="宋体"/>
                <w:b/>
                <w:bCs w:val="0"/>
                <w:color w:val="auto"/>
                <w:sz w:val="21"/>
                <w:szCs w:val="21"/>
                <w:highlight w:val="none"/>
                <w:lang w:val="en-US" w:eastAsia="zh-CN"/>
              </w:rPr>
              <w:t>河流</w:t>
            </w:r>
          </w:p>
        </w:tc>
        <w:tc>
          <w:tcPr>
            <w:tcW w:w="1572" w:type="dxa"/>
            <w:tcBorders>
              <w:top w:val="single" w:color="000000" w:sz="4" w:space="0"/>
              <w:left w:val="single" w:color="auto" w:sz="4" w:space="0"/>
              <w:bottom w:val="single" w:color="000000" w:sz="4" w:space="0"/>
              <w:right w:val="single" w:color="000000" w:sz="4" w:space="0"/>
            </w:tcBorders>
            <w:noWrap w:val="0"/>
            <w:vAlign w:val="center"/>
          </w:tcPr>
          <w:p w14:paraId="632FBEEC">
            <w:pPr>
              <w:pStyle w:val="224"/>
              <w:rPr>
                <w:rFonts w:eastAsia="宋体"/>
                <w:b/>
                <w:bCs w:val="0"/>
                <w:color w:val="auto"/>
                <w:sz w:val="21"/>
                <w:szCs w:val="21"/>
                <w:highlight w:val="none"/>
              </w:rPr>
            </w:pPr>
            <w:r>
              <w:rPr>
                <w:rFonts w:eastAsia="宋体"/>
                <w:b/>
                <w:bCs w:val="0"/>
                <w:color w:val="auto"/>
                <w:sz w:val="21"/>
                <w:szCs w:val="21"/>
                <w:highlight w:val="none"/>
              </w:rPr>
              <w:t>断面名称</w:t>
            </w:r>
          </w:p>
        </w:tc>
        <w:tc>
          <w:tcPr>
            <w:tcW w:w="1103" w:type="dxa"/>
            <w:tcBorders>
              <w:top w:val="single" w:color="000000" w:sz="4" w:space="0"/>
              <w:left w:val="single" w:color="000000" w:sz="4" w:space="0"/>
              <w:bottom w:val="single" w:color="000000" w:sz="4" w:space="0"/>
              <w:right w:val="single" w:color="000000" w:sz="4" w:space="0"/>
            </w:tcBorders>
            <w:noWrap w:val="0"/>
            <w:vAlign w:val="center"/>
          </w:tcPr>
          <w:p w14:paraId="12BEEBD0">
            <w:pPr>
              <w:pStyle w:val="224"/>
              <w:rPr>
                <w:rFonts w:eastAsia="宋体"/>
                <w:b/>
                <w:bCs w:val="0"/>
                <w:color w:val="auto"/>
                <w:sz w:val="21"/>
                <w:szCs w:val="21"/>
                <w:highlight w:val="none"/>
              </w:rPr>
            </w:pPr>
            <w:r>
              <w:rPr>
                <w:rFonts w:eastAsia="宋体"/>
                <w:b/>
                <w:bCs w:val="0"/>
                <w:color w:val="auto"/>
                <w:sz w:val="21"/>
                <w:szCs w:val="21"/>
                <w:highlight w:val="none"/>
              </w:rPr>
              <w:t>本月水质</w:t>
            </w:r>
          </w:p>
        </w:tc>
        <w:tc>
          <w:tcPr>
            <w:tcW w:w="1355" w:type="dxa"/>
            <w:tcBorders>
              <w:top w:val="single" w:color="000000" w:sz="4" w:space="0"/>
              <w:left w:val="single" w:color="000000" w:sz="4" w:space="0"/>
              <w:bottom w:val="single" w:color="000000" w:sz="4" w:space="0"/>
              <w:right w:val="single" w:color="000000" w:sz="4" w:space="0"/>
            </w:tcBorders>
            <w:noWrap w:val="0"/>
            <w:vAlign w:val="center"/>
          </w:tcPr>
          <w:p w14:paraId="517CAA80">
            <w:pPr>
              <w:pStyle w:val="224"/>
              <w:rPr>
                <w:rFonts w:eastAsia="宋体"/>
                <w:b/>
                <w:bCs w:val="0"/>
                <w:color w:val="auto"/>
                <w:sz w:val="21"/>
                <w:szCs w:val="21"/>
                <w:highlight w:val="none"/>
              </w:rPr>
            </w:pPr>
            <w:r>
              <w:rPr>
                <w:rFonts w:eastAsia="宋体"/>
                <w:b/>
                <w:bCs w:val="0"/>
                <w:color w:val="auto"/>
                <w:sz w:val="21"/>
                <w:szCs w:val="21"/>
                <w:highlight w:val="none"/>
              </w:rPr>
              <w:t>超标因子</w:t>
            </w:r>
          </w:p>
          <w:p w14:paraId="1CC69FFA">
            <w:pPr>
              <w:pStyle w:val="224"/>
              <w:rPr>
                <w:rFonts w:eastAsia="宋体"/>
                <w:b/>
                <w:bCs w:val="0"/>
                <w:color w:val="auto"/>
                <w:sz w:val="21"/>
                <w:szCs w:val="21"/>
                <w:highlight w:val="none"/>
              </w:rPr>
            </w:pPr>
            <w:r>
              <w:rPr>
                <w:rFonts w:eastAsia="宋体"/>
                <w:b/>
                <w:bCs w:val="0"/>
                <w:color w:val="auto"/>
                <w:sz w:val="21"/>
                <w:szCs w:val="21"/>
                <w:highlight w:val="none"/>
              </w:rPr>
              <w:t>及倍数</w:t>
            </w:r>
          </w:p>
        </w:tc>
        <w:tc>
          <w:tcPr>
            <w:tcW w:w="1242" w:type="dxa"/>
            <w:tcBorders>
              <w:top w:val="single" w:color="000000" w:sz="4" w:space="0"/>
              <w:left w:val="single" w:color="000000" w:sz="4" w:space="0"/>
              <w:bottom w:val="single" w:color="000000" w:sz="4" w:space="0"/>
              <w:right w:val="single" w:color="000000" w:sz="4" w:space="0"/>
            </w:tcBorders>
            <w:noWrap w:val="0"/>
            <w:vAlign w:val="center"/>
          </w:tcPr>
          <w:p w14:paraId="689526C6">
            <w:pPr>
              <w:pStyle w:val="224"/>
              <w:rPr>
                <w:rFonts w:eastAsia="宋体"/>
                <w:b/>
                <w:bCs w:val="0"/>
                <w:color w:val="auto"/>
                <w:sz w:val="21"/>
                <w:szCs w:val="21"/>
                <w:highlight w:val="none"/>
              </w:rPr>
            </w:pPr>
            <w:r>
              <w:rPr>
                <w:rFonts w:eastAsia="宋体"/>
                <w:b/>
                <w:bCs w:val="0"/>
                <w:color w:val="auto"/>
                <w:sz w:val="21"/>
                <w:szCs w:val="21"/>
                <w:highlight w:val="none"/>
              </w:rPr>
              <w:t>上月水质</w:t>
            </w:r>
          </w:p>
        </w:tc>
        <w:tc>
          <w:tcPr>
            <w:tcW w:w="1802" w:type="dxa"/>
            <w:tcBorders>
              <w:top w:val="single" w:color="000000" w:sz="4" w:space="0"/>
              <w:left w:val="single" w:color="000000" w:sz="4" w:space="0"/>
              <w:bottom w:val="single" w:color="000000" w:sz="4" w:space="0"/>
              <w:right w:val="single" w:color="000000" w:sz="4" w:space="0"/>
            </w:tcBorders>
            <w:noWrap w:val="0"/>
            <w:vAlign w:val="center"/>
          </w:tcPr>
          <w:p w14:paraId="3EF4892C">
            <w:pPr>
              <w:pStyle w:val="224"/>
              <w:rPr>
                <w:rFonts w:eastAsia="宋体"/>
                <w:b/>
                <w:bCs w:val="0"/>
                <w:color w:val="auto"/>
                <w:sz w:val="21"/>
                <w:szCs w:val="21"/>
                <w:highlight w:val="none"/>
              </w:rPr>
            </w:pPr>
            <w:r>
              <w:rPr>
                <w:rFonts w:eastAsia="宋体"/>
                <w:b/>
                <w:bCs w:val="0"/>
                <w:color w:val="auto"/>
                <w:sz w:val="21"/>
                <w:szCs w:val="21"/>
                <w:highlight w:val="none"/>
              </w:rPr>
              <w:t>去年同期水质</w:t>
            </w:r>
          </w:p>
        </w:tc>
      </w:tr>
      <w:tr w14:paraId="60D8509C">
        <w:tblPrEx>
          <w:tblCellMar>
            <w:top w:w="0" w:type="dxa"/>
            <w:left w:w="108" w:type="dxa"/>
            <w:bottom w:w="0" w:type="dxa"/>
            <w:right w:w="108" w:type="dxa"/>
          </w:tblCellMar>
        </w:tblPrEx>
        <w:trPr>
          <w:trHeight w:val="397" w:hRule="atLeast"/>
          <w:jc w:val="center"/>
        </w:trPr>
        <w:tc>
          <w:tcPr>
            <w:tcW w:w="1157" w:type="dxa"/>
            <w:tcBorders>
              <w:top w:val="single" w:color="000000" w:sz="4" w:space="0"/>
              <w:left w:val="single" w:color="000000" w:sz="4" w:space="0"/>
              <w:bottom w:val="single" w:color="000000" w:sz="4" w:space="0"/>
              <w:right w:val="single" w:color="auto" w:sz="4" w:space="0"/>
            </w:tcBorders>
            <w:noWrap w:val="0"/>
            <w:vAlign w:val="center"/>
          </w:tcPr>
          <w:p w14:paraId="76E4CDFF">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瓦埠湖</w:t>
            </w:r>
          </w:p>
        </w:tc>
        <w:tc>
          <w:tcPr>
            <w:tcW w:w="1572" w:type="dxa"/>
            <w:tcBorders>
              <w:top w:val="single" w:color="000000" w:sz="4" w:space="0"/>
              <w:left w:val="single" w:color="auto" w:sz="4" w:space="0"/>
              <w:bottom w:val="single" w:color="000000" w:sz="4" w:space="0"/>
              <w:right w:val="single" w:color="000000" w:sz="4" w:space="0"/>
            </w:tcBorders>
            <w:noWrap w:val="0"/>
            <w:vAlign w:val="center"/>
          </w:tcPr>
          <w:p w14:paraId="54B8153C">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瓦埠湖</w:t>
            </w:r>
          </w:p>
        </w:tc>
        <w:tc>
          <w:tcPr>
            <w:tcW w:w="1103" w:type="dxa"/>
            <w:tcBorders>
              <w:top w:val="single" w:color="000000" w:sz="4" w:space="0"/>
              <w:left w:val="single" w:color="000000" w:sz="4" w:space="0"/>
              <w:bottom w:val="single" w:color="000000" w:sz="4" w:space="0"/>
              <w:right w:val="single" w:color="000000" w:sz="4" w:space="0"/>
            </w:tcBorders>
            <w:noWrap w:val="0"/>
            <w:vAlign w:val="center"/>
          </w:tcPr>
          <w:p w14:paraId="402A1DD3">
            <w:pPr>
              <w:pStyle w:val="224"/>
              <w:rPr>
                <w:rFonts w:eastAsia="宋体"/>
                <w:color w:val="auto"/>
                <w:sz w:val="21"/>
                <w:szCs w:val="21"/>
                <w:highlight w:val="none"/>
              </w:rPr>
            </w:pPr>
            <w:r>
              <w:rPr>
                <w:rFonts w:eastAsia="宋体"/>
                <w:color w:val="auto"/>
                <w:sz w:val="21"/>
                <w:szCs w:val="21"/>
                <w:highlight w:val="none"/>
              </w:rPr>
              <w:t>Ⅲ</w:t>
            </w:r>
          </w:p>
        </w:tc>
        <w:tc>
          <w:tcPr>
            <w:tcW w:w="1355" w:type="dxa"/>
            <w:tcBorders>
              <w:top w:val="single" w:color="000000" w:sz="4" w:space="0"/>
              <w:left w:val="single" w:color="000000" w:sz="4" w:space="0"/>
              <w:bottom w:val="single" w:color="000000" w:sz="4" w:space="0"/>
              <w:right w:val="single" w:color="000000" w:sz="4" w:space="0"/>
            </w:tcBorders>
            <w:noWrap w:val="0"/>
            <w:vAlign w:val="center"/>
          </w:tcPr>
          <w:p w14:paraId="03723FF7">
            <w:pPr>
              <w:pStyle w:val="224"/>
              <w:rPr>
                <w:rFonts w:eastAsia="宋体"/>
                <w:color w:val="auto"/>
                <w:sz w:val="21"/>
                <w:szCs w:val="21"/>
                <w:highlight w:val="none"/>
              </w:rPr>
            </w:pPr>
            <w:r>
              <w:rPr>
                <w:rFonts w:eastAsia="宋体"/>
                <w:color w:val="auto"/>
                <w:sz w:val="21"/>
                <w:szCs w:val="21"/>
                <w:highlight w:val="none"/>
              </w:rPr>
              <w:t>/</w:t>
            </w:r>
          </w:p>
        </w:tc>
        <w:tc>
          <w:tcPr>
            <w:tcW w:w="1242" w:type="dxa"/>
            <w:tcBorders>
              <w:top w:val="single" w:color="000000" w:sz="4" w:space="0"/>
              <w:left w:val="single" w:color="000000" w:sz="4" w:space="0"/>
              <w:bottom w:val="single" w:color="000000" w:sz="4" w:space="0"/>
              <w:right w:val="single" w:color="000000" w:sz="4" w:space="0"/>
            </w:tcBorders>
            <w:noWrap w:val="0"/>
            <w:vAlign w:val="center"/>
          </w:tcPr>
          <w:p w14:paraId="7A128473">
            <w:pPr>
              <w:pStyle w:val="224"/>
              <w:rPr>
                <w:rFonts w:eastAsia="宋体"/>
                <w:color w:val="auto"/>
                <w:sz w:val="21"/>
                <w:szCs w:val="21"/>
                <w:highlight w:val="none"/>
              </w:rPr>
            </w:pPr>
            <w:r>
              <w:rPr>
                <w:rFonts w:eastAsia="宋体"/>
                <w:color w:val="auto"/>
                <w:sz w:val="21"/>
                <w:szCs w:val="21"/>
                <w:highlight w:val="none"/>
              </w:rPr>
              <w:t>Ⅲ</w:t>
            </w:r>
          </w:p>
        </w:tc>
        <w:tc>
          <w:tcPr>
            <w:tcW w:w="1802" w:type="dxa"/>
            <w:tcBorders>
              <w:top w:val="single" w:color="000000" w:sz="4" w:space="0"/>
              <w:left w:val="single" w:color="000000" w:sz="4" w:space="0"/>
              <w:bottom w:val="single" w:color="000000" w:sz="4" w:space="0"/>
              <w:right w:val="single" w:color="000000" w:sz="4" w:space="0"/>
            </w:tcBorders>
            <w:noWrap w:val="0"/>
            <w:vAlign w:val="center"/>
          </w:tcPr>
          <w:p w14:paraId="5709EB47">
            <w:pPr>
              <w:pStyle w:val="224"/>
              <w:rPr>
                <w:rFonts w:eastAsia="宋体"/>
                <w:color w:val="auto"/>
                <w:sz w:val="21"/>
                <w:szCs w:val="21"/>
                <w:highlight w:val="none"/>
              </w:rPr>
            </w:pPr>
            <w:r>
              <w:rPr>
                <w:rFonts w:hint="eastAsia" w:eastAsia="宋体"/>
                <w:color w:val="auto"/>
                <w:sz w:val="21"/>
                <w:szCs w:val="21"/>
                <w:highlight w:val="none"/>
              </w:rPr>
              <w:t>Ⅱ</w:t>
            </w:r>
          </w:p>
        </w:tc>
      </w:tr>
    </w:tbl>
    <w:p w14:paraId="13D799F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根据《淮南市202</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年</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月环境质量月报》，</w:t>
      </w:r>
      <w:r>
        <w:rPr>
          <w:rFonts w:hint="default" w:ascii="Times New Roman" w:hAnsi="Times New Roman" w:eastAsia="宋体" w:cs="Times New Roman"/>
          <w:color w:val="auto"/>
          <w:sz w:val="24"/>
          <w:szCs w:val="24"/>
          <w:highlight w:val="none"/>
          <w:lang w:val="en-US" w:eastAsia="zh-CN"/>
        </w:rPr>
        <w:t>瓦埠湖</w:t>
      </w:r>
      <w:r>
        <w:rPr>
          <w:rFonts w:hint="default" w:ascii="Times New Roman" w:hAnsi="Times New Roman" w:eastAsia="宋体" w:cs="Times New Roman"/>
          <w:color w:val="auto"/>
          <w:sz w:val="24"/>
          <w:szCs w:val="24"/>
          <w:highlight w:val="none"/>
        </w:rPr>
        <w:t>监测断面均满足《地表水环境质量标准》（GB3838-2002）中的III类标准。</w:t>
      </w:r>
    </w:p>
    <w:p w14:paraId="35E6B5B4">
      <w:pPr>
        <w:pStyle w:val="4"/>
        <w:spacing w:after="156"/>
        <w:rPr>
          <w:color w:val="auto"/>
          <w:highlight w:val="none"/>
        </w:rPr>
      </w:pPr>
      <w:bookmarkStart w:id="310" w:name="_Toc117150253"/>
      <w:bookmarkStart w:id="311" w:name="_Toc152923319"/>
      <w:bookmarkStart w:id="312" w:name="_Toc152922044"/>
      <w:bookmarkStart w:id="313" w:name="_Toc152921679"/>
      <w:bookmarkStart w:id="314" w:name="_Toc152922638"/>
      <w:r>
        <w:rPr>
          <w:color w:val="auto"/>
          <w:highlight w:val="none"/>
        </w:rPr>
        <w:t>4.2.3声环境质量现状</w:t>
      </w:r>
      <w:bookmarkEnd w:id="310"/>
      <w:r>
        <w:rPr>
          <w:color w:val="auto"/>
          <w:highlight w:val="none"/>
        </w:rPr>
        <w:t>监测与评价</w:t>
      </w:r>
      <w:bookmarkEnd w:id="311"/>
      <w:bookmarkEnd w:id="312"/>
      <w:bookmarkEnd w:id="313"/>
      <w:bookmarkEnd w:id="314"/>
    </w:p>
    <w:p w14:paraId="384B4C2D">
      <w:pPr>
        <w:pStyle w:val="352"/>
        <w:ind w:firstLine="480"/>
        <w:rPr>
          <w:color w:val="auto"/>
          <w:highlight w:val="none"/>
        </w:rPr>
      </w:pPr>
      <w:r>
        <w:rPr>
          <w:color w:val="auto"/>
          <w:highlight w:val="none"/>
        </w:rPr>
        <w:t>（1）监测点布设</w:t>
      </w:r>
    </w:p>
    <w:p w14:paraId="3DB7B72D">
      <w:pPr>
        <w:pStyle w:val="352"/>
        <w:ind w:firstLine="480"/>
        <w:rPr>
          <w:color w:val="auto"/>
          <w:highlight w:val="none"/>
        </w:rPr>
      </w:pPr>
      <w:r>
        <w:rPr>
          <w:color w:val="auto"/>
          <w:highlight w:val="none"/>
        </w:rPr>
        <w:t>项目周边200m范围内无环境敏感点，故仅在本项目四周厂界布设监测点（4个，N1~N4）。</w:t>
      </w:r>
    </w:p>
    <w:p w14:paraId="728AB07A">
      <w:pPr>
        <w:pStyle w:val="23"/>
        <w:jc w:val="center"/>
        <w:rPr>
          <w:rFonts w:ascii="Times New Roman" w:hAnsi="Times New Roman"/>
          <w:b/>
          <w:color w:val="auto"/>
          <w:sz w:val="24"/>
          <w:highlight w:val="none"/>
        </w:rPr>
      </w:pPr>
      <w:r>
        <w:rPr>
          <w:color w:val="auto"/>
          <w:highlight w:val="none"/>
        </w:rPr>
        <w:drawing>
          <wp:inline distT="0" distB="0" distL="114300" distR="114300">
            <wp:extent cx="5238750" cy="4010025"/>
            <wp:effectExtent l="0" t="0" r="0" b="9525"/>
            <wp:docPr id="566"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229"/>
                    <pic:cNvPicPr>
                      <a:picLocks noChangeAspect="1"/>
                    </pic:cNvPicPr>
                  </pic:nvPicPr>
                  <pic:blipFill>
                    <a:blip r:embed="rId49"/>
                    <a:stretch>
                      <a:fillRect/>
                    </a:stretch>
                  </pic:blipFill>
                  <pic:spPr>
                    <a:xfrm>
                      <a:off x="0" y="0"/>
                      <a:ext cx="5238750" cy="4010025"/>
                    </a:xfrm>
                    <a:prstGeom prst="rect">
                      <a:avLst/>
                    </a:prstGeom>
                    <a:noFill/>
                    <a:ln>
                      <a:noFill/>
                    </a:ln>
                  </pic:spPr>
                </pic:pic>
              </a:graphicData>
            </a:graphic>
          </wp:inline>
        </w:drawing>
      </w:r>
    </w:p>
    <w:p w14:paraId="30C6B9A5">
      <w:pPr>
        <w:pStyle w:val="23"/>
        <w:jc w:val="center"/>
        <w:rPr>
          <w:rFonts w:ascii="Times New Roman" w:hAnsi="Times New Roman"/>
          <w:color w:val="auto"/>
          <w:highlight w:val="none"/>
        </w:rPr>
      </w:pPr>
      <w:r>
        <w:rPr>
          <w:rFonts w:ascii="Times New Roman" w:hAnsi="Times New Roman"/>
          <w:b/>
          <w:color w:val="auto"/>
          <w:sz w:val="24"/>
          <w:highlight w:val="none"/>
        </w:rPr>
        <w:t>图4.2-3</w:t>
      </w:r>
      <w:r>
        <w:rPr>
          <w:rFonts w:hint="eastAsia" w:ascii="Times New Roman" w:hAnsi="Times New Roman"/>
          <w:b/>
          <w:color w:val="auto"/>
          <w:sz w:val="24"/>
          <w:highlight w:val="none"/>
          <w:lang w:val="en-US" w:eastAsia="zh-CN"/>
        </w:rPr>
        <w:t xml:space="preserve">  </w:t>
      </w:r>
      <w:r>
        <w:rPr>
          <w:rFonts w:ascii="Times New Roman" w:hAnsi="Times New Roman"/>
          <w:b/>
          <w:color w:val="auto"/>
          <w:sz w:val="24"/>
          <w:highlight w:val="none"/>
        </w:rPr>
        <w:t>噪声监测点位示意图</w:t>
      </w:r>
    </w:p>
    <w:p w14:paraId="40B2FBC7">
      <w:pPr>
        <w:pStyle w:val="352"/>
        <w:ind w:firstLine="480"/>
        <w:rPr>
          <w:color w:val="auto"/>
          <w:highlight w:val="none"/>
        </w:rPr>
      </w:pPr>
      <w:r>
        <w:rPr>
          <w:color w:val="auto"/>
          <w:highlight w:val="none"/>
        </w:rPr>
        <w:t>（2）监测因子</w:t>
      </w:r>
    </w:p>
    <w:p w14:paraId="3BF0647D">
      <w:pPr>
        <w:pStyle w:val="352"/>
        <w:ind w:firstLine="480"/>
        <w:rPr>
          <w:color w:val="auto"/>
          <w:highlight w:val="none"/>
        </w:rPr>
      </w:pPr>
      <w:r>
        <w:rPr>
          <w:color w:val="auto"/>
          <w:highlight w:val="none"/>
        </w:rPr>
        <w:t>连续等效A声级；</w:t>
      </w:r>
    </w:p>
    <w:p w14:paraId="366D5B39">
      <w:pPr>
        <w:pStyle w:val="352"/>
        <w:ind w:firstLine="480"/>
        <w:rPr>
          <w:color w:val="auto"/>
          <w:highlight w:val="none"/>
        </w:rPr>
      </w:pPr>
      <w:r>
        <w:rPr>
          <w:color w:val="auto"/>
          <w:highlight w:val="none"/>
        </w:rPr>
        <w:t>（3）监测时间及频次</w:t>
      </w:r>
    </w:p>
    <w:p w14:paraId="0AE51082">
      <w:pPr>
        <w:pStyle w:val="352"/>
        <w:ind w:firstLine="480"/>
        <w:rPr>
          <w:color w:val="auto"/>
          <w:highlight w:val="none"/>
        </w:rPr>
      </w:pPr>
      <w:r>
        <w:rPr>
          <w:color w:val="auto"/>
          <w:highlight w:val="none"/>
        </w:rPr>
        <w:t>202</w:t>
      </w:r>
      <w:r>
        <w:rPr>
          <w:rFonts w:hint="eastAsia"/>
          <w:color w:val="auto"/>
          <w:highlight w:val="none"/>
          <w:lang w:val="en-US" w:eastAsia="zh-CN"/>
        </w:rPr>
        <w:t>5</w:t>
      </w:r>
      <w:r>
        <w:rPr>
          <w:color w:val="auto"/>
          <w:highlight w:val="none"/>
        </w:rPr>
        <w:t>年</w:t>
      </w:r>
      <w:r>
        <w:rPr>
          <w:rFonts w:hint="eastAsia"/>
          <w:color w:val="auto"/>
          <w:highlight w:val="none"/>
          <w:lang w:val="en-US" w:eastAsia="zh-CN"/>
        </w:rPr>
        <w:t>7</w:t>
      </w:r>
      <w:r>
        <w:rPr>
          <w:color w:val="auto"/>
          <w:highlight w:val="none"/>
        </w:rPr>
        <w:t>月</w:t>
      </w:r>
      <w:r>
        <w:rPr>
          <w:rFonts w:hint="eastAsia"/>
          <w:color w:val="auto"/>
          <w:highlight w:val="none"/>
          <w:lang w:val="en-US" w:eastAsia="zh-CN"/>
        </w:rPr>
        <w:t>6</w:t>
      </w:r>
      <w:r>
        <w:rPr>
          <w:color w:val="auto"/>
          <w:highlight w:val="none"/>
        </w:rPr>
        <w:t>日~</w:t>
      </w:r>
      <w:r>
        <w:rPr>
          <w:rFonts w:hint="eastAsia"/>
          <w:color w:val="auto"/>
          <w:highlight w:val="none"/>
          <w:lang w:val="en-US" w:eastAsia="zh-CN"/>
        </w:rPr>
        <w:t>7</w:t>
      </w:r>
      <w:r>
        <w:rPr>
          <w:color w:val="auto"/>
          <w:highlight w:val="none"/>
        </w:rPr>
        <w:t>月</w:t>
      </w:r>
      <w:r>
        <w:rPr>
          <w:rFonts w:hint="eastAsia"/>
          <w:color w:val="auto"/>
          <w:highlight w:val="none"/>
          <w:lang w:val="en-US" w:eastAsia="zh-CN"/>
        </w:rPr>
        <w:t>7</w:t>
      </w:r>
      <w:r>
        <w:rPr>
          <w:color w:val="auto"/>
          <w:highlight w:val="none"/>
        </w:rPr>
        <w:t>日，共监测2天，昼夜各一次；</w:t>
      </w:r>
    </w:p>
    <w:p w14:paraId="7AF3BD66">
      <w:pPr>
        <w:pStyle w:val="352"/>
        <w:ind w:firstLine="480"/>
        <w:rPr>
          <w:color w:val="auto"/>
          <w:highlight w:val="none"/>
        </w:rPr>
      </w:pPr>
      <w:r>
        <w:rPr>
          <w:color w:val="auto"/>
          <w:highlight w:val="none"/>
        </w:rPr>
        <w:t>（4）监测分析方法：</w:t>
      </w:r>
    </w:p>
    <w:p w14:paraId="2F4A8210">
      <w:pPr>
        <w:pStyle w:val="352"/>
        <w:ind w:firstLine="480"/>
        <w:rPr>
          <w:color w:val="auto"/>
          <w:highlight w:val="none"/>
        </w:rPr>
      </w:pPr>
      <w:r>
        <w:rPr>
          <w:color w:val="auto"/>
          <w:highlight w:val="none"/>
        </w:rPr>
        <w:t>监测方法按《声环境质量标准》（GB3096-2008）规定的环境噪声测量方法进行。</w:t>
      </w:r>
    </w:p>
    <w:p w14:paraId="7EA65342">
      <w:pPr>
        <w:pStyle w:val="352"/>
        <w:ind w:firstLine="480"/>
        <w:rPr>
          <w:color w:val="auto"/>
          <w:highlight w:val="none"/>
        </w:rPr>
      </w:pPr>
      <w:r>
        <w:rPr>
          <w:color w:val="auto"/>
          <w:highlight w:val="none"/>
        </w:rPr>
        <w:t>（5）监测结果</w:t>
      </w:r>
    </w:p>
    <w:p w14:paraId="27B5A56B">
      <w:pPr>
        <w:pStyle w:val="107"/>
        <w:spacing w:line="240" w:lineRule="auto"/>
        <w:jc w:val="center"/>
        <w:rPr>
          <w:color w:val="auto"/>
          <w:highlight w:val="none"/>
        </w:rPr>
      </w:pPr>
      <w:r>
        <w:rPr>
          <w:bCs/>
          <w:color w:val="auto"/>
          <w:highlight w:val="none"/>
        </w:rPr>
        <w:t>表</w:t>
      </w:r>
      <w:r>
        <w:rPr>
          <w:color w:val="auto"/>
          <w:kern w:val="0"/>
          <w:highlight w:val="none"/>
        </w:rPr>
        <w:t>4.2</w:t>
      </w:r>
      <w:r>
        <w:rPr>
          <w:color w:val="auto"/>
          <w:highlight w:val="none"/>
        </w:rPr>
        <w:t>-</w:t>
      </w:r>
      <w:r>
        <w:rPr>
          <w:rFonts w:hint="eastAsia"/>
          <w:color w:val="auto"/>
          <w:highlight w:val="none"/>
          <w:lang w:val="en-US" w:eastAsia="zh-CN"/>
        </w:rPr>
        <w:t xml:space="preserve">5  </w:t>
      </w:r>
      <w:r>
        <w:rPr>
          <w:color w:val="auto"/>
          <w:highlight w:val="none"/>
        </w:rPr>
        <w:t>声环境质量现状监测结果</w:t>
      </w:r>
    </w:p>
    <w:tbl>
      <w:tblPr>
        <w:tblStyle w:val="49"/>
        <w:tblW w:w="46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91"/>
        <w:gridCol w:w="1313"/>
        <w:gridCol w:w="1417"/>
        <w:gridCol w:w="1318"/>
        <w:gridCol w:w="1481"/>
        <w:gridCol w:w="1484"/>
      </w:tblGrid>
      <w:tr w14:paraId="6C7F34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19" w:type="pct"/>
            <w:vMerge w:val="restart"/>
            <w:tcBorders>
              <w:tl2br w:val="nil"/>
              <w:tr2bl w:val="nil"/>
            </w:tcBorders>
            <w:noWrap w:val="0"/>
            <w:vAlign w:val="center"/>
          </w:tcPr>
          <w:p w14:paraId="051AA6EA">
            <w:pPr>
              <w:pStyle w:val="229"/>
              <w:keepNext w:val="0"/>
              <w:keepLines w:val="0"/>
              <w:pageBreakBefore w:val="0"/>
              <w:widowControl w:val="0"/>
              <w:kinsoku/>
              <w:wordWrap/>
              <w:overflowPunct/>
              <w:topLinePunct w:val="0"/>
              <w:bidi w:val="0"/>
              <w:adjustRightInd/>
              <w:snapToGrid/>
              <w:spacing w:line="240" w:lineRule="atLeast"/>
              <w:ind w:left="0" w:leftChars="0" w:firstLine="0" w:firstLineChars="0"/>
              <w:jc w:val="center"/>
              <w:textAlignment w:val="auto"/>
              <w:rPr>
                <w:b/>
                <w:color w:val="auto"/>
                <w:sz w:val="21"/>
                <w:szCs w:val="21"/>
                <w:highlight w:val="none"/>
                <w:lang w:eastAsia="zh-CN"/>
              </w:rPr>
            </w:pPr>
            <w:r>
              <w:rPr>
                <w:b/>
                <w:color w:val="auto"/>
                <w:sz w:val="21"/>
                <w:szCs w:val="21"/>
                <w:highlight w:val="none"/>
                <w:lang w:eastAsia="zh-CN"/>
              </w:rPr>
              <w:t>编号</w:t>
            </w:r>
          </w:p>
        </w:tc>
        <w:tc>
          <w:tcPr>
            <w:tcW w:w="820" w:type="pct"/>
            <w:vMerge w:val="restart"/>
            <w:tcBorders>
              <w:tl2br w:val="nil"/>
              <w:tr2bl w:val="nil"/>
            </w:tcBorders>
            <w:noWrap w:val="0"/>
            <w:vAlign w:val="center"/>
          </w:tcPr>
          <w:p w14:paraId="5B117651">
            <w:pPr>
              <w:pStyle w:val="229"/>
              <w:keepNext w:val="0"/>
              <w:keepLines w:val="0"/>
              <w:pageBreakBefore w:val="0"/>
              <w:widowControl w:val="0"/>
              <w:kinsoku/>
              <w:wordWrap/>
              <w:overflowPunct/>
              <w:topLinePunct w:val="0"/>
              <w:bidi w:val="0"/>
              <w:adjustRightInd/>
              <w:snapToGrid/>
              <w:spacing w:line="240" w:lineRule="atLeast"/>
              <w:ind w:left="0" w:leftChars="0" w:firstLine="0" w:firstLineChars="0"/>
              <w:jc w:val="center"/>
              <w:textAlignment w:val="auto"/>
              <w:rPr>
                <w:b/>
                <w:color w:val="auto"/>
                <w:sz w:val="21"/>
                <w:szCs w:val="21"/>
                <w:highlight w:val="none"/>
                <w:lang w:eastAsia="zh-CN"/>
              </w:rPr>
            </w:pPr>
            <w:r>
              <w:rPr>
                <w:b/>
                <w:color w:val="auto"/>
                <w:sz w:val="21"/>
                <w:szCs w:val="21"/>
                <w:highlight w:val="none"/>
                <w:lang w:eastAsia="zh-CN"/>
              </w:rPr>
              <w:t>监测点位</w:t>
            </w:r>
          </w:p>
        </w:tc>
        <w:tc>
          <w:tcPr>
            <w:tcW w:w="1708" w:type="pct"/>
            <w:gridSpan w:val="2"/>
            <w:tcBorders>
              <w:tl2br w:val="nil"/>
              <w:tr2bl w:val="nil"/>
            </w:tcBorders>
            <w:noWrap w:val="0"/>
            <w:vAlign w:val="center"/>
          </w:tcPr>
          <w:p w14:paraId="07050E15">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b/>
                <w:color w:val="auto"/>
                <w:sz w:val="21"/>
                <w:szCs w:val="21"/>
                <w:highlight w:val="none"/>
                <w:lang w:val="en-US" w:eastAsia="zh-CN"/>
              </w:rPr>
            </w:pPr>
            <w:r>
              <w:rPr>
                <w:b/>
                <w:color w:val="auto"/>
                <w:sz w:val="21"/>
                <w:szCs w:val="21"/>
                <w:highlight w:val="none"/>
                <w:lang w:eastAsia="zh-CN"/>
              </w:rPr>
              <w:t>202</w:t>
            </w:r>
            <w:r>
              <w:rPr>
                <w:rFonts w:hint="eastAsia"/>
                <w:b/>
                <w:color w:val="auto"/>
                <w:sz w:val="21"/>
                <w:szCs w:val="21"/>
                <w:highlight w:val="none"/>
                <w:lang w:val="en-US" w:eastAsia="zh-CN"/>
              </w:rPr>
              <w:t>5</w:t>
            </w:r>
            <w:r>
              <w:rPr>
                <w:b/>
                <w:color w:val="auto"/>
                <w:sz w:val="21"/>
                <w:szCs w:val="21"/>
                <w:highlight w:val="none"/>
                <w:lang w:eastAsia="zh-CN"/>
              </w:rPr>
              <w:t>.</w:t>
            </w:r>
            <w:r>
              <w:rPr>
                <w:rFonts w:hint="eastAsia"/>
                <w:b/>
                <w:color w:val="auto"/>
                <w:sz w:val="21"/>
                <w:szCs w:val="21"/>
                <w:highlight w:val="none"/>
                <w:lang w:val="en-US" w:eastAsia="zh-CN"/>
              </w:rPr>
              <w:t>7</w:t>
            </w:r>
            <w:r>
              <w:rPr>
                <w:b/>
                <w:color w:val="auto"/>
                <w:sz w:val="21"/>
                <w:szCs w:val="21"/>
                <w:highlight w:val="none"/>
                <w:lang w:eastAsia="zh-CN"/>
              </w:rPr>
              <w:t>.</w:t>
            </w:r>
            <w:r>
              <w:rPr>
                <w:rFonts w:hint="eastAsia"/>
                <w:b/>
                <w:color w:val="auto"/>
                <w:sz w:val="21"/>
                <w:szCs w:val="21"/>
                <w:highlight w:val="none"/>
                <w:lang w:val="en-US" w:eastAsia="zh-CN"/>
              </w:rPr>
              <w:t>29</w:t>
            </w:r>
          </w:p>
        </w:tc>
        <w:tc>
          <w:tcPr>
            <w:tcW w:w="1851" w:type="pct"/>
            <w:gridSpan w:val="2"/>
            <w:tcBorders>
              <w:tl2br w:val="nil"/>
              <w:tr2bl w:val="nil"/>
            </w:tcBorders>
            <w:noWrap w:val="0"/>
            <w:vAlign w:val="center"/>
          </w:tcPr>
          <w:p w14:paraId="37FB1200">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b/>
                <w:color w:val="auto"/>
                <w:sz w:val="21"/>
                <w:szCs w:val="21"/>
                <w:highlight w:val="none"/>
                <w:lang w:val="en-US" w:eastAsia="zh-CN"/>
              </w:rPr>
            </w:pPr>
            <w:r>
              <w:rPr>
                <w:b/>
                <w:color w:val="auto"/>
                <w:sz w:val="21"/>
                <w:szCs w:val="21"/>
                <w:highlight w:val="none"/>
                <w:lang w:eastAsia="zh-CN"/>
              </w:rPr>
              <w:t>202</w:t>
            </w:r>
            <w:r>
              <w:rPr>
                <w:rFonts w:hint="eastAsia"/>
                <w:b/>
                <w:color w:val="auto"/>
                <w:sz w:val="21"/>
                <w:szCs w:val="21"/>
                <w:highlight w:val="none"/>
                <w:lang w:val="en-US" w:eastAsia="zh-CN"/>
              </w:rPr>
              <w:t>5</w:t>
            </w:r>
            <w:r>
              <w:rPr>
                <w:b/>
                <w:color w:val="auto"/>
                <w:sz w:val="21"/>
                <w:szCs w:val="21"/>
                <w:highlight w:val="none"/>
                <w:lang w:eastAsia="zh-CN"/>
              </w:rPr>
              <w:t>.</w:t>
            </w:r>
            <w:r>
              <w:rPr>
                <w:rFonts w:hint="eastAsia"/>
                <w:b/>
                <w:color w:val="auto"/>
                <w:sz w:val="21"/>
                <w:szCs w:val="21"/>
                <w:highlight w:val="none"/>
                <w:lang w:val="en-US" w:eastAsia="zh-CN"/>
              </w:rPr>
              <w:t>7</w:t>
            </w:r>
            <w:r>
              <w:rPr>
                <w:b/>
                <w:color w:val="auto"/>
                <w:sz w:val="21"/>
                <w:szCs w:val="21"/>
                <w:highlight w:val="none"/>
                <w:lang w:eastAsia="zh-CN"/>
              </w:rPr>
              <w:t>.</w:t>
            </w:r>
            <w:r>
              <w:rPr>
                <w:rFonts w:hint="eastAsia"/>
                <w:b/>
                <w:color w:val="auto"/>
                <w:sz w:val="21"/>
                <w:szCs w:val="21"/>
                <w:highlight w:val="none"/>
                <w:lang w:val="en-US" w:eastAsia="zh-CN"/>
              </w:rPr>
              <w:t>30</w:t>
            </w:r>
          </w:p>
        </w:tc>
      </w:tr>
      <w:tr w14:paraId="67635B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19" w:type="pct"/>
            <w:vMerge w:val="continue"/>
            <w:tcBorders>
              <w:tl2br w:val="nil"/>
              <w:tr2bl w:val="nil"/>
            </w:tcBorders>
            <w:noWrap w:val="0"/>
            <w:vAlign w:val="center"/>
          </w:tcPr>
          <w:p w14:paraId="436ECD77">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b/>
                <w:color w:val="auto"/>
                <w:sz w:val="21"/>
                <w:szCs w:val="21"/>
                <w:highlight w:val="none"/>
                <w:lang w:eastAsia="zh-CN"/>
              </w:rPr>
            </w:pPr>
          </w:p>
        </w:tc>
        <w:tc>
          <w:tcPr>
            <w:tcW w:w="820" w:type="pct"/>
            <w:vMerge w:val="continue"/>
            <w:tcBorders>
              <w:tl2br w:val="nil"/>
              <w:tr2bl w:val="nil"/>
            </w:tcBorders>
            <w:noWrap w:val="0"/>
            <w:vAlign w:val="center"/>
          </w:tcPr>
          <w:p w14:paraId="4D6CC04C">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b/>
                <w:color w:val="auto"/>
                <w:sz w:val="21"/>
                <w:szCs w:val="21"/>
                <w:highlight w:val="none"/>
                <w:lang w:eastAsia="zh-CN"/>
              </w:rPr>
            </w:pPr>
          </w:p>
        </w:tc>
        <w:tc>
          <w:tcPr>
            <w:tcW w:w="885" w:type="pct"/>
            <w:tcBorders>
              <w:tl2br w:val="nil"/>
              <w:tr2bl w:val="nil"/>
            </w:tcBorders>
            <w:noWrap w:val="0"/>
            <w:vAlign w:val="center"/>
          </w:tcPr>
          <w:p w14:paraId="3B522220">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b/>
                <w:color w:val="auto"/>
                <w:sz w:val="21"/>
                <w:szCs w:val="21"/>
                <w:highlight w:val="none"/>
                <w:lang w:eastAsia="zh-CN"/>
              </w:rPr>
            </w:pPr>
            <w:r>
              <w:rPr>
                <w:b/>
                <w:color w:val="auto"/>
                <w:sz w:val="21"/>
                <w:szCs w:val="21"/>
                <w:highlight w:val="none"/>
                <w:lang w:eastAsia="zh-CN"/>
              </w:rPr>
              <w:t>昼间</w:t>
            </w:r>
          </w:p>
        </w:tc>
        <w:tc>
          <w:tcPr>
            <w:tcW w:w="822" w:type="pct"/>
            <w:tcBorders>
              <w:tl2br w:val="nil"/>
              <w:tr2bl w:val="nil"/>
            </w:tcBorders>
            <w:noWrap w:val="0"/>
            <w:vAlign w:val="center"/>
          </w:tcPr>
          <w:p w14:paraId="0A1571D8">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b/>
                <w:color w:val="auto"/>
                <w:sz w:val="21"/>
                <w:szCs w:val="21"/>
                <w:highlight w:val="none"/>
                <w:lang w:eastAsia="zh-CN"/>
              </w:rPr>
            </w:pPr>
            <w:r>
              <w:rPr>
                <w:b/>
                <w:color w:val="auto"/>
                <w:sz w:val="21"/>
                <w:szCs w:val="21"/>
                <w:highlight w:val="none"/>
                <w:lang w:eastAsia="zh-CN"/>
              </w:rPr>
              <w:t>夜间</w:t>
            </w:r>
          </w:p>
        </w:tc>
        <w:tc>
          <w:tcPr>
            <w:tcW w:w="925" w:type="pct"/>
            <w:tcBorders>
              <w:tl2br w:val="nil"/>
              <w:tr2bl w:val="nil"/>
            </w:tcBorders>
            <w:noWrap w:val="0"/>
            <w:vAlign w:val="center"/>
          </w:tcPr>
          <w:p w14:paraId="4B2D6507">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b/>
                <w:color w:val="auto"/>
                <w:sz w:val="21"/>
                <w:szCs w:val="21"/>
                <w:highlight w:val="none"/>
                <w:lang w:eastAsia="zh-CN"/>
              </w:rPr>
            </w:pPr>
            <w:r>
              <w:rPr>
                <w:b/>
                <w:color w:val="auto"/>
                <w:sz w:val="21"/>
                <w:szCs w:val="21"/>
                <w:highlight w:val="none"/>
                <w:lang w:eastAsia="zh-CN"/>
              </w:rPr>
              <w:t>昼间</w:t>
            </w:r>
          </w:p>
        </w:tc>
        <w:tc>
          <w:tcPr>
            <w:tcW w:w="925" w:type="pct"/>
            <w:tcBorders>
              <w:tl2br w:val="nil"/>
              <w:tr2bl w:val="nil"/>
            </w:tcBorders>
            <w:noWrap w:val="0"/>
            <w:vAlign w:val="center"/>
          </w:tcPr>
          <w:p w14:paraId="28D87A5E">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b/>
                <w:color w:val="auto"/>
                <w:sz w:val="21"/>
                <w:szCs w:val="21"/>
                <w:highlight w:val="none"/>
                <w:lang w:eastAsia="zh-CN"/>
              </w:rPr>
            </w:pPr>
            <w:r>
              <w:rPr>
                <w:b/>
                <w:color w:val="auto"/>
                <w:sz w:val="21"/>
                <w:szCs w:val="21"/>
                <w:highlight w:val="none"/>
                <w:lang w:eastAsia="zh-CN"/>
              </w:rPr>
              <w:t>夜间</w:t>
            </w:r>
          </w:p>
        </w:tc>
      </w:tr>
      <w:tr w14:paraId="1AF238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19" w:type="pct"/>
            <w:tcBorders>
              <w:tl2br w:val="nil"/>
              <w:tr2bl w:val="nil"/>
            </w:tcBorders>
            <w:noWrap w:val="0"/>
            <w:vAlign w:val="center"/>
          </w:tcPr>
          <w:p w14:paraId="1FFF7C8C">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color w:val="auto"/>
                <w:sz w:val="21"/>
                <w:szCs w:val="21"/>
                <w:highlight w:val="none"/>
                <w:lang w:eastAsia="zh-CN"/>
              </w:rPr>
            </w:pPr>
            <w:r>
              <w:rPr>
                <w:color w:val="auto"/>
                <w:sz w:val="21"/>
                <w:szCs w:val="21"/>
                <w:highlight w:val="none"/>
                <w:lang w:eastAsia="zh-CN"/>
              </w:rPr>
              <w:t>N1</w:t>
            </w:r>
          </w:p>
        </w:tc>
        <w:tc>
          <w:tcPr>
            <w:tcW w:w="820" w:type="pct"/>
            <w:tcBorders>
              <w:tl2br w:val="nil"/>
              <w:tr2bl w:val="nil"/>
            </w:tcBorders>
            <w:noWrap w:val="0"/>
            <w:vAlign w:val="center"/>
          </w:tcPr>
          <w:p w14:paraId="7FAC5645">
            <w:pPr>
              <w:keepNext w:val="0"/>
              <w:keepLines w:val="0"/>
              <w:pageBreakBefore w:val="0"/>
              <w:widowControl w:val="0"/>
              <w:kinsoku/>
              <w:wordWrap/>
              <w:overflowPunct/>
              <w:topLinePunct w:val="0"/>
              <w:autoSpaceDE w:val="0"/>
              <w:autoSpaceDN w:val="0"/>
              <w:bidi w:val="0"/>
              <w:adjustRightInd/>
              <w:snapToGrid/>
              <w:spacing w:after="0" w:line="240" w:lineRule="atLeast"/>
              <w:ind w:firstLine="0"/>
              <w:jc w:val="center"/>
              <w:textAlignment w:val="auto"/>
              <w:rPr>
                <w:color w:val="auto"/>
                <w:sz w:val="21"/>
                <w:szCs w:val="21"/>
                <w:highlight w:val="none"/>
                <w:lang w:eastAsia="zh-CN"/>
              </w:rPr>
            </w:pPr>
            <w:r>
              <w:rPr>
                <w:rFonts w:hint="eastAsia" w:ascii="Times New Roman" w:hAnsi="Times New Roman" w:eastAsia="宋体"/>
                <w:color w:val="auto"/>
                <w:sz w:val="21"/>
                <w:szCs w:val="21"/>
                <w:highlight w:val="none"/>
                <w:lang w:val="en-US" w:eastAsia="zh-CN"/>
              </w:rPr>
              <w:t>厂界西</w:t>
            </w:r>
          </w:p>
        </w:tc>
        <w:tc>
          <w:tcPr>
            <w:tcW w:w="885" w:type="pct"/>
            <w:tcBorders>
              <w:tl2br w:val="nil"/>
              <w:tr2bl w:val="nil"/>
            </w:tcBorders>
            <w:noWrap w:val="0"/>
            <w:vAlign w:val="center"/>
          </w:tcPr>
          <w:p w14:paraId="14EFB417">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52</w:t>
            </w:r>
          </w:p>
        </w:tc>
        <w:tc>
          <w:tcPr>
            <w:tcW w:w="822" w:type="pct"/>
            <w:tcBorders>
              <w:tl2br w:val="nil"/>
              <w:tr2bl w:val="nil"/>
            </w:tcBorders>
            <w:noWrap w:val="0"/>
            <w:vAlign w:val="center"/>
          </w:tcPr>
          <w:p w14:paraId="05941519">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43</w:t>
            </w:r>
          </w:p>
        </w:tc>
        <w:tc>
          <w:tcPr>
            <w:tcW w:w="925" w:type="pct"/>
            <w:tcBorders>
              <w:tl2br w:val="nil"/>
              <w:tr2bl w:val="nil"/>
            </w:tcBorders>
            <w:noWrap w:val="0"/>
            <w:vAlign w:val="center"/>
          </w:tcPr>
          <w:p w14:paraId="3DFD8A24">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53</w:t>
            </w:r>
          </w:p>
        </w:tc>
        <w:tc>
          <w:tcPr>
            <w:tcW w:w="925" w:type="pct"/>
            <w:tcBorders>
              <w:tl2br w:val="nil"/>
              <w:tr2bl w:val="nil"/>
            </w:tcBorders>
            <w:noWrap w:val="0"/>
            <w:vAlign w:val="center"/>
          </w:tcPr>
          <w:p w14:paraId="57D0F5DB">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50</w:t>
            </w:r>
          </w:p>
        </w:tc>
      </w:tr>
      <w:tr w14:paraId="63E7A2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304" w:type="dxa"/>
            <w:gridSpan w:val="2"/>
            <w:tcBorders>
              <w:tl2br w:val="nil"/>
              <w:tr2bl w:val="nil"/>
            </w:tcBorders>
            <w:noWrap w:val="0"/>
            <w:vAlign w:val="center"/>
          </w:tcPr>
          <w:p w14:paraId="405DD05D">
            <w:pPr>
              <w:pStyle w:val="229"/>
              <w:keepNext w:val="0"/>
              <w:keepLines w:val="0"/>
              <w:pageBreakBefore w:val="0"/>
              <w:widowControl w:val="0"/>
              <w:kinsoku/>
              <w:wordWrap/>
              <w:overflowPunct/>
              <w:topLinePunct w:val="0"/>
              <w:bidi w:val="0"/>
              <w:adjustRightInd/>
              <w:snapToGrid/>
              <w:spacing w:line="240" w:lineRule="atLeast"/>
              <w:ind w:firstLine="0" w:firstLineChars="0"/>
              <w:jc w:val="center"/>
              <w:textAlignment w:val="auto"/>
              <w:rPr>
                <w:rFonts w:hint="eastAsia" w:ascii="Times New Roman" w:hAnsi="Times New Roman" w:eastAsia="宋体"/>
                <w:color w:val="auto"/>
                <w:sz w:val="21"/>
                <w:szCs w:val="21"/>
                <w:highlight w:val="none"/>
                <w:lang w:val="en-US" w:eastAsia="zh-CN"/>
              </w:rPr>
            </w:pPr>
            <w:r>
              <w:rPr>
                <w:color w:val="auto"/>
                <w:sz w:val="21"/>
                <w:szCs w:val="21"/>
                <w:highlight w:val="none"/>
                <w:lang w:eastAsia="zh-CN"/>
              </w:rPr>
              <w:t>标准限值</w:t>
            </w:r>
          </w:p>
        </w:tc>
        <w:tc>
          <w:tcPr>
            <w:tcW w:w="1417" w:type="dxa"/>
            <w:tcBorders>
              <w:tl2br w:val="nil"/>
              <w:tr2bl w:val="nil"/>
            </w:tcBorders>
            <w:noWrap w:val="0"/>
            <w:vAlign w:val="center"/>
          </w:tcPr>
          <w:p w14:paraId="7DE12F63">
            <w:pPr>
              <w:pStyle w:val="229"/>
              <w:keepNext w:val="0"/>
              <w:keepLines w:val="0"/>
              <w:pageBreakBefore w:val="0"/>
              <w:widowControl w:val="0"/>
              <w:kinsoku/>
              <w:wordWrap/>
              <w:overflowPunct/>
              <w:topLinePunct w:val="0"/>
              <w:bidi w:val="0"/>
              <w:adjustRightInd/>
              <w:snapToGrid/>
              <w:spacing w:line="24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70</w:t>
            </w:r>
          </w:p>
        </w:tc>
        <w:tc>
          <w:tcPr>
            <w:tcW w:w="1318" w:type="dxa"/>
            <w:tcBorders>
              <w:tl2br w:val="nil"/>
              <w:tr2bl w:val="nil"/>
            </w:tcBorders>
            <w:noWrap w:val="0"/>
            <w:vAlign w:val="center"/>
          </w:tcPr>
          <w:p w14:paraId="575A14F5">
            <w:pPr>
              <w:pStyle w:val="229"/>
              <w:keepNext w:val="0"/>
              <w:keepLines w:val="0"/>
              <w:pageBreakBefore w:val="0"/>
              <w:widowControl w:val="0"/>
              <w:kinsoku/>
              <w:wordWrap/>
              <w:overflowPunct/>
              <w:topLinePunct w:val="0"/>
              <w:bidi w:val="0"/>
              <w:adjustRightInd/>
              <w:snapToGrid/>
              <w:spacing w:line="240" w:lineRule="atLeast"/>
              <w:ind w:firstLine="0" w:firstLineChars="0"/>
              <w:jc w:val="center"/>
              <w:textAlignment w:val="auto"/>
              <w:rPr>
                <w:rFonts w:hint="eastAsia" w:ascii="Times New Roman" w:hAnsi="Times New Roman" w:cs="Times New Roman"/>
                <w:color w:val="auto"/>
                <w:sz w:val="21"/>
                <w:szCs w:val="21"/>
                <w:highlight w:val="none"/>
                <w:lang w:val="en-US" w:eastAsia="zh-CN"/>
              </w:rPr>
            </w:pPr>
            <w:r>
              <w:rPr>
                <w:color w:val="auto"/>
                <w:sz w:val="21"/>
                <w:szCs w:val="21"/>
                <w:highlight w:val="none"/>
                <w:lang w:eastAsia="zh-CN"/>
              </w:rPr>
              <w:t>55</w:t>
            </w:r>
          </w:p>
        </w:tc>
        <w:tc>
          <w:tcPr>
            <w:tcW w:w="1481" w:type="dxa"/>
            <w:tcBorders>
              <w:tl2br w:val="nil"/>
              <w:tr2bl w:val="nil"/>
            </w:tcBorders>
            <w:noWrap w:val="0"/>
            <w:vAlign w:val="center"/>
          </w:tcPr>
          <w:p w14:paraId="6A8A361A">
            <w:pPr>
              <w:pStyle w:val="229"/>
              <w:keepNext w:val="0"/>
              <w:keepLines w:val="0"/>
              <w:pageBreakBefore w:val="0"/>
              <w:widowControl w:val="0"/>
              <w:kinsoku/>
              <w:wordWrap/>
              <w:overflowPunct/>
              <w:topLinePunct w:val="0"/>
              <w:bidi w:val="0"/>
              <w:adjustRightInd/>
              <w:snapToGrid/>
              <w:spacing w:line="240" w:lineRule="atLeas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1484" w:type="dxa"/>
            <w:tcBorders>
              <w:tl2br w:val="nil"/>
              <w:tr2bl w:val="nil"/>
            </w:tcBorders>
            <w:noWrap w:val="0"/>
            <w:vAlign w:val="center"/>
          </w:tcPr>
          <w:p w14:paraId="6259E05A">
            <w:pPr>
              <w:pStyle w:val="229"/>
              <w:keepNext w:val="0"/>
              <w:keepLines w:val="0"/>
              <w:pageBreakBefore w:val="0"/>
              <w:widowControl w:val="0"/>
              <w:kinsoku/>
              <w:wordWrap/>
              <w:overflowPunct/>
              <w:topLinePunct w:val="0"/>
              <w:bidi w:val="0"/>
              <w:adjustRightInd/>
              <w:snapToGrid/>
              <w:spacing w:line="240" w:lineRule="atLeast"/>
              <w:ind w:firstLine="0" w:firstLineChars="0"/>
              <w:jc w:val="center"/>
              <w:textAlignment w:val="auto"/>
              <w:rPr>
                <w:rFonts w:hint="eastAsia" w:ascii="Times New Roman" w:hAnsi="Times New Roman" w:cs="Times New Roman"/>
                <w:color w:val="auto"/>
                <w:sz w:val="21"/>
                <w:szCs w:val="21"/>
                <w:highlight w:val="none"/>
                <w:lang w:val="en-US" w:eastAsia="zh-CN"/>
              </w:rPr>
            </w:pPr>
            <w:r>
              <w:rPr>
                <w:color w:val="auto"/>
                <w:sz w:val="21"/>
                <w:szCs w:val="21"/>
                <w:highlight w:val="none"/>
                <w:lang w:eastAsia="zh-CN"/>
              </w:rPr>
              <w:t>55</w:t>
            </w:r>
          </w:p>
        </w:tc>
      </w:tr>
      <w:tr w14:paraId="4F18A9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19" w:type="pct"/>
            <w:tcBorders>
              <w:tl2br w:val="nil"/>
              <w:tr2bl w:val="nil"/>
            </w:tcBorders>
            <w:noWrap w:val="0"/>
            <w:vAlign w:val="center"/>
          </w:tcPr>
          <w:p w14:paraId="39A8C45E">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color w:val="auto"/>
                <w:sz w:val="21"/>
                <w:szCs w:val="21"/>
                <w:highlight w:val="none"/>
                <w:lang w:eastAsia="zh-CN"/>
              </w:rPr>
            </w:pPr>
            <w:r>
              <w:rPr>
                <w:color w:val="auto"/>
                <w:sz w:val="21"/>
                <w:szCs w:val="21"/>
                <w:highlight w:val="none"/>
                <w:lang w:eastAsia="zh-CN"/>
              </w:rPr>
              <w:t>N2</w:t>
            </w:r>
          </w:p>
        </w:tc>
        <w:tc>
          <w:tcPr>
            <w:tcW w:w="820" w:type="pct"/>
            <w:tcBorders>
              <w:tl2br w:val="nil"/>
              <w:tr2bl w:val="nil"/>
            </w:tcBorders>
            <w:noWrap w:val="0"/>
            <w:vAlign w:val="center"/>
          </w:tcPr>
          <w:p w14:paraId="53354D6A">
            <w:pPr>
              <w:keepNext w:val="0"/>
              <w:keepLines w:val="0"/>
              <w:pageBreakBefore w:val="0"/>
              <w:widowControl w:val="0"/>
              <w:kinsoku/>
              <w:wordWrap/>
              <w:overflowPunct/>
              <w:topLinePunct w:val="0"/>
              <w:autoSpaceDE w:val="0"/>
              <w:autoSpaceDN w:val="0"/>
              <w:bidi w:val="0"/>
              <w:adjustRightInd/>
              <w:snapToGrid/>
              <w:spacing w:after="0" w:line="240" w:lineRule="atLeast"/>
              <w:ind w:firstLine="0"/>
              <w:jc w:val="center"/>
              <w:textAlignment w:val="auto"/>
              <w:rPr>
                <w:color w:val="auto"/>
                <w:sz w:val="21"/>
                <w:szCs w:val="21"/>
                <w:highlight w:val="none"/>
                <w:lang w:eastAsia="zh-CN"/>
              </w:rPr>
            </w:pPr>
            <w:r>
              <w:rPr>
                <w:rFonts w:hint="eastAsia" w:ascii="Times New Roman" w:hAnsi="Times New Roman" w:eastAsia="宋体"/>
                <w:color w:val="auto"/>
                <w:sz w:val="21"/>
                <w:szCs w:val="21"/>
                <w:highlight w:val="none"/>
                <w:lang w:val="en-US" w:eastAsia="zh-CN"/>
              </w:rPr>
              <w:t>厂界北</w:t>
            </w:r>
          </w:p>
        </w:tc>
        <w:tc>
          <w:tcPr>
            <w:tcW w:w="885" w:type="pct"/>
            <w:tcBorders>
              <w:tl2br w:val="nil"/>
              <w:tr2bl w:val="nil"/>
            </w:tcBorders>
            <w:noWrap w:val="0"/>
            <w:vAlign w:val="center"/>
          </w:tcPr>
          <w:p w14:paraId="6369816C">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53</w:t>
            </w:r>
          </w:p>
        </w:tc>
        <w:tc>
          <w:tcPr>
            <w:tcW w:w="822" w:type="pct"/>
            <w:tcBorders>
              <w:tl2br w:val="nil"/>
              <w:tr2bl w:val="nil"/>
            </w:tcBorders>
            <w:noWrap w:val="0"/>
            <w:vAlign w:val="center"/>
          </w:tcPr>
          <w:p w14:paraId="42D573E5">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47</w:t>
            </w:r>
          </w:p>
        </w:tc>
        <w:tc>
          <w:tcPr>
            <w:tcW w:w="925" w:type="pct"/>
            <w:tcBorders>
              <w:tl2br w:val="nil"/>
              <w:tr2bl w:val="nil"/>
            </w:tcBorders>
            <w:noWrap w:val="0"/>
            <w:vAlign w:val="center"/>
          </w:tcPr>
          <w:p w14:paraId="0DAAB09D">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55</w:t>
            </w:r>
          </w:p>
        </w:tc>
        <w:tc>
          <w:tcPr>
            <w:tcW w:w="925" w:type="pct"/>
            <w:tcBorders>
              <w:tl2br w:val="nil"/>
              <w:tr2bl w:val="nil"/>
            </w:tcBorders>
            <w:noWrap w:val="0"/>
            <w:vAlign w:val="center"/>
          </w:tcPr>
          <w:p w14:paraId="6B576BBE">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50</w:t>
            </w:r>
          </w:p>
        </w:tc>
      </w:tr>
      <w:tr w14:paraId="2C517A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19" w:type="pct"/>
            <w:tcBorders>
              <w:tl2br w:val="nil"/>
              <w:tr2bl w:val="nil"/>
            </w:tcBorders>
            <w:noWrap w:val="0"/>
            <w:vAlign w:val="center"/>
          </w:tcPr>
          <w:p w14:paraId="0FD172F2">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color w:val="auto"/>
                <w:sz w:val="21"/>
                <w:szCs w:val="21"/>
                <w:highlight w:val="none"/>
                <w:lang w:eastAsia="zh-CN"/>
              </w:rPr>
            </w:pPr>
            <w:r>
              <w:rPr>
                <w:color w:val="auto"/>
                <w:sz w:val="21"/>
                <w:szCs w:val="21"/>
                <w:highlight w:val="none"/>
                <w:lang w:eastAsia="zh-CN"/>
              </w:rPr>
              <w:t>N3</w:t>
            </w:r>
          </w:p>
        </w:tc>
        <w:tc>
          <w:tcPr>
            <w:tcW w:w="820" w:type="pct"/>
            <w:tcBorders>
              <w:tl2br w:val="nil"/>
              <w:tr2bl w:val="nil"/>
            </w:tcBorders>
            <w:noWrap w:val="0"/>
            <w:vAlign w:val="center"/>
          </w:tcPr>
          <w:p w14:paraId="65694CB0">
            <w:pPr>
              <w:keepNext w:val="0"/>
              <w:keepLines w:val="0"/>
              <w:pageBreakBefore w:val="0"/>
              <w:widowControl w:val="0"/>
              <w:kinsoku/>
              <w:wordWrap/>
              <w:overflowPunct/>
              <w:topLinePunct w:val="0"/>
              <w:autoSpaceDE w:val="0"/>
              <w:autoSpaceDN w:val="0"/>
              <w:bidi w:val="0"/>
              <w:adjustRightInd/>
              <w:snapToGrid/>
              <w:spacing w:after="0" w:line="240" w:lineRule="atLeast"/>
              <w:ind w:firstLine="0"/>
              <w:jc w:val="center"/>
              <w:textAlignment w:val="auto"/>
              <w:rPr>
                <w:color w:val="auto"/>
                <w:sz w:val="21"/>
                <w:szCs w:val="21"/>
                <w:highlight w:val="none"/>
                <w:lang w:eastAsia="zh-CN"/>
              </w:rPr>
            </w:pPr>
            <w:r>
              <w:rPr>
                <w:rFonts w:hint="eastAsia" w:ascii="Times New Roman" w:hAnsi="Times New Roman" w:eastAsia="宋体"/>
                <w:color w:val="auto"/>
                <w:sz w:val="21"/>
                <w:szCs w:val="21"/>
                <w:highlight w:val="none"/>
                <w:lang w:val="en-US" w:eastAsia="zh-CN"/>
              </w:rPr>
              <w:t>厂界东</w:t>
            </w:r>
          </w:p>
        </w:tc>
        <w:tc>
          <w:tcPr>
            <w:tcW w:w="885" w:type="pct"/>
            <w:tcBorders>
              <w:tl2br w:val="nil"/>
              <w:tr2bl w:val="nil"/>
            </w:tcBorders>
            <w:noWrap w:val="0"/>
            <w:vAlign w:val="center"/>
          </w:tcPr>
          <w:p w14:paraId="0C2C1F96">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53</w:t>
            </w:r>
          </w:p>
        </w:tc>
        <w:tc>
          <w:tcPr>
            <w:tcW w:w="822" w:type="pct"/>
            <w:tcBorders>
              <w:tl2br w:val="nil"/>
              <w:tr2bl w:val="nil"/>
            </w:tcBorders>
            <w:noWrap w:val="0"/>
            <w:vAlign w:val="center"/>
          </w:tcPr>
          <w:p w14:paraId="1733583B">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49</w:t>
            </w:r>
          </w:p>
        </w:tc>
        <w:tc>
          <w:tcPr>
            <w:tcW w:w="925" w:type="pct"/>
            <w:tcBorders>
              <w:tl2br w:val="nil"/>
              <w:tr2bl w:val="nil"/>
            </w:tcBorders>
            <w:noWrap w:val="0"/>
            <w:vAlign w:val="center"/>
          </w:tcPr>
          <w:p w14:paraId="0D2A2D4F">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53</w:t>
            </w:r>
          </w:p>
        </w:tc>
        <w:tc>
          <w:tcPr>
            <w:tcW w:w="925" w:type="pct"/>
            <w:tcBorders>
              <w:tl2br w:val="nil"/>
              <w:tr2bl w:val="nil"/>
            </w:tcBorders>
            <w:noWrap w:val="0"/>
            <w:vAlign w:val="center"/>
          </w:tcPr>
          <w:p w14:paraId="45CE3BF3">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49</w:t>
            </w:r>
          </w:p>
        </w:tc>
      </w:tr>
      <w:tr w14:paraId="03EFBA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19" w:type="pct"/>
            <w:tcBorders>
              <w:tl2br w:val="nil"/>
              <w:tr2bl w:val="nil"/>
            </w:tcBorders>
            <w:noWrap w:val="0"/>
            <w:vAlign w:val="center"/>
          </w:tcPr>
          <w:p w14:paraId="60C8E2D2">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color w:val="auto"/>
                <w:sz w:val="21"/>
                <w:szCs w:val="21"/>
                <w:highlight w:val="none"/>
                <w:lang w:eastAsia="zh-CN"/>
              </w:rPr>
            </w:pPr>
            <w:r>
              <w:rPr>
                <w:color w:val="auto"/>
                <w:sz w:val="21"/>
                <w:szCs w:val="21"/>
                <w:highlight w:val="none"/>
                <w:lang w:eastAsia="zh-CN"/>
              </w:rPr>
              <w:t>N4</w:t>
            </w:r>
          </w:p>
        </w:tc>
        <w:tc>
          <w:tcPr>
            <w:tcW w:w="820" w:type="pct"/>
            <w:tcBorders>
              <w:tl2br w:val="nil"/>
              <w:tr2bl w:val="nil"/>
            </w:tcBorders>
            <w:noWrap w:val="0"/>
            <w:vAlign w:val="center"/>
          </w:tcPr>
          <w:p w14:paraId="20483B0E">
            <w:pPr>
              <w:keepNext w:val="0"/>
              <w:keepLines w:val="0"/>
              <w:pageBreakBefore w:val="0"/>
              <w:widowControl w:val="0"/>
              <w:kinsoku/>
              <w:wordWrap/>
              <w:overflowPunct/>
              <w:topLinePunct w:val="0"/>
              <w:autoSpaceDE w:val="0"/>
              <w:autoSpaceDN w:val="0"/>
              <w:bidi w:val="0"/>
              <w:adjustRightInd/>
              <w:snapToGrid/>
              <w:spacing w:after="0" w:line="240" w:lineRule="atLeast"/>
              <w:ind w:firstLine="0"/>
              <w:jc w:val="center"/>
              <w:textAlignment w:val="auto"/>
              <w:rPr>
                <w:color w:val="auto"/>
                <w:sz w:val="21"/>
                <w:szCs w:val="21"/>
                <w:highlight w:val="none"/>
                <w:lang w:eastAsia="zh-CN"/>
              </w:rPr>
            </w:pPr>
            <w:r>
              <w:rPr>
                <w:rFonts w:hint="eastAsia" w:ascii="Times New Roman" w:hAnsi="Times New Roman" w:eastAsia="宋体"/>
                <w:color w:val="auto"/>
                <w:sz w:val="21"/>
                <w:szCs w:val="21"/>
                <w:highlight w:val="none"/>
                <w:lang w:val="en-US" w:eastAsia="zh-CN"/>
              </w:rPr>
              <w:t>厂界南</w:t>
            </w:r>
          </w:p>
        </w:tc>
        <w:tc>
          <w:tcPr>
            <w:tcW w:w="885" w:type="pct"/>
            <w:tcBorders>
              <w:tl2br w:val="nil"/>
              <w:tr2bl w:val="nil"/>
            </w:tcBorders>
            <w:noWrap w:val="0"/>
            <w:vAlign w:val="center"/>
          </w:tcPr>
          <w:p w14:paraId="49440223">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53</w:t>
            </w:r>
          </w:p>
        </w:tc>
        <w:tc>
          <w:tcPr>
            <w:tcW w:w="822" w:type="pct"/>
            <w:tcBorders>
              <w:tl2br w:val="nil"/>
              <w:tr2bl w:val="nil"/>
            </w:tcBorders>
            <w:noWrap w:val="0"/>
            <w:vAlign w:val="center"/>
          </w:tcPr>
          <w:p w14:paraId="18DEF642">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39</w:t>
            </w:r>
          </w:p>
        </w:tc>
        <w:tc>
          <w:tcPr>
            <w:tcW w:w="925" w:type="pct"/>
            <w:tcBorders>
              <w:tl2br w:val="nil"/>
              <w:tr2bl w:val="nil"/>
            </w:tcBorders>
            <w:noWrap w:val="0"/>
            <w:vAlign w:val="center"/>
          </w:tcPr>
          <w:p w14:paraId="5627691C">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51</w:t>
            </w:r>
          </w:p>
        </w:tc>
        <w:tc>
          <w:tcPr>
            <w:tcW w:w="925" w:type="pct"/>
            <w:tcBorders>
              <w:tl2br w:val="nil"/>
              <w:tr2bl w:val="nil"/>
            </w:tcBorders>
            <w:noWrap w:val="0"/>
            <w:vAlign w:val="center"/>
          </w:tcPr>
          <w:p w14:paraId="1DEC8337">
            <w:pPr>
              <w:keepNext w:val="0"/>
              <w:keepLines w:val="0"/>
              <w:pageBreakBefore w:val="0"/>
              <w:widowControl w:val="0"/>
              <w:kinsoku/>
              <w:wordWrap/>
              <w:overflowPunct/>
              <w:topLinePunct w:val="0"/>
              <w:bidi w:val="0"/>
              <w:adjustRightInd/>
              <w:snapToGrid/>
              <w:spacing w:line="240" w:lineRule="atLeast"/>
              <w:ind w:firstLine="0"/>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50</w:t>
            </w:r>
          </w:p>
        </w:tc>
      </w:tr>
      <w:tr w14:paraId="40DB8B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439" w:type="pct"/>
            <w:gridSpan w:val="2"/>
            <w:tcBorders>
              <w:tl2br w:val="nil"/>
              <w:tr2bl w:val="nil"/>
            </w:tcBorders>
            <w:noWrap w:val="0"/>
            <w:vAlign w:val="center"/>
          </w:tcPr>
          <w:p w14:paraId="6DCCF62D">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color w:val="auto"/>
                <w:sz w:val="21"/>
                <w:szCs w:val="21"/>
                <w:highlight w:val="none"/>
                <w:lang w:eastAsia="zh-CN"/>
              </w:rPr>
            </w:pPr>
            <w:r>
              <w:rPr>
                <w:color w:val="auto"/>
                <w:sz w:val="21"/>
                <w:szCs w:val="21"/>
                <w:highlight w:val="none"/>
                <w:lang w:eastAsia="zh-CN"/>
              </w:rPr>
              <w:t>标准限值</w:t>
            </w:r>
          </w:p>
        </w:tc>
        <w:tc>
          <w:tcPr>
            <w:tcW w:w="885" w:type="pct"/>
            <w:tcBorders>
              <w:tl2br w:val="nil"/>
              <w:tr2bl w:val="nil"/>
            </w:tcBorders>
            <w:noWrap w:val="0"/>
            <w:vAlign w:val="center"/>
          </w:tcPr>
          <w:p w14:paraId="2E0596B1">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color w:val="auto"/>
                <w:sz w:val="21"/>
                <w:szCs w:val="21"/>
                <w:highlight w:val="none"/>
                <w:lang w:eastAsia="zh-CN"/>
              </w:rPr>
            </w:pPr>
            <w:r>
              <w:rPr>
                <w:color w:val="auto"/>
                <w:sz w:val="21"/>
                <w:szCs w:val="21"/>
                <w:highlight w:val="none"/>
                <w:lang w:eastAsia="zh-CN"/>
              </w:rPr>
              <w:t>65</w:t>
            </w:r>
          </w:p>
        </w:tc>
        <w:tc>
          <w:tcPr>
            <w:tcW w:w="822" w:type="pct"/>
            <w:tcBorders>
              <w:tl2br w:val="nil"/>
              <w:tr2bl w:val="nil"/>
            </w:tcBorders>
            <w:noWrap w:val="0"/>
            <w:vAlign w:val="center"/>
          </w:tcPr>
          <w:p w14:paraId="4B378EFD">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color w:val="auto"/>
                <w:sz w:val="21"/>
                <w:szCs w:val="21"/>
                <w:highlight w:val="none"/>
                <w:lang w:eastAsia="zh-CN"/>
              </w:rPr>
            </w:pPr>
            <w:r>
              <w:rPr>
                <w:color w:val="auto"/>
                <w:sz w:val="21"/>
                <w:szCs w:val="21"/>
                <w:highlight w:val="none"/>
                <w:lang w:eastAsia="zh-CN"/>
              </w:rPr>
              <w:t>55</w:t>
            </w:r>
          </w:p>
        </w:tc>
        <w:tc>
          <w:tcPr>
            <w:tcW w:w="925" w:type="pct"/>
            <w:tcBorders>
              <w:tl2br w:val="nil"/>
              <w:tr2bl w:val="nil"/>
            </w:tcBorders>
            <w:noWrap w:val="0"/>
            <w:vAlign w:val="center"/>
          </w:tcPr>
          <w:p w14:paraId="4701CD7B">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color w:val="auto"/>
                <w:sz w:val="21"/>
                <w:szCs w:val="21"/>
                <w:highlight w:val="none"/>
                <w:lang w:eastAsia="zh-CN"/>
              </w:rPr>
            </w:pPr>
            <w:r>
              <w:rPr>
                <w:color w:val="auto"/>
                <w:sz w:val="21"/>
                <w:szCs w:val="21"/>
                <w:highlight w:val="none"/>
                <w:lang w:eastAsia="zh-CN"/>
              </w:rPr>
              <w:t>65</w:t>
            </w:r>
          </w:p>
        </w:tc>
        <w:tc>
          <w:tcPr>
            <w:tcW w:w="925" w:type="pct"/>
            <w:tcBorders>
              <w:tl2br w:val="nil"/>
              <w:tr2bl w:val="nil"/>
            </w:tcBorders>
            <w:noWrap w:val="0"/>
            <w:vAlign w:val="center"/>
          </w:tcPr>
          <w:p w14:paraId="17E725C3">
            <w:pPr>
              <w:pStyle w:val="229"/>
              <w:keepNext w:val="0"/>
              <w:keepLines w:val="0"/>
              <w:pageBreakBefore w:val="0"/>
              <w:widowControl w:val="0"/>
              <w:kinsoku/>
              <w:wordWrap/>
              <w:overflowPunct/>
              <w:topLinePunct w:val="0"/>
              <w:bidi w:val="0"/>
              <w:adjustRightInd/>
              <w:snapToGrid/>
              <w:spacing w:line="240" w:lineRule="atLeast"/>
              <w:ind w:firstLine="0"/>
              <w:jc w:val="center"/>
              <w:textAlignment w:val="auto"/>
              <w:rPr>
                <w:color w:val="auto"/>
                <w:sz w:val="21"/>
                <w:szCs w:val="21"/>
                <w:highlight w:val="none"/>
                <w:lang w:eastAsia="zh-CN"/>
              </w:rPr>
            </w:pPr>
            <w:r>
              <w:rPr>
                <w:color w:val="auto"/>
                <w:sz w:val="21"/>
                <w:szCs w:val="21"/>
                <w:highlight w:val="none"/>
                <w:lang w:eastAsia="zh-CN"/>
              </w:rPr>
              <w:t>55</w:t>
            </w:r>
          </w:p>
        </w:tc>
      </w:tr>
    </w:tbl>
    <w:p w14:paraId="034547E4">
      <w:pPr>
        <w:pStyle w:val="352"/>
        <w:ind w:firstLine="480"/>
        <w:rPr>
          <w:color w:val="auto"/>
          <w:highlight w:val="none"/>
        </w:rPr>
      </w:pPr>
      <w:r>
        <w:rPr>
          <w:color w:val="auto"/>
          <w:highlight w:val="none"/>
        </w:rPr>
        <w:t>由监测结果可知，本次现状监测</w:t>
      </w:r>
      <w:r>
        <w:rPr>
          <w:rFonts w:hint="eastAsia"/>
          <w:color w:val="auto"/>
          <w:highlight w:val="none"/>
          <w:lang w:val="en-US" w:eastAsia="zh-CN"/>
        </w:rPr>
        <w:t>北、南、东</w:t>
      </w:r>
      <w:r>
        <w:rPr>
          <w:color w:val="auto"/>
          <w:highlight w:val="none"/>
        </w:rPr>
        <w:t>厂界的昼间和夜间等效声级均满足《声环境质量标准》（GB3096-2008）中3类标准限值的要求</w:t>
      </w:r>
      <w:r>
        <w:rPr>
          <w:rFonts w:hint="eastAsia"/>
          <w:color w:val="auto"/>
          <w:highlight w:val="none"/>
          <w:lang w:eastAsia="zh-CN"/>
        </w:rPr>
        <w:t>、</w:t>
      </w:r>
      <w:r>
        <w:rPr>
          <w:rFonts w:hint="eastAsia"/>
          <w:color w:val="auto"/>
          <w:highlight w:val="none"/>
          <w:lang w:val="en-US" w:eastAsia="zh-CN"/>
        </w:rPr>
        <w:t>西厂界满足4q</w:t>
      </w:r>
      <w:r>
        <w:rPr>
          <w:color w:val="auto"/>
          <w:highlight w:val="none"/>
        </w:rPr>
        <w:t>类标准限值的要求。</w:t>
      </w:r>
    </w:p>
    <w:p w14:paraId="54160817">
      <w:pPr>
        <w:pStyle w:val="4"/>
        <w:spacing w:after="156"/>
        <w:rPr>
          <w:color w:val="auto"/>
          <w:highlight w:val="none"/>
        </w:rPr>
      </w:pPr>
      <w:bookmarkStart w:id="315" w:name="_Toc152921680"/>
      <w:bookmarkStart w:id="316" w:name="_Toc152922045"/>
      <w:bookmarkStart w:id="317" w:name="_Toc152923320"/>
      <w:bookmarkStart w:id="318" w:name="_Toc152922639"/>
      <w:bookmarkStart w:id="319" w:name="_Toc117150254"/>
      <w:r>
        <w:rPr>
          <w:color w:val="auto"/>
          <w:highlight w:val="none"/>
        </w:rPr>
        <w:t>4.2.4地下水环境质量现状监测与评价</w:t>
      </w:r>
      <w:bookmarkEnd w:id="315"/>
      <w:bookmarkEnd w:id="316"/>
      <w:bookmarkEnd w:id="317"/>
      <w:bookmarkEnd w:id="318"/>
      <w:bookmarkEnd w:id="319"/>
    </w:p>
    <w:p w14:paraId="21B22EF6">
      <w:pPr>
        <w:pStyle w:val="352"/>
        <w:ind w:firstLine="480"/>
        <w:rPr>
          <w:color w:val="auto"/>
          <w:highlight w:val="none"/>
        </w:rPr>
      </w:pPr>
      <w:r>
        <w:rPr>
          <w:rFonts w:hint="eastAsia" w:ascii="Times New Roman" w:hAnsi="Times New Roman" w:eastAsia="宋体" w:cs="Times New Roman"/>
          <w:color w:val="auto"/>
          <w:kern w:val="2"/>
          <w:sz w:val="24"/>
          <w:szCs w:val="24"/>
          <w:highlight w:val="none"/>
          <w:lang w:val="en-US" w:eastAsia="zh-CN" w:bidi="ar-SA"/>
        </w:rPr>
        <w:t>为了解区域地下水环境质量现状，根据本项目建设区域的地下水分布特点，本项目共设</w:t>
      </w:r>
      <w:r>
        <w:rPr>
          <w:rFonts w:hint="eastAsia" w:ascii="Times New Roman" w:hAnsi="Times New Roman" w:cs="Times New Roman"/>
          <w:color w:val="auto"/>
          <w:kern w:val="2"/>
          <w:sz w:val="24"/>
          <w:szCs w:val="24"/>
          <w:highlight w:val="none"/>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个水质监测点</w:t>
      </w:r>
      <w:r>
        <w:rPr>
          <w:rFonts w:hint="eastAsia" w:ascii="Times New Roman" w:hAnsi="Times New Roman" w:cs="Times New Roman"/>
          <w:color w:val="auto"/>
          <w:kern w:val="2"/>
          <w:sz w:val="24"/>
          <w:szCs w:val="24"/>
          <w:highlight w:val="none"/>
          <w:lang w:val="en-US" w:eastAsia="zh-CN" w:bidi="ar-SA"/>
        </w:rPr>
        <w:t>（水位监测点位10个）</w:t>
      </w:r>
    </w:p>
    <w:p w14:paraId="0D622E1F">
      <w:pPr>
        <w:pStyle w:val="352"/>
        <w:ind w:firstLine="480"/>
        <w:rPr>
          <w:color w:val="auto"/>
          <w:highlight w:val="none"/>
        </w:rPr>
      </w:pPr>
      <w:r>
        <w:rPr>
          <w:color w:val="auto"/>
          <w:highlight w:val="none"/>
        </w:rPr>
        <w:t>（1）监测因子和监测点位</w:t>
      </w:r>
    </w:p>
    <w:p w14:paraId="6651A833">
      <w:pPr>
        <w:pStyle w:val="352"/>
        <w:ind w:firstLine="480"/>
        <w:rPr>
          <w:color w:val="auto"/>
          <w:highlight w:val="none"/>
        </w:rPr>
      </w:pPr>
      <w:r>
        <w:rPr>
          <w:rFonts w:hint="eastAsia"/>
          <w:color w:val="auto"/>
          <w:highlight w:val="none"/>
        </w:rPr>
        <w:t>设</w:t>
      </w:r>
      <w:r>
        <w:rPr>
          <w:rFonts w:hint="eastAsia"/>
          <w:color w:val="auto"/>
          <w:highlight w:val="none"/>
          <w:lang w:val="en-US" w:eastAsia="zh-CN"/>
        </w:rPr>
        <w:t>5</w:t>
      </w:r>
      <w:r>
        <w:rPr>
          <w:color w:val="auto"/>
          <w:highlight w:val="none"/>
        </w:rPr>
        <w:t>个地下水质监测点位</w:t>
      </w:r>
      <w:r>
        <w:rPr>
          <w:rFonts w:hint="eastAsia"/>
          <w:color w:val="auto"/>
          <w:highlight w:val="none"/>
          <w:lang w:val="en-US" w:eastAsia="zh-CN"/>
        </w:rPr>
        <w:t>D</w:t>
      </w:r>
      <w:r>
        <w:rPr>
          <w:color w:val="auto"/>
          <w:highlight w:val="none"/>
        </w:rPr>
        <w:t>1~</w:t>
      </w:r>
      <w:r>
        <w:rPr>
          <w:rFonts w:hint="eastAsia"/>
          <w:color w:val="auto"/>
          <w:highlight w:val="none"/>
          <w:lang w:val="en-US" w:eastAsia="zh-CN"/>
        </w:rPr>
        <w:t>D5</w:t>
      </w:r>
      <w:r>
        <w:rPr>
          <w:color w:val="auto"/>
          <w:highlight w:val="none"/>
        </w:rPr>
        <w:t>，</w:t>
      </w:r>
      <w:r>
        <w:rPr>
          <w:rFonts w:hint="eastAsia"/>
          <w:color w:val="auto"/>
          <w:highlight w:val="none"/>
          <w:lang w:val="en-US" w:eastAsia="zh-CN"/>
        </w:rPr>
        <w:t>6</w:t>
      </w:r>
      <w:r>
        <w:rPr>
          <w:color w:val="auto"/>
          <w:highlight w:val="none"/>
        </w:rPr>
        <w:t>个水位监测点位（</w:t>
      </w:r>
      <w:r>
        <w:rPr>
          <w:rFonts w:hint="eastAsia"/>
          <w:color w:val="auto"/>
          <w:highlight w:val="none"/>
          <w:lang w:val="en-US" w:eastAsia="zh-CN"/>
        </w:rPr>
        <w:t>D</w:t>
      </w:r>
      <w:r>
        <w:rPr>
          <w:color w:val="auto"/>
          <w:highlight w:val="none"/>
        </w:rPr>
        <w:t>1~</w:t>
      </w:r>
      <w:r>
        <w:rPr>
          <w:rFonts w:hint="eastAsia"/>
          <w:color w:val="auto"/>
          <w:highlight w:val="none"/>
          <w:lang w:val="en-US" w:eastAsia="zh-CN"/>
        </w:rPr>
        <w:t>D10</w:t>
      </w:r>
      <w:r>
        <w:rPr>
          <w:color w:val="auto"/>
          <w:highlight w:val="none"/>
        </w:rPr>
        <w:t>）委托</w:t>
      </w:r>
      <w:r>
        <w:rPr>
          <w:rFonts w:hint="eastAsia"/>
          <w:color w:val="auto"/>
          <w:highlight w:val="none"/>
        </w:rPr>
        <w:t>淮南市宜青环境检测有限公司</w:t>
      </w:r>
      <w:r>
        <w:rPr>
          <w:color w:val="auto"/>
          <w:highlight w:val="none"/>
        </w:rPr>
        <w:t>进行实测，监测时间为202</w:t>
      </w:r>
      <w:r>
        <w:rPr>
          <w:rFonts w:hint="eastAsia"/>
          <w:color w:val="auto"/>
          <w:highlight w:val="none"/>
          <w:lang w:val="en-US" w:eastAsia="zh-CN"/>
        </w:rPr>
        <w:t>5</w:t>
      </w:r>
      <w:r>
        <w:rPr>
          <w:color w:val="auto"/>
          <w:highlight w:val="none"/>
        </w:rPr>
        <w:t>年</w:t>
      </w:r>
      <w:r>
        <w:rPr>
          <w:rFonts w:hint="eastAsia"/>
          <w:color w:val="auto"/>
          <w:highlight w:val="none"/>
          <w:lang w:val="en-US" w:eastAsia="zh-CN"/>
        </w:rPr>
        <w:t>1</w:t>
      </w:r>
      <w:r>
        <w:rPr>
          <w:color w:val="auto"/>
          <w:highlight w:val="none"/>
        </w:rPr>
        <w:t>月</w:t>
      </w:r>
      <w:r>
        <w:rPr>
          <w:rFonts w:hint="eastAsia"/>
          <w:color w:val="auto"/>
          <w:highlight w:val="none"/>
          <w:lang w:val="en-US" w:eastAsia="zh-CN"/>
        </w:rPr>
        <w:t>6</w:t>
      </w:r>
      <w:r>
        <w:rPr>
          <w:color w:val="auto"/>
          <w:highlight w:val="none"/>
        </w:rPr>
        <w:t>日。</w:t>
      </w:r>
    </w:p>
    <w:p w14:paraId="3D569D22">
      <w:pPr>
        <w:pStyle w:val="107"/>
        <w:spacing w:line="240" w:lineRule="auto"/>
        <w:jc w:val="center"/>
        <w:rPr>
          <w:color w:val="auto"/>
          <w:highlight w:val="none"/>
        </w:rPr>
      </w:pPr>
      <w:r>
        <w:rPr>
          <w:color w:val="auto"/>
          <w:highlight w:val="none"/>
        </w:rPr>
        <w:t>表</w:t>
      </w:r>
      <w:r>
        <w:rPr>
          <w:color w:val="auto"/>
          <w:kern w:val="0"/>
          <w:highlight w:val="none"/>
        </w:rPr>
        <w:t>4.2</w:t>
      </w:r>
      <w:r>
        <w:rPr>
          <w:color w:val="auto"/>
          <w:highlight w:val="none"/>
        </w:rPr>
        <w:t>-</w:t>
      </w:r>
      <w:r>
        <w:rPr>
          <w:rFonts w:hint="eastAsia"/>
          <w:color w:val="auto"/>
          <w:highlight w:val="none"/>
          <w:lang w:val="en-US" w:eastAsia="zh-CN"/>
        </w:rPr>
        <w:t xml:space="preserve">6  </w:t>
      </w:r>
      <w:r>
        <w:rPr>
          <w:color w:val="auto"/>
          <w:highlight w:val="none"/>
        </w:rPr>
        <w:t>地下水监测点位信息一览表</w:t>
      </w:r>
    </w:p>
    <w:tbl>
      <w:tblPr>
        <w:tblStyle w:val="49"/>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91"/>
        <w:gridCol w:w="1692"/>
        <w:gridCol w:w="1846"/>
        <w:gridCol w:w="3790"/>
      </w:tblGrid>
      <w:tr w14:paraId="2E444D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7" w:hRule="atLeast"/>
        </w:trPr>
        <w:tc>
          <w:tcPr>
            <w:tcW w:w="699" w:type="pct"/>
            <w:tcBorders>
              <w:tl2br w:val="nil"/>
              <w:tr2bl w:val="nil"/>
            </w:tcBorders>
            <w:noWrap w:val="0"/>
            <w:vAlign w:val="center"/>
          </w:tcPr>
          <w:p w14:paraId="2452F27C">
            <w:pPr>
              <w:keepNext w:val="0"/>
              <w:keepLines w:val="0"/>
              <w:widowControl/>
              <w:suppressLineNumbers w:val="0"/>
              <w:jc w:val="center"/>
              <w:textAlignment w:val="center"/>
              <w:rPr>
                <w:rFonts w:ascii="宋体" w:hAnsi="宋体" w:eastAsia="宋体" w:cs="宋体"/>
                <w:b/>
                <w:bCs/>
                <w:i w:val="0"/>
                <w:iCs w:val="0"/>
                <w:color w:val="auto"/>
                <w:sz w:val="22"/>
                <w:szCs w:val="22"/>
                <w:highlight w:val="none"/>
                <w:u w:val="none"/>
              </w:rPr>
            </w:pPr>
            <w:r>
              <w:rPr>
                <w:rFonts w:ascii="宋体" w:hAnsi="宋体" w:eastAsia="宋体" w:cs="宋体"/>
                <w:b/>
                <w:bCs/>
                <w:i w:val="0"/>
                <w:iCs w:val="0"/>
                <w:color w:val="auto"/>
                <w:kern w:val="0"/>
                <w:sz w:val="22"/>
                <w:szCs w:val="22"/>
                <w:highlight w:val="none"/>
                <w:u w:val="none"/>
                <w:lang w:val="en-US" w:eastAsia="zh-CN" w:bidi="ar"/>
              </w:rPr>
              <w:t>编号</w:t>
            </w:r>
          </w:p>
        </w:tc>
        <w:tc>
          <w:tcPr>
            <w:tcW w:w="993" w:type="pct"/>
            <w:tcBorders>
              <w:tl2br w:val="nil"/>
              <w:tr2bl w:val="nil"/>
            </w:tcBorders>
            <w:noWrap w:val="0"/>
            <w:vAlign w:val="center"/>
          </w:tcPr>
          <w:p w14:paraId="312D65D8">
            <w:pPr>
              <w:keepNext w:val="0"/>
              <w:keepLines w:val="0"/>
              <w:widowControl/>
              <w:suppressLineNumbers w:val="0"/>
              <w:jc w:val="center"/>
              <w:textAlignment w:val="center"/>
              <w:rPr>
                <w:rFonts w:hint="eastAsia" w:ascii="宋体" w:hAnsi="宋体" w:eastAsia="宋体" w:cs="宋体"/>
                <w:b/>
                <w:bCs/>
                <w:i w:val="0"/>
                <w:iCs w:val="0"/>
                <w:color w:val="auto"/>
                <w:sz w:val="22"/>
                <w:szCs w:val="22"/>
                <w:highlight w:val="none"/>
                <w:u w:val="none"/>
                <w:lang w:val="en-US" w:eastAsia="zh-CN"/>
              </w:rPr>
            </w:pPr>
            <w:r>
              <w:rPr>
                <w:rFonts w:hint="eastAsia" w:ascii="宋体" w:hAnsi="宋体" w:eastAsia="宋体" w:cs="宋体"/>
                <w:b/>
                <w:bCs/>
                <w:i w:val="0"/>
                <w:iCs w:val="0"/>
                <w:color w:val="auto"/>
                <w:sz w:val="22"/>
                <w:szCs w:val="22"/>
                <w:highlight w:val="none"/>
                <w:u w:val="none"/>
                <w:lang w:val="en-US" w:eastAsia="zh-CN"/>
              </w:rPr>
              <w:t>点位</w:t>
            </w:r>
          </w:p>
        </w:tc>
        <w:tc>
          <w:tcPr>
            <w:tcW w:w="1083" w:type="pct"/>
            <w:tcBorders>
              <w:right w:val="single" w:color="auto" w:sz="4" w:space="0"/>
              <w:tl2br w:val="nil"/>
              <w:tr2bl w:val="nil"/>
            </w:tcBorders>
            <w:noWrap w:val="0"/>
            <w:vAlign w:val="center"/>
          </w:tcPr>
          <w:p w14:paraId="08DE2818">
            <w:pPr>
              <w:keepNext w:val="0"/>
              <w:keepLines w:val="0"/>
              <w:widowControl/>
              <w:suppressLineNumbers w:val="0"/>
              <w:jc w:val="center"/>
              <w:textAlignment w:val="center"/>
              <w:rPr>
                <w:rFonts w:ascii="宋体" w:hAnsi="宋体" w:eastAsia="宋体" w:cs="宋体"/>
                <w:b/>
                <w:bCs/>
                <w:i w:val="0"/>
                <w:iCs w:val="0"/>
                <w:color w:val="auto"/>
                <w:sz w:val="22"/>
                <w:szCs w:val="22"/>
                <w:highlight w:val="none"/>
                <w:u w:val="none"/>
              </w:rPr>
            </w:pPr>
            <w:r>
              <w:rPr>
                <w:rFonts w:ascii="宋体" w:hAnsi="宋体" w:eastAsia="宋体" w:cs="宋体"/>
                <w:b/>
                <w:bCs/>
                <w:i w:val="0"/>
                <w:iCs w:val="0"/>
                <w:color w:val="auto"/>
                <w:kern w:val="0"/>
                <w:sz w:val="22"/>
                <w:szCs w:val="22"/>
                <w:highlight w:val="none"/>
                <w:u w:val="none"/>
                <w:lang w:val="en-US" w:eastAsia="zh-CN" w:bidi="ar"/>
              </w:rPr>
              <w:t>监测</w:t>
            </w:r>
            <w:r>
              <w:rPr>
                <w:rFonts w:hint="eastAsia" w:ascii="宋体" w:hAnsi="宋体" w:eastAsia="宋体" w:cs="宋体"/>
                <w:b/>
                <w:bCs/>
                <w:i w:val="0"/>
                <w:iCs w:val="0"/>
                <w:color w:val="auto"/>
                <w:kern w:val="0"/>
                <w:sz w:val="22"/>
                <w:szCs w:val="22"/>
                <w:highlight w:val="none"/>
                <w:u w:val="none"/>
                <w:lang w:val="en-US" w:eastAsia="zh-CN" w:bidi="ar"/>
              </w:rPr>
              <w:t>项目</w:t>
            </w:r>
          </w:p>
        </w:tc>
        <w:tc>
          <w:tcPr>
            <w:tcW w:w="2224" w:type="pct"/>
            <w:tcBorders>
              <w:left w:val="single" w:color="auto" w:sz="4" w:space="0"/>
              <w:tl2br w:val="nil"/>
              <w:tr2bl w:val="nil"/>
            </w:tcBorders>
            <w:noWrap w:val="0"/>
            <w:vAlign w:val="center"/>
          </w:tcPr>
          <w:p w14:paraId="42226EE1">
            <w:pPr>
              <w:keepNext w:val="0"/>
              <w:keepLines w:val="0"/>
              <w:widowControl/>
              <w:suppressLineNumbers w:val="0"/>
              <w:jc w:val="center"/>
              <w:textAlignment w:val="center"/>
              <w:rPr>
                <w:rFonts w:ascii="宋体" w:hAnsi="宋体" w:eastAsia="宋体" w:cs="宋体"/>
                <w:b/>
                <w:bCs/>
                <w:i w:val="0"/>
                <w:iCs w:val="0"/>
                <w:color w:val="auto"/>
                <w:kern w:val="0"/>
                <w:sz w:val="22"/>
                <w:szCs w:val="22"/>
                <w:highlight w:val="none"/>
                <w:u w:val="none"/>
                <w:lang w:val="en-US" w:eastAsia="zh-CN" w:bidi="ar"/>
              </w:rPr>
            </w:pPr>
            <w:r>
              <w:rPr>
                <w:rFonts w:ascii="宋体" w:hAnsi="宋体" w:eastAsia="宋体" w:cs="宋体"/>
                <w:b/>
                <w:bCs/>
                <w:i w:val="0"/>
                <w:iCs w:val="0"/>
                <w:color w:val="auto"/>
                <w:kern w:val="0"/>
                <w:sz w:val="22"/>
                <w:szCs w:val="22"/>
                <w:highlight w:val="none"/>
                <w:u w:val="none"/>
                <w:lang w:val="en-US" w:eastAsia="zh-CN" w:bidi="ar"/>
              </w:rPr>
              <w:t>监测</w:t>
            </w:r>
            <w:r>
              <w:rPr>
                <w:rFonts w:hint="eastAsia" w:ascii="宋体" w:hAnsi="宋体" w:eastAsia="宋体" w:cs="宋体"/>
                <w:b/>
                <w:bCs/>
                <w:i w:val="0"/>
                <w:iCs w:val="0"/>
                <w:color w:val="auto"/>
                <w:kern w:val="0"/>
                <w:sz w:val="22"/>
                <w:szCs w:val="22"/>
                <w:highlight w:val="none"/>
                <w:u w:val="none"/>
                <w:lang w:val="en-US" w:eastAsia="zh-CN" w:bidi="ar"/>
              </w:rPr>
              <w:t>因子</w:t>
            </w:r>
          </w:p>
        </w:tc>
      </w:tr>
      <w:tr w14:paraId="12FE2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5" w:hRule="atLeast"/>
        </w:trPr>
        <w:tc>
          <w:tcPr>
            <w:tcW w:w="699" w:type="pct"/>
            <w:tcBorders>
              <w:tl2br w:val="nil"/>
              <w:tr2bl w:val="nil"/>
            </w:tcBorders>
            <w:noWrap w:val="0"/>
            <w:vAlign w:val="center"/>
          </w:tcPr>
          <w:p w14:paraId="123408C3">
            <w:pPr>
              <w:keepNext w:val="0"/>
              <w:keepLines w:val="0"/>
              <w:widowControl/>
              <w:suppressLineNumbers w:val="0"/>
              <w:jc w:val="center"/>
              <w:textAlignment w:val="center"/>
              <w:rPr>
                <w:rFonts w:ascii="Times New Roman" w:hAnsi="Times New Roman" w:eastAsia="Times New Roman" w:cs="Times New Roman"/>
                <w:i w:val="0"/>
                <w:iCs w:val="0"/>
                <w:color w:val="auto"/>
                <w:sz w:val="22"/>
                <w:szCs w:val="22"/>
                <w:highlight w:val="none"/>
                <w:u w:val="none"/>
              </w:rPr>
            </w:pPr>
            <w:r>
              <w:rPr>
                <w:rFonts w:hint="eastAsia" w:ascii="Times New Roman" w:hAnsi="Times New Roman" w:eastAsia="Times New Roman" w:cs="Times New Roman"/>
                <w:i w:val="0"/>
                <w:iCs w:val="0"/>
                <w:color w:val="auto"/>
                <w:kern w:val="0"/>
                <w:sz w:val="22"/>
                <w:szCs w:val="22"/>
                <w:highlight w:val="none"/>
                <w:u w:val="none"/>
                <w:lang w:val="en-US" w:eastAsia="zh-CN" w:bidi="ar"/>
              </w:rPr>
              <w:t>D</w:t>
            </w:r>
            <w:r>
              <w:rPr>
                <w:rFonts w:hint="default" w:ascii="Times New Roman" w:hAnsi="Times New Roman" w:eastAsia="Times New Roman" w:cs="Times New Roman"/>
                <w:i w:val="0"/>
                <w:iCs w:val="0"/>
                <w:color w:val="auto"/>
                <w:kern w:val="0"/>
                <w:sz w:val="22"/>
                <w:szCs w:val="22"/>
                <w:highlight w:val="none"/>
                <w:u w:val="none"/>
                <w:lang w:val="en-US" w:eastAsia="zh-CN" w:bidi="ar"/>
              </w:rPr>
              <w:t>1</w:t>
            </w:r>
          </w:p>
        </w:tc>
        <w:tc>
          <w:tcPr>
            <w:tcW w:w="993" w:type="pct"/>
            <w:tcBorders>
              <w:tl2br w:val="nil"/>
              <w:tr2bl w:val="nil"/>
            </w:tcBorders>
            <w:noWrap w:val="0"/>
            <w:vAlign w:val="center"/>
          </w:tcPr>
          <w:p w14:paraId="178F775E">
            <w:pPr>
              <w:keepNext w:val="0"/>
              <w:keepLines w:val="0"/>
              <w:widowControl/>
              <w:suppressLineNumbers w:val="0"/>
              <w:jc w:val="center"/>
              <w:textAlignment w:val="center"/>
              <w:rPr>
                <w:rFonts w:hint="eastAsia" w:ascii="宋体" w:hAnsi="宋体" w:eastAsia="宋体" w:cs="宋体"/>
                <w:i w:val="0"/>
                <w:iCs w:val="0"/>
                <w:color w:val="auto"/>
                <w:sz w:val="22"/>
                <w:szCs w:val="22"/>
                <w:highlight w:val="none"/>
                <w:u w:val="none"/>
                <w:lang w:val="en-US" w:eastAsia="zh-CN"/>
              </w:rPr>
            </w:pPr>
            <w:r>
              <w:rPr>
                <w:rFonts w:hint="default" w:ascii="Times New Roman" w:hAnsi="Times New Roman" w:eastAsia="宋体" w:cs="Times New Roman"/>
                <w:color w:val="auto"/>
                <w:sz w:val="21"/>
                <w:szCs w:val="21"/>
                <w:highlight w:val="none"/>
              </w:rPr>
              <w:t>园区</w:t>
            </w:r>
            <w:r>
              <w:rPr>
                <w:rFonts w:hint="eastAsia" w:cs="Times New Roman"/>
                <w:color w:val="auto"/>
                <w:sz w:val="21"/>
                <w:szCs w:val="21"/>
                <w:highlight w:val="none"/>
                <w:lang w:eastAsia="zh-CN"/>
              </w:rPr>
              <w:t>污水处理站</w:t>
            </w:r>
          </w:p>
        </w:tc>
        <w:tc>
          <w:tcPr>
            <w:tcW w:w="1083" w:type="pct"/>
            <w:tcBorders>
              <w:right w:val="single" w:color="auto" w:sz="4" w:space="0"/>
              <w:tl2br w:val="nil"/>
              <w:tr2bl w:val="nil"/>
            </w:tcBorders>
            <w:noWrap w:val="0"/>
            <w:vAlign w:val="center"/>
          </w:tcPr>
          <w:p w14:paraId="772D1FEE">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水质、水位</w:t>
            </w:r>
          </w:p>
        </w:tc>
        <w:tc>
          <w:tcPr>
            <w:tcW w:w="2224" w:type="pct"/>
            <w:vMerge w:val="restart"/>
            <w:tcBorders>
              <w:left w:val="single" w:color="auto" w:sz="4" w:space="0"/>
              <w:tl2br w:val="nil"/>
              <w:tr2bl w:val="nil"/>
            </w:tcBorders>
            <w:noWrap w:val="0"/>
            <w:vAlign w:val="center"/>
          </w:tcPr>
          <w:p w14:paraId="76856503">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cs="Times New Roman"/>
                <w:color w:val="auto"/>
                <w:sz w:val="24"/>
                <w:szCs w:val="24"/>
                <w:highlight w:val="none"/>
              </w:rPr>
              <w:t>K</w:t>
            </w:r>
            <w:r>
              <w:rPr>
                <w:rFonts w:hint="default" w:ascii="Times New Roman" w:hAnsi="Times New Roman" w:cs="Times New Roman"/>
                <w:color w:val="auto"/>
                <w:sz w:val="24"/>
                <w:szCs w:val="24"/>
                <w:highlight w:val="none"/>
                <w:vertAlign w:val="superscript"/>
              </w:rPr>
              <w:t>+</w:t>
            </w:r>
            <w:r>
              <w:rPr>
                <w:rFonts w:hint="default" w:ascii="Times New Roman" w:hAnsi="Times New Roman" w:cs="Times New Roman"/>
                <w:color w:val="auto"/>
                <w:sz w:val="24"/>
                <w:szCs w:val="24"/>
                <w:highlight w:val="none"/>
              </w:rPr>
              <w:t>、Na</w:t>
            </w:r>
            <w:r>
              <w:rPr>
                <w:rFonts w:hint="default" w:ascii="Times New Roman" w:hAnsi="Times New Roman" w:cs="Times New Roman"/>
                <w:color w:val="auto"/>
                <w:sz w:val="24"/>
                <w:szCs w:val="24"/>
                <w:highlight w:val="none"/>
                <w:vertAlign w:val="superscript"/>
              </w:rPr>
              <w:t>+</w:t>
            </w:r>
            <w:r>
              <w:rPr>
                <w:rFonts w:hint="default" w:ascii="Times New Roman" w:hAnsi="Times New Roman" w:cs="Times New Roman"/>
                <w:color w:val="auto"/>
                <w:sz w:val="24"/>
                <w:szCs w:val="24"/>
                <w:highlight w:val="none"/>
              </w:rPr>
              <w:t>、Ca</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、Mg</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、CO3</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、HCO3</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、Cl</w:t>
            </w:r>
            <w:r>
              <w:rPr>
                <w:rFonts w:hint="default" w:ascii="Times New Roman" w:hAnsi="Times New Roman" w:cs="Times New Roman"/>
                <w:color w:val="auto"/>
                <w:sz w:val="24"/>
                <w:szCs w:val="24"/>
                <w:highlight w:val="none"/>
                <w:vertAlign w:val="superscript"/>
              </w:rPr>
              <w:t>-</w:t>
            </w:r>
            <w:r>
              <w:rPr>
                <w:rFonts w:hint="default" w:ascii="Times New Roman" w:hAnsi="Times New Roman" w:cs="Times New Roman"/>
                <w:color w:val="auto"/>
                <w:sz w:val="24"/>
                <w:szCs w:val="24"/>
                <w:highlight w:val="none"/>
              </w:rPr>
              <w:t>、SO4</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、pH值、总硬度、溶解性总固体、硫酸盐、氯化物、氨氮、硝酸盐（以N计）、亚硝酸盐（以N计）、挥发性酚、氰化物、高锰酸盐指数、氟化物、砷、汞、镉、铅、六价铬、铁、锰、铜、锌、总大肠菌群</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石油烃</w:t>
            </w:r>
          </w:p>
        </w:tc>
      </w:tr>
      <w:tr w14:paraId="4CFE2E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699" w:type="pct"/>
            <w:tcBorders>
              <w:tl2br w:val="nil"/>
              <w:tr2bl w:val="nil"/>
            </w:tcBorders>
            <w:noWrap w:val="0"/>
            <w:vAlign w:val="center"/>
          </w:tcPr>
          <w:p w14:paraId="65DF6F23">
            <w:pPr>
              <w:jc w:val="center"/>
              <w:rPr>
                <w:rFonts w:hint="default"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D2</w:t>
            </w:r>
          </w:p>
        </w:tc>
        <w:tc>
          <w:tcPr>
            <w:tcW w:w="993" w:type="pct"/>
            <w:tcBorders>
              <w:tl2br w:val="nil"/>
              <w:tr2bl w:val="nil"/>
            </w:tcBorders>
            <w:noWrap w:val="0"/>
            <w:vAlign w:val="center"/>
          </w:tcPr>
          <w:p w14:paraId="1D05C7C9">
            <w:pPr>
              <w:jc w:val="center"/>
              <w:rPr>
                <w:rFonts w:hint="default" w:ascii="宋体" w:hAnsi="宋体" w:eastAsia="宋体" w:cs="宋体"/>
                <w:i w:val="0"/>
                <w:iCs w:val="0"/>
                <w:color w:val="auto"/>
                <w:sz w:val="22"/>
                <w:szCs w:val="22"/>
                <w:highlight w:val="none"/>
                <w:u w:val="none"/>
                <w:lang w:val="en-US" w:eastAsia="zh-CN"/>
              </w:rPr>
            </w:pPr>
            <w:r>
              <w:rPr>
                <w:rFonts w:hint="eastAsia" w:ascii="宋体" w:hAnsi="宋体" w:eastAsia="宋体" w:cs="宋体"/>
                <w:i w:val="0"/>
                <w:iCs w:val="0"/>
                <w:color w:val="auto"/>
                <w:sz w:val="22"/>
                <w:szCs w:val="22"/>
                <w:highlight w:val="none"/>
                <w:u w:val="none"/>
                <w:lang w:val="en-US" w:eastAsia="zh-CN"/>
              </w:rPr>
              <w:t>徐郢</w:t>
            </w:r>
          </w:p>
        </w:tc>
        <w:tc>
          <w:tcPr>
            <w:tcW w:w="1083" w:type="pct"/>
            <w:tcBorders>
              <w:right w:val="single" w:color="auto" w:sz="4" w:space="0"/>
              <w:tl2br w:val="nil"/>
              <w:tr2bl w:val="nil"/>
            </w:tcBorders>
            <w:noWrap w:val="0"/>
            <w:vAlign w:val="center"/>
          </w:tcPr>
          <w:p w14:paraId="57A868DE">
            <w:pPr>
              <w:keepNext w:val="0"/>
              <w:keepLines w:val="0"/>
              <w:widowControl/>
              <w:suppressLineNumbers w:val="0"/>
              <w:jc w:val="center"/>
              <w:textAlignment w:val="center"/>
              <w:rPr>
                <w:rFonts w:hint="default" w:ascii="Times New Roman" w:hAnsi="Times New Roman" w:eastAsia="Times New Roman" w:cs="Times New Roman"/>
                <w:i w:val="0"/>
                <w:iCs w:val="0"/>
                <w:color w:val="auto"/>
                <w:sz w:val="22"/>
                <w:szCs w:val="22"/>
                <w:highlight w:val="none"/>
                <w:u w:val="none"/>
                <w:lang w:val="en-US"/>
              </w:rPr>
            </w:pPr>
            <w:r>
              <w:rPr>
                <w:rFonts w:hint="eastAsia" w:ascii="Times New Roman" w:hAnsi="Times New Roman" w:eastAsia="宋体" w:cs="Times New Roman"/>
                <w:i w:val="0"/>
                <w:iCs w:val="0"/>
                <w:color w:val="auto"/>
                <w:sz w:val="22"/>
                <w:szCs w:val="22"/>
                <w:highlight w:val="none"/>
                <w:u w:val="none"/>
                <w:lang w:val="en-US" w:eastAsia="zh-CN"/>
              </w:rPr>
              <w:t>水质、水位</w:t>
            </w:r>
          </w:p>
        </w:tc>
        <w:tc>
          <w:tcPr>
            <w:tcW w:w="2224" w:type="pct"/>
            <w:vMerge w:val="continue"/>
            <w:tcBorders>
              <w:left w:val="single" w:color="auto" w:sz="4" w:space="0"/>
              <w:tl2br w:val="nil"/>
              <w:tr2bl w:val="nil"/>
            </w:tcBorders>
            <w:noWrap w:val="0"/>
            <w:vAlign w:val="center"/>
          </w:tcPr>
          <w:p w14:paraId="26D66CCD">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p>
        </w:tc>
      </w:tr>
      <w:tr w14:paraId="3385F2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699" w:type="pct"/>
            <w:tcBorders>
              <w:tl2br w:val="nil"/>
              <w:tr2bl w:val="nil"/>
            </w:tcBorders>
            <w:noWrap w:val="0"/>
            <w:vAlign w:val="center"/>
          </w:tcPr>
          <w:p w14:paraId="3A3261C6">
            <w:pPr>
              <w:jc w:val="center"/>
              <w:rPr>
                <w:rFonts w:hint="default"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D3</w:t>
            </w:r>
          </w:p>
        </w:tc>
        <w:tc>
          <w:tcPr>
            <w:tcW w:w="993" w:type="pct"/>
            <w:tcBorders>
              <w:tl2br w:val="nil"/>
              <w:tr2bl w:val="nil"/>
            </w:tcBorders>
            <w:noWrap w:val="0"/>
            <w:vAlign w:val="center"/>
          </w:tcPr>
          <w:p w14:paraId="020CA2EA">
            <w:pPr>
              <w:jc w:val="center"/>
              <w:rPr>
                <w:rFonts w:hint="default" w:ascii="宋体" w:hAnsi="宋体" w:eastAsia="宋体" w:cs="宋体"/>
                <w:i w:val="0"/>
                <w:iCs w:val="0"/>
                <w:color w:val="auto"/>
                <w:sz w:val="22"/>
                <w:szCs w:val="22"/>
                <w:highlight w:val="none"/>
                <w:u w:val="none"/>
                <w:lang w:val="en-US" w:eastAsia="zh-CN"/>
              </w:rPr>
            </w:pPr>
            <w:r>
              <w:rPr>
                <w:rFonts w:hint="eastAsia" w:ascii="宋体" w:hAnsi="宋体" w:eastAsia="宋体" w:cs="宋体"/>
                <w:i w:val="0"/>
                <w:iCs w:val="0"/>
                <w:color w:val="auto"/>
                <w:sz w:val="22"/>
                <w:szCs w:val="22"/>
                <w:highlight w:val="none"/>
                <w:u w:val="none"/>
                <w:lang w:val="en-US" w:eastAsia="zh-CN"/>
              </w:rPr>
              <w:t>北岗</w:t>
            </w:r>
          </w:p>
        </w:tc>
        <w:tc>
          <w:tcPr>
            <w:tcW w:w="1083" w:type="pct"/>
            <w:tcBorders>
              <w:right w:val="single" w:color="auto" w:sz="4" w:space="0"/>
              <w:tl2br w:val="nil"/>
              <w:tr2bl w:val="nil"/>
            </w:tcBorders>
            <w:noWrap w:val="0"/>
            <w:vAlign w:val="center"/>
          </w:tcPr>
          <w:p w14:paraId="294FBCDA">
            <w:pPr>
              <w:keepNext w:val="0"/>
              <w:keepLines w:val="0"/>
              <w:widowControl/>
              <w:suppressLineNumbers w:val="0"/>
              <w:jc w:val="center"/>
              <w:textAlignment w:val="center"/>
              <w:rPr>
                <w:rFonts w:hint="default" w:ascii="Times New Roman" w:hAnsi="Times New Roman" w:eastAsia="Times New Roman"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sz w:val="22"/>
                <w:szCs w:val="22"/>
                <w:highlight w:val="none"/>
                <w:u w:val="none"/>
                <w:lang w:val="en-US" w:eastAsia="zh-CN"/>
              </w:rPr>
              <w:t>水质、水位</w:t>
            </w:r>
          </w:p>
        </w:tc>
        <w:tc>
          <w:tcPr>
            <w:tcW w:w="2224" w:type="pct"/>
            <w:vMerge w:val="continue"/>
            <w:tcBorders>
              <w:left w:val="single" w:color="auto" w:sz="4" w:space="0"/>
              <w:tl2br w:val="nil"/>
              <w:tr2bl w:val="nil"/>
            </w:tcBorders>
            <w:noWrap w:val="0"/>
            <w:vAlign w:val="center"/>
          </w:tcPr>
          <w:p w14:paraId="0FFB64C9">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p>
        </w:tc>
      </w:tr>
      <w:tr w14:paraId="1C7F92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699" w:type="pct"/>
            <w:tcBorders>
              <w:tl2br w:val="nil"/>
              <w:tr2bl w:val="nil"/>
            </w:tcBorders>
            <w:noWrap w:val="0"/>
            <w:vAlign w:val="center"/>
          </w:tcPr>
          <w:p w14:paraId="2022E76B">
            <w:pPr>
              <w:jc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D4</w:t>
            </w:r>
          </w:p>
        </w:tc>
        <w:tc>
          <w:tcPr>
            <w:tcW w:w="993" w:type="pct"/>
            <w:tcBorders>
              <w:tl2br w:val="nil"/>
              <w:tr2bl w:val="nil"/>
            </w:tcBorders>
            <w:noWrap w:val="0"/>
            <w:vAlign w:val="center"/>
          </w:tcPr>
          <w:p w14:paraId="1FF7D21D">
            <w:pPr>
              <w:jc w:val="center"/>
              <w:rPr>
                <w:rFonts w:hint="default" w:ascii="Times New Roman" w:hAnsi="Times New Roman" w:eastAsia="宋体" w:cs="Times New Roman"/>
                <w:color w:val="auto"/>
                <w:sz w:val="21"/>
                <w:szCs w:val="21"/>
                <w:highlight w:val="none"/>
              </w:rPr>
            </w:pPr>
            <w:r>
              <w:rPr>
                <w:rFonts w:hint="eastAsia" w:ascii="宋体" w:hAnsi="宋体" w:eastAsia="宋体" w:cs="宋体"/>
                <w:i w:val="0"/>
                <w:iCs w:val="0"/>
                <w:color w:val="auto"/>
                <w:sz w:val="22"/>
                <w:szCs w:val="22"/>
                <w:highlight w:val="none"/>
                <w:u w:val="none"/>
                <w:lang w:val="en-US" w:eastAsia="zh-CN"/>
              </w:rPr>
              <w:t>徐大郢徐郢</w:t>
            </w:r>
          </w:p>
        </w:tc>
        <w:tc>
          <w:tcPr>
            <w:tcW w:w="1083" w:type="pct"/>
            <w:tcBorders>
              <w:right w:val="single" w:color="auto" w:sz="4" w:space="0"/>
              <w:tl2br w:val="nil"/>
              <w:tr2bl w:val="nil"/>
            </w:tcBorders>
            <w:noWrap w:val="0"/>
            <w:vAlign w:val="center"/>
          </w:tcPr>
          <w:p w14:paraId="201D38EC">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水质、水位</w:t>
            </w:r>
          </w:p>
        </w:tc>
        <w:tc>
          <w:tcPr>
            <w:tcW w:w="2224" w:type="pct"/>
            <w:vMerge w:val="continue"/>
            <w:tcBorders>
              <w:left w:val="single" w:color="auto" w:sz="4" w:space="0"/>
              <w:tl2br w:val="nil"/>
              <w:tr2bl w:val="nil"/>
            </w:tcBorders>
            <w:noWrap w:val="0"/>
            <w:vAlign w:val="center"/>
          </w:tcPr>
          <w:p w14:paraId="4A60565F">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p>
        </w:tc>
      </w:tr>
      <w:tr w14:paraId="2C176E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699" w:type="pct"/>
            <w:tcBorders>
              <w:tl2br w:val="nil"/>
              <w:tr2bl w:val="nil"/>
            </w:tcBorders>
            <w:noWrap w:val="0"/>
            <w:vAlign w:val="center"/>
          </w:tcPr>
          <w:p w14:paraId="1FE53315">
            <w:pPr>
              <w:jc w:val="center"/>
              <w:rPr>
                <w:rFonts w:hint="default"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D5</w:t>
            </w:r>
          </w:p>
        </w:tc>
        <w:tc>
          <w:tcPr>
            <w:tcW w:w="993" w:type="pct"/>
            <w:tcBorders>
              <w:tl2br w:val="nil"/>
              <w:tr2bl w:val="nil"/>
            </w:tcBorders>
            <w:noWrap w:val="0"/>
            <w:vAlign w:val="center"/>
          </w:tcPr>
          <w:p w14:paraId="3118F6DE">
            <w:pPr>
              <w:jc w:val="center"/>
              <w:rPr>
                <w:rFonts w:hint="default" w:ascii="宋体" w:hAnsi="宋体" w:eastAsia="宋体" w:cs="宋体"/>
                <w:i w:val="0"/>
                <w:iCs w:val="0"/>
                <w:color w:val="auto"/>
                <w:sz w:val="22"/>
                <w:szCs w:val="22"/>
                <w:highlight w:val="none"/>
                <w:u w:val="none"/>
                <w:lang w:val="en-US" w:eastAsia="zh-CN"/>
              </w:rPr>
            </w:pPr>
            <w:r>
              <w:rPr>
                <w:rFonts w:hint="eastAsia" w:ascii="宋体" w:hAnsi="宋体" w:eastAsia="宋体" w:cs="宋体"/>
                <w:i w:val="0"/>
                <w:iCs w:val="0"/>
                <w:color w:val="auto"/>
                <w:sz w:val="22"/>
                <w:szCs w:val="22"/>
                <w:highlight w:val="none"/>
                <w:u w:val="none"/>
                <w:lang w:val="en-US" w:eastAsia="zh-CN"/>
              </w:rPr>
              <w:t>项目地</w:t>
            </w:r>
          </w:p>
        </w:tc>
        <w:tc>
          <w:tcPr>
            <w:tcW w:w="1083" w:type="pct"/>
            <w:tcBorders>
              <w:right w:val="single" w:color="auto" w:sz="4" w:space="0"/>
              <w:tl2br w:val="nil"/>
              <w:tr2bl w:val="nil"/>
            </w:tcBorders>
            <w:noWrap w:val="0"/>
            <w:vAlign w:val="center"/>
          </w:tcPr>
          <w:p w14:paraId="22F2C7A4">
            <w:pPr>
              <w:keepNext w:val="0"/>
              <w:keepLines w:val="0"/>
              <w:widowControl/>
              <w:suppressLineNumbers w:val="0"/>
              <w:jc w:val="center"/>
              <w:textAlignment w:val="center"/>
              <w:rPr>
                <w:rFonts w:hint="eastAsia" w:ascii="Times New Roman" w:hAnsi="Times New Roman" w:eastAsia="Times New Roman"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sz w:val="22"/>
                <w:szCs w:val="22"/>
                <w:highlight w:val="none"/>
                <w:u w:val="none"/>
                <w:lang w:val="en-US" w:eastAsia="zh-CN"/>
              </w:rPr>
              <w:t>水质、水位</w:t>
            </w:r>
          </w:p>
        </w:tc>
        <w:tc>
          <w:tcPr>
            <w:tcW w:w="2224" w:type="pct"/>
            <w:vMerge w:val="continue"/>
            <w:tcBorders>
              <w:left w:val="single" w:color="auto" w:sz="4" w:space="0"/>
              <w:tl2br w:val="nil"/>
              <w:tr2bl w:val="nil"/>
            </w:tcBorders>
            <w:noWrap w:val="0"/>
            <w:vAlign w:val="center"/>
          </w:tcPr>
          <w:p w14:paraId="25C5B2F9">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p>
        </w:tc>
      </w:tr>
      <w:tr w14:paraId="090396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2" w:hRule="atLeast"/>
        </w:trPr>
        <w:tc>
          <w:tcPr>
            <w:tcW w:w="699" w:type="pct"/>
            <w:tcBorders>
              <w:tl2br w:val="nil"/>
              <w:tr2bl w:val="nil"/>
            </w:tcBorders>
            <w:noWrap w:val="0"/>
            <w:vAlign w:val="center"/>
          </w:tcPr>
          <w:p w14:paraId="3DCDAD1C">
            <w:pPr>
              <w:jc w:val="center"/>
              <w:rPr>
                <w:rFonts w:hint="default"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D6</w:t>
            </w:r>
          </w:p>
        </w:tc>
        <w:tc>
          <w:tcPr>
            <w:tcW w:w="993" w:type="pct"/>
            <w:tcBorders>
              <w:tl2br w:val="nil"/>
              <w:tr2bl w:val="nil"/>
            </w:tcBorders>
            <w:noWrap w:val="0"/>
            <w:vAlign w:val="center"/>
          </w:tcPr>
          <w:p w14:paraId="311DFCA0">
            <w:pPr>
              <w:jc w:val="center"/>
              <w:rPr>
                <w:rFonts w:hint="default" w:ascii="宋体" w:hAnsi="宋体" w:eastAsia="宋体" w:cs="宋体"/>
                <w:i w:val="0"/>
                <w:iCs w:val="0"/>
                <w:color w:val="auto"/>
                <w:sz w:val="22"/>
                <w:szCs w:val="22"/>
                <w:highlight w:val="none"/>
                <w:u w:val="none"/>
                <w:lang w:val="en-US" w:eastAsia="zh-CN"/>
              </w:rPr>
            </w:pPr>
            <w:r>
              <w:rPr>
                <w:rFonts w:hint="eastAsia" w:ascii="宋体" w:hAnsi="宋体" w:eastAsia="宋体" w:cs="宋体"/>
                <w:i w:val="0"/>
                <w:iCs w:val="0"/>
                <w:color w:val="auto"/>
                <w:sz w:val="22"/>
                <w:szCs w:val="22"/>
                <w:highlight w:val="none"/>
                <w:u w:val="none"/>
                <w:lang w:val="en-US" w:eastAsia="zh-CN"/>
              </w:rPr>
              <w:t>张郢</w:t>
            </w:r>
          </w:p>
        </w:tc>
        <w:tc>
          <w:tcPr>
            <w:tcW w:w="1083" w:type="pct"/>
            <w:tcBorders>
              <w:right w:val="single" w:color="auto" w:sz="4" w:space="0"/>
              <w:tl2br w:val="nil"/>
              <w:tr2bl w:val="nil"/>
            </w:tcBorders>
            <w:noWrap w:val="0"/>
            <w:vAlign w:val="center"/>
          </w:tcPr>
          <w:p w14:paraId="5031171E">
            <w:pPr>
              <w:keepNext w:val="0"/>
              <w:keepLines w:val="0"/>
              <w:widowControl/>
              <w:suppressLineNumbers w:val="0"/>
              <w:jc w:val="center"/>
              <w:textAlignment w:val="center"/>
              <w:rPr>
                <w:rFonts w:hint="eastAsia" w:ascii="Times New Roman" w:hAnsi="Times New Roman" w:eastAsia="Times New Roman"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i w:val="0"/>
                <w:iCs w:val="0"/>
                <w:color w:val="auto"/>
                <w:sz w:val="22"/>
                <w:szCs w:val="22"/>
                <w:highlight w:val="none"/>
                <w:u w:val="none"/>
                <w:lang w:val="en-US" w:eastAsia="zh-CN"/>
              </w:rPr>
              <w:t>水位</w:t>
            </w:r>
          </w:p>
        </w:tc>
        <w:tc>
          <w:tcPr>
            <w:tcW w:w="2224" w:type="pct"/>
            <w:tcBorders>
              <w:left w:val="single" w:color="auto" w:sz="4" w:space="0"/>
              <w:tl2br w:val="nil"/>
              <w:tr2bl w:val="nil"/>
            </w:tcBorders>
            <w:noWrap w:val="0"/>
            <w:vAlign w:val="center"/>
          </w:tcPr>
          <w:p w14:paraId="197B00F2">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w:t>
            </w:r>
          </w:p>
        </w:tc>
      </w:tr>
      <w:tr w14:paraId="3CD2D0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2" w:hRule="atLeast"/>
        </w:trPr>
        <w:tc>
          <w:tcPr>
            <w:tcW w:w="699" w:type="pct"/>
            <w:tcBorders>
              <w:tl2br w:val="nil"/>
              <w:tr2bl w:val="nil"/>
            </w:tcBorders>
            <w:noWrap w:val="0"/>
            <w:vAlign w:val="center"/>
          </w:tcPr>
          <w:p w14:paraId="3C9E03E9">
            <w:pPr>
              <w:jc w:val="center"/>
              <w:rPr>
                <w:rFonts w:hint="default"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D7</w:t>
            </w:r>
          </w:p>
        </w:tc>
        <w:tc>
          <w:tcPr>
            <w:tcW w:w="993" w:type="pct"/>
            <w:tcBorders>
              <w:tl2br w:val="nil"/>
              <w:tr2bl w:val="nil"/>
            </w:tcBorders>
            <w:noWrap w:val="0"/>
            <w:vAlign w:val="center"/>
          </w:tcPr>
          <w:p w14:paraId="161D3380">
            <w:pPr>
              <w:jc w:val="center"/>
              <w:rPr>
                <w:rFonts w:hint="default" w:ascii="宋体" w:hAnsi="宋体" w:eastAsia="宋体" w:cs="宋体"/>
                <w:i w:val="0"/>
                <w:iCs w:val="0"/>
                <w:color w:val="auto"/>
                <w:sz w:val="22"/>
                <w:szCs w:val="22"/>
                <w:highlight w:val="none"/>
                <w:u w:val="none"/>
                <w:lang w:val="en-US" w:eastAsia="zh-CN"/>
              </w:rPr>
            </w:pPr>
            <w:r>
              <w:rPr>
                <w:rFonts w:hint="eastAsia" w:ascii="宋体" w:hAnsi="宋体" w:eastAsia="宋体" w:cs="宋体"/>
                <w:i w:val="0"/>
                <w:iCs w:val="0"/>
                <w:color w:val="auto"/>
                <w:sz w:val="22"/>
                <w:szCs w:val="22"/>
                <w:highlight w:val="none"/>
                <w:u w:val="none"/>
                <w:lang w:val="en-US" w:eastAsia="zh-CN"/>
              </w:rPr>
              <w:t>连塘村</w:t>
            </w:r>
          </w:p>
        </w:tc>
        <w:tc>
          <w:tcPr>
            <w:tcW w:w="1083" w:type="pct"/>
            <w:tcBorders>
              <w:right w:val="single" w:color="auto" w:sz="4" w:space="0"/>
              <w:tl2br w:val="nil"/>
              <w:tr2bl w:val="nil"/>
            </w:tcBorders>
            <w:noWrap w:val="0"/>
            <w:vAlign w:val="center"/>
          </w:tcPr>
          <w:p w14:paraId="5813AF1A">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水位</w:t>
            </w:r>
          </w:p>
        </w:tc>
        <w:tc>
          <w:tcPr>
            <w:tcW w:w="2224" w:type="pct"/>
            <w:tcBorders>
              <w:left w:val="single" w:color="auto" w:sz="4" w:space="0"/>
              <w:tl2br w:val="nil"/>
              <w:tr2bl w:val="nil"/>
            </w:tcBorders>
            <w:noWrap w:val="0"/>
            <w:vAlign w:val="center"/>
          </w:tcPr>
          <w:p w14:paraId="151D825D">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w:t>
            </w:r>
          </w:p>
        </w:tc>
      </w:tr>
      <w:tr w14:paraId="0A2C8F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2" w:hRule="atLeast"/>
        </w:trPr>
        <w:tc>
          <w:tcPr>
            <w:tcW w:w="699" w:type="pct"/>
            <w:tcBorders>
              <w:tl2br w:val="nil"/>
              <w:tr2bl w:val="nil"/>
            </w:tcBorders>
            <w:noWrap w:val="0"/>
            <w:vAlign w:val="center"/>
          </w:tcPr>
          <w:p w14:paraId="198E1FCF">
            <w:pPr>
              <w:jc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D8</w:t>
            </w:r>
          </w:p>
        </w:tc>
        <w:tc>
          <w:tcPr>
            <w:tcW w:w="993" w:type="pct"/>
            <w:tcBorders>
              <w:tl2br w:val="nil"/>
              <w:tr2bl w:val="nil"/>
            </w:tcBorders>
            <w:noWrap w:val="0"/>
            <w:vAlign w:val="center"/>
          </w:tcPr>
          <w:p w14:paraId="311F0F34">
            <w:pPr>
              <w:jc w:val="center"/>
              <w:rPr>
                <w:rFonts w:hint="eastAsia" w:ascii="宋体" w:hAnsi="宋体" w:eastAsia="宋体" w:cs="宋体"/>
                <w:i w:val="0"/>
                <w:iCs w:val="0"/>
                <w:color w:val="auto"/>
                <w:sz w:val="22"/>
                <w:szCs w:val="22"/>
                <w:highlight w:val="none"/>
                <w:u w:val="none"/>
                <w:lang w:val="en-US" w:eastAsia="zh-CN"/>
              </w:rPr>
            </w:pPr>
            <w:r>
              <w:rPr>
                <w:rFonts w:hint="default" w:ascii="Times New Roman" w:hAnsi="Times New Roman" w:eastAsia="宋体" w:cs="Times New Roman"/>
                <w:color w:val="auto"/>
                <w:sz w:val="21"/>
                <w:szCs w:val="21"/>
                <w:highlight w:val="none"/>
              </w:rPr>
              <w:t>中国石化销售有限公司安徽淮南石油分公司</w:t>
            </w:r>
          </w:p>
        </w:tc>
        <w:tc>
          <w:tcPr>
            <w:tcW w:w="1083" w:type="pct"/>
            <w:tcBorders>
              <w:right w:val="single" w:color="auto" w:sz="4" w:space="0"/>
              <w:tl2br w:val="nil"/>
              <w:tr2bl w:val="nil"/>
            </w:tcBorders>
            <w:noWrap w:val="0"/>
            <w:vAlign w:val="center"/>
          </w:tcPr>
          <w:p w14:paraId="5A07C9AB">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水位</w:t>
            </w:r>
          </w:p>
        </w:tc>
        <w:tc>
          <w:tcPr>
            <w:tcW w:w="2224" w:type="pct"/>
            <w:tcBorders>
              <w:left w:val="single" w:color="auto" w:sz="4" w:space="0"/>
              <w:tl2br w:val="nil"/>
              <w:tr2bl w:val="nil"/>
            </w:tcBorders>
            <w:noWrap w:val="0"/>
            <w:vAlign w:val="center"/>
          </w:tcPr>
          <w:p w14:paraId="57C49FEB">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w:t>
            </w:r>
          </w:p>
        </w:tc>
      </w:tr>
      <w:tr w14:paraId="3937CA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7" w:hRule="atLeast"/>
        </w:trPr>
        <w:tc>
          <w:tcPr>
            <w:tcW w:w="699" w:type="pct"/>
            <w:tcBorders>
              <w:tl2br w:val="nil"/>
              <w:tr2bl w:val="nil"/>
            </w:tcBorders>
            <w:noWrap w:val="0"/>
            <w:vAlign w:val="center"/>
          </w:tcPr>
          <w:p w14:paraId="02D1D4DD">
            <w:pPr>
              <w:jc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D9</w:t>
            </w:r>
          </w:p>
        </w:tc>
        <w:tc>
          <w:tcPr>
            <w:tcW w:w="993" w:type="pct"/>
            <w:tcBorders>
              <w:tl2br w:val="nil"/>
              <w:tr2bl w:val="nil"/>
            </w:tcBorders>
            <w:noWrap w:val="0"/>
            <w:vAlign w:val="center"/>
          </w:tcPr>
          <w:p w14:paraId="7DB6E2A2">
            <w:pPr>
              <w:jc w:val="center"/>
              <w:rPr>
                <w:rFonts w:hint="default" w:ascii="宋体" w:hAnsi="宋体" w:eastAsia="宋体" w:cs="宋体"/>
                <w:i w:val="0"/>
                <w:iCs w:val="0"/>
                <w:color w:val="auto"/>
                <w:sz w:val="22"/>
                <w:szCs w:val="22"/>
                <w:highlight w:val="none"/>
                <w:u w:val="none"/>
                <w:lang w:val="en-US" w:eastAsia="zh-CN"/>
              </w:rPr>
            </w:pPr>
            <w:r>
              <w:rPr>
                <w:rFonts w:hint="eastAsia" w:ascii="宋体" w:hAnsi="宋体" w:eastAsia="宋体" w:cs="宋体"/>
                <w:i w:val="0"/>
                <w:iCs w:val="0"/>
                <w:color w:val="auto"/>
                <w:sz w:val="22"/>
                <w:szCs w:val="22"/>
                <w:highlight w:val="none"/>
                <w:u w:val="none"/>
                <w:lang w:val="en-US" w:eastAsia="zh-CN"/>
              </w:rPr>
              <w:t>王郢村</w:t>
            </w:r>
          </w:p>
        </w:tc>
        <w:tc>
          <w:tcPr>
            <w:tcW w:w="1083" w:type="pct"/>
            <w:tcBorders>
              <w:right w:val="single" w:color="auto" w:sz="4" w:space="0"/>
              <w:tl2br w:val="nil"/>
              <w:tr2bl w:val="nil"/>
            </w:tcBorders>
            <w:noWrap w:val="0"/>
            <w:vAlign w:val="center"/>
          </w:tcPr>
          <w:p w14:paraId="115EE982">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水位</w:t>
            </w:r>
          </w:p>
        </w:tc>
        <w:tc>
          <w:tcPr>
            <w:tcW w:w="2224" w:type="pct"/>
            <w:tcBorders>
              <w:left w:val="single" w:color="auto" w:sz="4" w:space="0"/>
              <w:tl2br w:val="nil"/>
              <w:tr2bl w:val="nil"/>
            </w:tcBorders>
            <w:noWrap w:val="0"/>
            <w:vAlign w:val="center"/>
          </w:tcPr>
          <w:p w14:paraId="25B03CCF">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w:t>
            </w:r>
          </w:p>
        </w:tc>
      </w:tr>
      <w:tr w14:paraId="6A090A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7" w:hRule="atLeast"/>
        </w:trPr>
        <w:tc>
          <w:tcPr>
            <w:tcW w:w="699" w:type="pct"/>
            <w:tcBorders>
              <w:tl2br w:val="nil"/>
              <w:tr2bl w:val="nil"/>
            </w:tcBorders>
            <w:noWrap w:val="0"/>
            <w:vAlign w:val="center"/>
          </w:tcPr>
          <w:p w14:paraId="32598666">
            <w:pPr>
              <w:jc w:val="center"/>
              <w:rPr>
                <w:rFonts w:hint="default"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D10</w:t>
            </w:r>
          </w:p>
        </w:tc>
        <w:tc>
          <w:tcPr>
            <w:tcW w:w="993" w:type="pct"/>
            <w:tcBorders>
              <w:tl2br w:val="nil"/>
              <w:tr2bl w:val="nil"/>
            </w:tcBorders>
            <w:noWrap w:val="0"/>
            <w:vAlign w:val="center"/>
          </w:tcPr>
          <w:p w14:paraId="1EA16E52">
            <w:pPr>
              <w:jc w:val="center"/>
              <w:rPr>
                <w:rFonts w:hint="default" w:ascii="宋体" w:hAnsi="宋体" w:eastAsia="宋体" w:cs="宋体"/>
                <w:i w:val="0"/>
                <w:iCs w:val="0"/>
                <w:color w:val="auto"/>
                <w:sz w:val="22"/>
                <w:szCs w:val="22"/>
                <w:highlight w:val="none"/>
                <w:u w:val="none"/>
                <w:lang w:val="en-US" w:eastAsia="zh-CN"/>
              </w:rPr>
            </w:pPr>
            <w:r>
              <w:rPr>
                <w:rFonts w:hint="eastAsia" w:ascii="宋体" w:hAnsi="宋体" w:eastAsia="宋体" w:cs="宋体"/>
                <w:i w:val="0"/>
                <w:iCs w:val="0"/>
                <w:color w:val="auto"/>
                <w:sz w:val="22"/>
                <w:szCs w:val="22"/>
                <w:highlight w:val="none"/>
                <w:u w:val="none"/>
                <w:lang w:val="en-US" w:eastAsia="zh-CN"/>
              </w:rPr>
              <w:t>王郢</w:t>
            </w:r>
          </w:p>
        </w:tc>
        <w:tc>
          <w:tcPr>
            <w:tcW w:w="1083" w:type="pct"/>
            <w:tcBorders>
              <w:right w:val="single" w:color="auto" w:sz="4" w:space="0"/>
              <w:tl2br w:val="nil"/>
              <w:tr2bl w:val="nil"/>
            </w:tcBorders>
            <w:noWrap w:val="0"/>
            <w:vAlign w:val="center"/>
          </w:tcPr>
          <w:p w14:paraId="35FD3EB6">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水位</w:t>
            </w:r>
          </w:p>
        </w:tc>
        <w:tc>
          <w:tcPr>
            <w:tcW w:w="2224" w:type="pct"/>
            <w:tcBorders>
              <w:left w:val="single" w:color="auto" w:sz="4" w:space="0"/>
              <w:tl2br w:val="nil"/>
              <w:tr2bl w:val="nil"/>
            </w:tcBorders>
            <w:noWrap w:val="0"/>
            <w:vAlign w:val="center"/>
          </w:tcPr>
          <w:p w14:paraId="10626267">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eastAsia" w:ascii="Times New Roman" w:hAnsi="Times New Roman" w:eastAsia="宋体" w:cs="Times New Roman"/>
                <w:i w:val="0"/>
                <w:iCs w:val="0"/>
                <w:color w:val="auto"/>
                <w:sz w:val="22"/>
                <w:szCs w:val="22"/>
                <w:highlight w:val="none"/>
                <w:u w:val="none"/>
                <w:lang w:val="en-US" w:eastAsia="zh-CN"/>
              </w:rPr>
              <w:t>/</w:t>
            </w:r>
          </w:p>
        </w:tc>
      </w:tr>
    </w:tbl>
    <w:p w14:paraId="580C8CE8">
      <w:pPr>
        <w:pStyle w:val="352"/>
        <w:ind w:firstLine="480"/>
        <w:rPr>
          <w:color w:val="auto"/>
          <w:highlight w:val="none"/>
        </w:rPr>
      </w:pPr>
      <w:r>
        <w:rPr>
          <w:color w:val="auto"/>
          <w:highlight w:val="none"/>
        </w:rPr>
        <w:t>（2）</w:t>
      </w:r>
      <w:r>
        <w:rPr>
          <w:rFonts w:hint="eastAsia"/>
          <w:color w:val="auto"/>
          <w:highlight w:val="none"/>
        </w:rPr>
        <w:t>监测时间及频次</w:t>
      </w:r>
    </w:p>
    <w:p w14:paraId="18DA0163">
      <w:pPr>
        <w:pStyle w:val="352"/>
        <w:ind w:firstLine="480"/>
        <w:rPr>
          <w:color w:val="auto"/>
          <w:highlight w:val="none"/>
        </w:rPr>
      </w:pPr>
      <w:r>
        <w:rPr>
          <w:rFonts w:hint="eastAsia"/>
          <w:color w:val="auto"/>
          <w:highlight w:val="none"/>
        </w:rPr>
        <w:t>监测</w:t>
      </w:r>
      <w:r>
        <w:rPr>
          <w:color w:val="auto"/>
          <w:highlight w:val="none"/>
        </w:rPr>
        <w:t>1天，每天采样一次。</w:t>
      </w:r>
    </w:p>
    <w:p w14:paraId="6F0B62AF">
      <w:pPr>
        <w:pStyle w:val="352"/>
        <w:ind w:firstLine="480"/>
        <w:rPr>
          <w:color w:val="auto"/>
          <w:highlight w:val="none"/>
        </w:rPr>
      </w:pPr>
      <w:r>
        <w:rPr>
          <w:color w:val="auto"/>
          <w:highlight w:val="none"/>
        </w:rPr>
        <w:t>（3）评价方法</w:t>
      </w:r>
    </w:p>
    <w:p w14:paraId="3FF30B0E">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K</w:t>
      </w:r>
      <w:r>
        <w:rPr>
          <w:rFonts w:ascii="Times New Roman" w:hAnsi="Times New Roman" w:eastAsia="宋体"/>
          <w:color w:val="auto"/>
          <w:sz w:val="24"/>
          <w:szCs w:val="24"/>
          <w:highlight w:val="none"/>
          <w:vertAlign w:val="superscript"/>
        </w:rPr>
        <w:t>+</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Na</w:t>
      </w:r>
      <w:r>
        <w:rPr>
          <w:rFonts w:ascii="Times New Roman" w:hAnsi="Times New Roman" w:eastAsia="宋体"/>
          <w:color w:val="auto"/>
          <w:sz w:val="24"/>
          <w:szCs w:val="24"/>
          <w:highlight w:val="none"/>
          <w:vertAlign w:val="superscript"/>
        </w:rPr>
        <w:t>+</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Ca</w:t>
      </w:r>
      <w:r>
        <w:rPr>
          <w:rFonts w:ascii="Times New Roman" w:hAnsi="Times New Roman" w:eastAsia="宋体"/>
          <w:color w:val="auto"/>
          <w:sz w:val="24"/>
          <w:szCs w:val="24"/>
          <w:highlight w:val="none"/>
          <w:vertAlign w:val="superscript"/>
        </w:rPr>
        <w:t>2+</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Mg</w:t>
      </w:r>
      <w:r>
        <w:rPr>
          <w:rFonts w:ascii="Times New Roman" w:hAnsi="Times New Roman" w:eastAsia="宋体"/>
          <w:color w:val="auto"/>
          <w:sz w:val="24"/>
          <w:szCs w:val="24"/>
          <w:highlight w:val="none"/>
          <w:vertAlign w:val="superscript"/>
        </w:rPr>
        <w:t>2+</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CO</w:t>
      </w:r>
      <w:r>
        <w:rPr>
          <w:rFonts w:ascii="Times New Roman" w:hAnsi="Times New Roman" w:eastAsia="宋体"/>
          <w:color w:val="auto"/>
          <w:sz w:val="24"/>
          <w:szCs w:val="24"/>
          <w:highlight w:val="none"/>
          <w:vertAlign w:val="subscript"/>
        </w:rPr>
        <w:t>3</w:t>
      </w:r>
      <w:r>
        <w:rPr>
          <w:rFonts w:ascii="Times New Roman" w:hAnsi="Times New Roman" w:eastAsia="宋体"/>
          <w:color w:val="auto"/>
          <w:sz w:val="24"/>
          <w:szCs w:val="24"/>
          <w:highlight w:val="none"/>
          <w:vertAlign w:val="superscript"/>
        </w:rPr>
        <w:t>2-</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HCO</w:t>
      </w:r>
      <w:r>
        <w:rPr>
          <w:rFonts w:ascii="Times New Roman" w:hAnsi="Times New Roman" w:eastAsia="宋体"/>
          <w:color w:val="auto"/>
          <w:sz w:val="24"/>
          <w:szCs w:val="24"/>
          <w:highlight w:val="none"/>
          <w:vertAlign w:val="subscript"/>
        </w:rPr>
        <w:t>3</w:t>
      </w:r>
      <w:r>
        <w:rPr>
          <w:rFonts w:ascii="Times New Roman" w:hAnsi="Times New Roman" w:eastAsia="宋体"/>
          <w:color w:val="auto"/>
          <w:sz w:val="24"/>
          <w:szCs w:val="24"/>
          <w:highlight w:val="none"/>
          <w:vertAlign w:val="superscript"/>
        </w:rPr>
        <w:t>-</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Cl</w:t>
      </w:r>
      <w:r>
        <w:rPr>
          <w:rFonts w:ascii="Times New Roman" w:hAnsi="Times New Roman" w:eastAsia="宋体"/>
          <w:color w:val="auto"/>
          <w:sz w:val="24"/>
          <w:szCs w:val="24"/>
          <w:highlight w:val="none"/>
          <w:vertAlign w:val="superscript"/>
        </w:rPr>
        <w:t>-</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SO</w:t>
      </w:r>
      <w:r>
        <w:rPr>
          <w:rFonts w:ascii="Times New Roman" w:hAnsi="Times New Roman" w:eastAsia="宋体"/>
          <w:color w:val="auto"/>
          <w:sz w:val="24"/>
          <w:szCs w:val="24"/>
          <w:highlight w:val="none"/>
          <w:vertAlign w:val="subscript"/>
        </w:rPr>
        <w:t>4</w:t>
      </w:r>
      <w:r>
        <w:rPr>
          <w:rFonts w:ascii="Times New Roman" w:hAnsi="Times New Roman" w:eastAsia="宋体"/>
          <w:color w:val="auto"/>
          <w:sz w:val="24"/>
          <w:szCs w:val="24"/>
          <w:highlight w:val="none"/>
          <w:vertAlign w:val="superscript"/>
        </w:rPr>
        <w:t>2-</w:t>
      </w:r>
      <w:r>
        <w:rPr>
          <w:rFonts w:hint="eastAsia" w:ascii="Times New Roman" w:hAnsi="Times New Roman" w:eastAsia="宋体"/>
          <w:color w:val="auto"/>
          <w:sz w:val="24"/>
          <w:szCs w:val="24"/>
          <w:highlight w:val="none"/>
        </w:rPr>
        <w:t>八个离子采用舒卡列夫分类法判断地下水类型；其余因子采用《地下水质量标准》（</w:t>
      </w:r>
      <w:r>
        <w:rPr>
          <w:rFonts w:ascii="Times New Roman" w:hAnsi="Times New Roman" w:eastAsia="宋体"/>
          <w:color w:val="auto"/>
          <w:sz w:val="24"/>
          <w:szCs w:val="24"/>
          <w:highlight w:val="none"/>
        </w:rPr>
        <w:t>GB/T14848-2017</w:t>
      </w:r>
      <w:r>
        <w:rPr>
          <w:rFonts w:hint="eastAsia" w:ascii="Times New Roman" w:hAnsi="Times New Roman" w:eastAsia="宋体"/>
          <w:color w:val="auto"/>
          <w:sz w:val="24"/>
          <w:szCs w:val="24"/>
          <w:highlight w:val="none"/>
        </w:rPr>
        <w:t>）的单项组分评价法对地下水监测数据进行评价，</w:t>
      </w:r>
      <w:r>
        <w:rPr>
          <w:rFonts w:ascii="Times New Roman" w:hAnsi="Times New Roman" w:eastAsia="宋体"/>
          <w:color w:val="auto"/>
          <w:sz w:val="24"/>
          <w:szCs w:val="24"/>
          <w:highlight w:val="none"/>
        </w:rPr>
        <w:t>其计算公式如下：</w:t>
      </w:r>
    </w:p>
    <w:p w14:paraId="218265FA">
      <w:pPr>
        <w:spacing w:line="360" w:lineRule="auto"/>
        <w:ind w:firstLine="480" w:firstLineChars="200"/>
        <w:jc w:val="center"/>
        <w:rPr>
          <w:rFonts w:ascii="Times New Roman" w:hAnsi="Times New Roman" w:eastAsia="宋体"/>
          <w:color w:val="auto"/>
          <w:sz w:val="24"/>
          <w:szCs w:val="24"/>
          <w:highlight w:val="none"/>
        </w:rPr>
      </w:pPr>
      <w:r>
        <w:rPr>
          <w:rFonts w:ascii="Times New Roman" w:hAnsi="Times New Roman" w:eastAsia="宋体"/>
          <w:color w:val="auto"/>
          <w:position w:val="-34"/>
          <w:sz w:val="24"/>
          <w:szCs w:val="24"/>
          <w:highlight w:val="none"/>
        </w:rPr>
        <w:object>
          <v:shape id="_x0000_i1025" o:spt="75" type="#_x0000_t75" style="height:38.35pt;width:42.1pt;" o:ole="t" filled="f" o:preferrelative="t" stroked="f" coordsize="21600,21600">
            <v:path/>
            <v:fill on="f" focussize="0,0"/>
            <v:stroke on="f"/>
            <v:imagedata r:id="rId51" o:title=""/>
            <o:lock v:ext="edit" aspectratio="f"/>
            <w10:wrap type="none"/>
            <w10:anchorlock/>
          </v:shape>
          <o:OLEObject Type="Embed" ProgID="Equation.3" ShapeID="_x0000_i1025" DrawAspect="Content" ObjectID="_1468075725" r:id="rId50">
            <o:LockedField>false</o:LockedField>
          </o:OLEObject>
        </w:object>
      </w:r>
    </w:p>
    <w:p w14:paraId="376F1776">
      <w:pPr>
        <w:spacing w:line="500" w:lineRule="exact"/>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式中：</w:t>
      </w:r>
      <w:r>
        <w:rPr>
          <w:rFonts w:ascii="Times New Roman" w:hAnsi="Times New Roman" w:eastAsia="宋体"/>
          <w:color w:val="auto"/>
          <w:sz w:val="24"/>
          <w:szCs w:val="24"/>
          <w:highlight w:val="none"/>
        </w:rPr>
        <w:tab/>
      </w:r>
      <w:r>
        <w:rPr>
          <w:rFonts w:ascii="Times New Roman" w:hAnsi="Times New Roman" w:eastAsia="宋体"/>
          <w:color w:val="auto"/>
          <w:sz w:val="24"/>
          <w:szCs w:val="24"/>
          <w:highlight w:val="none"/>
        </w:rPr>
        <w:t>C</w:t>
      </w:r>
      <w:r>
        <w:rPr>
          <w:rFonts w:ascii="Times New Roman" w:hAnsi="Times New Roman" w:eastAsia="宋体"/>
          <w:color w:val="auto"/>
          <w:sz w:val="24"/>
          <w:szCs w:val="24"/>
          <w:highlight w:val="none"/>
          <w:vertAlign w:val="subscript"/>
        </w:rPr>
        <w:t>ij</w:t>
      </w:r>
      <w:r>
        <w:rPr>
          <w:rFonts w:ascii="Times New Roman" w:hAnsi="Times New Roman" w:eastAsia="宋体"/>
          <w:color w:val="auto"/>
          <w:sz w:val="24"/>
          <w:szCs w:val="24"/>
          <w:highlight w:val="none"/>
        </w:rPr>
        <w:t>—j测点i种污染物的实测浓度（mg/l）；</w:t>
      </w:r>
    </w:p>
    <w:p w14:paraId="3285BF31">
      <w:pPr>
        <w:spacing w:line="500" w:lineRule="exact"/>
        <w:ind w:firstLine="1440" w:firstLineChars="6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S</w:t>
      </w:r>
      <w:r>
        <w:rPr>
          <w:rFonts w:ascii="Times New Roman" w:hAnsi="Times New Roman" w:eastAsia="宋体"/>
          <w:color w:val="auto"/>
          <w:sz w:val="24"/>
          <w:szCs w:val="24"/>
          <w:highlight w:val="none"/>
          <w:vertAlign w:val="subscript"/>
        </w:rPr>
        <w:t>ij</w:t>
      </w:r>
      <w:r>
        <w:rPr>
          <w:rFonts w:ascii="Times New Roman" w:hAnsi="Times New Roman" w:eastAsia="宋体"/>
          <w:color w:val="auto"/>
          <w:sz w:val="24"/>
          <w:szCs w:val="24"/>
          <w:highlight w:val="none"/>
        </w:rPr>
        <w:t>—j测点i种污染物评价（mg/l）。</w:t>
      </w:r>
    </w:p>
    <w:p w14:paraId="29388FA5">
      <w:pPr>
        <w:spacing w:line="500" w:lineRule="exact"/>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pH的单项污染指数计算方法为：</w:t>
      </w:r>
    </w:p>
    <w:p w14:paraId="68B13385">
      <w:pPr>
        <w:spacing w:line="360" w:lineRule="auto"/>
        <w:ind w:firstLine="480" w:firstLineChars="200"/>
        <w:jc w:val="center"/>
        <w:rPr>
          <w:rFonts w:ascii="Times New Roman" w:hAnsi="Times New Roman" w:eastAsia="宋体"/>
          <w:color w:val="auto"/>
          <w:sz w:val="24"/>
          <w:szCs w:val="24"/>
          <w:highlight w:val="none"/>
        </w:rPr>
      </w:pPr>
      <w:r>
        <w:rPr>
          <w:rFonts w:ascii="Times New Roman" w:hAnsi="Times New Roman" w:eastAsia="宋体"/>
          <w:color w:val="auto"/>
          <w:position w:val="-66"/>
          <w:sz w:val="24"/>
          <w:szCs w:val="24"/>
          <w:highlight w:val="none"/>
        </w:rPr>
        <w:object>
          <v:shape id="_x0000_i1026" o:spt="75" type="#_x0000_t75" style="height:79.45pt;width:208.6pt;" o:ole="t" filled="f" o:preferrelative="t" stroked="f" coordsize="21600,21600">
            <v:path/>
            <v:fill on="f" focussize="0,0"/>
            <v:stroke on="f"/>
            <v:imagedata r:id="rId53" o:title=""/>
            <o:lock v:ext="edit" aspectratio="t"/>
            <w10:wrap type="none"/>
            <w10:anchorlock/>
          </v:shape>
          <o:OLEObject Type="Embed" ProgID="Equation.3" ShapeID="_x0000_i1026" DrawAspect="Content" ObjectID="_1468075726" r:id="rId52">
            <o:LockedField>false</o:LockedField>
          </o:OLEObject>
        </w:object>
      </w:r>
    </w:p>
    <w:p w14:paraId="3B19108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式中：S</w:t>
      </w:r>
      <w:r>
        <w:rPr>
          <w:rFonts w:ascii="Times New Roman" w:hAnsi="Times New Roman" w:eastAsia="宋体"/>
          <w:i/>
          <w:color w:val="auto"/>
          <w:sz w:val="24"/>
          <w:szCs w:val="24"/>
          <w:highlight w:val="none"/>
          <w:vertAlign w:val="subscript"/>
        </w:rPr>
        <w:t>pH,j</w:t>
      </w:r>
      <w:r>
        <w:rPr>
          <w:rFonts w:ascii="Times New Roman" w:hAnsi="Times New Roman" w:eastAsia="宋体"/>
          <w:color w:val="auto"/>
          <w:sz w:val="24"/>
          <w:szCs w:val="24"/>
          <w:highlight w:val="none"/>
        </w:rPr>
        <w:t>—为单项污染指数；pH</w:t>
      </w:r>
      <w:r>
        <w:rPr>
          <w:rFonts w:ascii="Times New Roman" w:hAnsi="Times New Roman" w:eastAsia="宋体"/>
          <w:i/>
          <w:color w:val="auto"/>
          <w:sz w:val="24"/>
          <w:szCs w:val="24"/>
          <w:highlight w:val="none"/>
          <w:vertAlign w:val="subscript"/>
        </w:rPr>
        <w:t>j</w:t>
      </w:r>
      <w:r>
        <w:rPr>
          <w:rFonts w:ascii="Times New Roman" w:hAnsi="Times New Roman" w:eastAsia="宋体"/>
          <w:color w:val="auto"/>
          <w:sz w:val="24"/>
          <w:szCs w:val="24"/>
          <w:highlight w:val="none"/>
        </w:rPr>
        <w:t>—为实际监测值；</w:t>
      </w:r>
    </w:p>
    <w:p w14:paraId="5F3C007D">
      <w:pPr>
        <w:keepNext w:val="0"/>
        <w:keepLines w:val="0"/>
        <w:pageBreakBefore w:val="0"/>
        <w:widowControl w:val="0"/>
        <w:kinsoku/>
        <w:wordWrap/>
        <w:overflowPunct/>
        <w:topLinePunct w:val="0"/>
        <w:autoSpaceDE/>
        <w:autoSpaceDN/>
        <w:bidi w:val="0"/>
        <w:adjustRightInd/>
        <w:snapToGrid/>
        <w:spacing w:line="360" w:lineRule="auto"/>
        <w:ind w:firstLine="1262" w:firstLineChars="526"/>
        <w:jc w:val="both"/>
        <w:textAlignment w:val="auto"/>
        <w:rPr>
          <w:rFonts w:ascii="Times New Roman" w:hAnsi="Times New Roman" w:eastAsia="宋体"/>
          <w:color w:val="auto"/>
          <w:sz w:val="24"/>
          <w:highlight w:val="none"/>
        </w:rPr>
      </w:pPr>
      <w:r>
        <w:rPr>
          <w:rFonts w:ascii="Times New Roman" w:hAnsi="Times New Roman" w:eastAsia="宋体"/>
          <w:color w:val="auto"/>
          <w:sz w:val="24"/>
          <w:szCs w:val="24"/>
          <w:highlight w:val="none"/>
        </w:rPr>
        <w:t>pH</w:t>
      </w:r>
      <w:r>
        <w:rPr>
          <w:rFonts w:ascii="Times New Roman" w:hAnsi="Times New Roman" w:eastAsia="宋体"/>
          <w:i/>
          <w:color w:val="auto"/>
          <w:sz w:val="24"/>
          <w:szCs w:val="24"/>
          <w:highlight w:val="none"/>
          <w:vertAlign w:val="subscript"/>
        </w:rPr>
        <w:t>sd</w:t>
      </w:r>
      <w:r>
        <w:rPr>
          <w:rFonts w:ascii="Times New Roman" w:hAnsi="Times New Roman" w:eastAsia="宋体"/>
          <w:color w:val="auto"/>
          <w:sz w:val="24"/>
          <w:szCs w:val="24"/>
          <w:highlight w:val="none"/>
        </w:rPr>
        <w:t>—为标准下限；pH</w:t>
      </w:r>
      <w:r>
        <w:rPr>
          <w:rFonts w:ascii="Times New Roman" w:hAnsi="Times New Roman" w:eastAsia="宋体"/>
          <w:i/>
          <w:color w:val="auto"/>
          <w:sz w:val="24"/>
          <w:szCs w:val="24"/>
          <w:highlight w:val="none"/>
          <w:vertAlign w:val="subscript"/>
        </w:rPr>
        <w:t>su</w:t>
      </w:r>
      <w:r>
        <w:rPr>
          <w:rFonts w:ascii="Times New Roman" w:hAnsi="Times New Roman" w:eastAsia="宋体"/>
          <w:color w:val="auto"/>
          <w:sz w:val="24"/>
          <w:szCs w:val="24"/>
          <w:highlight w:val="none"/>
        </w:rPr>
        <w:t>—为标准上限。</w:t>
      </w:r>
    </w:p>
    <w:p w14:paraId="39AEB8F4">
      <w:pPr>
        <w:pStyle w:val="352"/>
        <w:ind w:firstLine="480"/>
        <w:rPr>
          <w:color w:val="auto"/>
          <w:highlight w:val="none"/>
        </w:rPr>
      </w:pPr>
      <w:r>
        <w:rPr>
          <w:color w:val="auto"/>
          <w:highlight w:val="none"/>
        </w:rPr>
        <w:t>（4）监测结果</w:t>
      </w:r>
    </w:p>
    <w:p w14:paraId="39164508">
      <w:pPr>
        <w:pStyle w:val="352"/>
        <w:ind w:firstLine="480"/>
        <w:rPr>
          <w:color w:val="auto"/>
          <w:highlight w:val="none"/>
        </w:rPr>
      </w:pPr>
      <w:r>
        <w:rPr>
          <w:color w:val="auto"/>
          <w:highlight w:val="none"/>
        </w:rPr>
        <w:t>地下水环境质量监测及评价结果见表4.2-</w:t>
      </w:r>
      <w:r>
        <w:rPr>
          <w:rFonts w:hint="eastAsia"/>
          <w:color w:val="auto"/>
          <w:highlight w:val="none"/>
          <w:lang w:val="en-US" w:eastAsia="zh-CN"/>
        </w:rPr>
        <w:t>7</w:t>
      </w:r>
      <w:r>
        <w:rPr>
          <w:color w:val="auto"/>
          <w:highlight w:val="none"/>
        </w:rPr>
        <w:t>。</w:t>
      </w:r>
    </w:p>
    <w:p w14:paraId="245ABACB">
      <w:pPr>
        <w:snapToGrid w:val="0"/>
        <w:jc w:val="center"/>
        <w:rPr>
          <w:rFonts w:ascii="Times New Roman" w:hAnsi="Times New Roman" w:eastAsia="宋体"/>
          <w:b/>
          <w:color w:val="auto"/>
          <w:sz w:val="24"/>
          <w:szCs w:val="24"/>
          <w:highlight w:val="none"/>
        </w:rPr>
      </w:pPr>
      <w:r>
        <w:rPr>
          <w:rFonts w:ascii="Times New Roman" w:hAnsi="Times New Roman" w:eastAsia="宋体"/>
          <w:b/>
          <w:color w:val="auto"/>
          <w:sz w:val="24"/>
          <w:szCs w:val="24"/>
          <w:highlight w:val="none"/>
        </w:rPr>
        <w:t>表</w:t>
      </w:r>
      <w:r>
        <w:rPr>
          <w:rFonts w:hint="eastAsia" w:ascii="Times New Roman" w:hAnsi="Times New Roman" w:eastAsia="宋体"/>
          <w:b/>
          <w:color w:val="auto"/>
          <w:sz w:val="24"/>
          <w:szCs w:val="24"/>
          <w:highlight w:val="none"/>
        </w:rPr>
        <w:t>4</w:t>
      </w:r>
      <w:r>
        <w:rPr>
          <w:rFonts w:ascii="Times New Roman" w:hAnsi="Times New Roman" w:eastAsia="宋体"/>
          <w:b/>
          <w:color w:val="auto"/>
          <w:sz w:val="24"/>
          <w:szCs w:val="24"/>
          <w:highlight w:val="none"/>
        </w:rPr>
        <w:t>.2-</w:t>
      </w:r>
      <w:r>
        <w:rPr>
          <w:rFonts w:hint="eastAsia" w:ascii="Times New Roman" w:hAnsi="Times New Roman" w:eastAsia="宋体"/>
          <w:b/>
          <w:color w:val="auto"/>
          <w:sz w:val="24"/>
          <w:szCs w:val="24"/>
          <w:highlight w:val="none"/>
          <w:lang w:val="en-US" w:eastAsia="zh-CN"/>
        </w:rPr>
        <w:t xml:space="preserve">7  </w:t>
      </w:r>
      <w:r>
        <w:rPr>
          <w:rFonts w:ascii="Times New Roman" w:hAnsi="Times New Roman" w:eastAsia="宋体"/>
          <w:b/>
          <w:color w:val="auto"/>
          <w:sz w:val="24"/>
          <w:szCs w:val="24"/>
          <w:highlight w:val="none"/>
        </w:rPr>
        <w:t>地下水监测结果</w:t>
      </w:r>
    </w:p>
    <w:tbl>
      <w:tblPr>
        <w:tblStyle w:val="49"/>
        <w:tblW w:w="522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1176"/>
        <w:gridCol w:w="1485"/>
        <w:gridCol w:w="1080"/>
        <w:gridCol w:w="1227"/>
        <w:gridCol w:w="1317"/>
        <w:gridCol w:w="1224"/>
        <w:gridCol w:w="1269"/>
      </w:tblGrid>
      <w:tr w14:paraId="108E2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vMerge w:val="restart"/>
            <w:tcBorders>
              <w:tl2br w:val="nil"/>
              <w:tr2bl w:val="nil"/>
            </w:tcBorders>
            <w:noWrap w:val="0"/>
            <w:vAlign w:val="center"/>
          </w:tcPr>
          <w:p w14:paraId="45C89B8D">
            <w:pPr>
              <w:snapToGrid w:val="0"/>
              <w:jc w:val="center"/>
              <w:rPr>
                <w:rFonts w:ascii="Times New Roman" w:hAnsi="Times New Roman" w:eastAsia="宋体"/>
                <w:b/>
                <w:color w:val="auto"/>
                <w:szCs w:val="21"/>
                <w:highlight w:val="none"/>
              </w:rPr>
            </w:pPr>
            <w:bookmarkStart w:id="320" w:name="_Hlk114992969"/>
            <w:r>
              <w:rPr>
                <w:rFonts w:ascii="Times New Roman" w:hAnsi="Times New Roman" w:eastAsia="宋体"/>
                <w:b/>
                <w:color w:val="auto"/>
                <w:szCs w:val="21"/>
                <w:highlight w:val="none"/>
              </w:rPr>
              <w:t>监测</w:t>
            </w:r>
          </w:p>
          <w:p w14:paraId="4CF3B138">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项目</w:t>
            </w:r>
          </w:p>
        </w:tc>
        <w:tc>
          <w:tcPr>
            <w:tcW w:w="846" w:type="pct"/>
            <w:vMerge w:val="restart"/>
            <w:tcBorders>
              <w:tl2br w:val="nil"/>
              <w:tr2bl w:val="nil"/>
            </w:tcBorders>
            <w:noWrap w:val="0"/>
            <w:vAlign w:val="center"/>
          </w:tcPr>
          <w:p w14:paraId="2A97FC58">
            <w:pPr>
              <w:snapToGrid w:val="0"/>
              <w:jc w:val="center"/>
              <w:rPr>
                <w:rFonts w:hint="default"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单位</w:t>
            </w:r>
          </w:p>
        </w:tc>
        <w:tc>
          <w:tcPr>
            <w:tcW w:w="3482" w:type="pct"/>
            <w:gridSpan w:val="5"/>
            <w:tcBorders>
              <w:tl2br w:val="nil"/>
              <w:tr2bl w:val="nil"/>
            </w:tcBorders>
            <w:noWrap w:val="0"/>
            <w:vAlign w:val="center"/>
          </w:tcPr>
          <w:p w14:paraId="1B351B4F">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监测结果</w:t>
            </w:r>
            <w:r>
              <w:rPr>
                <w:rFonts w:hint="eastAsia" w:ascii="Times New Roman" w:hAnsi="Times New Roman" w:eastAsia="宋体"/>
                <w:b/>
                <w:color w:val="auto"/>
                <w:szCs w:val="21"/>
                <w:highlight w:val="none"/>
              </w:rPr>
              <w:t>（2</w:t>
            </w:r>
            <w:r>
              <w:rPr>
                <w:rFonts w:ascii="Times New Roman" w:hAnsi="Times New Roman" w:eastAsia="宋体"/>
                <w:b/>
                <w:color w:val="auto"/>
                <w:szCs w:val="21"/>
                <w:highlight w:val="none"/>
              </w:rPr>
              <w:t>02</w:t>
            </w:r>
            <w:r>
              <w:rPr>
                <w:rFonts w:hint="eastAsia" w:ascii="Times New Roman" w:hAnsi="Times New Roman" w:eastAsia="宋体"/>
                <w:b/>
                <w:color w:val="auto"/>
                <w:szCs w:val="21"/>
                <w:highlight w:val="none"/>
                <w:lang w:val="en-US" w:eastAsia="zh-CN"/>
              </w:rPr>
              <w:t>5</w:t>
            </w:r>
            <w:r>
              <w:rPr>
                <w:rFonts w:ascii="Times New Roman" w:hAnsi="Times New Roman" w:eastAsia="宋体"/>
                <w:b/>
                <w:color w:val="auto"/>
                <w:szCs w:val="21"/>
                <w:highlight w:val="none"/>
              </w:rPr>
              <w:t>.0</w:t>
            </w:r>
            <w:r>
              <w:rPr>
                <w:rFonts w:hint="eastAsia" w:ascii="Times New Roman" w:hAnsi="Times New Roman" w:eastAsia="宋体"/>
                <w:b/>
                <w:color w:val="auto"/>
                <w:szCs w:val="21"/>
                <w:highlight w:val="none"/>
                <w:lang w:val="en-US" w:eastAsia="zh-CN"/>
              </w:rPr>
              <w:t>1</w:t>
            </w:r>
            <w:r>
              <w:rPr>
                <w:rFonts w:ascii="Times New Roman" w:hAnsi="Times New Roman" w:eastAsia="宋体"/>
                <w:b/>
                <w:color w:val="auto"/>
                <w:szCs w:val="21"/>
                <w:highlight w:val="none"/>
              </w:rPr>
              <w:t>.</w:t>
            </w:r>
            <w:r>
              <w:rPr>
                <w:rFonts w:hint="eastAsia" w:ascii="Times New Roman" w:hAnsi="Times New Roman" w:eastAsia="宋体"/>
                <w:b/>
                <w:color w:val="auto"/>
                <w:szCs w:val="21"/>
                <w:highlight w:val="none"/>
                <w:lang w:val="en-US" w:eastAsia="zh-CN"/>
              </w:rPr>
              <w:t>6</w:t>
            </w:r>
            <w:r>
              <w:rPr>
                <w:rFonts w:hint="eastAsia" w:ascii="Times New Roman" w:hAnsi="Times New Roman" w:eastAsia="宋体"/>
                <w:b/>
                <w:color w:val="auto"/>
                <w:szCs w:val="21"/>
                <w:highlight w:val="none"/>
              </w:rPr>
              <w:t>）</w:t>
            </w:r>
          </w:p>
        </w:tc>
      </w:tr>
      <w:tr w14:paraId="1A9E9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vMerge w:val="continue"/>
            <w:tcBorders>
              <w:tl2br w:val="nil"/>
              <w:tr2bl w:val="nil"/>
            </w:tcBorders>
            <w:noWrap w:val="0"/>
            <w:vAlign w:val="center"/>
          </w:tcPr>
          <w:p w14:paraId="63EDA7CE">
            <w:pPr>
              <w:snapToGrid w:val="0"/>
              <w:jc w:val="center"/>
              <w:rPr>
                <w:rFonts w:ascii="Times New Roman" w:hAnsi="Times New Roman" w:eastAsia="宋体"/>
                <w:b/>
                <w:color w:val="auto"/>
                <w:szCs w:val="21"/>
                <w:highlight w:val="none"/>
              </w:rPr>
            </w:pPr>
          </w:p>
        </w:tc>
        <w:tc>
          <w:tcPr>
            <w:tcW w:w="846" w:type="pct"/>
            <w:vMerge w:val="continue"/>
            <w:tcBorders>
              <w:tl2br w:val="nil"/>
              <w:tr2bl w:val="nil"/>
            </w:tcBorders>
            <w:noWrap w:val="0"/>
            <w:vAlign w:val="center"/>
          </w:tcPr>
          <w:p w14:paraId="0AFF9BD6">
            <w:pPr>
              <w:keepNext w:val="0"/>
              <w:keepLines w:val="0"/>
              <w:widowControl/>
              <w:suppressLineNumbers w:val="0"/>
              <w:jc w:val="center"/>
              <w:textAlignment w:val="center"/>
              <w:rPr>
                <w:rFonts w:hint="default" w:ascii="Times New Roman" w:hAnsi="Times New Roman" w:eastAsia="宋体" w:cs="Times New Roman"/>
                <w:b/>
                <w:color w:val="auto"/>
                <w:szCs w:val="21"/>
                <w:highlight w:val="none"/>
              </w:rPr>
            </w:pPr>
          </w:p>
        </w:tc>
        <w:tc>
          <w:tcPr>
            <w:tcW w:w="615" w:type="pct"/>
            <w:tcBorders>
              <w:tl2br w:val="nil"/>
              <w:tr2bl w:val="nil"/>
            </w:tcBorders>
            <w:noWrap w:val="0"/>
            <w:vAlign w:val="center"/>
          </w:tcPr>
          <w:p w14:paraId="7CAC66E7">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D</w:t>
            </w:r>
            <w:r>
              <w:rPr>
                <w:rFonts w:ascii="Times New Roman" w:hAnsi="Times New Roman" w:eastAsia="宋体"/>
                <w:b/>
                <w:color w:val="auto"/>
                <w:szCs w:val="21"/>
                <w:highlight w:val="none"/>
              </w:rPr>
              <w:t>1</w:t>
            </w:r>
          </w:p>
        </w:tc>
        <w:tc>
          <w:tcPr>
            <w:tcW w:w="699" w:type="pct"/>
            <w:tcBorders>
              <w:tl2br w:val="nil"/>
              <w:tr2bl w:val="nil"/>
            </w:tcBorders>
            <w:noWrap w:val="0"/>
            <w:vAlign w:val="center"/>
          </w:tcPr>
          <w:p w14:paraId="36532899">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D</w:t>
            </w:r>
            <w:r>
              <w:rPr>
                <w:rFonts w:ascii="Times New Roman" w:hAnsi="Times New Roman" w:eastAsia="宋体"/>
                <w:b/>
                <w:color w:val="auto"/>
                <w:szCs w:val="21"/>
                <w:highlight w:val="none"/>
              </w:rPr>
              <w:t>2</w:t>
            </w:r>
          </w:p>
        </w:tc>
        <w:tc>
          <w:tcPr>
            <w:tcW w:w="750" w:type="pct"/>
            <w:tcBorders>
              <w:tl2br w:val="nil"/>
              <w:tr2bl w:val="nil"/>
            </w:tcBorders>
            <w:noWrap w:val="0"/>
            <w:vAlign w:val="center"/>
          </w:tcPr>
          <w:p w14:paraId="36F9F2E1">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D</w:t>
            </w:r>
            <w:r>
              <w:rPr>
                <w:rFonts w:ascii="Times New Roman" w:hAnsi="Times New Roman" w:eastAsia="宋体"/>
                <w:b/>
                <w:color w:val="auto"/>
                <w:szCs w:val="21"/>
                <w:highlight w:val="none"/>
              </w:rPr>
              <w:t>3</w:t>
            </w:r>
          </w:p>
        </w:tc>
        <w:tc>
          <w:tcPr>
            <w:tcW w:w="697" w:type="pct"/>
            <w:tcBorders>
              <w:tl2br w:val="nil"/>
              <w:tr2bl w:val="nil"/>
            </w:tcBorders>
            <w:noWrap w:val="0"/>
            <w:vAlign w:val="center"/>
          </w:tcPr>
          <w:p w14:paraId="1E4AECEF">
            <w:pPr>
              <w:snapToGrid w:val="0"/>
              <w:jc w:val="center"/>
              <w:rPr>
                <w:rFonts w:hint="default"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D4</w:t>
            </w:r>
          </w:p>
        </w:tc>
        <w:tc>
          <w:tcPr>
            <w:tcW w:w="718" w:type="pct"/>
            <w:tcBorders>
              <w:tl2br w:val="nil"/>
              <w:tr2bl w:val="nil"/>
            </w:tcBorders>
            <w:noWrap w:val="0"/>
            <w:vAlign w:val="center"/>
          </w:tcPr>
          <w:p w14:paraId="60F162CB">
            <w:pPr>
              <w:snapToGrid w:val="0"/>
              <w:jc w:val="center"/>
              <w:rPr>
                <w:rFonts w:hint="default"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D5</w:t>
            </w:r>
          </w:p>
        </w:tc>
      </w:tr>
      <w:tr w14:paraId="1E5D5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3B86DA88">
            <w:pPr>
              <w:snapToGrid w:val="0"/>
              <w:jc w:val="center"/>
              <w:rPr>
                <w:rFonts w:hint="default"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水位</w:t>
            </w:r>
          </w:p>
        </w:tc>
        <w:tc>
          <w:tcPr>
            <w:tcW w:w="846" w:type="pct"/>
            <w:tcBorders>
              <w:tl2br w:val="nil"/>
              <w:tr2bl w:val="nil"/>
            </w:tcBorders>
            <w:noWrap w:val="0"/>
            <w:vAlign w:val="center"/>
          </w:tcPr>
          <w:p w14:paraId="37F3304E">
            <w:pPr>
              <w:keepNext w:val="0"/>
              <w:keepLines w:val="0"/>
              <w:widowControl/>
              <w:suppressLineNumbers w:val="0"/>
              <w:jc w:val="center"/>
              <w:textAlignment w:val="center"/>
              <w:rPr>
                <w:rFonts w:hint="default" w:ascii="Times New Roman" w:hAnsi="Times New Roman" w:eastAsia="宋体" w:cs="Times New Roman"/>
                <w:b/>
                <w:color w:val="auto"/>
                <w:szCs w:val="21"/>
                <w:highlight w:val="none"/>
                <w:lang w:val="en-US" w:eastAsia="zh-CN"/>
              </w:rPr>
            </w:pPr>
            <w:r>
              <w:rPr>
                <w:rFonts w:hint="eastAsia" w:ascii="Times New Roman" w:hAnsi="Times New Roman" w:eastAsia="宋体" w:cs="Times New Roman"/>
                <w:b w:val="0"/>
                <w:bCs/>
                <w:color w:val="auto"/>
                <w:szCs w:val="21"/>
                <w:highlight w:val="none"/>
                <w:lang w:val="en-US" w:eastAsia="zh-CN"/>
              </w:rPr>
              <w:t>m</w:t>
            </w:r>
          </w:p>
        </w:tc>
        <w:tc>
          <w:tcPr>
            <w:tcW w:w="615" w:type="pct"/>
            <w:tcBorders>
              <w:tl2br w:val="nil"/>
              <w:tr2bl w:val="nil"/>
            </w:tcBorders>
            <w:noWrap w:val="0"/>
            <w:vAlign w:val="center"/>
          </w:tcPr>
          <w:p w14:paraId="68AA3FBE">
            <w:pPr>
              <w:snapToGrid w:val="0"/>
              <w:jc w:val="center"/>
              <w:rPr>
                <w:rFonts w:hint="default" w:ascii="Times New Roman" w:hAnsi="Times New Roman" w:eastAsia="宋体"/>
                <w:b w:val="0"/>
                <w:bCs/>
                <w:color w:val="auto"/>
                <w:szCs w:val="21"/>
                <w:highlight w:val="none"/>
                <w:lang w:val="en-US" w:eastAsia="zh-CN"/>
              </w:rPr>
            </w:pPr>
            <w:r>
              <w:rPr>
                <w:rFonts w:hint="eastAsia" w:ascii="Times New Roman" w:hAnsi="Times New Roman" w:eastAsia="宋体"/>
                <w:b w:val="0"/>
                <w:bCs/>
                <w:color w:val="auto"/>
                <w:szCs w:val="21"/>
                <w:highlight w:val="none"/>
                <w:lang w:val="en-US" w:eastAsia="zh-CN"/>
              </w:rPr>
              <w:t>1.6</w:t>
            </w:r>
          </w:p>
        </w:tc>
        <w:tc>
          <w:tcPr>
            <w:tcW w:w="699" w:type="pct"/>
            <w:tcBorders>
              <w:tl2br w:val="nil"/>
              <w:tr2bl w:val="nil"/>
            </w:tcBorders>
            <w:noWrap w:val="0"/>
            <w:vAlign w:val="center"/>
          </w:tcPr>
          <w:p w14:paraId="26CB3DEB">
            <w:pPr>
              <w:snapToGrid w:val="0"/>
              <w:jc w:val="center"/>
              <w:rPr>
                <w:rFonts w:hint="default" w:ascii="Times New Roman" w:hAnsi="Times New Roman" w:eastAsia="宋体"/>
                <w:b w:val="0"/>
                <w:bCs/>
                <w:color w:val="auto"/>
                <w:szCs w:val="21"/>
                <w:highlight w:val="none"/>
                <w:lang w:val="en-US" w:eastAsia="zh-CN"/>
              </w:rPr>
            </w:pPr>
            <w:r>
              <w:rPr>
                <w:rFonts w:hint="eastAsia" w:ascii="Times New Roman" w:hAnsi="Times New Roman" w:eastAsia="宋体"/>
                <w:b w:val="0"/>
                <w:bCs/>
                <w:color w:val="auto"/>
                <w:szCs w:val="21"/>
                <w:highlight w:val="none"/>
                <w:lang w:val="en-US" w:eastAsia="zh-CN"/>
              </w:rPr>
              <w:t>6.5</w:t>
            </w:r>
          </w:p>
        </w:tc>
        <w:tc>
          <w:tcPr>
            <w:tcW w:w="750" w:type="pct"/>
            <w:tcBorders>
              <w:tl2br w:val="nil"/>
              <w:tr2bl w:val="nil"/>
            </w:tcBorders>
            <w:noWrap w:val="0"/>
            <w:vAlign w:val="center"/>
          </w:tcPr>
          <w:p w14:paraId="0728F481">
            <w:pPr>
              <w:snapToGrid w:val="0"/>
              <w:jc w:val="center"/>
              <w:rPr>
                <w:rFonts w:hint="default" w:ascii="Times New Roman" w:hAnsi="Times New Roman" w:eastAsia="宋体"/>
                <w:b w:val="0"/>
                <w:bCs/>
                <w:color w:val="auto"/>
                <w:szCs w:val="21"/>
                <w:highlight w:val="none"/>
                <w:lang w:val="en-US" w:eastAsia="zh-CN"/>
              </w:rPr>
            </w:pPr>
            <w:r>
              <w:rPr>
                <w:rFonts w:hint="eastAsia" w:ascii="Times New Roman" w:hAnsi="Times New Roman" w:eastAsia="宋体"/>
                <w:b w:val="0"/>
                <w:bCs/>
                <w:color w:val="auto"/>
                <w:szCs w:val="21"/>
                <w:highlight w:val="none"/>
                <w:lang w:val="en-US" w:eastAsia="zh-CN"/>
              </w:rPr>
              <w:t>3.1</w:t>
            </w:r>
          </w:p>
        </w:tc>
        <w:tc>
          <w:tcPr>
            <w:tcW w:w="697" w:type="pct"/>
            <w:tcBorders>
              <w:tl2br w:val="nil"/>
              <w:tr2bl w:val="nil"/>
            </w:tcBorders>
            <w:noWrap w:val="0"/>
            <w:vAlign w:val="center"/>
          </w:tcPr>
          <w:p w14:paraId="0ABE2B0F">
            <w:pPr>
              <w:snapToGrid w:val="0"/>
              <w:jc w:val="center"/>
              <w:rPr>
                <w:rFonts w:hint="default" w:ascii="Times New Roman" w:hAnsi="Times New Roman" w:eastAsia="宋体"/>
                <w:b w:val="0"/>
                <w:bCs/>
                <w:color w:val="auto"/>
                <w:szCs w:val="21"/>
                <w:highlight w:val="none"/>
                <w:lang w:val="en-US" w:eastAsia="zh-CN"/>
              </w:rPr>
            </w:pPr>
            <w:r>
              <w:rPr>
                <w:rFonts w:hint="eastAsia" w:ascii="Times New Roman" w:hAnsi="Times New Roman" w:eastAsia="宋体"/>
                <w:b w:val="0"/>
                <w:bCs/>
                <w:color w:val="auto"/>
                <w:szCs w:val="21"/>
                <w:highlight w:val="none"/>
                <w:lang w:val="en-US" w:eastAsia="zh-CN"/>
              </w:rPr>
              <w:t>8.3</w:t>
            </w:r>
          </w:p>
        </w:tc>
        <w:tc>
          <w:tcPr>
            <w:tcW w:w="718" w:type="pct"/>
            <w:tcBorders>
              <w:tl2br w:val="nil"/>
              <w:tr2bl w:val="nil"/>
            </w:tcBorders>
            <w:noWrap w:val="0"/>
            <w:vAlign w:val="center"/>
          </w:tcPr>
          <w:p w14:paraId="51CE8891">
            <w:pPr>
              <w:snapToGrid w:val="0"/>
              <w:jc w:val="center"/>
              <w:rPr>
                <w:rFonts w:hint="default" w:ascii="Times New Roman" w:hAnsi="Times New Roman" w:eastAsia="宋体"/>
                <w:b w:val="0"/>
                <w:bCs/>
                <w:color w:val="auto"/>
                <w:szCs w:val="21"/>
                <w:highlight w:val="none"/>
                <w:lang w:val="en-US" w:eastAsia="zh-CN"/>
              </w:rPr>
            </w:pPr>
            <w:r>
              <w:rPr>
                <w:rFonts w:hint="eastAsia" w:ascii="Times New Roman" w:hAnsi="Times New Roman" w:eastAsia="宋体"/>
                <w:b w:val="0"/>
                <w:bCs/>
                <w:color w:val="auto"/>
                <w:szCs w:val="21"/>
                <w:highlight w:val="none"/>
                <w:lang w:val="en-US" w:eastAsia="zh-CN"/>
              </w:rPr>
              <w:t>3.0</w:t>
            </w:r>
          </w:p>
        </w:tc>
      </w:tr>
      <w:tr w14:paraId="59333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31001319">
            <w:pPr>
              <w:keepNext w:val="0"/>
              <w:keepLines w:val="0"/>
              <w:widowControl/>
              <w:suppressLineNumbers w:val="0"/>
              <w:jc w:val="center"/>
              <w:textAlignment w:val="center"/>
              <w:rPr>
                <w:rFonts w:hint="default" w:ascii="Times New Roman" w:hAnsi="Times New Roman" w:eastAsia="宋体" w:cs="Times New Roman"/>
                <w:color w:val="auto"/>
                <w:spacing w:val="2"/>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846" w:type="pct"/>
            <w:tcBorders>
              <w:tl2br w:val="nil"/>
              <w:tr2bl w:val="nil"/>
            </w:tcBorders>
            <w:noWrap w:val="0"/>
            <w:vAlign w:val="center"/>
          </w:tcPr>
          <w:p w14:paraId="4AF7B9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无量纲</w:t>
            </w:r>
          </w:p>
        </w:tc>
        <w:tc>
          <w:tcPr>
            <w:tcW w:w="615" w:type="pct"/>
            <w:tcBorders>
              <w:tl2br w:val="nil"/>
              <w:tr2bl w:val="nil"/>
            </w:tcBorders>
            <w:noWrap w:val="0"/>
            <w:vAlign w:val="center"/>
          </w:tcPr>
          <w:p w14:paraId="1A36CA14">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1"/>
                <w:szCs w:val="21"/>
                <w:highlight w:val="none"/>
                <w:vertAlign w:val="baseline"/>
                <w:lang w:val="en-US" w:eastAsia="zh-CN"/>
              </w:rPr>
              <w:t>7.</w:t>
            </w:r>
            <w:r>
              <w:rPr>
                <w:rFonts w:hint="eastAsia" w:ascii="Times New Roman" w:hAnsi="Times New Roman" w:eastAsia="宋体" w:cs="Times New Roman"/>
                <w:color w:val="auto"/>
                <w:sz w:val="21"/>
                <w:szCs w:val="21"/>
                <w:highlight w:val="none"/>
                <w:vertAlign w:val="baseline"/>
                <w:lang w:val="en-US" w:eastAsia="zh-CN"/>
              </w:rPr>
              <w:t>1</w:t>
            </w:r>
          </w:p>
        </w:tc>
        <w:tc>
          <w:tcPr>
            <w:tcW w:w="699" w:type="pct"/>
            <w:tcBorders>
              <w:tl2br w:val="nil"/>
              <w:tr2bl w:val="nil"/>
            </w:tcBorders>
            <w:noWrap w:val="0"/>
            <w:vAlign w:val="center"/>
          </w:tcPr>
          <w:p w14:paraId="7005A2F2">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1"/>
                <w:szCs w:val="21"/>
                <w:highlight w:val="none"/>
                <w:vertAlign w:val="baseline"/>
                <w:lang w:val="en-US" w:eastAsia="zh-CN"/>
              </w:rPr>
              <w:t>7.2</w:t>
            </w:r>
          </w:p>
        </w:tc>
        <w:tc>
          <w:tcPr>
            <w:tcW w:w="750" w:type="pct"/>
            <w:tcBorders>
              <w:tl2br w:val="nil"/>
              <w:tr2bl w:val="nil"/>
            </w:tcBorders>
            <w:noWrap w:val="0"/>
            <w:vAlign w:val="center"/>
          </w:tcPr>
          <w:p w14:paraId="37A77E91">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1"/>
                <w:szCs w:val="21"/>
                <w:highlight w:val="none"/>
                <w:vertAlign w:val="baseline"/>
                <w:lang w:val="en-US" w:eastAsia="zh-CN"/>
              </w:rPr>
              <w:t>7.</w:t>
            </w:r>
            <w:r>
              <w:rPr>
                <w:rFonts w:hint="eastAsia" w:ascii="Times New Roman" w:hAnsi="Times New Roman" w:eastAsia="宋体" w:cs="Times New Roman"/>
                <w:color w:val="auto"/>
                <w:sz w:val="21"/>
                <w:szCs w:val="21"/>
                <w:highlight w:val="none"/>
                <w:vertAlign w:val="baseline"/>
                <w:lang w:val="en-US" w:eastAsia="zh-CN"/>
              </w:rPr>
              <w:t>2</w:t>
            </w:r>
          </w:p>
        </w:tc>
        <w:tc>
          <w:tcPr>
            <w:tcW w:w="697" w:type="pct"/>
            <w:tcBorders>
              <w:tl2br w:val="nil"/>
              <w:tr2bl w:val="nil"/>
            </w:tcBorders>
            <w:noWrap w:val="0"/>
            <w:vAlign w:val="center"/>
          </w:tcPr>
          <w:p w14:paraId="40F0918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w:t>
            </w:r>
            <w:r>
              <w:rPr>
                <w:rFonts w:hint="eastAsia" w:ascii="Times New Roman" w:hAnsi="Times New Roman" w:eastAsia="宋体" w:cs="Times New Roman"/>
                <w:color w:val="auto"/>
                <w:sz w:val="21"/>
                <w:szCs w:val="21"/>
                <w:highlight w:val="none"/>
                <w:vertAlign w:val="baseline"/>
                <w:lang w:val="en-US" w:eastAsia="zh-CN"/>
              </w:rPr>
              <w:t>3</w:t>
            </w:r>
          </w:p>
        </w:tc>
        <w:tc>
          <w:tcPr>
            <w:tcW w:w="718" w:type="pct"/>
            <w:tcBorders>
              <w:tl2br w:val="nil"/>
              <w:tr2bl w:val="nil"/>
            </w:tcBorders>
            <w:noWrap w:val="0"/>
            <w:vAlign w:val="center"/>
          </w:tcPr>
          <w:p w14:paraId="76775B5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7.3</w:t>
            </w:r>
          </w:p>
        </w:tc>
      </w:tr>
      <w:tr w14:paraId="6B19A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57DB8216">
            <w:pPr>
              <w:keepNext w:val="0"/>
              <w:keepLines w:val="0"/>
              <w:widowControl/>
              <w:suppressLineNumbers w:val="0"/>
              <w:jc w:val="center"/>
              <w:textAlignment w:val="center"/>
              <w:rPr>
                <w:rFonts w:hint="default" w:ascii="Times New Roman" w:hAnsi="Times New Roman" w:eastAsia="宋体" w:cs="Times New Roman"/>
                <w:color w:val="auto"/>
                <w:spacing w:val="2"/>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总硬度</w:t>
            </w:r>
          </w:p>
        </w:tc>
        <w:tc>
          <w:tcPr>
            <w:tcW w:w="846" w:type="pct"/>
            <w:tcBorders>
              <w:tl2br w:val="nil"/>
              <w:tr2bl w:val="nil"/>
            </w:tcBorders>
            <w:noWrap w:val="0"/>
            <w:vAlign w:val="center"/>
          </w:tcPr>
          <w:p w14:paraId="627092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61DBDA9E">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342</w:t>
            </w:r>
          </w:p>
        </w:tc>
        <w:tc>
          <w:tcPr>
            <w:tcW w:w="699" w:type="pct"/>
            <w:tcBorders>
              <w:tl2br w:val="nil"/>
              <w:tr2bl w:val="nil"/>
            </w:tcBorders>
            <w:noWrap w:val="0"/>
            <w:vAlign w:val="center"/>
          </w:tcPr>
          <w:p w14:paraId="7994B620">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430</w:t>
            </w:r>
          </w:p>
        </w:tc>
        <w:tc>
          <w:tcPr>
            <w:tcW w:w="750" w:type="pct"/>
            <w:tcBorders>
              <w:tl2br w:val="nil"/>
              <w:tr2bl w:val="nil"/>
            </w:tcBorders>
            <w:noWrap w:val="0"/>
            <w:vAlign w:val="center"/>
          </w:tcPr>
          <w:p w14:paraId="3B120845">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422</w:t>
            </w:r>
          </w:p>
        </w:tc>
        <w:tc>
          <w:tcPr>
            <w:tcW w:w="697" w:type="pct"/>
            <w:tcBorders>
              <w:tl2br w:val="nil"/>
              <w:tr2bl w:val="nil"/>
            </w:tcBorders>
            <w:noWrap w:val="0"/>
            <w:vAlign w:val="center"/>
          </w:tcPr>
          <w:p w14:paraId="6780817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436</w:t>
            </w:r>
          </w:p>
        </w:tc>
        <w:tc>
          <w:tcPr>
            <w:tcW w:w="718" w:type="pct"/>
            <w:tcBorders>
              <w:tl2br w:val="nil"/>
              <w:tr2bl w:val="nil"/>
            </w:tcBorders>
            <w:noWrap w:val="0"/>
            <w:vAlign w:val="center"/>
          </w:tcPr>
          <w:p w14:paraId="6D2DE1E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269</w:t>
            </w:r>
          </w:p>
        </w:tc>
      </w:tr>
      <w:tr w14:paraId="134A6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2E20F7EE">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溶解性总固体</w:t>
            </w:r>
          </w:p>
        </w:tc>
        <w:tc>
          <w:tcPr>
            <w:tcW w:w="846" w:type="pct"/>
            <w:tcBorders>
              <w:tl2br w:val="nil"/>
              <w:tr2bl w:val="nil"/>
            </w:tcBorders>
            <w:noWrap w:val="0"/>
            <w:vAlign w:val="center"/>
          </w:tcPr>
          <w:p w14:paraId="6BC485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3EE9F309">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394</w:t>
            </w:r>
          </w:p>
        </w:tc>
        <w:tc>
          <w:tcPr>
            <w:tcW w:w="699" w:type="pct"/>
            <w:tcBorders>
              <w:tl2br w:val="nil"/>
              <w:tr2bl w:val="nil"/>
            </w:tcBorders>
            <w:noWrap w:val="0"/>
            <w:vAlign w:val="center"/>
          </w:tcPr>
          <w:p w14:paraId="6511A2EC">
            <w:pPr>
              <w:keepNext w:val="0"/>
              <w:keepLines w:val="0"/>
              <w:widowControl/>
              <w:suppressLineNumbers w:val="0"/>
              <w:jc w:val="center"/>
              <w:textAlignment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974</w:t>
            </w:r>
          </w:p>
        </w:tc>
        <w:tc>
          <w:tcPr>
            <w:tcW w:w="750" w:type="pct"/>
            <w:tcBorders>
              <w:tl2br w:val="nil"/>
              <w:tr2bl w:val="nil"/>
            </w:tcBorders>
            <w:noWrap w:val="0"/>
            <w:vAlign w:val="center"/>
          </w:tcPr>
          <w:p w14:paraId="1B718765">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737</w:t>
            </w:r>
          </w:p>
        </w:tc>
        <w:tc>
          <w:tcPr>
            <w:tcW w:w="697" w:type="pct"/>
            <w:tcBorders>
              <w:tl2br w:val="nil"/>
              <w:tr2bl w:val="nil"/>
            </w:tcBorders>
            <w:noWrap w:val="0"/>
            <w:vAlign w:val="center"/>
          </w:tcPr>
          <w:p w14:paraId="140DBBB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986</w:t>
            </w:r>
          </w:p>
        </w:tc>
        <w:tc>
          <w:tcPr>
            <w:tcW w:w="718" w:type="pct"/>
            <w:tcBorders>
              <w:tl2br w:val="nil"/>
              <w:tr2bl w:val="nil"/>
            </w:tcBorders>
            <w:noWrap w:val="0"/>
            <w:vAlign w:val="center"/>
          </w:tcPr>
          <w:p w14:paraId="1CCBB58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321</w:t>
            </w:r>
          </w:p>
        </w:tc>
      </w:tr>
      <w:tr w14:paraId="12A95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6C1DCFFC">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硫酸盐</w:t>
            </w:r>
          </w:p>
        </w:tc>
        <w:tc>
          <w:tcPr>
            <w:tcW w:w="846" w:type="pct"/>
            <w:tcBorders>
              <w:tl2br w:val="nil"/>
              <w:tr2bl w:val="nil"/>
            </w:tcBorders>
            <w:noWrap w:val="0"/>
            <w:vAlign w:val="center"/>
          </w:tcPr>
          <w:p w14:paraId="38C6DC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68872725">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19.2</w:t>
            </w:r>
          </w:p>
        </w:tc>
        <w:tc>
          <w:tcPr>
            <w:tcW w:w="699" w:type="pct"/>
            <w:tcBorders>
              <w:tl2br w:val="nil"/>
              <w:tr2bl w:val="nil"/>
            </w:tcBorders>
            <w:noWrap w:val="0"/>
            <w:vAlign w:val="center"/>
          </w:tcPr>
          <w:p w14:paraId="077B6211">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69.4</w:t>
            </w:r>
          </w:p>
        </w:tc>
        <w:tc>
          <w:tcPr>
            <w:tcW w:w="750" w:type="pct"/>
            <w:tcBorders>
              <w:tl2br w:val="nil"/>
              <w:tr2bl w:val="nil"/>
            </w:tcBorders>
            <w:noWrap w:val="0"/>
            <w:vAlign w:val="center"/>
          </w:tcPr>
          <w:p w14:paraId="0E215B89">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59.7</w:t>
            </w:r>
          </w:p>
        </w:tc>
        <w:tc>
          <w:tcPr>
            <w:tcW w:w="697" w:type="pct"/>
            <w:tcBorders>
              <w:tl2br w:val="nil"/>
              <w:tr2bl w:val="nil"/>
            </w:tcBorders>
            <w:noWrap w:val="0"/>
            <w:vAlign w:val="center"/>
          </w:tcPr>
          <w:p w14:paraId="05E9E7E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26.9</w:t>
            </w:r>
          </w:p>
        </w:tc>
        <w:tc>
          <w:tcPr>
            <w:tcW w:w="718" w:type="pct"/>
            <w:tcBorders>
              <w:tl2br w:val="nil"/>
              <w:tr2bl w:val="nil"/>
            </w:tcBorders>
            <w:noWrap w:val="0"/>
            <w:vAlign w:val="center"/>
          </w:tcPr>
          <w:p w14:paraId="29FCC68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39.2</w:t>
            </w:r>
          </w:p>
        </w:tc>
      </w:tr>
      <w:tr w14:paraId="7F0AF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41E5E27A">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氯化物</w:t>
            </w:r>
          </w:p>
        </w:tc>
        <w:tc>
          <w:tcPr>
            <w:tcW w:w="846" w:type="pct"/>
            <w:tcBorders>
              <w:tl2br w:val="nil"/>
              <w:tr2bl w:val="nil"/>
            </w:tcBorders>
            <w:noWrap w:val="0"/>
            <w:vAlign w:val="center"/>
          </w:tcPr>
          <w:p w14:paraId="43E78E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7C3BAC5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39.3</w:t>
            </w:r>
          </w:p>
        </w:tc>
        <w:tc>
          <w:tcPr>
            <w:tcW w:w="699" w:type="pct"/>
            <w:tcBorders>
              <w:tl2br w:val="nil"/>
              <w:tr2bl w:val="nil"/>
            </w:tcBorders>
            <w:noWrap w:val="0"/>
            <w:vAlign w:val="center"/>
          </w:tcPr>
          <w:p w14:paraId="638328BC">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76.3</w:t>
            </w:r>
          </w:p>
        </w:tc>
        <w:tc>
          <w:tcPr>
            <w:tcW w:w="750" w:type="pct"/>
            <w:tcBorders>
              <w:tl2br w:val="nil"/>
              <w:tr2bl w:val="nil"/>
            </w:tcBorders>
            <w:noWrap w:val="0"/>
            <w:vAlign w:val="center"/>
          </w:tcPr>
          <w:p w14:paraId="6F84CDAD">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148</w:t>
            </w:r>
          </w:p>
        </w:tc>
        <w:tc>
          <w:tcPr>
            <w:tcW w:w="697" w:type="pct"/>
            <w:tcBorders>
              <w:tl2br w:val="nil"/>
              <w:tr2bl w:val="nil"/>
            </w:tcBorders>
            <w:noWrap w:val="0"/>
            <w:vAlign w:val="center"/>
          </w:tcPr>
          <w:p w14:paraId="2C05358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49.8</w:t>
            </w:r>
          </w:p>
        </w:tc>
        <w:tc>
          <w:tcPr>
            <w:tcW w:w="718" w:type="pct"/>
            <w:tcBorders>
              <w:tl2br w:val="nil"/>
              <w:tr2bl w:val="nil"/>
            </w:tcBorders>
            <w:noWrap w:val="0"/>
            <w:vAlign w:val="center"/>
          </w:tcPr>
          <w:p w14:paraId="7BDB358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28.2</w:t>
            </w:r>
          </w:p>
        </w:tc>
      </w:tr>
      <w:tr w14:paraId="6E298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706D5706">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铁</w:t>
            </w:r>
          </w:p>
        </w:tc>
        <w:tc>
          <w:tcPr>
            <w:tcW w:w="846" w:type="pct"/>
            <w:tcBorders>
              <w:tl2br w:val="nil"/>
              <w:tr2bl w:val="nil"/>
            </w:tcBorders>
            <w:noWrap w:val="0"/>
            <w:vAlign w:val="center"/>
          </w:tcPr>
          <w:p w14:paraId="6C547F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10E88F7E">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0.19</w:t>
            </w:r>
          </w:p>
        </w:tc>
        <w:tc>
          <w:tcPr>
            <w:tcW w:w="699" w:type="pct"/>
            <w:tcBorders>
              <w:tl2br w:val="nil"/>
              <w:tr2bl w:val="nil"/>
            </w:tcBorders>
            <w:noWrap w:val="0"/>
            <w:vAlign w:val="center"/>
          </w:tcPr>
          <w:p w14:paraId="6AD8F081">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0.19</w:t>
            </w:r>
          </w:p>
        </w:tc>
        <w:tc>
          <w:tcPr>
            <w:tcW w:w="750" w:type="pct"/>
            <w:tcBorders>
              <w:tl2br w:val="nil"/>
              <w:tr2bl w:val="nil"/>
            </w:tcBorders>
            <w:noWrap w:val="0"/>
            <w:vAlign w:val="center"/>
          </w:tcPr>
          <w:p w14:paraId="064BED1F">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024</w:t>
            </w:r>
          </w:p>
        </w:tc>
        <w:tc>
          <w:tcPr>
            <w:tcW w:w="697" w:type="pct"/>
            <w:tcBorders>
              <w:tl2br w:val="nil"/>
              <w:tr2bl w:val="nil"/>
            </w:tcBorders>
            <w:noWrap w:val="0"/>
            <w:vAlign w:val="center"/>
          </w:tcPr>
          <w:p w14:paraId="06F7ECD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0.21</w:t>
            </w:r>
          </w:p>
        </w:tc>
        <w:tc>
          <w:tcPr>
            <w:tcW w:w="718" w:type="pct"/>
            <w:tcBorders>
              <w:tl2br w:val="nil"/>
              <w:tr2bl w:val="nil"/>
            </w:tcBorders>
            <w:noWrap w:val="0"/>
            <w:vAlign w:val="center"/>
          </w:tcPr>
          <w:p w14:paraId="54102B4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0.16</w:t>
            </w:r>
          </w:p>
        </w:tc>
      </w:tr>
      <w:tr w14:paraId="49261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61E4EF9C">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锰</w:t>
            </w:r>
          </w:p>
        </w:tc>
        <w:tc>
          <w:tcPr>
            <w:tcW w:w="846" w:type="pct"/>
            <w:tcBorders>
              <w:tl2br w:val="nil"/>
              <w:tr2bl w:val="nil"/>
            </w:tcBorders>
            <w:noWrap w:val="0"/>
            <w:vAlign w:val="center"/>
          </w:tcPr>
          <w:p w14:paraId="40930B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546C66F1">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w:t>
            </w:r>
            <w:r>
              <w:rPr>
                <w:rFonts w:hint="eastAsia" w:ascii="Times New Roman" w:hAnsi="Times New Roman" w:eastAsia="宋体" w:cs="Times New Roman"/>
                <w:color w:val="auto"/>
                <w:kern w:val="2"/>
                <w:sz w:val="21"/>
                <w:szCs w:val="21"/>
                <w:highlight w:val="none"/>
                <w:vertAlign w:val="baseline"/>
                <w:lang w:val="en-US" w:eastAsia="zh-CN" w:bidi="ar-SA"/>
              </w:rPr>
              <w:t>1</w:t>
            </w:r>
            <w:r>
              <w:rPr>
                <w:rFonts w:hint="default" w:ascii="Times New Roman" w:hAnsi="Times New Roman" w:eastAsia="宋体" w:cs="Times New Roman"/>
                <w:color w:val="auto"/>
                <w:kern w:val="2"/>
                <w:sz w:val="21"/>
                <w:szCs w:val="21"/>
                <w:highlight w:val="none"/>
                <w:vertAlign w:val="baseline"/>
                <w:lang w:val="en-US" w:eastAsia="zh-CN" w:bidi="ar-SA"/>
              </w:rPr>
              <w:t>L</w:t>
            </w:r>
          </w:p>
        </w:tc>
        <w:tc>
          <w:tcPr>
            <w:tcW w:w="699" w:type="pct"/>
            <w:tcBorders>
              <w:tl2br w:val="nil"/>
              <w:tr2bl w:val="nil"/>
            </w:tcBorders>
            <w:noWrap w:val="0"/>
            <w:vAlign w:val="center"/>
          </w:tcPr>
          <w:p w14:paraId="72203D75">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w:t>
            </w:r>
            <w:r>
              <w:rPr>
                <w:rFonts w:hint="eastAsia" w:ascii="Times New Roman" w:hAnsi="Times New Roman" w:eastAsia="宋体" w:cs="Times New Roman"/>
                <w:color w:val="auto"/>
                <w:kern w:val="2"/>
                <w:sz w:val="21"/>
                <w:szCs w:val="21"/>
                <w:highlight w:val="none"/>
                <w:vertAlign w:val="baseline"/>
                <w:lang w:val="en-US" w:eastAsia="zh-CN" w:bidi="ar-SA"/>
              </w:rPr>
              <w:t>1</w:t>
            </w:r>
          </w:p>
        </w:tc>
        <w:tc>
          <w:tcPr>
            <w:tcW w:w="750" w:type="pct"/>
            <w:tcBorders>
              <w:tl2br w:val="nil"/>
              <w:tr2bl w:val="nil"/>
            </w:tcBorders>
            <w:noWrap w:val="0"/>
            <w:vAlign w:val="center"/>
          </w:tcPr>
          <w:p w14:paraId="628165D6">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w:t>
            </w:r>
            <w:r>
              <w:rPr>
                <w:rFonts w:hint="eastAsia" w:ascii="Times New Roman" w:hAnsi="Times New Roman" w:eastAsia="宋体" w:cs="Times New Roman"/>
                <w:color w:val="auto"/>
                <w:kern w:val="2"/>
                <w:sz w:val="21"/>
                <w:szCs w:val="21"/>
                <w:highlight w:val="none"/>
                <w:vertAlign w:val="baseline"/>
                <w:lang w:val="en-US" w:eastAsia="zh-CN" w:bidi="ar-SA"/>
              </w:rPr>
              <w:t>1</w:t>
            </w:r>
          </w:p>
        </w:tc>
        <w:tc>
          <w:tcPr>
            <w:tcW w:w="697" w:type="pct"/>
            <w:tcBorders>
              <w:tl2br w:val="nil"/>
              <w:tr2bl w:val="nil"/>
            </w:tcBorders>
            <w:noWrap w:val="0"/>
            <w:vAlign w:val="center"/>
          </w:tcPr>
          <w:p w14:paraId="74B0DCD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0.0</w:t>
            </w:r>
            <w:r>
              <w:rPr>
                <w:rFonts w:hint="eastAsia" w:ascii="Times New Roman" w:hAnsi="Times New Roman" w:eastAsia="宋体" w:cs="Times New Roman"/>
                <w:color w:val="auto"/>
                <w:kern w:val="2"/>
                <w:sz w:val="21"/>
                <w:szCs w:val="21"/>
                <w:highlight w:val="none"/>
                <w:vertAlign w:val="baseline"/>
                <w:lang w:val="en-US" w:eastAsia="zh-CN" w:bidi="ar-SA"/>
              </w:rPr>
              <w:t>1</w:t>
            </w:r>
          </w:p>
        </w:tc>
        <w:tc>
          <w:tcPr>
            <w:tcW w:w="718" w:type="pct"/>
            <w:tcBorders>
              <w:tl2br w:val="nil"/>
              <w:tr2bl w:val="nil"/>
            </w:tcBorders>
            <w:noWrap w:val="0"/>
            <w:vAlign w:val="center"/>
          </w:tcPr>
          <w:p w14:paraId="1B2C533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0.0</w:t>
            </w:r>
            <w:r>
              <w:rPr>
                <w:rFonts w:hint="eastAsia" w:ascii="Times New Roman" w:hAnsi="Times New Roman" w:eastAsia="宋体" w:cs="Times New Roman"/>
                <w:color w:val="auto"/>
                <w:kern w:val="2"/>
                <w:sz w:val="21"/>
                <w:szCs w:val="21"/>
                <w:highlight w:val="none"/>
                <w:vertAlign w:val="baseline"/>
                <w:lang w:val="en-US" w:eastAsia="zh-CN" w:bidi="ar-SA"/>
              </w:rPr>
              <w:t>1</w:t>
            </w:r>
            <w:r>
              <w:rPr>
                <w:rFonts w:hint="default" w:ascii="Times New Roman" w:hAnsi="Times New Roman" w:eastAsia="宋体" w:cs="Times New Roman"/>
                <w:color w:val="auto"/>
                <w:kern w:val="2"/>
                <w:sz w:val="21"/>
                <w:szCs w:val="21"/>
                <w:highlight w:val="none"/>
                <w:vertAlign w:val="baseline"/>
                <w:lang w:val="en-US" w:eastAsia="zh-CN" w:bidi="ar-SA"/>
              </w:rPr>
              <w:t>L</w:t>
            </w:r>
          </w:p>
        </w:tc>
      </w:tr>
      <w:tr w14:paraId="458E2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0D075CF6">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挥发性酚类</w:t>
            </w:r>
          </w:p>
        </w:tc>
        <w:tc>
          <w:tcPr>
            <w:tcW w:w="846" w:type="pct"/>
            <w:tcBorders>
              <w:tl2br w:val="nil"/>
              <w:tr2bl w:val="nil"/>
            </w:tcBorders>
            <w:noWrap w:val="0"/>
            <w:vAlign w:val="center"/>
          </w:tcPr>
          <w:p w14:paraId="178219A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456CB758">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0.0003L</w:t>
            </w:r>
          </w:p>
        </w:tc>
        <w:tc>
          <w:tcPr>
            <w:tcW w:w="699" w:type="pct"/>
            <w:tcBorders>
              <w:tl2br w:val="nil"/>
              <w:tr2bl w:val="nil"/>
            </w:tcBorders>
            <w:noWrap w:val="0"/>
            <w:vAlign w:val="center"/>
          </w:tcPr>
          <w:p w14:paraId="7BEE1114">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50" w:type="pct"/>
            <w:tcBorders>
              <w:tl2br w:val="nil"/>
              <w:tr2bl w:val="nil"/>
            </w:tcBorders>
            <w:noWrap w:val="0"/>
            <w:vAlign w:val="center"/>
          </w:tcPr>
          <w:p w14:paraId="7C0EE448">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7" w:type="pct"/>
            <w:tcBorders>
              <w:tl2br w:val="nil"/>
              <w:tr2bl w:val="nil"/>
            </w:tcBorders>
            <w:noWrap w:val="0"/>
            <w:vAlign w:val="center"/>
          </w:tcPr>
          <w:p w14:paraId="7637B35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18" w:type="pct"/>
            <w:tcBorders>
              <w:tl2br w:val="nil"/>
              <w:tr2bl w:val="nil"/>
            </w:tcBorders>
            <w:noWrap w:val="0"/>
            <w:vAlign w:val="center"/>
          </w:tcPr>
          <w:p w14:paraId="09F44DF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r>
      <w:tr w14:paraId="4C175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5627ECFD">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耗氧量（以O</w:t>
            </w:r>
            <w:r>
              <w:rPr>
                <w:rFonts w:hint="default" w:ascii="Times New Roman" w:hAnsi="Times New Roman" w:cs="Times New Roman"/>
                <w:color w:val="auto"/>
                <w:szCs w:val="21"/>
                <w:highlight w:val="none"/>
                <w:vertAlign w:val="subscript"/>
                <w:lang w:val="en-US" w:eastAsia="zh-CN"/>
              </w:rPr>
              <w:t>2</w:t>
            </w:r>
            <w:r>
              <w:rPr>
                <w:rFonts w:hint="default" w:ascii="Times New Roman" w:hAnsi="Times New Roman" w:cs="Times New Roman"/>
                <w:color w:val="auto"/>
                <w:szCs w:val="21"/>
                <w:highlight w:val="none"/>
                <w:lang w:val="en-US" w:eastAsia="zh-CN"/>
              </w:rPr>
              <w:t>计）</w:t>
            </w:r>
          </w:p>
        </w:tc>
        <w:tc>
          <w:tcPr>
            <w:tcW w:w="846" w:type="pct"/>
            <w:tcBorders>
              <w:tl2br w:val="nil"/>
              <w:tr2bl w:val="nil"/>
            </w:tcBorders>
            <w:noWrap w:val="0"/>
            <w:vAlign w:val="center"/>
          </w:tcPr>
          <w:p w14:paraId="2A91FB52">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228ECC20">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00</w:t>
            </w:r>
          </w:p>
        </w:tc>
        <w:tc>
          <w:tcPr>
            <w:tcW w:w="699" w:type="pct"/>
            <w:tcBorders>
              <w:tl2br w:val="nil"/>
              <w:tr2bl w:val="nil"/>
            </w:tcBorders>
            <w:noWrap w:val="0"/>
            <w:vAlign w:val="center"/>
          </w:tcPr>
          <w:p w14:paraId="27F2204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sz w:val="21"/>
                <w:szCs w:val="21"/>
                <w:highlight w:val="none"/>
                <w:vertAlign w:val="baseline"/>
                <w:lang w:val="en-US" w:eastAsia="zh-CN"/>
              </w:rPr>
              <w:t>0.80</w:t>
            </w:r>
          </w:p>
        </w:tc>
        <w:tc>
          <w:tcPr>
            <w:tcW w:w="750" w:type="pct"/>
            <w:tcBorders>
              <w:tl2br w:val="nil"/>
              <w:tr2bl w:val="nil"/>
            </w:tcBorders>
            <w:noWrap w:val="0"/>
            <w:vAlign w:val="center"/>
          </w:tcPr>
          <w:p w14:paraId="1F6CAE6A">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0.64</w:t>
            </w:r>
          </w:p>
        </w:tc>
        <w:tc>
          <w:tcPr>
            <w:tcW w:w="697" w:type="pct"/>
            <w:tcBorders>
              <w:tl2br w:val="nil"/>
              <w:tr2bl w:val="nil"/>
            </w:tcBorders>
            <w:noWrap w:val="0"/>
            <w:vAlign w:val="center"/>
          </w:tcPr>
          <w:p w14:paraId="5731010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0.88</w:t>
            </w:r>
          </w:p>
        </w:tc>
        <w:tc>
          <w:tcPr>
            <w:tcW w:w="718" w:type="pct"/>
            <w:tcBorders>
              <w:tl2br w:val="nil"/>
              <w:tr2bl w:val="nil"/>
            </w:tcBorders>
            <w:noWrap w:val="0"/>
            <w:vAlign w:val="center"/>
          </w:tcPr>
          <w:p w14:paraId="786D47B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1.00</w:t>
            </w:r>
          </w:p>
        </w:tc>
      </w:tr>
      <w:tr w14:paraId="1448E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345A945D">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氨氮</w:t>
            </w:r>
          </w:p>
        </w:tc>
        <w:tc>
          <w:tcPr>
            <w:tcW w:w="846" w:type="pct"/>
            <w:tcBorders>
              <w:tl2br w:val="nil"/>
              <w:tr2bl w:val="nil"/>
            </w:tcBorders>
            <w:noWrap w:val="0"/>
            <w:vAlign w:val="center"/>
          </w:tcPr>
          <w:p w14:paraId="48F81B2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1D371DC0">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0.025L</w:t>
            </w:r>
          </w:p>
        </w:tc>
        <w:tc>
          <w:tcPr>
            <w:tcW w:w="699" w:type="pct"/>
            <w:tcBorders>
              <w:tl2br w:val="nil"/>
              <w:tr2bl w:val="nil"/>
            </w:tcBorders>
            <w:noWrap w:val="0"/>
            <w:vAlign w:val="center"/>
          </w:tcPr>
          <w:p w14:paraId="2E7C27A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0.044</w:t>
            </w:r>
          </w:p>
        </w:tc>
        <w:tc>
          <w:tcPr>
            <w:tcW w:w="750" w:type="pct"/>
            <w:tcBorders>
              <w:tl2br w:val="nil"/>
              <w:tr2bl w:val="nil"/>
            </w:tcBorders>
            <w:noWrap w:val="0"/>
            <w:vAlign w:val="center"/>
          </w:tcPr>
          <w:p w14:paraId="67AE2C9C">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0.039</w:t>
            </w:r>
          </w:p>
        </w:tc>
        <w:tc>
          <w:tcPr>
            <w:tcW w:w="697" w:type="pct"/>
            <w:tcBorders>
              <w:tl2br w:val="nil"/>
              <w:tr2bl w:val="nil"/>
            </w:tcBorders>
            <w:noWrap w:val="0"/>
            <w:vAlign w:val="center"/>
          </w:tcPr>
          <w:p w14:paraId="2B0A48B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0.052</w:t>
            </w:r>
          </w:p>
        </w:tc>
        <w:tc>
          <w:tcPr>
            <w:tcW w:w="718" w:type="pct"/>
            <w:tcBorders>
              <w:tl2br w:val="nil"/>
              <w:tr2bl w:val="nil"/>
            </w:tcBorders>
            <w:noWrap w:val="0"/>
            <w:vAlign w:val="center"/>
          </w:tcPr>
          <w:p w14:paraId="25B0005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0.033</w:t>
            </w:r>
          </w:p>
        </w:tc>
      </w:tr>
      <w:tr w14:paraId="0FB7A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31276D89">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 w:val="21"/>
                <w:szCs w:val="21"/>
                <w:highlight w:val="none"/>
                <w:vertAlign w:val="baseline"/>
                <w:lang w:val="en-US" w:eastAsia="zh-CN"/>
              </w:rPr>
              <w:t>钾</w:t>
            </w:r>
          </w:p>
        </w:tc>
        <w:tc>
          <w:tcPr>
            <w:tcW w:w="846" w:type="pct"/>
            <w:tcBorders>
              <w:tl2br w:val="nil"/>
              <w:tr2bl w:val="nil"/>
            </w:tcBorders>
            <w:noWrap w:val="0"/>
            <w:vAlign w:val="center"/>
          </w:tcPr>
          <w:p w14:paraId="226167A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233BD38C">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0.82</w:t>
            </w:r>
          </w:p>
        </w:tc>
        <w:tc>
          <w:tcPr>
            <w:tcW w:w="699" w:type="pct"/>
            <w:tcBorders>
              <w:tl2br w:val="nil"/>
              <w:tr2bl w:val="nil"/>
            </w:tcBorders>
            <w:noWrap w:val="0"/>
            <w:vAlign w:val="center"/>
          </w:tcPr>
          <w:p w14:paraId="65E5AF04">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1.49</w:t>
            </w:r>
          </w:p>
        </w:tc>
        <w:tc>
          <w:tcPr>
            <w:tcW w:w="750" w:type="pct"/>
            <w:tcBorders>
              <w:tl2br w:val="nil"/>
              <w:tr2bl w:val="nil"/>
            </w:tcBorders>
            <w:noWrap w:val="0"/>
            <w:vAlign w:val="center"/>
          </w:tcPr>
          <w:p w14:paraId="4F1E91F4">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1.02</w:t>
            </w:r>
          </w:p>
        </w:tc>
        <w:tc>
          <w:tcPr>
            <w:tcW w:w="697" w:type="pct"/>
            <w:tcBorders>
              <w:tl2br w:val="nil"/>
              <w:tr2bl w:val="nil"/>
            </w:tcBorders>
            <w:noWrap w:val="0"/>
            <w:vAlign w:val="center"/>
          </w:tcPr>
          <w:p w14:paraId="06E6F23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66.3</w:t>
            </w:r>
          </w:p>
        </w:tc>
        <w:tc>
          <w:tcPr>
            <w:tcW w:w="718" w:type="pct"/>
            <w:tcBorders>
              <w:tl2br w:val="nil"/>
              <w:tr2bl w:val="nil"/>
            </w:tcBorders>
            <w:noWrap w:val="0"/>
            <w:vAlign w:val="center"/>
          </w:tcPr>
          <w:p w14:paraId="0DA4569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0.96</w:t>
            </w:r>
          </w:p>
        </w:tc>
      </w:tr>
      <w:tr w14:paraId="688EA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2F519E86">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 w:val="21"/>
                <w:szCs w:val="21"/>
                <w:highlight w:val="none"/>
                <w:vertAlign w:val="baseline"/>
                <w:lang w:val="en-US" w:eastAsia="zh-CN"/>
              </w:rPr>
              <w:t>钠</w:t>
            </w:r>
          </w:p>
        </w:tc>
        <w:tc>
          <w:tcPr>
            <w:tcW w:w="846" w:type="pct"/>
            <w:tcBorders>
              <w:tl2br w:val="nil"/>
              <w:tr2bl w:val="nil"/>
            </w:tcBorders>
            <w:noWrap w:val="0"/>
            <w:vAlign w:val="center"/>
          </w:tcPr>
          <w:p w14:paraId="2029EED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48B2D117">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40.2</w:t>
            </w:r>
          </w:p>
        </w:tc>
        <w:tc>
          <w:tcPr>
            <w:tcW w:w="699" w:type="pct"/>
            <w:tcBorders>
              <w:tl2br w:val="nil"/>
              <w:tr2bl w:val="nil"/>
            </w:tcBorders>
            <w:noWrap w:val="0"/>
            <w:vAlign w:val="center"/>
          </w:tcPr>
          <w:p w14:paraId="671C54AA">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53.8</w:t>
            </w:r>
          </w:p>
        </w:tc>
        <w:tc>
          <w:tcPr>
            <w:tcW w:w="750" w:type="pct"/>
            <w:tcBorders>
              <w:tl2br w:val="nil"/>
              <w:tr2bl w:val="nil"/>
            </w:tcBorders>
            <w:noWrap w:val="0"/>
            <w:vAlign w:val="center"/>
          </w:tcPr>
          <w:p w14:paraId="099DEAE7">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83.2</w:t>
            </w:r>
          </w:p>
        </w:tc>
        <w:tc>
          <w:tcPr>
            <w:tcW w:w="697" w:type="pct"/>
            <w:tcBorders>
              <w:tl2br w:val="nil"/>
              <w:tr2bl w:val="nil"/>
            </w:tcBorders>
            <w:noWrap w:val="0"/>
            <w:vAlign w:val="center"/>
          </w:tcPr>
          <w:p w14:paraId="2ABCFD1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135</w:t>
            </w:r>
          </w:p>
        </w:tc>
        <w:tc>
          <w:tcPr>
            <w:tcW w:w="718" w:type="pct"/>
            <w:tcBorders>
              <w:tl2br w:val="nil"/>
              <w:tr2bl w:val="nil"/>
            </w:tcBorders>
            <w:noWrap w:val="0"/>
            <w:vAlign w:val="center"/>
          </w:tcPr>
          <w:p w14:paraId="05A6196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46.5</w:t>
            </w:r>
          </w:p>
        </w:tc>
      </w:tr>
      <w:tr w14:paraId="4E76D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12191B7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铜</w:t>
            </w:r>
          </w:p>
        </w:tc>
        <w:tc>
          <w:tcPr>
            <w:tcW w:w="846" w:type="pct"/>
            <w:tcBorders>
              <w:tl2br w:val="nil"/>
              <w:tr2bl w:val="nil"/>
            </w:tcBorders>
            <w:noWrap w:val="0"/>
            <w:vAlign w:val="center"/>
          </w:tcPr>
          <w:p w14:paraId="0A5466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54DAECF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9" w:type="pct"/>
            <w:tcBorders>
              <w:tl2br w:val="nil"/>
              <w:tr2bl w:val="nil"/>
            </w:tcBorders>
            <w:noWrap w:val="0"/>
            <w:vAlign w:val="center"/>
          </w:tcPr>
          <w:p w14:paraId="5449AD9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50" w:type="pct"/>
            <w:tcBorders>
              <w:tl2br w:val="nil"/>
              <w:tr2bl w:val="nil"/>
            </w:tcBorders>
            <w:noWrap w:val="0"/>
            <w:vAlign w:val="center"/>
          </w:tcPr>
          <w:p w14:paraId="0DE4B36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7" w:type="pct"/>
            <w:tcBorders>
              <w:tl2br w:val="nil"/>
              <w:tr2bl w:val="nil"/>
            </w:tcBorders>
            <w:noWrap w:val="0"/>
            <w:vAlign w:val="center"/>
          </w:tcPr>
          <w:p w14:paraId="6AAD647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18" w:type="pct"/>
            <w:tcBorders>
              <w:tl2br w:val="nil"/>
              <w:tr2bl w:val="nil"/>
            </w:tcBorders>
            <w:noWrap w:val="0"/>
            <w:vAlign w:val="center"/>
          </w:tcPr>
          <w:p w14:paraId="1488F2D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r>
      <w:tr w14:paraId="00867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04A2485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锌</w:t>
            </w:r>
          </w:p>
        </w:tc>
        <w:tc>
          <w:tcPr>
            <w:tcW w:w="846" w:type="pct"/>
            <w:tcBorders>
              <w:tl2br w:val="nil"/>
              <w:tr2bl w:val="nil"/>
            </w:tcBorders>
            <w:noWrap w:val="0"/>
            <w:vAlign w:val="center"/>
          </w:tcPr>
          <w:p w14:paraId="1CA676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5884497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c>
          <w:tcPr>
            <w:tcW w:w="699" w:type="pct"/>
            <w:tcBorders>
              <w:tl2br w:val="nil"/>
              <w:tr2bl w:val="nil"/>
            </w:tcBorders>
            <w:noWrap w:val="0"/>
            <w:vAlign w:val="center"/>
          </w:tcPr>
          <w:p w14:paraId="17C2D2C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c>
          <w:tcPr>
            <w:tcW w:w="750" w:type="pct"/>
            <w:tcBorders>
              <w:tl2br w:val="nil"/>
              <w:tr2bl w:val="nil"/>
            </w:tcBorders>
            <w:noWrap w:val="0"/>
            <w:vAlign w:val="center"/>
          </w:tcPr>
          <w:p w14:paraId="4A2FEA9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c>
          <w:tcPr>
            <w:tcW w:w="697" w:type="pct"/>
            <w:tcBorders>
              <w:tl2br w:val="nil"/>
              <w:tr2bl w:val="nil"/>
            </w:tcBorders>
            <w:noWrap w:val="0"/>
            <w:vAlign w:val="center"/>
          </w:tcPr>
          <w:p w14:paraId="59A0224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c>
          <w:tcPr>
            <w:tcW w:w="718" w:type="pct"/>
            <w:tcBorders>
              <w:tl2br w:val="nil"/>
              <w:tr2bl w:val="nil"/>
            </w:tcBorders>
            <w:noWrap w:val="0"/>
            <w:vAlign w:val="center"/>
          </w:tcPr>
          <w:p w14:paraId="19D91CE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r>
      <w:tr w14:paraId="2BDB3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75720F24">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总大肠菌群</w:t>
            </w:r>
          </w:p>
        </w:tc>
        <w:tc>
          <w:tcPr>
            <w:tcW w:w="846" w:type="pct"/>
            <w:tcBorders>
              <w:tl2br w:val="nil"/>
              <w:tr2bl w:val="nil"/>
            </w:tcBorders>
            <w:noWrap w:val="0"/>
            <w:vAlign w:val="center"/>
          </w:tcPr>
          <w:p w14:paraId="1C9A26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MPN/100ml</w:t>
            </w:r>
          </w:p>
        </w:tc>
        <w:tc>
          <w:tcPr>
            <w:tcW w:w="615" w:type="pct"/>
            <w:tcBorders>
              <w:tl2br w:val="nil"/>
              <w:tr2bl w:val="nil"/>
            </w:tcBorders>
            <w:noWrap w:val="0"/>
            <w:vAlign w:val="center"/>
          </w:tcPr>
          <w:p w14:paraId="451C5974">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kern w:val="2"/>
                <w:sz w:val="21"/>
                <w:szCs w:val="21"/>
                <w:highlight w:val="none"/>
                <w:vertAlign w:val="baseline"/>
                <w:lang w:val="en-US" w:eastAsia="zh-CN" w:bidi="ar-SA"/>
              </w:rPr>
              <w:t>2</w:t>
            </w:r>
          </w:p>
        </w:tc>
        <w:tc>
          <w:tcPr>
            <w:tcW w:w="699" w:type="pct"/>
            <w:tcBorders>
              <w:tl2br w:val="nil"/>
              <w:tr2bl w:val="nil"/>
            </w:tcBorders>
            <w:noWrap w:val="0"/>
            <w:vAlign w:val="center"/>
          </w:tcPr>
          <w:p w14:paraId="6A2D1BEF">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kern w:val="2"/>
                <w:sz w:val="21"/>
                <w:szCs w:val="21"/>
                <w:highlight w:val="none"/>
                <w:vertAlign w:val="baseline"/>
                <w:lang w:val="en-US" w:eastAsia="zh-CN" w:bidi="ar-SA"/>
              </w:rPr>
              <w:t>2</w:t>
            </w:r>
          </w:p>
        </w:tc>
        <w:tc>
          <w:tcPr>
            <w:tcW w:w="750" w:type="pct"/>
            <w:tcBorders>
              <w:tl2br w:val="nil"/>
              <w:tr2bl w:val="nil"/>
            </w:tcBorders>
            <w:noWrap w:val="0"/>
            <w:vAlign w:val="center"/>
          </w:tcPr>
          <w:p w14:paraId="7C47300C">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7" w:type="pct"/>
            <w:tcBorders>
              <w:tl2br w:val="nil"/>
              <w:tr2bl w:val="nil"/>
            </w:tcBorders>
            <w:noWrap w:val="0"/>
            <w:vAlign w:val="center"/>
          </w:tcPr>
          <w:p w14:paraId="1F86E1C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18" w:type="pct"/>
            <w:tcBorders>
              <w:tl2br w:val="nil"/>
              <w:tr2bl w:val="nil"/>
            </w:tcBorders>
            <w:noWrap w:val="0"/>
            <w:vAlign w:val="center"/>
          </w:tcPr>
          <w:p w14:paraId="5FBCB93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r>
      <w:tr w14:paraId="6B20A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54585F5E">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亚硝酸盐</w:t>
            </w:r>
          </w:p>
        </w:tc>
        <w:tc>
          <w:tcPr>
            <w:tcW w:w="846" w:type="pct"/>
            <w:tcBorders>
              <w:tl2br w:val="nil"/>
              <w:tr2bl w:val="nil"/>
            </w:tcBorders>
            <w:noWrap w:val="0"/>
            <w:vAlign w:val="center"/>
          </w:tcPr>
          <w:p w14:paraId="17B841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3B98DFDC">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9" w:type="pct"/>
            <w:tcBorders>
              <w:tl2br w:val="nil"/>
              <w:tr2bl w:val="nil"/>
            </w:tcBorders>
            <w:noWrap w:val="0"/>
            <w:vAlign w:val="center"/>
          </w:tcPr>
          <w:p w14:paraId="0FB5C8A4">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50" w:type="pct"/>
            <w:tcBorders>
              <w:tl2br w:val="nil"/>
              <w:tr2bl w:val="nil"/>
            </w:tcBorders>
            <w:noWrap w:val="0"/>
            <w:vAlign w:val="center"/>
          </w:tcPr>
          <w:p w14:paraId="1FFF44CE">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7" w:type="pct"/>
            <w:tcBorders>
              <w:tl2br w:val="nil"/>
              <w:tr2bl w:val="nil"/>
            </w:tcBorders>
            <w:noWrap w:val="0"/>
            <w:vAlign w:val="center"/>
          </w:tcPr>
          <w:p w14:paraId="3B69E0B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18" w:type="pct"/>
            <w:tcBorders>
              <w:tl2br w:val="nil"/>
              <w:tr2bl w:val="nil"/>
            </w:tcBorders>
            <w:noWrap w:val="0"/>
            <w:vAlign w:val="center"/>
          </w:tcPr>
          <w:p w14:paraId="75ABCF6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r>
      <w:tr w14:paraId="57DDF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15812BE5">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硝酸盐</w:t>
            </w:r>
          </w:p>
        </w:tc>
        <w:tc>
          <w:tcPr>
            <w:tcW w:w="846" w:type="pct"/>
            <w:tcBorders>
              <w:tl2br w:val="nil"/>
              <w:tr2bl w:val="nil"/>
            </w:tcBorders>
            <w:noWrap w:val="0"/>
            <w:vAlign w:val="center"/>
          </w:tcPr>
          <w:p w14:paraId="6B9E18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72755788">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9" w:type="pct"/>
            <w:tcBorders>
              <w:tl2br w:val="nil"/>
              <w:tr2bl w:val="nil"/>
            </w:tcBorders>
            <w:noWrap w:val="0"/>
            <w:vAlign w:val="center"/>
          </w:tcPr>
          <w:p w14:paraId="57F82427">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6.89</w:t>
            </w:r>
          </w:p>
        </w:tc>
        <w:tc>
          <w:tcPr>
            <w:tcW w:w="750" w:type="pct"/>
            <w:tcBorders>
              <w:tl2br w:val="nil"/>
              <w:tr2bl w:val="nil"/>
            </w:tcBorders>
            <w:noWrap w:val="0"/>
            <w:vAlign w:val="center"/>
          </w:tcPr>
          <w:p w14:paraId="0D8B4EEC">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7.65</w:t>
            </w:r>
          </w:p>
        </w:tc>
        <w:tc>
          <w:tcPr>
            <w:tcW w:w="697" w:type="pct"/>
            <w:tcBorders>
              <w:tl2br w:val="nil"/>
              <w:tr2bl w:val="nil"/>
            </w:tcBorders>
            <w:noWrap w:val="0"/>
            <w:vAlign w:val="center"/>
          </w:tcPr>
          <w:p w14:paraId="4B93A8A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7.65</w:t>
            </w:r>
          </w:p>
        </w:tc>
        <w:tc>
          <w:tcPr>
            <w:tcW w:w="718" w:type="pct"/>
            <w:tcBorders>
              <w:tl2br w:val="nil"/>
              <w:tr2bl w:val="nil"/>
            </w:tcBorders>
            <w:noWrap w:val="0"/>
            <w:vAlign w:val="center"/>
          </w:tcPr>
          <w:p w14:paraId="2749A08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1.20</w:t>
            </w:r>
          </w:p>
        </w:tc>
      </w:tr>
      <w:tr w14:paraId="597BF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4AF893F5">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总氰化物</w:t>
            </w:r>
          </w:p>
        </w:tc>
        <w:tc>
          <w:tcPr>
            <w:tcW w:w="846" w:type="pct"/>
            <w:tcBorders>
              <w:tl2br w:val="nil"/>
              <w:tr2bl w:val="nil"/>
            </w:tcBorders>
            <w:noWrap w:val="0"/>
            <w:vAlign w:val="center"/>
          </w:tcPr>
          <w:p w14:paraId="0CBF2C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1CE8DC78">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c>
          <w:tcPr>
            <w:tcW w:w="699" w:type="pct"/>
            <w:tcBorders>
              <w:tl2br w:val="nil"/>
              <w:tr2bl w:val="nil"/>
            </w:tcBorders>
            <w:noWrap w:val="0"/>
            <w:vAlign w:val="center"/>
          </w:tcPr>
          <w:p w14:paraId="29BF45A6">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c>
          <w:tcPr>
            <w:tcW w:w="750" w:type="pct"/>
            <w:tcBorders>
              <w:tl2br w:val="nil"/>
              <w:tr2bl w:val="nil"/>
            </w:tcBorders>
            <w:noWrap w:val="0"/>
            <w:vAlign w:val="center"/>
          </w:tcPr>
          <w:p w14:paraId="5CC7549C">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c>
          <w:tcPr>
            <w:tcW w:w="697" w:type="pct"/>
            <w:tcBorders>
              <w:tl2br w:val="nil"/>
              <w:tr2bl w:val="nil"/>
            </w:tcBorders>
            <w:noWrap w:val="0"/>
            <w:vAlign w:val="center"/>
          </w:tcPr>
          <w:p w14:paraId="1A2F37B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c>
          <w:tcPr>
            <w:tcW w:w="718" w:type="pct"/>
            <w:tcBorders>
              <w:tl2br w:val="nil"/>
              <w:tr2bl w:val="nil"/>
            </w:tcBorders>
            <w:noWrap w:val="0"/>
            <w:vAlign w:val="center"/>
          </w:tcPr>
          <w:p w14:paraId="1287C76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r>
      <w:tr w14:paraId="55E8D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4EE7C38D">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846" w:type="pct"/>
            <w:tcBorders>
              <w:tl2br w:val="nil"/>
              <w:tr2bl w:val="nil"/>
            </w:tcBorders>
            <w:noWrap w:val="0"/>
            <w:vAlign w:val="center"/>
          </w:tcPr>
          <w:p w14:paraId="7B0BD8F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573F9D66">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0.494</w:t>
            </w:r>
          </w:p>
        </w:tc>
        <w:tc>
          <w:tcPr>
            <w:tcW w:w="699" w:type="pct"/>
            <w:tcBorders>
              <w:tl2br w:val="nil"/>
              <w:tr2bl w:val="nil"/>
            </w:tcBorders>
            <w:noWrap w:val="0"/>
            <w:vAlign w:val="center"/>
          </w:tcPr>
          <w:p w14:paraId="76375634">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0.365</w:t>
            </w:r>
          </w:p>
        </w:tc>
        <w:tc>
          <w:tcPr>
            <w:tcW w:w="750" w:type="pct"/>
            <w:tcBorders>
              <w:tl2br w:val="nil"/>
              <w:tr2bl w:val="nil"/>
            </w:tcBorders>
            <w:noWrap w:val="0"/>
            <w:vAlign w:val="center"/>
          </w:tcPr>
          <w:p w14:paraId="3D2BD848">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0.427</w:t>
            </w:r>
          </w:p>
        </w:tc>
        <w:tc>
          <w:tcPr>
            <w:tcW w:w="697" w:type="pct"/>
            <w:tcBorders>
              <w:tl2br w:val="nil"/>
              <w:tr2bl w:val="nil"/>
            </w:tcBorders>
            <w:noWrap w:val="0"/>
            <w:vAlign w:val="center"/>
          </w:tcPr>
          <w:p w14:paraId="632270E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0.201</w:t>
            </w:r>
          </w:p>
        </w:tc>
        <w:tc>
          <w:tcPr>
            <w:tcW w:w="718" w:type="pct"/>
            <w:tcBorders>
              <w:tl2br w:val="nil"/>
              <w:tr2bl w:val="nil"/>
            </w:tcBorders>
            <w:noWrap w:val="0"/>
            <w:vAlign w:val="center"/>
          </w:tcPr>
          <w:p w14:paraId="31DEAB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0.464</w:t>
            </w:r>
          </w:p>
        </w:tc>
      </w:tr>
      <w:tr w14:paraId="009A6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48677620">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汞</w:t>
            </w:r>
          </w:p>
        </w:tc>
        <w:tc>
          <w:tcPr>
            <w:tcW w:w="846" w:type="pct"/>
            <w:tcBorders>
              <w:tl2br w:val="nil"/>
              <w:tr2bl w:val="nil"/>
            </w:tcBorders>
            <w:noWrap w:val="0"/>
            <w:vAlign w:val="center"/>
          </w:tcPr>
          <w:p w14:paraId="7038D92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µg/L</w:t>
            </w:r>
          </w:p>
        </w:tc>
        <w:tc>
          <w:tcPr>
            <w:tcW w:w="615" w:type="pct"/>
            <w:tcBorders>
              <w:tl2br w:val="nil"/>
              <w:tr2bl w:val="nil"/>
            </w:tcBorders>
            <w:noWrap w:val="0"/>
            <w:vAlign w:val="center"/>
          </w:tcPr>
          <w:p w14:paraId="674A0BC1">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9" w:type="pct"/>
            <w:tcBorders>
              <w:tl2br w:val="nil"/>
              <w:tr2bl w:val="nil"/>
            </w:tcBorders>
            <w:noWrap w:val="0"/>
            <w:vAlign w:val="center"/>
          </w:tcPr>
          <w:p w14:paraId="13F704F3">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50" w:type="pct"/>
            <w:tcBorders>
              <w:tl2br w:val="nil"/>
              <w:tr2bl w:val="nil"/>
            </w:tcBorders>
            <w:noWrap w:val="0"/>
            <w:vAlign w:val="center"/>
          </w:tcPr>
          <w:p w14:paraId="76982544">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7" w:type="pct"/>
            <w:tcBorders>
              <w:tl2br w:val="nil"/>
              <w:tr2bl w:val="nil"/>
            </w:tcBorders>
            <w:noWrap w:val="0"/>
            <w:vAlign w:val="center"/>
          </w:tcPr>
          <w:p w14:paraId="5A1E90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18" w:type="pct"/>
            <w:tcBorders>
              <w:tl2br w:val="nil"/>
              <w:tr2bl w:val="nil"/>
            </w:tcBorders>
            <w:noWrap w:val="0"/>
            <w:vAlign w:val="center"/>
          </w:tcPr>
          <w:p w14:paraId="626B22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vertAlign w:val="baseline"/>
                <w:lang w:val="en-US" w:eastAsia="zh-CN" w:bidi="ar-SA"/>
              </w:rPr>
              <w:t>ND</w:t>
            </w:r>
          </w:p>
        </w:tc>
      </w:tr>
      <w:tr w14:paraId="392DB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190A6596">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砷</w:t>
            </w:r>
          </w:p>
        </w:tc>
        <w:tc>
          <w:tcPr>
            <w:tcW w:w="846" w:type="pct"/>
            <w:tcBorders>
              <w:tl2br w:val="nil"/>
              <w:tr2bl w:val="nil"/>
            </w:tcBorders>
            <w:noWrap w:val="0"/>
            <w:vAlign w:val="center"/>
          </w:tcPr>
          <w:p w14:paraId="672B53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µg/L</w:t>
            </w:r>
          </w:p>
        </w:tc>
        <w:tc>
          <w:tcPr>
            <w:tcW w:w="615" w:type="pct"/>
            <w:tcBorders>
              <w:tl2br w:val="nil"/>
              <w:tr2bl w:val="nil"/>
            </w:tcBorders>
            <w:noWrap w:val="0"/>
            <w:vAlign w:val="center"/>
          </w:tcPr>
          <w:p w14:paraId="192DBDB5">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9" w:type="pct"/>
            <w:tcBorders>
              <w:tl2br w:val="nil"/>
              <w:tr2bl w:val="nil"/>
            </w:tcBorders>
            <w:noWrap w:val="0"/>
            <w:vAlign w:val="center"/>
          </w:tcPr>
          <w:p w14:paraId="53489E1B">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50" w:type="pct"/>
            <w:tcBorders>
              <w:tl2br w:val="nil"/>
              <w:tr2bl w:val="nil"/>
            </w:tcBorders>
            <w:noWrap w:val="0"/>
            <w:vAlign w:val="center"/>
          </w:tcPr>
          <w:p w14:paraId="048B2757">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7" w:type="pct"/>
            <w:tcBorders>
              <w:tl2br w:val="nil"/>
              <w:tr2bl w:val="nil"/>
            </w:tcBorders>
            <w:noWrap w:val="0"/>
            <w:vAlign w:val="center"/>
          </w:tcPr>
          <w:p w14:paraId="2A9AB3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18" w:type="pct"/>
            <w:tcBorders>
              <w:tl2br w:val="nil"/>
              <w:tr2bl w:val="nil"/>
            </w:tcBorders>
            <w:noWrap w:val="0"/>
            <w:vAlign w:val="center"/>
          </w:tcPr>
          <w:p w14:paraId="464751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color w:val="auto"/>
                <w:kern w:val="2"/>
                <w:sz w:val="21"/>
                <w:szCs w:val="21"/>
                <w:highlight w:val="none"/>
                <w:vertAlign w:val="baseline"/>
                <w:lang w:val="en-US" w:eastAsia="zh-CN" w:bidi="ar-SA"/>
              </w:rPr>
              <w:t>ND</w:t>
            </w:r>
          </w:p>
        </w:tc>
      </w:tr>
      <w:tr w14:paraId="4CB80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7DE8060F">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镉</w:t>
            </w:r>
          </w:p>
        </w:tc>
        <w:tc>
          <w:tcPr>
            <w:tcW w:w="846" w:type="pct"/>
            <w:tcBorders>
              <w:tl2br w:val="nil"/>
              <w:tr2bl w:val="nil"/>
            </w:tcBorders>
            <w:noWrap w:val="0"/>
            <w:vAlign w:val="center"/>
          </w:tcPr>
          <w:p w14:paraId="6CFE00E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µg/L</w:t>
            </w:r>
          </w:p>
        </w:tc>
        <w:tc>
          <w:tcPr>
            <w:tcW w:w="615" w:type="pct"/>
            <w:tcBorders>
              <w:tl2br w:val="nil"/>
              <w:tr2bl w:val="nil"/>
            </w:tcBorders>
            <w:noWrap w:val="0"/>
            <w:vAlign w:val="center"/>
          </w:tcPr>
          <w:p w14:paraId="22EC2845">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0.7</w:t>
            </w:r>
          </w:p>
        </w:tc>
        <w:tc>
          <w:tcPr>
            <w:tcW w:w="699" w:type="pct"/>
            <w:tcBorders>
              <w:tl2br w:val="nil"/>
              <w:tr2bl w:val="nil"/>
            </w:tcBorders>
            <w:noWrap w:val="0"/>
            <w:vAlign w:val="center"/>
          </w:tcPr>
          <w:p w14:paraId="35374003">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w:t>
            </w:r>
          </w:p>
        </w:tc>
        <w:tc>
          <w:tcPr>
            <w:tcW w:w="750" w:type="pct"/>
            <w:tcBorders>
              <w:tl2br w:val="nil"/>
              <w:tr2bl w:val="nil"/>
            </w:tcBorders>
            <w:noWrap w:val="0"/>
            <w:vAlign w:val="center"/>
          </w:tcPr>
          <w:p w14:paraId="5A38599B">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w:t>
            </w:r>
          </w:p>
        </w:tc>
        <w:tc>
          <w:tcPr>
            <w:tcW w:w="697" w:type="pct"/>
            <w:tcBorders>
              <w:tl2br w:val="nil"/>
              <w:tr2bl w:val="nil"/>
            </w:tcBorders>
            <w:noWrap w:val="0"/>
            <w:vAlign w:val="center"/>
          </w:tcPr>
          <w:p w14:paraId="04E0882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2.5</w:t>
            </w:r>
          </w:p>
        </w:tc>
        <w:tc>
          <w:tcPr>
            <w:tcW w:w="718" w:type="pct"/>
            <w:tcBorders>
              <w:tl2br w:val="nil"/>
              <w:tr2bl w:val="nil"/>
            </w:tcBorders>
            <w:noWrap w:val="0"/>
            <w:vAlign w:val="center"/>
          </w:tcPr>
          <w:p w14:paraId="65ED1D2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0.5</w:t>
            </w:r>
          </w:p>
        </w:tc>
      </w:tr>
      <w:tr w14:paraId="5E0FA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362F1285">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六价铬</w:t>
            </w:r>
          </w:p>
        </w:tc>
        <w:tc>
          <w:tcPr>
            <w:tcW w:w="846" w:type="pct"/>
            <w:tcBorders>
              <w:tl2br w:val="nil"/>
              <w:tr2bl w:val="nil"/>
            </w:tcBorders>
            <w:noWrap w:val="0"/>
            <w:vAlign w:val="center"/>
          </w:tcPr>
          <w:p w14:paraId="335784A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32B204B2">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c>
          <w:tcPr>
            <w:tcW w:w="699" w:type="pct"/>
            <w:tcBorders>
              <w:tl2br w:val="nil"/>
              <w:tr2bl w:val="nil"/>
            </w:tcBorders>
            <w:noWrap w:val="0"/>
            <w:vAlign w:val="center"/>
          </w:tcPr>
          <w:p w14:paraId="6ADCA274">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c>
          <w:tcPr>
            <w:tcW w:w="750" w:type="pct"/>
            <w:tcBorders>
              <w:tl2br w:val="nil"/>
              <w:tr2bl w:val="nil"/>
            </w:tcBorders>
            <w:noWrap w:val="0"/>
            <w:vAlign w:val="center"/>
          </w:tcPr>
          <w:p w14:paraId="60F0A080">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c>
          <w:tcPr>
            <w:tcW w:w="697" w:type="pct"/>
            <w:tcBorders>
              <w:tl2br w:val="nil"/>
              <w:tr2bl w:val="nil"/>
            </w:tcBorders>
            <w:noWrap w:val="0"/>
            <w:vAlign w:val="center"/>
          </w:tcPr>
          <w:p w14:paraId="62C0561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c>
          <w:tcPr>
            <w:tcW w:w="718" w:type="pct"/>
            <w:tcBorders>
              <w:tl2br w:val="nil"/>
              <w:tr2bl w:val="nil"/>
            </w:tcBorders>
            <w:noWrap w:val="0"/>
            <w:vAlign w:val="center"/>
          </w:tcPr>
          <w:p w14:paraId="0754640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r>
      <w:tr w14:paraId="669C7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33ED8C2E">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铅</w:t>
            </w:r>
          </w:p>
        </w:tc>
        <w:tc>
          <w:tcPr>
            <w:tcW w:w="846" w:type="pct"/>
            <w:tcBorders>
              <w:tl2br w:val="nil"/>
              <w:tr2bl w:val="nil"/>
            </w:tcBorders>
            <w:noWrap w:val="0"/>
            <w:vAlign w:val="center"/>
          </w:tcPr>
          <w:p w14:paraId="33D717F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µg/L</w:t>
            </w:r>
          </w:p>
        </w:tc>
        <w:tc>
          <w:tcPr>
            <w:tcW w:w="615" w:type="pct"/>
            <w:tcBorders>
              <w:tl2br w:val="nil"/>
              <w:tr2bl w:val="nil"/>
            </w:tcBorders>
            <w:noWrap w:val="0"/>
            <w:vAlign w:val="center"/>
          </w:tcPr>
          <w:p w14:paraId="7AE1C62E">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＜2.5</w:t>
            </w:r>
          </w:p>
        </w:tc>
        <w:tc>
          <w:tcPr>
            <w:tcW w:w="699" w:type="pct"/>
            <w:tcBorders>
              <w:tl2br w:val="nil"/>
              <w:tr2bl w:val="nil"/>
            </w:tcBorders>
            <w:noWrap w:val="0"/>
            <w:vAlign w:val="center"/>
          </w:tcPr>
          <w:p w14:paraId="1DCBC1A6">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7.3</w:t>
            </w:r>
          </w:p>
        </w:tc>
        <w:tc>
          <w:tcPr>
            <w:tcW w:w="750" w:type="pct"/>
            <w:tcBorders>
              <w:tl2br w:val="nil"/>
              <w:tr2bl w:val="nil"/>
            </w:tcBorders>
            <w:noWrap w:val="0"/>
            <w:vAlign w:val="center"/>
          </w:tcPr>
          <w:p w14:paraId="37D326FE">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6.5</w:t>
            </w:r>
          </w:p>
        </w:tc>
        <w:tc>
          <w:tcPr>
            <w:tcW w:w="697" w:type="pct"/>
            <w:tcBorders>
              <w:tl2br w:val="nil"/>
              <w:tr2bl w:val="nil"/>
            </w:tcBorders>
            <w:noWrap w:val="0"/>
            <w:vAlign w:val="center"/>
          </w:tcPr>
          <w:p w14:paraId="58112A5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4.0</w:t>
            </w:r>
          </w:p>
        </w:tc>
        <w:tc>
          <w:tcPr>
            <w:tcW w:w="718" w:type="pct"/>
            <w:tcBorders>
              <w:tl2br w:val="nil"/>
              <w:tr2bl w:val="nil"/>
            </w:tcBorders>
            <w:noWrap w:val="0"/>
            <w:vAlign w:val="center"/>
          </w:tcPr>
          <w:p w14:paraId="275C467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＜2.5</w:t>
            </w:r>
          </w:p>
        </w:tc>
      </w:tr>
      <w:tr w14:paraId="5526E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2599E60C">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碳酸盐</w:t>
            </w:r>
          </w:p>
        </w:tc>
        <w:tc>
          <w:tcPr>
            <w:tcW w:w="846" w:type="pct"/>
            <w:tcBorders>
              <w:tl2br w:val="nil"/>
              <w:tr2bl w:val="nil"/>
            </w:tcBorders>
            <w:noWrap w:val="0"/>
            <w:vAlign w:val="center"/>
          </w:tcPr>
          <w:p w14:paraId="71F8A9E0">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7567A72D">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9" w:type="pct"/>
            <w:tcBorders>
              <w:tl2br w:val="nil"/>
              <w:tr2bl w:val="nil"/>
            </w:tcBorders>
            <w:noWrap w:val="0"/>
            <w:vAlign w:val="center"/>
          </w:tcPr>
          <w:p w14:paraId="11D12793">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50" w:type="pct"/>
            <w:tcBorders>
              <w:tl2br w:val="nil"/>
              <w:tr2bl w:val="nil"/>
            </w:tcBorders>
            <w:noWrap w:val="0"/>
            <w:vAlign w:val="center"/>
          </w:tcPr>
          <w:p w14:paraId="7115C662">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697" w:type="pct"/>
            <w:tcBorders>
              <w:tl2br w:val="nil"/>
              <w:tr2bl w:val="nil"/>
            </w:tcBorders>
            <w:noWrap w:val="0"/>
            <w:vAlign w:val="center"/>
          </w:tcPr>
          <w:p w14:paraId="6AE20B0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18" w:type="pct"/>
            <w:tcBorders>
              <w:tl2br w:val="nil"/>
              <w:tr2bl w:val="nil"/>
            </w:tcBorders>
            <w:noWrap w:val="0"/>
            <w:vAlign w:val="center"/>
          </w:tcPr>
          <w:p w14:paraId="14EF06A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r>
      <w:tr w14:paraId="58A6B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2ADFE4B4">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碳酸氢盐</w:t>
            </w:r>
          </w:p>
        </w:tc>
        <w:tc>
          <w:tcPr>
            <w:tcW w:w="846" w:type="pct"/>
            <w:tcBorders>
              <w:tl2br w:val="nil"/>
              <w:tr2bl w:val="nil"/>
            </w:tcBorders>
            <w:noWrap w:val="0"/>
            <w:vAlign w:val="center"/>
          </w:tcPr>
          <w:p w14:paraId="6A1B9EBA">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4C907EFF">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512</w:t>
            </w:r>
          </w:p>
        </w:tc>
        <w:tc>
          <w:tcPr>
            <w:tcW w:w="699" w:type="pct"/>
            <w:tcBorders>
              <w:tl2br w:val="nil"/>
              <w:tr2bl w:val="nil"/>
            </w:tcBorders>
            <w:noWrap w:val="0"/>
            <w:vAlign w:val="center"/>
          </w:tcPr>
          <w:p w14:paraId="0EA1254D">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656</w:t>
            </w:r>
          </w:p>
        </w:tc>
        <w:tc>
          <w:tcPr>
            <w:tcW w:w="750" w:type="pct"/>
            <w:tcBorders>
              <w:tl2br w:val="nil"/>
              <w:tr2bl w:val="nil"/>
            </w:tcBorders>
            <w:noWrap w:val="0"/>
            <w:vAlign w:val="center"/>
          </w:tcPr>
          <w:p w14:paraId="2227CA6B">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508</w:t>
            </w:r>
          </w:p>
        </w:tc>
        <w:tc>
          <w:tcPr>
            <w:tcW w:w="697" w:type="pct"/>
            <w:tcBorders>
              <w:tl2br w:val="nil"/>
              <w:tr2bl w:val="nil"/>
            </w:tcBorders>
            <w:noWrap w:val="0"/>
            <w:vAlign w:val="center"/>
          </w:tcPr>
          <w:p w14:paraId="39EBD71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553</w:t>
            </w:r>
          </w:p>
        </w:tc>
        <w:tc>
          <w:tcPr>
            <w:tcW w:w="718" w:type="pct"/>
            <w:tcBorders>
              <w:tl2br w:val="nil"/>
              <w:tr2bl w:val="nil"/>
            </w:tcBorders>
            <w:noWrap w:val="0"/>
            <w:vAlign w:val="center"/>
          </w:tcPr>
          <w:p w14:paraId="5FFB9B9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543</w:t>
            </w:r>
          </w:p>
        </w:tc>
      </w:tr>
      <w:tr w14:paraId="288CF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496FAE11">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钙</w:t>
            </w:r>
          </w:p>
        </w:tc>
        <w:tc>
          <w:tcPr>
            <w:tcW w:w="846" w:type="pct"/>
            <w:tcBorders>
              <w:tl2br w:val="nil"/>
              <w:tr2bl w:val="nil"/>
            </w:tcBorders>
            <w:noWrap w:val="0"/>
            <w:vAlign w:val="center"/>
          </w:tcPr>
          <w:p w14:paraId="202E107F">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0EE6AD67">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115</w:t>
            </w:r>
          </w:p>
        </w:tc>
        <w:tc>
          <w:tcPr>
            <w:tcW w:w="699" w:type="pct"/>
            <w:tcBorders>
              <w:tl2br w:val="nil"/>
              <w:tr2bl w:val="nil"/>
            </w:tcBorders>
            <w:noWrap w:val="0"/>
            <w:vAlign w:val="center"/>
          </w:tcPr>
          <w:p w14:paraId="34A8F708">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220</w:t>
            </w:r>
          </w:p>
        </w:tc>
        <w:tc>
          <w:tcPr>
            <w:tcW w:w="750" w:type="pct"/>
            <w:tcBorders>
              <w:tl2br w:val="nil"/>
              <w:tr2bl w:val="nil"/>
            </w:tcBorders>
            <w:noWrap w:val="0"/>
            <w:vAlign w:val="center"/>
          </w:tcPr>
          <w:p w14:paraId="3FCE5ED3">
            <w:pPr>
              <w:keepNext w:val="0"/>
              <w:keepLines w:val="0"/>
              <w:widowControl/>
              <w:suppressLineNumbers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145</w:t>
            </w:r>
          </w:p>
        </w:tc>
        <w:tc>
          <w:tcPr>
            <w:tcW w:w="697" w:type="pct"/>
            <w:tcBorders>
              <w:tl2br w:val="nil"/>
              <w:tr2bl w:val="nil"/>
            </w:tcBorders>
            <w:noWrap w:val="0"/>
            <w:vAlign w:val="center"/>
          </w:tcPr>
          <w:p w14:paraId="48BB0E6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242</w:t>
            </w:r>
          </w:p>
        </w:tc>
        <w:tc>
          <w:tcPr>
            <w:tcW w:w="718" w:type="pct"/>
            <w:tcBorders>
              <w:tl2br w:val="nil"/>
              <w:tr2bl w:val="nil"/>
            </w:tcBorders>
            <w:noWrap w:val="0"/>
            <w:vAlign w:val="center"/>
          </w:tcPr>
          <w:p w14:paraId="287EDA2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70.8</w:t>
            </w:r>
          </w:p>
        </w:tc>
      </w:tr>
      <w:tr w14:paraId="475C4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3EBB5812">
            <w:pPr>
              <w:adjustRightInd w:val="0"/>
              <w:snapToGrid w:val="0"/>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lang w:val="en-US" w:eastAsia="zh-CN"/>
              </w:rPr>
              <w:t>镁</w:t>
            </w:r>
          </w:p>
        </w:tc>
        <w:tc>
          <w:tcPr>
            <w:tcW w:w="846" w:type="pct"/>
            <w:tcBorders>
              <w:tl2br w:val="nil"/>
              <w:tr2bl w:val="nil"/>
            </w:tcBorders>
            <w:noWrap w:val="0"/>
            <w:vAlign w:val="center"/>
          </w:tcPr>
          <w:p w14:paraId="768214C1">
            <w:pPr>
              <w:keepNext w:val="0"/>
              <w:keepLines w:val="0"/>
              <w:widowControl/>
              <w:suppressLineNumbers w:val="0"/>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051F0E21">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33.2</w:t>
            </w:r>
          </w:p>
        </w:tc>
        <w:tc>
          <w:tcPr>
            <w:tcW w:w="699" w:type="pct"/>
            <w:tcBorders>
              <w:tl2br w:val="nil"/>
              <w:tr2bl w:val="nil"/>
            </w:tcBorders>
            <w:noWrap w:val="0"/>
            <w:vAlign w:val="center"/>
          </w:tcPr>
          <w:p w14:paraId="69700B0D">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106</w:t>
            </w:r>
          </w:p>
        </w:tc>
        <w:tc>
          <w:tcPr>
            <w:tcW w:w="750" w:type="pct"/>
            <w:tcBorders>
              <w:tl2br w:val="nil"/>
              <w:tr2bl w:val="nil"/>
            </w:tcBorders>
            <w:noWrap w:val="0"/>
            <w:vAlign w:val="center"/>
          </w:tcPr>
          <w:p w14:paraId="0AB38D9E">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46.3</w:t>
            </w:r>
          </w:p>
        </w:tc>
        <w:tc>
          <w:tcPr>
            <w:tcW w:w="697" w:type="pct"/>
            <w:tcBorders>
              <w:tl2br w:val="nil"/>
              <w:tr2bl w:val="nil"/>
            </w:tcBorders>
            <w:noWrap w:val="0"/>
            <w:vAlign w:val="center"/>
          </w:tcPr>
          <w:p w14:paraId="3F30B96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99</w:t>
            </w:r>
          </w:p>
        </w:tc>
        <w:tc>
          <w:tcPr>
            <w:tcW w:w="718" w:type="pct"/>
            <w:tcBorders>
              <w:tl2br w:val="nil"/>
              <w:tr2bl w:val="nil"/>
            </w:tcBorders>
            <w:noWrap w:val="0"/>
            <w:vAlign w:val="center"/>
          </w:tcPr>
          <w:p w14:paraId="3FADA52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30.4</w:t>
            </w:r>
          </w:p>
        </w:tc>
      </w:tr>
      <w:tr w14:paraId="0B9F2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70" w:type="pct"/>
            <w:tcBorders>
              <w:tl2br w:val="nil"/>
              <w:tr2bl w:val="nil"/>
            </w:tcBorders>
            <w:noWrap w:val="0"/>
            <w:vAlign w:val="center"/>
          </w:tcPr>
          <w:p w14:paraId="43D4FE18">
            <w:pPr>
              <w:adjustRightInd w:val="0"/>
              <w:snapToGrid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可萃取性石油烃</w:t>
            </w:r>
          </w:p>
        </w:tc>
        <w:tc>
          <w:tcPr>
            <w:tcW w:w="846" w:type="pct"/>
            <w:tcBorders>
              <w:tl2br w:val="nil"/>
              <w:tr2bl w:val="nil"/>
            </w:tcBorders>
            <w:noWrap w:val="0"/>
            <w:vAlign w:val="center"/>
          </w:tcPr>
          <w:p w14:paraId="79D053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615" w:type="pct"/>
            <w:tcBorders>
              <w:tl2br w:val="nil"/>
              <w:tr2bl w:val="nil"/>
            </w:tcBorders>
            <w:noWrap w:val="0"/>
            <w:vAlign w:val="center"/>
          </w:tcPr>
          <w:p w14:paraId="411CE3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0.08</w:t>
            </w:r>
          </w:p>
        </w:tc>
        <w:tc>
          <w:tcPr>
            <w:tcW w:w="699" w:type="pct"/>
            <w:tcBorders>
              <w:tl2br w:val="nil"/>
              <w:tr2bl w:val="nil"/>
            </w:tcBorders>
            <w:noWrap w:val="0"/>
            <w:vAlign w:val="center"/>
          </w:tcPr>
          <w:p w14:paraId="7E42A67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0.06</w:t>
            </w:r>
          </w:p>
        </w:tc>
        <w:tc>
          <w:tcPr>
            <w:tcW w:w="750" w:type="pct"/>
            <w:tcBorders>
              <w:tl2br w:val="nil"/>
              <w:tr2bl w:val="nil"/>
            </w:tcBorders>
            <w:noWrap w:val="0"/>
            <w:vAlign w:val="center"/>
          </w:tcPr>
          <w:p w14:paraId="6D4AF06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0.06</w:t>
            </w:r>
          </w:p>
        </w:tc>
        <w:tc>
          <w:tcPr>
            <w:tcW w:w="697" w:type="pct"/>
            <w:tcBorders>
              <w:tl2br w:val="nil"/>
              <w:tr2bl w:val="nil"/>
            </w:tcBorders>
            <w:noWrap w:val="0"/>
            <w:vAlign w:val="center"/>
          </w:tcPr>
          <w:p w14:paraId="779B3E0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0.04</w:t>
            </w:r>
          </w:p>
        </w:tc>
        <w:tc>
          <w:tcPr>
            <w:tcW w:w="718" w:type="pct"/>
            <w:tcBorders>
              <w:tl2br w:val="nil"/>
              <w:tr2bl w:val="nil"/>
            </w:tcBorders>
            <w:noWrap w:val="0"/>
            <w:vAlign w:val="center"/>
          </w:tcPr>
          <w:p w14:paraId="77D7DF5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0.04</w:t>
            </w:r>
          </w:p>
        </w:tc>
      </w:tr>
      <w:tr w14:paraId="5B7F6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000" w:type="pct"/>
            <w:gridSpan w:val="7"/>
            <w:tcBorders>
              <w:tl2br w:val="nil"/>
              <w:tr2bl w:val="nil"/>
            </w:tcBorders>
            <w:noWrap w:val="0"/>
            <w:vAlign w:val="center"/>
          </w:tcPr>
          <w:p w14:paraId="2F7ECDB2">
            <w:pPr>
              <w:keepNext w:val="0"/>
              <w:keepLines w:val="0"/>
              <w:widowControl/>
              <w:suppressLineNumbers w:val="0"/>
              <w:jc w:val="both"/>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注：ND—表示该指标未检出；L和＜—表示该指标检测结果低于方法检出限</w:t>
            </w:r>
            <w:r>
              <w:rPr>
                <w:rFonts w:hint="eastAsia" w:ascii="宋体" w:hAnsi="宋体" w:eastAsia="宋体" w:cs="宋体"/>
                <w:i w:val="0"/>
                <w:iCs w:val="0"/>
                <w:color w:val="auto"/>
                <w:kern w:val="0"/>
                <w:sz w:val="21"/>
                <w:szCs w:val="21"/>
                <w:highlight w:val="none"/>
                <w:u w:val="none"/>
                <w:lang w:val="en-US" w:eastAsia="zh-CN" w:bidi="ar"/>
              </w:rPr>
              <w:t>。</w:t>
            </w:r>
          </w:p>
        </w:tc>
      </w:tr>
      <w:bookmarkEnd w:id="320"/>
    </w:tbl>
    <w:p w14:paraId="27E58F5C">
      <w:pPr>
        <w:spacing w:line="500" w:lineRule="exact"/>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w:t>
      </w:r>
      <w:r>
        <w:rPr>
          <w:rFonts w:hint="eastAsia" w:ascii="Times New Roman" w:hAnsi="Times New Roman" w:eastAsia="宋体"/>
          <w:color w:val="auto"/>
          <w:sz w:val="24"/>
          <w:szCs w:val="24"/>
          <w:highlight w:val="none"/>
        </w:rPr>
        <w:t>5</w:t>
      </w:r>
      <w:r>
        <w:rPr>
          <w:rFonts w:ascii="Times New Roman" w:hAnsi="Times New Roman" w:eastAsia="宋体"/>
          <w:color w:val="auto"/>
          <w:sz w:val="24"/>
          <w:szCs w:val="24"/>
          <w:highlight w:val="none"/>
        </w:rPr>
        <w:t>）评价结果</w:t>
      </w:r>
    </w:p>
    <w:p w14:paraId="12B22C1E">
      <w:pPr>
        <w:spacing w:line="500" w:lineRule="exact"/>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根据区域地下水环境质量现状监测结果，按照上述评价方法及评价结果，本次地下水环境质量现状评价结果见表4.2-</w:t>
      </w:r>
      <w:r>
        <w:rPr>
          <w:rFonts w:hint="eastAsia" w:ascii="Times New Roman" w:hAnsi="Times New Roman" w:eastAsia="宋体"/>
          <w:color w:val="auto"/>
          <w:sz w:val="24"/>
          <w:szCs w:val="24"/>
          <w:highlight w:val="none"/>
          <w:lang w:val="en-US" w:eastAsia="zh-CN"/>
        </w:rPr>
        <w:t>7</w:t>
      </w:r>
      <w:r>
        <w:rPr>
          <w:rFonts w:ascii="Times New Roman" w:hAnsi="Times New Roman" w:eastAsia="宋体"/>
          <w:color w:val="auto"/>
          <w:sz w:val="24"/>
          <w:szCs w:val="24"/>
          <w:highlight w:val="none"/>
        </w:rPr>
        <w:t>。</w:t>
      </w:r>
    </w:p>
    <w:p w14:paraId="74111B4A">
      <w:pPr>
        <w:spacing w:line="500" w:lineRule="exact"/>
        <w:ind w:firstLine="42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评价结果表明，现状监测期间，区域地下水各项因子均可满足《地下水质量标准》（GB/T14848-2017）中Ⅲ类标准。</w:t>
      </w:r>
    </w:p>
    <w:p w14:paraId="1BED8908">
      <w:pPr>
        <w:pStyle w:val="23"/>
        <w:rPr>
          <w:rFonts w:hint="eastAsia" w:ascii="Times New Roman" w:hAnsi="Times New Roman"/>
          <w:color w:val="auto"/>
          <w:highlight w:val="none"/>
          <w:lang w:eastAsia="zh-CN"/>
        </w:rPr>
      </w:pPr>
    </w:p>
    <w:p w14:paraId="553E0C1E">
      <w:pPr>
        <w:snapToGrid w:val="0"/>
        <w:spacing w:line="360" w:lineRule="auto"/>
        <w:ind w:firstLine="480" w:firstLineChars="200"/>
        <w:outlineLvl w:val="2"/>
        <w:rPr>
          <w:rFonts w:ascii="Times New Roman" w:hAnsi="Times New Roman" w:eastAsia="宋体"/>
          <w:bCs/>
          <w:color w:val="auto"/>
          <w:sz w:val="24"/>
          <w:szCs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46A1344F">
      <w:pPr>
        <w:spacing w:line="500" w:lineRule="exact"/>
        <w:jc w:val="center"/>
        <w:rPr>
          <w:rFonts w:ascii="Times New Roman" w:hAnsi="Times New Roman" w:eastAsia="宋体"/>
          <w:b/>
          <w:color w:val="auto"/>
          <w:sz w:val="24"/>
          <w:szCs w:val="24"/>
          <w:highlight w:val="none"/>
        </w:rPr>
      </w:pPr>
      <w:r>
        <w:rPr>
          <w:rFonts w:ascii="Times New Roman" w:hAnsi="Times New Roman" w:eastAsia="宋体"/>
          <w:b/>
          <w:color w:val="auto"/>
          <w:sz w:val="24"/>
          <w:szCs w:val="24"/>
          <w:highlight w:val="none"/>
        </w:rPr>
        <w:t>表</w:t>
      </w:r>
      <w:r>
        <w:rPr>
          <w:rFonts w:hint="eastAsia" w:ascii="Times New Roman" w:hAnsi="Times New Roman" w:eastAsia="宋体"/>
          <w:b/>
          <w:color w:val="auto"/>
          <w:sz w:val="24"/>
          <w:szCs w:val="24"/>
          <w:highlight w:val="none"/>
        </w:rPr>
        <w:t>4</w:t>
      </w:r>
      <w:r>
        <w:rPr>
          <w:rFonts w:ascii="Times New Roman" w:hAnsi="Times New Roman" w:eastAsia="宋体"/>
          <w:b/>
          <w:color w:val="auto"/>
          <w:sz w:val="24"/>
          <w:szCs w:val="24"/>
          <w:highlight w:val="none"/>
        </w:rPr>
        <w:t>.2-</w:t>
      </w:r>
      <w:r>
        <w:rPr>
          <w:rFonts w:hint="eastAsia" w:ascii="Times New Roman" w:hAnsi="Times New Roman" w:eastAsia="宋体"/>
          <w:b/>
          <w:color w:val="auto"/>
          <w:sz w:val="24"/>
          <w:szCs w:val="24"/>
          <w:highlight w:val="none"/>
          <w:lang w:val="en-US" w:eastAsia="zh-CN"/>
        </w:rPr>
        <w:t xml:space="preserve">8  </w:t>
      </w:r>
      <w:r>
        <w:rPr>
          <w:rFonts w:ascii="Times New Roman" w:hAnsi="Times New Roman" w:eastAsia="宋体"/>
          <w:b/>
          <w:color w:val="auto"/>
          <w:sz w:val="24"/>
          <w:szCs w:val="24"/>
          <w:highlight w:val="none"/>
        </w:rPr>
        <w:t>地下水水质监测单因子评价结果</w:t>
      </w:r>
    </w:p>
    <w:tbl>
      <w:tblPr>
        <w:tblStyle w:val="49"/>
        <w:tblW w:w="488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5"/>
        <w:gridCol w:w="888"/>
        <w:gridCol w:w="1109"/>
        <w:gridCol w:w="1036"/>
        <w:gridCol w:w="1155"/>
        <w:gridCol w:w="1020"/>
        <w:gridCol w:w="1260"/>
        <w:gridCol w:w="858"/>
        <w:gridCol w:w="942"/>
        <w:gridCol w:w="866"/>
        <w:gridCol w:w="872"/>
        <w:gridCol w:w="1645"/>
        <w:gridCol w:w="1091"/>
      </w:tblGrid>
      <w:tr w14:paraId="0EBDC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402" w:type="pct"/>
            <w:vMerge w:val="restart"/>
            <w:tcBorders>
              <w:tl2br w:val="nil"/>
              <w:tr2bl w:val="nil"/>
            </w:tcBorders>
            <w:noWrap w:val="0"/>
            <w:vAlign w:val="center"/>
          </w:tcPr>
          <w:p w14:paraId="1BA2F7EA">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监测项目</w:t>
            </w:r>
          </w:p>
        </w:tc>
        <w:tc>
          <w:tcPr>
            <w:tcW w:w="720" w:type="pct"/>
            <w:gridSpan w:val="2"/>
            <w:tcBorders>
              <w:tl2br w:val="nil"/>
              <w:tr2bl w:val="nil"/>
            </w:tcBorders>
            <w:noWrap w:val="0"/>
            <w:vAlign w:val="center"/>
          </w:tcPr>
          <w:p w14:paraId="4F280C00">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D</w:t>
            </w:r>
            <w:r>
              <w:rPr>
                <w:rFonts w:ascii="Times New Roman" w:hAnsi="Times New Roman" w:eastAsia="宋体"/>
                <w:b/>
                <w:color w:val="auto"/>
                <w:szCs w:val="21"/>
                <w:highlight w:val="none"/>
              </w:rPr>
              <w:t>1</w:t>
            </w:r>
          </w:p>
        </w:tc>
        <w:tc>
          <w:tcPr>
            <w:tcW w:w="790" w:type="pct"/>
            <w:gridSpan w:val="2"/>
            <w:tcBorders>
              <w:tl2br w:val="nil"/>
              <w:tr2bl w:val="nil"/>
            </w:tcBorders>
            <w:noWrap w:val="0"/>
            <w:vAlign w:val="center"/>
          </w:tcPr>
          <w:p w14:paraId="1A65A555">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D</w:t>
            </w:r>
            <w:r>
              <w:rPr>
                <w:rFonts w:ascii="Times New Roman" w:hAnsi="Times New Roman" w:eastAsia="宋体"/>
                <w:b/>
                <w:color w:val="auto"/>
                <w:szCs w:val="21"/>
                <w:highlight w:val="none"/>
              </w:rPr>
              <w:t>2</w:t>
            </w:r>
          </w:p>
        </w:tc>
        <w:tc>
          <w:tcPr>
            <w:tcW w:w="822" w:type="pct"/>
            <w:gridSpan w:val="2"/>
            <w:tcBorders>
              <w:tl2br w:val="nil"/>
              <w:tr2bl w:val="nil"/>
            </w:tcBorders>
            <w:noWrap w:val="0"/>
            <w:vAlign w:val="center"/>
          </w:tcPr>
          <w:p w14:paraId="67711716">
            <w:pPr>
              <w:snapToGrid w:val="0"/>
              <w:jc w:val="center"/>
              <w:rPr>
                <w:rFonts w:ascii="宋体" w:hAnsi="宋体" w:eastAsia="宋体" w:cs="宋体"/>
                <w:b/>
                <w:color w:val="auto"/>
                <w:szCs w:val="21"/>
                <w:highlight w:val="none"/>
              </w:rPr>
            </w:pPr>
            <w:r>
              <w:rPr>
                <w:rFonts w:hint="eastAsia" w:ascii="Times New Roman" w:hAnsi="Times New Roman" w:eastAsia="宋体"/>
                <w:b/>
                <w:color w:val="auto"/>
                <w:szCs w:val="21"/>
                <w:highlight w:val="none"/>
                <w:lang w:val="en-US" w:eastAsia="zh-CN"/>
              </w:rPr>
              <w:t>D</w:t>
            </w:r>
            <w:r>
              <w:rPr>
                <w:rFonts w:ascii="Times New Roman" w:hAnsi="Times New Roman" w:eastAsia="宋体"/>
                <w:b/>
                <w:color w:val="auto"/>
                <w:szCs w:val="21"/>
                <w:highlight w:val="none"/>
              </w:rPr>
              <w:t>3</w:t>
            </w:r>
          </w:p>
        </w:tc>
        <w:tc>
          <w:tcPr>
            <w:tcW w:w="649" w:type="pct"/>
            <w:gridSpan w:val="2"/>
            <w:tcBorders>
              <w:tl2br w:val="nil"/>
              <w:tr2bl w:val="nil"/>
            </w:tcBorders>
            <w:noWrap w:val="0"/>
            <w:vAlign w:val="center"/>
          </w:tcPr>
          <w:p w14:paraId="280F5185">
            <w:pPr>
              <w:snapToGrid w:val="0"/>
              <w:jc w:val="center"/>
              <w:rPr>
                <w:rFonts w:hint="eastAsia" w:ascii="Times New Roman" w:hAnsi="Times New Roman" w:eastAsia="宋体"/>
                <w:b/>
                <w:color w:val="auto"/>
                <w:szCs w:val="21"/>
                <w:highlight w:val="none"/>
                <w:lang w:eastAsia="zh-CN"/>
              </w:rPr>
            </w:pPr>
            <w:r>
              <w:rPr>
                <w:rFonts w:hint="eastAsia" w:ascii="Times New Roman" w:hAnsi="Times New Roman" w:eastAsia="宋体"/>
                <w:b/>
                <w:color w:val="auto"/>
                <w:szCs w:val="21"/>
                <w:highlight w:val="none"/>
                <w:lang w:val="en-US" w:eastAsia="zh-CN"/>
              </w:rPr>
              <w:t>D4</w:t>
            </w:r>
          </w:p>
        </w:tc>
        <w:tc>
          <w:tcPr>
            <w:tcW w:w="627" w:type="pct"/>
            <w:gridSpan w:val="2"/>
            <w:tcBorders>
              <w:tl2br w:val="nil"/>
              <w:tr2bl w:val="nil"/>
            </w:tcBorders>
            <w:noWrap w:val="0"/>
            <w:vAlign w:val="center"/>
          </w:tcPr>
          <w:p w14:paraId="072447DD">
            <w:pPr>
              <w:snapToGrid w:val="0"/>
              <w:jc w:val="center"/>
              <w:rPr>
                <w:rFonts w:hint="eastAsia" w:ascii="Times New Roman" w:hAnsi="Times New Roman" w:eastAsia="宋体"/>
                <w:b/>
                <w:color w:val="auto"/>
                <w:szCs w:val="21"/>
                <w:highlight w:val="none"/>
                <w:lang w:eastAsia="zh-CN"/>
              </w:rPr>
            </w:pPr>
            <w:r>
              <w:rPr>
                <w:rFonts w:hint="eastAsia" w:ascii="Times New Roman" w:hAnsi="Times New Roman" w:eastAsia="宋体"/>
                <w:b/>
                <w:color w:val="auto"/>
                <w:szCs w:val="21"/>
                <w:highlight w:val="none"/>
                <w:lang w:val="en-US" w:eastAsia="zh-CN"/>
              </w:rPr>
              <w:t>D5</w:t>
            </w:r>
          </w:p>
        </w:tc>
        <w:tc>
          <w:tcPr>
            <w:tcW w:w="593" w:type="pct"/>
            <w:vMerge w:val="restart"/>
            <w:tcBorders>
              <w:tl2br w:val="nil"/>
              <w:tr2bl w:val="nil"/>
            </w:tcBorders>
            <w:noWrap w:val="0"/>
            <w:vAlign w:val="center"/>
          </w:tcPr>
          <w:p w14:paraId="2D7619D2">
            <w:pPr>
              <w:snapToGrid w:val="0"/>
              <w:jc w:val="center"/>
              <w:rPr>
                <w:rFonts w:ascii="Times New Roman" w:hAnsi="Times New Roman" w:eastAsia="宋体"/>
                <w:b/>
                <w:color w:val="auto"/>
                <w:szCs w:val="21"/>
                <w:highlight w:val="none"/>
              </w:rPr>
            </w:pPr>
            <w:r>
              <w:rPr>
                <w:rFonts w:hint="eastAsia" w:ascii="宋体" w:hAnsi="宋体" w:eastAsia="宋体" w:cs="宋体"/>
                <w:b/>
                <w:color w:val="auto"/>
                <w:szCs w:val="21"/>
                <w:highlight w:val="none"/>
              </w:rPr>
              <w:t>Ⅲ</w:t>
            </w:r>
            <w:r>
              <w:rPr>
                <w:rFonts w:ascii="Times New Roman" w:hAnsi="Times New Roman" w:eastAsia="宋体"/>
                <w:b/>
                <w:color w:val="auto"/>
                <w:szCs w:val="21"/>
                <w:highlight w:val="none"/>
              </w:rPr>
              <w:t>类标准</w:t>
            </w:r>
          </w:p>
          <w:p w14:paraId="447BB573">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（单位：pH无量纲）</w:t>
            </w:r>
          </w:p>
        </w:tc>
        <w:tc>
          <w:tcPr>
            <w:tcW w:w="393" w:type="pct"/>
            <w:vMerge w:val="restart"/>
            <w:tcBorders>
              <w:tl2br w:val="nil"/>
              <w:tr2bl w:val="nil"/>
            </w:tcBorders>
            <w:noWrap w:val="0"/>
            <w:vAlign w:val="center"/>
          </w:tcPr>
          <w:p w14:paraId="436B2BF7">
            <w:pPr>
              <w:snapToGrid w:val="0"/>
              <w:jc w:val="center"/>
              <w:rPr>
                <w:rFonts w:ascii="宋体" w:hAnsi="宋体" w:eastAsia="宋体" w:cs="宋体"/>
                <w:b/>
                <w:color w:val="auto"/>
                <w:szCs w:val="21"/>
                <w:highlight w:val="none"/>
              </w:rPr>
            </w:pPr>
            <w:r>
              <w:rPr>
                <w:rFonts w:hint="eastAsia" w:ascii="宋体" w:hAnsi="宋体" w:eastAsia="宋体" w:cs="宋体"/>
                <w:b/>
                <w:color w:val="auto"/>
                <w:szCs w:val="21"/>
                <w:highlight w:val="none"/>
              </w:rPr>
              <w:t>达标情况</w:t>
            </w:r>
          </w:p>
        </w:tc>
      </w:tr>
      <w:tr w14:paraId="379D9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402" w:type="pct"/>
            <w:vMerge w:val="continue"/>
            <w:tcBorders>
              <w:tl2br w:val="nil"/>
              <w:tr2bl w:val="nil"/>
            </w:tcBorders>
            <w:noWrap w:val="0"/>
            <w:vAlign w:val="center"/>
          </w:tcPr>
          <w:p w14:paraId="1508AC69">
            <w:pPr>
              <w:snapToGrid w:val="0"/>
              <w:jc w:val="center"/>
              <w:rPr>
                <w:rFonts w:ascii="Times New Roman" w:hAnsi="Times New Roman" w:eastAsia="宋体"/>
                <w:b/>
                <w:color w:val="auto"/>
                <w:szCs w:val="21"/>
                <w:highlight w:val="none"/>
              </w:rPr>
            </w:pPr>
          </w:p>
        </w:tc>
        <w:tc>
          <w:tcPr>
            <w:tcW w:w="320" w:type="pct"/>
            <w:tcBorders>
              <w:tl2br w:val="nil"/>
              <w:tr2bl w:val="nil"/>
            </w:tcBorders>
            <w:noWrap w:val="0"/>
            <w:vAlign w:val="center"/>
          </w:tcPr>
          <w:p w14:paraId="63CC29F7">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rPr>
              <w:t>浓度</w:t>
            </w:r>
          </w:p>
        </w:tc>
        <w:tc>
          <w:tcPr>
            <w:tcW w:w="400" w:type="pct"/>
            <w:tcBorders>
              <w:tl2br w:val="nil"/>
              <w:tr2bl w:val="nil"/>
            </w:tcBorders>
            <w:noWrap w:val="0"/>
            <w:vAlign w:val="center"/>
          </w:tcPr>
          <w:p w14:paraId="671890E2">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rPr>
              <w:t>污染指数</w:t>
            </w:r>
          </w:p>
        </w:tc>
        <w:tc>
          <w:tcPr>
            <w:tcW w:w="373" w:type="pct"/>
            <w:tcBorders>
              <w:tl2br w:val="nil"/>
              <w:tr2bl w:val="nil"/>
            </w:tcBorders>
            <w:noWrap w:val="0"/>
            <w:vAlign w:val="center"/>
          </w:tcPr>
          <w:p w14:paraId="77AFBCD4">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rPr>
              <w:t>浓度</w:t>
            </w:r>
          </w:p>
        </w:tc>
        <w:tc>
          <w:tcPr>
            <w:tcW w:w="416" w:type="pct"/>
            <w:tcBorders>
              <w:tl2br w:val="nil"/>
              <w:tr2bl w:val="nil"/>
            </w:tcBorders>
            <w:noWrap w:val="0"/>
            <w:vAlign w:val="center"/>
          </w:tcPr>
          <w:p w14:paraId="0218E157">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rPr>
              <w:t>污染指数</w:t>
            </w:r>
          </w:p>
        </w:tc>
        <w:tc>
          <w:tcPr>
            <w:tcW w:w="368" w:type="pct"/>
            <w:tcBorders>
              <w:tl2br w:val="nil"/>
              <w:tr2bl w:val="nil"/>
            </w:tcBorders>
            <w:noWrap w:val="0"/>
            <w:vAlign w:val="center"/>
          </w:tcPr>
          <w:p w14:paraId="6FA4960E">
            <w:pPr>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rPr>
              <w:t>浓度</w:t>
            </w:r>
          </w:p>
        </w:tc>
        <w:tc>
          <w:tcPr>
            <w:tcW w:w="454" w:type="pct"/>
            <w:tcBorders>
              <w:tl2br w:val="nil"/>
              <w:tr2bl w:val="nil"/>
            </w:tcBorders>
            <w:noWrap w:val="0"/>
            <w:vAlign w:val="center"/>
          </w:tcPr>
          <w:p w14:paraId="6FDF06B5">
            <w:pPr>
              <w:snapToGrid w:val="0"/>
              <w:jc w:val="center"/>
              <w:rPr>
                <w:rFonts w:ascii="宋体" w:hAnsi="宋体" w:eastAsia="宋体" w:cs="宋体"/>
                <w:b/>
                <w:color w:val="auto"/>
                <w:szCs w:val="21"/>
                <w:highlight w:val="none"/>
              </w:rPr>
            </w:pPr>
            <w:r>
              <w:rPr>
                <w:rFonts w:hint="eastAsia" w:ascii="Times New Roman" w:hAnsi="Times New Roman" w:eastAsia="宋体"/>
                <w:b/>
                <w:color w:val="auto"/>
                <w:szCs w:val="21"/>
                <w:highlight w:val="none"/>
              </w:rPr>
              <w:t>污染指数</w:t>
            </w:r>
          </w:p>
        </w:tc>
        <w:tc>
          <w:tcPr>
            <w:tcW w:w="309" w:type="pct"/>
            <w:tcBorders>
              <w:tl2br w:val="nil"/>
              <w:tr2bl w:val="nil"/>
            </w:tcBorders>
            <w:noWrap w:val="0"/>
            <w:vAlign w:val="center"/>
          </w:tcPr>
          <w:p w14:paraId="4CD406F2">
            <w:pPr>
              <w:snapToGrid w:val="0"/>
              <w:jc w:val="center"/>
              <w:rPr>
                <w:rFonts w:ascii="宋体" w:hAnsi="宋体" w:eastAsia="宋体" w:cs="宋体"/>
                <w:b/>
                <w:color w:val="auto"/>
                <w:szCs w:val="21"/>
                <w:highlight w:val="none"/>
              </w:rPr>
            </w:pPr>
            <w:r>
              <w:rPr>
                <w:rFonts w:hint="eastAsia" w:ascii="Times New Roman" w:hAnsi="Times New Roman" w:eastAsia="宋体"/>
                <w:b/>
                <w:color w:val="auto"/>
                <w:szCs w:val="21"/>
                <w:highlight w:val="none"/>
              </w:rPr>
              <w:t>浓度</w:t>
            </w:r>
          </w:p>
        </w:tc>
        <w:tc>
          <w:tcPr>
            <w:tcW w:w="339" w:type="pct"/>
            <w:tcBorders>
              <w:tl2br w:val="nil"/>
              <w:tr2bl w:val="nil"/>
            </w:tcBorders>
            <w:noWrap w:val="0"/>
            <w:vAlign w:val="center"/>
          </w:tcPr>
          <w:p w14:paraId="4F265C24">
            <w:pPr>
              <w:snapToGrid w:val="0"/>
              <w:jc w:val="center"/>
              <w:rPr>
                <w:rFonts w:ascii="宋体" w:hAnsi="宋体" w:eastAsia="宋体" w:cs="宋体"/>
                <w:b/>
                <w:color w:val="auto"/>
                <w:szCs w:val="21"/>
                <w:highlight w:val="none"/>
              </w:rPr>
            </w:pPr>
            <w:r>
              <w:rPr>
                <w:rFonts w:hint="eastAsia" w:ascii="Times New Roman" w:hAnsi="Times New Roman" w:eastAsia="宋体"/>
                <w:b/>
                <w:color w:val="auto"/>
                <w:szCs w:val="21"/>
                <w:highlight w:val="none"/>
              </w:rPr>
              <w:t>污染指数</w:t>
            </w:r>
          </w:p>
        </w:tc>
        <w:tc>
          <w:tcPr>
            <w:tcW w:w="312" w:type="pct"/>
            <w:tcBorders>
              <w:tl2br w:val="nil"/>
              <w:tr2bl w:val="nil"/>
            </w:tcBorders>
            <w:noWrap w:val="0"/>
            <w:vAlign w:val="center"/>
          </w:tcPr>
          <w:p w14:paraId="62E45EE1">
            <w:pPr>
              <w:snapToGrid w:val="0"/>
              <w:jc w:val="center"/>
              <w:rPr>
                <w:rFonts w:ascii="宋体" w:hAnsi="宋体" w:eastAsia="宋体" w:cs="宋体"/>
                <w:b/>
                <w:color w:val="auto"/>
                <w:szCs w:val="21"/>
                <w:highlight w:val="none"/>
              </w:rPr>
            </w:pPr>
            <w:r>
              <w:rPr>
                <w:rFonts w:hint="eastAsia" w:ascii="Times New Roman" w:hAnsi="Times New Roman" w:eastAsia="宋体"/>
                <w:b/>
                <w:color w:val="auto"/>
                <w:szCs w:val="21"/>
                <w:highlight w:val="none"/>
              </w:rPr>
              <w:t>浓度</w:t>
            </w:r>
          </w:p>
        </w:tc>
        <w:tc>
          <w:tcPr>
            <w:tcW w:w="314" w:type="pct"/>
            <w:tcBorders>
              <w:tl2br w:val="nil"/>
              <w:tr2bl w:val="nil"/>
            </w:tcBorders>
            <w:noWrap w:val="0"/>
            <w:vAlign w:val="center"/>
          </w:tcPr>
          <w:p w14:paraId="750C7479">
            <w:pPr>
              <w:snapToGrid w:val="0"/>
              <w:jc w:val="center"/>
              <w:rPr>
                <w:rFonts w:ascii="宋体" w:hAnsi="宋体" w:eastAsia="宋体" w:cs="宋体"/>
                <w:b/>
                <w:color w:val="auto"/>
                <w:szCs w:val="21"/>
                <w:highlight w:val="none"/>
              </w:rPr>
            </w:pPr>
            <w:r>
              <w:rPr>
                <w:rFonts w:hint="eastAsia" w:ascii="Times New Roman" w:hAnsi="Times New Roman" w:eastAsia="宋体"/>
                <w:b/>
                <w:color w:val="auto"/>
                <w:szCs w:val="21"/>
                <w:highlight w:val="none"/>
              </w:rPr>
              <w:t>污染指数</w:t>
            </w:r>
          </w:p>
        </w:tc>
        <w:tc>
          <w:tcPr>
            <w:tcW w:w="593" w:type="pct"/>
            <w:vMerge w:val="continue"/>
            <w:tcBorders>
              <w:tl2br w:val="nil"/>
              <w:tr2bl w:val="nil"/>
            </w:tcBorders>
            <w:noWrap w:val="0"/>
            <w:vAlign w:val="center"/>
          </w:tcPr>
          <w:p w14:paraId="182C1ECC">
            <w:pPr>
              <w:snapToGrid w:val="0"/>
              <w:jc w:val="center"/>
              <w:rPr>
                <w:rFonts w:ascii="宋体" w:hAnsi="宋体" w:eastAsia="宋体" w:cs="宋体"/>
                <w:b/>
                <w:color w:val="auto"/>
                <w:szCs w:val="21"/>
                <w:highlight w:val="none"/>
              </w:rPr>
            </w:pPr>
          </w:p>
        </w:tc>
        <w:tc>
          <w:tcPr>
            <w:tcW w:w="393" w:type="pct"/>
            <w:vMerge w:val="continue"/>
            <w:tcBorders>
              <w:tl2br w:val="nil"/>
              <w:tr2bl w:val="nil"/>
            </w:tcBorders>
            <w:noWrap w:val="0"/>
            <w:vAlign w:val="center"/>
          </w:tcPr>
          <w:p w14:paraId="6822137A">
            <w:pPr>
              <w:snapToGrid w:val="0"/>
              <w:jc w:val="center"/>
              <w:rPr>
                <w:rFonts w:ascii="宋体" w:hAnsi="宋体" w:eastAsia="宋体" w:cs="宋体"/>
                <w:b/>
                <w:color w:val="auto"/>
                <w:szCs w:val="21"/>
                <w:highlight w:val="none"/>
              </w:rPr>
            </w:pPr>
          </w:p>
        </w:tc>
      </w:tr>
      <w:tr w14:paraId="17969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402" w:type="pct"/>
            <w:tcBorders>
              <w:tl2br w:val="nil"/>
              <w:tr2bl w:val="nil"/>
            </w:tcBorders>
            <w:noWrap w:val="0"/>
            <w:vAlign w:val="center"/>
          </w:tcPr>
          <w:p w14:paraId="3F52012A">
            <w:pPr>
              <w:snapToGrid w:val="0"/>
              <w:jc w:val="center"/>
              <w:rPr>
                <w:rFonts w:ascii="Times New Roman" w:hAnsi="Times New Roman" w:eastAsia="宋体"/>
                <w:color w:val="auto"/>
                <w:spacing w:val="2"/>
                <w:szCs w:val="21"/>
                <w:highlight w:val="none"/>
              </w:rPr>
            </w:pPr>
            <w:r>
              <w:rPr>
                <w:rFonts w:ascii="Times New Roman" w:hAnsi="Times New Roman" w:eastAsia="宋体"/>
                <w:color w:val="auto"/>
                <w:szCs w:val="21"/>
                <w:highlight w:val="none"/>
              </w:rPr>
              <w:t>pH</w:t>
            </w:r>
          </w:p>
        </w:tc>
        <w:tc>
          <w:tcPr>
            <w:tcW w:w="320" w:type="pct"/>
            <w:tcBorders>
              <w:tl2br w:val="nil"/>
              <w:tr2bl w:val="nil"/>
            </w:tcBorders>
            <w:noWrap w:val="0"/>
            <w:vAlign w:val="center"/>
          </w:tcPr>
          <w:p w14:paraId="3D8D5B92">
            <w:pPr>
              <w:adjustRightInd w:val="0"/>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7.1</w:t>
            </w:r>
          </w:p>
        </w:tc>
        <w:tc>
          <w:tcPr>
            <w:tcW w:w="400" w:type="pct"/>
            <w:tcBorders>
              <w:tl2br w:val="nil"/>
              <w:tr2bl w:val="nil"/>
            </w:tcBorders>
            <w:noWrap w:val="0"/>
            <w:vAlign w:val="center"/>
          </w:tcPr>
          <w:p w14:paraId="5D87996B">
            <w:pPr>
              <w:adjustRightInd w:val="0"/>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w:t>
            </w:r>
          </w:p>
        </w:tc>
        <w:tc>
          <w:tcPr>
            <w:tcW w:w="373" w:type="pct"/>
            <w:tcBorders>
              <w:tl2br w:val="nil"/>
              <w:tr2bl w:val="nil"/>
            </w:tcBorders>
            <w:noWrap w:val="0"/>
            <w:vAlign w:val="center"/>
          </w:tcPr>
          <w:p w14:paraId="50827E89">
            <w:pPr>
              <w:adjustRightInd w:val="0"/>
              <w:snapToGrid w:val="0"/>
              <w:jc w:val="center"/>
              <w:rPr>
                <w:rFonts w:hint="eastAsia" w:ascii="Times New Roman" w:hAnsi="Times New Roman" w:eastAsia="宋体"/>
                <w:color w:val="auto"/>
                <w:kern w:val="0"/>
                <w:szCs w:val="21"/>
                <w:highlight w:val="none"/>
                <w:lang w:eastAsia="zh-CN"/>
              </w:rPr>
            </w:pPr>
            <w:r>
              <w:rPr>
                <w:rFonts w:ascii="Times New Roman" w:hAnsi="Times New Roman" w:eastAsia="宋体"/>
                <w:color w:val="auto"/>
                <w:kern w:val="0"/>
                <w:szCs w:val="21"/>
                <w:highlight w:val="none"/>
              </w:rPr>
              <w:t>7.</w:t>
            </w:r>
            <w:r>
              <w:rPr>
                <w:rFonts w:hint="eastAsia" w:ascii="Times New Roman" w:hAnsi="Times New Roman" w:eastAsia="宋体"/>
                <w:color w:val="auto"/>
                <w:kern w:val="0"/>
                <w:szCs w:val="21"/>
                <w:highlight w:val="none"/>
                <w:lang w:val="en-US" w:eastAsia="zh-CN"/>
              </w:rPr>
              <w:t>2</w:t>
            </w:r>
          </w:p>
        </w:tc>
        <w:tc>
          <w:tcPr>
            <w:tcW w:w="416" w:type="pct"/>
            <w:tcBorders>
              <w:tl2br w:val="nil"/>
              <w:tr2bl w:val="nil"/>
            </w:tcBorders>
            <w:noWrap w:val="0"/>
            <w:vAlign w:val="center"/>
          </w:tcPr>
          <w:p w14:paraId="08F5E623">
            <w:pPr>
              <w:adjustRightInd w:val="0"/>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w:t>
            </w:r>
          </w:p>
        </w:tc>
        <w:tc>
          <w:tcPr>
            <w:tcW w:w="368" w:type="pct"/>
            <w:tcBorders>
              <w:tl2br w:val="nil"/>
              <w:tr2bl w:val="nil"/>
            </w:tcBorders>
            <w:noWrap w:val="0"/>
            <w:vAlign w:val="center"/>
          </w:tcPr>
          <w:p w14:paraId="7986FADB">
            <w:pPr>
              <w:adjustRightInd w:val="0"/>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7.2</w:t>
            </w:r>
          </w:p>
        </w:tc>
        <w:tc>
          <w:tcPr>
            <w:tcW w:w="454" w:type="pct"/>
            <w:tcBorders>
              <w:tl2br w:val="nil"/>
              <w:tr2bl w:val="nil"/>
            </w:tcBorders>
            <w:noWrap w:val="0"/>
            <w:vAlign w:val="center"/>
          </w:tcPr>
          <w:p w14:paraId="6138678A">
            <w:pPr>
              <w:adjustRightInd w:val="0"/>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center"/>
          </w:tcPr>
          <w:p w14:paraId="69903865">
            <w:pPr>
              <w:adjustRightInd w:val="0"/>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7.</w:t>
            </w:r>
            <w:r>
              <w:rPr>
                <w:rFonts w:hint="eastAsia" w:ascii="Times New Roman" w:hAnsi="Times New Roman" w:eastAsia="宋体"/>
                <w:color w:val="auto"/>
                <w:kern w:val="0"/>
                <w:szCs w:val="21"/>
                <w:highlight w:val="none"/>
                <w:lang w:val="en-US" w:eastAsia="zh-CN"/>
              </w:rPr>
              <w:t>3</w:t>
            </w:r>
            <w:r>
              <w:rPr>
                <w:rFonts w:ascii="Times New Roman" w:hAnsi="Times New Roman" w:eastAsia="宋体"/>
                <w:color w:val="auto"/>
                <w:kern w:val="0"/>
                <w:szCs w:val="21"/>
                <w:highlight w:val="none"/>
              </w:rPr>
              <w:t>2</w:t>
            </w:r>
          </w:p>
        </w:tc>
        <w:tc>
          <w:tcPr>
            <w:tcW w:w="339" w:type="pct"/>
            <w:tcBorders>
              <w:tl2br w:val="nil"/>
              <w:tr2bl w:val="nil"/>
            </w:tcBorders>
            <w:noWrap w:val="0"/>
            <w:vAlign w:val="center"/>
          </w:tcPr>
          <w:p w14:paraId="7654AEC0">
            <w:pPr>
              <w:adjustRightInd w:val="0"/>
              <w:snapToGrid w:val="0"/>
              <w:jc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lang w:val="en-US" w:eastAsia="zh-CN"/>
              </w:rPr>
              <w:t>/</w:t>
            </w:r>
          </w:p>
        </w:tc>
        <w:tc>
          <w:tcPr>
            <w:tcW w:w="312" w:type="pct"/>
            <w:tcBorders>
              <w:tl2br w:val="nil"/>
              <w:tr2bl w:val="nil"/>
            </w:tcBorders>
            <w:noWrap w:val="0"/>
            <w:vAlign w:val="center"/>
          </w:tcPr>
          <w:p w14:paraId="2CB2961F">
            <w:pPr>
              <w:adjustRightInd w:val="0"/>
              <w:snapToGrid w:val="0"/>
              <w:jc w:val="center"/>
              <w:rPr>
                <w:rFonts w:ascii="Times New Roman" w:hAnsi="Times New Roman" w:eastAsia="宋体"/>
                <w:color w:val="auto"/>
                <w:szCs w:val="21"/>
                <w:highlight w:val="none"/>
              </w:rPr>
            </w:pPr>
            <w:r>
              <w:rPr>
                <w:rFonts w:hint="eastAsia" w:ascii="Times New Roman" w:hAnsi="Times New Roman" w:eastAsia="宋体"/>
                <w:color w:val="auto"/>
                <w:kern w:val="0"/>
                <w:szCs w:val="21"/>
                <w:highlight w:val="none"/>
                <w:lang w:val="en-US" w:eastAsia="zh-CN"/>
              </w:rPr>
              <w:t>7.3</w:t>
            </w:r>
          </w:p>
        </w:tc>
        <w:tc>
          <w:tcPr>
            <w:tcW w:w="314" w:type="pct"/>
            <w:tcBorders>
              <w:tl2br w:val="nil"/>
              <w:tr2bl w:val="nil"/>
            </w:tcBorders>
            <w:noWrap w:val="0"/>
            <w:vAlign w:val="center"/>
          </w:tcPr>
          <w:p w14:paraId="13EEAD95">
            <w:pPr>
              <w:adjustRightInd w:val="0"/>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58082011">
            <w:pPr>
              <w:adjustRightInd w:val="0"/>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6.5~8.5</w:t>
            </w:r>
          </w:p>
        </w:tc>
        <w:tc>
          <w:tcPr>
            <w:tcW w:w="393" w:type="pct"/>
            <w:tcBorders>
              <w:tl2br w:val="nil"/>
              <w:tr2bl w:val="nil"/>
            </w:tcBorders>
            <w:noWrap w:val="0"/>
            <w:vAlign w:val="center"/>
          </w:tcPr>
          <w:p w14:paraId="2DDCB675">
            <w:pPr>
              <w:adjustRightInd w:val="0"/>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0C8A9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4AA5CB9C">
            <w:pPr>
              <w:snapToGrid w:val="0"/>
              <w:jc w:val="center"/>
              <w:rPr>
                <w:rFonts w:ascii="Times New Roman" w:hAnsi="Times New Roman" w:eastAsia="宋体"/>
                <w:color w:val="auto"/>
                <w:spacing w:val="2"/>
                <w:szCs w:val="21"/>
                <w:highlight w:val="none"/>
              </w:rPr>
            </w:pPr>
            <w:r>
              <w:rPr>
                <w:rFonts w:ascii="Times New Roman" w:hAnsi="Times New Roman" w:eastAsia="宋体"/>
                <w:color w:val="auto"/>
                <w:szCs w:val="21"/>
                <w:highlight w:val="none"/>
              </w:rPr>
              <w:t>氨氮</w:t>
            </w:r>
          </w:p>
        </w:tc>
        <w:tc>
          <w:tcPr>
            <w:tcW w:w="320" w:type="pct"/>
            <w:tcBorders>
              <w:tl2br w:val="nil"/>
              <w:tr2bl w:val="nil"/>
            </w:tcBorders>
            <w:noWrap w:val="0"/>
            <w:vAlign w:val="center"/>
          </w:tcPr>
          <w:p w14:paraId="6B3ECF3F">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kern w:val="0"/>
                <w:szCs w:val="21"/>
                <w:highlight w:val="none"/>
                <w:lang w:val="en-US" w:eastAsia="zh-CN"/>
              </w:rPr>
              <w:t>0.025L</w:t>
            </w:r>
          </w:p>
        </w:tc>
        <w:tc>
          <w:tcPr>
            <w:tcW w:w="400" w:type="pct"/>
            <w:tcBorders>
              <w:tl2br w:val="nil"/>
              <w:tr2bl w:val="nil"/>
            </w:tcBorders>
            <w:noWrap w:val="0"/>
            <w:vAlign w:val="center"/>
          </w:tcPr>
          <w:p w14:paraId="2088B9AF">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center"/>
          </w:tcPr>
          <w:p w14:paraId="1B20AC22">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kern w:val="0"/>
                <w:szCs w:val="21"/>
                <w:highlight w:val="none"/>
              </w:rPr>
              <w:t>0.</w:t>
            </w:r>
            <w:r>
              <w:rPr>
                <w:rFonts w:hint="eastAsia" w:ascii="Times New Roman" w:hAnsi="Times New Roman" w:eastAsia="宋体"/>
                <w:color w:val="auto"/>
                <w:kern w:val="0"/>
                <w:szCs w:val="21"/>
                <w:highlight w:val="none"/>
                <w:lang w:val="en-US" w:eastAsia="zh-CN"/>
              </w:rPr>
              <w:t>044</w:t>
            </w:r>
          </w:p>
        </w:tc>
        <w:tc>
          <w:tcPr>
            <w:tcW w:w="416" w:type="pct"/>
            <w:tcBorders>
              <w:tl2br w:val="nil"/>
              <w:tr2bl w:val="nil"/>
            </w:tcBorders>
            <w:noWrap w:val="0"/>
            <w:vAlign w:val="center"/>
          </w:tcPr>
          <w:p w14:paraId="3188BED8">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0.088</w:t>
            </w:r>
          </w:p>
        </w:tc>
        <w:tc>
          <w:tcPr>
            <w:tcW w:w="368" w:type="pct"/>
            <w:tcBorders>
              <w:tl2br w:val="nil"/>
              <w:tr2bl w:val="nil"/>
            </w:tcBorders>
            <w:noWrap w:val="0"/>
            <w:vAlign w:val="center"/>
          </w:tcPr>
          <w:p w14:paraId="393181AC">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kern w:val="0"/>
                <w:szCs w:val="21"/>
                <w:highlight w:val="none"/>
                <w:lang w:val="en-US" w:eastAsia="zh-CN"/>
              </w:rPr>
              <w:t>0.039</w:t>
            </w:r>
          </w:p>
        </w:tc>
        <w:tc>
          <w:tcPr>
            <w:tcW w:w="454" w:type="pct"/>
            <w:tcBorders>
              <w:tl2br w:val="nil"/>
              <w:tr2bl w:val="nil"/>
            </w:tcBorders>
            <w:noWrap w:val="0"/>
            <w:vAlign w:val="center"/>
          </w:tcPr>
          <w:p w14:paraId="2DCCFD74">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0.078</w:t>
            </w:r>
          </w:p>
        </w:tc>
        <w:tc>
          <w:tcPr>
            <w:tcW w:w="309" w:type="pct"/>
            <w:tcBorders>
              <w:tl2br w:val="nil"/>
              <w:tr2bl w:val="nil"/>
            </w:tcBorders>
            <w:noWrap w:val="0"/>
            <w:vAlign w:val="center"/>
          </w:tcPr>
          <w:p w14:paraId="335E3014">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kern w:val="0"/>
                <w:szCs w:val="21"/>
                <w:highlight w:val="none"/>
              </w:rPr>
              <w:t>0.</w:t>
            </w:r>
            <w:r>
              <w:rPr>
                <w:rFonts w:hint="eastAsia" w:ascii="Times New Roman" w:hAnsi="Times New Roman" w:eastAsia="宋体"/>
                <w:color w:val="auto"/>
                <w:kern w:val="0"/>
                <w:szCs w:val="21"/>
                <w:highlight w:val="none"/>
                <w:lang w:val="en-US" w:eastAsia="zh-CN"/>
              </w:rPr>
              <w:t>052</w:t>
            </w:r>
          </w:p>
        </w:tc>
        <w:tc>
          <w:tcPr>
            <w:tcW w:w="339" w:type="pct"/>
            <w:tcBorders>
              <w:tl2br w:val="nil"/>
              <w:tr2bl w:val="nil"/>
            </w:tcBorders>
            <w:noWrap w:val="0"/>
            <w:vAlign w:val="center"/>
          </w:tcPr>
          <w:p w14:paraId="0B665B23">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0.104</w:t>
            </w:r>
          </w:p>
        </w:tc>
        <w:tc>
          <w:tcPr>
            <w:tcW w:w="312" w:type="pct"/>
            <w:tcBorders>
              <w:tl2br w:val="nil"/>
              <w:tr2bl w:val="nil"/>
            </w:tcBorders>
            <w:noWrap w:val="0"/>
            <w:vAlign w:val="center"/>
          </w:tcPr>
          <w:p w14:paraId="30772611">
            <w:pPr>
              <w:snapToGrid w:val="0"/>
              <w:jc w:val="center"/>
              <w:rPr>
                <w:rFonts w:hint="default" w:ascii="Times New Roman" w:hAnsi="Times New Roman" w:eastAsia="宋体"/>
                <w:color w:val="auto"/>
                <w:szCs w:val="21"/>
                <w:highlight w:val="none"/>
                <w:lang w:val="en-US"/>
              </w:rPr>
            </w:pPr>
            <w:r>
              <w:rPr>
                <w:rFonts w:ascii="Times New Roman" w:hAnsi="Times New Roman" w:eastAsia="宋体"/>
                <w:color w:val="auto"/>
                <w:kern w:val="0"/>
                <w:szCs w:val="21"/>
                <w:highlight w:val="none"/>
              </w:rPr>
              <w:t>0.</w:t>
            </w:r>
            <w:r>
              <w:rPr>
                <w:rFonts w:hint="eastAsia" w:ascii="Times New Roman" w:hAnsi="Times New Roman" w:eastAsia="宋体"/>
                <w:color w:val="auto"/>
                <w:kern w:val="0"/>
                <w:szCs w:val="21"/>
                <w:highlight w:val="none"/>
                <w:lang w:val="en-US" w:eastAsia="zh-CN"/>
              </w:rPr>
              <w:t>033</w:t>
            </w:r>
          </w:p>
        </w:tc>
        <w:tc>
          <w:tcPr>
            <w:tcW w:w="314" w:type="pct"/>
            <w:tcBorders>
              <w:tl2br w:val="nil"/>
              <w:tr2bl w:val="nil"/>
            </w:tcBorders>
            <w:noWrap w:val="0"/>
            <w:vAlign w:val="center"/>
          </w:tcPr>
          <w:p w14:paraId="5CDAC713">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0.066</w:t>
            </w:r>
          </w:p>
        </w:tc>
        <w:tc>
          <w:tcPr>
            <w:tcW w:w="593" w:type="pct"/>
            <w:tcBorders>
              <w:tl2br w:val="nil"/>
              <w:tr2bl w:val="nil"/>
            </w:tcBorders>
            <w:noWrap w:val="0"/>
            <w:vAlign w:val="center"/>
          </w:tcPr>
          <w:p w14:paraId="2A7F039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≤0.5</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446AFBA0">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783D3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245EC4F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硝酸盐</w:t>
            </w:r>
          </w:p>
        </w:tc>
        <w:tc>
          <w:tcPr>
            <w:tcW w:w="320" w:type="pct"/>
            <w:tcBorders>
              <w:tl2br w:val="nil"/>
              <w:tr2bl w:val="nil"/>
            </w:tcBorders>
            <w:noWrap w:val="0"/>
            <w:vAlign w:val="center"/>
          </w:tcPr>
          <w:p w14:paraId="784383A3">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ND</w:t>
            </w:r>
          </w:p>
        </w:tc>
        <w:tc>
          <w:tcPr>
            <w:tcW w:w="400" w:type="pct"/>
            <w:tcBorders>
              <w:tl2br w:val="nil"/>
              <w:tr2bl w:val="nil"/>
            </w:tcBorders>
            <w:noWrap w:val="0"/>
            <w:vAlign w:val="center"/>
          </w:tcPr>
          <w:p w14:paraId="52282F88">
            <w:pPr>
              <w:adjustRightInd w:val="0"/>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w:t>
            </w:r>
          </w:p>
        </w:tc>
        <w:tc>
          <w:tcPr>
            <w:tcW w:w="373" w:type="pct"/>
            <w:tcBorders>
              <w:tl2br w:val="nil"/>
              <w:tr2bl w:val="nil"/>
            </w:tcBorders>
            <w:noWrap w:val="0"/>
            <w:vAlign w:val="center"/>
          </w:tcPr>
          <w:p w14:paraId="6135FD0E">
            <w:pPr>
              <w:adjustRightInd w:val="0"/>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6.89</w:t>
            </w:r>
          </w:p>
        </w:tc>
        <w:tc>
          <w:tcPr>
            <w:tcW w:w="416" w:type="pct"/>
            <w:tcBorders>
              <w:tl2br w:val="nil"/>
              <w:tr2bl w:val="nil"/>
            </w:tcBorders>
            <w:noWrap w:val="0"/>
            <w:vAlign w:val="center"/>
          </w:tcPr>
          <w:p w14:paraId="2C67F6BA">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0.345</w:t>
            </w:r>
          </w:p>
        </w:tc>
        <w:tc>
          <w:tcPr>
            <w:tcW w:w="368" w:type="pct"/>
            <w:tcBorders>
              <w:tl2br w:val="nil"/>
              <w:tr2bl w:val="nil"/>
            </w:tcBorders>
            <w:noWrap w:val="0"/>
            <w:vAlign w:val="center"/>
          </w:tcPr>
          <w:p w14:paraId="5239B22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7.65</w:t>
            </w:r>
          </w:p>
        </w:tc>
        <w:tc>
          <w:tcPr>
            <w:tcW w:w="454" w:type="pct"/>
            <w:tcBorders>
              <w:tl2br w:val="nil"/>
              <w:tr2bl w:val="nil"/>
            </w:tcBorders>
            <w:noWrap w:val="0"/>
            <w:vAlign w:val="center"/>
          </w:tcPr>
          <w:p w14:paraId="632B96B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0.383</w:t>
            </w:r>
          </w:p>
        </w:tc>
        <w:tc>
          <w:tcPr>
            <w:tcW w:w="309" w:type="pct"/>
            <w:tcBorders>
              <w:tl2br w:val="nil"/>
              <w:tr2bl w:val="nil"/>
            </w:tcBorders>
            <w:noWrap w:val="0"/>
            <w:vAlign w:val="center"/>
          </w:tcPr>
          <w:p w14:paraId="7568930D">
            <w:pPr>
              <w:adjustRightInd w:val="0"/>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kern w:val="0"/>
                <w:szCs w:val="21"/>
                <w:highlight w:val="none"/>
                <w:lang w:val="en-US" w:eastAsia="zh-CN"/>
              </w:rPr>
              <w:t>7.65</w:t>
            </w:r>
          </w:p>
        </w:tc>
        <w:tc>
          <w:tcPr>
            <w:tcW w:w="339" w:type="pct"/>
            <w:tcBorders>
              <w:tl2br w:val="nil"/>
              <w:tr2bl w:val="nil"/>
            </w:tcBorders>
            <w:noWrap w:val="0"/>
            <w:vAlign w:val="center"/>
          </w:tcPr>
          <w:p w14:paraId="533A7982">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0.383</w:t>
            </w:r>
          </w:p>
        </w:tc>
        <w:tc>
          <w:tcPr>
            <w:tcW w:w="312" w:type="pct"/>
            <w:tcBorders>
              <w:tl2br w:val="nil"/>
              <w:tr2bl w:val="nil"/>
            </w:tcBorders>
            <w:noWrap w:val="0"/>
            <w:vAlign w:val="center"/>
          </w:tcPr>
          <w:p w14:paraId="4964658F">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1.20</w:t>
            </w:r>
          </w:p>
        </w:tc>
        <w:tc>
          <w:tcPr>
            <w:tcW w:w="314" w:type="pct"/>
            <w:tcBorders>
              <w:tl2br w:val="nil"/>
              <w:tr2bl w:val="nil"/>
            </w:tcBorders>
            <w:noWrap w:val="0"/>
            <w:vAlign w:val="center"/>
          </w:tcPr>
          <w:p w14:paraId="7D8766B3">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0.06</w:t>
            </w:r>
          </w:p>
        </w:tc>
        <w:tc>
          <w:tcPr>
            <w:tcW w:w="593" w:type="pct"/>
            <w:tcBorders>
              <w:tl2br w:val="nil"/>
              <w:tr2bl w:val="nil"/>
            </w:tcBorders>
            <w:noWrap w:val="0"/>
            <w:vAlign w:val="center"/>
          </w:tcPr>
          <w:p w14:paraId="115AB4D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210B2702">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775E2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4E1359B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亚硝酸盐</w:t>
            </w:r>
          </w:p>
        </w:tc>
        <w:tc>
          <w:tcPr>
            <w:tcW w:w="888" w:type="dxa"/>
            <w:tcBorders>
              <w:tl2br w:val="nil"/>
              <w:tr2bl w:val="nil"/>
            </w:tcBorders>
            <w:noWrap w:val="0"/>
            <w:vAlign w:val="center"/>
          </w:tcPr>
          <w:p w14:paraId="42D3FC54">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1109" w:type="dxa"/>
            <w:tcBorders>
              <w:tl2br w:val="nil"/>
              <w:tr2bl w:val="nil"/>
            </w:tcBorders>
            <w:noWrap w:val="0"/>
            <w:vAlign w:val="center"/>
          </w:tcPr>
          <w:p w14:paraId="62B9FA0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1036" w:type="dxa"/>
            <w:tcBorders>
              <w:tl2br w:val="nil"/>
              <w:tr2bl w:val="nil"/>
            </w:tcBorders>
            <w:noWrap w:val="0"/>
            <w:vAlign w:val="center"/>
          </w:tcPr>
          <w:p w14:paraId="772D91F1">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1155" w:type="dxa"/>
            <w:tcBorders>
              <w:tl2br w:val="nil"/>
              <w:tr2bl w:val="nil"/>
            </w:tcBorders>
            <w:noWrap w:val="0"/>
            <w:vAlign w:val="center"/>
          </w:tcPr>
          <w:p w14:paraId="42901ED9">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1020" w:type="dxa"/>
            <w:tcBorders>
              <w:tl2br w:val="nil"/>
              <w:tr2bl w:val="nil"/>
            </w:tcBorders>
            <w:noWrap w:val="0"/>
            <w:vAlign w:val="center"/>
          </w:tcPr>
          <w:p w14:paraId="7E3C3DBA">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1260" w:type="dxa"/>
            <w:tcBorders>
              <w:tl2br w:val="nil"/>
              <w:tr2bl w:val="nil"/>
            </w:tcBorders>
            <w:noWrap w:val="0"/>
            <w:vAlign w:val="center"/>
          </w:tcPr>
          <w:p w14:paraId="0CA5C7A4">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858" w:type="dxa"/>
            <w:tcBorders>
              <w:tl2br w:val="nil"/>
              <w:tr2bl w:val="nil"/>
            </w:tcBorders>
            <w:noWrap w:val="0"/>
            <w:vAlign w:val="center"/>
          </w:tcPr>
          <w:p w14:paraId="1C46E189">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942" w:type="dxa"/>
            <w:tcBorders>
              <w:tl2br w:val="nil"/>
              <w:tr2bl w:val="nil"/>
            </w:tcBorders>
            <w:noWrap w:val="0"/>
            <w:vAlign w:val="center"/>
          </w:tcPr>
          <w:p w14:paraId="2F2A054C">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866" w:type="dxa"/>
            <w:tcBorders>
              <w:tl2br w:val="nil"/>
              <w:tr2bl w:val="nil"/>
            </w:tcBorders>
            <w:noWrap w:val="0"/>
            <w:vAlign w:val="center"/>
          </w:tcPr>
          <w:p w14:paraId="2FE6B936">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872" w:type="dxa"/>
            <w:tcBorders>
              <w:tl2br w:val="nil"/>
              <w:tr2bl w:val="nil"/>
            </w:tcBorders>
            <w:noWrap w:val="0"/>
            <w:vAlign w:val="center"/>
          </w:tcPr>
          <w:p w14:paraId="7CCDBE20">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43D48D1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7A827F07">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6CD39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540D764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挥发酚类</w:t>
            </w:r>
          </w:p>
        </w:tc>
        <w:tc>
          <w:tcPr>
            <w:tcW w:w="320" w:type="pct"/>
            <w:tcBorders>
              <w:tl2br w:val="nil"/>
              <w:tr2bl w:val="nil"/>
            </w:tcBorders>
            <w:noWrap w:val="0"/>
            <w:vAlign w:val="center"/>
          </w:tcPr>
          <w:p w14:paraId="00039A51">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0.0003L</w:t>
            </w:r>
          </w:p>
        </w:tc>
        <w:tc>
          <w:tcPr>
            <w:tcW w:w="400" w:type="pct"/>
            <w:tcBorders>
              <w:tl2br w:val="nil"/>
              <w:tr2bl w:val="nil"/>
            </w:tcBorders>
            <w:noWrap w:val="0"/>
            <w:vAlign w:val="center"/>
          </w:tcPr>
          <w:p w14:paraId="440517E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top"/>
          </w:tcPr>
          <w:p w14:paraId="35722C70">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416" w:type="pct"/>
            <w:tcBorders>
              <w:tl2br w:val="nil"/>
              <w:tr2bl w:val="nil"/>
            </w:tcBorders>
            <w:noWrap w:val="0"/>
            <w:vAlign w:val="center"/>
          </w:tcPr>
          <w:p w14:paraId="338E1967">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68" w:type="pct"/>
            <w:tcBorders>
              <w:tl2br w:val="nil"/>
              <w:tr2bl w:val="nil"/>
            </w:tcBorders>
            <w:noWrap w:val="0"/>
            <w:vAlign w:val="top"/>
          </w:tcPr>
          <w:p w14:paraId="481D934F">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454" w:type="pct"/>
            <w:tcBorders>
              <w:tl2br w:val="nil"/>
              <w:tr2bl w:val="nil"/>
            </w:tcBorders>
            <w:noWrap w:val="0"/>
            <w:vAlign w:val="center"/>
          </w:tcPr>
          <w:p w14:paraId="6AFC2AEE">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top"/>
          </w:tcPr>
          <w:p w14:paraId="52A962AB">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339" w:type="pct"/>
            <w:tcBorders>
              <w:tl2br w:val="nil"/>
              <w:tr2bl w:val="nil"/>
            </w:tcBorders>
            <w:noWrap w:val="0"/>
            <w:vAlign w:val="center"/>
          </w:tcPr>
          <w:p w14:paraId="59CC0DF5">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312" w:type="pct"/>
            <w:tcBorders>
              <w:tl2br w:val="nil"/>
              <w:tr2bl w:val="nil"/>
            </w:tcBorders>
            <w:noWrap w:val="0"/>
            <w:vAlign w:val="top"/>
          </w:tcPr>
          <w:p w14:paraId="59FE11EB">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314" w:type="pct"/>
            <w:tcBorders>
              <w:tl2br w:val="nil"/>
              <w:tr2bl w:val="nil"/>
            </w:tcBorders>
            <w:noWrap w:val="0"/>
            <w:vAlign w:val="center"/>
          </w:tcPr>
          <w:p w14:paraId="46121280">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0120AAC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≤0.002</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0B6118F3">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26D7D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4B602AC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氰化物</w:t>
            </w:r>
          </w:p>
        </w:tc>
        <w:tc>
          <w:tcPr>
            <w:tcW w:w="320" w:type="pct"/>
            <w:tcBorders>
              <w:tl2br w:val="nil"/>
              <w:tr2bl w:val="nil"/>
            </w:tcBorders>
            <w:noWrap w:val="0"/>
            <w:vAlign w:val="top"/>
          </w:tcPr>
          <w:p w14:paraId="6E48B53C">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c>
          <w:tcPr>
            <w:tcW w:w="400" w:type="pct"/>
            <w:tcBorders>
              <w:tl2br w:val="nil"/>
              <w:tr2bl w:val="nil"/>
            </w:tcBorders>
            <w:noWrap w:val="0"/>
            <w:vAlign w:val="center"/>
          </w:tcPr>
          <w:p w14:paraId="617DC3BC">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top"/>
          </w:tcPr>
          <w:p w14:paraId="1589BA80">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c>
          <w:tcPr>
            <w:tcW w:w="416" w:type="pct"/>
            <w:tcBorders>
              <w:tl2br w:val="nil"/>
              <w:tr2bl w:val="nil"/>
            </w:tcBorders>
            <w:noWrap w:val="0"/>
            <w:vAlign w:val="center"/>
          </w:tcPr>
          <w:p w14:paraId="20C7A510">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68" w:type="pct"/>
            <w:tcBorders>
              <w:tl2br w:val="nil"/>
              <w:tr2bl w:val="nil"/>
            </w:tcBorders>
            <w:noWrap w:val="0"/>
            <w:vAlign w:val="top"/>
          </w:tcPr>
          <w:p w14:paraId="7AE4A19B">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c>
          <w:tcPr>
            <w:tcW w:w="454" w:type="pct"/>
            <w:tcBorders>
              <w:tl2br w:val="nil"/>
              <w:tr2bl w:val="nil"/>
            </w:tcBorders>
            <w:noWrap w:val="0"/>
            <w:vAlign w:val="center"/>
          </w:tcPr>
          <w:p w14:paraId="382903A4">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top"/>
          </w:tcPr>
          <w:p w14:paraId="467D4F99">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c>
          <w:tcPr>
            <w:tcW w:w="339" w:type="pct"/>
            <w:tcBorders>
              <w:tl2br w:val="nil"/>
              <w:tr2bl w:val="nil"/>
            </w:tcBorders>
            <w:noWrap w:val="0"/>
            <w:vAlign w:val="center"/>
          </w:tcPr>
          <w:p w14:paraId="30869C01">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312" w:type="pct"/>
            <w:tcBorders>
              <w:tl2br w:val="nil"/>
              <w:tr2bl w:val="nil"/>
            </w:tcBorders>
            <w:noWrap w:val="0"/>
            <w:vAlign w:val="top"/>
          </w:tcPr>
          <w:p w14:paraId="334E79D9">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＜0.002</w:t>
            </w:r>
          </w:p>
        </w:tc>
        <w:tc>
          <w:tcPr>
            <w:tcW w:w="314" w:type="pct"/>
            <w:tcBorders>
              <w:tl2br w:val="nil"/>
              <w:tr2bl w:val="nil"/>
            </w:tcBorders>
            <w:noWrap w:val="0"/>
            <w:vAlign w:val="center"/>
          </w:tcPr>
          <w:p w14:paraId="7C669AC7">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21CD2C2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≤0.05</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08B7A880">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58F40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547A634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六价铬</w:t>
            </w:r>
          </w:p>
        </w:tc>
        <w:tc>
          <w:tcPr>
            <w:tcW w:w="320" w:type="pct"/>
            <w:tcBorders>
              <w:tl2br w:val="nil"/>
              <w:tr2bl w:val="nil"/>
            </w:tcBorders>
            <w:noWrap w:val="0"/>
            <w:vAlign w:val="top"/>
          </w:tcPr>
          <w:p w14:paraId="4BCE0390">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c>
          <w:tcPr>
            <w:tcW w:w="400" w:type="pct"/>
            <w:tcBorders>
              <w:tl2br w:val="nil"/>
              <w:tr2bl w:val="nil"/>
            </w:tcBorders>
            <w:noWrap w:val="0"/>
            <w:vAlign w:val="center"/>
          </w:tcPr>
          <w:p w14:paraId="1FBC0E93">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top"/>
          </w:tcPr>
          <w:p w14:paraId="5E1D621E">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c>
          <w:tcPr>
            <w:tcW w:w="416" w:type="pct"/>
            <w:tcBorders>
              <w:tl2br w:val="nil"/>
              <w:tr2bl w:val="nil"/>
            </w:tcBorders>
            <w:noWrap w:val="0"/>
            <w:vAlign w:val="center"/>
          </w:tcPr>
          <w:p w14:paraId="169E9C53">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68" w:type="pct"/>
            <w:tcBorders>
              <w:tl2br w:val="nil"/>
              <w:tr2bl w:val="nil"/>
            </w:tcBorders>
            <w:noWrap w:val="0"/>
            <w:vAlign w:val="top"/>
          </w:tcPr>
          <w:p w14:paraId="265D1036">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c>
          <w:tcPr>
            <w:tcW w:w="454" w:type="pct"/>
            <w:tcBorders>
              <w:tl2br w:val="nil"/>
              <w:tr2bl w:val="nil"/>
            </w:tcBorders>
            <w:noWrap w:val="0"/>
            <w:vAlign w:val="center"/>
          </w:tcPr>
          <w:p w14:paraId="55F3D969">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top"/>
          </w:tcPr>
          <w:p w14:paraId="48A23FEE">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c>
          <w:tcPr>
            <w:tcW w:w="339" w:type="pct"/>
            <w:tcBorders>
              <w:tl2br w:val="nil"/>
              <w:tr2bl w:val="nil"/>
            </w:tcBorders>
            <w:noWrap w:val="0"/>
            <w:vAlign w:val="center"/>
          </w:tcPr>
          <w:p w14:paraId="2DE33FCF">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312" w:type="pct"/>
            <w:tcBorders>
              <w:tl2br w:val="nil"/>
              <w:tr2bl w:val="nil"/>
            </w:tcBorders>
            <w:noWrap w:val="0"/>
            <w:vAlign w:val="top"/>
          </w:tcPr>
          <w:p w14:paraId="1FF0A1EE">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＜0.004</w:t>
            </w:r>
          </w:p>
        </w:tc>
        <w:tc>
          <w:tcPr>
            <w:tcW w:w="314" w:type="pct"/>
            <w:tcBorders>
              <w:tl2br w:val="nil"/>
              <w:tr2bl w:val="nil"/>
            </w:tcBorders>
            <w:noWrap w:val="0"/>
            <w:vAlign w:val="center"/>
          </w:tcPr>
          <w:p w14:paraId="51F5BFEC">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1DC4B83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≤0.05</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171A24EB">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7C518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6511545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总硬度</w:t>
            </w:r>
          </w:p>
        </w:tc>
        <w:tc>
          <w:tcPr>
            <w:tcW w:w="320" w:type="pct"/>
            <w:tcBorders>
              <w:tl2br w:val="nil"/>
              <w:tr2bl w:val="nil"/>
            </w:tcBorders>
            <w:noWrap w:val="0"/>
            <w:vAlign w:val="center"/>
          </w:tcPr>
          <w:p w14:paraId="6303A26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342</w:t>
            </w:r>
          </w:p>
        </w:tc>
        <w:tc>
          <w:tcPr>
            <w:tcW w:w="400" w:type="pct"/>
            <w:tcBorders>
              <w:tl2br w:val="nil"/>
              <w:tr2bl w:val="nil"/>
            </w:tcBorders>
            <w:noWrap w:val="0"/>
            <w:vAlign w:val="center"/>
          </w:tcPr>
          <w:p w14:paraId="2CE8EA43">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0.76</w:t>
            </w:r>
          </w:p>
        </w:tc>
        <w:tc>
          <w:tcPr>
            <w:tcW w:w="373" w:type="pct"/>
            <w:tcBorders>
              <w:tl2br w:val="nil"/>
              <w:tr2bl w:val="nil"/>
            </w:tcBorders>
            <w:noWrap w:val="0"/>
            <w:vAlign w:val="center"/>
          </w:tcPr>
          <w:p w14:paraId="2B456F5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430</w:t>
            </w:r>
          </w:p>
        </w:tc>
        <w:tc>
          <w:tcPr>
            <w:tcW w:w="416" w:type="pct"/>
            <w:tcBorders>
              <w:tl2br w:val="nil"/>
              <w:tr2bl w:val="nil"/>
            </w:tcBorders>
            <w:noWrap w:val="0"/>
            <w:vAlign w:val="center"/>
          </w:tcPr>
          <w:p w14:paraId="1C3DA571">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0.956</w:t>
            </w:r>
          </w:p>
        </w:tc>
        <w:tc>
          <w:tcPr>
            <w:tcW w:w="368" w:type="pct"/>
            <w:tcBorders>
              <w:tl2br w:val="nil"/>
              <w:tr2bl w:val="nil"/>
            </w:tcBorders>
            <w:noWrap w:val="0"/>
            <w:vAlign w:val="center"/>
          </w:tcPr>
          <w:p w14:paraId="1EEF3C4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422</w:t>
            </w:r>
          </w:p>
        </w:tc>
        <w:tc>
          <w:tcPr>
            <w:tcW w:w="454" w:type="pct"/>
            <w:tcBorders>
              <w:tl2br w:val="nil"/>
              <w:tr2bl w:val="nil"/>
            </w:tcBorders>
            <w:noWrap w:val="0"/>
            <w:vAlign w:val="center"/>
          </w:tcPr>
          <w:p w14:paraId="0591B080">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0.938</w:t>
            </w:r>
          </w:p>
        </w:tc>
        <w:tc>
          <w:tcPr>
            <w:tcW w:w="309" w:type="pct"/>
            <w:tcBorders>
              <w:tl2br w:val="nil"/>
              <w:tr2bl w:val="nil"/>
            </w:tcBorders>
            <w:noWrap w:val="0"/>
            <w:vAlign w:val="center"/>
          </w:tcPr>
          <w:p w14:paraId="2FD5CC36">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436</w:t>
            </w:r>
          </w:p>
        </w:tc>
        <w:tc>
          <w:tcPr>
            <w:tcW w:w="339" w:type="pct"/>
            <w:tcBorders>
              <w:tl2br w:val="nil"/>
              <w:tr2bl w:val="nil"/>
            </w:tcBorders>
            <w:noWrap w:val="0"/>
            <w:vAlign w:val="center"/>
          </w:tcPr>
          <w:p w14:paraId="7BB49C8E">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0.969</w:t>
            </w:r>
          </w:p>
        </w:tc>
        <w:tc>
          <w:tcPr>
            <w:tcW w:w="312" w:type="pct"/>
            <w:tcBorders>
              <w:tl2br w:val="nil"/>
              <w:tr2bl w:val="nil"/>
            </w:tcBorders>
            <w:noWrap w:val="0"/>
            <w:vAlign w:val="center"/>
          </w:tcPr>
          <w:p w14:paraId="51AAC2FE">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269</w:t>
            </w:r>
          </w:p>
        </w:tc>
        <w:tc>
          <w:tcPr>
            <w:tcW w:w="314" w:type="pct"/>
            <w:tcBorders>
              <w:tl2br w:val="nil"/>
              <w:tr2bl w:val="nil"/>
            </w:tcBorders>
            <w:noWrap w:val="0"/>
            <w:vAlign w:val="center"/>
          </w:tcPr>
          <w:p w14:paraId="3C6012CF">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0.598</w:t>
            </w:r>
          </w:p>
        </w:tc>
        <w:tc>
          <w:tcPr>
            <w:tcW w:w="593" w:type="pct"/>
            <w:tcBorders>
              <w:tl2br w:val="nil"/>
              <w:tr2bl w:val="nil"/>
            </w:tcBorders>
            <w:noWrap w:val="0"/>
            <w:vAlign w:val="center"/>
          </w:tcPr>
          <w:p w14:paraId="7C9CE3D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≤450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20493267">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26CEF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6C2446D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氟化物</w:t>
            </w:r>
          </w:p>
        </w:tc>
        <w:tc>
          <w:tcPr>
            <w:tcW w:w="320" w:type="pct"/>
            <w:tcBorders>
              <w:tl2br w:val="nil"/>
              <w:tr2bl w:val="nil"/>
            </w:tcBorders>
            <w:noWrap w:val="0"/>
            <w:vAlign w:val="center"/>
          </w:tcPr>
          <w:p w14:paraId="7F10FD73">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0.494</w:t>
            </w:r>
          </w:p>
        </w:tc>
        <w:tc>
          <w:tcPr>
            <w:tcW w:w="400" w:type="pct"/>
            <w:tcBorders>
              <w:tl2br w:val="nil"/>
              <w:tr2bl w:val="nil"/>
            </w:tcBorders>
            <w:noWrap w:val="0"/>
            <w:vAlign w:val="center"/>
          </w:tcPr>
          <w:p w14:paraId="4A70A3DE">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0.494</w:t>
            </w:r>
          </w:p>
        </w:tc>
        <w:tc>
          <w:tcPr>
            <w:tcW w:w="373" w:type="pct"/>
            <w:tcBorders>
              <w:tl2br w:val="nil"/>
              <w:tr2bl w:val="nil"/>
            </w:tcBorders>
            <w:noWrap w:val="0"/>
            <w:vAlign w:val="center"/>
          </w:tcPr>
          <w:p w14:paraId="4535FD2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0.365</w:t>
            </w:r>
          </w:p>
        </w:tc>
        <w:tc>
          <w:tcPr>
            <w:tcW w:w="416" w:type="pct"/>
            <w:tcBorders>
              <w:tl2br w:val="nil"/>
              <w:tr2bl w:val="nil"/>
            </w:tcBorders>
            <w:noWrap w:val="0"/>
            <w:vAlign w:val="center"/>
          </w:tcPr>
          <w:p w14:paraId="0A474DB0">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0.365</w:t>
            </w:r>
          </w:p>
        </w:tc>
        <w:tc>
          <w:tcPr>
            <w:tcW w:w="368" w:type="pct"/>
            <w:tcBorders>
              <w:tl2br w:val="nil"/>
              <w:tr2bl w:val="nil"/>
            </w:tcBorders>
            <w:noWrap w:val="0"/>
            <w:vAlign w:val="center"/>
          </w:tcPr>
          <w:p w14:paraId="0541C922">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0.427</w:t>
            </w:r>
          </w:p>
        </w:tc>
        <w:tc>
          <w:tcPr>
            <w:tcW w:w="454" w:type="pct"/>
            <w:tcBorders>
              <w:tl2br w:val="nil"/>
              <w:tr2bl w:val="nil"/>
            </w:tcBorders>
            <w:noWrap w:val="0"/>
            <w:vAlign w:val="center"/>
          </w:tcPr>
          <w:p w14:paraId="2DA23CC0">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0.427</w:t>
            </w:r>
          </w:p>
        </w:tc>
        <w:tc>
          <w:tcPr>
            <w:tcW w:w="309" w:type="pct"/>
            <w:tcBorders>
              <w:tl2br w:val="nil"/>
              <w:tr2bl w:val="nil"/>
            </w:tcBorders>
            <w:noWrap w:val="0"/>
            <w:vAlign w:val="center"/>
          </w:tcPr>
          <w:p w14:paraId="4652CF49">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0.201</w:t>
            </w:r>
          </w:p>
        </w:tc>
        <w:tc>
          <w:tcPr>
            <w:tcW w:w="339" w:type="pct"/>
            <w:tcBorders>
              <w:tl2br w:val="nil"/>
              <w:tr2bl w:val="nil"/>
            </w:tcBorders>
            <w:noWrap w:val="0"/>
            <w:vAlign w:val="center"/>
          </w:tcPr>
          <w:p w14:paraId="0A69DCCB">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0.201</w:t>
            </w:r>
          </w:p>
        </w:tc>
        <w:tc>
          <w:tcPr>
            <w:tcW w:w="312" w:type="pct"/>
            <w:tcBorders>
              <w:tl2br w:val="nil"/>
              <w:tr2bl w:val="nil"/>
            </w:tcBorders>
            <w:noWrap w:val="0"/>
            <w:vAlign w:val="center"/>
          </w:tcPr>
          <w:p w14:paraId="56731D05">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0.464</w:t>
            </w:r>
          </w:p>
        </w:tc>
        <w:tc>
          <w:tcPr>
            <w:tcW w:w="314" w:type="pct"/>
            <w:tcBorders>
              <w:tl2br w:val="nil"/>
              <w:tr2bl w:val="nil"/>
            </w:tcBorders>
            <w:noWrap w:val="0"/>
            <w:vAlign w:val="center"/>
          </w:tcPr>
          <w:p w14:paraId="1CC92441">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0.464</w:t>
            </w:r>
          </w:p>
        </w:tc>
        <w:tc>
          <w:tcPr>
            <w:tcW w:w="593" w:type="pct"/>
            <w:tcBorders>
              <w:tl2br w:val="nil"/>
              <w:tr2bl w:val="nil"/>
            </w:tcBorders>
            <w:noWrap w:val="0"/>
            <w:vAlign w:val="center"/>
          </w:tcPr>
          <w:p w14:paraId="21443FE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3EB2525A">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6723E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24ABAD3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TDS</w:t>
            </w:r>
          </w:p>
        </w:tc>
        <w:tc>
          <w:tcPr>
            <w:tcW w:w="320" w:type="pct"/>
            <w:tcBorders>
              <w:tl2br w:val="nil"/>
              <w:tr2bl w:val="nil"/>
            </w:tcBorders>
            <w:noWrap w:val="0"/>
            <w:vAlign w:val="center"/>
          </w:tcPr>
          <w:p w14:paraId="51182297">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394</w:t>
            </w:r>
          </w:p>
        </w:tc>
        <w:tc>
          <w:tcPr>
            <w:tcW w:w="400" w:type="pct"/>
            <w:tcBorders>
              <w:tl2br w:val="nil"/>
              <w:tr2bl w:val="nil"/>
            </w:tcBorders>
            <w:noWrap w:val="0"/>
            <w:vAlign w:val="center"/>
          </w:tcPr>
          <w:p w14:paraId="47D9BFD2">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0.394</w:t>
            </w:r>
          </w:p>
        </w:tc>
        <w:tc>
          <w:tcPr>
            <w:tcW w:w="373" w:type="pct"/>
            <w:tcBorders>
              <w:tl2br w:val="nil"/>
              <w:tr2bl w:val="nil"/>
            </w:tcBorders>
            <w:noWrap w:val="0"/>
            <w:vAlign w:val="center"/>
          </w:tcPr>
          <w:p w14:paraId="2548E452">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974</w:t>
            </w:r>
          </w:p>
        </w:tc>
        <w:tc>
          <w:tcPr>
            <w:tcW w:w="416" w:type="pct"/>
            <w:tcBorders>
              <w:tl2br w:val="nil"/>
              <w:tr2bl w:val="nil"/>
            </w:tcBorders>
            <w:noWrap w:val="0"/>
            <w:vAlign w:val="center"/>
          </w:tcPr>
          <w:p w14:paraId="5131F7A6">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0.974</w:t>
            </w:r>
          </w:p>
        </w:tc>
        <w:tc>
          <w:tcPr>
            <w:tcW w:w="368" w:type="pct"/>
            <w:tcBorders>
              <w:tl2br w:val="nil"/>
              <w:tr2bl w:val="nil"/>
            </w:tcBorders>
            <w:noWrap w:val="0"/>
            <w:vAlign w:val="center"/>
          </w:tcPr>
          <w:p w14:paraId="6F8E42A8">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737</w:t>
            </w:r>
          </w:p>
        </w:tc>
        <w:tc>
          <w:tcPr>
            <w:tcW w:w="454" w:type="pct"/>
            <w:tcBorders>
              <w:tl2br w:val="nil"/>
              <w:tr2bl w:val="nil"/>
            </w:tcBorders>
            <w:noWrap w:val="0"/>
            <w:vAlign w:val="center"/>
          </w:tcPr>
          <w:p w14:paraId="1FE9AC4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0.737</w:t>
            </w:r>
          </w:p>
        </w:tc>
        <w:tc>
          <w:tcPr>
            <w:tcW w:w="309" w:type="pct"/>
            <w:tcBorders>
              <w:tl2br w:val="nil"/>
              <w:tr2bl w:val="nil"/>
            </w:tcBorders>
            <w:noWrap w:val="0"/>
            <w:vAlign w:val="center"/>
          </w:tcPr>
          <w:p w14:paraId="1397B349">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986</w:t>
            </w:r>
          </w:p>
        </w:tc>
        <w:tc>
          <w:tcPr>
            <w:tcW w:w="339" w:type="pct"/>
            <w:tcBorders>
              <w:tl2br w:val="nil"/>
              <w:tr2bl w:val="nil"/>
            </w:tcBorders>
            <w:noWrap w:val="0"/>
            <w:vAlign w:val="center"/>
          </w:tcPr>
          <w:p w14:paraId="16846132">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0.986</w:t>
            </w:r>
          </w:p>
        </w:tc>
        <w:tc>
          <w:tcPr>
            <w:tcW w:w="312" w:type="pct"/>
            <w:tcBorders>
              <w:tl2br w:val="nil"/>
              <w:tr2bl w:val="nil"/>
            </w:tcBorders>
            <w:noWrap w:val="0"/>
            <w:vAlign w:val="center"/>
          </w:tcPr>
          <w:p w14:paraId="493AFF88">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321</w:t>
            </w:r>
          </w:p>
        </w:tc>
        <w:tc>
          <w:tcPr>
            <w:tcW w:w="314" w:type="pct"/>
            <w:tcBorders>
              <w:tl2br w:val="nil"/>
              <w:tr2bl w:val="nil"/>
            </w:tcBorders>
            <w:noWrap w:val="0"/>
            <w:vAlign w:val="center"/>
          </w:tcPr>
          <w:p w14:paraId="4D9C951F">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0.321</w:t>
            </w:r>
          </w:p>
        </w:tc>
        <w:tc>
          <w:tcPr>
            <w:tcW w:w="593" w:type="pct"/>
            <w:tcBorders>
              <w:tl2br w:val="nil"/>
              <w:tr2bl w:val="nil"/>
            </w:tcBorders>
            <w:noWrap w:val="0"/>
            <w:vAlign w:val="center"/>
          </w:tcPr>
          <w:p w14:paraId="6F02BF9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≤1000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11D04BFA">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241B9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1F783622">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耗氧量</w:t>
            </w:r>
          </w:p>
        </w:tc>
        <w:tc>
          <w:tcPr>
            <w:tcW w:w="320" w:type="pct"/>
            <w:tcBorders>
              <w:tl2br w:val="nil"/>
              <w:tr2bl w:val="nil"/>
            </w:tcBorders>
            <w:noWrap w:val="0"/>
            <w:vAlign w:val="center"/>
          </w:tcPr>
          <w:p w14:paraId="37BBDB80">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1.00</w:t>
            </w:r>
          </w:p>
        </w:tc>
        <w:tc>
          <w:tcPr>
            <w:tcW w:w="400" w:type="pct"/>
            <w:tcBorders>
              <w:tl2br w:val="nil"/>
              <w:tr2bl w:val="nil"/>
            </w:tcBorders>
            <w:noWrap w:val="0"/>
            <w:vAlign w:val="center"/>
          </w:tcPr>
          <w:p w14:paraId="1DB45333">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0.333</w:t>
            </w:r>
          </w:p>
        </w:tc>
        <w:tc>
          <w:tcPr>
            <w:tcW w:w="373" w:type="pct"/>
            <w:tcBorders>
              <w:tl2br w:val="nil"/>
              <w:tr2bl w:val="nil"/>
            </w:tcBorders>
            <w:noWrap w:val="0"/>
            <w:vAlign w:val="center"/>
          </w:tcPr>
          <w:p w14:paraId="76865287">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0.80</w:t>
            </w:r>
          </w:p>
        </w:tc>
        <w:tc>
          <w:tcPr>
            <w:tcW w:w="416" w:type="pct"/>
            <w:tcBorders>
              <w:tl2br w:val="nil"/>
              <w:tr2bl w:val="nil"/>
            </w:tcBorders>
            <w:noWrap w:val="0"/>
            <w:vAlign w:val="center"/>
          </w:tcPr>
          <w:p w14:paraId="6BD58619">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0.267</w:t>
            </w:r>
          </w:p>
        </w:tc>
        <w:tc>
          <w:tcPr>
            <w:tcW w:w="368" w:type="pct"/>
            <w:tcBorders>
              <w:tl2br w:val="nil"/>
              <w:tr2bl w:val="nil"/>
            </w:tcBorders>
            <w:noWrap w:val="0"/>
            <w:vAlign w:val="center"/>
          </w:tcPr>
          <w:p w14:paraId="0989CA2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0.64</w:t>
            </w:r>
          </w:p>
        </w:tc>
        <w:tc>
          <w:tcPr>
            <w:tcW w:w="454" w:type="pct"/>
            <w:tcBorders>
              <w:tl2br w:val="nil"/>
              <w:tr2bl w:val="nil"/>
            </w:tcBorders>
            <w:noWrap w:val="0"/>
            <w:vAlign w:val="center"/>
          </w:tcPr>
          <w:p w14:paraId="163E3821">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0.213</w:t>
            </w:r>
          </w:p>
        </w:tc>
        <w:tc>
          <w:tcPr>
            <w:tcW w:w="309" w:type="pct"/>
            <w:tcBorders>
              <w:tl2br w:val="nil"/>
              <w:tr2bl w:val="nil"/>
            </w:tcBorders>
            <w:noWrap w:val="0"/>
            <w:vAlign w:val="center"/>
          </w:tcPr>
          <w:p w14:paraId="6031B01C">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0.88</w:t>
            </w:r>
          </w:p>
        </w:tc>
        <w:tc>
          <w:tcPr>
            <w:tcW w:w="339" w:type="pct"/>
            <w:tcBorders>
              <w:tl2br w:val="nil"/>
              <w:tr2bl w:val="nil"/>
            </w:tcBorders>
            <w:noWrap w:val="0"/>
            <w:vAlign w:val="center"/>
          </w:tcPr>
          <w:p w14:paraId="158CBC88">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0.293</w:t>
            </w:r>
          </w:p>
        </w:tc>
        <w:tc>
          <w:tcPr>
            <w:tcW w:w="312" w:type="pct"/>
            <w:tcBorders>
              <w:tl2br w:val="nil"/>
              <w:tr2bl w:val="nil"/>
            </w:tcBorders>
            <w:noWrap w:val="0"/>
            <w:vAlign w:val="center"/>
          </w:tcPr>
          <w:p w14:paraId="1A2EC686">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1.00</w:t>
            </w:r>
          </w:p>
        </w:tc>
        <w:tc>
          <w:tcPr>
            <w:tcW w:w="314" w:type="pct"/>
            <w:tcBorders>
              <w:tl2br w:val="nil"/>
              <w:tr2bl w:val="nil"/>
            </w:tcBorders>
            <w:noWrap w:val="0"/>
            <w:vAlign w:val="center"/>
          </w:tcPr>
          <w:p w14:paraId="4EF2675E">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0.333</w:t>
            </w:r>
          </w:p>
        </w:tc>
        <w:tc>
          <w:tcPr>
            <w:tcW w:w="593" w:type="pct"/>
            <w:tcBorders>
              <w:tl2br w:val="nil"/>
              <w:tr2bl w:val="nil"/>
            </w:tcBorders>
            <w:noWrap w:val="0"/>
            <w:vAlign w:val="center"/>
          </w:tcPr>
          <w:p w14:paraId="649F008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0E3482F6">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6CF52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6D3B89DB">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钠</w:t>
            </w:r>
          </w:p>
        </w:tc>
        <w:tc>
          <w:tcPr>
            <w:tcW w:w="320" w:type="pct"/>
            <w:tcBorders>
              <w:tl2br w:val="nil"/>
              <w:tr2bl w:val="nil"/>
            </w:tcBorders>
            <w:noWrap w:val="0"/>
            <w:vAlign w:val="center"/>
          </w:tcPr>
          <w:p w14:paraId="4F99A3F0">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40.2</w:t>
            </w:r>
          </w:p>
        </w:tc>
        <w:tc>
          <w:tcPr>
            <w:tcW w:w="400" w:type="pct"/>
            <w:tcBorders>
              <w:tl2br w:val="nil"/>
              <w:tr2bl w:val="nil"/>
            </w:tcBorders>
            <w:noWrap w:val="0"/>
            <w:vAlign w:val="center"/>
          </w:tcPr>
          <w:p w14:paraId="0F5786BE">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0.201</w:t>
            </w:r>
          </w:p>
        </w:tc>
        <w:tc>
          <w:tcPr>
            <w:tcW w:w="373" w:type="pct"/>
            <w:tcBorders>
              <w:tl2br w:val="nil"/>
              <w:tr2bl w:val="nil"/>
            </w:tcBorders>
            <w:noWrap w:val="0"/>
            <w:vAlign w:val="center"/>
          </w:tcPr>
          <w:p w14:paraId="6EDFEBCE">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53.8</w:t>
            </w:r>
          </w:p>
        </w:tc>
        <w:tc>
          <w:tcPr>
            <w:tcW w:w="416" w:type="pct"/>
            <w:tcBorders>
              <w:tl2br w:val="nil"/>
              <w:tr2bl w:val="nil"/>
            </w:tcBorders>
            <w:noWrap w:val="0"/>
            <w:vAlign w:val="center"/>
          </w:tcPr>
          <w:p w14:paraId="67FBF85A">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0.269</w:t>
            </w:r>
          </w:p>
        </w:tc>
        <w:tc>
          <w:tcPr>
            <w:tcW w:w="368" w:type="pct"/>
            <w:tcBorders>
              <w:tl2br w:val="nil"/>
              <w:tr2bl w:val="nil"/>
            </w:tcBorders>
            <w:noWrap w:val="0"/>
            <w:vAlign w:val="center"/>
          </w:tcPr>
          <w:p w14:paraId="1011B7C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83.2</w:t>
            </w:r>
          </w:p>
        </w:tc>
        <w:tc>
          <w:tcPr>
            <w:tcW w:w="454" w:type="pct"/>
            <w:tcBorders>
              <w:tl2br w:val="nil"/>
              <w:tr2bl w:val="nil"/>
            </w:tcBorders>
            <w:noWrap w:val="0"/>
            <w:vAlign w:val="center"/>
          </w:tcPr>
          <w:p w14:paraId="68EA7D37">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0.416</w:t>
            </w:r>
          </w:p>
        </w:tc>
        <w:tc>
          <w:tcPr>
            <w:tcW w:w="309" w:type="pct"/>
            <w:tcBorders>
              <w:tl2br w:val="nil"/>
              <w:tr2bl w:val="nil"/>
            </w:tcBorders>
            <w:noWrap w:val="0"/>
            <w:vAlign w:val="center"/>
          </w:tcPr>
          <w:p w14:paraId="4F98F5E7">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135</w:t>
            </w:r>
          </w:p>
        </w:tc>
        <w:tc>
          <w:tcPr>
            <w:tcW w:w="339" w:type="pct"/>
            <w:tcBorders>
              <w:tl2br w:val="nil"/>
              <w:tr2bl w:val="nil"/>
            </w:tcBorders>
            <w:noWrap w:val="0"/>
            <w:vAlign w:val="center"/>
          </w:tcPr>
          <w:p w14:paraId="463DEB4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0.675</w:t>
            </w:r>
          </w:p>
        </w:tc>
        <w:tc>
          <w:tcPr>
            <w:tcW w:w="312" w:type="pct"/>
            <w:tcBorders>
              <w:tl2br w:val="nil"/>
              <w:tr2bl w:val="nil"/>
            </w:tcBorders>
            <w:noWrap w:val="0"/>
            <w:vAlign w:val="center"/>
          </w:tcPr>
          <w:p w14:paraId="3F53353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46.5</w:t>
            </w:r>
          </w:p>
        </w:tc>
        <w:tc>
          <w:tcPr>
            <w:tcW w:w="314" w:type="pct"/>
            <w:tcBorders>
              <w:tl2br w:val="nil"/>
              <w:tr2bl w:val="nil"/>
            </w:tcBorders>
            <w:noWrap w:val="0"/>
            <w:vAlign w:val="center"/>
          </w:tcPr>
          <w:p w14:paraId="50EB93CA">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0.233</w:t>
            </w:r>
          </w:p>
        </w:tc>
        <w:tc>
          <w:tcPr>
            <w:tcW w:w="593" w:type="pct"/>
            <w:tcBorders>
              <w:tl2br w:val="nil"/>
              <w:tr2bl w:val="nil"/>
            </w:tcBorders>
            <w:noWrap w:val="0"/>
            <w:vAlign w:val="center"/>
          </w:tcPr>
          <w:p w14:paraId="29E1FC4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200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6F0B57BC">
            <w:pPr>
              <w:snapToGrid w:val="0"/>
              <w:jc w:val="center"/>
              <w:rPr>
                <w:rFonts w:hint="eastAsia"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3CA68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2FE2C5F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铜</w:t>
            </w:r>
          </w:p>
        </w:tc>
        <w:tc>
          <w:tcPr>
            <w:tcW w:w="320" w:type="pct"/>
            <w:tcBorders>
              <w:tl2br w:val="nil"/>
              <w:tr2bl w:val="nil"/>
            </w:tcBorders>
            <w:noWrap w:val="0"/>
            <w:vAlign w:val="center"/>
          </w:tcPr>
          <w:p w14:paraId="0B2A66D6">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ND</w:t>
            </w:r>
          </w:p>
        </w:tc>
        <w:tc>
          <w:tcPr>
            <w:tcW w:w="400" w:type="pct"/>
            <w:tcBorders>
              <w:tl2br w:val="nil"/>
              <w:tr2bl w:val="nil"/>
            </w:tcBorders>
            <w:noWrap w:val="0"/>
            <w:vAlign w:val="center"/>
          </w:tcPr>
          <w:p w14:paraId="3631C2D1">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center"/>
          </w:tcPr>
          <w:p w14:paraId="119363BF">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ND</w:t>
            </w:r>
          </w:p>
        </w:tc>
        <w:tc>
          <w:tcPr>
            <w:tcW w:w="416" w:type="pct"/>
            <w:tcBorders>
              <w:tl2br w:val="nil"/>
              <w:tr2bl w:val="nil"/>
            </w:tcBorders>
            <w:noWrap w:val="0"/>
            <w:vAlign w:val="center"/>
          </w:tcPr>
          <w:p w14:paraId="058E88E1">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68" w:type="pct"/>
            <w:tcBorders>
              <w:tl2br w:val="nil"/>
              <w:tr2bl w:val="nil"/>
            </w:tcBorders>
            <w:noWrap w:val="0"/>
            <w:vAlign w:val="center"/>
          </w:tcPr>
          <w:p w14:paraId="4A5340DF">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ND</w:t>
            </w:r>
          </w:p>
        </w:tc>
        <w:tc>
          <w:tcPr>
            <w:tcW w:w="454" w:type="pct"/>
            <w:tcBorders>
              <w:tl2br w:val="nil"/>
              <w:tr2bl w:val="nil"/>
            </w:tcBorders>
            <w:noWrap w:val="0"/>
            <w:vAlign w:val="center"/>
          </w:tcPr>
          <w:p w14:paraId="6C424F53">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center"/>
          </w:tcPr>
          <w:p w14:paraId="6A96F227">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ND</w:t>
            </w:r>
          </w:p>
        </w:tc>
        <w:tc>
          <w:tcPr>
            <w:tcW w:w="339" w:type="pct"/>
            <w:tcBorders>
              <w:tl2br w:val="nil"/>
              <w:tr2bl w:val="nil"/>
            </w:tcBorders>
            <w:noWrap w:val="0"/>
            <w:vAlign w:val="center"/>
          </w:tcPr>
          <w:p w14:paraId="72435694">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12" w:type="pct"/>
            <w:tcBorders>
              <w:tl2br w:val="nil"/>
              <w:tr2bl w:val="nil"/>
            </w:tcBorders>
            <w:noWrap w:val="0"/>
            <w:vAlign w:val="center"/>
          </w:tcPr>
          <w:p w14:paraId="25604B0F">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ND</w:t>
            </w:r>
          </w:p>
        </w:tc>
        <w:tc>
          <w:tcPr>
            <w:tcW w:w="314" w:type="pct"/>
            <w:tcBorders>
              <w:tl2br w:val="nil"/>
              <w:tr2bl w:val="nil"/>
            </w:tcBorders>
            <w:noWrap w:val="0"/>
            <w:vAlign w:val="center"/>
          </w:tcPr>
          <w:p w14:paraId="6581EE51">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7B75816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1.0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03B7ABA0">
            <w:pPr>
              <w:snapToGrid w:val="0"/>
              <w:jc w:val="center"/>
              <w:rPr>
                <w:rFonts w:hint="eastAsia"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25415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1FD8CE9F">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锌</w:t>
            </w:r>
          </w:p>
        </w:tc>
        <w:tc>
          <w:tcPr>
            <w:tcW w:w="320" w:type="pct"/>
            <w:tcBorders>
              <w:tl2br w:val="nil"/>
              <w:tr2bl w:val="nil"/>
            </w:tcBorders>
            <w:noWrap w:val="0"/>
            <w:vAlign w:val="center"/>
          </w:tcPr>
          <w:p w14:paraId="3FDEE778">
            <w:pPr>
              <w:snapToGrid w:val="0"/>
              <w:jc w:val="center"/>
              <w:rPr>
                <w:rFonts w:hint="eastAsia" w:ascii="Times New Roman" w:hAnsi="Times New Roman" w:eastAsia="宋体"/>
                <w:color w:val="auto"/>
                <w:szCs w:val="21"/>
                <w:highlight w:val="none"/>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c>
          <w:tcPr>
            <w:tcW w:w="400" w:type="pct"/>
            <w:tcBorders>
              <w:tl2br w:val="nil"/>
              <w:tr2bl w:val="nil"/>
            </w:tcBorders>
            <w:noWrap w:val="0"/>
            <w:vAlign w:val="center"/>
          </w:tcPr>
          <w:p w14:paraId="6E18F5AF">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center"/>
          </w:tcPr>
          <w:p w14:paraId="1AAAA024">
            <w:pPr>
              <w:snapToGrid w:val="0"/>
              <w:jc w:val="center"/>
              <w:rPr>
                <w:rFonts w:hint="eastAsia" w:ascii="Times New Roman" w:hAnsi="Times New Roman" w:eastAsia="宋体"/>
                <w:color w:val="auto"/>
                <w:szCs w:val="21"/>
                <w:highlight w:val="none"/>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c>
          <w:tcPr>
            <w:tcW w:w="416" w:type="pct"/>
            <w:tcBorders>
              <w:tl2br w:val="nil"/>
              <w:tr2bl w:val="nil"/>
            </w:tcBorders>
            <w:noWrap w:val="0"/>
            <w:vAlign w:val="center"/>
          </w:tcPr>
          <w:p w14:paraId="5719F9D4">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68" w:type="pct"/>
            <w:tcBorders>
              <w:tl2br w:val="nil"/>
              <w:tr2bl w:val="nil"/>
            </w:tcBorders>
            <w:noWrap w:val="0"/>
            <w:vAlign w:val="center"/>
          </w:tcPr>
          <w:p w14:paraId="7E7B8153">
            <w:pPr>
              <w:snapToGrid w:val="0"/>
              <w:jc w:val="center"/>
              <w:rPr>
                <w:rFonts w:hint="eastAsia" w:ascii="Times New Roman" w:hAnsi="Times New Roman" w:eastAsia="宋体"/>
                <w:color w:val="auto"/>
                <w:szCs w:val="21"/>
                <w:highlight w:val="none"/>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c>
          <w:tcPr>
            <w:tcW w:w="454" w:type="pct"/>
            <w:tcBorders>
              <w:tl2br w:val="nil"/>
              <w:tr2bl w:val="nil"/>
            </w:tcBorders>
            <w:noWrap w:val="0"/>
            <w:vAlign w:val="center"/>
          </w:tcPr>
          <w:p w14:paraId="02DF2298">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center"/>
          </w:tcPr>
          <w:p w14:paraId="49942003">
            <w:pPr>
              <w:snapToGrid w:val="0"/>
              <w:jc w:val="center"/>
              <w:rPr>
                <w:rFonts w:hint="eastAsia" w:ascii="Times New Roman" w:hAnsi="Times New Roman" w:eastAsia="宋体"/>
                <w:color w:val="auto"/>
                <w:szCs w:val="21"/>
                <w:highlight w:val="none"/>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c>
          <w:tcPr>
            <w:tcW w:w="339" w:type="pct"/>
            <w:tcBorders>
              <w:tl2br w:val="nil"/>
              <w:tr2bl w:val="nil"/>
            </w:tcBorders>
            <w:noWrap w:val="0"/>
            <w:vAlign w:val="center"/>
          </w:tcPr>
          <w:p w14:paraId="20699738">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12" w:type="pct"/>
            <w:tcBorders>
              <w:tl2br w:val="nil"/>
              <w:tr2bl w:val="nil"/>
            </w:tcBorders>
            <w:noWrap w:val="0"/>
            <w:vAlign w:val="center"/>
          </w:tcPr>
          <w:p w14:paraId="5A5D4EFA">
            <w:pPr>
              <w:snapToGrid w:val="0"/>
              <w:jc w:val="center"/>
              <w:rPr>
                <w:rFonts w:hint="eastAsia" w:ascii="Times New Roman" w:hAnsi="Times New Roman" w:eastAsia="宋体"/>
                <w:color w:val="auto"/>
                <w:szCs w:val="21"/>
                <w:highlight w:val="none"/>
              </w:rPr>
            </w:pPr>
            <w:r>
              <w:rPr>
                <w:rFonts w:hint="eastAsia" w:ascii="Times New Roman" w:hAnsi="Times New Roman" w:eastAsia="宋体" w:cs="Times New Roman"/>
                <w:color w:val="auto"/>
                <w:kern w:val="2"/>
                <w:sz w:val="21"/>
                <w:szCs w:val="21"/>
                <w:highlight w:val="none"/>
                <w:vertAlign w:val="baseline"/>
                <w:lang w:val="en-US" w:eastAsia="zh-CN" w:bidi="ar-SA"/>
              </w:rPr>
              <w:t>0.05L</w:t>
            </w:r>
          </w:p>
        </w:tc>
        <w:tc>
          <w:tcPr>
            <w:tcW w:w="314" w:type="pct"/>
            <w:tcBorders>
              <w:tl2br w:val="nil"/>
              <w:tr2bl w:val="nil"/>
            </w:tcBorders>
            <w:noWrap w:val="0"/>
            <w:vAlign w:val="center"/>
          </w:tcPr>
          <w:p w14:paraId="5BB027BF">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4ED65D2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1.0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4E4F8B76">
            <w:pPr>
              <w:snapToGrid w:val="0"/>
              <w:jc w:val="center"/>
              <w:rPr>
                <w:rFonts w:hint="eastAsia"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723D7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402" w:type="pct"/>
            <w:tcBorders>
              <w:tl2br w:val="nil"/>
              <w:tr2bl w:val="nil"/>
            </w:tcBorders>
            <w:noWrap w:val="0"/>
            <w:vAlign w:val="center"/>
          </w:tcPr>
          <w:p w14:paraId="37E4885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砷</w:t>
            </w:r>
          </w:p>
        </w:tc>
        <w:tc>
          <w:tcPr>
            <w:tcW w:w="320" w:type="pct"/>
            <w:tcBorders>
              <w:tl2br w:val="nil"/>
              <w:tr2bl w:val="nil"/>
            </w:tcBorders>
            <w:noWrap w:val="0"/>
            <w:vAlign w:val="center"/>
          </w:tcPr>
          <w:p w14:paraId="1BF5E0E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ND</w:t>
            </w:r>
          </w:p>
        </w:tc>
        <w:tc>
          <w:tcPr>
            <w:tcW w:w="400" w:type="pct"/>
            <w:tcBorders>
              <w:tl2br w:val="nil"/>
              <w:tr2bl w:val="nil"/>
            </w:tcBorders>
            <w:noWrap w:val="0"/>
            <w:vAlign w:val="center"/>
          </w:tcPr>
          <w:p w14:paraId="5FA9B1E0">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center"/>
          </w:tcPr>
          <w:p w14:paraId="27088722">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416" w:type="pct"/>
            <w:tcBorders>
              <w:tl2br w:val="nil"/>
              <w:tr2bl w:val="nil"/>
            </w:tcBorders>
            <w:noWrap w:val="0"/>
            <w:vAlign w:val="center"/>
          </w:tcPr>
          <w:p w14:paraId="36B5B546">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68" w:type="pct"/>
            <w:tcBorders>
              <w:tl2br w:val="nil"/>
              <w:tr2bl w:val="nil"/>
            </w:tcBorders>
            <w:noWrap w:val="0"/>
            <w:vAlign w:val="center"/>
          </w:tcPr>
          <w:p w14:paraId="473E5E95">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454" w:type="pct"/>
            <w:tcBorders>
              <w:tl2br w:val="nil"/>
              <w:tr2bl w:val="nil"/>
            </w:tcBorders>
            <w:noWrap w:val="0"/>
            <w:vAlign w:val="center"/>
          </w:tcPr>
          <w:p w14:paraId="5E845D19">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center"/>
          </w:tcPr>
          <w:p w14:paraId="4DB9BF34">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339" w:type="pct"/>
            <w:tcBorders>
              <w:tl2br w:val="nil"/>
              <w:tr2bl w:val="nil"/>
            </w:tcBorders>
            <w:noWrap w:val="0"/>
            <w:vAlign w:val="center"/>
          </w:tcPr>
          <w:p w14:paraId="13EEB5DC">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312" w:type="pct"/>
            <w:tcBorders>
              <w:tl2br w:val="nil"/>
              <w:tr2bl w:val="nil"/>
            </w:tcBorders>
            <w:noWrap w:val="0"/>
            <w:vAlign w:val="center"/>
          </w:tcPr>
          <w:p w14:paraId="7994750D">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314" w:type="pct"/>
            <w:tcBorders>
              <w:tl2br w:val="nil"/>
              <w:tr2bl w:val="nil"/>
            </w:tcBorders>
            <w:noWrap w:val="0"/>
            <w:vAlign w:val="center"/>
          </w:tcPr>
          <w:p w14:paraId="3BA2BB73">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1D5C543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≤0.01</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68FCCF06">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26926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760BF61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汞</w:t>
            </w:r>
          </w:p>
        </w:tc>
        <w:tc>
          <w:tcPr>
            <w:tcW w:w="320" w:type="pct"/>
            <w:tcBorders>
              <w:tl2br w:val="nil"/>
              <w:tr2bl w:val="nil"/>
            </w:tcBorders>
            <w:noWrap w:val="0"/>
            <w:vAlign w:val="center"/>
          </w:tcPr>
          <w:p w14:paraId="6EB07D6B">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400" w:type="pct"/>
            <w:tcBorders>
              <w:tl2br w:val="nil"/>
              <w:tr2bl w:val="nil"/>
            </w:tcBorders>
            <w:noWrap w:val="0"/>
            <w:vAlign w:val="center"/>
          </w:tcPr>
          <w:p w14:paraId="60DD11CB">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center"/>
          </w:tcPr>
          <w:p w14:paraId="662C594E">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416" w:type="pct"/>
            <w:tcBorders>
              <w:tl2br w:val="nil"/>
              <w:tr2bl w:val="nil"/>
            </w:tcBorders>
            <w:noWrap w:val="0"/>
            <w:vAlign w:val="center"/>
          </w:tcPr>
          <w:p w14:paraId="4DF4B95B">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68" w:type="pct"/>
            <w:tcBorders>
              <w:tl2br w:val="nil"/>
              <w:tr2bl w:val="nil"/>
            </w:tcBorders>
            <w:noWrap w:val="0"/>
            <w:vAlign w:val="center"/>
          </w:tcPr>
          <w:p w14:paraId="068DE74E">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454" w:type="pct"/>
            <w:tcBorders>
              <w:tl2br w:val="nil"/>
              <w:tr2bl w:val="nil"/>
            </w:tcBorders>
            <w:noWrap w:val="0"/>
            <w:vAlign w:val="center"/>
          </w:tcPr>
          <w:p w14:paraId="1C466B9C">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center"/>
          </w:tcPr>
          <w:p w14:paraId="6C8EED4D">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339" w:type="pct"/>
            <w:tcBorders>
              <w:tl2br w:val="nil"/>
              <w:tr2bl w:val="nil"/>
            </w:tcBorders>
            <w:noWrap w:val="0"/>
            <w:vAlign w:val="center"/>
          </w:tcPr>
          <w:p w14:paraId="7DEFC466">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312" w:type="pct"/>
            <w:tcBorders>
              <w:tl2br w:val="nil"/>
              <w:tr2bl w:val="nil"/>
            </w:tcBorders>
            <w:noWrap w:val="0"/>
            <w:vAlign w:val="center"/>
          </w:tcPr>
          <w:p w14:paraId="4646693A">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314" w:type="pct"/>
            <w:tcBorders>
              <w:tl2br w:val="nil"/>
              <w:tr2bl w:val="nil"/>
            </w:tcBorders>
            <w:noWrap w:val="0"/>
            <w:vAlign w:val="center"/>
          </w:tcPr>
          <w:p w14:paraId="274835F2">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14243E5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≤0.001</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159F88C2">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44537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618DCCB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铅</w:t>
            </w:r>
          </w:p>
        </w:tc>
        <w:tc>
          <w:tcPr>
            <w:tcW w:w="320" w:type="pct"/>
            <w:tcBorders>
              <w:tl2br w:val="nil"/>
              <w:tr2bl w:val="nil"/>
            </w:tcBorders>
            <w:noWrap w:val="0"/>
            <w:vAlign w:val="top"/>
          </w:tcPr>
          <w:p w14:paraId="76AF5C9F">
            <w:pPr>
              <w:snapToGrid w:val="0"/>
              <w:jc w:val="center"/>
              <w:rPr>
                <w:rFonts w:hint="default" w:ascii="Times New Roman" w:hAnsi="Times New Roman" w:eastAsia="宋体"/>
                <w:color w:val="auto"/>
                <w:szCs w:val="21"/>
                <w:highlight w:val="none"/>
                <w:lang w:val="en-US" w:eastAsia="zh-CN"/>
              </w:rPr>
            </w:pPr>
            <w:r>
              <w:rPr>
                <w:rFonts w:hint="default" w:ascii="Times New Roman" w:hAnsi="Times New Roman" w:eastAsia="宋体" w:cs="Times New Roman"/>
                <w:color w:val="auto"/>
                <w:kern w:val="2"/>
                <w:sz w:val="21"/>
                <w:szCs w:val="21"/>
                <w:highlight w:val="none"/>
                <w:vertAlign w:val="baseline"/>
                <w:lang w:val="en-US" w:eastAsia="zh-CN" w:bidi="ar-SA"/>
              </w:rPr>
              <w:t>＜</w:t>
            </w:r>
            <w:r>
              <w:rPr>
                <w:rFonts w:hint="eastAsia" w:ascii="Times New Roman" w:hAnsi="Times New Roman" w:eastAsia="宋体" w:cs="Times New Roman"/>
                <w:color w:val="auto"/>
                <w:kern w:val="2"/>
                <w:sz w:val="21"/>
                <w:szCs w:val="21"/>
                <w:highlight w:val="none"/>
                <w:vertAlign w:val="baseline"/>
                <w:lang w:val="en-US" w:eastAsia="zh-CN" w:bidi="ar-SA"/>
              </w:rPr>
              <w:t>2.5</w:t>
            </w:r>
          </w:p>
        </w:tc>
        <w:tc>
          <w:tcPr>
            <w:tcW w:w="400" w:type="pct"/>
            <w:tcBorders>
              <w:tl2br w:val="nil"/>
              <w:tr2bl w:val="nil"/>
            </w:tcBorders>
            <w:noWrap w:val="0"/>
            <w:vAlign w:val="center"/>
          </w:tcPr>
          <w:p w14:paraId="3D7047E4">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top"/>
          </w:tcPr>
          <w:p w14:paraId="551B89C0">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7.3</w:t>
            </w:r>
          </w:p>
        </w:tc>
        <w:tc>
          <w:tcPr>
            <w:tcW w:w="416" w:type="pct"/>
            <w:tcBorders>
              <w:tl2br w:val="nil"/>
              <w:tr2bl w:val="nil"/>
            </w:tcBorders>
            <w:noWrap w:val="0"/>
            <w:vAlign w:val="center"/>
          </w:tcPr>
          <w:p w14:paraId="62400C73">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0.73</w:t>
            </w:r>
          </w:p>
        </w:tc>
        <w:tc>
          <w:tcPr>
            <w:tcW w:w="368" w:type="pct"/>
            <w:tcBorders>
              <w:tl2br w:val="nil"/>
              <w:tr2bl w:val="nil"/>
            </w:tcBorders>
            <w:noWrap w:val="0"/>
            <w:vAlign w:val="top"/>
          </w:tcPr>
          <w:p w14:paraId="2FD4E5C0">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6.5</w:t>
            </w:r>
          </w:p>
        </w:tc>
        <w:tc>
          <w:tcPr>
            <w:tcW w:w="454" w:type="pct"/>
            <w:tcBorders>
              <w:tl2br w:val="nil"/>
              <w:tr2bl w:val="nil"/>
            </w:tcBorders>
            <w:noWrap w:val="0"/>
            <w:vAlign w:val="center"/>
          </w:tcPr>
          <w:p w14:paraId="7D24D57E">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0.65</w:t>
            </w:r>
          </w:p>
        </w:tc>
        <w:tc>
          <w:tcPr>
            <w:tcW w:w="309" w:type="pct"/>
            <w:tcBorders>
              <w:tl2br w:val="nil"/>
              <w:tr2bl w:val="nil"/>
            </w:tcBorders>
            <w:noWrap w:val="0"/>
            <w:vAlign w:val="top"/>
          </w:tcPr>
          <w:p w14:paraId="725008F9">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s="Times New Roman"/>
                <w:color w:val="auto"/>
                <w:kern w:val="2"/>
                <w:sz w:val="21"/>
                <w:szCs w:val="21"/>
                <w:highlight w:val="none"/>
                <w:vertAlign w:val="baseline"/>
                <w:lang w:val="en-US" w:eastAsia="zh-CN" w:bidi="ar-SA"/>
              </w:rPr>
              <w:t>4.0</w:t>
            </w:r>
          </w:p>
        </w:tc>
        <w:tc>
          <w:tcPr>
            <w:tcW w:w="339" w:type="pct"/>
            <w:tcBorders>
              <w:tl2br w:val="nil"/>
              <w:tr2bl w:val="nil"/>
            </w:tcBorders>
            <w:noWrap w:val="0"/>
            <w:vAlign w:val="center"/>
          </w:tcPr>
          <w:p w14:paraId="185AA8E4">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0.40</w:t>
            </w:r>
          </w:p>
        </w:tc>
        <w:tc>
          <w:tcPr>
            <w:tcW w:w="312" w:type="pct"/>
            <w:tcBorders>
              <w:tl2br w:val="nil"/>
              <w:tr2bl w:val="nil"/>
            </w:tcBorders>
            <w:noWrap w:val="0"/>
            <w:vAlign w:val="top"/>
          </w:tcPr>
          <w:p w14:paraId="645C6713">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w:t>
            </w:r>
            <w:r>
              <w:rPr>
                <w:rFonts w:hint="eastAsia" w:ascii="Times New Roman" w:hAnsi="Times New Roman" w:eastAsia="宋体" w:cs="Times New Roman"/>
                <w:color w:val="auto"/>
                <w:kern w:val="2"/>
                <w:sz w:val="21"/>
                <w:szCs w:val="21"/>
                <w:highlight w:val="none"/>
                <w:vertAlign w:val="baseline"/>
                <w:lang w:val="en-US" w:eastAsia="zh-CN" w:bidi="ar-SA"/>
              </w:rPr>
              <w:t>2.5</w:t>
            </w:r>
          </w:p>
        </w:tc>
        <w:tc>
          <w:tcPr>
            <w:tcW w:w="314" w:type="pct"/>
            <w:tcBorders>
              <w:tl2br w:val="nil"/>
              <w:tr2bl w:val="nil"/>
            </w:tcBorders>
            <w:noWrap w:val="0"/>
            <w:vAlign w:val="center"/>
          </w:tcPr>
          <w:p w14:paraId="0782200C">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045FFA9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10</w:t>
            </w:r>
            <w:r>
              <w:rPr>
                <w:rFonts w:hint="default" w:ascii="Times New Roman" w:hAnsi="Times New Roman" w:eastAsia="宋体" w:cs="Times New Roman"/>
                <w:i w:val="0"/>
                <w:iCs w:val="0"/>
                <w:color w:val="auto"/>
                <w:kern w:val="0"/>
                <w:sz w:val="21"/>
                <w:szCs w:val="21"/>
                <w:highlight w:val="none"/>
                <w:u w:val="none"/>
                <w:lang w:val="en-US" w:eastAsia="zh-CN" w:bidi="ar"/>
              </w:rPr>
              <w:t>µg/L</w:t>
            </w:r>
          </w:p>
        </w:tc>
        <w:tc>
          <w:tcPr>
            <w:tcW w:w="393" w:type="pct"/>
            <w:tcBorders>
              <w:tl2br w:val="nil"/>
              <w:tr2bl w:val="nil"/>
            </w:tcBorders>
            <w:noWrap w:val="0"/>
            <w:vAlign w:val="top"/>
          </w:tcPr>
          <w:p w14:paraId="71B72979">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6E6FB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48F14EC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镉</w:t>
            </w:r>
          </w:p>
        </w:tc>
        <w:tc>
          <w:tcPr>
            <w:tcW w:w="320" w:type="pct"/>
            <w:tcBorders>
              <w:tl2br w:val="nil"/>
              <w:tr2bl w:val="nil"/>
            </w:tcBorders>
            <w:noWrap w:val="0"/>
            <w:vAlign w:val="center"/>
          </w:tcPr>
          <w:p w14:paraId="68449624">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ND</w:t>
            </w:r>
          </w:p>
        </w:tc>
        <w:tc>
          <w:tcPr>
            <w:tcW w:w="400" w:type="pct"/>
            <w:tcBorders>
              <w:tl2br w:val="nil"/>
              <w:tr2bl w:val="nil"/>
            </w:tcBorders>
            <w:noWrap w:val="0"/>
            <w:vAlign w:val="center"/>
          </w:tcPr>
          <w:p w14:paraId="7C84D9E9">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center"/>
          </w:tcPr>
          <w:p w14:paraId="7F30D2FB">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416" w:type="pct"/>
            <w:tcBorders>
              <w:tl2br w:val="nil"/>
              <w:tr2bl w:val="nil"/>
            </w:tcBorders>
            <w:noWrap w:val="0"/>
            <w:vAlign w:val="center"/>
          </w:tcPr>
          <w:p w14:paraId="4A55A74E">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68" w:type="pct"/>
            <w:tcBorders>
              <w:tl2br w:val="nil"/>
              <w:tr2bl w:val="nil"/>
            </w:tcBorders>
            <w:noWrap w:val="0"/>
            <w:vAlign w:val="center"/>
          </w:tcPr>
          <w:p w14:paraId="252B4826">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ND</w:t>
            </w:r>
          </w:p>
        </w:tc>
        <w:tc>
          <w:tcPr>
            <w:tcW w:w="454" w:type="pct"/>
            <w:tcBorders>
              <w:tl2br w:val="nil"/>
              <w:tr2bl w:val="nil"/>
            </w:tcBorders>
            <w:noWrap w:val="0"/>
            <w:vAlign w:val="center"/>
          </w:tcPr>
          <w:p w14:paraId="379EB5AE">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center"/>
          </w:tcPr>
          <w:p w14:paraId="02FDC519">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339" w:type="pct"/>
            <w:tcBorders>
              <w:tl2br w:val="nil"/>
              <w:tr2bl w:val="nil"/>
            </w:tcBorders>
            <w:noWrap w:val="0"/>
            <w:vAlign w:val="center"/>
          </w:tcPr>
          <w:p w14:paraId="7CCA0DA7">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312" w:type="pct"/>
            <w:tcBorders>
              <w:tl2br w:val="nil"/>
              <w:tr2bl w:val="nil"/>
            </w:tcBorders>
            <w:noWrap w:val="0"/>
            <w:vAlign w:val="center"/>
          </w:tcPr>
          <w:p w14:paraId="07B057C6">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314" w:type="pct"/>
            <w:tcBorders>
              <w:tl2br w:val="nil"/>
              <w:tr2bl w:val="nil"/>
            </w:tcBorders>
            <w:noWrap w:val="0"/>
            <w:vAlign w:val="center"/>
          </w:tcPr>
          <w:p w14:paraId="1CFC9F88">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70AC3D1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≤5</w:t>
            </w:r>
            <w:r>
              <w:rPr>
                <w:rFonts w:hint="default" w:ascii="Times New Roman" w:hAnsi="Times New Roman" w:eastAsia="宋体" w:cs="Times New Roman"/>
                <w:i w:val="0"/>
                <w:iCs w:val="0"/>
                <w:color w:val="auto"/>
                <w:kern w:val="0"/>
                <w:sz w:val="21"/>
                <w:szCs w:val="21"/>
                <w:highlight w:val="none"/>
                <w:u w:val="none"/>
                <w:lang w:val="en-US" w:eastAsia="zh-CN" w:bidi="ar"/>
              </w:rPr>
              <w:t>µg/L</w:t>
            </w:r>
          </w:p>
        </w:tc>
        <w:tc>
          <w:tcPr>
            <w:tcW w:w="393" w:type="pct"/>
            <w:tcBorders>
              <w:tl2br w:val="nil"/>
              <w:tr2bl w:val="nil"/>
            </w:tcBorders>
            <w:noWrap w:val="0"/>
            <w:vAlign w:val="top"/>
          </w:tcPr>
          <w:p w14:paraId="06CFB20F">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1D061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101DA56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铁</w:t>
            </w:r>
          </w:p>
        </w:tc>
        <w:tc>
          <w:tcPr>
            <w:tcW w:w="320" w:type="pct"/>
            <w:tcBorders>
              <w:tl2br w:val="nil"/>
              <w:tr2bl w:val="nil"/>
            </w:tcBorders>
            <w:noWrap w:val="0"/>
            <w:vAlign w:val="top"/>
          </w:tcPr>
          <w:p w14:paraId="3D409848">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0.19</w:t>
            </w:r>
          </w:p>
        </w:tc>
        <w:tc>
          <w:tcPr>
            <w:tcW w:w="400" w:type="pct"/>
            <w:tcBorders>
              <w:tl2br w:val="nil"/>
              <w:tr2bl w:val="nil"/>
            </w:tcBorders>
            <w:noWrap w:val="0"/>
            <w:vAlign w:val="center"/>
          </w:tcPr>
          <w:p w14:paraId="1A398CA6">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0.63</w:t>
            </w:r>
          </w:p>
        </w:tc>
        <w:tc>
          <w:tcPr>
            <w:tcW w:w="373" w:type="pct"/>
            <w:tcBorders>
              <w:tl2br w:val="nil"/>
              <w:tr2bl w:val="nil"/>
            </w:tcBorders>
            <w:noWrap w:val="0"/>
            <w:vAlign w:val="top"/>
          </w:tcPr>
          <w:p w14:paraId="242B1DE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0.19</w:t>
            </w:r>
          </w:p>
        </w:tc>
        <w:tc>
          <w:tcPr>
            <w:tcW w:w="416" w:type="pct"/>
            <w:tcBorders>
              <w:tl2br w:val="nil"/>
              <w:tr2bl w:val="nil"/>
            </w:tcBorders>
            <w:noWrap w:val="0"/>
            <w:vAlign w:val="center"/>
          </w:tcPr>
          <w:p w14:paraId="4E6455C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0.63</w:t>
            </w:r>
          </w:p>
        </w:tc>
        <w:tc>
          <w:tcPr>
            <w:tcW w:w="368" w:type="pct"/>
            <w:tcBorders>
              <w:tl2br w:val="nil"/>
              <w:tr2bl w:val="nil"/>
            </w:tcBorders>
            <w:noWrap w:val="0"/>
            <w:vAlign w:val="top"/>
          </w:tcPr>
          <w:p w14:paraId="1930B919">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0.24</w:t>
            </w:r>
          </w:p>
        </w:tc>
        <w:tc>
          <w:tcPr>
            <w:tcW w:w="454" w:type="pct"/>
            <w:tcBorders>
              <w:tl2br w:val="nil"/>
              <w:tr2bl w:val="nil"/>
            </w:tcBorders>
            <w:noWrap w:val="0"/>
            <w:vAlign w:val="center"/>
          </w:tcPr>
          <w:p w14:paraId="5C076F09">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0.8</w:t>
            </w:r>
          </w:p>
        </w:tc>
        <w:tc>
          <w:tcPr>
            <w:tcW w:w="309" w:type="pct"/>
            <w:tcBorders>
              <w:tl2br w:val="nil"/>
              <w:tr2bl w:val="nil"/>
            </w:tcBorders>
            <w:noWrap w:val="0"/>
            <w:vAlign w:val="top"/>
          </w:tcPr>
          <w:p w14:paraId="53C07180">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0.21</w:t>
            </w:r>
          </w:p>
        </w:tc>
        <w:tc>
          <w:tcPr>
            <w:tcW w:w="339" w:type="pct"/>
            <w:tcBorders>
              <w:tl2br w:val="nil"/>
              <w:tr2bl w:val="nil"/>
            </w:tcBorders>
            <w:noWrap w:val="0"/>
            <w:vAlign w:val="center"/>
          </w:tcPr>
          <w:p w14:paraId="199C2161">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0.7</w:t>
            </w:r>
          </w:p>
        </w:tc>
        <w:tc>
          <w:tcPr>
            <w:tcW w:w="312" w:type="pct"/>
            <w:tcBorders>
              <w:tl2br w:val="nil"/>
              <w:tr2bl w:val="nil"/>
            </w:tcBorders>
            <w:noWrap w:val="0"/>
            <w:vAlign w:val="top"/>
          </w:tcPr>
          <w:p w14:paraId="6F14EFD1">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0.16</w:t>
            </w:r>
          </w:p>
        </w:tc>
        <w:tc>
          <w:tcPr>
            <w:tcW w:w="314" w:type="pct"/>
            <w:tcBorders>
              <w:tl2br w:val="nil"/>
              <w:tr2bl w:val="nil"/>
            </w:tcBorders>
            <w:noWrap w:val="0"/>
            <w:vAlign w:val="center"/>
          </w:tcPr>
          <w:p w14:paraId="3DA9F849">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0.53</w:t>
            </w:r>
          </w:p>
        </w:tc>
        <w:tc>
          <w:tcPr>
            <w:tcW w:w="593" w:type="pct"/>
            <w:tcBorders>
              <w:tl2br w:val="nil"/>
              <w:tr2bl w:val="nil"/>
            </w:tcBorders>
            <w:noWrap w:val="0"/>
            <w:vAlign w:val="center"/>
          </w:tcPr>
          <w:p w14:paraId="3A15A9B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≤0.3</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62F68BA4">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7F711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606D533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锰</w:t>
            </w:r>
          </w:p>
        </w:tc>
        <w:tc>
          <w:tcPr>
            <w:tcW w:w="320" w:type="pct"/>
            <w:tcBorders>
              <w:tl2br w:val="nil"/>
              <w:tr2bl w:val="nil"/>
            </w:tcBorders>
            <w:noWrap w:val="0"/>
            <w:vAlign w:val="top"/>
          </w:tcPr>
          <w:p w14:paraId="3BDA4842">
            <w:pPr>
              <w:snapToGrid w:val="0"/>
              <w:jc w:val="center"/>
              <w:rPr>
                <w:rFonts w:hint="default" w:ascii="Times New Roman" w:hAnsi="Times New Roman" w:eastAsia="宋体"/>
                <w:color w:val="auto"/>
                <w:szCs w:val="21"/>
                <w:highlight w:val="none"/>
                <w:lang w:val="en-US"/>
              </w:rPr>
            </w:pPr>
            <w:r>
              <w:rPr>
                <w:rFonts w:hint="default" w:ascii="Times New Roman" w:hAnsi="Times New Roman" w:eastAsia="宋体" w:cs="Times New Roman"/>
                <w:color w:val="auto"/>
                <w:kern w:val="2"/>
                <w:sz w:val="21"/>
                <w:szCs w:val="21"/>
                <w:highlight w:val="none"/>
                <w:vertAlign w:val="baseline"/>
                <w:lang w:val="en-US" w:eastAsia="zh-CN" w:bidi="ar-SA"/>
              </w:rPr>
              <w:t>0</w:t>
            </w:r>
            <w:r>
              <w:rPr>
                <w:rFonts w:hint="eastAsia" w:ascii="Times New Roman" w:hAnsi="Times New Roman" w:eastAsia="宋体" w:cs="Times New Roman"/>
                <w:color w:val="auto"/>
                <w:kern w:val="2"/>
                <w:sz w:val="21"/>
                <w:szCs w:val="21"/>
                <w:highlight w:val="none"/>
                <w:vertAlign w:val="baseline"/>
                <w:lang w:val="en-US" w:eastAsia="zh-CN" w:bidi="ar-SA"/>
              </w:rPr>
              <w:t>.01L</w:t>
            </w:r>
          </w:p>
        </w:tc>
        <w:tc>
          <w:tcPr>
            <w:tcW w:w="400" w:type="pct"/>
            <w:tcBorders>
              <w:tl2br w:val="nil"/>
              <w:tr2bl w:val="nil"/>
            </w:tcBorders>
            <w:noWrap w:val="0"/>
            <w:vAlign w:val="center"/>
          </w:tcPr>
          <w:p w14:paraId="5EF43E80">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73" w:type="pct"/>
            <w:tcBorders>
              <w:tl2br w:val="nil"/>
              <w:tr2bl w:val="nil"/>
            </w:tcBorders>
            <w:noWrap w:val="0"/>
            <w:vAlign w:val="top"/>
          </w:tcPr>
          <w:p w14:paraId="6FB6D77D">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0.01</w:t>
            </w:r>
          </w:p>
        </w:tc>
        <w:tc>
          <w:tcPr>
            <w:tcW w:w="416" w:type="pct"/>
            <w:tcBorders>
              <w:tl2br w:val="nil"/>
              <w:tr2bl w:val="nil"/>
            </w:tcBorders>
            <w:noWrap w:val="0"/>
            <w:vAlign w:val="center"/>
          </w:tcPr>
          <w:p w14:paraId="7A3C2191">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0.1</w:t>
            </w:r>
          </w:p>
        </w:tc>
        <w:tc>
          <w:tcPr>
            <w:tcW w:w="368" w:type="pct"/>
            <w:tcBorders>
              <w:tl2br w:val="nil"/>
              <w:tr2bl w:val="nil"/>
            </w:tcBorders>
            <w:noWrap w:val="0"/>
            <w:vAlign w:val="top"/>
          </w:tcPr>
          <w:p w14:paraId="7DC9D358">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0.01</w:t>
            </w:r>
          </w:p>
        </w:tc>
        <w:tc>
          <w:tcPr>
            <w:tcW w:w="454" w:type="pct"/>
            <w:tcBorders>
              <w:tl2br w:val="nil"/>
              <w:tr2bl w:val="nil"/>
            </w:tcBorders>
            <w:noWrap w:val="0"/>
            <w:vAlign w:val="center"/>
          </w:tcPr>
          <w:p w14:paraId="7CCAA9D3">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0.1</w:t>
            </w:r>
          </w:p>
        </w:tc>
        <w:tc>
          <w:tcPr>
            <w:tcW w:w="309" w:type="pct"/>
            <w:tcBorders>
              <w:tl2br w:val="nil"/>
              <w:tr2bl w:val="nil"/>
            </w:tcBorders>
            <w:noWrap w:val="0"/>
            <w:vAlign w:val="top"/>
          </w:tcPr>
          <w:p w14:paraId="5C8DFC12">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0.01</w:t>
            </w:r>
          </w:p>
        </w:tc>
        <w:tc>
          <w:tcPr>
            <w:tcW w:w="339" w:type="pct"/>
            <w:tcBorders>
              <w:tl2br w:val="nil"/>
              <w:tr2bl w:val="nil"/>
            </w:tcBorders>
            <w:noWrap w:val="0"/>
            <w:vAlign w:val="center"/>
          </w:tcPr>
          <w:p w14:paraId="2B997AB9">
            <w:pPr>
              <w:snapToGrid w:val="0"/>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0.1</w:t>
            </w:r>
          </w:p>
        </w:tc>
        <w:tc>
          <w:tcPr>
            <w:tcW w:w="312" w:type="pct"/>
            <w:tcBorders>
              <w:tl2br w:val="nil"/>
              <w:tr2bl w:val="nil"/>
            </w:tcBorders>
            <w:noWrap w:val="0"/>
            <w:vAlign w:val="top"/>
          </w:tcPr>
          <w:p w14:paraId="4F109178">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w:t>
            </w:r>
            <w:r>
              <w:rPr>
                <w:rFonts w:hint="eastAsia" w:ascii="Times New Roman" w:hAnsi="Times New Roman" w:eastAsia="宋体" w:cs="Times New Roman"/>
                <w:color w:val="auto"/>
                <w:kern w:val="2"/>
                <w:sz w:val="21"/>
                <w:szCs w:val="21"/>
                <w:highlight w:val="none"/>
                <w:vertAlign w:val="baseline"/>
                <w:lang w:val="en-US" w:eastAsia="zh-CN" w:bidi="ar-SA"/>
              </w:rPr>
              <w:t>.01L</w:t>
            </w:r>
          </w:p>
        </w:tc>
        <w:tc>
          <w:tcPr>
            <w:tcW w:w="314" w:type="pct"/>
            <w:tcBorders>
              <w:tl2br w:val="nil"/>
              <w:tr2bl w:val="nil"/>
            </w:tcBorders>
            <w:noWrap w:val="0"/>
            <w:vAlign w:val="center"/>
          </w:tcPr>
          <w:p w14:paraId="6812E89A">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4B5AC8B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≤0.1</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5A4ACA7E">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7AB40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3A0F408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硫酸盐</w:t>
            </w:r>
          </w:p>
        </w:tc>
        <w:tc>
          <w:tcPr>
            <w:tcW w:w="320" w:type="pct"/>
            <w:tcBorders>
              <w:tl2br w:val="nil"/>
              <w:tr2bl w:val="nil"/>
            </w:tcBorders>
            <w:noWrap w:val="0"/>
            <w:vAlign w:val="center"/>
          </w:tcPr>
          <w:p w14:paraId="4105707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19.2</w:t>
            </w:r>
          </w:p>
        </w:tc>
        <w:tc>
          <w:tcPr>
            <w:tcW w:w="400" w:type="pct"/>
            <w:tcBorders>
              <w:tl2br w:val="nil"/>
              <w:tr2bl w:val="nil"/>
            </w:tcBorders>
            <w:noWrap w:val="0"/>
            <w:vAlign w:val="center"/>
          </w:tcPr>
          <w:p w14:paraId="756D5BEB">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0.77</w:t>
            </w:r>
          </w:p>
        </w:tc>
        <w:tc>
          <w:tcPr>
            <w:tcW w:w="373" w:type="pct"/>
            <w:tcBorders>
              <w:tl2br w:val="nil"/>
              <w:tr2bl w:val="nil"/>
            </w:tcBorders>
            <w:noWrap w:val="0"/>
            <w:vAlign w:val="center"/>
          </w:tcPr>
          <w:p w14:paraId="437E1FF8">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69.4</w:t>
            </w:r>
          </w:p>
        </w:tc>
        <w:tc>
          <w:tcPr>
            <w:tcW w:w="416" w:type="pct"/>
            <w:tcBorders>
              <w:tl2br w:val="nil"/>
              <w:tr2bl w:val="nil"/>
            </w:tcBorders>
            <w:noWrap w:val="0"/>
            <w:vAlign w:val="center"/>
          </w:tcPr>
          <w:p w14:paraId="568230FF">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0.278</w:t>
            </w:r>
          </w:p>
        </w:tc>
        <w:tc>
          <w:tcPr>
            <w:tcW w:w="368" w:type="pct"/>
            <w:tcBorders>
              <w:tl2br w:val="nil"/>
              <w:tr2bl w:val="nil"/>
            </w:tcBorders>
            <w:noWrap w:val="0"/>
            <w:vAlign w:val="center"/>
          </w:tcPr>
          <w:p w14:paraId="088D700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59.7</w:t>
            </w:r>
          </w:p>
        </w:tc>
        <w:tc>
          <w:tcPr>
            <w:tcW w:w="454" w:type="pct"/>
            <w:tcBorders>
              <w:tl2br w:val="nil"/>
              <w:tr2bl w:val="nil"/>
            </w:tcBorders>
            <w:noWrap w:val="0"/>
            <w:vAlign w:val="center"/>
          </w:tcPr>
          <w:p w14:paraId="3DA11685">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0.239</w:t>
            </w:r>
          </w:p>
        </w:tc>
        <w:tc>
          <w:tcPr>
            <w:tcW w:w="309" w:type="pct"/>
            <w:tcBorders>
              <w:tl2br w:val="nil"/>
              <w:tr2bl w:val="nil"/>
            </w:tcBorders>
            <w:noWrap w:val="0"/>
            <w:vAlign w:val="center"/>
          </w:tcPr>
          <w:p w14:paraId="44A393B8">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26.9</w:t>
            </w:r>
          </w:p>
        </w:tc>
        <w:tc>
          <w:tcPr>
            <w:tcW w:w="339" w:type="pct"/>
            <w:tcBorders>
              <w:tl2br w:val="nil"/>
              <w:tr2bl w:val="nil"/>
            </w:tcBorders>
            <w:noWrap w:val="0"/>
            <w:vAlign w:val="center"/>
          </w:tcPr>
          <w:p w14:paraId="555C6E73">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0.108</w:t>
            </w:r>
          </w:p>
        </w:tc>
        <w:tc>
          <w:tcPr>
            <w:tcW w:w="312" w:type="pct"/>
            <w:tcBorders>
              <w:tl2br w:val="nil"/>
              <w:tr2bl w:val="nil"/>
            </w:tcBorders>
            <w:noWrap w:val="0"/>
            <w:vAlign w:val="center"/>
          </w:tcPr>
          <w:p w14:paraId="0D71B14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39.2</w:t>
            </w:r>
          </w:p>
        </w:tc>
        <w:tc>
          <w:tcPr>
            <w:tcW w:w="314" w:type="pct"/>
            <w:tcBorders>
              <w:tl2br w:val="nil"/>
              <w:tr2bl w:val="nil"/>
            </w:tcBorders>
            <w:noWrap w:val="0"/>
            <w:vAlign w:val="center"/>
          </w:tcPr>
          <w:p w14:paraId="4616B911">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0.157</w:t>
            </w:r>
          </w:p>
        </w:tc>
        <w:tc>
          <w:tcPr>
            <w:tcW w:w="593" w:type="pct"/>
            <w:tcBorders>
              <w:tl2br w:val="nil"/>
              <w:tr2bl w:val="nil"/>
            </w:tcBorders>
            <w:noWrap w:val="0"/>
            <w:vAlign w:val="center"/>
          </w:tcPr>
          <w:p w14:paraId="6B68E27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≤250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4FCA896A">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26404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728AB22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氯化物</w:t>
            </w:r>
          </w:p>
        </w:tc>
        <w:tc>
          <w:tcPr>
            <w:tcW w:w="320" w:type="pct"/>
            <w:tcBorders>
              <w:tl2br w:val="nil"/>
              <w:tr2bl w:val="nil"/>
            </w:tcBorders>
            <w:noWrap w:val="0"/>
            <w:vAlign w:val="center"/>
          </w:tcPr>
          <w:p w14:paraId="475EE3E4">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39.3</w:t>
            </w:r>
          </w:p>
        </w:tc>
        <w:tc>
          <w:tcPr>
            <w:tcW w:w="400" w:type="pct"/>
            <w:tcBorders>
              <w:tl2br w:val="nil"/>
              <w:tr2bl w:val="nil"/>
            </w:tcBorders>
            <w:noWrap w:val="0"/>
            <w:vAlign w:val="center"/>
          </w:tcPr>
          <w:p w14:paraId="32E240CA">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0.157</w:t>
            </w:r>
          </w:p>
        </w:tc>
        <w:tc>
          <w:tcPr>
            <w:tcW w:w="373" w:type="pct"/>
            <w:tcBorders>
              <w:tl2br w:val="nil"/>
              <w:tr2bl w:val="nil"/>
            </w:tcBorders>
            <w:noWrap w:val="0"/>
            <w:vAlign w:val="center"/>
          </w:tcPr>
          <w:p w14:paraId="5216166E">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76.3</w:t>
            </w:r>
          </w:p>
        </w:tc>
        <w:tc>
          <w:tcPr>
            <w:tcW w:w="416" w:type="pct"/>
            <w:tcBorders>
              <w:tl2br w:val="nil"/>
              <w:tr2bl w:val="nil"/>
            </w:tcBorders>
            <w:noWrap w:val="0"/>
            <w:vAlign w:val="center"/>
          </w:tcPr>
          <w:p w14:paraId="64A07717">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0.305</w:t>
            </w:r>
          </w:p>
        </w:tc>
        <w:tc>
          <w:tcPr>
            <w:tcW w:w="368" w:type="pct"/>
            <w:tcBorders>
              <w:tl2br w:val="nil"/>
              <w:tr2bl w:val="nil"/>
            </w:tcBorders>
            <w:noWrap w:val="0"/>
            <w:vAlign w:val="center"/>
          </w:tcPr>
          <w:p w14:paraId="0BB2AFEF">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148</w:t>
            </w:r>
          </w:p>
        </w:tc>
        <w:tc>
          <w:tcPr>
            <w:tcW w:w="454" w:type="pct"/>
            <w:tcBorders>
              <w:tl2br w:val="nil"/>
              <w:tr2bl w:val="nil"/>
            </w:tcBorders>
            <w:noWrap w:val="0"/>
            <w:vAlign w:val="center"/>
          </w:tcPr>
          <w:p w14:paraId="1DF304A7">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0.592</w:t>
            </w:r>
          </w:p>
        </w:tc>
        <w:tc>
          <w:tcPr>
            <w:tcW w:w="309" w:type="pct"/>
            <w:tcBorders>
              <w:tl2br w:val="nil"/>
              <w:tr2bl w:val="nil"/>
            </w:tcBorders>
            <w:noWrap w:val="0"/>
            <w:vAlign w:val="center"/>
          </w:tcPr>
          <w:p w14:paraId="61A97EB5">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49.8</w:t>
            </w:r>
          </w:p>
        </w:tc>
        <w:tc>
          <w:tcPr>
            <w:tcW w:w="339" w:type="pct"/>
            <w:tcBorders>
              <w:tl2br w:val="nil"/>
              <w:tr2bl w:val="nil"/>
            </w:tcBorders>
            <w:noWrap w:val="0"/>
            <w:vAlign w:val="center"/>
          </w:tcPr>
          <w:p w14:paraId="7903A133">
            <w:pPr>
              <w:keepNext w:val="0"/>
              <w:keepLines w:val="0"/>
              <w:pageBreakBefore w:val="0"/>
              <w:kinsoku/>
              <w:wordWrap/>
              <w:overflowPunct/>
              <w:topLinePunct w:val="0"/>
              <w:autoSpaceDE/>
              <w:autoSpaceDN/>
              <w:bidi w:val="0"/>
              <w:adjustRightInd/>
              <w:snapToGrid w:val="0"/>
              <w:spacing w:line="240" w:lineRule="atLeast"/>
              <w:jc w:val="center"/>
              <w:rPr>
                <w:rFonts w:hint="default" w:ascii="Times New Roman" w:hAnsi="Times New Roman" w:eastAsia="宋体"/>
                <w:color w:val="auto"/>
                <w:szCs w:val="21"/>
                <w:highlight w:val="none"/>
                <w:lang w:val="en-US"/>
              </w:rPr>
            </w:pPr>
            <w:r>
              <w:rPr>
                <w:rFonts w:hint="eastAsia" w:ascii="Times New Roman" w:hAnsi="Times New Roman" w:eastAsia="宋体"/>
                <w:color w:val="auto"/>
                <w:szCs w:val="21"/>
                <w:highlight w:val="none"/>
                <w:lang w:val="en-US" w:eastAsia="zh-CN"/>
              </w:rPr>
              <w:t>0.199</w:t>
            </w:r>
          </w:p>
        </w:tc>
        <w:tc>
          <w:tcPr>
            <w:tcW w:w="312" w:type="pct"/>
            <w:tcBorders>
              <w:tl2br w:val="nil"/>
              <w:tr2bl w:val="nil"/>
            </w:tcBorders>
            <w:noWrap w:val="0"/>
            <w:vAlign w:val="center"/>
          </w:tcPr>
          <w:p w14:paraId="3F426107">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olor w:val="auto"/>
                <w:szCs w:val="21"/>
                <w:highlight w:val="none"/>
                <w:lang w:val="en-US"/>
              </w:rPr>
            </w:pPr>
            <w:r>
              <w:rPr>
                <w:rFonts w:hint="eastAsia" w:ascii="Times New Roman" w:hAnsi="Times New Roman" w:eastAsia="宋体" w:cs="Times New Roman"/>
                <w:color w:val="auto"/>
                <w:kern w:val="2"/>
                <w:sz w:val="21"/>
                <w:szCs w:val="21"/>
                <w:highlight w:val="none"/>
                <w:vertAlign w:val="baseline"/>
                <w:lang w:val="en-US" w:eastAsia="zh-CN" w:bidi="ar-SA"/>
              </w:rPr>
              <w:t>28.2</w:t>
            </w:r>
          </w:p>
        </w:tc>
        <w:tc>
          <w:tcPr>
            <w:tcW w:w="314" w:type="pct"/>
            <w:tcBorders>
              <w:tl2br w:val="nil"/>
              <w:tr2bl w:val="nil"/>
            </w:tcBorders>
            <w:noWrap w:val="0"/>
            <w:vAlign w:val="center"/>
          </w:tcPr>
          <w:p w14:paraId="29268A9D">
            <w:pPr>
              <w:keepNext w:val="0"/>
              <w:keepLines w:val="0"/>
              <w:pageBreakBefore w:val="0"/>
              <w:kinsoku/>
              <w:wordWrap/>
              <w:overflowPunct/>
              <w:topLinePunct w:val="0"/>
              <w:autoSpaceDE/>
              <w:autoSpaceDN/>
              <w:bidi w:val="0"/>
              <w:adjustRightInd/>
              <w:snapToGrid w:val="0"/>
              <w:spacing w:line="240" w:lineRule="atLeast"/>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0.113</w:t>
            </w:r>
          </w:p>
        </w:tc>
        <w:tc>
          <w:tcPr>
            <w:tcW w:w="593" w:type="pct"/>
            <w:tcBorders>
              <w:tl2br w:val="nil"/>
              <w:tr2bl w:val="nil"/>
            </w:tcBorders>
            <w:noWrap w:val="0"/>
            <w:vAlign w:val="center"/>
          </w:tcPr>
          <w:p w14:paraId="6A4FEB7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≤250</w:t>
            </w: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393" w:type="pct"/>
            <w:tcBorders>
              <w:tl2br w:val="nil"/>
              <w:tr2bl w:val="nil"/>
            </w:tcBorders>
            <w:noWrap w:val="0"/>
            <w:vAlign w:val="top"/>
          </w:tcPr>
          <w:p w14:paraId="1BA80DCF">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1682A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42D176D0">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总大肠菌群</w:t>
            </w:r>
          </w:p>
        </w:tc>
        <w:tc>
          <w:tcPr>
            <w:tcW w:w="320" w:type="pct"/>
            <w:tcBorders>
              <w:tl2br w:val="nil"/>
              <w:tr2bl w:val="nil"/>
            </w:tcBorders>
            <w:noWrap w:val="0"/>
            <w:vAlign w:val="center"/>
          </w:tcPr>
          <w:p w14:paraId="17806972">
            <w:pPr>
              <w:keepNext w:val="0"/>
              <w:keepLines w:val="0"/>
              <w:widowControl/>
              <w:suppressLineNumbers w:val="0"/>
              <w:jc w:val="center"/>
              <w:textAlignment w:val="center"/>
              <w:rPr>
                <w:rFonts w:ascii="Times New Roman" w:hAnsi="Times New Roman" w:eastAsia="宋体"/>
                <w:color w:val="auto"/>
                <w:szCs w:val="21"/>
                <w:highlight w:val="none"/>
              </w:rPr>
            </w:pPr>
            <w:r>
              <w:rPr>
                <w:rFonts w:hint="eastAsia" w:ascii="Times New Roman" w:hAnsi="Times New Roman" w:eastAsia="宋体" w:cs="Times New Roman"/>
                <w:color w:val="auto"/>
                <w:kern w:val="2"/>
                <w:sz w:val="21"/>
                <w:szCs w:val="21"/>
                <w:highlight w:val="none"/>
                <w:vertAlign w:val="baseline"/>
                <w:lang w:val="en-US" w:eastAsia="zh-CN" w:bidi="ar-SA"/>
              </w:rPr>
              <w:t>2</w:t>
            </w:r>
          </w:p>
        </w:tc>
        <w:tc>
          <w:tcPr>
            <w:tcW w:w="400" w:type="pct"/>
            <w:tcBorders>
              <w:tl2br w:val="nil"/>
              <w:tr2bl w:val="nil"/>
            </w:tcBorders>
            <w:noWrap w:val="0"/>
            <w:vAlign w:val="center"/>
          </w:tcPr>
          <w:p w14:paraId="602C1DB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0.67</w:t>
            </w:r>
          </w:p>
        </w:tc>
        <w:tc>
          <w:tcPr>
            <w:tcW w:w="373" w:type="pct"/>
            <w:tcBorders>
              <w:tl2br w:val="nil"/>
              <w:tr2bl w:val="nil"/>
            </w:tcBorders>
            <w:noWrap w:val="0"/>
            <w:vAlign w:val="center"/>
          </w:tcPr>
          <w:p w14:paraId="51F11754">
            <w:pPr>
              <w:keepNext w:val="0"/>
              <w:keepLines w:val="0"/>
              <w:widowControl/>
              <w:suppressLineNumbers w:val="0"/>
              <w:jc w:val="center"/>
              <w:textAlignment w:val="center"/>
              <w:rPr>
                <w:rFonts w:ascii="Times New Roman" w:hAnsi="Times New Roman" w:eastAsia="宋体"/>
                <w:color w:val="auto"/>
                <w:szCs w:val="21"/>
                <w:highlight w:val="none"/>
              </w:rPr>
            </w:pPr>
            <w:r>
              <w:rPr>
                <w:rFonts w:hint="eastAsia" w:ascii="Times New Roman" w:hAnsi="Times New Roman" w:eastAsia="宋体" w:cs="Times New Roman"/>
                <w:color w:val="auto"/>
                <w:kern w:val="2"/>
                <w:sz w:val="21"/>
                <w:szCs w:val="21"/>
                <w:highlight w:val="none"/>
                <w:vertAlign w:val="baseline"/>
                <w:lang w:val="en-US" w:eastAsia="zh-CN" w:bidi="ar-SA"/>
              </w:rPr>
              <w:t>2</w:t>
            </w:r>
          </w:p>
        </w:tc>
        <w:tc>
          <w:tcPr>
            <w:tcW w:w="416" w:type="pct"/>
            <w:tcBorders>
              <w:tl2br w:val="nil"/>
              <w:tr2bl w:val="nil"/>
            </w:tcBorders>
            <w:noWrap w:val="0"/>
            <w:vAlign w:val="center"/>
          </w:tcPr>
          <w:p w14:paraId="3B1760C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0.67</w:t>
            </w:r>
          </w:p>
        </w:tc>
        <w:tc>
          <w:tcPr>
            <w:tcW w:w="368" w:type="pct"/>
            <w:tcBorders>
              <w:tl2br w:val="nil"/>
              <w:tr2bl w:val="nil"/>
            </w:tcBorders>
            <w:noWrap w:val="0"/>
            <w:vAlign w:val="center"/>
          </w:tcPr>
          <w:p w14:paraId="1E9068DE">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454" w:type="pct"/>
            <w:tcBorders>
              <w:tl2br w:val="nil"/>
              <w:tr2bl w:val="nil"/>
            </w:tcBorders>
            <w:noWrap w:val="0"/>
            <w:vAlign w:val="center"/>
          </w:tcPr>
          <w:p w14:paraId="4B137DE8">
            <w:pPr>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09" w:type="pct"/>
            <w:tcBorders>
              <w:tl2br w:val="nil"/>
              <w:tr2bl w:val="nil"/>
            </w:tcBorders>
            <w:noWrap w:val="0"/>
            <w:vAlign w:val="center"/>
          </w:tcPr>
          <w:p w14:paraId="2E699C1A">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339" w:type="pct"/>
            <w:tcBorders>
              <w:tl2br w:val="nil"/>
              <w:tr2bl w:val="nil"/>
            </w:tcBorders>
            <w:noWrap w:val="0"/>
            <w:vAlign w:val="center"/>
          </w:tcPr>
          <w:p w14:paraId="4D10AFA9">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312" w:type="pct"/>
            <w:tcBorders>
              <w:tl2br w:val="nil"/>
              <w:tr2bl w:val="nil"/>
            </w:tcBorders>
            <w:noWrap w:val="0"/>
            <w:vAlign w:val="center"/>
          </w:tcPr>
          <w:p w14:paraId="661CEFB0">
            <w:pPr>
              <w:snapToGrid w:val="0"/>
              <w:jc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314" w:type="pct"/>
            <w:tcBorders>
              <w:tl2br w:val="nil"/>
              <w:tr2bl w:val="nil"/>
            </w:tcBorders>
            <w:noWrap w:val="0"/>
            <w:vAlign w:val="center"/>
          </w:tcPr>
          <w:p w14:paraId="47B33F91">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w:t>
            </w:r>
          </w:p>
        </w:tc>
        <w:tc>
          <w:tcPr>
            <w:tcW w:w="593" w:type="pct"/>
            <w:tcBorders>
              <w:tl2br w:val="nil"/>
              <w:tr2bl w:val="nil"/>
            </w:tcBorders>
            <w:noWrap w:val="0"/>
            <w:vAlign w:val="center"/>
          </w:tcPr>
          <w:p w14:paraId="6D27CE3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3.0</w:t>
            </w:r>
            <w:r>
              <w:rPr>
                <w:rFonts w:hint="default" w:ascii="Times New Roman" w:hAnsi="Times New Roman" w:eastAsia="宋体" w:cs="Times New Roman"/>
                <w:i w:val="0"/>
                <w:iCs w:val="0"/>
                <w:color w:val="auto"/>
                <w:kern w:val="0"/>
                <w:sz w:val="21"/>
                <w:szCs w:val="21"/>
                <w:highlight w:val="none"/>
                <w:u w:val="none"/>
                <w:lang w:val="en-US" w:eastAsia="zh-CN" w:bidi="ar"/>
              </w:rPr>
              <w:t>MPN/100ml</w:t>
            </w:r>
          </w:p>
        </w:tc>
        <w:tc>
          <w:tcPr>
            <w:tcW w:w="393" w:type="pct"/>
            <w:tcBorders>
              <w:tl2br w:val="nil"/>
              <w:tr2bl w:val="nil"/>
            </w:tcBorders>
            <w:noWrap w:val="0"/>
            <w:vAlign w:val="top"/>
          </w:tcPr>
          <w:p w14:paraId="4B88DE36">
            <w:pPr>
              <w:snapToGrid w:val="0"/>
              <w:jc w:val="center"/>
              <w:rPr>
                <w:rFonts w:hint="eastAsia" w:ascii="Times New Roman" w:hAnsi="Times New Roman" w:eastAsia="宋体"/>
                <w:color w:val="auto"/>
                <w:szCs w:val="21"/>
                <w:highlight w:val="none"/>
              </w:rPr>
            </w:pPr>
            <w:r>
              <w:rPr>
                <w:rFonts w:hint="eastAsia" w:ascii="Times New Roman" w:hAnsi="Times New Roman" w:eastAsia="宋体"/>
                <w:color w:val="auto"/>
                <w:szCs w:val="21"/>
                <w:highlight w:val="none"/>
              </w:rPr>
              <w:t>达标</w:t>
            </w:r>
          </w:p>
        </w:tc>
      </w:tr>
      <w:tr w14:paraId="17F76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2" w:type="pct"/>
            <w:tcBorders>
              <w:tl2br w:val="nil"/>
              <w:tr2bl w:val="nil"/>
            </w:tcBorders>
            <w:noWrap w:val="0"/>
            <w:vAlign w:val="center"/>
          </w:tcPr>
          <w:p w14:paraId="6545BE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color w:val="auto"/>
                <w:szCs w:val="21"/>
                <w:highlight w:val="none"/>
                <w:lang w:val="en-US" w:eastAsia="zh-CN"/>
              </w:rPr>
              <w:t>可萃取性石油烃</w:t>
            </w:r>
          </w:p>
        </w:tc>
        <w:tc>
          <w:tcPr>
            <w:tcW w:w="320" w:type="pct"/>
            <w:tcBorders>
              <w:tl2br w:val="nil"/>
              <w:tr2bl w:val="nil"/>
            </w:tcBorders>
            <w:noWrap w:val="0"/>
            <w:vAlign w:val="center"/>
          </w:tcPr>
          <w:p w14:paraId="7764B07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400" w:type="pct"/>
            <w:tcBorders>
              <w:tl2br w:val="nil"/>
              <w:tr2bl w:val="nil"/>
            </w:tcBorders>
            <w:noWrap w:val="0"/>
            <w:vAlign w:val="center"/>
          </w:tcPr>
          <w:p w14:paraId="6583ABEC">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w:t>
            </w:r>
          </w:p>
        </w:tc>
        <w:tc>
          <w:tcPr>
            <w:tcW w:w="373" w:type="pct"/>
            <w:tcBorders>
              <w:tl2br w:val="nil"/>
              <w:tr2bl w:val="nil"/>
            </w:tcBorders>
            <w:noWrap w:val="0"/>
            <w:vAlign w:val="center"/>
          </w:tcPr>
          <w:p w14:paraId="31ED66E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416" w:type="pct"/>
            <w:tcBorders>
              <w:tl2br w:val="nil"/>
              <w:tr2bl w:val="nil"/>
            </w:tcBorders>
            <w:noWrap w:val="0"/>
            <w:vAlign w:val="center"/>
          </w:tcPr>
          <w:p w14:paraId="21DA7A09">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w:t>
            </w:r>
          </w:p>
        </w:tc>
        <w:tc>
          <w:tcPr>
            <w:tcW w:w="368" w:type="pct"/>
            <w:tcBorders>
              <w:tl2br w:val="nil"/>
              <w:tr2bl w:val="nil"/>
            </w:tcBorders>
            <w:noWrap w:val="0"/>
            <w:vAlign w:val="center"/>
          </w:tcPr>
          <w:p w14:paraId="1789732E">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454" w:type="pct"/>
            <w:tcBorders>
              <w:tl2br w:val="nil"/>
              <w:tr2bl w:val="nil"/>
            </w:tcBorders>
            <w:noWrap w:val="0"/>
            <w:vAlign w:val="center"/>
          </w:tcPr>
          <w:p w14:paraId="62188CC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0.6</w:t>
            </w:r>
          </w:p>
        </w:tc>
        <w:tc>
          <w:tcPr>
            <w:tcW w:w="309" w:type="pct"/>
            <w:tcBorders>
              <w:tl2br w:val="nil"/>
              <w:tr2bl w:val="nil"/>
            </w:tcBorders>
            <w:noWrap w:val="0"/>
            <w:vAlign w:val="center"/>
          </w:tcPr>
          <w:p w14:paraId="413313B0">
            <w:pPr>
              <w:snapToGrid w:val="0"/>
              <w:jc w:val="center"/>
              <w:rPr>
                <w:rFonts w:hint="default" w:ascii="Times New Roman" w:hAnsi="Times New Roman" w:eastAsia="宋体"/>
                <w:color w:val="auto"/>
                <w:szCs w:val="21"/>
                <w:highlight w:val="none"/>
                <w:lang w:val="en-US" w:eastAsia="zh-CN"/>
              </w:rPr>
            </w:pPr>
          </w:p>
        </w:tc>
        <w:tc>
          <w:tcPr>
            <w:tcW w:w="339" w:type="pct"/>
            <w:tcBorders>
              <w:tl2br w:val="nil"/>
              <w:tr2bl w:val="nil"/>
            </w:tcBorders>
            <w:noWrap w:val="0"/>
            <w:vAlign w:val="center"/>
          </w:tcPr>
          <w:p w14:paraId="21DDA0E5">
            <w:pPr>
              <w:snapToGrid w:val="0"/>
              <w:jc w:val="center"/>
              <w:rPr>
                <w:rFonts w:hint="default" w:ascii="Times New Roman" w:hAnsi="Times New Roman" w:eastAsia="宋体"/>
                <w:color w:val="auto"/>
                <w:szCs w:val="21"/>
                <w:highlight w:val="none"/>
                <w:lang w:val="en-US" w:eastAsia="zh-CN"/>
              </w:rPr>
            </w:pPr>
          </w:p>
        </w:tc>
        <w:tc>
          <w:tcPr>
            <w:tcW w:w="312" w:type="pct"/>
            <w:tcBorders>
              <w:tl2br w:val="nil"/>
              <w:tr2bl w:val="nil"/>
            </w:tcBorders>
            <w:noWrap w:val="0"/>
            <w:vAlign w:val="center"/>
          </w:tcPr>
          <w:p w14:paraId="2A232091">
            <w:pPr>
              <w:snapToGrid w:val="0"/>
              <w:jc w:val="center"/>
              <w:rPr>
                <w:rFonts w:ascii="Times New Roman" w:hAnsi="Times New Roman" w:eastAsia="宋体"/>
                <w:color w:val="auto"/>
                <w:szCs w:val="21"/>
                <w:highlight w:val="none"/>
              </w:rPr>
            </w:pPr>
          </w:p>
        </w:tc>
        <w:tc>
          <w:tcPr>
            <w:tcW w:w="314" w:type="pct"/>
            <w:tcBorders>
              <w:tl2br w:val="nil"/>
              <w:tr2bl w:val="nil"/>
            </w:tcBorders>
            <w:noWrap w:val="0"/>
            <w:vAlign w:val="center"/>
          </w:tcPr>
          <w:p w14:paraId="66B84E43">
            <w:pPr>
              <w:snapToGrid w:val="0"/>
              <w:jc w:val="center"/>
              <w:rPr>
                <w:rFonts w:ascii="Times New Roman" w:hAnsi="Times New Roman" w:eastAsia="宋体"/>
                <w:color w:val="auto"/>
                <w:szCs w:val="21"/>
                <w:highlight w:val="none"/>
              </w:rPr>
            </w:pPr>
          </w:p>
        </w:tc>
        <w:tc>
          <w:tcPr>
            <w:tcW w:w="593" w:type="pct"/>
            <w:tcBorders>
              <w:tl2br w:val="nil"/>
              <w:tr2bl w:val="nil"/>
            </w:tcBorders>
            <w:noWrap w:val="0"/>
            <w:vAlign w:val="center"/>
          </w:tcPr>
          <w:p w14:paraId="24E17D74">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c>
          <w:tcPr>
            <w:tcW w:w="393" w:type="pct"/>
            <w:tcBorders>
              <w:tl2br w:val="nil"/>
              <w:tr2bl w:val="nil"/>
            </w:tcBorders>
            <w:noWrap w:val="0"/>
            <w:vAlign w:val="top"/>
          </w:tcPr>
          <w:p w14:paraId="08E32824">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w:t>
            </w:r>
          </w:p>
        </w:tc>
      </w:tr>
    </w:tbl>
    <w:p w14:paraId="26E1CEFA">
      <w:pPr>
        <w:pStyle w:val="352"/>
        <w:ind w:firstLine="480"/>
        <w:rPr>
          <w:rFonts w:hint="eastAsia"/>
          <w:color w:val="auto"/>
          <w:highlight w:val="none"/>
        </w:rPr>
      </w:pPr>
      <w:r>
        <w:rPr>
          <w:rFonts w:hint="eastAsia"/>
          <w:color w:val="auto"/>
          <w:highlight w:val="none"/>
          <w:lang w:val="en-US" w:eastAsia="zh-CN"/>
        </w:rPr>
        <w:t>注：ND未检出‌；‌低于方法检出L‌。</w:t>
      </w:r>
    </w:p>
    <w:p w14:paraId="51748F5A">
      <w:pPr>
        <w:pStyle w:val="352"/>
        <w:ind w:firstLine="480"/>
        <w:rPr>
          <w:rFonts w:hint="eastAsia"/>
          <w:color w:val="auto"/>
          <w:highlight w:val="none"/>
        </w:rPr>
      </w:pPr>
    </w:p>
    <w:p w14:paraId="541B653A">
      <w:pPr>
        <w:pStyle w:val="352"/>
        <w:ind w:firstLine="480"/>
        <w:rPr>
          <w:color w:val="auto"/>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type="linesAndChars" w:linePitch="312" w:charSpace="0"/>
        </w:sectPr>
      </w:pPr>
    </w:p>
    <w:p w14:paraId="611555B1">
      <w:pPr>
        <w:snapToGrid w:val="0"/>
        <w:spacing w:before="62" w:beforeLines="20" w:after="62" w:afterLines="20"/>
        <w:jc w:val="center"/>
        <w:rPr>
          <w:rFonts w:ascii="Times New Roman" w:hAnsi="Times New Roman" w:eastAsia="宋体"/>
          <w:b/>
          <w:color w:val="auto"/>
          <w:sz w:val="24"/>
          <w:szCs w:val="24"/>
          <w:highlight w:val="none"/>
        </w:rPr>
      </w:pPr>
      <w:r>
        <w:rPr>
          <w:rFonts w:ascii="Times New Roman" w:hAnsi="Times New Roman" w:eastAsia="宋体"/>
          <w:b/>
          <w:color w:val="auto"/>
          <w:sz w:val="24"/>
          <w:szCs w:val="24"/>
          <w:highlight w:val="none"/>
        </w:rPr>
        <w:t>表</w:t>
      </w:r>
      <w:r>
        <w:rPr>
          <w:rFonts w:hint="eastAsia" w:ascii="Times New Roman" w:hAnsi="Times New Roman" w:eastAsia="宋体"/>
          <w:b/>
          <w:color w:val="auto"/>
          <w:sz w:val="24"/>
          <w:szCs w:val="24"/>
          <w:highlight w:val="none"/>
        </w:rPr>
        <w:t>4</w:t>
      </w:r>
      <w:r>
        <w:rPr>
          <w:rFonts w:ascii="Times New Roman" w:hAnsi="Times New Roman" w:eastAsia="宋体"/>
          <w:b/>
          <w:color w:val="auto"/>
          <w:sz w:val="24"/>
          <w:szCs w:val="24"/>
          <w:highlight w:val="none"/>
        </w:rPr>
        <w:t>.2-</w:t>
      </w:r>
      <w:r>
        <w:rPr>
          <w:rFonts w:hint="eastAsia" w:ascii="Times New Roman" w:hAnsi="Times New Roman" w:eastAsia="宋体"/>
          <w:b/>
          <w:color w:val="auto"/>
          <w:sz w:val="24"/>
          <w:szCs w:val="24"/>
          <w:highlight w:val="none"/>
          <w:lang w:val="en-US" w:eastAsia="zh-CN"/>
        </w:rPr>
        <w:t xml:space="preserve">9  </w:t>
      </w:r>
      <w:r>
        <w:rPr>
          <w:rFonts w:ascii="Times New Roman" w:hAnsi="Times New Roman" w:eastAsia="宋体"/>
          <w:b/>
          <w:color w:val="auto"/>
          <w:sz w:val="24"/>
          <w:szCs w:val="24"/>
          <w:highlight w:val="none"/>
        </w:rPr>
        <w:t>K</w:t>
      </w:r>
      <w:r>
        <w:rPr>
          <w:rFonts w:ascii="Times New Roman" w:hAnsi="Times New Roman" w:eastAsia="宋体"/>
          <w:b/>
          <w:color w:val="auto"/>
          <w:sz w:val="24"/>
          <w:szCs w:val="24"/>
          <w:highlight w:val="none"/>
          <w:vertAlign w:val="superscript"/>
        </w:rPr>
        <w:t>+</w:t>
      </w:r>
      <w:r>
        <w:rPr>
          <w:rFonts w:ascii="Times New Roman" w:hAnsi="Times New Roman" w:eastAsia="宋体"/>
          <w:b/>
          <w:color w:val="auto"/>
          <w:sz w:val="24"/>
          <w:szCs w:val="24"/>
          <w:highlight w:val="none"/>
        </w:rPr>
        <w:t>、Na</w:t>
      </w:r>
      <w:r>
        <w:rPr>
          <w:rFonts w:ascii="Times New Roman" w:hAnsi="Times New Roman" w:eastAsia="宋体"/>
          <w:b/>
          <w:color w:val="auto"/>
          <w:sz w:val="24"/>
          <w:szCs w:val="24"/>
          <w:highlight w:val="none"/>
          <w:vertAlign w:val="superscript"/>
        </w:rPr>
        <w:t>+</w:t>
      </w:r>
      <w:r>
        <w:rPr>
          <w:rFonts w:ascii="Times New Roman" w:hAnsi="Times New Roman" w:eastAsia="宋体"/>
          <w:b/>
          <w:color w:val="auto"/>
          <w:sz w:val="24"/>
          <w:szCs w:val="24"/>
          <w:highlight w:val="none"/>
        </w:rPr>
        <w:t>、Ca</w:t>
      </w:r>
      <w:r>
        <w:rPr>
          <w:rFonts w:ascii="Times New Roman" w:hAnsi="Times New Roman" w:eastAsia="宋体"/>
          <w:b/>
          <w:color w:val="auto"/>
          <w:sz w:val="24"/>
          <w:szCs w:val="24"/>
          <w:highlight w:val="none"/>
          <w:vertAlign w:val="superscript"/>
        </w:rPr>
        <w:t>2+</w:t>
      </w:r>
      <w:r>
        <w:rPr>
          <w:rFonts w:ascii="Times New Roman" w:hAnsi="Times New Roman" w:eastAsia="宋体"/>
          <w:b/>
          <w:color w:val="auto"/>
          <w:sz w:val="24"/>
          <w:szCs w:val="24"/>
          <w:highlight w:val="none"/>
        </w:rPr>
        <w:t>等离子的浓度监测结果单位：mg/L</w:t>
      </w:r>
    </w:p>
    <w:tbl>
      <w:tblPr>
        <w:tblStyle w:val="49"/>
        <w:tblW w:w="503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90"/>
        <w:gridCol w:w="1348"/>
        <w:gridCol w:w="1348"/>
        <w:gridCol w:w="1283"/>
        <w:gridCol w:w="1415"/>
        <w:gridCol w:w="1284"/>
      </w:tblGrid>
      <w:tr w14:paraId="5AADE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8" w:hRule="atLeast"/>
          <w:tblHeader/>
        </w:trPr>
        <w:tc>
          <w:tcPr>
            <w:tcW w:w="1009" w:type="pct"/>
            <w:vMerge w:val="restart"/>
            <w:tcBorders>
              <w:tl2br w:val="nil"/>
              <w:tr2bl w:val="nil"/>
            </w:tcBorders>
            <w:noWrap w:val="0"/>
            <w:vAlign w:val="center"/>
          </w:tcPr>
          <w:p w14:paraId="0D273324">
            <w:pPr>
              <w:adjustRightInd w:val="0"/>
              <w:snapToGrid w:val="0"/>
              <w:ind w:right="105"/>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采样点</w:t>
            </w:r>
          </w:p>
          <w:p w14:paraId="3E72D4EE">
            <w:pPr>
              <w:adjustRightInd w:val="0"/>
              <w:snapToGrid w:val="0"/>
              <w:ind w:firstLine="420" w:firstLineChars="199"/>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项目</w:t>
            </w:r>
          </w:p>
        </w:tc>
        <w:tc>
          <w:tcPr>
            <w:tcW w:w="805" w:type="pct"/>
            <w:tcBorders>
              <w:tl2br w:val="nil"/>
              <w:tr2bl w:val="nil"/>
            </w:tcBorders>
            <w:noWrap w:val="0"/>
            <w:vAlign w:val="center"/>
          </w:tcPr>
          <w:p w14:paraId="1BD3969F">
            <w:pPr>
              <w:adjustRightInd w:val="0"/>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D</w:t>
            </w:r>
            <w:r>
              <w:rPr>
                <w:rFonts w:ascii="Times New Roman" w:hAnsi="Times New Roman" w:eastAsia="宋体"/>
                <w:b/>
                <w:color w:val="auto"/>
                <w:szCs w:val="21"/>
                <w:highlight w:val="none"/>
              </w:rPr>
              <w:t>1</w:t>
            </w:r>
          </w:p>
        </w:tc>
        <w:tc>
          <w:tcPr>
            <w:tcW w:w="805" w:type="pct"/>
            <w:tcBorders>
              <w:tl2br w:val="nil"/>
              <w:tr2bl w:val="nil"/>
            </w:tcBorders>
            <w:noWrap w:val="0"/>
            <w:vAlign w:val="center"/>
          </w:tcPr>
          <w:p w14:paraId="026FC030">
            <w:pPr>
              <w:adjustRightInd w:val="0"/>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D</w:t>
            </w:r>
            <w:r>
              <w:rPr>
                <w:rFonts w:ascii="Times New Roman" w:hAnsi="Times New Roman" w:eastAsia="宋体"/>
                <w:b/>
                <w:color w:val="auto"/>
                <w:szCs w:val="21"/>
                <w:highlight w:val="none"/>
              </w:rPr>
              <w:t>2</w:t>
            </w:r>
          </w:p>
        </w:tc>
        <w:tc>
          <w:tcPr>
            <w:tcW w:w="766" w:type="pct"/>
            <w:tcBorders>
              <w:tl2br w:val="nil"/>
              <w:tr2bl w:val="nil"/>
            </w:tcBorders>
            <w:noWrap w:val="0"/>
            <w:vAlign w:val="center"/>
          </w:tcPr>
          <w:p w14:paraId="186D9191">
            <w:pPr>
              <w:adjustRightInd w:val="0"/>
              <w:snapToGrid w:val="0"/>
              <w:jc w:val="center"/>
              <w:rPr>
                <w:rFonts w:ascii="Times New Roman" w:hAnsi="Times New Roman" w:eastAsia="宋体"/>
                <w:b/>
                <w:color w:val="auto"/>
                <w:szCs w:val="21"/>
                <w:highlight w:val="none"/>
              </w:rPr>
            </w:pPr>
            <w:r>
              <w:rPr>
                <w:rFonts w:hint="eastAsia" w:ascii="Times New Roman" w:hAnsi="Times New Roman" w:eastAsia="宋体"/>
                <w:b/>
                <w:color w:val="auto"/>
                <w:szCs w:val="21"/>
                <w:highlight w:val="none"/>
                <w:lang w:val="en-US" w:eastAsia="zh-CN"/>
              </w:rPr>
              <w:t>D</w:t>
            </w:r>
            <w:r>
              <w:rPr>
                <w:rFonts w:ascii="Times New Roman" w:hAnsi="Times New Roman" w:eastAsia="宋体"/>
                <w:b/>
                <w:color w:val="auto"/>
                <w:szCs w:val="21"/>
                <w:highlight w:val="none"/>
              </w:rPr>
              <w:t>3</w:t>
            </w:r>
          </w:p>
        </w:tc>
        <w:tc>
          <w:tcPr>
            <w:tcW w:w="845" w:type="pct"/>
            <w:tcBorders>
              <w:tl2br w:val="nil"/>
              <w:tr2bl w:val="nil"/>
            </w:tcBorders>
            <w:noWrap w:val="0"/>
            <w:vAlign w:val="center"/>
          </w:tcPr>
          <w:p w14:paraId="1BC98471">
            <w:pPr>
              <w:adjustRightInd w:val="0"/>
              <w:snapToGrid w:val="0"/>
              <w:jc w:val="center"/>
              <w:rPr>
                <w:rFonts w:hint="eastAsia"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D4</w:t>
            </w:r>
          </w:p>
        </w:tc>
        <w:tc>
          <w:tcPr>
            <w:tcW w:w="767" w:type="pct"/>
            <w:tcBorders>
              <w:tl2br w:val="nil"/>
              <w:tr2bl w:val="nil"/>
            </w:tcBorders>
            <w:noWrap w:val="0"/>
            <w:vAlign w:val="center"/>
          </w:tcPr>
          <w:p w14:paraId="62739155">
            <w:pPr>
              <w:adjustRightInd w:val="0"/>
              <w:snapToGrid w:val="0"/>
              <w:jc w:val="center"/>
              <w:rPr>
                <w:rFonts w:hint="eastAsia" w:ascii="Times New Roman" w:hAnsi="Times New Roman" w:eastAsia="宋体"/>
                <w:b/>
                <w:color w:val="auto"/>
                <w:szCs w:val="21"/>
                <w:highlight w:val="none"/>
                <w:lang w:val="en-US" w:eastAsia="zh-CN"/>
              </w:rPr>
            </w:pPr>
            <w:r>
              <w:rPr>
                <w:rFonts w:hint="eastAsia" w:ascii="Times New Roman" w:hAnsi="Times New Roman" w:eastAsia="宋体"/>
                <w:b/>
                <w:color w:val="auto"/>
                <w:szCs w:val="21"/>
                <w:highlight w:val="none"/>
                <w:lang w:val="en-US" w:eastAsia="zh-CN"/>
              </w:rPr>
              <w:t>D5</w:t>
            </w:r>
          </w:p>
        </w:tc>
      </w:tr>
      <w:tr w14:paraId="441E8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009" w:type="pct"/>
            <w:vMerge w:val="continue"/>
            <w:tcBorders>
              <w:tl2br w:val="nil"/>
              <w:tr2bl w:val="nil"/>
            </w:tcBorders>
            <w:noWrap w:val="0"/>
            <w:vAlign w:val="center"/>
          </w:tcPr>
          <w:p w14:paraId="1450E846">
            <w:pPr>
              <w:snapToGrid w:val="0"/>
              <w:jc w:val="center"/>
              <w:rPr>
                <w:rFonts w:ascii="Times New Roman" w:hAnsi="Times New Roman" w:eastAsia="宋体"/>
                <w:b/>
                <w:color w:val="auto"/>
                <w:szCs w:val="21"/>
                <w:highlight w:val="none"/>
              </w:rPr>
            </w:pPr>
          </w:p>
        </w:tc>
        <w:tc>
          <w:tcPr>
            <w:tcW w:w="805" w:type="pct"/>
            <w:tcBorders>
              <w:tl2br w:val="nil"/>
              <w:tr2bl w:val="nil"/>
            </w:tcBorders>
            <w:noWrap w:val="0"/>
            <w:vAlign w:val="center"/>
          </w:tcPr>
          <w:p w14:paraId="31028A5D">
            <w:pPr>
              <w:adjustRightInd w:val="0"/>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监测值</w:t>
            </w:r>
          </w:p>
        </w:tc>
        <w:tc>
          <w:tcPr>
            <w:tcW w:w="805" w:type="pct"/>
            <w:tcBorders>
              <w:tl2br w:val="nil"/>
              <w:tr2bl w:val="nil"/>
            </w:tcBorders>
            <w:noWrap w:val="0"/>
            <w:vAlign w:val="center"/>
          </w:tcPr>
          <w:p w14:paraId="667839E2">
            <w:pPr>
              <w:adjustRightInd w:val="0"/>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监测值</w:t>
            </w:r>
          </w:p>
        </w:tc>
        <w:tc>
          <w:tcPr>
            <w:tcW w:w="766" w:type="pct"/>
            <w:tcBorders>
              <w:tl2br w:val="nil"/>
              <w:tr2bl w:val="nil"/>
            </w:tcBorders>
            <w:noWrap w:val="0"/>
            <w:vAlign w:val="center"/>
          </w:tcPr>
          <w:p w14:paraId="2291635E">
            <w:pPr>
              <w:adjustRightInd w:val="0"/>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监测值</w:t>
            </w:r>
          </w:p>
        </w:tc>
        <w:tc>
          <w:tcPr>
            <w:tcW w:w="845" w:type="pct"/>
            <w:tcBorders>
              <w:tl2br w:val="nil"/>
              <w:tr2bl w:val="nil"/>
            </w:tcBorders>
            <w:noWrap w:val="0"/>
            <w:vAlign w:val="center"/>
          </w:tcPr>
          <w:p w14:paraId="3B6B1749">
            <w:pPr>
              <w:adjustRightInd w:val="0"/>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监测值</w:t>
            </w:r>
          </w:p>
        </w:tc>
        <w:tc>
          <w:tcPr>
            <w:tcW w:w="767" w:type="pct"/>
            <w:tcBorders>
              <w:tl2br w:val="nil"/>
              <w:tr2bl w:val="nil"/>
            </w:tcBorders>
            <w:noWrap w:val="0"/>
            <w:vAlign w:val="center"/>
          </w:tcPr>
          <w:p w14:paraId="0C20C031">
            <w:pPr>
              <w:adjustRightInd w:val="0"/>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监测值</w:t>
            </w:r>
          </w:p>
        </w:tc>
      </w:tr>
      <w:tr w14:paraId="6ADA9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trPr>
        <w:tc>
          <w:tcPr>
            <w:tcW w:w="1009" w:type="pct"/>
            <w:tcBorders>
              <w:tl2br w:val="nil"/>
              <w:tr2bl w:val="nil"/>
            </w:tcBorders>
            <w:noWrap w:val="0"/>
            <w:vAlign w:val="center"/>
          </w:tcPr>
          <w:p w14:paraId="297EBC95">
            <w:pPr>
              <w:adjustRightInd w:val="0"/>
              <w:snapToGrid w:val="0"/>
              <w:jc w:val="center"/>
              <w:rPr>
                <w:rFonts w:ascii="Times New Roman" w:hAnsi="Times New Roman" w:eastAsia="宋体"/>
                <w:color w:val="auto"/>
                <w:szCs w:val="21"/>
                <w:highlight w:val="none"/>
                <w:vertAlign w:val="superscript"/>
              </w:rPr>
            </w:pPr>
            <w:r>
              <w:rPr>
                <w:rFonts w:ascii="Times New Roman" w:hAnsi="Times New Roman" w:eastAsia="宋体"/>
                <w:color w:val="auto"/>
                <w:szCs w:val="21"/>
                <w:highlight w:val="none"/>
              </w:rPr>
              <w:t>K</w:t>
            </w:r>
            <w:r>
              <w:rPr>
                <w:rFonts w:ascii="Times New Roman" w:hAnsi="Times New Roman" w:eastAsia="宋体"/>
                <w:color w:val="auto"/>
                <w:szCs w:val="21"/>
                <w:highlight w:val="none"/>
                <w:vertAlign w:val="superscript"/>
              </w:rPr>
              <w:t>+</w:t>
            </w:r>
          </w:p>
        </w:tc>
        <w:tc>
          <w:tcPr>
            <w:tcW w:w="805" w:type="pct"/>
            <w:tcBorders>
              <w:tl2br w:val="nil"/>
              <w:tr2bl w:val="nil"/>
            </w:tcBorders>
            <w:noWrap w:val="0"/>
            <w:vAlign w:val="center"/>
          </w:tcPr>
          <w:p w14:paraId="16FB8A49">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0.30</w:t>
            </w:r>
          </w:p>
        </w:tc>
        <w:tc>
          <w:tcPr>
            <w:tcW w:w="805" w:type="pct"/>
            <w:tcBorders>
              <w:tl2br w:val="nil"/>
              <w:tr2bl w:val="nil"/>
            </w:tcBorders>
            <w:noWrap w:val="0"/>
            <w:vAlign w:val="center"/>
          </w:tcPr>
          <w:p w14:paraId="3D1121D5">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0.24</w:t>
            </w:r>
          </w:p>
        </w:tc>
        <w:tc>
          <w:tcPr>
            <w:tcW w:w="766" w:type="pct"/>
            <w:tcBorders>
              <w:tl2br w:val="nil"/>
              <w:tr2bl w:val="nil"/>
            </w:tcBorders>
            <w:noWrap w:val="0"/>
            <w:vAlign w:val="center"/>
          </w:tcPr>
          <w:p w14:paraId="243A6B77">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0.26</w:t>
            </w:r>
          </w:p>
        </w:tc>
        <w:tc>
          <w:tcPr>
            <w:tcW w:w="1416" w:type="dxa"/>
            <w:tcBorders>
              <w:tl2br w:val="nil"/>
              <w:tr2bl w:val="nil"/>
            </w:tcBorders>
            <w:noWrap w:val="0"/>
            <w:vAlign w:val="center"/>
          </w:tcPr>
          <w:p w14:paraId="199400F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0.24</w:t>
            </w:r>
          </w:p>
        </w:tc>
        <w:tc>
          <w:tcPr>
            <w:tcW w:w="1285" w:type="dxa"/>
            <w:tcBorders>
              <w:tl2br w:val="nil"/>
              <w:tr2bl w:val="nil"/>
            </w:tcBorders>
            <w:noWrap w:val="0"/>
            <w:vAlign w:val="center"/>
          </w:tcPr>
          <w:p w14:paraId="53E4ECA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0.26</w:t>
            </w:r>
          </w:p>
        </w:tc>
      </w:tr>
      <w:tr w14:paraId="3DF1F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trPr>
        <w:tc>
          <w:tcPr>
            <w:tcW w:w="1009" w:type="pct"/>
            <w:tcBorders>
              <w:tl2br w:val="nil"/>
              <w:tr2bl w:val="nil"/>
            </w:tcBorders>
            <w:noWrap w:val="0"/>
            <w:vAlign w:val="center"/>
          </w:tcPr>
          <w:p w14:paraId="6FE47FD3">
            <w:pPr>
              <w:adjustRightInd w:val="0"/>
              <w:snapToGrid w:val="0"/>
              <w:jc w:val="center"/>
              <w:rPr>
                <w:rFonts w:ascii="Times New Roman" w:hAnsi="Times New Roman" w:eastAsia="宋体"/>
                <w:color w:val="auto"/>
                <w:szCs w:val="21"/>
                <w:highlight w:val="none"/>
                <w:vertAlign w:val="superscript"/>
              </w:rPr>
            </w:pPr>
            <w:r>
              <w:rPr>
                <w:rFonts w:ascii="Times New Roman" w:hAnsi="Times New Roman" w:eastAsia="宋体"/>
                <w:color w:val="auto"/>
                <w:szCs w:val="21"/>
                <w:highlight w:val="none"/>
              </w:rPr>
              <w:t>Na</w:t>
            </w:r>
            <w:r>
              <w:rPr>
                <w:rFonts w:ascii="Times New Roman" w:hAnsi="Times New Roman" w:eastAsia="宋体"/>
                <w:color w:val="auto"/>
                <w:szCs w:val="21"/>
                <w:highlight w:val="none"/>
                <w:vertAlign w:val="superscript"/>
              </w:rPr>
              <w:t>+</w:t>
            </w:r>
          </w:p>
        </w:tc>
        <w:tc>
          <w:tcPr>
            <w:tcW w:w="805" w:type="pct"/>
            <w:tcBorders>
              <w:tl2br w:val="nil"/>
              <w:tr2bl w:val="nil"/>
            </w:tcBorders>
            <w:noWrap w:val="0"/>
            <w:vAlign w:val="center"/>
          </w:tcPr>
          <w:p w14:paraId="2EB39C1D">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44.3</w:t>
            </w:r>
          </w:p>
        </w:tc>
        <w:tc>
          <w:tcPr>
            <w:tcW w:w="805" w:type="pct"/>
            <w:tcBorders>
              <w:tl2br w:val="nil"/>
              <w:tr2bl w:val="nil"/>
            </w:tcBorders>
            <w:noWrap w:val="0"/>
            <w:vAlign w:val="center"/>
          </w:tcPr>
          <w:p w14:paraId="2BE59676">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13.4</w:t>
            </w:r>
          </w:p>
        </w:tc>
        <w:tc>
          <w:tcPr>
            <w:tcW w:w="766" w:type="pct"/>
            <w:tcBorders>
              <w:tl2br w:val="nil"/>
              <w:tr2bl w:val="nil"/>
            </w:tcBorders>
            <w:noWrap w:val="0"/>
            <w:vAlign w:val="center"/>
          </w:tcPr>
          <w:p w14:paraId="30F071CB">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35.6</w:t>
            </w:r>
          </w:p>
        </w:tc>
        <w:tc>
          <w:tcPr>
            <w:tcW w:w="1416" w:type="dxa"/>
            <w:tcBorders>
              <w:tl2br w:val="nil"/>
              <w:tr2bl w:val="nil"/>
            </w:tcBorders>
            <w:noWrap w:val="0"/>
            <w:vAlign w:val="center"/>
          </w:tcPr>
          <w:p w14:paraId="4E1F8B0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13.4</w:t>
            </w:r>
          </w:p>
        </w:tc>
        <w:tc>
          <w:tcPr>
            <w:tcW w:w="1285" w:type="dxa"/>
            <w:tcBorders>
              <w:tl2br w:val="nil"/>
              <w:tr2bl w:val="nil"/>
            </w:tcBorders>
            <w:noWrap w:val="0"/>
            <w:vAlign w:val="center"/>
          </w:tcPr>
          <w:p w14:paraId="2669602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35.6</w:t>
            </w:r>
          </w:p>
        </w:tc>
      </w:tr>
      <w:tr w14:paraId="037C3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trPr>
        <w:tc>
          <w:tcPr>
            <w:tcW w:w="1009" w:type="pct"/>
            <w:tcBorders>
              <w:tl2br w:val="nil"/>
              <w:tr2bl w:val="nil"/>
            </w:tcBorders>
            <w:noWrap w:val="0"/>
            <w:vAlign w:val="center"/>
          </w:tcPr>
          <w:p w14:paraId="3C83F4F7">
            <w:pPr>
              <w:adjustRightInd w:val="0"/>
              <w:snapToGrid w:val="0"/>
              <w:jc w:val="center"/>
              <w:rPr>
                <w:rFonts w:ascii="Times New Roman" w:hAnsi="Times New Roman" w:eastAsia="宋体"/>
                <w:color w:val="auto"/>
                <w:szCs w:val="21"/>
                <w:highlight w:val="none"/>
                <w:vertAlign w:val="superscript"/>
              </w:rPr>
            </w:pPr>
            <w:r>
              <w:rPr>
                <w:rFonts w:ascii="Times New Roman" w:hAnsi="Times New Roman" w:eastAsia="宋体"/>
                <w:color w:val="auto"/>
                <w:szCs w:val="21"/>
                <w:highlight w:val="none"/>
              </w:rPr>
              <w:t>Ca</w:t>
            </w:r>
            <w:r>
              <w:rPr>
                <w:rFonts w:ascii="Times New Roman" w:hAnsi="Times New Roman" w:eastAsia="宋体"/>
                <w:color w:val="auto"/>
                <w:szCs w:val="21"/>
                <w:highlight w:val="none"/>
                <w:vertAlign w:val="superscript"/>
              </w:rPr>
              <w:t>2+</w:t>
            </w:r>
          </w:p>
        </w:tc>
        <w:tc>
          <w:tcPr>
            <w:tcW w:w="805" w:type="pct"/>
            <w:tcBorders>
              <w:tl2br w:val="nil"/>
              <w:tr2bl w:val="nil"/>
            </w:tcBorders>
            <w:noWrap w:val="0"/>
            <w:vAlign w:val="center"/>
          </w:tcPr>
          <w:p w14:paraId="03C1398D">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356</w:t>
            </w:r>
          </w:p>
        </w:tc>
        <w:tc>
          <w:tcPr>
            <w:tcW w:w="805" w:type="pct"/>
            <w:tcBorders>
              <w:tl2br w:val="nil"/>
              <w:tr2bl w:val="nil"/>
            </w:tcBorders>
            <w:noWrap w:val="0"/>
            <w:vAlign w:val="center"/>
          </w:tcPr>
          <w:p w14:paraId="000D4044">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97.4</w:t>
            </w:r>
          </w:p>
        </w:tc>
        <w:tc>
          <w:tcPr>
            <w:tcW w:w="766" w:type="pct"/>
            <w:tcBorders>
              <w:tl2br w:val="nil"/>
              <w:tr2bl w:val="nil"/>
            </w:tcBorders>
            <w:noWrap w:val="0"/>
            <w:vAlign w:val="center"/>
          </w:tcPr>
          <w:p w14:paraId="59D9CFA3">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153</w:t>
            </w:r>
          </w:p>
        </w:tc>
        <w:tc>
          <w:tcPr>
            <w:tcW w:w="1416" w:type="dxa"/>
            <w:tcBorders>
              <w:tl2br w:val="nil"/>
              <w:tr2bl w:val="nil"/>
            </w:tcBorders>
            <w:noWrap w:val="0"/>
            <w:vAlign w:val="center"/>
          </w:tcPr>
          <w:p w14:paraId="6A1523D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97.4</w:t>
            </w:r>
          </w:p>
        </w:tc>
        <w:tc>
          <w:tcPr>
            <w:tcW w:w="1285" w:type="dxa"/>
            <w:tcBorders>
              <w:tl2br w:val="nil"/>
              <w:tr2bl w:val="nil"/>
            </w:tcBorders>
            <w:noWrap w:val="0"/>
            <w:vAlign w:val="center"/>
          </w:tcPr>
          <w:p w14:paraId="2644018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153</w:t>
            </w:r>
          </w:p>
        </w:tc>
      </w:tr>
      <w:tr w14:paraId="29F71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trPr>
        <w:tc>
          <w:tcPr>
            <w:tcW w:w="1009" w:type="pct"/>
            <w:tcBorders>
              <w:tl2br w:val="nil"/>
              <w:tr2bl w:val="nil"/>
            </w:tcBorders>
            <w:noWrap w:val="0"/>
            <w:vAlign w:val="center"/>
          </w:tcPr>
          <w:p w14:paraId="748CACA0">
            <w:pPr>
              <w:adjustRightInd w:val="0"/>
              <w:snapToGrid w:val="0"/>
              <w:jc w:val="center"/>
              <w:rPr>
                <w:rFonts w:ascii="Times New Roman" w:hAnsi="Times New Roman" w:eastAsia="宋体"/>
                <w:color w:val="auto"/>
                <w:szCs w:val="21"/>
                <w:highlight w:val="none"/>
                <w:vertAlign w:val="superscript"/>
              </w:rPr>
            </w:pPr>
            <w:r>
              <w:rPr>
                <w:rFonts w:ascii="Times New Roman" w:hAnsi="Times New Roman" w:eastAsia="宋体"/>
                <w:color w:val="auto"/>
                <w:szCs w:val="21"/>
                <w:highlight w:val="none"/>
              </w:rPr>
              <w:t>Mg</w:t>
            </w:r>
            <w:r>
              <w:rPr>
                <w:rFonts w:ascii="Times New Roman" w:hAnsi="Times New Roman" w:eastAsia="宋体"/>
                <w:color w:val="auto"/>
                <w:szCs w:val="21"/>
                <w:highlight w:val="none"/>
                <w:vertAlign w:val="superscript"/>
              </w:rPr>
              <w:t>2+</w:t>
            </w:r>
          </w:p>
        </w:tc>
        <w:tc>
          <w:tcPr>
            <w:tcW w:w="805" w:type="pct"/>
            <w:tcBorders>
              <w:tl2br w:val="nil"/>
              <w:tr2bl w:val="nil"/>
            </w:tcBorders>
            <w:noWrap w:val="0"/>
            <w:vAlign w:val="center"/>
          </w:tcPr>
          <w:p w14:paraId="67B80F90">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58.9</w:t>
            </w:r>
          </w:p>
        </w:tc>
        <w:tc>
          <w:tcPr>
            <w:tcW w:w="805" w:type="pct"/>
            <w:tcBorders>
              <w:tl2br w:val="nil"/>
              <w:tr2bl w:val="nil"/>
            </w:tcBorders>
            <w:noWrap w:val="0"/>
            <w:vAlign w:val="center"/>
          </w:tcPr>
          <w:p w14:paraId="73F36247">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20.6</w:t>
            </w:r>
          </w:p>
        </w:tc>
        <w:tc>
          <w:tcPr>
            <w:tcW w:w="766" w:type="pct"/>
            <w:tcBorders>
              <w:tl2br w:val="nil"/>
              <w:tr2bl w:val="nil"/>
            </w:tcBorders>
            <w:noWrap w:val="0"/>
            <w:vAlign w:val="center"/>
          </w:tcPr>
          <w:p w14:paraId="40520E86">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31.8</w:t>
            </w:r>
          </w:p>
        </w:tc>
        <w:tc>
          <w:tcPr>
            <w:tcW w:w="1416" w:type="dxa"/>
            <w:tcBorders>
              <w:tl2br w:val="nil"/>
              <w:tr2bl w:val="nil"/>
            </w:tcBorders>
            <w:noWrap w:val="0"/>
            <w:vAlign w:val="center"/>
          </w:tcPr>
          <w:p w14:paraId="2F98F09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20.6</w:t>
            </w:r>
          </w:p>
        </w:tc>
        <w:tc>
          <w:tcPr>
            <w:tcW w:w="1285" w:type="dxa"/>
            <w:tcBorders>
              <w:tl2br w:val="nil"/>
              <w:tr2bl w:val="nil"/>
            </w:tcBorders>
            <w:noWrap w:val="0"/>
            <w:vAlign w:val="center"/>
          </w:tcPr>
          <w:p w14:paraId="3F4EB12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31.8</w:t>
            </w:r>
          </w:p>
        </w:tc>
      </w:tr>
      <w:tr w14:paraId="12276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trPr>
        <w:tc>
          <w:tcPr>
            <w:tcW w:w="1009" w:type="pct"/>
            <w:tcBorders>
              <w:tl2br w:val="nil"/>
              <w:tr2bl w:val="nil"/>
            </w:tcBorders>
            <w:noWrap w:val="0"/>
            <w:vAlign w:val="center"/>
          </w:tcPr>
          <w:p w14:paraId="25FA6661">
            <w:pPr>
              <w:adjustRightInd w:val="0"/>
              <w:snapToGrid w:val="0"/>
              <w:jc w:val="center"/>
              <w:rPr>
                <w:rFonts w:ascii="Times New Roman" w:hAnsi="Times New Roman" w:eastAsia="宋体"/>
                <w:color w:val="auto"/>
                <w:szCs w:val="21"/>
                <w:highlight w:val="none"/>
                <w:vertAlign w:val="superscript"/>
              </w:rPr>
            </w:pPr>
            <w:r>
              <w:rPr>
                <w:rFonts w:ascii="Times New Roman" w:hAnsi="Times New Roman" w:eastAsia="宋体"/>
                <w:color w:val="auto"/>
                <w:szCs w:val="21"/>
                <w:highlight w:val="none"/>
              </w:rPr>
              <w:t>Cl</w:t>
            </w:r>
            <w:r>
              <w:rPr>
                <w:rFonts w:ascii="Times New Roman" w:hAnsi="Times New Roman" w:eastAsia="宋体"/>
                <w:color w:val="auto"/>
                <w:szCs w:val="21"/>
                <w:highlight w:val="none"/>
                <w:vertAlign w:val="superscript"/>
              </w:rPr>
              <w:t>-</w:t>
            </w:r>
          </w:p>
        </w:tc>
        <w:tc>
          <w:tcPr>
            <w:tcW w:w="805" w:type="pct"/>
            <w:tcBorders>
              <w:tl2br w:val="nil"/>
              <w:tr2bl w:val="nil"/>
            </w:tcBorders>
            <w:noWrap w:val="0"/>
            <w:vAlign w:val="center"/>
          </w:tcPr>
          <w:p w14:paraId="7BD5ABB9">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89.8</w:t>
            </w:r>
          </w:p>
        </w:tc>
        <w:tc>
          <w:tcPr>
            <w:tcW w:w="805" w:type="pct"/>
            <w:tcBorders>
              <w:tl2br w:val="nil"/>
              <w:tr2bl w:val="nil"/>
            </w:tcBorders>
            <w:noWrap w:val="0"/>
            <w:vAlign w:val="center"/>
          </w:tcPr>
          <w:p w14:paraId="127EC916">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64.4</w:t>
            </w:r>
          </w:p>
        </w:tc>
        <w:tc>
          <w:tcPr>
            <w:tcW w:w="766" w:type="pct"/>
            <w:tcBorders>
              <w:tl2br w:val="nil"/>
              <w:tr2bl w:val="nil"/>
            </w:tcBorders>
            <w:noWrap w:val="0"/>
            <w:vAlign w:val="center"/>
          </w:tcPr>
          <w:p w14:paraId="6A9B3D24">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41.8</w:t>
            </w:r>
          </w:p>
        </w:tc>
        <w:tc>
          <w:tcPr>
            <w:tcW w:w="1416" w:type="dxa"/>
            <w:tcBorders>
              <w:tl2br w:val="nil"/>
              <w:tr2bl w:val="nil"/>
            </w:tcBorders>
            <w:noWrap w:val="0"/>
            <w:vAlign w:val="center"/>
          </w:tcPr>
          <w:p w14:paraId="2078BCE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64.4</w:t>
            </w:r>
          </w:p>
        </w:tc>
        <w:tc>
          <w:tcPr>
            <w:tcW w:w="1285" w:type="dxa"/>
            <w:tcBorders>
              <w:tl2br w:val="nil"/>
              <w:tr2bl w:val="nil"/>
            </w:tcBorders>
            <w:noWrap w:val="0"/>
            <w:vAlign w:val="center"/>
          </w:tcPr>
          <w:p w14:paraId="5F6A505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41.8</w:t>
            </w:r>
          </w:p>
        </w:tc>
      </w:tr>
      <w:tr w14:paraId="219EA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trPr>
        <w:tc>
          <w:tcPr>
            <w:tcW w:w="1009" w:type="pct"/>
            <w:tcBorders>
              <w:tl2br w:val="nil"/>
              <w:tr2bl w:val="nil"/>
            </w:tcBorders>
            <w:noWrap w:val="0"/>
            <w:vAlign w:val="center"/>
          </w:tcPr>
          <w:p w14:paraId="142A5A23">
            <w:pPr>
              <w:adjustRightInd w:val="0"/>
              <w:snapToGrid w:val="0"/>
              <w:jc w:val="center"/>
              <w:rPr>
                <w:rFonts w:ascii="Times New Roman" w:hAnsi="Times New Roman" w:eastAsia="宋体"/>
                <w:color w:val="auto"/>
                <w:szCs w:val="21"/>
                <w:highlight w:val="none"/>
                <w:vertAlign w:val="superscript"/>
              </w:rPr>
            </w:pPr>
            <w:r>
              <w:rPr>
                <w:rFonts w:ascii="Times New Roman" w:hAnsi="Times New Roman" w:eastAsia="宋体"/>
                <w:color w:val="auto"/>
                <w:szCs w:val="21"/>
                <w:highlight w:val="none"/>
              </w:rPr>
              <w:t>SO</w:t>
            </w:r>
            <w:r>
              <w:rPr>
                <w:rFonts w:ascii="Times New Roman" w:hAnsi="Times New Roman" w:eastAsia="宋体"/>
                <w:color w:val="auto"/>
                <w:szCs w:val="21"/>
                <w:highlight w:val="none"/>
                <w:vertAlign w:val="subscript"/>
              </w:rPr>
              <w:t>4</w:t>
            </w:r>
            <w:r>
              <w:rPr>
                <w:rFonts w:ascii="Times New Roman" w:hAnsi="Times New Roman" w:eastAsia="宋体"/>
                <w:color w:val="auto"/>
                <w:szCs w:val="21"/>
                <w:highlight w:val="none"/>
                <w:vertAlign w:val="superscript"/>
              </w:rPr>
              <w:t>2-</w:t>
            </w:r>
          </w:p>
        </w:tc>
        <w:tc>
          <w:tcPr>
            <w:tcW w:w="805" w:type="pct"/>
            <w:tcBorders>
              <w:tl2br w:val="nil"/>
              <w:tr2bl w:val="nil"/>
            </w:tcBorders>
            <w:noWrap w:val="0"/>
            <w:vAlign w:val="center"/>
          </w:tcPr>
          <w:p w14:paraId="7659B54F">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39.9</w:t>
            </w:r>
          </w:p>
        </w:tc>
        <w:tc>
          <w:tcPr>
            <w:tcW w:w="805" w:type="pct"/>
            <w:tcBorders>
              <w:tl2br w:val="nil"/>
              <w:tr2bl w:val="nil"/>
            </w:tcBorders>
            <w:noWrap w:val="0"/>
            <w:vAlign w:val="center"/>
          </w:tcPr>
          <w:p w14:paraId="32E4E16E">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10.4</w:t>
            </w:r>
          </w:p>
        </w:tc>
        <w:tc>
          <w:tcPr>
            <w:tcW w:w="766" w:type="pct"/>
            <w:tcBorders>
              <w:tl2br w:val="nil"/>
              <w:tr2bl w:val="nil"/>
            </w:tcBorders>
            <w:noWrap w:val="0"/>
            <w:vAlign w:val="center"/>
          </w:tcPr>
          <w:p w14:paraId="0E48E0E8">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23.1</w:t>
            </w:r>
          </w:p>
        </w:tc>
        <w:tc>
          <w:tcPr>
            <w:tcW w:w="1416" w:type="dxa"/>
            <w:tcBorders>
              <w:tl2br w:val="nil"/>
              <w:tr2bl w:val="nil"/>
            </w:tcBorders>
            <w:noWrap w:val="0"/>
            <w:vAlign w:val="center"/>
          </w:tcPr>
          <w:p w14:paraId="6755383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10.4</w:t>
            </w:r>
          </w:p>
        </w:tc>
        <w:tc>
          <w:tcPr>
            <w:tcW w:w="1285" w:type="dxa"/>
            <w:tcBorders>
              <w:tl2br w:val="nil"/>
              <w:tr2bl w:val="nil"/>
            </w:tcBorders>
            <w:noWrap w:val="0"/>
            <w:vAlign w:val="center"/>
          </w:tcPr>
          <w:p w14:paraId="45A0292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23.1</w:t>
            </w:r>
          </w:p>
        </w:tc>
      </w:tr>
      <w:tr w14:paraId="7A95C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trPr>
        <w:tc>
          <w:tcPr>
            <w:tcW w:w="1009" w:type="pct"/>
            <w:tcBorders>
              <w:tl2br w:val="nil"/>
              <w:tr2bl w:val="nil"/>
            </w:tcBorders>
            <w:noWrap w:val="0"/>
            <w:vAlign w:val="center"/>
          </w:tcPr>
          <w:p w14:paraId="35D59F67">
            <w:pPr>
              <w:adjustRightInd w:val="0"/>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CO</w:t>
            </w:r>
            <w:r>
              <w:rPr>
                <w:rFonts w:ascii="Times New Roman" w:hAnsi="Times New Roman" w:eastAsia="宋体"/>
                <w:color w:val="auto"/>
                <w:szCs w:val="21"/>
                <w:highlight w:val="none"/>
                <w:vertAlign w:val="subscript"/>
              </w:rPr>
              <w:t>3</w:t>
            </w:r>
            <w:r>
              <w:rPr>
                <w:rFonts w:ascii="Times New Roman" w:hAnsi="Times New Roman" w:eastAsia="宋体"/>
                <w:color w:val="auto"/>
                <w:szCs w:val="21"/>
                <w:highlight w:val="none"/>
                <w:vertAlign w:val="superscript"/>
              </w:rPr>
              <w:t>2-</w:t>
            </w:r>
          </w:p>
        </w:tc>
        <w:tc>
          <w:tcPr>
            <w:tcW w:w="805" w:type="pct"/>
            <w:tcBorders>
              <w:tl2br w:val="nil"/>
              <w:tr2bl w:val="nil"/>
            </w:tcBorders>
            <w:noWrap w:val="0"/>
            <w:vAlign w:val="center"/>
          </w:tcPr>
          <w:p w14:paraId="5AA70BB5">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805" w:type="pct"/>
            <w:tcBorders>
              <w:tl2br w:val="nil"/>
              <w:tr2bl w:val="nil"/>
            </w:tcBorders>
            <w:noWrap w:val="0"/>
            <w:vAlign w:val="center"/>
          </w:tcPr>
          <w:p w14:paraId="06A87D89">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766" w:type="pct"/>
            <w:tcBorders>
              <w:tl2br w:val="nil"/>
              <w:tr2bl w:val="nil"/>
            </w:tcBorders>
            <w:noWrap w:val="0"/>
            <w:vAlign w:val="center"/>
          </w:tcPr>
          <w:p w14:paraId="522D07CF">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1416" w:type="dxa"/>
            <w:tcBorders>
              <w:tl2br w:val="nil"/>
              <w:tr2bl w:val="nil"/>
            </w:tcBorders>
            <w:noWrap w:val="0"/>
            <w:vAlign w:val="center"/>
          </w:tcPr>
          <w:p w14:paraId="04E6C22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c>
          <w:tcPr>
            <w:tcW w:w="1285" w:type="dxa"/>
            <w:tcBorders>
              <w:tl2br w:val="nil"/>
              <w:tr2bl w:val="nil"/>
            </w:tcBorders>
            <w:noWrap w:val="0"/>
            <w:vAlign w:val="center"/>
          </w:tcPr>
          <w:p w14:paraId="5EEAD93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ND</w:t>
            </w:r>
          </w:p>
        </w:tc>
      </w:tr>
      <w:tr w14:paraId="196C8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 w:hRule="atLeast"/>
        </w:trPr>
        <w:tc>
          <w:tcPr>
            <w:tcW w:w="1009" w:type="pct"/>
            <w:tcBorders>
              <w:tl2br w:val="nil"/>
              <w:tr2bl w:val="nil"/>
            </w:tcBorders>
            <w:noWrap w:val="0"/>
            <w:vAlign w:val="center"/>
          </w:tcPr>
          <w:p w14:paraId="34D33DA0">
            <w:pPr>
              <w:adjustRightInd w:val="0"/>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HCO</w:t>
            </w:r>
            <w:r>
              <w:rPr>
                <w:rFonts w:ascii="Times New Roman" w:hAnsi="Times New Roman" w:eastAsia="宋体"/>
                <w:color w:val="auto"/>
                <w:szCs w:val="21"/>
                <w:highlight w:val="none"/>
                <w:vertAlign w:val="subscript"/>
              </w:rPr>
              <w:t>3</w:t>
            </w:r>
            <w:r>
              <w:rPr>
                <w:rFonts w:ascii="Times New Roman" w:hAnsi="Times New Roman" w:eastAsia="宋体"/>
                <w:color w:val="auto"/>
                <w:szCs w:val="21"/>
                <w:highlight w:val="none"/>
                <w:vertAlign w:val="superscript"/>
              </w:rPr>
              <w:t>-</w:t>
            </w:r>
          </w:p>
        </w:tc>
        <w:tc>
          <w:tcPr>
            <w:tcW w:w="805" w:type="pct"/>
            <w:tcBorders>
              <w:tl2br w:val="nil"/>
              <w:tr2bl w:val="nil"/>
            </w:tcBorders>
            <w:noWrap w:val="0"/>
            <w:vAlign w:val="center"/>
          </w:tcPr>
          <w:p w14:paraId="0374842D">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312</w:t>
            </w:r>
          </w:p>
        </w:tc>
        <w:tc>
          <w:tcPr>
            <w:tcW w:w="805" w:type="pct"/>
            <w:tcBorders>
              <w:tl2br w:val="nil"/>
              <w:tr2bl w:val="nil"/>
            </w:tcBorders>
            <w:noWrap w:val="0"/>
            <w:vAlign w:val="center"/>
          </w:tcPr>
          <w:p w14:paraId="036F399C">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173</w:t>
            </w:r>
          </w:p>
        </w:tc>
        <w:tc>
          <w:tcPr>
            <w:tcW w:w="766" w:type="pct"/>
            <w:tcBorders>
              <w:tl2br w:val="nil"/>
              <w:tr2bl w:val="nil"/>
            </w:tcBorders>
            <w:noWrap w:val="0"/>
            <w:vAlign w:val="center"/>
          </w:tcPr>
          <w:p w14:paraId="23493AC0">
            <w:pPr>
              <w:keepNext w:val="0"/>
              <w:keepLines w:val="0"/>
              <w:widowControl/>
              <w:suppressLineNumbers w:val="0"/>
              <w:jc w:val="center"/>
              <w:textAlignment w:val="center"/>
              <w:rPr>
                <w:rFonts w:ascii="Times New Roman" w:hAnsi="Times New Roman" w:eastAsia="宋体"/>
                <w:color w:val="auto"/>
                <w:szCs w:val="21"/>
                <w:highlight w:val="none"/>
              </w:rPr>
            </w:pPr>
            <w:r>
              <w:rPr>
                <w:rFonts w:hint="default" w:ascii="Times New Roman" w:hAnsi="Times New Roman" w:eastAsia="宋体" w:cs="Times New Roman"/>
                <w:color w:val="auto"/>
                <w:kern w:val="2"/>
                <w:sz w:val="21"/>
                <w:szCs w:val="21"/>
                <w:highlight w:val="none"/>
                <w:vertAlign w:val="baseline"/>
                <w:lang w:val="en-US" w:eastAsia="zh-CN" w:bidi="ar-SA"/>
              </w:rPr>
              <w:t>304</w:t>
            </w:r>
          </w:p>
        </w:tc>
        <w:tc>
          <w:tcPr>
            <w:tcW w:w="1416" w:type="dxa"/>
            <w:tcBorders>
              <w:tl2br w:val="nil"/>
              <w:tr2bl w:val="nil"/>
            </w:tcBorders>
            <w:noWrap w:val="0"/>
            <w:vAlign w:val="center"/>
          </w:tcPr>
          <w:p w14:paraId="6CF88C5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173</w:t>
            </w:r>
          </w:p>
        </w:tc>
        <w:tc>
          <w:tcPr>
            <w:tcW w:w="1285" w:type="dxa"/>
            <w:tcBorders>
              <w:tl2br w:val="nil"/>
              <w:tr2bl w:val="nil"/>
            </w:tcBorders>
            <w:noWrap w:val="0"/>
            <w:vAlign w:val="center"/>
          </w:tcPr>
          <w:p w14:paraId="3D013A4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304</w:t>
            </w:r>
          </w:p>
        </w:tc>
      </w:tr>
    </w:tbl>
    <w:p w14:paraId="10DB1969">
      <w:pPr>
        <w:snapToGrid w:val="0"/>
        <w:spacing w:line="500" w:lineRule="exact"/>
        <w:jc w:val="center"/>
        <w:rPr>
          <w:rFonts w:ascii="Times New Roman" w:hAnsi="Times New Roman" w:eastAsia="宋体"/>
          <w:b/>
          <w:color w:val="auto"/>
          <w:sz w:val="24"/>
          <w:szCs w:val="24"/>
          <w:highlight w:val="none"/>
        </w:rPr>
      </w:pPr>
      <w:r>
        <w:rPr>
          <w:rFonts w:ascii="Times New Roman" w:hAnsi="Times New Roman" w:eastAsia="宋体"/>
          <w:b/>
          <w:color w:val="auto"/>
          <w:sz w:val="24"/>
          <w:szCs w:val="24"/>
          <w:highlight w:val="none"/>
        </w:rPr>
        <w:t>表</w:t>
      </w:r>
      <w:r>
        <w:rPr>
          <w:rFonts w:hint="eastAsia" w:ascii="Times New Roman" w:hAnsi="Times New Roman" w:eastAsia="宋体"/>
          <w:b/>
          <w:color w:val="auto"/>
          <w:sz w:val="24"/>
          <w:szCs w:val="24"/>
          <w:highlight w:val="none"/>
        </w:rPr>
        <w:t>4</w:t>
      </w:r>
      <w:r>
        <w:rPr>
          <w:rFonts w:ascii="Times New Roman" w:hAnsi="Times New Roman" w:eastAsia="宋体"/>
          <w:b/>
          <w:color w:val="auto"/>
          <w:sz w:val="24"/>
          <w:szCs w:val="24"/>
          <w:highlight w:val="none"/>
        </w:rPr>
        <w:t>.2-</w:t>
      </w:r>
      <w:r>
        <w:rPr>
          <w:rFonts w:hint="eastAsia" w:ascii="Times New Roman" w:hAnsi="Times New Roman" w:eastAsia="宋体"/>
          <w:b/>
          <w:color w:val="auto"/>
          <w:sz w:val="24"/>
          <w:szCs w:val="24"/>
          <w:highlight w:val="none"/>
          <w:lang w:val="en-US" w:eastAsia="zh-CN"/>
        </w:rPr>
        <w:t xml:space="preserve">10  </w:t>
      </w:r>
      <w:r>
        <w:rPr>
          <w:rFonts w:ascii="Times New Roman" w:hAnsi="Times New Roman" w:eastAsia="宋体"/>
          <w:b/>
          <w:color w:val="auto"/>
          <w:sz w:val="24"/>
          <w:szCs w:val="24"/>
          <w:highlight w:val="none"/>
        </w:rPr>
        <w:t>地下水环境中K</w:t>
      </w:r>
      <w:r>
        <w:rPr>
          <w:rFonts w:ascii="Times New Roman" w:hAnsi="Times New Roman" w:eastAsia="宋体"/>
          <w:b/>
          <w:color w:val="auto"/>
          <w:sz w:val="24"/>
          <w:szCs w:val="24"/>
          <w:highlight w:val="none"/>
          <w:vertAlign w:val="superscript"/>
        </w:rPr>
        <w:t>+</w:t>
      </w:r>
      <w:r>
        <w:rPr>
          <w:rFonts w:ascii="Times New Roman" w:hAnsi="Times New Roman" w:eastAsia="宋体"/>
          <w:b/>
          <w:color w:val="auto"/>
          <w:sz w:val="24"/>
          <w:szCs w:val="24"/>
          <w:highlight w:val="none"/>
        </w:rPr>
        <w:t>、Na</w:t>
      </w:r>
      <w:r>
        <w:rPr>
          <w:rFonts w:ascii="Times New Roman" w:hAnsi="Times New Roman" w:eastAsia="宋体"/>
          <w:b/>
          <w:color w:val="auto"/>
          <w:sz w:val="24"/>
          <w:szCs w:val="24"/>
          <w:highlight w:val="none"/>
          <w:vertAlign w:val="superscript"/>
        </w:rPr>
        <w:t>+</w:t>
      </w:r>
      <w:r>
        <w:rPr>
          <w:rFonts w:ascii="Times New Roman" w:hAnsi="Times New Roman" w:eastAsia="宋体"/>
          <w:b/>
          <w:color w:val="auto"/>
          <w:sz w:val="24"/>
          <w:szCs w:val="24"/>
          <w:highlight w:val="none"/>
        </w:rPr>
        <w:t>、Ca</w:t>
      </w:r>
      <w:r>
        <w:rPr>
          <w:rFonts w:ascii="Times New Roman" w:hAnsi="Times New Roman" w:eastAsia="宋体"/>
          <w:b/>
          <w:color w:val="auto"/>
          <w:sz w:val="24"/>
          <w:szCs w:val="24"/>
          <w:highlight w:val="none"/>
          <w:vertAlign w:val="superscript"/>
        </w:rPr>
        <w:t>2+</w:t>
      </w:r>
      <w:r>
        <w:rPr>
          <w:rFonts w:ascii="Times New Roman" w:hAnsi="Times New Roman" w:eastAsia="宋体"/>
          <w:b/>
          <w:color w:val="auto"/>
          <w:sz w:val="24"/>
          <w:szCs w:val="24"/>
          <w:highlight w:val="none"/>
        </w:rPr>
        <w:t>等离子的浓度监测计算结果</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2015"/>
        <w:gridCol w:w="2604"/>
        <w:gridCol w:w="2528"/>
      </w:tblGrid>
      <w:tr w14:paraId="2F937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pct"/>
            <w:tcBorders>
              <w:tl2br w:val="nil"/>
              <w:tr2bl w:val="nil"/>
            </w:tcBorders>
            <w:noWrap w:val="0"/>
            <w:vAlign w:val="center"/>
          </w:tcPr>
          <w:p w14:paraId="14BE1F76">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项目</w:t>
            </w:r>
          </w:p>
        </w:tc>
        <w:tc>
          <w:tcPr>
            <w:tcW w:w="1182" w:type="pct"/>
            <w:tcBorders>
              <w:tl2br w:val="nil"/>
              <w:tr2bl w:val="nil"/>
            </w:tcBorders>
            <w:noWrap w:val="0"/>
            <w:vAlign w:val="center"/>
          </w:tcPr>
          <w:p w14:paraId="7B4CF747">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浓度平均值（mg/L）</w:t>
            </w:r>
          </w:p>
        </w:tc>
        <w:tc>
          <w:tcPr>
            <w:tcW w:w="1528" w:type="pct"/>
            <w:tcBorders>
              <w:tl2br w:val="nil"/>
              <w:tr2bl w:val="nil"/>
            </w:tcBorders>
            <w:noWrap w:val="0"/>
            <w:vAlign w:val="center"/>
          </w:tcPr>
          <w:p w14:paraId="0505AE8A">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毫克当量浓度（mgeq/L）</w:t>
            </w:r>
          </w:p>
        </w:tc>
        <w:tc>
          <w:tcPr>
            <w:tcW w:w="1483" w:type="pct"/>
            <w:tcBorders>
              <w:tl2br w:val="nil"/>
              <w:tr2bl w:val="nil"/>
            </w:tcBorders>
            <w:noWrap w:val="0"/>
            <w:vAlign w:val="center"/>
          </w:tcPr>
          <w:p w14:paraId="792EE9E5">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毫克当量百分数（%）</w:t>
            </w:r>
          </w:p>
        </w:tc>
      </w:tr>
      <w:tr w14:paraId="3B40A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805" w:type="pct"/>
            <w:tcBorders>
              <w:tl2br w:val="nil"/>
              <w:tr2bl w:val="nil"/>
            </w:tcBorders>
            <w:noWrap w:val="0"/>
            <w:vAlign w:val="center"/>
          </w:tcPr>
          <w:p w14:paraId="5D94EAB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K</w:t>
            </w:r>
            <w:r>
              <w:rPr>
                <w:rFonts w:ascii="Times New Roman" w:hAnsi="Times New Roman" w:eastAsia="宋体"/>
                <w:color w:val="auto"/>
                <w:szCs w:val="21"/>
                <w:highlight w:val="none"/>
                <w:vertAlign w:val="superscript"/>
              </w:rPr>
              <w:t>+</w:t>
            </w:r>
          </w:p>
        </w:tc>
        <w:tc>
          <w:tcPr>
            <w:tcW w:w="1182" w:type="pct"/>
            <w:tcBorders>
              <w:tl2br w:val="nil"/>
              <w:tr2bl w:val="nil"/>
            </w:tcBorders>
            <w:noWrap w:val="0"/>
            <w:vAlign w:val="center"/>
          </w:tcPr>
          <w:p w14:paraId="60291865">
            <w:pPr>
              <w:snapToGrid w:val="0"/>
              <w:jc w:val="center"/>
              <w:rPr>
                <w:rFonts w:hint="default" w:ascii="Times New Roman" w:hAnsi="Times New Roman" w:eastAsia="宋体"/>
                <w:color w:val="auto"/>
                <w:szCs w:val="21"/>
                <w:highlight w:val="none"/>
                <w:lang w:val="en-US" w:eastAsia="zh-CN"/>
              </w:rPr>
            </w:pPr>
            <w:r>
              <w:rPr>
                <w:rFonts w:ascii="Times New Roman" w:hAnsi="Times New Roman" w:eastAsia="宋体"/>
                <w:color w:val="auto"/>
                <w:szCs w:val="21"/>
                <w:highlight w:val="none"/>
              </w:rPr>
              <w:t>0.</w:t>
            </w:r>
            <w:r>
              <w:rPr>
                <w:rFonts w:hint="eastAsia" w:ascii="Times New Roman" w:hAnsi="Times New Roman" w:eastAsia="宋体"/>
                <w:color w:val="auto"/>
                <w:szCs w:val="21"/>
                <w:highlight w:val="none"/>
                <w:lang w:val="en-US" w:eastAsia="zh-CN"/>
              </w:rPr>
              <w:t>27</w:t>
            </w:r>
          </w:p>
        </w:tc>
        <w:tc>
          <w:tcPr>
            <w:tcW w:w="1528" w:type="pct"/>
            <w:tcBorders>
              <w:tl2br w:val="nil"/>
              <w:tr2bl w:val="nil"/>
            </w:tcBorders>
            <w:noWrap w:val="0"/>
            <w:vAlign w:val="center"/>
          </w:tcPr>
          <w:p w14:paraId="205CDDB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0</w:t>
            </w:r>
            <w:r>
              <w:rPr>
                <w:rFonts w:ascii="Times New Roman" w:hAnsi="Times New Roman" w:eastAsia="宋体"/>
                <w:color w:val="auto"/>
                <w:szCs w:val="21"/>
                <w:highlight w:val="none"/>
              </w:rPr>
              <w:t>.0</w:t>
            </w:r>
            <w:r>
              <w:rPr>
                <w:rFonts w:hint="eastAsia" w:ascii="Times New Roman" w:hAnsi="Times New Roman" w:eastAsia="宋体"/>
                <w:color w:val="auto"/>
                <w:szCs w:val="21"/>
                <w:highlight w:val="none"/>
                <w:lang w:val="en-US" w:eastAsia="zh-CN"/>
              </w:rPr>
              <w:t>07</w:t>
            </w:r>
          </w:p>
        </w:tc>
        <w:tc>
          <w:tcPr>
            <w:tcW w:w="1483" w:type="pct"/>
            <w:tcBorders>
              <w:tl2br w:val="nil"/>
              <w:tr2bl w:val="nil"/>
            </w:tcBorders>
            <w:noWrap w:val="0"/>
            <w:vAlign w:val="center"/>
          </w:tcPr>
          <w:p w14:paraId="45F8B8F1">
            <w:pPr>
              <w:snapToGrid w:val="0"/>
              <w:jc w:val="center"/>
              <w:rPr>
                <w:rFonts w:hint="default" w:ascii="Times New Roman" w:hAnsi="Times New Roman" w:eastAsia="宋体"/>
                <w:color w:val="auto"/>
                <w:szCs w:val="21"/>
                <w:highlight w:val="none"/>
                <w:lang w:val="en-US" w:eastAsia="zh-CN"/>
              </w:rPr>
            </w:pPr>
            <w:r>
              <w:rPr>
                <w:rFonts w:ascii="Times New Roman" w:hAnsi="Times New Roman" w:eastAsia="宋体"/>
                <w:color w:val="auto"/>
                <w:szCs w:val="21"/>
                <w:highlight w:val="none"/>
              </w:rPr>
              <w:t>0.</w:t>
            </w:r>
            <w:r>
              <w:rPr>
                <w:rFonts w:hint="eastAsia" w:ascii="Times New Roman" w:hAnsi="Times New Roman" w:eastAsia="宋体"/>
                <w:color w:val="auto"/>
                <w:szCs w:val="21"/>
                <w:highlight w:val="none"/>
                <w:lang w:val="en-US" w:eastAsia="zh-CN"/>
              </w:rPr>
              <w:t>088</w:t>
            </w:r>
          </w:p>
        </w:tc>
      </w:tr>
      <w:tr w14:paraId="72C72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pct"/>
            <w:tcBorders>
              <w:tl2br w:val="nil"/>
              <w:tr2bl w:val="nil"/>
            </w:tcBorders>
            <w:noWrap w:val="0"/>
            <w:vAlign w:val="center"/>
          </w:tcPr>
          <w:p w14:paraId="38E77B0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Na</w:t>
            </w:r>
            <w:r>
              <w:rPr>
                <w:rFonts w:ascii="Times New Roman" w:hAnsi="Times New Roman" w:eastAsia="宋体"/>
                <w:color w:val="auto"/>
                <w:szCs w:val="21"/>
                <w:highlight w:val="none"/>
                <w:vertAlign w:val="superscript"/>
              </w:rPr>
              <w:t>+</w:t>
            </w:r>
          </w:p>
        </w:tc>
        <w:tc>
          <w:tcPr>
            <w:tcW w:w="1182" w:type="pct"/>
            <w:tcBorders>
              <w:tl2br w:val="nil"/>
              <w:tr2bl w:val="nil"/>
            </w:tcBorders>
            <w:noWrap w:val="0"/>
            <w:vAlign w:val="center"/>
          </w:tcPr>
          <w:p w14:paraId="1F9EC141">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3</w:t>
            </w:r>
            <w:r>
              <w:rPr>
                <w:rFonts w:ascii="Times New Roman" w:hAnsi="Times New Roman" w:eastAsia="宋体"/>
                <w:color w:val="auto"/>
                <w:szCs w:val="21"/>
                <w:highlight w:val="none"/>
              </w:rPr>
              <w:t>1.1</w:t>
            </w:r>
          </w:p>
        </w:tc>
        <w:tc>
          <w:tcPr>
            <w:tcW w:w="1528" w:type="pct"/>
            <w:tcBorders>
              <w:tl2br w:val="nil"/>
              <w:tr2bl w:val="nil"/>
            </w:tcBorders>
            <w:noWrap w:val="0"/>
            <w:vAlign w:val="center"/>
          </w:tcPr>
          <w:p w14:paraId="796CEAE4">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1.352</w:t>
            </w:r>
          </w:p>
        </w:tc>
        <w:tc>
          <w:tcPr>
            <w:tcW w:w="1483" w:type="pct"/>
            <w:tcBorders>
              <w:tl2br w:val="nil"/>
              <w:tr2bl w:val="nil"/>
            </w:tcBorders>
            <w:noWrap w:val="0"/>
            <w:vAlign w:val="center"/>
          </w:tcPr>
          <w:p w14:paraId="58345652">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16.99</w:t>
            </w:r>
          </w:p>
        </w:tc>
      </w:tr>
      <w:tr w14:paraId="1FC21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pct"/>
            <w:tcBorders>
              <w:tl2br w:val="nil"/>
              <w:tr2bl w:val="nil"/>
            </w:tcBorders>
            <w:noWrap w:val="0"/>
            <w:vAlign w:val="center"/>
          </w:tcPr>
          <w:p w14:paraId="32FE0E1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Ca</w:t>
            </w:r>
            <w:r>
              <w:rPr>
                <w:rFonts w:ascii="Times New Roman" w:hAnsi="Times New Roman" w:eastAsia="宋体"/>
                <w:color w:val="auto"/>
                <w:szCs w:val="21"/>
                <w:highlight w:val="none"/>
                <w:vertAlign w:val="superscript"/>
              </w:rPr>
              <w:t>2+</w:t>
            </w:r>
          </w:p>
        </w:tc>
        <w:tc>
          <w:tcPr>
            <w:tcW w:w="1182" w:type="pct"/>
            <w:tcBorders>
              <w:tl2br w:val="nil"/>
              <w:tr2bl w:val="nil"/>
            </w:tcBorders>
            <w:noWrap w:val="0"/>
            <w:vAlign w:val="center"/>
          </w:tcPr>
          <w:p w14:paraId="12E7B256">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202.13</w:t>
            </w:r>
          </w:p>
        </w:tc>
        <w:tc>
          <w:tcPr>
            <w:tcW w:w="1528" w:type="pct"/>
            <w:tcBorders>
              <w:tl2br w:val="nil"/>
              <w:tr2bl w:val="nil"/>
            </w:tcBorders>
            <w:noWrap w:val="0"/>
            <w:vAlign w:val="center"/>
          </w:tcPr>
          <w:p w14:paraId="7448811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5.053</w:t>
            </w:r>
          </w:p>
        </w:tc>
        <w:tc>
          <w:tcPr>
            <w:tcW w:w="1483" w:type="pct"/>
            <w:tcBorders>
              <w:tl2br w:val="nil"/>
              <w:tr2bl w:val="nil"/>
            </w:tcBorders>
            <w:noWrap w:val="0"/>
            <w:vAlign w:val="center"/>
          </w:tcPr>
          <w:p w14:paraId="196905FF">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63.5</w:t>
            </w:r>
          </w:p>
        </w:tc>
      </w:tr>
      <w:tr w14:paraId="6F608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pct"/>
            <w:tcBorders>
              <w:tl2br w:val="nil"/>
              <w:tr2bl w:val="nil"/>
            </w:tcBorders>
            <w:noWrap w:val="0"/>
            <w:vAlign w:val="center"/>
          </w:tcPr>
          <w:p w14:paraId="134D9B6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Mg</w:t>
            </w:r>
            <w:r>
              <w:rPr>
                <w:rFonts w:ascii="Times New Roman" w:hAnsi="Times New Roman" w:eastAsia="宋体"/>
                <w:color w:val="auto"/>
                <w:szCs w:val="21"/>
                <w:highlight w:val="none"/>
                <w:vertAlign w:val="superscript"/>
              </w:rPr>
              <w:t>2+</w:t>
            </w:r>
          </w:p>
        </w:tc>
        <w:tc>
          <w:tcPr>
            <w:tcW w:w="1182" w:type="pct"/>
            <w:tcBorders>
              <w:tl2br w:val="nil"/>
              <w:tr2bl w:val="nil"/>
            </w:tcBorders>
            <w:noWrap w:val="0"/>
            <w:vAlign w:val="center"/>
          </w:tcPr>
          <w:p w14:paraId="622801FB">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37.1</w:t>
            </w:r>
          </w:p>
        </w:tc>
        <w:tc>
          <w:tcPr>
            <w:tcW w:w="1528" w:type="pct"/>
            <w:tcBorders>
              <w:tl2br w:val="nil"/>
              <w:tr2bl w:val="nil"/>
            </w:tcBorders>
            <w:noWrap w:val="0"/>
            <w:vAlign w:val="center"/>
          </w:tcPr>
          <w:p w14:paraId="100B7516">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1</w:t>
            </w: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546</w:t>
            </w:r>
          </w:p>
        </w:tc>
        <w:tc>
          <w:tcPr>
            <w:tcW w:w="1483" w:type="pct"/>
            <w:tcBorders>
              <w:tl2br w:val="nil"/>
              <w:tr2bl w:val="nil"/>
            </w:tcBorders>
            <w:noWrap w:val="0"/>
            <w:vAlign w:val="center"/>
          </w:tcPr>
          <w:p w14:paraId="2AE731B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19.43</w:t>
            </w:r>
          </w:p>
        </w:tc>
      </w:tr>
      <w:tr w14:paraId="6AD51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pct"/>
            <w:tcBorders>
              <w:tl2br w:val="nil"/>
              <w:tr2bl w:val="nil"/>
            </w:tcBorders>
            <w:noWrap w:val="0"/>
            <w:vAlign w:val="center"/>
          </w:tcPr>
          <w:p w14:paraId="3A8FA23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Cl</w:t>
            </w:r>
            <w:r>
              <w:rPr>
                <w:rFonts w:ascii="Times New Roman" w:hAnsi="Times New Roman" w:eastAsia="宋体"/>
                <w:color w:val="auto"/>
                <w:szCs w:val="21"/>
                <w:highlight w:val="none"/>
                <w:vertAlign w:val="superscript"/>
              </w:rPr>
              <w:t>-</w:t>
            </w:r>
          </w:p>
        </w:tc>
        <w:tc>
          <w:tcPr>
            <w:tcW w:w="1182" w:type="pct"/>
            <w:tcBorders>
              <w:tl2br w:val="nil"/>
              <w:tr2bl w:val="nil"/>
            </w:tcBorders>
            <w:noWrap w:val="0"/>
            <w:vAlign w:val="top"/>
          </w:tcPr>
          <w:p w14:paraId="047CCC8F">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65.3</w:t>
            </w:r>
          </w:p>
        </w:tc>
        <w:tc>
          <w:tcPr>
            <w:tcW w:w="1528" w:type="pct"/>
            <w:tcBorders>
              <w:tl2br w:val="nil"/>
              <w:tr2bl w:val="nil"/>
            </w:tcBorders>
            <w:noWrap w:val="0"/>
            <w:vAlign w:val="top"/>
          </w:tcPr>
          <w:p w14:paraId="22377F7D">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1.839</w:t>
            </w:r>
          </w:p>
        </w:tc>
        <w:tc>
          <w:tcPr>
            <w:tcW w:w="1483" w:type="pct"/>
            <w:tcBorders>
              <w:tl2br w:val="nil"/>
              <w:tr2bl w:val="nil"/>
            </w:tcBorders>
            <w:noWrap w:val="0"/>
            <w:vAlign w:val="top"/>
          </w:tcPr>
          <w:p w14:paraId="3B265C3C">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27.61</w:t>
            </w:r>
          </w:p>
        </w:tc>
      </w:tr>
      <w:tr w14:paraId="66F2B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pct"/>
            <w:tcBorders>
              <w:tl2br w:val="nil"/>
              <w:tr2bl w:val="nil"/>
            </w:tcBorders>
            <w:noWrap w:val="0"/>
            <w:vAlign w:val="center"/>
          </w:tcPr>
          <w:p w14:paraId="5EC13A0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SO</w:t>
            </w:r>
            <w:r>
              <w:rPr>
                <w:rFonts w:ascii="Times New Roman" w:hAnsi="Times New Roman" w:eastAsia="宋体"/>
                <w:color w:val="auto"/>
                <w:szCs w:val="21"/>
                <w:highlight w:val="none"/>
                <w:vertAlign w:val="subscript"/>
              </w:rPr>
              <w:t>4</w:t>
            </w:r>
            <w:r>
              <w:rPr>
                <w:rFonts w:ascii="Times New Roman" w:hAnsi="Times New Roman" w:eastAsia="宋体"/>
                <w:color w:val="auto"/>
                <w:szCs w:val="21"/>
                <w:highlight w:val="none"/>
                <w:vertAlign w:val="superscript"/>
              </w:rPr>
              <w:t>2-</w:t>
            </w:r>
          </w:p>
        </w:tc>
        <w:tc>
          <w:tcPr>
            <w:tcW w:w="1182" w:type="pct"/>
            <w:tcBorders>
              <w:tl2br w:val="nil"/>
              <w:tr2bl w:val="nil"/>
            </w:tcBorders>
            <w:noWrap w:val="0"/>
            <w:vAlign w:val="top"/>
          </w:tcPr>
          <w:p w14:paraId="430C50CE">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24.5</w:t>
            </w:r>
          </w:p>
        </w:tc>
        <w:tc>
          <w:tcPr>
            <w:tcW w:w="1528" w:type="pct"/>
            <w:tcBorders>
              <w:tl2br w:val="nil"/>
              <w:tr2bl w:val="nil"/>
            </w:tcBorders>
            <w:noWrap w:val="0"/>
            <w:vAlign w:val="top"/>
          </w:tcPr>
          <w:p w14:paraId="5218F18A">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rPr>
              <w:t>0</w:t>
            </w: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51</w:t>
            </w:r>
          </w:p>
        </w:tc>
        <w:tc>
          <w:tcPr>
            <w:tcW w:w="1483" w:type="pct"/>
            <w:tcBorders>
              <w:tl2br w:val="nil"/>
              <w:tr2bl w:val="nil"/>
            </w:tcBorders>
            <w:noWrap w:val="0"/>
            <w:vAlign w:val="top"/>
          </w:tcPr>
          <w:p w14:paraId="74D88B44">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7.66</w:t>
            </w:r>
          </w:p>
        </w:tc>
      </w:tr>
      <w:tr w14:paraId="6AA7B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pct"/>
            <w:tcBorders>
              <w:tl2br w:val="nil"/>
              <w:tr2bl w:val="nil"/>
            </w:tcBorders>
            <w:noWrap w:val="0"/>
            <w:vAlign w:val="center"/>
          </w:tcPr>
          <w:p w14:paraId="77F388A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CO</w:t>
            </w:r>
            <w:r>
              <w:rPr>
                <w:rFonts w:ascii="Times New Roman" w:hAnsi="Times New Roman" w:eastAsia="宋体"/>
                <w:color w:val="auto"/>
                <w:szCs w:val="21"/>
                <w:highlight w:val="none"/>
                <w:vertAlign w:val="subscript"/>
              </w:rPr>
              <w:t>3</w:t>
            </w:r>
            <w:r>
              <w:rPr>
                <w:rFonts w:ascii="Times New Roman" w:hAnsi="Times New Roman" w:eastAsia="宋体"/>
                <w:color w:val="auto"/>
                <w:szCs w:val="21"/>
                <w:highlight w:val="none"/>
                <w:vertAlign w:val="superscript"/>
              </w:rPr>
              <w:t>2-</w:t>
            </w:r>
          </w:p>
        </w:tc>
        <w:tc>
          <w:tcPr>
            <w:tcW w:w="1182" w:type="pct"/>
            <w:tcBorders>
              <w:tl2br w:val="nil"/>
              <w:tr2bl w:val="nil"/>
            </w:tcBorders>
            <w:noWrap w:val="0"/>
            <w:vAlign w:val="top"/>
          </w:tcPr>
          <w:p w14:paraId="78A56296">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ND</w:t>
            </w:r>
          </w:p>
        </w:tc>
        <w:tc>
          <w:tcPr>
            <w:tcW w:w="1528" w:type="pct"/>
            <w:tcBorders>
              <w:tl2br w:val="nil"/>
              <w:tr2bl w:val="nil"/>
            </w:tcBorders>
            <w:noWrap w:val="0"/>
            <w:vAlign w:val="top"/>
          </w:tcPr>
          <w:p w14:paraId="6452500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w:t>
            </w:r>
          </w:p>
        </w:tc>
        <w:tc>
          <w:tcPr>
            <w:tcW w:w="1483" w:type="pct"/>
            <w:tcBorders>
              <w:tl2br w:val="nil"/>
              <w:tr2bl w:val="nil"/>
            </w:tcBorders>
            <w:noWrap w:val="0"/>
            <w:vAlign w:val="top"/>
          </w:tcPr>
          <w:p w14:paraId="5E0BA3B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w:t>
            </w:r>
          </w:p>
        </w:tc>
      </w:tr>
      <w:tr w14:paraId="47B10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5" w:type="pct"/>
            <w:tcBorders>
              <w:tl2br w:val="nil"/>
              <w:tr2bl w:val="nil"/>
            </w:tcBorders>
            <w:noWrap w:val="0"/>
            <w:vAlign w:val="center"/>
          </w:tcPr>
          <w:p w14:paraId="334FCD0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HCO</w:t>
            </w:r>
            <w:r>
              <w:rPr>
                <w:rFonts w:ascii="Times New Roman" w:hAnsi="Times New Roman" w:eastAsia="宋体"/>
                <w:color w:val="auto"/>
                <w:szCs w:val="21"/>
                <w:highlight w:val="none"/>
                <w:vertAlign w:val="subscript"/>
              </w:rPr>
              <w:t>3</w:t>
            </w:r>
            <w:r>
              <w:rPr>
                <w:rFonts w:ascii="Times New Roman" w:hAnsi="Times New Roman" w:eastAsia="宋体"/>
                <w:color w:val="auto"/>
                <w:szCs w:val="21"/>
                <w:highlight w:val="none"/>
                <w:vertAlign w:val="superscript"/>
              </w:rPr>
              <w:t>-</w:t>
            </w:r>
          </w:p>
        </w:tc>
        <w:tc>
          <w:tcPr>
            <w:tcW w:w="1182" w:type="pct"/>
            <w:tcBorders>
              <w:tl2br w:val="nil"/>
              <w:tr2bl w:val="nil"/>
            </w:tcBorders>
            <w:noWrap w:val="0"/>
            <w:vAlign w:val="top"/>
          </w:tcPr>
          <w:p w14:paraId="02DBE0D3">
            <w:pPr>
              <w:widowControl/>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263</w:t>
            </w:r>
          </w:p>
        </w:tc>
        <w:tc>
          <w:tcPr>
            <w:tcW w:w="1528" w:type="pct"/>
            <w:tcBorders>
              <w:tl2br w:val="nil"/>
              <w:tr2bl w:val="nil"/>
            </w:tcBorders>
            <w:noWrap w:val="0"/>
            <w:vAlign w:val="top"/>
          </w:tcPr>
          <w:p w14:paraId="3356E32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4.311</w:t>
            </w:r>
          </w:p>
        </w:tc>
        <w:tc>
          <w:tcPr>
            <w:tcW w:w="1483" w:type="pct"/>
            <w:tcBorders>
              <w:tl2br w:val="nil"/>
              <w:tr2bl w:val="nil"/>
            </w:tcBorders>
            <w:noWrap w:val="0"/>
            <w:vAlign w:val="top"/>
          </w:tcPr>
          <w:p w14:paraId="7F79B23C">
            <w:pPr>
              <w:widowControl/>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64.73</w:t>
            </w:r>
          </w:p>
        </w:tc>
      </w:tr>
    </w:tbl>
    <w:p w14:paraId="57E88E5F">
      <w:pPr>
        <w:snapToGrid w:val="0"/>
        <w:spacing w:line="500" w:lineRule="exact"/>
        <w:jc w:val="center"/>
        <w:rPr>
          <w:rFonts w:ascii="Times New Roman" w:hAnsi="Times New Roman" w:eastAsia="宋体"/>
          <w:b/>
          <w:color w:val="auto"/>
          <w:sz w:val="24"/>
          <w:szCs w:val="24"/>
          <w:highlight w:val="none"/>
        </w:rPr>
      </w:pPr>
      <w:r>
        <w:rPr>
          <w:rFonts w:ascii="Times New Roman" w:hAnsi="Times New Roman" w:eastAsia="宋体"/>
          <w:b/>
          <w:color w:val="auto"/>
          <w:sz w:val="24"/>
          <w:szCs w:val="24"/>
          <w:highlight w:val="none"/>
        </w:rPr>
        <w:t>表4.2-</w:t>
      </w:r>
      <w:r>
        <w:rPr>
          <w:rFonts w:hint="eastAsia" w:ascii="Times New Roman" w:hAnsi="Times New Roman" w:eastAsia="宋体"/>
          <w:b/>
          <w:color w:val="auto"/>
          <w:sz w:val="24"/>
          <w:szCs w:val="24"/>
          <w:highlight w:val="none"/>
          <w:lang w:val="en-US" w:eastAsia="zh-CN"/>
        </w:rPr>
        <w:t>11</w:t>
      </w:r>
      <w:r>
        <w:rPr>
          <w:rFonts w:hint="eastAsia"/>
          <w:b/>
          <w:color w:val="auto"/>
          <w:sz w:val="24"/>
          <w:szCs w:val="24"/>
          <w:highlight w:val="none"/>
          <w:lang w:val="en-US" w:eastAsia="zh-CN"/>
        </w:rPr>
        <w:t xml:space="preserve">  </w:t>
      </w:r>
      <w:r>
        <w:rPr>
          <w:rFonts w:ascii="Times New Roman" w:hAnsi="Times New Roman" w:eastAsia="宋体"/>
          <w:b/>
          <w:color w:val="auto"/>
          <w:sz w:val="24"/>
          <w:szCs w:val="24"/>
          <w:highlight w:val="none"/>
        </w:rPr>
        <w:t>舒卡列夫分类图表</w:t>
      </w:r>
    </w:p>
    <w:tbl>
      <w:tblPr>
        <w:tblStyle w:val="49"/>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827"/>
        <w:gridCol w:w="1335"/>
        <w:gridCol w:w="1281"/>
        <w:gridCol w:w="1155"/>
        <w:gridCol w:w="645"/>
        <w:gridCol w:w="915"/>
        <w:gridCol w:w="566"/>
      </w:tblGrid>
      <w:tr w14:paraId="1D767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tcBorders>
              <w:tl2br w:val="nil"/>
              <w:tr2bl w:val="nil"/>
            </w:tcBorders>
            <w:noWrap w:val="0"/>
            <w:vAlign w:val="center"/>
          </w:tcPr>
          <w:p w14:paraId="544147FC">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超过25%毫克当量的离子</w:t>
            </w:r>
          </w:p>
        </w:tc>
        <w:tc>
          <w:tcPr>
            <w:tcW w:w="485" w:type="pct"/>
            <w:tcBorders>
              <w:tl2br w:val="nil"/>
              <w:tr2bl w:val="nil"/>
            </w:tcBorders>
            <w:noWrap w:val="0"/>
            <w:vAlign w:val="center"/>
          </w:tcPr>
          <w:p w14:paraId="5599B658">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HCO</w:t>
            </w:r>
            <w:r>
              <w:rPr>
                <w:rFonts w:ascii="Times New Roman" w:hAnsi="Times New Roman" w:eastAsia="宋体"/>
                <w:b/>
                <w:bCs/>
                <w:color w:val="auto"/>
                <w:szCs w:val="21"/>
                <w:highlight w:val="none"/>
                <w:vertAlign w:val="subscript"/>
              </w:rPr>
              <w:t>3</w:t>
            </w:r>
          </w:p>
        </w:tc>
        <w:tc>
          <w:tcPr>
            <w:tcW w:w="784" w:type="pct"/>
            <w:tcBorders>
              <w:tl2br w:val="nil"/>
              <w:tr2bl w:val="nil"/>
            </w:tcBorders>
            <w:noWrap w:val="0"/>
            <w:vAlign w:val="center"/>
          </w:tcPr>
          <w:p w14:paraId="77FA6D14">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HCO</w:t>
            </w:r>
            <w:r>
              <w:rPr>
                <w:rFonts w:ascii="Times New Roman" w:hAnsi="Times New Roman" w:eastAsia="宋体"/>
                <w:b/>
                <w:bCs/>
                <w:color w:val="auto"/>
                <w:szCs w:val="21"/>
                <w:highlight w:val="none"/>
                <w:vertAlign w:val="subscript"/>
              </w:rPr>
              <w:t>3</w:t>
            </w:r>
            <w:r>
              <w:rPr>
                <w:rFonts w:ascii="Times New Roman" w:hAnsi="Times New Roman" w:eastAsia="宋体"/>
                <w:b/>
                <w:bCs/>
                <w:color w:val="auto"/>
                <w:szCs w:val="21"/>
                <w:highlight w:val="none"/>
              </w:rPr>
              <w:t>+SO</w:t>
            </w:r>
            <w:r>
              <w:rPr>
                <w:rFonts w:ascii="Times New Roman" w:hAnsi="Times New Roman" w:eastAsia="宋体"/>
                <w:b/>
                <w:bCs/>
                <w:color w:val="auto"/>
                <w:szCs w:val="21"/>
                <w:highlight w:val="none"/>
                <w:vertAlign w:val="subscript"/>
              </w:rPr>
              <w:t>4</w:t>
            </w:r>
          </w:p>
        </w:tc>
        <w:tc>
          <w:tcPr>
            <w:tcW w:w="752" w:type="pct"/>
            <w:tcBorders>
              <w:tl2br w:val="nil"/>
              <w:tr2bl w:val="nil"/>
            </w:tcBorders>
            <w:noWrap w:val="0"/>
            <w:vAlign w:val="center"/>
          </w:tcPr>
          <w:p w14:paraId="065B926C">
            <w:pPr>
              <w:snapToGrid w:val="0"/>
              <w:jc w:val="center"/>
              <w:rPr>
                <w:rFonts w:hint="eastAsia" w:ascii="Times New Roman" w:hAnsi="Times New Roman" w:eastAsia="宋体"/>
                <w:b/>
                <w:bCs/>
                <w:color w:val="auto"/>
                <w:szCs w:val="21"/>
                <w:highlight w:val="none"/>
                <w:vertAlign w:val="subscript"/>
              </w:rPr>
            </w:pPr>
            <w:r>
              <w:rPr>
                <w:rFonts w:ascii="Times New Roman" w:hAnsi="Times New Roman" w:eastAsia="宋体"/>
                <w:b/>
                <w:bCs/>
                <w:color w:val="auto"/>
                <w:szCs w:val="21"/>
                <w:highlight w:val="none"/>
              </w:rPr>
              <w:t>HCO</w:t>
            </w:r>
            <w:r>
              <w:rPr>
                <w:rFonts w:ascii="Times New Roman" w:hAnsi="Times New Roman" w:eastAsia="宋体"/>
                <w:b/>
                <w:bCs/>
                <w:color w:val="auto"/>
                <w:szCs w:val="21"/>
                <w:highlight w:val="none"/>
                <w:vertAlign w:val="subscript"/>
              </w:rPr>
              <w:t>3</w:t>
            </w:r>
            <w:r>
              <w:rPr>
                <w:rFonts w:ascii="Times New Roman" w:hAnsi="Times New Roman" w:eastAsia="宋体"/>
                <w:b/>
                <w:bCs/>
                <w:color w:val="auto"/>
                <w:szCs w:val="21"/>
                <w:highlight w:val="none"/>
              </w:rPr>
              <w:t>+SO</w:t>
            </w:r>
            <w:r>
              <w:rPr>
                <w:rFonts w:ascii="Times New Roman" w:hAnsi="Times New Roman" w:eastAsia="宋体"/>
                <w:b/>
                <w:bCs/>
                <w:color w:val="auto"/>
                <w:szCs w:val="21"/>
                <w:highlight w:val="none"/>
                <w:vertAlign w:val="subscript"/>
              </w:rPr>
              <w:t>4</w:t>
            </w:r>
          </w:p>
          <w:p w14:paraId="014EF119">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+Cl</w:t>
            </w:r>
          </w:p>
        </w:tc>
        <w:tc>
          <w:tcPr>
            <w:tcW w:w="678" w:type="pct"/>
            <w:tcBorders>
              <w:tl2br w:val="nil"/>
              <w:tr2bl w:val="nil"/>
            </w:tcBorders>
            <w:noWrap w:val="0"/>
            <w:vAlign w:val="center"/>
          </w:tcPr>
          <w:p w14:paraId="5E95A09C">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HCO</w:t>
            </w:r>
            <w:r>
              <w:rPr>
                <w:rFonts w:ascii="Times New Roman" w:hAnsi="Times New Roman" w:eastAsia="宋体"/>
                <w:b/>
                <w:bCs/>
                <w:color w:val="auto"/>
                <w:szCs w:val="21"/>
                <w:highlight w:val="none"/>
                <w:vertAlign w:val="subscript"/>
              </w:rPr>
              <w:t>3</w:t>
            </w:r>
            <w:r>
              <w:rPr>
                <w:rFonts w:ascii="Times New Roman" w:hAnsi="Times New Roman" w:eastAsia="宋体"/>
                <w:b/>
                <w:bCs/>
                <w:color w:val="auto"/>
                <w:szCs w:val="21"/>
                <w:highlight w:val="none"/>
              </w:rPr>
              <w:t>+Cl</w:t>
            </w:r>
          </w:p>
        </w:tc>
        <w:tc>
          <w:tcPr>
            <w:tcW w:w="378" w:type="pct"/>
            <w:tcBorders>
              <w:tl2br w:val="nil"/>
              <w:tr2bl w:val="nil"/>
            </w:tcBorders>
            <w:noWrap w:val="0"/>
            <w:vAlign w:val="center"/>
          </w:tcPr>
          <w:p w14:paraId="5F9F581F">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SO</w:t>
            </w:r>
            <w:r>
              <w:rPr>
                <w:rFonts w:ascii="Times New Roman" w:hAnsi="Times New Roman" w:eastAsia="宋体"/>
                <w:b/>
                <w:bCs/>
                <w:color w:val="auto"/>
                <w:szCs w:val="21"/>
                <w:highlight w:val="none"/>
                <w:vertAlign w:val="subscript"/>
              </w:rPr>
              <w:t>4</w:t>
            </w:r>
          </w:p>
        </w:tc>
        <w:tc>
          <w:tcPr>
            <w:tcW w:w="537" w:type="pct"/>
            <w:tcBorders>
              <w:tl2br w:val="nil"/>
              <w:tr2bl w:val="nil"/>
            </w:tcBorders>
            <w:noWrap w:val="0"/>
            <w:vAlign w:val="center"/>
          </w:tcPr>
          <w:p w14:paraId="50418AA0">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SO</w:t>
            </w:r>
            <w:r>
              <w:rPr>
                <w:rFonts w:ascii="Times New Roman" w:hAnsi="Times New Roman" w:eastAsia="宋体"/>
                <w:b/>
                <w:bCs/>
                <w:color w:val="auto"/>
                <w:szCs w:val="21"/>
                <w:highlight w:val="none"/>
                <w:vertAlign w:val="subscript"/>
              </w:rPr>
              <w:t>4</w:t>
            </w:r>
            <w:r>
              <w:rPr>
                <w:rFonts w:ascii="Times New Roman" w:hAnsi="Times New Roman" w:eastAsia="宋体"/>
                <w:b/>
                <w:bCs/>
                <w:color w:val="auto"/>
                <w:szCs w:val="21"/>
                <w:highlight w:val="none"/>
              </w:rPr>
              <w:t>+Cl</w:t>
            </w:r>
          </w:p>
        </w:tc>
        <w:tc>
          <w:tcPr>
            <w:tcW w:w="332" w:type="pct"/>
            <w:tcBorders>
              <w:tl2br w:val="nil"/>
              <w:tr2bl w:val="nil"/>
            </w:tcBorders>
            <w:noWrap w:val="0"/>
            <w:vAlign w:val="center"/>
          </w:tcPr>
          <w:p w14:paraId="6DECC769">
            <w:pPr>
              <w:snapToGrid w:val="0"/>
              <w:jc w:val="center"/>
              <w:rPr>
                <w:rFonts w:ascii="Times New Roman" w:hAnsi="Times New Roman" w:eastAsia="宋体"/>
                <w:b/>
                <w:bCs/>
                <w:color w:val="auto"/>
                <w:szCs w:val="21"/>
                <w:highlight w:val="none"/>
              </w:rPr>
            </w:pPr>
            <w:r>
              <w:rPr>
                <w:rFonts w:ascii="Times New Roman" w:hAnsi="Times New Roman" w:eastAsia="宋体"/>
                <w:b/>
                <w:bCs/>
                <w:color w:val="auto"/>
                <w:szCs w:val="21"/>
                <w:highlight w:val="none"/>
              </w:rPr>
              <w:t>Cl</w:t>
            </w:r>
          </w:p>
        </w:tc>
      </w:tr>
      <w:tr w14:paraId="798FB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tcBorders>
              <w:tl2br w:val="nil"/>
              <w:tr2bl w:val="nil"/>
            </w:tcBorders>
            <w:noWrap w:val="0"/>
            <w:vAlign w:val="top"/>
          </w:tcPr>
          <w:p w14:paraId="0253E13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Ca</w:t>
            </w:r>
          </w:p>
        </w:tc>
        <w:tc>
          <w:tcPr>
            <w:tcW w:w="485" w:type="pct"/>
            <w:tcBorders>
              <w:tl2br w:val="nil"/>
              <w:tr2bl w:val="nil"/>
            </w:tcBorders>
            <w:noWrap w:val="0"/>
            <w:vAlign w:val="top"/>
          </w:tcPr>
          <w:p w14:paraId="5B30DF8C">
            <w:pPr>
              <w:snapToGrid w:val="0"/>
              <w:jc w:val="center"/>
              <w:rPr>
                <w:rFonts w:ascii="Times New Roman" w:hAnsi="Times New Roman" w:eastAsia="宋体"/>
                <w:bCs/>
                <w:color w:val="auto"/>
                <w:szCs w:val="21"/>
                <w:highlight w:val="none"/>
              </w:rPr>
            </w:pPr>
            <w:r>
              <w:rPr>
                <w:rFonts w:ascii="Times New Roman" w:hAnsi="Times New Roman" w:eastAsia="宋体"/>
                <w:bCs/>
                <w:color w:val="auto"/>
                <w:szCs w:val="21"/>
                <w:highlight w:val="none"/>
              </w:rPr>
              <w:t>1</w:t>
            </w:r>
          </w:p>
        </w:tc>
        <w:tc>
          <w:tcPr>
            <w:tcW w:w="784" w:type="pct"/>
            <w:tcBorders>
              <w:tl2br w:val="nil"/>
              <w:tr2bl w:val="nil"/>
            </w:tcBorders>
            <w:noWrap w:val="0"/>
            <w:vAlign w:val="top"/>
          </w:tcPr>
          <w:p w14:paraId="5CEBC30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8</w:t>
            </w:r>
          </w:p>
        </w:tc>
        <w:tc>
          <w:tcPr>
            <w:tcW w:w="752" w:type="pct"/>
            <w:tcBorders>
              <w:tl2br w:val="nil"/>
              <w:tr2bl w:val="nil"/>
            </w:tcBorders>
            <w:noWrap w:val="0"/>
            <w:vAlign w:val="top"/>
          </w:tcPr>
          <w:p w14:paraId="56F10A3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15</w:t>
            </w:r>
          </w:p>
        </w:tc>
        <w:tc>
          <w:tcPr>
            <w:tcW w:w="678" w:type="pct"/>
            <w:tcBorders>
              <w:tl2br w:val="nil"/>
              <w:tr2bl w:val="nil"/>
            </w:tcBorders>
            <w:noWrap w:val="0"/>
            <w:vAlign w:val="top"/>
          </w:tcPr>
          <w:p w14:paraId="7E61EF4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22</w:t>
            </w:r>
          </w:p>
        </w:tc>
        <w:tc>
          <w:tcPr>
            <w:tcW w:w="378" w:type="pct"/>
            <w:tcBorders>
              <w:tl2br w:val="nil"/>
              <w:tr2bl w:val="nil"/>
            </w:tcBorders>
            <w:noWrap w:val="0"/>
            <w:vAlign w:val="top"/>
          </w:tcPr>
          <w:p w14:paraId="7015056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29</w:t>
            </w:r>
          </w:p>
        </w:tc>
        <w:tc>
          <w:tcPr>
            <w:tcW w:w="537" w:type="pct"/>
            <w:tcBorders>
              <w:tl2br w:val="nil"/>
              <w:tr2bl w:val="nil"/>
            </w:tcBorders>
            <w:noWrap w:val="0"/>
            <w:vAlign w:val="top"/>
          </w:tcPr>
          <w:p w14:paraId="0AF3C27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36</w:t>
            </w:r>
          </w:p>
        </w:tc>
        <w:tc>
          <w:tcPr>
            <w:tcW w:w="332" w:type="pct"/>
            <w:tcBorders>
              <w:tl2br w:val="nil"/>
              <w:tr2bl w:val="nil"/>
            </w:tcBorders>
            <w:noWrap w:val="0"/>
            <w:vAlign w:val="top"/>
          </w:tcPr>
          <w:p w14:paraId="58B2BE2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43</w:t>
            </w:r>
          </w:p>
        </w:tc>
      </w:tr>
      <w:tr w14:paraId="485D5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tcBorders>
              <w:tl2br w:val="nil"/>
              <w:tr2bl w:val="nil"/>
            </w:tcBorders>
            <w:noWrap w:val="0"/>
            <w:vAlign w:val="top"/>
          </w:tcPr>
          <w:p w14:paraId="52D2D6C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Ca+Mg</w:t>
            </w:r>
          </w:p>
        </w:tc>
        <w:tc>
          <w:tcPr>
            <w:tcW w:w="485" w:type="pct"/>
            <w:tcBorders>
              <w:tl2br w:val="nil"/>
              <w:tr2bl w:val="nil"/>
            </w:tcBorders>
            <w:noWrap w:val="0"/>
            <w:vAlign w:val="top"/>
          </w:tcPr>
          <w:p w14:paraId="7F2F92E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w:t>
            </w:r>
          </w:p>
        </w:tc>
        <w:tc>
          <w:tcPr>
            <w:tcW w:w="784" w:type="pct"/>
            <w:tcBorders>
              <w:tl2br w:val="nil"/>
              <w:tr2bl w:val="nil"/>
            </w:tcBorders>
            <w:noWrap w:val="0"/>
            <w:vAlign w:val="top"/>
          </w:tcPr>
          <w:p w14:paraId="34E550A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9</w:t>
            </w:r>
          </w:p>
        </w:tc>
        <w:tc>
          <w:tcPr>
            <w:tcW w:w="752" w:type="pct"/>
            <w:tcBorders>
              <w:tl2br w:val="nil"/>
              <w:tr2bl w:val="nil"/>
            </w:tcBorders>
            <w:noWrap w:val="0"/>
            <w:vAlign w:val="top"/>
          </w:tcPr>
          <w:p w14:paraId="5BD30D2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16</w:t>
            </w:r>
          </w:p>
        </w:tc>
        <w:tc>
          <w:tcPr>
            <w:tcW w:w="678" w:type="pct"/>
            <w:tcBorders>
              <w:tl2br w:val="nil"/>
              <w:tr2bl w:val="nil"/>
            </w:tcBorders>
            <w:noWrap w:val="0"/>
            <w:vAlign w:val="top"/>
          </w:tcPr>
          <w:p w14:paraId="6654541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23</w:t>
            </w:r>
          </w:p>
        </w:tc>
        <w:tc>
          <w:tcPr>
            <w:tcW w:w="378" w:type="pct"/>
            <w:tcBorders>
              <w:tl2br w:val="nil"/>
              <w:tr2bl w:val="nil"/>
            </w:tcBorders>
            <w:noWrap w:val="0"/>
            <w:vAlign w:val="top"/>
          </w:tcPr>
          <w:p w14:paraId="62A0E50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30</w:t>
            </w:r>
          </w:p>
        </w:tc>
        <w:tc>
          <w:tcPr>
            <w:tcW w:w="537" w:type="pct"/>
            <w:tcBorders>
              <w:tl2br w:val="nil"/>
              <w:tr2bl w:val="nil"/>
            </w:tcBorders>
            <w:noWrap w:val="0"/>
            <w:vAlign w:val="top"/>
          </w:tcPr>
          <w:p w14:paraId="5AF76D3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37</w:t>
            </w:r>
          </w:p>
        </w:tc>
        <w:tc>
          <w:tcPr>
            <w:tcW w:w="332" w:type="pct"/>
            <w:tcBorders>
              <w:tl2br w:val="nil"/>
              <w:tr2bl w:val="nil"/>
            </w:tcBorders>
            <w:noWrap w:val="0"/>
            <w:vAlign w:val="top"/>
          </w:tcPr>
          <w:p w14:paraId="2E9871E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44</w:t>
            </w:r>
          </w:p>
        </w:tc>
      </w:tr>
      <w:tr w14:paraId="293C6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tcBorders>
              <w:tl2br w:val="nil"/>
              <w:tr2bl w:val="nil"/>
            </w:tcBorders>
            <w:noWrap w:val="0"/>
            <w:vAlign w:val="top"/>
          </w:tcPr>
          <w:p w14:paraId="027EF50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Mg</w:t>
            </w:r>
          </w:p>
        </w:tc>
        <w:tc>
          <w:tcPr>
            <w:tcW w:w="485" w:type="pct"/>
            <w:tcBorders>
              <w:tl2br w:val="nil"/>
              <w:tr2bl w:val="nil"/>
            </w:tcBorders>
            <w:noWrap w:val="0"/>
            <w:vAlign w:val="top"/>
          </w:tcPr>
          <w:p w14:paraId="7EF4F8B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w:t>
            </w:r>
          </w:p>
        </w:tc>
        <w:tc>
          <w:tcPr>
            <w:tcW w:w="784" w:type="pct"/>
            <w:tcBorders>
              <w:tl2br w:val="nil"/>
              <w:tr2bl w:val="nil"/>
            </w:tcBorders>
            <w:noWrap w:val="0"/>
            <w:vAlign w:val="top"/>
          </w:tcPr>
          <w:p w14:paraId="630E25C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10</w:t>
            </w:r>
          </w:p>
        </w:tc>
        <w:tc>
          <w:tcPr>
            <w:tcW w:w="752" w:type="pct"/>
            <w:tcBorders>
              <w:tl2br w:val="nil"/>
              <w:tr2bl w:val="nil"/>
            </w:tcBorders>
            <w:noWrap w:val="0"/>
            <w:vAlign w:val="top"/>
          </w:tcPr>
          <w:p w14:paraId="3689402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17</w:t>
            </w:r>
          </w:p>
        </w:tc>
        <w:tc>
          <w:tcPr>
            <w:tcW w:w="678" w:type="pct"/>
            <w:tcBorders>
              <w:tl2br w:val="nil"/>
              <w:tr2bl w:val="nil"/>
            </w:tcBorders>
            <w:noWrap w:val="0"/>
            <w:vAlign w:val="top"/>
          </w:tcPr>
          <w:p w14:paraId="460F50D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24</w:t>
            </w:r>
          </w:p>
        </w:tc>
        <w:tc>
          <w:tcPr>
            <w:tcW w:w="378" w:type="pct"/>
            <w:tcBorders>
              <w:tl2br w:val="nil"/>
              <w:tr2bl w:val="nil"/>
            </w:tcBorders>
            <w:noWrap w:val="0"/>
            <w:vAlign w:val="top"/>
          </w:tcPr>
          <w:p w14:paraId="7206045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31</w:t>
            </w:r>
          </w:p>
        </w:tc>
        <w:tc>
          <w:tcPr>
            <w:tcW w:w="537" w:type="pct"/>
            <w:tcBorders>
              <w:tl2br w:val="nil"/>
              <w:tr2bl w:val="nil"/>
            </w:tcBorders>
            <w:noWrap w:val="0"/>
            <w:vAlign w:val="top"/>
          </w:tcPr>
          <w:p w14:paraId="1BA53DE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38</w:t>
            </w:r>
          </w:p>
        </w:tc>
        <w:tc>
          <w:tcPr>
            <w:tcW w:w="332" w:type="pct"/>
            <w:tcBorders>
              <w:tl2br w:val="nil"/>
              <w:tr2bl w:val="nil"/>
            </w:tcBorders>
            <w:noWrap w:val="0"/>
            <w:vAlign w:val="top"/>
          </w:tcPr>
          <w:p w14:paraId="62549F9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45</w:t>
            </w:r>
          </w:p>
        </w:tc>
      </w:tr>
      <w:tr w14:paraId="35121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tcBorders>
              <w:tl2br w:val="nil"/>
              <w:tr2bl w:val="nil"/>
            </w:tcBorders>
            <w:noWrap w:val="0"/>
            <w:vAlign w:val="top"/>
          </w:tcPr>
          <w:p w14:paraId="3FDB182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Na+Ca</w:t>
            </w:r>
          </w:p>
        </w:tc>
        <w:tc>
          <w:tcPr>
            <w:tcW w:w="485" w:type="pct"/>
            <w:tcBorders>
              <w:tl2br w:val="nil"/>
              <w:tr2bl w:val="nil"/>
            </w:tcBorders>
            <w:noWrap w:val="0"/>
            <w:vAlign w:val="top"/>
          </w:tcPr>
          <w:p w14:paraId="2D70EEEA">
            <w:pPr>
              <w:snapToGrid w:val="0"/>
              <w:jc w:val="center"/>
              <w:rPr>
                <w:rFonts w:ascii="Times New Roman" w:hAnsi="Times New Roman" w:eastAsia="宋体"/>
                <w:bCs/>
                <w:color w:val="auto"/>
                <w:szCs w:val="21"/>
                <w:highlight w:val="none"/>
              </w:rPr>
            </w:pPr>
            <w:r>
              <w:rPr>
                <w:rFonts w:ascii="Times New Roman" w:hAnsi="Times New Roman" w:eastAsia="宋体"/>
                <w:bCs/>
                <w:color w:val="auto"/>
                <w:szCs w:val="21"/>
                <w:highlight w:val="none"/>
              </w:rPr>
              <w:t>4</w:t>
            </w:r>
          </w:p>
        </w:tc>
        <w:tc>
          <w:tcPr>
            <w:tcW w:w="784" w:type="pct"/>
            <w:tcBorders>
              <w:tl2br w:val="nil"/>
              <w:tr2bl w:val="nil"/>
            </w:tcBorders>
            <w:noWrap w:val="0"/>
            <w:vAlign w:val="top"/>
          </w:tcPr>
          <w:p w14:paraId="4011C44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11</w:t>
            </w:r>
          </w:p>
        </w:tc>
        <w:tc>
          <w:tcPr>
            <w:tcW w:w="752" w:type="pct"/>
            <w:tcBorders>
              <w:tl2br w:val="nil"/>
              <w:tr2bl w:val="nil"/>
            </w:tcBorders>
            <w:noWrap w:val="0"/>
            <w:vAlign w:val="top"/>
          </w:tcPr>
          <w:p w14:paraId="1B1328E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18</w:t>
            </w:r>
          </w:p>
        </w:tc>
        <w:tc>
          <w:tcPr>
            <w:tcW w:w="678" w:type="pct"/>
            <w:tcBorders>
              <w:tl2br w:val="nil"/>
              <w:tr2bl w:val="nil"/>
            </w:tcBorders>
            <w:noWrap w:val="0"/>
            <w:vAlign w:val="top"/>
          </w:tcPr>
          <w:p w14:paraId="7A8157B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25</w:t>
            </w:r>
          </w:p>
        </w:tc>
        <w:tc>
          <w:tcPr>
            <w:tcW w:w="378" w:type="pct"/>
            <w:tcBorders>
              <w:tl2br w:val="nil"/>
              <w:tr2bl w:val="nil"/>
            </w:tcBorders>
            <w:noWrap w:val="0"/>
            <w:vAlign w:val="top"/>
          </w:tcPr>
          <w:p w14:paraId="095F57E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32</w:t>
            </w:r>
          </w:p>
        </w:tc>
        <w:tc>
          <w:tcPr>
            <w:tcW w:w="537" w:type="pct"/>
            <w:tcBorders>
              <w:tl2br w:val="nil"/>
              <w:tr2bl w:val="nil"/>
            </w:tcBorders>
            <w:noWrap w:val="0"/>
            <w:vAlign w:val="top"/>
          </w:tcPr>
          <w:p w14:paraId="738BB94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39</w:t>
            </w:r>
          </w:p>
        </w:tc>
        <w:tc>
          <w:tcPr>
            <w:tcW w:w="332" w:type="pct"/>
            <w:tcBorders>
              <w:tl2br w:val="nil"/>
              <w:tr2bl w:val="nil"/>
            </w:tcBorders>
            <w:noWrap w:val="0"/>
            <w:vAlign w:val="top"/>
          </w:tcPr>
          <w:p w14:paraId="5A46CD0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46</w:t>
            </w:r>
          </w:p>
        </w:tc>
      </w:tr>
      <w:tr w14:paraId="6C8BE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tcBorders>
              <w:tl2br w:val="nil"/>
              <w:tr2bl w:val="nil"/>
            </w:tcBorders>
            <w:noWrap w:val="0"/>
            <w:vAlign w:val="top"/>
          </w:tcPr>
          <w:p w14:paraId="6877348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Na+Ca+Mg</w:t>
            </w:r>
          </w:p>
        </w:tc>
        <w:tc>
          <w:tcPr>
            <w:tcW w:w="485" w:type="pct"/>
            <w:tcBorders>
              <w:tl2br w:val="nil"/>
              <w:tr2bl w:val="nil"/>
            </w:tcBorders>
            <w:noWrap w:val="0"/>
            <w:vAlign w:val="top"/>
          </w:tcPr>
          <w:p w14:paraId="03A15F5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5</w:t>
            </w:r>
          </w:p>
        </w:tc>
        <w:tc>
          <w:tcPr>
            <w:tcW w:w="784" w:type="pct"/>
            <w:tcBorders>
              <w:tl2br w:val="nil"/>
              <w:tr2bl w:val="nil"/>
            </w:tcBorders>
            <w:noWrap w:val="0"/>
            <w:vAlign w:val="top"/>
          </w:tcPr>
          <w:p w14:paraId="51AA934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12</w:t>
            </w:r>
          </w:p>
        </w:tc>
        <w:tc>
          <w:tcPr>
            <w:tcW w:w="752" w:type="pct"/>
            <w:tcBorders>
              <w:tl2br w:val="nil"/>
              <w:tr2bl w:val="nil"/>
            </w:tcBorders>
            <w:noWrap w:val="0"/>
            <w:vAlign w:val="top"/>
          </w:tcPr>
          <w:p w14:paraId="546EA1A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19</w:t>
            </w:r>
          </w:p>
        </w:tc>
        <w:tc>
          <w:tcPr>
            <w:tcW w:w="678" w:type="pct"/>
            <w:tcBorders>
              <w:tl2br w:val="nil"/>
              <w:tr2bl w:val="nil"/>
            </w:tcBorders>
            <w:noWrap w:val="0"/>
            <w:vAlign w:val="top"/>
          </w:tcPr>
          <w:p w14:paraId="6281AC83">
            <w:pPr>
              <w:snapToGrid w:val="0"/>
              <w:jc w:val="center"/>
              <w:rPr>
                <w:rFonts w:ascii="Times New Roman" w:hAnsi="Times New Roman" w:eastAsia="宋体"/>
                <w:bCs/>
                <w:color w:val="auto"/>
                <w:szCs w:val="21"/>
                <w:highlight w:val="none"/>
              </w:rPr>
            </w:pPr>
            <w:r>
              <w:rPr>
                <w:rFonts w:ascii="Times New Roman" w:hAnsi="Times New Roman" w:eastAsia="宋体"/>
                <w:bCs/>
                <w:color w:val="auto"/>
                <w:szCs w:val="21"/>
                <w:highlight w:val="none"/>
              </w:rPr>
              <w:t>26</w:t>
            </w:r>
          </w:p>
        </w:tc>
        <w:tc>
          <w:tcPr>
            <w:tcW w:w="378" w:type="pct"/>
            <w:tcBorders>
              <w:tl2br w:val="nil"/>
              <w:tr2bl w:val="nil"/>
            </w:tcBorders>
            <w:noWrap w:val="0"/>
            <w:vAlign w:val="top"/>
          </w:tcPr>
          <w:p w14:paraId="1BDEA9E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33</w:t>
            </w:r>
          </w:p>
        </w:tc>
        <w:tc>
          <w:tcPr>
            <w:tcW w:w="537" w:type="pct"/>
            <w:tcBorders>
              <w:tl2br w:val="nil"/>
              <w:tr2bl w:val="nil"/>
            </w:tcBorders>
            <w:noWrap w:val="0"/>
            <w:vAlign w:val="top"/>
          </w:tcPr>
          <w:p w14:paraId="6188F5A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40</w:t>
            </w:r>
          </w:p>
        </w:tc>
        <w:tc>
          <w:tcPr>
            <w:tcW w:w="332" w:type="pct"/>
            <w:tcBorders>
              <w:tl2br w:val="nil"/>
              <w:tr2bl w:val="nil"/>
            </w:tcBorders>
            <w:noWrap w:val="0"/>
            <w:vAlign w:val="top"/>
          </w:tcPr>
          <w:p w14:paraId="2D3C79B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47</w:t>
            </w:r>
          </w:p>
        </w:tc>
      </w:tr>
      <w:tr w14:paraId="51F6D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tcBorders>
              <w:tl2br w:val="nil"/>
              <w:tr2bl w:val="nil"/>
            </w:tcBorders>
            <w:noWrap w:val="0"/>
            <w:vAlign w:val="top"/>
          </w:tcPr>
          <w:p w14:paraId="7A94F1B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Na+Mg</w:t>
            </w:r>
          </w:p>
        </w:tc>
        <w:tc>
          <w:tcPr>
            <w:tcW w:w="485" w:type="pct"/>
            <w:tcBorders>
              <w:tl2br w:val="nil"/>
              <w:tr2bl w:val="nil"/>
            </w:tcBorders>
            <w:noWrap w:val="0"/>
            <w:vAlign w:val="top"/>
          </w:tcPr>
          <w:p w14:paraId="189E061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6</w:t>
            </w:r>
          </w:p>
        </w:tc>
        <w:tc>
          <w:tcPr>
            <w:tcW w:w="784" w:type="pct"/>
            <w:tcBorders>
              <w:tl2br w:val="nil"/>
              <w:tr2bl w:val="nil"/>
            </w:tcBorders>
            <w:noWrap w:val="0"/>
            <w:vAlign w:val="top"/>
          </w:tcPr>
          <w:p w14:paraId="4119AC7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13</w:t>
            </w:r>
          </w:p>
        </w:tc>
        <w:tc>
          <w:tcPr>
            <w:tcW w:w="752" w:type="pct"/>
            <w:tcBorders>
              <w:tl2br w:val="nil"/>
              <w:tr2bl w:val="nil"/>
            </w:tcBorders>
            <w:noWrap w:val="0"/>
            <w:vAlign w:val="top"/>
          </w:tcPr>
          <w:p w14:paraId="32DEA1B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20</w:t>
            </w:r>
          </w:p>
        </w:tc>
        <w:tc>
          <w:tcPr>
            <w:tcW w:w="678" w:type="pct"/>
            <w:tcBorders>
              <w:tl2br w:val="nil"/>
              <w:tr2bl w:val="nil"/>
            </w:tcBorders>
            <w:noWrap w:val="0"/>
            <w:vAlign w:val="top"/>
          </w:tcPr>
          <w:p w14:paraId="09D3904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27</w:t>
            </w:r>
          </w:p>
        </w:tc>
        <w:tc>
          <w:tcPr>
            <w:tcW w:w="378" w:type="pct"/>
            <w:tcBorders>
              <w:tl2br w:val="nil"/>
              <w:tr2bl w:val="nil"/>
            </w:tcBorders>
            <w:noWrap w:val="0"/>
            <w:vAlign w:val="top"/>
          </w:tcPr>
          <w:p w14:paraId="56C9255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34</w:t>
            </w:r>
          </w:p>
        </w:tc>
        <w:tc>
          <w:tcPr>
            <w:tcW w:w="537" w:type="pct"/>
            <w:tcBorders>
              <w:tl2br w:val="nil"/>
              <w:tr2bl w:val="nil"/>
            </w:tcBorders>
            <w:noWrap w:val="0"/>
            <w:vAlign w:val="top"/>
          </w:tcPr>
          <w:p w14:paraId="1B327FB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41</w:t>
            </w:r>
          </w:p>
        </w:tc>
        <w:tc>
          <w:tcPr>
            <w:tcW w:w="332" w:type="pct"/>
            <w:tcBorders>
              <w:tl2br w:val="nil"/>
              <w:tr2bl w:val="nil"/>
            </w:tcBorders>
            <w:noWrap w:val="0"/>
            <w:vAlign w:val="top"/>
          </w:tcPr>
          <w:p w14:paraId="33EF10D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48</w:t>
            </w:r>
          </w:p>
        </w:tc>
      </w:tr>
      <w:tr w14:paraId="032CA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50" w:type="pct"/>
            <w:tcBorders>
              <w:tl2br w:val="nil"/>
              <w:tr2bl w:val="nil"/>
            </w:tcBorders>
            <w:noWrap w:val="0"/>
            <w:vAlign w:val="top"/>
          </w:tcPr>
          <w:p w14:paraId="2F79798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Na</w:t>
            </w:r>
          </w:p>
        </w:tc>
        <w:tc>
          <w:tcPr>
            <w:tcW w:w="485" w:type="pct"/>
            <w:tcBorders>
              <w:tl2br w:val="nil"/>
              <w:tr2bl w:val="nil"/>
            </w:tcBorders>
            <w:noWrap w:val="0"/>
            <w:vAlign w:val="top"/>
          </w:tcPr>
          <w:p w14:paraId="0FF4896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7</w:t>
            </w:r>
          </w:p>
        </w:tc>
        <w:tc>
          <w:tcPr>
            <w:tcW w:w="784" w:type="pct"/>
            <w:tcBorders>
              <w:tl2br w:val="nil"/>
              <w:tr2bl w:val="nil"/>
            </w:tcBorders>
            <w:noWrap w:val="0"/>
            <w:vAlign w:val="top"/>
          </w:tcPr>
          <w:p w14:paraId="3EF4CCC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14</w:t>
            </w:r>
          </w:p>
        </w:tc>
        <w:tc>
          <w:tcPr>
            <w:tcW w:w="752" w:type="pct"/>
            <w:tcBorders>
              <w:tl2br w:val="nil"/>
              <w:tr2bl w:val="nil"/>
            </w:tcBorders>
            <w:noWrap w:val="0"/>
            <w:vAlign w:val="top"/>
          </w:tcPr>
          <w:p w14:paraId="5BEB93F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21</w:t>
            </w:r>
          </w:p>
        </w:tc>
        <w:tc>
          <w:tcPr>
            <w:tcW w:w="678" w:type="pct"/>
            <w:tcBorders>
              <w:tl2br w:val="nil"/>
              <w:tr2bl w:val="nil"/>
            </w:tcBorders>
            <w:noWrap w:val="0"/>
            <w:vAlign w:val="top"/>
          </w:tcPr>
          <w:p w14:paraId="4A47832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28</w:t>
            </w:r>
          </w:p>
        </w:tc>
        <w:tc>
          <w:tcPr>
            <w:tcW w:w="378" w:type="pct"/>
            <w:tcBorders>
              <w:tl2br w:val="nil"/>
              <w:tr2bl w:val="nil"/>
            </w:tcBorders>
            <w:noWrap w:val="0"/>
            <w:vAlign w:val="top"/>
          </w:tcPr>
          <w:p w14:paraId="4E12640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35</w:t>
            </w:r>
          </w:p>
        </w:tc>
        <w:tc>
          <w:tcPr>
            <w:tcW w:w="537" w:type="pct"/>
            <w:tcBorders>
              <w:tl2br w:val="nil"/>
              <w:tr2bl w:val="nil"/>
            </w:tcBorders>
            <w:noWrap w:val="0"/>
            <w:vAlign w:val="top"/>
          </w:tcPr>
          <w:p w14:paraId="4166FC2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42</w:t>
            </w:r>
          </w:p>
        </w:tc>
        <w:tc>
          <w:tcPr>
            <w:tcW w:w="332" w:type="pct"/>
            <w:tcBorders>
              <w:tl2br w:val="nil"/>
              <w:tr2bl w:val="nil"/>
            </w:tcBorders>
            <w:noWrap w:val="0"/>
            <w:vAlign w:val="top"/>
          </w:tcPr>
          <w:p w14:paraId="229439E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49</w:t>
            </w:r>
          </w:p>
        </w:tc>
      </w:tr>
    </w:tbl>
    <w:p w14:paraId="73AC2941">
      <w:pPr>
        <w:pStyle w:val="352"/>
        <w:ind w:firstLine="480"/>
        <w:rPr>
          <w:rFonts w:hint="eastAsia"/>
          <w:b w:val="0"/>
          <w:bCs w:val="0"/>
          <w:color w:val="auto"/>
          <w:highlight w:val="none"/>
        </w:rPr>
      </w:pPr>
      <w:r>
        <w:rPr>
          <w:b w:val="0"/>
          <w:bCs w:val="0"/>
          <w:color w:val="auto"/>
          <w:highlight w:val="none"/>
        </w:rPr>
        <w:t>根据监测结果，对各离子含量进行计算，得到地下水中离子毫克当量浓度及毫克当量百分数见表</w:t>
      </w:r>
      <w:r>
        <w:rPr>
          <w:rFonts w:hint="eastAsia"/>
          <w:b w:val="0"/>
          <w:bCs w:val="0"/>
          <w:color w:val="auto"/>
          <w:highlight w:val="none"/>
        </w:rPr>
        <w:t>4</w:t>
      </w:r>
      <w:r>
        <w:rPr>
          <w:b w:val="0"/>
          <w:bCs w:val="0"/>
          <w:color w:val="auto"/>
          <w:highlight w:val="none"/>
        </w:rPr>
        <w:t>.2.</w:t>
      </w:r>
      <w:r>
        <w:rPr>
          <w:rFonts w:hint="eastAsia"/>
          <w:b w:val="0"/>
          <w:bCs w:val="0"/>
          <w:color w:val="auto"/>
          <w:highlight w:val="none"/>
          <w:lang w:val="en-US" w:eastAsia="zh-CN"/>
        </w:rPr>
        <w:t>-10</w:t>
      </w:r>
      <w:r>
        <w:rPr>
          <w:b w:val="0"/>
          <w:bCs w:val="0"/>
          <w:color w:val="auto"/>
          <w:highlight w:val="none"/>
        </w:rPr>
        <w:t>。从计算结果可以看出阳离子毫克当量百分数大于25%的为</w:t>
      </w:r>
      <w:r>
        <w:rPr>
          <w:b w:val="0"/>
          <w:bCs w:val="0"/>
          <w:color w:val="auto"/>
          <w:szCs w:val="21"/>
          <w:highlight w:val="none"/>
        </w:rPr>
        <w:t>Ca</w:t>
      </w:r>
      <w:r>
        <w:rPr>
          <w:b w:val="0"/>
          <w:bCs w:val="0"/>
          <w:color w:val="auto"/>
          <w:szCs w:val="21"/>
          <w:highlight w:val="none"/>
          <w:vertAlign w:val="superscript"/>
        </w:rPr>
        <w:t>2+</w:t>
      </w:r>
      <w:r>
        <w:rPr>
          <w:b w:val="0"/>
          <w:bCs w:val="0"/>
          <w:color w:val="auto"/>
          <w:highlight w:val="none"/>
        </w:rPr>
        <w:t>，阴离子毫克当量百分数大于25%的为</w:t>
      </w:r>
      <w:r>
        <w:rPr>
          <w:rFonts w:ascii="Times New Roman" w:hAnsi="Times New Roman" w:eastAsia="宋体"/>
          <w:b w:val="0"/>
          <w:bCs w:val="0"/>
          <w:color w:val="auto"/>
          <w:szCs w:val="21"/>
          <w:highlight w:val="none"/>
        </w:rPr>
        <w:t>Cl</w:t>
      </w:r>
      <w:r>
        <w:rPr>
          <w:rFonts w:ascii="Times New Roman" w:hAnsi="Times New Roman" w:eastAsia="宋体"/>
          <w:b w:val="0"/>
          <w:bCs w:val="0"/>
          <w:color w:val="auto"/>
          <w:szCs w:val="21"/>
          <w:highlight w:val="none"/>
          <w:vertAlign w:val="superscript"/>
        </w:rPr>
        <w:t>-</w:t>
      </w:r>
      <w:r>
        <w:rPr>
          <w:b w:val="0"/>
          <w:bCs w:val="0"/>
          <w:color w:val="auto"/>
          <w:highlight w:val="none"/>
        </w:rPr>
        <w:t>、</w:t>
      </w:r>
      <w:r>
        <w:rPr>
          <w:rFonts w:hint="eastAsia"/>
          <w:b w:val="0"/>
          <w:bCs w:val="0"/>
          <w:color w:val="auto"/>
          <w:highlight w:val="none"/>
        </w:rPr>
        <w:t>H</w:t>
      </w:r>
      <w:r>
        <w:rPr>
          <w:b w:val="0"/>
          <w:bCs w:val="0"/>
          <w:color w:val="auto"/>
          <w:highlight w:val="none"/>
        </w:rPr>
        <w:t>CO</w:t>
      </w:r>
      <w:r>
        <w:rPr>
          <w:b w:val="0"/>
          <w:bCs w:val="0"/>
          <w:color w:val="auto"/>
          <w:highlight w:val="none"/>
          <w:vertAlign w:val="subscript"/>
        </w:rPr>
        <w:t>3</w:t>
      </w:r>
      <w:r>
        <w:rPr>
          <w:b w:val="0"/>
          <w:bCs w:val="0"/>
          <w:color w:val="auto"/>
          <w:highlight w:val="none"/>
          <w:vertAlign w:val="superscript"/>
        </w:rPr>
        <w:t>-</w:t>
      </w:r>
      <w:r>
        <w:rPr>
          <w:b w:val="0"/>
          <w:bCs w:val="0"/>
          <w:color w:val="auto"/>
          <w:highlight w:val="none"/>
        </w:rPr>
        <w:t>，根据舒卡列夫分类法确定地下水化学类型为</w:t>
      </w:r>
      <w:r>
        <w:rPr>
          <w:rFonts w:hint="eastAsia"/>
          <w:b w:val="0"/>
          <w:bCs w:val="0"/>
          <w:color w:val="auto"/>
          <w:highlight w:val="none"/>
        </w:rPr>
        <w:t>H</w:t>
      </w:r>
      <w:r>
        <w:rPr>
          <w:b w:val="0"/>
          <w:bCs w:val="0"/>
          <w:color w:val="auto"/>
          <w:highlight w:val="none"/>
        </w:rPr>
        <w:t>CO</w:t>
      </w:r>
      <w:r>
        <w:rPr>
          <w:b w:val="0"/>
          <w:bCs w:val="0"/>
          <w:color w:val="auto"/>
          <w:highlight w:val="none"/>
          <w:vertAlign w:val="subscript"/>
        </w:rPr>
        <w:t>3</w:t>
      </w:r>
      <w:r>
        <w:rPr>
          <w:rFonts w:hint="eastAsia"/>
          <w:b w:val="0"/>
          <w:bCs w:val="0"/>
          <w:color w:val="auto"/>
          <w:highlight w:val="none"/>
          <w:vertAlign w:val="baseline"/>
          <w:lang w:val="en-US" w:eastAsia="zh-CN"/>
        </w:rPr>
        <w:t>+</w:t>
      </w:r>
      <w:r>
        <w:rPr>
          <w:rFonts w:ascii="Times New Roman" w:hAnsi="Times New Roman" w:eastAsia="宋体"/>
          <w:b w:val="0"/>
          <w:bCs w:val="0"/>
          <w:color w:val="auto"/>
          <w:szCs w:val="21"/>
          <w:highlight w:val="none"/>
        </w:rPr>
        <w:t>Cl</w:t>
      </w:r>
      <w:r>
        <w:rPr>
          <w:rFonts w:hint="eastAsia" w:ascii="Times New Roman" w:hAnsi="Times New Roman" w:eastAsia="宋体"/>
          <w:b w:val="0"/>
          <w:bCs w:val="0"/>
          <w:color w:val="auto"/>
          <w:szCs w:val="21"/>
          <w:highlight w:val="none"/>
          <w:lang w:val="en-US" w:eastAsia="zh-CN"/>
        </w:rPr>
        <w:t>-</w:t>
      </w:r>
      <w:r>
        <w:rPr>
          <w:b w:val="0"/>
          <w:bCs w:val="0"/>
          <w:color w:val="auto"/>
          <w:highlight w:val="none"/>
        </w:rPr>
        <w:t>Ca型水。</w:t>
      </w:r>
    </w:p>
    <w:p w14:paraId="3FA84431">
      <w:pPr>
        <w:pStyle w:val="4"/>
        <w:spacing w:after="156"/>
        <w:rPr>
          <w:color w:val="auto"/>
          <w:highlight w:val="none"/>
        </w:rPr>
      </w:pPr>
      <w:bookmarkStart w:id="321" w:name="_Toc152922046"/>
      <w:bookmarkStart w:id="322" w:name="_Toc117150255"/>
      <w:bookmarkStart w:id="323" w:name="_Toc152921681"/>
      <w:bookmarkStart w:id="324" w:name="_Toc152923321"/>
      <w:bookmarkStart w:id="325" w:name="_Toc152922640"/>
      <w:r>
        <w:rPr>
          <w:color w:val="auto"/>
          <w:highlight w:val="none"/>
        </w:rPr>
        <w:t>4.2.5土壤环境质量现状监测与评价</w:t>
      </w:r>
      <w:bookmarkEnd w:id="321"/>
      <w:bookmarkEnd w:id="322"/>
      <w:bookmarkEnd w:id="323"/>
      <w:bookmarkEnd w:id="324"/>
      <w:bookmarkEnd w:id="325"/>
    </w:p>
    <w:p w14:paraId="5D147FE0">
      <w:pPr>
        <w:pStyle w:val="352"/>
        <w:ind w:firstLine="480"/>
        <w:rPr>
          <w:color w:val="auto"/>
          <w:highlight w:val="none"/>
        </w:rPr>
      </w:pPr>
      <w:r>
        <w:rPr>
          <w:color w:val="auto"/>
          <w:highlight w:val="none"/>
        </w:rPr>
        <w:t>（1）监测点位的布设</w:t>
      </w:r>
    </w:p>
    <w:p w14:paraId="2834384C">
      <w:pPr>
        <w:pStyle w:val="352"/>
        <w:ind w:firstLine="480"/>
        <w:rPr>
          <w:color w:val="auto"/>
          <w:highlight w:val="none"/>
        </w:rPr>
      </w:pPr>
      <w:r>
        <w:rPr>
          <w:rFonts w:hint="eastAsia" w:ascii="宋体" w:hAnsi="宋体" w:eastAsia="宋体" w:cs="宋体"/>
          <w:b w:val="0"/>
          <w:bCs w:val="0"/>
          <w:color w:val="auto"/>
          <w:sz w:val="24"/>
          <w:szCs w:val="24"/>
          <w:highlight w:val="none"/>
        </w:rPr>
        <w:t>在本项目厂区内共</w:t>
      </w:r>
      <w:r>
        <w:rPr>
          <w:rFonts w:hint="eastAsia" w:ascii="宋体" w:hAnsi="宋体" w:eastAsia="宋体" w:cs="宋体"/>
          <w:b w:val="0"/>
          <w:bCs w:val="0"/>
          <w:color w:val="auto"/>
          <w:sz w:val="24"/>
          <w:szCs w:val="24"/>
          <w:highlight w:val="none"/>
          <w:lang w:val="en-US" w:eastAsia="zh-CN"/>
        </w:rPr>
        <w:t>设置</w:t>
      </w:r>
      <w:r>
        <w:rPr>
          <w:rFonts w:hint="eastAsia" w:ascii="Times New Roman" w:hAnsi="Times New Roman" w:eastAsia="宋体" w:cs="Times New Roman"/>
          <w:b w:val="0"/>
          <w:bCs w:val="0"/>
          <w:color w:val="auto"/>
          <w:sz w:val="24"/>
          <w:szCs w:val="24"/>
          <w:highlight w:val="none"/>
          <w:lang w:val="en-US" w:eastAsia="zh-CN"/>
        </w:rPr>
        <w:t>3</w:t>
      </w:r>
      <w:r>
        <w:rPr>
          <w:rFonts w:hint="eastAsia" w:ascii="宋体" w:hAnsi="宋体" w:eastAsia="宋体" w:cs="宋体"/>
          <w:b w:val="0"/>
          <w:bCs w:val="0"/>
          <w:color w:val="auto"/>
          <w:sz w:val="24"/>
          <w:szCs w:val="24"/>
          <w:highlight w:val="none"/>
        </w:rPr>
        <w:t>个柱状样点、</w:t>
      </w:r>
      <w:r>
        <w:rPr>
          <w:rFonts w:hint="eastAsia" w:ascii="Times New Roman" w:hAnsi="Times New Roman" w:eastAsia="宋体" w:cs="Times New Roman"/>
          <w:b w:val="0"/>
          <w:bCs w:val="0"/>
          <w:color w:val="auto"/>
          <w:sz w:val="24"/>
          <w:szCs w:val="24"/>
          <w:highlight w:val="none"/>
          <w:lang w:val="en-US" w:eastAsia="zh-CN"/>
        </w:rPr>
        <w:t>1</w:t>
      </w:r>
      <w:r>
        <w:rPr>
          <w:rFonts w:hint="eastAsia" w:ascii="宋体" w:hAnsi="宋体" w:eastAsia="宋体" w:cs="宋体"/>
          <w:b w:val="0"/>
          <w:bCs w:val="0"/>
          <w:color w:val="auto"/>
          <w:sz w:val="24"/>
          <w:szCs w:val="24"/>
          <w:highlight w:val="none"/>
        </w:rPr>
        <w:t>个表层样点，厂界外取</w:t>
      </w:r>
      <w:r>
        <w:rPr>
          <w:rFonts w:hint="eastAsia" w:ascii="宋体" w:hAnsi="宋体" w:eastAsia="宋体" w:cs="宋体"/>
          <w:b w:val="0"/>
          <w:bCs w:val="0"/>
          <w:color w:val="auto"/>
          <w:sz w:val="24"/>
          <w:szCs w:val="24"/>
          <w:highlight w:val="none"/>
          <w:lang w:val="en-US" w:eastAsia="zh-CN"/>
        </w:rPr>
        <w:t>2</w:t>
      </w:r>
      <w:r>
        <w:rPr>
          <w:rFonts w:hint="eastAsia" w:ascii="宋体" w:hAnsi="宋体" w:eastAsia="宋体" w:cs="宋体"/>
          <w:b w:val="0"/>
          <w:bCs w:val="0"/>
          <w:color w:val="auto"/>
          <w:sz w:val="24"/>
          <w:szCs w:val="24"/>
          <w:highlight w:val="none"/>
        </w:rPr>
        <w:t>个表层样点。表层土样（</w:t>
      </w:r>
      <w:r>
        <w:rPr>
          <w:rFonts w:hint="default" w:ascii="Times New Roman" w:hAnsi="Times New Roman" w:eastAsia="宋体" w:cs="Times New Roman"/>
          <w:b w:val="0"/>
          <w:bCs w:val="0"/>
          <w:color w:val="auto"/>
          <w:sz w:val="24"/>
          <w:szCs w:val="24"/>
          <w:highlight w:val="none"/>
        </w:rPr>
        <w:t>0</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0.2m</w:t>
      </w:r>
      <w:r>
        <w:rPr>
          <w:rFonts w:hint="eastAsia" w:ascii="宋体" w:hAnsi="宋体" w:eastAsia="宋体" w:cs="宋体"/>
          <w:b w:val="0"/>
          <w:bCs w:val="0"/>
          <w:color w:val="auto"/>
          <w:sz w:val="24"/>
          <w:szCs w:val="24"/>
          <w:highlight w:val="none"/>
        </w:rPr>
        <w:t>），柱状土样（分别在</w:t>
      </w:r>
      <w:r>
        <w:rPr>
          <w:rFonts w:hint="default" w:ascii="Times New Roman" w:hAnsi="Times New Roman" w:eastAsia="宋体" w:cs="Times New Roman"/>
          <w:b w:val="0"/>
          <w:bCs w:val="0"/>
          <w:color w:val="auto"/>
          <w:sz w:val="24"/>
          <w:szCs w:val="24"/>
          <w:highlight w:val="none"/>
        </w:rPr>
        <w:t>0</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0.5m</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0.5</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1.5m</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1.5</w:t>
      </w:r>
      <w:r>
        <w:rPr>
          <w:rFonts w:hint="eastAsia" w:ascii="宋体" w:hAnsi="宋体" w:eastAsia="宋体" w:cs="宋体"/>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3m</w:t>
      </w:r>
      <w:r>
        <w:rPr>
          <w:rFonts w:hint="eastAsia" w:ascii="宋体" w:hAnsi="宋体" w:eastAsia="宋体" w:cs="宋体"/>
          <w:b w:val="0"/>
          <w:bCs w:val="0"/>
          <w:color w:val="auto"/>
          <w:sz w:val="24"/>
          <w:szCs w:val="24"/>
          <w:highlight w:val="none"/>
        </w:rPr>
        <w:t>取样）</w:t>
      </w:r>
      <w:r>
        <w:rPr>
          <w:rFonts w:hint="eastAsia" w:ascii="Times New Roman" w:hAnsi="Times New Roman" w:cs="Times New Roman"/>
          <w:color w:val="auto"/>
          <w:sz w:val="24"/>
          <w:szCs w:val="24"/>
          <w:highlight w:val="none"/>
          <w:lang w:eastAsia="zh-CN"/>
        </w:rPr>
        <w:t>，</w:t>
      </w:r>
      <w:r>
        <w:rPr>
          <w:color w:val="auto"/>
          <w:highlight w:val="none"/>
        </w:rPr>
        <w:t>监测布点见</w:t>
      </w:r>
      <w:r>
        <w:rPr>
          <w:rFonts w:hint="eastAsia"/>
          <w:color w:val="auto"/>
          <w:highlight w:val="none"/>
          <w:lang w:val="en-US" w:eastAsia="zh-CN"/>
        </w:rPr>
        <w:t>表4.2-11和</w:t>
      </w:r>
      <w:r>
        <w:rPr>
          <w:color w:val="auto"/>
          <w:highlight w:val="none"/>
        </w:rPr>
        <w:t>图4.2-1。</w:t>
      </w:r>
    </w:p>
    <w:p w14:paraId="2C8D14FD">
      <w:pPr>
        <w:spacing w:line="360" w:lineRule="auto"/>
        <w:jc w:val="center"/>
        <w:rPr>
          <w:rFonts w:hint="default" w:ascii="Times New Roman" w:hAnsi="Times New Roman" w:eastAsia="宋体" w:cs="Times New Roman"/>
          <w:b/>
          <w:caps w:val="0"/>
          <w:smallCaps w:val="0"/>
          <w:color w:val="auto"/>
          <w:kern w:val="0"/>
          <w:sz w:val="24"/>
          <w:highlight w:val="none"/>
          <w:lang w:bidi="en-US"/>
        </w:rPr>
      </w:pPr>
      <w:r>
        <w:rPr>
          <w:rFonts w:hint="default" w:ascii="Times New Roman" w:hAnsi="Times New Roman" w:eastAsia="宋体" w:cs="Times New Roman"/>
          <w:b/>
          <w:caps w:val="0"/>
          <w:smallCaps w:val="0"/>
          <w:color w:val="auto"/>
          <w:kern w:val="0"/>
          <w:sz w:val="24"/>
          <w:highlight w:val="none"/>
          <w:lang w:bidi="en-US"/>
        </w:rPr>
        <w:t>表</w:t>
      </w:r>
      <w:r>
        <w:rPr>
          <w:rFonts w:hint="eastAsia" w:ascii="Times New Roman" w:hAnsi="Times New Roman" w:eastAsia="宋体" w:cs="Times New Roman"/>
          <w:b/>
          <w:caps w:val="0"/>
          <w:smallCaps w:val="0"/>
          <w:color w:val="auto"/>
          <w:kern w:val="0"/>
          <w:sz w:val="24"/>
          <w:highlight w:val="none"/>
          <w:lang w:val="en-US" w:eastAsia="zh-CN" w:bidi="en-US"/>
        </w:rPr>
        <w:t>4</w:t>
      </w:r>
      <w:r>
        <w:rPr>
          <w:rFonts w:hint="default" w:ascii="Times New Roman" w:hAnsi="Times New Roman" w:eastAsia="宋体" w:cs="Times New Roman"/>
          <w:b/>
          <w:caps w:val="0"/>
          <w:smallCaps w:val="0"/>
          <w:color w:val="auto"/>
          <w:kern w:val="0"/>
          <w:sz w:val="24"/>
          <w:highlight w:val="none"/>
          <w:lang w:bidi="en-US"/>
        </w:rPr>
        <w:t>.2-1</w:t>
      </w:r>
      <w:r>
        <w:rPr>
          <w:rFonts w:hint="eastAsia" w:ascii="Times New Roman" w:hAnsi="Times New Roman" w:eastAsia="宋体" w:cs="Times New Roman"/>
          <w:b/>
          <w:caps w:val="0"/>
          <w:smallCaps w:val="0"/>
          <w:color w:val="auto"/>
          <w:kern w:val="0"/>
          <w:sz w:val="24"/>
          <w:highlight w:val="none"/>
          <w:lang w:val="en-US" w:eastAsia="zh-CN" w:bidi="en-US"/>
        </w:rPr>
        <w:t xml:space="preserve">1  </w:t>
      </w:r>
      <w:r>
        <w:rPr>
          <w:rFonts w:hint="default" w:ascii="Times New Roman" w:hAnsi="Times New Roman" w:eastAsia="宋体" w:cs="Times New Roman"/>
          <w:b/>
          <w:caps w:val="0"/>
          <w:smallCaps w:val="0"/>
          <w:color w:val="auto"/>
          <w:kern w:val="0"/>
          <w:sz w:val="24"/>
          <w:highlight w:val="none"/>
          <w:lang w:bidi="en-US"/>
        </w:rPr>
        <w:t>项目检测因子一览表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68"/>
        <w:gridCol w:w="1000"/>
        <w:gridCol w:w="1485"/>
        <w:gridCol w:w="3543"/>
        <w:gridCol w:w="1463"/>
      </w:tblGrid>
      <w:tr w14:paraId="5D7C2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3021930E">
            <w:pPr>
              <w:spacing w:line="240" w:lineRule="auto"/>
              <w:jc w:val="center"/>
              <w:textAlignment w:val="center"/>
              <w:rPr>
                <w:rFonts w:cs="Times New Roman"/>
                <w:b/>
                <w:bCs/>
                <w:color w:val="auto"/>
                <w:kern w:val="0"/>
                <w:sz w:val="21"/>
                <w:szCs w:val="21"/>
                <w:highlight w:val="none"/>
              </w:rPr>
            </w:pPr>
            <w:r>
              <w:rPr>
                <w:rFonts w:hint="eastAsia" w:cs="Times New Roman"/>
                <w:b/>
                <w:bCs/>
                <w:color w:val="auto"/>
                <w:kern w:val="0"/>
                <w:sz w:val="21"/>
                <w:szCs w:val="21"/>
                <w:highlight w:val="none"/>
              </w:rPr>
              <w:t>编号</w:t>
            </w:r>
          </w:p>
        </w:tc>
        <w:tc>
          <w:tcPr>
            <w:tcW w:w="3605" w:type="pct"/>
            <w:gridSpan w:val="3"/>
            <w:noWrap w:val="0"/>
            <w:vAlign w:val="center"/>
          </w:tcPr>
          <w:p w14:paraId="6AEC35E2">
            <w:pPr>
              <w:spacing w:line="240" w:lineRule="auto"/>
              <w:jc w:val="center"/>
              <w:textAlignment w:val="center"/>
              <w:rPr>
                <w:rFonts w:cs="Times New Roman"/>
                <w:b/>
                <w:bCs/>
                <w:color w:val="auto"/>
                <w:kern w:val="0"/>
                <w:sz w:val="21"/>
                <w:szCs w:val="21"/>
                <w:highlight w:val="none"/>
              </w:rPr>
            </w:pPr>
            <w:r>
              <w:rPr>
                <w:rFonts w:hint="eastAsia" w:cs="Times New Roman"/>
                <w:b/>
                <w:bCs/>
                <w:color w:val="auto"/>
                <w:kern w:val="0"/>
                <w:sz w:val="21"/>
                <w:szCs w:val="21"/>
                <w:highlight w:val="none"/>
              </w:rPr>
              <w:t>监测地点</w:t>
            </w:r>
          </w:p>
        </w:tc>
        <w:tc>
          <w:tcPr>
            <w:tcW w:w="875" w:type="pct"/>
            <w:noWrap w:val="0"/>
            <w:vAlign w:val="center"/>
          </w:tcPr>
          <w:p w14:paraId="447558A7">
            <w:pPr>
              <w:spacing w:line="240" w:lineRule="auto"/>
              <w:jc w:val="center"/>
              <w:textAlignment w:val="center"/>
              <w:rPr>
                <w:rFonts w:cs="Times New Roman"/>
                <w:b/>
                <w:bCs/>
                <w:color w:val="auto"/>
                <w:kern w:val="0"/>
                <w:sz w:val="21"/>
                <w:szCs w:val="21"/>
                <w:highlight w:val="none"/>
              </w:rPr>
            </w:pPr>
            <w:r>
              <w:rPr>
                <w:rFonts w:hint="eastAsia" w:cs="Times New Roman"/>
                <w:b/>
                <w:bCs/>
                <w:color w:val="auto"/>
                <w:kern w:val="0"/>
                <w:sz w:val="21"/>
                <w:szCs w:val="21"/>
                <w:highlight w:val="none"/>
              </w:rPr>
              <w:t>监测项目</w:t>
            </w:r>
          </w:p>
        </w:tc>
      </w:tr>
      <w:tr w14:paraId="295BB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3E8B702F">
            <w:pPr>
              <w:spacing w:line="240" w:lineRule="auto"/>
              <w:jc w:val="center"/>
              <w:textAlignment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rPr>
              <w:t>T1</w:t>
            </w:r>
            <w:r>
              <w:rPr>
                <w:rFonts w:hint="eastAsia" w:cs="Times New Roman"/>
                <w:color w:val="auto"/>
                <w:kern w:val="0"/>
                <w:sz w:val="21"/>
                <w:szCs w:val="21"/>
                <w:highlight w:val="none"/>
                <w:lang w:val="en-US" w:eastAsia="zh-CN"/>
              </w:rPr>
              <w:t>-1</w:t>
            </w:r>
          </w:p>
        </w:tc>
        <w:tc>
          <w:tcPr>
            <w:tcW w:w="598" w:type="pct"/>
            <w:vMerge w:val="restart"/>
            <w:noWrap w:val="0"/>
            <w:vAlign w:val="center"/>
          </w:tcPr>
          <w:p w14:paraId="7E25A487">
            <w:pPr>
              <w:spacing w:line="240" w:lineRule="auto"/>
              <w:jc w:val="center"/>
              <w:textAlignment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站区</w:t>
            </w:r>
            <w:r>
              <w:rPr>
                <w:rFonts w:hint="eastAsia" w:cs="Times New Roman"/>
                <w:color w:val="auto"/>
                <w:kern w:val="0"/>
                <w:sz w:val="21"/>
                <w:szCs w:val="21"/>
                <w:highlight w:val="none"/>
              </w:rPr>
              <w:t>范围内</w:t>
            </w:r>
          </w:p>
        </w:tc>
        <w:tc>
          <w:tcPr>
            <w:tcW w:w="888" w:type="pct"/>
            <w:vMerge w:val="restart"/>
            <w:noWrap w:val="0"/>
            <w:vAlign w:val="center"/>
          </w:tcPr>
          <w:p w14:paraId="356A2AF6">
            <w:pPr>
              <w:spacing w:line="240" w:lineRule="auto"/>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站区</w:t>
            </w:r>
            <w:r>
              <w:rPr>
                <w:rFonts w:hint="eastAsia" w:cs="Times New Roman"/>
                <w:color w:val="auto"/>
                <w:sz w:val="21"/>
                <w:szCs w:val="21"/>
                <w:highlight w:val="none"/>
                <w:lang w:val="en-US" w:eastAsia="zh-CN"/>
              </w:rPr>
              <w:t>东南</w:t>
            </w:r>
            <w:r>
              <w:rPr>
                <w:rFonts w:hint="eastAsia" w:cs="Times New Roman"/>
                <w:color w:val="auto"/>
                <w:sz w:val="21"/>
                <w:szCs w:val="21"/>
                <w:highlight w:val="none"/>
              </w:rPr>
              <w:t>侧</w:t>
            </w:r>
          </w:p>
        </w:tc>
        <w:tc>
          <w:tcPr>
            <w:tcW w:w="2119" w:type="pct"/>
            <w:noWrap w:val="0"/>
            <w:vAlign w:val="center"/>
          </w:tcPr>
          <w:p w14:paraId="7F52AB89">
            <w:pPr>
              <w:spacing w:line="240" w:lineRule="auto"/>
              <w:jc w:val="center"/>
              <w:textAlignment w:val="center"/>
              <w:rPr>
                <w:rFonts w:cs="Times New Roman"/>
                <w:color w:val="auto"/>
                <w:kern w:val="0"/>
                <w:sz w:val="21"/>
                <w:szCs w:val="21"/>
                <w:highlight w:val="none"/>
              </w:rPr>
            </w:pPr>
            <w:r>
              <w:rPr>
                <w:rFonts w:hint="eastAsia" w:cs="Times New Roman"/>
                <w:color w:val="auto"/>
                <w:kern w:val="0"/>
                <w:sz w:val="21"/>
                <w:szCs w:val="21"/>
                <w:highlight w:val="none"/>
              </w:rPr>
              <w:t>柱状样</w:t>
            </w:r>
            <w:r>
              <w:rPr>
                <w:rFonts w:hint="eastAsia" w:cs="Times New Roman"/>
                <w:color w:val="auto"/>
                <w:sz w:val="21"/>
                <w:szCs w:val="21"/>
                <w:highlight w:val="none"/>
                <w:lang w:val="en-US" w:eastAsia="zh-CN"/>
              </w:rPr>
              <w:t>0-50</w:t>
            </w:r>
            <w:r>
              <w:rPr>
                <w:rFonts w:hint="eastAsia" w:cs="Times New Roman"/>
                <w:color w:val="auto"/>
                <w:kern w:val="2"/>
                <w:sz w:val="21"/>
                <w:szCs w:val="21"/>
                <w:highlight w:val="none"/>
                <w:lang w:val="en-US" w:eastAsia="zh-CN" w:bidi="ar-SA"/>
              </w:rPr>
              <w:t>cm</w:t>
            </w:r>
          </w:p>
        </w:tc>
        <w:tc>
          <w:tcPr>
            <w:tcW w:w="875" w:type="pct"/>
            <w:vMerge w:val="restart"/>
            <w:noWrap w:val="0"/>
            <w:vAlign w:val="center"/>
          </w:tcPr>
          <w:p w14:paraId="0CB53072">
            <w:pPr>
              <w:spacing w:line="240" w:lineRule="auto"/>
              <w:jc w:val="center"/>
              <w:textAlignment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pH、45项基本项</w:t>
            </w:r>
            <w:r>
              <w:rPr>
                <w:rFonts w:hint="eastAsia" w:cs="Times New Roman"/>
                <w:color w:val="auto"/>
                <w:kern w:val="0"/>
                <w:sz w:val="21"/>
                <w:szCs w:val="21"/>
                <w:highlight w:val="none"/>
              </w:rPr>
              <w:t>、</w:t>
            </w:r>
            <w:r>
              <w:rPr>
                <w:rFonts w:cs="Times New Roman"/>
                <w:bCs/>
                <w:snapToGrid w:val="0"/>
                <w:color w:val="auto"/>
                <w:kern w:val="0"/>
                <w:sz w:val="21"/>
                <w:szCs w:val="21"/>
                <w:highlight w:val="none"/>
              </w:rPr>
              <w:t>石油烃（C</w:t>
            </w:r>
            <w:r>
              <w:rPr>
                <w:rFonts w:cs="Times New Roman"/>
                <w:bCs/>
                <w:snapToGrid w:val="0"/>
                <w:color w:val="auto"/>
                <w:kern w:val="0"/>
                <w:sz w:val="21"/>
                <w:szCs w:val="21"/>
                <w:highlight w:val="none"/>
                <w:vertAlign w:val="subscript"/>
              </w:rPr>
              <w:t>10</w:t>
            </w:r>
            <w:r>
              <w:rPr>
                <w:rFonts w:cs="Times New Roman"/>
                <w:bCs/>
                <w:snapToGrid w:val="0"/>
                <w:color w:val="auto"/>
                <w:kern w:val="0"/>
                <w:sz w:val="21"/>
                <w:szCs w:val="21"/>
                <w:highlight w:val="none"/>
              </w:rPr>
              <w:t>-C</w:t>
            </w:r>
            <w:r>
              <w:rPr>
                <w:rFonts w:cs="Times New Roman"/>
                <w:bCs/>
                <w:snapToGrid w:val="0"/>
                <w:color w:val="auto"/>
                <w:kern w:val="0"/>
                <w:sz w:val="21"/>
                <w:szCs w:val="21"/>
                <w:highlight w:val="none"/>
                <w:vertAlign w:val="subscript"/>
              </w:rPr>
              <w:t>40</w:t>
            </w:r>
            <w:r>
              <w:rPr>
                <w:rFonts w:cs="Times New Roman"/>
                <w:bCs/>
                <w:snapToGrid w:val="0"/>
                <w:color w:val="auto"/>
                <w:kern w:val="0"/>
                <w:sz w:val="21"/>
                <w:szCs w:val="21"/>
                <w:highlight w:val="none"/>
              </w:rPr>
              <w:t>）</w:t>
            </w:r>
          </w:p>
        </w:tc>
      </w:tr>
      <w:tr w14:paraId="18F5D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7245B84C">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T1</w:t>
            </w:r>
            <w:r>
              <w:rPr>
                <w:rFonts w:hint="eastAsia" w:cs="Times New Roman"/>
                <w:color w:val="auto"/>
                <w:kern w:val="0"/>
                <w:sz w:val="21"/>
                <w:szCs w:val="21"/>
                <w:highlight w:val="none"/>
                <w:lang w:val="en-US" w:eastAsia="zh-CN"/>
              </w:rPr>
              <w:t>-2</w:t>
            </w:r>
          </w:p>
        </w:tc>
        <w:tc>
          <w:tcPr>
            <w:tcW w:w="598" w:type="pct"/>
            <w:vMerge w:val="continue"/>
            <w:noWrap w:val="0"/>
            <w:vAlign w:val="center"/>
          </w:tcPr>
          <w:p w14:paraId="696765F3">
            <w:pPr>
              <w:spacing w:line="240" w:lineRule="auto"/>
              <w:jc w:val="center"/>
              <w:textAlignment w:val="center"/>
              <w:rPr>
                <w:rFonts w:hint="eastAsia" w:cs="Times New Roman"/>
                <w:color w:val="auto"/>
                <w:kern w:val="0"/>
                <w:sz w:val="21"/>
                <w:szCs w:val="21"/>
                <w:highlight w:val="none"/>
              </w:rPr>
            </w:pPr>
          </w:p>
        </w:tc>
        <w:tc>
          <w:tcPr>
            <w:tcW w:w="888" w:type="pct"/>
            <w:vMerge w:val="continue"/>
            <w:noWrap w:val="0"/>
            <w:vAlign w:val="center"/>
          </w:tcPr>
          <w:p w14:paraId="480935AA">
            <w:pPr>
              <w:spacing w:line="240" w:lineRule="auto"/>
              <w:jc w:val="center"/>
              <w:rPr>
                <w:rFonts w:hint="eastAsia" w:cs="Times New Roman"/>
                <w:color w:val="auto"/>
                <w:sz w:val="21"/>
                <w:szCs w:val="21"/>
                <w:highlight w:val="none"/>
                <w:lang w:eastAsia="zh-CN"/>
              </w:rPr>
            </w:pPr>
          </w:p>
        </w:tc>
        <w:tc>
          <w:tcPr>
            <w:tcW w:w="2119" w:type="pct"/>
            <w:noWrap w:val="0"/>
            <w:vAlign w:val="center"/>
          </w:tcPr>
          <w:p w14:paraId="75842E42">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柱状样</w:t>
            </w:r>
            <w:r>
              <w:rPr>
                <w:rFonts w:hint="eastAsia" w:cs="Times New Roman"/>
                <w:color w:val="auto"/>
                <w:kern w:val="2"/>
                <w:sz w:val="21"/>
                <w:szCs w:val="21"/>
                <w:highlight w:val="none"/>
                <w:lang w:val="en-US" w:eastAsia="zh-CN" w:bidi="ar-SA"/>
              </w:rPr>
              <w:t>50-150cm</w:t>
            </w:r>
          </w:p>
        </w:tc>
        <w:tc>
          <w:tcPr>
            <w:tcW w:w="875" w:type="pct"/>
            <w:vMerge w:val="continue"/>
            <w:noWrap w:val="0"/>
            <w:vAlign w:val="center"/>
          </w:tcPr>
          <w:p w14:paraId="34BCB1F8">
            <w:pPr>
              <w:spacing w:line="240" w:lineRule="auto"/>
              <w:jc w:val="center"/>
              <w:textAlignment w:val="center"/>
              <w:rPr>
                <w:rFonts w:hint="eastAsia" w:cs="Times New Roman"/>
                <w:color w:val="auto"/>
                <w:kern w:val="0"/>
                <w:sz w:val="21"/>
                <w:szCs w:val="21"/>
                <w:highlight w:val="none"/>
                <w:lang w:val="en-US" w:eastAsia="zh-CN"/>
              </w:rPr>
            </w:pPr>
          </w:p>
        </w:tc>
      </w:tr>
      <w:tr w14:paraId="0D8BB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1480DEB9">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T1</w:t>
            </w:r>
            <w:r>
              <w:rPr>
                <w:rFonts w:hint="eastAsia" w:cs="Times New Roman"/>
                <w:color w:val="auto"/>
                <w:kern w:val="0"/>
                <w:sz w:val="21"/>
                <w:szCs w:val="21"/>
                <w:highlight w:val="none"/>
                <w:lang w:val="en-US" w:eastAsia="zh-CN"/>
              </w:rPr>
              <w:t>-3</w:t>
            </w:r>
          </w:p>
        </w:tc>
        <w:tc>
          <w:tcPr>
            <w:tcW w:w="598" w:type="pct"/>
            <w:vMerge w:val="continue"/>
            <w:noWrap w:val="0"/>
            <w:vAlign w:val="center"/>
          </w:tcPr>
          <w:p w14:paraId="3741ED12">
            <w:pPr>
              <w:spacing w:line="240" w:lineRule="auto"/>
              <w:jc w:val="center"/>
              <w:textAlignment w:val="center"/>
              <w:rPr>
                <w:rFonts w:hint="eastAsia" w:cs="Times New Roman"/>
                <w:color w:val="auto"/>
                <w:kern w:val="0"/>
                <w:sz w:val="21"/>
                <w:szCs w:val="21"/>
                <w:highlight w:val="none"/>
              </w:rPr>
            </w:pPr>
          </w:p>
        </w:tc>
        <w:tc>
          <w:tcPr>
            <w:tcW w:w="888" w:type="pct"/>
            <w:vMerge w:val="continue"/>
            <w:noWrap w:val="0"/>
            <w:vAlign w:val="center"/>
          </w:tcPr>
          <w:p w14:paraId="3C3751DC">
            <w:pPr>
              <w:spacing w:line="240" w:lineRule="auto"/>
              <w:jc w:val="center"/>
              <w:rPr>
                <w:rFonts w:hint="eastAsia" w:cs="Times New Roman"/>
                <w:color w:val="auto"/>
                <w:sz w:val="21"/>
                <w:szCs w:val="21"/>
                <w:highlight w:val="none"/>
                <w:lang w:eastAsia="zh-CN"/>
              </w:rPr>
            </w:pPr>
          </w:p>
        </w:tc>
        <w:tc>
          <w:tcPr>
            <w:tcW w:w="2119" w:type="pct"/>
            <w:noWrap w:val="0"/>
            <w:vAlign w:val="center"/>
          </w:tcPr>
          <w:p w14:paraId="2B926F0E">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柱状样</w:t>
            </w:r>
            <w:r>
              <w:rPr>
                <w:rFonts w:hint="eastAsia" w:cs="Times New Roman"/>
                <w:color w:val="auto"/>
                <w:kern w:val="2"/>
                <w:sz w:val="21"/>
                <w:szCs w:val="21"/>
                <w:highlight w:val="none"/>
                <w:lang w:val="en-US" w:eastAsia="zh-CN" w:bidi="ar-SA"/>
              </w:rPr>
              <w:t>150-300cm</w:t>
            </w:r>
          </w:p>
        </w:tc>
        <w:tc>
          <w:tcPr>
            <w:tcW w:w="875" w:type="pct"/>
            <w:vMerge w:val="continue"/>
            <w:noWrap w:val="0"/>
            <w:vAlign w:val="center"/>
          </w:tcPr>
          <w:p w14:paraId="14995A6C">
            <w:pPr>
              <w:spacing w:line="240" w:lineRule="auto"/>
              <w:jc w:val="center"/>
              <w:textAlignment w:val="center"/>
              <w:rPr>
                <w:rFonts w:hint="eastAsia" w:cs="Times New Roman"/>
                <w:color w:val="auto"/>
                <w:kern w:val="0"/>
                <w:sz w:val="21"/>
                <w:szCs w:val="21"/>
                <w:highlight w:val="none"/>
                <w:lang w:val="en-US" w:eastAsia="zh-CN"/>
              </w:rPr>
            </w:pPr>
          </w:p>
        </w:tc>
      </w:tr>
      <w:tr w14:paraId="0EEED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482BB3AB">
            <w:pPr>
              <w:spacing w:line="240" w:lineRule="auto"/>
              <w:jc w:val="center"/>
              <w:textAlignment w:val="center"/>
              <w:rPr>
                <w:rFonts w:hint="eastAsia" w:eastAsia="宋体" w:cs="Times New Roman"/>
                <w:color w:val="auto"/>
                <w:kern w:val="0"/>
                <w:sz w:val="21"/>
                <w:szCs w:val="21"/>
                <w:highlight w:val="none"/>
                <w:lang w:val="en-US" w:eastAsia="zh-CN"/>
              </w:rPr>
            </w:pPr>
            <w:r>
              <w:rPr>
                <w:rFonts w:hint="eastAsia" w:cs="Times New Roman"/>
                <w:color w:val="auto"/>
                <w:kern w:val="0"/>
                <w:sz w:val="21"/>
                <w:szCs w:val="21"/>
                <w:highlight w:val="none"/>
              </w:rPr>
              <w:t>T</w:t>
            </w:r>
            <w:r>
              <w:rPr>
                <w:rFonts w:hint="eastAsia" w:cs="Times New Roman"/>
                <w:color w:val="auto"/>
                <w:kern w:val="0"/>
                <w:sz w:val="21"/>
                <w:szCs w:val="21"/>
                <w:highlight w:val="none"/>
                <w:lang w:val="en-US" w:eastAsia="zh-CN"/>
              </w:rPr>
              <w:t>2</w:t>
            </w:r>
          </w:p>
        </w:tc>
        <w:tc>
          <w:tcPr>
            <w:tcW w:w="598" w:type="pct"/>
            <w:vMerge w:val="continue"/>
            <w:noWrap w:val="0"/>
            <w:vAlign w:val="center"/>
          </w:tcPr>
          <w:p w14:paraId="29EB59E9">
            <w:pPr>
              <w:spacing w:line="240" w:lineRule="auto"/>
              <w:jc w:val="center"/>
              <w:textAlignment w:val="center"/>
              <w:rPr>
                <w:rFonts w:cs="Times New Roman"/>
                <w:color w:val="auto"/>
                <w:kern w:val="0"/>
                <w:sz w:val="21"/>
                <w:szCs w:val="21"/>
                <w:highlight w:val="none"/>
              </w:rPr>
            </w:pPr>
          </w:p>
        </w:tc>
        <w:tc>
          <w:tcPr>
            <w:tcW w:w="888" w:type="pct"/>
            <w:noWrap w:val="0"/>
            <w:vAlign w:val="center"/>
          </w:tcPr>
          <w:p w14:paraId="501E8EC4">
            <w:pPr>
              <w:spacing w:line="240" w:lineRule="auto"/>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站区</w:t>
            </w:r>
            <w:r>
              <w:rPr>
                <w:rFonts w:hint="eastAsia" w:cs="Times New Roman"/>
                <w:color w:val="auto"/>
                <w:sz w:val="21"/>
                <w:szCs w:val="21"/>
                <w:highlight w:val="none"/>
                <w:lang w:val="en-US" w:eastAsia="zh-CN"/>
              </w:rPr>
              <w:t>东北</w:t>
            </w:r>
            <w:r>
              <w:rPr>
                <w:rFonts w:hint="eastAsia" w:cs="Times New Roman"/>
                <w:color w:val="auto"/>
                <w:sz w:val="21"/>
                <w:szCs w:val="21"/>
                <w:highlight w:val="none"/>
              </w:rPr>
              <w:t>侧</w:t>
            </w:r>
          </w:p>
        </w:tc>
        <w:tc>
          <w:tcPr>
            <w:tcW w:w="2119" w:type="pct"/>
            <w:noWrap w:val="0"/>
            <w:vAlign w:val="center"/>
          </w:tcPr>
          <w:p w14:paraId="4A02B660">
            <w:pPr>
              <w:spacing w:line="240" w:lineRule="auto"/>
              <w:jc w:val="center"/>
              <w:textAlignment w:val="center"/>
              <w:rPr>
                <w:rFonts w:cs="Times New Roman"/>
                <w:color w:val="auto"/>
                <w:kern w:val="0"/>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表层样</w:t>
            </w:r>
            <w:r>
              <w:rPr>
                <w:rFonts w:hint="eastAsia" w:cs="Times New Roman"/>
                <w:color w:val="auto"/>
                <w:sz w:val="21"/>
                <w:szCs w:val="21"/>
                <w:highlight w:val="none"/>
                <w:lang w:val="en-US" w:eastAsia="zh-CN"/>
              </w:rPr>
              <w:t>0-20</w:t>
            </w:r>
            <w:r>
              <w:rPr>
                <w:rFonts w:hint="eastAsia" w:cs="Times New Roman"/>
                <w:color w:val="auto"/>
                <w:kern w:val="2"/>
                <w:sz w:val="21"/>
                <w:szCs w:val="21"/>
                <w:highlight w:val="none"/>
                <w:lang w:val="en-US" w:eastAsia="zh-CN" w:bidi="ar-SA"/>
              </w:rPr>
              <w:t>cm</w:t>
            </w:r>
          </w:p>
        </w:tc>
        <w:tc>
          <w:tcPr>
            <w:tcW w:w="875" w:type="pct"/>
            <w:vMerge w:val="continue"/>
            <w:noWrap w:val="0"/>
            <w:vAlign w:val="center"/>
          </w:tcPr>
          <w:p w14:paraId="414237B9">
            <w:pPr>
              <w:spacing w:line="240" w:lineRule="auto"/>
              <w:jc w:val="center"/>
              <w:textAlignment w:val="center"/>
              <w:rPr>
                <w:rFonts w:cs="Times New Roman"/>
                <w:color w:val="auto"/>
                <w:kern w:val="0"/>
                <w:sz w:val="21"/>
                <w:szCs w:val="21"/>
                <w:highlight w:val="none"/>
              </w:rPr>
            </w:pPr>
          </w:p>
        </w:tc>
      </w:tr>
      <w:tr w14:paraId="03169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6DAA112A">
            <w:pPr>
              <w:spacing w:line="240" w:lineRule="auto"/>
              <w:jc w:val="center"/>
              <w:textAlignment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rPr>
              <w:t>T3</w:t>
            </w:r>
            <w:r>
              <w:rPr>
                <w:rFonts w:hint="eastAsia" w:cs="Times New Roman"/>
                <w:color w:val="auto"/>
                <w:kern w:val="0"/>
                <w:sz w:val="21"/>
                <w:szCs w:val="21"/>
                <w:highlight w:val="none"/>
                <w:lang w:val="en-US" w:eastAsia="zh-CN"/>
              </w:rPr>
              <w:t>-1</w:t>
            </w:r>
          </w:p>
        </w:tc>
        <w:tc>
          <w:tcPr>
            <w:tcW w:w="598" w:type="pct"/>
            <w:vMerge w:val="continue"/>
            <w:noWrap w:val="0"/>
            <w:vAlign w:val="center"/>
          </w:tcPr>
          <w:p w14:paraId="33455210">
            <w:pPr>
              <w:spacing w:line="240" w:lineRule="auto"/>
              <w:jc w:val="center"/>
              <w:textAlignment w:val="center"/>
              <w:rPr>
                <w:rFonts w:cs="Times New Roman"/>
                <w:color w:val="auto"/>
                <w:kern w:val="0"/>
                <w:sz w:val="21"/>
                <w:szCs w:val="21"/>
                <w:highlight w:val="none"/>
              </w:rPr>
            </w:pPr>
          </w:p>
        </w:tc>
        <w:tc>
          <w:tcPr>
            <w:tcW w:w="888" w:type="pct"/>
            <w:vMerge w:val="restart"/>
            <w:noWrap w:val="0"/>
            <w:vAlign w:val="center"/>
          </w:tcPr>
          <w:p w14:paraId="01AB15C6">
            <w:pPr>
              <w:spacing w:line="240" w:lineRule="auto"/>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站区</w:t>
            </w:r>
            <w:r>
              <w:rPr>
                <w:rFonts w:hint="eastAsia" w:cs="Times New Roman"/>
                <w:color w:val="auto"/>
                <w:sz w:val="21"/>
                <w:szCs w:val="21"/>
                <w:highlight w:val="none"/>
              </w:rPr>
              <w:t>西</w:t>
            </w:r>
            <w:r>
              <w:rPr>
                <w:rFonts w:hint="eastAsia" w:cs="Times New Roman"/>
                <w:color w:val="auto"/>
                <w:sz w:val="21"/>
                <w:szCs w:val="21"/>
                <w:highlight w:val="none"/>
                <w:lang w:val="en-US" w:eastAsia="zh-CN"/>
              </w:rPr>
              <w:t>南</w:t>
            </w:r>
            <w:r>
              <w:rPr>
                <w:rFonts w:hint="eastAsia" w:cs="Times New Roman"/>
                <w:color w:val="auto"/>
                <w:sz w:val="21"/>
                <w:szCs w:val="21"/>
                <w:highlight w:val="none"/>
              </w:rPr>
              <w:t>侧</w:t>
            </w:r>
          </w:p>
        </w:tc>
        <w:tc>
          <w:tcPr>
            <w:tcW w:w="3543" w:type="dxa"/>
            <w:noWrap w:val="0"/>
            <w:vAlign w:val="center"/>
          </w:tcPr>
          <w:p w14:paraId="42CBAFE6">
            <w:pPr>
              <w:spacing w:line="240" w:lineRule="auto"/>
              <w:jc w:val="center"/>
              <w:textAlignment w:val="center"/>
              <w:rPr>
                <w:rFonts w:cs="Times New Roman"/>
                <w:color w:val="auto"/>
                <w:kern w:val="0"/>
                <w:sz w:val="21"/>
                <w:szCs w:val="21"/>
                <w:highlight w:val="none"/>
              </w:rPr>
            </w:pPr>
            <w:r>
              <w:rPr>
                <w:rFonts w:hint="eastAsia" w:cs="Times New Roman"/>
                <w:color w:val="auto"/>
                <w:kern w:val="0"/>
                <w:sz w:val="21"/>
                <w:szCs w:val="21"/>
                <w:highlight w:val="none"/>
              </w:rPr>
              <w:t>柱状样</w:t>
            </w:r>
            <w:r>
              <w:rPr>
                <w:rFonts w:hint="eastAsia" w:cs="Times New Roman"/>
                <w:color w:val="auto"/>
                <w:sz w:val="21"/>
                <w:szCs w:val="21"/>
                <w:highlight w:val="none"/>
                <w:lang w:val="en-US" w:eastAsia="zh-CN"/>
              </w:rPr>
              <w:t>0-50</w:t>
            </w:r>
            <w:r>
              <w:rPr>
                <w:rFonts w:hint="eastAsia" w:cs="Times New Roman"/>
                <w:color w:val="auto"/>
                <w:kern w:val="2"/>
                <w:sz w:val="21"/>
                <w:szCs w:val="21"/>
                <w:highlight w:val="none"/>
                <w:lang w:val="en-US" w:eastAsia="zh-CN" w:bidi="ar-SA"/>
              </w:rPr>
              <w:t>cm</w:t>
            </w:r>
          </w:p>
        </w:tc>
        <w:tc>
          <w:tcPr>
            <w:tcW w:w="875" w:type="pct"/>
            <w:vMerge w:val="continue"/>
            <w:noWrap w:val="0"/>
            <w:vAlign w:val="center"/>
          </w:tcPr>
          <w:p w14:paraId="61979E68">
            <w:pPr>
              <w:spacing w:line="240" w:lineRule="auto"/>
              <w:jc w:val="center"/>
              <w:textAlignment w:val="center"/>
              <w:rPr>
                <w:rFonts w:cs="Times New Roman"/>
                <w:color w:val="auto"/>
                <w:kern w:val="0"/>
                <w:sz w:val="21"/>
                <w:szCs w:val="21"/>
                <w:highlight w:val="none"/>
              </w:rPr>
            </w:pPr>
          </w:p>
        </w:tc>
      </w:tr>
      <w:tr w14:paraId="17A8B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42F342DF">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T3</w:t>
            </w:r>
            <w:r>
              <w:rPr>
                <w:rFonts w:hint="eastAsia" w:cs="Times New Roman"/>
                <w:color w:val="auto"/>
                <w:kern w:val="0"/>
                <w:sz w:val="21"/>
                <w:szCs w:val="21"/>
                <w:highlight w:val="none"/>
                <w:lang w:val="en-US" w:eastAsia="zh-CN"/>
              </w:rPr>
              <w:t>-2</w:t>
            </w:r>
          </w:p>
        </w:tc>
        <w:tc>
          <w:tcPr>
            <w:tcW w:w="598" w:type="pct"/>
            <w:vMerge w:val="continue"/>
            <w:noWrap w:val="0"/>
            <w:vAlign w:val="center"/>
          </w:tcPr>
          <w:p w14:paraId="185EE935">
            <w:pPr>
              <w:spacing w:line="240" w:lineRule="auto"/>
              <w:jc w:val="center"/>
              <w:textAlignment w:val="center"/>
              <w:rPr>
                <w:rFonts w:cs="Times New Roman"/>
                <w:color w:val="auto"/>
                <w:kern w:val="0"/>
                <w:sz w:val="21"/>
                <w:szCs w:val="21"/>
                <w:highlight w:val="none"/>
              </w:rPr>
            </w:pPr>
          </w:p>
        </w:tc>
        <w:tc>
          <w:tcPr>
            <w:tcW w:w="888" w:type="pct"/>
            <w:vMerge w:val="continue"/>
            <w:noWrap w:val="0"/>
            <w:vAlign w:val="center"/>
          </w:tcPr>
          <w:p w14:paraId="6F46F6A3">
            <w:pPr>
              <w:spacing w:line="240" w:lineRule="auto"/>
              <w:jc w:val="center"/>
              <w:rPr>
                <w:rFonts w:hint="eastAsia" w:cs="Times New Roman"/>
                <w:color w:val="auto"/>
                <w:sz w:val="21"/>
                <w:szCs w:val="21"/>
                <w:highlight w:val="none"/>
                <w:lang w:eastAsia="zh-CN"/>
              </w:rPr>
            </w:pPr>
          </w:p>
        </w:tc>
        <w:tc>
          <w:tcPr>
            <w:tcW w:w="3543" w:type="dxa"/>
            <w:noWrap w:val="0"/>
            <w:vAlign w:val="center"/>
          </w:tcPr>
          <w:p w14:paraId="1689A917">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柱状样</w:t>
            </w:r>
            <w:r>
              <w:rPr>
                <w:rFonts w:hint="eastAsia" w:cs="Times New Roman"/>
                <w:color w:val="auto"/>
                <w:kern w:val="2"/>
                <w:sz w:val="21"/>
                <w:szCs w:val="21"/>
                <w:highlight w:val="none"/>
                <w:lang w:val="en-US" w:eastAsia="zh-CN" w:bidi="ar-SA"/>
              </w:rPr>
              <w:t>50-150cm</w:t>
            </w:r>
          </w:p>
        </w:tc>
        <w:tc>
          <w:tcPr>
            <w:tcW w:w="875" w:type="pct"/>
            <w:vMerge w:val="continue"/>
            <w:noWrap w:val="0"/>
            <w:vAlign w:val="center"/>
          </w:tcPr>
          <w:p w14:paraId="180A729D">
            <w:pPr>
              <w:spacing w:line="240" w:lineRule="auto"/>
              <w:jc w:val="center"/>
              <w:textAlignment w:val="center"/>
              <w:rPr>
                <w:rFonts w:cs="Times New Roman"/>
                <w:color w:val="auto"/>
                <w:kern w:val="0"/>
                <w:sz w:val="21"/>
                <w:szCs w:val="21"/>
                <w:highlight w:val="none"/>
              </w:rPr>
            </w:pPr>
          </w:p>
        </w:tc>
      </w:tr>
      <w:tr w14:paraId="1660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5F24F6B7">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T3</w:t>
            </w:r>
            <w:r>
              <w:rPr>
                <w:rFonts w:hint="eastAsia" w:cs="Times New Roman"/>
                <w:color w:val="auto"/>
                <w:kern w:val="0"/>
                <w:sz w:val="21"/>
                <w:szCs w:val="21"/>
                <w:highlight w:val="none"/>
                <w:lang w:val="en-US" w:eastAsia="zh-CN"/>
              </w:rPr>
              <w:t>-3</w:t>
            </w:r>
          </w:p>
        </w:tc>
        <w:tc>
          <w:tcPr>
            <w:tcW w:w="598" w:type="pct"/>
            <w:vMerge w:val="continue"/>
            <w:noWrap w:val="0"/>
            <w:vAlign w:val="center"/>
          </w:tcPr>
          <w:p w14:paraId="30F100D0">
            <w:pPr>
              <w:spacing w:line="240" w:lineRule="auto"/>
              <w:jc w:val="center"/>
              <w:textAlignment w:val="center"/>
              <w:rPr>
                <w:rFonts w:cs="Times New Roman"/>
                <w:color w:val="auto"/>
                <w:kern w:val="0"/>
                <w:sz w:val="21"/>
                <w:szCs w:val="21"/>
                <w:highlight w:val="none"/>
              </w:rPr>
            </w:pPr>
          </w:p>
        </w:tc>
        <w:tc>
          <w:tcPr>
            <w:tcW w:w="888" w:type="pct"/>
            <w:vMerge w:val="continue"/>
            <w:noWrap w:val="0"/>
            <w:vAlign w:val="center"/>
          </w:tcPr>
          <w:p w14:paraId="2A0D94F9">
            <w:pPr>
              <w:spacing w:line="240" w:lineRule="auto"/>
              <w:jc w:val="center"/>
              <w:rPr>
                <w:rFonts w:hint="eastAsia" w:cs="Times New Roman"/>
                <w:color w:val="auto"/>
                <w:sz w:val="21"/>
                <w:szCs w:val="21"/>
                <w:highlight w:val="none"/>
                <w:lang w:eastAsia="zh-CN"/>
              </w:rPr>
            </w:pPr>
          </w:p>
        </w:tc>
        <w:tc>
          <w:tcPr>
            <w:tcW w:w="3543" w:type="dxa"/>
            <w:noWrap w:val="0"/>
            <w:vAlign w:val="center"/>
          </w:tcPr>
          <w:p w14:paraId="54DE7829">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柱状样</w:t>
            </w:r>
            <w:r>
              <w:rPr>
                <w:rFonts w:hint="eastAsia" w:cs="Times New Roman"/>
                <w:color w:val="auto"/>
                <w:kern w:val="2"/>
                <w:sz w:val="21"/>
                <w:szCs w:val="21"/>
                <w:highlight w:val="none"/>
                <w:lang w:val="en-US" w:eastAsia="zh-CN" w:bidi="ar-SA"/>
              </w:rPr>
              <w:t>150-300cm</w:t>
            </w:r>
          </w:p>
        </w:tc>
        <w:tc>
          <w:tcPr>
            <w:tcW w:w="875" w:type="pct"/>
            <w:vMerge w:val="continue"/>
            <w:noWrap w:val="0"/>
            <w:vAlign w:val="center"/>
          </w:tcPr>
          <w:p w14:paraId="06EB0D12">
            <w:pPr>
              <w:spacing w:line="240" w:lineRule="auto"/>
              <w:jc w:val="center"/>
              <w:textAlignment w:val="center"/>
              <w:rPr>
                <w:rFonts w:cs="Times New Roman"/>
                <w:color w:val="auto"/>
                <w:kern w:val="0"/>
                <w:sz w:val="21"/>
                <w:szCs w:val="21"/>
                <w:highlight w:val="none"/>
              </w:rPr>
            </w:pPr>
          </w:p>
        </w:tc>
      </w:tr>
      <w:tr w14:paraId="0BE50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4CF78916">
            <w:pPr>
              <w:spacing w:line="240" w:lineRule="auto"/>
              <w:jc w:val="center"/>
              <w:textAlignment w:val="center"/>
              <w:rPr>
                <w:rFonts w:hint="default" w:eastAsia="宋体" w:cs="Times New Roman"/>
                <w:color w:val="auto"/>
                <w:kern w:val="0"/>
                <w:sz w:val="21"/>
                <w:szCs w:val="21"/>
                <w:highlight w:val="none"/>
                <w:lang w:val="en-US" w:eastAsia="zh-CN"/>
              </w:rPr>
            </w:pPr>
            <w:r>
              <w:rPr>
                <w:rFonts w:hint="eastAsia" w:cs="Times New Roman"/>
                <w:color w:val="auto"/>
                <w:kern w:val="0"/>
                <w:sz w:val="21"/>
                <w:szCs w:val="21"/>
                <w:highlight w:val="none"/>
              </w:rPr>
              <w:t>T4</w:t>
            </w:r>
            <w:r>
              <w:rPr>
                <w:rFonts w:hint="eastAsia" w:cs="Times New Roman"/>
                <w:color w:val="auto"/>
                <w:kern w:val="0"/>
                <w:sz w:val="21"/>
                <w:szCs w:val="21"/>
                <w:highlight w:val="none"/>
                <w:lang w:val="en-US" w:eastAsia="zh-CN"/>
              </w:rPr>
              <w:t>-1</w:t>
            </w:r>
          </w:p>
        </w:tc>
        <w:tc>
          <w:tcPr>
            <w:tcW w:w="598" w:type="pct"/>
            <w:vMerge w:val="continue"/>
            <w:noWrap w:val="0"/>
            <w:vAlign w:val="center"/>
          </w:tcPr>
          <w:p w14:paraId="5CDA7E82">
            <w:pPr>
              <w:spacing w:line="240" w:lineRule="auto"/>
              <w:jc w:val="center"/>
              <w:textAlignment w:val="center"/>
              <w:rPr>
                <w:rFonts w:cs="Times New Roman"/>
                <w:color w:val="auto"/>
                <w:kern w:val="0"/>
                <w:sz w:val="21"/>
                <w:szCs w:val="21"/>
                <w:highlight w:val="none"/>
              </w:rPr>
            </w:pPr>
          </w:p>
        </w:tc>
        <w:tc>
          <w:tcPr>
            <w:tcW w:w="888" w:type="pct"/>
            <w:vMerge w:val="restart"/>
            <w:noWrap w:val="0"/>
            <w:vAlign w:val="center"/>
          </w:tcPr>
          <w:p w14:paraId="5076D4F8">
            <w:pPr>
              <w:spacing w:line="240" w:lineRule="auto"/>
              <w:jc w:val="center"/>
              <w:rPr>
                <w:rFonts w:cs="Times New Roman"/>
                <w:color w:val="auto"/>
                <w:kern w:val="0"/>
                <w:sz w:val="21"/>
                <w:szCs w:val="21"/>
                <w:highlight w:val="none"/>
              </w:rPr>
            </w:pPr>
            <w:r>
              <w:rPr>
                <w:rFonts w:hint="eastAsia" w:cs="Times New Roman"/>
                <w:color w:val="auto"/>
                <w:kern w:val="0"/>
                <w:sz w:val="21"/>
                <w:szCs w:val="21"/>
                <w:highlight w:val="none"/>
                <w:lang w:val="en-US" w:eastAsia="zh-CN"/>
              </w:rPr>
              <w:t>站区</w:t>
            </w:r>
            <w:r>
              <w:rPr>
                <w:rFonts w:hint="eastAsia" w:cs="Times New Roman"/>
                <w:color w:val="auto"/>
                <w:sz w:val="21"/>
                <w:szCs w:val="21"/>
                <w:highlight w:val="none"/>
                <w:lang w:val="en-US" w:eastAsia="zh-CN"/>
              </w:rPr>
              <w:t>北</w:t>
            </w:r>
            <w:r>
              <w:rPr>
                <w:rFonts w:hint="eastAsia" w:cs="Times New Roman"/>
                <w:color w:val="auto"/>
                <w:sz w:val="21"/>
                <w:szCs w:val="21"/>
                <w:highlight w:val="none"/>
              </w:rPr>
              <w:t>侧</w:t>
            </w:r>
          </w:p>
        </w:tc>
        <w:tc>
          <w:tcPr>
            <w:tcW w:w="3543" w:type="dxa"/>
            <w:noWrap w:val="0"/>
            <w:vAlign w:val="center"/>
          </w:tcPr>
          <w:p w14:paraId="11659721">
            <w:pPr>
              <w:spacing w:line="240" w:lineRule="auto"/>
              <w:jc w:val="center"/>
              <w:textAlignment w:val="center"/>
              <w:rPr>
                <w:rFonts w:cs="Times New Roman"/>
                <w:color w:val="auto"/>
                <w:kern w:val="0"/>
                <w:sz w:val="21"/>
                <w:szCs w:val="21"/>
                <w:highlight w:val="none"/>
              </w:rPr>
            </w:pPr>
            <w:r>
              <w:rPr>
                <w:rFonts w:hint="eastAsia" w:cs="Times New Roman"/>
                <w:color w:val="auto"/>
                <w:kern w:val="0"/>
                <w:sz w:val="21"/>
                <w:szCs w:val="21"/>
                <w:highlight w:val="none"/>
              </w:rPr>
              <w:t>柱状样</w:t>
            </w:r>
            <w:r>
              <w:rPr>
                <w:rFonts w:hint="eastAsia" w:cs="Times New Roman"/>
                <w:color w:val="auto"/>
                <w:sz w:val="21"/>
                <w:szCs w:val="21"/>
                <w:highlight w:val="none"/>
                <w:lang w:val="en-US" w:eastAsia="zh-CN"/>
              </w:rPr>
              <w:t>0-50</w:t>
            </w:r>
            <w:r>
              <w:rPr>
                <w:rFonts w:hint="eastAsia" w:cs="Times New Roman"/>
                <w:color w:val="auto"/>
                <w:kern w:val="2"/>
                <w:sz w:val="21"/>
                <w:szCs w:val="21"/>
                <w:highlight w:val="none"/>
                <w:lang w:val="en-US" w:eastAsia="zh-CN" w:bidi="ar-SA"/>
              </w:rPr>
              <w:t>cm</w:t>
            </w:r>
          </w:p>
        </w:tc>
        <w:tc>
          <w:tcPr>
            <w:tcW w:w="875" w:type="pct"/>
            <w:vMerge w:val="continue"/>
            <w:noWrap w:val="0"/>
            <w:vAlign w:val="center"/>
          </w:tcPr>
          <w:p w14:paraId="451D65A4">
            <w:pPr>
              <w:spacing w:line="240" w:lineRule="auto"/>
              <w:jc w:val="center"/>
              <w:textAlignment w:val="center"/>
              <w:rPr>
                <w:rFonts w:cs="Times New Roman"/>
                <w:color w:val="auto"/>
                <w:kern w:val="0"/>
                <w:sz w:val="21"/>
                <w:szCs w:val="21"/>
                <w:highlight w:val="none"/>
              </w:rPr>
            </w:pPr>
          </w:p>
        </w:tc>
      </w:tr>
      <w:tr w14:paraId="276F2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082C59CA">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T4</w:t>
            </w:r>
            <w:r>
              <w:rPr>
                <w:rFonts w:hint="eastAsia" w:cs="Times New Roman"/>
                <w:color w:val="auto"/>
                <w:kern w:val="0"/>
                <w:sz w:val="21"/>
                <w:szCs w:val="21"/>
                <w:highlight w:val="none"/>
                <w:lang w:val="en-US" w:eastAsia="zh-CN"/>
              </w:rPr>
              <w:t>-2</w:t>
            </w:r>
          </w:p>
        </w:tc>
        <w:tc>
          <w:tcPr>
            <w:tcW w:w="598" w:type="pct"/>
            <w:vMerge w:val="continue"/>
            <w:noWrap w:val="0"/>
            <w:vAlign w:val="center"/>
          </w:tcPr>
          <w:p w14:paraId="77116CCD">
            <w:pPr>
              <w:spacing w:line="240" w:lineRule="auto"/>
              <w:jc w:val="center"/>
              <w:textAlignment w:val="center"/>
              <w:rPr>
                <w:rFonts w:cs="Times New Roman"/>
                <w:color w:val="auto"/>
                <w:kern w:val="0"/>
                <w:sz w:val="21"/>
                <w:szCs w:val="21"/>
                <w:highlight w:val="none"/>
              </w:rPr>
            </w:pPr>
          </w:p>
        </w:tc>
        <w:tc>
          <w:tcPr>
            <w:tcW w:w="888" w:type="pct"/>
            <w:vMerge w:val="continue"/>
            <w:noWrap w:val="0"/>
            <w:vAlign w:val="center"/>
          </w:tcPr>
          <w:p w14:paraId="324E3421">
            <w:pPr>
              <w:spacing w:line="240" w:lineRule="auto"/>
              <w:jc w:val="center"/>
              <w:rPr>
                <w:rFonts w:hint="eastAsia" w:cs="Times New Roman"/>
                <w:color w:val="auto"/>
                <w:sz w:val="21"/>
                <w:szCs w:val="21"/>
                <w:highlight w:val="none"/>
                <w:lang w:eastAsia="zh-CN"/>
              </w:rPr>
            </w:pPr>
          </w:p>
        </w:tc>
        <w:tc>
          <w:tcPr>
            <w:tcW w:w="3543" w:type="dxa"/>
            <w:noWrap w:val="0"/>
            <w:vAlign w:val="center"/>
          </w:tcPr>
          <w:p w14:paraId="5BC5B4CA">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柱状样</w:t>
            </w:r>
            <w:r>
              <w:rPr>
                <w:rFonts w:hint="eastAsia" w:cs="Times New Roman"/>
                <w:color w:val="auto"/>
                <w:kern w:val="2"/>
                <w:sz w:val="21"/>
                <w:szCs w:val="21"/>
                <w:highlight w:val="none"/>
                <w:lang w:val="en-US" w:eastAsia="zh-CN" w:bidi="ar-SA"/>
              </w:rPr>
              <w:t>50-150cm</w:t>
            </w:r>
          </w:p>
        </w:tc>
        <w:tc>
          <w:tcPr>
            <w:tcW w:w="875" w:type="pct"/>
            <w:vMerge w:val="continue"/>
            <w:noWrap w:val="0"/>
            <w:vAlign w:val="center"/>
          </w:tcPr>
          <w:p w14:paraId="51F0CAAC">
            <w:pPr>
              <w:spacing w:line="240" w:lineRule="auto"/>
              <w:jc w:val="center"/>
              <w:textAlignment w:val="center"/>
              <w:rPr>
                <w:rFonts w:cs="Times New Roman"/>
                <w:color w:val="auto"/>
                <w:kern w:val="0"/>
                <w:sz w:val="21"/>
                <w:szCs w:val="21"/>
                <w:highlight w:val="none"/>
              </w:rPr>
            </w:pPr>
          </w:p>
        </w:tc>
      </w:tr>
      <w:tr w14:paraId="5CCC0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519" w:type="pct"/>
            <w:noWrap w:val="0"/>
            <w:vAlign w:val="center"/>
          </w:tcPr>
          <w:p w14:paraId="6F16C6B3">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T4</w:t>
            </w:r>
            <w:r>
              <w:rPr>
                <w:rFonts w:hint="eastAsia" w:cs="Times New Roman"/>
                <w:color w:val="auto"/>
                <w:kern w:val="0"/>
                <w:sz w:val="21"/>
                <w:szCs w:val="21"/>
                <w:highlight w:val="none"/>
                <w:lang w:val="en-US" w:eastAsia="zh-CN"/>
              </w:rPr>
              <w:t>-3</w:t>
            </w:r>
          </w:p>
        </w:tc>
        <w:tc>
          <w:tcPr>
            <w:tcW w:w="598" w:type="pct"/>
            <w:vMerge w:val="continue"/>
            <w:noWrap w:val="0"/>
            <w:vAlign w:val="center"/>
          </w:tcPr>
          <w:p w14:paraId="487DC86B">
            <w:pPr>
              <w:spacing w:line="240" w:lineRule="auto"/>
              <w:jc w:val="center"/>
              <w:textAlignment w:val="center"/>
              <w:rPr>
                <w:rFonts w:cs="Times New Roman"/>
                <w:color w:val="auto"/>
                <w:kern w:val="0"/>
                <w:sz w:val="21"/>
                <w:szCs w:val="21"/>
                <w:highlight w:val="none"/>
              </w:rPr>
            </w:pPr>
          </w:p>
        </w:tc>
        <w:tc>
          <w:tcPr>
            <w:tcW w:w="888" w:type="pct"/>
            <w:vMerge w:val="continue"/>
            <w:noWrap w:val="0"/>
            <w:vAlign w:val="center"/>
          </w:tcPr>
          <w:p w14:paraId="444CA8A8">
            <w:pPr>
              <w:spacing w:line="240" w:lineRule="auto"/>
              <w:jc w:val="center"/>
              <w:rPr>
                <w:rFonts w:hint="eastAsia" w:cs="Times New Roman"/>
                <w:color w:val="auto"/>
                <w:sz w:val="21"/>
                <w:szCs w:val="21"/>
                <w:highlight w:val="none"/>
                <w:lang w:eastAsia="zh-CN"/>
              </w:rPr>
            </w:pPr>
          </w:p>
        </w:tc>
        <w:tc>
          <w:tcPr>
            <w:tcW w:w="3543" w:type="dxa"/>
            <w:noWrap w:val="0"/>
            <w:vAlign w:val="center"/>
          </w:tcPr>
          <w:p w14:paraId="63A72DEC">
            <w:pPr>
              <w:spacing w:line="240" w:lineRule="auto"/>
              <w:jc w:val="center"/>
              <w:textAlignment w:val="center"/>
              <w:rPr>
                <w:rFonts w:hint="eastAsia" w:cs="Times New Roman"/>
                <w:color w:val="auto"/>
                <w:kern w:val="0"/>
                <w:sz w:val="21"/>
                <w:szCs w:val="21"/>
                <w:highlight w:val="none"/>
              </w:rPr>
            </w:pPr>
            <w:r>
              <w:rPr>
                <w:rFonts w:hint="eastAsia" w:cs="Times New Roman"/>
                <w:color w:val="auto"/>
                <w:kern w:val="0"/>
                <w:sz w:val="21"/>
                <w:szCs w:val="21"/>
                <w:highlight w:val="none"/>
              </w:rPr>
              <w:t>柱状样</w:t>
            </w:r>
            <w:r>
              <w:rPr>
                <w:rFonts w:hint="eastAsia" w:cs="Times New Roman"/>
                <w:color w:val="auto"/>
                <w:kern w:val="2"/>
                <w:sz w:val="21"/>
                <w:szCs w:val="21"/>
                <w:highlight w:val="none"/>
                <w:lang w:val="en-US" w:eastAsia="zh-CN" w:bidi="ar-SA"/>
              </w:rPr>
              <w:t>150-300cm</w:t>
            </w:r>
          </w:p>
        </w:tc>
        <w:tc>
          <w:tcPr>
            <w:tcW w:w="875" w:type="pct"/>
            <w:vMerge w:val="continue"/>
            <w:noWrap w:val="0"/>
            <w:vAlign w:val="center"/>
          </w:tcPr>
          <w:p w14:paraId="77574684">
            <w:pPr>
              <w:spacing w:line="240" w:lineRule="auto"/>
              <w:jc w:val="center"/>
              <w:textAlignment w:val="center"/>
              <w:rPr>
                <w:rFonts w:cs="Times New Roman"/>
                <w:color w:val="auto"/>
                <w:kern w:val="0"/>
                <w:sz w:val="21"/>
                <w:szCs w:val="21"/>
                <w:highlight w:val="none"/>
              </w:rPr>
            </w:pPr>
          </w:p>
        </w:tc>
      </w:tr>
      <w:tr w14:paraId="0F4C7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70" w:hRule="atLeast"/>
          <w:jc w:val="center"/>
        </w:trPr>
        <w:tc>
          <w:tcPr>
            <w:tcW w:w="519" w:type="pct"/>
            <w:noWrap w:val="0"/>
            <w:vAlign w:val="center"/>
          </w:tcPr>
          <w:p w14:paraId="0C84CA25">
            <w:pPr>
              <w:spacing w:line="240" w:lineRule="auto"/>
              <w:jc w:val="center"/>
              <w:textAlignment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rPr>
              <w:t>T</w:t>
            </w:r>
            <w:r>
              <w:rPr>
                <w:rFonts w:hint="eastAsia" w:cs="Times New Roman"/>
                <w:color w:val="auto"/>
                <w:kern w:val="0"/>
                <w:sz w:val="21"/>
                <w:szCs w:val="21"/>
                <w:highlight w:val="none"/>
                <w:lang w:val="en-US" w:eastAsia="zh-CN"/>
              </w:rPr>
              <w:t>5</w:t>
            </w:r>
          </w:p>
        </w:tc>
        <w:tc>
          <w:tcPr>
            <w:tcW w:w="598" w:type="pct"/>
            <w:vMerge w:val="restart"/>
            <w:noWrap w:val="0"/>
            <w:vAlign w:val="center"/>
          </w:tcPr>
          <w:p w14:paraId="308B8F00">
            <w:pPr>
              <w:spacing w:line="240" w:lineRule="auto"/>
              <w:jc w:val="center"/>
              <w:textAlignment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rPr>
              <w:t>厂界范围</w:t>
            </w:r>
            <w:r>
              <w:rPr>
                <w:rFonts w:hint="eastAsia" w:cs="Times New Roman"/>
                <w:color w:val="auto"/>
                <w:kern w:val="0"/>
                <w:sz w:val="21"/>
                <w:szCs w:val="21"/>
                <w:highlight w:val="none"/>
                <w:lang w:val="en-US" w:eastAsia="zh-CN"/>
              </w:rPr>
              <w:t>外</w:t>
            </w:r>
          </w:p>
        </w:tc>
        <w:tc>
          <w:tcPr>
            <w:tcW w:w="888" w:type="pct"/>
            <w:noWrap w:val="0"/>
            <w:vAlign w:val="center"/>
          </w:tcPr>
          <w:p w14:paraId="110E2369">
            <w:pPr>
              <w:spacing w:line="240" w:lineRule="auto"/>
              <w:jc w:val="center"/>
              <w:rPr>
                <w:rFonts w:cs="Times New Roman"/>
                <w:color w:val="auto"/>
                <w:sz w:val="21"/>
                <w:szCs w:val="21"/>
                <w:highlight w:val="none"/>
              </w:rPr>
            </w:pPr>
            <w:r>
              <w:rPr>
                <w:rFonts w:hint="eastAsia" w:cs="Times New Roman"/>
                <w:color w:val="auto"/>
                <w:kern w:val="0"/>
                <w:sz w:val="21"/>
                <w:szCs w:val="21"/>
                <w:highlight w:val="none"/>
                <w:lang w:val="en-US" w:eastAsia="zh-CN"/>
              </w:rPr>
              <w:t>站区</w:t>
            </w:r>
            <w:r>
              <w:rPr>
                <w:rFonts w:hint="eastAsia" w:cs="Times New Roman"/>
                <w:color w:val="auto"/>
                <w:sz w:val="21"/>
                <w:szCs w:val="21"/>
                <w:highlight w:val="none"/>
                <w:lang w:val="en-US" w:eastAsia="zh-CN"/>
              </w:rPr>
              <w:t>东</w:t>
            </w:r>
            <w:r>
              <w:rPr>
                <w:rFonts w:hint="eastAsia" w:cs="Times New Roman"/>
                <w:color w:val="auto"/>
                <w:sz w:val="21"/>
                <w:szCs w:val="21"/>
                <w:highlight w:val="none"/>
              </w:rPr>
              <w:t>侧</w:t>
            </w:r>
          </w:p>
        </w:tc>
        <w:tc>
          <w:tcPr>
            <w:tcW w:w="2119" w:type="pct"/>
            <w:noWrap w:val="0"/>
            <w:vAlign w:val="center"/>
          </w:tcPr>
          <w:p w14:paraId="2AFC3693">
            <w:pPr>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表层样</w:t>
            </w:r>
            <w:r>
              <w:rPr>
                <w:rFonts w:hint="eastAsia" w:cs="Times New Roman"/>
                <w:color w:val="auto"/>
                <w:sz w:val="21"/>
                <w:szCs w:val="21"/>
                <w:highlight w:val="none"/>
                <w:lang w:val="en-US" w:eastAsia="zh-CN"/>
              </w:rPr>
              <w:t>0-20</w:t>
            </w:r>
            <w:r>
              <w:rPr>
                <w:rFonts w:hint="eastAsia" w:cs="Times New Roman"/>
                <w:color w:val="auto"/>
                <w:kern w:val="2"/>
                <w:sz w:val="21"/>
                <w:szCs w:val="21"/>
                <w:highlight w:val="none"/>
                <w:lang w:val="en-US" w:eastAsia="zh-CN" w:bidi="ar-SA"/>
              </w:rPr>
              <w:t>cm</w:t>
            </w:r>
          </w:p>
        </w:tc>
        <w:tc>
          <w:tcPr>
            <w:tcW w:w="875" w:type="pct"/>
            <w:vMerge w:val="continue"/>
            <w:noWrap w:val="0"/>
            <w:vAlign w:val="center"/>
          </w:tcPr>
          <w:p w14:paraId="3A334B6C">
            <w:pPr>
              <w:spacing w:line="240" w:lineRule="auto"/>
              <w:jc w:val="center"/>
              <w:textAlignment w:val="center"/>
              <w:rPr>
                <w:rFonts w:cs="Times New Roman"/>
                <w:color w:val="auto"/>
                <w:kern w:val="0"/>
                <w:sz w:val="21"/>
                <w:szCs w:val="21"/>
                <w:highlight w:val="none"/>
              </w:rPr>
            </w:pPr>
          </w:p>
        </w:tc>
      </w:tr>
      <w:tr w14:paraId="19AC4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3" w:hRule="atLeast"/>
          <w:jc w:val="center"/>
        </w:trPr>
        <w:tc>
          <w:tcPr>
            <w:tcW w:w="519" w:type="pct"/>
            <w:noWrap w:val="0"/>
            <w:vAlign w:val="center"/>
          </w:tcPr>
          <w:p w14:paraId="34C17112">
            <w:pPr>
              <w:spacing w:line="240" w:lineRule="auto"/>
              <w:jc w:val="center"/>
              <w:textAlignment w:val="center"/>
              <w:rPr>
                <w:rFonts w:hint="eastAsia" w:eastAsia="宋体" w:cs="Times New Roman"/>
                <w:color w:val="auto"/>
                <w:kern w:val="0"/>
                <w:sz w:val="21"/>
                <w:szCs w:val="21"/>
                <w:highlight w:val="none"/>
                <w:lang w:eastAsia="zh-CN"/>
              </w:rPr>
            </w:pPr>
            <w:r>
              <w:rPr>
                <w:rFonts w:hint="eastAsia" w:cs="Times New Roman"/>
                <w:color w:val="auto"/>
                <w:kern w:val="0"/>
                <w:sz w:val="21"/>
                <w:szCs w:val="21"/>
                <w:highlight w:val="none"/>
              </w:rPr>
              <w:t>T</w:t>
            </w:r>
            <w:r>
              <w:rPr>
                <w:rFonts w:hint="eastAsia" w:cs="Times New Roman"/>
                <w:color w:val="auto"/>
                <w:kern w:val="0"/>
                <w:sz w:val="21"/>
                <w:szCs w:val="21"/>
                <w:highlight w:val="none"/>
                <w:lang w:val="en-US" w:eastAsia="zh-CN"/>
              </w:rPr>
              <w:t>6</w:t>
            </w:r>
          </w:p>
        </w:tc>
        <w:tc>
          <w:tcPr>
            <w:tcW w:w="598" w:type="pct"/>
            <w:vMerge w:val="continue"/>
            <w:noWrap w:val="0"/>
            <w:vAlign w:val="center"/>
          </w:tcPr>
          <w:p w14:paraId="03101A39">
            <w:pPr>
              <w:spacing w:line="240" w:lineRule="auto"/>
              <w:jc w:val="center"/>
              <w:textAlignment w:val="center"/>
              <w:rPr>
                <w:rFonts w:cs="Times New Roman"/>
                <w:color w:val="auto"/>
                <w:kern w:val="0"/>
                <w:sz w:val="21"/>
                <w:szCs w:val="21"/>
                <w:highlight w:val="none"/>
              </w:rPr>
            </w:pPr>
          </w:p>
        </w:tc>
        <w:tc>
          <w:tcPr>
            <w:tcW w:w="888" w:type="pct"/>
            <w:noWrap w:val="0"/>
            <w:vAlign w:val="center"/>
          </w:tcPr>
          <w:p w14:paraId="6D5C4B43">
            <w:pPr>
              <w:spacing w:line="240" w:lineRule="auto"/>
              <w:jc w:val="center"/>
              <w:rPr>
                <w:rFonts w:cs="Times New Roman"/>
                <w:color w:val="auto"/>
                <w:sz w:val="21"/>
                <w:szCs w:val="21"/>
                <w:highlight w:val="none"/>
              </w:rPr>
            </w:pPr>
            <w:r>
              <w:rPr>
                <w:rFonts w:hint="eastAsia" w:cs="Times New Roman"/>
                <w:color w:val="auto"/>
                <w:kern w:val="0"/>
                <w:sz w:val="21"/>
                <w:szCs w:val="21"/>
                <w:highlight w:val="none"/>
                <w:lang w:val="en-US" w:eastAsia="zh-CN"/>
              </w:rPr>
              <w:t>站区</w:t>
            </w:r>
            <w:r>
              <w:rPr>
                <w:rFonts w:hint="eastAsia" w:cs="Times New Roman"/>
                <w:color w:val="auto"/>
                <w:sz w:val="21"/>
                <w:szCs w:val="21"/>
                <w:highlight w:val="none"/>
                <w:lang w:val="en-US" w:eastAsia="zh-CN"/>
              </w:rPr>
              <w:t>南</w:t>
            </w:r>
            <w:r>
              <w:rPr>
                <w:rFonts w:hint="eastAsia" w:cs="Times New Roman"/>
                <w:color w:val="auto"/>
                <w:sz w:val="21"/>
                <w:szCs w:val="21"/>
                <w:highlight w:val="none"/>
              </w:rPr>
              <w:t>侧</w:t>
            </w:r>
          </w:p>
        </w:tc>
        <w:tc>
          <w:tcPr>
            <w:tcW w:w="2119" w:type="pct"/>
            <w:noWrap w:val="0"/>
            <w:vAlign w:val="center"/>
          </w:tcPr>
          <w:p w14:paraId="5B3E7335">
            <w:pPr>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表层样</w:t>
            </w:r>
            <w:r>
              <w:rPr>
                <w:rFonts w:hint="eastAsia" w:cs="Times New Roman"/>
                <w:color w:val="auto"/>
                <w:sz w:val="21"/>
                <w:szCs w:val="21"/>
                <w:highlight w:val="none"/>
                <w:lang w:val="en-US" w:eastAsia="zh-CN"/>
              </w:rPr>
              <w:t>0-20</w:t>
            </w:r>
            <w:r>
              <w:rPr>
                <w:rFonts w:hint="eastAsia" w:cs="Times New Roman"/>
                <w:color w:val="auto"/>
                <w:kern w:val="2"/>
                <w:sz w:val="21"/>
                <w:szCs w:val="21"/>
                <w:highlight w:val="none"/>
                <w:lang w:val="en-US" w:eastAsia="zh-CN" w:bidi="ar-SA"/>
              </w:rPr>
              <w:t>cm</w:t>
            </w:r>
          </w:p>
        </w:tc>
        <w:tc>
          <w:tcPr>
            <w:tcW w:w="875" w:type="pct"/>
            <w:vMerge w:val="continue"/>
            <w:noWrap w:val="0"/>
            <w:vAlign w:val="center"/>
          </w:tcPr>
          <w:p w14:paraId="36BC33F4">
            <w:pPr>
              <w:spacing w:line="240" w:lineRule="auto"/>
              <w:jc w:val="center"/>
              <w:textAlignment w:val="center"/>
              <w:rPr>
                <w:rFonts w:cs="Times New Roman"/>
                <w:color w:val="auto"/>
                <w:kern w:val="0"/>
                <w:sz w:val="21"/>
                <w:szCs w:val="21"/>
                <w:highlight w:val="none"/>
              </w:rPr>
            </w:pPr>
          </w:p>
        </w:tc>
      </w:tr>
    </w:tbl>
    <w:p w14:paraId="32297833">
      <w:pPr>
        <w:pStyle w:val="352"/>
        <w:keepNext w:val="0"/>
        <w:keepLines w:val="0"/>
        <w:pageBreakBefore w:val="0"/>
        <w:widowControl w:val="0"/>
        <w:kinsoku/>
        <w:wordWrap/>
        <w:overflowPunct/>
        <w:topLinePunct w:val="0"/>
        <w:autoSpaceDE/>
        <w:autoSpaceDN/>
        <w:bidi w:val="0"/>
        <w:adjustRightInd/>
        <w:snapToGrid w:val="0"/>
        <w:spacing w:before="64" w:beforeLines="20"/>
        <w:ind w:firstLine="0" w:firstLineChars="0"/>
        <w:jc w:val="center"/>
        <w:textAlignment w:val="auto"/>
        <w:rPr>
          <w:color w:val="auto"/>
          <w:highlight w:val="none"/>
        </w:rPr>
      </w:pPr>
      <w:r>
        <w:rPr>
          <w:color w:val="auto"/>
          <w:highlight w:val="none"/>
        </w:rPr>
        <w:drawing>
          <wp:inline distT="0" distB="0" distL="114300" distR="114300">
            <wp:extent cx="5269230" cy="4397375"/>
            <wp:effectExtent l="0" t="0" r="7620" b="3175"/>
            <wp:docPr id="567"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230"/>
                    <pic:cNvPicPr>
                      <a:picLocks noChangeAspect="1"/>
                    </pic:cNvPicPr>
                  </pic:nvPicPr>
                  <pic:blipFill>
                    <a:blip r:embed="rId54"/>
                    <a:stretch>
                      <a:fillRect/>
                    </a:stretch>
                  </pic:blipFill>
                  <pic:spPr>
                    <a:xfrm>
                      <a:off x="0" y="0"/>
                      <a:ext cx="5269230" cy="4397375"/>
                    </a:xfrm>
                    <a:prstGeom prst="rect">
                      <a:avLst/>
                    </a:prstGeom>
                    <a:noFill/>
                    <a:ln>
                      <a:noFill/>
                    </a:ln>
                  </pic:spPr>
                </pic:pic>
              </a:graphicData>
            </a:graphic>
          </wp:inline>
        </w:drawing>
      </w:r>
    </w:p>
    <w:p w14:paraId="43B37966">
      <w:pPr>
        <w:pStyle w:val="352"/>
        <w:ind w:firstLine="482"/>
        <w:jc w:val="center"/>
        <w:rPr>
          <w:b/>
          <w:color w:val="auto"/>
          <w:highlight w:val="none"/>
        </w:rPr>
      </w:pPr>
      <w:r>
        <w:rPr>
          <w:b/>
          <w:color w:val="auto"/>
          <w:highlight w:val="none"/>
        </w:rPr>
        <w:t>图4.2-</w:t>
      </w:r>
      <w:r>
        <w:rPr>
          <w:rFonts w:hint="eastAsia"/>
          <w:b/>
          <w:color w:val="auto"/>
          <w:highlight w:val="none"/>
          <w:lang w:val="en-US" w:eastAsia="zh-CN"/>
        </w:rPr>
        <w:t xml:space="preserve">4  </w:t>
      </w:r>
      <w:r>
        <w:rPr>
          <w:b/>
          <w:color w:val="auto"/>
          <w:highlight w:val="none"/>
        </w:rPr>
        <w:t>土壤环境质量现状监测布点图</w:t>
      </w:r>
    </w:p>
    <w:p w14:paraId="08048094">
      <w:pPr>
        <w:pStyle w:val="352"/>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（2）监测时间与监测项目</w:t>
      </w:r>
    </w:p>
    <w:p w14:paraId="431FB689">
      <w:pPr>
        <w:pStyle w:val="352"/>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监测数据采样时间为202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w:t>
      </w:r>
      <w:r>
        <w:rPr>
          <w:rFonts w:hint="eastAsia" w:cs="Times New Roman"/>
          <w:color w:val="auto"/>
          <w:highlight w:val="none"/>
          <w:lang w:val="en-US" w:eastAsia="zh-CN"/>
        </w:rPr>
        <w:t>7</w:t>
      </w:r>
      <w:r>
        <w:rPr>
          <w:rFonts w:hint="default" w:ascii="Times New Roman" w:hAnsi="Times New Roman" w:cs="Times New Roman"/>
          <w:color w:val="auto"/>
          <w:highlight w:val="none"/>
        </w:rPr>
        <w:t>月</w:t>
      </w:r>
      <w:r>
        <w:rPr>
          <w:rFonts w:hint="eastAsia" w:cs="Times New Roman"/>
          <w:color w:val="auto"/>
          <w:highlight w:val="none"/>
          <w:lang w:val="en-US" w:eastAsia="zh-CN"/>
        </w:rPr>
        <w:t>23</w:t>
      </w:r>
      <w:r>
        <w:rPr>
          <w:rFonts w:hint="default" w:ascii="Times New Roman" w:hAnsi="Times New Roman" w:cs="Times New Roman"/>
          <w:color w:val="auto"/>
          <w:highlight w:val="none"/>
        </w:rPr>
        <w:t>日。</w:t>
      </w:r>
    </w:p>
    <w:p w14:paraId="653C723A">
      <w:pPr>
        <w:pStyle w:val="352"/>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监测项目：GB36600-2018中表1土壤45项基本项目</w:t>
      </w:r>
      <w:r>
        <w:rPr>
          <w:rFonts w:hint="default" w:ascii="Times New Roman" w:hAnsi="Times New Roman" w:cs="Times New Roman"/>
          <w:color w:val="auto"/>
          <w:highlight w:val="none"/>
          <w:lang w:val="en-US" w:eastAsia="zh-CN"/>
        </w:rPr>
        <w:t>和特征因子石油烃（C10~C40）</w:t>
      </w:r>
      <w:r>
        <w:rPr>
          <w:rFonts w:hint="default" w:ascii="Times New Roman" w:hAnsi="Times New Roman" w:cs="Times New Roman"/>
          <w:color w:val="auto"/>
          <w:highlight w:val="none"/>
        </w:rPr>
        <w:t>。</w:t>
      </w:r>
    </w:p>
    <w:p w14:paraId="363FCBE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（3）监测频次</w:t>
      </w:r>
      <w:r>
        <w:rPr>
          <w:rStyle w:val="67"/>
          <w:rFonts w:hint="default" w:ascii="Times New Roman" w:hAnsi="Times New Roman" w:cs="Times New Roman"/>
          <w:color w:val="auto"/>
          <w:highlight w:val="none"/>
        </w:rPr>
        <w:drawing>
          <wp:anchor distT="0" distB="0" distL="114300" distR="114300" simplePos="0" relativeHeight="251672576" behindDoc="0" locked="0" layoutInCell="1" allowOverlap="1">
            <wp:simplePos x="0" y="0"/>
            <wp:positionH relativeFrom="column">
              <wp:posOffset>8091170</wp:posOffset>
            </wp:positionH>
            <wp:positionV relativeFrom="paragraph">
              <wp:posOffset>-4957445</wp:posOffset>
            </wp:positionV>
            <wp:extent cx="653415" cy="824230"/>
            <wp:effectExtent l="0" t="0" r="13335" b="13970"/>
            <wp:wrapNone/>
            <wp:docPr id="13" name="图片 2"/>
            <wp:cNvGraphicFramePr/>
            <a:graphic xmlns:a="http://schemas.openxmlformats.org/drawingml/2006/main">
              <a:graphicData uri="http://schemas.openxmlformats.org/drawingml/2006/picture">
                <pic:pic xmlns:pic="http://schemas.openxmlformats.org/drawingml/2006/picture">
                  <pic:nvPicPr>
                    <pic:cNvPr id="13" name="图片 2"/>
                    <pic:cNvPicPr/>
                  </pic:nvPicPr>
                  <pic:blipFill>
                    <a:blip r:embed="rId55"/>
                    <a:stretch>
                      <a:fillRect/>
                    </a:stretch>
                  </pic:blipFill>
                  <pic:spPr>
                    <a:xfrm>
                      <a:off x="0" y="0"/>
                      <a:ext cx="653415" cy="824230"/>
                    </a:xfrm>
                    <a:prstGeom prst="rect">
                      <a:avLst/>
                    </a:prstGeom>
                    <a:noFill/>
                    <a:ln>
                      <a:noFill/>
                    </a:ln>
                  </pic:spPr>
                </pic:pic>
              </a:graphicData>
            </a:graphic>
          </wp:anchor>
        </w:drawing>
      </w:r>
    </w:p>
    <w:p w14:paraId="77B119D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监测1天，每天1次。</w:t>
      </w:r>
    </w:p>
    <w:p w14:paraId="3B8F643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（4）采样和分析方法</w:t>
      </w:r>
    </w:p>
    <w:p w14:paraId="6B9568A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采样和分析方法按《环境监测分析方法》和中国环境监测总站编制的《土壤元素的近代分析方法》进行。</w:t>
      </w:r>
    </w:p>
    <w:p w14:paraId="06738122">
      <w:pPr>
        <w:pStyle w:val="352"/>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）监测结果与分析评价</w:t>
      </w:r>
    </w:p>
    <w:p w14:paraId="36C05DB7">
      <w:pPr>
        <w:pStyle w:val="107"/>
        <w:keepNext w:val="0"/>
        <w:keepLines w:val="0"/>
        <w:pageBreakBefore w:val="0"/>
        <w:widowControl w:val="0"/>
        <w:kinsoku/>
        <w:wordWrap/>
        <w:overflowPunct/>
        <w:topLinePunct w:val="0"/>
        <w:autoSpaceDE/>
        <w:autoSpaceDN/>
        <w:bidi w:val="0"/>
        <w:adjustRightInd/>
        <w:snapToGrid w:val="0"/>
        <w:spacing w:line="240" w:lineRule="atLeast"/>
        <w:jc w:val="center"/>
        <w:textAlignment w:val="auto"/>
        <w:rPr>
          <w:rFonts w:hint="default" w:ascii="Times New Roman" w:hAnsi="Times New Roman" w:cs="Times New Roman"/>
          <w:color w:val="auto"/>
          <w:highlight w:val="none"/>
        </w:rPr>
      </w:pPr>
      <w:r>
        <w:rPr>
          <w:rFonts w:hint="default" w:ascii="Times New Roman" w:hAnsi="Times New Roman" w:cs="Times New Roman"/>
          <w:bCs/>
          <w:color w:val="auto"/>
          <w:highlight w:val="none"/>
        </w:rPr>
        <w:t>表</w:t>
      </w:r>
      <w:r>
        <w:rPr>
          <w:rFonts w:hint="default" w:ascii="Times New Roman" w:hAnsi="Times New Roman" w:cs="Times New Roman"/>
          <w:color w:val="auto"/>
          <w:kern w:val="0"/>
          <w:highlight w:val="none"/>
        </w:rPr>
        <w:t>4.2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12</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土壤环境质量现状监测及评价结果表</w:t>
      </w:r>
    </w:p>
    <w:tbl>
      <w:tblPr>
        <w:tblStyle w:val="49"/>
        <w:tblW w:w="51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1"/>
        <w:gridCol w:w="953"/>
        <w:gridCol w:w="536"/>
        <w:gridCol w:w="431"/>
        <w:gridCol w:w="431"/>
        <w:gridCol w:w="430"/>
        <w:gridCol w:w="431"/>
        <w:gridCol w:w="508"/>
        <w:gridCol w:w="451"/>
        <w:gridCol w:w="555"/>
        <w:gridCol w:w="593"/>
        <w:gridCol w:w="596"/>
        <w:gridCol w:w="464"/>
        <w:gridCol w:w="559"/>
        <w:gridCol w:w="611"/>
        <w:gridCol w:w="576"/>
      </w:tblGrid>
      <w:tr w14:paraId="4AB43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8" w:hRule="atLeast"/>
          <w:jc w:val="center"/>
        </w:trPr>
        <w:tc>
          <w:tcPr>
            <w:tcW w:w="218" w:type="pct"/>
            <w:vMerge w:val="restart"/>
            <w:noWrap/>
            <w:vAlign w:val="center"/>
          </w:tcPr>
          <w:p w14:paraId="4C3635C9">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序号</w:t>
            </w:r>
          </w:p>
        </w:tc>
        <w:tc>
          <w:tcPr>
            <w:tcW w:w="560" w:type="pct"/>
            <w:vMerge w:val="restart"/>
            <w:noWrap/>
            <w:vAlign w:val="center"/>
          </w:tcPr>
          <w:p w14:paraId="77544079">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项目</w:t>
            </w:r>
          </w:p>
        </w:tc>
        <w:tc>
          <w:tcPr>
            <w:tcW w:w="315" w:type="pct"/>
            <w:vMerge w:val="restart"/>
            <w:noWrap/>
            <w:vAlign w:val="center"/>
          </w:tcPr>
          <w:p w14:paraId="6489E940">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单位</w:t>
            </w:r>
          </w:p>
        </w:tc>
        <w:tc>
          <w:tcPr>
            <w:tcW w:w="2878" w:type="pct"/>
            <w:gridSpan w:val="10"/>
            <w:noWrap/>
            <w:vAlign w:val="center"/>
          </w:tcPr>
          <w:p w14:paraId="171AB9FA">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厂区范围内监测点位</w:t>
            </w:r>
          </w:p>
        </w:tc>
        <w:tc>
          <w:tcPr>
            <w:tcW w:w="688" w:type="pct"/>
            <w:gridSpan w:val="2"/>
            <w:noWrap/>
            <w:vAlign w:val="center"/>
          </w:tcPr>
          <w:p w14:paraId="7EFE6D09">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厂区范围外监测点位</w:t>
            </w:r>
          </w:p>
        </w:tc>
        <w:tc>
          <w:tcPr>
            <w:tcW w:w="338" w:type="pct"/>
            <w:vMerge w:val="restart"/>
            <w:noWrap/>
            <w:vAlign w:val="center"/>
          </w:tcPr>
          <w:p w14:paraId="2BE545B9">
            <w:pPr>
              <w:adjustRightInd w:val="0"/>
              <w:snapToGrid w:val="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标准值</w:t>
            </w:r>
          </w:p>
        </w:tc>
      </w:tr>
      <w:tr w14:paraId="32776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88" w:hRule="atLeast"/>
          <w:jc w:val="center"/>
        </w:trPr>
        <w:tc>
          <w:tcPr>
            <w:tcW w:w="218" w:type="pct"/>
            <w:vMerge w:val="continue"/>
            <w:noWrap/>
            <w:vAlign w:val="center"/>
          </w:tcPr>
          <w:p w14:paraId="0766BF07">
            <w:pPr>
              <w:adjustRightInd w:val="0"/>
              <w:snapToGrid w:val="0"/>
              <w:jc w:val="center"/>
              <w:rPr>
                <w:rFonts w:hint="default" w:ascii="Times New Roman" w:hAnsi="Times New Roman" w:eastAsia="宋体" w:cs="Times New Roman"/>
                <w:b/>
                <w:bCs/>
                <w:color w:val="auto"/>
                <w:sz w:val="18"/>
                <w:szCs w:val="18"/>
                <w:highlight w:val="none"/>
                <w:lang w:val="en-US" w:eastAsia="zh-CN"/>
              </w:rPr>
            </w:pPr>
          </w:p>
        </w:tc>
        <w:tc>
          <w:tcPr>
            <w:tcW w:w="560" w:type="pct"/>
            <w:vMerge w:val="continue"/>
            <w:noWrap/>
            <w:vAlign w:val="center"/>
          </w:tcPr>
          <w:p w14:paraId="1C581968">
            <w:pPr>
              <w:adjustRightInd w:val="0"/>
              <w:snapToGrid w:val="0"/>
              <w:jc w:val="center"/>
              <w:rPr>
                <w:rFonts w:hint="default" w:ascii="Times New Roman" w:hAnsi="Times New Roman" w:eastAsia="宋体" w:cs="Times New Roman"/>
                <w:b/>
                <w:bCs/>
                <w:color w:val="auto"/>
                <w:sz w:val="18"/>
                <w:szCs w:val="18"/>
                <w:highlight w:val="none"/>
                <w:lang w:val="en-US" w:eastAsia="zh-CN"/>
              </w:rPr>
            </w:pPr>
          </w:p>
        </w:tc>
        <w:tc>
          <w:tcPr>
            <w:tcW w:w="315" w:type="pct"/>
            <w:vMerge w:val="continue"/>
            <w:noWrap/>
            <w:vAlign w:val="center"/>
          </w:tcPr>
          <w:p w14:paraId="755E5DCE">
            <w:pPr>
              <w:adjustRightInd w:val="0"/>
              <w:snapToGrid w:val="0"/>
              <w:jc w:val="center"/>
              <w:rPr>
                <w:rFonts w:hint="default" w:ascii="Times New Roman" w:hAnsi="Times New Roman" w:eastAsia="宋体" w:cs="Times New Roman"/>
                <w:b/>
                <w:bCs/>
                <w:color w:val="auto"/>
                <w:sz w:val="18"/>
                <w:szCs w:val="18"/>
                <w:highlight w:val="none"/>
                <w:lang w:val="en-US" w:eastAsia="zh-CN"/>
              </w:rPr>
            </w:pPr>
          </w:p>
        </w:tc>
        <w:tc>
          <w:tcPr>
            <w:tcW w:w="761" w:type="pct"/>
            <w:gridSpan w:val="3"/>
            <w:noWrap/>
            <w:vAlign w:val="center"/>
          </w:tcPr>
          <w:p w14:paraId="5DF72F36">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柱状点</w:t>
            </w:r>
          </w:p>
        </w:tc>
        <w:tc>
          <w:tcPr>
            <w:tcW w:w="818" w:type="pct"/>
            <w:gridSpan w:val="3"/>
            <w:noWrap/>
            <w:vAlign w:val="center"/>
          </w:tcPr>
          <w:p w14:paraId="43DCA9BA">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柱状点</w:t>
            </w:r>
          </w:p>
        </w:tc>
        <w:tc>
          <w:tcPr>
            <w:tcW w:w="1025" w:type="pct"/>
            <w:gridSpan w:val="3"/>
            <w:noWrap/>
            <w:vAlign w:val="center"/>
          </w:tcPr>
          <w:p w14:paraId="5C46F37D">
            <w:pPr>
              <w:adjustRightInd w:val="0"/>
              <w:snapToGrid w:val="0"/>
              <w:jc w:val="center"/>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柱状点</w:t>
            </w:r>
          </w:p>
        </w:tc>
        <w:tc>
          <w:tcPr>
            <w:tcW w:w="273" w:type="pct"/>
            <w:noWrap/>
            <w:vAlign w:val="center"/>
          </w:tcPr>
          <w:p w14:paraId="4307DFF7">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表层点</w:t>
            </w:r>
          </w:p>
        </w:tc>
        <w:tc>
          <w:tcPr>
            <w:tcW w:w="688" w:type="pct"/>
            <w:gridSpan w:val="2"/>
            <w:noWrap/>
            <w:vAlign w:val="center"/>
          </w:tcPr>
          <w:p w14:paraId="5E8CE1B2">
            <w:pPr>
              <w:adjustRightInd w:val="0"/>
              <w:snapToGrid w:val="0"/>
              <w:jc w:val="center"/>
              <w:rPr>
                <w:rFonts w:hint="eastAsia"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表层点</w:t>
            </w:r>
          </w:p>
        </w:tc>
        <w:tc>
          <w:tcPr>
            <w:tcW w:w="338" w:type="pct"/>
            <w:vMerge w:val="continue"/>
            <w:noWrap/>
            <w:vAlign w:val="center"/>
          </w:tcPr>
          <w:p w14:paraId="2190641A">
            <w:pPr>
              <w:adjustRightInd w:val="0"/>
              <w:snapToGrid w:val="0"/>
              <w:jc w:val="center"/>
              <w:rPr>
                <w:rFonts w:hint="eastAsia" w:ascii="Times New Roman" w:hAnsi="Times New Roman" w:eastAsia="宋体" w:cs="Times New Roman"/>
                <w:b/>
                <w:bCs/>
                <w:color w:val="auto"/>
                <w:sz w:val="18"/>
                <w:szCs w:val="18"/>
                <w:highlight w:val="none"/>
                <w:lang w:val="en-US" w:eastAsia="zh-CN"/>
              </w:rPr>
            </w:pPr>
          </w:p>
        </w:tc>
      </w:tr>
      <w:tr w14:paraId="1348C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75" w:hRule="atLeast"/>
          <w:jc w:val="center"/>
        </w:trPr>
        <w:tc>
          <w:tcPr>
            <w:tcW w:w="218" w:type="pct"/>
            <w:vMerge w:val="continue"/>
            <w:noWrap/>
            <w:vAlign w:val="center"/>
          </w:tcPr>
          <w:p w14:paraId="3DBB12D0">
            <w:pPr>
              <w:adjustRightInd w:val="0"/>
              <w:snapToGrid w:val="0"/>
              <w:jc w:val="center"/>
              <w:rPr>
                <w:rFonts w:hint="default" w:ascii="Times New Roman" w:hAnsi="Times New Roman" w:eastAsia="宋体" w:cs="Times New Roman"/>
                <w:b/>
                <w:bCs/>
                <w:color w:val="auto"/>
                <w:sz w:val="18"/>
                <w:szCs w:val="18"/>
                <w:highlight w:val="none"/>
                <w:lang w:val="en-US" w:eastAsia="zh-CN"/>
              </w:rPr>
            </w:pPr>
          </w:p>
        </w:tc>
        <w:tc>
          <w:tcPr>
            <w:tcW w:w="560" w:type="pct"/>
            <w:vMerge w:val="continue"/>
            <w:noWrap/>
            <w:vAlign w:val="center"/>
          </w:tcPr>
          <w:p w14:paraId="3D42D2DC">
            <w:pPr>
              <w:adjustRightInd w:val="0"/>
              <w:snapToGrid w:val="0"/>
              <w:jc w:val="center"/>
              <w:rPr>
                <w:rFonts w:hint="default" w:ascii="Times New Roman" w:hAnsi="Times New Roman" w:eastAsia="宋体" w:cs="Times New Roman"/>
                <w:b/>
                <w:bCs/>
                <w:color w:val="auto"/>
                <w:sz w:val="18"/>
                <w:szCs w:val="18"/>
                <w:highlight w:val="none"/>
                <w:lang w:val="en-US" w:eastAsia="zh-CN"/>
              </w:rPr>
            </w:pPr>
          </w:p>
        </w:tc>
        <w:tc>
          <w:tcPr>
            <w:tcW w:w="315" w:type="pct"/>
            <w:vMerge w:val="continue"/>
            <w:noWrap/>
            <w:vAlign w:val="center"/>
          </w:tcPr>
          <w:p w14:paraId="3E1A313E">
            <w:pPr>
              <w:adjustRightInd w:val="0"/>
              <w:snapToGrid w:val="0"/>
              <w:jc w:val="center"/>
              <w:rPr>
                <w:rFonts w:hint="default" w:ascii="Times New Roman" w:hAnsi="Times New Roman" w:eastAsia="宋体" w:cs="Times New Roman"/>
                <w:b/>
                <w:bCs/>
                <w:color w:val="auto"/>
                <w:sz w:val="18"/>
                <w:szCs w:val="18"/>
                <w:highlight w:val="none"/>
                <w:lang w:val="en-US" w:eastAsia="zh-CN"/>
              </w:rPr>
            </w:pPr>
          </w:p>
        </w:tc>
        <w:tc>
          <w:tcPr>
            <w:tcW w:w="253" w:type="pct"/>
            <w:noWrap/>
            <w:vAlign w:val="center"/>
          </w:tcPr>
          <w:p w14:paraId="4268EB5E">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default" w:ascii="Times New Roman" w:hAnsi="Times New Roman" w:eastAsia="宋体" w:cs="Times New Roman"/>
                <w:b/>
                <w:bCs/>
                <w:color w:val="auto"/>
                <w:sz w:val="18"/>
                <w:szCs w:val="18"/>
                <w:highlight w:val="none"/>
                <w:vertAlign w:val="subscript"/>
                <w:lang w:val="en-US" w:eastAsia="zh-CN"/>
              </w:rPr>
              <w:t>1-1</w:t>
            </w:r>
          </w:p>
        </w:tc>
        <w:tc>
          <w:tcPr>
            <w:tcW w:w="253" w:type="pct"/>
            <w:noWrap/>
            <w:vAlign w:val="center"/>
          </w:tcPr>
          <w:p w14:paraId="2033CA0F">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default" w:ascii="Times New Roman" w:hAnsi="Times New Roman" w:eastAsia="宋体" w:cs="Times New Roman"/>
                <w:b/>
                <w:bCs/>
                <w:color w:val="auto"/>
                <w:sz w:val="18"/>
                <w:szCs w:val="18"/>
                <w:highlight w:val="none"/>
                <w:vertAlign w:val="subscript"/>
                <w:lang w:val="en-US" w:eastAsia="zh-CN"/>
              </w:rPr>
              <w:t>1-2</w:t>
            </w:r>
          </w:p>
        </w:tc>
        <w:tc>
          <w:tcPr>
            <w:tcW w:w="253" w:type="pct"/>
            <w:noWrap/>
            <w:vAlign w:val="center"/>
          </w:tcPr>
          <w:p w14:paraId="68CEA9BC">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default" w:ascii="Times New Roman" w:hAnsi="Times New Roman" w:eastAsia="宋体" w:cs="Times New Roman"/>
                <w:b/>
                <w:bCs/>
                <w:color w:val="auto"/>
                <w:sz w:val="18"/>
                <w:szCs w:val="18"/>
                <w:highlight w:val="none"/>
                <w:vertAlign w:val="subscript"/>
                <w:lang w:val="en-US" w:eastAsia="zh-CN"/>
              </w:rPr>
              <w:t>1-3</w:t>
            </w:r>
          </w:p>
        </w:tc>
        <w:tc>
          <w:tcPr>
            <w:tcW w:w="253" w:type="pct"/>
            <w:noWrap/>
            <w:vAlign w:val="center"/>
          </w:tcPr>
          <w:p w14:paraId="4627ED44">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eastAsia" w:ascii="Times New Roman" w:hAnsi="Times New Roman" w:eastAsia="宋体" w:cs="Times New Roman"/>
                <w:b/>
                <w:bCs/>
                <w:color w:val="auto"/>
                <w:sz w:val="18"/>
                <w:szCs w:val="18"/>
                <w:highlight w:val="none"/>
                <w:vertAlign w:val="subscript"/>
                <w:lang w:val="en-US" w:eastAsia="zh-CN"/>
              </w:rPr>
              <w:t>2</w:t>
            </w:r>
            <w:r>
              <w:rPr>
                <w:rFonts w:hint="default" w:ascii="Times New Roman" w:hAnsi="Times New Roman" w:eastAsia="宋体" w:cs="Times New Roman"/>
                <w:b/>
                <w:bCs/>
                <w:color w:val="auto"/>
                <w:sz w:val="18"/>
                <w:szCs w:val="18"/>
                <w:highlight w:val="none"/>
                <w:vertAlign w:val="subscript"/>
                <w:lang w:val="en-US" w:eastAsia="zh-CN"/>
              </w:rPr>
              <w:t>-1</w:t>
            </w:r>
          </w:p>
        </w:tc>
        <w:tc>
          <w:tcPr>
            <w:tcW w:w="298" w:type="pct"/>
            <w:noWrap/>
            <w:vAlign w:val="center"/>
          </w:tcPr>
          <w:p w14:paraId="0814E315">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eastAsia" w:ascii="Times New Roman" w:hAnsi="Times New Roman" w:eastAsia="宋体" w:cs="Times New Roman"/>
                <w:b/>
                <w:bCs/>
                <w:color w:val="auto"/>
                <w:sz w:val="18"/>
                <w:szCs w:val="18"/>
                <w:highlight w:val="none"/>
                <w:vertAlign w:val="subscript"/>
                <w:lang w:val="en-US" w:eastAsia="zh-CN"/>
              </w:rPr>
              <w:t>2</w:t>
            </w:r>
            <w:r>
              <w:rPr>
                <w:rFonts w:hint="default" w:ascii="Times New Roman" w:hAnsi="Times New Roman" w:eastAsia="宋体" w:cs="Times New Roman"/>
                <w:b/>
                <w:bCs/>
                <w:color w:val="auto"/>
                <w:sz w:val="18"/>
                <w:szCs w:val="18"/>
                <w:highlight w:val="none"/>
                <w:vertAlign w:val="subscript"/>
                <w:lang w:val="en-US" w:eastAsia="zh-CN"/>
              </w:rPr>
              <w:t>-2</w:t>
            </w:r>
          </w:p>
        </w:tc>
        <w:tc>
          <w:tcPr>
            <w:tcW w:w="265" w:type="pct"/>
            <w:noWrap/>
            <w:vAlign w:val="center"/>
          </w:tcPr>
          <w:p w14:paraId="4C71ED54">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eastAsia" w:ascii="Times New Roman" w:hAnsi="Times New Roman" w:eastAsia="宋体" w:cs="Times New Roman"/>
                <w:b/>
                <w:bCs/>
                <w:color w:val="auto"/>
                <w:sz w:val="18"/>
                <w:szCs w:val="18"/>
                <w:highlight w:val="none"/>
                <w:vertAlign w:val="subscript"/>
                <w:lang w:val="en-US" w:eastAsia="zh-CN"/>
              </w:rPr>
              <w:t>2</w:t>
            </w:r>
            <w:r>
              <w:rPr>
                <w:rFonts w:hint="default" w:ascii="Times New Roman" w:hAnsi="Times New Roman" w:eastAsia="宋体" w:cs="Times New Roman"/>
                <w:b/>
                <w:bCs/>
                <w:color w:val="auto"/>
                <w:sz w:val="18"/>
                <w:szCs w:val="18"/>
                <w:highlight w:val="none"/>
                <w:vertAlign w:val="subscript"/>
                <w:lang w:val="en-US" w:eastAsia="zh-CN"/>
              </w:rPr>
              <w:t>-3</w:t>
            </w:r>
          </w:p>
        </w:tc>
        <w:tc>
          <w:tcPr>
            <w:tcW w:w="326" w:type="pct"/>
            <w:noWrap/>
            <w:vAlign w:val="center"/>
          </w:tcPr>
          <w:p w14:paraId="3DC1122A">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eastAsia" w:ascii="Times New Roman" w:hAnsi="Times New Roman" w:eastAsia="宋体" w:cs="Times New Roman"/>
                <w:b/>
                <w:bCs/>
                <w:color w:val="auto"/>
                <w:sz w:val="18"/>
                <w:szCs w:val="18"/>
                <w:highlight w:val="none"/>
                <w:vertAlign w:val="subscript"/>
                <w:lang w:val="en-US" w:eastAsia="zh-CN"/>
              </w:rPr>
              <w:t>3</w:t>
            </w:r>
            <w:r>
              <w:rPr>
                <w:rFonts w:hint="default" w:ascii="Times New Roman" w:hAnsi="Times New Roman" w:eastAsia="宋体" w:cs="Times New Roman"/>
                <w:b/>
                <w:bCs/>
                <w:color w:val="auto"/>
                <w:sz w:val="18"/>
                <w:szCs w:val="18"/>
                <w:highlight w:val="none"/>
                <w:vertAlign w:val="subscript"/>
                <w:lang w:val="en-US" w:eastAsia="zh-CN"/>
              </w:rPr>
              <w:t>-1</w:t>
            </w:r>
          </w:p>
        </w:tc>
        <w:tc>
          <w:tcPr>
            <w:tcW w:w="348" w:type="pct"/>
            <w:noWrap/>
            <w:vAlign w:val="center"/>
          </w:tcPr>
          <w:p w14:paraId="76BFC882">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eastAsia" w:ascii="Times New Roman" w:hAnsi="Times New Roman" w:eastAsia="宋体" w:cs="Times New Roman"/>
                <w:b/>
                <w:bCs/>
                <w:color w:val="auto"/>
                <w:sz w:val="18"/>
                <w:szCs w:val="18"/>
                <w:highlight w:val="none"/>
                <w:vertAlign w:val="subscript"/>
                <w:lang w:val="en-US" w:eastAsia="zh-CN"/>
              </w:rPr>
              <w:t>3</w:t>
            </w:r>
            <w:r>
              <w:rPr>
                <w:rFonts w:hint="default" w:ascii="Times New Roman" w:hAnsi="Times New Roman" w:eastAsia="宋体" w:cs="Times New Roman"/>
                <w:b/>
                <w:bCs/>
                <w:color w:val="auto"/>
                <w:sz w:val="18"/>
                <w:szCs w:val="18"/>
                <w:highlight w:val="none"/>
                <w:vertAlign w:val="subscript"/>
                <w:lang w:val="en-US" w:eastAsia="zh-CN"/>
              </w:rPr>
              <w:t>-2</w:t>
            </w:r>
          </w:p>
        </w:tc>
        <w:tc>
          <w:tcPr>
            <w:tcW w:w="350" w:type="pct"/>
            <w:noWrap/>
            <w:vAlign w:val="center"/>
          </w:tcPr>
          <w:p w14:paraId="34D5783B">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eastAsia" w:ascii="Times New Roman" w:hAnsi="Times New Roman" w:eastAsia="宋体" w:cs="Times New Roman"/>
                <w:b/>
                <w:bCs/>
                <w:color w:val="auto"/>
                <w:sz w:val="18"/>
                <w:szCs w:val="18"/>
                <w:highlight w:val="none"/>
                <w:vertAlign w:val="subscript"/>
                <w:lang w:val="en-US" w:eastAsia="zh-CN"/>
              </w:rPr>
              <w:t>3</w:t>
            </w:r>
            <w:r>
              <w:rPr>
                <w:rFonts w:hint="default" w:ascii="Times New Roman" w:hAnsi="Times New Roman" w:eastAsia="宋体" w:cs="Times New Roman"/>
                <w:b/>
                <w:bCs/>
                <w:color w:val="auto"/>
                <w:sz w:val="18"/>
                <w:szCs w:val="18"/>
                <w:highlight w:val="none"/>
                <w:vertAlign w:val="subscript"/>
                <w:lang w:val="en-US" w:eastAsia="zh-CN"/>
              </w:rPr>
              <w:t>-3</w:t>
            </w:r>
          </w:p>
        </w:tc>
        <w:tc>
          <w:tcPr>
            <w:tcW w:w="273" w:type="pct"/>
            <w:noWrap/>
            <w:vAlign w:val="center"/>
          </w:tcPr>
          <w:p w14:paraId="2259BD81">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eastAsia" w:ascii="Times New Roman" w:hAnsi="Times New Roman" w:eastAsia="宋体" w:cs="Times New Roman"/>
                <w:b/>
                <w:bCs/>
                <w:color w:val="auto"/>
                <w:sz w:val="18"/>
                <w:szCs w:val="18"/>
                <w:highlight w:val="none"/>
                <w:vertAlign w:val="subscript"/>
                <w:lang w:val="en-US" w:eastAsia="zh-CN"/>
              </w:rPr>
              <w:t>4</w:t>
            </w:r>
          </w:p>
        </w:tc>
        <w:tc>
          <w:tcPr>
            <w:tcW w:w="328" w:type="pct"/>
            <w:noWrap/>
            <w:vAlign w:val="center"/>
          </w:tcPr>
          <w:p w14:paraId="1CAF401C">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default" w:ascii="Times New Roman" w:hAnsi="Times New Roman" w:eastAsia="宋体" w:cs="Times New Roman"/>
                <w:b/>
                <w:bCs/>
                <w:color w:val="auto"/>
                <w:sz w:val="18"/>
                <w:szCs w:val="18"/>
                <w:highlight w:val="none"/>
                <w:vertAlign w:val="subscript"/>
                <w:lang w:val="en-US" w:eastAsia="zh-CN"/>
              </w:rPr>
              <w:t>5</w:t>
            </w:r>
          </w:p>
        </w:tc>
        <w:tc>
          <w:tcPr>
            <w:tcW w:w="359" w:type="pct"/>
            <w:noWrap/>
            <w:vAlign w:val="center"/>
          </w:tcPr>
          <w:p w14:paraId="17CE2B5B">
            <w:pPr>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T</w:t>
            </w:r>
            <w:r>
              <w:rPr>
                <w:rFonts w:hint="default" w:ascii="Times New Roman" w:hAnsi="Times New Roman" w:eastAsia="宋体" w:cs="Times New Roman"/>
                <w:b/>
                <w:bCs/>
                <w:color w:val="auto"/>
                <w:sz w:val="18"/>
                <w:szCs w:val="18"/>
                <w:highlight w:val="none"/>
                <w:vertAlign w:val="subscript"/>
                <w:lang w:val="en-US" w:eastAsia="zh-CN"/>
              </w:rPr>
              <w:t>6</w:t>
            </w:r>
          </w:p>
        </w:tc>
        <w:tc>
          <w:tcPr>
            <w:tcW w:w="338" w:type="pct"/>
            <w:vMerge w:val="continue"/>
            <w:noWrap/>
            <w:vAlign w:val="center"/>
          </w:tcPr>
          <w:p w14:paraId="75F2C765">
            <w:pPr>
              <w:adjustRightInd w:val="0"/>
              <w:snapToGrid w:val="0"/>
              <w:jc w:val="center"/>
              <w:rPr>
                <w:rFonts w:hint="eastAsia" w:ascii="Times New Roman" w:hAnsi="Times New Roman" w:eastAsia="宋体" w:cs="Times New Roman"/>
                <w:color w:val="auto"/>
                <w:sz w:val="18"/>
                <w:szCs w:val="18"/>
                <w:highlight w:val="none"/>
                <w:lang w:val="en-US" w:eastAsia="zh-CN"/>
              </w:rPr>
            </w:pPr>
          </w:p>
        </w:tc>
      </w:tr>
      <w:tr w14:paraId="78CEE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1D24BC2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p>
        </w:tc>
        <w:tc>
          <w:tcPr>
            <w:tcW w:w="560" w:type="pct"/>
            <w:noWrap/>
            <w:vAlign w:val="center"/>
          </w:tcPr>
          <w:p w14:paraId="1955249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总汞</w:t>
            </w:r>
          </w:p>
        </w:tc>
        <w:tc>
          <w:tcPr>
            <w:tcW w:w="315" w:type="pct"/>
            <w:noWrap/>
            <w:vAlign w:val="center"/>
          </w:tcPr>
          <w:p w14:paraId="346B0B3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12C2A89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33</w:t>
            </w:r>
          </w:p>
        </w:tc>
        <w:tc>
          <w:tcPr>
            <w:tcW w:w="253" w:type="pct"/>
            <w:noWrap/>
            <w:vAlign w:val="center"/>
          </w:tcPr>
          <w:p w14:paraId="4F2EAAF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34</w:t>
            </w:r>
          </w:p>
        </w:tc>
        <w:tc>
          <w:tcPr>
            <w:tcW w:w="253" w:type="pct"/>
            <w:noWrap/>
            <w:vAlign w:val="center"/>
          </w:tcPr>
          <w:p w14:paraId="7E12ED0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4</w:t>
            </w:r>
            <w:r>
              <w:rPr>
                <w:rFonts w:hint="default" w:ascii="Times New Roman" w:hAnsi="Times New Roman" w:eastAsia="宋体" w:cs="Times New Roman"/>
                <w:color w:val="auto"/>
                <w:sz w:val="18"/>
                <w:szCs w:val="18"/>
                <w:highlight w:val="none"/>
                <w:lang w:val="en-US" w:eastAsia="zh-CN"/>
              </w:rPr>
              <w:t>0</w:t>
            </w:r>
          </w:p>
        </w:tc>
        <w:tc>
          <w:tcPr>
            <w:tcW w:w="253" w:type="pct"/>
            <w:noWrap/>
            <w:vAlign w:val="center"/>
          </w:tcPr>
          <w:p w14:paraId="1914B6D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r>
              <w:rPr>
                <w:rFonts w:hint="eastAsia" w:ascii="Times New Roman" w:hAnsi="Times New Roman" w:eastAsia="宋体" w:cs="Times New Roman"/>
                <w:color w:val="auto"/>
                <w:sz w:val="18"/>
                <w:szCs w:val="18"/>
                <w:highlight w:val="none"/>
                <w:lang w:val="en-US" w:eastAsia="zh-CN"/>
              </w:rPr>
              <w:t>034</w:t>
            </w:r>
          </w:p>
        </w:tc>
        <w:tc>
          <w:tcPr>
            <w:tcW w:w="298" w:type="pct"/>
            <w:noWrap/>
            <w:vAlign w:val="center"/>
          </w:tcPr>
          <w:p w14:paraId="744B888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40</w:t>
            </w:r>
          </w:p>
        </w:tc>
        <w:tc>
          <w:tcPr>
            <w:tcW w:w="265" w:type="pct"/>
            <w:noWrap/>
            <w:vAlign w:val="center"/>
          </w:tcPr>
          <w:p w14:paraId="3890119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28</w:t>
            </w:r>
          </w:p>
        </w:tc>
        <w:tc>
          <w:tcPr>
            <w:tcW w:w="326" w:type="pct"/>
            <w:noWrap/>
            <w:vAlign w:val="center"/>
          </w:tcPr>
          <w:p w14:paraId="17D0497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r>
              <w:rPr>
                <w:rFonts w:hint="eastAsia" w:ascii="Times New Roman" w:hAnsi="Times New Roman" w:eastAsia="宋体" w:cs="Times New Roman"/>
                <w:color w:val="auto"/>
                <w:sz w:val="18"/>
                <w:szCs w:val="18"/>
                <w:highlight w:val="none"/>
                <w:lang w:val="en-US" w:eastAsia="zh-CN"/>
              </w:rPr>
              <w:t>479</w:t>
            </w:r>
          </w:p>
        </w:tc>
        <w:tc>
          <w:tcPr>
            <w:tcW w:w="348" w:type="pct"/>
            <w:noWrap/>
            <w:vAlign w:val="center"/>
          </w:tcPr>
          <w:p w14:paraId="5459FCB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35</w:t>
            </w:r>
          </w:p>
        </w:tc>
        <w:tc>
          <w:tcPr>
            <w:tcW w:w="350" w:type="pct"/>
            <w:noWrap/>
            <w:vAlign w:val="center"/>
          </w:tcPr>
          <w:p w14:paraId="0C6713F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37</w:t>
            </w:r>
          </w:p>
        </w:tc>
        <w:tc>
          <w:tcPr>
            <w:tcW w:w="273" w:type="pct"/>
            <w:noWrap/>
            <w:vAlign w:val="center"/>
          </w:tcPr>
          <w:p w14:paraId="2DAEC03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0.050</w:t>
            </w:r>
          </w:p>
        </w:tc>
        <w:tc>
          <w:tcPr>
            <w:tcW w:w="328" w:type="pct"/>
            <w:noWrap/>
            <w:vAlign w:val="center"/>
          </w:tcPr>
          <w:p w14:paraId="66F4960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32</w:t>
            </w:r>
          </w:p>
        </w:tc>
        <w:tc>
          <w:tcPr>
            <w:tcW w:w="359" w:type="pct"/>
            <w:noWrap/>
            <w:vAlign w:val="center"/>
          </w:tcPr>
          <w:p w14:paraId="6A358BF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ascii="Times New Roman" w:hAnsi="Times New Roman" w:eastAsia="宋体" w:cs="Times New Roman"/>
                <w:color w:val="auto"/>
                <w:sz w:val="18"/>
                <w:szCs w:val="18"/>
                <w:highlight w:val="none"/>
                <w:lang w:val="en-US" w:eastAsia="zh-CN"/>
              </w:rPr>
              <w:t>97</w:t>
            </w:r>
          </w:p>
        </w:tc>
        <w:tc>
          <w:tcPr>
            <w:tcW w:w="338" w:type="pct"/>
            <w:noWrap/>
            <w:vAlign w:val="center"/>
          </w:tcPr>
          <w:p w14:paraId="0F834AB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38</w:t>
            </w:r>
          </w:p>
        </w:tc>
      </w:tr>
      <w:tr w14:paraId="72508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4F432D4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p>
        </w:tc>
        <w:tc>
          <w:tcPr>
            <w:tcW w:w="560" w:type="pct"/>
            <w:noWrap/>
            <w:vAlign w:val="center"/>
          </w:tcPr>
          <w:p w14:paraId="1C93ECC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总砷</w:t>
            </w:r>
          </w:p>
        </w:tc>
        <w:tc>
          <w:tcPr>
            <w:tcW w:w="315" w:type="pct"/>
            <w:noWrap/>
            <w:vAlign w:val="center"/>
          </w:tcPr>
          <w:p w14:paraId="3C730BC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59A369E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r>
              <w:rPr>
                <w:rFonts w:hint="eastAsia" w:ascii="Times New Roman" w:hAnsi="Times New Roman" w:eastAsia="宋体" w:cs="Times New Roman"/>
                <w:color w:val="auto"/>
                <w:sz w:val="18"/>
                <w:szCs w:val="18"/>
                <w:highlight w:val="none"/>
                <w:lang w:val="en-US" w:eastAsia="zh-CN"/>
              </w:rPr>
              <w:t>2</w:t>
            </w:r>
          </w:p>
        </w:tc>
        <w:tc>
          <w:tcPr>
            <w:tcW w:w="253" w:type="pct"/>
            <w:noWrap/>
            <w:vAlign w:val="center"/>
          </w:tcPr>
          <w:p w14:paraId="6EA8311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r>
              <w:rPr>
                <w:rFonts w:hint="eastAsia" w:ascii="Times New Roman" w:hAnsi="Times New Roman" w:eastAsia="宋体" w:cs="Times New Roman"/>
                <w:color w:val="auto"/>
                <w:sz w:val="18"/>
                <w:szCs w:val="18"/>
                <w:highlight w:val="none"/>
                <w:lang w:val="en-US" w:eastAsia="zh-CN"/>
              </w:rPr>
              <w:t>1</w:t>
            </w:r>
          </w:p>
        </w:tc>
        <w:tc>
          <w:tcPr>
            <w:tcW w:w="253" w:type="pct"/>
            <w:noWrap/>
            <w:vAlign w:val="center"/>
          </w:tcPr>
          <w:p w14:paraId="54837F2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r>
              <w:rPr>
                <w:rFonts w:hint="eastAsia" w:ascii="Times New Roman" w:hAnsi="Times New Roman" w:eastAsia="宋体" w:cs="Times New Roman"/>
                <w:color w:val="auto"/>
                <w:sz w:val="18"/>
                <w:szCs w:val="18"/>
                <w:highlight w:val="none"/>
                <w:lang w:val="en-US" w:eastAsia="zh-CN"/>
              </w:rPr>
              <w:t>2.1</w:t>
            </w:r>
          </w:p>
        </w:tc>
        <w:tc>
          <w:tcPr>
            <w:tcW w:w="253" w:type="pct"/>
            <w:noWrap/>
            <w:vAlign w:val="center"/>
          </w:tcPr>
          <w:p w14:paraId="0A82390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9.57</w:t>
            </w:r>
          </w:p>
        </w:tc>
        <w:tc>
          <w:tcPr>
            <w:tcW w:w="298" w:type="pct"/>
            <w:noWrap/>
            <w:vAlign w:val="center"/>
          </w:tcPr>
          <w:p w14:paraId="5DDFB17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13.4</w:t>
            </w:r>
          </w:p>
        </w:tc>
        <w:tc>
          <w:tcPr>
            <w:tcW w:w="265" w:type="pct"/>
            <w:noWrap/>
            <w:vAlign w:val="center"/>
          </w:tcPr>
          <w:p w14:paraId="2819FC5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10.</w:t>
            </w:r>
            <w:r>
              <w:rPr>
                <w:rFonts w:hint="eastAsia" w:ascii="Times New Roman" w:hAnsi="Times New Roman" w:eastAsia="宋体" w:cs="Times New Roman"/>
                <w:color w:val="auto"/>
                <w:sz w:val="18"/>
                <w:szCs w:val="18"/>
                <w:highlight w:val="none"/>
                <w:lang w:val="en-US" w:eastAsia="zh-CN"/>
              </w:rPr>
              <w:t>6</w:t>
            </w:r>
          </w:p>
        </w:tc>
        <w:tc>
          <w:tcPr>
            <w:tcW w:w="326" w:type="pct"/>
            <w:noWrap/>
            <w:vAlign w:val="center"/>
          </w:tcPr>
          <w:p w14:paraId="157A51A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9.01</w:t>
            </w:r>
          </w:p>
        </w:tc>
        <w:tc>
          <w:tcPr>
            <w:tcW w:w="348" w:type="pct"/>
            <w:noWrap/>
            <w:vAlign w:val="center"/>
          </w:tcPr>
          <w:p w14:paraId="293B8CA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9.01</w:t>
            </w:r>
          </w:p>
        </w:tc>
        <w:tc>
          <w:tcPr>
            <w:tcW w:w="350" w:type="pct"/>
            <w:noWrap/>
            <w:vAlign w:val="center"/>
          </w:tcPr>
          <w:p w14:paraId="268054B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11.</w:t>
            </w:r>
            <w:r>
              <w:rPr>
                <w:rFonts w:hint="eastAsia" w:ascii="Times New Roman" w:hAnsi="Times New Roman" w:eastAsia="宋体" w:cs="Times New Roman"/>
                <w:color w:val="auto"/>
                <w:sz w:val="18"/>
                <w:szCs w:val="18"/>
                <w:highlight w:val="none"/>
                <w:lang w:val="en-US" w:eastAsia="zh-CN"/>
              </w:rPr>
              <w:t>1</w:t>
            </w:r>
          </w:p>
        </w:tc>
        <w:tc>
          <w:tcPr>
            <w:tcW w:w="273" w:type="pct"/>
            <w:noWrap/>
            <w:vAlign w:val="center"/>
          </w:tcPr>
          <w:p w14:paraId="4E990BA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11.2</w:t>
            </w:r>
          </w:p>
        </w:tc>
        <w:tc>
          <w:tcPr>
            <w:tcW w:w="328" w:type="pct"/>
            <w:noWrap/>
            <w:vAlign w:val="center"/>
          </w:tcPr>
          <w:p w14:paraId="605A41A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10.</w:t>
            </w:r>
            <w:r>
              <w:rPr>
                <w:rFonts w:hint="eastAsia" w:ascii="Times New Roman" w:hAnsi="Times New Roman" w:eastAsia="宋体" w:cs="Times New Roman"/>
                <w:color w:val="auto"/>
                <w:sz w:val="18"/>
                <w:szCs w:val="18"/>
                <w:highlight w:val="none"/>
                <w:lang w:val="en-US" w:eastAsia="zh-CN"/>
              </w:rPr>
              <w:t>9</w:t>
            </w:r>
          </w:p>
        </w:tc>
        <w:tc>
          <w:tcPr>
            <w:tcW w:w="359" w:type="pct"/>
            <w:noWrap/>
            <w:vAlign w:val="center"/>
          </w:tcPr>
          <w:p w14:paraId="086A88D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8.06</w:t>
            </w:r>
          </w:p>
        </w:tc>
        <w:tc>
          <w:tcPr>
            <w:tcW w:w="338" w:type="pct"/>
            <w:noWrap/>
            <w:vAlign w:val="center"/>
          </w:tcPr>
          <w:p w14:paraId="6EE9F1C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60</w:t>
            </w:r>
          </w:p>
        </w:tc>
      </w:tr>
      <w:tr w14:paraId="33768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5ADE7BE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w:t>
            </w:r>
          </w:p>
        </w:tc>
        <w:tc>
          <w:tcPr>
            <w:tcW w:w="560" w:type="pct"/>
            <w:noWrap/>
            <w:vAlign w:val="center"/>
          </w:tcPr>
          <w:p w14:paraId="1559927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总铜</w:t>
            </w:r>
          </w:p>
        </w:tc>
        <w:tc>
          <w:tcPr>
            <w:tcW w:w="315" w:type="pct"/>
            <w:noWrap/>
            <w:vAlign w:val="center"/>
          </w:tcPr>
          <w:p w14:paraId="1ED7852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60CBE9F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ascii="Times New Roman" w:hAnsi="Times New Roman" w:eastAsia="宋体" w:cs="Times New Roman"/>
                <w:color w:val="auto"/>
                <w:sz w:val="18"/>
                <w:szCs w:val="18"/>
                <w:highlight w:val="none"/>
                <w:lang w:val="en-US" w:eastAsia="zh-CN"/>
              </w:rPr>
              <w:t>4</w:t>
            </w:r>
          </w:p>
        </w:tc>
        <w:tc>
          <w:tcPr>
            <w:tcW w:w="253" w:type="pct"/>
            <w:noWrap/>
            <w:vAlign w:val="center"/>
          </w:tcPr>
          <w:p w14:paraId="7B7D7CC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ascii="Times New Roman" w:hAnsi="Times New Roman" w:eastAsia="宋体" w:cs="Times New Roman"/>
                <w:color w:val="auto"/>
                <w:sz w:val="18"/>
                <w:szCs w:val="18"/>
                <w:highlight w:val="none"/>
                <w:lang w:val="en-US" w:eastAsia="zh-CN"/>
              </w:rPr>
              <w:t>1</w:t>
            </w:r>
          </w:p>
        </w:tc>
        <w:tc>
          <w:tcPr>
            <w:tcW w:w="253" w:type="pct"/>
            <w:noWrap/>
            <w:vAlign w:val="center"/>
          </w:tcPr>
          <w:p w14:paraId="5115DC7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ascii="Times New Roman" w:hAnsi="Times New Roman" w:eastAsia="宋体" w:cs="Times New Roman"/>
                <w:color w:val="auto"/>
                <w:sz w:val="18"/>
                <w:szCs w:val="18"/>
                <w:highlight w:val="none"/>
                <w:lang w:val="en-US" w:eastAsia="zh-CN"/>
              </w:rPr>
              <w:t>4</w:t>
            </w:r>
          </w:p>
        </w:tc>
        <w:tc>
          <w:tcPr>
            <w:tcW w:w="253" w:type="pct"/>
            <w:noWrap/>
            <w:vAlign w:val="center"/>
          </w:tcPr>
          <w:p w14:paraId="42908D1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ascii="Times New Roman" w:hAnsi="Times New Roman" w:eastAsia="宋体" w:cs="Times New Roman"/>
                <w:color w:val="auto"/>
                <w:sz w:val="18"/>
                <w:szCs w:val="18"/>
                <w:highlight w:val="none"/>
                <w:lang w:val="en-US" w:eastAsia="zh-CN"/>
              </w:rPr>
              <w:t>2</w:t>
            </w:r>
          </w:p>
        </w:tc>
        <w:tc>
          <w:tcPr>
            <w:tcW w:w="298" w:type="pct"/>
            <w:noWrap/>
            <w:vAlign w:val="center"/>
          </w:tcPr>
          <w:p w14:paraId="49CBE41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23</w:t>
            </w:r>
          </w:p>
        </w:tc>
        <w:tc>
          <w:tcPr>
            <w:tcW w:w="265" w:type="pct"/>
            <w:noWrap/>
            <w:vAlign w:val="center"/>
          </w:tcPr>
          <w:p w14:paraId="0FBB7C7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24</w:t>
            </w:r>
          </w:p>
        </w:tc>
        <w:tc>
          <w:tcPr>
            <w:tcW w:w="326" w:type="pct"/>
            <w:noWrap/>
            <w:vAlign w:val="center"/>
          </w:tcPr>
          <w:p w14:paraId="274B13F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22</w:t>
            </w:r>
          </w:p>
        </w:tc>
        <w:tc>
          <w:tcPr>
            <w:tcW w:w="348" w:type="pct"/>
            <w:noWrap/>
            <w:vAlign w:val="center"/>
          </w:tcPr>
          <w:p w14:paraId="41B68A2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21</w:t>
            </w:r>
          </w:p>
        </w:tc>
        <w:tc>
          <w:tcPr>
            <w:tcW w:w="350" w:type="pct"/>
            <w:noWrap/>
            <w:vAlign w:val="center"/>
          </w:tcPr>
          <w:p w14:paraId="71B7301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24</w:t>
            </w:r>
          </w:p>
        </w:tc>
        <w:tc>
          <w:tcPr>
            <w:tcW w:w="273" w:type="pct"/>
            <w:noWrap/>
            <w:vAlign w:val="center"/>
          </w:tcPr>
          <w:p w14:paraId="33F3168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22</w:t>
            </w:r>
          </w:p>
        </w:tc>
        <w:tc>
          <w:tcPr>
            <w:tcW w:w="328" w:type="pct"/>
            <w:noWrap/>
            <w:vAlign w:val="center"/>
          </w:tcPr>
          <w:p w14:paraId="773BCDC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20</w:t>
            </w:r>
          </w:p>
        </w:tc>
        <w:tc>
          <w:tcPr>
            <w:tcW w:w="359" w:type="pct"/>
            <w:noWrap/>
            <w:vAlign w:val="center"/>
          </w:tcPr>
          <w:p w14:paraId="5EDB5B0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21</w:t>
            </w:r>
          </w:p>
        </w:tc>
        <w:tc>
          <w:tcPr>
            <w:tcW w:w="338" w:type="pct"/>
            <w:noWrap/>
            <w:vAlign w:val="center"/>
          </w:tcPr>
          <w:p w14:paraId="5F7F0AD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18000</w:t>
            </w:r>
          </w:p>
        </w:tc>
      </w:tr>
      <w:tr w14:paraId="574CC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7AD6EE3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4</w:t>
            </w:r>
          </w:p>
        </w:tc>
        <w:tc>
          <w:tcPr>
            <w:tcW w:w="560" w:type="pct"/>
            <w:noWrap/>
            <w:vAlign w:val="center"/>
          </w:tcPr>
          <w:p w14:paraId="09F3D37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总铅</w:t>
            </w:r>
          </w:p>
        </w:tc>
        <w:tc>
          <w:tcPr>
            <w:tcW w:w="315" w:type="pct"/>
            <w:noWrap/>
            <w:vAlign w:val="center"/>
          </w:tcPr>
          <w:p w14:paraId="2E0F326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688BC80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ascii="Times New Roman" w:hAnsi="Times New Roman" w:eastAsia="宋体" w:cs="Times New Roman"/>
                <w:color w:val="auto"/>
                <w:sz w:val="18"/>
                <w:szCs w:val="18"/>
                <w:highlight w:val="none"/>
                <w:lang w:val="en-US" w:eastAsia="zh-CN"/>
              </w:rPr>
              <w:t>9</w:t>
            </w:r>
          </w:p>
        </w:tc>
        <w:tc>
          <w:tcPr>
            <w:tcW w:w="253" w:type="pct"/>
            <w:noWrap/>
            <w:vAlign w:val="center"/>
          </w:tcPr>
          <w:p w14:paraId="7EBFF71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31</w:t>
            </w:r>
          </w:p>
        </w:tc>
        <w:tc>
          <w:tcPr>
            <w:tcW w:w="253" w:type="pct"/>
            <w:noWrap/>
            <w:vAlign w:val="center"/>
          </w:tcPr>
          <w:p w14:paraId="7AA5EAB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27</w:t>
            </w:r>
          </w:p>
        </w:tc>
        <w:tc>
          <w:tcPr>
            <w:tcW w:w="253" w:type="pct"/>
            <w:noWrap/>
            <w:vAlign w:val="center"/>
          </w:tcPr>
          <w:p w14:paraId="37AC932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28</w:t>
            </w:r>
          </w:p>
        </w:tc>
        <w:tc>
          <w:tcPr>
            <w:tcW w:w="298" w:type="pct"/>
            <w:noWrap/>
            <w:vAlign w:val="center"/>
          </w:tcPr>
          <w:p w14:paraId="071A8EB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28</w:t>
            </w:r>
          </w:p>
        </w:tc>
        <w:tc>
          <w:tcPr>
            <w:tcW w:w="265" w:type="pct"/>
            <w:noWrap/>
            <w:vAlign w:val="center"/>
          </w:tcPr>
          <w:p w14:paraId="78A7885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26</w:t>
            </w:r>
          </w:p>
        </w:tc>
        <w:tc>
          <w:tcPr>
            <w:tcW w:w="326" w:type="pct"/>
            <w:noWrap/>
            <w:vAlign w:val="center"/>
          </w:tcPr>
          <w:p w14:paraId="7404228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31</w:t>
            </w:r>
          </w:p>
        </w:tc>
        <w:tc>
          <w:tcPr>
            <w:tcW w:w="348" w:type="pct"/>
            <w:noWrap/>
            <w:vAlign w:val="center"/>
          </w:tcPr>
          <w:p w14:paraId="3561414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32</w:t>
            </w:r>
          </w:p>
        </w:tc>
        <w:tc>
          <w:tcPr>
            <w:tcW w:w="350" w:type="pct"/>
            <w:noWrap/>
            <w:vAlign w:val="center"/>
          </w:tcPr>
          <w:p w14:paraId="18ABC9C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31</w:t>
            </w:r>
          </w:p>
        </w:tc>
        <w:tc>
          <w:tcPr>
            <w:tcW w:w="273" w:type="pct"/>
            <w:noWrap/>
            <w:vAlign w:val="center"/>
          </w:tcPr>
          <w:p w14:paraId="7E7FE93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34</w:t>
            </w:r>
          </w:p>
        </w:tc>
        <w:tc>
          <w:tcPr>
            <w:tcW w:w="328" w:type="pct"/>
            <w:noWrap/>
            <w:vAlign w:val="center"/>
          </w:tcPr>
          <w:p w14:paraId="1DF781F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23</w:t>
            </w:r>
          </w:p>
        </w:tc>
        <w:tc>
          <w:tcPr>
            <w:tcW w:w="359" w:type="pct"/>
            <w:noWrap/>
            <w:vAlign w:val="center"/>
          </w:tcPr>
          <w:p w14:paraId="5212E34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29</w:t>
            </w:r>
          </w:p>
        </w:tc>
        <w:tc>
          <w:tcPr>
            <w:tcW w:w="338" w:type="pct"/>
            <w:noWrap/>
            <w:vAlign w:val="center"/>
          </w:tcPr>
          <w:p w14:paraId="324E513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800</w:t>
            </w:r>
          </w:p>
        </w:tc>
      </w:tr>
      <w:tr w14:paraId="48210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0FAAB73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w:t>
            </w:r>
          </w:p>
        </w:tc>
        <w:tc>
          <w:tcPr>
            <w:tcW w:w="560" w:type="pct"/>
            <w:noWrap/>
            <w:vAlign w:val="center"/>
          </w:tcPr>
          <w:p w14:paraId="474034F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总镍</w:t>
            </w:r>
          </w:p>
        </w:tc>
        <w:tc>
          <w:tcPr>
            <w:tcW w:w="315" w:type="pct"/>
            <w:noWrap/>
            <w:vAlign w:val="center"/>
          </w:tcPr>
          <w:p w14:paraId="1BB8DE6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15E19E1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43</w:t>
            </w:r>
          </w:p>
        </w:tc>
        <w:tc>
          <w:tcPr>
            <w:tcW w:w="253" w:type="pct"/>
            <w:noWrap/>
            <w:vAlign w:val="center"/>
          </w:tcPr>
          <w:p w14:paraId="6BADA5B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w:t>
            </w:r>
            <w:r>
              <w:rPr>
                <w:rFonts w:hint="eastAsia" w:ascii="Times New Roman" w:hAnsi="Times New Roman" w:eastAsia="宋体" w:cs="Times New Roman"/>
                <w:color w:val="auto"/>
                <w:sz w:val="18"/>
                <w:szCs w:val="18"/>
                <w:highlight w:val="none"/>
                <w:lang w:val="en-US" w:eastAsia="zh-CN"/>
              </w:rPr>
              <w:t>6</w:t>
            </w:r>
          </w:p>
        </w:tc>
        <w:tc>
          <w:tcPr>
            <w:tcW w:w="253" w:type="pct"/>
            <w:noWrap/>
            <w:vAlign w:val="center"/>
          </w:tcPr>
          <w:p w14:paraId="4E7BECF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48</w:t>
            </w:r>
          </w:p>
        </w:tc>
        <w:tc>
          <w:tcPr>
            <w:tcW w:w="253" w:type="pct"/>
            <w:noWrap/>
            <w:vAlign w:val="center"/>
          </w:tcPr>
          <w:p w14:paraId="29C59CE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33</w:t>
            </w:r>
          </w:p>
        </w:tc>
        <w:tc>
          <w:tcPr>
            <w:tcW w:w="298" w:type="pct"/>
            <w:noWrap/>
            <w:vAlign w:val="center"/>
          </w:tcPr>
          <w:p w14:paraId="0A956F3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45</w:t>
            </w:r>
          </w:p>
        </w:tc>
        <w:tc>
          <w:tcPr>
            <w:tcW w:w="265" w:type="pct"/>
            <w:noWrap/>
            <w:vAlign w:val="center"/>
          </w:tcPr>
          <w:p w14:paraId="66D5E08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47</w:t>
            </w:r>
          </w:p>
        </w:tc>
        <w:tc>
          <w:tcPr>
            <w:tcW w:w="326" w:type="pct"/>
            <w:noWrap/>
            <w:vAlign w:val="center"/>
          </w:tcPr>
          <w:p w14:paraId="5B2D53A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40</w:t>
            </w:r>
          </w:p>
        </w:tc>
        <w:tc>
          <w:tcPr>
            <w:tcW w:w="348" w:type="pct"/>
            <w:noWrap/>
            <w:vAlign w:val="center"/>
          </w:tcPr>
          <w:p w14:paraId="6E80F19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40</w:t>
            </w:r>
          </w:p>
        </w:tc>
        <w:tc>
          <w:tcPr>
            <w:tcW w:w="350" w:type="pct"/>
            <w:noWrap/>
            <w:vAlign w:val="center"/>
          </w:tcPr>
          <w:p w14:paraId="4C4E610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44</w:t>
            </w:r>
          </w:p>
        </w:tc>
        <w:tc>
          <w:tcPr>
            <w:tcW w:w="273" w:type="pct"/>
            <w:noWrap/>
            <w:vAlign w:val="center"/>
          </w:tcPr>
          <w:p w14:paraId="0289FCA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40</w:t>
            </w:r>
          </w:p>
        </w:tc>
        <w:tc>
          <w:tcPr>
            <w:tcW w:w="328" w:type="pct"/>
            <w:noWrap/>
            <w:vAlign w:val="center"/>
          </w:tcPr>
          <w:p w14:paraId="370F195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w:t>
            </w:r>
            <w:r>
              <w:rPr>
                <w:rFonts w:hint="eastAsia" w:ascii="Times New Roman" w:hAnsi="Times New Roman" w:eastAsia="宋体" w:cs="Times New Roman"/>
                <w:color w:val="auto"/>
                <w:sz w:val="18"/>
                <w:szCs w:val="18"/>
                <w:highlight w:val="none"/>
                <w:lang w:val="en-US" w:eastAsia="zh-CN"/>
              </w:rPr>
              <w:t>9</w:t>
            </w:r>
          </w:p>
        </w:tc>
        <w:tc>
          <w:tcPr>
            <w:tcW w:w="359" w:type="pct"/>
            <w:noWrap/>
            <w:vAlign w:val="center"/>
          </w:tcPr>
          <w:p w14:paraId="3C18A53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44</w:t>
            </w:r>
          </w:p>
        </w:tc>
        <w:tc>
          <w:tcPr>
            <w:tcW w:w="338" w:type="pct"/>
            <w:noWrap/>
            <w:vAlign w:val="center"/>
          </w:tcPr>
          <w:p w14:paraId="2B35478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900</w:t>
            </w:r>
          </w:p>
        </w:tc>
      </w:tr>
      <w:tr w14:paraId="5375D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1A3330B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6</w:t>
            </w:r>
          </w:p>
        </w:tc>
        <w:tc>
          <w:tcPr>
            <w:tcW w:w="560" w:type="pct"/>
            <w:noWrap/>
            <w:vAlign w:val="center"/>
          </w:tcPr>
          <w:p w14:paraId="49F3C5A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总镉</w:t>
            </w:r>
          </w:p>
        </w:tc>
        <w:tc>
          <w:tcPr>
            <w:tcW w:w="315" w:type="pct"/>
            <w:noWrap/>
            <w:vAlign w:val="center"/>
          </w:tcPr>
          <w:p w14:paraId="27694A9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1572356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0.1</w:t>
            </w:r>
            <w:r>
              <w:rPr>
                <w:rFonts w:hint="eastAsia" w:ascii="Times New Roman" w:hAnsi="Times New Roman" w:eastAsia="宋体" w:cs="Times New Roman"/>
                <w:color w:val="auto"/>
                <w:sz w:val="18"/>
                <w:szCs w:val="18"/>
                <w:highlight w:val="none"/>
                <w:lang w:val="en-US" w:eastAsia="zh-CN"/>
              </w:rPr>
              <w:t>7</w:t>
            </w:r>
          </w:p>
        </w:tc>
        <w:tc>
          <w:tcPr>
            <w:tcW w:w="253" w:type="pct"/>
            <w:noWrap/>
            <w:vAlign w:val="center"/>
          </w:tcPr>
          <w:p w14:paraId="685F81F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0.1</w:t>
            </w:r>
            <w:r>
              <w:rPr>
                <w:rFonts w:hint="eastAsia" w:ascii="Times New Roman" w:hAnsi="Times New Roman" w:eastAsia="宋体" w:cs="Times New Roman"/>
                <w:color w:val="auto"/>
                <w:sz w:val="18"/>
                <w:szCs w:val="18"/>
                <w:highlight w:val="none"/>
                <w:lang w:val="en-US" w:eastAsia="zh-CN"/>
              </w:rPr>
              <w:t>8</w:t>
            </w:r>
          </w:p>
        </w:tc>
        <w:tc>
          <w:tcPr>
            <w:tcW w:w="253" w:type="pct"/>
            <w:noWrap/>
            <w:vAlign w:val="center"/>
          </w:tcPr>
          <w:p w14:paraId="7E9E520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0.1</w:t>
            </w:r>
            <w:r>
              <w:rPr>
                <w:rFonts w:hint="eastAsia" w:ascii="Times New Roman" w:hAnsi="Times New Roman" w:eastAsia="宋体" w:cs="Times New Roman"/>
                <w:color w:val="auto"/>
                <w:sz w:val="18"/>
                <w:szCs w:val="18"/>
                <w:highlight w:val="none"/>
                <w:lang w:val="en-US" w:eastAsia="zh-CN"/>
              </w:rPr>
              <w:t>9</w:t>
            </w:r>
          </w:p>
        </w:tc>
        <w:tc>
          <w:tcPr>
            <w:tcW w:w="253" w:type="pct"/>
            <w:noWrap/>
            <w:vAlign w:val="center"/>
          </w:tcPr>
          <w:p w14:paraId="7557FFA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r>
              <w:rPr>
                <w:rFonts w:hint="eastAsia" w:ascii="Times New Roman" w:hAnsi="Times New Roman" w:eastAsia="宋体" w:cs="Times New Roman"/>
                <w:color w:val="auto"/>
                <w:sz w:val="18"/>
                <w:szCs w:val="18"/>
                <w:highlight w:val="none"/>
                <w:lang w:val="en-US" w:eastAsia="zh-CN"/>
              </w:rPr>
              <w:t>21</w:t>
            </w:r>
          </w:p>
        </w:tc>
        <w:tc>
          <w:tcPr>
            <w:tcW w:w="298" w:type="pct"/>
            <w:noWrap/>
            <w:vAlign w:val="center"/>
          </w:tcPr>
          <w:p w14:paraId="46F0C7D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r>
              <w:rPr>
                <w:rFonts w:hint="eastAsia" w:ascii="Times New Roman" w:hAnsi="Times New Roman" w:eastAsia="宋体" w:cs="Times New Roman"/>
                <w:color w:val="auto"/>
                <w:sz w:val="18"/>
                <w:szCs w:val="18"/>
                <w:highlight w:val="none"/>
                <w:lang w:val="en-US" w:eastAsia="zh-CN"/>
              </w:rPr>
              <w:t>20</w:t>
            </w:r>
          </w:p>
        </w:tc>
        <w:tc>
          <w:tcPr>
            <w:tcW w:w="265" w:type="pct"/>
            <w:noWrap/>
            <w:vAlign w:val="center"/>
          </w:tcPr>
          <w:p w14:paraId="561FAD3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r>
              <w:rPr>
                <w:rFonts w:hint="eastAsia" w:ascii="Times New Roman" w:hAnsi="Times New Roman" w:eastAsia="宋体" w:cs="Times New Roman"/>
                <w:color w:val="auto"/>
                <w:sz w:val="18"/>
                <w:szCs w:val="18"/>
                <w:highlight w:val="none"/>
                <w:lang w:val="en-US" w:eastAsia="zh-CN"/>
              </w:rPr>
              <w:t>21</w:t>
            </w:r>
          </w:p>
        </w:tc>
        <w:tc>
          <w:tcPr>
            <w:tcW w:w="326" w:type="pct"/>
            <w:noWrap/>
            <w:vAlign w:val="center"/>
          </w:tcPr>
          <w:p w14:paraId="0070970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0.19</w:t>
            </w:r>
          </w:p>
        </w:tc>
        <w:tc>
          <w:tcPr>
            <w:tcW w:w="348" w:type="pct"/>
            <w:noWrap/>
            <w:vAlign w:val="center"/>
          </w:tcPr>
          <w:p w14:paraId="4C3B5DC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0.18</w:t>
            </w:r>
          </w:p>
        </w:tc>
        <w:tc>
          <w:tcPr>
            <w:tcW w:w="350" w:type="pct"/>
            <w:noWrap/>
            <w:vAlign w:val="center"/>
          </w:tcPr>
          <w:p w14:paraId="6F4C47D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0.2</w:t>
            </w:r>
            <w:r>
              <w:rPr>
                <w:rFonts w:hint="eastAsia" w:ascii="Times New Roman" w:hAnsi="Times New Roman" w:eastAsia="宋体" w:cs="Times New Roman"/>
                <w:color w:val="auto"/>
                <w:sz w:val="18"/>
                <w:szCs w:val="18"/>
                <w:highlight w:val="none"/>
                <w:lang w:val="en-US" w:eastAsia="zh-CN"/>
              </w:rPr>
              <w:t>2</w:t>
            </w:r>
          </w:p>
        </w:tc>
        <w:tc>
          <w:tcPr>
            <w:tcW w:w="273" w:type="pct"/>
            <w:noWrap/>
            <w:vAlign w:val="center"/>
          </w:tcPr>
          <w:p w14:paraId="2AB2E77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r>
              <w:rPr>
                <w:rFonts w:hint="eastAsia" w:ascii="Times New Roman" w:hAnsi="Times New Roman" w:eastAsia="宋体" w:cs="Times New Roman"/>
                <w:color w:val="auto"/>
                <w:sz w:val="18"/>
                <w:szCs w:val="18"/>
                <w:highlight w:val="none"/>
                <w:lang w:val="en-US" w:eastAsia="zh-CN"/>
              </w:rPr>
              <w:t>21</w:t>
            </w:r>
          </w:p>
        </w:tc>
        <w:tc>
          <w:tcPr>
            <w:tcW w:w="328" w:type="pct"/>
            <w:noWrap/>
            <w:vAlign w:val="center"/>
          </w:tcPr>
          <w:p w14:paraId="4B55672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0.19</w:t>
            </w:r>
          </w:p>
        </w:tc>
        <w:tc>
          <w:tcPr>
            <w:tcW w:w="359" w:type="pct"/>
            <w:noWrap/>
            <w:vAlign w:val="center"/>
          </w:tcPr>
          <w:p w14:paraId="7EB72B3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0.1</w:t>
            </w:r>
            <w:r>
              <w:rPr>
                <w:rFonts w:hint="eastAsia" w:ascii="Times New Roman" w:hAnsi="Times New Roman" w:eastAsia="宋体" w:cs="Times New Roman"/>
                <w:color w:val="auto"/>
                <w:sz w:val="18"/>
                <w:szCs w:val="18"/>
                <w:highlight w:val="none"/>
                <w:lang w:val="en-US" w:eastAsia="zh-CN"/>
              </w:rPr>
              <w:t>9</w:t>
            </w:r>
          </w:p>
        </w:tc>
        <w:tc>
          <w:tcPr>
            <w:tcW w:w="338" w:type="pct"/>
            <w:noWrap/>
            <w:vAlign w:val="center"/>
          </w:tcPr>
          <w:p w14:paraId="44BC27D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65</w:t>
            </w:r>
          </w:p>
        </w:tc>
      </w:tr>
      <w:tr w14:paraId="684C2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47CED6D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7</w:t>
            </w:r>
          </w:p>
        </w:tc>
        <w:tc>
          <w:tcPr>
            <w:tcW w:w="560" w:type="pct"/>
            <w:noWrap/>
            <w:vAlign w:val="center"/>
          </w:tcPr>
          <w:p w14:paraId="08C3455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六价铬</w:t>
            </w:r>
          </w:p>
        </w:tc>
        <w:tc>
          <w:tcPr>
            <w:tcW w:w="315" w:type="pct"/>
            <w:noWrap/>
            <w:vAlign w:val="center"/>
          </w:tcPr>
          <w:p w14:paraId="4E86690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4A91D66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ascii="Times New Roman" w:hAnsi="Times New Roman" w:eastAsia="宋体" w:cs="Times New Roman"/>
                <w:color w:val="auto"/>
                <w:sz w:val="18"/>
                <w:szCs w:val="18"/>
                <w:highlight w:val="none"/>
                <w:lang w:val="en-US" w:eastAsia="zh-CN"/>
              </w:rPr>
              <w:t>6</w:t>
            </w:r>
          </w:p>
        </w:tc>
        <w:tc>
          <w:tcPr>
            <w:tcW w:w="253" w:type="pct"/>
            <w:noWrap/>
            <w:vAlign w:val="center"/>
          </w:tcPr>
          <w:p w14:paraId="2C7B1CB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ascii="Times New Roman" w:hAnsi="Times New Roman" w:eastAsia="宋体" w:cs="Times New Roman"/>
                <w:color w:val="auto"/>
                <w:sz w:val="18"/>
                <w:szCs w:val="18"/>
                <w:highlight w:val="none"/>
                <w:lang w:val="en-US" w:eastAsia="zh-CN"/>
              </w:rPr>
              <w:t>7</w:t>
            </w:r>
          </w:p>
        </w:tc>
        <w:tc>
          <w:tcPr>
            <w:tcW w:w="253" w:type="pct"/>
            <w:noWrap/>
            <w:vAlign w:val="center"/>
          </w:tcPr>
          <w:p w14:paraId="626083A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4.6</w:t>
            </w:r>
          </w:p>
        </w:tc>
        <w:tc>
          <w:tcPr>
            <w:tcW w:w="253" w:type="pct"/>
            <w:noWrap/>
            <w:vAlign w:val="center"/>
          </w:tcPr>
          <w:p w14:paraId="39F7CBC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3.6</w:t>
            </w:r>
          </w:p>
        </w:tc>
        <w:tc>
          <w:tcPr>
            <w:tcW w:w="298" w:type="pct"/>
            <w:noWrap/>
            <w:vAlign w:val="center"/>
          </w:tcPr>
          <w:p w14:paraId="2A0A426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3.6</w:t>
            </w:r>
          </w:p>
        </w:tc>
        <w:tc>
          <w:tcPr>
            <w:tcW w:w="265" w:type="pct"/>
            <w:noWrap/>
            <w:vAlign w:val="center"/>
          </w:tcPr>
          <w:p w14:paraId="7FFFCF4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2.7</w:t>
            </w:r>
          </w:p>
        </w:tc>
        <w:tc>
          <w:tcPr>
            <w:tcW w:w="326" w:type="pct"/>
            <w:noWrap/>
            <w:vAlign w:val="center"/>
          </w:tcPr>
          <w:p w14:paraId="5425A61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3.6</w:t>
            </w:r>
          </w:p>
        </w:tc>
        <w:tc>
          <w:tcPr>
            <w:tcW w:w="348" w:type="pct"/>
            <w:noWrap/>
            <w:vAlign w:val="center"/>
          </w:tcPr>
          <w:p w14:paraId="6FBE65D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3.6</w:t>
            </w:r>
          </w:p>
        </w:tc>
        <w:tc>
          <w:tcPr>
            <w:tcW w:w="350" w:type="pct"/>
            <w:noWrap/>
            <w:vAlign w:val="center"/>
          </w:tcPr>
          <w:p w14:paraId="3C04860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r>
              <w:rPr>
                <w:rFonts w:hint="eastAsia" w:ascii="Times New Roman" w:hAnsi="Times New Roman" w:eastAsia="宋体" w:cs="Times New Roman"/>
                <w:color w:val="auto"/>
                <w:sz w:val="18"/>
                <w:szCs w:val="18"/>
                <w:highlight w:val="none"/>
                <w:lang w:val="en-US" w:eastAsia="zh-CN"/>
              </w:rPr>
              <w:t>7</w:t>
            </w:r>
          </w:p>
        </w:tc>
        <w:tc>
          <w:tcPr>
            <w:tcW w:w="273" w:type="pct"/>
            <w:noWrap/>
            <w:vAlign w:val="center"/>
          </w:tcPr>
          <w:p w14:paraId="7EF9AC4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ascii="Times New Roman" w:hAnsi="Times New Roman" w:eastAsia="宋体" w:cs="Times New Roman"/>
                <w:color w:val="auto"/>
                <w:sz w:val="18"/>
                <w:szCs w:val="18"/>
                <w:highlight w:val="none"/>
                <w:lang w:val="en-US" w:eastAsia="zh-CN"/>
              </w:rPr>
              <w:t>7</w:t>
            </w:r>
          </w:p>
        </w:tc>
        <w:tc>
          <w:tcPr>
            <w:tcW w:w="328" w:type="pct"/>
            <w:noWrap/>
            <w:vAlign w:val="center"/>
          </w:tcPr>
          <w:p w14:paraId="7621B78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r>
              <w:rPr>
                <w:rFonts w:hint="eastAsia" w:ascii="Times New Roman" w:hAnsi="Times New Roman" w:eastAsia="宋体" w:cs="Times New Roman"/>
                <w:color w:val="auto"/>
                <w:sz w:val="18"/>
                <w:szCs w:val="18"/>
                <w:highlight w:val="none"/>
                <w:lang w:val="en-US" w:eastAsia="zh-CN"/>
              </w:rPr>
              <w:t>7</w:t>
            </w:r>
          </w:p>
        </w:tc>
        <w:tc>
          <w:tcPr>
            <w:tcW w:w="359" w:type="pct"/>
            <w:noWrap/>
            <w:vAlign w:val="center"/>
          </w:tcPr>
          <w:p w14:paraId="74F3B8C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3.2</w:t>
            </w:r>
          </w:p>
        </w:tc>
        <w:tc>
          <w:tcPr>
            <w:tcW w:w="338" w:type="pct"/>
            <w:noWrap/>
            <w:vAlign w:val="center"/>
          </w:tcPr>
          <w:p w14:paraId="671E8F0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5.7</w:t>
            </w:r>
          </w:p>
        </w:tc>
      </w:tr>
      <w:tr w14:paraId="76351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640A2E7D">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8</w:t>
            </w:r>
          </w:p>
        </w:tc>
        <w:tc>
          <w:tcPr>
            <w:tcW w:w="560" w:type="pct"/>
            <w:noWrap/>
            <w:vAlign w:val="center"/>
          </w:tcPr>
          <w:p w14:paraId="566C6BB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2-氯苯酚</w:t>
            </w:r>
          </w:p>
        </w:tc>
        <w:tc>
          <w:tcPr>
            <w:tcW w:w="315" w:type="pct"/>
            <w:noWrap/>
            <w:vAlign w:val="center"/>
          </w:tcPr>
          <w:p w14:paraId="54787E2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7A9930E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46BDEBA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02D9F6D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48CD97E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ign w:val="center"/>
          </w:tcPr>
          <w:p w14:paraId="65DC5E4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ign w:val="center"/>
          </w:tcPr>
          <w:p w14:paraId="5615B17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ign w:val="center"/>
          </w:tcPr>
          <w:p w14:paraId="200F056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ign w:val="center"/>
          </w:tcPr>
          <w:p w14:paraId="01DFD84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ign w:val="center"/>
          </w:tcPr>
          <w:p w14:paraId="25B3B03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ign w:val="center"/>
          </w:tcPr>
          <w:p w14:paraId="727D45B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ign w:val="center"/>
          </w:tcPr>
          <w:p w14:paraId="4D3C087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ign w:val="center"/>
          </w:tcPr>
          <w:p w14:paraId="5D19F89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ign w:val="center"/>
          </w:tcPr>
          <w:p w14:paraId="5775AA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2256</w:t>
            </w:r>
          </w:p>
        </w:tc>
      </w:tr>
      <w:tr w14:paraId="6FF6A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0810F809">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9</w:t>
            </w:r>
          </w:p>
        </w:tc>
        <w:tc>
          <w:tcPr>
            <w:tcW w:w="560" w:type="pct"/>
            <w:noWrap/>
            <w:vAlign w:val="center"/>
          </w:tcPr>
          <w:p w14:paraId="46A9FB7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硝基苯</w:t>
            </w:r>
          </w:p>
        </w:tc>
        <w:tc>
          <w:tcPr>
            <w:tcW w:w="315" w:type="pct"/>
            <w:noWrap/>
            <w:vAlign w:val="center"/>
          </w:tcPr>
          <w:p w14:paraId="3FEDF72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28E2902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4E0AB39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2EC9E56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3B37D78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ign w:val="center"/>
          </w:tcPr>
          <w:p w14:paraId="3265238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ign w:val="center"/>
          </w:tcPr>
          <w:p w14:paraId="7B2E99C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ign w:val="center"/>
          </w:tcPr>
          <w:p w14:paraId="3F6A791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ign w:val="center"/>
          </w:tcPr>
          <w:p w14:paraId="36C6506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ign w:val="center"/>
          </w:tcPr>
          <w:p w14:paraId="30CBE54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ign w:val="center"/>
          </w:tcPr>
          <w:p w14:paraId="259D5B7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ign w:val="center"/>
          </w:tcPr>
          <w:p w14:paraId="731F8F1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ign w:val="center"/>
          </w:tcPr>
          <w:p w14:paraId="2564CC1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ign w:val="center"/>
          </w:tcPr>
          <w:p w14:paraId="6DE991B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76</w:t>
            </w:r>
          </w:p>
        </w:tc>
      </w:tr>
      <w:tr w14:paraId="5C763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4221FC10">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10</w:t>
            </w:r>
          </w:p>
        </w:tc>
        <w:tc>
          <w:tcPr>
            <w:tcW w:w="560" w:type="pct"/>
            <w:noWrap/>
            <w:vAlign w:val="center"/>
          </w:tcPr>
          <w:p w14:paraId="1A8E483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萘</w:t>
            </w:r>
          </w:p>
        </w:tc>
        <w:tc>
          <w:tcPr>
            <w:tcW w:w="315" w:type="pct"/>
            <w:noWrap/>
            <w:vAlign w:val="center"/>
          </w:tcPr>
          <w:p w14:paraId="384A174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182209E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58EC275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6113E64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50D5FAC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ign w:val="center"/>
          </w:tcPr>
          <w:p w14:paraId="2860651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ign w:val="center"/>
          </w:tcPr>
          <w:p w14:paraId="1721B6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ign w:val="center"/>
          </w:tcPr>
          <w:p w14:paraId="608D99C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ign w:val="center"/>
          </w:tcPr>
          <w:p w14:paraId="08A8D9B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ign w:val="center"/>
          </w:tcPr>
          <w:p w14:paraId="229749C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ign w:val="center"/>
          </w:tcPr>
          <w:p w14:paraId="6BEF5F5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ign w:val="center"/>
          </w:tcPr>
          <w:p w14:paraId="3866992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ign w:val="center"/>
          </w:tcPr>
          <w:p w14:paraId="5BD8AF2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ign w:val="center"/>
          </w:tcPr>
          <w:p w14:paraId="09CBBA7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70</w:t>
            </w:r>
          </w:p>
        </w:tc>
      </w:tr>
      <w:tr w14:paraId="5BF59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63348BDF">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11</w:t>
            </w:r>
          </w:p>
        </w:tc>
        <w:tc>
          <w:tcPr>
            <w:tcW w:w="560" w:type="pct"/>
            <w:noWrap/>
            <w:vAlign w:val="center"/>
          </w:tcPr>
          <w:p w14:paraId="129DAA6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苯并[a]蒽</w:t>
            </w:r>
          </w:p>
        </w:tc>
        <w:tc>
          <w:tcPr>
            <w:tcW w:w="315" w:type="pct"/>
            <w:noWrap/>
            <w:vAlign w:val="center"/>
          </w:tcPr>
          <w:p w14:paraId="72F284E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43DA709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34C2C88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3499BF4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4A625BB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ign w:val="center"/>
          </w:tcPr>
          <w:p w14:paraId="32E9FEC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ign w:val="center"/>
          </w:tcPr>
          <w:p w14:paraId="74D73BC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ign w:val="center"/>
          </w:tcPr>
          <w:p w14:paraId="6564E1A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ign w:val="center"/>
          </w:tcPr>
          <w:p w14:paraId="3829E4E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ign w:val="center"/>
          </w:tcPr>
          <w:p w14:paraId="168A2CD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ign w:val="center"/>
          </w:tcPr>
          <w:p w14:paraId="0240A85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ign w:val="center"/>
          </w:tcPr>
          <w:p w14:paraId="7C58B5C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ign w:val="center"/>
          </w:tcPr>
          <w:p w14:paraId="4CB9124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ign w:val="center"/>
          </w:tcPr>
          <w:p w14:paraId="041AF3E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15</w:t>
            </w:r>
          </w:p>
        </w:tc>
      </w:tr>
      <w:tr w14:paraId="2AB2C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ign w:val="center"/>
          </w:tcPr>
          <w:p w14:paraId="4AD5D2A9">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12</w:t>
            </w:r>
          </w:p>
        </w:tc>
        <w:tc>
          <w:tcPr>
            <w:tcW w:w="560" w:type="pct"/>
            <w:noWrap/>
            <w:vAlign w:val="center"/>
          </w:tcPr>
          <w:p w14:paraId="113DADF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䓛</w:t>
            </w:r>
          </w:p>
        </w:tc>
        <w:tc>
          <w:tcPr>
            <w:tcW w:w="315" w:type="pct"/>
            <w:noWrap/>
            <w:vAlign w:val="center"/>
          </w:tcPr>
          <w:p w14:paraId="4F337E0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7A15FC7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355D972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0E13E43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0C6CB58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ign w:val="center"/>
          </w:tcPr>
          <w:p w14:paraId="3C32785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ign w:val="center"/>
          </w:tcPr>
          <w:p w14:paraId="24930E9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ign w:val="center"/>
          </w:tcPr>
          <w:p w14:paraId="68FDC01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ign w:val="center"/>
          </w:tcPr>
          <w:p w14:paraId="1A4DB31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ign w:val="center"/>
          </w:tcPr>
          <w:p w14:paraId="0502238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ign w:val="center"/>
          </w:tcPr>
          <w:p w14:paraId="6C12D9D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ign w:val="center"/>
          </w:tcPr>
          <w:p w14:paraId="62FF455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ign w:val="center"/>
          </w:tcPr>
          <w:p w14:paraId="3E394E6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ign w:val="center"/>
          </w:tcPr>
          <w:p w14:paraId="30298B3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1293</w:t>
            </w:r>
          </w:p>
        </w:tc>
      </w:tr>
      <w:tr w14:paraId="4F3CB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ign w:val="center"/>
          </w:tcPr>
          <w:p w14:paraId="39C537F5">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13</w:t>
            </w:r>
          </w:p>
        </w:tc>
        <w:tc>
          <w:tcPr>
            <w:tcW w:w="560" w:type="pct"/>
            <w:noWrap/>
            <w:vAlign w:val="center"/>
          </w:tcPr>
          <w:p w14:paraId="4756EC1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苯并[b]荧蒽</w:t>
            </w:r>
          </w:p>
        </w:tc>
        <w:tc>
          <w:tcPr>
            <w:tcW w:w="315" w:type="pct"/>
            <w:noWrap/>
            <w:vAlign w:val="center"/>
          </w:tcPr>
          <w:p w14:paraId="4DC40C4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1766669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3DDA716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0EB18C3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20B019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ign w:val="center"/>
          </w:tcPr>
          <w:p w14:paraId="0A66F25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ign w:val="center"/>
          </w:tcPr>
          <w:p w14:paraId="7E7216F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ign w:val="center"/>
          </w:tcPr>
          <w:p w14:paraId="6F8996E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ign w:val="center"/>
          </w:tcPr>
          <w:p w14:paraId="7993791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ign w:val="center"/>
          </w:tcPr>
          <w:p w14:paraId="0ED5448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ign w:val="center"/>
          </w:tcPr>
          <w:p w14:paraId="016D80B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ign w:val="center"/>
          </w:tcPr>
          <w:p w14:paraId="622CE98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ign w:val="center"/>
          </w:tcPr>
          <w:p w14:paraId="7FE1742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ign w:val="center"/>
          </w:tcPr>
          <w:p w14:paraId="7845B87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15</w:t>
            </w:r>
          </w:p>
        </w:tc>
      </w:tr>
      <w:tr w14:paraId="3D138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ign w:val="center"/>
          </w:tcPr>
          <w:p w14:paraId="4EA493F0">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14</w:t>
            </w:r>
          </w:p>
        </w:tc>
        <w:tc>
          <w:tcPr>
            <w:tcW w:w="560" w:type="pct"/>
            <w:noWrap/>
            <w:vAlign w:val="center"/>
          </w:tcPr>
          <w:p w14:paraId="648EE1E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苯并[k]荧蒽</w:t>
            </w:r>
          </w:p>
        </w:tc>
        <w:tc>
          <w:tcPr>
            <w:tcW w:w="315" w:type="pct"/>
            <w:noWrap/>
            <w:vAlign w:val="center"/>
          </w:tcPr>
          <w:p w14:paraId="3224A55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ign w:val="center"/>
          </w:tcPr>
          <w:p w14:paraId="5DFD908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36825C2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58E1349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ign w:val="center"/>
          </w:tcPr>
          <w:p w14:paraId="3AE0776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ign w:val="center"/>
          </w:tcPr>
          <w:p w14:paraId="02D2DC2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ign w:val="center"/>
          </w:tcPr>
          <w:p w14:paraId="0A3157F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ign w:val="center"/>
          </w:tcPr>
          <w:p w14:paraId="4BEDB3B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ign w:val="center"/>
          </w:tcPr>
          <w:p w14:paraId="6FD03B4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ign w:val="center"/>
          </w:tcPr>
          <w:p w14:paraId="08AF4CF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ign w:val="center"/>
          </w:tcPr>
          <w:p w14:paraId="01A3B5D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ign w:val="center"/>
          </w:tcPr>
          <w:p w14:paraId="1F49C14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ign w:val="center"/>
          </w:tcPr>
          <w:p w14:paraId="5BAFCA2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ign w:val="center"/>
          </w:tcPr>
          <w:p w14:paraId="05D26EE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151</w:t>
            </w:r>
          </w:p>
        </w:tc>
      </w:tr>
      <w:tr w14:paraId="46083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18C93AF6">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15</w:t>
            </w:r>
          </w:p>
        </w:tc>
        <w:tc>
          <w:tcPr>
            <w:tcW w:w="560" w:type="pct"/>
            <w:noWrap w:val="0"/>
            <w:vAlign w:val="center"/>
          </w:tcPr>
          <w:p w14:paraId="36BF0CA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苯并[a]芘</w:t>
            </w:r>
          </w:p>
        </w:tc>
        <w:tc>
          <w:tcPr>
            <w:tcW w:w="315" w:type="pct"/>
            <w:noWrap w:val="0"/>
            <w:vAlign w:val="center"/>
          </w:tcPr>
          <w:p w14:paraId="4F65DCD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0"/>
            <w:vAlign w:val="center"/>
          </w:tcPr>
          <w:p w14:paraId="4E8556D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79ED99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8753C0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79E642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32363F9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67D518E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6AEE9D3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6EFA84D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212CDEF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3719DBF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5157D2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3FADAEB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5A4B4D8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1.5</w:t>
            </w:r>
          </w:p>
        </w:tc>
      </w:tr>
      <w:tr w14:paraId="17681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1350DB2B">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16</w:t>
            </w:r>
          </w:p>
        </w:tc>
        <w:tc>
          <w:tcPr>
            <w:tcW w:w="560" w:type="pct"/>
            <w:noWrap w:val="0"/>
            <w:vAlign w:val="center"/>
          </w:tcPr>
          <w:p w14:paraId="52CDA9B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茚并[1,2,3-cd]芘</w:t>
            </w:r>
          </w:p>
        </w:tc>
        <w:tc>
          <w:tcPr>
            <w:tcW w:w="315" w:type="pct"/>
            <w:noWrap w:val="0"/>
            <w:vAlign w:val="center"/>
          </w:tcPr>
          <w:p w14:paraId="565061C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0"/>
            <w:vAlign w:val="center"/>
          </w:tcPr>
          <w:p w14:paraId="5401306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FE6442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6591B2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5856A3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5D2E4CF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3FBAF41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67543EE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36071AB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49ACBEC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61CD48E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3139CDF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1CE5214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1B9F00A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15</w:t>
            </w:r>
          </w:p>
        </w:tc>
      </w:tr>
      <w:tr w14:paraId="4697E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70813C7B">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17</w:t>
            </w:r>
          </w:p>
        </w:tc>
        <w:tc>
          <w:tcPr>
            <w:tcW w:w="560" w:type="pct"/>
            <w:noWrap w:val="0"/>
            <w:vAlign w:val="center"/>
          </w:tcPr>
          <w:p w14:paraId="0EBA80C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二苯并[a，h]蒽</w:t>
            </w:r>
          </w:p>
        </w:tc>
        <w:tc>
          <w:tcPr>
            <w:tcW w:w="315" w:type="pct"/>
            <w:noWrap w:val="0"/>
            <w:vAlign w:val="center"/>
          </w:tcPr>
          <w:p w14:paraId="49E65D3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0"/>
            <w:vAlign w:val="center"/>
          </w:tcPr>
          <w:p w14:paraId="05F220F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965C03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636CF1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0D8945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2398F06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2559222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5848ECA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78C16B4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20A9A97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0828970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1260538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743DAF3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1C6EE0E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1.5</w:t>
            </w:r>
          </w:p>
        </w:tc>
      </w:tr>
      <w:tr w14:paraId="70F04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617699D8">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18</w:t>
            </w:r>
          </w:p>
        </w:tc>
        <w:tc>
          <w:tcPr>
            <w:tcW w:w="560" w:type="pct"/>
            <w:noWrap w:val="0"/>
            <w:vAlign w:val="center"/>
          </w:tcPr>
          <w:p w14:paraId="31B07E0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氯甲烷</w:t>
            </w:r>
          </w:p>
        </w:tc>
        <w:tc>
          <w:tcPr>
            <w:tcW w:w="315" w:type="pct"/>
            <w:noWrap w:val="0"/>
            <w:vAlign w:val="center"/>
          </w:tcPr>
          <w:p w14:paraId="74F2D18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5C65B25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834C01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61AB0D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09E90E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746F962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264D7BF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103A05F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77547AB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557E8FE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48375C5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48B7D7A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0887122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10435FC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37</w:t>
            </w:r>
          </w:p>
        </w:tc>
      </w:tr>
      <w:tr w14:paraId="7CFCE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5C4A4805">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19</w:t>
            </w:r>
          </w:p>
        </w:tc>
        <w:tc>
          <w:tcPr>
            <w:tcW w:w="560" w:type="pct"/>
            <w:noWrap w:val="0"/>
            <w:vAlign w:val="center"/>
          </w:tcPr>
          <w:p w14:paraId="7CECA5F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氯乙烯</w:t>
            </w:r>
          </w:p>
        </w:tc>
        <w:tc>
          <w:tcPr>
            <w:tcW w:w="315" w:type="pct"/>
            <w:noWrap w:val="0"/>
            <w:vAlign w:val="center"/>
          </w:tcPr>
          <w:p w14:paraId="3906493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233D84A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00738C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1558500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D485D1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7675975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4DBF919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745F6E3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3884561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3195364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20DC6D8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1C81856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2F83899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67A1B2D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0.43</w:t>
            </w:r>
          </w:p>
        </w:tc>
      </w:tr>
      <w:tr w14:paraId="43E13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7E57E305">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20</w:t>
            </w:r>
          </w:p>
        </w:tc>
        <w:tc>
          <w:tcPr>
            <w:tcW w:w="560" w:type="pct"/>
            <w:noWrap w:val="0"/>
            <w:vAlign w:val="center"/>
          </w:tcPr>
          <w:p w14:paraId="0B7B065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1,1-二氯乙烯</w:t>
            </w:r>
          </w:p>
        </w:tc>
        <w:tc>
          <w:tcPr>
            <w:tcW w:w="315" w:type="pct"/>
            <w:noWrap w:val="0"/>
            <w:vAlign w:val="center"/>
          </w:tcPr>
          <w:p w14:paraId="348A451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1C213DD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4F8CF4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904ADC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C60469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174F6FF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7F7ACC0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631D8CB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6C2C17E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31C6345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3A8FE0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2DE1548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54E13B8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0EBAF31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66</w:t>
            </w:r>
          </w:p>
        </w:tc>
      </w:tr>
      <w:tr w14:paraId="5342A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5858E2DD">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21</w:t>
            </w:r>
          </w:p>
        </w:tc>
        <w:tc>
          <w:tcPr>
            <w:tcW w:w="560" w:type="pct"/>
            <w:noWrap w:val="0"/>
            <w:vAlign w:val="center"/>
          </w:tcPr>
          <w:p w14:paraId="3315DDA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二氯甲烷</w:t>
            </w:r>
          </w:p>
        </w:tc>
        <w:tc>
          <w:tcPr>
            <w:tcW w:w="315" w:type="pct"/>
            <w:noWrap w:val="0"/>
            <w:vAlign w:val="center"/>
          </w:tcPr>
          <w:p w14:paraId="116B6AC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676FD20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0635161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4AEF89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1747D8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2BB815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4989CC7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51FD373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3D24325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6BBF46E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1249FB9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4F2D147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0D39067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4249336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616</w:t>
            </w:r>
          </w:p>
        </w:tc>
      </w:tr>
      <w:tr w14:paraId="59A86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50426BBE">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22</w:t>
            </w:r>
          </w:p>
        </w:tc>
        <w:tc>
          <w:tcPr>
            <w:tcW w:w="560" w:type="pct"/>
            <w:noWrap w:val="0"/>
            <w:vAlign w:val="center"/>
          </w:tcPr>
          <w:p w14:paraId="6957AEE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反式-1,2-二氯乙烯</w:t>
            </w:r>
          </w:p>
        </w:tc>
        <w:tc>
          <w:tcPr>
            <w:tcW w:w="315" w:type="pct"/>
            <w:noWrap w:val="0"/>
            <w:vAlign w:val="center"/>
          </w:tcPr>
          <w:p w14:paraId="124BB9A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7AB9520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B66387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C688CB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0E2914F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61C54C1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14F6DAF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5677ECF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47F3EA6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53254A6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1930B11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3F76943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0493D03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2B59354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54</w:t>
            </w:r>
          </w:p>
        </w:tc>
      </w:tr>
      <w:tr w14:paraId="48639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0FAD9333">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23</w:t>
            </w:r>
          </w:p>
        </w:tc>
        <w:tc>
          <w:tcPr>
            <w:tcW w:w="560" w:type="pct"/>
            <w:noWrap w:val="0"/>
            <w:vAlign w:val="center"/>
          </w:tcPr>
          <w:p w14:paraId="068B276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1,1-二氯乙烷</w:t>
            </w:r>
          </w:p>
        </w:tc>
        <w:tc>
          <w:tcPr>
            <w:tcW w:w="315" w:type="pct"/>
            <w:noWrap w:val="0"/>
            <w:vAlign w:val="center"/>
          </w:tcPr>
          <w:p w14:paraId="482C1F7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39BDA95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D5C32C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5E8CAE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71A8AF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728B9AC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0B6398F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51CAB06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286B59A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4400F5E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6342BE3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507794E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153BC70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3F96691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w:t>
            </w:r>
          </w:p>
        </w:tc>
      </w:tr>
      <w:tr w14:paraId="5FBF9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3814A80C">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24</w:t>
            </w:r>
          </w:p>
        </w:tc>
        <w:tc>
          <w:tcPr>
            <w:tcW w:w="560" w:type="pct"/>
            <w:noWrap w:val="0"/>
            <w:vAlign w:val="center"/>
          </w:tcPr>
          <w:p w14:paraId="028D553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顺式-1,2-二氯乙烯</w:t>
            </w:r>
          </w:p>
        </w:tc>
        <w:tc>
          <w:tcPr>
            <w:tcW w:w="315" w:type="pct"/>
            <w:noWrap w:val="0"/>
            <w:vAlign w:val="center"/>
          </w:tcPr>
          <w:p w14:paraId="64CE03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12C149B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06E921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965D05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CDAF6B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042960F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4AC0405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54EBBDC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497C1BC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52EB32F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1D64223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105DE50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5E449D8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07E6762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596</w:t>
            </w:r>
          </w:p>
        </w:tc>
      </w:tr>
      <w:tr w14:paraId="529FA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0EC7B732">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25</w:t>
            </w:r>
          </w:p>
        </w:tc>
        <w:tc>
          <w:tcPr>
            <w:tcW w:w="560" w:type="pct"/>
            <w:noWrap w:val="0"/>
            <w:vAlign w:val="center"/>
          </w:tcPr>
          <w:p w14:paraId="462668A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氯仿</w:t>
            </w:r>
          </w:p>
        </w:tc>
        <w:tc>
          <w:tcPr>
            <w:tcW w:w="315" w:type="pct"/>
            <w:noWrap w:val="0"/>
            <w:vAlign w:val="center"/>
          </w:tcPr>
          <w:p w14:paraId="7104738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73FA3A8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4AC8DB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2A5A65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0EA1CBB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6BD495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66EFB35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570590F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693D35A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0866906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05160DC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3BD68F6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29CE840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63A7CC9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0.9</w:t>
            </w:r>
          </w:p>
        </w:tc>
      </w:tr>
      <w:tr w14:paraId="6A5AC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4128C0E7">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26</w:t>
            </w:r>
          </w:p>
        </w:tc>
        <w:tc>
          <w:tcPr>
            <w:tcW w:w="560" w:type="pct"/>
            <w:noWrap w:val="0"/>
            <w:vAlign w:val="center"/>
          </w:tcPr>
          <w:p w14:paraId="6319A70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1,1,1,-三氯乙烷</w:t>
            </w:r>
          </w:p>
        </w:tc>
        <w:tc>
          <w:tcPr>
            <w:tcW w:w="315" w:type="pct"/>
            <w:noWrap w:val="0"/>
            <w:vAlign w:val="center"/>
          </w:tcPr>
          <w:p w14:paraId="349591E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052D334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30727F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769A4C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54484E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4332BBB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731C2A9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786BED4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618A29C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0C1E29F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695805C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3D0A58A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15F17E8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37D15A5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840</w:t>
            </w:r>
          </w:p>
        </w:tc>
      </w:tr>
      <w:tr w14:paraId="34DFA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54BC9272">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27</w:t>
            </w:r>
          </w:p>
        </w:tc>
        <w:tc>
          <w:tcPr>
            <w:tcW w:w="560" w:type="pct"/>
            <w:noWrap w:val="0"/>
            <w:vAlign w:val="center"/>
          </w:tcPr>
          <w:p w14:paraId="118ACAC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四氯化碳</w:t>
            </w:r>
          </w:p>
        </w:tc>
        <w:tc>
          <w:tcPr>
            <w:tcW w:w="315" w:type="pct"/>
            <w:noWrap w:val="0"/>
            <w:vAlign w:val="center"/>
          </w:tcPr>
          <w:p w14:paraId="17C308C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7201FBA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A71634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880625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B6AC34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0542C57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512EEED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7C5C496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3953B5C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3533F1C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15B4470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1838E87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3DED3C9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2B30786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2.8</w:t>
            </w:r>
          </w:p>
        </w:tc>
      </w:tr>
      <w:tr w14:paraId="7483E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64BD5740">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28</w:t>
            </w:r>
          </w:p>
        </w:tc>
        <w:tc>
          <w:tcPr>
            <w:tcW w:w="560" w:type="pct"/>
            <w:noWrap w:val="0"/>
            <w:vAlign w:val="center"/>
          </w:tcPr>
          <w:p w14:paraId="2C76D8A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1,2-二氯乙烷</w:t>
            </w:r>
          </w:p>
        </w:tc>
        <w:tc>
          <w:tcPr>
            <w:tcW w:w="315" w:type="pct"/>
            <w:noWrap w:val="0"/>
            <w:vAlign w:val="center"/>
          </w:tcPr>
          <w:p w14:paraId="739AF97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0F385D5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0236782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388B10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1EA5EB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24820DD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280C96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21A137E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49233A8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7FD0EC3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2391374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6E7A7EE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3D68BD7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1C91146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w:t>
            </w:r>
          </w:p>
        </w:tc>
      </w:tr>
      <w:tr w14:paraId="45997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2D5589E2">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29</w:t>
            </w:r>
          </w:p>
        </w:tc>
        <w:tc>
          <w:tcPr>
            <w:tcW w:w="560" w:type="pct"/>
            <w:noWrap w:val="0"/>
            <w:vAlign w:val="center"/>
          </w:tcPr>
          <w:p w14:paraId="7C10766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苯</w:t>
            </w:r>
          </w:p>
        </w:tc>
        <w:tc>
          <w:tcPr>
            <w:tcW w:w="315" w:type="pct"/>
            <w:noWrap w:val="0"/>
            <w:vAlign w:val="center"/>
          </w:tcPr>
          <w:p w14:paraId="6394021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06FB8FF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3E0FF6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71A3F9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681E6F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21F915D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6785E7F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10BFB37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709F2BE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7FB8CB1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402A967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3605934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2C433A0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7107DF0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w:t>
            </w:r>
          </w:p>
        </w:tc>
      </w:tr>
      <w:tr w14:paraId="7F014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212C206F">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30</w:t>
            </w:r>
          </w:p>
        </w:tc>
        <w:tc>
          <w:tcPr>
            <w:tcW w:w="560" w:type="pct"/>
            <w:noWrap w:val="0"/>
            <w:vAlign w:val="center"/>
          </w:tcPr>
          <w:p w14:paraId="49EC45A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三氯乙烯</w:t>
            </w:r>
          </w:p>
        </w:tc>
        <w:tc>
          <w:tcPr>
            <w:tcW w:w="315" w:type="pct"/>
            <w:noWrap w:val="0"/>
            <w:vAlign w:val="center"/>
          </w:tcPr>
          <w:p w14:paraId="29E1220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5AEAD8B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7AE4DF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1BAD798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92F80D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56850F8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7EF42E9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549CB96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4A396D9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4A136F5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7C42272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6535B5F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43EE493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207E28D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28</w:t>
            </w:r>
          </w:p>
        </w:tc>
      </w:tr>
      <w:tr w14:paraId="5856A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2AC9E757">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31</w:t>
            </w:r>
          </w:p>
        </w:tc>
        <w:tc>
          <w:tcPr>
            <w:tcW w:w="560" w:type="pct"/>
            <w:noWrap w:val="0"/>
            <w:vAlign w:val="center"/>
          </w:tcPr>
          <w:p w14:paraId="55CF1C3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1,2-二氯丙烷</w:t>
            </w:r>
          </w:p>
        </w:tc>
        <w:tc>
          <w:tcPr>
            <w:tcW w:w="315" w:type="pct"/>
            <w:noWrap w:val="0"/>
            <w:vAlign w:val="center"/>
          </w:tcPr>
          <w:p w14:paraId="65BAF67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54F186B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C4AB63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F5DFB6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1851EB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3897F33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5A21CD2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1BD8CB3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7119C0C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685B656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3EF50B3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7995F8A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577ECF8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63F8DA4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w:t>
            </w:r>
          </w:p>
        </w:tc>
      </w:tr>
      <w:tr w14:paraId="6DAF0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659C3C64">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32</w:t>
            </w:r>
          </w:p>
        </w:tc>
        <w:tc>
          <w:tcPr>
            <w:tcW w:w="560" w:type="pct"/>
            <w:noWrap w:val="0"/>
            <w:vAlign w:val="center"/>
          </w:tcPr>
          <w:p w14:paraId="026DC59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甲苯</w:t>
            </w:r>
          </w:p>
        </w:tc>
        <w:tc>
          <w:tcPr>
            <w:tcW w:w="315" w:type="pct"/>
            <w:noWrap w:val="0"/>
            <w:vAlign w:val="center"/>
          </w:tcPr>
          <w:p w14:paraId="28234C5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296363F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CF100D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C7AACD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236F27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66AE544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0E0B2AE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794C363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61850DD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4D9BC4E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60ABBD0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256CF82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4F3F433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2826970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1200</w:t>
            </w:r>
          </w:p>
        </w:tc>
      </w:tr>
      <w:tr w14:paraId="201AB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06D1381E">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33</w:t>
            </w:r>
          </w:p>
        </w:tc>
        <w:tc>
          <w:tcPr>
            <w:tcW w:w="560" w:type="pct"/>
            <w:noWrap w:val="0"/>
            <w:vAlign w:val="center"/>
          </w:tcPr>
          <w:p w14:paraId="33BC89B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1,1,2,-三氯乙烷</w:t>
            </w:r>
          </w:p>
        </w:tc>
        <w:tc>
          <w:tcPr>
            <w:tcW w:w="315" w:type="pct"/>
            <w:noWrap w:val="0"/>
            <w:vAlign w:val="center"/>
          </w:tcPr>
          <w:p w14:paraId="5945F15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36CA1E5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C6B9F8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C2DF4B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57C000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7F7F251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13ADE58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15C2323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07622F9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26D2EE4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2A8D082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3631CBB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45C1D82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7DEE307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2.8</w:t>
            </w:r>
          </w:p>
        </w:tc>
      </w:tr>
      <w:tr w14:paraId="219BD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7A29725D">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34</w:t>
            </w:r>
          </w:p>
        </w:tc>
        <w:tc>
          <w:tcPr>
            <w:tcW w:w="560" w:type="pct"/>
            <w:noWrap w:val="0"/>
            <w:vAlign w:val="center"/>
          </w:tcPr>
          <w:p w14:paraId="156E5EC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四氯乙烯</w:t>
            </w:r>
          </w:p>
        </w:tc>
        <w:tc>
          <w:tcPr>
            <w:tcW w:w="315" w:type="pct"/>
            <w:noWrap w:val="0"/>
            <w:vAlign w:val="center"/>
          </w:tcPr>
          <w:p w14:paraId="68E2776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24323B5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DD89AB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5F75B1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B82EC5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5407D4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6C0873E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6845BD9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3E011DE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2D8FDFF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1A8303A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5C9C0E8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746C1C2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64AE040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53</w:t>
            </w:r>
          </w:p>
        </w:tc>
      </w:tr>
      <w:tr w14:paraId="31D20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4D795B69">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35</w:t>
            </w:r>
          </w:p>
        </w:tc>
        <w:tc>
          <w:tcPr>
            <w:tcW w:w="560" w:type="pct"/>
            <w:noWrap w:val="0"/>
            <w:vAlign w:val="center"/>
          </w:tcPr>
          <w:p w14:paraId="4A2EF72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氯苯</w:t>
            </w:r>
          </w:p>
        </w:tc>
        <w:tc>
          <w:tcPr>
            <w:tcW w:w="315" w:type="pct"/>
            <w:noWrap w:val="0"/>
            <w:vAlign w:val="center"/>
          </w:tcPr>
          <w:p w14:paraId="39A871A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64A9FB6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780A4C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0C2A289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B5FC4A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347D569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662034C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3855E6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3EF4C64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63FE9DA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4628AC8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79622CF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3C9B936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21DCB92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270</w:t>
            </w:r>
          </w:p>
        </w:tc>
      </w:tr>
      <w:tr w14:paraId="2F2B1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3F245D33">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36</w:t>
            </w:r>
          </w:p>
        </w:tc>
        <w:tc>
          <w:tcPr>
            <w:tcW w:w="560" w:type="pct"/>
            <w:noWrap w:val="0"/>
            <w:vAlign w:val="center"/>
          </w:tcPr>
          <w:p w14:paraId="5FD4EBD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1,1,1,2-四氯乙烷</w:t>
            </w:r>
          </w:p>
        </w:tc>
        <w:tc>
          <w:tcPr>
            <w:tcW w:w="315" w:type="pct"/>
            <w:noWrap w:val="0"/>
            <w:vAlign w:val="center"/>
          </w:tcPr>
          <w:p w14:paraId="0EA4FCA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5F0B2FC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07C72F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F727C7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A5C9F4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2D67DD9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08E9308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6BC7619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55E4EEB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47C2B80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2AE41D8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06A0323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3F5725D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55AF56B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10</w:t>
            </w:r>
          </w:p>
        </w:tc>
      </w:tr>
      <w:tr w14:paraId="7E882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299617AB">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37</w:t>
            </w:r>
          </w:p>
        </w:tc>
        <w:tc>
          <w:tcPr>
            <w:tcW w:w="560" w:type="pct"/>
            <w:noWrap w:val="0"/>
            <w:vAlign w:val="center"/>
          </w:tcPr>
          <w:p w14:paraId="1A2F00D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乙苯</w:t>
            </w:r>
          </w:p>
        </w:tc>
        <w:tc>
          <w:tcPr>
            <w:tcW w:w="315" w:type="pct"/>
            <w:noWrap w:val="0"/>
            <w:vAlign w:val="center"/>
          </w:tcPr>
          <w:p w14:paraId="186FE92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64CB371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5DCA72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2A5BE6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A8447D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16E8542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1F9A773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07752B8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7F8EE55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18D93E8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5596607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1682A6A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11BEF6C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209780A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28</w:t>
            </w:r>
          </w:p>
        </w:tc>
      </w:tr>
      <w:tr w14:paraId="599FE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1991212E">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38</w:t>
            </w:r>
          </w:p>
        </w:tc>
        <w:tc>
          <w:tcPr>
            <w:tcW w:w="560" w:type="pct"/>
            <w:noWrap w:val="0"/>
            <w:vAlign w:val="center"/>
          </w:tcPr>
          <w:p w14:paraId="1F4D79F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间二甲苯+对二甲苯</w:t>
            </w:r>
          </w:p>
        </w:tc>
        <w:tc>
          <w:tcPr>
            <w:tcW w:w="315" w:type="pct"/>
            <w:noWrap w:val="0"/>
            <w:vAlign w:val="center"/>
          </w:tcPr>
          <w:p w14:paraId="1709BB2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4C7FFA6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2758A4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88B09E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93A8DD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58303E1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0BC634B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68596A3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12355EE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7F1D8A4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6CE5131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4953DCB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5A18ABC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5AE5BFE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570</w:t>
            </w:r>
          </w:p>
        </w:tc>
      </w:tr>
      <w:tr w14:paraId="47B57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6BE6C70E">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39</w:t>
            </w:r>
          </w:p>
        </w:tc>
        <w:tc>
          <w:tcPr>
            <w:tcW w:w="560" w:type="pct"/>
            <w:noWrap w:val="0"/>
            <w:vAlign w:val="center"/>
          </w:tcPr>
          <w:p w14:paraId="280CDA4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邻-二甲苯</w:t>
            </w:r>
          </w:p>
        </w:tc>
        <w:tc>
          <w:tcPr>
            <w:tcW w:w="315" w:type="pct"/>
            <w:noWrap w:val="0"/>
            <w:vAlign w:val="center"/>
          </w:tcPr>
          <w:p w14:paraId="4D91832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51DEA53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0C8DC0E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C1C26D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7D0CBE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4F7AC5A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573F5F3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03B5C9D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725AD9A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0F3CC38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31C4B0A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3F3F575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304085A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46C49D4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640</w:t>
            </w:r>
          </w:p>
        </w:tc>
      </w:tr>
      <w:tr w14:paraId="53036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69" w:hRule="exact"/>
          <w:jc w:val="center"/>
        </w:trPr>
        <w:tc>
          <w:tcPr>
            <w:tcW w:w="218" w:type="pct"/>
            <w:noWrap w:val="0"/>
            <w:vAlign w:val="center"/>
          </w:tcPr>
          <w:p w14:paraId="0492415D">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40</w:t>
            </w:r>
          </w:p>
        </w:tc>
        <w:tc>
          <w:tcPr>
            <w:tcW w:w="560" w:type="pct"/>
            <w:noWrap w:val="0"/>
            <w:vAlign w:val="center"/>
          </w:tcPr>
          <w:p w14:paraId="289F61E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苯乙烯</w:t>
            </w:r>
          </w:p>
        </w:tc>
        <w:tc>
          <w:tcPr>
            <w:tcW w:w="315" w:type="pct"/>
            <w:noWrap w:val="0"/>
            <w:vAlign w:val="center"/>
          </w:tcPr>
          <w:p w14:paraId="6CF31E9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036637B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DD6C66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4CA1110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527270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729B896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127DA9E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38CE970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58CB43E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47777E6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6BCD4F1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53C4B21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4AA2CDF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0C07F37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1290</w:t>
            </w:r>
          </w:p>
        </w:tc>
      </w:tr>
      <w:tr w14:paraId="45211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363C5AFA">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41</w:t>
            </w:r>
          </w:p>
        </w:tc>
        <w:tc>
          <w:tcPr>
            <w:tcW w:w="560" w:type="pct"/>
            <w:noWrap w:val="0"/>
            <w:vAlign w:val="center"/>
          </w:tcPr>
          <w:p w14:paraId="1BEDD6F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1,1,2,2-四氯乙烷</w:t>
            </w:r>
          </w:p>
        </w:tc>
        <w:tc>
          <w:tcPr>
            <w:tcW w:w="315" w:type="pct"/>
            <w:noWrap w:val="0"/>
            <w:vAlign w:val="center"/>
          </w:tcPr>
          <w:p w14:paraId="1A466CF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1F82117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781FE9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F03119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5005591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103DCB1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1858D06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2BBE8B3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48416E0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41A41F8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7D14CC6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6D7E6A8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52B332F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66D53FD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6.8</w:t>
            </w:r>
          </w:p>
        </w:tc>
      </w:tr>
      <w:tr w14:paraId="128C9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5918E934">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42</w:t>
            </w:r>
          </w:p>
        </w:tc>
        <w:tc>
          <w:tcPr>
            <w:tcW w:w="560" w:type="pct"/>
            <w:noWrap w:val="0"/>
            <w:vAlign w:val="center"/>
          </w:tcPr>
          <w:p w14:paraId="1D490DD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1,2,3-三氯丙烷</w:t>
            </w:r>
          </w:p>
        </w:tc>
        <w:tc>
          <w:tcPr>
            <w:tcW w:w="315" w:type="pct"/>
            <w:noWrap w:val="0"/>
            <w:vAlign w:val="center"/>
          </w:tcPr>
          <w:p w14:paraId="2042229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30BFE67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C13CBE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07AA1EA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1D39D5A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7E87502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69AD59B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342F7E3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7AA0E53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4F949BE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7F99629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4B26EB5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1C8C598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3D5C97E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0.5</w:t>
            </w:r>
          </w:p>
        </w:tc>
      </w:tr>
      <w:tr w14:paraId="28A1F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797988F1">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43</w:t>
            </w:r>
          </w:p>
        </w:tc>
        <w:tc>
          <w:tcPr>
            <w:tcW w:w="560" w:type="pct"/>
            <w:noWrap w:val="0"/>
            <w:vAlign w:val="center"/>
          </w:tcPr>
          <w:p w14:paraId="75EBD15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1,4-二氯苯</w:t>
            </w:r>
          </w:p>
        </w:tc>
        <w:tc>
          <w:tcPr>
            <w:tcW w:w="315" w:type="pct"/>
            <w:noWrap w:val="0"/>
            <w:vAlign w:val="center"/>
          </w:tcPr>
          <w:p w14:paraId="4204F48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36A414F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3FFA589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00C8F7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E7D011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1F09D12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0E8FC70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6820DAD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5C1E6FE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7752015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4A99A2E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584BF20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32A93D10">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64D3A20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20</w:t>
            </w:r>
          </w:p>
        </w:tc>
      </w:tr>
      <w:tr w14:paraId="74CA9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28BEADC0">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44</w:t>
            </w:r>
          </w:p>
        </w:tc>
        <w:tc>
          <w:tcPr>
            <w:tcW w:w="560" w:type="pct"/>
            <w:noWrap w:val="0"/>
            <w:vAlign w:val="center"/>
          </w:tcPr>
          <w:p w14:paraId="150E05E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1,2-二氯苯</w:t>
            </w:r>
          </w:p>
        </w:tc>
        <w:tc>
          <w:tcPr>
            <w:tcW w:w="315" w:type="pct"/>
            <w:noWrap w:val="0"/>
            <w:vAlign w:val="center"/>
          </w:tcPr>
          <w:p w14:paraId="634C572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µg/kg</w:t>
            </w:r>
          </w:p>
        </w:tc>
        <w:tc>
          <w:tcPr>
            <w:tcW w:w="253" w:type="pct"/>
            <w:noWrap w:val="0"/>
            <w:vAlign w:val="center"/>
          </w:tcPr>
          <w:p w14:paraId="0D2C065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3445BC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13A7906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2DDF922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5C2FAC2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28E9578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515F2F2C">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78A35BD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719964E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20899CF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07B4B315">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62F1722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59653CC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560</w:t>
            </w:r>
          </w:p>
        </w:tc>
      </w:tr>
      <w:tr w14:paraId="71F10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2CF88A9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45</w:t>
            </w:r>
          </w:p>
        </w:tc>
        <w:tc>
          <w:tcPr>
            <w:tcW w:w="560" w:type="pct"/>
            <w:noWrap w:val="0"/>
            <w:vAlign w:val="center"/>
          </w:tcPr>
          <w:p w14:paraId="0CCFC06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苯胺</w:t>
            </w:r>
          </w:p>
        </w:tc>
        <w:tc>
          <w:tcPr>
            <w:tcW w:w="315" w:type="pct"/>
            <w:noWrap w:val="0"/>
            <w:vAlign w:val="center"/>
          </w:tcPr>
          <w:p w14:paraId="6B1C86C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0"/>
            <w:vAlign w:val="center"/>
          </w:tcPr>
          <w:p w14:paraId="30E310C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6A06941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7844B01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53" w:type="pct"/>
            <w:noWrap w:val="0"/>
            <w:vAlign w:val="center"/>
          </w:tcPr>
          <w:p w14:paraId="170194E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98" w:type="pct"/>
            <w:noWrap w:val="0"/>
            <w:vAlign w:val="center"/>
          </w:tcPr>
          <w:p w14:paraId="5CD27E4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65" w:type="pct"/>
            <w:noWrap w:val="0"/>
            <w:vAlign w:val="center"/>
          </w:tcPr>
          <w:p w14:paraId="1C97A744">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6" w:type="pct"/>
            <w:noWrap w:val="0"/>
            <w:vAlign w:val="center"/>
          </w:tcPr>
          <w:p w14:paraId="4500F91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48" w:type="pct"/>
            <w:noWrap w:val="0"/>
            <w:vAlign w:val="center"/>
          </w:tcPr>
          <w:p w14:paraId="4CE07D4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0" w:type="pct"/>
            <w:noWrap w:val="0"/>
            <w:vAlign w:val="center"/>
          </w:tcPr>
          <w:p w14:paraId="5AD5796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273" w:type="pct"/>
            <w:noWrap w:val="0"/>
            <w:vAlign w:val="center"/>
          </w:tcPr>
          <w:p w14:paraId="0E4D802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28" w:type="pct"/>
            <w:noWrap w:val="0"/>
            <w:vAlign w:val="center"/>
          </w:tcPr>
          <w:p w14:paraId="2391AE8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59" w:type="pct"/>
            <w:noWrap w:val="0"/>
            <w:vAlign w:val="center"/>
          </w:tcPr>
          <w:p w14:paraId="6096C03B">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ND</w:t>
            </w:r>
          </w:p>
        </w:tc>
        <w:tc>
          <w:tcPr>
            <w:tcW w:w="338" w:type="pct"/>
            <w:noWrap w:val="0"/>
            <w:vAlign w:val="center"/>
          </w:tcPr>
          <w:p w14:paraId="2576895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260</w:t>
            </w:r>
          </w:p>
        </w:tc>
      </w:tr>
      <w:tr w14:paraId="60F47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218" w:type="pct"/>
            <w:noWrap w:val="0"/>
            <w:vAlign w:val="center"/>
          </w:tcPr>
          <w:p w14:paraId="5F7ECB59">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46</w:t>
            </w:r>
          </w:p>
        </w:tc>
        <w:tc>
          <w:tcPr>
            <w:tcW w:w="560" w:type="pct"/>
            <w:noWrap w:val="0"/>
            <w:vAlign w:val="center"/>
          </w:tcPr>
          <w:p w14:paraId="694C5427">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石油烃</w:t>
            </w:r>
          </w:p>
        </w:tc>
        <w:tc>
          <w:tcPr>
            <w:tcW w:w="315" w:type="pct"/>
            <w:noWrap w:val="0"/>
            <w:vAlign w:val="center"/>
          </w:tcPr>
          <w:p w14:paraId="1F3F9DA1">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mg/kg</w:t>
            </w:r>
          </w:p>
        </w:tc>
        <w:tc>
          <w:tcPr>
            <w:tcW w:w="253" w:type="pct"/>
            <w:noWrap w:val="0"/>
            <w:vAlign w:val="center"/>
          </w:tcPr>
          <w:p w14:paraId="49F5A9A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250</w:t>
            </w:r>
          </w:p>
        </w:tc>
        <w:tc>
          <w:tcPr>
            <w:tcW w:w="253" w:type="pct"/>
            <w:noWrap w:val="0"/>
            <w:vAlign w:val="center"/>
          </w:tcPr>
          <w:p w14:paraId="09AD3A9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92</w:t>
            </w:r>
          </w:p>
        </w:tc>
        <w:tc>
          <w:tcPr>
            <w:tcW w:w="253" w:type="pct"/>
            <w:noWrap w:val="0"/>
            <w:vAlign w:val="center"/>
          </w:tcPr>
          <w:p w14:paraId="3F121DB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148</w:t>
            </w:r>
          </w:p>
        </w:tc>
        <w:tc>
          <w:tcPr>
            <w:tcW w:w="253" w:type="pct"/>
            <w:noWrap w:val="0"/>
            <w:vAlign w:val="center"/>
          </w:tcPr>
          <w:p w14:paraId="7998C7C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29</w:t>
            </w:r>
          </w:p>
        </w:tc>
        <w:tc>
          <w:tcPr>
            <w:tcW w:w="298" w:type="pct"/>
            <w:noWrap w:val="0"/>
            <w:vAlign w:val="center"/>
          </w:tcPr>
          <w:p w14:paraId="012B604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74</w:t>
            </w:r>
          </w:p>
        </w:tc>
        <w:tc>
          <w:tcPr>
            <w:tcW w:w="265" w:type="pct"/>
            <w:noWrap w:val="0"/>
            <w:vAlign w:val="center"/>
          </w:tcPr>
          <w:p w14:paraId="528CD7D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62</w:t>
            </w:r>
          </w:p>
        </w:tc>
        <w:tc>
          <w:tcPr>
            <w:tcW w:w="326" w:type="pct"/>
            <w:noWrap w:val="0"/>
            <w:vAlign w:val="center"/>
          </w:tcPr>
          <w:p w14:paraId="1E704C9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124</w:t>
            </w:r>
          </w:p>
        </w:tc>
        <w:tc>
          <w:tcPr>
            <w:tcW w:w="348" w:type="pct"/>
            <w:noWrap w:val="0"/>
            <w:vAlign w:val="center"/>
          </w:tcPr>
          <w:p w14:paraId="4DF3C80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152</w:t>
            </w:r>
          </w:p>
        </w:tc>
        <w:tc>
          <w:tcPr>
            <w:tcW w:w="350" w:type="pct"/>
            <w:noWrap w:val="0"/>
            <w:vAlign w:val="center"/>
          </w:tcPr>
          <w:p w14:paraId="40AE6FB3">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144</w:t>
            </w:r>
          </w:p>
        </w:tc>
        <w:tc>
          <w:tcPr>
            <w:tcW w:w="273" w:type="pct"/>
            <w:noWrap w:val="0"/>
            <w:vAlign w:val="center"/>
          </w:tcPr>
          <w:p w14:paraId="41513A3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72</w:t>
            </w:r>
          </w:p>
        </w:tc>
        <w:tc>
          <w:tcPr>
            <w:tcW w:w="328" w:type="pct"/>
            <w:noWrap w:val="0"/>
            <w:vAlign w:val="center"/>
          </w:tcPr>
          <w:p w14:paraId="14CE4C5F">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52</w:t>
            </w:r>
          </w:p>
        </w:tc>
        <w:tc>
          <w:tcPr>
            <w:tcW w:w="359" w:type="pct"/>
            <w:noWrap w:val="0"/>
            <w:vAlign w:val="center"/>
          </w:tcPr>
          <w:p w14:paraId="4338F9ED">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32</w:t>
            </w:r>
          </w:p>
        </w:tc>
        <w:tc>
          <w:tcPr>
            <w:tcW w:w="338" w:type="pct"/>
            <w:noWrap w:val="0"/>
            <w:vAlign w:val="center"/>
          </w:tcPr>
          <w:p w14:paraId="6DE06A7A">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t>
            </w:r>
          </w:p>
        </w:tc>
      </w:tr>
      <w:tr w14:paraId="03AE1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10" w:hRule="atLeast"/>
          <w:jc w:val="center"/>
        </w:trPr>
        <w:tc>
          <w:tcPr>
            <w:tcW w:w="5000" w:type="pct"/>
            <w:gridSpan w:val="16"/>
            <w:noWrap w:val="0"/>
            <w:vAlign w:val="center"/>
          </w:tcPr>
          <w:p w14:paraId="6B9BE2E8">
            <w:pPr>
              <w:adjustRightInd w:val="0"/>
              <w:snapToGrid w:val="0"/>
              <w:jc w:val="both"/>
              <w:rPr>
                <w:rFonts w:hint="default" w:ascii="Times New Roman" w:hAnsi="Times New Roman" w:eastAsia="宋体" w:cs="Times New Roman"/>
                <w:color w:val="auto"/>
                <w:sz w:val="18"/>
                <w:szCs w:val="18"/>
                <w:highlight w:val="none"/>
                <w:lang w:val="en-US" w:eastAsia="zh-CN"/>
              </w:rPr>
            </w:pPr>
            <w:r>
              <w:rPr>
                <w:rFonts w:hint="eastAsia" w:ascii="宋体" w:hAnsi="宋体"/>
                <w:color w:val="auto"/>
                <w:sz w:val="18"/>
                <w:szCs w:val="18"/>
                <w:highlight w:val="none"/>
                <w:lang w:val="en-US" w:eastAsia="zh-CN"/>
              </w:rPr>
              <w:t>注：ND—表示该指标未检出。</w:t>
            </w:r>
          </w:p>
        </w:tc>
      </w:tr>
    </w:tbl>
    <w:p w14:paraId="248B0B51">
      <w:pPr>
        <w:spacing w:line="360" w:lineRule="auto"/>
        <w:ind w:firstLine="482"/>
        <w:rPr>
          <w:rFonts w:hint="default" w:ascii="Times New Roman" w:hAnsi="Times New Roman" w:eastAsia="宋体" w:cs="Times New Roman"/>
          <w:caps w:val="0"/>
          <w:smallCaps w:val="0"/>
          <w:color w:val="auto"/>
          <w:sz w:val="24"/>
          <w:highlight w:val="none"/>
        </w:rPr>
      </w:pPr>
      <w:r>
        <w:rPr>
          <w:rFonts w:hint="default" w:ascii="Times New Roman" w:hAnsi="Times New Roman" w:eastAsia="宋体" w:cs="Times New Roman"/>
          <w:caps w:val="0"/>
          <w:smallCaps w:val="0"/>
          <w:color w:val="auto"/>
          <w:sz w:val="24"/>
          <w:highlight w:val="none"/>
        </w:rPr>
        <w:t>由</w:t>
      </w:r>
      <w:r>
        <w:rPr>
          <w:rFonts w:hint="eastAsia" w:ascii="Times New Roman" w:hAnsi="Times New Roman" w:eastAsia="宋体" w:cs="Times New Roman"/>
          <w:caps w:val="0"/>
          <w:smallCaps w:val="0"/>
          <w:color w:val="auto"/>
          <w:sz w:val="24"/>
          <w:highlight w:val="none"/>
          <w:lang w:eastAsia="zh-CN"/>
        </w:rPr>
        <w:t>上表</w:t>
      </w:r>
      <w:r>
        <w:rPr>
          <w:rFonts w:hint="default" w:ascii="Times New Roman" w:hAnsi="Times New Roman" w:eastAsia="宋体" w:cs="Times New Roman"/>
          <w:caps w:val="0"/>
          <w:smallCaps w:val="0"/>
          <w:color w:val="auto"/>
          <w:sz w:val="24"/>
          <w:highlight w:val="none"/>
        </w:rPr>
        <w:t>可以看出，</w:t>
      </w:r>
      <w:r>
        <w:rPr>
          <w:rFonts w:hint="eastAsia" w:ascii="Times New Roman" w:hAnsi="Times New Roman" w:eastAsia="宋体" w:cs="Times New Roman"/>
          <w:caps w:val="0"/>
          <w:smallCaps w:val="0"/>
          <w:color w:val="auto"/>
          <w:sz w:val="24"/>
          <w:highlight w:val="none"/>
          <w:lang w:eastAsia="zh-CN"/>
        </w:rPr>
        <w:t>本项目</w:t>
      </w:r>
      <w:r>
        <w:rPr>
          <w:rFonts w:hint="default" w:ascii="Times New Roman" w:hAnsi="Times New Roman" w:eastAsia="宋体" w:cs="Times New Roman"/>
          <w:caps w:val="0"/>
          <w:smallCaps w:val="0"/>
          <w:color w:val="auto"/>
          <w:sz w:val="24"/>
          <w:highlight w:val="none"/>
        </w:rPr>
        <w:t>区块土壤监测点各污染物监测因子均满足《土壤环境质量建设用地土壤污染风险管控标准（试行）》（GB36600-2018）中的第二类用地筛选值标准。</w:t>
      </w:r>
    </w:p>
    <w:p w14:paraId="52130DC2">
      <w:pPr>
        <w:keepNext w:val="0"/>
        <w:keepLines w:val="0"/>
        <w:pageBreakBefore w:val="0"/>
        <w:widowControl w:val="0"/>
        <w:kinsoku/>
        <w:wordWrap/>
        <w:overflowPunct/>
        <w:topLinePunct w:val="0"/>
        <w:autoSpaceDE/>
        <w:autoSpaceDN/>
        <w:bidi w:val="0"/>
        <w:adjustRightInd/>
        <w:snapToGrid/>
        <w:spacing w:before="157" w:beforeLines="50" w:beforeAutospacing="0" w:after="0" w:afterAutospacing="0" w:line="240" w:lineRule="auto"/>
        <w:ind w:left="0" w:leftChars="0" w:firstLine="0" w:firstLineChars="0"/>
        <w:jc w:val="left"/>
        <w:textAlignment w:val="auto"/>
        <w:outlineLvl w:val="2"/>
        <w:rPr>
          <w:rFonts w:hint="default" w:ascii="Times New Roman" w:hAnsi="Times New Roman" w:eastAsia="宋体" w:cs="Times New Roman"/>
          <w:b/>
          <w:color w:val="auto"/>
          <w:kern w:val="0"/>
          <w:sz w:val="28"/>
          <w:szCs w:val="28"/>
          <w:highlight w:val="none"/>
          <w:lang w:val="zh-CN" w:eastAsia="zh-CN" w:bidi="ar"/>
        </w:rPr>
      </w:pPr>
      <w:bookmarkStart w:id="326" w:name="_Toc1861"/>
      <w:r>
        <w:rPr>
          <w:rFonts w:hint="eastAsia" w:ascii="Times New Roman" w:hAnsi="Times New Roman" w:eastAsia="宋体" w:cs="Times New Roman"/>
          <w:b/>
          <w:color w:val="auto"/>
          <w:kern w:val="0"/>
          <w:sz w:val="28"/>
          <w:szCs w:val="28"/>
          <w:highlight w:val="none"/>
          <w:lang w:val="en-US" w:eastAsia="zh-CN" w:bidi="ar"/>
        </w:rPr>
        <w:t>4</w:t>
      </w:r>
      <w:r>
        <w:rPr>
          <w:rFonts w:hint="default" w:ascii="Times New Roman" w:hAnsi="Times New Roman" w:eastAsia="宋体" w:cs="Times New Roman"/>
          <w:b/>
          <w:color w:val="auto"/>
          <w:kern w:val="0"/>
          <w:sz w:val="28"/>
          <w:szCs w:val="28"/>
          <w:highlight w:val="none"/>
          <w:lang w:val="en-US" w:eastAsia="zh-CN" w:bidi="ar"/>
        </w:rPr>
        <w:t>.2.6生态环境</w:t>
      </w:r>
      <w:r>
        <w:rPr>
          <w:rFonts w:hint="default" w:ascii="Times New Roman" w:hAnsi="Times New Roman" w:eastAsia="宋体" w:cs="Times New Roman"/>
          <w:b/>
          <w:color w:val="auto"/>
          <w:kern w:val="0"/>
          <w:sz w:val="28"/>
          <w:szCs w:val="28"/>
          <w:highlight w:val="none"/>
          <w:lang w:val="zh-CN" w:eastAsia="zh-CN" w:bidi="ar"/>
        </w:rPr>
        <w:t>现状评价</w:t>
      </w:r>
      <w:bookmarkEnd w:id="326"/>
    </w:p>
    <w:p w14:paraId="4F4CAC19">
      <w:pPr>
        <w:pStyle w:val="54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color w:val="auto"/>
          <w:kern w:val="2"/>
          <w:sz w:val="24"/>
          <w:szCs w:val="24"/>
          <w:highlight w:val="none"/>
          <w:lang w:val="zh-CN" w:eastAsia="zh-CN" w:bidi="ar-SA"/>
        </w:rPr>
        <w:t>本项目选址位于</w:t>
      </w:r>
      <w:r>
        <w:rPr>
          <w:rFonts w:ascii="新宋体" w:hAnsi="新宋体" w:eastAsia="新宋体" w:cs="新宋体"/>
          <w:b w:val="0"/>
          <w:bCs w:val="0"/>
          <w:color w:val="auto"/>
          <w:sz w:val="24"/>
          <w:szCs w:val="24"/>
          <w:highlight w:val="none"/>
        </w:rPr>
        <w:t>安徽省淮南市田家庵经开区</w:t>
      </w:r>
      <w:r>
        <w:rPr>
          <w:rFonts w:hint="eastAsia" w:ascii="Times New Roman" w:hAnsi="Times New Roman" w:eastAsia="宋体" w:cs="Times New Roman"/>
          <w:color w:val="auto"/>
          <w:kern w:val="2"/>
          <w:sz w:val="24"/>
          <w:szCs w:val="24"/>
          <w:highlight w:val="none"/>
          <w:lang w:val="zh-CN" w:eastAsia="zh-CN" w:bidi="ar-SA"/>
        </w:rPr>
        <w:t>，</w:t>
      </w:r>
      <w:r>
        <w:rPr>
          <w:rFonts w:hint="default" w:ascii="Times New Roman" w:hAnsi="Times New Roman" w:eastAsia="宋体" w:cs="Times New Roman"/>
          <w:color w:val="auto"/>
          <w:kern w:val="2"/>
          <w:sz w:val="24"/>
          <w:szCs w:val="24"/>
          <w:highlight w:val="none"/>
          <w:lang w:val="zh-CN" w:eastAsia="zh-CN" w:bidi="ar-SA"/>
        </w:rPr>
        <w:t>为工业用地。项目所在地周围无饮用水水源保护区、无地下水出口，也无大面积自然植被群落及珍稀动植物资源等。</w:t>
      </w:r>
    </w:p>
    <w:p w14:paraId="43AD79F9">
      <w:pPr>
        <w:pStyle w:val="18"/>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color w:val="auto"/>
          <w:highlight w:val="none"/>
          <w:lang w:eastAsia="zh-CN"/>
        </w:rPr>
      </w:pPr>
      <w:r>
        <w:rPr>
          <w:rFonts w:hint="default" w:ascii="Times New Roman" w:hAnsi="Times New Roman" w:eastAsia="宋体" w:cs="Times New Roman"/>
          <w:color w:val="auto"/>
          <w:kern w:val="2"/>
          <w:sz w:val="24"/>
          <w:szCs w:val="24"/>
          <w:highlight w:val="none"/>
          <w:lang w:val="zh-CN" w:eastAsia="zh-CN" w:bidi="ar-SA"/>
        </w:rPr>
        <w:t>根据对该地区的实地勘察和调查研究，评价范围内</w:t>
      </w:r>
      <w:r>
        <w:rPr>
          <w:rFonts w:hint="eastAsia" w:cs="Times New Roman"/>
          <w:color w:val="auto"/>
          <w:kern w:val="2"/>
          <w:sz w:val="24"/>
          <w:szCs w:val="24"/>
          <w:highlight w:val="none"/>
          <w:lang w:val="zh-CN" w:eastAsia="zh-CN" w:bidi="ar-SA"/>
        </w:rPr>
        <w:t>基本均为</w:t>
      </w:r>
      <w:r>
        <w:rPr>
          <w:rFonts w:hint="default" w:ascii="Times New Roman" w:hAnsi="Times New Roman" w:eastAsia="宋体" w:cs="Times New Roman"/>
          <w:color w:val="auto"/>
          <w:kern w:val="2"/>
          <w:sz w:val="24"/>
          <w:szCs w:val="24"/>
          <w:highlight w:val="none"/>
          <w:lang w:val="zh-CN" w:eastAsia="zh-CN" w:bidi="ar-SA"/>
        </w:rPr>
        <w:t>人工生态系统，厂址所在地周边为集中工业区。</w:t>
      </w:r>
    </w:p>
    <w:p w14:paraId="0E1F9C65">
      <w:pPr>
        <w:pStyle w:val="46"/>
        <w:jc w:val="center"/>
        <w:rPr>
          <w:rFonts w:hint="default" w:ascii="Times New Roman" w:hAnsi="Times New Roman" w:cs="Times New Roman"/>
          <w:color w:val="auto"/>
          <w:highlight w:val="none"/>
        </w:rPr>
      </w:pPr>
      <w:r>
        <w:rPr>
          <w:rFonts w:hint="eastAsia" w:ascii="Times New Roman" w:hAnsi="Times New Roman"/>
          <w:color w:val="auto"/>
          <w:highlight w:val="none"/>
          <w:lang w:eastAsia="zh-CN"/>
        </w:rPr>
        <w:br w:type="page"/>
      </w:r>
      <w:bookmarkStart w:id="327" w:name="_Toc20915"/>
      <w:bookmarkStart w:id="328" w:name="_Toc152922641"/>
      <w:bookmarkStart w:id="329" w:name="_Toc152922047"/>
      <w:r>
        <w:rPr>
          <w:rFonts w:hint="default" w:ascii="Times New Roman" w:hAnsi="Times New Roman" w:eastAsia="宋体" w:cs="Times New Roman"/>
          <w:b/>
          <w:bCs/>
          <w:color w:val="auto"/>
          <w:highlight w:val="none"/>
          <w:lang w:val="en-US" w:eastAsia="zh-CN"/>
        </w:rPr>
        <w:t>5环境影响预测与评价</w:t>
      </w:r>
      <w:bookmarkEnd w:id="327"/>
      <w:bookmarkEnd w:id="328"/>
      <w:bookmarkEnd w:id="329"/>
    </w:p>
    <w:p w14:paraId="0702B902">
      <w:pPr>
        <w:pStyle w:val="218"/>
        <w:spacing w:before="62" w:after="156"/>
        <w:rPr>
          <w:color w:val="auto"/>
          <w:highlight w:val="none"/>
        </w:rPr>
      </w:pPr>
      <w:bookmarkStart w:id="330" w:name="_Toc3430"/>
      <w:bookmarkStart w:id="331" w:name="_Toc152922642"/>
      <w:bookmarkStart w:id="332" w:name="_Toc152922048"/>
      <w:r>
        <w:rPr>
          <w:color w:val="auto"/>
          <w:highlight w:val="none"/>
        </w:rPr>
        <w:t>5.1施工期环境影响分析</w:t>
      </w:r>
      <w:bookmarkEnd w:id="330"/>
      <w:bookmarkEnd w:id="331"/>
      <w:bookmarkEnd w:id="332"/>
    </w:p>
    <w:p w14:paraId="0F108241">
      <w:pPr>
        <w:pStyle w:val="4"/>
        <w:spacing w:after="156"/>
        <w:rPr>
          <w:color w:val="auto"/>
          <w:highlight w:val="none"/>
        </w:rPr>
      </w:pPr>
      <w:bookmarkStart w:id="333" w:name="_Toc152922643"/>
      <w:bookmarkStart w:id="334" w:name="_Toc117150258"/>
      <w:bookmarkStart w:id="335" w:name="_Toc152923324"/>
      <w:bookmarkStart w:id="336" w:name="_Toc152922049"/>
      <w:bookmarkStart w:id="337" w:name="_Toc152921684"/>
      <w:r>
        <w:rPr>
          <w:color w:val="auto"/>
          <w:highlight w:val="none"/>
        </w:rPr>
        <w:t>5.1.1施工期大气环境影响分析</w:t>
      </w:r>
      <w:bookmarkEnd w:id="333"/>
      <w:bookmarkEnd w:id="334"/>
      <w:bookmarkEnd w:id="335"/>
      <w:bookmarkEnd w:id="336"/>
      <w:bookmarkEnd w:id="337"/>
    </w:p>
    <w:p w14:paraId="4E0A24D9">
      <w:pPr>
        <w:pStyle w:val="352"/>
        <w:ind w:firstLine="480"/>
        <w:rPr>
          <w:rFonts w:hint="default" w:ascii="Times New Roman" w:hAnsi="Times New Roman" w:eastAsia="宋体" w:cs="Times New Roman"/>
          <w:color w:val="auto"/>
          <w:highlight w:val="none"/>
          <w:lang w:val="en-US" w:eastAsia="zh-CN"/>
        </w:rPr>
      </w:pPr>
      <w:bookmarkStart w:id="338" w:name="_Toc152922644"/>
      <w:bookmarkStart w:id="339" w:name="_Toc152923325"/>
      <w:bookmarkStart w:id="340" w:name="_Toc152922050"/>
      <w:bookmarkStart w:id="341" w:name="_Toc152921685"/>
      <w:bookmarkStart w:id="342" w:name="_Toc117150259"/>
      <w:r>
        <w:rPr>
          <w:rFonts w:hint="eastAsia" w:ascii="Times New Roman" w:hAnsi="Times New Roman" w:eastAsia="宋体" w:cs="Times New Roman"/>
          <w:color w:val="auto"/>
          <w:highlight w:val="none"/>
        </w:rPr>
        <w:t>本项目施工期间的大气污染物主要为设备运输过程中产生的汽车尾气</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扬尘污染</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装修废气。</w:t>
      </w:r>
    </w:p>
    <w:p w14:paraId="275185B3">
      <w:pPr>
        <w:pStyle w:val="352"/>
        <w:ind w:firstLine="48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汽车尾气</w:t>
      </w:r>
    </w:p>
    <w:p w14:paraId="26E2217B">
      <w:pPr>
        <w:pStyle w:val="352"/>
        <w:ind w:firstLine="48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一般来说，项目设备安装过程中施工车辆使用</w:t>
      </w:r>
      <w:r>
        <w:rPr>
          <w:rFonts w:ascii="Times New Roman" w:hAnsi="Times New Roman" w:eastAsia="宋体" w:cs="Times New Roman"/>
          <w:color w:val="auto"/>
          <w:highlight w:val="none"/>
        </w:rPr>
        <w:t>较频繁</w:t>
      </w:r>
      <w:r>
        <w:rPr>
          <w:rFonts w:hint="eastAsia" w:ascii="Times New Roman" w:hAnsi="Times New Roman" w:eastAsia="宋体" w:cs="Times New Roman"/>
          <w:color w:val="auto"/>
          <w:highlight w:val="none"/>
        </w:rPr>
        <w:t>，在车辆使用过程中会产生</w:t>
      </w:r>
      <w:r>
        <w:rPr>
          <w:rFonts w:ascii="Times New Roman" w:hAnsi="Times New Roman" w:eastAsia="宋体" w:cs="Times New Roman"/>
          <w:color w:val="auto"/>
          <w:highlight w:val="none"/>
        </w:rPr>
        <w:t>机动车尾气</w:t>
      </w:r>
      <w:r>
        <w:rPr>
          <w:rFonts w:hint="eastAsia" w:ascii="Times New Roman" w:hAnsi="Times New Roman" w:eastAsia="宋体" w:cs="Times New Roman"/>
          <w:color w:val="auto"/>
          <w:highlight w:val="none"/>
        </w:rPr>
        <w:t>，其污染物主要有</w:t>
      </w:r>
      <w:r>
        <w:rPr>
          <w:rFonts w:ascii="Times New Roman" w:hAnsi="Times New Roman" w:eastAsia="宋体" w:cs="Times New Roman"/>
          <w:color w:val="auto"/>
          <w:highlight w:val="none"/>
        </w:rPr>
        <w:t>一氧化碳、碳氢化合物、氮氧化合物、微粒物（包括碳烟、硫酸盐、铅氧化物等）和二氧化碳等。</w:t>
      </w:r>
    </w:p>
    <w:p w14:paraId="05EB1089">
      <w:pPr>
        <w:pStyle w:val="352"/>
        <w:ind w:firstLine="480"/>
        <w:rPr>
          <w:rFonts w:ascii="Times New Roman" w:hAnsi="Times New Roman" w:eastAsia="宋体" w:cs="Times New Roman"/>
          <w:color w:val="auto"/>
          <w:highlight w:val="none"/>
        </w:rPr>
      </w:pPr>
      <w:r>
        <w:rPr>
          <w:rFonts w:ascii="Times New Roman" w:hAnsi="Times New Roman" w:eastAsia="宋体" w:cs="Times New Roman"/>
          <w:color w:val="auto"/>
          <w:highlight w:val="none"/>
        </w:rPr>
        <w:t>施工期间</w:t>
      </w:r>
      <w:r>
        <w:rPr>
          <w:rFonts w:hint="eastAsia" w:ascii="Times New Roman" w:hAnsi="Times New Roman" w:eastAsia="宋体" w:cs="Times New Roman"/>
          <w:color w:val="auto"/>
          <w:highlight w:val="none"/>
        </w:rPr>
        <w:t>运输设备车辆流动性强</w:t>
      </w:r>
      <w:r>
        <w:rPr>
          <w:rFonts w:ascii="Times New Roman" w:hAnsi="Times New Roman" w:eastAsia="宋体" w:cs="Times New Roman"/>
          <w:color w:val="auto"/>
          <w:highlight w:val="none"/>
        </w:rPr>
        <w:t>，所产生的废气较为分散，在易于扩散的气象条件下，施工机械尾气对周围环境影响不会很大。但工程车辆的行驶将加重周围环境的车辆尾气污染负荷，因此，施工单位应注意车辆保养，保证车辆尾气达标排放。</w:t>
      </w:r>
    </w:p>
    <w:p w14:paraId="07B3FBA2">
      <w:pPr>
        <w:pStyle w:val="352"/>
        <w:ind w:firstLine="48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（2）车辆行驶产生的扬尘</w:t>
      </w:r>
    </w:p>
    <w:p w14:paraId="18316A34">
      <w:pPr>
        <w:pStyle w:val="352"/>
        <w:ind w:firstLine="48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在完全干燥情况下，车辆行驶产生的扬尘可按下列经验公式计算：</w:t>
      </w:r>
    </w:p>
    <w:p w14:paraId="20DF1D9E">
      <w:pPr>
        <w:spacing w:line="360" w:lineRule="auto"/>
        <w:ind w:firstLine="480"/>
        <w:jc w:val="center"/>
        <w:rPr>
          <w:rFonts w:cs="Times New Roman"/>
          <w:color w:val="auto"/>
          <w:sz w:val="24"/>
          <w:szCs w:val="24"/>
          <w:highlight w:val="none"/>
          <w:vertAlign w:val="superscript"/>
        </w:rPr>
      </w:pPr>
      <w:r>
        <w:rPr>
          <w:rFonts w:cs="Times New Roman"/>
          <w:color w:val="auto"/>
          <w:sz w:val="24"/>
          <w:szCs w:val="24"/>
          <w:highlight w:val="none"/>
        </w:rPr>
        <w:t>Q=0.123（V/5）（W/6.8）</w:t>
      </w:r>
      <w:r>
        <w:rPr>
          <w:rFonts w:cs="Times New Roman"/>
          <w:color w:val="auto"/>
          <w:sz w:val="24"/>
          <w:szCs w:val="24"/>
          <w:highlight w:val="none"/>
          <w:vertAlign w:val="superscript"/>
        </w:rPr>
        <w:t>0.85</w:t>
      </w:r>
      <w:r>
        <w:rPr>
          <w:rFonts w:cs="Times New Roman"/>
          <w:color w:val="auto"/>
          <w:sz w:val="24"/>
          <w:szCs w:val="24"/>
          <w:highlight w:val="none"/>
        </w:rPr>
        <w:t>（P/0.5）</w:t>
      </w:r>
      <w:r>
        <w:rPr>
          <w:rFonts w:cs="Times New Roman"/>
          <w:color w:val="auto"/>
          <w:sz w:val="24"/>
          <w:szCs w:val="24"/>
          <w:highlight w:val="none"/>
          <w:vertAlign w:val="superscript"/>
        </w:rPr>
        <w:t>0.75</w:t>
      </w:r>
    </w:p>
    <w:p w14:paraId="0E2F20A4">
      <w:pPr>
        <w:pStyle w:val="352"/>
        <w:ind w:firstLine="48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式中：</w:t>
      </w:r>
    </w:p>
    <w:p w14:paraId="7BD66D45">
      <w:pPr>
        <w:pStyle w:val="352"/>
        <w:ind w:firstLine="48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Q—汽车行驶的扬尘，kg/km·辆；</w:t>
      </w:r>
    </w:p>
    <w:p w14:paraId="10D09969">
      <w:pPr>
        <w:pStyle w:val="352"/>
        <w:ind w:firstLine="48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V—汽车速度，km/hr；</w:t>
      </w:r>
    </w:p>
    <w:p w14:paraId="4B2EDDA2">
      <w:pPr>
        <w:pStyle w:val="352"/>
        <w:ind w:firstLine="48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W—汽车载重量，t；</w:t>
      </w:r>
    </w:p>
    <w:p w14:paraId="7A1AB8D7">
      <w:pPr>
        <w:pStyle w:val="352"/>
        <w:ind w:firstLine="48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P—道路表面粉尘量，kg/m</w:t>
      </w:r>
      <w:r>
        <w:rPr>
          <w:rFonts w:hint="eastAsia" w:ascii="Times New Roman" w:hAnsi="Times New Roman" w:eastAsia="宋体" w:cs="Times New Roman"/>
          <w:color w:val="auto"/>
          <w:highlight w:val="none"/>
          <w:vertAlign w:val="superscript"/>
        </w:rPr>
        <w:t>2</w:t>
      </w:r>
      <w:r>
        <w:rPr>
          <w:rFonts w:hint="eastAsia" w:ascii="Times New Roman" w:hAnsi="Times New Roman" w:eastAsia="宋体" w:cs="Times New Roman"/>
          <w:color w:val="auto"/>
          <w:highlight w:val="none"/>
        </w:rPr>
        <w:t>。</w:t>
      </w:r>
    </w:p>
    <w:p w14:paraId="65292605">
      <w:pPr>
        <w:pStyle w:val="352"/>
        <w:ind w:firstLine="480"/>
        <w:rPr>
          <w:rFonts w:hint="default" w:ascii="Times New Roman" w:hAnsi="Times New Roman" w:eastAsia="宋体" w:cs="Times New Roman"/>
          <w:color w:val="auto"/>
          <w:highlight w:val="none"/>
        </w:rPr>
      </w:pPr>
      <w:r>
        <w:rPr>
          <w:rFonts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5</w:t>
      </w:r>
      <w:r>
        <w:rPr>
          <w:rFonts w:ascii="Times New Roman" w:hAnsi="Times New Roman" w:eastAsia="宋体" w:cs="Times New Roman"/>
          <w:color w:val="auto"/>
          <w:highlight w:val="none"/>
        </w:rPr>
        <w:t>.1-1为一辆10t卡车在通过一段长度为1km的路面时，不同路面清洁程度、不同行驶速度情况下的扬尘量。由此可见，在同样路面清洁程度条件下，车速越快，扬尘量越大；而在同样车速情况下。路面越脏，则扬尘量越大。因</w:t>
      </w:r>
      <w:r>
        <w:rPr>
          <w:rFonts w:hint="eastAsia" w:cs="Times New Roman"/>
          <w:color w:val="auto"/>
          <w:highlight w:val="none"/>
          <w:lang w:val="en-US" w:eastAsia="zh-CN"/>
        </w:rPr>
        <w:t>此</w:t>
      </w:r>
      <w:r>
        <w:rPr>
          <w:rFonts w:ascii="Times New Roman" w:hAnsi="Times New Roman" w:eastAsia="宋体" w:cs="Times New Roman"/>
          <w:color w:val="auto"/>
          <w:highlight w:val="none"/>
        </w:rPr>
        <w:t>限制车辆行驶速度及保持路面的清洁是减少汽车扬尘的有效手段。</w:t>
      </w:r>
    </w:p>
    <w:p w14:paraId="6A3B4824">
      <w:pPr>
        <w:pStyle w:val="549"/>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 xml:space="preserve"> </w:t>
      </w:r>
      <w:r>
        <w:rPr>
          <w:rFonts w:hint="default" w:ascii="Times New Roman" w:hAnsi="Times New Roman" w:eastAsia="宋体" w:cs="Times New Roman"/>
          <w:color w:val="auto"/>
          <w:highlight w:val="none"/>
        </w:rPr>
        <w:t xml:space="preserve"> 车辆行驶时道路扬尘量</w:t>
      </w:r>
    </w:p>
    <w:tbl>
      <w:tblPr>
        <w:tblStyle w:val="49"/>
        <w:tblW w:w="4998" w:type="pct"/>
        <w:jc w:val="center"/>
        <w:tblLayout w:type="autofit"/>
        <w:tblCellMar>
          <w:top w:w="0" w:type="dxa"/>
          <w:left w:w="0" w:type="dxa"/>
          <w:bottom w:w="0" w:type="dxa"/>
          <w:right w:w="0" w:type="dxa"/>
        </w:tblCellMar>
      </w:tblPr>
      <w:tblGrid>
        <w:gridCol w:w="1506"/>
        <w:gridCol w:w="1088"/>
        <w:gridCol w:w="1090"/>
        <w:gridCol w:w="1090"/>
        <w:gridCol w:w="1226"/>
        <w:gridCol w:w="1090"/>
        <w:gridCol w:w="1223"/>
      </w:tblGrid>
      <w:tr w14:paraId="680B014B">
        <w:tblPrEx>
          <w:tblCellMar>
            <w:top w:w="0" w:type="dxa"/>
            <w:left w:w="0" w:type="dxa"/>
            <w:bottom w:w="0" w:type="dxa"/>
            <w:right w:w="0" w:type="dxa"/>
          </w:tblCellMar>
        </w:tblPrEx>
        <w:trPr>
          <w:trHeight w:val="90" w:hRule="atLeast"/>
          <w:jc w:val="center"/>
        </w:trPr>
        <w:tc>
          <w:tcPr>
            <w:tcW w:w="905" w:type="pct"/>
            <w:tcBorders>
              <w:top w:val="single" w:color="000000" w:sz="4" w:space="0"/>
              <w:left w:val="single" w:color="000000" w:sz="4" w:space="0"/>
              <w:bottom w:val="single" w:color="000000" w:sz="4" w:space="0"/>
              <w:right w:val="single" w:color="000000" w:sz="4" w:space="0"/>
              <w:tl2br w:val="single" w:color="000000" w:sz="4" w:space="0"/>
            </w:tcBorders>
            <w:noWrap w:val="0"/>
            <w:vAlign w:val="center"/>
          </w:tcPr>
          <w:p w14:paraId="12ED1389">
            <w:pPr>
              <w:pStyle w:val="563"/>
              <w:bidi w:val="0"/>
              <w:jc w:val="right"/>
              <w:rPr>
                <w:rFonts w:hint="default"/>
                <w:b/>
                <w:bCs/>
                <w:color w:val="auto"/>
                <w:highlight w:val="none"/>
              </w:rPr>
            </w:pPr>
            <w:r>
              <w:rPr>
                <w:b/>
                <w:bCs/>
                <w:color w:val="auto"/>
                <w:highlight w:val="none"/>
              </w:rPr>
              <w:t>车速</w:t>
            </w:r>
          </w:p>
          <w:p w14:paraId="443D9C2C">
            <w:pPr>
              <w:pStyle w:val="563"/>
              <w:bidi w:val="0"/>
              <w:jc w:val="left"/>
              <w:rPr>
                <w:rFonts w:hint="default"/>
                <w:b/>
                <w:bCs/>
                <w:color w:val="auto"/>
                <w:highlight w:val="none"/>
              </w:rPr>
            </w:pPr>
            <w:r>
              <w:rPr>
                <w:b/>
                <w:bCs/>
                <w:color w:val="auto"/>
                <w:highlight w:val="none"/>
              </w:rPr>
              <w:t>P</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0CDB7F06">
            <w:pPr>
              <w:pStyle w:val="563"/>
              <w:bidi w:val="0"/>
              <w:rPr>
                <w:rFonts w:hint="default"/>
                <w:b/>
                <w:bCs/>
                <w:color w:val="auto"/>
                <w:highlight w:val="none"/>
              </w:rPr>
            </w:pPr>
            <w:r>
              <w:rPr>
                <w:b/>
                <w:bCs/>
                <w:color w:val="auto"/>
                <w:highlight w:val="none"/>
              </w:rPr>
              <w:t>0.1</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4CABDF9F">
            <w:pPr>
              <w:pStyle w:val="563"/>
              <w:bidi w:val="0"/>
              <w:rPr>
                <w:rFonts w:hint="default"/>
                <w:b/>
                <w:bCs/>
                <w:color w:val="auto"/>
                <w:highlight w:val="none"/>
              </w:rPr>
            </w:pPr>
            <w:r>
              <w:rPr>
                <w:b/>
                <w:bCs/>
                <w:color w:val="auto"/>
                <w:highlight w:val="none"/>
              </w:rPr>
              <w:t>0.2</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2FB7CB85">
            <w:pPr>
              <w:pStyle w:val="563"/>
              <w:bidi w:val="0"/>
              <w:rPr>
                <w:rFonts w:hint="default"/>
                <w:b/>
                <w:bCs/>
                <w:color w:val="auto"/>
                <w:highlight w:val="none"/>
              </w:rPr>
            </w:pPr>
            <w:r>
              <w:rPr>
                <w:b/>
                <w:bCs/>
                <w:color w:val="auto"/>
                <w:highlight w:val="none"/>
              </w:rPr>
              <w:t>0.3</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151936FA">
            <w:pPr>
              <w:pStyle w:val="563"/>
              <w:bidi w:val="0"/>
              <w:rPr>
                <w:rFonts w:hint="default"/>
                <w:b/>
                <w:bCs/>
                <w:color w:val="auto"/>
                <w:highlight w:val="none"/>
              </w:rPr>
            </w:pPr>
            <w:r>
              <w:rPr>
                <w:b/>
                <w:bCs/>
                <w:color w:val="auto"/>
                <w:highlight w:val="none"/>
              </w:rPr>
              <w:t>0.4</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2A0D1453">
            <w:pPr>
              <w:pStyle w:val="563"/>
              <w:bidi w:val="0"/>
              <w:rPr>
                <w:rFonts w:hint="default"/>
                <w:b/>
                <w:bCs/>
                <w:color w:val="auto"/>
                <w:highlight w:val="none"/>
              </w:rPr>
            </w:pPr>
            <w:r>
              <w:rPr>
                <w:b/>
                <w:bCs/>
                <w:color w:val="auto"/>
                <w:highlight w:val="none"/>
              </w:rPr>
              <w:t>0.5</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0B6D7DB4">
            <w:pPr>
              <w:pStyle w:val="563"/>
              <w:bidi w:val="0"/>
              <w:rPr>
                <w:rFonts w:hint="default"/>
                <w:b/>
                <w:bCs/>
                <w:color w:val="auto"/>
                <w:highlight w:val="none"/>
              </w:rPr>
            </w:pPr>
            <w:r>
              <w:rPr>
                <w:b/>
                <w:bCs/>
                <w:color w:val="auto"/>
                <w:highlight w:val="none"/>
              </w:rPr>
              <w:t>1</w:t>
            </w:r>
          </w:p>
        </w:tc>
      </w:tr>
      <w:tr w14:paraId="61459B36">
        <w:tblPrEx>
          <w:tblCellMar>
            <w:top w:w="0" w:type="dxa"/>
            <w:left w:w="0" w:type="dxa"/>
            <w:bottom w:w="0" w:type="dxa"/>
            <w:right w:w="0" w:type="dxa"/>
          </w:tblCellMar>
        </w:tblPrEx>
        <w:trPr>
          <w:trHeight w:val="397" w:hRule="atLeast"/>
          <w:jc w:val="center"/>
        </w:trPr>
        <w:tc>
          <w:tcPr>
            <w:tcW w:w="905" w:type="pct"/>
            <w:tcBorders>
              <w:top w:val="single" w:color="000000" w:sz="4" w:space="0"/>
              <w:left w:val="single" w:color="000000" w:sz="4" w:space="0"/>
              <w:bottom w:val="single" w:color="000000" w:sz="4" w:space="0"/>
              <w:right w:val="single" w:color="000000" w:sz="4" w:space="0"/>
            </w:tcBorders>
            <w:noWrap w:val="0"/>
            <w:vAlign w:val="center"/>
          </w:tcPr>
          <w:p w14:paraId="70E03B05">
            <w:pPr>
              <w:pStyle w:val="563"/>
              <w:bidi w:val="0"/>
              <w:rPr>
                <w:rFonts w:hint="default"/>
                <w:color w:val="auto"/>
                <w:highlight w:val="none"/>
              </w:rPr>
            </w:pPr>
            <w:r>
              <w:rPr>
                <w:color w:val="auto"/>
                <w:highlight w:val="none"/>
              </w:rPr>
              <w:t>5（km/h）</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5E0CB0A4">
            <w:pPr>
              <w:pStyle w:val="563"/>
              <w:bidi w:val="0"/>
              <w:rPr>
                <w:rFonts w:hint="default"/>
                <w:color w:val="auto"/>
                <w:highlight w:val="none"/>
              </w:rPr>
            </w:pPr>
            <w:r>
              <w:rPr>
                <w:color w:val="auto"/>
                <w:highlight w:val="none"/>
              </w:rPr>
              <w:t>0.051</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101703ED">
            <w:pPr>
              <w:pStyle w:val="563"/>
              <w:bidi w:val="0"/>
              <w:rPr>
                <w:rFonts w:hint="default"/>
                <w:color w:val="auto"/>
                <w:highlight w:val="none"/>
              </w:rPr>
            </w:pPr>
            <w:r>
              <w:rPr>
                <w:color w:val="auto"/>
                <w:highlight w:val="none"/>
              </w:rPr>
              <w:t>0.086</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538C5E84">
            <w:pPr>
              <w:pStyle w:val="563"/>
              <w:bidi w:val="0"/>
              <w:rPr>
                <w:rFonts w:hint="default"/>
                <w:color w:val="auto"/>
                <w:highlight w:val="none"/>
              </w:rPr>
            </w:pPr>
            <w:r>
              <w:rPr>
                <w:color w:val="auto"/>
                <w:highlight w:val="none"/>
              </w:rPr>
              <w:t>0.116</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1F5FDE2B">
            <w:pPr>
              <w:pStyle w:val="563"/>
              <w:bidi w:val="0"/>
              <w:rPr>
                <w:rFonts w:hint="default"/>
                <w:color w:val="auto"/>
                <w:highlight w:val="none"/>
              </w:rPr>
            </w:pPr>
            <w:r>
              <w:rPr>
                <w:color w:val="auto"/>
                <w:highlight w:val="none"/>
              </w:rPr>
              <w:t>0.144</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7C7A5B0D">
            <w:pPr>
              <w:pStyle w:val="563"/>
              <w:bidi w:val="0"/>
              <w:rPr>
                <w:rFonts w:hint="default"/>
                <w:color w:val="auto"/>
                <w:highlight w:val="none"/>
              </w:rPr>
            </w:pPr>
            <w:r>
              <w:rPr>
                <w:color w:val="auto"/>
                <w:highlight w:val="none"/>
              </w:rPr>
              <w:t>0.171</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2EE54B10">
            <w:pPr>
              <w:pStyle w:val="563"/>
              <w:bidi w:val="0"/>
              <w:rPr>
                <w:rFonts w:hint="default"/>
                <w:color w:val="auto"/>
                <w:highlight w:val="none"/>
              </w:rPr>
            </w:pPr>
            <w:r>
              <w:rPr>
                <w:color w:val="auto"/>
                <w:highlight w:val="none"/>
              </w:rPr>
              <w:t>0.287</w:t>
            </w:r>
          </w:p>
        </w:tc>
      </w:tr>
      <w:tr w14:paraId="67F64E68">
        <w:tblPrEx>
          <w:tblCellMar>
            <w:top w:w="0" w:type="dxa"/>
            <w:left w:w="0" w:type="dxa"/>
            <w:bottom w:w="0" w:type="dxa"/>
            <w:right w:w="0" w:type="dxa"/>
          </w:tblCellMar>
        </w:tblPrEx>
        <w:trPr>
          <w:trHeight w:val="397" w:hRule="atLeast"/>
          <w:jc w:val="center"/>
        </w:trPr>
        <w:tc>
          <w:tcPr>
            <w:tcW w:w="905" w:type="pct"/>
            <w:tcBorders>
              <w:top w:val="single" w:color="000000" w:sz="4" w:space="0"/>
              <w:left w:val="single" w:color="000000" w:sz="4" w:space="0"/>
              <w:bottom w:val="single" w:color="000000" w:sz="4" w:space="0"/>
              <w:right w:val="single" w:color="000000" w:sz="4" w:space="0"/>
            </w:tcBorders>
            <w:noWrap w:val="0"/>
            <w:vAlign w:val="center"/>
          </w:tcPr>
          <w:p w14:paraId="1089E12A">
            <w:pPr>
              <w:pStyle w:val="563"/>
              <w:bidi w:val="0"/>
              <w:rPr>
                <w:rFonts w:hint="default"/>
                <w:color w:val="auto"/>
                <w:highlight w:val="none"/>
              </w:rPr>
            </w:pPr>
            <w:r>
              <w:rPr>
                <w:color w:val="auto"/>
                <w:highlight w:val="none"/>
              </w:rPr>
              <w:t>10（km/h）</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4333D5DD">
            <w:pPr>
              <w:pStyle w:val="563"/>
              <w:bidi w:val="0"/>
              <w:rPr>
                <w:rFonts w:hint="default"/>
                <w:color w:val="auto"/>
                <w:highlight w:val="none"/>
              </w:rPr>
            </w:pPr>
            <w:r>
              <w:rPr>
                <w:color w:val="auto"/>
                <w:highlight w:val="none"/>
              </w:rPr>
              <w:t>0.102</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75D7D6FB">
            <w:pPr>
              <w:pStyle w:val="563"/>
              <w:bidi w:val="0"/>
              <w:rPr>
                <w:rFonts w:hint="default"/>
                <w:color w:val="auto"/>
                <w:highlight w:val="none"/>
              </w:rPr>
            </w:pPr>
            <w:r>
              <w:rPr>
                <w:color w:val="auto"/>
                <w:highlight w:val="none"/>
              </w:rPr>
              <w:t>0.171</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0F4E22BB">
            <w:pPr>
              <w:pStyle w:val="563"/>
              <w:bidi w:val="0"/>
              <w:rPr>
                <w:rFonts w:hint="default"/>
                <w:color w:val="auto"/>
                <w:highlight w:val="none"/>
              </w:rPr>
            </w:pPr>
            <w:r>
              <w:rPr>
                <w:color w:val="auto"/>
                <w:highlight w:val="none"/>
              </w:rPr>
              <w:t>0.232</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5CD9DF9C">
            <w:pPr>
              <w:pStyle w:val="563"/>
              <w:bidi w:val="0"/>
              <w:rPr>
                <w:rFonts w:hint="default"/>
                <w:color w:val="auto"/>
                <w:highlight w:val="none"/>
              </w:rPr>
            </w:pPr>
            <w:r>
              <w:rPr>
                <w:color w:val="auto"/>
                <w:highlight w:val="none"/>
              </w:rPr>
              <w:t>0.289</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1BC6B0A0">
            <w:pPr>
              <w:pStyle w:val="563"/>
              <w:bidi w:val="0"/>
              <w:rPr>
                <w:rFonts w:hint="default"/>
                <w:color w:val="auto"/>
                <w:highlight w:val="none"/>
              </w:rPr>
            </w:pPr>
            <w:r>
              <w:rPr>
                <w:color w:val="auto"/>
                <w:highlight w:val="none"/>
              </w:rPr>
              <w:t>0.341</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00AFD7FA">
            <w:pPr>
              <w:pStyle w:val="563"/>
              <w:bidi w:val="0"/>
              <w:rPr>
                <w:rFonts w:hint="default"/>
                <w:color w:val="auto"/>
                <w:highlight w:val="none"/>
              </w:rPr>
            </w:pPr>
            <w:r>
              <w:rPr>
                <w:color w:val="auto"/>
                <w:highlight w:val="none"/>
              </w:rPr>
              <w:t>0.574</w:t>
            </w:r>
          </w:p>
        </w:tc>
      </w:tr>
      <w:tr w14:paraId="3CA1CEB8">
        <w:tblPrEx>
          <w:tblCellMar>
            <w:top w:w="0" w:type="dxa"/>
            <w:left w:w="0" w:type="dxa"/>
            <w:bottom w:w="0" w:type="dxa"/>
            <w:right w:w="0" w:type="dxa"/>
          </w:tblCellMar>
        </w:tblPrEx>
        <w:trPr>
          <w:trHeight w:val="397" w:hRule="atLeast"/>
          <w:jc w:val="center"/>
        </w:trPr>
        <w:tc>
          <w:tcPr>
            <w:tcW w:w="905" w:type="pct"/>
            <w:tcBorders>
              <w:top w:val="single" w:color="000000" w:sz="4" w:space="0"/>
              <w:left w:val="single" w:color="000000" w:sz="4" w:space="0"/>
              <w:bottom w:val="single" w:color="000000" w:sz="4" w:space="0"/>
              <w:right w:val="single" w:color="000000" w:sz="4" w:space="0"/>
            </w:tcBorders>
            <w:noWrap w:val="0"/>
            <w:vAlign w:val="center"/>
          </w:tcPr>
          <w:p w14:paraId="30D651C8">
            <w:pPr>
              <w:pStyle w:val="563"/>
              <w:bidi w:val="0"/>
              <w:rPr>
                <w:rFonts w:hint="default"/>
                <w:color w:val="auto"/>
                <w:highlight w:val="none"/>
              </w:rPr>
            </w:pPr>
            <w:r>
              <w:rPr>
                <w:color w:val="auto"/>
                <w:highlight w:val="none"/>
              </w:rPr>
              <w:t>15（km/h）</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4C447557">
            <w:pPr>
              <w:pStyle w:val="563"/>
              <w:bidi w:val="0"/>
              <w:rPr>
                <w:rFonts w:hint="default"/>
                <w:color w:val="auto"/>
                <w:highlight w:val="none"/>
              </w:rPr>
            </w:pPr>
            <w:r>
              <w:rPr>
                <w:color w:val="auto"/>
                <w:highlight w:val="none"/>
              </w:rPr>
              <w:t>0.153</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31EB990D">
            <w:pPr>
              <w:pStyle w:val="563"/>
              <w:bidi w:val="0"/>
              <w:rPr>
                <w:rFonts w:hint="default"/>
                <w:color w:val="auto"/>
                <w:highlight w:val="none"/>
              </w:rPr>
            </w:pPr>
            <w:r>
              <w:rPr>
                <w:color w:val="auto"/>
                <w:highlight w:val="none"/>
              </w:rPr>
              <w:t>0.257</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171CC9F4">
            <w:pPr>
              <w:pStyle w:val="563"/>
              <w:bidi w:val="0"/>
              <w:rPr>
                <w:rFonts w:hint="default"/>
                <w:color w:val="auto"/>
                <w:highlight w:val="none"/>
              </w:rPr>
            </w:pPr>
            <w:r>
              <w:rPr>
                <w:color w:val="auto"/>
                <w:highlight w:val="none"/>
              </w:rPr>
              <w:t>0.349</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1F61AF3A">
            <w:pPr>
              <w:pStyle w:val="563"/>
              <w:bidi w:val="0"/>
              <w:rPr>
                <w:rFonts w:hint="default"/>
                <w:color w:val="auto"/>
                <w:highlight w:val="none"/>
              </w:rPr>
            </w:pPr>
            <w:r>
              <w:rPr>
                <w:color w:val="auto"/>
                <w:highlight w:val="none"/>
              </w:rPr>
              <w:t>0.433</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70EBAC41">
            <w:pPr>
              <w:pStyle w:val="563"/>
              <w:bidi w:val="0"/>
              <w:rPr>
                <w:rFonts w:hint="default"/>
                <w:color w:val="auto"/>
                <w:highlight w:val="none"/>
              </w:rPr>
            </w:pPr>
            <w:r>
              <w:rPr>
                <w:color w:val="auto"/>
                <w:highlight w:val="none"/>
              </w:rPr>
              <w:t>0.512</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416963C5">
            <w:pPr>
              <w:pStyle w:val="563"/>
              <w:bidi w:val="0"/>
              <w:rPr>
                <w:rFonts w:hint="default"/>
                <w:color w:val="auto"/>
                <w:highlight w:val="none"/>
              </w:rPr>
            </w:pPr>
            <w:r>
              <w:rPr>
                <w:color w:val="auto"/>
                <w:highlight w:val="none"/>
              </w:rPr>
              <w:t>0.861</w:t>
            </w:r>
          </w:p>
        </w:tc>
      </w:tr>
      <w:tr w14:paraId="05E235A2">
        <w:tblPrEx>
          <w:tblCellMar>
            <w:top w:w="0" w:type="dxa"/>
            <w:left w:w="0" w:type="dxa"/>
            <w:bottom w:w="0" w:type="dxa"/>
            <w:right w:w="0" w:type="dxa"/>
          </w:tblCellMar>
        </w:tblPrEx>
        <w:trPr>
          <w:trHeight w:val="397" w:hRule="atLeast"/>
          <w:jc w:val="center"/>
        </w:trPr>
        <w:tc>
          <w:tcPr>
            <w:tcW w:w="905" w:type="pct"/>
            <w:tcBorders>
              <w:top w:val="single" w:color="000000" w:sz="4" w:space="0"/>
              <w:left w:val="single" w:color="000000" w:sz="4" w:space="0"/>
              <w:bottom w:val="single" w:color="000000" w:sz="4" w:space="0"/>
              <w:right w:val="single" w:color="000000" w:sz="4" w:space="0"/>
            </w:tcBorders>
            <w:noWrap w:val="0"/>
            <w:vAlign w:val="center"/>
          </w:tcPr>
          <w:p w14:paraId="36753CE0">
            <w:pPr>
              <w:pStyle w:val="563"/>
              <w:bidi w:val="0"/>
              <w:rPr>
                <w:rFonts w:hint="default"/>
                <w:color w:val="auto"/>
                <w:highlight w:val="none"/>
              </w:rPr>
            </w:pPr>
            <w:r>
              <w:rPr>
                <w:color w:val="auto"/>
                <w:highlight w:val="none"/>
              </w:rPr>
              <w:t>20（km/h）</w:t>
            </w:r>
          </w:p>
        </w:tc>
        <w:tc>
          <w:tcPr>
            <w:tcW w:w="654" w:type="pct"/>
            <w:tcBorders>
              <w:top w:val="single" w:color="000000" w:sz="4" w:space="0"/>
              <w:left w:val="single" w:color="000000" w:sz="4" w:space="0"/>
              <w:bottom w:val="single" w:color="000000" w:sz="4" w:space="0"/>
              <w:right w:val="single" w:color="000000" w:sz="4" w:space="0"/>
            </w:tcBorders>
            <w:noWrap w:val="0"/>
            <w:vAlign w:val="center"/>
          </w:tcPr>
          <w:p w14:paraId="6918F41A">
            <w:pPr>
              <w:pStyle w:val="563"/>
              <w:bidi w:val="0"/>
              <w:rPr>
                <w:rFonts w:hint="default"/>
                <w:color w:val="auto"/>
                <w:highlight w:val="none"/>
              </w:rPr>
            </w:pPr>
            <w:r>
              <w:rPr>
                <w:color w:val="auto"/>
                <w:highlight w:val="none"/>
              </w:rPr>
              <w:t>0.255</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1F5AAA8B">
            <w:pPr>
              <w:pStyle w:val="563"/>
              <w:bidi w:val="0"/>
              <w:rPr>
                <w:rFonts w:hint="default"/>
                <w:color w:val="auto"/>
                <w:highlight w:val="none"/>
              </w:rPr>
            </w:pPr>
            <w:r>
              <w:rPr>
                <w:color w:val="auto"/>
                <w:highlight w:val="none"/>
              </w:rPr>
              <w:t>0.429</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55FE2272">
            <w:pPr>
              <w:pStyle w:val="563"/>
              <w:bidi w:val="0"/>
              <w:rPr>
                <w:rFonts w:hint="default"/>
                <w:color w:val="auto"/>
                <w:highlight w:val="none"/>
              </w:rPr>
            </w:pPr>
            <w:r>
              <w:rPr>
                <w:color w:val="auto"/>
                <w:highlight w:val="none"/>
              </w:rPr>
              <w:t>0.582</w:t>
            </w:r>
          </w:p>
        </w:tc>
        <w:tc>
          <w:tcPr>
            <w:tcW w:w="737" w:type="pct"/>
            <w:tcBorders>
              <w:top w:val="single" w:color="000000" w:sz="4" w:space="0"/>
              <w:left w:val="single" w:color="000000" w:sz="4" w:space="0"/>
              <w:bottom w:val="single" w:color="000000" w:sz="4" w:space="0"/>
              <w:right w:val="single" w:color="000000" w:sz="4" w:space="0"/>
            </w:tcBorders>
            <w:noWrap w:val="0"/>
            <w:vAlign w:val="center"/>
          </w:tcPr>
          <w:p w14:paraId="13F71C2B">
            <w:pPr>
              <w:pStyle w:val="563"/>
              <w:bidi w:val="0"/>
              <w:rPr>
                <w:rFonts w:hint="default"/>
                <w:color w:val="auto"/>
                <w:highlight w:val="none"/>
              </w:rPr>
            </w:pPr>
            <w:r>
              <w:rPr>
                <w:color w:val="auto"/>
                <w:highlight w:val="none"/>
              </w:rPr>
              <w:t>0.722</w:t>
            </w:r>
          </w:p>
        </w:tc>
        <w:tc>
          <w:tcPr>
            <w:tcW w:w="655" w:type="pct"/>
            <w:tcBorders>
              <w:top w:val="single" w:color="000000" w:sz="4" w:space="0"/>
              <w:left w:val="single" w:color="000000" w:sz="4" w:space="0"/>
              <w:bottom w:val="single" w:color="000000" w:sz="4" w:space="0"/>
              <w:right w:val="single" w:color="000000" w:sz="4" w:space="0"/>
            </w:tcBorders>
            <w:noWrap w:val="0"/>
            <w:vAlign w:val="center"/>
          </w:tcPr>
          <w:p w14:paraId="61CF8788">
            <w:pPr>
              <w:pStyle w:val="563"/>
              <w:bidi w:val="0"/>
              <w:rPr>
                <w:rFonts w:hint="default"/>
                <w:color w:val="auto"/>
                <w:highlight w:val="none"/>
              </w:rPr>
            </w:pPr>
            <w:r>
              <w:rPr>
                <w:color w:val="auto"/>
                <w:highlight w:val="none"/>
              </w:rPr>
              <w:t>0.853</w:t>
            </w:r>
          </w:p>
        </w:tc>
        <w:tc>
          <w:tcPr>
            <w:tcW w:w="735" w:type="pct"/>
            <w:tcBorders>
              <w:top w:val="single" w:color="000000" w:sz="4" w:space="0"/>
              <w:left w:val="single" w:color="000000" w:sz="4" w:space="0"/>
              <w:bottom w:val="single" w:color="000000" w:sz="4" w:space="0"/>
              <w:right w:val="single" w:color="000000" w:sz="4" w:space="0"/>
            </w:tcBorders>
            <w:noWrap w:val="0"/>
            <w:vAlign w:val="center"/>
          </w:tcPr>
          <w:p w14:paraId="29E2A068">
            <w:pPr>
              <w:pStyle w:val="563"/>
              <w:bidi w:val="0"/>
              <w:rPr>
                <w:rFonts w:hint="default"/>
                <w:color w:val="auto"/>
                <w:highlight w:val="none"/>
              </w:rPr>
            </w:pPr>
            <w:r>
              <w:rPr>
                <w:color w:val="auto"/>
                <w:highlight w:val="none"/>
              </w:rPr>
              <w:t>1.435</w:t>
            </w:r>
          </w:p>
        </w:tc>
      </w:tr>
    </w:tbl>
    <w:p w14:paraId="7A03920F">
      <w:pPr>
        <w:pStyle w:val="352"/>
        <w:ind w:firstLine="48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3</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施工扬尘</w:t>
      </w:r>
    </w:p>
    <w:p w14:paraId="14C477F4">
      <w:pPr>
        <w:pStyle w:val="352"/>
        <w:ind w:firstLine="48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rPr>
        <w:t>施工场地扬尘主要来源于材料运输和堆放、土石方开挖和回填等施工作业过程中产生的粉尘等，影响范围主要在施工场地边界外</w:t>
      </w:r>
      <w:r>
        <w:rPr>
          <w:rFonts w:ascii="Times New Roman" w:hAnsi="Times New Roman" w:eastAsia="宋体" w:cs="Times New Roman"/>
          <w:color w:val="auto"/>
          <w:highlight w:val="none"/>
          <w:lang w:val="en-US"/>
        </w:rPr>
        <w:t>200m</w:t>
      </w:r>
      <w:r>
        <w:rPr>
          <w:rFonts w:hint="eastAsia" w:ascii="Times New Roman" w:hAnsi="Times New Roman" w:eastAsia="宋体" w:cs="Times New Roman"/>
          <w:color w:val="auto"/>
          <w:highlight w:val="none"/>
          <w:lang w:val="en-US"/>
        </w:rPr>
        <w:t>范围内，在扬尘点下风向</w:t>
      </w:r>
      <w:r>
        <w:rPr>
          <w:rFonts w:ascii="Times New Roman" w:hAnsi="Times New Roman" w:eastAsia="宋体" w:cs="Times New Roman"/>
          <w:color w:val="auto"/>
          <w:highlight w:val="none"/>
          <w:lang w:val="en-US"/>
        </w:rPr>
        <w:t>0-50m</w:t>
      </w:r>
      <w:r>
        <w:rPr>
          <w:rFonts w:hint="eastAsia" w:ascii="Times New Roman" w:hAnsi="Times New Roman" w:eastAsia="宋体" w:cs="Times New Roman"/>
          <w:color w:val="auto"/>
          <w:highlight w:val="none"/>
          <w:lang w:val="en-US"/>
        </w:rPr>
        <w:t>为重污染带，</w:t>
      </w:r>
      <w:r>
        <w:rPr>
          <w:rFonts w:ascii="Times New Roman" w:hAnsi="Times New Roman" w:eastAsia="宋体" w:cs="Times New Roman"/>
          <w:color w:val="auto"/>
          <w:highlight w:val="none"/>
          <w:lang w:val="en-US"/>
        </w:rPr>
        <w:t>50-100m</w:t>
      </w:r>
      <w:r>
        <w:rPr>
          <w:rFonts w:hint="eastAsia" w:ascii="Times New Roman" w:hAnsi="Times New Roman" w:eastAsia="宋体" w:cs="Times New Roman"/>
          <w:color w:val="auto"/>
          <w:highlight w:val="none"/>
          <w:lang w:val="en-US"/>
        </w:rPr>
        <w:t>为较重污染带，</w:t>
      </w:r>
      <w:r>
        <w:rPr>
          <w:rFonts w:ascii="Times New Roman" w:hAnsi="Times New Roman" w:eastAsia="宋体" w:cs="Times New Roman"/>
          <w:color w:val="auto"/>
          <w:highlight w:val="none"/>
          <w:lang w:val="en-US"/>
        </w:rPr>
        <w:t>100-200m</w:t>
      </w:r>
      <w:r>
        <w:rPr>
          <w:rFonts w:hint="eastAsia" w:ascii="Times New Roman" w:hAnsi="Times New Roman" w:eastAsia="宋体" w:cs="Times New Roman"/>
          <w:color w:val="auto"/>
          <w:highlight w:val="none"/>
          <w:lang w:val="en-US"/>
        </w:rPr>
        <w:t>为轻污染带，</w:t>
      </w:r>
      <w:r>
        <w:rPr>
          <w:rFonts w:ascii="Times New Roman" w:hAnsi="Times New Roman" w:eastAsia="宋体" w:cs="Times New Roman"/>
          <w:color w:val="auto"/>
          <w:highlight w:val="none"/>
          <w:lang w:val="en-US"/>
        </w:rPr>
        <w:t>200m</w:t>
      </w:r>
      <w:r>
        <w:rPr>
          <w:rFonts w:hint="eastAsia" w:ascii="Times New Roman" w:hAnsi="Times New Roman" w:eastAsia="宋体" w:cs="Times New Roman"/>
          <w:color w:val="auto"/>
          <w:highlight w:val="none"/>
          <w:lang w:val="en-US"/>
        </w:rPr>
        <w:t>以外对大气影响甚微。施工场地的扬尘可用洒水和清扫措施予以防治。根据类比调查，洒水与否所造成的环境影响差异较大，而且越接近厂界效果越好，详见表</w:t>
      </w:r>
      <w:r>
        <w:rPr>
          <w:rFonts w:hint="eastAsia" w:ascii="Times New Roman" w:hAnsi="Times New Roman" w:eastAsia="宋体" w:cs="Times New Roman"/>
          <w:color w:val="auto"/>
          <w:highlight w:val="none"/>
          <w:lang w:val="en-US" w:eastAsia="zh-CN"/>
        </w:rPr>
        <w:t>5</w:t>
      </w:r>
      <w:r>
        <w:rPr>
          <w:rFonts w:ascii="Times New Roman" w:hAnsi="Times New Roman" w:eastAsia="宋体" w:cs="Times New Roman"/>
          <w:color w:val="auto"/>
          <w:highlight w:val="none"/>
          <w:lang w:val="en-US"/>
        </w:rPr>
        <w:t>.1-</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rPr>
        <w:t>。</w:t>
      </w:r>
    </w:p>
    <w:p w14:paraId="5DE7D52B">
      <w:pPr>
        <w:pStyle w:val="549"/>
        <w:bidi w:val="0"/>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表</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val="en-US" w:eastAsia="zh-CN"/>
        </w:rPr>
        <w:t xml:space="preserve">2  </w:t>
      </w:r>
      <w:r>
        <w:rPr>
          <w:rFonts w:hint="default" w:ascii="Times New Roman" w:hAnsi="Times New Roman" w:eastAsia="宋体" w:cs="Times New Roman"/>
          <w:color w:val="auto"/>
          <w:sz w:val="24"/>
          <w:szCs w:val="24"/>
          <w:highlight w:val="none"/>
        </w:rPr>
        <w:t>施工扬尘（TSP）浓度变化分析表</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单位：mg/</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eastAsia" w:cs="Times New Roman"/>
          <w:color w:val="auto"/>
          <w:sz w:val="24"/>
          <w:szCs w:val="24"/>
          <w:highlight w:val="none"/>
          <w:lang w:eastAsia="zh-CN"/>
        </w:rPr>
        <w:t>）</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57"/>
        <w:gridCol w:w="1101"/>
        <w:gridCol w:w="1183"/>
        <w:gridCol w:w="1125"/>
        <w:gridCol w:w="1202"/>
        <w:gridCol w:w="1129"/>
        <w:gridCol w:w="1119"/>
      </w:tblGrid>
      <w:tr w14:paraId="1208E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491" w:type="dxa"/>
            <w:noWrap w:val="0"/>
            <w:vAlign w:val="center"/>
          </w:tcPr>
          <w:p w14:paraId="29E19185">
            <w:pPr>
              <w:pStyle w:val="563"/>
              <w:bidi w:val="0"/>
              <w:rPr>
                <w:rFonts w:hint="default" w:ascii="Times New Roman" w:hAnsi="Times New Roman" w:eastAsia="宋体"/>
                <w:b/>
                <w:bCs/>
                <w:color w:val="auto"/>
                <w:highlight w:val="none"/>
              </w:rPr>
            </w:pPr>
            <w:r>
              <w:rPr>
                <w:rFonts w:ascii="Times New Roman" w:hAnsi="Times New Roman" w:eastAsia="宋体"/>
                <w:b/>
                <w:bCs/>
                <w:color w:val="auto"/>
                <w:highlight w:val="none"/>
              </w:rPr>
              <w:t>距离（m）</w:t>
            </w:r>
          </w:p>
        </w:tc>
        <w:tc>
          <w:tcPr>
            <w:tcW w:w="1125" w:type="dxa"/>
            <w:noWrap w:val="0"/>
            <w:vAlign w:val="center"/>
          </w:tcPr>
          <w:p w14:paraId="423D0650">
            <w:pPr>
              <w:pStyle w:val="563"/>
              <w:bidi w:val="0"/>
              <w:rPr>
                <w:rFonts w:hint="default" w:ascii="Times New Roman" w:hAnsi="Times New Roman" w:eastAsia="宋体"/>
                <w:b/>
                <w:bCs/>
                <w:color w:val="auto"/>
                <w:highlight w:val="none"/>
              </w:rPr>
            </w:pPr>
            <w:r>
              <w:rPr>
                <w:rFonts w:ascii="Times New Roman" w:hAnsi="Times New Roman" w:eastAsia="宋体"/>
                <w:b/>
                <w:bCs/>
                <w:color w:val="auto"/>
                <w:highlight w:val="none"/>
              </w:rPr>
              <w:t>10</w:t>
            </w:r>
          </w:p>
        </w:tc>
        <w:tc>
          <w:tcPr>
            <w:tcW w:w="1215" w:type="dxa"/>
            <w:noWrap w:val="0"/>
            <w:vAlign w:val="center"/>
          </w:tcPr>
          <w:p w14:paraId="6692588E">
            <w:pPr>
              <w:pStyle w:val="563"/>
              <w:bidi w:val="0"/>
              <w:rPr>
                <w:rFonts w:hint="default" w:ascii="Times New Roman" w:hAnsi="Times New Roman" w:eastAsia="宋体"/>
                <w:b/>
                <w:bCs/>
                <w:color w:val="auto"/>
                <w:highlight w:val="none"/>
              </w:rPr>
            </w:pPr>
            <w:r>
              <w:rPr>
                <w:rFonts w:ascii="Times New Roman" w:hAnsi="Times New Roman" w:eastAsia="宋体"/>
                <w:b/>
                <w:bCs/>
                <w:color w:val="auto"/>
                <w:highlight w:val="none"/>
              </w:rPr>
              <w:t>20</w:t>
            </w:r>
          </w:p>
        </w:tc>
        <w:tc>
          <w:tcPr>
            <w:tcW w:w="1155" w:type="dxa"/>
            <w:noWrap w:val="0"/>
            <w:vAlign w:val="center"/>
          </w:tcPr>
          <w:p w14:paraId="11FC0B95">
            <w:pPr>
              <w:pStyle w:val="563"/>
              <w:bidi w:val="0"/>
              <w:rPr>
                <w:rFonts w:hint="default" w:ascii="Times New Roman" w:hAnsi="Times New Roman" w:eastAsia="宋体"/>
                <w:b/>
                <w:bCs/>
                <w:color w:val="auto"/>
                <w:highlight w:val="none"/>
              </w:rPr>
            </w:pPr>
            <w:r>
              <w:rPr>
                <w:rFonts w:ascii="Times New Roman" w:hAnsi="Times New Roman" w:eastAsia="宋体"/>
                <w:b/>
                <w:bCs/>
                <w:color w:val="auto"/>
                <w:highlight w:val="none"/>
              </w:rPr>
              <w:t>30</w:t>
            </w:r>
          </w:p>
        </w:tc>
        <w:tc>
          <w:tcPr>
            <w:tcW w:w="1230" w:type="dxa"/>
            <w:noWrap w:val="0"/>
            <w:vAlign w:val="center"/>
          </w:tcPr>
          <w:p w14:paraId="224AC95C">
            <w:pPr>
              <w:pStyle w:val="563"/>
              <w:bidi w:val="0"/>
              <w:rPr>
                <w:rFonts w:hint="default" w:ascii="Times New Roman" w:hAnsi="Times New Roman" w:eastAsia="宋体"/>
                <w:b/>
                <w:bCs/>
                <w:color w:val="auto"/>
                <w:highlight w:val="none"/>
              </w:rPr>
            </w:pPr>
            <w:r>
              <w:rPr>
                <w:rFonts w:ascii="Times New Roman" w:hAnsi="Times New Roman" w:eastAsia="宋体"/>
                <w:b/>
                <w:bCs/>
                <w:color w:val="auto"/>
                <w:highlight w:val="none"/>
              </w:rPr>
              <w:t>40</w:t>
            </w:r>
          </w:p>
        </w:tc>
        <w:tc>
          <w:tcPr>
            <w:tcW w:w="1155" w:type="dxa"/>
            <w:noWrap w:val="0"/>
            <w:vAlign w:val="center"/>
          </w:tcPr>
          <w:p w14:paraId="341030A7">
            <w:pPr>
              <w:pStyle w:val="563"/>
              <w:bidi w:val="0"/>
              <w:rPr>
                <w:rFonts w:hint="default" w:ascii="Times New Roman" w:hAnsi="Times New Roman" w:eastAsia="宋体"/>
                <w:b/>
                <w:bCs/>
                <w:color w:val="auto"/>
                <w:highlight w:val="none"/>
              </w:rPr>
            </w:pPr>
            <w:r>
              <w:rPr>
                <w:rFonts w:ascii="Times New Roman" w:hAnsi="Times New Roman" w:eastAsia="宋体"/>
                <w:b/>
                <w:bCs/>
                <w:color w:val="auto"/>
                <w:highlight w:val="none"/>
              </w:rPr>
              <w:t>50</w:t>
            </w:r>
          </w:p>
        </w:tc>
        <w:tc>
          <w:tcPr>
            <w:tcW w:w="1144" w:type="dxa"/>
            <w:noWrap w:val="0"/>
            <w:vAlign w:val="center"/>
          </w:tcPr>
          <w:p w14:paraId="1006172D">
            <w:pPr>
              <w:pStyle w:val="563"/>
              <w:bidi w:val="0"/>
              <w:rPr>
                <w:rFonts w:hint="default" w:ascii="Times New Roman" w:hAnsi="Times New Roman" w:eastAsia="宋体"/>
                <w:b/>
                <w:bCs/>
                <w:color w:val="auto"/>
                <w:highlight w:val="none"/>
              </w:rPr>
            </w:pPr>
            <w:r>
              <w:rPr>
                <w:rFonts w:ascii="Times New Roman" w:hAnsi="Times New Roman" w:eastAsia="宋体"/>
                <w:b/>
                <w:bCs/>
                <w:color w:val="auto"/>
                <w:highlight w:val="none"/>
              </w:rPr>
              <w:t>100</w:t>
            </w:r>
          </w:p>
        </w:tc>
      </w:tr>
      <w:tr w14:paraId="54D59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491" w:type="dxa"/>
            <w:noWrap w:val="0"/>
            <w:vAlign w:val="center"/>
          </w:tcPr>
          <w:p w14:paraId="791F6FF5">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场地不洒水</w:t>
            </w:r>
          </w:p>
        </w:tc>
        <w:tc>
          <w:tcPr>
            <w:tcW w:w="1125" w:type="dxa"/>
            <w:noWrap w:val="0"/>
            <w:vAlign w:val="center"/>
          </w:tcPr>
          <w:p w14:paraId="72A4C613">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1.75</w:t>
            </w:r>
          </w:p>
        </w:tc>
        <w:tc>
          <w:tcPr>
            <w:tcW w:w="1215" w:type="dxa"/>
            <w:noWrap w:val="0"/>
            <w:vAlign w:val="center"/>
          </w:tcPr>
          <w:p w14:paraId="7613775D">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1.3</w:t>
            </w:r>
          </w:p>
        </w:tc>
        <w:tc>
          <w:tcPr>
            <w:tcW w:w="1155" w:type="dxa"/>
            <w:noWrap w:val="0"/>
            <w:vAlign w:val="center"/>
          </w:tcPr>
          <w:p w14:paraId="2ABE8027">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0.78</w:t>
            </w:r>
          </w:p>
        </w:tc>
        <w:tc>
          <w:tcPr>
            <w:tcW w:w="1230" w:type="dxa"/>
            <w:noWrap w:val="0"/>
            <w:vAlign w:val="center"/>
          </w:tcPr>
          <w:p w14:paraId="15276236">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0.365</w:t>
            </w:r>
          </w:p>
        </w:tc>
        <w:tc>
          <w:tcPr>
            <w:tcW w:w="1155" w:type="dxa"/>
            <w:noWrap w:val="0"/>
            <w:vAlign w:val="center"/>
          </w:tcPr>
          <w:p w14:paraId="5D1332A9">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0.345</w:t>
            </w:r>
          </w:p>
        </w:tc>
        <w:tc>
          <w:tcPr>
            <w:tcW w:w="1144" w:type="dxa"/>
            <w:noWrap w:val="0"/>
            <w:vAlign w:val="center"/>
          </w:tcPr>
          <w:p w14:paraId="2E813815">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0.33</w:t>
            </w:r>
          </w:p>
        </w:tc>
      </w:tr>
      <w:tr w14:paraId="79575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491" w:type="dxa"/>
            <w:noWrap w:val="0"/>
            <w:vAlign w:val="center"/>
          </w:tcPr>
          <w:p w14:paraId="55398383">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场地洒水后</w:t>
            </w:r>
          </w:p>
        </w:tc>
        <w:tc>
          <w:tcPr>
            <w:tcW w:w="1125" w:type="dxa"/>
            <w:noWrap w:val="0"/>
            <w:vAlign w:val="center"/>
          </w:tcPr>
          <w:p w14:paraId="085E6C7F">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0.435</w:t>
            </w:r>
          </w:p>
        </w:tc>
        <w:tc>
          <w:tcPr>
            <w:tcW w:w="1215" w:type="dxa"/>
            <w:noWrap w:val="0"/>
            <w:vAlign w:val="center"/>
          </w:tcPr>
          <w:p w14:paraId="3019E615">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0.35</w:t>
            </w:r>
          </w:p>
        </w:tc>
        <w:tc>
          <w:tcPr>
            <w:tcW w:w="1155" w:type="dxa"/>
            <w:noWrap w:val="0"/>
            <w:vAlign w:val="center"/>
          </w:tcPr>
          <w:p w14:paraId="0469B088">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0.31</w:t>
            </w:r>
          </w:p>
        </w:tc>
        <w:tc>
          <w:tcPr>
            <w:tcW w:w="1230" w:type="dxa"/>
            <w:noWrap w:val="0"/>
            <w:vAlign w:val="center"/>
          </w:tcPr>
          <w:p w14:paraId="367B692B">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0.265</w:t>
            </w:r>
          </w:p>
        </w:tc>
        <w:tc>
          <w:tcPr>
            <w:tcW w:w="1155" w:type="dxa"/>
            <w:noWrap w:val="0"/>
            <w:vAlign w:val="center"/>
          </w:tcPr>
          <w:p w14:paraId="305C4EB6">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0.25</w:t>
            </w:r>
          </w:p>
        </w:tc>
        <w:tc>
          <w:tcPr>
            <w:tcW w:w="1144" w:type="dxa"/>
            <w:noWrap w:val="0"/>
            <w:vAlign w:val="center"/>
          </w:tcPr>
          <w:p w14:paraId="3DBDE774">
            <w:pPr>
              <w:pStyle w:val="563"/>
              <w:bidi w:val="0"/>
              <w:rPr>
                <w:rFonts w:hint="default" w:ascii="Times New Roman" w:hAnsi="Times New Roman" w:eastAsia="宋体"/>
                <w:color w:val="auto"/>
                <w:highlight w:val="none"/>
              </w:rPr>
            </w:pPr>
            <w:r>
              <w:rPr>
                <w:rFonts w:ascii="Times New Roman" w:hAnsi="Times New Roman" w:eastAsia="宋体"/>
                <w:color w:val="auto"/>
                <w:highlight w:val="none"/>
              </w:rPr>
              <w:t>0.238</w:t>
            </w:r>
          </w:p>
        </w:tc>
      </w:tr>
    </w:tbl>
    <w:p w14:paraId="73390F7B">
      <w:pPr>
        <w:pStyle w:val="352"/>
        <w:ind w:firstLine="480"/>
        <w:rPr>
          <w:rFonts w:ascii="Times New Roman" w:hAnsi="Times New Roman" w:eastAsia="宋体" w:cs="Times New Roman"/>
          <w:color w:val="auto"/>
          <w:highlight w:val="none"/>
          <w:lang w:val="en-US"/>
        </w:rPr>
      </w:pPr>
      <w:r>
        <w:rPr>
          <w:rFonts w:hint="eastAsia" w:ascii="Times New Roman" w:hAnsi="Times New Roman" w:eastAsia="宋体" w:cs="Times New Roman"/>
          <w:color w:val="auto"/>
          <w:highlight w:val="none"/>
          <w:lang w:val="en-US"/>
        </w:rPr>
        <w:t>从上表可知，洒水抑尘可以使施工场地扬尘在</w:t>
      </w:r>
      <w:r>
        <w:rPr>
          <w:rFonts w:ascii="Times New Roman" w:hAnsi="Times New Roman" w:eastAsia="宋体" w:cs="Times New Roman"/>
          <w:color w:val="auto"/>
          <w:highlight w:val="none"/>
          <w:lang w:val="en-US"/>
        </w:rPr>
        <w:t>30-40m</w:t>
      </w:r>
      <w:r>
        <w:rPr>
          <w:rFonts w:hint="eastAsia" w:ascii="Times New Roman" w:hAnsi="Times New Roman" w:eastAsia="宋体" w:cs="Times New Roman"/>
          <w:color w:val="auto"/>
          <w:highlight w:val="none"/>
          <w:lang w:val="en-US"/>
        </w:rPr>
        <w:t>的距离内接近和达到《大气污染物综合排放标准》（</w:t>
      </w:r>
      <w:r>
        <w:rPr>
          <w:rFonts w:ascii="Times New Roman" w:hAnsi="Times New Roman" w:eastAsia="宋体" w:cs="Times New Roman"/>
          <w:color w:val="auto"/>
          <w:highlight w:val="none"/>
          <w:lang w:val="en-US"/>
        </w:rPr>
        <w:t>GB16297-1996</w:t>
      </w:r>
      <w:r>
        <w:rPr>
          <w:rFonts w:hint="eastAsia" w:ascii="Times New Roman" w:hAnsi="Times New Roman" w:eastAsia="宋体" w:cs="Times New Roman"/>
          <w:color w:val="auto"/>
          <w:highlight w:val="none"/>
          <w:lang w:val="en-US"/>
        </w:rPr>
        <w:t>）</w:t>
      </w:r>
      <w:r>
        <w:rPr>
          <w:rFonts w:ascii="Times New Roman" w:hAnsi="Times New Roman" w:eastAsia="宋体" w:cs="Times New Roman"/>
          <w:color w:val="auto"/>
          <w:highlight w:val="none"/>
          <w:lang w:val="en-US"/>
        </w:rPr>
        <w:t>TSP</w:t>
      </w:r>
      <w:r>
        <w:rPr>
          <w:rFonts w:hint="eastAsia" w:ascii="Times New Roman" w:hAnsi="Times New Roman" w:eastAsia="宋体" w:cs="Times New Roman"/>
          <w:color w:val="auto"/>
          <w:highlight w:val="none"/>
          <w:lang w:val="en-US"/>
        </w:rPr>
        <w:t>的日均二级标准。</w:t>
      </w:r>
    </w:p>
    <w:p w14:paraId="23529761">
      <w:pPr>
        <w:pStyle w:val="352"/>
        <w:ind w:firstLine="480"/>
        <w:rPr>
          <w:rFonts w:ascii="Times New Roman" w:hAnsi="Times New Roman" w:eastAsia="宋体" w:cs="Times New Roman"/>
          <w:color w:val="auto"/>
          <w:highlight w:val="none"/>
        </w:rPr>
      </w:pPr>
      <w:r>
        <w:rPr>
          <w:rFonts w:ascii="Times New Roman" w:hAnsi="Times New Roman" w:eastAsia="宋体" w:cs="Times New Roman"/>
          <w:color w:val="auto"/>
          <w:highlight w:val="none"/>
        </w:rPr>
        <w:t>此外，项目在实施过程中应加强扬尘治理，施工工地要做到工地周边围挡、物料堆放覆盖、土方开挖湿法作业、出入车辆清洗、渣土车辆密闭运输</w:t>
      </w: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rPr>
        <w:t>五</w:t>
      </w:r>
      <w:r>
        <w:rPr>
          <w:rFonts w:ascii="Times New Roman" w:hAnsi="Times New Roman" w:eastAsia="宋体" w:cs="Times New Roman"/>
          <w:color w:val="auto"/>
          <w:highlight w:val="none"/>
        </w:rPr>
        <w:t>个百分之百，即为1、施工工地周边100%围挡；2、出入车辆100%冲洗；3、拆迁工地100%湿法作业；4、渣土车辆100%密闭运输；</w:t>
      </w:r>
      <w:r>
        <w:rPr>
          <w:rFonts w:hint="eastAsia" w:ascii="Times New Roman" w:hAnsi="Times New Roman" w:eastAsia="宋体" w:cs="Times New Roman"/>
          <w:color w:val="auto"/>
          <w:highlight w:val="none"/>
          <w:lang w:val="en-US"/>
        </w:rPr>
        <w:t>5</w:t>
      </w:r>
      <w:r>
        <w:rPr>
          <w:rFonts w:ascii="Times New Roman" w:hAnsi="Times New Roman" w:eastAsia="宋体" w:cs="Times New Roman"/>
          <w:color w:val="auto"/>
          <w:highlight w:val="none"/>
        </w:rPr>
        <w:t>、物料堆放100%覆盖。</w:t>
      </w:r>
    </w:p>
    <w:p w14:paraId="450FA756">
      <w:pPr>
        <w:pStyle w:val="352"/>
        <w:ind w:firstLine="480"/>
        <w:rPr>
          <w:rFonts w:ascii="Times New Roman" w:hAnsi="Times New Roman" w:eastAsia="宋体" w:cs="Times New Roman"/>
          <w:color w:val="auto"/>
          <w:highlight w:val="none"/>
        </w:rPr>
      </w:pPr>
      <w:r>
        <w:rPr>
          <w:rFonts w:ascii="Times New Roman" w:hAnsi="Times New Roman" w:eastAsia="宋体" w:cs="Times New Roman"/>
          <w:color w:val="auto"/>
          <w:highlight w:val="none"/>
        </w:rPr>
        <w:t>施工扬尘对大气环境质量的这些不利影响是偶然的、短暂的、局部的，也是施工中不可避免的，其将随施工的结束而消失。</w:t>
      </w:r>
    </w:p>
    <w:p w14:paraId="0742F555">
      <w:pPr>
        <w:pStyle w:val="352"/>
        <w:ind w:firstLine="480"/>
        <w:rPr>
          <w:rFonts w:ascii="Times New Roman" w:hAnsi="Times New Roman" w:eastAsia="宋体" w:cs="Times New Roman"/>
          <w:color w:val="auto"/>
          <w:highlight w:val="none"/>
        </w:rPr>
      </w:pPr>
      <w:r>
        <w:rPr>
          <w:rFonts w:ascii="Times New Roman" w:hAnsi="Times New Roman" w:eastAsia="宋体" w:cs="Times New Roman"/>
          <w:color w:val="auto"/>
          <w:highlight w:val="none"/>
        </w:rPr>
        <w:t>根据《国务院关于印发大气污染防治行动计划的通知》（国发〔2013〕37号）、《安徽省人民政府关于印发安徽省大气污染防治行动计划实施方案的通知》（皖政〔2013〕89号）、《建筑工程施工和预拌混凝土生产扬尘污染防治标准（试行）》和《</w:t>
      </w:r>
      <w:r>
        <w:rPr>
          <w:rFonts w:hint="eastAsia" w:ascii="Times New Roman" w:hAnsi="Times New Roman" w:eastAsia="宋体" w:cs="Times New Roman"/>
          <w:color w:val="auto"/>
          <w:highlight w:val="none"/>
        </w:rPr>
        <w:t>淮南市</w:t>
      </w:r>
      <w:r>
        <w:rPr>
          <w:rFonts w:ascii="Times New Roman" w:hAnsi="Times New Roman" w:eastAsia="宋体" w:cs="Times New Roman"/>
          <w:color w:val="auto"/>
          <w:highlight w:val="none"/>
        </w:rPr>
        <w:t>大气污染防治行动计划实施方案》要求，评价建议项目施工现场应做到的大气环境防治对策有：</w:t>
      </w:r>
    </w:p>
    <w:p w14:paraId="0ADDB7BD">
      <w:pPr>
        <w:pStyle w:val="352"/>
        <w:ind w:firstLine="480"/>
        <w:rPr>
          <w:rFonts w:ascii="Times New Roman" w:hAnsi="Times New Roman" w:eastAsia="宋体" w:cs="Times New Roman"/>
          <w:color w:val="auto"/>
          <w:highlight w:val="none"/>
          <w:lang w:val="en-US"/>
        </w:rPr>
      </w:pPr>
      <w:r>
        <w:rPr>
          <w:rFonts w:ascii="Times New Roman" w:hAnsi="Times New Roman" w:eastAsia="宋体" w:cs="Times New Roman"/>
          <w:color w:val="auto"/>
          <w:highlight w:val="none"/>
        </w:rPr>
        <w:t>①</w:t>
      </w:r>
      <w:r>
        <w:rPr>
          <w:rFonts w:hint="eastAsia" w:ascii="Times New Roman" w:hAnsi="Times New Roman" w:eastAsia="宋体" w:cs="Times New Roman"/>
          <w:color w:val="auto"/>
          <w:highlight w:val="none"/>
          <w:lang w:val="en-US"/>
        </w:rPr>
        <w:t>施工时配置工地细目滞尘防护网，并开启雾炮机喷雾降尘。</w:t>
      </w:r>
    </w:p>
    <w:p w14:paraId="7A4EA549">
      <w:pPr>
        <w:pStyle w:val="352"/>
        <w:ind w:firstLine="480"/>
        <w:rPr>
          <w:rFonts w:ascii="Times New Roman" w:hAnsi="Times New Roman" w:eastAsia="宋体" w:cs="Times New Roman"/>
          <w:color w:val="auto"/>
          <w:highlight w:val="none"/>
        </w:rPr>
      </w:pPr>
      <w:r>
        <w:rPr>
          <w:rFonts w:ascii="Times New Roman" w:hAnsi="Times New Roman" w:eastAsia="宋体" w:cs="Times New Roman"/>
          <w:color w:val="auto"/>
          <w:highlight w:val="none"/>
        </w:rPr>
        <w:t>②对施工现场实行合理化管理，使砂石料统一堆放，水泥应在专门库房堆放，并尽量减少搬运环节，搬运时做到轻举轻放，防止</w:t>
      </w:r>
      <w:r>
        <w:rPr>
          <w:rFonts w:hint="eastAsia" w:ascii="Times New Roman" w:hAnsi="Times New Roman" w:eastAsia="宋体" w:cs="Times New Roman"/>
          <w:color w:val="auto"/>
          <w:highlight w:val="none"/>
        </w:rPr>
        <w:t>包装材料</w:t>
      </w:r>
      <w:r>
        <w:rPr>
          <w:rFonts w:ascii="Times New Roman" w:hAnsi="Times New Roman" w:eastAsia="宋体" w:cs="Times New Roman"/>
          <w:color w:val="auto"/>
          <w:highlight w:val="none"/>
        </w:rPr>
        <w:t>破裂；</w:t>
      </w:r>
    </w:p>
    <w:p w14:paraId="03115ED3">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③开挖时，对作业面和土堆适当喷水，使其保持一定湿度，以减少扬尘量，而且开挖的泥土和建筑垃圾要及时运走，以防长期堆放表面干燥而起尘或被雨水冲刷；</w:t>
      </w:r>
    </w:p>
    <w:p w14:paraId="16EC06D1">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④运输车辆应完好，不应装载过满，并尽量采取遮盖、密闭措施，减少沿途抛洒，并及时清扫散落在路面上的泥土和建筑材料，冲洗轮胎，定时洒水压尘，以减少运输过程中的扬尘；</w:t>
      </w:r>
    </w:p>
    <w:p w14:paraId="13B89A5C">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⑤应首选使用商品混凝土，因需要必须进行现场搅拌砂浆、混凝土时，应尽量做到不洒、不漏、不剩、不倒；混凝土搅拌应设置在棚内，搅拌时要有喷雾降尘措施；</w:t>
      </w:r>
    </w:p>
    <w:p w14:paraId="7C594CE3">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⑥施工现场要设围栏或部分围栏，缩小施工扬尘扩散范围；</w:t>
      </w:r>
    </w:p>
    <w:p w14:paraId="6B866590">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⑦当风速过大时，应停止施工作业，并对堆存的砂粉等建筑材料采取遮盖措施。</w:t>
      </w:r>
    </w:p>
    <w:p w14:paraId="7BE12328">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在建设期应对运输的道路及时清扫和浇水，并加强施工管理，配置工地细目滞尘防护网，采用商品混凝土建房，同时必须采用封闭车辆运输。同时，根据《安徽省大气污染防治条例》，安徽省人民代表大会公告（第二号）文：第六章扬尘污染防治第六十三条要求：施工单位应当按照工地扬尘污染防治方案的要求，在施工现场出入口公示扬尘污染控制措施、负责人、环保监督员、扬尘监管主管部门等有关信息，接受社会监督，并采取相应扬尘污染防治措施。</w:t>
      </w:r>
    </w:p>
    <w:p w14:paraId="4B6B801F">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施工扬尘对大气环境质量的这些不利影响是偶然的、短暂的、局部的，也是施工中不可避免的，其将随施工的结束而消失。</w:t>
      </w:r>
    </w:p>
    <w:p w14:paraId="3C140E16">
      <w:pPr>
        <w:pStyle w:val="352"/>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4</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装修废气影响</w:t>
      </w:r>
    </w:p>
    <w:p w14:paraId="29097DC7">
      <w:pPr>
        <w:pStyle w:val="352"/>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rPr>
        <w:t>装修废气主要来自房屋装修阶段，该废气的排放属无组织排放，主要污染因子为甲苯、二甲苯，此外还有极少量的汽油、丁醇和丙醇。由于装修废气的排放时间和部位不能十分明确，并且装修阶段产生的装修废气排放周期短、作业点分散。因此，对装修废气的污染控制首先应在源头上，选择无毒或低毒的环保产品，杜绝采用已被淘汰的涂料，选用的装修材料要符合国家质量监督检验检疫总局规定的</w:t>
      </w:r>
      <w:r>
        <w:rPr>
          <w:rFonts w:hint="default" w:ascii="Times New Roman" w:hAnsi="Times New Roman" w:eastAsia="宋体" w:cs="Times New Roman"/>
          <w:color w:val="auto"/>
          <w:highlight w:val="none"/>
          <w:lang w:val="en-US"/>
        </w:rPr>
        <w:t>10</w:t>
      </w:r>
      <w:r>
        <w:rPr>
          <w:rFonts w:hint="eastAsia" w:ascii="Times New Roman" w:hAnsi="Times New Roman" w:eastAsia="宋体" w:cs="Times New Roman"/>
          <w:color w:val="auto"/>
          <w:highlight w:val="none"/>
          <w:lang w:val="en-US"/>
        </w:rPr>
        <w:t>项室内装饰装修材料强制标准的室内装饰装修材料，同时加强室内的通风换气。</w:t>
      </w:r>
    </w:p>
    <w:p w14:paraId="5F9E110D">
      <w:pPr>
        <w:pStyle w:val="352"/>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rPr>
        <w:t>）大气污染防治措施</w:t>
      </w:r>
    </w:p>
    <w:p w14:paraId="5898BFCA">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根据《安徽省大气污染防治行动计划实施方案</w:t>
      </w:r>
      <w:r>
        <w:rPr>
          <w:rFonts w:hint="eastAsia" w:cs="Times New Roman"/>
          <w:color w:val="auto"/>
          <w:highlight w:val="none"/>
          <w:lang w:eastAsia="zh-CN"/>
        </w:rPr>
        <w:t>》《</w:t>
      </w:r>
      <w:r>
        <w:rPr>
          <w:rFonts w:hint="default" w:ascii="Times New Roman" w:hAnsi="Times New Roman" w:eastAsia="宋体" w:cs="Times New Roman"/>
          <w:color w:val="auto"/>
          <w:highlight w:val="none"/>
        </w:rPr>
        <w:t>安徽省大气污染防治条例》《防治城市扬尘污染技术规范》</w:t>
      </w:r>
      <w:r>
        <w:rPr>
          <w:rFonts w:hint="eastAsia" w:cs="Times New Roman"/>
          <w:color w:val="auto"/>
          <w:highlight w:val="none"/>
          <w:lang w:eastAsia="zh-CN"/>
        </w:rPr>
        <w:t>（</w:t>
      </w:r>
      <w:r>
        <w:rPr>
          <w:rFonts w:hint="default" w:ascii="Times New Roman" w:hAnsi="Times New Roman" w:eastAsia="宋体" w:cs="Times New Roman"/>
          <w:color w:val="auto"/>
          <w:highlight w:val="none"/>
        </w:rPr>
        <w:t>HJ/T393-2007</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rPr>
        <w:t>《淮南市建筑施工工地扬尘污染防治规定》</w:t>
      </w:r>
      <w:r>
        <w:rPr>
          <w:rFonts w:hint="default" w:ascii="Times New Roman" w:hAnsi="Times New Roman" w:eastAsia="宋体" w:cs="Times New Roman"/>
          <w:color w:val="auto"/>
          <w:highlight w:val="none"/>
        </w:rPr>
        <w:t>等要求，施工期应采取以下施工场所</w:t>
      </w:r>
      <w:r>
        <w:rPr>
          <w:rFonts w:hint="eastAsia" w:ascii="Times New Roman" w:hAnsi="Times New Roman" w:eastAsia="宋体" w:cs="Times New Roman"/>
          <w:color w:val="auto"/>
          <w:highlight w:val="none"/>
        </w:rPr>
        <w:t>大气</w:t>
      </w:r>
      <w:r>
        <w:rPr>
          <w:rFonts w:hint="default" w:ascii="Times New Roman" w:hAnsi="Times New Roman" w:eastAsia="宋体" w:cs="Times New Roman"/>
          <w:color w:val="auto"/>
          <w:highlight w:val="none"/>
        </w:rPr>
        <w:t>污染防治措施。</w:t>
      </w:r>
    </w:p>
    <w:p w14:paraId="7741FBD3">
      <w:pPr>
        <w:pStyle w:val="352"/>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①施工期间控制车辆行驶速度，减少因车辆运输引起的汽车扬尘和尾气污染。</w:t>
      </w:r>
    </w:p>
    <w:p w14:paraId="49401862">
      <w:pPr>
        <w:pStyle w:val="352"/>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②</w:t>
      </w:r>
      <w:r>
        <w:rPr>
          <w:rFonts w:hint="default" w:ascii="Times New Roman" w:hAnsi="Times New Roman" w:eastAsia="宋体" w:cs="Times New Roman"/>
          <w:color w:val="auto"/>
          <w:highlight w:val="none"/>
        </w:rPr>
        <w:t>运输车辆应完好，不应装载过满，并尽量采取遮盖、密闭措施，减少沿途抛洒，并及时清扫散落在路面上的泥土和建筑材料，冲洗轮胎，定时洒水压尘，以减少运输过程中的扬尘</w:t>
      </w:r>
      <w:r>
        <w:rPr>
          <w:rFonts w:hint="eastAsia" w:ascii="Times New Roman" w:hAnsi="Times New Roman" w:eastAsia="宋体" w:cs="Times New Roman"/>
          <w:color w:val="auto"/>
          <w:highlight w:val="none"/>
        </w:rPr>
        <w:t>。</w:t>
      </w:r>
    </w:p>
    <w:p w14:paraId="3B941A5A">
      <w:pPr>
        <w:pStyle w:val="352"/>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③</w:t>
      </w:r>
      <w:r>
        <w:rPr>
          <w:rFonts w:hint="default" w:ascii="Times New Roman" w:hAnsi="Times New Roman" w:eastAsia="宋体" w:cs="Times New Roman"/>
          <w:color w:val="auto"/>
          <w:highlight w:val="none"/>
        </w:rPr>
        <w:t>在建设期应对运输的道路及时清扫和浇水，并加强施工管理</w:t>
      </w:r>
      <w:r>
        <w:rPr>
          <w:rFonts w:hint="eastAsia" w:ascii="Times New Roman" w:hAnsi="Times New Roman" w:eastAsia="宋体" w:cs="Times New Roman"/>
          <w:color w:val="auto"/>
          <w:highlight w:val="none"/>
        </w:rPr>
        <w:t>。</w:t>
      </w:r>
    </w:p>
    <w:p w14:paraId="1E3B61F1">
      <w:pPr>
        <w:pStyle w:val="352"/>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④</w:t>
      </w:r>
      <w:r>
        <w:rPr>
          <w:rFonts w:hint="default" w:ascii="Times New Roman" w:hAnsi="Times New Roman" w:eastAsia="宋体" w:cs="Times New Roman"/>
          <w:color w:val="auto"/>
          <w:highlight w:val="none"/>
        </w:rPr>
        <w:t>施工单位应当按照工地扬尘污染防治方案的要求，在施工现场出入口公示扬尘污染控制措施、负责人、环保监督员、扬尘监管主管部门等有关信息，接受社会监督，并采取相应扬尘污染防治措施。</w:t>
      </w:r>
    </w:p>
    <w:p w14:paraId="4060539E">
      <w:pPr>
        <w:pStyle w:val="352"/>
        <w:ind w:firstLine="48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rPr>
        <w:t>由于本项目施工期主要为设备的安装、调试，施工时间较短，采取上述措施后可有效减少施工期大气环境影响。</w:t>
      </w:r>
    </w:p>
    <w:p w14:paraId="27D8DC1A">
      <w:pPr>
        <w:pStyle w:val="4"/>
        <w:spacing w:after="156"/>
        <w:rPr>
          <w:color w:val="auto"/>
          <w:highlight w:val="none"/>
        </w:rPr>
      </w:pPr>
      <w:r>
        <w:rPr>
          <w:color w:val="auto"/>
          <w:highlight w:val="none"/>
        </w:rPr>
        <w:t>5.1.2施工期水环境影响分析</w:t>
      </w:r>
      <w:bookmarkEnd w:id="338"/>
      <w:bookmarkEnd w:id="339"/>
      <w:bookmarkEnd w:id="340"/>
      <w:bookmarkEnd w:id="341"/>
      <w:bookmarkEnd w:id="342"/>
    </w:p>
    <w:p w14:paraId="76F11343">
      <w:pPr>
        <w:keepNext w:val="0"/>
        <w:keepLines w:val="0"/>
        <w:pageBreakBefore w:val="0"/>
        <w:widowControl w:val="0"/>
        <w:tabs>
          <w:tab w:val="left" w:pos="862"/>
        </w:tabs>
        <w:kinsoku/>
        <w:wordWrap/>
        <w:overflowPunct/>
        <w:topLinePunct w:val="0"/>
        <w:autoSpaceDE/>
        <w:autoSpaceDN/>
        <w:bidi w:val="0"/>
        <w:adjustRightInd/>
        <w:snapToGrid/>
        <w:spacing w:after="0" w:afterLines="0" w:line="360" w:lineRule="auto"/>
        <w:ind w:firstLine="480" w:firstLineChars="200"/>
        <w:jc w:val="left"/>
        <w:textAlignment w:val="auto"/>
        <w:outlineLvl w:val="9"/>
        <w:rPr>
          <w:color w:val="auto"/>
          <w:sz w:val="24"/>
          <w:szCs w:val="24"/>
          <w:highlight w:val="none"/>
        </w:rPr>
      </w:pPr>
      <w:bookmarkStart w:id="343" w:name="_Toc152923326"/>
      <w:bookmarkStart w:id="344" w:name="_Toc152922645"/>
      <w:bookmarkStart w:id="345" w:name="_Toc117150260"/>
      <w:bookmarkStart w:id="346" w:name="_Toc152921686"/>
      <w:bookmarkStart w:id="347" w:name="_Toc152922051"/>
      <w:r>
        <w:rPr>
          <w:rFonts w:hint="eastAsia"/>
          <w:color w:val="auto"/>
          <w:sz w:val="24"/>
          <w:szCs w:val="24"/>
          <w:highlight w:val="none"/>
        </w:rPr>
        <w:t>本项目施工期间废水主要为施工期设备安装调试人员产生的生活污水。</w:t>
      </w:r>
    </w:p>
    <w:p w14:paraId="41FA2F8E">
      <w:pPr>
        <w:keepNext w:val="0"/>
        <w:keepLines w:val="0"/>
        <w:pageBreakBefore w:val="0"/>
        <w:widowControl w:val="0"/>
        <w:tabs>
          <w:tab w:val="left" w:pos="862"/>
        </w:tabs>
        <w:kinsoku/>
        <w:wordWrap/>
        <w:overflowPunct/>
        <w:topLinePunct w:val="0"/>
        <w:autoSpaceDE/>
        <w:autoSpaceDN/>
        <w:bidi w:val="0"/>
        <w:adjustRightInd/>
        <w:snapToGrid/>
        <w:spacing w:after="0" w:afterLines="0" w:line="360" w:lineRule="auto"/>
        <w:ind w:firstLine="480" w:firstLineChars="200"/>
        <w:jc w:val="left"/>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生活污水按在此期间日均施工人员以2</w:t>
      </w: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人计，根据《安徽省行业用水定额》（DB34/T679-20</w:t>
      </w:r>
      <w:r>
        <w:rPr>
          <w:rFonts w:hint="default" w:ascii="Times New Roman" w:hAnsi="Times New Roman" w:cs="Times New Roman"/>
          <w:color w:val="auto"/>
          <w:sz w:val="24"/>
          <w:szCs w:val="24"/>
          <w:highlight w:val="none"/>
          <w:lang w:val="en-US" w:eastAsia="zh-CN"/>
        </w:rPr>
        <w:t>25</w:t>
      </w:r>
      <w:r>
        <w:rPr>
          <w:rFonts w:hint="default" w:ascii="Times New Roman" w:hAnsi="Times New Roman" w:cs="Times New Roman"/>
          <w:color w:val="auto"/>
          <w:sz w:val="24"/>
          <w:szCs w:val="24"/>
          <w:highlight w:val="none"/>
        </w:rPr>
        <w:t>）中的相关内容，办公用水定额取</w:t>
      </w:r>
      <w:r>
        <w:rPr>
          <w:rFonts w:hint="default" w:ascii="Times New Roman" w:hAnsi="Times New Roman" w:cs="Times New Roman"/>
          <w:color w:val="auto"/>
          <w:sz w:val="24"/>
          <w:szCs w:val="24"/>
          <w:highlight w:val="none"/>
          <w:lang w:val="en-US" w:eastAsia="zh-CN"/>
        </w:rPr>
        <w:t>38m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rPr>
        <w:t>/人·</w:t>
      </w:r>
      <w:r>
        <w:rPr>
          <w:rFonts w:hint="default" w:ascii="Times New Roman" w:hAnsi="Times New Roman" w:cs="Times New Roman"/>
          <w:color w:val="auto"/>
          <w:sz w:val="24"/>
          <w:szCs w:val="24"/>
          <w:highlight w:val="none"/>
          <w:lang w:val="en-US" w:eastAsia="zh-CN"/>
        </w:rPr>
        <w:t>a，</w:t>
      </w:r>
      <w:r>
        <w:rPr>
          <w:rFonts w:hint="default" w:ascii="Times New Roman" w:hAnsi="Times New Roman" w:cs="Times New Roman"/>
          <w:color w:val="auto"/>
          <w:sz w:val="24"/>
          <w:szCs w:val="24"/>
          <w:highlight w:val="none"/>
        </w:rPr>
        <w:t>施工期为</w:t>
      </w:r>
      <w:r>
        <w:rPr>
          <w:rFonts w:hint="default" w:ascii="Times New Roman" w:hAnsi="Times New Roman" w:cs="Times New Roman"/>
          <w:color w:val="auto"/>
          <w:sz w:val="24"/>
          <w:szCs w:val="24"/>
          <w:highlight w:val="none"/>
          <w:lang w:val="en-US" w:eastAsia="zh-CN"/>
        </w:rPr>
        <w:t>3个月</w:t>
      </w:r>
      <w:r>
        <w:rPr>
          <w:rFonts w:hint="default" w:ascii="Times New Roman" w:hAnsi="Times New Roman" w:cs="Times New Roman"/>
          <w:color w:val="auto"/>
          <w:sz w:val="24"/>
          <w:szCs w:val="24"/>
          <w:highlight w:val="none"/>
        </w:rPr>
        <w:t>。则生活用水量大约为</w:t>
      </w:r>
      <w:r>
        <w:rPr>
          <w:rFonts w:hint="default" w:ascii="Times New Roman" w:hAnsi="Times New Roman" w:cs="Times New Roman"/>
          <w:color w:val="auto"/>
          <w:sz w:val="24"/>
          <w:szCs w:val="24"/>
          <w:highlight w:val="none"/>
          <w:lang w:val="en-US" w:eastAsia="zh-CN"/>
        </w:rPr>
        <w:t>1.821</w:t>
      </w:r>
      <w:r>
        <w:rPr>
          <w:rFonts w:hint="default" w:ascii="Times New Roman" w:hAnsi="Times New Roman" w:cs="Times New Roman"/>
          <w:color w:val="auto"/>
          <w:sz w:val="24"/>
          <w:szCs w:val="24"/>
          <w:highlight w:val="none"/>
        </w:rPr>
        <w:t>t/d，</w:t>
      </w:r>
      <w:r>
        <w:rPr>
          <w:rFonts w:hint="default" w:ascii="Times New Roman" w:hAnsi="Times New Roman" w:cs="Times New Roman"/>
          <w:color w:val="auto"/>
          <w:sz w:val="24"/>
          <w:szCs w:val="24"/>
          <w:highlight w:val="none"/>
          <w:lang w:val="en-US" w:eastAsia="zh-CN"/>
        </w:rPr>
        <w:t>218.5</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en-US" w:eastAsia="zh-CN"/>
        </w:rPr>
        <w:t>生活</w:t>
      </w:r>
      <w:r>
        <w:rPr>
          <w:rFonts w:hint="default" w:ascii="Times New Roman" w:hAnsi="Times New Roman" w:cs="Times New Roman"/>
          <w:color w:val="auto"/>
          <w:sz w:val="24"/>
          <w:szCs w:val="24"/>
          <w:highlight w:val="none"/>
        </w:rPr>
        <w:t>污水产生系数按照8</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%计，则生活污水产生量为</w:t>
      </w:r>
      <w:r>
        <w:rPr>
          <w:rFonts w:hint="default" w:ascii="Times New Roman" w:hAnsi="Times New Roman" w:cs="Times New Roman"/>
          <w:color w:val="auto"/>
          <w:sz w:val="24"/>
          <w:szCs w:val="24"/>
          <w:highlight w:val="none"/>
          <w:lang w:val="en-US" w:eastAsia="zh-CN"/>
        </w:rPr>
        <w:t>1.548</w:t>
      </w:r>
      <w:r>
        <w:rPr>
          <w:rFonts w:hint="default" w:ascii="Times New Roman" w:hAnsi="Times New Roman" w:cs="Times New Roman"/>
          <w:color w:val="auto"/>
          <w:sz w:val="24"/>
          <w:szCs w:val="24"/>
          <w:highlight w:val="none"/>
        </w:rPr>
        <w:t>t/d，</w:t>
      </w:r>
      <w:r>
        <w:rPr>
          <w:rFonts w:hint="default" w:ascii="Times New Roman" w:hAnsi="Times New Roman" w:cs="Times New Roman"/>
          <w:color w:val="auto"/>
          <w:sz w:val="24"/>
          <w:szCs w:val="24"/>
          <w:highlight w:val="none"/>
          <w:lang w:val="en-US" w:eastAsia="zh-CN"/>
        </w:rPr>
        <w:t>185.7</w:t>
      </w:r>
      <w:r>
        <w:rPr>
          <w:rFonts w:hint="default" w:ascii="Times New Roman" w:hAnsi="Times New Roman" w:cs="Times New Roman"/>
          <w:color w:val="auto"/>
          <w:sz w:val="24"/>
          <w:szCs w:val="24"/>
          <w:highlight w:val="none"/>
        </w:rPr>
        <w:t>t。生活污水的主要污染因子为COD、BOD</w:t>
      </w:r>
      <w:r>
        <w:rPr>
          <w:rFonts w:hint="default" w:ascii="Times New Roman" w:hAnsi="Times New Roman" w:cs="Times New Roman"/>
          <w:color w:val="auto"/>
          <w:sz w:val="24"/>
          <w:szCs w:val="24"/>
          <w:highlight w:val="none"/>
          <w:vertAlign w:val="subscript"/>
        </w:rPr>
        <w:t>5</w:t>
      </w:r>
      <w:r>
        <w:rPr>
          <w:rFonts w:hint="default" w:ascii="Times New Roman" w:hAnsi="Times New Roman" w:cs="Times New Roman"/>
          <w:color w:val="auto"/>
          <w:sz w:val="24"/>
          <w:szCs w:val="24"/>
          <w:highlight w:val="none"/>
        </w:rPr>
        <w:t>、SS、NH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-N等，参照《生活污染源产排污系数手册》中</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表1-1城镇生活源水污染物产生系数</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中四区产污系数，</w:t>
      </w:r>
      <w:r>
        <w:rPr>
          <w:rFonts w:hint="default" w:ascii="Times New Roman" w:hAnsi="Times New Roman" w:cs="Times New Roman"/>
          <w:color w:val="auto"/>
          <w:sz w:val="24"/>
          <w:szCs w:val="24"/>
          <w:highlight w:val="none"/>
          <w:lang w:val="en-US" w:eastAsia="zh-CN"/>
        </w:rPr>
        <w:t>COD：340mg/L、氨氮：32.6mg/L、SS：200mg/L、BOD</w:t>
      </w:r>
      <w:r>
        <w:rPr>
          <w:rFonts w:hint="default" w:ascii="Times New Roman" w:hAnsi="Times New Roman" w:cs="Times New Roman"/>
          <w:color w:val="auto"/>
          <w:sz w:val="24"/>
          <w:szCs w:val="24"/>
          <w:highlight w:val="none"/>
          <w:vertAlign w:val="subscript"/>
          <w:lang w:val="en-US" w:eastAsia="zh-CN"/>
        </w:rPr>
        <w:t>5</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160mg/L</w:t>
      </w:r>
      <w:r>
        <w:rPr>
          <w:rFonts w:hint="default" w:ascii="Times New Roman" w:hAnsi="Times New Roman" w:cs="Times New Roman"/>
          <w:color w:val="auto"/>
          <w:sz w:val="24"/>
          <w:szCs w:val="24"/>
          <w:highlight w:val="none"/>
        </w:rPr>
        <w:t>。则施工期生活污水中主要污染物排放源强为：COD：</w:t>
      </w:r>
      <w:r>
        <w:rPr>
          <w:rFonts w:hint="default" w:ascii="Times New Roman" w:hAnsi="Times New Roman" w:cs="Times New Roman"/>
          <w:color w:val="auto"/>
          <w:sz w:val="24"/>
          <w:szCs w:val="24"/>
          <w:highlight w:val="none"/>
          <w:lang w:val="en-US" w:eastAsia="zh-CN"/>
        </w:rPr>
        <w:t>0.0309t</w:t>
      </w:r>
      <w:r>
        <w:rPr>
          <w:rFonts w:hint="default" w:ascii="Times New Roman" w:hAnsi="Times New Roman" w:cs="Times New Roman"/>
          <w:color w:val="auto"/>
          <w:sz w:val="24"/>
          <w:szCs w:val="24"/>
          <w:highlight w:val="none"/>
        </w:rPr>
        <w:t>；BOD</w:t>
      </w:r>
      <w:r>
        <w:rPr>
          <w:rFonts w:hint="default" w:ascii="Times New Roman" w:hAnsi="Times New Roman" w:cs="Times New Roman"/>
          <w:color w:val="auto"/>
          <w:sz w:val="24"/>
          <w:szCs w:val="24"/>
          <w:highlight w:val="none"/>
          <w:vertAlign w:val="subscript"/>
        </w:rPr>
        <w:t>5</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0.0146t</w:t>
      </w:r>
      <w:r>
        <w:rPr>
          <w:rFonts w:hint="default" w:ascii="Times New Roman" w:hAnsi="Times New Roman" w:cs="Times New Roman"/>
          <w:color w:val="auto"/>
          <w:sz w:val="24"/>
          <w:szCs w:val="24"/>
          <w:highlight w:val="none"/>
        </w:rPr>
        <w:t>；SS：</w:t>
      </w:r>
      <w:r>
        <w:rPr>
          <w:rFonts w:hint="default" w:ascii="Times New Roman" w:hAnsi="Times New Roman" w:cs="Times New Roman"/>
          <w:color w:val="auto"/>
          <w:sz w:val="24"/>
          <w:szCs w:val="24"/>
          <w:highlight w:val="none"/>
          <w:lang w:val="en-US" w:eastAsia="zh-CN"/>
        </w:rPr>
        <w:t>0.0182t</w:t>
      </w:r>
      <w:r>
        <w:rPr>
          <w:rFonts w:hint="default" w:ascii="Times New Roman" w:hAnsi="Times New Roman" w:cs="Times New Roman"/>
          <w:color w:val="auto"/>
          <w:sz w:val="24"/>
          <w:szCs w:val="24"/>
          <w:highlight w:val="none"/>
        </w:rPr>
        <w:t>；NH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w:t>
      </w:r>
      <w:r>
        <w:rPr>
          <w:rFonts w:hint="default" w:ascii="Times New Roman" w:hAnsi="Times New Roman" w:cs="Times New Roman"/>
          <w:color w:val="auto"/>
          <w:sz w:val="24"/>
          <w:szCs w:val="24"/>
          <w:highlight w:val="none"/>
          <w:lang w:val="en-US" w:eastAsia="zh-CN"/>
        </w:rPr>
        <w:t>0.0059t</w:t>
      </w:r>
      <w:r>
        <w:rPr>
          <w:rFonts w:hint="default" w:ascii="Times New Roman" w:hAnsi="Times New Roman" w:cs="Times New Roman"/>
          <w:color w:val="auto"/>
          <w:sz w:val="24"/>
          <w:szCs w:val="24"/>
          <w:highlight w:val="none"/>
        </w:rPr>
        <w:t>。</w:t>
      </w:r>
    </w:p>
    <w:p w14:paraId="28D7E63C">
      <w:pPr>
        <w:keepNext w:val="0"/>
        <w:keepLines w:val="0"/>
        <w:pageBreakBefore w:val="0"/>
        <w:widowControl w:val="0"/>
        <w:tabs>
          <w:tab w:val="left" w:pos="862"/>
        </w:tabs>
        <w:kinsoku/>
        <w:wordWrap/>
        <w:overflowPunct/>
        <w:topLinePunct w:val="0"/>
        <w:autoSpaceDE/>
        <w:autoSpaceDN/>
        <w:bidi w:val="0"/>
        <w:adjustRightInd/>
        <w:snapToGrid/>
        <w:spacing w:after="0" w:afterLines="0" w:line="360" w:lineRule="auto"/>
        <w:ind w:firstLine="480" w:firstLineChars="200"/>
        <w:jc w:val="left"/>
        <w:textAlignment w:val="auto"/>
        <w:outlineLvl w:val="9"/>
        <w:rPr>
          <w:color w:val="auto"/>
          <w:sz w:val="24"/>
          <w:szCs w:val="24"/>
          <w:highlight w:val="none"/>
        </w:rPr>
      </w:pPr>
      <w:r>
        <w:rPr>
          <w:color w:val="auto"/>
          <w:sz w:val="24"/>
          <w:szCs w:val="24"/>
          <w:highlight w:val="none"/>
        </w:rPr>
        <w:t>施工期生活污水的水量相对较少，对周围水环境影响较小，但如果不经处理随意排放，将对区域内的地表水体产生一定影响。</w:t>
      </w:r>
    </w:p>
    <w:p w14:paraId="0D77FA0C">
      <w:pPr>
        <w:keepNext w:val="0"/>
        <w:keepLines w:val="0"/>
        <w:pageBreakBefore w:val="0"/>
        <w:widowControl w:val="0"/>
        <w:tabs>
          <w:tab w:val="left" w:pos="862"/>
        </w:tabs>
        <w:kinsoku/>
        <w:wordWrap/>
        <w:overflowPunct/>
        <w:topLinePunct w:val="0"/>
        <w:autoSpaceDE/>
        <w:autoSpaceDN/>
        <w:bidi w:val="0"/>
        <w:adjustRightInd/>
        <w:snapToGrid/>
        <w:spacing w:after="0" w:afterLines="0" w:line="360" w:lineRule="auto"/>
        <w:ind w:firstLine="480" w:firstLineChars="200"/>
        <w:jc w:val="left"/>
        <w:textAlignment w:val="auto"/>
        <w:outlineLvl w:val="9"/>
        <w:rPr>
          <w:color w:val="auto"/>
          <w:sz w:val="24"/>
          <w:szCs w:val="24"/>
          <w:highlight w:val="none"/>
        </w:rPr>
      </w:pPr>
      <w:r>
        <w:rPr>
          <w:rFonts w:hint="eastAsia"/>
          <w:color w:val="auto"/>
          <w:sz w:val="24"/>
          <w:szCs w:val="24"/>
          <w:highlight w:val="none"/>
        </w:rPr>
        <w:t>本项目生活污水经化粪池处理后由园区污水管网排入</w:t>
      </w:r>
      <w:r>
        <w:rPr>
          <w:rFonts w:hint="eastAsia"/>
          <w:color w:val="auto"/>
          <w:sz w:val="24"/>
          <w:szCs w:val="24"/>
          <w:highlight w:val="none"/>
          <w:lang w:val="en-US" w:eastAsia="zh-CN"/>
        </w:rPr>
        <w:t>田家庵区污水处理站处理</w:t>
      </w:r>
      <w:r>
        <w:rPr>
          <w:rFonts w:hint="eastAsia"/>
          <w:color w:val="auto"/>
          <w:sz w:val="24"/>
          <w:szCs w:val="24"/>
          <w:highlight w:val="none"/>
        </w:rPr>
        <w:t>。园区化粪池已建，措施可行。</w:t>
      </w:r>
    </w:p>
    <w:p w14:paraId="6E848642">
      <w:pPr>
        <w:pStyle w:val="4"/>
        <w:spacing w:after="156"/>
        <w:rPr>
          <w:rFonts w:ascii="Times New Roman" w:hAnsi="Times New Roman" w:eastAsia="宋体" w:cs="Times New Roman"/>
          <w:b/>
          <w:color w:val="auto"/>
          <w:highlight w:val="none"/>
        </w:rPr>
      </w:pPr>
      <w:r>
        <w:rPr>
          <w:rFonts w:ascii="Times New Roman" w:hAnsi="Times New Roman" w:eastAsia="宋体" w:cs="Times New Roman"/>
          <w:b/>
          <w:color w:val="auto"/>
          <w:highlight w:val="none"/>
        </w:rPr>
        <w:t>5.1.3施工期声环境影响分析</w:t>
      </w:r>
      <w:bookmarkEnd w:id="343"/>
      <w:bookmarkEnd w:id="344"/>
      <w:bookmarkEnd w:id="345"/>
      <w:bookmarkEnd w:id="346"/>
      <w:bookmarkEnd w:id="347"/>
    </w:p>
    <w:p w14:paraId="7A7709E5">
      <w:pPr>
        <w:keepNext w:val="0"/>
        <w:keepLines w:val="0"/>
        <w:pageBreakBefore w:val="0"/>
        <w:widowControl w:val="0"/>
        <w:kinsoku/>
        <w:wordWrap w:val="0"/>
        <w:overflowPunct/>
        <w:topLinePunct w:val="0"/>
        <w:autoSpaceDE/>
        <w:autoSpaceDN/>
        <w:bidi w:val="0"/>
        <w:adjustRightInd/>
        <w:snapToGrid/>
        <w:spacing w:line="360" w:lineRule="auto"/>
        <w:ind w:firstLine="474" w:firstLineChars="200"/>
        <w:jc w:val="left"/>
        <w:textAlignment w:val="auto"/>
        <w:rPr>
          <w:rFonts w:ascii="宋体" w:hAnsi="宋体" w:eastAsia="宋体" w:cs="宋体"/>
          <w:b/>
          <w:bCs/>
          <w:color w:val="auto"/>
          <w:sz w:val="24"/>
          <w:szCs w:val="24"/>
          <w:highlight w:val="none"/>
        </w:rPr>
      </w:pPr>
      <w:bookmarkStart w:id="348" w:name="_Toc152921687"/>
      <w:bookmarkStart w:id="349" w:name="_Toc152922646"/>
      <w:bookmarkStart w:id="350" w:name="_Toc117150261"/>
      <w:bookmarkStart w:id="351" w:name="_Toc152923327"/>
      <w:bookmarkStart w:id="352" w:name="_Toc152922052"/>
      <w:r>
        <w:rPr>
          <w:rFonts w:hint="eastAsia" w:ascii="宋体" w:hAnsi="宋体" w:eastAsia="宋体" w:cs="宋体"/>
          <w:b/>
          <w:bCs/>
          <w:color w:val="auto"/>
          <w:spacing w:val="-2"/>
          <w:sz w:val="24"/>
          <w:szCs w:val="24"/>
          <w:highlight w:val="none"/>
        </w:rPr>
        <w:t>（1）</w:t>
      </w:r>
      <w:r>
        <w:rPr>
          <w:rFonts w:ascii="宋体" w:hAnsi="宋体" w:eastAsia="宋体" w:cs="宋体"/>
          <w:b/>
          <w:bCs/>
          <w:color w:val="auto"/>
          <w:spacing w:val="-2"/>
          <w:sz w:val="24"/>
          <w:szCs w:val="24"/>
          <w:highlight w:val="none"/>
        </w:rPr>
        <w:t>噪声污染源分析</w:t>
      </w:r>
    </w:p>
    <w:p w14:paraId="4E832264">
      <w:pPr>
        <w:wordWrap w:val="0"/>
        <w:spacing w:line="360" w:lineRule="auto"/>
        <w:ind w:firstLine="480" w:firstLineChars="200"/>
        <w:jc w:val="left"/>
        <w:rPr>
          <w:rFonts w:ascii="宋体" w:hAnsi="宋体" w:eastAsia="宋体" w:cs="宋体"/>
          <w:color w:val="auto"/>
          <w:spacing w:val="-5"/>
          <w:sz w:val="24"/>
          <w:szCs w:val="24"/>
          <w:highlight w:val="none"/>
        </w:rPr>
      </w:pPr>
      <w:r>
        <w:rPr>
          <w:rFonts w:hint="eastAsia" w:ascii="Times New Roman" w:hAnsi="Times New Roman" w:eastAsia="宋体" w:cs="Times New Roman"/>
          <w:color w:val="auto"/>
          <w:sz w:val="24"/>
          <w:szCs w:val="24"/>
          <w:highlight w:val="none"/>
        </w:rPr>
        <w:t>本项目施工期噪声主要为设备运输环节产生的噪声，运输采用重型运输车。本项目噪声源主</w:t>
      </w:r>
      <w:r>
        <w:rPr>
          <w:rFonts w:hint="eastAsia" w:cs="Times New Roman"/>
          <w:color w:val="auto"/>
          <w:sz w:val="24"/>
          <w:szCs w:val="24"/>
          <w:highlight w:val="none"/>
          <w:lang w:eastAsia="zh-CN"/>
        </w:rPr>
        <w:t>要是</w:t>
      </w:r>
      <w:r>
        <w:rPr>
          <w:rFonts w:hint="eastAsia" w:ascii="Times New Roman" w:hAnsi="Times New Roman" w:eastAsia="宋体" w:cs="Times New Roman"/>
          <w:color w:val="auto"/>
          <w:sz w:val="24"/>
          <w:szCs w:val="24"/>
          <w:highlight w:val="none"/>
        </w:rPr>
        <w:t>重型运输车。</w:t>
      </w:r>
      <w:r>
        <w:rPr>
          <w:rFonts w:ascii="宋体" w:hAnsi="宋体" w:eastAsia="宋体" w:cs="宋体"/>
          <w:color w:val="auto"/>
          <w:spacing w:val="-3"/>
          <w:sz w:val="24"/>
          <w:szCs w:val="24"/>
          <w:highlight w:val="none"/>
        </w:rPr>
        <w:t>通过对机械设备噪声</w:t>
      </w:r>
      <w:r>
        <w:rPr>
          <w:rFonts w:ascii="宋体" w:hAnsi="宋体" w:eastAsia="宋体" w:cs="宋体"/>
          <w:color w:val="auto"/>
          <w:spacing w:val="-1"/>
          <w:sz w:val="24"/>
          <w:szCs w:val="24"/>
          <w:highlight w:val="none"/>
        </w:rPr>
        <w:t>值进行类比调查，同时结合</w:t>
      </w:r>
      <w:r>
        <w:rPr>
          <w:rFonts w:hint="eastAsia" w:ascii="宋体" w:hAnsi="宋体" w:cs="宋体"/>
          <w:color w:val="auto"/>
          <w:spacing w:val="-1"/>
          <w:sz w:val="24"/>
          <w:szCs w:val="24"/>
          <w:highlight w:val="none"/>
          <w:lang w:eastAsia="zh-CN"/>
        </w:rPr>
        <w:t>《环境噪声与振动控制工程</w:t>
      </w:r>
      <w:r>
        <w:rPr>
          <w:rFonts w:hint="eastAsia" w:ascii="宋体" w:hAnsi="宋体" w:eastAsia="宋体" w:cs="宋体"/>
          <w:color w:val="auto"/>
          <w:spacing w:val="-3"/>
          <w:sz w:val="24"/>
          <w:szCs w:val="24"/>
          <w:highlight w:val="none"/>
          <w:lang w:eastAsia="zh-CN"/>
        </w:rPr>
        <w:t>技术导则》（</w:t>
      </w:r>
      <w:r>
        <w:rPr>
          <w:rFonts w:hint="default" w:ascii="Times New Roman" w:hAnsi="Times New Roman" w:eastAsia="宋体" w:cs="Times New Roman"/>
          <w:color w:val="auto"/>
          <w:spacing w:val="-3"/>
          <w:sz w:val="24"/>
          <w:szCs w:val="24"/>
          <w:highlight w:val="none"/>
          <w:lang w:eastAsia="zh-CN"/>
        </w:rPr>
        <w:t>HJ2034-2013</w:t>
      </w:r>
      <w:r>
        <w:rPr>
          <w:rFonts w:hint="eastAsia" w:ascii="宋体" w:hAnsi="宋体" w:eastAsia="宋体" w:cs="宋体"/>
          <w:color w:val="auto"/>
          <w:spacing w:val="-3"/>
          <w:sz w:val="24"/>
          <w:szCs w:val="24"/>
          <w:highlight w:val="none"/>
          <w:lang w:eastAsia="zh-CN"/>
        </w:rPr>
        <w:t>）</w:t>
      </w:r>
      <w:r>
        <w:rPr>
          <w:rFonts w:ascii="宋体" w:hAnsi="宋体" w:eastAsia="宋体" w:cs="宋体"/>
          <w:color w:val="auto"/>
          <w:spacing w:val="-3"/>
          <w:sz w:val="24"/>
          <w:szCs w:val="24"/>
          <w:highlight w:val="none"/>
        </w:rPr>
        <w:t>，</w:t>
      </w:r>
      <w:r>
        <w:rPr>
          <w:rFonts w:hint="eastAsia" w:ascii="宋体" w:hAnsi="宋体" w:eastAsia="宋体" w:cs="宋体"/>
          <w:color w:val="auto"/>
          <w:spacing w:val="-3"/>
          <w:sz w:val="24"/>
          <w:szCs w:val="24"/>
          <w:highlight w:val="none"/>
        </w:rPr>
        <w:t>重型运</w:t>
      </w:r>
      <w:r>
        <w:rPr>
          <w:rFonts w:hint="eastAsia" w:ascii="Times New Roman" w:hAnsi="Times New Roman" w:eastAsia="宋体" w:cs="Times New Roman"/>
          <w:color w:val="auto"/>
          <w:sz w:val="24"/>
          <w:szCs w:val="24"/>
          <w:highlight w:val="none"/>
        </w:rPr>
        <w:t>输车</w:t>
      </w:r>
      <w:r>
        <w:rPr>
          <w:rFonts w:ascii="宋体" w:hAnsi="宋体" w:eastAsia="宋体" w:cs="宋体"/>
          <w:color w:val="auto"/>
          <w:spacing w:val="-1"/>
          <w:sz w:val="24"/>
          <w:szCs w:val="24"/>
          <w:highlight w:val="none"/>
        </w:rPr>
        <w:t>设</w:t>
      </w:r>
      <w:r>
        <w:rPr>
          <w:rFonts w:ascii="宋体" w:hAnsi="宋体" w:eastAsia="宋体" w:cs="宋体"/>
          <w:color w:val="auto"/>
          <w:spacing w:val="-5"/>
          <w:sz w:val="24"/>
          <w:szCs w:val="24"/>
          <w:highlight w:val="none"/>
        </w:rPr>
        <w:t>备噪声源强见下表。</w:t>
      </w:r>
    </w:p>
    <w:p w14:paraId="145E5D13">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表</w:t>
      </w:r>
      <w:r>
        <w:rPr>
          <w:rFonts w:hint="eastAsia" w:ascii="Times New Roman" w:hAnsi="Times New Roman" w:eastAsia="宋体" w:cs="Times New Roman"/>
          <w:b/>
          <w:bCs/>
          <w:color w:val="auto"/>
          <w:kern w:val="2"/>
          <w:sz w:val="24"/>
          <w:szCs w:val="24"/>
          <w:highlight w:val="none"/>
          <w:lang w:val="en-US" w:eastAsia="zh-CN" w:bidi="ar-SA"/>
        </w:rPr>
        <w:t>5</w:t>
      </w:r>
      <w:r>
        <w:rPr>
          <w:rFonts w:ascii="Times New Roman" w:hAnsi="Times New Roman" w:eastAsia="宋体" w:cs="Times New Roman"/>
          <w:b/>
          <w:bCs/>
          <w:color w:val="auto"/>
          <w:kern w:val="2"/>
          <w:sz w:val="24"/>
          <w:szCs w:val="24"/>
          <w:highlight w:val="none"/>
          <w:lang w:val="en-US" w:eastAsia="zh-CN" w:bidi="ar-SA"/>
        </w:rPr>
        <w:t>.1-</w:t>
      </w:r>
      <w:r>
        <w:rPr>
          <w:rFonts w:hint="eastAsia" w:ascii="Times New Roman" w:hAnsi="Times New Roman" w:eastAsia="宋体" w:cs="Times New Roman"/>
          <w:b/>
          <w:bCs/>
          <w:color w:val="auto"/>
          <w:kern w:val="2"/>
          <w:sz w:val="24"/>
          <w:szCs w:val="24"/>
          <w:highlight w:val="none"/>
          <w:lang w:val="en-US" w:eastAsia="zh-CN" w:bidi="ar-SA"/>
        </w:rPr>
        <w:t>3</w:t>
      </w:r>
      <w:r>
        <w:rPr>
          <w:rFonts w:ascii="Times New Roman" w:hAnsi="Times New Roman" w:eastAsia="宋体" w:cs="Times New Roman"/>
          <w:b/>
          <w:bCs/>
          <w:color w:val="auto"/>
          <w:kern w:val="2"/>
          <w:sz w:val="24"/>
          <w:szCs w:val="24"/>
          <w:highlight w:val="none"/>
          <w:lang w:val="en-US" w:eastAsia="zh-CN" w:bidi="ar-SA"/>
        </w:rPr>
        <w:t xml:space="preserve"> </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ascii="Times New Roman" w:hAnsi="Times New Roman" w:eastAsia="宋体" w:cs="Times New Roman"/>
          <w:b/>
          <w:bCs/>
          <w:color w:val="auto"/>
          <w:kern w:val="2"/>
          <w:sz w:val="24"/>
          <w:szCs w:val="24"/>
          <w:highlight w:val="none"/>
          <w:lang w:val="en-US" w:eastAsia="zh-CN" w:bidi="ar-SA"/>
        </w:rPr>
        <w:t>施工期噪声源强一览表</w:t>
      </w:r>
    </w:p>
    <w:tbl>
      <w:tblPr>
        <w:tblStyle w:val="5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54"/>
        <w:gridCol w:w="6162"/>
      </w:tblGrid>
      <w:tr w14:paraId="63375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05" w:type="dxa"/>
            <w:noWrap w:val="0"/>
            <w:vAlign w:val="center"/>
          </w:tcPr>
          <w:p w14:paraId="0934292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噪声源名称</w:t>
            </w:r>
          </w:p>
        </w:tc>
        <w:tc>
          <w:tcPr>
            <w:tcW w:w="6311" w:type="dxa"/>
            <w:noWrap w:val="0"/>
            <w:vAlign w:val="center"/>
          </w:tcPr>
          <w:p w14:paraId="46834C03">
            <w:pPr>
              <w:widowControl/>
              <w:wordWrap w:val="0"/>
              <w:bidi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距声源10米处声压级</w:t>
            </w:r>
            <w:r>
              <w:rPr>
                <w:rFonts w:hint="eastAsia" w:cs="Times New Roman"/>
                <w:color w:val="auto"/>
                <w:kern w:val="2"/>
                <w:sz w:val="21"/>
                <w:szCs w:val="21"/>
                <w:highlight w:val="none"/>
                <w:lang w:val="en-US" w:eastAsia="zh-CN" w:bidi="ar-SA"/>
              </w:rPr>
              <w:t>（</w:t>
            </w:r>
            <w:r>
              <w:rPr>
                <w:rFonts w:ascii="Times New Roman" w:hAnsi="Times New Roman" w:eastAsia="宋体" w:cs="Times New Roman"/>
                <w:b/>
                <w:bCs/>
                <w:color w:val="auto"/>
                <w:kern w:val="2"/>
                <w:sz w:val="24"/>
                <w:szCs w:val="24"/>
                <w:highlight w:val="none"/>
                <w:lang w:val="en-US" w:eastAsia="zh-CN" w:bidi="ar-SA"/>
              </w:rPr>
              <w:t>dB(A)</w:t>
            </w:r>
            <w:r>
              <w:rPr>
                <w:rFonts w:hint="eastAsia" w:cs="Times New Roman"/>
                <w:color w:val="auto"/>
                <w:kern w:val="2"/>
                <w:sz w:val="21"/>
                <w:szCs w:val="21"/>
                <w:highlight w:val="none"/>
                <w:lang w:val="en-US" w:eastAsia="zh-CN" w:bidi="ar-SA"/>
              </w:rPr>
              <w:t>）</w:t>
            </w:r>
          </w:p>
        </w:tc>
      </w:tr>
      <w:tr w14:paraId="30EC6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205" w:type="dxa"/>
            <w:noWrap w:val="0"/>
            <w:vAlign w:val="center"/>
          </w:tcPr>
          <w:p w14:paraId="117810D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重型运输车</w:t>
            </w:r>
          </w:p>
        </w:tc>
        <w:tc>
          <w:tcPr>
            <w:tcW w:w="6311" w:type="dxa"/>
            <w:noWrap w:val="0"/>
            <w:vAlign w:val="center"/>
          </w:tcPr>
          <w:p w14:paraId="23127ED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78~86</w:t>
            </w:r>
          </w:p>
        </w:tc>
      </w:tr>
    </w:tbl>
    <w:p w14:paraId="35E70921">
      <w:pPr>
        <w:wordWrap w:val="0"/>
        <w:spacing w:line="360" w:lineRule="auto"/>
        <w:ind w:firstLine="482" w:firstLineChars="200"/>
        <w:jc w:val="left"/>
        <w:rPr>
          <w:rFonts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rPr>
        <w:t>（2）施工噪声影响预测</w:t>
      </w:r>
    </w:p>
    <w:p w14:paraId="23702C12">
      <w:pPr>
        <w:wordWrap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本评价采用无指向性点声源几何发散衰减计算施工噪声对环境的影响，具体公式如下：</w:t>
      </w:r>
    </w:p>
    <w:p w14:paraId="628B9A92">
      <w:pPr>
        <w:widowControl w:val="0"/>
        <w:wordWrap w:val="0"/>
        <w:spacing w:line="240" w:lineRule="auto"/>
        <w:ind w:firstLine="0" w:firstLineChars="0"/>
        <w:jc w:val="center"/>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drawing>
          <wp:inline distT="0" distB="0" distL="114300" distR="114300">
            <wp:extent cx="1988185" cy="405130"/>
            <wp:effectExtent l="0" t="0" r="12065" b="13970"/>
            <wp:docPr id="568" name="图片 232"/>
            <wp:cNvGraphicFramePr/>
            <a:graphic xmlns:a="http://schemas.openxmlformats.org/drawingml/2006/main">
              <a:graphicData uri="http://schemas.openxmlformats.org/drawingml/2006/picture">
                <pic:pic xmlns:pic="http://schemas.openxmlformats.org/drawingml/2006/picture">
                  <pic:nvPicPr>
                    <pic:cNvPr id="568" name="图片 232"/>
                    <pic:cNvPicPr/>
                  </pic:nvPicPr>
                  <pic:blipFill>
                    <a:blip r:embed="rId56"/>
                    <a:stretch>
                      <a:fillRect/>
                    </a:stretch>
                  </pic:blipFill>
                  <pic:spPr>
                    <a:xfrm>
                      <a:off x="0" y="0"/>
                      <a:ext cx="1988185" cy="405130"/>
                    </a:xfrm>
                    <a:prstGeom prst="rect">
                      <a:avLst/>
                    </a:prstGeom>
                    <a:noFill/>
                    <a:ln>
                      <a:noFill/>
                    </a:ln>
                  </pic:spPr>
                </pic:pic>
              </a:graphicData>
            </a:graphic>
          </wp:inline>
        </w:drawing>
      </w:r>
    </w:p>
    <w:p w14:paraId="7381AB9F">
      <w:pPr>
        <w:wordWrap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式中：L</w:t>
      </w:r>
      <w:r>
        <w:rPr>
          <w:rFonts w:ascii="Times New Roman" w:hAnsi="Times New Roman" w:eastAsia="宋体" w:cs="Times New Roman"/>
          <w:color w:val="auto"/>
          <w:sz w:val="24"/>
          <w:szCs w:val="24"/>
          <w:highlight w:val="none"/>
          <w:vertAlign w:val="subscript"/>
        </w:rPr>
        <w:t>A(r)</w:t>
      </w:r>
      <w:r>
        <w:rPr>
          <w:rFonts w:ascii="Times New Roman" w:hAnsi="Times New Roman" w:eastAsia="宋体" w:cs="Times New Roman"/>
          <w:color w:val="auto"/>
          <w:sz w:val="24"/>
          <w:szCs w:val="24"/>
          <w:highlight w:val="none"/>
        </w:rPr>
        <w:t>——预测点处声压级，dB；</w:t>
      </w:r>
    </w:p>
    <w:p w14:paraId="2C28BC2E">
      <w:pPr>
        <w:wordWrap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L</w:t>
      </w:r>
      <w:r>
        <w:rPr>
          <w:rFonts w:ascii="Times New Roman" w:hAnsi="Times New Roman" w:eastAsia="宋体" w:cs="Times New Roman"/>
          <w:color w:val="auto"/>
          <w:sz w:val="24"/>
          <w:szCs w:val="24"/>
          <w:highlight w:val="none"/>
          <w:vertAlign w:val="subscript"/>
        </w:rPr>
        <w:t>A(r0)</w:t>
      </w:r>
      <w:r>
        <w:rPr>
          <w:rFonts w:ascii="Times New Roman" w:hAnsi="Times New Roman" w:eastAsia="宋体" w:cs="Times New Roman"/>
          <w:color w:val="auto"/>
          <w:sz w:val="24"/>
          <w:szCs w:val="24"/>
          <w:highlight w:val="none"/>
        </w:rPr>
        <w:t>——参考位置r0处的声压级，dB；</w:t>
      </w:r>
    </w:p>
    <w:p w14:paraId="2A6D8CDD">
      <w:pPr>
        <w:wordWrap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r——预测点与点声源之间的距离(m)；</w:t>
      </w:r>
    </w:p>
    <w:p w14:paraId="0C83FCC5">
      <w:pPr>
        <w:wordWrap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r</w:t>
      </w:r>
      <w:r>
        <w:rPr>
          <w:rFonts w:ascii="Times New Roman" w:hAnsi="Times New Roman" w:eastAsia="宋体" w:cs="Times New Roman"/>
          <w:color w:val="auto"/>
          <w:sz w:val="24"/>
          <w:szCs w:val="24"/>
          <w:highlight w:val="none"/>
          <w:vertAlign w:val="subscript"/>
        </w:rPr>
        <w:t>0</w:t>
      </w:r>
      <w:r>
        <w:rPr>
          <w:rFonts w:ascii="Times New Roman" w:hAnsi="Times New Roman" w:eastAsia="宋体" w:cs="Times New Roman"/>
          <w:color w:val="auto"/>
          <w:sz w:val="24"/>
          <w:szCs w:val="24"/>
          <w:highlight w:val="none"/>
        </w:rPr>
        <w:t>——参考位置与点声源之间的距离(m)；</w:t>
      </w:r>
    </w:p>
    <w:p w14:paraId="165DC196">
      <w:pPr>
        <w:wordWrap w:val="0"/>
        <w:spacing w:line="360" w:lineRule="auto"/>
        <w:ind w:firstLine="480" w:firstLineChars="200"/>
        <w:jc w:val="left"/>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根据上述公式计算，本项目重型运输车</w:t>
      </w:r>
      <w:r>
        <w:rPr>
          <w:rFonts w:ascii="Times New Roman" w:hAnsi="Times New Roman" w:eastAsia="宋体" w:cs="Times New Roman"/>
          <w:color w:val="auto"/>
          <w:sz w:val="24"/>
          <w:szCs w:val="24"/>
          <w:highlight w:val="none"/>
        </w:rPr>
        <w:t>经噪声衰减距离见</w:t>
      </w:r>
      <w:r>
        <w:rPr>
          <w:rFonts w:hint="eastAsia" w:ascii="Times New Roman" w:hAnsi="Times New Roman" w:eastAsia="宋体" w:cs="Times New Roman"/>
          <w:color w:val="auto"/>
          <w:sz w:val="24"/>
          <w:szCs w:val="24"/>
          <w:highlight w:val="none"/>
          <w:lang w:val="en-US" w:eastAsia="zh-CN"/>
        </w:rPr>
        <w:t>下表</w:t>
      </w:r>
      <w:r>
        <w:rPr>
          <w:rFonts w:ascii="Times New Roman" w:hAnsi="Times New Roman" w:eastAsia="宋体" w:cs="Times New Roman"/>
          <w:color w:val="auto"/>
          <w:sz w:val="24"/>
          <w:szCs w:val="24"/>
          <w:highlight w:val="none"/>
        </w:rPr>
        <w:t>。</w:t>
      </w:r>
    </w:p>
    <w:p w14:paraId="3F31D34B">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表5.1-4  噪声衰减一览表</w:t>
      </w:r>
      <w:r>
        <w:rPr>
          <w:rFonts w:hint="eastAsia" w:cs="Times New Roman"/>
          <w:b/>
          <w:bCs/>
          <w:color w:val="auto"/>
          <w:kern w:val="2"/>
          <w:sz w:val="24"/>
          <w:szCs w:val="24"/>
          <w:highlight w:val="none"/>
          <w:lang w:val="en-US" w:eastAsia="zh-CN" w:bidi="ar-SA"/>
        </w:rPr>
        <w:t>（单位：</w:t>
      </w:r>
      <w:r>
        <w:rPr>
          <w:rFonts w:hint="default" w:ascii="Times New Roman" w:hAnsi="Times New Roman" w:eastAsia="宋体" w:cs="Times New Roman"/>
          <w:b/>
          <w:bCs/>
          <w:color w:val="auto"/>
          <w:kern w:val="2"/>
          <w:sz w:val="24"/>
          <w:szCs w:val="24"/>
          <w:highlight w:val="none"/>
          <w:lang w:val="en-US" w:eastAsia="zh-CN" w:bidi="ar-SA"/>
        </w:rPr>
        <w:t>dB(A)</w:t>
      </w:r>
      <w:r>
        <w:rPr>
          <w:rFonts w:hint="eastAsia" w:cs="Times New Roman"/>
          <w:b/>
          <w:bCs/>
          <w:color w:val="auto"/>
          <w:kern w:val="2"/>
          <w:sz w:val="24"/>
          <w:szCs w:val="24"/>
          <w:highlight w:val="none"/>
          <w:lang w:val="en-US" w:eastAsia="zh-CN" w:bidi="ar-SA"/>
        </w:rPr>
        <w:t>）</w:t>
      </w:r>
    </w:p>
    <w:tbl>
      <w:tblPr>
        <w:tblStyle w:val="472"/>
        <w:tblW w:w="499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79"/>
        <w:gridCol w:w="1766"/>
        <w:gridCol w:w="728"/>
        <w:gridCol w:w="728"/>
        <w:gridCol w:w="728"/>
        <w:gridCol w:w="731"/>
        <w:gridCol w:w="728"/>
        <w:gridCol w:w="728"/>
        <w:gridCol w:w="789"/>
      </w:tblGrid>
      <w:tr w14:paraId="174780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0" w:type="pct"/>
            <w:vMerge w:val="restart"/>
            <w:tcBorders>
              <w:bottom w:val="nil"/>
            </w:tcBorders>
            <w:noWrap w:val="0"/>
            <w:vAlign w:val="center"/>
          </w:tcPr>
          <w:p w14:paraId="3E76CEC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施工阶段</w:t>
            </w:r>
          </w:p>
        </w:tc>
        <w:tc>
          <w:tcPr>
            <w:tcW w:w="1063" w:type="pct"/>
            <w:vMerge w:val="restart"/>
            <w:tcBorders>
              <w:bottom w:val="nil"/>
            </w:tcBorders>
            <w:noWrap w:val="0"/>
            <w:vAlign w:val="center"/>
          </w:tcPr>
          <w:p w14:paraId="7388CF0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情景组合</w:t>
            </w:r>
          </w:p>
        </w:tc>
        <w:tc>
          <w:tcPr>
            <w:tcW w:w="438" w:type="pct"/>
            <w:vMerge w:val="restart"/>
            <w:tcBorders>
              <w:bottom w:val="nil"/>
            </w:tcBorders>
            <w:noWrap w:val="0"/>
            <w:vAlign w:val="center"/>
          </w:tcPr>
          <w:p w14:paraId="50B9D72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50m</w:t>
            </w:r>
          </w:p>
        </w:tc>
        <w:tc>
          <w:tcPr>
            <w:tcW w:w="438" w:type="pct"/>
            <w:vMerge w:val="restart"/>
            <w:tcBorders>
              <w:bottom w:val="nil"/>
            </w:tcBorders>
            <w:noWrap w:val="0"/>
            <w:vAlign w:val="center"/>
          </w:tcPr>
          <w:p w14:paraId="303B3DE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100m</w:t>
            </w:r>
          </w:p>
        </w:tc>
        <w:tc>
          <w:tcPr>
            <w:tcW w:w="438" w:type="pct"/>
            <w:vMerge w:val="restart"/>
            <w:tcBorders>
              <w:bottom w:val="nil"/>
            </w:tcBorders>
            <w:noWrap w:val="0"/>
            <w:vAlign w:val="center"/>
          </w:tcPr>
          <w:p w14:paraId="149EC18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150m</w:t>
            </w:r>
          </w:p>
        </w:tc>
        <w:tc>
          <w:tcPr>
            <w:tcW w:w="440" w:type="pct"/>
            <w:vMerge w:val="restart"/>
            <w:tcBorders>
              <w:bottom w:val="nil"/>
            </w:tcBorders>
            <w:noWrap w:val="0"/>
            <w:vAlign w:val="center"/>
          </w:tcPr>
          <w:p w14:paraId="2FFF47F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200m</w:t>
            </w:r>
          </w:p>
        </w:tc>
        <w:tc>
          <w:tcPr>
            <w:tcW w:w="438" w:type="pct"/>
            <w:vMerge w:val="restart"/>
            <w:tcBorders>
              <w:bottom w:val="nil"/>
            </w:tcBorders>
            <w:noWrap w:val="0"/>
            <w:vAlign w:val="center"/>
          </w:tcPr>
          <w:p w14:paraId="517F55C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300m</w:t>
            </w:r>
          </w:p>
        </w:tc>
        <w:tc>
          <w:tcPr>
            <w:tcW w:w="913" w:type="pct"/>
            <w:gridSpan w:val="2"/>
            <w:noWrap w:val="0"/>
            <w:vAlign w:val="center"/>
          </w:tcPr>
          <w:p w14:paraId="1C43808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达标距离（m）</w:t>
            </w:r>
          </w:p>
        </w:tc>
      </w:tr>
      <w:tr w14:paraId="7F552B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0" w:type="pct"/>
            <w:vMerge w:val="continue"/>
            <w:tcBorders>
              <w:top w:val="nil"/>
            </w:tcBorders>
            <w:noWrap w:val="0"/>
            <w:vAlign w:val="center"/>
          </w:tcPr>
          <w:p w14:paraId="161E552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1063" w:type="pct"/>
            <w:vMerge w:val="continue"/>
            <w:tcBorders>
              <w:top w:val="nil"/>
            </w:tcBorders>
            <w:noWrap w:val="0"/>
            <w:vAlign w:val="center"/>
          </w:tcPr>
          <w:p w14:paraId="1613605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438" w:type="pct"/>
            <w:vMerge w:val="continue"/>
            <w:tcBorders>
              <w:top w:val="nil"/>
            </w:tcBorders>
            <w:noWrap w:val="0"/>
            <w:vAlign w:val="center"/>
          </w:tcPr>
          <w:p w14:paraId="49411EC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438" w:type="pct"/>
            <w:vMerge w:val="continue"/>
            <w:tcBorders>
              <w:top w:val="nil"/>
            </w:tcBorders>
            <w:noWrap w:val="0"/>
            <w:vAlign w:val="center"/>
          </w:tcPr>
          <w:p w14:paraId="3903EA0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438" w:type="pct"/>
            <w:vMerge w:val="continue"/>
            <w:tcBorders>
              <w:top w:val="nil"/>
            </w:tcBorders>
            <w:noWrap w:val="0"/>
            <w:vAlign w:val="center"/>
          </w:tcPr>
          <w:p w14:paraId="338B0CA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440" w:type="pct"/>
            <w:vMerge w:val="continue"/>
            <w:tcBorders>
              <w:top w:val="nil"/>
            </w:tcBorders>
            <w:noWrap w:val="0"/>
            <w:vAlign w:val="center"/>
          </w:tcPr>
          <w:p w14:paraId="1ECBD4E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438" w:type="pct"/>
            <w:vMerge w:val="continue"/>
            <w:tcBorders>
              <w:top w:val="nil"/>
            </w:tcBorders>
            <w:noWrap w:val="0"/>
            <w:vAlign w:val="center"/>
          </w:tcPr>
          <w:p w14:paraId="0300FCE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438" w:type="pct"/>
            <w:noWrap w:val="0"/>
            <w:vAlign w:val="center"/>
          </w:tcPr>
          <w:p w14:paraId="5E0650C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昼间</w:t>
            </w:r>
          </w:p>
        </w:tc>
        <w:tc>
          <w:tcPr>
            <w:tcW w:w="474" w:type="pct"/>
            <w:noWrap w:val="0"/>
            <w:vAlign w:val="center"/>
          </w:tcPr>
          <w:p w14:paraId="456F1B9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夜间</w:t>
            </w:r>
          </w:p>
        </w:tc>
      </w:tr>
      <w:tr w14:paraId="0B777E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830" w:type="pct"/>
            <w:noWrap w:val="0"/>
            <w:vAlign w:val="center"/>
          </w:tcPr>
          <w:p w14:paraId="3E2EFCB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装卸</w:t>
            </w:r>
          </w:p>
        </w:tc>
        <w:tc>
          <w:tcPr>
            <w:tcW w:w="1063" w:type="pct"/>
            <w:noWrap w:val="0"/>
            <w:vAlign w:val="center"/>
          </w:tcPr>
          <w:p w14:paraId="3FBD020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重型运输车</w:t>
            </w:r>
          </w:p>
        </w:tc>
        <w:tc>
          <w:tcPr>
            <w:tcW w:w="438" w:type="pct"/>
            <w:noWrap w:val="0"/>
            <w:vAlign w:val="center"/>
          </w:tcPr>
          <w:p w14:paraId="38D4AE4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72.0</w:t>
            </w:r>
          </w:p>
        </w:tc>
        <w:tc>
          <w:tcPr>
            <w:tcW w:w="438" w:type="pct"/>
            <w:noWrap w:val="0"/>
            <w:vAlign w:val="center"/>
          </w:tcPr>
          <w:p w14:paraId="64F0171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66.0</w:t>
            </w:r>
          </w:p>
        </w:tc>
        <w:tc>
          <w:tcPr>
            <w:tcW w:w="438" w:type="pct"/>
            <w:noWrap w:val="0"/>
            <w:vAlign w:val="center"/>
          </w:tcPr>
          <w:p w14:paraId="244FFBF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62.5</w:t>
            </w:r>
          </w:p>
        </w:tc>
        <w:tc>
          <w:tcPr>
            <w:tcW w:w="440" w:type="pct"/>
            <w:noWrap w:val="0"/>
            <w:vAlign w:val="center"/>
          </w:tcPr>
          <w:p w14:paraId="380A220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60.0</w:t>
            </w:r>
          </w:p>
        </w:tc>
        <w:tc>
          <w:tcPr>
            <w:tcW w:w="438" w:type="pct"/>
            <w:noWrap w:val="0"/>
            <w:vAlign w:val="center"/>
          </w:tcPr>
          <w:p w14:paraId="71DA479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56.5</w:t>
            </w:r>
          </w:p>
        </w:tc>
        <w:tc>
          <w:tcPr>
            <w:tcW w:w="438" w:type="pct"/>
            <w:noWrap w:val="0"/>
            <w:vAlign w:val="center"/>
          </w:tcPr>
          <w:p w14:paraId="20AA942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112</w:t>
            </w:r>
          </w:p>
        </w:tc>
        <w:tc>
          <w:tcPr>
            <w:tcW w:w="474" w:type="pct"/>
            <w:noWrap w:val="0"/>
            <w:vAlign w:val="center"/>
          </w:tcPr>
          <w:p w14:paraId="07EA367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354</w:t>
            </w:r>
          </w:p>
        </w:tc>
      </w:tr>
    </w:tbl>
    <w:p w14:paraId="521D7A16">
      <w:pPr>
        <w:wordWrap w:val="0"/>
        <w:spacing w:line="360" w:lineRule="auto"/>
        <w:ind w:firstLine="482" w:firstLineChars="200"/>
        <w:jc w:val="left"/>
        <w:rPr>
          <w:rFonts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rPr>
        <w:t>（3）影响分析</w:t>
      </w:r>
    </w:p>
    <w:p w14:paraId="481F2767">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ascii="Times New Roman" w:hAnsi="Times New Roman" w:eastAsia="宋体" w:cs="Times New Roman"/>
          <w:color w:val="auto"/>
          <w:sz w:val="24"/>
          <w:szCs w:val="24"/>
          <w:highlight w:val="none"/>
        </w:rPr>
        <w:t>由</w:t>
      </w:r>
      <w:r>
        <w:rPr>
          <w:rFonts w:hint="eastAsia" w:ascii="Times New Roman" w:hAnsi="Times New Roman" w:eastAsia="宋体" w:cs="Times New Roman"/>
          <w:color w:val="auto"/>
          <w:sz w:val="24"/>
          <w:szCs w:val="24"/>
          <w:highlight w:val="none"/>
          <w:lang w:val="en-US" w:eastAsia="zh-CN"/>
        </w:rPr>
        <w:t>表5.1-4</w:t>
      </w:r>
      <w:r>
        <w:rPr>
          <w:rFonts w:ascii="Times New Roman" w:hAnsi="Times New Roman" w:eastAsia="宋体" w:cs="Times New Roman"/>
          <w:color w:val="auto"/>
          <w:sz w:val="24"/>
          <w:szCs w:val="24"/>
          <w:highlight w:val="none"/>
        </w:rPr>
        <w:t>可</w:t>
      </w:r>
      <w:r>
        <w:rPr>
          <w:rFonts w:hint="eastAsia" w:ascii="Times New Roman" w:hAnsi="Times New Roman" w:eastAsia="宋体" w:cs="Times New Roman"/>
          <w:color w:val="auto"/>
          <w:sz w:val="24"/>
          <w:szCs w:val="24"/>
          <w:highlight w:val="none"/>
          <w:lang w:val="en-US" w:eastAsia="zh-CN"/>
        </w:rPr>
        <w:t>知</w:t>
      </w:r>
      <w:r>
        <w:rPr>
          <w:rFonts w:ascii="Times New Roman" w:hAnsi="Times New Roman" w:eastAsia="宋体" w:cs="Times New Roman"/>
          <w:color w:val="auto"/>
          <w:sz w:val="24"/>
          <w:szCs w:val="24"/>
          <w:highlight w:val="none"/>
        </w:rPr>
        <w:t>，建设项目施工期间</w:t>
      </w:r>
      <w:r>
        <w:rPr>
          <w:rFonts w:hint="eastAsia" w:ascii="Times New Roman" w:hAnsi="Times New Roman" w:eastAsia="宋体" w:cs="Times New Roman"/>
          <w:color w:val="auto"/>
          <w:sz w:val="24"/>
          <w:szCs w:val="24"/>
          <w:highlight w:val="none"/>
        </w:rPr>
        <w:t>厂界</w:t>
      </w:r>
      <w:r>
        <w:rPr>
          <w:rFonts w:ascii="Times New Roman" w:hAnsi="Times New Roman" w:eastAsia="宋体" w:cs="Times New Roman"/>
          <w:color w:val="auto"/>
          <w:sz w:val="24"/>
          <w:szCs w:val="24"/>
          <w:highlight w:val="none"/>
        </w:rPr>
        <w:t>噪声一般不能满足《</w:t>
      </w:r>
      <w:r>
        <w:rPr>
          <w:rFonts w:hint="eastAsia" w:ascii="Times New Roman" w:hAnsi="Times New Roman" w:eastAsia="宋体" w:cs="Times New Roman"/>
          <w:color w:val="auto"/>
          <w:sz w:val="24"/>
          <w:szCs w:val="24"/>
          <w:highlight w:val="none"/>
        </w:rPr>
        <w:t>建筑施工场界环境噪声排放标准</w:t>
      </w:r>
      <w:r>
        <w:rPr>
          <w:rFonts w:ascii="Times New Roman" w:hAnsi="Times New Roman" w:eastAsia="宋体" w:cs="Times New Roman"/>
          <w:color w:val="auto"/>
          <w:sz w:val="24"/>
          <w:szCs w:val="24"/>
          <w:highlight w:val="none"/>
        </w:rPr>
        <w:t>》（GB12523-2011）所规定的施工</w:t>
      </w:r>
      <w:r>
        <w:rPr>
          <w:rFonts w:hint="eastAsia" w:ascii="Times New Roman" w:hAnsi="Times New Roman" w:eastAsia="宋体" w:cs="Times New Roman"/>
          <w:color w:val="auto"/>
          <w:sz w:val="24"/>
          <w:szCs w:val="24"/>
          <w:highlight w:val="none"/>
        </w:rPr>
        <w:t>场</w:t>
      </w:r>
      <w:r>
        <w:rPr>
          <w:rFonts w:ascii="Times New Roman" w:hAnsi="Times New Roman" w:eastAsia="宋体" w:cs="Times New Roman"/>
          <w:color w:val="auto"/>
          <w:sz w:val="24"/>
          <w:szCs w:val="24"/>
          <w:highlight w:val="none"/>
        </w:rPr>
        <w:t>界噪声限值，昼间最大超标</w:t>
      </w:r>
      <w:r>
        <w:rPr>
          <w:rFonts w:hint="eastAsia" w:ascii="Times New Roman" w:hAnsi="Times New Roman" w:eastAsia="宋体" w:cs="Times New Roman"/>
          <w:color w:val="auto"/>
          <w:sz w:val="24"/>
          <w:szCs w:val="24"/>
          <w:highlight w:val="none"/>
          <w:lang w:val="en-US" w:eastAsia="zh-CN"/>
        </w:rPr>
        <w:t>8</w:t>
      </w:r>
      <w:r>
        <w:rPr>
          <w:rFonts w:ascii="Times New Roman" w:hAnsi="Times New Roman" w:eastAsia="宋体" w:cs="Times New Roman"/>
          <w:color w:val="auto"/>
          <w:sz w:val="24"/>
          <w:szCs w:val="24"/>
          <w:highlight w:val="none"/>
        </w:rPr>
        <w:t>dB（A）左右，夜间禁止施工，影响范围约建设区的</w:t>
      </w:r>
      <w:r>
        <w:rPr>
          <w:rFonts w:hint="eastAsia" w:ascii="Times New Roman" w:hAnsi="Times New Roman" w:eastAsia="宋体" w:cs="Times New Roman"/>
          <w:color w:val="auto"/>
          <w:sz w:val="24"/>
          <w:szCs w:val="24"/>
          <w:highlight w:val="none"/>
          <w:lang w:val="en-US" w:eastAsia="zh-CN"/>
        </w:rPr>
        <w:t>200</w:t>
      </w:r>
      <w:r>
        <w:rPr>
          <w:rFonts w:ascii="Times New Roman" w:hAnsi="Times New Roman" w:eastAsia="宋体" w:cs="Times New Roman"/>
          <w:color w:val="auto"/>
          <w:sz w:val="24"/>
          <w:szCs w:val="24"/>
          <w:highlight w:val="none"/>
        </w:rPr>
        <w:t>m之内。</w:t>
      </w:r>
      <w:r>
        <w:rPr>
          <w:rFonts w:hint="eastAsia" w:ascii="Times New Roman" w:hAnsi="Times New Roman" w:eastAsia="宋体" w:cs="Times New Roman"/>
          <w:color w:val="auto"/>
          <w:sz w:val="24"/>
          <w:szCs w:val="24"/>
          <w:highlight w:val="none"/>
          <w:lang w:val="en-US" w:eastAsia="zh-CN"/>
        </w:rPr>
        <w:t>经过</w:t>
      </w:r>
      <w:r>
        <w:rPr>
          <w:rFonts w:hint="eastAsia" w:cs="Times New Roman"/>
          <w:color w:val="auto"/>
          <w:sz w:val="24"/>
          <w:szCs w:val="24"/>
          <w:highlight w:val="none"/>
          <w:lang w:val="en-US" w:eastAsia="zh-CN"/>
        </w:rPr>
        <w:t>现场勘查</w:t>
      </w:r>
      <w:r>
        <w:rPr>
          <w:rFonts w:hint="eastAsia" w:ascii="Times New Roman" w:hAnsi="Times New Roman" w:eastAsia="宋体" w:cs="Times New Roman"/>
          <w:color w:val="auto"/>
          <w:sz w:val="24"/>
          <w:szCs w:val="24"/>
          <w:highlight w:val="none"/>
          <w:lang w:val="en-US" w:eastAsia="zh-CN"/>
        </w:rPr>
        <w:t>可知，项目周边200m范围内无声环境敏感目标，对周边其他敏感点影响较小。</w:t>
      </w:r>
    </w:p>
    <w:p w14:paraId="70126F02">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rPr>
        <w:t>因此，在建设项目施工期内，</w:t>
      </w:r>
      <w:r>
        <w:rPr>
          <w:rFonts w:hint="eastAsia" w:ascii="Times New Roman" w:hAnsi="Times New Roman" w:eastAsia="宋体" w:cs="Times New Roman"/>
          <w:color w:val="auto"/>
          <w:sz w:val="24"/>
          <w:szCs w:val="24"/>
          <w:highlight w:val="none"/>
          <w:lang w:val="en-US" w:eastAsia="zh-CN"/>
        </w:rPr>
        <w:t>为</w:t>
      </w:r>
      <w:r>
        <w:rPr>
          <w:rFonts w:hint="eastAsia" w:ascii="Times New Roman" w:hAnsi="Times New Roman" w:eastAsia="宋体" w:cs="Times New Roman"/>
          <w:color w:val="auto"/>
          <w:sz w:val="24"/>
          <w:szCs w:val="24"/>
          <w:highlight w:val="none"/>
          <w:lang w:val="en-US"/>
        </w:rPr>
        <w:t>减少施工噪声对周边敏感目标的影响</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rPr>
        <w:t>避免由此引起的纠纷，建议采取如下措施：</w:t>
      </w:r>
    </w:p>
    <w:p w14:paraId="68A52524">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lang w:val="en-US"/>
        </w:rPr>
      </w:pPr>
      <w:r>
        <w:rPr>
          <w:rFonts w:hint="eastAsia" w:ascii="Times New Roman" w:hAnsi="Times New Roman" w:eastAsia="宋体" w:cs="Times New Roman"/>
          <w:color w:val="auto"/>
          <w:sz w:val="24"/>
          <w:szCs w:val="24"/>
          <w:highlight w:val="none"/>
          <w:lang w:val="en-US" w:eastAsia="zh-CN"/>
        </w:rPr>
        <w:t>①</w:t>
      </w:r>
      <w:r>
        <w:rPr>
          <w:rFonts w:hint="eastAsia" w:ascii="Times New Roman" w:hAnsi="Times New Roman" w:eastAsia="宋体" w:cs="Times New Roman"/>
          <w:color w:val="auto"/>
          <w:sz w:val="24"/>
          <w:szCs w:val="24"/>
          <w:highlight w:val="none"/>
          <w:lang w:val="en-US"/>
        </w:rPr>
        <w:t>选用低噪声施工设备，合理布置高噪声设备，远离厂界。</w:t>
      </w:r>
    </w:p>
    <w:p w14:paraId="6D94FB6E">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②</w:t>
      </w:r>
      <w:r>
        <w:rPr>
          <w:rFonts w:hint="eastAsia" w:ascii="Times New Roman" w:hAnsi="Times New Roman" w:eastAsia="宋体" w:cs="Times New Roman"/>
          <w:color w:val="auto"/>
          <w:sz w:val="24"/>
          <w:szCs w:val="24"/>
          <w:highlight w:val="none"/>
          <w:lang w:val="en-US"/>
        </w:rPr>
        <w:t>合理安排施工时间：施工单位应合理安排好施工时间</w:t>
      </w:r>
      <w:r>
        <w:rPr>
          <w:rFonts w:hint="eastAsia" w:cs="Times New Roman"/>
          <w:color w:val="auto"/>
          <w:sz w:val="24"/>
          <w:szCs w:val="24"/>
          <w:highlight w:val="none"/>
          <w:lang w:val="en-US" w:eastAsia="zh-CN"/>
        </w:rPr>
        <w:t>，在</w:t>
      </w:r>
      <w:r>
        <w:rPr>
          <w:rFonts w:hint="eastAsia" w:ascii="Times New Roman" w:hAnsi="Times New Roman" w:eastAsia="宋体" w:cs="Times New Roman"/>
          <w:color w:val="auto"/>
          <w:sz w:val="24"/>
          <w:szCs w:val="24"/>
          <w:highlight w:val="none"/>
          <w:lang w:val="en-US"/>
        </w:rPr>
        <w:t>靠近敏感点处施工时，尽量缩短工期，尤其是在有敏感点分布的边界附近施工时，应尽快施工，避免造成长期影响。除工程必须，并取得环保部门批准外，《安徽省环境保护条例》明确规定：城市市区范围内禁止午间（中午</w:t>
      </w:r>
      <w:r>
        <w:rPr>
          <w:rFonts w:ascii="Times New Roman" w:hAnsi="Times New Roman" w:eastAsia="宋体" w:cs="Times New Roman"/>
          <w:color w:val="auto"/>
          <w:sz w:val="24"/>
          <w:szCs w:val="24"/>
          <w:highlight w:val="none"/>
          <w:lang w:val="en-US"/>
        </w:rPr>
        <w:t>12</w:t>
      </w:r>
      <w:r>
        <w:rPr>
          <w:rFonts w:hint="eastAsia" w:ascii="Times New Roman" w:hAnsi="Times New Roman" w:eastAsia="宋体" w:cs="Times New Roman"/>
          <w:color w:val="auto"/>
          <w:sz w:val="24"/>
          <w:szCs w:val="24"/>
          <w:highlight w:val="none"/>
          <w:lang w:val="en-US"/>
        </w:rPr>
        <w:t>点至</w:t>
      </w:r>
      <w:r>
        <w:rPr>
          <w:rFonts w:ascii="Times New Roman" w:hAnsi="Times New Roman" w:eastAsia="宋体" w:cs="Times New Roman"/>
          <w:color w:val="auto"/>
          <w:sz w:val="24"/>
          <w:szCs w:val="24"/>
          <w:highlight w:val="none"/>
          <w:lang w:val="en-US"/>
        </w:rPr>
        <w:t>14</w:t>
      </w:r>
      <w:r>
        <w:rPr>
          <w:rFonts w:hint="eastAsia" w:ascii="Times New Roman" w:hAnsi="Times New Roman" w:eastAsia="宋体" w:cs="Times New Roman"/>
          <w:color w:val="auto"/>
          <w:sz w:val="24"/>
          <w:szCs w:val="24"/>
          <w:highlight w:val="none"/>
          <w:lang w:val="en-US"/>
        </w:rPr>
        <w:t>点）和夜间（晚</w:t>
      </w:r>
      <w:r>
        <w:rPr>
          <w:rFonts w:ascii="Times New Roman" w:hAnsi="Times New Roman" w:eastAsia="宋体" w:cs="Times New Roman"/>
          <w:color w:val="auto"/>
          <w:sz w:val="24"/>
          <w:szCs w:val="24"/>
          <w:highlight w:val="none"/>
          <w:lang w:val="en-US"/>
        </w:rPr>
        <w:t>22</w:t>
      </w:r>
      <w:r>
        <w:rPr>
          <w:rFonts w:hint="eastAsia" w:ascii="Times New Roman" w:hAnsi="Times New Roman" w:eastAsia="宋体" w:cs="Times New Roman"/>
          <w:color w:val="auto"/>
          <w:sz w:val="24"/>
          <w:szCs w:val="24"/>
          <w:highlight w:val="none"/>
          <w:lang w:val="en-US"/>
        </w:rPr>
        <w:t>点至晨</w:t>
      </w:r>
      <w:r>
        <w:rPr>
          <w:rFonts w:ascii="Times New Roman" w:hAnsi="Times New Roman" w:eastAsia="宋体" w:cs="Times New Roman"/>
          <w:color w:val="auto"/>
          <w:sz w:val="24"/>
          <w:szCs w:val="24"/>
          <w:highlight w:val="none"/>
          <w:lang w:val="en-US"/>
        </w:rPr>
        <w:t>6</w:t>
      </w:r>
      <w:r>
        <w:rPr>
          <w:rFonts w:hint="eastAsia" w:ascii="Times New Roman" w:hAnsi="Times New Roman" w:eastAsia="宋体" w:cs="Times New Roman"/>
          <w:color w:val="auto"/>
          <w:sz w:val="24"/>
          <w:szCs w:val="24"/>
          <w:highlight w:val="none"/>
          <w:lang w:val="en-US"/>
        </w:rPr>
        <w:t>点）在噪声敏感建筑物集中区域内进行产生环境噪声污染的活动；禁止在中考、高考等特殊期间，建设单位因任何理由违反所在地环境保护行政主管部门的限制性规定，进行产生环境噪声污染活动；在城市市区噪声敏感建筑物集中区域内，因生产工艺等特殊需要必须连续作业，并产生环境噪声污染的建筑施工，施工单位应当持有县级以上人民政府或者有关主管部门的证明，提前</w:t>
      </w:r>
      <w:r>
        <w:rPr>
          <w:rFonts w:ascii="Times New Roman" w:hAnsi="Times New Roman" w:eastAsia="宋体" w:cs="Times New Roman"/>
          <w:color w:val="auto"/>
          <w:sz w:val="24"/>
          <w:szCs w:val="24"/>
          <w:highlight w:val="none"/>
          <w:lang w:val="en-US"/>
        </w:rPr>
        <w:t>2</w:t>
      </w:r>
      <w:r>
        <w:rPr>
          <w:rFonts w:hint="eastAsia" w:ascii="Times New Roman" w:hAnsi="Times New Roman" w:eastAsia="宋体" w:cs="Times New Roman"/>
          <w:color w:val="auto"/>
          <w:sz w:val="24"/>
          <w:szCs w:val="24"/>
          <w:highlight w:val="none"/>
          <w:lang w:val="en-US"/>
        </w:rPr>
        <w:t>日公告附近居民，并告知所在地市、区人民政府环境保护行政主管部门。</w:t>
      </w:r>
    </w:p>
    <w:p w14:paraId="02D6B831">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③</w:t>
      </w:r>
      <w:r>
        <w:rPr>
          <w:rFonts w:hint="eastAsia" w:ascii="Times New Roman" w:hAnsi="Times New Roman" w:eastAsia="宋体" w:cs="Times New Roman"/>
          <w:color w:val="auto"/>
          <w:sz w:val="24"/>
          <w:szCs w:val="24"/>
          <w:highlight w:val="none"/>
          <w:lang w:val="en-US"/>
        </w:rPr>
        <w:t>从声源上控制：施工机械产生的噪声往往具有突发、无规则、不连续和高强度等特点，施工单位应采取合理安排施工机械操作时间的方法加以缓解，并减少同时作业的高噪施工机械数量，尽可能减轻声源叠加影响。噪声机械设备尽量远离厂界，特别是在基础施工阶段，强噪声机械设备应远离厂界。同时对固定的机械设备尽量入棚操作。</w:t>
      </w:r>
    </w:p>
    <w:p w14:paraId="41FFC471">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④</w:t>
      </w:r>
      <w:r>
        <w:rPr>
          <w:rFonts w:hint="eastAsia" w:ascii="Times New Roman" w:hAnsi="Times New Roman" w:eastAsia="宋体" w:cs="Times New Roman"/>
          <w:color w:val="auto"/>
          <w:sz w:val="24"/>
          <w:szCs w:val="24"/>
          <w:highlight w:val="none"/>
          <w:lang w:val="en-US"/>
        </w:rPr>
        <w:t>必须在施工场址边界设立围蔽设施，高度不应小于</w:t>
      </w:r>
      <w:r>
        <w:rPr>
          <w:rFonts w:ascii="Times New Roman" w:hAnsi="Times New Roman" w:eastAsia="宋体" w:cs="Times New Roman"/>
          <w:color w:val="auto"/>
          <w:sz w:val="24"/>
          <w:szCs w:val="24"/>
          <w:highlight w:val="none"/>
          <w:lang w:val="en-US"/>
        </w:rPr>
        <w:t>2.5m</w:t>
      </w:r>
      <w:r>
        <w:rPr>
          <w:rFonts w:hint="eastAsia" w:ascii="Times New Roman" w:hAnsi="Times New Roman" w:eastAsia="宋体" w:cs="Times New Roman"/>
          <w:color w:val="auto"/>
          <w:sz w:val="24"/>
          <w:szCs w:val="24"/>
          <w:highlight w:val="none"/>
          <w:lang w:val="en-US"/>
        </w:rPr>
        <w:t>。因施工场地周边敏感点较多，且距离较近，故高噪声的施工设备必须设立隔声屏障，降低施工噪声对周围环境造成的影响。</w:t>
      </w:r>
    </w:p>
    <w:p w14:paraId="4FDB5F2F">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⑤</w:t>
      </w:r>
      <w:r>
        <w:rPr>
          <w:rFonts w:hint="eastAsia" w:ascii="Times New Roman" w:hAnsi="Times New Roman" w:eastAsia="宋体" w:cs="Times New Roman"/>
          <w:color w:val="auto"/>
          <w:sz w:val="24"/>
          <w:szCs w:val="24"/>
          <w:highlight w:val="none"/>
          <w:lang w:val="en-US"/>
        </w:rPr>
        <w:t>施工场地的施工车辆出入现场时应低速、禁鸣，在环境敏感点</w:t>
      </w:r>
      <w:r>
        <w:rPr>
          <w:rFonts w:hint="eastAsia" w:ascii="Times New Roman" w:hAnsi="Times New Roman" w:eastAsia="宋体" w:cs="Times New Roman"/>
          <w:color w:val="auto"/>
          <w:sz w:val="24"/>
          <w:szCs w:val="24"/>
          <w:highlight w:val="none"/>
          <w:lang w:val="en-US" w:eastAsia="zh-CN"/>
        </w:rPr>
        <w:t>1</w:t>
      </w:r>
      <w:r>
        <w:rPr>
          <w:rFonts w:ascii="Times New Roman" w:hAnsi="Times New Roman" w:eastAsia="宋体" w:cs="Times New Roman"/>
          <w:color w:val="auto"/>
          <w:sz w:val="24"/>
          <w:szCs w:val="24"/>
          <w:highlight w:val="none"/>
          <w:lang w:val="en-US"/>
        </w:rPr>
        <w:t>00m</w:t>
      </w:r>
      <w:r>
        <w:rPr>
          <w:rFonts w:hint="eastAsia" w:ascii="Times New Roman" w:hAnsi="Times New Roman" w:eastAsia="宋体" w:cs="Times New Roman"/>
          <w:color w:val="auto"/>
          <w:sz w:val="24"/>
          <w:szCs w:val="24"/>
          <w:highlight w:val="none"/>
          <w:lang w:val="en-US"/>
        </w:rPr>
        <w:t>范围内车辆行驶速度应限制在</w:t>
      </w:r>
      <w:r>
        <w:rPr>
          <w:rFonts w:ascii="Times New Roman" w:hAnsi="Times New Roman" w:eastAsia="宋体" w:cs="Times New Roman"/>
          <w:color w:val="auto"/>
          <w:sz w:val="24"/>
          <w:szCs w:val="24"/>
          <w:highlight w:val="none"/>
          <w:lang w:val="en-US"/>
        </w:rPr>
        <w:t>20km/h</w:t>
      </w:r>
      <w:r>
        <w:rPr>
          <w:rFonts w:hint="eastAsia" w:ascii="Times New Roman" w:hAnsi="Times New Roman" w:eastAsia="宋体" w:cs="Times New Roman"/>
          <w:color w:val="auto"/>
          <w:sz w:val="24"/>
          <w:szCs w:val="24"/>
          <w:highlight w:val="none"/>
          <w:lang w:val="en-US"/>
        </w:rPr>
        <w:t>以内，以降低车辆运输噪声；对于施工期间的材料运输、敲击、人的喊叫等噪声源，要求施工单位文明施工、加强有效管理以缓解其影响。</w:t>
      </w:r>
    </w:p>
    <w:p w14:paraId="6CECDFDA">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⑥</w:t>
      </w:r>
      <w:r>
        <w:rPr>
          <w:rFonts w:hint="eastAsia" w:ascii="Times New Roman" w:hAnsi="Times New Roman" w:eastAsia="宋体" w:cs="Times New Roman"/>
          <w:color w:val="auto"/>
          <w:sz w:val="24"/>
          <w:szCs w:val="24"/>
          <w:highlight w:val="none"/>
          <w:lang w:val="en-US"/>
        </w:rPr>
        <w:t>要求业主单位在施工现场标明投诉电话，一旦接到投诉，业主单位应及时与当地环保部门取得联系，以便及时处理环境纠纷。</w:t>
      </w:r>
    </w:p>
    <w:p w14:paraId="6ED9CCD2">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rPr>
        <w:t>本项目施工期在采取上述治理及控制措施后，各类机械设备的施工噪声能从影响程度、影响时间及影响强度等方面得以一定程度的削减，由于建筑作业难以做到全封闭施工，因此本项目的建设施工仍将对周围环境造成一定的不利影响，但噪声属无残留污染，施工结束噪声污染也随之结束，周围声环境即可恢复至现状水平。因此建设单位和施工单位应对施工期的噪声污染防治引起重视，落实控制措施，尽可能将该影响控制在最低水平。</w:t>
      </w:r>
    </w:p>
    <w:p w14:paraId="4A0AAB7B">
      <w:pPr>
        <w:pStyle w:val="4"/>
        <w:spacing w:after="156"/>
        <w:rPr>
          <w:color w:val="auto"/>
          <w:highlight w:val="none"/>
        </w:rPr>
      </w:pPr>
      <w:r>
        <w:rPr>
          <w:color w:val="auto"/>
          <w:highlight w:val="none"/>
        </w:rPr>
        <w:t>5.1.4施工期固废环境影响分析</w:t>
      </w:r>
      <w:bookmarkEnd w:id="348"/>
      <w:bookmarkEnd w:id="349"/>
      <w:bookmarkEnd w:id="350"/>
      <w:bookmarkEnd w:id="351"/>
      <w:bookmarkEnd w:id="352"/>
    </w:p>
    <w:p w14:paraId="7551272B">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rPr>
        <w:t>固废来源分析</w:t>
      </w:r>
    </w:p>
    <w:p w14:paraId="3E578D06">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施工期固体废弃物主要包括施工人员的生活垃圾和施工过程中产生的施工废弃物。</w:t>
      </w:r>
    </w:p>
    <w:p w14:paraId="28B4791C">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rPr>
        <w:t>生活垃圾</w:t>
      </w:r>
    </w:p>
    <w:p w14:paraId="70E5D9ED">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根据类比分析，一般情况下施工人数约为</w:t>
      </w:r>
      <w:r>
        <w:rPr>
          <w:rFonts w:hint="eastAsia"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人，人均生活垃圾的产生量按0.5kg/d计算，则施工现场的生活垃圾产生量为</w:t>
      </w:r>
      <w:r>
        <w:rPr>
          <w:rFonts w:hint="eastAsia"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1.5</w:t>
      </w:r>
      <w:r>
        <w:rPr>
          <w:rFonts w:hint="default" w:ascii="Times New Roman" w:hAnsi="Times New Roman" w:eastAsia="宋体" w:cs="Times New Roman"/>
          <w:color w:val="auto"/>
          <w:sz w:val="24"/>
          <w:szCs w:val="24"/>
          <w:highlight w:val="none"/>
        </w:rPr>
        <w:t>kg/d。</w:t>
      </w:r>
    </w:p>
    <w:p w14:paraId="52723967">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②施工废弃物</w:t>
      </w:r>
    </w:p>
    <w:p w14:paraId="55AA91EF">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本项目施工废弃物主要为设备安装过程中的废弃包装材料。</w:t>
      </w:r>
    </w:p>
    <w:p w14:paraId="4AD9FB48">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rPr>
        <w:t>固废污染防治措施</w:t>
      </w:r>
    </w:p>
    <w:p w14:paraId="5958EF79">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为防止和减少施工期固体废物对环境的影响，施工单位应采取以下措施：</w:t>
      </w:r>
    </w:p>
    <w:p w14:paraId="6D8AADFC">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sz w:val="24"/>
          <w:szCs w:val="24"/>
          <w:highlight w:val="none"/>
        </w:rPr>
        <w:t>施工人员产生的生活垃圾，应采取定点收集的方式。施工场地的生活垃圾交由环卫部门统一进行处理。</w:t>
      </w:r>
    </w:p>
    <w:p w14:paraId="37B00A7A">
      <w:pPr>
        <w:pStyle w:val="44"/>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rPr>
        <w:t>在施工区设置垃圾桶，按时清运；施工场地内，也应设置一些分散的垃圾收集装置，并派专人定时打扫清理。</w:t>
      </w:r>
    </w:p>
    <w:p w14:paraId="4868FE8D">
      <w:pPr>
        <w:pStyle w:val="218"/>
        <w:spacing w:before="62" w:after="156"/>
        <w:rPr>
          <w:color w:val="auto"/>
          <w:highlight w:val="none"/>
        </w:rPr>
      </w:pPr>
      <w:bookmarkStart w:id="353" w:name="_Toc9672"/>
      <w:bookmarkStart w:id="354" w:name="_Toc152922053"/>
      <w:bookmarkStart w:id="355" w:name="_Toc152922647"/>
      <w:r>
        <w:rPr>
          <w:color w:val="auto"/>
          <w:highlight w:val="none"/>
        </w:rPr>
        <w:t>5.2营运期环境影响分析</w:t>
      </w:r>
      <w:bookmarkEnd w:id="353"/>
      <w:bookmarkEnd w:id="354"/>
      <w:bookmarkEnd w:id="355"/>
    </w:p>
    <w:p w14:paraId="5FAA0203">
      <w:pPr>
        <w:pStyle w:val="4"/>
        <w:spacing w:after="156"/>
        <w:rPr>
          <w:color w:val="auto"/>
          <w:highlight w:val="none"/>
        </w:rPr>
      </w:pPr>
      <w:bookmarkStart w:id="356" w:name="_Toc152922648"/>
      <w:bookmarkStart w:id="357" w:name="_Toc152923329"/>
      <w:bookmarkStart w:id="358" w:name="_Toc152922054"/>
      <w:bookmarkStart w:id="359" w:name="_Toc152921689"/>
      <w:bookmarkStart w:id="360" w:name="_Toc117150263"/>
      <w:r>
        <w:rPr>
          <w:color w:val="auto"/>
          <w:highlight w:val="none"/>
        </w:rPr>
        <w:t>5.2.1运营期大气环境影响评价</w:t>
      </w:r>
      <w:bookmarkEnd w:id="356"/>
      <w:bookmarkEnd w:id="357"/>
      <w:bookmarkEnd w:id="358"/>
      <w:bookmarkEnd w:id="359"/>
      <w:bookmarkEnd w:id="360"/>
    </w:p>
    <w:p w14:paraId="744D36DC">
      <w:pPr>
        <w:pStyle w:val="5"/>
        <w:rPr>
          <w:rFonts w:hint="default" w:ascii="Times New Roman" w:hAnsi="Times New Roman" w:eastAsia="宋体" w:cs="Times New Roman"/>
          <w:b/>
          <w:bCs/>
          <w:color w:val="auto"/>
          <w:spacing w:val="0"/>
          <w:position w:val="0"/>
          <w:highlight w:val="none"/>
          <w:lang w:val="en-US" w:eastAsia="zh-CN"/>
        </w:rPr>
      </w:pPr>
      <w:r>
        <w:rPr>
          <w:rFonts w:hint="default" w:ascii="Times New Roman" w:hAnsi="Times New Roman" w:eastAsia="宋体" w:cs="Times New Roman"/>
          <w:b/>
          <w:bCs/>
          <w:color w:val="auto"/>
          <w:spacing w:val="0"/>
          <w:position w:val="0"/>
          <w:highlight w:val="none"/>
          <w:lang w:val="en-US" w:eastAsia="zh-CN"/>
        </w:rPr>
        <w:t>5.2.1.1</w:t>
      </w:r>
      <w:r>
        <w:rPr>
          <w:rFonts w:hint="eastAsia" w:ascii="Times New Roman" w:hAnsi="Times New Roman" w:eastAsia="宋体" w:cs="Times New Roman"/>
          <w:b/>
          <w:bCs/>
          <w:color w:val="auto"/>
          <w:spacing w:val="0"/>
          <w:position w:val="0"/>
          <w:highlight w:val="none"/>
          <w:lang w:val="en-US" w:eastAsia="zh-CN"/>
        </w:rPr>
        <w:t>气象资料分析</w:t>
      </w:r>
    </w:p>
    <w:p w14:paraId="659266F9">
      <w:pPr>
        <w:keepNext w:val="0"/>
        <w:keepLines w:val="0"/>
        <w:pageBreakBefore w:val="0"/>
        <w:widowControl w:val="0"/>
        <w:kinsoku/>
        <w:wordWrap w:val="0"/>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根据淮南市气象站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58224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近二十年</w:t>
      </w:r>
      <w:r>
        <w:rPr>
          <w:rFonts w:hint="default" w:ascii="Times New Roman" w:hAnsi="Times New Roman" w:eastAsia="宋体" w:cs="Times New Roman"/>
          <w:color w:val="auto"/>
          <w:sz w:val="24"/>
          <w:szCs w:val="24"/>
          <w:highlight w:val="none"/>
          <w:lang w:val="en-US" w:eastAsia="zh-CN"/>
        </w:rPr>
        <w:t>的</w:t>
      </w:r>
      <w:r>
        <w:rPr>
          <w:rFonts w:hint="default" w:ascii="Times New Roman" w:hAnsi="Times New Roman" w:eastAsia="宋体" w:cs="Times New Roman"/>
          <w:color w:val="auto"/>
          <w:sz w:val="24"/>
          <w:szCs w:val="24"/>
          <w:highlight w:val="none"/>
        </w:rPr>
        <w:t>气象资料统计，分析本地区污染气象特征。气象站位于安徽省淮南市，地理坐标为经度为117°01′E，纬度为32°39′N，地面海拔为32.6m。气象站始建于1951年，1951年正式进行气象观测。淮南市气象站距本项目约</w:t>
      </w:r>
      <w:r>
        <w:rPr>
          <w:rFonts w:hint="default" w:ascii="Times New Roman" w:hAnsi="Times New Roman" w:eastAsia="宋体" w:cs="Times New Roman"/>
          <w:color w:val="auto"/>
          <w:sz w:val="24"/>
          <w:szCs w:val="24"/>
          <w:highlight w:val="none"/>
          <w:lang w:val="en-US" w:eastAsia="zh-CN"/>
        </w:rPr>
        <w:t>13.2</w:t>
      </w:r>
      <w:r>
        <w:rPr>
          <w:rFonts w:hint="default" w:ascii="Times New Roman" w:hAnsi="Times New Roman" w:eastAsia="宋体" w:cs="Times New Roman"/>
          <w:color w:val="auto"/>
          <w:sz w:val="24"/>
          <w:szCs w:val="24"/>
          <w:highlight w:val="none"/>
        </w:rPr>
        <w:t>km，是距项目最近的国家气象站，距离小于50km，满足导则气象资料的使用条件。</w:t>
      </w:r>
    </w:p>
    <w:p w14:paraId="4DB0F0D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根据淮南市气象站200</w:t>
      </w:r>
      <w:r>
        <w:rPr>
          <w:rFonts w:hint="default" w:ascii="Times New Roman" w:hAnsi="Times New Roman"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-202</w:t>
      </w:r>
      <w:r>
        <w:rPr>
          <w:rFonts w:hint="default" w:ascii="Times New Roman" w:hAnsi="Times New Roman"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年近20年长期气象统计资料，区域内的主要气候特征汇总见下表。</w:t>
      </w:r>
    </w:p>
    <w:p w14:paraId="11069666">
      <w:pPr>
        <w:pStyle w:val="54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表5.2-1  区域长期气候资料统计一览表</w:t>
      </w:r>
    </w:p>
    <w:tbl>
      <w:tblPr>
        <w:tblStyle w:val="4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705"/>
        <w:gridCol w:w="2188"/>
        <w:gridCol w:w="1509"/>
        <w:gridCol w:w="1417"/>
      </w:tblGrid>
      <w:tr w14:paraId="1E7FF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42AD92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统计项目</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56D462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统计值</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6576D1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极值出现时间</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1EC105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极值</w:t>
            </w:r>
          </w:p>
        </w:tc>
      </w:tr>
      <w:tr w14:paraId="24777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41E4F9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多年平均气温</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5F3064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16.71</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626DE2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323358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76A85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139AD0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累年极端最高气温</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1137CC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38.26</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逐年极端最高平均值</w:t>
            </w:r>
            <w:r>
              <w:rPr>
                <w:rFonts w:hint="eastAsia" w:cs="Times New Roman"/>
                <w:color w:val="auto"/>
                <w:kern w:val="2"/>
                <w:sz w:val="20"/>
                <w:szCs w:val="28"/>
                <w:highlight w:val="none"/>
                <w:lang w:val="en-US" w:eastAsia="zh-CN" w:bidi="ar-SA"/>
              </w:rPr>
              <w:t>）</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5B0CADF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201</w:t>
            </w:r>
            <w:r>
              <w:rPr>
                <w:rFonts w:hint="default" w:ascii="Times New Roman" w:hAnsi="Times New Roman" w:cs="Times New Roman"/>
                <w:color w:val="auto"/>
                <w:kern w:val="2"/>
                <w:sz w:val="20"/>
                <w:szCs w:val="28"/>
                <w:highlight w:val="none"/>
                <w:lang w:val="en-US" w:eastAsia="zh-CN" w:bidi="ar-SA"/>
              </w:rPr>
              <w:t>3-8-11</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351EC4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40.6</w:t>
            </w:r>
          </w:p>
        </w:tc>
      </w:tr>
      <w:tr w14:paraId="55F45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376E16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累年极端最低气温</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4D41F6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r>
              <w:rPr>
                <w:rFonts w:hint="default" w:ascii="Times New Roman" w:hAnsi="Times New Roman" w:cs="Times New Roman"/>
                <w:color w:val="auto"/>
                <w:kern w:val="2"/>
                <w:sz w:val="20"/>
                <w:szCs w:val="28"/>
                <w:highlight w:val="none"/>
                <w:lang w:val="en-US" w:eastAsia="zh-CN" w:bidi="ar-SA"/>
              </w:rPr>
              <w:t>6.88</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逐年极端最低平均值</w:t>
            </w:r>
            <w:r>
              <w:rPr>
                <w:rFonts w:hint="eastAsia" w:cs="Times New Roman"/>
                <w:color w:val="auto"/>
                <w:kern w:val="2"/>
                <w:sz w:val="20"/>
                <w:szCs w:val="28"/>
                <w:highlight w:val="none"/>
                <w:lang w:val="en-US" w:eastAsia="zh-CN" w:bidi="ar-SA"/>
              </w:rPr>
              <w:t>）</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2A5A26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20</w:t>
            </w:r>
            <w:r>
              <w:rPr>
                <w:rFonts w:hint="default" w:ascii="Times New Roman" w:hAnsi="Times New Roman" w:cs="Times New Roman"/>
                <w:color w:val="auto"/>
                <w:kern w:val="2"/>
                <w:sz w:val="20"/>
                <w:szCs w:val="28"/>
                <w:highlight w:val="none"/>
                <w:lang w:val="en-US" w:eastAsia="zh-CN" w:bidi="ar-SA"/>
              </w:rPr>
              <w:t>23</w:t>
            </w:r>
            <w:r>
              <w:rPr>
                <w:rFonts w:hint="default" w:ascii="Times New Roman" w:hAnsi="Times New Roman" w:eastAsia="宋体" w:cs="Times New Roman"/>
                <w:color w:val="auto"/>
                <w:kern w:val="2"/>
                <w:sz w:val="20"/>
                <w:szCs w:val="28"/>
                <w:highlight w:val="none"/>
                <w:lang w:val="en-US" w:eastAsia="zh-CN" w:bidi="ar-SA"/>
              </w:rPr>
              <w:t>-</w:t>
            </w:r>
            <w:r>
              <w:rPr>
                <w:rFonts w:hint="default" w:ascii="Times New Roman" w:hAnsi="Times New Roman" w:cs="Times New Roman"/>
                <w:color w:val="auto"/>
                <w:kern w:val="2"/>
                <w:sz w:val="20"/>
                <w:szCs w:val="28"/>
                <w:highlight w:val="none"/>
                <w:lang w:val="en-US" w:eastAsia="zh-CN" w:bidi="ar-SA"/>
              </w:rPr>
              <w:t>12</w:t>
            </w:r>
            <w:r>
              <w:rPr>
                <w:rFonts w:hint="default" w:ascii="Times New Roman" w:hAnsi="Times New Roman" w:eastAsia="宋体" w:cs="Times New Roman"/>
                <w:color w:val="auto"/>
                <w:kern w:val="2"/>
                <w:sz w:val="20"/>
                <w:szCs w:val="28"/>
                <w:highlight w:val="none"/>
                <w:lang w:val="en-US" w:eastAsia="zh-CN" w:bidi="ar-SA"/>
              </w:rPr>
              <w:t>-2</w:t>
            </w:r>
            <w:r>
              <w:rPr>
                <w:rFonts w:hint="default" w:ascii="Times New Roman" w:hAnsi="Times New Roman" w:cs="Times New Roman"/>
                <w:color w:val="auto"/>
                <w:kern w:val="2"/>
                <w:sz w:val="20"/>
                <w:szCs w:val="28"/>
                <w:highlight w:val="none"/>
                <w:lang w:val="en-US" w:eastAsia="zh-CN" w:bidi="ar-SA"/>
              </w:rPr>
              <w:t>2</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6AB016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r>
              <w:rPr>
                <w:rFonts w:hint="default" w:ascii="Times New Roman" w:hAnsi="Times New Roman" w:cs="Times New Roman"/>
                <w:color w:val="auto"/>
                <w:kern w:val="2"/>
                <w:sz w:val="20"/>
                <w:szCs w:val="28"/>
                <w:highlight w:val="none"/>
                <w:lang w:val="en-US" w:eastAsia="zh-CN" w:bidi="ar-SA"/>
              </w:rPr>
              <w:t>10.8</w:t>
            </w:r>
          </w:p>
        </w:tc>
      </w:tr>
      <w:tr w14:paraId="13797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3E5618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多年平均气压</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hPa</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0ECF33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1010.69</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14B5FC6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424E3B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7FE00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22F758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多年平均水气压</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hPa</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73ACDE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15.32</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56BD9A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5DE396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7B75F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2B21E7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多年平均相对湿度</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46E6F16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69.33</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476AF7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3C51F4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1328D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7231D4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多年平均降雨量</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mm</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1777B9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996.36</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716980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56F640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w:t>
            </w:r>
          </w:p>
        </w:tc>
      </w:tr>
      <w:tr w14:paraId="5791F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1F2015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多年平均最大日降水量</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mm</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6D0EE0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108.3</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465784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2020-06-28</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00C777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188.1</w:t>
            </w:r>
          </w:p>
        </w:tc>
      </w:tr>
      <w:tr w14:paraId="6A6FC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restart"/>
            <w:tcBorders>
              <w:top w:val="single" w:color="auto" w:sz="4" w:space="0"/>
              <w:left w:val="single" w:color="auto" w:sz="4" w:space="0"/>
              <w:bottom w:val="single" w:color="auto" w:sz="4" w:space="0"/>
              <w:right w:val="single" w:color="auto" w:sz="4" w:space="0"/>
            </w:tcBorders>
            <w:noWrap w:val="0"/>
            <w:vAlign w:val="center"/>
          </w:tcPr>
          <w:p w14:paraId="69050A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灾害天气统计</w:t>
            </w:r>
          </w:p>
        </w:tc>
        <w:tc>
          <w:tcPr>
            <w:tcW w:w="999" w:type="pct"/>
            <w:tcBorders>
              <w:top w:val="single" w:color="auto" w:sz="4" w:space="0"/>
              <w:left w:val="single" w:color="auto" w:sz="4" w:space="0"/>
              <w:bottom w:val="single" w:color="auto" w:sz="4" w:space="0"/>
              <w:right w:val="single" w:color="auto" w:sz="4" w:space="0"/>
            </w:tcBorders>
            <w:noWrap w:val="0"/>
            <w:vAlign w:val="center"/>
          </w:tcPr>
          <w:p w14:paraId="62EB6CC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多年平均沙暴日数</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d</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206797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0</w:t>
            </w:r>
            <w:r>
              <w:rPr>
                <w:rFonts w:hint="default" w:ascii="Times New Roman" w:hAnsi="Times New Roman" w:cs="Times New Roman"/>
                <w:color w:val="auto"/>
                <w:kern w:val="2"/>
                <w:sz w:val="20"/>
                <w:szCs w:val="28"/>
                <w:highlight w:val="none"/>
                <w:lang w:val="en-US" w:eastAsia="zh-CN" w:bidi="ar-SA"/>
              </w:rPr>
              <w:t>.1</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1423F5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33C795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70483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continue"/>
            <w:tcBorders>
              <w:top w:val="single" w:color="auto" w:sz="4" w:space="0"/>
              <w:left w:val="single" w:color="auto" w:sz="4" w:space="0"/>
              <w:bottom w:val="single" w:color="auto" w:sz="4" w:space="0"/>
              <w:right w:val="single" w:color="auto" w:sz="4" w:space="0"/>
            </w:tcBorders>
            <w:noWrap w:val="0"/>
            <w:vAlign w:val="center"/>
          </w:tcPr>
          <w:p w14:paraId="0FCFA3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p>
        </w:tc>
        <w:tc>
          <w:tcPr>
            <w:tcW w:w="999" w:type="pct"/>
            <w:tcBorders>
              <w:top w:val="single" w:color="auto" w:sz="4" w:space="0"/>
              <w:left w:val="single" w:color="auto" w:sz="4" w:space="0"/>
              <w:bottom w:val="single" w:color="auto" w:sz="4" w:space="0"/>
              <w:right w:val="single" w:color="auto" w:sz="4" w:space="0"/>
            </w:tcBorders>
            <w:noWrap w:val="0"/>
            <w:vAlign w:val="center"/>
          </w:tcPr>
          <w:p w14:paraId="43F9A1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多年平均雷暴日数</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d</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165611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23.7</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5A8E58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2888C6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60991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continue"/>
            <w:tcBorders>
              <w:top w:val="single" w:color="auto" w:sz="4" w:space="0"/>
              <w:left w:val="single" w:color="auto" w:sz="4" w:space="0"/>
              <w:bottom w:val="single" w:color="auto" w:sz="4" w:space="0"/>
              <w:right w:val="single" w:color="auto" w:sz="4" w:space="0"/>
            </w:tcBorders>
            <w:noWrap w:val="0"/>
            <w:vAlign w:val="center"/>
          </w:tcPr>
          <w:p w14:paraId="3184BA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p>
        </w:tc>
        <w:tc>
          <w:tcPr>
            <w:tcW w:w="999" w:type="pct"/>
            <w:tcBorders>
              <w:top w:val="single" w:color="auto" w:sz="4" w:space="0"/>
              <w:left w:val="single" w:color="auto" w:sz="4" w:space="0"/>
              <w:bottom w:val="single" w:color="auto" w:sz="4" w:space="0"/>
              <w:right w:val="single" w:color="auto" w:sz="4" w:space="0"/>
            </w:tcBorders>
            <w:noWrap w:val="0"/>
            <w:vAlign w:val="center"/>
          </w:tcPr>
          <w:p w14:paraId="545872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多年平均冰雹日数</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d</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503315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0.05</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429081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233498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0A7B8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99" w:type="pct"/>
            <w:vMerge w:val="continue"/>
            <w:tcBorders>
              <w:top w:val="single" w:color="auto" w:sz="4" w:space="0"/>
              <w:left w:val="single" w:color="auto" w:sz="4" w:space="0"/>
              <w:bottom w:val="single" w:color="auto" w:sz="4" w:space="0"/>
              <w:right w:val="single" w:color="auto" w:sz="4" w:space="0"/>
            </w:tcBorders>
            <w:noWrap w:val="0"/>
            <w:vAlign w:val="center"/>
          </w:tcPr>
          <w:p w14:paraId="289F8C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p>
        </w:tc>
        <w:tc>
          <w:tcPr>
            <w:tcW w:w="999" w:type="pct"/>
            <w:tcBorders>
              <w:top w:val="single" w:color="auto" w:sz="4" w:space="0"/>
              <w:left w:val="single" w:color="auto" w:sz="4" w:space="0"/>
              <w:bottom w:val="single" w:color="auto" w:sz="4" w:space="0"/>
              <w:right w:val="single" w:color="auto" w:sz="4" w:space="0"/>
            </w:tcBorders>
            <w:noWrap w:val="0"/>
            <w:vAlign w:val="center"/>
          </w:tcPr>
          <w:p w14:paraId="642191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多年平均大风日数</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d</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3C4670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1.4</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5E3BDC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1D3EC5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7AAAE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vMerge w:val="restart"/>
            <w:tcBorders>
              <w:top w:val="single" w:color="auto" w:sz="4" w:space="0"/>
              <w:left w:val="single" w:color="auto" w:sz="4" w:space="0"/>
              <w:bottom w:val="single" w:color="auto" w:sz="4" w:space="0"/>
              <w:right w:val="single" w:color="auto" w:sz="4" w:space="0"/>
            </w:tcBorders>
            <w:noWrap w:val="0"/>
            <w:vAlign w:val="center"/>
          </w:tcPr>
          <w:p w14:paraId="279E30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多年实测极大风速</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m/s</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、相应风向</w:t>
            </w:r>
          </w:p>
        </w:tc>
        <w:tc>
          <w:tcPr>
            <w:tcW w:w="1283" w:type="pct"/>
            <w:vMerge w:val="restart"/>
            <w:tcBorders>
              <w:top w:val="single" w:color="auto" w:sz="4" w:space="0"/>
              <w:left w:val="single" w:color="auto" w:sz="4" w:space="0"/>
              <w:bottom w:val="single" w:color="auto" w:sz="4" w:space="0"/>
              <w:right w:val="single" w:color="auto" w:sz="4" w:space="0"/>
            </w:tcBorders>
            <w:noWrap w:val="0"/>
            <w:vAlign w:val="center"/>
          </w:tcPr>
          <w:p w14:paraId="78AB18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16.9</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逐年极大风速均值</w:t>
            </w:r>
            <w:r>
              <w:rPr>
                <w:rFonts w:hint="eastAsia" w:cs="Times New Roman"/>
                <w:color w:val="auto"/>
                <w:kern w:val="2"/>
                <w:sz w:val="20"/>
                <w:szCs w:val="28"/>
                <w:highlight w:val="none"/>
                <w:lang w:val="en-US" w:eastAsia="zh-CN" w:bidi="ar-SA"/>
              </w:rPr>
              <w:t>）</w:t>
            </w:r>
          </w:p>
        </w:tc>
        <w:tc>
          <w:tcPr>
            <w:tcW w:w="885" w:type="pct"/>
            <w:vMerge w:val="restart"/>
            <w:tcBorders>
              <w:top w:val="single" w:color="auto" w:sz="4" w:space="0"/>
              <w:left w:val="single" w:color="auto" w:sz="4" w:space="0"/>
              <w:bottom w:val="single" w:color="auto" w:sz="4" w:space="0"/>
              <w:right w:val="single" w:color="auto" w:sz="4" w:space="0"/>
            </w:tcBorders>
            <w:noWrap w:val="0"/>
            <w:vAlign w:val="center"/>
          </w:tcPr>
          <w:p w14:paraId="4E28F2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2018-05-16</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5DE3CD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25.3</w:t>
            </w:r>
          </w:p>
        </w:tc>
      </w:tr>
      <w:tr w14:paraId="4648E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vMerge w:val="continue"/>
            <w:tcBorders>
              <w:top w:val="single" w:color="auto" w:sz="4" w:space="0"/>
              <w:left w:val="single" w:color="auto" w:sz="4" w:space="0"/>
              <w:bottom w:val="single" w:color="auto" w:sz="4" w:space="0"/>
              <w:right w:val="single" w:color="auto" w:sz="4" w:space="0"/>
            </w:tcBorders>
            <w:noWrap w:val="0"/>
            <w:vAlign w:val="center"/>
          </w:tcPr>
          <w:p w14:paraId="531384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p>
        </w:tc>
        <w:tc>
          <w:tcPr>
            <w:tcW w:w="1283" w:type="pct"/>
            <w:vMerge w:val="continue"/>
            <w:tcBorders>
              <w:top w:val="single" w:color="auto" w:sz="4" w:space="0"/>
              <w:left w:val="single" w:color="auto" w:sz="4" w:space="0"/>
              <w:bottom w:val="single" w:color="auto" w:sz="4" w:space="0"/>
              <w:right w:val="single" w:color="auto" w:sz="4" w:space="0"/>
            </w:tcBorders>
            <w:noWrap w:val="0"/>
            <w:vAlign w:val="center"/>
          </w:tcPr>
          <w:p w14:paraId="49589D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p>
        </w:tc>
        <w:tc>
          <w:tcPr>
            <w:tcW w:w="885" w:type="pct"/>
            <w:vMerge w:val="continue"/>
            <w:tcBorders>
              <w:top w:val="single" w:color="auto" w:sz="4" w:space="0"/>
              <w:left w:val="single" w:color="auto" w:sz="4" w:space="0"/>
              <w:bottom w:val="single" w:color="auto" w:sz="4" w:space="0"/>
              <w:right w:val="single" w:color="auto" w:sz="4" w:space="0"/>
            </w:tcBorders>
            <w:noWrap w:val="0"/>
            <w:vAlign w:val="center"/>
          </w:tcPr>
          <w:p w14:paraId="63AC92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p>
        </w:tc>
        <w:tc>
          <w:tcPr>
            <w:tcW w:w="831" w:type="pct"/>
            <w:tcBorders>
              <w:top w:val="single" w:color="auto" w:sz="4" w:space="0"/>
              <w:left w:val="single" w:color="auto" w:sz="4" w:space="0"/>
              <w:bottom w:val="single" w:color="auto" w:sz="4" w:space="0"/>
              <w:right w:val="single" w:color="auto" w:sz="4" w:space="0"/>
            </w:tcBorders>
            <w:noWrap w:val="0"/>
            <w:vAlign w:val="center"/>
          </w:tcPr>
          <w:p w14:paraId="0E455A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N</w:t>
            </w:r>
            <w:r>
              <w:rPr>
                <w:rFonts w:hint="default" w:ascii="Times New Roman" w:hAnsi="Times New Roman" w:cs="Times New Roman"/>
                <w:color w:val="auto"/>
                <w:kern w:val="2"/>
                <w:sz w:val="20"/>
                <w:szCs w:val="28"/>
                <w:highlight w:val="none"/>
                <w:lang w:val="en-US" w:eastAsia="zh-CN" w:bidi="ar-SA"/>
              </w:rPr>
              <w:t>W</w:t>
            </w:r>
          </w:p>
        </w:tc>
      </w:tr>
      <w:tr w14:paraId="3E0C0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7F69A7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多年平均风速</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m/s</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2CF89E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1.72</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317D97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2D8A1B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36408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vMerge w:val="restart"/>
            <w:tcBorders>
              <w:top w:val="single" w:color="auto" w:sz="4" w:space="0"/>
              <w:left w:val="single" w:color="auto" w:sz="4" w:space="0"/>
              <w:bottom w:val="single" w:color="auto" w:sz="4" w:space="0"/>
              <w:right w:val="single" w:color="auto" w:sz="4" w:space="0"/>
            </w:tcBorders>
            <w:noWrap w:val="0"/>
            <w:vAlign w:val="center"/>
          </w:tcPr>
          <w:p w14:paraId="0B0DAD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多年主导风向、风向频率</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3A979F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E</w:t>
            </w:r>
          </w:p>
        </w:tc>
        <w:tc>
          <w:tcPr>
            <w:tcW w:w="885" w:type="pct"/>
            <w:vMerge w:val="restart"/>
            <w:tcBorders>
              <w:top w:val="single" w:color="auto" w:sz="4" w:space="0"/>
              <w:left w:val="single" w:color="auto" w:sz="4" w:space="0"/>
              <w:bottom w:val="single" w:color="auto" w:sz="4" w:space="0"/>
              <w:right w:val="single" w:color="auto" w:sz="4" w:space="0"/>
            </w:tcBorders>
            <w:noWrap w:val="0"/>
            <w:vAlign w:val="center"/>
          </w:tcPr>
          <w:p w14:paraId="388C95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vMerge w:val="restart"/>
            <w:tcBorders>
              <w:top w:val="single" w:color="auto" w:sz="4" w:space="0"/>
              <w:left w:val="single" w:color="auto" w:sz="4" w:space="0"/>
              <w:bottom w:val="single" w:color="auto" w:sz="4" w:space="0"/>
              <w:right w:val="single" w:color="auto" w:sz="4" w:space="0"/>
            </w:tcBorders>
            <w:noWrap w:val="0"/>
            <w:vAlign w:val="center"/>
          </w:tcPr>
          <w:p w14:paraId="31BFDA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r w14:paraId="37DA4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vMerge w:val="continue"/>
            <w:tcBorders>
              <w:top w:val="single" w:color="auto" w:sz="4" w:space="0"/>
              <w:left w:val="single" w:color="auto" w:sz="4" w:space="0"/>
              <w:bottom w:val="single" w:color="auto" w:sz="4" w:space="0"/>
              <w:right w:val="single" w:color="auto" w:sz="4" w:space="0"/>
            </w:tcBorders>
            <w:noWrap w:val="0"/>
            <w:vAlign w:val="center"/>
          </w:tcPr>
          <w:p w14:paraId="0A3B3B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p>
        </w:tc>
        <w:tc>
          <w:tcPr>
            <w:tcW w:w="1283" w:type="pct"/>
            <w:tcBorders>
              <w:top w:val="single" w:color="auto" w:sz="4" w:space="0"/>
              <w:left w:val="single" w:color="auto" w:sz="4" w:space="0"/>
              <w:bottom w:val="single" w:color="auto" w:sz="4" w:space="0"/>
              <w:right w:val="single" w:color="auto" w:sz="4" w:space="0"/>
            </w:tcBorders>
            <w:noWrap w:val="0"/>
            <w:vAlign w:val="center"/>
          </w:tcPr>
          <w:p w14:paraId="35DFAF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16</w:t>
            </w:r>
          </w:p>
        </w:tc>
        <w:tc>
          <w:tcPr>
            <w:tcW w:w="885" w:type="pct"/>
            <w:vMerge w:val="continue"/>
            <w:tcBorders>
              <w:top w:val="single" w:color="auto" w:sz="4" w:space="0"/>
              <w:left w:val="single" w:color="auto" w:sz="4" w:space="0"/>
              <w:bottom w:val="single" w:color="auto" w:sz="4" w:space="0"/>
              <w:right w:val="single" w:color="auto" w:sz="4" w:space="0"/>
            </w:tcBorders>
            <w:noWrap w:val="0"/>
            <w:vAlign w:val="center"/>
          </w:tcPr>
          <w:p w14:paraId="08E74C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p>
        </w:tc>
        <w:tc>
          <w:tcPr>
            <w:tcW w:w="831" w:type="pct"/>
            <w:vMerge w:val="continue"/>
            <w:tcBorders>
              <w:top w:val="single" w:color="auto" w:sz="4" w:space="0"/>
              <w:left w:val="single" w:color="auto" w:sz="4" w:space="0"/>
              <w:bottom w:val="single" w:color="auto" w:sz="4" w:space="0"/>
              <w:right w:val="single" w:color="auto" w:sz="4" w:space="0"/>
            </w:tcBorders>
            <w:noWrap w:val="0"/>
            <w:vAlign w:val="center"/>
          </w:tcPr>
          <w:p w14:paraId="2E89B0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p>
        </w:tc>
      </w:tr>
      <w:tr w14:paraId="178DB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99" w:type="pct"/>
            <w:gridSpan w:val="2"/>
            <w:tcBorders>
              <w:top w:val="single" w:color="auto" w:sz="4" w:space="0"/>
              <w:left w:val="single" w:color="auto" w:sz="4" w:space="0"/>
              <w:bottom w:val="single" w:color="auto" w:sz="4" w:space="0"/>
              <w:right w:val="single" w:color="auto" w:sz="4" w:space="0"/>
            </w:tcBorders>
            <w:noWrap w:val="0"/>
            <w:vAlign w:val="center"/>
          </w:tcPr>
          <w:p w14:paraId="5B70FF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多年静风频率</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风速＜0.2m/s</w:t>
            </w:r>
            <w:r>
              <w:rPr>
                <w:rFonts w:hint="eastAsia" w:cs="Times New Roman"/>
                <w:color w:val="auto"/>
                <w:kern w:val="2"/>
                <w:sz w:val="20"/>
                <w:szCs w:val="28"/>
                <w:highlight w:val="none"/>
                <w:lang w:val="en-US" w:eastAsia="zh-CN" w:bidi="ar-SA"/>
              </w:rPr>
              <w:t>）（</w:t>
            </w:r>
            <w:r>
              <w:rPr>
                <w:rFonts w:hint="default" w:ascii="Times New Roman" w:hAnsi="Times New Roman" w:eastAsia="宋体" w:cs="Times New Roman"/>
                <w:color w:val="auto"/>
                <w:kern w:val="2"/>
                <w:sz w:val="20"/>
                <w:szCs w:val="28"/>
                <w:highlight w:val="none"/>
                <w:lang w:val="en-US" w:eastAsia="zh-CN" w:bidi="ar-SA"/>
              </w:rPr>
              <w:t>%</w:t>
            </w:r>
            <w:r>
              <w:rPr>
                <w:rFonts w:hint="eastAsia" w:cs="Times New Roman"/>
                <w:color w:val="auto"/>
                <w:kern w:val="2"/>
                <w:sz w:val="20"/>
                <w:szCs w:val="28"/>
                <w:highlight w:val="none"/>
                <w:lang w:val="en-US" w:eastAsia="zh-CN" w:bidi="ar-SA"/>
              </w:rPr>
              <w:t>）</w:t>
            </w:r>
          </w:p>
        </w:tc>
        <w:tc>
          <w:tcPr>
            <w:tcW w:w="1283" w:type="pct"/>
            <w:tcBorders>
              <w:top w:val="single" w:color="auto" w:sz="4" w:space="0"/>
              <w:left w:val="single" w:color="auto" w:sz="4" w:space="0"/>
              <w:bottom w:val="single" w:color="auto" w:sz="4" w:space="0"/>
              <w:right w:val="single" w:color="auto" w:sz="4" w:space="0"/>
            </w:tcBorders>
            <w:noWrap w:val="0"/>
            <w:vAlign w:val="center"/>
          </w:tcPr>
          <w:p w14:paraId="4A818F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cs="Times New Roman"/>
                <w:color w:val="auto"/>
                <w:kern w:val="2"/>
                <w:sz w:val="20"/>
                <w:szCs w:val="28"/>
                <w:highlight w:val="none"/>
                <w:lang w:val="en-US" w:eastAsia="zh-CN" w:bidi="ar-SA"/>
              </w:rPr>
              <w:t>5.79</w:t>
            </w:r>
          </w:p>
        </w:tc>
        <w:tc>
          <w:tcPr>
            <w:tcW w:w="885" w:type="pct"/>
            <w:tcBorders>
              <w:top w:val="single" w:color="auto" w:sz="4" w:space="0"/>
              <w:left w:val="single" w:color="auto" w:sz="4" w:space="0"/>
              <w:bottom w:val="single" w:color="auto" w:sz="4" w:space="0"/>
              <w:right w:val="single" w:color="auto" w:sz="4" w:space="0"/>
            </w:tcBorders>
            <w:noWrap w:val="0"/>
            <w:vAlign w:val="center"/>
          </w:tcPr>
          <w:p w14:paraId="7AFE79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c>
          <w:tcPr>
            <w:tcW w:w="831" w:type="pct"/>
            <w:tcBorders>
              <w:top w:val="single" w:color="auto" w:sz="4" w:space="0"/>
              <w:left w:val="single" w:color="auto" w:sz="4" w:space="0"/>
              <w:bottom w:val="single" w:color="auto" w:sz="4" w:space="0"/>
              <w:right w:val="single" w:color="auto" w:sz="4" w:space="0"/>
            </w:tcBorders>
            <w:noWrap w:val="0"/>
            <w:vAlign w:val="center"/>
          </w:tcPr>
          <w:p w14:paraId="6584DD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2"/>
                <w:sz w:val="20"/>
                <w:szCs w:val="28"/>
                <w:highlight w:val="none"/>
                <w:lang w:val="en-US" w:eastAsia="zh-CN" w:bidi="ar-SA"/>
              </w:rPr>
            </w:pPr>
            <w:r>
              <w:rPr>
                <w:rFonts w:hint="default" w:ascii="Times New Roman" w:hAnsi="Times New Roman" w:eastAsia="宋体" w:cs="Times New Roman"/>
                <w:color w:val="auto"/>
                <w:kern w:val="2"/>
                <w:sz w:val="20"/>
                <w:szCs w:val="28"/>
                <w:highlight w:val="none"/>
                <w:lang w:val="en-US" w:eastAsia="zh-CN" w:bidi="ar-SA"/>
              </w:rPr>
              <w:t>/</w:t>
            </w:r>
          </w:p>
        </w:tc>
      </w:tr>
    </w:tbl>
    <w:p w14:paraId="7BAD4B6E">
      <w:pPr>
        <w:wordWrap w:val="0"/>
        <w:bidi w:val="0"/>
        <w:spacing w:line="360" w:lineRule="auto"/>
        <w:ind w:firstLine="482" w:firstLineChars="200"/>
        <w:jc w:val="left"/>
        <w:rPr>
          <w:rFonts w:hint="default" w:ascii="Times New Roman" w:hAnsi="Times New Roman" w:eastAsia="宋体" w:cs="Times New Roman"/>
          <w:b/>
          <w:bCs/>
          <w:color w:val="auto"/>
          <w:sz w:val="24"/>
          <w:szCs w:val="24"/>
          <w:highlight w:val="none"/>
        </w:rPr>
      </w:pPr>
      <w:bookmarkStart w:id="361" w:name="_Toc25260"/>
      <w:bookmarkStart w:id="362" w:name="_Toc2383"/>
      <w:bookmarkStart w:id="363" w:name="_Toc13670"/>
      <w:bookmarkStart w:id="364" w:name="_Toc12048"/>
      <w:bookmarkStart w:id="365" w:name="_Toc12660"/>
      <w:bookmarkStart w:id="366" w:name="_Toc9071"/>
      <w:r>
        <w:rPr>
          <w:rFonts w:hint="default" w:ascii="Times New Roman" w:hAnsi="Times New Roman" w:eastAsia="宋体" w:cs="Times New Roman"/>
          <w:b/>
          <w:bCs/>
          <w:color w:val="auto"/>
          <w:sz w:val="24"/>
          <w:szCs w:val="24"/>
          <w:highlight w:val="none"/>
        </w:rPr>
        <w:t>（1）气候特征</w:t>
      </w:r>
      <w:bookmarkEnd w:id="361"/>
      <w:bookmarkEnd w:id="362"/>
      <w:bookmarkEnd w:id="363"/>
      <w:bookmarkEnd w:id="364"/>
      <w:bookmarkEnd w:id="365"/>
      <w:bookmarkEnd w:id="366"/>
    </w:p>
    <w:p w14:paraId="207A5832">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淮南市属暖温带半湿润季风气候区，四季分明，春暖秋爽，夏炎冬寒，具有明显的大陆气候。平均风速</w:t>
      </w:r>
      <w:r>
        <w:rPr>
          <w:rFonts w:hint="eastAsia" w:ascii="Times New Roman" w:hAnsi="Times New Roman" w:eastAsia="宋体" w:cs="Times New Roman"/>
          <w:color w:val="auto"/>
          <w:sz w:val="24"/>
          <w:szCs w:val="24"/>
          <w:highlight w:val="none"/>
          <w:lang w:val="en-US" w:eastAsia="zh-CN"/>
        </w:rPr>
        <w:t>1.72</w:t>
      </w:r>
      <w:r>
        <w:rPr>
          <w:rFonts w:hint="default" w:ascii="Times New Roman" w:hAnsi="Times New Roman" w:eastAsia="宋体" w:cs="Times New Roman"/>
          <w:color w:val="auto"/>
          <w:sz w:val="24"/>
          <w:szCs w:val="24"/>
          <w:highlight w:val="none"/>
        </w:rPr>
        <w:t>m/s，最大风速为19.7m/秒；年平均降雨量945.1mm，年最大降水量1567.5mm，年最小降水量471.0mm；一月份最低气温-16.7℃，七月份最高气温41.2℃，年平均气温为15.7℃；历年平均蒸发量1600.3mm，最大年蒸发量2008.1mm，平均相对湿度72%；年均日照时数2218.7h，日照率51%，无霜期216天。</w:t>
      </w:r>
    </w:p>
    <w:p w14:paraId="66E168ED">
      <w:pPr>
        <w:wordWrap w:val="0"/>
        <w:bidi w:val="0"/>
        <w:spacing w:line="360" w:lineRule="auto"/>
        <w:ind w:firstLine="482" w:firstLineChars="200"/>
        <w:jc w:val="left"/>
        <w:rPr>
          <w:rFonts w:hint="default" w:ascii="Times New Roman" w:hAnsi="Times New Roman" w:eastAsia="宋体" w:cs="Times New Roman"/>
          <w:b/>
          <w:bCs/>
          <w:color w:val="auto"/>
          <w:sz w:val="24"/>
          <w:szCs w:val="24"/>
          <w:highlight w:val="none"/>
        </w:rPr>
      </w:pPr>
      <w:bookmarkStart w:id="367" w:name="_Toc3645"/>
      <w:bookmarkStart w:id="368" w:name="_Toc4690"/>
      <w:bookmarkStart w:id="369" w:name="_Toc21671"/>
      <w:bookmarkStart w:id="370" w:name="_Toc12939"/>
      <w:bookmarkStart w:id="371" w:name="_Toc30542"/>
      <w:bookmarkStart w:id="372" w:name="_Toc20198"/>
      <w:r>
        <w:rPr>
          <w:rFonts w:hint="default" w:ascii="Times New Roman" w:hAnsi="Times New Roman" w:eastAsia="宋体" w:cs="Times New Roman"/>
          <w:b/>
          <w:bCs/>
          <w:color w:val="auto"/>
          <w:sz w:val="24"/>
          <w:szCs w:val="24"/>
          <w:highlight w:val="none"/>
        </w:rPr>
        <w:t>（2）温度</w:t>
      </w:r>
      <w:bookmarkEnd w:id="367"/>
      <w:bookmarkEnd w:id="368"/>
      <w:bookmarkEnd w:id="369"/>
      <w:bookmarkEnd w:id="370"/>
      <w:bookmarkEnd w:id="371"/>
      <w:bookmarkEnd w:id="372"/>
    </w:p>
    <w:p w14:paraId="21A3A284">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所在区域全年平均气温为15.7℃，其中夏季气温明显高于其余季节，其中以7月温度最高，平均为28.3℃，1月温度最低，平均为1.8℃。各月平均气温统计见表</w:t>
      </w:r>
      <w:r>
        <w:rPr>
          <w:rFonts w:hint="eastAsia" w:ascii="Times New Roman" w:hAnsi="Times New Roman" w:eastAsia="宋体" w:cs="Times New Roman"/>
          <w:color w:val="auto"/>
          <w:sz w:val="24"/>
          <w:szCs w:val="24"/>
          <w:highlight w:val="none"/>
          <w:lang w:val="en-US" w:eastAsia="zh-CN"/>
        </w:rPr>
        <w:t>5.2</w:t>
      </w:r>
      <w:r>
        <w:rPr>
          <w:rFonts w:hint="default" w:ascii="Times New Roman" w:hAnsi="Times New Roman" w:eastAsia="宋体" w:cs="Times New Roman"/>
          <w:color w:val="auto"/>
          <w:sz w:val="24"/>
          <w:szCs w:val="24"/>
          <w:highlight w:val="none"/>
        </w:rPr>
        <w:t>-1和图</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.2-1。</w:t>
      </w:r>
    </w:p>
    <w:p w14:paraId="77B58F12">
      <w:pPr>
        <w:pStyle w:val="549"/>
        <w:bidi w:val="0"/>
        <w:rPr>
          <w:rFonts w:hint="default"/>
          <w:color w:val="auto"/>
          <w:highlight w:val="none"/>
        </w:rPr>
      </w:pPr>
      <w:r>
        <w:rPr>
          <w:rFonts w:hint="default"/>
          <w:color w:val="auto"/>
          <w:highlight w:val="none"/>
        </w:rPr>
        <w:t>表</w:t>
      </w:r>
      <w:r>
        <w:rPr>
          <w:rFonts w:hint="eastAsia"/>
          <w:color w:val="auto"/>
          <w:highlight w:val="none"/>
          <w:lang w:val="en-US" w:eastAsia="zh-CN"/>
        </w:rPr>
        <w:t>5.2</w:t>
      </w:r>
      <w:r>
        <w:rPr>
          <w:rFonts w:hint="default"/>
          <w:color w:val="auto"/>
          <w:highlight w:val="none"/>
        </w:rPr>
        <w:t>-</w:t>
      </w:r>
      <w:r>
        <w:rPr>
          <w:rFonts w:hint="eastAsia"/>
          <w:color w:val="auto"/>
          <w:highlight w:val="none"/>
          <w:lang w:val="en-US" w:eastAsia="zh-CN"/>
        </w:rPr>
        <w:t>2</w:t>
      </w:r>
      <w:r>
        <w:rPr>
          <w:rFonts w:hint="default"/>
          <w:color w:val="auto"/>
          <w:highlight w:val="none"/>
        </w:rPr>
        <w:t xml:space="preserve">  淮南市年平均温度的月变化</w:t>
      </w:r>
    </w:p>
    <w:tbl>
      <w:tblPr>
        <w:tblStyle w:val="4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97"/>
        <w:gridCol w:w="535"/>
        <w:gridCol w:w="543"/>
        <w:gridCol w:w="521"/>
        <w:gridCol w:w="613"/>
        <w:gridCol w:w="639"/>
        <w:gridCol w:w="639"/>
        <w:gridCol w:w="639"/>
        <w:gridCol w:w="639"/>
        <w:gridCol w:w="639"/>
        <w:gridCol w:w="641"/>
        <w:gridCol w:w="642"/>
        <w:gridCol w:w="629"/>
      </w:tblGrid>
      <w:tr w14:paraId="7A062F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9" w:type="pct"/>
            <w:tcBorders>
              <w:tl2br w:val="nil"/>
              <w:tr2bl w:val="nil"/>
            </w:tcBorders>
            <w:noWrap w:val="0"/>
            <w:tcMar>
              <w:left w:w="0" w:type="dxa"/>
              <w:right w:w="0" w:type="dxa"/>
            </w:tcMar>
            <w:vAlign w:val="center"/>
          </w:tcPr>
          <w:p w14:paraId="6B6BE53F">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月份</w:t>
            </w:r>
          </w:p>
        </w:tc>
        <w:tc>
          <w:tcPr>
            <w:tcW w:w="321" w:type="pct"/>
            <w:tcBorders>
              <w:tl2br w:val="nil"/>
              <w:tr2bl w:val="nil"/>
            </w:tcBorders>
            <w:noWrap w:val="0"/>
            <w:tcMar>
              <w:left w:w="0" w:type="dxa"/>
              <w:right w:w="0" w:type="dxa"/>
            </w:tcMar>
            <w:vAlign w:val="center"/>
          </w:tcPr>
          <w:p w14:paraId="4A8E3E38">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1月</w:t>
            </w:r>
          </w:p>
        </w:tc>
        <w:tc>
          <w:tcPr>
            <w:tcW w:w="326" w:type="pct"/>
            <w:tcBorders>
              <w:tl2br w:val="nil"/>
              <w:tr2bl w:val="nil"/>
            </w:tcBorders>
            <w:noWrap w:val="0"/>
            <w:tcMar>
              <w:left w:w="0" w:type="dxa"/>
              <w:right w:w="0" w:type="dxa"/>
            </w:tcMar>
            <w:vAlign w:val="center"/>
          </w:tcPr>
          <w:p w14:paraId="4669CA07">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2月</w:t>
            </w:r>
          </w:p>
        </w:tc>
        <w:tc>
          <w:tcPr>
            <w:tcW w:w="313" w:type="pct"/>
            <w:tcBorders>
              <w:tl2br w:val="nil"/>
              <w:tr2bl w:val="nil"/>
            </w:tcBorders>
            <w:noWrap w:val="0"/>
            <w:tcMar>
              <w:left w:w="0" w:type="dxa"/>
              <w:right w:w="0" w:type="dxa"/>
            </w:tcMar>
            <w:vAlign w:val="center"/>
          </w:tcPr>
          <w:p w14:paraId="6AE4DE46">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3月</w:t>
            </w:r>
          </w:p>
        </w:tc>
        <w:tc>
          <w:tcPr>
            <w:tcW w:w="368" w:type="pct"/>
            <w:tcBorders>
              <w:tl2br w:val="nil"/>
              <w:tr2bl w:val="nil"/>
            </w:tcBorders>
            <w:noWrap w:val="0"/>
            <w:tcMar>
              <w:left w:w="0" w:type="dxa"/>
              <w:right w:w="0" w:type="dxa"/>
            </w:tcMar>
            <w:vAlign w:val="center"/>
          </w:tcPr>
          <w:p w14:paraId="38EC0E5F">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4月</w:t>
            </w:r>
          </w:p>
        </w:tc>
        <w:tc>
          <w:tcPr>
            <w:tcW w:w="384" w:type="pct"/>
            <w:tcBorders>
              <w:tl2br w:val="nil"/>
              <w:tr2bl w:val="nil"/>
            </w:tcBorders>
            <w:noWrap w:val="0"/>
            <w:tcMar>
              <w:left w:w="0" w:type="dxa"/>
              <w:right w:w="0" w:type="dxa"/>
            </w:tcMar>
            <w:vAlign w:val="center"/>
          </w:tcPr>
          <w:p w14:paraId="489188C5">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5月</w:t>
            </w:r>
          </w:p>
        </w:tc>
        <w:tc>
          <w:tcPr>
            <w:tcW w:w="384" w:type="pct"/>
            <w:tcBorders>
              <w:tl2br w:val="nil"/>
              <w:tr2bl w:val="nil"/>
            </w:tcBorders>
            <w:noWrap w:val="0"/>
            <w:tcMar>
              <w:left w:w="0" w:type="dxa"/>
              <w:right w:w="0" w:type="dxa"/>
            </w:tcMar>
            <w:vAlign w:val="center"/>
          </w:tcPr>
          <w:p w14:paraId="191EDEF9">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6月</w:t>
            </w:r>
          </w:p>
        </w:tc>
        <w:tc>
          <w:tcPr>
            <w:tcW w:w="384" w:type="pct"/>
            <w:tcBorders>
              <w:tl2br w:val="nil"/>
              <w:tr2bl w:val="nil"/>
            </w:tcBorders>
            <w:noWrap w:val="0"/>
            <w:tcMar>
              <w:left w:w="0" w:type="dxa"/>
              <w:right w:w="0" w:type="dxa"/>
            </w:tcMar>
            <w:vAlign w:val="center"/>
          </w:tcPr>
          <w:p w14:paraId="6C242649">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7月</w:t>
            </w:r>
          </w:p>
        </w:tc>
        <w:tc>
          <w:tcPr>
            <w:tcW w:w="384" w:type="pct"/>
            <w:tcBorders>
              <w:tl2br w:val="nil"/>
              <w:tr2bl w:val="nil"/>
            </w:tcBorders>
            <w:noWrap w:val="0"/>
            <w:tcMar>
              <w:left w:w="0" w:type="dxa"/>
              <w:right w:w="0" w:type="dxa"/>
            </w:tcMar>
            <w:vAlign w:val="center"/>
          </w:tcPr>
          <w:p w14:paraId="6A2C32A1">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8月</w:t>
            </w:r>
          </w:p>
        </w:tc>
        <w:tc>
          <w:tcPr>
            <w:tcW w:w="384" w:type="pct"/>
            <w:tcBorders>
              <w:tl2br w:val="nil"/>
              <w:tr2bl w:val="nil"/>
            </w:tcBorders>
            <w:noWrap w:val="0"/>
            <w:tcMar>
              <w:left w:w="0" w:type="dxa"/>
              <w:right w:w="0" w:type="dxa"/>
            </w:tcMar>
            <w:vAlign w:val="center"/>
          </w:tcPr>
          <w:p w14:paraId="28957985">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9月</w:t>
            </w:r>
          </w:p>
        </w:tc>
        <w:tc>
          <w:tcPr>
            <w:tcW w:w="385" w:type="pct"/>
            <w:tcBorders>
              <w:tl2br w:val="nil"/>
              <w:tr2bl w:val="nil"/>
            </w:tcBorders>
            <w:noWrap w:val="0"/>
            <w:tcMar>
              <w:left w:w="0" w:type="dxa"/>
              <w:right w:w="0" w:type="dxa"/>
            </w:tcMar>
            <w:vAlign w:val="center"/>
          </w:tcPr>
          <w:p w14:paraId="5D23AECE">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10月</w:t>
            </w:r>
          </w:p>
        </w:tc>
        <w:tc>
          <w:tcPr>
            <w:tcW w:w="385" w:type="pct"/>
            <w:tcBorders>
              <w:tl2br w:val="nil"/>
              <w:tr2bl w:val="nil"/>
            </w:tcBorders>
            <w:noWrap w:val="0"/>
            <w:tcMar>
              <w:left w:w="0" w:type="dxa"/>
              <w:right w:w="0" w:type="dxa"/>
            </w:tcMar>
            <w:vAlign w:val="center"/>
          </w:tcPr>
          <w:p w14:paraId="73533AB3">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11月</w:t>
            </w:r>
          </w:p>
        </w:tc>
        <w:tc>
          <w:tcPr>
            <w:tcW w:w="377" w:type="pct"/>
            <w:tcBorders>
              <w:tl2br w:val="nil"/>
              <w:tr2bl w:val="nil"/>
            </w:tcBorders>
            <w:noWrap w:val="0"/>
            <w:tcMar>
              <w:left w:w="0" w:type="dxa"/>
              <w:right w:w="0" w:type="dxa"/>
            </w:tcMar>
            <w:vAlign w:val="center"/>
          </w:tcPr>
          <w:p w14:paraId="362850C0">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b/>
                <w:bCs/>
                <w:color w:val="auto"/>
                <w:highlight w:val="none"/>
              </w:rPr>
            </w:pPr>
            <w:r>
              <w:rPr>
                <w:rFonts w:hint="default"/>
                <w:b/>
                <w:bCs/>
                <w:color w:val="auto"/>
                <w:highlight w:val="none"/>
              </w:rPr>
              <w:t>12月</w:t>
            </w:r>
          </w:p>
        </w:tc>
      </w:tr>
      <w:tr w14:paraId="20BE6F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99" w:type="pct"/>
            <w:tcBorders>
              <w:tl2br w:val="nil"/>
              <w:tr2bl w:val="nil"/>
            </w:tcBorders>
            <w:noWrap w:val="0"/>
            <w:tcMar>
              <w:left w:w="0" w:type="dxa"/>
              <w:right w:w="0" w:type="dxa"/>
            </w:tcMar>
            <w:vAlign w:val="center"/>
          </w:tcPr>
          <w:p w14:paraId="79562795">
            <w:pPr>
              <w:pStyle w:val="563"/>
              <w:keepNext w:val="0"/>
              <w:keepLines w:val="0"/>
              <w:pageBreakBefore w:val="0"/>
              <w:widowControl w:val="0"/>
              <w:kinsoku/>
              <w:wordWrap/>
              <w:overflowPunct/>
              <w:topLinePunct w:val="0"/>
              <w:autoSpaceDE/>
              <w:autoSpaceDN/>
              <w:bidi w:val="0"/>
              <w:adjustRightInd w:val="0"/>
              <w:snapToGrid w:val="0"/>
              <w:textAlignment w:val="baseline"/>
              <w:rPr>
                <w:rFonts w:hint="eastAsia"/>
                <w:color w:val="auto"/>
                <w:highlight w:val="none"/>
                <w:lang w:eastAsia="zh-CN"/>
              </w:rPr>
            </w:pPr>
            <w:r>
              <w:rPr>
                <w:rFonts w:hint="default"/>
                <w:color w:val="auto"/>
                <w:highlight w:val="none"/>
              </w:rPr>
              <w:t>温度</w:t>
            </w:r>
            <w:r>
              <w:rPr>
                <w:rFonts w:hint="eastAsia"/>
                <w:color w:val="auto"/>
                <w:highlight w:val="none"/>
                <w:lang w:eastAsia="zh-CN"/>
              </w:rPr>
              <w:t>（</w:t>
            </w:r>
            <w:r>
              <w:rPr>
                <w:rFonts w:hint="default"/>
                <w:color w:val="auto"/>
                <w:highlight w:val="none"/>
              </w:rPr>
              <w:t>℃</w:t>
            </w:r>
            <w:r>
              <w:rPr>
                <w:rFonts w:hint="eastAsia"/>
                <w:color w:val="auto"/>
                <w:highlight w:val="none"/>
                <w:lang w:eastAsia="zh-CN"/>
              </w:rPr>
              <w:t>）</w:t>
            </w:r>
          </w:p>
        </w:tc>
        <w:tc>
          <w:tcPr>
            <w:tcW w:w="321" w:type="pct"/>
            <w:tcBorders>
              <w:tl2br w:val="nil"/>
              <w:tr2bl w:val="nil"/>
            </w:tcBorders>
            <w:noWrap w:val="0"/>
            <w:tcMar>
              <w:left w:w="0" w:type="dxa"/>
              <w:right w:w="0" w:type="dxa"/>
            </w:tcMar>
            <w:vAlign w:val="center"/>
          </w:tcPr>
          <w:p w14:paraId="6F8A48F5">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1.8</w:t>
            </w:r>
          </w:p>
        </w:tc>
        <w:tc>
          <w:tcPr>
            <w:tcW w:w="326" w:type="pct"/>
            <w:tcBorders>
              <w:tl2br w:val="nil"/>
              <w:tr2bl w:val="nil"/>
            </w:tcBorders>
            <w:noWrap w:val="0"/>
            <w:tcMar>
              <w:left w:w="0" w:type="dxa"/>
              <w:right w:w="0" w:type="dxa"/>
            </w:tcMar>
            <w:vAlign w:val="center"/>
          </w:tcPr>
          <w:p w14:paraId="674F65B3">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4.2</w:t>
            </w:r>
          </w:p>
        </w:tc>
        <w:tc>
          <w:tcPr>
            <w:tcW w:w="313" w:type="pct"/>
            <w:tcBorders>
              <w:tl2br w:val="nil"/>
              <w:tr2bl w:val="nil"/>
            </w:tcBorders>
            <w:noWrap w:val="0"/>
            <w:tcMar>
              <w:left w:w="0" w:type="dxa"/>
              <w:right w:w="0" w:type="dxa"/>
            </w:tcMar>
            <w:vAlign w:val="center"/>
          </w:tcPr>
          <w:p w14:paraId="1CDFA3A6">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9.2</w:t>
            </w:r>
          </w:p>
        </w:tc>
        <w:tc>
          <w:tcPr>
            <w:tcW w:w="368" w:type="pct"/>
            <w:tcBorders>
              <w:tl2br w:val="nil"/>
              <w:tr2bl w:val="nil"/>
            </w:tcBorders>
            <w:noWrap w:val="0"/>
            <w:tcMar>
              <w:left w:w="0" w:type="dxa"/>
              <w:right w:w="0" w:type="dxa"/>
            </w:tcMar>
            <w:vAlign w:val="center"/>
          </w:tcPr>
          <w:p w14:paraId="75E3662D">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15.8</w:t>
            </w:r>
          </w:p>
        </w:tc>
        <w:tc>
          <w:tcPr>
            <w:tcW w:w="384" w:type="pct"/>
            <w:tcBorders>
              <w:tl2br w:val="nil"/>
              <w:tr2bl w:val="nil"/>
            </w:tcBorders>
            <w:noWrap w:val="0"/>
            <w:tcMar>
              <w:left w:w="0" w:type="dxa"/>
              <w:right w:w="0" w:type="dxa"/>
            </w:tcMar>
            <w:vAlign w:val="center"/>
          </w:tcPr>
          <w:p w14:paraId="046356B1">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21.2</w:t>
            </w:r>
          </w:p>
        </w:tc>
        <w:tc>
          <w:tcPr>
            <w:tcW w:w="384" w:type="pct"/>
            <w:tcBorders>
              <w:tl2br w:val="nil"/>
              <w:tr2bl w:val="nil"/>
            </w:tcBorders>
            <w:noWrap w:val="0"/>
            <w:tcMar>
              <w:left w:w="0" w:type="dxa"/>
              <w:right w:w="0" w:type="dxa"/>
            </w:tcMar>
            <w:vAlign w:val="center"/>
          </w:tcPr>
          <w:p w14:paraId="320018AD">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25.5</w:t>
            </w:r>
          </w:p>
        </w:tc>
        <w:tc>
          <w:tcPr>
            <w:tcW w:w="384" w:type="pct"/>
            <w:tcBorders>
              <w:tl2br w:val="nil"/>
              <w:tr2bl w:val="nil"/>
            </w:tcBorders>
            <w:noWrap w:val="0"/>
            <w:tcMar>
              <w:left w:w="0" w:type="dxa"/>
              <w:right w:w="0" w:type="dxa"/>
            </w:tcMar>
            <w:vAlign w:val="center"/>
          </w:tcPr>
          <w:p w14:paraId="76EC83E9">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28.3</w:t>
            </w:r>
          </w:p>
        </w:tc>
        <w:tc>
          <w:tcPr>
            <w:tcW w:w="384" w:type="pct"/>
            <w:tcBorders>
              <w:tl2br w:val="nil"/>
              <w:tr2bl w:val="nil"/>
            </w:tcBorders>
            <w:noWrap w:val="0"/>
            <w:tcMar>
              <w:left w:w="0" w:type="dxa"/>
              <w:right w:w="0" w:type="dxa"/>
            </w:tcMar>
            <w:vAlign w:val="center"/>
          </w:tcPr>
          <w:p w14:paraId="6C935256">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27.5</w:t>
            </w:r>
          </w:p>
        </w:tc>
        <w:tc>
          <w:tcPr>
            <w:tcW w:w="384" w:type="pct"/>
            <w:tcBorders>
              <w:tl2br w:val="nil"/>
              <w:tr2bl w:val="nil"/>
            </w:tcBorders>
            <w:noWrap w:val="0"/>
            <w:tcMar>
              <w:left w:w="0" w:type="dxa"/>
              <w:right w:w="0" w:type="dxa"/>
            </w:tcMar>
            <w:vAlign w:val="center"/>
          </w:tcPr>
          <w:p w14:paraId="1D987FDA">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22.8</w:t>
            </w:r>
          </w:p>
        </w:tc>
        <w:tc>
          <w:tcPr>
            <w:tcW w:w="385" w:type="pct"/>
            <w:tcBorders>
              <w:tl2br w:val="nil"/>
              <w:tr2bl w:val="nil"/>
            </w:tcBorders>
            <w:noWrap w:val="0"/>
            <w:tcMar>
              <w:left w:w="0" w:type="dxa"/>
              <w:right w:w="0" w:type="dxa"/>
            </w:tcMar>
            <w:vAlign w:val="center"/>
          </w:tcPr>
          <w:p w14:paraId="79708236">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17.1</w:t>
            </w:r>
          </w:p>
        </w:tc>
        <w:tc>
          <w:tcPr>
            <w:tcW w:w="385" w:type="pct"/>
            <w:tcBorders>
              <w:tl2br w:val="nil"/>
              <w:tr2bl w:val="nil"/>
            </w:tcBorders>
            <w:noWrap w:val="0"/>
            <w:tcMar>
              <w:left w:w="0" w:type="dxa"/>
              <w:right w:w="0" w:type="dxa"/>
            </w:tcMar>
            <w:vAlign w:val="center"/>
          </w:tcPr>
          <w:p w14:paraId="6B195F08">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10.5</w:t>
            </w:r>
          </w:p>
        </w:tc>
        <w:tc>
          <w:tcPr>
            <w:tcW w:w="377" w:type="pct"/>
            <w:tcBorders>
              <w:tl2br w:val="nil"/>
              <w:tr2bl w:val="nil"/>
            </w:tcBorders>
            <w:noWrap w:val="0"/>
            <w:tcMar>
              <w:left w:w="0" w:type="dxa"/>
              <w:right w:w="0" w:type="dxa"/>
            </w:tcMar>
            <w:vAlign w:val="center"/>
          </w:tcPr>
          <w:p w14:paraId="6881F105">
            <w:pPr>
              <w:pStyle w:val="563"/>
              <w:keepNext w:val="0"/>
              <w:keepLines w:val="0"/>
              <w:pageBreakBefore w:val="0"/>
              <w:widowControl w:val="0"/>
              <w:kinsoku/>
              <w:wordWrap/>
              <w:overflowPunct/>
              <w:topLinePunct w:val="0"/>
              <w:autoSpaceDE/>
              <w:autoSpaceDN/>
              <w:bidi w:val="0"/>
              <w:adjustRightInd w:val="0"/>
              <w:snapToGrid w:val="0"/>
              <w:textAlignment w:val="baseline"/>
              <w:rPr>
                <w:rFonts w:hint="default"/>
                <w:color w:val="auto"/>
                <w:highlight w:val="none"/>
              </w:rPr>
            </w:pPr>
            <w:r>
              <w:rPr>
                <w:rFonts w:hint="default"/>
                <w:color w:val="auto"/>
                <w:highlight w:val="none"/>
              </w:rPr>
              <w:t>4.4</w:t>
            </w:r>
          </w:p>
        </w:tc>
      </w:tr>
    </w:tbl>
    <w:p w14:paraId="2F4B70ED">
      <w:pPr>
        <w:keepNext w:val="0"/>
        <w:keepLines w:val="0"/>
        <w:pageBreakBefore w:val="0"/>
        <w:widowControl w:val="0"/>
        <w:kinsoku/>
        <w:wordWrap w:val="0"/>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sz w:val="24"/>
          <w:szCs w:val="24"/>
          <w:highlight w:val="none"/>
        </w:rPr>
      </w:pPr>
      <w:r>
        <w:rPr>
          <w:rFonts w:hint="default"/>
          <w:color w:val="auto"/>
          <w:highlight w:val="none"/>
        </w:rPr>
        <w:drawing>
          <wp:inline distT="0" distB="0" distL="114300" distR="114300">
            <wp:extent cx="5359400" cy="2437765"/>
            <wp:effectExtent l="0" t="0" r="12700" b="635"/>
            <wp:docPr id="569"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234"/>
                    <pic:cNvPicPr>
                      <a:picLocks noChangeAspect="1"/>
                    </pic:cNvPicPr>
                  </pic:nvPicPr>
                  <pic:blipFill>
                    <a:blip r:embed="rId57">
                      <a:clrChange>
                        <a:clrFrom>
                          <a:srgbClr val="C0C0C0"/>
                        </a:clrFrom>
                        <a:clrTo>
                          <a:srgbClr val="C0C0C0">
                            <a:alpha val="0"/>
                          </a:srgbClr>
                        </a:clrTo>
                      </a:clrChange>
                    </a:blip>
                    <a:stretch>
                      <a:fillRect/>
                    </a:stretch>
                  </pic:blipFill>
                  <pic:spPr>
                    <a:xfrm>
                      <a:off x="0" y="0"/>
                      <a:ext cx="5359400" cy="2437765"/>
                    </a:xfrm>
                    <a:prstGeom prst="rect">
                      <a:avLst/>
                    </a:prstGeom>
                    <a:noFill/>
                    <a:ln>
                      <a:noFill/>
                    </a:ln>
                  </pic:spPr>
                </pic:pic>
              </a:graphicData>
            </a:graphic>
          </wp:inline>
        </w:drawing>
      </w:r>
    </w:p>
    <w:p w14:paraId="2C6E0C1D">
      <w:pPr>
        <w:bidi w:val="0"/>
        <w:rPr>
          <w:rFonts w:hint="default"/>
          <w:b/>
          <w:bCs/>
          <w:color w:val="auto"/>
          <w:highlight w:val="none"/>
        </w:rPr>
      </w:pPr>
      <w:bookmarkStart w:id="373" w:name="_Toc15656"/>
      <w:r>
        <w:rPr>
          <w:rFonts w:hint="default"/>
          <w:b/>
          <w:bCs/>
          <w:color w:val="auto"/>
          <w:highlight w:val="none"/>
        </w:rPr>
        <w:t>（3）风速</w:t>
      </w:r>
      <w:bookmarkEnd w:id="373"/>
    </w:p>
    <w:p w14:paraId="0A02432E">
      <w:pPr>
        <w:bidi w:val="0"/>
        <w:rPr>
          <w:rFonts w:hint="default"/>
          <w:color w:val="auto"/>
          <w:highlight w:val="none"/>
        </w:rPr>
      </w:pPr>
      <w:r>
        <w:rPr>
          <w:rFonts w:hint="default"/>
          <w:color w:val="auto"/>
          <w:highlight w:val="none"/>
        </w:rPr>
        <w:t>淮南市平均风速的月份变化统计见表</w:t>
      </w:r>
      <w:r>
        <w:rPr>
          <w:rFonts w:hint="eastAsia"/>
          <w:color w:val="auto"/>
          <w:highlight w:val="none"/>
          <w:lang w:val="en-US" w:eastAsia="zh-CN"/>
        </w:rPr>
        <w:t>4.2</w:t>
      </w:r>
      <w:r>
        <w:rPr>
          <w:rFonts w:hint="default"/>
          <w:color w:val="auto"/>
          <w:highlight w:val="none"/>
        </w:rPr>
        <w:t>-2和图</w:t>
      </w:r>
      <w:r>
        <w:rPr>
          <w:rFonts w:hint="eastAsia"/>
          <w:color w:val="auto"/>
          <w:highlight w:val="none"/>
          <w:lang w:val="en-US" w:eastAsia="zh-CN"/>
        </w:rPr>
        <w:t>4</w:t>
      </w:r>
      <w:r>
        <w:rPr>
          <w:rFonts w:hint="default"/>
          <w:color w:val="auto"/>
          <w:highlight w:val="none"/>
        </w:rPr>
        <w:t>.2-2。可以看出，淮南市年平均风速为2.6m/s，风速变化较为规律，春季和夏季风速最高，冬季风速最低，一年中以10月份风速最小，3、4月份风速最大。</w:t>
      </w:r>
    </w:p>
    <w:p w14:paraId="069CE63F">
      <w:pPr>
        <w:pStyle w:val="549"/>
        <w:bidi w:val="0"/>
        <w:rPr>
          <w:rFonts w:hint="default"/>
          <w:color w:val="auto"/>
          <w:highlight w:val="none"/>
        </w:rPr>
      </w:pPr>
      <w:r>
        <w:rPr>
          <w:rFonts w:hint="default"/>
          <w:color w:val="auto"/>
          <w:highlight w:val="none"/>
        </w:rPr>
        <w:t>表</w:t>
      </w:r>
      <w:r>
        <w:rPr>
          <w:rFonts w:hint="eastAsia"/>
          <w:color w:val="auto"/>
          <w:highlight w:val="none"/>
          <w:lang w:val="en-US" w:eastAsia="zh-CN"/>
        </w:rPr>
        <w:t>5.2</w:t>
      </w:r>
      <w:r>
        <w:rPr>
          <w:rFonts w:hint="default"/>
          <w:color w:val="auto"/>
          <w:highlight w:val="none"/>
        </w:rPr>
        <w:t>-</w:t>
      </w:r>
      <w:r>
        <w:rPr>
          <w:rFonts w:hint="eastAsia"/>
          <w:color w:val="auto"/>
          <w:highlight w:val="none"/>
          <w:lang w:val="en-US" w:eastAsia="zh-CN"/>
        </w:rPr>
        <w:t>3</w:t>
      </w:r>
      <w:r>
        <w:rPr>
          <w:rFonts w:hint="default"/>
          <w:color w:val="auto"/>
          <w:highlight w:val="none"/>
        </w:rPr>
        <w:t xml:space="preserve">  淮南市年平均风速的月变化</w:t>
      </w:r>
    </w:p>
    <w:tbl>
      <w:tblPr>
        <w:tblStyle w:val="4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57"/>
        <w:gridCol w:w="591"/>
        <w:gridCol w:w="596"/>
        <w:gridCol w:w="598"/>
        <w:gridCol w:w="598"/>
        <w:gridCol w:w="598"/>
        <w:gridCol w:w="598"/>
        <w:gridCol w:w="598"/>
        <w:gridCol w:w="598"/>
        <w:gridCol w:w="598"/>
        <w:gridCol w:w="598"/>
        <w:gridCol w:w="598"/>
        <w:gridCol w:w="590"/>
      </w:tblGrid>
      <w:tr w14:paraId="108FAD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5" w:type="pct"/>
            <w:tcBorders>
              <w:tl2br w:val="nil"/>
              <w:tr2bl w:val="nil"/>
            </w:tcBorders>
            <w:noWrap w:val="0"/>
            <w:vAlign w:val="center"/>
          </w:tcPr>
          <w:p w14:paraId="19299205">
            <w:pPr>
              <w:pStyle w:val="563"/>
              <w:bidi w:val="0"/>
              <w:rPr>
                <w:rFonts w:hint="default"/>
                <w:b/>
                <w:bCs/>
                <w:color w:val="auto"/>
                <w:highlight w:val="none"/>
              </w:rPr>
            </w:pPr>
            <w:r>
              <w:rPr>
                <w:rFonts w:hint="default"/>
                <w:b/>
                <w:bCs/>
                <w:color w:val="auto"/>
                <w:highlight w:val="none"/>
              </w:rPr>
              <w:t>月份</w:t>
            </w:r>
          </w:p>
        </w:tc>
        <w:tc>
          <w:tcPr>
            <w:tcW w:w="355" w:type="pct"/>
            <w:tcBorders>
              <w:tl2br w:val="nil"/>
              <w:tr2bl w:val="nil"/>
            </w:tcBorders>
            <w:noWrap w:val="0"/>
            <w:vAlign w:val="center"/>
          </w:tcPr>
          <w:p w14:paraId="3311404B">
            <w:pPr>
              <w:pStyle w:val="563"/>
              <w:bidi w:val="0"/>
              <w:rPr>
                <w:rFonts w:hint="default"/>
                <w:b/>
                <w:bCs/>
                <w:color w:val="auto"/>
                <w:highlight w:val="none"/>
              </w:rPr>
            </w:pPr>
            <w:r>
              <w:rPr>
                <w:rFonts w:hint="default"/>
                <w:b/>
                <w:bCs/>
                <w:color w:val="auto"/>
                <w:highlight w:val="none"/>
              </w:rPr>
              <w:t>1月</w:t>
            </w:r>
          </w:p>
        </w:tc>
        <w:tc>
          <w:tcPr>
            <w:tcW w:w="358" w:type="pct"/>
            <w:tcBorders>
              <w:tl2br w:val="nil"/>
              <w:tr2bl w:val="nil"/>
            </w:tcBorders>
            <w:noWrap w:val="0"/>
            <w:vAlign w:val="center"/>
          </w:tcPr>
          <w:p w14:paraId="070B8292">
            <w:pPr>
              <w:pStyle w:val="563"/>
              <w:bidi w:val="0"/>
              <w:rPr>
                <w:rFonts w:hint="default"/>
                <w:b/>
                <w:bCs/>
                <w:color w:val="auto"/>
                <w:highlight w:val="none"/>
              </w:rPr>
            </w:pPr>
            <w:r>
              <w:rPr>
                <w:rFonts w:hint="default"/>
                <w:b/>
                <w:bCs/>
                <w:color w:val="auto"/>
                <w:highlight w:val="none"/>
              </w:rPr>
              <w:t>2月</w:t>
            </w:r>
          </w:p>
        </w:tc>
        <w:tc>
          <w:tcPr>
            <w:tcW w:w="359" w:type="pct"/>
            <w:tcBorders>
              <w:tl2br w:val="nil"/>
              <w:tr2bl w:val="nil"/>
            </w:tcBorders>
            <w:noWrap w:val="0"/>
            <w:vAlign w:val="center"/>
          </w:tcPr>
          <w:p w14:paraId="069727CC">
            <w:pPr>
              <w:pStyle w:val="563"/>
              <w:bidi w:val="0"/>
              <w:rPr>
                <w:rFonts w:hint="default"/>
                <w:b/>
                <w:bCs/>
                <w:color w:val="auto"/>
                <w:highlight w:val="none"/>
              </w:rPr>
            </w:pPr>
            <w:r>
              <w:rPr>
                <w:rFonts w:hint="default"/>
                <w:b/>
                <w:bCs/>
                <w:color w:val="auto"/>
                <w:highlight w:val="none"/>
              </w:rPr>
              <w:t>3月</w:t>
            </w:r>
          </w:p>
        </w:tc>
        <w:tc>
          <w:tcPr>
            <w:tcW w:w="359" w:type="pct"/>
            <w:tcBorders>
              <w:tl2br w:val="nil"/>
              <w:tr2bl w:val="nil"/>
            </w:tcBorders>
            <w:noWrap w:val="0"/>
            <w:vAlign w:val="center"/>
          </w:tcPr>
          <w:p w14:paraId="5D37C0AA">
            <w:pPr>
              <w:pStyle w:val="563"/>
              <w:bidi w:val="0"/>
              <w:rPr>
                <w:rFonts w:hint="default"/>
                <w:b/>
                <w:bCs/>
                <w:color w:val="auto"/>
                <w:highlight w:val="none"/>
              </w:rPr>
            </w:pPr>
            <w:r>
              <w:rPr>
                <w:rFonts w:hint="default"/>
                <w:b/>
                <w:bCs/>
                <w:color w:val="auto"/>
                <w:highlight w:val="none"/>
              </w:rPr>
              <w:t>4月</w:t>
            </w:r>
          </w:p>
        </w:tc>
        <w:tc>
          <w:tcPr>
            <w:tcW w:w="359" w:type="pct"/>
            <w:tcBorders>
              <w:tl2br w:val="nil"/>
              <w:tr2bl w:val="nil"/>
            </w:tcBorders>
            <w:noWrap w:val="0"/>
            <w:vAlign w:val="center"/>
          </w:tcPr>
          <w:p w14:paraId="4CAC5C33">
            <w:pPr>
              <w:pStyle w:val="563"/>
              <w:bidi w:val="0"/>
              <w:rPr>
                <w:rFonts w:hint="default"/>
                <w:b/>
                <w:bCs/>
                <w:color w:val="auto"/>
                <w:highlight w:val="none"/>
              </w:rPr>
            </w:pPr>
            <w:r>
              <w:rPr>
                <w:rFonts w:hint="default"/>
                <w:b/>
                <w:bCs/>
                <w:color w:val="auto"/>
                <w:highlight w:val="none"/>
              </w:rPr>
              <w:t>5月</w:t>
            </w:r>
          </w:p>
        </w:tc>
        <w:tc>
          <w:tcPr>
            <w:tcW w:w="359" w:type="pct"/>
            <w:tcBorders>
              <w:tl2br w:val="nil"/>
              <w:tr2bl w:val="nil"/>
            </w:tcBorders>
            <w:noWrap w:val="0"/>
            <w:vAlign w:val="center"/>
          </w:tcPr>
          <w:p w14:paraId="3BC0442F">
            <w:pPr>
              <w:pStyle w:val="563"/>
              <w:bidi w:val="0"/>
              <w:rPr>
                <w:rFonts w:hint="default"/>
                <w:b/>
                <w:bCs/>
                <w:color w:val="auto"/>
                <w:highlight w:val="none"/>
              </w:rPr>
            </w:pPr>
            <w:r>
              <w:rPr>
                <w:rFonts w:hint="default"/>
                <w:b/>
                <w:bCs/>
                <w:color w:val="auto"/>
                <w:highlight w:val="none"/>
              </w:rPr>
              <w:t>6月</w:t>
            </w:r>
          </w:p>
        </w:tc>
        <w:tc>
          <w:tcPr>
            <w:tcW w:w="359" w:type="pct"/>
            <w:tcBorders>
              <w:tl2br w:val="nil"/>
              <w:tr2bl w:val="nil"/>
            </w:tcBorders>
            <w:noWrap w:val="0"/>
            <w:vAlign w:val="center"/>
          </w:tcPr>
          <w:p w14:paraId="397A2B4A">
            <w:pPr>
              <w:pStyle w:val="563"/>
              <w:bidi w:val="0"/>
              <w:rPr>
                <w:rFonts w:hint="default"/>
                <w:b/>
                <w:bCs/>
                <w:color w:val="auto"/>
                <w:highlight w:val="none"/>
              </w:rPr>
            </w:pPr>
            <w:r>
              <w:rPr>
                <w:rFonts w:hint="default"/>
                <w:b/>
                <w:bCs/>
                <w:color w:val="auto"/>
                <w:highlight w:val="none"/>
              </w:rPr>
              <w:t>7月</w:t>
            </w:r>
          </w:p>
        </w:tc>
        <w:tc>
          <w:tcPr>
            <w:tcW w:w="359" w:type="pct"/>
            <w:tcBorders>
              <w:tl2br w:val="nil"/>
              <w:tr2bl w:val="nil"/>
            </w:tcBorders>
            <w:noWrap w:val="0"/>
            <w:vAlign w:val="center"/>
          </w:tcPr>
          <w:p w14:paraId="2872F121">
            <w:pPr>
              <w:pStyle w:val="563"/>
              <w:bidi w:val="0"/>
              <w:rPr>
                <w:rFonts w:hint="default"/>
                <w:b/>
                <w:bCs/>
                <w:color w:val="auto"/>
                <w:highlight w:val="none"/>
              </w:rPr>
            </w:pPr>
            <w:r>
              <w:rPr>
                <w:rFonts w:hint="default"/>
                <w:b/>
                <w:bCs/>
                <w:color w:val="auto"/>
                <w:highlight w:val="none"/>
              </w:rPr>
              <w:t>8月</w:t>
            </w:r>
          </w:p>
        </w:tc>
        <w:tc>
          <w:tcPr>
            <w:tcW w:w="359" w:type="pct"/>
            <w:tcBorders>
              <w:tl2br w:val="nil"/>
              <w:tr2bl w:val="nil"/>
            </w:tcBorders>
            <w:noWrap w:val="0"/>
            <w:vAlign w:val="center"/>
          </w:tcPr>
          <w:p w14:paraId="2F541283">
            <w:pPr>
              <w:pStyle w:val="563"/>
              <w:bidi w:val="0"/>
              <w:rPr>
                <w:rFonts w:hint="default"/>
                <w:b/>
                <w:bCs/>
                <w:color w:val="auto"/>
                <w:highlight w:val="none"/>
              </w:rPr>
            </w:pPr>
            <w:r>
              <w:rPr>
                <w:rFonts w:hint="default"/>
                <w:b/>
                <w:bCs/>
                <w:color w:val="auto"/>
                <w:highlight w:val="none"/>
              </w:rPr>
              <w:t>9月</w:t>
            </w:r>
          </w:p>
        </w:tc>
        <w:tc>
          <w:tcPr>
            <w:tcW w:w="359" w:type="pct"/>
            <w:tcBorders>
              <w:tl2br w:val="nil"/>
              <w:tr2bl w:val="nil"/>
            </w:tcBorders>
            <w:noWrap w:val="0"/>
            <w:vAlign w:val="center"/>
          </w:tcPr>
          <w:p w14:paraId="6E132792">
            <w:pPr>
              <w:pStyle w:val="563"/>
              <w:bidi w:val="0"/>
              <w:rPr>
                <w:rFonts w:hint="default"/>
                <w:b/>
                <w:bCs/>
                <w:color w:val="auto"/>
                <w:highlight w:val="none"/>
              </w:rPr>
            </w:pPr>
            <w:r>
              <w:rPr>
                <w:rFonts w:hint="default"/>
                <w:b/>
                <w:bCs/>
                <w:color w:val="auto"/>
                <w:highlight w:val="none"/>
              </w:rPr>
              <w:t>10月</w:t>
            </w:r>
          </w:p>
        </w:tc>
        <w:tc>
          <w:tcPr>
            <w:tcW w:w="359" w:type="pct"/>
            <w:tcBorders>
              <w:tl2br w:val="nil"/>
              <w:tr2bl w:val="nil"/>
            </w:tcBorders>
            <w:noWrap w:val="0"/>
            <w:vAlign w:val="center"/>
          </w:tcPr>
          <w:p w14:paraId="16F18DC9">
            <w:pPr>
              <w:pStyle w:val="563"/>
              <w:bidi w:val="0"/>
              <w:rPr>
                <w:rFonts w:hint="default"/>
                <w:b/>
                <w:bCs/>
                <w:color w:val="auto"/>
                <w:highlight w:val="none"/>
              </w:rPr>
            </w:pPr>
            <w:r>
              <w:rPr>
                <w:rFonts w:hint="default"/>
                <w:b/>
                <w:bCs/>
                <w:color w:val="auto"/>
                <w:highlight w:val="none"/>
              </w:rPr>
              <w:t>11月</w:t>
            </w:r>
          </w:p>
        </w:tc>
        <w:tc>
          <w:tcPr>
            <w:tcW w:w="354" w:type="pct"/>
            <w:tcBorders>
              <w:tl2br w:val="nil"/>
              <w:tr2bl w:val="nil"/>
            </w:tcBorders>
            <w:noWrap w:val="0"/>
            <w:vAlign w:val="center"/>
          </w:tcPr>
          <w:p w14:paraId="34417426">
            <w:pPr>
              <w:pStyle w:val="563"/>
              <w:bidi w:val="0"/>
              <w:rPr>
                <w:rFonts w:hint="default"/>
                <w:b/>
                <w:bCs/>
                <w:color w:val="auto"/>
                <w:highlight w:val="none"/>
              </w:rPr>
            </w:pPr>
            <w:r>
              <w:rPr>
                <w:rFonts w:hint="default"/>
                <w:b/>
                <w:bCs/>
                <w:color w:val="auto"/>
                <w:highlight w:val="none"/>
              </w:rPr>
              <w:t>12月</w:t>
            </w:r>
          </w:p>
        </w:tc>
      </w:tr>
      <w:tr w14:paraId="45C0B2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95" w:type="pct"/>
            <w:tcBorders>
              <w:tl2br w:val="nil"/>
              <w:tr2bl w:val="nil"/>
            </w:tcBorders>
            <w:noWrap w:val="0"/>
            <w:vAlign w:val="center"/>
          </w:tcPr>
          <w:p w14:paraId="3DC8AC23">
            <w:pPr>
              <w:pStyle w:val="563"/>
              <w:bidi w:val="0"/>
              <w:rPr>
                <w:rFonts w:hint="eastAsia"/>
                <w:color w:val="auto"/>
                <w:highlight w:val="none"/>
                <w:lang w:eastAsia="zh-CN"/>
              </w:rPr>
            </w:pPr>
            <w:r>
              <w:rPr>
                <w:rFonts w:hint="default"/>
                <w:color w:val="auto"/>
                <w:highlight w:val="none"/>
              </w:rPr>
              <w:t>风速</w:t>
            </w:r>
            <w:r>
              <w:rPr>
                <w:rFonts w:hint="eastAsia"/>
                <w:color w:val="auto"/>
                <w:highlight w:val="none"/>
                <w:lang w:eastAsia="zh-CN"/>
              </w:rPr>
              <w:t>（</w:t>
            </w:r>
            <w:r>
              <w:rPr>
                <w:rFonts w:hint="default"/>
                <w:color w:val="auto"/>
                <w:highlight w:val="none"/>
              </w:rPr>
              <w:t>m/s</w:t>
            </w:r>
            <w:r>
              <w:rPr>
                <w:rFonts w:hint="eastAsia"/>
                <w:color w:val="auto"/>
                <w:highlight w:val="none"/>
                <w:lang w:eastAsia="zh-CN"/>
              </w:rPr>
              <w:t>）</w:t>
            </w:r>
          </w:p>
        </w:tc>
        <w:tc>
          <w:tcPr>
            <w:tcW w:w="355" w:type="pct"/>
            <w:tcBorders>
              <w:tl2br w:val="nil"/>
              <w:tr2bl w:val="nil"/>
            </w:tcBorders>
            <w:noWrap w:val="0"/>
            <w:vAlign w:val="center"/>
          </w:tcPr>
          <w:p w14:paraId="755B6D76">
            <w:pPr>
              <w:pStyle w:val="563"/>
              <w:bidi w:val="0"/>
              <w:rPr>
                <w:rFonts w:hint="default"/>
                <w:color w:val="auto"/>
                <w:highlight w:val="none"/>
              </w:rPr>
            </w:pPr>
            <w:r>
              <w:rPr>
                <w:rFonts w:hint="default"/>
                <w:color w:val="auto"/>
                <w:highlight w:val="none"/>
              </w:rPr>
              <w:t>2.5</w:t>
            </w:r>
          </w:p>
        </w:tc>
        <w:tc>
          <w:tcPr>
            <w:tcW w:w="358" w:type="pct"/>
            <w:tcBorders>
              <w:tl2br w:val="nil"/>
              <w:tr2bl w:val="nil"/>
            </w:tcBorders>
            <w:noWrap w:val="0"/>
            <w:vAlign w:val="center"/>
          </w:tcPr>
          <w:p w14:paraId="3DC84EC3">
            <w:pPr>
              <w:pStyle w:val="563"/>
              <w:bidi w:val="0"/>
              <w:rPr>
                <w:rFonts w:hint="default"/>
                <w:color w:val="auto"/>
                <w:highlight w:val="none"/>
              </w:rPr>
            </w:pPr>
            <w:r>
              <w:rPr>
                <w:rFonts w:hint="default"/>
                <w:color w:val="auto"/>
                <w:highlight w:val="none"/>
              </w:rPr>
              <w:t>2.7</w:t>
            </w:r>
          </w:p>
        </w:tc>
        <w:tc>
          <w:tcPr>
            <w:tcW w:w="359" w:type="pct"/>
            <w:tcBorders>
              <w:tl2br w:val="nil"/>
              <w:tr2bl w:val="nil"/>
            </w:tcBorders>
            <w:noWrap w:val="0"/>
            <w:vAlign w:val="center"/>
          </w:tcPr>
          <w:p w14:paraId="76A99DD0">
            <w:pPr>
              <w:pStyle w:val="563"/>
              <w:bidi w:val="0"/>
              <w:rPr>
                <w:rFonts w:hint="default"/>
                <w:color w:val="auto"/>
                <w:highlight w:val="none"/>
              </w:rPr>
            </w:pPr>
            <w:r>
              <w:rPr>
                <w:rFonts w:hint="default"/>
                <w:color w:val="auto"/>
                <w:highlight w:val="none"/>
              </w:rPr>
              <w:t>3.1</w:t>
            </w:r>
          </w:p>
        </w:tc>
        <w:tc>
          <w:tcPr>
            <w:tcW w:w="359" w:type="pct"/>
            <w:tcBorders>
              <w:tl2br w:val="nil"/>
              <w:tr2bl w:val="nil"/>
            </w:tcBorders>
            <w:noWrap w:val="0"/>
            <w:vAlign w:val="center"/>
          </w:tcPr>
          <w:p w14:paraId="349A6E9A">
            <w:pPr>
              <w:pStyle w:val="563"/>
              <w:bidi w:val="0"/>
              <w:rPr>
                <w:rFonts w:hint="default"/>
                <w:color w:val="auto"/>
                <w:highlight w:val="none"/>
              </w:rPr>
            </w:pPr>
            <w:r>
              <w:rPr>
                <w:rFonts w:hint="default"/>
                <w:color w:val="auto"/>
                <w:highlight w:val="none"/>
              </w:rPr>
              <w:t>3.1</w:t>
            </w:r>
          </w:p>
        </w:tc>
        <w:tc>
          <w:tcPr>
            <w:tcW w:w="359" w:type="pct"/>
            <w:tcBorders>
              <w:tl2br w:val="nil"/>
              <w:tr2bl w:val="nil"/>
            </w:tcBorders>
            <w:noWrap w:val="0"/>
            <w:vAlign w:val="center"/>
          </w:tcPr>
          <w:p w14:paraId="6CE7E9B0">
            <w:pPr>
              <w:pStyle w:val="563"/>
              <w:bidi w:val="0"/>
              <w:rPr>
                <w:rFonts w:hint="default"/>
                <w:color w:val="auto"/>
                <w:highlight w:val="none"/>
              </w:rPr>
            </w:pPr>
            <w:r>
              <w:rPr>
                <w:rFonts w:hint="default"/>
                <w:color w:val="auto"/>
                <w:highlight w:val="none"/>
              </w:rPr>
              <w:t>2.8</w:t>
            </w:r>
          </w:p>
        </w:tc>
        <w:tc>
          <w:tcPr>
            <w:tcW w:w="359" w:type="pct"/>
            <w:tcBorders>
              <w:tl2br w:val="nil"/>
              <w:tr2bl w:val="nil"/>
            </w:tcBorders>
            <w:noWrap w:val="0"/>
            <w:vAlign w:val="center"/>
          </w:tcPr>
          <w:p w14:paraId="769D077D">
            <w:pPr>
              <w:pStyle w:val="563"/>
              <w:bidi w:val="0"/>
              <w:rPr>
                <w:rFonts w:hint="default"/>
                <w:color w:val="auto"/>
                <w:highlight w:val="none"/>
              </w:rPr>
            </w:pPr>
            <w:r>
              <w:rPr>
                <w:rFonts w:hint="default"/>
                <w:color w:val="auto"/>
                <w:highlight w:val="none"/>
              </w:rPr>
              <w:t>2.8</w:t>
            </w:r>
          </w:p>
        </w:tc>
        <w:tc>
          <w:tcPr>
            <w:tcW w:w="359" w:type="pct"/>
            <w:tcBorders>
              <w:tl2br w:val="nil"/>
              <w:tr2bl w:val="nil"/>
            </w:tcBorders>
            <w:noWrap w:val="0"/>
            <w:vAlign w:val="center"/>
          </w:tcPr>
          <w:p w14:paraId="508214EC">
            <w:pPr>
              <w:pStyle w:val="563"/>
              <w:bidi w:val="0"/>
              <w:rPr>
                <w:rFonts w:hint="default"/>
                <w:color w:val="auto"/>
                <w:highlight w:val="none"/>
              </w:rPr>
            </w:pPr>
            <w:r>
              <w:rPr>
                <w:rFonts w:hint="default"/>
                <w:color w:val="auto"/>
                <w:highlight w:val="none"/>
              </w:rPr>
              <w:t>2.7</w:t>
            </w:r>
          </w:p>
        </w:tc>
        <w:tc>
          <w:tcPr>
            <w:tcW w:w="359" w:type="pct"/>
            <w:tcBorders>
              <w:tl2br w:val="nil"/>
              <w:tr2bl w:val="nil"/>
            </w:tcBorders>
            <w:noWrap w:val="0"/>
            <w:vAlign w:val="center"/>
          </w:tcPr>
          <w:p w14:paraId="0EA9B0D0">
            <w:pPr>
              <w:pStyle w:val="563"/>
              <w:bidi w:val="0"/>
              <w:rPr>
                <w:rFonts w:hint="default"/>
                <w:color w:val="auto"/>
                <w:highlight w:val="none"/>
              </w:rPr>
            </w:pPr>
            <w:r>
              <w:rPr>
                <w:rFonts w:hint="default"/>
                <w:color w:val="auto"/>
                <w:highlight w:val="none"/>
              </w:rPr>
              <w:t>2.4</w:t>
            </w:r>
          </w:p>
        </w:tc>
        <w:tc>
          <w:tcPr>
            <w:tcW w:w="359" w:type="pct"/>
            <w:tcBorders>
              <w:tl2br w:val="nil"/>
              <w:tr2bl w:val="nil"/>
            </w:tcBorders>
            <w:noWrap w:val="0"/>
            <w:vAlign w:val="center"/>
          </w:tcPr>
          <w:p w14:paraId="7291FA9A">
            <w:pPr>
              <w:pStyle w:val="563"/>
              <w:bidi w:val="0"/>
              <w:rPr>
                <w:rFonts w:hint="default"/>
                <w:color w:val="auto"/>
                <w:highlight w:val="none"/>
              </w:rPr>
            </w:pPr>
            <w:r>
              <w:rPr>
                <w:rFonts w:hint="default"/>
                <w:color w:val="auto"/>
                <w:highlight w:val="none"/>
              </w:rPr>
              <w:t>2.3</w:t>
            </w:r>
          </w:p>
        </w:tc>
        <w:tc>
          <w:tcPr>
            <w:tcW w:w="359" w:type="pct"/>
            <w:tcBorders>
              <w:tl2br w:val="nil"/>
              <w:tr2bl w:val="nil"/>
            </w:tcBorders>
            <w:noWrap w:val="0"/>
            <w:vAlign w:val="center"/>
          </w:tcPr>
          <w:p w14:paraId="0C7B2B02">
            <w:pPr>
              <w:pStyle w:val="563"/>
              <w:bidi w:val="0"/>
              <w:rPr>
                <w:rFonts w:hint="default"/>
                <w:color w:val="auto"/>
                <w:highlight w:val="none"/>
              </w:rPr>
            </w:pPr>
            <w:r>
              <w:rPr>
                <w:rFonts w:hint="default"/>
                <w:color w:val="auto"/>
                <w:highlight w:val="none"/>
              </w:rPr>
              <w:t>2.2</w:t>
            </w:r>
          </w:p>
        </w:tc>
        <w:tc>
          <w:tcPr>
            <w:tcW w:w="359" w:type="pct"/>
            <w:tcBorders>
              <w:tl2br w:val="nil"/>
              <w:tr2bl w:val="nil"/>
            </w:tcBorders>
            <w:noWrap w:val="0"/>
            <w:vAlign w:val="center"/>
          </w:tcPr>
          <w:p w14:paraId="3186CFAC">
            <w:pPr>
              <w:pStyle w:val="563"/>
              <w:bidi w:val="0"/>
              <w:rPr>
                <w:rFonts w:hint="default"/>
                <w:color w:val="auto"/>
                <w:highlight w:val="none"/>
              </w:rPr>
            </w:pPr>
            <w:r>
              <w:rPr>
                <w:rFonts w:hint="default"/>
                <w:color w:val="auto"/>
                <w:highlight w:val="none"/>
              </w:rPr>
              <w:t>2.3</w:t>
            </w:r>
          </w:p>
        </w:tc>
        <w:tc>
          <w:tcPr>
            <w:tcW w:w="354" w:type="pct"/>
            <w:tcBorders>
              <w:tl2br w:val="nil"/>
              <w:tr2bl w:val="nil"/>
            </w:tcBorders>
            <w:noWrap w:val="0"/>
            <w:vAlign w:val="center"/>
          </w:tcPr>
          <w:p w14:paraId="5031652E">
            <w:pPr>
              <w:pStyle w:val="563"/>
              <w:bidi w:val="0"/>
              <w:rPr>
                <w:rFonts w:hint="default"/>
                <w:color w:val="auto"/>
                <w:highlight w:val="none"/>
              </w:rPr>
            </w:pPr>
            <w:r>
              <w:rPr>
                <w:rFonts w:hint="default"/>
                <w:color w:val="auto"/>
                <w:highlight w:val="none"/>
              </w:rPr>
              <w:t>2.3</w:t>
            </w:r>
          </w:p>
        </w:tc>
      </w:tr>
    </w:tbl>
    <w:p w14:paraId="73D04BB9">
      <w:pPr>
        <w:pStyle w:val="224"/>
        <w:bidi w:val="0"/>
        <w:rPr>
          <w:rFonts w:hint="default"/>
          <w:color w:val="auto"/>
          <w:highlight w:val="none"/>
        </w:rPr>
      </w:pPr>
    </w:p>
    <w:p w14:paraId="00B3ED36">
      <w:pPr>
        <w:pStyle w:val="224"/>
        <w:bidi w:val="0"/>
        <w:rPr>
          <w:rFonts w:hint="default"/>
          <w:color w:val="auto"/>
          <w:highlight w:val="none"/>
        </w:rPr>
      </w:pPr>
      <w:r>
        <w:rPr>
          <w:rFonts w:hint="default"/>
          <w:color w:val="auto"/>
          <w:highlight w:val="none"/>
        </w:rPr>
        <w:drawing>
          <wp:inline distT="0" distB="0" distL="114300" distR="114300">
            <wp:extent cx="5276850" cy="2429510"/>
            <wp:effectExtent l="9525" t="9525" r="9525" b="18415"/>
            <wp:docPr id="570"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235"/>
                    <pic:cNvPicPr>
                      <a:picLocks noChangeAspect="1"/>
                    </pic:cNvPicPr>
                  </pic:nvPicPr>
                  <pic:blipFill>
                    <a:blip r:embed="rId58">
                      <a:clrChange>
                        <a:clrFrom>
                          <a:srgbClr val="C0C0C0"/>
                        </a:clrFrom>
                        <a:clrTo>
                          <a:srgbClr val="C0C0C0">
                            <a:alpha val="0"/>
                          </a:srgbClr>
                        </a:clrTo>
                      </a:clrChange>
                    </a:blip>
                    <a:srcRect/>
                    <a:stretch>
                      <a:fillRect/>
                    </a:stretch>
                  </pic:blipFill>
                  <pic:spPr>
                    <a:xfrm>
                      <a:off x="0" y="0"/>
                      <a:ext cx="5276850" cy="242951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588B45BA">
      <w:pPr>
        <w:pStyle w:val="549"/>
        <w:bidi w:val="0"/>
        <w:rPr>
          <w:rFonts w:hint="default"/>
          <w:color w:val="auto"/>
          <w:highlight w:val="none"/>
        </w:rPr>
      </w:pPr>
      <w:r>
        <w:rPr>
          <w:rFonts w:hint="default"/>
          <w:color w:val="auto"/>
          <w:highlight w:val="none"/>
        </w:rPr>
        <w:t>图</w:t>
      </w:r>
      <w:r>
        <w:rPr>
          <w:rFonts w:hint="eastAsia"/>
          <w:color w:val="auto"/>
          <w:highlight w:val="none"/>
          <w:lang w:val="en-US" w:eastAsia="zh-CN"/>
        </w:rPr>
        <w:t>5</w:t>
      </w:r>
      <w:r>
        <w:rPr>
          <w:rFonts w:hint="default"/>
          <w:color w:val="auto"/>
          <w:highlight w:val="none"/>
        </w:rPr>
        <w:t>.2-2  平均风速的月变化</w:t>
      </w:r>
    </w:p>
    <w:p w14:paraId="4F04615B">
      <w:pPr>
        <w:bidi w:val="0"/>
        <w:rPr>
          <w:rFonts w:hint="default"/>
          <w:b/>
          <w:bCs/>
          <w:color w:val="auto"/>
          <w:highlight w:val="none"/>
        </w:rPr>
      </w:pPr>
      <w:bookmarkStart w:id="374" w:name="_Toc14459"/>
      <w:bookmarkStart w:id="375" w:name="_Toc30667"/>
      <w:bookmarkStart w:id="376" w:name="_Toc13076"/>
      <w:bookmarkStart w:id="377" w:name="_Toc23377"/>
      <w:bookmarkStart w:id="378" w:name="_Toc3382"/>
      <w:bookmarkStart w:id="379" w:name="_Toc17727"/>
      <w:r>
        <w:rPr>
          <w:rFonts w:hint="default"/>
          <w:b/>
          <w:bCs/>
          <w:color w:val="auto"/>
          <w:highlight w:val="none"/>
        </w:rPr>
        <w:t>（4）季小时平均风速的日变化</w:t>
      </w:r>
      <w:bookmarkEnd w:id="374"/>
      <w:bookmarkEnd w:id="375"/>
      <w:bookmarkEnd w:id="376"/>
      <w:bookmarkEnd w:id="377"/>
      <w:bookmarkEnd w:id="378"/>
      <w:bookmarkEnd w:id="379"/>
    </w:p>
    <w:p w14:paraId="292BEFE5">
      <w:pPr>
        <w:bidi w:val="0"/>
        <w:rPr>
          <w:rFonts w:hint="default"/>
          <w:color w:val="auto"/>
          <w:highlight w:val="none"/>
        </w:rPr>
      </w:pPr>
      <w:r>
        <w:rPr>
          <w:rFonts w:hint="default"/>
          <w:color w:val="auto"/>
          <w:highlight w:val="none"/>
        </w:rPr>
        <w:t>各季小时平均风速的日变化详见表</w:t>
      </w:r>
      <w:r>
        <w:rPr>
          <w:rFonts w:hint="eastAsia"/>
          <w:color w:val="auto"/>
          <w:highlight w:val="none"/>
          <w:lang w:val="en-US" w:eastAsia="zh-CN"/>
        </w:rPr>
        <w:t>5.2</w:t>
      </w:r>
      <w:r>
        <w:rPr>
          <w:rFonts w:hint="default"/>
          <w:color w:val="auto"/>
          <w:highlight w:val="none"/>
        </w:rPr>
        <w:t>-3和图</w:t>
      </w:r>
      <w:r>
        <w:rPr>
          <w:rFonts w:hint="eastAsia"/>
          <w:color w:val="auto"/>
          <w:highlight w:val="none"/>
          <w:lang w:val="en-US" w:eastAsia="zh-CN"/>
        </w:rPr>
        <w:t>5</w:t>
      </w:r>
      <w:r>
        <w:rPr>
          <w:rFonts w:hint="default"/>
          <w:color w:val="auto"/>
          <w:highlight w:val="none"/>
        </w:rPr>
        <w:t>.2-3。</w:t>
      </w:r>
    </w:p>
    <w:p w14:paraId="2225125B">
      <w:pPr>
        <w:pStyle w:val="549"/>
        <w:bidi w:val="0"/>
        <w:rPr>
          <w:rFonts w:hint="default"/>
          <w:color w:val="auto"/>
          <w:highlight w:val="none"/>
        </w:rPr>
      </w:pPr>
      <w:r>
        <w:rPr>
          <w:rFonts w:hint="default"/>
          <w:color w:val="auto"/>
          <w:highlight w:val="none"/>
        </w:rPr>
        <w:t>表</w:t>
      </w:r>
      <w:r>
        <w:rPr>
          <w:rFonts w:hint="eastAsia"/>
          <w:color w:val="auto"/>
          <w:highlight w:val="none"/>
          <w:lang w:val="en-US" w:eastAsia="zh-CN"/>
        </w:rPr>
        <w:t>5.2</w:t>
      </w:r>
      <w:r>
        <w:rPr>
          <w:rFonts w:hint="default"/>
          <w:color w:val="auto"/>
          <w:highlight w:val="none"/>
        </w:rPr>
        <w:t>-</w:t>
      </w:r>
      <w:r>
        <w:rPr>
          <w:rFonts w:hint="eastAsia"/>
          <w:color w:val="auto"/>
          <w:highlight w:val="none"/>
          <w:lang w:val="en-US" w:eastAsia="zh-CN"/>
        </w:rPr>
        <w:t>4</w:t>
      </w:r>
      <w:r>
        <w:rPr>
          <w:rFonts w:hint="default"/>
          <w:color w:val="auto"/>
          <w:highlight w:val="none"/>
        </w:rPr>
        <w:t xml:space="preserve">  季小时平均风速的日变化</w:t>
      </w:r>
    </w:p>
    <w:tbl>
      <w:tblPr>
        <w:tblStyle w:val="4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98"/>
        <w:gridCol w:w="636"/>
        <w:gridCol w:w="636"/>
        <w:gridCol w:w="636"/>
        <w:gridCol w:w="636"/>
        <w:gridCol w:w="634"/>
        <w:gridCol w:w="634"/>
        <w:gridCol w:w="634"/>
        <w:gridCol w:w="634"/>
        <w:gridCol w:w="634"/>
        <w:gridCol w:w="634"/>
        <w:gridCol w:w="635"/>
        <w:gridCol w:w="635"/>
      </w:tblGrid>
      <w:tr w14:paraId="4B54CB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7DA9E1A2">
            <w:pPr>
              <w:pStyle w:val="563"/>
              <w:bidi w:val="0"/>
              <w:rPr>
                <w:rFonts w:hint="default"/>
                <w:b/>
                <w:bCs/>
                <w:color w:val="auto"/>
                <w:highlight w:val="none"/>
              </w:rPr>
            </w:pPr>
            <w:r>
              <w:rPr>
                <w:rFonts w:hint="default"/>
                <w:b/>
                <w:bCs/>
                <w:color w:val="auto"/>
                <w:highlight w:val="none"/>
              </w:rPr>
              <w:t>小时</w:t>
            </w:r>
          </w:p>
        </w:tc>
        <w:tc>
          <w:tcPr>
            <w:tcW w:w="382" w:type="pct"/>
            <w:tcBorders>
              <w:tl2br w:val="nil"/>
              <w:tr2bl w:val="nil"/>
            </w:tcBorders>
            <w:noWrap w:val="0"/>
            <w:vAlign w:val="center"/>
          </w:tcPr>
          <w:p w14:paraId="38ADA597">
            <w:pPr>
              <w:pStyle w:val="563"/>
              <w:bidi w:val="0"/>
              <w:rPr>
                <w:rFonts w:hint="default"/>
                <w:b/>
                <w:bCs/>
                <w:color w:val="auto"/>
                <w:highlight w:val="none"/>
              </w:rPr>
            </w:pPr>
            <w:r>
              <w:rPr>
                <w:rFonts w:hint="default"/>
                <w:b/>
                <w:bCs/>
                <w:color w:val="auto"/>
                <w:highlight w:val="none"/>
              </w:rPr>
              <w:t>1</w:t>
            </w:r>
          </w:p>
        </w:tc>
        <w:tc>
          <w:tcPr>
            <w:tcW w:w="382" w:type="pct"/>
            <w:tcBorders>
              <w:tl2br w:val="nil"/>
              <w:tr2bl w:val="nil"/>
            </w:tcBorders>
            <w:noWrap w:val="0"/>
            <w:vAlign w:val="center"/>
          </w:tcPr>
          <w:p w14:paraId="0836C64D">
            <w:pPr>
              <w:pStyle w:val="563"/>
              <w:bidi w:val="0"/>
              <w:rPr>
                <w:rFonts w:hint="default"/>
                <w:b/>
                <w:bCs/>
                <w:color w:val="auto"/>
                <w:highlight w:val="none"/>
              </w:rPr>
            </w:pPr>
            <w:r>
              <w:rPr>
                <w:rFonts w:hint="default"/>
                <w:b/>
                <w:bCs/>
                <w:color w:val="auto"/>
                <w:highlight w:val="none"/>
              </w:rPr>
              <w:t>2</w:t>
            </w:r>
          </w:p>
        </w:tc>
        <w:tc>
          <w:tcPr>
            <w:tcW w:w="382" w:type="pct"/>
            <w:tcBorders>
              <w:tl2br w:val="nil"/>
              <w:tr2bl w:val="nil"/>
            </w:tcBorders>
            <w:noWrap w:val="0"/>
            <w:vAlign w:val="center"/>
          </w:tcPr>
          <w:p w14:paraId="79059128">
            <w:pPr>
              <w:pStyle w:val="563"/>
              <w:bidi w:val="0"/>
              <w:rPr>
                <w:rFonts w:hint="default"/>
                <w:b/>
                <w:bCs/>
                <w:color w:val="auto"/>
                <w:highlight w:val="none"/>
              </w:rPr>
            </w:pPr>
            <w:r>
              <w:rPr>
                <w:rFonts w:hint="default"/>
                <w:b/>
                <w:bCs/>
                <w:color w:val="auto"/>
                <w:highlight w:val="none"/>
              </w:rPr>
              <w:t>3</w:t>
            </w:r>
          </w:p>
        </w:tc>
        <w:tc>
          <w:tcPr>
            <w:tcW w:w="382" w:type="pct"/>
            <w:tcBorders>
              <w:tl2br w:val="nil"/>
              <w:tr2bl w:val="nil"/>
            </w:tcBorders>
            <w:noWrap w:val="0"/>
            <w:vAlign w:val="center"/>
          </w:tcPr>
          <w:p w14:paraId="5280C14E">
            <w:pPr>
              <w:pStyle w:val="563"/>
              <w:bidi w:val="0"/>
              <w:rPr>
                <w:rFonts w:hint="default"/>
                <w:b/>
                <w:bCs/>
                <w:color w:val="auto"/>
                <w:highlight w:val="none"/>
              </w:rPr>
            </w:pPr>
            <w:r>
              <w:rPr>
                <w:rFonts w:hint="default"/>
                <w:b/>
                <w:bCs/>
                <w:color w:val="auto"/>
                <w:highlight w:val="none"/>
              </w:rPr>
              <w:t>4</w:t>
            </w:r>
          </w:p>
        </w:tc>
        <w:tc>
          <w:tcPr>
            <w:tcW w:w="381" w:type="pct"/>
            <w:tcBorders>
              <w:tl2br w:val="nil"/>
              <w:tr2bl w:val="nil"/>
            </w:tcBorders>
            <w:noWrap w:val="0"/>
            <w:vAlign w:val="center"/>
          </w:tcPr>
          <w:p w14:paraId="6ED5A871">
            <w:pPr>
              <w:pStyle w:val="563"/>
              <w:bidi w:val="0"/>
              <w:rPr>
                <w:rFonts w:hint="default"/>
                <w:b/>
                <w:bCs/>
                <w:color w:val="auto"/>
                <w:highlight w:val="none"/>
              </w:rPr>
            </w:pPr>
            <w:r>
              <w:rPr>
                <w:rFonts w:hint="default"/>
                <w:b/>
                <w:bCs/>
                <w:color w:val="auto"/>
                <w:highlight w:val="none"/>
              </w:rPr>
              <w:t>5</w:t>
            </w:r>
          </w:p>
        </w:tc>
        <w:tc>
          <w:tcPr>
            <w:tcW w:w="381" w:type="pct"/>
            <w:tcBorders>
              <w:tl2br w:val="nil"/>
              <w:tr2bl w:val="nil"/>
            </w:tcBorders>
            <w:noWrap w:val="0"/>
            <w:vAlign w:val="center"/>
          </w:tcPr>
          <w:p w14:paraId="42811D6E">
            <w:pPr>
              <w:pStyle w:val="563"/>
              <w:bidi w:val="0"/>
              <w:rPr>
                <w:rFonts w:hint="default"/>
                <w:b/>
                <w:bCs/>
                <w:color w:val="auto"/>
                <w:highlight w:val="none"/>
              </w:rPr>
            </w:pPr>
            <w:r>
              <w:rPr>
                <w:rFonts w:hint="default"/>
                <w:b/>
                <w:bCs/>
                <w:color w:val="auto"/>
                <w:highlight w:val="none"/>
              </w:rPr>
              <w:t>6</w:t>
            </w:r>
          </w:p>
        </w:tc>
        <w:tc>
          <w:tcPr>
            <w:tcW w:w="381" w:type="pct"/>
            <w:tcBorders>
              <w:tl2br w:val="nil"/>
              <w:tr2bl w:val="nil"/>
            </w:tcBorders>
            <w:noWrap w:val="0"/>
            <w:vAlign w:val="center"/>
          </w:tcPr>
          <w:p w14:paraId="2E27AA1D">
            <w:pPr>
              <w:pStyle w:val="563"/>
              <w:bidi w:val="0"/>
              <w:rPr>
                <w:rFonts w:hint="default"/>
                <w:b/>
                <w:bCs/>
                <w:color w:val="auto"/>
                <w:highlight w:val="none"/>
              </w:rPr>
            </w:pPr>
            <w:r>
              <w:rPr>
                <w:rFonts w:hint="default"/>
                <w:b/>
                <w:bCs/>
                <w:color w:val="auto"/>
                <w:highlight w:val="none"/>
              </w:rPr>
              <w:t>7</w:t>
            </w:r>
          </w:p>
        </w:tc>
        <w:tc>
          <w:tcPr>
            <w:tcW w:w="381" w:type="pct"/>
            <w:tcBorders>
              <w:tl2br w:val="nil"/>
              <w:tr2bl w:val="nil"/>
            </w:tcBorders>
            <w:noWrap w:val="0"/>
            <w:vAlign w:val="center"/>
          </w:tcPr>
          <w:p w14:paraId="25786E82">
            <w:pPr>
              <w:pStyle w:val="563"/>
              <w:bidi w:val="0"/>
              <w:rPr>
                <w:rFonts w:hint="default"/>
                <w:b/>
                <w:bCs/>
                <w:color w:val="auto"/>
                <w:highlight w:val="none"/>
              </w:rPr>
            </w:pPr>
            <w:r>
              <w:rPr>
                <w:rFonts w:hint="default"/>
                <w:b/>
                <w:bCs/>
                <w:color w:val="auto"/>
                <w:highlight w:val="none"/>
              </w:rPr>
              <w:t>8</w:t>
            </w:r>
          </w:p>
        </w:tc>
        <w:tc>
          <w:tcPr>
            <w:tcW w:w="381" w:type="pct"/>
            <w:tcBorders>
              <w:tl2br w:val="nil"/>
              <w:tr2bl w:val="nil"/>
            </w:tcBorders>
            <w:noWrap w:val="0"/>
            <w:vAlign w:val="center"/>
          </w:tcPr>
          <w:p w14:paraId="719A8FA3">
            <w:pPr>
              <w:pStyle w:val="563"/>
              <w:bidi w:val="0"/>
              <w:rPr>
                <w:rFonts w:hint="default"/>
                <w:b/>
                <w:bCs/>
                <w:color w:val="auto"/>
                <w:highlight w:val="none"/>
              </w:rPr>
            </w:pPr>
            <w:r>
              <w:rPr>
                <w:rFonts w:hint="default"/>
                <w:b/>
                <w:bCs/>
                <w:color w:val="auto"/>
                <w:highlight w:val="none"/>
              </w:rPr>
              <w:t>9</w:t>
            </w:r>
          </w:p>
        </w:tc>
        <w:tc>
          <w:tcPr>
            <w:tcW w:w="381" w:type="pct"/>
            <w:tcBorders>
              <w:tl2br w:val="nil"/>
              <w:tr2bl w:val="nil"/>
            </w:tcBorders>
            <w:noWrap w:val="0"/>
            <w:vAlign w:val="center"/>
          </w:tcPr>
          <w:p w14:paraId="3720CBEB">
            <w:pPr>
              <w:pStyle w:val="563"/>
              <w:bidi w:val="0"/>
              <w:rPr>
                <w:rFonts w:hint="default"/>
                <w:b/>
                <w:bCs/>
                <w:color w:val="auto"/>
                <w:highlight w:val="none"/>
              </w:rPr>
            </w:pPr>
            <w:r>
              <w:rPr>
                <w:rFonts w:hint="default"/>
                <w:b/>
                <w:bCs/>
                <w:color w:val="auto"/>
                <w:highlight w:val="none"/>
              </w:rPr>
              <w:t>10</w:t>
            </w:r>
          </w:p>
        </w:tc>
        <w:tc>
          <w:tcPr>
            <w:tcW w:w="381" w:type="pct"/>
            <w:tcBorders>
              <w:tl2br w:val="nil"/>
              <w:tr2bl w:val="nil"/>
            </w:tcBorders>
            <w:noWrap w:val="0"/>
            <w:vAlign w:val="center"/>
          </w:tcPr>
          <w:p w14:paraId="6ACD4745">
            <w:pPr>
              <w:pStyle w:val="563"/>
              <w:bidi w:val="0"/>
              <w:rPr>
                <w:rFonts w:hint="default"/>
                <w:b/>
                <w:bCs/>
                <w:color w:val="auto"/>
                <w:highlight w:val="none"/>
              </w:rPr>
            </w:pPr>
            <w:r>
              <w:rPr>
                <w:rFonts w:hint="default"/>
                <w:b/>
                <w:bCs/>
                <w:color w:val="auto"/>
                <w:highlight w:val="none"/>
              </w:rPr>
              <w:t>11</w:t>
            </w:r>
          </w:p>
        </w:tc>
        <w:tc>
          <w:tcPr>
            <w:tcW w:w="381" w:type="pct"/>
            <w:tcBorders>
              <w:tl2br w:val="nil"/>
              <w:tr2bl w:val="nil"/>
            </w:tcBorders>
            <w:noWrap w:val="0"/>
            <w:vAlign w:val="center"/>
          </w:tcPr>
          <w:p w14:paraId="797218F2">
            <w:pPr>
              <w:pStyle w:val="563"/>
              <w:bidi w:val="0"/>
              <w:rPr>
                <w:rFonts w:hint="default"/>
                <w:b/>
                <w:bCs/>
                <w:color w:val="auto"/>
                <w:highlight w:val="none"/>
              </w:rPr>
            </w:pPr>
            <w:r>
              <w:rPr>
                <w:rFonts w:hint="default"/>
                <w:b/>
                <w:bCs/>
                <w:color w:val="auto"/>
                <w:highlight w:val="none"/>
              </w:rPr>
              <w:t>12</w:t>
            </w:r>
          </w:p>
        </w:tc>
      </w:tr>
      <w:tr w14:paraId="3980C6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7C20BC83">
            <w:pPr>
              <w:pStyle w:val="563"/>
              <w:bidi w:val="0"/>
              <w:rPr>
                <w:rFonts w:hint="default"/>
                <w:color w:val="auto"/>
                <w:highlight w:val="none"/>
              </w:rPr>
            </w:pPr>
            <w:r>
              <w:rPr>
                <w:rFonts w:hint="default"/>
                <w:color w:val="auto"/>
                <w:highlight w:val="none"/>
              </w:rPr>
              <w:t>春季</w:t>
            </w:r>
          </w:p>
        </w:tc>
        <w:tc>
          <w:tcPr>
            <w:tcW w:w="382" w:type="pct"/>
            <w:tcBorders>
              <w:tl2br w:val="nil"/>
              <w:tr2bl w:val="nil"/>
            </w:tcBorders>
            <w:noWrap w:val="0"/>
            <w:vAlign w:val="center"/>
          </w:tcPr>
          <w:p w14:paraId="3F1CFC3A">
            <w:pPr>
              <w:pStyle w:val="563"/>
              <w:bidi w:val="0"/>
              <w:rPr>
                <w:rFonts w:hint="default"/>
                <w:color w:val="auto"/>
                <w:highlight w:val="none"/>
              </w:rPr>
            </w:pPr>
            <w:r>
              <w:rPr>
                <w:rFonts w:hint="default"/>
                <w:color w:val="auto"/>
                <w:highlight w:val="none"/>
              </w:rPr>
              <w:t>1.6</w:t>
            </w:r>
          </w:p>
        </w:tc>
        <w:tc>
          <w:tcPr>
            <w:tcW w:w="382" w:type="pct"/>
            <w:tcBorders>
              <w:tl2br w:val="nil"/>
              <w:tr2bl w:val="nil"/>
            </w:tcBorders>
            <w:noWrap w:val="0"/>
            <w:vAlign w:val="center"/>
          </w:tcPr>
          <w:p w14:paraId="399AE195">
            <w:pPr>
              <w:pStyle w:val="563"/>
              <w:bidi w:val="0"/>
              <w:rPr>
                <w:rFonts w:hint="default"/>
                <w:color w:val="auto"/>
                <w:highlight w:val="none"/>
              </w:rPr>
            </w:pPr>
            <w:r>
              <w:rPr>
                <w:rFonts w:hint="default"/>
                <w:color w:val="auto"/>
                <w:highlight w:val="none"/>
              </w:rPr>
              <w:t>1.6</w:t>
            </w:r>
          </w:p>
        </w:tc>
        <w:tc>
          <w:tcPr>
            <w:tcW w:w="382" w:type="pct"/>
            <w:tcBorders>
              <w:tl2br w:val="nil"/>
              <w:tr2bl w:val="nil"/>
            </w:tcBorders>
            <w:noWrap w:val="0"/>
            <w:vAlign w:val="center"/>
          </w:tcPr>
          <w:p w14:paraId="2684FF81">
            <w:pPr>
              <w:pStyle w:val="563"/>
              <w:bidi w:val="0"/>
              <w:rPr>
                <w:rFonts w:hint="default"/>
                <w:color w:val="auto"/>
                <w:highlight w:val="none"/>
              </w:rPr>
            </w:pPr>
            <w:r>
              <w:rPr>
                <w:rFonts w:hint="default"/>
                <w:color w:val="auto"/>
                <w:highlight w:val="none"/>
              </w:rPr>
              <w:t>1.5</w:t>
            </w:r>
          </w:p>
        </w:tc>
        <w:tc>
          <w:tcPr>
            <w:tcW w:w="382" w:type="pct"/>
            <w:tcBorders>
              <w:tl2br w:val="nil"/>
              <w:tr2bl w:val="nil"/>
            </w:tcBorders>
            <w:noWrap w:val="0"/>
            <w:vAlign w:val="center"/>
          </w:tcPr>
          <w:p w14:paraId="7278BEC6">
            <w:pPr>
              <w:pStyle w:val="563"/>
              <w:bidi w:val="0"/>
              <w:rPr>
                <w:rFonts w:hint="default"/>
                <w:color w:val="auto"/>
                <w:highlight w:val="none"/>
              </w:rPr>
            </w:pPr>
            <w:r>
              <w:rPr>
                <w:rFonts w:hint="default"/>
                <w:color w:val="auto"/>
                <w:highlight w:val="none"/>
              </w:rPr>
              <w:t>1.6</w:t>
            </w:r>
          </w:p>
        </w:tc>
        <w:tc>
          <w:tcPr>
            <w:tcW w:w="381" w:type="pct"/>
            <w:tcBorders>
              <w:tl2br w:val="nil"/>
              <w:tr2bl w:val="nil"/>
            </w:tcBorders>
            <w:noWrap w:val="0"/>
            <w:vAlign w:val="center"/>
          </w:tcPr>
          <w:p w14:paraId="71DF5D69">
            <w:pPr>
              <w:pStyle w:val="563"/>
              <w:bidi w:val="0"/>
              <w:rPr>
                <w:rFonts w:hint="default"/>
                <w:color w:val="auto"/>
                <w:highlight w:val="none"/>
              </w:rPr>
            </w:pPr>
            <w:r>
              <w:rPr>
                <w:rFonts w:hint="default"/>
                <w:color w:val="auto"/>
                <w:highlight w:val="none"/>
              </w:rPr>
              <w:t>1.6</w:t>
            </w:r>
          </w:p>
        </w:tc>
        <w:tc>
          <w:tcPr>
            <w:tcW w:w="381" w:type="pct"/>
            <w:tcBorders>
              <w:tl2br w:val="nil"/>
              <w:tr2bl w:val="nil"/>
            </w:tcBorders>
            <w:noWrap w:val="0"/>
            <w:vAlign w:val="center"/>
          </w:tcPr>
          <w:p w14:paraId="408AC506">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167FA45B">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4271FF60">
            <w:pPr>
              <w:pStyle w:val="563"/>
              <w:bidi w:val="0"/>
              <w:rPr>
                <w:rFonts w:hint="default"/>
                <w:color w:val="auto"/>
                <w:highlight w:val="none"/>
              </w:rPr>
            </w:pPr>
            <w:r>
              <w:rPr>
                <w:rFonts w:hint="eastAsia"/>
                <w:color w:val="auto"/>
                <w:highlight w:val="none"/>
                <w:lang w:val="en-US" w:eastAsia="zh-CN"/>
              </w:rPr>
              <w:t>1</w:t>
            </w:r>
            <w:r>
              <w:rPr>
                <w:rFonts w:hint="default"/>
                <w:color w:val="auto"/>
                <w:highlight w:val="none"/>
              </w:rPr>
              <w:t>.9</w:t>
            </w:r>
          </w:p>
        </w:tc>
        <w:tc>
          <w:tcPr>
            <w:tcW w:w="381" w:type="pct"/>
            <w:tcBorders>
              <w:tl2br w:val="nil"/>
              <w:tr2bl w:val="nil"/>
            </w:tcBorders>
            <w:noWrap w:val="0"/>
            <w:vAlign w:val="center"/>
          </w:tcPr>
          <w:p w14:paraId="65291A40">
            <w:pPr>
              <w:pStyle w:val="563"/>
              <w:bidi w:val="0"/>
              <w:rPr>
                <w:rFonts w:hint="default"/>
                <w:color w:val="auto"/>
                <w:highlight w:val="none"/>
              </w:rPr>
            </w:pPr>
            <w:r>
              <w:rPr>
                <w:rFonts w:hint="default"/>
                <w:color w:val="auto"/>
                <w:highlight w:val="none"/>
              </w:rPr>
              <w:t>2.1</w:t>
            </w:r>
          </w:p>
        </w:tc>
        <w:tc>
          <w:tcPr>
            <w:tcW w:w="381" w:type="pct"/>
            <w:tcBorders>
              <w:tl2br w:val="nil"/>
              <w:tr2bl w:val="nil"/>
            </w:tcBorders>
            <w:noWrap w:val="0"/>
            <w:vAlign w:val="center"/>
          </w:tcPr>
          <w:p w14:paraId="38A3A1F6">
            <w:pPr>
              <w:pStyle w:val="563"/>
              <w:bidi w:val="0"/>
              <w:rPr>
                <w:rFonts w:hint="default"/>
                <w:color w:val="auto"/>
                <w:highlight w:val="none"/>
              </w:rPr>
            </w:pPr>
            <w:r>
              <w:rPr>
                <w:rFonts w:hint="default"/>
                <w:color w:val="auto"/>
                <w:highlight w:val="none"/>
              </w:rPr>
              <w:t>2.2</w:t>
            </w:r>
          </w:p>
        </w:tc>
        <w:tc>
          <w:tcPr>
            <w:tcW w:w="381" w:type="pct"/>
            <w:tcBorders>
              <w:tl2br w:val="nil"/>
              <w:tr2bl w:val="nil"/>
            </w:tcBorders>
            <w:noWrap w:val="0"/>
            <w:vAlign w:val="center"/>
          </w:tcPr>
          <w:p w14:paraId="492A4817">
            <w:pPr>
              <w:pStyle w:val="563"/>
              <w:bidi w:val="0"/>
              <w:rPr>
                <w:rFonts w:hint="default"/>
                <w:color w:val="auto"/>
                <w:highlight w:val="none"/>
              </w:rPr>
            </w:pPr>
            <w:r>
              <w:rPr>
                <w:rFonts w:hint="default"/>
                <w:color w:val="auto"/>
                <w:highlight w:val="none"/>
              </w:rPr>
              <w:t>2.3</w:t>
            </w:r>
          </w:p>
        </w:tc>
        <w:tc>
          <w:tcPr>
            <w:tcW w:w="381" w:type="pct"/>
            <w:tcBorders>
              <w:tl2br w:val="nil"/>
              <w:tr2bl w:val="nil"/>
            </w:tcBorders>
            <w:noWrap w:val="0"/>
            <w:vAlign w:val="center"/>
          </w:tcPr>
          <w:p w14:paraId="238072D7">
            <w:pPr>
              <w:pStyle w:val="563"/>
              <w:bidi w:val="0"/>
              <w:rPr>
                <w:rFonts w:hint="default"/>
                <w:color w:val="auto"/>
                <w:highlight w:val="none"/>
              </w:rPr>
            </w:pPr>
            <w:r>
              <w:rPr>
                <w:rFonts w:hint="default"/>
                <w:color w:val="auto"/>
                <w:highlight w:val="none"/>
              </w:rPr>
              <w:t>2.4</w:t>
            </w:r>
          </w:p>
        </w:tc>
      </w:tr>
      <w:tr w14:paraId="5C4E90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43D83620">
            <w:pPr>
              <w:pStyle w:val="563"/>
              <w:bidi w:val="0"/>
              <w:rPr>
                <w:rFonts w:hint="default"/>
                <w:color w:val="auto"/>
                <w:highlight w:val="none"/>
              </w:rPr>
            </w:pPr>
            <w:r>
              <w:rPr>
                <w:rFonts w:hint="default"/>
                <w:color w:val="auto"/>
                <w:highlight w:val="none"/>
              </w:rPr>
              <w:t>夏季</w:t>
            </w:r>
          </w:p>
        </w:tc>
        <w:tc>
          <w:tcPr>
            <w:tcW w:w="382" w:type="pct"/>
            <w:tcBorders>
              <w:tl2br w:val="nil"/>
              <w:tr2bl w:val="nil"/>
            </w:tcBorders>
            <w:noWrap w:val="0"/>
            <w:vAlign w:val="center"/>
          </w:tcPr>
          <w:p w14:paraId="70973086">
            <w:pPr>
              <w:pStyle w:val="563"/>
              <w:bidi w:val="0"/>
              <w:rPr>
                <w:rFonts w:hint="default"/>
                <w:color w:val="auto"/>
                <w:highlight w:val="none"/>
              </w:rPr>
            </w:pPr>
            <w:r>
              <w:rPr>
                <w:rFonts w:hint="default"/>
                <w:color w:val="auto"/>
                <w:highlight w:val="none"/>
              </w:rPr>
              <w:t>1.4</w:t>
            </w:r>
          </w:p>
        </w:tc>
        <w:tc>
          <w:tcPr>
            <w:tcW w:w="382" w:type="pct"/>
            <w:tcBorders>
              <w:tl2br w:val="nil"/>
              <w:tr2bl w:val="nil"/>
            </w:tcBorders>
            <w:noWrap w:val="0"/>
            <w:vAlign w:val="center"/>
          </w:tcPr>
          <w:p w14:paraId="565A7D76">
            <w:pPr>
              <w:pStyle w:val="563"/>
              <w:bidi w:val="0"/>
              <w:rPr>
                <w:rFonts w:hint="default"/>
                <w:color w:val="auto"/>
                <w:highlight w:val="none"/>
              </w:rPr>
            </w:pPr>
            <w:r>
              <w:rPr>
                <w:rFonts w:hint="default"/>
                <w:color w:val="auto"/>
                <w:highlight w:val="none"/>
              </w:rPr>
              <w:t>1.3</w:t>
            </w:r>
          </w:p>
        </w:tc>
        <w:tc>
          <w:tcPr>
            <w:tcW w:w="382" w:type="pct"/>
            <w:tcBorders>
              <w:tl2br w:val="nil"/>
              <w:tr2bl w:val="nil"/>
            </w:tcBorders>
            <w:noWrap w:val="0"/>
            <w:vAlign w:val="center"/>
          </w:tcPr>
          <w:p w14:paraId="41286004">
            <w:pPr>
              <w:pStyle w:val="563"/>
              <w:bidi w:val="0"/>
              <w:rPr>
                <w:rFonts w:hint="default"/>
                <w:color w:val="auto"/>
                <w:highlight w:val="none"/>
              </w:rPr>
            </w:pPr>
            <w:r>
              <w:rPr>
                <w:rFonts w:hint="default"/>
                <w:color w:val="auto"/>
                <w:highlight w:val="none"/>
              </w:rPr>
              <w:t>1.4</w:t>
            </w:r>
          </w:p>
        </w:tc>
        <w:tc>
          <w:tcPr>
            <w:tcW w:w="382" w:type="pct"/>
            <w:tcBorders>
              <w:tl2br w:val="nil"/>
              <w:tr2bl w:val="nil"/>
            </w:tcBorders>
            <w:noWrap w:val="0"/>
            <w:vAlign w:val="center"/>
          </w:tcPr>
          <w:p w14:paraId="41F49B8E">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09263B46">
            <w:pPr>
              <w:pStyle w:val="563"/>
              <w:bidi w:val="0"/>
              <w:rPr>
                <w:rFonts w:hint="default"/>
                <w:color w:val="auto"/>
                <w:highlight w:val="none"/>
              </w:rPr>
            </w:pPr>
            <w:r>
              <w:rPr>
                <w:rFonts w:hint="default"/>
                <w:color w:val="auto"/>
                <w:highlight w:val="none"/>
              </w:rPr>
              <w:t>1.4</w:t>
            </w:r>
          </w:p>
        </w:tc>
        <w:tc>
          <w:tcPr>
            <w:tcW w:w="381" w:type="pct"/>
            <w:tcBorders>
              <w:tl2br w:val="nil"/>
              <w:tr2bl w:val="nil"/>
            </w:tcBorders>
            <w:noWrap w:val="0"/>
            <w:vAlign w:val="center"/>
          </w:tcPr>
          <w:p w14:paraId="2D54735A">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15A25FD3">
            <w:pPr>
              <w:pStyle w:val="563"/>
              <w:bidi w:val="0"/>
              <w:rPr>
                <w:rFonts w:hint="default"/>
                <w:color w:val="auto"/>
                <w:highlight w:val="none"/>
              </w:rPr>
            </w:pPr>
            <w:r>
              <w:rPr>
                <w:rFonts w:hint="default"/>
                <w:color w:val="auto"/>
                <w:highlight w:val="none"/>
              </w:rPr>
              <w:t>1.5</w:t>
            </w:r>
          </w:p>
        </w:tc>
        <w:tc>
          <w:tcPr>
            <w:tcW w:w="381" w:type="pct"/>
            <w:tcBorders>
              <w:tl2br w:val="nil"/>
              <w:tr2bl w:val="nil"/>
            </w:tcBorders>
            <w:noWrap w:val="0"/>
            <w:vAlign w:val="center"/>
          </w:tcPr>
          <w:p w14:paraId="26C8FE64">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4BE39C67">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2BD13388">
            <w:pPr>
              <w:pStyle w:val="563"/>
              <w:bidi w:val="0"/>
              <w:rPr>
                <w:rFonts w:hint="default"/>
                <w:color w:val="auto"/>
                <w:highlight w:val="none"/>
              </w:rPr>
            </w:pPr>
            <w:r>
              <w:rPr>
                <w:rFonts w:hint="default"/>
                <w:color w:val="auto"/>
                <w:highlight w:val="none"/>
              </w:rPr>
              <w:t>1.9</w:t>
            </w:r>
          </w:p>
        </w:tc>
        <w:tc>
          <w:tcPr>
            <w:tcW w:w="381" w:type="pct"/>
            <w:tcBorders>
              <w:tl2br w:val="nil"/>
              <w:tr2bl w:val="nil"/>
            </w:tcBorders>
            <w:noWrap w:val="0"/>
            <w:vAlign w:val="center"/>
          </w:tcPr>
          <w:p w14:paraId="04EF040C">
            <w:pPr>
              <w:pStyle w:val="563"/>
              <w:bidi w:val="0"/>
              <w:rPr>
                <w:rFonts w:hint="default"/>
                <w:color w:val="auto"/>
                <w:highlight w:val="none"/>
              </w:rPr>
            </w:pPr>
            <w:r>
              <w:rPr>
                <w:rFonts w:hint="default"/>
                <w:color w:val="auto"/>
                <w:highlight w:val="none"/>
              </w:rPr>
              <w:t>1.9</w:t>
            </w:r>
          </w:p>
        </w:tc>
        <w:tc>
          <w:tcPr>
            <w:tcW w:w="381" w:type="pct"/>
            <w:tcBorders>
              <w:tl2br w:val="nil"/>
              <w:tr2bl w:val="nil"/>
            </w:tcBorders>
            <w:noWrap w:val="0"/>
            <w:vAlign w:val="center"/>
          </w:tcPr>
          <w:p w14:paraId="06B66D4A">
            <w:pPr>
              <w:pStyle w:val="563"/>
              <w:bidi w:val="0"/>
              <w:rPr>
                <w:rFonts w:hint="default"/>
                <w:color w:val="auto"/>
                <w:highlight w:val="none"/>
              </w:rPr>
            </w:pPr>
            <w:r>
              <w:rPr>
                <w:rFonts w:hint="default"/>
                <w:color w:val="auto"/>
                <w:highlight w:val="none"/>
              </w:rPr>
              <w:t>2.0</w:t>
            </w:r>
          </w:p>
        </w:tc>
      </w:tr>
      <w:tr w14:paraId="0E8574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449E04AB">
            <w:pPr>
              <w:pStyle w:val="563"/>
              <w:bidi w:val="0"/>
              <w:rPr>
                <w:rFonts w:hint="default"/>
                <w:color w:val="auto"/>
                <w:highlight w:val="none"/>
              </w:rPr>
            </w:pPr>
            <w:r>
              <w:rPr>
                <w:rFonts w:hint="default"/>
                <w:color w:val="auto"/>
                <w:highlight w:val="none"/>
              </w:rPr>
              <w:t>秋季</w:t>
            </w:r>
          </w:p>
        </w:tc>
        <w:tc>
          <w:tcPr>
            <w:tcW w:w="382" w:type="pct"/>
            <w:tcBorders>
              <w:tl2br w:val="nil"/>
              <w:tr2bl w:val="nil"/>
            </w:tcBorders>
            <w:noWrap w:val="0"/>
            <w:vAlign w:val="center"/>
          </w:tcPr>
          <w:p w14:paraId="00204919">
            <w:pPr>
              <w:pStyle w:val="563"/>
              <w:bidi w:val="0"/>
              <w:rPr>
                <w:rFonts w:hint="default"/>
                <w:color w:val="auto"/>
                <w:highlight w:val="none"/>
              </w:rPr>
            </w:pPr>
            <w:r>
              <w:rPr>
                <w:rFonts w:hint="default"/>
                <w:color w:val="auto"/>
                <w:highlight w:val="none"/>
              </w:rPr>
              <w:t>1.0</w:t>
            </w:r>
          </w:p>
        </w:tc>
        <w:tc>
          <w:tcPr>
            <w:tcW w:w="382" w:type="pct"/>
            <w:tcBorders>
              <w:tl2br w:val="nil"/>
              <w:tr2bl w:val="nil"/>
            </w:tcBorders>
            <w:noWrap w:val="0"/>
            <w:vAlign w:val="center"/>
          </w:tcPr>
          <w:p w14:paraId="4256B346">
            <w:pPr>
              <w:pStyle w:val="563"/>
              <w:bidi w:val="0"/>
              <w:rPr>
                <w:rFonts w:hint="default"/>
                <w:color w:val="auto"/>
                <w:highlight w:val="none"/>
              </w:rPr>
            </w:pPr>
            <w:r>
              <w:rPr>
                <w:rFonts w:hint="default"/>
                <w:color w:val="auto"/>
                <w:highlight w:val="none"/>
              </w:rPr>
              <w:t>1.0</w:t>
            </w:r>
          </w:p>
        </w:tc>
        <w:tc>
          <w:tcPr>
            <w:tcW w:w="382" w:type="pct"/>
            <w:tcBorders>
              <w:tl2br w:val="nil"/>
              <w:tr2bl w:val="nil"/>
            </w:tcBorders>
            <w:noWrap w:val="0"/>
            <w:vAlign w:val="center"/>
          </w:tcPr>
          <w:p w14:paraId="1365435A">
            <w:pPr>
              <w:pStyle w:val="563"/>
              <w:bidi w:val="0"/>
              <w:rPr>
                <w:rFonts w:hint="default"/>
                <w:color w:val="auto"/>
                <w:highlight w:val="none"/>
              </w:rPr>
            </w:pPr>
            <w:r>
              <w:rPr>
                <w:rFonts w:hint="default"/>
                <w:color w:val="auto"/>
                <w:highlight w:val="none"/>
              </w:rPr>
              <w:t>1.0</w:t>
            </w:r>
          </w:p>
        </w:tc>
        <w:tc>
          <w:tcPr>
            <w:tcW w:w="382" w:type="pct"/>
            <w:tcBorders>
              <w:tl2br w:val="nil"/>
              <w:tr2bl w:val="nil"/>
            </w:tcBorders>
            <w:noWrap w:val="0"/>
            <w:vAlign w:val="center"/>
          </w:tcPr>
          <w:p w14:paraId="6042EB5F">
            <w:pPr>
              <w:pStyle w:val="563"/>
              <w:bidi w:val="0"/>
              <w:rPr>
                <w:rFonts w:hint="default"/>
                <w:color w:val="auto"/>
                <w:highlight w:val="none"/>
              </w:rPr>
            </w:pPr>
            <w:r>
              <w:rPr>
                <w:rFonts w:hint="default"/>
                <w:color w:val="auto"/>
                <w:highlight w:val="none"/>
              </w:rPr>
              <w:t>0.9</w:t>
            </w:r>
          </w:p>
        </w:tc>
        <w:tc>
          <w:tcPr>
            <w:tcW w:w="381" w:type="pct"/>
            <w:tcBorders>
              <w:tl2br w:val="nil"/>
              <w:tr2bl w:val="nil"/>
            </w:tcBorders>
            <w:noWrap w:val="0"/>
            <w:vAlign w:val="center"/>
          </w:tcPr>
          <w:p w14:paraId="796E4BA4">
            <w:pPr>
              <w:pStyle w:val="563"/>
              <w:bidi w:val="0"/>
              <w:rPr>
                <w:rFonts w:hint="default"/>
                <w:color w:val="auto"/>
                <w:highlight w:val="none"/>
              </w:rPr>
            </w:pPr>
            <w:r>
              <w:rPr>
                <w:rFonts w:hint="default"/>
                <w:color w:val="auto"/>
                <w:highlight w:val="none"/>
              </w:rPr>
              <w:t>1.0</w:t>
            </w:r>
          </w:p>
        </w:tc>
        <w:tc>
          <w:tcPr>
            <w:tcW w:w="381" w:type="pct"/>
            <w:tcBorders>
              <w:tl2br w:val="nil"/>
              <w:tr2bl w:val="nil"/>
            </w:tcBorders>
            <w:noWrap w:val="0"/>
            <w:vAlign w:val="center"/>
          </w:tcPr>
          <w:p w14:paraId="34566A88">
            <w:pPr>
              <w:pStyle w:val="563"/>
              <w:bidi w:val="0"/>
              <w:rPr>
                <w:rFonts w:hint="default"/>
                <w:color w:val="auto"/>
                <w:highlight w:val="none"/>
              </w:rPr>
            </w:pPr>
            <w:r>
              <w:rPr>
                <w:rFonts w:hint="default"/>
                <w:color w:val="auto"/>
                <w:highlight w:val="none"/>
              </w:rPr>
              <w:t>0.9</w:t>
            </w:r>
          </w:p>
        </w:tc>
        <w:tc>
          <w:tcPr>
            <w:tcW w:w="381" w:type="pct"/>
            <w:tcBorders>
              <w:tl2br w:val="nil"/>
              <w:tr2bl w:val="nil"/>
            </w:tcBorders>
            <w:noWrap w:val="0"/>
            <w:vAlign w:val="center"/>
          </w:tcPr>
          <w:p w14:paraId="5D3B44F5">
            <w:pPr>
              <w:pStyle w:val="563"/>
              <w:bidi w:val="0"/>
              <w:rPr>
                <w:rFonts w:hint="default"/>
                <w:color w:val="auto"/>
                <w:highlight w:val="none"/>
              </w:rPr>
            </w:pPr>
            <w:r>
              <w:rPr>
                <w:rFonts w:hint="default"/>
                <w:color w:val="auto"/>
                <w:highlight w:val="none"/>
              </w:rPr>
              <w:t>1.0</w:t>
            </w:r>
          </w:p>
        </w:tc>
        <w:tc>
          <w:tcPr>
            <w:tcW w:w="381" w:type="pct"/>
            <w:tcBorders>
              <w:tl2br w:val="nil"/>
              <w:tr2bl w:val="nil"/>
            </w:tcBorders>
            <w:noWrap w:val="0"/>
            <w:vAlign w:val="center"/>
          </w:tcPr>
          <w:p w14:paraId="59EDED8B">
            <w:pPr>
              <w:pStyle w:val="563"/>
              <w:bidi w:val="0"/>
              <w:rPr>
                <w:rFonts w:hint="default"/>
                <w:color w:val="auto"/>
                <w:highlight w:val="none"/>
              </w:rPr>
            </w:pPr>
            <w:r>
              <w:rPr>
                <w:rFonts w:hint="default"/>
                <w:color w:val="auto"/>
                <w:highlight w:val="none"/>
              </w:rPr>
              <w:t>1.1</w:t>
            </w:r>
          </w:p>
        </w:tc>
        <w:tc>
          <w:tcPr>
            <w:tcW w:w="381" w:type="pct"/>
            <w:tcBorders>
              <w:tl2br w:val="nil"/>
              <w:tr2bl w:val="nil"/>
            </w:tcBorders>
            <w:noWrap w:val="0"/>
            <w:vAlign w:val="center"/>
          </w:tcPr>
          <w:p w14:paraId="37CE2712">
            <w:pPr>
              <w:pStyle w:val="563"/>
              <w:bidi w:val="0"/>
              <w:rPr>
                <w:rFonts w:hint="default"/>
                <w:color w:val="auto"/>
                <w:highlight w:val="none"/>
              </w:rPr>
            </w:pPr>
            <w:r>
              <w:rPr>
                <w:rFonts w:hint="default"/>
                <w:color w:val="auto"/>
                <w:highlight w:val="none"/>
              </w:rPr>
              <w:t>1.4</w:t>
            </w:r>
          </w:p>
        </w:tc>
        <w:tc>
          <w:tcPr>
            <w:tcW w:w="381" w:type="pct"/>
            <w:tcBorders>
              <w:tl2br w:val="nil"/>
              <w:tr2bl w:val="nil"/>
            </w:tcBorders>
            <w:noWrap w:val="0"/>
            <w:vAlign w:val="center"/>
          </w:tcPr>
          <w:p w14:paraId="120777A7">
            <w:pPr>
              <w:pStyle w:val="563"/>
              <w:bidi w:val="0"/>
              <w:rPr>
                <w:rFonts w:hint="default"/>
                <w:color w:val="auto"/>
                <w:highlight w:val="none"/>
              </w:rPr>
            </w:pPr>
            <w:r>
              <w:rPr>
                <w:rFonts w:hint="default"/>
                <w:color w:val="auto"/>
                <w:highlight w:val="none"/>
              </w:rPr>
              <w:t>1.5</w:t>
            </w:r>
          </w:p>
        </w:tc>
        <w:tc>
          <w:tcPr>
            <w:tcW w:w="381" w:type="pct"/>
            <w:tcBorders>
              <w:tl2br w:val="nil"/>
              <w:tr2bl w:val="nil"/>
            </w:tcBorders>
            <w:noWrap w:val="0"/>
            <w:vAlign w:val="center"/>
          </w:tcPr>
          <w:p w14:paraId="4BC7FD9F">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0B99E4DD">
            <w:pPr>
              <w:pStyle w:val="563"/>
              <w:bidi w:val="0"/>
              <w:rPr>
                <w:rFonts w:hint="default"/>
                <w:color w:val="auto"/>
                <w:highlight w:val="none"/>
              </w:rPr>
            </w:pPr>
            <w:r>
              <w:rPr>
                <w:rFonts w:hint="default"/>
                <w:color w:val="auto"/>
                <w:highlight w:val="none"/>
              </w:rPr>
              <w:t>1.5</w:t>
            </w:r>
          </w:p>
        </w:tc>
      </w:tr>
      <w:tr w14:paraId="2304D5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616D1823">
            <w:pPr>
              <w:pStyle w:val="563"/>
              <w:bidi w:val="0"/>
              <w:rPr>
                <w:rFonts w:hint="default"/>
                <w:color w:val="auto"/>
                <w:highlight w:val="none"/>
              </w:rPr>
            </w:pPr>
            <w:r>
              <w:rPr>
                <w:rFonts w:hint="default"/>
                <w:color w:val="auto"/>
                <w:highlight w:val="none"/>
              </w:rPr>
              <w:t>冬季</w:t>
            </w:r>
          </w:p>
        </w:tc>
        <w:tc>
          <w:tcPr>
            <w:tcW w:w="382" w:type="pct"/>
            <w:tcBorders>
              <w:tl2br w:val="nil"/>
              <w:tr2bl w:val="nil"/>
            </w:tcBorders>
            <w:noWrap w:val="0"/>
            <w:vAlign w:val="center"/>
          </w:tcPr>
          <w:p w14:paraId="4674D127">
            <w:pPr>
              <w:pStyle w:val="563"/>
              <w:bidi w:val="0"/>
              <w:rPr>
                <w:rFonts w:hint="default"/>
                <w:color w:val="auto"/>
                <w:highlight w:val="none"/>
              </w:rPr>
            </w:pPr>
            <w:r>
              <w:rPr>
                <w:rFonts w:hint="default"/>
                <w:color w:val="auto"/>
                <w:highlight w:val="none"/>
              </w:rPr>
              <w:t>1.2</w:t>
            </w:r>
          </w:p>
        </w:tc>
        <w:tc>
          <w:tcPr>
            <w:tcW w:w="382" w:type="pct"/>
            <w:tcBorders>
              <w:tl2br w:val="nil"/>
              <w:tr2bl w:val="nil"/>
            </w:tcBorders>
            <w:noWrap w:val="0"/>
            <w:vAlign w:val="center"/>
          </w:tcPr>
          <w:p w14:paraId="5DD38F4E">
            <w:pPr>
              <w:pStyle w:val="563"/>
              <w:bidi w:val="0"/>
              <w:rPr>
                <w:rFonts w:hint="default"/>
                <w:color w:val="auto"/>
                <w:highlight w:val="none"/>
              </w:rPr>
            </w:pPr>
            <w:r>
              <w:rPr>
                <w:rFonts w:hint="default"/>
                <w:color w:val="auto"/>
                <w:highlight w:val="none"/>
              </w:rPr>
              <w:t>1.3</w:t>
            </w:r>
          </w:p>
        </w:tc>
        <w:tc>
          <w:tcPr>
            <w:tcW w:w="382" w:type="pct"/>
            <w:tcBorders>
              <w:tl2br w:val="nil"/>
              <w:tr2bl w:val="nil"/>
            </w:tcBorders>
            <w:noWrap w:val="0"/>
            <w:vAlign w:val="center"/>
          </w:tcPr>
          <w:p w14:paraId="7ECC6A4F">
            <w:pPr>
              <w:pStyle w:val="563"/>
              <w:bidi w:val="0"/>
              <w:rPr>
                <w:rFonts w:hint="default"/>
                <w:color w:val="auto"/>
                <w:highlight w:val="none"/>
              </w:rPr>
            </w:pPr>
            <w:r>
              <w:rPr>
                <w:rFonts w:hint="default"/>
                <w:color w:val="auto"/>
                <w:highlight w:val="none"/>
              </w:rPr>
              <w:t>1.2</w:t>
            </w:r>
          </w:p>
        </w:tc>
        <w:tc>
          <w:tcPr>
            <w:tcW w:w="382" w:type="pct"/>
            <w:tcBorders>
              <w:tl2br w:val="nil"/>
              <w:tr2bl w:val="nil"/>
            </w:tcBorders>
            <w:noWrap w:val="0"/>
            <w:vAlign w:val="center"/>
          </w:tcPr>
          <w:p w14:paraId="09A2DEBD">
            <w:pPr>
              <w:pStyle w:val="563"/>
              <w:bidi w:val="0"/>
              <w:rPr>
                <w:rFonts w:hint="default"/>
                <w:color w:val="auto"/>
                <w:highlight w:val="none"/>
              </w:rPr>
            </w:pPr>
            <w:r>
              <w:rPr>
                <w:rFonts w:hint="default"/>
                <w:color w:val="auto"/>
                <w:highlight w:val="none"/>
              </w:rPr>
              <w:t>1.2</w:t>
            </w:r>
          </w:p>
        </w:tc>
        <w:tc>
          <w:tcPr>
            <w:tcW w:w="381" w:type="pct"/>
            <w:tcBorders>
              <w:tl2br w:val="nil"/>
              <w:tr2bl w:val="nil"/>
            </w:tcBorders>
            <w:noWrap w:val="0"/>
            <w:vAlign w:val="center"/>
          </w:tcPr>
          <w:p w14:paraId="7F018022">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2CBB1902">
            <w:pPr>
              <w:pStyle w:val="563"/>
              <w:bidi w:val="0"/>
              <w:rPr>
                <w:rFonts w:hint="default"/>
                <w:color w:val="auto"/>
                <w:highlight w:val="none"/>
              </w:rPr>
            </w:pPr>
            <w:r>
              <w:rPr>
                <w:rFonts w:hint="default"/>
                <w:color w:val="auto"/>
                <w:highlight w:val="none"/>
              </w:rPr>
              <w:t>1.2</w:t>
            </w:r>
          </w:p>
        </w:tc>
        <w:tc>
          <w:tcPr>
            <w:tcW w:w="381" w:type="pct"/>
            <w:tcBorders>
              <w:tl2br w:val="nil"/>
              <w:tr2bl w:val="nil"/>
            </w:tcBorders>
            <w:noWrap w:val="0"/>
            <w:vAlign w:val="center"/>
          </w:tcPr>
          <w:p w14:paraId="04958431">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6332E5A8">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7ABF195C">
            <w:pPr>
              <w:pStyle w:val="563"/>
              <w:bidi w:val="0"/>
              <w:rPr>
                <w:rFonts w:hint="default"/>
                <w:color w:val="auto"/>
                <w:highlight w:val="none"/>
              </w:rPr>
            </w:pPr>
            <w:r>
              <w:rPr>
                <w:rFonts w:hint="default"/>
                <w:color w:val="auto"/>
                <w:highlight w:val="none"/>
              </w:rPr>
              <w:t>1.4</w:t>
            </w:r>
          </w:p>
        </w:tc>
        <w:tc>
          <w:tcPr>
            <w:tcW w:w="381" w:type="pct"/>
            <w:tcBorders>
              <w:tl2br w:val="nil"/>
              <w:tr2bl w:val="nil"/>
            </w:tcBorders>
            <w:noWrap w:val="0"/>
            <w:vAlign w:val="center"/>
          </w:tcPr>
          <w:p w14:paraId="0EBB352D">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3D9699EC">
            <w:pPr>
              <w:pStyle w:val="563"/>
              <w:bidi w:val="0"/>
              <w:rPr>
                <w:rFonts w:hint="default"/>
                <w:color w:val="auto"/>
                <w:highlight w:val="none"/>
              </w:rPr>
            </w:pPr>
            <w:r>
              <w:rPr>
                <w:rFonts w:hint="default"/>
                <w:color w:val="auto"/>
                <w:highlight w:val="none"/>
              </w:rPr>
              <w:t>1.5</w:t>
            </w:r>
          </w:p>
        </w:tc>
        <w:tc>
          <w:tcPr>
            <w:tcW w:w="381" w:type="pct"/>
            <w:tcBorders>
              <w:tl2br w:val="nil"/>
              <w:tr2bl w:val="nil"/>
            </w:tcBorders>
            <w:noWrap w:val="0"/>
            <w:vAlign w:val="center"/>
          </w:tcPr>
          <w:p w14:paraId="65EB96CE">
            <w:pPr>
              <w:pStyle w:val="563"/>
              <w:bidi w:val="0"/>
              <w:rPr>
                <w:rFonts w:hint="default"/>
                <w:color w:val="auto"/>
                <w:highlight w:val="none"/>
              </w:rPr>
            </w:pPr>
            <w:r>
              <w:rPr>
                <w:rFonts w:hint="default"/>
                <w:color w:val="auto"/>
                <w:highlight w:val="none"/>
              </w:rPr>
              <w:t>1.6</w:t>
            </w:r>
          </w:p>
        </w:tc>
      </w:tr>
      <w:tr w14:paraId="1B282C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5E089F2B">
            <w:pPr>
              <w:pStyle w:val="563"/>
              <w:bidi w:val="0"/>
              <w:rPr>
                <w:rFonts w:hint="default"/>
                <w:color w:val="auto"/>
                <w:highlight w:val="none"/>
              </w:rPr>
            </w:pPr>
            <w:r>
              <w:rPr>
                <w:rFonts w:hint="default"/>
                <w:color w:val="auto"/>
                <w:highlight w:val="none"/>
              </w:rPr>
              <w:t>小时</w:t>
            </w:r>
          </w:p>
        </w:tc>
        <w:tc>
          <w:tcPr>
            <w:tcW w:w="382" w:type="pct"/>
            <w:tcBorders>
              <w:tl2br w:val="nil"/>
              <w:tr2bl w:val="nil"/>
            </w:tcBorders>
            <w:noWrap w:val="0"/>
            <w:vAlign w:val="center"/>
          </w:tcPr>
          <w:p w14:paraId="7C250EEA">
            <w:pPr>
              <w:pStyle w:val="563"/>
              <w:bidi w:val="0"/>
              <w:rPr>
                <w:rFonts w:hint="default"/>
                <w:color w:val="auto"/>
                <w:highlight w:val="none"/>
              </w:rPr>
            </w:pPr>
            <w:r>
              <w:rPr>
                <w:rFonts w:hint="default"/>
                <w:color w:val="auto"/>
                <w:highlight w:val="none"/>
              </w:rPr>
              <w:t>13</w:t>
            </w:r>
          </w:p>
        </w:tc>
        <w:tc>
          <w:tcPr>
            <w:tcW w:w="382" w:type="pct"/>
            <w:tcBorders>
              <w:tl2br w:val="nil"/>
              <w:tr2bl w:val="nil"/>
            </w:tcBorders>
            <w:noWrap w:val="0"/>
            <w:vAlign w:val="center"/>
          </w:tcPr>
          <w:p w14:paraId="29A37EC1">
            <w:pPr>
              <w:pStyle w:val="563"/>
              <w:bidi w:val="0"/>
              <w:rPr>
                <w:rFonts w:hint="default"/>
                <w:color w:val="auto"/>
                <w:highlight w:val="none"/>
              </w:rPr>
            </w:pPr>
            <w:r>
              <w:rPr>
                <w:rFonts w:hint="default"/>
                <w:color w:val="auto"/>
                <w:highlight w:val="none"/>
              </w:rPr>
              <w:t>14</w:t>
            </w:r>
          </w:p>
        </w:tc>
        <w:tc>
          <w:tcPr>
            <w:tcW w:w="382" w:type="pct"/>
            <w:tcBorders>
              <w:tl2br w:val="nil"/>
              <w:tr2bl w:val="nil"/>
            </w:tcBorders>
            <w:noWrap w:val="0"/>
            <w:vAlign w:val="center"/>
          </w:tcPr>
          <w:p w14:paraId="7B29536F">
            <w:pPr>
              <w:pStyle w:val="563"/>
              <w:bidi w:val="0"/>
              <w:rPr>
                <w:rFonts w:hint="default"/>
                <w:color w:val="auto"/>
                <w:highlight w:val="none"/>
              </w:rPr>
            </w:pPr>
            <w:r>
              <w:rPr>
                <w:rFonts w:hint="default"/>
                <w:color w:val="auto"/>
                <w:highlight w:val="none"/>
              </w:rPr>
              <w:t>15</w:t>
            </w:r>
          </w:p>
        </w:tc>
        <w:tc>
          <w:tcPr>
            <w:tcW w:w="382" w:type="pct"/>
            <w:tcBorders>
              <w:tl2br w:val="nil"/>
              <w:tr2bl w:val="nil"/>
            </w:tcBorders>
            <w:noWrap w:val="0"/>
            <w:vAlign w:val="center"/>
          </w:tcPr>
          <w:p w14:paraId="3D473FE0">
            <w:pPr>
              <w:pStyle w:val="563"/>
              <w:bidi w:val="0"/>
              <w:rPr>
                <w:rFonts w:hint="default"/>
                <w:color w:val="auto"/>
                <w:highlight w:val="none"/>
              </w:rPr>
            </w:pPr>
            <w:r>
              <w:rPr>
                <w:rFonts w:hint="default"/>
                <w:color w:val="auto"/>
                <w:highlight w:val="none"/>
              </w:rPr>
              <w:t>16</w:t>
            </w:r>
          </w:p>
        </w:tc>
        <w:tc>
          <w:tcPr>
            <w:tcW w:w="381" w:type="pct"/>
            <w:tcBorders>
              <w:tl2br w:val="nil"/>
              <w:tr2bl w:val="nil"/>
            </w:tcBorders>
            <w:noWrap w:val="0"/>
            <w:vAlign w:val="center"/>
          </w:tcPr>
          <w:p w14:paraId="56EEBF13">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3933E878">
            <w:pPr>
              <w:pStyle w:val="563"/>
              <w:bidi w:val="0"/>
              <w:rPr>
                <w:rFonts w:hint="default"/>
                <w:color w:val="auto"/>
                <w:highlight w:val="none"/>
              </w:rPr>
            </w:pPr>
            <w:r>
              <w:rPr>
                <w:rFonts w:hint="default"/>
                <w:color w:val="auto"/>
                <w:highlight w:val="none"/>
              </w:rPr>
              <w:t>18</w:t>
            </w:r>
          </w:p>
        </w:tc>
        <w:tc>
          <w:tcPr>
            <w:tcW w:w="381" w:type="pct"/>
            <w:tcBorders>
              <w:tl2br w:val="nil"/>
              <w:tr2bl w:val="nil"/>
            </w:tcBorders>
            <w:noWrap w:val="0"/>
            <w:vAlign w:val="center"/>
          </w:tcPr>
          <w:p w14:paraId="787D0D1A">
            <w:pPr>
              <w:pStyle w:val="563"/>
              <w:bidi w:val="0"/>
              <w:rPr>
                <w:rFonts w:hint="default"/>
                <w:color w:val="auto"/>
                <w:highlight w:val="none"/>
              </w:rPr>
            </w:pPr>
            <w:r>
              <w:rPr>
                <w:rFonts w:hint="default"/>
                <w:color w:val="auto"/>
                <w:highlight w:val="none"/>
              </w:rPr>
              <w:t>19</w:t>
            </w:r>
          </w:p>
        </w:tc>
        <w:tc>
          <w:tcPr>
            <w:tcW w:w="381" w:type="pct"/>
            <w:tcBorders>
              <w:tl2br w:val="nil"/>
              <w:tr2bl w:val="nil"/>
            </w:tcBorders>
            <w:noWrap w:val="0"/>
            <w:vAlign w:val="center"/>
          </w:tcPr>
          <w:p w14:paraId="2CC59C53">
            <w:pPr>
              <w:pStyle w:val="563"/>
              <w:bidi w:val="0"/>
              <w:rPr>
                <w:rFonts w:hint="default"/>
                <w:color w:val="auto"/>
                <w:highlight w:val="none"/>
              </w:rPr>
            </w:pPr>
            <w:r>
              <w:rPr>
                <w:rFonts w:hint="default"/>
                <w:color w:val="auto"/>
                <w:highlight w:val="none"/>
              </w:rPr>
              <w:t>20</w:t>
            </w:r>
          </w:p>
        </w:tc>
        <w:tc>
          <w:tcPr>
            <w:tcW w:w="381" w:type="pct"/>
            <w:tcBorders>
              <w:tl2br w:val="nil"/>
              <w:tr2bl w:val="nil"/>
            </w:tcBorders>
            <w:noWrap w:val="0"/>
            <w:vAlign w:val="center"/>
          </w:tcPr>
          <w:p w14:paraId="324DB2EF">
            <w:pPr>
              <w:pStyle w:val="563"/>
              <w:bidi w:val="0"/>
              <w:rPr>
                <w:rFonts w:hint="default"/>
                <w:color w:val="auto"/>
                <w:highlight w:val="none"/>
              </w:rPr>
            </w:pPr>
            <w:r>
              <w:rPr>
                <w:rFonts w:hint="default"/>
                <w:color w:val="auto"/>
                <w:highlight w:val="none"/>
              </w:rPr>
              <w:t>21</w:t>
            </w:r>
          </w:p>
        </w:tc>
        <w:tc>
          <w:tcPr>
            <w:tcW w:w="381" w:type="pct"/>
            <w:tcBorders>
              <w:tl2br w:val="nil"/>
              <w:tr2bl w:val="nil"/>
            </w:tcBorders>
            <w:noWrap w:val="0"/>
            <w:vAlign w:val="center"/>
          </w:tcPr>
          <w:p w14:paraId="35F905C9">
            <w:pPr>
              <w:pStyle w:val="563"/>
              <w:bidi w:val="0"/>
              <w:rPr>
                <w:rFonts w:hint="default"/>
                <w:color w:val="auto"/>
                <w:highlight w:val="none"/>
              </w:rPr>
            </w:pPr>
            <w:r>
              <w:rPr>
                <w:rFonts w:hint="default"/>
                <w:color w:val="auto"/>
                <w:highlight w:val="none"/>
              </w:rPr>
              <w:t>22</w:t>
            </w:r>
          </w:p>
        </w:tc>
        <w:tc>
          <w:tcPr>
            <w:tcW w:w="381" w:type="pct"/>
            <w:tcBorders>
              <w:tl2br w:val="nil"/>
              <w:tr2bl w:val="nil"/>
            </w:tcBorders>
            <w:noWrap w:val="0"/>
            <w:vAlign w:val="center"/>
          </w:tcPr>
          <w:p w14:paraId="5E8B846D">
            <w:pPr>
              <w:pStyle w:val="563"/>
              <w:bidi w:val="0"/>
              <w:rPr>
                <w:rFonts w:hint="default"/>
                <w:color w:val="auto"/>
                <w:highlight w:val="none"/>
              </w:rPr>
            </w:pPr>
            <w:r>
              <w:rPr>
                <w:rFonts w:hint="default"/>
                <w:color w:val="auto"/>
                <w:highlight w:val="none"/>
              </w:rPr>
              <w:t>23</w:t>
            </w:r>
          </w:p>
        </w:tc>
        <w:tc>
          <w:tcPr>
            <w:tcW w:w="381" w:type="pct"/>
            <w:tcBorders>
              <w:tl2br w:val="nil"/>
              <w:tr2bl w:val="nil"/>
            </w:tcBorders>
            <w:noWrap w:val="0"/>
            <w:vAlign w:val="center"/>
          </w:tcPr>
          <w:p w14:paraId="7BA7CF12">
            <w:pPr>
              <w:pStyle w:val="563"/>
              <w:bidi w:val="0"/>
              <w:rPr>
                <w:rFonts w:hint="default"/>
                <w:color w:val="auto"/>
                <w:highlight w:val="none"/>
              </w:rPr>
            </w:pPr>
            <w:r>
              <w:rPr>
                <w:rFonts w:hint="default"/>
                <w:color w:val="auto"/>
                <w:highlight w:val="none"/>
              </w:rPr>
              <w:t>24</w:t>
            </w:r>
          </w:p>
        </w:tc>
      </w:tr>
      <w:tr w14:paraId="071F9F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60DA00ED">
            <w:pPr>
              <w:pStyle w:val="563"/>
              <w:bidi w:val="0"/>
              <w:rPr>
                <w:rFonts w:hint="default"/>
                <w:color w:val="auto"/>
                <w:highlight w:val="none"/>
              </w:rPr>
            </w:pPr>
            <w:r>
              <w:rPr>
                <w:rFonts w:hint="default"/>
                <w:color w:val="auto"/>
                <w:highlight w:val="none"/>
              </w:rPr>
              <w:t>春季</w:t>
            </w:r>
          </w:p>
        </w:tc>
        <w:tc>
          <w:tcPr>
            <w:tcW w:w="382" w:type="pct"/>
            <w:tcBorders>
              <w:tl2br w:val="nil"/>
              <w:tr2bl w:val="nil"/>
            </w:tcBorders>
            <w:noWrap w:val="0"/>
            <w:vAlign w:val="center"/>
          </w:tcPr>
          <w:p w14:paraId="23CE351E">
            <w:pPr>
              <w:pStyle w:val="563"/>
              <w:bidi w:val="0"/>
              <w:rPr>
                <w:rFonts w:hint="default"/>
                <w:color w:val="auto"/>
                <w:highlight w:val="none"/>
              </w:rPr>
            </w:pPr>
            <w:r>
              <w:rPr>
                <w:rFonts w:hint="default"/>
                <w:color w:val="auto"/>
                <w:highlight w:val="none"/>
              </w:rPr>
              <w:t>2.4</w:t>
            </w:r>
          </w:p>
        </w:tc>
        <w:tc>
          <w:tcPr>
            <w:tcW w:w="382" w:type="pct"/>
            <w:tcBorders>
              <w:tl2br w:val="nil"/>
              <w:tr2bl w:val="nil"/>
            </w:tcBorders>
            <w:noWrap w:val="0"/>
            <w:vAlign w:val="center"/>
          </w:tcPr>
          <w:p w14:paraId="22C8403D">
            <w:pPr>
              <w:pStyle w:val="563"/>
              <w:bidi w:val="0"/>
              <w:rPr>
                <w:rFonts w:hint="default"/>
                <w:color w:val="auto"/>
                <w:highlight w:val="none"/>
              </w:rPr>
            </w:pPr>
            <w:r>
              <w:rPr>
                <w:rFonts w:hint="default"/>
                <w:color w:val="auto"/>
                <w:highlight w:val="none"/>
              </w:rPr>
              <w:t>2.4</w:t>
            </w:r>
          </w:p>
        </w:tc>
        <w:tc>
          <w:tcPr>
            <w:tcW w:w="382" w:type="pct"/>
            <w:tcBorders>
              <w:tl2br w:val="nil"/>
              <w:tr2bl w:val="nil"/>
            </w:tcBorders>
            <w:noWrap w:val="0"/>
            <w:vAlign w:val="center"/>
          </w:tcPr>
          <w:p w14:paraId="730C8C26">
            <w:pPr>
              <w:pStyle w:val="563"/>
              <w:bidi w:val="0"/>
              <w:rPr>
                <w:rFonts w:hint="default"/>
                <w:color w:val="auto"/>
                <w:highlight w:val="none"/>
              </w:rPr>
            </w:pPr>
            <w:r>
              <w:rPr>
                <w:rFonts w:hint="default"/>
                <w:color w:val="auto"/>
                <w:highlight w:val="none"/>
              </w:rPr>
              <w:t>2.4</w:t>
            </w:r>
          </w:p>
        </w:tc>
        <w:tc>
          <w:tcPr>
            <w:tcW w:w="382" w:type="pct"/>
            <w:tcBorders>
              <w:tl2br w:val="nil"/>
              <w:tr2bl w:val="nil"/>
            </w:tcBorders>
            <w:noWrap w:val="0"/>
            <w:vAlign w:val="center"/>
          </w:tcPr>
          <w:p w14:paraId="43BC8504">
            <w:pPr>
              <w:pStyle w:val="563"/>
              <w:bidi w:val="0"/>
              <w:rPr>
                <w:rFonts w:hint="default"/>
                <w:color w:val="auto"/>
                <w:highlight w:val="none"/>
              </w:rPr>
            </w:pPr>
            <w:r>
              <w:rPr>
                <w:rFonts w:hint="default"/>
                <w:color w:val="auto"/>
                <w:highlight w:val="none"/>
              </w:rPr>
              <w:t>2.3</w:t>
            </w:r>
          </w:p>
        </w:tc>
        <w:tc>
          <w:tcPr>
            <w:tcW w:w="381" w:type="pct"/>
            <w:tcBorders>
              <w:tl2br w:val="nil"/>
              <w:tr2bl w:val="nil"/>
            </w:tcBorders>
            <w:noWrap w:val="0"/>
            <w:vAlign w:val="center"/>
          </w:tcPr>
          <w:p w14:paraId="40F4D992">
            <w:pPr>
              <w:pStyle w:val="563"/>
              <w:bidi w:val="0"/>
              <w:rPr>
                <w:rFonts w:hint="default"/>
                <w:color w:val="auto"/>
                <w:highlight w:val="none"/>
              </w:rPr>
            </w:pPr>
            <w:r>
              <w:rPr>
                <w:rFonts w:hint="default"/>
                <w:color w:val="auto"/>
                <w:highlight w:val="none"/>
              </w:rPr>
              <w:t>2.2</w:t>
            </w:r>
          </w:p>
        </w:tc>
        <w:tc>
          <w:tcPr>
            <w:tcW w:w="381" w:type="pct"/>
            <w:tcBorders>
              <w:tl2br w:val="nil"/>
              <w:tr2bl w:val="nil"/>
            </w:tcBorders>
            <w:noWrap w:val="0"/>
            <w:vAlign w:val="center"/>
          </w:tcPr>
          <w:p w14:paraId="469A6996">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622A2FA9">
            <w:pPr>
              <w:pStyle w:val="563"/>
              <w:bidi w:val="0"/>
              <w:rPr>
                <w:rFonts w:hint="default"/>
                <w:color w:val="auto"/>
                <w:highlight w:val="none"/>
              </w:rPr>
            </w:pPr>
            <w:r>
              <w:rPr>
                <w:rFonts w:hint="default"/>
                <w:color w:val="auto"/>
                <w:highlight w:val="none"/>
              </w:rPr>
              <w:t>1.5</w:t>
            </w:r>
          </w:p>
        </w:tc>
        <w:tc>
          <w:tcPr>
            <w:tcW w:w="381" w:type="pct"/>
            <w:tcBorders>
              <w:tl2br w:val="nil"/>
              <w:tr2bl w:val="nil"/>
            </w:tcBorders>
            <w:noWrap w:val="0"/>
            <w:vAlign w:val="center"/>
          </w:tcPr>
          <w:p w14:paraId="3F213736">
            <w:pPr>
              <w:pStyle w:val="563"/>
              <w:bidi w:val="0"/>
              <w:rPr>
                <w:rFonts w:hint="default"/>
                <w:color w:val="auto"/>
                <w:highlight w:val="none"/>
              </w:rPr>
            </w:pPr>
            <w:r>
              <w:rPr>
                <w:rFonts w:hint="default"/>
                <w:color w:val="auto"/>
                <w:highlight w:val="none"/>
              </w:rPr>
              <w:t>1.6</w:t>
            </w:r>
          </w:p>
        </w:tc>
        <w:tc>
          <w:tcPr>
            <w:tcW w:w="381" w:type="pct"/>
            <w:tcBorders>
              <w:tl2br w:val="nil"/>
              <w:tr2bl w:val="nil"/>
            </w:tcBorders>
            <w:noWrap w:val="0"/>
            <w:vAlign w:val="center"/>
          </w:tcPr>
          <w:p w14:paraId="67939C6B">
            <w:pPr>
              <w:pStyle w:val="563"/>
              <w:bidi w:val="0"/>
              <w:rPr>
                <w:rFonts w:hint="default"/>
                <w:color w:val="auto"/>
                <w:highlight w:val="none"/>
              </w:rPr>
            </w:pPr>
            <w:r>
              <w:rPr>
                <w:rFonts w:hint="default"/>
                <w:color w:val="auto"/>
                <w:highlight w:val="none"/>
              </w:rPr>
              <w:t>1.5</w:t>
            </w:r>
          </w:p>
        </w:tc>
        <w:tc>
          <w:tcPr>
            <w:tcW w:w="381" w:type="pct"/>
            <w:tcBorders>
              <w:tl2br w:val="nil"/>
              <w:tr2bl w:val="nil"/>
            </w:tcBorders>
            <w:noWrap w:val="0"/>
            <w:vAlign w:val="center"/>
          </w:tcPr>
          <w:p w14:paraId="6349EA8E">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2B9283E8">
            <w:pPr>
              <w:pStyle w:val="563"/>
              <w:bidi w:val="0"/>
              <w:rPr>
                <w:rFonts w:hint="default"/>
                <w:color w:val="auto"/>
                <w:highlight w:val="none"/>
              </w:rPr>
            </w:pPr>
            <w:r>
              <w:rPr>
                <w:rFonts w:hint="default"/>
                <w:color w:val="auto"/>
                <w:highlight w:val="none"/>
              </w:rPr>
              <w:t>1.6</w:t>
            </w:r>
          </w:p>
        </w:tc>
        <w:tc>
          <w:tcPr>
            <w:tcW w:w="381" w:type="pct"/>
            <w:tcBorders>
              <w:tl2br w:val="nil"/>
              <w:tr2bl w:val="nil"/>
            </w:tcBorders>
            <w:noWrap w:val="0"/>
            <w:vAlign w:val="center"/>
          </w:tcPr>
          <w:p w14:paraId="19860816">
            <w:pPr>
              <w:pStyle w:val="563"/>
              <w:bidi w:val="0"/>
              <w:rPr>
                <w:rFonts w:hint="default"/>
                <w:color w:val="auto"/>
                <w:highlight w:val="none"/>
              </w:rPr>
            </w:pPr>
            <w:r>
              <w:rPr>
                <w:rFonts w:hint="default"/>
                <w:color w:val="auto"/>
                <w:highlight w:val="none"/>
              </w:rPr>
              <w:t>1.6</w:t>
            </w:r>
          </w:p>
        </w:tc>
      </w:tr>
      <w:tr w14:paraId="68B926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33A4AE7D">
            <w:pPr>
              <w:pStyle w:val="563"/>
              <w:bidi w:val="0"/>
              <w:rPr>
                <w:rFonts w:hint="default"/>
                <w:color w:val="auto"/>
                <w:highlight w:val="none"/>
              </w:rPr>
            </w:pPr>
            <w:r>
              <w:rPr>
                <w:rFonts w:hint="default"/>
                <w:color w:val="auto"/>
                <w:highlight w:val="none"/>
              </w:rPr>
              <w:t>夏季</w:t>
            </w:r>
          </w:p>
        </w:tc>
        <w:tc>
          <w:tcPr>
            <w:tcW w:w="382" w:type="pct"/>
            <w:tcBorders>
              <w:tl2br w:val="nil"/>
              <w:tr2bl w:val="nil"/>
            </w:tcBorders>
            <w:noWrap w:val="0"/>
            <w:vAlign w:val="center"/>
          </w:tcPr>
          <w:p w14:paraId="51D1A213">
            <w:pPr>
              <w:pStyle w:val="563"/>
              <w:bidi w:val="0"/>
              <w:rPr>
                <w:rFonts w:hint="default"/>
                <w:color w:val="auto"/>
                <w:highlight w:val="none"/>
              </w:rPr>
            </w:pPr>
            <w:r>
              <w:rPr>
                <w:rFonts w:hint="default"/>
                <w:color w:val="auto"/>
                <w:highlight w:val="none"/>
              </w:rPr>
              <w:t>2.1</w:t>
            </w:r>
          </w:p>
        </w:tc>
        <w:tc>
          <w:tcPr>
            <w:tcW w:w="382" w:type="pct"/>
            <w:tcBorders>
              <w:tl2br w:val="nil"/>
              <w:tr2bl w:val="nil"/>
            </w:tcBorders>
            <w:noWrap w:val="0"/>
            <w:vAlign w:val="center"/>
          </w:tcPr>
          <w:p w14:paraId="18607C78">
            <w:pPr>
              <w:pStyle w:val="563"/>
              <w:bidi w:val="0"/>
              <w:rPr>
                <w:rFonts w:hint="default"/>
                <w:color w:val="auto"/>
                <w:highlight w:val="none"/>
              </w:rPr>
            </w:pPr>
            <w:r>
              <w:rPr>
                <w:rFonts w:hint="default"/>
                <w:color w:val="auto"/>
                <w:highlight w:val="none"/>
              </w:rPr>
              <w:t>2.1</w:t>
            </w:r>
          </w:p>
        </w:tc>
        <w:tc>
          <w:tcPr>
            <w:tcW w:w="382" w:type="pct"/>
            <w:tcBorders>
              <w:tl2br w:val="nil"/>
              <w:tr2bl w:val="nil"/>
            </w:tcBorders>
            <w:noWrap w:val="0"/>
            <w:vAlign w:val="center"/>
          </w:tcPr>
          <w:p w14:paraId="2E83E61B">
            <w:pPr>
              <w:pStyle w:val="563"/>
              <w:bidi w:val="0"/>
              <w:rPr>
                <w:rFonts w:hint="default"/>
                <w:color w:val="auto"/>
                <w:highlight w:val="none"/>
              </w:rPr>
            </w:pPr>
            <w:r>
              <w:rPr>
                <w:rFonts w:hint="default"/>
                <w:color w:val="auto"/>
                <w:highlight w:val="none"/>
              </w:rPr>
              <w:t>2.0</w:t>
            </w:r>
          </w:p>
        </w:tc>
        <w:tc>
          <w:tcPr>
            <w:tcW w:w="382" w:type="pct"/>
            <w:tcBorders>
              <w:tl2br w:val="nil"/>
              <w:tr2bl w:val="nil"/>
            </w:tcBorders>
            <w:noWrap w:val="0"/>
            <w:vAlign w:val="center"/>
          </w:tcPr>
          <w:p w14:paraId="6ED29F2F">
            <w:pPr>
              <w:pStyle w:val="563"/>
              <w:bidi w:val="0"/>
              <w:rPr>
                <w:rFonts w:hint="default"/>
                <w:color w:val="auto"/>
                <w:highlight w:val="none"/>
              </w:rPr>
            </w:pPr>
            <w:r>
              <w:rPr>
                <w:rFonts w:hint="default"/>
                <w:color w:val="auto"/>
                <w:highlight w:val="none"/>
              </w:rPr>
              <w:t>1.9</w:t>
            </w:r>
          </w:p>
        </w:tc>
        <w:tc>
          <w:tcPr>
            <w:tcW w:w="381" w:type="pct"/>
            <w:tcBorders>
              <w:tl2br w:val="nil"/>
              <w:tr2bl w:val="nil"/>
            </w:tcBorders>
            <w:noWrap w:val="0"/>
            <w:vAlign w:val="center"/>
          </w:tcPr>
          <w:p w14:paraId="605B2848">
            <w:pPr>
              <w:pStyle w:val="563"/>
              <w:bidi w:val="0"/>
              <w:rPr>
                <w:rFonts w:hint="default"/>
                <w:color w:val="auto"/>
                <w:highlight w:val="none"/>
              </w:rPr>
            </w:pPr>
            <w:r>
              <w:rPr>
                <w:rFonts w:hint="default"/>
                <w:color w:val="auto"/>
                <w:highlight w:val="none"/>
              </w:rPr>
              <w:t>1.9</w:t>
            </w:r>
          </w:p>
        </w:tc>
        <w:tc>
          <w:tcPr>
            <w:tcW w:w="381" w:type="pct"/>
            <w:tcBorders>
              <w:tl2br w:val="nil"/>
              <w:tr2bl w:val="nil"/>
            </w:tcBorders>
            <w:noWrap w:val="0"/>
            <w:vAlign w:val="center"/>
          </w:tcPr>
          <w:p w14:paraId="0B2B54CF">
            <w:pPr>
              <w:pStyle w:val="563"/>
              <w:bidi w:val="0"/>
              <w:rPr>
                <w:rFonts w:hint="default"/>
                <w:color w:val="auto"/>
                <w:highlight w:val="none"/>
              </w:rPr>
            </w:pPr>
            <w:r>
              <w:rPr>
                <w:rFonts w:hint="default"/>
                <w:color w:val="auto"/>
                <w:highlight w:val="none"/>
              </w:rPr>
              <w:t>1.9</w:t>
            </w:r>
          </w:p>
        </w:tc>
        <w:tc>
          <w:tcPr>
            <w:tcW w:w="381" w:type="pct"/>
            <w:tcBorders>
              <w:tl2br w:val="nil"/>
              <w:tr2bl w:val="nil"/>
            </w:tcBorders>
            <w:noWrap w:val="0"/>
            <w:vAlign w:val="center"/>
          </w:tcPr>
          <w:p w14:paraId="091C48F5">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2F445679">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5C8C8944">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39EC5479">
            <w:pPr>
              <w:pStyle w:val="563"/>
              <w:bidi w:val="0"/>
              <w:rPr>
                <w:rFonts w:hint="default"/>
                <w:color w:val="auto"/>
                <w:highlight w:val="none"/>
              </w:rPr>
            </w:pPr>
            <w:r>
              <w:rPr>
                <w:rFonts w:hint="default"/>
                <w:color w:val="auto"/>
                <w:highlight w:val="none"/>
              </w:rPr>
              <w:t>1.5</w:t>
            </w:r>
          </w:p>
        </w:tc>
        <w:tc>
          <w:tcPr>
            <w:tcW w:w="381" w:type="pct"/>
            <w:tcBorders>
              <w:tl2br w:val="nil"/>
              <w:tr2bl w:val="nil"/>
            </w:tcBorders>
            <w:noWrap w:val="0"/>
            <w:vAlign w:val="center"/>
          </w:tcPr>
          <w:p w14:paraId="1D377C70">
            <w:pPr>
              <w:pStyle w:val="563"/>
              <w:bidi w:val="0"/>
              <w:rPr>
                <w:rFonts w:hint="default"/>
                <w:color w:val="auto"/>
                <w:highlight w:val="none"/>
              </w:rPr>
            </w:pPr>
            <w:r>
              <w:rPr>
                <w:rFonts w:hint="default"/>
                <w:color w:val="auto"/>
                <w:highlight w:val="none"/>
              </w:rPr>
              <w:t>1.7</w:t>
            </w:r>
          </w:p>
        </w:tc>
        <w:tc>
          <w:tcPr>
            <w:tcW w:w="381" w:type="pct"/>
            <w:tcBorders>
              <w:tl2br w:val="nil"/>
              <w:tr2bl w:val="nil"/>
            </w:tcBorders>
            <w:noWrap w:val="0"/>
            <w:vAlign w:val="center"/>
          </w:tcPr>
          <w:p w14:paraId="7257B07C">
            <w:pPr>
              <w:pStyle w:val="563"/>
              <w:bidi w:val="0"/>
              <w:rPr>
                <w:rFonts w:hint="default"/>
                <w:color w:val="auto"/>
                <w:highlight w:val="none"/>
              </w:rPr>
            </w:pPr>
            <w:r>
              <w:rPr>
                <w:rFonts w:hint="default"/>
                <w:color w:val="auto"/>
                <w:highlight w:val="none"/>
              </w:rPr>
              <w:t>1.5</w:t>
            </w:r>
          </w:p>
        </w:tc>
      </w:tr>
      <w:tr w14:paraId="4A2F70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0701E9ED">
            <w:pPr>
              <w:pStyle w:val="563"/>
              <w:bidi w:val="0"/>
              <w:rPr>
                <w:rFonts w:hint="default"/>
                <w:color w:val="auto"/>
                <w:highlight w:val="none"/>
              </w:rPr>
            </w:pPr>
            <w:r>
              <w:rPr>
                <w:rFonts w:hint="default"/>
                <w:color w:val="auto"/>
                <w:highlight w:val="none"/>
              </w:rPr>
              <w:t>秋季</w:t>
            </w:r>
          </w:p>
        </w:tc>
        <w:tc>
          <w:tcPr>
            <w:tcW w:w="382" w:type="pct"/>
            <w:tcBorders>
              <w:tl2br w:val="nil"/>
              <w:tr2bl w:val="nil"/>
            </w:tcBorders>
            <w:noWrap w:val="0"/>
            <w:vAlign w:val="center"/>
          </w:tcPr>
          <w:p w14:paraId="2F52B04D">
            <w:pPr>
              <w:pStyle w:val="563"/>
              <w:bidi w:val="0"/>
              <w:rPr>
                <w:rFonts w:hint="default"/>
                <w:color w:val="auto"/>
                <w:highlight w:val="none"/>
              </w:rPr>
            </w:pPr>
            <w:r>
              <w:rPr>
                <w:rFonts w:hint="default"/>
                <w:color w:val="auto"/>
                <w:highlight w:val="none"/>
              </w:rPr>
              <w:t>1.4</w:t>
            </w:r>
          </w:p>
        </w:tc>
        <w:tc>
          <w:tcPr>
            <w:tcW w:w="382" w:type="pct"/>
            <w:tcBorders>
              <w:tl2br w:val="nil"/>
              <w:tr2bl w:val="nil"/>
            </w:tcBorders>
            <w:noWrap w:val="0"/>
            <w:vAlign w:val="center"/>
          </w:tcPr>
          <w:p w14:paraId="4D6C12EF">
            <w:pPr>
              <w:pStyle w:val="563"/>
              <w:bidi w:val="0"/>
              <w:rPr>
                <w:rFonts w:hint="default"/>
                <w:color w:val="auto"/>
                <w:highlight w:val="none"/>
              </w:rPr>
            </w:pPr>
            <w:r>
              <w:rPr>
                <w:rFonts w:hint="default"/>
                <w:color w:val="auto"/>
                <w:highlight w:val="none"/>
              </w:rPr>
              <w:t>1.5</w:t>
            </w:r>
          </w:p>
        </w:tc>
        <w:tc>
          <w:tcPr>
            <w:tcW w:w="382" w:type="pct"/>
            <w:tcBorders>
              <w:tl2br w:val="nil"/>
              <w:tr2bl w:val="nil"/>
            </w:tcBorders>
            <w:noWrap w:val="0"/>
            <w:vAlign w:val="center"/>
          </w:tcPr>
          <w:p w14:paraId="07686808">
            <w:pPr>
              <w:pStyle w:val="563"/>
              <w:bidi w:val="0"/>
              <w:rPr>
                <w:rFonts w:hint="default"/>
                <w:color w:val="auto"/>
                <w:highlight w:val="none"/>
              </w:rPr>
            </w:pPr>
            <w:r>
              <w:rPr>
                <w:rFonts w:hint="default"/>
                <w:color w:val="auto"/>
                <w:highlight w:val="none"/>
              </w:rPr>
              <w:t>1.6</w:t>
            </w:r>
          </w:p>
        </w:tc>
        <w:tc>
          <w:tcPr>
            <w:tcW w:w="382" w:type="pct"/>
            <w:tcBorders>
              <w:tl2br w:val="nil"/>
              <w:tr2bl w:val="nil"/>
            </w:tcBorders>
            <w:noWrap w:val="0"/>
            <w:vAlign w:val="center"/>
          </w:tcPr>
          <w:p w14:paraId="14D49AB1">
            <w:pPr>
              <w:pStyle w:val="563"/>
              <w:bidi w:val="0"/>
              <w:rPr>
                <w:rFonts w:hint="default"/>
                <w:color w:val="auto"/>
                <w:highlight w:val="none"/>
              </w:rPr>
            </w:pPr>
            <w:r>
              <w:rPr>
                <w:rFonts w:hint="default"/>
                <w:color w:val="auto"/>
                <w:highlight w:val="none"/>
              </w:rPr>
              <w:t>1.4</w:t>
            </w:r>
          </w:p>
        </w:tc>
        <w:tc>
          <w:tcPr>
            <w:tcW w:w="381" w:type="pct"/>
            <w:tcBorders>
              <w:tl2br w:val="nil"/>
              <w:tr2bl w:val="nil"/>
            </w:tcBorders>
            <w:noWrap w:val="0"/>
            <w:vAlign w:val="center"/>
          </w:tcPr>
          <w:p w14:paraId="24BB2191">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4D2D5734">
            <w:pPr>
              <w:pStyle w:val="563"/>
              <w:bidi w:val="0"/>
              <w:rPr>
                <w:rFonts w:hint="default"/>
                <w:color w:val="auto"/>
                <w:highlight w:val="none"/>
              </w:rPr>
            </w:pPr>
            <w:r>
              <w:rPr>
                <w:rFonts w:hint="default"/>
                <w:color w:val="auto"/>
                <w:highlight w:val="none"/>
              </w:rPr>
              <w:t>1.2</w:t>
            </w:r>
          </w:p>
        </w:tc>
        <w:tc>
          <w:tcPr>
            <w:tcW w:w="381" w:type="pct"/>
            <w:tcBorders>
              <w:tl2br w:val="nil"/>
              <w:tr2bl w:val="nil"/>
            </w:tcBorders>
            <w:noWrap w:val="0"/>
            <w:vAlign w:val="center"/>
          </w:tcPr>
          <w:p w14:paraId="4D058FCE">
            <w:pPr>
              <w:pStyle w:val="563"/>
              <w:bidi w:val="0"/>
              <w:rPr>
                <w:rFonts w:hint="default"/>
                <w:color w:val="auto"/>
                <w:highlight w:val="none"/>
              </w:rPr>
            </w:pPr>
            <w:r>
              <w:rPr>
                <w:rFonts w:hint="default"/>
                <w:color w:val="auto"/>
                <w:highlight w:val="none"/>
              </w:rPr>
              <w:t>1.1</w:t>
            </w:r>
          </w:p>
        </w:tc>
        <w:tc>
          <w:tcPr>
            <w:tcW w:w="381" w:type="pct"/>
            <w:tcBorders>
              <w:tl2br w:val="nil"/>
              <w:tr2bl w:val="nil"/>
            </w:tcBorders>
            <w:noWrap w:val="0"/>
            <w:vAlign w:val="center"/>
          </w:tcPr>
          <w:p w14:paraId="4B8D0C82">
            <w:pPr>
              <w:pStyle w:val="563"/>
              <w:bidi w:val="0"/>
              <w:rPr>
                <w:rFonts w:hint="default"/>
                <w:color w:val="auto"/>
                <w:highlight w:val="none"/>
              </w:rPr>
            </w:pPr>
            <w:r>
              <w:rPr>
                <w:rFonts w:hint="default"/>
                <w:color w:val="auto"/>
                <w:highlight w:val="none"/>
              </w:rPr>
              <w:t>1.1</w:t>
            </w:r>
          </w:p>
        </w:tc>
        <w:tc>
          <w:tcPr>
            <w:tcW w:w="381" w:type="pct"/>
            <w:tcBorders>
              <w:tl2br w:val="nil"/>
              <w:tr2bl w:val="nil"/>
            </w:tcBorders>
            <w:noWrap w:val="0"/>
            <w:vAlign w:val="center"/>
          </w:tcPr>
          <w:p w14:paraId="54F5A3C9">
            <w:pPr>
              <w:pStyle w:val="563"/>
              <w:bidi w:val="0"/>
              <w:rPr>
                <w:rFonts w:hint="default"/>
                <w:color w:val="auto"/>
                <w:highlight w:val="none"/>
              </w:rPr>
            </w:pPr>
            <w:r>
              <w:rPr>
                <w:rFonts w:hint="default"/>
                <w:color w:val="auto"/>
                <w:highlight w:val="none"/>
              </w:rPr>
              <w:t>1.2</w:t>
            </w:r>
          </w:p>
        </w:tc>
        <w:tc>
          <w:tcPr>
            <w:tcW w:w="381" w:type="pct"/>
            <w:tcBorders>
              <w:tl2br w:val="nil"/>
              <w:tr2bl w:val="nil"/>
            </w:tcBorders>
            <w:noWrap w:val="0"/>
            <w:vAlign w:val="center"/>
          </w:tcPr>
          <w:p w14:paraId="0D82F2B5">
            <w:pPr>
              <w:pStyle w:val="563"/>
              <w:bidi w:val="0"/>
              <w:rPr>
                <w:rFonts w:hint="default"/>
                <w:color w:val="auto"/>
                <w:highlight w:val="none"/>
              </w:rPr>
            </w:pPr>
            <w:r>
              <w:rPr>
                <w:rFonts w:hint="default"/>
                <w:color w:val="auto"/>
                <w:highlight w:val="none"/>
              </w:rPr>
              <w:t>1.0</w:t>
            </w:r>
          </w:p>
        </w:tc>
        <w:tc>
          <w:tcPr>
            <w:tcW w:w="381" w:type="pct"/>
            <w:tcBorders>
              <w:tl2br w:val="nil"/>
              <w:tr2bl w:val="nil"/>
            </w:tcBorders>
            <w:noWrap w:val="0"/>
            <w:vAlign w:val="center"/>
          </w:tcPr>
          <w:p w14:paraId="709E48D7">
            <w:pPr>
              <w:pStyle w:val="563"/>
              <w:bidi w:val="0"/>
              <w:rPr>
                <w:rFonts w:hint="default"/>
                <w:color w:val="auto"/>
                <w:highlight w:val="none"/>
              </w:rPr>
            </w:pPr>
            <w:r>
              <w:rPr>
                <w:rFonts w:hint="default"/>
                <w:color w:val="auto"/>
                <w:highlight w:val="none"/>
              </w:rPr>
              <w:t>1.0</w:t>
            </w:r>
          </w:p>
        </w:tc>
        <w:tc>
          <w:tcPr>
            <w:tcW w:w="381" w:type="pct"/>
            <w:tcBorders>
              <w:tl2br w:val="nil"/>
              <w:tr2bl w:val="nil"/>
            </w:tcBorders>
            <w:noWrap w:val="0"/>
            <w:vAlign w:val="center"/>
          </w:tcPr>
          <w:p w14:paraId="3BE6172C">
            <w:pPr>
              <w:pStyle w:val="563"/>
              <w:bidi w:val="0"/>
              <w:rPr>
                <w:rFonts w:hint="default"/>
                <w:color w:val="auto"/>
                <w:highlight w:val="none"/>
              </w:rPr>
            </w:pPr>
            <w:r>
              <w:rPr>
                <w:rFonts w:hint="default"/>
                <w:color w:val="auto"/>
                <w:highlight w:val="none"/>
              </w:rPr>
              <w:t>1.1</w:t>
            </w:r>
          </w:p>
        </w:tc>
      </w:tr>
      <w:tr w14:paraId="6D233E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419" w:type="pct"/>
            <w:tcBorders>
              <w:tl2br w:val="nil"/>
              <w:tr2bl w:val="nil"/>
            </w:tcBorders>
            <w:noWrap w:val="0"/>
            <w:vAlign w:val="center"/>
          </w:tcPr>
          <w:p w14:paraId="4B3E066A">
            <w:pPr>
              <w:pStyle w:val="563"/>
              <w:bidi w:val="0"/>
              <w:rPr>
                <w:rFonts w:hint="default"/>
                <w:color w:val="auto"/>
                <w:highlight w:val="none"/>
              </w:rPr>
            </w:pPr>
            <w:r>
              <w:rPr>
                <w:rFonts w:hint="default"/>
                <w:color w:val="auto"/>
                <w:highlight w:val="none"/>
              </w:rPr>
              <w:t>冬季</w:t>
            </w:r>
          </w:p>
        </w:tc>
        <w:tc>
          <w:tcPr>
            <w:tcW w:w="382" w:type="pct"/>
            <w:tcBorders>
              <w:tl2br w:val="nil"/>
              <w:tr2bl w:val="nil"/>
            </w:tcBorders>
            <w:noWrap w:val="0"/>
            <w:vAlign w:val="center"/>
          </w:tcPr>
          <w:p w14:paraId="3496EB8A">
            <w:pPr>
              <w:pStyle w:val="563"/>
              <w:bidi w:val="0"/>
              <w:rPr>
                <w:rFonts w:hint="default"/>
                <w:color w:val="auto"/>
                <w:highlight w:val="none"/>
              </w:rPr>
            </w:pPr>
            <w:r>
              <w:rPr>
                <w:rFonts w:hint="default"/>
                <w:color w:val="auto"/>
                <w:highlight w:val="none"/>
              </w:rPr>
              <w:t>1.4</w:t>
            </w:r>
          </w:p>
        </w:tc>
        <w:tc>
          <w:tcPr>
            <w:tcW w:w="382" w:type="pct"/>
            <w:tcBorders>
              <w:tl2br w:val="nil"/>
              <w:tr2bl w:val="nil"/>
            </w:tcBorders>
            <w:noWrap w:val="0"/>
            <w:vAlign w:val="center"/>
          </w:tcPr>
          <w:p w14:paraId="103B0BE2">
            <w:pPr>
              <w:pStyle w:val="563"/>
              <w:bidi w:val="0"/>
              <w:rPr>
                <w:rFonts w:hint="default"/>
                <w:color w:val="auto"/>
                <w:highlight w:val="none"/>
              </w:rPr>
            </w:pPr>
            <w:r>
              <w:rPr>
                <w:rFonts w:hint="default"/>
                <w:color w:val="auto"/>
                <w:highlight w:val="none"/>
              </w:rPr>
              <w:t>1.5</w:t>
            </w:r>
          </w:p>
        </w:tc>
        <w:tc>
          <w:tcPr>
            <w:tcW w:w="382" w:type="pct"/>
            <w:tcBorders>
              <w:tl2br w:val="nil"/>
              <w:tr2bl w:val="nil"/>
            </w:tcBorders>
            <w:noWrap w:val="0"/>
            <w:vAlign w:val="center"/>
          </w:tcPr>
          <w:p w14:paraId="26F0CF84">
            <w:pPr>
              <w:pStyle w:val="563"/>
              <w:bidi w:val="0"/>
              <w:rPr>
                <w:rFonts w:hint="default"/>
                <w:color w:val="auto"/>
                <w:highlight w:val="none"/>
              </w:rPr>
            </w:pPr>
            <w:r>
              <w:rPr>
                <w:rFonts w:hint="default"/>
                <w:color w:val="auto"/>
                <w:highlight w:val="none"/>
              </w:rPr>
              <w:t>1.4</w:t>
            </w:r>
          </w:p>
        </w:tc>
        <w:tc>
          <w:tcPr>
            <w:tcW w:w="382" w:type="pct"/>
            <w:tcBorders>
              <w:tl2br w:val="nil"/>
              <w:tr2bl w:val="nil"/>
            </w:tcBorders>
            <w:noWrap w:val="0"/>
            <w:vAlign w:val="center"/>
          </w:tcPr>
          <w:p w14:paraId="1E5613C7">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4C357536">
            <w:pPr>
              <w:pStyle w:val="563"/>
              <w:bidi w:val="0"/>
              <w:rPr>
                <w:rFonts w:hint="default"/>
                <w:color w:val="auto"/>
                <w:highlight w:val="none"/>
              </w:rPr>
            </w:pPr>
            <w:r>
              <w:rPr>
                <w:rFonts w:hint="default"/>
                <w:color w:val="auto"/>
                <w:highlight w:val="none"/>
              </w:rPr>
              <w:t>1.2</w:t>
            </w:r>
          </w:p>
        </w:tc>
        <w:tc>
          <w:tcPr>
            <w:tcW w:w="381" w:type="pct"/>
            <w:tcBorders>
              <w:tl2br w:val="nil"/>
              <w:tr2bl w:val="nil"/>
            </w:tcBorders>
            <w:noWrap w:val="0"/>
            <w:vAlign w:val="center"/>
          </w:tcPr>
          <w:p w14:paraId="2318FCE9">
            <w:pPr>
              <w:pStyle w:val="563"/>
              <w:bidi w:val="0"/>
              <w:rPr>
                <w:rFonts w:hint="default"/>
                <w:color w:val="auto"/>
                <w:highlight w:val="none"/>
              </w:rPr>
            </w:pPr>
            <w:r>
              <w:rPr>
                <w:rFonts w:hint="default"/>
                <w:color w:val="auto"/>
                <w:highlight w:val="none"/>
              </w:rPr>
              <w:t>1.1</w:t>
            </w:r>
          </w:p>
        </w:tc>
        <w:tc>
          <w:tcPr>
            <w:tcW w:w="381" w:type="pct"/>
            <w:tcBorders>
              <w:tl2br w:val="nil"/>
              <w:tr2bl w:val="nil"/>
            </w:tcBorders>
            <w:noWrap w:val="0"/>
            <w:vAlign w:val="center"/>
          </w:tcPr>
          <w:p w14:paraId="4E15D7F5">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12221CAE">
            <w:pPr>
              <w:pStyle w:val="563"/>
              <w:bidi w:val="0"/>
              <w:rPr>
                <w:rFonts w:hint="default"/>
                <w:color w:val="auto"/>
                <w:highlight w:val="none"/>
              </w:rPr>
            </w:pPr>
            <w:r>
              <w:rPr>
                <w:rFonts w:hint="default"/>
                <w:color w:val="auto"/>
                <w:highlight w:val="none"/>
              </w:rPr>
              <w:t>1.2</w:t>
            </w:r>
          </w:p>
        </w:tc>
        <w:tc>
          <w:tcPr>
            <w:tcW w:w="381" w:type="pct"/>
            <w:tcBorders>
              <w:tl2br w:val="nil"/>
              <w:tr2bl w:val="nil"/>
            </w:tcBorders>
            <w:noWrap w:val="0"/>
            <w:vAlign w:val="center"/>
          </w:tcPr>
          <w:p w14:paraId="0F81BE27">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2D42A93D">
            <w:pPr>
              <w:pStyle w:val="563"/>
              <w:bidi w:val="0"/>
              <w:rPr>
                <w:rFonts w:hint="default"/>
                <w:color w:val="auto"/>
                <w:highlight w:val="none"/>
              </w:rPr>
            </w:pPr>
            <w:r>
              <w:rPr>
                <w:rFonts w:hint="default"/>
                <w:color w:val="auto"/>
                <w:highlight w:val="none"/>
              </w:rPr>
              <w:t>1.3</w:t>
            </w:r>
          </w:p>
        </w:tc>
        <w:tc>
          <w:tcPr>
            <w:tcW w:w="381" w:type="pct"/>
            <w:tcBorders>
              <w:tl2br w:val="nil"/>
              <w:tr2bl w:val="nil"/>
            </w:tcBorders>
            <w:noWrap w:val="0"/>
            <w:vAlign w:val="center"/>
          </w:tcPr>
          <w:p w14:paraId="09ED3E34">
            <w:pPr>
              <w:pStyle w:val="563"/>
              <w:bidi w:val="0"/>
              <w:rPr>
                <w:rFonts w:hint="default"/>
                <w:color w:val="auto"/>
                <w:highlight w:val="none"/>
              </w:rPr>
            </w:pPr>
            <w:r>
              <w:rPr>
                <w:rFonts w:hint="default"/>
                <w:color w:val="auto"/>
                <w:highlight w:val="none"/>
              </w:rPr>
              <w:t>1.2</w:t>
            </w:r>
          </w:p>
        </w:tc>
        <w:tc>
          <w:tcPr>
            <w:tcW w:w="381" w:type="pct"/>
            <w:tcBorders>
              <w:tl2br w:val="nil"/>
              <w:tr2bl w:val="nil"/>
            </w:tcBorders>
            <w:noWrap w:val="0"/>
            <w:vAlign w:val="center"/>
          </w:tcPr>
          <w:p w14:paraId="2000B526">
            <w:pPr>
              <w:pStyle w:val="563"/>
              <w:bidi w:val="0"/>
              <w:rPr>
                <w:rFonts w:hint="default"/>
                <w:color w:val="auto"/>
                <w:highlight w:val="none"/>
              </w:rPr>
            </w:pPr>
            <w:r>
              <w:rPr>
                <w:rFonts w:hint="default"/>
                <w:color w:val="auto"/>
                <w:highlight w:val="none"/>
              </w:rPr>
              <w:t>1.1</w:t>
            </w:r>
          </w:p>
        </w:tc>
      </w:tr>
    </w:tbl>
    <w:p w14:paraId="7952B650">
      <w:pPr>
        <w:pStyle w:val="224"/>
        <w:bidi w:val="0"/>
        <w:rPr>
          <w:rFonts w:hint="default"/>
          <w:color w:val="auto"/>
          <w:highlight w:val="none"/>
        </w:rPr>
      </w:pPr>
      <w:r>
        <w:rPr>
          <w:rFonts w:hint="default"/>
          <w:color w:val="auto"/>
          <w:highlight w:val="none"/>
        </w:rPr>
        <w:drawing>
          <wp:inline distT="0" distB="0" distL="114300" distR="114300">
            <wp:extent cx="4802505" cy="2465070"/>
            <wp:effectExtent l="9525" t="9525" r="26670" b="20955"/>
            <wp:docPr id="571"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236"/>
                    <pic:cNvPicPr>
                      <a:picLocks noChangeAspect="1"/>
                    </pic:cNvPicPr>
                  </pic:nvPicPr>
                  <pic:blipFill>
                    <a:blip r:embed="rId59">
                      <a:clrChange>
                        <a:clrFrom>
                          <a:srgbClr val="C0C0C0"/>
                        </a:clrFrom>
                        <a:clrTo>
                          <a:srgbClr val="C0C0C0">
                            <a:alpha val="0"/>
                          </a:srgbClr>
                        </a:clrTo>
                      </a:clrChange>
                    </a:blip>
                    <a:srcRect/>
                    <a:stretch>
                      <a:fillRect/>
                    </a:stretch>
                  </pic:blipFill>
                  <pic:spPr>
                    <a:xfrm>
                      <a:off x="0" y="0"/>
                      <a:ext cx="4802505" cy="2465070"/>
                    </a:xfrm>
                    <a:prstGeom prst="rect">
                      <a:avLst/>
                    </a:prstGeom>
                    <a:noFill/>
                    <a:ln w="6350" cap="flat" cmpd="sng">
                      <a:solidFill>
                        <a:srgbClr val="000000"/>
                      </a:solidFill>
                      <a:prstDash val="solid"/>
                      <a:miter/>
                      <a:headEnd type="none" w="med" len="med"/>
                      <a:tailEnd type="none" w="med" len="med"/>
                    </a:ln>
                  </pic:spPr>
                </pic:pic>
              </a:graphicData>
            </a:graphic>
          </wp:inline>
        </w:drawing>
      </w:r>
    </w:p>
    <w:p w14:paraId="4A354E69">
      <w:pPr>
        <w:pStyle w:val="549"/>
        <w:bidi w:val="0"/>
        <w:rPr>
          <w:rFonts w:hint="default"/>
          <w:color w:val="auto"/>
          <w:highlight w:val="none"/>
        </w:rPr>
      </w:pPr>
      <w:r>
        <w:rPr>
          <w:rFonts w:hint="default"/>
          <w:color w:val="auto"/>
          <w:highlight w:val="none"/>
        </w:rPr>
        <w:t>图</w:t>
      </w:r>
      <w:r>
        <w:rPr>
          <w:rFonts w:hint="eastAsia"/>
          <w:color w:val="auto"/>
          <w:highlight w:val="none"/>
          <w:lang w:val="en-US" w:eastAsia="zh-CN"/>
        </w:rPr>
        <w:t>5</w:t>
      </w:r>
      <w:r>
        <w:rPr>
          <w:rFonts w:hint="default"/>
          <w:color w:val="auto"/>
          <w:highlight w:val="none"/>
        </w:rPr>
        <w:t>.2-3  各季平均风速日变化</w:t>
      </w:r>
    </w:p>
    <w:p w14:paraId="24334AFC">
      <w:pPr>
        <w:bidi w:val="0"/>
        <w:rPr>
          <w:rFonts w:hint="default" w:ascii="Times New Roman" w:hAnsi="Times New Roman" w:cs="Times New Roman"/>
          <w:b/>
          <w:bCs/>
          <w:color w:val="auto"/>
          <w:sz w:val="24"/>
          <w:szCs w:val="24"/>
          <w:highlight w:val="none"/>
        </w:rPr>
      </w:pPr>
      <w:bookmarkStart w:id="380" w:name="_Toc1719"/>
      <w:bookmarkStart w:id="381" w:name="_Toc23496"/>
      <w:bookmarkStart w:id="382" w:name="_Toc4500"/>
      <w:bookmarkStart w:id="383" w:name="_Toc4382"/>
      <w:bookmarkStart w:id="384" w:name="_Toc22426"/>
      <w:bookmarkStart w:id="385" w:name="_Toc1093"/>
      <w:r>
        <w:rPr>
          <w:rFonts w:hint="default" w:ascii="Times New Roman" w:hAnsi="Times New Roman" w:cs="Times New Roman"/>
          <w:b/>
          <w:bCs/>
          <w:color w:val="auto"/>
          <w:sz w:val="24"/>
          <w:szCs w:val="24"/>
          <w:highlight w:val="none"/>
        </w:rPr>
        <w:t>（5）每月各风向风频变化</w:t>
      </w:r>
      <w:bookmarkEnd w:id="380"/>
      <w:bookmarkEnd w:id="381"/>
      <w:bookmarkEnd w:id="382"/>
      <w:bookmarkEnd w:id="383"/>
      <w:bookmarkEnd w:id="384"/>
      <w:bookmarkEnd w:id="385"/>
    </w:p>
    <w:p w14:paraId="4FC785F6">
      <w:pPr>
        <w:keepNext w:val="0"/>
        <w:keepLines w:val="0"/>
        <w:pageBreakBefore w:val="0"/>
        <w:widowControl/>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pacing w:val="0"/>
          <w:position w:val="0"/>
          <w:sz w:val="24"/>
          <w:highlight w:val="none"/>
          <w:lang w:val="en-US" w:eastAsia="zh-CN"/>
        </w:rPr>
      </w:pPr>
      <w:bookmarkStart w:id="386" w:name="_Toc5194"/>
      <w:r>
        <w:rPr>
          <w:rFonts w:hint="default" w:ascii="Times New Roman" w:hAnsi="Times New Roman" w:eastAsia="宋体" w:cs="Times New Roman"/>
          <w:color w:val="auto"/>
          <w:spacing w:val="0"/>
          <w:position w:val="0"/>
          <w:sz w:val="24"/>
          <w:highlight w:val="none"/>
          <w:lang w:val="en-US" w:eastAsia="zh-CN"/>
        </w:rPr>
        <mc:AlternateContent>
          <mc:Choice Requires="wps">
            <w:drawing>
              <wp:anchor distT="0" distB="0" distL="114300" distR="114300" simplePos="0" relativeHeight="251724800" behindDoc="0" locked="0" layoutInCell="1" allowOverlap="1">
                <wp:simplePos x="0" y="0"/>
                <wp:positionH relativeFrom="column">
                  <wp:posOffset>-7238365</wp:posOffset>
                </wp:positionH>
                <wp:positionV relativeFrom="paragraph">
                  <wp:posOffset>2536190</wp:posOffset>
                </wp:positionV>
                <wp:extent cx="2540" cy="234315"/>
                <wp:effectExtent l="36195" t="0" r="37465" b="13335"/>
                <wp:wrapNone/>
                <wp:docPr id="288" name="自选图形 965"/>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65" o:spid="_x0000_s1026" o:spt="32" type="#_x0000_t32" style="position:absolute;left:0pt;margin-left:-569.95pt;margin-top:199.7pt;height:18.45pt;width:0.2pt;z-index:251724800;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p4t+vdAAAADwEAAA8AAAAAAAAAAQAg&#10;AAAAIgAAAGRycy9kb3ducmV2LnhtbFBLAQIUABQAAAAIAIdO4kCdT4DKCQIAAPsDAAAOAAAAAAAA&#10;AAEAIAAAACwBAABkcnMvZTJvRG9jLnhtbFBLBQYAAAAABgAGAFkBAACnBQ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color w:val="auto"/>
          <w:spacing w:val="0"/>
          <w:position w:val="0"/>
          <w:sz w:val="24"/>
          <w:highlight w:val="none"/>
          <w:lang w:val="en-US" w:eastAsia="zh-CN"/>
        </w:rPr>
        <mc:AlternateContent>
          <mc:Choice Requires="wps">
            <w:drawing>
              <wp:anchor distT="0" distB="0" distL="114300" distR="114300" simplePos="0" relativeHeight="251725824" behindDoc="0" locked="0" layoutInCell="1" allowOverlap="1">
                <wp:simplePos x="0" y="0"/>
                <wp:positionH relativeFrom="column">
                  <wp:posOffset>-7238365</wp:posOffset>
                </wp:positionH>
                <wp:positionV relativeFrom="paragraph">
                  <wp:posOffset>2536190</wp:posOffset>
                </wp:positionV>
                <wp:extent cx="2540" cy="234315"/>
                <wp:effectExtent l="36195" t="0" r="37465" b="13335"/>
                <wp:wrapNone/>
                <wp:docPr id="289" name="自选图形 963"/>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63" o:spid="_x0000_s1026" o:spt="32" type="#_x0000_t32" style="position:absolute;left:0pt;margin-left:-569.95pt;margin-top:199.7pt;height:18.45pt;width:0.2pt;z-index:251725824;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qeLfr3QAAAA8BAAAPAAAAAAAAAAEAIAAA&#10;ACIAAABkcnMvZG93bnJldi54bWxQSwECFAAUAAAACACHTuJAJbSvvAcCAAD7AwAADgAAAAAAAAAB&#10;ACAAAAAsAQAAZHJzL2Uyb0RvYy54bWxQSwUGAAAAAAYABgBZAQAApQU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color w:val="auto"/>
          <w:spacing w:val="0"/>
          <w:position w:val="0"/>
          <w:sz w:val="24"/>
          <w:highlight w:val="none"/>
          <w:lang w:val="en-US" w:eastAsia="zh-CN"/>
        </w:rPr>
        <mc:AlternateContent>
          <mc:Choice Requires="wps">
            <w:drawing>
              <wp:anchor distT="0" distB="0" distL="114300" distR="114300" simplePos="0" relativeHeight="251727872" behindDoc="0" locked="0" layoutInCell="1" allowOverlap="1">
                <wp:simplePos x="0" y="0"/>
                <wp:positionH relativeFrom="column">
                  <wp:posOffset>-7238365</wp:posOffset>
                </wp:positionH>
                <wp:positionV relativeFrom="paragraph">
                  <wp:posOffset>2536190</wp:posOffset>
                </wp:positionV>
                <wp:extent cx="2540" cy="234315"/>
                <wp:effectExtent l="4445" t="0" r="12065" b="13335"/>
                <wp:wrapNone/>
                <wp:docPr id="291" name="自选图形 962"/>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自选图形 962" o:spid="_x0000_s1026" o:spt="32" type="#_x0000_t32" style="position:absolute;left:0pt;margin-left:-569.95pt;margin-top:199.7pt;height:18.45pt;width:0.2pt;z-index:251727872;mso-width-relative:page;mso-height-relative:page;" filled="f" stroked="t" coordsize="21600,21600" o:gfxdata="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EX19NsAAAAPAQAADwAAAAAAAAABACAAAAAiAAAAZHJzL2Rv&#10;d25yZXYueG1sUEsBAhQAFAAAAAgAh07iQDsg/Ib+AQAA9wMAAA4AAAAAAAAAAQAgAAAAKgEAAGRy&#10;cy9lMm9Eb2MueG1sUEsFBgAAAAAGAAYAWQEAAJoFAAAAAA==&#10;">
                <v:fill on="f" focussize="0,0"/>
                <v:stroke color="#000000" joinstyle="round"/>
                <v:imagedata o:title=""/>
                <o:lock v:ext="edit" aspectratio="f"/>
              </v:shape>
            </w:pict>
          </mc:Fallback>
        </mc:AlternateContent>
      </w:r>
      <w:r>
        <w:rPr>
          <w:rFonts w:hint="default" w:ascii="Times New Roman" w:hAnsi="Times New Roman" w:eastAsia="宋体" w:cs="Times New Roman"/>
          <w:color w:val="auto"/>
          <w:spacing w:val="0"/>
          <w:position w:val="0"/>
          <w:sz w:val="24"/>
          <w:highlight w:val="none"/>
          <w:lang w:val="en-US" w:eastAsia="zh-CN"/>
        </w:rPr>
        <mc:AlternateContent>
          <mc:Choice Requires="wps">
            <w:drawing>
              <wp:anchor distT="0" distB="0" distL="114300" distR="114300" simplePos="0" relativeHeight="251726848" behindDoc="0" locked="0" layoutInCell="1" allowOverlap="1">
                <wp:simplePos x="0" y="0"/>
                <wp:positionH relativeFrom="column">
                  <wp:posOffset>-7238365</wp:posOffset>
                </wp:positionH>
                <wp:positionV relativeFrom="paragraph">
                  <wp:posOffset>2536190</wp:posOffset>
                </wp:positionV>
                <wp:extent cx="2540" cy="234315"/>
                <wp:effectExtent l="36195" t="0" r="37465" b="13335"/>
                <wp:wrapNone/>
                <wp:docPr id="290" name="自选图形 961"/>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61" o:spid="_x0000_s1026" o:spt="32" type="#_x0000_t32" style="position:absolute;left:0pt;margin-left:-569.95pt;margin-top:199.7pt;height:18.45pt;width:0.2pt;z-index:251726848;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p4t+vdAAAADwEAAA8AAAAAAAAAAQAgAAAA&#10;IgAAAGRycy9kb3ducmV2LnhtbFBLAQIUABQAAAAIAIdO4kCKjLXXBgIAAPsDAAAOAAAAAAAAAAEA&#10;IAAAACwBAABkcnMvZTJvRG9jLnhtbFBLBQYAAAAABgAGAFkBAACkBQ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color w:val="auto"/>
          <w:spacing w:val="0"/>
          <w:position w:val="0"/>
          <w:sz w:val="24"/>
          <w:highlight w:val="none"/>
          <w:lang w:val="en-US" w:eastAsia="zh-CN"/>
        </w:rPr>
        <mc:AlternateContent>
          <mc:Choice Requires="wps">
            <w:drawing>
              <wp:anchor distT="0" distB="0" distL="114300" distR="114300" simplePos="0" relativeHeight="251728896" behindDoc="0" locked="0" layoutInCell="1" allowOverlap="1">
                <wp:simplePos x="0" y="0"/>
                <wp:positionH relativeFrom="column">
                  <wp:posOffset>-7238365</wp:posOffset>
                </wp:positionH>
                <wp:positionV relativeFrom="paragraph">
                  <wp:posOffset>2536190</wp:posOffset>
                </wp:positionV>
                <wp:extent cx="2540" cy="234315"/>
                <wp:effectExtent l="36195" t="0" r="37465" b="13335"/>
                <wp:wrapNone/>
                <wp:docPr id="292" name="自选图形 960"/>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60" o:spid="_x0000_s1026" o:spt="32" type="#_x0000_t32" style="position:absolute;left:0pt;margin-left:-569.95pt;margin-top:199.7pt;height:18.45pt;width:0.2pt;z-index:251728896;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qeLfr3QAAAA8BAAAPAAAAAAAAAAEAIAAAACIA&#10;AABkcnMvZG93bnJldi54bWxQSwECFAAUAAAACACHTuJAQPY95AQCAAD7AwAADgAAAAAAAAABACAA&#10;AAAsAQAAZHJzL2Uyb0RvYy54bWxQSwUGAAAAAAYABgBZAQAAogU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color w:val="auto"/>
          <w:spacing w:val="0"/>
          <w:position w:val="0"/>
          <w:sz w:val="24"/>
          <w:highlight w:val="none"/>
          <w:lang w:val="en-US" w:eastAsia="zh-CN"/>
        </w:rPr>
        <mc:AlternateContent>
          <mc:Choice Requires="wps">
            <w:drawing>
              <wp:anchor distT="0" distB="0" distL="114300" distR="114300" simplePos="0" relativeHeight="251729920" behindDoc="0" locked="0" layoutInCell="1" allowOverlap="1">
                <wp:simplePos x="0" y="0"/>
                <wp:positionH relativeFrom="column">
                  <wp:posOffset>-7238365</wp:posOffset>
                </wp:positionH>
                <wp:positionV relativeFrom="paragraph">
                  <wp:posOffset>2536190</wp:posOffset>
                </wp:positionV>
                <wp:extent cx="2540" cy="234315"/>
                <wp:effectExtent l="36195" t="0" r="37465" b="13335"/>
                <wp:wrapNone/>
                <wp:docPr id="293" name="自选图形 959"/>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59" o:spid="_x0000_s1026" o:spt="32" type="#_x0000_t32" style="position:absolute;left:0pt;margin-left:-569.95pt;margin-top:199.7pt;height:18.45pt;width:0.2pt;z-index:251729920;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p4t+vdAAAADwEAAA8AAAAAAAAAAQAgAAAA&#10;IgAAAGRycy9kb3ducmV2LnhtbFBLAQIUABQAAAAIAIdO4kD1diicBgIAAPsDAAAOAAAAAAAAAAEA&#10;IAAAACwBAABkcnMvZTJvRG9jLnhtbFBLBQYAAAAABgAGAFkBAACkBQ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color w:val="auto"/>
          <w:spacing w:val="0"/>
          <w:position w:val="0"/>
          <w:sz w:val="24"/>
          <w:highlight w:val="none"/>
          <w:lang w:val="en-US" w:eastAsia="zh-CN"/>
        </w:rPr>
        <mc:AlternateContent>
          <mc:Choice Requires="wps">
            <w:drawing>
              <wp:anchor distT="0" distB="0" distL="114300" distR="114300" simplePos="0" relativeHeight="251730944" behindDoc="0" locked="0" layoutInCell="1" allowOverlap="1">
                <wp:simplePos x="0" y="0"/>
                <wp:positionH relativeFrom="column">
                  <wp:posOffset>-7238365</wp:posOffset>
                </wp:positionH>
                <wp:positionV relativeFrom="paragraph">
                  <wp:posOffset>2536190</wp:posOffset>
                </wp:positionV>
                <wp:extent cx="2540" cy="234315"/>
                <wp:effectExtent l="36195" t="0" r="37465" b="13335"/>
                <wp:wrapNone/>
                <wp:docPr id="294" name="自选图形 954"/>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54" o:spid="_x0000_s1026" o:spt="32" type="#_x0000_t32" style="position:absolute;left:0pt;margin-left:-569.95pt;margin-top:199.7pt;height:18.45pt;width:0.2pt;z-index:251730944;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p4t+vdAAAADwEAAA8AAAAAAAAAAQAgAAAA&#10;IgAAAGRycy9kb3ducmV2LnhtbFBLAQIUABQAAAAIAIdO4kC5rHpiBgIAAPsDAAAOAAAAAAAAAAEA&#10;IAAAACwBAABkcnMvZTJvRG9jLnhtbFBLBQYAAAAABgAGAFkBAACkBQ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color w:val="auto"/>
          <w:spacing w:val="0"/>
          <w:position w:val="0"/>
          <w:sz w:val="24"/>
          <w:highlight w:val="none"/>
          <w:lang w:val="en-US" w:eastAsia="zh-CN"/>
        </w:rPr>
        <mc:AlternateContent>
          <mc:Choice Requires="wps">
            <w:drawing>
              <wp:anchor distT="0" distB="0" distL="114300" distR="114300" simplePos="0" relativeHeight="251731968" behindDoc="0" locked="0" layoutInCell="1" allowOverlap="1">
                <wp:simplePos x="0" y="0"/>
                <wp:positionH relativeFrom="column">
                  <wp:posOffset>-7238365</wp:posOffset>
                </wp:positionH>
                <wp:positionV relativeFrom="paragraph">
                  <wp:posOffset>2536190</wp:posOffset>
                </wp:positionV>
                <wp:extent cx="2540" cy="234315"/>
                <wp:effectExtent l="36195" t="0" r="37465" b="13335"/>
                <wp:wrapNone/>
                <wp:docPr id="295" name="自选图形 953"/>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53" o:spid="_x0000_s1026" o:spt="32" type="#_x0000_t32" style="position:absolute;left:0pt;margin-left:-569.95pt;margin-top:199.7pt;height:18.45pt;width:0.2pt;z-index:251731968;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p4t+vdAAAADwEAAA8AAAAAAAAAAQAgAAAA&#10;IgAAAGRycy9kb3ducmV2LnhtbFBLAQIUABQAAAAIAIdO4kBEoxV5BgIAAPsDAAAOAAAAAAAAAAEA&#10;IAAAACwBAABkcnMvZTJvRG9jLnhtbFBLBQYAAAAABgAGAFkBAACkBQ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color w:val="auto"/>
          <w:spacing w:val="0"/>
          <w:position w:val="0"/>
          <w:sz w:val="24"/>
          <w:highlight w:val="none"/>
          <w:lang w:val="en-US" w:eastAsia="zh-CN"/>
        </w:rPr>
        <mc:AlternateContent>
          <mc:Choice Requires="wps">
            <w:drawing>
              <wp:anchor distT="0" distB="0" distL="114300" distR="114300" simplePos="0" relativeHeight="251734016" behindDoc="0" locked="0" layoutInCell="1" allowOverlap="1">
                <wp:simplePos x="0" y="0"/>
                <wp:positionH relativeFrom="column">
                  <wp:posOffset>-7238365</wp:posOffset>
                </wp:positionH>
                <wp:positionV relativeFrom="paragraph">
                  <wp:posOffset>2536190</wp:posOffset>
                </wp:positionV>
                <wp:extent cx="2540" cy="234315"/>
                <wp:effectExtent l="36195" t="0" r="37465" b="13335"/>
                <wp:wrapNone/>
                <wp:docPr id="297" name="自选图形 952"/>
                <wp:cNvGraphicFramePr/>
                <a:graphic xmlns:a="http://schemas.openxmlformats.org/drawingml/2006/main">
                  <a:graphicData uri="http://schemas.microsoft.com/office/word/2010/wordprocessingShape">
                    <wps:wsp>
                      <wps:cNvCnPr/>
                      <wps:spPr>
                        <a:xfrm>
                          <a:off x="0" y="0"/>
                          <a:ext cx="2540" cy="234315"/>
                        </a:xfrm>
                        <a:prstGeom prst="straightConnector1">
                          <a:avLst/>
                        </a:prstGeom>
                        <a:ln w="9525" cap="flat" cmpd="sng">
                          <a:solidFill>
                            <a:srgbClr val="000000"/>
                          </a:solidFill>
                          <a:prstDash val="solid"/>
                          <a:headEnd type="none" w="med" len="med"/>
                          <a:tailEnd type="triangle" w="med" len="med"/>
                        </a:ln>
                        <a:effectLst/>
                      </wps:spPr>
                      <wps:bodyPr/>
                    </wps:wsp>
                  </a:graphicData>
                </a:graphic>
              </wp:anchor>
            </w:drawing>
          </mc:Choice>
          <mc:Fallback>
            <w:pict>
              <v:shape id="自选图形 952" o:spid="_x0000_s1026" o:spt="32" type="#_x0000_t32" style="position:absolute;left:0pt;margin-left:-569.95pt;margin-top:199.7pt;height:18.45pt;width:0.2pt;z-index:251734016;mso-width-relative:page;mso-height-relative:page;" filled="f" stroked="t" coordsize="21600,21600" o:gfxdata="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ni3690AAAAPAQAADwAAAAAAAAABACAAAAAi&#10;AAAAZHJzL2Rvd25yZXYueG1sUEsBAhQAFAAAAAgAh07iQI7ZnUoFAgAA+wMAAA4AAAAAAAAAAQAg&#10;AAAALAEAAGRycy9lMm9Eb2MueG1sUEsFBgAAAAAGAAYAWQEAAKMFA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color w:val="auto"/>
          <w:spacing w:val="0"/>
          <w:position w:val="0"/>
          <w:sz w:val="24"/>
          <w:highlight w:val="none"/>
          <w:lang w:val="en-US" w:eastAsia="zh-CN"/>
        </w:rPr>
        <w:t>淮南市年均风频月变化见表</w:t>
      </w:r>
      <w:r>
        <w:rPr>
          <w:rFonts w:hint="eastAsia" w:ascii="Times New Roman" w:hAnsi="Times New Roman" w:eastAsia="宋体" w:cs="Times New Roman"/>
          <w:color w:val="auto"/>
          <w:spacing w:val="0"/>
          <w:position w:val="0"/>
          <w:sz w:val="24"/>
          <w:highlight w:val="none"/>
          <w:lang w:val="en-US" w:eastAsia="zh-CN"/>
        </w:rPr>
        <w:t>5.2</w:t>
      </w:r>
      <w:r>
        <w:rPr>
          <w:rFonts w:hint="default" w:ascii="Times New Roman" w:hAnsi="Times New Roman" w:eastAsia="宋体" w:cs="Times New Roman"/>
          <w:color w:val="auto"/>
          <w:spacing w:val="0"/>
          <w:position w:val="0"/>
          <w:sz w:val="24"/>
          <w:highlight w:val="none"/>
          <w:lang w:val="en-US" w:eastAsia="zh-CN"/>
        </w:rPr>
        <w:t>-4，年均风频季节变化及年变化见表</w:t>
      </w:r>
      <w:r>
        <w:rPr>
          <w:rFonts w:hint="eastAsia" w:ascii="Times New Roman" w:hAnsi="Times New Roman" w:eastAsia="宋体" w:cs="Times New Roman"/>
          <w:color w:val="auto"/>
          <w:spacing w:val="0"/>
          <w:position w:val="0"/>
          <w:sz w:val="24"/>
          <w:highlight w:val="none"/>
          <w:lang w:val="en-US" w:eastAsia="zh-CN"/>
        </w:rPr>
        <w:t>5.2</w:t>
      </w:r>
      <w:r>
        <w:rPr>
          <w:rFonts w:hint="default" w:ascii="Times New Roman" w:hAnsi="Times New Roman" w:eastAsia="宋体" w:cs="Times New Roman"/>
          <w:color w:val="auto"/>
          <w:spacing w:val="0"/>
          <w:position w:val="0"/>
          <w:sz w:val="24"/>
          <w:highlight w:val="none"/>
          <w:lang w:val="en-US" w:eastAsia="zh-CN"/>
        </w:rPr>
        <w:t>-5。由表</w:t>
      </w:r>
      <w:r>
        <w:rPr>
          <w:rFonts w:hint="eastAsia" w:ascii="Times New Roman" w:hAnsi="Times New Roman" w:eastAsia="宋体" w:cs="Times New Roman"/>
          <w:color w:val="auto"/>
          <w:spacing w:val="0"/>
          <w:position w:val="0"/>
          <w:sz w:val="24"/>
          <w:highlight w:val="none"/>
          <w:lang w:val="en-US" w:eastAsia="zh-CN"/>
        </w:rPr>
        <w:t>5.2-4</w:t>
      </w:r>
      <w:r>
        <w:rPr>
          <w:rFonts w:hint="default" w:ascii="Times New Roman" w:hAnsi="Times New Roman" w:eastAsia="宋体" w:cs="Times New Roman"/>
          <w:color w:val="auto"/>
          <w:spacing w:val="0"/>
          <w:position w:val="0"/>
          <w:sz w:val="24"/>
          <w:highlight w:val="none"/>
          <w:lang w:val="en-US" w:eastAsia="zh-CN"/>
        </w:rPr>
        <w:t>绘出年、季风向频率玫瑰图</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见图</w:t>
      </w:r>
      <w:r>
        <w:rPr>
          <w:rFonts w:hint="eastAsia" w:ascii="Times New Roman" w:hAnsi="Times New Roman" w:eastAsia="宋体" w:cs="Times New Roman"/>
          <w:color w:val="auto"/>
          <w:spacing w:val="0"/>
          <w:position w:val="0"/>
          <w:sz w:val="24"/>
          <w:highlight w:val="none"/>
          <w:lang w:val="en-US" w:eastAsia="zh-CN"/>
        </w:rPr>
        <w:t>5</w:t>
      </w:r>
      <w:r>
        <w:rPr>
          <w:rFonts w:hint="default" w:ascii="Times New Roman" w:hAnsi="Times New Roman" w:eastAsia="宋体" w:cs="Times New Roman"/>
          <w:color w:val="auto"/>
          <w:spacing w:val="0"/>
          <w:position w:val="0"/>
          <w:sz w:val="24"/>
          <w:highlight w:val="none"/>
          <w:lang w:val="en-US" w:eastAsia="zh-CN"/>
        </w:rPr>
        <w:t>.2-4</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。由表</w:t>
      </w:r>
      <w:r>
        <w:rPr>
          <w:rFonts w:hint="eastAsia" w:ascii="Times New Roman" w:hAnsi="Times New Roman" w:eastAsia="宋体" w:cs="Times New Roman"/>
          <w:color w:val="auto"/>
          <w:spacing w:val="0"/>
          <w:position w:val="0"/>
          <w:sz w:val="24"/>
          <w:highlight w:val="none"/>
          <w:lang w:val="en-US" w:eastAsia="zh-CN"/>
        </w:rPr>
        <w:t>5.2</w:t>
      </w:r>
      <w:r>
        <w:rPr>
          <w:rFonts w:hint="default" w:ascii="Times New Roman" w:hAnsi="Times New Roman" w:eastAsia="宋体" w:cs="Times New Roman"/>
          <w:color w:val="auto"/>
          <w:spacing w:val="0"/>
          <w:position w:val="0"/>
          <w:sz w:val="24"/>
          <w:highlight w:val="none"/>
          <w:lang w:val="en-US" w:eastAsia="zh-CN"/>
        </w:rPr>
        <w:t>-4和图</w:t>
      </w:r>
      <w:r>
        <w:rPr>
          <w:rFonts w:hint="eastAsia" w:ascii="Times New Roman" w:hAnsi="Times New Roman" w:eastAsia="宋体" w:cs="Times New Roman"/>
          <w:color w:val="auto"/>
          <w:spacing w:val="0"/>
          <w:position w:val="0"/>
          <w:sz w:val="24"/>
          <w:highlight w:val="none"/>
          <w:lang w:val="en-US" w:eastAsia="zh-CN"/>
        </w:rPr>
        <w:t>5</w:t>
      </w:r>
      <w:r>
        <w:rPr>
          <w:rFonts w:hint="default" w:ascii="Times New Roman" w:hAnsi="Times New Roman" w:eastAsia="宋体" w:cs="Times New Roman"/>
          <w:color w:val="auto"/>
          <w:spacing w:val="0"/>
          <w:position w:val="0"/>
          <w:sz w:val="24"/>
          <w:highlight w:val="none"/>
          <w:lang w:val="en-US" w:eastAsia="zh-CN"/>
        </w:rPr>
        <w:t>.2-4所示，评价区域全年风频最大的风向分别是E风</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风频13%</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、ENE风</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风频8%</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和NE风</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9%</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，次最大风向为NE和S风，连续三个风向角的风频</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E风、ENE风和NE风</w:t>
      </w:r>
      <w:r>
        <w:rPr>
          <w:rFonts w:hint="eastAsia" w:ascii="Times New Roman" w:hAnsi="Times New Roman" w:eastAsia="宋体" w:cs="Times New Roman"/>
          <w:color w:val="auto"/>
          <w:spacing w:val="0"/>
          <w:position w:val="0"/>
          <w:sz w:val="24"/>
          <w:highlight w:val="none"/>
          <w:lang w:val="en-US" w:eastAsia="zh-CN"/>
        </w:rPr>
        <w:t>）</w:t>
      </w:r>
      <w:r>
        <w:rPr>
          <w:rFonts w:hint="default" w:ascii="Times New Roman" w:hAnsi="Times New Roman" w:eastAsia="宋体" w:cs="Times New Roman"/>
          <w:color w:val="auto"/>
          <w:spacing w:val="0"/>
          <w:position w:val="0"/>
          <w:sz w:val="24"/>
          <w:highlight w:val="none"/>
          <w:lang w:val="en-US" w:eastAsia="zh-CN"/>
        </w:rPr>
        <w:t>之和等于30%，因此该地区常年具有常年主导风向，主导风为ENE。</w:t>
      </w:r>
      <w:bookmarkEnd w:id="386"/>
    </w:p>
    <w:p w14:paraId="7F098805">
      <w:pPr>
        <w:keepNext w:val="0"/>
        <w:keepLines w:val="0"/>
        <w:pageBreakBefore w:val="0"/>
        <w:widowControl/>
        <w:kinsoku/>
        <w:wordWrap/>
        <w:overflowPunct/>
        <w:topLinePunct/>
        <w:autoSpaceDE/>
        <w:autoSpaceDN/>
        <w:bidi w:val="0"/>
        <w:adjustRightInd w:val="0"/>
        <w:snapToGrid/>
        <w:spacing w:line="360" w:lineRule="auto"/>
        <w:jc w:val="both"/>
        <w:textAlignment w:val="baseline"/>
        <w:rPr>
          <w:rFonts w:hint="eastAsia" w:ascii="Times New Roman" w:hAnsi="Times New Roman" w:eastAsia="宋体" w:cs="Times New Roman"/>
          <w:color w:val="auto"/>
          <w:spacing w:val="0"/>
          <w:position w:val="0"/>
          <w:sz w:val="24"/>
          <w:highlight w:val="none"/>
          <w:lang w:val="en-US" w:eastAsia="zh-CN"/>
        </w:rPr>
        <w:sectPr>
          <w:pgSz w:w="11906" w:h="16838"/>
          <w:pgMar w:top="1440" w:right="1800" w:bottom="1440" w:left="1800" w:header="794" w:footer="1077" w:gutter="0"/>
          <w:pgBorders>
            <w:top w:val="none" w:sz="0" w:space="0"/>
            <w:left w:val="none" w:sz="0" w:space="0"/>
            <w:bottom w:val="none" w:sz="0" w:space="0"/>
            <w:right w:val="none" w:sz="0" w:space="0"/>
          </w:pgBorders>
          <w:pgNumType w:fmt="decimal"/>
          <w:cols w:space="720" w:num="1"/>
          <w:docGrid w:type="lines" w:linePitch="314" w:charSpace="0"/>
        </w:sectPr>
      </w:pPr>
    </w:p>
    <w:p w14:paraId="7B969696">
      <w:pPr>
        <w:pStyle w:val="549"/>
        <w:bidi w:val="0"/>
        <w:rPr>
          <w:rFonts w:hint="default"/>
          <w:color w:val="auto"/>
          <w:highlight w:val="none"/>
        </w:rPr>
      </w:pPr>
      <w:r>
        <w:rPr>
          <w:rFonts w:hint="default"/>
          <w:color w:val="auto"/>
          <w:highlight w:val="none"/>
        </w:rPr>
        <w:t>表</w:t>
      </w:r>
      <w:r>
        <w:rPr>
          <w:rFonts w:hint="eastAsia"/>
          <w:color w:val="auto"/>
          <w:highlight w:val="none"/>
          <w:lang w:val="en-US" w:eastAsia="zh-CN"/>
        </w:rPr>
        <w:t>5.2</w:t>
      </w:r>
      <w:r>
        <w:rPr>
          <w:rFonts w:hint="default"/>
          <w:color w:val="auto"/>
          <w:highlight w:val="none"/>
        </w:rPr>
        <w:t>-</w:t>
      </w:r>
      <w:r>
        <w:rPr>
          <w:rFonts w:hint="eastAsia"/>
          <w:color w:val="auto"/>
          <w:highlight w:val="none"/>
          <w:lang w:val="en-US" w:eastAsia="zh-CN"/>
        </w:rPr>
        <w:t>5</w:t>
      </w:r>
      <w:r>
        <w:rPr>
          <w:rFonts w:hint="default"/>
          <w:color w:val="auto"/>
          <w:highlight w:val="none"/>
        </w:rPr>
        <w:t xml:space="preserve">  年平均风频的月变化</w:t>
      </w:r>
    </w:p>
    <w:tbl>
      <w:tblPr>
        <w:tblStyle w:val="4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28"/>
        <w:gridCol w:w="523"/>
        <w:gridCol w:w="878"/>
        <w:gridCol w:w="677"/>
        <w:gridCol w:w="827"/>
        <w:gridCol w:w="638"/>
        <w:gridCol w:w="765"/>
        <w:gridCol w:w="638"/>
        <w:gridCol w:w="759"/>
        <w:gridCol w:w="481"/>
        <w:gridCol w:w="882"/>
        <w:gridCol w:w="740"/>
        <w:gridCol w:w="1016"/>
        <w:gridCol w:w="599"/>
        <w:gridCol w:w="1078"/>
        <w:gridCol w:w="801"/>
        <w:gridCol w:w="1000"/>
        <w:gridCol w:w="638"/>
      </w:tblGrid>
      <w:tr w14:paraId="57CD41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45C3461D">
            <w:pPr>
              <w:pStyle w:val="224"/>
              <w:bidi w:val="0"/>
              <w:rPr>
                <w:rFonts w:hint="eastAsia" w:eastAsia="宋体"/>
                <w:b/>
                <w:bCs w:val="0"/>
                <w:color w:val="auto"/>
                <w:highlight w:val="none"/>
                <w:lang w:val="en-US" w:eastAsia="zh-CN"/>
              </w:rPr>
            </w:pPr>
            <w:r>
              <w:rPr>
                <w:rFonts w:hint="eastAsia"/>
                <w:b/>
                <w:bCs w:val="0"/>
                <w:color w:val="auto"/>
                <w:highlight w:val="none"/>
                <w:lang w:val="en-US" w:eastAsia="zh-CN"/>
              </w:rPr>
              <w:t>月份</w:t>
            </w:r>
          </w:p>
        </w:tc>
        <w:tc>
          <w:tcPr>
            <w:tcW w:w="523" w:type="dxa"/>
            <w:tcBorders>
              <w:tl2br w:val="nil"/>
              <w:tr2bl w:val="nil"/>
            </w:tcBorders>
            <w:noWrap w:val="0"/>
            <w:vAlign w:val="center"/>
          </w:tcPr>
          <w:p w14:paraId="4D44CB9C">
            <w:pPr>
              <w:pStyle w:val="224"/>
              <w:bidi w:val="0"/>
              <w:rPr>
                <w:rFonts w:hint="default"/>
                <w:b/>
                <w:bCs w:val="0"/>
                <w:color w:val="auto"/>
                <w:highlight w:val="none"/>
                <w:lang w:val="pt-BR"/>
              </w:rPr>
            </w:pPr>
            <w:r>
              <w:rPr>
                <w:rFonts w:hint="default"/>
                <w:b/>
                <w:bCs w:val="0"/>
                <w:color w:val="auto"/>
                <w:highlight w:val="none"/>
                <w:lang w:val="pt-BR"/>
              </w:rPr>
              <w:t>N</w:t>
            </w:r>
          </w:p>
        </w:tc>
        <w:tc>
          <w:tcPr>
            <w:tcW w:w="878" w:type="dxa"/>
            <w:tcBorders>
              <w:tl2br w:val="nil"/>
              <w:tr2bl w:val="nil"/>
            </w:tcBorders>
            <w:noWrap w:val="0"/>
            <w:vAlign w:val="center"/>
          </w:tcPr>
          <w:p w14:paraId="53FF0CDE">
            <w:pPr>
              <w:pStyle w:val="224"/>
              <w:bidi w:val="0"/>
              <w:rPr>
                <w:rFonts w:hint="default"/>
                <w:b/>
                <w:bCs w:val="0"/>
                <w:color w:val="auto"/>
                <w:highlight w:val="none"/>
                <w:lang w:val="pt-BR"/>
              </w:rPr>
            </w:pPr>
            <w:r>
              <w:rPr>
                <w:rFonts w:hint="default"/>
                <w:b/>
                <w:bCs w:val="0"/>
                <w:color w:val="auto"/>
                <w:highlight w:val="none"/>
                <w:lang w:val="pt-BR"/>
              </w:rPr>
              <w:t>NNE</w:t>
            </w:r>
          </w:p>
        </w:tc>
        <w:tc>
          <w:tcPr>
            <w:tcW w:w="676" w:type="dxa"/>
            <w:tcBorders>
              <w:tl2br w:val="nil"/>
              <w:tr2bl w:val="nil"/>
            </w:tcBorders>
            <w:noWrap w:val="0"/>
            <w:vAlign w:val="center"/>
          </w:tcPr>
          <w:p w14:paraId="4C59D3D4">
            <w:pPr>
              <w:pStyle w:val="224"/>
              <w:bidi w:val="0"/>
              <w:rPr>
                <w:rFonts w:hint="default"/>
                <w:b/>
                <w:bCs w:val="0"/>
                <w:color w:val="auto"/>
                <w:highlight w:val="none"/>
                <w:lang w:val="pt-BR"/>
              </w:rPr>
            </w:pPr>
            <w:r>
              <w:rPr>
                <w:rFonts w:hint="default"/>
                <w:b/>
                <w:bCs w:val="0"/>
                <w:color w:val="auto"/>
                <w:highlight w:val="none"/>
                <w:lang w:val="pt-BR"/>
              </w:rPr>
              <w:t>NE</w:t>
            </w:r>
          </w:p>
        </w:tc>
        <w:tc>
          <w:tcPr>
            <w:tcW w:w="826" w:type="dxa"/>
            <w:tcBorders>
              <w:tl2br w:val="nil"/>
              <w:tr2bl w:val="nil"/>
            </w:tcBorders>
            <w:noWrap w:val="0"/>
            <w:vAlign w:val="center"/>
          </w:tcPr>
          <w:p w14:paraId="667851D7">
            <w:pPr>
              <w:pStyle w:val="224"/>
              <w:bidi w:val="0"/>
              <w:rPr>
                <w:rFonts w:hint="default"/>
                <w:b/>
                <w:bCs w:val="0"/>
                <w:color w:val="auto"/>
                <w:highlight w:val="none"/>
                <w:lang w:val="pt-BR"/>
              </w:rPr>
            </w:pPr>
            <w:r>
              <w:rPr>
                <w:rFonts w:hint="default"/>
                <w:b/>
                <w:bCs w:val="0"/>
                <w:color w:val="auto"/>
                <w:highlight w:val="none"/>
                <w:lang w:val="pt-BR"/>
              </w:rPr>
              <w:t>ENE</w:t>
            </w:r>
          </w:p>
        </w:tc>
        <w:tc>
          <w:tcPr>
            <w:tcW w:w="637" w:type="dxa"/>
            <w:tcBorders>
              <w:tl2br w:val="nil"/>
              <w:tr2bl w:val="nil"/>
            </w:tcBorders>
            <w:noWrap w:val="0"/>
            <w:vAlign w:val="center"/>
          </w:tcPr>
          <w:p w14:paraId="2A585DDE">
            <w:pPr>
              <w:pStyle w:val="224"/>
              <w:bidi w:val="0"/>
              <w:rPr>
                <w:rFonts w:hint="default"/>
                <w:b/>
                <w:bCs w:val="0"/>
                <w:color w:val="auto"/>
                <w:highlight w:val="none"/>
                <w:lang w:val="pt-BR"/>
              </w:rPr>
            </w:pPr>
            <w:r>
              <w:rPr>
                <w:rFonts w:hint="default"/>
                <w:b/>
                <w:bCs w:val="0"/>
                <w:color w:val="auto"/>
                <w:highlight w:val="none"/>
                <w:lang w:val="pt-BR"/>
              </w:rPr>
              <w:t>E</w:t>
            </w:r>
          </w:p>
        </w:tc>
        <w:tc>
          <w:tcPr>
            <w:tcW w:w="765" w:type="dxa"/>
            <w:tcBorders>
              <w:tl2br w:val="nil"/>
              <w:tr2bl w:val="nil"/>
            </w:tcBorders>
            <w:noWrap w:val="0"/>
            <w:vAlign w:val="center"/>
          </w:tcPr>
          <w:p w14:paraId="689F6063">
            <w:pPr>
              <w:pStyle w:val="224"/>
              <w:bidi w:val="0"/>
              <w:rPr>
                <w:rFonts w:hint="default"/>
                <w:b/>
                <w:bCs w:val="0"/>
                <w:color w:val="auto"/>
                <w:highlight w:val="none"/>
                <w:lang w:val="pt-BR"/>
              </w:rPr>
            </w:pPr>
            <w:r>
              <w:rPr>
                <w:rFonts w:hint="default"/>
                <w:b/>
                <w:bCs w:val="0"/>
                <w:color w:val="auto"/>
                <w:highlight w:val="none"/>
                <w:lang w:val="pt-BR"/>
              </w:rPr>
              <w:t>ESE</w:t>
            </w:r>
          </w:p>
        </w:tc>
        <w:tc>
          <w:tcPr>
            <w:tcW w:w="637" w:type="dxa"/>
            <w:tcBorders>
              <w:tl2br w:val="nil"/>
              <w:tr2bl w:val="nil"/>
            </w:tcBorders>
            <w:noWrap w:val="0"/>
            <w:vAlign w:val="center"/>
          </w:tcPr>
          <w:p w14:paraId="544AC7F7">
            <w:pPr>
              <w:pStyle w:val="224"/>
              <w:bidi w:val="0"/>
              <w:rPr>
                <w:rFonts w:hint="default"/>
                <w:b/>
                <w:bCs w:val="0"/>
                <w:color w:val="auto"/>
                <w:highlight w:val="none"/>
                <w:lang w:val="pt-BR"/>
              </w:rPr>
            </w:pPr>
            <w:r>
              <w:rPr>
                <w:rFonts w:hint="default"/>
                <w:b/>
                <w:bCs w:val="0"/>
                <w:color w:val="auto"/>
                <w:highlight w:val="none"/>
                <w:lang w:val="pt-BR"/>
              </w:rPr>
              <w:t>SE</w:t>
            </w:r>
          </w:p>
        </w:tc>
        <w:tc>
          <w:tcPr>
            <w:tcW w:w="759" w:type="dxa"/>
            <w:tcBorders>
              <w:tl2br w:val="nil"/>
              <w:tr2bl w:val="nil"/>
            </w:tcBorders>
            <w:noWrap w:val="0"/>
            <w:vAlign w:val="center"/>
          </w:tcPr>
          <w:p w14:paraId="300D3239">
            <w:pPr>
              <w:pStyle w:val="224"/>
              <w:bidi w:val="0"/>
              <w:rPr>
                <w:rFonts w:hint="default"/>
                <w:b/>
                <w:bCs w:val="0"/>
                <w:color w:val="auto"/>
                <w:highlight w:val="none"/>
                <w:lang w:val="pt-BR"/>
              </w:rPr>
            </w:pPr>
            <w:r>
              <w:rPr>
                <w:rFonts w:hint="default"/>
                <w:b/>
                <w:bCs w:val="0"/>
                <w:color w:val="auto"/>
                <w:highlight w:val="none"/>
                <w:lang w:val="pt-BR"/>
              </w:rPr>
              <w:t>SSE</w:t>
            </w:r>
          </w:p>
        </w:tc>
        <w:tc>
          <w:tcPr>
            <w:tcW w:w="480" w:type="dxa"/>
            <w:tcBorders>
              <w:tl2br w:val="nil"/>
              <w:tr2bl w:val="nil"/>
            </w:tcBorders>
            <w:noWrap w:val="0"/>
            <w:vAlign w:val="center"/>
          </w:tcPr>
          <w:p w14:paraId="5074E083">
            <w:pPr>
              <w:pStyle w:val="224"/>
              <w:bidi w:val="0"/>
              <w:rPr>
                <w:rFonts w:hint="default"/>
                <w:b/>
                <w:bCs w:val="0"/>
                <w:color w:val="auto"/>
                <w:highlight w:val="none"/>
                <w:lang w:val="pt-BR"/>
              </w:rPr>
            </w:pPr>
            <w:r>
              <w:rPr>
                <w:rFonts w:hint="default"/>
                <w:b/>
                <w:bCs w:val="0"/>
                <w:color w:val="auto"/>
                <w:highlight w:val="none"/>
                <w:lang w:val="pt-BR"/>
              </w:rPr>
              <w:t>S</w:t>
            </w:r>
          </w:p>
        </w:tc>
        <w:tc>
          <w:tcPr>
            <w:tcW w:w="882" w:type="dxa"/>
            <w:tcBorders>
              <w:tl2br w:val="nil"/>
              <w:tr2bl w:val="nil"/>
            </w:tcBorders>
            <w:noWrap w:val="0"/>
            <w:vAlign w:val="center"/>
          </w:tcPr>
          <w:p w14:paraId="07070121">
            <w:pPr>
              <w:pStyle w:val="224"/>
              <w:bidi w:val="0"/>
              <w:rPr>
                <w:rFonts w:hint="default"/>
                <w:b/>
                <w:bCs w:val="0"/>
                <w:color w:val="auto"/>
                <w:highlight w:val="none"/>
                <w:lang w:val="pt-BR"/>
              </w:rPr>
            </w:pPr>
            <w:r>
              <w:rPr>
                <w:rFonts w:hint="default"/>
                <w:b/>
                <w:bCs w:val="0"/>
                <w:color w:val="auto"/>
                <w:highlight w:val="none"/>
                <w:lang w:val="pt-BR"/>
              </w:rPr>
              <w:t>SSW</w:t>
            </w:r>
          </w:p>
        </w:tc>
        <w:tc>
          <w:tcPr>
            <w:tcW w:w="740" w:type="dxa"/>
            <w:tcBorders>
              <w:tl2br w:val="nil"/>
              <w:tr2bl w:val="nil"/>
            </w:tcBorders>
            <w:noWrap w:val="0"/>
            <w:vAlign w:val="center"/>
          </w:tcPr>
          <w:p w14:paraId="0FF3D388">
            <w:pPr>
              <w:pStyle w:val="224"/>
              <w:bidi w:val="0"/>
              <w:rPr>
                <w:rFonts w:hint="default"/>
                <w:b/>
                <w:bCs w:val="0"/>
                <w:color w:val="auto"/>
                <w:highlight w:val="none"/>
                <w:lang w:val="pt-BR"/>
              </w:rPr>
            </w:pPr>
            <w:r>
              <w:rPr>
                <w:rFonts w:hint="default"/>
                <w:b/>
                <w:bCs w:val="0"/>
                <w:color w:val="auto"/>
                <w:highlight w:val="none"/>
                <w:lang w:val="pt-BR"/>
              </w:rPr>
              <w:t>SW</w:t>
            </w:r>
          </w:p>
        </w:tc>
        <w:tc>
          <w:tcPr>
            <w:tcW w:w="1016" w:type="dxa"/>
            <w:tcBorders>
              <w:tl2br w:val="nil"/>
              <w:tr2bl w:val="nil"/>
            </w:tcBorders>
            <w:noWrap w:val="0"/>
            <w:vAlign w:val="center"/>
          </w:tcPr>
          <w:p w14:paraId="73282197">
            <w:pPr>
              <w:pStyle w:val="224"/>
              <w:bidi w:val="0"/>
              <w:rPr>
                <w:rFonts w:hint="default"/>
                <w:b/>
                <w:bCs w:val="0"/>
                <w:color w:val="auto"/>
                <w:highlight w:val="none"/>
                <w:lang w:val="pt-BR"/>
              </w:rPr>
            </w:pPr>
            <w:r>
              <w:rPr>
                <w:rFonts w:hint="default"/>
                <w:b/>
                <w:bCs w:val="0"/>
                <w:color w:val="auto"/>
                <w:highlight w:val="none"/>
                <w:lang w:val="pt-BR"/>
              </w:rPr>
              <w:t>WSW</w:t>
            </w:r>
          </w:p>
        </w:tc>
        <w:tc>
          <w:tcPr>
            <w:tcW w:w="598" w:type="dxa"/>
            <w:tcBorders>
              <w:tl2br w:val="nil"/>
              <w:tr2bl w:val="nil"/>
            </w:tcBorders>
            <w:noWrap w:val="0"/>
            <w:vAlign w:val="center"/>
          </w:tcPr>
          <w:p w14:paraId="3B8DCD58">
            <w:pPr>
              <w:pStyle w:val="224"/>
              <w:bidi w:val="0"/>
              <w:rPr>
                <w:rFonts w:hint="default"/>
                <w:b/>
                <w:bCs w:val="0"/>
                <w:color w:val="auto"/>
                <w:highlight w:val="none"/>
                <w:lang w:val="pt-BR"/>
              </w:rPr>
            </w:pPr>
            <w:r>
              <w:rPr>
                <w:rFonts w:hint="default"/>
                <w:b/>
                <w:bCs w:val="0"/>
                <w:color w:val="auto"/>
                <w:highlight w:val="none"/>
                <w:lang w:val="pt-BR"/>
              </w:rPr>
              <w:t>W</w:t>
            </w:r>
          </w:p>
        </w:tc>
        <w:tc>
          <w:tcPr>
            <w:tcW w:w="1077" w:type="dxa"/>
            <w:tcBorders>
              <w:tl2br w:val="nil"/>
              <w:tr2bl w:val="nil"/>
            </w:tcBorders>
            <w:noWrap w:val="0"/>
            <w:vAlign w:val="center"/>
          </w:tcPr>
          <w:p w14:paraId="082B210B">
            <w:pPr>
              <w:pStyle w:val="224"/>
              <w:bidi w:val="0"/>
              <w:rPr>
                <w:rFonts w:hint="default"/>
                <w:b/>
                <w:bCs w:val="0"/>
                <w:color w:val="auto"/>
                <w:highlight w:val="none"/>
                <w:lang w:val="pt-BR"/>
              </w:rPr>
            </w:pPr>
            <w:r>
              <w:rPr>
                <w:rFonts w:hint="default"/>
                <w:b/>
                <w:bCs w:val="0"/>
                <w:color w:val="auto"/>
                <w:highlight w:val="none"/>
                <w:lang w:val="pt-BR"/>
              </w:rPr>
              <w:t>WNW</w:t>
            </w:r>
          </w:p>
        </w:tc>
        <w:tc>
          <w:tcPr>
            <w:tcW w:w="801" w:type="dxa"/>
            <w:tcBorders>
              <w:tl2br w:val="nil"/>
              <w:tr2bl w:val="nil"/>
            </w:tcBorders>
            <w:noWrap w:val="0"/>
            <w:vAlign w:val="center"/>
          </w:tcPr>
          <w:p w14:paraId="7D20B8CF">
            <w:pPr>
              <w:pStyle w:val="224"/>
              <w:bidi w:val="0"/>
              <w:rPr>
                <w:rFonts w:hint="default"/>
                <w:b/>
                <w:bCs w:val="0"/>
                <w:color w:val="auto"/>
                <w:highlight w:val="none"/>
                <w:lang w:val="pt-BR"/>
              </w:rPr>
            </w:pPr>
            <w:r>
              <w:rPr>
                <w:rFonts w:hint="default"/>
                <w:b/>
                <w:bCs w:val="0"/>
                <w:color w:val="auto"/>
                <w:highlight w:val="none"/>
                <w:lang w:val="pt-BR"/>
              </w:rPr>
              <w:t>NW</w:t>
            </w:r>
          </w:p>
        </w:tc>
        <w:tc>
          <w:tcPr>
            <w:tcW w:w="999" w:type="dxa"/>
            <w:tcBorders>
              <w:tl2br w:val="nil"/>
              <w:tr2bl w:val="nil"/>
            </w:tcBorders>
            <w:noWrap w:val="0"/>
            <w:vAlign w:val="center"/>
          </w:tcPr>
          <w:p w14:paraId="7BCEBA57">
            <w:pPr>
              <w:pStyle w:val="224"/>
              <w:bidi w:val="0"/>
              <w:rPr>
                <w:rFonts w:hint="default"/>
                <w:b/>
                <w:bCs w:val="0"/>
                <w:color w:val="auto"/>
                <w:highlight w:val="none"/>
                <w:lang w:val="pt-BR"/>
              </w:rPr>
            </w:pPr>
            <w:r>
              <w:rPr>
                <w:rFonts w:hint="default"/>
                <w:b/>
                <w:bCs w:val="0"/>
                <w:color w:val="auto"/>
                <w:highlight w:val="none"/>
                <w:lang w:val="pt-BR"/>
              </w:rPr>
              <w:t>NNW</w:t>
            </w:r>
          </w:p>
        </w:tc>
        <w:tc>
          <w:tcPr>
            <w:tcW w:w="637" w:type="dxa"/>
            <w:tcBorders>
              <w:tl2br w:val="nil"/>
              <w:tr2bl w:val="nil"/>
            </w:tcBorders>
            <w:noWrap w:val="0"/>
            <w:vAlign w:val="center"/>
          </w:tcPr>
          <w:p w14:paraId="74C8AFE1">
            <w:pPr>
              <w:pStyle w:val="224"/>
              <w:bidi w:val="0"/>
              <w:rPr>
                <w:rFonts w:hint="default"/>
                <w:b/>
                <w:bCs w:val="0"/>
                <w:color w:val="auto"/>
                <w:highlight w:val="none"/>
                <w:lang w:val="pt-BR"/>
              </w:rPr>
            </w:pPr>
            <w:r>
              <w:rPr>
                <w:rFonts w:hint="default"/>
                <w:b/>
                <w:bCs w:val="0"/>
                <w:color w:val="auto"/>
                <w:highlight w:val="none"/>
                <w:lang w:val="pt-BR"/>
              </w:rPr>
              <w:t>C</w:t>
            </w:r>
          </w:p>
        </w:tc>
      </w:tr>
      <w:tr w14:paraId="373239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7FDD1B4B">
            <w:pPr>
              <w:pStyle w:val="563"/>
              <w:bidi w:val="0"/>
              <w:rPr>
                <w:rFonts w:hint="default"/>
                <w:color w:val="auto"/>
                <w:highlight w:val="none"/>
                <w:lang w:val="pt-BR"/>
              </w:rPr>
            </w:pPr>
            <w:r>
              <w:rPr>
                <w:rFonts w:hint="default"/>
                <w:color w:val="auto"/>
                <w:highlight w:val="none"/>
                <w:lang w:val="pt-BR"/>
              </w:rPr>
              <w:t>1月</w:t>
            </w:r>
          </w:p>
        </w:tc>
        <w:tc>
          <w:tcPr>
            <w:tcW w:w="523" w:type="dxa"/>
            <w:tcBorders>
              <w:tl2br w:val="nil"/>
              <w:tr2bl w:val="nil"/>
            </w:tcBorders>
            <w:noWrap w:val="0"/>
            <w:vAlign w:val="center"/>
          </w:tcPr>
          <w:p w14:paraId="6CEA1ADE">
            <w:pPr>
              <w:pStyle w:val="563"/>
              <w:bidi w:val="0"/>
              <w:rPr>
                <w:rFonts w:hint="default"/>
                <w:color w:val="auto"/>
                <w:highlight w:val="none"/>
                <w:lang w:val="pt-BR"/>
              </w:rPr>
            </w:pPr>
            <w:r>
              <w:rPr>
                <w:rFonts w:hint="default"/>
                <w:color w:val="auto"/>
                <w:highlight w:val="none"/>
                <w:lang w:val="pt-BR"/>
              </w:rPr>
              <w:t>5</w:t>
            </w:r>
          </w:p>
        </w:tc>
        <w:tc>
          <w:tcPr>
            <w:tcW w:w="878" w:type="dxa"/>
            <w:tcBorders>
              <w:tl2br w:val="nil"/>
              <w:tr2bl w:val="nil"/>
            </w:tcBorders>
            <w:noWrap w:val="0"/>
            <w:vAlign w:val="center"/>
          </w:tcPr>
          <w:p w14:paraId="1C7FDE71">
            <w:pPr>
              <w:pStyle w:val="563"/>
              <w:bidi w:val="0"/>
              <w:rPr>
                <w:rFonts w:hint="default"/>
                <w:color w:val="auto"/>
                <w:highlight w:val="none"/>
                <w:lang w:val="pt-BR"/>
              </w:rPr>
            </w:pPr>
            <w:r>
              <w:rPr>
                <w:rFonts w:hint="default"/>
                <w:color w:val="auto"/>
                <w:highlight w:val="none"/>
                <w:lang w:val="pt-BR"/>
              </w:rPr>
              <w:t>4</w:t>
            </w:r>
          </w:p>
        </w:tc>
        <w:tc>
          <w:tcPr>
            <w:tcW w:w="676" w:type="dxa"/>
            <w:tcBorders>
              <w:tl2br w:val="nil"/>
              <w:tr2bl w:val="nil"/>
            </w:tcBorders>
            <w:noWrap w:val="0"/>
            <w:vAlign w:val="center"/>
          </w:tcPr>
          <w:p w14:paraId="3D1FF3A4">
            <w:pPr>
              <w:pStyle w:val="563"/>
              <w:bidi w:val="0"/>
              <w:rPr>
                <w:rFonts w:hint="default"/>
                <w:color w:val="auto"/>
                <w:highlight w:val="none"/>
                <w:lang w:val="pt-BR"/>
              </w:rPr>
            </w:pPr>
            <w:r>
              <w:rPr>
                <w:rFonts w:hint="default"/>
                <w:color w:val="auto"/>
                <w:highlight w:val="none"/>
                <w:lang w:val="pt-BR"/>
              </w:rPr>
              <w:t>7</w:t>
            </w:r>
          </w:p>
        </w:tc>
        <w:tc>
          <w:tcPr>
            <w:tcW w:w="826" w:type="dxa"/>
            <w:tcBorders>
              <w:tl2br w:val="nil"/>
              <w:tr2bl w:val="nil"/>
            </w:tcBorders>
            <w:noWrap w:val="0"/>
            <w:vAlign w:val="center"/>
          </w:tcPr>
          <w:p w14:paraId="12E63E91">
            <w:pPr>
              <w:pStyle w:val="563"/>
              <w:bidi w:val="0"/>
              <w:rPr>
                <w:rFonts w:hint="default"/>
                <w:color w:val="auto"/>
                <w:highlight w:val="none"/>
                <w:lang w:val="pt-BR"/>
              </w:rPr>
            </w:pPr>
            <w:r>
              <w:rPr>
                <w:rFonts w:hint="default"/>
                <w:color w:val="auto"/>
                <w:highlight w:val="none"/>
                <w:lang w:val="pt-BR"/>
              </w:rPr>
              <w:t>8</w:t>
            </w:r>
          </w:p>
        </w:tc>
        <w:tc>
          <w:tcPr>
            <w:tcW w:w="637" w:type="dxa"/>
            <w:tcBorders>
              <w:tl2br w:val="nil"/>
              <w:tr2bl w:val="nil"/>
            </w:tcBorders>
            <w:noWrap w:val="0"/>
            <w:vAlign w:val="center"/>
          </w:tcPr>
          <w:p w14:paraId="50779A5D">
            <w:pPr>
              <w:pStyle w:val="563"/>
              <w:bidi w:val="0"/>
              <w:rPr>
                <w:rFonts w:hint="default"/>
                <w:color w:val="auto"/>
                <w:highlight w:val="none"/>
                <w:lang w:val="pt-BR"/>
              </w:rPr>
            </w:pPr>
            <w:r>
              <w:rPr>
                <w:rFonts w:hint="default"/>
                <w:color w:val="auto"/>
                <w:highlight w:val="none"/>
                <w:lang w:val="pt-BR"/>
              </w:rPr>
              <w:t>10</w:t>
            </w:r>
          </w:p>
        </w:tc>
        <w:tc>
          <w:tcPr>
            <w:tcW w:w="765" w:type="dxa"/>
            <w:tcBorders>
              <w:tl2br w:val="nil"/>
              <w:tr2bl w:val="nil"/>
            </w:tcBorders>
            <w:noWrap w:val="0"/>
            <w:vAlign w:val="center"/>
          </w:tcPr>
          <w:p w14:paraId="765DF4F2">
            <w:pPr>
              <w:pStyle w:val="563"/>
              <w:bidi w:val="0"/>
              <w:rPr>
                <w:rFonts w:hint="default"/>
                <w:color w:val="auto"/>
                <w:highlight w:val="none"/>
                <w:lang w:val="pt-BR"/>
              </w:rPr>
            </w:pPr>
            <w:r>
              <w:rPr>
                <w:rFonts w:hint="default"/>
                <w:color w:val="auto"/>
                <w:highlight w:val="none"/>
                <w:lang w:val="pt-BR"/>
              </w:rPr>
              <w:t>8</w:t>
            </w:r>
          </w:p>
        </w:tc>
        <w:tc>
          <w:tcPr>
            <w:tcW w:w="637" w:type="dxa"/>
            <w:tcBorders>
              <w:tl2br w:val="nil"/>
              <w:tr2bl w:val="nil"/>
            </w:tcBorders>
            <w:noWrap w:val="0"/>
            <w:vAlign w:val="center"/>
          </w:tcPr>
          <w:p w14:paraId="7AD08E74">
            <w:pPr>
              <w:pStyle w:val="563"/>
              <w:bidi w:val="0"/>
              <w:rPr>
                <w:rFonts w:hint="default"/>
                <w:color w:val="auto"/>
                <w:highlight w:val="none"/>
                <w:lang w:val="pt-BR"/>
              </w:rPr>
            </w:pPr>
            <w:r>
              <w:rPr>
                <w:rFonts w:hint="default"/>
                <w:color w:val="auto"/>
                <w:highlight w:val="none"/>
                <w:lang w:val="pt-BR"/>
              </w:rPr>
              <w:t>6</w:t>
            </w:r>
          </w:p>
        </w:tc>
        <w:tc>
          <w:tcPr>
            <w:tcW w:w="759" w:type="dxa"/>
            <w:tcBorders>
              <w:tl2br w:val="nil"/>
              <w:tr2bl w:val="nil"/>
            </w:tcBorders>
            <w:noWrap w:val="0"/>
            <w:vAlign w:val="center"/>
          </w:tcPr>
          <w:p w14:paraId="30A41883">
            <w:pPr>
              <w:pStyle w:val="563"/>
              <w:bidi w:val="0"/>
              <w:rPr>
                <w:rFonts w:hint="default"/>
                <w:color w:val="auto"/>
                <w:highlight w:val="none"/>
                <w:lang w:val="pt-BR"/>
              </w:rPr>
            </w:pPr>
            <w:r>
              <w:rPr>
                <w:rFonts w:hint="default"/>
                <w:color w:val="auto"/>
                <w:highlight w:val="none"/>
                <w:lang w:val="pt-BR"/>
              </w:rPr>
              <w:t>3</w:t>
            </w:r>
          </w:p>
        </w:tc>
        <w:tc>
          <w:tcPr>
            <w:tcW w:w="480" w:type="dxa"/>
            <w:tcBorders>
              <w:tl2br w:val="nil"/>
              <w:tr2bl w:val="nil"/>
            </w:tcBorders>
            <w:noWrap w:val="0"/>
            <w:vAlign w:val="center"/>
          </w:tcPr>
          <w:p w14:paraId="538E4647">
            <w:pPr>
              <w:pStyle w:val="563"/>
              <w:bidi w:val="0"/>
              <w:rPr>
                <w:rFonts w:hint="default"/>
                <w:color w:val="auto"/>
                <w:highlight w:val="none"/>
                <w:lang w:val="pt-BR"/>
              </w:rPr>
            </w:pPr>
            <w:r>
              <w:rPr>
                <w:rFonts w:hint="default"/>
                <w:color w:val="auto"/>
                <w:highlight w:val="none"/>
                <w:lang w:val="pt-BR"/>
              </w:rPr>
              <w:t>3</w:t>
            </w:r>
          </w:p>
        </w:tc>
        <w:tc>
          <w:tcPr>
            <w:tcW w:w="882" w:type="dxa"/>
            <w:tcBorders>
              <w:tl2br w:val="nil"/>
              <w:tr2bl w:val="nil"/>
            </w:tcBorders>
            <w:noWrap w:val="0"/>
            <w:vAlign w:val="center"/>
          </w:tcPr>
          <w:p w14:paraId="3CF888BC">
            <w:pPr>
              <w:pStyle w:val="563"/>
              <w:bidi w:val="0"/>
              <w:rPr>
                <w:rFonts w:hint="default"/>
                <w:color w:val="auto"/>
                <w:highlight w:val="none"/>
                <w:lang w:val="pt-BR"/>
              </w:rPr>
            </w:pPr>
            <w:r>
              <w:rPr>
                <w:rFonts w:hint="default"/>
                <w:color w:val="auto"/>
                <w:highlight w:val="none"/>
                <w:lang w:val="pt-BR"/>
              </w:rPr>
              <w:t>2</w:t>
            </w:r>
          </w:p>
        </w:tc>
        <w:tc>
          <w:tcPr>
            <w:tcW w:w="740" w:type="dxa"/>
            <w:tcBorders>
              <w:tl2br w:val="nil"/>
              <w:tr2bl w:val="nil"/>
            </w:tcBorders>
            <w:noWrap w:val="0"/>
            <w:vAlign w:val="center"/>
          </w:tcPr>
          <w:p w14:paraId="08E62CDB">
            <w:pPr>
              <w:pStyle w:val="563"/>
              <w:bidi w:val="0"/>
              <w:rPr>
                <w:rFonts w:hint="default"/>
                <w:color w:val="auto"/>
                <w:highlight w:val="none"/>
                <w:lang w:val="pt-BR"/>
              </w:rPr>
            </w:pPr>
            <w:r>
              <w:rPr>
                <w:rFonts w:hint="default"/>
                <w:color w:val="auto"/>
                <w:highlight w:val="none"/>
                <w:lang w:val="pt-BR"/>
              </w:rPr>
              <w:t>4</w:t>
            </w:r>
          </w:p>
        </w:tc>
        <w:tc>
          <w:tcPr>
            <w:tcW w:w="1016" w:type="dxa"/>
            <w:tcBorders>
              <w:tl2br w:val="nil"/>
              <w:tr2bl w:val="nil"/>
            </w:tcBorders>
            <w:noWrap w:val="0"/>
            <w:vAlign w:val="center"/>
          </w:tcPr>
          <w:p w14:paraId="216EA151">
            <w:pPr>
              <w:pStyle w:val="563"/>
              <w:bidi w:val="0"/>
              <w:rPr>
                <w:rFonts w:hint="default"/>
                <w:color w:val="auto"/>
                <w:highlight w:val="none"/>
                <w:lang w:val="pt-BR"/>
              </w:rPr>
            </w:pPr>
            <w:r>
              <w:rPr>
                <w:rFonts w:hint="default"/>
                <w:color w:val="auto"/>
                <w:highlight w:val="none"/>
                <w:lang w:val="pt-BR"/>
              </w:rPr>
              <w:t>4</w:t>
            </w:r>
          </w:p>
        </w:tc>
        <w:tc>
          <w:tcPr>
            <w:tcW w:w="598" w:type="dxa"/>
            <w:tcBorders>
              <w:tl2br w:val="nil"/>
              <w:tr2bl w:val="nil"/>
            </w:tcBorders>
            <w:noWrap w:val="0"/>
            <w:vAlign w:val="center"/>
          </w:tcPr>
          <w:p w14:paraId="4B776175">
            <w:pPr>
              <w:pStyle w:val="563"/>
              <w:bidi w:val="0"/>
              <w:rPr>
                <w:rFonts w:hint="default"/>
                <w:color w:val="auto"/>
                <w:highlight w:val="none"/>
                <w:lang w:val="pt-BR"/>
              </w:rPr>
            </w:pPr>
            <w:r>
              <w:rPr>
                <w:rFonts w:hint="default"/>
                <w:color w:val="auto"/>
                <w:highlight w:val="none"/>
                <w:lang w:val="pt-BR"/>
              </w:rPr>
              <w:t>5</w:t>
            </w:r>
          </w:p>
        </w:tc>
        <w:tc>
          <w:tcPr>
            <w:tcW w:w="1077" w:type="dxa"/>
            <w:tcBorders>
              <w:tl2br w:val="nil"/>
              <w:tr2bl w:val="nil"/>
            </w:tcBorders>
            <w:noWrap w:val="0"/>
            <w:vAlign w:val="center"/>
          </w:tcPr>
          <w:p w14:paraId="536B57CA">
            <w:pPr>
              <w:pStyle w:val="563"/>
              <w:bidi w:val="0"/>
              <w:rPr>
                <w:rFonts w:hint="default"/>
                <w:color w:val="auto"/>
                <w:highlight w:val="none"/>
                <w:lang w:val="pt-BR"/>
              </w:rPr>
            </w:pPr>
            <w:r>
              <w:rPr>
                <w:rFonts w:hint="default"/>
                <w:color w:val="auto"/>
                <w:highlight w:val="none"/>
                <w:lang w:val="pt-BR"/>
              </w:rPr>
              <w:t>5</w:t>
            </w:r>
          </w:p>
        </w:tc>
        <w:tc>
          <w:tcPr>
            <w:tcW w:w="801" w:type="dxa"/>
            <w:tcBorders>
              <w:tl2br w:val="nil"/>
              <w:tr2bl w:val="nil"/>
            </w:tcBorders>
            <w:noWrap w:val="0"/>
            <w:vAlign w:val="center"/>
          </w:tcPr>
          <w:p w14:paraId="3563AA00">
            <w:pPr>
              <w:pStyle w:val="563"/>
              <w:bidi w:val="0"/>
              <w:rPr>
                <w:rFonts w:hint="default"/>
                <w:color w:val="auto"/>
                <w:highlight w:val="none"/>
                <w:lang w:val="pt-BR"/>
              </w:rPr>
            </w:pPr>
            <w:r>
              <w:rPr>
                <w:rFonts w:hint="default"/>
                <w:color w:val="auto"/>
                <w:highlight w:val="none"/>
                <w:lang w:val="pt-BR"/>
              </w:rPr>
              <w:t>7</w:t>
            </w:r>
          </w:p>
        </w:tc>
        <w:tc>
          <w:tcPr>
            <w:tcW w:w="999" w:type="dxa"/>
            <w:tcBorders>
              <w:tl2br w:val="nil"/>
              <w:tr2bl w:val="nil"/>
            </w:tcBorders>
            <w:noWrap w:val="0"/>
            <w:vAlign w:val="center"/>
          </w:tcPr>
          <w:p w14:paraId="594AC28E">
            <w:pPr>
              <w:pStyle w:val="563"/>
              <w:bidi w:val="0"/>
              <w:rPr>
                <w:rFonts w:hint="default"/>
                <w:color w:val="auto"/>
                <w:highlight w:val="none"/>
                <w:lang w:val="pt-BR"/>
              </w:rPr>
            </w:pPr>
            <w:r>
              <w:rPr>
                <w:rFonts w:hint="default"/>
                <w:color w:val="auto"/>
                <w:highlight w:val="none"/>
                <w:lang w:val="pt-BR"/>
              </w:rPr>
              <w:t>4</w:t>
            </w:r>
          </w:p>
        </w:tc>
        <w:tc>
          <w:tcPr>
            <w:tcW w:w="637" w:type="dxa"/>
            <w:tcBorders>
              <w:tl2br w:val="nil"/>
              <w:tr2bl w:val="nil"/>
            </w:tcBorders>
            <w:noWrap w:val="0"/>
            <w:vAlign w:val="center"/>
          </w:tcPr>
          <w:p w14:paraId="175BFF94">
            <w:pPr>
              <w:pStyle w:val="563"/>
              <w:bidi w:val="0"/>
              <w:rPr>
                <w:rFonts w:hint="default"/>
                <w:color w:val="auto"/>
                <w:highlight w:val="none"/>
                <w:lang w:val="pt-BR"/>
              </w:rPr>
            </w:pPr>
            <w:r>
              <w:rPr>
                <w:rFonts w:hint="default"/>
                <w:color w:val="auto"/>
                <w:highlight w:val="none"/>
                <w:lang w:val="pt-BR"/>
              </w:rPr>
              <w:t>16</w:t>
            </w:r>
          </w:p>
        </w:tc>
      </w:tr>
      <w:tr w14:paraId="77C266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636A717B">
            <w:pPr>
              <w:pStyle w:val="563"/>
              <w:bidi w:val="0"/>
              <w:rPr>
                <w:rFonts w:hint="default"/>
                <w:color w:val="auto"/>
                <w:highlight w:val="none"/>
                <w:lang w:val="pt-BR"/>
              </w:rPr>
            </w:pPr>
            <w:r>
              <w:rPr>
                <w:rFonts w:hint="default"/>
                <w:color w:val="auto"/>
                <w:highlight w:val="none"/>
                <w:lang w:val="pt-BR"/>
              </w:rPr>
              <w:t>2月</w:t>
            </w:r>
          </w:p>
        </w:tc>
        <w:tc>
          <w:tcPr>
            <w:tcW w:w="523" w:type="dxa"/>
            <w:tcBorders>
              <w:tl2br w:val="nil"/>
              <w:tr2bl w:val="nil"/>
            </w:tcBorders>
            <w:noWrap w:val="0"/>
            <w:vAlign w:val="center"/>
          </w:tcPr>
          <w:p w14:paraId="06A84D70">
            <w:pPr>
              <w:pStyle w:val="563"/>
              <w:bidi w:val="0"/>
              <w:rPr>
                <w:rFonts w:hint="default"/>
                <w:color w:val="auto"/>
                <w:highlight w:val="none"/>
                <w:lang w:val="pt-BR"/>
              </w:rPr>
            </w:pPr>
            <w:r>
              <w:rPr>
                <w:rFonts w:hint="default"/>
                <w:color w:val="auto"/>
                <w:highlight w:val="none"/>
                <w:lang w:val="pt-BR"/>
              </w:rPr>
              <w:t>4</w:t>
            </w:r>
          </w:p>
        </w:tc>
        <w:tc>
          <w:tcPr>
            <w:tcW w:w="878" w:type="dxa"/>
            <w:tcBorders>
              <w:tl2br w:val="nil"/>
              <w:tr2bl w:val="nil"/>
            </w:tcBorders>
            <w:noWrap w:val="0"/>
            <w:vAlign w:val="center"/>
          </w:tcPr>
          <w:p w14:paraId="0A85E422">
            <w:pPr>
              <w:pStyle w:val="563"/>
              <w:bidi w:val="0"/>
              <w:rPr>
                <w:rFonts w:hint="default"/>
                <w:color w:val="auto"/>
                <w:highlight w:val="none"/>
                <w:lang w:val="pt-BR"/>
              </w:rPr>
            </w:pPr>
            <w:r>
              <w:rPr>
                <w:rFonts w:hint="default"/>
                <w:color w:val="auto"/>
                <w:highlight w:val="none"/>
                <w:lang w:val="pt-BR"/>
              </w:rPr>
              <w:t>4</w:t>
            </w:r>
          </w:p>
        </w:tc>
        <w:tc>
          <w:tcPr>
            <w:tcW w:w="676" w:type="dxa"/>
            <w:tcBorders>
              <w:tl2br w:val="nil"/>
              <w:tr2bl w:val="nil"/>
            </w:tcBorders>
            <w:noWrap w:val="0"/>
            <w:vAlign w:val="center"/>
          </w:tcPr>
          <w:p w14:paraId="72310DF5">
            <w:pPr>
              <w:pStyle w:val="563"/>
              <w:bidi w:val="0"/>
              <w:rPr>
                <w:rFonts w:hint="default"/>
                <w:color w:val="auto"/>
                <w:highlight w:val="none"/>
                <w:lang w:val="pt-BR"/>
              </w:rPr>
            </w:pPr>
            <w:r>
              <w:rPr>
                <w:rFonts w:hint="default"/>
                <w:color w:val="auto"/>
                <w:highlight w:val="none"/>
                <w:lang w:val="pt-BR"/>
              </w:rPr>
              <w:t>7</w:t>
            </w:r>
          </w:p>
        </w:tc>
        <w:tc>
          <w:tcPr>
            <w:tcW w:w="826" w:type="dxa"/>
            <w:tcBorders>
              <w:tl2br w:val="nil"/>
              <w:tr2bl w:val="nil"/>
            </w:tcBorders>
            <w:noWrap w:val="0"/>
            <w:vAlign w:val="center"/>
          </w:tcPr>
          <w:p w14:paraId="206B31EB">
            <w:pPr>
              <w:pStyle w:val="563"/>
              <w:bidi w:val="0"/>
              <w:rPr>
                <w:rFonts w:hint="default"/>
                <w:color w:val="auto"/>
                <w:highlight w:val="none"/>
                <w:lang w:val="pt-BR"/>
              </w:rPr>
            </w:pPr>
            <w:r>
              <w:rPr>
                <w:rFonts w:hint="default"/>
                <w:color w:val="auto"/>
                <w:highlight w:val="none"/>
                <w:lang w:val="pt-BR"/>
              </w:rPr>
              <w:t>9</w:t>
            </w:r>
          </w:p>
        </w:tc>
        <w:tc>
          <w:tcPr>
            <w:tcW w:w="637" w:type="dxa"/>
            <w:tcBorders>
              <w:tl2br w:val="nil"/>
              <w:tr2bl w:val="nil"/>
            </w:tcBorders>
            <w:noWrap w:val="0"/>
            <w:vAlign w:val="center"/>
          </w:tcPr>
          <w:p w14:paraId="259D43DE">
            <w:pPr>
              <w:pStyle w:val="563"/>
              <w:bidi w:val="0"/>
              <w:rPr>
                <w:rFonts w:hint="default"/>
                <w:color w:val="auto"/>
                <w:highlight w:val="none"/>
                <w:lang w:val="pt-BR"/>
              </w:rPr>
            </w:pPr>
            <w:r>
              <w:rPr>
                <w:rFonts w:hint="default"/>
                <w:color w:val="auto"/>
                <w:highlight w:val="none"/>
                <w:lang w:val="pt-BR"/>
              </w:rPr>
              <w:t>14</w:t>
            </w:r>
          </w:p>
        </w:tc>
        <w:tc>
          <w:tcPr>
            <w:tcW w:w="765" w:type="dxa"/>
            <w:tcBorders>
              <w:tl2br w:val="nil"/>
              <w:tr2bl w:val="nil"/>
            </w:tcBorders>
            <w:noWrap w:val="0"/>
            <w:vAlign w:val="center"/>
          </w:tcPr>
          <w:p w14:paraId="676C9F9E">
            <w:pPr>
              <w:pStyle w:val="563"/>
              <w:bidi w:val="0"/>
              <w:rPr>
                <w:rFonts w:hint="default"/>
                <w:color w:val="auto"/>
                <w:highlight w:val="none"/>
                <w:lang w:val="pt-BR"/>
              </w:rPr>
            </w:pPr>
            <w:r>
              <w:rPr>
                <w:rFonts w:hint="default"/>
                <w:color w:val="auto"/>
                <w:highlight w:val="none"/>
                <w:lang w:val="pt-BR"/>
              </w:rPr>
              <w:t>11</w:t>
            </w:r>
          </w:p>
        </w:tc>
        <w:tc>
          <w:tcPr>
            <w:tcW w:w="637" w:type="dxa"/>
            <w:tcBorders>
              <w:tl2br w:val="nil"/>
              <w:tr2bl w:val="nil"/>
            </w:tcBorders>
            <w:noWrap w:val="0"/>
            <w:vAlign w:val="center"/>
          </w:tcPr>
          <w:p w14:paraId="06E4A07A">
            <w:pPr>
              <w:pStyle w:val="563"/>
              <w:bidi w:val="0"/>
              <w:rPr>
                <w:rFonts w:hint="default"/>
                <w:color w:val="auto"/>
                <w:highlight w:val="none"/>
                <w:lang w:val="pt-BR"/>
              </w:rPr>
            </w:pPr>
            <w:r>
              <w:rPr>
                <w:rFonts w:hint="default"/>
                <w:color w:val="auto"/>
                <w:highlight w:val="none"/>
                <w:lang w:val="pt-BR"/>
              </w:rPr>
              <w:t>7</w:t>
            </w:r>
          </w:p>
        </w:tc>
        <w:tc>
          <w:tcPr>
            <w:tcW w:w="759" w:type="dxa"/>
            <w:tcBorders>
              <w:tl2br w:val="nil"/>
              <w:tr2bl w:val="nil"/>
            </w:tcBorders>
            <w:noWrap w:val="0"/>
            <w:vAlign w:val="center"/>
          </w:tcPr>
          <w:p w14:paraId="6A7F577E">
            <w:pPr>
              <w:pStyle w:val="563"/>
              <w:bidi w:val="0"/>
              <w:rPr>
                <w:rFonts w:hint="default"/>
                <w:color w:val="auto"/>
                <w:highlight w:val="none"/>
                <w:lang w:val="pt-BR"/>
              </w:rPr>
            </w:pPr>
            <w:r>
              <w:rPr>
                <w:rFonts w:hint="default"/>
                <w:color w:val="auto"/>
                <w:highlight w:val="none"/>
                <w:lang w:val="pt-BR"/>
              </w:rPr>
              <w:t>3</w:t>
            </w:r>
          </w:p>
        </w:tc>
        <w:tc>
          <w:tcPr>
            <w:tcW w:w="480" w:type="dxa"/>
            <w:tcBorders>
              <w:tl2br w:val="nil"/>
              <w:tr2bl w:val="nil"/>
            </w:tcBorders>
            <w:noWrap w:val="0"/>
            <w:vAlign w:val="center"/>
          </w:tcPr>
          <w:p w14:paraId="72D39C8B">
            <w:pPr>
              <w:pStyle w:val="563"/>
              <w:bidi w:val="0"/>
              <w:rPr>
                <w:rFonts w:hint="default"/>
                <w:color w:val="auto"/>
                <w:highlight w:val="none"/>
                <w:lang w:val="pt-BR"/>
              </w:rPr>
            </w:pPr>
            <w:r>
              <w:rPr>
                <w:rFonts w:hint="default"/>
                <w:color w:val="auto"/>
                <w:highlight w:val="none"/>
                <w:lang w:val="pt-BR"/>
              </w:rPr>
              <w:t>3</w:t>
            </w:r>
          </w:p>
        </w:tc>
        <w:tc>
          <w:tcPr>
            <w:tcW w:w="882" w:type="dxa"/>
            <w:tcBorders>
              <w:tl2br w:val="nil"/>
              <w:tr2bl w:val="nil"/>
            </w:tcBorders>
            <w:noWrap w:val="0"/>
            <w:vAlign w:val="center"/>
          </w:tcPr>
          <w:p w14:paraId="73724F4E">
            <w:pPr>
              <w:pStyle w:val="563"/>
              <w:bidi w:val="0"/>
              <w:rPr>
                <w:rFonts w:hint="default"/>
                <w:color w:val="auto"/>
                <w:highlight w:val="none"/>
                <w:lang w:val="pt-BR"/>
              </w:rPr>
            </w:pPr>
            <w:r>
              <w:rPr>
                <w:rFonts w:hint="default"/>
                <w:color w:val="auto"/>
                <w:highlight w:val="none"/>
                <w:lang w:val="pt-BR"/>
              </w:rPr>
              <w:t>2</w:t>
            </w:r>
          </w:p>
        </w:tc>
        <w:tc>
          <w:tcPr>
            <w:tcW w:w="740" w:type="dxa"/>
            <w:tcBorders>
              <w:tl2br w:val="nil"/>
              <w:tr2bl w:val="nil"/>
            </w:tcBorders>
            <w:noWrap w:val="0"/>
            <w:vAlign w:val="center"/>
          </w:tcPr>
          <w:p w14:paraId="6E64BDE5">
            <w:pPr>
              <w:pStyle w:val="563"/>
              <w:bidi w:val="0"/>
              <w:rPr>
                <w:rFonts w:hint="default"/>
                <w:color w:val="auto"/>
                <w:highlight w:val="none"/>
                <w:lang w:val="pt-BR"/>
              </w:rPr>
            </w:pPr>
            <w:r>
              <w:rPr>
                <w:rFonts w:hint="default"/>
                <w:color w:val="auto"/>
                <w:highlight w:val="none"/>
                <w:lang w:val="pt-BR"/>
              </w:rPr>
              <w:t>3</w:t>
            </w:r>
          </w:p>
        </w:tc>
        <w:tc>
          <w:tcPr>
            <w:tcW w:w="1016" w:type="dxa"/>
            <w:tcBorders>
              <w:tl2br w:val="nil"/>
              <w:tr2bl w:val="nil"/>
            </w:tcBorders>
            <w:noWrap w:val="0"/>
            <w:vAlign w:val="center"/>
          </w:tcPr>
          <w:p w14:paraId="3D9087FC">
            <w:pPr>
              <w:pStyle w:val="563"/>
              <w:bidi w:val="0"/>
              <w:rPr>
                <w:rFonts w:hint="default"/>
                <w:color w:val="auto"/>
                <w:highlight w:val="none"/>
                <w:lang w:val="pt-BR"/>
              </w:rPr>
            </w:pPr>
            <w:r>
              <w:rPr>
                <w:rFonts w:hint="default"/>
                <w:color w:val="auto"/>
                <w:highlight w:val="none"/>
                <w:lang w:val="pt-BR"/>
              </w:rPr>
              <w:t>3</w:t>
            </w:r>
          </w:p>
        </w:tc>
        <w:tc>
          <w:tcPr>
            <w:tcW w:w="598" w:type="dxa"/>
            <w:tcBorders>
              <w:tl2br w:val="nil"/>
              <w:tr2bl w:val="nil"/>
            </w:tcBorders>
            <w:noWrap w:val="0"/>
            <w:vAlign w:val="center"/>
          </w:tcPr>
          <w:p w14:paraId="7B785975">
            <w:pPr>
              <w:pStyle w:val="563"/>
              <w:bidi w:val="0"/>
              <w:rPr>
                <w:rFonts w:hint="default"/>
                <w:color w:val="auto"/>
                <w:highlight w:val="none"/>
                <w:lang w:val="pt-BR"/>
              </w:rPr>
            </w:pPr>
            <w:r>
              <w:rPr>
                <w:rFonts w:hint="default"/>
                <w:color w:val="auto"/>
                <w:highlight w:val="none"/>
                <w:lang w:val="pt-BR"/>
              </w:rPr>
              <w:t>4</w:t>
            </w:r>
          </w:p>
        </w:tc>
        <w:tc>
          <w:tcPr>
            <w:tcW w:w="1077" w:type="dxa"/>
            <w:tcBorders>
              <w:tl2br w:val="nil"/>
              <w:tr2bl w:val="nil"/>
            </w:tcBorders>
            <w:noWrap w:val="0"/>
            <w:vAlign w:val="center"/>
          </w:tcPr>
          <w:p w14:paraId="17589620">
            <w:pPr>
              <w:pStyle w:val="563"/>
              <w:bidi w:val="0"/>
              <w:rPr>
                <w:rFonts w:hint="default"/>
                <w:color w:val="auto"/>
                <w:highlight w:val="none"/>
                <w:lang w:val="pt-BR"/>
              </w:rPr>
            </w:pPr>
            <w:r>
              <w:rPr>
                <w:rFonts w:hint="default"/>
                <w:color w:val="auto"/>
                <w:highlight w:val="none"/>
                <w:lang w:val="pt-BR"/>
              </w:rPr>
              <w:t>3</w:t>
            </w:r>
          </w:p>
        </w:tc>
        <w:tc>
          <w:tcPr>
            <w:tcW w:w="801" w:type="dxa"/>
            <w:tcBorders>
              <w:tl2br w:val="nil"/>
              <w:tr2bl w:val="nil"/>
            </w:tcBorders>
            <w:noWrap w:val="0"/>
            <w:vAlign w:val="center"/>
          </w:tcPr>
          <w:p w14:paraId="095097C0">
            <w:pPr>
              <w:pStyle w:val="563"/>
              <w:bidi w:val="0"/>
              <w:rPr>
                <w:rFonts w:hint="default"/>
                <w:color w:val="auto"/>
                <w:highlight w:val="none"/>
                <w:lang w:val="pt-BR"/>
              </w:rPr>
            </w:pPr>
            <w:r>
              <w:rPr>
                <w:rFonts w:hint="default"/>
                <w:color w:val="auto"/>
                <w:highlight w:val="none"/>
                <w:lang w:val="pt-BR"/>
              </w:rPr>
              <w:t>5</w:t>
            </w:r>
          </w:p>
        </w:tc>
        <w:tc>
          <w:tcPr>
            <w:tcW w:w="999" w:type="dxa"/>
            <w:tcBorders>
              <w:tl2br w:val="nil"/>
              <w:tr2bl w:val="nil"/>
            </w:tcBorders>
            <w:noWrap w:val="0"/>
            <w:vAlign w:val="center"/>
          </w:tcPr>
          <w:p w14:paraId="6ABDD842">
            <w:pPr>
              <w:pStyle w:val="563"/>
              <w:bidi w:val="0"/>
              <w:rPr>
                <w:rFonts w:hint="default"/>
                <w:color w:val="auto"/>
                <w:highlight w:val="none"/>
                <w:lang w:val="pt-BR"/>
              </w:rPr>
            </w:pPr>
            <w:r>
              <w:rPr>
                <w:rFonts w:hint="default"/>
                <w:color w:val="auto"/>
                <w:highlight w:val="none"/>
                <w:lang w:val="pt-BR"/>
              </w:rPr>
              <w:t>4</w:t>
            </w:r>
          </w:p>
        </w:tc>
        <w:tc>
          <w:tcPr>
            <w:tcW w:w="637" w:type="dxa"/>
            <w:tcBorders>
              <w:tl2br w:val="nil"/>
              <w:tr2bl w:val="nil"/>
            </w:tcBorders>
            <w:noWrap w:val="0"/>
            <w:vAlign w:val="center"/>
          </w:tcPr>
          <w:p w14:paraId="77C434ED">
            <w:pPr>
              <w:pStyle w:val="563"/>
              <w:bidi w:val="0"/>
              <w:rPr>
                <w:rFonts w:hint="default"/>
                <w:color w:val="auto"/>
                <w:highlight w:val="none"/>
                <w:lang w:val="pt-BR"/>
              </w:rPr>
            </w:pPr>
            <w:r>
              <w:rPr>
                <w:rFonts w:hint="default"/>
                <w:color w:val="auto"/>
                <w:highlight w:val="none"/>
                <w:lang w:val="pt-BR"/>
              </w:rPr>
              <w:t>13</w:t>
            </w:r>
          </w:p>
        </w:tc>
      </w:tr>
      <w:tr w14:paraId="78890C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4C95CB36">
            <w:pPr>
              <w:pStyle w:val="563"/>
              <w:bidi w:val="0"/>
              <w:rPr>
                <w:rFonts w:hint="default"/>
                <w:color w:val="auto"/>
                <w:highlight w:val="none"/>
                <w:lang w:val="pt-BR"/>
              </w:rPr>
            </w:pPr>
            <w:r>
              <w:rPr>
                <w:rFonts w:hint="default"/>
                <w:color w:val="auto"/>
                <w:highlight w:val="none"/>
                <w:lang w:val="pt-BR"/>
              </w:rPr>
              <w:t>3月</w:t>
            </w:r>
          </w:p>
        </w:tc>
        <w:tc>
          <w:tcPr>
            <w:tcW w:w="523" w:type="dxa"/>
            <w:tcBorders>
              <w:tl2br w:val="nil"/>
              <w:tr2bl w:val="nil"/>
            </w:tcBorders>
            <w:noWrap w:val="0"/>
            <w:vAlign w:val="center"/>
          </w:tcPr>
          <w:p w14:paraId="7B5D2B94">
            <w:pPr>
              <w:pStyle w:val="563"/>
              <w:bidi w:val="0"/>
              <w:rPr>
                <w:rFonts w:hint="default"/>
                <w:color w:val="auto"/>
                <w:highlight w:val="none"/>
                <w:lang w:val="pt-BR"/>
              </w:rPr>
            </w:pPr>
            <w:r>
              <w:rPr>
                <w:rFonts w:hint="default"/>
                <w:color w:val="auto"/>
                <w:highlight w:val="none"/>
                <w:lang w:val="pt-BR"/>
              </w:rPr>
              <w:t>4</w:t>
            </w:r>
          </w:p>
        </w:tc>
        <w:tc>
          <w:tcPr>
            <w:tcW w:w="878" w:type="dxa"/>
            <w:tcBorders>
              <w:tl2br w:val="nil"/>
              <w:tr2bl w:val="nil"/>
            </w:tcBorders>
            <w:noWrap w:val="0"/>
            <w:vAlign w:val="center"/>
          </w:tcPr>
          <w:p w14:paraId="5217C4F6">
            <w:pPr>
              <w:pStyle w:val="563"/>
              <w:bidi w:val="0"/>
              <w:rPr>
                <w:rFonts w:hint="default"/>
                <w:color w:val="auto"/>
                <w:highlight w:val="none"/>
                <w:lang w:val="pt-BR"/>
              </w:rPr>
            </w:pPr>
            <w:r>
              <w:rPr>
                <w:rFonts w:hint="default"/>
                <w:color w:val="auto"/>
                <w:highlight w:val="none"/>
                <w:lang w:val="pt-BR"/>
              </w:rPr>
              <w:t>4</w:t>
            </w:r>
          </w:p>
        </w:tc>
        <w:tc>
          <w:tcPr>
            <w:tcW w:w="676" w:type="dxa"/>
            <w:tcBorders>
              <w:tl2br w:val="nil"/>
              <w:tr2bl w:val="nil"/>
            </w:tcBorders>
            <w:noWrap w:val="0"/>
            <w:vAlign w:val="center"/>
          </w:tcPr>
          <w:p w14:paraId="63AE6D82">
            <w:pPr>
              <w:pStyle w:val="563"/>
              <w:bidi w:val="0"/>
              <w:rPr>
                <w:rFonts w:hint="default"/>
                <w:color w:val="auto"/>
                <w:highlight w:val="none"/>
                <w:lang w:val="pt-BR"/>
              </w:rPr>
            </w:pPr>
            <w:r>
              <w:rPr>
                <w:rFonts w:hint="default"/>
                <w:color w:val="auto"/>
                <w:highlight w:val="none"/>
                <w:lang w:val="pt-BR"/>
              </w:rPr>
              <w:t>7</w:t>
            </w:r>
          </w:p>
        </w:tc>
        <w:tc>
          <w:tcPr>
            <w:tcW w:w="826" w:type="dxa"/>
            <w:tcBorders>
              <w:tl2br w:val="nil"/>
              <w:tr2bl w:val="nil"/>
            </w:tcBorders>
            <w:noWrap w:val="0"/>
            <w:vAlign w:val="center"/>
          </w:tcPr>
          <w:p w14:paraId="5B07AD50">
            <w:pPr>
              <w:pStyle w:val="563"/>
              <w:bidi w:val="0"/>
              <w:rPr>
                <w:rFonts w:hint="default"/>
                <w:color w:val="auto"/>
                <w:highlight w:val="none"/>
                <w:lang w:val="pt-BR"/>
              </w:rPr>
            </w:pPr>
            <w:r>
              <w:rPr>
                <w:rFonts w:hint="default"/>
                <w:color w:val="auto"/>
                <w:highlight w:val="none"/>
                <w:lang w:val="pt-BR"/>
              </w:rPr>
              <w:t>9</w:t>
            </w:r>
          </w:p>
        </w:tc>
        <w:tc>
          <w:tcPr>
            <w:tcW w:w="637" w:type="dxa"/>
            <w:tcBorders>
              <w:tl2br w:val="nil"/>
              <w:tr2bl w:val="nil"/>
            </w:tcBorders>
            <w:noWrap w:val="0"/>
            <w:vAlign w:val="center"/>
          </w:tcPr>
          <w:p w14:paraId="687AB362">
            <w:pPr>
              <w:pStyle w:val="563"/>
              <w:bidi w:val="0"/>
              <w:rPr>
                <w:rFonts w:hint="default"/>
                <w:color w:val="auto"/>
                <w:highlight w:val="none"/>
                <w:lang w:val="pt-BR"/>
              </w:rPr>
            </w:pPr>
            <w:r>
              <w:rPr>
                <w:rFonts w:hint="default"/>
                <w:color w:val="auto"/>
                <w:highlight w:val="none"/>
                <w:lang w:val="pt-BR"/>
              </w:rPr>
              <w:t>15</w:t>
            </w:r>
          </w:p>
        </w:tc>
        <w:tc>
          <w:tcPr>
            <w:tcW w:w="765" w:type="dxa"/>
            <w:tcBorders>
              <w:tl2br w:val="nil"/>
              <w:tr2bl w:val="nil"/>
            </w:tcBorders>
            <w:noWrap w:val="0"/>
            <w:vAlign w:val="center"/>
          </w:tcPr>
          <w:p w14:paraId="2D2271E2">
            <w:pPr>
              <w:pStyle w:val="563"/>
              <w:bidi w:val="0"/>
              <w:rPr>
                <w:rFonts w:hint="default"/>
                <w:color w:val="auto"/>
                <w:highlight w:val="none"/>
                <w:lang w:val="pt-BR"/>
              </w:rPr>
            </w:pPr>
            <w:r>
              <w:rPr>
                <w:rFonts w:hint="default"/>
                <w:color w:val="auto"/>
                <w:highlight w:val="none"/>
                <w:lang w:val="pt-BR"/>
              </w:rPr>
              <w:t>12</w:t>
            </w:r>
          </w:p>
        </w:tc>
        <w:tc>
          <w:tcPr>
            <w:tcW w:w="637" w:type="dxa"/>
            <w:tcBorders>
              <w:tl2br w:val="nil"/>
              <w:tr2bl w:val="nil"/>
            </w:tcBorders>
            <w:noWrap w:val="0"/>
            <w:vAlign w:val="center"/>
          </w:tcPr>
          <w:p w14:paraId="40B45DA7">
            <w:pPr>
              <w:pStyle w:val="563"/>
              <w:bidi w:val="0"/>
              <w:rPr>
                <w:rFonts w:hint="default"/>
                <w:color w:val="auto"/>
                <w:highlight w:val="none"/>
                <w:lang w:val="pt-BR"/>
              </w:rPr>
            </w:pPr>
            <w:r>
              <w:rPr>
                <w:rFonts w:hint="default"/>
                <w:color w:val="auto"/>
                <w:highlight w:val="none"/>
                <w:lang w:val="pt-BR"/>
              </w:rPr>
              <w:t>8</w:t>
            </w:r>
          </w:p>
        </w:tc>
        <w:tc>
          <w:tcPr>
            <w:tcW w:w="759" w:type="dxa"/>
            <w:tcBorders>
              <w:tl2br w:val="nil"/>
              <w:tr2bl w:val="nil"/>
            </w:tcBorders>
            <w:noWrap w:val="0"/>
            <w:vAlign w:val="center"/>
          </w:tcPr>
          <w:p w14:paraId="5EFFE890">
            <w:pPr>
              <w:pStyle w:val="563"/>
              <w:bidi w:val="0"/>
              <w:rPr>
                <w:rFonts w:hint="default"/>
                <w:color w:val="auto"/>
                <w:highlight w:val="none"/>
                <w:lang w:val="pt-BR"/>
              </w:rPr>
            </w:pPr>
            <w:r>
              <w:rPr>
                <w:rFonts w:hint="default"/>
                <w:color w:val="auto"/>
                <w:highlight w:val="none"/>
                <w:lang w:val="pt-BR"/>
              </w:rPr>
              <w:t>5</w:t>
            </w:r>
          </w:p>
        </w:tc>
        <w:tc>
          <w:tcPr>
            <w:tcW w:w="480" w:type="dxa"/>
            <w:tcBorders>
              <w:tl2br w:val="nil"/>
              <w:tr2bl w:val="nil"/>
            </w:tcBorders>
            <w:noWrap w:val="0"/>
            <w:vAlign w:val="center"/>
          </w:tcPr>
          <w:p w14:paraId="58DAF6E2">
            <w:pPr>
              <w:pStyle w:val="563"/>
              <w:bidi w:val="0"/>
              <w:rPr>
                <w:rFonts w:hint="default"/>
                <w:color w:val="auto"/>
                <w:highlight w:val="none"/>
                <w:lang w:val="pt-BR"/>
              </w:rPr>
            </w:pPr>
            <w:r>
              <w:rPr>
                <w:rFonts w:hint="default"/>
                <w:color w:val="auto"/>
                <w:highlight w:val="none"/>
                <w:lang w:val="pt-BR"/>
              </w:rPr>
              <w:t>3</w:t>
            </w:r>
          </w:p>
        </w:tc>
        <w:tc>
          <w:tcPr>
            <w:tcW w:w="882" w:type="dxa"/>
            <w:tcBorders>
              <w:tl2br w:val="nil"/>
              <w:tr2bl w:val="nil"/>
            </w:tcBorders>
            <w:noWrap w:val="0"/>
            <w:vAlign w:val="center"/>
          </w:tcPr>
          <w:p w14:paraId="4FA07322">
            <w:pPr>
              <w:pStyle w:val="563"/>
              <w:bidi w:val="0"/>
              <w:rPr>
                <w:rFonts w:hint="default"/>
                <w:color w:val="auto"/>
                <w:highlight w:val="none"/>
                <w:lang w:val="pt-BR"/>
              </w:rPr>
            </w:pPr>
            <w:r>
              <w:rPr>
                <w:rFonts w:hint="default"/>
                <w:color w:val="auto"/>
                <w:highlight w:val="none"/>
                <w:lang w:val="pt-BR"/>
              </w:rPr>
              <w:t>2</w:t>
            </w:r>
          </w:p>
        </w:tc>
        <w:tc>
          <w:tcPr>
            <w:tcW w:w="740" w:type="dxa"/>
            <w:tcBorders>
              <w:tl2br w:val="nil"/>
              <w:tr2bl w:val="nil"/>
            </w:tcBorders>
            <w:noWrap w:val="0"/>
            <w:vAlign w:val="center"/>
          </w:tcPr>
          <w:p w14:paraId="70999439">
            <w:pPr>
              <w:pStyle w:val="563"/>
              <w:bidi w:val="0"/>
              <w:rPr>
                <w:rFonts w:hint="default"/>
                <w:color w:val="auto"/>
                <w:highlight w:val="none"/>
                <w:lang w:val="pt-BR"/>
              </w:rPr>
            </w:pPr>
            <w:r>
              <w:rPr>
                <w:rFonts w:hint="default"/>
                <w:color w:val="auto"/>
                <w:highlight w:val="none"/>
                <w:lang w:val="pt-BR"/>
              </w:rPr>
              <w:t>4</w:t>
            </w:r>
          </w:p>
        </w:tc>
        <w:tc>
          <w:tcPr>
            <w:tcW w:w="1016" w:type="dxa"/>
            <w:tcBorders>
              <w:tl2br w:val="nil"/>
              <w:tr2bl w:val="nil"/>
            </w:tcBorders>
            <w:noWrap w:val="0"/>
            <w:vAlign w:val="center"/>
          </w:tcPr>
          <w:p w14:paraId="051A2FD2">
            <w:pPr>
              <w:pStyle w:val="563"/>
              <w:bidi w:val="0"/>
              <w:rPr>
                <w:rFonts w:hint="default"/>
                <w:color w:val="auto"/>
                <w:highlight w:val="none"/>
                <w:lang w:val="pt-BR"/>
              </w:rPr>
            </w:pPr>
            <w:r>
              <w:rPr>
                <w:rFonts w:hint="default"/>
                <w:color w:val="auto"/>
                <w:highlight w:val="none"/>
                <w:lang w:val="pt-BR"/>
              </w:rPr>
              <w:t>4</w:t>
            </w:r>
          </w:p>
        </w:tc>
        <w:tc>
          <w:tcPr>
            <w:tcW w:w="598" w:type="dxa"/>
            <w:tcBorders>
              <w:tl2br w:val="nil"/>
              <w:tr2bl w:val="nil"/>
            </w:tcBorders>
            <w:noWrap w:val="0"/>
            <w:vAlign w:val="center"/>
          </w:tcPr>
          <w:p w14:paraId="12253BC4">
            <w:pPr>
              <w:pStyle w:val="563"/>
              <w:bidi w:val="0"/>
              <w:rPr>
                <w:rFonts w:hint="default"/>
                <w:color w:val="auto"/>
                <w:highlight w:val="none"/>
                <w:lang w:val="pt-BR"/>
              </w:rPr>
            </w:pPr>
            <w:r>
              <w:rPr>
                <w:rFonts w:hint="default"/>
                <w:color w:val="auto"/>
                <w:highlight w:val="none"/>
                <w:lang w:val="pt-BR"/>
              </w:rPr>
              <w:t>4</w:t>
            </w:r>
          </w:p>
        </w:tc>
        <w:tc>
          <w:tcPr>
            <w:tcW w:w="1077" w:type="dxa"/>
            <w:tcBorders>
              <w:tl2br w:val="nil"/>
              <w:tr2bl w:val="nil"/>
            </w:tcBorders>
            <w:noWrap w:val="0"/>
            <w:vAlign w:val="center"/>
          </w:tcPr>
          <w:p w14:paraId="5A6368FE">
            <w:pPr>
              <w:pStyle w:val="563"/>
              <w:bidi w:val="0"/>
              <w:rPr>
                <w:rFonts w:hint="default"/>
                <w:color w:val="auto"/>
                <w:highlight w:val="none"/>
                <w:lang w:val="pt-BR"/>
              </w:rPr>
            </w:pPr>
            <w:r>
              <w:rPr>
                <w:rFonts w:hint="default"/>
                <w:color w:val="auto"/>
                <w:highlight w:val="none"/>
                <w:lang w:val="pt-BR"/>
              </w:rPr>
              <w:t>3</w:t>
            </w:r>
          </w:p>
        </w:tc>
        <w:tc>
          <w:tcPr>
            <w:tcW w:w="801" w:type="dxa"/>
            <w:tcBorders>
              <w:tl2br w:val="nil"/>
              <w:tr2bl w:val="nil"/>
            </w:tcBorders>
            <w:noWrap w:val="0"/>
            <w:vAlign w:val="center"/>
          </w:tcPr>
          <w:p w14:paraId="37E983B1">
            <w:pPr>
              <w:pStyle w:val="563"/>
              <w:bidi w:val="0"/>
              <w:rPr>
                <w:rFonts w:hint="default"/>
                <w:color w:val="auto"/>
                <w:highlight w:val="none"/>
                <w:lang w:val="pt-BR"/>
              </w:rPr>
            </w:pPr>
            <w:r>
              <w:rPr>
                <w:rFonts w:hint="default"/>
                <w:color w:val="auto"/>
                <w:highlight w:val="none"/>
                <w:lang w:val="pt-BR"/>
              </w:rPr>
              <w:t>4</w:t>
            </w:r>
          </w:p>
        </w:tc>
        <w:tc>
          <w:tcPr>
            <w:tcW w:w="999" w:type="dxa"/>
            <w:tcBorders>
              <w:tl2br w:val="nil"/>
              <w:tr2bl w:val="nil"/>
            </w:tcBorders>
            <w:noWrap w:val="0"/>
            <w:vAlign w:val="center"/>
          </w:tcPr>
          <w:p w14:paraId="3D2DEBB2">
            <w:pPr>
              <w:pStyle w:val="563"/>
              <w:bidi w:val="0"/>
              <w:rPr>
                <w:rFonts w:hint="default"/>
                <w:color w:val="auto"/>
                <w:highlight w:val="none"/>
                <w:lang w:val="pt-BR"/>
              </w:rPr>
            </w:pPr>
            <w:r>
              <w:rPr>
                <w:rFonts w:hint="default"/>
                <w:color w:val="auto"/>
                <w:highlight w:val="none"/>
                <w:lang w:val="pt-BR"/>
              </w:rPr>
              <w:t>3</w:t>
            </w:r>
          </w:p>
        </w:tc>
        <w:tc>
          <w:tcPr>
            <w:tcW w:w="637" w:type="dxa"/>
            <w:tcBorders>
              <w:tl2br w:val="nil"/>
              <w:tr2bl w:val="nil"/>
            </w:tcBorders>
            <w:noWrap w:val="0"/>
            <w:vAlign w:val="center"/>
          </w:tcPr>
          <w:p w14:paraId="3911AFB1">
            <w:pPr>
              <w:pStyle w:val="563"/>
              <w:bidi w:val="0"/>
              <w:rPr>
                <w:rFonts w:hint="default"/>
                <w:color w:val="auto"/>
                <w:highlight w:val="none"/>
                <w:lang w:val="pt-BR"/>
              </w:rPr>
            </w:pPr>
            <w:r>
              <w:rPr>
                <w:rFonts w:hint="default"/>
                <w:color w:val="auto"/>
                <w:highlight w:val="none"/>
                <w:lang w:val="pt-BR"/>
              </w:rPr>
              <w:t>10</w:t>
            </w:r>
          </w:p>
        </w:tc>
      </w:tr>
      <w:tr w14:paraId="1EDEF7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6192BE15">
            <w:pPr>
              <w:pStyle w:val="563"/>
              <w:bidi w:val="0"/>
              <w:rPr>
                <w:rFonts w:hint="default"/>
                <w:color w:val="auto"/>
                <w:highlight w:val="none"/>
                <w:lang w:val="pt-BR"/>
              </w:rPr>
            </w:pPr>
            <w:r>
              <w:rPr>
                <w:rFonts w:hint="default"/>
                <w:color w:val="auto"/>
                <w:highlight w:val="none"/>
                <w:lang w:val="pt-BR"/>
              </w:rPr>
              <w:t>4月</w:t>
            </w:r>
          </w:p>
        </w:tc>
        <w:tc>
          <w:tcPr>
            <w:tcW w:w="523" w:type="dxa"/>
            <w:tcBorders>
              <w:tl2br w:val="nil"/>
              <w:tr2bl w:val="nil"/>
            </w:tcBorders>
            <w:noWrap w:val="0"/>
            <w:vAlign w:val="center"/>
          </w:tcPr>
          <w:p w14:paraId="07ABA54F">
            <w:pPr>
              <w:pStyle w:val="563"/>
              <w:bidi w:val="0"/>
              <w:rPr>
                <w:rFonts w:hint="default"/>
                <w:color w:val="auto"/>
                <w:highlight w:val="none"/>
                <w:lang w:val="pt-BR"/>
              </w:rPr>
            </w:pPr>
            <w:r>
              <w:rPr>
                <w:rFonts w:hint="default"/>
                <w:color w:val="auto"/>
                <w:highlight w:val="none"/>
                <w:lang w:val="pt-BR"/>
              </w:rPr>
              <w:t>3</w:t>
            </w:r>
          </w:p>
        </w:tc>
        <w:tc>
          <w:tcPr>
            <w:tcW w:w="878" w:type="dxa"/>
            <w:tcBorders>
              <w:tl2br w:val="nil"/>
              <w:tr2bl w:val="nil"/>
            </w:tcBorders>
            <w:noWrap w:val="0"/>
            <w:vAlign w:val="center"/>
          </w:tcPr>
          <w:p w14:paraId="6613149F">
            <w:pPr>
              <w:pStyle w:val="563"/>
              <w:bidi w:val="0"/>
              <w:rPr>
                <w:rFonts w:hint="default"/>
                <w:color w:val="auto"/>
                <w:highlight w:val="none"/>
                <w:lang w:val="pt-BR"/>
              </w:rPr>
            </w:pPr>
            <w:r>
              <w:rPr>
                <w:rFonts w:hint="default"/>
                <w:color w:val="auto"/>
                <w:highlight w:val="none"/>
                <w:lang w:val="pt-BR"/>
              </w:rPr>
              <w:t>3</w:t>
            </w:r>
          </w:p>
        </w:tc>
        <w:tc>
          <w:tcPr>
            <w:tcW w:w="676" w:type="dxa"/>
            <w:tcBorders>
              <w:tl2br w:val="nil"/>
              <w:tr2bl w:val="nil"/>
            </w:tcBorders>
            <w:noWrap w:val="0"/>
            <w:vAlign w:val="center"/>
          </w:tcPr>
          <w:p w14:paraId="770B44F1">
            <w:pPr>
              <w:pStyle w:val="563"/>
              <w:bidi w:val="0"/>
              <w:rPr>
                <w:rFonts w:hint="default"/>
                <w:color w:val="auto"/>
                <w:highlight w:val="none"/>
                <w:lang w:val="pt-BR"/>
              </w:rPr>
            </w:pPr>
            <w:r>
              <w:rPr>
                <w:rFonts w:hint="default"/>
                <w:color w:val="auto"/>
                <w:highlight w:val="none"/>
                <w:lang w:val="pt-BR"/>
              </w:rPr>
              <w:t>6</w:t>
            </w:r>
          </w:p>
        </w:tc>
        <w:tc>
          <w:tcPr>
            <w:tcW w:w="826" w:type="dxa"/>
            <w:tcBorders>
              <w:tl2br w:val="nil"/>
              <w:tr2bl w:val="nil"/>
            </w:tcBorders>
            <w:noWrap w:val="0"/>
            <w:vAlign w:val="center"/>
          </w:tcPr>
          <w:p w14:paraId="5284D9F1">
            <w:pPr>
              <w:pStyle w:val="563"/>
              <w:bidi w:val="0"/>
              <w:rPr>
                <w:rFonts w:hint="default"/>
                <w:color w:val="auto"/>
                <w:highlight w:val="none"/>
                <w:lang w:val="pt-BR"/>
              </w:rPr>
            </w:pPr>
            <w:r>
              <w:rPr>
                <w:rFonts w:hint="default"/>
                <w:color w:val="auto"/>
                <w:highlight w:val="none"/>
                <w:lang w:val="pt-BR"/>
              </w:rPr>
              <w:t>6</w:t>
            </w:r>
          </w:p>
        </w:tc>
        <w:tc>
          <w:tcPr>
            <w:tcW w:w="637" w:type="dxa"/>
            <w:tcBorders>
              <w:tl2br w:val="nil"/>
              <w:tr2bl w:val="nil"/>
            </w:tcBorders>
            <w:noWrap w:val="0"/>
            <w:vAlign w:val="center"/>
          </w:tcPr>
          <w:p w14:paraId="60CB88BF">
            <w:pPr>
              <w:pStyle w:val="563"/>
              <w:bidi w:val="0"/>
              <w:rPr>
                <w:rFonts w:hint="default"/>
                <w:color w:val="auto"/>
                <w:highlight w:val="none"/>
                <w:lang w:val="pt-BR"/>
              </w:rPr>
            </w:pPr>
            <w:r>
              <w:rPr>
                <w:rFonts w:hint="default"/>
                <w:color w:val="auto"/>
                <w:highlight w:val="none"/>
                <w:lang w:val="pt-BR"/>
              </w:rPr>
              <w:t>13</w:t>
            </w:r>
          </w:p>
        </w:tc>
        <w:tc>
          <w:tcPr>
            <w:tcW w:w="765" w:type="dxa"/>
            <w:tcBorders>
              <w:tl2br w:val="nil"/>
              <w:tr2bl w:val="nil"/>
            </w:tcBorders>
            <w:noWrap w:val="0"/>
            <w:vAlign w:val="center"/>
          </w:tcPr>
          <w:p w14:paraId="6295BF0A">
            <w:pPr>
              <w:pStyle w:val="563"/>
              <w:bidi w:val="0"/>
              <w:rPr>
                <w:rFonts w:hint="default"/>
                <w:color w:val="auto"/>
                <w:highlight w:val="none"/>
                <w:lang w:val="pt-BR"/>
              </w:rPr>
            </w:pPr>
            <w:r>
              <w:rPr>
                <w:rFonts w:hint="default"/>
                <w:color w:val="auto"/>
                <w:highlight w:val="none"/>
                <w:lang w:val="pt-BR"/>
              </w:rPr>
              <w:t>11</w:t>
            </w:r>
          </w:p>
        </w:tc>
        <w:tc>
          <w:tcPr>
            <w:tcW w:w="637" w:type="dxa"/>
            <w:tcBorders>
              <w:tl2br w:val="nil"/>
              <w:tr2bl w:val="nil"/>
            </w:tcBorders>
            <w:noWrap w:val="0"/>
            <w:vAlign w:val="center"/>
          </w:tcPr>
          <w:p w14:paraId="5DA5C7D5">
            <w:pPr>
              <w:pStyle w:val="563"/>
              <w:bidi w:val="0"/>
              <w:rPr>
                <w:rFonts w:hint="default"/>
                <w:color w:val="auto"/>
                <w:highlight w:val="none"/>
                <w:lang w:val="pt-BR"/>
              </w:rPr>
            </w:pPr>
            <w:r>
              <w:rPr>
                <w:rFonts w:hint="default"/>
                <w:color w:val="auto"/>
                <w:highlight w:val="none"/>
                <w:lang w:val="pt-BR"/>
              </w:rPr>
              <w:t>10</w:t>
            </w:r>
          </w:p>
        </w:tc>
        <w:tc>
          <w:tcPr>
            <w:tcW w:w="759" w:type="dxa"/>
            <w:tcBorders>
              <w:tl2br w:val="nil"/>
              <w:tr2bl w:val="nil"/>
            </w:tcBorders>
            <w:noWrap w:val="0"/>
            <w:vAlign w:val="center"/>
          </w:tcPr>
          <w:p w14:paraId="6CA302D7">
            <w:pPr>
              <w:pStyle w:val="563"/>
              <w:bidi w:val="0"/>
              <w:rPr>
                <w:rFonts w:hint="default"/>
                <w:color w:val="auto"/>
                <w:highlight w:val="none"/>
                <w:lang w:val="pt-BR"/>
              </w:rPr>
            </w:pPr>
            <w:r>
              <w:rPr>
                <w:rFonts w:hint="default"/>
                <w:color w:val="auto"/>
                <w:highlight w:val="none"/>
                <w:lang w:val="pt-BR"/>
              </w:rPr>
              <w:t>7</w:t>
            </w:r>
          </w:p>
        </w:tc>
        <w:tc>
          <w:tcPr>
            <w:tcW w:w="480" w:type="dxa"/>
            <w:tcBorders>
              <w:tl2br w:val="nil"/>
              <w:tr2bl w:val="nil"/>
            </w:tcBorders>
            <w:noWrap w:val="0"/>
            <w:vAlign w:val="center"/>
          </w:tcPr>
          <w:p w14:paraId="202ADDAE">
            <w:pPr>
              <w:pStyle w:val="563"/>
              <w:bidi w:val="0"/>
              <w:rPr>
                <w:rFonts w:hint="default"/>
                <w:color w:val="auto"/>
                <w:highlight w:val="none"/>
                <w:lang w:val="pt-BR"/>
              </w:rPr>
            </w:pPr>
            <w:r>
              <w:rPr>
                <w:rFonts w:hint="default"/>
                <w:color w:val="auto"/>
                <w:highlight w:val="none"/>
                <w:lang w:val="pt-BR"/>
              </w:rPr>
              <w:t>6</w:t>
            </w:r>
          </w:p>
        </w:tc>
        <w:tc>
          <w:tcPr>
            <w:tcW w:w="882" w:type="dxa"/>
            <w:tcBorders>
              <w:tl2br w:val="nil"/>
              <w:tr2bl w:val="nil"/>
            </w:tcBorders>
            <w:noWrap w:val="0"/>
            <w:vAlign w:val="center"/>
          </w:tcPr>
          <w:p w14:paraId="5855BD33">
            <w:pPr>
              <w:pStyle w:val="563"/>
              <w:bidi w:val="0"/>
              <w:rPr>
                <w:rFonts w:hint="default"/>
                <w:color w:val="auto"/>
                <w:highlight w:val="none"/>
                <w:lang w:val="pt-BR"/>
              </w:rPr>
            </w:pPr>
            <w:r>
              <w:rPr>
                <w:rFonts w:hint="default"/>
                <w:color w:val="auto"/>
                <w:highlight w:val="none"/>
                <w:lang w:val="pt-BR"/>
              </w:rPr>
              <w:t>3</w:t>
            </w:r>
          </w:p>
        </w:tc>
        <w:tc>
          <w:tcPr>
            <w:tcW w:w="740" w:type="dxa"/>
            <w:tcBorders>
              <w:tl2br w:val="nil"/>
              <w:tr2bl w:val="nil"/>
            </w:tcBorders>
            <w:noWrap w:val="0"/>
            <w:vAlign w:val="center"/>
          </w:tcPr>
          <w:p w14:paraId="64D74797">
            <w:pPr>
              <w:pStyle w:val="563"/>
              <w:bidi w:val="0"/>
              <w:rPr>
                <w:rFonts w:hint="default"/>
                <w:color w:val="auto"/>
                <w:highlight w:val="none"/>
                <w:lang w:val="pt-BR"/>
              </w:rPr>
            </w:pPr>
            <w:r>
              <w:rPr>
                <w:rFonts w:hint="default"/>
                <w:color w:val="auto"/>
                <w:highlight w:val="none"/>
                <w:lang w:val="pt-BR"/>
              </w:rPr>
              <w:t>5</w:t>
            </w:r>
          </w:p>
        </w:tc>
        <w:tc>
          <w:tcPr>
            <w:tcW w:w="1016" w:type="dxa"/>
            <w:tcBorders>
              <w:tl2br w:val="nil"/>
              <w:tr2bl w:val="nil"/>
            </w:tcBorders>
            <w:noWrap w:val="0"/>
            <w:vAlign w:val="center"/>
          </w:tcPr>
          <w:p w14:paraId="7E677453">
            <w:pPr>
              <w:pStyle w:val="563"/>
              <w:bidi w:val="0"/>
              <w:rPr>
                <w:rFonts w:hint="default"/>
                <w:color w:val="auto"/>
                <w:highlight w:val="none"/>
                <w:lang w:val="pt-BR"/>
              </w:rPr>
            </w:pPr>
            <w:r>
              <w:rPr>
                <w:rFonts w:hint="default"/>
                <w:color w:val="auto"/>
                <w:highlight w:val="none"/>
                <w:lang w:val="pt-BR"/>
              </w:rPr>
              <w:t>4</w:t>
            </w:r>
          </w:p>
        </w:tc>
        <w:tc>
          <w:tcPr>
            <w:tcW w:w="598" w:type="dxa"/>
            <w:tcBorders>
              <w:tl2br w:val="nil"/>
              <w:tr2bl w:val="nil"/>
            </w:tcBorders>
            <w:noWrap w:val="0"/>
            <w:vAlign w:val="center"/>
          </w:tcPr>
          <w:p w14:paraId="056B1A91">
            <w:pPr>
              <w:pStyle w:val="563"/>
              <w:bidi w:val="0"/>
              <w:rPr>
                <w:rFonts w:hint="default"/>
                <w:color w:val="auto"/>
                <w:highlight w:val="none"/>
                <w:lang w:val="pt-BR"/>
              </w:rPr>
            </w:pPr>
            <w:r>
              <w:rPr>
                <w:rFonts w:hint="default"/>
                <w:color w:val="auto"/>
                <w:highlight w:val="none"/>
                <w:lang w:val="pt-BR"/>
              </w:rPr>
              <w:t>4</w:t>
            </w:r>
          </w:p>
        </w:tc>
        <w:tc>
          <w:tcPr>
            <w:tcW w:w="1077" w:type="dxa"/>
            <w:tcBorders>
              <w:tl2br w:val="nil"/>
              <w:tr2bl w:val="nil"/>
            </w:tcBorders>
            <w:noWrap w:val="0"/>
            <w:vAlign w:val="center"/>
          </w:tcPr>
          <w:p w14:paraId="5D1B520D">
            <w:pPr>
              <w:pStyle w:val="563"/>
              <w:bidi w:val="0"/>
              <w:rPr>
                <w:rFonts w:hint="default"/>
                <w:color w:val="auto"/>
                <w:highlight w:val="none"/>
                <w:lang w:val="pt-BR"/>
              </w:rPr>
            </w:pPr>
            <w:r>
              <w:rPr>
                <w:rFonts w:hint="default"/>
                <w:color w:val="auto"/>
                <w:highlight w:val="none"/>
                <w:lang w:val="pt-BR"/>
              </w:rPr>
              <w:t>3</w:t>
            </w:r>
          </w:p>
        </w:tc>
        <w:tc>
          <w:tcPr>
            <w:tcW w:w="801" w:type="dxa"/>
            <w:tcBorders>
              <w:tl2br w:val="nil"/>
              <w:tr2bl w:val="nil"/>
            </w:tcBorders>
            <w:noWrap w:val="0"/>
            <w:vAlign w:val="center"/>
          </w:tcPr>
          <w:p w14:paraId="52B8753C">
            <w:pPr>
              <w:pStyle w:val="563"/>
              <w:bidi w:val="0"/>
              <w:rPr>
                <w:rFonts w:hint="default"/>
                <w:color w:val="auto"/>
                <w:highlight w:val="none"/>
                <w:lang w:val="pt-BR"/>
              </w:rPr>
            </w:pPr>
            <w:r>
              <w:rPr>
                <w:rFonts w:hint="default"/>
                <w:color w:val="auto"/>
                <w:highlight w:val="none"/>
                <w:lang w:val="pt-BR"/>
              </w:rPr>
              <w:t>4</w:t>
            </w:r>
          </w:p>
        </w:tc>
        <w:tc>
          <w:tcPr>
            <w:tcW w:w="999" w:type="dxa"/>
            <w:tcBorders>
              <w:tl2br w:val="nil"/>
              <w:tr2bl w:val="nil"/>
            </w:tcBorders>
            <w:noWrap w:val="0"/>
            <w:vAlign w:val="center"/>
          </w:tcPr>
          <w:p w14:paraId="3293A431">
            <w:pPr>
              <w:pStyle w:val="563"/>
              <w:bidi w:val="0"/>
              <w:rPr>
                <w:rFonts w:hint="default"/>
                <w:color w:val="auto"/>
                <w:highlight w:val="none"/>
                <w:lang w:val="pt-BR"/>
              </w:rPr>
            </w:pPr>
            <w:r>
              <w:rPr>
                <w:rFonts w:hint="default"/>
                <w:color w:val="auto"/>
                <w:highlight w:val="none"/>
                <w:lang w:val="pt-BR"/>
              </w:rPr>
              <w:t>3</w:t>
            </w:r>
          </w:p>
        </w:tc>
        <w:tc>
          <w:tcPr>
            <w:tcW w:w="637" w:type="dxa"/>
            <w:tcBorders>
              <w:tl2br w:val="nil"/>
              <w:tr2bl w:val="nil"/>
            </w:tcBorders>
            <w:noWrap w:val="0"/>
            <w:vAlign w:val="center"/>
          </w:tcPr>
          <w:p w14:paraId="049259C7">
            <w:pPr>
              <w:pStyle w:val="563"/>
              <w:bidi w:val="0"/>
              <w:rPr>
                <w:rFonts w:hint="default"/>
                <w:color w:val="auto"/>
                <w:highlight w:val="none"/>
                <w:lang w:val="pt-BR"/>
              </w:rPr>
            </w:pPr>
            <w:r>
              <w:rPr>
                <w:rFonts w:hint="default"/>
                <w:color w:val="auto"/>
                <w:highlight w:val="none"/>
                <w:lang w:val="pt-BR"/>
              </w:rPr>
              <w:t>10</w:t>
            </w:r>
          </w:p>
        </w:tc>
      </w:tr>
      <w:tr w14:paraId="4440EA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4906D7BC">
            <w:pPr>
              <w:pStyle w:val="563"/>
              <w:bidi w:val="0"/>
              <w:rPr>
                <w:rFonts w:hint="default"/>
                <w:color w:val="auto"/>
                <w:highlight w:val="none"/>
                <w:lang w:val="pt-BR"/>
              </w:rPr>
            </w:pPr>
            <w:r>
              <w:rPr>
                <w:rFonts w:hint="default"/>
                <w:color w:val="auto"/>
                <w:highlight w:val="none"/>
                <w:lang w:val="pt-BR"/>
              </w:rPr>
              <w:t>5月</w:t>
            </w:r>
          </w:p>
        </w:tc>
        <w:tc>
          <w:tcPr>
            <w:tcW w:w="523" w:type="dxa"/>
            <w:tcBorders>
              <w:tl2br w:val="nil"/>
              <w:tr2bl w:val="nil"/>
            </w:tcBorders>
            <w:noWrap w:val="0"/>
            <w:vAlign w:val="center"/>
          </w:tcPr>
          <w:p w14:paraId="6C2C579A">
            <w:pPr>
              <w:pStyle w:val="563"/>
              <w:bidi w:val="0"/>
              <w:rPr>
                <w:rFonts w:hint="default"/>
                <w:color w:val="auto"/>
                <w:highlight w:val="none"/>
                <w:lang w:val="pt-BR"/>
              </w:rPr>
            </w:pPr>
            <w:r>
              <w:rPr>
                <w:rFonts w:hint="default"/>
                <w:color w:val="auto"/>
                <w:highlight w:val="none"/>
                <w:lang w:val="pt-BR"/>
              </w:rPr>
              <w:t>4</w:t>
            </w:r>
          </w:p>
        </w:tc>
        <w:tc>
          <w:tcPr>
            <w:tcW w:w="878" w:type="dxa"/>
            <w:tcBorders>
              <w:tl2br w:val="nil"/>
              <w:tr2bl w:val="nil"/>
            </w:tcBorders>
            <w:noWrap w:val="0"/>
            <w:vAlign w:val="center"/>
          </w:tcPr>
          <w:p w14:paraId="63EA6698">
            <w:pPr>
              <w:pStyle w:val="563"/>
              <w:bidi w:val="0"/>
              <w:rPr>
                <w:rFonts w:hint="default"/>
                <w:color w:val="auto"/>
                <w:highlight w:val="none"/>
                <w:lang w:val="pt-BR"/>
              </w:rPr>
            </w:pPr>
            <w:r>
              <w:rPr>
                <w:rFonts w:hint="default"/>
                <w:color w:val="auto"/>
                <w:highlight w:val="none"/>
                <w:lang w:val="pt-BR"/>
              </w:rPr>
              <w:t>3</w:t>
            </w:r>
          </w:p>
        </w:tc>
        <w:tc>
          <w:tcPr>
            <w:tcW w:w="676" w:type="dxa"/>
            <w:tcBorders>
              <w:tl2br w:val="nil"/>
              <w:tr2bl w:val="nil"/>
            </w:tcBorders>
            <w:noWrap w:val="0"/>
            <w:vAlign w:val="center"/>
          </w:tcPr>
          <w:p w14:paraId="173C1B90">
            <w:pPr>
              <w:pStyle w:val="563"/>
              <w:bidi w:val="0"/>
              <w:rPr>
                <w:rFonts w:hint="default"/>
                <w:color w:val="auto"/>
                <w:highlight w:val="none"/>
                <w:lang w:val="pt-BR"/>
              </w:rPr>
            </w:pPr>
            <w:r>
              <w:rPr>
                <w:rFonts w:hint="default"/>
                <w:color w:val="auto"/>
                <w:highlight w:val="none"/>
                <w:lang w:val="pt-BR"/>
              </w:rPr>
              <w:t>5</w:t>
            </w:r>
          </w:p>
        </w:tc>
        <w:tc>
          <w:tcPr>
            <w:tcW w:w="826" w:type="dxa"/>
            <w:tcBorders>
              <w:tl2br w:val="nil"/>
              <w:tr2bl w:val="nil"/>
            </w:tcBorders>
            <w:noWrap w:val="0"/>
            <w:vAlign w:val="center"/>
          </w:tcPr>
          <w:p w14:paraId="4896F3C6">
            <w:pPr>
              <w:pStyle w:val="563"/>
              <w:bidi w:val="0"/>
              <w:rPr>
                <w:rFonts w:hint="default"/>
                <w:color w:val="auto"/>
                <w:highlight w:val="none"/>
                <w:lang w:val="pt-BR"/>
              </w:rPr>
            </w:pPr>
            <w:r>
              <w:rPr>
                <w:rFonts w:hint="default"/>
                <w:color w:val="auto"/>
                <w:highlight w:val="none"/>
                <w:lang w:val="pt-BR"/>
              </w:rPr>
              <w:t>6</w:t>
            </w:r>
          </w:p>
        </w:tc>
        <w:tc>
          <w:tcPr>
            <w:tcW w:w="637" w:type="dxa"/>
            <w:tcBorders>
              <w:tl2br w:val="nil"/>
              <w:tr2bl w:val="nil"/>
            </w:tcBorders>
            <w:noWrap w:val="0"/>
            <w:vAlign w:val="center"/>
          </w:tcPr>
          <w:p w14:paraId="0CB1CA6C">
            <w:pPr>
              <w:pStyle w:val="563"/>
              <w:bidi w:val="0"/>
              <w:rPr>
                <w:rFonts w:hint="default"/>
                <w:color w:val="auto"/>
                <w:highlight w:val="none"/>
                <w:lang w:val="pt-BR"/>
              </w:rPr>
            </w:pPr>
            <w:r>
              <w:rPr>
                <w:rFonts w:hint="default"/>
                <w:color w:val="auto"/>
                <w:highlight w:val="none"/>
                <w:lang w:val="pt-BR"/>
              </w:rPr>
              <w:t>13</w:t>
            </w:r>
          </w:p>
        </w:tc>
        <w:tc>
          <w:tcPr>
            <w:tcW w:w="765" w:type="dxa"/>
            <w:tcBorders>
              <w:tl2br w:val="nil"/>
              <w:tr2bl w:val="nil"/>
            </w:tcBorders>
            <w:noWrap w:val="0"/>
            <w:vAlign w:val="center"/>
          </w:tcPr>
          <w:p w14:paraId="3677DE03">
            <w:pPr>
              <w:pStyle w:val="563"/>
              <w:bidi w:val="0"/>
              <w:rPr>
                <w:rFonts w:hint="default"/>
                <w:color w:val="auto"/>
                <w:highlight w:val="none"/>
                <w:lang w:val="pt-BR"/>
              </w:rPr>
            </w:pPr>
            <w:r>
              <w:rPr>
                <w:rFonts w:hint="default"/>
                <w:color w:val="auto"/>
                <w:highlight w:val="none"/>
                <w:lang w:val="pt-BR"/>
              </w:rPr>
              <w:t>11</w:t>
            </w:r>
          </w:p>
        </w:tc>
        <w:tc>
          <w:tcPr>
            <w:tcW w:w="637" w:type="dxa"/>
            <w:tcBorders>
              <w:tl2br w:val="nil"/>
              <w:tr2bl w:val="nil"/>
            </w:tcBorders>
            <w:noWrap w:val="0"/>
            <w:vAlign w:val="center"/>
          </w:tcPr>
          <w:p w14:paraId="22DEF993">
            <w:pPr>
              <w:pStyle w:val="563"/>
              <w:bidi w:val="0"/>
              <w:rPr>
                <w:rFonts w:hint="default"/>
                <w:color w:val="auto"/>
                <w:highlight w:val="none"/>
                <w:lang w:val="pt-BR"/>
              </w:rPr>
            </w:pPr>
            <w:r>
              <w:rPr>
                <w:rFonts w:hint="default"/>
                <w:color w:val="auto"/>
                <w:highlight w:val="none"/>
                <w:lang w:val="pt-BR"/>
              </w:rPr>
              <w:t>9</w:t>
            </w:r>
          </w:p>
        </w:tc>
        <w:tc>
          <w:tcPr>
            <w:tcW w:w="759" w:type="dxa"/>
            <w:tcBorders>
              <w:tl2br w:val="nil"/>
              <w:tr2bl w:val="nil"/>
            </w:tcBorders>
            <w:noWrap w:val="0"/>
            <w:vAlign w:val="center"/>
          </w:tcPr>
          <w:p w14:paraId="2DD0A68B">
            <w:pPr>
              <w:pStyle w:val="563"/>
              <w:bidi w:val="0"/>
              <w:rPr>
                <w:rFonts w:hint="default"/>
                <w:color w:val="auto"/>
                <w:highlight w:val="none"/>
                <w:lang w:val="pt-BR"/>
              </w:rPr>
            </w:pPr>
            <w:r>
              <w:rPr>
                <w:rFonts w:hint="default"/>
                <w:color w:val="auto"/>
                <w:highlight w:val="none"/>
                <w:lang w:val="pt-BR"/>
              </w:rPr>
              <w:t>7</w:t>
            </w:r>
          </w:p>
        </w:tc>
        <w:tc>
          <w:tcPr>
            <w:tcW w:w="480" w:type="dxa"/>
            <w:tcBorders>
              <w:tl2br w:val="nil"/>
              <w:tr2bl w:val="nil"/>
            </w:tcBorders>
            <w:noWrap w:val="0"/>
            <w:vAlign w:val="center"/>
          </w:tcPr>
          <w:p w14:paraId="4AC35042">
            <w:pPr>
              <w:pStyle w:val="563"/>
              <w:bidi w:val="0"/>
              <w:rPr>
                <w:rFonts w:hint="default"/>
                <w:color w:val="auto"/>
                <w:highlight w:val="none"/>
                <w:lang w:val="pt-BR"/>
              </w:rPr>
            </w:pPr>
            <w:r>
              <w:rPr>
                <w:rFonts w:hint="default"/>
                <w:color w:val="auto"/>
                <w:highlight w:val="none"/>
                <w:lang w:val="pt-BR"/>
              </w:rPr>
              <w:t>5</w:t>
            </w:r>
          </w:p>
        </w:tc>
        <w:tc>
          <w:tcPr>
            <w:tcW w:w="882" w:type="dxa"/>
            <w:tcBorders>
              <w:tl2br w:val="nil"/>
              <w:tr2bl w:val="nil"/>
            </w:tcBorders>
            <w:noWrap w:val="0"/>
            <w:vAlign w:val="center"/>
          </w:tcPr>
          <w:p w14:paraId="4D3A8E77">
            <w:pPr>
              <w:pStyle w:val="563"/>
              <w:bidi w:val="0"/>
              <w:rPr>
                <w:rFonts w:hint="default"/>
                <w:color w:val="auto"/>
                <w:highlight w:val="none"/>
                <w:lang w:val="pt-BR"/>
              </w:rPr>
            </w:pPr>
            <w:r>
              <w:rPr>
                <w:rFonts w:hint="default"/>
                <w:color w:val="auto"/>
                <w:highlight w:val="none"/>
                <w:lang w:val="pt-BR"/>
              </w:rPr>
              <w:t>3</w:t>
            </w:r>
          </w:p>
        </w:tc>
        <w:tc>
          <w:tcPr>
            <w:tcW w:w="740" w:type="dxa"/>
            <w:tcBorders>
              <w:tl2br w:val="nil"/>
              <w:tr2bl w:val="nil"/>
            </w:tcBorders>
            <w:noWrap w:val="0"/>
            <w:vAlign w:val="center"/>
          </w:tcPr>
          <w:p w14:paraId="10B17AF4">
            <w:pPr>
              <w:pStyle w:val="563"/>
              <w:bidi w:val="0"/>
              <w:rPr>
                <w:rFonts w:hint="default"/>
                <w:color w:val="auto"/>
                <w:highlight w:val="none"/>
                <w:lang w:val="pt-BR"/>
              </w:rPr>
            </w:pPr>
            <w:r>
              <w:rPr>
                <w:rFonts w:hint="default"/>
                <w:color w:val="auto"/>
                <w:highlight w:val="none"/>
                <w:lang w:val="pt-BR"/>
              </w:rPr>
              <w:t>5</w:t>
            </w:r>
          </w:p>
        </w:tc>
        <w:tc>
          <w:tcPr>
            <w:tcW w:w="1016" w:type="dxa"/>
            <w:tcBorders>
              <w:tl2br w:val="nil"/>
              <w:tr2bl w:val="nil"/>
            </w:tcBorders>
            <w:noWrap w:val="0"/>
            <w:vAlign w:val="center"/>
          </w:tcPr>
          <w:p w14:paraId="652EFF50">
            <w:pPr>
              <w:pStyle w:val="563"/>
              <w:bidi w:val="0"/>
              <w:rPr>
                <w:rFonts w:hint="default"/>
                <w:color w:val="auto"/>
                <w:highlight w:val="none"/>
                <w:lang w:val="pt-BR"/>
              </w:rPr>
            </w:pPr>
            <w:r>
              <w:rPr>
                <w:rFonts w:hint="default"/>
                <w:color w:val="auto"/>
                <w:highlight w:val="none"/>
                <w:lang w:val="pt-BR"/>
              </w:rPr>
              <w:t>5</w:t>
            </w:r>
          </w:p>
        </w:tc>
        <w:tc>
          <w:tcPr>
            <w:tcW w:w="598" w:type="dxa"/>
            <w:tcBorders>
              <w:tl2br w:val="nil"/>
              <w:tr2bl w:val="nil"/>
            </w:tcBorders>
            <w:noWrap w:val="0"/>
            <w:vAlign w:val="center"/>
          </w:tcPr>
          <w:p w14:paraId="05CE66DA">
            <w:pPr>
              <w:pStyle w:val="563"/>
              <w:bidi w:val="0"/>
              <w:rPr>
                <w:rFonts w:hint="default"/>
                <w:color w:val="auto"/>
                <w:highlight w:val="none"/>
                <w:lang w:val="pt-BR"/>
              </w:rPr>
            </w:pPr>
            <w:r>
              <w:rPr>
                <w:rFonts w:hint="default"/>
                <w:color w:val="auto"/>
                <w:highlight w:val="none"/>
                <w:lang w:val="pt-BR"/>
              </w:rPr>
              <w:t>4</w:t>
            </w:r>
          </w:p>
        </w:tc>
        <w:tc>
          <w:tcPr>
            <w:tcW w:w="1077" w:type="dxa"/>
            <w:tcBorders>
              <w:tl2br w:val="nil"/>
              <w:tr2bl w:val="nil"/>
            </w:tcBorders>
            <w:noWrap w:val="0"/>
            <w:vAlign w:val="center"/>
          </w:tcPr>
          <w:p w14:paraId="6D4A64FC">
            <w:pPr>
              <w:pStyle w:val="563"/>
              <w:bidi w:val="0"/>
              <w:rPr>
                <w:rFonts w:hint="default"/>
                <w:color w:val="auto"/>
                <w:highlight w:val="none"/>
                <w:lang w:val="pt-BR"/>
              </w:rPr>
            </w:pPr>
            <w:r>
              <w:rPr>
                <w:rFonts w:hint="default"/>
                <w:color w:val="auto"/>
                <w:highlight w:val="none"/>
                <w:lang w:val="pt-BR"/>
              </w:rPr>
              <w:t>4</w:t>
            </w:r>
          </w:p>
        </w:tc>
        <w:tc>
          <w:tcPr>
            <w:tcW w:w="801" w:type="dxa"/>
            <w:tcBorders>
              <w:tl2br w:val="nil"/>
              <w:tr2bl w:val="nil"/>
            </w:tcBorders>
            <w:noWrap w:val="0"/>
            <w:vAlign w:val="center"/>
          </w:tcPr>
          <w:p w14:paraId="1111A2FA">
            <w:pPr>
              <w:pStyle w:val="563"/>
              <w:bidi w:val="0"/>
              <w:rPr>
                <w:rFonts w:hint="default"/>
                <w:color w:val="auto"/>
                <w:highlight w:val="none"/>
                <w:lang w:val="pt-BR"/>
              </w:rPr>
            </w:pPr>
            <w:r>
              <w:rPr>
                <w:rFonts w:hint="default"/>
                <w:color w:val="auto"/>
                <w:highlight w:val="none"/>
                <w:lang w:val="pt-BR"/>
              </w:rPr>
              <w:t>4</w:t>
            </w:r>
          </w:p>
        </w:tc>
        <w:tc>
          <w:tcPr>
            <w:tcW w:w="999" w:type="dxa"/>
            <w:tcBorders>
              <w:tl2br w:val="nil"/>
              <w:tr2bl w:val="nil"/>
            </w:tcBorders>
            <w:noWrap w:val="0"/>
            <w:vAlign w:val="center"/>
          </w:tcPr>
          <w:p w14:paraId="6F92E124">
            <w:pPr>
              <w:pStyle w:val="563"/>
              <w:bidi w:val="0"/>
              <w:rPr>
                <w:rFonts w:hint="default"/>
                <w:color w:val="auto"/>
                <w:highlight w:val="none"/>
                <w:lang w:val="pt-BR"/>
              </w:rPr>
            </w:pPr>
            <w:r>
              <w:rPr>
                <w:rFonts w:hint="default"/>
                <w:color w:val="auto"/>
                <w:highlight w:val="none"/>
                <w:lang w:val="pt-BR"/>
              </w:rPr>
              <w:t>3</w:t>
            </w:r>
          </w:p>
        </w:tc>
        <w:tc>
          <w:tcPr>
            <w:tcW w:w="637" w:type="dxa"/>
            <w:tcBorders>
              <w:tl2br w:val="nil"/>
              <w:tr2bl w:val="nil"/>
            </w:tcBorders>
            <w:noWrap w:val="0"/>
            <w:vAlign w:val="center"/>
          </w:tcPr>
          <w:p w14:paraId="580360FD">
            <w:pPr>
              <w:pStyle w:val="563"/>
              <w:bidi w:val="0"/>
              <w:rPr>
                <w:rFonts w:hint="default"/>
                <w:color w:val="auto"/>
                <w:highlight w:val="none"/>
                <w:lang w:val="pt-BR"/>
              </w:rPr>
            </w:pPr>
            <w:r>
              <w:rPr>
                <w:rFonts w:hint="default"/>
                <w:color w:val="auto"/>
                <w:highlight w:val="none"/>
                <w:lang w:val="pt-BR"/>
              </w:rPr>
              <w:t>9</w:t>
            </w:r>
          </w:p>
        </w:tc>
      </w:tr>
      <w:tr w14:paraId="5E82CC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78C896D7">
            <w:pPr>
              <w:pStyle w:val="563"/>
              <w:bidi w:val="0"/>
              <w:rPr>
                <w:rFonts w:hint="default"/>
                <w:color w:val="auto"/>
                <w:highlight w:val="none"/>
                <w:lang w:val="pt-BR"/>
              </w:rPr>
            </w:pPr>
            <w:r>
              <w:rPr>
                <w:rFonts w:hint="default"/>
                <w:color w:val="auto"/>
                <w:highlight w:val="none"/>
                <w:lang w:val="pt-BR"/>
              </w:rPr>
              <w:t>6月</w:t>
            </w:r>
          </w:p>
        </w:tc>
        <w:tc>
          <w:tcPr>
            <w:tcW w:w="523" w:type="dxa"/>
            <w:tcBorders>
              <w:tl2br w:val="nil"/>
              <w:tr2bl w:val="nil"/>
            </w:tcBorders>
            <w:noWrap w:val="0"/>
            <w:vAlign w:val="center"/>
          </w:tcPr>
          <w:p w14:paraId="3D5A15B5">
            <w:pPr>
              <w:pStyle w:val="563"/>
              <w:bidi w:val="0"/>
              <w:rPr>
                <w:rFonts w:hint="default"/>
                <w:color w:val="auto"/>
                <w:highlight w:val="none"/>
                <w:lang w:val="pt-BR"/>
              </w:rPr>
            </w:pPr>
            <w:r>
              <w:rPr>
                <w:rFonts w:hint="default"/>
                <w:color w:val="auto"/>
                <w:highlight w:val="none"/>
                <w:lang w:val="pt-BR"/>
              </w:rPr>
              <w:t>2</w:t>
            </w:r>
          </w:p>
        </w:tc>
        <w:tc>
          <w:tcPr>
            <w:tcW w:w="878" w:type="dxa"/>
            <w:tcBorders>
              <w:tl2br w:val="nil"/>
              <w:tr2bl w:val="nil"/>
            </w:tcBorders>
            <w:noWrap w:val="0"/>
            <w:vAlign w:val="center"/>
          </w:tcPr>
          <w:p w14:paraId="6A7B6338">
            <w:pPr>
              <w:pStyle w:val="563"/>
              <w:bidi w:val="0"/>
              <w:rPr>
                <w:rFonts w:hint="default"/>
                <w:color w:val="auto"/>
                <w:highlight w:val="none"/>
                <w:lang w:val="pt-BR"/>
              </w:rPr>
            </w:pPr>
            <w:r>
              <w:rPr>
                <w:rFonts w:hint="default"/>
                <w:color w:val="auto"/>
                <w:highlight w:val="none"/>
                <w:lang w:val="pt-BR"/>
              </w:rPr>
              <w:t>2</w:t>
            </w:r>
          </w:p>
        </w:tc>
        <w:tc>
          <w:tcPr>
            <w:tcW w:w="676" w:type="dxa"/>
            <w:tcBorders>
              <w:tl2br w:val="nil"/>
              <w:tr2bl w:val="nil"/>
            </w:tcBorders>
            <w:noWrap w:val="0"/>
            <w:vAlign w:val="center"/>
          </w:tcPr>
          <w:p w14:paraId="7C496537">
            <w:pPr>
              <w:pStyle w:val="563"/>
              <w:bidi w:val="0"/>
              <w:rPr>
                <w:rFonts w:hint="default"/>
                <w:color w:val="auto"/>
                <w:highlight w:val="none"/>
                <w:lang w:val="pt-BR"/>
              </w:rPr>
            </w:pPr>
            <w:r>
              <w:rPr>
                <w:rFonts w:hint="default"/>
                <w:color w:val="auto"/>
                <w:highlight w:val="none"/>
                <w:lang w:val="pt-BR"/>
              </w:rPr>
              <w:t>3</w:t>
            </w:r>
          </w:p>
        </w:tc>
        <w:tc>
          <w:tcPr>
            <w:tcW w:w="826" w:type="dxa"/>
            <w:tcBorders>
              <w:tl2br w:val="nil"/>
              <w:tr2bl w:val="nil"/>
            </w:tcBorders>
            <w:noWrap w:val="0"/>
            <w:vAlign w:val="center"/>
          </w:tcPr>
          <w:p w14:paraId="0CB3689A">
            <w:pPr>
              <w:pStyle w:val="563"/>
              <w:bidi w:val="0"/>
              <w:rPr>
                <w:rFonts w:hint="default"/>
                <w:color w:val="auto"/>
                <w:highlight w:val="none"/>
                <w:lang w:val="pt-BR"/>
              </w:rPr>
            </w:pPr>
            <w:r>
              <w:rPr>
                <w:rFonts w:hint="default"/>
                <w:color w:val="auto"/>
                <w:highlight w:val="none"/>
                <w:lang w:val="pt-BR"/>
              </w:rPr>
              <w:t>5</w:t>
            </w:r>
          </w:p>
        </w:tc>
        <w:tc>
          <w:tcPr>
            <w:tcW w:w="637" w:type="dxa"/>
            <w:tcBorders>
              <w:tl2br w:val="nil"/>
              <w:tr2bl w:val="nil"/>
            </w:tcBorders>
            <w:noWrap w:val="0"/>
            <w:vAlign w:val="center"/>
          </w:tcPr>
          <w:p w14:paraId="11342A67">
            <w:pPr>
              <w:pStyle w:val="563"/>
              <w:bidi w:val="0"/>
              <w:rPr>
                <w:rFonts w:hint="default"/>
                <w:color w:val="auto"/>
                <w:highlight w:val="none"/>
                <w:lang w:val="pt-BR"/>
              </w:rPr>
            </w:pPr>
            <w:r>
              <w:rPr>
                <w:rFonts w:hint="default"/>
                <w:color w:val="auto"/>
                <w:highlight w:val="none"/>
                <w:lang w:val="pt-BR"/>
              </w:rPr>
              <w:t>13</w:t>
            </w:r>
          </w:p>
        </w:tc>
        <w:tc>
          <w:tcPr>
            <w:tcW w:w="765" w:type="dxa"/>
            <w:tcBorders>
              <w:tl2br w:val="nil"/>
              <w:tr2bl w:val="nil"/>
            </w:tcBorders>
            <w:noWrap w:val="0"/>
            <w:vAlign w:val="center"/>
          </w:tcPr>
          <w:p w14:paraId="2B798653">
            <w:pPr>
              <w:pStyle w:val="563"/>
              <w:bidi w:val="0"/>
              <w:rPr>
                <w:rFonts w:hint="default"/>
                <w:color w:val="auto"/>
                <w:highlight w:val="none"/>
                <w:lang w:val="pt-BR"/>
              </w:rPr>
            </w:pPr>
            <w:r>
              <w:rPr>
                <w:rFonts w:hint="default"/>
                <w:color w:val="auto"/>
                <w:highlight w:val="none"/>
                <w:lang w:val="pt-BR"/>
              </w:rPr>
              <w:t>12</w:t>
            </w:r>
          </w:p>
        </w:tc>
        <w:tc>
          <w:tcPr>
            <w:tcW w:w="637" w:type="dxa"/>
            <w:tcBorders>
              <w:tl2br w:val="nil"/>
              <w:tr2bl w:val="nil"/>
            </w:tcBorders>
            <w:noWrap w:val="0"/>
            <w:vAlign w:val="center"/>
          </w:tcPr>
          <w:p w14:paraId="6126188B">
            <w:pPr>
              <w:pStyle w:val="563"/>
              <w:bidi w:val="0"/>
              <w:rPr>
                <w:rFonts w:hint="default"/>
                <w:color w:val="auto"/>
                <w:highlight w:val="none"/>
                <w:lang w:val="pt-BR"/>
              </w:rPr>
            </w:pPr>
            <w:r>
              <w:rPr>
                <w:rFonts w:hint="default"/>
                <w:color w:val="auto"/>
                <w:highlight w:val="none"/>
                <w:lang w:val="pt-BR"/>
              </w:rPr>
              <w:t>12</w:t>
            </w:r>
          </w:p>
        </w:tc>
        <w:tc>
          <w:tcPr>
            <w:tcW w:w="759" w:type="dxa"/>
            <w:tcBorders>
              <w:tl2br w:val="nil"/>
              <w:tr2bl w:val="nil"/>
            </w:tcBorders>
            <w:noWrap w:val="0"/>
            <w:vAlign w:val="center"/>
          </w:tcPr>
          <w:p w14:paraId="0274CD21">
            <w:pPr>
              <w:pStyle w:val="563"/>
              <w:bidi w:val="0"/>
              <w:rPr>
                <w:rFonts w:hint="default"/>
                <w:color w:val="auto"/>
                <w:highlight w:val="none"/>
                <w:lang w:val="pt-BR"/>
              </w:rPr>
            </w:pPr>
            <w:r>
              <w:rPr>
                <w:rFonts w:hint="default"/>
                <w:color w:val="auto"/>
                <w:highlight w:val="none"/>
                <w:lang w:val="pt-BR"/>
              </w:rPr>
              <w:t>9</w:t>
            </w:r>
          </w:p>
        </w:tc>
        <w:tc>
          <w:tcPr>
            <w:tcW w:w="480" w:type="dxa"/>
            <w:tcBorders>
              <w:tl2br w:val="nil"/>
              <w:tr2bl w:val="nil"/>
            </w:tcBorders>
            <w:noWrap w:val="0"/>
            <w:vAlign w:val="center"/>
          </w:tcPr>
          <w:p w14:paraId="40403F92">
            <w:pPr>
              <w:pStyle w:val="563"/>
              <w:bidi w:val="0"/>
              <w:rPr>
                <w:rFonts w:hint="default"/>
                <w:color w:val="auto"/>
                <w:highlight w:val="none"/>
                <w:lang w:val="pt-BR"/>
              </w:rPr>
            </w:pPr>
            <w:r>
              <w:rPr>
                <w:rFonts w:hint="default"/>
                <w:color w:val="auto"/>
                <w:highlight w:val="none"/>
                <w:lang w:val="pt-BR"/>
              </w:rPr>
              <w:t>7</w:t>
            </w:r>
          </w:p>
        </w:tc>
        <w:tc>
          <w:tcPr>
            <w:tcW w:w="882" w:type="dxa"/>
            <w:tcBorders>
              <w:tl2br w:val="nil"/>
              <w:tr2bl w:val="nil"/>
            </w:tcBorders>
            <w:noWrap w:val="0"/>
            <w:vAlign w:val="center"/>
          </w:tcPr>
          <w:p w14:paraId="1BD8DB03">
            <w:pPr>
              <w:pStyle w:val="563"/>
              <w:bidi w:val="0"/>
              <w:rPr>
                <w:rFonts w:hint="default"/>
                <w:color w:val="auto"/>
                <w:highlight w:val="none"/>
                <w:lang w:val="pt-BR"/>
              </w:rPr>
            </w:pPr>
            <w:r>
              <w:rPr>
                <w:rFonts w:hint="default"/>
                <w:color w:val="auto"/>
                <w:highlight w:val="none"/>
                <w:lang w:val="pt-BR"/>
              </w:rPr>
              <w:t>5</w:t>
            </w:r>
          </w:p>
        </w:tc>
        <w:tc>
          <w:tcPr>
            <w:tcW w:w="740" w:type="dxa"/>
            <w:tcBorders>
              <w:tl2br w:val="nil"/>
              <w:tr2bl w:val="nil"/>
            </w:tcBorders>
            <w:noWrap w:val="0"/>
            <w:vAlign w:val="center"/>
          </w:tcPr>
          <w:p w14:paraId="3E98B8A4">
            <w:pPr>
              <w:pStyle w:val="563"/>
              <w:bidi w:val="0"/>
              <w:rPr>
                <w:rFonts w:hint="default"/>
                <w:color w:val="auto"/>
                <w:highlight w:val="none"/>
                <w:lang w:val="pt-BR"/>
              </w:rPr>
            </w:pPr>
            <w:r>
              <w:rPr>
                <w:rFonts w:hint="default"/>
                <w:color w:val="auto"/>
                <w:highlight w:val="none"/>
                <w:lang w:val="pt-BR"/>
              </w:rPr>
              <w:t>5</w:t>
            </w:r>
          </w:p>
        </w:tc>
        <w:tc>
          <w:tcPr>
            <w:tcW w:w="1016" w:type="dxa"/>
            <w:tcBorders>
              <w:tl2br w:val="nil"/>
              <w:tr2bl w:val="nil"/>
            </w:tcBorders>
            <w:noWrap w:val="0"/>
            <w:vAlign w:val="center"/>
          </w:tcPr>
          <w:p w14:paraId="774DDE8F">
            <w:pPr>
              <w:pStyle w:val="563"/>
              <w:bidi w:val="0"/>
              <w:rPr>
                <w:rFonts w:hint="default"/>
                <w:color w:val="auto"/>
                <w:highlight w:val="none"/>
                <w:lang w:val="pt-BR"/>
              </w:rPr>
            </w:pPr>
            <w:r>
              <w:rPr>
                <w:rFonts w:hint="default"/>
                <w:color w:val="auto"/>
                <w:highlight w:val="none"/>
                <w:lang w:val="pt-BR"/>
              </w:rPr>
              <w:t>4</w:t>
            </w:r>
          </w:p>
        </w:tc>
        <w:tc>
          <w:tcPr>
            <w:tcW w:w="598" w:type="dxa"/>
            <w:tcBorders>
              <w:tl2br w:val="nil"/>
              <w:tr2bl w:val="nil"/>
            </w:tcBorders>
            <w:noWrap w:val="0"/>
            <w:vAlign w:val="center"/>
          </w:tcPr>
          <w:p w14:paraId="106872C3">
            <w:pPr>
              <w:pStyle w:val="563"/>
              <w:bidi w:val="0"/>
              <w:rPr>
                <w:rFonts w:hint="default"/>
                <w:color w:val="auto"/>
                <w:highlight w:val="none"/>
                <w:lang w:val="pt-BR"/>
              </w:rPr>
            </w:pPr>
            <w:r>
              <w:rPr>
                <w:rFonts w:hint="default"/>
                <w:color w:val="auto"/>
                <w:highlight w:val="none"/>
                <w:lang w:val="pt-BR"/>
              </w:rPr>
              <w:t>3</w:t>
            </w:r>
          </w:p>
        </w:tc>
        <w:tc>
          <w:tcPr>
            <w:tcW w:w="1077" w:type="dxa"/>
            <w:tcBorders>
              <w:tl2br w:val="nil"/>
              <w:tr2bl w:val="nil"/>
            </w:tcBorders>
            <w:noWrap w:val="0"/>
            <w:vAlign w:val="center"/>
          </w:tcPr>
          <w:p w14:paraId="061F1ECF">
            <w:pPr>
              <w:pStyle w:val="563"/>
              <w:bidi w:val="0"/>
              <w:rPr>
                <w:rFonts w:hint="default"/>
                <w:color w:val="auto"/>
                <w:highlight w:val="none"/>
                <w:lang w:val="pt-BR"/>
              </w:rPr>
            </w:pPr>
            <w:r>
              <w:rPr>
                <w:rFonts w:hint="default"/>
                <w:color w:val="auto"/>
                <w:highlight w:val="none"/>
                <w:lang w:val="pt-BR"/>
              </w:rPr>
              <w:t>3</w:t>
            </w:r>
          </w:p>
        </w:tc>
        <w:tc>
          <w:tcPr>
            <w:tcW w:w="801" w:type="dxa"/>
            <w:tcBorders>
              <w:tl2br w:val="nil"/>
              <w:tr2bl w:val="nil"/>
            </w:tcBorders>
            <w:noWrap w:val="0"/>
            <w:vAlign w:val="center"/>
          </w:tcPr>
          <w:p w14:paraId="45AD72A1">
            <w:pPr>
              <w:pStyle w:val="563"/>
              <w:bidi w:val="0"/>
              <w:rPr>
                <w:rFonts w:hint="default"/>
                <w:color w:val="auto"/>
                <w:highlight w:val="none"/>
                <w:lang w:val="pt-BR"/>
              </w:rPr>
            </w:pPr>
            <w:r>
              <w:rPr>
                <w:rFonts w:hint="default"/>
                <w:color w:val="auto"/>
                <w:highlight w:val="none"/>
                <w:lang w:val="pt-BR"/>
              </w:rPr>
              <w:t>3</w:t>
            </w:r>
          </w:p>
        </w:tc>
        <w:tc>
          <w:tcPr>
            <w:tcW w:w="999" w:type="dxa"/>
            <w:tcBorders>
              <w:tl2br w:val="nil"/>
              <w:tr2bl w:val="nil"/>
            </w:tcBorders>
            <w:noWrap w:val="0"/>
            <w:vAlign w:val="center"/>
          </w:tcPr>
          <w:p w14:paraId="7FA555A1">
            <w:pPr>
              <w:pStyle w:val="563"/>
              <w:bidi w:val="0"/>
              <w:rPr>
                <w:rFonts w:hint="default"/>
                <w:color w:val="auto"/>
                <w:highlight w:val="none"/>
                <w:lang w:val="pt-BR"/>
              </w:rPr>
            </w:pPr>
            <w:r>
              <w:rPr>
                <w:rFonts w:hint="default"/>
                <w:color w:val="auto"/>
                <w:highlight w:val="none"/>
                <w:lang w:val="pt-BR"/>
              </w:rPr>
              <w:t>2</w:t>
            </w:r>
          </w:p>
        </w:tc>
        <w:tc>
          <w:tcPr>
            <w:tcW w:w="637" w:type="dxa"/>
            <w:tcBorders>
              <w:tl2br w:val="nil"/>
              <w:tr2bl w:val="nil"/>
            </w:tcBorders>
            <w:noWrap w:val="0"/>
            <w:vAlign w:val="center"/>
          </w:tcPr>
          <w:p w14:paraId="0A77BE53">
            <w:pPr>
              <w:pStyle w:val="563"/>
              <w:bidi w:val="0"/>
              <w:rPr>
                <w:rFonts w:hint="default"/>
                <w:color w:val="auto"/>
                <w:highlight w:val="none"/>
                <w:lang w:val="pt-BR"/>
              </w:rPr>
            </w:pPr>
            <w:r>
              <w:rPr>
                <w:rFonts w:hint="default"/>
                <w:color w:val="auto"/>
                <w:highlight w:val="none"/>
                <w:lang w:val="pt-BR"/>
              </w:rPr>
              <w:t>9</w:t>
            </w:r>
          </w:p>
        </w:tc>
      </w:tr>
      <w:tr w14:paraId="29697E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052D5F13">
            <w:pPr>
              <w:pStyle w:val="563"/>
              <w:bidi w:val="0"/>
              <w:rPr>
                <w:rFonts w:hint="default"/>
                <w:color w:val="auto"/>
                <w:highlight w:val="none"/>
                <w:lang w:val="pt-BR"/>
              </w:rPr>
            </w:pPr>
            <w:r>
              <w:rPr>
                <w:rFonts w:hint="default"/>
                <w:color w:val="auto"/>
                <w:highlight w:val="none"/>
                <w:lang w:val="pt-BR"/>
              </w:rPr>
              <w:t>7月</w:t>
            </w:r>
          </w:p>
        </w:tc>
        <w:tc>
          <w:tcPr>
            <w:tcW w:w="523" w:type="dxa"/>
            <w:tcBorders>
              <w:tl2br w:val="nil"/>
              <w:tr2bl w:val="nil"/>
            </w:tcBorders>
            <w:noWrap w:val="0"/>
            <w:vAlign w:val="center"/>
          </w:tcPr>
          <w:p w14:paraId="09ECD68B">
            <w:pPr>
              <w:pStyle w:val="563"/>
              <w:bidi w:val="0"/>
              <w:rPr>
                <w:rFonts w:hint="default"/>
                <w:color w:val="auto"/>
                <w:highlight w:val="none"/>
                <w:lang w:val="pt-BR"/>
              </w:rPr>
            </w:pPr>
            <w:r>
              <w:rPr>
                <w:rFonts w:hint="default"/>
                <w:color w:val="auto"/>
                <w:highlight w:val="none"/>
                <w:lang w:val="pt-BR"/>
              </w:rPr>
              <w:t>2</w:t>
            </w:r>
          </w:p>
        </w:tc>
        <w:tc>
          <w:tcPr>
            <w:tcW w:w="878" w:type="dxa"/>
            <w:tcBorders>
              <w:tl2br w:val="nil"/>
              <w:tr2bl w:val="nil"/>
            </w:tcBorders>
            <w:noWrap w:val="0"/>
            <w:vAlign w:val="center"/>
          </w:tcPr>
          <w:p w14:paraId="62FB5858">
            <w:pPr>
              <w:pStyle w:val="563"/>
              <w:bidi w:val="0"/>
              <w:rPr>
                <w:rFonts w:hint="default"/>
                <w:color w:val="auto"/>
                <w:highlight w:val="none"/>
                <w:lang w:val="pt-BR"/>
              </w:rPr>
            </w:pPr>
            <w:r>
              <w:rPr>
                <w:rFonts w:hint="default"/>
                <w:color w:val="auto"/>
                <w:highlight w:val="none"/>
                <w:lang w:val="pt-BR"/>
              </w:rPr>
              <w:t>2</w:t>
            </w:r>
          </w:p>
        </w:tc>
        <w:tc>
          <w:tcPr>
            <w:tcW w:w="676" w:type="dxa"/>
            <w:tcBorders>
              <w:tl2br w:val="nil"/>
              <w:tr2bl w:val="nil"/>
            </w:tcBorders>
            <w:noWrap w:val="0"/>
            <w:vAlign w:val="center"/>
          </w:tcPr>
          <w:p w14:paraId="4D0228CC">
            <w:pPr>
              <w:pStyle w:val="563"/>
              <w:bidi w:val="0"/>
              <w:rPr>
                <w:rFonts w:hint="default"/>
                <w:color w:val="auto"/>
                <w:highlight w:val="none"/>
                <w:lang w:val="pt-BR"/>
              </w:rPr>
            </w:pPr>
            <w:r>
              <w:rPr>
                <w:rFonts w:hint="default"/>
                <w:color w:val="auto"/>
                <w:highlight w:val="none"/>
                <w:lang w:val="pt-BR"/>
              </w:rPr>
              <w:t>4</w:t>
            </w:r>
          </w:p>
        </w:tc>
        <w:tc>
          <w:tcPr>
            <w:tcW w:w="826" w:type="dxa"/>
            <w:tcBorders>
              <w:tl2br w:val="nil"/>
              <w:tr2bl w:val="nil"/>
            </w:tcBorders>
            <w:noWrap w:val="0"/>
            <w:vAlign w:val="center"/>
          </w:tcPr>
          <w:p w14:paraId="6151785E">
            <w:pPr>
              <w:pStyle w:val="563"/>
              <w:bidi w:val="0"/>
              <w:rPr>
                <w:rFonts w:hint="default"/>
                <w:color w:val="auto"/>
                <w:highlight w:val="none"/>
                <w:lang w:val="pt-BR"/>
              </w:rPr>
            </w:pPr>
            <w:r>
              <w:rPr>
                <w:rFonts w:hint="default"/>
                <w:color w:val="auto"/>
                <w:highlight w:val="none"/>
                <w:lang w:val="pt-BR"/>
              </w:rPr>
              <w:t>5</w:t>
            </w:r>
          </w:p>
        </w:tc>
        <w:tc>
          <w:tcPr>
            <w:tcW w:w="637" w:type="dxa"/>
            <w:tcBorders>
              <w:tl2br w:val="nil"/>
              <w:tr2bl w:val="nil"/>
            </w:tcBorders>
            <w:noWrap w:val="0"/>
            <w:vAlign w:val="center"/>
          </w:tcPr>
          <w:p w14:paraId="59FE85C0">
            <w:pPr>
              <w:pStyle w:val="563"/>
              <w:bidi w:val="0"/>
              <w:rPr>
                <w:rFonts w:hint="default"/>
                <w:color w:val="auto"/>
                <w:highlight w:val="none"/>
                <w:lang w:val="pt-BR"/>
              </w:rPr>
            </w:pPr>
            <w:r>
              <w:rPr>
                <w:rFonts w:hint="default"/>
                <w:color w:val="auto"/>
                <w:highlight w:val="none"/>
                <w:lang w:val="pt-BR"/>
              </w:rPr>
              <w:t>10</w:t>
            </w:r>
          </w:p>
        </w:tc>
        <w:tc>
          <w:tcPr>
            <w:tcW w:w="765" w:type="dxa"/>
            <w:tcBorders>
              <w:tl2br w:val="nil"/>
              <w:tr2bl w:val="nil"/>
            </w:tcBorders>
            <w:noWrap w:val="0"/>
            <w:vAlign w:val="center"/>
          </w:tcPr>
          <w:p w14:paraId="761D836B">
            <w:pPr>
              <w:pStyle w:val="563"/>
              <w:bidi w:val="0"/>
              <w:rPr>
                <w:rFonts w:hint="default"/>
                <w:color w:val="auto"/>
                <w:highlight w:val="none"/>
                <w:lang w:val="pt-BR"/>
              </w:rPr>
            </w:pPr>
            <w:r>
              <w:rPr>
                <w:rFonts w:hint="default"/>
                <w:color w:val="auto"/>
                <w:highlight w:val="none"/>
                <w:lang w:val="pt-BR"/>
              </w:rPr>
              <w:t>10</w:t>
            </w:r>
          </w:p>
        </w:tc>
        <w:tc>
          <w:tcPr>
            <w:tcW w:w="637" w:type="dxa"/>
            <w:tcBorders>
              <w:tl2br w:val="nil"/>
              <w:tr2bl w:val="nil"/>
            </w:tcBorders>
            <w:noWrap w:val="0"/>
            <w:vAlign w:val="center"/>
          </w:tcPr>
          <w:p w14:paraId="3530F611">
            <w:pPr>
              <w:pStyle w:val="563"/>
              <w:bidi w:val="0"/>
              <w:rPr>
                <w:rFonts w:hint="default"/>
                <w:color w:val="auto"/>
                <w:highlight w:val="none"/>
                <w:lang w:val="pt-BR"/>
              </w:rPr>
            </w:pPr>
            <w:r>
              <w:rPr>
                <w:rFonts w:hint="default"/>
                <w:color w:val="auto"/>
                <w:highlight w:val="none"/>
                <w:lang w:val="pt-BR"/>
              </w:rPr>
              <w:t>10</w:t>
            </w:r>
          </w:p>
        </w:tc>
        <w:tc>
          <w:tcPr>
            <w:tcW w:w="759" w:type="dxa"/>
            <w:tcBorders>
              <w:tl2br w:val="nil"/>
              <w:tr2bl w:val="nil"/>
            </w:tcBorders>
            <w:noWrap w:val="0"/>
            <w:vAlign w:val="center"/>
          </w:tcPr>
          <w:p w14:paraId="0143C28F">
            <w:pPr>
              <w:pStyle w:val="563"/>
              <w:bidi w:val="0"/>
              <w:rPr>
                <w:rFonts w:hint="default"/>
                <w:color w:val="auto"/>
                <w:highlight w:val="none"/>
                <w:lang w:val="pt-BR"/>
              </w:rPr>
            </w:pPr>
            <w:r>
              <w:rPr>
                <w:rFonts w:hint="default"/>
                <w:color w:val="auto"/>
                <w:highlight w:val="none"/>
                <w:lang w:val="pt-BR"/>
              </w:rPr>
              <w:t>8</w:t>
            </w:r>
          </w:p>
        </w:tc>
        <w:tc>
          <w:tcPr>
            <w:tcW w:w="480" w:type="dxa"/>
            <w:tcBorders>
              <w:tl2br w:val="nil"/>
              <w:tr2bl w:val="nil"/>
            </w:tcBorders>
            <w:noWrap w:val="0"/>
            <w:vAlign w:val="center"/>
          </w:tcPr>
          <w:p w14:paraId="5FD7D287">
            <w:pPr>
              <w:pStyle w:val="563"/>
              <w:bidi w:val="0"/>
              <w:rPr>
                <w:rFonts w:hint="default"/>
                <w:color w:val="auto"/>
                <w:highlight w:val="none"/>
                <w:lang w:val="pt-BR"/>
              </w:rPr>
            </w:pPr>
            <w:r>
              <w:rPr>
                <w:rFonts w:hint="default"/>
                <w:color w:val="auto"/>
                <w:highlight w:val="none"/>
                <w:lang w:val="pt-BR"/>
              </w:rPr>
              <w:t>9</w:t>
            </w:r>
          </w:p>
        </w:tc>
        <w:tc>
          <w:tcPr>
            <w:tcW w:w="882" w:type="dxa"/>
            <w:tcBorders>
              <w:tl2br w:val="nil"/>
              <w:tr2bl w:val="nil"/>
            </w:tcBorders>
            <w:noWrap w:val="0"/>
            <w:vAlign w:val="center"/>
          </w:tcPr>
          <w:p w14:paraId="13721090">
            <w:pPr>
              <w:pStyle w:val="563"/>
              <w:bidi w:val="0"/>
              <w:rPr>
                <w:rFonts w:hint="default"/>
                <w:color w:val="auto"/>
                <w:highlight w:val="none"/>
                <w:lang w:val="pt-BR"/>
              </w:rPr>
            </w:pPr>
            <w:r>
              <w:rPr>
                <w:rFonts w:hint="default"/>
                <w:color w:val="auto"/>
                <w:highlight w:val="none"/>
                <w:lang w:val="pt-BR"/>
              </w:rPr>
              <w:t>6</w:t>
            </w:r>
          </w:p>
        </w:tc>
        <w:tc>
          <w:tcPr>
            <w:tcW w:w="740" w:type="dxa"/>
            <w:tcBorders>
              <w:tl2br w:val="nil"/>
              <w:tr2bl w:val="nil"/>
            </w:tcBorders>
            <w:noWrap w:val="0"/>
            <w:vAlign w:val="center"/>
          </w:tcPr>
          <w:p w14:paraId="4161E13F">
            <w:pPr>
              <w:pStyle w:val="563"/>
              <w:bidi w:val="0"/>
              <w:rPr>
                <w:rFonts w:hint="default"/>
                <w:color w:val="auto"/>
                <w:highlight w:val="none"/>
                <w:lang w:val="pt-BR"/>
              </w:rPr>
            </w:pPr>
            <w:r>
              <w:rPr>
                <w:rFonts w:hint="default"/>
                <w:color w:val="auto"/>
                <w:highlight w:val="none"/>
                <w:lang w:val="pt-BR"/>
              </w:rPr>
              <w:t>7</w:t>
            </w:r>
          </w:p>
        </w:tc>
        <w:tc>
          <w:tcPr>
            <w:tcW w:w="1016" w:type="dxa"/>
            <w:tcBorders>
              <w:tl2br w:val="nil"/>
              <w:tr2bl w:val="nil"/>
            </w:tcBorders>
            <w:noWrap w:val="0"/>
            <w:vAlign w:val="center"/>
          </w:tcPr>
          <w:p w14:paraId="694B6F09">
            <w:pPr>
              <w:pStyle w:val="563"/>
              <w:bidi w:val="0"/>
              <w:rPr>
                <w:rFonts w:hint="default"/>
                <w:color w:val="auto"/>
                <w:highlight w:val="none"/>
                <w:lang w:val="pt-BR"/>
              </w:rPr>
            </w:pPr>
            <w:r>
              <w:rPr>
                <w:rFonts w:hint="default"/>
                <w:color w:val="auto"/>
                <w:highlight w:val="none"/>
                <w:lang w:val="pt-BR"/>
              </w:rPr>
              <w:t>5</w:t>
            </w:r>
          </w:p>
        </w:tc>
        <w:tc>
          <w:tcPr>
            <w:tcW w:w="598" w:type="dxa"/>
            <w:tcBorders>
              <w:tl2br w:val="nil"/>
              <w:tr2bl w:val="nil"/>
            </w:tcBorders>
            <w:noWrap w:val="0"/>
            <w:vAlign w:val="center"/>
          </w:tcPr>
          <w:p w14:paraId="3C08B43F">
            <w:pPr>
              <w:pStyle w:val="563"/>
              <w:bidi w:val="0"/>
              <w:rPr>
                <w:rFonts w:hint="default"/>
                <w:color w:val="auto"/>
                <w:highlight w:val="none"/>
                <w:lang w:val="pt-BR"/>
              </w:rPr>
            </w:pPr>
            <w:r>
              <w:rPr>
                <w:rFonts w:hint="default"/>
                <w:color w:val="auto"/>
                <w:highlight w:val="none"/>
                <w:lang w:val="pt-BR"/>
              </w:rPr>
              <w:t>4</w:t>
            </w:r>
          </w:p>
        </w:tc>
        <w:tc>
          <w:tcPr>
            <w:tcW w:w="1077" w:type="dxa"/>
            <w:tcBorders>
              <w:tl2br w:val="nil"/>
              <w:tr2bl w:val="nil"/>
            </w:tcBorders>
            <w:noWrap w:val="0"/>
            <w:vAlign w:val="center"/>
          </w:tcPr>
          <w:p w14:paraId="0BF60228">
            <w:pPr>
              <w:pStyle w:val="563"/>
              <w:bidi w:val="0"/>
              <w:rPr>
                <w:rFonts w:hint="default"/>
                <w:color w:val="auto"/>
                <w:highlight w:val="none"/>
                <w:lang w:val="pt-BR"/>
              </w:rPr>
            </w:pPr>
            <w:r>
              <w:rPr>
                <w:rFonts w:hint="default"/>
                <w:color w:val="auto"/>
                <w:highlight w:val="none"/>
                <w:lang w:val="pt-BR"/>
              </w:rPr>
              <w:t>3</w:t>
            </w:r>
          </w:p>
        </w:tc>
        <w:tc>
          <w:tcPr>
            <w:tcW w:w="801" w:type="dxa"/>
            <w:tcBorders>
              <w:tl2br w:val="nil"/>
              <w:tr2bl w:val="nil"/>
            </w:tcBorders>
            <w:noWrap w:val="0"/>
            <w:vAlign w:val="center"/>
          </w:tcPr>
          <w:p w14:paraId="13539396">
            <w:pPr>
              <w:pStyle w:val="563"/>
              <w:bidi w:val="0"/>
              <w:rPr>
                <w:rFonts w:hint="default"/>
                <w:color w:val="auto"/>
                <w:highlight w:val="none"/>
                <w:lang w:val="pt-BR"/>
              </w:rPr>
            </w:pPr>
            <w:r>
              <w:rPr>
                <w:rFonts w:hint="default"/>
                <w:color w:val="auto"/>
                <w:highlight w:val="none"/>
                <w:lang w:val="pt-BR"/>
              </w:rPr>
              <w:t>3</w:t>
            </w:r>
          </w:p>
        </w:tc>
        <w:tc>
          <w:tcPr>
            <w:tcW w:w="999" w:type="dxa"/>
            <w:tcBorders>
              <w:tl2br w:val="nil"/>
              <w:tr2bl w:val="nil"/>
            </w:tcBorders>
            <w:noWrap w:val="0"/>
            <w:vAlign w:val="center"/>
          </w:tcPr>
          <w:p w14:paraId="7F5C8565">
            <w:pPr>
              <w:pStyle w:val="563"/>
              <w:bidi w:val="0"/>
              <w:rPr>
                <w:rFonts w:hint="default"/>
                <w:color w:val="auto"/>
                <w:highlight w:val="none"/>
                <w:lang w:val="pt-BR"/>
              </w:rPr>
            </w:pPr>
            <w:r>
              <w:rPr>
                <w:rFonts w:hint="default"/>
                <w:color w:val="auto"/>
                <w:highlight w:val="none"/>
                <w:lang w:val="pt-BR"/>
              </w:rPr>
              <w:t>2</w:t>
            </w:r>
          </w:p>
        </w:tc>
        <w:tc>
          <w:tcPr>
            <w:tcW w:w="637" w:type="dxa"/>
            <w:tcBorders>
              <w:tl2br w:val="nil"/>
              <w:tr2bl w:val="nil"/>
            </w:tcBorders>
            <w:noWrap w:val="0"/>
            <w:vAlign w:val="center"/>
          </w:tcPr>
          <w:p w14:paraId="373A09BF">
            <w:pPr>
              <w:pStyle w:val="563"/>
              <w:bidi w:val="0"/>
              <w:rPr>
                <w:rFonts w:hint="default"/>
                <w:color w:val="auto"/>
                <w:highlight w:val="none"/>
                <w:lang w:val="pt-BR"/>
              </w:rPr>
            </w:pPr>
            <w:r>
              <w:rPr>
                <w:rFonts w:hint="default"/>
                <w:color w:val="auto"/>
                <w:highlight w:val="none"/>
                <w:lang w:val="pt-BR"/>
              </w:rPr>
              <w:t>10</w:t>
            </w:r>
          </w:p>
        </w:tc>
      </w:tr>
      <w:tr w14:paraId="77BEB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4D298319">
            <w:pPr>
              <w:pStyle w:val="563"/>
              <w:bidi w:val="0"/>
              <w:rPr>
                <w:rFonts w:hint="default"/>
                <w:color w:val="auto"/>
                <w:highlight w:val="none"/>
                <w:lang w:val="pt-BR"/>
              </w:rPr>
            </w:pPr>
            <w:r>
              <w:rPr>
                <w:rFonts w:hint="default"/>
                <w:color w:val="auto"/>
                <w:highlight w:val="none"/>
                <w:lang w:val="pt-BR"/>
              </w:rPr>
              <w:t>8月</w:t>
            </w:r>
          </w:p>
        </w:tc>
        <w:tc>
          <w:tcPr>
            <w:tcW w:w="523" w:type="dxa"/>
            <w:tcBorders>
              <w:tl2br w:val="nil"/>
              <w:tr2bl w:val="nil"/>
            </w:tcBorders>
            <w:noWrap w:val="0"/>
            <w:vAlign w:val="center"/>
          </w:tcPr>
          <w:p w14:paraId="2EB13F19">
            <w:pPr>
              <w:pStyle w:val="563"/>
              <w:bidi w:val="0"/>
              <w:rPr>
                <w:rFonts w:hint="default"/>
                <w:color w:val="auto"/>
                <w:highlight w:val="none"/>
                <w:lang w:val="pt-BR"/>
              </w:rPr>
            </w:pPr>
            <w:r>
              <w:rPr>
                <w:rFonts w:hint="default"/>
                <w:color w:val="auto"/>
                <w:highlight w:val="none"/>
                <w:lang w:val="pt-BR"/>
              </w:rPr>
              <w:t>4</w:t>
            </w:r>
          </w:p>
        </w:tc>
        <w:tc>
          <w:tcPr>
            <w:tcW w:w="878" w:type="dxa"/>
            <w:tcBorders>
              <w:tl2br w:val="nil"/>
              <w:tr2bl w:val="nil"/>
            </w:tcBorders>
            <w:noWrap w:val="0"/>
            <w:vAlign w:val="center"/>
          </w:tcPr>
          <w:p w14:paraId="50445E71">
            <w:pPr>
              <w:pStyle w:val="563"/>
              <w:bidi w:val="0"/>
              <w:rPr>
                <w:rFonts w:hint="default"/>
                <w:color w:val="auto"/>
                <w:highlight w:val="none"/>
                <w:lang w:val="pt-BR"/>
              </w:rPr>
            </w:pPr>
            <w:r>
              <w:rPr>
                <w:rFonts w:hint="default"/>
                <w:color w:val="auto"/>
                <w:highlight w:val="none"/>
                <w:lang w:val="pt-BR"/>
              </w:rPr>
              <w:t>4</w:t>
            </w:r>
          </w:p>
        </w:tc>
        <w:tc>
          <w:tcPr>
            <w:tcW w:w="676" w:type="dxa"/>
            <w:tcBorders>
              <w:tl2br w:val="nil"/>
              <w:tr2bl w:val="nil"/>
            </w:tcBorders>
            <w:noWrap w:val="0"/>
            <w:vAlign w:val="center"/>
          </w:tcPr>
          <w:p w14:paraId="3918E6A8">
            <w:pPr>
              <w:pStyle w:val="563"/>
              <w:bidi w:val="0"/>
              <w:rPr>
                <w:rFonts w:hint="default"/>
                <w:color w:val="auto"/>
                <w:highlight w:val="none"/>
                <w:lang w:val="pt-BR"/>
              </w:rPr>
            </w:pPr>
            <w:r>
              <w:rPr>
                <w:rFonts w:hint="default"/>
                <w:color w:val="auto"/>
                <w:highlight w:val="none"/>
                <w:lang w:val="pt-BR"/>
              </w:rPr>
              <w:t>8</w:t>
            </w:r>
          </w:p>
        </w:tc>
        <w:tc>
          <w:tcPr>
            <w:tcW w:w="826" w:type="dxa"/>
            <w:tcBorders>
              <w:tl2br w:val="nil"/>
              <w:tr2bl w:val="nil"/>
            </w:tcBorders>
            <w:noWrap w:val="0"/>
            <w:vAlign w:val="center"/>
          </w:tcPr>
          <w:p w14:paraId="27EC0E8B">
            <w:pPr>
              <w:pStyle w:val="563"/>
              <w:bidi w:val="0"/>
              <w:rPr>
                <w:rFonts w:hint="default"/>
                <w:color w:val="auto"/>
                <w:highlight w:val="none"/>
                <w:lang w:val="pt-BR"/>
              </w:rPr>
            </w:pPr>
            <w:r>
              <w:rPr>
                <w:rFonts w:hint="default"/>
                <w:color w:val="auto"/>
                <w:highlight w:val="none"/>
                <w:lang w:val="pt-BR"/>
              </w:rPr>
              <w:t>8</w:t>
            </w:r>
          </w:p>
        </w:tc>
        <w:tc>
          <w:tcPr>
            <w:tcW w:w="637" w:type="dxa"/>
            <w:tcBorders>
              <w:tl2br w:val="nil"/>
              <w:tr2bl w:val="nil"/>
            </w:tcBorders>
            <w:noWrap w:val="0"/>
            <w:vAlign w:val="center"/>
          </w:tcPr>
          <w:p w14:paraId="49D56641">
            <w:pPr>
              <w:pStyle w:val="563"/>
              <w:bidi w:val="0"/>
              <w:rPr>
                <w:rFonts w:hint="default"/>
                <w:color w:val="auto"/>
                <w:highlight w:val="none"/>
                <w:lang w:val="pt-BR"/>
              </w:rPr>
            </w:pPr>
            <w:r>
              <w:rPr>
                <w:rFonts w:hint="default"/>
                <w:color w:val="auto"/>
                <w:highlight w:val="none"/>
                <w:lang w:val="pt-BR"/>
              </w:rPr>
              <w:t>16</w:t>
            </w:r>
          </w:p>
        </w:tc>
        <w:tc>
          <w:tcPr>
            <w:tcW w:w="765" w:type="dxa"/>
            <w:tcBorders>
              <w:tl2br w:val="nil"/>
              <w:tr2bl w:val="nil"/>
            </w:tcBorders>
            <w:noWrap w:val="0"/>
            <w:vAlign w:val="center"/>
          </w:tcPr>
          <w:p w14:paraId="399DF65D">
            <w:pPr>
              <w:pStyle w:val="563"/>
              <w:bidi w:val="0"/>
              <w:rPr>
                <w:rFonts w:hint="default"/>
                <w:color w:val="auto"/>
                <w:highlight w:val="none"/>
                <w:lang w:val="pt-BR"/>
              </w:rPr>
            </w:pPr>
            <w:r>
              <w:rPr>
                <w:rFonts w:hint="default"/>
                <w:color w:val="auto"/>
                <w:highlight w:val="none"/>
                <w:lang w:val="pt-BR"/>
              </w:rPr>
              <w:t>10</w:t>
            </w:r>
          </w:p>
        </w:tc>
        <w:tc>
          <w:tcPr>
            <w:tcW w:w="637" w:type="dxa"/>
            <w:tcBorders>
              <w:tl2br w:val="nil"/>
              <w:tr2bl w:val="nil"/>
            </w:tcBorders>
            <w:noWrap w:val="0"/>
            <w:vAlign w:val="center"/>
          </w:tcPr>
          <w:p w14:paraId="506F5C02">
            <w:pPr>
              <w:pStyle w:val="563"/>
              <w:bidi w:val="0"/>
              <w:rPr>
                <w:rFonts w:hint="default"/>
                <w:color w:val="auto"/>
                <w:highlight w:val="none"/>
                <w:lang w:val="pt-BR"/>
              </w:rPr>
            </w:pPr>
            <w:r>
              <w:rPr>
                <w:rFonts w:hint="default"/>
                <w:color w:val="auto"/>
                <w:highlight w:val="none"/>
                <w:lang w:val="pt-BR"/>
              </w:rPr>
              <w:t>8</w:t>
            </w:r>
          </w:p>
        </w:tc>
        <w:tc>
          <w:tcPr>
            <w:tcW w:w="759" w:type="dxa"/>
            <w:tcBorders>
              <w:tl2br w:val="nil"/>
              <w:tr2bl w:val="nil"/>
            </w:tcBorders>
            <w:noWrap w:val="0"/>
            <w:vAlign w:val="center"/>
          </w:tcPr>
          <w:p w14:paraId="2DAA177D">
            <w:pPr>
              <w:pStyle w:val="563"/>
              <w:bidi w:val="0"/>
              <w:rPr>
                <w:rFonts w:hint="default"/>
                <w:color w:val="auto"/>
                <w:highlight w:val="none"/>
                <w:lang w:val="pt-BR"/>
              </w:rPr>
            </w:pPr>
            <w:r>
              <w:rPr>
                <w:rFonts w:hint="default"/>
                <w:color w:val="auto"/>
                <w:highlight w:val="none"/>
                <w:lang w:val="pt-BR"/>
              </w:rPr>
              <w:t>4</w:t>
            </w:r>
          </w:p>
        </w:tc>
        <w:tc>
          <w:tcPr>
            <w:tcW w:w="480" w:type="dxa"/>
            <w:tcBorders>
              <w:tl2br w:val="nil"/>
              <w:tr2bl w:val="nil"/>
            </w:tcBorders>
            <w:noWrap w:val="0"/>
            <w:vAlign w:val="center"/>
          </w:tcPr>
          <w:p w14:paraId="4C0E2394">
            <w:pPr>
              <w:pStyle w:val="563"/>
              <w:bidi w:val="0"/>
              <w:rPr>
                <w:rFonts w:hint="default"/>
                <w:color w:val="auto"/>
                <w:highlight w:val="none"/>
                <w:lang w:val="pt-BR"/>
              </w:rPr>
            </w:pPr>
            <w:r>
              <w:rPr>
                <w:rFonts w:hint="default"/>
                <w:color w:val="auto"/>
                <w:highlight w:val="none"/>
                <w:lang w:val="pt-BR"/>
              </w:rPr>
              <w:t>4</w:t>
            </w:r>
          </w:p>
        </w:tc>
        <w:tc>
          <w:tcPr>
            <w:tcW w:w="882" w:type="dxa"/>
            <w:tcBorders>
              <w:tl2br w:val="nil"/>
              <w:tr2bl w:val="nil"/>
            </w:tcBorders>
            <w:noWrap w:val="0"/>
            <w:vAlign w:val="center"/>
          </w:tcPr>
          <w:p w14:paraId="06D61D43">
            <w:pPr>
              <w:pStyle w:val="563"/>
              <w:bidi w:val="0"/>
              <w:rPr>
                <w:rFonts w:hint="default"/>
                <w:color w:val="auto"/>
                <w:highlight w:val="none"/>
                <w:lang w:val="pt-BR"/>
              </w:rPr>
            </w:pPr>
            <w:r>
              <w:rPr>
                <w:rFonts w:hint="default"/>
                <w:color w:val="auto"/>
                <w:highlight w:val="none"/>
                <w:lang w:val="pt-BR"/>
              </w:rPr>
              <w:t>2</w:t>
            </w:r>
          </w:p>
        </w:tc>
        <w:tc>
          <w:tcPr>
            <w:tcW w:w="740" w:type="dxa"/>
            <w:tcBorders>
              <w:tl2br w:val="nil"/>
              <w:tr2bl w:val="nil"/>
            </w:tcBorders>
            <w:noWrap w:val="0"/>
            <w:vAlign w:val="center"/>
          </w:tcPr>
          <w:p w14:paraId="69EEBC97">
            <w:pPr>
              <w:pStyle w:val="563"/>
              <w:bidi w:val="0"/>
              <w:rPr>
                <w:rFonts w:hint="default"/>
                <w:color w:val="auto"/>
                <w:highlight w:val="none"/>
                <w:lang w:val="pt-BR"/>
              </w:rPr>
            </w:pPr>
            <w:r>
              <w:rPr>
                <w:rFonts w:hint="default"/>
                <w:color w:val="auto"/>
                <w:highlight w:val="none"/>
                <w:lang w:val="pt-BR"/>
              </w:rPr>
              <w:t>3</w:t>
            </w:r>
          </w:p>
        </w:tc>
        <w:tc>
          <w:tcPr>
            <w:tcW w:w="1016" w:type="dxa"/>
            <w:tcBorders>
              <w:tl2br w:val="nil"/>
              <w:tr2bl w:val="nil"/>
            </w:tcBorders>
            <w:noWrap w:val="0"/>
            <w:vAlign w:val="center"/>
          </w:tcPr>
          <w:p w14:paraId="291B920B">
            <w:pPr>
              <w:pStyle w:val="563"/>
              <w:bidi w:val="0"/>
              <w:rPr>
                <w:rFonts w:hint="default"/>
                <w:color w:val="auto"/>
                <w:highlight w:val="none"/>
                <w:lang w:val="pt-BR"/>
              </w:rPr>
            </w:pPr>
            <w:r>
              <w:rPr>
                <w:rFonts w:hint="default"/>
                <w:color w:val="auto"/>
                <w:highlight w:val="none"/>
                <w:lang w:val="pt-BR"/>
              </w:rPr>
              <w:t>2</w:t>
            </w:r>
          </w:p>
        </w:tc>
        <w:tc>
          <w:tcPr>
            <w:tcW w:w="598" w:type="dxa"/>
            <w:tcBorders>
              <w:tl2br w:val="nil"/>
              <w:tr2bl w:val="nil"/>
            </w:tcBorders>
            <w:noWrap w:val="0"/>
            <w:vAlign w:val="center"/>
          </w:tcPr>
          <w:p w14:paraId="0A8F6950">
            <w:pPr>
              <w:pStyle w:val="563"/>
              <w:bidi w:val="0"/>
              <w:rPr>
                <w:rFonts w:hint="default"/>
                <w:color w:val="auto"/>
                <w:highlight w:val="none"/>
                <w:lang w:val="pt-BR"/>
              </w:rPr>
            </w:pPr>
            <w:r>
              <w:rPr>
                <w:rFonts w:hint="default"/>
                <w:color w:val="auto"/>
                <w:highlight w:val="none"/>
                <w:lang w:val="pt-BR"/>
              </w:rPr>
              <w:t>3</w:t>
            </w:r>
          </w:p>
        </w:tc>
        <w:tc>
          <w:tcPr>
            <w:tcW w:w="1077" w:type="dxa"/>
            <w:tcBorders>
              <w:tl2br w:val="nil"/>
              <w:tr2bl w:val="nil"/>
            </w:tcBorders>
            <w:noWrap w:val="0"/>
            <w:vAlign w:val="center"/>
          </w:tcPr>
          <w:p w14:paraId="2274A357">
            <w:pPr>
              <w:pStyle w:val="563"/>
              <w:bidi w:val="0"/>
              <w:rPr>
                <w:rFonts w:hint="default"/>
                <w:color w:val="auto"/>
                <w:highlight w:val="none"/>
                <w:lang w:val="pt-BR"/>
              </w:rPr>
            </w:pPr>
            <w:r>
              <w:rPr>
                <w:rFonts w:hint="default"/>
                <w:color w:val="auto"/>
                <w:highlight w:val="none"/>
                <w:lang w:val="pt-BR"/>
              </w:rPr>
              <w:t>3</w:t>
            </w:r>
          </w:p>
        </w:tc>
        <w:tc>
          <w:tcPr>
            <w:tcW w:w="801" w:type="dxa"/>
            <w:tcBorders>
              <w:tl2br w:val="nil"/>
              <w:tr2bl w:val="nil"/>
            </w:tcBorders>
            <w:noWrap w:val="0"/>
            <w:vAlign w:val="center"/>
          </w:tcPr>
          <w:p w14:paraId="08795A13">
            <w:pPr>
              <w:pStyle w:val="563"/>
              <w:bidi w:val="0"/>
              <w:rPr>
                <w:rFonts w:hint="default"/>
                <w:color w:val="auto"/>
                <w:highlight w:val="none"/>
                <w:lang w:val="pt-BR"/>
              </w:rPr>
            </w:pPr>
            <w:r>
              <w:rPr>
                <w:rFonts w:hint="default"/>
                <w:color w:val="auto"/>
                <w:highlight w:val="none"/>
                <w:lang w:val="pt-BR"/>
              </w:rPr>
              <w:t>4</w:t>
            </w:r>
          </w:p>
        </w:tc>
        <w:tc>
          <w:tcPr>
            <w:tcW w:w="999" w:type="dxa"/>
            <w:tcBorders>
              <w:tl2br w:val="nil"/>
              <w:tr2bl w:val="nil"/>
            </w:tcBorders>
            <w:noWrap w:val="0"/>
            <w:vAlign w:val="center"/>
          </w:tcPr>
          <w:p w14:paraId="12767BDD">
            <w:pPr>
              <w:pStyle w:val="563"/>
              <w:bidi w:val="0"/>
              <w:rPr>
                <w:rFonts w:hint="default"/>
                <w:color w:val="auto"/>
                <w:highlight w:val="none"/>
                <w:lang w:val="pt-BR"/>
              </w:rPr>
            </w:pPr>
            <w:r>
              <w:rPr>
                <w:rFonts w:hint="default"/>
                <w:color w:val="auto"/>
                <w:highlight w:val="none"/>
                <w:lang w:val="pt-BR"/>
              </w:rPr>
              <w:t>4</w:t>
            </w:r>
          </w:p>
        </w:tc>
        <w:tc>
          <w:tcPr>
            <w:tcW w:w="637" w:type="dxa"/>
            <w:tcBorders>
              <w:tl2br w:val="nil"/>
              <w:tr2bl w:val="nil"/>
            </w:tcBorders>
            <w:noWrap w:val="0"/>
            <w:vAlign w:val="center"/>
          </w:tcPr>
          <w:p w14:paraId="7B32C104">
            <w:pPr>
              <w:pStyle w:val="563"/>
              <w:bidi w:val="0"/>
              <w:rPr>
                <w:rFonts w:hint="default"/>
                <w:color w:val="auto"/>
                <w:highlight w:val="none"/>
                <w:lang w:val="pt-BR"/>
              </w:rPr>
            </w:pPr>
            <w:r>
              <w:rPr>
                <w:rFonts w:hint="default"/>
                <w:color w:val="auto"/>
                <w:highlight w:val="none"/>
                <w:lang w:val="pt-BR"/>
              </w:rPr>
              <w:t>13</w:t>
            </w:r>
          </w:p>
        </w:tc>
      </w:tr>
      <w:tr w14:paraId="78D2F6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569DBE0C">
            <w:pPr>
              <w:pStyle w:val="563"/>
              <w:bidi w:val="0"/>
              <w:rPr>
                <w:rFonts w:hint="default"/>
                <w:color w:val="auto"/>
                <w:highlight w:val="none"/>
                <w:lang w:val="pt-BR"/>
              </w:rPr>
            </w:pPr>
            <w:r>
              <w:rPr>
                <w:rFonts w:hint="default"/>
                <w:color w:val="auto"/>
                <w:highlight w:val="none"/>
                <w:lang w:val="pt-BR"/>
              </w:rPr>
              <w:t>9月</w:t>
            </w:r>
          </w:p>
        </w:tc>
        <w:tc>
          <w:tcPr>
            <w:tcW w:w="523" w:type="dxa"/>
            <w:tcBorders>
              <w:tl2br w:val="nil"/>
              <w:tr2bl w:val="nil"/>
            </w:tcBorders>
            <w:noWrap w:val="0"/>
            <w:vAlign w:val="center"/>
          </w:tcPr>
          <w:p w14:paraId="6F506716">
            <w:pPr>
              <w:pStyle w:val="563"/>
              <w:bidi w:val="0"/>
              <w:rPr>
                <w:rFonts w:hint="default"/>
                <w:color w:val="auto"/>
                <w:highlight w:val="none"/>
                <w:lang w:val="pt-BR"/>
              </w:rPr>
            </w:pPr>
            <w:r>
              <w:rPr>
                <w:rFonts w:hint="default"/>
                <w:color w:val="auto"/>
                <w:highlight w:val="none"/>
                <w:lang w:val="pt-BR"/>
              </w:rPr>
              <w:t>5</w:t>
            </w:r>
          </w:p>
        </w:tc>
        <w:tc>
          <w:tcPr>
            <w:tcW w:w="878" w:type="dxa"/>
            <w:tcBorders>
              <w:tl2br w:val="nil"/>
              <w:tr2bl w:val="nil"/>
            </w:tcBorders>
            <w:noWrap w:val="0"/>
            <w:vAlign w:val="center"/>
          </w:tcPr>
          <w:p w14:paraId="21605980">
            <w:pPr>
              <w:pStyle w:val="563"/>
              <w:bidi w:val="0"/>
              <w:rPr>
                <w:rFonts w:hint="default"/>
                <w:color w:val="auto"/>
                <w:highlight w:val="none"/>
                <w:lang w:val="pt-BR"/>
              </w:rPr>
            </w:pPr>
            <w:r>
              <w:rPr>
                <w:rFonts w:hint="default"/>
                <w:color w:val="auto"/>
                <w:highlight w:val="none"/>
                <w:lang w:val="pt-BR"/>
              </w:rPr>
              <w:t>5</w:t>
            </w:r>
          </w:p>
        </w:tc>
        <w:tc>
          <w:tcPr>
            <w:tcW w:w="676" w:type="dxa"/>
            <w:tcBorders>
              <w:tl2br w:val="nil"/>
              <w:tr2bl w:val="nil"/>
            </w:tcBorders>
            <w:noWrap w:val="0"/>
            <w:vAlign w:val="center"/>
          </w:tcPr>
          <w:p w14:paraId="7D2FD68A">
            <w:pPr>
              <w:pStyle w:val="563"/>
              <w:bidi w:val="0"/>
              <w:rPr>
                <w:rFonts w:hint="default"/>
                <w:color w:val="auto"/>
                <w:highlight w:val="none"/>
                <w:lang w:val="pt-BR"/>
              </w:rPr>
            </w:pPr>
            <w:r>
              <w:rPr>
                <w:rFonts w:hint="default"/>
                <w:color w:val="auto"/>
                <w:highlight w:val="none"/>
                <w:lang w:val="pt-BR"/>
              </w:rPr>
              <w:t>10</w:t>
            </w:r>
          </w:p>
        </w:tc>
        <w:tc>
          <w:tcPr>
            <w:tcW w:w="826" w:type="dxa"/>
            <w:tcBorders>
              <w:tl2br w:val="nil"/>
              <w:tr2bl w:val="nil"/>
            </w:tcBorders>
            <w:noWrap w:val="0"/>
            <w:vAlign w:val="center"/>
          </w:tcPr>
          <w:p w14:paraId="18288048">
            <w:pPr>
              <w:pStyle w:val="563"/>
              <w:bidi w:val="0"/>
              <w:rPr>
                <w:rFonts w:hint="default"/>
                <w:color w:val="auto"/>
                <w:highlight w:val="none"/>
                <w:lang w:val="pt-BR"/>
              </w:rPr>
            </w:pPr>
            <w:r>
              <w:rPr>
                <w:rFonts w:hint="default"/>
                <w:color w:val="auto"/>
                <w:highlight w:val="none"/>
                <w:lang w:val="pt-BR"/>
              </w:rPr>
              <w:t>10</w:t>
            </w:r>
          </w:p>
        </w:tc>
        <w:tc>
          <w:tcPr>
            <w:tcW w:w="637" w:type="dxa"/>
            <w:tcBorders>
              <w:tl2br w:val="nil"/>
              <w:tr2bl w:val="nil"/>
            </w:tcBorders>
            <w:noWrap w:val="0"/>
            <w:vAlign w:val="center"/>
          </w:tcPr>
          <w:p w14:paraId="08CBA469">
            <w:pPr>
              <w:pStyle w:val="563"/>
              <w:bidi w:val="0"/>
              <w:rPr>
                <w:rFonts w:hint="default"/>
                <w:color w:val="auto"/>
                <w:highlight w:val="none"/>
                <w:lang w:val="pt-BR"/>
              </w:rPr>
            </w:pPr>
            <w:r>
              <w:rPr>
                <w:rFonts w:hint="default"/>
                <w:color w:val="auto"/>
                <w:highlight w:val="none"/>
                <w:lang w:val="pt-BR"/>
              </w:rPr>
              <w:t>16</w:t>
            </w:r>
          </w:p>
        </w:tc>
        <w:tc>
          <w:tcPr>
            <w:tcW w:w="765" w:type="dxa"/>
            <w:tcBorders>
              <w:tl2br w:val="nil"/>
              <w:tr2bl w:val="nil"/>
            </w:tcBorders>
            <w:noWrap w:val="0"/>
            <w:vAlign w:val="center"/>
          </w:tcPr>
          <w:p w14:paraId="1C6BFC45">
            <w:pPr>
              <w:pStyle w:val="563"/>
              <w:bidi w:val="0"/>
              <w:rPr>
                <w:rFonts w:hint="default"/>
                <w:color w:val="auto"/>
                <w:highlight w:val="none"/>
                <w:lang w:val="pt-BR"/>
              </w:rPr>
            </w:pPr>
            <w:r>
              <w:rPr>
                <w:rFonts w:hint="default"/>
                <w:color w:val="auto"/>
                <w:highlight w:val="none"/>
                <w:lang w:val="pt-BR"/>
              </w:rPr>
              <w:t>10</w:t>
            </w:r>
          </w:p>
        </w:tc>
        <w:tc>
          <w:tcPr>
            <w:tcW w:w="637" w:type="dxa"/>
            <w:tcBorders>
              <w:tl2br w:val="nil"/>
              <w:tr2bl w:val="nil"/>
            </w:tcBorders>
            <w:noWrap w:val="0"/>
            <w:vAlign w:val="center"/>
          </w:tcPr>
          <w:p w14:paraId="60504B38">
            <w:pPr>
              <w:pStyle w:val="563"/>
              <w:bidi w:val="0"/>
              <w:rPr>
                <w:rFonts w:hint="default"/>
                <w:color w:val="auto"/>
                <w:highlight w:val="none"/>
                <w:lang w:val="pt-BR"/>
              </w:rPr>
            </w:pPr>
            <w:r>
              <w:rPr>
                <w:rFonts w:hint="default"/>
                <w:color w:val="auto"/>
                <w:highlight w:val="none"/>
                <w:lang w:val="pt-BR"/>
              </w:rPr>
              <w:t>6</w:t>
            </w:r>
          </w:p>
        </w:tc>
        <w:tc>
          <w:tcPr>
            <w:tcW w:w="759" w:type="dxa"/>
            <w:tcBorders>
              <w:tl2br w:val="nil"/>
              <w:tr2bl w:val="nil"/>
            </w:tcBorders>
            <w:noWrap w:val="0"/>
            <w:vAlign w:val="center"/>
          </w:tcPr>
          <w:p w14:paraId="08EE4D8D">
            <w:pPr>
              <w:pStyle w:val="563"/>
              <w:bidi w:val="0"/>
              <w:rPr>
                <w:rFonts w:hint="default"/>
                <w:color w:val="auto"/>
                <w:highlight w:val="none"/>
                <w:lang w:val="pt-BR"/>
              </w:rPr>
            </w:pPr>
            <w:r>
              <w:rPr>
                <w:rFonts w:hint="default"/>
                <w:color w:val="auto"/>
                <w:highlight w:val="none"/>
                <w:lang w:val="pt-BR"/>
              </w:rPr>
              <w:t>3</w:t>
            </w:r>
          </w:p>
        </w:tc>
        <w:tc>
          <w:tcPr>
            <w:tcW w:w="480" w:type="dxa"/>
            <w:tcBorders>
              <w:tl2br w:val="nil"/>
              <w:tr2bl w:val="nil"/>
            </w:tcBorders>
            <w:noWrap w:val="0"/>
            <w:vAlign w:val="center"/>
          </w:tcPr>
          <w:p w14:paraId="52D81DC4">
            <w:pPr>
              <w:pStyle w:val="563"/>
              <w:bidi w:val="0"/>
              <w:rPr>
                <w:rFonts w:hint="default"/>
                <w:color w:val="auto"/>
                <w:highlight w:val="none"/>
                <w:lang w:val="pt-BR"/>
              </w:rPr>
            </w:pPr>
            <w:r>
              <w:rPr>
                <w:rFonts w:hint="default"/>
                <w:color w:val="auto"/>
                <w:highlight w:val="none"/>
                <w:lang w:val="pt-BR"/>
              </w:rPr>
              <w:t>2</w:t>
            </w:r>
          </w:p>
        </w:tc>
        <w:tc>
          <w:tcPr>
            <w:tcW w:w="882" w:type="dxa"/>
            <w:tcBorders>
              <w:tl2br w:val="nil"/>
              <w:tr2bl w:val="nil"/>
            </w:tcBorders>
            <w:noWrap w:val="0"/>
            <w:vAlign w:val="center"/>
          </w:tcPr>
          <w:p w14:paraId="0EA42A8E">
            <w:pPr>
              <w:pStyle w:val="563"/>
              <w:bidi w:val="0"/>
              <w:rPr>
                <w:rFonts w:hint="default"/>
                <w:color w:val="auto"/>
                <w:highlight w:val="none"/>
                <w:lang w:val="pt-BR"/>
              </w:rPr>
            </w:pPr>
            <w:r>
              <w:rPr>
                <w:rFonts w:hint="default"/>
                <w:color w:val="auto"/>
                <w:highlight w:val="none"/>
                <w:lang w:val="pt-BR"/>
              </w:rPr>
              <w:t>1</w:t>
            </w:r>
          </w:p>
        </w:tc>
        <w:tc>
          <w:tcPr>
            <w:tcW w:w="740" w:type="dxa"/>
            <w:tcBorders>
              <w:tl2br w:val="nil"/>
              <w:tr2bl w:val="nil"/>
            </w:tcBorders>
            <w:noWrap w:val="0"/>
            <w:vAlign w:val="center"/>
          </w:tcPr>
          <w:p w14:paraId="62481FA6">
            <w:pPr>
              <w:pStyle w:val="563"/>
              <w:bidi w:val="0"/>
              <w:rPr>
                <w:rFonts w:hint="default"/>
                <w:color w:val="auto"/>
                <w:highlight w:val="none"/>
                <w:lang w:val="pt-BR"/>
              </w:rPr>
            </w:pPr>
            <w:r>
              <w:rPr>
                <w:rFonts w:hint="default"/>
                <w:color w:val="auto"/>
                <w:highlight w:val="none"/>
                <w:lang w:val="pt-BR"/>
              </w:rPr>
              <w:t>2</w:t>
            </w:r>
          </w:p>
        </w:tc>
        <w:tc>
          <w:tcPr>
            <w:tcW w:w="1016" w:type="dxa"/>
            <w:tcBorders>
              <w:tl2br w:val="nil"/>
              <w:tr2bl w:val="nil"/>
            </w:tcBorders>
            <w:noWrap w:val="0"/>
            <w:vAlign w:val="center"/>
          </w:tcPr>
          <w:p w14:paraId="1CF72390">
            <w:pPr>
              <w:pStyle w:val="563"/>
              <w:bidi w:val="0"/>
              <w:rPr>
                <w:rFonts w:hint="default"/>
                <w:color w:val="auto"/>
                <w:highlight w:val="none"/>
                <w:lang w:val="pt-BR"/>
              </w:rPr>
            </w:pPr>
            <w:r>
              <w:rPr>
                <w:rFonts w:hint="default"/>
                <w:color w:val="auto"/>
                <w:highlight w:val="none"/>
                <w:lang w:val="pt-BR"/>
              </w:rPr>
              <w:t>1</w:t>
            </w:r>
          </w:p>
        </w:tc>
        <w:tc>
          <w:tcPr>
            <w:tcW w:w="598" w:type="dxa"/>
            <w:tcBorders>
              <w:tl2br w:val="nil"/>
              <w:tr2bl w:val="nil"/>
            </w:tcBorders>
            <w:noWrap w:val="0"/>
            <w:vAlign w:val="center"/>
          </w:tcPr>
          <w:p w14:paraId="6A080025">
            <w:pPr>
              <w:pStyle w:val="563"/>
              <w:bidi w:val="0"/>
              <w:rPr>
                <w:rFonts w:hint="default"/>
                <w:color w:val="auto"/>
                <w:highlight w:val="none"/>
                <w:lang w:val="pt-BR"/>
              </w:rPr>
            </w:pPr>
            <w:r>
              <w:rPr>
                <w:rFonts w:hint="default"/>
                <w:color w:val="auto"/>
                <w:highlight w:val="none"/>
                <w:lang w:val="pt-BR"/>
              </w:rPr>
              <w:t>2</w:t>
            </w:r>
          </w:p>
        </w:tc>
        <w:tc>
          <w:tcPr>
            <w:tcW w:w="1077" w:type="dxa"/>
            <w:tcBorders>
              <w:tl2br w:val="nil"/>
              <w:tr2bl w:val="nil"/>
            </w:tcBorders>
            <w:noWrap w:val="0"/>
            <w:vAlign w:val="center"/>
          </w:tcPr>
          <w:p w14:paraId="4A7A4EE8">
            <w:pPr>
              <w:pStyle w:val="563"/>
              <w:bidi w:val="0"/>
              <w:rPr>
                <w:rFonts w:hint="default"/>
                <w:color w:val="auto"/>
                <w:highlight w:val="none"/>
                <w:lang w:val="pt-BR"/>
              </w:rPr>
            </w:pPr>
            <w:r>
              <w:rPr>
                <w:rFonts w:hint="default"/>
                <w:color w:val="auto"/>
                <w:highlight w:val="none"/>
                <w:lang w:val="pt-BR"/>
              </w:rPr>
              <w:t>3</w:t>
            </w:r>
          </w:p>
        </w:tc>
        <w:tc>
          <w:tcPr>
            <w:tcW w:w="801" w:type="dxa"/>
            <w:tcBorders>
              <w:tl2br w:val="nil"/>
              <w:tr2bl w:val="nil"/>
            </w:tcBorders>
            <w:noWrap w:val="0"/>
            <w:vAlign w:val="center"/>
          </w:tcPr>
          <w:p w14:paraId="7B7CDA52">
            <w:pPr>
              <w:pStyle w:val="563"/>
              <w:bidi w:val="0"/>
              <w:rPr>
                <w:rFonts w:hint="default"/>
                <w:color w:val="auto"/>
                <w:highlight w:val="none"/>
                <w:lang w:val="pt-BR"/>
              </w:rPr>
            </w:pPr>
            <w:r>
              <w:rPr>
                <w:rFonts w:hint="default"/>
                <w:color w:val="auto"/>
                <w:highlight w:val="none"/>
                <w:lang w:val="pt-BR"/>
              </w:rPr>
              <w:t>5</w:t>
            </w:r>
          </w:p>
        </w:tc>
        <w:tc>
          <w:tcPr>
            <w:tcW w:w="999" w:type="dxa"/>
            <w:tcBorders>
              <w:tl2br w:val="nil"/>
              <w:tr2bl w:val="nil"/>
            </w:tcBorders>
            <w:noWrap w:val="0"/>
            <w:vAlign w:val="center"/>
          </w:tcPr>
          <w:p w14:paraId="08B725A6">
            <w:pPr>
              <w:pStyle w:val="563"/>
              <w:bidi w:val="0"/>
              <w:rPr>
                <w:rFonts w:hint="default"/>
                <w:color w:val="auto"/>
                <w:highlight w:val="none"/>
                <w:lang w:val="pt-BR"/>
              </w:rPr>
            </w:pPr>
            <w:r>
              <w:rPr>
                <w:rFonts w:hint="default"/>
                <w:color w:val="auto"/>
                <w:highlight w:val="none"/>
                <w:lang w:val="pt-BR"/>
              </w:rPr>
              <w:t>4</w:t>
            </w:r>
          </w:p>
        </w:tc>
        <w:tc>
          <w:tcPr>
            <w:tcW w:w="637" w:type="dxa"/>
            <w:tcBorders>
              <w:tl2br w:val="nil"/>
              <w:tr2bl w:val="nil"/>
            </w:tcBorders>
            <w:noWrap w:val="0"/>
            <w:vAlign w:val="center"/>
          </w:tcPr>
          <w:p w14:paraId="1BCF4C12">
            <w:pPr>
              <w:pStyle w:val="563"/>
              <w:bidi w:val="0"/>
              <w:rPr>
                <w:rFonts w:hint="default"/>
                <w:color w:val="auto"/>
                <w:highlight w:val="none"/>
                <w:lang w:val="pt-BR"/>
              </w:rPr>
            </w:pPr>
            <w:r>
              <w:rPr>
                <w:rFonts w:hint="default"/>
                <w:color w:val="auto"/>
                <w:highlight w:val="none"/>
                <w:lang w:val="pt-BR"/>
              </w:rPr>
              <w:t>16</w:t>
            </w:r>
          </w:p>
        </w:tc>
      </w:tr>
      <w:tr w14:paraId="465ABD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22E73F15">
            <w:pPr>
              <w:pStyle w:val="563"/>
              <w:bidi w:val="0"/>
              <w:rPr>
                <w:rFonts w:hint="default"/>
                <w:color w:val="auto"/>
                <w:highlight w:val="none"/>
                <w:lang w:val="pt-BR"/>
              </w:rPr>
            </w:pPr>
            <w:r>
              <w:rPr>
                <w:rFonts w:hint="default"/>
                <w:color w:val="auto"/>
                <w:highlight w:val="none"/>
                <w:lang w:val="pt-BR"/>
              </w:rPr>
              <w:t>10月</w:t>
            </w:r>
          </w:p>
        </w:tc>
        <w:tc>
          <w:tcPr>
            <w:tcW w:w="523" w:type="dxa"/>
            <w:tcBorders>
              <w:tl2br w:val="nil"/>
              <w:tr2bl w:val="nil"/>
            </w:tcBorders>
            <w:noWrap w:val="0"/>
            <w:vAlign w:val="center"/>
          </w:tcPr>
          <w:p w14:paraId="2B744DDE">
            <w:pPr>
              <w:pStyle w:val="563"/>
              <w:bidi w:val="0"/>
              <w:rPr>
                <w:rFonts w:hint="default"/>
                <w:color w:val="auto"/>
                <w:highlight w:val="none"/>
                <w:lang w:val="pt-BR"/>
              </w:rPr>
            </w:pPr>
            <w:r>
              <w:rPr>
                <w:rFonts w:hint="default"/>
                <w:color w:val="auto"/>
                <w:highlight w:val="none"/>
                <w:lang w:val="pt-BR"/>
              </w:rPr>
              <w:t>4</w:t>
            </w:r>
          </w:p>
        </w:tc>
        <w:tc>
          <w:tcPr>
            <w:tcW w:w="878" w:type="dxa"/>
            <w:tcBorders>
              <w:tl2br w:val="nil"/>
              <w:tr2bl w:val="nil"/>
            </w:tcBorders>
            <w:noWrap w:val="0"/>
            <w:vAlign w:val="center"/>
          </w:tcPr>
          <w:p w14:paraId="6CC6D2D2">
            <w:pPr>
              <w:pStyle w:val="563"/>
              <w:bidi w:val="0"/>
              <w:rPr>
                <w:rFonts w:hint="default"/>
                <w:color w:val="auto"/>
                <w:highlight w:val="none"/>
                <w:lang w:val="pt-BR"/>
              </w:rPr>
            </w:pPr>
            <w:r>
              <w:rPr>
                <w:rFonts w:hint="default"/>
                <w:color w:val="auto"/>
                <w:highlight w:val="none"/>
                <w:lang w:val="pt-BR"/>
              </w:rPr>
              <w:t>4</w:t>
            </w:r>
          </w:p>
        </w:tc>
        <w:tc>
          <w:tcPr>
            <w:tcW w:w="676" w:type="dxa"/>
            <w:tcBorders>
              <w:tl2br w:val="nil"/>
              <w:tr2bl w:val="nil"/>
            </w:tcBorders>
            <w:noWrap w:val="0"/>
            <w:vAlign w:val="center"/>
          </w:tcPr>
          <w:p w14:paraId="044877CA">
            <w:pPr>
              <w:pStyle w:val="563"/>
              <w:bidi w:val="0"/>
              <w:rPr>
                <w:rFonts w:hint="default"/>
                <w:color w:val="auto"/>
                <w:highlight w:val="none"/>
                <w:lang w:val="pt-BR"/>
              </w:rPr>
            </w:pPr>
            <w:r>
              <w:rPr>
                <w:rFonts w:hint="default"/>
                <w:color w:val="auto"/>
                <w:highlight w:val="none"/>
                <w:lang w:val="pt-BR"/>
              </w:rPr>
              <w:t>8</w:t>
            </w:r>
          </w:p>
        </w:tc>
        <w:tc>
          <w:tcPr>
            <w:tcW w:w="826" w:type="dxa"/>
            <w:tcBorders>
              <w:tl2br w:val="nil"/>
              <w:tr2bl w:val="nil"/>
            </w:tcBorders>
            <w:noWrap w:val="0"/>
            <w:vAlign w:val="center"/>
          </w:tcPr>
          <w:p w14:paraId="443AB5AC">
            <w:pPr>
              <w:pStyle w:val="563"/>
              <w:bidi w:val="0"/>
              <w:rPr>
                <w:rFonts w:hint="default"/>
                <w:color w:val="auto"/>
                <w:highlight w:val="none"/>
                <w:lang w:val="pt-BR"/>
              </w:rPr>
            </w:pPr>
            <w:r>
              <w:rPr>
                <w:rFonts w:hint="default"/>
                <w:color w:val="auto"/>
                <w:highlight w:val="none"/>
                <w:lang w:val="pt-BR"/>
              </w:rPr>
              <w:t>7</w:t>
            </w:r>
          </w:p>
        </w:tc>
        <w:tc>
          <w:tcPr>
            <w:tcW w:w="637" w:type="dxa"/>
            <w:tcBorders>
              <w:tl2br w:val="nil"/>
              <w:tr2bl w:val="nil"/>
            </w:tcBorders>
            <w:noWrap w:val="0"/>
            <w:vAlign w:val="center"/>
          </w:tcPr>
          <w:p w14:paraId="2355563E">
            <w:pPr>
              <w:pStyle w:val="563"/>
              <w:bidi w:val="0"/>
              <w:rPr>
                <w:rFonts w:hint="default"/>
                <w:color w:val="auto"/>
                <w:highlight w:val="none"/>
                <w:lang w:val="pt-BR"/>
              </w:rPr>
            </w:pPr>
            <w:r>
              <w:rPr>
                <w:rFonts w:hint="default"/>
                <w:color w:val="auto"/>
                <w:highlight w:val="none"/>
                <w:lang w:val="pt-BR"/>
              </w:rPr>
              <w:t>14</w:t>
            </w:r>
          </w:p>
        </w:tc>
        <w:tc>
          <w:tcPr>
            <w:tcW w:w="765" w:type="dxa"/>
            <w:tcBorders>
              <w:tl2br w:val="nil"/>
              <w:tr2bl w:val="nil"/>
            </w:tcBorders>
            <w:noWrap w:val="0"/>
            <w:vAlign w:val="center"/>
          </w:tcPr>
          <w:p w14:paraId="43900782">
            <w:pPr>
              <w:pStyle w:val="563"/>
              <w:bidi w:val="0"/>
              <w:rPr>
                <w:rFonts w:hint="default"/>
                <w:color w:val="auto"/>
                <w:highlight w:val="none"/>
                <w:lang w:val="pt-BR"/>
              </w:rPr>
            </w:pPr>
            <w:r>
              <w:rPr>
                <w:rFonts w:hint="default"/>
                <w:color w:val="auto"/>
                <w:highlight w:val="none"/>
                <w:lang w:val="pt-BR"/>
              </w:rPr>
              <w:t>10</w:t>
            </w:r>
          </w:p>
        </w:tc>
        <w:tc>
          <w:tcPr>
            <w:tcW w:w="637" w:type="dxa"/>
            <w:tcBorders>
              <w:tl2br w:val="nil"/>
              <w:tr2bl w:val="nil"/>
            </w:tcBorders>
            <w:noWrap w:val="0"/>
            <w:vAlign w:val="center"/>
          </w:tcPr>
          <w:p w14:paraId="3AE97B00">
            <w:pPr>
              <w:pStyle w:val="563"/>
              <w:bidi w:val="0"/>
              <w:rPr>
                <w:rFonts w:hint="default"/>
                <w:color w:val="auto"/>
                <w:highlight w:val="none"/>
                <w:lang w:val="pt-BR"/>
              </w:rPr>
            </w:pPr>
            <w:r>
              <w:rPr>
                <w:rFonts w:hint="default"/>
                <w:color w:val="auto"/>
                <w:highlight w:val="none"/>
                <w:lang w:val="pt-BR"/>
              </w:rPr>
              <w:t>7</w:t>
            </w:r>
          </w:p>
        </w:tc>
        <w:tc>
          <w:tcPr>
            <w:tcW w:w="759" w:type="dxa"/>
            <w:tcBorders>
              <w:tl2br w:val="nil"/>
              <w:tr2bl w:val="nil"/>
            </w:tcBorders>
            <w:noWrap w:val="0"/>
            <w:vAlign w:val="center"/>
          </w:tcPr>
          <w:p w14:paraId="2726CBE0">
            <w:pPr>
              <w:pStyle w:val="563"/>
              <w:bidi w:val="0"/>
              <w:rPr>
                <w:rFonts w:hint="default"/>
                <w:color w:val="auto"/>
                <w:highlight w:val="none"/>
                <w:lang w:val="pt-BR"/>
              </w:rPr>
            </w:pPr>
            <w:r>
              <w:rPr>
                <w:rFonts w:hint="default"/>
                <w:color w:val="auto"/>
                <w:highlight w:val="none"/>
                <w:lang w:val="pt-BR"/>
              </w:rPr>
              <w:t>4</w:t>
            </w:r>
          </w:p>
        </w:tc>
        <w:tc>
          <w:tcPr>
            <w:tcW w:w="480" w:type="dxa"/>
            <w:tcBorders>
              <w:tl2br w:val="nil"/>
              <w:tr2bl w:val="nil"/>
            </w:tcBorders>
            <w:noWrap w:val="0"/>
            <w:vAlign w:val="center"/>
          </w:tcPr>
          <w:p w14:paraId="462218BB">
            <w:pPr>
              <w:pStyle w:val="563"/>
              <w:bidi w:val="0"/>
              <w:rPr>
                <w:rFonts w:hint="default"/>
                <w:color w:val="auto"/>
                <w:highlight w:val="none"/>
                <w:lang w:val="pt-BR"/>
              </w:rPr>
            </w:pPr>
            <w:r>
              <w:rPr>
                <w:rFonts w:hint="default"/>
                <w:color w:val="auto"/>
                <w:highlight w:val="none"/>
                <w:lang w:val="pt-BR"/>
              </w:rPr>
              <w:t>2</w:t>
            </w:r>
          </w:p>
        </w:tc>
        <w:tc>
          <w:tcPr>
            <w:tcW w:w="882" w:type="dxa"/>
            <w:tcBorders>
              <w:tl2br w:val="nil"/>
              <w:tr2bl w:val="nil"/>
            </w:tcBorders>
            <w:noWrap w:val="0"/>
            <w:vAlign w:val="center"/>
          </w:tcPr>
          <w:p w14:paraId="0DED86AB">
            <w:pPr>
              <w:pStyle w:val="563"/>
              <w:bidi w:val="0"/>
              <w:rPr>
                <w:rFonts w:hint="default"/>
                <w:color w:val="auto"/>
                <w:highlight w:val="none"/>
                <w:lang w:val="pt-BR"/>
              </w:rPr>
            </w:pPr>
            <w:r>
              <w:rPr>
                <w:rFonts w:hint="default"/>
                <w:color w:val="auto"/>
                <w:highlight w:val="none"/>
                <w:lang w:val="pt-BR"/>
              </w:rPr>
              <w:t>1</w:t>
            </w:r>
          </w:p>
        </w:tc>
        <w:tc>
          <w:tcPr>
            <w:tcW w:w="740" w:type="dxa"/>
            <w:tcBorders>
              <w:tl2br w:val="nil"/>
              <w:tr2bl w:val="nil"/>
            </w:tcBorders>
            <w:noWrap w:val="0"/>
            <w:vAlign w:val="center"/>
          </w:tcPr>
          <w:p w14:paraId="785A3D6C">
            <w:pPr>
              <w:pStyle w:val="563"/>
              <w:bidi w:val="0"/>
              <w:rPr>
                <w:rFonts w:hint="default"/>
                <w:color w:val="auto"/>
                <w:highlight w:val="none"/>
                <w:lang w:val="pt-BR"/>
              </w:rPr>
            </w:pPr>
            <w:r>
              <w:rPr>
                <w:rFonts w:hint="default"/>
                <w:color w:val="auto"/>
                <w:highlight w:val="none"/>
                <w:lang w:val="pt-BR"/>
              </w:rPr>
              <w:t>3</w:t>
            </w:r>
          </w:p>
        </w:tc>
        <w:tc>
          <w:tcPr>
            <w:tcW w:w="1016" w:type="dxa"/>
            <w:tcBorders>
              <w:tl2br w:val="nil"/>
              <w:tr2bl w:val="nil"/>
            </w:tcBorders>
            <w:noWrap w:val="0"/>
            <w:vAlign w:val="center"/>
          </w:tcPr>
          <w:p w14:paraId="12EB115C">
            <w:pPr>
              <w:pStyle w:val="563"/>
              <w:bidi w:val="0"/>
              <w:rPr>
                <w:rFonts w:hint="default"/>
                <w:color w:val="auto"/>
                <w:highlight w:val="none"/>
                <w:lang w:val="pt-BR"/>
              </w:rPr>
            </w:pPr>
            <w:r>
              <w:rPr>
                <w:rFonts w:hint="default"/>
                <w:color w:val="auto"/>
                <w:highlight w:val="none"/>
                <w:lang w:val="pt-BR"/>
              </w:rPr>
              <w:t>3</w:t>
            </w:r>
          </w:p>
        </w:tc>
        <w:tc>
          <w:tcPr>
            <w:tcW w:w="598" w:type="dxa"/>
            <w:tcBorders>
              <w:tl2br w:val="nil"/>
              <w:tr2bl w:val="nil"/>
            </w:tcBorders>
            <w:noWrap w:val="0"/>
            <w:vAlign w:val="center"/>
          </w:tcPr>
          <w:p w14:paraId="536ADECF">
            <w:pPr>
              <w:pStyle w:val="563"/>
              <w:bidi w:val="0"/>
              <w:rPr>
                <w:rFonts w:hint="default"/>
                <w:color w:val="auto"/>
                <w:highlight w:val="none"/>
                <w:lang w:val="pt-BR"/>
              </w:rPr>
            </w:pPr>
            <w:r>
              <w:rPr>
                <w:rFonts w:hint="default"/>
                <w:color w:val="auto"/>
                <w:highlight w:val="none"/>
                <w:lang w:val="pt-BR"/>
              </w:rPr>
              <w:t>3</w:t>
            </w:r>
          </w:p>
        </w:tc>
        <w:tc>
          <w:tcPr>
            <w:tcW w:w="1077" w:type="dxa"/>
            <w:tcBorders>
              <w:tl2br w:val="nil"/>
              <w:tr2bl w:val="nil"/>
            </w:tcBorders>
            <w:noWrap w:val="0"/>
            <w:vAlign w:val="center"/>
          </w:tcPr>
          <w:p w14:paraId="2E7B261D">
            <w:pPr>
              <w:pStyle w:val="563"/>
              <w:bidi w:val="0"/>
              <w:rPr>
                <w:rFonts w:hint="default"/>
                <w:color w:val="auto"/>
                <w:highlight w:val="none"/>
                <w:lang w:val="pt-BR"/>
              </w:rPr>
            </w:pPr>
            <w:r>
              <w:rPr>
                <w:rFonts w:hint="default"/>
                <w:color w:val="auto"/>
                <w:highlight w:val="none"/>
                <w:lang w:val="pt-BR"/>
              </w:rPr>
              <w:t>3</w:t>
            </w:r>
          </w:p>
        </w:tc>
        <w:tc>
          <w:tcPr>
            <w:tcW w:w="801" w:type="dxa"/>
            <w:tcBorders>
              <w:tl2br w:val="nil"/>
              <w:tr2bl w:val="nil"/>
            </w:tcBorders>
            <w:noWrap w:val="0"/>
            <w:vAlign w:val="center"/>
          </w:tcPr>
          <w:p w14:paraId="7A58661D">
            <w:pPr>
              <w:pStyle w:val="563"/>
              <w:bidi w:val="0"/>
              <w:rPr>
                <w:rFonts w:hint="default"/>
                <w:color w:val="auto"/>
                <w:highlight w:val="none"/>
                <w:lang w:val="pt-BR"/>
              </w:rPr>
            </w:pPr>
            <w:r>
              <w:rPr>
                <w:rFonts w:hint="default"/>
                <w:color w:val="auto"/>
                <w:highlight w:val="none"/>
                <w:lang w:val="pt-BR"/>
              </w:rPr>
              <w:t>5</w:t>
            </w:r>
          </w:p>
        </w:tc>
        <w:tc>
          <w:tcPr>
            <w:tcW w:w="999" w:type="dxa"/>
            <w:tcBorders>
              <w:tl2br w:val="nil"/>
              <w:tr2bl w:val="nil"/>
            </w:tcBorders>
            <w:noWrap w:val="0"/>
            <w:vAlign w:val="center"/>
          </w:tcPr>
          <w:p w14:paraId="342E1B2E">
            <w:pPr>
              <w:pStyle w:val="563"/>
              <w:bidi w:val="0"/>
              <w:rPr>
                <w:rFonts w:hint="default"/>
                <w:color w:val="auto"/>
                <w:highlight w:val="none"/>
                <w:lang w:val="pt-BR"/>
              </w:rPr>
            </w:pPr>
            <w:r>
              <w:rPr>
                <w:rFonts w:hint="default"/>
                <w:color w:val="auto"/>
                <w:highlight w:val="none"/>
                <w:lang w:val="pt-BR"/>
              </w:rPr>
              <w:t>4</w:t>
            </w:r>
          </w:p>
        </w:tc>
        <w:tc>
          <w:tcPr>
            <w:tcW w:w="637" w:type="dxa"/>
            <w:tcBorders>
              <w:tl2br w:val="nil"/>
              <w:tr2bl w:val="nil"/>
            </w:tcBorders>
            <w:noWrap w:val="0"/>
            <w:vAlign w:val="center"/>
          </w:tcPr>
          <w:p w14:paraId="6163106B">
            <w:pPr>
              <w:pStyle w:val="563"/>
              <w:bidi w:val="0"/>
              <w:rPr>
                <w:rFonts w:hint="default"/>
                <w:color w:val="auto"/>
                <w:highlight w:val="none"/>
                <w:lang w:val="pt-BR"/>
              </w:rPr>
            </w:pPr>
            <w:r>
              <w:rPr>
                <w:rFonts w:hint="default"/>
                <w:color w:val="auto"/>
                <w:highlight w:val="none"/>
                <w:lang w:val="pt-BR"/>
              </w:rPr>
              <w:t>19</w:t>
            </w:r>
          </w:p>
        </w:tc>
      </w:tr>
      <w:tr w14:paraId="058CDB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244D5190">
            <w:pPr>
              <w:pStyle w:val="563"/>
              <w:bidi w:val="0"/>
              <w:rPr>
                <w:rFonts w:hint="default"/>
                <w:color w:val="auto"/>
                <w:highlight w:val="none"/>
                <w:lang w:val="pt-BR"/>
              </w:rPr>
            </w:pPr>
            <w:r>
              <w:rPr>
                <w:rFonts w:hint="default"/>
                <w:color w:val="auto"/>
                <w:highlight w:val="none"/>
                <w:lang w:val="pt-BR"/>
              </w:rPr>
              <w:t>11月</w:t>
            </w:r>
          </w:p>
        </w:tc>
        <w:tc>
          <w:tcPr>
            <w:tcW w:w="523" w:type="dxa"/>
            <w:tcBorders>
              <w:tl2br w:val="nil"/>
              <w:tr2bl w:val="nil"/>
            </w:tcBorders>
            <w:noWrap w:val="0"/>
            <w:vAlign w:val="center"/>
          </w:tcPr>
          <w:p w14:paraId="75BAE600">
            <w:pPr>
              <w:pStyle w:val="563"/>
              <w:bidi w:val="0"/>
              <w:rPr>
                <w:rFonts w:hint="default"/>
                <w:color w:val="auto"/>
                <w:highlight w:val="none"/>
                <w:lang w:val="pt-BR"/>
              </w:rPr>
            </w:pPr>
            <w:r>
              <w:rPr>
                <w:rFonts w:hint="default"/>
                <w:color w:val="auto"/>
                <w:highlight w:val="none"/>
                <w:lang w:val="pt-BR"/>
              </w:rPr>
              <w:t>5</w:t>
            </w:r>
          </w:p>
        </w:tc>
        <w:tc>
          <w:tcPr>
            <w:tcW w:w="878" w:type="dxa"/>
            <w:tcBorders>
              <w:tl2br w:val="nil"/>
              <w:tr2bl w:val="nil"/>
            </w:tcBorders>
            <w:noWrap w:val="0"/>
            <w:vAlign w:val="center"/>
          </w:tcPr>
          <w:p w14:paraId="14249BDF">
            <w:pPr>
              <w:pStyle w:val="563"/>
              <w:bidi w:val="0"/>
              <w:rPr>
                <w:rFonts w:hint="default"/>
                <w:color w:val="auto"/>
                <w:highlight w:val="none"/>
                <w:lang w:val="pt-BR"/>
              </w:rPr>
            </w:pPr>
            <w:r>
              <w:rPr>
                <w:rFonts w:hint="default"/>
                <w:color w:val="auto"/>
                <w:highlight w:val="none"/>
                <w:lang w:val="pt-BR"/>
              </w:rPr>
              <w:t>4</w:t>
            </w:r>
          </w:p>
        </w:tc>
        <w:tc>
          <w:tcPr>
            <w:tcW w:w="676" w:type="dxa"/>
            <w:tcBorders>
              <w:tl2br w:val="nil"/>
              <w:tr2bl w:val="nil"/>
            </w:tcBorders>
            <w:noWrap w:val="0"/>
            <w:vAlign w:val="center"/>
          </w:tcPr>
          <w:p w14:paraId="3A639E64">
            <w:pPr>
              <w:pStyle w:val="563"/>
              <w:bidi w:val="0"/>
              <w:rPr>
                <w:rFonts w:hint="default"/>
                <w:color w:val="auto"/>
                <w:highlight w:val="none"/>
                <w:lang w:val="pt-BR"/>
              </w:rPr>
            </w:pPr>
            <w:r>
              <w:rPr>
                <w:rFonts w:hint="default"/>
                <w:color w:val="auto"/>
                <w:highlight w:val="none"/>
                <w:lang w:val="pt-BR"/>
              </w:rPr>
              <w:t>6</w:t>
            </w:r>
          </w:p>
        </w:tc>
        <w:tc>
          <w:tcPr>
            <w:tcW w:w="826" w:type="dxa"/>
            <w:tcBorders>
              <w:tl2br w:val="nil"/>
              <w:tr2bl w:val="nil"/>
            </w:tcBorders>
            <w:noWrap w:val="0"/>
            <w:vAlign w:val="center"/>
          </w:tcPr>
          <w:p w14:paraId="5936B936">
            <w:pPr>
              <w:pStyle w:val="563"/>
              <w:bidi w:val="0"/>
              <w:rPr>
                <w:rFonts w:hint="default"/>
                <w:color w:val="auto"/>
                <w:highlight w:val="none"/>
                <w:lang w:val="pt-BR"/>
              </w:rPr>
            </w:pPr>
            <w:r>
              <w:rPr>
                <w:rFonts w:hint="default"/>
                <w:color w:val="auto"/>
                <w:highlight w:val="none"/>
                <w:lang w:val="pt-BR"/>
              </w:rPr>
              <w:t>6</w:t>
            </w:r>
          </w:p>
        </w:tc>
        <w:tc>
          <w:tcPr>
            <w:tcW w:w="637" w:type="dxa"/>
            <w:tcBorders>
              <w:tl2br w:val="nil"/>
              <w:tr2bl w:val="nil"/>
            </w:tcBorders>
            <w:noWrap w:val="0"/>
            <w:vAlign w:val="center"/>
          </w:tcPr>
          <w:p w14:paraId="0531B2A3">
            <w:pPr>
              <w:pStyle w:val="563"/>
              <w:bidi w:val="0"/>
              <w:rPr>
                <w:rFonts w:hint="default"/>
                <w:color w:val="auto"/>
                <w:highlight w:val="none"/>
                <w:lang w:val="pt-BR"/>
              </w:rPr>
            </w:pPr>
            <w:r>
              <w:rPr>
                <w:rFonts w:hint="default"/>
                <w:color w:val="auto"/>
                <w:highlight w:val="none"/>
                <w:lang w:val="pt-BR"/>
              </w:rPr>
              <w:t>10</w:t>
            </w:r>
          </w:p>
        </w:tc>
        <w:tc>
          <w:tcPr>
            <w:tcW w:w="765" w:type="dxa"/>
            <w:tcBorders>
              <w:tl2br w:val="nil"/>
              <w:tr2bl w:val="nil"/>
            </w:tcBorders>
            <w:noWrap w:val="0"/>
            <w:vAlign w:val="center"/>
          </w:tcPr>
          <w:p w14:paraId="2AAD2A20">
            <w:pPr>
              <w:pStyle w:val="563"/>
              <w:bidi w:val="0"/>
              <w:rPr>
                <w:rFonts w:hint="default"/>
                <w:color w:val="auto"/>
                <w:highlight w:val="none"/>
                <w:lang w:val="pt-BR"/>
              </w:rPr>
            </w:pPr>
            <w:r>
              <w:rPr>
                <w:rFonts w:hint="default"/>
                <w:color w:val="auto"/>
                <w:highlight w:val="none"/>
                <w:lang w:val="pt-BR"/>
              </w:rPr>
              <w:t>8</w:t>
            </w:r>
          </w:p>
        </w:tc>
        <w:tc>
          <w:tcPr>
            <w:tcW w:w="637" w:type="dxa"/>
            <w:tcBorders>
              <w:tl2br w:val="nil"/>
              <w:tr2bl w:val="nil"/>
            </w:tcBorders>
            <w:noWrap w:val="0"/>
            <w:vAlign w:val="center"/>
          </w:tcPr>
          <w:p w14:paraId="1348BA52">
            <w:pPr>
              <w:pStyle w:val="563"/>
              <w:bidi w:val="0"/>
              <w:rPr>
                <w:rFonts w:hint="default"/>
                <w:color w:val="auto"/>
                <w:highlight w:val="none"/>
                <w:lang w:val="pt-BR"/>
              </w:rPr>
            </w:pPr>
            <w:r>
              <w:rPr>
                <w:rFonts w:hint="default"/>
                <w:color w:val="auto"/>
                <w:highlight w:val="none"/>
                <w:lang w:val="pt-BR"/>
              </w:rPr>
              <w:t>6</w:t>
            </w:r>
          </w:p>
        </w:tc>
        <w:tc>
          <w:tcPr>
            <w:tcW w:w="759" w:type="dxa"/>
            <w:tcBorders>
              <w:tl2br w:val="nil"/>
              <w:tr2bl w:val="nil"/>
            </w:tcBorders>
            <w:noWrap w:val="0"/>
            <w:vAlign w:val="center"/>
          </w:tcPr>
          <w:p w14:paraId="1C44D397">
            <w:pPr>
              <w:pStyle w:val="563"/>
              <w:bidi w:val="0"/>
              <w:rPr>
                <w:rFonts w:hint="default"/>
                <w:color w:val="auto"/>
                <w:highlight w:val="none"/>
                <w:lang w:val="pt-BR"/>
              </w:rPr>
            </w:pPr>
            <w:r>
              <w:rPr>
                <w:rFonts w:hint="default"/>
                <w:color w:val="auto"/>
                <w:highlight w:val="none"/>
                <w:lang w:val="pt-BR"/>
              </w:rPr>
              <w:t>4</w:t>
            </w:r>
          </w:p>
        </w:tc>
        <w:tc>
          <w:tcPr>
            <w:tcW w:w="480" w:type="dxa"/>
            <w:tcBorders>
              <w:tl2br w:val="nil"/>
              <w:tr2bl w:val="nil"/>
            </w:tcBorders>
            <w:noWrap w:val="0"/>
            <w:vAlign w:val="center"/>
          </w:tcPr>
          <w:p w14:paraId="0CB9162E">
            <w:pPr>
              <w:pStyle w:val="563"/>
              <w:bidi w:val="0"/>
              <w:rPr>
                <w:rFonts w:hint="default"/>
                <w:color w:val="auto"/>
                <w:highlight w:val="none"/>
                <w:lang w:val="pt-BR"/>
              </w:rPr>
            </w:pPr>
            <w:r>
              <w:rPr>
                <w:rFonts w:hint="default"/>
                <w:color w:val="auto"/>
                <w:highlight w:val="none"/>
                <w:lang w:val="pt-BR"/>
              </w:rPr>
              <w:t>2</w:t>
            </w:r>
          </w:p>
        </w:tc>
        <w:tc>
          <w:tcPr>
            <w:tcW w:w="882" w:type="dxa"/>
            <w:tcBorders>
              <w:tl2br w:val="nil"/>
              <w:tr2bl w:val="nil"/>
            </w:tcBorders>
            <w:noWrap w:val="0"/>
            <w:vAlign w:val="center"/>
          </w:tcPr>
          <w:p w14:paraId="795C0862">
            <w:pPr>
              <w:pStyle w:val="563"/>
              <w:bidi w:val="0"/>
              <w:rPr>
                <w:rFonts w:hint="default"/>
                <w:color w:val="auto"/>
                <w:highlight w:val="none"/>
                <w:lang w:val="pt-BR"/>
              </w:rPr>
            </w:pPr>
            <w:r>
              <w:rPr>
                <w:rFonts w:hint="default"/>
                <w:color w:val="auto"/>
                <w:highlight w:val="none"/>
                <w:lang w:val="pt-BR"/>
              </w:rPr>
              <w:t>2</w:t>
            </w:r>
          </w:p>
        </w:tc>
        <w:tc>
          <w:tcPr>
            <w:tcW w:w="740" w:type="dxa"/>
            <w:tcBorders>
              <w:tl2br w:val="nil"/>
              <w:tr2bl w:val="nil"/>
            </w:tcBorders>
            <w:noWrap w:val="0"/>
            <w:vAlign w:val="center"/>
          </w:tcPr>
          <w:p w14:paraId="6FAEAF6E">
            <w:pPr>
              <w:pStyle w:val="563"/>
              <w:bidi w:val="0"/>
              <w:rPr>
                <w:rFonts w:hint="default"/>
                <w:color w:val="auto"/>
                <w:highlight w:val="none"/>
                <w:lang w:val="pt-BR"/>
              </w:rPr>
            </w:pPr>
            <w:r>
              <w:rPr>
                <w:rFonts w:hint="default"/>
                <w:color w:val="auto"/>
                <w:highlight w:val="none"/>
                <w:lang w:val="pt-BR"/>
              </w:rPr>
              <w:t>4</w:t>
            </w:r>
          </w:p>
        </w:tc>
        <w:tc>
          <w:tcPr>
            <w:tcW w:w="1016" w:type="dxa"/>
            <w:tcBorders>
              <w:tl2br w:val="nil"/>
              <w:tr2bl w:val="nil"/>
            </w:tcBorders>
            <w:noWrap w:val="0"/>
            <w:vAlign w:val="center"/>
          </w:tcPr>
          <w:p w14:paraId="12F33E65">
            <w:pPr>
              <w:pStyle w:val="563"/>
              <w:bidi w:val="0"/>
              <w:rPr>
                <w:rFonts w:hint="default"/>
                <w:color w:val="auto"/>
                <w:highlight w:val="none"/>
                <w:lang w:val="pt-BR"/>
              </w:rPr>
            </w:pPr>
            <w:r>
              <w:rPr>
                <w:rFonts w:hint="default"/>
                <w:color w:val="auto"/>
                <w:highlight w:val="none"/>
                <w:lang w:val="pt-BR"/>
              </w:rPr>
              <w:t>4</w:t>
            </w:r>
          </w:p>
        </w:tc>
        <w:tc>
          <w:tcPr>
            <w:tcW w:w="598" w:type="dxa"/>
            <w:tcBorders>
              <w:tl2br w:val="nil"/>
              <w:tr2bl w:val="nil"/>
            </w:tcBorders>
            <w:noWrap w:val="0"/>
            <w:vAlign w:val="center"/>
          </w:tcPr>
          <w:p w14:paraId="2A9F26E3">
            <w:pPr>
              <w:pStyle w:val="563"/>
              <w:bidi w:val="0"/>
              <w:rPr>
                <w:rFonts w:hint="default"/>
                <w:color w:val="auto"/>
                <w:highlight w:val="none"/>
                <w:lang w:val="pt-BR"/>
              </w:rPr>
            </w:pPr>
            <w:r>
              <w:rPr>
                <w:rFonts w:hint="default"/>
                <w:color w:val="auto"/>
                <w:highlight w:val="none"/>
                <w:lang w:val="pt-BR"/>
              </w:rPr>
              <w:t>4</w:t>
            </w:r>
          </w:p>
        </w:tc>
        <w:tc>
          <w:tcPr>
            <w:tcW w:w="1077" w:type="dxa"/>
            <w:tcBorders>
              <w:tl2br w:val="nil"/>
              <w:tr2bl w:val="nil"/>
            </w:tcBorders>
            <w:noWrap w:val="0"/>
            <w:vAlign w:val="center"/>
          </w:tcPr>
          <w:p w14:paraId="37DEF2D8">
            <w:pPr>
              <w:pStyle w:val="563"/>
              <w:bidi w:val="0"/>
              <w:rPr>
                <w:rFonts w:hint="default"/>
                <w:color w:val="auto"/>
                <w:highlight w:val="none"/>
                <w:lang w:val="pt-BR"/>
              </w:rPr>
            </w:pPr>
            <w:r>
              <w:rPr>
                <w:rFonts w:hint="default"/>
                <w:color w:val="auto"/>
                <w:highlight w:val="none"/>
                <w:lang w:val="pt-BR"/>
              </w:rPr>
              <w:t>4</w:t>
            </w:r>
          </w:p>
        </w:tc>
        <w:tc>
          <w:tcPr>
            <w:tcW w:w="801" w:type="dxa"/>
            <w:tcBorders>
              <w:tl2br w:val="nil"/>
              <w:tr2bl w:val="nil"/>
            </w:tcBorders>
            <w:noWrap w:val="0"/>
            <w:vAlign w:val="center"/>
          </w:tcPr>
          <w:p w14:paraId="2E694F91">
            <w:pPr>
              <w:pStyle w:val="563"/>
              <w:bidi w:val="0"/>
              <w:rPr>
                <w:rFonts w:hint="default"/>
                <w:color w:val="auto"/>
                <w:highlight w:val="none"/>
                <w:lang w:val="pt-BR"/>
              </w:rPr>
            </w:pPr>
            <w:r>
              <w:rPr>
                <w:rFonts w:hint="default"/>
                <w:color w:val="auto"/>
                <w:highlight w:val="none"/>
                <w:lang w:val="pt-BR"/>
              </w:rPr>
              <w:t>6</w:t>
            </w:r>
          </w:p>
        </w:tc>
        <w:tc>
          <w:tcPr>
            <w:tcW w:w="999" w:type="dxa"/>
            <w:tcBorders>
              <w:tl2br w:val="nil"/>
              <w:tr2bl w:val="nil"/>
            </w:tcBorders>
            <w:noWrap w:val="0"/>
            <w:vAlign w:val="center"/>
          </w:tcPr>
          <w:p w14:paraId="692E75EB">
            <w:pPr>
              <w:pStyle w:val="563"/>
              <w:bidi w:val="0"/>
              <w:rPr>
                <w:rFonts w:hint="default"/>
                <w:color w:val="auto"/>
                <w:highlight w:val="none"/>
                <w:lang w:val="pt-BR"/>
              </w:rPr>
            </w:pPr>
            <w:r>
              <w:rPr>
                <w:rFonts w:hint="default"/>
                <w:color w:val="auto"/>
                <w:highlight w:val="none"/>
                <w:lang w:val="pt-BR"/>
              </w:rPr>
              <w:t>4</w:t>
            </w:r>
          </w:p>
        </w:tc>
        <w:tc>
          <w:tcPr>
            <w:tcW w:w="637" w:type="dxa"/>
            <w:tcBorders>
              <w:tl2br w:val="nil"/>
              <w:tr2bl w:val="nil"/>
            </w:tcBorders>
            <w:noWrap w:val="0"/>
            <w:vAlign w:val="center"/>
          </w:tcPr>
          <w:p w14:paraId="63E8D5C5">
            <w:pPr>
              <w:pStyle w:val="563"/>
              <w:bidi w:val="0"/>
              <w:rPr>
                <w:rFonts w:hint="default"/>
                <w:color w:val="auto"/>
                <w:highlight w:val="none"/>
                <w:lang w:val="pt-BR"/>
              </w:rPr>
            </w:pPr>
            <w:r>
              <w:rPr>
                <w:rFonts w:hint="default"/>
                <w:color w:val="auto"/>
                <w:highlight w:val="none"/>
                <w:lang w:val="pt-BR"/>
              </w:rPr>
              <w:t>19</w:t>
            </w:r>
          </w:p>
        </w:tc>
      </w:tr>
      <w:tr w14:paraId="0CCE56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jc w:val="center"/>
        </w:trPr>
        <w:tc>
          <w:tcPr>
            <w:tcW w:w="1029" w:type="dxa"/>
            <w:tcBorders>
              <w:tl2br w:val="nil"/>
              <w:tr2bl w:val="nil"/>
            </w:tcBorders>
            <w:noWrap w:val="0"/>
            <w:vAlign w:val="center"/>
          </w:tcPr>
          <w:p w14:paraId="089F9FE1">
            <w:pPr>
              <w:pStyle w:val="563"/>
              <w:bidi w:val="0"/>
              <w:rPr>
                <w:rFonts w:hint="default"/>
                <w:color w:val="auto"/>
                <w:highlight w:val="none"/>
                <w:lang w:val="pt-BR"/>
              </w:rPr>
            </w:pPr>
            <w:r>
              <w:rPr>
                <w:rFonts w:hint="default"/>
                <w:color w:val="auto"/>
                <w:highlight w:val="none"/>
                <w:lang w:val="pt-BR"/>
              </w:rPr>
              <w:t>12月</w:t>
            </w:r>
          </w:p>
        </w:tc>
        <w:tc>
          <w:tcPr>
            <w:tcW w:w="523" w:type="dxa"/>
            <w:tcBorders>
              <w:tl2br w:val="nil"/>
              <w:tr2bl w:val="nil"/>
            </w:tcBorders>
            <w:noWrap w:val="0"/>
            <w:vAlign w:val="center"/>
          </w:tcPr>
          <w:p w14:paraId="3F97E014">
            <w:pPr>
              <w:pStyle w:val="563"/>
              <w:bidi w:val="0"/>
              <w:rPr>
                <w:rFonts w:hint="default"/>
                <w:color w:val="auto"/>
                <w:highlight w:val="none"/>
                <w:lang w:val="pt-BR"/>
              </w:rPr>
            </w:pPr>
            <w:r>
              <w:rPr>
                <w:rFonts w:hint="default"/>
                <w:color w:val="auto"/>
                <w:highlight w:val="none"/>
                <w:lang w:val="pt-BR"/>
              </w:rPr>
              <w:t>4</w:t>
            </w:r>
          </w:p>
        </w:tc>
        <w:tc>
          <w:tcPr>
            <w:tcW w:w="878" w:type="dxa"/>
            <w:tcBorders>
              <w:tl2br w:val="nil"/>
              <w:tr2bl w:val="nil"/>
            </w:tcBorders>
            <w:noWrap w:val="0"/>
            <w:vAlign w:val="center"/>
          </w:tcPr>
          <w:p w14:paraId="6DC4BC2A">
            <w:pPr>
              <w:pStyle w:val="563"/>
              <w:bidi w:val="0"/>
              <w:rPr>
                <w:rFonts w:hint="default"/>
                <w:color w:val="auto"/>
                <w:highlight w:val="none"/>
                <w:lang w:val="pt-BR"/>
              </w:rPr>
            </w:pPr>
            <w:r>
              <w:rPr>
                <w:rFonts w:hint="default"/>
                <w:color w:val="auto"/>
                <w:highlight w:val="none"/>
                <w:lang w:val="pt-BR"/>
              </w:rPr>
              <w:t>4</w:t>
            </w:r>
          </w:p>
        </w:tc>
        <w:tc>
          <w:tcPr>
            <w:tcW w:w="676" w:type="dxa"/>
            <w:tcBorders>
              <w:tl2br w:val="nil"/>
              <w:tr2bl w:val="nil"/>
            </w:tcBorders>
            <w:noWrap w:val="0"/>
            <w:vAlign w:val="center"/>
          </w:tcPr>
          <w:p w14:paraId="63CE2E13">
            <w:pPr>
              <w:pStyle w:val="563"/>
              <w:bidi w:val="0"/>
              <w:rPr>
                <w:rFonts w:hint="default"/>
                <w:color w:val="auto"/>
                <w:highlight w:val="none"/>
                <w:lang w:val="pt-BR"/>
              </w:rPr>
            </w:pPr>
            <w:r>
              <w:rPr>
                <w:rFonts w:hint="default"/>
                <w:color w:val="auto"/>
                <w:highlight w:val="none"/>
                <w:lang w:val="pt-BR"/>
              </w:rPr>
              <w:t>7</w:t>
            </w:r>
          </w:p>
        </w:tc>
        <w:tc>
          <w:tcPr>
            <w:tcW w:w="826" w:type="dxa"/>
            <w:tcBorders>
              <w:tl2br w:val="nil"/>
              <w:tr2bl w:val="nil"/>
            </w:tcBorders>
            <w:noWrap w:val="0"/>
            <w:vAlign w:val="center"/>
          </w:tcPr>
          <w:p w14:paraId="28017A2E">
            <w:pPr>
              <w:pStyle w:val="563"/>
              <w:bidi w:val="0"/>
              <w:rPr>
                <w:rFonts w:hint="default"/>
                <w:color w:val="auto"/>
                <w:highlight w:val="none"/>
                <w:lang w:val="pt-BR"/>
              </w:rPr>
            </w:pPr>
            <w:r>
              <w:rPr>
                <w:rFonts w:hint="default"/>
                <w:color w:val="auto"/>
                <w:highlight w:val="none"/>
                <w:lang w:val="pt-BR"/>
              </w:rPr>
              <w:t>7</w:t>
            </w:r>
          </w:p>
        </w:tc>
        <w:tc>
          <w:tcPr>
            <w:tcW w:w="637" w:type="dxa"/>
            <w:tcBorders>
              <w:tl2br w:val="nil"/>
              <w:tr2bl w:val="nil"/>
            </w:tcBorders>
            <w:noWrap w:val="0"/>
            <w:vAlign w:val="center"/>
          </w:tcPr>
          <w:p w14:paraId="2D46571F">
            <w:pPr>
              <w:pStyle w:val="563"/>
              <w:bidi w:val="0"/>
              <w:rPr>
                <w:rFonts w:hint="default"/>
                <w:color w:val="auto"/>
                <w:highlight w:val="none"/>
                <w:lang w:val="pt-BR"/>
              </w:rPr>
            </w:pPr>
            <w:r>
              <w:rPr>
                <w:rFonts w:hint="default"/>
                <w:color w:val="auto"/>
                <w:highlight w:val="none"/>
                <w:lang w:val="pt-BR"/>
              </w:rPr>
              <w:t>9</w:t>
            </w:r>
          </w:p>
        </w:tc>
        <w:tc>
          <w:tcPr>
            <w:tcW w:w="765" w:type="dxa"/>
            <w:tcBorders>
              <w:tl2br w:val="nil"/>
              <w:tr2bl w:val="nil"/>
            </w:tcBorders>
            <w:noWrap w:val="0"/>
            <w:vAlign w:val="center"/>
          </w:tcPr>
          <w:p w14:paraId="1421EF3A">
            <w:pPr>
              <w:pStyle w:val="563"/>
              <w:bidi w:val="0"/>
              <w:rPr>
                <w:rFonts w:hint="default"/>
                <w:color w:val="auto"/>
                <w:highlight w:val="none"/>
                <w:lang w:val="pt-BR"/>
              </w:rPr>
            </w:pPr>
            <w:r>
              <w:rPr>
                <w:rFonts w:hint="default"/>
                <w:color w:val="auto"/>
                <w:highlight w:val="none"/>
                <w:lang w:val="pt-BR"/>
              </w:rPr>
              <w:t>7</w:t>
            </w:r>
          </w:p>
        </w:tc>
        <w:tc>
          <w:tcPr>
            <w:tcW w:w="637" w:type="dxa"/>
            <w:tcBorders>
              <w:tl2br w:val="nil"/>
              <w:tr2bl w:val="nil"/>
            </w:tcBorders>
            <w:noWrap w:val="0"/>
            <w:vAlign w:val="center"/>
          </w:tcPr>
          <w:p w14:paraId="340441DB">
            <w:pPr>
              <w:pStyle w:val="563"/>
              <w:bidi w:val="0"/>
              <w:rPr>
                <w:rFonts w:hint="default"/>
                <w:color w:val="auto"/>
                <w:highlight w:val="none"/>
                <w:lang w:val="pt-BR"/>
              </w:rPr>
            </w:pPr>
            <w:r>
              <w:rPr>
                <w:rFonts w:hint="default"/>
                <w:color w:val="auto"/>
                <w:highlight w:val="none"/>
                <w:lang w:val="pt-BR"/>
              </w:rPr>
              <w:t>5</w:t>
            </w:r>
          </w:p>
        </w:tc>
        <w:tc>
          <w:tcPr>
            <w:tcW w:w="759" w:type="dxa"/>
            <w:tcBorders>
              <w:tl2br w:val="nil"/>
              <w:tr2bl w:val="nil"/>
            </w:tcBorders>
            <w:noWrap w:val="0"/>
            <w:vAlign w:val="center"/>
          </w:tcPr>
          <w:p w14:paraId="67D61124">
            <w:pPr>
              <w:pStyle w:val="563"/>
              <w:bidi w:val="0"/>
              <w:rPr>
                <w:rFonts w:hint="default"/>
                <w:color w:val="auto"/>
                <w:highlight w:val="none"/>
                <w:lang w:val="pt-BR"/>
              </w:rPr>
            </w:pPr>
            <w:r>
              <w:rPr>
                <w:rFonts w:hint="default"/>
                <w:color w:val="auto"/>
                <w:highlight w:val="none"/>
                <w:lang w:val="pt-BR"/>
              </w:rPr>
              <w:t>4</w:t>
            </w:r>
          </w:p>
        </w:tc>
        <w:tc>
          <w:tcPr>
            <w:tcW w:w="480" w:type="dxa"/>
            <w:tcBorders>
              <w:tl2br w:val="nil"/>
              <w:tr2bl w:val="nil"/>
            </w:tcBorders>
            <w:noWrap w:val="0"/>
            <w:vAlign w:val="center"/>
          </w:tcPr>
          <w:p w14:paraId="41C1E823">
            <w:pPr>
              <w:pStyle w:val="563"/>
              <w:bidi w:val="0"/>
              <w:rPr>
                <w:rFonts w:hint="default"/>
                <w:color w:val="auto"/>
                <w:highlight w:val="none"/>
                <w:lang w:val="pt-BR"/>
              </w:rPr>
            </w:pPr>
            <w:r>
              <w:rPr>
                <w:rFonts w:hint="default"/>
                <w:color w:val="auto"/>
                <w:highlight w:val="none"/>
                <w:lang w:val="pt-BR"/>
              </w:rPr>
              <w:t>2</w:t>
            </w:r>
          </w:p>
        </w:tc>
        <w:tc>
          <w:tcPr>
            <w:tcW w:w="882" w:type="dxa"/>
            <w:tcBorders>
              <w:tl2br w:val="nil"/>
              <w:tr2bl w:val="nil"/>
            </w:tcBorders>
            <w:noWrap w:val="0"/>
            <w:vAlign w:val="center"/>
          </w:tcPr>
          <w:p w14:paraId="5B3BD32E">
            <w:pPr>
              <w:pStyle w:val="563"/>
              <w:bidi w:val="0"/>
              <w:rPr>
                <w:rFonts w:hint="default"/>
                <w:color w:val="auto"/>
                <w:highlight w:val="none"/>
                <w:lang w:val="pt-BR"/>
              </w:rPr>
            </w:pPr>
            <w:r>
              <w:rPr>
                <w:rFonts w:hint="default"/>
                <w:color w:val="auto"/>
                <w:highlight w:val="none"/>
                <w:lang w:val="pt-BR"/>
              </w:rPr>
              <w:t>2</w:t>
            </w:r>
          </w:p>
        </w:tc>
        <w:tc>
          <w:tcPr>
            <w:tcW w:w="740" w:type="dxa"/>
            <w:tcBorders>
              <w:tl2br w:val="nil"/>
              <w:tr2bl w:val="nil"/>
            </w:tcBorders>
            <w:noWrap w:val="0"/>
            <w:vAlign w:val="center"/>
          </w:tcPr>
          <w:p w14:paraId="3882D049">
            <w:pPr>
              <w:pStyle w:val="563"/>
              <w:bidi w:val="0"/>
              <w:rPr>
                <w:rFonts w:hint="default"/>
                <w:color w:val="auto"/>
                <w:highlight w:val="none"/>
                <w:lang w:val="pt-BR"/>
              </w:rPr>
            </w:pPr>
            <w:r>
              <w:rPr>
                <w:rFonts w:hint="default"/>
                <w:color w:val="auto"/>
                <w:highlight w:val="none"/>
                <w:lang w:val="pt-BR"/>
              </w:rPr>
              <w:t>4</w:t>
            </w:r>
          </w:p>
        </w:tc>
        <w:tc>
          <w:tcPr>
            <w:tcW w:w="1016" w:type="dxa"/>
            <w:tcBorders>
              <w:tl2br w:val="nil"/>
              <w:tr2bl w:val="nil"/>
            </w:tcBorders>
            <w:noWrap w:val="0"/>
            <w:vAlign w:val="center"/>
          </w:tcPr>
          <w:p w14:paraId="394992D4">
            <w:pPr>
              <w:pStyle w:val="563"/>
              <w:bidi w:val="0"/>
              <w:rPr>
                <w:rFonts w:hint="default"/>
                <w:color w:val="auto"/>
                <w:highlight w:val="none"/>
                <w:lang w:val="pt-BR"/>
              </w:rPr>
            </w:pPr>
            <w:r>
              <w:rPr>
                <w:rFonts w:hint="default"/>
                <w:color w:val="auto"/>
                <w:highlight w:val="none"/>
                <w:lang w:val="pt-BR"/>
              </w:rPr>
              <w:t>4</w:t>
            </w:r>
          </w:p>
        </w:tc>
        <w:tc>
          <w:tcPr>
            <w:tcW w:w="598" w:type="dxa"/>
            <w:tcBorders>
              <w:tl2br w:val="nil"/>
              <w:tr2bl w:val="nil"/>
            </w:tcBorders>
            <w:noWrap w:val="0"/>
            <w:vAlign w:val="center"/>
          </w:tcPr>
          <w:p w14:paraId="3C3DE788">
            <w:pPr>
              <w:pStyle w:val="563"/>
              <w:bidi w:val="0"/>
              <w:rPr>
                <w:rFonts w:hint="default"/>
                <w:color w:val="auto"/>
                <w:highlight w:val="none"/>
                <w:lang w:val="pt-BR"/>
              </w:rPr>
            </w:pPr>
            <w:r>
              <w:rPr>
                <w:rFonts w:hint="default"/>
                <w:color w:val="auto"/>
                <w:highlight w:val="none"/>
                <w:lang w:val="pt-BR"/>
              </w:rPr>
              <w:t>6</w:t>
            </w:r>
          </w:p>
        </w:tc>
        <w:tc>
          <w:tcPr>
            <w:tcW w:w="1077" w:type="dxa"/>
            <w:tcBorders>
              <w:tl2br w:val="nil"/>
              <w:tr2bl w:val="nil"/>
            </w:tcBorders>
            <w:noWrap w:val="0"/>
            <w:vAlign w:val="center"/>
          </w:tcPr>
          <w:p w14:paraId="6E0B22BA">
            <w:pPr>
              <w:pStyle w:val="563"/>
              <w:bidi w:val="0"/>
              <w:rPr>
                <w:rFonts w:hint="default"/>
                <w:color w:val="auto"/>
                <w:highlight w:val="none"/>
                <w:lang w:val="pt-BR"/>
              </w:rPr>
            </w:pPr>
            <w:r>
              <w:rPr>
                <w:rFonts w:hint="default"/>
                <w:color w:val="auto"/>
                <w:highlight w:val="none"/>
                <w:lang w:val="pt-BR"/>
              </w:rPr>
              <w:t>5</w:t>
            </w:r>
          </w:p>
        </w:tc>
        <w:tc>
          <w:tcPr>
            <w:tcW w:w="801" w:type="dxa"/>
            <w:tcBorders>
              <w:tl2br w:val="nil"/>
              <w:tr2bl w:val="nil"/>
            </w:tcBorders>
            <w:noWrap w:val="0"/>
            <w:vAlign w:val="center"/>
          </w:tcPr>
          <w:p w14:paraId="09DAD3A7">
            <w:pPr>
              <w:pStyle w:val="563"/>
              <w:bidi w:val="0"/>
              <w:rPr>
                <w:rFonts w:hint="default"/>
                <w:color w:val="auto"/>
                <w:highlight w:val="none"/>
                <w:lang w:val="pt-BR"/>
              </w:rPr>
            </w:pPr>
            <w:r>
              <w:rPr>
                <w:rFonts w:hint="default"/>
                <w:color w:val="auto"/>
                <w:highlight w:val="none"/>
                <w:lang w:val="pt-BR"/>
              </w:rPr>
              <w:t>6</w:t>
            </w:r>
          </w:p>
        </w:tc>
        <w:tc>
          <w:tcPr>
            <w:tcW w:w="999" w:type="dxa"/>
            <w:tcBorders>
              <w:tl2br w:val="nil"/>
              <w:tr2bl w:val="nil"/>
            </w:tcBorders>
            <w:noWrap w:val="0"/>
            <w:vAlign w:val="center"/>
          </w:tcPr>
          <w:p w14:paraId="595FD47D">
            <w:pPr>
              <w:pStyle w:val="563"/>
              <w:bidi w:val="0"/>
              <w:rPr>
                <w:rFonts w:hint="default"/>
                <w:color w:val="auto"/>
                <w:highlight w:val="none"/>
                <w:lang w:val="pt-BR"/>
              </w:rPr>
            </w:pPr>
            <w:r>
              <w:rPr>
                <w:rFonts w:hint="default"/>
                <w:color w:val="auto"/>
                <w:highlight w:val="none"/>
                <w:lang w:val="pt-BR"/>
              </w:rPr>
              <w:t>4</w:t>
            </w:r>
          </w:p>
        </w:tc>
        <w:tc>
          <w:tcPr>
            <w:tcW w:w="637" w:type="dxa"/>
            <w:tcBorders>
              <w:tl2br w:val="nil"/>
              <w:tr2bl w:val="nil"/>
            </w:tcBorders>
            <w:noWrap w:val="0"/>
            <w:vAlign w:val="center"/>
          </w:tcPr>
          <w:p w14:paraId="0C377C87">
            <w:pPr>
              <w:pStyle w:val="563"/>
              <w:bidi w:val="0"/>
              <w:rPr>
                <w:rFonts w:hint="default"/>
                <w:color w:val="auto"/>
                <w:highlight w:val="none"/>
                <w:lang w:val="pt-BR"/>
              </w:rPr>
            </w:pPr>
            <w:r>
              <w:rPr>
                <w:rFonts w:hint="default"/>
                <w:color w:val="auto"/>
                <w:highlight w:val="none"/>
                <w:lang w:val="pt-BR"/>
              </w:rPr>
              <w:t>20</w:t>
            </w:r>
          </w:p>
        </w:tc>
      </w:tr>
    </w:tbl>
    <w:p w14:paraId="04E6638A">
      <w:pPr>
        <w:bidi w:val="0"/>
        <w:rPr>
          <w:rFonts w:hint="default"/>
          <w:color w:val="auto"/>
          <w:highlight w:val="none"/>
        </w:rPr>
      </w:pPr>
      <w:bookmarkStart w:id="387" w:name="_Toc20305"/>
      <w:bookmarkStart w:id="388" w:name="_Toc1604"/>
      <w:bookmarkStart w:id="389" w:name="_Toc4626"/>
      <w:bookmarkStart w:id="390" w:name="_Toc7373"/>
      <w:bookmarkStart w:id="391" w:name="_Toc1568"/>
      <w:bookmarkStart w:id="392" w:name="_Toc13536"/>
      <w:r>
        <w:rPr>
          <w:rFonts w:hint="default"/>
          <w:color w:val="auto"/>
          <w:highlight w:val="none"/>
        </w:rPr>
        <w:t>（5）各季及年均风向风频变化</w:t>
      </w:r>
      <w:bookmarkEnd w:id="387"/>
      <w:bookmarkEnd w:id="388"/>
      <w:bookmarkEnd w:id="389"/>
      <w:bookmarkEnd w:id="390"/>
      <w:bookmarkEnd w:id="391"/>
      <w:bookmarkEnd w:id="392"/>
    </w:p>
    <w:p w14:paraId="69554C7E">
      <w:pPr>
        <w:pStyle w:val="549"/>
        <w:bidi w:val="0"/>
        <w:rPr>
          <w:rFonts w:hint="default"/>
          <w:color w:val="auto"/>
          <w:highlight w:val="none"/>
        </w:rPr>
      </w:pPr>
      <w:r>
        <w:rPr>
          <w:rFonts w:hint="default"/>
          <w:color w:val="auto"/>
          <w:highlight w:val="none"/>
        </w:rPr>
        <w:t>表</w:t>
      </w:r>
      <w:r>
        <w:rPr>
          <w:rFonts w:hint="eastAsia"/>
          <w:color w:val="auto"/>
          <w:highlight w:val="none"/>
          <w:lang w:val="en-US" w:eastAsia="zh-CN"/>
        </w:rPr>
        <w:t>5.2</w:t>
      </w:r>
      <w:r>
        <w:rPr>
          <w:rFonts w:hint="default"/>
          <w:color w:val="auto"/>
          <w:highlight w:val="none"/>
        </w:rPr>
        <w:t>-</w:t>
      </w:r>
      <w:r>
        <w:rPr>
          <w:rFonts w:hint="eastAsia"/>
          <w:color w:val="auto"/>
          <w:highlight w:val="none"/>
          <w:lang w:val="en-US" w:eastAsia="zh-CN"/>
        </w:rPr>
        <w:t>6</w:t>
      </w:r>
      <w:r>
        <w:rPr>
          <w:rFonts w:hint="default"/>
          <w:color w:val="auto"/>
          <w:highlight w:val="none"/>
        </w:rPr>
        <w:t xml:space="preserve">  年均风频的季变化及年均风频</w:t>
      </w:r>
    </w:p>
    <w:tbl>
      <w:tblPr>
        <w:tblStyle w:val="49"/>
        <w:tblW w:w="472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38"/>
        <w:gridCol w:w="515"/>
        <w:gridCol w:w="865"/>
        <w:gridCol w:w="665"/>
        <w:gridCol w:w="814"/>
        <w:gridCol w:w="626"/>
        <w:gridCol w:w="756"/>
        <w:gridCol w:w="626"/>
        <w:gridCol w:w="750"/>
        <w:gridCol w:w="472"/>
        <w:gridCol w:w="870"/>
        <w:gridCol w:w="729"/>
        <w:gridCol w:w="1001"/>
        <w:gridCol w:w="589"/>
        <w:gridCol w:w="1062"/>
        <w:gridCol w:w="987"/>
        <w:gridCol w:w="626"/>
      </w:tblGrid>
      <w:tr w14:paraId="25216E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6E39542C">
            <w:pPr>
              <w:pStyle w:val="224"/>
              <w:bidi w:val="0"/>
              <w:rPr>
                <w:rFonts w:hint="eastAsia" w:eastAsia="宋体"/>
                <w:b/>
                <w:bCs w:val="0"/>
                <w:color w:val="auto"/>
                <w:highlight w:val="none"/>
                <w:lang w:val="en-US" w:eastAsia="zh-CN"/>
              </w:rPr>
            </w:pPr>
            <w:r>
              <w:rPr>
                <w:rFonts w:hint="eastAsia"/>
                <w:b/>
                <w:bCs w:val="0"/>
                <w:color w:val="auto"/>
                <w:highlight w:val="none"/>
                <w:lang w:val="en-US" w:eastAsia="zh-CN"/>
              </w:rPr>
              <w:t>季度</w:t>
            </w:r>
          </w:p>
        </w:tc>
        <w:tc>
          <w:tcPr>
            <w:tcW w:w="515" w:type="dxa"/>
            <w:tcBorders>
              <w:tl2br w:val="nil"/>
              <w:tr2bl w:val="nil"/>
            </w:tcBorders>
            <w:noWrap w:val="0"/>
            <w:vAlign w:val="center"/>
          </w:tcPr>
          <w:p w14:paraId="05B75691">
            <w:pPr>
              <w:pStyle w:val="224"/>
              <w:bidi w:val="0"/>
              <w:rPr>
                <w:rFonts w:hint="default"/>
                <w:b/>
                <w:bCs w:val="0"/>
                <w:color w:val="auto"/>
                <w:highlight w:val="none"/>
                <w:lang w:val="pt-BR"/>
              </w:rPr>
            </w:pPr>
            <w:r>
              <w:rPr>
                <w:rFonts w:hint="default"/>
                <w:b/>
                <w:bCs w:val="0"/>
                <w:color w:val="auto"/>
                <w:highlight w:val="none"/>
                <w:lang w:val="pt-BR"/>
              </w:rPr>
              <w:t>N</w:t>
            </w:r>
          </w:p>
        </w:tc>
        <w:tc>
          <w:tcPr>
            <w:tcW w:w="864" w:type="dxa"/>
            <w:tcBorders>
              <w:tl2br w:val="nil"/>
              <w:tr2bl w:val="nil"/>
            </w:tcBorders>
            <w:noWrap w:val="0"/>
            <w:vAlign w:val="center"/>
          </w:tcPr>
          <w:p w14:paraId="36789901">
            <w:pPr>
              <w:pStyle w:val="224"/>
              <w:bidi w:val="0"/>
              <w:rPr>
                <w:rFonts w:hint="default"/>
                <w:b/>
                <w:bCs w:val="0"/>
                <w:color w:val="auto"/>
                <w:highlight w:val="none"/>
                <w:lang w:val="pt-BR"/>
              </w:rPr>
            </w:pPr>
            <w:r>
              <w:rPr>
                <w:rFonts w:hint="default"/>
                <w:b/>
                <w:bCs w:val="0"/>
                <w:color w:val="auto"/>
                <w:highlight w:val="none"/>
                <w:lang w:val="pt-BR"/>
              </w:rPr>
              <w:t>NNE</w:t>
            </w:r>
          </w:p>
        </w:tc>
        <w:tc>
          <w:tcPr>
            <w:tcW w:w="665" w:type="dxa"/>
            <w:tcBorders>
              <w:tl2br w:val="nil"/>
              <w:tr2bl w:val="nil"/>
            </w:tcBorders>
            <w:noWrap w:val="0"/>
            <w:vAlign w:val="center"/>
          </w:tcPr>
          <w:p w14:paraId="695FC2AA">
            <w:pPr>
              <w:pStyle w:val="224"/>
              <w:bidi w:val="0"/>
              <w:rPr>
                <w:rFonts w:hint="default"/>
                <w:b/>
                <w:bCs w:val="0"/>
                <w:color w:val="auto"/>
                <w:highlight w:val="none"/>
                <w:lang w:val="pt-BR"/>
              </w:rPr>
            </w:pPr>
            <w:r>
              <w:rPr>
                <w:rFonts w:hint="default"/>
                <w:b/>
                <w:bCs w:val="0"/>
                <w:color w:val="auto"/>
                <w:highlight w:val="none"/>
                <w:lang w:val="pt-BR"/>
              </w:rPr>
              <w:t>NE</w:t>
            </w:r>
          </w:p>
        </w:tc>
        <w:tc>
          <w:tcPr>
            <w:tcW w:w="813" w:type="dxa"/>
            <w:tcBorders>
              <w:tl2br w:val="nil"/>
              <w:tr2bl w:val="nil"/>
            </w:tcBorders>
            <w:noWrap w:val="0"/>
            <w:vAlign w:val="center"/>
          </w:tcPr>
          <w:p w14:paraId="2F4BA922">
            <w:pPr>
              <w:pStyle w:val="224"/>
              <w:bidi w:val="0"/>
              <w:rPr>
                <w:rFonts w:hint="default"/>
                <w:b/>
                <w:bCs w:val="0"/>
                <w:color w:val="auto"/>
                <w:highlight w:val="none"/>
                <w:lang w:val="pt-BR"/>
              </w:rPr>
            </w:pPr>
            <w:r>
              <w:rPr>
                <w:rFonts w:hint="default"/>
                <w:b/>
                <w:bCs w:val="0"/>
                <w:color w:val="auto"/>
                <w:highlight w:val="none"/>
                <w:lang w:val="pt-BR"/>
              </w:rPr>
              <w:t>ENE</w:t>
            </w:r>
          </w:p>
        </w:tc>
        <w:tc>
          <w:tcPr>
            <w:tcW w:w="626" w:type="dxa"/>
            <w:tcBorders>
              <w:tl2br w:val="nil"/>
              <w:tr2bl w:val="nil"/>
            </w:tcBorders>
            <w:noWrap w:val="0"/>
            <w:vAlign w:val="center"/>
          </w:tcPr>
          <w:p w14:paraId="255EDDEF">
            <w:pPr>
              <w:pStyle w:val="224"/>
              <w:bidi w:val="0"/>
              <w:rPr>
                <w:rFonts w:hint="default"/>
                <w:b/>
                <w:bCs w:val="0"/>
                <w:color w:val="auto"/>
                <w:highlight w:val="none"/>
                <w:lang w:val="pt-BR"/>
              </w:rPr>
            </w:pPr>
            <w:r>
              <w:rPr>
                <w:rFonts w:hint="default"/>
                <w:b/>
                <w:bCs w:val="0"/>
                <w:color w:val="auto"/>
                <w:highlight w:val="none"/>
                <w:lang w:val="pt-BR"/>
              </w:rPr>
              <w:t>E</w:t>
            </w:r>
          </w:p>
        </w:tc>
        <w:tc>
          <w:tcPr>
            <w:tcW w:w="755" w:type="dxa"/>
            <w:tcBorders>
              <w:tl2br w:val="nil"/>
              <w:tr2bl w:val="nil"/>
            </w:tcBorders>
            <w:noWrap w:val="0"/>
            <w:vAlign w:val="center"/>
          </w:tcPr>
          <w:p w14:paraId="10BCE9DE">
            <w:pPr>
              <w:pStyle w:val="224"/>
              <w:bidi w:val="0"/>
              <w:rPr>
                <w:rFonts w:hint="default"/>
                <w:b/>
                <w:bCs w:val="0"/>
                <w:color w:val="auto"/>
                <w:highlight w:val="none"/>
                <w:lang w:val="pt-BR"/>
              </w:rPr>
            </w:pPr>
            <w:r>
              <w:rPr>
                <w:rFonts w:hint="default"/>
                <w:b/>
                <w:bCs w:val="0"/>
                <w:color w:val="auto"/>
                <w:highlight w:val="none"/>
                <w:lang w:val="pt-BR"/>
              </w:rPr>
              <w:t>ESE</w:t>
            </w:r>
          </w:p>
        </w:tc>
        <w:tc>
          <w:tcPr>
            <w:tcW w:w="626" w:type="dxa"/>
            <w:tcBorders>
              <w:tl2br w:val="nil"/>
              <w:tr2bl w:val="nil"/>
            </w:tcBorders>
            <w:noWrap w:val="0"/>
            <w:vAlign w:val="center"/>
          </w:tcPr>
          <w:p w14:paraId="7230D541">
            <w:pPr>
              <w:pStyle w:val="224"/>
              <w:bidi w:val="0"/>
              <w:rPr>
                <w:rFonts w:hint="default"/>
                <w:b/>
                <w:bCs w:val="0"/>
                <w:color w:val="auto"/>
                <w:highlight w:val="none"/>
                <w:lang w:val="pt-BR"/>
              </w:rPr>
            </w:pPr>
            <w:r>
              <w:rPr>
                <w:rFonts w:hint="default"/>
                <w:b/>
                <w:bCs w:val="0"/>
                <w:color w:val="auto"/>
                <w:highlight w:val="none"/>
                <w:lang w:val="pt-BR"/>
              </w:rPr>
              <w:t>SE</w:t>
            </w:r>
          </w:p>
        </w:tc>
        <w:tc>
          <w:tcPr>
            <w:tcW w:w="749" w:type="dxa"/>
            <w:tcBorders>
              <w:tl2br w:val="nil"/>
              <w:tr2bl w:val="nil"/>
            </w:tcBorders>
            <w:noWrap w:val="0"/>
            <w:vAlign w:val="center"/>
          </w:tcPr>
          <w:p w14:paraId="72CD6218">
            <w:pPr>
              <w:pStyle w:val="224"/>
              <w:bidi w:val="0"/>
              <w:rPr>
                <w:rFonts w:hint="default"/>
                <w:b/>
                <w:bCs w:val="0"/>
                <w:color w:val="auto"/>
                <w:highlight w:val="none"/>
                <w:lang w:val="pt-BR"/>
              </w:rPr>
            </w:pPr>
            <w:r>
              <w:rPr>
                <w:rFonts w:hint="default"/>
                <w:b/>
                <w:bCs w:val="0"/>
                <w:color w:val="auto"/>
                <w:highlight w:val="none"/>
                <w:lang w:val="pt-BR"/>
              </w:rPr>
              <w:t>SSE</w:t>
            </w:r>
          </w:p>
        </w:tc>
        <w:tc>
          <w:tcPr>
            <w:tcW w:w="472" w:type="dxa"/>
            <w:tcBorders>
              <w:tl2br w:val="nil"/>
              <w:tr2bl w:val="nil"/>
            </w:tcBorders>
            <w:noWrap w:val="0"/>
            <w:vAlign w:val="center"/>
          </w:tcPr>
          <w:p w14:paraId="6F0BBD1D">
            <w:pPr>
              <w:pStyle w:val="224"/>
              <w:bidi w:val="0"/>
              <w:rPr>
                <w:rFonts w:hint="default"/>
                <w:b/>
                <w:bCs w:val="0"/>
                <w:color w:val="auto"/>
                <w:highlight w:val="none"/>
                <w:lang w:val="pt-BR"/>
              </w:rPr>
            </w:pPr>
            <w:r>
              <w:rPr>
                <w:rFonts w:hint="default"/>
                <w:b/>
                <w:bCs w:val="0"/>
                <w:color w:val="auto"/>
                <w:highlight w:val="none"/>
                <w:lang w:val="pt-BR"/>
              </w:rPr>
              <w:t>S</w:t>
            </w:r>
          </w:p>
        </w:tc>
        <w:tc>
          <w:tcPr>
            <w:tcW w:w="869" w:type="dxa"/>
            <w:tcBorders>
              <w:tl2br w:val="nil"/>
              <w:tr2bl w:val="nil"/>
            </w:tcBorders>
            <w:noWrap w:val="0"/>
            <w:vAlign w:val="center"/>
          </w:tcPr>
          <w:p w14:paraId="3DD7944A">
            <w:pPr>
              <w:pStyle w:val="224"/>
              <w:bidi w:val="0"/>
              <w:rPr>
                <w:rFonts w:hint="default"/>
                <w:b/>
                <w:bCs w:val="0"/>
                <w:color w:val="auto"/>
                <w:highlight w:val="none"/>
                <w:lang w:val="pt-BR"/>
              </w:rPr>
            </w:pPr>
            <w:r>
              <w:rPr>
                <w:rFonts w:hint="default"/>
                <w:b/>
                <w:bCs w:val="0"/>
                <w:color w:val="auto"/>
                <w:highlight w:val="none"/>
                <w:lang w:val="pt-BR"/>
              </w:rPr>
              <w:t>SSW</w:t>
            </w:r>
          </w:p>
        </w:tc>
        <w:tc>
          <w:tcPr>
            <w:tcW w:w="729" w:type="dxa"/>
            <w:tcBorders>
              <w:tl2br w:val="nil"/>
              <w:tr2bl w:val="nil"/>
            </w:tcBorders>
            <w:noWrap w:val="0"/>
            <w:vAlign w:val="center"/>
          </w:tcPr>
          <w:p w14:paraId="687090D8">
            <w:pPr>
              <w:pStyle w:val="224"/>
              <w:bidi w:val="0"/>
              <w:rPr>
                <w:rFonts w:hint="default"/>
                <w:b/>
                <w:bCs w:val="0"/>
                <w:color w:val="auto"/>
                <w:highlight w:val="none"/>
                <w:lang w:val="pt-BR"/>
              </w:rPr>
            </w:pPr>
            <w:r>
              <w:rPr>
                <w:rFonts w:hint="default"/>
                <w:b/>
                <w:bCs w:val="0"/>
                <w:color w:val="auto"/>
                <w:highlight w:val="none"/>
                <w:lang w:val="pt-BR"/>
              </w:rPr>
              <w:t>SW</w:t>
            </w:r>
          </w:p>
        </w:tc>
        <w:tc>
          <w:tcPr>
            <w:tcW w:w="1000" w:type="dxa"/>
            <w:tcBorders>
              <w:tl2br w:val="nil"/>
              <w:tr2bl w:val="nil"/>
            </w:tcBorders>
            <w:noWrap w:val="0"/>
            <w:vAlign w:val="center"/>
          </w:tcPr>
          <w:p w14:paraId="65335C3A">
            <w:pPr>
              <w:pStyle w:val="224"/>
              <w:bidi w:val="0"/>
              <w:rPr>
                <w:rFonts w:hint="default"/>
                <w:b/>
                <w:bCs w:val="0"/>
                <w:color w:val="auto"/>
                <w:highlight w:val="none"/>
                <w:lang w:val="pt-BR"/>
              </w:rPr>
            </w:pPr>
            <w:r>
              <w:rPr>
                <w:rFonts w:hint="default"/>
                <w:b/>
                <w:bCs w:val="0"/>
                <w:color w:val="auto"/>
                <w:highlight w:val="none"/>
                <w:lang w:val="pt-BR"/>
              </w:rPr>
              <w:t>WSW</w:t>
            </w:r>
          </w:p>
        </w:tc>
        <w:tc>
          <w:tcPr>
            <w:tcW w:w="589" w:type="dxa"/>
            <w:tcBorders>
              <w:tl2br w:val="nil"/>
              <w:tr2bl w:val="nil"/>
            </w:tcBorders>
            <w:noWrap w:val="0"/>
            <w:vAlign w:val="center"/>
          </w:tcPr>
          <w:p w14:paraId="3E2766B7">
            <w:pPr>
              <w:pStyle w:val="224"/>
              <w:bidi w:val="0"/>
              <w:rPr>
                <w:rFonts w:hint="default"/>
                <w:b/>
                <w:bCs w:val="0"/>
                <w:color w:val="auto"/>
                <w:highlight w:val="none"/>
                <w:lang w:val="pt-BR"/>
              </w:rPr>
            </w:pPr>
            <w:r>
              <w:rPr>
                <w:rFonts w:hint="default"/>
                <w:b/>
                <w:bCs w:val="0"/>
                <w:color w:val="auto"/>
                <w:highlight w:val="none"/>
                <w:lang w:val="pt-BR"/>
              </w:rPr>
              <w:t>W</w:t>
            </w:r>
          </w:p>
        </w:tc>
        <w:tc>
          <w:tcPr>
            <w:tcW w:w="1061" w:type="dxa"/>
            <w:tcBorders>
              <w:tl2br w:val="nil"/>
              <w:tr2bl w:val="nil"/>
            </w:tcBorders>
            <w:noWrap w:val="0"/>
            <w:vAlign w:val="center"/>
          </w:tcPr>
          <w:p w14:paraId="4375B840">
            <w:pPr>
              <w:pStyle w:val="224"/>
              <w:bidi w:val="0"/>
              <w:rPr>
                <w:rFonts w:hint="default"/>
                <w:b/>
                <w:bCs w:val="0"/>
                <w:color w:val="auto"/>
                <w:highlight w:val="none"/>
                <w:lang w:val="pt-BR"/>
              </w:rPr>
            </w:pPr>
            <w:r>
              <w:rPr>
                <w:rFonts w:hint="default"/>
                <w:b/>
                <w:bCs w:val="0"/>
                <w:color w:val="auto"/>
                <w:highlight w:val="none"/>
                <w:lang w:val="pt-BR"/>
              </w:rPr>
              <w:t>WNW</w:t>
            </w:r>
          </w:p>
        </w:tc>
        <w:tc>
          <w:tcPr>
            <w:tcW w:w="986" w:type="dxa"/>
            <w:tcBorders>
              <w:tl2br w:val="nil"/>
              <w:tr2bl w:val="nil"/>
            </w:tcBorders>
            <w:noWrap w:val="0"/>
            <w:vAlign w:val="center"/>
          </w:tcPr>
          <w:p w14:paraId="3B20B2AD">
            <w:pPr>
              <w:pStyle w:val="224"/>
              <w:bidi w:val="0"/>
              <w:rPr>
                <w:rFonts w:hint="default"/>
                <w:b/>
                <w:bCs w:val="0"/>
                <w:color w:val="auto"/>
                <w:highlight w:val="none"/>
                <w:lang w:val="pt-BR"/>
              </w:rPr>
            </w:pPr>
            <w:r>
              <w:rPr>
                <w:rFonts w:hint="default"/>
                <w:b/>
                <w:bCs w:val="0"/>
                <w:color w:val="auto"/>
                <w:highlight w:val="none"/>
                <w:lang w:val="pt-BR"/>
              </w:rPr>
              <w:t>NNW</w:t>
            </w:r>
          </w:p>
        </w:tc>
        <w:tc>
          <w:tcPr>
            <w:tcW w:w="626" w:type="dxa"/>
            <w:tcBorders>
              <w:tl2br w:val="nil"/>
              <w:tr2bl w:val="nil"/>
            </w:tcBorders>
            <w:noWrap w:val="0"/>
            <w:vAlign w:val="center"/>
          </w:tcPr>
          <w:p w14:paraId="7B3FEBC8">
            <w:pPr>
              <w:pStyle w:val="224"/>
              <w:bidi w:val="0"/>
              <w:rPr>
                <w:rFonts w:hint="default"/>
                <w:b/>
                <w:bCs w:val="0"/>
                <w:color w:val="auto"/>
                <w:highlight w:val="none"/>
                <w:lang w:val="pt-BR"/>
              </w:rPr>
            </w:pPr>
            <w:r>
              <w:rPr>
                <w:rFonts w:hint="default"/>
                <w:b/>
                <w:bCs w:val="0"/>
                <w:color w:val="auto"/>
                <w:highlight w:val="none"/>
                <w:lang w:val="pt-BR"/>
              </w:rPr>
              <w:t>C</w:t>
            </w:r>
          </w:p>
        </w:tc>
      </w:tr>
      <w:tr w14:paraId="071FA6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06155A35">
            <w:pPr>
              <w:pStyle w:val="563"/>
              <w:bidi w:val="0"/>
              <w:rPr>
                <w:rFonts w:hint="default"/>
                <w:color w:val="auto"/>
                <w:highlight w:val="none"/>
                <w:lang w:val="pt-BR"/>
              </w:rPr>
            </w:pPr>
            <w:r>
              <w:rPr>
                <w:rFonts w:hint="default"/>
                <w:color w:val="auto"/>
                <w:highlight w:val="none"/>
                <w:lang w:val="pt-BR"/>
              </w:rPr>
              <w:t>春季</w:t>
            </w:r>
          </w:p>
        </w:tc>
        <w:tc>
          <w:tcPr>
            <w:tcW w:w="515" w:type="dxa"/>
            <w:tcBorders>
              <w:tl2br w:val="nil"/>
              <w:tr2bl w:val="nil"/>
            </w:tcBorders>
            <w:noWrap w:val="0"/>
            <w:vAlign w:val="center"/>
          </w:tcPr>
          <w:p w14:paraId="5AF55226">
            <w:pPr>
              <w:pStyle w:val="563"/>
              <w:bidi w:val="0"/>
              <w:rPr>
                <w:rFonts w:hint="default"/>
                <w:color w:val="auto"/>
                <w:highlight w:val="none"/>
                <w:lang w:val="pt-BR"/>
              </w:rPr>
            </w:pPr>
            <w:r>
              <w:rPr>
                <w:rFonts w:hint="default"/>
                <w:color w:val="auto"/>
                <w:highlight w:val="none"/>
                <w:lang w:val="pt-BR"/>
              </w:rPr>
              <w:t>4</w:t>
            </w:r>
          </w:p>
        </w:tc>
        <w:tc>
          <w:tcPr>
            <w:tcW w:w="864" w:type="dxa"/>
            <w:tcBorders>
              <w:tl2br w:val="nil"/>
              <w:tr2bl w:val="nil"/>
            </w:tcBorders>
            <w:noWrap w:val="0"/>
            <w:vAlign w:val="center"/>
          </w:tcPr>
          <w:p w14:paraId="401FFD5A">
            <w:pPr>
              <w:pStyle w:val="563"/>
              <w:bidi w:val="0"/>
              <w:rPr>
                <w:rFonts w:hint="default"/>
                <w:color w:val="auto"/>
                <w:highlight w:val="none"/>
                <w:lang w:val="pt-BR"/>
              </w:rPr>
            </w:pPr>
            <w:r>
              <w:rPr>
                <w:rFonts w:hint="default"/>
                <w:color w:val="auto"/>
                <w:highlight w:val="none"/>
                <w:lang w:val="pt-BR"/>
              </w:rPr>
              <w:t>3</w:t>
            </w:r>
          </w:p>
        </w:tc>
        <w:tc>
          <w:tcPr>
            <w:tcW w:w="665" w:type="dxa"/>
            <w:tcBorders>
              <w:tl2br w:val="nil"/>
              <w:tr2bl w:val="nil"/>
            </w:tcBorders>
            <w:noWrap w:val="0"/>
            <w:vAlign w:val="center"/>
          </w:tcPr>
          <w:p w14:paraId="768706CC">
            <w:pPr>
              <w:pStyle w:val="563"/>
              <w:bidi w:val="0"/>
              <w:rPr>
                <w:rFonts w:hint="default"/>
                <w:color w:val="auto"/>
                <w:highlight w:val="none"/>
                <w:lang w:val="pt-BR"/>
              </w:rPr>
            </w:pPr>
            <w:r>
              <w:rPr>
                <w:rFonts w:hint="default"/>
                <w:color w:val="auto"/>
                <w:highlight w:val="none"/>
                <w:lang w:val="pt-BR"/>
              </w:rPr>
              <w:t>6</w:t>
            </w:r>
          </w:p>
        </w:tc>
        <w:tc>
          <w:tcPr>
            <w:tcW w:w="813" w:type="dxa"/>
            <w:tcBorders>
              <w:tl2br w:val="nil"/>
              <w:tr2bl w:val="nil"/>
            </w:tcBorders>
            <w:noWrap w:val="0"/>
            <w:vAlign w:val="center"/>
          </w:tcPr>
          <w:p w14:paraId="2C1E7BD8">
            <w:pPr>
              <w:pStyle w:val="563"/>
              <w:bidi w:val="0"/>
              <w:rPr>
                <w:rFonts w:hint="default"/>
                <w:color w:val="auto"/>
                <w:highlight w:val="none"/>
                <w:lang w:val="pt-BR"/>
              </w:rPr>
            </w:pPr>
            <w:r>
              <w:rPr>
                <w:rFonts w:hint="default"/>
                <w:color w:val="auto"/>
                <w:highlight w:val="none"/>
                <w:lang w:val="pt-BR"/>
              </w:rPr>
              <w:t>7</w:t>
            </w:r>
          </w:p>
        </w:tc>
        <w:tc>
          <w:tcPr>
            <w:tcW w:w="626" w:type="dxa"/>
            <w:tcBorders>
              <w:tl2br w:val="nil"/>
              <w:tr2bl w:val="nil"/>
            </w:tcBorders>
            <w:noWrap w:val="0"/>
            <w:vAlign w:val="center"/>
          </w:tcPr>
          <w:p w14:paraId="64CF393B">
            <w:pPr>
              <w:pStyle w:val="563"/>
              <w:bidi w:val="0"/>
              <w:rPr>
                <w:rFonts w:hint="default"/>
                <w:color w:val="auto"/>
                <w:highlight w:val="none"/>
                <w:lang w:val="pt-BR"/>
              </w:rPr>
            </w:pPr>
            <w:r>
              <w:rPr>
                <w:rFonts w:hint="default"/>
                <w:color w:val="auto"/>
                <w:highlight w:val="none"/>
                <w:lang w:val="pt-BR"/>
              </w:rPr>
              <w:t>12</w:t>
            </w:r>
          </w:p>
        </w:tc>
        <w:tc>
          <w:tcPr>
            <w:tcW w:w="755" w:type="dxa"/>
            <w:tcBorders>
              <w:tl2br w:val="nil"/>
              <w:tr2bl w:val="nil"/>
            </w:tcBorders>
            <w:noWrap w:val="0"/>
            <w:vAlign w:val="center"/>
          </w:tcPr>
          <w:p w14:paraId="30D2CB48">
            <w:pPr>
              <w:pStyle w:val="563"/>
              <w:bidi w:val="0"/>
              <w:rPr>
                <w:rFonts w:hint="default"/>
                <w:color w:val="auto"/>
                <w:highlight w:val="none"/>
                <w:lang w:val="pt-BR"/>
              </w:rPr>
            </w:pPr>
            <w:r>
              <w:rPr>
                <w:rFonts w:hint="default"/>
                <w:color w:val="auto"/>
                <w:highlight w:val="none"/>
                <w:lang w:val="pt-BR"/>
              </w:rPr>
              <w:t>11</w:t>
            </w:r>
          </w:p>
        </w:tc>
        <w:tc>
          <w:tcPr>
            <w:tcW w:w="626" w:type="dxa"/>
            <w:tcBorders>
              <w:tl2br w:val="nil"/>
              <w:tr2bl w:val="nil"/>
            </w:tcBorders>
            <w:noWrap w:val="0"/>
            <w:vAlign w:val="center"/>
          </w:tcPr>
          <w:p w14:paraId="6DC71AFD">
            <w:pPr>
              <w:pStyle w:val="563"/>
              <w:bidi w:val="0"/>
              <w:rPr>
                <w:rFonts w:hint="default"/>
                <w:color w:val="auto"/>
                <w:highlight w:val="none"/>
                <w:lang w:val="pt-BR"/>
              </w:rPr>
            </w:pPr>
            <w:r>
              <w:rPr>
                <w:rFonts w:hint="default"/>
                <w:color w:val="auto"/>
                <w:highlight w:val="none"/>
                <w:lang w:val="pt-BR"/>
              </w:rPr>
              <w:t>10</w:t>
            </w:r>
          </w:p>
        </w:tc>
        <w:tc>
          <w:tcPr>
            <w:tcW w:w="749" w:type="dxa"/>
            <w:tcBorders>
              <w:tl2br w:val="nil"/>
              <w:tr2bl w:val="nil"/>
            </w:tcBorders>
            <w:noWrap w:val="0"/>
            <w:vAlign w:val="center"/>
          </w:tcPr>
          <w:p w14:paraId="4F2DFF6A">
            <w:pPr>
              <w:pStyle w:val="563"/>
              <w:bidi w:val="0"/>
              <w:rPr>
                <w:rFonts w:hint="default"/>
                <w:color w:val="auto"/>
                <w:highlight w:val="none"/>
                <w:lang w:val="pt-BR"/>
              </w:rPr>
            </w:pPr>
            <w:r>
              <w:rPr>
                <w:rFonts w:hint="default"/>
                <w:color w:val="auto"/>
                <w:highlight w:val="none"/>
                <w:lang w:val="pt-BR"/>
              </w:rPr>
              <w:t>7</w:t>
            </w:r>
          </w:p>
        </w:tc>
        <w:tc>
          <w:tcPr>
            <w:tcW w:w="472" w:type="dxa"/>
            <w:tcBorders>
              <w:tl2br w:val="nil"/>
              <w:tr2bl w:val="nil"/>
            </w:tcBorders>
            <w:noWrap w:val="0"/>
            <w:vAlign w:val="center"/>
          </w:tcPr>
          <w:p w14:paraId="4A1FF7CD">
            <w:pPr>
              <w:pStyle w:val="563"/>
              <w:bidi w:val="0"/>
              <w:rPr>
                <w:rFonts w:hint="default"/>
                <w:color w:val="auto"/>
                <w:highlight w:val="none"/>
                <w:lang w:val="pt-BR"/>
              </w:rPr>
            </w:pPr>
            <w:r>
              <w:rPr>
                <w:rFonts w:hint="default"/>
                <w:color w:val="auto"/>
                <w:highlight w:val="none"/>
                <w:lang w:val="pt-BR"/>
              </w:rPr>
              <w:t>5</w:t>
            </w:r>
          </w:p>
        </w:tc>
        <w:tc>
          <w:tcPr>
            <w:tcW w:w="869" w:type="dxa"/>
            <w:tcBorders>
              <w:tl2br w:val="nil"/>
              <w:tr2bl w:val="nil"/>
            </w:tcBorders>
            <w:noWrap w:val="0"/>
            <w:vAlign w:val="center"/>
          </w:tcPr>
          <w:p w14:paraId="3354C8FE">
            <w:pPr>
              <w:pStyle w:val="563"/>
              <w:bidi w:val="0"/>
              <w:rPr>
                <w:rFonts w:hint="default"/>
                <w:color w:val="auto"/>
                <w:highlight w:val="none"/>
                <w:lang w:val="pt-BR"/>
              </w:rPr>
            </w:pPr>
            <w:r>
              <w:rPr>
                <w:rFonts w:hint="default"/>
                <w:color w:val="auto"/>
                <w:highlight w:val="none"/>
                <w:lang w:val="pt-BR"/>
              </w:rPr>
              <w:t>3</w:t>
            </w:r>
          </w:p>
        </w:tc>
        <w:tc>
          <w:tcPr>
            <w:tcW w:w="729" w:type="dxa"/>
            <w:tcBorders>
              <w:tl2br w:val="nil"/>
              <w:tr2bl w:val="nil"/>
            </w:tcBorders>
            <w:noWrap w:val="0"/>
            <w:vAlign w:val="center"/>
          </w:tcPr>
          <w:p w14:paraId="7C7424D6">
            <w:pPr>
              <w:pStyle w:val="563"/>
              <w:bidi w:val="0"/>
              <w:rPr>
                <w:rFonts w:hint="default"/>
                <w:color w:val="auto"/>
                <w:highlight w:val="none"/>
                <w:lang w:val="pt-BR"/>
              </w:rPr>
            </w:pPr>
            <w:r>
              <w:rPr>
                <w:rFonts w:hint="default"/>
                <w:color w:val="auto"/>
                <w:highlight w:val="none"/>
                <w:lang w:val="pt-BR"/>
              </w:rPr>
              <w:t>4</w:t>
            </w:r>
          </w:p>
        </w:tc>
        <w:tc>
          <w:tcPr>
            <w:tcW w:w="1000" w:type="dxa"/>
            <w:tcBorders>
              <w:tl2br w:val="nil"/>
              <w:tr2bl w:val="nil"/>
            </w:tcBorders>
            <w:noWrap w:val="0"/>
            <w:vAlign w:val="center"/>
          </w:tcPr>
          <w:p w14:paraId="667809CF">
            <w:pPr>
              <w:pStyle w:val="563"/>
              <w:bidi w:val="0"/>
              <w:rPr>
                <w:rFonts w:hint="default"/>
                <w:color w:val="auto"/>
                <w:highlight w:val="none"/>
                <w:lang w:val="pt-BR"/>
              </w:rPr>
            </w:pPr>
            <w:r>
              <w:rPr>
                <w:rFonts w:hint="default"/>
                <w:color w:val="auto"/>
                <w:highlight w:val="none"/>
                <w:lang w:val="pt-BR"/>
              </w:rPr>
              <w:t>4</w:t>
            </w:r>
          </w:p>
        </w:tc>
        <w:tc>
          <w:tcPr>
            <w:tcW w:w="589" w:type="dxa"/>
            <w:tcBorders>
              <w:tl2br w:val="nil"/>
              <w:tr2bl w:val="nil"/>
            </w:tcBorders>
            <w:noWrap w:val="0"/>
            <w:vAlign w:val="center"/>
          </w:tcPr>
          <w:p w14:paraId="7FC22BD9">
            <w:pPr>
              <w:pStyle w:val="563"/>
              <w:bidi w:val="0"/>
              <w:rPr>
                <w:rFonts w:hint="default"/>
                <w:color w:val="auto"/>
                <w:highlight w:val="none"/>
                <w:lang w:val="pt-BR"/>
              </w:rPr>
            </w:pPr>
            <w:r>
              <w:rPr>
                <w:rFonts w:hint="default"/>
                <w:color w:val="auto"/>
                <w:highlight w:val="none"/>
                <w:lang w:val="pt-BR"/>
              </w:rPr>
              <w:t>4</w:t>
            </w:r>
          </w:p>
        </w:tc>
        <w:tc>
          <w:tcPr>
            <w:tcW w:w="1061" w:type="dxa"/>
            <w:tcBorders>
              <w:tl2br w:val="nil"/>
              <w:tr2bl w:val="nil"/>
            </w:tcBorders>
            <w:noWrap w:val="0"/>
            <w:vAlign w:val="center"/>
          </w:tcPr>
          <w:p w14:paraId="4E7B0FB5">
            <w:pPr>
              <w:pStyle w:val="563"/>
              <w:bidi w:val="0"/>
              <w:rPr>
                <w:rFonts w:hint="default"/>
                <w:color w:val="auto"/>
                <w:highlight w:val="none"/>
                <w:lang w:val="pt-BR"/>
              </w:rPr>
            </w:pPr>
            <w:r>
              <w:rPr>
                <w:rFonts w:hint="default"/>
                <w:color w:val="auto"/>
                <w:highlight w:val="none"/>
                <w:lang w:val="pt-BR"/>
              </w:rPr>
              <w:t>3</w:t>
            </w:r>
          </w:p>
        </w:tc>
        <w:tc>
          <w:tcPr>
            <w:tcW w:w="986" w:type="dxa"/>
            <w:tcBorders>
              <w:tl2br w:val="nil"/>
              <w:tr2bl w:val="nil"/>
            </w:tcBorders>
            <w:noWrap w:val="0"/>
            <w:vAlign w:val="center"/>
          </w:tcPr>
          <w:p w14:paraId="5455CBFB">
            <w:pPr>
              <w:pStyle w:val="563"/>
              <w:bidi w:val="0"/>
              <w:rPr>
                <w:rFonts w:hint="default"/>
                <w:color w:val="auto"/>
                <w:highlight w:val="none"/>
                <w:lang w:val="pt-BR"/>
              </w:rPr>
            </w:pPr>
            <w:r>
              <w:rPr>
                <w:rFonts w:hint="default"/>
                <w:color w:val="auto"/>
                <w:highlight w:val="none"/>
                <w:lang w:val="pt-BR"/>
              </w:rPr>
              <w:t>3</w:t>
            </w:r>
          </w:p>
        </w:tc>
        <w:tc>
          <w:tcPr>
            <w:tcW w:w="626" w:type="dxa"/>
            <w:tcBorders>
              <w:tl2br w:val="nil"/>
              <w:tr2bl w:val="nil"/>
            </w:tcBorders>
            <w:noWrap w:val="0"/>
            <w:vAlign w:val="center"/>
          </w:tcPr>
          <w:p w14:paraId="0FFF382E">
            <w:pPr>
              <w:pStyle w:val="563"/>
              <w:bidi w:val="0"/>
              <w:rPr>
                <w:rFonts w:hint="default"/>
                <w:color w:val="auto"/>
                <w:highlight w:val="none"/>
                <w:lang w:val="pt-BR"/>
              </w:rPr>
            </w:pPr>
            <w:r>
              <w:rPr>
                <w:rFonts w:hint="default"/>
                <w:color w:val="auto"/>
                <w:highlight w:val="none"/>
                <w:lang w:val="pt-BR"/>
              </w:rPr>
              <w:t>10</w:t>
            </w:r>
          </w:p>
        </w:tc>
      </w:tr>
      <w:tr w14:paraId="74488E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6C09CCEE">
            <w:pPr>
              <w:pStyle w:val="563"/>
              <w:bidi w:val="0"/>
              <w:rPr>
                <w:rFonts w:hint="default"/>
                <w:color w:val="auto"/>
                <w:highlight w:val="none"/>
                <w:lang w:val="pt-BR"/>
              </w:rPr>
            </w:pPr>
            <w:r>
              <w:rPr>
                <w:rFonts w:hint="default"/>
                <w:color w:val="auto"/>
                <w:highlight w:val="none"/>
                <w:lang w:val="pt-BR"/>
              </w:rPr>
              <w:t>夏季</w:t>
            </w:r>
          </w:p>
        </w:tc>
        <w:tc>
          <w:tcPr>
            <w:tcW w:w="515" w:type="dxa"/>
            <w:tcBorders>
              <w:tl2br w:val="nil"/>
              <w:tr2bl w:val="nil"/>
            </w:tcBorders>
            <w:noWrap w:val="0"/>
            <w:vAlign w:val="center"/>
          </w:tcPr>
          <w:p w14:paraId="726E532B">
            <w:pPr>
              <w:pStyle w:val="563"/>
              <w:bidi w:val="0"/>
              <w:rPr>
                <w:rFonts w:hint="default"/>
                <w:color w:val="auto"/>
                <w:highlight w:val="none"/>
                <w:lang w:val="pt-BR"/>
              </w:rPr>
            </w:pPr>
            <w:r>
              <w:rPr>
                <w:rFonts w:hint="default"/>
                <w:color w:val="auto"/>
                <w:highlight w:val="none"/>
                <w:lang w:val="pt-BR"/>
              </w:rPr>
              <w:t>3</w:t>
            </w:r>
          </w:p>
        </w:tc>
        <w:tc>
          <w:tcPr>
            <w:tcW w:w="864" w:type="dxa"/>
            <w:tcBorders>
              <w:tl2br w:val="nil"/>
              <w:tr2bl w:val="nil"/>
            </w:tcBorders>
            <w:noWrap w:val="0"/>
            <w:vAlign w:val="center"/>
          </w:tcPr>
          <w:p w14:paraId="7446BEC4">
            <w:pPr>
              <w:pStyle w:val="563"/>
              <w:bidi w:val="0"/>
              <w:rPr>
                <w:rFonts w:hint="default"/>
                <w:color w:val="auto"/>
                <w:highlight w:val="none"/>
                <w:lang w:val="pt-BR"/>
              </w:rPr>
            </w:pPr>
            <w:r>
              <w:rPr>
                <w:rFonts w:hint="default"/>
                <w:color w:val="auto"/>
                <w:highlight w:val="none"/>
                <w:lang w:val="pt-BR"/>
              </w:rPr>
              <w:t>3</w:t>
            </w:r>
          </w:p>
        </w:tc>
        <w:tc>
          <w:tcPr>
            <w:tcW w:w="665" w:type="dxa"/>
            <w:tcBorders>
              <w:tl2br w:val="nil"/>
              <w:tr2bl w:val="nil"/>
            </w:tcBorders>
            <w:noWrap w:val="0"/>
            <w:vAlign w:val="center"/>
          </w:tcPr>
          <w:p w14:paraId="7FD093AC">
            <w:pPr>
              <w:pStyle w:val="563"/>
              <w:bidi w:val="0"/>
              <w:rPr>
                <w:rFonts w:hint="default"/>
                <w:color w:val="auto"/>
                <w:highlight w:val="none"/>
                <w:lang w:val="pt-BR"/>
              </w:rPr>
            </w:pPr>
            <w:r>
              <w:rPr>
                <w:rFonts w:hint="default"/>
                <w:color w:val="auto"/>
                <w:highlight w:val="none"/>
                <w:lang w:val="pt-BR"/>
              </w:rPr>
              <w:t>5</w:t>
            </w:r>
          </w:p>
        </w:tc>
        <w:tc>
          <w:tcPr>
            <w:tcW w:w="813" w:type="dxa"/>
            <w:tcBorders>
              <w:tl2br w:val="nil"/>
              <w:tr2bl w:val="nil"/>
            </w:tcBorders>
            <w:noWrap w:val="0"/>
            <w:vAlign w:val="center"/>
          </w:tcPr>
          <w:p w14:paraId="3B6441AE">
            <w:pPr>
              <w:pStyle w:val="563"/>
              <w:bidi w:val="0"/>
              <w:rPr>
                <w:rFonts w:hint="default"/>
                <w:color w:val="auto"/>
                <w:highlight w:val="none"/>
                <w:lang w:val="pt-BR"/>
              </w:rPr>
            </w:pPr>
            <w:r>
              <w:rPr>
                <w:rFonts w:hint="default"/>
                <w:color w:val="auto"/>
                <w:highlight w:val="none"/>
                <w:lang w:val="pt-BR"/>
              </w:rPr>
              <w:t>6</w:t>
            </w:r>
          </w:p>
        </w:tc>
        <w:tc>
          <w:tcPr>
            <w:tcW w:w="626" w:type="dxa"/>
            <w:tcBorders>
              <w:tl2br w:val="nil"/>
              <w:tr2bl w:val="nil"/>
            </w:tcBorders>
            <w:noWrap w:val="0"/>
            <w:vAlign w:val="center"/>
          </w:tcPr>
          <w:p w14:paraId="36284CD2">
            <w:pPr>
              <w:pStyle w:val="563"/>
              <w:bidi w:val="0"/>
              <w:rPr>
                <w:rFonts w:hint="default"/>
                <w:color w:val="auto"/>
                <w:highlight w:val="none"/>
                <w:lang w:val="pt-BR"/>
              </w:rPr>
            </w:pPr>
            <w:r>
              <w:rPr>
                <w:rFonts w:hint="default"/>
                <w:color w:val="auto"/>
                <w:highlight w:val="none"/>
                <w:lang w:val="pt-BR"/>
              </w:rPr>
              <w:t>12</w:t>
            </w:r>
          </w:p>
        </w:tc>
        <w:tc>
          <w:tcPr>
            <w:tcW w:w="755" w:type="dxa"/>
            <w:tcBorders>
              <w:tl2br w:val="nil"/>
              <w:tr2bl w:val="nil"/>
            </w:tcBorders>
            <w:noWrap w:val="0"/>
            <w:vAlign w:val="center"/>
          </w:tcPr>
          <w:p w14:paraId="4747B096">
            <w:pPr>
              <w:pStyle w:val="563"/>
              <w:bidi w:val="0"/>
              <w:rPr>
                <w:rFonts w:hint="default"/>
                <w:color w:val="auto"/>
                <w:highlight w:val="none"/>
                <w:lang w:val="pt-BR"/>
              </w:rPr>
            </w:pPr>
            <w:r>
              <w:rPr>
                <w:rFonts w:hint="default"/>
                <w:color w:val="auto"/>
                <w:highlight w:val="none"/>
                <w:lang w:val="pt-BR"/>
              </w:rPr>
              <w:t>10</w:t>
            </w:r>
          </w:p>
        </w:tc>
        <w:tc>
          <w:tcPr>
            <w:tcW w:w="626" w:type="dxa"/>
            <w:tcBorders>
              <w:tl2br w:val="nil"/>
              <w:tr2bl w:val="nil"/>
            </w:tcBorders>
            <w:noWrap w:val="0"/>
            <w:vAlign w:val="center"/>
          </w:tcPr>
          <w:p w14:paraId="55E9C05E">
            <w:pPr>
              <w:pStyle w:val="563"/>
              <w:bidi w:val="0"/>
              <w:rPr>
                <w:rFonts w:hint="default"/>
                <w:color w:val="auto"/>
                <w:highlight w:val="none"/>
                <w:lang w:val="pt-BR"/>
              </w:rPr>
            </w:pPr>
            <w:r>
              <w:rPr>
                <w:rFonts w:hint="default"/>
                <w:color w:val="auto"/>
                <w:highlight w:val="none"/>
                <w:lang w:val="pt-BR"/>
              </w:rPr>
              <w:t>10</w:t>
            </w:r>
          </w:p>
        </w:tc>
        <w:tc>
          <w:tcPr>
            <w:tcW w:w="749" w:type="dxa"/>
            <w:tcBorders>
              <w:tl2br w:val="nil"/>
              <w:tr2bl w:val="nil"/>
            </w:tcBorders>
            <w:noWrap w:val="0"/>
            <w:vAlign w:val="center"/>
          </w:tcPr>
          <w:p w14:paraId="451BEA15">
            <w:pPr>
              <w:pStyle w:val="563"/>
              <w:bidi w:val="0"/>
              <w:rPr>
                <w:rFonts w:hint="default"/>
                <w:color w:val="auto"/>
                <w:highlight w:val="none"/>
                <w:lang w:val="pt-BR"/>
              </w:rPr>
            </w:pPr>
            <w:r>
              <w:rPr>
                <w:rFonts w:hint="default"/>
                <w:color w:val="auto"/>
                <w:highlight w:val="none"/>
                <w:lang w:val="pt-BR"/>
              </w:rPr>
              <w:t>7</w:t>
            </w:r>
          </w:p>
        </w:tc>
        <w:tc>
          <w:tcPr>
            <w:tcW w:w="472" w:type="dxa"/>
            <w:tcBorders>
              <w:tl2br w:val="nil"/>
              <w:tr2bl w:val="nil"/>
            </w:tcBorders>
            <w:noWrap w:val="0"/>
            <w:vAlign w:val="center"/>
          </w:tcPr>
          <w:p w14:paraId="4EB54913">
            <w:pPr>
              <w:pStyle w:val="563"/>
              <w:bidi w:val="0"/>
              <w:rPr>
                <w:rFonts w:hint="default"/>
                <w:color w:val="auto"/>
                <w:highlight w:val="none"/>
                <w:lang w:val="pt-BR"/>
              </w:rPr>
            </w:pPr>
            <w:r>
              <w:rPr>
                <w:rFonts w:hint="default"/>
                <w:color w:val="auto"/>
                <w:highlight w:val="none"/>
                <w:lang w:val="pt-BR"/>
              </w:rPr>
              <w:t>7</w:t>
            </w:r>
          </w:p>
        </w:tc>
        <w:tc>
          <w:tcPr>
            <w:tcW w:w="869" w:type="dxa"/>
            <w:tcBorders>
              <w:tl2br w:val="nil"/>
              <w:tr2bl w:val="nil"/>
            </w:tcBorders>
            <w:noWrap w:val="0"/>
            <w:vAlign w:val="center"/>
          </w:tcPr>
          <w:p w14:paraId="3DEF8D0D">
            <w:pPr>
              <w:pStyle w:val="563"/>
              <w:bidi w:val="0"/>
              <w:rPr>
                <w:rFonts w:hint="default"/>
                <w:color w:val="auto"/>
                <w:highlight w:val="none"/>
                <w:lang w:val="pt-BR"/>
              </w:rPr>
            </w:pPr>
            <w:r>
              <w:rPr>
                <w:rFonts w:hint="default"/>
                <w:color w:val="auto"/>
                <w:highlight w:val="none"/>
                <w:lang w:val="pt-BR"/>
              </w:rPr>
              <w:t>5</w:t>
            </w:r>
          </w:p>
        </w:tc>
        <w:tc>
          <w:tcPr>
            <w:tcW w:w="729" w:type="dxa"/>
            <w:tcBorders>
              <w:tl2br w:val="nil"/>
              <w:tr2bl w:val="nil"/>
            </w:tcBorders>
            <w:noWrap w:val="0"/>
            <w:vAlign w:val="center"/>
          </w:tcPr>
          <w:p w14:paraId="4AD6E0DE">
            <w:pPr>
              <w:pStyle w:val="563"/>
              <w:bidi w:val="0"/>
              <w:rPr>
                <w:rFonts w:hint="default"/>
                <w:color w:val="auto"/>
                <w:highlight w:val="none"/>
                <w:lang w:val="pt-BR"/>
              </w:rPr>
            </w:pPr>
            <w:r>
              <w:rPr>
                <w:rFonts w:hint="default"/>
                <w:color w:val="auto"/>
                <w:highlight w:val="none"/>
                <w:lang w:val="pt-BR"/>
              </w:rPr>
              <w:t>5</w:t>
            </w:r>
          </w:p>
        </w:tc>
        <w:tc>
          <w:tcPr>
            <w:tcW w:w="1000" w:type="dxa"/>
            <w:tcBorders>
              <w:tl2br w:val="nil"/>
              <w:tr2bl w:val="nil"/>
            </w:tcBorders>
            <w:noWrap w:val="0"/>
            <w:vAlign w:val="center"/>
          </w:tcPr>
          <w:p w14:paraId="79F4B6B8">
            <w:pPr>
              <w:pStyle w:val="563"/>
              <w:bidi w:val="0"/>
              <w:rPr>
                <w:rFonts w:hint="default"/>
                <w:color w:val="auto"/>
                <w:highlight w:val="none"/>
                <w:lang w:val="pt-BR"/>
              </w:rPr>
            </w:pPr>
            <w:r>
              <w:rPr>
                <w:rFonts w:hint="default"/>
                <w:color w:val="auto"/>
                <w:highlight w:val="none"/>
                <w:lang w:val="pt-BR"/>
              </w:rPr>
              <w:t>4</w:t>
            </w:r>
          </w:p>
        </w:tc>
        <w:tc>
          <w:tcPr>
            <w:tcW w:w="589" w:type="dxa"/>
            <w:tcBorders>
              <w:tl2br w:val="nil"/>
              <w:tr2bl w:val="nil"/>
            </w:tcBorders>
            <w:noWrap w:val="0"/>
            <w:vAlign w:val="center"/>
          </w:tcPr>
          <w:p w14:paraId="3B4D526A">
            <w:pPr>
              <w:pStyle w:val="563"/>
              <w:bidi w:val="0"/>
              <w:rPr>
                <w:rFonts w:hint="default"/>
                <w:color w:val="auto"/>
                <w:highlight w:val="none"/>
                <w:lang w:val="pt-BR"/>
              </w:rPr>
            </w:pPr>
            <w:r>
              <w:rPr>
                <w:rFonts w:hint="default"/>
                <w:color w:val="auto"/>
                <w:highlight w:val="none"/>
                <w:lang w:val="pt-BR"/>
              </w:rPr>
              <w:t>3</w:t>
            </w:r>
          </w:p>
        </w:tc>
        <w:tc>
          <w:tcPr>
            <w:tcW w:w="1061" w:type="dxa"/>
            <w:tcBorders>
              <w:tl2br w:val="nil"/>
              <w:tr2bl w:val="nil"/>
            </w:tcBorders>
            <w:noWrap w:val="0"/>
            <w:vAlign w:val="center"/>
          </w:tcPr>
          <w:p w14:paraId="3D59EC51">
            <w:pPr>
              <w:pStyle w:val="563"/>
              <w:bidi w:val="0"/>
              <w:rPr>
                <w:rFonts w:hint="default"/>
                <w:color w:val="auto"/>
                <w:highlight w:val="none"/>
                <w:lang w:val="pt-BR"/>
              </w:rPr>
            </w:pPr>
            <w:r>
              <w:rPr>
                <w:rFonts w:hint="default"/>
                <w:color w:val="auto"/>
                <w:highlight w:val="none"/>
                <w:lang w:val="pt-BR"/>
              </w:rPr>
              <w:t>3</w:t>
            </w:r>
          </w:p>
        </w:tc>
        <w:tc>
          <w:tcPr>
            <w:tcW w:w="986" w:type="dxa"/>
            <w:tcBorders>
              <w:tl2br w:val="nil"/>
              <w:tr2bl w:val="nil"/>
            </w:tcBorders>
            <w:noWrap w:val="0"/>
            <w:vAlign w:val="center"/>
          </w:tcPr>
          <w:p w14:paraId="241961E9">
            <w:pPr>
              <w:pStyle w:val="563"/>
              <w:bidi w:val="0"/>
              <w:rPr>
                <w:rFonts w:hint="default"/>
                <w:color w:val="auto"/>
                <w:highlight w:val="none"/>
                <w:lang w:val="pt-BR"/>
              </w:rPr>
            </w:pPr>
            <w:r>
              <w:rPr>
                <w:rFonts w:hint="default"/>
                <w:color w:val="auto"/>
                <w:highlight w:val="none"/>
                <w:lang w:val="pt-BR"/>
              </w:rPr>
              <w:t>2</w:t>
            </w:r>
          </w:p>
        </w:tc>
        <w:tc>
          <w:tcPr>
            <w:tcW w:w="626" w:type="dxa"/>
            <w:tcBorders>
              <w:tl2br w:val="nil"/>
              <w:tr2bl w:val="nil"/>
            </w:tcBorders>
            <w:noWrap w:val="0"/>
            <w:vAlign w:val="center"/>
          </w:tcPr>
          <w:p w14:paraId="17BC5B65">
            <w:pPr>
              <w:pStyle w:val="563"/>
              <w:bidi w:val="0"/>
              <w:rPr>
                <w:rFonts w:hint="default"/>
                <w:color w:val="auto"/>
                <w:highlight w:val="none"/>
                <w:lang w:val="pt-BR"/>
              </w:rPr>
            </w:pPr>
            <w:r>
              <w:rPr>
                <w:rFonts w:hint="default"/>
                <w:color w:val="auto"/>
                <w:highlight w:val="none"/>
                <w:lang w:val="pt-BR"/>
              </w:rPr>
              <w:t>11</w:t>
            </w:r>
          </w:p>
        </w:tc>
      </w:tr>
      <w:tr w14:paraId="240DE9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56F14899">
            <w:pPr>
              <w:pStyle w:val="563"/>
              <w:bidi w:val="0"/>
              <w:rPr>
                <w:rFonts w:hint="default"/>
                <w:color w:val="auto"/>
                <w:highlight w:val="none"/>
                <w:lang w:val="pt-BR"/>
              </w:rPr>
            </w:pPr>
            <w:r>
              <w:rPr>
                <w:rFonts w:hint="default"/>
                <w:color w:val="auto"/>
                <w:highlight w:val="none"/>
                <w:lang w:val="pt-BR"/>
              </w:rPr>
              <w:t>秋季</w:t>
            </w:r>
          </w:p>
        </w:tc>
        <w:tc>
          <w:tcPr>
            <w:tcW w:w="515" w:type="dxa"/>
            <w:tcBorders>
              <w:tl2br w:val="nil"/>
              <w:tr2bl w:val="nil"/>
            </w:tcBorders>
            <w:noWrap w:val="0"/>
            <w:vAlign w:val="center"/>
          </w:tcPr>
          <w:p w14:paraId="75F09547">
            <w:pPr>
              <w:pStyle w:val="563"/>
              <w:bidi w:val="0"/>
              <w:rPr>
                <w:rFonts w:hint="default"/>
                <w:color w:val="auto"/>
                <w:highlight w:val="none"/>
                <w:lang w:val="pt-BR"/>
              </w:rPr>
            </w:pPr>
            <w:r>
              <w:rPr>
                <w:rFonts w:hint="default"/>
                <w:color w:val="auto"/>
                <w:highlight w:val="none"/>
                <w:lang w:val="pt-BR"/>
              </w:rPr>
              <w:t>5</w:t>
            </w:r>
          </w:p>
        </w:tc>
        <w:tc>
          <w:tcPr>
            <w:tcW w:w="864" w:type="dxa"/>
            <w:tcBorders>
              <w:tl2br w:val="nil"/>
              <w:tr2bl w:val="nil"/>
            </w:tcBorders>
            <w:noWrap w:val="0"/>
            <w:vAlign w:val="center"/>
          </w:tcPr>
          <w:p w14:paraId="5AE8FAD0">
            <w:pPr>
              <w:pStyle w:val="563"/>
              <w:bidi w:val="0"/>
              <w:rPr>
                <w:rFonts w:hint="default"/>
                <w:color w:val="auto"/>
                <w:highlight w:val="none"/>
                <w:lang w:val="pt-BR"/>
              </w:rPr>
            </w:pPr>
            <w:r>
              <w:rPr>
                <w:rFonts w:hint="default"/>
                <w:color w:val="auto"/>
                <w:highlight w:val="none"/>
                <w:lang w:val="pt-BR"/>
              </w:rPr>
              <w:t>4</w:t>
            </w:r>
          </w:p>
        </w:tc>
        <w:tc>
          <w:tcPr>
            <w:tcW w:w="665" w:type="dxa"/>
            <w:tcBorders>
              <w:tl2br w:val="nil"/>
              <w:tr2bl w:val="nil"/>
            </w:tcBorders>
            <w:noWrap w:val="0"/>
            <w:vAlign w:val="center"/>
          </w:tcPr>
          <w:p w14:paraId="6C0E588E">
            <w:pPr>
              <w:pStyle w:val="563"/>
              <w:bidi w:val="0"/>
              <w:rPr>
                <w:rFonts w:hint="default"/>
                <w:color w:val="auto"/>
                <w:highlight w:val="none"/>
                <w:lang w:val="pt-BR"/>
              </w:rPr>
            </w:pPr>
            <w:r>
              <w:rPr>
                <w:rFonts w:hint="default"/>
                <w:color w:val="auto"/>
                <w:highlight w:val="none"/>
                <w:lang w:val="pt-BR"/>
              </w:rPr>
              <w:t>8</w:t>
            </w:r>
          </w:p>
        </w:tc>
        <w:tc>
          <w:tcPr>
            <w:tcW w:w="813" w:type="dxa"/>
            <w:tcBorders>
              <w:tl2br w:val="nil"/>
              <w:tr2bl w:val="nil"/>
            </w:tcBorders>
            <w:noWrap w:val="0"/>
            <w:vAlign w:val="center"/>
          </w:tcPr>
          <w:p w14:paraId="420E11D8">
            <w:pPr>
              <w:pStyle w:val="563"/>
              <w:bidi w:val="0"/>
              <w:rPr>
                <w:rFonts w:hint="default"/>
                <w:color w:val="auto"/>
                <w:highlight w:val="none"/>
                <w:lang w:val="pt-BR"/>
              </w:rPr>
            </w:pPr>
            <w:r>
              <w:rPr>
                <w:rFonts w:hint="default"/>
                <w:color w:val="auto"/>
                <w:highlight w:val="none"/>
                <w:lang w:val="pt-BR"/>
              </w:rPr>
              <w:t>8</w:t>
            </w:r>
          </w:p>
        </w:tc>
        <w:tc>
          <w:tcPr>
            <w:tcW w:w="626" w:type="dxa"/>
            <w:tcBorders>
              <w:tl2br w:val="nil"/>
              <w:tr2bl w:val="nil"/>
            </w:tcBorders>
            <w:noWrap w:val="0"/>
            <w:vAlign w:val="center"/>
          </w:tcPr>
          <w:p w14:paraId="62020356">
            <w:pPr>
              <w:pStyle w:val="563"/>
              <w:bidi w:val="0"/>
              <w:rPr>
                <w:rFonts w:hint="default"/>
                <w:color w:val="auto"/>
                <w:highlight w:val="none"/>
                <w:lang w:val="pt-BR"/>
              </w:rPr>
            </w:pPr>
            <w:r>
              <w:rPr>
                <w:rFonts w:hint="default"/>
                <w:color w:val="auto"/>
                <w:highlight w:val="none"/>
                <w:lang w:val="pt-BR"/>
              </w:rPr>
              <w:t>12</w:t>
            </w:r>
          </w:p>
        </w:tc>
        <w:tc>
          <w:tcPr>
            <w:tcW w:w="755" w:type="dxa"/>
            <w:tcBorders>
              <w:tl2br w:val="nil"/>
              <w:tr2bl w:val="nil"/>
            </w:tcBorders>
            <w:noWrap w:val="0"/>
            <w:vAlign w:val="center"/>
          </w:tcPr>
          <w:p w14:paraId="6D2EED17">
            <w:pPr>
              <w:pStyle w:val="563"/>
              <w:bidi w:val="0"/>
              <w:rPr>
                <w:rFonts w:hint="default"/>
                <w:color w:val="auto"/>
                <w:highlight w:val="none"/>
                <w:lang w:val="pt-BR"/>
              </w:rPr>
            </w:pPr>
            <w:r>
              <w:rPr>
                <w:rFonts w:hint="default"/>
                <w:color w:val="auto"/>
                <w:highlight w:val="none"/>
                <w:lang w:val="pt-BR"/>
              </w:rPr>
              <w:t>9</w:t>
            </w:r>
          </w:p>
        </w:tc>
        <w:tc>
          <w:tcPr>
            <w:tcW w:w="626" w:type="dxa"/>
            <w:tcBorders>
              <w:tl2br w:val="nil"/>
              <w:tr2bl w:val="nil"/>
            </w:tcBorders>
            <w:noWrap w:val="0"/>
            <w:vAlign w:val="center"/>
          </w:tcPr>
          <w:p w14:paraId="08E9D2E0">
            <w:pPr>
              <w:pStyle w:val="563"/>
              <w:bidi w:val="0"/>
              <w:rPr>
                <w:rFonts w:hint="default"/>
                <w:color w:val="auto"/>
                <w:highlight w:val="none"/>
                <w:lang w:val="pt-BR"/>
              </w:rPr>
            </w:pPr>
            <w:r>
              <w:rPr>
                <w:rFonts w:hint="default"/>
                <w:color w:val="auto"/>
                <w:highlight w:val="none"/>
                <w:lang w:val="pt-BR"/>
              </w:rPr>
              <w:t>6</w:t>
            </w:r>
          </w:p>
        </w:tc>
        <w:tc>
          <w:tcPr>
            <w:tcW w:w="749" w:type="dxa"/>
            <w:tcBorders>
              <w:tl2br w:val="nil"/>
              <w:tr2bl w:val="nil"/>
            </w:tcBorders>
            <w:noWrap w:val="0"/>
            <w:vAlign w:val="center"/>
          </w:tcPr>
          <w:p w14:paraId="47B705D4">
            <w:pPr>
              <w:pStyle w:val="563"/>
              <w:bidi w:val="0"/>
              <w:rPr>
                <w:rFonts w:hint="default"/>
                <w:color w:val="auto"/>
                <w:highlight w:val="none"/>
                <w:lang w:val="pt-BR"/>
              </w:rPr>
            </w:pPr>
            <w:r>
              <w:rPr>
                <w:rFonts w:hint="default"/>
                <w:color w:val="auto"/>
                <w:highlight w:val="none"/>
                <w:lang w:val="pt-BR"/>
              </w:rPr>
              <w:t>4</w:t>
            </w:r>
          </w:p>
        </w:tc>
        <w:tc>
          <w:tcPr>
            <w:tcW w:w="472" w:type="dxa"/>
            <w:tcBorders>
              <w:tl2br w:val="nil"/>
              <w:tr2bl w:val="nil"/>
            </w:tcBorders>
            <w:noWrap w:val="0"/>
            <w:vAlign w:val="center"/>
          </w:tcPr>
          <w:p w14:paraId="3989E69C">
            <w:pPr>
              <w:pStyle w:val="563"/>
              <w:bidi w:val="0"/>
              <w:rPr>
                <w:rFonts w:hint="default"/>
                <w:color w:val="auto"/>
                <w:highlight w:val="none"/>
                <w:lang w:val="pt-BR"/>
              </w:rPr>
            </w:pPr>
            <w:r>
              <w:rPr>
                <w:rFonts w:hint="default"/>
                <w:color w:val="auto"/>
                <w:highlight w:val="none"/>
                <w:lang w:val="pt-BR"/>
              </w:rPr>
              <w:t>2</w:t>
            </w:r>
          </w:p>
        </w:tc>
        <w:tc>
          <w:tcPr>
            <w:tcW w:w="869" w:type="dxa"/>
            <w:tcBorders>
              <w:tl2br w:val="nil"/>
              <w:tr2bl w:val="nil"/>
            </w:tcBorders>
            <w:noWrap w:val="0"/>
            <w:vAlign w:val="center"/>
          </w:tcPr>
          <w:p w14:paraId="41509DC2">
            <w:pPr>
              <w:pStyle w:val="563"/>
              <w:bidi w:val="0"/>
              <w:rPr>
                <w:rFonts w:hint="default"/>
                <w:color w:val="auto"/>
                <w:highlight w:val="none"/>
                <w:lang w:val="pt-BR"/>
              </w:rPr>
            </w:pPr>
            <w:r>
              <w:rPr>
                <w:rFonts w:hint="default"/>
                <w:color w:val="auto"/>
                <w:highlight w:val="none"/>
                <w:lang w:val="pt-BR"/>
              </w:rPr>
              <w:t>1</w:t>
            </w:r>
          </w:p>
        </w:tc>
        <w:tc>
          <w:tcPr>
            <w:tcW w:w="729" w:type="dxa"/>
            <w:tcBorders>
              <w:tl2br w:val="nil"/>
              <w:tr2bl w:val="nil"/>
            </w:tcBorders>
            <w:noWrap w:val="0"/>
            <w:vAlign w:val="center"/>
          </w:tcPr>
          <w:p w14:paraId="3BDD919F">
            <w:pPr>
              <w:pStyle w:val="563"/>
              <w:bidi w:val="0"/>
              <w:rPr>
                <w:rFonts w:hint="default"/>
                <w:color w:val="auto"/>
                <w:highlight w:val="none"/>
                <w:lang w:val="pt-BR"/>
              </w:rPr>
            </w:pPr>
            <w:r>
              <w:rPr>
                <w:rFonts w:hint="default"/>
                <w:color w:val="auto"/>
                <w:highlight w:val="none"/>
                <w:lang w:val="pt-BR"/>
              </w:rPr>
              <w:t>3</w:t>
            </w:r>
          </w:p>
        </w:tc>
        <w:tc>
          <w:tcPr>
            <w:tcW w:w="1000" w:type="dxa"/>
            <w:tcBorders>
              <w:tl2br w:val="nil"/>
              <w:tr2bl w:val="nil"/>
            </w:tcBorders>
            <w:noWrap w:val="0"/>
            <w:vAlign w:val="center"/>
          </w:tcPr>
          <w:p w14:paraId="5087E246">
            <w:pPr>
              <w:pStyle w:val="563"/>
              <w:bidi w:val="0"/>
              <w:rPr>
                <w:rFonts w:hint="default"/>
                <w:color w:val="auto"/>
                <w:highlight w:val="none"/>
                <w:lang w:val="pt-BR"/>
              </w:rPr>
            </w:pPr>
            <w:r>
              <w:rPr>
                <w:rFonts w:hint="default"/>
                <w:color w:val="auto"/>
                <w:highlight w:val="none"/>
                <w:lang w:val="pt-BR"/>
              </w:rPr>
              <w:t>3</w:t>
            </w:r>
          </w:p>
        </w:tc>
        <w:tc>
          <w:tcPr>
            <w:tcW w:w="589" w:type="dxa"/>
            <w:tcBorders>
              <w:tl2br w:val="nil"/>
              <w:tr2bl w:val="nil"/>
            </w:tcBorders>
            <w:noWrap w:val="0"/>
            <w:vAlign w:val="center"/>
          </w:tcPr>
          <w:p w14:paraId="57E4C588">
            <w:pPr>
              <w:pStyle w:val="563"/>
              <w:bidi w:val="0"/>
              <w:rPr>
                <w:rFonts w:hint="default"/>
                <w:color w:val="auto"/>
                <w:highlight w:val="none"/>
                <w:lang w:val="pt-BR"/>
              </w:rPr>
            </w:pPr>
            <w:r>
              <w:rPr>
                <w:rFonts w:hint="default"/>
                <w:color w:val="auto"/>
                <w:highlight w:val="none"/>
                <w:lang w:val="pt-BR"/>
              </w:rPr>
              <w:t>3</w:t>
            </w:r>
          </w:p>
        </w:tc>
        <w:tc>
          <w:tcPr>
            <w:tcW w:w="1061" w:type="dxa"/>
            <w:tcBorders>
              <w:tl2br w:val="nil"/>
              <w:tr2bl w:val="nil"/>
            </w:tcBorders>
            <w:noWrap w:val="0"/>
            <w:vAlign w:val="center"/>
          </w:tcPr>
          <w:p w14:paraId="6350C2B1">
            <w:pPr>
              <w:pStyle w:val="563"/>
              <w:bidi w:val="0"/>
              <w:rPr>
                <w:rFonts w:hint="default"/>
                <w:color w:val="auto"/>
                <w:highlight w:val="none"/>
                <w:lang w:val="pt-BR"/>
              </w:rPr>
            </w:pPr>
            <w:r>
              <w:rPr>
                <w:rFonts w:hint="default"/>
                <w:color w:val="auto"/>
                <w:highlight w:val="none"/>
                <w:lang w:val="pt-BR"/>
              </w:rPr>
              <w:t>3</w:t>
            </w:r>
          </w:p>
        </w:tc>
        <w:tc>
          <w:tcPr>
            <w:tcW w:w="986" w:type="dxa"/>
            <w:tcBorders>
              <w:tl2br w:val="nil"/>
              <w:tr2bl w:val="nil"/>
            </w:tcBorders>
            <w:noWrap w:val="0"/>
            <w:vAlign w:val="center"/>
          </w:tcPr>
          <w:p w14:paraId="05F62FA3">
            <w:pPr>
              <w:pStyle w:val="563"/>
              <w:bidi w:val="0"/>
              <w:rPr>
                <w:rFonts w:hint="default"/>
                <w:color w:val="auto"/>
                <w:highlight w:val="none"/>
                <w:lang w:val="pt-BR"/>
              </w:rPr>
            </w:pPr>
            <w:r>
              <w:rPr>
                <w:rFonts w:hint="default"/>
                <w:color w:val="auto"/>
                <w:highlight w:val="none"/>
                <w:lang w:val="pt-BR"/>
              </w:rPr>
              <w:t>4</w:t>
            </w:r>
          </w:p>
        </w:tc>
        <w:tc>
          <w:tcPr>
            <w:tcW w:w="626" w:type="dxa"/>
            <w:tcBorders>
              <w:tl2br w:val="nil"/>
              <w:tr2bl w:val="nil"/>
            </w:tcBorders>
            <w:noWrap w:val="0"/>
            <w:vAlign w:val="center"/>
          </w:tcPr>
          <w:p w14:paraId="32917381">
            <w:pPr>
              <w:pStyle w:val="563"/>
              <w:bidi w:val="0"/>
              <w:rPr>
                <w:rFonts w:hint="default"/>
                <w:color w:val="auto"/>
                <w:highlight w:val="none"/>
                <w:lang w:val="pt-BR"/>
              </w:rPr>
            </w:pPr>
            <w:r>
              <w:rPr>
                <w:rFonts w:hint="default"/>
                <w:color w:val="auto"/>
                <w:highlight w:val="none"/>
                <w:lang w:val="pt-BR"/>
              </w:rPr>
              <w:t>18</w:t>
            </w:r>
          </w:p>
        </w:tc>
      </w:tr>
      <w:tr w14:paraId="6C84B8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51041CE0">
            <w:pPr>
              <w:pStyle w:val="563"/>
              <w:bidi w:val="0"/>
              <w:rPr>
                <w:rFonts w:hint="default"/>
                <w:color w:val="auto"/>
                <w:highlight w:val="none"/>
                <w:lang w:val="pt-BR"/>
              </w:rPr>
            </w:pPr>
            <w:r>
              <w:rPr>
                <w:rFonts w:hint="default"/>
                <w:color w:val="auto"/>
                <w:highlight w:val="none"/>
                <w:lang w:val="pt-BR"/>
              </w:rPr>
              <w:t>冬季</w:t>
            </w:r>
          </w:p>
        </w:tc>
        <w:tc>
          <w:tcPr>
            <w:tcW w:w="515" w:type="dxa"/>
            <w:tcBorders>
              <w:tl2br w:val="nil"/>
              <w:tr2bl w:val="nil"/>
            </w:tcBorders>
            <w:noWrap w:val="0"/>
            <w:vAlign w:val="center"/>
          </w:tcPr>
          <w:p w14:paraId="49CABC21">
            <w:pPr>
              <w:pStyle w:val="563"/>
              <w:bidi w:val="0"/>
              <w:rPr>
                <w:rFonts w:hint="default"/>
                <w:color w:val="auto"/>
                <w:highlight w:val="none"/>
                <w:lang w:val="pt-BR"/>
              </w:rPr>
            </w:pPr>
            <w:r>
              <w:rPr>
                <w:rFonts w:hint="default"/>
                <w:color w:val="auto"/>
                <w:highlight w:val="none"/>
                <w:lang w:val="pt-BR"/>
              </w:rPr>
              <w:t>5</w:t>
            </w:r>
          </w:p>
        </w:tc>
        <w:tc>
          <w:tcPr>
            <w:tcW w:w="864" w:type="dxa"/>
            <w:tcBorders>
              <w:tl2br w:val="nil"/>
              <w:tr2bl w:val="nil"/>
            </w:tcBorders>
            <w:noWrap w:val="0"/>
            <w:vAlign w:val="center"/>
          </w:tcPr>
          <w:p w14:paraId="2D4BC841">
            <w:pPr>
              <w:pStyle w:val="563"/>
              <w:bidi w:val="0"/>
              <w:rPr>
                <w:rFonts w:hint="default"/>
                <w:color w:val="auto"/>
                <w:highlight w:val="none"/>
                <w:lang w:val="pt-BR"/>
              </w:rPr>
            </w:pPr>
            <w:r>
              <w:rPr>
                <w:rFonts w:hint="default"/>
                <w:color w:val="auto"/>
                <w:highlight w:val="none"/>
                <w:lang w:val="pt-BR"/>
              </w:rPr>
              <w:t>4</w:t>
            </w:r>
          </w:p>
        </w:tc>
        <w:tc>
          <w:tcPr>
            <w:tcW w:w="665" w:type="dxa"/>
            <w:tcBorders>
              <w:tl2br w:val="nil"/>
              <w:tr2bl w:val="nil"/>
            </w:tcBorders>
            <w:noWrap w:val="0"/>
            <w:vAlign w:val="center"/>
          </w:tcPr>
          <w:p w14:paraId="519E2B63">
            <w:pPr>
              <w:pStyle w:val="563"/>
              <w:bidi w:val="0"/>
              <w:rPr>
                <w:rFonts w:hint="default"/>
                <w:color w:val="auto"/>
                <w:highlight w:val="none"/>
                <w:lang w:val="pt-BR"/>
              </w:rPr>
            </w:pPr>
            <w:r>
              <w:rPr>
                <w:rFonts w:hint="default"/>
                <w:color w:val="auto"/>
                <w:highlight w:val="none"/>
                <w:lang w:val="pt-BR"/>
              </w:rPr>
              <w:t>7</w:t>
            </w:r>
          </w:p>
        </w:tc>
        <w:tc>
          <w:tcPr>
            <w:tcW w:w="813" w:type="dxa"/>
            <w:tcBorders>
              <w:tl2br w:val="nil"/>
              <w:tr2bl w:val="nil"/>
            </w:tcBorders>
            <w:noWrap w:val="0"/>
            <w:vAlign w:val="center"/>
          </w:tcPr>
          <w:p w14:paraId="6CA084C3">
            <w:pPr>
              <w:pStyle w:val="563"/>
              <w:bidi w:val="0"/>
              <w:rPr>
                <w:rFonts w:hint="default"/>
                <w:color w:val="auto"/>
                <w:highlight w:val="none"/>
                <w:lang w:val="pt-BR"/>
              </w:rPr>
            </w:pPr>
            <w:r>
              <w:rPr>
                <w:rFonts w:hint="default"/>
                <w:color w:val="auto"/>
                <w:highlight w:val="none"/>
                <w:lang w:val="pt-BR"/>
              </w:rPr>
              <w:t>8</w:t>
            </w:r>
          </w:p>
        </w:tc>
        <w:tc>
          <w:tcPr>
            <w:tcW w:w="626" w:type="dxa"/>
            <w:tcBorders>
              <w:tl2br w:val="nil"/>
              <w:tr2bl w:val="nil"/>
            </w:tcBorders>
            <w:noWrap w:val="0"/>
            <w:vAlign w:val="center"/>
          </w:tcPr>
          <w:p w14:paraId="284D85CA">
            <w:pPr>
              <w:pStyle w:val="563"/>
              <w:bidi w:val="0"/>
              <w:rPr>
                <w:rFonts w:hint="default"/>
                <w:color w:val="auto"/>
                <w:highlight w:val="none"/>
                <w:lang w:val="pt-BR"/>
              </w:rPr>
            </w:pPr>
            <w:r>
              <w:rPr>
                <w:rFonts w:hint="default"/>
                <w:color w:val="auto"/>
                <w:highlight w:val="none"/>
                <w:lang w:val="pt-BR"/>
              </w:rPr>
              <w:t>11</w:t>
            </w:r>
          </w:p>
        </w:tc>
        <w:tc>
          <w:tcPr>
            <w:tcW w:w="755" w:type="dxa"/>
            <w:tcBorders>
              <w:tl2br w:val="nil"/>
              <w:tr2bl w:val="nil"/>
            </w:tcBorders>
            <w:noWrap w:val="0"/>
            <w:vAlign w:val="center"/>
          </w:tcPr>
          <w:p w14:paraId="7D215F3E">
            <w:pPr>
              <w:pStyle w:val="563"/>
              <w:bidi w:val="0"/>
              <w:rPr>
                <w:rFonts w:hint="default"/>
                <w:color w:val="auto"/>
                <w:highlight w:val="none"/>
                <w:lang w:val="pt-BR"/>
              </w:rPr>
            </w:pPr>
            <w:r>
              <w:rPr>
                <w:rFonts w:hint="default"/>
                <w:color w:val="auto"/>
                <w:highlight w:val="none"/>
                <w:lang w:val="pt-BR"/>
              </w:rPr>
              <w:t>9</w:t>
            </w:r>
          </w:p>
        </w:tc>
        <w:tc>
          <w:tcPr>
            <w:tcW w:w="626" w:type="dxa"/>
            <w:tcBorders>
              <w:tl2br w:val="nil"/>
              <w:tr2bl w:val="nil"/>
            </w:tcBorders>
            <w:noWrap w:val="0"/>
            <w:vAlign w:val="center"/>
          </w:tcPr>
          <w:p w14:paraId="5C6AA68A">
            <w:pPr>
              <w:pStyle w:val="563"/>
              <w:bidi w:val="0"/>
              <w:rPr>
                <w:rFonts w:hint="default"/>
                <w:color w:val="auto"/>
                <w:highlight w:val="none"/>
                <w:lang w:val="pt-BR"/>
              </w:rPr>
            </w:pPr>
            <w:r>
              <w:rPr>
                <w:rFonts w:hint="default"/>
                <w:color w:val="auto"/>
                <w:highlight w:val="none"/>
                <w:lang w:val="pt-BR"/>
              </w:rPr>
              <w:t>7</w:t>
            </w:r>
          </w:p>
        </w:tc>
        <w:tc>
          <w:tcPr>
            <w:tcW w:w="749" w:type="dxa"/>
            <w:tcBorders>
              <w:tl2br w:val="nil"/>
              <w:tr2bl w:val="nil"/>
            </w:tcBorders>
            <w:noWrap w:val="0"/>
            <w:vAlign w:val="center"/>
          </w:tcPr>
          <w:p w14:paraId="1B1E780A">
            <w:pPr>
              <w:pStyle w:val="563"/>
              <w:bidi w:val="0"/>
              <w:rPr>
                <w:rFonts w:hint="default"/>
                <w:color w:val="auto"/>
                <w:highlight w:val="none"/>
                <w:lang w:val="pt-BR"/>
              </w:rPr>
            </w:pPr>
            <w:r>
              <w:rPr>
                <w:rFonts w:hint="default"/>
                <w:color w:val="auto"/>
                <w:highlight w:val="none"/>
                <w:lang w:val="pt-BR"/>
              </w:rPr>
              <w:t>4</w:t>
            </w:r>
          </w:p>
        </w:tc>
        <w:tc>
          <w:tcPr>
            <w:tcW w:w="472" w:type="dxa"/>
            <w:tcBorders>
              <w:tl2br w:val="nil"/>
              <w:tr2bl w:val="nil"/>
            </w:tcBorders>
            <w:noWrap w:val="0"/>
            <w:vAlign w:val="center"/>
          </w:tcPr>
          <w:p w14:paraId="45A980DB">
            <w:pPr>
              <w:pStyle w:val="563"/>
              <w:bidi w:val="0"/>
              <w:rPr>
                <w:rFonts w:hint="default"/>
                <w:color w:val="auto"/>
                <w:highlight w:val="none"/>
                <w:lang w:val="pt-BR"/>
              </w:rPr>
            </w:pPr>
            <w:r>
              <w:rPr>
                <w:rFonts w:hint="default"/>
                <w:color w:val="auto"/>
                <w:highlight w:val="none"/>
                <w:lang w:val="pt-BR"/>
              </w:rPr>
              <w:t>3</w:t>
            </w:r>
          </w:p>
        </w:tc>
        <w:tc>
          <w:tcPr>
            <w:tcW w:w="869" w:type="dxa"/>
            <w:tcBorders>
              <w:tl2br w:val="nil"/>
              <w:tr2bl w:val="nil"/>
            </w:tcBorders>
            <w:noWrap w:val="0"/>
            <w:vAlign w:val="center"/>
          </w:tcPr>
          <w:p w14:paraId="0FE28B50">
            <w:pPr>
              <w:pStyle w:val="563"/>
              <w:bidi w:val="0"/>
              <w:rPr>
                <w:rFonts w:hint="default"/>
                <w:color w:val="auto"/>
                <w:highlight w:val="none"/>
                <w:lang w:val="pt-BR"/>
              </w:rPr>
            </w:pPr>
            <w:r>
              <w:rPr>
                <w:rFonts w:hint="default"/>
                <w:color w:val="auto"/>
                <w:highlight w:val="none"/>
                <w:lang w:val="pt-BR"/>
              </w:rPr>
              <w:t>2</w:t>
            </w:r>
          </w:p>
        </w:tc>
        <w:tc>
          <w:tcPr>
            <w:tcW w:w="729" w:type="dxa"/>
            <w:tcBorders>
              <w:tl2br w:val="nil"/>
              <w:tr2bl w:val="nil"/>
            </w:tcBorders>
            <w:noWrap w:val="0"/>
            <w:vAlign w:val="center"/>
          </w:tcPr>
          <w:p w14:paraId="0D44E96F">
            <w:pPr>
              <w:pStyle w:val="563"/>
              <w:bidi w:val="0"/>
              <w:rPr>
                <w:rFonts w:hint="default"/>
                <w:color w:val="auto"/>
                <w:highlight w:val="none"/>
                <w:lang w:val="pt-BR"/>
              </w:rPr>
            </w:pPr>
            <w:r>
              <w:rPr>
                <w:rFonts w:hint="default"/>
                <w:color w:val="auto"/>
                <w:highlight w:val="none"/>
                <w:lang w:val="pt-BR"/>
              </w:rPr>
              <w:t>4</w:t>
            </w:r>
          </w:p>
        </w:tc>
        <w:tc>
          <w:tcPr>
            <w:tcW w:w="1000" w:type="dxa"/>
            <w:tcBorders>
              <w:tl2br w:val="nil"/>
              <w:tr2bl w:val="nil"/>
            </w:tcBorders>
            <w:noWrap w:val="0"/>
            <w:vAlign w:val="center"/>
          </w:tcPr>
          <w:p w14:paraId="6C943771">
            <w:pPr>
              <w:pStyle w:val="563"/>
              <w:bidi w:val="0"/>
              <w:rPr>
                <w:rFonts w:hint="default"/>
                <w:color w:val="auto"/>
                <w:highlight w:val="none"/>
                <w:lang w:val="pt-BR"/>
              </w:rPr>
            </w:pPr>
            <w:r>
              <w:rPr>
                <w:rFonts w:hint="default"/>
                <w:color w:val="auto"/>
                <w:highlight w:val="none"/>
                <w:lang w:val="pt-BR"/>
              </w:rPr>
              <w:t>3</w:t>
            </w:r>
          </w:p>
        </w:tc>
        <w:tc>
          <w:tcPr>
            <w:tcW w:w="589" w:type="dxa"/>
            <w:tcBorders>
              <w:tl2br w:val="nil"/>
              <w:tr2bl w:val="nil"/>
            </w:tcBorders>
            <w:noWrap w:val="0"/>
            <w:vAlign w:val="center"/>
          </w:tcPr>
          <w:p w14:paraId="1F933595">
            <w:pPr>
              <w:pStyle w:val="563"/>
              <w:bidi w:val="0"/>
              <w:rPr>
                <w:rFonts w:hint="default"/>
                <w:color w:val="auto"/>
                <w:highlight w:val="none"/>
                <w:lang w:val="pt-BR"/>
              </w:rPr>
            </w:pPr>
            <w:r>
              <w:rPr>
                <w:rFonts w:hint="default"/>
                <w:color w:val="auto"/>
                <w:highlight w:val="none"/>
                <w:lang w:val="pt-BR"/>
              </w:rPr>
              <w:t>4</w:t>
            </w:r>
          </w:p>
        </w:tc>
        <w:tc>
          <w:tcPr>
            <w:tcW w:w="1061" w:type="dxa"/>
            <w:tcBorders>
              <w:tl2br w:val="nil"/>
              <w:tr2bl w:val="nil"/>
            </w:tcBorders>
            <w:noWrap w:val="0"/>
            <w:vAlign w:val="center"/>
          </w:tcPr>
          <w:p w14:paraId="0E8E3495">
            <w:pPr>
              <w:pStyle w:val="563"/>
              <w:bidi w:val="0"/>
              <w:rPr>
                <w:rFonts w:hint="default"/>
                <w:color w:val="auto"/>
                <w:highlight w:val="none"/>
                <w:lang w:val="pt-BR"/>
              </w:rPr>
            </w:pPr>
            <w:r>
              <w:rPr>
                <w:rFonts w:hint="default"/>
                <w:color w:val="auto"/>
                <w:highlight w:val="none"/>
                <w:lang w:val="pt-BR"/>
              </w:rPr>
              <w:t>4</w:t>
            </w:r>
          </w:p>
        </w:tc>
        <w:tc>
          <w:tcPr>
            <w:tcW w:w="986" w:type="dxa"/>
            <w:tcBorders>
              <w:tl2br w:val="nil"/>
              <w:tr2bl w:val="nil"/>
            </w:tcBorders>
            <w:noWrap w:val="0"/>
            <w:vAlign w:val="center"/>
          </w:tcPr>
          <w:p w14:paraId="2AE396F0">
            <w:pPr>
              <w:pStyle w:val="563"/>
              <w:bidi w:val="0"/>
              <w:rPr>
                <w:rFonts w:hint="default"/>
                <w:color w:val="auto"/>
                <w:highlight w:val="none"/>
                <w:lang w:val="pt-BR"/>
              </w:rPr>
            </w:pPr>
            <w:r>
              <w:rPr>
                <w:rFonts w:hint="default"/>
                <w:color w:val="auto"/>
                <w:highlight w:val="none"/>
                <w:lang w:val="pt-BR"/>
              </w:rPr>
              <w:t>4</w:t>
            </w:r>
          </w:p>
        </w:tc>
        <w:tc>
          <w:tcPr>
            <w:tcW w:w="626" w:type="dxa"/>
            <w:tcBorders>
              <w:tl2br w:val="nil"/>
              <w:tr2bl w:val="nil"/>
            </w:tcBorders>
            <w:noWrap w:val="0"/>
            <w:vAlign w:val="center"/>
          </w:tcPr>
          <w:p w14:paraId="6938A0C2">
            <w:pPr>
              <w:pStyle w:val="563"/>
              <w:bidi w:val="0"/>
              <w:rPr>
                <w:rFonts w:hint="default"/>
                <w:color w:val="auto"/>
                <w:highlight w:val="none"/>
                <w:lang w:val="pt-BR"/>
              </w:rPr>
            </w:pPr>
            <w:r>
              <w:rPr>
                <w:rFonts w:hint="default"/>
                <w:color w:val="auto"/>
                <w:highlight w:val="none"/>
                <w:lang w:val="pt-BR"/>
              </w:rPr>
              <w:t>15</w:t>
            </w:r>
          </w:p>
        </w:tc>
      </w:tr>
      <w:tr w14:paraId="2B22A4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237" w:type="dxa"/>
            <w:tcBorders>
              <w:tl2br w:val="nil"/>
              <w:tr2bl w:val="nil"/>
            </w:tcBorders>
            <w:noWrap w:val="0"/>
            <w:vAlign w:val="center"/>
          </w:tcPr>
          <w:p w14:paraId="42E416E0">
            <w:pPr>
              <w:pStyle w:val="563"/>
              <w:bidi w:val="0"/>
              <w:rPr>
                <w:rFonts w:hint="default"/>
                <w:color w:val="auto"/>
                <w:highlight w:val="none"/>
                <w:lang w:val="pt-BR"/>
              </w:rPr>
            </w:pPr>
            <w:r>
              <w:rPr>
                <w:rFonts w:hint="default"/>
                <w:color w:val="auto"/>
                <w:highlight w:val="none"/>
                <w:lang w:val="pt-BR"/>
              </w:rPr>
              <w:t>年平均</w:t>
            </w:r>
          </w:p>
        </w:tc>
        <w:tc>
          <w:tcPr>
            <w:tcW w:w="515" w:type="dxa"/>
            <w:tcBorders>
              <w:tl2br w:val="nil"/>
              <w:tr2bl w:val="nil"/>
            </w:tcBorders>
            <w:noWrap w:val="0"/>
            <w:vAlign w:val="center"/>
          </w:tcPr>
          <w:p w14:paraId="732FEA9C">
            <w:pPr>
              <w:pStyle w:val="563"/>
              <w:bidi w:val="0"/>
              <w:rPr>
                <w:rFonts w:hint="default"/>
                <w:color w:val="auto"/>
                <w:highlight w:val="none"/>
                <w:lang w:val="pt-BR"/>
              </w:rPr>
            </w:pPr>
            <w:r>
              <w:rPr>
                <w:rFonts w:hint="default"/>
                <w:color w:val="auto"/>
                <w:highlight w:val="none"/>
                <w:lang w:val="pt-BR"/>
              </w:rPr>
              <w:t>4</w:t>
            </w:r>
          </w:p>
        </w:tc>
        <w:tc>
          <w:tcPr>
            <w:tcW w:w="864" w:type="dxa"/>
            <w:tcBorders>
              <w:tl2br w:val="nil"/>
              <w:tr2bl w:val="nil"/>
            </w:tcBorders>
            <w:noWrap w:val="0"/>
            <w:vAlign w:val="center"/>
          </w:tcPr>
          <w:p w14:paraId="2B92C69A">
            <w:pPr>
              <w:pStyle w:val="563"/>
              <w:bidi w:val="0"/>
              <w:rPr>
                <w:rFonts w:hint="default"/>
                <w:color w:val="auto"/>
                <w:highlight w:val="none"/>
                <w:lang w:val="pt-BR"/>
              </w:rPr>
            </w:pPr>
            <w:r>
              <w:rPr>
                <w:rFonts w:hint="default"/>
                <w:color w:val="auto"/>
                <w:highlight w:val="none"/>
                <w:lang w:val="pt-BR"/>
              </w:rPr>
              <w:t>4</w:t>
            </w:r>
          </w:p>
        </w:tc>
        <w:tc>
          <w:tcPr>
            <w:tcW w:w="665" w:type="dxa"/>
            <w:tcBorders>
              <w:tl2br w:val="nil"/>
              <w:tr2bl w:val="nil"/>
            </w:tcBorders>
            <w:noWrap w:val="0"/>
            <w:vAlign w:val="center"/>
          </w:tcPr>
          <w:p w14:paraId="05817B29">
            <w:pPr>
              <w:pStyle w:val="563"/>
              <w:bidi w:val="0"/>
              <w:rPr>
                <w:rFonts w:hint="default"/>
                <w:color w:val="auto"/>
                <w:highlight w:val="none"/>
                <w:lang w:val="pt-BR"/>
              </w:rPr>
            </w:pPr>
            <w:r>
              <w:rPr>
                <w:rFonts w:hint="default"/>
                <w:color w:val="auto"/>
                <w:highlight w:val="none"/>
                <w:lang w:val="pt-BR"/>
              </w:rPr>
              <w:t>7</w:t>
            </w:r>
          </w:p>
        </w:tc>
        <w:tc>
          <w:tcPr>
            <w:tcW w:w="813" w:type="dxa"/>
            <w:tcBorders>
              <w:tl2br w:val="nil"/>
              <w:tr2bl w:val="nil"/>
            </w:tcBorders>
            <w:noWrap w:val="0"/>
            <w:vAlign w:val="center"/>
          </w:tcPr>
          <w:p w14:paraId="4ED8E0EC">
            <w:pPr>
              <w:pStyle w:val="563"/>
              <w:bidi w:val="0"/>
              <w:rPr>
                <w:rFonts w:hint="default"/>
                <w:color w:val="auto"/>
                <w:highlight w:val="none"/>
                <w:lang w:val="pt-BR"/>
              </w:rPr>
            </w:pPr>
            <w:r>
              <w:rPr>
                <w:rFonts w:hint="default"/>
                <w:color w:val="auto"/>
                <w:highlight w:val="none"/>
                <w:lang w:val="pt-BR"/>
              </w:rPr>
              <w:t>7</w:t>
            </w:r>
          </w:p>
        </w:tc>
        <w:tc>
          <w:tcPr>
            <w:tcW w:w="626" w:type="dxa"/>
            <w:tcBorders>
              <w:tl2br w:val="nil"/>
              <w:tr2bl w:val="nil"/>
            </w:tcBorders>
            <w:noWrap w:val="0"/>
            <w:vAlign w:val="center"/>
          </w:tcPr>
          <w:p w14:paraId="7DA57A40">
            <w:pPr>
              <w:pStyle w:val="563"/>
              <w:bidi w:val="0"/>
              <w:rPr>
                <w:rFonts w:hint="default"/>
                <w:color w:val="auto"/>
                <w:highlight w:val="none"/>
                <w:lang w:val="pt-BR"/>
              </w:rPr>
            </w:pPr>
            <w:r>
              <w:rPr>
                <w:rFonts w:hint="default"/>
                <w:color w:val="auto"/>
                <w:highlight w:val="none"/>
                <w:lang w:val="pt-BR"/>
              </w:rPr>
              <w:t>12</w:t>
            </w:r>
          </w:p>
        </w:tc>
        <w:tc>
          <w:tcPr>
            <w:tcW w:w="755" w:type="dxa"/>
            <w:tcBorders>
              <w:tl2br w:val="nil"/>
              <w:tr2bl w:val="nil"/>
            </w:tcBorders>
            <w:noWrap w:val="0"/>
            <w:vAlign w:val="center"/>
          </w:tcPr>
          <w:p w14:paraId="323BE2B9">
            <w:pPr>
              <w:pStyle w:val="563"/>
              <w:bidi w:val="0"/>
              <w:rPr>
                <w:rFonts w:hint="default"/>
                <w:color w:val="auto"/>
                <w:highlight w:val="none"/>
                <w:lang w:val="pt-BR"/>
              </w:rPr>
            </w:pPr>
            <w:r>
              <w:rPr>
                <w:rFonts w:hint="default"/>
                <w:color w:val="auto"/>
                <w:highlight w:val="none"/>
                <w:lang w:val="pt-BR"/>
              </w:rPr>
              <w:t>10</w:t>
            </w:r>
          </w:p>
        </w:tc>
        <w:tc>
          <w:tcPr>
            <w:tcW w:w="626" w:type="dxa"/>
            <w:tcBorders>
              <w:tl2br w:val="nil"/>
              <w:tr2bl w:val="nil"/>
            </w:tcBorders>
            <w:noWrap w:val="0"/>
            <w:vAlign w:val="center"/>
          </w:tcPr>
          <w:p w14:paraId="312074DD">
            <w:pPr>
              <w:pStyle w:val="563"/>
              <w:bidi w:val="0"/>
              <w:rPr>
                <w:rFonts w:hint="default"/>
                <w:color w:val="auto"/>
                <w:highlight w:val="none"/>
                <w:lang w:val="pt-BR"/>
              </w:rPr>
            </w:pPr>
            <w:r>
              <w:rPr>
                <w:rFonts w:hint="default"/>
                <w:color w:val="auto"/>
                <w:highlight w:val="none"/>
                <w:lang w:val="pt-BR"/>
              </w:rPr>
              <w:t>8</w:t>
            </w:r>
          </w:p>
        </w:tc>
        <w:tc>
          <w:tcPr>
            <w:tcW w:w="749" w:type="dxa"/>
            <w:tcBorders>
              <w:tl2br w:val="nil"/>
              <w:tr2bl w:val="nil"/>
            </w:tcBorders>
            <w:noWrap w:val="0"/>
            <w:vAlign w:val="center"/>
          </w:tcPr>
          <w:p w14:paraId="26D9B9E5">
            <w:pPr>
              <w:pStyle w:val="563"/>
              <w:bidi w:val="0"/>
              <w:rPr>
                <w:rFonts w:hint="default"/>
                <w:color w:val="auto"/>
                <w:highlight w:val="none"/>
                <w:lang w:val="pt-BR"/>
              </w:rPr>
            </w:pPr>
            <w:r>
              <w:rPr>
                <w:rFonts w:hint="default"/>
                <w:color w:val="auto"/>
                <w:highlight w:val="none"/>
                <w:lang w:val="pt-BR"/>
              </w:rPr>
              <w:t>5</w:t>
            </w:r>
          </w:p>
        </w:tc>
        <w:tc>
          <w:tcPr>
            <w:tcW w:w="472" w:type="dxa"/>
            <w:tcBorders>
              <w:tl2br w:val="nil"/>
              <w:tr2bl w:val="nil"/>
            </w:tcBorders>
            <w:noWrap w:val="0"/>
            <w:vAlign w:val="center"/>
          </w:tcPr>
          <w:p w14:paraId="60480270">
            <w:pPr>
              <w:pStyle w:val="563"/>
              <w:bidi w:val="0"/>
              <w:rPr>
                <w:rFonts w:hint="default"/>
                <w:color w:val="auto"/>
                <w:highlight w:val="none"/>
                <w:lang w:val="pt-BR"/>
              </w:rPr>
            </w:pPr>
            <w:r>
              <w:rPr>
                <w:rFonts w:hint="default"/>
                <w:color w:val="auto"/>
                <w:highlight w:val="none"/>
                <w:lang w:val="pt-BR"/>
              </w:rPr>
              <w:t>4</w:t>
            </w:r>
          </w:p>
        </w:tc>
        <w:tc>
          <w:tcPr>
            <w:tcW w:w="869" w:type="dxa"/>
            <w:tcBorders>
              <w:tl2br w:val="nil"/>
              <w:tr2bl w:val="nil"/>
            </w:tcBorders>
            <w:noWrap w:val="0"/>
            <w:vAlign w:val="center"/>
          </w:tcPr>
          <w:p w14:paraId="40C5EFE6">
            <w:pPr>
              <w:pStyle w:val="563"/>
              <w:bidi w:val="0"/>
              <w:rPr>
                <w:rFonts w:hint="default"/>
                <w:color w:val="auto"/>
                <w:highlight w:val="none"/>
                <w:lang w:val="pt-BR"/>
              </w:rPr>
            </w:pPr>
            <w:r>
              <w:rPr>
                <w:rFonts w:hint="default"/>
                <w:color w:val="auto"/>
                <w:highlight w:val="none"/>
                <w:lang w:val="pt-BR"/>
              </w:rPr>
              <w:t>3</w:t>
            </w:r>
          </w:p>
        </w:tc>
        <w:tc>
          <w:tcPr>
            <w:tcW w:w="729" w:type="dxa"/>
            <w:tcBorders>
              <w:tl2br w:val="nil"/>
              <w:tr2bl w:val="nil"/>
            </w:tcBorders>
            <w:noWrap w:val="0"/>
            <w:vAlign w:val="center"/>
          </w:tcPr>
          <w:p w14:paraId="0BDF4D64">
            <w:pPr>
              <w:pStyle w:val="563"/>
              <w:bidi w:val="0"/>
              <w:rPr>
                <w:rFonts w:hint="default"/>
                <w:color w:val="auto"/>
                <w:highlight w:val="none"/>
                <w:lang w:val="pt-BR"/>
              </w:rPr>
            </w:pPr>
            <w:r>
              <w:rPr>
                <w:rFonts w:hint="default"/>
                <w:color w:val="auto"/>
                <w:highlight w:val="none"/>
                <w:lang w:val="pt-BR"/>
              </w:rPr>
              <w:t>4</w:t>
            </w:r>
          </w:p>
        </w:tc>
        <w:tc>
          <w:tcPr>
            <w:tcW w:w="1000" w:type="dxa"/>
            <w:tcBorders>
              <w:tl2br w:val="nil"/>
              <w:tr2bl w:val="nil"/>
            </w:tcBorders>
            <w:noWrap w:val="0"/>
            <w:vAlign w:val="center"/>
          </w:tcPr>
          <w:p w14:paraId="6E1B6260">
            <w:pPr>
              <w:pStyle w:val="563"/>
              <w:bidi w:val="0"/>
              <w:rPr>
                <w:rFonts w:hint="default"/>
                <w:color w:val="auto"/>
                <w:highlight w:val="none"/>
                <w:lang w:val="pt-BR"/>
              </w:rPr>
            </w:pPr>
            <w:r>
              <w:rPr>
                <w:rFonts w:hint="default"/>
                <w:color w:val="auto"/>
                <w:highlight w:val="none"/>
                <w:lang w:val="pt-BR"/>
              </w:rPr>
              <w:t>3</w:t>
            </w:r>
          </w:p>
        </w:tc>
        <w:tc>
          <w:tcPr>
            <w:tcW w:w="589" w:type="dxa"/>
            <w:tcBorders>
              <w:tl2br w:val="nil"/>
              <w:tr2bl w:val="nil"/>
            </w:tcBorders>
            <w:noWrap w:val="0"/>
            <w:vAlign w:val="center"/>
          </w:tcPr>
          <w:p w14:paraId="62790BF0">
            <w:pPr>
              <w:pStyle w:val="563"/>
              <w:bidi w:val="0"/>
              <w:rPr>
                <w:rFonts w:hint="default"/>
                <w:color w:val="auto"/>
                <w:highlight w:val="none"/>
                <w:lang w:val="pt-BR"/>
              </w:rPr>
            </w:pPr>
            <w:r>
              <w:rPr>
                <w:rFonts w:hint="default"/>
                <w:color w:val="auto"/>
                <w:highlight w:val="none"/>
                <w:lang w:val="pt-BR"/>
              </w:rPr>
              <w:t>4</w:t>
            </w:r>
          </w:p>
        </w:tc>
        <w:tc>
          <w:tcPr>
            <w:tcW w:w="1061" w:type="dxa"/>
            <w:tcBorders>
              <w:tl2br w:val="nil"/>
              <w:tr2bl w:val="nil"/>
            </w:tcBorders>
            <w:noWrap w:val="0"/>
            <w:vAlign w:val="center"/>
          </w:tcPr>
          <w:p w14:paraId="21EE97BE">
            <w:pPr>
              <w:pStyle w:val="563"/>
              <w:bidi w:val="0"/>
              <w:rPr>
                <w:rFonts w:hint="default"/>
                <w:color w:val="auto"/>
                <w:highlight w:val="none"/>
                <w:lang w:val="pt-BR"/>
              </w:rPr>
            </w:pPr>
            <w:r>
              <w:rPr>
                <w:rFonts w:hint="default"/>
                <w:color w:val="auto"/>
                <w:highlight w:val="none"/>
                <w:lang w:val="pt-BR"/>
              </w:rPr>
              <w:t>4</w:t>
            </w:r>
          </w:p>
        </w:tc>
        <w:tc>
          <w:tcPr>
            <w:tcW w:w="986" w:type="dxa"/>
            <w:tcBorders>
              <w:tl2br w:val="nil"/>
              <w:tr2bl w:val="nil"/>
            </w:tcBorders>
            <w:noWrap w:val="0"/>
            <w:vAlign w:val="center"/>
          </w:tcPr>
          <w:p w14:paraId="291C73AC">
            <w:pPr>
              <w:pStyle w:val="563"/>
              <w:bidi w:val="0"/>
              <w:rPr>
                <w:rFonts w:hint="default"/>
                <w:color w:val="auto"/>
                <w:highlight w:val="none"/>
                <w:lang w:val="pt-BR"/>
              </w:rPr>
            </w:pPr>
            <w:r>
              <w:rPr>
                <w:rFonts w:hint="default"/>
                <w:color w:val="auto"/>
                <w:highlight w:val="none"/>
                <w:lang w:val="pt-BR"/>
              </w:rPr>
              <w:t>3</w:t>
            </w:r>
          </w:p>
        </w:tc>
        <w:tc>
          <w:tcPr>
            <w:tcW w:w="626" w:type="dxa"/>
            <w:tcBorders>
              <w:tl2br w:val="nil"/>
              <w:tr2bl w:val="nil"/>
            </w:tcBorders>
            <w:noWrap w:val="0"/>
            <w:vAlign w:val="center"/>
          </w:tcPr>
          <w:p w14:paraId="303004BB">
            <w:pPr>
              <w:pStyle w:val="563"/>
              <w:bidi w:val="0"/>
              <w:rPr>
                <w:rFonts w:hint="default"/>
                <w:color w:val="auto"/>
                <w:highlight w:val="none"/>
                <w:lang w:val="pt-BR"/>
              </w:rPr>
            </w:pPr>
            <w:r>
              <w:rPr>
                <w:rFonts w:hint="default"/>
                <w:color w:val="auto"/>
                <w:highlight w:val="none"/>
                <w:lang w:val="pt-BR"/>
              </w:rPr>
              <w:t>14</w:t>
            </w:r>
          </w:p>
        </w:tc>
      </w:tr>
    </w:tbl>
    <w:p w14:paraId="0F32BBFC">
      <w:pPr>
        <w:keepNext w:val="0"/>
        <w:keepLines w:val="0"/>
        <w:pageBreakBefore w:val="0"/>
        <w:widowControl/>
        <w:kinsoku/>
        <w:wordWrap/>
        <w:overflowPunct/>
        <w:topLinePunct/>
        <w:autoSpaceDE/>
        <w:autoSpaceDN/>
        <w:bidi w:val="0"/>
        <w:adjustRightInd w:val="0"/>
        <w:snapToGrid/>
        <w:spacing w:line="360" w:lineRule="auto"/>
        <w:jc w:val="center"/>
        <w:textAlignment w:val="baseline"/>
        <w:rPr>
          <w:rFonts w:hint="eastAsia" w:ascii="Times New Roman" w:hAnsi="Times New Roman" w:eastAsia="宋体" w:cs="Times New Roman"/>
          <w:b/>
          <w:bCs/>
          <w:snapToGrid w:val="0"/>
          <w:color w:val="auto"/>
          <w:spacing w:val="0"/>
          <w:kern w:val="0"/>
          <w:position w:val="0"/>
          <w:sz w:val="21"/>
          <w:szCs w:val="21"/>
          <w:highlight w:val="none"/>
          <w:lang w:val="en-US" w:eastAsia="zh-CN" w:bidi="ar"/>
        </w:rPr>
      </w:pPr>
    </w:p>
    <w:p w14:paraId="43CE3511">
      <w:pPr>
        <w:rPr>
          <w:rFonts w:hint="default"/>
          <w:color w:val="auto"/>
          <w:highlight w:val="none"/>
          <w:lang w:val="en-US" w:eastAsia="zh-CN"/>
        </w:rPr>
        <w:sectPr>
          <w:pgSz w:w="16838" w:h="11906" w:orient="landscape"/>
          <w:pgMar w:top="1800" w:right="1440" w:bottom="1800" w:left="1440" w:header="794" w:footer="1077" w:gutter="0"/>
          <w:pgBorders>
            <w:top w:val="none" w:sz="0" w:space="0"/>
            <w:left w:val="none" w:sz="0" w:space="0"/>
            <w:bottom w:val="none" w:sz="0" w:space="0"/>
            <w:right w:val="none" w:sz="0" w:space="0"/>
          </w:pgBorders>
          <w:pgNumType w:fmt="decimal"/>
          <w:cols w:space="720" w:num="1"/>
          <w:docGrid w:type="lines" w:linePitch="314" w:charSpace="0"/>
        </w:sectPr>
      </w:pPr>
    </w:p>
    <w:p w14:paraId="737D3DEA">
      <w:pPr>
        <w:keepNext w:val="0"/>
        <w:keepLines w:val="0"/>
        <w:pageBreakBefore w:val="0"/>
        <w:widowControl/>
        <w:kinsoku/>
        <w:wordWrap/>
        <w:overflowPunct/>
        <w:topLinePunct/>
        <w:autoSpaceDE/>
        <w:autoSpaceDN/>
        <w:bidi w:val="0"/>
        <w:adjustRightInd w:val="0"/>
        <w:snapToGrid/>
        <w:spacing w:line="360" w:lineRule="auto"/>
        <w:jc w:val="center"/>
        <w:textAlignment w:val="baseline"/>
        <w:rPr>
          <w:rFonts w:hint="default"/>
          <w:color w:val="auto"/>
          <w:highlight w:val="none"/>
        </w:rPr>
      </w:pPr>
      <w:r>
        <w:rPr>
          <w:rFonts w:hint="default"/>
          <w:color w:val="auto"/>
          <w:highlight w:val="none"/>
        </w:rPr>
        <w:drawing>
          <wp:inline distT="0" distB="0" distL="114300" distR="114300">
            <wp:extent cx="4043045" cy="5710555"/>
            <wp:effectExtent l="0" t="0" r="0" b="4445"/>
            <wp:docPr id="6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15"/>
                    <pic:cNvPicPr>
                      <a:picLocks noChangeAspect="1"/>
                    </pic:cNvPicPr>
                  </pic:nvPicPr>
                  <pic:blipFill>
                    <a:blip r:embed="rId60"/>
                    <a:srcRect l="30325" t="2126" r="26895" b="2974"/>
                    <a:stretch>
                      <a:fillRect/>
                    </a:stretch>
                  </pic:blipFill>
                  <pic:spPr>
                    <a:xfrm>
                      <a:off x="0" y="0"/>
                      <a:ext cx="4043045" cy="5710555"/>
                    </a:xfrm>
                    <a:prstGeom prst="rect">
                      <a:avLst/>
                    </a:prstGeom>
                    <a:noFill/>
                    <a:ln>
                      <a:noFill/>
                    </a:ln>
                  </pic:spPr>
                </pic:pic>
              </a:graphicData>
            </a:graphic>
          </wp:inline>
        </w:drawing>
      </w:r>
    </w:p>
    <w:p w14:paraId="347CAFA6">
      <w:pPr>
        <w:pStyle w:val="549"/>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图</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.2-4  近20年区域年、季风向频率玫瑰图</w:t>
      </w:r>
    </w:p>
    <w:p w14:paraId="71F1E91D">
      <w:pPr>
        <w:pStyle w:val="5"/>
        <w:rPr>
          <w:rFonts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5</w:t>
      </w:r>
      <w:r>
        <w:rPr>
          <w:rFonts w:ascii="Times New Roman" w:hAnsi="Times New Roman" w:eastAsia="宋体" w:cs="Times New Roman"/>
          <w:b/>
          <w:bCs/>
          <w:color w:val="auto"/>
          <w:highlight w:val="none"/>
          <w:lang w:val="en-US" w:eastAsia="zh-CN"/>
        </w:rPr>
        <w:t>.2.1.2大气环境影响预测评价</w:t>
      </w:r>
    </w:p>
    <w:p w14:paraId="04D9BE3D">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本项目生产过程中，废气主要有</w:t>
      </w:r>
      <w:r>
        <w:rPr>
          <w:rFonts w:hint="eastAsia" w:ascii="Times New Roman" w:hAnsi="Times New Roman" w:eastAsia="宋体" w:cs="Times New Roman"/>
          <w:color w:val="auto"/>
          <w:sz w:val="24"/>
          <w:szCs w:val="24"/>
          <w:highlight w:val="none"/>
          <w:lang w:val="en-US" w:eastAsia="zh-CN"/>
        </w:rPr>
        <w:t>高温转换炉燃烧废气</w:t>
      </w:r>
      <w:r>
        <w:rPr>
          <w:rFonts w:ascii="Times New Roman" w:hAnsi="Times New Roman" w:eastAsia="宋体" w:cs="Times New Roman"/>
          <w:color w:val="auto"/>
          <w:sz w:val="24"/>
          <w:szCs w:val="24"/>
          <w:highlight w:val="none"/>
        </w:rPr>
        <w:t>（污染因子为</w:t>
      </w:r>
      <w:r>
        <w:rPr>
          <w:rFonts w:hint="eastAsia" w:ascii="Times New Roman" w:hAnsi="Times New Roman" w:eastAsia="宋体" w:cs="Times New Roman"/>
          <w:color w:val="auto"/>
          <w:sz w:val="24"/>
          <w:szCs w:val="24"/>
          <w:highlight w:val="none"/>
          <w:lang w:val="en-US" w:eastAsia="zh-CN"/>
        </w:rPr>
        <w:t>颗粒物、二氧化硫、氮氧化物、非甲烷总烃</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油品装卸、加油产生的非甲烷总烃</w:t>
      </w:r>
      <w:r>
        <w:rPr>
          <w:rFonts w:ascii="Times New Roman" w:hAnsi="Times New Roman" w:eastAsia="宋体" w:cs="Times New Roman"/>
          <w:color w:val="auto"/>
          <w:sz w:val="24"/>
          <w:szCs w:val="24"/>
          <w:highlight w:val="none"/>
        </w:rPr>
        <w:t>。</w:t>
      </w:r>
    </w:p>
    <w:p w14:paraId="018A2339">
      <w:pPr>
        <w:keepNext w:val="0"/>
        <w:keepLines w:val="0"/>
        <w:pageBreakBefore w:val="0"/>
        <w:widowControl/>
        <w:kinsoku/>
        <w:wordWrap/>
        <w:overflowPunct/>
        <w:topLinePunct w:val="0"/>
        <w:autoSpaceDE/>
        <w:autoSpaceDN/>
        <w:bidi w:val="0"/>
        <w:adjustRightInd w:val="0"/>
        <w:snapToGrid/>
        <w:spacing w:line="360" w:lineRule="auto"/>
        <w:ind w:firstLine="480" w:firstLineChars="200"/>
        <w:jc w:val="both"/>
        <w:textAlignment w:val="baseline"/>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14:paraId="4C821B72">
      <w:pPr>
        <w:wordWrap w:val="0"/>
        <w:bidi w:val="0"/>
        <w:spacing w:line="360" w:lineRule="auto"/>
        <w:ind w:firstLine="482" w:firstLineChars="200"/>
        <w:jc w:val="left"/>
        <w:rPr>
          <w:rFonts w:hint="default" w:ascii="Times New Roman" w:hAnsi="Times New Roman" w:eastAsia="宋体" w:cs="Times New Roman"/>
          <w:b/>
          <w:bCs/>
          <w:caps w:val="0"/>
          <w:smallCaps w:val="0"/>
          <w:color w:val="auto"/>
          <w:spacing w:val="0"/>
          <w:kern w:val="0"/>
          <w:sz w:val="24"/>
          <w:szCs w:val="24"/>
          <w:highlight w:val="none"/>
        </w:rPr>
      </w:pPr>
      <w:bookmarkStart w:id="393" w:name="_Toc29720"/>
      <w:bookmarkStart w:id="394" w:name="_Toc22823"/>
      <w:bookmarkStart w:id="395" w:name="_Toc6192"/>
      <w:bookmarkStart w:id="396" w:name="_Toc4192"/>
      <w:bookmarkStart w:id="397" w:name="_Toc20766"/>
      <w:bookmarkStart w:id="398" w:name="_Toc6531"/>
      <w:r>
        <w:rPr>
          <w:rFonts w:hint="default" w:ascii="Times New Roman" w:hAnsi="Times New Roman" w:eastAsia="宋体" w:cs="Times New Roman"/>
          <w:b/>
          <w:bCs/>
          <w:caps w:val="0"/>
          <w:smallCaps w:val="0"/>
          <w:color w:val="auto"/>
          <w:spacing w:val="0"/>
          <w:kern w:val="0"/>
          <w:sz w:val="24"/>
          <w:szCs w:val="24"/>
          <w:highlight w:val="none"/>
        </w:rPr>
        <w:t>1、P</w:t>
      </w:r>
      <w:r>
        <w:rPr>
          <w:rFonts w:hint="default" w:ascii="Times New Roman" w:hAnsi="Times New Roman" w:eastAsia="宋体" w:cs="Times New Roman"/>
          <w:b/>
          <w:bCs/>
          <w:caps w:val="0"/>
          <w:smallCaps w:val="0"/>
          <w:color w:val="auto"/>
          <w:spacing w:val="0"/>
          <w:kern w:val="0"/>
          <w:sz w:val="24"/>
          <w:szCs w:val="24"/>
          <w:highlight w:val="none"/>
          <w:vertAlign w:val="subscript"/>
        </w:rPr>
        <w:t>max</w:t>
      </w:r>
      <w:r>
        <w:rPr>
          <w:rFonts w:hint="default" w:ascii="Times New Roman" w:hAnsi="Times New Roman" w:eastAsia="宋体" w:cs="Times New Roman"/>
          <w:b/>
          <w:bCs/>
          <w:caps w:val="0"/>
          <w:smallCaps w:val="0"/>
          <w:color w:val="auto"/>
          <w:spacing w:val="0"/>
          <w:kern w:val="0"/>
          <w:sz w:val="24"/>
          <w:szCs w:val="24"/>
          <w:highlight w:val="none"/>
        </w:rPr>
        <w:t>及</w:t>
      </w:r>
      <w:r>
        <w:rPr>
          <w:rFonts w:ascii="Times New Roman" w:hAnsi="Times New Roman" w:eastAsia="宋体" w:cs="Times New Roman"/>
          <w:b/>
          <w:bCs/>
          <w:color w:val="auto"/>
          <w:sz w:val="24"/>
          <w:szCs w:val="24"/>
          <w:highlight w:val="none"/>
        </w:rPr>
        <w:t>D</w:t>
      </w:r>
      <w:r>
        <w:rPr>
          <w:rFonts w:ascii="Times New Roman" w:hAnsi="Times New Roman" w:eastAsia="宋体" w:cs="Times New Roman"/>
          <w:b/>
          <w:bCs/>
          <w:color w:val="auto"/>
          <w:sz w:val="24"/>
          <w:szCs w:val="24"/>
          <w:highlight w:val="none"/>
          <w:vertAlign w:val="subscript"/>
        </w:rPr>
        <w:t>10%</w:t>
      </w:r>
      <w:r>
        <w:rPr>
          <w:rFonts w:hint="default" w:ascii="Times New Roman" w:hAnsi="Times New Roman" w:eastAsia="宋体" w:cs="Times New Roman"/>
          <w:b/>
          <w:bCs/>
          <w:caps w:val="0"/>
          <w:smallCaps w:val="0"/>
          <w:color w:val="auto"/>
          <w:spacing w:val="0"/>
          <w:kern w:val="0"/>
          <w:sz w:val="24"/>
          <w:szCs w:val="24"/>
          <w:highlight w:val="none"/>
        </w:rPr>
        <w:t>的确定</w:t>
      </w:r>
      <w:bookmarkEnd w:id="393"/>
      <w:bookmarkEnd w:id="394"/>
      <w:bookmarkEnd w:id="395"/>
      <w:bookmarkEnd w:id="396"/>
      <w:bookmarkEnd w:id="397"/>
      <w:bookmarkEnd w:id="398"/>
    </w:p>
    <w:p w14:paraId="3027C5C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aps w:val="0"/>
          <w:smallCaps w:val="0"/>
          <w:color w:val="auto"/>
          <w:spacing w:val="0"/>
          <w:kern w:val="0"/>
          <w:sz w:val="24"/>
          <w:szCs w:val="24"/>
          <w:highlight w:val="none"/>
        </w:rPr>
      </w:pPr>
      <w:r>
        <w:rPr>
          <w:rFonts w:hint="default" w:ascii="Times New Roman" w:hAnsi="Times New Roman" w:eastAsia="宋体" w:cs="Times New Roman"/>
          <w:caps w:val="0"/>
          <w:smallCaps w:val="0"/>
          <w:color w:val="auto"/>
          <w:spacing w:val="0"/>
          <w:kern w:val="0"/>
          <w:sz w:val="24"/>
          <w:szCs w:val="24"/>
          <w:highlight w:val="none"/>
        </w:rPr>
        <w:t>根据《环境影响评价技术导则大气环境》（HJ2.2-2018）关于评价等级划分的规定，</w:t>
      </w:r>
      <w:r>
        <w:rPr>
          <w:rFonts w:hint="eastAsia" w:cs="Times New Roman"/>
          <w:caps w:val="0"/>
          <w:smallCaps w:val="0"/>
          <w:color w:val="auto"/>
          <w:spacing w:val="0"/>
          <w:kern w:val="0"/>
          <w:sz w:val="24"/>
          <w:szCs w:val="24"/>
          <w:highlight w:val="none"/>
          <w:lang w:eastAsia="zh-CN"/>
        </w:rPr>
        <w:t>本次</w:t>
      </w:r>
      <w:r>
        <w:rPr>
          <w:rFonts w:hint="default" w:ascii="Times New Roman" w:hAnsi="Times New Roman" w:eastAsia="宋体" w:cs="Times New Roman"/>
          <w:caps w:val="0"/>
          <w:smallCaps w:val="0"/>
          <w:color w:val="auto"/>
          <w:spacing w:val="0"/>
          <w:kern w:val="0"/>
          <w:sz w:val="24"/>
          <w:szCs w:val="24"/>
          <w:highlight w:val="none"/>
        </w:rPr>
        <w:t>评价采用《环境影响评价技术导则大气环境》（HJ2.2-2018）</w:t>
      </w:r>
      <w:r>
        <w:rPr>
          <w:rFonts w:hint="eastAsia" w:ascii="Times New Roman" w:hAnsi="Times New Roman" w:eastAsia="宋体" w:cs="Times New Roman"/>
          <w:caps w:val="0"/>
          <w:smallCaps w:val="0"/>
          <w:color w:val="auto"/>
          <w:spacing w:val="0"/>
          <w:kern w:val="0"/>
          <w:sz w:val="24"/>
          <w:szCs w:val="24"/>
          <w:highlight w:val="none"/>
          <w:lang w:eastAsia="zh-CN"/>
        </w:rPr>
        <w:t>）</w:t>
      </w:r>
      <w:r>
        <w:rPr>
          <w:rFonts w:hint="default" w:ascii="Times New Roman" w:hAnsi="Times New Roman" w:eastAsia="宋体" w:cs="Times New Roman"/>
          <w:caps w:val="0"/>
          <w:smallCaps w:val="0"/>
          <w:color w:val="auto"/>
          <w:spacing w:val="0"/>
          <w:kern w:val="0"/>
          <w:sz w:val="24"/>
          <w:szCs w:val="24"/>
          <w:highlight w:val="none"/>
        </w:rPr>
        <w:t>中推荐模式中的估算模式，分别计算各污染源及各污染物的最大地面浓度占标率P</w:t>
      </w:r>
      <w:r>
        <w:rPr>
          <w:rFonts w:hint="default" w:ascii="Times New Roman" w:hAnsi="Times New Roman" w:eastAsia="宋体" w:cs="Times New Roman"/>
          <w:caps w:val="0"/>
          <w:smallCaps w:val="0"/>
          <w:color w:val="auto"/>
          <w:spacing w:val="0"/>
          <w:kern w:val="0"/>
          <w:sz w:val="24"/>
          <w:szCs w:val="24"/>
          <w:highlight w:val="none"/>
          <w:vertAlign w:val="subscript"/>
        </w:rPr>
        <w:t>i</w:t>
      </w:r>
      <w:r>
        <w:rPr>
          <w:rFonts w:hint="default" w:ascii="Times New Roman" w:hAnsi="Times New Roman" w:eastAsia="宋体" w:cs="Times New Roman"/>
          <w:caps w:val="0"/>
          <w:smallCaps w:val="0"/>
          <w:color w:val="auto"/>
          <w:spacing w:val="0"/>
          <w:kern w:val="0"/>
          <w:sz w:val="24"/>
          <w:szCs w:val="24"/>
          <w:highlight w:val="none"/>
        </w:rPr>
        <w:t>和地面浓度达标准限值10%时所对应的最远距离D</w:t>
      </w:r>
      <w:r>
        <w:rPr>
          <w:rFonts w:hint="default" w:ascii="Times New Roman" w:hAnsi="Times New Roman" w:eastAsia="宋体" w:cs="Times New Roman"/>
          <w:caps w:val="0"/>
          <w:smallCaps w:val="0"/>
          <w:color w:val="auto"/>
          <w:spacing w:val="0"/>
          <w:kern w:val="0"/>
          <w:sz w:val="24"/>
          <w:szCs w:val="24"/>
          <w:highlight w:val="none"/>
          <w:vertAlign w:val="subscript"/>
        </w:rPr>
        <w:t>10%</w:t>
      </w:r>
      <w:r>
        <w:rPr>
          <w:rFonts w:hint="default" w:ascii="Times New Roman" w:hAnsi="Times New Roman" w:eastAsia="宋体" w:cs="Times New Roman"/>
          <w:caps w:val="0"/>
          <w:smallCaps w:val="0"/>
          <w:color w:val="auto"/>
          <w:spacing w:val="0"/>
          <w:kern w:val="0"/>
          <w:sz w:val="24"/>
          <w:szCs w:val="24"/>
          <w:highlight w:val="none"/>
        </w:rPr>
        <w:t>，按评价工作分级判据对各个污染源分别确定其评价等级，取评价级别最高者作为本项目的评价等级。P</w:t>
      </w:r>
      <w:r>
        <w:rPr>
          <w:rFonts w:hint="default" w:ascii="Times New Roman" w:hAnsi="Times New Roman" w:eastAsia="宋体" w:cs="Times New Roman"/>
          <w:caps w:val="0"/>
          <w:smallCaps w:val="0"/>
          <w:color w:val="auto"/>
          <w:spacing w:val="0"/>
          <w:kern w:val="0"/>
          <w:sz w:val="24"/>
          <w:szCs w:val="24"/>
          <w:highlight w:val="none"/>
          <w:vertAlign w:val="subscript"/>
        </w:rPr>
        <w:t>i</w:t>
      </w:r>
      <w:r>
        <w:rPr>
          <w:rFonts w:hint="default" w:ascii="Times New Roman" w:hAnsi="Times New Roman" w:eastAsia="宋体" w:cs="Times New Roman"/>
          <w:caps w:val="0"/>
          <w:smallCaps w:val="0"/>
          <w:color w:val="auto"/>
          <w:spacing w:val="0"/>
          <w:kern w:val="0"/>
          <w:sz w:val="24"/>
          <w:szCs w:val="24"/>
          <w:highlight w:val="none"/>
        </w:rPr>
        <w:t>值计算式：</w:t>
      </w:r>
    </w:p>
    <w:p w14:paraId="512FC50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drawing>
          <wp:inline distT="0" distB="0" distL="114300" distR="114300">
            <wp:extent cx="1200150" cy="542925"/>
            <wp:effectExtent l="0" t="0" r="0" b="9525"/>
            <wp:docPr id="573"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241"/>
                    <pic:cNvPicPr>
                      <a:picLocks noChangeAspect="1"/>
                    </pic:cNvPicPr>
                  </pic:nvPicPr>
                  <pic:blipFill>
                    <a:blip r:embed="rId61"/>
                    <a:stretch>
                      <a:fillRect/>
                    </a:stretch>
                  </pic:blipFill>
                  <pic:spPr>
                    <a:xfrm>
                      <a:off x="0" y="0"/>
                      <a:ext cx="1200150" cy="542925"/>
                    </a:xfrm>
                    <a:prstGeom prst="rect">
                      <a:avLst/>
                    </a:prstGeom>
                    <a:noFill/>
                    <a:ln>
                      <a:noFill/>
                    </a:ln>
                  </pic:spPr>
                </pic:pic>
              </a:graphicData>
            </a:graphic>
          </wp:inline>
        </w:drawing>
      </w:r>
    </w:p>
    <w:p w14:paraId="763F2F15">
      <w:pPr>
        <w:wordWrap w:val="0"/>
        <w:bidi w:val="0"/>
        <w:spacing w:line="360" w:lineRule="auto"/>
        <w:ind w:firstLine="480" w:firstLineChars="200"/>
        <w:jc w:val="left"/>
        <w:rPr>
          <w:rFonts w:hint="default" w:ascii="Times New Roman" w:hAnsi="Times New Roman" w:eastAsia="宋体" w:cs="Times New Roman"/>
          <w:caps w:val="0"/>
          <w:smallCaps w:val="0"/>
          <w:color w:val="auto"/>
          <w:spacing w:val="0"/>
          <w:kern w:val="0"/>
          <w:sz w:val="24"/>
          <w:szCs w:val="24"/>
          <w:highlight w:val="none"/>
        </w:rPr>
      </w:pPr>
      <w:r>
        <w:rPr>
          <w:rFonts w:hint="default" w:ascii="Times New Roman" w:hAnsi="Times New Roman" w:eastAsia="宋体" w:cs="Times New Roman"/>
          <w:caps w:val="0"/>
          <w:smallCaps w:val="0"/>
          <w:color w:val="auto"/>
          <w:spacing w:val="0"/>
          <w:kern w:val="0"/>
          <w:sz w:val="24"/>
          <w:szCs w:val="24"/>
          <w:highlight w:val="none"/>
        </w:rPr>
        <w:t>式中：P</w:t>
      </w:r>
      <w:r>
        <w:rPr>
          <w:rFonts w:hint="default" w:ascii="Times New Roman" w:hAnsi="Times New Roman" w:eastAsia="宋体" w:cs="Times New Roman"/>
          <w:caps w:val="0"/>
          <w:smallCaps w:val="0"/>
          <w:color w:val="auto"/>
          <w:spacing w:val="0"/>
          <w:kern w:val="0"/>
          <w:sz w:val="24"/>
          <w:szCs w:val="24"/>
          <w:highlight w:val="none"/>
          <w:vertAlign w:val="subscript"/>
        </w:rPr>
        <w:t>i</w:t>
      </w:r>
      <w:r>
        <w:rPr>
          <w:rFonts w:hint="default" w:ascii="Times New Roman" w:hAnsi="Times New Roman" w:eastAsia="宋体" w:cs="Times New Roman"/>
          <w:caps w:val="0"/>
          <w:smallCaps w:val="0"/>
          <w:color w:val="auto"/>
          <w:spacing w:val="0"/>
          <w:kern w:val="0"/>
          <w:sz w:val="24"/>
          <w:szCs w:val="24"/>
          <w:highlight w:val="none"/>
        </w:rPr>
        <w:t>—第i个污染物的最大地面浓度占标率，%；</w:t>
      </w:r>
    </w:p>
    <w:p w14:paraId="5E3F8699">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textAlignment w:val="auto"/>
        <w:rPr>
          <w:rFonts w:hint="default" w:ascii="Times New Roman" w:hAnsi="Times New Roman" w:eastAsia="宋体" w:cs="Times New Roman"/>
          <w:caps w:val="0"/>
          <w:smallCaps w:val="0"/>
          <w:color w:val="auto"/>
          <w:spacing w:val="0"/>
          <w:kern w:val="0"/>
          <w:sz w:val="24"/>
          <w:szCs w:val="24"/>
          <w:highlight w:val="none"/>
        </w:rPr>
      </w:pPr>
      <w:r>
        <w:rPr>
          <w:rFonts w:hint="default" w:ascii="Times New Roman" w:hAnsi="Times New Roman" w:eastAsia="宋体" w:cs="Times New Roman"/>
          <w:caps w:val="0"/>
          <w:smallCaps w:val="0"/>
          <w:color w:val="auto"/>
          <w:spacing w:val="0"/>
          <w:kern w:val="0"/>
          <w:sz w:val="24"/>
          <w:szCs w:val="24"/>
          <w:highlight w:val="none"/>
        </w:rPr>
        <w:t>C</w:t>
      </w:r>
      <w:r>
        <w:rPr>
          <w:rFonts w:hint="default" w:ascii="Times New Roman" w:hAnsi="Times New Roman" w:eastAsia="宋体" w:cs="Times New Roman"/>
          <w:caps w:val="0"/>
          <w:smallCaps w:val="0"/>
          <w:color w:val="auto"/>
          <w:spacing w:val="0"/>
          <w:kern w:val="0"/>
          <w:sz w:val="24"/>
          <w:szCs w:val="24"/>
          <w:highlight w:val="none"/>
          <w:vertAlign w:val="subscript"/>
        </w:rPr>
        <w:t>i</w:t>
      </w:r>
      <w:r>
        <w:rPr>
          <w:rFonts w:hint="default" w:ascii="Times New Roman" w:hAnsi="Times New Roman" w:eastAsia="宋体" w:cs="Times New Roman"/>
          <w:caps w:val="0"/>
          <w:smallCaps w:val="0"/>
          <w:color w:val="auto"/>
          <w:spacing w:val="0"/>
          <w:kern w:val="0"/>
          <w:sz w:val="24"/>
          <w:szCs w:val="24"/>
          <w:highlight w:val="none"/>
        </w:rPr>
        <w:t>—采用估算模式计算出的第i个污染物的最大地面浓度，μg/m</w:t>
      </w:r>
      <w:r>
        <w:rPr>
          <w:rFonts w:hint="default" w:ascii="Times New Roman" w:hAnsi="Times New Roman" w:eastAsia="宋体" w:cs="Times New Roman"/>
          <w:caps w:val="0"/>
          <w:smallCaps w:val="0"/>
          <w:color w:val="auto"/>
          <w:spacing w:val="0"/>
          <w:kern w:val="0"/>
          <w:sz w:val="24"/>
          <w:szCs w:val="24"/>
          <w:highlight w:val="none"/>
          <w:vertAlign w:val="superscript"/>
        </w:rPr>
        <w:t>3</w:t>
      </w:r>
      <w:r>
        <w:rPr>
          <w:rFonts w:hint="default" w:ascii="Times New Roman" w:hAnsi="Times New Roman" w:eastAsia="宋体" w:cs="Times New Roman"/>
          <w:caps w:val="0"/>
          <w:smallCaps w:val="0"/>
          <w:color w:val="auto"/>
          <w:spacing w:val="0"/>
          <w:kern w:val="0"/>
          <w:sz w:val="24"/>
          <w:szCs w:val="24"/>
          <w:highlight w:val="none"/>
        </w:rPr>
        <w:t>；</w:t>
      </w:r>
    </w:p>
    <w:p w14:paraId="39549E09">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textAlignment w:val="auto"/>
        <w:rPr>
          <w:rFonts w:hint="default" w:ascii="Times New Roman" w:hAnsi="Times New Roman" w:eastAsia="宋体" w:cs="Times New Roman"/>
          <w:caps w:val="0"/>
          <w:smallCaps w:val="0"/>
          <w:color w:val="auto"/>
          <w:spacing w:val="0"/>
          <w:kern w:val="0"/>
          <w:sz w:val="24"/>
          <w:szCs w:val="24"/>
          <w:highlight w:val="none"/>
        </w:rPr>
      </w:pPr>
      <w:r>
        <w:rPr>
          <w:rFonts w:hint="default" w:ascii="Times New Roman" w:hAnsi="Times New Roman" w:eastAsia="宋体" w:cs="Times New Roman"/>
          <w:caps w:val="0"/>
          <w:smallCaps w:val="0"/>
          <w:color w:val="auto"/>
          <w:spacing w:val="0"/>
          <w:kern w:val="0"/>
          <w:sz w:val="24"/>
          <w:szCs w:val="24"/>
          <w:highlight w:val="none"/>
        </w:rPr>
        <w:t>C</w:t>
      </w:r>
      <w:r>
        <w:rPr>
          <w:rFonts w:hint="default" w:ascii="Times New Roman" w:hAnsi="Times New Roman" w:eastAsia="宋体" w:cs="Times New Roman"/>
          <w:caps w:val="0"/>
          <w:smallCaps w:val="0"/>
          <w:color w:val="auto"/>
          <w:spacing w:val="0"/>
          <w:kern w:val="0"/>
          <w:sz w:val="24"/>
          <w:szCs w:val="24"/>
          <w:highlight w:val="none"/>
          <w:vertAlign w:val="subscript"/>
        </w:rPr>
        <w:t>0i</w:t>
      </w:r>
      <w:r>
        <w:rPr>
          <w:rFonts w:hint="default" w:ascii="Times New Roman" w:hAnsi="Times New Roman" w:eastAsia="宋体" w:cs="Times New Roman"/>
          <w:caps w:val="0"/>
          <w:smallCaps w:val="0"/>
          <w:color w:val="auto"/>
          <w:spacing w:val="0"/>
          <w:kern w:val="0"/>
          <w:sz w:val="24"/>
          <w:szCs w:val="24"/>
          <w:highlight w:val="none"/>
        </w:rPr>
        <w:t>—第i个污染物的环境空气质量标准，μg/m</w:t>
      </w:r>
      <w:r>
        <w:rPr>
          <w:rFonts w:hint="default" w:ascii="Times New Roman" w:hAnsi="Times New Roman" w:eastAsia="宋体" w:cs="Times New Roman"/>
          <w:caps w:val="0"/>
          <w:smallCaps w:val="0"/>
          <w:color w:val="auto"/>
          <w:spacing w:val="0"/>
          <w:kern w:val="0"/>
          <w:sz w:val="24"/>
          <w:szCs w:val="24"/>
          <w:highlight w:val="none"/>
          <w:vertAlign w:val="superscript"/>
        </w:rPr>
        <w:t>3</w:t>
      </w:r>
      <w:r>
        <w:rPr>
          <w:rFonts w:hint="default" w:ascii="Times New Roman" w:hAnsi="Times New Roman" w:eastAsia="宋体" w:cs="Times New Roman"/>
          <w:caps w:val="0"/>
          <w:smallCaps w:val="0"/>
          <w:color w:val="auto"/>
          <w:spacing w:val="0"/>
          <w:kern w:val="0"/>
          <w:sz w:val="24"/>
          <w:szCs w:val="24"/>
          <w:highlight w:val="none"/>
        </w:rPr>
        <w:t>；一般选用GB3095中1h平均浓度的二级浓度限值，如项目位于一类环境空气功能区，应选择相应的一级浓度限值；对该标准中未包含的污染物，使用各评价因子1h平均质量浓度限值。对仅有8h平均质量浓度限值、日平均质量浓度限值或年平均质量浓度限值的，可分别按2倍、3倍、6倍折算1h平均质量浓度限值。</w:t>
      </w:r>
    </w:p>
    <w:p w14:paraId="776DEAEC">
      <w:pPr>
        <w:wordWrap w:val="0"/>
        <w:bidi w:val="0"/>
        <w:spacing w:line="360" w:lineRule="auto"/>
        <w:ind w:firstLine="482" w:firstLineChars="200"/>
        <w:jc w:val="left"/>
        <w:rPr>
          <w:rFonts w:hint="default" w:ascii="Times New Roman" w:hAnsi="Times New Roman" w:eastAsia="宋体" w:cs="Times New Roman"/>
          <w:b/>
          <w:bCs/>
          <w:color w:val="auto"/>
          <w:sz w:val="24"/>
          <w:szCs w:val="24"/>
          <w:highlight w:val="none"/>
        </w:rPr>
      </w:pPr>
      <w:bookmarkStart w:id="399" w:name="_Toc24277"/>
      <w:bookmarkStart w:id="400" w:name="_Toc28759"/>
      <w:bookmarkStart w:id="401" w:name="_Toc22847"/>
      <w:bookmarkStart w:id="402" w:name="_Toc12328"/>
      <w:bookmarkStart w:id="403" w:name="_Toc8727"/>
      <w:bookmarkStart w:id="404" w:name="_Toc9112"/>
      <w:r>
        <w:rPr>
          <w:rFonts w:hint="default" w:ascii="Times New Roman" w:hAnsi="Times New Roman" w:eastAsia="宋体" w:cs="Times New Roman"/>
          <w:b/>
          <w:bCs/>
          <w:color w:val="auto"/>
          <w:sz w:val="24"/>
          <w:szCs w:val="24"/>
          <w:highlight w:val="none"/>
        </w:rPr>
        <w:t>2、评价等级判别</w:t>
      </w:r>
      <w:bookmarkEnd w:id="399"/>
      <w:bookmarkEnd w:id="400"/>
      <w:bookmarkEnd w:id="401"/>
      <w:bookmarkEnd w:id="402"/>
      <w:bookmarkEnd w:id="403"/>
      <w:bookmarkEnd w:id="404"/>
    </w:p>
    <w:p w14:paraId="67AFA0DA">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评价等级按下表的分级判据进行划分。</w:t>
      </w:r>
    </w:p>
    <w:p w14:paraId="74B134B3">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w:t>
      </w:r>
      <w:r>
        <w:rPr>
          <w:rFonts w:hint="default" w:ascii="Times New Roman" w:hAnsi="Times New Roman" w:eastAsia="宋体" w:cs="Times New Roman"/>
          <w:b/>
          <w:bCs/>
          <w:color w:val="auto"/>
          <w:kern w:val="2"/>
          <w:sz w:val="24"/>
          <w:szCs w:val="21"/>
          <w:highlight w:val="none"/>
          <w:lang w:val="en-US" w:eastAsia="zh-CN" w:bidi="ar-SA"/>
        </w:rPr>
        <w:t>-</w:t>
      </w:r>
      <w:r>
        <w:rPr>
          <w:rFonts w:hint="eastAsia" w:cs="Times New Roman"/>
          <w:b/>
          <w:bCs/>
          <w:color w:val="auto"/>
          <w:kern w:val="2"/>
          <w:sz w:val="24"/>
          <w:szCs w:val="21"/>
          <w:highlight w:val="none"/>
          <w:lang w:val="en-US" w:eastAsia="zh-CN" w:bidi="ar-SA"/>
        </w:rPr>
        <w:t>7</w:t>
      </w:r>
      <w:r>
        <w:rPr>
          <w:rFonts w:hint="default" w:ascii="Times New Roman" w:hAnsi="Times New Roman" w:eastAsia="宋体" w:cs="Times New Roman"/>
          <w:b/>
          <w:bCs/>
          <w:color w:val="auto"/>
          <w:kern w:val="2"/>
          <w:sz w:val="24"/>
          <w:szCs w:val="21"/>
          <w:highlight w:val="none"/>
          <w:lang w:val="en-US" w:eastAsia="zh-CN" w:bidi="ar-SA"/>
        </w:rPr>
        <w:t xml:space="preserve">  大气评价工作等级分级判据表</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999"/>
        <w:gridCol w:w="5317"/>
      </w:tblGrid>
      <w:tr w14:paraId="49002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03" w:type="pct"/>
            <w:tcBorders>
              <w:tl2br w:val="nil"/>
              <w:tr2bl w:val="nil"/>
            </w:tcBorders>
            <w:noWrap w:val="0"/>
            <w:vAlign w:val="center"/>
          </w:tcPr>
          <w:p w14:paraId="6219FFB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评价工作等级</w:t>
            </w:r>
          </w:p>
        </w:tc>
        <w:tc>
          <w:tcPr>
            <w:tcW w:w="3196" w:type="pct"/>
            <w:tcBorders>
              <w:tl2br w:val="nil"/>
              <w:tr2bl w:val="nil"/>
            </w:tcBorders>
            <w:noWrap w:val="0"/>
            <w:vAlign w:val="center"/>
          </w:tcPr>
          <w:p w14:paraId="5BD3B4D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评价工作分级判据</w:t>
            </w:r>
          </w:p>
        </w:tc>
      </w:tr>
      <w:tr w14:paraId="7A618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03" w:type="pct"/>
            <w:tcBorders>
              <w:tl2br w:val="nil"/>
              <w:tr2bl w:val="nil"/>
            </w:tcBorders>
            <w:noWrap w:val="0"/>
            <w:vAlign w:val="center"/>
          </w:tcPr>
          <w:p w14:paraId="2711652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一级</w:t>
            </w:r>
          </w:p>
        </w:tc>
        <w:tc>
          <w:tcPr>
            <w:tcW w:w="3196" w:type="pct"/>
            <w:tcBorders>
              <w:tl2br w:val="nil"/>
              <w:tr2bl w:val="nil"/>
            </w:tcBorders>
            <w:noWrap w:val="0"/>
            <w:vAlign w:val="center"/>
          </w:tcPr>
          <w:p w14:paraId="2B03A26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Pmax≥10%</w:t>
            </w:r>
          </w:p>
        </w:tc>
      </w:tr>
      <w:tr w14:paraId="20771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03" w:type="pct"/>
            <w:tcBorders>
              <w:tl2br w:val="nil"/>
              <w:tr2bl w:val="nil"/>
            </w:tcBorders>
            <w:noWrap w:val="0"/>
            <w:vAlign w:val="center"/>
          </w:tcPr>
          <w:p w14:paraId="721F8C1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二级</w:t>
            </w:r>
          </w:p>
        </w:tc>
        <w:tc>
          <w:tcPr>
            <w:tcW w:w="3196" w:type="pct"/>
            <w:tcBorders>
              <w:tl2br w:val="nil"/>
              <w:tr2bl w:val="nil"/>
            </w:tcBorders>
            <w:noWrap w:val="0"/>
            <w:vAlign w:val="center"/>
          </w:tcPr>
          <w:p w14:paraId="3D186BF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1%≤Pmax</w:t>
            </w:r>
            <w:r>
              <w:rPr>
                <w:rFonts w:hint="eastAsia" w:ascii="Times New Roman" w:hAnsi="Times New Roman" w:eastAsia="宋体" w:cs="Times New Roman"/>
                <w:color w:val="auto"/>
                <w:kern w:val="2"/>
                <w:sz w:val="21"/>
                <w:szCs w:val="21"/>
                <w:highlight w:val="none"/>
                <w:lang w:val="en-US" w:eastAsia="zh-CN" w:bidi="ar-SA"/>
              </w:rPr>
              <w:t>&lt;</w:t>
            </w:r>
            <w:r>
              <w:rPr>
                <w:rFonts w:hint="default" w:ascii="Times New Roman" w:hAnsi="Times New Roman" w:eastAsia="宋体" w:cs="Times New Roman"/>
                <w:color w:val="auto"/>
                <w:kern w:val="2"/>
                <w:sz w:val="21"/>
                <w:szCs w:val="21"/>
                <w:highlight w:val="none"/>
                <w:lang w:val="en-US" w:eastAsia="zh-CN" w:bidi="ar-SA"/>
              </w:rPr>
              <w:t>10%</w:t>
            </w:r>
          </w:p>
        </w:tc>
      </w:tr>
      <w:tr w14:paraId="7FE3A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803" w:type="pct"/>
            <w:tcBorders>
              <w:tl2br w:val="nil"/>
              <w:tr2bl w:val="nil"/>
            </w:tcBorders>
            <w:noWrap w:val="0"/>
            <w:vAlign w:val="center"/>
          </w:tcPr>
          <w:p w14:paraId="631283B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三级</w:t>
            </w:r>
          </w:p>
        </w:tc>
        <w:tc>
          <w:tcPr>
            <w:tcW w:w="3196" w:type="pct"/>
            <w:tcBorders>
              <w:tl2br w:val="nil"/>
              <w:tr2bl w:val="nil"/>
            </w:tcBorders>
            <w:noWrap w:val="0"/>
            <w:vAlign w:val="center"/>
          </w:tcPr>
          <w:p w14:paraId="561E165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Pmax</w:t>
            </w:r>
            <w:r>
              <w:rPr>
                <w:rFonts w:hint="eastAsia" w:ascii="Times New Roman" w:hAnsi="Times New Roman" w:eastAsia="宋体" w:cs="Times New Roman"/>
                <w:color w:val="auto"/>
                <w:kern w:val="2"/>
                <w:sz w:val="21"/>
                <w:szCs w:val="21"/>
                <w:highlight w:val="none"/>
                <w:lang w:val="en-US" w:eastAsia="zh-CN" w:bidi="ar-SA"/>
              </w:rPr>
              <w:t>&lt;</w:t>
            </w:r>
            <w:r>
              <w:rPr>
                <w:rFonts w:hint="default" w:ascii="Times New Roman" w:hAnsi="Times New Roman" w:eastAsia="宋体" w:cs="Times New Roman"/>
                <w:color w:val="auto"/>
                <w:kern w:val="2"/>
                <w:sz w:val="21"/>
                <w:szCs w:val="21"/>
                <w:highlight w:val="none"/>
                <w:lang w:val="en-US" w:eastAsia="zh-CN" w:bidi="ar-SA"/>
              </w:rPr>
              <w:t>1%</w:t>
            </w:r>
          </w:p>
        </w:tc>
      </w:tr>
    </w:tbl>
    <w:p w14:paraId="3B153936">
      <w:pPr>
        <w:wordWrap w:val="0"/>
        <w:bidi w:val="0"/>
        <w:spacing w:line="360" w:lineRule="auto"/>
        <w:ind w:firstLine="482" w:firstLineChars="200"/>
        <w:jc w:val="left"/>
        <w:rPr>
          <w:rFonts w:hint="default" w:ascii="Times New Roman" w:hAnsi="Times New Roman" w:eastAsia="宋体" w:cs="Times New Roman"/>
          <w:b/>
          <w:bCs/>
          <w:color w:val="auto"/>
          <w:sz w:val="24"/>
          <w:szCs w:val="24"/>
          <w:highlight w:val="none"/>
        </w:rPr>
      </w:pPr>
      <w:bookmarkStart w:id="405" w:name="_Toc14625"/>
      <w:bookmarkStart w:id="406" w:name="_Toc21431"/>
      <w:bookmarkStart w:id="407" w:name="_Toc14504"/>
      <w:bookmarkStart w:id="408" w:name="_Toc32443"/>
      <w:bookmarkStart w:id="409" w:name="_Toc7889"/>
      <w:bookmarkStart w:id="410" w:name="_Toc3406"/>
      <w:r>
        <w:rPr>
          <w:rFonts w:hint="default" w:ascii="Times New Roman" w:hAnsi="Times New Roman" w:eastAsia="宋体" w:cs="Times New Roman"/>
          <w:b/>
          <w:bCs/>
          <w:color w:val="auto"/>
          <w:sz w:val="24"/>
          <w:szCs w:val="24"/>
          <w:highlight w:val="none"/>
        </w:rPr>
        <w:t>3、评价等级判断</w:t>
      </w:r>
      <w:bookmarkEnd w:id="405"/>
      <w:bookmarkEnd w:id="406"/>
      <w:bookmarkEnd w:id="407"/>
      <w:bookmarkEnd w:id="408"/>
      <w:bookmarkEnd w:id="409"/>
      <w:bookmarkEnd w:id="410"/>
    </w:p>
    <w:p w14:paraId="4AFFBEC0">
      <w:pPr>
        <w:wordWrap w:val="0"/>
        <w:spacing w:line="360" w:lineRule="auto"/>
        <w:ind w:firstLine="480" w:firstLineChars="200"/>
        <w:jc w:val="left"/>
        <w:rPr>
          <w:rFonts w:hint="default" w:ascii="Times New Roman" w:hAnsi="Times New Roman" w:eastAsia="宋体" w:cs="Times New Roman"/>
          <w:caps w:val="0"/>
          <w:smallCaps w:val="0"/>
          <w:color w:val="auto"/>
          <w:spacing w:val="0"/>
          <w:kern w:val="0"/>
          <w:sz w:val="24"/>
          <w:szCs w:val="24"/>
          <w:highlight w:val="none"/>
          <w:lang w:val="en-US" w:eastAsia="zh-CN"/>
        </w:rPr>
      </w:pPr>
      <w:r>
        <w:rPr>
          <w:rFonts w:hint="default" w:ascii="Times New Roman" w:hAnsi="Times New Roman" w:eastAsia="宋体" w:cs="Times New Roman"/>
          <w:caps w:val="0"/>
          <w:smallCaps w:val="0"/>
          <w:color w:val="auto"/>
          <w:spacing w:val="0"/>
          <w:kern w:val="0"/>
          <w:sz w:val="24"/>
          <w:szCs w:val="24"/>
          <w:highlight w:val="none"/>
        </w:rPr>
        <w:t>根据《环境影响评价技术导则大气环境》（HJ2.2-2018），利用大气环评专业辅助系统（EIAProA1.1版）大气预测软件，采用AERSCREEN模型进行筛选计算各种污染物的最大地面浓度占标率Pi。综合项目废气源强分析、现行环境质量控制标准要求、废气污染物监测方法以及污染物的危害程度，确定本次大气评价的因子为：</w:t>
      </w:r>
      <w:r>
        <w:rPr>
          <w:rFonts w:hint="eastAsia" w:ascii="Times New Roman" w:hAnsi="Times New Roman" w:eastAsia="宋体" w:cs="Times New Roman"/>
          <w:color w:val="auto"/>
          <w:sz w:val="24"/>
          <w:szCs w:val="24"/>
          <w:highlight w:val="none"/>
          <w:lang w:val="en-US" w:eastAsia="zh-CN"/>
        </w:rPr>
        <w:t>颗粒物、SO</w:t>
      </w:r>
      <w:r>
        <w:rPr>
          <w:rFonts w:hint="eastAsia" w:ascii="Times New Roman" w:hAnsi="Times New Roman" w:eastAsia="宋体" w:cs="Times New Roman"/>
          <w:color w:val="auto"/>
          <w:sz w:val="24"/>
          <w:szCs w:val="24"/>
          <w:highlight w:val="none"/>
          <w:vertAlign w:val="subscript"/>
          <w:lang w:val="en-US" w:eastAsia="zh-CN"/>
        </w:rPr>
        <w:t>2</w:t>
      </w:r>
      <w:r>
        <w:rPr>
          <w:rFonts w:hint="eastAsia" w:ascii="Times New Roman" w:hAnsi="Times New Roman" w:eastAsia="宋体" w:cs="Times New Roman"/>
          <w:color w:val="auto"/>
          <w:sz w:val="24"/>
          <w:szCs w:val="24"/>
          <w:highlight w:val="none"/>
          <w:lang w:val="en-US" w:eastAsia="zh-CN"/>
        </w:rPr>
        <w:t>、NOx、非甲烷总烃。</w:t>
      </w:r>
    </w:p>
    <w:p w14:paraId="60D43155">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bookmarkStart w:id="411" w:name="_Toc10434"/>
      <w:bookmarkStart w:id="412" w:name="_Toc18731"/>
      <w:bookmarkStart w:id="413" w:name="_Toc24953"/>
      <w:bookmarkStart w:id="414" w:name="_Toc15545"/>
      <w:bookmarkStart w:id="415" w:name="_Toc4223"/>
      <w:bookmarkStart w:id="416" w:name="_Toc21910"/>
      <w:r>
        <w:rPr>
          <w:rFonts w:hint="default" w:ascii="Times New Roman" w:hAnsi="Times New Roman" w:eastAsia="宋体" w:cs="Times New Roman"/>
          <w:color w:val="auto"/>
          <w:sz w:val="24"/>
          <w:szCs w:val="24"/>
          <w:highlight w:val="none"/>
        </w:rPr>
        <w:t>（1）评价因子和评价标准筛选</w:t>
      </w:r>
      <w:bookmarkEnd w:id="411"/>
      <w:bookmarkEnd w:id="412"/>
      <w:bookmarkEnd w:id="413"/>
      <w:bookmarkEnd w:id="414"/>
      <w:bookmarkEnd w:id="415"/>
      <w:bookmarkEnd w:id="416"/>
    </w:p>
    <w:p w14:paraId="12614A62">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w:t>
      </w:r>
      <w:r>
        <w:rPr>
          <w:rFonts w:hint="default" w:ascii="Times New Roman" w:hAnsi="Times New Roman" w:eastAsia="宋体" w:cs="Times New Roman"/>
          <w:b/>
          <w:bCs/>
          <w:color w:val="auto"/>
          <w:kern w:val="2"/>
          <w:sz w:val="24"/>
          <w:szCs w:val="21"/>
          <w:highlight w:val="none"/>
          <w:lang w:val="en-US" w:eastAsia="zh-CN" w:bidi="ar-SA"/>
        </w:rPr>
        <w:t>-</w:t>
      </w:r>
      <w:r>
        <w:rPr>
          <w:rFonts w:hint="eastAsia" w:cs="Times New Roman"/>
          <w:b/>
          <w:bCs/>
          <w:color w:val="auto"/>
          <w:kern w:val="2"/>
          <w:sz w:val="24"/>
          <w:szCs w:val="21"/>
          <w:highlight w:val="none"/>
          <w:lang w:val="en-US" w:eastAsia="zh-CN" w:bidi="ar-SA"/>
        </w:rPr>
        <w:t>8</w:t>
      </w:r>
      <w:r>
        <w:rPr>
          <w:rFonts w:hint="default" w:ascii="Times New Roman" w:hAnsi="Times New Roman" w:eastAsia="宋体" w:cs="Times New Roman"/>
          <w:b/>
          <w:bCs/>
          <w:color w:val="auto"/>
          <w:kern w:val="2"/>
          <w:sz w:val="24"/>
          <w:szCs w:val="21"/>
          <w:highlight w:val="none"/>
          <w:lang w:val="en-US" w:eastAsia="zh-CN" w:bidi="ar-SA"/>
        </w:rPr>
        <w:t xml:space="preserve">  污染物评价标准</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54"/>
        <w:gridCol w:w="1701"/>
        <w:gridCol w:w="5358"/>
      </w:tblGrid>
      <w:tr w14:paraId="11F3A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54" w:type="pct"/>
            <w:noWrap w:val="0"/>
            <w:vAlign w:val="center"/>
          </w:tcPr>
          <w:p w14:paraId="67F41F1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评价因子</w:t>
            </w:r>
          </w:p>
        </w:tc>
        <w:tc>
          <w:tcPr>
            <w:tcW w:w="1023" w:type="pct"/>
            <w:noWrap w:val="0"/>
            <w:vAlign w:val="center"/>
          </w:tcPr>
          <w:p w14:paraId="0B0EDE6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标准值（μg/</w:t>
            </w:r>
            <w:r>
              <w:rPr>
                <w:rFonts w:hint="eastAsia" w:ascii="Times New Roman" w:hAnsi="Times New Roman" w:eastAsia="宋体" w:cs="Times New Roman"/>
                <w:b/>
                <w:bCs/>
                <w:color w:val="auto"/>
                <w:kern w:val="2"/>
                <w:sz w:val="21"/>
                <w:szCs w:val="21"/>
                <w:highlight w:val="none"/>
                <w:lang w:val="en-US" w:eastAsia="zh-CN" w:bidi="ar-SA"/>
              </w:rPr>
              <w:t>m³</w:t>
            </w:r>
            <w:r>
              <w:rPr>
                <w:rFonts w:hint="default" w:ascii="Times New Roman" w:hAnsi="Times New Roman" w:eastAsia="宋体" w:cs="Times New Roman"/>
                <w:b/>
                <w:bCs/>
                <w:color w:val="auto"/>
                <w:kern w:val="2"/>
                <w:sz w:val="21"/>
                <w:szCs w:val="21"/>
                <w:highlight w:val="none"/>
                <w:lang w:val="en-US" w:eastAsia="zh-CN" w:bidi="ar-SA"/>
              </w:rPr>
              <w:t>）</w:t>
            </w:r>
          </w:p>
        </w:tc>
        <w:tc>
          <w:tcPr>
            <w:tcW w:w="3222" w:type="pct"/>
            <w:noWrap w:val="0"/>
            <w:vAlign w:val="center"/>
          </w:tcPr>
          <w:p w14:paraId="63452FA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标准来源</w:t>
            </w:r>
          </w:p>
        </w:tc>
      </w:tr>
      <w:tr w14:paraId="2D2BC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54" w:type="pct"/>
            <w:noWrap w:val="0"/>
            <w:vAlign w:val="center"/>
          </w:tcPr>
          <w:p w14:paraId="20379936">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1023" w:type="pct"/>
            <w:noWrap w:val="0"/>
            <w:vAlign w:val="center"/>
          </w:tcPr>
          <w:p w14:paraId="2308139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450</w:t>
            </w:r>
          </w:p>
        </w:tc>
        <w:tc>
          <w:tcPr>
            <w:tcW w:w="3222" w:type="pct"/>
            <w:vMerge w:val="restart"/>
            <w:noWrap w:val="0"/>
            <w:vAlign w:val="center"/>
          </w:tcPr>
          <w:p w14:paraId="3C27A28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《环境空气质量标准》（GB3095-2012）二级标准</w:t>
            </w:r>
          </w:p>
        </w:tc>
      </w:tr>
      <w:tr w14:paraId="41221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54" w:type="pct"/>
            <w:noWrap w:val="0"/>
            <w:vAlign w:val="center"/>
          </w:tcPr>
          <w:p w14:paraId="3226F02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p>
        </w:tc>
        <w:tc>
          <w:tcPr>
            <w:tcW w:w="1023" w:type="pct"/>
            <w:noWrap w:val="0"/>
            <w:vAlign w:val="center"/>
          </w:tcPr>
          <w:p w14:paraId="1B3A3F6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500</w:t>
            </w:r>
          </w:p>
        </w:tc>
        <w:tc>
          <w:tcPr>
            <w:tcW w:w="3222" w:type="pct"/>
            <w:vMerge w:val="continue"/>
            <w:noWrap w:val="0"/>
            <w:vAlign w:val="center"/>
          </w:tcPr>
          <w:p w14:paraId="3133D0E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r>
      <w:tr w14:paraId="53106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54" w:type="pct"/>
            <w:noWrap w:val="0"/>
            <w:vAlign w:val="center"/>
          </w:tcPr>
          <w:p w14:paraId="701A8ED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NOx</w:t>
            </w:r>
          </w:p>
        </w:tc>
        <w:tc>
          <w:tcPr>
            <w:tcW w:w="1023" w:type="pct"/>
            <w:noWrap w:val="0"/>
            <w:vAlign w:val="center"/>
          </w:tcPr>
          <w:p w14:paraId="76CC3E4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200</w:t>
            </w:r>
          </w:p>
        </w:tc>
        <w:tc>
          <w:tcPr>
            <w:tcW w:w="3222" w:type="pct"/>
            <w:vMerge w:val="continue"/>
            <w:noWrap w:val="0"/>
            <w:vAlign w:val="center"/>
          </w:tcPr>
          <w:p w14:paraId="638C701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r>
      <w:tr w14:paraId="73863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54" w:type="pct"/>
            <w:noWrap w:val="0"/>
            <w:vAlign w:val="center"/>
          </w:tcPr>
          <w:p w14:paraId="37160CC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1023" w:type="pct"/>
            <w:noWrap w:val="0"/>
            <w:vAlign w:val="center"/>
          </w:tcPr>
          <w:p w14:paraId="594A737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2000</w:t>
            </w:r>
          </w:p>
        </w:tc>
        <w:tc>
          <w:tcPr>
            <w:tcW w:w="3222" w:type="pct"/>
            <w:noWrap w:val="0"/>
            <w:vAlign w:val="center"/>
          </w:tcPr>
          <w:p w14:paraId="2F40836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评价标准参考《环境影响评价技术导则大气环境》（HJ2.2-2018）中附录D.1其他污染物空气质量浓度参考限值</w:t>
            </w:r>
          </w:p>
        </w:tc>
      </w:tr>
    </w:tbl>
    <w:p w14:paraId="705FB435">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bookmarkStart w:id="417" w:name="_Toc13701"/>
      <w:bookmarkStart w:id="418" w:name="_Toc24555"/>
      <w:bookmarkStart w:id="419" w:name="_Toc7447"/>
      <w:bookmarkStart w:id="420" w:name="_Toc7042"/>
      <w:bookmarkStart w:id="421" w:name="_Toc2943"/>
      <w:bookmarkStart w:id="422" w:name="_Toc25921"/>
      <w:r>
        <w:rPr>
          <w:rFonts w:hint="default" w:ascii="Times New Roman" w:hAnsi="Times New Roman" w:eastAsia="宋体" w:cs="Times New Roman"/>
          <w:color w:val="auto"/>
          <w:sz w:val="24"/>
          <w:szCs w:val="24"/>
          <w:highlight w:val="none"/>
        </w:rPr>
        <w:t>（2）估算模型参数</w:t>
      </w:r>
      <w:bookmarkEnd w:id="417"/>
      <w:bookmarkEnd w:id="418"/>
      <w:bookmarkEnd w:id="419"/>
      <w:bookmarkEnd w:id="420"/>
      <w:bookmarkEnd w:id="421"/>
      <w:bookmarkEnd w:id="422"/>
    </w:p>
    <w:p w14:paraId="2EA52426">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w:t>
      </w:r>
      <w:r>
        <w:rPr>
          <w:rFonts w:hint="default" w:ascii="Times New Roman" w:hAnsi="Times New Roman" w:eastAsia="宋体" w:cs="Times New Roman"/>
          <w:b/>
          <w:bCs/>
          <w:color w:val="auto"/>
          <w:kern w:val="2"/>
          <w:sz w:val="24"/>
          <w:szCs w:val="21"/>
          <w:highlight w:val="none"/>
          <w:lang w:val="en-US" w:eastAsia="zh-CN" w:bidi="ar-SA"/>
        </w:rPr>
        <w:t>-</w:t>
      </w:r>
      <w:r>
        <w:rPr>
          <w:rFonts w:hint="eastAsia" w:cs="Times New Roman"/>
          <w:b/>
          <w:bCs/>
          <w:color w:val="auto"/>
          <w:kern w:val="2"/>
          <w:sz w:val="24"/>
          <w:szCs w:val="21"/>
          <w:highlight w:val="none"/>
          <w:lang w:val="en-US" w:eastAsia="zh-CN" w:bidi="ar-SA"/>
        </w:rPr>
        <w:t>9</w:t>
      </w:r>
      <w:r>
        <w:rPr>
          <w:rFonts w:hint="default" w:ascii="Times New Roman" w:hAnsi="Times New Roman" w:eastAsia="宋体" w:cs="Times New Roman"/>
          <w:b/>
          <w:bCs/>
          <w:color w:val="auto"/>
          <w:kern w:val="2"/>
          <w:sz w:val="24"/>
          <w:szCs w:val="21"/>
          <w:highlight w:val="none"/>
          <w:lang w:val="en-US" w:eastAsia="zh-CN" w:bidi="ar-SA"/>
        </w:rPr>
        <w:t xml:space="preserve">  估算模型参数表</w:t>
      </w:r>
    </w:p>
    <w:tbl>
      <w:tblPr>
        <w:tblStyle w:val="4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244"/>
        <w:gridCol w:w="2912"/>
        <w:gridCol w:w="3158"/>
      </w:tblGrid>
      <w:tr w14:paraId="527F4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00" w:type="pct"/>
            <w:gridSpan w:val="2"/>
            <w:tcBorders>
              <w:tl2br w:val="nil"/>
              <w:tr2bl w:val="nil"/>
            </w:tcBorders>
            <w:noWrap w:val="0"/>
            <w:vAlign w:val="center"/>
          </w:tcPr>
          <w:p w14:paraId="0037B3F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参数</w:t>
            </w:r>
          </w:p>
        </w:tc>
        <w:tc>
          <w:tcPr>
            <w:tcW w:w="1899" w:type="pct"/>
            <w:tcBorders>
              <w:tl2br w:val="nil"/>
              <w:tr2bl w:val="nil"/>
            </w:tcBorders>
            <w:noWrap w:val="0"/>
            <w:vAlign w:val="center"/>
          </w:tcPr>
          <w:p w14:paraId="3D6EA20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取值</w:t>
            </w:r>
          </w:p>
        </w:tc>
      </w:tr>
      <w:tr w14:paraId="7E08E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49" w:type="pct"/>
            <w:vMerge w:val="restart"/>
            <w:tcBorders>
              <w:tl2br w:val="nil"/>
              <w:tr2bl w:val="nil"/>
            </w:tcBorders>
            <w:noWrap w:val="0"/>
            <w:vAlign w:val="center"/>
          </w:tcPr>
          <w:p w14:paraId="4FF9891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城市农村/选项</w:t>
            </w:r>
          </w:p>
        </w:tc>
        <w:tc>
          <w:tcPr>
            <w:tcW w:w="1751" w:type="pct"/>
            <w:tcBorders>
              <w:tl2br w:val="nil"/>
              <w:tr2bl w:val="nil"/>
            </w:tcBorders>
            <w:noWrap w:val="0"/>
            <w:vAlign w:val="center"/>
          </w:tcPr>
          <w:p w14:paraId="77098FF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城市/农村</w:t>
            </w:r>
          </w:p>
        </w:tc>
        <w:tc>
          <w:tcPr>
            <w:tcW w:w="1899" w:type="pct"/>
            <w:tcBorders>
              <w:tl2br w:val="nil"/>
              <w:tr2bl w:val="nil"/>
            </w:tcBorders>
            <w:noWrap w:val="0"/>
            <w:vAlign w:val="center"/>
          </w:tcPr>
          <w:p w14:paraId="664135E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城市</w:t>
            </w:r>
          </w:p>
        </w:tc>
      </w:tr>
      <w:tr w14:paraId="27259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49" w:type="pct"/>
            <w:vMerge w:val="continue"/>
            <w:tcBorders>
              <w:tl2br w:val="nil"/>
              <w:tr2bl w:val="nil"/>
            </w:tcBorders>
            <w:noWrap w:val="0"/>
            <w:vAlign w:val="center"/>
          </w:tcPr>
          <w:p w14:paraId="5D64A0B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751" w:type="pct"/>
            <w:tcBorders>
              <w:tl2br w:val="nil"/>
              <w:tr2bl w:val="nil"/>
            </w:tcBorders>
            <w:noWrap w:val="0"/>
            <w:vAlign w:val="center"/>
          </w:tcPr>
          <w:p w14:paraId="151A15F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人口数（城市选项时）</w:t>
            </w:r>
          </w:p>
        </w:tc>
        <w:tc>
          <w:tcPr>
            <w:tcW w:w="1899" w:type="pct"/>
            <w:tcBorders>
              <w:tl2br w:val="nil"/>
              <w:tr2bl w:val="nil"/>
            </w:tcBorders>
            <w:noWrap w:val="0"/>
            <w:vAlign w:val="center"/>
          </w:tcPr>
          <w:p w14:paraId="0CEAA41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74.3</w:t>
            </w:r>
            <w:r>
              <w:rPr>
                <w:rFonts w:hint="default" w:ascii="Times New Roman" w:hAnsi="Times New Roman" w:eastAsia="宋体" w:cs="Times New Roman"/>
                <w:color w:val="auto"/>
                <w:kern w:val="2"/>
                <w:sz w:val="21"/>
                <w:szCs w:val="21"/>
                <w:highlight w:val="none"/>
                <w:lang w:val="en-US" w:eastAsia="zh-CN" w:bidi="ar-SA"/>
              </w:rPr>
              <w:t>万</w:t>
            </w:r>
          </w:p>
        </w:tc>
      </w:tr>
      <w:tr w14:paraId="3FD48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00" w:type="pct"/>
            <w:gridSpan w:val="2"/>
            <w:tcBorders>
              <w:tl2br w:val="nil"/>
              <w:tr2bl w:val="nil"/>
            </w:tcBorders>
            <w:noWrap w:val="0"/>
            <w:vAlign w:val="center"/>
          </w:tcPr>
          <w:p w14:paraId="7A29657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最高环境温度/℃</w:t>
            </w:r>
          </w:p>
        </w:tc>
        <w:tc>
          <w:tcPr>
            <w:tcW w:w="1899" w:type="pct"/>
            <w:tcBorders>
              <w:tl2br w:val="nil"/>
              <w:tr2bl w:val="nil"/>
            </w:tcBorders>
            <w:noWrap w:val="0"/>
            <w:vAlign w:val="center"/>
          </w:tcPr>
          <w:p w14:paraId="0030F40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41.2</w:t>
            </w:r>
          </w:p>
        </w:tc>
      </w:tr>
      <w:tr w14:paraId="10C72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00" w:type="pct"/>
            <w:gridSpan w:val="2"/>
            <w:tcBorders>
              <w:tl2br w:val="nil"/>
              <w:tr2bl w:val="nil"/>
            </w:tcBorders>
            <w:noWrap w:val="0"/>
            <w:vAlign w:val="center"/>
          </w:tcPr>
          <w:p w14:paraId="2214173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最低环境温度/℃</w:t>
            </w:r>
          </w:p>
        </w:tc>
        <w:tc>
          <w:tcPr>
            <w:tcW w:w="1899" w:type="pct"/>
            <w:tcBorders>
              <w:tl2br w:val="nil"/>
              <w:tr2bl w:val="nil"/>
            </w:tcBorders>
            <w:noWrap w:val="0"/>
            <w:vAlign w:val="center"/>
          </w:tcPr>
          <w:p w14:paraId="0A12A7A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-22.2</w:t>
            </w:r>
          </w:p>
        </w:tc>
      </w:tr>
      <w:tr w14:paraId="5B0CD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00" w:type="pct"/>
            <w:gridSpan w:val="2"/>
            <w:tcBorders>
              <w:tl2br w:val="nil"/>
              <w:tr2bl w:val="nil"/>
            </w:tcBorders>
            <w:noWrap w:val="0"/>
            <w:vAlign w:val="center"/>
          </w:tcPr>
          <w:p w14:paraId="10D1FAA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土地利用类型</w:t>
            </w:r>
          </w:p>
        </w:tc>
        <w:tc>
          <w:tcPr>
            <w:tcW w:w="1899" w:type="pct"/>
            <w:tcBorders>
              <w:tl2br w:val="nil"/>
              <w:tr2bl w:val="nil"/>
            </w:tcBorders>
            <w:noWrap w:val="0"/>
            <w:vAlign w:val="center"/>
          </w:tcPr>
          <w:p w14:paraId="788071D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城市</w:t>
            </w:r>
          </w:p>
        </w:tc>
      </w:tr>
      <w:tr w14:paraId="0392F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100" w:type="pct"/>
            <w:gridSpan w:val="2"/>
            <w:tcBorders>
              <w:tl2br w:val="nil"/>
              <w:tr2bl w:val="nil"/>
            </w:tcBorders>
            <w:noWrap w:val="0"/>
            <w:vAlign w:val="center"/>
          </w:tcPr>
          <w:p w14:paraId="6AE3343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区域湿度条件</w:t>
            </w:r>
          </w:p>
        </w:tc>
        <w:tc>
          <w:tcPr>
            <w:tcW w:w="1899" w:type="pct"/>
            <w:tcBorders>
              <w:tl2br w:val="nil"/>
              <w:tr2bl w:val="nil"/>
            </w:tcBorders>
            <w:noWrap w:val="0"/>
            <w:vAlign w:val="center"/>
          </w:tcPr>
          <w:p w14:paraId="09F9FBA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潮湿</w:t>
            </w:r>
          </w:p>
        </w:tc>
      </w:tr>
      <w:tr w14:paraId="1619F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49" w:type="pct"/>
            <w:vMerge w:val="restart"/>
            <w:tcBorders>
              <w:tl2br w:val="nil"/>
              <w:tr2bl w:val="nil"/>
            </w:tcBorders>
            <w:noWrap w:val="0"/>
            <w:vAlign w:val="center"/>
          </w:tcPr>
          <w:p w14:paraId="0CE4226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是否考虑地形</w:t>
            </w:r>
          </w:p>
        </w:tc>
        <w:tc>
          <w:tcPr>
            <w:tcW w:w="1751" w:type="pct"/>
            <w:tcBorders>
              <w:tl2br w:val="nil"/>
              <w:tr2bl w:val="nil"/>
            </w:tcBorders>
            <w:noWrap w:val="0"/>
            <w:vAlign w:val="center"/>
          </w:tcPr>
          <w:p w14:paraId="51C398B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考虑地形</w:t>
            </w:r>
          </w:p>
        </w:tc>
        <w:tc>
          <w:tcPr>
            <w:tcW w:w="1899" w:type="pct"/>
            <w:tcBorders>
              <w:tl2br w:val="nil"/>
              <w:tr2bl w:val="nil"/>
            </w:tcBorders>
            <w:noWrap w:val="0"/>
            <w:vAlign w:val="center"/>
          </w:tcPr>
          <w:p w14:paraId="73775AB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bookmarkStart w:id="423" w:name="_Toc14785"/>
            <w:bookmarkStart w:id="424" w:name="_Toc24890"/>
            <w:r>
              <w:rPr>
                <w:rFonts w:hint="default" w:ascii="Times New Roman" w:hAnsi="Times New Roman" w:eastAsia="宋体" w:cs="Times New Roman"/>
                <w:color w:val="auto"/>
                <w:kern w:val="2"/>
                <w:sz w:val="21"/>
                <w:szCs w:val="21"/>
                <w:highlight w:val="none"/>
                <w:lang w:val="en-US" w:eastAsia="zh-CN" w:bidi="ar-SA"/>
              </w:rPr>
              <w:t>☑是□否</w:t>
            </w:r>
            <w:bookmarkEnd w:id="423"/>
            <w:bookmarkEnd w:id="424"/>
          </w:p>
        </w:tc>
      </w:tr>
      <w:tr w14:paraId="1F3E8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49" w:type="pct"/>
            <w:vMerge w:val="continue"/>
            <w:tcBorders>
              <w:tl2br w:val="nil"/>
              <w:tr2bl w:val="nil"/>
            </w:tcBorders>
            <w:noWrap w:val="0"/>
            <w:vAlign w:val="center"/>
          </w:tcPr>
          <w:p w14:paraId="4AF643B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751" w:type="pct"/>
            <w:tcBorders>
              <w:tl2br w:val="nil"/>
              <w:tr2bl w:val="nil"/>
            </w:tcBorders>
            <w:noWrap w:val="0"/>
            <w:vAlign w:val="center"/>
          </w:tcPr>
          <w:p w14:paraId="4211019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地形数据分辨率（m）</w:t>
            </w:r>
          </w:p>
        </w:tc>
        <w:tc>
          <w:tcPr>
            <w:tcW w:w="1899" w:type="pct"/>
            <w:tcBorders>
              <w:tl2br w:val="nil"/>
              <w:tr2bl w:val="nil"/>
            </w:tcBorders>
            <w:noWrap w:val="0"/>
            <w:vAlign w:val="center"/>
          </w:tcPr>
          <w:p w14:paraId="69C44FC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90</w:t>
            </w:r>
          </w:p>
        </w:tc>
      </w:tr>
      <w:tr w14:paraId="2CE31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49" w:type="pct"/>
            <w:vMerge w:val="restart"/>
            <w:tcBorders>
              <w:tl2br w:val="nil"/>
              <w:tr2bl w:val="nil"/>
            </w:tcBorders>
            <w:noWrap w:val="0"/>
            <w:vAlign w:val="center"/>
          </w:tcPr>
          <w:p w14:paraId="3D22EFB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是否考虑岸线熏烟</w:t>
            </w:r>
          </w:p>
        </w:tc>
        <w:tc>
          <w:tcPr>
            <w:tcW w:w="1751" w:type="pct"/>
            <w:tcBorders>
              <w:tl2br w:val="nil"/>
              <w:tr2bl w:val="nil"/>
            </w:tcBorders>
            <w:noWrap w:val="0"/>
            <w:vAlign w:val="center"/>
          </w:tcPr>
          <w:p w14:paraId="7B65C1B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考虑岸线熏烟</w:t>
            </w:r>
          </w:p>
        </w:tc>
        <w:tc>
          <w:tcPr>
            <w:tcW w:w="1899" w:type="pct"/>
            <w:tcBorders>
              <w:tl2br w:val="nil"/>
              <w:tr2bl w:val="nil"/>
            </w:tcBorders>
            <w:noWrap w:val="0"/>
            <w:vAlign w:val="center"/>
          </w:tcPr>
          <w:p w14:paraId="22B8941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bookmarkStart w:id="425" w:name="_Toc28147"/>
            <w:bookmarkStart w:id="426" w:name="_Toc25806"/>
            <w:r>
              <w:rPr>
                <w:rFonts w:hint="default" w:ascii="Times New Roman" w:hAnsi="Times New Roman" w:eastAsia="宋体" w:cs="Times New Roman"/>
                <w:color w:val="auto"/>
                <w:kern w:val="2"/>
                <w:sz w:val="21"/>
                <w:szCs w:val="21"/>
                <w:highlight w:val="none"/>
                <w:lang w:val="en-US" w:eastAsia="zh-CN" w:bidi="ar-SA"/>
              </w:rPr>
              <w:t>□是☑否</w:t>
            </w:r>
            <w:bookmarkEnd w:id="425"/>
            <w:bookmarkEnd w:id="426"/>
          </w:p>
        </w:tc>
      </w:tr>
      <w:tr w14:paraId="345CD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49" w:type="pct"/>
            <w:vMerge w:val="continue"/>
            <w:tcBorders>
              <w:tl2br w:val="nil"/>
              <w:tr2bl w:val="nil"/>
            </w:tcBorders>
            <w:noWrap w:val="0"/>
            <w:vAlign w:val="center"/>
          </w:tcPr>
          <w:p w14:paraId="7E19674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751" w:type="pct"/>
            <w:tcBorders>
              <w:tl2br w:val="nil"/>
              <w:tr2bl w:val="nil"/>
            </w:tcBorders>
            <w:noWrap w:val="0"/>
            <w:vAlign w:val="center"/>
          </w:tcPr>
          <w:p w14:paraId="3251E3C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岸线距离/km</w:t>
            </w:r>
          </w:p>
        </w:tc>
        <w:tc>
          <w:tcPr>
            <w:tcW w:w="1899" w:type="pct"/>
            <w:tcBorders>
              <w:tl2br w:val="nil"/>
              <w:tr2bl w:val="nil"/>
            </w:tcBorders>
            <w:noWrap w:val="0"/>
            <w:vAlign w:val="center"/>
          </w:tcPr>
          <w:p w14:paraId="388C9B5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r>
      <w:tr w14:paraId="3E76E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49" w:type="pct"/>
            <w:vMerge w:val="continue"/>
            <w:tcBorders>
              <w:tl2br w:val="nil"/>
              <w:tr2bl w:val="nil"/>
            </w:tcBorders>
            <w:noWrap w:val="0"/>
            <w:vAlign w:val="center"/>
          </w:tcPr>
          <w:p w14:paraId="34213A0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751" w:type="pct"/>
            <w:tcBorders>
              <w:tl2br w:val="nil"/>
              <w:tr2bl w:val="nil"/>
            </w:tcBorders>
            <w:noWrap w:val="0"/>
            <w:vAlign w:val="center"/>
          </w:tcPr>
          <w:p w14:paraId="6E8F591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岸线方向/o</w:t>
            </w:r>
          </w:p>
        </w:tc>
        <w:tc>
          <w:tcPr>
            <w:tcW w:w="1899" w:type="pct"/>
            <w:tcBorders>
              <w:tl2br w:val="nil"/>
              <w:tr2bl w:val="nil"/>
            </w:tcBorders>
            <w:noWrap w:val="0"/>
            <w:vAlign w:val="center"/>
          </w:tcPr>
          <w:p w14:paraId="53A5BD6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r>
    </w:tbl>
    <w:p w14:paraId="7A66F9DA">
      <w:pPr>
        <w:keepNext w:val="0"/>
        <w:keepLines w:val="0"/>
        <w:pageBreakBefore w:val="0"/>
        <w:widowControl/>
        <w:kinsoku/>
        <w:wordWrap/>
        <w:overflowPunct/>
        <w:topLinePunct w:val="0"/>
        <w:autoSpaceDE/>
        <w:autoSpaceDN/>
        <w:bidi w:val="0"/>
        <w:adjustRightInd w:val="0"/>
        <w:snapToGrid/>
        <w:spacing w:line="360" w:lineRule="auto"/>
        <w:ind w:firstLine="480" w:firstLineChars="200"/>
        <w:jc w:val="both"/>
        <w:textAlignment w:val="baseline"/>
        <w:rPr>
          <w:rFonts w:hint="eastAsia" w:ascii="Times New Roman" w:hAnsi="Times New Roman" w:eastAsia="宋体" w:cs="Times New Roman"/>
          <w:color w:val="auto"/>
          <w:sz w:val="24"/>
          <w:szCs w:val="24"/>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33864822">
      <w:pPr>
        <w:keepNext w:val="0"/>
        <w:keepLines w:val="0"/>
        <w:pageBreakBefore w:val="0"/>
        <w:widowControl/>
        <w:kinsoku/>
        <w:wordWrap/>
        <w:overflowPunct/>
        <w:topLinePunct/>
        <w:autoSpaceDE/>
        <w:autoSpaceDN/>
        <w:bidi w:val="0"/>
        <w:adjustRightInd w:val="0"/>
        <w:snapToGrid/>
        <w:spacing w:line="360" w:lineRule="auto"/>
        <w:jc w:val="center"/>
        <w:textAlignment w:val="baseline"/>
        <w:rPr>
          <w:color w:val="auto"/>
          <w:position w:val="-119"/>
          <w:highlight w:val="none"/>
        </w:rPr>
      </w:pPr>
      <w:r>
        <w:rPr>
          <w:color w:val="auto"/>
          <w:highlight w:val="none"/>
        </w:rPr>
        <w:drawing>
          <wp:anchor distT="0" distB="0" distL="114300" distR="114300" simplePos="0" relativeHeight="251722752" behindDoc="0" locked="0" layoutInCell="1" allowOverlap="1">
            <wp:simplePos x="0" y="0"/>
            <wp:positionH relativeFrom="column">
              <wp:posOffset>7051675</wp:posOffset>
            </wp:positionH>
            <wp:positionV relativeFrom="paragraph">
              <wp:posOffset>61595</wp:posOffset>
            </wp:positionV>
            <wp:extent cx="876300" cy="908050"/>
            <wp:effectExtent l="0" t="0" r="0" b="6350"/>
            <wp:wrapNone/>
            <wp:docPr id="286"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734"/>
                    <pic:cNvPicPr>
                      <a:picLocks noChangeAspect="1"/>
                    </pic:cNvPicPr>
                  </pic:nvPicPr>
                  <pic:blipFill>
                    <a:blip r:embed="rId62"/>
                    <a:stretch>
                      <a:fillRect/>
                    </a:stretch>
                  </pic:blipFill>
                  <pic:spPr>
                    <a:xfrm>
                      <a:off x="0" y="0"/>
                      <a:ext cx="876300" cy="908050"/>
                    </a:xfrm>
                    <a:prstGeom prst="rect">
                      <a:avLst/>
                    </a:prstGeom>
                    <a:noFill/>
                    <a:ln>
                      <a:noFill/>
                    </a:ln>
                  </pic:spPr>
                </pic:pic>
              </a:graphicData>
            </a:graphic>
          </wp:anchor>
        </w:drawing>
      </w:r>
      <w:r>
        <w:rPr>
          <w:rFonts w:hint="eastAsia" w:ascii="Times New Roman" w:hAnsi="Times New Roman" w:eastAsia="黑体" w:cs="Times New Roman"/>
          <w:b/>
          <w:bCs w:val="0"/>
          <w:caps w:val="0"/>
          <w:smallCaps w:val="0"/>
          <w:color w:val="auto"/>
          <w:spacing w:val="0"/>
          <w:kern w:val="0"/>
          <w:sz w:val="24"/>
          <w:highlight w:val="none"/>
          <w:lang w:eastAsia="zh-CN"/>
        </w:rPr>
        <w:drawing>
          <wp:inline distT="0" distB="0" distL="114300" distR="114300">
            <wp:extent cx="7245350" cy="4744720"/>
            <wp:effectExtent l="0" t="0" r="12700" b="17780"/>
            <wp:docPr id="574" name="图片 242" descr="15d0ff2a08917fb26817440c77964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242" descr="15d0ff2a08917fb26817440c779643a"/>
                    <pic:cNvPicPr>
                      <a:picLocks noChangeAspect="1"/>
                    </pic:cNvPicPr>
                  </pic:nvPicPr>
                  <pic:blipFill>
                    <a:blip r:embed="rId63"/>
                    <a:stretch>
                      <a:fillRect/>
                    </a:stretch>
                  </pic:blipFill>
                  <pic:spPr>
                    <a:xfrm>
                      <a:off x="0" y="0"/>
                      <a:ext cx="7245350" cy="4744720"/>
                    </a:xfrm>
                    <a:prstGeom prst="rect">
                      <a:avLst/>
                    </a:prstGeom>
                    <a:noFill/>
                    <a:ln>
                      <a:noFill/>
                    </a:ln>
                  </pic:spPr>
                </pic:pic>
              </a:graphicData>
            </a:graphic>
          </wp:inline>
        </w:drawing>
      </w:r>
    </w:p>
    <w:p w14:paraId="02F18E67">
      <w:pPr>
        <w:keepNext w:val="0"/>
        <w:keepLines w:val="0"/>
        <w:pageBreakBefore w:val="0"/>
        <w:widowControl/>
        <w:kinsoku/>
        <w:wordWrap/>
        <w:overflowPunct/>
        <w:topLinePunct/>
        <w:autoSpaceDE/>
        <w:autoSpaceDN/>
        <w:bidi w:val="0"/>
        <w:adjustRightInd w:val="0"/>
        <w:snapToGrid/>
        <w:spacing w:line="360" w:lineRule="auto"/>
        <w:jc w:val="center"/>
        <w:textAlignment w:val="baseline"/>
        <w:rPr>
          <w:rFonts w:hint="eastAsia"/>
          <w:color w:val="auto"/>
          <w:highlight w:val="none"/>
          <w:lang w:val="en-US" w:eastAsia="zh-CN"/>
        </w:rPr>
      </w:pPr>
      <w:r>
        <w:rPr>
          <w:rFonts w:hint="default" w:ascii="Times New Roman" w:hAnsi="Times New Roman" w:eastAsia="宋体" w:cs="Times New Roman"/>
          <w:b/>
          <w:bCs/>
          <w:color w:val="auto"/>
          <w:kern w:val="2"/>
          <w:sz w:val="24"/>
          <w:szCs w:val="24"/>
          <w:highlight w:val="none"/>
          <w:lang w:val="en-US" w:eastAsia="zh-CN" w:bidi="ar-SA"/>
        </w:rPr>
        <w:t>图</w:t>
      </w:r>
      <w:r>
        <w:rPr>
          <w:rFonts w:hint="eastAsia" w:ascii="Times New Roman" w:hAnsi="Times New Roman" w:eastAsia="宋体"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.2-</w:t>
      </w:r>
      <w:r>
        <w:rPr>
          <w:rFonts w:hint="eastAsia" w:ascii="Times New Roman" w:hAnsi="Times New Roman" w:eastAsia="宋体" w:cs="Times New Roman"/>
          <w:b/>
          <w:bCs/>
          <w:color w:val="auto"/>
          <w:kern w:val="2"/>
          <w:sz w:val="24"/>
          <w:szCs w:val="24"/>
          <w:highlight w:val="none"/>
          <w:lang w:val="en-US" w:eastAsia="zh-CN" w:bidi="ar-SA"/>
        </w:rPr>
        <w:t>5</w:t>
      </w:r>
      <w:r>
        <w:rPr>
          <w:rFonts w:hint="default" w:ascii="Times New Roman" w:hAnsi="Times New Roman" w:eastAsia="宋体" w:cs="Times New Roman"/>
          <w:b/>
          <w:bCs/>
          <w:color w:val="auto"/>
          <w:kern w:val="2"/>
          <w:sz w:val="24"/>
          <w:szCs w:val="24"/>
          <w:highlight w:val="none"/>
          <w:lang w:val="en-US" w:eastAsia="zh-CN" w:bidi="ar-SA"/>
        </w:rPr>
        <w:t xml:space="preserve">  </w:t>
      </w:r>
      <w:r>
        <w:rPr>
          <w:rFonts w:hint="eastAsia" w:ascii="Times New Roman" w:hAnsi="Times New Roman" w:eastAsia="宋体" w:cs="Times New Roman"/>
          <w:b/>
          <w:bCs/>
          <w:color w:val="auto"/>
          <w:kern w:val="2"/>
          <w:sz w:val="24"/>
          <w:szCs w:val="24"/>
          <w:highlight w:val="none"/>
          <w:lang w:val="en-US" w:eastAsia="zh-CN" w:bidi="ar-SA"/>
        </w:rPr>
        <w:t>建设项目区域地形图</w:t>
      </w:r>
    </w:p>
    <w:p w14:paraId="69573FB0">
      <w:pPr>
        <w:keepNext w:val="0"/>
        <w:keepLines w:val="0"/>
        <w:pageBreakBefore w:val="0"/>
        <w:widowControl/>
        <w:kinsoku/>
        <w:wordWrap/>
        <w:overflowPunct/>
        <w:topLinePunct/>
        <w:autoSpaceDE/>
        <w:autoSpaceDN/>
        <w:bidi w:val="0"/>
        <w:adjustRightInd w:val="0"/>
        <w:snapToGrid/>
        <w:spacing w:line="360" w:lineRule="auto"/>
        <w:jc w:val="center"/>
        <w:textAlignment w:val="baseline"/>
        <w:rPr>
          <w:rFonts w:hint="eastAsia"/>
          <w:color w:val="auto"/>
          <w:highlight w:val="none"/>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14:paraId="5F98EDC7">
      <w:pPr>
        <w:wordWrap w:val="0"/>
        <w:bidi w:val="0"/>
        <w:spacing w:line="360" w:lineRule="auto"/>
        <w:ind w:firstLine="482" w:firstLineChars="200"/>
        <w:jc w:val="left"/>
        <w:rPr>
          <w:rFonts w:ascii="Times New Roman" w:hAnsi="Times New Roman" w:eastAsia="宋体" w:cs="Times New Roman"/>
          <w:b/>
          <w:bCs/>
          <w:color w:val="auto"/>
          <w:sz w:val="24"/>
          <w:szCs w:val="24"/>
          <w:highlight w:val="none"/>
        </w:rPr>
      </w:pPr>
      <w:r>
        <w:rPr>
          <w:rFonts w:ascii="Times New Roman" w:hAnsi="Times New Roman" w:eastAsia="宋体" w:cs="Times New Roman"/>
          <w:b/>
          <w:bCs/>
          <w:color w:val="auto"/>
          <w:sz w:val="24"/>
          <w:szCs w:val="24"/>
          <w:highlight w:val="none"/>
        </w:rPr>
        <w:t>4、预测源强及参数</w:t>
      </w:r>
    </w:p>
    <w:p w14:paraId="0B516C48">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项目有组织排放污染物源强及参数和无组织排放污染物源强及参数见下表。</w:t>
      </w:r>
    </w:p>
    <w:p w14:paraId="6099F140">
      <w:pPr>
        <w:keepNext w:val="0"/>
        <w:keepLines w:val="0"/>
        <w:pageBreakBefore w:val="0"/>
        <w:widowControl/>
        <w:kinsoku/>
        <w:wordWrap w:val="0"/>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表</w:t>
      </w:r>
      <w:r>
        <w:rPr>
          <w:rFonts w:hint="eastAsia" w:ascii="Times New Roman" w:hAnsi="Times New Roman" w:eastAsia="宋体" w:cs="Times New Roman"/>
          <w:b/>
          <w:bCs/>
          <w:color w:val="auto"/>
          <w:kern w:val="2"/>
          <w:sz w:val="24"/>
          <w:szCs w:val="24"/>
          <w:highlight w:val="none"/>
          <w:lang w:val="en-US" w:eastAsia="zh-CN" w:bidi="ar-SA"/>
        </w:rPr>
        <w:t>5.2</w:t>
      </w:r>
      <w:r>
        <w:rPr>
          <w:rFonts w:hint="eastAsia" w:cs="Times New Roman"/>
          <w:b/>
          <w:bCs/>
          <w:color w:val="auto"/>
          <w:kern w:val="2"/>
          <w:sz w:val="24"/>
          <w:szCs w:val="24"/>
          <w:highlight w:val="none"/>
          <w:lang w:val="en-US" w:eastAsia="zh-CN" w:bidi="ar-SA"/>
        </w:rPr>
        <w:t>-10</w:t>
      </w:r>
      <w:r>
        <w:rPr>
          <w:rFonts w:hint="eastAsia" w:ascii="Times New Roman" w:hAnsi="Times New Roman" w:eastAsia="宋体" w:cs="Times New Roman"/>
          <w:b/>
          <w:bCs/>
          <w:color w:val="auto"/>
          <w:kern w:val="2"/>
          <w:sz w:val="24"/>
          <w:szCs w:val="24"/>
          <w:highlight w:val="none"/>
          <w:lang w:val="en-US" w:eastAsia="zh-CN" w:bidi="ar-SA"/>
        </w:rPr>
        <w:t xml:space="preserve">  运营期正常工况下</w:t>
      </w:r>
      <w:r>
        <w:rPr>
          <w:rFonts w:ascii="Times New Roman" w:hAnsi="Times New Roman" w:eastAsia="宋体" w:cs="Times New Roman"/>
          <w:b/>
          <w:bCs/>
          <w:color w:val="auto"/>
          <w:kern w:val="2"/>
          <w:sz w:val="24"/>
          <w:szCs w:val="24"/>
          <w:highlight w:val="none"/>
          <w:lang w:val="en-US" w:eastAsia="zh-CN" w:bidi="ar-SA"/>
        </w:rPr>
        <w:t>大气污染物有组织排放源特征参数统计表</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7"/>
        <w:gridCol w:w="1115"/>
        <w:gridCol w:w="1008"/>
        <w:gridCol w:w="690"/>
        <w:gridCol w:w="517"/>
        <w:gridCol w:w="619"/>
        <w:gridCol w:w="559"/>
        <w:gridCol w:w="606"/>
        <w:gridCol w:w="659"/>
        <w:gridCol w:w="612"/>
        <w:gridCol w:w="675"/>
        <w:gridCol w:w="499"/>
      </w:tblGrid>
      <w:tr w14:paraId="4F620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5" w:type="pct"/>
            <w:vMerge w:val="restart"/>
            <w:noWrap w:val="0"/>
            <w:vAlign w:val="center"/>
          </w:tcPr>
          <w:p w14:paraId="7907980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污染源名称</w:t>
            </w:r>
          </w:p>
        </w:tc>
        <w:tc>
          <w:tcPr>
            <w:tcW w:w="1276" w:type="pct"/>
            <w:gridSpan w:val="2"/>
            <w:noWrap w:val="0"/>
            <w:vAlign w:val="center"/>
          </w:tcPr>
          <w:p w14:paraId="27F274F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排气筒底部中心坐标</w:t>
            </w:r>
          </w:p>
        </w:tc>
        <w:tc>
          <w:tcPr>
            <w:tcW w:w="415" w:type="pct"/>
            <w:vMerge w:val="restart"/>
            <w:noWrap w:val="0"/>
            <w:vAlign w:val="center"/>
          </w:tcPr>
          <w:p w14:paraId="36C1DEA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排气筒底部海拔（m）</w:t>
            </w:r>
          </w:p>
        </w:tc>
        <w:tc>
          <w:tcPr>
            <w:tcW w:w="1383" w:type="pct"/>
            <w:gridSpan w:val="4"/>
            <w:noWrap w:val="0"/>
            <w:vAlign w:val="center"/>
          </w:tcPr>
          <w:p w14:paraId="3487A06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排气筒参数</w:t>
            </w:r>
          </w:p>
        </w:tc>
        <w:tc>
          <w:tcPr>
            <w:tcW w:w="1470" w:type="pct"/>
            <w:gridSpan w:val="4"/>
            <w:noWrap w:val="0"/>
            <w:vAlign w:val="center"/>
          </w:tcPr>
          <w:p w14:paraId="1FBDEC6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污染物排放速率（kg/h）</w:t>
            </w:r>
          </w:p>
        </w:tc>
      </w:tr>
      <w:tr w14:paraId="4ECFA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5" w:type="pct"/>
            <w:vMerge w:val="continue"/>
            <w:noWrap w:val="0"/>
            <w:vAlign w:val="center"/>
          </w:tcPr>
          <w:p w14:paraId="2C194D2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670" w:type="pct"/>
            <w:noWrap w:val="0"/>
            <w:vAlign w:val="center"/>
          </w:tcPr>
          <w:p w14:paraId="028A111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经度（°）</w:t>
            </w:r>
          </w:p>
        </w:tc>
        <w:tc>
          <w:tcPr>
            <w:tcW w:w="605" w:type="pct"/>
            <w:noWrap w:val="0"/>
            <w:vAlign w:val="center"/>
          </w:tcPr>
          <w:p w14:paraId="5D19CC5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纬度（°）</w:t>
            </w:r>
          </w:p>
        </w:tc>
        <w:tc>
          <w:tcPr>
            <w:tcW w:w="415" w:type="pct"/>
            <w:vMerge w:val="continue"/>
            <w:noWrap w:val="0"/>
            <w:vAlign w:val="center"/>
          </w:tcPr>
          <w:p w14:paraId="1B6325D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311" w:type="pct"/>
            <w:noWrap w:val="0"/>
            <w:vAlign w:val="center"/>
          </w:tcPr>
          <w:p w14:paraId="01523F2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高度（m）</w:t>
            </w:r>
          </w:p>
        </w:tc>
        <w:tc>
          <w:tcPr>
            <w:tcW w:w="372" w:type="pct"/>
            <w:noWrap w:val="0"/>
            <w:vAlign w:val="center"/>
          </w:tcPr>
          <w:p w14:paraId="66B07CB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内径（m）</w:t>
            </w:r>
          </w:p>
        </w:tc>
        <w:tc>
          <w:tcPr>
            <w:tcW w:w="336" w:type="pct"/>
            <w:noWrap w:val="0"/>
            <w:vAlign w:val="center"/>
          </w:tcPr>
          <w:p w14:paraId="6C989C4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温度（℃）</w:t>
            </w:r>
          </w:p>
        </w:tc>
        <w:tc>
          <w:tcPr>
            <w:tcW w:w="362" w:type="pct"/>
            <w:noWrap w:val="0"/>
            <w:vAlign w:val="center"/>
          </w:tcPr>
          <w:p w14:paraId="0D73F49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流速（m/s）</w:t>
            </w:r>
          </w:p>
        </w:tc>
        <w:tc>
          <w:tcPr>
            <w:tcW w:w="396" w:type="pct"/>
            <w:noWrap w:val="0"/>
            <w:vAlign w:val="center"/>
          </w:tcPr>
          <w:p w14:paraId="26D9035F">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颗粒物</w:t>
            </w:r>
          </w:p>
        </w:tc>
        <w:tc>
          <w:tcPr>
            <w:tcW w:w="368" w:type="pct"/>
            <w:noWrap w:val="0"/>
            <w:vAlign w:val="center"/>
          </w:tcPr>
          <w:p w14:paraId="4C6A78E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SO</w:t>
            </w:r>
            <w:r>
              <w:rPr>
                <w:rFonts w:hint="eastAsia" w:ascii="Times New Roman" w:hAnsi="Times New Roman" w:eastAsia="宋体" w:cs="Times New Roman"/>
                <w:b/>
                <w:bCs/>
                <w:color w:val="auto"/>
                <w:kern w:val="2"/>
                <w:sz w:val="21"/>
                <w:szCs w:val="21"/>
                <w:highlight w:val="none"/>
                <w:vertAlign w:val="subscript"/>
                <w:lang w:val="en-US" w:eastAsia="zh-CN" w:bidi="ar-SA"/>
              </w:rPr>
              <w:t>2</w:t>
            </w:r>
          </w:p>
        </w:tc>
        <w:tc>
          <w:tcPr>
            <w:tcW w:w="406" w:type="pct"/>
            <w:noWrap w:val="0"/>
            <w:vAlign w:val="center"/>
          </w:tcPr>
          <w:p w14:paraId="19855B8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NOx</w:t>
            </w:r>
          </w:p>
        </w:tc>
        <w:tc>
          <w:tcPr>
            <w:tcW w:w="298" w:type="pct"/>
            <w:noWrap w:val="0"/>
            <w:vAlign w:val="center"/>
          </w:tcPr>
          <w:p w14:paraId="683320E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非甲烷总烃</w:t>
            </w:r>
          </w:p>
        </w:tc>
      </w:tr>
      <w:tr w14:paraId="79BB9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5" w:type="pct"/>
            <w:noWrap w:val="0"/>
            <w:vAlign w:val="center"/>
          </w:tcPr>
          <w:p w14:paraId="13FA66F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DA001</w:t>
            </w:r>
          </w:p>
        </w:tc>
        <w:tc>
          <w:tcPr>
            <w:tcW w:w="670" w:type="pct"/>
            <w:noWrap w:val="0"/>
            <w:vAlign w:val="center"/>
          </w:tcPr>
          <w:p w14:paraId="0647D9A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117.002097</w:t>
            </w:r>
          </w:p>
        </w:tc>
        <w:tc>
          <w:tcPr>
            <w:tcW w:w="605" w:type="pct"/>
            <w:noWrap w:val="0"/>
            <w:vAlign w:val="center"/>
          </w:tcPr>
          <w:p w14:paraId="4229103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32.525755</w:t>
            </w:r>
          </w:p>
        </w:tc>
        <w:tc>
          <w:tcPr>
            <w:tcW w:w="415" w:type="pct"/>
            <w:noWrap w:val="0"/>
            <w:vAlign w:val="center"/>
          </w:tcPr>
          <w:p w14:paraId="58BE8B7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53.4</w:t>
            </w:r>
          </w:p>
        </w:tc>
        <w:tc>
          <w:tcPr>
            <w:tcW w:w="311" w:type="pct"/>
            <w:noWrap w:val="0"/>
            <w:vAlign w:val="center"/>
          </w:tcPr>
          <w:p w14:paraId="017F4C6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w:t>
            </w:r>
          </w:p>
        </w:tc>
        <w:tc>
          <w:tcPr>
            <w:tcW w:w="372" w:type="pct"/>
            <w:noWrap w:val="0"/>
            <w:vAlign w:val="center"/>
          </w:tcPr>
          <w:p w14:paraId="428DCD7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0.25</w:t>
            </w:r>
          </w:p>
        </w:tc>
        <w:tc>
          <w:tcPr>
            <w:tcW w:w="336" w:type="pct"/>
            <w:noWrap w:val="0"/>
            <w:vAlign w:val="center"/>
          </w:tcPr>
          <w:p w14:paraId="13A7865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100</w:t>
            </w:r>
          </w:p>
        </w:tc>
        <w:tc>
          <w:tcPr>
            <w:tcW w:w="362" w:type="pct"/>
            <w:noWrap w:val="0"/>
            <w:vAlign w:val="center"/>
          </w:tcPr>
          <w:p w14:paraId="6C3F013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15.77</w:t>
            </w:r>
          </w:p>
        </w:tc>
        <w:tc>
          <w:tcPr>
            <w:tcW w:w="396" w:type="pct"/>
            <w:noWrap w:val="0"/>
            <w:vAlign w:val="center"/>
          </w:tcPr>
          <w:p w14:paraId="5919DC6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0.0619</w:t>
            </w:r>
          </w:p>
        </w:tc>
        <w:tc>
          <w:tcPr>
            <w:tcW w:w="368" w:type="pct"/>
            <w:noWrap w:val="0"/>
            <w:vAlign w:val="center"/>
          </w:tcPr>
          <w:p w14:paraId="22BEF37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0.008</w:t>
            </w:r>
          </w:p>
        </w:tc>
        <w:tc>
          <w:tcPr>
            <w:tcW w:w="406" w:type="pct"/>
            <w:noWrap w:val="0"/>
            <w:vAlign w:val="center"/>
          </w:tcPr>
          <w:p w14:paraId="71173BD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0.2023</w:t>
            </w:r>
          </w:p>
        </w:tc>
        <w:tc>
          <w:tcPr>
            <w:tcW w:w="298" w:type="pct"/>
            <w:noWrap w:val="0"/>
            <w:vAlign w:val="center"/>
          </w:tcPr>
          <w:p w14:paraId="5262264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w:t>
            </w:r>
          </w:p>
        </w:tc>
      </w:tr>
      <w:tr w14:paraId="09342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5" w:type="pct"/>
            <w:noWrap w:val="0"/>
            <w:vAlign w:val="center"/>
          </w:tcPr>
          <w:p w14:paraId="2891C1C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DA002</w:t>
            </w:r>
          </w:p>
        </w:tc>
        <w:tc>
          <w:tcPr>
            <w:tcW w:w="670" w:type="pct"/>
            <w:noWrap w:val="0"/>
            <w:vAlign w:val="center"/>
          </w:tcPr>
          <w:p w14:paraId="086C365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117.002202</w:t>
            </w:r>
          </w:p>
        </w:tc>
        <w:tc>
          <w:tcPr>
            <w:tcW w:w="605" w:type="pct"/>
            <w:noWrap w:val="0"/>
            <w:vAlign w:val="center"/>
          </w:tcPr>
          <w:p w14:paraId="3FCBA34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32.525784</w:t>
            </w:r>
          </w:p>
        </w:tc>
        <w:tc>
          <w:tcPr>
            <w:tcW w:w="415" w:type="pct"/>
            <w:noWrap w:val="0"/>
            <w:vAlign w:val="center"/>
          </w:tcPr>
          <w:p w14:paraId="7549C43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53.5</w:t>
            </w:r>
          </w:p>
        </w:tc>
        <w:tc>
          <w:tcPr>
            <w:tcW w:w="311" w:type="pct"/>
            <w:noWrap w:val="0"/>
            <w:vAlign w:val="center"/>
          </w:tcPr>
          <w:p w14:paraId="675E686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w:t>
            </w:r>
          </w:p>
        </w:tc>
        <w:tc>
          <w:tcPr>
            <w:tcW w:w="372" w:type="pct"/>
            <w:noWrap w:val="0"/>
            <w:vAlign w:val="center"/>
          </w:tcPr>
          <w:p w14:paraId="7DD0EAC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0.25</w:t>
            </w:r>
          </w:p>
        </w:tc>
        <w:tc>
          <w:tcPr>
            <w:tcW w:w="336" w:type="pct"/>
            <w:noWrap w:val="0"/>
            <w:vAlign w:val="center"/>
          </w:tcPr>
          <w:p w14:paraId="22BBB1F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100</w:t>
            </w:r>
          </w:p>
        </w:tc>
        <w:tc>
          <w:tcPr>
            <w:tcW w:w="362" w:type="pct"/>
            <w:noWrap w:val="0"/>
            <w:vAlign w:val="center"/>
          </w:tcPr>
          <w:p w14:paraId="43918ED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15.77</w:t>
            </w:r>
          </w:p>
        </w:tc>
        <w:tc>
          <w:tcPr>
            <w:tcW w:w="659" w:type="dxa"/>
            <w:noWrap w:val="0"/>
            <w:vAlign w:val="center"/>
          </w:tcPr>
          <w:p w14:paraId="7C84AF2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0.0619</w:t>
            </w:r>
          </w:p>
        </w:tc>
        <w:tc>
          <w:tcPr>
            <w:tcW w:w="612" w:type="dxa"/>
            <w:noWrap w:val="0"/>
            <w:vAlign w:val="center"/>
          </w:tcPr>
          <w:p w14:paraId="2C27EE2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0.008</w:t>
            </w:r>
          </w:p>
        </w:tc>
        <w:tc>
          <w:tcPr>
            <w:tcW w:w="675" w:type="dxa"/>
            <w:noWrap w:val="0"/>
            <w:vAlign w:val="center"/>
          </w:tcPr>
          <w:p w14:paraId="11544B62">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0.2023</w:t>
            </w:r>
          </w:p>
        </w:tc>
        <w:tc>
          <w:tcPr>
            <w:tcW w:w="499" w:type="dxa"/>
            <w:noWrap w:val="0"/>
            <w:vAlign w:val="center"/>
          </w:tcPr>
          <w:p w14:paraId="3534FFCE">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w:t>
            </w:r>
          </w:p>
        </w:tc>
      </w:tr>
      <w:tr w14:paraId="25B60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5" w:type="pct"/>
            <w:noWrap w:val="0"/>
            <w:vAlign w:val="center"/>
          </w:tcPr>
          <w:p w14:paraId="4F88EB4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DA003</w:t>
            </w:r>
          </w:p>
        </w:tc>
        <w:tc>
          <w:tcPr>
            <w:tcW w:w="670" w:type="pct"/>
            <w:noWrap w:val="0"/>
            <w:vAlign w:val="center"/>
          </w:tcPr>
          <w:p w14:paraId="0AD4D6B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117.002312</w:t>
            </w:r>
          </w:p>
        </w:tc>
        <w:tc>
          <w:tcPr>
            <w:tcW w:w="605" w:type="pct"/>
            <w:noWrap w:val="0"/>
            <w:vAlign w:val="center"/>
          </w:tcPr>
          <w:p w14:paraId="45C4974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32.525809</w:t>
            </w:r>
          </w:p>
        </w:tc>
        <w:tc>
          <w:tcPr>
            <w:tcW w:w="415" w:type="pct"/>
            <w:noWrap w:val="0"/>
            <w:vAlign w:val="center"/>
          </w:tcPr>
          <w:p w14:paraId="74B0474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53.8</w:t>
            </w:r>
          </w:p>
        </w:tc>
        <w:tc>
          <w:tcPr>
            <w:tcW w:w="311" w:type="pct"/>
            <w:noWrap w:val="0"/>
            <w:vAlign w:val="center"/>
          </w:tcPr>
          <w:p w14:paraId="74405FA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w:t>
            </w:r>
          </w:p>
        </w:tc>
        <w:tc>
          <w:tcPr>
            <w:tcW w:w="372" w:type="pct"/>
            <w:noWrap w:val="0"/>
            <w:vAlign w:val="center"/>
          </w:tcPr>
          <w:p w14:paraId="204A2E70">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0.25</w:t>
            </w:r>
          </w:p>
        </w:tc>
        <w:tc>
          <w:tcPr>
            <w:tcW w:w="336" w:type="pct"/>
            <w:noWrap w:val="0"/>
            <w:vAlign w:val="center"/>
          </w:tcPr>
          <w:p w14:paraId="559403A8">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100</w:t>
            </w:r>
          </w:p>
        </w:tc>
        <w:tc>
          <w:tcPr>
            <w:tcW w:w="362" w:type="pct"/>
            <w:noWrap w:val="0"/>
            <w:vAlign w:val="center"/>
          </w:tcPr>
          <w:p w14:paraId="1FAB551B">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15.77</w:t>
            </w:r>
          </w:p>
        </w:tc>
        <w:tc>
          <w:tcPr>
            <w:tcW w:w="659" w:type="dxa"/>
            <w:noWrap w:val="0"/>
            <w:vAlign w:val="center"/>
          </w:tcPr>
          <w:p w14:paraId="7708A014">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0.0619</w:t>
            </w:r>
          </w:p>
        </w:tc>
        <w:tc>
          <w:tcPr>
            <w:tcW w:w="612" w:type="dxa"/>
            <w:noWrap w:val="0"/>
            <w:vAlign w:val="center"/>
          </w:tcPr>
          <w:p w14:paraId="3175442D">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0.008</w:t>
            </w:r>
          </w:p>
        </w:tc>
        <w:tc>
          <w:tcPr>
            <w:tcW w:w="675" w:type="dxa"/>
            <w:noWrap w:val="0"/>
            <w:vAlign w:val="center"/>
          </w:tcPr>
          <w:p w14:paraId="3D033478">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0.2023</w:t>
            </w:r>
          </w:p>
        </w:tc>
        <w:tc>
          <w:tcPr>
            <w:tcW w:w="499" w:type="dxa"/>
            <w:noWrap w:val="0"/>
            <w:vAlign w:val="center"/>
          </w:tcPr>
          <w:p w14:paraId="648E50D1">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0.03</w:t>
            </w:r>
          </w:p>
        </w:tc>
      </w:tr>
    </w:tbl>
    <w:p w14:paraId="40E9A09D">
      <w:pPr>
        <w:keepNext w:val="0"/>
        <w:keepLines w:val="0"/>
        <w:pageBreakBefore w:val="0"/>
        <w:widowControl/>
        <w:kinsoku/>
        <w:wordWrap w:val="0"/>
        <w:overflowPunct/>
        <w:topLinePunct w:val="0"/>
        <w:autoSpaceDE/>
        <w:autoSpaceDN/>
        <w:bidi w:val="0"/>
        <w:adjustRightInd/>
        <w:snapToGrid/>
        <w:spacing w:line="360" w:lineRule="auto"/>
        <w:ind w:firstLine="0" w:firstLineChars="0"/>
        <w:jc w:val="center"/>
        <w:textAlignment w:val="auto"/>
        <w:rPr>
          <w:rFonts w:hint="eastAsia"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表</w:t>
      </w:r>
      <w:r>
        <w:rPr>
          <w:rFonts w:hint="eastAsia" w:ascii="Times New Roman" w:hAnsi="Times New Roman" w:eastAsia="宋体" w:cs="Times New Roman"/>
          <w:b/>
          <w:bCs/>
          <w:color w:val="auto"/>
          <w:kern w:val="2"/>
          <w:sz w:val="24"/>
          <w:szCs w:val="24"/>
          <w:highlight w:val="none"/>
          <w:lang w:val="en-US" w:eastAsia="zh-CN" w:bidi="ar-SA"/>
        </w:rPr>
        <w:t>5.2-1</w:t>
      </w:r>
      <w:r>
        <w:rPr>
          <w:rFonts w:hint="eastAsia" w:cs="Times New Roman"/>
          <w:b/>
          <w:bCs/>
          <w:color w:val="auto"/>
          <w:kern w:val="2"/>
          <w:sz w:val="24"/>
          <w:szCs w:val="24"/>
          <w:highlight w:val="none"/>
          <w:lang w:val="en-US" w:eastAsia="zh-CN" w:bidi="ar-SA"/>
        </w:rPr>
        <w:t>1</w:t>
      </w:r>
      <w:r>
        <w:rPr>
          <w:rFonts w:hint="eastAsia" w:ascii="Times New Roman" w:hAnsi="Times New Roman" w:eastAsia="宋体" w:cs="Times New Roman"/>
          <w:b/>
          <w:bCs/>
          <w:color w:val="auto"/>
          <w:kern w:val="2"/>
          <w:sz w:val="24"/>
          <w:szCs w:val="24"/>
          <w:highlight w:val="none"/>
          <w:lang w:val="en-US" w:eastAsia="zh-CN" w:bidi="ar-SA"/>
        </w:rPr>
        <w:t xml:space="preserve">  运营期正常工况</w:t>
      </w:r>
      <w:r>
        <w:rPr>
          <w:rFonts w:ascii="Times New Roman" w:hAnsi="Times New Roman" w:eastAsia="宋体" w:cs="Times New Roman"/>
          <w:b/>
          <w:bCs/>
          <w:color w:val="auto"/>
          <w:kern w:val="2"/>
          <w:sz w:val="24"/>
          <w:szCs w:val="24"/>
          <w:highlight w:val="none"/>
          <w:lang w:val="en-US" w:eastAsia="zh-CN" w:bidi="ar-SA"/>
        </w:rPr>
        <w:t>大气污染物无组织排放源特征参数统计表</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4" w:type="dxa"/>
          <w:bottom w:w="0" w:type="dxa"/>
          <w:right w:w="34" w:type="dxa"/>
        </w:tblCellMar>
      </w:tblPr>
      <w:tblGrid>
        <w:gridCol w:w="1190"/>
        <w:gridCol w:w="1210"/>
        <w:gridCol w:w="1104"/>
        <w:gridCol w:w="838"/>
        <w:gridCol w:w="714"/>
        <w:gridCol w:w="692"/>
        <w:gridCol w:w="831"/>
        <w:gridCol w:w="1795"/>
      </w:tblGrid>
      <w:tr w14:paraId="31EBD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710" w:type="pct"/>
            <w:vMerge w:val="restart"/>
            <w:noWrap w:val="0"/>
            <w:vAlign w:val="center"/>
          </w:tcPr>
          <w:p w14:paraId="4304129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污染源名称</w:t>
            </w:r>
          </w:p>
        </w:tc>
        <w:tc>
          <w:tcPr>
            <w:tcW w:w="1381" w:type="pct"/>
            <w:gridSpan w:val="2"/>
            <w:noWrap w:val="0"/>
            <w:vAlign w:val="center"/>
          </w:tcPr>
          <w:p w14:paraId="778D03C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坐标（°）</w:t>
            </w:r>
          </w:p>
        </w:tc>
        <w:tc>
          <w:tcPr>
            <w:tcW w:w="500" w:type="pct"/>
            <w:vMerge w:val="restart"/>
            <w:noWrap w:val="0"/>
            <w:vAlign w:val="center"/>
          </w:tcPr>
          <w:p w14:paraId="3F22E11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海拔（m）</w:t>
            </w:r>
          </w:p>
        </w:tc>
        <w:tc>
          <w:tcPr>
            <w:tcW w:w="1335" w:type="pct"/>
            <w:gridSpan w:val="3"/>
            <w:noWrap w:val="0"/>
            <w:vAlign w:val="center"/>
          </w:tcPr>
          <w:p w14:paraId="23EDC72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矩形面源</w:t>
            </w:r>
          </w:p>
        </w:tc>
        <w:tc>
          <w:tcPr>
            <w:tcW w:w="1071" w:type="pct"/>
            <w:noWrap w:val="0"/>
            <w:vAlign w:val="center"/>
          </w:tcPr>
          <w:p w14:paraId="6A7EB6C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污染物排放速率（kg/h）</w:t>
            </w:r>
          </w:p>
        </w:tc>
      </w:tr>
      <w:tr w14:paraId="5EC2F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710" w:type="pct"/>
            <w:vMerge w:val="continue"/>
            <w:noWrap w:val="0"/>
            <w:vAlign w:val="center"/>
          </w:tcPr>
          <w:p w14:paraId="2AF2837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p>
        </w:tc>
        <w:tc>
          <w:tcPr>
            <w:tcW w:w="722" w:type="pct"/>
            <w:noWrap w:val="0"/>
            <w:vAlign w:val="center"/>
          </w:tcPr>
          <w:p w14:paraId="750B85E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经度</w:t>
            </w:r>
          </w:p>
        </w:tc>
        <w:tc>
          <w:tcPr>
            <w:tcW w:w="659" w:type="pct"/>
            <w:noWrap w:val="0"/>
            <w:vAlign w:val="center"/>
          </w:tcPr>
          <w:p w14:paraId="41DC7AE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纬度</w:t>
            </w:r>
          </w:p>
        </w:tc>
        <w:tc>
          <w:tcPr>
            <w:tcW w:w="500" w:type="pct"/>
            <w:vMerge w:val="continue"/>
            <w:noWrap w:val="0"/>
            <w:vAlign w:val="center"/>
          </w:tcPr>
          <w:p w14:paraId="4B57AF2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p>
        </w:tc>
        <w:tc>
          <w:tcPr>
            <w:tcW w:w="426" w:type="pct"/>
            <w:noWrap w:val="0"/>
            <w:vAlign w:val="center"/>
          </w:tcPr>
          <w:p w14:paraId="10935AC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长度（m）</w:t>
            </w:r>
          </w:p>
        </w:tc>
        <w:tc>
          <w:tcPr>
            <w:tcW w:w="413" w:type="pct"/>
            <w:noWrap w:val="0"/>
            <w:vAlign w:val="center"/>
          </w:tcPr>
          <w:p w14:paraId="5618CE4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宽度（m）</w:t>
            </w:r>
          </w:p>
        </w:tc>
        <w:tc>
          <w:tcPr>
            <w:tcW w:w="496" w:type="pct"/>
            <w:noWrap w:val="0"/>
            <w:vAlign w:val="center"/>
          </w:tcPr>
          <w:p w14:paraId="65B1ACB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有效高度（m）</w:t>
            </w:r>
          </w:p>
        </w:tc>
        <w:tc>
          <w:tcPr>
            <w:tcW w:w="1071" w:type="pct"/>
            <w:noWrap w:val="0"/>
            <w:vAlign w:val="center"/>
          </w:tcPr>
          <w:p w14:paraId="3BCF0D8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非甲烷总烃</w:t>
            </w:r>
          </w:p>
        </w:tc>
      </w:tr>
      <w:tr w14:paraId="53688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710" w:type="pct"/>
            <w:noWrap w:val="0"/>
            <w:vAlign w:val="center"/>
          </w:tcPr>
          <w:p w14:paraId="7BB721A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站内</w:t>
            </w:r>
          </w:p>
        </w:tc>
        <w:tc>
          <w:tcPr>
            <w:tcW w:w="722" w:type="pct"/>
            <w:noWrap w:val="0"/>
            <w:vAlign w:val="center"/>
          </w:tcPr>
          <w:p w14:paraId="547A88F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117.001284</w:t>
            </w:r>
          </w:p>
        </w:tc>
        <w:tc>
          <w:tcPr>
            <w:tcW w:w="659" w:type="pct"/>
            <w:noWrap w:val="0"/>
            <w:vAlign w:val="center"/>
          </w:tcPr>
          <w:p w14:paraId="08190308">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32.52503</w:t>
            </w:r>
            <w:r>
              <w:rPr>
                <w:rFonts w:hint="eastAsia" w:ascii="Times New Roman" w:hAnsi="Times New Roman" w:eastAsia="宋体" w:cs="Times New Roman"/>
                <w:color w:val="auto"/>
                <w:kern w:val="2"/>
                <w:sz w:val="21"/>
                <w:szCs w:val="21"/>
                <w:highlight w:val="none"/>
                <w:lang w:val="en-US" w:eastAsia="zh-CN" w:bidi="ar-SA"/>
              </w:rPr>
              <w:t>9</w:t>
            </w:r>
          </w:p>
        </w:tc>
        <w:tc>
          <w:tcPr>
            <w:tcW w:w="500" w:type="pct"/>
            <w:noWrap w:val="0"/>
            <w:vAlign w:val="center"/>
          </w:tcPr>
          <w:p w14:paraId="0D99529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51</w:t>
            </w:r>
          </w:p>
        </w:tc>
        <w:tc>
          <w:tcPr>
            <w:tcW w:w="426" w:type="pct"/>
            <w:noWrap w:val="0"/>
            <w:vAlign w:val="center"/>
          </w:tcPr>
          <w:p w14:paraId="129D977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151.66</w:t>
            </w:r>
          </w:p>
        </w:tc>
        <w:tc>
          <w:tcPr>
            <w:tcW w:w="413" w:type="pct"/>
            <w:noWrap w:val="0"/>
            <w:vAlign w:val="center"/>
          </w:tcPr>
          <w:p w14:paraId="28D7644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100.88</w:t>
            </w:r>
          </w:p>
        </w:tc>
        <w:tc>
          <w:tcPr>
            <w:tcW w:w="496" w:type="pct"/>
            <w:noWrap w:val="0"/>
            <w:vAlign w:val="center"/>
          </w:tcPr>
          <w:p w14:paraId="280C06E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w:t>
            </w:r>
          </w:p>
        </w:tc>
        <w:tc>
          <w:tcPr>
            <w:tcW w:w="1071" w:type="pct"/>
            <w:noWrap w:val="0"/>
            <w:vAlign w:val="center"/>
          </w:tcPr>
          <w:p w14:paraId="6B1C074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0.1332</w:t>
            </w:r>
          </w:p>
        </w:tc>
      </w:tr>
    </w:tbl>
    <w:p w14:paraId="56C673F6">
      <w:pPr>
        <w:wordWrap w:val="0"/>
        <w:bidi w:val="0"/>
        <w:spacing w:line="360" w:lineRule="auto"/>
        <w:ind w:firstLine="482" w:firstLineChars="200"/>
        <w:jc w:val="left"/>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rPr>
        <w:t>5、估算结果评价</w:t>
      </w:r>
    </w:p>
    <w:p w14:paraId="446991E3">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根据《环境影响评价技术导则大气环境》（</w:t>
      </w:r>
      <w:r>
        <w:rPr>
          <w:rFonts w:ascii="Times New Roman" w:hAnsi="Times New Roman" w:eastAsia="宋体" w:cs="Times New Roman"/>
          <w:color w:val="auto"/>
          <w:sz w:val="24"/>
          <w:szCs w:val="24"/>
          <w:highlight w:val="none"/>
        </w:rPr>
        <w:t>HJT2.2-20</w:t>
      </w:r>
      <w:r>
        <w:rPr>
          <w:rFonts w:hint="eastAsia" w:ascii="Times New Roman" w:hAnsi="Times New Roman" w:eastAsia="宋体" w:cs="Times New Roman"/>
          <w:color w:val="auto"/>
          <w:sz w:val="24"/>
          <w:szCs w:val="24"/>
          <w:highlight w:val="none"/>
        </w:rPr>
        <w:t>1</w:t>
      </w:r>
      <w:r>
        <w:rPr>
          <w:rFonts w:ascii="Times New Roman" w:hAnsi="Times New Roman" w:eastAsia="宋体" w:cs="Times New Roman"/>
          <w:color w:val="auto"/>
          <w:sz w:val="24"/>
          <w:szCs w:val="24"/>
          <w:highlight w:val="none"/>
        </w:rPr>
        <w:t>8</w:t>
      </w:r>
      <w:r>
        <w:rPr>
          <w:rFonts w:hint="eastAsia" w:ascii="Times New Roman" w:hAnsi="Times New Roman" w:eastAsia="宋体" w:cs="Times New Roman"/>
          <w:color w:val="auto"/>
          <w:sz w:val="24"/>
          <w:szCs w:val="24"/>
          <w:highlight w:val="none"/>
        </w:rPr>
        <w:t>）要求，项目在进行大气环境影响评价时，均先使用AERSCREEN估算模式进行预测，并根据结果来确定评价等级。对于一级评价项目，需要选择导则推荐的模式开展进一步的预测；而对于二、三级评价，不需进行进一步预测与评价，可直接</w:t>
      </w:r>
      <w:r>
        <w:rPr>
          <w:rFonts w:ascii="Times New Roman" w:hAnsi="Times New Roman" w:eastAsia="宋体" w:cs="Times New Roman"/>
          <w:color w:val="auto"/>
          <w:sz w:val="24"/>
          <w:szCs w:val="24"/>
          <w:highlight w:val="none"/>
        </w:rPr>
        <w:t>以估算模式的计算结果作为</w:t>
      </w:r>
      <w:r>
        <w:rPr>
          <w:rFonts w:hint="eastAsia" w:ascii="Times New Roman" w:hAnsi="Times New Roman" w:eastAsia="宋体" w:cs="Times New Roman"/>
          <w:color w:val="auto"/>
          <w:sz w:val="24"/>
          <w:szCs w:val="24"/>
          <w:highlight w:val="none"/>
        </w:rPr>
        <w:t>评价</w:t>
      </w:r>
      <w:r>
        <w:rPr>
          <w:rFonts w:ascii="Times New Roman" w:hAnsi="Times New Roman" w:eastAsia="宋体" w:cs="Times New Roman"/>
          <w:color w:val="auto"/>
          <w:sz w:val="24"/>
          <w:szCs w:val="24"/>
          <w:highlight w:val="none"/>
        </w:rPr>
        <w:t>依据</w:t>
      </w:r>
      <w:r>
        <w:rPr>
          <w:rFonts w:hint="eastAsia" w:ascii="Times New Roman" w:hAnsi="Times New Roman" w:eastAsia="宋体" w:cs="Times New Roman"/>
          <w:color w:val="auto"/>
          <w:sz w:val="24"/>
          <w:szCs w:val="24"/>
          <w:highlight w:val="none"/>
        </w:rPr>
        <w:t>。</w:t>
      </w:r>
    </w:p>
    <w:p w14:paraId="28303706">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A．有组织排放预测结果</w:t>
      </w:r>
    </w:p>
    <w:p w14:paraId="325C9D86">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本项目运营期有组织废气总排放情况预测结果分析见下表。</w:t>
      </w:r>
    </w:p>
    <w:p w14:paraId="1441DBB2">
      <w:pPr>
        <w:widowControl/>
        <w:wordWrap w:val="0"/>
        <w:bidi w:val="0"/>
        <w:spacing w:line="240" w:lineRule="auto"/>
        <w:ind w:firstLine="0" w:firstLineChars="0"/>
        <w:jc w:val="center"/>
        <w:rPr>
          <w:rFonts w:hint="eastAsia"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表</w:t>
      </w:r>
      <w:r>
        <w:rPr>
          <w:rFonts w:hint="eastAsia" w:ascii="Times New Roman" w:hAnsi="Times New Roman" w:eastAsia="宋体" w:cs="Times New Roman"/>
          <w:b/>
          <w:bCs/>
          <w:color w:val="auto"/>
          <w:kern w:val="2"/>
          <w:sz w:val="24"/>
          <w:szCs w:val="24"/>
          <w:highlight w:val="none"/>
          <w:lang w:val="en-US" w:eastAsia="zh-CN" w:bidi="ar-SA"/>
        </w:rPr>
        <w:t>5.2-1</w:t>
      </w:r>
      <w:r>
        <w:rPr>
          <w:rFonts w:hint="eastAsia" w:cs="Times New Roman"/>
          <w:b/>
          <w:bCs/>
          <w:color w:val="auto"/>
          <w:kern w:val="2"/>
          <w:sz w:val="24"/>
          <w:szCs w:val="24"/>
          <w:highlight w:val="none"/>
          <w:lang w:val="en-US" w:eastAsia="zh-CN" w:bidi="ar-SA"/>
        </w:rPr>
        <w:t>2</w:t>
      </w:r>
      <w:r>
        <w:rPr>
          <w:rFonts w:hint="eastAsia" w:ascii="Times New Roman" w:hAnsi="Times New Roman" w:eastAsia="宋体" w:cs="Times New Roman"/>
          <w:b/>
          <w:bCs/>
          <w:color w:val="auto"/>
          <w:kern w:val="2"/>
          <w:sz w:val="24"/>
          <w:szCs w:val="24"/>
          <w:highlight w:val="none"/>
          <w:lang w:val="en-US" w:eastAsia="zh-CN" w:bidi="ar-SA"/>
        </w:rPr>
        <w:t xml:space="preserve">  </w:t>
      </w:r>
      <w:r>
        <w:rPr>
          <w:rFonts w:ascii="Times New Roman" w:hAnsi="Times New Roman" w:eastAsia="宋体" w:cs="Times New Roman"/>
          <w:b/>
          <w:bCs/>
          <w:color w:val="auto"/>
          <w:kern w:val="2"/>
          <w:sz w:val="24"/>
          <w:szCs w:val="24"/>
          <w:highlight w:val="none"/>
          <w:lang w:val="en-US" w:eastAsia="zh-CN" w:bidi="ar-SA"/>
        </w:rPr>
        <w:t>大气有组织排放源估算模式计算结果表</w:t>
      </w:r>
      <w:r>
        <w:rPr>
          <w:rFonts w:hint="eastAsia" w:ascii="Times New Roman" w:hAnsi="Times New Roman" w:eastAsia="宋体" w:cs="Times New Roman"/>
          <w:b/>
          <w:bCs/>
          <w:color w:val="auto"/>
          <w:kern w:val="2"/>
          <w:sz w:val="24"/>
          <w:szCs w:val="24"/>
          <w:highlight w:val="none"/>
          <w:lang w:val="en-US" w:eastAsia="zh-CN" w:bidi="ar-SA"/>
        </w:rPr>
        <w:t>（1）</w:t>
      </w:r>
    </w:p>
    <w:tbl>
      <w:tblPr>
        <w:tblStyle w:val="49"/>
        <w:tblW w:w="4998"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897"/>
        <w:gridCol w:w="951"/>
        <w:gridCol w:w="951"/>
        <w:gridCol w:w="951"/>
        <w:gridCol w:w="951"/>
        <w:gridCol w:w="951"/>
        <w:gridCol w:w="951"/>
        <w:gridCol w:w="951"/>
        <w:gridCol w:w="965"/>
      </w:tblGrid>
      <w:tr w14:paraId="0FE7F0D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vMerge w:val="restart"/>
            <w:noWrap w:val="0"/>
            <w:vAlign w:val="center"/>
          </w:tcPr>
          <w:p w14:paraId="02C3F7F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下风向距离</w:t>
            </w:r>
          </w:p>
        </w:tc>
        <w:tc>
          <w:tcPr>
            <w:tcW w:w="4472" w:type="pct"/>
            <w:gridSpan w:val="8"/>
            <w:noWrap w:val="0"/>
            <w:vAlign w:val="center"/>
          </w:tcPr>
          <w:p w14:paraId="743AF17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bCs/>
                <w:color w:val="auto"/>
                <w:sz w:val="18"/>
                <w:szCs w:val="18"/>
                <w:highlight w:val="none"/>
              </w:rPr>
              <w:t>点源DA001</w:t>
            </w:r>
          </w:p>
        </w:tc>
      </w:tr>
      <w:tr w14:paraId="47071CE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1021" w:hRule="exact"/>
        </w:trPr>
        <w:tc>
          <w:tcPr>
            <w:tcW w:w="527" w:type="pct"/>
            <w:vMerge w:val="continue"/>
            <w:noWrap w:val="0"/>
            <w:vAlign w:val="center"/>
          </w:tcPr>
          <w:p w14:paraId="4BE49B00">
            <w:pPr>
              <w:jc w:val="center"/>
              <w:rPr>
                <w:rFonts w:hint="default" w:ascii="Times New Roman" w:hAnsi="Times New Roman" w:cs="Times New Roman"/>
                <w:color w:val="auto"/>
                <w:sz w:val="18"/>
                <w:szCs w:val="18"/>
                <w:highlight w:val="none"/>
              </w:rPr>
            </w:pPr>
          </w:p>
        </w:tc>
        <w:tc>
          <w:tcPr>
            <w:tcW w:w="558" w:type="pct"/>
            <w:noWrap w:val="0"/>
            <w:vAlign w:val="center"/>
          </w:tcPr>
          <w:p w14:paraId="0E4549C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PM</w:t>
            </w:r>
            <w:r>
              <w:rPr>
                <w:rFonts w:hint="default" w:ascii="Times New Roman" w:hAnsi="Times New Roman" w:eastAsia="宋体" w:cs="Times New Roman"/>
                <w:b w:val="0"/>
                <w:color w:val="auto"/>
                <w:sz w:val="18"/>
                <w:szCs w:val="18"/>
                <w:highlight w:val="none"/>
                <w:vertAlign w:val="subscript"/>
              </w:rPr>
              <w:t>10</w:t>
            </w:r>
            <w:r>
              <w:rPr>
                <w:rFonts w:hint="default" w:ascii="Times New Roman" w:hAnsi="Times New Roman" w:eastAsia="宋体" w:cs="Times New Roman"/>
                <w:b w:val="0"/>
                <w:color w:val="auto"/>
                <w:sz w:val="18"/>
                <w:szCs w:val="18"/>
                <w:highlight w:val="none"/>
              </w:rPr>
              <w:t>浓度(μg/m³)</w:t>
            </w:r>
          </w:p>
        </w:tc>
        <w:tc>
          <w:tcPr>
            <w:tcW w:w="558" w:type="pct"/>
            <w:noWrap w:val="0"/>
            <w:vAlign w:val="center"/>
          </w:tcPr>
          <w:p w14:paraId="5B709C3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PM</w:t>
            </w:r>
            <w:r>
              <w:rPr>
                <w:rFonts w:hint="default" w:ascii="Times New Roman" w:hAnsi="Times New Roman" w:eastAsia="宋体" w:cs="Times New Roman"/>
                <w:b w:val="0"/>
                <w:color w:val="auto"/>
                <w:sz w:val="18"/>
                <w:szCs w:val="18"/>
                <w:highlight w:val="none"/>
                <w:vertAlign w:val="subscript"/>
              </w:rPr>
              <w:t>10</w:t>
            </w:r>
            <w:r>
              <w:rPr>
                <w:rFonts w:hint="default" w:ascii="Times New Roman" w:hAnsi="Times New Roman" w:eastAsia="宋体" w:cs="Times New Roman"/>
                <w:b w:val="0"/>
                <w:color w:val="auto"/>
                <w:sz w:val="18"/>
                <w:szCs w:val="18"/>
                <w:highlight w:val="none"/>
              </w:rPr>
              <w:t>占标率(%)</w:t>
            </w:r>
          </w:p>
        </w:tc>
        <w:tc>
          <w:tcPr>
            <w:tcW w:w="558" w:type="pct"/>
            <w:noWrap w:val="0"/>
            <w:vAlign w:val="center"/>
          </w:tcPr>
          <w:p w14:paraId="4901899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NOx浓度(μg/m³)</w:t>
            </w:r>
          </w:p>
        </w:tc>
        <w:tc>
          <w:tcPr>
            <w:tcW w:w="558" w:type="pct"/>
            <w:noWrap w:val="0"/>
            <w:vAlign w:val="center"/>
          </w:tcPr>
          <w:p w14:paraId="571D8A9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NOx占标率(%)</w:t>
            </w:r>
          </w:p>
        </w:tc>
        <w:tc>
          <w:tcPr>
            <w:tcW w:w="558" w:type="pct"/>
            <w:noWrap w:val="0"/>
            <w:vAlign w:val="center"/>
          </w:tcPr>
          <w:p w14:paraId="08E1579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SO</w:t>
            </w:r>
            <w:r>
              <w:rPr>
                <w:rFonts w:hint="default" w:ascii="Times New Roman" w:hAnsi="Times New Roman" w:eastAsia="宋体" w:cs="Times New Roman"/>
                <w:b w:val="0"/>
                <w:color w:val="auto"/>
                <w:sz w:val="18"/>
                <w:szCs w:val="18"/>
                <w:highlight w:val="none"/>
                <w:vertAlign w:val="subscript"/>
              </w:rPr>
              <w:t>2</w:t>
            </w:r>
            <w:r>
              <w:rPr>
                <w:rFonts w:hint="default" w:ascii="Times New Roman" w:hAnsi="Times New Roman" w:eastAsia="宋体" w:cs="Times New Roman"/>
                <w:b w:val="0"/>
                <w:color w:val="auto"/>
                <w:sz w:val="18"/>
                <w:szCs w:val="18"/>
                <w:highlight w:val="none"/>
              </w:rPr>
              <w:t>浓度(μg/m³)</w:t>
            </w:r>
          </w:p>
        </w:tc>
        <w:tc>
          <w:tcPr>
            <w:tcW w:w="558" w:type="pct"/>
            <w:noWrap w:val="0"/>
            <w:vAlign w:val="center"/>
          </w:tcPr>
          <w:p w14:paraId="671E0BE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SO</w:t>
            </w:r>
            <w:r>
              <w:rPr>
                <w:rFonts w:hint="default" w:ascii="Times New Roman" w:hAnsi="Times New Roman" w:eastAsia="宋体" w:cs="Times New Roman"/>
                <w:b w:val="0"/>
                <w:color w:val="auto"/>
                <w:sz w:val="18"/>
                <w:szCs w:val="18"/>
                <w:highlight w:val="none"/>
                <w:vertAlign w:val="subscript"/>
              </w:rPr>
              <w:t>2</w:t>
            </w:r>
            <w:r>
              <w:rPr>
                <w:rFonts w:hint="default" w:ascii="Times New Roman" w:hAnsi="Times New Roman" w:eastAsia="宋体" w:cs="Times New Roman"/>
                <w:b w:val="0"/>
                <w:color w:val="auto"/>
                <w:sz w:val="18"/>
                <w:szCs w:val="18"/>
                <w:highlight w:val="none"/>
              </w:rPr>
              <w:t>占标率(%)</w:t>
            </w:r>
          </w:p>
        </w:tc>
        <w:tc>
          <w:tcPr>
            <w:tcW w:w="558" w:type="pct"/>
            <w:noWrap w:val="0"/>
            <w:vAlign w:val="center"/>
          </w:tcPr>
          <w:p w14:paraId="535D525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NMHC浓度(μg/m³)</w:t>
            </w:r>
          </w:p>
        </w:tc>
        <w:tc>
          <w:tcPr>
            <w:tcW w:w="561" w:type="pct"/>
            <w:noWrap w:val="0"/>
            <w:vAlign w:val="center"/>
          </w:tcPr>
          <w:p w14:paraId="093C6DA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NMHC占标率(%)</w:t>
            </w:r>
          </w:p>
        </w:tc>
      </w:tr>
      <w:tr w14:paraId="66047F3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32" w:hRule="exact"/>
        </w:trPr>
        <w:tc>
          <w:tcPr>
            <w:tcW w:w="527" w:type="pct"/>
            <w:noWrap w:val="0"/>
            <w:vAlign w:val="center"/>
          </w:tcPr>
          <w:p w14:paraId="4BAA7D3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50.0</w:t>
            </w:r>
          </w:p>
        </w:tc>
        <w:tc>
          <w:tcPr>
            <w:tcW w:w="558" w:type="pct"/>
            <w:noWrap w:val="0"/>
            <w:vAlign w:val="center"/>
          </w:tcPr>
          <w:p w14:paraId="4AC8CF8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1.7162</w:t>
            </w:r>
          </w:p>
        </w:tc>
        <w:tc>
          <w:tcPr>
            <w:tcW w:w="558" w:type="pct"/>
            <w:noWrap w:val="0"/>
            <w:vAlign w:val="center"/>
          </w:tcPr>
          <w:p w14:paraId="50303A3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0.3814</w:t>
            </w:r>
          </w:p>
        </w:tc>
        <w:tc>
          <w:tcPr>
            <w:tcW w:w="558" w:type="pct"/>
            <w:noWrap w:val="0"/>
            <w:vAlign w:val="center"/>
          </w:tcPr>
          <w:p w14:paraId="1F9B096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5.6088</w:t>
            </w:r>
          </w:p>
        </w:tc>
        <w:tc>
          <w:tcPr>
            <w:tcW w:w="558" w:type="pct"/>
            <w:noWrap w:val="0"/>
            <w:vAlign w:val="center"/>
          </w:tcPr>
          <w:p w14:paraId="3DE5236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2.2435</w:t>
            </w:r>
          </w:p>
        </w:tc>
        <w:tc>
          <w:tcPr>
            <w:tcW w:w="558" w:type="pct"/>
            <w:noWrap w:val="0"/>
            <w:vAlign w:val="center"/>
          </w:tcPr>
          <w:p w14:paraId="6C93FD4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0.2218</w:t>
            </w:r>
          </w:p>
        </w:tc>
        <w:tc>
          <w:tcPr>
            <w:tcW w:w="558" w:type="pct"/>
            <w:noWrap w:val="0"/>
            <w:vAlign w:val="center"/>
          </w:tcPr>
          <w:p w14:paraId="319BA5A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0.0444</w:t>
            </w:r>
          </w:p>
        </w:tc>
        <w:tc>
          <w:tcPr>
            <w:tcW w:w="951" w:type="dxa"/>
            <w:noWrap w:val="0"/>
            <w:vAlign w:val="center"/>
          </w:tcPr>
          <w:p w14:paraId="4138838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0.8318</w:t>
            </w:r>
          </w:p>
        </w:tc>
        <w:tc>
          <w:tcPr>
            <w:tcW w:w="965" w:type="dxa"/>
            <w:noWrap w:val="0"/>
            <w:vAlign w:val="center"/>
          </w:tcPr>
          <w:p w14:paraId="57415DC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0.0416</w:t>
            </w:r>
          </w:p>
        </w:tc>
      </w:tr>
      <w:tr w14:paraId="702F132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7F34B3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100.0</w:t>
            </w:r>
          </w:p>
        </w:tc>
        <w:tc>
          <w:tcPr>
            <w:tcW w:w="558" w:type="pct"/>
            <w:noWrap w:val="0"/>
            <w:vAlign w:val="center"/>
          </w:tcPr>
          <w:p w14:paraId="7BF25CF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1.7901</w:t>
            </w:r>
          </w:p>
        </w:tc>
        <w:tc>
          <w:tcPr>
            <w:tcW w:w="558" w:type="pct"/>
            <w:noWrap w:val="0"/>
            <w:vAlign w:val="center"/>
          </w:tcPr>
          <w:p w14:paraId="56A87B5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0.3978</w:t>
            </w:r>
          </w:p>
        </w:tc>
        <w:tc>
          <w:tcPr>
            <w:tcW w:w="558" w:type="pct"/>
            <w:noWrap w:val="0"/>
            <w:vAlign w:val="center"/>
          </w:tcPr>
          <w:p w14:paraId="29CBB74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5.8504</w:t>
            </w:r>
          </w:p>
        </w:tc>
        <w:tc>
          <w:tcPr>
            <w:tcW w:w="558" w:type="pct"/>
            <w:noWrap w:val="0"/>
            <w:vAlign w:val="center"/>
          </w:tcPr>
          <w:p w14:paraId="1F5F26B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2.3401</w:t>
            </w:r>
          </w:p>
        </w:tc>
        <w:tc>
          <w:tcPr>
            <w:tcW w:w="558" w:type="pct"/>
            <w:noWrap w:val="0"/>
            <w:vAlign w:val="center"/>
          </w:tcPr>
          <w:p w14:paraId="2C46CF1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0.2314</w:t>
            </w:r>
          </w:p>
        </w:tc>
        <w:tc>
          <w:tcPr>
            <w:tcW w:w="558" w:type="pct"/>
            <w:noWrap w:val="0"/>
            <w:vAlign w:val="center"/>
          </w:tcPr>
          <w:p w14:paraId="56F4E98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0.0463</w:t>
            </w:r>
          </w:p>
        </w:tc>
        <w:tc>
          <w:tcPr>
            <w:tcW w:w="951" w:type="dxa"/>
            <w:noWrap w:val="0"/>
            <w:vAlign w:val="center"/>
          </w:tcPr>
          <w:p w14:paraId="37C6374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0.8676</w:t>
            </w:r>
          </w:p>
        </w:tc>
        <w:tc>
          <w:tcPr>
            <w:tcW w:w="965" w:type="dxa"/>
            <w:noWrap w:val="0"/>
            <w:vAlign w:val="center"/>
          </w:tcPr>
          <w:p w14:paraId="5A6333A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0.0434</w:t>
            </w:r>
          </w:p>
        </w:tc>
      </w:tr>
      <w:tr w14:paraId="4C1B49C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8DE14C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200.0</w:t>
            </w:r>
          </w:p>
        </w:tc>
        <w:tc>
          <w:tcPr>
            <w:tcW w:w="558" w:type="pct"/>
            <w:noWrap w:val="0"/>
            <w:vAlign w:val="center"/>
          </w:tcPr>
          <w:p w14:paraId="10D1B8A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1.9661</w:t>
            </w:r>
          </w:p>
        </w:tc>
        <w:tc>
          <w:tcPr>
            <w:tcW w:w="558" w:type="pct"/>
            <w:noWrap w:val="0"/>
            <w:vAlign w:val="center"/>
          </w:tcPr>
          <w:p w14:paraId="06A1F5E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0.4369</w:t>
            </w:r>
          </w:p>
        </w:tc>
        <w:tc>
          <w:tcPr>
            <w:tcW w:w="558" w:type="pct"/>
            <w:noWrap w:val="0"/>
            <w:vAlign w:val="center"/>
          </w:tcPr>
          <w:p w14:paraId="5CAD148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6.4256</w:t>
            </w:r>
          </w:p>
        </w:tc>
        <w:tc>
          <w:tcPr>
            <w:tcW w:w="558" w:type="pct"/>
            <w:noWrap w:val="0"/>
            <w:vAlign w:val="center"/>
          </w:tcPr>
          <w:p w14:paraId="2C23C14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2.5702</w:t>
            </w:r>
          </w:p>
        </w:tc>
        <w:tc>
          <w:tcPr>
            <w:tcW w:w="558" w:type="pct"/>
            <w:noWrap w:val="0"/>
            <w:vAlign w:val="center"/>
          </w:tcPr>
          <w:p w14:paraId="4D09578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0.2541</w:t>
            </w:r>
          </w:p>
        </w:tc>
        <w:tc>
          <w:tcPr>
            <w:tcW w:w="558" w:type="pct"/>
            <w:noWrap w:val="0"/>
            <w:vAlign w:val="center"/>
          </w:tcPr>
          <w:p w14:paraId="423F11D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0.0508</w:t>
            </w:r>
          </w:p>
        </w:tc>
        <w:tc>
          <w:tcPr>
            <w:tcW w:w="951" w:type="dxa"/>
            <w:noWrap w:val="0"/>
            <w:vAlign w:val="center"/>
          </w:tcPr>
          <w:p w14:paraId="5BF7F03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0.9529</w:t>
            </w:r>
          </w:p>
        </w:tc>
        <w:tc>
          <w:tcPr>
            <w:tcW w:w="965" w:type="dxa"/>
            <w:noWrap w:val="0"/>
            <w:vAlign w:val="center"/>
          </w:tcPr>
          <w:p w14:paraId="0B1A1DF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0.0476</w:t>
            </w:r>
          </w:p>
        </w:tc>
      </w:tr>
      <w:tr w14:paraId="26FFC2C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7B3A1D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300.0</w:t>
            </w:r>
          </w:p>
        </w:tc>
        <w:tc>
          <w:tcPr>
            <w:tcW w:w="558" w:type="pct"/>
            <w:noWrap w:val="0"/>
            <w:vAlign w:val="center"/>
          </w:tcPr>
          <w:p w14:paraId="0D06FB3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1.9389</w:t>
            </w:r>
          </w:p>
        </w:tc>
        <w:tc>
          <w:tcPr>
            <w:tcW w:w="558" w:type="pct"/>
            <w:noWrap w:val="0"/>
            <w:vAlign w:val="center"/>
          </w:tcPr>
          <w:p w14:paraId="17CF709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0.4309</w:t>
            </w:r>
          </w:p>
        </w:tc>
        <w:tc>
          <w:tcPr>
            <w:tcW w:w="558" w:type="pct"/>
            <w:noWrap w:val="0"/>
            <w:vAlign w:val="center"/>
          </w:tcPr>
          <w:p w14:paraId="7A7A63C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6.3367</w:t>
            </w:r>
          </w:p>
        </w:tc>
        <w:tc>
          <w:tcPr>
            <w:tcW w:w="558" w:type="pct"/>
            <w:noWrap w:val="0"/>
            <w:vAlign w:val="center"/>
          </w:tcPr>
          <w:p w14:paraId="789869F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2.5347</w:t>
            </w:r>
          </w:p>
        </w:tc>
        <w:tc>
          <w:tcPr>
            <w:tcW w:w="558" w:type="pct"/>
            <w:noWrap w:val="0"/>
            <w:vAlign w:val="center"/>
          </w:tcPr>
          <w:p w14:paraId="17C4270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0.2506</w:t>
            </w:r>
          </w:p>
        </w:tc>
        <w:tc>
          <w:tcPr>
            <w:tcW w:w="558" w:type="pct"/>
            <w:noWrap w:val="0"/>
            <w:vAlign w:val="center"/>
          </w:tcPr>
          <w:p w14:paraId="5729FB9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0.0501</w:t>
            </w:r>
          </w:p>
        </w:tc>
        <w:tc>
          <w:tcPr>
            <w:tcW w:w="951" w:type="dxa"/>
            <w:noWrap w:val="0"/>
            <w:vAlign w:val="center"/>
          </w:tcPr>
          <w:p w14:paraId="76F13DB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0.9397</w:t>
            </w:r>
          </w:p>
        </w:tc>
        <w:tc>
          <w:tcPr>
            <w:tcW w:w="965" w:type="dxa"/>
            <w:noWrap w:val="0"/>
            <w:vAlign w:val="center"/>
          </w:tcPr>
          <w:p w14:paraId="713D1D2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0.0470</w:t>
            </w:r>
          </w:p>
        </w:tc>
      </w:tr>
      <w:tr w14:paraId="2662B94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CE8116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400.0</w:t>
            </w:r>
          </w:p>
        </w:tc>
        <w:tc>
          <w:tcPr>
            <w:tcW w:w="558" w:type="pct"/>
            <w:noWrap w:val="0"/>
            <w:vAlign w:val="center"/>
          </w:tcPr>
          <w:p w14:paraId="3852AEE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1.9314</w:t>
            </w:r>
          </w:p>
        </w:tc>
        <w:tc>
          <w:tcPr>
            <w:tcW w:w="558" w:type="pct"/>
            <w:noWrap w:val="0"/>
            <w:vAlign w:val="center"/>
          </w:tcPr>
          <w:p w14:paraId="7619640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0.4292</w:t>
            </w:r>
          </w:p>
        </w:tc>
        <w:tc>
          <w:tcPr>
            <w:tcW w:w="558" w:type="pct"/>
            <w:noWrap w:val="0"/>
            <w:vAlign w:val="center"/>
          </w:tcPr>
          <w:p w14:paraId="636E364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6.3122</w:t>
            </w:r>
          </w:p>
        </w:tc>
        <w:tc>
          <w:tcPr>
            <w:tcW w:w="558" w:type="pct"/>
            <w:noWrap w:val="0"/>
            <w:vAlign w:val="center"/>
          </w:tcPr>
          <w:p w14:paraId="2171862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2.5249</w:t>
            </w:r>
          </w:p>
        </w:tc>
        <w:tc>
          <w:tcPr>
            <w:tcW w:w="558" w:type="pct"/>
            <w:noWrap w:val="0"/>
            <w:vAlign w:val="center"/>
          </w:tcPr>
          <w:p w14:paraId="3798953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0.2496</w:t>
            </w:r>
          </w:p>
        </w:tc>
        <w:tc>
          <w:tcPr>
            <w:tcW w:w="558" w:type="pct"/>
            <w:noWrap w:val="0"/>
            <w:vAlign w:val="center"/>
          </w:tcPr>
          <w:p w14:paraId="77E72E1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0.0499</w:t>
            </w:r>
          </w:p>
        </w:tc>
        <w:tc>
          <w:tcPr>
            <w:tcW w:w="951" w:type="dxa"/>
            <w:noWrap w:val="0"/>
            <w:vAlign w:val="center"/>
          </w:tcPr>
          <w:p w14:paraId="5BECF57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0.9361</w:t>
            </w:r>
          </w:p>
        </w:tc>
        <w:tc>
          <w:tcPr>
            <w:tcW w:w="965" w:type="dxa"/>
            <w:noWrap w:val="0"/>
            <w:vAlign w:val="center"/>
          </w:tcPr>
          <w:p w14:paraId="5F799AB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0.0468</w:t>
            </w:r>
          </w:p>
        </w:tc>
      </w:tr>
      <w:tr w14:paraId="74B0DEC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39A019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500.0</w:t>
            </w:r>
          </w:p>
        </w:tc>
        <w:tc>
          <w:tcPr>
            <w:tcW w:w="558" w:type="pct"/>
            <w:noWrap w:val="0"/>
            <w:vAlign w:val="center"/>
          </w:tcPr>
          <w:p w14:paraId="6C15A35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1.7914</w:t>
            </w:r>
          </w:p>
        </w:tc>
        <w:tc>
          <w:tcPr>
            <w:tcW w:w="558" w:type="pct"/>
            <w:noWrap w:val="0"/>
            <w:vAlign w:val="center"/>
          </w:tcPr>
          <w:p w14:paraId="66BFB93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0.3981</w:t>
            </w:r>
          </w:p>
        </w:tc>
        <w:tc>
          <w:tcPr>
            <w:tcW w:w="558" w:type="pct"/>
            <w:noWrap w:val="0"/>
            <w:vAlign w:val="center"/>
          </w:tcPr>
          <w:p w14:paraId="4354708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5.8546</w:t>
            </w:r>
          </w:p>
        </w:tc>
        <w:tc>
          <w:tcPr>
            <w:tcW w:w="558" w:type="pct"/>
            <w:noWrap w:val="0"/>
            <w:vAlign w:val="center"/>
          </w:tcPr>
          <w:p w14:paraId="43EBC3C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2.3418</w:t>
            </w:r>
          </w:p>
        </w:tc>
        <w:tc>
          <w:tcPr>
            <w:tcW w:w="558" w:type="pct"/>
            <w:noWrap w:val="0"/>
            <w:vAlign w:val="center"/>
          </w:tcPr>
          <w:p w14:paraId="2B36E9F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0.2315</w:t>
            </w:r>
          </w:p>
        </w:tc>
        <w:tc>
          <w:tcPr>
            <w:tcW w:w="558" w:type="pct"/>
            <w:noWrap w:val="0"/>
            <w:vAlign w:val="center"/>
          </w:tcPr>
          <w:p w14:paraId="10E2BA8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0.0463</w:t>
            </w:r>
          </w:p>
        </w:tc>
        <w:tc>
          <w:tcPr>
            <w:tcW w:w="951" w:type="dxa"/>
            <w:noWrap w:val="0"/>
            <w:vAlign w:val="center"/>
          </w:tcPr>
          <w:p w14:paraId="3DBD738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0.8682</w:t>
            </w:r>
          </w:p>
        </w:tc>
        <w:tc>
          <w:tcPr>
            <w:tcW w:w="965" w:type="dxa"/>
            <w:noWrap w:val="0"/>
            <w:vAlign w:val="center"/>
          </w:tcPr>
          <w:p w14:paraId="0326B45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0.0434</w:t>
            </w:r>
          </w:p>
        </w:tc>
      </w:tr>
      <w:tr w14:paraId="5BACC52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C79F08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600.0</w:t>
            </w:r>
          </w:p>
        </w:tc>
        <w:tc>
          <w:tcPr>
            <w:tcW w:w="558" w:type="pct"/>
            <w:noWrap w:val="0"/>
            <w:vAlign w:val="center"/>
          </w:tcPr>
          <w:p w14:paraId="42D0850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1.6376</w:t>
            </w:r>
          </w:p>
        </w:tc>
        <w:tc>
          <w:tcPr>
            <w:tcW w:w="558" w:type="pct"/>
            <w:noWrap w:val="0"/>
            <w:vAlign w:val="center"/>
          </w:tcPr>
          <w:p w14:paraId="2C06B49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0.3639</w:t>
            </w:r>
          </w:p>
        </w:tc>
        <w:tc>
          <w:tcPr>
            <w:tcW w:w="558" w:type="pct"/>
            <w:noWrap w:val="0"/>
            <w:vAlign w:val="center"/>
          </w:tcPr>
          <w:p w14:paraId="780CDC5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5.3520</w:t>
            </w:r>
          </w:p>
        </w:tc>
        <w:tc>
          <w:tcPr>
            <w:tcW w:w="558" w:type="pct"/>
            <w:noWrap w:val="0"/>
            <w:vAlign w:val="center"/>
          </w:tcPr>
          <w:p w14:paraId="3C5112B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2.1408</w:t>
            </w:r>
          </w:p>
        </w:tc>
        <w:tc>
          <w:tcPr>
            <w:tcW w:w="558" w:type="pct"/>
            <w:noWrap w:val="0"/>
            <w:vAlign w:val="center"/>
          </w:tcPr>
          <w:p w14:paraId="3A16075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0.2116</w:t>
            </w:r>
          </w:p>
        </w:tc>
        <w:tc>
          <w:tcPr>
            <w:tcW w:w="558" w:type="pct"/>
            <w:noWrap w:val="0"/>
            <w:vAlign w:val="center"/>
          </w:tcPr>
          <w:p w14:paraId="3782384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0.0423</w:t>
            </w:r>
          </w:p>
        </w:tc>
        <w:tc>
          <w:tcPr>
            <w:tcW w:w="951" w:type="dxa"/>
            <w:noWrap w:val="0"/>
            <w:vAlign w:val="center"/>
          </w:tcPr>
          <w:p w14:paraId="0EFE682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0.7937</w:t>
            </w:r>
          </w:p>
        </w:tc>
        <w:tc>
          <w:tcPr>
            <w:tcW w:w="965" w:type="dxa"/>
            <w:noWrap w:val="0"/>
            <w:vAlign w:val="center"/>
          </w:tcPr>
          <w:p w14:paraId="6168677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0.0397</w:t>
            </w:r>
          </w:p>
        </w:tc>
      </w:tr>
      <w:tr w14:paraId="77A6AF5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68F444B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700.0</w:t>
            </w:r>
          </w:p>
        </w:tc>
        <w:tc>
          <w:tcPr>
            <w:tcW w:w="558" w:type="pct"/>
            <w:noWrap w:val="0"/>
            <w:vAlign w:val="center"/>
          </w:tcPr>
          <w:p w14:paraId="285B23B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1.5038</w:t>
            </w:r>
          </w:p>
        </w:tc>
        <w:tc>
          <w:tcPr>
            <w:tcW w:w="558" w:type="pct"/>
            <w:noWrap w:val="0"/>
            <w:vAlign w:val="center"/>
          </w:tcPr>
          <w:p w14:paraId="6802ED8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0.3342</w:t>
            </w:r>
          </w:p>
        </w:tc>
        <w:tc>
          <w:tcPr>
            <w:tcW w:w="558" w:type="pct"/>
            <w:noWrap w:val="0"/>
            <w:vAlign w:val="center"/>
          </w:tcPr>
          <w:p w14:paraId="52DC3AA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4.9147</w:t>
            </w:r>
          </w:p>
        </w:tc>
        <w:tc>
          <w:tcPr>
            <w:tcW w:w="558" w:type="pct"/>
            <w:noWrap w:val="0"/>
            <w:vAlign w:val="center"/>
          </w:tcPr>
          <w:p w14:paraId="4DC3074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1.9659</w:t>
            </w:r>
          </w:p>
        </w:tc>
        <w:tc>
          <w:tcPr>
            <w:tcW w:w="558" w:type="pct"/>
            <w:noWrap w:val="0"/>
            <w:vAlign w:val="center"/>
          </w:tcPr>
          <w:p w14:paraId="4ABC6EB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0.1944</w:t>
            </w:r>
          </w:p>
        </w:tc>
        <w:tc>
          <w:tcPr>
            <w:tcW w:w="558" w:type="pct"/>
            <w:noWrap w:val="0"/>
            <w:vAlign w:val="center"/>
          </w:tcPr>
          <w:p w14:paraId="0C714D4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0.0389</w:t>
            </w:r>
          </w:p>
        </w:tc>
        <w:tc>
          <w:tcPr>
            <w:tcW w:w="951" w:type="dxa"/>
            <w:noWrap w:val="0"/>
            <w:vAlign w:val="center"/>
          </w:tcPr>
          <w:p w14:paraId="28B7C05B">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0.7288</w:t>
            </w:r>
          </w:p>
        </w:tc>
        <w:tc>
          <w:tcPr>
            <w:tcW w:w="965" w:type="dxa"/>
            <w:noWrap w:val="0"/>
            <w:vAlign w:val="center"/>
          </w:tcPr>
          <w:p w14:paraId="421A2EE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0.0364</w:t>
            </w:r>
          </w:p>
        </w:tc>
      </w:tr>
      <w:tr w14:paraId="2CF05A1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648989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800.0</w:t>
            </w:r>
          </w:p>
        </w:tc>
        <w:tc>
          <w:tcPr>
            <w:tcW w:w="558" w:type="pct"/>
            <w:noWrap w:val="0"/>
            <w:vAlign w:val="center"/>
          </w:tcPr>
          <w:p w14:paraId="1FCCE4B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1.4218</w:t>
            </w:r>
          </w:p>
        </w:tc>
        <w:tc>
          <w:tcPr>
            <w:tcW w:w="558" w:type="pct"/>
            <w:noWrap w:val="0"/>
            <w:vAlign w:val="center"/>
          </w:tcPr>
          <w:p w14:paraId="3B120D5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0.3160</w:t>
            </w:r>
          </w:p>
        </w:tc>
        <w:tc>
          <w:tcPr>
            <w:tcW w:w="558" w:type="pct"/>
            <w:noWrap w:val="0"/>
            <w:vAlign w:val="center"/>
          </w:tcPr>
          <w:p w14:paraId="6AA1824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4.6467</w:t>
            </w:r>
          </w:p>
        </w:tc>
        <w:tc>
          <w:tcPr>
            <w:tcW w:w="558" w:type="pct"/>
            <w:noWrap w:val="0"/>
            <w:vAlign w:val="center"/>
          </w:tcPr>
          <w:p w14:paraId="75FB666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1.8587</w:t>
            </w:r>
          </w:p>
        </w:tc>
        <w:tc>
          <w:tcPr>
            <w:tcW w:w="558" w:type="pct"/>
            <w:noWrap w:val="0"/>
            <w:vAlign w:val="center"/>
          </w:tcPr>
          <w:p w14:paraId="600EB20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0.1838</w:t>
            </w:r>
          </w:p>
        </w:tc>
        <w:tc>
          <w:tcPr>
            <w:tcW w:w="558" w:type="pct"/>
            <w:noWrap w:val="0"/>
            <w:vAlign w:val="center"/>
          </w:tcPr>
          <w:p w14:paraId="3B68147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0.0368</w:t>
            </w:r>
          </w:p>
        </w:tc>
        <w:tc>
          <w:tcPr>
            <w:tcW w:w="951" w:type="dxa"/>
            <w:noWrap w:val="0"/>
            <w:vAlign w:val="center"/>
          </w:tcPr>
          <w:p w14:paraId="6B95173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0.6891</w:t>
            </w:r>
          </w:p>
        </w:tc>
        <w:tc>
          <w:tcPr>
            <w:tcW w:w="965" w:type="dxa"/>
            <w:noWrap w:val="0"/>
            <w:vAlign w:val="center"/>
          </w:tcPr>
          <w:p w14:paraId="57FE8DF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0.0345</w:t>
            </w:r>
          </w:p>
        </w:tc>
      </w:tr>
      <w:tr w14:paraId="52A7657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0EBE0C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900.0</w:t>
            </w:r>
          </w:p>
        </w:tc>
        <w:tc>
          <w:tcPr>
            <w:tcW w:w="558" w:type="pct"/>
            <w:noWrap w:val="0"/>
            <w:vAlign w:val="center"/>
          </w:tcPr>
          <w:p w14:paraId="70FD16F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1.3521</w:t>
            </w:r>
          </w:p>
        </w:tc>
        <w:tc>
          <w:tcPr>
            <w:tcW w:w="558" w:type="pct"/>
            <w:noWrap w:val="0"/>
            <w:vAlign w:val="center"/>
          </w:tcPr>
          <w:p w14:paraId="27CA35D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0.3005</w:t>
            </w:r>
          </w:p>
        </w:tc>
        <w:tc>
          <w:tcPr>
            <w:tcW w:w="558" w:type="pct"/>
            <w:noWrap w:val="0"/>
            <w:vAlign w:val="center"/>
          </w:tcPr>
          <w:p w14:paraId="6B5FF3A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4.4189</w:t>
            </w:r>
          </w:p>
        </w:tc>
        <w:tc>
          <w:tcPr>
            <w:tcW w:w="558" w:type="pct"/>
            <w:noWrap w:val="0"/>
            <w:vAlign w:val="center"/>
          </w:tcPr>
          <w:p w14:paraId="437E382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1.7676</w:t>
            </w:r>
          </w:p>
        </w:tc>
        <w:tc>
          <w:tcPr>
            <w:tcW w:w="558" w:type="pct"/>
            <w:noWrap w:val="0"/>
            <w:vAlign w:val="center"/>
          </w:tcPr>
          <w:p w14:paraId="5842BC5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0.1747</w:t>
            </w:r>
          </w:p>
        </w:tc>
        <w:tc>
          <w:tcPr>
            <w:tcW w:w="558" w:type="pct"/>
            <w:noWrap w:val="0"/>
            <w:vAlign w:val="center"/>
          </w:tcPr>
          <w:p w14:paraId="61DC85C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0.0349</w:t>
            </w:r>
          </w:p>
        </w:tc>
        <w:tc>
          <w:tcPr>
            <w:tcW w:w="951" w:type="dxa"/>
            <w:noWrap w:val="0"/>
            <w:vAlign w:val="center"/>
          </w:tcPr>
          <w:p w14:paraId="3137E00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0.6553</w:t>
            </w:r>
          </w:p>
        </w:tc>
        <w:tc>
          <w:tcPr>
            <w:tcW w:w="965" w:type="dxa"/>
            <w:noWrap w:val="0"/>
            <w:vAlign w:val="center"/>
          </w:tcPr>
          <w:p w14:paraId="7DCB7C8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0.0328</w:t>
            </w:r>
          </w:p>
        </w:tc>
      </w:tr>
      <w:tr w14:paraId="46ECCF9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8BA439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1000.0</w:t>
            </w:r>
          </w:p>
        </w:tc>
        <w:tc>
          <w:tcPr>
            <w:tcW w:w="558" w:type="pct"/>
            <w:noWrap w:val="0"/>
            <w:vAlign w:val="center"/>
          </w:tcPr>
          <w:p w14:paraId="26AFDC2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1.2869</w:t>
            </w:r>
          </w:p>
        </w:tc>
        <w:tc>
          <w:tcPr>
            <w:tcW w:w="558" w:type="pct"/>
            <w:noWrap w:val="0"/>
            <w:vAlign w:val="center"/>
          </w:tcPr>
          <w:p w14:paraId="7039418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0.2860</w:t>
            </w:r>
          </w:p>
        </w:tc>
        <w:tc>
          <w:tcPr>
            <w:tcW w:w="558" w:type="pct"/>
            <w:noWrap w:val="0"/>
            <w:vAlign w:val="center"/>
          </w:tcPr>
          <w:p w14:paraId="1574F5F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4.2058</w:t>
            </w:r>
          </w:p>
        </w:tc>
        <w:tc>
          <w:tcPr>
            <w:tcW w:w="558" w:type="pct"/>
            <w:noWrap w:val="0"/>
            <w:vAlign w:val="center"/>
          </w:tcPr>
          <w:p w14:paraId="50F4638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1.6823</w:t>
            </w:r>
          </w:p>
        </w:tc>
        <w:tc>
          <w:tcPr>
            <w:tcW w:w="558" w:type="pct"/>
            <w:noWrap w:val="0"/>
            <w:vAlign w:val="center"/>
          </w:tcPr>
          <w:p w14:paraId="0045DBB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0.1663</w:t>
            </w:r>
          </w:p>
        </w:tc>
        <w:tc>
          <w:tcPr>
            <w:tcW w:w="558" w:type="pct"/>
            <w:noWrap w:val="0"/>
            <w:vAlign w:val="center"/>
          </w:tcPr>
          <w:p w14:paraId="3E43EF7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0.0333</w:t>
            </w:r>
          </w:p>
        </w:tc>
        <w:tc>
          <w:tcPr>
            <w:tcW w:w="951" w:type="dxa"/>
            <w:noWrap w:val="0"/>
            <w:vAlign w:val="center"/>
          </w:tcPr>
          <w:p w14:paraId="70CE2CA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0.6237</w:t>
            </w:r>
          </w:p>
        </w:tc>
        <w:tc>
          <w:tcPr>
            <w:tcW w:w="965" w:type="dxa"/>
            <w:noWrap w:val="0"/>
            <w:vAlign w:val="center"/>
          </w:tcPr>
          <w:p w14:paraId="537139E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0.0312</w:t>
            </w:r>
          </w:p>
        </w:tc>
      </w:tr>
      <w:tr w14:paraId="7BFD460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64A214D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1200.0</w:t>
            </w:r>
          </w:p>
        </w:tc>
        <w:tc>
          <w:tcPr>
            <w:tcW w:w="558" w:type="pct"/>
            <w:noWrap w:val="0"/>
            <w:vAlign w:val="center"/>
          </w:tcPr>
          <w:p w14:paraId="587B338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1.1919</w:t>
            </w:r>
          </w:p>
        </w:tc>
        <w:tc>
          <w:tcPr>
            <w:tcW w:w="558" w:type="pct"/>
            <w:noWrap w:val="0"/>
            <w:vAlign w:val="center"/>
          </w:tcPr>
          <w:p w14:paraId="02C3C5D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0.2649</w:t>
            </w:r>
          </w:p>
        </w:tc>
        <w:tc>
          <w:tcPr>
            <w:tcW w:w="558" w:type="pct"/>
            <w:noWrap w:val="0"/>
            <w:vAlign w:val="center"/>
          </w:tcPr>
          <w:p w14:paraId="52B7A81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3.8953</w:t>
            </w:r>
          </w:p>
        </w:tc>
        <w:tc>
          <w:tcPr>
            <w:tcW w:w="558" w:type="pct"/>
            <w:noWrap w:val="0"/>
            <w:vAlign w:val="center"/>
          </w:tcPr>
          <w:p w14:paraId="1FD85CF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1.5581</w:t>
            </w:r>
          </w:p>
        </w:tc>
        <w:tc>
          <w:tcPr>
            <w:tcW w:w="558" w:type="pct"/>
            <w:noWrap w:val="0"/>
            <w:vAlign w:val="center"/>
          </w:tcPr>
          <w:p w14:paraId="456AE5D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0.1540</w:t>
            </w:r>
          </w:p>
        </w:tc>
        <w:tc>
          <w:tcPr>
            <w:tcW w:w="558" w:type="pct"/>
            <w:noWrap w:val="0"/>
            <w:vAlign w:val="center"/>
          </w:tcPr>
          <w:p w14:paraId="7DD4F92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0.0308</w:t>
            </w:r>
          </w:p>
        </w:tc>
        <w:tc>
          <w:tcPr>
            <w:tcW w:w="951" w:type="dxa"/>
            <w:noWrap w:val="0"/>
            <w:vAlign w:val="center"/>
          </w:tcPr>
          <w:p w14:paraId="1A5752E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0.5777</w:t>
            </w:r>
          </w:p>
        </w:tc>
        <w:tc>
          <w:tcPr>
            <w:tcW w:w="965" w:type="dxa"/>
            <w:noWrap w:val="0"/>
            <w:vAlign w:val="center"/>
          </w:tcPr>
          <w:p w14:paraId="6131778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0.0289</w:t>
            </w:r>
          </w:p>
        </w:tc>
      </w:tr>
      <w:tr w14:paraId="35E54EA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5E97B0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1400.0</w:t>
            </w:r>
          </w:p>
        </w:tc>
        <w:tc>
          <w:tcPr>
            <w:tcW w:w="558" w:type="pct"/>
            <w:noWrap w:val="0"/>
            <w:vAlign w:val="center"/>
          </w:tcPr>
          <w:p w14:paraId="10EEEF0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1.0980</w:t>
            </w:r>
          </w:p>
        </w:tc>
        <w:tc>
          <w:tcPr>
            <w:tcW w:w="558" w:type="pct"/>
            <w:noWrap w:val="0"/>
            <w:vAlign w:val="center"/>
          </w:tcPr>
          <w:p w14:paraId="2A4DF7F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0.2440</w:t>
            </w:r>
          </w:p>
        </w:tc>
        <w:tc>
          <w:tcPr>
            <w:tcW w:w="558" w:type="pct"/>
            <w:noWrap w:val="0"/>
            <w:vAlign w:val="center"/>
          </w:tcPr>
          <w:p w14:paraId="300BE5E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3.5885</w:t>
            </w:r>
          </w:p>
        </w:tc>
        <w:tc>
          <w:tcPr>
            <w:tcW w:w="558" w:type="pct"/>
            <w:noWrap w:val="0"/>
            <w:vAlign w:val="center"/>
          </w:tcPr>
          <w:p w14:paraId="6DAC227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1.4354</w:t>
            </w:r>
          </w:p>
        </w:tc>
        <w:tc>
          <w:tcPr>
            <w:tcW w:w="558" w:type="pct"/>
            <w:noWrap w:val="0"/>
            <w:vAlign w:val="center"/>
          </w:tcPr>
          <w:p w14:paraId="44A26AF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0.1419</w:t>
            </w:r>
          </w:p>
        </w:tc>
        <w:tc>
          <w:tcPr>
            <w:tcW w:w="558" w:type="pct"/>
            <w:noWrap w:val="0"/>
            <w:vAlign w:val="center"/>
          </w:tcPr>
          <w:p w14:paraId="2E55A6C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0.0284</w:t>
            </w:r>
          </w:p>
        </w:tc>
        <w:tc>
          <w:tcPr>
            <w:tcW w:w="951" w:type="dxa"/>
            <w:noWrap w:val="0"/>
            <w:vAlign w:val="center"/>
          </w:tcPr>
          <w:p w14:paraId="7B02FCD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0.5321</w:t>
            </w:r>
          </w:p>
        </w:tc>
        <w:tc>
          <w:tcPr>
            <w:tcW w:w="965" w:type="dxa"/>
            <w:noWrap w:val="0"/>
            <w:vAlign w:val="center"/>
          </w:tcPr>
          <w:p w14:paraId="0A5999E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0.0266</w:t>
            </w:r>
          </w:p>
        </w:tc>
      </w:tr>
      <w:tr w14:paraId="1B645F5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502D78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1600.0</w:t>
            </w:r>
          </w:p>
        </w:tc>
        <w:tc>
          <w:tcPr>
            <w:tcW w:w="558" w:type="pct"/>
            <w:noWrap w:val="0"/>
            <w:vAlign w:val="center"/>
          </w:tcPr>
          <w:p w14:paraId="0E954F4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1.0040</w:t>
            </w:r>
          </w:p>
        </w:tc>
        <w:tc>
          <w:tcPr>
            <w:tcW w:w="558" w:type="pct"/>
            <w:noWrap w:val="0"/>
            <w:vAlign w:val="center"/>
          </w:tcPr>
          <w:p w14:paraId="48141A9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0.2231</w:t>
            </w:r>
          </w:p>
        </w:tc>
        <w:tc>
          <w:tcPr>
            <w:tcW w:w="558" w:type="pct"/>
            <w:noWrap w:val="0"/>
            <w:vAlign w:val="center"/>
          </w:tcPr>
          <w:p w14:paraId="0B304FB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3.2812</w:t>
            </w:r>
          </w:p>
        </w:tc>
        <w:tc>
          <w:tcPr>
            <w:tcW w:w="558" w:type="pct"/>
            <w:noWrap w:val="0"/>
            <w:vAlign w:val="center"/>
          </w:tcPr>
          <w:p w14:paraId="7C5281A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1.3125</w:t>
            </w:r>
          </w:p>
        </w:tc>
        <w:tc>
          <w:tcPr>
            <w:tcW w:w="558" w:type="pct"/>
            <w:noWrap w:val="0"/>
            <w:vAlign w:val="center"/>
          </w:tcPr>
          <w:p w14:paraId="18AFC99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0.1298</w:t>
            </w:r>
          </w:p>
        </w:tc>
        <w:tc>
          <w:tcPr>
            <w:tcW w:w="558" w:type="pct"/>
            <w:noWrap w:val="0"/>
            <w:vAlign w:val="center"/>
          </w:tcPr>
          <w:p w14:paraId="6FD3087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0.0260</w:t>
            </w:r>
          </w:p>
        </w:tc>
        <w:tc>
          <w:tcPr>
            <w:tcW w:w="951" w:type="dxa"/>
            <w:noWrap w:val="0"/>
            <w:vAlign w:val="center"/>
          </w:tcPr>
          <w:p w14:paraId="5BA0B94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0.4866</w:t>
            </w:r>
          </w:p>
        </w:tc>
        <w:tc>
          <w:tcPr>
            <w:tcW w:w="965" w:type="dxa"/>
            <w:noWrap w:val="0"/>
            <w:vAlign w:val="center"/>
          </w:tcPr>
          <w:p w14:paraId="78CB681B">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0.0243</w:t>
            </w:r>
          </w:p>
        </w:tc>
      </w:tr>
      <w:tr w14:paraId="605A6AC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AF81DF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1800.0</w:t>
            </w:r>
          </w:p>
        </w:tc>
        <w:tc>
          <w:tcPr>
            <w:tcW w:w="558" w:type="pct"/>
            <w:noWrap w:val="0"/>
            <w:vAlign w:val="center"/>
          </w:tcPr>
          <w:p w14:paraId="14B8FFA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0.9175</w:t>
            </w:r>
          </w:p>
        </w:tc>
        <w:tc>
          <w:tcPr>
            <w:tcW w:w="558" w:type="pct"/>
            <w:noWrap w:val="0"/>
            <w:vAlign w:val="center"/>
          </w:tcPr>
          <w:p w14:paraId="62A84AD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0.2039</w:t>
            </w:r>
          </w:p>
        </w:tc>
        <w:tc>
          <w:tcPr>
            <w:tcW w:w="558" w:type="pct"/>
            <w:noWrap w:val="0"/>
            <w:vAlign w:val="center"/>
          </w:tcPr>
          <w:p w14:paraId="561BCDF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2.9986</w:t>
            </w:r>
          </w:p>
        </w:tc>
        <w:tc>
          <w:tcPr>
            <w:tcW w:w="558" w:type="pct"/>
            <w:noWrap w:val="0"/>
            <w:vAlign w:val="center"/>
          </w:tcPr>
          <w:p w14:paraId="7C6FBF6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1.1994</w:t>
            </w:r>
          </w:p>
        </w:tc>
        <w:tc>
          <w:tcPr>
            <w:tcW w:w="558" w:type="pct"/>
            <w:noWrap w:val="0"/>
            <w:vAlign w:val="center"/>
          </w:tcPr>
          <w:p w14:paraId="2190048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0.1186</w:t>
            </w:r>
          </w:p>
        </w:tc>
        <w:tc>
          <w:tcPr>
            <w:tcW w:w="558" w:type="pct"/>
            <w:noWrap w:val="0"/>
            <w:vAlign w:val="center"/>
          </w:tcPr>
          <w:p w14:paraId="39B4BE8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0.0237</w:t>
            </w:r>
          </w:p>
        </w:tc>
        <w:tc>
          <w:tcPr>
            <w:tcW w:w="951" w:type="dxa"/>
            <w:noWrap w:val="0"/>
            <w:vAlign w:val="center"/>
          </w:tcPr>
          <w:p w14:paraId="08BBB8A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0.4447</w:t>
            </w:r>
          </w:p>
        </w:tc>
        <w:tc>
          <w:tcPr>
            <w:tcW w:w="965" w:type="dxa"/>
            <w:noWrap w:val="0"/>
            <w:vAlign w:val="center"/>
          </w:tcPr>
          <w:p w14:paraId="44DD2B0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0.0222</w:t>
            </w:r>
          </w:p>
        </w:tc>
      </w:tr>
      <w:tr w14:paraId="4BCD720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C26FF2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2000.0</w:t>
            </w:r>
          </w:p>
        </w:tc>
        <w:tc>
          <w:tcPr>
            <w:tcW w:w="558" w:type="pct"/>
            <w:noWrap w:val="0"/>
            <w:vAlign w:val="center"/>
          </w:tcPr>
          <w:p w14:paraId="0E2A40F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0.8428</w:t>
            </w:r>
          </w:p>
        </w:tc>
        <w:tc>
          <w:tcPr>
            <w:tcW w:w="558" w:type="pct"/>
            <w:noWrap w:val="0"/>
            <w:vAlign w:val="center"/>
          </w:tcPr>
          <w:p w14:paraId="3DF00B2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0.1873</w:t>
            </w:r>
          </w:p>
        </w:tc>
        <w:tc>
          <w:tcPr>
            <w:tcW w:w="558" w:type="pct"/>
            <w:noWrap w:val="0"/>
            <w:vAlign w:val="center"/>
          </w:tcPr>
          <w:p w14:paraId="19DB566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2.7544</w:t>
            </w:r>
          </w:p>
        </w:tc>
        <w:tc>
          <w:tcPr>
            <w:tcW w:w="558" w:type="pct"/>
            <w:noWrap w:val="0"/>
            <w:vAlign w:val="center"/>
          </w:tcPr>
          <w:p w14:paraId="77745FB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1.1018</w:t>
            </w:r>
          </w:p>
        </w:tc>
        <w:tc>
          <w:tcPr>
            <w:tcW w:w="558" w:type="pct"/>
            <w:noWrap w:val="0"/>
            <w:vAlign w:val="center"/>
          </w:tcPr>
          <w:p w14:paraId="3527AFB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0.1089</w:t>
            </w:r>
          </w:p>
        </w:tc>
        <w:tc>
          <w:tcPr>
            <w:tcW w:w="558" w:type="pct"/>
            <w:noWrap w:val="0"/>
            <w:vAlign w:val="center"/>
          </w:tcPr>
          <w:p w14:paraId="18F3A7C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0.0218</w:t>
            </w:r>
          </w:p>
        </w:tc>
        <w:tc>
          <w:tcPr>
            <w:tcW w:w="951" w:type="dxa"/>
            <w:noWrap w:val="0"/>
            <w:vAlign w:val="center"/>
          </w:tcPr>
          <w:p w14:paraId="2333186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0.4085</w:t>
            </w:r>
          </w:p>
        </w:tc>
        <w:tc>
          <w:tcPr>
            <w:tcW w:w="965" w:type="dxa"/>
            <w:noWrap w:val="0"/>
            <w:vAlign w:val="center"/>
          </w:tcPr>
          <w:p w14:paraId="058AFC1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0.0204</w:t>
            </w:r>
          </w:p>
        </w:tc>
      </w:tr>
      <w:tr w14:paraId="075C8EB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E1431A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2500.0</w:t>
            </w:r>
          </w:p>
        </w:tc>
        <w:tc>
          <w:tcPr>
            <w:tcW w:w="558" w:type="pct"/>
            <w:noWrap w:val="0"/>
            <w:vAlign w:val="center"/>
          </w:tcPr>
          <w:p w14:paraId="1A00E55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0.7052</w:t>
            </w:r>
          </w:p>
        </w:tc>
        <w:tc>
          <w:tcPr>
            <w:tcW w:w="558" w:type="pct"/>
            <w:noWrap w:val="0"/>
            <w:vAlign w:val="center"/>
          </w:tcPr>
          <w:p w14:paraId="59614FE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0.1567</w:t>
            </w:r>
          </w:p>
        </w:tc>
        <w:tc>
          <w:tcPr>
            <w:tcW w:w="558" w:type="pct"/>
            <w:noWrap w:val="0"/>
            <w:vAlign w:val="center"/>
          </w:tcPr>
          <w:p w14:paraId="2E97CB8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2.3047</w:t>
            </w:r>
          </w:p>
        </w:tc>
        <w:tc>
          <w:tcPr>
            <w:tcW w:w="558" w:type="pct"/>
            <w:noWrap w:val="0"/>
            <w:vAlign w:val="center"/>
          </w:tcPr>
          <w:p w14:paraId="760C315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0.9219</w:t>
            </w:r>
          </w:p>
        </w:tc>
        <w:tc>
          <w:tcPr>
            <w:tcW w:w="558" w:type="pct"/>
            <w:noWrap w:val="0"/>
            <w:vAlign w:val="center"/>
          </w:tcPr>
          <w:p w14:paraId="03FADAD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0.0911</w:t>
            </w:r>
          </w:p>
        </w:tc>
        <w:tc>
          <w:tcPr>
            <w:tcW w:w="558" w:type="pct"/>
            <w:noWrap w:val="0"/>
            <w:vAlign w:val="center"/>
          </w:tcPr>
          <w:p w14:paraId="5658CD6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0.0182</w:t>
            </w:r>
          </w:p>
        </w:tc>
        <w:tc>
          <w:tcPr>
            <w:tcW w:w="951" w:type="dxa"/>
            <w:noWrap w:val="0"/>
            <w:vAlign w:val="center"/>
          </w:tcPr>
          <w:p w14:paraId="49FDE6C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0.3418</w:t>
            </w:r>
          </w:p>
        </w:tc>
        <w:tc>
          <w:tcPr>
            <w:tcW w:w="965" w:type="dxa"/>
            <w:noWrap w:val="0"/>
            <w:vAlign w:val="center"/>
          </w:tcPr>
          <w:p w14:paraId="6AF185F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0.0171</w:t>
            </w:r>
          </w:p>
        </w:tc>
      </w:tr>
      <w:tr w14:paraId="44FED14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636CD5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3000.0</w:t>
            </w:r>
          </w:p>
        </w:tc>
        <w:tc>
          <w:tcPr>
            <w:tcW w:w="558" w:type="pct"/>
            <w:noWrap w:val="0"/>
            <w:vAlign w:val="center"/>
          </w:tcPr>
          <w:p w14:paraId="48744A1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0.6111</w:t>
            </w:r>
          </w:p>
        </w:tc>
        <w:tc>
          <w:tcPr>
            <w:tcW w:w="558" w:type="pct"/>
            <w:noWrap w:val="0"/>
            <w:vAlign w:val="center"/>
          </w:tcPr>
          <w:p w14:paraId="106285B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0.1358</w:t>
            </w:r>
          </w:p>
        </w:tc>
        <w:tc>
          <w:tcPr>
            <w:tcW w:w="558" w:type="pct"/>
            <w:noWrap w:val="0"/>
            <w:vAlign w:val="center"/>
          </w:tcPr>
          <w:p w14:paraId="5B2D9F8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1.9971</w:t>
            </w:r>
          </w:p>
        </w:tc>
        <w:tc>
          <w:tcPr>
            <w:tcW w:w="558" w:type="pct"/>
            <w:noWrap w:val="0"/>
            <w:vAlign w:val="center"/>
          </w:tcPr>
          <w:p w14:paraId="1045D34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0.7988</w:t>
            </w:r>
          </w:p>
        </w:tc>
        <w:tc>
          <w:tcPr>
            <w:tcW w:w="558" w:type="pct"/>
            <w:noWrap w:val="0"/>
            <w:vAlign w:val="center"/>
          </w:tcPr>
          <w:p w14:paraId="040C79C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0.0790</w:t>
            </w:r>
          </w:p>
        </w:tc>
        <w:tc>
          <w:tcPr>
            <w:tcW w:w="558" w:type="pct"/>
            <w:noWrap w:val="0"/>
            <w:vAlign w:val="center"/>
          </w:tcPr>
          <w:p w14:paraId="6B45862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0.0158</w:t>
            </w:r>
          </w:p>
        </w:tc>
        <w:tc>
          <w:tcPr>
            <w:tcW w:w="951" w:type="dxa"/>
            <w:noWrap w:val="0"/>
            <w:vAlign w:val="center"/>
          </w:tcPr>
          <w:p w14:paraId="6119CF4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0.2962</w:t>
            </w:r>
          </w:p>
        </w:tc>
        <w:tc>
          <w:tcPr>
            <w:tcW w:w="965" w:type="dxa"/>
            <w:noWrap w:val="0"/>
            <w:vAlign w:val="center"/>
          </w:tcPr>
          <w:p w14:paraId="7C2F892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0.0148</w:t>
            </w:r>
          </w:p>
        </w:tc>
      </w:tr>
      <w:tr w14:paraId="1D17C22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FBB449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3500.0</w:t>
            </w:r>
          </w:p>
        </w:tc>
        <w:tc>
          <w:tcPr>
            <w:tcW w:w="558" w:type="pct"/>
            <w:noWrap w:val="0"/>
            <w:vAlign w:val="center"/>
          </w:tcPr>
          <w:p w14:paraId="315979F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0.5374</w:t>
            </w:r>
          </w:p>
        </w:tc>
        <w:tc>
          <w:tcPr>
            <w:tcW w:w="558" w:type="pct"/>
            <w:noWrap w:val="0"/>
            <w:vAlign w:val="center"/>
          </w:tcPr>
          <w:p w14:paraId="265CCD8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0.1194</w:t>
            </w:r>
          </w:p>
        </w:tc>
        <w:tc>
          <w:tcPr>
            <w:tcW w:w="558" w:type="pct"/>
            <w:noWrap w:val="0"/>
            <w:vAlign w:val="center"/>
          </w:tcPr>
          <w:p w14:paraId="4E98C68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1.7563</w:t>
            </w:r>
          </w:p>
        </w:tc>
        <w:tc>
          <w:tcPr>
            <w:tcW w:w="558" w:type="pct"/>
            <w:noWrap w:val="0"/>
            <w:vAlign w:val="center"/>
          </w:tcPr>
          <w:p w14:paraId="7186C6E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0.7025</w:t>
            </w:r>
          </w:p>
        </w:tc>
        <w:tc>
          <w:tcPr>
            <w:tcW w:w="558" w:type="pct"/>
            <w:noWrap w:val="0"/>
            <w:vAlign w:val="center"/>
          </w:tcPr>
          <w:p w14:paraId="248FA03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0.0695</w:t>
            </w:r>
          </w:p>
        </w:tc>
        <w:tc>
          <w:tcPr>
            <w:tcW w:w="558" w:type="pct"/>
            <w:noWrap w:val="0"/>
            <w:vAlign w:val="center"/>
          </w:tcPr>
          <w:p w14:paraId="554C49D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0.0139</w:t>
            </w:r>
          </w:p>
        </w:tc>
        <w:tc>
          <w:tcPr>
            <w:tcW w:w="951" w:type="dxa"/>
            <w:noWrap w:val="0"/>
            <w:vAlign w:val="center"/>
          </w:tcPr>
          <w:p w14:paraId="6AD888D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0.2605</w:t>
            </w:r>
          </w:p>
        </w:tc>
        <w:tc>
          <w:tcPr>
            <w:tcW w:w="965" w:type="dxa"/>
            <w:noWrap w:val="0"/>
            <w:vAlign w:val="center"/>
          </w:tcPr>
          <w:p w14:paraId="176413E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0.0130</w:t>
            </w:r>
          </w:p>
        </w:tc>
      </w:tr>
      <w:tr w14:paraId="6F0C3C6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EB2CCA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4000.0</w:t>
            </w:r>
          </w:p>
        </w:tc>
        <w:tc>
          <w:tcPr>
            <w:tcW w:w="558" w:type="pct"/>
            <w:noWrap w:val="0"/>
            <w:vAlign w:val="center"/>
          </w:tcPr>
          <w:p w14:paraId="1950C43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0.4792</w:t>
            </w:r>
          </w:p>
        </w:tc>
        <w:tc>
          <w:tcPr>
            <w:tcW w:w="558" w:type="pct"/>
            <w:noWrap w:val="0"/>
            <w:vAlign w:val="center"/>
          </w:tcPr>
          <w:p w14:paraId="49BFAEA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0.1065</w:t>
            </w:r>
          </w:p>
        </w:tc>
        <w:tc>
          <w:tcPr>
            <w:tcW w:w="558" w:type="pct"/>
            <w:noWrap w:val="0"/>
            <w:vAlign w:val="center"/>
          </w:tcPr>
          <w:p w14:paraId="344938B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1.5660</w:t>
            </w:r>
          </w:p>
        </w:tc>
        <w:tc>
          <w:tcPr>
            <w:tcW w:w="558" w:type="pct"/>
            <w:noWrap w:val="0"/>
            <w:vAlign w:val="center"/>
          </w:tcPr>
          <w:p w14:paraId="2E29010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0.6264</w:t>
            </w:r>
          </w:p>
        </w:tc>
        <w:tc>
          <w:tcPr>
            <w:tcW w:w="558" w:type="pct"/>
            <w:noWrap w:val="0"/>
            <w:vAlign w:val="center"/>
          </w:tcPr>
          <w:p w14:paraId="19E1B4E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0.0619</w:t>
            </w:r>
          </w:p>
        </w:tc>
        <w:tc>
          <w:tcPr>
            <w:tcW w:w="558" w:type="pct"/>
            <w:noWrap w:val="0"/>
            <w:vAlign w:val="center"/>
          </w:tcPr>
          <w:p w14:paraId="35A93DF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0.0124</w:t>
            </w:r>
          </w:p>
        </w:tc>
        <w:tc>
          <w:tcPr>
            <w:tcW w:w="951" w:type="dxa"/>
            <w:noWrap w:val="0"/>
            <w:vAlign w:val="center"/>
          </w:tcPr>
          <w:p w14:paraId="56A577B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0.2322</w:t>
            </w:r>
          </w:p>
        </w:tc>
        <w:tc>
          <w:tcPr>
            <w:tcW w:w="965" w:type="dxa"/>
            <w:noWrap w:val="0"/>
            <w:vAlign w:val="center"/>
          </w:tcPr>
          <w:p w14:paraId="3B77B37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0.0116</w:t>
            </w:r>
          </w:p>
        </w:tc>
      </w:tr>
      <w:tr w14:paraId="3A6CF04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6B621B0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4500.0</w:t>
            </w:r>
          </w:p>
        </w:tc>
        <w:tc>
          <w:tcPr>
            <w:tcW w:w="558" w:type="pct"/>
            <w:noWrap w:val="0"/>
            <w:vAlign w:val="center"/>
          </w:tcPr>
          <w:p w14:paraId="2A4D94B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0.4315</w:t>
            </w:r>
          </w:p>
        </w:tc>
        <w:tc>
          <w:tcPr>
            <w:tcW w:w="558" w:type="pct"/>
            <w:noWrap w:val="0"/>
            <w:vAlign w:val="center"/>
          </w:tcPr>
          <w:p w14:paraId="7CC3B9E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0.0959</w:t>
            </w:r>
          </w:p>
        </w:tc>
        <w:tc>
          <w:tcPr>
            <w:tcW w:w="558" w:type="pct"/>
            <w:noWrap w:val="0"/>
            <w:vAlign w:val="center"/>
          </w:tcPr>
          <w:p w14:paraId="5EE1A17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1.4102</w:t>
            </w:r>
          </w:p>
        </w:tc>
        <w:tc>
          <w:tcPr>
            <w:tcW w:w="558" w:type="pct"/>
            <w:noWrap w:val="0"/>
            <w:vAlign w:val="center"/>
          </w:tcPr>
          <w:p w14:paraId="5915E91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0.5641</w:t>
            </w:r>
          </w:p>
        </w:tc>
        <w:tc>
          <w:tcPr>
            <w:tcW w:w="558" w:type="pct"/>
            <w:noWrap w:val="0"/>
            <w:vAlign w:val="center"/>
          </w:tcPr>
          <w:p w14:paraId="7B16A96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0.0558</w:t>
            </w:r>
          </w:p>
        </w:tc>
        <w:tc>
          <w:tcPr>
            <w:tcW w:w="558" w:type="pct"/>
            <w:noWrap w:val="0"/>
            <w:vAlign w:val="center"/>
          </w:tcPr>
          <w:p w14:paraId="3759B9F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0.0112</w:t>
            </w:r>
          </w:p>
        </w:tc>
        <w:tc>
          <w:tcPr>
            <w:tcW w:w="951" w:type="dxa"/>
            <w:noWrap w:val="0"/>
            <w:vAlign w:val="center"/>
          </w:tcPr>
          <w:p w14:paraId="6BAE598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0.2091</w:t>
            </w:r>
          </w:p>
        </w:tc>
        <w:tc>
          <w:tcPr>
            <w:tcW w:w="965" w:type="dxa"/>
            <w:noWrap w:val="0"/>
            <w:vAlign w:val="center"/>
          </w:tcPr>
          <w:p w14:paraId="5FB7875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0.0105</w:t>
            </w:r>
          </w:p>
        </w:tc>
      </w:tr>
      <w:tr w14:paraId="1F14CC2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4D1278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5000.0</w:t>
            </w:r>
          </w:p>
        </w:tc>
        <w:tc>
          <w:tcPr>
            <w:tcW w:w="558" w:type="pct"/>
            <w:noWrap w:val="0"/>
            <w:vAlign w:val="center"/>
          </w:tcPr>
          <w:p w14:paraId="18CF552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0.3925</w:t>
            </w:r>
          </w:p>
        </w:tc>
        <w:tc>
          <w:tcPr>
            <w:tcW w:w="558" w:type="pct"/>
            <w:noWrap w:val="0"/>
            <w:vAlign w:val="center"/>
          </w:tcPr>
          <w:p w14:paraId="107AB35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0.0872</w:t>
            </w:r>
          </w:p>
        </w:tc>
        <w:tc>
          <w:tcPr>
            <w:tcW w:w="558" w:type="pct"/>
            <w:noWrap w:val="0"/>
            <w:vAlign w:val="center"/>
          </w:tcPr>
          <w:p w14:paraId="2B9C87C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1.2828</w:t>
            </w:r>
          </w:p>
        </w:tc>
        <w:tc>
          <w:tcPr>
            <w:tcW w:w="558" w:type="pct"/>
            <w:noWrap w:val="0"/>
            <w:vAlign w:val="center"/>
          </w:tcPr>
          <w:p w14:paraId="75BDB82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0.5131</w:t>
            </w:r>
          </w:p>
        </w:tc>
        <w:tc>
          <w:tcPr>
            <w:tcW w:w="558" w:type="pct"/>
            <w:noWrap w:val="0"/>
            <w:vAlign w:val="center"/>
          </w:tcPr>
          <w:p w14:paraId="1BD5AE3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0.0507</w:t>
            </w:r>
          </w:p>
        </w:tc>
        <w:tc>
          <w:tcPr>
            <w:tcW w:w="558" w:type="pct"/>
            <w:noWrap w:val="0"/>
            <w:vAlign w:val="center"/>
          </w:tcPr>
          <w:p w14:paraId="46C0E58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0.0101</w:t>
            </w:r>
          </w:p>
        </w:tc>
        <w:tc>
          <w:tcPr>
            <w:tcW w:w="951" w:type="dxa"/>
            <w:noWrap w:val="0"/>
            <w:vAlign w:val="center"/>
          </w:tcPr>
          <w:p w14:paraId="1FC2526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0.1902</w:t>
            </w:r>
          </w:p>
        </w:tc>
        <w:tc>
          <w:tcPr>
            <w:tcW w:w="965" w:type="dxa"/>
            <w:noWrap w:val="0"/>
            <w:vAlign w:val="center"/>
          </w:tcPr>
          <w:p w14:paraId="72182B4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0.0095</w:t>
            </w:r>
          </w:p>
        </w:tc>
      </w:tr>
      <w:tr w14:paraId="6ADCBB3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FDF97C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10000.0</w:t>
            </w:r>
          </w:p>
        </w:tc>
        <w:tc>
          <w:tcPr>
            <w:tcW w:w="558" w:type="pct"/>
            <w:noWrap w:val="0"/>
            <w:vAlign w:val="center"/>
          </w:tcPr>
          <w:p w14:paraId="003299A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0.2014</w:t>
            </w:r>
          </w:p>
        </w:tc>
        <w:tc>
          <w:tcPr>
            <w:tcW w:w="558" w:type="pct"/>
            <w:noWrap w:val="0"/>
            <w:vAlign w:val="center"/>
          </w:tcPr>
          <w:p w14:paraId="1CBDDD6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0.0448</w:t>
            </w:r>
          </w:p>
        </w:tc>
        <w:tc>
          <w:tcPr>
            <w:tcW w:w="558" w:type="pct"/>
            <w:noWrap w:val="0"/>
            <w:vAlign w:val="center"/>
          </w:tcPr>
          <w:p w14:paraId="2439E81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0.6582</w:t>
            </w:r>
          </w:p>
        </w:tc>
        <w:tc>
          <w:tcPr>
            <w:tcW w:w="558" w:type="pct"/>
            <w:noWrap w:val="0"/>
            <w:vAlign w:val="center"/>
          </w:tcPr>
          <w:p w14:paraId="228B022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0.2633</w:t>
            </w:r>
          </w:p>
        </w:tc>
        <w:tc>
          <w:tcPr>
            <w:tcW w:w="558" w:type="pct"/>
            <w:noWrap w:val="0"/>
            <w:vAlign w:val="center"/>
          </w:tcPr>
          <w:p w14:paraId="2B6DAFB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0.0260</w:t>
            </w:r>
          </w:p>
        </w:tc>
        <w:tc>
          <w:tcPr>
            <w:tcW w:w="558" w:type="pct"/>
            <w:noWrap w:val="0"/>
            <w:vAlign w:val="center"/>
          </w:tcPr>
          <w:p w14:paraId="29EADEA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0.0052</w:t>
            </w:r>
          </w:p>
        </w:tc>
        <w:tc>
          <w:tcPr>
            <w:tcW w:w="951" w:type="dxa"/>
            <w:noWrap w:val="0"/>
            <w:vAlign w:val="center"/>
          </w:tcPr>
          <w:p w14:paraId="58C1BB7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0.0976</w:t>
            </w:r>
          </w:p>
        </w:tc>
        <w:tc>
          <w:tcPr>
            <w:tcW w:w="965" w:type="dxa"/>
            <w:noWrap w:val="0"/>
            <w:vAlign w:val="center"/>
          </w:tcPr>
          <w:p w14:paraId="4F7B06C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0.0049</w:t>
            </w:r>
          </w:p>
        </w:tc>
      </w:tr>
      <w:tr w14:paraId="77DA9EB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A8BBD2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11000.0</w:t>
            </w:r>
          </w:p>
        </w:tc>
        <w:tc>
          <w:tcPr>
            <w:tcW w:w="558" w:type="pct"/>
            <w:noWrap w:val="0"/>
            <w:vAlign w:val="center"/>
          </w:tcPr>
          <w:p w14:paraId="26AB72B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0.1831</w:t>
            </w:r>
          </w:p>
        </w:tc>
        <w:tc>
          <w:tcPr>
            <w:tcW w:w="558" w:type="pct"/>
            <w:noWrap w:val="0"/>
            <w:vAlign w:val="center"/>
          </w:tcPr>
          <w:p w14:paraId="560D561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0.0407</w:t>
            </w:r>
          </w:p>
        </w:tc>
        <w:tc>
          <w:tcPr>
            <w:tcW w:w="558" w:type="pct"/>
            <w:noWrap w:val="0"/>
            <w:vAlign w:val="center"/>
          </w:tcPr>
          <w:p w14:paraId="224C4E3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0.5983</w:t>
            </w:r>
          </w:p>
        </w:tc>
        <w:tc>
          <w:tcPr>
            <w:tcW w:w="558" w:type="pct"/>
            <w:noWrap w:val="0"/>
            <w:vAlign w:val="center"/>
          </w:tcPr>
          <w:p w14:paraId="3056736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0.2393</w:t>
            </w:r>
          </w:p>
        </w:tc>
        <w:tc>
          <w:tcPr>
            <w:tcW w:w="558" w:type="pct"/>
            <w:noWrap w:val="0"/>
            <w:vAlign w:val="center"/>
          </w:tcPr>
          <w:p w14:paraId="0FA0BFB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0.0237</w:t>
            </w:r>
          </w:p>
        </w:tc>
        <w:tc>
          <w:tcPr>
            <w:tcW w:w="558" w:type="pct"/>
            <w:noWrap w:val="0"/>
            <w:vAlign w:val="center"/>
          </w:tcPr>
          <w:p w14:paraId="4B8B4E8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0.0047</w:t>
            </w:r>
          </w:p>
        </w:tc>
        <w:tc>
          <w:tcPr>
            <w:tcW w:w="951" w:type="dxa"/>
            <w:noWrap w:val="0"/>
            <w:vAlign w:val="center"/>
          </w:tcPr>
          <w:p w14:paraId="293EA95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0.0887</w:t>
            </w:r>
          </w:p>
        </w:tc>
        <w:tc>
          <w:tcPr>
            <w:tcW w:w="965" w:type="dxa"/>
            <w:noWrap w:val="0"/>
            <w:vAlign w:val="center"/>
          </w:tcPr>
          <w:p w14:paraId="55209D0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0.0044</w:t>
            </w:r>
          </w:p>
        </w:tc>
      </w:tr>
      <w:tr w14:paraId="2BAF2E5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A36708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12000.0</w:t>
            </w:r>
          </w:p>
        </w:tc>
        <w:tc>
          <w:tcPr>
            <w:tcW w:w="558" w:type="pct"/>
            <w:noWrap w:val="0"/>
            <w:vAlign w:val="center"/>
          </w:tcPr>
          <w:p w14:paraId="25A9000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0.1673</w:t>
            </w:r>
          </w:p>
        </w:tc>
        <w:tc>
          <w:tcPr>
            <w:tcW w:w="558" w:type="pct"/>
            <w:noWrap w:val="0"/>
            <w:vAlign w:val="center"/>
          </w:tcPr>
          <w:p w14:paraId="1566EEC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0.0372</w:t>
            </w:r>
          </w:p>
        </w:tc>
        <w:tc>
          <w:tcPr>
            <w:tcW w:w="558" w:type="pct"/>
            <w:noWrap w:val="0"/>
            <w:vAlign w:val="center"/>
          </w:tcPr>
          <w:p w14:paraId="237FB4F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0.5467</w:t>
            </w:r>
          </w:p>
        </w:tc>
        <w:tc>
          <w:tcPr>
            <w:tcW w:w="558" w:type="pct"/>
            <w:noWrap w:val="0"/>
            <w:vAlign w:val="center"/>
          </w:tcPr>
          <w:p w14:paraId="23C342D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0.2187</w:t>
            </w:r>
          </w:p>
        </w:tc>
        <w:tc>
          <w:tcPr>
            <w:tcW w:w="558" w:type="pct"/>
            <w:noWrap w:val="0"/>
            <w:vAlign w:val="center"/>
          </w:tcPr>
          <w:p w14:paraId="08A89FC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0.0216</w:t>
            </w:r>
          </w:p>
        </w:tc>
        <w:tc>
          <w:tcPr>
            <w:tcW w:w="558" w:type="pct"/>
            <w:noWrap w:val="0"/>
            <w:vAlign w:val="center"/>
          </w:tcPr>
          <w:p w14:paraId="1203952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0.0043</w:t>
            </w:r>
          </w:p>
        </w:tc>
        <w:tc>
          <w:tcPr>
            <w:tcW w:w="951" w:type="dxa"/>
            <w:noWrap w:val="0"/>
            <w:vAlign w:val="center"/>
          </w:tcPr>
          <w:p w14:paraId="4065A1C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0.0811</w:t>
            </w:r>
          </w:p>
        </w:tc>
        <w:tc>
          <w:tcPr>
            <w:tcW w:w="965" w:type="dxa"/>
            <w:noWrap w:val="0"/>
            <w:vAlign w:val="center"/>
          </w:tcPr>
          <w:p w14:paraId="1A037C2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0.0041</w:t>
            </w:r>
          </w:p>
        </w:tc>
      </w:tr>
      <w:tr w14:paraId="1F7999E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6F3658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13000.0</w:t>
            </w:r>
          </w:p>
        </w:tc>
        <w:tc>
          <w:tcPr>
            <w:tcW w:w="558" w:type="pct"/>
            <w:noWrap w:val="0"/>
            <w:vAlign w:val="center"/>
          </w:tcPr>
          <w:p w14:paraId="21486FB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0.1487</w:t>
            </w:r>
          </w:p>
        </w:tc>
        <w:tc>
          <w:tcPr>
            <w:tcW w:w="558" w:type="pct"/>
            <w:noWrap w:val="0"/>
            <w:vAlign w:val="center"/>
          </w:tcPr>
          <w:p w14:paraId="65A8D9B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0.0330</w:t>
            </w:r>
          </w:p>
        </w:tc>
        <w:tc>
          <w:tcPr>
            <w:tcW w:w="558" w:type="pct"/>
            <w:noWrap w:val="0"/>
            <w:vAlign w:val="center"/>
          </w:tcPr>
          <w:p w14:paraId="6D14C84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0.4860</w:t>
            </w:r>
          </w:p>
        </w:tc>
        <w:tc>
          <w:tcPr>
            <w:tcW w:w="558" w:type="pct"/>
            <w:noWrap w:val="0"/>
            <w:vAlign w:val="center"/>
          </w:tcPr>
          <w:p w14:paraId="0086DC2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0.1944</w:t>
            </w:r>
          </w:p>
        </w:tc>
        <w:tc>
          <w:tcPr>
            <w:tcW w:w="558" w:type="pct"/>
            <w:noWrap w:val="0"/>
            <w:vAlign w:val="center"/>
          </w:tcPr>
          <w:p w14:paraId="5321150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0.0192</w:t>
            </w:r>
          </w:p>
        </w:tc>
        <w:tc>
          <w:tcPr>
            <w:tcW w:w="558" w:type="pct"/>
            <w:noWrap w:val="0"/>
            <w:vAlign w:val="center"/>
          </w:tcPr>
          <w:p w14:paraId="23D412D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0.0038</w:t>
            </w:r>
          </w:p>
        </w:tc>
        <w:tc>
          <w:tcPr>
            <w:tcW w:w="951" w:type="dxa"/>
            <w:noWrap w:val="0"/>
            <w:vAlign w:val="center"/>
          </w:tcPr>
          <w:p w14:paraId="67E37DB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0.0721</w:t>
            </w:r>
          </w:p>
        </w:tc>
        <w:tc>
          <w:tcPr>
            <w:tcW w:w="965" w:type="dxa"/>
            <w:noWrap w:val="0"/>
            <w:vAlign w:val="center"/>
          </w:tcPr>
          <w:p w14:paraId="65F530E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0.0036</w:t>
            </w:r>
          </w:p>
        </w:tc>
      </w:tr>
      <w:tr w14:paraId="4D8E90C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35CDB5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14000.0</w:t>
            </w:r>
          </w:p>
        </w:tc>
        <w:tc>
          <w:tcPr>
            <w:tcW w:w="558" w:type="pct"/>
            <w:noWrap w:val="0"/>
            <w:vAlign w:val="center"/>
          </w:tcPr>
          <w:p w14:paraId="32AFDF1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0.1370</w:t>
            </w:r>
          </w:p>
        </w:tc>
        <w:tc>
          <w:tcPr>
            <w:tcW w:w="558" w:type="pct"/>
            <w:noWrap w:val="0"/>
            <w:vAlign w:val="center"/>
          </w:tcPr>
          <w:p w14:paraId="225C30F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0.0304</w:t>
            </w:r>
          </w:p>
        </w:tc>
        <w:tc>
          <w:tcPr>
            <w:tcW w:w="558" w:type="pct"/>
            <w:noWrap w:val="0"/>
            <w:vAlign w:val="center"/>
          </w:tcPr>
          <w:p w14:paraId="75DD0BE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0.4477</w:t>
            </w:r>
          </w:p>
        </w:tc>
        <w:tc>
          <w:tcPr>
            <w:tcW w:w="558" w:type="pct"/>
            <w:noWrap w:val="0"/>
            <w:vAlign w:val="center"/>
          </w:tcPr>
          <w:p w14:paraId="5AC22CD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0.1791</w:t>
            </w:r>
          </w:p>
        </w:tc>
        <w:tc>
          <w:tcPr>
            <w:tcW w:w="558" w:type="pct"/>
            <w:noWrap w:val="0"/>
            <w:vAlign w:val="center"/>
          </w:tcPr>
          <w:p w14:paraId="50C6DFC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0.0177</w:t>
            </w:r>
          </w:p>
        </w:tc>
        <w:tc>
          <w:tcPr>
            <w:tcW w:w="558" w:type="pct"/>
            <w:noWrap w:val="0"/>
            <w:vAlign w:val="center"/>
          </w:tcPr>
          <w:p w14:paraId="3E633EB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0.0035</w:t>
            </w:r>
          </w:p>
        </w:tc>
        <w:tc>
          <w:tcPr>
            <w:tcW w:w="951" w:type="dxa"/>
            <w:noWrap w:val="0"/>
            <w:vAlign w:val="center"/>
          </w:tcPr>
          <w:p w14:paraId="34AE281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0.0664</w:t>
            </w:r>
          </w:p>
        </w:tc>
        <w:tc>
          <w:tcPr>
            <w:tcW w:w="965" w:type="dxa"/>
            <w:noWrap w:val="0"/>
            <w:vAlign w:val="center"/>
          </w:tcPr>
          <w:p w14:paraId="6671B9CB">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0.0033</w:t>
            </w:r>
          </w:p>
        </w:tc>
      </w:tr>
      <w:tr w14:paraId="372E3DB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05D8AD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15000.0</w:t>
            </w:r>
          </w:p>
        </w:tc>
        <w:tc>
          <w:tcPr>
            <w:tcW w:w="558" w:type="pct"/>
            <w:noWrap w:val="0"/>
            <w:vAlign w:val="center"/>
          </w:tcPr>
          <w:p w14:paraId="55BA470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0.1295</w:t>
            </w:r>
          </w:p>
        </w:tc>
        <w:tc>
          <w:tcPr>
            <w:tcW w:w="558" w:type="pct"/>
            <w:noWrap w:val="0"/>
            <w:vAlign w:val="center"/>
          </w:tcPr>
          <w:p w14:paraId="1D1DD06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0.0288</w:t>
            </w:r>
          </w:p>
        </w:tc>
        <w:tc>
          <w:tcPr>
            <w:tcW w:w="558" w:type="pct"/>
            <w:noWrap w:val="0"/>
            <w:vAlign w:val="center"/>
          </w:tcPr>
          <w:p w14:paraId="2B2773B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0.4231</w:t>
            </w:r>
          </w:p>
        </w:tc>
        <w:tc>
          <w:tcPr>
            <w:tcW w:w="558" w:type="pct"/>
            <w:noWrap w:val="0"/>
            <w:vAlign w:val="center"/>
          </w:tcPr>
          <w:p w14:paraId="603849F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0.1692</w:t>
            </w:r>
          </w:p>
        </w:tc>
        <w:tc>
          <w:tcPr>
            <w:tcW w:w="558" w:type="pct"/>
            <w:noWrap w:val="0"/>
            <w:vAlign w:val="center"/>
          </w:tcPr>
          <w:p w14:paraId="156EE07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0.0167</w:t>
            </w:r>
          </w:p>
        </w:tc>
        <w:tc>
          <w:tcPr>
            <w:tcW w:w="558" w:type="pct"/>
            <w:noWrap w:val="0"/>
            <w:vAlign w:val="center"/>
          </w:tcPr>
          <w:p w14:paraId="5C061C3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0.0033</w:t>
            </w:r>
          </w:p>
        </w:tc>
        <w:tc>
          <w:tcPr>
            <w:tcW w:w="951" w:type="dxa"/>
            <w:noWrap w:val="0"/>
            <w:vAlign w:val="center"/>
          </w:tcPr>
          <w:p w14:paraId="5269105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0.0627</w:t>
            </w:r>
          </w:p>
        </w:tc>
        <w:tc>
          <w:tcPr>
            <w:tcW w:w="965" w:type="dxa"/>
            <w:noWrap w:val="0"/>
            <w:vAlign w:val="center"/>
          </w:tcPr>
          <w:p w14:paraId="3173956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0.0031</w:t>
            </w:r>
          </w:p>
        </w:tc>
      </w:tr>
      <w:tr w14:paraId="747369A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A64A00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20000.0</w:t>
            </w:r>
          </w:p>
        </w:tc>
        <w:tc>
          <w:tcPr>
            <w:tcW w:w="558" w:type="pct"/>
            <w:noWrap w:val="0"/>
            <w:vAlign w:val="center"/>
          </w:tcPr>
          <w:p w14:paraId="248F6E1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0.0954</w:t>
            </w:r>
          </w:p>
        </w:tc>
        <w:tc>
          <w:tcPr>
            <w:tcW w:w="558" w:type="pct"/>
            <w:noWrap w:val="0"/>
            <w:vAlign w:val="center"/>
          </w:tcPr>
          <w:p w14:paraId="4275CEF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0.0212</w:t>
            </w:r>
          </w:p>
        </w:tc>
        <w:tc>
          <w:tcPr>
            <w:tcW w:w="558" w:type="pct"/>
            <w:noWrap w:val="0"/>
            <w:vAlign w:val="center"/>
          </w:tcPr>
          <w:p w14:paraId="3B87B0D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0.3118</w:t>
            </w:r>
          </w:p>
        </w:tc>
        <w:tc>
          <w:tcPr>
            <w:tcW w:w="558" w:type="pct"/>
            <w:noWrap w:val="0"/>
            <w:vAlign w:val="center"/>
          </w:tcPr>
          <w:p w14:paraId="32257C6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0.1247</w:t>
            </w:r>
          </w:p>
        </w:tc>
        <w:tc>
          <w:tcPr>
            <w:tcW w:w="558" w:type="pct"/>
            <w:noWrap w:val="0"/>
            <w:vAlign w:val="center"/>
          </w:tcPr>
          <w:p w14:paraId="0F38E2A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0.0123</w:t>
            </w:r>
          </w:p>
        </w:tc>
        <w:tc>
          <w:tcPr>
            <w:tcW w:w="558" w:type="pct"/>
            <w:noWrap w:val="0"/>
            <w:vAlign w:val="center"/>
          </w:tcPr>
          <w:p w14:paraId="5C0E62D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0.0025</w:t>
            </w:r>
          </w:p>
        </w:tc>
        <w:tc>
          <w:tcPr>
            <w:tcW w:w="951" w:type="dxa"/>
            <w:noWrap w:val="0"/>
            <w:vAlign w:val="center"/>
          </w:tcPr>
          <w:p w14:paraId="1BCF3AF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0.0462</w:t>
            </w:r>
          </w:p>
        </w:tc>
        <w:tc>
          <w:tcPr>
            <w:tcW w:w="965" w:type="dxa"/>
            <w:noWrap w:val="0"/>
            <w:vAlign w:val="center"/>
          </w:tcPr>
          <w:p w14:paraId="3A8700B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0.0023</w:t>
            </w:r>
          </w:p>
        </w:tc>
      </w:tr>
      <w:tr w14:paraId="7A7A7CE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A9CF98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25000.0</w:t>
            </w:r>
          </w:p>
        </w:tc>
        <w:tc>
          <w:tcPr>
            <w:tcW w:w="558" w:type="pct"/>
            <w:noWrap w:val="0"/>
            <w:vAlign w:val="center"/>
          </w:tcPr>
          <w:p w14:paraId="1B68F2E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0.0746</w:t>
            </w:r>
          </w:p>
        </w:tc>
        <w:tc>
          <w:tcPr>
            <w:tcW w:w="558" w:type="pct"/>
            <w:noWrap w:val="0"/>
            <w:vAlign w:val="center"/>
          </w:tcPr>
          <w:p w14:paraId="7E4E820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0.0166</w:t>
            </w:r>
          </w:p>
        </w:tc>
        <w:tc>
          <w:tcPr>
            <w:tcW w:w="558" w:type="pct"/>
            <w:noWrap w:val="0"/>
            <w:vAlign w:val="center"/>
          </w:tcPr>
          <w:p w14:paraId="59A56B6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0.2438</w:t>
            </w:r>
          </w:p>
        </w:tc>
        <w:tc>
          <w:tcPr>
            <w:tcW w:w="558" w:type="pct"/>
            <w:noWrap w:val="0"/>
            <w:vAlign w:val="center"/>
          </w:tcPr>
          <w:p w14:paraId="29E5653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0.0975</w:t>
            </w:r>
          </w:p>
        </w:tc>
        <w:tc>
          <w:tcPr>
            <w:tcW w:w="558" w:type="pct"/>
            <w:noWrap w:val="0"/>
            <w:vAlign w:val="center"/>
          </w:tcPr>
          <w:p w14:paraId="45A3376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0.0096</w:t>
            </w:r>
          </w:p>
        </w:tc>
        <w:tc>
          <w:tcPr>
            <w:tcW w:w="558" w:type="pct"/>
            <w:noWrap w:val="0"/>
            <w:vAlign w:val="center"/>
          </w:tcPr>
          <w:p w14:paraId="4D454C6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0.0019</w:t>
            </w:r>
          </w:p>
        </w:tc>
        <w:tc>
          <w:tcPr>
            <w:tcW w:w="951" w:type="dxa"/>
            <w:noWrap w:val="0"/>
            <w:vAlign w:val="center"/>
          </w:tcPr>
          <w:p w14:paraId="0E8A395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0.0362</w:t>
            </w:r>
          </w:p>
        </w:tc>
        <w:tc>
          <w:tcPr>
            <w:tcW w:w="965" w:type="dxa"/>
            <w:noWrap w:val="0"/>
            <w:vAlign w:val="center"/>
          </w:tcPr>
          <w:p w14:paraId="5ED634F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0.0018</w:t>
            </w:r>
          </w:p>
        </w:tc>
      </w:tr>
      <w:tr w14:paraId="258C903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618" w:hRule="exact"/>
        </w:trPr>
        <w:tc>
          <w:tcPr>
            <w:tcW w:w="527" w:type="pct"/>
            <w:noWrap w:val="0"/>
            <w:vAlign w:val="center"/>
          </w:tcPr>
          <w:p w14:paraId="1E59144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下风向最大浓度</w:t>
            </w:r>
          </w:p>
        </w:tc>
        <w:tc>
          <w:tcPr>
            <w:tcW w:w="558" w:type="pct"/>
            <w:noWrap w:val="0"/>
            <w:vAlign w:val="center"/>
          </w:tcPr>
          <w:p w14:paraId="2DE3F3F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2.0152</w:t>
            </w:r>
          </w:p>
        </w:tc>
        <w:tc>
          <w:tcPr>
            <w:tcW w:w="558" w:type="pct"/>
            <w:noWrap w:val="0"/>
            <w:vAlign w:val="center"/>
          </w:tcPr>
          <w:p w14:paraId="2D09619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0.4478</w:t>
            </w:r>
          </w:p>
        </w:tc>
        <w:tc>
          <w:tcPr>
            <w:tcW w:w="558" w:type="pct"/>
            <w:noWrap w:val="0"/>
            <w:vAlign w:val="center"/>
          </w:tcPr>
          <w:p w14:paraId="3094B28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6.5860</w:t>
            </w:r>
          </w:p>
        </w:tc>
        <w:tc>
          <w:tcPr>
            <w:tcW w:w="558" w:type="pct"/>
            <w:noWrap w:val="0"/>
            <w:vAlign w:val="center"/>
          </w:tcPr>
          <w:p w14:paraId="5BD1E7C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2.6344</w:t>
            </w:r>
          </w:p>
        </w:tc>
        <w:tc>
          <w:tcPr>
            <w:tcW w:w="558" w:type="pct"/>
            <w:noWrap w:val="0"/>
            <w:vAlign w:val="center"/>
          </w:tcPr>
          <w:p w14:paraId="2262BFD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0.2604</w:t>
            </w:r>
          </w:p>
        </w:tc>
        <w:tc>
          <w:tcPr>
            <w:tcW w:w="558" w:type="pct"/>
            <w:noWrap w:val="0"/>
            <w:vAlign w:val="center"/>
          </w:tcPr>
          <w:p w14:paraId="284A0F5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0.0521</w:t>
            </w:r>
          </w:p>
        </w:tc>
        <w:tc>
          <w:tcPr>
            <w:tcW w:w="951" w:type="dxa"/>
            <w:noWrap w:val="0"/>
            <w:vAlign w:val="center"/>
          </w:tcPr>
          <w:p w14:paraId="3459307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0.9767</w:t>
            </w:r>
          </w:p>
        </w:tc>
        <w:tc>
          <w:tcPr>
            <w:tcW w:w="965" w:type="dxa"/>
            <w:noWrap w:val="0"/>
            <w:vAlign w:val="center"/>
          </w:tcPr>
          <w:p w14:paraId="51A2906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0.0488</w:t>
            </w:r>
          </w:p>
        </w:tc>
      </w:tr>
      <w:tr w14:paraId="6D0BEE3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BAE9BE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下风向最大浓度出现距离</w:t>
            </w:r>
          </w:p>
        </w:tc>
        <w:tc>
          <w:tcPr>
            <w:tcW w:w="558" w:type="pct"/>
            <w:noWrap w:val="0"/>
            <w:vAlign w:val="center"/>
          </w:tcPr>
          <w:p w14:paraId="736EF64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423CA2F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6DE4B45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0E41479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283267E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69E09FA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951" w:type="dxa"/>
            <w:noWrap w:val="0"/>
            <w:vAlign w:val="center"/>
          </w:tcPr>
          <w:p w14:paraId="4879D5C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965" w:type="dxa"/>
            <w:noWrap w:val="0"/>
            <w:vAlign w:val="center"/>
          </w:tcPr>
          <w:p w14:paraId="2722A39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225.0</w:t>
            </w:r>
          </w:p>
        </w:tc>
      </w:tr>
      <w:tr w14:paraId="6B34581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14D46E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D10%最远距离</w:t>
            </w:r>
          </w:p>
        </w:tc>
        <w:tc>
          <w:tcPr>
            <w:tcW w:w="558" w:type="pct"/>
            <w:noWrap w:val="0"/>
            <w:vAlign w:val="center"/>
          </w:tcPr>
          <w:p w14:paraId="6A35BCA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1A55EC6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5C9DB97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43D04BF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6BA11C1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74F5B14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951" w:type="dxa"/>
            <w:noWrap w:val="0"/>
            <w:vAlign w:val="center"/>
          </w:tcPr>
          <w:p w14:paraId="00823BE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965" w:type="dxa"/>
            <w:noWrap w:val="0"/>
            <w:vAlign w:val="center"/>
          </w:tcPr>
          <w:p w14:paraId="36B08E1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w:t>
            </w:r>
          </w:p>
        </w:tc>
      </w:tr>
    </w:tbl>
    <w:p w14:paraId="7F6273FC">
      <w:pPr>
        <w:widowControl/>
        <w:wordWrap w:val="0"/>
        <w:bidi w:val="0"/>
        <w:spacing w:line="240" w:lineRule="auto"/>
        <w:ind w:firstLine="0" w:firstLineChars="0"/>
        <w:jc w:val="center"/>
        <w:rPr>
          <w:rFonts w:hint="eastAsia" w:ascii="Times New Roman" w:hAnsi="Times New Roman" w:eastAsia="宋体" w:cs="Times New Roman"/>
          <w:b/>
          <w:bCs/>
          <w:color w:val="auto"/>
          <w:kern w:val="2"/>
          <w:sz w:val="24"/>
          <w:szCs w:val="24"/>
          <w:highlight w:val="none"/>
          <w:lang w:val="en-US" w:eastAsia="zh-CN" w:bidi="ar-SA"/>
        </w:rPr>
      </w:pPr>
    </w:p>
    <w:p w14:paraId="49C90E51">
      <w:pPr>
        <w:widowControl/>
        <w:wordWrap w:val="0"/>
        <w:bidi w:val="0"/>
        <w:spacing w:line="240" w:lineRule="auto"/>
        <w:ind w:firstLine="0" w:firstLineChars="0"/>
        <w:jc w:val="center"/>
        <w:rPr>
          <w:rFonts w:hint="eastAsia" w:ascii="Times New Roman" w:hAnsi="Times New Roman" w:eastAsia="宋体" w:cs="Times New Roman"/>
          <w:b/>
          <w:bCs/>
          <w:color w:val="auto"/>
          <w:kern w:val="2"/>
          <w:sz w:val="24"/>
          <w:szCs w:val="21"/>
          <w:highlight w:val="none"/>
          <w:lang w:val="en-US" w:eastAsia="zh-CN" w:bidi="ar-SA"/>
        </w:rPr>
      </w:pPr>
      <w:r>
        <w:rPr>
          <w:rFonts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5.2-1</w:t>
      </w:r>
      <w:r>
        <w:rPr>
          <w:rFonts w:hint="eastAsia" w:cs="Times New Roman"/>
          <w:b/>
          <w:bCs/>
          <w:color w:val="auto"/>
          <w:kern w:val="2"/>
          <w:sz w:val="24"/>
          <w:szCs w:val="21"/>
          <w:highlight w:val="none"/>
          <w:lang w:val="en-US" w:eastAsia="zh-CN" w:bidi="ar-SA"/>
        </w:rPr>
        <w:t>3</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ascii="Times New Roman" w:hAnsi="Times New Roman" w:eastAsia="宋体" w:cs="Times New Roman"/>
          <w:b/>
          <w:bCs/>
          <w:color w:val="auto"/>
          <w:kern w:val="2"/>
          <w:sz w:val="24"/>
          <w:szCs w:val="21"/>
          <w:highlight w:val="none"/>
          <w:lang w:val="en-US" w:eastAsia="zh-CN" w:bidi="ar-SA"/>
        </w:rPr>
        <w:t>大气有组织排放源估算模式计算结果表</w:t>
      </w:r>
      <w:r>
        <w:rPr>
          <w:rFonts w:hint="eastAsia" w:ascii="Times New Roman" w:hAnsi="Times New Roman" w:eastAsia="宋体" w:cs="Times New Roman"/>
          <w:b/>
          <w:bCs/>
          <w:color w:val="auto"/>
          <w:kern w:val="2"/>
          <w:sz w:val="24"/>
          <w:szCs w:val="21"/>
          <w:highlight w:val="none"/>
          <w:lang w:val="en-US" w:eastAsia="zh-CN" w:bidi="ar-SA"/>
        </w:rPr>
        <w:t>（2）</w:t>
      </w:r>
    </w:p>
    <w:tbl>
      <w:tblPr>
        <w:tblStyle w:val="49"/>
        <w:tblW w:w="4998"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897"/>
        <w:gridCol w:w="951"/>
        <w:gridCol w:w="951"/>
        <w:gridCol w:w="951"/>
        <w:gridCol w:w="951"/>
        <w:gridCol w:w="951"/>
        <w:gridCol w:w="951"/>
        <w:gridCol w:w="951"/>
        <w:gridCol w:w="965"/>
      </w:tblGrid>
      <w:tr w14:paraId="08FCEFB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PrEx>
        <w:trPr>
          <w:trHeight w:val="369" w:hRule="exact"/>
        </w:trPr>
        <w:tc>
          <w:tcPr>
            <w:tcW w:w="527" w:type="pct"/>
            <w:vMerge w:val="restart"/>
            <w:noWrap w:val="0"/>
            <w:vAlign w:val="center"/>
          </w:tcPr>
          <w:p w14:paraId="172DB26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下风向距离</w:t>
            </w:r>
          </w:p>
        </w:tc>
        <w:tc>
          <w:tcPr>
            <w:tcW w:w="4472" w:type="pct"/>
            <w:gridSpan w:val="8"/>
            <w:noWrap w:val="0"/>
            <w:vAlign w:val="center"/>
          </w:tcPr>
          <w:p w14:paraId="32E08225">
            <w:pPr>
              <w:jc w:val="center"/>
              <w:rPr>
                <w:rFonts w:hint="eastAsia" w:ascii="Times New Roman" w:hAnsi="Times New Roman" w:eastAsia="宋体" w:cs="Times New Roman"/>
                <w:b w:val="0"/>
                <w:color w:val="auto"/>
                <w:sz w:val="18"/>
                <w:szCs w:val="18"/>
                <w:highlight w:val="none"/>
                <w:lang w:eastAsia="zh-CN"/>
              </w:rPr>
            </w:pPr>
            <w:r>
              <w:rPr>
                <w:rFonts w:hint="default" w:ascii="Times New Roman" w:hAnsi="Times New Roman" w:eastAsia="宋体" w:cs="Times New Roman"/>
                <w:b/>
                <w:bCs/>
                <w:color w:val="auto"/>
                <w:sz w:val="18"/>
                <w:szCs w:val="18"/>
                <w:highlight w:val="none"/>
              </w:rPr>
              <w:t>点源DA00</w:t>
            </w:r>
            <w:r>
              <w:rPr>
                <w:rFonts w:hint="eastAsia" w:ascii="Times New Roman" w:hAnsi="Times New Roman" w:eastAsia="宋体" w:cs="Times New Roman"/>
                <w:b/>
                <w:bCs/>
                <w:color w:val="auto"/>
                <w:sz w:val="18"/>
                <w:szCs w:val="18"/>
                <w:highlight w:val="none"/>
                <w:lang w:val="en-US" w:eastAsia="zh-CN"/>
              </w:rPr>
              <w:t>2</w:t>
            </w:r>
          </w:p>
        </w:tc>
      </w:tr>
      <w:tr w14:paraId="1337172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1021" w:hRule="exact"/>
        </w:trPr>
        <w:tc>
          <w:tcPr>
            <w:tcW w:w="527" w:type="pct"/>
            <w:vMerge w:val="continue"/>
            <w:noWrap w:val="0"/>
            <w:vAlign w:val="center"/>
          </w:tcPr>
          <w:p w14:paraId="40AF5FB6">
            <w:pPr>
              <w:jc w:val="center"/>
              <w:rPr>
                <w:rFonts w:hint="default" w:ascii="Times New Roman" w:hAnsi="Times New Roman" w:cs="Times New Roman"/>
                <w:color w:val="auto"/>
                <w:sz w:val="18"/>
                <w:szCs w:val="18"/>
                <w:highlight w:val="none"/>
              </w:rPr>
            </w:pPr>
          </w:p>
        </w:tc>
        <w:tc>
          <w:tcPr>
            <w:tcW w:w="558" w:type="pct"/>
            <w:noWrap w:val="0"/>
            <w:vAlign w:val="center"/>
          </w:tcPr>
          <w:p w14:paraId="1A5CC2C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PM</w:t>
            </w:r>
            <w:r>
              <w:rPr>
                <w:rFonts w:hint="default" w:ascii="Times New Roman" w:hAnsi="Times New Roman" w:eastAsia="宋体" w:cs="Times New Roman"/>
                <w:b w:val="0"/>
                <w:color w:val="auto"/>
                <w:sz w:val="18"/>
                <w:szCs w:val="18"/>
                <w:highlight w:val="none"/>
                <w:vertAlign w:val="subscript"/>
              </w:rPr>
              <w:t>10</w:t>
            </w:r>
            <w:r>
              <w:rPr>
                <w:rFonts w:hint="default" w:ascii="Times New Roman" w:hAnsi="Times New Roman" w:eastAsia="宋体" w:cs="Times New Roman"/>
                <w:b w:val="0"/>
                <w:color w:val="auto"/>
                <w:sz w:val="18"/>
                <w:szCs w:val="18"/>
                <w:highlight w:val="none"/>
              </w:rPr>
              <w:t>浓度(μg/m³)</w:t>
            </w:r>
          </w:p>
        </w:tc>
        <w:tc>
          <w:tcPr>
            <w:tcW w:w="558" w:type="pct"/>
            <w:noWrap w:val="0"/>
            <w:vAlign w:val="center"/>
          </w:tcPr>
          <w:p w14:paraId="1023898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PM</w:t>
            </w:r>
            <w:r>
              <w:rPr>
                <w:rFonts w:hint="default" w:ascii="Times New Roman" w:hAnsi="Times New Roman" w:eastAsia="宋体" w:cs="Times New Roman"/>
                <w:b w:val="0"/>
                <w:color w:val="auto"/>
                <w:sz w:val="18"/>
                <w:szCs w:val="18"/>
                <w:highlight w:val="none"/>
                <w:vertAlign w:val="subscript"/>
              </w:rPr>
              <w:t>10</w:t>
            </w:r>
            <w:r>
              <w:rPr>
                <w:rFonts w:hint="default" w:ascii="Times New Roman" w:hAnsi="Times New Roman" w:eastAsia="宋体" w:cs="Times New Roman"/>
                <w:b w:val="0"/>
                <w:color w:val="auto"/>
                <w:sz w:val="18"/>
                <w:szCs w:val="18"/>
                <w:highlight w:val="none"/>
              </w:rPr>
              <w:t>占标率(%)</w:t>
            </w:r>
          </w:p>
        </w:tc>
        <w:tc>
          <w:tcPr>
            <w:tcW w:w="558" w:type="pct"/>
            <w:noWrap w:val="0"/>
            <w:vAlign w:val="center"/>
          </w:tcPr>
          <w:p w14:paraId="5D5F7A6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NOx浓度(μg/m³)</w:t>
            </w:r>
          </w:p>
        </w:tc>
        <w:tc>
          <w:tcPr>
            <w:tcW w:w="558" w:type="pct"/>
            <w:noWrap w:val="0"/>
            <w:vAlign w:val="center"/>
          </w:tcPr>
          <w:p w14:paraId="7387946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NOx占标率(%)</w:t>
            </w:r>
          </w:p>
        </w:tc>
        <w:tc>
          <w:tcPr>
            <w:tcW w:w="558" w:type="pct"/>
            <w:noWrap w:val="0"/>
            <w:vAlign w:val="center"/>
          </w:tcPr>
          <w:p w14:paraId="7B50CE5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SO</w:t>
            </w:r>
            <w:r>
              <w:rPr>
                <w:rFonts w:hint="default" w:ascii="Times New Roman" w:hAnsi="Times New Roman" w:eastAsia="宋体" w:cs="Times New Roman"/>
                <w:b w:val="0"/>
                <w:color w:val="auto"/>
                <w:sz w:val="18"/>
                <w:szCs w:val="18"/>
                <w:highlight w:val="none"/>
                <w:vertAlign w:val="subscript"/>
              </w:rPr>
              <w:t>2</w:t>
            </w:r>
            <w:r>
              <w:rPr>
                <w:rFonts w:hint="default" w:ascii="Times New Roman" w:hAnsi="Times New Roman" w:eastAsia="宋体" w:cs="Times New Roman"/>
                <w:b w:val="0"/>
                <w:color w:val="auto"/>
                <w:sz w:val="18"/>
                <w:szCs w:val="18"/>
                <w:highlight w:val="none"/>
              </w:rPr>
              <w:t>浓度(μg/m³)</w:t>
            </w:r>
          </w:p>
        </w:tc>
        <w:tc>
          <w:tcPr>
            <w:tcW w:w="558" w:type="pct"/>
            <w:noWrap w:val="0"/>
            <w:vAlign w:val="center"/>
          </w:tcPr>
          <w:p w14:paraId="2CE5AAF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SO</w:t>
            </w:r>
            <w:r>
              <w:rPr>
                <w:rFonts w:hint="default" w:ascii="Times New Roman" w:hAnsi="Times New Roman" w:eastAsia="宋体" w:cs="Times New Roman"/>
                <w:b w:val="0"/>
                <w:color w:val="auto"/>
                <w:sz w:val="18"/>
                <w:szCs w:val="18"/>
                <w:highlight w:val="none"/>
                <w:vertAlign w:val="subscript"/>
              </w:rPr>
              <w:t>2</w:t>
            </w:r>
            <w:r>
              <w:rPr>
                <w:rFonts w:hint="default" w:ascii="Times New Roman" w:hAnsi="Times New Roman" w:eastAsia="宋体" w:cs="Times New Roman"/>
                <w:b w:val="0"/>
                <w:color w:val="auto"/>
                <w:sz w:val="18"/>
                <w:szCs w:val="18"/>
                <w:highlight w:val="none"/>
              </w:rPr>
              <w:t>占标率(%)</w:t>
            </w:r>
          </w:p>
        </w:tc>
        <w:tc>
          <w:tcPr>
            <w:tcW w:w="558" w:type="pct"/>
            <w:noWrap w:val="0"/>
            <w:vAlign w:val="center"/>
          </w:tcPr>
          <w:p w14:paraId="6FCBE1A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NMHC浓度(μg/m³)</w:t>
            </w:r>
          </w:p>
        </w:tc>
        <w:tc>
          <w:tcPr>
            <w:tcW w:w="561" w:type="pct"/>
            <w:noWrap w:val="0"/>
            <w:vAlign w:val="center"/>
          </w:tcPr>
          <w:p w14:paraId="1BE9489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NMHC占标率(%)</w:t>
            </w:r>
          </w:p>
        </w:tc>
      </w:tr>
      <w:tr w14:paraId="231BD9D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32" w:hRule="exact"/>
        </w:trPr>
        <w:tc>
          <w:tcPr>
            <w:tcW w:w="527" w:type="pct"/>
            <w:noWrap w:val="0"/>
            <w:vAlign w:val="center"/>
          </w:tcPr>
          <w:p w14:paraId="1E9A1E8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50.0</w:t>
            </w:r>
          </w:p>
        </w:tc>
        <w:tc>
          <w:tcPr>
            <w:tcW w:w="558" w:type="pct"/>
            <w:noWrap w:val="0"/>
            <w:vAlign w:val="center"/>
          </w:tcPr>
          <w:p w14:paraId="398F50E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1.7162</w:t>
            </w:r>
          </w:p>
        </w:tc>
        <w:tc>
          <w:tcPr>
            <w:tcW w:w="558" w:type="pct"/>
            <w:noWrap w:val="0"/>
            <w:vAlign w:val="center"/>
          </w:tcPr>
          <w:p w14:paraId="3A754BF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0.3814</w:t>
            </w:r>
          </w:p>
        </w:tc>
        <w:tc>
          <w:tcPr>
            <w:tcW w:w="558" w:type="pct"/>
            <w:noWrap w:val="0"/>
            <w:vAlign w:val="center"/>
          </w:tcPr>
          <w:p w14:paraId="4756002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5.6088</w:t>
            </w:r>
          </w:p>
        </w:tc>
        <w:tc>
          <w:tcPr>
            <w:tcW w:w="558" w:type="pct"/>
            <w:noWrap w:val="0"/>
            <w:vAlign w:val="center"/>
          </w:tcPr>
          <w:p w14:paraId="1EAA3CA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2.2435</w:t>
            </w:r>
          </w:p>
        </w:tc>
        <w:tc>
          <w:tcPr>
            <w:tcW w:w="558" w:type="pct"/>
            <w:noWrap w:val="0"/>
            <w:vAlign w:val="center"/>
          </w:tcPr>
          <w:p w14:paraId="0FBB883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0.2218</w:t>
            </w:r>
          </w:p>
        </w:tc>
        <w:tc>
          <w:tcPr>
            <w:tcW w:w="558" w:type="pct"/>
            <w:noWrap w:val="0"/>
            <w:vAlign w:val="center"/>
          </w:tcPr>
          <w:p w14:paraId="7CAE244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0.0444</w:t>
            </w:r>
          </w:p>
        </w:tc>
        <w:tc>
          <w:tcPr>
            <w:tcW w:w="951" w:type="dxa"/>
            <w:noWrap w:val="0"/>
            <w:vAlign w:val="center"/>
          </w:tcPr>
          <w:p w14:paraId="72145CF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0.8318</w:t>
            </w:r>
          </w:p>
        </w:tc>
        <w:tc>
          <w:tcPr>
            <w:tcW w:w="965" w:type="dxa"/>
            <w:noWrap w:val="0"/>
            <w:vAlign w:val="center"/>
          </w:tcPr>
          <w:p w14:paraId="3C7BAA1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0.0416</w:t>
            </w:r>
          </w:p>
        </w:tc>
      </w:tr>
      <w:tr w14:paraId="04482EE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BF3088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100.0</w:t>
            </w:r>
          </w:p>
        </w:tc>
        <w:tc>
          <w:tcPr>
            <w:tcW w:w="558" w:type="pct"/>
            <w:noWrap w:val="0"/>
            <w:vAlign w:val="center"/>
          </w:tcPr>
          <w:p w14:paraId="5B5919C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1.7901</w:t>
            </w:r>
          </w:p>
        </w:tc>
        <w:tc>
          <w:tcPr>
            <w:tcW w:w="558" w:type="pct"/>
            <w:noWrap w:val="0"/>
            <w:vAlign w:val="center"/>
          </w:tcPr>
          <w:p w14:paraId="4511AF1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0.3978</w:t>
            </w:r>
          </w:p>
        </w:tc>
        <w:tc>
          <w:tcPr>
            <w:tcW w:w="558" w:type="pct"/>
            <w:noWrap w:val="0"/>
            <w:vAlign w:val="center"/>
          </w:tcPr>
          <w:p w14:paraId="06EBB98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5.8504</w:t>
            </w:r>
          </w:p>
        </w:tc>
        <w:tc>
          <w:tcPr>
            <w:tcW w:w="558" w:type="pct"/>
            <w:noWrap w:val="0"/>
            <w:vAlign w:val="center"/>
          </w:tcPr>
          <w:p w14:paraId="5570D2E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2.3401</w:t>
            </w:r>
          </w:p>
        </w:tc>
        <w:tc>
          <w:tcPr>
            <w:tcW w:w="558" w:type="pct"/>
            <w:noWrap w:val="0"/>
            <w:vAlign w:val="center"/>
          </w:tcPr>
          <w:p w14:paraId="227F09A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0.2314</w:t>
            </w:r>
          </w:p>
        </w:tc>
        <w:tc>
          <w:tcPr>
            <w:tcW w:w="558" w:type="pct"/>
            <w:noWrap w:val="0"/>
            <w:vAlign w:val="center"/>
          </w:tcPr>
          <w:p w14:paraId="1C21081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0.0463</w:t>
            </w:r>
          </w:p>
        </w:tc>
        <w:tc>
          <w:tcPr>
            <w:tcW w:w="951" w:type="dxa"/>
            <w:noWrap w:val="0"/>
            <w:vAlign w:val="center"/>
          </w:tcPr>
          <w:p w14:paraId="653AB90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0.8676</w:t>
            </w:r>
          </w:p>
        </w:tc>
        <w:tc>
          <w:tcPr>
            <w:tcW w:w="965" w:type="dxa"/>
            <w:noWrap w:val="0"/>
            <w:vAlign w:val="center"/>
          </w:tcPr>
          <w:p w14:paraId="0BF43DF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0.0434</w:t>
            </w:r>
          </w:p>
        </w:tc>
      </w:tr>
      <w:tr w14:paraId="5DA9982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10E2C3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200.0</w:t>
            </w:r>
          </w:p>
        </w:tc>
        <w:tc>
          <w:tcPr>
            <w:tcW w:w="558" w:type="pct"/>
            <w:noWrap w:val="0"/>
            <w:vAlign w:val="center"/>
          </w:tcPr>
          <w:p w14:paraId="6772012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1.9661</w:t>
            </w:r>
          </w:p>
        </w:tc>
        <w:tc>
          <w:tcPr>
            <w:tcW w:w="558" w:type="pct"/>
            <w:noWrap w:val="0"/>
            <w:vAlign w:val="center"/>
          </w:tcPr>
          <w:p w14:paraId="1735085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0.4369</w:t>
            </w:r>
          </w:p>
        </w:tc>
        <w:tc>
          <w:tcPr>
            <w:tcW w:w="558" w:type="pct"/>
            <w:noWrap w:val="0"/>
            <w:vAlign w:val="center"/>
          </w:tcPr>
          <w:p w14:paraId="6A650AE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6.4256</w:t>
            </w:r>
          </w:p>
        </w:tc>
        <w:tc>
          <w:tcPr>
            <w:tcW w:w="558" w:type="pct"/>
            <w:noWrap w:val="0"/>
            <w:vAlign w:val="center"/>
          </w:tcPr>
          <w:p w14:paraId="55A51DC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2.5702</w:t>
            </w:r>
          </w:p>
        </w:tc>
        <w:tc>
          <w:tcPr>
            <w:tcW w:w="558" w:type="pct"/>
            <w:noWrap w:val="0"/>
            <w:vAlign w:val="center"/>
          </w:tcPr>
          <w:p w14:paraId="6A94A45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0.2541</w:t>
            </w:r>
          </w:p>
        </w:tc>
        <w:tc>
          <w:tcPr>
            <w:tcW w:w="558" w:type="pct"/>
            <w:noWrap w:val="0"/>
            <w:vAlign w:val="center"/>
          </w:tcPr>
          <w:p w14:paraId="3261A67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0.0508</w:t>
            </w:r>
          </w:p>
        </w:tc>
        <w:tc>
          <w:tcPr>
            <w:tcW w:w="951" w:type="dxa"/>
            <w:noWrap w:val="0"/>
            <w:vAlign w:val="center"/>
          </w:tcPr>
          <w:p w14:paraId="20A70FC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0.9529</w:t>
            </w:r>
          </w:p>
        </w:tc>
        <w:tc>
          <w:tcPr>
            <w:tcW w:w="965" w:type="dxa"/>
            <w:noWrap w:val="0"/>
            <w:vAlign w:val="center"/>
          </w:tcPr>
          <w:p w14:paraId="655F352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0.0476</w:t>
            </w:r>
          </w:p>
        </w:tc>
      </w:tr>
      <w:tr w14:paraId="53683E6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4667C5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300.0</w:t>
            </w:r>
          </w:p>
        </w:tc>
        <w:tc>
          <w:tcPr>
            <w:tcW w:w="558" w:type="pct"/>
            <w:noWrap w:val="0"/>
            <w:vAlign w:val="center"/>
          </w:tcPr>
          <w:p w14:paraId="2B99715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1.9389</w:t>
            </w:r>
          </w:p>
        </w:tc>
        <w:tc>
          <w:tcPr>
            <w:tcW w:w="558" w:type="pct"/>
            <w:noWrap w:val="0"/>
            <w:vAlign w:val="center"/>
          </w:tcPr>
          <w:p w14:paraId="12B566B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0.4309</w:t>
            </w:r>
          </w:p>
        </w:tc>
        <w:tc>
          <w:tcPr>
            <w:tcW w:w="558" w:type="pct"/>
            <w:noWrap w:val="0"/>
            <w:vAlign w:val="center"/>
          </w:tcPr>
          <w:p w14:paraId="0A5BCCA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6.3367</w:t>
            </w:r>
          </w:p>
        </w:tc>
        <w:tc>
          <w:tcPr>
            <w:tcW w:w="558" w:type="pct"/>
            <w:noWrap w:val="0"/>
            <w:vAlign w:val="center"/>
          </w:tcPr>
          <w:p w14:paraId="31B7ABB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2.5347</w:t>
            </w:r>
          </w:p>
        </w:tc>
        <w:tc>
          <w:tcPr>
            <w:tcW w:w="558" w:type="pct"/>
            <w:noWrap w:val="0"/>
            <w:vAlign w:val="center"/>
          </w:tcPr>
          <w:p w14:paraId="3B6BA58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0.2506</w:t>
            </w:r>
          </w:p>
        </w:tc>
        <w:tc>
          <w:tcPr>
            <w:tcW w:w="558" w:type="pct"/>
            <w:noWrap w:val="0"/>
            <w:vAlign w:val="center"/>
          </w:tcPr>
          <w:p w14:paraId="3835EFE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0.0501</w:t>
            </w:r>
          </w:p>
        </w:tc>
        <w:tc>
          <w:tcPr>
            <w:tcW w:w="951" w:type="dxa"/>
            <w:noWrap w:val="0"/>
            <w:vAlign w:val="center"/>
          </w:tcPr>
          <w:p w14:paraId="6C7FEBA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0.9397</w:t>
            </w:r>
          </w:p>
        </w:tc>
        <w:tc>
          <w:tcPr>
            <w:tcW w:w="965" w:type="dxa"/>
            <w:noWrap w:val="0"/>
            <w:vAlign w:val="center"/>
          </w:tcPr>
          <w:p w14:paraId="1881476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0.0470</w:t>
            </w:r>
          </w:p>
        </w:tc>
      </w:tr>
      <w:tr w14:paraId="3008EB5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382912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400.0</w:t>
            </w:r>
          </w:p>
        </w:tc>
        <w:tc>
          <w:tcPr>
            <w:tcW w:w="558" w:type="pct"/>
            <w:noWrap w:val="0"/>
            <w:vAlign w:val="center"/>
          </w:tcPr>
          <w:p w14:paraId="0D488E9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1.9314</w:t>
            </w:r>
          </w:p>
        </w:tc>
        <w:tc>
          <w:tcPr>
            <w:tcW w:w="558" w:type="pct"/>
            <w:noWrap w:val="0"/>
            <w:vAlign w:val="center"/>
          </w:tcPr>
          <w:p w14:paraId="77E26BD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0.4292</w:t>
            </w:r>
          </w:p>
        </w:tc>
        <w:tc>
          <w:tcPr>
            <w:tcW w:w="558" w:type="pct"/>
            <w:noWrap w:val="0"/>
            <w:vAlign w:val="center"/>
          </w:tcPr>
          <w:p w14:paraId="0DC3A8D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6.3122</w:t>
            </w:r>
          </w:p>
        </w:tc>
        <w:tc>
          <w:tcPr>
            <w:tcW w:w="558" w:type="pct"/>
            <w:noWrap w:val="0"/>
            <w:vAlign w:val="center"/>
          </w:tcPr>
          <w:p w14:paraId="6D30B4F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2.5249</w:t>
            </w:r>
          </w:p>
        </w:tc>
        <w:tc>
          <w:tcPr>
            <w:tcW w:w="558" w:type="pct"/>
            <w:noWrap w:val="0"/>
            <w:vAlign w:val="center"/>
          </w:tcPr>
          <w:p w14:paraId="54AADBE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0.2496</w:t>
            </w:r>
          </w:p>
        </w:tc>
        <w:tc>
          <w:tcPr>
            <w:tcW w:w="558" w:type="pct"/>
            <w:noWrap w:val="0"/>
            <w:vAlign w:val="center"/>
          </w:tcPr>
          <w:p w14:paraId="5ADFE53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0.0499</w:t>
            </w:r>
          </w:p>
        </w:tc>
        <w:tc>
          <w:tcPr>
            <w:tcW w:w="951" w:type="dxa"/>
            <w:noWrap w:val="0"/>
            <w:vAlign w:val="center"/>
          </w:tcPr>
          <w:p w14:paraId="41DF23C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0.9361</w:t>
            </w:r>
          </w:p>
        </w:tc>
        <w:tc>
          <w:tcPr>
            <w:tcW w:w="965" w:type="dxa"/>
            <w:noWrap w:val="0"/>
            <w:vAlign w:val="center"/>
          </w:tcPr>
          <w:p w14:paraId="2A6CCC8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0.0468</w:t>
            </w:r>
          </w:p>
        </w:tc>
      </w:tr>
      <w:tr w14:paraId="1782A3F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DFB50C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500.0</w:t>
            </w:r>
          </w:p>
        </w:tc>
        <w:tc>
          <w:tcPr>
            <w:tcW w:w="558" w:type="pct"/>
            <w:noWrap w:val="0"/>
            <w:vAlign w:val="center"/>
          </w:tcPr>
          <w:p w14:paraId="2E30F90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1.7914</w:t>
            </w:r>
          </w:p>
        </w:tc>
        <w:tc>
          <w:tcPr>
            <w:tcW w:w="558" w:type="pct"/>
            <w:noWrap w:val="0"/>
            <w:vAlign w:val="center"/>
          </w:tcPr>
          <w:p w14:paraId="74C16F7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0.3981</w:t>
            </w:r>
          </w:p>
        </w:tc>
        <w:tc>
          <w:tcPr>
            <w:tcW w:w="558" w:type="pct"/>
            <w:noWrap w:val="0"/>
            <w:vAlign w:val="center"/>
          </w:tcPr>
          <w:p w14:paraId="2398E0D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5.8546</w:t>
            </w:r>
          </w:p>
        </w:tc>
        <w:tc>
          <w:tcPr>
            <w:tcW w:w="558" w:type="pct"/>
            <w:noWrap w:val="0"/>
            <w:vAlign w:val="center"/>
          </w:tcPr>
          <w:p w14:paraId="2429C68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2.3418</w:t>
            </w:r>
          </w:p>
        </w:tc>
        <w:tc>
          <w:tcPr>
            <w:tcW w:w="558" w:type="pct"/>
            <w:noWrap w:val="0"/>
            <w:vAlign w:val="center"/>
          </w:tcPr>
          <w:p w14:paraId="2ED3C3A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0.2315</w:t>
            </w:r>
          </w:p>
        </w:tc>
        <w:tc>
          <w:tcPr>
            <w:tcW w:w="558" w:type="pct"/>
            <w:noWrap w:val="0"/>
            <w:vAlign w:val="center"/>
          </w:tcPr>
          <w:p w14:paraId="5D4D82F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0.0463</w:t>
            </w:r>
          </w:p>
        </w:tc>
        <w:tc>
          <w:tcPr>
            <w:tcW w:w="951" w:type="dxa"/>
            <w:noWrap w:val="0"/>
            <w:vAlign w:val="center"/>
          </w:tcPr>
          <w:p w14:paraId="32A2DBA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0.8682</w:t>
            </w:r>
          </w:p>
        </w:tc>
        <w:tc>
          <w:tcPr>
            <w:tcW w:w="965" w:type="dxa"/>
            <w:noWrap w:val="0"/>
            <w:vAlign w:val="center"/>
          </w:tcPr>
          <w:p w14:paraId="01585D0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0.0434</w:t>
            </w:r>
          </w:p>
        </w:tc>
      </w:tr>
      <w:tr w14:paraId="5475731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C06474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600.0</w:t>
            </w:r>
          </w:p>
        </w:tc>
        <w:tc>
          <w:tcPr>
            <w:tcW w:w="558" w:type="pct"/>
            <w:noWrap w:val="0"/>
            <w:vAlign w:val="center"/>
          </w:tcPr>
          <w:p w14:paraId="5B009C7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1.6376</w:t>
            </w:r>
          </w:p>
        </w:tc>
        <w:tc>
          <w:tcPr>
            <w:tcW w:w="558" w:type="pct"/>
            <w:noWrap w:val="0"/>
            <w:vAlign w:val="center"/>
          </w:tcPr>
          <w:p w14:paraId="35D4366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0.3639</w:t>
            </w:r>
          </w:p>
        </w:tc>
        <w:tc>
          <w:tcPr>
            <w:tcW w:w="558" w:type="pct"/>
            <w:noWrap w:val="0"/>
            <w:vAlign w:val="center"/>
          </w:tcPr>
          <w:p w14:paraId="61CE0E3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5.3520</w:t>
            </w:r>
          </w:p>
        </w:tc>
        <w:tc>
          <w:tcPr>
            <w:tcW w:w="558" w:type="pct"/>
            <w:noWrap w:val="0"/>
            <w:vAlign w:val="center"/>
          </w:tcPr>
          <w:p w14:paraId="35AC67D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2.1408</w:t>
            </w:r>
          </w:p>
        </w:tc>
        <w:tc>
          <w:tcPr>
            <w:tcW w:w="558" w:type="pct"/>
            <w:noWrap w:val="0"/>
            <w:vAlign w:val="center"/>
          </w:tcPr>
          <w:p w14:paraId="5668DC1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0.2116</w:t>
            </w:r>
          </w:p>
        </w:tc>
        <w:tc>
          <w:tcPr>
            <w:tcW w:w="558" w:type="pct"/>
            <w:noWrap w:val="0"/>
            <w:vAlign w:val="center"/>
          </w:tcPr>
          <w:p w14:paraId="603C54F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0.0423</w:t>
            </w:r>
          </w:p>
        </w:tc>
        <w:tc>
          <w:tcPr>
            <w:tcW w:w="951" w:type="dxa"/>
            <w:noWrap w:val="0"/>
            <w:vAlign w:val="center"/>
          </w:tcPr>
          <w:p w14:paraId="69B1AE9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0.7937</w:t>
            </w:r>
          </w:p>
        </w:tc>
        <w:tc>
          <w:tcPr>
            <w:tcW w:w="965" w:type="dxa"/>
            <w:noWrap w:val="0"/>
            <w:vAlign w:val="center"/>
          </w:tcPr>
          <w:p w14:paraId="41C8A7E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0.0397</w:t>
            </w:r>
          </w:p>
        </w:tc>
      </w:tr>
      <w:tr w14:paraId="76D527F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75D51E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700.0</w:t>
            </w:r>
          </w:p>
        </w:tc>
        <w:tc>
          <w:tcPr>
            <w:tcW w:w="558" w:type="pct"/>
            <w:noWrap w:val="0"/>
            <w:vAlign w:val="center"/>
          </w:tcPr>
          <w:p w14:paraId="6B4972F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1.5038</w:t>
            </w:r>
          </w:p>
        </w:tc>
        <w:tc>
          <w:tcPr>
            <w:tcW w:w="558" w:type="pct"/>
            <w:noWrap w:val="0"/>
            <w:vAlign w:val="center"/>
          </w:tcPr>
          <w:p w14:paraId="63BDAC7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0.3342</w:t>
            </w:r>
          </w:p>
        </w:tc>
        <w:tc>
          <w:tcPr>
            <w:tcW w:w="558" w:type="pct"/>
            <w:noWrap w:val="0"/>
            <w:vAlign w:val="center"/>
          </w:tcPr>
          <w:p w14:paraId="2438A5F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4.9147</w:t>
            </w:r>
          </w:p>
        </w:tc>
        <w:tc>
          <w:tcPr>
            <w:tcW w:w="558" w:type="pct"/>
            <w:noWrap w:val="0"/>
            <w:vAlign w:val="center"/>
          </w:tcPr>
          <w:p w14:paraId="1F4DD05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1.9659</w:t>
            </w:r>
          </w:p>
        </w:tc>
        <w:tc>
          <w:tcPr>
            <w:tcW w:w="558" w:type="pct"/>
            <w:noWrap w:val="0"/>
            <w:vAlign w:val="center"/>
          </w:tcPr>
          <w:p w14:paraId="13236B0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0.1944</w:t>
            </w:r>
          </w:p>
        </w:tc>
        <w:tc>
          <w:tcPr>
            <w:tcW w:w="558" w:type="pct"/>
            <w:noWrap w:val="0"/>
            <w:vAlign w:val="center"/>
          </w:tcPr>
          <w:p w14:paraId="7935944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0.0389</w:t>
            </w:r>
          </w:p>
        </w:tc>
        <w:tc>
          <w:tcPr>
            <w:tcW w:w="951" w:type="dxa"/>
            <w:noWrap w:val="0"/>
            <w:vAlign w:val="center"/>
          </w:tcPr>
          <w:p w14:paraId="430EB03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0.7288</w:t>
            </w:r>
          </w:p>
        </w:tc>
        <w:tc>
          <w:tcPr>
            <w:tcW w:w="965" w:type="dxa"/>
            <w:noWrap w:val="0"/>
            <w:vAlign w:val="center"/>
          </w:tcPr>
          <w:p w14:paraId="175F8D2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0.0364</w:t>
            </w:r>
          </w:p>
        </w:tc>
      </w:tr>
      <w:tr w14:paraId="220461C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45F94D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800.0</w:t>
            </w:r>
          </w:p>
        </w:tc>
        <w:tc>
          <w:tcPr>
            <w:tcW w:w="558" w:type="pct"/>
            <w:noWrap w:val="0"/>
            <w:vAlign w:val="center"/>
          </w:tcPr>
          <w:p w14:paraId="6BBA1AF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1.4218</w:t>
            </w:r>
          </w:p>
        </w:tc>
        <w:tc>
          <w:tcPr>
            <w:tcW w:w="558" w:type="pct"/>
            <w:noWrap w:val="0"/>
            <w:vAlign w:val="center"/>
          </w:tcPr>
          <w:p w14:paraId="0B6948E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0.3160</w:t>
            </w:r>
          </w:p>
        </w:tc>
        <w:tc>
          <w:tcPr>
            <w:tcW w:w="558" w:type="pct"/>
            <w:noWrap w:val="0"/>
            <w:vAlign w:val="center"/>
          </w:tcPr>
          <w:p w14:paraId="5DE332F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4.6467</w:t>
            </w:r>
          </w:p>
        </w:tc>
        <w:tc>
          <w:tcPr>
            <w:tcW w:w="558" w:type="pct"/>
            <w:noWrap w:val="0"/>
            <w:vAlign w:val="center"/>
          </w:tcPr>
          <w:p w14:paraId="1D23481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1.8587</w:t>
            </w:r>
          </w:p>
        </w:tc>
        <w:tc>
          <w:tcPr>
            <w:tcW w:w="558" w:type="pct"/>
            <w:noWrap w:val="0"/>
            <w:vAlign w:val="center"/>
          </w:tcPr>
          <w:p w14:paraId="7586518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0.1838</w:t>
            </w:r>
          </w:p>
        </w:tc>
        <w:tc>
          <w:tcPr>
            <w:tcW w:w="558" w:type="pct"/>
            <w:noWrap w:val="0"/>
            <w:vAlign w:val="center"/>
          </w:tcPr>
          <w:p w14:paraId="56719F5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0.0368</w:t>
            </w:r>
          </w:p>
        </w:tc>
        <w:tc>
          <w:tcPr>
            <w:tcW w:w="951" w:type="dxa"/>
            <w:noWrap w:val="0"/>
            <w:vAlign w:val="center"/>
          </w:tcPr>
          <w:p w14:paraId="3B95FC5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0.6891</w:t>
            </w:r>
          </w:p>
        </w:tc>
        <w:tc>
          <w:tcPr>
            <w:tcW w:w="965" w:type="dxa"/>
            <w:noWrap w:val="0"/>
            <w:vAlign w:val="center"/>
          </w:tcPr>
          <w:p w14:paraId="1F5659E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0.0345</w:t>
            </w:r>
          </w:p>
        </w:tc>
      </w:tr>
      <w:tr w14:paraId="5DDEDCE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2D951E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900.0</w:t>
            </w:r>
          </w:p>
        </w:tc>
        <w:tc>
          <w:tcPr>
            <w:tcW w:w="558" w:type="pct"/>
            <w:noWrap w:val="0"/>
            <w:vAlign w:val="center"/>
          </w:tcPr>
          <w:p w14:paraId="181BC69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1.3521</w:t>
            </w:r>
          </w:p>
        </w:tc>
        <w:tc>
          <w:tcPr>
            <w:tcW w:w="558" w:type="pct"/>
            <w:noWrap w:val="0"/>
            <w:vAlign w:val="center"/>
          </w:tcPr>
          <w:p w14:paraId="3156705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0.3005</w:t>
            </w:r>
          </w:p>
        </w:tc>
        <w:tc>
          <w:tcPr>
            <w:tcW w:w="558" w:type="pct"/>
            <w:noWrap w:val="0"/>
            <w:vAlign w:val="center"/>
          </w:tcPr>
          <w:p w14:paraId="575238A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4.4189</w:t>
            </w:r>
          </w:p>
        </w:tc>
        <w:tc>
          <w:tcPr>
            <w:tcW w:w="558" w:type="pct"/>
            <w:noWrap w:val="0"/>
            <w:vAlign w:val="center"/>
          </w:tcPr>
          <w:p w14:paraId="541598E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1.7676</w:t>
            </w:r>
          </w:p>
        </w:tc>
        <w:tc>
          <w:tcPr>
            <w:tcW w:w="558" w:type="pct"/>
            <w:noWrap w:val="0"/>
            <w:vAlign w:val="center"/>
          </w:tcPr>
          <w:p w14:paraId="54F5B12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0.1747</w:t>
            </w:r>
          </w:p>
        </w:tc>
        <w:tc>
          <w:tcPr>
            <w:tcW w:w="558" w:type="pct"/>
            <w:noWrap w:val="0"/>
            <w:vAlign w:val="center"/>
          </w:tcPr>
          <w:p w14:paraId="5464637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0.0349</w:t>
            </w:r>
          </w:p>
        </w:tc>
        <w:tc>
          <w:tcPr>
            <w:tcW w:w="951" w:type="dxa"/>
            <w:noWrap w:val="0"/>
            <w:vAlign w:val="center"/>
          </w:tcPr>
          <w:p w14:paraId="40F87BD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0.6553</w:t>
            </w:r>
          </w:p>
        </w:tc>
        <w:tc>
          <w:tcPr>
            <w:tcW w:w="965" w:type="dxa"/>
            <w:noWrap w:val="0"/>
            <w:vAlign w:val="center"/>
          </w:tcPr>
          <w:p w14:paraId="5989215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0.0328</w:t>
            </w:r>
          </w:p>
        </w:tc>
      </w:tr>
      <w:tr w14:paraId="18DDC40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C4D64F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1000.0</w:t>
            </w:r>
          </w:p>
        </w:tc>
        <w:tc>
          <w:tcPr>
            <w:tcW w:w="558" w:type="pct"/>
            <w:noWrap w:val="0"/>
            <w:vAlign w:val="center"/>
          </w:tcPr>
          <w:p w14:paraId="421B681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1.2869</w:t>
            </w:r>
          </w:p>
        </w:tc>
        <w:tc>
          <w:tcPr>
            <w:tcW w:w="558" w:type="pct"/>
            <w:noWrap w:val="0"/>
            <w:vAlign w:val="center"/>
          </w:tcPr>
          <w:p w14:paraId="6A8F665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0.2860</w:t>
            </w:r>
          </w:p>
        </w:tc>
        <w:tc>
          <w:tcPr>
            <w:tcW w:w="558" w:type="pct"/>
            <w:noWrap w:val="0"/>
            <w:vAlign w:val="center"/>
          </w:tcPr>
          <w:p w14:paraId="16C50DE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4.2058</w:t>
            </w:r>
          </w:p>
        </w:tc>
        <w:tc>
          <w:tcPr>
            <w:tcW w:w="558" w:type="pct"/>
            <w:noWrap w:val="0"/>
            <w:vAlign w:val="center"/>
          </w:tcPr>
          <w:p w14:paraId="321F782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1.6823</w:t>
            </w:r>
          </w:p>
        </w:tc>
        <w:tc>
          <w:tcPr>
            <w:tcW w:w="558" w:type="pct"/>
            <w:noWrap w:val="0"/>
            <w:vAlign w:val="center"/>
          </w:tcPr>
          <w:p w14:paraId="0C3921D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0.1663</w:t>
            </w:r>
          </w:p>
        </w:tc>
        <w:tc>
          <w:tcPr>
            <w:tcW w:w="558" w:type="pct"/>
            <w:noWrap w:val="0"/>
            <w:vAlign w:val="center"/>
          </w:tcPr>
          <w:p w14:paraId="051E1B5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0.0333</w:t>
            </w:r>
          </w:p>
        </w:tc>
        <w:tc>
          <w:tcPr>
            <w:tcW w:w="951" w:type="dxa"/>
            <w:noWrap w:val="0"/>
            <w:vAlign w:val="center"/>
          </w:tcPr>
          <w:p w14:paraId="7E09803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0.6237</w:t>
            </w:r>
          </w:p>
        </w:tc>
        <w:tc>
          <w:tcPr>
            <w:tcW w:w="965" w:type="dxa"/>
            <w:noWrap w:val="0"/>
            <w:vAlign w:val="center"/>
          </w:tcPr>
          <w:p w14:paraId="134CD88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0.0312</w:t>
            </w:r>
          </w:p>
        </w:tc>
      </w:tr>
      <w:tr w14:paraId="5631A7D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D08702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1200.0</w:t>
            </w:r>
          </w:p>
        </w:tc>
        <w:tc>
          <w:tcPr>
            <w:tcW w:w="558" w:type="pct"/>
            <w:noWrap w:val="0"/>
            <w:vAlign w:val="center"/>
          </w:tcPr>
          <w:p w14:paraId="28BEDF3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1.1919</w:t>
            </w:r>
          </w:p>
        </w:tc>
        <w:tc>
          <w:tcPr>
            <w:tcW w:w="558" w:type="pct"/>
            <w:noWrap w:val="0"/>
            <w:vAlign w:val="center"/>
          </w:tcPr>
          <w:p w14:paraId="265C079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0.2649</w:t>
            </w:r>
          </w:p>
        </w:tc>
        <w:tc>
          <w:tcPr>
            <w:tcW w:w="558" w:type="pct"/>
            <w:noWrap w:val="0"/>
            <w:vAlign w:val="center"/>
          </w:tcPr>
          <w:p w14:paraId="37FDB99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3.8953</w:t>
            </w:r>
          </w:p>
        </w:tc>
        <w:tc>
          <w:tcPr>
            <w:tcW w:w="558" w:type="pct"/>
            <w:noWrap w:val="0"/>
            <w:vAlign w:val="center"/>
          </w:tcPr>
          <w:p w14:paraId="22EBC33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1.5581</w:t>
            </w:r>
          </w:p>
        </w:tc>
        <w:tc>
          <w:tcPr>
            <w:tcW w:w="558" w:type="pct"/>
            <w:noWrap w:val="0"/>
            <w:vAlign w:val="center"/>
          </w:tcPr>
          <w:p w14:paraId="14E0928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0.1540</w:t>
            </w:r>
          </w:p>
        </w:tc>
        <w:tc>
          <w:tcPr>
            <w:tcW w:w="558" w:type="pct"/>
            <w:noWrap w:val="0"/>
            <w:vAlign w:val="center"/>
          </w:tcPr>
          <w:p w14:paraId="4A01DF2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0.0308</w:t>
            </w:r>
          </w:p>
        </w:tc>
        <w:tc>
          <w:tcPr>
            <w:tcW w:w="951" w:type="dxa"/>
            <w:noWrap w:val="0"/>
            <w:vAlign w:val="center"/>
          </w:tcPr>
          <w:p w14:paraId="3951A2E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0.5777</w:t>
            </w:r>
          </w:p>
        </w:tc>
        <w:tc>
          <w:tcPr>
            <w:tcW w:w="965" w:type="dxa"/>
            <w:noWrap w:val="0"/>
            <w:vAlign w:val="center"/>
          </w:tcPr>
          <w:p w14:paraId="6614401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0.0289</w:t>
            </w:r>
          </w:p>
        </w:tc>
      </w:tr>
      <w:tr w14:paraId="4F797E6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6E47249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1400.0</w:t>
            </w:r>
          </w:p>
        </w:tc>
        <w:tc>
          <w:tcPr>
            <w:tcW w:w="558" w:type="pct"/>
            <w:noWrap w:val="0"/>
            <w:vAlign w:val="center"/>
          </w:tcPr>
          <w:p w14:paraId="2C2C341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1.0980</w:t>
            </w:r>
          </w:p>
        </w:tc>
        <w:tc>
          <w:tcPr>
            <w:tcW w:w="558" w:type="pct"/>
            <w:noWrap w:val="0"/>
            <w:vAlign w:val="center"/>
          </w:tcPr>
          <w:p w14:paraId="30341A9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0.2440</w:t>
            </w:r>
          </w:p>
        </w:tc>
        <w:tc>
          <w:tcPr>
            <w:tcW w:w="558" w:type="pct"/>
            <w:noWrap w:val="0"/>
            <w:vAlign w:val="center"/>
          </w:tcPr>
          <w:p w14:paraId="315F631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3.5885</w:t>
            </w:r>
          </w:p>
        </w:tc>
        <w:tc>
          <w:tcPr>
            <w:tcW w:w="558" w:type="pct"/>
            <w:noWrap w:val="0"/>
            <w:vAlign w:val="center"/>
          </w:tcPr>
          <w:p w14:paraId="5F54B68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1.4354</w:t>
            </w:r>
          </w:p>
        </w:tc>
        <w:tc>
          <w:tcPr>
            <w:tcW w:w="558" w:type="pct"/>
            <w:noWrap w:val="0"/>
            <w:vAlign w:val="center"/>
          </w:tcPr>
          <w:p w14:paraId="2C9F392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0.1419</w:t>
            </w:r>
          </w:p>
        </w:tc>
        <w:tc>
          <w:tcPr>
            <w:tcW w:w="558" w:type="pct"/>
            <w:noWrap w:val="0"/>
            <w:vAlign w:val="center"/>
          </w:tcPr>
          <w:p w14:paraId="342C0CE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0.0284</w:t>
            </w:r>
          </w:p>
        </w:tc>
        <w:tc>
          <w:tcPr>
            <w:tcW w:w="951" w:type="dxa"/>
            <w:noWrap w:val="0"/>
            <w:vAlign w:val="center"/>
          </w:tcPr>
          <w:p w14:paraId="290464F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0.5321</w:t>
            </w:r>
          </w:p>
        </w:tc>
        <w:tc>
          <w:tcPr>
            <w:tcW w:w="965" w:type="dxa"/>
            <w:noWrap w:val="0"/>
            <w:vAlign w:val="center"/>
          </w:tcPr>
          <w:p w14:paraId="3AE1D17B">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0.0266</w:t>
            </w:r>
          </w:p>
        </w:tc>
      </w:tr>
      <w:tr w14:paraId="570B2BB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FF7E5C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1600.0</w:t>
            </w:r>
          </w:p>
        </w:tc>
        <w:tc>
          <w:tcPr>
            <w:tcW w:w="558" w:type="pct"/>
            <w:noWrap w:val="0"/>
            <w:vAlign w:val="center"/>
          </w:tcPr>
          <w:p w14:paraId="7E63667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1.0040</w:t>
            </w:r>
          </w:p>
        </w:tc>
        <w:tc>
          <w:tcPr>
            <w:tcW w:w="558" w:type="pct"/>
            <w:noWrap w:val="0"/>
            <w:vAlign w:val="center"/>
          </w:tcPr>
          <w:p w14:paraId="2FD60DE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0.2231</w:t>
            </w:r>
          </w:p>
        </w:tc>
        <w:tc>
          <w:tcPr>
            <w:tcW w:w="558" w:type="pct"/>
            <w:noWrap w:val="0"/>
            <w:vAlign w:val="center"/>
          </w:tcPr>
          <w:p w14:paraId="19C7337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3.2812</w:t>
            </w:r>
          </w:p>
        </w:tc>
        <w:tc>
          <w:tcPr>
            <w:tcW w:w="558" w:type="pct"/>
            <w:noWrap w:val="0"/>
            <w:vAlign w:val="center"/>
          </w:tcPr>
          <w:p w14:paraId="11E37E0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1.3125</w:t>
            </w:r>
          </w:p>
        </w:tc>
        <w:tc>
          <w:tcPr>
            <w:tcW w:w="558" w:type="pct"/>
            <w:noWrap w:val="0"/>
            <w:vAlign w:val="center"/>
          </w:tcPr>
          <w:p w14:paraId="5512873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0.1298</w:t>
            </w:r>
          </w:p>
        </w:tc>
        <w:tc>
          <w:tcPr>
            <w:tcW w:w="558" w:type="pct"/>
            <w:noWrap w:val="0"/>
            <w:vAlign w:val="center"/>
          </w:tcPr>
          <w:p w14:paraId="4223820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0.0260</w:t>
            </w:r>
          </w:p>
        </w:tc>
        <w:tc>
          <w:tcPr>
            <w:tcW w:w="951" w:type="dxa"/>
            <w:noWrap w:val="0"/>
            <w:vAlign w:val="center"/>
          </w:tcPr>
          <w:p w14:paraId="62079A8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0.4866</w:t>
            </w:r>
          </w:p>
        </w:tc>
        <w:tc>
          <w:tcPr>
            <w:tcW w:w="965" w:type="dxa"/>
            <w:noWrap w:val="0"/>
            <w:vAlign w:val="center"/>
          </w:tcPr>
          <w:p w14:paraId="6879F16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0.0243</w:t>
            </w:r>
          </w:p>
        </w:tc>
      </w:tr>
      <w:tr w14:paraId="44CF2A2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17675D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1800.0</w:t>
            </w:r>
          </w:p>
        </w:tc>
        <w:tc>
          <w:tcPr>
            <w:tcW w:w="558" w:type="pct"/>
            <w:noWrap w:val="0"/>
            <w:vAlign w:val="center"/>
          </w:tcPr>
          <w:p w14:paraId="35F07B8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0.9175</w:t>
            </w:r>
          </w:p>
        </w:tc>
        <w:tc>
          <w:tcPr>
            <w:tcW w:w="558" w:type="pct"/>
            <w:noWrap w:val="0"/>
            <w:vAlign w:val="center"/>
          </w:tcPr>
          <w:p w14:paraId="7DC7819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0.2039</w:t>
            </w:r>
          </w:p>
        </w:tc>
        <w:tc>
          <w:tcPr>
            <w:tcW w:w="558" w:type="pct"/>
            <w:noWrap w:val="0"/>
            <w:vAlign w:val="center"/>
          </w:tcPr>
          <w:p w14:paraId="275503D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2.9986</w:t>
            </w:r>
          </w:p>
        </w:tc>
        <w:tc>
          <w:tcPr>
            <w:tcW w:w="558" w:type="pct"/>
            <w:noWrap w:val="0"/>
            <w:vAlign w:val="center"/>
          </w:tcPr>
          <w:p w14:paraId="33A10AF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1.1994</w:t>
            </w:r>
          </w:p>
        </w:tc>
        <w:tc>
          <w:tcPr>
            <w:tcW w:w="558" w:type="pct"/>
            <w:noWrap w:val="0"/>
            <w:vAlign w:val="center"/>
          </w:tcPr>
          <w:p w14:paraId="7ED9086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0.1186</w:t>
            </w:r>
          </w:p>
        </w:tc>
        <w:tc>
          <w:tcPr>
            <w:tcW w:w="558" w:type="pct"/>
            <w:noWrap w:val="0"/>
            <w:vAlign w:val="center"/>
          </w:tcPr>
          <w:p w14:paraId="53CA530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0.0237</w:t>
            </w:r>
          </w:p>
        </w:tc>
        <w:tc>
          <w:tcPr>
            <w:tcW w:w="951" w:type="dxa"/>
            <w:noWrap w:val="0"/>
            <w:vAlign w:val="center"/>
          </w:tcPr>
          <w:p w14:paraId="0ED4A41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0.4447</w:t>
            </w:r>
          </w:p>
        </w:tc>
        <w:tc>
          <w:tcPr>
            <w:tcW w:w="965" w:type="dxa"/>
            <w:noWrap w:val="0"/>
            <w:vAlign w:val="center"/>
          </w:tcPr>
          <w:p w14:paraId="5AB321D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0.0222</w:t>
            </w:r>
          </w:p>
        </w:tc>
      </w:tr>
      <w:tr w14:paraId="3117C8C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0E4ECD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2000.0</w:t>
            </w:r>
          </w:p>
        </w:tc>
        <w:tc>
          <w:tcPr>
            <w:tcW w:w="558" w:type="pct"/>
            <w:noWrap w:val="0"/>
            <w:vAlign w:val="center"/>
          </w:tcPr>
          <w:p w14:paraId="3EF73EE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0.8428</w:t>
            </w:r>
          </w:p>
        </w:tc>
        <w:tc>
          <w:tcPr>
            <w:tcW w:w="558" w:type="pct"/>
            <w:noWrap w:val="0"/>
            <w:vAlign w:val="center"/>
          </w:tcPr>
          <w:p w14:paraId="39EAEF5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0.1873</w:t>
            </w:r>
          </w:p>
        </w:tc>
        <w:tc>
          <w:tcPr>
            <w:tcW w:w="558" w:type="pct"/>
            <w:noWrap w:val="0"/>
            <w:vAlign w:val="center"/>
          </w:tcPr>
          <w:p w14:paraId="2769A5C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2.7544</w:t>
            </w:r>
          </w:p>
        </w:tc>
        <w:tc>
          <w:tcPr>
            <w:tcW w:w="558" w:type="pct"/>
            <w:noWrap w:val="0"/>
            <w:vAlign w:val="center"/>
          </w:tcPr>
          <w:p w14:paraId="67A79A4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1.1018</w:t>
            </w:r>
          </w:p>
        </w:tc>
        <w:tc>
          <w:tcPr>
            <w:tcW w:w="558" w:type="pct"/>
            <w:noWrap w:val="0"/>
            <w:vAlign w:val="center"/>
          </w:tcPr>
          <w:p w14:paraId="26E6174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0.1089</w:t>
            </w:r>
          </w:p>
        </w:tc>
        <w:tc>
          <w:tcPr>
            <w:tcW w:w="558" w:type="pct"/>
            <w:noWrap w:val="0"/>
            <w:vAlign w:val="center"/>
          </w:tcPr>
          <w:p w14:paraId="5E6CB69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0.0218</w:t>
            </w:r>
          </w:p>
        </w:tc>
        <w:tc>
          <w:tcPr>
            <w:tcW w:w="951" w:type="dxa"/>
            <w:noWrap w:val="0"/>
            <w:vAlign w:val="center"/>
          </w:tcPr>
          <w:p w14:paraId="489E713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0.4085</w:t>
            </w:r>
          </w:p>
        </w:tc>
        <w:tc>
          <w:tcPr>
            <w:tcW w:w="965" w:type="dxa"/>
            <w:noWrap w:val="0"/>
            <w:vAlign w:val="center"/>
          </w:tcPr>
          <w:p w14:paraId="6DC278C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0.0204</w:t>
            </w:r>
          </w:p>
        </w:tc>
      </w:tr>
      <w:tr w14:paraId="7CF6E63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046F94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2500.0</w:t>
            </w:r>
          </w:p>
        </w:tc>
        <w:tc>
          <w:tcPr>
            <w:tcW w:w="558" w:type="pct"/>
            <w:noWrap w:val="0"/>
            <w:vAlign w:val="center"/>
          </w:tcPr>
          <w:p w14:paraId="099D023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0.7052</w:t>
            </w:r>
          </w:p>
        </w:tc>
        <w:tc>
          <w:tcPr>
            <w:tcW w:w="558" w:type="pct"/>
            <w:noWrap w:val="0"/>
            <w:vAlign w:val="center"/>
          </w:tcPr>
          <w:p w14:paraId="6D5F551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0.1567</w:t>
            </w:r>
          </w:p>
        </w:tc>
        <w:tc>
          <w:tcPr>
            <w:tcW w:w="558" w:type="pct"/>
            <w:noWrap w:val="0"/>
            <w:vAlign w:val="center"/>
          </w:tcPr>
          <w:p w14:paraId="5022C3F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2.3047</w:t>
            </w:r>
          </w:p>
        </w:tc>
        <w:tc>
          <w:tcPr>
            <w:tcW w:w="558" w:type="pct"/>
            <w:noWrap w:val="0"/>
            <w:vAlign w:val="center"/>
          </w:tcPr>
          <w:p w14:paraId="321C1BE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0.9219</w:t>
            </w:r>
          </w:p>
        </w:tc>
        <w:tc>
          <w:tcPr>
            <w:tcW w:w="558" w:type="pct"/>
            <w:noWrap w:val="0"/>
            <w:vAlign w:val="center"/>
          </w:tcPr>
          <w:p w14:paraId="10DD4F8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0.0911</w:t>
            </w:r>
          </w:p>
        </w:tc>
        <w:tc>
          <w:tcPr>
            <w:tcW w:w="558" w:type="pct"/>
            <w:noWrap w:val="0"/>
            <w:vAlign w:val="center"/>
          </w:tcPr>
          <w:p w14:paraId="5DCC7DB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0.0182</w:t>
            </w:r>
          </w:p>
        </w:tc>
        <w:tc>
          <w:tcPr>
            <w:tcW w:w="951" w:type="dxa"/>
            <w:noWrap w:val="0"/>
            <w:vAlign w:val="center"/>
          </w:tcPr>
          <w:p w14:paraId="751678B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0.3418</w:t>
            </w:r>
          </w:p>
        </w:tc>
        <w:tc>
          <w:tcPr>
            <w:tcW w:w="965" w:type="dxa"/>
            <w:noWrap w:val="0"/>
            <w:vAlign w:val="center"/>
          </w:tcPr>
          <w:p w14:paraId="01C3024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0.0171</w:t>
            </w:r>
          </w:p>
        </w:tc>
      </w:tr>
      <w:tr w14:paraId="29BFF2F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738FC4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3000.0</w:t>
            </w:r>
          </w:p>
        </w:tc>
        <w:tc>
          <w:tcPr>
            <w:tcW w:w="558" w:type="pct"/>
            <w:noWrap w:val="0"/>
            <w:vAlign w:val="center"/>
          </w:tcPr>
          <w:p w14:paraId="0952C1C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0.6111</w:t>
            </w:r>
          </w:p>
        </w:tc>
        <w:tc>
          <w:tcPr>
            <w:tcW w:w="558" w:type="pct"/>
            <w:noWrap w:val="0"/>
            <w:vAlign w:val="center"/>
          </w:tcPr>
          <w:p w14:paraId="22C32F7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0.1358</w:t>
            </w:r>
          </w:p>
        </w:tc>
        <w:tc>
          <w:tcPr>
            <w:tcW w:w="558" w:type="pct"/>
            <w:noWrap w:val="0"/>
            <w:vAlign w:val="center"/>
          </w:tcPr>
          <w:p w14:paraId="6ECF3A4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1.9971</w:t>
            </w:r>
          </w:p>
        </w:tc>
        <w:tc>
          <w:tcPr>
            <w:tcW w:w="558" w:type="pct"/>
            <w:noWrap w:val="0"/>
            <w:vAlign w:val="center"/>
          </w:tcPr>
          <w:p w14:paraId="5D730FF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0.7988</w:t>
            </w:r>
          </w:p>
        </w:tc>
        <w:tc>
          <w:tcPr>
            <w:tcW w:w="558" w:type="pct"/>
            <w:noWrap w:val="0"/>
            <w:vAlign w:val="center"/>
          </w:tcPr>
          <w:p w14:paraId="1287961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0.0790</w:t>
            </w:r>
          </w:p>
        </w:tc>
        <w:tc>
          <w:tcPr>
            <w:tcW w:w="558" w:type="pct"/>
            <w:noWrap w:val="0"/>
            <w:vAlign w:val="center"/>
          </w:tcPr>
          <w:p w14:paraId="022BD52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0.0158</w:t>
            </w:r>
          </w:p>
        </w:tc>
        <w:tc>
          <w:tcPr>
            <w:tcW w:w="951" w:type="dxa"/>
            <w:noWrap w:val="0"/>
            <w:vAlign w:val="center"/>
          </w:tcPr>
          <w:p w14:paraId="1016A87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0.2962</w:t>
            </w:r>
          </w:p>
        </w:tc>
        <w:tc>
          <w:tcPr>
            <w:tcW w:w="965" w:type="dxa"/>
            <w:noWrap w:val="0"/>
            <w:vAlign w:val="center"/>
          </w:tcPr>
          <w:p w14:paraId="2C2903B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0.0148</w:t>
            </w:r>
          </w:p>
        </w:tc>
      </w:tr>
      <w:tr w14:paraId="2902B88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399DCE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3500.0</w:t>
            </w:r>
          </w:p>
        </w:tc>
        <w:tc>
          <w:tcPr>
            <w:tcW w:w="558" w:type="pct"/>
            <w:noWrap w:val="0"/>
            <w:vAlign w:val="center"/>
          </w:tcPr>
          <w:p w14:paraId="151CA80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0.5374</w:t>
            </w:r>
          </w:p>
        </w:tc>
        <w:tc>
          <w:tcPr>
            <w:tcW w:w="558" w:type="pct"/>
            <w:noWrap w:val="0"/>
            <w:vAlign w:val="center"/>
          </w:tcPr>
          <w:p w14:paraId="6A563EF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0.1194</w:t>
            </w:r>
          </w:p>
        </w:tc>
        <w:tc>
          <w:tcPr>
            <w:tcW w:w="558" w:type="pct"/>
            <w:noWrap w:val="0"/>
            <w:vAlign w:val="center"/>
          </w:tcPr>
          <w:p w14:paraId="7EA2FDB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1.7563</w:t>
            </w:r>
          </w:p>
        </w:tc>
        <w:tc>
          <w:tcPr>
            <w:tcW w:w="558" w:type="pct"/>
            <w:noWrap w:val="0"/>
            <w:vAlign w:val="center"/>
          </w:tcPr>
          <w:p w14:paraId="43C2589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0.7025</w:t>
            </w:r>
          </w:p>
        </w:tc>
        <w:tc>
          <w:tcPr>
            <w:tcW w:w="558" w:type="pct"/>
            <w:noWrap w:val="0"/>
            <w:vAlign w:val="center"/>
          </w:tcPr>
          <w:p w14:paraId="7122C95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0.0695</w:t>
            </w:r>
          </w:p>
        </w:tc>
        <w:tc>
          <w:tcPr>
            <w:tcW w:w="558" w:type="pct"/>
            <w:noWrap w:val="0"/>
            <w:vAlign w:val="center"/>
          </w:tcPr>
          <w:p w14:paraId="5FF5C02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0.0139</w:t>
            </w:r>
          </w:p>
        </w:tc>
        <w:tc>
          <w:tcPr>
            <w:tcW w:w="951" w:type="dxa"/>
            <w:noWrap w:val="0"/>
            <w:vAlign w:val="center"/>
          </w:tcPr>
          <w:p w14:paraId="3DCEA06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0.2605</w:t>
            </w:r>
          </w:p>
        </w:tc>
        <w:tc>
          <w:tcPr>
            <w:tcW w:w="965" w:type="dxa"/>
            <w:noWrap w:val="0"/>
            <w:vAlign w:val="center"/>
          </w:tcPr>
          <w:p w14:paraId="7846100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0.0130</w:t>
            </w:r>
          </w:p>
        </w:tc>
      </w:tr>
      <w:tr w14:paraId="3E137F9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92F71D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4000.0</w:t>
            </w:r>
          </w:p>
        </w:tc>
        <w:tc>
          <w:tcPr>
            <w:tcW w:w="558" w:type="pct"/>
            <w:noWrap w:val="0"/>
            <w:vAlign w:val="center"/>
          </w:tcPr>
          <w:p w14:paraId="0C591D9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0.4792</w:t>
            </w:r>
          </w:p>
        </w:tc>
        <w:tc>
          <w:tcPr>
            <w:tcW w:w="558" w:type="pct"/>
            <w:noWrap w:val="0"/>
            <w:vAlign w:val="center"/>
          </w:tcPr>
          <w:p w14:paraId="023A475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0.1065</w:t>
            </w:r>
          </w:p>
        </w:tc>
        <w:tc>
          <w:tcPr>
            <w:tcW w:w="558" w:type="pct"/>
            <w:noWrap w:val="0"/>
            <w:vAlign w:val="center"/>
          </w:tcPr>
          <w:p w14:paraId="5CE8560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1.5660</w:t>
            </w:r>
          </w:p>
        </w:tc>
        <w:tc>
          <w:tcPr>
            <w:tcW w:w="558" w:type="pct"/>
            <w:noWrap w:val="0"/>
            <w:vAlign w:val="center"/>
          </w:tcPr>
          <w:p w14:paraId="7333F01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0.6264</w:t>
            </w:r>
          </w:p>
        </w:tc>
        <w:tc>
          <w:tcPr>
            <w:tcW w:w="558" w:type="pct"/>
            <w:noWrap w:val="0"/>
            <w:vAlign w:val="center"/>
          </w:tcPr>
          <w:p w14:paraId="5459385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0.0619</w:t>
            </w:r>
          </w:p>
        </w:tc>
        <w:tc>
          <w:tcPr>
            <w:tcW w:w="558" w:type="pct"/>
            <w:noWrap w:val="0"/>
            <w:vAlign w:val="center"/>
          </w:tcPr>
          <w:p w14:paraId="742E2C6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0.0124</w:t>
            </w:r>
          </w:p>
        </w:tc>
        <w:tc>
          <w:tcPr>
            <w:tcW w:w="951" w:type="dxa"/>
            <w:noWrap w:val="0"/>
            <w:vAlign w:val="center"/>
          </w:tcPr>
          <w:p w14:paraId="320298A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0.2322</w:t>
            </w:r>
          </w:p>
        </w:tc>
        <w:tc>
          <w:tcPr>
            <w:tcW w:w="965" w:type="dxa"/>
            <w:noWrap w:val="0"/>
            <w:vAlign w:val="center"/>
          </w:tcPr>
          <w:p w14:paraId="79222C7B">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0.0116</w:t>
            </w:r>
          </w:p>
        </w:tc>
      </w:tr>
      <w:tr w14:paraId="19DE979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40558C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4500.0</w:t>
            </w:r>
          </w:p>
        </w:tc>
        <w:tc>
          <w:tcPr>
            <w:tcW w:w="558" w:type="pct"/>
            <w:noWrap w:val="0"/>
            <w:vAlign w:val="center"/>
          </w:tcPr>
          <w:p w14:paraId="2494DBE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0.4315</w:t>
            </w:r>
          </w:p>
        </w:tc>
        <w:tc>
          <w:tcPr>
            <w:tcW w:w="558" w:type="pct"/>
            <w:noWrap w:val="0"/>
            <w:vAlign w:val="center"/>
          </w:tcPr>
          <w:p w14:paraId="0CE6A14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0.0959</w:t>
            </w:r>
          </w:p>
        </w:tc>
        <w:tc>
          <w:tcPr>
            <w:tcW w:w="558" w:type="pct"/>
            <w:noWrap w:val="0"/>
            <w:vAlign w:val="center"/>
          </w:tcPr>
          <w:p w14:paraId="05BC88B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1.4102</w:t>
            </w:r>
          </w:p>
        </w:tc>
        <w:tc>
          <w:tcPr>
            <w:tcW w:w="558" w:type="pct"/>
            <w:noWrap w:val="0"/>
            <w:vAlign w:val="center"/>
          </w:tcPr>
          <w:p w14:paraId="348CE30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0.5641</w:t>
            </w:r>
          </w:p>
        </w:tc>
        <w:tc>
          <w:tcPr>
            <w:tcW w:w="558" w:type="pct"/>
            <w:noWrap w:val="0"/>
            <w:vAlign w:val="center"/>
          </w:tcPr>
          <w:p w14:paraId="7EC3366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0.0558</w:t>
            </w:r>
          </w:p>
        </w:tc>
        <w:tc>
          <w:tcPr>
            <w:tcW w:w="558" w:type="pct"/>
            <w:noWrap w:val="0"/>
            <w:vAlign w:val="center"/>
          </w:tcPr>
          <w:p w14:paraId="636D73E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0.0112</w:t>
            </w:r>
          </w:p>
        </w:tc>
        <w:tc>
          <w:tcPr>
            <w:tcW w:w="951" w:type="dxa"/>
            <w:noWrap w:val="0"/>
            <w:vAlign w:val="center"/>
          </w:tcPr>
          <w:p w14:paraId="17D9A05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0.2091</w:t>
            </w:r>
          </w:p>
        </w:tc>
        <w:tc>
          <w:tcPr>
            <w:tcW w:w="965" w:type="dxa"/>
            <w:noWrap w:val="0"/>
            <w:vAlign w:val="center"/>
          </w:tcPr>
          <w:p w14:paraId="55032CA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0.0105</w:t>
            </w:r>
          </w:p>
        </w:tc>
      </w:tr>
      <w:tr w14:paraId="1E990F3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32F546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5000.0</w:t>
            </w:r>
          </w:p>
        </w:tc>
        <w:tc>
          <w:tcPr>
            <w:tcW w:w="558" w:type="pct"/>
            <w:noWrap w:val="0"/>
            <w:vAlign w:val="center"/>
          </w:tcPr>
          <w:p w14:paraId="26D19CB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0.3925</w:t>
            </w:r>
          </w:p>
        </w:tc>
        <w:tc>
          <w:tcPr>
            <w:tcW w:w="558" w:type="pct"/>
            <w:noWrap w:val="0"/>
            <w:vAlign w:val="center"/>
          </w:tcPr>
          <w:p w14:paraId="5ACD6FB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0.0872</w:t>
            </w:r>
          </w:p>
        </w:tc>
        <w:tc>
          <w:tcPr>
            <w:tcW w:w="558" w:type="pct"/>
            <w:noWrap w:val="0"/>
            <w:vAlign w:val="center"/>
          </w:tcPr>
          <w:p w14:paraId="59213C7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1.2828</w:t>
            </w:r>
          </w:p>
        </w:tc>
        <w:tc>
          <w:tcPr>
            <w:tcW w:w="558" w:type="pct"/>
            <w:noWrap w:val="0"/>
            <w:vAlign w:val="center"/>
          </w:tcPr>
          <w:p w14:paraId="2075CF3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0.5131</w:t>
            </w:r>
          </w:p>
        </w:tc>
        <w:tc>
          <w:tcPr>
            <w:tcW w:w="558" w:type="pct"/>
            <w:noWrap w:val="0"/>
            <w:vAlign w:val="center"/>
          </w:tcPr>
          <w:p w14:paraId="576783D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0.0507</w:t>
            </w:r>
          </w:p>
        </w:tc>
        <w:tc>
          <w:tcPr>
            <w:tcW w:w="558" w:type="pct"/>
            <w:noWrap w:val="0"/>
            <w:vAlign w:val="center"/>
          </w:tcPr>
          <w:p w14:paraId="6325EAC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0.0101</w:t>
            </w:r>
          </w:p>
        </w:tc>
        <w:tc>
          <w:tcPr>
            <w:tcW w:w="951" w:type="dxa"/>
            <w:noWrap w:val="0"/>
            <w:vAlign w:val="center"/>
          </w:tcPr>
          <w:p w14:paraId="7A2D17D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0.1902</w:t>
            </w:r>
          </w:p>
        </w:tc>
        <w:tc>
          <w:tcPr>
            <w:tcW w:w="965" w:type="dxa"/>
            <w:noWrap w:val="0"/>
            <w:vAlign w:val="center"/>
          </w:tcPr>
          <w:p w14:paraId="050B73C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0.0095</w:t>
            </w:r>
          </w:p>
        </w:tc>
      </w:tr>
      <w:tr w14:paraId="6389758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74C498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10000.0</w:t>
            </w:r>
          </w:p>
        </w:tc>
        <w:tc>
          <w:tcPr>
            <w:tcW w:w="558" w:type="pct"/>
            <w:noWrap w:val="0"/>
            <w:vAlign w:val="center"/>
          </w:tcPr>
          <w:p w14:paraId="51B4E8E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0.2014</w:t>
            </w:r>
          </w:p>
        </w:tc>
        <w:tc>
          <w:tcPr>
            <w:tcW w:w="558" w:type="pct"/>
            <w:noWrap w:val="0"/>
            <w:vAlign w:val="center"/>
          </w:tcPr>
          <w:p w14:paraId="4C92A22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0.0448</w:t>
            </w:r>
          </w:p>
        </w:tc>
        <w:tc>
          <w:tcPr>
            <w:tcW w:w="558" w:type="pct"/>
            <w:noWrap w:val="0"/>
            <w:vAlign w:val="center"/>
          </w:tcPr>
          <w:p w14:paraId="2CE0D82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0.6582</w:t>
            </w:r>
          </w:p>
        </w:tc>
        <w:tc>
          <w:tcPr>
            <w:tcW w:w="558" w:type="pct"/>
            <w:noWrap w:val="0"/>
            <w:vAlign w:val="center"/>
          </w:tcPr>
          <w:p w14:paraId="6521E52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0.2633</w:t>
            </w:r>
          </w:p>
        </w:tc>
        <w:tc>
          <w:tcPr>
            <w:tcW w:w="558" w:type="pct"/>
            <w:noWrap w:val="0"/>
            <w:vAlign w:val="center"/>
          </w:tcPr>
          <w:p w14:paraId="5AC9284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0.0260</w:t>
            </w:r>
          </w:p>
        </w:tc>
        <w:tc>
          <w:tcPr>
            <w:tcW w:w="558" w:type="pct"/>
            <w:noWrap w:val="0"/>
            <w:vAlign w:val="center"/>
          </w:tcPr>
          <w:p w14:paraId="5CE4B33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0.0052</w:t>
            </w:r>
          </w:p>
        </w:tc>
        <w:tc>
          <w:tcPr>
            <w:tcW w:w="951" w:type="dxa"/>
            <w:noWrap w:val="0"/>
            <w:vAlign w:val="center"/>
          </w:tcPr>
          <w:p w14:paraId="73EC43F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0.0976</w:t>
            </w:r>
          </w:p>
        </w:tc>
        <w:tc>
          <w:tcPr>
            <w:tcW w:w="965" w:type="dxa"/>
            <w:noWrap w:val="0"/>
            <w:vAlign w:val="center"/>
          </w:tcPr>
          <w:p w14:paraId="02FAB9C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0.0049</w:t>
            </w:r>
          </w:p>
        </w:tc>
      </w:tr>
      <w:tr w14:paraId="57B673C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1F4001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11000.0</w:t>
            </w:r>
          </w:p>
        </w:tc>
        <w:tc>
          <w:tcPr>
            <w:tcW w:w="558" w:type="pct"/>
            <w:noWrap w:val="0"/>
            <w:vAlign w:val="center"/>
          </w:tcPr>
          <w:p w14:paraId="41EE697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0.1831</w:t>
            </w:r>
          </w:p>
        </w:tc>
        <w:tc>
          <w:tcPr>
            <w:tcW w:w="558" w:type="pct"/>
            <w:noWrap w:val="0"/>
            <w:vAlign w:val="center"/>
          </w:tcPr>
          <w:p w14:paraId="78EA68E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0.0407</w:t>
            </w:r>
          </w:p>
        </w:tc>
        <w:tc>
          <w:tcPr>
            <w:tcW w:w="558" w:type="pct"/>
            <w:noWrap w:val="0"/>
            <w:vAlign w:val="center"/>
          </w:tcPr>
          <w:p w14:paraId="48DC778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0.5983</w:t>
            </w:r>
          </w:p>
        </w:tc>
        <w:tc>
          <w:tcPr>
            <w:tcW w:w="558" w:type="pct"/>
            <w:noWrap w:val="0"/>
            <w:vAlign w:val="center"/>
          </w:tcPr>
          <w:p w14:paraId="30E2E42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0.2393</w:t>
            </w:r>
          </w:p>
        </w:tc>
        <w:tc>
          <w:tcPr>
            <w:tcW w:w="558" w:type="pct"/>
            <w:noWrap w:val="0"/>
            <w:vAlign w:val="center"/>
          </w:tcPr>
          <w:p w14:paraId="303837E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0.0237</w:t>
            </w:r>
          </w:p>
        </w:tc>
        <w:tc>
          <w:tcPr>
            <w:tcW w:w="558" w:type="pct"/>
            <w:noWrap w:val="0"/>
            <w:vAlign w:val="center"/>
          </w:tcPr>
          <w:p w14:paraId="257223B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0.0047</w:t>
            </w:r>
          </w:p>
        </w:tc>
        <w:tc>
          <w:tcPr>
            <w:tcW w:w="951" w:type="dxa"/>
            <w:noWrap w:val="0"/>
            <w:vAlign w:val="center"/>
          </w:tcPr>
          <w:p w14:paraId="4547890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0.0887</w:t>
            </w:r>
          </w:p>
        </w:tc>
        <w:tc>
          <w:tcPr>
            <w:tcW w:w="965" w:type="dxa"/>
            <w:noWrap w:val="0"/>
            <w:vAlign w:val="center"/>
          </w:tcPr>
          <w:p w14:paraId="1DBFD02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0.0044</w:t>
            </w:r>
          </w:p>
        </w:tc>
      </w:tr>
      <w:tr w14:paraId="4156082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9E0152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12000.0</w:t>
            </w:r>
          </w:p>
        </w:tc>
        <w:tc>
          <w:tcPr>
            <w:tcW w:w="558" w:type="pct"/>
            <w:noWrap w:val="0"/>
            <w:vAlign w:val="center"/>
          </w:tcPr>
          <w:p w14:paraId="4941BC6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0.1673</w:t>
            </w:r>
          </w:p>
        </w:tc>
        <w:tc>
          <w:tcPr>
            <w:tcW w:w="558" w:type="pct"/>
            <w:noWrap w:val="0"/>
            <w:vAlign w:val="center"/>
          </w:tcPr>
          <w:p w14:paraId="4343FB5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0.0372</w:t>
            </w:r>
          </w:p>
        </w:tc>
        <w:tc>
          <w:tcPr>
            <w:tcW w:w="558" w:type="pct"/>
            <w:noWrap w:val="0"/>
            <w:vAlign w:val="center"/>
          </w:tcPr>
          <w:p w14:paraId="62360E7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0.5467</w:t>
            </w:r>
          </w:p>
        </w:tc>
        <w:tc>
          <w:tcPr>
            <w:tcW w:w="558" w:type="pct"/>
            <w:noWrap w:val="0"/>
            <w:vAlign w:val="center"/>
          </w:tcPr>
          <w:p w14:paraId="40E9062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0.2187</w:t>
            </w:r>
          </w:p>
        </w:tc>
        <w:tc>
          <w:tcPr>
            <w:tcW w:w="558" w:type="pct"/>
            <w:noWrap w:val="0"/>
            <w:vAlign w:val="center"/>
          </w:tcPr>
          <w:p w14:paraId="0BEB3BA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0.0216</w:t>
            </w:r>
          </w:p>
        </w:tc>
        <w:tc>
          <w:tcPr>
            <w:tcW w:w="558" w:type="pct"/>
            <w:noWrap w:val="0"/>
            <w:vAlign w:val="center"/>
          </w:tcPr>
          <w:p w14:paraId="63FC61F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0.0043</w:t>
            </w:r>
          </w:p>
        </w:tc>
        <w:tc>
          <w:tcPr>
            <w:tcW w:w="951" w:type="dxa"/>
            <w:noWrap w:val="0"/>
            <w:vAlign w:val="center"/>
          </w:tcPr>
          <w:p w14:paraId="2A4D5DE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0.0811</w:t>
            </w:r>
          </w:p>
        </w:tc>
        <w:tc>
          <w:tcPr>
            <w:tcW w:w="965" w:type="dxa"/>
            <w:noWrap w:val="0"/>
            <w:vAlign w:val="center"/>
          </w:tcPr>
          <w:p w14:paraId="2E78DD6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0.0041</w:t>
            </w:r>
          </w:p>
        </w:tc>
      </w:tr>
      <w:tr w14:paraId="628E798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15C0A0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13000.0</w:t>
            </w:r>
          </w:p>
        </w:tc>
        <w:tc>
          <w:tcPr>
            <w:tcW w:w="558" w:type="pct"/>
            <w:noWrap w:val="0"/>
            <w:vAlign w:val="center"/>
          </w:tcPr>
          <w:p w14:paraId="3F817D8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0.1487</w:t>
            </w:r>
          </w:p>
        </w:tc>
        <w:tc>
          <w:tcPr>
            <w:tcW w:w="558" w:type="pct"/>
            <w:noWrap w:val="0"/>
            <w:vAlign w:val="center"/>
          </w:tcPr>
          <w:p w14:paraId="73F2D63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0.0330</w:t>
            </w:r>
          </w:p>
        </w:tc>
        <w:tc>
          <w:tcPr>
            <w:tcW w:w="558" w:type="pct"/>
            <w:noWrap w:val="0"/>
            <w:vAlign w:val="center"/>
          </w:tcPr>
          <w:p w14:paraId="0308737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0.4860</w:t>
            </w:r>
          </w:p>
        </w:tc>
        <w:tc>
          <w:tcPr>
            <w:tcW w:w="558" w:type="pct"/>
            <w:noWrap w:val="0"/>
            <w:vAlign w:val="center"/>
          </w:tcPr>
          <w:p w14:paraId="6F09EDE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0.1944</w:t>
            </w:r>
          </w:p>
        </w:tc>
        <w:tc>
          <w:tcPr>
            <w:tcW w:w="558" w:type="pct"/>
            <w:noWrap w:val="0"/>
            <w:vAlign w:val="center"/>
          </w:tcPr>
          <w:p w14:paraId="04E44DD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0.0192</w:t>
            </w:r>
          </w:p>
        </w:tc>
        <w:tc>
          <w:tcPr>
            <w:tcW w:w="558" w:type="pct"/>
            <w:noWrap w:val="0"/>
            <w:vAlign w:val="center"/>
          </w:tcPr>
          <w:p w14:paraId="755DAF4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0.0038</w:t>
            </w:r>
          </w:p>
        </w:tc>
        <w:tc>
          <w:tcPr>
            <w:tcW w:w="951" w:type="dxa"/>
            <w:noWrap w:val="0"/>
            <w:vAlign w:val="center"/>
          </w:tcPr>
          <w:p w14:paraId="51F5A38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0.0721</w:t>
            </w:r>
          </w:p>
        </w:tc>
        <w:tc>
          <w:tcPr>
            <w:tcW w:w="965" w:type="dxa"/>
            <w:noWrap w:val="0"/>
            <w:vAlign w:val="center"/>
          </w:tcPr>
          <w:p w14:paraId="35F4C0CB">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0.0036</w:t>
            </w:r>
          </w:p>
        </w:tc>
      </w:tr>
      <w:tr w14:paraId="6E884BA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63D419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14000.0</w:t>
            </w:r>
          </w:p>
        </w:tc>
        <w:tc>
          <w:tcPr>
            <w:tcW w:w="558" w:type="pct"/>
            <w:noWrap w:val="0"/>
            <w:vAlign w:val="center"/>
          </w:tcPr>
          <w:p w14:paraId="6006149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0.1370</w:t>
            </w:r>
          </w:p>
        </w:tc>
        <w:tc>
          <w:tcPr>
            <w:tcW w:w="558" w:type="pct"/>
            <w:noWrap w:val="0"/>
            <w:vAlign w:val="center"/>
          </w:tcPr>
          <w:p w14:paraId="3EBB20B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0.0304</w:t>
            </w:r>
          </w:p>
        </w:tc>
        <w:tc>
          <w:tcPr>
            <w:tcW w:w="558" w:type="pct"/>
            <w:noWrap w:val="0"/>
            <w:vAlign w:val="center"/>
          </w:tcPr>
          <w:p w14:paraId="002347B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0.4477</w:t>
            </w:r>
          </w:p>
        </w:tc>
        <w:tc>
          <w:tcPr>
            <w:tcW w:w="558" w:type="pct"/>
            <w:noWrap w:val="0"/>
            <w:vAlign w:val="center"/>
          </w:tcPr>
          <w:p w14:paraId="261C741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0.1791</w:t>
            </w:r>
          </w:p>
        </w:tc>
        <w:tc>
          <w:tcPr>
            <w:tcW w:w="558" w:type="pct"/>
            <w:noWrap w:val="0"/>
            <w:vAlign w:val="center"/>
          </w:tcPr>
          <w:p w14:paraId="513A26F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0.0177</w:t>
            </w:r>
          </w:p>
        </w:tc>
        <w:tc>
          <w:tcPr>
            <w:tcW w:w="558" w:type="pct"/>
            <w:noWrap w:val="0"/>
            <w:vAlign w:val="center"/>
          </w:tcPr>
          <w:p w14:paraId="0DF733F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0.0035</w:t>
            </w:r>
          </w:p>
        </w:tc>
        <w:tc>
          <w:tcPr>
            <w:tcW w:w="951" w:type="dxa"/>
            <w:noWrap w:val="0"/>
            <w:vAlign w:val="center"/>
          </w:tcPr>
          <w:p w14:paraId="5C2F18D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0.0664</w:t>
            </w:r>
          </w:p>
        </w:tc>
        <w:tc>
          <w:tcPr>
            <w:tcW w:w="965" w:type="dxa"/>
            <w:noWrap w:val="0"/>
            <w:vAlign w:val="center"/>
          </w:tcPr>
          <w:p w14:paraId="114BD22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0.0033</w:t>
            </w:r>
          </w:p>
        </w:tc>
      </w:tr>
      <w:tr w14:paraId="6E6E159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651E0F3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15000.0</w:t>
            </w:r>
          </w:p>
        </w:tc>
        <w:tc>
          <w:tcPr>
            <w:tcW w:w="558" w:type="pct"/>
            <w:noWrap w:val="0"/>
            <w:vAlign w:val="center"/>
          </w:tcPr>
          <w:p w14:paraId="312066F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0.1295</w:t>
            </w:r>
          </w:p>
        </w:tc>
        <w:tc>
          <w:tcPr>
            <w:tcW w:w="558" w:type="pct"/>
            <w:noWrap w:val="0"/>
            <w:vAlign w:val="center"/>
          </w:tcPr>
          <w:p w14:paraId="6F42C04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0.0288</w:t>
            </w:r>
          </w:p>
        </w:tc>
        <w:tc>
          <w:tcPr>
            <w:tcW w:w="558" w:type="pct"/>
            <w:noWrap w:val="0"/>
            <w:vAlign w:val="center"/>
          </w:tcPr>
          <w:p w14:paraId="4A79595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0.4231</w:t>
            </w:r>
          </w:p>
        </w:tc>
        <w:tc>
          <w:tcPr>
            <w:tcW w:w="558" w:type="pct"/>
            <w:noWrap w:val="0"/>
            <w:vAlign w:val="center"/>
          </w:tcPr>
          <w:p w14:paraId="70D9D74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0.1692</w:t>
            </w:r>
          </w:p>
        </w:tc>
        <w:tc>
          <w:tcPr>
            <w:tcW w:w="558" w:type="pct"/>
            <w:noWrap w:val="0"/>
            <w:vAlign w:val="center"/>
          </w:tcPr>
          <w:p w14:paraId="5560772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0.0167</w:t>
            </w:r>
          </w:p>
        </w:tc>
        <w:tc>
          <w:tcPr>
            <w:tcW w:w="558" w:type="pct"/>
            <w:noWrap w:val="0"/>
            <w:vAlign w:val="center"/>
          </w:tcPr>
          <w:p w14:paraId="2F30C49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0.0033</w:t>
            </w:r>
          </w:p>
        </w:tc>
        <w:tc>
          <w:tcPr>
            <w:tcW w:w="951" w:type="dxa"/>
            <w:noWrap w:val="0"/>
            <w:vAlign w:val="center"/>
          </w:tcPr>
          <w:p w14:paraId="0063D79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0.0627</w:t>
            </w:r>
          </w:p>
        </w:tc>
        <w:tc>
          <w:tcPr>
            <w:tcW w:w="965" w:type="dxa"/>
            <w:noWrap w:val="0"/>
            <w:vAlign w:val="center"/>
          </w:tcPr>
          <w:p w14:paraId="6DDB7FE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0.0031</w:t>
            </w:r>
          </w:p>
        </w:tc>
      </w:tr>
      <w:tr w14:paraId="2642923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B25D9D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20000.0</w:t>
            </w:r>
          </w:p>
        </w:tc>
        <w:tc>
          <w:tcPr>
            <w:tcW w:w="558" w:type="pct"/>
            <w:noWrap w:val="0"/>
            <w:vAlign w:val="center"/>
          </w:tcPr>
          <w:p w14:paraId="7911C26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0.0954</w:t>
            </w:r>
          </w:p>
        </w:tc>
        <w:tc>
          <w:tcPr>
            <w:tcW w:w="558" w:type="pct"/>
            <w:noWrap w:val="0"/>
            <w:vAlign w:val="center"/>
          </w:tcPr>
          <w:p w14:paraId="511FDAC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0.0212</w:t>
            </w:r>
          </w:p>
        </w:tc>
        <w:tc>
          <w:tcPr>
            <w:tcW w:w="558" w:type="pct"/>
            <w:noWrap w:val="0"/>
            <w:vAlign w:val="center"/>
          </w:tcPr>
          <w:p w14:paraId="3A5C788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0.3118</w:t>
            </w:r>
          </w:p>
        </w:tc>
        <w:tc>
          <w:tcPr>
            <w:tcW w:w="558" w:type="pct"/>
            <w:noWrap w:val="0"/>
            <w:vAlign w:val="center"/>
          </w:tcPr>
          <w:p w14:paraId="7B5F616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0.1247</w:t>
            </w:r>
          </w:p>
        </w:tc>
        <w:tc>
          <w:tcPr>
            <w:tcW w:w="558" w:type="pct"/>
            <w:noWrap w:val="0"/>
            <w:vAlign w:val="center"/>
          </w:tcPr>
          <w:p w14:paraId="57F5FFA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0.0123</w:t>
            </w:r>
          </w:p>
        </w:tc>
        <w:tc>
          <w:tcPr>
            <w:tcW w:w="558" w:type="pct"/>
            <w:noWrap w:val="0"/>
            <w:vAlign w:val="center"/>
          </w:tcPr>
          <w:p w14:paraId="1CCD437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0.0025</w:t>
            </w:r>
          </w:p>
        </w:tc>
        <w:tc>
          <w:tcPr>
            <w:tcW w:w="951" w:type="dxa"/>
            <w:noWrap w:val="0"/>
            <w:vAlign w:val="center"/>
          </w:tcPr>
          <w:p w14:paraId="5981B00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0.0462</w:t>
            </w:r>
          </w:p>
        </w:tc>
        <w:tc>
          <w:tcPr>
            <w:tcW w:w="965" w:type="dxa"/>
            <w:noWrap w:val="0"/>
            <w:vAlign w:val="center"/>
          </w:tcPr>
          <w:p w14:paraId="68F0344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0.0023</w:t>
            </w:r>
          </w:p>
        </w:tc>
      </w:tr>
      <w:tr w14:paraId="4CA50BD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21D5AC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25000.0</w:t>
            </w:r>
          </w:p>
        </w:tc>
        <w:tc>
          <w:tcPr>
            <w:tcW w:w="558" w:type="pct"/>
            <w:noWrap w:val="0"/>
            <w:vAlign w:val="center"/>
          </w:tcPr>
          <w:p w14:paraId="43DD50A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0.0746</w:t>
            </w:r>
          </w:p>
        </w:tc>
        <w:tc>
          <w:tcPr>
            <w:tcW w:w="558" w:type="pct"/>
            <w:noWrap w:val="0"/>
            <w:vAlign w:val="center"/>
          </w:tcPr>
          <w:p w14:paraId="13404BD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0.0166</w:t>
            </w:r>
          </w:p>
        </w:tc>
        <w:tc>
          <w:tcPr>
            <w:tcW w:w="558" w:type="pct"/>
            <w:noWrap w:val="0"/>
            <w:vAlign w:val="center"/>
          </w:tcPr>
          <w:p w14:paraId="6217BF4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0.2438</w:t>
            </w:r>
          </w:p>
        </w:tc>
        <w:tc>
          <w:tcPr>
            <w:tcW w:w="558" w:type="pct"/>
            <w:noWrap w:val="0"/>
            <w:vAlign w:val="center"/>
          </w:tcPr>
          <w:p w14:paraId="33D2982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0.0975</w:t>
            </w:r>
          </w:p>
        </w:tc>
        <w:tc>
          <w:tcPr>
            <w:tcW w:w="558" w:type="pct"/>
            <w:noWrap w:val="0"/>
            <w:vAlign w:val="center"/>
          </w:tcPr>
          <w:p w14:paraId="3E17542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0.0096</w:t>
            </w:r>
          </w:p>
        </w:tc>
        <w:tc>
          <w:tcPr>
            <w:tcW w:w="558" w:type="pct"/>
            <w:noWrap w:val="0"/>
            <w:vAlign w:val="center"/>
          </w:tcPr>
          <w:p w14:paraId="717C5A9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0.0019</w:t>
            </w:r>
          </w:p>
        </w:tc>
        <w:tc>
          <w:tcPr>
            <w:tcW w:w="951" w:type="dxa"/>
            <w:noWrap w:val="0"/>
            <w:vAlign w:val="center"/>
          </w:tcPr>
          <w:p w14:paraId="340D415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0.0362</w:t>
            </w:r>
          </w:p>
        </w:tc>
        <w:tc>
          <w:tcPr>
            <w:tcW w:w="965" w:type="dxa"/>
            <w:noWrap w:val="0"/>
            <w:vAlign w:val="center"/>
          </w:tcPr>
          <w:p w14:paraId="011AAAB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0.0018</w:t>
            </w:r>
          </w:p>
        </w:tc>
      </w:tr>
      <w:tr w14:paraId="1C0D051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618" w:hRule="exact"/>
        </w:trPr>
        <w:tc>
          <w:tcPr>
            <w:tcW w:w="527" w:type="pct"/>
            <w:noWrap w:val="0"/>
            <w:vAlign w:val="center"/>
          </w:tcPr>
          <w:p w14:paraId="27502D6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下风向最大浓度</w:t>
            </w:r>
          </w:p>
        </w:tc>
        <w:tc>
          <w:tcPr>
            <w:tcW w:w="558" w:type="pct"/>
            <w:noWrap w:val="0"/>
            <w:vAlign w:val="center"/>
          </w:tcPr>
          <w:p w14:paraId="317EAF8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2.0152</w:t>
            </w:r>
          </w:p>
        </w:tc>
        <w:tc>
          <w:tcPr>
            <w:tcW w:w="558" w:type="pct"/>
            <w:noWrap w:val="0"/>
            <w:vAlign w:val="center"/>
          </w:tcPr>
          <w:p w14:paraId="267856A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0.4478</w:t>
            </w:r>
          </w:p>
        </w:tc>
        <w:tc>
          <w:tcPr>
            <w:tcW w:w="558" w:type="pct"/>
            <w:noWrap w:val="0"/>
            <w:vAlign w:val="center"/>
          </w:tcPr>
          <w:p w14:paraId="7B28964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6.5860</w:t>
            </w:r>
          </w:p>
        </w:tc>
        <w:tc>
          <w:tcPr>
            <w:tcW w:w="558" w:type="pct"/>
            <w:noWrap w:val="0"/>
            <w:vAlign w:val="center"/>
          </w:tcPr>
          <w:p w14:paraId="3E5C7CC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2.6344</w:t>
            </w:r>
          </w:p>
        </w:tc>
        <w:tc>
          <w:tcPr>
            <w:tcW w:w="558" w:type="pct"/>
            <w:noWrap w:val="0"/>
            <w:vAlign w:val="center"/>
          </w:tcPr>
          <w:p w14:paraId="75E8839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0.2604</w:t>
            </w:r>
          </w:p>
        </w:tc>
        <w:tc>
          <w:tcPr>
            <w:tcW w:w="558" w:type="pct"/>
            <w:noWrap w:val="0"/>
            <w:vAlign w:val="center"/>
          </w:tcPr>
          <w:p w14:paraId="05680BC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0.0521</w:t>
            </w:r>
          </w:p>
        </w:tc>
        <w:tc>
          <w:tcPr>
            <w:tcW w:w="951" w:type="dxa"/>
            <w:noWrap w:val="0"/>
            <w:vAlign w:val="center"/>
          </w:tcPr>
          <w:p w14:paraId="3520356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0.9767</w:t>
            </w:r>
          </w:p>
        </w:tc>
        <w:tc>
          <w:tcPr>
            <w:tcW w:w="965" w:type="dxa"/>
            <w:noWrap w:val="0"/>
            <w:vAlign w:val="center"/>
          </w:tcPr>
          <w:p w14:paraId="4A6A3D3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0.0488</w:t>
            </w:r>
          </w:p>
        </w:tc>
      </w:tr>
      <w:tr w14:paraId="6313F61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771CE1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下风向最大浓度出现距离</w:t>
            </w:r>
          </w:p>
        </w:tc>
        <w:tc>
          <w:tcPr>
            <w:tcW w:w="558" w:type="pct"/>
            <w:noWrap w:val="0"/>
            <w:vAlign w:val="center"/>
          </w:tcPr>
          <w:p w14:paraId="57ED19D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28CCA1C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58A9F72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61082A3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0959BCC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1D4D831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951" w:type="dxa"/>
            <w:noWrap w:val="0"/>
            <w:vAlign w:val="center"/>
          </w:tcPr>
          <w:p w14:paraId="18F08E9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965" w:type="dxa"/>
            <w:noWrap w:val="0"/>
            <w:vAlign w:val="center"/>
          </w:tcPr>
          <w:p w14:paraId="085DA1C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225.0</w:t>
            </w:r>
          </w:p>
        </w:tc>
      </w:tr>
      <w:tr w14:paraId="2CC6A43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51BFDB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D10%最远距离</w:t>
            </w:r>
          </w:p>
        </w:tc>
        <w:tc>
          <w:tcPr>
            <w:tcW w:w="558" w:type="pct"/>
            <w:noWrap w:val="0"/>
            <w:vAlign w:val="center"/>
          </w:tcPr>
          <w:p w14:paraId="32FE4BD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1BEDC26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22553D3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2A149B6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52A2FE9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2F22366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951" w:type="dxa"/>
            <w:noWrap w:val="0"/>
            <w:vAlign w:val="center"/>
          </w:tcPr>
          <w:p w14:paraId="6E29355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965" w:type="dxa"/>
            <w:noWrap w:val="0"/>
            <w:vAlign w:val="center"/>
          </w:tcPr>
          <w:p w14:paraId="0BE9AA4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w:t>
            </w:r>
          </w:p>
        </w:tc>
      </w:tr>
    </w:tbl>
    <w:p w14:paraId="1FEE4935">
      <w:pPr>
        <w:widowControl/>
        <w:wordWrap w:val="0"/>
        <w:bidi w:val="0"/>
        <w:spacing w:line="240" w:lineRule="auto"/>
        <w:ind w:firstLine="0" w:firstLineChars="0"/>
        <w:jc w:val="center"/>
        <w:rPr>
          <w:rFonts w:hint="eastAsia" w:ascii="Times New Roman" w:hAnsi="Times New Roman" w:eastAsia="宋体" w:cs="Times New Roman"/>
          <w:b/>
          <w:bCs/>
          <w:color w:val="auto"/>
          <w:kern w:val="2"/>
          <w:sz w:val="24"/>
          <w:szCs w:val="21"/>
          <w:highlight w:val="none"/>
          <w:lang w:val="en-US" w:eastAsia="zh-CN" w:bidi="ar-SA"/>
        </w:rPr>
      </w:pPr>
      <w:r>
        <w:rPr>
          <w:rFonts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5.2-1</w:t>
      </w:r>
      <w:r>
        <w:rPr>
          <w:rFonts w:hint="eastAsia" w:cs="Times New Roman"/>
          <w:b/>
          <w:bCs/>
          <w:color w:val="auto"/>
          <w:kern w:val="2"/>
          <w:sz w:val="24"/>
          <w:szCs w:val="21"/>
          <w:highlight w:val="none"/>
          <w:lang w:val="en-US" w:eastAsia="zh-CN" w:bidi="ar-SA"/>
        </w:rPr>
        <w:t>4</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ascii="Times New Roman" w:hAnsi="Times New Roman" w:eastAsia="宋体" w:cs="Times New Roman"/>
          <w:b/>
          <w:bCs/>
          <w:color w:val="auto"/>
          <w:kern w:val="2"/>
          <w:sz w:val="24"/>
          <w:szCs w:val="21"/>
          <w:highlight w:val="none"/>
          <w:lang w:val="en-US" w:eastAsia="zh-CN" w:bidi="ar-SA"/>
        </w:rPr>
        <w:t>大气有组织排放源估算模式计算结果表</w:t>
      </w:r>
      <w:r>
        <w:rPr>
          <w:rFonts w:hint="eastAsia" w:ascii="Times New Roman" w:hAnsi="Times New Roman" w:eastAsia="宋体" w:cs="Times New Roman"/>
          <w:b/>
          <w:bCs/>
          <w:color w:val="auto"/>
          <w:kern w:val="2"/>
          <w:sz w:val="24"/>
          <w:szCs w:val="21"/>
          <w:highlight w:val="none"/>
          <w:lang w:val="en-US" w:eastAsia="zh-CN" w:bidi="ar-SA"/>
        </w:rPr>
        <w:t>（3）</w:t>
      </w:r>
    </w:p>
    <w:tbl>
      <w:tblPr>
        <w:tblStyle w:val="49"/>
        <w:tblW w:w="4998"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897"/>
        <w:gridCol w:w="951"/>
        <w:gridCol w:w="951"/>
        <w:gridCol w:w="951"/>
        <w:gridCol w:w="951"/>
        <w:gridCol w:w="951"/>
        <w:gridCol w:w="951"/>
        <w:gridCol w:w="951"/>
        <w:gridCol w:w="965"/>
      </w:tblGrid>
      <w:tr w14:paraId="07ACA0A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vMerge w:val="restart"/>
            <w:noWrap w:val="0"/>
            <w:vAlign w:val="center"/>
          </w:tcPr>
          <w:p w14:paraId="502AF23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下风向距离</w:t>
            </w:r>
          </w:p>
        </w:tc>
        <w:tc>
          <w:tcPr>
            <w:tcW w:w="4472" w:type="pct"/>
            <w:gridSpan w:val="8"/>
            <w:noWrap w:val="0"/>
            <w:vAlign w:val="center"/>
          </w:tcPr>
          <w:p w14:paraId="18C2FA1E">
            <w:pPr>
              <w:jc w:val="center"/>
              <w:rPr>
                <w:rFonts w:hint="eastAsia" w:ascii="Times New Roman" w:hAnsi="Times New Roman" w:eastAsia="宋体" w:cs="Times New Roman"/>
                <w:b w:val="0"/>
                <w:color w:val="auto"/>
                <w:sz w:val="18"/>
                <w:szCs w:val="18"/>
                <w:highlight w:val="none"/>
                <w:lang w:eastAsia="zh-CN"/>
              </w:rPr>
            </w:pPr>
            <w:r>
              <w:rPr>
                <w:rFonts w:hint="default" w:ascii="Times New Roman" w:hAnsi="Times New Roman" w:eastAsia="宋体" w:cs="Times New Roman"/>
                <w:b/>
                <w:bCs/>
                <w:color w:val="auto"/>
                <w:sz w:val="18"/>
                <w:szCs w:val="18"/>
                <w:highlight w:val="none"/>
              </w:rPr>
              <w:t>点源DA00</w:t>
            </w:r>
            <w:r>
              <w:rPr>
                <w:rFonts w:hint="eastAsia" w:ascii="Times New Roman" w:hAnsi="Times New Roman" w:eastAsia="宋体" w:cs="Times New Roman"/>
                <w:b/>
                <w:bCs/>
                <w:color w:val="auto"/>
                <w:sz w:val="18"/>
                <w:szCs w:val="18"/>
                <w:highlight w:val="none"/>
                <w:lang w:val="en-US" w:eastAsia="zh-CN"/>
              </w:rPr>
              <w:t>3</w:t>
            </w:r>
          </w:p>
        </w:tc>
      </w:tr>
      <w:tr w14:paraId="496D8F7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1021" w:hRule="exact"/>
        </w:trPr>
        <w:tc>
          <w:tcPr>
            <w:tcW w:w="527" w:type="pct"/>
            <w:vMerge w:val="continue"/>
            <w:noWrap w:val="0"/>
            <w:vAlign w:val="center"/>
          </w:tcPr>
          <w:p w14:paraId="67A6C646">
            <w:pPr>
              <w:jc w:val="center"/>
              <w:rPr>
                <w:rFonts w:hint="default" w:ascii="Times New Roman" w:hAnsi="Times New Roman" w:cs="Times New Roman"/>
                <w:color w:val="auto"/>
                <w:sz w:val="18"/>
                <w:szCs w:val="18"/>
                <w:highlight w:val="none"/>
              </w:rPr>
            </w:pPr>
          </w:p>
        </w:tc>
        <w:tc>
          <w:tcPr>
            <w:tcW w:w="558" w:type="pct"/>
            <w:noWrap w:val="0"/>
            <w:vAlign w:val="center"/>
          </w:tcPr>
          <w:p w14:paraId="4C50451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PM</w:t>
            </w:r>
            <w:r>
              <w:rPr>
                <w:rFonts w:hint="default" w:ascii="Times New Roman" w:hAnsi="Times New Roman" w:eastAsia="宋体" w:cs="Times New Roman"/>
                <w:b w:val="0"/>
                <w:color w:val="auto"/>
                <w:sz w:val="18"/>
                <w:szCs w:val="18"/>
                <w:highlight w:val="none"/>
                <w:vertAlign w:val="subscript"/>
              </w:rPr>
              <w:t>10</w:t>
            </w:r>
            <w:r>
              <w:rPr>
                <w:rFonts w:hint="default" w:ascii="Times New Roman" w:hAnsi="Times New Roman" w:eastAsia="宋体" w:cs="Times New Roman"/>
                <w:b w:val="0"/>
                <w:color w:val="auto"/>
                <w:sz w:val="18"/>
                <w:szCs w:val="18"/>
                <w:highlight w:val="none"/>
              </w:rPr>
              <w:t>浓度(μg/m³)</w:t>
            </w:r>
          </w:p>
        </w:tc>
        <w:tc>
          <w:tcPr>
            <w:tcW w:w="558" w:type="pct"/>
            <w:noWrap w:val="0"/>
            <w:vAlign w:val="center"/>
          </w:tcPr>
          <w:p w14:paraId="4961024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PM</w:t>
            </w:r>
            <w:r>
              <w:rPr>
                <w:rFonts w:hint="default" w:ascii="Times New Roman" w:hAnsi="Times New Roman" w:eastAsia="宋体" w:cs="Times New Roman"/>
                <w:b w:val="0"/>
                <w:color w:val="auto"/>
                <w:sz w:val="18"/>
                <w:szCs w:val="18"/>
                <w:highlight w:val="none"/>
                <w:vertAlign w:val="subscript"/>
              </w:rPr>
              <w:t>10</w:t>
            </w:r>
            <w:r>
              <w:rPr>
                <w:rFonts w:hint="default" w:ascii="Times New Roman" w:hAnsi="Times New Roman" w:eastAsia="宋体" w:cs="Times New Roman"/>
                <w:b w:val="0"/>
                <w:color w:val="auto"/>
                <w:sz w:val="18"/>
                <w:szCs w:val="18"/>
                <w:highlight w:val="none"/>
              </w:rPr>
              <w:t>占标率(%)</w:t>
            </w:r>
          </w:p>
        </w:tc>
        <w:tc>
          <w:tcPr>
            <w:tcW w:w="558" w:type="pct"/>
            <w:noWrap w:val="0"/>
            <w:vAlign w:val="center"/>
          </w:tcPr>
          <w:p w14:paraId="7CB5481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NOx浓度(μg/m³)</w:t>
            </w:r>
          </w:p>
        </w:tc>
        <w:tc>
          <w:tcPr>
            <w:tcW w:w="558" w:type="pct"/>
            <w:noWrap w:val="0"/>
            <w:vAlign w:val="center"/>
          </w:tcPr>
          <w:p w14:paraId="4CEF726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NOx占标率(%)</w:t>
            </w:r>
          </w:p>
        </w:tc>
        <w:tc>
          <w:tcPr>
            <w:tcW w:w="558" w:type="pct"/>
            <w:noWrap w:val="0"/>
            <w:vAlign w:val="center"/>
          </w:tcPr>
          <w:p w14:paraId="609D01D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SO</w:t>
            </w:r>
            <w:r>
              <w:rPr>
                <w:rFonts w:hint="default" w:ascii="Times New Roman" w:hAnsi="Times New Roman" w:eastAsia="宋体" w:cs="Times New Roman"/>
                <w:b w:val="0"/>
                <w:color w:val="auto"/>
                <w:sz w:val="18"/>
                <w:szCs w:val="18"/>
                <w:highlight w:val="none"/>
                <w:vertAlign w:val="subscript"/>
              </w:rPr>
              <w:t>2</w:t>
            </w:r>
            <w:r>
              <w:rPr>
                <w:rFonts w:hint="default" w:ascii="Times New Roman" w:hAnsi="Times New Roman" w:eastAsia="宋体" w:cs="Times New Roman"/>
                <w:b w:val="0"/>
                <w:color w:val="auto"/>
                <w:sz w:val="18"/>
                <w:szCs w:val="18"/>
                <w:highlight w:val="none"/>
              </w:rPr>
              <w:t>浓度(μg/m³)</w:t>
            </w:r>
          </w:p>
        </w:tc>
        <w:tc>
          <w:tcPr>
            <w:tcW w:w="558" w:type="pct"/>
            <w:noWrap w:val="0"/>
            <w:vAlign w:val="center"/>
          </w:tcPr>
          <w:p w14:paraId="33AA6B3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SO</w:t>
            </w:r>
            <w:r>
              <w:rPr>
                <w:rFonts w:hint="default" w:ascii="Times New Roman" w:hAnsi="Times New Roman" w:eastAsia="宋体" w:cs="Times New Roman"/>
                <w:b w:val="0"/>
                <w:color w:val="auto"/>
                <w:sz w:val="18"/>
                <w:szCs w:val="18"/>
                <w:highlight w:val="none"/>
                <w:vertAlign w:val="subscript"/>
              </w:rPr>
              <w:t>2</w:t>
            </w:r>
            <w:r>
              <w:rPr>
                <w:rFonts w:hint="default" w:ascii="Times New Roman" w:hAnsi="Times New Roman" w:eastAsia="宋体" w:cs="Times New Roman"/>
                <w:b w:val="0"/>
                <w:color w:val="auto"/>
                <w:sz w:val="18"/>
                <w:szCs w:val="18"/>
                <w:highlight w:val="none"/>
              </w:rPr>
              <w:t>占标率(%)</w:t>
            </w:r>
          </w:p>
        </w:tc>
        <w:tc>
          <w:tcPr>
            <w:tcW w:w="558" w:type="pct"/>
            <w:noWrap w:val="0"/>
            <w:vAlign w:val="center"/>
          </w:tcPr>
          <w:p w14:paraId="577C7D7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NMHC浓度(μg/m³)</w:t>
            </w:r>
          </w:p>
        </w:tc>
        <w:tc>
          <w:tcPr>
            <w:tcW w:w="561" w:type="pct"/>
            <w:noWrap w:val="0"/>
            <w:vAlign w:val="center"/>
          </w:tcPr>
          <w:p w14:paraId="424DC4D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NMHC占标率(%)</w:t>
            </w:r>
          </w:p>
        </w:tc>
      </w:tr>
      <w:tr w14:paraId="25EFACE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32" w:hRule="exact"/>
        </w:trPr>
        <w:tc>
          <w:tcPr>
            <w:tcW w:w="527" w:type="pct"/>
            <w:noWrap w:val="0"/>
            <w:vAlign w:val="center"/>
          </w:tcPr>
          <w:p w14:paraId="329D0D3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50.0</w:t>
            </w:r>
          </w:p>
        </w:tc>
        <w:tc>
          <w:tcPr>
            <w:tcW w:w="558" w:type="pct"/>
            <w:noWrap w:val="0"/>
            <w:vAlign w:val="center"/>
          </w:tcPr>
          <w:p w14:paraId="10F7C2F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1.7162</w:t>
            </w:r>
          </w:p>
        </w:tc>
        <w:tc>
          <w:tcPr>
            <w:tcW w:w="558" w:type="pct"/>
            <w:noWrap w:val="0"/>
            <w:vAlign w:val="center"/>
          </w:tcPr>
          <w:p w14:paraId="3D095A9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0.3814</w:t>
            </w:r>
          </w:p>
        </w:tc>
        <w:tc>
          <w:tcPr>
            <w:tcW w:w="558" w:type="pct"/>
            <w:noWrap w:val="0"/>
            <w:vAlign w:val="center"/>
          </w:tcPr>
          <w:p w14:paraId="13C2167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5.6088</w:t>
            </w:r>
          </w:p>
        </w:tc>
        <w:tc>
          <w:tcPr>
            <w:tcW w:w="558" w:type="pct"/>
            <w:noWrap w:val="0"/>
            <w:vAlign w:val="center"/>
          </w:tcPr>
          <w:p w14:paraId="00417D6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2.2435</w:t>
            </w:r>
          </w:p>
        </w:tc>
        <w:tc>
          <w:tcPr>
            <w:tcW w:w="558" w:type="pct"/>
            <w:noWrap w:val="0"/>
            <w:vAlign w:val="center"/>
          </w:tcPr>
          <w:p w14:paraId="5CC7722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0.2218</w:t>
            </w:r>
          </w:p>
        </w:tc>
        <w:tc>
          <w:tcPr>
            <w:tcW w:w="558" w:type="pct"/>
            <w:noWrap w:val="0"/>
            <w:vAlign w:val="center"/>
          </w:tcPr>
          <w:p w14:paraId="2933C41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0.0444</w:t>
            </w:r>
          </w:p>
        </w:tc>
        <w:tc>
          <w:tcPr>
            <w:tcW w:w="951" w:type="dxa"/>
            <w:noWrap w:val="0"/>
            <w:vAlign w:val="center"/>
          </w:tcPr>
          <w:p w14:paraId="7B4F7C8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0.8318</w:t>
            </w:r>
          </w:p>
        </w:tc>
        <w:tc>
          <w:tcPr>
            <w:tcW w:w="965" w:type="dxa"/>
            <w:noWrap w:val="0"/>
            <w:vAlign w:val="center"/>
          </w:tcPr>
          <w:p w14:paraId="1BB7A67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0.0416</w:t>
            </w:r>
          </w:p>
        </w:tc>
      </w:tr>
      <w:tr w14:paraId="42A19EA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27D063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100.0</w:t>
            </w:r>
          </w:p>
        </w:tc>
        <w:tc>
          <w:tcPr>
            <w:tcW w:w="558" w:type="pct"/>
            <w:noWrap w:val="0"/>
            <w:vAlign w:val="center"/>
          </w:tcPr>
          <w:p w14:paraId="433D481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1.7901</w:t>
            </w:r>
          </w:p>
        </w:tc>
        <w:tc>
          <w:tcPr>
            <w:tcW w:w="558" w:type="pct"/>
            <w:noWrap w:val="0"/>
            <w:vAlign w:val="center"/>
          </w:tcPr>
          <w:p w14:paraId="7E529E7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0.3978</w:t>
            </w:r>
          </w:p>
        </w:tc>
        <w:tc>
          <w:tcPr>
            <w:tcW w:w="558" w:type="pct"/>
            <w:noWrap w:val="0"/>
            <w:vAlign w:val="center"/>
          </w:tcPr>
          <w:p w14:paraId="253D8A9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5.8504</w:t>
            </w:r>
          </w:p>
        </w:tc>
        <w:tc>
          <w:tcPr>
            <w:tcW w:w="558" w:type="pct"/>
            <w:noWrap w:val="0"/>
            <w:vAlign w:val="center"/>
          </w:tcPr>
          <w:p w14:paraId="5B8E5B6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2.3401</w:t>
            </w:r>
          </w:p>
        </w:tc>
        <w:tc>
          <w:tcPr>
            <w:tcW w:w="558" w:type="pct"/>
            <w:noWrap w:val="0"/>
            <w:vAlign w:val="center"/>
          </w:tcPr>
          <w:p w14:paraId="465B13F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0.2314</w:t>
            </w:r>
          </w:p>
        </w:tc>
        <w:tc>
          <w:tcPr>
            <w:tcW w:w="558" w:type="pct"/>
            <w:noWrap w:val="0"/>
            <w:vAlign w:val="center"/>
          </w:tcPr>
          <w:p w14:paraId="51428C4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0.0463</w:t>
            </w:r>
          </w:p>
        </w:tc>
        <w:tc>
          <w:tcPr>
            <w:tcW w:w="951" w:type="dxa"/>
            <w:noWrap w:val="0"/>
            <w:vAlign w:val="center"/>
          </w:tcPr>
          <w:p w14:paraId="0562AD4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0.8676</w:t>
            </w:r>
          </w:p>
        </w:tc>
        <w:tc>
          <w:tcPr>
            <w:tcW w:w="965" w:type="dxa"/>
            <w:noWrap w:val="0"/>
            <w:vAlign w:val="center"/>
          </w:tcPr>
          <w:p w14:paraId="0BA6CB8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0.0434</w:t>
            </w:r>
          </w:p>
        </w:tc>
      </w:tr>
      <w:tr w14:paraId="74DA971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E14E17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200.0</w:t>
            </w:r>
          </w:p>
        </w:tc>
        <w:tc>
          <w:tcPr>
            <w:tcW w:w="558" w:type="pct"/>
            <w:noWrap w:val="0"/>
            <w:vAlign w:val="center"/>
          </w:tcPr>
          <w:p w14:paraId="4E11DBA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1.9661</w:t>
            </w:r>
          </w:p>
        </w:tc>
        <w:tc>
          <w:tcPr>
            <w:tcW w:w="558" w:type="pct"/>
            <w:noWrap w:val="0"/>
            <w:vAlign w:val="center"/>
          </w:tcPr>
          <w:p w14:paraId="6EE9E8A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0.4369</w:t>
            </w:r>
          </w:p>
        </w:tc>
        <w:tc>
          <w:tcPr>
            <w:tcW w:w="558" w:type="pct"/>
            <w:noWrap w:val="0"/>
            <w:vAlign w:val="center"/>
          </w:tcPr>
          <w:p w14:paraId="7B12AC8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6.4256</w:t>
            </w:r>
          </w:p>
        </w:tc>
        <w:tc>
          <w:tcPr>
            <w:tcW w:w="558" w:type="pct"/>
            <w:noWrap w:val="0"/>
            <w:vAlign w:val="center"/>
          </w:tcPr>
          <w:p w14:paraId="517ED8D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2.5702</w:t>
            </w:r>
          </w:p>
        </w:tc>
        <w:tc>
          <w:tcPr>
            <w:tcW w:w="558" w:type="pct"/>
            <w:noWrap w:val="0"/>
            <w:vAlign w:val="center"/>
          </w:tcPr>
          <w:p w14:paraId="772A220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0.2541</w:t>
            </w:r>
          </w:p>
        </w:tc>
        <w:tc>
          <w:tcPr>
            <w:tcW w:w="558" w:type="pct"/>
            <w:noWrap w:val="0"/>
            <w:vAlign w:val="center"/>
          </w:tcPr>
          <w:p w14:paraId="52889BD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0.0508</w:t>
            </w:r>
          </w:p>
        </w:tc>
        <w:tc>
          <w:tcPr>
            <w:tcW w:w="951" w:type="dxa"/>
            <w:noWrap w:val="0"/>
            <w:vAlign w:val="center"/>
          </w:tcPr>
          <w:p w14:paraId="4297277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0.9529</w:t>
            </w:r>
          </w:p>
        </w:tc>
        <w:tc>
          <w:tcPr>
            <w:tcW w:w="965" w:type="dxa"/>
            <w:noWrap w:val="0"/>
            <w:vAlign w:val="center"/>
          </w:tcPr>
          <w:p w14:paraId="7D068D0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0.0476</w:t>
            </w:r>
          </w:p>
        </w:tc>
      </w:tr>
      <w:tr w14:paraId="2268920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578981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300.0</w:t>
            </w:r>
          </w:p>
        </w:tc>
        <w:tc>
          <w:tcPr>
            <w:tcW w:w="558" w:type="pct"/>
            <w:noWrap w:val="0"/>
            <w:vAlign w:val="center"/>
          </w:tcPr>
          <w:p w14:paraId="373D8DC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1.9389</w:t>
            </w:r>
          </w:p>
        </w:tc>
        <w:tc>
          <w:tcPr>
            <w:tcW w:w="558" w:type="pct"/>
            <w:noWrap w:val="0"/>
            <w:vAlign w:val="center"/>
          </w:tcPr>
          <w:p w14:paraId="2CEA469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0.4309</w:t>
            </w:r>
          </w:p>
        </w:tc>
        <w:tc>
          <w:tcPr>
            <w:tcW w:w="558" w:type="pct"/>
            <w:noWrap w:val="0"/>
            <w:vAlign w:val="center"/>
          </w:tcPr>
          <w:p w14:paraId="5BD1325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6.3367</w:t>
            </w:r>
          </w:p>
        </w:tc>
        <w:tc>
          <w:tcPr>
            <w:tcW w:w="558" w:type="pct"/>
            <w:noWrap w:val="0"/>
            <w:vAlign w:val="center"/>
          </w:tcPr>
          <w:p w14:paraId="1669229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2.5347</w:t>
            </w:r>
          </w:p>
        </w:tc>
        <w:tc>
          <w:tcPr>
            <w:tcW w:w="558" w:type="pct"/>
            <w:noWrap w:val="0"/>
            <w:vAlign w:val="center"/>
          </w:tcPr>
          <w:p w14:paraId="22F6547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0.2506</w:t>
            </w:r>
          </w:p>
        </w:tc>
        <w:tc>
          <w:tcPr>
            <w:tcW w:w="558" w:type="pct"/>
            <w:noWrap w:val="0"/>
            <w:vAlign w:val="center"/>
          </w:tcPr>
          <w:p w14:paraId="2CA69C1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0.0501</w:t>
            </w:r>
          </w:p>
        </w:tc>
        <w:tc>
          <w:tcPr>
            <w:tcW w:w="951" w:type="dxa"/>
            <w:noWrap w:val="0"/>
            <w:vAlign w:val="center"/>
          </w:tcPr>
          <w:p w14:paraId="181FCF9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0.9397</w:t>
            </w:r>
          </w:p>
        </w:tc>
        <w:tc>
          <w:tcPr>
            <w:tcW w:w="965" w:type="dxa"/>
            <w:noWrap w:val="0"/>
            <w:vAlign w:val="center"/>
          </w:tcPr>
          <w:p w14:paraId="2A6DC1C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0.0470</w:t>
            </w:r>
          </w:p>
        </w:tc>
      </w:tr>
      <w:tr w14:paraId="4F0C7BC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D1740D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400.0</w:t>
            </w:r>
          </w:p>
        </w:tc>
        <w:tc>
          <w:tcPr>
            <w:tcW w:w="558" w:type="pct"/>
            <w:noWrap w:val="0"/>
            <w:vAlign w:val="center"/>
          </w:tcPr>
          <w:p w14:paraId="28BC297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1.9314</w:t>
            </w:r>
          </w:p>
        </w:tc>
        <w:tc>
          <w:tcPr>
            <w:tcW w:w="558" w:type="pct"/>
            <w:noWrap w:val="0"/>
            <w:vAlign w:val="center"/>
          </w:tcPr>
          <w:p w14:paraId="122A03F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0.4292</w:t>
            </w:r>
          </w:p>
        </w:tc>
        <w:tc>
          <w:tcPr>
            <w:tcW w:w="558" w:type="pct"/>
            <w:noWrap w:val="0"/>
            <w:vAlign w:val="center"/>
          </w:tcPr>
          <w:p w14:paraId="3089302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6.3122</w:t>
            </w:r>
          </w:p>
        </w:tc>
        <w:tc>
          <w:tcPr>
            <w:tcW w:w="558" w:type="pct"/>
            <w:noWrap w:val="0"/>
            <w:vAlign w:val="center"/>
          </w:tcPr>
          <w:p w14:paraId="4E7616B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2.5249</w:t>
            </w:r>
          </w:p>
        </w:tc>
        <w:tc>
          <w:tcPr>
            <w:tcW w:w="558" w:type="pct"/>
            <w:noWrap w:val="0"/>
            <w:vAlign w:val="center"/>
          </w:tcPr>
          <w:p w14:paraId="7BEBA2D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0.2496</w:t>
            </w:r>
          </w:p>
        </w:tc>
        <w:tc>
          <w:tcPr>
            <w:tcW w:w="558" w:type="pct"/>
            <w:noWrap w:val="0"/>
            <w:vAlign w:val="center"/>
          </w:tcPr>
          <w:p w14:paraId="5E8F2C4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0.0499</w:t>
            </w:r>
          </w:p>
        </w:tc>
        <w:tc>
          <w:tcPr>
            <w:tcW w:w="951" w:type="dxa"/>
            <w:noWrap w:val="0"/>
            <w:vAlign w:val="center"/>
          </w:tcPr>
          <w:p w14:paraId="7F57B49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0.9361</w:t>
            </w:r>
          </w:p>
        </w:tc>
        <w:tc>
          <w:tcPr>
            <w:tcW w:w="965" w:type="dxa"/>
            <w:noWrap w:val="0"/>
            <w:vAlign w:val="center"/>
          </w:tcPr>
          <w:p w14:paraId="6D3C719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0.0468</w:t>
            </w:r>
          </w:p>
        </w:tc>
      </w:tr>
      <w:tr w14:paraId="735E6C4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38B6C0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500.0</w:t>
            </w:r>
          </w:p>
        </w:tc>
        <w:tc>
          <w:tcPr>
            <w:tcW w:w="558" w:type="pct"/>
            <w:noWrap w:val="0"/>
            <w:vAlign w:val="center"/>
          </w:tcPr>
          <w:p w14:paraId="0D3E87D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1.7914</w:t>
            </w:r>
          </w:p>
        </w:tc>
        <w:tc>
          <w:tcPr>
            <w:tcW w:w="558" w:type="pct"/>
            <w:noWrap w:val="0"/>
            <w:vAlign w:val="center"/>
          </w:tcPr>
          <w:p w14:paraId="4360D1D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0.3981</w:t>
            </w:r>
          </w:p>
        </w:tc>
        <w:tc>
          <w:tcPr>
            <w:tcW w:w="558" w:type="pct"/>
            <w:noWrap w:val="0"/>
            <w:vAlign w:val="center"/>
          </w:tcPr>
          <w:p w14:paraId="20D3AFA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5.8546</w:t>
            </w:r>
          </w:p>
        </w:tc>
        <w:tc>
          <w:tcPr>
            <w:tcW w:w="558" w:type="pct"/>
            <w:noWrap w:val="0"/>
            <w:vAlign w:val="center"/>
          </w:tcPr>
          <w:p w14:paraId="40EECB7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2.3418</w:t>
            </w:r>
          </w:p>
        </w:tc>
        <w:tc>
          <w:tcPr>
            <w:tcW w:w="558" w:type="pct"/>
            <w:noWrap w:val="0"/>
            <w:vAlign w:val="center"/>
          </w:tcPr>
          <w:p w14:paraId="6C52115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0.2315</w:t>
            </w:r>
          </w:p>
        </w:tc>
        <w:tc>
          <w:tcPr>
            <w:tcW w:w="558" w:type="pct"/>
            <w:noWrap w:val="0"/>
            <w:vAlign w:val="center"/>
          </w:tcPr>
          <w:p w14:paraId="75948F2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0.0463</w:t>
            </w:r>
          </w:p>
        </w:tc>
        <w:tc>
          <w:tcPr>
            <w:tcW w:w="951" w:type="dxa"/>
            <w:noWrap w:val="0"/>
            <w:vAlign w:val="center"/>
          </w:tcPr>
          <w:p w14:paraId="60EF1C4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0.8682</w:t>
            </w:r>
          </w:p>
        </w:tc>
        <w:tc>
          <w:tcPr>
            <w:tcW w:w="965" w:type="dxa"/>
            <w:noWrap w:val="0"/>
            <w:vAlign w:val="center"/>
          </w:tcPr>
          <w:p w14:paraId="1AE4CE8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0.0434</w:t>
            </w:r>
          </w:p>
        </w:tc>
      </w:tr>
      <w:tr w14:paraId="1CBF786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386E10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600.0</w:t>
            </w:r>
          </w:p>
        </w:tc>
        <w:tc>
          <w:tcPr>
            <w:tcW w:w="558" w:type="pct"/>
            <w:noWrap w:val="0"/>
            <w:vAlign w:val="center"/>
          </w:tcPr>
          <w:p w14:paraId="436CEF0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1.6376</w:t>
            </w:r>
          </w:p>
        </w:tc>
        <w:tc>
          <w:tcPr>
            <w:tcW w:w="558" w:type="pct"/>
            <w:noWrap w:val="0"/>
            <w:vAlign w:val="center"/>
          </w:tcPr>
          <w:p w14:paraId="0BCCAEA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0.3639</w:t>
            </w:r>
          </w:p>
        </w:tc>
        <w:tc>
          <w:tcPr>
            <w:tcW w:w="558" w:type="pct"/>
            <w:noWrap w:val="0"/>
            <w:vAlign w:val="center"/>
          </w:tcPr>
          <w:p w14:paraId="6EB3661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5.3520</w:t>
            </w:r>
          </w:p>
        </w:tc>
        <w:tc>
          <w:tcPr>
            <w:tcW w:w="558" w:type="pct"/>
            <w:noWrap w:val="0"/>
            <w:vAlign w:val="center"/>
          </w:tcPr>
          <w:p w14:paraId="60ED7B6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2.1408</w:t>
            </w:r>
          </w:p>
        </w:tc>
        <w:tc>
          <w:tcPr>
            <w:tcW w:w="558" w:type="pct"/>
            <w:noWrap w:val="0"/>
            <w:vAlign w:val="center"/>
          </w:tcPr>
          <w:p w14:paraId="0D72460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0.2116</w:t>
            </w:r>
          </w:p>
        </w:tc>
        <w:tc>
          <w:tcPr>
            <w:tcW w:w="558" w:type="pct"/>
            <w:noWrap w:val="0"/>
            <w:vAlign w:val="center"/>
          </w:tcPr>
          <w:p w14:paraId="6132D80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0.0423</w:t>
            </w:r>
          </w:p>
        </w:tc>
        <w:tc>
          <w:tcPr>
            <w:tcW w:w="951" w:type="dxa"/>
            <w:noWrap w:val="0"/>
            <w:vAlign w:val="center"/>
          </w:tcPr>
          <w:p w14:paraId="5E7779D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0.7937</w:t>
            </w:r>
          </w:p>
        </w:tc>
        <w:tc>
          <w:tcPr>
            <w:tcW w:w="965" w:type="dxa"/>
            <w:noWrap w:val="0"/>
            <w:vAlign w:val="center"/>
          </w:tcPr>
          <w:p w14:paraId="6EA1E86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0.0397</w:t>
            </w:r>
          </w:p>
        </w:tc>
      </w:tr>
      <w:tr w14:paraId="5F8C6DB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31FDB9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700.0</w:t>
            </w:r>
          </w:p>
        </w:tc>
        <w:tc>
          <w:tcPr>
            <w:tcW w:w="558" w:type="pct"/>
            <w:noWrap w:val="0"/>
            <w:vAlign w:val="center"/>
          </w:tcPr>
          <w:p w14:paraId="788952C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1.5038</w:t>
            </w:r>
          </w:p>
        </w:tc>
        <w:tc>
          <w:tcPr>
            <w:tcW w:w="558" w:type="pct"/>
            <w:noWrap w:val="0"/>
            <w:vAlign w:val="center"/>
          </w:tcPr>
          <w:p w14:paraId="14E6295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0.3342</w:t>
            </w:r>
          </w:p>
        </w:tc>
        <w:tc>
          <w:tcPr>
            <w:tcW w:w="558" w:type="pct"/>
            <w:noWrap w:val="0"/>
            <w:vAlign w:val="center"/>
          </w:tcPr>
          <w:p w14:paraId="10B91EC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4.9147</w:t>
            </w:r>
          </w:p>
        </w:tc>
        <w:tc>
          <w:tcPr>
            <w:tcW w:w="558" w:type="pct"/>
            <w:noWrap w:val="0"/>
            <w:vAlign w:val="center"/>
          </w:tcPr>
          <w:p w14:paraId="689E406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1.9659</w:t>
            </w:r>
          </w:p>
        </w:tc>
        <w:tc>
          <w:tcPr>
            <w:tcW w:w="558" w:type="pct"/>
            <w:noWrap w:val="0"/>
            <w:vAlign w:val="center"/>
          </w:tcPr>
          <w:p w14:paraId="3E8191F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0.1944</w:t>
            </w:r>
          </w:p>
        </w:tc>
        <w:tc>
          <w:tcPr>
            <w:tcW w:w="558" w:type="pct"/>
            <w:noWrap w:val="0"/>
            <w:vAlign w:val="center"/>
          </w:tcPr>
          <w:p w14:paraId="6E03112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0.0389</w:t>
            </w:r>
          </w:p>
        </w:tc>
        <w:tc>
          <w:tcPr>
            <w:tcW w:w="951" w:type="dxa"/>
            <w:noWrap w:val="0"/>
            <w:vAlign w:val="center"/>
          </w:tcPr>
          <w:p w14:paraId="43810F5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0.7288</w:t>
            </w:r>
          </w:p>
        </w:tc>
        <w:tc>
          <w:tcPr>
            <w:tcW w:w="965" w:type="dxa"/>
            <w:noWrap w:val="0"/>
            <w:vAlign w:val="center"/>
          </w:tcPr>
          <w:p w14:paraId="7D644D0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0.0364</w:t>
            </w:r>
          </w:p>
        </w:tc>
      </w:tr>
      <w:tr w14:paraId="33883CA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0D78F0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800.0</w:t>
            </w:r>
          </w:p>
        </w:tc>
        <w:tc>
          <w:tcPr>
            <w:tcW w:w="558" w:type="pct"/>
            <w:noWrap w:val="0"/>
            <w:vAlign w:val="center"/>
          </w:tcPr>
          <w:p w14:paraId="7202246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1.4218</w:t>
            </w:r>
          </w:p>
        </w:tc>
        <w:tc>
          <w:tcPr>
            <w:tcW w:w="558" w:type="pct"/>
            <w:noWrap w:val="0"/>
            <w:vAlign w:val="center"/>
          </w:tcPr>
          <w:p w14:paraId="529A1B4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0.3160</w:t>
            </w:r>
          </w:p>
        </w:tc>
        <w:tc>
          <w:tcPr>
            <w:tcW w:w="558" w:type="pct"/>
            <w:noWrap w:val="0"/>
            <w:vAlign w:val="center"/>
          </w:tcPr>
          <w:p w14:paraId="1E8086B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4.6467</w:t>
            </w:r>
          </w:p>
        </w:tc>
        <w:tc>
          <w:tcPr>
            <w:tcW w:w="558" w:type="pct"/>
            <w:noWrap w:val="0"/>
            <w:vAlign w:val="center"/>
          </w:tcPr>
          <w:p w14:paraId="384C2C5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1.8587</w:t>
            </w:r>
          </w:p>
        </w:tc>
        <w:tc>
          <w:tcPr>
            <w:tcW w:w="558" w:type="pct"/>
            <w:noWrap w:val="0"/>
            <w:vAlign w:val="center"/>
          </w:tcPr>
          <w:p w14:paraId="5A3F85A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0.1838</w:t>
            </w:r>
          </w:p>
        </w:tc>
        <w:tc>
          <w:tcPr>
            <w:tcW w:w="558" w:type="pct"/>
            <w:noWrap w:val="0"/>
            <w:vAlign w:val="center"/>
          </w:tcPr>
          <w:p w14:paraId="38BDCCB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0.0368</w:t>
            </w:r>
          </w:p>
        </w:tc>
        <w:tc>
          <w:tcPr>
            <w:tcW w:w="951" w:type="dxa"/>
            <w:noWrap w:val="0"/>
            <w:vAlign w:val="center"/>
          </w:tcPr>
          <w:p w14:paraId="15F414B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0.6891</w:t>
            </w:r>
          </w:p>
        </w:tc>
        <w:tc>
          <w:tcPr>
            <w:tcW w:w="965" w:type="dxa"/>
            <w:noWrap w:val="0"/>
            <w:vAlign w:val="center"/>
          </w:tcPr>
          <w:p w14:paraId="7519DAB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0.0345</w:t>
            </w:r>
          </w:p>
        </w:tc>
      </w:tr>
      <w:tr w14:paraId="18CB18E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0DBD7C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900.0</w:t>
            </w:r>
          </w:p>
        </w:tc>
        <w:tc>
          <w:tcPr>
            <w:tcW w:w="558" w:type="pct"/>
            <w:noWrap w:val="0"/>
            <w:vAlign w:val="center"/>
          </w:tcPr>
          <w:p w14:paraId="693B7FE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1.3521</w:t>
            </w:r>
          </w:p>
        </w:tc>
        <w:tc>
          <w:tcPr>
            <w:tcW w:w="558" w:type="pct"/>
            <w:noWrap w:val="0"/>
            <w:vAlign w:val="center"/>
          </w:tcPr>
          <w:p w14:paraId="17F9954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0.3005</w:t>
            </w:r>
          </w:p>
        </w:tc>
        <w:tc>
          <w:tcPr>
            <w:tcW w:w="558" w:type="pct"/>
            <w:noWrap w:val="0"/>
            <w:vAlign w:val="center"/>
          </w:tcPr>
          <w:p w14:paraId="0F162A5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4.4189</w:t>
            </w:r>
          </w:p>
        </w:tc>
        <w:tc>
          <w:tcPr>
            <w:tcW w:w="558" w:type="pct"/>
            <w:noWrap w:val="0"/>
            <w:vAlign w:val="center"/>
          </w:tcPr>
          <w:p w14:paraId="6B669E3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1.7676</w:t>
            </w:r>
          </w:p>
        </w:tc>
        <w:tc>
          <w:tcPr>
            <w:tcW w:w="558" w:type="pct"/>
            <w:noWrap w:val="0"/>
            <w:vAlign w:val="center"/>
          </w:tcPr>
          <w:p w14:paraId="7FA15C1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0.1747</w:t>
            </w:r>
          </w:p>
        </w:tc>
        <w:tc>
          <w:tcPr>
            <w:tcW w:w="558" w:type="pct"/>
            <w:noWrap w:val="0"/>
            <w:vAlign w:val="center"/>
          </w:tcPr>
          <w:p w14:paraId="1A451C0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0.0349</w:t>
            </w:r>
          </w:p>
        </w:tc>
        <w:tc>
          <w:tcPr>
            <w:tcW w:w="951" w:type="dxa"/>
            <w:noWrap w:val="0"/>
            <w:vAlign w:val="center"/>
          </w:tcPr>
          <w:p w14:paraId="3612A69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0.6553</w:t>
            </w:r>
          </w:p>
        </w:tc>
        <w:tc>
          <w:tcPr>
            <w:tcW w:w="965" w:type="dxa"/>
            <w:noWrap w:val="0"/>
            <w:vAlign w:val="center"/>
          </w:tcPr>
          <w:p w14:paraId="108D8D00">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0.0328</w:t>
            </w:r>
          </w:p>
        </w:tc>
      </w:tr>
      <w:tr w14:paraId="7527091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3E6FD6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1000.0</w:t>
            </w:r>
          </w:p>
        </w:tc>
        <w:tc>
          <w:tcPr>
            <w:tcW w:w="558" w:type="pct"/>
            <w:noWrap w:val="0"/>
            <w:vAlign w:val="center"/>
          </w:tcPr>
          <w:p w14:paraId="66C6907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1.2869</w:t>
            </w:r>
          </w:p>
        </w:tc>
        <w:tc>
          <w:tcPr>
            <w:tcW w:w="558" w:type="pct"/>
            <w:noWrap w:val="0"/>
            <w:vAlign w:val="center"/>
          </w:tcPr>
          <w:p w14:paraId="7FCDA23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0.2860</w:t>
            </w:r>
          </w:p>
        </w:tc>
        <w:tc>
          <w:tcPr>
            <w:tcW w:w="558" w:type="pct"/>
            <w:noWrap w:val="0"/>
            <w:vAlign w:val="center"/>
          </w:tcPr>
          <w:p w14:paraId="59BF7F5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4.2058</w:t>
            </w:r>
          </w:p>
        </w:tc>
        <w:tc>
          <w:tcPr>
            <w:tcW w:w="558" w:type="pct"/>
            <w:noWrap w:val="0"/>
            <w:vAlign w:val="center"/>
          </w:tcPr>
          <w:p w14:paraId="4FE3D4E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1.6823</w:t>
            </w:r>
          </w:p>
        </w:tc>
        <w:tc>
          <w:tcPr>
            <w:tcW w:w="558" w:type="pct"/>
            <w:noWrap w:val="0"/>
            <w:vAlign w:val="center"/>
          </w:tcPr>
          <w:p w14:paraId="770DC5B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0.1663</w:t>
            </w:r>
          </w:p>
        </w:tc>
        <w:tc>
          <w:tcPr>
            <w:tcW w:w="558" w:type="pct"/>
            <w:noWrap w:val="0"/>
            <w:vAlign w:val="center"/>
          </w:tcPr>
          <w:p w14:paraId="624980E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0.0333</w:t>
            </w:r>
          </w:p>
        </w:tc>
        <w:tc>
          <w:tcPr>
            <w:tcW w:w="951" w:type="dxa"/>
            <w:noWrap w:val="0"/>
            <w:vAlign w:val="center"/>
          </w:tcPr>
          <w:p w14:paraId="49B595F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0.6237</w:t>
            </w:r>
          </w:p>
        </w:tc>
        <w:tc>
          <w:tcPr>
            <w:tcW w:w="965" w:type="dxa"/>
            <w:noWrap w:val="0"/>
            <w:vAlign w:val="center"/>
          </w:tcPr>
          <w:p w14:paraId="638BE6EC">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0.0312</w:t>
            </w:r>
          </w:p>
        </w:tc>
      </w:tr>
      <w:tr w14:paraId="2B4F29F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CC4F9D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1200.0</w:t>
            </w:r>
          </w:p>
        </w:tc>
        <w:tc>
          <w:tcPr>
            <w:tcW w:w="558" w:type="pct"/>
            <w:noWrap w:val="0"/>
            <w:vAlign w:val="center"/>
          </w:tcPr>
          <w:p w14:paraId="004EDCE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1.1919</w:t>
            </w:r>
          </w:p>
        </w:tc>
        <w:tc>
          <w:tcPr>
            <w:tcW w:w="558" w:type="pct"/>
            <w:noWrap w:val="0"/>
            <w:vAlign w:val="center"/>
          </w:tcPr>
          <w:p w14:paraId="3FF9055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0.2649</w:t>
            </w:r>
          </w:p>
        </w:tc>
        <w:tc>
          <w:tcPr>
            <w:tcW w:w="558" w:type="pct"/>
            <w:noWrap w:val="0"/>
            <w:vAlign w:val="center"/>
          </w:tcPr>
          <w:p w14:paraId="79A34DB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3.8953</w:t>
            </w:r>
          </w:p>
        </w:tc>
        <w:tc>
          <w:tcPr>
            <w:tcW w:w="558" w:type="pct"/>
            <w:noWrap w:val="0"/>
            <w:vAlign w:val="center"/>
          </w:tcPr>
          <w:p w14:paraId="15A43D2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1.5581</w:t>
            </w:r>
          </w:p>
        </w:tc>
        <w:tc>
          <w:tcPr>
            <w:tcW w:w="558" w:type="pct"/>
            <w:noWrap w:val="0"/>
            <w:vAlign w:val="center"/>
          </w:tcPr>
          <w:p w14:paraId="7D992AC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0.1540</w:t>
            </w:r>
          </w:p>
        </w:tc>
        <w:tc>
          <w:tcPr>
            <w:tcW w:w="558" w:type="pct"/>
            <w:noWrap w:val="0"/>
            <w:vAlign w:val="center"/>
          </w:tcPr>
          <w:p w14:paraId="4AFF510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0.0308</w:t>
            </w:r>
          </w:p>
        </w:tc>
        <w:tc>
          <w:tcPr>
            <w:tcW w:w="951" w:type="dxa"/>
            <w:noWrap w:val="0"/>
            <w:vAlign w:val="center"/>
          </w:tcPr>
          <w:p w14:paraId="17CAE0D3">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0.5777</w:t>
            </w:r>
          </w:p>
        </w:tc>
        <w:tc>
          <w:tcPr>
            <w:tcW w:w="965" w:type="dxa"/>
            <w:noWrap w:val="0"/>
            <w:vAlign w:val="center"/>
          </w:tcPr>
          <w:p w14:paraId="08AAC8F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0.0289</w:t>
            </w:r>
          </w:p>
        </w:tc>
      </w:tr>
      <w:tr w14:paraId="442700C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956895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1400.0</w:t>
            </w:r>
          </w:p>
        </w:tc>
        <w:tc>
          <w:tcPr>
            <w:tcW w:w="558" w:type="pct"/>
            <w:noWrap w:val="0"/>
            <w:vAlign w:val="center"/>
          </w:tcPr>
          <w:p w14:paraId="10AD796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1.0980</w:t>
            </w:r>
          </w:p>
        </w:tc>
        <w:tc>
          <w:tcPr>
            <w:tcW w:w="558" w:type="pct"/>
            <w:noWrap w:val="0"/>
            <w:vAlign w:val="center"/>
          </w:tcPr>
          <w:p w14:paraId="6FD063A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0.2440</w:t>
            </w:r>
          </w:p>
        </w:tc>
        <w:tc>
          <w:tcPr>
            <w:tcW w:w="558" w:type="pct"/>
            <w:noWrap w:val="0"/>
            <w:vAlign w:val="center"/>
          </w:tcPr>
          <w:p w14:paraId="3499819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3.5885</w:t>
            </w:r>
          </w:p>
        </w:tc>
        <w:tc>
          <w:tcPr>
            <w:tcW w:w="558" w:type="pct"/>
            <w:noWrap w:val="0"/>
            <w:vAlign w:val="center"/>
          </w:tcPr>
          <w:p w14:paraId="4B2B368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1.4354</w:t>
            </w:r>
          </w:p>
        </w:tc>
        <w:tc>
          <w:tcPr>
            <w:tcW w:w="558" w:type="pct"/>
            <w:noWrap w:val="0"/>
            <w:vAlign w:val="center"/>
          </w:tcPr>
          <w:p w14:paraId="06F065C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0.1419</w:t>
            </w:r>
          </w:p>
        </w:tc>
        <w:tc>
          <w:tcPr>
            <w:tcW w:w="558" w:type="pct"/>
            <w:noWrap w:val="0"/>
            <w:vAlign w:val="center"/>
          </w:tcPr>
          <w:p w14:paraId="21107F0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0.0284</w:t>
            </w:r>
          </w:p>
        </w:tc>
        <w:tc>
          <w:tcPr>
            <w:tcW w:w="951" w:type="dxa"/>
            <w:noWrap w:val="0"/>
            <w:vAlign w:val="center"/>
          </w:tcPr>
          <w:p w14:paraId="583E9C4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0.5321</w:t>
            </w:r>
          </w:p>
        </w:tc>
        <w:tc>
          <w:tcPr>
            <w:tcW w:w="965" w:type="dxa"/>
            <w:noWrap w:val="0"/>
            <w:vAlign w:val="center"/>
          </w:tcPr>
          <w:p w14:paraId="0ED2C37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0.0266</w:t>
            </w:r>
          </w:p>
        </w:tc>
      </w:tr>
      <w:tr w14:paraId="2120A1B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7DBFB0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1600.0</w:t>
            </w:r>
          </w:p>
        </w:tc>
        <w:tc>
          <w:tcPr>
            <w:tcW w:w="558" w:type="pct"/>
            <w:noWrap w:val="0"/>
            <w:vAlign w:val="center"/>
          </w:tcPr>
          <w:p w14:paraId="23532A2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1.0040</w:t>
            </w:r>
          </w:p>
        </w:tc>
        <w:tc>
          <w:tcPr>
            <w:tcW w:w="558" w:type="pct"/>
            <w:noWrap w:val="0"/>
            <w:vAlign w:val="center"/>
          </w:tcPr>
          <w:p w14:paraId="32BB97B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0.2231</w:t>
            </w:r>
          </w:p>
        </w:tc>
        <w:tc>
          <w:tcPr>
            <w:tcW w:w="558" w:type="pct"/>
            <w:noWrap w:val="0"/>
            <w:vAlign w:val="center"/>
          </w:tcPr>
          <w:p w14:paraId="2267521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3.2812</w:t>
            </w:r>
          </w:p>
        </w:tc>
        <w:tc>
          <w:tcPr>
            <w:tcW w:w="558" w:type="pct"/>
            <w:noWrap w:val="0"/>
            <w:vAlign w:val="center"/>
          </w:tcPr>
          <w:p w14:paraId="6C2CCB9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1.3125</w:t>
            </w:r>
          </w:p>
        </w:tc>
        <w:tc>
          <w:tcPr>
            <w:tcW w:w="558" w:type="pct"/>
            <w:noWrap w:val="0"/>
            <w:vAlign w:val="center"/>
          </w:tcPr>
          <w:p w14:paraId="005D847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0.1298</w:t>
            </w:r>
          </w:p>
        </w:tc>
        <w:tc>
          <w:tcPr>
            <w:tcW w:w="558" w:type="pct"/>
            <w:noWrap w:val="0"/>
            <w:vAlign w:val="center"/>
          </w:tcPr>
          <w:p w14:paraId="5235E4D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0.0260</w:t>
            </w:r>
          </w:p>
        </w:tc>
        <w:tc>
          <w:tcPr>
            <w:tcW w:w="951" w:type="dxa"/>
            <w:noWrap w:val="0"/>
            <w:vAlign w:val="center"/>
          </w:tcPr>
          <w:p w14:paraId="6D613FF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0.4866</w:t>
            </w:r>
          </w:p>
        </w:tc>
        <w:tc>
          <w:tcPr>
            <w:tcW w:w="965" w:type="dxa"/>
            <w:noWrap w:val="0"/>
            <w:vAlign w:val="center"/>
          </w:tcPr>
          <w:p w14:paraId="037E824B">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0.0243</w:t>
            </w:r>
          </w:p>
        </w:tc>
      </w:tr>
      <w:tr w14:paraId="5D2B872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E16742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1800.0</w:t>
            </w:r>
          </w:p>
        </w:tc>
        <w:tc>
          <w:tcPr>
            <w:tcW w:w="558" w:type="pct"/>
            <w:noWrap w:val="0"/>
            <w:vAlign w:val="center"/>
          </w:tcPr>
          <w:p w14:paraId="7587298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0.9175</w:t>
            </w:r>
          </w:p>
        </w:tc>
        <w:tc>
          <w:tcPr>
            <w:tcW w:w="558" w:type="pct"/>
            <w:noWrap w:val="0"/>
            <w:vAlign w:val="center"/>
          </w:tcPr>
          <w:p w14:paraId="5F8E113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0.2039</w:t>
            </w:r>
          </w:p>
        </w:tc>
        <w:tc>
          <w:tcPr>
            <w:tcW w:w="558" w:type="pct"/>
            <w:noWrap w:val="0"/>
            <w:vAlign w:val="center"/>
          </w:tcPr>
          <w:p w14:paraId="66365D9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2.9986</w:t>
            </w:r>
          </w:p>
        </w:tc>
        <w:tc>
          <w:tcPr>
            <w:tcW w:w="558" w:type="pct"/>
            <w:noWrap w:val="0"/>
            <w:vAlign w:val="center"/>
          </w:tcPr>
          <w:p w14:paraId="441487F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1.1994</w:t>
            </w:r>
          </w:p>
        </w:tc>
        <w:tc>
          <w:tcPr>
            <w:tcW w:w="558" w:type="pct"/>
            <w:noWrap w:val="0"/>
            <w:vAlign w:val="center"/>
          </w:tcPr>
          <w:p w14:paraId="44037BB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0.1186</w:t>
            </w:r>
          </w:p>
        </w:tc>
        <w:tc>
          <w:tcPr>
            <w:tcW w:w="558" w:type="pct"/>
            <w:noWrap w:val="0"/>
            <w:vAlign w:val="center"/>
          </w:tcPr>
          <w:p w14:paraId="37A0287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0.0237</w:t>
            </w:r>
          </w:p>
        </w:tc>
        <w:tc>
          <w:tcPr>
            <w:tcW w:w="951" w:type="dxa"/>
            <w:noWrap w:val="0"/>
            <w:vAlign w:val="center"/>
          </w:tcPr>
          <w:p w14:paraId="1465F35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0.4447</w:t>
            </w:r>
          </w:p>
        </w:tc>
        <w:tc>
          <w:tcPr>
            <w:tcW w:w="965" w:type="dxa"/>
            <w:noWrap w:val="0"/>
            <w:vAlign w:val="center"/>
          </w:tcPr>
          <w:p w14:paraId="0AC2ED0B">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0.0222</w:t>
            </w:r>
          </w:p>
        </w:tc>
      </w:tr>
      <w:tr w14:paraId="4EB0372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04DB18D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2000.0</w:t>
            </w:r>
          </w:p>
        </w:tc>
        <w:tc>
          <w:tcPr>
            <w:tcW w:w="558" w:type="pct"/>
            <w:noWrap w:val="0"/>
            <w:vAlign w:val="center"/>
          </w:tcPr>
          <w:p w14:paraId="3CA8A56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0.8428</w:t>
            </w:r>
          </w:p>
        </w:tc>
        <w:tc>
          <w:tcPr>
            <w:tcW w:w="558" w:type="pct"/>
            <w:noWrap w:val="0"/>
            <w:vAlign w:val="center"/>
          </w:tcPr>
          <w:p w14:paraId="684122E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0.1873</w:t>
            </w:r>
          </w:p>
        </w:tc>
        <w:tc>
          <w:tcPr>
            <w:tcW w:w="558" w:type="pct"/>
            <w:noWrap w:val="0"/>
            <w:vAlign w:val="center"/>
          </w:tcPr>
          <w:p w14:paraId="6A7B364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2.7544</w:t>
            </w:r>
          </w:p>
        </w:tc>
        <w:tc>
          <w:tcPr>
            <w:tcW w:w="558" w:type="pct"/>
            <w:noWrap w:val="0"/>
            <w:vAlign w:val="center"/>
          </w:tcPr>
          <w:p w14:paraId="2C5CC67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1.1018</w:t>
            </w:r>
          </w:p>
        </w:tc>
        <w:tc>
          <w:tcPr>
            <w:tcW w:w="558" w:type="pct"/>
            <w:noWrap w:val="0"/>
            <w:vAlign w:val="center"/>
          </w:tcPr>
          <w:p w14:paraId="2B2080D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0.1089</w:t>
            </w:r>
          </w:p>
        </w:tc>
        <w:tc>
          <w:tcPr>
            <w:tcW w:w="558" w:type="pct"/>
            <w:noWrap w:val="0"/>
            <w:vAlign w:val="center"/>
          </w:tcPr>
          <w:p w14:paraId="3D57100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0.0218</w:t>
            </w:r>
          </w:p>
        </w:tc>
        <w:tc>
          <w:tcPr>
            <w:tcW w:w="951" w:type="dxa"/>
            <w:noWrap w:val="0"/>
            <w:vAlign w:val="center"/>
          </w:tcPr>
          <w:p w14:paraId="323E062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0.4085</w:t>
            </w:r>
          </w:p>
        </w:tc>
        <w:tc>
          <w:tcPr>
            <w:tcW w:w="965" w:type="dxa"/>
            <w:noWrap w:val="0"/>
            <w:vAlign w:val="center"/>
          </w:tcPr>
          <w:p w14:paraId="3427046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0.0204</w:t>
            </w:r>
          </w:p>
        </w:tc>
      </w:tr>
      <w:tr w14:paraId="78991E8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CE0298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2500.0</w:t>
            </w:r>
          </w:p>
        </w:tc>
        <w:tc>
          <w:tcPr>
            <w:tcW w:w="558" w:type="pct"/>
            <w:noWrap w:val="0"/>
            <w:vAlign w:val="center"/>
          </w:tcPr>
          <w:p w14:paraId="1C13E66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0.7052</w:t>
            </w:r>
          </w:p>
        </w:tc>
        <w:tc>
          <w:tcPr>
            <w:tcW w:w="558" w:type="pct"/>
            <w:noWrap w:val="0"/>
            <w:vAlign w:val="center"/>
          </w:tcPr>
          <w:p w14:paraId="2F47C09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0.1567</w:t>
            </w:r>
          </w:p>
        </w:tc>
        <w:tc>
          <w:tcPr>
            <w:tcW w:w="558" w:type="pct"/>
            <w:noWrap w:val="0"/>
            <w:vAlign w:val="center"/>
          </w:tcPr>
          <w:p w14:paraId="2C4DBAA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2.3047</w:t>
            </w:r>
          </w:p>
        </w:tc>
        <w:tc>
          <w:tcPr>
            <w:tcW w:w="558" w:type="pct"/>
            <w:noWrap w:val="0"/>
            <w:vAlign w:val="center"/>
          </w:tcPr>
          <w:p w14:paraId="3EAB0BD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0.9219</w:t>
            </w:r>
          </w:p>
        </w:tc>
        <w:tc>
          <w:tcPr>
            <w:tcW w:w="558" w:type="pct"/>
            <w:noWrap w:val="0"/>
            <w:vAlign w:val="center"/>
          </w:tcPr>
          <w:p w14:paraId="34CFFE1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0.0911</w:t>
            </w:r>
          </w:p>
        </w:tc>
        <w:tc>
          <w:tcPr>
            <w:tcW w:w="558" w:type="pct"/>
            <w:noWrap w:val="0"/>
            <w:vAlign w:val="center"/>
          </w:tcPr>
          <w:p w14:paraId="43CF1EC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0.0182</w:t>
            </w:r>
          </w:p>
        </w:tc>
        <w:tc>
          <w:tcPr>
            <w:tcW w:w="951" w:type="dxa"/>
            <w:noWrap w:val="0"/>
            <w:vAlign w:val="center"/>
          </w:tcPr>
          <w:p w14:paraId="0BA94EA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0.3418</w:t>
            </w:r>
          </w:p>
        </w:tc>
        <w:tc>
          <w:tcPr>
            <w:tcW w:w="965" w:type="dxa"/>
            <w:noWrap w:val="0"/>
            <w:vAlign w:val="center"/>
          </w:tcPr>
          <w:p w14:paraId="09A54E0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0.0171</w:t>
            </w:r>
          </w:p>
        </w:tc>
      </w:tr>
      <w:tr w14:paraId="5FD6CCE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690E13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3000.0</w:t>
            </w:r>
          </w:p>
        </w:tc>
        <w:tc>
          <w:tcPr>
            <w:tcW w:w="558" w:type="pct"/>
            <w:noWrap w:val="0"/>
            <w:vAlign w:val="center"/>
          </w:tcPr>
          <w:p w14:paraId="76D9912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0.6111</w:t>
            </w:r>
          </w:p>
        </w:tc>
        <w:tc>
          <w:tcPr>
            <w:tcW w:w="558" w:type="pct"/>
            <w:noWrap w:val="0"/>
            <w:vAlign w:val="center"/>
          </w:tcPr>
          <w:p w14:paraId="7C6A28B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0.1358</w:t>
            </w:r>
          </w:p>
        </w:tc>
        <w:tc>
          <w:tcPr>
            <w:tcW w:w="558" w:type="pct"/>
            <w:noWrap w:val="0"/>
            <w:vAlign w:val="center"/>
          </w:tcPr>
          <w:p w14:paraId="7F23725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1.9971</w:t>
            </w:r>
          </w:p>
        </w:tc>
        <w:tc>
          <w:tcPr>
            <w:tcW w:w="558" w:type="pct"/>
            <w:noWrap w:val="0"/>
            <w:vAlign w:val="center"/>
          </w:tcPr>
          <w:p w14:paraId="3E8E08F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0.7988</w:t>
            </w:r>
          </w:p>
        </w:tc>
        <w:tc>
          <w:tcPr>
            <w:tcW w:w="558" w:type="pct"/>
            <w:noWrap w:val="0"/>
            <w:vAlign w:val="center"/>
          </w:tcPr>
          <w:p w14:paraId="747EB0F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0.0790</w:t>
            </w:r>
          </w:p>
        </w:tc>
        <w:tc>
          <w:tcPr>
            <w:tcW w:w="558" w:type="pct"/>
            <w:noWrap w:val="0"/>
            <w:vAlign w:val="center"/>
          </w:tcPr>
          <w:p w14:paraId="0CE3073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0.0158</w:t>
            </w:r>
          </w:p>
        </w:tc>
        <w:tc>
          <w:tcPr>
            <w:tcW w:w="951" w:type="dxa"/>
            <w:noWrap w:val="0"/>
            <w:vAlign w:val="center"/>
          </w:tcPr>
          <w:p w14:paraId="5D659F2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0.2962</w:t>
            </w:r>
          </w:p>
        </w:tc>
        <w:tc>
          <w:tcPr>
            <w:tcW w:w="965" w:type="dxa"/>
            <w:noWrap w:val="0"/>
            <w:vAlign w:val="center"/>
          </w:tcPr>
          <w:p w14:paraId="6A38785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0.0148</w:t>
            </w:r>
          </w:p>
        </w:tc>
      </w:tr>
      <w:tr w14:paraId="7D23775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19FA7C4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3500.0</w:t>
            </w:r>
          </w:p>
        </w:tc>
        <w:tc>
          <w:tcPr>
            <w:tcW w:w="558" w:type="pct"/>
            <w:noWrap w:val="0"/>
            <w:vAlign w:val="center"/>
          </w:tcPr>
          <w:p w14:paraId="521A158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0.5374</w:t>
            </w:r>
          </w:p>
        </w:tc>
        <w:tc>
          <w:tcPr>
            <w:tcW w:w="558" w:type="pct"/>
            <w:noWrap w:val="0"/>
            <w:vAlign w:val="center"/>
          </w:tcPr>
          <w:p w14:paraId="50AF92D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0.1194</w:t>
            </w:r>
          </w:p>
        </w:tc>
        <w:tc>
          <w:tcPr>
            <w:tcW w:w="558" w:type="pct"/>
            <w:noWrap w:val="0"/>
            <w:vAlign w:val="center"/>
          </w:tcPr>
          <w:p w14:paraId="7B0FF2C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1.7563</w:t>
            </w:r>
          </w:p>
        </w:tc>
        <w:tc>
          <w:tcPr>
            <w:tcW w:w="558" w:type="pct"/>
            <w:noWrap w:val="0"/>
            <w:vAlign w:val="center"/>
          </w:tcPr>
          <w:p w14:paraId="37C2AB8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0.7025</w:t>
            </w:r>
          </w:p>
        </w:tc>
        <w:tc>
          <w:tcPr>
            <w:tcW w:w="558" w:type="pct"/>
            <w:noWrap w:val="0"/>
            <w:vAlign w:val="center"/>
          </w:tcPr>
          <w:p w14:paraId="564475E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0.0695</w:t>
            </w:r>
          </w:p>
        </w:tc>
        <w:tc>
          <w:tcPr>
            <w:tcW w:w="558" w:type="pct"/>
            <w:noWrap w:val="0"/>
            <w:vAlign w:val="center"/>
          </w:tcPr>
          <w:p w14:paraId="3819198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0.0139</w:t>
            </w:r>
          </w:p>
        </w:tc>
        <w:tc>
          <w:tcPr>
            <w:tcW w:w="951" w:type="dxa"/>
            <w:noWrap w:val="0"/>
            <w:vAlign w:val="center"/>
          </w:tcPr>
          <w:p w14:paraId="0F51EE1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0.2605</w:t>
            </w:r>
          </w:p>
        </w:tc>
        <w:tc>
          <w:tcPr>
            <w:tcW w:w="965" w:type="dxa"/>
            <w:noWrap w:val="0"/>
            <w:vAlign w:val="center"/>
          </w:tcPr>
          <w:p w14:paraId="177F5BA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0.0130</w:t>
            </w:r>
          </w:p>
        </w:tc>
      </w:tr>
      <w:tr w14:paraId="0C30C50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7D53B1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4000.0</w:t>
            </w:r>
          </w:p>
        </w:tc>
        <w:tc>
          <w:tcPr>
            <w:tcW w:w="558" w:type="pct"/>
            <w:noWrap w:val="0"/>
            <w:vAlign w:val="center"/>
          </w:tcPr>
          <w:p w14:paraId="1202880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0.4792</w:t>
            </w:r>
          </w:p>
        </w:tc>
        <w:tc>
          <w:tcPr>
            <w:tcW w:w="558" w:type="pct"/>
            <w:noWrap w:val="0"/>
            <w:vAlign w:val="center"/>
          </w:tcPr>
          <w:p w14:paraId="24CE123A">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0.1065</w:t>
            </w:r>
          </w:p>
        </w:tc>
        <w:tc>
          <w:tcPr>
            <w:tcW w:w="558" w:type="pct"/>
            <w:noWrap w:val="0"/>
            <w:vAlign w:val="center"/>
          </w:tcPr>
          <w:p w14:paraId="4E325F9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1.5660</w:t>
            </w:r>
          </w:p>
        </w:tc>
        <w:tc>
          <w:tcPr>
            <w:tcW w:w="558" w:type="pct"/>
            <w:noWrap w:val="0"/>
            <w:vAlign w:val="center"/>
          </w:tcPr>
          <w:p w14:paraId="2B349C9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0.6264</w:t>
            </w:r>
          </w:p>
        </w:tc>
        <w:tc>
          <w:tcPr>
            <w:tcW w:w="558" w:type="pct"/>
            <w:noWrap w:val="0"/>
            <w:vAlign w:val="center"/>
          </w:tcPr>
          <w:p w14:paraId="2342063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0.0619</w:t>
            </w:r>
          </w:p>
        </w:tc>
        <w:tc>
          <w:tcPr>
            <w:tcW w:w="558" w:type="pct"/>
            <w:noWrap w:val="0"/>
            <w:vAlign w:val="center"/>
          </w:tcPr>
          <w:p w14:paraId="278DD6A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0.0124</w:t>
            </w:r>
          </w:p>
        </w:tc>
        <w:tc>
          <w:tcPr>
            <w:tcW w:w="951" w:type="dxa"/>
            <w:noWrap w:val="0"/>
            <w:vAlign w:val="center"/>
          </w:tcPr>
          <w:p w14:paraId="635889D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0.2322</w:t>
            </w:r>
          </w:p>
        </w:tc>
        <w:tc>
          <w:tcPr>
            <w:tcW w:w="965" w:type="dxa"/>
            <w:noWrap w:val="0"/>
            <w:vAlign w:val="center"/>
          </w:tcPr>
          <w:p w14:paraId="340E425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0.0116</w:t>
            </w:r>
          </w:p>
        </w:tc>
      </w:tr>
      <w:tr w14:paraId="1CCB9CA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9AD243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4500.0</w:t>
            </w:r>
          </w:p>
        </w:tc>
        <w:tc>
          <w:tcPr>
            <w:tcW w:w="558" w:type="pct"/>
            <w:noWrap w:val="0"/>
            <w:vAlign w:val="center"/>
          </w:tcPr>
          <w:p w14:paraId="0A4A3AE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0.4315</w:t>
            </w:r>
          </w:p>
        </w:tc>
        <w:tc>
          <w:tcPr>
            <w:tcW w:w="558" w:type="pct"/>
            <w:noWrap w:val="0"/>
            <w:vAlign w:val="center"/>
          </w:tcPr>
          <w:p w14:paraId="3F3B679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0.0959</w:t>
            </w:r>
          </w:p>
        </w:tc>
        <w:tc>
          <w:tcPr>
            <w:tcW w:w="558" w:type="pct"/>
            <w:noWrap w:val="0"/>
            <w:vAlign w:val="center"/>
          </w:tcPr>
          <w:p w14:paraId="73AA84C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1.4102</w:t>
            </w:r>
          </w:p>
        </w:tc>
        <w:tc>
          <w:tcPr>
            <w:tcW w:w="558" w:type="pct"/>
            <w:noWrap w:val="0"/>
            <w:vAlign w:val="center"/>
          </w:tcPr>
          <w:p w14:paraId="56F3D13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0.5641</w:t>
            </w:r>
          </w:p>
        </w:tc>
        <w:tc>
          <w:tcPr>
            <w:tcW w:w="558" w:type="pct"/>
            <w:noWrap w:val="0"/>
            <w:vAlign w:val="center"/>
          </w:tcPr>
          <w:p w14:paraId="5013381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0.0558</w:t>
            </w:r>
          </w:p>
        </w:tc>
        <w:tc>
          <w:tcPr>
            <w:tcW w:w="558" w:type="pct"/>
            <w:noWrap w:val="0"/>
            <w:vAlign w:val="center"/>
          </w:tcPr>
          <w:p w14:paraId="6A60A7A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0.0112</w:t>
            </w:r>
          </w:p>
        </w:tc>
        <w:tc>
          <w:tcPr>
            <w:tcW w:w="951" w:type="dxa"/>
            <w:noWrap w:val="0"/>
            <w:vAlign w:val="center"/>
          </w:tcPr>
          <w:p w14:paraId="216196C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0.2091</w:t>
            </w:r>
          </w:p>
        </w:tc>
        <w:tc>
          <w:tcPr>
            <w:tcW w:w="965" w:type="dxa"/>
            <w:noWrap w:val="0"/>
            <w:vAlign w:val="center"/>
          </w:tcPr>
          <w:p w14:paraId="47F4649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0.0105</w:t>
            </w:r>
          </w:p>
        </w:tc>
      </w:tr>
      <w:tr w14:paraId="1F19366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9929EC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5000.0</w:t>
            </w:r>
          </w:p>
        </w:tc>
        <w:tc>
          <w:tcPr>
            <w:tcW w:w="558" w:type="pct"/>
            <w:noWrap w:val="0"/>
            <w:vAlign w:val="center"/>
          </w:tcPr>
          <w:p w14:paraId="1995963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0.3925</w:t>
            </w:r>
          </w:p>
        </w:tc>
        <w:tc>
          <w:tcPr>
            <w:tcW w:w="558" w:type="pct"/>
            <w:noWrap w:val="0"/>
            <w:vAlign w:val="center"/>
          </w:tcPr>
          <w:p w14:paraId="5240751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0.0872</w:t>
            </w:r>
          </w:p>
        </w:tc>
        <w:tc>
          <w:tcPr>
            <w:tcW w:w="558" w:type="pct"/>
            <w:noWrap w:val="0"/>
            <w:vAlign w:val="center"/>
          </w:tcPr>
          <w:p w14:paraId="37C4947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1.2828</w:t>
            </w:r>
          </w:p>
        </w:tc>
        <w:tc>
          <w:tcPr>
            <w:tcW w:w="558" w:type="pct"/>
            <w:noWrap w:val="0"/>
            <w:vAlign w:val="center"/>
          </w:tcPr>
          <w:p w14:paraId="3A6EFC7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0.5131</w:t>
            </w:r>
          </w:p>
        </w:tc>
        <w:tc>
          <w:tcPr>
            <w:tcW w:w="558" w:type="pct"/>
            <w:noWrap w:val="0"/>
            <w:vAlign w:val="center"/>
          </w:tcPr>
          <w:p w14:paraId="53CE6FD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0.0507</w:t>
            </w:r>
          </w:p>
        </w:tc>
        <w:tc>
          <w:tcPr>
            <w:tcW w:w="558" w:type="pct"/>
            <w:noWrap w:val="0"/>
            <w:vAlign w:val="center"/>
          </w:tcPr>
          <w:p w14:paraId="06AF46B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0.0101</w:t>
            </w:r>
          </w:p>
        </w:tc>
        <w:tc>
          <w:tcPr>
            <w:tcW w:w="951" w:type="dxa"/>
            <w:noWrap w:val="0"/>
            <w:vAlign w:val="center"/>
          </w:tcPr>
          <w:p w14:paraId="26029F6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0.1902</w:t>
            </w:r>
          </w:p>
        </w:tc>
        <w:tc>
          <w:tcPr>
            <w:tcW w:w="965" w:type="dxa"/>
            <w:noWrap w:val="0"/>
            <w:vAlign w:val="center"/>
          </w:tcPr>
          <w:p w14:paraId="26F3F241">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0.0095</w:t>
            </w:r>
          </w:p>
        </w:tc>
      </w:tr>
      <w:tr w14:paraId="6F2EFC0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70A0505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10000.0</w:t>
            </w:r>
          </w:p>
        </w:tc>
        <w:tc>
          <w:tcPr>
            <w:tcW w:w="558" w:type="pct"/>
            <w:noWrap w:val="0"/>
            <w:vAlign w:val="center"/>
          </w:tcPr>
          <w:p w14:paraId="718BDC1B">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0.2014</w:t>
            </w:r>
          </w:p>
        </w:tc>
        <w:tc>
          <w:tcPr>
            <w:tcW w:w="558" w:type="pct"/>
            <w:noWrap w:val="0"/>
            <w:vAlign w:val="center"/>
          </w:tcPr>
          <w:p w14:paraId="2F00C78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0.0448</w:t>
            </w:r>
          </w:p>
        </w:tc>
        <w:tc>
          <w:tcPr>
            <w:tcW w:w="558" w:type="pct"/>
            <w:noWrap w:val="0"/>
            <w:vAlign w:val="center"/>
          </w:tcPr>
          <w:p w14:paraId="6774718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0.6582</w:t>
            </w:r>
          </w:p>
        </w:tc>
        <w:tc>
          <w:tcPr>
            <w:tcW w:w="558" w:type="pct"/>
            <w:noWrap w:val="0"/>
            <w:vAlign w:val="center"/>
          </w:tcPr>
          <w:p w14:paraId="1C299A9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0.2633</w:t>
            </w:r>
          </w:p>
        </w:tc>
        <w:tc>
          <w:tcPr>
            <w:tcW w:w="558" w:type="pct"/>
            <w:noWrap w:val="0"/>
            <w:vAlign w:val="center"/>
          </w:tcPr>
          <w:p w14:paraId="69211BC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0.0260</w:t>
            </w:r>
          </w:p>
        </w:tc>
        <w:tc>
          <w:tcPr>
            <w:tcW w:w="558" w:type="pct"/>
            <w:noWrap w:val="0"/>
            <w:vAlign w:val="center"/>
          </w:tcPr>
          <w:p w14:paraId="5EC0B05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0.0052</w:t>
            </w:r>
          </w:p>
        </w:tc>
        <w:tc>
          <w:tcPr>
            <w:tcW w:w="951" w:type="dxa"/>
            <w:noWrap w:val="0"/>
            <w:vAlign w:val="center"/>
          </w:tcPr>
          <w:p w14:paraId="07BCA93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0.0976</w:t>
            </w:r>
          </w:p>
        </w:tc>
        <w:tc>
          <w:tcPr>
            <w:tcW w:w="965" w:type="dxa"/>
            <w:noWrap w:val="0"/>
            <w:vAlign w:val="center"/>
          </w:tcPr>
          <w:p w14:paraId="114F88B2">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0.0049</w:t>
            </w:r>
          </w:p>
        </w:tc>
      </w:tr>
      <w:tr w14:paraId="06C01AD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094C74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11000.0</w:t>
            </w:r>
          </w:p>
        </w:tc>
        <w:tc>
          <w:tcPr>
            <w:tcW w:w="558" w:type="pct"/>
            <w:noWrap w:val="0"/>
            <w:vAlign w:val="center"/>
          </w:tcPr>
          <w:p w14:paraId="451B366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0.1831</w:t>
            </w:r>
          </w:p>
        </w:tc>
        <w:tc>
          <w:tcPr>
            <w:tcW w:w="558" w:type="pct"/>
            <w:noWrap w:val="0"/>
            <w:vAlign w:val="center"/>
          </w:tcPr>
          <w:p w14:paraId="07F394E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0.0407</w:t>
            </w:r>
          </w:p>
        </w:tc>
        <w:tc>
          <w:tcPr>
            <w:tcW w:w="558" w:type="pct"/>
            <w:noWrap w:val="0"/>
            <w:vAlign w:val="center"/>
          </w:tcPr>
          <w:p w14:paraId="2039A40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0.5983</w:t>
            </w:r>
          </w:p>
        </w:tc>
        <w:tc>
          <w:tcPr>
            <w:tcW w:w="558" w:type="pct"/>
            <w:noWrap w:val="0"/>
            <w:vAlign w:val="center"/>
          </w:tcPr>
          <w:p w14:paraId="7CD3B6C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0.2393</w:t>
            </w:r>
          </w:p>
        </w:tc>
        <w:tc>
          <w:tcPr>
            <w:tcW w:w="558" w:type="pct"/>
            <w:noWrap w:val="0"/>
            <w:vAlign w:val="center"/>
          </w:tcPr>
          <w:p w14:paraId="323E496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0.0237</w:t>
            </w:r>
          </w:p>
        </w:tc>
        <w:tc>
          <w:tcPr>
            <w:tcW w:w="558" w:type="pct"/>
            <w:noWrap w:val="0"/>
            <w:vAlign w:val="center"/>
          </w:tcPr>
          <w:p w14:paraId="49513A8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0.0047</w:t>
            </w:r>
          </w:p>
        </w:tc>
        <w:tc>
          <w:tcPr>
            <w:tcW w:w="951" w:type="dxa"/>
            <w:noWrap w:val="0"/>
            <w:vAlign w:val="center"/>
          </w:tcPr>
          <w:p w14:paraId="3AC1073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0.0887</w:t>
            </w:r>
          </w:p>
        </w:tc>
        <w:tc>
          <w:tcPr>
            <w:tcW w:w="965" w:type="dxa"/>
            <w:noWrap w:val="0"/>
            <w:vAlign w:val="center"/>
          </w:tcPr>
          <w:p w14:paraId="76FA770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0.0044</w:t>
            </w:r>
          </w:p>
        </w:tc>
      </w:tr>
      <w:tr w14:paraId="7817925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CED924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12000.0</w:t>
            </w:r>
          </w:p>
        </w:tc>
        <w:tc>
          <w:tcPr>
            <w:tcW w:w="558" w:type="pct"/>
            <w:noWrap w:val="0"/>
            <w:vAlign w:val="center"/>
          </w:tcPr>
          <w:p w14:paraId="6815311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0.1673</w:t>
            </w:r>
          </w:p>
        </w:tc>
        <w:tc>
          <w:tcPr>
            <w:tcW w:w="558" w:type="pct"/>
            <w:noWrap w:val="0"/>
            <w:vAlign w:val="center"/>
          </w:tcPr>
          <w:p w14:paraId="11D3895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0.0372</w:t>
            </w:r>
          </w:p>
        </w:tc>
        <w:tc>
          <w:tcPr>
            <w:tcW w:w="558" w:type="pct"/>
            <w:noWrap w:val="0"/>
            <w:vAlign w:val="center"/>
          </w:tcPr>
          <w:p w14:paraId="5B4A7F0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0.5467</w:t>
            </w:r>
          </w:p>
        </w:tc>
        <w:tc>
          <w:tcPr>
            <w:tcW w:w="558" w:type="pct"/>
            <w:noWrap w:val="0"/>
            <w:vAlign w:val="center"/>
          </w:tcPr>
          <w:p w14:paraId="370DFB0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0.2187</w:t>
            </w:r>
          </w:p>
        </w:tc>
        <w:tc>
          <w:tcPr>
            <w:tcW w:w="558" w:type="pct"/>
            <w:noWrap w:val="0"/>
            <w:vAlign w:val="center"/>
          </w:tcPr>
          <w:p w14:paraId="4D3E7EB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0.0216</w:t>
            </w:r>
          </w:p>
        </w:tc>
        <w:tc>
          <w:tcPr>
            <w:tcW w:w="558" w:type="pct"/>
            <w:noWrap w:val="0"/>
            <w:vAlign w:val="center"/>
          </w:tcPr>
          <w:p w14:paraId="603CA7F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0.0043</w:t>
            </w:r>
          </w:p>
        </w:tc>
        <w:tc>
          <w:tcPr>
            <w:tcW w:w="951" w:type="dxa"/>
            <w:noWrap w:val="0"/>
            <w:vAlign w:val="center"/>
          </w:tcPr>
          <w:p w14:paraId="35FB1D4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0.0811</w:t>
            </w:r>
          </w:p>
        </w:tc>
        <w:tc>
          <w:tcPr>
            <w:tcW w:w="965" w:type="dxa"/>
            <w:noWrap w:val="0"/>
            <w:vAlign w:val="center"/>
          </w:tcPr>
          <w:p w14:paraId="1BA0A94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0.0041</w:t>
            </w:r>
          </w:p>
        </w:tc>
      </w:tr>
      <w:tr w14:paraId="332EE54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67A2EF3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13000.0</w:t>
            </w:r>
          </w:p>
        </w:tc>
        <w:tc>
          <w:tcPr>
            <w:tcW w:w="558" w:type="pct"/>
            <w:noWrap w:val="0"/>
            <w:vAlign w:val="center"/>
          </w:tcPr>
          <w:p w14:paraId="3AA2A8B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0.1487</w:t>
            </w:r>
          </w:p>
        </w:tc>
        <w:tc>
          <w:tcPr>
            <w:tcW w:w="558" w:type="pct"/>
            <w:noWrap w:val="0"/>
            <w:vAlign w:val="center"/>
          </w:tcPr>
          <w:p w14:paraId="0C1FFAA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0.0330</w:t>
            </w:r>
          </w:p>
        </w:tc>
        <w:tc>
          <w:tcPr>
            <w:tcW w:w="558" w:type="pct"/>
            <w:noWrap w:val="0"/>
            <w:vAlign w:val="center"/>
          </w:tcPr>
          <w:p w14:paraId="57ECDE5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0.4860</w:t>
            </w:r>
          </w:p>
        </w:tc>
        <w:tc>
          <w:tcPr>
            <w:tcW w:w="558" w:type="pct"/>
            <w:noWrap w:val="0"/>
            <w:vAlign w:val="center"/>
          </w:tcPr>
          <w:p w14:paraId="434200B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0.1944</w:t>
            </w:r>
          </w:p>
        </w:tc>
        <w:tc>
          <w:tcPr>
            <w:tcW w:w="558" w:type="pct"/>
            <w:noWrap w:val="0"/>
            <w:vAlign w:val="center"/>
          </w:tcPr>
          <w:p w14:paraId="558E0D0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0.0192</w:t>
            </w:r>
          </w:p>
        </w:tc>
        <w:tc>
          <w:tcPr>
            <w:tcW w:w="558" w:type="pct"/>
            <w:noWrap w:val="0"/>
            <w:vAlign w:val="center"/>
          </w:tcPr>
          <w:p w14:paraId="3A3DF59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0.0038</w:t>
            </w:r>
          </w:p>
        </w:tc>
        <w:tc>
          <w:tcPr>
            <w:tcW w:w="951" w:type="dxa"/>
            <w:noWrap w:val="0"/>
            <w:vAlign w:val="center"/>
          </w:tcPr>
          <w:p w14:paraId="3079C7C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0.0721</w:t>
            </w:r>
          </w:p>
        </w:tc>
        <w:tc>
          <w:tcPr>
            <w:tcW w:w="965" w:type="dxa"/>
            <w:noWrap w:val="0"/>
            <w:vAlign w:val="center"/>
          </w:tcPr>
          <w:p w14:paraId="1F6441E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0.0036</w:t>
            </w:r>
          </w:p>
        </w:tc>
      </w:tr>
      <w:tr w14:paraId="4B3B385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458E2C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14000.0</w:t>
            </w:r>
          </w:p>
        </w:tc>
        <w:tc>
          <w:tcPr>
            <w:tcW w:w="558" w:type="pct"/>
            <w:noWrap w:val="0"/>
            <w:vAlign w:val="center"/>
          </w:tcPr>
          <w:p w14:paraId="0C32CDB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0.1370</w:t>
            </w:r>
          </w:p>
        </w:tc>
        <w:tc>
          <w:tcPr>
            <w:tcW w:w="558" w:type="pct"/>
            <w:noWrap w:val="0"/>
            <w:vAlign w:val="center"/>
          </w:tcPr>
          <w:p w14:paraId="286A9F7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0.0304</w:t>
            </w:r>
          </w:p>
        </w:tc>
        <w:tc>
          <w:tcPr>
            <w:tcW w:w="558" w:type="pct"/>
            <w:noWrap w:val="0"/>
            <w:vAlign w:val="center"/>
          </w:tcPr>
          <w:p w14:paraId="4E44731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0.4477</w:t>
            </w:r>
          </w:p>
        </w:tc>
        <w:tc>
          <w:tcPr>
            <w:tcW w:w="558" w:type="pct"/>
            <w:noWrap w:val="0"/>
            <w:vAlign w:val="center"/>
          </w:tcPr>
          <w:p w14:paraId="433AF46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0.1791</w:t>
            </w:r>
          </w:p>
        </w:tc>
        <w:tc>
          <w:tcPr>
            <w:tcW w:w="558" w:type="pct"/>
            <w:noWrap w:val="0"/>
            <w:vAlign w:val="center"/>
          </w:tcPr>
          <w:p w14:paraId="23EF6C3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0.0177</w:t>
            </w:r>
          </w:p>
        </w:tc>
        <w:tc>
          <w:tcPr>
            <w:tcW w:w="558" w:type="pct"/>
            <w:noWrap w:val="0"/>
            <w:vAlign w:val="center"/>
          </w:tcPr>
          <w:p w14:paraId="39E0C0F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0.0035</w:t>
            </w:r>
          </w:p>
        </w:tc>
        <w:tc>
          <w:tcPr>
            <w:tcW w:w="951" w:type="dxa"/>
            <w:noWrap w:val="0"/>
            <w:vAlign w:val="center"/>
          </w:tcPr>
          <w:p w14:paraId="22F66A15">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0.0664</w:t>
            </w:r>
          </w:p>
        </w:tc>
        <w:tc>
          <w:tcPr>
            <w:tcW w:w="965" w:type="dxa"/>
            <w:noWrap w:val="0"/>
            <w:vAlign w:val="center"/>
          </w:tcPr>
          <w:p w14:paraId="7785A686">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0.0033</w:t>
            </w:r>
          </w:p>
        </w:tc>
      </w:tr>
      <w:tr w14:paraId="39F024F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4A73D3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15000.0</w:t>
            </w:r>
          </w:p>
        </w:tc>
        <w:tc>
          <w:tcPr>
            <w:tcW w:w="558" w:type="pct"/>
            <w:noWrap w:val="0"/>
            <w:vAlign w:val="center"/>
          </w:tcPr>
          <w:p w14:paraId="59F91CE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0.1295</w:t>
            </w:r>
          </w:p>
        </w:tc>
        <w:tc>
          <w:tcPr>
            <w:tcW w:w="558" w:type="pct"/>
            <w:noWrap w:val="0"/>
            <w:vAlign w:val="center"/>
          </w:tcPr>
          <w:p w14:paraId="65A13E19">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0.0288</w:t>
            </w:r>
          </w:p>
        </w:tc>
        <w:tc>
          <w:tcPr>
            <w:tcW w:w="558" w:type="pct"/>
            <w:noWrap w:val="0"/>
            <w:vAlign w:val="center"/>
          </w:tcPr>
          <w:p w14:paraId="7D9BE6B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0.4231</w:t>
            </w:r>
          </w:p>
        </w:tc>
        <w:tc>
          <w:tcPr>
            <w:tcW w:w="558" w:type="pct"/>
            <w:noWrap w:val="0"/>
            <w:vAlign w:val="center"/>
          </w:tcPr>
          <w:p w14:paraId="078ABF5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0.1692</w:t>
            </w:r>
          </w:p>
        </w:tc>
        <w:tc>
          <w:tcPr>
            <w:tcW w:w="558" w:type="pct"/>
            <w:noWrap w:val="0"/>
            <w:vAlign w:val="center"/>
          </w:tcPr>
          <w:p w14:paraId="72540A5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0.0167</w:t>
            </w:r>
          </w:p>
        </w:tc>
        <w:tc>
          <w:tcPr>
            <w:tcW w:w="558" w:type="pct"/>
            <w:noWrap w:val="0"/>
            <w:vAlign w:val="center"/>
          </w:tcPr>
          <w:p w14:paraId="3B477291">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0.0033</w:t>
            </w:r>
          </w:p>
        </w:tc>
        <w:tc>
          <w:tcPr>
            <w:tcW w:w="951" w:type="dxa"/>
            <w:noWrap w:val="0"/>
            <w:vAlign w:val="center"/>
          </w:tcPr>
          <w:p w14:paraId="50FEDCA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0.0627</w:t>
            </w:r>
          </w:p>
        </w:tc>
        <w:tc>
          <w:tcPr>
            <w:tcW w:w="965" w:type="dxa"/>
            <w:noWrap w:val="0"/>
            <w:vAlign w:val="center"/>
          </w:tcPr>
          <w:p w14:paraId="4BE51EC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0.0031</w:t>
            </w:r>
          </w:p>
        </w:tc>
      </w:tr>
      <w:tr w14:paraId="6D55311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589BDB34">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20000.0</w:t>
            </w:r>
          </w:p>
        </w:tc>
        <w:tc>
          <w:tcPr>
            <w:tcW w:w="558" w:type="pct"/>
            <w:noWrap w:val="0"/>
            <w:vAlign w:val="center"/>
          </w:tcPr>
          <w:p w14:paraId="46C630C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0.0954</w:t>
            </w:r>
          </w:p>
        </w:tc>
        <w:tc>
          <w:tcPr>
            <w:tcW w:w="558" w:type="pct"/>
            <w:noWrap w:val="0"/>
            <w:vAlign w:val="center"/>
          </w:tcPr>
          <w:p w14:paraId="6021E8A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0.0212</w:t>
            </w:r>
          </w:p>
        </w:tc>
        <w:tc>
          <w:tcPr>
            <w:tcW w:w="558" w:type="pct"/>
            <w:noWrap w:val="0"/>
            <w:vAlign w:val="center"/>
          </w:tcPr>
          <w:p w14:paraId="1AFF2C0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0.3118</w:t>
            </w:r>
          </w:p>
        </w:tc>
        <w:tc>
          <w:tcPr>
            <w:tcW w:w="558" w:type="pct"/>
            <w:noWrap w:val="0"/>
            <w:vAlign w:val="center"/>
          </w:tcPr>
          <w:p w14:paraId="5BDB9CB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0.1247</w:t>
            </w:r>
          </w:p>
        </w:tc>
        <w:tc>
          <w:tcPr>
            <w:tcW w:w="558" w:type="pct"/>
            <w:noWrap w:val="0"/>
            <w:vAlign w:val="center"/>
          </w:tcPr>
          <w:p w14:paraId="04362F4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0.0123</w:t>
            </w:r>
          </w:p>
        </w:tc>
        <w:tc>
          <w:tcPr>
            <w:tcW w:w="558" w:type="pct"/>
            <w:noWrap w:val="0"/>
            <w:vAlign w:val="center"/>
          </w:tcPr>
          <w:p w14:paraId="587F000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0.0025</w:t>
            </w:r>
          </w:p>
        </w:tc>
        <w:tc>
          <w:tcPr>
            <w:tcW w:w="951" w:type="dxa"/>
            <w:noWrap w:val="0"/>
            <w:vAlign w:val="center"/>
          </w:tcPr>
          <w:p w14:paraId="1E4CC7BE">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0.0462</w:t>
            </w:r>
          </w:p>
        </w:tc>
        <w:tc>
          <w:tcPr>
            <w:tcW w:w="965" w:type="dxa"/>
            <w:noWrap w:val="0"/>
            <w:vAlign w:val="center"/>
          </w:tcPr>
          <w:p w14:paraId="6A3F2D9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0.0023</w:t>
            </w:r>
          </w:p>
        </w:tc>
      </w:tr>
      <w:tr w14:paraId="794325E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242864C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25000.0</w:t>
            </w:r>
          </w:p>
        </w:tc>
        <w:tc>
          <w:tcPr>
            <w:tcW w:w="558" w:type="pct"/>
            <w:noWrap w:val="0"/>
            <w:vAlign w:val="center"/>
          </w:tcPr>
          <w:p w14:paraId="690908A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0.0746</w:t>
            </w:r>
          </w:p>
        </w:tc>
        <w:tc>
          <w:tcPr>
            <w:tcW w:w="558" w:type="pct"/>
            <w:noWrap w:val="0"/>
            <w:vAlign w:val="center"/>
          </w:tcPr>
          <w:p w14:paraId="48185C8F">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0.0166</w:t>
            </w:r>
          </w:p>
        </w:tc>
        <w:tc>
          <w:tcPr>
            <w:tcW w:w="558" w:type="pct"/>
            <w:noWrap w:val="0"/>
            <w:vAlign w:val="center"/>
          </w:tcPr>
          <w:p w14:paraId="3358F0B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0.2438</w:t>
            </w:r>
          </w:p>
        </w:tc>
        <w:tc>
          <w:tcPr>
            <w:tcW w:w="558" w:type="pct"/>
            <w:noWrap w:val="0"/>
            <w:vAlign w:val="center"/>
          </w:tcPr>
          <w:p w14:paraId="3100448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0.0975</w:t>
            </w:r>
          </w:p>
        </w:tc>
        <w:tc>
          <w:tcPr>
            <w:tcW w:w="558" w:type="pct"/>
            <w:noWrap w:val="0"/>
            <w:vAlign w:val="center"/>
          </w:tcPr>
          <w:p w14:paraId="32AC4EB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0.0096</w:t>
            </w:r>
          </w:p>
        </w:tc>
        <w:tc>
          <w:tcPr>
            <w:tcW w:w="558" w:type="pct"/>
            <w:noWrap w:val="0"/>
            <w:vAlign w:val="center"/>
          </w:tcPr>
          <w:p w14:paraId="25A8D8B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0.0019</w:t>
            </w:r>
          </w:p>
        </w:tc>
        <w:tc>
          <w:tcPr>
            <w:tcW w:w="951" w:type="dxa"/>
            <w:noWrap w:val="0"/>
            <w:vAlign w:val="center"/>
          </w:tcPr>
          <w:p w14:paraId="0BF963A9">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0.0362</w:t>
            </w:r>
          </w:p>
        </w:tc>
        <w:tc>
          <w:tcPr>
            <w:tcW w:w="965" w:type="dxa"/>
            <w:noWrap w:val="0"/>
            <w:vAlign w:val="center"/>
          </w:tcPr>
          <w:p w14:paraId="03F5EC6D">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0.0018</w:t>
            </w:r>
          </w:p>
        </w:tc>
      </w:tr>
      <w:tr w14:paraId="7F6B60B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618" w:hRule="exact"/>
        </w:trPr>
        <w:tc>
          <w:tcPr>
            <w:tcW w:w="527" w:type="pct"/>
            <w:noWrap w:val="0"/>
            <w:vAlign w:val="center"/>
          </w:tcPr>
          <w:p w14:paraId="0BABC07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下风向最大浓度</w:t>
            </w:r>
          </w:p>
        </w:tc>
        <w:tc>
          <w:tcPr>
            <w:tcW w:w="558" w:type="pct"/>
            <w:noWrap w:val="0"/>
            <w:vAlign w:val="center"/>
          </w:tcPr>
          <w:p w14:paraId="3077584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2.0152</w:t>
            </w:r>
          </w:p>
        </w:tc>
        <w:tc>
          <w:tcPr>
            <w:tcW w:w="558" w:type="pct"/>
            <w:noWrap w:val="0"/>
            <w:vAlign w:val="center"/>
          </w:tcPr>
          <w:p w14:paraId="5631A25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0.4478</w:t>
            </w:r>
          </w:p>
        </w:tc>
        <w:tc>
          <w:tcPr>
            <w:tcW w:w="558" w:type="pct"/>
            <w:noWrap w:val="0"/>
            <w:vAlign w:val="center"/>
          </w:tcPr>
          <w:p w14:paraId="13C5034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6.5860</w:t>
            </w:r>
          </w:p>
        </w:tc>
        <w:tc>
          <w:tcPr>
            <w:tcW w:w="558" w:type="pct"/>
            <w:noWrap w:val="0"/>
            <w:vAlign w:val="center"/>
          </w:tcPr>
          <w:p w14:paraId="70F803F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2.6344</w:t>
            </w:r>
          </w:p>
        </w:tc>
        <w:tc>
          <w:tcPr>
            <w:tcW w:w="558" w:type="pct"/>
            <w:noWrap w:val="0"/>
            <w:vAlign w:val="center"/>
          </w:tcPr>
          <w:p w14:paraId="03C08163">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0.2604</w:t>
            </w:r>
          </w:p>
        </w:tc>
        <w:tc>
          <w:tcPr>
            <w:tcW w:w="558" w:type="pct"/>
            <w:noWrap w:val="0"/>
            <w:vAlign w:val="center"/>
          </w:tcPr>
          <w:p w14:paraId="1C49293C">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0.0521</w:t>
            </w:r>
          </w:p>
        </w:tc>
        <w:tc>
          <w:tcPr>
            <w:tcW w:w="951" w:type="dxa"/>
            <w:noWrap w:val="0"/>
            <w:vAlign w:val="center"/>
          </w:tcPr>
          <w:p w14:paraId="37C99EE4">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0.9767</w:t>
            </w:r>
          </w:p>
        </w:tc>
        <w:tc>
          <w:tcPr>
            <w:tcW w:w="965" w:type="dxa"/>
            <w:noWrap w:val="0"/>
            <w:vAlign w:val="center"/>
          </w:tcPr>
          <w:p w14:paraId="3EC97597">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0.0488</w:t>
            </w:r>
          </w:p>
        </w:tc>
      </w:tr>
      <w:tr w14:paraId="251170F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44D7911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下风向最大浓度出现距离</w:t>
            </w:r>
          </w:p>
        </w:tc>
        <w:tc>
          <w:tcPr>
            <w:tcW w:w="558" w:type="pct"/>
            <w:noWrap w:val="0"/>
            <w:vAlign w:val="center"/>
          </w:tcPr>
          <w:p w14:paraId="0A581F7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6C0DCFD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16B29AF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19A61615">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72F73372">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558" w:type="pct"/>
            <w:noWrap w:val="0"/>
            <w:vAlign w:val="center"/>
          </w:tcPr>
          <w:p w14:paraId="3B96251D">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951" w:type="dxa"/>
            <w:noWrap w:val="0"/>
            <w:vAlign w:val="center"/>
          </w:tcPr>
          <w:p w14:paraId="2E64C57A">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225.0</w:t>
            </w:r>
          </w:p>
        </w:tc>
        <w:tc>
          <w:tcPr>
            <w:tcW w:w="965" w:type="dxa"/>
            <w:noWrap w:val="0"/>
            <w:vAlign w:val="center"/>
          </w:tcPr>
          <w:p w14:paraId="3D449D68">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225.0</w:t>
            </w:r>
          </w:p>
        </w:tc>
      </w:tr>
      <w:tr w14:paraId="0ED19EC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527" w:type="pct"/>
            <w:noWrap w:val="0"/>
            <w:vAlign w:val="center"/>
          </w:tcPr>
          <w:p w14:paraId="3D311FA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D10%最远距离</w:t>
            </w:r>
          </w:p>
        </w:tc>
        <w:tc>
          <w:tcPr>
            <w:tcW w:w="558" w:type="pct"/>
            <w:noWrap w:val="0"/>
            <w:vAlign w:val="center"/>
          </w:tcPr>
          <w:p w14:paraId="1CD4009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447F13B7">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0639C360">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18233DB8">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2AB1A5CE">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558" w:type="pct"/>
            <w:noWrap w:val="0"/>
            <w:vAlign w:val="center"/>
          </w:tcPr>
          <w:p w14:paraId="44790DC6">
            <w:pPr>
              <w:jc w:val="center"/>
              <w:rPr>
                <w:rFonts w:hint="default" w:ascii="Times New Roman" w:hAnsi="Times New Roman" w:cs="Times New Roman"/>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951" w:type="dxa"/>
            <w:noWrap w:val="0"/>
            <w:vAlign w:val="center"/>
          </w:tcPr>
          <w:p w14:paraId="1241F87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w:t>
            </w:r>
          </w:p>
        </w:tc>
        <w:tc>
          <w:tcPr>
            <w:tcW w:w="965" w:type="dxa"/>
            <w:noWrap w:val="0"/>
            <w:vAlign w:val="center"/>
          </w:tcPr>
          <w:p w14:paraId="379A318F">
            <w:pPr>
              <w:jc w:val="center"/>
              <w:rPr>
                <w:rFonts w:hint="default" w:ascii="Times New Roman" w:hAnsi="Times New Roman" w:eastAsia="宋体" w:cs="Times New Roman"/>
                <w:b w:val="0"/>
                <w:color w:val="auto"/>
                <w:sz w:val="18"/>
                <w:szCs w:val="18"/>
                <w:highlight w:val="none"/>
              </w:rPr>
            </w:pPr>
            <w:r>
              <w:rPr>
                <w:rFonts w:hint="default" w:ascii="Times New Roman" w:hAnsi="Times New Roman" w:eastAsia="宋体" w:cs="Times New Roman"/>
                <w:b w:val="0"/>
                <w:color w:val="auto"/>
                <w:sz w:val="18"/>
                <w:szCs w:val="18"/>
                <w:highlight w:val="none"/>
              </w:rPr>
              <w:t>/</w:t>
            </w:r>
          </w:p>
        </w:tc>
      </w:tr>
    </w:tbl>
    <w:p w14:paraId="47B15975">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B．无组织排放预测结果</w:t>
      </w:r>
    </w:p>
    <w:p w14:paraId="7C42468B">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highlight w:val="none"/>
        </w:rPr>
        <w:t>本项目运营期厂区无组织废气总排放情况预测结果分析见下表</w:t>
      </w:r>
      <w:r>
        <w:rPr>
          <w:rFonts w:hint="eastAsia" w:ascii="Times New Roman" w:hAnsi="Times New Roman" w:eastAsia="宋体" w:cs="Times New Roman"/>
          <w:color w:val="auto"/>
          <w:sz w:val="24"/>
          <w:szCs w:val="24"/>
          <w:highlight w:val="none"/>
          <w:lang w:eastAsia="zh-CN"/>
        </w:rPr>
        <w:t>。</w:t>
      </w:r>
    </w:p>
    <w:p w14:paraId="3C039FD0">
      <w:pPr>
        <w:widowControl/>
        <w:wordWrap w:val="0"/>
        <w:bidi w:val="0"/>
        <w:spacing w:line="240" w:lineRule="auto"/>
        <w:ind w:firstLine="0" w:firstLineChars="0"/>
        <w:jc w:val="center"/>
        <w:rPr>
          <w:rFonts w:ascii="Times New Roman" w:hAnsi="Times New Roman" w:eastAsia="宋体" w:cs="Times New Roman"/>
          <w:b/>
          <w:bCs/>
          <w:color w:val="auto"/>
          <w:kern w:val="2"/>
          <w:sz w:val="24"/>
          <w:szCs w:val="21"/>
          <w:highlight w:val="none"/>
          <w:lang w:val="en-US" w:eastAsia="zh-CN" w:bidi="ar-SA"/>
        </w:rPr>
      </w:pPr>
      <w:r>
        <w:rPr>
          <w:rFonts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w:t>
      </w:r>
      <w:r>
        <w:rPr>
          <w:rFonts w:ascii="Times New Roman" w:hAnsi="Times New Roman" w:eastAsia="宋体" w:cs="Times New Roman"/>
          <w:b/>
          <w:bCs/>
          <w:color w:val="auto"/>
          <w:kern w:val="2"/>
          <w:sz w:val="24"/>
          <w:szCs w:val="21"/>
          <w:highlight w:val="none"/>
          <w:lang w:val="en-US" w:eastAsia="zh-CN" w:bidi="ar-SA"/>
        </w:rPr>
        <w:t>-</w:t>
      </w:r>
      <w:r>
        <w:rPr>
          <w:rFonts w:hint="eastAsia" w:ascii="Times New Roman" w:hAnsi="Times New Roman" w:eastAsia="宋体" w:cs="Times New Roman"/>
          <w:b/>
          <w:bCs/>
          <w:color w:val="auto"/>
          <w:kern w:val="2"/>
          <w:sz w:val="24"/>
          <w:szCs w:val="21"/>
          <w:highlight w:val="none"/>
          <w:lang w:val="en-US" w:eastAsia="zh-CN" w:bidi="ar-SA"/>
        </w:rPr>
        <w:t>1</w:t>
      </w:r>
      <w:r>
        <w:rPr>
          <w:rFonts w:hint="eastAsia" w:cs="Times New Roman"/>
          <w:b/>
          <w:bCs/>
          <w:color w:val="auto"/>
          <w:kern w:val="2"/>
          <w:sz w:val="24"/>
          <w:szCs w:val="21"/>
          <w:highlight w:val="none"/>
          <w:lang w:val="en-US" w:eastAsia="zh-CN" w:bidi="ar-SA"/>
        </w:rPr>
        <w:t>5</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ascii="Times New Roman" w:hAnsi="Times New Roman" w:eastAsia="宋体" w:cs="Times New Roman"/>
          <w:b/>
          <w:bCs/>
          <w:color w:val="auto"/>
          <w:kern w:val="2"/>
          <w:sz w:val="24"/>
          <w:szCs w:val="21"/>
          <w:highlight w:val="none"/>
          <w:lang w:val="en-US" w:eastAsia="zh-CN" w:bidi="ar-SA"/>
        </w:rPr>
        <w:t>本项目运营期正常工况无组织废气预测结果一览表</w:t>
      </w:r>
    </w:p>
    <w:tbl>
      <w:tblPr>
        <w:tblStyle w:val="49"/>
        <w:tblW w:w="8527"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1809"/>
        <w:gridCol w:w="4092"/>
        <w:gridCol w:w="2626"/>
      </w:tblGrid>
      <w:tr w14:paraId="2C259D0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vMerge w:val="restart"/>
            <w:noWrap w:val="0"/>
            <w:vAlign w:val="center"/>
          </w:tcPr>
          <w:p w14:paraId="624A95F3">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下风向距离</w:t>
            </w:r>
          </w:p>
        </w:tc>
        <w:tc>
          <w:tcPr>
            <w:tcW w:w="6718" w:type="dxa"/>
            <w:gridSpan w:val="2"/>
            <w:noWrap w:val="0"/>
            <w:vAlign w:val="center"/>
          </w:tcPr>
          <w:p w14:paraId="7160B189">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矩形面源</w:t>
            </w:r>
          </w:p>
        </w:tc>
      </w:tr>
      <w:tr w14:paraId="6EEDC5D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vMerge w:val="continue"/>
            <w:noWrap w:val="0"/>
            <w:vAlign w:val="center"/>
          </w:tcPr>
          <w:p w14:paraId="38CC665A">
            <w:pPr>
              <w:jc w:val="center"/>
              <w:rPr>
                <w:rFonts w:hint="default" w:ascii="Times New Roman" w:hAnsi="Times New Roman" w:cs="Times New Roman"/>
                <w:color w:val="auto"/>
                <w:sz w:val="21"/>
                <w:szCs w:val="21"/>
                <w:highlight w:val="none"/>
              </w:rPr>
            </w:pPr>
          </w:p>
        </w:tc>
        <w:tc>
          <w:tcPr>
            <w:tcW w:w="4092" w:type="dxa"/>
            <w:noWrap w:val="0"/>
            <w:vAlign w:val="center"/>
          </w:tcPr>
          <w:p w14:paraId="7EA3007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NMHC浓度(μg/m³)</w:t>
            </w:r>
          </w:p>
        </w:tc>
        <w:tc>
          <w:tcPr>
            <w:tcW w:w="2626" w:type="dxa"/>
            <w:noWrap w:val="0"/>
            <w:vAlign w:val="center"/>
          </w:tcPr>
          <w:p w14:paraId="515CB7B3">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NMHC占标率(%)</w:t>
            </w:r>
          </w:p>
        </w:tc>
      </w:tr>
      <w:tr w14:paraId="08D53EB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1154C9EF">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50.0</w:t>
            </w:r>
          </w:p>
        </w:tc>
        <w:tc>
          <w:tcPr>
            <w:tcW w:w="4092" w:type="dxa"/>
            <w:noWrap w:val="0"/>
            <w:vAlign w:val="center"/>
          </w:tcPr>
          <w:p w14:paraId="7A0BCCA4">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130.8400</w:t>
            </w:r>
          </w:p>
        </w:tc>
        <w:tc>
          <w:tcPr>
            <w:tcW w:w="2626" w:type="dxa"/>
            <w:noWrap w:val="0"/>
            <w:vAlign w:val="center"/>
          </w:tcPr>
          <w:p w14:paraId="761F750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6.5420</w:t>
            </w:r>
          </w:p>
        </w:tc>
      </w:tr>
      <w:tr w14:paraId="3E0631F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010F3066">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100.0</w:t>
            </w:r>
          </w:p>
        </w:tc>
        <w:tc>
          <w:tcPr>
            <w:tcW w:w="4092" w:type="dxa"/>
            <w:noWrap w:val="0"/>
            <w:vAlign w:val="center"/>
          </w:tcPr>
          <w:p w14:paraId="60F65B86">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117.2900</w:t>
            </w:r>
          </w:p>
        </w:tc>
        <w:tc>
          <w:tcPr>
            <w:tcW w:w="2626" w:type="dxa"/>
            <w:noWrap w:val="0"/>
            <w:vAlign w:val="center"/>
          </w:tcPr>
          <w:p w14:paraId="6BE7DE3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5.8645</w:t>
            </w:r>
          </w:p>
        </w:tc>
      </w:tr>
      <w:tr w14:paraId="22BECAB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4E6D1B23">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200.0</w:t>
            </w:r>
          </w:p>
        </w:tc>
        <w:tc>
          <w:tcPr>
            <w:tcW w:w="4092" w:type="dxa"/>
            <w:noWrap w:val="0"/>
            <w:vAlign w:val="center"/>
          </w:tcPr>
          <w:p w14:paraId="4BD1A42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91.5590</w:t>
            </w:r>
          </w:p>
        </w:tc>
        <w:tc>
          <w:tcPr>
            <w:tcW w:w="2626" w:type="dxa"/>
            <w:noWrap w:val="0"/>
            <w:vAlign w:val="center"/>
          </w:tcPr>
          <w:p w14:paraId="0B2ADCC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4.5780</w:t>
            </w:r>
          </w:p>
        </w:tc>
      </w:tr>
      <w:tr w14:paraId="4D8BCA4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447E6D59">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300.0</w:t>
            </w:r>
          </w:p>
        </w:tc>
        <w:tc>
          <w:tcPr>
            <w:tcW w:w="4092" w:type="dxa"/>
            <w:noWrap w:val="0"/>
            <w:vAlign w:val="center"/>
          </w:tcPr>
          <w:p w14:paraId="1432FA09">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69.1190</w:t>
            </w:r>
          </w:p>
        </w:tc>
        <w:tc>
          <w:tcPr>
            <w:tcW w:w="2626" w:type="dxa"/>
            <w:noWrap w:val="0"/>
            <w:vAlign w:val="center"/>
          </w:tcPr>
          <w:p w14:paraId="065973F8">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3.4560</w:t>
            </w:r>
          </w:p>
        </w:tc>
      </w:tr>
      <w:tr w14:paraId="1DA7998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77C5C37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400.0</w:t>
            </w:r>
          </w:p>
        </w:tc>
        <w:tc>
          <w:tcPr>
            <w:tcW w:w="4092" w:type="dxa"/>
            <w:noWrap w:val="0"/>
            <w:vAlign w:val="center"/>
          </w:tcPr>
          <w:p w14:paraId="4D066D08">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54.6030</w:t>
            </w:r>
          </w:p>
        </w:tc>
        <w:tc>
          <w:tcPr>
            <w:tcW w:w="2626" w:type="dxa"/>
            <w:noWrap w:val="0"/>
            <w:vAlign w:val="center"/>
          </w:tcPr>
          <w:p w14:paraId="1C2BB29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2.7302</w:t>
            </w:r>
          </w:p>
        </w:tc>
      </w:tr>
      <w:tr w14:paraId="4F10120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52720FD1">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500.0</w:t>
            </w:r>
          </w:p>
        </w:tc>
        <w:tc>
          <w:tcPr>
            <w:tcW w:w="4092" w:type="dxa"/>
            <w:noWrap w:val="0"/>
            <w:vAlign w:val="center"/>
          </w:tcPr>
          <w:p w14:paraId="01FB74A4">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44.3070</w:t>
            </w:r>
          </w:p>
        </w:tc>
        <w:tc>
          <w:tcPr>
            <w:tcW w:w="2626" w:type="dxa"/>
            <w:noWrap w:val="0"/>
            <w:vAlign w:val="center"/>
          </w:tcPr>
          <w:p w14:paraId="5B56E033">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2.2153</w:t>
            </w:r>
          </w:p>
        </w:tc>
      </w:tr>
      <w:tr w14:paraId="597EDDE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099D0B09">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600.0</w:t>
            </w:r>
          </w:p>
        </w:tc>
        <w:tc>
          <w:tcPr>
            <w:tcW w:w="4092" w:type="dxa"/>
            <w:noWrap w:val="0"/>
            <w:vAlign w:val="center"/>
          </w:tcPr>
          <w:p w14:paraId="24F799E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38.1720</w:t>
            </w:r>
          </w:p>
        </w:tc>
        <w:tc>
          <w:tcPr>
            <w:tcW w:w="2626" w:type="dxa"/>
            <w:noWrap w:val="0"/>
            <w:vAlign w:val="center"/>
          </w:tcPr>
          <w:p w14:paraId="71637E91">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1.9086</w:t>
            </w:r>
          </w:p>
        </w:tc>
      </w:tr>
      <w:tr w14:paraId="00E5305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1B6C9E9F">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700.0</w:t>
            </w:r>
          </w:p>
        </w:tc>
        <w:tc>
          <w:tcPr>
            <w:tcW w:w="4092" w:type="dxa"/>
            <w:noWrap w:val="0"/>
            <w:vAlign w:val="center"/>
          </w:tcPr>
          <w:p w14:paraId="1325C5F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32.9240</w:t>
            </w:r>
          </w:p>
        </w:tc>
        <w:tc>
          <w:tcPr>
            <w:tcW w:w="2626" w:type="dxa"/>
            <w:noWrap w:val="0"/>
            <w:vAlign w:val="center"/>
          </w:tcPr>
          <w:p w14:paraId="51FBFB0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1.6462</w:t>
            </w:r>
          </w:p>
        </w:tc>
      </w:tr>
      <w:tr w14:paraId="0266340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13AFD45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800.0</w:t>
            </w:r>
          </w:p>
        </w:tc>
        <w:tc>
          <w:tcPr>
            <w:tcW w:w="4092" w:type="dxa"/>
            <w:noWrap w:val="0"/>
            <w:vAlign w:val="center"/>
          </w:tcPr>
          <w:p w14:paraId="58D3E35C">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28.7610</w:t>
            </w:r>
          </w:p>
        </w:tc>
        <w:tc>
          <w:tcPr>
            <w:tcW w:w="2626" w:type="dxa"/>
            <w:noWrap w:val="0"/>
            <w:vAlign w:val="center"/>
          </w:tcPr>
          <w:p w14:paraId="3E525611">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1.4380</w:t>
            </w:r>
          </w:p>
        </w:tc>
      </w:tr>
      <w:tr w14:paraId="545EC62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2A19410C">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900.0</w:t>
            </w:r>
          </w:p>
        </w:tc>
        <w:tc>
          <w:tcPr>
            <w:tcW w:w="4092" w:type="dxa"/>
            <w:noWrap w:val="0"/>
            <w:vAlign w:val="center"/>
          </w:tcPr>
          <w:p w14:paraId="78D25C6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25.4070</w:t>
            </w:r>
          </w:p>
        </w:tc>
        <w:tc>
          <w:tcPr>
            <w:tcW w:w="2626" w:type="dxa"/>
            <w:noWrap w:val="0"/>
            <w:vAlign w:val="center"/>
          </w:tcPr>
          <w:p w14:paraId="36811C9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1.2703</w:t>
            </w:r>
          </w:p>
        </w:tc>
      </w:tr>
      <w:tr w14:paraId="5ED0690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12E3055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1000.0</w:t>
            </w:r>
          </w:p>
        </w:tc>
        <w:tc>
          <w:tcPr>
            <w:tcW w:w="4092" w:type="dxa"/>
            <w:noWrap w:val="0"/>
            <w:vAlign w:val="center"/>
          </w:tcPr>
          <w:p w14:paraId="11B7AAB2">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22.6610</w:t>
            </w:r>
          </w:p>
        </w:tc>
        <w:tc>
          <w:tcPr>
            <w:tcW w:w="2626" w:type="dxa"/>
            <w:noWrap w:val="0"/>
            <w:vAlign w:val="center"/>
          </w:tcPr>
          <w:p w14:paraId="00160901">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1.1331</w:t>
            </w:r>
          </w:p>
        </w:tc>
      </w:tr>
      <w:tr w14:paraId="2745B41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7AE8078F">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1200.0</w:t>
            </w:r>
          </w:p>
        </w:tc>
        <w:tc>
          <w:tcPr>
            <w:tcW w:w="4092" w:type="dxa"/>
            <w:noWrap w:val="0"/>
            <w:vAlign w:val="center"/>
          </w:tcPr>
          <w:p w14:paraId="07415E8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18.4690</w:t>
            </w:r>
          </w:p>
        </w:tc>
        <w:tc>
          <w:tcPr>
            <w:tcW w:w="2626" w:type="dxa"/>
            <w:noWrap w:val="0"/>
            <w:vAlign w:val="center"/>
          </w:tcPr>
          <w:p w14:paraId="50F03F02">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0.9235</w:t>
            </w:r>
          </w:p>
        </w:tc>
      </w:tr>
      <w:tr w14:paraId="774461A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702F726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1400.0</w:t>
            </w:r>
          </w:p>
        </w:tc>
        <w:tc>
          <w:tcPr>
            <w:tcW w:w="4092" w:type="dxa"/>
            <w:noWrap w:val="0"/>
            <w:vAlign w:val="center"/>
          </w:tcPr>
          <w:p w14:paraId="27ADA20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15.4490</w:t>
            </w:r>
          </w:p>
        </w:tc>
        <w:tc>
          <w:tcPr>
            <w:tcW w:w="2626" w:type="dxa"/>
            <w:noWrap w:val="0"/>
            <w:vAlign w:val="center"/>
          </w:tcPr>
          <w:p w14:paraId="732932F3">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0.7724</w:t>
            </w:r>
          </w:p>
        </w:tc>
      </w:tr>
      <w:tr w14:paraId="33896AD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00030F9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1600.0</w:t>
            </w:r>
          </w:p>
        </w:tc>
        <w:tc>
          <w:tcPr>
            <w:tcW w:w="4092" w:type="dxa"/>
            <w:noWrap w:val="0"/>
            <w:vAlign w:val="center"/>
          </w:tcPr>
          <w:p w14:paraId="3ADFE325">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13.1880</w:t>
            </w:r>
          </w:p>
        </w:tc>
        <w:tc>
          <w:tcPr>
            <w:tcW w:w="2626" w:type="dxa"/>
            <w:noWrap w:val="0"/>
            <w:vAlign w:val="center"/>
          </w:tcPr>
          <w:p w14:paraId="6D18AEB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0.6594</w:t>
            </w:r>
          </w:p>
        </w:tc>
      </w:tr>
      <w:tr w14:paraId="213AB6A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0A9CD2B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1800.0</w:t>
            </w:r>
          </w:p>
        </w:tc>
        <w:tc>
          <w:tcPr>
            <w:tcW w:w="4092" w:type="dxa"/>
            <w:noWrap w:val="0"/>
            <w:vAlign w:val="center"/>
          </w:tcPr>
          <w:p w14:paraId="7B2EB592">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11.4440</w:t>
            </w:r>
          </w:p>
        </w:tc>
        <w:tc>
          <w:tcPr>
            <w:tcW w:w="2626" w:type="dxa"/>
            <w:noWrap w:val="0"/>
            <w:vAlign w:val="center"/>
          </w:tcPr>
          <w:p w14:paraId="4CE1452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0.5722</w:t>
            </w:r>
          </w:p>
        </w:tc>
      </w:tr>
      <w:tr w14:paraId="1315B48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197486CD">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2000.0</w:t>
            </w:r>
          </w:p>
        </w:tc>
        <w:tc>
          <w:tcPr>
            <w:tcW w:w="4092" w:type="dxa"/>
            <w:noWrap w:val="0"/>
            <w:vAlign w:val="center"/>
          </w:tcPr>
          <w:p w14:paraId="464E3481">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10.0630</w:t>
            </w:r>
          </w:p>
        </w:tc>
        <w:tc>
          <w:tcPr>
            <w:tcW w:w="2626" w:type="dxa"/>
            <w:noWrap w:val="0"/>
            <w:vAlign w:val="center"/>
          </w:tcPr>
          <w:p w14:paraId="530D9DA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0.5031</w:t>
            </w:r>
          </w:p>
        </w:tc>
      </w:tr>
      <w:tr w14:paraId="150A386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74FA6BD2">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2500.0</w:t>
            </w:r>
          </w:p>
        </w:tc>
        <w:tc>
          <w:tcPr>
            <w:tcW w:w="4092" w:type="dxa"/>
            <w:noWrap w:val="0"/>
            <w:vAlign w:val="center"/>
          </w:tcPr>
          <w:p w14:paraId="56FA60C0">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7.6320</w:t>
            </w:r>
          </w:p>
        </w:tc>
        <w:tc>
          <w:tcPr>
            <w:tcW w:w="2626" w:type="dxa"/>
            <w:noWrap w:val="0"/>
            <w:vAlign w:val="center"/>
          </w:tcPr>
          <w:p w14:paraId="639B1E49">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0.3816</w:t>
            </w:r>
          </w:p>
        </w:tc>
      </w:tr>
      <w:tr w14:paraId="0A4F540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6862D8E4">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3000.0</w:t>
            </w:r>
          </w:p>
        </w:tc>
        <w:tc>
          <w:tcPr>
            <w:tcW w:w="4092" w:type="dxa"/>
            <w:noWrap w:val="0"/>
            <w:vAlign w:val="center"/>
          </w:tcPr>
          <w:p w14:paraId="1F2B10E5">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6.0667</w:t>
            </w:r>
          </w:p>
        </w:tc>
        <w:tc>
          <w:tcPr>
            <w:tcW w:w="2626" w:type="dxa"/>
            <w:noWrap w:val="0"/>
            <w:vAlign w:val="center"/>
          </w:tcPr>
          <w:p w14:paraId="30DA5B79">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0.3033</w:t>
            </w:r>
          </w:p>
        </w:tc>
      </w:tr>
      <w:tr w14:paraId="2E964513">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3C83D125">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3500.0</w:t>
            </w:r>
          </w:p>
        </w:tc>
        <w:tc>
          <w:tcPr>
            <w:tcW w:w="4092" w:type="dxa"/>
            <w:noWrap w:val="0"/>
            <w:vAlign w:val="center"/>
          </w:tcPr>
          <w:p w14:paraId="60DF5508">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4.9864</w:t>
            </w:r>
          </w:p>
        </w:tc>
        <w:tc>
          <w:tcPr>
            <w:tcW w:w="2626" w:type="dxa"/>
            <w:noWrap w:val="0"/>
            <w:vAlign w:val="center"/>
          </w:tcPr>
          <w:p w14:paraId="015A8DA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0.2493</w:t>
            </w:r>
          </w:p>
        </w:tc>
      </w:tr>
      <w:tr w14:paraId="1608A9E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5EFA76EF">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4000.0</w:t>
            </w:r>
          </w:p>
        </w:tc>
        <w:tc>
          <w:tcPr>
            <w:tcW w:w="4092" w:type="dxa"/>
            <w:noWrap w:val="0"/>
            <w:vAlign w:val="center"/>
          </w:tcPr>
          <w:p w14:paraId="3D1346FD">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4.2022</w:t>
            </w:r>
          </w:p>
        </w:tc>
        <w:tc>
          <w:tcPr>
            <w:tcW w:w="2626" w:type="dxa"/>
            <w:noWrap w:val="0"/>
            <w:vAlign w:val="center"/>
          </w:tcPr>
          <w:p w14:paraId="64BCD6AA">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0.2101</w:t>
            </w:r>
          </w:p>
        </w:tc>
      </w:tr>
      <w:tr w14:paraId="08F633E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64688EEC">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4500.0</w:t>
            </w:r>
          </w:p>
        </w:tc>
        <w:tc>
          <w:tcPr>
            <w:tcW w:w="4092" w:type="dxa"/>
            <w:noWrap w:val="0"/>
            <w:vAlign w:val="center"/>
          </w:tcPr>
          <w:p w14:paraId="401FB8DC">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3.6105</w:t>
            </w:r>
          </w:p>
        </w:tc>
        <w:tc>
          <w:tcPr>
            <w:tcW w:w="2626" w:type="dxa"/>
            <w:noWrap w:val="0"/>
            <w:vAlign w:val="center"/>
          </w:tcPr>
          <w:p w14:paraId="785B4948">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0.1805</w:t>
            </w:r>
          </w:p>
        </w:tc>
      </w:tr>
      <w:tr w14:paraId="20B51DC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2705DB74">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5000.0</w:t>
            </w:r>
          </w:p>
        </w:tc>
        <w:tc>
          <w:tcPr>
            <w:tcW w:w="4092" w:type="dxa"/>
            <w:noWrap w:val="0"/>
            <w:vAlign w:val="center"/>
          </w:tcPr>
          <w:p w14:paraId="59A5B575">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3.1503</w:t>
            </w:r>
          </w:p>
        </w:tc>
        <w:tc>
          <w:tcPr>
            <w:tcW w:w="2626" w:type="dxa"/>
            <w:noWrap w:val="0"/>
            <w:vAlign w:val="center"/>
          </w:tcPr>
          <w:p w14:paraId="626C9A6F">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0.1575</w:t>
            </w:r>
          </w:p>
        </w:tc>
      </w:tr>
      <w:tr w14:paraId="7D712F5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234803DF">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10000.0</w:t>
            </w:r>
          </w:p>
        </w:tc>
        <w:tc>
          <w:tcPr>
            <w:tcW w:w="4092" w:type="dxa"/>
            <w:noWrap w:val="0"/>
            <w:vAlign w:val="center"/>
          </w:tcPr>
          <w:p w14:paraId="379A8488">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1.4702</w:t>
            </w:r>
          </w:p>
        </w:tc>
        <w:tc>
          <w:tcPr>
            <w:tcW w:w="2626" w:type="dxa"/>
            <w:noWrap w:val="0"/>
            <w:vAlign w:val="center"/>
          </w:tcPr>
          <w:p w14:paraId="25212DBF">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0.0735</w:t>
            </w:r>
          </w:p>
        </w:tc>
      </w:tr>
      <w:tr w14:paraId="654AB98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6398A892">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11000.0</w:t>
            </w:r>
          </w:p>
        </w:tc>
        <w:tc>
          <w:tcPr>
            <w:tcW w:w="4092" w:type="dxa"/>
            <w:noWrap w:val="0"/>
            <w:vAlign w:val="center"/>
          </w:tcPr>
          <w:p w14:paraId="3998AD7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1.3752</w:t>
            </w:r>
          </w:p>
        </w:tc>
        <w:tc>
          <w:tcPr>
            <w:tcW w:w="2626" w:type="dxa"/>
            <w:noWrap w:val="0"/>
            <w:vAlign w:val="center"/>
          </w:tcPr>
          <w:p w14:paraId="495ECE73">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0.0688</w:t>
            </w:r>
          </w:p>
        </w:tc>
      </w:tr>
      <w:tr w14:paraId="3D452AF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32AD8E2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12000.0</w:t>
            </w:r>
          </w:p>
        </w:tc>
        <w:tc>
          <w:tcPr>
            <w:tcW w:w="4092" w:type="dxa"/>
            <w:noWrap w:val="0"/>
            <w:vAlign w:val="center"/>
          </w:tcPr>
          <w:p w14:paraId="6B3F16A4">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1.2939</w:t>
            </w:r>
          </w:p>
        </w:tc>
        <w:tc>
          <w:tcPr>
            <w:tcW w:w="2626" w:type="dxa"/>
            <w:noWrap w:val="0"/>
            <w:vAlign w:val="center"/>
          </w:tcPr>
          <w:p w14:paraId="6961CEE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0.0647</w:t>
            </w:r>
          </w:p>
        </w:tc>
      </w:tr>
      <w:tr w14:paraId="69EA312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5F9A710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13000.0</w:t>
            </w:r>
          </w:p>
        </w:tc>
        <w:tc>
          <w:tcPr>
            <w:tcW w:w="4092" w:type="dxa"/>
            <w:noWrap w:val="0"/>
            <w:vAlign w:val="center"/>
          </w:tcPr>
          <w:p w14:paraId="4CD4EBCF">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1.2234</w:t>
            </w:r>
          </w:p>
        </w:tc>
        <w:tc>
          <w:tcPr>
            <w:tcW w:w="2626" w:type="dxa"/>
            <w:noWrap w:val="0"/>
            <w:vAlign w:val="center"/>
          </w:tcPr>
          <w:p w14:paraId="04127811">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0.0612</w:t>
            </w:r>
          </w:p>
        </w:tc>
      </w:tr>
      <w:tr w14:paraId="3637AC8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1320F321">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14000.0</w:t>
            </w:r>
          </w:p>
        </w:tc>
        <w:tc>
          <w:tcPr>
            <w:tcW w:w="4092" w:type="dxa"/>
            <w:noWrap w:val="0"/>
            <w:vAlign w:val="center"/>
          </w:tcPr>
          <w:p w14:paraId="4B3DFE68">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1.1615</w:t>
            </w:r>
          </w:p>
        </w:tc>
        <w:tc>
          <w:tcPr>
            <w:tcW w:w="2626" w:type="dxa"/>
            <w:noWrap w:val="0"/>
            <w:vAlign w:val="center"/>
          </w:tcPr>
          <w:p w14:paraId="124F27C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0.0581</w:t>
            </w:r>
          </w:p>
        </w:tc>
      </w:tr>
      <w:tr w14:paraId="2BD5A89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7734B8D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15000.0</w:t>
            </w:r>
          </w:p>
        </w:tc>
        <w:tc>
          <w:tcPr>
            <w:tcW w:w="4092" w:type="dxa"/>
            <w:noWrap w:val="0"/>
            <w:vAlign w:val="center"/>
          </w:tcPr>
          <w:p w14:paraId="599B5653">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1.1067</w:t>
            </w:r>
          </w:p>
        </w:tc>
        <w:tc>
          <w:tcPr>
            <w:tcW w:w="2626" w:type="dxa"/>
            <w:noWrap w:val="0"/>
            <w:vAlign w:val="center"/>
          </w:tcPr>
          <w:p w14:paraId="069DC03D">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0.0553</w:t>
            </w:r>
          </w:p>
        </w:tc>
      </w:tr>
      <w:tr w14:paraId="4B00A6C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7206C257">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20000.0</w:t>
            </w:r>
          </w:p>
        </w:tc>
        <w:tc>
          <w:tcPr>
            <w:tcW w:w="4092" w:type="dxa"/>
            <w:noWrap w:val="0"/>
            <w:vAlign w:val="center"/>
          </w:tcPr>
          <w:p w14:paraId="61B29CA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0.9048</w:t>
            </w:r>
          </w:p>
        </w:tc>
        <w:tc>
          <w:tcPr>
            <w:tcW w:w="2626" w:type="dxa"/>
            <w:noWrap w:val="0"/>
            <w:vAlign w:val="center"/>
          </w:tcPr>
          <w:p w14:paraId="1A5D3E37">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0.0452</w:t>
            </w:r>
          </w:p>
        </w:tc>
      </w:tr>
      <w:tr w14:paraId="46237EF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7C3B03D7">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25000.0</w:t>
            </w:r>
          </w:p>
        </w:tc>
        <w:tc>
          <w:tcPr>
            <w:tcW w:w="4092" w:type="dxa"/>
            <w:noWrap w:val="0"/>
            <w:vAlign w:val="center"/>
          </w:tcPr>
          <w:p w14:paraId="3E6BF87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0.7739</w:t>
            </w:r>
          </w:p>
        </w:tc>
        <w:tc>
          <w:tcPr>
            <w:tcW w:w="2626" w:type="dxa"/>
            <w:noWrap w:val="0"/>
            <w:vAlign w:val="center"/>
          </w:tcPr>
          <w:p w14:paraId="559FCE14">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0.0387</w:t>
            </w:r>
          </w:p>
        </w:tc>
      </w:tr>
      <w:tr w14:paraId="0A196CC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18C7A908">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下风向最大浓度</w:t>
            </w:r>
          </w:p>
        </w:tc>
        <w:tc>
          <w:tcPr>
            <w:tcW w:w="4092" w:type="dxa"/>
            <w:noWrap w:val="0"/>
            <w:vAlign w:val="center"/>
          </w:tcPr>
          <w:p w14:paraId="350B939E">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153.9700</w:t>
            </w:r>
          </w:p>
        </w:tc>
        <w:tc>
          <w:tcPr>
            <w:tcW w:w="2626" w:type="dxa"/>
            <w:noWrap w:val="0"/>
            <w:vAlign w:val="center"/>
          </w:tcPr>
          <w:p w14:paraId="5D4774C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7.6985</w:t>
            </w:r>
          </w:p>
        </w:tc>
      </w:tr>
      <w:tr w14:paraId="4FE2539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2A6E975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下风向最大浓度出现距离</w:t>
            </w:r>
          </w:p>
        </w:tc>
        <w:tc>
          <w:tcPr>
            <w:tcW w:w="4092" w:type="dxa"/>
            <w:noWrap w:val="0"/>
            <w:vAlign w:val="center"/>
          </w:tcPr>
          <w:p w14:paraId="37297F3B">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28.0</w:t>
            </w:r>
          </w:p>
        </w:tc>
        <w:tc>
          <w:tcPr>
            <w:tcW w:w="2626" w:type="dxa"/>
            <w:noWrap w:val="0"/>
            <w:vAlign w:val="center"/>
          </w:tcPr>
          <w:p w14:paraId="3BFDA01D">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28.0</w:t>
            </w:r>
          </w:p>
        </w:tc>
      </w:tr>
      <w:tr w14:paraId="409D5B0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69" w:hRule="exact"/>
        </w:trPr>
        <w:tc>
          <w:tcPr>
            <w:tcW w:w="1809" w:type="dxa"/>
            <w:noWrap w:val="0"/>
            <w:vAlign w:val="center"/>
          </w:tcPr>
          <w:p w14:paraId="2ADEDB61">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D10%最远距离</w:t>
            </w:r>
          </w:p>
        </w:tc>
        <w:tc>
          <w:tcPr>
            <w:tcW w:w="4092" w:type="dxa"/>
            <w:noWrap w:val="0"/>
            <w:vAlign w:val="center"/>
          </w:tcPr>
          <w:p w14:paraId="39A5ACE8">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w:t>
            </w:r>
          </w:p>
        </w:tc>
        <w:tc>
          <w:tcPr>
            <w:tcW w:w="2626" w:type="dxa"/>
            <w:noWrap w:val="0"/>
            <w:vAlign w:val="center"/>
          </w:tcPr>
          <w:p w14:paraId="4848ED06">
            <w:pPr>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color w:val="auto"/>
                <w:sz w:val="21"/>
                <w:szCs w:val="21"/>
                <w:highlight w:val="none"/>
              </w:rPr>
              <w:t>/</w:t>
            </w:r>
          </w:p>
        </w:tc>
      </w:tr>
    </w:tbl>
    <w:p w14:paraId="57A897D0">
      <w:pPr>
        <w:wordWrap w:val="0"/>
        <w:bidi w:val="0"/>
        <w:spacing w:line="360" w:lineRule="auto"/>
        <w:ind w:firstLine="480"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szCs w:val="24"/>
          <w:highlight w:val="none"/>
        </w:rPr>
        <w:t>经计算</w:t>
      </w:r>
      <w:r>
        <w:rPr>
          <w:rFonts w:hint="default" w:ascii="Times New Roman" w:hAnsi="Times New Roman" w:eastAsia="宋体" w:cs="Times New Roman"/>
          <w:color w:val="auto"/>
          <w:sz w:val="24"/>
          <w:szCs w:val="24"/>
          <w:highlight w:val="none"/>
          <w:lang w:val="zh-CN"/>
        </w:rPr>
        <w:t>本项目</w:t>
      </w:r>
      <w:r>
        <w:rPr>
          <w:rFonts w:hint="default" w:ascii="Times New Roman" w:hAnsi="Times New Roman" w:eastAsia="宋体" w:cs="Times New Roman"/>
          <w:color w:val="auto"/>
          <w:sz w:val="24"/>
          <w:szCs w:val="24"/>
          <w:highlight w:val="none"/>
        </w:rPr>
        <w:t>Pmax最大值出现为</w:t>
      </w:r>
      <w:r>
        <w:rPr>
          <w:rFonts w:hint="default" w:ascii="Times New Roman" w:hAnsi="Times New Roman" w:eastAsia="宋体" w:cs="Times New Roman"/>
          <w:color w:val="auto"/>
          <w:sz w:val="24"/>
          <w:szCs w:val="24"/>
          <w:highlight w:val="none"/>
          <w:lang w:val="en-US" w:eastAsia="zh-CN"/>
        </w:rPr>
        <w:t>站内无组织</w:t>
      </w:r>
      <w:r>
        <w:rPr>
          <w:rFonts w:hint="default" w:ascii="Times New Roman" w:hAnsi="Times New Roman" w:eastAsia="宋体" w:cs="Times New Roman"/>
          <w:color w:val="auto"/>
          <w:sz w:val="24"/>
          <w:szCs w:val="24"/>
          <w:highlight w:val="none"/>
        </w:rPr>
        <w:t>排放的</w:t>
      </w:r>
      <w:r>
        <w:rPr>
          <w:rFonts w:hint="default" w:ascii="Times New Roman" w:hAnsi="Times New Roman" w:eastAsia="宋体" w:cs="Times New Roman"/>
          <w:b w:val="0"/>
          <w:color w:val="auto"/>
          <w:sz w:val="24"/>
          <w:szCs w:val="24"/>
          <w:highlight w:val="none"/>
        </w:rPr>
        <w:t>NMHCPmax值为</w:t>
      </w:r>
      <w:r>
        <w:rPr>
          <w:rFonts w:hint="eastAsia" w:ascii="Times New Roman" w:hAnsi="Times New Roman" w:eastAsia="宋体" w:cs="Times New Roman"/>
          <w:b w:val="0"/>
          <w:color w:val="auto"/>
          <w:sz w:val="24"/>
          <w:szCs w:val="24"/>
          <w:highlight w:val="none"/>
          <w:lang w:val="en-US" w:eastAsia="zh-CN"/>
        </w:rPr>
        <w:t>7.6985</w:t>
      </w:r>
      <w:r>
        <w:rPr>
          <w:rFonts w:hint="default" w:ascii="Times New Roman" w:hAnsi="Times New Roman" w:eastAsia="宋体" w:cs="Times New Roman"/>
          <w:b w:val="0"/>
          <w:color w:val="auto"/>
          <w:sz w:val="24"/>
          <w:szCs w:val="24"/>
          <w:highlight w:val="none"/>
        </w:rPr>
        <w:t>%，Cmax为</w:t>
      </w:r>
      <w:r>
        <w:rPr>
          <w:rFonts w:hint="eastAsia" w:ascii="Times New Roman" w:hAnsi="Times New Roman" w:eastAsia="宋体" w:cs="Times New Roman"/>
          <w:b w:val="0"/>
          <w:color w:val="auto"/>
          <w:sz w:val="24"/>
          <w:szCs w:val="24"/>
          <w:highlight w:val="none"/>
          <w:lang w:val="en-US" w:eastAsia="zh-CN"/>
        </w:rPr>
        <w:t>153.97</w:t>
      </w:r>
      <w:r>
        <w:rPr>
          <w:rFonts w:hint="default" w:ascii="Times New Roman" w:hAnsi="Times New Roman" w:eastAsia="宋体" w:cs="Times New Roman"/>
          <w:b w:val="0"/>
          <w:color w:val="auto"/>
          <w:sz w:val="24"/>
          <w:szCs w:val="24"/>
          <w:highlight w:val="none"/>
        </w:rPr>
        <w:t>μg/m</w:t>
      </w:r>
      <w:r>
        <w:rPr>
          <w:rFonts w:hint="eastAsia" w:ascii="Times New Roman" w:hAnsi="Times New Roman" w:eastAsia="宋体" w:cs="Times New Roman"/>
          <w:b w:val="0"/>
          <w:color w:val="auto"/>
          <w:sz w:val="24"/>
          <w:szCs w:val="24"/>
          <w:highlight w:val="none"/>
          <w:lang w:eastAsia="zh-CN"/>
        </w:rPr>
        <w:t>，</w:t>
      </w:r>
      <w:r>
        <w:rPr>
          <w:rFonts w:hint="default" w:ascii="Times New Roman" w:hAnsi="Times New Roman" w:eastAsia="宋体" w:cs="Times New Roman"/>
          <w:color w:val="auto"/>
          <w:sz w:val="24"/>
          <w:szCs w:val="24"/>
          <w:highlight w:val="none"/>
        </w:rPr>
        <w:t>对应下风向最大落地距离</w:t>
      </w:r>
      <w:r>
        <w:rPr>
          <w:rFonts w:hint="eastAsia" w:ascii="Times New Roman" w:hAnsi="Times New Roman" w:eastAsia="宋体" w:cs="Times New Roman"/>
          <w:color w:val="auto"/>
          <w:sz w:val="24"/>
          <w:szCs w:val="24"/>
          <w:highlight w:val="none"/>
          <w:lang w:val="en-US" w:eastAsia="zh-CN"/>
        </w:rPr>
        <w:t>28</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lang w:val="zh-CN"/>
        </w:rPr>
        <w:t>本项目不属于</w:t>
      </w:r>
      <w:r>
        <w:rPr>
          <w:rFonts w:hint="eastAsia" w:cs="Times New Roman"/>
          <w:color w:val="auto"/>
          <w:sz w:val="24"/>
          <w:szCs w:val="24"/>
          <w:highlight w:val="none"/>
          <w:lang w:val="zh-CN"/>
        </w:rPr>
        <w:t>“</w:t>
      </w:r>
      <w:r>
        <w:rPr>
          <w:rFonts w:hint="default" w:ascii="Times New Roman" w:hAnsi="Times New Roman" w:eastAsia="宋体" w:cs="Times New Roman"/>
          <w:color w:val="auto"/>
          <w:sz w:val="24"/>
          <w:szCs w:val="24"/>
          <w:highlight w:val="none"/>
          <w:lang w:val="zh-CN"/>
        </w:rPr>
        <w:t>高耗能行业的多源项目或使用高污染燃料为主的多源项目</w:t>
      </w:r>
      <w:r>
        <w:rPr>
          <w:rFonts w:hint="eastAsia" w:cs="Times New Roman"/>
          <w:color w:val="auto"/>
          <w:sz w:val="24"/>
          <w:szCs w:val="24"/>
          <w:highlight w:val="none"/>
          <w:lang w:val="zh-CN"/>
        </w:rPr>
        <w:t>”</w:t>
      </w:r>
      <w:r>
        <w:rPr>
          <w:rFonts w:hint="default" w:ascii="Times New Roman" w:hAnsi="Times New Roman" w:eastAsia="宋体" w:cs="Times New Roman"/>
          <w:color w:val="auto"/>
          <w:sz w:val="24"/>
          <w:szCs w:val="24"/>
          <w:highlight w:val="none"/>
          <w:lang w:val="zh-CN"/>
        </w:rPr>
        <w:t>，根据《环境影响评价技术导则大气环境》</w:t>
      </w:r>
      <w:r>
        <w:rPr>
          <w:rFonts w:hint="default" w:ascii="Times New Roman" w:hAnsi="Times New Roman" w:eastAsia="宋体" w:cs="Times New Roman"/>
          <w:color w:val="auto"/>
          <w:sz w:val="24"/>
          <w:szCs w:val="24"/>
          <w:highlight w:val="none"/>
        </w:rPr>
        <w:t>（HJ2.2-2018）</w:t>
      </w:r>
      <w:r>
        <w:rPr>
          <w:rFonts w:hint="default" w:ascii="Times New Roman" w:hAnsi="Times New Roman" w:eastAsia="宋体" w:cs="Times New Roman"/>
          <w:color w:val="auto"/>
          <w:sz w:val="24"/>
          <w:szCs w:val="24"/>
          <w:highlight w:val="none"/>
          <w:lang w:val="zh-CN"/>
        </w:rPr>
        <w:t>判定，本项目大气环境影响评价工作级别为二级，二</w:t>
      </w:r>
      <w:r>
        <w:rPr>
          <w:rFonts w:hint="default" w:ascii="Times New Roman" w:hAnsi="Times New Roman" w:eastAsia="宋体" w:cs="Times New Roman"/>
          <w:color w:val="auto"/>
          <w:sz w:val="24"/>
          <w:szCs w:val="24"/>
          <w:highlight w:val="none"/>
        </w:rPr>
        <w:t>级评价项目不进行进一步预测与评价，只对污染物排放量进行核算。</w:t>
      </w:r>
    </w:p>
    <w:p w14:paraId="1618743E">
      <w:pPr>
        <w:wordWrap w:val="0"/>
        <w:bidi w:val="0"/>
        <w:spacing w:line="360" w:lineRule="auto"/>
        <w:ind w:firstLine="482" w:firstLineChars="200"/>
        <w:jc w:val="left"/>
        <w:rPr>
          <w:rFonts w:ascii="Times New Roman" w:hAnsi="Times New Roman" w:eastAsia="宋体" w:cs="Times New Roman"/>
          <w:color w:val="auto"/>
          <w:sz w:val="24"/>
          <w:szCs w:val="24"/>
          <w:highlight w:val="none"/>
        </w:rPr>
      </w:pPr>
      <w:r>
        <w:rPr>
          <w:rFonts w:hint="eastAsia" w:ascii="Times New Roman" w:hAnsi="Times New Roman" w:eastAsia="宋体" w:cs="Times New Roman"/>
          <w:b/>
          <w:bCs/>
          <w:color w:val="auto"/>
          <w:sz w:val="24"/>
          <w:szCs w:val="24"/>
          <w:highlight w:val="none"/>
        </w:rPr>
        <w:t>6、</w:t>
      </w:r>
      <w:r>
        <w:rPr>
          <w:rFonts w:ascii="Times New Roman" w:hAnsi="Times New Roman" w:eastAsia="宋体" w:cs="Times New Roman"/>
          <w:b/>
          <w:bCs/>
          <w:color w:val="auto"/>
          <w:sz w:val="24"/>
          <w:szCs w:val="24"/>
          <w:highlight w:val="none"/>
        </w:rPr>
        <w:t>污染物排放核算</w:t>
      </w:r>
    </w:p>
    <w:p w14:paraId="2EA3DA7E">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根据《环境影响评价技术导则大气环境》（HJ2.2-2018）中附录A估算模式，本项目大气评价等级设为二级。故本评价不进行进一步的预测与评价，只需对污染源进行核算。</w:t>
      </w:r>
      <w:r>
        <w:rPr>
          <w:rFonts w:hint="eastAsia" w:ascii="Times New Roman" w:hAnsi="Times New Roman" w:eastAsia="宋体" w:cs="Times New Roman"/>
          <w:color w:val="auto"/>
          <w:sz w:val="24"/>
          <w:szCs w:val="24"/>
          <w:highlight w:val="none"/>
        </w:rPr>
        <w:t>根据《排污许可证申请与核发技术规范 总则》</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HJ942</w:t>
      </w:r>
      <w:r>
        <w:rPr>
          <w:rFonts w:hint="eastAsia" w:ascii="Times New Roman" w:hAnsi="Times New Roman" w:eastAsia="宋体" w:cs="Times New Roman"/>
          <w:color w:val="auto"/>
          <w:sz w:val="24"/>
          <w:szCs w:val="24"/>
          <w:highlight w:val="none"/>
          <w:lang w:val="en-US" w:eastAsia="zh-CN"/>
        </w:rPr>
        <w:t>-2018</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可知，项目的废气排放口均为</w:t>
      </w:r>
      <w:r>
        <w:rPr>
          <w:rFonts w:hint="eastAsia" w:ascii="Times New Roman" w:hAnsi="Times New Roman" w:eastAsia="宋体" w:cs="Times New Roman"/>
          <w:color w:val="auto"/>
          <w:sz w:val="24"/>
          <w:szCs w:val="24"/>
          <w:highlight w:val="none"/>
          <w:lang w:val="en-US" w:eastAsia="zh-CN"/>
        </w:rPr>
        <w:t>主要</w:t>
      </w:r>
      <w:r>
        <w:rPr>
          <w:rFonts w:hint="eastAsia" w:ascii="Times New Roman" w:hAnsi="Times New Roman" w:eastAsia="宋体" w:cs="Times New Roman"/>
          <w:color w:val="auto"/>
          <w:sz w:val="24"/>
          <w:szCs w:val="24"/>
          <w:highlight w:val="none"/>
        </w:rPr>
        <w:t>排放口。</w:t>
      </w:r>
    </w:p>
    <w:p w14:paraId="5BC86A41">
      <w:pPr>
        <w:widowControl/>
        <w:wordWrap w:val="0"/>
        <w:bidi w:val="0"/>
        <w:spacing w:line="240" w:lineRule="auto"/>
        <w:ind w:firstLine="0" w:firstLineChars="0"/>
        <w:jc w:val="center"/>
        <w:rPr>
          <w:rFonts w:ascii="Times New Roman" w:hAnsi="Times New Roman" w:eastAsia="宋体" w:cs="Times New Roman"/>
          <w:b/>
          <w:bCs/>
          <w:color w:val="auto"/>
          <w:kern w:val="2"/>
          <w:sz w:val="24"/>
          <w:szCs w:val="21"/>
          <w:highlight w:val="none"/>
          <w:lang w:val="en-US" w:eastAsia="zh-CN" w:bidi="ar-SA"/>
        </w:rPr>
      </w:pPr>
      <w:r>
        <w:rPr>
          <w:rFonts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5.2-1</w:t>
      </w:r>
      <w:r>
        <w:rPr>
          <w:rFonts w:hint="eastAsia" w:cs="Times New Roman"/>
          <w:b/>
          <w:bCs/>
          <w:color w:val="auto"/>
          <w:kern w:val="2"/>
          <w:sz w:val="24"/>
          <w:szCs w:val="21"/>
          <w:highlight w:val="none"/>
          <w:lang w:val="en-US" w:eastAsia="zh-CN" w:bidi="ar-SA"/>
        </w:rPr>
        <w:t>6</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ascii="Times New Roman" w:hAnsi="Times New Roman" w:eastAsia="宋体" w:cs="Times New Roman"/>
          <w:b/>
          <w:bCs/>
          <w:color w:val="auto"/>
          <w:kern w:val="2"/>
          <w:sz w:val="24"/>
          <w:szCs w:val="21"/>
          <w:highlight w:val="none"/>
          <w:lang w:val="en-US" w:eastAsia="zh-CN" w:bidi="ar-SA"/>
        </w:rPr>
        <w:t>大气污染物有组织排放量核算表</w:t>
      </w:r>
    </w:p>
    <w:tbl>
      <w:tblPr>
        <w:tblStyle w:val="49"/>
        <w:tblW w:w="85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9"/>
        <w:gridCol w:w="1215"/>
        <w:gridCol w:w="1410"/>
        <w:gridCol w:w="2520"/>
        <w:gridCol w:w="1341"/>
        <w:gridCol w:w="1467"/>
      </w:tblGrid>
      <w:tr w14:paraId="011C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noWrap w:val="0"/>
            <w:vAlign w:val="center"/>
          </w:tcPr>
          <w:p w14:paraId="5655915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215" w:type="dxa"/>
            <w:noWrap w:val="0"/>
            <w:vAlign w:val="center"/>
          </w:tcPr>
          <w:p w14:paraId="7BAF9BC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排放口编号</w:t>
            </w:r>
          </w:p>
        </w:tc>
        <w:tc>
          <w:tcPr>
            <w:tcW w:w="1410" w:type="dxa"/>
            <w:noWrap w:val="0"/>
            <w:vAlign w:val="center"/>
          </w:tcPr>
          <w:p w14:paraId="0F6B868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w:t>
            </w:r>
          </w:p>
        </w:tc>
        <w:tc>
          <w:tcPr>
            <w:tcW w:w="2520" w:type="dxa"/>
            <w:noWrap w:val="0"/>
            <w:vAlign w:val="center"/>
          </w:tcPr>
          <w:p w14:paraId="2D1633E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核算排放浓度/（mg/</w:t>
            </w:r>
            <w:r>
              <w:rPr>
                <w:rFonts w:hint="eastAsia" w:ascii="Times New Roman" w:hAnsi="Times New Roman" w:eastAsia="宋体" w:cs="Times New Roman"/>
                <w:b/>
                <w:bCs/>
                <w:color w:val="auto"/>
                <w:kern w:val="2"/>
                <w:sz w:val="21"/>
                <w:szCs w:val="21"/>
                <w:highlight w:val="none"/>
                <w:lang w:val="en-US" w:eastAsia="zh-CN" w:bidi="ar-SA"/>
              </w:rPr>
              <w:t>m³</w:t>
            </w:r>
            <w:r>
              <w:rPr>
                <w:rFonts w:hint="default" w:ascii="Times New Roman" w:hAnsi="Times New Roman" w:eastAsia="宋体" w:cs="Times New Roman"/>
                <w:b/>
                <w:bCs/>
                <w:color w:val="auto"/>
                <w:kern w:val="2"/>
                <w:sz w:val="21"/>
                <w:szCs w:val="21"/>
                <w:highlight w:val="none"/>
                <w:lang w:val="en-US" w:eastAsia="zh-CN" w:bidi="ar-SA"/>
              </w:rPr>
              <w:t>）</w:t>
            </w:r>
          </w:p>
        </w:tc>
        <w:tc>
          <w:tcPr>
            <w:tcW w:w="1341" w:type="dxa"/>
            <w:noWrap w:val="0"/>
            <w:vAlign w:val="center"/>
          </w:tcPr>
          <w:p w14:paraId="4A75FBC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核算排放速率/（kg/h）</w:t>
            </w:r>
          </w:p>
        </w:tc>
        <w:tc>
          <w:tcPr>
            <w:tcW w:w="1467" w:type="dxa"/>
            <w:noWrap w:val="0"/>
            <w:vAlign w:val="center"/>
          </w:tcPr>
          <w:p w14:paraId="352927A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核算年排放量/（t/a）</w:t>
            </w:r>
          </w:p>
        </w:tc>
      </w:tr>
      <w:tr w14:paraId="39113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42" w:type="dxa"/>
            <w:gridSpan w:val="6"/>
            <w:noWrap w:val="0"/>
            <w:vAlign w:val="center"/>
          </w:tcPr>
          <w:p w14:paraId="65E022B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主要排放口</w:t>
            </w:r>
          </w:p>
        </w:tc>
      </w:tr>
      <w:tr w14:paraId="1BE87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restart"/>
            <w:noWrap w:val="0"/>
            <w:vAlign w:val="center"/>
          </w:tcPr>
          <w:p w14:paraId="4F9F0DC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215" w:type="dxa"/>
            <w:vMerge w:val="restart"/>
            <w:noWrap w:val="0"/>
            <w:vAlign w:val="center"/>
          </w:tcPr>
          <w:p w14:paraId="01E121A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DA001</w:t>
            </w:r>
          </w:p>
        </w:tc>
        <w:tc>
          <w:tcPr>
            <w:tcW w:w="1410" w:type="dxa"/>
            <w:noWrap w:val="0"/>
            <w:vAlign w:val="center"/>
          </w:tcPr>
          <w:p w14:paraId="2708ED7E">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2520" w:type="dxa"/>
            <w:noWrap w:val="0"/>
            <w:vAlign w:val="center"/>
          </w:tcPr>
          <w:p w14:paraId="7BBC144B">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19.89</w:t>
            </w:r>
          </w:p>
        </w:tc>
        <w:tc>
          <w:tcPr>
            <w:tcW w:w="1341" w:type="dxa"/>
            <w:noWrap w:val="0"/>
            <w:vAlign w:val="center"/>
          </w:tcPr>
          <w:p w14:paraId="3456E624">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0.0619</w:t>
            </w:r>
          </w:p>
        </w:tc>
        <w:tc>
          <w:tcPr>
            <w:tcW w:w="1467" w:type="dxa"/>
            <w:noWrap w:val="0"/>
            <w:vAlign w:val="center"/>
          </w:tcPr>
          <w:p w14:paraId="4CA65AFD">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0.4455</w:t>
            </w:r>
          </w:p>
        </w:tc>
      </w:tr>
      <w:tr w14:paraId="65EB6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continue"/>
            <w:noWrap w:val="0"/>
            <w:vAlign w:val="center"/>
          </w:tcPr>
          <w:p w14:paraId="1D70C86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15" w:type="dxa"/>
            <w:vMerge w:val="continue"/>
            <w:noWrap w:val="0"/>
            <w:vAlign w:val="center"/>
          </w:tcPr>
          <w:p w14:paraId="53F6137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410" w:type="dxa"/>
            <w:noWrap w:val="0"/>
            <w:vAlign w:val="center"/>
          </w:tcPr>
          <w:p w14:paraId="22B9BBA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NOx</w:t>
            </w:r>
          </w:p>
        </w:tc>
        <w:tc>
          <w:tcPr>
            <w:tcW w:w="2520" w:type="dxa"/>
            <w:noWrap w:val="0"/>
            <w:vAlign w:val="center"/>
          </w:tcPr>
          <w:p w14:paraId="1BE1C53F">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65.01</w:t>
            </w:r>
          </w:p>
        </w:tc>
        <w:tc>
          <w:tcPr>
            <w:tcW w:w="1341" w:type="dxa"/>
            <w:noWrap w:val="0"/>
            <w:vAlign w:val="center"/>
          </w:tcPr>
          <w:p w14:paraId="13075A9A">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0.2023</w:t>
            </w:r>
          </w:p>
        </w:tc>
        <w:tc>
          <w:tcPr>
            <w:tcW w:w="1467" w:type="dxa"/>
            <w:noWrap w:val="0"/>
            <w:vAlign w:val="center"/>
          </w:tcPr>
          <w:p w14:paraId="29F8C342">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1.4565</w:t>
            </w:r>
          </w:p>
        </w:tc>
      </w:tr>
      <w:tr w14:paraId="54EFF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continue"/>
            <w:noWrap w:val="0"/>
            <w:vAlign w:val="center"/>
          </w:tcPr>
          <w:p w14:paraId="1345688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15" w:type="dxa"/>
            <w:vMerge w:val="continue"/>
            <w:noWrap w:val="0"/>
            <w:vAlign w:val="center"/>
          </w:tcPr>
          <w:p w14:paraId="121D716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410" w:type="dxa"/>
            <w:noWrap w:val="0"/>
            <w:vAlign w:val="center"/>
          </w:tcPr>
          <w:p w14:paraId="545D186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p>
        </w:tc>
        <w:tc>
          <w:tcPr>
            <w:tcW w:w="2520" w:type="dxa"/>
            <w:noWrap w:val="0"/>
            <w:vAlign w:val="center"/>
          </w:tcPr>
          <w:p w14:paraId="2B9EA94C">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2.57</w:t>
            </w:r>
          </w:p>
        </w:tc>
        <w:tc>
          <w:tcPr>
            <w:tcW w:w="1341" w:type="dxa"/>
            <w:noWrap w:val="0"/>
            <w:vAlign w:val="center"/>
          </w:tcPr>
          <w:p w14:paraId="72C88831">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0.008</w:t>
            </w:r>
          </w:p>
        </w:tc>
        <w:tc>
          <w:tcPr>
            <w:tcW w:w="1467" w:type="dxa"/>
            <w:noWrap w:val="0"/>
            <w:vAlign w:val="center"/>
          </w:tcPr>
          <w:p w14:paraId="66CEA596">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0.06</w:t>
            </w:r>
          </w:p>
        </w:tc>
      </w:tr>
      <w:tr w14:paraId="7A68A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continue"/>
            <w:noWrap w:val="0"/>
            <w:vAlign w:val="center"/>
          </w:tcPr>
          <w:p w14:paraId="266E6D5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15" w:type="dxa"/>
            <w:vMerge w:val="continue"/>
            <w:noWrap w:val="0"/>
            <w:vAlign w:val="center"/>
          </w:tcPr>
          <w:p w14:paraId="4C32B9C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410" w:type="dxa"/>
            <w:noWrap w:val="0"/>
            <w:vAlign w:val="center"/>
          </w:tcPr>
          <w:p w14:paraId="12FF052B">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2520" w:type="dxa"/>
            <w:noWrap w:val="0"/>
            <w:vAlign w:val="center"/>
          </w:tcPr>
          <w:p w14:paraId="789D7CC6">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9.64</w:t>
            </w:r>
          </w:p>
        </w:tc>
        <w:tc>
          <w:tcPr>
            <w:tcW w:w="1341" w:type="dxa"/>
            <w:noWrap w:val="0"/>
            <w:vAlign w:val="center"/>
          </w:tcPr>
          <w:p w14:paraId="74A8FF6B">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0.03</w:t>
            </w:r>
          </w:p>
        </w:tc>
        <w:tc>
          <w:tcPr>
            <w:tcW w:w="1467" w:type="dxa"/>
            <w:noWrap w:val="0"/>
            <w:vAlign w:val="center"/>
          </w:tcPr>
          <w:p w14:paraId="4454CBB9">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0.215</w:t>
            </w:r>
          </w:p>
        </w:tc>
      </w:tr>
      <w:tr w14:paraId="4E718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restart"/>
            <w:noWrap w:val="0"/>
            <w:vAlign w:val="center"/>
          </w:tcPr>
          <w:p w14:paraId="418ECCE1">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w:t>
            </w:r>
          </w:p>
        </w:tc>
        <w:tc>
          <w:tcPr>
            <w:tcW w:w="1215" w:type="dxa"/>
            <w:vMerge w:val="restart"/>
            <w:noWrap w:val="0"/>
            <w:vAlign w:val="center"/>
          </w:tcPr>
          <w:p w14:paraId="2681AC8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DA002</w:t>
            </w:r>
          </w:p>
        </w:tc>
        <w:tc>
          <w:tcPr>
            <w:tcW w:w="1410" w:type="dxa"/>
            <w:noWrap w:val="0"/>
            <w:vAlign w:val="center"/>
          </w:tcPr>
          <w:p w14:paraId="71DB8D3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2520" w:type="dxa"/>
            <w:noWrap w:val="0"/>
            <w:vAlign w:val="center"/>
          </w:tcPr>
          <w:p w14:paraId="75C4BF02">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19.89</w:t>
            </w:r>
          </w:p>
        </w:tc>
        <w:tc>
          <w:tcPr>
            <w:tcW w:w="1341" w:type="dxa"/>
            <w:noWrap w:val="0"/>
            <w:vAlign w:val="center"/>
          </w:tcPr>
          <w:p w14:paraId="7E176AFF">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0.0619</w:t>
            </w:r>
          </w:p>
        </w:tc>
        <w:tc>
          <w:tcPr>
            <w:tcW w:w="1467" w:type="dxa"/>
            <w:noWrap w:val="0"/>
            <w:vAlign w:val="center"/>
          </w:tcPr>
          <w:p w14:paraId="134B27E5">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0.4455</w:t>
            </w:r>
          </w:p>
        </w:tc>
      </w:tr>
      <w:tr w14:paraId="09422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continue"/>
            <w:noWrap w:val="0"/>
            <w:vAlign w:val="center"/>
          </w:tcPr>
          <w:p w14:paraId="09CDCBDD">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215" w:type="dxa"/>
            <w:vMerge w:val="continue"/>
            <w:noWrap w:val="0"/>
            <w:vAlign w:val="center"/>
          </w:tcPr>
          <w:p w14:paraId="71836941">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410" w:type="dxa"/>
            <w:noWrap w:val="0"/>
            <w:vAlign w:val="center"/>
          </w:tcPr>
          <w:p w14:paraId="29BCCA3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NOx</w:t>
            </w:r>
          </w:p>
        </w:tc>
        <w:tc>
          <w:tcPr>
            <w:tcW w:w="2520" w:type="dxa"/>
            <w:noWrap w:val="0"/>
            <w:vAlign w:val="center"/>
          </w:tcPr>
          <w:p w14:paraId="2AA5975E">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65.01</w:t>
            </w:r>
          </w:p>
        </w:tc>
        <w:tc>
          <w:tcPr>
            <w:tcW w:w="1341" w:type="dxa"/>
            <w:noWrap w:val="0"/>
            <w:vAlign w:val="center"/>
          </w:tcPr>
          <w:p w14:paraId="7BD2E12B">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0.2023</w:t>
            </w:r>
          </w:p>
        </w:tc>
        <w:tc>
          <w:tcPr>
            <w:tcW w:w="1467" w:type="dxa"/>
            <w:noWrap w:val="0"/>
            <w:vAlign w:val="center"/>
          </w:tcPr>
          <w:p w14:paraId="28A5F350">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1.4565</w:t>
            </w:r>
          </w:p>
        </w:tc>
      </w:tr>
      <w:tr w14:paraId="340BB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continue"/>
            <w:noWrap w:val="0"/>
            <w:vAlign w:val="center"/>
          </w:tcPr>
          <w:p w14:paraId="13632855">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215" w:type="dxa"/>
            <w:vMerge w:val="continue"/>
            <w:noWrap w:val="0"/>
            <w:vAlign w:val="center"/>
          </w:tcPr>
          <w:p w14:paraId="1A13260F">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410" w:type="dxa"/>
            <w:noWrap w:val="0"/>
            <w:vAlign w:val="center"/>
          </w:tcPr>
          <w:p w14:paraId="0DEEC0B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p>
        </w:tc>
        <w:tc>
          <w:tcPr>
            <w:tcW w:w="2520" w:type="dxa"/>
            <w:noWrap w:val="0"/>
            <w:vAlign w:val="center"/>
          </w:tcPr>
          <w:p w14:paraId="0453E39C">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2.57</w:t>
            </w:r>
          </w:p>
        </w:tc>
        <w:tc>
          <w:tcPr>
            <w:tcW w:w="1341" w:type="dxa"/>
            <w:noWrap w:val="0"/>
            <w:vAlign w:val="center"/>
          </w:tcPr>
          <w:p w14:paraId="1726E211">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0.008</w:t>
            </w:r>
          </w:p>
        </w:tc>
        <w:tc>
          <w:tcPr>
            <w:tcW w:w="1467" w:type="dxa"/>
            <w:noWrap w:val="0"/>
            <w:vAlign w:val="center"/>
          </w:tcPr>
          <w:p w14:paraId="6DAC7AE6">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0.06</w:t>
            </w:r>
          </w:p>
        </w:tc>
      </w:tr>
      <w:tr w14:paraId="33072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continue"/>
            <w:noWrap w:val="0"/>
            <w:vAlign w:val="center"/>
          </w:tcPr>
          <w:p w14:paraId="0487B117">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215" w:type="dxa"/>
            <w:vMerge w:val="continue"/>
            <w:noWrap w:val="0"/>
            <w:vAlign w:val="center"/>
          </w:tcPr>
          <w:p w14:paraId="314C8873">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410" w:type="dxa"/>
            <w:noWrap w:val="0"/>
            <w:vAlign w:val="center"/>
          </w:tcPr>
          <w:p w14:paraId="4CD2FA2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2520" w:type="dxa"/>
            <w:noWrap w:val="0"/>
            <w:vAlign w:val="center"/>
          </w:tcPr>
          <w:p w14:paraId="78AF828B">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9.64</w:t>
            </w:r>
          </w:p>
        </w:tc>
        <w:tc>
          <w:tcPr>
            <w:tcW w:w="1341" w:type="dxa"/>
            <w:noWrap w:val="0"/>
            <w:vAlign w:val="center"/>
          </w:tcPr>
          <w:p w14:paraId="69E60C8B">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0.03</w:t>
            </w:r>
          </w:p>
        </w:tc>
        <w:tc>
          <w:tcPr>
            <w:tcW w:w="1467" w:type="dxa"/>
            <w:noWrap w:val="0"/>
            <w:vAlign w:val="center"/>
          </w:tcPr>
          <w:p w14:paraId="310C0468">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0.215</w:t>
            </w:r>
          </w:p>
        </w:tc>
      </w:tr>
      <w:tr w14:paraId="13A71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restart"/>
            <w:noWrap w:val="0"/>
            <w:vAlign w:val="center"/>
          </w:tcPr>
          <w:p w14:paraId="6AAD31D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w:t>
            </w:r>
          </w:p>
        </w:tc>
        <w:tc>
          <w:tcPr>
            <w:tcW w:w="1215" w:type="dxa"/>
            <w:vMerge w:val="restart"/>
            <w:noWrap w:val="0"/>
            <w:vAlign w:val="center"/>
          </w:tcPr>
          <w:p w14:paraId="1DAC7F8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DA003</w:t>
            </w:r>
          </w:p>
        </w:tc>
        <w:tc>
          <w:tcPr>
            <w:tcW w:w="1410" w:type="dxa"/>
            <w:noWrap w:val="0"/>
            <w:vAlign w:val="center"/>
          </w:tcPr>
          <w:p w14:paraId="1FBFE49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2520" w:type="dxa"/>
            <w:noWrap w:val="0"/>
            <w:vAlign w:val="center"/>
          </w:tcPr>
          <w:p w14:paraId="13176F32">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19.89</w:t>
            </w:r>
          </w:p>
        </w:tc>
        <w:tc>
          <w:tcPr>
            <w:tcW w:w="1341" w:type="dxa"/>
            <w:noWrap w:val="0"/>
            <w:vAlign w:val="center"/>
          </w:tcPr>
          <w:p w14:paraId="5167E680">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0.0619</w:t>
            </w:r>
          </w:p>
        </w:tc>
        <w:tc>
          <w:tcPr>
            <w:tcW w:w="1467" w:type="dxa"/>
            <w:noWrap w:val="0"/>
            <w:vAlign w:val="center"/>
          </w:tcPr>
          <w:p w14:paraId="3F2EFAD9">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0.4455</w:t>
            </w:r>
          </w:p>
        </w:tc>
      </w:tr>
      <w:tr w14:paraId="0765F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continue"/>
            <w:noWrap w:val="0"/>
            <w:vAlign w:val="center"/>
          </w:tcPr>
          <w:p w14:paraId="46914728">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215" w:type="dxa"/>
            <w:vMerge w:val="continue"/>
            <w:noWrap w:val="0"/>
            <w:vAlign w:val="center"/>
          </w:tcPr>
          <w:p w14:paraId="578A7637">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410" w:type="dxa"/>
            <w:noWrap w:val="0"/>
            <w:vAlign w:val="center"/>
          </w:tcPr>
          <w:p w14:paraId="50C5C90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NOx</w:t>
            </w:r>
          </w:p>
        </w:tc>
        <w:tc>
          <w:tcPr>
            <w:tcW w:w="2520" w:type="dxa"/>
            <w:noWrap w:val="0"/>
            <w:vAlign w:val="center"/>
          </w:tcPr>
          <w:p w14:paraId="39F25C83">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65.01</w:t>
            </w:r>
          </w:p>
        </w:tc>
        <w:tc>
          <w:tcPr>
            <w:tcW w:w="1341" w:type="dxa"/>
            <w:noWrap w:val="0"/>
            <w:vAlign w:val="center"/>
          </w:tcPr>
          <w:p w14:paraId="54FA528F">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0.2023</w:t>
            </w:r>
          </w:p>
        </w:tc>
        <w:tc>
          <w:tcPr>
            <w:tcW w:w="1467" w:type="dxa"/>
            <w:noWrap w:val="0"/>
            <w:vAlign w:val="center"/>
          </w:tcPr>
          <w:p w14:paraId="676532AA">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1.4565</w:t>
            </w:r>
          </w:p>
        </w:tc>
      </w:tr>
      <w:tr w14:paraId="69539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continue"/>
            <w:noWrap w:val="0"/>
            <w:vAlign w:val="center"/>
          </w:tcPr>
          <w:p w14:paraId="29D9BE64">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215" w:type="dxa"/>
            <w:vMerge w:val="continue"/>
            <w:noWrap w:val="0"/>
            <w:vAlign w:val="center"/>
          </w:tcPr>
          <w:p w14:paraId="2D31C420">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1410" w:type="dxa"/>
            <w:noWrap w:val="0"/>
            <w:vAlign w:val="center"/>
          </w:tcPr>
          <w:p w14:paraId="5F561BF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p>
        </w:tc>
        <w:tc>
          <w:tcPr>
            <w:tcW w:w="2520" w:type="dxa"/>
            <w:noWrap w:val="0"/>
            <w:vAlign w:val="center"/>
          </w:tcPr>
          <w:p w14:paraId="04FE45E5">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2.57</w:t>
            </w:r>
          </w:p>
        </w:tc>
        <w:tc>
          <w:tcPr>
            <w:tcW w:w="1341" w:type="dxa"/>
            <w:noWrap w:val="0"/>
            <w:vAlign w:val="center"/>
          </w:tcPr>
          <w:p w14:paraId="64A2EBDB">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0.008</w:t>
            </w:r>
          </w:p>
        </w:tc>
        <w:tc>
          <w:tcPr>
            <w:tcW w:w="1467" w:type="dxa"/>
            <w:noWrap w:val="0"/>
            <w:vAlign w:val="center"/>
          </w:tcPr>
          <w:p w14:paraId="767EAEAE">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0.06</w:t>
            </w:r>
          </w:p>
        </w:tc>
      </w:tr>
      <w:tr w14:paraId="04662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9" w:type="dxa"/>
            <w:vMerge w:val="continue"/>
            <w:noWrap w:val="0"/>
            <w:vAlign w:val="center"/>
          </w:tcPr>
          <w:p w14:paraId="43978E6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15" w:type="dxa"/>
            <w:vMerge w:val="continue"/>
            <w:noWrap w:val="0"/>
            <w:vAlign w:val="center"/>
          </w:tcPr>
          <w:p w14:paraId="17E30F8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410" w:type="dxa"/>
            <w:noWrap w:val="0"/>
            <w:vAlign w:val="center"/>
          </w:tcPr>
          <w:p w14:paraId="212FE3A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2520" w:type="dxa"/>
            <w:noWrap w:val="0"/>
            <w:vAlign w:val="center"/>
          </w:tcPr>
          <w:p w14:paraId="187F8DD4">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9.64</w:t>
            </w:r>
          </w:p>
        </w:tc>
        <w:tc>
          <w:tcPr>
            <w:tcW w:w="1341" w:type="dxa"/>
            <w:noWrap w:val="0"/>
            <w:vAlign w:val="center"/>
          </w:tcPr>
          <w:p w14:paraId="0FA33045">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0.03</w:t>
            </w:r>
          </w:p>
        </w:tc>
        <w:tc>
          <w:tcPr>
            <w:tcW w:w="1467" w:type="dxa"/>
            <w:noWrap w:val="0"/>
            <w:vAlign w:val="center"/>
          </w:tcPr>
          <w:p w14:paraId="63655EF1">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0.215</w:t>
            </w:r>
          </w:p>
        </w:tc>
      </w:tr>
      <w:tr w14:paraId="1DE69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04" w:type="dxa"/>
            <w:gridSpan w:val="2"/>
            <w:vMerge w:val="restart"/>
            <w:noWrap w:val="0"/>
            <w:vAlign w:val="center"/>
          </w:tcPr>
          <w:p w14:paraId="0DDFF2E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主要</w:t>
            </w:r>
            <w:r>
              <w:rPr>
                <w:rFonts w:hint="default" w:ascii="Times New Roman" w:hAnsi="Times New Roman" w:eastAsia="宋体" w:cs="Times New Roman"/>
                <w:color w:val="auto"/>
                <w:kern w:val="2"/>
                <w:sz w:val="21"/>
                <w:szCs w:val="21"/>
                <w:highlight w:val="none"/>
                <w:lang w:val="en-US" w:eastAsia="zh-CN" w:bidi="ar-SA"/>
              </w:rPr>
              <w:t>排放口合计</w:t>
            </w:r>
          </w:p>
        </w:tc>
        <w:tc>
          <w:tcPr>
            <w:tcW w:w="5271" w:type="dxa"/>
            <w:gridSpan w:val="3"/>
            <w:noWrap w:val="0"/>
            <w:vAlign w:val="center"/>
          </w:tcPr>
          <w:p w14:paraId="16358FE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1467" w:type="dxa"/>
            <w:noWrap w:val="0"/>
            <w:vAlign w:val="center"/>
          </w:tcPr>
          <w:p w14:paraId="28CB8C5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1.3365</w:t>
            </w:r>
          </w:p>
        </w:tc>
      </w:tr>
      <w:tr w14:paraId="3CFFB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04" w:type="dxa"/>
            <w:gridSpan w:val="2"/>
            <w:vMerge w:val="continue"/>
            <w:noWrap w:val="0"/>
            <w:vAlign w:val="center"/>
          </w:tcPr>
          <w:p w14:paraId="75123DDD">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5271" w:type="dxa"/>
            <w:gridSpan w:val="3"/>
            <w:noWrap w:val="0"/>
            <w:vAlign w:val="center"/>
          </w:tcPr>
          <w:p w14:paraId="0983220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NOx</w:t>
            </w:r>
          </w:p>
        </w:tc>
        <w:tc>
          <w:tcPr>
            <w:tcW w:w="1467" w:type="dxa"/>
            <w:noWrap w:val="0"/>
            <w:vAlign w:val="center"/>
          </w:tcPr>
          <w:p w14:paraId="114E15B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4.3694</w:t>
            </w:r>
          </w:p>
        </w:tc>
      </w:tr>
      <w:tr w14:paraId="5C622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04" w:type="dxa"/>
            <w:gridSpan w:val="2"/>
            <w:vMerge w:val="continue"/>
            <w:noWrap w:val="0"/>
            <w:vAlign w:val="center"/>
          </w:tcPr>
          <w:p w14:paraId="69DD3B25">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p>
        </w:tc>
        <w:tc>
          <w:tcPr>
            <w:tcW w:w="5271" w:type="dxa"/>
            <w:gridSpan w:val="3"/>
            <w:noWrap w:val="0"/>
            <w:vAlign w:val="center"/>
          </w:tcPr>
          <w:p w14:paraId="68950E6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p>
        </w:tc>
        <w:tc>
          <w:tcPr>
            <w:tcW w:w="1467" w:type="dxa"/>
            <w:noWrap w:val="0"/>
            <w:vAlign w:val="center"/>
          </w:tcPr>
          <w:p w14:paraId="1A8051B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0.18</w:t>
            </w:r>
          </w:p>
        </w:tc>
      </w:tr>
      <w:tr w14:paraId="6CDBE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804" w:type="dxa"/>
            <w:gridSpan w:val="2"/>
            <w:vMerge w:val="continue"/>
            <w:noWrap w:val="0"/>
            <w:vAlign w:val="center"/>
          </w:tcPr>
          <w:p w14:paraId="6216751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5271" w:type="dxa"/>
            <w:gridSpan w:val="3"/>
            <w:noWrap w:val="0"/>
            <w:vAlign w:val="center"/>
          </w:tcPr>
          <w:p w14:paraId="7168605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1467" w:type="dxa"/>
            <w:noWrap w:val="0"/>
            <w:vAlign w:val="center"/>
          </w:tcPr>
          <w:p w14:paraId="2F2DC1E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0.615</w:t>
            </w:r>
          </w:p>
        </w:tc>
      </w:tr>
      <w:tr w14:paraId="590CF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8542" w:type="dxa"/>
            <w:gridSpan w:val="6"/>
            <w:noWrap w:val="0"/>
            <w:vAlign w:val="center"/>
          </w:tcPr>
          <w:p w14:paraId="7FBF6FB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一般排放口</w:t>
            </w:r>
          </w:p>
        </w:tc>
      </w:tr>
      <w:tr w14:paraId="50CBD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8542" w:type="dxa"/>
            <w:gridSpan w:val="6"/>
            <w:noWrap w:val="0"/>
            <w:vAlign w:val="center"/>
          </w:tcPr>
          <w:p w14:paraId="15E9153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无</w:t>
            </w:r>
          </w:p>
        </w:tc>
      </w:tr>
      <w:tr w14:paraId="65241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42" w:type="dxa"/>
            <w:gridSpan w:val="6"/>
            <w:noWrap w:val="0"/>
            <w:vAlign w:val="center"/>
          </w:tcPr>
          <w:p w14:paraId="5DD74D2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有组织排放总计</w:t>
            </w:r>
          </w:p>
        </w:tc>
      </w:tr>
      <w:tr w14:paraId="6E77A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04" w:type="dxa"/>
            <w:gridSpan w:val="2"/>
            <w:vMerge w:val="restart"/>
            <w:noWrap w:val="0"/>
            <w:vAlign w:val="center"/>
          </w:tcPr>
          <w:p w14:paraId="5E41767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有组织排放总计</w:t>
            </w:r>
          </w:p>
        </w:tc>
        <w:tc>
          <w:tcPr>
            <w:tcW w:w="5271" w:type="dxa"/>
            <w:gridSpan w:val="3"/>
            <w:noWrap w:val="0"/>
            <w:vAlign w:val="center"/>
          </w:tcPr>
          <w:p w14:paraId="5881142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1467" w:type="dxa"/>
            <w:noWrap w:val="0"/>
            <w:vAlign w:val="center"/>
          </w:tcPr>
          <w:p w14:paraId="715786F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1.3365</w:t>
            </w:r>
          </w:p>
        </w:tc>
      </w:tr>
      <w:tr w14:paraId="61442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04" w:type="dxa"/>
            <w:gridSpan w:val="2"/>
            <w:vMerge w:val="continue"/>
            <w:noWrap w:val="0"/>
            <w:vAlign w:val="center"/>
          </w:tcPr>
          <w:p w14:paraId="2821BA0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5271" w:type="dxa"/>
            <w:gridSpan w:val="3"/>
            <w:noWrap w:val="0"/>
            <w:vAlign w:val="center"/>
          </w:tcPr>
          <w:p w14:paraId="0C5AA0A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NOx</w:t>
            </w:r>
          </w:p>
        </w:tc>
        <w:tc>
          <w:tcPr>
            <w:tcW w:w="1467" w:type="dxa"/>
            <w:noWrap w:val="0"/>
            <w:vAlign w:val="center"/>
          </w:tcPr>
          <w:p w14:paraId="4AB0A7D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4.3694</w:t>
            </w:r>
          </w:p>
        </w:tc>
      </w:tr>
      <w:tr w14:paraId="478B6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04" w:type="dxa"/>
            <w:gridSpan w:val="2"/>
            <w:vMerge w:val="continue"/>
            <w:noWrap w:val="0"/>
            <w:vAlign w:val="center"/>
          </w:tcPr>
          <w:p w14:paraId="52B445F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5271" w:type="dxa"/>
            <w:gridSpan w:val="3"/>
            <w:noWrap w:val="0"/>
            <w:vAlign w:val="center"/>
          </w:tcPr>
          <w:p w14:paraId="1A47717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p>
        </w:tc>
        <w:tc>
          <w:tcPr>
            <w:tcW w:w="1467" w:type="dxa"/>
            <w:noWrap w:val="0"/>
            <w:vAlign w:val="center"/>
          </w:tcPr>
          <w:p w14:paraId="71941BF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0.18</w:t>
            </w:r>
          </w:p>
        </w:tc>
      </w:tr>
      <w:tr w14:paraId="1783F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04" w:type="dxa"/>
            <w:gridSpan w:val="2"/>
            <w:vMerge w:val="continue"/>
            <w:noWrap w:val="0"/>
            <w:vAlign w:val="center"/>
          </w:tcPr>
          <w:p w14:paraId="464BBD0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5271" w:type="dxa"/>
            <w:gridSpan w:val="3"/>
            <w:noWrap w:val="0"/>
            <w:vAlign w:val="center"/>
          </w:tcPr>
          <w:p w14:paraId="45A3C3B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1467" w:type="dxa"/>
            <w:noWrap w:val="0"/>
            <w:vAlign w:val="center"/>
          </w:tcPr>
          <w:p w14:paraId="4DFEF3A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0.615</w:t>
            </w:r>
          </w:p>
        </w:tc>
      </w:tr>
    </w:tbl>
    <w:p w14:paraId="0724543C">
      <w:pPr>
        <w:widowControl/>
        <w:wordWrap w:val="0"/>
        <w:bidi w:val="0"/>
        <w:spacing w:line="240" w:lineRule="auto"/>
        <w:ind w:firstLine="0" w:firstLineChars="0"/>
        <w:jc w:val="center"/>
        <w:rPr>
          <w:rFonts w:ascii="Times New Roman" w:hAnsi="Times New Roman" w:eastAsia="宋体" w:cs="Times New Roman"/>
          <w:b/>
          <w:bCs/>
          <w:color w:val="auto"/>
          <w:kern w:val="2"/>
          <w:sz w:val="24"/>
          <w:szCs w:val="21"/>
          <w:highlight w:val="none"/>
          <w:lang w:val="en-US" w:eastAsia="zh-CN" w:bidi="ar-SA"/>
        </w:rPr>
      </w:pPr>
      <w:bookmarkStart w:id="427" w:name="_Ref488964758"/>
      <w:r>
        <w:rPr>
          <w:rFonts w:ascii="Times New Roman" w:hAnsi="Times New Roman" w:eastAsia="宋体" w:cs="Times New Roman"/>
          <w:b/>
          <w:bCs/>
          <w:color w:val="auto"/>
          <w:kern w:val="2"/>
          <w:sz w:val="24"/>
          <w:szCs w:val="21"/>
          <w:highlight w:val="none"/>
          <w:lang w:val="en-US" w:eastAsia="zh-CN" w:bidi="ar-SA"/>
        </w:rPr>
        <w:t>表</w:t>
      </w:r>
      <w:bookmarkEnd w:id="427"/>
      <w:r>
        <w:rPr>
          <w:rFonts w:hint="eastAsia" w:ascii="Times New Roman" w:hAnsi="Times New Roman" w:eastAsia="宋体" w:cs="Times New Roman"/>
          <w:b/>
          <w:bCs/>
          <w:color w:val="auto"/>
          <w:kern w:val="2"/>
          <w:sz w:val="24"/>
          <w:szCs w:val="21"/>
          <w:highlight w:val="none"/>
          <w:lang w:val="en-US" w:eastAsia="zh-CN" w:bidi="ar-SA"/>
        </w:rPr>
        <w:t>5.2-1</w:t>
      </w:r>
      <w:r>
        <w:rPr>
          <w:rFonts w:hint="eastAsia" w:cs="Times New Roman"/>
          <w:b/>
          <w:bCs/>
          <w:color w:val="auto"/>
          <w:kern w:val="2"/>
          <w:sz w:val="24"/>
          <w:szCs w:val="21"/>
          <w:highlight w:val="none"/>
          <w:lang w:val="en-US" w:eastAsia="zh-CN" w:bidi="ar-SA"/>
        </w:rPr>
        <w:t>7</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ascii="Times New Roman" w:hAnsi="Times New Roman" w:eastAsia="宋体" w:cs="Times New Roman"/>
          <w:b/>
          <w:bCs/>
          <w:color w:val="auto"/>
          <w:kern w:val="2"/>
          <w:sz w:val="24"/>
          <w:szCs w:val="21"/>
          <w:highlight w:val="none"/>
          <w:lang w:val="en-US" w:eastAsia="zh-CN" w:bidi="ar-SA"/>
        </w:rPr>
        <w:t>大气污染物无组织排放量核算表</w:t>
      </w:r>
    </w:p>
    <w:tbl>
      <w:tblPr>
        <w:tblStyle w:val="49"/>
        <w:tblW w:w="85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
        <w:gridCol w:w="1455"/>
        <w:gridCol w:w="879"/>
        <w:gridCol w:w="1549"/>
        <w:gridCol w:w="1470"/>
        <w:gridCol w:w="1440"/>
        <w:gridCol w:w="1290"/>
      </w:tblGrid>
      <w:tr w14:paraId="6861F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62" w:type="dxa"/>
            <w:vMerge w:val="restart"/>
            <w:noWrap w:val="0"/>
            <w:vAlign w:val="center"/>
          </w:tcPr>
          <w:p w14:paraId="51ED399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序号</w:t>
            </w:r>
          </w:p>
        </w:tc>
        <w:tc>
          <w:tcPr>
            <w:tcW w:w="1455" w:type="dxa"/>
            <w:vMerge w:val="restart"/>
            <w:noWrap w:val="0"/>
            <w:vAlign w:val="center"/>
          </w:tcPr>
          <w:p w14:paraId="4F02398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val="0"/>
                <w:color w:val="auto"/>
                <w:kern w:val="2"/>
                <w:sz w:val="21"/>
                <w:szCs w:val="21"/>
                <w:highlight w:val="none"/>
                <w:lang w:val="en-US" w:eastAsia="zh-CN" w:bidi="ar-SA"/>
              </w:rPr>
              <w:t>污染源名称</w:t>
            </w:r>
          </w:p>
        </w:tc>
        <w:tc>
          <w:tcPr>
            <w:tcW w:w="879" w:type="dxa"/>
            <w:vMerge w:val="restart"/>
            <w:noWrap w:val="0"/>
            <w:vAlign w:val="center"/>
          </w:tcPr>
          <w:p w14:paraId="6B504ED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污染物</w:t>
            </w:r>
          </w:p>
        </w:tc>
        <w:tc>
          <w:tcPr>
            <w:tcW w:w="1549" w:type="dxa"/>
            <w:vMerge w:val="restart"/>
            <w:noWrap w:val="0"/>
            <w:vAlign w:val="center"/>
          </w:tcPr>
          <w:p w14:paraId="503A7E1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主要污染防治措施</w:t>
            </w:r>
          </w:p>
        </w:tc>
        <w:tc>
          <w:tcPr>
            <w:tcW w:w="2910" w:type="dxa"/>
            <w:gridSpan w:val="2"/>
            <w:noWrap w:val="0"/>
            <w:vAlign w:val="center"/>
          </w:tcPr>
          <w:p w14:paraId="6BAC614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国家或地方污染物排放标准</w:t>
            </w:r>
          </w:p>
        </w:tc>
        <w:tc>
          <w:tcPr>
            <w:tcW w:w="1290" w:type="dxa"/>
            <w:vMerge w:val="restart"/>
            <w:noWrap w:val="0"/>
            <w:vAlign w:val="center"/>
          </w:tcPr>
          <w:p w14:paraId="2E8C327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年排放量/（t/a）</w:t>
            </w:r>
          </w:p>
        </w:tc>
      </w:tr>
      <w:tr w14:paraId="4C368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62" w:type="dxa"/>
            <w:vMerge w:val="continue"/>
            <w:noWrap w:val="0"/>
            <w:vAlign w:val="center"/>
          </w:tcPr>
          <w:p w14:paraId="138473D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p>
        </w:tc>
        <w:tc>
          <w:tcPr>
            <w:tcW w:w="1455" w:type="dxa"/>
            <w:vMerge w:val="continue"/>
            <w:noWrap w:val="0"/>
            <w:vAlign w:val="center"/>
          </w:tcPr>
          <w:p w14:paraId="7A7DF2E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p>
        </w:tc>
        <w:tc>
          <w:tcPr>
            <w:tcW w:w="879" w:type="dxa"/>
            <w:vMerge w:val="continue"/>
            <w:noWrap w:val="0"/>
            <w:vAlign w:val="center"/>
          </w:tcPr>
          <w:p w14:paraId="5E02A2D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p>
        </w:tc>
        <w:tc>
          <w:tcPr>
            <w:tcW w:w="1549" w:type="dxa"/>
            <w:vMerge w:val="continue"/>
            <w:noWrap w:val="0"/>
            <w:vAlign w:val="center"/>
          </w:tcPr>
          <w:p w14:paraId="49B4AF1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p>
        </w:tc>
        <w:tc>
          <w:tcPr>
            <w:tcW w:w="1470" w:type="dxa"/>
            <w:noWrap w:val="0"/>
            <w:vAlign w:val="center"/>
          </w:tcPr>
          <w:p w14:paraId="74E74BB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标准名称</w:t>
            </w:r>
          </w:p>
        </w:tc>
        <w:tc>
          <w:tcPr>
            <w:tcW w:w="1440" w:type="dxa"/>
            <w:noWrap w:val="0"/>
            <w:vAlign w:val="center"/>
          </w:tcPr>
          <w:p w14:paraId="2B565C3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浓度限值/</w:t>
            </w:r>
          </w:p>
          <w:p w14:paraId="27C6935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eastAsia" w:ascii="Times New Roman" w:hAnsi="Times New Roman" w:eastAsia="宋体" w:cs="Times New Roman"/>
                <w:b/>
                <w:bCs w:val="0"/>
                <w:color w:val="auto"/>
                <w:kern w:val="2"/>
                <w:sz w:val="21"/>
                <w:szCs w:val="21"/>
                <w:highlight w:val="none"/>
                <w:lang w:val="en-US" w:eastAsia="zh-CN" w:bidi="ar-SA"/>
              </w:rPr>
              <w:t>(</w:t>
            </w:r>
            <w:r>
              <w:rPr>
                <w:rFonts w:hint="default" w:ascii="Times New Roman" w:hAnsi="Times New Roman" w:eastAsia="宋体" w:cs="Times New Roman"/>
                <w:b/>
                <w:bCs w:val="0"/>
                <w:color w:val="auto"/>
                <w:kern w:val="2"/>
                <w:sz w:val="21"/>
                <w:szCs w:val="21"/>
                <w:highlight w:val="none"/>
                <w:lang w:val="en-US" w:eastAsia="zh-CN" w:bidi="ar-SA"/>
              </w:rPr>
              <w:t>μg/m</w:t>
            </w:r>
            <w:r>
              <w:rPr>
                <w:rFonts w:hint="default" w:ascii="Times New Roman" w:hAnsi="Times New Roman" w:eastAsia="宋体" w:cs="Times New Roman"/>
                <w:b/>
                <w:bCs w:val="0"/>
                <w:color w:val="auto"/>
                <w:kern w:val="2"/>
                <w:sz w:val="21"/>
                <w:szCs w:val="21"/>
                <w:highlight w:val="none"/>
                <w:vertAlign w:val="superscript"/>
                <w:lang w:val="en-US" w:eastAsia="zh-CN" w:bidi="ar-SA"/>
              </w:rPr>
              <w:t>3</w:t>
            </w:r>
            <w:r>
              <w:rPr>
                <w:rFonts w:hint="eastAsia" w:ascii="Times New Roman" w:hAnsi="Times New Roman" w:eastAsia="宋体" w:cs="Times New Roman"/>
                <w:b/>
                <w:bCs w:val="0"/>
                <w:color w:val="auto"/>
                <w:kern w:val="2"/>
                <w:sz w:val="21"/>
                <w:szCs w:val="21"/>
                <w:highlight w:val="none"/>
                <w:vertAlign w:val="superscript"/>
                <w:lang w:val="en-US" w:eastAsia="zh-CN" w:bidi="ar-SA"/>
              </w:rPr>
              <w:t>)</w:t>
            </w:r>
          </w:p>
        </w:tc>
        <w:tc>
          <w:tcPr>
            <w:tcW w:w="1290" w:type="dxa"/>
            <w:vMerge w:val="continue"/>
            <w:noWrap w:val="0"/>
            <w:vAlign w:val="center"/>
          </w:tcPr>
          <w:p w14:paraId="1ADF693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r>
      <w:tr w14:paraId="2C77E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62" w:type="dxa"/>
            <w:noWrap w:val="0"/>
            <w:vAlign w:val="center"/>
          </w:tcPr>
          <w:p w14:paraId="47E5D2E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455" w:type="dxa"/>
            <w:noWrap w:val="0"/>
            <w:vAlign w:val="center"/>
          </w:tcPr>
          <w:p w14:paraId="4F7F579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站内</w:t>
            </w:r>
          </w:p>
        </w:tc>
        <w:tc>
          <w:tcPr>
            <w:tcW w:w="879" w:type="dxa"/>
            <w:noWrap w:val="0"/>
            <w:vAlign w:val="center"/>
          </w:tcPr>
          <w:p w14:paraId="5259DF0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1549" w:type="dxa"/>
            <w:noWrap w:val="0"/>
            <w:vAlign w:val="center"/>
          </w:tcPr>
          <w:p w14:paraId="5756038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设油气平衡装置及油气回收装置</w:t>
            </w:r>
          </w:p>
        </w:tc>
        <w:tc>
          <w:tcPr>
            <w:tcW w:w="1470" w:type="dxa"/>
            <w:noWrap w:val="0"/>
            <w:vAlign w:val="center"/>
          </w:tcPr>
          <w:p w14:paraId="5801B6E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ascii="Times New Roman" w:hAnsi="Times New Roman" w:eastAsia="宋体" w:cs="Times New Roman"/>
                <w:color w:val="auto"/>
                <w:kern w:val="2"/>
                <w:sz w:val="21"/>
                <w:szCs w:val="21"/>
                <w:highlight w:val="none"/>
                <w:lang w:val="en-US" w:eastAsia="zh-CN" w:bidi="ar-SA"/>
              </w:rPr>
              <w:t>《大气污染物综合排放标准》（GB16297-1996）</w:t>
            </w:r>
          </w:p>
        </w:tc>
        <w:tc>
          <w:tcPr>
            <w:tcW w:w="1440" w:type="dxa"/>
            <w:noWrap w:val="0"/>
            <w:vAlign w:val="center"/>
          </w:tcPr>
          <w:p w14:paraId="7E2968F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4000</w:t>
            </w:r>
          </w:p>
        </w:tc>
        <w:tc>
          <w:tcPr>
            <w:tcW w:w="1290" w:type="dxa"/>
            <w:noWrap w:val="0"/>
            <w:vAlign w:val="center"/>
          </w:tcPr>
          <w:p w14:paraId="55A70F8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1.1666</w:t>
            </w:r>
          </w:p>
        </w:tc>
      </w:tr>
      <w:tr w14:paraId="0EE23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8545" w:type="dxa"/>
            <w:gridSpan w:val="7"/>
            <w:noWrap w:val="0"/>
            <w:vAlign w:val="center"/>
          </w:tcPr>
          <w:p w14:paraId="2F25E37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无组织排放总计</w:t>
            </w:r>
          </w:p>
        </w:tc>
      </w:tr>
      <w:tr w14:paraId="084E9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2796" w:type="dxa"/>
            <w:gridSpan w:val="3"/>
            <w:noWrap w:val="0"/>
            <w:vAlign w:val="center"/>
          </w:tcPr>
          <w:p w14:paraId="68B533B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无组织排放总计</w:t>
            </w:r>
          </w:p>
        </w:tc>
        <w:tc>
          <w:tcPr>
            <w:tcW w:w="3019" w:type="dxa"/>
            <w:gridSpan w:val="2"/>
            <w:noWrap w:val="0"/>
            <w:vAlign w:val="center"/>
          </w:tcPr>
          <w:p w14:paraId="4A468CB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2730" w:type="dxa"/>
            <w:gridSpan w:val="2"/>
            <w:noWrap w:val="0"/>
            <w:vAlign w:val="center"/>
          </w:tcPr>
          <w:p w14:paraId="4C32E44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1.1666</w:t>
            </w:r>
          </w:p>
        </w:tc>
      </w:tr>
    </w:tbl>
    <w:p w14:paraId="2ADCA71A">
      <w:pPr>
        <w:widowControl/>
        <w:wordWrap w:val="0"/>
        <w:bidi w:val="0"/>
        <w:spacing w:line="240" w:lineRule="auto"/>
        <w:ind w:firstLine="0" w:firstLineChars="0"/>
        <w:jc w:val="center"/>
        <w:rPr>
          <w:rFonts w:ascii="Times New Roman" w:hAnsi="Times New Roman" w:eastAsia="宋体" w:cs="Times New Roman"/>
          <w:b/>
          <w:bCs/>
          <w:color w:val="auto"/>
          <w:kern w:val="2"/>
          <w:sz w:val="24"/>
          <w:szCs w:val="21"/>
          <w:highlight w:val="none"/>
          <w:lang w:val="en-US" w:eastAsia="zh-CN" w:bidi="ar-SA"/>
        </w:rPr>
      </w:pPr>
      <w:r>
        <w:rPr>
          <w:rFonts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5.2-1</w:t>
      </w:r>
      <w:r>
        <w:rPr>
          <w:rFonts w:hint="eastAsia" w:cs="Times New Roman"/>
          <w:b/>
          <w:bCs/>
          <w:color w:val="auto"/>
          <w:kern w:val="2"/>
          <w:sz w:val="24"/>
          <w:szCs w:val="21"/>
          <w:highlight w:val="none"/>
          <w:lang w:val="en-US" w:eastAsia="zh-CN" w:bidi="ar-SA"/>
        </w:rPr>
        <w:t>8</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ascii="Times New Roman" w:hAnsi="Times New Roman" w:eastAsia="宋体" w:cs="Times New Roman"/>
          <w:b/>
          <w:bCs/>
          <w:color w:val="auto"/>
          <w:kern w:val="2"/>
          <w:sz w:val="24"/>
          <w:szCs w:val="21"/>
          <w:highlight w:val="none"/>
          <w:lang w:val="en-US" w:eastAsia="zh-CN" w:bidi="ar-SA"/>
        </w:rPr>
        <w:t>大气污染物年排放量核算表</w:t>
      </w:r>
    </w:p>
    <w:tbl>
      <w:tblPr>
        <w:tblStyle w:val="49"/>
        <w:tblW w:w="85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2"/>
        <w:gridCol w:w="3548"/>
        <w:gridCol w:w="2906"/>
      </w:tblGrid>
      <w:tr w14:paraId="68B3F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2122" w:type="dxa"/>
            <w:noWrap w:val="0"/>
            <w:vAlign w:val="center"/>
          </w:tcPr>
          <w:p w14:paraId="4F88A91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3548" w:type="dxa"/>
            <w:noWrap w:val="0"/>
            <w:vAlign w:val="center"/>
          </w:tcPr>
          <w:p w14:paraId="5F08467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w:t>
            </w:r>
          </w:p>
        </w:tc>
        <w:tc>
          <w:tcPr>
            <w:tcW w:w="2906" w:type="dxa"/>
            <w:noWrap w:val="0"/>
            <w:vAlign w:val="center"/>
          </w:tcPr>
          <w:p w14:paraId="465644C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年排放量/（t/a）</w:t>
            </w:r>
          </w:p>
        </w:tc>
      </w:tr>
      <w:tr w14:paraId="151AD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noWrap w:val="0"/>
            <w:vAlign w:val="center"/>
          </w:tcPr>
          <w:p w14:paraId="3F47E8F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3548" w:type="dxa"/>
            <w:noWrap w:val="0"/>
            <w:vAlign w:val="center"/>
          </w:tcPr>
          <w:p w14:paraId="7EDC97B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2906" w:type="dxa"/>
            <w:noWrap w:val="0"/>
            <w:vAlign w:val="center"/>
          </w:tcPr>
          <w:p w14:paraId="7FE5D58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1.3365</w:t>
            </w:r>
          </w:p>
        </w:tc>
      </w:tr>
      <w:tr w14:paraId="7CDED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noWrap w:val="0"/>
            <w:vAlign w:val="center"/>
          </w:tcPr>
          <w:p w14:paraId="6D17CD9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3548" w:type="dxa"/>
            <w:noWrap w:val="0"/>
            <w:vAlign w:val="center"/>
          </w:tcPr>
          <w:p w14:paraId="0F70A75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NOx</w:t>
            </w:r>
          </w:p>
        </w:tc>
        <w:tc>
          <w:tcPr>
            <w:tcW w:w="2906" w:type="dxa"/>
            <w:noWrap w:val="0"/>
            <w:vAlign w:val="center"/>
          </w:tcPr>
          <w:p w14:paraId="06567DE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4.3694</w:t>
            </w:r>
          </w:p>
        </w:tc>
      </w:tr>
      <w:tr w14:paraId="1D450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noWrap w:val="0"/>
            <w:vAlign w:val="center"/>
          </w:tcPr>
          <w:p w14:paraId="652DFD9D">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w:t>
            </w:r>
          </w:p>
        </w:tc>
        <w:tc>
          <w:tcPr>
            <w:tcW w:w="3548" w:type="dxa"/>
            <w:noWrap w:val="0"/>
            <w:vAlign w:val="center"/>
          </w:tcPr>
          <w:p w14:paraId="7A72CD3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p>
        </w:tc>
        <w:tc>
          <w:tcPr>
            <w:tcW w:w="2906" w:type="dxa"/>
            <w:noWrap w:val="0"/>
            <w:vAlign w:val="center"/>
          </w:tcPr>
          <w:p w14:paraId="2C68B34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0.18</w:t>
            </w:r>
          </w:p>
        </w:tc>
      </w:tr>
      <w:tr w14:paraId="75586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22" w:type="dxa"/>
            <w:noWrap w:val="0"/>
            <w:vAlign w:val="center"/>
          </w:tcPr>
          <w:p w14:paraId="7A8A3377">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w:t>
            </w:r>
          </w:p>
        </w:tc>
        <w:tc>
          <w:tcPr>
            <w:tcW w:w="3548" w:type="dxa"/>
            <w:noWrap w:val="0"/>
            <w:vAlign w:val="center"/>
          </w:tcPr>
          <w:p w14:paraId="729F169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2906" w:type="dxa"/>
            <w:noWrap w:val="0"/>
            <w:vAlign w:val="center"/>
          </w:tcPr>
          <w:p w14:paraId="2C6B49C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3.6684</w:t>
            </w:r>
          </w:p>
        </w:tc>
      </w:tr>
    </w:tbl>
    <w:p w14:paraId="1F76ED4E">
      <w:pPr>
        <w:widowControl/>
        <w:wordWrap w:val="0"/>
        <w:bidi w:val="0"/>
        <w:spacing w:line="240" w:lineRule="auto"/>
        <w:ind w:firstLine="0" w:firstLineChars="0"/>
        <w:jc w:val="center"/>
        <w:rPr>
          <w:rFonts w:hint="eastAsia" w:ascii="Times New Roman" w:hAnsi="Times New Roman" w:eastAsia="宋体" w:cs="Times New Roman"/>
          <w:b/>
          <w:bCs/>
          <w:color w:val="auto"/>
          <w:kern w:val="2"/>
          <w:sz w:val="24"/>
          <w:szCs w:val="21"/>
          <w:highlight w:val="none"/>
          <w:lang w:val="en-US" w:eastAsia="zh-CN" w:bidi="ar-SA"/>
        </w:rPr>
      </w:pPr>
      <w:bookmarkStart w:id="428" w:name="_Ref489084438"/>
      <w:r>
        <w:rPr>
          <w:rFonts w:hint="eastAsia" w:ascii="Times New Roman" w:hAnsi="Times New Roman" w:eastAsia="宋体" w:cs="Times New Roman"/>
          <w:b/>
          <w:bCs/>
          <w:color w:val="auto"/>
          <w:kern w:val="2"/>
          <w:sz w:val="24"/>
          <w:szCs w:val="21"/>
          <w:highlight w:val="none"/>
          <w:lang w:val="en-US" w:eastAsia="zh-CN" w:bidi="ar-SA"/>
        </w:rPr>
        <w:t>表</w:t>
      </w:r>
      <w:bookmarkEnd w:id="428"/>
      <w:r>
        <w:rPr>
          <w:rFonts w:hint="eastAsia" w:ascii="Times New Roman" w:hAnsi="Times New Roman" w:eastAsia="宋体" w:cs="Times New Roman"/>
          <w:b/>
          <w:bCs/>
          <w:color w:val="auto"/>
          <w:kern w:val="2"/>
          <w:sz w:val="24"/>
          <w:szCs w:val="21"/>
          <w:highlight w:val="none"/>
          <w:lang w:val="en-US" w:eastAsia="zh-CN" w:bidi="ar-SA"/>
        </w:rPr>
        <w:t>5.2-1</w:t>
      </w:r>
      <w:r>
        <w:rPr>
          <w:rFonts w:hint="eastAsia" w:cs="Times New Roman"/>
          <w:b/>
          <w:bCs/>
          <w:color w:val="auto"/>
          <w:kern w:val="2"/>
          <w:sz w:val="24"/>
          <w:szCs w:val="21"/>
          <w:highlight w:val="none"/>
          <w:lang w:val="en-US" w:eastAsia="zh-CN" w:bidi="ar-SA"/>
        </w:rPr>
        <w:t>9</w:t>
      </w:r>
      <w:r>
        <w:rPr>
          <w:rFonts w:hint="eastAsia" w:ascii="Times New Roman" w:hAnsi="Times New Roman" w:eastAsia="宋体" w:cs="Times New Roman"/>
          <w:b/>
          <w:bCs/>
          <w:color w:val="auto"/>
          <w:kern w:val="2"/>
          <w:sz w:val="24"/>
          <w:szCs w:val="21"/>
          <w:highlight w:val="none"/>
          <w:lang w:val="en-US" w:eastAsia="zh-CN" w:bidi="ar-SA"/>
        </w:rPr>
        <w:t xml:space="preserve">  污染源非正常排放量核算表</w:t>
      </w:r>
    </w:p>
    <w:tbl>
      <w:tblPr>
        <w:tblStyle w:val="535"/>
        <w:tblpPr w:leftFromText="181" w:rightFromText="181" w:bottomFromText="142" w:vertAnchor="text" w:tblpXSpec="center" w:tblpY="1"/>
        <w:tblOverlap w:val="never"/>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1072"/>
        <w:gridCol w:w="1614"/>
        <w:gridCol w:w="1502"/>
        <w:gridCol w:w="962"/>
        <w:gridCol w:w="1213"/>
        <w:gridCol w:w="994"/>
        <w:gridCol w:w="1000"/>
      </w:tblGrid>
      <w:tr w14:paraId="7ED6D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jc w:val="center"/>
        </w:trPr>
        <w:tc>
          <w:tcPr>
            <w:tcW w:w="641" w:type="pct"/>
            <w:noWrap w:val="0"/>
            <w:vAlign w:val="center"/>
          </w:tcPr>
          <w:p w14:paraId="1CC42F9A">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污染源</w:t>
            </w:r>
          </w:p>
        </w:tc>
        <w:tc>
          <w:tcPr>
            <w:tcW w:w="965" w:type="pct"/>
            <w:noWrap w:val="0"/>
            <w:vAlign w:val="center"/>
          </w:tcPr>
          <w:p w14:paraId="3FC0F5F4">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非正常工况情景</w:t>
            </w:r>
          </w:p>
        </w:tc>
        <w:tc>
          <w:tcPr>
            <w:tcW w:w="898" w:type="pct"/>
            <w:noWrap w:val="0"/>
            <w:vAlign w:val="center"/>
          </w:tcPr>
          <w:p w14:paraId="32C877F6">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污染物</w:t>
            </w:r>
          </w:p>
        </w:tc>
        <w:tc>
          <w:tcPr>
            <w:tcW w:w="575" w:type="pct"/>
            <w:noWrap w:val="0"/>
            <w:vAlign w:val="center"/>
          </w:tcPr>
          <w:p w14:paraId="2DAEE3D6">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频次</w:t>
            </w:r>
          </w:p>
        </w:tc>
        <w:tc>
          <w:tcPr>
            <w:tcW w:w="725" w:type="pct"/>
            <w:noWrap w:val="0"/>
            <w:vAlign w:val="center"/>
          </w:tcPr>
          <w:p w14:paraId="720A7F77">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持续时间</w:t>
            </w:r>
          </w:p>
        </w:tc>
        <w:tc>
          <w:tcPr>
            <w:tcW w:w="594" w:type="pct"/>
            <w:noWrap w:val="0"/>
            <w:vAlign w:val="center"/>
          </w:tcPr>
          <w:p w14:paraId="74BF685D">
            <w:pPr>
              <w:widowControl w:val="0"/>
              <w:spacing w:line="240" w:lineRule="auto"/>
              <w:ind w:firstLine="0" w:firstLineChars="0"/>
              <w:jc w:val="center"/>
              <w:textAlignment w:val="center"/>
              <w:rPr>
                <w:rFonts w:hint="default"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排放量kg</w:t>
            </w:r>
          </w:p>
        </w:tc>
        <w:tc>
          <w:tcPr>
            <w:tcW w:w="598" w:type="pct"/>
            <w:noWrap w:val="0"/>
            <w:vAlign w:val="center"/>
          </w:tcPr>
          <w:p w14:paraId="1F5E15E8">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1"/>
                <w:highlight w:val="none"/>
                <w:lang w:val="en-US" w:eastAsia="zh-CN" w:bidi="ar-SA"/>
              </w:rPr>
            </w:pPr>
            <w:r>
              <w:rPr>
                <w:rFonts w:ascii="Times New Roman" w:hAnsi="Times New Roman" w:eastAsia="宋体" w:cs="Times New Roman"/>
                <w:b/>
                <w:i w:val="0"/>
                <w:color w:val="auto"/>
                <w:kern w:val="0"/>
                <w:sz w:val="21"/>
                <w:szCs w:val="21"/>
                <w:highlight w:val="none"/>
                <w:lang w:val="en-US" w:eastAsia="zh-CN" w:bidi="ar-SA"/>
              </w:rPr>
              <w:t>排放浓度mg/m</w:t>
            </w:r>
            <w:r>
              <w:rPr>
                <w:rFonts w:ascii="Times New Roman" w:hAnsi="Times New Roman" w:eastAsia="宋体" w:cs="Times New Roman"/>
                <w:b/>
                <w:i w:val="0"/>
                <w:color w:val="auto"/>
                <w:kern w:val="0"/>
                <w:sz w:val="21"/>
                <w:szCs w:val="21"/>
                <w:highlight w:val="none"/>
                <w:vertAlign w:val="superscript"/>
                <w:lang w:val="en-US" w:eastAsia="zh-CN" w:bidi="ar-SA"/>
              </w:rPr>
              <w:t>3</w:t>
            </w:r>
          </w:p>
        </w:tc>
      </w:tr>
      <w:tr w14:paraId="12EE0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jc w:val="center"/>
        </w:trPr>
        <w:tc>
          <w:tcPr>
            <w:tcW w:w="641" w:type="pct"/>
            <w:vMerge w:val="restart"/>
            <w:noWrap w:val="0"/>
            <w:vAlign w:val="center"/>
          </w:tcPr>
          <w:p w14:paraId="187FFCA9">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应急焚烧装置</w:t>
            </w:r>
          </w:p>
        </w:tc>
        <w:tc>
          <w:tcPr>
            <w:tcW w:w="965" w:type="pct"/>
            <w:vMerge w:val="restart"/>
            <w:noWrap w:val="0"/>
            <w:vAlign w:val="center"/>
          </w:tcPr>
          <w:p w14:paraId="53960492">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停车检修</w:t>
            </w:r>
          </w:p>
        </w:tc>
        <w:tc>
          <w:tcPr>
            <w:tcW w:w="898" w:type="pct"/>
            <w:noWrap w:val="0"/>
            <w:vAlign w:val="center"/>
          </w:tcPr>
          <w:p w14:paraId="14371652">
            <w:pPr>
              <w:adjustRightInd w:val="0"/>
              <w:snapToGrid w:val="0"/>
              <w:jc w:val="center"/>
              <w:textAlignment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非甲烷总烃</w:t>
            </w:r>
          </w:p>
        </w:tc>
        <w:tc>
          <w:tcPr>
            <w:tcW w:w="575" w:type="pct"/>
            <w:noWrap w:val="0"/>
            <w:vAlign w:val="center"/>
          </w:tcPr>
          <w:p w14:paraId="6F02AF6A">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低</w:t>
            </w:r>
          </w:p>
        </w:tc>
        <w:tc>
          <w:tcPr>
            <w:tcW w:w="725" w:type="pct"/>
            <w:noWrap w:val="0"/>
            <w:vAlign w:val="center"/>
          </w:tcPr>
          <w:p w14:paraId="52F0535B">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20min/次</w:t>
            </w:r>
          </w:p>
        </w:tc>
        <w:tc>
          <w:tcPr>
            <w:tcW w:w="594" w:type="pct"/>
            <w:noWrap w:val="0"/>
            <w:vAlign w:val="center"/>
          </w:tcPr>
          <w:p w14:paraId="2E9E88B7">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0.053</w:t>
            </w:r>
          </w:p>
        </w:tc>
        <w:tc>
          <w:tcPr>
            <w:tcW w:w="598" w:type="pct"/>
            <w:noWrap w:val="0"/>
            <w:vAlign w:val="center"/>
          </w:tcPr>
          <w:p w14:paraId="0C3EC30B">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2</w:t>
            </w:r>
          </w:p>
        </w:tc>
      </w:tr>
      <w:tr w14:paraId="08C75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jc w:val="center"/>
        </w:trPr>
        <w:tc>
          <w:tcPr>
            <w:tcW w:w="641" w:type="pct"/>
            <w:vMerge w:val="continue"/>
            <w:noWrap w:val="0"/>
            <w:vAlign w:val="center"/>
          </w:tcPr>
          <w:p w14:paraId="473434A1">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965" w:type="pct"/>
            <w:vMerge w:val="continue"/>
            <w:noWrap w:val="0"/>
            <w:vAlign w:val="center"/>
          </w:tcPr>
          <w:p w14:paraId="70AC0636">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p>
        </w:tc>
        <w:tc>
          <w:tcPr>
            <w:tcW w:w="898" w:type="pct"/>
            <w:noWrap w:val="0"/>
            <w:vAlign w:val="center"/>
          </w:tcPr>
          <w:p w14:paraId="6760E93B">
            <w:pPr>
              <w:adjustRightInd w:val="0"/>
              <w:snapToGrid w:val="0"/>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NO</w:t>
            </w:r>
            <w:r>
              <w:rPr>
                <w:rFonts w:hint="eastAsia" w:ascii="Times New Roman" w:hAnsi="Times New Roman" w:eastAsia="宋体" w:cs="Times New Roman"/>
                <w:color w:val="auto"/>
                <w:sz w:val="21"/>
                <w:szCs w:val="21"/>
                <w:highlight w:val="none"/>
                <w:vertAlign w:val="subscript"/>
                <w:lang w:val="en-US" w:eastAsia="zh-CN"/>
              </w:rPr>
              <w:t>X</w:t>
            </w:r>
          </w:p>
        </w:tc>
        <w:tc>
          <w:tcPr>
            <w:tcW w:w="575" w:type="pct"/>
            <w:noWrap w:val="0"/>
            <w:vAlign w:val="center"/>
          </w:tcPr>
          <w:p w14:paraId="592B9FAF">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低</w:t>
            </w:r>
          </w:p>
        </w:tc>
        <w:tc>
          <w:tcPr>
            <w:tcW w:w="725" w:type="pct"/>
            <w:noWrap w:val="0"/>
            <w:vAlign w:val="center"/>
          </w:tcPr>
          <w:p w14:paraId="1ABEFBDA">
            <w:pPr>
              <w:widowControl w:val="0"/>
              <w:spacing w:line="240" w:lineRule="auto"/>
              <w:ind w:firstLine="0" w:firstLineChars="0"/>
              <w:jc w:val="center"/>
              <w:textAlignment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20min/次</w:t>
            </w:r>
          </w:p>
        </w:tc>
        <w:tc>
          <w:tcPr>
            <w:tcW w:w="594" w:type="pct"/>
            <w:noWrap w:val="0"/>
            <w:vAlign w:val="center"/>
          </w:tcPr>
          <w:p w14:paraId="4547D57F">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1.44</w:t>
            </w:r>
          </w:p>
        </w:tc>
        <w:tc>
          <w:tcPr>
            <w:tcW w:w="598" w:type="pct"/>
            <w:noWrap w:val="0"/>
            <w:vAlign w:val="center"/>
          </w:tcPr>
          <w:p w14:paraId="58448F8F">
            <w:pPr>
              <w:adjustRightInd w:val="0"/>
              <w:snapToGrid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
              </w:rPr>
              <w:t>54</w:t>
            </w:r>
          </w:p>
        </w:tc>
      </w:tr>
    </w:tbl>
    <w:p w14:paraId="7D0FE244">
      <w:pPr>
        <w:wordWrap w:val="0"/>
        <w:bidi w:val="0"/>
        <w:spacing w:line="360" w:lineRule="auto"/>
        <w:ind w:firstLine="482" w:firstLineChars="200"/>
        <w:jc w:val="left"/>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7、环境防护距离核算</w:t>
      </w:r>
    </w:p>
    <w:p w14:paraId="2D14DA9E">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（1）</w:t>
      </w:r>
      <w:r>
        <w:rPr>
          <w:rFonts w:ascii="Times New Roman" w:hAnsi="Times New Roman" w:eastAsia="宋体" w:cs="Times New Roman"/>
          <w:color w:val="auto"/>
          <w:sz w:val="24"/>
          <w:szCs w:val="24"/>
          <w:highlight w:val="none"/>
        </w:rPr>
        <w:t>大气环境防护距离计算</w:t>
      </w:r>
    </w:p>
    <w:p w14:paraId="651F555D">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根据《环境影响评价技术导则-大气环境》（HJ/T2.2-2018），大气环境防护距离是指为保护人群健康，减少正常排放条件下大气污染物对居住区的环境影响，在项目厂界以外设置的环境防护距离。项目污染物通过AERSCREEN模型估算，项目厂界以外无超标点，无需设置大气防护距离。</w:t>
      </w:r>
    </w:p>
    <w:p w14:paraId="6A4D5507">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ascii="Times New Roman" w:hAnsi="Times New Roman" w:eastAsia="宋体" w:cs="Times New Roman"/>
          <w:color w:val="auto"/>
          <w:sz w:val="24"/>
          <w:szCs w:val="24"/>
          <w:highlight w:val="none"/>
        </w:rPr>
        <w:t>卫生防护距离</w:t>
      </w:r>
    </w:p>
    <w:p w14:paraId="4232D2C1">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按照</w:t>
      </w:r>
      <w:r>
        <w:rPr>
          <w:rFonts w:hint="eastAsia" w:cs="Times New Roman"/>
          <w:color w:val="auto"/>
          <w:sz w:val="24"/>
          <w:szCs w:val="24"/>
          <w:highlight w:val="none"/>
          <w:lang w:eastAsia="zh-CN"/>
        </w:rPr>
        <w:t>“</w:t>
      </w:r>
      <w:r>
        <w:rPr>
          <w:rFonts w:ascii="Times New Roman" w:hAnsi="Times New Roman" w:eastAsia="宋体" w:cs="Times New Roman"/>
          <w:color w:val="auto"/>
          <w:sz w:val="24"/>
          <w:szCs w:val="24"/>
          <w:highlight w:val="none"/>
        </w:rPr>
        <w:t>工程分析</w:t>
      </w:r>
      <w:r>
        <w:rPr>
          <w:rFonts w:hint="eastAsia" w:cs="Times New Roman"/>
          <w:color w:val="auto"/>
          <w:sz w:val="24"/>
          <w:szCs w:val="24"/>
          <w:highlight w:val="none"/>
          <w:lang w:eastAsia="zh-CN"/>
        </w:rPr>
        <w:t>”</w:t>
      </w:r>
      <w:r>
        <w:rPr>
          <w:rFonts w:ascii="Times New Roman" w:hAnsi="Times New Roman" w:eastAsia="宋体" w:cs="Times New Roman"/>
          <w:color w:val="auto"/>
          <w:sz w:val="24"/>
          <w:szCs w:val="24"/>
          <w:highlight w:val="none"/>
        </w:rPr>
        <w:t>核算的有害气体无组织排放量，根据《大气有害物质无组织排放卫生防护距离推导技术导则》（GB/T39499-2020）的有关规定，计算卫生防护距离，计算公式如下：</w:t>
      </w:r>
    </w:p>
    <w:p w14:paraId="06B09D48">
      <w:pPr>
        <w:widowControl w:val="0"/>
        <w:wordWrap w:val="0"/>
        <w:bidi w:val="0"/>
        <w:adjustRightInd w:val="0"/>
        <w:snapToGrid w:val="0"/>
        <w:spacing w:line="240" w:lineRule="auto"/>
        <w:ind w:firstLine="0" w:firstLineChars="0"/>
        <w:jc w:val="center"/>
        <w:textAlignment w:val="baseline"/>
        <w:rPr>
          <w:rFonts w:ascii="Times New Roman" w:hAnsi="Times New Roman" w:eastAsia="宋体" w:cs="Times New Roman"/>
          <w:color w:val="auto"/>
          <w:kern w:val="2"/>
          <w:sz w:val="24"/>
          <w:szCs w:val="21"/>
          <w:highlight w:val="none"/>
          <w:lang w:val="en-US" w:eastAsia="zh-CN" w:bidi="ar-SA"/>
        </w:rPr>
      </w:pPr>
      <w:r>
        <w:rPr>
          <w:rFonts w:ascii="Times New Roman" w:hAnsi="Times New Roman" w:eastAsia="宋体" w:cs="Times New Roman"/>
          <w:color w:val="auto"/>
          <w:kern w:val="2"/>
          <w:position w:val="-30"/>
          <w:sz w:val="24"/>
          <w:szCs w:val="21"/>
          <w:highlight w:val="none"/>
          <w:lang w:val="en-US" w:eastAsia="zh-CN" w:bidi="ar-SA"/>
        </w:rPr>
        <w:object>
          <v:shape id="_x0000_i1027" o:spt="75" type="#_x0000_t75" style="height:34pt;width:141.9pt;" o:ole="t" fillcolor="#6D6D6D" filled="f" stroked="f" coordsize="21600,21600">
            <v:path/>
            <v:fill on="f" focussize="0,0"/>
            <v:stroke on="f"/>
            <v:imagedata r:id="rId65" o:title=""/>
            <o:lock v:ext="edit" grouping="f" rotation="f" text="f" aspectratio="t"/>
            <w10:wrap type="none"/>
            <w10:anchorlock/>
          </v:shape>
          <o:OLEObject Type="Embed" ProgID="Equation.3" ShapeID="_x0000_i1027" DrawAspect="Content" ObjectID="_1468075727" r:id="rId64">
            <o:LockedField>false</o:LockedField>
          </o:OLEObject>
        </w:object>
      </w:r>
    </w:p>
    <w:p w14:paraId="16C9E335">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式中：C</w:t>
      </w:r>
      <w:r>
        <w:rPr>
          <w:rFonts w:ascii="Times New Roman" w:hAnsi="Times New Roman" w:eastAsia="宋体" w:cs="Times New Roman"/>
          <w:color w:val="auto"/>
          <w:sz w:val="24"/>
          <w:szCs w:val="24"/>
          <w:highlight w:val="none"/>
          <w:vertAlign w:val="subscript"/>
        </w:rPr>
        <w:t>m</w:t>
      </w:r>
      <w:r>
        <w:rPr>
          <w:rFonts w:ascii="Times New Roman" w:hAnsi="Times New Roman" w:eastAsia="宋体" w:cs="Times New Roman"/>
          <w:color w:val="auto"/>
          <w:sz w:val="24"/>
          <w:szCs w:val="24"/>
          <w:highlight w:val="none"/>
        </w:rPr>
        <w:t>—大气有害物质环境空气质量的标准限值，单位为毫克每立方米（mg/m</w:t>
      </w:r>
      <w:r>
        <w:rPr>
          <w:rFonts w:ascii="Times New Roman" w:hAnsi="Times New Roman" w:eastAsia="宋体" w:cs="Times New Roman"/>
          <w:color w:val="auto"/>
          <w:sz w:val="24"/>
          <w:szCs w:val="24"/>
          <w:highlight w:val="none"/>
          <w:vertAlign w:val="superscript"/>
        </w:rPr>
        <w:t>3</w:t>
      </w:r>
      <w:r>
        <w:rPr>
          <w:rFonts w:ascii="Times New Roman" w:hAnsi="Times New Roman" w:eastAsia="宋体" w:cs="Times New Roman"/>
          <w:color w:val="auto"/>
          <w:sz w:val="24"/>
          <w:szCs w:val="24"/>
          <w:highlight w:val="none"/>
        </w:rPr>
        <w:t>）；</w:t>
      </w:r>
    </w:p>
    <w:p w14:paraId="4091C405">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textAlignment w:val="auto"/>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L—大气有害物质卫生防护距离初值，单位为米（m）；</w:t>
      </w:r>
    </w:p>
    <w:p w14:paraId="2DAEDF23">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textAlignment w:val="auto"/>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r—大气有害物质无组织排放源所在生产单元的等效半径，单位为米（m）；</w:t>
      </w:r>
    </w:p>
    <w:p w14:paraId="710DE140">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textAlignment w:val="auto"/>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Q</w:t>
      </w:r>
      <w:r>
        <w:rPr>
          <w:rFonts w:ascii="Times New Roman" w:hAnsi="Times New Roman" w:eastAsia="宋体" w:cs="Times New Roman"/>
          <w:color w:val="auto"/>
          <w:sz w:val="24"/>
          <w:szCs w:val="24"/>
          <w:highlight w:val="none"/>
          <w:vertAlign w:val="subscript"/>
        </w:rPr>
        <w:t>c</w:t>
      </w:r>
      <w:r>
        <w:rPr>
          <w:rFonts w:ascii="Times New Roman" w:hAnsi="Times New Roman" w:eastAsia="宋体" w:cs="Times New Roman"/>
          <w:color w:val="auto"/>
          <w:sz w:val="24"/>
          <w:szCs w:val="24"/>
          <w:highlight w:val="none"/>
        </w:rPr>
        <w:t>—大气有害物质的无组织排放量，单位为千克每小时kg/h；</w:t>
      </w:r>
    </w:p>
    <w:p w14:paraId="6DC525B4">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textAlignment w:val="auto"/>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A、B、C、D为计算系数，根据</w:t>
      </w:r>
      <w:r>
        <w:rPr>
          <w:rFonts w:hint="eastAsia" w:ascii="Times New Roman" w:hAnsi="Times New Roman" w:eastAsia="宋体" w:cs="Times New Roman"/>
          <w:color w:val="auto"/>
          <w:sz w:val="24"/>
          <w:szCs w:val="24"/>
          <w:highlight w:val="none"/>
          <w:lang w:val="en-US" w:eastAsia="zh-CN"/>
        </w:rPr>
        <w:t>厂区</w:t>
      </w:r>
      <w:r>
        <w:rPr>
          <w:rFonts w:ascii="Times New Roman" w:hAnsi="Times New Roman" w:eastAsia="宋体" w:cs="Times New Roman"/>
          <w:color w:val="auto"/>
          <w:sz w:val="24"/>
          <w:szCs w:val="24"/>
          <w:highlight w:val="none"/>
        </w:rPr>
        <w:t>所在地区近五年来平均风速及大气污染源构成类别查取。各参数取值见表</w:t>
      </w:r>
      <w:r>
        <w:rPr>
          <w:rFonts w:hint="eastAsia" w:ascii="Times New Roman" w:hAnsi="Times New Roman" w:eastAsia="宋体" w:cs="Times New Roman"/>
          <w:color w:val="auto"/>
          <w:sz w:val="24"/>
          <w:szCs w:val="24"/>
          <w:highlight w:val="none"/>
          <w:lang w:val="en-US" w:eastAsia="zh-CN"/>
        </w:rPr>
        <w:t>5.2</w:t>
      </w:r>
      <w:r>
        <w:rPr>
          <w:rFonts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lang w:val="en-US" w:eastAsia="zh-CN"/>
        </w:rPr>
        <w:t>9</w:t>
      </w:r>
      <w:r>
        <w:rPr>
          <w:rFonts w:ascii="Times New Roman" w:hAnsi="Times New Roman" w:eastAsia="宋体" w:cs="Times New Roman"/>
          <w:color w:val="auto"/>
          <w:sz w:val="24"/>
          <w:szCs w:val="24"/>
          <w:highlight w:val="none"/>
        </w:rPr>
        <w:t>。</w:t>
      </w:r>
    </w:p>
    <w:p w14:paraId="587071FA">
      <w:pPr>
        <w:widowControl/>
        <w:wordWrap w:val="0"/>
        <w:bidi w:val="0"/>
        <w:spacing w:line="240" w:lineRule="auto"/>
        <w:ind w:firstLine="0" w:firstLineChars="0"/>
        <w:jc w:val="center"/>
        <w:rPr>
          <w:rFonts w:ascii="Times New Roman" w:hAnsi="Times New Roman" w:eastAsia="宋体" w:cs="Times New Roman"/>
          <w:b/>
          <w:bCs/>
          <w:color w:val="auto"/>
          <w:kern w:val="2"/>
          <w:sz w:val="24"/>
          <w:szCs w:val="21"/>
          <w:highlight w:val="none"/>
          <w:lang w:val="en-US" w:eastAsia="zh-CN" w:bidi="ar-SA"/>
        </w:rPr>
      </w:pPr>
      <w:r>
        <w:rPr>
          <w:rFonts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w:t>
      </w:r>
      <w:r>
        <w:rPr>
          <w:rFonts w:ascii="Times New Roman" w:hAnsi="Times New Roman" w:eastAsia="宋体" w:cs="Times New Roman"/>
          <w:b/>
          <w:bCs/>
          <w:color w:val="auto"/>
          <w:kern w:val="2"/>
          <w:sz w:val="24"/>
          <w:szCs w:val="21"/>
          <w:highlight w:val="none"/>
          <w:lang w:val="en-US" w:eastAsia="zh-CN" w:bidi="ar-SA"/>
        </w:rPr>
        <w:t>-</w:t>
      </w:r>
      <w:r>
        <w:rPr>
          <w:rFonts w:hint="eastAsia" w:cs="Times New Roman"/>
          <w:b/>
          <w:bCs/>
          <w:color w:val="auto"/>
          <w:kern w:val="2"/>
          <w:sz w:val="24"/>
          <w:szCs w:val="21"/>
          <w:highlight w:val="none"/>
          <w:lang w:val="en-US" w:eastAsia="zh-CN" w:bidi="ar-SA"/>
        </w:rPr>
        <w:t>20</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ascii="Times New Roman" w:hAnsi="Times New Roman" w:eastAsia="宋体" w:cs="Times New Roman"/>
          <w:b/>
          <w:bCs/>
          <w:color w:val="auto"/>
          <w:kern w:val="2"/>
          <w:sz w:val="24"/>
          <w:szCs w:val="21"/>
          <w:highlight w:val="none"/>
          <w:lang w:val="en-US" w:eastAsia="zh-CN" w:bidi="ar-SA"/>
        </w:rPr>
        <w:t>卫生防护距离计算系数</w:t>
      </w:r>
    </w:p>
    <w:tbl>
      <w:tblPr>
        <w:tblStyle w:val="4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17"/>
        <w:gridCol w:w="1128"/>
        <w:gridCol w:w="687"/>
        <w:gridCol w:w="823"/>
        <w:gridCol w:w="823"/>
        <w:gridCol w:w="614"/>
        <w:gridCol w:w="614"/>
        <w:gridCol w:w="615"/>
        <w:gridCol w:w="614"/>
        <w:gridCol w:w="614"/>
        <w:gridCol w:w="767"/>
      </w:tblGrid>
      <w:tr w14:paraId="376674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blHeader/>
          <w:jc w:val="center"/>
        </w:trPr>
        <w:tc>
          <w:tcPr>
            <w:tcW w:w="612" w:type="pct"/>
            <w:vMerge w:val="restart"/>
            <w:noWrap w:val="0"/>
            <w:vAlign w:val="center"/>
          </w:tcPr>
          <w:p w14:paraId="79E1C0C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计算系数</w:t>
            </w:r>
          </w:p>
        </w:tc>
        <w:tc>
          <w:tcPr>
            <w:tcW w:w="678" w:type="pct"/>
            <w:vMerge w:val="restart"/>
            <w:noWrap w:val="0"/>
            <w:vAlign w:val="center"/>
          </w:tcPr>
          <w:p w14:paraId="75DD7A7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5年平均风速，m/s</w:t>
            </w:r>
          </w:p>
        </w:tc>
        <w:tc>
          <w:tcPr>
            <w:tcW w:w="3710" w:type="pct"/>
            <w:gridSpan w:val="9"/>
            <w:noWrap w:val="0"/>
            <w:vAlign w:val="center"/>
          </w:tcPr>
          <w:p w14:paraId="742C425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卫生防护距离L（m）</w:t>
            </w:r>
          </w:p>
        </w:tc>
      </w:tr>
      <w:tr w14:paraId="581F66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blHeader/>
          <w:jc w:val="center"/>
        </w:trPr>
        <w:tc>
          <w:tcPr>
            <w:tcW w:w="612" w:type="pct"/>
            <w:vMerge w:val="continue"/>
            <w:noWrap w:val="0"/>
            <w:vAlign w:val="center"/>
          </w:tcPr>
          <w:p w14:paraId="5F224B7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678" w:type="pct"/>
            <w:vMerge w:val="continue"/>
            <w:noWrap w:val="0"/>
            <w:vAlign w:val="center"/>
          </w:tcPr>
          <w:p w14:paraId="2FE7F8F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1403" w:type="pct"/>
            <w:gridSpan w:val="3"/>
            <w:noWrap w:val="0"/>
            <w:vAlign w:val="center"/>
          </w:tcPr>
          <w:p w14:paraId="2D009A6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L≤1000</w:t>
            </w:r>
          </w:p>
        </w:tc>
        <w:tc>
          <w:tcPr>
            <w:tcW w:w="1108" w:type="pct"/>
            <w:gridSpan w:val="3"/>
            <w:noWrap w:val="0"/>
            <w:vAlign w:val="center"/>
          </w:tcPr>
          <w:p w14:paraId="76DEDB6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1000</w:t>
            </w:r>
            <w:r>
              <w:rPr>
                <w:rFonts w:hint="eastAsia" w:ascii="Times New Roman" w:hAnsi="Times New Roman" w:eastAsia="宋体" w:cs="Times New Roman"/>
                <w:b/>
                <w:bCs/>
                <w:color w:val="auto"/>
                <w:kern w:val="2"/>
                <w:sz w:val="21"/>
                <w:szCs w:val="21"/>
                <w:highlight w:val="none"/>
                <w:lang w:val="en-US" w:eastAsia="zh-CN" w:bidi="ar-SA"/>
              </w:rPr>
              <w:t>&lt;</w:t>
            </w:r>
            <w:r>
              <w:rPr>
                <w:rFonts w:hint="default" w:ascii="Times New Roman" w:hAnsi="Times New Roman" w:eastAsia="宋体" w:cs="Times New Roman"/>
                <w:b/>
                <w:bCs/>
                <w:color w:val="auto"/>
                <w:kern w:val="2"/>
                <w:sz w:val="21"/>
                <w:szCs w:val="21"/>
                <w:highlight w:val="none"/>
                <w:lang w:val="en-US" w:eastAsia="zh-CN" w:bidi="ar-SA"/>
              </w:rPr>
              <w:t>L≤2000</w:t>
            </w:r>
          </w:p>
        </w:tc>
        <w:tc>
          <w:tcPr>
            <w:tcW w:w="1198" w:type="pct"/>
            <w:gridSpan w:val="3"/>
            <w:noWrap w:val="0"/>
            <w:vAlign w:val="center"/>
          </w:tcPr>
          <w:p w14:paraId="6750249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L</w:t>
            </w:r>
            <w:r>
              <w:rPr>
                <w:rFonts w:hint="eastAsia" w:ascii="Times New Roman" w:hAnsi="Times New Roman" w:eastAsia="宋体" w:cs="Times New Roman"/>
                <w:b/>
                <w:bCs/>
                <w:color w:val="auto"/>
                <w:kern w:val="2"/>
                <w:sz w:val="21"/>
                <w:szCs w:val="21"/>
                <w:highlight w:val="none"/>
                <w:lang w:val="en-US" w:eastAsia="zh-CN" w:bidi="ar-SA"/>
              </w:rPr>
              <w:t>&gt;</w:t>
            </w:r>
            <w:r>
              <w:rPr>
                <w:rFonts w:hint="default" w:ascii="Times New Roman" w:hAnsi="Times New Roman" w:eastAsia="宋体" w:cs="Times New Roman"/>
                <w:b/>
                <w:bCs/>
                <w:color w:val="auto"/>
                <w:kern w:val="2"/>
                <w:sz w:val="21"/>
                <w:szCs w:val="21"/>
                <w:highlight w:val="none"/>
                <w:lang w:val="en-US" w:eastAsia="zh-CN" w:bidi="ar-SA"/>
              </w:rPr>
              <w:t>2000</w:t>
            </w:r>
          </w:p>
        </w:tc>
      </w:tr>
      <w:tr w14:paraId="5FF248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blHeader/>
          <w:jc w:val="center"/>
        </w:trPr>
        <w:tc>
          <w:tcPr>
            <w:tcW w:w="612" w:type="pct"/>
            <w:vMerge w:val="continue"/>
            <w:noWrap w:val="0"/>
            <w:vAlign w:val="center"/>
          </w:tcPr>
          <w:p w14:paraId="1C55133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678" w:type="pct"/>
            <w:vMerge w:val="continue"/>
            <w:noWrap w:val="0"/>
            <w:vAlign w:val="center"/>
          </w:tcPr>
          <w:p w14:paraId="43C964B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3710" w:type="pct"/>
            <w:gridSpan w:val="9"/>
            <w:noWrap w:val="0"/>
            <w:vAlign w:val="center"/>
          </w:tcPr>
          <w:p w14:paraId="68185AE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工业大气污染源构成类别</w:t>
            </w:r>
          </w:p>
        </w:tc>
      </w:tr>
      <w:tr w14:paraId="0B70F7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blHeader/>
          <w:jc w:val="center"/>
        </w:trPr>
        <w:tc>
          <w:tcPr>
            <w:tcW w:w="612" w:type="pct"/>
            <w:vMerge w:val="continue"/>
            <w:noWrap w:val="0"/>
            <w:vAlign w:val="center"/>
          </w:tcPr>
          <w:p w14:paraId="1919346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678" w:type="pct"/>
            <w:vMerge w:val="continue"/>
            <w:noWrap w:val="0"/>
            <w:vAlign w:val="center"/>
          </w:tcPr>
          <w:p w14:paraId="7C8F5DE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p>
        </w:tc>
        <w:tc>
          <w:tcPr>
            <w:tcW w:w="413" w:type="pct"/>
            <w:noWrap w:val="0"/>
            <w:vAlign w:val="center"/>
          </w:tcPr>
          <w:p w14:paraId="2C8DCCF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Ⅰ</w:t>
            </w:r>
          </w:p>
        </w:tc>
        <w:tc>
          <w:tcPr>
            <w:tcW w:w="495" w:type="pct"/>
            <w:noWrap w:val="0"/>
            <w:vAlign w:val="center"/>
          </w:tcPr>
          <w:p w14:paraId="48A491F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Ⅱ</w:t>
            </w:r>
          </w:p>
        </w:tc>
        <w:tc>
          <w:tcPr>
            <w:tcW w:w="495" w:type="pct"/>
            <w:noWrap w:val="0"/>
            <w:vAlign w:val="center"/>
          </w:tcPr>
          <w:p w14:paraId="36D5249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Ⅲ</w:t>
            </w:r>
          </w:p>
        </w:tc>
        <w:tc>
          <w:tcPr>
            <w:tcW w:w="369" w:type="pct"/>
            <w:noWrap w:val="0"/>
            <w:vAlign w:val="center"/>
          </w:tcPr>
          <w:p w14:paraId="5B5A165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Ⅰ</w:t>
            </w:r>
          </w:p>
        </w:tc>
        <w:tc>
          <w:tcPr>
            <w:tcW w:w="369" w:type="pct"/>
            <w:noWrap w:val="0"/>
            <w:vAlign w:val="center"/>
          </w:tcPr>
          <w:p w14:paraId="5DB8D44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Ⅱ</w:t>
            </w:r>
          </w:p>
        </w:tc>
        <w:tc>
          <w:tcPr>
            <w:tcW w:w="370" w:type="pct"/>
            <w:noWrap w:val="0"/>
            <w:vAlign w:val="center"/>
          </w:tcPr>
          <w:p w14:paraId="5127FC0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Ⅲ</w:t>
            </w:r>
          </w:p>
        </w:tc>
        <w:tc>
          <w:tcPr>
            <w:tcW w:w="369" w:type="pct"/>
            <w:noWrap w:val="0"/>
            <w:vAlign w:val="center"/>
          </w:tcPr>
          <w:p w14:paraId="2CA5095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Ⅰ</w:t>
            </w:r>
          </w:p>
        </w:tc>
        <w:tc>
          <w:tcPr>
            <w:tcW w:w="369" w:type="pct"/>
            <w:noWrap w:val="0"/>
            <w:vAlign w:val="center"/>
          </w:tcPr>
          <w:p w14:paraId="170B19F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Ⅱ</w:t>
            </w:r>
          </w:p>
        </w:tc>
        <w:tc>
          <w:tcPr>
            <w:tcW w:w="460" w:type="pct"/>
            <w:noWrap w:val="0"/>
            <w:vAlign w:val="center"/>
          </w:tcPr>
          <w:p w14:paraId="23E67B2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Ⅲ</w:t>
            </w:r>
          </w:p>
        </w:tc>
      </w:tr>
      <w:tr w14:paraId="058D4D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2" w:type="pct"/>
            <w:vMerge w:val="restart"/>
            <w:noWrap w:val="0"/>
            <w:vAlign w:val="center"/>
          </w:tcPr>
          <w:p w14:paraId="18AFBA7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w:t>
            </w:r>
          </w:p>
        </w:tc>
        <w:tc>
          <w:tcPr>
            <w:tcW w:w="678" w:type="pct"/>
            <w:noWrap w:val="0"/>
            <w:vAlign w:val="center"/>
          </w:tcPr>
          <w:p w14:paraId="2AC2511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&lt;2</w:t>
            </w:r>
          </w:p>
        </w:tc>
        <w:tc>
          <w:tcPr>
            <w:tcW w:w="413" w:type="pct"/>
            <w:noWrap w:val="0"/>
            <w:vAlign w:val="center"/>
          </w:tcPr>
          <w:p w14:paraId="35C056E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400</w:t>
            </w:r>
          </w:p>
        </w:tc>
        <w:tc>
          <w:tcPr>
            <w:tcW w:w="495" w:type="pct"/>
            <w:noWrap w:val="0"/>
            <w:vAlign w:val="center"/>
          </w:tcPr>
          <w:p w14:paraId="75DE236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400</w:t>
            </w:r>
          </w:p>
        </w:tc>
        <w:tc>
          <w:tcPr>
            <w:tcW w:w="495" w:type="pct"/>
            <w:noWrap w:val="0"/>
            <w:vAlign w:val="center"/>
          </w:tcPr>
          <w:p w14:paraId="3AF75BC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400</w:t>
            </w:r>
          </w:p>
        </w:tc>
        <w:tc>
          <w:tcPr>
            <w:tcW w:w="369" w:type="pct"/>
            <w:noWrap w:val="0"/>
            <w:vAlign w:val="center"/>
          </w:tcPr>
          <w:p w14:paraId="5F2AE6E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400</w:t>
            </w:r>
          </w:p>
        </w:tc>
        <w:tc>
          <w:tcPr>
            <w:tcW w:w="369" w:type="pct"/>
            <w:noWrap w:val="0"/>
            <w:vAlign w:val="center"/>
          </w:tcPr>
          <w:p w14:paraId="6E8690D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400</w:t>
            </w:r>
          </w:p>
        </w:tc>
        <w:tc>
          <w:tcPr>
            <w:tcW w:w="370" w:type="pct"/>
            <w:noWrap w:val="0"/>
            <w:vAlign w:val="center"/>
          </w:tcPr>
          <w:p w14:paraId="270C73A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400</w:t>
            </w:r>
          </w:p>
        </w:tc>
        <w:tc>
          <w:tcPr>
            <w:tcW w:w="369" w:type="pct"/>
            <w:noWrap w:val="0"/>
            <w:vAlign w:val="center"/>
          </w:tcPr>
          <w:p w14:paraId="4A26025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80</w:t>
            </w:r>
          </w:p>
        </w:tc>
        <w:tc>
          <w:tcPr>
            <w:tcW w:w="369" w:type="pct"/>
            <w:noWrap w:val="0"/>
            <w:vAlign w:val="center"/>
          </w:tcPr>
          <w:p w14:paraId="3E4A21A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80</w:t>
            </w:r>
          </w:p>
        </w:tc>
        <w:tc>
          <w:tcPr>
            <w:tcW w:w="460" w:type="pct"/>
            <w:noWrap w:val="0"/>
            <w:vAlign w:val="center"/>
          </w:tcPr>
          <w:p w14:paraId="113CF35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80</w:t>
            </w:r>
          </w:p>
        </w:tc>
      </w:tr>
      <w:tr w14:paraId="6C1B13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2" w:type="pct"/>
            <w:vMerge w:val="continue"/>
            <w:noWrap w:val="0"/>
            <w:vAlign w:val="center"/>
          </w:tcPr>
          <w:p w14:paraId="1B9A997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678" w:type="pct"/>
            <w:noWrap w:val="0"/>
            <w:vAlign w:val="center"/>
          </w:tcPr>
          <w:p w14:paraId="695AE99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2-4</w:t>
            </w:r>
          </w:p>
        </w:tc>
        <w:tc>
          <w:tcPr>
            <w:tcW w:w="413" w:type="pct"/>
            <w:noWrap w:val="0"/>
            <w:vAlign w:val="center"/>
          </w:tcPr>
          <w:p w14:paraId="51FA402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700</w:t>
            </w:r>
          </w:p>
        </w:tc>
        <w:tc>
          <w:tcPr>
            <w:tcW w:w="495" w:type="pct"/>
            <w:noWrap w:val="0"/>
            <w:vAlign w:val="center"/>
          </w:tcPr>
          <w:p w14:paraId="5C67669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470*</w:t>
            </w:r>
          </w:p>
        </w:tc>
        <w:tc>
          <w:tcPr>
            <w:tcW w:w="495" w:type="pct"/>
            <w:noWrap w:val="0"/>
            <w:vAlign w:val="center"/>
          </w:tcPr>
          <w:p w14:paraId="66DFC38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350</w:t>
            </w:r>
          </w:p>
        </w:tc>
        <w:tc>
          <w:tcPr>
            <w:tcW w:w="369" w:type="pct"/>
            <w:noWrap w:val="0"/>
            <w:vAlign w:val="center"/>
          </w:tcPr>
          <w:p w14:paraId="6FC7FE2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700</w:t>
            </w:r>
          </w:p>
        </w:tc>
        <w:tc>
          <w:tcPr>
            <w:tcW w:w="369" w:type="pct"/>
            <w:noWrap w:val="0"/>
            <w:vAlign w:val="center"/>
          </w:tcPr>
          <w:p w14:paraId="0B8B5DE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470</w:t>
            </w:r>
          </w:p>
        </w:tc>
        <w:tc>
          <w:tcPr>
            <w:tcW w:w="370" w:type="pct"/>
            <w:noWrap w:val="0"/>
            <w:vAlign w:val="center"/>
          </w:tcPr>
          <w:p w14:paraId="5A6F58C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350</w:t>
            </w:r>
          </w:p>
        </w:tc>
        <w:tc>
          <w:tcPr>
            <w:tcW w:w="369" w:type="pct"/>
            <w:noWrap w:val="0"/>
            <w:vAlign w:val="center"/>
          </w:tcPr>
          <w:p w14:paraId="1284991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380</w:t>
            </w:r>
          </w:p>
        </w:tc>
        <w:tc>
          <w:tcPr>
            <w:tcW w:w="369" w:type="pct"/>
            <w:noWrap w:val="0"/>
            <w:vAlign w:val="center"/>
          </w:tcPr>
          <w:p w14:paraId="0685C9A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250</w:t>
            </w:r>
          </w:p>
        </w:tc>
        <w:tc>
          <w:tcPr>
            <w:tcW w:w="460" w:type="pct"/>
            <w:noWrap w:val="0"/>
            <w:vAlign w:val="center"/>
          </w:tcPr>
          <w:p w14:paraId="346EF21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190</w:t>
            </w:r>
          </w:p>
        </w:tc>
      </w:tr>
      <w:tr w14:paraId="64206B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2" w:type="pct"/>
            <w:vMerge w:val="continue"/>
            <w:noWrap w:val="0"/>
            <w:vAlign w:val="center"/>
          </w:tcPr>
          <w:p w14:paraId="2840EB8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678" w:type="pct"/>
            <w:noWrap w:val="0"/>
            <w:vAlign w:val="center"/>
          </w:tcPr>
          <w:p w14:paraId="437CE3C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&gt;4</w:t>
            </w:r>
          </w:p>
        </w:tc>
        <w:tc>
          <w:tcPr>
            <w:tcW w:w="413" w:type="pct"/>
            <w:noWrap w:val="0"/>
            <w:vAlign w:val="center"/>
          </w:tcPr>
          <w:p w14:paraId="7F3AA7C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530</w:t>
            </w:r>
          </w:p>
        </w:tc>
        <w:tc>
          <w:tcPr>
            <w:tcW w:w="495" w:type="pct"/>
            <w:noWrap w:val="0"/>
            <w:vAlign w:val="center"/>
          </w:tcPr>
          <w:p w14:paraId="59F7117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350</w:t>
            </w:r>
          </w:p>
        </w:tc>
        <w:tc>
          <w:tcPr>
            <w:tcW w:w="495" w:type="pct"/>
            <w:noWrap w:val="0"/>
            <w:vAlign w:val="center"/>
          </w:tcPr>
          <w:p w14:paraId="01721FD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260</w:t>
            </w:r>
          </w:p>
        </w:tc>
        <w:tc>
          <w:tcPr>
            <w:tcW w:w="369" w:type="pct"/>
            <w:noWrap w:val="0"/>
            <w:vAlign w:val="center"/>
          </w:tcPr>
          <w:p w14:paraId="6972E21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530</w:t>
            </w:r>
          </w:p>
        </w:tc>
        <w:tc>
          <w:tcPr>
            <w:tcW w:w="369" w:type="pct"/>
            <w:noWrap w:val="0"/>
            <w:vAlign w:val="center"/>
          </w:tcPr>
          <w:p w14:paraId="1A9BE53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350</w:t>
            </w:r>
          </w:p>
        </w:tc>
        <w:tc>
          <w:tcPr>
            <w:tcW w:w="370" w:type="pct"/>
            <w:noWrap w:val="0"/>
            <w:vAlign w:val="center"/>
          </w:tcPr>
          <w:p w14:paraId="6A20133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260</w:t>
            </w:r>
          </w:p>
        </w:tc>
        <w:tc>
          <w:tcPr>
            <w:tcW w:w="369" w:type="pct"/>
            <w:noWrap w:val="0"/>
            <w:vAlign w:val="center"/>
          </w:tcPr>
          <w:p w14:paraId="6B71E55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290</w:t>
            </w:r>
          </w:p>
        </w:tc>
        <w:tc>
          <w:tcPr>
            <w:tcW w:w="369" w:type="pct"/>
            <w:noWrap w:val="0"/>
            <w:vAlign w:val="center"/>
          </w:tcPr>
          <w:p w14:paraId="125801B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190</w:t>
            </w:r>
          </w:p>
        </w:tc>
        <w:tc>
          <w:tcPr>
            <w:tcW w:w="460" w:type="pct"/>
            <w:noWrap w:val="0"/>
            <w:vAlign w:val="center"/>
          </w:tcPr>
          <w:p w14:paraId="6D38B2A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140</w:t>
            </w:r>
          </w:p>
        </w:tc>
      </w:tr>
      <w:tr w14:paraId="4E07CB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2" w:type="pct"/>
            <w:vMerge w:val="restart"/>
            <w:noWrap w:val="0"/>
            <w:vAlign w:val="center"/>
          </w:tcPr>
          <w:p w14:paraId="71F98AD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B</w:t>
            </w:r>
          </w:p>
        </w:tc>
        <w:tc>
          <w:tcPr>
            <w:tcW w:w="678" w:type="pct"/>
            <w:noWrap w:val="0"/>
            <w:vAlign w:val="center"/>
          </w:tcPr>
          <w:p w14:paraId="3B94671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&lt;2</w:t>
            </w:r>
          </w:p>
        </w:tc>
        <w:tc>
          <w:tcPr>
            <w:tcW w:w="1403" w:type="pct"/>
            <w:gridSpan w:val="3"/>
            <w:noWrap w:val="0"/>
            <w:vAlign w:val="center"/>
          </w:tcPr>
          <w:p w14:paraId="0ACA5A5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w:t>
            </w:r>
          </w:p>
        </w:tc>
        <w:tc>
          <w:tcPr>
            <w:tcW w:w="1108" w:type="pct"/>
            <w:gridSpan w:val="3"/>
            <w:noWrap w:val="0"/>
            <w:vAlign w:val="center"/>
          </w:tcPr>
          <w:p w14:paraId="744389E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0.015</w:t>
            </w:r>
          </w:p>
        </w:tc>
        <w:tc>
          <w:tcPr>
            <w:tcW w:w="1198" w:type="pct"/>
            <w:gridSpan w:val="3"/>
            <w:noWrap w:val="0"/>
            <w:vAlign w:val="center"/>
          </w:tcPr>
          <w:p w14:paraId="37BBAD0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0.015</w:t>
            </w:r>
          </w:p>
        </w:tc>
      </w:tr>
      <w:tr w14:paraId="7D5C5B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2" w:type="pct"/>
            <w:vMerge w:val="continue"/>
            <w:noWrap w:val="0"/>
            <w:vAlign w:val="center"/>
          </w:tcPr>
          <w:p w14:paraId="126C772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678" w:type="pct"/>
            <w:noWrap w:val="0"/>
            <w:vAlign w:val="center"/>
          </w:tcPr>
          <w:p w14:paraId="2F9BCEB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&gt;2</w:t>
            </w:r>
          </w:p>
        </w:tc>
        <w:tc>
          <w:tcPr>
            <w:tcW w:w="1403" w:type="pct"/>
            <w:gridSpan w:val="3"/>
            <w:noWrap w:val="0"/>
            <w:vAlign w:val="center"/>
          </w:tcPr>
          <w:p w14:paraId="6F7DA35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0.021*</w:t>
            </w:r>
          </w:p>
        </w:tc>
        <w:tc>
          <w:tcPr>
            <w:tcW w:w="1108" w:type="pct"/>
            <w:gridSpan w:val="3"/>
            <w:noWrap w:val="0"/>
            <w:vAlign w:val="center"/>
          </w:tcPr>
          <w:p w14:paraId="7CFF9E5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0.036</w:t>
            </w:r>
          </w:p>
        </w:tc>
        <w:tc>
          <w:tcPr>
            <w:tcW w:w="1198" w:type="pct"/>
            <w:gridSpan w:val="3"/>
            <w:noWrap w:val="0"/>
            <w:vAlign w:val="center"/>
          </w:tcPr>
          <w:p w14:paraId="63EB233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0.036</w:t>
            </w:r>
          </w:p>
        </w:tc>
      </w:tr>
      <w:tr w14:paraId="6908E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2" w:type="pct"/>
            <w:vMerge w:val="restart"/>
            <w:noWrap w:val="0"/>
            <w:vAlign w:val="center"/>
          </w:tcPr>
          <w:p w14:paraId="58DA9B4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w:t>
            </w:r>
          </w:p>
        </w:tc>
        <w:tc>
          <w:tcPr>
            <w:tcW w:w="678" w:type="pct"/>
            <w:noWrap w:val="0"/>
            <w:vAlign w:val="center"/>
          </w:tcPr>
          <w:p w14:paraId="3C5A376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&lt;2</w:t>
            </w:r>
          </w:p>
        </w:tc>
        <w:tc>
          <w:tcPr>
            <w:tcW w:w="1403" w:type="pct"/>
            <w:gridSpan w:val="3"/>
            <w:noWrap w:val="0"/>
            <w:vAlign w:val="center"/>
          </w:tcPr>
          <w:p w14:paraId="1F8A959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1.85</w:t>
            </w:r>
          </w:p>
        </w:tc>
        <w:tc>
          <w:tcPr>
            <w:tcW w:w="1108" w:type="pct"/>
            <w:gridSpan w:val="3"/>
            <w:noWrap w:val="0"/>
            <w:vAlign w:val="center"/>
          </w:tcPr>
          <w:p w14:paraId="0385C8B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1.79</w:t>
            </w:r>
          </w:p>
        </w:tc>
        <w:tc>
          <w:tcPr>
            <w:tcW w:w="1198" w:type="pct"/>
            <w:gridSpan w:val="3"/>
            <w:noWrap w:val="0"/>
            <w:vAlign w:val="center"/>
          </w:tcPr>
          <w:p w14:paraId="07000C7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1.79</w:t>
            </w:r>
          </w:p>
        </w:tc>
      </w:tr>
      <w:tr w14:paraId="1023F7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2" w:type="pct"/>
            <w:vMerge w:val="continue"/>
            <w:noWrap w:val="0"/>
            <w:vAlign w:val="center"/>
          </w:tcPr>
          <w:p w14:paraId="1841B92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678" w:type="pct"/>
            <w:noWrap w:val="0"/>
            <w:vAlign w:val="center"/>
          </w:tcPr>
          <w:p w14:paraId="0312C26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&gt;2</w:t>
            </w:r>
          </w:p>
        </w:tc>
        <w:tc>
          <w:tcPr>
            <w:tcW w:w="1403" w:type="pct"/>
            <w:gridSpan w:val="3"/>
            <w:noWrap w:val="0"/>
            <w:vAlign w:val="center"/>
          </w:tcPr>
          <w:p w14:paraId="59A0A1D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1.85*</w:t>
            </w:r>
          </w:p>
        </w:tc>
        <w:tc>
          <w:tcPr>
            <w:tcW w:w="1108" w:type="pct"/>
            <w:gridSpan w:val="3"/>
            <w:noWrap w:val="0"/>
            <w:vAlign w:val="center"/>
          </w:tcPr>
          <w:p w14:paraId="4687641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1.77</w:t>
            </w:r>
          </w:p>
        </w:tc>
        <w:tc>
          <w:tcPr>
            <w:tcW w:w="1198" w:type="pct"/>
            <w:gridSpan w:val="3"/>
            <w:noWrap w:val="0"/>
            <w:vAlign w:val="center"/>
          </w:tcPr>
          <w:p w14:paraId="0706882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1.77</w:t>
            </w:r>
          </w:p>
        </w:tc>
      </w:tr>
      <w:tr w14:paraId="01ED16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2" w:type="pct"/>
            <w:vMerge w:val="restart"/>
            <w:noWrap w:val="0"/>
            <w:vAlign w:val="center"/>
          </w:tcPr>
          <w:p w14:paraId="2E9A31B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D</w:t>
            </w:r>
          </w:p>
        </w:tc>
        <w:tc>
          <w:tcPr>
            <w:tcW w:w="678" w:type="pct"/>
            <w:noWrap w:val="0"/>
            <w:vAlign w:val="center"/>
          </w:tcPr>
          <w:p w14:paraId="6AD6530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&lt;2</w:t>
            </w:r>
          </w:p>
        </w:tc>
        <w:tc>
          <w:tcPr>
            <w:tcW w:w="1403" w:type="pct"/>
            <w:gridSpan w:val="3"/>
            <w:noWrap w:val="0"/>
            <w:vAlign w:val="center"/>
          </w:tcPr>
          <w:p w14:paraId="5EB1108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0.78</w:t>
            </w:r>
          </w:p>
        </w:tc>
        <w:tc>
          <w:tcPr>
            <w:tcW w:w="1108" w:type="pct"/>
            <w:gridSpan w:val="3"/>
            <w:noWrap w:val="0"/>
            <w:vAlign w:val="center"/>
          </w:tcPr>
          <w:p w14:paraId="312DDE6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0.78</w:t>
            </w:r>
          </w:p>
        </w:tc>
        <w:tc>
          <w:tcPr>
            <w:tcW w:w="1198" w:type="pct"/>
            <w:gridSpan w:val="3"/>
            <w:noWrap w:val="0"/>
            <w:vAlign w:val="center"/>
          </w:tcPr>
          <w:p w14:paraId="3F84C14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0.57</w:t>
            </w:r>
          </w:p>
        </w:tc>
      </w:tr>
      <w:tr w14:paraId="7DEE04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12" w:type="pct"/>
            <w:vMerge w:val="continue"/>
            <w:noWrap w:val="0"/>
            <w:vAlign w:val="center"/>
          </w:tcPr>
          <w:p w14:paraId="094DE4D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678" w:type="pct"/>
            <w:noWrap w:val="0"/>
            <w:vAlign w:val="center"/>
          </w:tcPr>
          <w:p w14:paraId="1B1B2E6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&gt;2</w:t>
            </w:r>
          </w:p>
        </w:tc>
        <w:tc>
          <w:tcPr>
            <w:tcW w:w="1403" w:type="pct"/>
            <w:gridSpan w:val="3"/>
            <w:noWrap w:val="0"/>
            <w:vAlign w:val="center"/>
          </w:tcPr>
          <w:p w14:paraId="7456C19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0.84*</w:t>
            </w:r>
          </w:p>
        </w:tc>
        <w:tc>
          <w:tcPr>
            <w:tcW w:w="1108" w:type="pct"/>
            <w:gridSpan w:val="3"/>
            <w:noWrap w:val="0"/>
            <w:vAlign w:val="center"/>
          </w:tcPr>
          <w:p w14:paraId="7E40413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0.84</w:t>
            </w:r>
          </w:p>
        </w:tc>
        <w:tc>
          <w:tcPr>
            <w:tcW w:w="1198" w:type="pct"/>
            <w:gridSpan w:val="3"/>
            <w:noWrap w:val="0"/>
            <w:vAlign w:val="center"/>
          </w:tcPr>
          <w:p w14:paraId="05787CA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0.76</w:t>
            </w:r>
          </w:p>
        </w:tc>
      </w:tr>
    </w:tbl>
    <w:p w14:paraId="3609DBF5">
      <w:pPr>
        <w:widowControl w:val="0"/>
        <w:wordWrap w:val="0"/>
        <w:bidi w:val="0"/>
        <w:adjustRightInd w:val="0"/>
        <w:snapToGrid w:val="0"/>
        <w:spacing w:line="240" w:lineRule="auto"/>
        <w:ind w:firstLine="0" w:firstLineChars="0"/>
        <w:jc w:val="left"/>
        <w:rPr>
          <w:rFonts w:ascii="Times New Roman" w:hAnsi="Times New Roman" w:eastAsia="宋体" w:cs="Times New Roman"/>
          <w:b/>
          <w:color w:val="auto"/>
          <w:kern w:val="2"/>
          <w:sz w:val="18"/>
          <w:szCs w:val="18"/>
          <w:highlight w:val="none"/>
          <w:lang w:val="en-US" w:eastAsia="zh-CN" w:bidi="ar-SA"/>
        </w:rPr>
      </w:pPr>
      <w:r>
        <w:rPr>
          <w:rFonts w:ascii="Times New Roman" w:hAnsi="Times New Roman" w:eastAsia="宋体" w:cs="Times New Roman"/>
          <w:b/>
          <w:color w:val="auto"/>
          <w:kern w:val="2"/>
          <w:sz w:val="18"/>
          <w:szCs w:val="18"/>
          <w:highlight w:val="none"/>
          <w:lang w:val="en-US" w:eastAsia="zh-CN" w:bidi="ar-SA"/>
        </w:rPr>
        <w:t>注：*为本项目计算取值。</w:t>
      </w:r>
    </w:p>
    <w:p w14:paraId="4A20CB91">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根据卫生防护距离计算公式计算</w:t>
      </w:r>
      <w:r>
        <w:rPr>
          <w:rFonts w:hint="eastAsia" w:ascii="Times New Roman" w:hAnsi="Times New Roman" w:eastAsia="宋体" w:cs="Times New Roman"/>
          <w:color w:val="auto"/>
          <w:sz w:val="24"/>
          <w:szCs w:val="24"/>
          <w:highlight w:val="none"/>
          <w:lang w:val="en-US" w:eastAsia="zh-CN"/>
        </w:rPr>
        <w:t>非甲烷总烃</w:t>
      </w:r>
      <w:r>
        <w:rPr>
          <w:rFonts w:ascii="Times New Roman" w:hAnsi="Times New Roman" w:eastAsia="宋体" w:cs="Times New Roman"/>
          <w:color w:val="auto"/>
          <w:sz w:val="24"/>
          <w:szCs w:val="24"/>
          <w:highlight w:val="none"/>
        </w:rPr>
        <w:t>无组织排放的卫生防护距离。计算参数及结果见表</w:t>
      </w:r>
      <w:r>
        <w:rPr>
          <w:rFonts w:hint="eastAsia" w:ascii="Times New Roman" w:hAnsi="Times New Roman" w:eastAsia="宋体" w:cs="Times New Roman"/>
          <w:color w:val="auto"/>
          <w:sz w:val="24"/>
          <w:szCs w:val="24"/>
          <w:highlight w:val="none"/>
          <w:lang w:val="en-US" w:eastAsia="zh-CN"/>
        </w:rPr>
        <w:t>5.2</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20</w:t>
      </w:r>
      <w:r>
        <w:rPr>
          <w:rFonts w:ascii="Times New Roman" w:hAnsi="Times New Roman" w:eastAsia="宋体" w:cs="Times New Roman"/>
          <w:color w:val="auto"/>
          <w:sz w:val="24"/>
          <w:szCs w:val="24"/>
          <w:highlight w:val="none"/>
        </w:rPr>
        <w:t>。</w:t>
      </w:r>
    </w:p>
    <w:p w14:paraId="3DC7A9B2">
      <w:pPr>
        <w:widowControl/>
        <w:wordWrap w:val="0"/>
        <w:bidi w:val="0"/>
        <w:spacing w:line="240" w:lineRule="auto"/>
        <w:ind w:firstLine="0" w:firstLineChars="0"/>
        <w:jc w:val="center"/>
        <w:rPr>
          <w:rFonts w:ascii="Times New Roman" w:hAnsi="Times New Roman" w:eastAsia="宋体" w:cs="Times New Roman"/>
          <w:b/>
          <w:bCs/>
          <w:color w:val="auto"/>
          <w:kern w:val="2"/>
          <w:sz w:val="24"/>
          <w:szCs w:val="21"/>
          <w:highlight w:val="none"/>
          <w:lang w:val="en-US" w:eastAsia="zh-CN" w:bidi="ar-SA"/>
        </w:rPr>
      </w:pPr>
      <w:r>
        <w:rPr>
          <w:rFonts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w:t>
      </w:r>
      <w:r>
        <w:rPr>
          <w:rFonts w:ascii="Times New Roman" w:hAnsi="Times New Roman" w:eastAsia="宋体" w:cs="Times New Roman"/>
          <w:b/>
          <w:bCs/>
          <w:color w:val="auto"/>
          <w:kern w:val="2"/>
          <w:sz w:val="24"/>
          <w:szCs w:val="21"/>
          <w:highlight w:val="none"/>
          <w:lang w:val="en-US" w:eastAsia="zh-CN" w:bidi="ar-SA"/>
        </w:rPr>
        <w:t>-</w:t>
      </w:r>
      <w:r>
        <w:rPr>
          <w:rFonts w:hint="eastAsia" w:ascii="Times New Roman" w:hAnsi="Times New Roman" w:eastAsia="宋体" w:cs="Times New Roman"/>
          <w:b/>
          <w:bCs/>
          <w:color w:val="auto"/>
          <w:kern w:val="2"/>
          <w:sz w:val="24"/>
          <w:szCs w:val="21"/>
          <w:highlight w:val="none"/>
          <w:lang w:val="en-US" w:eastAsia="zh-CN" w:bidi="ar-SA"/>
        </w:rPr>
        <w:t>2</w:t>
      </w:r>
      <w:r>
        <w:rPr>
          <w:rFonts w:hint="eastAsia" w:cs="Times New Roman"/>
          <w:b/>
          <w:bCs/>
          <w:color w:val="auto"/>
          <w:kern w:val="2"/>
          <w:sz w:val="24"/>
          <w:szCs w:val="21"/>
          <w:highlight w:val="none"/>
          <w:lang w:val="en-US" w:eastAsia="zh-CN" w:bidi="ar-SA"/>
        </w:rPr>
        <w:t>1</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ascii="Times New Roman" w:hAnsi="Times New Roman" w:eastAsia="宋体" w:cs="Times New Roman"/>
          <w:b/>
          <w:bCs/>
          <w:color w:val="auto"/>
          <w:kern w:val="2"/>
          <w:sz w:val="24"/>
          <w:szCs w:val="21"/>
          <w:highlight w:val="none"/>
          <w:lang w:val="en-US" w:eastAsia="zh-CN" w:bidi="ar-SA"/>
        </w:rPr>
        <w:t>卫生防护距离计算结果表</w:t>
      </w:r>
    </w:p>
    <w:tbl>
      <w:tblPr>
        <w:tblStyle w:val="49"/>
        <w:tblW w:w="50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564"/>
        <w:gridCol w:w="2142"/>
        <w:gridCol w:w="3029"/>
        <w:gridCol w:w="1781"/>
      </w:tblGrid>
      <w:tr w14:paraId="074F5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exact"/>
          <w:jc w:val="center"/>
        </w:trPr>
        <w:tc>
          <w:tcPr>
            <w:tcW w:w="2175" w:type="pct"/>
            <w:gridSpan w:val="2"/>
            <w:noWrap w:val="0"/>
            <w:vAlign w:val="center"/>
          </w:tcPr>
          <w:p w14:paraId="677C140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污染因子</w:t>
            </w:r>
          </w:p>
        </w:tc>
        <w:tc>
          <w:tcPr>
            <w:tcW w:w="1778" w:type="pct"/>
            <w:noWrap w:val="0"/>
            <w:vAlign w:val="center"/>
          </w:tcPr>
          <w:p w14:paraId="5BF5EEE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卫生防护距离计算结果，m</w:t>
            </w:r>
          </w:p>
        </w:tc>
        <w:tc>
          <w:tcPr>
            <w:tcW w:w="1045" w:type="pct"/>
            <w:noWrap w:val="0"/>
            <w:vAlign w:val="center"/>
          </w:tcPr>
          <w:p w14:paraId="0C399E8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提级后结果m</w:t>
            </w:r>
          </w:p>
        </w:tc>
      </w:tr>
      <w:tr w14:paraId="712A3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exact"/>
          <w:jc w:val="center"/>
        </w:trPr>
        <w:tc>
          <w:tcPr>
            <w:tcW w:w="918" w:type="pct"/>
            <w:noWrap w:val="0"/>
            <w:vAlign w:val="center"/>
          </w:tcPr>
          <w:p w14:paraId="4543E39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站内</w:t>
            </w:r>
          </w:p>
        </w:tc>
        <w:tc>
          <w:tcPr>
            <w:tcW w:w="1257" w:type="pct"/>
            <w:noWrap w:val="0"/>
            <w:vAlign w:val="center"/>
          </w:tcPr>
          <w:p w14:paraId="15439251">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非甲烷总烃</w:t>
            </w:r>
          </w:p>
        </w:tc>
        <w:tc>
          <w:tcPr>
            <w:tcW w:w="1778" w:type="pct"/>
            <w:noWrap w:val="0"/>
            <w:vAlign w:val="center"/>
          </w:tcPr>
          <w:p w14:paraId="636F741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1.51</w:t>
            </w:r>
          </w:p>
        </w:tc>
        <w:tc>
          <w:tcPr>
            <w:tcW w:w="1045" w:type="pct"/>
            <w:noWrap w:val="0"/>
            <w:vAlign w:val="center"/>
          </w:tcPr>
          <w:p w14:paraId="3F8C242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50</w:t>
            </w:r>
          </w:p>
        </w:tc>
      </w:tr>
    </w:tbl>
    <w:p w14:paraId="4318C68C">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根据以上计算结果及卫生防护距离取值原则，</w:t>
      </w:r>
      <w:r>
        <w:rPr>
          <w:rFonts w:hint="eastAsia" w:ascii="Times New Roman" w:hAnsi="Times New Roman" w:eastAsia="宋体" w:cs="Times New Roman"/>
          <w:color w:val="auto"/>
          <w:sz w:val="24"/>
          <w:szCs w:val="24"/>
          <w:highlight w:val="none"/>
        </w:rPr>
        <w:t>本项目以</w:t>
      </w:r>
      <w:r>
        <w:rPr>
          <w:rFonts w:hint="eastAsia" w:ascii="Times New Roman" w:hAnsi="Times New Roman" w:eastAsia="宋体" w:cs="Times New Roman"/>
          <w:color w:val="auto"/>
          <w:sz w:val="24"/>
          <w:szCs w:val="24"/>
          <w:highlight w:val="none"/>
          <w:lang w:val="en-US" w:eastAsia="zh-CN"/>
        </w:rPr>
        <w:t>站区厂界</w:t>
      </w:r>
      <w:r>
        <w:rPr>
          <w:rFonts w:hint="eastAsia" w:ascii="Times New Roman" w:hAnsi="Times New Roman" w:eastAsia="宋体" w:cs="Times New Roman"/>
          <w:color w:val="auto"/>
          <w:sz w:val="24"/>
          <w:szCs w:val="24"/>
          <w:highlight w:val="none"/>
        </w:rPr>
        <w:t>为界外扩</w:t>
      </w:r>
      <w:r>
        <w:rPr>
          <w:rFonts w:hint="eastAsia" w:ascii="Times New Roman" w:hAnsi="Times New Roman" w:eastAsia="宋体" w:cs="Times New Roman"/>
          <w:color w:val="auto"/>
          <w:sz w:val="24"/>
          <w:szCs w:val="24"/>
          <w:highlight w:val="none"/>
          <w:lang w:val="en-US" w:eastAsia="zh-CN"/>
        </w:rPr>
        <w:t>50</w:t>
      </w:r>
      <w:r>
        <w:rPr>
          <w:rFonts w:hint="eastAsia" w:ascii="Times New Roman" w:hAnsi="Times New Roman" w:eastAsia="宋体" w:cs="Times New Roman"/>
          <w:color w:val="auto"/>
          <w:sz w:val="24"/>
          <w:szCs w:val="24"/>
          <w:highlight w:val="none"/>
        </w:rPr>
        <w:t>m设置卫生防护距离。</w:t>
      </w:r>
    </w:p>
    <w:p w14:paraId="3C267D36">
      <w:pPr>
        <w:wordWrap w:val="0"/>
        <w:bidi w:val="0"/>
        <w:spacing w:line="360" w:lineRule="auto"/>
        <w:ind w:firstLine="480" w:firstLineChars="200"/>
        <w:jc w:val="left"/>
        <w:rPr>
          <w:rFonts w:hint="default" w:ascii="Times New Roman" w:hAnsi="Times New Roman" w:eastAsia="宋体" w:cs="Times New Roman"/>
          <w:b w:val="0"/>
          <w:bCs w:val="0"/>
          <w:color w:val="auto"/>
          <w:sz w:val="24"/>
          <w:szCs w:val="24"/>
          <w:highlight w:val="none"/>
        </w:rPr>
      </w:pPr>
      <w:bookmarkStart w:id="429" w:name="_Toc10799"/>
      <w:bookmarkStart w:id="430" w:name="_Toc21287"/>
      <w:bookmarkStart w:id="431" w:name="_Toc14858"/>
      <w:bookmarkStart w:id="432" w:name="_Toc31683"/>
      <w:bookmarkStart w:id="433" w:name="_Toc3172"/>
      <w:bookmarkStart w:id="434" w:name="_Toc8776"/>
      <w:r>
        <w:rPr>
          <w:rFonts w:hint="eastAsia" w:ascii="Times New Roman" w:hAnsi="Times New Roman" w:eastAsia="宋体" w:cs="Times New Roman"/>
          <w:b w:val="0"/>
          <w:bCs w:val="0"/>
          <w:color w:val="auto"/>
          <w:sz w:val="24"/>
          <w:szCs w:val="24"/>
          <w:highlight w:val="none"/>
          <w:lang w:eastAsia="zh-CN"/>
        </w:rPr>
        <w:t>（</w:t>
      </w:r>
      <w:r>
        <w:rPr>
          <w:rFonts w:hint="eastAsia" w:ascii="Times New Roman" w:hAnsi="Times New Roman" w:eastAsia="宋体" w:cs="Times New Roman"/>
          <w:b w:val="0"/>
          <w:bCs w:val="0"/>
          <w:color w:val="auto"/>
          <w:sz w:val="24"/>
          <w:szCs w:val="24"/>
          <w:highlight w:val="none"/>
          <w:lang w:val="en-US" w:eastAsia="zh-CN"/>
        </w:rPr>
        <w:t>3</w:t>
      </w:r>
      <w:r>
        <w:rPr>
          <w:rFonts w:hint="eastAsia"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环境防护距离</w:t>
      </w:r>
      <w:bookmarkEnd w:id="429"/>
      <w:bookmarkEnd w:id="430"/>
      <w:bookmarkEnd w:id="431"/>
      <w:bookmarkEnd w:id="432"/>
      <w:bookmarkEnd w:id="433"/>
      <w:bookmarkEnd w:id="434"/>
    </w:p>
    <w:p w14:paraId="428AE21A">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根据以上对大气环境防护距离和卫生防护距离的计算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分析，</w:t>
      </w:r>
      <w:r>
        <w:rPr>
          <w:rFonts w:hint="default" w:ascii="Times New Roman" w:hAnsi="Times New Roman" w:eastAsia="宋体" w:cs="Times New Roman"/>
          <w:color w:val="auto"/>
          <w:sz w:val="24"/>
          <w:szCs w:val="24"/>
          <w:highlight w:val="none"/>
          <w:lang w:val="en-US" w:eastAsia="zh-CN"/>
        </w:rPr>
        <w:t>同时考虑项目</w:t>
      </w:r>
      <w:r>
        <w:rPr>
          <w:rFonts w:hint="eastAsia" w:ascii="Times New Roman" w:hAnsi="Times New Roman" w:eastAsia="宋体" w:cs="Times New Roman"/>
          <w:color w:val="auto"/>
          <w:sz w:val="24"/>
          <w:szCs w:val="24"/>
          <w:highlight w:val="none"/>
          <w:lang w:val="en-US" w:eastAsia="zh-CN"/>
        </w:rPr>
        <w:t>站内</w:t>
      </w:r>
      <w:r>
        <w:rPr>
          <w:rFonts w:hint="default" w:ascii="Times New Roman" w:hAnsi="Times New Roman" w:eastAsia="宋体" w:cs="Times New Roman"/>
          <w:color w:val="auto"/>
          <w:sz w:val="24"/>
          <w:szCs w:val="24"/>
          <w:highlight w:val="none"/>
          <w:lang w:val="en-US" w:eastAsia="zh-CN"/>
        </w:rPr>
        <w:t>布局</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确定</w:t>
      </w:r>
      <w:r>
        <w:rPr>
          <w:rFonts w:hint="eastAsia" w:ascii="Times New Roman" w:hAnsi="Times New Roman" w:eastAsia="宋体"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rPr>
        <w:t>项目环境防护距离设置为</w:t>
      </w:r>
      <w:r>
        <w:rPr>
          <w:rFonts w:hint="eastAsia" w:ascii="Times New Roman" w:hAnsi="Times New Roman" w:eastAsia="宋体" w:cs="Times New Roman"/>
          <w:color w:val="auto"/>
          <w:sz w:val="24"/>
          <w:szCs w:val="24"/>
          <w:highlight w:val="none"/>
          <w:lang w:val="en-US" w:eastAsia="zh-CN"/>
        </w:rPr>
        <w:t>厂界外扩50m范围，</w:t>
      </w:r>
      <w:r>
        <w:rPr>
          <w:rFonts w:hint="default" w:ascii="Times New Roman" w:hAnsi="Times New Roman" w:eastAsia="宋体" w:cs="Times New Roman"/>
          <w:color w:val="auto"/>
          <w:sz w:val="24"/>
          <w:szCs w:val="24"/>
          <w:highlight w:val="none"/>
        </w:rPr>
        <w:t>根据现场踏勘，</w:t>
      </w:r>
      <w:r>
        <w:rPr>
          <w:rFonts w:hint="eastAsia" w:ascii="Times New Roman" w:hAnsi="Times New Roman" w:eastAsia="宋体"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rPr>
        <w:t>项目环境防护距离范围内无环境敏感点，可满足环境防护距离要求。</w:t>
      </w:r>
      <w:r>
        <w:rPr>
          <w:rFonts w:hint="default" w:ascii="Times New Roman" w:hAnsi="Times New Roman" w:eastAsia="宋体" w:cs="Times New Roman"/>
          <w:color w:val="auto"/>
          <w:sz w:val="24"/>
          <w:szCs w:val="24"/>
          <w:highlight w:val="none"/>
          <w:lang w:val="en-US" w:eastAsia="zh-CN"/>
        </w:rPr>
        <w:t>环境防护距离包络线图如下：</w:t>
      </w:r>
    </w:p>
    <w:p w14:paraId="1ADC39B0">
      <w:pPr>
        <w:wordWrap w:val="0"/>
        <w:spacing w:line="360" w:lineRule="auto"/>
        <w:ind w:left="0" w:leftChars="0" w:firstLine="0" w:firstLineChars="0"/>
        <w:jc w:val="left"/>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5272405" cy="3787140"/>
            <wp:effectExtent l="0" t="0" r="4445" b="3810"/>
            <wp:docPr id="575" name="图片 246" descr="dbb03418a8b5052b3e95d71e4a1ff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246" descr="dbb03418a8b5052b3e95d71e4a1ff64"/>
                    <pic:cNvPicPr>
                      <a:picLocks noChangeAspect="1"/>
                    </pic:cNvPicPr>
                  </pic:nvPicPr>
                  <pic:blipFill>
                    <a:blip r:embed="rId66"/>
                    <a:stretch>
                      <a:fillRect/>
                    </a:stretch>
                  </pic:blipFill>
                  <pic:spPr>
                    <a:xfrm>
                      <a:off x="0" y="0"/>
                      <a:ext cx="5272405" cy="3787140"/>
                    </a:xfrm>
                    <a:prstGeom prst="rect">
                      <a:avLst/>
                    </a:prstGeom>
                    <a:noFill/>
                    <a:ln>
                      <a:noFill/>
                    </a:ln>
                  </pic:spPr>
                </pic:pic>
              </a:graphicData>
            </a:graphic>
          </wp:inline>
        </w:drawing>
      </w:r>
    </w:p>
    <w:p w14:paraId="203A2B6E">
      <w:pPr>
        <w:widowControl/>
        <w:wordWrap w:val="0"/>
        <w:bidi w:val="0"/>
        <w:spacing w:line="240" w:lineRule="auto"/>
        <w:ind w:firstLine="0" w:firstLineChars="0"/>
        <w:jc w:val="center"/>
        <w:rPr>
          <w:rFonts w:hint="eastAsia" w:ascii="Times New Roman" w:hAnsi="Times New Roman" w:eastAsia="宋体" w:cs="Times New Roman"/>
          <w:b/>
          <w:bCs/>
          <w:color w:val="auto"/>
          <w:kern w:val="2"/>
          <w:sz w:val="24"/>
          <w:szCs w:val="21"/>
          <w:highlight w:val="none"/>
          <w:lang w:val="en-US" w:eastAsia="zh-CN" w:bidi="ar-SA"/>
        </w:rPr>
      </w:pPr>
      <w:r>
        <w:rPr>
          <w:rFonts w:ascii="Times New Roman" w:hAnsi="Times New Roman" w:eastAsia="宋体" w:cs="Times New Roman"/>
          <w:b/>
          <w:bCs/>
          <w:color w:val="auto"/>
          <w:kern w:val="2"/>
          <w:sz w:val="24"/>
          <w:szCs w:val="21"/>
          <w:highlight w:val="none"/>
          <w:lang w:val="en-US" w:eastAsia="zh-CN" w:bidi="ar-SA"/>
        </w:rPr>
        <w:t>图</w:t>
      </w:r>
      <w:r>
        <w:rPr>
          <w:rFonts w:hint="eastAsia" w:ascii="Times New Roman" w:hAnsi="Times New Roman" w:eastAsia="宋体" w:cs="Times New Roman"/>
          <w:b/>
          <w:bCs/>
          <w:color w:val="auto"/>
          <w:kern w:val="2"/>
          <w:sz w:val="24"/>
          <w:szCs w:val="21"/>
          <w:highlight w:val="none"/>
          <w:lang w:val="en-US" w:eastAsia="zh-CN" w:bidi="ar-SA"/>
        </w:rPr>
        <w:t xml:space="preserve">5.2-6  </w:t>
      </w:r>
      <w:r>
        <w:rPr>
          <w:rFonts w:ascii="Times New Roman" w:hAnsi="Times New Roman" w:eastAsia="宋体" w:cs="Times New Roman"/>
          <w:b/>
          <w:bCs/>
          <w:color w:val="auto"/>
          <w:kern w:val="2"/>
          <w:sz w:val="24"/>
          <w:szCs w:val="21"/>
          <w:highlight w:val="none"/>
          <w:lang w:val="en-US" w:eastAsia="zh-CN" w:bidi="ar-SA"/>
        </w:rPr>
        <w:t>项目环境防护距离包络线图</w:t>
      </w:r>
      <w:r>
        <w:rPr>
          <w:color w:val="auto"/>
          <w:highlight w:val="none"/>
        </w:rPr>
        <w:drawing>
          <wp:anchor distT="0" distB="0" distL="114300" distR="114300" simplePos="0" relativeHeight="251723776" behindDoc="0" locked="0" layoutInCell="1" allowOverlap="1">
            <wp:simplePos x="0" y="0"/>
            <wp:positionH relativeFrom="column">
              <wp:posOffset>6823075</wp:posOffset>
            </wp:positionH>
            <wp:positionV relativeFrom="paragraph">
              <wp:posOffset>-3672205</wp:posOffset>
            </wp:positionV>
            <wp:extent cx="876300" cy="908050"/>
            <wp:effectExtent l="0" t="0" r="0" b="6350"/>
            <wp:wrapNone/>
            <wp:docPr id="287"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734"/>
                    <pic:cNvPicPr>
                      <a:picLocks noChangeAspect="1"/>
                    </pic:cNvPicPr>
                  </pic:nvPicPr>
                  <pic:blipFill>
                    <a:blip r:embed="rId62"/>
                    <a:stretch>
                      <a:fillRect/>
                    </a:stretch>
                  </pic:blipFill>
                  <pic:spPr>
                    <a:xfrm>
                      <a:off x="0" y="0"/>
                      <a:ext cx="876300" cy="908050"/>
                    </a:xfrm>
                    <a:prstGeom prst="rect">
                      <a:avLst/>
                    </a:prstGeom>
                    <a:noFill/>
                    <a:ln>
                      <a:noFill/>
                    </a:ln>
                  </pic:spPr>
                </pic:pic>
              </a:graphicData>
            </a:graphic>
          </wp:anchor>
        </w:drawing>
      </w:r>
    </w:p>
    <w:p w14:paraId="07874617">
      <w:pPr>
        <w:wordWrap w:val="0"/>
        <w:bidi w:val="0"/>
        <w:spacing w:line="360" w:lineRule="auto"/>
        <w:ind w:firstLine="482" w:firstLineChars="200"/>
        <w:jc w:val="left"/>
        <w:rPr>
          <w:rFonts w:hint="eastAsia"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8</w:t>
      </w:r>
      <w:r>
        <w:rPr>
          <w:rFonts w:hint="eastAsia" w:ascii="Times New Roman" w:hAnsi="Times New Roman" w:eastAsia="宋体" w:cs="Times New Roman"/>
          <w:b/>
          <w:bCs/>
          <w:color w:val="auto"/>
          <w:sz w:val="24"/>
          <w:szCs w:val="24"/>
          <w:highlight w:val="none"/>
        </w:rPr>
        <w:t>、大气环境影响评价小结</w:t>
      </w:r>
    </w:p>
    <w:p w14:paraId="56A06320">
      <w:pPr>
        <w:wordWrap w:val="0"/>
        <w:bidi w:val="0"/>
        <w:spacing w:line="360" w:lineRule="auto"/>
        <w:ind w:firstLine="480" w:firstLineChars="200"/>
        <w:jc w:val="left"/>
        <w:rPr>
          <w:rFonts w:ascii="Times New Roman" w:hAnsi="Times New Roman" w:eastAsia="宋体" w:cs="Times New Roman"/>
          <w:color w:val="auto"/>
          <w:sz w:val="24"/>
          <w:szCs w:val="24"/>
          <w:highlight w:val="none"/>
          <w:lang w:val="en-GB"/>
        </w:rPr>
      </w:pPr>
      <w:r>
        <w:rPr>
          <w:rFonts w:ascii="Times New Roman" w:hAnsi="Times New Roman" w:eastAsia="宋体" w:cs="Times New Roman"/>
          <w:color w:val="auto"/>
          <w:sz w:val="24"/>
          <w:szCs w:val="24"/>
          <w:highlight w:val="none"/>
          <w:lang w:val="en-GB"/>
        </w:rPr>
        <w:t>（</w:t>
      </w:r>
      <w:r>
        <w:rPr>
          <w:rFonts w:hint="eastAsia" w:ascii="Times New Roman" w:hAnsi="Times New Roman" w:eastAsia="宋体" w:cs="Times New Roman"/>
          <w:color w:val="auto"/>
          <w:sz w:val="24"/>
          <w:szCs w:val="24"/>
          <w:highlight w:val="none"/>
          <w:lang w:val="en-GB"/>
        </w:rPr>
        <w:t>1</w:t>
      </w:r>
      <w:r>
        <w:rPr>
          <w:rFonts w:ascii="Times New Roman" w:hAnsi="Times New Roman" w:eastAsia="宋体" w:cs="Times New Roman"/>
          <w:color w:val="auto"/>
          <w:sz w:val="24"/>
          <w:szCs w:val="24"/>
          <w:highlight w:val="none"/>
          <w:lang w:val="en-GB"/>
        </w:rPr>
        <w:t>）由估算模型可知，经相应措施处理后项目废气均能达标排放，环境影响可接受。根据对非正常工况下的废气污染物的预测，在此条件下，废气污染物浓度及占标率</w:t>
      </w:r>
      <w:r>
        <w:rPr>
          <w:rFonts w:hint="eastAsia" w:ascii="Times New Roman" w:hAnsi="Times New Roman" w:eastAsia="宋体" w:cs="Times New Roman"/>
          <w:color w:val="auto"/>
          <w:sz w:val="24"/>
          <w:szCs w:val="24"/>
          <w:highlight w:val="none"/>
          <w:lang w:val="en-US" w:eastAsia="zh-CN"/>
        </w:rPr>
        <w:t>未明显增大</w:t>
      </w:r>
      <w:r>
        <w:rPr>
          <w:rFonts w:ascii="Times New Roman" w:hAnsi="Times New Roman" w:eastAsia="宋体" w:cs="Times New Roman"/>
          <w:color w:val="auto"/>
          <w:sz w:val="24"/>
          <w:szCs w:val="24"/>
          <w:highlight w:val="none"/>
          <w:lang w:val="en-GB"/>
        </w:rPr>
        <w:t>，因此，本环评要求，建设单位应配备环保方面专业人员，并定期检查各环保设施，</w:t>
      </w:r>
      <w:r>
        <w:rPr>
          <w:rFonts w:hint="eastAsia" w:cs="Times New Roman"/>
          <w:color w:val="auto"/>
          <w:sz w:val="24"/>
          <w:szCs w:val="24"/>
          <w:highlight w:val="none"/>
          <w:lang w:val="en-GB" w:eastAsia="zh-CN"/>
        </w:rPr>
        <w:t>对</w:t>
      </w:r>
      <w:r>
        <w:rPr>
          <w:rFonts w:hint="eastAsia" w:ascii="Times New Roman" w:hAnsi="Times New Roman" w:eastAsia="宋体" w:cs="Times New Roman"/>
          <w:color w:val="auto"/>
          <w:sz w:val="24"/>
          <w:szCs w:val="24"/>
          <w:highlight w:val="none"/>
          <w:lang w:val="en-US" w:eastAsia="zh-CN"/>
        </w:rPr>
        <w:t>应急装备</w:t>
      </w:r>
      <w:r>
        <w:rPr>
          <w:rFonts w:ascii="Times New Roman" w:hAnsi="Times New Roman" w:eastAsia="宋体" w:cs="Times New Roman"/>
          <w:color w:val="auto"/>
          <w:sz w:val="24"/>
          <w:szCs w:val="24"/>
          <w:highlight w:val="none"/>
          <w:lang w:val="en-GB"/>
        </w:rPr>
        <w:t>应定期检查，</w:t>
      </w:r>
      <w:r>
        <w:rPr>
          <w:rFonts w:hint="eastAsia" w:ascii="Times New Roman" w:hAnsi="Times New Roman" w:eastAsia="宋体" w:cs="Times New Roman"/>
          <w:color w:val="auto"/>
          <w:sz w:val="24"/>
          <w:szCs w:val="24"/>
          <w:highlight w:val="none"/>
          <w:lang w:val="en-US" w:eastAsia="zh-CN"/>
        </w:rPr>
        <w:t>确保非正常工况条件下</w:t>
      </w:r>
      <w:r>
        <w:rPr>
          <w:rFonts w:ascii="Times New Roman" w:hAnsi="Times New Roman" w:eastAsia="宋体" w:cs="Times New Roman"/>
          <w:color w:val="auto"/>
          <w:sz w:val="24"/>
          <w:szCs w:val="24"/>
          <w:highlight w:val="none"/>
          <w:lang w:val="en-GB"/>
        </w:rPr>
        <w:t>废气</w:t>
      </w:r>
      <w:r>
        <w:rPr>
          <w:rFonts w:hint="eastAsia" w:ascii="Times New Roman" w:hAnsi="Times New Roman" w:eastAsia="宋体" w:cs="Times New Roman"/>
          <w:color w:val="auto"/>
          <w:sz w:val="24"/>
          <w:szCs w:val="24"/>
          <w:highlight w:val="none"/>
          <w:lang w:val="en-US" w:eastAsia="zh-CN"/>
        </w:rPr>
        <w:t>的达标</w:t>
      </w:r>
      <w:r>
        <w:rPr>
          <w:rFonts w:ascii="Times New Roman" w:hAnsi="Times New Roman" w:eastAsia="宋体" w:cs="Times New Roman"/>
          <w:color w:val="auto"/>
          <w:sz w:val="24"/>
          <w:szCs w:val="24"/>
          <w:highlight w:val="none"/>
          <w:lang w:val="en-GB"/>
        </w:rPr>
        <w:t>排放。同时项目废气处理应加强管理，防止因处理设施故障造成废气非正常排放。</w:t>
      </w:r>
    </w:p>
    <w:p w14:paraId="04D36F11">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lang w:val="en-GB"/>
        </w:rPr>
        <w:t>（</w:t>
      </w:r>
      <w:r>
        <w:rPr>
          <w:rFonts w:hint="eastAsia" w:ascii="Times New Roman" w:hAnsi="Times New Roman" w:eastAsia="宋体" w:cs="Times New Roman"/>
          <w:color w:val="auto"/>
          <w:sz w:val="24"/>
          <w:szCs w:val="24"/>
          <w:highlight w:val="none"/>
        </w:rPr>
        <w:t>2</w:t>
      </w:r>
      <w:r>
        <w:rPr>
          <w:rFonts w:ascii="Times New Roman" w:hAnsi="Times New Roman" w:eastAsia="宋体" w:cs="Times New Roman"/>
          <w:color w:val="auto"/>
          <w:sz w:val="24"/>
          <w:szCs w:val="24"/>
          <w:highlight w:val="none"/>
          <w:lang w:val="en-GB"/>
        </w:rPr>
        <w:t>）本项目以</w:t>
      </w:r>
      <w:r>
        <w:rPr>
          <w:rFonts w:hint="eastAsia" w:ascii="Times New Roman" w:hAnsi="Times New Roman" w:eastAsia="宋体" w:cs="Times New Roman"/>
          <w:color w:val="auto"/>
          <w:sz w:val="24"/>
          <w:szCs w:val="24"/>
          <w:highlight w:val="none"/>
          <w:lang w:val="en-GB"/>
        </w:rPr>
        <w:t>厂界</w:t>
      </w:r>
      <w:r>
        <w:rPr>
          <w:rFonts w:ascii="Times New Roman" w:hAnsi="Times New Roman" w:eastAsia="宋体" w:cs="Times New Roman"/>
          <w:color w:val="auto"/>
          <w:sz w:val="24"/>
          <w:szCs w:val="24"/>
          <w:highlight w:val="none"/>
          <w:lang w:val="en-GB"/>
        </w:rPr>
        <w:t>设置</w:t>
      </w:r>
      <w:r>
        <w:rPr>
          <w:rFonts w:hint="eastAsia" w:ascii="Times New Roman" w:hAnsi="Times New Roman" w:eastAsia="宋体" w:cs="Times New Roman"/>
          <w:color w:val="auto"/>
          <w:sz w:val="24"/>
          <w:szCs w:val="24"/>
          <w:highlight w:val="none"/>
          <w:lang w:val="en-US" w:eastAsia="zh-CN"/>
        </w:rPr>
        <w:t>50</w:t>
      </w:r>
      <w:r>
        <w:rPr>
          <w:rFonts w:ascii="Times New Roman" w:hAnsi="Times New Roman" w:eastAsia="宋体" w:cs="Times New Roman"/>
          <w:color w:val="auto"/>
          <w:sz w:val="24"/>
          <w:szCs w:val="24"/>
          <w:highlight w:val="none"/>
          <w:lang w:val="en-GB"/>
        </w:rPr>
        <w:t>米</w:t>
      </w:r>
      <w:r>
        <w:rPr>
          <w:rFonts w:hint="eastAsia" w:ascii="Times New Roman" w:hAnsi="Times New Roman" w:eastAsia="宋体" w:cs="Times New Roman"/>
          <w:color w:val="auto"/>
          <w:sz w:val="24"/>
          <w:szCs w:val="24"/>
          <w:highlight w:val="none"/>
        </w:rPr>
        <w:t>卫生</w:t>
      </w:r>
      <w:r>
        <w:rPr>
          <w:rFonts w:ascii="Times New Roman" w:hAnsi="Times New Roman" w:eastAsia="宋体" w:cs="Times New Roman"/>
          <w:color w:val="auto"/>
          <w:sz w:val="24"/>
          <w:szCs w:val="24"/>
          <w:highlight w:val="none"/>
          <w:lang w:val="en-GB"/>
        </w:rPr>
        <w:t>防护距离，</w:t>
      </w:r>
      <w:r>
        <w:rPr>
          <w:rFonts w:hint="eastAsia" w:ascii="Times New Roman" w:hAnsi="Times New Roman" w:eastAsia="宋体" w:cs="Times New Roman"/>
          <w:color w:val="auto"/>
          <w:sz w:val="24"/>
          <w:szCs w:val="24"/>
          <w:highlight w:val="none"/>
          <w:lang w:val="en-US" w:eastAsia="zh-CN"/>
        </w:rPr>
        <w:t>根据现场踏勘，厂房外50米范围内不存在学校、医院、居民点等敏感点</w:t>
      </w:r>
      <w:r>
        <w:rPr>
          <w:rFonts w:ascii="Times New Roman" w:hAnsi="Times New Roman" w:eastAsia="宋体" w:cs="Times New Roman"/>
          <w:color w:val="auto"/>
          <w:sz w:val="24"/>
          <w:szCs w:val="24"/>
          <w:highlight w:val="none"/>
          <w:lang w:val="en-GB"/>
        </w:rPr>
        <w:t>，营运期内</w:t>
      </w:r>
      <w:r>
        <w:rPr>
          <w:rFonts w:ascii="Times New Roman" w:hAnsi="Times New Roman" w:eastAsia="宋体" w:cs="Times New Roman"/>
          <w:color w:val="auto"/>
          <w:sz w:val="24"/>
          <w:szCs w:val="24"/>
          <w:highlight w:val="none"/>
        </w:rPr>
        <w:t>本项目</w:t>
      </w:r>
      <w:r>
        <w:rPr>
          <w:rFonts w:hint="eastAsia" w:ascii="Times New Roman" w:hAnsi="Times New Roman" w:eastAsia="宋体" w:cs="Times New Roman"/>
          <w:color w:val="auto"/>
          <w:sz w:val="24"/>
          <w:szCs w:val="24"/>
          <w:highlight w:val="none"/>
        </w:rPr>
        <w:t>卫生</w:t>
      </w:r>
      <w:r>
        <w:rPr>
          <w:rFonts w:ascii="Times New Roman" w:hAnsi="Times New Roman" w:eastAsia="宋体" w:cs="Times New Roman"/>
          <w:color w:val="auto"/>
          <w:sz w:val="24"/>
          <w:szCs w:val="24"/>
          <w:highlight w:val="none"/>
        </w:rPr>
        <w:t>防护距离内无学校、医院、居民点等敏感点。同时环评要求，项目</w:t>
      </w:r>
      <w:r>
        <w:rPr>
          <w:rFonts w:hint="eastAsia" w:ascii="Times New Roman" w:hAnsi="Times New Roman" w:eastAsia="宋体" w:cs="Times New Roman"/>
          <w:color w:val="auto"/>
          <w:sz w:val="24"/>
          <w:szCs w:val="24"/>
          <w:highlight w:val="none"/>
        </w:rPr>
        <w:t>卫生</w:t>
      </w:r>
      <w:r>
        <w:rPr>
          <w:rFonts w:ascii="Times New Roman" w:hAnsi="Times New Roman" w:eastAsia="宋体" w:cs="Times New Roman"/>
          <w:color w:val="auto"/>
          <w:sz w:val="24"/>
          <w:szCs w:val="24"/>
          <w:highlight w:val="none"/>
        </w:rPr>
        <w:t>防护区域内不得新建学校、医院、居民点等敏感类项目。</w:t>
      </w:r>
    </w:p>
    <w:p w14:paraId="6E94EDB2">
      <w:pPr>
        <w:wordWrap w:val="0"/>
        <w:bidi w:val="0"/>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综上所述，项目采取的污染控制措施可以保证污染物达标排放，项目废气排放对外界环境影响可接受</w:t>
      </w:r>
      <w:r>
        <w:rPr>
          <w:rFonts w:hint="eastAsia" w:ascii="Times New Roman" w:hAnsi="Times New Roman" w:eastAsia="宋体" w:cs="Times New Roman"/>
          <w:color w:val="auto"/>
          <w:sz w:val="24"/>
          <w:szCs w:val="24"/>
          <w:highlight w:val="none"/>
        </w:rPr>
        <w:t>，</w:t>
      </w:r>
      <w:r>
        <w:rPr>
          <w:rFonts w:ascii="Times New Roman" w:hAnsi="Times New Roman" w:eastAsia="宋体" w:cs="Times New Roman"/>
          <w:color w:val="auto"/>
          <w:sz w:val="24"/>
          <w:szCs w:val="24"/>
          <w:highlight w:val="none"/>
        </w:rPr>
        <w:t>所采取的废气治理措施是可行的。</w:t>
      </w:r>
    </w:p>
    <w:p w14:paraId="727BF9A9">
      <w:pPr>
        <w:wordWrap w:val="0"/>
        <w:bidi w:val="0"/>
        <w:spacing w:line="360" w:lineRule="auto"/>
        <w:ind w:firstLine="482" w:firstLineChars="200"/>
        <w:jc w:val="left"/>
        <w:rPr>
          <w:rFonts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9</w:t>
      </w:r>
      <w:r>
        <w:rPr>
          <w:rFonts w:hint="eastAsia" w:ascii="Times New Roman" w:hAnsi="Times New Roman" w:eastAsia="宋体" w:cs="Times New Roman"/>
          <w:b/>
          <w:bCs/>
          <w:color w:val="auto"/>
          <w:sz w:val="24"/>
          <w:szCs w:val="24"/>
          <w:highlight w:val="none"/>
        </w:rPr>
        <w:t>、</w:t>
      </w:r>
      <w:r>
        <w:rPr>
          <w:rFonts w:ascii="Times New Roman" w:hAnsi="Times New Roman" w:eastAsia="宋体" w:cs="Times New Roman"/>
          <w:b/>
          <w:bCs/>
          <w:color w:val="auto"/>
          <w:sz w:val="24"/>
          <w:szCs w:val="24"/>
          <w:highlight w:val="none"/>
        </w:rPr>
        <w:t>自查表</w:t>
      </w:r>
    </w:p>
    <w:p w14:paraId="488C1EAE">
      <w:pPr>
        <w:widowControl/>
        <w:wordWrap w:val="0"/>
        <w:bidi w:val="0"/>
        <w:spacing w:line="240" w:lineRule="auto"/>
        <w:ind w:firstLine="0" w:firstLineChars="0"/>
        <w:jc w:val="center"/>
        <w:rPr>
          <w:rFonts w:hint="eastAsia" w:ascii="Times New Roman" w:hAnsi="Times New Roman" w:eastAsia="宋体" w:cs="Times New Roman"/>
          <w:b/>
          <w:bCs/>
          <w:color w:val="auto"/>
          <w:kern w:val="2"/>
          <w:sz w:val="24"/>
          <w:szCs w:val="21"/>
          <w:highlight w:val="none"/>
          <w:lang w:val="en-US" w:eastAsia="zh-CN" w:bidi="ar-SA"/>
        </w:rPr>
      </w:pPr>
    </w:p>
    <w:p w14:paraId="36AEAE58">
      <w:pPr>
        <w:widowControl/>
        <w:wordWrap w:val="0"/>
        <w:bidi w:val="0"/>
        <w:spacing w:line="240" w:lineRule="auto"/>
        <w:ind w:firstLine="0" w:firstLineChars="0"/>
        <w:jc w:val="center"/>
        <w:rPr>
          <w:rFonts w:hint="eastAsia" w:ascii="Times New Roman" w:hAnsi="Times New Roman" w:eastAsia="宋体" w:cs="Times New Roman"/>
          <w:b/>
          <w:bCs/>
          <w:color w:val="auto"/>
          <w:kern w:val="2"/>
          <w:sz w:val="24"/>
          <w:szCs w:val="21"/>
          <w:highlight w:val="none"/>
          <w:lang w:val="en-US" w:eastAsia="zh-CN" w:bidi="ar-SA"/>
        </w:rPr>
      </w:pPr>
    </w:p>
    <w:p w14:paraId="488A1550">
      <w:pPr>
        <w:widowControl/>
        <w:wordWrap w:val="0"/>
        <w:bidi w:val="0"/>
        <w:spacing w:line="240" w:lineRule="auto"/>
        <w:ind w:firstLine="0" w:firstLineChars="0"/>
        <w:jc w:val="center"/>
        <w:rPr>
          <w:rFonts w:ascii="Times New Roman" w:hAnsi="Times New Roman" w:eastAsia="宋体" w:cs="Times New Roman"/>
          <w:b/>
          <w:bCs/>
          <w:color w:val="auto"/>
          <w:kern w:val="2"/>
          <w:sz w:val="24"/>
          <w:szCs w:val="21"/>
          <w:highlight w:val="none"/>
          <w:lang w:val="en-US" w:eastAsia="zh-CN" w:bidi="ar-SA"/>
        </w:rPr>
      </w:pPr>
      <w:r>
        <w:rPr>
          <w:rFonts w:hint="eastAsia" w:ascii="Times New Roman" w:hAnsi="Times New Roman" w:eastAsia="宋体" w:cs="Times New Roman"/>
          <w:b/>
          <w:bCs/>
          <w:color w:val="auto"/>
          <w:kern w:val="2"/>
          <w:sz w:val="24"/>
          <w:szCs w:val="21"/>
          <w:highlight w:val="none"/>
          <w:lang w:val="en-US" w:eastAsia="zh-CN" w:bidi="ar-SA"/>
        </w:rPr>
        <w:t>表5.2-2</w:t>
      </w:r>
      <w:r>
        <w:rPr>
          <w:rFonts w:hint="eastAsia" w:cs="Times New Roman"/>
          <w:b/>
          <w:bCs/>
          <w:color w:val="auto"/>
          <w:kern w:val="2"/>
          <w:sz w:val="24"/>
          <w:szCs w:val="21"/>
          <w:highlight w:val="none"/>
          <w:lang w:val="en-US" w:eastAsia="zh-CN" w:bidi="ar-SA"/>
        </w:rPr>
        <w:t>2</w:t>
      </w:r>
      <w:r>
        <w:rPr>
          <w:rFonts w:hint="eastAsia" w:ascii="Times New Roman" w:hAnsi="Times New Roman" w:eastAsia="宋体" w:cs="Times New Roman"/>
          <w:b/>
          <w:bCs/>
          <w:color w:val="auto"/>
          <w:kern w:val="2"/>
          <w:sz w:val="24"/>
          <w:szCs w:val="21"/>
          <w:highlight w:val="none"/>
          <w:lang w:val="en-US" w:eastAsia="zh-CN" w:bidi="ar-SA"/>
        </w:rPr>
        <w:t xml:space="preserve">  大气环境影响评价自查表</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9"/>
        <w:gridCol w:w="1141"/>
        <w:gridCol w:w="1040"/>
        <w:gridCol w:w="578"/>
        <w:gridCol w:w="445"/>
        <w:gridCol w:w="946"/>
        <w:gridCol w:w="858"/>
        <w:gridCol w:w="945"/>
        <w:gridCol w:w="948"/>
        <w:gridCol w:w="736"/>
      </w:tblGrid>
      <w:tr w14:paraId="0848C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64" w:type="dxa"/>
            <w:gridSpan w:val="2"/>
            <w:noWrap w:val="0"/>
            <w:vAlign w:val="center"/>
          </w:tcPr>
          <w:p w14:paraId="6FC0E76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工作内容</w:t>
            </w:r>
          </w:p>
        </w:tc>
        <w:tc>
          <w:tcPr>
            <w:tcW w:w="7005" w:type="dxa"/>
            <w:gridSpan w:val="8"/>
            <w:noWrap w:val="0"/>
            <w:vAlign w:val="center"/>
          </w:tcPr>
          <w:p w14:paraId="0BBD09E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自查项目</w:t>
            </w:r>
          </w:p>
        </w:tc>
      </w:tr>
      <w:tr w14:paraId="56845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restart"/>
            <w:noWrap w:val="0"/>
            <w:vAlign w:val="center"/>
          </w:tcPr>
          <w:p w14:paraId="5C361CF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评价等级与范围</w:t>
            </w:r>
          </w:p>
        </w:tc>
        <w:tc>
          <w:tcPr>
            <w:tcW w:w="1231" w:type="dxa"/>
            <w:noWrap w:val="0"/>
            <w:vAlign w:val="center"/>
          </w:tcPr>
          <w:p w14:paraId="199D026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评价等级</w:t>
            </w:r>
          </w:p>
        </w:tc>
        <w:tc>
          <w:tcPr>
            <w:tcW w:w="2225" w:type="dxa"/>
            <w:gridSpan w:val="3"/>
            <w:noWrap w:val="0"/>
            <w:vAlign w:val="center"/>
          </w:tcPr>
          <w:p w14:paraId="14DC6A9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一级</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964" w:type="dxa"/>
            <w:gridSpan w:val="3"/>
            <w:noWrap w:val="0"/>
            <w:vAlign w:val="center"/>
          </w:tcPr>
          <w:p w14:paraId="0C6ABF2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二级</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1816" w:type="dxa"/>
            <w:gridSpan w:val="2"/>
            <w:noWrap w:val="0"/>
            <w:vAlign w:val="center"/>
          </w:tcPr>
          <w:p w14:paraId="2789404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三级</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088C6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4FC91CA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7A7690A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评价范围</w:t>
            </w:r>
          </w:p>
        </w:tc>
        <w:tc>
          <w:tcPr>
            <w:tcW w:w="2225" w:type="dxa"/>
            <w:gridSpan w:val="3"/>
            <w:noWrap w:val="0"/>
            <w:vAlign w:val="center"/>
          </w:tcPr>
          <w:p w14:paraId="75CDC8C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边长=50km</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964" w:type="dxa"/>
            <w:gridSpan w:val="3"/>
            <w:noWrap w:val="0"/>
            <w:vAlign w:val="center"/>
          </w:tcPr>
          <w:p w14:paraId="63F951A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边长5～50km</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816" w:type="dxa"/>
            <w:gridSpan w:val="2"/>
            <w:noWrap w:val="0"/>
            <w:vAlign w:val="center"/>
          </w:tcPr>
          <w:p w14:paraId="5E9EF83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边长=5km</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14:paraId="730FF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restart"/>
            <w:noWrap w:val="0"/>
            <w:vAlign w:val="center"/>
          </w:tcPr>
          <w:p w14:paraId="6F38A91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评价因子</w:t>
            </w:r>
          </w:p>
        </w:tc>
        <w:tc>
          <w:tcPr>
            <w:tcW w:w="1231" w:type="dxa"/>
            <w:noWrap w:val="0"/>
            <w:vAlign w:val="center"/>
          </w:tcPr>
          <w:p w14:paraId="55B8CC0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SO</w:t>
            </w:r>
            <w:r>
              <w:rPr>
                <w:rFonts w:hint="default" w:ascii="Times New Roman" w:hAnsi="Times New Roman" w:eastAsia="宋体" w:cs="Times New Roman"/>
                <w:color w:val="auto"/>
                <w:kern w:val="2"/>
                <w:sz w:val="21"/>
                <w:szCs w:val="21"/>
                <w:highlight w:val="none"/>
                <w:vertAlign w:val="sub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+NOx排放量</w:t>
            </w:r>
          </w:p>
        </w:tc>
        <w:tc>
          <w:tcPr>
            <w:tcW w:w="2225" w:type="dxa"/>
            <w:gridSpan w:val="3"/>
            <w:noWrap w:val="0"/>
            <w:vAlign w:val="center"/>
          </w:tcPr>
          <w:p w14:paraId="7DE0F4D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≥2000t/a</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964" w:type="dxa"/>
            <w:gridSpan w:val="3"/>
            <w:noWrap w:val="0"/>
            <w:vAlign w:val="center"/>
          </w:tcPr>
          <w:p w14:paraId="7B63F54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500</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2000t/a</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816" w:type="dxa"/>
            <w:gridSpan w:val="2"/>
            <w:noWrap w:val="0"/>
            <w:vAlign w:val="center"/>
          </w:tcPr>
          <w:p w14:paraId="01D078E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&lt;</w:t>
            </w:r>
            <w:r>
              <w:rPr>
                <w:rFonts w:hint="default" w:ascii="Times New Roman" w:hAnsi="Times New Roman" w:eastAsia="宋体" w:cs="Times New Roman"/>
                <w:color w:val="auto"/>
                <w:kern w:val="2"/>
                <w:sz w:val="21"/>
                <w:szCs w:val="21"/>
                <w:highlight w:val="none"/>
                <w:lang w:val="en-US" w:eastAsia="zh-CN" w:bidi="ar-SA"/>
              </w:rPr>
              <w:t>500t/a</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14:paraId="51626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2547930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1691AEE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评价因子</w:t>
            </w:r>
          </w:p>
        </w:tc>
        <w:tc>
          <w:tcPr>
            <w:tcW w:w="4170" w:type="dxa"/>
            <w:gridSpan w:val="5"/>
            <w:noWrap w:val="0"/>
            <w:vAlign w:val="center"/>
          </w:tcPr>
          <w:p w14:paraId="404AC3F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基本污染物（PM</w:t>
            </w:r>
            <w:r>
              <w:rPr>
                <w:rFonts w:hint="default" w:ascii="Times New Roman" w:hAnsi="Times New Roman" w:eastAsia="宋体" w:cs="Times New Roman"/>
                <w:color w:val="auto"/>
                <w:kern w:val="2"/>
                <w:sz w:val="21"/>
                <w:szCs w:val="21"/>
                <w:highlight w:val="none"/>
                <w:vertAlign w:val="subscript"/>
                <w:lang w:val="en-US" w:eastAsia="zh-CN" w:bidi="ar-SA"/>
              </w:rPr>
              <w:t>2.5</w:t>
            </w:r>
            <w:r>
              <w:rPr>
                <w:rFonts w:hint="default" w:ascii="Times New Roman" w:hAnsi="Times New Roman" w:eastAsia="宋体" w:cs="Times New Roman"/>
                <w:color w:val="auto"/>
                <w:kern w:val="2"/>
                <w:sz w:val="21"/>
                <w:szCs w:val="21"/>
                <w:highlight w:val="none"/>
                <w:lang w:val="en-US" w:eastAsia="zh-CN" w:bidi="ar-SA"/>
              </w:rPr>
              <w:t>、PM</w:t>
            </w:r>
            <w:r>
              <w:rPr>
                <w:rFonts w:hint="default" w:ascii="Times New Roman" w:hAnsi="Times New Roman" w:eastAsia="宋体" w:cs="Times New Roman"/>
                <w:color w:val="auto"/>
                <w:kern w:val="2"/>
                <w:sz w:val="21"/>
                <w:szCs w:val="21"/>
                <w:highlight w:val="none"/>
                <w:vertAlign w:val="subscript"/>
                <w:lang w:val="en-US" w:eastAsia="zh-CN" w:bidi="ar-SA"/>
              </w:rPr>
              <w:t>10</w:t>
            </w:r>
            <w:r>
              <w:rPr>
                <w:rFonts w:hint="default" w:ascii="Times New Roman" w:hAnsi="Times New Roman" w:eastAsia="宋体" w:cs="Times New Roman"/>
                <w:color w:val="auto"/>
                <w:kern w:val="2"/>
                <w:sz w:val="21"/>
                <w:szCs w:val="21"/>
                <w:highlight w:val="none"/>
                <w:lang w:val="en-US" w:eastAsia="zh-CN" w:bidi="ar-SA"/>
              </w:rPr>
              <w:t>、O</w:t>
            </w:r>
            <w:r>
              <w:rPr>
                <w:rFonts w:hint="default" w:ascii="Times New Roman" w:hAnsi="Times New Roman" w:eastAsia="宋体" w:cs="Times New Roman"/>
                <w:color w:val="auto"/>
                <w:kern w:val="2"/>
                <w:sz w:val="21"/>
                <w:szCs w:val="21"/>
                <w:highlight w:val="none"/>
                <w:vertAlign w:val="sub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、CO、SO</w:t>
            </w:r>
            <w:r>
              <w:rPr>
                <w:rFonts w:hint="default" w:ascii="Times New Roman" w:hAnsi="Times New Roman" w:eastAsia="宋体" w:cs="Times New Roman"/>
                <w:color w:val="auto"/>
                <w:kern w:val="2"/>
                <w:sz w:val="21"/>
                <w:szCs w:val="21"/>
                <w:highlight w:val="none"/>
                <w:vertAlign w:val="sub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、NO</w:t>
            </w:r>
            <w:r>
              <w:rPr>
                <w:rFonts w:hint="default" w:ascii="Times New Roman" w:hAnsi="Times New Roman" w:eastAsia="宋体" w:cs="Times New Roman"/>
                <w:color w:val="auto"/>
                <w:kern w:val="2"/>
                <w:sz w:val="21"/>
                <w:szCs w:val="21"/>
                <w:highlight w:val="none"/>
                <w:vertAlign w:val="sub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w:t>
            </w:r>
          </w:p>
          <w:p w14:paraId="0F03E88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其他污染物（</w:t>
            </w:r>
            <w:r>
              <w:rPr>
                <w:rFonts w:hint="eastAsia" w:ascii="Times New Roman" w:hAnsi="Times New Roman" w:eastAsia="宋体" w:cs="Times New Roman"/>
                <w:color w:val="auto"/>
                <w:kern w:val="2"/>
                <w:sz w:val="21"/>
                <w:szCs w:val="21"/>
                <w:highlight w:val="none"/>
                <w:lang w:val="en-US" w:eastAsia="zh-CN" w:bidi="ar-SA"/>
              </w:rPr>
              <w:t>非甲烷总烃</w:t>
            </w:r>
            <w:r>
              <w:rPr>
                <w:rFonts w:hint="default" w:ascii="Times New Roman" w:hAnsi="Times New Roman" w:eastAsia="宋体" w:cs="Times New Roman"/>
                <w:color w:val="auto"/>
                <w:kern w:val="2"/>
                <w:sz w:val="21"/>
                <w:szCs w:val="21"/>
                <w:highlight w:val="none"/>
                <w:lang w:val="en-US" w:eastAsia="zh-CN" w:bidi="ar-SA"/>
              </w:rPr>
              <w:t>）</w:t>
            </w:r>
          </w:p>
        </w:tc>
        <w:tc>
          <w:tcPr>
            <w:tcW w:w="2835" w:type="dxa"/>
            <w:gridSpan w:val="3"/>
            <w:noWrap w:val="0"/>
            <w:vAlign w:val="center"/>
          </w:tcPr>
          <w:p w14:paraId="18C16A7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包括二次PM2.5</w:t>
            </w:r>
            <w:r>
              <w:rPr>
                <w:rFonts w:hint="default" w:ascii="Times New Roman" w:hAnsi="Times New Roman" w:eastAsia="宋体" w:cs="Times New Roman"/>
                <w:color w:val="auto"/>
                <w:kern w:val="2"/>
                <w:sz w:val="21"/>
                <w:szCs w:val="21"/>
                <w:highlight w:val="none"/>
                <w:lang w:val="en-US" w:eastAsia="zh-CN" w:bidi="ar-SA"/>
              </w:rPr>
              <w:sym w:font="Wingdings 2" w:char="00A3"/>
            </w:r>
          </w:p>
          <w:p w14:paraId="115EB1D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不包括二次PM2.5</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14:paraId="62684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noWrap w:val="0"/>
            <w:vAlign w:val="center"/>
          </w:tcPr>
          <w:p w14:paraId="0322E8E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评价标准</w:t>
            </w:r>
          </w:p>
        </w:tc>
        <w:tc>
          <w:tcPr>
            <w:tcW w:w="1231" w:type="dxa"/>
            <w:noWrap w:val="0"/>
            <w:vAlign w:val="center"/>
          </w:tcPr>
          <w:p w14:paraId="372E08E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评价标准</w:t>
            </w:r>
          </w:p>
        </w:tc>
        <w:tc>
          <w:tcPr>
            <w:tcW w:w="2225" w:type="dxa"/>
            <w:gridSpan w:val="3"/>
            <w:noWrap w:val="0"/>
            <w:vAlign w:val="center"/>
          </w:tcPr>
          <w:p w14:paraId="1332514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国家标准</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1945" w:type="dxa"/>
            <w:gridSpan w:val="2"/>
            <w:noWrap w:val="0"/>
            <w:vAlign w:val="center"/>
          </w:tcPr>
          <w:p w14:paraId="0DF77EE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地方标准</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019" w:type="dxa"/>
            <w:noWrap w:val="0"/>
            <w:vAlign w:val="center"/>
          </w:tcPr>
          <w:p w14:paraId="6EB5643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附录D</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1816" w:type="dxa"/>
            <w:gridSpan w:val="2"/>
            <w:noWrap w:val="0"/>
            <w:vAlign w:val="center"/>
          </w:tcPr>
          <w:p w14:paraId="0EC3F90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其他标准</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5EB52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restart"/>
            <w:noWrap w:val="0"/>
            <w:vAlign w:val="center"/>
          </w:tcPr>
          <w:p w14:paraId="4AACCEE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现状评价</w:t>
            </w:r>
          </w:p>
        </w:tc>
        <w:tc>
          <w:tcPr>
            <w:tcW w:w="1231" w:type="dxa"/>
            <w:noWrap w:val="0"/>
            <w:vAlign w:val="center"/>
          </w:tcPr>
          <w:p w14:paraId="07A70D3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环境功能区</w:t>
            </w:r>
          </w:p>
        </w:tc>
        <w:tc>
          <w:tcPr>
            <w:tcW w:w="2225" w:type="dxa"/>
            <w:gridSpan w:val="3"/>
            <w:noWrap w:val="0"/>
            <w:vAlign w:val="center"/>
          </w:tcPr>
          <w:p w14:paraId="6CCF697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一类区</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945" w:type="dxa"/>
            <w:gridSpan w:val="2"/>
            <w:noWrap w:val="0"/>
            <w:vAlign w:val="center"/>
          </w:tcPr>
          <w:p w14:paraId="43AED1C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二类区</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2835" w:type="dxa"/>
            <w:gridSpan w:val="3"/>
            <w:noWrap w:val="0"/>
            <w:vAlign w:val="center"/>
          </w:tcPr>
          <w:p w14:paraId="083FBE3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一类区和二类区</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00530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0018027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5E1FE32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评价基准年</w:t>
            </w:r>
          </w:p>
        </w:tc>
        <w:tc>
          <w:tcPr>
            <w:tcW w:w="7005" w:type="dxa"/>
            <w:gridSpan w:val="8"/>
            <w:noWrap w:val="0"/>
            <w:vAlign w:val="center"/>
          </w:tcPr>
          <w:p w14:paraId="725ADF6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（2023）年</w:t>
            </w:r>
          </w:p>
        </w:tc>
      </w:tr>
      <w:tr w14:paraId="4BC99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0972E0F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2BC38B8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环境空气质量现状调查数据来源</w:t>
            </w:r>
          </w:p>
        </w:tc>
        <w:tc>
          <w:tcPr>
            <w:tcW w:w="2225" w:type="dxa"/>
            <w:gridSpan w:val="3"/>
            <w:noWrap w:val="0"/>
            <w:vAlign w:val="center"/>
          </w:tcPr>
          <w:p w14:paraId="05AEC04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长期例行监测数据</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945" w:type="dxa"/>
            <w:gridSpan w:val="2"/>
            <w:noWrap w:val="0"/>
            <w:vAlign w:val="center"/>
          </w:tcPr>
          <w:p w14:paraId="137C60B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主管部门发布的数据</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2835" w:type="dxa"/>
            <w:gridSpan w:val="3"/>
            <w:noWrap w:val="0"/>
            <w:vAlign w:val="center"/>
          </w:tcPr>
          <w:p w14:paraId="79EA714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现状补充数据</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14:paraId="04D62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0C61342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3824F75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现状评价</w:t>
            </w:r>
          </w:p>
        </w:tc>
        <w:tc>
          <w:tcPr>
            <w:tcW w:w="4170" w:type="dxa"/>
            <w:gridSpan w:val="5"/>
            <w:noWrap w:val="0"/>
            <w:vAlign w:val="center"/>
          </w:tcPr>
          <w:p w14:paraId="726CD70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达标区</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835" w:type="dxa"/>
            <w:gridSpan w:val="3"/>
            <w:noWrap w:val="0"/>
            <w:vAlign w:val="center"/>
          </w:tcPr>
          <w:p w14:paraId="6F37989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不达标区</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14:paraId="1A54C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noWrap w:val="0"/>
            <w:vAlign w:val="center"/>
          </w:tcPr>
          <w:p w14:paraId="698AF64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污染源调查</w:t>
            </w:r>
          </w:p>
        </w:tc>
        <w:tc>
          <w:tcPr>
            <w:tcW w:w="1231" w:type="dxa"/>
            <w:noWrap w:val="0"/>
            <w:vAlign w:val="center"/>
          </w:tcPr>
          <w:p w14:paraId="47854BC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调查内容</w:t>
            </w:r>
          </w:p>
        </w:tc>
        <w:tc>
          <w:tcPr>
            <w:tcW w:w="2225" w:type="dxa"/>
            <w:gridSpan w:val="3"/>
            <w:noWrap w:val="0"/>
            <w:vAlign w:val="center"/>
          </w:tcPr>
          <w:p w14:paraId="1AFBAA2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本项目正常排放源</w:t>
            </w:r>
            <w:r>
              <w:rPr>
                <w:rFonts w:hint="default" w:ascii="Times New Roman" w:hAnsi="Times New Roman" w:eastAsia="宋体" w:cs="Times New Roman"/>
                <w:color w:val="auto"/>
                <w:kern w:val="2"/>
                <w:sz w:val="21"/>
                <w:szCs w:val="21"/>
                <w:highlight w:val="none"/>
                <w:lang w:val="en-US" w:eastAsia="zh-CN" w:bidi="ar-SA"/>
              </w:rPr>
              <w:sym w:font="Wingdings 2" w:char="00A3"/>
            </w:r>
          </w:p>
          <w:p w14:paraId="7157396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本项目非正常排放源</w:t>
            </w:r>
            <w:r>
              <w:rPr>
                <w:rFonts w:hint="default" w:ascii="Times New Roman" w:hAnsi="Times New Roman" w:eastAsia="宋体" w:cs="Times New Roman"/>
                <w:color w:val="auto"/>
                <w:kern w:val="2"/>
                <w:sz w:val="21"/>
                <w:szCs w:val="21"/>
                <w:highlight w:val="none"/>
                <w:lang w:val="en-US" w:eastAsia="zh-CN" w:bidi="ar-SA"/>
              </w:rPr>
              <w:sym w:font="Wingdings 2" w:char="00A3"/>
            </w:r>
          </w:p>
          <w:p w14:paraId="283A7DA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现有污染源</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945" w:type="dxa"/>
            <w:gridSpan w:val="2"/>
            <w:noWrap w:val="0"/>
            <w:vAlign w:val="center"/>
          </w:tcPr>
          <w:p w14:paraId="1B135F3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拟替代的污染源</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042" w:type="dxa"/>
            <w:gridSpan w:val="2"/>
            <w:noWrap w:val="0"/>
            <w:vAlign w:val="center"/>
          </w:tcPr>
          <w:p w14:paraId="2DBE66F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其他在建、拟建项目污染源</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793" w:type="dxa"/>
            <w:noWrap w:val="0"/>
            <w:vAlign w:val="center"/>
          </w:tcPr>
          <w:p w14:paraId="652EE43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区域污染源</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795F4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restart"/>
            <w:noWrap w:val="0"/>
            <w:vAlign w:val="center"/>
          </w:tcPr>
          <w:p w14:paraId="51B8085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大气环境影响预测与评价</w:t>
            </w:r>
          </w:p>
        </w:tc>
        <w:tc>
          <w:tcPr>
            <w:tcW w:w="1231" w:type="dxa"/>
            <w:noWrap w:val="0"/>
            <w:vAlign w:val="center"/>
          </w:tcPr>
          <w:p w14:paraId="508CEEA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预测模型</w:t>
            </w:r>
          </w:p>
        </w:tc>
        <w:tc>
          <w:tcPr>
            <w:tcW w:w="1122" w:type="dxa"/>
            <w:noWrap w:val="0"/>
            <w:vAlign w:val="center"/>
          </w:tcPr>
          <w:p w14:paraId="47EFD59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AERMOD</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103" w:type="dxa"/>
            <w:gridSpan w:val="2"/>
            <w:noWrap w:val="0"/>
            <w:vAlign w:val="center"/>
          </w:tcPr>
          <w:p w14:paraId="1AF2E70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ADMS</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020" w:type="dxa"/>
            <w:noWrap w:val="0"/>
            <w:vAlign w:val="center"/>
          </w:tcPr>
          <w:p w14:paraId="0F6F83A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AUSTAL2000</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925" w:type="dxa"/>
            <w:noWrap w:val="0"/>
            <w:vAlign w:val="center"/>
          </w:tcPr>
          <w:p w14:paraId="3E57A44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EDMS/AEDT</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019" w:type="dxa"/>
            <w:noWrap w:val="0"/>
            <w:vAlign w:val="center"/>
          </w:tcPr>
          <w:p w14:paraId="65FAD69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CALPUFF</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023" w:type="dxa"/>
            <w:noWrap w:val="0"/>
            <w:vAlign w:val="center"/>
          </w:tcPr>
          <w:p w14:paraId="1870417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网格模型</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793" w:type="dxa"/>
            <w:noWrap w:val="0"/>
            <w:vAlign w:val="center"/>
          </w:tcPr>
          <w:p w14:paraId="594DB75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32EC8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15E864B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2E98313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预测范围</w:t>
            </w:r>
          </w:p>
        </w:tc>
        <w:tc>
          <w:tcPr>
            <w:tcW w:w="2225" w:type="dxa"/>
            <w:gridSpan w:val="3"/>
            <w:noWrap w:val="0"/>
            <w:vAlign w:val="center"/>
          </w:tcPr>
          <w:p w14:paraId="1F35CFD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边长≥50km</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1945" w:type="dxa"/>
            <w:gridSpan w:val="2"/>
            <w:noWrap w:val="0"/>
            <w:vAlign w:val="center"/>
          </w:tcPr>
          <w:p w14:paraId="49C051F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边长5～50km</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835" w:type="dxa"/>
            <w:gridSpan w:val="3"/>
            <w:noWrap w:val="0"/>
            <w:vAlign w:val="center"/>
          </w:tcPr>
          <w:p w14:paraId="3638BC9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边长=5km</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14:paraId="0EC87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3D6E143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3B8C16E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预测因子</w:t>
            </w:r>
          </w:p>
        </w:tc>
        <w:tc>
          <w:tcPr>
            <w:tcW w:w="4170" w:type="dxa"/>
            <w:gridSpan w:val="5"/>
            <w:noWrap w:val="0"/>
            <w:vAlign w:val="center"/>
          </w:tcPr>
          <w:p w14:paraId="343AAD8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预测因子（</w:t>
            </w: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、NOx、PM</w:t>
            </w:r>
            <w:r>
              <w:rPr>
                <w:rFonts w:hint="eastAsia" w:ascii="Times New Roman" w:hAnsi="Times New Roman" w:eastAsia="宋体" w:cs="Times New Roman"/>
                <w:color w:val="auto"/>
                <w:kern w:val="2"/>
                <w:sz w:val="21"/>
                <w:szCs w:val="21"/>
                <w:highlight w:val="none"/>
                <w:vertAlign w:val="subscript"/>
                <w:lang w:val="en-US" w:eastAsia="zh-CN" w:bidi="ar-SA"/>
              </w:rPr>
              <w:t>10</w:t>
            </w:r>
            <w:r>
              <w:rPr>
                <w:rFonts w:hint="eastAsia" w:ascii="Times New Roman" w:hAnsi="Times New Roman" w:eastAsia="宋体" w:cs="Times New Roman"/>
                <w:color w:val="auto"/>
                <w:kern w:val="2"/>
                <w:sz w:val="21"/>
                <w:szCs w:val="21"/>
                <w:highlight w:val="none"/>
                <w:lang w:val="en-US" w:eastAsia="zh-CN" w:bidi="ar-SA"/>
              </w:rPr>
              <w:t>、NMHC</w:t>
            </w:r>
            <w:r>
              <w:rPr>
                <w:rFonts w:hint="default" w:ascii="Times New Roman" w:hAnsi="Times New Roman" w:eastAsia="宋体" w:cs="Times New Roman"/>
                <w:color w:val="auto"/>
                <w:kern w:val="2"/>
                <w:sz w:val="21"/>
                <w:szCs w:val="21"/>
                <w:highlight w:val="none"/>
                <w:lang w:val="en-US" w:eastAsia="zh-CN" w:bidi="ar-SA"/>
              </w:rPr>
              <w:t>）</w:t>
            </w:r>
          </w:p>
        </w:tc>
        <w:tc>
          <w:tcPr>
            <w:tcW w:w="2835" w:type="dxa"/>
            <w:gridSpan w:val="3"/>
            <w:noWrap w:val="0"/>
            <w:vAlign w:val="center"/>
          </w:tcPr>
          <w:p w14:paraId="27F0912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包括二次PM2.5</w:t>
            </w:r>
            <w:r>
              <w:rPr>
                <w:rFonts w:hint="default" w:ascii="Times New Roman" w:hAnsi="Times New Roman" w:eastAsia="宋体" w:cs="Times New Roman"/>
                <w:color w:val="auto"/>
                <w:kern w:val="2"/>
                <w:sz w:val="21"/>
                <w:szCs w:val="21"/>
                <w:highlight w:val="none"/>
                <w:lang w:val="en-US" w:eastAsia="zh-CN" w:bidi="ar-SA"/>
              </w:rPr>
              <w:sym w:font="Wingdings 2" w:char="00A3"/>
            </w:r>
          </w:p>
          <w:p w14:paraId="0A4B4D1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不包括二次PM2.5</w:t>
            </w:r>
            <w:r>
              <w:rPr>
                <w:rFonts w:hint="default" w:ascii="Times New Roman" w:hAnsi="Times New Roman" w:eastAsia="宋体" w:cs="Times New Roman"/>
                <w:color w:val="auto"/>
                <w:kern w:val="2"/>
                <w:sz w:val="21"/>
                <w:szCs w:val="21"/>
                <w:highlight w:val="none"/>
                <w:lang w:val="en-US" w:eastAsia="zh-CN" w:bidi="ar-SA"/>
              </w:rPr>
              <w:sym w:font="Wingdings 2" w:char="0052"/>
            </w:r>
          </w:p>
        </w:tc>
      </w:tr>
      <w:tr w14:paraId="32534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1CA6B17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2687771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正常排放短期浓度贡献值</w:t>
            </w:r>
          </w:p>
        </w:tc>
        <w:tc>
          <w:tcPr>
            <w:tcW w:w="4170" w:type="dxa"/>
            <w:gridSpan w:val="5"/>
            <w:noWrap w:val="0"/>
            <w:vAlign w:val="center"/>
          </w:tcPr>
          <w:p w14:paraId="59F391F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C本项目最大占标率≤100%</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2835" w:type="dxa"/>
            <w:gridSpan w:val="3"/>
            <w:noWrap w:val="0"/>
            <w:vAlign w:val="center"/>
          </w:tcPr>
          <w:p w14:paraId="7BED116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C本项目最大占标率＞100%</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06C49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0E6747D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vMerge w:val="restart"/>
            <w:noWrap w:val="0"/>
            <w:vAlign w:val="center"/>
          </w:tcPr>
          <w:p w14:paraId="75EF576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正常排放年均浓度贡献值</w:t>
            </w:r>
          </w:p>
        </w:tc>
        <w:tc>
          <w:tcPr>
            <w:tcW w:w="2225" w:type="dxa"/>
            <w:gridSpan w:val="3"/>
            <w:noWrap w:val="0"/>
            <w:vAlign w:val="center"/>
          </w:tcPr>
          <w:p w14:paraId="00FCA60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一类区</w:t>
            </w:r>
          </w:p>
        </w:tc>
        <w:tc>
          <w:tcPr>
            <w:tcW w:w="1945" w:type="dxa"/>
            <w:gridSpan w:val="2"/>
            <w:noWrap w:val="0"/>
            <w:vAlign w:val="center"/>
          </w:tcPr>
          <w:p w14:paraId="614EBE4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C本项目最大占标率≤10%</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2835" w:type="dxa"/>
            <w:gridSpan w:val="3"/>
            <w:noWrap w:val="0"/>
            <w:vAlign w:val="center"/>
          </w:tcPr>
          <w:p w14:paraId="3FE97D7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C本项目最大占标率＞10%</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23E19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6455934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vMerge w:val="continue"/>
            <w:noWrap w:val="0"/>
            <w:vAlign w:val="center"/>
          </w:tcPr>
          <w:p w14:paraId="22C68B4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2225" w:type="dxa"/>
            <w:gridSpan w:val="3"/>
            <w:noWrap w:val="0"/>
            <w:vAlign w:val="center"/>
          </w:tcPr>
          <w:p w14:paraId="06AE3D6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二类区</w:t>
            </w:r>
          </w:p>
        </w:tc>
        <w:tc>
          <w:tcPr>
            <w:tcW w:w="1945" w:type="dxa"/>
            <w:gridSpan w:val="2"/>
            <w:noWrap w:val="0"/>
            <w:vAlign w:val="center"/>
          </w:tcPr>
          <w:p w14:paraId="621859B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C本项目最大占标率≤30%</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2835" w:type="dxa"/>
            <w:gridSpan w:val="3"/>
            <w:noWrap w:val="0"/>
            <w:vAlign w:val="center"/>
          </w:tcPr>
          <w:p w14:paraId="2D80D46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C本项目最大占标率＞30%</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55373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06B6909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6284417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非正常排放1h浓度贡献值</w:t>
            </w:r>
          </w:p>
        </w:tc>
        <w:tc>
          <w:tcPr>
            <w:tcW w:w="2225" w:type="dxa"/>
            <w:gridSpan w:val="3"/>
            <w:noWrap w:val="0"/>
            <w:vAlign w:val="center"/>
          </w:tcPr>
          <w:p w14:paraId="081718D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非正常持续时长（）h</w:t>
            </w:r>
          </w:p>
        </w:tc>
        <w:tc>
          <w:tcPr>
            <w:tcW w:w="1945" w:type="dxa"/>
            <w:gridSpan w:val="2"/>
            <w:noWrap w:val="0"/>
            <w:vAlign w:val="center"/>
          </w:tcPr>
          <w:p w14:paraId="0DE2737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C非正常最大占标率≤100%</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2835" w:type="dxa"/>
            <w:gridSpan w:val="3"/>
            <w:noWrap w:val="0"/>
            <w:vAlign w:val="center"/>
          </w:tcPr>
          <w:p w14:paraId="6F5D38F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C非正常最大占标率＞100%</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60511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48B5D55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4942DB6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保证率日均浓度和年平均浓度叠加值</w:t>
            </w:r>
          </w:p>
        </w:tc>
        <w:tc>
          <w:tcPr>
            <w:tcW w:w="3245" w:type="dxa"/>
            <w:gridSpan w:val="4"/>
            <w:noWrap w:val="0"/>
            <w:vAlign w:val="center"/>
          </w:tcPr>
          <w:p w14:paraId="61F574A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C叠加达标</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3760" w:type="dxa"/>
            <w:gridSpan w:val="4"/>
            <w:noWrap w:val="0"/>
            <w:vAlign w:val="center"/>
          </w:tcPr>
          <w:p w14:paraId="5A18D1A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C叠加不达标</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3E9AF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2174A3C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2EDB6BE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区域环境质量的整体变化情况</w:t>
            </w:r>
          </w:p>
        </w:tc>
        <w:tc>
          <w:tcPr>
            <w:tcW w:w="3245" w:type="dxa"/>
            <w:gridSpan w:val="4"/>
            <w:noWrap w:val="0"/>
            <w:vAlign w:val="center"/>
          </w:tcPr>
          <w:p w14:paraId="6BB8898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k≤-20%</w:t>
            </w:r>
            <w:r>
              <w:rPr>
                <w:rFonts w:hint="default" w:ascii="Times New Roman" w:hAnsi="Times New Roman" w:eastAsia="宋体" w:cs="Times New Roman"/>
                <w:color w:val="auto"/>
                <w:kern w:val="2"/>
                <w:sz w:val="21"/>
                <w:szCs w:val="21"/>
                <w:highlight w:val="none"/>
                <w:lang w:val="en-US" w:eastAsia="zh-CN" w:bidi="ar-SA"/>
              </w:rPr>
              <w:sym w:font="Wingdings 2" w:char="00A3"/>
            </w:r>
          </w:p>
        </w:tc>
        <w:tc>
          <w:tcPr>
            <w:tcW w:w="3760" w:type="dxa"/>
            <w:gridSpan w:val="4"/>
            <w:noWrap w:val="0"/>
            <w:vAlign w:val="center"/>
          </w:tcPr>
          <w:p w14:paraId="65465F9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k</w:t>
            </w:r>
            <w:r>
              <w:rPr>
                <w:rFonts w:hint="eastAsia" w:ascii="Times New Roman" w:hAnsi="Times New Roman" w:eastAsia="宋体" w:cs="Times New Roman"/>
                <w:color w:val="auto"/>
                <w:kern w:val="2"/>
                <w:sz w:val="21"/>
                <w:szCs w:val="21"/>
                <w:highlight w:val="none"/>
                <w:lang w:val="en-US" w:eastAsia="zh-CN" w:bidi="ar-SA"/>
              </w:rPr>
              <w:t>&gt;</w:t>
            </w:r>
            <w:r>
              <w:rPr>
                <w:rFonts w:hint="default" w:ascii="Times New Roman" w:hAnsi="Times New Roman" w:eastAsia="宋体" w:cs="Times New Roman"/>
                <w:color w:val="auto"/>
                <w:kern w:val="2"/>
                <w:sz w:val="21"/>
                <w:szCs w:val="21"/>
                <w:highlight w:val="none"/>
                <w:lang w:val="en-US" w:eastAsia="zh-CN" w:bidi="ar-SA"/>
              </w:rPr>
              <w:t>-20%</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3ED55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restart"/>
            <w:noWrap w:val="0"/>
            <w:vAlign w:val="center"/>
          </w:tcPr>
          <w:p w14:paraId="239308D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环境监测计划</w:t>
            </w:r>
          </w:p>
        </w:tc>
        <w:tc>
          <w:tcPr>
            <w:tcW w:w="1231" w:type="dxa"/>
            <w:noWrap w:val="0"/>
            <w:vAlign w:val="center"/>
          </w:tcPr>
          <w:p w14:paraId="21FC12B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污染源监测</w:t>
            </w:r>
          </w:p>
        </w:tc>
        <w:tc>
          <w:tcPr>
            <w:tcW w:w="3245" w:type="dxa"/>
            <w:gridSpan w:val="4"/>
            <w:noWrap w:val="0"/>
            <w:vAlign w:val="center"/>
          </w:tcPr>
          <w:p w14:paraId="44ACD9B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监测因子：（</w:t>
            </w: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、NOx、PM</w:t>
            </w:r>
            <w:r>
              <w:rPr>
                <w:rFonts w:hint="eastAsia" w:ascii="Times New Roman" w:hAnsi="Times New Roman" w:eastAsia="宋体" w:cs="Times New Roman"/>
                <w:color w:val="auto"/>
                <w:kern w:val="2"/>
                <w:sz w:val="21"/>
                <w:szCs w:val="21"/>
                <w:highlight w:val="none"/>
                <w:vertAlign w:val="subscript"/>
                <w:lang w:val="en-US" w:eastAsia="zh-CN" w:bidi="ar-SA"/>
              </w:rPr>
              <w:t>10</w:t>
            </w:r>
            <w:r>
              <w:rPr>
                <w:rFonts w:hint="eastAsia" w:ascii="Times New Roman" w:hAnsi="Times New Roman" w:eastAsia="宋体" w:cs="Times New Roman"/>
                <w:color w:val="auto"/>
                <w:kern w:val="2"/>
                <w:sz w:val="21"/>
                <w:szCs w:val="21"/>
                <w:highlight w:val="none"/>
                <w:lang w:val="en-US" w:eastAsia="zh-CN" w:bidi="ar-SA"/>
              </w:rPr>
              <w:t>、NMHC</w:t>
            </w:r>
            <w:r>
              <w:rPr>
                <w:rFonts w:hint="default" w:ascii="Times New Roman" w:hAnsi="Times New Roman" w:eastAsia="宋体" w:cs="Times New Roman"/>
                <w:color w:val="auto"/>
                <w:kern w:val="2"/>
                <w:sz w:val="21"/>
                <w:szCs w:val="21"/>
                <w:highlight w:val="none"/>
                <w:lang w:val="en-US" w:eastAsia="zh-CN" w:bidi="ar-SA"/>
              </w:rPr>
              <w:t>）</w:t>
            </w:r>
          </w:p>
        </w:tc>
        <w:tc>
          <w:tcPr>
            <w:tcW w:w="2967" w:type="dxa"/>
            <w:gridSpan w:val="3"/>
            <w:noWrap w:val="0"/>
            <w:vAlign w:val="center"/>
          </w:tcPr>
          <w:p w14:paraId="4FF5C3E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有组织废气监测</w:t>
            </w:r>
            <w:r>
              <w:rPr>
                <w:rFonts w:hint="default" w:ascii="Times New Roman" w:hAnsi="Times New Roman" w:eastAsia="宋体" w:cs="Times New Roman"/>
                <w:color w:val="auto"/>
                <w:kern w:val="2"/>
                <w:sz w:val="21"/>
                <w:szCs w:val="21"/>
                <w:highlight w:val="none"/>
                <w:lang w:val="en-US" w:eastAsia="zh-CN" w:bidi="ar-SA"/>
              </w:rPr>
              <w:sym w:font="Wingdings 2" w:char="0052"/>
            </w:r>
          </w:p>
          <w:p w14:paraId="204D441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无组织废气监测</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793" w:type="dxa"/>
            <w:noWrap w:val="0"/>
            <w:vAlign w:val="center"/>
          </w:tcPr>
          <w:p w14:paraId="3EA8FFC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无监测</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142A6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38D1A0C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7B0F8EB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环境质量监测</w:t>
            </w:r>
          </w:p>
        </w:tc>
        <w:tc>
          <w:tcPr>
            <w:tcW w:w="3245" w:type="dxa"/>
            <w:gridSpan w:val="4"/>
            <w:noWrap w:val="0"/>
            <w:vAlign w:val="center"/>
          </w:tcPr>
          <w:p w14:paraId="43FEF9B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监测因子：（</w:t>
            </w:r>
            <w:r>
              <w:rPr>
                <w:rFonts w:hint="eastAsia" w:ascii="Times New Roman" w:hAnsi="Times New Roman" w:eastAsia="宋体" w:cs="Times New Roman"/>
                <w:color w:val="auto"/>
                <w:kern w:val="2"/>
                <w:sz w:val="21"/>
                <w:szCs w:val="21"/>
                <w:highlight w:val="none"/>
                <w:lang w:val="en-US" w:eastAsia="zh-CN" w:bidi="ar-SA"/>
              </w:rPr>
              <w:t>NMHC</w:t>
            </w:r>
            <w:r>
              <w:rPr>
                <w:rFonts w:hint="default" w:ascii="Times New Roman" w:hAnsi="Times New Roman" w:eastAsia="宋体" w:cs="Times New Roman"/>
                <w:color w:val="auto"/>
                <w:kern w:val="2"/>
                <w:sz w:val="21"/>
                <w:szCs w:val="21"/>
                <w:highlight w:val="none"/>
                <w:lang w:val="en-US" w:eastAsia="zh-CN" w:bidi="ar-SA"/>
              </w:rPr>
              <w:t>）</w:t>
            </w:r>
          </w:p>
        </w:tc>
        <w:tc>
          <w:tcPr>
            <w:tcW w:w="2967" w:type="dxa"/>
            <w:gridSpan w:val="3"/>
            <w:noWrap w:val="0"/>
            <w:vAlign w:val="center"/>
          </w:tcPr>
          <w:p w14:paraId="37C5DE6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监测点位数（2）</w:t>
            </w:r>
          </w:p>
        </w:tc>
        <w:tc>
          <w:tcPr>
            <w:tcW w:w="793" w:type="dxa"/>
            <w:noWrap w:val="0"/>
            <w:vAlign w:val="center"/>
          </w:tcPr>
          <w:p w14:paraId="4FD0094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无监测</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5B94B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restart"/>
            <w:noWrap w:val="0"/>
            <w:vAlign w:val="center"/>
          </w:tcPr>
          <w:p w14:paraId="347771E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评价结论</w:t>
            </w:r>
          </w:p>
        </w:tc>
        <w:tc>
          <w:tcPr>
            <w:tcW w:w="1231" w:type="dxa"/>
            <w:noWrap w:val="0"/>
            <w:vAlign w:val="center"/>
          </w:tcPr>
          <w:p w14:paraId="5CE0DC1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环境影响</w:t>
            </w:r>
          </w:p>
        </w:tc>
        <w:tc>
          <w:tcPr>
            <w:tcW w:w="3245" w:type="dxa"/>
            <w:gridSpan w:val="4"/>
            <w:noWrap w:val="0"/>
            <w:vAlign w:val="center"/>
          </w:tcPr>
          <w:p w14:paraId="069DAB9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可以接受</w:t>
            </w:r>
            <w:r>
              <w:rPr>
                <w:rFonts w:hint="default" w:ascii="Times New Roman" w:hAnsi="Times New Roman" w:eastAsia="宋体" w:cs="Times New Roman"/>
                <w:color w:val="auto"/>
                <w:kern w:val="2"/>
                <w:sz w:val="21"/>
                <w:szCs w:val="21"/>
                <w:highlight w:val="none"/>
                <w:lang w:val="en-US" w:eastAsia="zh-CN" w:bidi="ar-SA"/>
              </w:rPr>
              <w:sym w:font="Wingdings 2" w:char="0052"/>
            </w:r>
          </w:p>
        </w:tc>
        <w:tc>
          <w:tcPr>
            <w:tcW w:w="3760" w:type="dxa"/>
            <w:gridSpan w:val="4"/>
            <w:noWrap w:val="0"/>
            <w:vAlign w:val="center"/>
          </w:tcPr>
          <w:p w14:paraId="0F368D0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不可以接受</w:t>
            </w:r>
            <w:r>
              <w:rPr>
                <w:rFonts w:hint="default" w:ascii="Times New Roman" w:hAnsi="Times New Roman" w:eastAsia="宋体" w:cs="Times New Roman"/>
                <w:color w:val="auto"/>
                <w:kern w:val="2"/>
                <w:sz w:val="21"/>
                <w:szCs w:val="21"/>
                <w:highlight w:val="none"/>
                <w:lang w:val="en-US" w:eastAsia="zh-CN" w:bidi="ar-SA"/>
              </w:rPr>
              <w:sym w:font="Wingdings 2" w:char="00A3"/>
            </w:r>
          </w:p>
        </w:tc>
      </w:tr>
      <w:tr w14:paraId="6BCC0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5CB33E7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79023BA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大气环境防护距离</w:t>
            </w:r>
          </w:p>
        </w:tc>
        <w:tc>
          <w:tcPr>
            <w:tcW w:w="7005" w:type="dxa"/>
            <w:gridSpan w:val="8"/>
            <w:noWrap w:val="0"/>
            <w:vAlign w:val="center"/>
          </w:tcPr>
          <w:p w14:paraId="71CF34F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距（/）厂界最远（/）m</w:t>
            </w:r>
          </w:p>
        </w:tc>
      </w:tr>
      <w:tr w14:paraId="02F46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3" w:type="dxa"/>
            <w:vMerge w:val="continue"/>
            <w:noWrap w:val="0"/>
            <w:vAlign w:val="center"/>
          </w:tcPr>
          <w:p w14:paraId="64151B0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231" w:type="dxa"/>
            <w:noWrap w:val="0"/>
            <w:vAlign w:val="center"/>
          </w:tcPr>
          <w:p w14:paraId="17E129A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污染源年排放量</w:t>
            </w:r>
          </w:p>
        </w:tc>
        <w:tc>
          <w:tcPr>
            <w:tcW w:w="1745" w:type="dxa"/>
            <w:gridSpan w:val="2"/>
            <w:noWrap w:val="0"/>
            <w:vAlign w:val="center"/>
          </w:tcPr>
          <w:p w14:paraId="24C8BC1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SO</w:t>
            </w:r>
            <w:r>
              <w:rPr>
                <w:rFonts w:hint="default" w:ascii="Times New Roman" w:hAnsi="Times New Roman" w:eastAsia="宋体" w:cs="Times New Roman"/>
                <w:color w:val="auto"/>
                <w:kern w:val="2"/>
                <w:sz w:val="21"/>
                <w:szCs w:val="21"/>
                <w:highlight w:val="none"/>
                <w:vertAlign w:val="sub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0.18</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t/a</w:t>
            </w:r>
          </w:p>
        </w:tc>
        <w:tc>
          <w:tcPr>
            <w:tcW w:w="1500" w:type="dxa"/>
            <w:gridSpan w:val="2"/>
            <w:noWrap w:val="0"/>
            <w:vAlign w:val="center"/>
          </w:tcPr>
          <w:p w14:paraId="713FB58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NOx：（</w:t>
            </w:r>
            <w:r>
              <w:rPr>
                <w:rFonts w:hint="eastAsia" w:ascii="Times New Roman" w:hAnsi="Times New Roman" w:eastAsia="宋体" w:cs="Times New Roman"/>
                <w:color w:val="auto"/>
                <w:kern w:val="2"/>
                <w:sz w:val="21"/>
                <w:szCs w:val="21"/>
                <w:highlight w:val="none"/>
                <w:lang w:val="en-US" w:eastAsia="zh-CN" w:bidi="ar-SA"/>
              </w:rPr>
              <w:t>4.3694</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t/a</w:t>
            </w:r>
          </w:p>
        </w:tc>
        <w:tc>
          <w:tcPr>
            <w:tcW w:w="1944" w:type="dxa"/>
            <w:gridSpan w:val="2"/>
            <w:noWrap w:val="0"/>
            <w:vAlign w:val="center"/>
          </w:tcPr>
          <w:p w14:paraId="0B2D2B9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颗粒物：（</w:t>
            </w:r>
            <w:r>
              <w:rPr>
                <w:rFonts w:hint="eastAsia" w:ascii="Times New Roman" w:hAnsi="Times New Roman" w:eastAsia="宋体" w:cs="Times New Roman"/>
                <w:color w:val="auto"/>
                <w:kern w:val="2"/>
                <w:sz w:val="21"/>
                <w:szCs w:val="21"/>
                <w:highlight w:val="none"/>
                <w:lang w:val="en-US" w:eastAsia="zh-CN" w:bidi="ar-SA"/>
              </w:rPr>
              <w:t>1.3365</w:t>
            </w:r>
            <w:r>
              <w:rPr>
                <w:rFonts w:hint="default" w:ascii="Times New Roman" w:hAnsi="Times New Roman" w:eastAsia="宋体" w:cs="Times New Roman"/>
                <w:color w:val="auto"/>
                <w:kern w:val="2"/>
                <w:sz w:val="21"/>
                <w:szCs w:val="21"/>
                <w:highlight w:val="none"/>
                <w:lang w:val="en-US" w:eastAsia="zh-CN" w:bidi="ar-SA"/>
              </w:rPr>
              <w:t>）t/a</w:t>
            </w:r>
          </w:p>
        </w:tc>
        <w:tc>
          <w:tcPr>
            <w:tcW w:w="1816" w:type="dxa"/>
            <w:gridSpan w:val="2"/>
            <w:noWrap w:val="0"/>
            <w:vAlign w:val="center"/>
          </w:tcPr>
          <w:p w14:paraId="6A27A11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VOCs：（</w:t>
            </w:r>
            <w:r>
              <w:rPr>
                <w:rFonts w:hint="eastAsia" w:ascii="Times New Roman" w:hAnsi="Times New Roman" w:eastAsia="宋体" w:cs="Times New Roman"/>
                <w:color w:val="auto"/>
                <w:kern w:val="2"/>
                <w:sz w:val="21"/>
                <w:szCs w:val="21"/>
                <w:highlight w:val="none"/>
                <w:lang w:val="en-US" w:eastAsia="zh-CN" w:bidi="ar-SA"/>
              </w:rPr>
              <w:t>3.6684</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t/a</w:t>
            </w:r>
          </w:p>
        </w:tc>
      </w:tr>
      <w:tr w14:paraId="1E03C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969" w:type="dxa"/>
            <w:gridSpan w:val="10"/>
            <w:noWrap w:val="0"/>
            <w:vAlign w:val="center"/>
          </w:tcPr>
          <w:p w14:paraId="6B4AE82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注：</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为勾选项，填</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为内容填写项</w:t>
            </w:r>
          </w:p>
        </w:tc>
      </w:tr>
    </w:tbl>
    <w:p w14:paraId="70C32B62">
      <w:pPr>
        <w:pStyle w:val="4"/>
        <w:spacing w:after="156"/>
        <w:rPr>
          <w:color w:val="auto"/>
          <w:highlight w:val="none"/>
        </w:rPr>
      </w:pPr>
      <w:bookmarkStart w:id="435" w:name="_Toc152922059"/>
      <w:bookmarkStart w:id="436" w:name="_Toc117150264"/>
      <w:bookmarkStart w:id="437" w:name="_Toc152923334"/>
      <w:bookmarkStart w:id="438" w:name="_Toc152922653"/>
      <w:bookmarkStart w:id="439" w:name="_Toc152921694"/>
      <w:r>
        <w:rPr>
          <w:color w:val="auto"/>
          <w:highlight w:val="none"/>
        </w:rPr>
        <w:t>5.2.2运营期地表水环境影响评价</w:t>
      </w:r>
      <w:bookmarkEnd w:id="435"/>
      <w:bookmarkEnd w:id="436"/>
      <w:bookmarkEnd w:id="437"/>
      <w:bookmarkEnd w:id="438"/>
      <w:bookmarkEnd w:id="439"/>
    </w:p>
    <w:p w14:paraId="4FD1BE5F">
      <w:pPr>
        <w:pStyle w:val="5"/>
        <w:rPr>
          <w:rFonts w:hint="eastAsia" w:eastAsia="宋体"/>
          <w:color w:val="auto"/>
          <w:highlight w:val="none"/>
          <w:lang w:val="en-US" w:eastAsia="zh-CN"/>
        </w:rPr>
      </w:pPr>
      <w:r>
        <w:rPr>
          <w:color w:val="auto"/>
          <w:highlight w:val="none"/>
        </w:rPr>
        <w:t>5.2.2.1.项目废水排放情况</w:t>
      </w:r>
    </w:p>
    <w:p w14:paraId="196D658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bCs/>
          <w:color w:val="auto"/>
          <w:sz w:val="24"/>
          <w:szCs w:val="28"/>
          <w:highlight w:val="none"/>
          <w:lang w:val="en-US" w:eastAsia="zh-CN"/>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eastAsia="zh-CN"/>
        </w:rPr>
        <w:t>运营期废水主要为职工</w:t>
      </w:r>
      <w:r>
        <w:rPr>
          <w:rFonts w:hint="default" w:ascii="Times New Roman" w:hAnsi="Times New Roman" w:eastAsia="宋体" w:cs="Times New Roman"/>
          <w:color w:val="auto"/>
          <w:sz w:val="24"/>
          <w:highlight w:val="none"/>
        </w:rPr>
        <w:t>生活污水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保洁废水、洗车废水及制氢环节产生的脱盐水制备浓水、反冲洗废水、蒸汽发生器排污水及</w:t>
      </w:r>
      <w:r>
        <w:rPr>
          <w:rFonts w:hint="eastAsia" w:ascii="Times New Roman" w:hAnsi="Times New Roman" w:eastAsia="宋体" w:cs="Times New Roman"/>
          <w:color w:val="auto"/>
          <w:spacing w:val="0"/>
          <w:sz w:val="24"/>
          <w:highlight w:val="none"/>
          <w:lang w:val="en-US" w:eastAsia="zh-CN"/>
        </w:rPr>
        <w:t>间接冷却系统排水</w:t>
      </w:r>
      <w:r>
        <w:rPr>
          <w:rFonts w:hint="default" w:ascii="Times New Roman" w:hAnsi="Times New Roman" w:eastAsia="宋体" w:cs="Times New Roman"/>
          <w:color w:val="auto"/>
          <w:sz w:val="24"/>
          <w:highlight w:val="none"/>
          <w:lang w:eastAsia="zh-CN"/>
        </w:rPr>
        <w:t>，根据工程分析，生活污水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保洁废水</w:t>
      </w:r>
      <w:r>
        <w:rPr>
          <w:rFonts w:hint="default" w:ascii="Times New Roman" w:hAnsi="Times New Roman" w:eastAsia="宋体" w:cs="Times New Roman"/>
          <w:color w:val="auto"/>
          <w:sz w:val="24"/>
          <w:highlight w:val="none"/>
          <w:lang w:eastAsia="zh-CN"/>
        </w:rPr>
        <w:t>产生量约</w:t>
      </w:r>
      <w:r>
        <w:rPr>
          <w:rFonts w:hint="default" w:ascii="Times New Roman" w:hAnsi="Times New Roman" w:cs="Times New Roman"/>
          <w:color w:val="auto"/>
          <w:sz w:val="24"/>
          <w:szCs w:val="24"/>
          <w:highlight w:val="none"/>
          <w:lang w:val="en-US" w:eastAsia="zh-CN"/>
        </w:rPr>
        <w:t>3.02</w:t>
      </w:r>
      <w:r>
        <w:rPr>
          <w:rFonts w:hint="default" w:ascii="Times New Roman" w:hAnsi="Times New Roman" w:eastAsia="宋体" w:cs="Times New Roman"/>
          <w:color w:val="auto"/>
          <w:sz w:val="24"/>
          <w:szCs w:val="24"/>
          <w:highlight w:val="none"/>
        </w:rPr>
        <w:t>t/d、</w:t>
      </w:r>
      <w:r>
        <w:rPr>
          <w:rFonts w:hint="default" w:ascii="Times New Roman" w:hAnsi="Times New Roman" w:cs="Times New Roman"/>
          <w:color w:val="auto"/>
          <w:sz w:val="24"/>
          <w:szCs w:val="24"/>
          <w:highlight w:val="none"/>
          <w:lang w:val="en-US" w:eastAsia="zh-CN"/>
        </w:rPr>
        <w:t>11</w:t>
      </w:r>
      <w:r>
        <w:rPr>
          <w:rFonts w:hint="eastAsia" w:ascii="Times New Roman" w:hAnsi="Times New Roman" w:cs="Times New Roman"/>
          <w:color w:val="auto"/>
          <w:sz w:val="24"/>
          <w:szCs w:val="24"/>
          <w:highlight w:val="none"/>
          <w:lang w:val="en-US" w:eastAsia="zh-CN"/>
        </w:rPr>
        <w:t>03</w:t>
      </w:r>
      <w:r>
        <w:rPr>
          <w:rFonts w:hint="default" w:ascii="Times New Roman" w:hAnsi="Times New Roman" w:cs="Times New Roman"/>
          <w:color w:val="auto"/>
          <w:sz w:val="24"/>
          <w:szCs w:val="24"/>
          <w:highlight w:val="none"/>
          <w:lang w:val="en-US" w:eastAsia="zh-CN"/>
        </w:rPr>
        <w:t>.32</w:t>
      </w:r>
      <w:r>
        <w:rPr>
          <w:rFonts w:hint="default" w:ascii="Times New Roman" w:hAnsi="Times New Roman" w:eastAsia="宋体" w:cs="Times New Roman"/>
          <w:color w:val="auto"/>
          <w:sz w:val="24"/>
          <w:szCs w:val="24"/>
          <w:highlight w:val="none"/>
        </w:rPr>
        <w:t>t/a。</w:t>
      </w:r>
      <w:r>
        <w:rPr>
          <w:rFonts w:hint="eastAsia" w:ascii="Times New Roman" w:hAnsi="Times New Roman" w:eastAsia="宋体" w:cs="Times New Roman"/>
          <w:color w:val="auto"/>
          <w:sz w:val="24"/>
          <w:highlight w:val="none"/>
          <w:lang w:val="en-US" w:eastAsia="zh-CN"/>
        </w:rPr>
        <w:t>脱盐水制备浓水、反冲洗废水及</w:t>
      </w:r>
      <w:r>
        <w:rPr>
          <w:rFonts w:hint="eastAsia" w:ascii="Times New Roman" w:hAnsi="Times New Roman" w:eastAsia="宋体" w:cs="Times New Roman"/>
          <w:color w:val="auto"/>
          <w:spacing w:val="0"/>
          <w:sz w:val="24"/>
          <w:highlight w:val="none"/>
          <w:lang w:val="en-US" w:eastAsia="zh-CN"/>
        </w:rPr>
        <w:t>间接冷却系统排水</w:t>
      </w:r>
      <w:r>
        <w:rPr>
          <w:rFonts w:hint="eastAsia"/>
          <w:bCs/>
          <w:color w:val="auto"/>
          <w:sz w:val="24"/>
          <w:szCs w:val="28"/>
          <w:highlight w:val="none"/>
          <w:lang w:val="en-US" w:eastAsia="zh-CN"/>
        </w:rPr>
        <w:t>直接接管市政污水管网，</w:t>
      </w:r>
      <w:r>
        <w:rPr>
          <w:rFonts w:hint="eastAsia" w:ascii="Times New Roman" w:hAnsi="Times New Roman" w:eastAsia="宋体" w:cs="Times New Roman"/>
          <w:color w:val="auto"/>
          <w:sz w:val="24"/>
          <w:highlight w:val="none"/>
          <w:lang w:val="en-US" w:eastAsia="zh-CN"/>
        </w:rPr>
        <w:t>蒸汽发生器排污水经酸碱中和后</w:t>
      </w:r>
      <w:r>
        <w:rPr>
          <w:rFonts w:hint="eastAsia"/>
          <w:bCs/>
          <w:color w:val="auto"/>
          <w:sz w:val="24"/>
          <w:szCs w:val="28"/>
          <w:highlight w:val="none"/>
          <w:lang w:val="en-US" w:eastAsia="zh-CN"/>
        </w:rPr>
        <w:t>接管市政污水管网，洗车废水经隔油沉淀处理后接管市政污水管网，初期雨水经隔油沉淀接管市政污水管网，污染物排放情况详见下表：</w:t>
      </w:r>
    </w:p>
    <w:p w14:paraId="614F0E9B">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表</w:t>
      </w:r>
      <w:r>
        <w:rPr>
          <w:rFonts w:hint="eastAsia" w:ascii="Times New Roman" w:hAnsi="Times New Roman" w:eastAsia="宋体" w:cs="Times New Roman"/>
          <w:b/>
          <w:bCs/>
          <w:color w:val="auto"/>
          <w:sz w:val="24"/>
          <w:szCs w:val="24"/>
          <w:highlight w:val="none"/>
          <w:lang w:val="en-US" w:eastAsia="zh-CN"/>
        </w:rPr>
        <w:t>5.2.2-1</w:t>
      </w:r>
      <w:r>
        <w:rPr>
          <w:rFonts w:hint="eastAsia"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en-US" w:eastAsia="zh-CN"/>
        </w:rPr>
        <w:t>项目</w:t>
      </w:r>
      <w:r>
        <w:rPr>
          <w:rFonts w:hint="eastAsia" w:ascii="Times New Roman" w:hAnsi="Times New Roman" w:eastAsia="宋体" w:cs="Times New Roman"/>
          <w:b/>
          <w:bCs/>
          <w:color w:val="auto"/>
          <w:sz w:val="24"/>
          <w:szCs w:val="24"/>
          <w:highlight w:val="none"/>
          <w:lang w:val="en-US" w:eastAsia="zh-CN"/>
        </w:rPr>
        <w:t>废水</w:t>
      </w:r>
      <w:r>
        <w:rPr>
          <w:rFonts w:hint="default" w:ascii="Times New Roman" w:hAnsi="Times New Roman" w:eastAsia="宋体" w:cs="Times New Roman"/>
          <w:b/>
          <w:bCs/>
          <w:color w:val="auto"/>
          <w:sz w:val="24"/>
          <w:szCs w:val="24"/>
          <w:highlight w:val="none"/>
          <w:lang w:val="en-US" w:eastAsia="zh-CN"/>
        </w:rPr>
        <w:t>中主要污染物产生及接管情况一览表</w:t>
      </w:r>
    </w:p>
    <w:tbl>
      <w:tblPr>
        <w:tblStyle w:val="4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4" w:type="dxa"/>
          <w:bottom w:w="0" w:type="dxa"/>
          <w:right w:w="34" w:type="dxa"/>
        </w:tblCellMar>
      </w:tblPr>
      <w:tblGrid>
        <w:gridCol w:w="513"/>
        <w:gridCol w:w="856"/>
        <w:gridCol w:w="926"/>
        <w:gridCol w:w="968"/>
        <w:gridCol w:w="807"/>
        <w:gridCol w:w="900"/>
        <w:gridCol w:w="968"/>
        <w:gridCol w:w="724"/>
        <w:gridCol w:w="969"/>
        <w:gridCol w:w="738"/>
      </w:tblGrid>
      <w:tr w14:paraId="7A1E2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restart"/>
            <w:noWrap w:val="0"/>
            <w:vAlign w:val="center"/>
          </w:tcPr>
          <w:p w14:paraId="1F91BF3A">
            <w:pPr>
              <w:pStyle w:val="224"/>
              <w:rPr>
                <w:rFonts w:hint="default" w:ascii="Times New Roman" w:hAnsi="Times New Roman" w:eastAsia="宋体" w:cs="Times New Roman"/>
                <w:b/>
                <w:bCs w:val="0"/>
                <w:color w:val="auto"/>
                <w:sz w:val="21"/>
                <w:szCs w:val="21"/>
                <w:highlight w:val="none"/>
              </w:rPr>
            </w:pPr>
            <w:bookmarkStart w:id="440" w:name="_Toc152922060"/>
            <w:bookmarkStart w:id="441" w:name="_Toc152921695"/>
            <w:bookmarkStart w:id="442" w:name="_Toc152922654"/>
            <w:bookmarkStart w:id="443" w:name="_Toc152923335"/>
            <w:r>
              <w:rPr>
                <w:rFonts w:hint="default" w:ascii="Times New Roman" w:hAnsi="Times New Roman" w:eastAsia="宋体" w:cs="Times New Roman"/>
                <w:b/>
                <w:bCs w:val="0"/>
                <w:color w:val="auto"/>
                <w:sz w:val="21"/>
                <w:szCs w:val="21"/>
                <w:highlight w:val="none"/>
              </w:rPr>
              <w:t>废水</w:t>
            </w:r>
          </w:p>
        </w:tc>
        <w:tc>
          <w:tcPr>
            <w:tcW w:w="511" w:type="pct"/>
            <w:vMerge w:val="restart"/>
            <w:noWrap w:val="0"/>
            <w:vAlign w:val="center"/>
          </w:tcPr>
          <w:p w14:paraId="031C758F">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废水量t/a</w:t>
            </w:r>
          </w:p>
        </w:tc>
        <w:tc>
          <w:tcPr>
            <w:tcW w:w="554" w:type="pct"/>
            <w:vMerge w:val="restart"/>
            <w:noWrap w:val="0"/>
            <w:vAlign w:val="center"/>
          </w:tcPr>
          <w:p w14:paraId="6B04FDB6">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污染物名称</w:t>
            </w:r>
          </w:p>
        </w:tc>
        <w:tc>
          <w:tcPr>
            <w:tcW w:w="1061" w:type="pct"/>
            <w:gridSpan w:val="2"/>
            <w:noWrap w:val="0"/>
            <w:vAlign w:val="center"/>
          </w:tcPr>
          <w:p w14:paraId="7015850F">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污染物产生量</w:t>
            </w:r>
          </w:p>
        </w:tc>
        <w:tc>
          <w:tcPr>
            <w:tcW w:w="538" w:type="pct"/>
            <w:vMerge w:val="restart"/>
            <w:noWrap w:val="0"/>
            <w:vAlign w:val="center"/>
          </w:tcPr>
          <w:p w14:paraId="64897D7E">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治理</w:t>
            </w:r>
          </w:p>
          <w:p w14:paraId="34A994F4">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措施</w:t>
            </w:r>
          </w:p>
        </w:tc>
        <w:tc>
          <w:tcPr>
            <w:tcW w:w="1010" w:type="pct"/>
            <w:gridSpan w:val="2"/>
            <w:noWrap w:val="0"/>
            <w:vAlign w:val="center"/>
          </w:tcPr>
          <w:p w14:paraId="2DDCE1AD">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污染物排放量</w:t>
            </w:r>
          </w:p>
        </w:tc>
        <w:tc>
          <w:tcPr>
            <w:tcW w:w="1015" w:type="pct"/>
            <w:gridSpan w:val="2"/>
            <w:noWrap w:val="0"/>
            <w:vAlign w:val="center"/>
          </w:tcPr>
          <w:p w14:paraId="6DED4250">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最终排入环境量</w:t>
            </w:r>
          </w:p>
        </w:tc>
      </w:tr>
      <w:tr w14:paraId="70E19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continue"/>
            <w:noWrap w:val="0"/>
            <w:vAlign w:val="center"/>
          </w:tcPr>
          <w:p w14:paraId="26501134">
            <w:pPr>
              <w:pStyle w:val="224"/>
              <w:rPr>
                <w:rFonts w:hint="default" w:ascii="Times New Roman" w:hAnsi="Times New Roman" w:eastAsia="宋体" w:cs="Times New Roman"/>
                <w:b/>
                <w:bCs w:val="0"/>
                <w:color w:val="auto"/>
                <w:sz w:val="21"/>
                <w:szCs w:val="21"/>
                <w:highlight w:val="none"/>
              </w:rPr>
            </w:pPr>
          </w:p>
        </w:tc>
        <w:tc>
          <w:tcPr>
            <w:tcW w:w="511" w:type="pct"/>
            <w:vMerge w:val="continue"/>
            <w:noWrap w:val="0"/>
            <w:vAlign w:val="center"/>
          </w:tcPr>
          <w:p w14:paraId="1CAF491E">
            <w:pPr>
              <w:pStyle w:val="224"/>
              <w:rPr>
                <w:rFonts w:hint="default" w:ascii="Times New Roman" w:hAnsi="Times New Roman" w:eastAsia="宋体" w:cs="Times New Roman"/>
                <w:b/>
                <w:bCs w:val="0"/>
                <w:color w:val="auto"/>
                <w:sz w:val="21"/>
                <w:szCs w:val="21"/>
                <w:highlight w:val="none"/>
              </w:rPr>
            </w:pPr>
          </w:p>
        </w:tc>
        <w:tc>
          <w:tcPr>
            <w:tcW w:w="554" w:type="pct"/>
            <w:vMerge w:val="continue"/>
            <w:noWrap w:val="0"/>
            <w:vAlign w:val="center"/>
          </w:tcPr>
          <w:p w14:paraId="510C8CDB">
            <w:pPr>
              <w:pStyle w:val="224"/>
              <w:rPr>
                <w:rFonts w:hint="default" w:ascii="Times New Roman" w:hAnsi="Times New Roman" w:eastAsia="宋体" w:cs="Times New Roman"/>
                <w:b/>
                <w:bCs w:val="0"/>
                <w:color w:val="auto"/>
                <w:sz w:val="21"/>
                <w:szCs w:val="21"/>
                <w:highlight w:val="none"/>
              </w:rPr>
            </w:pPr>
          </w:p>
        </w:tc>
        <w:tc>
          <w:tcPr>
            <w:tcW w:w="578" w:type="pct"/>
            <w:noWrap w:val="0"/>
            <w:vAlign w:val="center"/>
          </w:tcPr>
          <w:p w14:paraId="42C67A30">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浓度（mg/L）</w:t>
            </w:r>
          </w:p>
        </w:tc>
        <w:tc>
          <w:tcPr>
            <w:tcW w:w="483" w:type="pct"/>
            <w:noWrap w:val="0"/>
            <w:vAlign w:val="center"/>
          </w:tcPr>
          <w:p w14:paraId="7E0645C7">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产生量</w:t>
            </w:r>
          </w:p>
          <w:p w14:paraId="1D8BB53A">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（t/a）</w:t>
            </w:r>
          </w:p>
        </w:tc>
        <w:tc>
          <w:tcPr>
            <w:tcW w:w="538" w:type="pct"/>
            <w:vMerge w:val="continue"/>
            <w:noWrap w:val="0"/>
            <w:vAlign w:val="center"/>
          </w:tcPr>
          <w:p w14:paraId="01613E0D">
            <w:pPr>
              <w:pStyle w:val="224"/>
              <w:rPr>
                <w:rFonts w:hint="default" w:ascii="Times New Roman" w:hAnsi="Times New Roman" w:eastAsia="宋体" w:cs="Times New Roman"/>
                <w:b/>
                <w:bCs w:val="0"/>
                <w:color w:val="auto"/>
                <w:sz w:val="21"/>
                <w:szCs w:val="21"/>
                <w:highlight w:val="none"/>
                <w:lang w:eastAsia="ja-JP"/>
              </w:rPr>
            </w:pPr>
          </w:p>
        </w:tc>
        <w:tc>
          <w:tcPr>
            <w:tcW w:w="578" w:type="pct"/>
            <w:noWrap w:val="0"/>
            <w:vAlign w:val="center"/>
          </w:tcPr>
          <w:p w14:paraId="19C45A71">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浓度（mg/L）</w:t>
            </w:r>
          </w:p>
        </w:tc>
        <w:tc>
          <w:tcPr>
            <w:tcW w:w="432" w:type="pct"/>
            <w:noWrap w:val="0"/>
            <w:vAlign w:val="center"/>
          </w:tcPr>
          <w:p w14:paraId="67FA1010">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排放量（t/a）</w:t>
            </w:r>
          </w:p>
        </w:tc>
        <w:tc>
          <w:tcPr>
            <w:tcW w:w="578" w:type="pct"/>
            <w:noWrap w:val="0"/>
            <w:vAlign w:val="center"/>
          </w:tcPr>
          <w:p w14:paraId="6901008F">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浓度（mg/L）</w:t>
            </w:r>
          </w:p>
        </w:tc>
        <w:tc>
          <w:tcPr>
            <w:tcW w:w="436" w:type="pct"/>
            <w:noWrap w:val="0"/>
            <w:vAlign w:val="center"/>
          </w:tcPr>
          <w:p w14:paraId="43DE3678">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排放量（t/a）</w:t>
            </w:r>
          </w:p>
        </w:tc>
      </w:tr>
      <w:tr w14:paraId="518AD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restart"/>
            <w:noWrap w:val="0"/>
            <w:vAlign w:val="center"/>
          </w:tcPr>
          <w:p w14:paraId="6FBF9D75">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总排口</w:t>
            </w:r>
          </w:p>
        </w:tc>
        <w:tc>
          <w:tcPr>
            <w:tcW w:w="511" w:type="pct"/>
            <w:vMerge w:val="restart"/>
            <w:noWrap w:val="0"/>
            <w:vAlign w:val="center"/>
          </w:tcPr>
          <w:p w14:paraId="148C5A5E">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3917.884</w:t>
            </w:r>
          </w:p>
        </w:tc>
        <w:tc>
          <w:tcPr>
            <w:tcW w:w="554" w:type="pct"/>
            <w:noWrap w:val="0"/>
            <w:vAlign w:val="center"/>
          </w:tcPr>
          <w:p w14:paraId="302F34D3">
            <w:pPr>
              <w:pStyle w:val="224"/>
              <w:rPr>
                <w:rFonts w:hint="default" w:ascii="Times New Roman" w:hAnsi="Times New Roman" w:eastAsia="宋体" w:cs="Times New Roman"/>
                <w:b/>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pH</w:t>
            </w:r>
          </w:p>
        </w:tc>
        <w:tc>
          <w:tcPr>
            <w:tcW w:w="578" w:type="pct"/>
            <w:noWrap w:val="0"/>
            <w:vAlign w:val="center"/>
          </w:tcPr>
          <w:p w14:paraId="0CA86782">
            <w:pPr>
              <w:pStyle w:val="224"/>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w:t>
            </w:r>
          </w:p>
        </w:tc>
        <w:tc>
          <w:tcPr>
            <w:tcW w:w="483" w:type="pct"/>
            <w:noWrap w:val="0"/>
            <w:vAlign w:val="center"/>
          </w:tcPr>
          <w:p w14:paraId="7FEB34AA">
            <w:pPr>
              <w:pStyle w:val="224"/>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w:t>
            </w:r>
          </w:p>
        </w:tc>
        <w:tc>
          <w:tcPr>
            <w:tcW w:w="538" w:type="pct"/>
            <w:vMerge w:val="restart"/>
            <w:noWrap w:val="0"/>
            <w:vAlign w:val="center"/>
          </w:tcPr>
          <w:p w14:paraId="67224C07">
            <w:pPr>
              <w:pStyle w:val="224"/>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i w:val="0"/>
                <w:iCs w:val="0"/>
                <w:color w:val="auto"/>
                <w:kern w:val="0"/>
                <w:sz w:val="18"/>
                <w:szCs w:val="18"/>
                <w:highlight w:val="none"/>
                <w:u w:val="none"/>
                <w:lang w:val="en-US" w:eastAsia="zh-CN" w:bidi="ar"/>
              </w:rPr>
              <w:t>接管市政污水管网</w:t>
            </w:r>
            <w:r>
              <w:rPr>
                <w:rFonts w:hint="eastAsia" w:ascii="Times New Roman" w:hAnsi="Times New Roman" w:eastAsia="宋体" w:cs="Times New Roman"/>
                <w:i w:val="0"/>
                <w:iCs w:val="0"/>
                <w:color w:val="auto"/>
                <w:kern w:val="0"/>
                <w:sz w:val="18"/>
                <w:szCs w:val="18"/>
                <w:highlight w:val="none"/>
                <w:u w:val="none"/>
                <w:lang w:val="en-US" w:eastAsia="zh-CN" w:bidi="ar"/>
              </w:rPr>
              <w:t>进入田家庵经济开发区污水处理站</w:t>
            </w:r>
          </w:p>
        </w:tc>
        <w:tc>
          <w:tcPr>
            <w:tcW w:w="578" w:type="pct"/>
            <w:noWrap w:val="0"/>
            <w:vAlign w:val="center"/>
          </w:tcPr>
          <w:p w14:paraId="56149F1E">
            <w:pPr>
              <w:pStyle w:val="224"/>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w:t>
            </w:r>
          </w:p>
        </w:tc>
        <w:tc>
          <w:tcPr>
            <w:tcW w:w="432" w:type="pct"/>
            <w:noWrap w:val="0"/>
            <w:vAlign w:val="center"/>
          </w:tcPr>
          <w:p w14:paraId="06499DB2">
            <w:pPr>
              <w:pStyle w:val="224"/>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w:t>
            </w:r>
          </w:p>
        </w:tc>
        <w:tc>
          <w:tcPr>
            <w:tcW w:w="578" w:type="pct"/>
            <w:noWrap w:val="0"/>
            <w:vAlign w:val="center"/>
          </w:tcPr>
          <w:p w14:paraId="313B5416">
            <w:pPr>
              <w:pStyle w:val="224"/>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w:t>
            </w:r>
          </w:p>
        </w:tc>
        <w:tc>
          <w:tcPr>
            <w:tcW w:w="436" w:type="pct"/>
            <w:noWrap w:val="0"/>
            <w:vAlign w:val="center"/>
          </w:tcPr>
          <w:p w14:paraId="7A53FFC8">
            <w:pPr>
              <w:pStyle w:val="224"/>
              <w:rPr>
                <w:rFonts w:hint="eastAsia"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w:t>
            </w:r>
          </w:p>
        </w:tc>
      </w:tr>
      <w:tr w14:paraId="37CEB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continue"/>
            <w:noWrap w:val="0"/>
            <w:vAlign w:val="center"/>
          </w:tcPr>
          <w:p w14:paraId="68BF1D2C">
            <w:pPr>
              <w:pStyle w:val="224"/>
              <w:rPr>
                <w:rFonts w:hint="default" w:ascii="Times New Roman" w:hAnsi="Times New Roman" w:eastAsia="宋体" w:cs="Times New Roman"/>
                <w:color w:val="auto"/>
                <w:sz w:val="21"/>
                <w:szCs w:val="21"/>
                <w:highlight w:val="none"/>
              </w:rPr>
            </w:pPr>
          </w:p>
        </w:tc>
        <w:tc>
          <w:tcPr>
            <w:tcW w:w="511" w:type="pct"/>
            <w:vMerge w:val="continue"/>
            <w:noWrap w:val="0"/>
            <w:vAlign w:val="center"/>
          </w:tcPr>
          <w:p w14:paraId="31935A95">
            <w:pPr>
              <w:pStyle w:val="224"/>
              <w:rPr>
                <w:rFonts w:hint="default" w:ascii="Times New Roman" w:hAnsi="Times New Roman" w:eastAsia="宋体" w:cs="Times New Roman"/>
                <w:color w:val="auto"/>
                <w:sz w:val="21"/>
                <w:szCs w:val="21"/>
                <w:highlight w:val="none"/>
                <w:lang w:val="en-US" w:eastAsia="zh-CN"/>
              </w:rPr>
            </w:pPr>
          </w:p>
        </w:tc>
        <w:tc>
          <w:tcPr>
            <w:tcW w:w="554" w:type="pct"/>
            <w:noWrap w:val="0"/>
            <w:vAlign w:val="center"/>
          </w:tcPr>
          <w:p w14:paraId="31FDE28F">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578" w:type="pct"/>
            <w:noWrap w:val="0"/>
            <w:vAlign w:val="center"/>
          </w:tcPr>
          <w:p w14:paraId="3EC8B5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192.96</w:t>
            </w:r>
          </w:p>
        </w:tc>
        <w:tc>
          <w:tcPr>
            <w:tcW w:w="483" w:type="pct"/>
            <w:noWrap w:val="0"/>
            <w:vAlign w:val="center"/>
          </w:tcPr>
          <w:p w14:paraId="5102E4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0.756</w:t>
            </w:r>
          </w:p>
        </w:tc>
        <w:tc>
          <w:tcPr>
            <w:tcW w:w="538" w:type="pct"/>
            <w:vMerge w:val="continue"/>
            <w:noWrap w:val="0"/>
            <w:vAlign w:val="center"/>
          </w:tcPr>
          <w:p w14:paraId="0B0072EC">
            <w:pPr>
              <w:pStyle w:val="224"/>
              <w:rPr>
                <w:rFonts w:hint="default" w:ascii="Times New Roman" w:hAnsi="Times New Roman" w:eastAsia="宋体" w:cs="Times New Roman"/>
                <w:color w:val="auto"/>
                <w:sz w:val="21"/>
                <w:szCs w:val="21"/>
                <w:highlight w:val="none"/>
              </w:rPr>
            </w:pPr>
          </w:p>
        </w:tc>
        <w:tc>
          <w:tcPr>
            <w:tcW w:w="578" w:type="pct"/>
            <w:noWrap w:val="0"/>
            <w:vAlign w:val="center"/>
          </w:tcPr>
          <w:p w14:paraId="4B722C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192.96</w:t>
            </w:r>
          </w:p>
        </w:tc>
        <w:tc>
          <w:tcPr>
            <w:tcW w:w="432" w:type="pct"/>
            <w:noWrap w:val="0"/>
            <w:vAlign w:val="center"/>
          </w:tcPr>
          <w:p w14:paraId="51A017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0.756</w:t>
            </w:r>
          </w:p>
        </w:tc>
        <w:tc>
          <w:tcPr>
            <w:tcW w:w="578" w:type="pct"/>
            <w:noWrap w:val="0"/>
            <w:vAlign w:val="center"/>
          </w:tcPr>
          <w:p w14:paraId="03D7012E">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436" w:type="pct"/>
            <w:noWrap w:val="0"/>
            <w:vAlign w:val="center"/>
          </w:tcPr>
          <w:p w14:paraId="71E904CD">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0.196</w:t>
            </w:r>
          </w:p>
        </w:tc>
      </w:tr>
      <w:tr w14:paraId="76938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continue"/>
            <w:noWrap w:val="0"/>
            <w:vAlign w:val="center"/>
          </w:tcPr>
          <w:p w14:paraId="47699687">
            <w:pPr>
              <w:pStyle w:val="224"/>
              <w:rPr>
                <w:rFonts w:hint="default" w:ascii="Times New Roman" w:hAnsi="Times New Roman" w:eastAsia="宋体" w:cs="Times New Roman"/>
                <w:color w:val="auto"/>
                <w:sz w:val="21"/>
                <w:szCs w:val="21"/>
                <w:highlight w:val="none"/>
              </w:rPr>
            </w:pPr>
          </w:p>
        </w:tc>
        <w:tc>
          <w:tcPr>
            <w:tcW w:w="511" w:type="pct"/>
            <w:vMerge w:val="continue"/>
            <w:noWrap w:val="0"/>
            <w:vAlign w:val="center"/>
          </w:tcPr>
          <w:p w14:paraId="4A8ACE9B">
            <w:pPr>
              <w:pStyle w:val="224"/>
              <w:rPr>
                <w:rFonts w:hint="default" w:ascii="Times New Roman" w:hAnsi="Times New Roman" w:eastAsia="宋体" w:cs="Times New Roman"/>
                <w:color w:val="auto"/>
                <w:sz w:val="21"/>
                <w:szCs w:val="21"/>
                <w:highlight w:val="none"/>
              </w:rPr>
            </w:pPr>
          </w:p>
        </w:tc>
        <w:tc>
          <w:tcPr>
            <w:tcW w:w="554" w:type="pct"/>
            <w:noWrap w:val="0"/>
            <w:vAlign w:val="center"/>
          </w:tcPr>
          <w:p w14:paraId="56828A44">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SS</w:t>
            </w:r>
          </w:p>
        </w:tc>
        <w:tc>
          <w:tcPr>
            <w:tcW w:w="578" w:type="pct"/>
            <w:noWrap w:val="0"/>
            <w:vAlign w:val="center"/>
          </w:tcPr>
          <w:p w14:paraId="5880F9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111.28</w:t>
            </w:r>
          </w:p>
        </w:tc>
        <w:tc>
          <w:tcPr>
            <w:tcW w:w="483" w:type="pct"/>
            <w:noWrap w:val="0"/>
            <w:vAlign w:val="center"/>
          </w:tcPr>
          <w:p w14:paraId="3169B6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0.436</w:t>
            </w:r>
          </w:p>
        </w:tc>
        <w:tc>
          <w:tcPr>
            <w:tcW w:w="538" w:type="pct"/>
            <w:vMerge w:val="continue"/>
            <w:noWrap w:val="0"/>
            <w:vAlign w:val="center"/>
          </w:tcPr>
          <w:p w14:paraId="79705D75">
            <w:pPr>
              <w:pStyle w:val="224"/>
              <w:rPr>
                <w:rFonts w:hint="default" w:ascii="Times New Roman" w:hAnsi="Times New Roman" w:eastAsia="宋体" w:cs="Times New Roman"/>
                <w:color w:val="auto"/>
                <w:sz w:val="21"/>
                <w:szCs w:val="21"/>
                <w:highlight w:val="none"/>
              </w:rPr>
            </w:pPr>
          </w:p>
        </w:tc>
        <w:tc>
          <w:tcPr>
            <w:tcW w:w="578" w:type="pct"/>
            <w:noWrap w:val="0"/>
            <w:vAlign w:val="center"/>
          </w:tcPr>
          <w:p w14:paraId="4FFAF88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107.71</w:t>
            </w:r>
          </w:p>
        </w:tc>
        <w:tc>
          <w:tcPr>
            <w:tcW w:w="432" w:type="pct"/>
            <w:noWrap w:val="0"/>
            <w:vAlign w:val="center"/>
          </w:tcPr>
          <w:p w14:paraId="00F362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0.422</w:t>
            </w:r>
          </w:p>
        </w:tc>
        <w:tc>
          <w:tcPr>
            <w:tcW w:w="578" w:type="pct"/>
            <w:noWrap w:val="0"/>
            <w:vAlign w:val="center"/>
          </w:tcPr>
          <w:p w14:paraId="7F241C2F">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436" w:type="pct"/>
            <w:noWrap w:val="0"/>
            <w:vAlign w:val="center"/>
          </w:tcPr>
          <w:p w14:paraId="1D5A4FE7">
            <w:pPr>
              <w:pStyle w:val="2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eastAsia" w:ascii="Times New Roman" w:hAnsi="Times New Roman" w:eastAsia="宋体" w:cs="Times New Roman"/>
                <w:color w:val="auto"/>
                <w:sz w:val="21"/>
                <w:szCs w:val="21"/>
                <w:highlight w:val="none"/>
                <w:lang w:val="en-US" w:eastAsia="zh-CN"/>
              </w:rPr>
              <w:t>039</w:t>
            </w:r>
          </w:p>
        </w:tc>
      </w:tr>
      <w:tr w14:paraId="1B1DE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continue"/>
            <w:noWrap w:val="0"/>
            <w:vAlign w:val="center"/>
          </w:tcPr>
          <w:p w14:paraId="66E214D4">
            <w:pPr>
              <w:pStyle w:val="224"/>
              <w:rPr>
                <w:rFonts w:hint="default" w:ascii="Times New Roman" w:hAnsi="Times New Roman" w:eastAsia="宋体" w:cs="Times New Roman"/>
                <w:color w:val="auto"/>
                <w:sz w:val="21"/>
                <w:szCs w:val="21"/>
                <w:highlight w:val="none"/>
              </w:rPr>
            </w:pPr>
          </w:p>
        </w:tc>
        <w:tc>
          <w:tcPr>
            <w:tcW w:w="511" w:type="pct"/>
            <w:vMerge w:val="continue"/>
            <w:noWrap w:val="0"/>
            <w:vAlign w:val="center"/>
          </w:tcPr>
          <w:p w14:paraId="18D10357">
            <w:pPr>
              <w:pStyle w:val="224"/>
              <w:rPr>
                <w:rFonts w:hint="default" w:ascii="Times New Roman" w:hAnsi="Times New Roman" w:eastAsia="宋体" w:cs="Times New Roman"/>
                <w:color w:val="auto"/>
                <w:sz w:val="21"/>
                <w:szCs w:val="21"/>
                <w:highlight w:val="none"/>
              </w:rPr>
            </w:pPr>
          </w:p>
        </w:tc>
        <w:tc>
          <w:tcPr>
            <w:tcW w:w="554" w:type="pct"/>
            <w:noWrap w:val="0"/>
            <w:vAlign w:val="center"/>
          </w:tcPr>
          <w:p w14:paraId="0DA1565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578" w:type="pct"/>
            <w:noWrap w:val="0"/>
            <w:vAlign w:val="center"/>
          </w:tcPr>
          <w:p w14:paraId="0E7CFF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54.62</w:t>
            </w:r>
          </w:p>
        </w:tc>
        <w:tc>
          <w:tcPr>
            <w:tcW w:w="483" w:type="pct"/>
            <w:noWrap w:val="0"/>
            <w:vAlign w:val="center"/>
          </w:tcPr>
          <w:p w14:paraId="69D448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0.214</w:t>
            </w:r>
          </w:p>
        </w:tc>
        <w:tc>
          <w:tcPr>
            <w:tcW w:w="538" w:type="pct"/>
            <w:vMerge w:val="continue"/>
            <w:noWrap w:val="0"/>
            <w:vAlign w:val="center"/>
          </w:tcPr>
          <w:p w14:paraId="28A34E18">
            <w:pPr>
              <w:pStyle w:val="224"/>
              <w:rPr>
                <w:rFonts w:hint="default" w:ascii="Times New Roman" w:hAnsi="Times New Roman" w:eastAsia="宋体" w:cs="Times New Roman"/>
                <w:color w:val="auto"/>
                <w:sz w:val="21"/>
                <w:szCs w:val="21"/>
                <w:highlight w:val="none"/>
              </w:rPr>
            </w:pPr>
          </w:p>
        </w:tc>
        <w:tc>
          <w:tcPr>
            <w:tcW w:w="578" w:type="pct"/>
            <w:noWrap w:val="0"/>
            <w:vAlign w:val="center"/>
          </w:tcPr>
          <w:p w14:paraId="444BBB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54.62</w:t>
            </w:r>
          </w:p>
        </w:tc>
        <w:tc>
          <w:tcPr>
            <w:tcW w:w="432" w:type="pct"/>
            <w:noWrap w:val="0"/>
            <w:vAlign w:val="center"/>
          </w:tcPr>
          <w:p w14:paraId="6C0E2F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0.214</w:t>
            </w:r>
          </w:p>
        </w:tc>
        <w:tc>
          <w:tcPr>
            <w:tcW w:w="578" w:type="pct"/>
            <w:noWrap w:val="0"/>
            <w:vAlign w:val="center"/>
          </w:tcPr>
          <w:p w14:paraId="0060CD87">
            <w:pPr>
              <w:pStyle w:val="224"/>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5</w:t>
            </w:r>
          </w:p>
        </w:tc>
        <w:tc>
          <w:tcPr>
            <w:tcW w:w="436" w:type="pct"/>
            <w:noWrap w:val="0"/>
            <w:vAlign w:val="center"/>
          </w:tcPr>
          <w:p w14:paraId="09A19AD8">
            <w:pPr>
              <w:pStyle w:val="2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eastAsia" w:ascii="Times New Roman" w:hAnsi="Times New Roman" w:eastAsia="宋体" w:cs="Times New Roman"/>
                <w:color w:val="auto"/>
                <w:sz w:val="21"/>
                <w:szCs w:val="21"/>
                <w:highlight w:val="none"/>
                <w:lang w:val="en-US" w:eastAsia="zh-CN"/>
              </w:rPr>
              <w:t>02</w:t>
            </w:r>
          </w:p>
        </w:tc>
      </w:tr>
      <w:tr w14:paraId="08D1A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continue"/>
            <w:noWrap w:val="0"/>
            <w:vAlign w:val="center"/>
          </w:tcPr>
          <w:p w14:paraId="5323C375">
            <w:pPr>
              <w:pStyle w:val="224"/>
              <w:rPr>
                <w:rFonts w:hint="default" w:ascii="Times New Roman" w:hAnsi="Times New Roman" w:eastAsia="宋体" w:cs="Times New Roman"/>
                <w:color w:val="auto"/>
                <w:sz w:val="21"/>
                <w:szCs w:val="21"/>
                <w:highlight w:val="none"/>
              </w:rPr>
            </w:pPr>
          </w:p>
        </w:tc>
        <w:tc>
          <w:tcPr>
            <w:tcW w:w="511" w:type="pct"/>
            <w:vMerge w:val="continue"/>
            <w:noWrap w:val="0"/>
            <w:vAlign w:val="center"/>
          </w:tcPr>
          <w:p w14:paraId="30366232">
            <w:pPr>
              <w:pStyle w:val="224"/>
              <w:rPr>
                <w:rFonts w:hint="default" w:ascii="Times New Roman" w:hAnsi="Times New Roman" w:eastAsia="宋体" w:cs="Times New Roman"/>
                <w:color w:val="auto"/>
                <w:sz w:val="21"/>
                <w:szCs w:val="21"/>
                <w:highlight w:val="none"/>
              </w:rPr>
            </w:pPr>
          </w:p>
        </w:tc>
        <w:tc>
          <w:tcPr>
            <w:tcW w:w="554" w:type="pct"/>
            <w:noWrap w:val="0"/>
            <w:vAlign w:val="center"/>
          </w:tcPr>
          <w:p w14:paraId="4C7A582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578" w:type="pct"/>
            <w:noWrap w:val="0"/>
            <w:vAlign w:val="center"/>
          </w:tcPr>
          <w:p w14:paraId="3EEDE5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11.23</w:t>
            </w:r>
          </w:p>
        </w:tc>
        <w:tc>
          <w:tcPr>
            <w:tcW w:w="483" w:type="pct"/>
            <w:noWrap w:val="0"/>
            <w:vAlign w:val="center"/>
          </w:tcPr>
          <w:p w14:paraId="52D996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0.044</w:t>
            </w:r>
          </w:p>
        </w:tc>
        <w:tc>
          <w:tcPr>
            <w:tcW w:w="538" w:type="pct"/>
            <w:vMerge w:val="continue"/>
            <w:noWrap w:val="0"/>
            <w:vAlign w:val="center"/>
          </w:tcPr>
          <w:p w14:paraId="1681E63D">
            <w:pPr>
              <w:pStyle w:val="224"/>
              <w:rPr>
                <w:rFonts w:hint="default" w:ascii="Times New Roman" w:hAnsi="Times New Roman" w:eastAsia="宋体" w:cs="Times New Roman"/>
                <w:color w:val="auto"/>
                <w:sz w:val="21"/>
                <w:szCs w:val="21"/>
                <w:highlight w:val="none"/>
              </w:rPr>
            </w:pPr>
          </w:p>
        </w:tc>
        <w:tc>
          <w:tcPr>
            <w:tcW w:w="578" w:type="pct"/>
            <w:noWrap w:val="0"/>
            <w:vAlign w:val="center"/>
          </w:tcPr>
          <w:p w14:paraId="4C127F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11.23</w:t>
            </w:r>
          </w:p>
        </w:tc>
        <w:tc>
          <w:tcPr>
            <w:tcW w:w="432" w:type="pct"/>
            <w:noWrap w:val="0"/>
            <w:vAlign w:val="center"/>
          </w:tcPr>
          <w:p w14:paraId="4AFB17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0.044</w:t>
            </w:r>
          </w:p>
        </w:tc>
        <w:tc>
          <w:tcPr>
            <w:tcW w:w="578" w:type="pct"/>
            <w:noWrap w:val="0"/>
            <w:vAlign w:val="center"/>
          </w:tcPr>
          <w:p w14:paraId="7839AEC7">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w:t>
            </w:r>
          </w:p>
        </w:tc>
        <w:tc>
          <w:tcPr>
            <w:tcW w:w="436" w:type="pct"/>
            <w:noWrap w:val="0"/>
            <w:vAlign w:val="center"/>
          </w:tcPr>
          <w:p w14:paraId="2526A9B2">
            <w:pPr>
              <w:pStyle w:val="2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0.0</w:t>
            </w:r>
            <w:r>
              <w:rPr>
                <w:rFonts w:hint="eastAsia" w:ascii="Times New Roman" w:hAnsi="Times New Roman" w:eastAsia="宋体" w:cs="Times New Roman"/>
                <w:color w:val="auto"/>
                <w:sz w:val="21"/>
                <w:szCs w:val="21"/>
                <w:highlight w:val="none"/>
                <w:lang w:val="en-US" w:eastAsia="zh-CN"/>
              </w:rPr>
              <w:t>2</w:t>
            </w:r>
          </w:p>
        </w:tc>
      </w:tr>
      <w:tr w14:paraId="363A2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continue"/>
            <w:noWrap w:val="0"/>
            <w:vAlign w:val="center"/>
          </w:tcPr>
          <w:p w14:paraId="4B3D18D0">
            <w:pPr>
              <w:pStyle w:val="224"/>
              <w:rPr>
                <w:rFonts w:hint="default" w:ascii="Times New Roman" w:hAnsi="Times New Roman" w:eastAsia="宋体" w:cs="Times New Roman"/>
                <w:color w:val="auto"/>
                <w:sz w:val="21"/>
                <w:szCs w:val="21"/>
                <w:highlight w:val="none"/>
              </w:rPr>
            </w:pPr>
          </w:p>
        </w:tc>
        <w:tc>
          <w:tcPr>
            <w:tcW w:w="511" w:type="pct"/>
            <w:vMerge w:val="continue"/>
            <w:noWrap w:val="0"/>
            <w:vAlign w:val="center"/>
          </w:tcPr>
          <w:p w14:paraId="2FC9BC25">
            <w:pPr>
              <w:pStyle w:val="224"/>
              <w:rPr>
                <w:rFonts w:hint="default" w:ascii="Times New Roman" w:hAnsi="Times New Roman" w:eastAsia="宋体" w:cs="Times New Roman"/>
                <w:color w:val="auto"/>
                <w:sz w:val="21"/>
                <w:szCs w:val="21"/>
                <w:highlight w:val="none"/>
              </w:rPr>
            </w:pPr>
          </w:p>
        </w:tc>
        <w:tc>
          <w:tcPr>
            <w:tcW w:w="554" w:type="pct"/>
            <w:noWrap w:val="0"/>
            <w:vAlign w:val="center"/>
          </w:tcPr>
          <w:p w14:paraId="6B1540EE">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总氮</w:t>
            </w:r>
          </w:p>
        </w:tc>
        <w:tc>
          <w:tcPr>
            <w:tcW w:w="578" w:type="pct"/>
            <w:noWrap w:val="0"/>
            <w:vAlign w:val="center"/>
          </w:tcPr>
          <w:p w14:paraId="14766F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12.51</w:t>
            </w:r>
          </w:p>
        </w:tc>
        <w:tc>
          <w:tcPr>
            <w:tcW w:w="483" w:type="pct"/>
            <w:noWrap w:val="0"/>
            <w:vAlign w:val="center"/>
          </w:tcPr>
          <w:p w14:paraId="527250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0.049</w:t>
            </w:r>
          </w:p>
        </w:tc>
        <w:tc>
          <w:tcPr>
            <w:tcW w:w="538" w:type="pct"/>
            <w:vMerge w:val="continue"/>
            <w:noWrap w:val="0"/>
            <w:vAlign w:val="center"/>
          </w:tcPr>
          <w:p w14:paraId="4026EF10">
            <w:pPr>
              <w:pStyle w:val="224"/>
              <w:rPr>
                <w:rFonts w:hint="default" w:ascii="Times New Roman" w:hAnsi="Times New Roman" w:eastAsia="宋体" w:cs="Times New Roman"/>
                <w:color w:val="auto"/>
                <w:sz w:val="21"/>
                <w:szCs w:val="21"/>
                <w:highlight w:val="none"/>
              </w:rPr>
            </w:pPr>
          </w:p>
        </w:tc>
        <w:tc>
          <w:tcPr>
            <w:tcW w:w="578" w:type="pct"/>
            <w:noWrap w:val="0"/>
            <w:vAlign w:val="center"/>
          </w:tcPr>
          <w:p w14:paraId="28CC968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12.51</w:t>
            </w:r>
          </w:p>
        </w:tc>
        <w:tc>
          <w:tcPr>
            <w:tcW w:w="432" w:type="pct"/>
            <w:noWrap w:val="0"/>
            <w:vAlign w:val="center"/>
          </w:tcPr>
          <w:p w14:paraId="0979DA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0.049</w:t>
            </w:r>
          </w:p>
        </w:tc>
        <w:tc>
          <w:tcPr>
            <w:tcW w:w="578" w:type="pct"/>
            <w:noWrap w:val="0"/>
            <w:vAlign w:val="center"/>
          </w:tcPr>
          <w:p w14:paraId="5DB0A629">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11.8</w:t>
            </w:r>
          </w:p>
        </w:tc>
        <w:tc>
          <w:tcPr>
            <w:tcW w:w="436" w:type="pct"/>
            <w:noWrap w:val="0"/>
            <w:vAlign w:val="center"/>
          </w:tcPr>
          <w:p w14:paraId="4AC8431B">
            <w:pPr>
              <w:pStyle w:val="224"/>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0.046</w:t>
            </w:r>
          </w:p>
        </w:tc>
      </w:tr>
      <w:tr w14:paraId="5FECD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continue"/>
            <w:noWrap w:val="0"/>
            <w:vAlign w:val="center"/>
          </w:tcPr>
          <w:p w14:paraId="51F7F205">
            <w:pPr>
              <w:pStyle w:val="224"/>
              <w:rPr>
                <w:rFonts w:hint="default" w:ascii="Times New Roman" w:hAnsi="Times New Roman" w:eastAsia="宋体" w:cs="Times New Roman"/>
                <w:color w:val="auto"/>
                <w:sz w:val="21"/>
                <w:szCs w:val="21"/>
                <w:highlight w:val="none"/>
              </w:rPr>
            </w:pPr>
          </w:p>
        </w:tc>
        <w:tc>
          <w:tcPr>
            <w:tcW w:w="511" w:type="pct"/>
            <w:vMerge w:val="continue"/>
            <w:noWrap w:val="0"/>
            <w:vAlign w:val="center"/>
          </w:tcPr>
          <w:p w14:paraId="636A4059">
            <w:pPr>
              <w:pStyle w:val="224"/>
              <w:rPr>
                <w:rFonts w:hint="default" w:ascii="Times New Roman" w:hAnsi="Times New Roman" w:eastAsia="宋体" w:cs="Times New Roman"/>
                <w:color w:val="auto"/>
                <w:sz w:val="21"/>
                <w:szCs w:val="21"/>
                <w:highlight w:val="none"/>
              </w:rPr>
            </w:pPr>
          </w:p>
        </w:tc>
        <w:tc>
          <w:tcPr>
            <w:tcW w:w="554" w:type="pct"/>
            <w:noWrap w:val="0"/>
            <w:vAlign w:val="center"/>
          </w:tcPr>
          <w:p w14:paraId="7A418697">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TP</w:t>
            </w:r>
          </w:p>
        </w:tc>
        <w:tc>
          <w:tcPr>
            <w:tcW w:w="578" w:type="pct"/>
            <w:noWrap w:val="0"/>
            <w:vAlign w:val="center"/>
          </w:tcPr>
          <w:p w14:paraId="6CCBFD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1.28</w:t>
            </w:r>
          </w:p>
        </w:tc>
        <w:tc>
          <w:tcPr>
            <w:tcW w:w="483" w:type="pct"/>
            <w:noWrap w:val="0"/>
            <w:vAlign w:val="center"/>
          </w:tcPr>
          <w:p w14:paraId="53B3816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0.005</w:t>
            </w:r>
          </w:p>
        </w:tc>
        <w:tc>
          <w:tcPr>
            <w:tcW w:w="538" w:type="pct"/>
            <w:vMerge w:val="continue"/>
            <w:noWrap w:val="0"/>
            <w:vAlign w:val="center"/>
          </w:tcPr>
          <w:p w14:paraId="59409A13">
            <w:pPr>
              <w:pStyle w:val="224"/>
              <w:rPr>
                <w:rFonts w:hint="default" w:ascii="Times New Roman" w:hAnsi="Times New Roman" w:eastAsia="宋体" w:cs="Times New Roman"/>
                <w:color w:val="auto"/>
                <w:sz w:val="21"/>
                <w:szCs w:val="21"/>
                <w:highlight w:val="none"/>
              </w:rPr>
            </w:pPr>
          </w:p>
        </w:tc>
        <w:tc>
          <w:tcPr>
            <w:tcW w:w="578" w:type="pct"/>
            <w:noWrap w:val="0"/>
            <w:vAlign w:val="center"/>
          </w:tcPr>
          <w:p w14:paraId="082541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1.28</w:t>
            </w:r>
          </w:p>
        </w:tc>
        <w:tc>
          <w:tcPr>
            <w:tcW w:w="432" w:type="pct"/>
            <w:noWrap w:val="0"/>
            <w:vAlign w:val="center"/>
          </w:tcPr>
          <w:p w14:paraId="7A4377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0.005</w:t>
            </w:r>
          </w:p>
        </w:tc>
        <w:tc>
          <w:tcPr>
            <w:tcW w:w="578" w:type="pct"/>
            <w:noWrap w:val="0"/>
            <w:vAlign w:val="center"/>
          </w:tcPr>
          <w:p w14:paraId="41FD9A8F">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436" w:type="pct"/>
            <w:noWrap w:val="0"/>
            <w:vAlign w:val="center"/>
          </w:tcPr>
          <w:p w14:paraId="385B81EE">
            <w:pPr>
              <w:pStyle w:val="2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0.</w:t>
            </w:r>
            <w:r>
              <w:rPr>
                <w:rFonts w:hint="eastAsia" w:ascii="Times New Roman" w:hAnsi="Times New Roman" w:eastAsia="宋体" w:cs="Times New Roman"/>
                <w:color w:val="auto"/>
                <w:sz w:val="21"/>
                <w:szCs w:val="21"/>
                <w:highlight w:val="none"/>
                <w:lang w:val="en-US" w:eastAsia="zh-CN"/>
              </w:rPr>
              <w:t>002</w:t>
            </w:r>
          </w:p>
        </w:tc>
      </w:tr>
      <w:tr w14:paraId="71A93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continue"/>
            <w:noWrap w:val="0"/>
            <w:vAlign w:val="center"/>
          </w:tcPr>
          <w:p w14:paraId="125FBF88">
            <w:pPr>
              <w:pStyle w:val="224"/>
              <w:rPr>
                <w:rFonts w:hint="default" w:ascii="Times New Roman" w:hAnsi="Times New Roman" w:eastAsia="宋体" w:cs="Times New Roman"/>
                <w:color w:val="auto"/>
                <w:sz w:val="21"/>
                <w:szCs w:val="21"/>
                <w:highlight w:val="none"/>
              </w:rPr>
            </w:pPr>
          </w:p>
        </w:tc>
        <w:tc>
          <w:tcPr>
            <w:tcW w:w="511" w:type="pct"/>
            <w:vMerge w:val="continue"/>
            <w:noWrap w:val="0"/>
            <w:vAlign w:val="center"/>
          </w:tcPr>
          <w:p w14:paraId="55243593">
            <w:pPr>
              <w:pStyle w:val="224"/>
              <w:rPr>
                <w:rFonts w:hint="default" w:ascii="Times New Roman" w:hAnsi="Times New Roman" w:eastAsia="宋体" w:cs="Times New Roman"/>
                <w:color w:val="auto"/>
                <w:sz w:val="21"/>
                <w:szCs w:val="21"/>
                <w:highlight w:val="none"/>
              </w:rPr>
            </w:pPr>
          </w:p>
        </w:tc>
        <w:tc>
          <w:tcPr>
            <w:tcW w:w="554" w:type="pct"/>
            <w:noWrap w:val="0"/>
            <w:vAlign w:val="center"/>
          </w:tcPr>
          <w:p w14:paraId="6102EE31">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LAS</w:t>
            </w:r>
          </w:p>
        </w:tc>
        <w:tc>
          <w:tcPr>
            <w:tcW w:w="578" w:type="pct"/>
            <w:noWrap w:val="0"/>
            <w:vAlign w:val="center"/>
          </w:tcPr>
          <w:p w14:paraId="01AF690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0.51</w:t>
            </w:r>
          </w:p>
        </w:tc>
        <w:tc>
          <w:tcPr>
            <w:tcW w:w="483" w:type="pct"/>
            <w:noWrap w:val="0"/>
            <w:vAlign w:val="center"/>
          </w:tcPr>
          <w:p w14:paraId="329D6C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538" w:type="pct"/>
            <w:vMerge w:val="continue"/>
            <w:noWrap w:val="0"/>
            <w:vAlign w:val="center"/>
          </w:tcPr>
          <w:p w14:paraId="5ECDA016">
            <w:pPr>
              <w:pStyle w:val="224"/>
              <w:rPr>
                <w:rFonts w:hint="default" w:ascii="Times New Roman" w:hAnsi="Times New Roman" w:eastAsia="宋体" w:cs="Times New Roman"/>
                <w:color w:val="auto"/>
                <w:sz w:val="21"/>
                <w:szCs w:val="21"/>
                <w:highlight w:val="none"/>
              </w:rPr>
            </w:pPr>
          </w:p>
        </w:tc>
        <w:tc>
          <w:tcPr>
            <w:tcW w:w="578" w:type="pct"/>
            <w:noWrap w:val="0"/>
            <w:vAlign w:val="center"/>
          </w:tcPr>
          <w:p w14:paraId="5627F4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0.51</w:t>
            </w:r>
          </w:p>
        </w:tc>
        <w:tc>
          <w:tcPr>
            <w:tcW w:w="432" w:type="pct"/>
            <w:noWrap w:val="0"/>
            <w:vAlign w:val="center"/>
          </w:tcPr>
          <w:p w14:paraId="10E4966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578" w:type="pct"/>
            <w:noWrap w:val="0"/>
            <w:vAlign w:val="center"/>
          </w:tcPr>
          <w:p w14:paraId="09E4F990">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w:t>
            </w:r>
          </w:p>
        </w:tc>
        <w:tc>
          <w:tcPr>
            <w:tcW w:w="436" w:type="pct"/>
            <w:noWrap w:val="0"/>
            <w:vAlign w:val="center"/>
          </w:tcPr>
          <w:p w14:paraId="3344296B">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0.002</w:t>
            </w:r>
          </w:p>
        </w:tc>
      </w:tr>
      <w:tr w14:paraId="36FCB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307" w:type="pct"/>
            <w:vMerge w:val="continue"/>
            <w:noWrap w:val="0"/>
            <w:vAlign w:val="center"/>
          </w:tcPr>
          <w:p w14:paraId="3C1E8CA1">
            <w:pPr>
              <w:pStyle w:val="224"/>
              <w:rPr>
                <w:rFonts w:hint="default" w:ascii="Times New Roman" w:hAnsi="Times New Roman" w:eastAsia="宋体" w:cs="Times New Roman"/>
                <w:color w:val="auto"/>
                <w:sz w:val="21"/>
                <w:szCs w:val="21"/>
                <w:highlight w:val="none"/>
              </w:rPr>
            </w:pPr>
          </w:p>
        </w:tc>
        <w:tc>
          <w:tcPr>
            <w:tcW w:w="511" w:type="pct"/>
            <w:vMerge w:val="continue"/>
            <w:noWrap w:val="0"/>
            <w:vAlign w:val="center"/>
          </w:tcPr>
          <w:p w14:paraId="564EC157">
            <w:pPr>
              <w:pStyle w:val="224"/>
              <w:rPr>
                <w:rFonts w:hint="default" w:ascii="Times New Roman" w:hAnsi="Times New Roman" w:eastAsia="宋体" w:cs="Times New Roman"/>
                <w:color w:val="auto"/>
                <w:sz w:val="21"/>
                <w:szCs w:val="21"/>
                <w:highlight w:val="none"/>
              </w:rPr>
            </w:pPr>
          </w:p>
        </w:tc>
        <w:tc>
          <w:tcPr>
            <w:tcW w:w="554" w:type="pct"/>
            <w:noWrap w:val="0"/>
            <w:vAlign w:val="center"/>
          </w:tcPr>
          <w:p w14:paraId="61278A2C">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578" w:type="pct"/>
            <w:noWrap w:val="0"/>
            <w:vAlign w:val="center"/>
          </w:tcPr>
          <w:p w14:paraId="48D4FDF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4.75</w:t>
            </w:r>
          </w:p>
        </w:tc>
        <w:tc>
          <w:tcPr>
            <w:tcW w:w="483" w:type="pct"/>
            <w:noWrap w:val="0"/>
            <w:vAlign w:val="center"/>
          </w:tcPr>
          <w:p w14:paraId="78A744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c>
          <w:tcPr>
            <w:tcW w:w="538" w:type="pct"/>
            <w:noWrap w:val="0"/>
            <w:vAlign w:val="center"/>
          </w:tcPr>
          <w:p w14:paraId="5052038E">
            <w:pPr>
              <w:pStyle w:val="224"/>
              <w:rPr>
                <w:rFonts w:hint="default" w:ascii="Times New Roman" w:hAnsi="Times New Roman" w:eastAsia="宋体" w:cs="Times New Roman"/>
                <w:color w:val="auto"/>
                <w:sz w:val="21"/>
                <w:szCs w:val="21"/>
                <w:highlight w:val="none"/>
              </w:rPr>
            </w:pPr>
          </w:p>
        </w:tc>
        <w:tc>
          <w:tcPr>
            <w:tcW w:w="578" w:type="pct"/>
            <w:noWrap w:val="0"/>
            <w:vAlign w:val="center"/>
          </w:tcPr>
          <w:p w14:paraId="6B053ED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2.85</w:t>
            </w:r>
          </w:p>
        </w:tc>
        <w:tc>
          <w:tcPr>
            <w:tcW w:w="432" w:type="pct"/>
            <w:noWrap w:val="0"/>
            <w:vAlign w:val="center"/>
          </w:tcPr>
          <w:p w14:paraId="3FB42F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c>
          <w:tcPr>
            <w:tcW w:w="578" w:type="pct"/>
            <w:noWrap w:val="0"/>
            <w:vAlign w:val="center"/>
          </w:tcPr>
          <w:p w14:paraId="0FFCFA33">
            <w:pPr>
              <w:pStyle w:val="224"/>
              <w:rPr>
                <w:rFonts w:hint="eastAsia" w:ascii="Times New Roman" w:hAnsi="Times New Roman" w:eastAsia="宋体" w:cs="Times New Roman"/>
                <w:color w:val="auto"/>
                <w:sz w:val="21"/>
                <w:szCs w:val="21"/>
                <w:highlight w:val="none"/>
                <w:lang w:val="en-US" w:eastAsia="zh-CN"/>
              </w:rPr>
            </w:pPr>
          </w:p>
        </w:tc>
        <w:tc>
          <w:tcPr>
            <w:tcW w:w="436" w:type="pct"/>
            <w:noWrap w:val="0"/>
            <w:vAlign w:val="center"/>
          </w:tcPr>
          <w:p w14:paraId="4CF0E572">
            <w:pPr>
              <w:pStyle w:val="224"/>
              <w:rPr>
                <w:rFonts w:hint="eastAsia" w:ascii="Times New Roman" w:hAnsi="Times New Roman" w:eastAsia="宋体" w:cs="Times New Roman"/>
                <w:color w:val="auto"/>
                <w:sz w:val="21"/>
                <w:szCs w:val="21"/>
                <w:highlight w:val="none"/>
                <w:lang w:val="en-US" w:eastAsia="zh-CN"/>
              </w:rPr>
            </w:pPr>
          </w:p>
        </w:tc>
      </w:tr>
      <w:tr w14:paraId="42AF6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397" w:hRule="atLeast"/>
          <w:jc w:val="center"/>
        </w:trPr>
        <w:tc>
          <w:tcPr>
            <w:tcW w:w="5000" w:type="pct"/>
            <w:gridSpan w:val="10"/>
            <w:noWrap w:val="0"/>
            <w:vAlign w:val="center"/>
          </w:tcPr>
          <w:p w14:paraId="4AD085F0">
            <w:pPr>
              <w:pStyle w:val="224"/>
              <w:jc w:val="both"/>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注：初期雨水排放量未纳入污水排放量核算</w:t>
            </w:r>
          </w:p>
        </w:tc>
      </w:tr>
    </w:tbl>
    <w:p w14:paraId="5659FC26">
      <w:pPr>
        <w:ind w:firstLine="482"/>
        <w:rPr>
          <w:b/>
          <w:bCs/>
          <w:color w:val="auto"/>
          <w:sz w:val="24"/>
          <w:szCs w:val="24"/>
          <w:highlight w:val="none"/>
          <w:lang w:val="zh-TW"/>
        </w:rPr>
      </w:pPr>
      <w:r>
        <w:rPr>
          <w:b/>
          <w:bCs/>
          <w:color w:val="auto"/>
          <w:sz w:val="24"/>
          <w:szCs w:val="24"/>
          <w:highlight w:val="none"/>
          <w:lang w:val="zh-TW"/>
        </w:rPr>
        <w:t>1、废水类别、污染物及污染治理设施信息表</w:t>
      </w:r>
    </w:p>
    <w:p w14:paraId="41FD652D">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lang w:val="en-US" w:eastAsia="zh-CN"/>
        </w:rPr>
        <w:t>-2</w:t>
      </w:r>
      <w:r>
        <w:rPr>
          <w:rFonts w:hint="eastAsia"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zh-TW" w:eastAsia="zh-CN"/>
        </w:rPr>
        <w:t>废水类别、污染物及污染治理设施信息表</w:t>
      </w:r>
    </w:p>
    <w:tbl>
      <w:tblPr>
        <w:tblStyle w:val="49"/>
        <w:tblW w:w="51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 w:type="dxa"/>
          <w:bottom w:w="0" w:type="dxa"/>
          <w:right w:w="10" w:type="dxa"/>
        </w:tblCellMar>
      </w:tblPr>
      <w:tblGrid>
        <w:gridCol w:w="325"/>
        <w:gridCol w:w="662"/>
        <w:gridCol w:w="1015"/>
        <w:gridCol w:w="755"/>
        <w:gridCol w:w="881"/>
        <w:gridCol w:w="769"/>
        <w:gridCol w:w="839"/>
        <w:gridCol w:w="1054"/>
        <w:gridCol w:w="707"/>
        <w:gridCol w:w="792"/>
        <w:gridCol w:w="797"/>
      </w:tblGrid>
      <w:tr w14:paraId="3829C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89" w:type="pct"/>
            <w:vMerge w:val="restart"/>
            <w:noWrap w:val="0"/>
            <w:vAlign w:val="center"/>
          </w:tcPr>
          <w:p w14:paraId="7C7826B2">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序</w:t>
            </w:r>
          </w:p>
          <w:p w14:paraId="1DF979A4">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号</w:t>
            </w:r>
          </w:p>
        </w:tc>
        <w:tc>
          <w:tcPr>
            <w:tcW w:w="385" w:type="pct"/>
            <w:vMerge w:val="restart"/>
            <w:noWrap w:val="0"/>
            <w:vAlign w:val="center"/>
          </w:tcPr>
          <w:p w14:paraId="0BF69363">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废水类别</w:t>
            </w:r>
          </w:p>
        </w:tc>
        <w:tc>
          <w:tcPr>
            <w:tcW w:w="590" w:type="pct"/>
            <w:vMerge w:val="restart"/>
            <w:noWrap w:val="0"/>
            <w:vAlign w:val="center"/>
          </w:tcPr>
          <w:p w14:paraId="71A1D57E">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污染物种类</w:t>
            </w:r>
          </w:p>
        </w:tc>
        <w:tc>
          <w:tcPr>
            <w:tcW w:w="439" w:type="pct"/>
            <w:vMerge w:val="restart"/>
            <w:noWrap w:val="0"/>
            <w:vAlign w:val="center"/>
          </w:tcPr>
          <w:p w14:paraId="460D4B62">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排放去向</w:t>
            </w:r>
          </w:p>
        </w:tc>
        <w:tc>
          <w:tcPr>
            <w:tcW w:w="512" w:type="pct"/>
            <w:vMerge w:val="restart"/>
            <w:noWrap w:val="0"/>
            <w:vAlign w:val="center"/>
          </w:tcPr>
          <w:p w14:paraId="5DC12D15">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排放规律</w:t>
            </w:r>
          </w:p>
        </w:tc>
        <w:tc>
          <w:tcPr>
            <w:tcW w:w="1548" w:type="pct"/>
            <w:gridSpan w:val="3"/>
            <w:noWrap w:val="0"/>
            <w:vAlign w:val="center"/>
          </w:tcPr>
          <w:p w14:paraId="6E1DDF91">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污染治理设施</w:t>
            </w:r>
          </w:p>
        </w:tc>
        <w:tc>
          <w:tcPr>
            <w:tcW w:w="411" w:type="pct"/>
            <w:vMerge w:val="restart"/>
            <w:noWrap w:val="0"/>
            <w:vAlign w:val="center"/>
          </w:tcPr>
          <w:p w14:paraId="73268688">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排放口编号</w:t>
            </w:r>
          </w:p>
        </w:tc>
        <w:tc>
          <w:tcPr>
            <w:tcW w:w="460" w:type="pct"/>
            <w:vMerge w:val="restart"/>
            <w:noWrap w:val="0"/>
            <w:vAlign w:val="center"/>
          </w:tcPr>
          <w:p w14:paraId="503F727E">
            <w:pPr>
              <w:pStyle w:val="224"/>
              <w:rPr>
                <w:rFonts w:hint="default" w:ascii="Times New Roman" w:hAnsi="Times New Roman" w:eastAsia="宋体" w:cs="Times New Roman"/>
                <w:b/>
                <w:bCs w:val="0"/>
                <w:color w:val="auto"/>
                <w:sz w:val="21"/>
                <w:szCs w:val="21"/>
                <w:highlight w:val="none"/>
                <w:lang w:eastAsia="zh-TW"/>
              </w:rPr>
            </w:pPr>
            <w:r>
              <w:rPr>
                <w:rFonts w:hint="default" w:ascii="Times New Roman" w:hAnsi="Times New Roman" w:eastAsia="宋体" w:cs="Times New Roman"/>
                <w:b/>
                <w:bCs w:val="0"/>
                <w:color w:val="auto"/>
                <w:sz w:val="21"/>
                <w:szCs w:val="21"/>
                <w:highlight w:val="none"/>
              </w:rPr>
              <w:t>排放口设置是否符合要求</w:t>
            </w:r>
          </w:p>
        </w:tc>
        <w:tc>
          <w:tcPr>
            <w:tcW w:w="463" w:type="pct"/>
            <w:vMerge w:val="restart"/>
            <w:noWrap w:val="0"/>
            <w:vAlign w:val="center"/>
          </w:tcPr>
          <w:p w14:paraId="021F8772">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排放口类型</w:t>
            </w:r>
          </w:p>
        </w:tc>
      </w:tr>
      <w:tr w14:paraId="0FBBB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89" w:type="pct"/>
            <w:vMerge w:val="continue"/>
            <w:noWrap w:val="0"/>
            <w:vAlign w:val="center"/>
          </w:tcPr>
          <w:p w14:paraId="24D3FB95">
            <w:pPr>
              <w:pStyle w:val="224"/>
              <w:rPr>
                <w:rFonts w:hint="default" w:ascii="Times New Roman" w:hAnsi="Times New Roman" w:eastAsia="宋体" w:cs="Times New Roman"/>
                <w:color w:val="auto"/>
                <w:sz w:val="21"/>
                <w:szCs w:val="21"/>
                <w:highlight w:val="none"/>
              </w:rPr>
            </w:pPr>
          </w:p>
        </w:tc>
        <w:tc>
          <w:tcPr>
            <w:tcW w:w="385" w:type="pct"/>
            <w:vMerge w:val="continue"/>
            <w:noWrap w:val="0"/>
            <w:vAlign w:val="center"/>
          </w:tcPr>
          <w:p w14:paraId="212B2A79">
            <w:pPr>
              <w:pStyle w:val="224"/>
              <w:rPr>
                <w:rFonts w:hint="default" w:ascii="Times New Roman" w:hAnsi="Times New Roman" w:eastAsia="宋体" w:cs="Times New Roman"/>
                <w:color w:val="auto"/>
                <w:sz w:val="21"/>
                <w:szCs w:val="21"/>
                <w:highlight w:val="none"/>
              </w:rPr>
            </w:pPr>
          </w:p>
        </w:tc>
        <w:tc>
          <w:tcPr>
            <w:tcW w:w="590" w:type="pct"/>
            <w:vMerge w:val="continue"/>
            <w:noWrap w:val="0"/>
            <w:vAlign w:val="center"/>
          </w:tcPr>
          <w:p w14:paraId="217DF65D">
            <w:pPr>
              <w:pStyle w:val="224"/>
              <w:rPr>
                <w:rFonts w:hint="default" w:ascii="Times New Roman" w:hAnsi="Times New Roman" w:eastAsia="宋体" w:cs="Times New Roman"/>
                <w:color w:val="auto"/>
                <w:sz w:val="21"/>
                <w:szCs w:val="21"/>
                <w:highlight w:val="none"/>
              </w:rPr>
            </w:pPr>
          </w:p>
        </w:tc>
        <w:tc>
          <w:tcPr>
            <w:tcW w:w="439" w:type="pct"/>
            <w:vMerge w:val="continue"/>
            <w:noWrap w:val="0"/>
            <w:vAlign w:val="center"/>
          </w:tcPr>
          <w:p w14:paraId="3B312D3D">
            <w:pPr>
              <w:pStyle w:val="224"/>
              <w:rPr>
                <w:rFonts w:hint="default" w:ascii="Times New Roman" w:hAnsi="Times New Roman" w:eastAsia="宋体" w:cs="Times New Roman"/>
                <w:color w:val="auto"/>
                <w:sz w:val="21"/>
                <w:szCs w:val="21"/>
                <w:highlight w:val="none"/>
              </w:rPr>
            </w:pPr>
          </w:p>
        </w:tc>
        <w:tc>
          <w:tcPr>
            <w:tcW w:w="512" w:type="pct"/>
            <w:vMerge w:val="continue"/>
            <w:noWrap w:val="0"/>
            <w:vAlign w:val="center"/>
          </w:tcPr>
          <w:p w14:paraId="52DC58E2">
            <w:pPr>
              <w:pStyle w:val="224"/>
              <w:rPr>
                <w:rFonts w:hint="default" w:ascii="Times New Roman" w:hAnsi="Times New Roman" w:eastAsia="宋体" w:cs="Times New Roman"/>
                <w:color w:val="auto"/>
                <w:sz w:val="21"/>
                <w:szCs w:val="21"/>
                <w:highlight w:val="none"/>
              </w:rPr>
            </w:pPr>
          </w:p>
        </w:tc>
        <w:tc>
          <w:tcPr>
            <w:tcW w:w="447" w:type="pct"/>
            <w:noWrap w:val="0"/>
            <w:vAlign w:val="center"/>
          </w:tcPr>
          <w:p w14:paraId="0AB87F0A">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污染治理设施编号</w:t>
            </w:r>
          </w:p>
        </w:tc>
        <w:tc>
          <w:tcPr>
            <w:tcW w:w="488" w:type="pct"/>
            <w:noWrap w:val="0"/>
            <w:vAlign w:val="center"/>
          </w:tcPr>
          <w:p w14:paraId="6486C191">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污染治理设施名称</w:t>
            </w:r>
          </w:p>
        </w:tc>
        <w:tc>
          <w:tcPr>
            <w:tcW w:w="613" w:type="pct"/>
            <w:noWrap w:val="0"/>
            <w:vAlign w:val="center"/>
          </w:tcPr>
          <w:p w14:paraId="72A9D7C1">
            <w:pPr>
              <w:pStyle w:val="224"/>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污染治理设施工艺</w:t>
            </w:r>
          </w:p>
        </w:tc>
        <w:tc>
          <w:tcPr>
            <w:tcW w:w="411" w:type="pct"/>
            <w:vMerge w:val="continue"/>
            <w:noWrap w:val="0"/>
            <w:vAlign w:val="center"/>
          </w:tcPr>
          <w:p w14:paraId="6696506A">
            <w:pPr>
              <w:pStyle w:val="224"/>
              <w:rPr>
                <w:rFonts w:hint="default" w:ascii="Times New Roman" w:hAnsi="Times New Roman" w:eastAsia="宋体" w:cs="Times New Roman"/>
                <w:color w:val="auto"/>
                <w:sz w:val="21"/>
                <w:szCs w:val="21"/>
                <w:highlight w:val="none"/>
              </w:rPr>
            </w:pPr>
          </w:p>
        </w:tc>
        <w:tc>
          <w:tcPr>
            <w:tcW w:w="460" w:type="pct"/>
            <w:vMerge w:val="continue"/>
            <w:noWrap w:val="0"/>
            <w:vAlign w:val="center"/>
          </w:tcPr>
          <w:p w14:paraId="53972817">
            <w:pPr>
              <w:pStyle w:val="224"/>
              <w:rPr>
                <w:rFonts w:hint="default" w:ascii="Times New Roman" w:hAnsi="Times New Roman" w:eastAsia="宋体" w:cs="Times New Roman"/>
                <w:color w:val="auto"/>
                <w:sz w:val="21"/>
                <w:szCs w:val="21"/>
                <w:highlight w:val="none"/>
              </w:rPr>
            </w:pPr>
          </w:p>
        </w:tc>
        <w:tc>
          <w:tcPr>
            <w:tcW w:w="463" w:type="pct"/>
            <w:vMerge w:val="continue"/>
            <w:noWrap w:val="0"/>
            <w:vAlign w:val="center"/>
          </w:tcPr>
          <w:p w14:paraId="62043E3F">
            <w:pPr>
              <w:pStyle w:val="224"/>
              <w:rPr>
                <w:rFonts w:hint="default" w:ascii="Times New Roman" w:hAnsi="Times New Roman" w:eastAsia="宋体" w:cs="Times New Roman"/>
                <w:color w:val="auto"/>
                <w:sz w:val="21"/>
                <w:szCs w:val="21"/>
                <w:highlight w:val="none"/>
              </w:rPr>
            </w:pPr>
          </w:p>
        </w:tc>
      </w:tr>
      <w:tr w14:paraId="1BF1B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89" w:type="pct"/>
            <w:noWrap w:val="0"/>
            <w:vAlign w:val="center"/>
          </w:tcPr>
          <w:p w14:paraId="214C4876">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385" w:type="pct"/>
            <w:noWrap w:val="0"/>
            <w:vAlign w:val="center"/>
          </w:tcPr>
          <w:p w14:paraId="78CA760E">
            <w:pPr>
              <w:pStyle w:val="224"/>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生活污水</w:t>
            </w:r>
          </w:p>
        </w:tc>
        <w:tc>
          <w:tcPr>
            <w:tcW w:w="590" w:type="pct"/>
            <w:noWrap w:val="0"/>
            <w:vAlign w:val="center"/>
          </w:tcPr>
          <w:p w14:paraId="65E07B2B">
            <w:pPr>
              <w:pStyle w:val="224"/>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pH、</w:t>
            </w:r>
            <w:r>
              <w:rPr>
                <w:rFonts w:hint="default" w:ascii="Times New Roman" w:hAnsi="Times New Roman" w:eastAsia="宋体" w:cs="Times New Roman"/>
                <w:color w:val="auto"/>
                <w:sz w:val="21"/>
                <w:szCs w:val="21"/>
                <w:highlight w:val="none"/>
              </w:rPr>
              <w:t>COD、BOD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、SS、NH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-N、TP</w:t>
            </w:r>
            <w:r>
              <w:rPr>
                <w:rFonts w:hint="eastAsia" w:ascii="Times New Roman" w:hAnsi="Times New Roman" w:eastAsia="宋体" w:cs="Times New Roman"/>
                <w:color w:val="auto"/>
                <w:sz w:val="21"/>
                <w:szCs w:val="21"/>
                <w:highlight w:val="none"/>
                <w:lang w:val="en-US" w:eastAsia="zh-CN"/>
              </w:rPr>
              <w:t>总氮</w:t>
            </w:r>
          </w:p>
        </w:tc>
        <w:tc>
          <w:tcPr>
            <w:tcW w:w="439" w:type="pct"/>
            <w:vMerge w:val="restart"/>
            <w:noWrap w:val="0"/>
            <w:vAlign w:val="center"/>
          </w:tcPr>
          <w:p w14:paraId="72BA3CEE">
            <w:pPr>
              <w:pStyle w:val="224"/>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田家庵经济开发区污水处理站</w:t>
            </w:r>
          </w:p>
        </w:tc>
        <w:tc>
          <w:tcPr>
            <w:tcW w:w="512" w:type="pct"/>
            <w:noWrap w:val="0"/>
            <w:vAlign w:val="center"/>
          </w:tcPr>
          <w:p w14:paraId="471169D7">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间断排放，排放期间流量不稳定但有周期性规律</w:t>
            </w:r>
          </w:p>
        </w:tc>
        <w:tc>
          <w:tcPr>
            <w:tcW w:w="447" w:type="pct"/>
            <w:noWrap w:val="0"/>
            <w:vAlign w:val="center"/>
          </w:tcPr>
          <w:p w14:paraId="7C9280E6">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TW001</w:t>
            </w:r>
          </w:p>
        </w:tc>
        <w:tc>
          <w:tcPr>
            <w:tcW w:w="488" w:type="pct"/>
            <w:noWrap w:val="0"/>
            <w:vAlign w:val="center"/>
          </w:tcPr>
          <w:p w14:paraId="7184A3E8">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化粪池</w:t>
            </w:r>
          </w:p>
        </w:tc>
        <w:tc>
          <w:tcPr>
            <w:tcW w:w="613" w:type="pct"/>
            <w:noWrap w:val="0"/>
            <w:vAlign w:val="center"/>
          </w:tcPr>
          <w:p w14:paraId="5EC712F2">
            <w:pPr>
              <w:pStyle w:val="224"/>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厌氧</w:t>
            </w:r>
          </w:p>
        </w:tc>
        <w:tc>
          <w:tcPr>
            <w:tcW w:w="411" w:type="pct"/>
            <w:noWrap w:val="0"/>
            <w:vAlign w:val="center"/>
          </w:tcPr>
          <w:p w14:paraId="7A37EEC9">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DW001</w:t>
            </w:r>
          </w:p>
        </w:tc>
        <w:tc>
          <w:tcPr>
            <w:tcW w:w="460" w:type="pct"/>
            <w:noWrap w:val="0"/>
            <w:vAlign w:val="center"/>
          </w:tcPr>
          <w:p w14:paraId="652D8CFC">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463" w:type="pct"/>
            <w:noWrap w:val="0"/>
            <w:vAlign w:val="center"/>
          </w:tcPr>
          <w:p w14:paraId="097F87AC">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企业总排口</w:t>
            </w:r>
          </w:p>
        </w:tc>
      </w:tr>
      <w:tr w14:paraId="21CFE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397" w:hRule="atLeast"/>
          <w:jc w:val="center"/>
        </w:trPr>
        <w:tc>
          <w:tcPr>
            <w:tcW w:w="189" w:type="pct"/>
            <w:noWrap w:val="0"/>
            <w:vAlign w:val="center"/>
          </w:tcPr>
          <w:p w14:paraId="130ED4B7">
            <w:pPr>
              <w:pStyle w:val="224"/>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385" w:type="pct"/>
            <w:noWrap w:val="0"/>
            <w:vAlign w:val="center"/>
          </w:tcPr>
          <w:p w14:paraId="444FF920">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洗车废水</w:t>
            </w:r>
          </w:p>
        </w:tc>
        <w:tc>
          <w:tcPr>
            <w:tcW w:w="590" w:type="pct"/>
            <w:noWrap w:val="0"/>
            <w:vAlign w:val="center"/>
          </w:tcPr>
          <w:p w14:paraId="2C760CAB">
            <w:pPr>
              <w:pStyle w:val="224"/>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pH、</w:t>
            </w:r>
            <w:r>
              <w:rPr>
                <w:rFonts w:hint="default" w:ascii="Times New Roman" w:hAnsi="Times New Roman" w:eastAsia="宋体" w:cs="Times New Roman"/>
                <w:color w:val="auto"/>
                <w:sz w:val="21"/>
                <w:szCs w:val="21"/>
                <w:highlight w:val="none"/>
              </w:rPr>
              <w:t>COD、BOD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、SS、NH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r>
              <w:rPr>
                <w:rFonts w:hint="eastAsia" w:ascii="Times New Roman" w:hAnsi="Times New Roman" w:eastAsia="宋体" w:cs="Times New Roman"/>
                <w:color w:val="auto"/>
                <w:sz w:val="21"/>
                <w:szCs w:val="21"/>
                <w:highlight w:val="none"/>
                <w:lang w:val="en-US" w:eastAsia="zh-CN"/>
              </w:rPr>
              <w:t>LAS</w:t>
            </w:r>
          </w:p>
        </w:tc>
        <w:tc>
          <w:tcPr>
            <w:tcW w:w="439" w:type="pct"/>
            <w:vMerge w:val="continue"/>
            <w:noWrap w:val="0"/>
            <w:vAlign w:val="center"/>
          </w:tcPr>
          <w:p w14:paraId="0F44F430">
            <w:pPr>
              <w:pStyle w:val="224"/>
              <w:rPr>
                <w:rFonts w:hint="default" w:ascii="Times New Roman" w:hAnsi="Times New Roman" w:eastAsia="宋体" w:cs="Times New Roman"/>
                <w:color w:val="auto"/>
                <w:sz w:val="21"/>
                <w:szCs w:val="21"/>
                <w:highlight w:val="none"/>
                <w:lang w:val="en-US" w:eastAsia="zh-CN"/>
              </w:rPr>
            </w:pPr>
          </w:p>
        </w:tc>
        <w:tc>
          <w:tcPr>
            <w:tcW w:w="512" w:type="pct"/>
            <w:noWrap w:val="0"/>
            <w:vAlign w:val="center"/>
          </w:tcPr>
          <w:p w14:paraId="36734E80">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间断排放，排放期间流量稳定</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有周期性规律</w:t>
            </w:r>
          </w:p>
        </w:tc>
        <w:tc>
          <w:tcPr>
            <w:tcW w:w="447" w:type="pct"/>
            <w:noWrap w:val="0"/>
            <w:vAlign w:val="center"/>
          </w:tcPr>
          <w:p w14:paraId="608FF46A">
            <w:pPr>
              <w:pStyle w:val="224"/>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TW00</w:t>
            </w:r>
            <w:r>
              <w:rPr>
                <w:rFonts w:hint="eastAsia" w:ascii="Times New Roman" w:hAnsi="Times New Roman" w:eastAsia="宋体" w:cs="Times New Roman"/>
                <w:color w:val="auto"/>
                <w:sz w:val="21"/>
                <w:szCs w:val="21"/>
                <w:highlight w:val="none"/>
                <w:lang w:val="en-US" w:eastAsia="zh-CN"/>
              </w:rPr>
              <w:t>2</w:t>
            </w:r>
          </w:p>
        </w:tc>
        <w:tc>
          <w:tcPr>
            <w:tcW w:w="488" w:type="pct"/>
            <w:noWrap w:val="0"/>
            <w:vAlign w:val="center"/>
          </w:tcPr>
          <w:p w14:paraId="1FEF2082">
            <w:pPr>
              <w:pStyle w:val="224"/>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隔油沉淀池</w:t>
            </w:r>
          </w:p>
        </w:tc>
        <w:tc>
          <w:tcPr>
            <w:tcW w:w="613" w:type="pct"/>
            <w:noWrap w:val="0"/>
            <w:vAlign w:val="center"/>
          </w:tcPr>
          <w:p w14:paraId="27D790A0">
            <w:pPr>
              <w:pStyle w:val="224"/>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隔油沉淀</w:t>
            </w:r>
          </w:p>
        </w:tc>
        <w:tc>
          <w:tcPr>
            <w:tcW w:w="411" w:type="pct"/>
            <w:noWrap w:val="0"/>
            <w:vAlign w:val="center"/>
          </w:tcPr>
          <w:p w14:paraId="1A7026AF">
            <w:pPr>
              <w:pStyle w:val="224"/>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DW00</w:t>
            </w:r>
            <w:r>
              <w:rPr>
                <w:rFonts w:hint="eastAsia" w:ascii="Times New Roman" w:hAnsi="Times New Roman" w:eastAsia="宋体" w:cs="Times New Roman"/>
                <w:color w:val="auto"/>
                <w:sz w:val="21"/>
                <w:szCs w:val="21"/>
                <w:highlight w:val="none"/>
                <w:lang w:val="en-US" w:eastAsia="zh-CN"/>
              </w:rPr>
              <w:t>1</w:t>
            </w:r>
          </w:p>
        </w:tc>
        <w:tc>
          <w:tcPr>
            <w:tcW w:w="792" w:type="dxa"/>
            <w:noWrap w:val="0"/>
            <w:vAlign w:val="center"/>
          </w:tcPr>
          <w:p w14:paraId="728970B4">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w:t>
            </w:r>
          </w:p>
        </w:tc>
        <w:tc>
          <w:tcPr>
            <w:tcW w:w="797" w:type="dxa"/>
            <w:noWrap w:val="0"/>
            <w:vAlign w:val="center"/>
          </w:tcPr>
          <w:p w14:paraId="59FC7519">
            <w:pPr>
              <w:pStyle w:val="224"/>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企业总排口</w:t>
            </w:r>
          </w:p>
        </w:tc>
      </w:tr>
    </w:tbl>
    <w:p w14:paraId="6ACAEBC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b/>
          <w:bCs/>
          <w:color w:val="auto"/>
          <w:sz w:val="24"/>
          <w:szCs w:val="24"/>
          <w:highlight w:val="none"/>
        </w:rPr>
      </w:pPr>
      <w:r>
        <w:rPr>
          <w:rFonts w:hint="eastAsia"/>
          <w:b/>
          <w:bCs/>
          <w:color w:val="auto"/>
          <w:sz w:val="24"/>
          <w:szCs w:val="24"/>
          <w:highlight w:val="none"/>
        </w:rPr>
        <w:t>2、废水排口基本信息表</w:t>
      </w:r>
    </w:p>
    <w:p w14:paraId="42160DAE">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zh-TW" w:eastAsia="zh-CN"/>
        </w:rPr>
      </w:pPr>
      <w:r>
        <w:rPr>
          <w:rFonts w:hint="default" w:ascii="Times New Roman" w:hAnsi="Times New Roman" w:eastAsia="宋体" w:cs="Times New Roman"/>
          <w:b/>
          <w:bCs/>
          <w:color w:val="auto"/>
          <w:sz w:val="21"/>
          <w:szCs w:val="21"/>
          <w:highlight w:val="none"/>
          <w:lang w:val="zh-TW" w:eastAsia="zh-CN"/>
        </w:rPr>
        <w:t>表</w:t>
      </w:r>
      <w:r>
        <w:rPr>
          <w:rFonts w:hint="default" w:ascii="Times New Roman" w:hAnsi="Times New Roman" w:eastAsia="宋体" w:cs="Times New Roman"/>
          <w:b/>
          <w:bCs/>
          <w:color w:val="auto"/>
          <w:sz w:val="21"/>
          <w:szCs w:val="21"/>
          <w:highlight w:val="none"/>
          <w:lang w:val="en-US" w:eastAsia="zh-CN"/>
        </w:rPr>
        <w:t>5.2</w:t>
      </w:r>
      <w:r>
        <w:rPr>
          <w:rFonts w:hint="default" w:ascii="Times New Roman" w:hAnsi="Times New Roman" w:eastAsia="宋体" w:cs="Times New Roman"/>
          <w:b/>
          <w:bCs/>
          <w:color w:val="auto"/>
          <w:sz w:val="21"/>
          <w:szCs w:val="21"/>
          <w:highlight w:val="none"/>
          <w:lang w:val="zh-TW" w:eastAsia="zh-CN"/>
        </w:rPr>
        <w:t>.2-</w:t>
      </w:r>
      <w:r>
        <w:rPr>
          <w:rFonts w:hint="default" w:ascii="Times New Roman" w:hAnsi="Times New Roman" w:eastAsia="宋体" w:cs="Times New Roman"/>
          <w:b/>
          <w:bCs/>
          <w:color w:val="auto"/>
          <w:sz w:val="21"/>
          <w:szCs w:val="21"/>
          <w:highlight w:val="none"/>
          <w:lang w:val="en-US" w:eastAsia="zh-CN"/>
        </w:rPr>
        <w:t>3</w:t>
      </w:r>
      <w:r>
        <w:rPr>
          <w:rFonts w:hint="eastAsia"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zh-TW" w:eastAsia="zh-CN"/>
        </w:rPr>
        <w:t>废水间接排口基本信息表</w:t>
      </w:r>
    </w:p>
    <w:tbl>
      <w:tblPr>
        <w:tblStyle w:val="49"/>
        <w:tblW w:w="51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431"/>
        <w:gridCol w:w="763"/>
        <w:gridCol w:w="1088"/>
        <w:gridCol w:w="996"/>
        <w:gridCol w:w="628"/>
        <w:gridCol w:w="579"/>
        <w:gridCol w:w="791"/>
        <w:gridCol w:w="461"/>
        <w:gridCol w:w="494"/>
        <w:gridCol w:w="750"/>
        <w:gridCol w:w="614"/>
        <w:gridCol w:w="599"/>
        <w:gridCol w:w="406"/>
      </w:tblGrid>
      <w:tr w14:paraId="44B49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250" w:type="pct"/>
            <w:vMerge w:val="restart"/>
            <w:noWrap w:val="0"/>
            <w:vAlign w:val="center"/>
          </w:tcPr>
          <w:p w14:paraId="6CAE6177">
            <w:pPr>
              <w:pStyle w:val="224"/>
              <w:rPr>
                <w:rFonts w:eastAsia="宋体"/>
                <w:b/>
                <w:bCs w:val="0"/>
                <w:color w:val="auto"/>
                <w:sz w:val="21"/>
                <w:szCs w:val="21"/>
                <w:highlight w:val="none"/>
              </w:rPr>
            </w:pPr>
            <w:r>
              <w:rPr>
                <w:rFonts w:eastAsia="宋体"/>
                <w:b/>
                <w:bCs w:val="0"/>
                <w:color w:val="auto"/>
                <w:sz w:val="21"/>
                <w:szCs w:val="21"/>
                <w:highlight w:val="none"/>
              </w:rPr>
              <w:t>序号</w:t>
            </w:r>
          </w:p>
        </w:tc>
        <w:tc>
          <w:tcPr>
            <w:tcW w:w="443" w:type="pct"/>
            <w:vMerge w:val="restart"/>
            <w:noWrap w:val="0"/>
            <w:vAlign w:val="center"/>
          </w:tcPr>
          <w:p w14:paraId="056A6569">
            <w:pPr>
              <w:pStyle w:val="224"/>
              <w:rPr>
                <w:rFonts w:eastAsia="宋体"/>
                <w:b/>
                <w:bCs w:val="0"/>
                <w:color w:val="auto"/>
                <w:sz w:val="21"/>
                <w:szCs w:val="21"/>
                <w:highlight w:val="none"/>
              </w:rPr>
            </w:pPr>
            <w:r>
              <w:rPr>
                <w:rFonts w:eastAsia="宋体"/>
                <w:b/>
                <w:bCs w:val="0"/>
                <w:color w:val="auto"/>
                <w:sz w:val="21"/>
                <w:szCs w:val="21"/>
                <w:highlight w:val="none"/>
              </w:rPr>
              <w:t>排放口编号</w:t>
            </w:r>
          </w:p>
        </w:tc>
        <w:tc>
          <w:tcPr>
            <w:tcW w:w="1211" w:type="pct"/>
            <w:gridSpan w:val="2"/>
            <w:noWrap w:val="0"/>
            <w:vAlign w:val="center"/>
          </w:tcPr>
          <w:p w14:paraId="5D107D9D">
            <w:pPr>
              <w:pStyle w:val="224"/>
              <w:rPr>
                <w:rFonts w:eastAsia="宋体"/>
                <w:b/>
                <w:bCs w:val="0"/>
                <w:color w:val="auto"/>
                <w:sz w:val="21"/>
                <w:szCs w:val="21"/>
                <w:highlight w:val="none"/>
              </w:rPr>
            </w:pPr>
            <w:r>
              <w:rPr>
                <w:rFonts w:eastAsia="宋体"/>
                <w:b/>
                <w:bCs w:val="0"/>
                <w:color w:val="auto"/>
                <w:sz w:val="21"/>
                <w:szCs w:val="21"/>
                <w:highlight w:val="none"/>
              </w:rPr>
              <w:t>排放口地理坐标a</w:t>
            </w:r>
          </w:p>
        </w:tc>
        <w:tc>
          <w:tcPr>
            <w:tcW w:w="365" w:type="pct"/>
            <w:vMerge w:val="restart"/>
            <w:noWrap w:val="0"/>
            <w:vAlign w:val="center"/>
          </w:tcPr>
          <w:p w14:paraId="0B8B5FD8">
            <w:pPr>
              <w:pStyle w:val="224"/>
              <w:rPr>
                <w:rFonts w:eastAsia="宋体"/>
                <w:b/>
                <w:bCs w:val="0"/>
                <w:color w:val="auto"/>
                <w:sz w:val="21"/>
                <w:szCs w:val="21"/>
                <w:highlight w:val="none"/>
              </w:rPr>
            </w:pPr>
            <w:r>
              <w:rPr>
                <w:rFonts w:eastAsia="宋体"/>
                <w:b/>
                <w:bCs w:val="0"/>
                <w:color w:val="auto"/>
                <w:sz w:val="21"/>
                <w:szCs w:val="21"/>
                <w:highlight w:val="none"/>
              </w:rPr>
              <w:t>废水排放量（万t/a）</w:t>
            </w:r>
          </w:p>
        </w:tc>
        <w:tc>
          <w:tcPr>
            <w:tcW w:w="336" w:type="pct"/>
            <w:vMerge w:val="restart"/>
            <w:noWrap w:val="0"/>
            <w:vAlign w:val="center"/>
          </w:tcPr>
          <w:p w14:paraId="0619A4B5">
            <w:pPr>
              <w:pStyle w:val="224"/>
              <w:rPr>
                <w:rFonts w:eastAsia="宋体"/>
                <w:b/>
                <w:bCs w:val="0"/>
                <w:color w:val="auto"/>
                <w:sz w:val="21"/>
                <w:szCs w:val="21"/>
                <w:highlight w:val="none"/>
              </w:rPr>
            </w:pPr>
            <w:r>
              <w:rPr>
                <w:rFonts w:eastAsia="宋体"/>
                <w:b/>
                <w:bCs w:val="0"/>
                <w:color w:val="auto"/>
                <w:sz w:val="21"/>
                <w:szCs w:val="21"/>
                <w:highlight w:val="none"/>
              </w:rPr>
              <w:t>排放去向</w:t>
            </w:r>
          </w:p>
        </w:tc>
        <w:tc>
          <w:tcPr>
            <w:tcW w:w="459" w:type="pct"/>
            <w:vMerge w:val="restart"/>
            <w:noWrap w:val="0"/>
            <w:vAlign w:val="center"/>
          </w:tcPr>
          <w:p w14:paraId="1FB0573B">
            <w:pPr>
              <w:pStyle w:val="224"/>
              <w:rPr>
                <w:rFonts w:eastAsia="宋体"/>
                <w:b/>
                <w:bCs w:val="0"/>
                <w:color w:val="auto"/>
                <w:sz w:val="21"/>
                <w:szCs w:val="21"/>
                <w:highlight w:val="none"/>
              </w:rPr>
            </w:pPr>
            <w:r>
              <w:rPr>
                <w:rFonts w:eastAsia="宋体"/>
                <w:b/>
                <w:bCs w:val="0"/>
                <w:color w:val="auto"/>
                <w:sz w:val="21"/>
                <w:szCs w:val="21"/>
                <w:highlight w:val="none"/>
              </w:rPr>
              <w:t>排放规律</w:t>
            </w:r>
          </w:p>
        </w:tc>
        <w:tc>
          <w:tcPr>
            <w:tcW w:w="268" w:type="pct"/>
            <w:vMerge w:val="restart"/>
            <w:noWrap w:val="0"/>
            <w:vAlign w:val="center"/>
          </w:tcPr>
          <w:p w14:paraId="5C34FF44">
            <w:pPr>
              <w:pStyle w:val="224"/>
              <w:rPr>
                <w:rFonts w:eastAsia="宋体"/>
                <w:b/>
                <w:bCs w:val="0"/>
                <w:color w:val="auto"/>
                <w:sz w:val="21"/>
                <w:szCs w:val="21"/>
                <w:highlight w:val="none"/>
              </w:rPr>
            </w:pPr>
            <w:r>
              <w:rPr>
                <w:rFonts w:eastAsia="宋体"/>
                <w:b/>
                <w:bCs w:val="0"/>
                <w:color w:val="auto"/>
                <w:sz w:val="21"/>
                <w:szCs w:val="21"/>
                <w:highlight w:val="none"/>
              </w:rPr>
              <w:t>间歇排放时段</w:t>
            </w:r>
          </w:p>
        </w:tc>
        <w:tc>
          <w:tcPr>
            <w:tcW w:w="723" w:type="pct"/>
            <w:gridSpan w:val="2"/>
            <w:noWrap w:val="0"/>
            <w:vAlign w:val="center"/>
          </w:tcPr>
          <w:p w14:paraId="40E6EA1F">
            <w:pPr>
              <w:pStyle w:val="224"/>
              <w:rPr>
                <w:rFonts w:eastAsia="宋体"/>
                <w:b/>
                <w:bCs w:val="0"/>
                <w:color w:val="auto"/>
                <w:sz w:val="21"/>
                <w:szCs w:val="21"/>
                <w:highlight w:val="none"/>
              </w:rPr>
            </w:pPr>
            <w:r>
              <w:rPr>
                <w:rFonts w:eastAsia="宋体"/>
                <w:b/>
                <w:bCs w:val="0"/>
                <w:color w:val="auto"/>
                <w:sz w:val="21"/>
                <w:szCs w:val="21"/>
                <w:highlight w:val="none"/>
              </w:rPr>
              <w:t>受纳自然水体信息</w:t>
            </w:r>
          </w:p>
        </w:tc>
        <w:tc>
          <w:tcPr>
            <w:tcW w:w="705" w:type="pct"/>
            <w:gridSpan w:val="2"/>
            <w:noWrap w:val="0"/>
            <w:vAlign w:val="center"/>
          </w:tcPr>
          <w:p w14:paraId="6D0CC9D5">
            <w:pPr>
              <w:pStyle w:val="224"/>
              <w:rPr>
                <w:rFonts w:eastAsia="宋体"/>
                <w:b/>
                <w:bCs w:val="0"/>
                <w:color w:val="auto"/>
                <w:sz w:val="21"/>
                <w:szCs w:val="21"/>
                <w:highlight w:val="none"/>
              </w:rPr>
            </w:pPr>
            <w:r>
              <w:rPr>
                <w:rFonts w:eastAsia="宋体"/>
                <w:b/>
                <w:bCs w:val="0"/>
                <w:color w:val="auto"/>
                <w:sz w:val="21"/>
                <w:szCs w:val="21"/>
                <w:highlight w:val="none"/>
              </w:rPr>
              <w:t>汇入受纳自然水体处地理坐标d</w:t>
            </w:r>
          </w:p>
        </w:tc>
        <w:tc>
          <w:tcPr>
            <w:tcW w:w="236" w:type="pct"/>
            <w:vMerge w:val="restart"/>
            <w:noWrap w:val="0"/>
            <w:vAlign w:val="center"/>
          </w:tcPr>
          <w:p w14:paraId="3495B9D8">
            <w:pPr>
              <w:pStyle w:val="224"/>
              <w:rPr>
                <w:rFonts w:eastAsia="宋体"/>
                <w:b/>
                <w:bCs w:val="0"/>
                <w:color w:val="auto"/>
                <w:sz w:val="21"/>
                <w:szCs w:val="21"/>
                <w:highlight w:val="none"/>
              </w:rPr>
            </w:pPr>
            <w:r>
              <w:rPr>
                <w:rFonts w:eastAsia="宋体"/>
                <w:b/>
                <w:bCs w:val="0"/>
                <w:color w:val="auto"/>
                <w:sz w:val="21"/>
                <w:szCs w:val="21"/>
                <w:highlight w:val="none"/>
              </w:rPr>
              <w:t>备注e</w:t>
            </w:r>
          </w:p>
        </w:tc>
      </w:tr>
      <w:tr w14:paraId="40BD6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250" w:type="pct"/>
            <w:vMerge w:val="continue"/>
            <w:noWrap w:val="0"/>
            <w:vAlign w:val="center"/>
          </w:tcPr>
          <w:p w14:paraId="481673A8">
            <w:pPr>
              <w:pStyle w:val="224"/>
              <w:rPr>
                <w:rFonts w:eastAsia="宋体"/>
                <w:b/>
                <w:bCs w:val="0"/>
                <w:color w:val="auto"/>
                <w:sz w:val="21"/>
                <w:szCs w:val="21"/>
                <w:highlight w:val="none"/>
              </w:rPr>
            </w:pPr>
          </w:p>
        </w:tc>
        <w:tc>
          <w:tcPr>
            <w:tcW w:w="443" w:type="pct"/>
            <w:vMerge w:val="continue"/>
            <w:noWrap w:val="0"/>
            <w:vAlign w:val="center"/>
          </w:tcPr>
          <w:p w14:paraId="2AFAAE9D">
            <w:pPr>
              <w:pStyle w:val="224"/>
              <w:rPr>
                <w:rFonts w:eastAsia="宋体"/>
                <w:b/>
                <w:bCs w:val="0"/>
                <w:color w:val="auto"/>
                <w:sz w:val="21"/>
                <w:szCs w:val="21"/>
                <w:highlight w:val="none"/>
              </w:rPr>
            </w:pPr>
          </w:p>
        </w:tc>
        <w:tc>
          <w:tcPr>
            <w:tcW w:w="632" w:type="pct"/>
            <w:noWrap w:val="0"/>
            <w:vAlign w:val="center"/>
          </w:tcPr>
          <w:p w14:paraId="08E8B4DE">
            <w:pPr>
              <w:pStyle w:val="224"/>
              <w:rPr>
                <w:rFonts w:eastAsia="宋体"/>
                <w:b/>
                <w:bCs w:val="0"/>
                <w:color w:val="auto"/>
                <w:sz w:val="21"/>
                <w:szCs w:val="21"/>
                <w:highlight w:val="none"/>
              </w:rPr>
            </w:pPr>
            <w:r>
              <w:rPr>
                <w:rFonts w:eastAsia="宋体"/>
                <w:b/>
                <w:bCs w:val="0"/>
                <w:color w:val="auto"/>
                <w:sz w:val="21"/>
                <w:szCs w:val="21"/>
                <w:highlight w:val="none"/>
              </w:rPr>
              <w:t>经度</w:t>
            </w:r>
          </w:p>
        </w:tc>
        <w:tc>
          <w:tcPr>
            <w:tcW w:w="579" w:type="pct"/>
            <w:noWrap w:val="0"/>
            <w:vAlign w:val="center"/>
          </w:tcPr>
          <w:p w14:paraId="103F61F5">
            <w:pPr>
              <w:pStyle w:val="224"/>
              <w:rPr>
                <w:rFonts w:eastAsia="宋体"/>
                <w:b/>
                <w:bCs w:val="0"/>
                <w:color w:val="auto"/>
                <w:sz w:val="21"/>
                <w:szCs w:val="21"/>
                <w:highlight w:val="none"/>
              </w:rPr>
            </w:pPr>
            <w:r>
              <w:rPr>
                <w:rFonts w:eastAsia="宋体"/>
                <w:b/>
                <w:bCs w:val="0"/>
                <w:color w:val="auto"/>
                <w:sz w:val="21"/>
                <w:szCs w:val="21"/>
                <w:highlight w:val="none"/>
              </w:rPr>
              <w:t>纬度</w:t>
            </w:r>
          </w:p>
        </w:tc>
        <w:tc>
          <w:tcPr>
            <w:tcW w:w="365" w:type="pct"/>
            <w:vMerge w:val="continue"/>
            <w:noWrap w:val="0"/>
            <w:vAlign w:val="center"/>
          </w:tcPr>
          <w:p w14:paraId="278C1789">
            <w:pPr>
              <w:pStyle w:val="224"/>
              <w:rPr>
                <w:rFonts w:eastAsia="宋体"/>
                <w:b/>
                <w:bCs w:val="0"/>
                <w:color w:val="auto"/>
                <w:sz w:val="21"/>
                <w:szCs w:val="21"/>
                <w:highlight w:val="none"/>
              </w:rPr>
            </w:pPr>
          </w:p>
        </w:tc>
        <w:tc>
          <w:tcPr>
            <w:tcW w:w="336" w:type="pct"/>
            <w:vMerge w:val="continue"/>
            <w:noWrap w:val="0"/>
            <w:vAlign w:val="center"/>
          </w:tcPr>
          <w:p w14:paraId="4F7B17DA">
            <w:pPr>
              <w:pStyle w:val="224"/>
              <w:rPr>
                <w:rFonts w:eastAsia="宋体"/>
                <w:b/>
                <w:bCs w:val="0"/>
                <w:color w:val="auto"/>
                <w:sz w:val="21"/>
                <w:szCs w:val="21"/>
                <w:highlight w:val="none"/>
              </w:rPr>
            </w:pPr>
          </w:p>
        </w:tc>
        <w:tc>
          <w:tcPr>
            <w:tcW w:w="459" w:type="pct"/>
            <w:vMerge w:val="continue"/>
            <w:noWrap w:val="0"/>
            <w:vAlign w:val="center"/>
          </w:tcPr>
          <w:p w14:paraId="23991297">
            <w:pPr>
              <w:pStyle w:val="224"/>
              <w:rPr>
                <w:rFonts w:eastAsia="宋体"/>
                <w:b/>
                <w:bCs w:val="0"/>
                <w:color w:val="auto"/>
                <w:sz w:val="21"/>
                <w:szCs w:val="21"/>
                <w:highlight w:val="none"/>
              </w:rPr>
            </w:pPr>
          </w:p>
        </w:tc>
        <w:tc>
          <w:tcPr>
            <w:tcW w:w="268" w:type="pct"/>
            <w:vMerge w:val="continue"/>
            <w:noWrap w:val="0"/>
            <w:vAlign w:val="center"/>
          </w:tcPr>
          <w:p w14:paraId="034B489D">
            <w:pPr>
              <w:pStyle w:val="224"/>
              <w:rPr>
                <w:rFonts w:eastAsia="宋体"/>
                <w:b/>
                <w:bCs w:val="0"/>
                <w:color w:val="auto"/>
                <w:sz w:val="21"/>
                <w:szCs w:val="21"/>
                <w:highlight w:val="none"/>
              </w:rPr>
            </w:pPr>
          </w:p>
        </w:tc>
        <w:tc>
          <w:tcPr>
            <w:tcW w:w="287" w:type="pct"/>
            <w:noWrap w:val="0"/>
            <w:vAlign w:val="center"/>
          </w:tcPr>
          <w:p w14:paraId="0FD24BF0">
            <w:pPr>
              <w:pStyle w:val="224"/>
              <w:rPr>
                <w:rFonts w:eastAsia="宋体"/>
                <w:b/>
                <w:bCs w:val="0"/>
                <w:color w:val="auto"/>
                <w:sz w:val="21"/>
                <w:szCs w:val="21"/>
                <w:highlight w:val="none"/>
              </w:rPr>
            </w:pPr>
            <w:r>
              <w:rPr>
                <w:rFonts w:eastAsia="宋体"/>
                <w:b/>
                <w:bCs w:val="0"/>
                <w:color w:val="auto"/>
                <w:sz w:val="21"/>
                <w:szCs w:val="21"/>
                <w:highlight w:val="none"/>
              </w:rPr>
              <w:t>名称b</w:t>
            </w:r>
          </w:p>
        </w:tc>
        <w:tc>
          <w:tcPr>
            <w:tcW w:w="436" w:type="pct"/>
            <w:noWrap w:val="0"/>
            <w:vAlign w:val="center"/>
          </w:tcPr>
          <w:p w14:paraId="32234821">
            <w:pPr>
              <w:pStyle w:val="224"/>
              <w:rPr>
                <w:rFonts w:eastAsia="宋体"/>
                <w:b/>
                <w:bCs w:val="0"/>
                <w:color w:val="auto"/>
                <w:sz w:val="21"/>
                <w:szCs w:val="21"/>
                <w:highlight w:val="none"/>
              </w:rPr>
            </w:pPr>
            <w:r>
              <w:rPr>
                <w:rFonts w:eastAsia="宋体"/>
                <w:b/>
                <w:bCs w:val="0"/>
                <w:color w:val="auto"/>
                <w:sz w:val="21"/>
                <w:szCs w:val="21"/>
                <w:highlight w:val="none"/>
              </w:rPr>
              <w:t>受纳水体功能目标c</w:t>
            </w:r>
          </w:p>
        </w:tc>
        <w:tc>
          <w:tcPr>
            <w:tcW w:w="356" w:type="pct"/>
            <w:noWrap w:val="0"/>
            <w:vAlign w:val="center"/>
          </w:tcPr>
          <w:p w14:paraId="3BF69FE0">
            <w:pPr>
              <w:pStyle w:val="224"/>
              <w:rPr>
                <w:rFonts w:eastAsia="宋体"/>
                <w:b/>
                <w:bCs w:val="0"/>
                <w:color w:val="auto"/>
                <w:sz w:val="21"/>
                <w:szCs w:val="21"/>
                <w:highlight w:val="none"/>
              </w:rPr>
            </w:pPr>
            <w:r>
              <w:rPr>
                <w:rFonts w:eastAsia="宋体"/>
                <w:b/>
                <w:bCs w:val="0"/>
                <w:color w:val="auto"/>
                <w:sz w:val="21"/>
                <w:szCs w:val="21"/>
                <w:highlight w:val="none"/>
              </w:rPr>
              <w:t>经度</w:t>
            </w:r>
          </w:p>
        </w:tc>
        <w:tc>
          <w:tcPr>
            <w:tcW w:w="348" w:type="pct"/>
            <w:noWrap w:val="0"/>
            <w:vAlign w:val="center"/>
          </w:tcPr>
          <w:p w14:paraId="7F924269">
            <w:pPr>
              <w:pStyle w:val="224"/>
              <w:rPr>
                <w:rFonts w:eastAsia="宋体"/>
                <w:b/>
                <w:bCs w:val="0"/>
                <w:color w:val="auto"/>
                <w:sz w:val="21"/>
                <w:szCs w:val="21"/>
                <w:highlight w:val="none"/>
              </w:rPr>
            </w:pPr>
            <w:r>
              <w:rPr>
                <w:rFonts w:eastAsia="宋体"/>
                <w:b/>
                <w:bCs w:val="0"/>
                <w:color w:val="auto"/>
                <w:sz w:val="21"/>
                <w:szCs w:val="21"/>
                <w:highlight w:val="none"/>
              </w:rPr>
              <w:t>纬度</w:t>
            </w:r>
          </w:p>
        </w:tc>
        <w:tc>
          <w:tcPr>
            <w:tcW w:w="236" w:type="pct"/>
            <w:vMerge w:val="continue"/>
            <w:noWrap w:val="0"/>
            <w:vAlign w:val="center"/>
          </w:tcPr>
          <w:p w14:paraId="65960706">
            <w:pPr>
              <w:pStyle w:val="224"/>
              <w:rPr>
                <w:rFonts w:eastAsia="宋体"/>
                <w:color w:val="auto"/>
                <w:sz w:val="21"/>
                <w:szCs w:val="21"/>
                <w:highlight w:val="none"/>
              </w:rPr>
            </w:pPr>
          </w:p>
        </w:tc>
      </w:tr>
      <w:tr w14:paraId="6F924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250" w:type="pct"/>
            <w:noWrap w:val="0"/>
            <w:vAlign w:val="center"/>
          </w:tcPr>
          <w:p w14:paraId="0F740EFA">
            <w:pPr>
              <w:pStyle w:val="224"/>
              <w:rPr>
                <w:rFonts w:eastAsia="宋体"/>
                <w:color w:val="auto"/>
                <w:sz w:val="21"/>
                <w:szCs w:val="21"/>
                <w:highlight w:val="none"/>
              </w:rPr>
            </w:pPr>
            <w:r>
              <w:rPr>
                <w:rFonts w:eastAsia="宋体"/>
                <w:color w:val="auto"/>
                <w:sz w:val="21"/>
                <w:szCs w:val="21"/>
                <w:highlight w:val="none"/>
              </w:rPr>
              <w:t>1</w:t>
            </w:r>
          </w:p>
        </w:tc>
        <w:tc>
          <w:tcPr>
            <w:tcW w:w="443" w:type="pct"/>
            <w:noWrap w:val="0"/>
            <w:vAlign w:val="center"/>
          </w:tcPr>
          <w:p w14:paraId="0D5B9370">
            <w:pPr>
              <w:pStyle w:val="224"/>
              <w:rPr>
                <w:rFonts w:eastAsia="宋体"/>
                <w:color w:val="auto"/>
                <w:sz w:val="21"/>
                <w:szCs w:val="21"/>
                <w:highlight w:val="none"/>
              </w:rPr>
            </w:pPr>
            <w:r>
              <w:rPr>
                <w:rFonts w:eastAsia="宋体"/>
                <w:color w:val="auto"/>
                <w:sz w:val="21"/>
                <w:szCs w:val="21"/>
                <w:highlight w:val="none"/>
              </w:rPr>
              <w:t>DW001</w:t>
            </w:r>
          </w:p>
        </w:tc>
        <w:tc>
          <w:tcPr>
            <w:tcW w:w="632" w:type="pct"/>
            <w:noWrap w:val="0"/>
            <w:vAlign w:val="center"/>
          </w:tcPr>
          <w:p w14:paraId="6BFD7FC6">
            <w:pPr>
              <w:pStyle w:val="224"/>
              <w:rPr>
                <w:rFonts w:hint="default" w:eastAsia="宋体"/>
                <w:color w:val="auto"/>
                <w:sz w:val="21"/>
                <w:szCs w:val="21"/>
                <w:highlight w:val="none"/>
                <w:lang w:val="en-US" w:eastAsia="zh-CN"/>
              </w:rPr>
            </w:pPr>
            <w:r>
              <w:rPr>
                <w:rFonts w:eastAsia="宋体"/>
                <w:color w:val="auto"/>
                <w:sz w:val="21"/>
                <w:szCs w:val="21"/>
                <w:highlight w:val="none"/>
              </w:rPr>
              <w:t>11</w:t>
            </w:r>
            <w:r>
              <w:rPr>
                <w:rFonts w:hint="eastAsia" w:eastAsia="宋体"/>
                <w:color w:val="auto"/>
                <w:sz w:val="21"/>
                <w:szCs w:val="21"/>
                <w:highlight w:val="none"/>
                <w:lang w:val="en-US" w:eastAsia="zh-CN"/>
              </w:rPr>
              <w:t>7.001026</w:t>
            </w:r>
          </w:p>
        </w:tc>
        <w:tc>
          <w:tcPr>
            <w:tcW w:w="579" w:type="pct"/>
            <w:noWrap w:val="0"/>
            <w:vAlign w:val="center"/>
          </w:tcPr>
          <w:p w14:paraId="5A39C251">
            <w:pPr>
              <w:pStyle w:val="224"/>
              <w:rPr>
                <w:rFonts w:hint="default" w:eastAsia="宋体"/>
                <w:color w:val="auto"/>
                <w:sz w:val="21"/>
                <w:szCs w:val="21"/>
                <w:highlight w:val="none"/>
                <w:lang w:val="en-US" w:eastAsia="zh-CN"/>
              </w:rPr>
            </w:pPr>
            <w:r>
              <w:rPr>
                <w:rFonts w:eastAsia="宋体"/>
                <w:color w:val="auto"/>
                <w:sz w:val="21"/>
                <w:szCs w:val="21"/>
                <w:highlight w:val="none"/>
              </w:rPr>
              <w:t>32.</w:t>
            </w:r>
            <w:r>
              <w:rPr>
                <w:rFonts w:hint="eastAsia" w:eastAsia="宋体"/>
                <w:color w:val="auto"/>
                <w:sz w:val="21"/>
                <w:szCs w:val="21"/>
                <w:highlight w:val="none"/>
                <w:lang w:val="en-US" w:eastAsia="zh-CN"/>
              </w:rPr>
              <w:t>525002</w:t>
            </w:r>
          </w:p>
        </w:tc>
        <w:tc>
          <w:tcPr>
            <w:tcW w:w="365" w:type="pct"/>
            <w:noWrap w:val="0"/>
            <w:vAlign w:val="center"/>
          </w:tcPr>
          <w:p w14:paraId="4000C212">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0.4301</w:t>
            </w:r>
          </w:p>
        </w:tc>
        <w:tc>
          <w:tcPr>
            <w:tcW w:w="336" w:type="pct"/>
            <w:noWrap w:val="0"/>
            <w:vAlign w:val="center"/>
          </w:tcPr>
          <w:p w14:paraId="15683F47">
            <w:pPr>
              <w:pStyle w:val="224"/>
              <w:rPr>
                <w:rFonts w:eastAsia="宋体"/>
                <w:color w:val="auto"/>
                <w:sz w:val="21"/>
                <w:szCs w:val="21"/>
                <w:highlight w:val="none"/>
              </w:rPr>
            </w:pPr>
            <w:r>
              <w:rPr>
                <w:rFonts w:hint="eastAsia" w:ascii="Times New Roman" w:hAnsi="Times New Roman" w:eastAsia="宋体" w:cs="Times New Roman"/>
                <w:i w:val="0"/>
                <w:iCs w:val="0"/>
                <w:color w:val="auto"/>
                <w:kern w:val="0"/>
                <w:sz w:val="21"/>
                <w:szCs w:val="21"/>
                <w:highlight w:val="none"/>
                <w:u w:val="none"/>
                <w:lang w:val="en-US" w:eastAsia="zh-CN" w:bidi="ar"/>
              </w:rPr>
              <w:t>田家庵经济开发区污水处理站</w:t>
            </w:r>
          </w:p>
        </w:tc>
        <w:tc>
          <w:tcPr>
            <w:tcW w:w="459" w:type="pct"/>
            <w:noWrap w:val="0"/>
            <w:vAlign w:val="center"/>
          </w:tcPr>
          <w:p w14:paraId="2AF71305">
            <w:pPr>
              <w:pStyle w:val="224"/>
              <w:rPr>
                <w:rFonts w:eastAsia="宋体"/>
                <w:color w:val="auto"/>
                <w:sz w:val="21"/>
                <w:szCs w:val="21"/>
                <w:highlight w:val="none"/>
              </w:rPr>
            </w:pPr>
            <w:r>
              <w:rPr>
                <w:rFonts w:eastAsia="宋体"/>
                <w:color w:val="auto"/>
                <w:sz w:val="21"/>
                <w:szCs w:val="21"/>
                <w:highlight w:val="none"/>
              </w:rPr>
              <w:t>间断排放，排</w:t>
            </w:r>
          </w:p>
          <w:p w14:paraId="43616FF9">
            <w:pPr>
              <w:pStyle w:val="224"/>
              <w:rPr>
                <w:rFonts w:eastAsia="宋体"/>
                <w:color w:val="auto"/>
                <w:sz w:val="21"/>
                <w:szCs w:val="21"/>
                <w:highlight w:val="none"/>
              </w:rPr>
            </w:pPr>
            <w:r>
              <w:rPr>
                <w:rFonts w:eastAsia="宋体"/>
                <w:color w:val="auto"/>
                <w:sz w:val="21"/>
                <w:szCs w:val="21"/>
                <w:highlight w:val="none"/>
              </w:rPr>
              <w:t>放期间流量不</w:t>
            </w:r>
          </w:p>
          <w:p w14:paraId="499D6665">
            <w:pPr>
              <w:pStyle w:val="224"/>
              <w:rPr>
                <w:rFonts w:eastAsia="宋体"/>
                <w:color w:val="auto"/>
                <w:sz w:val="21"/>
                <w:szCs w:val="21"/>
                <w:highlight w:val="none"/>
              </w:rPr>
            </w:pPr>
            <w:r>
              <w:rPr>
                <w:rFonts w:eastAsia="宋体"/>
                <w:color w:val="auto"/>
                <w:sz w:val="21"/>
                <w:szCs w:val="21"/>
                <w:highlight w:val="none"/>
              </w:rPr>
              <w:t>稳定但有周期性规律</w:t>
            </w:r>
          </w:p>
        </w:tc>
        <w:tc>
          <w:tcPr>
            <w:tcW w:w="268" w:type="pct"/>
            <w:noWrap w:val="0"/>
            <w:vAlign w:val="center"/>
          </w:tcPr>
          <w:p w14:paraId="173A5AEB">
            <w:pPr>
              <w:pStyle w:val="224"/>
              <w:rPr>
                <w:rFonts w:eastAsia="宋体"/>
                <w:color w:val="auto"/>
                <w:sz w:val="21"/>
                <w:szCs w:val="21"/>
                <w:highlight w:val="none"/>
              </w:rPr>
            </w:pPr>
            <w:r>
              <w:rPr>
                <w:rFonts w:eastAsia="宋体"/>
                <w:color w:val="auto"/>
                <w:sz w:val="21"/>
                <w:szCs w:val="21"/>
                <w:highlight w:val="none"/>
              </w:rPr>
              <w:t>/</w:t>
            </w:r>
          </w:p>
        </w:tc>
        <w:tc>
          <w:tcPr>
            <w:tcW w:w="287" w:type="pct"/>
            <w:noWrap w:val="0"/>
            <w:vAlign w:val="center"/>
          </w:tcPr>
          <w:p w14:paraId="77AEA599">
            <w:pPr>
              <w:pStyle w:val="224"/>
              <w:rPr>
                <w:rFonts w:hint="eastAsia" w:eastAsia="宋体"/>
                <w:color w:val="auto"/>
                <w:sz w:val="21"/>
                <w:szCs w:val="21"/>
                <w:highlight w:val="none"/>
                <w:lang w:eastAsia="zh-CN"/>
              </w:rPr>
            </w:pPr>
            <w:r>
              <w:rPr>
                <w:rFonts w:hint="eastAsia" w:eastAsia="宋体"/>
                <w:color w:val="auto"/>
                <w:sz w:val="21"/>
                <w:szCs w:val="21"/>
                <w:highlight w:val="none"/>
                <w:lang w:val="en-US" w:eastAsia="zh-CN"/>
              </w:rPr>
              <w:t>瓦埠湖</w:t>
            </w:r>
          </w:p>
        </w:tc>
        <w:tc>
          <w:tcPr>
            <w:tcW w:w="436" w:type="pct"/>
            <w:noWrap w:val="0"/>
            <w:vAlign w:val="center"/>
          </w:tcPr>
          <w:p w14:paraId="513221B5">
            <w:pPr>
              <w:pStyle w:val="224"/>
              <w:rPr>
                <w:rFonts w:eastAsia="宋体"/>
                <w:color w:val="auto"/>
                <w:sz w:val="21"/>
                <w:szCs w:val="21"/>
                <w:highlight w:val="none"/>
              </w:rPr>
            </w:pPr>
            <w:r>
              <w:rPr>
                <w:rFonts w:eastAsia="宋体"/>
                <w:color w:val="auto"/>
                <w:sz w:val="21"/>
                <w:szCs w:val="21"/>
                <w:highlight w:val="none"/>
              </w:rPr>
              <w:t>III类</w:t>
            </w:r>
          </w:p>
        </w:tc>
        <w:tc>
          <w:tcPr>
            <w:tcW w:w="356" w:type="pct"/>
            <w:noWrap w:val="0"/>
            <w:vAlign w:val="center"/>
          </w:tcPr>
          <w:p w14:paraId="56447DC6">
            <w:pPr>
              <w:pStyle w:val="224"/>
              <w:rPr>
                <w:rFonts w:eastAsia="宋体"/>
                <w:color w:val="auto"/>
                <w:sz w:val="21"/>
                <w:szCs w:val="21"/>
                <w:highlight w:val="none"/>
              </w:rPr>
            </w:pPr>
            <w:r>
              <w:rPr>
                <w:rFonts w:eastAsia="宋体"/>
                <w:color w:val="auto"/>
                <w:sz w:val="21"/>
                <w:szCs w:val="21"/>
                <w:highlight w:val="none"/>
              </w:rPr>
              <w:t>/</w:t>
            </w:r>
          </w:p>
        </w:tc>
        <w:tc>
          <w:tcPr>
            <w:tcW w:w="348" w:type="pct"/>
            <w:noWrap w:val="0"/>
            <w:vAlign w:val="center"/>
          </w:tcPr>
          <w:p w14:paraId="51B75D82">
            <w:pPr>
              <w:pStyle w:val="224"/>
              <w:rPr>
                <w:rFonts w:eastAsia="宋体"/>
                <w:color w:val="auto"/>
                <w:sz w:val="21"/>
                <w:szCs w:val="21"/>
                <w:highlight w:val="none"/>
              </w:rPr>
            </w:pPr>
            <w:r>
              <w:rPr>
                <w:rFonts w:eastAsia="宋体"/>
                <w:color w:val="auto"/>
                <w:sz w:val="21"/>
                <w:szCs w:val="21"/>
                <w:highlight w:val="none"/>
              </w:rPr>
              <w:t>/</w:t>
            </w:r>
          </w:p>
        </w:tc>
        <w:tc>
          <w:tcPr>
            <w:tcW w:w="236" w:type="pct"/>
            <w:noWrap w:val="0"/>
            <w:vAlign w:val="center"/>
          </w:tcPr>
          <w:p w14:paraId="33B3599C">
            <w:pPr>
              <w:pStyle w:val="224"/>
              <w:rPr>
                <w:rFonts w:eastAsia="宋体"/>
                <w:color w:val="auto"/>
                <w:sz w:val="21"/>
                <w:szCs w:val="21"/>
                <w:highlight w:val="none"/>
              </w:rPr>
            </w:pPr>
          </w:p>
        </w:tc>
      </w:tr>
      <w:tr w14:paraId="39123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000" w:type="pct"/>
            <w:gridSpan w:val="13"/>
            <w:noWrap w:val="0"/>
            <w:vAlign w:val="center"/>
          </w:tcPr>
          <w:p w14:paraId="715B0EB0">
            <w:pPr>
              <w:pStyle w:val="224"/>
              <w:jc w:val="left"/>
              <w:rPr>
                <w:rFonts w:eastAsia="宋体"/>
                <w:color w:val="auto"/>
                <w:sz w:val="21"/>
                <w:szCs w:val="21"/>
                <w:highlight w:val="none"/>
              </w:rPr>
            </w:pPr>
            <w:r>
              <w:rPr>
                <w:rFonts w:eastAsia="宋体"/>
                <w:color w:val="auto"/>
                <w:sz w:val="21"/>
                <w:szCs w:val="21"/>
                <w:highlight w:val="none"/>
              </w:rPr>
              <w:t>a对于直接排放至地表水体的排放口，指废水排出厂界处经纬度坐标；纳入管控的车间或车间处理设施排放口，指废水排出车间或车间处理设施边界处经纬度坐标。</w:t>
            </w:r>
          </w:p>
          <w:p w14:paraId="7F1E9CED">
            <w:pPr>
              <w:pStyle w:val="224"/>
              <w:jc w:val="left"/>
              <w:rPr>
                <w:rFonts w:eastAsia="宋体"/>
                <w:color w:val="auto"/>
                <w:sz w:val="21"/>
                <w:szCs w:val="21"/>
                <w:highlight w:val="none"/>
              </w:rPr>
            </w:pPr>
            <w:r>
              <w:rPr>
                <w:rFonts w:eastAsia="宋体"/>
                <w:color w:val="auto"/>
                <w:sz w:val="21"/>
                <w:szCs w:val="21"/>
                <w:highlight w:val="none"/>
              </w:rPr>
              <w:t>b指受纳水体的名称。</w:t>
            </w:r>
          </w:p>
          <w:p w14:paraId="71CE8378">
            <w:pPr>
              <w:pStyle w:val="224"/>
              <w:jc w:val="left"/>
              <w:rPr>
                <w:rFonts w:eastAsia="宋体"/>
                <w:color w:val="auto"/>
                <w:sz w:val="21"/>
                <w:szCs w:val="21"/>
                <w:highlight w:val="none"/>
              </w:rPr>
            </w:pPr>
            <w:r>
              <w:rPr>
                <w:rFonts w:eastAsia="宋体"/>
                <w:color w:val="auto"/>
                <w:sz w:val="21"/>
                <w:szCs w:val="21"/>
                <w:highlight w:val="none"/>
              </w:rPr>
              <w:t>c指对于直接排放至地表水体的排放口，其所处受纳水体功能类别，如Ⅲ类、Ⅳ类、Ⅴ类等。</w:t>
            </w:r>
          </w:p>
          <w:p w14:paraId="5AE7A86C">
            <w:pPr>
              <w:pStyle w:val="224"/>
              <w:jc w:val="left"/>
              <w:rPr>
                <w:rFonts w:eastAsia="宋体"/>
                <w:color w:val="auto"/>
                <w:sz w:val="21"/>
                <w:szCs w:val="21"/>
                <w:highlight w:val="none"/>
              </w:rPr>
            </w:pPr>
            <w:r>
              <w:rPr>
                <w:rFonts w:eastAsia="宋体"/>
                <w:color w:val="auto"/>
                <w:sz w:val="21"/>
                <w:szCs w:val="21"/>
                <w:highlight w:val="none"/>
              </w:rPr>
              <w:t>d对于直接排放至地表水体的排放口，指废水汇入地表水体处经纬度坐标。</w:t>
            </w:r>
          </w:p>
          <w:p w14:paraId="78D02607">
            <w:pPr>
              <w:pStyle w:val="224"/>
              <w:jc w:val="left"/>
              <w:rPr>
                <w:rFonts w:eastAsia="宋体"/>
                <w:color w:val="auto"/>
                <w:sz w:val="21"/>
                <w:szCs w:val="21"/>
                <w:highlight w:val="none"/>
              </w:rPr>
            </w:pPr>
            <w:r>
              <w:rPr>
                <w:rFonts w:eastAsia="宋体"/>
                <w:color w:val="auto"/>
                <w:sz w:val="21"/>
                <w:szCs w:val="21"/>
                <w:highlight w:val="none"/>
              </w:rPr>
              <w:t>e废水向海洋排放的，应当填写岸边排放或深海排放。深海排放的，还应说明排放口的深度、与岸线直线距离。在备注中填写。</w:t>
            </w:r>
          </w:p>
        </w:tc>
      </w:tr>
    </w:tbl>
    <w:p w14:paraId="6DBF6637">
      <w:pPr>
        <w:pStyle w:val="4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zh-TW" w:eastAsia="zh-CN"/>
        </w:rPr>
        <w:t>表</w:t>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zh-TW" w:eastAsia="zh-CN"/>
        </w:rPr>
        <w:t>.2</w:t>
      </w: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zh-TW" w:eastAsia="zh-CN"/>
        </w:rPr>
        <w:t>-</w:t>
      </w:r>
      <w:r>
        <w:rPr>
          <w:rFonts w:hint="eastAsia" w:ascii="Times New Roman" w:hAnsi="Times New Roman" w:eastAsia="宋体" w:cs="Times New Roman"/>
          <w:b/>
          <w:bCs/>
          <w:color w:val="auto"/>
          <w:sz w:val="24"/>
          <w:szCs w:val="24"/>
          <w:highlight w:val="none"/>
          <w:lang w:val="en-US" w:eastAsia="zh-CN"/>
        </w:rPr>
        <w:t>4</w:t>
      </w:r>
      <w:r>
        <w:rPr>
          <w:rFonts w:hint="eastAsia"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lang w:val="zh-TW" w:eastAsia="zh-CN"/>
        </w:rPr>
        <w:t>废水污染物排放信息表</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9"/>
        <w:gridCol w:w="1328"/>
        <w:gridCol w:w="1468"/>
        <w:gridCol w:w="2228"/>
        <w:gridCol w:w="1444"/>
        <w:gridCol w:w="1435"/>
      </w:tblGrid>
      <w:tr w14:paraId="51AC9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tcBorders>
              <w:top w:val="single" w:color="auto" w:sz="4" w:space="0"/>
              <w:left w:val="single" w:color="auto" w:sz="4" w:space="0"/>
            </w:tcBorders>
            <w:noWrap w:val="0"/>
            <w:vAlign w:val="center"/>
          </w:tcPr>
          <w:p w14:paraId="6E6864F9">
            <w:pPr>
              <w:pStyle w:val="224"/>
              <w:rPr>
                <w:rFonts w:eastAsia="宋体"/>
                <w:b/>
                <w:bCs w:val="0"/>
                <w:color w:val="auto"/>
                <w:sz w:val="21"/>
                <w:szCs w:val="21"/>
                <w:highlight w:val="none"/>
              </w:rPr>
            </w:pPr>
            <w:r>
              <w:rPr>
                <w:rFonts w:eastAsia="宋体"/>
                <w:b/>
                <w:bCs w:val="0"/>
                <w:color w:val="auto"/>
                <w:sz w:val="21"/>
                <w:szCs w:val="21"/>
                <w:highlight w:val="none"/>
              </w:rPr>
              <w:t>序号</w:t>
            </w:r>
          </w:p>
        </w:tc>
        <w:tc>
          <w:tcPr>
            <w:tcW w:w="779" w:type="pct"/>
            <w:tcBorders>
              <w:top w:val="single" w:color="auto" w:sz="4" w:space="0"/>
            </w:tcBorders>
            <w:noWrap w:val="0"/>
            <w:vAlign w:val="center"/>
          </w:tcPr>
          <w:p w14:paraId="05450D15">
            <w:pPr>
              <w:pStyle w:val="224"/>
              <w:rPr>
                <w:rFonts w:eastAsia="宋体"/>
                <w:b/>
                <w:bCs w:val="0"/>
                <w:color w:val="auto"/>
                <w:sz w:val="21"/>
                <w:szCs w:val="21"/>
                <w:highlight w:val="none"/>
              </w:rPr>
            </w:pPr>
            <w:r>
              <w:rPr>
                <w:rFonts w:eastAsia="宋体"/>
                <w:b/>
                <w:bCs w:val="0"/>
                <w:color w:val="auto"/>
                <w:sz w:val="21"/>
                <w:szCs w:val="21"/>
                <w:highlight w:val="none"/>
              </w:rPr>
              <w:t>排放口编号</w:t>
            </w:r>
          </w:p>
        </w:tc>
        <w:tc>
          <w:tcPr>
            <w:tcW w:w="861" w:type="pct"/>
            <w:tcBorders>
              <w:top w:val="single" w:color="auto" w:sz="4" w:space="0"/>
            </w:tcBorders>
            <w:noWrap w:val="0"/>
            <w:vAlign w:val="center"/>
          </w:tcPr>
          <w:p w14:paraId="2F333181">
            <w:pPr>
              <w:pStyle w:val="224"/>
              <w:rPr>
                <w:rFonts w:eastAsia="宋体"/>
                <w:b/>
                <w:bCs w:val="0"/>
                <w:color w:val="auto"/>
                <w:sz w:val="21"/>
                <w:szCs w:val="21"/>
                <w:highlight w:val="none"/>
              </w:rPr>
            </w:pPr>
            <w:r>
              <w:rPr>
                <w:rFonts w:eastAsia="宋体"/>
                <w:b/>
                <w:bCs w:val="0"/>
                <w:color w:val="auto"/>
                <w:sz w:val="21"/>
                <w:szCs w:val="21"/>
                <w:highlight w:val="none"/>
              </w:rPr>
              <w:t>污染物种类</w:t>
            </w:r>
          </w:p>
        </w:tc>
        <w:tc>
          <w:tcPr>
            <w:tcW w:w="1307" w:type="pct"/>
            <w:tcBorders>
              <w:top w:val="single" w:color="auto" w:sz="4" w:space="0"/>
            </w:tcBorders>
            <w:noWrap w:val="0"/>
            <w:vAlign w:val="center"/>
          </w:tcPr>
          <w:p w14:paraId="1FEA5C40">
            <w:pPr>
              <w:pStyle w:val="224"/>
              <w:rPr>
                <w:rFonts w:eastAsia="宋体"/>
                <w:b/>
                <w:bCs w:val="0"/>
                <w:color w:val="auto"/>
                <w:sz w:val="21"/>
                <w:szCs w:val="21"/>
                <w:highlight w:val="none"/>
              </w:rPr>
            </w:pPr>
            <w:r>
              <w:rPr>
                <w:rFonts w:eastAsia="宋体"/>
                <w:b/>
                <w:bCs w:val="0"/>
                <w:color w:val="auto"/>
                <w:sz w:val="21"/>
                <w:szCs w:val="21"/>
                <w:highlight w:val="none"/>
              </w:rPr>
              <w:t>排放浓度（mg/L）</w:t>
            </w:r>
          </w:p>
        </w:tc>
        <w:tc>
          <w:tcPr>
            <w:tcW w:w="847" w:type="pct"/>
            <w:tcBorders>
              <w:top w:val="single" w:color="auto" w:sz="4" w:space="0"/>
            </w:tcBorders>
            <w:noWrap w:val="0"/>
            <w:vAlign w:val="center"/>
          </w:tcPr>
          <w:p w14:paraId="40F80120">
            <w:pPr>
              <w:pStyle w:val="224"/>
              <w:rPr>
                <w:rFonts w:eastAsia="宋体"/>
                <w:b/>
                <w:bCs w:val="0"/>
                <w:color w:val="auto"/>
                <w:sz w:val="21"/>
                <w:szCs w:val="21"/>
                <w:highlight w:val="none"/>
              </w:rPr>
            </w:pPr>
            <w:r>
              <w:rPr>
                <w:rFonts w:eastAsia="宋体"/>
                <w:b/>
                <w:bCs w:val="0"/>
                <w:color w:val="auto"/>
                <w:sz w:val="21"/>
                <w:szCs w:val="21"/>
                <w:highlight w:val="none"/>
              </w:rPr>
              <w:t>日排放量（</w:t>
            </w:r>
            <w:r>
              <w:rPr>
                <w:rFonts w:hint="eastAsia" w:eastAsia="宋体"/>
                <w:b/>
                <w:bCs w:val="0"/>
                <w:color w:val="auto"/>
                <w:sz w:val="21"/>
                <w:szCs w:val="21"/>
                <w:highlight w:val="none"/>
                <w:lang w:val="en-US" w:eastAsia="zh-CN"/>
              </w:rPr>
              <w:t>kg</w:t>
            </w:r>
            <w:r>
              <w:rPr>
                <w:rFonts w:eastAsia="宋体"/>
                <w:b/>
                <w:bCs w:val="0"/>
                <w:color w:val="auto"/>
                <w:sz w:val="21"/>
                <w:szCs w:val="21"/>
                <w:highlight w:val="none"/>
              </w:rPr>
              <w:t>/d）</w:t>
            </w:r>
          </w:p>
        </w:tc>
        <w:tc>
          <w:tcPr>
            <w:tcW w:w="841" w:type="pct"/>
            <w:tcBorders>
              <w:top w:val="single" w:color="auto" w:sz="4" w:space="0"/>
              <w:right w:val="single" w:color="auto" w:sz="4" w:space="0"/>
            </w:tcBorders>
            <w:noWrap w:val="0"/>
            <w:vAlign w:val="center"/>
          </w:tcPr>
          <w:p w14:paraId="3748264C">
            <w:pPr>
              <w:pStyle w:val="224"/>
              <w:rPr>
                <w:rFonts w:eastAsia="宋体"/>
                <w:b/>
                <w:bCs w:val="0"/>
                <w:color w:val="auto"/>
                <w:sz w:val="21"/>
                <w:szCs w:val="21"/>
                <w:highlight w:val="none"/>
              </w:rPr>
            </w:pPr>
            <w:r>
              <w:rPr>
                <w:rFonts w:eastAsia="宋体"/>
                <w:b/>
                <w:bCs w:val="0"/>
                <w:color w:val="auto"/>
                <w:sz w:val="21"/>
                <w:szCs w:val="21"/>
                <w:highlight w:val="none"/>
              </w:rPr>
              <w:t>年排放量（t/a）</w:t>
            </w:r>
          </w:p>
        </w:tc>
      </w:tr>
      <w:tr w14:paraId="4D598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vMerge w:val="restart"/>
            <w:tcBorders>
              <w:top w:val="single" w:color="auto" w:sz="4" w:space="0"/>
              <w:left w:val="single" w:color="auto" w:sz="4" w:space="0"/>
            </w:tcBorders>
            <w:noWrap w:val="0"/>
            <w:vAlign w:val="center"/>
          </w:tcPr>
          <w:p w14:paraId="66E71660">
            <w:pPr>
              <w:pStyle w:val="224"/>
              <w:rPr>
                <w:rFonts w:eastAsia="宋体"/>
                <w:color w:val="auto"/>
                <w:sz w:val="21"/>
                <w:szCs w:val="21"/>
                <w:highlight w:val="none"/>
              </w:rPr>
            </w:pPr>
            <w:r>
              <w:rPr>
                <w:rFonts w:eastAsia="宋体"/>
                <w:color w:val="auto"/>
                <w:sz w:val="21"/>
                <w:szCs w:val="21"/>
                <w:highlight w:val="none"/>
              </w:rPr>
              <w:t>1</w:t>
            </w:r>
          </w:p>
        </w:tc>
        <w:tc>
          <w:tcPr>
            <w:tcW w:w="779" w:type="pct"/>
            <w:vMerge w:val="restart"/>
            <w:tcBorders>
              <w:top w:val="single" w:color="auto" w:sz="4" w:space="0"/>
            </w:tcBorders>
            <w:noWrap w:val="0"/>
            <w:vAlign w:val="center"/>
          </w:tcPr>
          <w:p w14:paraId="3B987264">
            <w:pPr>
              <w:pStyle w:val="224"/>
              <w:rPr>
                <w:rFonts w:eastAsia="宋体"/>
                <w:color w:val="auto"/>
                <w:sz w:val="21"/>
                <w:szCs w:val="21"/>
                <w:highlight w:val="none"/>
              </w:rPr>
            </w:pPr>
            <w:r>
              <w:rPr>
                <w:rFonts w:eastAsia="宋体"/>
                <w:color w:val="auto"/>
                <w:sz w:val="21"/>
                <w:szCs w:val="21"/>
                <w:highlight w:val="none"/>
              </w:rPr>
              <w:t>DW001</w:t>
            </w:r>
          </w:p>
        </w:tc>
        <w:tc>
          <w:tcPr>
            <w:tcW w:w="861" w:type="pct"/>
            <w:tcBorders>
              <w:top w:val="single" w:color="auto" w:sz="4" w:space="0"/>
            </w:tcBorders>
            <w:noWrap w:val="0"/>
            <w:vAlign w:val="center"/>
          </w:tcPr>
          <w:p w14:paraId="0BA5DCFB">
            <w:pPr>
              <w:pStyle w:val="224"/>
              <w:rPr>
                <w:rFonts w:hint="default" w:eastAsia="宋体"/>
                <w:b w:val="0"/>
                <w:bCs/>
                <w:color w:val="auto"/>
                <w:sz w:val="21"/>
                <w:szCs w:val="21"/>
                <w:highlight w:val="none"/>
                <w:lang w:val="en-US" w:eastAsia="zh-CN"/>
              </w:rPr>
            </w:pPr>
            <w:r>
              <w:rPr>
                <w:rFonts w:hint="eastAsia" w:eastAsia="宋体"/>
                <w:b w:val="0"/>
                <w:bCs/>
                <w:color w:val="auto"/>
                <w:sz w:val="21"/>
                <w:szCs w:val="21"/>
                <w:highlight w:val="none"/>
                <w:lang w:val="en-US" w:eastAsia="zh-CN"/>
              </w:rPr>
              <w:t>pH（无量纲）</w:t>
            </w:r>
          </w:p>
        </w:tc>
        <w:tc>
          <w:tcPr>
            <w:tcW w:w="1307" w:type="pct"/>
            <w:tcBorders>
              <w:top w:val="single" w:color="auto" w:sz="4" w:space="0"/>
            </w:tcBorders>
            <w:noWrap w:val="0"/>
            <w:vAlign w:val="center"/>
          </w:tcPr>
          <w:p w14:paraId="36C5D5AF">
            <w:pPr>
              <w:pStyle w:val="224"/>
              <w:rPr>
                <w:rFonts w:hint="default" w:eastAsia="宋体"/>
                <w:b w:val="0"/>
                <w:bCs/>
                <w:color w:val="auto"/>
                <w:sz w:val="21"/>
                <w:szCs w:val="21"/>
                <w:highlight w:val="none"/>
                <w:lang w:val="en-US" w:eastAsia="zh-CN"/>
              </w:rPr>
            </w:pPr>
            <w:r>
              <w:rPr>
                <w:rFonts w:hint="eastAsia" w:eastAsia="宋体"/>
                <w:b w:val="0"/>
                <w:bCs/>
                <w:color w:val="auto"/>
                <w:sz w:val="21"/>
                <w:szCs w:val="21"/>
                <w:highlight w:val="none"/>
                <w:lang w:val="en-US" w:eastAsia="zh-CN"/>
              </w:rPr>
              <w:t>6~9</w:t>
            </w:r>
          </w:p>
        </w:tc>
        <w:tc>
          <w:tcPr>
            <w:tcW w:w="847" w:type="pct"/>
            <w:tcBorders>
              <w:top w:val="single" w:color="auto" w:sz="4" w:space="0"/>
            </w:tcBorders>
            <w:noWrap w:val="0"/>
            <w:vAlign w:val="center"/>
          </w:tcPr>
          <w:p w14:paraId="6F38C990">
            <w:pPr>
              <w:pStyle w:val="224"/>
              <w:rPr>
                <w:rFonts w:hint="eastAsia" w:eastAsia="宋体"/>
                <w:b w:val="0"/>
                <w:bCs/>
                <w:color w:val="auto"/>
                <w:sz w:val="21"/>
                <w:szCs w:val="21"/>
                <w:highlight w:val="none"/>
                <w:lang w:val="en-US" w:eastAsia="zh-CN"/>
              </w:rPr>
            </w:pPr>
            <w:r>
              <w:rPr>
                <w:rFonts w:hint="eastAsia" w:eastAsia="宋体"/>
                <w:b w:val="0"/>
                <w:bCs/>
                <w:color w:val="auto"/>
                <w:sz w:val="21"/>
                <w:szCs w:val="21"/>
                <w:highlight w:val="none"/>
                <w:lang w:val="en-US" w:eastAsia="zh-CN"/>
              </w:rPr>
              <w:t>/</w:t>
            </w:r>
          </w:p>
        </w:tc>
        <w:tc>
          <w:tcPr>
            <w:tcW w:w="841" w:type="pct"/>
            <w:tcBorders>
              <w:top w:val="single" w:color="auto" w:sz="4" w:space="0"/>
              <w:right w:val="single" w:color="auto" w:sz="4" w:space="0"/>
            </w:tcBorders>
            <w:noWrap w:val="0"/>
            <w:vAlign w:val="center"/>
          </w:tcPr>
          <w:p w14:paraId="2758B0BE">
            <w:pPr>
              <w:pStyle w:val="224"/>
              <w:rPr>
                <w:rFonts w:hint="eastAsia" w:eastAsia="宋体"/>
                <w:b w:val="0"/>
                <w:bCs/>
                <w:color w:val="auto"/>
                <w:sz w:val="21"/>
                <w:szCs w:val="21"/>
                <w:highlight w:val="none"/>
                <w:lang w:val="en-US" w:eastAsia="zh-CN"/>
              </w:rPr>
            </w:pPr>
            <w:r>
              <w:rPr>
                <w:rFonts w:hint="eastAsia" w:eastAsia="宋体"/>
                <w:b w:val="0"/>
                <w:bCs/>
                <w:color w:val="auto"/>
                <w:sz w:val="21"/>
                <w:szCs w:val="21"/>
                <w:highlight w:val="none"/>
                <w:lang w:val="en-US" w:eastAsia="zh-CN"/>
              </w:rPr>
              <w:t>/</w:t>
            </w:r>
          </w:p>
        </w:tc>
      </w:tr>
      <w:tr w14:paraId="393F6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vMerge w:val="continue"/>
            <w:tcBorders>
              <w:left w:val="single" w:color="auto" w:sz="4" w:space="0"/>
            </w:tcBorders>
            <w:noWrap w:val="0"/>
            <w:vAlign w:val="center"/>
          </w:tcPr>
          <w:p w14:paraId="60E0AACC">
            <w:pPr>
              <w:pStyle w:val="224"/>
              <w:rPr>
                <w:rFonts w:eastAsia="宋体"/>
                <w:color w:val="auto"/>
                <w:sz w:val="21"/>
                <w:szCs w:val="21"/>
                <w:highlight w:val="none"/>
              </w:rPr>
            </w:pPr>
          </w:p>
        </w:tc>
        <w:tc>
          <w:tcPr>
            <w:tcW w:w="779" w:type="pct"/>
            <w:vMerge w:val="continue"/>
            <w:noWrap w:val="0"/>
            <w:vAlign w:val="center"/>
          </w:tcPr>
          <w:p w14:paraId="3D5C8862">
            <w:pPr>
              <w:pStyle w:val="224"/>
              <w:rPr>
                <w:rFonts w:eastAsia="宋体"/>
                <w:color w:val="auto"/>
                <w:sz w:val="21"/>
                <w:szCs w:val="21"/>
                <w:highlight w:val="none"/>
              </w:rPr>
            </w:pPr>
          </w:p>
        </w:tc>
        <w:tc>
          <w:tcPr>
            <w:tcW w:w="861" w:type="pct"/>
            <w:noWrap w:val="0"/>
            <w:vAlign w:val="center"/>
          </w:tcPr>
          <w:p w14:paraId="7D648541">
            <w:pPr>
              <w:pStyle w:val="224"/>
              <w:rPr>
                <w:rFonts w:eastAsia="宋体"/>
                <w:color w:val="auto"/>
                <w:sz w:val="21"/>
                <w:szCs w:val="21"/>
                <w:highlight w:val="none"/>
              </w:rPr>
            </w:pPr>
            <w:r>
              <w:rPr>
                <w:rFonts w:eastAsia="宋体"/>
                <w:color w:val="auto"/>
                <w:sz w:val="21"/>
                <w:szCs w:val="21"/>
                <w:highlight w:val="none"/>
              </w:rPr>
              <w:t>COD</w:t>
            </w:r>
          </w:p>
        </w:tc>
        <w:tc>
          <w:tcPr>
            <w:tcW w:w="1307" w:type="pct"/>
            <w:noWrap w:val="0"/>
            <w:vAlign w:val="center"/>
          </w:tcPr>
          <w:p w14:paraId="591BA8A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192.96</w:t>
            </w:r>
          </w:p>
        </w:tc>
        <w:tc>
          <w:tcPr>
            <w:tcW w:w="847" w:type="pct"/>
            <w:noWrap w:val="0"/>
            <w:vAlign w:val="center"/>
          </w:tcPr>
          <w:p w14:paraId="6CEB2EFF">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2.07</w:t>
            </w:r>
          </w:p>
        </w:tc>
        <w:tc>
          <w:tcPr>
            <w:tcW w:w="841" w:type="pct"/>
            <w:tcBorders>
              <w:right w:val="single" w:color="auto" w:sz="4" w:space="0"/>
            </w:tcBorders>
            <w:noWrap w:val="0"/>
            <w:vAlign w:val="center"/>
          </w:tcPr>
          <w:p w14:paraId="5C3E30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0.756</w:t>
            </w:r>
          </w:p>
        </w:tc>
      </w:tr>
      <w:tr w14:paraId="3AB9D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vMerge w:val="continue"/>
            <w:tcBorders>
              <w:left w:val="single" w:color="auto" w:sz="4" w:space="0"/>
            </w:tcBorders>
            <w:noWrap w:val="0"/>
            <w:vAlign w:val="center"/>
          </w:tcPr>
          <w:p w14:paraId="22B9841E">
            <w:pPr>
              <w:pStyle w:val="224"/>
              <w:rPr>
                <w:rFonts w:eastAsia="宋体"/>
                <w:color w:val="auto"/>
                <w:sz w:val="21"/>
                <w:szCs w:val="21"/>
                <w:highlight w:val="none"/>
              </w:rPr>
            </w:pPr>
          </w:p>
        </w:tc>
        <w:tc>
          <w:tcPr>
            <w:tcW w:w="779" w:type="pct"/>
            <w:vMerge w:val="continue"/>
            <w:noWrap w:val="0"/>
            <w:vAlign w:val="center"/>
          </w:tcPr>
          <w:p w14:paraId="231518A2">
            <w:pPr>
              <w:pStyle w:val="224"/>
              <w:rPr>
                <w:rFonts w:eastAsia="宋体"/>
                <w:color w:val="auto"/>
                <w:sz w:val="21"/>
                <w:szCs w:val="21"/>
                <w:highlight w:val="none"/>
              </w:rPr>
            </w:pPr>
          </w:p>
        </w:tc>
        <w:tc>
          <w:tcPr>
            <w:tcW w:w="861" w:type="pct"/>
            <w:noWrap w:val="0"/>
            <w:vAlign w:val="center"/>
          </w:tcPr>
          <w:p w14:paraId="7F0A1F67">
            <w:pPr>
              <w:pStyle w:val="224"/>
              <w:rPr>
                <w:rFonts w:eastAsia="宋体"/>
                <w:color w:val="auto"/>
                <w:sz w:val="21"/>
                <w:szCs w:val="21"/>
                <w:highlight w:val="none"/>
              </w:rPr>
            </w:pPr>
            <w:r>
              <w:rPr>
                <w:rFonts w:eastAsia="宋体"/>
                <w:color w:val="auto"/>
                <w:sz w:val="21"/>
                <w:szCs w:val="21"/>
                <w:highlight w:val="none"/>
              </w:rPr>
              <w:t>BOD</w:t>
            </w:r>
            <w:r>
              <w:rPr>
                <w:rFonts w:eastAsia="宋体"/>
                <w:color w:val="auto"/>
                <w:sz w:val="21"/>
                <w:szCs w:val="21"/>
                <w:highlight w:val="none"/>
                <w:vertAlign w:val="subscript"/>
              </w:rPr>
              <w:t>5</w:t>
            </w:r>
          </w:p>
        </w:tc>
        <w:tc>
          <w:tcPr>
            <w:tcW w:w="1307" w:type="pct"/>
            <w:noWrap w:val="0"/>
            <w:vAlign w:val="center"/>
          </w:tcPr>
          <w:p w14:paraId="6F039682">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eastAsia="宋体"/>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54.62</w:t>
            </w:r>
          </w:p>
        </w:tc>
        <w:tc>
          <w:tcPr>
            <w:tcW w:w="847" w:type="pct"/>
            <w:noWrap w:val="0"/>
            <w:vAlign w:val="center"/>
          </w:tcPr>
          <w:p w14:paraId="461491ED">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0.59</w:t>
            </w:r>
          </w:p>
        </w:tc>
        <w:tc>
          <w:tcPr>
            <w:tcW w:w="841" w:type="pct"/>
            <w:tcBorders>
              <w:right w:val="single" w:color="auto" w:sz="4" w:space="0"/>
            </w:tcBorders>
            <w:noWrap w:val="0"/>
            <w:vAlign w:val="center"/>
          </w:tcPr>
          <w:p w14:paraId="2F613C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0.214</w:t>
            </w:r>
          </w:p>
        </w:tc>
      </w:tr>
      <w:tr w14:paraId="72A425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vMerge w:val="continue"/>
            <w:tcBorders>
              <w:left w:val="single" w:color="auto" w:sz="4" w:space="0"/>
            </w:tcBorders>
            <w:noWrap w:val="0"/>
            <w:vAlign w:val="center"/>
          </w:tcPr>
          <w:p w14:paraId="1A8F8418">
            <w:pPr>
              <w:pStyle w:val="224"/>
              <w:rPr>
                <w:rFonts w:eastAsia="宋体"/>
                <w:color w:val="auto"/>
                <w:sz w:val="21"/>
                <w:szCs w:val="21"/>
                <w:highlight w:val="none"/>
              </w:rPr>
            </w:pPr>
          </w:p>
        </w:tc>
        <w:tc>
          <w:tcPr>
            <w:tcW w:w="779" w:type="pct"/>
            <w:vMerge w:val="continue"/>
            <w:noWrap w:val="0"/>
            <w:vAlign w:val="center"/>
          </w:tcPr>
          <w:p w14:paraId="796D4CAA">
            <w:pPr>
              <w:pStyle w:val="224"/>
              <w:rPr>
                <w:rFonts w:eastAsia="宋体"/>
                <w:color w:val="auto"/>
                <w:sz w:val="21"/>
                <w:szCs w:val="21"/>
                <w:highlight w:val="none"/>
              </w:rPr>
            </w:pPr>
          </w:p>
        </w:tc>
        <w:tc>
          <w:tcPr>
            <w:tcW w:w="861" w:type="pct"/>
            <w:noWrap w:val="0"/>
            <w:vAlign w:val="center"/>
          </w:tcPr>
          <w:p w14:paraId="72D25452">
            <w:pPr>
              <w:pStyle w:val="224"/>
              <w:rPr>
                <w:rFonts w:eastAsia="宋体"/>
                <w:color w:val="auto"/>
                <w:sz w:val="21"/>
                <w:szCs w:val="21"/>
                <w:highlight w:val="none"/>
              </w:rPr>
            </w:pPr>
            <w:r>
              <w:rPr>
                <w:rFonts w:eastAsia="宋体"/>
                <w:color w:val="auto"/>
                <w:sz w:val="21"/>
                <w:szCs w:val="21"/>
                <w:highlight w:val="none"/>
              </w:rPr>
              <w:t>SS</w:t>
            </w:r>
          </w:p>
        </w:tc>
        <w:tc>
          <w:tcPr>
            <w:tcW w:w="1307" w:type="pct"/>
            <w:noWrap w:val="0"/>
            <w:vAlign w:val="center"/>
          </w:tcPr>
          <w:p w14:paraId="20B54660">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107.71</w:t>
            </w:r>
          </w:p>
        </w:tc>
        <w:tc>
          <w:tcPr>
            <w:tcW w:w="847" w:type="pct"/>
            <w:noWrap w:val="0"/>
            <w:vAlign w:val="center"/>
          </w:tcPr>
          <w:p w14:paraId="15639117">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1.156</w:t>
            </w:r>
          </w:p>
        </w:tc>
        <w:tc>
          <w:tcPr>
            <w:tcW w:w="841" w:type="pct"/>
            <w:tcBorders>
              <w:right w:val="single" w:color="auto" w:sz="4" w:space="0"/>
            </w:tcBorders>
            <w:noWrap w:val="0"/>
            <w:vAlign w:val="center"/>
          </w:tcPr>
          <w:p w14:paraId="06AB00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0.422</w:t>
            </w:r>
          </w:p>
        </w:tc>
      </w:tr>
      <w:tr w14:paraId="1D505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vMerge w:val="continue"/>
            <w:tcBorders>
              <w:left w:val="single" w:color="auto" w:sz="4" w:space="0"/>
            </w:tcBorders>
            <w:noWrap w:val="0"/>
            <w:vAlign w:val="center"/>
          </w:tcPr>
          <w:p w14:paraId="333E25FE">
            <w:pPr>
              <w:pStyle w:val="224"/>
              <w:rPr>
                <w:rFonts w:eastAsia="宋体"/>
                <w:color w:val="auto"/>
                <w:sz w:val="21"/>
                <w:szCs w:val="21"/>
                <w:highlight w:val="none"/>
              </w:rPr>
            </w:pPr>
          </w:p>
        </w:tc>
        <w:tc>
          <w:tcPr>
            <w:tcW w:w="779" w:type="pct"/>
            <w:vMerge w:val="continue"/>
            <w:noWrap w:val="0"/>
            <w:vAlign w:val="center"/>
          </w:tcPr>
          <w:p w14:paraId="274B0F4A">
            <w:pPr>
              <w:pStyle w:val="224"/>
              <w:rPr>
                <w:rFonts w:eastAsia="宋体"/>
                <w:color w:val="auto"/>
                <w:sz w:val="21"/>
                <w:szCs w:val="21"/>
                <w:highlight w:val="none"/>
              </w:rPr>
            </w:pPr>
          </w:p>
        </w:tc>
        <w:tc>
          <w:tcPr>
            <w:tcW w:w="861" w:type="pct"/>
            <w:noWrap w:val="0"/>
            <w:vAlign w:val="center"/>
          </w:tcPr>
          <w:p w14:paraId="6AC3FAE9">
            <w:pPr>
              <w:pStyle w:val="224"/>
              <w:rPr>
                <w:rFonts w:eastAsia="宋体"/>
                <w:color w:val="auto"/>
                <w:sz w:val="21"/>
                <w:szCs w:val="21"/>
                <w:highlight w:val="none"/>
              </w:rPr>
            </w:pPr>
            <w:r>
              <w:rPr>
                <w:rFonts w:eastAsia="宋体"/>
                <w:color w:val="auto"/>
                <w:sz w:val="21"/>
                <w:szCs w:val="21"/>
                <w:highlight w:val="none"/>
              </w:rPr>
              <w:t>NH</w:t>
            </w:r>
            <w:r>
              <w:rPr>
                <w:rFonts w:eastAsia="宋体"/>
                <w:color w:val="auto"/>
                <w:sz w:val="21"/>
                <w:szCs w:val="21"/>
                <w:highlight w:val="none"/>
                <w:vertAlign w:val="subscript"/>
              </w:rPr>
              <w:t>3</w:t>
            </w:r>
            <w:r>
              <w:rPr>
                <w:rFonts w:eastAsia="宋体"/>
                <w:color w:val="auto"/>
                <w:sz w:val="21"/>
                <w:szCs w:val="21"/>
                <w:highlight w:val="none"/>
              </w:rPr>
              <w:t>-N</w:t>
            </w:r>
          </w:p>
        </w:tc>
        <w:tc>
          <w:tcPr>
            <w:tcW w:w="1307" w:type="pct"/>
            <w:noWrap w:val="0"/>
            <w:vAlign w:val="center"/>
          </w:tcPr>
          <w:p w14:paraId="79E17EBB">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11.23</w:t>
            </w:r>
          </w:p>
        </w:tc>
        <w:tc>
          <w:tcPr>
            <w:tcW w:w="847" w:type="pct"/>
            <w:noWrap w:val="0"/>
            <w:vAlign w:val="center"/>
          </w:tcPr>
          <w:p w14:paraId="75537237">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0.12</w:t>
            </w:r>
          </w:p>
        </w:tc>
        <w:tc>
          <w:tcPr>
            <w:tcW w:w="841" w:type="pct"/>
            <w:tcBorders>
              <w:right w:val="single" w:color="auto" w:sz="4" w:space="0"/>
            </w:tcBorders>
            <w:noWrap w:val="0"/>
            <w:vAlign w:val="center"/>
          </w:tcPr>
          <w:p w14:paraId="1E16A8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0.044</w:t>
            </w:r>
          </w:p>
        </w:tc>
      </w:tr>
      <w:tr w14:paraId="03510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vMerge w:val="continue"/>
            <w:tcBorders>
              <w:left w:val="single" w:color="auto" w:sz="4" w:space="0"/>
            </w:tcBorders>
            <w:noWrap w:val="0"/>
            <w:vAlign w:val="center"/>
          </w:tcPr>
          <w:p w14:paraId="47D68B32">
            <w:pPr>
              <w:pStyle w:val="224"/>
              <w:rPr>
                <w:rFonts w:eastAsia="宋体"/>
                <w:color w:val="auto"/>
                <w:sz w:val="21"/>
                <w:szCs w:val="21"/>
                <w:highlight w:val="none"/>
              </w:rPr>
            </w:pPr>
          </w:p>
        </w:tc>
        <w:tc>
          <w:tcPr>
            <w:tcW w:w="779" w:type="pct"/>
            <w:vMerge w:val="continue"/>
            <w:noWrap w:val="0"/>
            <w:vAlign w:val="center"/>
          </w:tcPr>
          <w:p w14:paraId="0BD6F6CF">
            <w:pPr>
              <w:pStyle w:val="224"/>
              <w:rPr>
                <w:rFonts w:eastAsia="宋体"/>
                <w:color w:val="auto"/>
                <w:sz w:val="21"/>
                <w:szCs w:val="21"/>
                <w:highlight w:val="none"/>
              </w:rPr>
            </w:pPr>
          </w:p>
        </w:tc>
        <w:tc>
          <w:tcPr>
            <w:tcW w:w="861" w:type="pct"/>
            <w:noWrap w:val="0"/>
            <w:vAlign w:val="center"/>
          </w:tcPr>
          <w:p w14:paraId="10C0739F">
            <w:pPr>
              <w:pStyle w:val="224"/>
              <w:rPr>
                <w:rFonts w:eastAsia="宋体"/>
                <w:color w:val="auto"/>
                <w:sz w:val="21"/>
                <w:szCs w:val="21"/>
                <w:highlight w:val="none"/>
              </w:rPr>
            </w:pPr>
            <w:r>
              <w:rPr>
                <w:rFonts w:eastAsia="宋体"/>
                <w:color w:val="auto"/>
                <w:sz w:val="21"/>
                <w:szCs w:val="21"/>
                <w:highlight w:val="none"/>
              </w:rPr>
              <w:t>总氮</w:t>
            </w:r>
          </w:p>
        </w:tc>
        <w:tc>
          <w:tcPr>
            <w:tcW w:w="1307" w:type="pct"/>
            <w:noWrap w:val="0"/>
            <w:vAlign w:val="center"/>
          </w:tcPr>
          <w:p w14:paraId="19574BC8">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eastAsia="宋体"/>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12.51</w:t>
            </w:r>
          </w:p>
        </w:tc>
        <w:tc>
          <w:tcPr>
            <w:tcW w:w="847" w:type="pct"/>
            <w:noWrap w:val="0"/>
            <w:vAlign w:val="center"/>
          </w:tcPr>
          <w:p w14:paraId="4B8B173D">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0.13</w:t>
            </w:r>
          </w:p>
        </w:tc>
        <w:tc>
          <w:tcPr>
            <w:tcW w:w="841" w:type="pct"/>
            <w:tcBorders>
              <w:right w:val="single" w:color="auto" w:sz="4" w:space="0"/>
            </w:tcBorders>
            <w:noWrap w:val="0"/>
            <w:vAlign w:val="center"/>
          </w:tcPr>
          <w:p w14:paraId="78296A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0.049</w:t>
            </w:r>
          </w:p>
        </w:tc>
      </w:tr>
      <w:tr w14:paraId="02D6C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vMerge w:val="continue"/>
            <w:tcBorders>
              <w:left w:val="single" w:color="auto" w:sz="4" w:space="0"/>
            </w:tcBorders>
            <w:noWrap w:val="0"/>
            <w:vAlign w:val="center"/>
          </w:tcPr>
          <w:p w14:paraId="71F8BDB0">
            <w:pPr>
              <w:pStyle w:val="224"/>
              <w:rPr>
                <w:rFonts w:eastAsia="宋体"/>
                <w:color w:val="auto"/>
                <w:sz w:val="21"/>
                <w:szCs w:val="21"/>
                <w:highlight w:val="none"/>
              </w:rPr>
            </w:pPr>
          </w:p>
        </w:tc>
        <w:tc>
          <w:tcPr>
            <w:tcW w:w="779" w:type="pct"/>
            <w:vMerge w:val="continue"/>
            <w:noWrap w:val="0"/>
            <w:vAlign w:val="center"/>
          </w:tcPr>
          <w:p w14:paraId="3621D87B">
            <w:pPr>
              <w:pStyle w:val="224"/>
              <w:rPr>
                <w:rFonts w:eastAsia="宋体"/>
                <w:color w:val="auto"/>
                <w:sz w:val="21"/>
                <w:szCs w:val="21"/>
                <w:highlight w:val="none"/>
              </w:rPr>
            </w:pPr>
          </w:p>
        </w:tc>
        <w:tc>
          <w:tcPr>
            <w:tcW w:w="861" w:type="pct"/>
            <w:noWrap w:val="0"/>
            <w:vAlign w:val="center"/>
          </w:tcPr>
          <w:p w14:paraId="69A96ECA">
            <w:pPr>
              <w:pStyle w:val="224"/>
              <w:rPr>
                <w:rFonts w:eastAsia="宋体"/>
                <w:color w:val="auto"/>
                <w:sz w:val="21"/>
                <w:szCs w:val="21"/>
                <w:highlight w:val="none"/>
              </w:rPr>
            </w:pPr>
            <w:r>
              <w:rPr>
                <w:rFonts w:eastAsia="宋体"/>
                <w:color w:val="auto"/>
                <w:sz w:val="21"/>
                <w:szCs w:val="21"/>
                <w:highlight w:val="none"/>
              </w:rPr>
              <w:t>总磷</w:t>
            </w:r>
          </w:p>
        </w:tc>
        <w:tc>
          <w:tcPr>
            <w:tcW w:w="1307" w:type="pct"/>
            <w:noWrap w:val="0"/>
            <w:vAlign w:val="center"/>
          </w:tcPr>
          <w:p w14:paraId="0855CE1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eastAsia="宋体"/>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1.28</w:t>
            </w:r>
          </w:p>
        </w:tc>
        <w:tc>
          <w:tcPr>
            <w:tcW w:w="847" w:type="pct"/>
            <w:noWrap w:val="0"/>
            <w:vAlign w:val="center"/>
          </w:tcPr>
          <w:p w14:paraId="3B093B90">
            <w:pPr>
              <w:pStyle w:val="224"/>
              <w:rPr>
                <w:rFonts w:hint="default" w:eastAsia="宋体"/>
                <w:color w:val="auto"/>
                <w:sz w:val="21"/>
                <w:szCs w:val="21"/>
                <w:highlight w:val="none"/>
                <w:lang w:val="en-US" w:eastAsia="zh-CN"/>
              </w:rPr>
            </w:pPr>
            <w:r>
              <w:rPr>
                <w:rFonts w:eastAsia="宋体"/>
                <w:color w:val="auto"/>
                <w:sz w:val="21"/>
                <w:szCs w:val="21"/>
                <w:highlight w:val="none"/>
              </w:rPr>
              <w:t>0.0</w:t>
            </w:r>
            <w:r>
              <w:rPr>
                <w:rFonts w:hint="eastAsia" w:eastAsia="宋体"/>
                <w:color w:val="auto"/>
                <w:sz w:val="21"/>
                <w:szCs w:val="21"/>
                <w:highlight w:val="none"/>
                <w:lang w:val="en-US" w:eastAsia="zh-CN"/>
              </w:rPr>
              <w:t>14</w:t>
            </w:r>
          </w:p>
        </w:tc>
        <w:tc>
          <w:tcPr>
            <w:tcW w:w="841" w:type="pct"/>
            <w:tcBorders>
              <w:right w:val="single" w:color="auto" w:sz="4" w:space="0"/>
            </w:tcBorders>
            <w:noWrap w:val="0"/>
            <w:vAlign w:val="center"/>
          </w:tcPr>
          <w:p w14:paraId="584D88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0.005</w:t>
            </w:r>
          </w:p>
        </w:tc>
      </w:tr>
      <w:tr w14:paraId="43B8A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vMerge w:val="continue"/>
            <w:tcBorders>
              <w:left w:val="single" w:color="auto" w:sz="4" w:space="0"/>
            </w:tcBorders>
            <w:noWrap w:val="0"/>
            <w:vAlign w:val="center"/>
          </w:tcPr>
          <w:p w14:paraId="4FF657A0">
            <w:pPr>
              <w:pStyle w:val="224"/>
              <w:rPr>
                <w:rFonts w:eastAsia="宋体"/>
                <w:color w:val="auto"/>
                <w:sz w:val="21"/>
                <w:szCs w:val="21"/>
                <w:highlight w:val="none"/>
              </w:rPr>
            </w:pPr>
          </w:p>
        </w:tc>
        <w:tc>
          <w:tcPr>
            <w:tcW w:w="779" w:type="pct"/>
            <w:vMerge w:val="continue"/>
            <w:noWrap w:val="0"/>
            <w:vAlign w:val="center"/>
          </w:tcPr>
          <w:p w14:paraId="3BF7D050">
            <w:pPr>
              <w:pStyle w:val="224"/>
              <w:rPr>
                <w:rFonts w:eastAsia="宋体"/>
                <w:color w:val="auto"/>
                <w:sz w:val="21"/>
                <w:szCs w:val="21"/>
                <w:highlight w:val="none"/>
              </w:rPr>
            </w:pPr>
          </w:p>
        </w:tc>
        <w:tc>
          <w:tcPr>
            <w:tcW w:w="861" w:type="pct"/>
            <w:noWrap w:val="0"/>
            <w:vAlign w:val="center"/>
          </w:tcPr>
          <w:p w14:paraId="0BCE8288">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LAS</w:t>
            </w:r>
          </w:p>
        </w:tc>
        <w:tc>
          <w:tcPr>
            <w:tcW w:w="1307" w:type="pct"/>
            <w:noWrap w:val="0"/>
            <w:vAlign w:val="center"/>
          </w:tcPr>
          <w:p w14:paraId="323C67C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0.51</w:t>
            </w:r>
          </w:p>
        </w:tc>
        <w:tc>
          <w:tcPr>
            <w:tcW w:w="847" w:type="pct"/>
            <w:noWrap w:val="0"/>
            <w:vAlign w:val="center"/>
          </w:tcPr>
          <w:p w14:paraId="71A831B2">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0.005</w:t>
            </w:r>
          </w:p>
        </w:tc>
        <w:tc>
          <w:tcPr>
            <w:tcW w:w="841" w:type="pct"/>
            <w:tcBorders>
              <w:right w:val="single" w:color="auto" w:sz="4" w:space="0"/>
            </w:tcBorders>
            <w:noWrap w:val="0"/>
            <w:vAlign w:val="center"/>
          </w:tcPr>
          <w:p w14:paraId="6299865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r>
      <w:tr w14:paraId="401D3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63" w:type="pct"/>
            <w:vMerge w:val="continue"/>
            <w:tcBorders>
              <w:left w:val="single" w:color="auto" w:sz="4" w:space="0"/>
            </w:tcBorders>
            <w:noWrap w:val="0"/>
            <w:vAlign w:val="center"/>
          </w:tcPr>
          <w:p w14:paraId="08346174">
            <w:pPr>
              <w:pStyle w:val="224"/>
              <w:rPr>
                <w:rFonts w:eastAsia="宋体"/>
                <w:color w:val="auto"/>
                <w:sz w:val="21"/>
                <w:szCs w:val="21"/>
                <w:highlight w:val="none"/>
              </w:rPr>
            </w:pPr>
          </w:p>
        </w:tc>
        <w:tc>
          <w:tcPr>
            <w:tcW w:w="779" w:type="pct"/>
            <w:vMerge w:val="continue"/>
            <w:noWrap w:val="0"/>
            <w:vAlign w:val="center"/>
          </w:tcPr>
          <w:p w14:paraId="0019B143">
            <w:pPr>
              <w:pStyle w:val="224"/>
              <w:rPr>
                <w:rFonts w:eastAsia="宋体"/>
                <w:color w:val="auto"/>
                <w:sz w:val="21"/>
                <w:szCs w:val="21"/>
                <w:highlight w:val="none"/>
              </w:rPr>
            </w:pPr>
          </w:p>
        </w:tc>
        <w:tc>
          <w:tcPr>
            <w:tcW w:w="861" w:type="pct"/>
            <w:noWrap w:val="0"/>
            <w:vAlign w:val="center"/>
          </w:tcPr>
          <w:p w14:paraId="553AAA1A">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石油类</w:t>
            </w:r>
          </w:p>
        </w:tc>
        <w:tc>
          <w:tcPr>
            <w:tcW w:w="1307" w:type="pct"/>
            <w:noWrap w:val="0"/>
            <w:vAlign w:val="center"/>
          </w:tcPr>
          <w:p w14:paraId="3B847A0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2.85</w:t>
            </w:r>
          </w:p>
        </w:tc>
        <w:tc>
          <w:tcPr>
            <w:tcW w:w="847" w:type="pct"/>
            <w:noWrap w:val="0"/>
            <w:vAlign w:val="center"/>
          </w:tcPr>
          <w:p w14:paraId="3FDFEE0C">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0.03</w:t>
            </w:r>
          </w:p>
        </w:tc>
        <w:tc>
          <w:tcPr>
            <w:tcW w:w="841" w:type="pct"/>
            <w:tcBorders>
              <w:right w:val="single" w:color="auto" w:sz="4" w:space="0"/>
            </w:tcBorders>
            <w:noWrap w:val="0"/>
            <w:vAlign w:val="center"/>
          </w:tcPr>
          <w:p w14:paraId="0714B1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r>
      <w:tr w14:paraId="67855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2" w:type="pct"/>
            <w:gridSpan w:val="2"/>
            <w:vMerge w:val="restart"/>
            <w:tcBorders>
              <w:left w:val="single" w:color="auto" w:sz="4" w:space="0"/>
            </w:tcBorders>
            <w:noWrap w:val="0"/>
            <w:vAlign w:val="center"/>
          </w:tcPr>
          <w:p w14:paraId="4A1F6298">
            <w:pPr>
              <w:pStyle w:val="224"/>
              <w:rPr>
                <w:rFonts w:eastAsia="宋体"/>
                <w:color w:val="auto"/>
                <w:sz w:val="21"/>
                <w:szCs w:val="21"/>
                <w:highlight w:val="none"/>
              </w:rPr>
            </w:pPr>
            <w:r>
              <w:rPr>
                <w:rFonts w:eastAsia="宋体"/>
                <w:color w:val="auto"/>
                <w:sz w:val="21"/>
                <w:szCs w:val="21"/>
                <w:highlight w:val="none"/>
              </w:rPr>
              <w:t>全</w:t>
            </w:r>
            <w:r>
              <w:rPr>
                <w:rFonts w:hint="eastAsia" w:eastAsia="宋体"/>
                <w:color w:val="auto"/>
                <w:sz w:val="21"/>
                <w:szCs w:val="21"/>
                <w:highlight w:val="none"/>
                <w:lang w:val="en-US" w:eastAsia="zh-CN"/>
              </w:rPr>
              <w:t>站</w:t>
            </w:r>
            <w:r>
              <w:rPr>
                <w:rFonts w:eastAsia="宋体"/>
                <w:color w:val="auto"/>
                <w:sz w:val="21"/>
                <w:szCs w:val="21"/>
                <w:highlight w:val="none"/>
              </w:rPr>
              <w:t>排放口合计</w:t>
            </w:r>
          </w:p>
        </w:tc>
        <w:tc>
          <w:tcPr>
            <w:tcW w:w="3015" w:type="pct"/>
            <w:gridSpan w:val="3"/>
            <w:noWrap w:val="0"/>
            <w:vAlign w:val="center"/>
          </w:tcPr>
          <w:p w14:paraId="32D369AC">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rPr>
              <w:t>COD</w:t>
            </w:r>
          </w:p>
        </w:tc>
        <w:tc>
          <w:tcPr>
            <w:tcW w:w="841" w:type="pct"/>
            <w:tcBorders>
              <w:right w:val="single" w:color="auto" w:sz="4" w:space="0"/>
            </w:tcBorders>
            <w:noWrap w:val="0"/>
            <w:vAlign w:val="center"/>
          </w:tcPr>
          <w:p w14:paraId="037393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0.756</w:t>
            </w:r>
          </w:p>
        </w:tc>
      </w:tr>
      <w:tr w14:paraId="5CA3E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2" w:type="pct"/>
            <w:gridSpan w:val="2"/>
            <w:vMerge w:val="continue"/>
            <w:tcBorders>
              <w:left w:val="single" w:color="auto" w:sz="4" w:space="0"/>
            </w:tcBorders>
            <w:noWrap w:val="0"/>
            <w:vAlign w:val="center"/>
          </w:tcPr>
          <w:p w14:paraId="1EDAA111">
            <w:pPr>
              <w:pStyle w:val="224"/>
              <w:rPr>
                <w:rFonts w:eastAsia="宋体"/>
                <w:color w:val="auto"/>
                <w:sz w:val="21"/>
                <w:szCs w:val="21"/>
                <w:highlight w:val="none"/>
              </w:rPr>
            </w:pPr>
          </w:p>
        </w:tc>
        <w:tc>
          <w:tcPr>
            <w:tcW w:w="3015" w:type="pct"/>
            <w:gridSpan w:val="3"/>
            <w:noWrap w:val="0"/>
            <w:vAlign w:val="center"/>
          </w:tcPr>
          <w:p w14:paraId="6AFBC85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rPr>
              <w:t>SS</w:t>
            </w:r>
          </w:p>
        </w:tc>
        <w:tc>
          <w:tcPr>
            <w:tcW w:w="841" w:type="pct"/>
            <w:tcBorders>
              <w:right w:val="single" w:color="auto" w:sz="4" w:space="0"/>
            </w:tcBorders>
            <w:noWrap w:val="0"/>
            <w:vAlign w:val="center"/>
          </w:tcPr>
          <w:p w14:paraId="3F32A0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0.422</w:t>
            </w:r>
          </w:p>
        </w:tc>
      </w:tr>
      <w:tr w14:paraId="6445D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2" w:type="pct"/>
            <w:gridSpan w:val="2"/>
            <w:vMerge w:val="continue"/>
            <w:tcBorders>
              <w:left w:val="single" w:color="auto" w:sz="4" w:space="0"/>
            </w:tcBorders>
            <w:noWrap w:val="0"/>
            <w:vAlign w:val="center"/>
          </w:tcPr>
          <w:p w14:paraId="31E89C97">
            <w:pPr>
              <w:pStyle w:val="224"/>
              <w:rPr>
                <w:rFonts w:eastAsia="宋体"/>
                <w:color w:val="auto"/>
                <w:sz w:val="21"/>
                <w:szCs w:val="21"/>
                <w:highlight w:val="none"/>
              </w:rPr>
            </w:pPr>
          </w:p>
        </w:tc>
        <w:tc>
          <w:tcPr>
            <w:tcW w:w="3015" w:type="pct"/>
            <w:gridSpan w:val="3"/>
            <w:noWrap w:val="0"/>
            <w:vAlign w:val="center"/>
          </w:tcPr>
          <w:p w14:paraId="0EB4C6CC">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841" w:type="pct"/>
            <w:tcBorders>
              <w:right w:val="single" w:color="auto" w:sz="4" w:space="0"/>
            </w:tcBorders>
            <w:noWrap w:val="0"/>
            <w:vAlign w:val="center"/>
          </w:tcPr>
          <w:p w14:paraId="1B1EC6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0.214</w:t>
            </w:r>
          </w:p>
        </w:tc>
      </w:tr>
      <w:tr w14:paraId="7C97E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2" w:type="pct"/>
            <w:gridSpan w:val="2"/>
            <w:vMerge w:val="continue"/>
            <w:tcBorders>
              <w:left w:val="single" w:color="auto" w:sz="4" w:space="0"/>
            </w:tcBorders>
            <w:noWrap w:val="0"/>
            <w:vAlign w:val="center"/>
          </w:tcPr>
          <w:p w14:paraId="7567FC44">
            <w:pPr>
              <w:pStyle w:val="224"/>
              <w:rPr>
                <w:rFonts w:eastAsia="宋体"/>
                <w:color w:val="auto"/>
                <w:sz w:val="21"/>
                <w:szCs w:val="21"/>
                <w:highlight w:val="none"/>
              </w:rPr>
            </w:pPr>
          </w:p>
        </w:tc>
        <w:tc>
          <w:tcPr>
            <w:tcW w:w="3015" w:type="pct"/>
            <w:gridSpan w:val="3"/>
            <w:noWrap w:val="0"/>
            <w:vAlign w:val="center"/>
          </w:tcPr>
          <w:p w14:paraId="6A7706A0">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841" w:type="pct"/>
            <w:tcBorders>
              <w:right w:val="single" w:color="auto" w:sz="4" w:space="0"/>
            </w:tcBorders>
            <w:noWrap w:val="0"/>
            <w:vAlign w:val="center"/>
          </w:tcPr>
          <w:p w14:paraId="342C1F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0.044</w:t>
            </w:r>
          </w:p>
        </w:tc>
      </w:tr>
      <w:tr w14:paraId="11AAC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2" w:type="pct"/>
            <w:gridSpan w:val="2"/>
            <w:vMerge w:val="continue"/>
            <w:tcBorders>
              <w:left w:val="single" w:color="auto" w:sz="4" w:space="0"/>
            </w:tcBorders>
            <w:noWrap w:val="0"/>
            <w:vAlign w:val="center"/>
          </w:tcPr>
          <w:p w14:paraId="27EB8233">
            <w:pPr>
              <w:pStyle w:val="224"/>
              <w:rPr>
                <w:rFonts w:eastAsia="宋体"/>
                <w:color w:val="auto"/>
                <w:sz w:val="21"/>
                <w:szCs w:val="21"/>
                <w:highlight w:val="none"/>
              </w:rPr>
            </w:pPr>
          </w:p>
        </w:tc>
        <w:tc>
          <w:tcPr>
            <w:tcW w:w="3015" w:type="pct"/>
            <w:gridSpan w:val="3"/>
            <w:noWrap w:val="0"/>
            <w:vAlign w:val="center"/>
          </w:tcPr>
          <w:p w14:paraId="0371465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eastAsia="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总氮</w:t>
            </w:r>
          </w:p>
        </w:tc>
        <w:tc>
          <w:tcPr>
            <w:tcW w:w="841" w:type="pct"/>
            <w:tcBorders>
              <w:right w:val="single" w:color="auto" w:sz="4" w:space="0"/>
            </w:tcBorders>
            <w:noWrap w:val="0"/>
            <w:vAlign w:val="center"/>
          </w:tcPr>
          <w:p w14:paraId="027E1E6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0.049</w:t>
            </w:r>
          </w:p>
        </w:tc>
      </w:tr>
      <w:tr w14:paraId="68CC3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2" w:type="pct"/>
            <w:gridSpan w:val="2"/>
            <w:vMerge w:val="continue"/>
            <w:tcBorders>
              <w:left w:val="single" w:color="auto" w:sz="4" w:space="0"/>
            </w:tcBorders>
            <w:noWrap w:val="0"/>
            <w:vAlign w:val="center"/>
          </w:tcPr>
          <w:p w14:paraId="3B469AE3">
            <w:pPr>
              <w:pStyle w:val="224"/>
              <w:rPr>
                <w:rFonts w:eastAsia="宋体"/>
                <w:color w:val="auto"/>
                <w:sz w:val="21"/>
                <w:szCs w:val="21"/>
                <w:highlight w:val="none"/>
              </w:rPr>
            </w:pPr>
          </w:p>
        </w:tc>
        <w:tc>
          <w:tcPr>
            <w:tcW w:w="3015" w:type="pct"/>
            <w:gridSpan w:val="3"/>
            <w:noWrap w:val="0"/>
            <w:vAlign w:val="center"/>
          </w:tcPr>
          <w:p w14:paraId="20F9C385">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eastAsia="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TP</w:t>
            </w:r>
          </w:p>
        </w:tc>
        <w:tc>
          <w:tcPr>
            <w:tcW w:w="841" w:type="pct"/>
            <w:tcBorders>
              <w:right w:val="single" w:color="auto" w:sz="4" w:space="0"/>
            </w:tcBorders>
            <w:noWrap w:val="0"/>
            <w:vAlign w:val="center"/>
          </w:tcPr>
          <w:p w14:paraId="328D34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eastAsia="宋体"/>
                <w:color w:val="auto"/>
                <w:sz w:val="21"/>
                <w:szCs w:val="21"/>
                <w:highlight w:val="none"/>
                <w:lang w:val="en-US"/>
              </w:rPr>
            </w:pPr>
            <w:r>
              <w:rPr>
                <w:rFonts w:hint="eastAsia" w:cs="Times New Roman"/>
                <w:color w:val="auto"/>
                <w:sz w:val="21"/>
                <w:szCs w:val="21"/>
                <w:highlight w:val="none"/>
                <w:lang w:val="en-US" w:eastAsia="zh-CN"/>
              </w:rPr>
              <w:t>0.005</w:t>
            </w:r>
          </w:p>
        </w:tc>
      </w:tr>
      <w:tr w14:paraId="09FB7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2" w:type="pct"/>
            <w:gridSpan w:val="2"/>
            <w:vMerge w:val="continue"/>
            <w:tcBorders>
              <w:left w:val="single" w:color="auto" w:sz="4" w:space="0"/>
            </w:tcBorders>
            <w:noWrap w:val="0"/>
            <w:vAlign w:val="center"/>
          </w:tcPr>
          <w:p w14:paraId="6945405B">
            <w:pPr>
              <w:pStyle w:val="224"/>
              <w:rPr>
                <w:rFonts w:eastAsia="宋体"/>
                <w:color w:val="auto"/>
                <w:sz w:val="21"/>
                <w:szCs w:val="21"/>
                <w:highlight w:val="none"/>
              </w:rPr>
            </w:pPr>
          </w:p>
        </w:tc>
        <w:tc>
          <w:tcPr>
            <w:tcW w:w="3015" w:type="pct"/>
            <w:gridSpan w:val="3"/>
            <w:noWrap w:val="0"/>
            <w:vAlign w:val="center"/>
          </w:tcPr>
          <w:p w14:paraId="3953698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LAS</w:t>
            </w:r>
          </w:p>
        </w:tc>
        <w:tc>
          <w:tcPr>
            <w:tcW w:w="841" w:type="pct"/>
            <w:tcBorders>
              <w:right w:val="single" w:color="auto" w:sz="4" w:space="0"/>
            </w:tcBorders>
            <w:noWrap w:val="0"/>
            <w:vAlign w:val="center"/>
          </w:tcPr>
          <w:p w14:paraId="35B66F0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r>
      <w:tr w14:paraId="4D706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2" w:type="pct"/>
            <w:gridSpan w:val="2"/>
            <w:vMerge w:val="continue"/>
            <w:tcBorders>
              <w:left w:val="single" w:color="auto" w:sz="4" w:space="0"/>
              <w:bottom w:val="single" w:color="auto" w:sz="4" w:space="0"/>
            </w:tcBorders>
            <w:noWrap w:val="0"/>
            <w:vAlign w:val="center"/>
          </w:tcPr>
          <w:p w14:paraId="31132A04">
            <w:pPr>
              <w:pStyle w:val="224"/>
              <w:rPr>
                <w:rFonts w:eastAsia="宋体"/>
                <w:color w:val="auto"/>
                <w:sz w:val="21"/>
                <w:szCs w:val="21"/>
                <w:highlight w:val="none"/>
              </w:rPr>
            </w:pPr>
          </w:p>
        </w:tc>
        <w:tc>
          <w:tcPr>
            <w:tcW w:w="3015" w:type="pct"/>
            <w:gridSpan w:val="3"/>
            <w:tcBorders>
              <w:bottom w:val="single" w:color="auto" w:sz="4" w:space="0"/>
            </w:tcBorders>
            <w:noWrap w:val="0"/>
            <w:vAlign w:val="center"/>
          </w:tcPr>
          <w:p w14:paraId="369A32C1">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841" w:type="pct"/>
            <w:tcBorders>
              <w:bottom w:val="single" w:color="auto" w:sz="4" w:space="0"/>
              <w:right w:val="single" w:color="auto" w:sz="4" w:space="0"/>
            </w:tcBorders>
            <w:noWrap w:val="0"/>
            <w:vAlign w:val="center"/>
          </w:tcPr>
          <w:p w14:paraId="0F47FD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r>
    </w:tbl>
    <w:p w14:paraId="3F67A783">
      <w:pPr>
        <w:pStyle w:val="5"/>
        <w:rPr>
          <w:color w:val="auto"/>
          <w:highlight w:val="none"/>
        </w:rPr>
      </w:pPr>
      <w:r>
        <w:rPr>
          <w:color w:val="auto"/>
          <w:highlight w:val="none"/>
        </w:rPr>
        <w:t>5.2.2.2.地表水影响预测与评价</w:t>
      </w:r>
      <w:bookmarkEnd w:id="440"/>
      <w:bookmarkEnd w:id="441"/>
      <w:bookmarkEnd w:id="442"/>
      <w:bookmarkEnd w:id="443"/>
    </w:p>
    <w:p w14:paraId="2584271C">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地表水环境》（HJ2.3-2018）中的地表水环境影响评价分级判据可知，本项目生产废水、生活污水经处理达标后排入城镇污水处理厂，不直接排入纳污水体，因此本项目属于间接排放建设项目，评价等级为水污染影响型三级B，可不进行地表水环境影响预测。</w:t>
      </w:r>
    </w:p>
    <w:p w14:paraId="2A2782F0">
      <w:pPr>
        <w:pStyle w:val="352"/>
        <w:ind w:firstLine="48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根据《环境影响评价技术导则地表水环境》（HJ2.3-2018），水污染影响型三级B评价，主要评价内容包括：a</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水污染控制和水环境影响减缓措施有效性评价；b</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依托污水处理设施的环境可行性评价。</w:t>
      </w:r>
    </w:p>
    <w:p w14:paraId="072E6307">
      <w:pPr>
        <w:pStyle w:val="5"/>
        <w:rPr>
          <w:color w:val="auto"/>
          <w:highlight w:val="none"/>
        </w:rPr>
      </w:pPr>
      <w:bookmarkStart w:id="444" w:name="_Toc152922655"/>
      <w:bookmarkStart w:id="445" w:name="_Toc152921696"/>
      <w:bookmarkStart w:id="446" w:name="_Toc152922061"/>
      <w:bookmarkStart w:id="447" w:name="_Toc152923336"/>
      <w:r>
        <w:rPr>
          <w:color w:val="auto"/>
          <w:highlight w:val="none"/>
        </w:rPr>
        <w:t>5.2.2.</w:t>
      </w:r>
      <w:r>
        <w:rPr>
          <w:rFonts w:hint="eastAsia"/>
          <w:color w:val="auto"/>
          <w:highlight w:val="none"/>
          <w:lang w:val="en-US" w:eastAsia="zh-CN"/>
        </w:rPr>
        <w:t>3</w:t>
      </w:r>
      <w:r>
        <w:rPr>
          <w:color w:val="auto"/>
          <w:highlight w:val="none"/>
        </w:rPr>
        <w:t>.项目</w:t>
      </w:r>
      <w:r>
        <w:rPr>
          <w:rFonts w:hint="eastAsia"/>
          <w:color w:val="auto"/>
          <w:highlight w:val="none"/>
          <w:lang w:val="en-US" w:eastAsia="zh-CN"/>
        </w:rPr>
        <w:t>废水</w:t>
      </w:r>
      <w:r>
        <w:rPr>
          <w:color w:val="auto"/>
          <w:highlight w:val="none"/>
        </w:rPr>
        <w:t>接入</w:t>
      </w:r>
      <w:r>
        <w:rPr>
          <w:rFonts w:hint="eastAsia"/>
          <w:color w:val="auto"/>
          <w:highlight w:val="none"/>
          <w:lang w:val="en-US" w:eastAsia="zh-CN"/>
        </w:rPr>
        <w:t>田家庵经济开发区污水处理站</w:t>
      </w:r>
      <w:r>
        <w:rPr>
          <w:color w:val="auto"/>
          <w:highlight w:val="none"/>
        </w:rPr>
        <w:t>可行性分析</w:t>
      </w:r>
      <w:bookmarkEnd w:id="444"/>
      <w:bookmarkEnd w:id="445"/>
      <w:bookmarkEnd w:id="446"/>
      <w:bookmarkEnd w:id="447"/>
    </w:p>
    <w:p w14:paraId="544D8A18">
      <w:pPr>
        <w:pStyle w:val="352"/>
        <w:keepNext w:val="0"/>
        <w:keepLines w:val="0"/>
        <w:pageBreakBefore w:val="0"/>
        <w:kinsoku/>
        <w:wordWrap/>
        <w:overflowPunct/>
        <w:topLinePunct w:val="0"/>
        <w:autoSpaceDE/>
        <w:autoSpaceDN/>
        <w:bidi w:val="0"/>
        <w:adjustRightInd/>
        <w:snapToGrid/>
        <w:ind w:firstLine="480"/>
        <w:textAlignment w:val="auto"/>
        <w:rPr>
          <w:color w:val="auto"/>
          <w:highlight w:val="none"/>
        </w:rPr>
      </w:pPr>
      <w:r>
        <w:rPr>
          <w:color w:val="auto"/>
          <w:highlight w:val="none"/>
        </w:rPr>
        <w:t>（1）</w:t>
      </w:r>
      <w:r>
        <w:rPr>
          <w:rFonts w:hint="eastAsia"/>
          <w:color w:val="auto"/>
          <w:highlight w:val="none"/>
          <w:lang w:val="en-US" w:eastAsia="zh-CN"/>
        </w:rPr>
        <w:t>田家庵经济开发区污水处理站</w:t>
      </w:r>
      <w:r>
        <w:rPr>
          <w:color w:val="auto"/>
          <w:highlight w:val="none"/>
        </w:rPr>
        <w:t>简介</w:t>
      </w:r>
    </w:p>
    <w:p w14:paraId="33F023AF">
      <w:pPr>
        <w:pStyle w:val="547"/>
        <w:keepNext w:val="0"/>
        <w:keepLines w:val="0"/>
        <w:pageBreakBefore w:val="0"/>
        <w:kinsoku/>
        <w:wordWrap/>
        <w:overflowPunct/>
        <w:topLinePunct w:val="0"/>
        <w:autoSpaceDE/>
        <w:autoSpaceDN/>
        <w:bidi w:val="0"/>
        <w:adjustRightInd/>
        <w:snapToGrid/>
        <w:ind w:firstLine="480"/>
        <w:textAlignment w:val="auto"/>
        <w:rPr>
          <w:rFonts w:hint="eastAsia"/>
          <w:color w:val="auto"/>
          <w:highlight w:val="none"/>
        </w:rPr>
      </w:pPr>
      <w:r>
        <w:rPr>
          <w:rFonts w:hint="eastAsia"/>
          <w:color w:val="auto"/>
          <w:highlight w:val="none"/>
        </w:rPr>
        <w:t>本项目污水排入淮南</w:t>
      </w:r>
      <w:r>
        <w:rPr>
          <w:rFonts w:hint="eastAsia"/>
          <w:color w:val="auto"/>
          <w:highlight w:val="none"/>
          <w:lang w:val="en-US" w:eastAsia="zh-CN"/>
        </w:rPr>
        <w:t>田家庵经济开发区</w:t>
      </w:r>
      <w:r>
        <w:rPr>
          <w:rFonts w:hint="eastAsia"/>
          <w:color w:val="auto"/>
          <w:highlight w:val="none"/>
        </w:rPr>
        <w:t>污水处理</w:t>
      </w:r>
      <w:r>
        <w:rPr>
          <w:rFonts w:hint="eastAsia"/>
          <w:color w:val="auto"/>
          <w:highlight w:val="none"/>
          <w:lang w:val="en-US" w:eastAsia="zh-CN"/>
        </w:rPr>
        <w:t>站</w:t>
      </w:r>
      <w:r>
        <w:rPr>
          <w:rFonts w:hint="eastAsia"/>
          <w:color w:val="auto"/>
          <w:highlight w:val="none"/>
        </w:rPr>
        <w:t>进行处理，经处理达到《城镇污水处理厂污染物排放标准》</w:t>
      </w:r>
      <w:r>
        <w:rPr>
          <w:rFonts w:hint="eastAsia"/>
          <w:color w:val="auto"/>
          <w:highlight w:val="none"/>
          <w:lang w:eastAsia="zh-CN"/>
        </w:rPr>
        <w:t>（</w:t>
      </w:r>
      <w:r>
        <w:rPr>
          <w:rFonts w:hint="eastAsia"/>
          <w:color w:val="auto"/>
          <w:highlight w:val="none"/>
        </w:rPr>
        <w:t>GB18918-2002</w:t>
      </w:r>
      <w:r>
        <w:rPr>
          <w:rFonts w:hint="eastAsia"/>
          <w:color w:val="auto"/>
          <w:highlight w:val="none"/>
          <w:lang w:eastAsia="zh-CN"/>
        </w:rPr>
        <w:t>）</w:t>
      </w:r>
      <w:r>
        <w:rPr>
          <w:rFonts w:hint="eastAsia"/>
          <w:color w:val="auto"/>
          <w:highlight w:val="none"/>
        </w:rPr>
        <w:t>中一级A标准排入尾水排入林桥涧沟，最终汇入瓦埠湖。</w:t>
      </w:r>
    </w:p>
    <w:p w14:paraId="45A58465">
      <w:pPr>
        <w:pStyle w:val="547"/>
        <w:keepNext w:val="0"/>
        <w:keepLines w:val="0"/>
        <w:pageBreakBefore w:val="0"/>
        <w:kinsoku/>
        <w:wordWrap/>
        <w:overflowPunct/>
        <w:topLinePunct w:val="0"/>
        <w:autoSpaceDE/>
        <w:autoSpaceDN/>
        <w:bidi w:val="0"/>
        <w:adjustRightInd/>
        <w:snapToGrid/>
        <w:ind w:firstLine="480"/>
        <w:textAlignment w:val="auto"/>
        <w:rPr>
          <w:rFonts w:hint="eastAsia"/>
          <w:color w:val="auto"/>
          <w:highlight w:val="none"/>
        </w:rPr>
      </w:pPr>
      <w:r>
        <w:rPr>
          <w:rFonts w:hint="eastAsia"/>
          <w:color w:val="auto"/>
          <w:highlight w:val="none"/>
        </w:rPr>
        <w:t>淮南</w:t>
      </w:r>
      <w:r>
        <w:rPr>
          <w:rFonts w:hint="eastAsia"/>
          <w:color w:val="auto"/>
          <w:highlight w:val="none"/>
          <w:lang w:val="en-US" w:eastAsia="zh-CN"/>
        </w:rPr>
        <w:t>田家庵经济开发区</w:t>
      </w:r>
      <w:r>
        <w:rPr>
          <w:rFonts w:hint="eastAsia"/>
          <w:color w:val="auto"/>
          <w:highlight w:val="none"/>
        </w:rPr>
        <w:t>污水处理</w:t>
      </w:r>
      <w:r>
        <w:rPr>
          <w:rFonts w:hint="eastAsia"/>
          <w:color w:val="auto"/>
          <w:highlight w:val="none"/>
          <w:lang w:val="en-US" w:eastAsia="zh-CN"/>
        </w:rPr>
        <w:t>站</w:t>
      </w:r>
      <w:r>
        <w:rPr>
          <w:rFonts w:hint="eastAsia"/>
          <w:color w:val="auto"/>
          <w:highlight w:val="none"/>
        </w:rPr>
        <w:t>位于西外环路东侧，日处理污水1000t，采用</w:t>
      </w:r>
      <w:r>
        <w:rPr>
          <w:rFonts w:hint="eastAsia"/>
          <w:color w:val="auto"/>
          <w:highlight w:val="none"/>
          <w:lang w:eastAsia="zh-CN"/>
        </w:rPr>
        <w:t>“</w:t>
      </w:r>
      <w:r>
        <w:rPr>
          <w:rFonts w:hint="eastAsia"/>
          <w:color w:val="auto"/>
          <w:highlight w:val="none"/>
        </w:rPr>
        <w:t>预处理+生化处理+深度处理</w:t>
      </w:r>
      <w:r>
        <w:rPr>
          <w:rFonts w:hint="eastAsia"/>
          <w:color w:val="auto"/>
          <w:highlight w:val="none"/>
          <w:lang w:eastAsia="zh-CN"/>
        </w:rPr>
        <w:t>”</w:t>
      </w:r>
      <w:r>
        <w:rPr>
          <w:rFonts w:hint="eastAsia"/>
          <w:color w:val="auto"/>
          <w:highlight w:val="none"/>
        </w:rPr>
        <w:t>工艺，占地面积7亩。处理厂已于2018年3月正式运营。污水处理厂尾水排入林桥涧沟，最终汇入瓦埠湖。</w:t>
      </w:r>
    </w:p>
    <w:p w14:paraId="7A3E1FB7">
      <w:pPr>
        <w:pStyle w:val="352"/>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rPr>
        <w:t>污水处理厂</w:t>
      </w:r>
      <w:r>
        <w:rPr>
          <w:rFonts w:hint="default" w:ascii="Times New Roman" w:hAnsi="Times New Roman" w:eastAsia="宋体" w:cs="Times New Roman"/>
          <w:color w:val="auto"/>
          <w:highlight w:val="none"/>
        </w:rPr>
        <w:t>收水范围</w:t>
      </w:r>
    </w:p>
    <w:p w14:paraId="72ECD82B">
      <w:pPr>
        <w:pStyle w:val="352"/>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highlight w:val="none"/>
        </w:rPr>
      </w:pPr>
      <w:r>
        <w:rPr>
          <w:rFonts w:hint="eastAsia"/>
          <w:color w:val="auto"/>
          <w:highlight w:val="none"/>
        </w:rPr>
        <w:t>淮南</w:t>
      </w:r>
      <w:r>
        <w:rPr>
          <w:rFonts w:hint="eastAsia"/>
          <w:color w:val="auto"/>
          <w:highlight w:val="none"/>
          <w:lang w:val="en-US" w:eastAsia="zh-CN"/>
        </w:rPr>
        <w:t>田家庵经济开发区</w:t>
      </w:r>
      <w:r>
        <w:rPr>
          <w:rFonts w:hint="eastAsia" w:ascii="Times New Roman" w:hAnsi="Times New Roman" w:eastAsia="宋体" w:cs="Times New Roman"/>
          <w:color w:val="auto"/>
          <w:highlight w:val="none"/>
        </w:rPr>
        <w:t>污水处理</w:t>
      </w:r>
      <w:r>
        <w:rPr>
          <w:rFonts w:hint="eastAsia" w:ascii="Times New Roman" w:hAnsi="Times New Roman" w:eastAsia="宋体" w:cs="Times New Roman"/>
          <w:color w:val="auto"/>
          <w:highlight w:val="none"/>
          <w:lang w:val="en-US" w:eastAsia="zh-CN"/>
        </w:rPr>
        <w:t>站</w:t>
      </w:r>
      <w:r>
        <w:rPr>
          <w:rFonts w:hint="default" w:ascii="Times New Roman" w:hAnsi="Times New Roman" w:eastAsia="宋体" w:cs="Times New Roman"/>
          <w:color w:val="auto"/>
          <w:highlight w:val="none"/>
        </w:rPr>
        <w:t>服务范围为</w:t>
      </w:r>
      <w:r>
        <w:rPr>
          <w:rFonts w:hint="eastAsia"/>
          <w:color w:val="auto"/>
          <w:highlight w:val="none"/>
        </w:rPr>
        <w:t>淮南</w:t>
      </w:r>
      <w:r>
        <w:rPr>
          <w:rFonts w:hint="eastAsia"/>
          <w:color w:val="auto"/>
          <w:highlight w:val="none"/>
          <w:lang w:val="en-US" w:eastAsia="zh-CN"/>
        </w:rPr>
        <w:t>田家庵经济开发区</w:t>
      </w:r>
      <w:r>
        <w:rPr>
          <w:rFonts w:hint="eastAsia" w:ascii="Times New Roman" w:hAnsi="Times New Roman" w:eastAsia="宋体" w:cs="Times New Roman"/>
          <w:color w:val="auto"/>
          <w:highlight w:val="none"/>
        </w:rPr>
        <w:t>所有生产企业</w:t>
      </w:r>
      <w:r>
        <w:rPr>
          <w:rFonts w:hint="default" w:ascii="Times New Roman" w:hAnsi="Times New Roman" w:eastAsia="宋体" w:cs="Times New Roman"/>
          <w:color w:val="auto"/>
          <w:highlight w:val="none"/>
        </w:rPr>
        <w:t>的部分工业废水和全部生活污水，本</w:t>
      </w:r>
      <w:r>
        <w:rPr>
          <w:rFonts w:hint="eastAsia" w:ascii="Times New Roman" w:hAnsi="Times New Roman" w:eastAsia="宋体" w:cs="Times New Roman"/>
          <w:color w:val="auto"/>
          <w:highlight w:val="none"/>
          <w:lang w:val="en-US" w:eastAsia="zh-CN"/>
        </w:rPr>
        <w:t>站区选址位置位于</w:t>
      </w:r>
      <w:r>
        <w:rPr>
          <w:rFonts w:hint="eastAsia"/>
          <w:color w:val="auto"/>
          <w:highlight w:val="none"/>
        </w:rPr>
        <w:t>淮南</w:t>
      </w:r>
      <w:r>
        <w:rPr>
          <w:rFonts w:hint="eastAsia"/>
          <w:color w:val="auto"/>
          <w:highlight w:val="none"/>
          <w:lang w:val="en-US" w:eastAsia="zh-CN"/>
        </w:rPr>
        <w:t>田家庵经济开发区污水管线辐射范围</w:t>
      </w:r>
      <w:r>
        <w:rPr>
          <w:rFonts w:hint="eastAsia" w:ascii="Times New Roman" w:hAnsi="Times New Roman" w:eastAsia="宋体" w:cs="Times New Roman"/>
          <w:color w:val="auto"/>
          <w:highlight w:val="none"/>
        </w:rPr>
        <w:t>，属于污水处理厂的收水范围</w:t>
      </w:r>
      <w:r>
        <w:rPr>
          <w:rFonts w:hint="default" w:ascii="Times New Roman" w:hAnsi="Times New Roman" w:eastAsia="宋体" w:cs="Times New Roman"/>
          <w:color w:val="auto"/>
          <w:highlight w:val="none"/>
        </w:rPr>
        <w:t>。</w:t>
      </w:r>
    </w:p>
    <w:p w14:paraId="74C7E87D">
      <w:pPr>
        <w:pStyle w:val="352"/>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highlight w:val="none"/>
        </w:rPr>
      </w:pPr>
      <w:r>
        <w:rPr>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1967230</wp:posOffset>
                </wp:positionH>
                <wp:positionV relativeFrom="paragraph">
                  <wp:posOffset>127635</wp:posOffset>
                </wp:positionV>
                <wp:extent cx="1047750" cy="207645"/>
                <wp:effectExtent l="323850" t="4445" r="19050" b="321310"/>
                <wp:wrapNone/>
                <wp:docPr id="284" name="自选图形 166"/>
                <wp:cNvGraphicFramePr/>
                <a:graphic xmlns:a="http://schemas.openxmlformats.org/drawingml/2006/main">
                  <a:graphicData uri="http://schemas.microsoft.com/office/word/2010/wordprocessingShape">
                    <wps:wsp>
                      <wps:cNvSpPr/>
                      <wps:spPr>
                        <a:xfrm>
                          <a:off x="0" y="0"/>
                          <a:ext cx="1047750" cy="207645"/>
                        </a:xfrm>
                        <a:prstGeom prst="wedgeRectCallout">
                          <a:avLst>
                            <a:gd name="adj1" fmla="val -77630"/>
                            <a:gd name="adj2" fmla="val 194954"/>
                          </a:avLst>
                        </a:prstGeom>
                        <a:solidFill>
                          <a:srgbClr val="FFFFFF"/>
                        </a:solidFill>
                        <a:ln w="9525" cap="flat" cmpd="sng">
                          <a:solidFill>
                            <a:srgbClr val="000000"/>
                          </a:solidFill>
                          <a:prstDash val="solid"/>
                          <a:miter/>
                          <a:headEnd type="none" w="med" len="med"/>
                          <a:tailEnd type="none" w="med" len="med"/>
                        </a:ln>
                      </wps:spPr>
                      <wps:txbx>
                        <w:txbxContent>
                          <w:p w14:paraId="4AEFEDA0"/>
                        </w:txbxContent>
                      </wps:txbx>
                      <wps:bodyPr vert="horz" wrap="square" anchor="t" anchorCtr="0" upright="1"/>
                    </wps:wsp>
                  </a:graphicData>
                </a:graphic>
              </wp:anchor>
            </w:drawing>
          </mc:Choice>
          <mc:Fallback>
            <w:pict>
              <v:shape id="自选图形 166" o:spid="_x0000_s1026" o:spt="61" type="#_x0000_t61" style="position:absolute;left:0pt;margin-left:154.9pt;margin-top:10.05pt;height:16.35pt;width:82.5pt;z-index:251720704;mso-width-relative:page;mso-height-relative:page;" fillcolor="#FFFFFF" filled="t" stroked="t" coordsize="21600,21600" o:gfxdata="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69Zlw9gAAAAJAQAADwAAAAAAAAABACAAAAAiAAAAZHJzL2Rvd25yZXYueG1sUEsBAhQAFAAAAAgA&#10;h07iQD4OD8ReAgAAxQQAAA4AAAAAAAAAAQAgAAAAJwEAAGRycy9lMm9Eb2MueG1sUEsFBgAAAAAG&#10;AAYAWQEAAPcFAAAAAA==&#10;" adj="-5968,52910">
                <v:fill on="t" focussize="0,0"/>
                <v:stroke color="#000000" joinstyle="miter"/>
                <v:imagedata o:title=""/>
                <o:lock v:ext="edit" aspectratio="f"/>
                <v:textbox>
                  <w:txbxContent>
                    <w:p w14:paraId="4AEFEDA0"/>
                  </w:txbxContent>
                </v:textbox>
              </v:shape>
            </w:pict>
          </mc:Fallback>
        </mc:AlternateContent>
      </w:r>
      <w:r>
        <w:rPr>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1551940</wp:posOffset>
                </wp:positionH>
                <wp:positionV relativeFrom="paragraph">
                  <wp:posOffset>603885</wp:posOffset>
                </wp:positionV>
                <wp:extent cx="129540" cy="112395"/>
                <wp:effectExtent l="5080" t="5080" r="17780" b="15875"/>
                <wp:wrapNone/>
                <wp:docPr id="285" name="椭圆 165"/>
                <wp:cNvGraphicFramePr/>
                <a:graphic xmlns:a="http://schemas.openxmlformats.org/drawingml/2006/main">
                  <a:graphicData uri="http://schemas.microsoft.com/office/word/2010/wordprocessingShape">
                    <wps:wsp>
                      <wps:cNvSpPr/>
                      <wps:spPr>
                        <a:xfrm>
                          <a:off x="0" y="0"/>
                          <a:ext cx="129540" cy="112395"/>
                        </a:xfrm>
                        <a:prstGeom prst="ellipse">
                          <a:avLst/>
                        </a:prstGeom>
                        <a:solidFill>
                          <a:srgbClr val="FF0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椭圆 165" o:spid="_x0000_s1026" o:spt="3" type="#_x0000_t3" style="position:absolute;left:0pt;margin-left:122.2pt;margin-top:47.55pt;height:8.85pt;width:10.2pt;z-index:251721728;mso-width-relative:page;mso-height-relative:page;" fillcolor="#FF0000" filled="t" stroked="t" coordsize="21600,21600" o:gfxdata="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JjEHEtYA&#10;AAAKAQAADwAAAAAAAAABACAAAAAiAAAAZHJzL2Rvd25yZXYueG1sUEsBAhQAFAAAAAgAh07iQE4w&#10;jTohAgAAVwQAAA4AAAAAAAAAAQAgAAAAJQEAAGRycy9lMm9Eb2MueG1sUEsFBgAAAAAGAAYAWQEA&#10;ALgFAAAAAA==&#10;">
                <v:fill on="t" focussize="0,0"/>
                <v:stroke color="#000000" joinstyle="miter"/>
                <v:imagedata o:title=""/>
                <o:lock v:ext="edit" aspectratio="f"/>
              </v:shape>
            </w:pict>
          </mc:Fallback>
        </mc:AlternateContent>
      </w:r>
      <w:r>
        <w:rPr>
          <w:rFonts w:hint="eastAsia" w:ascii="Times New Roman" w:hAnsi="Times New Roman" w:eastAsia="宋体" w:cs="Times New Roman"/>
          <w:color w:val="auto"/>
          <w:spacing w:val="0"/>
          <w:position w:val="0"/>
          <w:sz w:val="24"/>
          <w:szCs w:val="24"/>
          <w:highlight w:val="none"/>
          <w:lang w:eastAsia="zh-CN"/>
        </w:rPr>
        <w:drawing>
          <wp:inline distT="0" distB="0" distL="114300" distR="114300">
            <wp:extent cx="5003800" cy="3539490"/>
            <wp:effectExtent l="9525" t="9525" r="15875" b="13335"/>
            <wp:docPr id="576" name="图片 69" descr="/private/var/folders/rv/1zxdhk7d24jdzf2cs6c8kgtr0000gn/T/com.kingsoft.wpsoffice.mac/picturecompress_2023110318554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69" descr="/private/var/folders/rv/1zxdhk7d24jdzf2cs6c8kgtr0000gn/T/com.kingsoft.wpsoffice.mac/picturecompress_20231103185542/output_1.jpgoutput_1"/>
                    <pic:cNvPicPr>
                      <a:picLocks noChangeAspect="1"/>
                    </pic:cNvPicPr>
                  </pic:nvPicPr>
                  <pic:blipFill>
                    <a:blip r:embed="rId67"/>
                    <a:stretch>
                      <a:fillRect/>
                    </a:stretch>
                  </pic:blipFill>
                  <pic:spPr>
                    <a:xfrm>
                      <a:off x="0" y="0"/>
                      <a:ext cx="5003800" cy="353949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52015713">
      <w:pPr>
        <w:spacing w:before="1" w:line="219" w:lineRule="auto"/>
        <w:ind w:firstLine="0"/>
        <w:jc w:val="center"/>
        <w:rPr>
          <w:rFonts w:hint="eastAsia" w:ascii="Times New Roman" w:hAnsi="Times New Roman" w:eastAsia="黑体" w:cs="Times New Roman"/>
          <w:caps w:val="0"/>
          <w:smallCaps w:val="0"/>
          <w:color w:val="auto"/>
          <w:spacing w:val="0"/>
          <w:w w:val="100"/>
          <w:kern w:val="2"/>
          <w:position w:val="0"/>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图5.2-</w:t>
      </w:r>
      <w:r>
        <w:rPr>
          <w:rFonts w:hint="eastAsia" w:cs="Times New Roman"/>
          <w:b/>
          <w:bCs/>
          <w:color w:val="auto"/>
          <w:kern w:val="2"/>
          <w:sz w:val="24"/>
          <w:szCs w:val="24"/>
          <w:highlight w:val="none"/>
          <w:lang w:val="en-US" w:eastAsia="zh-CN" w:bidi="ar-SA"/>
        </w:rPr>
        <w:t>7</w:t>
      </w:r>
      <w:r>
        <w:rPr>
          <w:rFonts w:hint="eastAsia" w:ascii="Times New Roman" w:hAnsi="Times New Roman" w:eastAsia="宋体" w:cs="Times New Roman"/>
          <w:b/>
          <w:bCs/>
          <w:color w:val="auto"/>
          <w:kern w:val="2"/>
          <w:sz w:val="24"/>
          <w:szCs w:val="24"/>
          <w:highlight w:val="none"/>
          <w:lang w:val="en-US" w:eastAsia="zh-CN" w:bidi="ar-SA"/>
        </w:rPr>
        <w:t xml:space="preserve">  田家庵经济开发区污水工程规划图</w:t>
      </w:r>
    </w:p>
    <w:p w14:paraId="4734B39A">
      <w:pPr>
        <w:pStyle w:val="352"/>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rPr>
        <w:t>处理</w:t>
      </w:r>
      <w:r>
        <w:rPr>
          <w:rFonts w:hint="default" w:ascii="Times New Roman" w:hAnsi="Times New Roman" w:eastAsia="宋体" w:cs="Times New Roman"/>
          <w:color w:val="auto"/>
          <w:highlight w:val="none"/>
        </w:rPr>
        <w:t>工艺</w:t>
      </w:r>
      <w:r>
        <w:rPr>
          <w:rFonts w:hint="eastAsia" w:ascii="Times New Roman" w:hAnsi="Times New Roman" w:eastAsia="宋体" w:cs="Times New Roman"/>
          <w:color w:val="auto"/>
          <w:highlight w:val="none"/>
        </w:rPr>
        <w:t>及规模</w:t>
      </w:r>
    </w:p>
    <w:p w14:paraId="148B0574">
      <w:pPr>
        <w:pStyle w:val="352"/>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①从水量角度分析</w:t>
      </w:r>
    </w:p>
    <w:p w14:paraId="74CF021D">
      <w:pPr>
        <w:pStyle w:val="352"/>
        <w:keepNext w:val="0"/>
        <w:keepLines w:val="0"/>
        <w:pageBreakBefore w:val="0"/>
        <w:widowControl w:val="0"/>
        <w:kinsoku/>
        <w:wordWrap/>
        <w:overflowPunct/>
        <w:topLinePunct w:val="0"/>
        <w:autoSpaceDE/>
        <w:autoSpaceDN/>
        <w:bidi w:val="0"/>
        <w:adjustRightInd/>
        <w:snapToGrid/>
        <w:ind w:firstLine="480"/>
        <w:textAlignment w:val="auto"/>
        <w:rPr>
          <w:rFonts w:hint="eastAsia" w:ascii="Times New Roman" w:hAnsi="Times New Roman" w:eastAsia="宋体" w:cs="Times New Roman"/>
          <w:color w:val="auto"/>
          <w:highlight w:val="none"/>
          <w:lang w:val="en-US" w:eastAsia="zh-CN"/>
        </w:rPr>
      </w:pPr>
      <w:r>
        <w:rPr>
          <w:rFonts w:hint="eastAsia"/>
          <w:color w:val="auto"/>
          <w:highlight w:val="none"/>
          <w:lang w:val="en-US" w:eastAsia="zh-CN"/>
        </w:rPr>
        <w:t>田家庵经济开发区</w:t>
      </w:r>
      <w:r>
        <w:rPr>
          <w:rFonts w:hint="eastAsia" w:ascii="Times New Roman" w:hAnsi="Times New Roman" w:eastAsia="宋体" w:cs="Times New Roman"/>
          <w:color w:val="auto"/>
          <w:highlight w:val="none"/>
          <w:lang w:val="en-US" w:eastAsia="zh-CN"/>
        </w:rPr>
        <w:t>污水收集管网</w:t>
      </w:r>
      <w:r>
        <w:rPr>
          <w:rFonts w:hint="default" w:ascii="Times New Roman" w:hAnsi="Times New Roman" w:eastAsia="宋体" w:cs="Times New Roman"/>
          <w:color w:val="auto"/>
          <w:highlight w:val="none"/>
          <w:lang w:val="en-US" w:eastAsia="zh-CN"/>
        </w:rPr>
        <w:t>已经建设完成，本项目污水排放量</w:t>
      </w:r>
      <w:r>
        <w:rPr>
          <w:rFonts w:hint="eastAsia" w:ascii="Times New Roman" w:hAnsi="Times New Roman" w:eastAsia="宋体" w:cs="Times New Roman"/>
          <w:color w:val="auto"/>
          <w:highlight w:val="none"/>
          <w:lang w:val="en-US" w:eastAsia="zh-CN"/>
        </w:rPr>
        <w:t>10.7</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d</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园区现状污水处理规模约为200~300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d，剩余处理能力≥700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d，本项目</w:t>
      </w:r>
      <w:r>
        <w:rPr>
          <w:rFonts w:hint="default" w:ascii="Times New Roman" w:hAnsi="Times New Roman" w:eastAsia="宋体" w:cs="Times New Roman"/>
          <w:color w:val="auto"/>
          <w:highlight w:val="none"/>
          <w:lang w:val="en-US" w:eastAsia="zh-CN"/>
        </w:rPr>
        <w:t>仅占</w:t>
      </w:r>
      <w:r>
        <w:rPr>
          <w:rFonts w:hint="eastAsia" w:ascii="Times New Roman" w:hAnsi="Times New Roman" w:eastAsia="宋体" w:cs="Times New Roman"/>
          <w:color w:val="auto"/>
          <w:highlight w:val="none"/>
          <w:lang w:val="en-US" w:eastAsia="zh-CN"/>
        </w:rPr>
        <w:t>园区</w:t>
      </w:r>
      <w:r>
        <w:rPr>
          <w:rFonts w:hint="default" w:ascii="Times New Roman" w:hAnsi="Times New Roman" w:eastAsia="宋体" w:cs="Times New Roman"/>
          <w:color w:val="auto"/>
          <w:highlight w:val="none"/>
          <w:lang w:val="en-US" w:eastAsia="zh-CN"/>
        </w:rPr>
        <w:t>污水处理厂</w:t>
      </w:r>
      <w:r>
        <w:rPr>
          <w:rFonts w:hint="eastAsia" w:ascii="Times New Roman" w:hAnsi="Times New Roman" w:eastAsia="宋体" w:cs="Times New Roman"/>
          <w:color w:val="auto"/>
          <w:highlight w:val="none"/>
          <w:lang w:val="en-US" w:eastAsia="zh-CN"/>
        </w:rPr>
        <w:t>剩余处理能力的1.53</w:t>
      </w:r>
      <w:r>
        <w:rPr>
          <w:rFonts w:hint="default" w:ascii="Times New Roman" w:hAnsi="Times New Roman" w:eastAsia="宋体" w:cs="Times New Roman"/>
          <w:color w:val="auto"/>
          <w:highlight w:val="none"/>
          <w:lang w:val="en-US" w:eastAsia="zh-CN"/>
        </w:rPr>
        <w:t>%，外排废水量较小，不会对</w:t>
      </w:r>
      <w:r>
        <w:rPr>
          <w:rFonts w:hint="eastAsia" w:ascii="Times New Roman" w:hAnsi="Times New Roman" w:eastAsia="宋体" w:cs="Times New Roman"/>
          <w:color w:val="auto"/>
          <w:highlight w:val="none"/>
          <w:lang w:val="en-US" w:eastAsia="zh-CN"/>
        </w:rPr>
        <w:t>园区</w:t>
      </w:r>
      <w:r>
        <w:rPr>
          <w:rFonts w:hint="default" w:ascii="Times New Roman" w:hAnsi="Times New Roman" w:eastAsia="宋体" w:cs="Times New Roman"/>
          <w:color w:val="auto"/>
          <w:highlight w:val="none"/>
          <w:lang w:val="en-US" w:eastAsia="zh-CN"/>
        </w:rPr>
        <w:t>污水处理厂产生冲击负荷，</w:t>
      </w:r>
      <w:r>
        <w:rPr>
          <w:rFonts w:hint="eastAsia" w:ascii="Times New Roman" w:hAnsi="Times New Roman" w:eastAsia="宋体" w:cs="Times New Roman"/>
          <w:color w:val="auto"/>
          <w:highlight w:val="none"/>
          <w:lang w:val="en-US" w:eastAsia="zh-CN"/>
        </w:rPr>
        <w:t>园区污水处理厂剩余处理能力能够满足本项目排放废水水量纳管要求。目前园区污水处理厂运行稳定，废水经处理达到《城镇污水处理厂污染物排放标准》（GB18918-2002）表1一级A标准后排入地表水体林桥涧沟，废水实现达标排放，对地表水体</w:t>
      </w:r>
      <w:r>
        <w:rPr>
          <w:rFonts w:hint="default" w:ascii="Times New Roman" w:hAnsi="Times New Roman" w:eastAsia="宋体" w:cs="Times New Roman"/>
          <w:color w:val="auto"/>
          <w:highlight w:val="none"/>
          <w:lang w:val="en-US" w:eastAsia="zh-CN"/>
        </w:rPr>
        <w:t>瓦埠</w:t>
      </w:r>
      <w:r>
        <w:rPr>
          <w:rFonts w:hint="eastAsia" w:ascii="Times New Roman" w:hAnsi="Times New Roman" w:eastAsia="宋体" w:cs="Times New Roman"/>
          <w:color w:val="auto"/>
          <w:highlight w:val="none"/>
          <w:lang w:val="en-US" w:eastAsia="zh-CN"/>
        </w:rPr>
        <w:t>湖水环境质量影响较小。</w:t>
      </w:r>
    </w:p>
    <w:p w14:paraId="43BCB38E">
      <w:pPr>
        <w:pStyle w:val="352"/>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②从水质角度分析</w:t>
      </w:r>
    </w:p>
    <w:p w14:paraId="6E3AA416">
      <w:pPr>
        <w:pStyle w:val="352"/>
        <w:ind w:firstLine="480"/>
        <w:rPr>
          <w:rFonts w:hint="eastAsia"/>
          <w:color w:val="auto"/>
          <w:highlight w:val="none"/>
        </w:rPr>
      </w:pPr>
      <w:r>
        <w:rPr>
          <w:rFonts w:hint="eastAsia"/>
          <w:color w:val="auto"/>
          <w:highlight w:val="none"/>
          <w:lang w:val="en-US" w:eastAsia="zh-CN"/>
        </w:rPr>
        <w:t>田家庵经济开发区</w:t>
      </w:r>
      <w:r>
        <w:rPr>
          <w:rFonts w:hint="eastAsia" w:ascii="Times New Roman" w:hAnsi="Times New Roman" w:eastAsia="宋体" w:cs="Times New Roman"/>
          <w:color w:val="auto"/>
          <w:highlight w:val="none"/>
        </w:rPr>
        <w:t>污水处理</w:t>
      </w:r>
      <w:r>
        <w:rPr>
          <w:rFonts w:hint="eastAsia" w:ascii="Times New Roman" w:hAnsi="Times New Roman" w:eastAsia="宋体" w:cs="Times New Roman"/>
          <w:color w:val="auto"/>
          <w:highlight w:val="none"/>
          <w:lang w:val="en-US" w:eastAsia="zh-CN"/>
        </w:rPr>
        <w:t>站</w:t>
      </w:r>
      <w:r>
        <w:rPr>
          <w:rFonts w:hint="default" w:ascii="Times New Roman" w:hAnsi="Times New Roman" w:eastAsia="宋体" w:cs="Times New Roman"/>
          <w:color w:val="auto"/>
          <w:highlight w:val="none"/>
        </w:rPr>
        <w:t>预处理工艺采用粗、细格栅、提升泵房、沉砂的方法。生化处理工艺采用多模式A/A/O工艺</w:t>
      </w:r>
      <w:r>
        <w:rPr>
          <w:rFonts w:hint="eastAsia" w:ascii="Times New Roman" w:hAnsi="Times New Roman" w:eastAsia="宋体" w:cs="Times New Roman"/>
          <w:color w:val="auto"/>
          <w:highlight w:val="none"/>
        </w:rPr>
        <w:t>（见下图）</w:t>
      </w:r>
      <w:r>
        <w:rPr>
          <w:rFonts w:hint="default" w:ascii="Times New Roman" w:hAnsi="Times New Roman" w:eastAsia="宋体" w:cs="Times New Roman"/>
          <w:color w:val="auto"/>
          <w:highlight w:val="none"/>
        </w:rPr>
        <w:t>。项目</w:t>
      </w:r>
      <w:r>
        <w:rPr>
          <w:rFonts w:hint="eastAsia" w:ascii="Times New Roman" w:hAnsi="Times New Roman" w:eastAsia="宋体" w:cs="Times New Roman"/>
          <w:color w:val="auto"/>
          <w:highlight w:val="none"/>
          <w:lang w:val="en-US" w:eastAsia="zh-CN"/>
        </w:rPr>
        <w:t>综合废水</w:t>
      </w:r>
      <w:r>
        <w:rPr>
          <w:rFonts w:hint="default" w:ascii="Times New Roman" w:hAnsi="Times New Roman" w:eastAsia="宋体" w:cs="Times New Roman"/>
          <w:color w:val="auto"/>
          <w:highlight w:val="none"/>
        </w:rPr>
        <w:t>经预处理后能够达到</w:t>
      </w:r>
      <w:r>
        <w:rPr>
          <w:rFonts w:hint="eastAsia" w:ascii="Times New Roman" w:hAnsi="Times New Roman" w:eastAsia="宋体" w:cs="Times New Roman"/>
          <w:color w:val="auto"/>
          <w:sz w:val="24"/>
          <w:szCs w:val="24"/>
          <w:highlight w:val="none"/>
          <w:lang w:val="en-US" w:eastAsia="zh-CN"/>
        </w:rPr>
        <w:t>《石油化学工业污染物排放标准》（GB31571-2015）</w:t>
      </w:r>
      <w:r>
        <w:rPr>
          <w:rFonts w:hint="eastAsia" w:ascii="Times New Roman" w:hAnsi="Times New Roman" w:eastAsia="宋体" w:cs="Times New Roman"/>
          <w:color w:val="auto"/>
          <w:sz w:val="24"/>
          <w:szCs w:val="24"/>
          <w:highlight w:val="none"/>
        </w:rPr>
        <w:t>和</w:t>
      </w:r>
      <w:r>
        <w:rPr>
          <w:rFonts w:ascii="Times New Roman" w:hAnsi="Times New Roman" w:eastAsia="宋体" w:cs="Times New Roman"/>
          <w:color w:val="auto"/>
          <w:sz w:val="24"/>
          <w:szCs w:val="24"/>
          <w:highlight w:val="none"/>
        </w:rPr>
        <w:t>园区污水处理厂</w:t>
      </w:r>
      <w:r>
        <w:rPr>
          <w:rFonts w:hint="eastAsia" w:ascii="Times New Roman" w:hAnsi="Times New Roman" w:eastAsia="宋体" w:cs="Times New Roman"/>
          <w:color w:val="auto"/>
          <w:sz w:val="24"/>
          <w:szCs w:val="24"/>
          <w:highlight w:val="none"/>
        </w:rPr>
        <w:t>接管标准</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LAS执行</w:t>
      </w:r>
      <w:r>
        <w:rPr>
          <w:rFonts w:hint="default" w:ascii="Times New Roman" w:hAnsi="Times New Roman" w:eastAsia="宋体" w:cs="Times New Roman"/>
          <w:strike w:val="0"/>
          <w:color w:val="auto"/>
          <w:sz w:val="24"/>
          <w:szCs w:val="24"/>
          <w:highlight w:val="none"/>
          <w:lang w:val="en-US" w:eastAsia="zh-CN"/>
        </w:rPr>
        <w:t>《污水综合排放标准》（GB8978-1996）表4中三级标准</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highlight w:val="none"/>
        </w:rPr>
        <w:t>，外排废水水质能达到污水处理厂的进水水质要求，不会对污水处理厂正常运行造成影响。因此，产生的废水排入</w:t>
      </w:r>
      <w:r>
        <w:rPr>
          <w:rFonts w:hint="eastAsia" w:ascii="Times New Roman" w:hAnsi="Times New Roman" w:eastAsia="宋体" w:cs="Times New Roman"/>
          <w:color w:val="auto"/>
          <w:highlight w:val="none"/>
        </w:rPr>
        <w:t>园区</w:t>
      </w:r>
      <w:r>
        <w:rPr>
          <w:rFonts w:hint="default" w:ascii="Times New Roman" w:hAnsi="Times New Roman" w:eastAsia="宋体" w:cs="Times New Roman"/>
          <w:color w:val="auto"/>
          <w:highlight w:val="none"/>
        </w:rPr>
        <w:t>污水处理厂可行。</w:t>
      </w:r>
      <w:r>
        <w:rPr>
          <w:rFonts w:hint="eastAsia"/>
          <w:color w:val="auto"/>
          <w:highlight w:val="none"/>
        </w:rPr>
        <w:t>本项目</w:t>
      </w:r>
      <w:r>
        <w:rPr>
          <w:rFonts w:hint="eastAsia"/>
          <w:color w:val="auto"/>
          <w:highlight w:val="none"/>
          <w:lang w:val="en-US" w:eastAsia="zh-CN"/>
        </w:rPr>
        <w:t>洗车废水、初期雨水</w:t>
      </w:r>
      <w:r>
        <w:rPr>
          <w:rFonts w:hint="eastAsia"/>
          <w:color w:val="auto"/>
          <w:highlight w:val="none"/>
        </w:rPr>
        <w:t>经隔油池后与生活污水一并排入化粪池，经</w:t>
      </w:r>
      <w:r>
        <w:rPr>
          <w:rFonts w:hint="eastAsia"/>
          <w:color w:val="auto"/>
          <w:highlight w:val="none"/>
          <w:lang w:val="en-US" w:eastAsia="zh-CN"/>
        </w:rPr>
        <w:t>预处理后与间接循环冷却排水、脱盐水制备产生浓水、反冲洗废水接管市政污水管网</w:t>
      </w:r>
      <w:r>
        <w:rPr>
          <w:rFonts w:hint="eastAsia"/>
          <w:color w:val="auto"/>
          <w:highlight w:val="none"/>
        </w:rPr>
        <w:t>，需满足</w:t>
      </w:r>
      <w:r>
        <w:rPr>
          <w:rFonts w:hint="eastAsia"/>
          <w:color w:val="auto"/>
          <w:highlight w:val="none"/>
          <w:lang w:val="en-US" w:eastAsia="zh-CN"/>
        </w:rPr>
        <w:t>田家庵经济开发区</w:t>
      </w:r>
      <w:r>
        <w:rPr>
          <w:rFonts w:hint="default" w:ascii="Times New Roman" w:hAnsi="Times New Roman" w:eastAsia="宋体" w:cs="Times New Roman"/>
          <w:color w:val="auto"/>
          <w:highlight w:val="none"/>
        </w:rPr>
        <w:t>污水处理</w:t>
      </w:r>
      <w:r>
        <w:rPr>
          <w:rFonts w:hint="eastAsia" w:ascii="Times New Roman" w:hAnsi="Times New Roman" w:eastAsia="宋体" w:cs="Times New Roman"/>
          <w:color w:val="auto"/>
          <w:highlight w:val="none"/>
          <w:lang w:val="en-US" w:eastAsia="zh-CN"/>
        </w:rPr>
        <w:t>站</w:t>
      </w:r>
      <w:r>
        <w:rPr>
          <w:color w:val="auto"/>
          <w:highlight w:val="none"/>
        </w:rPr>
        <w:t>接管标准</w:t>
      </w:r>
      <w:r>
        <w:rPr>
          <w:rFonts w:hint="eastAsia"/>
          <w:color w:val="auto"/>
          <w:highlight w:val="none"/>
        </w:rPr>
        <w:t>，</w:t>
      </w:r>
      <w:r>
        <w:rPr>
          <w:color w:val="auto"/>
          <w:highlight w:val="none"/>
        </w:rPr>
        <w:t>其中未规定的因子依次执行《污水综合排放标准》（GB8978-1996）三级标准</w:t>
      </w:r>
      <w:r>
        <w:rPr>
          <w:rFonts w:hint="eastAsia"/>
          <w:color w:val="auto"/>
          <w:highlight w:val="none"/>
        </w:rPr>
        <w:t>。</w:t>
      </w:r>
      <w:r>
        <w:rPr>
          <w:color w:val="auto"/>
          <w:highlight w:val="none"/>
        </w:rPr>
        <w:t>本项目排放的废水水质和</w:t>
      </w:r>
      <w:r>
        <w:rPr>
          <w:rFonts w:hint="eastAsia"/>
          <w:color w:val="auto"/>
          <w:highlight w:val="none"/>
          <w:lang w:val="en-US" w:eastAsia="zh-CN"/>
        </w:rPr>
        <w:t>田家庵经济开发区</w:t>
      </w:r>
      <w:r>
        <w:rPr>
          <w:rFonts w:hint="default" w:ascii="Times New Roman" w:hAnsi="Times New Roman" w:eastAsia="宋体" w:cs="Times New Roman"/>
          <w:color w:val="auto"/>
          <w:highlight w:val="none"/>
        </w:rPr>
        <w:t>污水处理</w:t>
      </w:r>
      <w:r>
        <w:rPr>
          <w:rFonts w:hint="eastAsia" w:ascii="Times New Roman" w:hAnsi="Times New Roman" w:eastAsia="宋体" w:cs="Times New Roman"/>
          <w:color w:val="auto"/>
          <w:highlight w:val="none"/>
          <w:lang w:val="en-US" w:eastAsia="zh-CN"/>
        </w:rPr>
        <w:t>站</w:t>
      </w:r>
      <w:r>
        <w:rPr>
          <w:color w:val="auto"/>
          <w:highlight w:val="none"/>
        </w:rPr>
        <w:t>接管限值对比见下表</w:t>
      </w:r>
      <w:r>
        <w:rPr>
          <w:rFonts w:hint="eastAsia"/>
          <w:color w:val="auto"/>
          <w:highlight w:val="none"/>
        </w:rPr>
        <w:t>。</w:t>
      </w:r>
    </w:p>
    <w:p w14:paraId="1319B6DC">
      <w:pPr>
        <w:spacing w:line="360" w:lineRule="auto"/>
        <w:jc w:val="center"/>
        <w:textAlignment w:val="baseline"/>
        <w:rPr>
          <w:rFonts w:hint="eastAsia" w:ascii="Times New Roman" w:hAnsi="Times New Roman" w:eastAsia="宋体" w:cs="Times New Roman"/>
          <w:b/>
          <w:bCs/>
          <w:snapToGrid w:val="0"/>
          <w:color w:val="auto"/>
          <w:sz w:val="24"/>
          <w:szCs w:val="24"/>
          <w:highlight w:val="none"/>
          <w:lang w:eastAsia="zh-CN"/>
        </w:rPr>
      </w:pPr>
      <w:r>
        <w:rPr>
          <w:rFonts w:hint="default" w:ascii="Times New Roman" w:hAnsi="Times New Roman" w:eastAsia="宋体" w:cs="Times New Roman"/>
          <w:b/>
          <w:bCs/>
          <w:snapToGrid w:val="0"/>
          <w:color w:val="auto"/>
          <w:sz w:val="24"/>
          <w:szCs w:val="24"/>
          <w:highlight w:val="none"/>
        </w:rPr>
        <w:t>表</w:t>
      </w:r>
      <w:r>
        <w:rPr>
          <w:rFonts w:hint="default" w:ascii="Times New Roman" w:hAnsi="Times New Roman" w:eastAsia="宋体" w:cs="Times New Roman"/>
          <w:b/>
          <w:bCs/>
          <w:snapToGrid w:val="0"/>
          <w:color w:val="auto"/>
          <w:sz w:val="24"/>
          <w:szCs w:val="24"/>
          <w:highlight w:val="none"/>
          <w:lang w:val="en-US" w:eastAsia="zh-CN"/>
        </w:rPr>
        <w:t>5.2</w:t>
      </w:r>
      <w:r>
        <w:rPr>
          <w:rFonts w:hint="eastAsia" w:ascii="Times New Roman" w:hAnsi="Times New Roman" w:eastAsia="宋体" w:cs="Times New Roman"/>
          <w:b/>
          <w:bCs/>
          <w:snapToGrid w:val="0"/>
          <w:color w:val="auto"/>
          <w:sz w:val="24"/>
          <w:szCs w:val="24"/>
          <w:highlight w:val="none"/>
          <w:lang w:val="en-US" w:eastAsia="zh-CN"/>
        </w:rPr>
        <w:t>.2</w:t>
      </w:r>
      <w:r>
        <w:rPr>
          <w:rFonts w:hint="default" w:ascii="Times New Roman" w:hAnsi="Times New Roman" w:eastAsia="宋体" w:cs="Times New Roman"/>
          <w:b/>
          <w:bCs/>
          <w:snapToGrid w:val="0"/>
          <w:color w:val="auto"/>
          <w:sz w:val="24"/>
          <w:szCs w:val="24"/>
          <w:highlight w:val="none"/>
          <w:lang w:val="en-US" w:eastAsia="zh-CN"/>
        </w:rPr>
        <w:t>-</w:t>
      </w:r>
      <w:r>
        <w:rPr>
          <w:rFonts w:hint="eastAsia" w:ascii="Times New Roman" w:hAnsi="Times New Roman" w:eastAsia="宋体" w:cs="Times New Roman"/>
          <w:b/>
          <w:bCs/>
          <w:snapToGrid w:val="0"/>
          <w:color w:val="auto"/>
          <w:sz w:val="24"/>
          <w:szCs w:val="24"/>
          <w:highlight w:val="none"/>
          <w:lang w:val="en-US" w:eastAsia="zh-CN"/>
        </w:rPr>
        <w:t>5</w:t>
      </w:r>
      <w:r>
        <w:rPr>
          <w:rFonts w:hint="eastAsia" w:cs="Times New Roman"/>
          <w:b/>
          <w:bCs/>
          <w:snapToGrid w:val="0"/>
          <w:color w:val="auto"/>
          <w:sz w:val="24"/>
          <w:szCs w:val="24"/>
          <w:highlight w:val="none"/>
          <w:lang w:val="en-US" w:eastAsia="zh-CN"/>
        </w:rPr>
        <w:t xml:space="preserve">  </w:t>
      </w:r>
      <w:r>
        <w:rPr>
          <w:rFonts w:hint="default" w:ascii="Times New Roman" w:hAnsi="Times New Roman" w:eastAsia="宋体" w:cs="Times New Roman"/>
          <w:b/>
          <w:bCs/>
          <w:snapToGrid w:val="0"/>
          <w:color w:val="auto"/>
          <w:sz w:val="24"/>
          <w:szCs w:val="24"/>
          <w:highlight w:val="none"/>
        </w:rPr>
        <w:t>外排废水水质接管可行性分析</w:t>
      </w:r>
      <w:r>
        <w:rPr>
          <w:rFonts w:hint="eastAsia" w:cs="Times New Roman"/>
          <w:b/>
          <w:bCs/>
          <w:snapToGrid w:val="0"/>
          <w:color w:val="auto"/>
          <w:sz w:val="24"/>
          <w:szCs w:val="24"/>
          <w:highlight w:val="none"/>
          <w:lang w:eastAsia="zh-CN"/>
        </w:rPr>
        <w:t>（</w:t>
      </w:r>
      <w:r>
        <w:rPr>
          <w:rFonts w:hint="default" w:ascii="Times New Roman" w:hAnsi="Times New Roman" w:eastAsia="宋体" w:cs="Times New Roman"/>
          <w:b/>
          <w:bCs/>
          <w:color w:val="auto"/>
          <w:sz w:val="24"/>
          <w:szCs w:val="24"/>
          <w:highlight w:val="none"/>
        </w:rPr>
        <w:t>单位：mg/L，pH无量纲</w:t>
      </w:r>
      <w:r>
        <w:rPr>
          <w:rFonts w:hint="eastAsia" w:cs="Times New Roman"/>
          <w:b/>
          <w:bCs/>
          <w:snapToGrid w:val="0"/>
          <w:color w:val="auto"/>
          <w:sz w:val="24"/>
          <w:szCs w:val="24"/>
          <w:highlight w:val="none"/>
          <w:lang w:eastAsia="zh-CN"/>
        </w:rPr>
        <w:t>）</w:t>
      </w:r>
    </w:p>
    <w:tbl>
      <w:tblPr>
        <w:tblStyle w:val="5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435"/>
        <w:gridCol w:w="978"/>
        <w:gridCol w:w="960"/>
        <w:gridCol w:w="1230"/>
        <w:gridCol w:w="1525"/>
        <w:gridCol w:w="1842"/>
        <w:gridCol w:w="814"/>
        <w:gridCol w:w="621"/>
      </w:tblGrid>
      <w:tr w14:paraId="0612A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965" w:hRule="atLeast"/>
          <w:jc w:val="center"/>
        </w:trPr>
        <w:tc>
          <w:tcPr>
            <w:tcW w:w="258" w:type="pct"/>
            <w:tcBorders>
              <w:tl2br w:val="nil"/>
              <w:tr2bl w:val="nil"/>
            </w:tcBorders>
            <w:shd w:val="clear" w:color="auto" w:fill="auto"/>
            <w:noWrap w:val="0"/>
            <w:vAlign w:val="center"/>
          </w:tcPr>
          <w:p w14:paraId="3DA34BFB">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序号</w:t>
            </w:r>
          </w:p>
        </w:tc>
        <w:tc>
          <w:tcPr>
            <w:tcW w:w="581" w:type="pct"/>
            <w:tcBorders>
              <w:tl2br w:val="nil"/>
              <w:tr2bl w:val="nil"/>
            </w:tcBorders>
            <w:shd w:val="clear" w:color="auto" w:fill="auto"/>
            <w:noWrap w:val="0"/>
            <w:vAlign w:val="center"/>
          </w:tcPr>
          <w:p w14:paraId="57FB5E80">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污染物</w:t>
            </w:r>
          </w:p>
        </w:tc>
        <w:tc>
          <w:tcPr>
            <w:tcW w:w="571" w:type="pct"/>
            <w:tcBorders>
              <w:tl2br w:val="nil"/>
              <w:tr2bl w:val="nil"/>
            </w:tcBorders>
            <w:shd w:val="clear" w:color="auto" w:fill="auto"/>
            <w:noWrap w:val="0"/>
            <w:vAlign w:val="center"/>
          </w:tcPr>
          <w:p w14:paraId="43A8FED6">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本项目外排废水水质</w:t>
            </w:r>
          </w:p>
        </w:tc>
        <w:tc>
          <w:tcPr>
            <w:tcW w:w="731" w:type="pct"/>
            <w:tcBorders>
              <w:tl2br w:val="nil"/>
              <w:tr2bl w:val="nil"/>
            </w:tcBorders>
            <w:shd w:val="clear" w:color="auto" w:fill="auto"/>
            <w:noWrap w:val="0"/>
            <w:vAlign w:val="center"/>
          </w:tcPr>
          <w:p w14:paraId="4505B31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lang w:val="en-US" w:eastAsia="zh-CN"/>
              </w:rPr>
              <w:t>田家庵经济开发区</w:t>
            </w:r>
            <w:r>
              <w:rPr>
                <w:rFonts w:hint="default" w:ascii="Times New Roman" w:hAnsi="Times New Roman" w:eastAsia="宋体" w:cs="Times New Roman"/>
                <w:b/>
                <w:color w:val="auto"/>
                <w:sz w:val="21"/>
                <w:szCs w:val="21"/>
                <w:highlight w:val="none"/>
              </w:rPr>
              <w:t>污水处理</w:t>
            </w:r>
            <w:r>
              <w:rPr>
                <w:rFonts w:hint="default" w:ascii="Times New Roman" w:hAnsi="Times New Roman" w:eastAsia="宋体" w:cs="Times New Roman"/>
                <w:b/>
                <w:color w:val="auto"/>
                <w:sz w:val="21"/>
                <w:szCs w:val="21"/>
                <w:highlight w:val="none"/>
                <w:lang w:val="en-US" w:eastAsia="zh-CN"/>
              </w:rPr>
              <w:t>站</w:t>
            </w:r>
            <w:r>
              <w:rPr>
                <w:rFonts w:ascii="Times New Roman" w:hAnsi="Times New Roman" w:eastAsia="宋体" w:cs="Times New Roman"/>
                <w:b/>
                <w:color w:val="auto"/>
                <w:sz w:val="21"/>
                <w:szCs w:val="21"/>
                <w:highlight w:val="none"/>
              </w:rPr>
              <w:t>接管限值</w:t>
            </w:r>
          </w:p>
        </w:tc>
        <w:tc>
          <w:tcPr>
            <w:tcW w:w="907" w:type="pct"/>
            <w:tcBorders>
              <w:tl2br w:val="nil"/>
              <w:tr2bl w:val="nil"/>
            </w:tcBorders>
            <w:shd w:val="clear" w:color="auto" w:fill="auto"/>
            <w:noWrap w:val="0"/>
            <w:vAlign w:val="center"/>
          </w:tcPr>
          <w:p w14:paraId="54F3932F">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《污水综合排放标准》（GB8978-1996）三级标准</w:t>
            </w:r>
          </w:p>
        </w:tc>
        <w:tc>
          <w:tcPr>
            <w:tcW w:w="1095" w:type="pct"/>
            <w:tcBorders>
              <w:tl2br w:val="nil"/>
              <w:tr2bl w:val="nil"/>
            </w:tcBorders>
            <w:shd w:val="clear" w:color="auto" w:fill="FFFFFF"/>
            <w:noWrap w:val="0"/>
            <w:vAlign w:val="center"/>
          </w:tcPr>
          <w:p w14:paraId="464FD24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w:t>
            </w:r>
            <w:r>
              <w:rPr>
                <w:rFonts w:hint="eastAsia" w:ascii="Times New Roman" w:hAnsi="Times New Roman" w:eastAsia="宋体" w:cs="Times New Roman"/>
                <w:b/>
                <w:color w:val="auto"/>
                <w:sz w:val="21"/>
                <w:szCs w:val="21"/>
                <w:highlight w:val="none"/>
                <w:lang w:val="en-US" w:eastAsia="zh-CN"/>
              </w:rPr>
              <w:t>石油化学工业污染物</w:t>
            </w:r>
            <w:r>
              <w:rPr>
                <w:rFonts w:ascii="Times New Roman" w:hAnsi="Times New Roman" w:eastAsia="宋体" w:cs="Times New Roman"/>
                <w:b/>
                <w:color w:val="auto"/>
                <w:sz w:val="21"/>
                <w:szCs w:val="21"/>
                <w:highlight w:val="none"/>
              </w:rPr>
              <w:t>排放标准》（GB8978-</w:t>
            </w:r>
            <w:r>
              <w:rPr>
                <w:rFonts w:hint="eastAsia" w:ascii="Times New Roman" w:hAnsi="Times New Roman" w:eastAsia="宋体" w:cs="Times New Roman"/>
                <w:b/>
                <w:color w:val="auto"/>
                <w:sz w:val="21"/>
                <w:szCs w:val="21"/>
                <w:highlight w:val="none"/>
                <w:lang w:val="en-US" w:eastAsia="zh-CN"/>
              </w:rPr>
              <w:t>2015</w:t>
            </w:r>
            <w:r>
              <w:rPr>
                <w:rFonts w:ascii="Times New Roman" w:hAnsi="Times New Roman" w:eastAsia="宋体" w:cs="Times New Roman"/>
                <w:b/>
                <w:color w:val="auto"/>
                <w:sz w:val="21"/>
                <w:szCs w:val="21"/>
                <w:highlight w:val="none"/>
              </w:rPr>
              <w:t>）</w:t>
            </w:r>
          </w:p>
        </w:tc>
        <w:tc>
          <w:tcPr>
            <w:tcW w:w="484" w:type="pct"/>
            <w:tcBorders>
              <w:tl2br w:val="nil"/>
              <w:tr2bl w:val="nil"/>
            </w:tcBorders>
            <w:shd w:val="clear" w:color="auto" w:fill="BEBEBE"/>
            <w:noWrap w:val="0"/>
            <w:vAlign w:val="center"/>
          </w:tcPr>
          <w:p w14:paraId="5A14F251">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ascii="Times New Roman" w:hAnsi="Times New Roman" w:eastAsia="宋体" w:cs="Times New Roman"/>
                <w:b/>
                <w:color w:val="auto"/>
                <w:sz w:val="21"/>
                <w:szCs w:val="21"/>
                <w:highlight w:val="none"/>
              </w:rPr>
            </w:pPr>
            <w:r>
              <w:rPr>
                <w:rFonts w:ascii="Times New Roman" w:hAnsi="Times New Roman" w:eastAsia="宋体" w:cs="Times New Roman"/>
                <w:b/>
                <w:color w:val="auto"/>
                <w:sz w:val="21"/>
                <w:szCs w:val="21"/>
                <w:highlight w:val="none"/>
              </w:rPr>
              <w:t>本项目执行标准</w:t>
            </w:r>
          </w:p>
        </w:tc>
        <w:tc>
          <w:tcPr>
            <w:tcW w:w="369" w:type="pct"/>
            <w:tcBorders>
              <w:tl2br w:val="nil"/>
              <w:tr2bl w:val="nil"/>
            </w:tcBorders>
            <w:noWrap w:val="0"/>
            <w:vAlign w:val="center"/>
          </w:tcPr>
          <w:p w14:paraId="54ADFD59">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宋体" w:cs="Times New Roman"/>
                <w:b/>
                <w:color w:val="auto"/>
                <w:sz w:val="21"/>
                <w:szCs w:val="21"/>
                <w:highlight w:val="none"/>
                <w:lang w:eastAsia="zh-CN"/>
              </w:rPr>
            </w:pPr>
            <w:r>
              <w:rPr>
                <w:rFonts w:ascii="Times New Roman" w:hAnsi="Times New Roman" w:eastAsia="宋体" w:cs="Times New Roman"/>
                <w:b/>
                <w:color w:val="auto"/>
                <w:sz w:val="21"/>
                <w:szCs w:val="21"/>
                <w:highlight w:val="none"/>
              </w:rPr>
              <w:t>是否</w:t>
            </w:r>
            <w:r>
              <w:rPr>
                <w:rFonts w:hint="eastAsia" w:ascii="Times New Roman" w:hAnsi="Times New Roman" w:eastAsia="宋体" w:cs="Times New Roman"/>
                <w:b/>
                <w:color w:val="auto"/>
                <w:sz w:val="21"/>
                <w:szCs w:val="21"/>
                <w:highlight w:val="none"/>
                <w:lang w:val="en-US" w:eastAsia="zh-CN"/>
              </w:rPr>
              <w:t>达标</w:t>
            </w:r>
          </w:p>
        </w:tc>
      </w:tr>
      <w:tr w14:paraId="5EB63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jc w:val="center"/>
        </w:trPr>
        <w:tc>
          <w:tcPr>
            <w:tcW w:w="258" w:type="pct"/>
            <w:tcBorders>
              <w:tl2br w:val="nil"/>
              <w:tr2bl w:val="nil"/>
            </w:tcBorders>
            <w:shd w:val="clear" w:color="auto" w:fill="auto"/>
            <w:noWrap w:val="0"/>
            <w:vAlign w:val="center"/>
          </w:tcPr>
          <w:p w14:paraId="167F2BBE">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581" w:type="pct"/>
            <w:tcBorders>
              <w:tl2br w:val="nil"/>
              <w:tr2bl w:val="nil"/>
            </w:tcBorders>
            <w:shd w:val="clear" w:color="auto" w:fill="auto"/>
            <w:noWrap w:val="0"/>
            <w:vAlign w:val="center"/>
          </w:tcPr>
          <w:p w14:paraId="2922D987">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pH</w:t>
            </w:r>
          </w:p>
        </w:tc>
        <w:tc>
          <w:tcPr>
            <w:tcW w:w="571" w:type="pct"/>
            <w:tcBorders>
              <w:tl2br w:val="nil"/>
              <w:tr2bl w:val="nil"/>
            </w:tcBorders>
            <w:shd w:val="clear" w:color="auto" w:fill="auto"/>
            <w:noWrap w:val="0"/>
            <w:vAlign w:val="center"/>
          </w:tcPr>
          <w:p w14:paraId="571DF579">
            <w:pPr>
              <w:widowControl w:val="0"/>
              <w:spacing w:line="276" w:lineRule="auto"/>
              <w:jc w:val="center"/>
              <w:rPr>
                <w:rFonts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rPr>
              <w:t>6-9</w:t>
            </w:r>
          </w:p>
        </w:tc>
        <w:tc>
          <w:tcPr>
            <w:tcW w:w="731" w:type="pct"/>
            <w:tcBorders>
              <w:tl2br w:val="nil"/>
              <w:tr2bl w:val="nil"/>
            </w:tcBorders>
            <w:shd w:val="clear" w:color="auto" w:fill="auto"/>
            <w:noWrap w:val="0"/>
            <w:vAlign w:val="center"/>
          </w:tcPr>
          <w:p w14:paraId="701A5C11">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6</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9</w:t>
            </w:r>
          </w:p>
        </w:tc>
        <w:tc>
          <w:tcPr>
            <w:tcW w:w="907" w:type="pct"/>
            <w:tcBorders>
              <w:tl2br w:val="nil"/>
              <w:tr2bl w:val="nil"/>
            </w:tcBorders>
            <w:shd w:val="clear" w:color="auto" w:fill="auto"/>
            <w:noWrap w:val="0"/>
            <w:vAlign w:val="center"/>
          </w:tcPr>
          <w:p w14:paraId="06C5E531">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2"/>
                <w:sz w:val="21"/>
                <w:szCs w:val="21"/>
                <w:highlight w:val="none"/>
              </w:rPr>
              <w:t>6-9</w:t>
            </w:r>
          </w:p>
        </w:tc>
        <w:tc>
          <w:tcPr>
            <w:tcW w:w="1095" w:type="pct"/>
            <w:tcBorders>
              <w:tl2br w:val="nil"/>
              <w:tr2bl w:val="nil"/>
            </w:tcBorders>
            <w:shd w:val="clear" w:color="auto" w:fill="FFFFFF"/>
            <w:noWrap w:val="0"/>
            <w:vAlign w:val="center"/>
          </w:tcPr>
          <w:p w14:paraId="70706C87">
            <w:pPr>
              <w:spacing w:line="276" w:lineRule="auto"/>
              <w:jc w:val="center"/>
              <w:rPr>
                <w:rFonts w:hint="eastAsia"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sz w:val="21"/>
                <w:szCs w:val="21"/>
                <w:highlight w:val="none"/>
              </w:rPr>
              <w:t>/</w:t>
            </w:r>
          </w:p>
        </w:tc>
        <w:tc>
          <w:tcPr>
            <w:tcW w:w="484" w:type="pct"/>
            <w:tcBorders>
              <w:tl2br w:val="nil"/>
              <w:tr2bl w:val="nil"/>
            </w:tcBorders>
            <w:shd w:val="clear" w:color="auto" w:fill="BEBEBE"/>
            <w:noWrap w:val="0"/>
            <w:vAlign w:val="center"/>
          </w:tcPr>
          <w:p w14:paraId="27B909C7">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6</w:t>
            </w:r>
            <w:r>
              <w:rPr>
                <w:rFonts w:hint="eastAsia" w:ascii="Times New Roman" w:hAnsi="Times New Roman" w:eastAsia="宋体" w:cs="Times New Roman"/>
                <w:color w:val="auto"/>
                <w:sz w:val="21"/>
                <w:szCs w:val="21"/>
                <w:highlight w:val="none"/>
              </w:rPr>
              <w:t>-</w:t>
            </w:r>
            <w:r>
              <w:rPr>
                <w:rFonts w:ascii="Times New Roman" w:hAnsi="Times New Roman" w:eastAsia="宋体" w:cs="Times New Roman"/>
                <w:color w:val="auto"/>
                <w:sz w:val="21"/>
                <w:szCs w:val="21"/>
                <w:highlight w:val="none"/>
              </w:rPr>
              <w:t>9</w:t>
            </w:r>
          </w:p>
        </w:tc>
        <w:tc>
          <w:tcPr>
            <w:tcW w:w="369" w:type="pct"/>
            <w:tcBorders>
              <w:tl2br w:val="nil"/>
              <w:tr2bl w:val="nil"/>
            </w:tcBorders>
            <w:noWrap w:val="0"/>
            <w:vAlign w:val="center"/>
          </w:tcPr>
          <w:p w14:paraId="3C1D927B">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是</w:t>
            </w:r>
          </w:p>
        </w:tc>
      </w:tr>
      <w:tr w14:paraId="45897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jc w:val="center"/>
        </w:trPr>
        <w:tc>
          <w:tcPr>
            <w:tcW w:w="258" w:type="pct"/>
            <w:tcBorders>
              <w:tl2br w:val="nil"/>
              <w:tr2bl w:val="nil"/>
            </w:tcBorders>
            <w:shd w:val="clear" w:color="auto" w:fill="auto"/>
            <w:noWrap w:val="0"/>
            <w:vAlign w:val="center"/>
          </w:tcPr>
          <w:p w14:paraId="5B4462A7">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w:t>
            </w:r>
          </w:p>
        </w:tc>
        <w:tc>
          <w:tcPr>
            <w:tcW w:w="581" w:type="pct"/>
            <w:tcBorders>
              <w:tl2br w:val="nil"/>
              <w:tr2bl w:val="nil"/>
            </w:tcBorders>
            <w:shd w:val="clear" w:color="auto" w:fill="auto"/>
            <w:noWrap w:val="0"/>
            <w:vAlign w:val="center"/>
          </w:tcPr>
          <w:p w14:paraId="70168D54">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COD</w:t>
            </w:r>
          </w:p>
        </w:tc>
        <w:tc>
          <w:tcPr>
            <w:tcW w:w="571" w:type="pct"/>
            <w:tcBorders>
              <w:tl2br w:val="nil"/>
              <w:tr2bl w:val="nil"/>
            </w:tcBorders>
            <w:shd w:val="clear" w:color="auto" w:fill="auto"/>
            <w:noWrap w:val="0"/>
            <w:vAlign w:val="center"/>
          </w:tcPr>
          <w:p w14:paraId="56C514EB">
            <w:pPr>
              <w:widowControl w:val="0"/>
              <w:spacing w:line="276"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192.96</w:t>
            </w:r>
          </w:p>
        </w:tc>
        <w:tc>
          <w:tcPr>
            <w:tcW w:w="731" w:type="pct"/>
            <w:tcBorders>
              <w:tl2br w:val="nil"/>
              <w:tr2bl w:val="nil"/>
            </w:tcBorders>
            <w:shd w:val="clear" w:color="auto" w:fill="auto"/>
            <w:noWrap w:val="0"/>
            <w:vAlign w:val="center"/>
          </w:tcPr>
          <w:p w14:paraId="72CB7EA2">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350</w:t>
            </w:r>
          </w:p>
        </w:tc>
        <w:tc>
          <w:tcPr>
            <w:tcW w:w="907" w:type="pct"/>
            <w:tcBorders>
              <w:tl2br w:val="nil"/>
              <w:tr2bl w:val="nil"/>
            </w:tcBorders>
            <w:shd w:val="clear" w:color="auto" w:fill="auto"/>
            <w:noWrap w:val="0"/>
            <w:vAlign w:val="center"/>
          </w:tcPr>
          <w:p w14:paraId="66B68732">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500</w:t>
            </w:r>
          </w:p>
        </w:tc>
        <w:tc>
          <w:tcPr>
            <w:tcW w:w="1095" w:type="pct"/>
            <w:tcBorders>
              <w:tl2br w:val="nil"/>
              <w:tr2bl w:val="nil"/>
            </w:tcBorders>
            <w:shd w:val="clear" w:color="auto" w:fill="FFFFFF"/>
            <w:noWrap w:val="0"/>
            <w:vAlign w:val="center"/>
          </w:tcPr>
          <w:p w14:paraId="5D171AD8">
            <w:pPr>
              <w:spacing w:line="276"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w:t>
            </w:r>
          </w:p>
        </w:tc>
        <w:tc>
          <w:tcPr>
            <w:tcW w:w="484" w:type="pct"/>
            <w:tcBorders>
              <w:tl2br w:val="nil"/>
              <w:tr2bl w:val="nil"/>
            </w:tcBorders>
            <w:shd w:val="clear" w:color="auto" w:fill="BEBEBE"/>
            <w:noWrap w:val="0"/>
            <w:vAlign w:val="center"/>
          </w:tcPr>
          <w:p w14:paraId="68B65FAC">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w:t>
            </w:r>
            <w:r>
              <w:rPr>
                <w:rFonts w:hint="eastAsia" w:ascii="Times New Roman" w:hAnsi="Times New Roman" w:eastAsia="宋体"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rPr>
              <w:t>0</w:t>
            </w:r>
          </w:p>
        </w:tc>
        <w:tc>
          <w:tcPr>
            <w:tcW w:w="369" w:type="pct"/>
            <w:tcBorders>
              <w:tl2br w:val="nil"/>
              <w:tr2bl w:val="nil"/>
            </w:tcBorders>
            <w:noWrap w:val="0"/>
            <w:vAlign w:val="center"/>
          </w:tcPr>
          <w:p w14:paraId="176682AC">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是</w:t>
            </w:r>
          </w:p>
        </w:tc>
      </w:tr>
      <w:tr w14:paraId="5821B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jc w:val="center"/>
        </w:trPr>
        <w:tc>
          <w:tcPr>
            <w:tcW w:w="258" w:type="pct"/>
            <w:tcBorders>
              <w:tl2br w:val="nil"/>
              <w:tr2bl w:val="nil"/>
            </w:tcBorders>
            <w:shd w:val="clear" w:color="auto" w:fill="auto"/>
            <w:noWrap w:val="0"/>
            <w:vAlign w:val="center"/>
          </w:tcPr>
          <w:p w14:paraId="3308201B">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w:t>
            </w:r>
          </w:p>
        </w:tc>
        <w:tc>
          <w:tcPr>
            <w:tcW w:w="581" w:type="pct"/>
            <w:tcBorders>
              <w:tl2br w:val="nil"/>
              <w:tr2bl w:val="nil"/>
            </w:tcBorders>
            <w:shd w:val="clear" w:color="auto" w:fill="auto"/>
            <w:noWrap w:val="0"/>
            <w:vAlign w:val="center"/>
          </w:tcPr>
          <w:p w14:paraId="7CB52AB3">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BOD</w:t>
            </w:r>
            <w:r>
              <w:rPr>
                <w:rFonts w:ascii="Times New Roman" w:hAnsi="Times New Roman" w:eastAsia="宋体" w:cs="Times New Roman"/>
                <w:color w:val="auto"/>
                <w:sz w:val="21"/>
                <w:szCs w:val="21"/>
                <w:highlight w:val="none"/>
                <w:vertAlign w:val="subscript"/>
              </w:rPr>
              <w:t>5</w:t>
            </w:r>
          </w:p>
        </w:tc>
        <w:tc>
          <w:tcPr>
            <w:tcW w:w="571" w:type="pct"/>
            <w:tcBorders>
              <w:tl2br w:val="nil"/>
              <w:tr2bl w:val="nil"/>
            </w:tcBorders>
            <w:shd w:val="clear" w:color="auto" w:fill="auto"/>
            <w:noWrap w:val="0"/>
            <w:vAlign w:val="center"/>
          </w:tcPr>
          <w:p w14:paraId="73B02C01">
            <w:pPr>
              <w:widowControl w:val="0"/>
              <w:spacing w:line="276"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54.62</w:t>
            </w:r>
          </w:p>
        </w:tc>
        <w:tc>
          <w:tcPr>
            <w:tcW w:w="731" w:type="pct"/>
            <w:tcBorders>
              <w:tl2br w:val="nil"/>
              <w:tr2bl w:val="nil"/>
            </w:tcBorders>
            <w:shd w:val="clear" w:color="auto" w:fill="auto"/>
            <w:noWrap w:val="0"/>
            <w:vAlign w:val="center"/>
          </w:tcPr>
          <w:p w14:paraId="3857C719">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rPr>
              <w:t>50</w:t>
            </w:r>
          </w:p>
        </w:tc>
        <w:tc>
          <w:tcPr>
            <w:tcW w:w="907" w:type="pct"/>
            <w:tcBorders>
              <w:tl2br w:val="nil"/>
              <w:tr2bl w:val="nil"/>
            </w:tcBorders>
            <w:shd w:val="clear" w:color="auto" w:fill="auto"/>
            <w:noWrap w:val="0"/>
            <w:vAlign w:val="center"/>
          </w:tcPr>
          <w:p w14:paraId="2E13618A">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300</w:t>
            </w:r>
          </w:p>
        </w:tc>
        <w:tc>
          <w:tcPr>
            <w:tcW w:w="1095" w:type="pct"/>
            <w:tcBorders>
              <w:tl2br w:val="nil"/>
              <w:tr2bl w:val="nil"/>
            </w:tcBorders>
            <w:shd w:val="clear" w:color="auto" w:fill="FFFFFF"/>
            <w:noWrap w:val="0"/>
            <w:vAlign w:val="center"/>
          </w:tcPr>
          <w:p w14:paraId="5D1A876D">
            <w:pPr>
              <w:spacing w:line="276"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w:t>
            </w:r>
          </w:p>
        </w:tc>
        <w:tc>
          <w:tcPr>
            <w:tcW w:w="484" w:type="pct"/>
            <w:tcBorders>
              <w:tl2br w:val="nil"/>
              <w:tr2bl w:val="nil"/>
            </w:tcBorders>
            <w:shd w:val="clear" w:color="auto" w:fill="BEBEBE"/>
            <w:noWrap w:val="0"/>
            <w:vAlign w:val="center"/>
          </w:tcPr>
          <w:p w14:paraId="3CF1E4DE">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rPr>
              <w:t>50</w:t>
            </w:r>
          </w:p>
        </w:tc>
        <w:tc>
          <w:tcPr>
            <w:tcW w:w="369" w:type="pct"/>
            <w:tcBorders>
              <w:tl2br w:val="nil"/>
              <w:tr2bl w:val="nil"/>
            </w:tcBorders>
            <w:noWrap w:val="0"/>
            <w:vAlign w:val="center"/>
          </w:tcPr>
          <w:p w14:paraId="07BF2D67">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是</w:t>
            </w:r>
          </w:p>
        </w:tc>
      </w:tr>
      <w:tr w14:paraId="6AFA0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jc w:val="center"/>
        </w:trPr>
        <w:tc>
          <w:tcPr>
            <w:tcW w:w="258" w:type="pct"/>
            <w:tcBorders>
              <w:tl2br w:val="nil"/>
              <w:tr2bl w:val="nil"/>
            </w:tcBorders>
            <w:shd w:val="clear" w:color="auto" w:fill="auto"/>
            <w:noWrap w:val="0"/>
            <w:vAlign w:val="center"/>
          </w:tcPr>
          <w:p w14:paraId="474CFD4E">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4</w:t>
            </w:r>
          </w:p>
        </w:tc>
        <w:tc>
          <w:tcPr>
            <w:tcW w:w="581" w:type="pct"/>
            <w:tcBorders>
              <w:tl2br w:val="nil"/>
              <w:tr2bl w:val="nil"/>
            </w:tcBorders>
            <w:shd w:val="clear" w:color="auto" w:fill="auto"/>
            <w:noWrap w:val="0"/>
            <w:vAlign w:val="center"/>
          </w:tcPr>
          <w:p w14:paraId="1A754DAF">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SS</w:t>
            </w:r>
          </w:p>
        </w:tc>
        <w:tc>
          <w:tcPr>
            <w:tcW w:w="571" w:type="pct"/>
            <w:tcBorders>
              <w:tl2br w:val="nil"/>
              <w:tr2bl w:val="nil"/>
            </w:tcBorders>
            <w:shd w:val="clear" w:color="auto" w:fill="auto"/>
            <w:noWrap w:val="0"/>
            <w:vAlign w:val="center"/>
          </w:tcPr>
          <w:p w14:paraId="0628617C">
            <w:pPr>
              <w:widowControl w:val="0"/>
              <w:spacing w:line="276"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107.71</w:t>
            </w:r>
          </w:p>
        </w:tc>
        <w:tc>
          <w:tcPr>
            <w:tcW w:w="731" w:type="pct"/>
            <w:tcBorders>
              <w:tl2br w:val="nil"/>
              <w:tr2bl w:val="nil"/>
            </w:tcBorders>
            <w:shd w:val="clear" w:color="auto" w:fill="auto"/>
            <w:noWrap w:val="0"/>
            <w:vAlign w:val="center"/>
          </w:tcPr>
          <w:p w14:paraId="22340235">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280</w:t>
            </w:r>
          </w:p>
        </w:tc>
        <w:tc>
          <w:tcPr>
            <w:tcW w:w="907" w:type="pct"/>
            <w:tcBorders>
              <w:tl2br w:val="nil"/>
              <w:tr2bl w:val="nil"/>
            </w:tcBorders>
            <w:shd w:val="clear" w:color="auto" w:fill="auto"/>
            <w:noWrap w:val="0"/>
            <w:vAlign w:val="center"/>
          </w:tcPr>
          <w:p w14:paraId="1CF97AD7">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400</w:t>
            </w:r>
          </w:p>
        </w:tc>
        <w:tc>
          <w:tcPr>
            <w:tcW w:w="1095" w:type="pct"/>
            <w:tcBorders>
              <w:tl2br w:val="nil"/>
              <w:tr2bl w:val="nil"/>
            </w:tcBorders>
            <w:shd w:val="clear" w:color="auto" w:fill="FFFFFF"/>
            <w:noWrap w:val="0"/>
            <w:vAlign w:val="center"/>
          </w:tcPr>
          <w:p w14:paraId="5AB72C59">
            <w:pPr>
              <w:spacing w:line="276" w:lineRule="auto"/>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484" w:type="pct"/>
            <w:tcBorders>
              <w:tl2br w:val="nil"/>
              <w:tr2bl w:val="nil"/>
            </w:tcBorders>
            <w:shd w:val="clear" w:color="auto" w:fill="BEBEBE"/>
            <w:noWrap w:val="0"/>
            <w:vAlign w:val="center"/>
          </w:tcPr>
          <w:p w14:paraId="6CCF55DF">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w:t>
            </w:r>
            <w:r>
              <w:rPr>
                <w:rFonts w:hint="eastAsia" w:ascii="Times New Roman" w:hAnsi="Times New Roman" w:eastAsia="宋体" w:cs="Times New Roman"/>
                <w:color w:val="auto"/>
                <w:sz w:val="21"/>
                <w:szCs w:val="21"/>
                <w:highlight w:val="none"/>
                <w:lang w:val="en-US" w:eastAsia="zh-CN"/>
              </w:rPr>
              <w:t>8</w:t>
            </w:r>
            <w:r>
              <w:rPr>
                <w:rFonts w:hint="eastAsia" w:ascii="Times New Roman" w:hAnsi="Times New Roman" w:eastAsia="宋体" w:cs="Times New Roman"/>
                <w:color w:val="auto"/>
                <w:sz w:val="21"/>
                <w:szCs w:val="21"/>
                <w:highlight w:val="none"/>
              </w:rPr>
              <w:t>0</w:t>
            </w:r>
          </w:p>
        </w:tc>
        <w:tc>
          <w:tcPr>
            <w:tcW w:w="369" w:type="pct"/>
            <w:tcBorders>
              <w:tl2br w:val="nil"/>
              <w:tr2bl w:val="nil"/>
            </w:tcBorders>
            <w:noWrap w:val="0"/>
            <w:vAlign w:val="center"/>
          </w:tcPr>
          <w:p w14:paraId="6B3A9D89">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是</w:t>
            </w:r>
          </w:p>
        </w:tc>
      </w:tr>
      <w:tr w14:paraId="60061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jc w:val="center"/>
        </w:trPr>
        <w:tc>
          <w:tcPr>
            <w:tcW w:w="258" w:type="pct"/>
            <w:tcBorders>
              <w:tl2br w:val="nil"/>
              <w:tr2bl w:val="nil"/>
            </w:tcBorders>
            <w:shd w:val="clear" w:color="auto" w:fill="auto"/>
            <w:noWrap w:val="0"/>
            <w:vAlign w:val="center"/>
          </w:tcPr>
          <w:p w14:paraId="0E6ABC5C">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w:t>
            </w:r>
          </w:p>
        </w:tc>
        <w:tc>
          <w:tcPr>
            <w:tcW w:w="581" w:type="pct"/>
            <w:tcBorders>
              <w:tl2br w:val="nil"/>
              <w:tr2bl w:val="nil"/>
            </w:tcBorders>
            <w:shd w:val="clear" w:color="auto" w:fill="auto"/>
            <w:noWrap w:val="0"/>
            <w:vAlign w:val="center"/>
          </w:tcPr>
          <w:p w14:paraId="3118BD40">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氨氮</w:t>
            </w:r>
          </w:p>
        </w:tc>
        <w:tc>
          <w:tcPr>
            <w:tcW w:w="571" w:type="pct"/>
            <w:tcBorders>
              <w:tl2br w:val="nil"/>
              <w:tr2bl w:val="nil"/>
            </w:tcBorders>
            <w:shd w:val="clear" w:color="auto" w:fill="auto"/>
            <w:noWrap w:val="0"/>
            <w:vAlign w:val="center"/>
          </w:tcPr>
          <w:p w14:paraId="741BA524">
            <w:pPr>
              <w:widowControl w:val="0"/>
              <w:spacing w:line="276"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11.23</w:t>
            </w:r>
          </w:p>
        </w:tc>
        <w:tc>
          <w:tcPr>
            <w:tcW w:w="731" w:type="pct"/>
            <w:tcBorders>
              <w:tl2br w:val="nil"/>
              <w:tr2bl w:val="nil"/>
            </w:tcBorders>
            <w:shd w:val="clear" w:color="auto" w:fill="auto"/>
            <w:noWrap w:val="0"/>
            <w:vAlign w:val="center"/>
          </w:tcPr>
          <w:p w14:paraId="4DA58662">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30</w:t>
            </w:r>
          </w:p>
        </w:tc>
        <w:tc>
          <w:tcPr>
            <w:tcW w:w="907" w:type="pct"/>
            <w:tcBorders>
              <w:tl2br w:val="nil"/>
              <w:tr2bl w:val="nil"/>
            </w:tcBorders>
            <w:shd w:val="clear" w:color="auto" w:fill="auto"/>
            <w:noWrap w:val="0"/>
            <w:vAlign w:val="center"/>
          </w:tcPr>
          <w:p w14:paraId="0BE20612">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095" w:type="pct"/>
            <w:tcBorders>
              <w:tl2br w:val="nil"/>
              <w:tr2bl w:val="nil"/>
            </w:tcBorders>
            <w:shd w:val="clear" w:color="auto" w:fill="FFFFFF"/>
            <w:noWrap w:val="0"/>
            <w:vAlign w:val="center"/>
          </w:tcPr>
          <w:p w14:paraId="53FFCC27">
            <w:pPr>
              <w:spacing w:line="276" w:lineRule="auto"/>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484" w:type="pct"/>
            <w:tcBorders>
              <w:tl2br w:val="nil"/>
              <w:tr2bl w:val="nil"/>
            </w:tcBorders>
            <w:shd w:val="clear" w:color="auto" w:fill="BEBEBE"/>
            <w:noWrap w:val="0"/>
            <w:vAlign w:val="center"/>
          </w:tcPr>
          <w:p w14:paraId="50D3B56E">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30</w:t>
            </w:r>
          </w:p>
        </w:tc>
        <w:tc>
          <w:tcPr>
            <w:tcW w:w="369" w:type="pct"/>
            <w:tcBorders>
              <w:tl2br w:val="nil"/>
              <w:tr2bl w:val="nil"/>
            </w:tcBorders>
            <w:noWrap w:val="0"/>
            <w:vAlign w:val="center"/>
          </w:tcPr>
          <w:p w14:paraId="7019F725">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是</w:t>
            </w:r>
          </w:p>
        </w:tc>
      </w:tr>
      <w:tr w14:paraId="76C3C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jc w:val="center"/>
        </w:trPr>
        <w:tc>
          <w:tcPr>
            <w:tcW w:w="258" w:type="pct"/>
            <w:tcBorders>
              <w:tl2br w:val="nil"/>
              <w:tr2bl w:val="nil"/>
            </w:tcBorders>
            <w:shd w:val="clear" w:color="auto" w:fill="auto"/>
            <w:noWrap w:val="0"/>
            <w:vAlign w:val="center"/>
          </w:tcPr>
          <w:p w14:paraId="0F74A607">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6</w:t>
            </w:r>
          </w:p>
        </w:tc>
        <w:tc>
          <w:tcPr>
            <w:tcW w:w="581" w:type="pct"/>
            <w:tcBorders>
              <w:tl2br w:val="nil"/>
              <w:tr2bl w:val="nil"/>
            </w:tcBorders>
            <w:shd w:val="clear" w:color="auto" w:fill="auto"/>
            <w:noWrap w:val="0"/>
            <w:vAlign w:val="center"/>
          </w:tcPr>
          <w:p w14:paraId="087F1D13">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总氮</w:t>
            </w:r>
          </w:p>
        </w:tc>
        <w:tc>
          <w:tcPr>
            <w:tcW w:w="571" w:type="pct"/>
            <w:tcBorders>
              <w:tl2br w:val="nil"/>
              <w:tr2bl w:val="nil"/>
            </w:tcBorders>
            <w:shd w:val="clear" w:color="auto" w:fill="auto"/>
            <w:noWrap w:val="0"/>
            <w:vAlign w:val="center"/>
          </w:tcPr>
          <w:p w14:paraId="37B7A240">
            <w:pPr>
              <w:widowControl w:val="0"/>
              <w:spacing w:line="276"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12.51</w:t>
            </w:r>
          </w:p>
        </w:tc>
        <w:tc>
          <w:tcPr>
            <w:tcW w:w="731" w:type="pct"/>
            <w:tcBorders>
              <w:tl2br w:val="nil"/>
              <w:tr2bl w:val="nil"/>
            </w:tcBorders>
            <w:shd w:val="clear" w:color="auto" w:fill="auto"/>
            <w:noWrap w:val="0"/>
            <w:vAlign w:val="center"/>
          </w:tcPr>
          <w:p w14:paraId="7E69AD49">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907" w:type="pct"/>
            <w:tcBorders>
              <w:tl2br w:val="nil"/>
              <w:tr2bl w:val="nil"/>
            </w:tcBorders>
            <w:shd w:val="clear" w:color="auto" w:fill="auto"/>
            <w:noWrap w:val="0"/>
            <w:vAlign w:val="center"/>
          </w:tcPr>
          <w:p w14:paraId="6647C7D3">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095" w:type="pct"/>
            <w:tcBorders>
              <w:tl2br w:val="nil"/>
              <w:tr2bl w:val="nil"/>
            </w:tcBorders>
            <w:shd w:val="clear" w:color="auto" w:fill="FFFFFF"/>
            <w:noWrap w:val="0"/>
            <w:vAlign w:val="center"/>
          </w:tcPr>
          <w:p w14:paraId="45A6D9F1">
            <w:pPr>
              <w:spacing w:line="276" w:lineRule="auto"/>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484" w:type="pct"/>
            <w:tcBorders>
              <w:tl2br w:val="nil"/>
              <w:tr2bl w:val="nil"/>
            </w:tcBorders>
            <w:shd w:val="clear" w:color="auto" w:fill="BEBEBE"/>
            <w:noWrap w:val="0"/>
            <w:vAlign w:val="center"/>
          </w:tcPr>
          <w:p w14:paraId="3A4220CF">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rPr>
              <w:t>0</w:t>
            </w:r>
          </w:p>
        </w:tc>
        <w:tc>
          <w:tcPr>
            <w:tcW w:w="369" w:type="pct"/>
            <w:tcBorders>
              <w:tl2br w:val="nil"/>
              <w:tr2bl w:val="nil"/>
            </w:tcBorders>
            <w:noWrap w:val="0"/>
            <w:vAlign w:val="center"/>
          </w:tcPr>
          <w:p w14:paraId="55D4E70C">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是</w:t>
            </w:r>
          </w:p>
        </w:tc>
      </w:tr>
      <w:tr w14:paraId="019D4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jc w:val="center"/>
        </w:trPr>
        <w:tc>
          <w:tcPr>
            <w:tcW w:w="258" w:type="pct"/>
            <w:tcBorders>
              <w:tl2br w:val="nil"/>
              <w:tr2bl w:val="nil"/>
            </w:tcBorders>
            <w:shd w:val="clear" w:color="auto" w:fill="auto"/>
            <w:noWrap w:val="0"/>
            <w:vAlign w:val="center"/>
          </w:tcPr>
          <w:p w14:paraId="75DA9C15">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7</w:t>
            </w:r>
          </w:p>
        </w:tc>
        <w:tc>
          <w:tcPr>
            <w:tcW w:w="581" w:type="pct"/>
            <w:tcBorders>
              <w:tl2br w:val="nil"/>
              <w:tr2bl w:val="nil"/>
            </w:tcBorders>
            <w:shd w:val="clear" w:color="auto" w:fill="auto"/>
            <w:noWrap w:val="0"/>
            <w:vAlign w:val="center"/>
          </w:tcPr>
          <w:p w14:paraId="7995AF9F">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总磷</w:t>
            </w:r>
          </w:p>
        </w:tc>
        <w:tc>
          <w:tcPr>
            <w:tcW w:w="571" w:type="pct"/>
            <w:tcBorders>
              <w:tl2br w:val="nil"/>
              <w:tr2bl w:val="nil"/>
            </w:tcBorders>
            <w:shd w:val="clear" w:color="auto" w:fill="auto"/>
            <w:noWrap w:val="0"/>
            <w:vAlign w:val="center"/>
          </w:tcPr>
          <w:p w14:paraId="32BBEB87">
            <w:pPr>
              <w:widowControl w:val="0"/>
              <w:spacing w:line="276" w:lineRule="auto"/>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1.28</w:t>
            </w:r>
          </w:p>
        </w:tc>
        <w:tc>
          <w:tcPr>
            <w:tcW w:w="731" w:type="pct"/>
            <w:tcBorders>
              <w:tl2br w:val="nil"/>
              <w:tr2bl w:val="nil"/>
            </w:tcBorders>
            <w:shd w:val="clear" w:color="auto" w:fill="auto"/>
            <w:noWrap w:val="0"/>
            <w:vAlign w:val="center"/>
          </w:tcPr>
          <w:p w14:paraId="480AE646">
            <w:pPr>
              <w:spacing w:line="276" w:lineRule="auto"/>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5</w:t>
            </w:r>
          </w:p>
        </w:tc>
        <w:tc>
          <w:tcPr>
            <w:tcW w:w="907" w:type="pct"/>
            <w:tcBorders>
              <w:tl2br w:val="nil"/>
              <w:tr2bl w:val="nil"/>
            </w:tcBorders>
            <w:shd w:val="clear" w:color="auto" w:fill="auto"/>
            <w:noWrap w:val="0"/>
            <w:vAlign w:val="center"/>
          </w:tcPr>
          <w:p w14:paraId="4D35F9BC">
            <w:pPr>
              <w:spacing w:line="276" w:lineRule="auto"/>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095" w:type="pct"/>
            <w:tcBorders>
              <w:tl2br w:val="nil"/>
              <w:tr2bl w:val="nil"/>
            </w:tcBorders>
            <w:shd w:val="clear" w:color="auto" w:fill="FFFFFF"/>
            <w:noWrap w:val="0"/>
            <w:vAlign w:val="center"/>
          </w:tcPr>
          <w:p w14:paraId="03CDDB47">
            <w:pPr>
              <w:spacing w:line="276" w:lineRule="auto"/>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484" w:type="pct"/>
            <w:tcBorders>
              <w:tl2br w:val="nil"/>
              <w:tr2bl w:val="nil"/>
            </w:tcBorders>
            <w:shd w:val="clear" w:color="auto" w:fill="BEBEBE"/>
            <w:noWrap w:val="0"/>
            <w:vAlign w:val="center"/>
          </w:tcPr>
          <w:p w14:paraId="3D4F7AB0">
            <w:pPr>
              <w:spacing w:line="276" w:lineRule="auto"/>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5</w:t>
            </w:r>
          </w:p>
        </w:tc>
        <w:tc>
          <w:tcPr>
            <w:tcW w:w="369" w:type="pct"/>
            <w:tcBorders>
              <w:tl2br w:val="nil"/>
              <w:tr2bl w:val="nil"/>
            </w:tcBorders>
            <w:noWrap w:val="0"/>
            <w:vAlign w:val="center"/>
          </w:tcPr>
          <w:p w14:paraId="4D351B96">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是</w:t>
            </w:r>
          </w:p>
        </w:tc>
      </w:tr>
      <w:tr w14:paraId="469B0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jc w:val="center"/>
        </w:trPr>
        <w:tc>
          <w:tcPr>
            <w:tcW w:w="258" w:type="pct"/>
            <w:tcBorders>
              <w:tl2br w:val="nil"/>
              <w:tr2bl w:val="nil"/>
            </w:tcBorders>
            <w:shd w:val="clear" w:color="auto" w:fill="auto"/>
            <w:noWrap w:val="0"/>
            <w:vAlign w:val="center"/>
          </w:tcPr>
          <w:p w14:paraId="2FCCBB3F">
            <w:pPr>
              <w:spacing w:line="276"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w:t>
            </w:r>
          </w:p>
        </w:tc>
        <w:tc>
          <w:tcPr>
            <w:tcW w:w="581" w:type="pct"/>
            <w:tcBorders>
              <w:tl2br w:val="nil"/>
              <w:tr2bl w:val="nil"/>
            </w:tcBorders>
            <w:shd w:val="clear" w:color="auto" w:fill="auto"/>
            <w:noWrap w:val="0"/>
            <w:vAlign w:val="center"/>
          </w:tcPr>
          <w:p w14:paraId="296A8646">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LAS</w:t>
            </w:r>
          </w:p>
        </w:tc>
        <w:tc>
          <w:tcPr>
            <w:tcW w:w="571" w:type="pct"/>
            <w:tcBorders>
              <w:tl2br w:val="nil"/>
              <w:tr2bl w:val="nil"/>
            </w:tcBorders>
            <w:shd w:val="clear" w:color="auto" w:fill="auto"/>
            <w:noWrap w:val="0"/>
            <w:vAlign w:val="center"/>
          </w:tcPr>
          <w:p w14:paraId="75C89131">
            <w:pPr>
              <w:widowControl w:val="0"/>
              <w:spacing w:line="276" w:lineRule="auto"/>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0.51</w:t>
            </w:r>
          </w:p>
        </w:tc>
        <w:tc>
          <w:tcPr>
            <w:tcW w:w="731" w:type="pct"/>
            <w:tcBorders>
              <w:tl2br w:val="nil"/>
              <w:tr2bl w:val="nil"/>
            </w:tcBorders>
            <w:shd w:val="clear" w:color="auto" w:fill="auto"/>
            <w:noWrap w:val="0"/>
            <w:vAlign w:val="center"/>
          </w:tcPr>
          <w:p w14:paraId="7F854ADD">
            <w:pPr>
              <w:spacing w:line="276"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w:t>
            </w:r>
          </w:p>
        </w:tc>
        <w:tc>
          <w:tcPr>
            <w:tcW w:w="907" w:type="pct"/>
            <w:tcBorders>
              <w:tl2br w:val="nil"/>
              <w:tr2bl w:val="nil"/>
            </w:tcBorders>
            <w:shd w:val="clear" w:color="auto" w:fill="auto"/>
            <w:noWrap w:val="0"/>
            <w:vAlign w:val="center"/>
          </w:tcPr>
          <w:p w14:paraId="34017308">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1095" w:type="pct"/>
            <w:tcBorders>
              <w:tl2br w:val="nil"/>
              <w:tr2bl w:val="nil"/>
            </w:tcBorders>
            <w:shd w:val="clear" w:color="auto" w:fill="FFFFFF"/>
            <w:noWrap w:val="0"/>
            <w:vAlign w:val="center"/>
          </w:tcPr>
          <w:p w14:paraId="1AF352A4">
            <w:pPr>
              <w:spacing w:line="276"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w:t>
            </w:r>
          </w:p>
        </w:tc>
        <w:tc>
          <w:tcPr>
            <w:tcW w:w="484" w:type="pct"/>
            <w:tcBorders>
              <w:tl2br w:val="nil"/>
              <w:tr2bl w:val="nil"/>
            </w:tcBorders>
            <w:shd w:val="clear" w:color="auto" w:fill="BEBEBE"/>
            <w:noWrap w:val="0"/>
            <w:vAlign w:val="center"/>
          </w:tcPr>
          <w:p w14:paraId="05217214">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369" w:type="pct"/>
            <w:tcBorders>
              <w:tl2br w:val="nil"/>
              <w:tr2bl w:val="nil"/>
            </w:tcBorders>
            <w:noWrap w:val="0"/>
            <w:vAlign w:val="center"/>
          </w:tcPr>
          <w:p w14:paraId="66F4A41E">
            <w:pPr>
              <w:spacing w:line="276"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是</w:t>
            </w:r>
          </w:p>
        </w:tc>
      </w:tr>
      <w:tr w14:paraId="55579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jc w:val="center"/>
        </w:trPr>
        <w:tc>
          <w:tcPr>
            <w:tcW w:w="258" w:type="pct"/>
            <w:tcBorders>
              <w:tl2br w:val="nil"/>
              <w:tr2bl w:val="nil"/>
            </w:tcBorders>
            <w:shd w:val="clear" w:color="auto" w:fill="auto"/>
            <w:noWrap w:val="0"/>
            <w:vAlign w:val="center"/>
          </w:tcPr>
          <w:p w14:paraId="502734C9">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w:t>
            </w:r>
          </w:p>
        </w:tc>
        <w:tc>
          <w:tcPr>
            <w:tcW w:w="581" w:type="pct"/>
            <w:tcBorders>
              <w:tl2br w:val="nil"/>
              <w:tr2bl w:val="nil"/>
            </w:tcBorders>
            <w:shd w:val="clear" w:color="auto" w:fill="auto"/>
            <w:noWrap w:val="0"/>
            <w:vAlign w:val="center"/>
          </w:tcPr>
          <w:p w14:paraId="2D3F2A18">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571" w:type="pct"/>
            <w:tcBorders>
              <w:tl2br w:val="nil"/>
              <w:tr2bl w:val="nil"/>
            </w:tcBorders>
            <w:shd w:val="clear" w:color="auto" w:fill="auto"/>
            <w:noWrap w:val="0"/>
            <w:vAlign w:val="center"/>
          </w:tcPr>
          <w:p w14:paraId="6F80D3CF">
            <w:pPr>
              <w:widowControl w:val="0"/>
              <w:spacing w:line="276" w:lineRule="auto"/>
              <w:jc w:val="center"/>
              <w:rPr>
                <w:rFonts w:hint="default" w:ascii="Times New Roman" w:hAnsi="Times New Roman" w:eastAsia="宋体" w:cs="Times New Roman"/>
                <w:bCs/>
                <w:color w:val="auto"/>
                <w:kern w:val="2"/>
                <w:sz w:val="21"/>
                <w:szCs w:val="21"/>
                <w:highlight w:val="none"/>
                <w:lang w:val="en-US" w:eastAsia="zh-CN"/>
              </w:rPr>
            </w:pPr>
            <w:r>
              <w:rPr>
                <w:rFonts w:hint="eastAsia" w:ascii="Times New Roman" w:hAnsi="Times New Roman" w:eastAsia="宋体" w:cs="Times New Roman"/>
                <w:bCs/>
                <w:color w:val="auto"/>
                <w:kern w:val="2"/>
                <w:sz w:val="21"/>
                <w:szCs w:val="21"/>
                <w:highlight w:val="none"/>
                <w:lang w:val="en-US" w:eastAsia="zh-CN"/>
              </w:rPr>
              <w:t>2.85</w:t>
            </w:r>
          </w:p>
        </w:tc>
        <w:tc>
          <w:tcPr>
            <w:tcW w:w="731" w:type="pct"/>
            <w:tcBorders>
              <w:tl2br w:val="nil"/>
              <w:tr2bl w:val="nil"/>
            </w:tcBorders>
            <w:shd w:val="clear" w:color="auto" w:fill="auto"/>
            <w:noWrap w:val="0"/>
            <w:vAlign w:val="center"/>
          </w:tcPr>
          <w:p w14:paraId="22693866">
            <w:pPr>
              <w:spacing w:line="276"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07" w:type="pct"/>
            <w:tcBorders>
              <w:tl2br w:val="nil"/>
              <w:tr2bl w:val="nil"/>
            </w:tcBorders>
            <w:shd w:val="clear" w:color="auto" w:fill="auto"/>
            <w:noWrap w:val="0"/>
            <w:vAlign w:val="center"/>
          </w:tcPr>
          <w:p w14:paraId="194EC30B">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w:t>
            </w:r>
          </w:p>
        </w:tc>
        <w:tc>
          <w:tcPr>
            <w:tcW w:w="1095" w:type="pct"/>
            <w:tcBorders>
              <w:tl2br w:val="nil"/>
              <w:tr2bl w:val="nil"/>
            </w:tcBorders>
            <w:shd w:val="clear" w:color="auto" w:fill="FFFFFF"/>
            <w:noWrap w:val="0"/>
            <w:vAlign w:val="center"/>
          </w:tcPr>
          <w:p w14:paraId="59CD6209">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484" w:type="pct"/>
            <w:tcBorders>
              <w:tl2br w:val="nil"/>
              <w:tr2bl w:val="nil"/>
            </w:tcBorders>
            <w:shd w:val="clear" w:color="auto" w:fill="BEBEBE"/>
            <w:noWrap w:val="0"/>
            <w:vAlign w:val="center"/>
          </w:tcPr>
          <w:p w14:paraId="5C6A54F7">
            <w:pPr>
              <w:spacing w:line="276"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w:t>
            </w:r>
          </w:p>
        </w:tc>
        <w:tc>
          <w:tcPr>
            <w:tcW w:w="369" w:type="pct"/>
            <w:tcBorders>
              <w:tl2br w:val="nil"/>
              <w:tr2bl w:val="nil"/>
            </w:tcBorders>
            <w:noWrap w:val="0"/>
            <w:vAlign w:val="center"/>
          </w:tcPr>
          <w:p w14:paraId="6EC8730D">
            <w:pPr>
              <w:spacing w:line="276" w:lineRule="auto"/>
              <w:jc w:val="center"/>
              <w:rPr>
                <w:rFonts w:ascii="Times New Roman" w:hAnsi="Times New Roman" w:eastAsia="宋体" w:cs="Times New Roman"/>
                <w:color w:val="auto"/>
                <w:sz w:val="21"/>
                <w:szCs w:val="21"/>
                <w:highlight w:val="none"/>
              </w:rPr>
            </w:pPr>
          </w:p>
        </w:tc>
      </w:tr>
    </w:tbl>
    <w:p w14:paraId="6DBBE287">
      <w:pPr>
        <w:keepNext w:val="0"/>
        <w:keepLines w:val="0"/>
        <w:suppressLineNumbers w:val="0"/>
        <w:bidi w:val="0"/>
        <w:spacing w:before="0" w:beforeAutospacing="0" w:after="0" w:afterAutospacing="0"/>
        <w:ind w:left="0" w:right="0"/>
        <w:rPr>
          <w:rFonts w:hint="default"/>
          <w:color w:val="auto"/>
          <w:highlight w:val="none"/>
        </w:rPr>
      </w:pPr>
    </w:p>
    <w:p w14:paraId="6FF7B09D">
      <w:pPr>
        <w:pStyle w:val="264"/>
        <w:keepNext w:val="0"/>
        <w:keepLines w:val="0"/>
        <w:suppressLineNumbers w:val="0"/>
        <w:bidi w:val="0"/>
        <w:spacing w:before="0" w:beforeAutospacing="0" w:after="0" w:afterAutospacing="0"/>
        <w:ind w:left="0" w:right="0"/>
        <w:rPr>
          <w:rFonts w:hint="eastAsia"/>
          <w:color w:val="auto"/>
          <w:highlight w:val="none"/>
        </w:rPr>
      </w:pPr>
      <w:r>
        <w:rPr>
          <w:rFonts w:hint="default"/>
          <w:color w:val="auto"/>
          <w:highlight w:val="none"/>
        </w:rPr>
        <w:drawing>
          <wp:inline distT="0" distB="0" distL="114300" distR="114300">
            <wp:extent cx="4003675" cy="5757545"/>
            <wp:effectExtent l="0" t="0" r="15875" b="14605"/>
            <wp:docPr id="577"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183"/>
                    <pic:cNvPicPr>
                      <a:picLocks noChangeAspect="1"/>
                    </pic:cNvPicPr>
                  </pic:nvPicPr>
                  <pic:blipFill>
                    <a:blip r:embed="rId68"/>
                    <a:stretch>
                      <a:fillRect/>
                    </a:stretch>
                  </pic:blipFill>
                  <pic:spPr>
                    <a:xfrm>
                      <a:off x="0" y="0"/>
                      <a:ext cx="4003675" cy="5757545"/>
                    </a:xfrm>
                    <a:prstGeom prst="rect">
                      <a:avLst/>
                    </a:prstGeom>
                    <a:noFill/>
                    <a:ln>
                      <a:noFill/>
                    </a:ln>
                  </pic:spPr>
                </pic:pic>
              </a:graphicData>
            </a:graphic>
          </wp:inline>
        </w:drawing>
      </w:r>
    </w:p>
    <w:p w14:paraId="393E94FE">
      <w:pPr>
        <w:pStyle w:val="264"/>
        <w:keepNext w:val="0"/>
        <w:keepLines w:val="0"/>
        <w:suppressLineNumbers w:val="0"/>
        <w:bidi w:val="0"/>
        <w:spacing w:before="0" w:beforeAutospacing="0" w:after="0" w:afterAutospacing="0"/>
        <w:ind w:left="0" w:right="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图</w:t>
      </w:r>
      <w:r>
        <w:rPr>
          <w:rFonts w:hint="default" w:ascii="Times New Roman" w:hAnsi="Times New Roman" w:cs="Times New Roman"/>
          <w:color w:val="auto"/>
          <w:sz w:val="24"/>
          <w:szCs w:val="24"/>
          <w:highlight w:val="none"/>
          <w:lang w:val="en-US" w:eastAsia="zh-CN"/>
        </w:rPr>
        <w:t>5.</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 xml:space="preserve"> </w:t>
      </w:r>
      <w:r>
        <w:rPr>
          <w:rFonts w:hint="eastAsia"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lang w:val="en-US" w:eastAsia="zh-CN"/>
        </w:rPr>
        <w:t>田家庵经济开发区</w:t>
      </w:r>
      <w:r>
        <w:rPr>
          <w:rFonts w:hint="default" w:ascii="Times New Roman" w:hAnsi="Times New Roman" w:cs="Times New Roman"/>
          <w:color w:val="auto"/>
          <w:sz w:val="24"/>
          <w:szCs w:val="24"/>
          <w:highlight w:val="none"/>
        </w:rPr>
        <w:t>污水处理</w:t>
      </w:r>
      <w:r>
        <w:rPr>
          <w:rFonts w:hint="default" w:ascii="Times New Roman" w:hAnsi="Times New Roman" w:cs="Times New Roman"/>
          <w:color w:val="auto"/>
          <w:sz w:val="24"/>
          <w:szCs w:val="24"/>
          <w:highlight w:val="none"/>
          <w:lang w:val="en-US" w:eastAsia="zh-CN"/>
        </w:rPr>
        <w:t>站</w:t>
      </w:r>
      <w:r>
        <w:rPr>
          <w:rFonts w:hint="default" w:ascii="Times New Roman" w:hAnsi="Times New Roman" w:cs="Times New Roman"/>
          <w:color w:val="auto"/>
          <w:sz w:val="24"/>
          <w:szCs w:val="24"/>
          <w:highlight w:val="none"/>
        </w:rPr>
        <w:t>污水处理工艺流程图</w:t>
      </w:r>
    </w:p>
    <w:p w14:paraId="6F2FAF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snapToGrid w:val="0"/>
          <w:color w:val="auto"/>
          <w:kern w:val="0"/>
          <w:sz w:val="24"/>
          <w:highlight w:val="none"/>
        </w:rPr>
      </w:pPr>
      <w:r>
        <w:rPr>
          <w:rFonts w:hint="default"/>
          <w:snapToGrid w:val="0"/>
          <w:color w:val="auto"/>
          <w:kern w:val="0"/>
          <w:sz w:val="24"/>
          <w:highlight w:val="none"/>
        </w:rPr>
        <w:t>综上所述，本项目</w:t>
      </w:r>
      <w:r>
        <w:rPr>
          <w:rFonts w:hint="eastAsia"/>
          <w:snapToGrid w:val="0"/>
          <w:color w:val="auto"/>
          <w:kern w:val="0"/>
          <w:sz w:val="24"/>
          <w:highlight w:val="none"/>
          <w:lang w:val="en-US" w:eastAsia="zh-CN"/>
        </w:rPr>
        <w:t>废水接管田家庵经济开发区污水处理站</w:t>
      </w:r>
      <w:r>
        <w:rPr>
          <w:rFonts w:hint="default"/>
          <w:snapToGrid w:val="0"/>
          <w:color w:val="auto"/>
          <w:kern w:val="0"/>
          <w:sz w:val="24"/>
          <w:highlight w:val="none"/>
        </w:rPr>
        <w:t>处理是可行的。</w:t>
      </w:r>
    </w:p>
    <w:p w14:paraId="5194DA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left"/>
        <w:textAlignment w:val="auto"/>
        <w:rPr>
          <w:rFonts w:hint="eastAsia"/>
          <w:b/>
          <w:bCs w:val="0"/>
          <w:snapToGrid w:val="0"/>
          <w:color w:val="auto"/>
          <w:kern w:val="0"/>
          <w:sz w:val="24"/>
          <w:szCs w:val="24"/>
          <w:highlight w:val="none"/>
          <w:lang w:val="en-US" w:eastAsia="zh-CN"/>
        </w:rPr>
      </w:pPr>
      <w:r>
        <w:rPr>
          <w:rFonts w:hint="eastAsia"/>
          <w:b/>
          <w:bCs w:val="0"/>
          <w:snapToGrid w:val="0"/>
          <w:color w:val="auto"/>
          <w:kern w:val="0"/>
          <w:sz w:val="24"/>
          <w:szCs w:val="24"/>
          <w:highlight w:val="none"/>
          <w:lang w:val="en-US" w:eastAsia="zh-CN"/>
        </w:rPr>
        <w:t>（5）废水污染物自行监测计划</w:t>
      </w:r>
    </w:p>
    <w:p w14:paraId="6942EC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snapToGrid w:val="0"/>
          <w:color w:val="auto"/>
          <w:kern w:val="0"/>
          <w:sz w:val="24"/>
          <w:highlight w:val="none"/>
          <w:lang w:val="en-US" w:eastAsia="zh-CN"/>
        </w:rPr>
      </w:pPr>
      <w:r>
        <w:rPr>
          <w:rFonts w:hint="eastAsia" w:ascii="Times New Roman" w:hAnsi="Times New Roman" w:eastAsia="宋体" w:cs="Times New Roman"/>
          <w:snapToGrid w:val="0"/>
          <w:color w:val="auto"/>
          <w:kern w:val="0"/>
          <w:sz w:val="24"/>
          <w:highlight w:val="none"/>
          <w:lang w:val="en-US" w:eastAsia="zh-CN"/>
        </w:rPr>
        <w:t>由于本项目不涉及石油化工常规污染因子，废水基本为生活污水和清净下水，根据</w:t>
      </w:r>
      <w:r>
        <w:rPr>
          <w:rFonts w:hint="default" w:ascii="Times New Roman" w:hAnsi="Times New Roman" w:eastAsia="宋体" w:cs="Times New Roman"/>
          <w:snapToGrid w:val="0"/>
          <w:color w:val="auto"/>
          <w:kern w:val="0"/>
          <w:sz w:val="24"/>
          <w:highlight w:val="none"/>
          <w:lang w:val="en-US" w:eastAsia="zh-CN"/>
        </w:rPr>
        <w:t>《排污许可证申请与核发技术规范 总则》（HJ942-2018），根据《</w:t>
      </w:r>
      <w:r>
        <w:rPr>
          <w:rFonts w:hint="eastAsia" w:ascii="Times New Roman" w:hAnsi="Times New Roman" w:eastAsia="宋体" w:cs="Times New Roman"/>
          <w:snapToGrid w:val="0"/>
          <w:color w:val="auto"/>
          <w:kern w:val="0"/>
          <w:sz w:val="24"/>
          <w:highlight w:val="none"/>
          <w:lang w:val="en-US" w:eastAsia="zh-CN"/>
        </w:rPr>
        <w:t>排污单位自行监测技术指南 储油库、加油站</w:t>
      </w:r>
      <w:r>
        <w:rPr>
          <w:rFonts w:hint="default" w:ascii="Times New Roman" w:hAnsi="Times New Roman" w:eastAsia="宋体" w:cs="Times New Roman"/>
          <w:snapToGrid w:val="0"/>
          <w:color w:val="auto"/>
          <w:kern w:val="0"/>
          <w:sz w:val="24"/>
          <w:highlight w:val="none"/>
          <w:lang w:val="en-US" w:eastAsia="zh-CN"/>
        </w:rPr>
        <w:t>》（</w:t>
      </w:r>
      <w:r>
        <w:rPr>
          <w:rFonts w:hint="eastAsia" w:ascii="Times New Roman" w:hAnsi="Times New Roman" w:eastAsia="宋体" w:cs="Times New Roman"/>
          <w:snapToGrid w:val="0"/>
          <w:color w:val="auto"/>
          <w:kern w:val="0"/>
          <w:sz w:val="24"/>
          <w:highlight w:val="none"/>
          <w:lang w:val="en-US" w:eastAsia="zh-CN"/>
        </w:rPr>
        <w:t>HJ1249-2022</w:t>
      </w:r>
      <w:r>
        <w:rPr>
          <w:rFonts w:hint="default" w:ascii="Times New Roman" w:hAnsi="Times New Roman" w:eastAsia="宋体" w:cs="Times New Roman"/>
          <w:snapToGrid w:val="0"/>
          <w:color w:val="auto"/>
          <w:kern w:val="0"/>
          <w:sz w:val="24"/>
          <w:highlight w:val="none"/>
          <w:lang w:val="en-US" w:eastAsia="zh-CN"/>
        </w:rPr>
        <w:t>）</w:t>
      </w:r>
      <w:r>
        <w:rPr>
          <w:rFonts w:hint="eastAsia" w:ascii="Times New Roman" w:hAnsi="Times New Roman" w:eastAsia="宋体" w:cs="Times New Roman"/>
          <w:snapToGrid w:val="0"/>
          <w:color w:val="auto"/>
          <w:kern w:val="0"/>
          <w:sz w:val="24"/>
          <w:highlight w:val="none"/>
          <w:lang w:val="en-US" w:eastAsia="zh-CN"/>
        </w:rPr>
        <w:t>，等规定的监测分析方法对污染源进行日常例行监测，设置环境保护图形标志牌，本项目有关废水污染源监测点、监测项目及监测频次见表5.2.2-6。</w:t>
      </w:r>
    </w:p>
    <w:p w14:paraId="087755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b/>
          <w:color w:val="auto"/>
          <w:sz w:val="21"/>
          <w:szCs w:val="21"/>
          <w:highlight w:val="none"/>
        </w:rPr>
      </w:pPr>
    </w:p>
    <w:p w14:paraId="0AE3AF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b/>
          <w:color w:val="auto"/>
          <w:sz w:val="21"/>
          <w:szCs w:val="21"/>
          <w:highlight w:val="none"/>
        </w:rPr>
      </w:pPr>
    </w:p>
    <w:p w14:paraId="030FAF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b/>
          <w:color w:val="auto"/>
          <w:sz w:val="24"/>
          <w:szCs w:val="24"/>
          <w:highlight w:val="none"/>
        </w:rPr>
      </w:pPr>
      <w:r>
        <w:rPr>
          <w:rFonts w:hint="default" w:ascii="Times New Roman" w:hAnsi="Times New Roman" w:eastAsia="宋体" w:cs="Times New Roman"/>
          <w:b/>
          <w:bCs/>
          <w:snapToGrid w:val="0"/>
          <w:color w:val="auto"/>
          <w:sz w:val="24"/>
          <w:szCs w:val="24"/>
          <w:highlight w:val="none"/>
        </w:rPr>
        <w:t>表</w:t>
      </w:r>
      <w:r>
        <w:rPr>
          <w:rFonts w:hint="default" w:ascii="Times New Roman" w:hAnsi="Times New Roman" w:eastAsia="宋体" w:cs="Times New Roman"/>
          <w:b/>
          <w:bCs/>
          <w:snapToGrid w:val="0"/>
          <w:color w:val="auto"/>
          <w:sz w:val="24"/>
          <w:szCs w:val="24"/>
          <w:highlight w:val="none"/>
          <w:lang w:val="en-US" w:eastAsia="zh-CN"/>
        </w:rPr>
        <w:t xml:space="preserve">5.2.2-6 </w:t>
      </w:r>
      <w:r>
        <w:rPr>
          <w:rFonts w:hint="default" w:ascii="Times New Roman" w:hAnsi="Times New Roman" w:eastAsia="宋体" w:cs="Times New Roman"/>
          <w:b/>
          <w:bCs/>
          <w:snapToGrid w:val="0"/>
          <w:color w:val="auto"/>
          <w:sz w:val="24"/>
          <w:szCs w:val="24"/>
          <w:highlight w:val="none"/>
        </w:rPr>
        <w:t xml:space="preserve"> </w:t>
      </w:r>
      <w:r>
        <w:rPr>
          <w:rFonts w:hint="default" w:ascii="Times New Roman" w:hAnsi="Times New Roman" w:eastAsia="宋体" w:cs="Times New Roman"/>
          <w:b/>
          <w:bCs/>
          <w:snapToGrid w:val="0"/>
          <w:color w:val="auto"/>
          <w:sz w:val="24"/>
          <w:szCs w:val="24"/>
          <w:highlight w:val="none"/>
          <w:lang w:val="en-US" w:eastAsia="zh-CN"/>
        </w:rPr>
        <w:t>本项目</w:t>
      </w:r>
      <w:r>
        <w:rPr>
          <w:rFonts w:hint="default" w:ascii="Times New Roman" w:hAnsi="Times New Roman" w:eastAsia="宋体" w:cs="Times New Roman"/>
          <w:b/>
          <w:bCs/>
          <w:snapToGrid w:val="0"/>
          <w:color w:val="auto"/>
          <w:sz w:val="24"/>
          <w:szCs w:val="24"/>
          <w:highlight w:val="none"/>
        </w:rPr>
        <w:t>监测计划一览表</w:t>
      </w:r>
    </w:p>
    <w:tbl>
      <w:tblPr>
        <w:tblStyle w:val="49"/>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16"/>
        <w:gridCol w:w="966"/>
        <w:gridCol w:w="4276"/>
        <w:gridCol w:w="920"/>
        <w:gridCol w:w="1135"/>
      </w:tblGrid>
      <w:tr w14:paraId="4B23E5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2" w:hRule="atLeast"/>
          <w:jc w:val="center"/>
        </w:trPr>
        <w:tc>
          <w:tcPr>
            <w:tcW w:w="1192" w:type="pct"/>
            <w:gridSpan w:val="2"/>
            <w:tcBorders>
              <w:tl2br w:val="nil"/>
              <w:tr2bl w:val="nil"/>
            </w:tcBorders>
            <w:noWrap w:val="0"/>
            <w:vAlign w:val="center"/>
          </w:tcPr>
          <w:p w14:paraId="2FF1C9D3">
            <w:pPr>
              <w:pStyle w:val="53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2571" w:type="pct"/>
            <w:tcBorders>
              <w:tl2br w:val="nil"/>
              <w:tr2bl w:val="nil"/>
            </w:tcBorders>
            <w:noWrap w:val="0"/>
            <w:vAlign w:val="center"/>
          </w:tcPr>
          <w:p w14:paraId="29C779F0">
            <w:pPr>
              <w:pStyle w:val="53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监测因子</w:t>
            </w:r>
          </w:p>
        </w:tc>
        <w:tc>
          <w:tcPr>
            <w:tcW w:w="553" w:type="pct"/>
            <w:tcBorders>
              <w:tl2br w:val="nil"/>
              <w:tr2bl w:val="nil"/>
            </w:tcBorders>
            <w:noWrap w:val="0"/>
            <w:vAlign w:val="center"/>
          </w:tcPr>
          <w:p w14:paraId="6199DE57">
            <w:pPr>
              <w:pStyle w:val="53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监测频率</w:t>
            </w:r>
          </w:p>
        </w:tc>
        <w:tc>
          <w:tcPr>
            <w:tcW w:w="682" w:type="pct"/>
            <w:tcBorders>
              <w:tl2br w:val="nil"/>
              <w:tr2bl w:val="nil"/>
            </w:tcBorders>
            <w:noWrap w:val="0"/>
            <w:vAlign w:val="center"/>
          </w:tcPr>
          <w:p w14:paraId="5BFDEBD4">
            <w:pPr>
              <w:pStyle w:val="53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监测点</w:t>
            </w:r>
          </w:p>
        </w:tc>
      </w:tr>
      <w:tr w14:paraId="398F1E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jc w:val="center"/>
        </w:trPr>
        <w:tc>
          <w:tcPr>
            <w:tcW w:w="611" w:type="pct"/>
            <w:tcBorders>
              <w:tl2br w:val="nil"/>
              <w:tr2bl w:val="nil"/>
            </w:tcBorders>
            <w:noWrap w:val="0"/>
            <w:vAlign w:val="center"/>
          </w:tcPr>
          <w:p w14:paraId="0B5AABEB">
            <w:pPr>
              <w:pStyle w:val="53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废水排口</w:t>
            </w:r>
          </w:p>
        </w:tc>
        <w:tc>
          <w:tcPr>
            <w:tcW w:w="581" w:type="pct"/>
            <w:tcBorders>
              <w:tl2br w:val="nil"/>
              <w:tr2bl w:val="nil"/>
            </w:tcBorders>
            <w:noWrap w:val="0"/>
            <w:vAlign w:val="center"/>
          </w:tcPr>
          <w:p w14:paraId="5A3C1A91">
            <w:pPr>
              <w:pStyle w:val="53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DW001</w:t>
            </w:r>
          </w:p>
        </w:tc>
        <w:tc>
          <w:tcPr>
            <w:tcW w:w="2571" w:type="pct"/>
            <w:tcBorders>
              <w:tl2br w:val="nil"/>
              <w:tr2bl w:val="nil"/>
            </w:tcBorders>
            <w:noWrap w:val="0"/>
            <w:vAlign w:val="center"/>
          </w:tcPr>
          <w:p w14:paraId="1AEE5B30">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right="0" w:firstLine="0" w:firstLineChars="0"/>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pH、SS、COD、BOD</w:t>
            </w:r>
            <w:r>
              <w:rPr>
                <w:rFonts w:hint="default" w:ascii="Times New Roman" w:hAnsi="Times New Roman" w:eastAsia="宋体" w:cs="Times New Roman"/>
                <w:color w:val="auto"/>
                <w:kern w:val="2"/>
                <w:sz w:val="21"/>
                <w:szCs w:val="21"/>
                <w:highlight w:val="none"/>
                <w:vertAlign w:val="subscript"/>
                <w:lang w:val="en-US" w:eastAsia="zh-CN" w:bidi="ar-SA"/>
              </w:rPr>
              <w:t>5</w:t>
            </w:r>
            <w:r>
              <w:rPr>
                <w:rFonts w:hint="default" w:ascii="Times New Roman" w:hAnsi="Times New Roman" w:eastAsia="宋体" w:cs="Times New Roman"/>
                <w:color w:val="auto"/>
                <w:kern w:val="2"/>
                <w:sz w:val="21"/>
                <w:szCs w:val="21"/>
                <w:highlight w:val="none"/>
                <w:lang w:val="en-US" w:eastAsia="zh-CN" w:bidi="ar-SA"/>
              </w:rPr>
              <w:t>、NH</w:t>
            </w:r>
            <w:r>
              <w:rPr>
                <w:rFonts w:hint="default" w:ascii="Times New Roman" w:hAnsi="Times New Roman" w:eastAsia="宋体" w:cs="Times New Roman"/>
                <w:color w:val="auto"/>
                <w:kern w:val="2"/>
                <w:sz w:val="21"/>
                <w:szCs w:val="21"/>
                <w:highlight w:val="none"/>
                <w:vertAlign w:val="sub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-N、</w:t>
            </w:r>
            <w:r>
              <w:rPr>
                <w:rFonts w:hint="default" w:ascii="Times New Roman" w:hAnsi="Times New Roman" w:cs="Times New Roman"/>
                <w:color w:val="auto"/>
                <w:kern w:val="2"/>
                <w:sz w:val="21"/>
                <w:szCs w:val="21"/>
                <w:highlight w:val="none"/>
                <w:lang w:val="en-US" w:eastAsia="zh-CN" w:bidi="ar-SA"/>
              </w:rPr>
              <w:t>TN、</w:t>
            </w:r>
            <w:r>
              <w:rPr>
                <w:rFonts w:hint="default" w:ascii="Times New Roman" w:hAnsi="Times New Roman" w:eastAsia="宋体" w:cs="Times New Roman"/>
                <w:color w:val="auto"/>
                <w:kern w:val="2"/>
                <w:sz w:val="21"/>
                <w:szCs w:val="21"/>
                <w:highlight w:val="none"/>
                <w:lang w:val="en-US" w:eastAsia="zh-CN" w:bidi="ar-SA"/>
              </w:rPr>
              <w:t>TP、LAS、石油类</w:t>
            </w:r>
          </w:p>
        </w:tc>
        <w:tc>
          <w:tcPr>
            <w:tcW w:w="553" w:type="pct"/>
            <w:tcBorders>
              <w:tl2br w:val="nil"/>
              <w:tr2bl w:val="nil"/>
            </w:tcBorders>
            <w:noWrap w:val="0"/>
            <w:vAlign w:val="center"/>
          </w:tcPr>
          <w:p w14:paraId="70C17182">
            <w:pPr>
              <w:pStyle w:val="53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1次/</w:t>
            </w:r>
            <w:r>
              <w:rPr>
                <w:rFonts w:hint="eastAsia" w:eastAsia="宋体" w:cs="Times New Roman"/>
                <w:color w:val="auto"/>
                <w:sz w:val="21"/>
                <w:szCs w:val="21"/>
                <w:highlight w:val="none"/>
                <w:lang w:val="en-US" w:eastAsia="zh-CN"/>
              </w:rPr>
              <w:t>季度</w:t>
            </w:r>
          </w:p>
        </w:tc>
        <w:tc>
          <w:tcPr>
            <w:tcW w:w="682" w:type="pct"/>
            <w:tcBorders>
              <w:tl2br w:val="nil"/>
              <w:tr2bl w:val="nil"/>
            </w:tcBorders>
            <w:noWrap w:val="0"/>
            <w:vAlign w:val="center"/>
          </w:tcPr>
          <w:p w14:paraId="3C0D3F49">
            <w:pPr>
              <w:pStyle w:val="537"/>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废水排放口</w:t>
            </w:r>
          </w:p>
        </w:tc>
      </w:tr>
    </w:tbl>
    <w:p w14:paraId="59AA8896">
      <w:pPr>
        <w:pStyle w:val="5"/>
        <w:rPr>
          <w:color w:val="auto"/>
          <w:highlight w:val="none"/>
        </w:rPr>
      </w:pPr>
      <w:bookmarkStart w:id="448" w:name="_Toc152922063"/>
      <w:bookmarkStart w:id="449" w:name="_Toc152923338"/>
      <w:bookmarkStart w:id="450" w:name="_Toc152921698"/>
      <w:bookmarkStart w:id="451" w:name="_Toc152922657"/>
      <w:r>
        <w:rPr>
          <w:color w:val="auto"/>
          <w:highlight w:val="none"/>
        </w:rPr>
        <w:t>5.2.2.</w:t>
      </w:r>
      <w:r>
        <w:rPr>
          <w:rFonts w:hint="eastAsia"/>
          <w:color w:val="auto"/>
          <w:highlight w:val="none"/>
          <w:lang w:val="en-US" w:eastAsia="zh-CN"/>
        </w:rPr>
        <w:t>4</w:t>
      </w:r>
      <w:r>
        <w:rPr>
          <w:color w:val="auto"/>
          <w:highlight w:val="none"/>
        </w:rPr>
        <w:t>废水环境影响评价结论</w:t>
      </w:r>
      <w:bookmarkEnd w:id="448"/>
      <w:bookmarkEnd w:id="449"/>
      <w:bookmarkEnd w:id="450"/>
      <w:bookmarkEnd w:id="451"/>
    </w:p>
    <w:p w14:paraId="3AFBE888">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本项目生产废水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间接循环冷却废水</w:t>
      </w:r>
      <w:r>
        <w:rPr>
          <w:rFonts w:hint="eastAsia" w:cs="Times New Roman"/>
          <w:color w:val="auto"/>
          <w:highlight w:val="none"/>
          <w:lang w:val="en-US" w:eastAsia="zh-CN"/>
        </w:rPr>
        <w:t>、脱盐水制备产生浓水、反冲洗废水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直接接管市政污水管网，</w:t>
      </w:r>
      <w:r>
        <w:rPr>
          <w:rFonts w:hint="default" w:ascii="Times New Roman" w:hAnsi="Times New Roman" w:eastAsia="宋体" w:cs="Times New Roman"/>
          <w:color w:val="auto"/>
          <w:highlight w:val="none"/>
        </w:rPr>
        <w:t>生活废水</w:t>
      </w:r>
      <w:r>
        <w:rPr>
          <w:rFonts w:hint="eastAsia" w:cs="Times New Roman"/>
          <w:color w:val="auto"/>
          <w:highlight w:val="none"/>
          <w:lang w:eastAsia="zh-CN"/>
        </w:rPr>
        <w:t>、</w:t>
      </w:r>
      <w:r>
        <w:rPr>
          <w:rFonts w:hint="eastAsia" w:cs="Times New Roman"/>
          <w:color w:val="auto"/>
          <w:highlight w:val="none"/>
          <w:lang w:val="en-US" w:eastAsia="zh-CN"/>
        </w:rPr>
        <w:t>保洁废水</w:t>
      </w:r>
      <w:r>
        <w:rPr>
          <w:rFonts w:hint="default" w:ascii="Times New Roman" w:hAnsi="Times New Roman" w:eastAsia="宋体" w:cs="Times New Roman"/>
          <w:color w:val="auto"/>
          <w:highlight w:val="none"/>
        </w:rPr>
        <w:t>经过厂区化粪池</w:t>
      </w:r>
      <w:r>
        <w:rPr>
          <w:rFonts w:hint="default" w:ascii="Times New Roman" w:hAnsi="Times New Roman" w:eastAsia="宋体" w:cs="Times New Roman"/>
          <w:color w:val="auto"/>
          <w:highlight w:val="none"/>
          <w:lang w:val="en-US" w:eastAsia="zh-CN"/>
        </w:rPr>
        <w:t>收集</w:t>
      </w:r>
      <w:r>
        <w:rPr>
          <w:rFonts w:hint="default" w:ascii="Times New Roman" w:hAnsi="Times New Roman" w:eastAsia="宋体" w:cs="Times New Roman"/>
          <w:color w:val="auto"/>
          <w:highlight w:val="none"/>
        </w:rPr>
        <w:t>预处理，</w:t>
      </w:r>
      <w:r>
        <w:rPr>
          <w:rFonts w:hint="eastAsia" w:cs="Times New Roman"/>
          <w:color w:val="auto"/>
          <w:highlight w:val="none"/>
          <w:lang w:val="en-US" w:eastAsia="zh-CN"/>
        </w:rPr>
        <w:t>洗车废水、初期雨水经隔油沉淀后接管市政污水管网，</w:t>
      </w:r>
      <w:r>
        <w:rPr>
          <w:rFonts w:hint="default" w:ascii="Times New Roman" w:hAnsi="Times New Roman" w:eastAsia="宋体" w:cs="Times New Roman"/>
          <w:color w:val="auto"/>
          <w:highlight w:val="none"/>
        </w:rPr>
        <w:t>经市政污水管网排入</w:t>
      </w:r>
      <w:r>
        <w:rPr>
          <w:rFonts w:hint="eastAsia" w:cs="Times New Roman"/>
          <w:color w:val="auto"/>
          <w:highlight w:val="none"/>
          <w:lang w:val="en-US" w:eastAsia="zh-CN"/>
        </w:rPr>
        <w:t>田家庵经济开发区污水处理站</w:t>
      </w:r>
      <w:r>
        <w:rPr>
          <w:rFonts w:hint="default" w:ascii="Times New Roman" w:hAnsi="Times New Roman" w:eastAsia="宋体" w:cs="Times New Roman"/>
          <w:color w:val="auto"/>
          <w:highlight w:val="none"/>
        </w:rPr>
        <w:t>，尾水最终排入</w:t>
      </w:r>
      <w:r>
        <w:rPr>
          <w:rFonts w:hint="eastAsia" w:cs="Times New Roman"/>
          <w:color w:val="auto"/>
          <w:highlight w:val="none"/>
          <w:lang w:val="en-US" w:eastAsia="zh-CN"/>
        </w:rPr>
        <w:t>瓦埠湖</w:t>
      </w:r>
      <w:r>
        <w:rPr>
          <w:rFonts w:hint="default" w:ascii="Times New Roman" w:hAnsi="Times New Roman" w:eastAsia="宋体" w:cs="Times New Roman"/>
          <w:color w:val="auto"/>
          <w:highlight w:val="none"/>
        </w:rPr>
        <w:t>。项目地位于</w:t>
      </w:r>
      <w:r>
        <w:rPr>
          <w:rFonts w:hint="eastAsia" w:cs="Times New Roman"/>
          <w:color w:val="auto"/>
          <w:highlight w:val="none"/>
          <w:lang w:val="en-US" w:eastAsia="zh-CN"/>
        </w:rPr>
        <w:t>田家庵经济开发区污水处理站</w:t>
      </w:r>
      <w:r>
        <w:rPr>
          <w:rFonts w:hint="default" w:ascii="Times New Roman" w:hAnsi="Times New Roman" w:eastAsia="宋体" w:cs="Times New Roman"/>
          <w:color w:val="auto"/>
          <w:highlight w:val="none"/>
        </w:rPr>
        <w:t>收水</w:t>
      </w:r>
      <w:r>
        <w:rPr>
          <w:rFonts w:hint="eastAsia" w:cs="Times New Roman"/>
          <w:color w:val="auto"/>
          <w:highlight w:val="none"/>
          <w:lang w:val="en-US" w:eastAsia="zh-CN"/>
        </w:rPr>
        <w:t>辐射</w:t>
      </w:r>
      <w:r>
        <w:rPr>
          <w:rFonts w:hint="default" w:ascii="Times New Roman" w:hAnsi="Times New Roman" w:eastAsia="宋体" w:cs="Times New Roman"/>
          <w:color w:val="auto"/>
          <w:highlight w:val="none"/>
        </w:rPr>
        <w:t>范围以内；项目外排废水量产生不大，且水质较简单，</w:t>
      </w:r>
      <w:r>
        <w:rPr>
          <w:rFonts w:hint="default" w:ascii="Times New Roman" w:hAnsi="Times New Roman" w:eastAsia="宋体" w:cs="Times New Roman"/>
          <w:color w:val="auto"/>
          <w:highlight w:val="none"/>
          <w:lang w:val="en-US" w:eastAsia="zh-CN"/>
        </w:rPr>
        <w:t>主要为生活污水</w:t>
      </w:r>
      <w:r>
        <w:rPr>
          <w:rFonts w:hint="eastAsia" w:cs="Times New Roman"/>
          <w:color w:val="auto"/>
          <w:highlight w:val="none"/>
          <w:lang w:val="en-US" w:eastAsia="zh-CN"/>
        </w:rPr>
        <w:t>及清净下水</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不会对</w:t>
      </w:r>
      <w:r>
        <w:rPr>
          <w:rFonts w:hint="eastAsia" w:cs="Times New Roman"/>
          <w:color w:val="auto"/>
          <w:highlight w:val="none"/>
          <w:lang w:val="en-US" w:eastAsia="zh-CN"/>
        </w:rPr>
        <w:t>田家庵经济开发区污水处理站</w:t>
      </w:r>
      <w:r>
        <w:rPr>
          <w:rFonts w:hint="default" w:ascii="Times New Roman" w:hAnsi="Times New Roman" w:eastAsia="宋体" w:cs="Times New Roman"/>
          <w:color w:val="auto"/>
          <w:highlight w:val="none"/>
        </w:rPr>
        <w:t>产生冲击负荷；</w:t>
      </w:r>
      <w:r>
        <w:rPr>
          <w:rFonts w:hint="eastAsia" w:cs="Times New Roman"/>
          <w:color w:val="auto"/>
          <w:highlight w:val="none"/>
          <w:lang w:val="en-US" w:eastAsia="zh-CN"/>
        </w:rPr>
        <w:t>田家庵经济开发区污水处理站</w:t>
      </w:r>
      <w:r>
        <w:rPr>
          <w:rFonts w:hint="default" w:ascii="Times New Roman" w:hAnsi="Times New Roman" w:eastAsia="宋体" w:cs="Times New Roman"/>
          <w:color w:val="auto"/>
          <w:highlight w:val="none"/>
        </w:rPr>
        <w:t>的处理工艺可满足对项目废水的达标处理要求，废水经过处理后，可达到《城镇污水处理厂污染物排放标准》（GB18918-2002）一级A标准污染物排放浓度限值，尾水最终排入</w:t>
      </w:r>
      <w:r>
        <w:rPr>
          <w:rFonts w:hint="eastAsia" w:cs="Times New Roman"/>
          <w:color w:val="auto"/>
          <w:highlight w:val="none"/>
          <w:lang w:val="en-US" w:eastAsia="zh-CN"/>
        </w:rPr>
        <w:t>瓦埠湖</w:t>
      </w:r>
      <w:r>
        <w:rPr>
          <w:rFonts w:hint="default" w:ascii="Times New Roman" w:hAnsi="Times New Roman" w:eastAsia="宋体" w:cs="Times New Roman"/>
          <w:color w:val="auto"/>
          <w:highlight w:val="none"/>
        </w:rPr>
        <w:t>。</w:t>
      </w:r>
    </w:p>
    <w:p w14:paraId="216CBF2C">
      <w:pPr>
        <w:pStyle w:val="35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综上，本项目外排废水经过处理后，对环境影响不大。</w:t>
      </w:r>
    </w:p>
    <w:p w14:paraId="11BCF975">
      <w:pPr>
        <w:snapToGrid w:val="0"/>
        <w:spacing w:line="360" w:lineRule="auto"/>
        <w:ind w:firstLine="480" w:firstLineChars="200"/>
        <w:rPr>
          <w:rFonts w:ascii="Times New Roman" w:hAnsi="Times New Roman" w:eastAsia="宋体"/>
          <w:bCs/>
          <w:color w:val="auto"/>
          <w:sz w:val="24"/>
          <w:szCs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7264A571">
      <w:pPr>
        <w:spacing w:line="400" w:lineRule="exact"/>
        <w:jc w:val="center"/>
        <w:rPr>
          <w:rFonts w:ascii="Times New Roman" w:hAnsi="Times New Roman" w:eastAsia="宋体"/>
          <w:b/>
          <w:color w:val="auto"/>
          <w:sz w:val="24"/>
          <w:szCs w:val="24"/>
          <w:highlight w:val="none"/>
        </w:rPr>
      </w:pPr>
      <w:r>
        <w:rPr>
          <w:rFonts w:ascii="Times New Roman" w:hAnsi="Times New Roman" w:eastAsia="宋体"/>
          <w:b/>
          <w:bCs/>
          <w:color w:val="auto"/>
          <w:sz w:val="24"/>
          <w:szCs w:val="24"/>
          <w:highlight w:val="none"/>
        </w:rPr>
        <w:t>表5.2.2-</w:t>
      </w:r>
      <w:r>
        <w:rPr>
          <w:rFonts w:hint="eastAsia" w:ascii="Times New Roman" w:hAnsi="Times New Roman" w:eastAsia="宋体"/>
          <w:b/>
          <w:bCs/>
          <w:color w:val="auto"/>
          <w:sz w:val="24"/>
          <w:szCs w:val="24"/>
          <w:highlight w:val="none"/>
          <w:lang w:val="en-US" w:eastAsia="zh-CN"/>
        </w:rPr>
        <w:t>7</w:t>
      </w:r>
      <w:r>
        <w:rPr>
          <w:rFonts w:hint="eastAsia"/>
          <w:b/>
          <w:bCs/>
          <w:color w:val="auto"/>
          <w:sz w:val="24"/>
          <w:szCs w:val="24"/>
          <w:highlight w:val="none"/>
          <w:lang w:val="en-US" w:eastAsia="zh-CN"/>
        </w:rPr>
        <w:t xml:space="preserve">  </w:t>
      </w:r>
      <w:r>
        <w:rPr>
          <w:rFonts w:ascii="Times New Roman" w:hAnsi="Times New Roman" w:eastAsia="宋体"/>
          <w:b/>
          <w:color w:val="auto"/>
          <w:sz w:val="24"/>
          <w:szCs w:val="24"/>
          <w:highlight w:val="none"/>
        </w:rPr>
        <w:t>建设项目地表水环境影响评价自查表</w:t>
      </w:r>
    </w:p>
    <w:tbl>
      <w:tblPr>
        <w:tblStyle w:val="49"/>
        <w:tblW w:w="1414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77"/>
        <w:gridCol w:w="2596"/>
        <w:gridCol w:w="2422"/>
        <w:gridCol w:w="50"/>
        <w:gridCol w:w="906"/>
        <w:gridCol w:w="365"/>
        <w:gridCol w:w="812"/>
        <w:gridCol w:w="844"/>
        <w:gridCol w:w="292"/>
        <w:gridCol w:w="949"/>
        <w:gridCol w:w="89"/>
        <w:gridCol w:w="1594"/>
        <w:gridCol w:w="189"/>
        <w:gridCol w:w="211"/>
        <w:gridCol w:w="2346"/>
      </w:tblGrid>
      <w:tr w14:paraId="654A09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trPr>
        <w:tc>
          <w:tcPr>
            <w:tcW w:w="3073" w:type="dxa"/>
            <w:gridSpan w:val="2"/>
            <w:tcBorders>
              <w:tl2br w:val="nil"/>
              <w:tr2bl w:val="nil"/>
            </w:tcBorders>
            <w:noWrap w:val="0"/>
            <w:vAlign w:val="center"/>
          </w:tcPr>
          <w:p w14:paraId="208BE5C5">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工作内容</w:t>
            </w:r>
          </w:p>
        </w:tc>
        <w:tc>
          <w:tcPr>
            <w:tcW w:w="11069" w:type="dxa"/>
            <w:gridSpan w:val="13"/>
            <w:tcBorders>
              <w:tl2br w:val="nil"/>
              <w:tr2bl w:val="nil"/>
            </w:tcBorders>
            <w:noWrap w:val="0"/>
            <w:vAlign w:val="center"/>
          </w:tcPr>
          <w:p w14:paraId="68DC6885">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自查项目</w:t>
            </w:r>
          </w:p>
        </w:tc>
      </w:tr>
      <w:tr w14:paraId="0A8CE5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restart"/>
            <w:tcBorders>
              <w:tl2br w:val="nil"/>
              <w:tr2bl w:val="nil"/>
            </w:tcBorders>
            <w:noWrap w:val="0"/>
            <w:vAlign w:val="center"/>
          </w:tcPr>
          <w:p w14:paraId="312BF31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影响识别</w:t>
            </w:r>
          </w:p>
        </w:tc>
        <w:tc>
          <w:tcPr>
            <w:tcW w:w="2596" w:type="dxa"/>
            <w:tcBorders>
              <w:tl2br w:val="nil"/>
              <w:tr2bl w:val="nil"/>
            </w:tcBorders>
            <w:noWrap w:val="0"/>
            <w:vAlign w:val="center"/>
          </w:tcPr>
          <w:p w14:paraId="5043227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影响类型</w:t>
            </w:r>
          </w:p>
        </w:tc>
        <w:tc>
          <w:tcPr>
            <w:tcW w:w="11069" w:type="dxa"/>
            <w:gridSpan w:val="13"/>
            <w:tcBorders>
              <w:tl2br w:val="nil"/>
              <w:tr2bl w:val="nil"/>
            </w:tcBorders>
            <w:noWrap w:val="0"/>
            <w:vAlign w:val="center"/>
          </w:tcPr>
          <w:p w14:paraId="7696FEF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水污染影响型</w:t>
            </w:r>
            <w:r>
              <w:rPr>
                <w:rFonts w:ascii="Times New Roman" w:hAnsi="Times New Roman" w:eastAsia="宋体"/>
                <w:color w:val="auto"/>
                <w:szCs w:val="21"/>
                <w:highlight w:val="none"/>
              </w:rPr>
              <w:sym w:font="Wingdings 2" w:char="0052"/>
            </w:r>
            <w:r>
              <w:rPr>
                <w:rFonts w:ascii="Times New Roman" w:hAnsi="Times New Roman" w:eastAsia="宋体"/>
                <w:color w:val="auto"/>
                <w:szCs w:val="21"/>
                <w:highlight w:val="none"/>
              </w:rPr>
              <w:t>；水文要素影响型□</w:t>
            </w:r>
          </w:p>
        </w:tc>
      </w:tr>
      <w:tr w14:paraId="5D80B2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5AC13602">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040FFDE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水环境保护目标</w:t>
            </w:r>
          </w:p>
        </w:tc>
        <w:tc>
          <w:tcPr>
            <w:tcW w:w="11069" w:type="dxa"/>
            <w:gridSpan w:val="13"/>
            <w:tcBorders>
              <w:tl2br w:val="nil"/>
              <w:tr2bl w:val="nil"/>
            </w:tcBorders>
            <w:noWrap w:val="0"/>
            <w:vAlign w:val="center"/>
          </w:tcPr>
          <w:p w14:paraId="5829630E">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饮用水水源保护区□；饮用水取水口□；涉水的自然保护区□；重要湿地□；</w:t>
            </w:r>
          </w:p>
          <w:p w14:paraId="461A7581">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重点保护与珍稀水生生物的栖息地□；重要水生生物的自然产卵场及索饵场、越冬场和洄游通道、天然渔场等渔业水体□；涉水的风景名胜区□；其他□</w:t>
            </w:r>
          </w:p>
        </w:tc>
      </w:tr>
      <w:tr w14:paraId="4426A0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1D605121">
            <w:pPr>
              <w:snapToGrid w:val="0"/>
              <w:jc w:val="center"/>
              <w:rPr>
                <w:rFonts w:ascii="Times New Roman" w:hAnsi="Times New Roman" w:eastAsia="宋体"/>
                <w:color w:val="auto"/>
                <w:szCs w:val="21"/>
                <w:highlight w:val="none"/>
              </w:rPr>
            </w:pPr>
          </w:p>
        </w:tc>
        <w:tc>
          <w:tcPr>
            <w:tcW w:w="2596" w:type="dxa"/>
            <w:vMerge w:val="restart"/>
            <w:tcBorders>
              <w:tl2br w:val="nil"/>
              <w:tr2bl w:val="nil"/>
            </w:tcBorders>
            <w:noWrap w:val="0"/>
            <w:vAlign w:val="center"/>
          </w:tcPr>
          <w:p w14:paraId="7F0E7F7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影响途径</w:t>
            </w:r>
          </w:p>
        </w:tc>
        <w:tc>
          <w:tcPr>
            <w:tcW w:w="5691" w:type="dxa"/>
            <w:gridSpan w:val="7"/>
            <w:tcBorders>
              <w:tl2br w:val="nil"/>
              <w:tr2bl w:val="nil"/>
            </w:tcBorders>
            <w:noWrap w:val="0"/>
            <w:vAlign w:val="center"/>
          </w:tcPr>
          <w:p w14:paraId="36784A1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水污染影响型</w:t>
            </w:r>
          </w:p>
        </w:tc>
        <w:tc>
          <w:tcPr>
            <w:tcW w:w="5378" w:type="dxa"/>
            <w:gridSpan w:val="6"/>
            <w:tcBorders>
              <w:tl2br w:val="nil"/>
              <w:tr2bl w:val="nil"/>
            </w:tcBorders>
            <w:noWrap w:val="0"/>
            <w:vAlign w:val="center"/>
          </w:tcPr>
          <w:p w14:paraId="7960332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水文要素影响型</w:t>
            </w:r>
          </w:p>
        </w:tc>
      </w:tr>
      <w:tr w14:paraId="65D1CB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1255B774">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616E7641">
            <w:pPr>
              <w:snapToGrid w:val="0"/>
              <w:jc w:val="center"/>
              <w:rPr>
                <w:rFonts w:ascii="Times New Roman" w:hAnsi="Times New Roman" w:eastAsia="宋体"/>
                <w:color w:val="auto"/>
                <w:szCs w:val="21"/>
                <w:highlight w:val="none"/>
              </w:rPr>
            </w:pPr>
          </w:p>
        </w:tc>
        <w:tc>
          <w:tcPr>
            <w:tcW w:w="5691" w:type="dxa"/>
            <w:gridSpan w:val="7"/>
            <w:tcBorders>
              <w:tl2br w:val="nil"/>
              <w:tr2bl w:val="nil"/>
            </w:tcBorders>
            <w:noWrap w:val="0"/>
            <w:vAlign w:val="center"/>
          </w:tcPr>
          <w:p w14:paraId="5BA01C0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直接排放□；间接排放</w:t>
            </w:r>
            <w:r>
              <w:rPr>
                <w:rFonts w:ascii="Times New Roman" w:hAnsi="Times New Roman" w:eastAsia="宋体"/>
                <w:color w:val="auto"/>
                <w:szCs w:val="21"/>
                <w:highlight w:val="none"/>
              </w:rPr>
              <w:sym w:font="Wingdings 2" w:char="0052"/>
            </w:r>
            <w:r>
              <w:rPr>
                <w:rFonts w:ascii="Times New Roman" w:hAnsi="Times New Roman" w:eastAsia="宋体"/>
                <w:color w:val="auto"/>
                <w:szCs w:val="21"/>
                <w:highlight w:val="none"/>
              </w:rPr>
              <w:t>；其他□</w:t>
            </w:r>
          </w:p>
        </w:tc>
        <w:tc>
          <w:tcPr>
            <w:tcW w:w="5378" w:type="dxa"/>
            <w:gridSpan w:val="6"/>
            <w:tcBorders>
              <w:tl2br w:val="nil"/>
              <w:tr2bl w:val="nil"/>
            </w:tcBorders>
            <w:noWrap w:val="0"/>
            <w:vAlign w:val="center"/>
          </w:tcPr>
          <w:p w14:paraId="408610B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水温□；径流□；水域面积□</w:t>
            </w:r>
          </w:p>
        </w:tc>
      </w:tr>
      <w:tr w14:paraId="08DCDA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3D7A381B">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43C62BF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影响因子</w:t>
            </w:r>
          </w:p>
        </w:tc>
        <w:tc>
          <w:tcPr>
            <w:tcW w:w="5691" w:type="dxa"/>
            <w:gridSpan w:val="7"/>
            <w:tcBorders>
              <w:tl2br w:val="nil"/>
              <w:tr2bl w:val="nil"/>
            </w:tcBorders>
            <w:noWrap w:val="0"/>
            <w:vAlign w:val="center"/>
          </w:tcPr>
          <w:p w14:paraId="75891D3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持久性污染物□；有毒有害污染物</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；非持久性污染物</w:t>
            </w:r>
            <w:r>
              <w:rPr>
                <w:rFonts w:ascii="Times New Roman" w:hAnsi="Times New Roman" w:eastAsia="宋体"/>
                <w:color w:val="auto"/>
                <w:szCs w:val="21"/>
                <w:highlight w:val="none"/>
              </w:rPr>
              <w:sym w:font="Wingdings 2" w:char="0052"/>
            </w:r>
            <w:r>
              <w:rPr>
                <w:rFonts w:ascii="Times New Roman" w:hAnsi="Times New Roman" w:eastAsia="宋体"/>
                <w:color w:val="auto"/>
                <w:szCs w:val="21"/>
                <w:highlight w:val="none"/>
              </w:rPr>
              <w:t>；pH值</w:t>
            </w:r>
            <w:r>
              <w:rPr>
                <w:rFonts w:ascii="Times New Roman" w:hAnsi="Times New Roman" w:eastAsia="宋体"/>
                <w:color w:val="auto"/>
                <w:szCs w:val="21"/>
                <w:highlight w:val="none"/>
              </w:rPr>
              <w:sym w:font="Wingdings 2" w:char="0052"/>
            </w:r>
            <w:r>
              <w:rPr>
                <w:rFonts w:ascii="Times New Roman" w:hAnsi="Times New Roman" w:eastAsia="宋体"/>
                <w:color w:val="auto"/>
                <w:szCs w:val="21"/>
                <w:highlight w:val="none"/>
              </w:rPr>
              <w:t>；热污染□；富营养化□；其他□</w:t>
            </w:r>
          </w:p>
        </w:tc>
        <w:tc>
          <w:tcPr>
            <w:tcW w:w="5378" w:type="dxa"/>
            <w:gridSpan w:val="6"/>
            <w:tcBorders>
              <w:tl2br w:val="nil"/>
              <w:tr2bl w:val="nil"/>
            </w:tcBorders>
            <w:noWrap w:val="0"/>
            <w:vAlign w:val="center"/>
          </w:tcPr>
          <w:p w14:paraId="5687013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水温□；水位（水深）□；流速□；流量□；其他□</w:t>
            </w:r>
          </w:p>
        </w:tc>
      </w:tr>
      <w:tr w14:paraId="401F9E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73" w:type="dxa"/>
            <w:gridSpan w:val="2"/>
            <w:vMerge w:val="restart"/>
            <w:tcBorders>
              <w:tl2br w:val="nil"/>
              <w:tr2bl w:val="nil"/>
            </w:tcBorders>
            <w:noWrap w:val="0"/>
            <w:vAlign w:val="center"/>
          </w:tcPr>
          <w:p w14:paraId="7871A40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评价等级</w:t>
            </w:r>
          </w:p>
        </w:tc>
        <w:tc>
          <w:tcPr>
            <w:tcW w:w="5691" w:type="dxa"/>
            <w:gridSpan w:val="7"/>
            <w:tcBorders>
              <w:tl2br w:val="nil"/>
              <w:tr2bl w:val="nil"/>
            </w:tcBorders>
            <w:noWrap w:val="0"/>
            <w:vAlign w:val="center"/>
          </w:tcPr>
          <w:p w14:paraId="63B9180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水污染影响型</w:t>
            </w:r>
          </w:p>
        </w:tc>
        <w:tc>
          <w:tcPr>
            <w:tcW w:w="5378" w:type="dxa"/>
            <w:gridSpan w:val="6"/>
            <w:tcBorders>
              <w:tl2br w:val="nil"/>
              <w:tr2bl w:val="nil"/>
            </w:tcBorders>
            <w:noWrap w:val="0"/>
            <w:vAlign w:val="center"/>
          </w:tcPr>
          <w:p w14:paraId="1CD4A53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水文要素影响型</w:t>
            </w:r>
          </w:p>
        </w:tc>
      </w:tr>
      <w:tr w14:paraId="343E7F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73" w:type="dxa"/>
            <w:gridSpan w:val="2"/>
            <w:vMerge w:val="continue"/>
            <w:tcBorders>
              <w:tl2br w:val="nil"/>
              <w:tr2bl w:val="nil"/>
            </w:tcBorders>
            <w:noWrap w:val="0"/>
            <w:vAlign w:val="center"/>
          </w:tcPr>
          <w:p w14:paraId="04AFBC78">
            <w:pPr>
              <w:snapToGrid w:val="0"/>
              <w:jc w:val="center"/>
              <w:rPr>
                <w:rFonts w:ascii="Times New Roman" w:hAnsi="Times New Roman" w:eastAsia="宋体"/>
                <w:color w:val="auto"/>
                <w:szCs w:val="21"/>
                <w:highlight w:val="none"/>
              </w:rPr>
            </w:pPr>
          </w:p>
        </w:tc>
        <w:tc>
          <w:tcPr>
            <w:tcW w:w="5691" w:type="dxa"/>
            <w:gridSpan w:val="7"/>
            <w:tcBorders>
              <w:tl2br w:val="nil"/>
              <w:tr2bl w:val="nil"/>
            </w:tcBorders>
            <w:noWrap w:val="0"/>
            <w:vAlign w:val="center"/>
          </w:tcPr>
          <w:p w14:paraId="68B8ED7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一级□；二级□；三级A□；三级B</w:t>
            </w:r>
            <w:r>
              <w:rPr>
                <w:rFonts w:ascii="Times New Roman" w:hAnsi="Times New Roman" w:eastAsia="宋体"/>
                <w:color w:val="auto"/>
                <w:szCs w:val="21"/>
                <w:highlight w:val="none"/>
              </w:rPr>
              <w:sym w:font="Wingdings 2" w:char="0052"/>
            </w:r>
          </w:p>
        </w:tc>
        <w:tc>
          <w:tcPr>
            <w:tcW w:w="5378" w:type="dxa"/>
            <w:gridSpan w:val="6"/>
            <w:tcBorders>
              <w:tl2br w:val="nil"/>
              <w:tr2bl w:val="nil"/>
            </w:tcBorders>
            <w:noWrap w:val="0"/>
            <w:vAlign w:val="center"/>
          </w:tcPr>
          <w:p w14:paraId="4CE5480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一级□；二级□；三级□</w:t>
            </w:r>
          </w:p>
        </w:tc>
      </w:tr>
      <w:tr w14:paraId="057F29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restart"/>
            <w:tcBorders>
              <w:tl2br w:val="nil"/>
              <w:tr2bl w:val="nil"/>
            </w:tcBorders>
            <w:noWrap w:val="0"/>
            <w:vAlign w:val="center"/>
          </w:tcPr>
          <w:p w14:paraId="042F4A2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现状调查</w:t>
            </w:r>
          </w:p>
        </w:tc>
        <w:tc>
          <w:tcPr>
            <w:tcW w:w="2596" w:type="dxa"/>
            <w:vMerge w:val="restart"/>
            <w:tcBorders>
              <w:tl2br w:val="nil"/>
              <w:tr2bl w:val="nil"/>
            </w:tcBorders>
            <w:noWrap w:val="0"/>
            <w:vAlign w:val="center"/>
          </w:tcPr>
          <w:p w14:paraId="4D91340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区域污染源</w:t>
            </w:r>
          </w:p>
        </w:tc>
        <w:tc>
          <w:tcPr>
            <w:tcW w:w="5691" w:type="dxa"/>
            <w:gridSpan w:val="7"/>
            <w:tcBorders>
              <w:tl2br w:val="nil"/>
              <w:tr2bl w:val="nil"/>
            </w:tcBorders>
            <w:noWrap w:val="0"/>
            <w:vAlign w:val="center"/>
          </w:tcPr>
          <w:p w14:paraId="0D8909C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调查项目</w:t>
            </w:r>
          </w:p>
        </w:tc>
        <w:tc>
          <w:tcPr>
            <w:tcW w:w="5378" w:type="dxa"/>
            <w:gridSpan w:val="6"/>
            <w:tcBorders>
              <w:tl2br w:val="nil"/>
              <w:tr2bl w:val="nil"/>
            </w:tcBorders>
            <w:noWrap w:val="0"/>
            <w:vAlign w:val="center"/>
          </w:tcPr>
          <w:p w14:paraId="1194E83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数据来源</w:t>
            </w:r>
          </w:p>
        </w:tc>
      </w:tr>
      <w:tr w14:paraId="4B6408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402D8C6B">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7DD7D4C0">
            <w:pPr>
              <w:autoSpaceDE w:val="0"/>
              <w:autoSpaceDN w:val="0"/>
              <w:adjustRightInd w:val="0"/>
              <w:snapToGrid w:val="0"/>
              <w:jc w:val="center"/>
              <w:rPr>
                <w:rFonts w:ascii="Times New Roman" w:hAnsi="Times New Roman" w:eastAsia="宋体"/>
                <w:color w:val="auto"/>
                <w:kern w:val="0"/>
                <w:szCs w:val="21"/>
                <w:highlight w:val="none"/>
              </w:rPr>
            </w:pPr>
          </w:p>
        </w:tc>
        <w:tc>
          <w:tcPr>
            <w:tcW w:w="3743" w:type="dxa"/>
            <w:gridSpan w:val="4"/>
            <w:tcBorders>
              <w:tl2br w:val="nil"/>
              <w:tr2bl w:val="nil"/>
            </w:tcBorders>
            <w:noWrap w:val="0"/>
            <w:vAlign w:val="center"/>
          </w:tcPr>
          <w:p w14:paraId="609A380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已建</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；在建□；拟建</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；其他□</w:t>
            </w:r>
          </w:p>
        </w:tc>
        <w:tc>
          <w:tcPr>
            <w:tcW w:w="1948" w:type="dxa"/>
            <w:gridSpan w:val="3"/>
            <w:tcBorders>
              <w:tl2br w:val="nil"/>
              <w:tr2bl w:val="nil"/>
            </w:tcBorders>
            <w:noWrap w:val="0"/>
            <w:vAlign w:val="center"/>
          </w:tcPr>
          <w:p w14:paraId="1FA91C9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拟替代的污染源□</w:t>
            </w:r>
          </w:p>
        </w:tc>
        <w:tc>
          <w:tcPr>
            <w:tcW w:w="5378" w:type="dxa"/>
            <w:gridSpan w:val="6"/>
            <w:tcBorders>
              <w:tl2br w:val="nil"/>
              <w:tr2bl w:val="nil"/>
            </w:tcBorders>
            <w:noWrap w:val="0"/>
            <w:vAlign w:val="center"/>
          </w:tcPr>
          <w:p w14:paraId="5E3C985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排污许可证□；环评</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；环保验收□；既有实测□；</w:t>
            </w:r>
          </w:p>
          <w:p w14:paraId="3CE1C0A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现场监测□；入河排放口数据□；其他</w:t>
            </w:r>
            <w:r>
              <w:rPr>
                <w:rFonts w:ascii="Times New Roman" w:hAnsi="Times New Roman" w:eastAsia="宋体"/>
                <w:color w:val="auto"/>
                <w:szCs w:val="21"/>
                <w:highlight w:val="none"/>
              </w:rPr>
              <w:sym w:font="Wingdings 2" w:char="0052"/>
            </w:r>
          </w:p>
        </w:tc>
      </w:tr>
      <w:tr w14:paraId="5F8194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5A9E4E0D">
            <w:pPr>
              <w:snapToGrid w:val="0"/>
              <w:jc w:val="center"/>
              <w:rPr>
                <w:rFonts w:ascii="Times New Roman" w:hAnsi="Times New Roman" w:eastAsia="宋体"/>
                <w:color w:val="auto"/>
                <w:szCs w:val="21"/>
                <w:highlight w:val="none"/>
              </w:rPr>
            </w:pPr>
          </w:p>
        </w:tc>
        <w:tc>
          <w:tcPr>
            <w:tcW w:w="2596" w:type="dxa"/>
            <w:vMerge w:val="restart"/>
            <w:tcBorders>
              <w:tl2br w:val="nil"/>
              <w:tr2bl w:val="nil"/>
            </w:tcBorders>
            <w:noWrap w:val="0"/>
            <w:vAlign w:val="center"/>
          </w:tcPr>
          <w:p w14:paraId="5509043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受影响水体水环境质量</w:t>
            </w:r>
          </w:p>
        </w:tc>
        <w:tc>
          <w:tcPr>
            <w:tcW w:w="5691" w:type="dxa"/>
            <w:gridSpan w:val="7"/>
            <w:tcBorders>
              <w:tl2br w:val="nil"/>
              <w:tr2bl w:val="nil"/>
            </w:tcBorders>
            <w:noWrap w:val="0"/>
            <w:vAlign w:val="center"/>
          </w:tcPr>
          <w:p w14:paraId="1B12204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调查时期</w:t>
            </w:r>
          </w:p>
        </w:tc>
        <w:tc>
          <w:tcPr>
            <w:tcW w:w="5378" w:type="dxa"/>
            <w:gridSpan w:val="6"/>
            <w:tcBorders>
              <w:tl2br w:val="nil"/>
              <w:tr2bl w:val="nil"/>
            </w:tcBorders>
            <w:noWrap w:val="0"/>
            <w:vAlign w:val="center"/>
          </w:tcPr>
          <w:p w14:paraId="17C6D45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数据来源</w:t>
            </w:r>
          </w:p>
        </w:tc>
      </w:tr>
      <w:tr w14:paraId="3530D4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6594640D">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384E1AFB">
            <w:pPr>
              <w:snapToGrid w:val="0"/>
              <w:jc w:val="center"/>
              <w:rPr>
                <w:rFonts w:ascii="Times New Roman" w:hAnsi="Times New Roman" w:eastAsia="宋体"/>
                <w:color w:val="auto"/>
                <w:szCs w:val="21"/>
                <w:highlight w:val="none"/>
              </w:rPr>
            </w:pPr>
          </w:p>
        </w:tc>
        <w:tc>
          <w:tcPr>
            <w:tcW w:w="5691" w:type="dxa"/>
            <w:gridSpan w:val="7"/>
            <w:tcBorders>
              <w:tl2br w:val="nil"/>
              <w:tr2bl w:val="nil"/>
            </w:tcBorders>
            <w:noWrap w:val="0"/>
            <w:vAlign w:val="center"/>
          </w:tcPr>
          <w:p w14:paraId="1C34B03C">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丰水期</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；平水期□；枯水期</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；冰封期□</w:t>
            </w:r>
          </w:p>
          <w:p w14:paraId="5615D5DC">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春季</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；夏季□；秋季□；冬季</w:t>
            </w:r>
            <w:r>
              <w:rPr>
                <w:rFonts w:ascii="Times New Roman" w:hAnsi="Times New Roman" w:eastAsia="宋体"/>
                <w:color w:val="auto"/>
                <w:szCs w:val="21"/>
                <w:highlight w:val="none"/>
              </w:rPr>
              <w:sym w:font="Wingdings 2" w:char="00A3"/>
            </w:r>
          </w:p>
        </w:tc>
        <w:tc>
          <w:tcPr>
            <w:tcW w:w="5378" w:type="dxa"/>
            <w:gridSpan w:val="6"/>
            <w:tcBorders>
              <w:tl2br w:val="nil"/>
              <w:tr2bl w:val="nil"/>
            </w:tcBorders>
            <w:noWrap w:val="0"/>
            <w:vAlign w:val="center"/>
          </w:tcPr>
          <w:p w14:paraId="543B65C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生态环境保护主管部门</w:t>
            </w:r>
            <w:r>
              <w:rPr>
                <w:rFonts w:ascii="Times New Roman" w:hAnsi="Times New Roman" w:eastAsia="宋体"/>
                <w:color w:val="auto"/>
                <w:szCs w:val="21"/>
                <w:highlight w:val="none"/>
              </w:rPr>
              <w:sym w:font="Wingdings 2" w:char="0052"/>
            </w:r>
            <w:r>
              <w:rPr>
                <w:rFonts w:ascii="Times New Roman" w:hAnsi="Times New Roman" w:eastAsia="宋体"/>
                <w:color w:val="auto"/>
                <w:szCs w:val="21"/>
                <w:highlight w:val="none"/>
              </w:rPr>
              <w:t>；补充监测</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；其他</w:t>
            </w:r>
            <w:r>
              <w:rPr>
                <w:rFonts w:ascii="Times New Roman" w:hAnsi="Times New Roman" w:eastAsia="宋体"/>
                <w:color w:val="auto"/>
                <w:szCs w:val="21"/>
                <w:highlight w:val="none"/>
              </w:rPr>
              <w:sym w:font="Wingdings 2" w:char="00A3"/>
            </w:r>
          </w:p>
        </w:tc>
      </w:tr>
      <w:tr w14:paraId="651332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4FCCA2BB">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1AF6684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区域水资源开发利用状况</w:t>
            </w:r>
          </w:p>
        </w:tc>
        <w:tc>
          <w:tcPr>
            <w:tcW w:w="11069" w:type="dxa"/>
            <w:gridSpan w:val="13"/>
            <w:tcBorders>
              <w:tl2br w:val="nil"/>
              <w:tr2bl w:val="nil"/>
            </w:tcBorders>
            <w:noWrap w:val="0"/>
            <w:vAlign w:val="center"/>
          </w:tcPr>
          <w:p w14:paraId="0FE2D2E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未开发□；开发量40%以下□；开发量40%以上□</w:t>
            </w:r>
          </w:p>
        </w:tc>
      </w:tr>
      <w:tr w14:paraId="6AEA60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45C692F7">
            <w:pPr>
              <w:snapToGrid w:val="0"/>
              <w:jc w:val="center"/>
              <w:rPr>
                <w:rFonts w:ascii="Times New Roman" w:hAnsi="Times New Roman" w:eastAsia="宋体"/>
                <w:color w:val="auto"/>
                <w:szCs w:val="21"/>
                <w:highlight w:val="none"/>
              </w:rPr>
            </w:pPr>
          </w:p>
        </w:tc>
        <w:tc>
          <w:tcPr>
            <w:tcW w:w="2596" w:type="dxa"/>
            <w:vMerge w:val="restart"/>
            <w:tcBorders>
              <w:tl2br w:val="nil"/>
              <w:tr2bl w:val="nil"/>
            </w:tcBorders>
            <w:noWrap w:val="0"/>
            <w:vAlign w:val="center"/>
          </w:tcPr>
          <w:p w14:paraId="13B233A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水文情势调查</w:t>
            </w:r>
          </w:p>
        </w:tc>
        <w:tc>
          <w:tcPr>
            <w:tcW w:w="5691" w:type="dxa"/>
            <w:gridSpan w:val="7"/>
            <w:tcBorders>
              <w:tl2br w:val="nil"/>
              <w:tr2bl w:val="nil"/>
            </w:tcBorders>
            <w:noWrap w:val="0"/>
            <w:vAlign w:val="center"/>
          </w:tcPr>
          <w:p w14:paraId="2F6E5BB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调查时期</w:t>
            </w:r>
          </w:p>
        </w:tc>
        <w:tc>
          <w:tcPr>
            <w:tcW w:w="5378" w:type="dxa"/>
            <w:gridSpan w:val="6"/>
            <w:tcBorders>
              <w:tl2br w:val="nil"/>
              <w:tr2bl w:val="nil"/>
            </w:tcBorders>
            <w:noWrap w:val="0"/>
            <w:vAlign w:val="center"/>
          </w:tcPr>
          <w:p w14:paraId="0A3975F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数据来源</w:t>
            </w:r>
          </w:p>
        </w:tc>
      </w:tr>
      <w:tr w14:paraId="379E56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6F65DC6B">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4D8905DD">
            <w:pPr>
              <w:snapToGrid w:val="0"/>
              <w:jc w:val="center"/>
              <w:rPr>
                <w:rFonts w:ascii="Times New Roman" w:hAnsi="Times New Roman" w:eastAsia="宋体"/>
                <w:color w:val="auto"/>
                <w:szCs w:val="21"/>
                <w:highlight w:val="none"/>
              </w:rPr>
            </w:pPr>
          </w:p>
        </w:tc>
        <w:tc>
          <w:tcPr>
            <w:tcW w:w="5691" w:type="dxa"/>
            <w:gridSpan w:val="7"/>
            <w:tcBorders>
              <w:tl2br w:val="nil"/>
              <w:tr2bl w:val="nil"/>
            </w:tcBorders>
            <w:noWrap w:val="0"/>
            <w:vAlign w:val="center"/>
          </w:tcPr>
          <w:p w14:paraId="6BA0652E">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丰水期□；平水期□；枯水期□；冰封期□</w:t>
            </w:r>
          </w:p>
          <w:p w14:paraId="7E7E5A64">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春季□；夏季□；秋季□；冬季□</w:t>
            </w:r>
          </w:p>
        </w:tc>
        <w:tc>
          <w:tcPr>
            <w:tcW w:w="5378" w:type="dxa"/>
            <w:gridSpan w:val="6"/>
            <w:tcBorders>
              <w:tl2br w:val="nil"/>
              <w:tr2bl w:val="nil"/>
            </w:tcBorders>
            <w:noWrap w:val="0"/>
            <w:vAlign w:val="center"/>
          </w:tcPr>
          <w:p w14:paraId="373E057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水行政主管部门□；补充监测□；其他□</w:t>
            </w:r>
          </w:p>
        </w:tc>
      </w:tr>
      <w:tr w14:paraId="06DD65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2B9DB775">
            <w:pPr>
              <w:snapToGrid w:val="0"/>
              <w:jc w:val="center"/>
              <w:rPr>
                <w:rFonts w:ascii="Times New Roman" w:hAnsi="Times New Roman" w:eastAsia="宋体"/>
                <w:color w:val="auto"/>
                <w:szCs w:val="21"/>
                <w:highlight w:val="none"/>
              </w:rPr>
            </w:pPr>
          </w:p>
        </w:tc>
        <w:tc>
          <w:tcPr>
            <w:tcW w:w="2596" w:type="dxa"/>
            <w:vMerge w:val="restart"/>
            <w:tcBorders>
              <w:tl2br w:val="nil"/>
              <w:tr2bl w:val="nil"/>
            </w:tcBorders>
            <w:noWrap w:val="0"/>
            <w:vAlign w:val="center"/>
          </w:tcPr>
          <w:p w14:paraId="6653843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补充检测</w:t>
            </w:r>
          </w:p>
        </w:tc>
        <w:tc>
          <w:tcPr>
            <w:tcW w:w="5691" w:type="dxa"/>
            <w:gridSpan w:val="7"/>
            <w:tcBorders>
              <w:tl2br w:val="nil"/>
              <w:tr2bl w:val="nil"/>
            </w:tcBorders>
            <w:noWrap w:val="0"/>
            <w:vAlign w:val="center"/>
          </w:tcPr>
          <w:p w14:paraId="78B96FD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监测时期</w:t>
            </w:r>
          </w:p>
        </w:tc>
        <w:tc>
          <w:tcPr>
            <w:tcW w:w="2632" w:type="dxa"/>
            <w:gridSpan w:val="3"/>
            <w:tcBorders>
              <w:tl2br w:val="nil"/>
              <w:tr2bl w:val="nil"/>
            </w:tcBorders>
            <w:noWrap w:val="0"/>
            <w:vAlign w:val="center"/>
          </w:tcPr>
          <w:p w14:paraId="682B274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监测因子</w:t>
            </w:r>
          </w:p>
        </w:tc>
        <w:tc>
          <w:tcPr>
            <w:tcW w:w="2746" w:type="dxa"/>
            <w:gridSpan w:val="3"/>
            <w:tcBorders>
              <w:tl2br w:val="nil"/>
              <w:tr2bl w:val="nil"/>
            </w:tcBorders>
            <w:noWrap w:val="0"/>
            <w:vAlign w:val="center"/>
          </w:tcPr>
          <w:p w14:paraId="1E46F4A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监测断面或点位</w:t>
            </w:r>
          </w:p>
        </w:tc>
      </w:tr>
      <w:tr w14:paraId="3C644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059FC8F3">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7FCDC904">
            <w:pPr>
              <w:snapToGrid w:val="0"/>
              <w:jc w:val="center"/>
              <w:rPr>
                <w:rFonts w:ascii="Times New Roman" w:hAnsi="Times New Roman" w:eastAsia="宋体"/>
                <w:color w:val="auto"/>
                <w:szCs w:val="21"/>
                <w:highlight w:val="none"/>
              </w:rPr>
            </w:pPr>
          </w:p>
        </w:tc>
        <w:tc>
          <w:tcPr>
            <w:tcW w:w="5691" w:type="dxa"/>
            <w:gridSpan w:val="7"/>
            <w:tcBorders>
              <w:tl2br w:val="nil"/>
              <w:tr2bl w:val="nil"/>
            </w:tcBorders>
            <w:noWrap w:val="0"/>
            <w:vAlign w:val="center"/>
          </w:tcPr>
          <w:p w14:paraId="39279E2D">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丰水期□；平水期□；枯水期</w:t>
            </w:r>
            <w:r>
              <w:rPr>
                <w:rFonts w:ascii="Times New Roman" w:hAnsi="Times New Roman" w:eastAsia="宋体"/>
                <w:color w:val="auto"/>
                <w:szCs w:val="21"/>
                <w:highlight w:val="none"/>
              </w:rPr>
              <w:sym w:font="Wingdings 2" w:char="00A3"/>
            </w:r>
            <w:r>
              <w:rPr>
                <w:rFonts w:ascii="Times New Roman" w:hAnsi="Times New Roman" w:eastAsia="宋体"/>
                <w:color w:val="auto"/>
                <w:kern w:val="0"/>
                <w:szCs w:val="21"/>
                <w:highlight w:val="none"/>
              </w:rPr>
              <w:t>；冰封期□</w:t>
            </w:r>
          </w:p>
          <w:p w14:paraId="77B543E4">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春季□；夏季□；秋季□；冬季</w:t>
            </w:r>
            <w:r>
              <w:rPr>
                <w:rFonts w:ascii="Times New Roman" w:hAnsi="Times New Roman" w:eastAsia="宋体"/>
                <w:color w:val="auto"/>
                <w:szCs w:val="21"/>
                <w:highlight w:val="none"/>
              </w:rPr>
              <w:sym w:font="Wingdings 2" w:char="00A3"/>
            </w:r>
          </w:p>
        </w:tc>
        <w:tc>
          <w:tcPr>
            <w:tcW w:w="2632" w:type="dxa"/>
            <w:gridSpan w:val="3"/>
            <w:tcBorders>
              <w:tl2br w:val="nil"/>
              <w:tr2bl w:val="nil"/>
            </w:tcBorders>
            <w:noWrap w:val="0"/>
            <w:vAlign w:val="center"/>
          </w:tcPr>
          <w:p w14:paraId="0C64169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r>
              <w:rPr>
                <w:rFonts w:hint="eastAsia" w:ascii="Times New Roman" w:hAnsi="Times New Roman" w:eastAsia="宋体"/>
                <w:color w:val="auto"/>
                <w:szCs w:val="21"/>
                <w:highlight w:val="none"/>
                <w:lang w:val="en-US" w:eastAsia="zh-CN"/>
              </w:rPr>
              <w:t>/</w:t>
            </w:r>
            <w:r>
              <w:rPr>
                <w:rFonts w:ascii="Times New Roman" w:hAnsi="Times New Roman" w:eastAsia="宋体"/>
                <w:color w:val="auto"/>
                <w:szCs w:val="21"/>
                <w:highlight w:val="none"/>
              </w:rPr>
              <w:t>）</w:t>
            </w:r>
          </w:p>
        </w:tc>
        <w:tc>
          <w:tcPr>
            <w:tcW w:w="2746" w:type="dxa"/>
            <w:gridSpan w:val="3"/>
            <w:tcBorders>
              <w:tl2br w:val="nil"/>
              <w:tr2bl w:val="nil"/>
            </w:tcBorders>
            <w:noWrap w:val="0"/>
            <w:vAlign w:val="center"/>
          </w:tcPr>
          <w:p w14:paraId="33D29F8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监测断面或点位个数</w:t>
            </w:r>
          </w:p>
          <w:p w14:paraId="46575AC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（）个</w:t>
            </w:r>
          </w:p>
        </w:tc>
      </w:tr>
      <w:tr w14:paraId="4EFF99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restart"/>
            <w:tcBorders>
              <w:tl2br w:val="nil"/>
              <w:tr2bl w:val="nil"/>
            </w:tcBorders>
            <w:noWrap w:val="0"/>
            <w:vAlign w:val="center"/>
          </w:tcPr>
          <w:p w14:paraId="064E459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现状评价</w:t>
            </w:r>
          </w:p>
        </w:tc>
        <w:tc>
          <w:tcPr>
            <w:tcW w:w="2596" w:type="dxa"/>
            <w:tcBorders>
              <w:tl2br w:val="nil"/>
              <w:tr2bl w:val="nil"/>
            </w:tcBorders>
            <w:noWrap w:val="0"/>
            <w:vAlign w:val="center"/>
          </w:tcPr>
          <w:p w14:paraId="522D4F4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评价范围</w:t>
            </w:r>
          </w:p>
        </w:tc>
        <w:tc>
          <w:tcPr>
            <w:tcW w:w="11069" w:type="dxa"/>
            <w:gridSpan w:val="13"/>
            <w:tcBorders>
              <w:tl2br w:val="nil"/>
              <w:tr2bl w:val="nil"/>
            </w:tcBorders>
            <w:noWrap w:val="0"/>
            <w:vAlign w:val="center"/>
          </w:tcPr>
          <w:p w14:paraId="7A505D0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河流：长度（）km；湖库、河口及近岸海域：面积（）km</w:t>
            </w:r>
            <w:r>
              <w:rPr>
                <w:rFonts w:ascii="Times New Roman" w:hAnsi="Times New Roman" w:eastAsia="宋体"/>
                <w:color w:val="auto"/>
                <w:szCs w:val="21"/>
                <w:highlight w:val="none"/>
                <w:vertAlign w:val="superscript"/>
              </w:rPr>
              <w:t>2</w:t>
            </w:r>
          </w:p>
        </w:tc>
      </w:tr>
      <w:tr w14:paraId="7CC120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11FD28A7">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718C6AD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评价因子</w:t>
            </w:r>
          </w:p>
        </w:tc>
        <w:tc>
          <w:tcPr>
            <w:tcW w:w="11069" w:type="dxa"/>
            <w:gridSpan w:val="13"/>
            <w:tcBorders>
              <w:tl2br w:val="nil"/>
              <w:tr2bl w:val="nil"/>
            </w:tcBorders>
            <w:noWrap w:val="0"/>
            <w:vAlign w:val="center"/>
          </w:tcPr>
          <w:p w14:paraId="477453E7">
            <w:pPr>
              <w:widowControl/>
              <w:snapToGrid w:val="0"/>
              <w:jc w:val="center"/>
              <w:rPr>
                <w:rFonts w:hint="default" w:ascii="Times New Roman" w:hAnsi="Times New Roman" w:eastAsia="宋体"/>
                <w:color w:val="auto"/>
                <w:szCs w:val="21"/>
                <w:highlight w:val="none"/>
                <w:lang w:val="en-US" w:eastAsia="zh-CN"/>
              </w:rPr>
            </w:pPr>
            <w:r>
              <w:rPr>
                <w:rFonts w:ascii="Times New Roman" w:hAnsi="Times New Roman" w:eastAsia="宋体"/>
                <w:color w:val="auto"/>
                <w:highlight w:val="none"/>
              </w:rPr>
              <w:t>pH、COD、BOD</w:t>
            </w:r>
            <w:r>
              <w:rPr>
                <w:rFonts w:ascii="Times New Roman" w:hAnsi="Times New Roman" w:eastAsia="宋体"/>
                <w:color w:val="auto"/>
                <w:highlight w:val="none"/>
                <w:vertAlign w:val="subscript"/>
              </w:rPr>
              <w:t>5</w:t>
            </w:r>
            <w:r>
              <w:rPr>
                <w:rFonts w:ascii="Times New Roman" w:hAnsi="Times New Roman" w:eastAsia="宋体"/>
                <w:color w:val="auto"/>
                <w:highlight w:val="none"/>
              </w:rPr>
              <w:t>、NH</w:t>
            </w:r>
            <w:r>
              <w:rPr>
                <w:rFonts w:ascii="Times New Roman" w:hAnsi="Times New Roman" w:eastAsia="宋体"/>
                <w:color w:val="auto"/>
                <w:highlight w:val="none"/>
                <w:vertAlign w:val="subscript"/>
              </w:rPr>
              <w:t>3</w:t>
            </w:r>
            <w:r>
              <w:rPr>
                <w:rFonts w:ascii="Times New Roman" w:hAnsi="Times New Roman" w:eastAsia="宋体"/>
                <w:color w:val="auto"/>
                <w:highlight w:val="none"/>
              </w:rPr>
              <w:t>-N、</w:t>
            </w:r>
            <w:r>
              <w:rPr>
                <w:rFonts w:hint="eastAsia" w:ascii="Times New Roman" w:hAnsi="Times New Roman" w:eastAsia="宋体"/>
                <w:color w:val="auto"/>
                <w:highlight w:val="none"/>
                <w:lang w:val="en-US" w:eastAsia="zh-CN"/>
              </w:rPr>
              <w:t>总磷、总氮、LAS、石油类</w:t>
            </w:r>
          </w:p>
        </w:tc>
      </w:tr>
      <w:tr w14:paraId="7D7C38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53A2939D">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2BBE8F6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评价标准</w:t>
            </w:r>
          </w:p>
        </w:tc>
        <w:tc>
          <w:tcPr>
            <w:tcW w:w="11069" w:type="dxa"/>
            <w:gridSpan w:val="13"/>
            <w:tcBorders>
              <w:tl2br w:val="nil"/>
              <w:tr2bl w:val="nil"/>
            </w:tcBorders>
            <w:noWrap w:val="0"/>
            <w:vAlign w:val="center"/>
          </w:tcPr>
          <w:p w14:paraId="5953BDD2">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河流、湖库、河口：Ⅰ类□；Ⅱ类□；Ⅲ类</w:t>
            </w:r>
            <w:r>
              <w:rPr>
                <w:rFonts w:ascii="Times New Roman" w:hAnsi="Times New Roman" w:eastAsia="宋体"/>
                <w:color w:val="auto"/>
                <w:kern w:val="0"/>
                <w:szCs w:val="21"/>
                <w:highlight w:val="none"/>
              </w:rPr>
              <w:sym w:font="Wingdings 2" w:char="0052"/>
            </w:r>
            <w:r>
              <w:rPr>
                <w:rFonts w:ascii="Times New Roman" w:hAnsi="Times New Roman" w:eastAsia="宋体"/>
                <w:color w:val="auto"/>
                <w:kern w:val="0"/>
                <w:szCs w:val="21"/>
                <w:highlight w:val="none"/>
              </w:rPr>
              <w:t>；Ⅳ类□；Ⅴ类□</w:t>
            </w:r>
          </w:p>
          <w:p w14:paraId="7BFD9BCB">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近岸海域：第一类□；第二类□；第三类□；第四类□</w:t>
            </w:r>
          </w:p>
          <w:p w14:paraId="6ECE8629">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规划年评价标准（）</w:t>
            </w:r>
          </w:p>
        </w:tc>
      </w:tr>
      <w:tr w14:paraId="7F6407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57376199">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0EF2F55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评价时期</w:t>
            </w:r>
          </w:p>
        </w:tc>
        <w:tc>
          <w:tcPr>
            <w:tcW w:w="11069" w:type="dxa"/>
            <w:gridSpan w:val="13"/>
            <w:tcBorders>
              <w:tl2br w:val="nil"/>
              <w:tr2bl w:val="nil"/>
            </w:tcBorders>
            <w:noWrap w:val="0"/>
            <w:vAlign w:val="center"/>
          </w:tcPr>
          <w:p w14:paraId="18D66638">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丰水期</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；平水期□；枯水期□；冰封期□</w:t>
            </w:r>
          </w:p>
          <w:p w14:paraId="0E569016">
            <w:pPr>
              <w:snapToGrid w:val="0"/>
              <w:jc w:val="left"/>
              <w:rPr>
                <w:rFonts w:hint="eastAsia" w:ascii="Times New Roman" w:hAnsi="Times New Roman" w:eastAsia="宋体"/>
                <w:color w:val="auto"/>
                <w:szCs w:val="21"/>
                <w:highlight w:val="none"/>
                <w:lang w:eastAsia="zh-CN"/>
              </w:rPr>
            </w:pPr>
            <w:r>
              <w:rPr>
                <w:rFonts w:ascii="Times New Roman" w:hAnsi="Times New Roman" w:eastAsia="宋体"/>
                <w:color w:val="auto"/>
                <w:szCs w:val="21"/>
                <w:highlight w:val="none"/>
              </w:rPr>
              <w:t>春季</w:t>
            </w:r>
            <w:r>
              <w:rPr>
                <w:rFonts w:hint="eastAsia" w:ascii="Times New Roman" w:hAnsi="Times New Roman" w:eastAsia="宋体"/>
                <w:color w:val="auto"/>
                <w:szCs w:val="21"/>
                <w:highlight w:val="none"/>
                <w:lang w:eastAsia="zh-CN"/>
              </w:rPr>
              <w:t>☑</w:t>
            </w:r>
            <w:r>
              <w:rPr>
                <w:rFonts w:ascii="Times New Roman" w:hAnsi="Times New Roman" w:eastAsia="宋体"/>
                <w:color w:val="auto"/>
                <w:szCs w:val="21"/>
                <w:highlight w:val="none"/>
              </w:rPr>
              <w:t>；夏季</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；秋季□；冬季</w:t>
            </w:r>
            <w:r>
              <w:rPr>
                <w:rFonts w:hint="eastAsia" w:ascii="Times New Roman" w:hAnsi="Times New Roman" w:eastAsia="宋体"/>
                <w:color w:val="auto"/>
                <w:szCs w:val="21"/>
                <w:highlight w:val="none"/>
                <w:lang w:eastAsia="zh-CN"/>
              </w:rPr>
              <w:t>□</w:t>
            </w:r>
          </w:p>
        </w:tc>
      </w:tr>
      <w:tr w14:paraId="08CEC5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16D03DD4">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67351D8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评价结论</w:t>
            </w:r>
          </w:p>
        </w:tc>
        <w:tc>
          <w:tcPr>
            <w:tcW w:w="8512" w:type="dxa"/>
            <w:gridSpan w:val="11"/>
            <w:tcBorders>
              <w:tl2br w:val="nil"/>
              <w:tr2bl w:val="nil"/>
            </w:tcBorders>
            <w:noWrap w:val="0"/>
            <w:vAlign w:val="center"/>
          </w:tcPr>
          <w:p w14:paraId="681DFD59">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水环境功能区或水功能区、近岸海域环境功能区水质达标状况□：达标□；不达标□</w:t>
            </w:r>
          </w:p>
          <w:p w14:paraId="7C929F08">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水环境控制单元或断面水质达标状况□：达标□；不达标□</w:t>
            </w:r>
          </w:p>
          <w:p w14:paraId="1EEB0FC4">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水环境保护目标质量状况□：达标</w:t>
            </w:r>
            <w:r>
              <w:rPr>
                <w:rFonts w:ascii="Times New Roman" w:hAnsi="Times New Roman" w:eastAsia="宋体"/>
                <w:color w:val="auto"/>
                <w:kern w:val="0"/>
                <w:szCs w:val="21"/>
                <w:highlight w:val="none"/>
              </w:rPr>
              <w:sym w:font="Wingdings 2" w:char="0052"/>
            </w:r>
            <w:r>
              <w:rPr>
                <w:rFonts w:ascii="Times New Roman" w:hAnsi="Times New Roman" w:eastAsia="宋体"/>
                <w:color w:val="auto"/>
                <w:kern w:val="0"/>
                <w:szCs w:val="21"/>
                <w:highlight w:val="none"/>
              </w:rPr>
              <w:t>；不达标□</w:t>
            </w:r>
          </w:p>
          <w:p w14:paraId="5DF792A8">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对照断面、控制断面等代表性断面的水质状况□：达标□；不达标□</w:t>
            </w:r>
          </w:p>
          <w:p w14:paraId="58692BE0">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底泥污染评价□</w:t>
            </w:r>
          </w:p>
          <w:p w14:paraId="5FE374F5">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水资源与开发利用程度及其水文情势评价□</w:t>
            </w:r>
          </w:p>
          <w:p w14:paraId="2438A172">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水环境质量回顾评价□</w:t>
            </w:r>
          </w:p>
          <w:p w14:paraId="333D3601">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流域（区域）水资源（包括水能资源）与开发利用总体状况、生态流量管理要求与现状满足程度、建设项目占用水域空间的水流状况与河湖演变状况□</w:t>
            </w:r>
          </w:p>
        </w:tc>
        <w:tc>
          <w:tcPr>
            <w:tcW w:w="2557" w:type="dxa"/>
            <w:gridSpan w:val="2"/>
            <w:tcBorders>
              <w:tl2br w:val="nil"/>
              <w:tr2bl w:val="nil"/>
            </w:tcBorders>
            <w:noWrap w:val="0"/>
            <w:vAlign w:val="center"/>
          </w:tcPr>
          <w:p w14:paraId="752E062D">
            <w:pPr>
              <w:autoSpaceDE w:val="0"/>
              <w:autoSpaceDN w:val="0"/>
              <w:adjustRightInd w:val="0"/>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达标区</w:t>
            </w:r>
            <w:r>
              <w:rPr>
                <w:rFonts w:ascii="Times New Roman" w:hAnsi="Times New Roman" w:eastAsia="宋体"/>
                <w:color w:val="auto"/>
                <w:kern w:val="0"/>
                <w:szCs w:val="21"/>
                <w:highlight w:val="none"/>
              </w:rPr>
              <w:sym w:font="Wingdings 2" w:char="0052"/>
            </w:r>
          </w:p>
          <w:p w14:paraId="53D0B24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不达标区□</w:t>
            </w:r>
          </w:p>
        </w:tc>
      </w:tr>
      <w:tr w14:paraId="5FFA85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restart"/>
            <w:tcBorders>
              <w:tl2br w:val="nil"/>
              <w:tr2bl w:val="nil"/>
            </w:tcBorders>
            <w:noWrap w:val="0"/>
            <w:vAlign w:val="center"/>
          </w:tcPr>
          <w:p w14:paraId="29CEDE1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影响预测</w:t>
            </w:r>
          </w:p>
        </w:tc>
        <w:tc>
          <w:tcPr>
            <w:tcW w:w="2596" w:type="dxa"/>
            <w:tcBorders>
              <w:tl2br w:val="nil"/>
              <w:tr2bl w:val="nil"/>
            </w:tcBorders>
            <w:noWrap w:val="0"/>
            <w:vAlign w:val="center"/>
          </w:tcPr>
          <w:p w14:paraId="5B6B9AB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预测范围</w:t>
            </w:r>
          </w:p>
        </w:tc>
        <w:tc>
          <w:tcPr>
            <w:tcW w:w="11069" w:type="dxa"/>
            <w:gridSpan w:val="13"/>
            <w:tcBorders>
              <w:tl2br w:val="nil"/>
              <w:tr2bl w:val="nil"/>
            </w:tcBorders>
            <w:noWrap w:val="0"/>
            <w:vAlign w:val="center"/>
          </w:tcPr>
          <w:p w14:paraId="573B5E2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河流：长度（）km；湖库、河口及近岸海域：面积（）km</w:t>
            </w:r>
            <w:r>
              <w:rPr>
                <w:rFonts w:ascii="Times New Roman" w:hAnsi="Times New Roman" w:eastAsia="宋体"/>
                <w:color w:val="auto"/>
                <w:szCs w:val="21"/>
                <w:highlight w:val="none"/>
                <w:vertAlign w:val="superscript"/>
              </w:rPr>
              <w:t>2</w:t>
            </w:r>
          </w:p>
        </w:tc>
      </w:tr>
      <w:tr w14:paraId="33232C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7A9F1EA6">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2E9EE1F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预测因子</w:t>
            </w:r>
          </w:p>
        </w:tc>
        <w:tc>
          <w:tcPr>
            <w:tcW w:w="11069" w:type="dxa"/>
            <w:gridSpan w:val="13"/>
            <w:tcBorders>
              <w:tl2br w:val="nil"/>
              <w:tr2bl w:val="nil"/>
            </w:tcBorders>
            <w:noWrap w:val="0"/>
            <w:vAlign w:val="center"/>
          </w:tcPr>
          <w:p w14:paraId="5C46AC3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r>
      <w:tr w14:paraId="46AE6F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19507CAD">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4FE8D0F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预测时期</w:t>
            </w:r>
          </w:p>
        </w:tc>
        <w:tc>
          <w:tcPr>
            <w:tcW w:w="11069" w:type="dxa"/>
            <w:gridSpan w:val="13"/>
            <w:tcBorders>
              <w:tl2br w:val="nil"/>
              <w:tr2bl w:val="nil"/>
            </w:tcBorders>
            <w:noWrap w:val="0"/>
            <w:vAlign w:val="center"/>
          </w:tcPr>
          <w:p w14:paraId="2BB4CC17">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丰水期□；平水期□；枯水期□；冰封期□</w:t>
            </w:r>
          </w:p>
          <w:p w14:paraId="56E5B34A">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春季□；夏季□；秋季□；冬季□</w:t>
            </w:r>
          </w:p>
          <w:p w14:paraId="7D796A7F">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设计水文条件□</w:t>
            </w:r>
          </w:p>
        </w:tc>
      </w:tr>
      <w:tr w14:paraId="2B48C0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5832F77B">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6DD3EDF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预测情景</w:t>
            </w:r>
          </w:p>
        </w:tc>
        <w:tc>
          <w:tcPr>
            <w:tcW w:w="11069" w:type="dxa"/>
            <w:gridSpan w:val="13"/>
            <w:tcBorders>
              <w:tl2br w:val="nil"/>
              <w:tr2bl w:val="nil"/>
            </w:tcBorders>
            <w:noWrap w:val="0"/>
            <w:vAlign w:val="center"/>
          </w:tcPr>
          <w:p w14:paraId="25355500">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建设期□；生产运行期□；服务期满后□</w:t>
            </w:r>
          </w:p>
          <w:p w14:paraId="4E25F476">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正常工况□；非正常工况□</w:t>
            </w:r>
          </w:p>
          <w:p w14:paraId="20641A80">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污染控制和减缓措施方案□</w:t>
            </w:r>
          </w:p>
          <w:p w14:paraId="02B0E3CB">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区（流）域环境质量改善目标要求情景□</w:t>
            </w:r>
          </w:p>
        </w:tc>
      </w:tr>
      <w:tr w14:paraId="18B063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7BB681D8">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654633D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预测方法</w:t>
            </w:r>
          </w:p>
        </w:tc>
        <w:tc>
          <w:tcPr>
            <w:tcW w:w="11069" w:type="dxa"/>
            <w:gridSpan w:val="13"/>
            <w:tcBorders>
              <w:tl2br w:val="nil"/>
              <w:tr2bl w:val="nil"/>
            </w:tcBorders>
            <w:noWrap w:val="0"/>
            <w:vAlign w:val="center"/>
          </w:tcPr>
          <w:p w14:paraId="4351F1BA">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数值解□：解析解□；其他□</w:t>
            </w:r>
          </w:p>
          <w:p w14:paraId="5E60BF15">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导则推荐模式□：其他□</w:t>
            </w:r>
          </w:p>
        </w:tc>
      </w:tr>
      <w:tr w14:paraId="7A461D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restart"/>
            <w:tcBorders>
              <w:tl2br w:val="nil"/>
              <w:tr2bl w:val="nil"/>
            </w:tcBorders>
            <w:noWrap w:val="0"/>
            <w:vAlign w:val="center"/>
          </w:tcPr>
          <w:p w14:paraId="05AB2FF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影响评价</w:t>
            </w:r>
          </w:p>
        </w:tc>
        <w:tc>
          <w:tcPr>
            <w:tcW w:w="2596" w:type="dxa"/>
            <w:tcBorders>
              <w:tl2br w:val="nil"/>
              <w:tr2bl w:val="nil"/>
            </w:tcBorders>
            <w:noWrap w:val="0"/>
            <w:vAlign w:val="center"/>
          </w:tcPr>
          <w:p w14:paraId="4EEF74A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水污染控制和水环境影响减缓措施有效性评价</w:t>
            </w:r>
          </w:p>
        </w:tc>
        <w:tc>
          <w:tcPr>
            <w:tcW w:w="11069" w:type="dxa"/>
            <w:gridSpan w:val="13"/>
            <w:tcBorders>
              <w:tl2br w:val="nil"/>
              <w:tr2bl w:val="nil"/>
            </w:tcBorders>
            <w:noWrap w:val="0"/>
            <w:vAlign w:val="center"/>
          </w:tcPr>
          <w:p w14:paraId="49A8C33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区（流）域水环境质量改善目标</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；替代削减源□</w:t>
            </w:r>
          </w:p>
        </w:tc>
      </w:tr>
      <w:tr w14:paraId="17F9CB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3F787596">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0A6D067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水环境影响评价</w:t>
            </w:r>
          </w:p>
        </w:tc>
        <w:tc>
          <w:tcPr>
            <w:tcW w:w="11069" w:type="dxa"/>
            <w:gridSpan w:val="13"/>
            <w:tcBorders>
              <w:tl2br w:val="nil"/>
              <w:tr2bl w:val="nil"/>
            </w:tcBorders>
            <w:noWrap w:val="0"/>
            <w:vAlign w:val="center"/>
          </w:tcPr>
          <w:p w14:paraId="648088C9">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排放口混合区外满足水环境管理要求□</w:t>
            </w:r>
          </w:p>
          <w:p w14:paraId="5393872C">
            <w:pPr>
              <w:autoSpaceDE w:val="0"/>
              <w:autoSpaceDN w:val="0"/>
              <w:adjustRightInd w:val="0"/>
              <w:snapToGrid w:val="0"/>
              <w:jc w:val="left"/>
              <w:rPr>
                <w:rFonts w:hint="eastAsia" w:ascii="Times New Roman" w:hAnsi="Times New Roman" w:eastAsia="宋体"/>
                <w:color w:val="auto"/>
                <w:kern w:val="0"/>
                <w:szCs w:val="21"/>
                <w:highlight w:val="none"/>
                <w:lang w:eastAsia="zh-CN"/>
              </w:rPr>
            </w:pPr>
            <w:r>
              <w:rPr>
                <w:rFonts w:ascii="Times New Roman" w:hAnsi="Times New Roman" w:eastAsia="宋体"/>
                <w:color w:val="auto"/>
                <w:kern w:val="0"/>
                <w:szCs w:val="21"/>
                <w:highlight w:val="none"/>
              </w:rPr>
              <w:t>水环境功能区或水功能区、近岸海域环境功能区水质达标</w:t>
            </w:r>
            <w:r>
              <w:rPr>
                <w:rFonts w:hint="eastAsia" w:ascii="Times New Roman" w:hAnsi="Times New Roman" w:eastAsia="宋体"/>
                <w:color w:val="auto"/>
                <w:kern w:val="0"/>
                <w:szCs w:val="21"/>
                <w:highlight w:val="none"/>
                <w:lang w:eastAsia="zh-CN"/>
              </w:rPr>
              <w:t>□</w:t>
            </w:r>
          </w:p>
          <w:p w14:paraId="1108A5FE">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满足水环境保护目标水域水环境质量要求□</w:t>
            </w:r>
          </w:p>
          <w:p w14:paraId="6B5DF7F2">
            <w:pPr>
              <w:autoSpaceDE w:val="0"/>
              <w:autoSpaceDN w:val="0"/>
              <w:adjustRightInd w:val="0"/>
              <w:snapToGrid w:val="0"/>
              <w:jc w:val="left"/>
              <w:rPr>
                <w:rFonts w:hint="eastAsia" w:ascii="Times New Roman" w:hAnsi="Times New Roman" w:eastAsia="宋体"/>
                <w:color w:val="auto"/>
                <w:kern w:val="0"/>
                <w:szCs w:val="21"/>
                <w:highlight w:val="none"/>
                <w:lang w:eastAsia="zh-CN"/>
              </w:rPr>
            </w:pPr>
            <w:r>
              <w:rPr>
                <w:rFonts w:ascii="Times New Roman" w:hAnsi="Times New Roman" w:eastAsia="宋体"/>
                <w:color w:val="auto"/>
                <w:kern w:val="0"/>
                <w:szCs w:val="21"/>
                <w:highlight w:val="none"/>
              </w:rPr>
              <w:t>水环境控制单元或断面水质达标</w:t>
            </w:r>
            <w:r>
              <w:rPr>
                <w:rFonts w:hint="eastAsia" w:ascii="Times New Roman" w:hAnsi="Times New Roman" w:eastAsia="宋体"/>
                <w:color w:val="auto"/>
                <w:kern w:val="0"/>
                <w:szCs w:val="21"/>
                <w:highlight w:val="none"/>
                <w:lang w:eastAsia="zh-CN"/>
              </w:rPr>
              <w:t>☑</w:t>
            </w:r>
          </w:p>
          <w:p w14:paraId="6A6A8664">
            <w:pPr>
              <w:autoSpaceDE w:val="0"/>
              <w:autoSpaceDN w:val="0"/>
              <w:adjustRightInd w:val="0"/>
              <w:snapToGrid w:val="0"/>
              <w:jc w:val="left"/>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满足重点水污染物排放总量控制指标要求，重点行业建设项目，主要污染物排放满足等量或减量替代要求□</w:t>
            </w:r>
          </w:p>
          <w:p w14:paraId="22990E5F">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满足区（流）域水环境质量改善目标要求□</w:t>
            </w:r>
          </w:p>
          <w:p w14:paraId="47A7B4B8">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水文要素影响型建设项目同时应包括水文情势变化评价、主要水文特征值影响评价、生态流量符合性评价□</w:t>
            </w:r>
          </w:p>
          <w:p w14:paraId="67523CC4">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对于新设或调整入河（湖库、近岸海域）排放口的建设项目，应包括排放口设置的环境合理性评价□</w:t>
            </w:r>
          </w:p>
          <w:p w14:paraId="14938074">
            <w:pPr>
              <w:snapToGrid w:val="0"/>
              <w:jc w:val="left"/>
              <w:rPr>
                <w:rFonts w:ascii="Times New Roman" w:hAnsi="Times New Roman" w:eastAsia="宋体"/>
                <w:color w:val="auto"/>
                <w:szCs w:val="21"/>
                <w:highlight w:val="none"/>
              </w:rPr>
            </w:pPr>
            <w:r>
              <w:rPr>
                <w:rFonts w:ascii="Times New Roman" w:hAnsi="Times New Roman" w:eastAsia="宋体"/>
                <w:color w:val="auto"/>
                <w:szCs w:val="21"/>
                <w:highlight w:val="none"/>
              </w:rPr>
              <w:t>满足生态保护红线、水环境质量底线、资源利用上线和环境准入清单管理要求□</w:t>
            </w:r>
          </w:p>
        </w:tc>
      </w:tr>
      <w:tr w14:paraId="5B1B9F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62AC0591">
            <w:pPr>
              <w:snapToGrid w:val="0"/>
              <w:jc w:val="center"/>
              <w:rPr>
                <w:rFonts w:ascii="Times New Roman" w:hAnsi="Times New Roman" w:eastAsia="宋体"/>
                <w:color w:val="auto"/>
                <w:szCs w:val="21"/>
                <w:highlight w:val="none"/>
              </w:rPr>
            </w:pPr>
          </w:p>
        </w:tc>
        <w:tc>
          <w:tcPr>
            <w:tcW w:w="2596" w:type="dxa"/>
            <w:vMerge w:val="restart"/>
            <w:tcBorders>
              <w:tl2br w:val="nil"/>
              <w:tr2bl w:val="nil"/>
            </w:tcBorders>
            <w:noWrap w:val="0"/>
            <w:vAlign w:val="center"/>
          </w:tcPr>
          <w:p w14:paraId="14B4551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污染源排放量核算</w:t>
            </w:r>
          </w:p>
        </w:tc>
        <w:tc>
          <w:tcPr>
            <w:tcW w:w="3378" w:type="dxa"/>
            <w:gridSpan w:val="3"/>
            <w:tcBorders>
              <w:tl2br w:val="nil"/>
              <w:tr2bl w:val="nil"/>
            </w:tcBorders>
            <w:noWrap w:val="0"/>
            <w:vAlign w:val="center"/>
          </w:tcPr>
          <w:p w14:paraId="3EABE6A5">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污染物名称</w:t>
            </w:r>
          </w:p>
        </w:tc>
        <w:tc>
          <w:tcPr>
            <w:tcW w:w="3351" w:type="dxa"/>
            <w:gridSpan w:val="6"/>
            <w:tcBorders>
              <w:tl2br w:val="nil"/>
              <w:tr2bl w:val="nil"/>
            </w:tcBorders>
            <w:noWrap w:val="0"/>
            <w:vAlign w:val="center"/>
          </w:tcPr>
          <w:p w14:paraId="4DC18995">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排放量/（t/a）</w:t>
            </w:r>
          </w:p>
        </w:tc>
        <w:tc>
          <w:tcPr>
            <w:tcW w:w="4340" w:type="dxa"/>
            <w:gridSpan w:val="4"/>
            <w:tcBorders>
              <w:tl2br w:val="nil"/>
              <w:tr2bl w:val="nil"/>
            </w:tcBorders>
            <w:noWrap w:val="0"/>
            <w:vAlign w:val="center"/>
          </w:tcPr>
          <w:p w14:paraId="167A4BD9">
            <w:pPr>
              <w:snapToGrid w:val="0"/>
              <w:jc w:val="center"/>
              <w:rPr>
                <w:rFonts w:ascii="Times New Roman" w:hAnsi="Times New Roman" w:eastAsia="宋体"/>
                <w:b/>
                <w:color w:val="auto"/>
                <w:szCs w:val="21"/>
                <w:highlight w:val="none"/>
              </w:rPr>
            </w:pPr>
            <w:r>
              <w:rPr>
                <w:rFonts w:ascii="Times New Roman" w:hAnsi="Times New Roman" w:eastAsia="宋体"/>
                <w:b/>
                <w:color w:val="auto"/>
                <w:szCs w:val="21"/>
                <w:highlight w:val="none"/>
              </w:rPr>
              <w:t>排放浓度限值/（mg/L）</w:t>
            </w:r>
          </w:p>
        </w:tc>
      </w:tr>
      <w:tr w14:paraId="7A922D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5D54C6B5">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7DEAE2BB">
            <w:pPr>
              <w:snapToGrid w:val="0"/>
              <w:jc w:val="center"/>
              <w:rPr>
                <w:rFonts w:ascii="Times New Roman" w:hAnsi="Times New Roman" w:eastAsia="宋体"/>
                <w:color w:val="auto"/>
                <w:szCs w:val="21"/>
                <w:highlight w:val="none"/>
              </w:rPr>
            </w:pPr>
          </w:p>
        </w:tc>
        <w:tc>
          <w:tcPr>
            <w:tcW w:w="11069" w:type="dxa"/>
            <w:gridSpan w:val="13"/>
            <w:tcBorders>
              <w:tl2br w:val="nil"/>
              <w:tr2bl w:val="nil"/>
            </w:tcBorders>
            <w:noWrap w:val="0"/>
            <w:vAlign w:val="center"/>
          </w:tcPr>
          <w:p w14:paraId="62965AC4">
            <w:pPr>
              <w:widowControl/>
              <w:snapToGrid w:val="0"/>
              <w:jc w:val="center"/>
              <w:rPr>
                <w:rFonts w:ascii="Times New Roman" w:hAnsi="Times New Roman" w:eastAsia="宋体"/>
                <w:color w:val="auto"/>
                <w:szCs w:val="21"/>
                <w:highlight w:val="none"/>
              </w:rPr>
            </w:pPr>
            <w:r>
              <w:rPr>
                <w:rFonts w:hint="eastAsia" w:ascii="Times New Roman" w:hAnsi="Times New Roman" w:eastAsia="宋体"/>
                <w:color w:val="auto"/>
                <w:kern w:val="0"/>
                <w:szCs w:val="21"/>
                <w:highlight w:val="none"/>
                <w:lang w:val="en-US" w:eastAsia="zh-CN"/>
              </w:rPr>
              <w:t>综合废水3917.884</w:t>
            </w:r>
            <w:r>
              <w:rPr>
                <w:rFonts w:ascii="Times New Roman" w:hAnsi="Times New Roman" w:eastAsia="宋体"/>
                <w:color w:val="auto"/>
                <w:kern w:val="0"/>
                <w:szCs w:val="21"/>
                <w:highlight w:val="none"/>
              </w:rPr>
              <w:t>t/a</w:t>
            </w:r>
          </w:p>
        </w:tc>
      </w:tr>
      <w:tr w14:paraId="440AEF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2DD5F2EA">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39EF51E3">
            <w:pPr>
              <w:snapToGrid w:val="0"/>
              <w:jc w:val="center"/>
              <w:rPr>
                <w:rFonts w:ascii="Times New Roman" w:hAnsi="Times New Roman" w:eastAsia="宋体"/>
                <w:color w:val="auto"/>
                <w:szCs w:val="21"/>
                <w:highlight w:val="none"/>
              </w:rPr>
            </w:pPr>
          </w:p>
        </w:tc>
        <w:tc>
          <w:tcPr>
            <w:tcW w:w="3378" w:type="dxa"/>
            <w:gridSpan w:val="3"/>
            <w:tcBorders>
              <w:tl2br w:val="nil"/>
              <w:tr2bl w:val="nil"/>
            </w:tcBorders>
            <w:noWrap w:val="0"/>
            <w:vAlign w:val="center"/>
          </w:tcPr>
          <w:p w14:paraId="16AB42FF">
            <w:pPr>
              <w:widowControl/>
              <w:snapToGrid w:val="0"/>
              <w:jc w:val="center"/>
              <w:textAlignment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COD</w:t>
            </w:r>
          </w:p>
        </w:tc>
        <w:tc>
          <w:tcPr>
            <w:tcW w:w="3351" w:type="dxa"/>
            <w:gridSpan w:val="6"/>
            <w:tcBorders>
              <w:tl2br w:val="nil"/>
              <w:tr2bl w:val="nil"/>
            </w:tcBorders>
            <w:noWrap w:val="0"/>
            <w:vAlign w:val="center"/>
          </w:tcPr>
          <w:p w14:paraId="6DD3EE13">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0.756</w:t>
            </w:r>
          </w:p>
        </w:tc>
        <w:tc>
          <w:tcPr>
            <w:tcW w:w="4340" w:type="dxa"/>
            <w:gridSpan w:val="4"/>
            <w:tcBorders>
              <w:tl2br w:val="nil"/>
              <w:tr2bl w:val="nil"/>
            </w:tcBorders>
            <w:noWrap w:val="0"/>
            <w:vAlign w:val="center"/>
          </w:tcPr>
          <w:p w14:paraId="42FFCB0D">
            <w:pPr>
              <w:widowControl/>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192.96</w:t>
            </w:r>
          </w:p>
        </w:tc>
      </w:tr>
      <w:tr w14:paraId="04C74B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52E71454">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550CDF5E">
            <w:pPr>
              <w:snapToGrid w:val="0"/>
              <w:jc w:val="center"/>
              <w:rPr>
                <w:rFonts w:ascii="Times New Roman" w:hAnsi="Times New Roman" w:eastAsia="宋体"/>
                <w:color w:val="auto"/>
                <w:szCs w:val="21"/>
                <w:highlight w:val="none"/>
              </w:rPr>
            </w:pPr>
          </w:p>
        </w:tc>
        <w:tc>
          <w:tcPr>
            <w:tcW w:w="3378" w:type="dxa"/>
            <w:gridSpan w:val="3"/>
            <w:tcBorders>
              <w:tl2br w:val="nil"/>
              <w:tr2bl w:val="nil"/>
            </w:tcBorders>
            <w:noWrap w:val="0"/>
            <w:vAlign w:val="center"/>
          </w:tcPr>
          <w:p w14:paraId="58201C59">
            <w:pPr>
              <w:widowControl/>
              <w:snapToGrid w:val="0"/>
              <w:jc w:val="center"/>
              <w:textAlignment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氨氮</w:t>
            </w:r>
          </w:p>
        </w:tc>
        <w:tc>
          <w:tcPr>
            <w:tcW w:w="3351" w:type="dxa"/>
            <w:gridSpan w:val="6"/>
            <w:tcBorders>
              <w:tl2br w:val="nil"/>
              <w:tr2bl w:val="nil"/>
            </w:tcBorders>
            <w:noWrap w:val="0"/>
            <w:vAlign w:val="center"/>
          </w:tcPr>
          <w:p w14:paraId="4BC22274">
            <w:pPr>
              <w:snapToGrid w:val="0"/>
              <w:jc w:val="center"/>
              <w:rPr>
                <w:rFonts w:hint="default" w:ascii="Times New Roman" w:hAnsi="Times New Roman" w:eastAsia="宋体"/>
                <w:color w:val="auto"/>
                <w:szCs w:val="21"/>
                <w:highlight w:val="none"/>
                <w:lang w:val="en-US" w:eastAsia="zh-CN"/>
              </w:rPr>
            </w:pPr>
            <w:r>
              <w:rPr>
                <w:rFonts w:ascii="Times New Roman" w:hAnsi="Times New Roman"/>
                <w:color w:val="auto"/>
                <w:szCs w:val="21"/>
                <w:highlight w:val="none"/>
              </w:rPr>
              <w:t>0.</w:t>
            </w:r>
            <w:r>
              <w:rPr>
                <w:rFonts w:hint="eastAsia" w:ascii="Times New Roman" w:hAnsi="Times New Roman"/>
                <w:color w:val="auto"/>
                <w:szCs w:val="21"/>
                <w:highlight w:val="none"/>
                <w:lang w:val="en-US" w:eastAsia="zh-CN"/>
              </w:rPr>
              <w:t>044</w:t>
            </w:r>
          </w:p>
        </w:tc>
        <w:tc>
          <w:tcPr>
            <w:tcW w:w="4340" w:type="dxa"/>
            <w:gridSpan w:val="4"/>
            <w:tcBorders>
              <w:tl2br w:val="nil"/>
              <w:tr2bl w:val="nil"/>
            </w:tcBorders>
            <w:noWrap w:val="0"/>
            <w:vAlign w:val="center"/>
          </w:tcPr>
          <w:p w14:paraId="36A1C79E">
            <w:pPr>
              <w:widowControl/>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11.23</w:t>
            </w:r>
          </w:p>
        </w:tc>
      </w:tr>
      <w:tr w14:paraId="7F5DDD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6A624639">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4F0B430D">
            <w:pPr>
              <w:snapToGrid w:val="0"/>
              <w:jc w:val="center"/>
              <w:rPr>
                <w:rFonts w:ascii="Times New Roman" w:hAnsi="Times New Roman" w:eastAsia="宋体"/>
                <w:color w:val="auto"/>
                <w:szCs w:val="21"/>
                <w:highlight w:val="none"/>
              </w:rPr>
            </w:pPr>
          </w:p>
        </w:tc>
        <w:tc>
          <w:tcPr>
            <w:tcW w:w="3378" w:type="dxa"/>
            <w:gridSpan w:val="3"/>
            <w:tcBorders>
              <w:tl2br w:val="nil"/>
              <w:tr2bl w:val="nil"/>
            </w:tcBorders>
            <w:noWrap w:val="0"/>
            <w:vAlign w:val="center"/>
          </w:tcPr>
          <w:p w14:paraId="3B638B8D">
            <w:pPr>
              <w:widowControl/>
              <w:snapToGrid w:val="0"/>
              <w:jc w:val="center"/>
              <w:textAlignment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总氮</w:t>
            </w:r>
          </w:p>
        </w:tc>
        <w:tc>
          <w:tcPr>
            <w:tcW w:w="3351" w:type="dxa"/>
            <w:gridSpan w:val="6"/>
            <w:tcBorders>
              <w:tl2br w:val="nil"/>
              <w:tr2bl w:val="nil"/>
            </w:tcBorders>
            <w:noWrap w:val="0"/>
            <w:vAlign w:val="center"/>
          </w:tcPr>
          <w:p w14:paraId="4BAF46B6">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rPr>
              <w:t>0.</w:t>
            </w:r>
            <w:r>
              <w:rPr>
                <w:rFonts w:hint="eastAsia" w:ascii="Times New Roman" w:hAnsi="Times New Roman"/>
                <w:color w:val="auto"/>
                <w:szCs w:val="21"/>
                <w:highlight w:val="none"/>
                <w:lang w:val="en-US" w:eastAsia="zh-CN"/>
              </w:rPr>
              <w:t>049</w:t>
            </w:r>
          </w:p>
        </w:tc>
        <w:tc>
          <w:tcPr>
            <w:tcW w:w="4340" w:type="dxa"/>
            <w:gridSpan w:val="4"/>
            <w:tcBorders>
              <w:tl2br w:val="nil"/>
              <w:tr2bl w:val="nil"/>
            </w:tcBorders>
            <w:noWrap w:val="0"/>
            <w:vAlign w:val="center"/>
          </w:tcPr>
          <w:p w14:paraId="0436C2DA">
            <w:pPr>
              <w:widowControl/>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12.51</w:t>
            </w:r>
          </w:p>
        </w:tc>
      </w:tr>
      <w:tr w14:paraId="1153FD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2F7E8270">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6EB9ABE3">
            <w:pPr>
              <w:snapToGrid w:val="0"/>
              <w:jc w:val="center"/>
              <w:rPr>
                <w:rFonts w:ascii="Times New Roman" w:hAnsi="Times New Roman" w:eastAsia="宋体"/>
                <w:color w:val="auto"/>
                <w:szCs w:val="21"/>
                <w:highlight w:val="none"/>
              </w:rPr>
            </w:pPr>
          </w:p>
        </w:tc>
        <w:tc>
          <w:tcPr>
            <w:tcW w:w="3378" w:type="dxa"/>
            <w:gridSpan w:val="3"/>
            <w:tcBorders>
              <w:tl2br w:val="nil"/>
              <w:tr2bl w:val="nil"/>
            </w:tcBorders>
            <w:noWrap w:val="0"/>
            <w:vAlign w:val="center"/>
          </w:tcPr>
          <w:p w14:paraId="7BE6EB22">
            <w:pPr>
              <w:widowControl/>
              <w:snapToGrid w:val="0"/>
              <w:jc w:val="center"/>
              <w:textAlignment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总磷</w:t>
            </w:r>
          </w:p>
        </w:tc>
        <w:tc>
          <w:tcPr>
            <w:tcW w:w="3351" w:type="dxa"/>
            <w:gridSpan w:val="6"/>
            <w:tcBorders>
              <w:tl2br w:val="nil"/>
              <w:tr2bl w:val="nil"/>
            </w:tcBorders>
            <w:noWrap w:val="0"/>
            <w:vAlign w:val="center"/>
          </w:tcPr>
          <w:p w14:paraId="41ABD7A5">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0.005</w:t>
            </w:r>
          </w:p>
        </w:tc>
        <w:tc>
          <w:tcPr>
            <w:tcW w:w="4340" w:type="dxa"/>
            <w:gridSpan w:val="4"/>
            <w:tcBorders>
              <w:tl2br w:val="nil"/>
              <w:tr2bl w:val="nil"/>
            </w:tcBorders>
            <w:noWrap w:val="0"/>
            <w:vAlign w:val="center"/>
          </w:tcPr>
          <w:p w14:paraId="2E20A729">
            <w:pPr>
              <w:widowControl/>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1.28</w:t>
            </w:r>
          </w:p>
        </w:tc>
      </w:tr>
      <w:tr w14:paraId="138763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7C087845">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5A8C47A4">
            <w:pPr>
              <w:snapToGrid w:val="0"/>
              <w:jc w:val="center"/>
              <w:rPr>
                <w:rFonts w:ascii="Times New Roman" w:hAnsi="Times New Roman" w:eastAsia="宋体"/>
                <w:color w:val="auto"/>
                <w:szCs w:val="21"/>
                <w:highlight w:val="none"/>
              </w:rPr>
            </w:pPr>
          </w:p>
        </w:tc>
        <w:tc>
          <w:tcPr>
            <w:tcW w:w="3378" w:type="dxa"/>
            <w:gridSpan w:val="3"/>
            <w:tcBorders>
              <w:tl2br w:val="nil"/>
              <w:tr2bl w:val="nil"/>
            </w:tcBorders>
            <w:noWrap w:val="0"/>
            <w:vAlign w:val="center"/>
          </w:tcPr>
          <w:p w14:paraId="398A90BE">
            <w:pPr>
              <w:widowControl/>
              <w:snapToGrid w:val="0"/>
              <w:jc w:val="center"/>
              <w:textAlignment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BOD</w:t>
            </w:r>
            <w:r>
              <w:rPr>
                <w:rFonts w:ascii="Times New Roman" w:hAnsi="Times New Roman" w:eastAsia="宋体"/>
                <w:color w:val="auto"/>
                <w:kern w:val="0"/>
                <w:szCs w:val="21"/>
                <w:highlight w:val="none"/>
                <w:vertAlign w:val="subscript"/>
              </w:rPr>
              <w:t>5</w:t>
            </w:r>
          </w:p>
        </w:tc>
        <w:tc>
          <w:tcPr>
            <w:tcW w:w="3351" w:type="dxa"/>
            <w:gridSpan w:val="6"/>
            <w:tcBorders>
              <w:tl2br w:val="nil"/>
              <w:tr2bl w:val="nil"/>
            </w:tcBorders>
            <w:noWrap w:val="0"/>
            <w:vAlign w:val="center"/>
          </w:tcPr>
          <w:p w14:paraId="1E7BE708">
            <w:pPr>
              <w:snapToGrid w:val="0"/>
              <w:jc w:val="center"/>
              <w:rPr>
                <w:rFonts w:hint="default" w:ascii="Times New Roman" w:hAnsi="Times New Roman" w:eastAsia="宋体"/>
                <w:color w:val="auto"/>
                <w:szCs w:val="21"/>
                <w:highlight w:val="none"/>
                <w:lang w:val="en-US" w:eastAsia="zh-CN"/>
              </w:rPr>
            </w:pPr>
            <w:r>
              <w:rPr>
                <w:rFonts w:ascii="Times New Roman" w:hAnsi="Times New Roman"/>
                <w:color w:val="auto"/>
                <w:szCs w:val="21"/>
                <w:highlight w:val="none"/>
              </w:rPr>
              <w:t>0.</w:t>
            </w:r>
            <w:r>
              <w:rPr>
                <w:rFonts w:hint="eastAsia" w:ascii="Times New Roman" w:hAnsi="Times New Roman"/>
                <w:color w:val="auto"/>
                <w:szCs w:val="21"/>
                <w:highlight w:val="none"/>
                <w:lang w:val="en-US" w:eastAsia="zh-CN"/>
              </w:rPr>
              <w:t>214</w:t>
            </w:r>
          </w:p>
        </w:tc>
        <w:tc>
          <w:tcPr>
            <w:tcW w:w="4340" w:type="dxa"/>
            <w:gridSpan w:val="4"/>
            <w:tcBorders>
              <w:tl2br w:val="nil"/>
              <w:tr2bl w:val="nil"/>
            </w:tcBorders>
            <w:noWrap w:val="0"/>
            <w:vAlign w:val="center"/>
          </w:tcPr>
          <w:p w14:paraId="2E28016B">
            <w:pPr>
              <w:widowControl/>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56.42</w:t>
            </w:r>
          </w:p>
        </w:tc>
      </w:tr>
      <w:tr w14:paraId="7D77D4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50E32C4F">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2BDCEEEC">
            <w:pPr>
              <w:snapToGrid w:val="0"/>
              <w:jc w:val="center"/>
              <w:rPr>
                <w:rFonts w:ascii="Times New Roman" w:hAnsi="Times New Roman" w:eastAsia="宋体"/>
                <w:color w:val="auto"/>
                <w:szCs w:val="21"/>
                <w:highlight w:val="none"/>
              </w:rPr>
            </w:pPr>
          </w:p>
        </w:tc>
        <w:tc>
          <w:tcPr>
            <w:tcW w:w="3378" w:type="dxa"/>
            <w:gridSpan w:val="3"/>
            <w:tcBorders>
              <w:tl2br w:val="nil"/>
              <w:tr2bl w:val="nil"/>
            </w:tcBorders>
            <w:noWrap w:val="0"/>
            <w:vAlign w:val="center"/>
          </w:tcPr>
          <w:p w14:paraId="53C9191E">
            <w:pPr>
              <w:widowControl/>
              <w:snapToGrid w:val="0"/>
              <w:jc w:val="center"/>
              <w:textAlignment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SS</w:t>
            </w:r>
          </w:p>
        </w:tc>
        <w:tc>
          <w:tcPr>
            <w:tcW w:w="3351" w:type="dxa"/>
            <w:gridSpan w:val="6"/>
            <w:tcBorders>
              <w:tl2br w:val="nil"/>
              <w:tr2bl w:val="nil"/>
            </w:tcBorders>
            <w:noWrap w:val="0"/>
            <w:vAlign w:val="center"/>
          </w:tcPr>
          <w:p w14:paraId="5B80D936">
            <w:pPr>
              <w:snapToGrid w:val="0"/>
              <w:jc w:val="center"/>
              <w:rPr>
                <w:rFonts w:hint="default" w:ascii="Times New Roman" w:hAnsi="Times New Roman" w:eastAsia="宋体"/>
                <w:color w:val="auto"/>
                <w:szCs w:val="21"/>
                <w:highlight w:val="none"/>
                <w:lang w:val="en-US" w:eastAsia="zh-CN"/>
              </w:rPr>
            </w:pPr>
            <w:r>
              <w:rPr>
                <w:rFonts w:ascii="Times New Roman" w:hAnsi="Times New Roman"/>
                <w:color w:val="auto"/>
                <w:szCs w:val="21"/>
                <w:highlight w:val="none"/>
              </w:rPr>
              <w:t>0.</w:t>
            </w:r>
            <w:r>
              <w:rPr>
                <w:rFonts w:hint="eastAsia" w:ascii="Times New Roman" w:hAnsi="Times New Roman"/>
                <w:color w:val="auto"/>
                <w:szCs w:val="21"/>
                <w:highlight w:val="none"/>
                <w:lang w:val="en-US" w:eastAsia="zh-CN"/>
              </w:rPr>
              <w:t>422</w:t>
            </w:r>
          </w:p>
        </w:tc>
        <w:tc>
          <w:tcPr>
            <w:tcW w:w="4340" w:type="dxa"/>
            <w:gridSpan w:val="4"/>
            <w:tcBorders>
              <w:tl2br w:val="nil"/>
              <w:tr2bl w:val="nil"/>
            </w:tcBorders>
            <w:noWrap w:val="0"/>
            <w:vAlign w:val="center"/>
          </w:tcPr>
          <w:p w14:paraId="0E3D793F">
            <w:pPr>
              <w:widowControl/>
              <w:snapToGrid w:val="0"/>
              <w:jc w:val="center"/>
              <w:textAlignment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107.71</w:t>
            </w:r>
          </w:p>
        </w:tc>
      </w:tr>
      <w:tr w14:paraId="09E98F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02B617F1">
            <w:pPr>
              <w:snapToGrid w:val="0"/>
              <w:jc w:val="center"/>
              <w:rPr>
                <w:rFonts w:ascii="Times New Roman" w:hAnsi="Times New Roman" w:eastAsia="宋体"/>
                <w:color w:val="auto"/>
                <w:szCs w:val="21"/>
                <w:highlight w:val="none"/>
              </w:rPr>
            </w:pPr>
          </w:p>
        </w:tc>
        <w:tc>
          <w:tcPr>
            <w:tcW w:w="2596" w:type="dxa"/>
            <w:vMerge w:val="restart"/>
            <w:tcBorders>
              <w:tl2br w:val="nil"/>
              <w:tr2bl w:val="nil"/>
            </w:tcBorders>
            <w:noWrap w:val="0"/>
            <w:vAlign w:val="center"/>
          </w:tcPr>
          <w:p w14:paraId="3DB21E4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替代源排放情况</w:t>
            </w:r>
          </w:p>
        </w:tc>
        <w:tc>
          <w:tcPr>
            <w:tcW w:w="2472" w:type="dxa"/>
            <w:gridSpan w:val="2"/>
            <w:tcBorders>
              <w:tl2br w:val="nil"/>
              <w:tr2bl w:val="nil"/>
            </w:tcBorders>
            <w:noWrap w:val="0"/>
            <w:vAlign w:val="center"/>
          </w:tcPr>
          <w:p w14:paraId="710E830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污染源名称</w:t>
            </w:r>
          </w:p>
        </w:tc>
        <w:tc>
          <w:tcPr>
            <w:tcW w:w="2083" w:type="dxa"/>
            <w:gridSpan w:val="3"/>
            <w:tcBorders>
              <w:tl2br w:val="nil"/>
              <w:tr2bl w:val="nil"/>
            </w:tcBorders>
            <w:noWrap w:val="0"/>
            <w:vAlign w:val="center"/>
          </w:tcPr>
          <w:p w14:paraId="2E03699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排污许可证编号</w:t>
            </w:r>
          </w:p>
        </w:tc>
        <w:tc>
          <w:tcPr>
            <w:tcW w:w="2085" w:type="dxa"/>
            <w:gridSpan w:val="3"/>
            <w:tcBorders>
              <w:tl2br w:val="nil"/>
              <w:tr2bl w:val="nil"/>
            </w:tcBorders>
            <w:noWrap w:val="0"/>
            <w:vAlign w:val="center"/>
          </w:tcPr>
          <w:p w14:paraId="4428763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污染物名称</w:t>
            </w:r>
          </w:p>
        </w:tc>
        <w:tc>
          <w:tcPr>
            <w:tcW w:w="2083" w:type="dxa"/>
            <w:gridSpan w:val="4"/>
            <w:tcBorders>
              <w:tl2br w:val="nil"/>
              <w:tr2bl w:val="nil"/>
            </w:tcBorders>
            <w:noWrap w:val="0"/>
            <w:vAlign w:val="center"/>
          </w:tcPr>
          <w:p w14:paraId="046F729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排放量/（t/a）</w:t>
            </w:r>
          </w:p>
        </w:tc>
        <w:tc>
          <w:tcPr>
            <w:tcW w:w="2346" w:type="dxa"/>
            <w:tcBorders>
              <w:tl2br w:val="nil"/>
              <w:tr2bl w:val="nil"/>
            </w:tcBorders>
            <w:noWrap w:val="0"/>
            <w:vAlign w:val="center"/>
          </w:tcPr>
          <w:p w14:paraId="1158E3A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排放浓度/（mg/L）</w:t>
            </w:r>
          </w:p>
        </w:tc>
      </w:tr>
      <w:tr w14:paraId="23BF17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21BBA494">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5F2D2C14">
            <w:pPr>
              <w:snapToGrid w:val="0"/>
              <w:jc w:val="center"/>
              <w:rPr>
                <w:rFonts w:ascii="Times New Roman" w:hAnsi="Times New Roman" w:eastAsia="宋体"/>
                <w:color w:val="auto"/>
                <w:szCs w:val="21"/>
                <w:highlight w:val="none"/>
              </w:rPr>
            </w:pPr>
          </w:p>
        </w:tc>
        <w:tc>
          <w:tcPr>
            <w:tcW w:w="2472" w:type="dxa"/>
            <w:gridSpan w:val="2"/>
            <w:tcBorders>
              <w:tl2br w:val="nil"/>
              <w:tr2bl w:val="nil"/>
            </w:tcBorders>
            <w:noWrap w:val="0"/>
            <w:vAlign w:val="center"/>
          </w:tcPr>
          <w:p w14:paraId="182CA2A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2083" w:type="dxa"/>
            <w:gridSpan w:val="3"/>
            <w:tcBorders>
              <w:tl2br w:val="nil"/>
              <w:tr2bl w:val="nil"/>
            </w:tcBorders>
            <w:noWrap w:val="0"/>
            <w:vAlign w:val="center"/>
          </w:tcPr>
          <w:p w14:paraId="4B4ED0C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2085" w:type="dxa"/>
            <w:gridSpan w:val="3"/>
            <w:tcBorders>
              <w:tl2br w:val="nil"/>
              <w:tr2bl w:val="nil"/>
            </w:tcBorders>
            <w:noWrap w:val="0"/>
            <w:vAlign w:val="center"/>
          </w:tcPr>
          <w:p w14:paraId="1A3136F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2083" w:type="dxa"/>
            <w:gridSpan w:val="4"/>
            <w:tcBorders>
              <w:tl2br w:val="nil"/>
              <w:tr2bl w:val="nil"/>
            </w:tcBorders>
            <w:noWrap w:val="0"/>
            <w:vAlign w:val="center"/>
          </w:tcPr>
          <w:p w14:paraId="4C51055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2346" w:type="dxa"/>
            <w:tcBorders>
              <w:tl2br w:val="nil"/>
              <w:tr2bl w:val="nil"/>
            </w:tcBorders>
            <w:noWrap w:val="0"/>
            <w:vAlign w:val="center"/>
          </w:tcPr>
          <w:p w14:paraId="05D07F2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r>
      <w:tr w14:paraId="11FE86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6D051906">
            <w:pPr>
              <w:snapToGrid w:val="0"/>
              <w:jc w:val="center"/>
              <w:rPr>
                <w:rFonts w:ascii="Times New Roman" w:hAnsi="Times New Roman" w:eastAsia="宋体"/>
                <w:color w:val="auto"/>
                <w:szCs w:val="21"/>
                <w:highlight w:val="none"/>
              </w:rPr>
            </w:pPr>
          </w:p>
        </w:tc>
        <w:tc>
          <w:tcPr>
            <w:tcW w:w="2596" w:type="dxa"/>
            <w:tcBorders>
              <w:tl2br w:val="nil"/>
              <w:tr2bl w:val="nil"/>
            </w:tcBorders>
            <w:noWrap w:val="0"/>
            <w:vAlign w:val="center"/>
          </w:tcPr>
          <w:p w14:paraId="3ACC68F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生态流量确定</w:t>
            </w:r>
          </w:p>
        </w:tc>
        <w:tc>
          <w:tcPr>
            <w:tcW w:w="11069" w:type="dxa"/>
            <w:gridSpan w:val="13"/>
            <w:tcBorders>
              <w:tl2br w:val="nil"/>
              <w:tr2bl w:val="nil"/>
            </w:tcBorders>
            <w:noWrap w:val="0"/>
            <w:vAlign w:val="center"/>
          </w:tcPr>
          <w:p w14:paraId="736964F6">
            <w:pPr>
              <w:autoSpaceDE w:val="0"/>
              <w:autoSpaceDN w:val="0"/>
              <w:adjustRightInd w:val="0"/>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生态流量：一般水期（）m</w:t>
            </w:r>
            <w:r>
              <w:rPr>
                <w:rFonts w:ascii="Times New Roman" w:hAnsi="Times New Roman" w:eastAsia="宋体"/>
                <w:color w:val="auto"/>
                <w:kern w:val="0"/>
                <w:szCs w:val="21"/>
                <w:highlight w:val="none"/>
                <w:vertAlign w:val="superscript"/>
              </w:rPr>
              <w:t>3</w:t>
            </w:r>
            <w:r>
              <w:rPr>
                <w:rFonts w:ascii="Times New Roman" w:hAnsi="Times New Roman" w:eastAsia="宋体"/>
                <w:color w:val="auto"/>
                <w:kern w:val="0"/>
                <w:szCs w:val="21"/>
                <w:highlight w:val="none"/>
              </w:rPr>
              <w:t>/s；鱼类繁殖期（）m</w:t>
            </w:r>
            <w:r>
              <w:rPr>
                <w:rFonts w:ascii="Times New Roman" w:hAnsi="Times New Roman" w:eastAsia="宋体"/>
                <w:color w:val="auto"/>
                <w:kern w:val="0"/>
                <w:szCs w:val="21"/>
                <w:highlight w:val="none"/>
                <w:vertAlign w:val="superscript"/>
              </w:rPr>
              <w:t>3</w:t>
            </w:r>
            <w:r>
              <w:rPr>
                <w:rFonts w:ascii="Times New Roman" w:hAnsi="Times New Roman" w:eastAsia="宋体"/>
                <w:color w:val="auto"/>
                <w:kern w:val="0"/>
                <w:szCs w:val="21"/>
                <w:highlight w:val="none"/>
              </w:rPr>
              <w:t>/s；其他（）m</w:t>
            </w:r>
            <w:r>
              <w:rPr>
                <w:rFonts w:ascii="Times New Roman" w:hAnsi="Times New Roman" w:eastAsia="宋体"/>
                <w:color w:val="auto"/>
                <w:kern w:val="0"/>
                <w:szCs w:val="21"/>
                <w:highlight w:val="none"/>
                <w:vertAlign w:val="superscript"/>
              </w:rPr>
              <w:t>3</w:t>
            </w:r>
            <w:r>
              <w:rPr>
                <w:rFonts w:ascii="Times New Roman" w:hAnsi="Times New Roman" w:eastAsia="宋体"/>
                <w:color w:val="auto"/>
                <w:kern w:val="0"/>
                <w:szCs w:val="21"/>
                <w:highlight w:val="none"/>
              </w:rPr>
              <w:t>/s</w:t>
            </w:r>
          </w:p>
          <w:p w14:paraId="6B7730A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生态水位：一般水期（）m；鱼类繁殖期（）m；其他（）m</w:t>
            </w:r>
          </w:p>
        </w:tc>
      </w:tr>
      <w:tr w14:paraId="13BF19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restart"/>
            <w:tcBorders>
              <w:tl2br w:val="nil"/>
              <w:tr2bl w:val="nil"/>
            </w:tcBorders>
            <w:noWrap w:val="0"/>
            <w:vAlign w:val="center"/>
          </w:tcPr>
          <w:p w14:paraId="5EBC4F2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防治措施</w:t>
            </w:r>
          </w:p>
        </w:tc>
        <w:tc>
          <w:tcPr>
            <w:tcW w:w="2596" w:type="dxa"/>
            <w:tcBorders>
              <w:tl2br w:val="nil"/>
              <w:tr2bl w:val="nil"/>
            </w:tcBorders>
            <w:noWrap w:val="0"/>
            <w:vAlign w:val="center"/>
          </w:tcPr>
          <w:p w14:paraId="35F319A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环保措施</w:t>
            </w:r>
          </w:p>
        </w:tc>
        <w:tc>
          <w:tcPr>
            <w:tcW w:w="11069" w:type="dxa"/>
            <w:gridSpan w:val="13"/>
            <w:tcBorders>
              <w:tl2br w:val="nil"/>
              <w:tr2bl w:val="nil"/>
            </w:tcBorders>
            <w:noWrap w:val="0"/>
            <w:vAlign w:val="center"/>
          </w:tcPr>
          <w:p w14:paraId="368484D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污水处理设施</w:t>
            </w:r>
            <w:r>
              <w:rPr>
                <w:rFonts w:ascii="Times New Roman" w:hAnsi="Times New Roman" w:eastAsia="宋体"/>
                <w:color w:val="auto"/>
                <w:szCs w:val="21"/>
                <w:highlight w:val="none"/>
              </w:rPr>
              <w:sym w:font="Wingdings 2" w:char="0052"/>
            </w:r>
            <w:r>
              <w:rPr>
                <w:rFonts w:ascii="Times New Roman" w:hAnsi="Times New Roman" w:eastAsia="宋体"/>
                <w:color w:val="auto"/>
                <w:szCs w:val="21"/>
                <w:highlight w:val="none"/>
              </w:rPr>
              <w:t>；水文减缓设施□；生态流量保障设施□；区域削减□；依托其他工程措施</w:t>
            </w:r>
            <w:r>
              <w:rPr>
                <w:rFonts w:ascii="Times New Roman" w:hAnsi="Times New Roman" w:eastAsia="宋体"/>
                <w:color w:val="auto"/>
                <w:szCs w:val="21"/>
                <w:highlight w:val="none"/>
              </w:rPr>
              <w:sym w:font="Wingdings 2" w:char="0052"/>
            </w:r>
            <w:r>
              <w:rPr>
                <w:rFonts w:ascii="Times New Roman" w:hAnsi="Times New Roman" w:eastAsia="宋体"/>
                <w:color w:val="auto"/>
                <w:szCs w:val="21"/>
                <w:highlight w:val="none"/>
              </w:rPr>
              <w:t>；其他□</w:t>
            </w:r>
          </w:p>
        </w:tc>
      </w:tr>
      <w:tr w14:paraId="343F2B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3A173B91">
            <w:pPr>
              <w:snapToGrid w:val="0"/>
              <w:jc w:val="center"/>
              <w:rPr>
                <w:rFonts w:ascii="Times New Roman" w:hAnsi="Times New Roman" w:eastAsia="宋体"/>
                <w:color w:val="auto"/>
                <w:szCs w:val="21"/>
                <w:highlight w:val="none"/>
              </w:rPr>
            </w:pPr>
          </w:p>
        </w:tc>
        <w:tc>
          <w:tcPr>
            <w:tcW w:w="2596" w:type="dxa"/>
            <w:vMerge w:val="restart"/>
            <w:tcBorders>
              <w:tl2br w:val="nil"/>
              <w:tr2bl w:val="nil"/>
            </w:tcBorders>
            <w:noWrap w:val="0"/>
            <w:vAlign w:val="center"/>
          </w:tcPr>
          <w:p w14:paraId="6DF9849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监测计划</w:t>
            </w:r>
          </w:p>
        </w:tc>
        <w:tc>
          <w:tcPr>
            <w:tcW w:w="2422" w:type="dxa"/>
            <w:tcBorders>
              <w:tl2br w:val="nil"/>
              <w:tr2bl w:val="nil"/>
            </w:tcBorders>
            <w:noWrap w:val="0"/>
            <w:vAlign w:val="center"/>
          </w:tcPr>
          <w:p w14:paraId="6D660A96">
            <w:pPr>
              <w:snapToGrid w:val="0"/>
              <w:jc w:val="center"/>
              <w:rPr>
                <w:rFonts w:ascii="Times New Roman" w:hAnsi="Times New Roman" w:eastAsia="宋体"/>
                <w:color w:val="auto"/>
                <w:szCs w:val="21"/>
                <w:highlight w:val="none"/>
              </w:rPr>
            </w:pPr>
          </w:p>
        </w:tc>
        <w:tc>
          <w:tcPr>
            <w:tcW w:w="2977" w:type="dxa"/>
            <w:gridSpan w:val="5"/>
            <w:tcBorders>
              <w:tl2br w:val="nil"/>
              <w:tr2bl w:val="nil"/>
            </w:tcBorders>
            <w:noWrap w:val="0"/>
            <w:vAlign w:val="center"/>
          </w:tcPr>
          <w:p w14:paraId="7D574AD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环境质量</w:t>
            </w:r>
          </w:p>
        </w:tc>
        <w:tc>
          <w:tcPr>
            <w:tcW w:w="5670" w:type="dxa"/>
            <w:gridSpan w:val="7"/>
            <w:tcBorders>
              <w:tl2br w:val="nil"/>
              <w:tr2bl w:val="nil"/>
            </w:tcBorders>
            <w:noWrap w:val="0"/>
            <w:vAlign w:val="center"/>
          </w:tcPr>
          <w:p w14:paraId="09B9CB7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污染源</w:t>
            </w:r>
          </w:p>
        </w:tc>
      </w:tr>
      <w:tr w14:paraId="245AFA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61DB43D0">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52827571">
            <w:pPr>
              <w:snapToGrid w:val="0"/>
              <w:jc w:val="center"/>
              <w:rPr>
                <w:rFonts w:ascii="Times New Roman" w:hAnsi="Times New Roman" w:eastAsia="宋体"/>
                <w:color w:val="auto"/>
                <w:szCs w:val="21"/>
                <w:highlight w:val="none"/>
              </w:rPr>
            </w:pPr>
          </w:p>
        </w:tc>
        <w:tc>
          <w:tcPr>
            <w:tcW w:w="2422" w:type="dxa"/>
            <w:tcBorders>
              <w:tl2br w:val="nil"/>
              <w:tr2bl w:val="nil"/>
            </w:tcBorders>
            <w:noWrap w:val="0"/>
            <w:vAlign w:val="center"/>
          </w:tcPr>
          <w:p w14:paraId="103A15C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监测方式</w:t>
            </w:r>
          </w:p>
        </w:tc>
        <w:tc>
          <w:tcPr>
            <w:tcW w:w="2977" w:type="dxa"/>
            <w:gridSpan w:val="5"/>
            <w:tcBorders>
              <w:tl2br w:val="nil"/>
              <w:tr2bl w:val="nil"/>
            </w:tcBorders>
            <w:noWrap w:val="0"/>
            <w:vAlign w:val="center"/>
          </w:tcPr>
          <w:p w14:paraId="6AA526E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手动</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；自动□；无监测□</w:t>
            </w:r>
          </w:p>
        </w:tc>
        <w:tc>
          <w:tcPr>
            <w:tcW w:w="5670" w:type="dxa"/>
            <w:gridSpan w:val="7"/>
            <w:tcBorders>
              <w:tl2br w:val="nil"/>
              <w:tr2bl w:val="nil"/>
            </w:tcBorders>
            <w:noWrap w:val="0"/>
            <w:vAlign w:val="center"/>
          </w:tcPr>
          <w:p w14:paraId="5613B942">
            <w:pPr>
              <w:snapToGrid w:val="0"/>
              <w:jc w:val="center"/>
              <w:rPr>
                <w:rFonts w:hint="eastAsia" w:ascii="Times New Roman" w:hAnsi="Times New Roman" w:eastAsia="宋体"/>
                <w:color w:val="auto"/>
                <w:szCs w:val="21"/>
                <w:highlight w:val="none"/>
                <w:lang w:eastAsia="zh-CN"/>
              </w:rPr>
            </w:pPr>
            <w:r>
              <w:rPr>
                <w:rFonts w:ascii="Times New Roman" w:hAnsi="Times New Roman" w:eastAsia="宋体"/>
                <w:color w:val="auto"/>
                <w:szCs w:val="21"/>
                <w:highlight w:val="none"/>
              </w:rPr>
              <w:t>手动</w:t>
            </w:r>
            <w:r>
              <w:rPr>
                <w:rFonts w:ascii="Times New Roman" w:hAnsi="Times New Roman" w:eastAsia="宋体"/>
                <w:color w:val="auto"/>
                <w:szCs w:val="21"/>
                <w:highlight w:val="none"/>
              </w:rPr>
              <w:sym w:font="Wingdings 2" w:char="0052"/>
            </w:r>
            <w:r>
              <w:rPr>
                <w:rFonts w:ascii="Times New Roman" w:hAnsi="Times New Roman" w:eastAsia="宋体"/>
                <w:color w:val="auto"/>
                <w:szCs w:val="21"/>
                <w:highlight w:val="none"/>
              </w:rPr>
              <w:t>；自动</w:t>
            </w:r>
            <w:r>
              <w:rPr>
                <w:rFonts w:ascii="Times New Roman" w:hAnsi="Times New Roman" w:eastAsia="宋体"/>
                <w:color w:val="auto"/>
                <w:szCs w:val="21"/>
                <w:highlight w:val="none"/>
              </w:rPr>
              <w:sym w:font="Wingdings 2" w:char="00A3"/>
            </w:r>
            <w:r>
              <w:rPr>
                <w:rFonts w:ascii="Times New Roman" w:hAnsi="Times New Roman" w:eastAsia="宋体"/>
                <w:color w:val="auto"/>
                <w:szCs w:val="21"/>
                <w:highlight w:val="none"/>
              </w:rPr>
              <w:t>；无监测</w:t>
            </w:r>
            <w:r>
              <w:rPr>
                <w:rFonts w:hint="eastAsia" w:ascii="Times New Roman" w:hAnsi="Times New Roman" w:eastAsia="宋体"/>
                <w:color w:val="auto"/>
                <w:szCs w:val="21"/>
                <w:highlight w:val="none"/>
                <w:lang w:eastAsia="zh-CN"/>
              </w:rPr>
              <w:t>□</w:t>
            </w:r>
          </w:p>
        </w:tc>
      </w:tr>
      <w:tr w14:paraId="6A4DE4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7" w:hRule="atLeast"/>
        </w:trPr>
        <w:tc>
          <w:tcPr>
            <w:tcW w:w="477" w:type="dxa"/>
            <w:vMerge w:val="continue"/>
            <w:tcBorders>
              <w:tl2br w:val="nil"/>
              <w:tr2bl w:val="nil"/>
            </w:tcBorders>
            <w:noWrap w:val="0"/>
            <w:vAlign w:val="center"/>
          </w:tcPr>
          <w:p w14:paraId="65517BC1">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75543232">
            <w:pPr>
              <w:snapToGrid w:val="0"/>
              <w:jc w:val="center"/>
              <w:rPr>
                <w:rFonts w:ascii="Times New Roman" w:hAnsi="Times New Roman" w:eastAsia="宋体"/>
                <w:color w:val="auto"/>
                <w:szCs w:val="21"/>
                <w:highlight w:val="none"/>
              </w:rPr>
            </w:pPr>
          </w:p>
        </w:tc>
        <w:tc>
          <w:tcPr>
            <w:tcW w:w="2422" w:type="dxa"/>
            <w:tcBorders>
              <w:tl2br w:val="nil"/>
              <w:tr2bl w:val="nil"/>
            </w:tcBorders>
            <w:noWrap w:val="0"/>
            <w:vAlign w:val="center"/>
          </w:tcPr>
          <w:p w14:paraId="2A94A29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监测点位</w:t>
            </w:r>
          </w:p>
        </w:tc>
        <w:tc>
          <w:tcPr>
            <w:tcW w:w="2977" w:type="dxa"/>
            <w:gridSpan w:val="5"/>
            <w:tcBorders>
              <w:tl2br w:val="nil"/>
              <w:tr2bl w:val="nil"/>
            </w:tcBorders>
            <w:noWrap w:val="0"/>
            <w:vAlign w:val="center"/>
          </w:tcPr>
          <w:p w14:paraId="2B17828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670" w:type="dxa"/>
            <w:gridSpan w:val="7"/>
            <w:tcBorders>
              <w:tl2br w:val="nil"/>
              <w:tr2bl w:val="nil"/>
            </w:tcBorders>
            <w:noWrap w:val="0"/>
            <w:vAlign w:val="center"/>
          </w:tcPr>
          <w:p w14:paraId="0A00D1B4">
            <w:pPr>
              <w:widowControl/>
              <w:snapToGrid w:val="0"/>
              <w:jc w:val="center"/>
              <w:rPr>
                <w:rFonts w:ascii="Times New Roman" w:hAnsi="Times New Roman" w:eastAsia="宋体"/>
                <w:color w:val="auto"/>
                <w:szCs w:val="21"/>
                <w:highlight w:val="none"/>
              </w:rPr>
            </w:pPr>
            <w:r>
              <w:rPr>
                <w:rFonts w:ascii="Times New Roman" w:hAnsi="Times New Roman" w:eastAsia="宋体"/>
                <w:color w:val="auto"/>
                <w:kern w:val="0"/>
                <w:szCs w:val="21"/>
                <w:highlight w:val="none"/>
              </w:rPr>
              <w:t>（）</w:t>
            </w:r>
          </w:p>
        </w:tc>
      </w:tr>
      <w:tr w14:paraId="3A0946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3E358475">
            <w:pPr>
              <w:snapToGrid w:val="0"/>
              <w:jc w:val="center"/>
              <w:rPr>
                <w:rFonts w:ascii="Times New Roman" w:hAnsi="Times New Roman" w:eastAsia="宋体"/>
                <w:color w:val="auto"/>
                <w:szCs w:val="21"/>
                <w:highlight w:val="none"/>
              </w:rPr>
            </w:pPr>
          </w:p>
        </w:tc>
        <w:tc>
          <w:tcPr>
            <w:tcW w:w="2596" w:type="dxa"/>
            <w:vMerge w:val="continue"/>
            <w:tcBorders>
              <w:tl2br w:val="nil"/>
              <w:tr2bl w:val="nil"/>
            </w:tcBorders>
            <w:noWrap w:val="0"/>
            <w:vAlign w:val="center"/>
          </w:tcPr>
          <w:p w14:paraId="02257840">
            <w:pPr>
              <w:snapToGrid w:val="0"/>
              <w:jc w:val="center"/>
              <w:rPr>
                <w:rFonts w:ascii="Times New Roman" w:hAnsi="Times New Roman" w:eastAsia="宋体"/>
                <w:color w:val="auto"/>
                <w:szCs w:val="21"/>
                <w:highlight w:val="none"/>
              </w:rPr>
            </w:pPr>
          </w:p>
        </w:tc>
        <w:tc>
          <w:tcPr>
            <w:tcW w:w="2422" w:type="dxa"/>
            <w:tcBorders>
              <w:tl2br w:val="nil"/>
              <w:tr2bl w:val="nil"/>
            </w:tcBorders>
            <w:noWrap w:val="0"/>
            <w:vAlign w:val="center"/>
          </w:tcPr>
          <w:p w14:paraId="2FEE257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监测因子</w:t>
            </w:r>
          </w:p>
        </w:tc>
        <w:tc>
          <w:tcPr>
            <w:tcW w:w="2977" w:type="dxa"/>
            <w:gridSpan w:val="5"/>
            <w:tcBorders>
              <w:tl2br w:val="nil"/>
              <w:tr2bl w:val="nil"/>
            </w:tcBorders>
            <w:noWrap w:val="0"/>
            <w:vAlign w:val="center"/>
          </w:tcPr>
          <w:p w14:paraId="664D216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5670" w:type="dxa"/>
            <w:gridSpan w:val="7"/>
            <w:tcBorders>
              <w:tl2br w:val="nil"/>
              <w:tr2bl w:val="nil"/>
            </w:tcBorders>
            <w:noWrap w:val="0"/>
            <w:vAlign w:val="center"/>
          </w:tcPr>
          <w:p w14:paraId="3D4765C9">
            <w:pPr>
              <w:widowControl/>
              <w:snapToGrid w:val="0"/>
              <w:jc w:val="center"/>
              <w:rPr>
                <w:rFonts w:ascii="Times New Roman" w:hAnsi="Times New Roman" w:eastAsia="宋体"/>
                <w:color w:val="auto"/>
                <w:szCs w:val="21"/>
                <w:highlight w:val="none"/>
                <w:lang w:val="pt-BR"/>
              </w:rPr>
            </w:pPr>
            <w:r>
              <w:rPr>
                <w:rFonts w:ascii="Times New Roman" w:hAnsi="Times New Roman" w:eastAsia="宋体"/>
                <w:color w:val="auto"/>
                <w:kern w:val="0"/>
                <w:szCs w:val="21"/>
                <w:highlight w:val="none"/>
              </w:rPr>
              <w:t>（</w:t>
            </w:r>
            <w:r>
              <w:rPr>
                <w:rFonts w:hint="eastAsia" w:ascii="Times New Roman" w:hAnsi="Times New Roman" w:eastAsia="宋体"/>
                <w:color w:val="auto"/>
                <w:kern w:val="0"/>
                <w:szCs w:val="21"/>
                <w:highlight w:val="none"/>
                <w:lang w:val="en-US" w:eastAsia="zh-CN"/>
              </w:rPr>
              <w:t>/</w:t>
            </w:r>
            <w:r>
              <w:rPr>
                <w:rFonts w:ascii="Times New Roman" w:hAnsi="Times New Roman" w:eastAsia="宋体"/>
                <w:color w:val="auto"/>
                <w:kern w:val="0"/>
                <w:szCs w:val="21"/>
                <w:highlight w:val="none"/>
              </w:rPr>
              <w:t>）</w:t>
            </w:r>
          </w:p>
        </w:tc>
      </w:tr>
      <w:tr w14:paraId="00AA74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77" w:type="dxa"/>
            <w:vMerge w:val="continue"/>
            <w:tcBorders>
              <w:tl2br w:val="nil"/>
              <w:tr2bl w:val="nil"/>
            </w:tcBorders>
            <w:noWrap w:val="0"/>
            <w:vAlign w:val="center"/>
          </w:tcPr>
          <w:p w14:paraId="796C179D">
            <w:pPr>
              <w:snapToGrid w:val="0"/>
              <w:jc w:val="center"/>
              <w:rPr>
                <w:rFonts w:ascii="Times New Roman" w:hAnsi="Times New Roman" w:eastAsia="宋体"/>
                <w:color w:val="auto"/>
                <w:szCs w:val="21"/>
                <w:highlight w:val="none"/>
                <w:lang w:val="pt-BR"/>
              </w:rPr>
            </w:pPr>
          </w:p>
        </w:tc>
        <w:tc>
          <w:tcPr>
            <w:tcW w:w="2596" w:type="dxa"/>
            <w:tcBorders>
              <w:tl2br w:val="nil"/>
              <w:tr2bl w:val="nil"/>
            </w:tcBorders>
            <w:noWrap w:val="0"/>
            <w:vAlign w:val="center"/>
          </w:tcPr>
          <w:p w14:paraId="0285018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污染物排放清单</w:t>
            </w:r>
          </w:p>
        </w:tc>
        <w:tc>
          <w:tcPr>
            <w:tcW w:w="11069" w:type="dxa"/>
            <w:gridSpan w:val="13"/>
            <w:tcBorders>
              <w:tl2br w:val="nil"/>
              <w:tr2bl w:val="nil"/>
            </w:tcBorders>
            <w:noWrap w:val="0"/>
            <w:vAlign w:val="center"/>
          </w:tcPr>
          <w:p w14:paraId="651BED6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sym w:font="Wingdings 2" w:char="0052"/>
            </w:r>
          </w:p>
        </w:tc>
      </w:tr>
      <w:tr w14:paraId="6DB835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73" w:type="dxa"/>
            <w:gridSpan w:val="2"/>
            <w:tcBorders>
              <w:tl2br w:val="nil"/>
              <w:tr2bl w:val="nil"/>
            </w:tcBorders>
            <w:noWrap w:val="0"/>
            <w:vAlign w:val="center"/>
          </w:tcPr>
          <w:p w14:paraId="01A41BD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评价结论</w:t>
            </w:r>
          </w:p>
        </w:tc>
        <w:tc>
          <w:tcPr>
            <w:tcW w:w="11069" w:type="dxa"/>
            <w:gridSpan w:val="13"/>
            <w:tcBorders>
              <w:tl2br w:val="nil"/>
              <w:tr2bl w:val="nil"/>
            </w:tcBorders>
            <w:noWrap w:val="0"/>
            <w:vAlign w:val="center"/>
          </w:tcPr>
          <w:p w14:paraId="6116475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可以接受</w:t>
            </w:r>
            <w:r>
              <w:rPr>
                <w:rFonts w:ascii="Times New Roman" w:hAnsi="Times New Roman" w:eastAsia="宋体"/>
                <w:color w:val="auto"/>
                <w:szCs w:val="21"/>
                <w:highlight w:val="none"/>
              </w:rPr>
              <w:sym w:font="Wingdings 2" w:char="0052"/>
            </w:r>
            <w:r>
              <w:rPr>
                <w:rFonts w:ascii="Times New Roman" w:hAnsi="Times New Roman" w:eastAsia="宋体"/>
                <w:color w:val="auto"/>
                <w:szCs w:val="21"/>
                <w:highlight w:val="none"/>
              </w:rPr>
              <w:t>；不可以接受□</w:t>
            </w:r>
          </w:p>
        </w:tc>
      </w:tr>
      <w:tr w14:paraId="06F9DA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142" w:type="dxa"/>
            <w:gridSpan w:val="15"/>
            <w:tcBorders>
              <w:tl2br w:val="nil"/>
              <w:tr2bl w:val="nil"/>
            </w:tcBorders>
            <w:noWrap w:val="0"/>
            <w:vAlign w:val="center"/>
          </w:tcPr>
          <w:p w14:paraId="40347FA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注：</w:t>
            </w:r>
            <w:r>
              <w:rPr>
                <w:rFonts w:hint="eastAsia"/>
                <w:color w:val="auto"/>
                <w:szCs w:val="21"/>
                <w:highlight w:val="none"/>
                <w:lang w:eastAsia="zh-CN"/>
              </w:rPr>
              <w:t>“</w:t>
            </w:r>
            <w:r>
              <w:rPr>
                <w:rFonts w:ascii="Times New Roman" w:hAnsi="Times New Roman" w:eastAsia="宋体"/>
                <w:color w:val="auto"/>
                <w:szCs w:val="21"/>
                <w:highlight w:val="none"/>
              </w:rPr>
              <w:t>□</w:t>
            </w:r>
            <w:r>
              <w:rPr>
                <w:rFonts w:hint="eastAsia"/>
                <w:color w:val="auto"/>
                <w:szCs w:val="21"/>
                <w:highlight w:val="none"/>
                <w:lang w:eastAsia="zh-CN"/>
              </w:rPr>
              <w:t>”</w:t>
            </w:r>
            <w:r>
              <w:rPr>
                <w:rFonts w:ascii="Times New Roman" w:hAnsi="Times New Roman" w:eastAsia="宋体"/>
                <w:color w:val="auto"/>
                <w:szCs w:val="21"/>
                <w:highlight w:val="none"/>
              </w:rPr>
              <w:t>为勾选项，可√；</w:t>
            </w:r>
            <w:r>
              <w:rPr>
                <w:rFonts w:hint="eastAsia"/>
                <w:color w:val="auto"/>
                <w:szCs w:val="21"/>
                <w:highlight w:val="none"/>
                <w:lang w:eastAsia="zh-CN"/>
              </w:rPr>
              <w:t>“</w:t>
            </w:r>
            <w:r>
              <w:rPr>
                <w:rFonts w:ascii="Times New Roman" w:hAnsi="Times New Roman" w:eastAsia="宋体"/>
                <w:color w:val="auto"/>
                <w:szCs w:val="21"/>
                <w:highlight w:val="none"/>
              </w:rPr>
              <w:t>（）</w:t>
            </w:r>
            <w:r>
              <w:rPr>
                <w:rFonts w:hint="eastAsia"/>
                <w:color w:val="auto"/>
                <w:szCs w:val="21"/>
                <w:highlight w:val="none"/>
                <w:lang w:eastAsia="zh-CN"/>
              </w:rPr>
              <w:t>”</w:t>
            </w:r>
            <w:r>
              <w:rPr>
                <w:rFonts w:ascii="Times New Roman" w:hAnsi="Times New Roman" w:eastAsia="宋体"/>
                <w:color w:val="auto"/>
                <w:szCs w:val="21"/>
                <w:highlight w:val="none"/>
              </w:rPr>
              <w:t>为内容填写项；</w:t>
            </w:r>
            <w:r>
              <w:rPr>
                <w:rFonts w:hint="eastAsia"/>
                <w:color w:val="auto"/>
                <w:szCs w:val="21"/>
                <w:highlight w:val="none"/>
                <w:lang w:eastAsia="zh-CN"/>
              </w:rPr>
              <w:t>“</w:t>
            </w:r>
            <w:r>
              <w:rPr>
                <w:rFonts w:ascii="Times New Roman" w:hAnsi="Times New Roman" w:eastAsia="宋体"/>
                <w:color w:val="auto"/>
                <w:szCs w:val="21"/>
                <w:highlight w:val="none"/>
              </w:rPr>
              <w:t>备注</w:t>
            </w:r>
            <w:r>
              <w:rPr>
                <w:rFonts w:hint="eastAsia"/>
                <w:color w:val="auto"/>
                <w:szCs w:val="21"/>
                <w:highlight w:val="none"/>
                <w:lang w:eastAsia="zh-CN"/>
              </w:rPr>
              <w:t>”</w:t>
            </w:r>
            <w:r>
              <w:rPr>
                <w:rFonts w:ascii="Times New Roman" w:hAnsi="Times New Roman" w:eastAsia="宋体"/>
                <w:color w:val="auto"/>
                <w:szCs w:val="21"/>
                <w:highlight w:val="none"/>
              </w:rPr>
              <w:t>为其他补充内容。</w:t>
            </w:r>
          </w:p>
        </w:tc>
      </w:tr>
    </w:tbl>
    <w:p w14:paraId="732E7AE9">
      <w:pPr>
        <w:pStyle w:val="23"/>
        <w:rPr>
          <w:rFonts w:ascii="Times New Roman" w:hAnsi="Times New Roman"/>
          <w:color w:val="auto"/>
          <w:highlight w:val="none"/>
        </w:rPr>
      </w:pPr>
    </w:p>
    <w:p w14:paraId="1357A39C">
      <w:pPr>
        <w:pStyle w:val="23"/>
        <w:rPr>
          <w:rFonts w:ascii="Times New Roman" w:hAnsi="Times New Roman"/>
          <w:color w:val="auto"/>
          <w:highlight w:val="none"/>
        </w:rPr>
      </w:pPr>
    </w:p>
    <w:p w14:paraId="20D4B2D6">
      <w:pPr>
        <w:pStyle w:val="23"/>
        <w:rPr>
          <w:rFonts w:ascii="Times New Roman" w:hAnsi="Times New Roman"/>
          <w:color w:val="auto"/>
          <w:highlight w:val="none"/>
        </w:rPr>
      </w:pPr>
    </w:p>
    <w:p w14:paraId="477C1250">
      <w:pPr>
        <w:pStyle w:val="23"/>
        <w:rPr>
          <w:rFonts w:ascii="Times New Roman" w:hAnsi="Times New Roman"/>
          <w:color w:val="auto"/>
          <w:highlight w:val="none"/>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docGrid w:type="linesAndChars" w:linePitch="312" w:charSpace="0"/>
        </w:sectPr>
      </w:pPr>
    </w:p>
    <w:p w14:paraId="18A60A46">
      <w:pPr>
        <w:pStyle w:val="4"/>
        <w:spacing w:after="156"/>
        <w:rPr>
          <w:color w:val="auto"/>
          <w:highlight w:val="none"/>
        </w:rPr>
      </w:pPr>
      <w:bookmarkStart w:id="452" w:name="_Toc117150265"/>
      <w:bookmarkStart w:id="453" w:name="_Toc152922064"/>
      <w:bookmarkStart w:id="454" w:name="_Toc152921699"/>
      <w:bookmarkStart w:id="455" w:name="_Toc152922658"/>
      <w:bookmarkStart w:id="456" w:name="_Toc152923339"/>
      <w:r>
        <w:rPr>
          <w:color w:val="auto"/>
          <w:highlight w:val="none"/>
        </w:rPr>
        <w:t>5.2.3运营期声环境影响评价</w:t>
      </w:r>
      <w:bookmarkEnd w:id="452"/>
      <w:bookmarkEnd w:id="453"/>
      <w:bookmarkEnd w:id="454"/>
      <w:bookmarkEnd w:id="455"/>
      <w:bookmarkEnd w:id="456"/>
    </w:p>
    <w:p w14:paraId="66ADA0CA">
      <w:pPr>
        <w:pStyle w:val="5"/>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lang w:val="en-US" w:eastAsia="zh-CN"/>
        </w:rPr>
        <w:t>5</w:t>
      </w:r>
      <w:r>
        <w:rPr>
          <w:rFonts w:ascii="Times New Roman" w:hAnsi="Times New Roman" w:eastAsia="宋体" w:cs="Times New Roman"/>
          <w:b/>
          <w:bCs/>
          <w:color w:val="auto"/>
          <w:highlight w:val="none"/>
        </w:rPr>
        <w:t>.2.</w:t>
      </w:r>
      <w:r>
        <w:rPr>
          <w:rFonts w:hint="eastAsia" w:ascii="Times New Roman" w:hAnsi="Times New Roman" w:eastAsia="宋体" w:cs="Times New Roman"/>
          <w:b/>
          <w:bCs/>
          <w:color w:val="auto"/>
          <w:highlight w:val="none"/>
          <w:lang w:val="en-US" w:eastAsia="zh-CN"/>
        </w:rPr>
        <w:t>3</w:t>
      </w:r>
      <w:r>
        <w:rPr>
          <w:rFonts w:ascii="Times New Roman" w:hAnsi="Times New Roman" w:eastAsia="宋体" w:cs="Times New Roman"/>
          <w:b/>
          <w:bCs/>
          <w:color w:val="auto"/>
          <w:highlight w:val="none"/>
        </w:rPr>
        <w:t>.</w:t>
      </w:r>
      <w:r>
        <w:rPr>
          <w:rFonts w:hint="eastAsia" w:ascii="Times New Roman" w:hAnsi="Times New Roman" w:eastAsia="宋体" w:cs="Times New Roman"/>
          <w:b/>
          <w:bCs/>
          <w:color w:val="auto"/>
          <w:highlight w:val="none"/>
          <w:lang w:val="en-US" w:eastAsia="zh-CN"/>
        </w:rPr>
        <w:t>1预测范围</w:t>
      </w:r>
    </w:p>
    <w:p w14:paraId="2709C14C">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b/>
          <w:bCs/>
          <w:color w:val="auto"/>
          <w:sz w:val="24"/>
          <w:szCs w:val="24"/>
          <w:highlight w:val="none"/>
        </w:rPr>
      </w:pPr>
      <w:r>
        <w:rPr>
          <w:b/>
          <w:bCs/>
          <w:color w:val="auto"/>
          <w:sz w:val="24"/>
          <w:szCs w:val="24"/>
          <w:highlight w:val="none"/>
        </w:rPr>
        <w:t>1、评价等级与预测范围</w:t>
      </w:r>
    </w:p>
    <w:p w14:paraId="30AAD7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根据《环境影响评价技术导则声环境》</w:t>
      </w:r>
      <w:r>
        <w:rPr>
          <w:rFonts w:hint="eastAsia"/>
          <w:color w:val="auto"/>
          <w:sz w:val="24"/>
          <w:szCs w:val="24"/>
          <w:highlight w:val="none"/>
        </w:rPr>
        <w:t>（</w:t>
      </w:r>
      <w:r>
        <w:rPr>
          <w:color w:val="auto"/>
          <w:sz w:val="24"/>
          <w:szCs w:val="24"/>
          <w:highlight w:val="none"/>
        </w:rPr>
        <w:t>HJ2.4</w:t>
      </w:r>
      <w:r>
        <w:rPr>
          <w:rFonts w:hint="eastAsia"/>
          <w:color w:val="auto"/>
          <w:sz w:val="24"/>
          <w:szCs w:val="24"/>
          <w:highlight w:val="none"/>
        </w:rPr>
        <w:t>-</w:t>
      </w:r>
      <w:r>
        <w:rPr>
          <w:color w:val="auto"/>
          <w:sz w:val="24"/>
          <w:szCs w:val="24"/>
          <w:highlight w:val="none"/>
        </w:rPr>
        <w:t>2021</w:t>
      </w:r>
      <w:r>
        <w:rPr>
          <w:rFonts w:hint="eastAsia"/>
          <w:color w:val="auto"/>
          <w:sz w:val="24"/>
          <w:szCs w:val="24"/>
          <w:highlight w:val="none"/>
        </w:rPr>
        <w:t>）</w:t>
      </w:r>
      <w:r>
        <w:rPr>
          <w:color w:val="auto"/>
          <w:sz w:val="24"/>
          <w:szCs w:val="24"/>
          <w:highlight w:val="none"/>
        </w:rPr>
        <w:t>中相关规定，确定本次声环境评价工作等级为</w:t>
      </w:r>
      <w:r>
        <w:rPr>
          <w:rFonts w:hint="eastAsia"/>
          <w:color w:val="auto"/>
          <w:sz w:val="24"/>
          <w:szCs w:val="24"/>
          <w:highlight w:val="none"/>
        </w:rPr>
        <w:t>三</w:t>
      </w:r>
      <w:r>
        <w:rPr>
          <w:color w:val="auto"/>
          <w:sz w:val="24"/>
          <w:szCs w:val="24"/>
          <w:highlight w:val="none"/>
        </w:rPr>
        <w:t>级，评价范围为项目厂界外200m范围内。</w:t>
      </w:r>
    </w:p>
    <w:p w14:paraId="4B3980F7">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b/>
          <w:bCs/>
          <w:color w:val="auto"/>
          <w:sz w:val="24"/>
          <w:szCs w:val="24"/>
          <w:highlight w:val="none"/>
        </w:rPr>
      </w:pPr>
      <w:r>
        <w:rPr>
          <w:b/>
          <w:bCs/>
          <w:color w:val="auto"/>
          <w:sz w:val="24"/>
          <w:szCs w:val="24"/>
          <w:highlight w:val="none"/>
        </w:rPr>
        <w:t>2、评价内容</w:t>
      </w:r>
    </w:p>
    <w:p w14:paraId="0223A19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highlight w:val="none"/>
        </w:rPr>
      </w:pPr>
      <w:r>
        <w:rPr>
          <w:color w:val="auto"/>
          <w:sz w:val="24"/>
          <w:szCs w:val="24"/>
          <w:highlight w:val="none"/>
        </w:rPr>
        <w:t>对噪声源进行类比调查，将噪声源产生的预测值叠加，计算各厂界噪声贡献值，本评价声环境影响预测点位为</w:t>
      </w:r>
      <w:r>
        <w:rPr>
          <w:rFonts w:hint="eastAsia"/>
          <w:color w:val="auto"/>
          <w:sz w:val="24"/>
          <w:szCs w:val="24"/>
          <w:highlight w:val="none"/>
          <w:lang w:val="en-US" w:eastAsia="zh-CN"/>
        </w:rPr>
        <w:t>站区周界</w:t>
      </w:r>
      <w:r>
        <w:rPr>
          <w:color w:val="auto"/>
          <w:sz w:val="24"/>
          <w:szCs w:val="24"/>
          <w:highlight w:val="none"/>
        </w:rPr>
        <w:t>。</w:t>
      </w:r>
    </w:p>
    <w:p w14:paraId="569F451E">
      <w:pPr>
        <w:pStyle w:val="5"/>
        <w:rPr>
          <w:color w:val="auto"/>
          <w:highlight w:val="none"/>
        </w:rPr>
      </w:pPr>
      <w:r>
        <w:rPr>
          <w:rFonts w:hint="eastAsia"/>
          <w:color w:val="auto"/>
          <w:highlight w:val="none"/>
          <w:lang w:val="en-US" w:eastAsia="zh-CN"/>
        </w:rPr>
        <w:t>5</w:t>
      </w:r>
      <w:r>
        <w:rPr>
          <w:color w:val="auto"/>
          <w:highlight w:val="none"/>
        </w:rPr>
        <w:t>.2.</w:t>
      </w:r>
      <w:r>
        <w:rPr>
          <w:rFonts w:hint="eastAsia"/>
          <w:color w:val="auto"/>
          <w:highlight w:val="none"/>
          <w:lang w:val="en-US" w:eastAsia="zh-CN"/>
        </w:rPr>
        <w:t>3</w:t>
      </w:r>
      <w:r>
        <w:rPr>
          <w:color w:val="auto"/>
          <w:highlight w:val="none"/>
        </w:rPr>
        <w:t>.2评价标准</w:t>
      </w:r>
    </w:p>
    <w:p w14:paraId="2A7E9C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厂界噪声执行《工业企业厂界环境噪声排放标准》（GB12348-2008）中</w:t>
      </w:r>
      <w:r>
        <w:rPr>
          <w:rFonts w:hint="eastAsia"/>
          <w:color w:val="auto"/>
          <w:sz w:val="24"/>
          <w:szCs w:val="24"/>
          <w:highlight w:val="none"/>
        </w:rPr>
        <w:t>3</w:t>
      </w:r>
      <w:r>
        <w:rPr>
          <w:color w:val="auto"/>
          <w:sz w:val="24"/>
          <w:szCs w:val="24"/>
          <w:highlight w:val="none"/>
        </w:rPr>
        <w:t>类标准，详见表</w:t>
      </w:r>
      <w:r>
        <w:rPr>
          <w:rFonts w:hint="eastAsia"/>
          <w:color w:val="auto"/>
          <w:sz w:val="24"/>
          <w:szCs w:val="24"/>
          <w:highlight w:val="none"/>
          <w:lang w:val="en-US" w:eastAsia="zh-CN"/>
        </w:rPr>
        <w:t>5</w:t>
      </w:r>
      <w:r>
        <w:rPr>
          <w:rFonts w:hint="eastAsia"/>
          <w:color w:val="auto"/>
          <w:sz w:val="24"/>
          <w:szCs w:val="24"/>
          <w:highlight w:val="none"/>
        </w:rPr>
        <w:t>.2</w:t>
      </w:r>
      <w:r>
        <w:rPr>
          <w:rFonts w:hint="eastAsia"/>
          <w:color w:val="auto"/>
          <w:sz w:val="24"/>
          <w:szCs w:val="24"/>
          <w:highlight w:val="none"/>
          <w:lang w:val="en-US" w:eastAsia="zh-CN"/>
        </w:rPr>
        <w:t>.3</w:t>
      </w:r>
      <w:r>
        <w:rPr>
          <w:rFonts w:hint="eastAsia"/>
          <w:color w:val="auto"/>
          <w:sz w:val="24"/>
          <w:szCs w:val="24"/>
          <w:highlight w:val="none"/>
        </w:rPr>
        <w:t>-1</w:t>
      </w:r>
      <w:r>
        <w:rPr>
          <w:color w:val="auto"/>
          <w:sz w:val="24"/>
          <w:szCs w:val="24"/>
          <w:highlight w:val="none"/>
        </w:rPr>
        <w:t>。</w:t>
      </w:r>
    </w:p>
    <w:p w14:paraId="65A90092">
      <w:pPr>
        <w:pStyle w:val="283"/>
        <w:keepNext w:val="0"/>
        <w:keepLines w:val="0"/>
        <w:pageBreakBefore w:val="0"/>
        <w:widowControl w:val="0"/>
        <w:kinsoku/>
        <w:wordWrap/>
        <w:overflowPunct/>
        <w:topLinePunct w:val="0"/>
        <w:autoSpaceDE/>
        <w:autoSpaceDN/>
        <w:bidi w:val="0"/>
        <w:adjustRightInd/>
        <w:snapToGrid/>
        <w:spacing w:beforeLines="0" w:after="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5.2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-1</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评价标准（单位：dB（A））</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988"/>
        <w:gridCol w:w="2082"/>
        <w:gridCol w:w="1764"/>
        <w:gridCol w:w="1479"/>
      </w:tblGrid>
      <w:tr w14:paraId="4C951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97" w:type="pct"/>
            <w:noWrap w:val="0"/>
            <w:vAlign w:val="center"/>
          </w:tcPr>
          <w:p w14:paraId="2C6E8676">
            <w:pPr>
              <w:pStyle w:val="563"/>
              <w:bidi w:val="0"/>
              <w:rPr>
                <w:b/>
                <w:bCs/>
                <w:color w:val="auto"/>
                <w:highlight w:val="none"/>
              </w:rPr>
            </w:pPr>
            <w:r>
              <w:rPr>
                <w:b/>
                <w:bCs/>
                <w:color w:val="auto"/>
                <w:highlight w:val="none"/>
              </w:rPr>
              <w:t>厂界</w:t>
            </w:r>
          </w:p>
        </w:tc>
        <w:tc>
          <w:tcPr>
            <w:tcW w:w="1252" w:type="pct"/>
            <w:noWrap w:val="0"/>
            <w:vAlign w:val="center"/>
          </w:tcPr>
          <w:p w14:paraId="48B166ED">
            <w:pPr>
              <w:pStyle w:val="563"/>
              <w:bidi w:val="0"/>
              <w:rPr>
                <w:b/>
                <w:bCs/>
                <w:color w:val="auto"/>
                <w:highlight w:val="none"/>
              </w:rPr>
            </w:pPr>
            <w:r>
              <w:rPr>
                <w:b/>
                <w:bCs/>
                <w:color w:val="auto"/>
                <w:highlight w:val="none"/>
              </w:rPr>
              <w:t>评价标准</w:t>
            </w:r>
          </w:p>
        </w:tc>
        <w:tc>
          <w:tcPr>
            <w:tcW w:w="1061" w:type="pct"/>
            <w:noWrap w:val="0"/>
            <w:vAlign w:val="center"/>
          </w:tcPr>
          <w:p w14:paraId="343AE239">
            <w:pPr>
              <w:pStyle w:val="563"/>
              <w:bidi w:val="0"/>
              <w:rPr>
                <w:b/>
                <w:bCs/>
                <w:color w:val="auto"/>
                <w:highlight w:val="none"/>
              </w:rPr>
            </w:pPr>
            <w:r>
              <w:rPr>
                <w:b/>
                <w:bCs/>
                <w:color w:val="auto"/>
                <w:highlight w:val="none"/>
              </w:rPr>
              <w:t>昼间</w:t>
            </w:r>
          </w:p>
        </w:tc>
        <w:tc>
          <w:tcPr>
            <w:tcW w:w="889" w:type="pct"/>
            <w:noWrap w:val="0"/>
            <w:vAlign w:val="center"/>
          </w:tcPr>
          <w:p w14:paraId="2D3BA308">
            <w:pPr>
              <w:pStyle w:val="563"/>
              <w:bidi w:val="0"/>
              <w:rPr>
                <w:b/>
                <w:bCs/>
                <w:color w:val="auto"/>
                <w:highlight w:val="none"/>
              </w:rPr>
            </w:pPr>
            <w:r>
              <w:rPr>
                <w:b/>
                <w:bCs/>
                <w:color w:val="auto"/>
                <w:highlight w:val="none"/>
              </w:rPr>
              <w:t>夜间</w:t>
            </w:r>
          </w:p>
        </w:tc>
      </w:tr>
      <w:tr w14:paraId="441AD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97" w:type="pct"/>
            <w:noWrap w:val="0"/>
            <w:vAlign w:val="center"/>
          </w:tcPr>
          <w:p w14:paraId="3EE56123">
            <w:pPr>
              <w:pStyle w:val="563"/>
              <w:bidi w:val="0"/>
              <w:rPr>
                <w:color w:val="auto"/>
                <w:highlight w:val="none"/>
              </w:rPr>
            </w:pPr>
            <w:r>
              <w:rPr>
                <w:color w:val="auto"/>
                <w:highlight w:val="none"/>
              </w:rPr>
              <w:t>南、北厂界</w:t>
            </w:r>
          </w:p>
        </w:tc>
        <w:tc>
          <w:tcPr>
            <w:tcW w:w="1252" w:type="pct"/>
            <w:noWrap w:val="0"/>
            <w:vAlign w:val="center"/>
          </w:tcPr>
          <w:p w14:paraId="2AA841D8">
            <w:pPr>
              <w:pStyle w:val="563"/>
              <w:bidi w:val="0"/>
              <w:rPr>
                <w:color w:val="auto"/>
                <w:highlight w:val="none"/>
              </w:rPr>
            </w:pPr>
            <w:r>
              <w:rPr>
                <w:color w:val="auto"/>
                <w:highlight w:val="none"/>
              </w:rPr>
              <w:t>3类</w:t>
            </w:r>
          </w:p>
        </w:tc>
        <w:tc>
          <w:tcPr>
            <w:tcW w:w="1061" w:type="pct"/>
            <w:noWrap w:val="0"/>
            <w:vAlign w:val="center"/>
          </w:tcPr>
          <w:p w14:paraId="2BBB730A">
            <w:pPr>
              <w:pStyle w:val="563"/>
              <w:bidi w:val="0"/>
              <w:rPr>
                <w:color w:val="auto"/>
                <w:highlight w:val="none"/>
              </w:rPr>
            </w:pPr>
            <w:r>
              <w:rPr>
                <w:color w:val="auto"/>
                <w:highlight w:val="none"/>
              </w:rPr>
              <w:t>65</w:t>
            </w:r>
          </w:p>
        </w:tc>
        <w:tc>
          <w:tcPr>
            <w:tcW w:w="889" w:type="pct"/>
            <w:noWrap w:val="0"/>
            <w:vAlign w:val="center"/>
          </w:tcPr>
          <w:p w14:paraId="232FAF60">
            <w:pPr>
              <w:pStyle w:val="563"/>
              <w:bidi w:val="0"/>
              <w:rPr>
                <w:color w:val="auto"/>
                <w:highlight w:val="none"/>
              </w:rPr>
            </w:pPr>
            <w:r>
              <w:rPr>
                <w:color w:val="auto"/>
                <w:highlight w:val="none"/>
              </w:rPr>
              <w:t>55</w:t>
            </w:r>
          </w:p>
        </w:tc>
      </w:tr>
      <w:tr w14:paraId="2D502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797" w:type="pct"/>
            <w:noWrap w:val="0"/>
            <w:vAlign w:val="center"/>
          </w:tcPr>
          <w:p w14:paraId="7FF790DC">
            <w:pPr>
              <w:pStyle w:val="563"/>
              <w:bidi w:val="0"/>
              <w:rPr>
                <w:rFonts w:hint="default"/>
                <w:color w:val="auto"/>
                <w:highlight w:val="none"/>
                <w:lang w:val="en-US" w:eastAsia="zh-CN"/>
              </w:rPr>
            </w:pPr>
            <w:r>
              <w:rPr>
                <w:rFonts w:hint="eastAsia"/>
                <w:color w:val="auto"/>
                <w:highlight w:val="none"/>
                <w:lang w:val="en-US" w:eastAsia="zh-CN"/>
              </w:rPr>
              <w:t>东、西厂界</w:t>
            </w:r>
          </w:p>
        </w:tc>
        <w:tc>
          <w:tcPr>
            <w:tcW w:w="1252" w:type="pct"/>
            <w:noWrap w:val="0"/>
            <w:vAlign w:val="center"/>
          </w:tcPr>
          <w:p w14:paraId="3C34F114">
            <w:pPr>
              <w:pStyle w:val="563"/>
              <w:bidi w:val="0"/>
              <w:rPr>
                <w:rFonts w:hint="default"/>
                <w:color w:val="auto"/>
                <w:highlight w:val="none"/>
                <w:lang w:val="en-US" w:eastAsia="zh-CN"/>
              </w:rPr>
            </w:pPr>
            <w:r>
              <w:rPr>
                <w:rFonts w:hint="eastAsia"/>
                <w:color w:val="auto"/>
                <w:highlight w:val="none"/>
                <w:lang w:val="en-US" w:eastAsia="zh-CN"/>
              </w:rPr>
              <w:t>4类</w:t>
            </w:r>
          </w:p>
        </w:tc>
        <w:tc>
          <w:tcPr>
            <w:tcW w:w="1061" w:type="pct"/>
            <w:noWrap w:val="0"/>
            <w:vAlign w:val="center"/>
          </w:tcPr>
          <w:p w14:paraId="285C2B8B">
            <w:pPr>
              <w:pStyle w:val="563"/>
              <w:bidi w:val="0"/>
              <w:rPr>
                <w:rFonts w:hint="default"/>
                <w:color w:val="auto"/>
                <w:highlight w:val="none"/>
                <w:lang w:val="en-US" w:eastAsia="zh-CN"/>
              </w:rPr>
            </w:pPr>
            <w:r>
              <w:rPr>
                <w:rFonts w:hint="eastAsia"/>
                <w:color w:val="auto"/>
                <w:highlight w:val="none"/>
                <w:lang w:val="en-US" w:eastAsia="zh-CN"/>
              </w:rPr>
              <w:t>70</w:t>
            </w:r>
          </w:p>
        </w:tc>
        <w:tc>
          <w:tcPr>
            <w:tcW w:w="889" w:type="pct"/>
            <w:noWrap w:val="0"/>
            <w:vAlign w:val="center"/>
          </w:tcPr>
          <w:p w14:paraId="0C5AE60E">
            <w:pPr>
              <w:pStyle w:val="563"/>
              <w:bidi w:val="0"/>
              <w:rPr>
                <w:rFonts w:hint="default"/>
                <w:color w:val="auto"/>
                <w:highlight w:val="none"/>
                <w:lang w:val="en-US" w:eastAsia="zh-CN"/>
              </w:rPr>
            </w:pPr>
            <w:r>
              <w:rPr>
                <w:rFonts w:hint="eastAsia"/>
                <w:color w:val="auto"/>
                <w:highlight w:val="none"/>
                <w:lang w:val="en-US" w:eastAsia="zh-CN"/>
              </w:rPr>
              <w:t>55</w:t>
            </w:r>
          </w:p>
        </w:tc>
      </w:tr>
    </w:tbl>
    <w:p w14:paraId="0B047EF4">
      <w:pPr>
        <w:pStyle w:val="5"/>
        <w:keepNext/>
        <w:keepLines/>
        <w:pageBreakBefore w:val="0"/>
        <w:widowControl w:val="0"/>
        <w:kinsoku/>
        <w:wordWrap/>
        <w:overflowPunct/>
        <w:topLinePunct w:val="0"/>
        <w:autoSpaceDE/>
        <w:autoSpaceDN/>
        <w:bidi w:val="0"/>
        <w:adjustRightInd/>
        <w:snapToGrid/>
        <w:textAlignment w:val="auto"/>
        <w:rPr>
          <w:color w:val="auto"/>
          <w:highlight w:val="none"/>
        </w:rPr>
      </w:pPr>
      <w:r>
        <w:rPr>
          <w:rFonts w:hint="eastAsia"/>
          <w:color w:val="auto"/>
          <w:highlight w:val="none"/>
          <w:lang w:val="en-US" w:eastAsia="zh-CN"/>
        </w:rPr>
        <w:t>5</w:t>
      </w:r>
      <w:r>
        <w:rPr>
          <w:color w:val="auto"/>
          <w:highlight w:val="none"/>
        </w:rPr>
        <w:t>.2.</w:t>
      </w:r>
      <w:r>
        <w:rPr>
          <w:rFonts w:hint="eastAsia"/>
          <w:color w:val="auto"/>
          <w:highlight w:val="none"/>
          <w:lang w:val="en-US" w:eastAsia="zh-CN"/>
        </w:rPr>
        <w:t>3</w:t>
      </w:r>
      <w:r>
        <w:rPr>
          <w:color w:val="auto"/>
          <w:highlight w:val="none"/>
        </w:rPr>
        <w:t>.3高噪声源强的确定</w:t>
      </w:r>
    </w:p>
    <w:p w14:paraId="7AF915F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Cs w:val="28"/>
          <w:highlight w:val="none"/>
        </w:rPr>
      </w:pPr>
      <w:r>
        <w:rPr>
          <w:rFonts w:hint="default" w:ascii="Times New Roman" w:hAnsi="Times New Roman" w:eastAsia="宋体" w:cs="Times New Roman"/>
          <w:color w:val="auto"/>
          <w:sz w:val="24"/>
          <w:szCs w:val="24"/>
          <w:highlight w:val="none"/>
        </w:rPr>
        <w:t>根据工程分析，项目涉及的主要噪声源为制氢生产线制氢装置、氢气纯化系统、氢气汇流排氢气压缩机、除盐水系统、循环冷却塔及风机、冷水机组、泵类等设备噪声以及偶发性氮气吹扫高压气放散等噪声。</w:t>
      </w:r>
      <w:r>
        <w:rPr>
          <w:rFonts w:hint="eastAsia"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选用低声设备，厂房或设备间隔声、设减震基础、安装消声器。项目营运期产噪设备噪声源强及处理效果见</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.2</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-3。</w:t>
      </w:r>
    </w:p>
    <w:p w14:paraId="0976456C">
      <w:pPr>
        <w:spacing w:line="240" w:lineRule="auto"/>
        <w:ind w:firstLine="482"/>
        <w:jc w:val="center"/>
        <w:rPr>
          <w:b/>
          <w:color w:val="auto"/>
          <w:highlight w:val="none"/>
        </w:rPr>
        <w:sectPr>
          <w:pgSz w:w="11906" w:h="16838"/>
          <w:pgMar w:top="1440" w:right="1800" w:bottom="1440" w:left="1800" w:header="964" w:footer="964" w:gutter="0"/>
          <w:pgBorders>
            <w:top w:val="none" w:sz="0" w:space="0"/>
            <w:left w:val="none" w:sz="0" w:space="0"/>
            <w:bottom w:val="none" w:sz="0" w:space="0"/>
            <w:right w:val="none" w:sz="0" w:space="0"/>
          </w:pgBorders>
          <w:cols w:space="720" w:num="1"/>
          <w:docGrid w:type="lines" w:linePitch="356" w:charSpace="0"/>
        </w:sectPr>
      </w:pPr>
    </w:p>
    <w:p w14:paraId="025CA162">
      <w:pPr>
        <w:pStyle w:val="283"/>
        <w:keepNext w:val="0"/>
        <w:keepLines w:val="0"/>
        <w:pageBreakBefore w:val="0"/>
        <w:widowControl w:val="0"/>
        <w:kinsoku/>
        <w:wordWrap/>
        <w:overflowPunct/>
        <w:topLinePunct w:val="0"/>
        <w:autoSpaceDE/>
        <w:autoSpaceDN/>
        <w:bidi w:val="0"/>
        <w:adjustRightInd/>
        <w:snapToGrid/>
        <w:spacing w:beforeLines="0" w:after="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.2</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-3</w:t>
      </w:r>
      <w:r>
        <w:rPr>
          <w:rFonts w:hint="eastAsia"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项目主要噪声源排放源强（室内）</w:t>
      </w:r>
    </w:p>
    <w:tbl>
      <w:tblPr>
        <w:tblStyle w:val="49"/>
        <w:tblW w:w="50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67"/>
        <w:gridCol w:w="424"/>
        <w:gridCol w:w="708"/>
        <w:gridCol w:w="750"/>
        <w:gridCol w:w="508"/>
        <w:gridCol w:w="647"/>
        <w:gridCol w:w="498"/>
        <w:gridCol w:w="498"/>
        <w:gridCol w:w="491"/>
        <w:gridCol w:w="461"/>
        <w:gridCol w:w="507"/>
        <w:gridCol w:w="445"/>
        <w:gridCol w:w="614"/>
        <w:gridCol w:w="618"/>
        <w:gridCol w:w="532"/>
        <w:gridCol w:w="618"/>
        <w:gridCol w:w="625"/>
        <w:gridCol w:w="660"/>
        <w:gridCol w:w="845"/>
        <w:gridCol w:w="625"/>
        <w:gridCol w:w="660"/>
        <w:gridCol w:w="625"/>
        <w:gridCol w:w="633"/>
        <w:gridCol w:w="668"/>
      </w:tblGrid>
      <w:tr w14:paraId="02101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vMerge w:val="restart"/>
            <w:noWrap w:val="0"/>
            <w:vAlign w:val="center"/>
          </w:tcPr>
          <w:p w14:paraId="08C0B09B">
            <w:pPr>
              <w:pStyle w:val="563"/>
              <w:bidi w:val="0"/>
              <w:rPr>
                <w:rFonts w:hint="eastAsia"/>
                <w:b/>
                <w:bCs/>
                <w:color w:val="auto"/>
                <w:highlight w:val="none"/>
              </w:rPr>
            </w:pPr>
            <w:r>
              <w:rPr>
                <w:rFonts w:hint="eastAsia"/>
                <w:b/>
                <w:bCs/>
                <w:color w:val="auto"/>
                <w:highlight w:val="none"/>
                <w:lang w:val="en-US" w:eastAsia="zh-CN"/>
              </w:rPr>
              <w:t>序号</w:t>
            </w:r>
          </w:p>
        </w:tc>
        <w:tc>
          <w:tcPr>
            <w:tcW w:w="424" w:type="dxa"/>
            <w:vMerge w:val="restart"/>
            <w:noWrap w:val="0"/>
            <w:vAlign w:val="center"/>
          </w:tcPr>
          <w:p w14:paraId="6AFB2CA5">
            <w:pPr>
              <w:pStyle w:val="563"/>
              <w:bidi w:val="0"/>
              <w:rPr>
                <w:rFonts w:hint="eastAsia"/>
                <w:b/>
                <w:bCs/>
                <w:color w:val="auto"/>
                <w:highlight w:val="none"/>
              </w:rPr>
            </w:pPr>
            <w:r>
              <w:rPr>
                <w:rFonts w:hint="eastAsia"/>
                <w:b/>
                <w:bCs/>
                <w:color w:val="auto"/>
                <w:highlight w:val="none"/>
                <w:lang w:val="en-US" w:eastAsia="zh-CN"/>
              </w:rPr>
              <w:t>建筑物名称</w:t>
            </w:r>
          </w:p>
        </w:tc>
        <w:tc>
          <w:tcPr>
            <w:tcW w:w="708" w:type="dxa"/>
            <w:vMerge w:val="restart"/>
            <w:noWrap w:val="0"/>
            <w:vAlign w:val="center"/>
          </w:tcPr>
          <w:p w14:paraId="69E87532">
            <w:pPr>
              <w:pStyle w:val="563"/>
              <w:bidi w:val="0"/>
              <w:rPr>
                <w:rFonts w:hint="eastAsia"/>
                <w:b/>
                <w:bCs/>
                <w:color w:val="auto"/>
                <w:highlight w:val="none"/>
              </w:rPr>
            </w:pPr>
            <w:r>
              <w:rPr>
                <w:rFonts w:hint="eastAsia"/>
                <w:b/>
                <w:bCs/>
                <w:color w:val="auto"/>
                <w:highlight w:val="none"/>
                <w:lang w:val="en-US" w:eastAsia="zh-CN"/>
              </w:rPr>
              <w:t>设备名称</w:t>
            </w:r>
          </w:p>
        </w:tc>
        <w:tc>
          <w:tcPr>
            <w:tcW w:w="750" w:type="dxa"/>
            <w:vMerge w:val="restart"/>
            <w:noWrap w:val="0"/>
            <w:vAlign w:val="center"/>
          </w:tcPr>
          <w:p w14:paraId="6DC37722">
            <w:pPr>
              <w:pStyle w:val="563"/>
              <w:bidi w:val="0"/>
              <w:rPr>
                <w:rFonts w:hint="eastAsia"/>
                <w:b/>
                <w:bCs/>
                <w:color w:val="auto"/>
                <w:highlight w:val="none"/>
              </w:rPr>
            </w:pPr>
            <w:r>
              <w:rPr>
                <w:rFonts w:hint="eastAsia"/>
                <w:b/>
                <w:bCs/>
                <w:color w:val="auto"/>
                <w:highlight w:val="none"/>
                <w:lang w:val="en-US" w:eastAsia="zh-CN"/>
              </w:rPr>
              <w:t>单台噪声源强声功率级</w:t>
            </w:r>
            <w:r>
              <w:rPr>
                <w:b/>
                <w:bCs/>
                <w:color w:val="auto"/>
                <w:highlight w:val="none"/>
                <w:lang w:val="en-US" w:eastAsia="zh-CN"/>
              </w:rPr>
              <w:t>dB（A）</w:t>
            </w:r>
          </w:p>
        </w:tc>
        <w:tc>
          <w:tcPr>
            <w:tcW w:w="508" w:type="dxa"/>
            <w:vMerge w:val="restart"/>
            <w:noWrap w:val="0"/>
            <w:vAlign w:val="center"/>
          </w:tcPr>
          <w:p w14:paraId="46DD5B88">
            <w:pPr>
              <w:pStyle w:val="563"/>
              <w:bidi w:val="0"/>
              <w:rPr>
                <w:rFonts w:hint="eastAsia"/>
                <w:b/>
                <w:bCs/>
                <w:color w:val="auto"/>
                <w:highlight w:val="none"/>
              </w:rPr>
            </w:pPr>
            <w:r>
              <w:rPr>
                <w:rFonts w:hint="eastAsia"/>
                <w:b/>
                <w:bCs/>
                <w:color w:val="auto"/>
                <w:highlight w:val="none"/>
                <w:lang w:val="en-US" w:eastAsia="zh-CN"/>
              </w:rPr>
              <w:t>数量</w:t>
            </w:r>
            <w:r>
              <w:rPr>
                <w:b/>
                <w:bCs/>
                <w:color w:val="auto"/>
                <w:highlight w:val="none"/>
                <w:lang w:val="en-US" w:eastAsia="zh-CN"/>
              </w:rPr>
              <w:t>/台</w:t>
            </w:r>
          </w:p>
        </w:tc>
        <w:tc>
          <w:tcPr>
            <w:tcW w:w="647" w:type="dxa"/>
            <w:vMerge w:val="restart"/>
            <w:noWrap w:val="0"/>
            <w:vAlign w:val="center"/>
          </w:tcPr>
          <w:p w14:paraId="42A27C86">
            <w:pPr>
              <w:pStyle w:val="563"/>
              <w:bidi w:val="0"/>
              <w:rPr>
                <w:rFonts w:hint="eastAsia"/>
                <w:b/>
                <w:bCs/>
                <w:color w:val="auto"/>
                <w:highlight w:val="none"/>
              </w:rPr>
            </w:pPr>
            <w:r>
              <w:rPr>
                <w:rFonts w:hint="eastAsia"/>
                <w:b/>
                <w:bCs/>
                <w:color w:val="auto"/>
                <w:highlight w:val="none"/>
                <w:lang w:val="en-US" w:eastAsia="zh-CN"/>
              </w:rPr>
              <w:t>声源控制措施</w:t>
            </w:r>
          </w:p>
        </w:tc>
        <w:tc>
          <w:tcPr>
            <w:tcW w:w="1487" w:type="dxa"/>
            <w:gridSpan w:val="3"/>
            <w:vMerge w:val="restart"/>
            <w:noWrap w:val="0"/>
            <w:vAlign w:val="center"/>
          </w:tcPr>
          <w:p w14:paraId="266D5E1C">
            <w:pPr>
              <w:pStyle w:val="563"/>
              <w:bidi w:val="0"/>
              <w:rPr>
                <w:rFonts w:hint="eastAsia"/>
                <w:b/>
                <w:bCs/>
                <w:color w:val="auto"/>
                <w:highlight w:val="none"/>
              </w:rPr>
            </w:pPr>
            <w:r>
              <w:rPr>
                <w:rFonts w:hint="eastAsia"/>
                <w:b/>
                <w:bCs/>
                <w:color w:val="auto"/>
                <w:highlight w:val="none"/>
                <w:lang w:val="en-US" w:eastAsia="zh-CN"/>
              </w:rPr>
              <w:t>空间相对位置（</w:t>
            </w:r>
            <w:r>
              <w:rPr>
                <w:b/>
                <w:bCs/>
                <w:color w:val="auto"/>
                <w:highlight w:val="none"/>
                <w:lang w:val="en-US" w:eastAsia="zh-CN"/>
              </w:rPr>
              <w:t>m）</w:t>
            </w:r>
          </w:p>
        </w:tc>
        <w:tc>
          <w:tcPr>
            <w:tcW w:w="2027" w:type="dxa"/>
            <w:gridSpan w:val="4"/>
            <w:vMerge w:val="restart"/>
            <w:noWrap w:val="0"/>
            <w:vAlign w:val="center"/>
          </w:tcPr>
          <w:p w14:paraId="6B13A9B5">
            <w:pPr>
              <w:pStyle w:val="563"/>
              <w:bidi w:val="0"/>
              <w:rPr>
                <w:rFonts w:hint="eastAsia"/>
                <w:b/>
                <w:bCs/>
                <w:color w:val="auto"/>
                <w:highlight w:val="none"/>
              </w:rPr>
            </w:pPr>
            <w:r>
              <w:rPr>
                <w:rFonts w:hint="eastAsia"/>
                <w:b/>
                <w:bCs/>
                <w:color w:val="auto"/>
                <w:highlight w:val="none"/>
                <w:lang w:val="en-US" w:eastAsia="zh-CN"/>
              </w:rPr>
              <w:t>距室内边界距离</w:t>
            </w:r>
            <w:r>
              <w:rPr>
                <w:b/>
                <w:bCs/>
                <w:color w:val="auto"/>
                <w:highlight w:val="none"/>
                <w:lang w:val="en-US" w:eastAsia="zh-CN"/>
              </w:rPr>
              <w:t>/m</w:t>
            </w:r>
          </w:p>
        </w:tc>
        <w:tc>
          <w:tcPr>
            <w:tcW w:w="2392" w:type="dxa"/>
            <w:gridSpan w:val="4"/>
            <w:vMerge w:val="restart"/>
            <w:noWrap w:val="0"/>
            <w:vAlign w:val="center"/>
          </w:tcPr>
          <w:p w14:paraId="785485DE">
            <w:pPr>
              <w:pStyle w:val="563"/>
              <w:bidi w:val="0"/>
              <w:rPr>
                <w:rFonts w:hint="eastAsia"/>
                <w:b/>
                <w:bCs/>
                <w:color w:val="auto"/>
                <w:highlight w:val="none"/>
              </w:rPr>
            </w:pPr>
            <w:r>
              <w:rPr>
                <w:rFonts w:hint="eastAsia"/>
                <w:b/>
                <w:bCs/>
                <w:color w:val="auto"/>
                <w:highlight w:val="none"/>
                <w:lang w:val="en-US" w:eastAsia="zh-CN"/>
              </w:rPr>
              <w:t>距室内边界声级</w:t>
            </w:r>
            <w:r>
              <w:rPr>
                <w:b/>
                <w:bCs/>
                <w:color w:val="auto"/>
                <w:highlight w:val="none"/>
                <w:lang w:val="en-US" w:eastAsia="zh-CN"/>
              </w:rPr>
              <w:t>dB（A）</w:t>
            </w:r>
          </w:p>
        </w:tc>
        <w:tc>
          <w:tcPr>
            <w:tcW w:w="659" w:type="dxa"/>
            <w:vMerge w:val="restart"/>
            <w:noWrap w:val="0"/>
            <w:vAlign w:val="center"/>
          </w:tcPr>
          <w:p w14:paraId="4D778A76">
            <w:pPr>
              <w:pStyle w:val="563"/>
              <w:bidi w:val="0"/>
              <w:rPr>
                <w:rFonts w:hint="eastAsia"/>
                <w:b/>
                <w:bCs/>
                <w:color w:val="auto"/>
                <w:highlight w:val="none"/>
              </w:rPr>
            </w:pPr>
            <w:r>
              <w:rPr>
                <w:rFonts w:hint="eastAsia"/>
                <w:b/>
                <w:bCs/>
                <w:color w:val="auto"/>
                <w:highlight w:val="none"/>
                <w:lang w:val="en-US" w:eastAsia="zh-CN"/>
              </w:rPr>
              <w:t>运行时段</w:t>
            </w:r>
          </w:p>
        </w:tc>
        <w:tc>
          <w:tcPr>
            <w:tcW w:w="843" w:type="dxa"/>
            <w:vMerge w:val="restart"/>
            <w:noWrap w:val="0"/>
            <w:vAlign w:val="center"/>
          </w:tcPr>
          <w:p w14:paraId="6DD51753">
            <w:pPr>
              <w:pStyle w:val="563"/>
              <w:bidi w:val="0"/>
              <w:rPr>
                <w:rFonts w:hint="eastAsia"/>
                <w:b/>
                <w:bCs/>
                <w:color w:val="auto"/>
                <w:highlight w:val="none"/>
              </w:rPr>
            </w:pPr>
            <w:r>
              <w:rPr>
                <w:rFonts w:hint="eastAsia"/>
                <w:b/>
                <w:bCs/>
                <w:color w:val="auto"/>
                <w:highlight w:val="none"/>
                <w:lang w:val="en-US" w:eastAsia="zh-CN"/>
              </w:rPr>
              <w:t>建筑物插入损失</w:t>
            </w:r>
            <w:r>
              <w:rPr>
                <w:b/>
                <w:bCs/>
                <w:color w:val="auto"/>
                <w:highlight w:val="none"/>
                <w:lang w:val="en-US" w:eastAsia="zh-CN"/>
              </w:rPr>
              <w:t>dB（A）</w:t>
            </w:r>
          </w:p>
        </w:tc>
        <w:tc>
          <w:tcPr>
            <w:tcW w:w="3206" w:type="dxa"/>
            <w:gridSpan w:val="5"/>
            <w:noWrap w:val="0"/>
            <w:vAlign w:val="center"/>
          </w:tcPr>
          <w:p w14:paraId="3182D36B">
            <w:pPr>
              <w:pStyle w:val="563"/>
              <w:bidi w:val="0"/>
              <w:rPr>
                <w:rFonts w:hint="eastAsia"/>
                <w:b/>
                <w:bCs/>
                <w:color w:val="auto"/>
                <w:highlight w:val="none"/>
              </w:rPr>
            </w:pPr>
            <w:r>
              <w:rPr>
                <w:rFonts w:hint="eastAsia"/>
                <w:b/>
                <w:bCs/>
                <w:color w:val="auto"/>
                <w:highlight w:val="none"/>
                <w:lang w:val="en-US" w:eastAsia="zh-CN"/>
              </w:rPr>
              <w:t>建筑物外损失</w:t>
            </w:r>
          </w:p>
        </w:tc>
      </w:tr>
      <w:tr w14:paraId="666B9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vMerge w:val="continue"/>
            <w:noWrap w:val="0"/>
            <w:vAlign w:val="center"/>
          </w:tcPr>
          <w:p w14:paraId="5817E9FF">
            <w:pPr>
              <w:pStyle w:val="563"/>
              <w:bidi w:val="0"/>
              <w:rPr>
                <w:rFonts w:hint="eastAsia"/>
                <w:b/>
                <w:bCs/>
                <w:color w:val="auto"/>
                <w:highlight w:val="none"/>
              </w:rPr>
            </w:pPr>
          </w:p>
        </w:tc>
        <w:tc>
          <w:tcPr>
            <w:tcW w:w="424" w:type="dxa"/>
            <w:vMerge w:val="continue"/>
            <w:noWrap w:val="0"/>
            <w:vAlign w:val="center"/>
          </w:tcPr>
          <w:p w14:paraId="2E12A34D">
            <w:pPr>
              <w:pStyle w:val="563"/>
              <w:bidi w:val="0"/>
              <w:rPr>
                <w:rFonts w:hint="eastAsia"/>
                <w:b/>
                <w:bCs/>
                <w:color w:val="auto"/>
                <w:highlight w:val="none"/>
              </w:rPr>
            </w:pPr>
          </w:p>
        </w:tc>
        <w:tc>
          <w:tcPr>
            <w:tcW w:w="708" w:type="dxa"/>
            <w:vMerge w:val="continue"/>
            <w:noWrap w:val="0"/>
            <w:vAlign w:val="center"/>
          </w:tcPr>
          <w:p w14:paraId="779424F2">
            <w:pPr>
              <w:pStyle w:val="563"/>
              <w:bidi w:val="0"/>
              <w:rPr>
                <w:rFonts w:hint="eastAsia"/>
                <w:b/>
                <w:bCs/>
                <w:color w:val="auto"/>
                <w:highlight w:val="none"/>
              </w:rPr>
            </w:pPr>
          </w:p>
        </w:tc>
        <w:tc>
          <w:tcPr>
            <w:tcW w:w="750" w:type="dxa"/>
            <w:vMerge w:val="continue"/>
            <w:noWrap w:val="0"/>
            <w:vAlign w:val="center"/>
          </w:tcPr>
          <w:p w14:paraId="2422B381">
            <w:pPr>
              <w:pStyle w:val="563"/>
              <w:bidi w:val="0"/>
              <w:rPr>
                <w:rFonts w:hint="eastAsia"/>
                <w:b/>
                <w:bCs/>
                <w:color w:val="auto"/>
                <w:highlight w:val="none"/>
              </w:rPr>
            </w:pPr>
          </w:p>
        </w:tc>
        <w:tc>
          <w:tcPr>
            <w:tcW w:w="508" w:type="dxa"/>
            <w:vMerge w:val="continue"/>
            <w:noWrap w:val="0"/>
            <w:vAlign w:val="center"/>
          </w:tcPr>
          <w:p w14:paraId="62157E8B">
            <w:pPr>
              <w:pStyle w:val="563"/>
              <w:bidi w:val="0"/>
              <w:rPr>
                <w:rFonts w:hint="eastAsia"/>
                <w:b/>
                <w:bCs/>
                <w:color w:val="auto"/>
                <w:highlight w:val="none"/>
              </w:rPr>
            </w:pPr>
          </w:p>
        </w:tc>
        <w:tc>
          <w:tcPr>
            <w:tcW w:w="647" w:type="dxa"/>
            <w:vMerge w:val="continue"/>
            <w:noWrap w:val="0"/>
            <w:vAlign w:val="center"/>
          </w:tcPr>
          <w:p w14:paraId="2C6EB8D4">
            <w:pPr>
              <w:pStyle w:val="563"/>
              <w:bidi w:val="0"/>
              <w:rPr>
                <w:rFonts w:hint="eastAsia"/>
                <w:b/>
                <w:bCs/>
                <w:color w:val="auto"/>
                <w:highlight w:val="none"/>
              </w:rPr>
            </w:pPr>
          </w:p>
        </w:tc>
        <w:tc>
          <w:tcPr>
            <w:tcW w:w="1487" w:type="dxa"/>
            <w:gridSpan w:val="3"/>
            <w:vMerge w:val="continue"/>
            <w:noWrap w:val="0"/>
            <w:vAlign w:val="center"/>
          </w:tcPr>
          <w:p w14:paraId="3C1AB883">
            <w:pPr>
              <w:pStyle w:val="563"/>
              <w:bidi w:val="0"/>
              <w:rPr>
                <w:rFonts w:hint="eastAsia"/>
                <w:b/>
                <w:bCs/>
                <w:color w:val="auto"/>
                <w:highlight w:val="none"/>
              </w:rPr>
            </w:pPr>
          </w:p>
        </w:tc>
        <w:tc>
          <w:tcPr>
            <w:tcW w:w="2027" w:type="dxa"/>
            <w:gridSpan w:val="4"/>
            <w:vMerge w:val="continue"/>
            <w:noWrap w:val="0"/>
            <w:vAlign w:val="center"/>
          </w:tcPr>
          <w:p w14:paraId="70434554">
            <w:pPr>
              <w:pStyle w:val="563"/>
              <w:bidi w:val="0"/>
              <w:rPr>
                <w:rFonts w:hint="eastAsia"/>
                <w:b/>
                <w:bCs/>
                <w:color w:val="auto"/>
                <w:highlight w:val="none"/>
              </w:rPr>
            </w:pPr>
          </w:p>
        </w:tc>
        <w:tc>
          <w:tcPr>
            <w:tcW w:w="2392" w:type="dxa"/>
            <w:gridSpan w:val="4"/>
            <w:vMerge w:val="continue"/>
            <w:noWrap w:val="0"/>
            <w:vAlign w:val="center"/>
          </w:tcPr>
          <w:p w14:paraId="0F3A35DD">
            <w:pPr>
              <w:pStyle w:val="563"/>
              <w:bidi w:val="0"/>
              <w:rPr>
                <w:rFonts w:hint="eastAsia"/>
                <w:b/>
                <w:bCs/>
                <w:color w:val="auto"/>
                <w:highlight w:val="none"/>
              </w:rPr>
            </w:pPr>
          </w:p>
        </w:tc>
        <w:tc>
          <w:tcPr>
            <w:tcW w:w="659" w:type="dxa"/>
            <w:vMerge w:val="continue"/>
            <w:noWrap w:val="0"/>
            <w:vAlign w:val="center"/>
          </w:tcPr>
          <w:p w14:paraId="22BF6D94">
            <w:pPr>
              <w:pStyle w:val="563"/>
              <w:bidi w:val="0"/>
              <w:rPr>
                <w:rFonts w:hint="eastAsia"/>
                <w:b/>
                <w:bCs/>
                <w:color w:val="auto"/>
                <w:highlight w:val="none"/>
              </w:rPr>
            </w:pPr>
          </w:p>
        </w:tc>
        <w:tc>
          <w:tcPr>
            <w:tcW w:w="843" w:type="dxa"/>
            <w:vMerge w:val="continue"/>
            <w:noWrap w:val="0"/>
            <w:vAlign w:val="center"/>
          </w:tcPr>
          <w:p w14:paraId="50BF07B2">
            <w:pPr>
              <w:pStyle w:val="563"/>
              <w:bidi w:val="0"/>
              <w:rPr>
                <w:rFonts w:hint="eastAsia"/>
                <w:b/>
                <w:bCs/>
                <w:color w:val="auto"/>
                <w:highlight w:val="none"/>
              </w:rPr>
            </w:pPr>
          </w:p>
        </w:tc>
        <w:tc>
          <w:tcPr>
            <w:tcW w:w="2539" w:type="dxa"/>
            <w:gridSpan w:val="4"/>
            <w:noWrap w:val="0"/>
            <w:vAlign w:val="center"/>
          </w:tcPr>
          <w:p w14:paraId="3FEAE2A9">
            <w:pPr>
              <w:pStyle w:val="563"/>
              <w:bidi w:val="0"/>
              <w:rPr>
                <w:rFonts w:hint="eastAsia"/>
                <w:b/>
                <w:bCs/>
                <w:color w:val="auto"/>
                <w:highlight w:val="none"/>
              </w:rPr>
            </w:pPr>
            <w:r>
              <w:rPr>
                <w:rFonts w:hint="eastAsia"/>
                <w:b/>
                <w:bCs/>
                <w:color w:val="auto"/>
                <w:highlight w:val="none"/>
                <w:lang w:val="en-US" w:eastAsia="zh-CN"/>
              </w:rPr>
              <w:t>声压级</w:t>
            </w:r>
            <w:r>
              <w:rPr>
                <w:b/>
                <w:bCs/>
                <w:color w:val="auto"/>
                <w:highlight w:val="none"/>
                <w:lang w:val="en-US" w:eastAsia="zh-CN"/>
              </w:rPr>
              <w:t>dB（A）</w:t>
            </w:r>
          </w:p>
        </w:tc>
        <w:tc>
          <w:tcPr>
            <w:tcW w:w="667" w:type="dxa"/>
            <w:vMerge w:val="restart"/>
            <w:noWrap w:val="0"/>
            <w:vAlign w:val="center"/>
          </w:tcPr>
          <w:p w14:paraId="511E03A8">
            <w:pPr>
              <w:pStyle w:val="563"/>
              <w:bidi w:val="0"/>
              <w:rPr>
                <w:rFonts w:hint="eastAsia"/>
                <w:color w:val="auto"/>
                <w:highlight w:val="none"/>
              </w:rPr>
            </w:pPr>
            <w:r>
              <w:rPr>
                <w:rFonts w:hint="eastAsia"/>
                <w:b/>
                <w:bCs/>
                <w:color w:val="auto"/>
                <w:highlight w:val="none"/>
                <w:lang w:val="en-US" w:eastAsia="zh-CN"/>
              </w:rPr>
              <w:t>建筑物外距离</w:t>
            </w:r>
            <w:r>
              <w:rPr>
                <w:b/>
                <w:bCs/>
                <w:color w:val="auto"/>
                <w:highlight w:val="none"/>
                <w:lang w:val="en-US" w:eastAsia="zh-CN"/>
              </w:rPr>
              <w:t>m</w:t>
            </w:r>
          </w:p>
        </w:tc>
      </w:tr>
      <w:tr w14:paraId="7AB4E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vMerge w:val="continue"/>
            <w:noWrap w:val="0"/>
            <w:vAlign w:val="center"/>
          </w:tcPr>
          <w:p w14:paraId="7BB62121">
            <w:pPr>
              <w:pStyle w:val="563"/>
              <w:bidi w:val="0"/>
              <w:rPr>
                <w:rFonts w:hint="eastAsia"/>
                <w:b/>
                <w:bCs/>
                <w:color w:val="auto"/>
                <w:highlight w:val="none"/>
              </w:rPr>
            </w:pPr>
          </w:p>
        </w:tc>
        <w:tc>
          <w:tcPr>
            <w:tcW w:w="424" w:type="dxa"/>
            <w:vMerge w:val="continue"/>
            <w:noWrap w:val="0"/>
            <w:vAlign w:val="center"/>
          </w:tcPr>
          <w:p w14:paraId="009C7223">
            <w:pPr>
              <w:pStyle w:val="563"/>
              <w:bidi w:val="0"/>
              <w:rPr>
                <w:rFonts w:hint="eastAsia"/>
                <w:b/>
                <w:bCs/>
                <w:color w:val="auto"/>
                <w:highlight w:val="none"/>
              </w:rPr>
            </w:pPr>
          </w:p>
        </w:tc>
        <w:tc>
          <w:tcPr>
            <w:tcW w:w="708" w:type="dxa"/>
            <w:vMerge w:val="continue"/>
            <w:noWrap w:val="0"/>
            <w:vAlign w:val="center"/>
          </w:tcPr>
          <w:p w14:paraId="4CBFC9B5">
            <w:pPr>
              <w:pStyle w:val="563"/>
              <w:bidi w:val="0"/>
              <w:rPr>
                <w:rFonts w:hint="eastAsia"/>
                <w:b/>
                <w:bCs/>
                <w:color w:val="auto"/>
                <w:highlight w:val="none"/>
              </w:rPr>
            </w:pPr>
          </w:p>
        </w:tc>
        <w:tc>
          <w:tcPr>
            <w:tcW w:w="750" w:type="dxa"/>
            <w:vMerge w:val="continue"/>
            <w:noWrap w:val="0"/>
            <w:vAlign w:val="center"/>
          </w:tcPr>
          <w:p w14:paraId="3C3F19DF">
            <w:pPr>
              <w:pStyle w:val="563"/>
              <w:bidi w:val="0"/>
              <w:rPr>
                <w:rFonts w:hint="eastAsia"/>
                <w:b/>
                <w:bCs/>
                <w:color w:val="auto"/>
                <w:highlight w:val="none"/>
              </w:rPr>
            </w:pPr>
          </w:p>
        </w:tc>
        <w:tc>
          <w:tcPr>
            <w:tcW w:w="508" w:type="dxa"/>
            <w:vMerge w:val="continue"/>
            <w:noWrap w:val="0"/>
            <w:vAlign w:val="center"/>
          </w:tcPr>
          <w:p w14:paraId="474CB829">
            <w:pPr>
              <w:pStyle w:val="563"/>
              <w:bidi w:val="0"/>
              <w:rPr>
                <w:rFonts w:hint="eastAsia"/>
                <w:b/>
                <w:bCs/>
                <w:color w:val="auto"/>
                <w:highlight w:val="none"/>
              </w:rPr>
            </w:pPr>
          </w:p>
        </w:tc>
        <w:tc>
          <w:tcPr>
            <w:tcW w:w="647" w:type="dxa"/>
            <w:vMerge w:val="continue"/>
            <w:noWrap w:val="0"/>
            <w:vAlign w:val="center"/>
          </w:tcPr>
          <w:p w14:paraId="285EED04">
            <w:pPr>
              <w:pStyle w:val="563"/>
              <w:bidi w:val="0"/>
              <w:rPr>
                <w:rFonts w:hint="eastAsia"/>
                <w:b/>
                <w:bCs/>
                <w:color w:val="auto"/>
                <w:highlight w:val="none"/>
              </w:rPr>
            </w:pPr>
          </w:p>
        </w:tc>
        <w:tc>
          <w:tcPr>
            <w:tcW w:w="498" w:type="dxa"/>
            <w:noWrap w:val="0"/>
            <w:vAlign w:val="center"/>
          </w:tcPr>
          <w:p w14:paraId="464F47AC">
            <w:pPr>
              <w:pStyle w:val="563"/>
              <w:bidi w:val="0"/>
              <w:rPr>
                <w:rFonts w:hint="default"/>
                <w:b/>
                <w:bCs/>
                <w:color w:val="auto"/>
                <w:highlight w:val="none"/>
              </w:rPr>
            </w:pPr>
            <w:r>
              <w:rPr>
                <w:rFonts w:hint="default"/>
                <w:b/>
                <w:bCs/>
                <w:color w:val="auto"/>
                <w:highlight w:val="none"/>
                <w:lang w:val="en-US" w:eastAsia="zh-CN"/>
              </w:rPr>
              <w:t>X</w:t>
            </w:r>
          </w:p>
        </w:tc>
        <w:tc>
          <w:tcPr>
            <w:tcW w:w="498" w:type="dxa"/>
            <w:noWrap w:val="0"/>
            <w:vAlign w:val="center"/>
          </w:tcPr>
          <w:p w14:paraId="7D839EA7">
            <w:pPr>
              <w:pStyle w:val="563"/>
              <w:bidi w:val="0"/>
              <w:rPr>
                <w:rFonts w:hint="default"/>
                <w:b/>
                <w:bCs/>
                <w:color w:val="auto"/>
                <w:highlight w:val="none"/>
              </w:rPr>
            </w:pPr>
            <w:r>
              <w:rPr>
                <w:rFonts w:hint="default"/>
                <w:b/>
                <w:bCs/>
                <w:color w:val="auto"/>
                <w:highlight w:val="none"/>
                <w:lang w:val="en-US" w:eastAsia="zh-CN"/>
              </w:rPr>
              <w:t>Y</w:t>
            </w:r>
          </w:p>
        </w:tc>
        <w:tc>
          <w:tcPr>
            <w:tcW w:w="491" w:type="dxa"/>
            <w:noWrap w:val="0"/>
            <w:vAlign w:val="center"/>
          </w:tcPr>
          <w:p w14:paraId="233E2D90">
            <w:pPr>
              <w:pStyle w:val="563"/>
              <w:bidi w:val="0"/>
              <w:rPr>
                <w:rFonts w:hint="default"/>
                <w:b/>
                <w:bCs/>
                <w:color w:val="auto"/>
                <w:highlight w:val="none"/>
              </w:rPr>
            </w:pPr>
            <w:r>
              <w:rPr>
                <w:rFonts w:hint="default"/>
                <w:b/>
                <w:bCs/>
                <w:color w:val="auto"/>
                <w:highlight w:val="none"/>
                <w:lang w:val="en-US" w:eastAsia="zh-CN"/>
              </w:rPr>
              <w:t>Z</w:t>
            </w:r>
          </w:p>
        </w:tc>
        <w:tc>
          <w:tcPr>
            <w:tcW w:w="461" w:type="dxa"/>
            <w:noWrap w:val="0"/>
            <w:vAlign w:val="center"/>
          </w:tcPr>
          <w:p w14:paraId="38BC752A">
            <w:pPr>
              <w:pStyle w:val="563"/>
              <w:bidi w:val="0"/>
              <w:rPr>
                <w:rFonts w:hint="default"/>
                <w:b/>
                <w:bCs/>
                <w:color w:val="auto"/>
                <w:highlight w:val="none"/>
              </w:rPr>
            </w:pPr>
            <w:r>
              <w:rPr>
                <w:rFonts w:hint="default"/>
                <w:b/>
                <w:bCs/>
                <w:color w:val="auto"/>
                <w:highlight w:val="none"/>
                <w:lang w:val="en-US" w:eastAsia="zh-CN"/>
              </w:rPr>
              <w:t>E</w:t>
            </w:r>
          </w:p>
        </w:tc>
        <w:tc>
          <w:tcPr>
            <w:tcW w:w="507" w:type="dxa"/>
            <w:noWrap w:val="0"/>
            <w:vAlign w:val="center"/>
          </w:tcPr>
          <w:p w14:paraId="32820BB1">
            <w:pPr>
              <w:pStyle w:val="563"/>
              <w:bidi w:val="0"/>
              <w:rPr>
                <w:rFonts w:hint="default"/>
                <w:b/>
                <w:bCs/>
                <w:color w:val="auto"/>
                <w:highlight w:val="none"/>
              </w:rPr>
            </w:pPr>
            <w:r>
              <w:rPr>
                <w:rFonts w:hint="default"/>
                <w:b/>
                <w:bCs/>
                <w:color w:val="auto"/>
                <w:highlight w:val="none"/>
                <w:lang w:val="en-US" w:eastAsia="zh-CN"/>
              </w:rPr>
              <w:t>W</w:t>
            </w:r>
          </w:p>
        </w:tc>
        <w:tc>
          <w:tcPr>
            <w:tcW w:w="445" w:type="dxa"/>
            <w:noWrap w:val="0"/>
            <w:vAlign w:val="center"/>
          </w:tcPr>
          <w:p w14:paraId="250DCA93">
            <w:pPr>
              <w:pStyle w:val="563"/>
              <w:bidi w:val="0"/>
              <w:rPr>
                <w:rFonts w:hint="default"/>
                <w:b/>
                <w:bCs/>
                <w:color w:val="auto"/>
                <w:highlight w:val="none"/>
              </w:rPr>
            </w:pPr>
            <w:r>
              <w:rPr>
                <w:rFonts w:hint="default"/>
                <w:b/>
                <w:bCs/>
                <w:color w:val="auto"/>
                <w:highlight w:val="none"/>
                <w:lang w:val="en-US" w:eastAsia="zh-CN"/>
              </w:rPr>
              <w:t>S</w:t>
            </w:r>
          </w:p>
        </w:tc>
        <w:tc>
          <w:tcPr>
            <w:tcW w:w="614" w:type="dxa"/>
            <w:noWrap w:val="0"/>
            <w:vAlign w:val="center"/>
          </w:tcPr>
          <w:p w14:paraId="1A006679">
            <w:pPr>
              <w:pStyle w:val="563"/>
              <w:bidi w:val="0"/>
              <w:rPr>
                <w:rFonts w:hint="default"/>
                <w:b/>
                <w:bCs/>
                <w:color w:val="auto"/>
                <w:highlight w:val="none"/>
              </w:rPr>
            </w:pPr>
            <w:r>
              <w:rPr>
                <w:rFonts w:hint="default"/>
                <w:b/>
                <w:bCs/>
                <w:color w:val="auto"/>
                <w:highlight w:val="none"/>
                <w:lang w:val="en-US" w:eastAsia="zh-CN"/>
              </w:rPr>
              <w:t>N</w:t>
            </w:r>
          </w:p>
        </w:tc>
        <w:tc>
          <w:tcPr>
            <w:tcW w:w="618" w:type="dxa"/>
            <w:noWrap w:val="0"/>
            <w:vAlign w:val="center"/>
          </w:tcPr>
          <w:p w14:paraId="4B852113">
            <w:pPr>
              <w:pStyle w:val="563"/>
              <w:bidi w:val="0"/>
              <w:rPr>
                <w:rFonts w:hint="default"/>
                <w:b/>
                <w:bCs/>
                <w:color w:val="auto"/>
                <w:highlight w:val="none"/>
              </w:rPr>
            </w:pPr>
            <w:r>
              <w:rPr>
                <w:rFonts w:hint="default"/>
                <w:b/>
                <w:bCs/>
                <w:color w:val="auto"/>
                <w:highlight w:val="none"/>
                <w:lang w:val="en-US" w:eastAsia="zh-CN"/>
              </w:rPr>
              <w:t>E</w:t>
            </w:r>
          </w:p>
        </w:tc>
        <w:tc>
          <w:tcPr>
            <w:tcW w:w="532" w:type="dxa"/>
            <w:noWrap w:val="0"/>
            <w:vAlign w:val="center"/>
          </w:tcPr>
          <w:p w14:paraId="6DC316D1">
            <w:pPr>
              <w:pStyle w:val="563"/>
              <w:bidi w:val="0"/>
              <w:rPr>
                <w:rFonts w:hint="default"/>
                <w:b/>
                <w:bCs/>
                <w:color w:val="auto"/>
                <w:highlight w:val="none"/>
              </w:rPr>
            </w:pPr>
            <w:r>
              <w:rPr>
                <w:rFonts w:hint="default"/>
                <w:b/>
                <w:bCs/>
                <w:color w:val="auto"/>
                <w:highlight w:val="none"/>
                <w:lang w:val="en-US" w:eastAsia="zh-CN"/>
              </w:rPr>
              <w:t>W</w:t>
            </w:r>
          </w:p>
        </w:tc>
        <w:tc>
          <w:tcPr>
            <w:tcW w:w="618" w:type="dxa"/>
            <w:noWrap w:val="0"/>
            <w:vAlign w:val="center"/>
          </w:tcPr>
          <w:p w14:paraId="323D29FB">
            <w:pPr>
              <w:pStyle w:val="563"/>
              <w:bidi w:val="0"/>
              <w:rPr>
                <w:rFonts w:hint="default"/>
                <w:b/>
                <w:bCs/>
                <w:color w:val="auto"/>
                <w:highlight w:val="none"/>
              </w:rPr>
            </w:pPr>
            <w:r>
              <w:rPr>
                <w:rFonts w:hint="default"/>
                <w:b/>
                <w:bCs/>
                <w:color w:val="auto"/>
                <w:highlight w:val="none"/>
                <w:lang w:val="en-US" w:eastAsia="zh-CN"/>
              </w:rPr>
              <w:t>S</w:t>
            </w:r>
          </w:p>
        </w:tc>
        <w:tc>
          <w:tcPr>
            <w:tcW w:w="624" w:type="dxa"/>
            <w:noWrap w:val="0"/>
            <w:vAlign w:val="center"/>
          </w:tcPr>
          <w:p w14:paraId="71F2D0EE">
            <w:pPr>
              <w:pStyle w:val="563"/>
              <w:bidi w:val="0"/>
              <w:rPr>
                <w:rFonts w:hint="default"/>
                <w:b/>
                <w:bCs/>
                <w:color w:val="auto"/>
                <w:highlight w:val="none"/>
              </w:rPr>
            </w:pPr>
            <w:r>
              <w:rPr>
                <w:rFonts w:hint="default"/>
                <w:b/>
                <w:bCs/>
                <w:color w:val="auto"/>
                <w:highlight w:val="none"/>
                <w:lang w:val="en-US" w:eastAsia="zh-CN"/>
              </w:rPr>
              <w:t>N</w:t>
            </w:r>
          </w:p>
        </w:tc>
        <w:tc>
          <w:tcPr>
            <w:tcW w:w="659" w:type="dxa"/>
            <w:vMerge w:val="continue"/>
            <w:noWrap w:val="0"/>
            <w:vAlign w:val="center"/>
          </w:tcPr>
          <w:p w14:paraId="2F3185C4">
            <w:pPr>
              <w:pStyle w:val="563"/>
              <w:bidi w:val="0"/>
              <w:rPr>
                <w:rFonts w:hint="eastAsia"/>
                <w:b/>
                <w:bCs/>
                <w:color w:val="auto"/>
                <w:highlight w:val="none"/>
              </w:rPr>
            </w:pPr>
          </w:p>
        </w:tc>
        <w:tc>
          <w:tcPr>
            <w:tcW w:w="843" w:type="dxa"/>
            <w:vMerge w:val="continue"/>
            <w:noWrap w:val="0"/>
            <w:vAlign w:val="center"/>
          </w:tcPr>
          <w:p w14:paraId="5108928B">
            <w:pPr>
              <w:pStyle w:val="563"/>
              <w:bidi w:val="0"/>
              <w:rPr>
                <w:rFonts w:hint="eastAsia"/>
                <w:b/>
                <w:bCs/>
                <w:color w:val="auto"/>
                <w:highlight w:val="none"/>
              </w:rPr>
            </w:pPr>
          </w:p>
        </w:tc>
        <w:tc>
          <w:tcPr>
            <w:tcW w:w="624" w:type="dxa"/>
            <w:noWrap w:val="0"/>
            <w:vAlign w:val="center"/>
          </w:tcPr>
          <w:p w14:paraId="124B1AFE">
            <w:pPr>
              <w:pStyle w:val="563"/>
              <w:bidi w:val="0"/>
              <w:rPr>
                <w:rFonts w:hint="default"/>
                <w:b/>
                <w:bCs/>
                <w:color w:val="auto"/>
                <w:highlight w:val="none"/>
              </w:rPr>
            </w:pPr>
            <w:r>
              <w:rPr>
                <w:rFonts w:hint="default"/>
                <w:b/>
                <w:bCs/>
                <w:color w:val="auto"/>
                <w:highlight w:val="none"/>
                <w:lang w:val="en-US" w:eastAsia="zh-CN"/>
              </w:rPr>
              <w:t>E</w:t>
            </w:r>
          </w:p>
        </w:tc>
        <w:tc>
          <w:tcPr>
            <w:tcW w:w="659" w:type="dxa"/>
            <w:noWrap w:val="0"/>
            <w:vAlign w:val="center"/>
          </w:tcPr>
          <w:p w14:paraId="258817FF">
            <w:pPr>
              <w:pStyle w:val="563"/>
              <w:bidi w:val="0"/>
              <w:rPr>
                <w:rFonts w:hint="default"/>
                <w:b/>
                <w:bCs/>
                <w:color w:val="auto"/>
                <w:highlight w:val="none"/>
              </w:rPr>
            </w:pPr>
            <w:r>
              <w:rPr>
                <w:rFonts w:hint="default"/>
                <w:b/>
                <w:bCs/>
                <w:color w:val="auto"/>
                <w:highlight w:val="none"/>
                <w:lang w:val="en-US" w:eastAsia="zh-CN"/>
              </w:rPr>
              <w:t>W</w:t>
            </w:r>
          </w:p>
        </w:tc>
        <w:tc>
          <w:tcPr>
            <w:tcW w:w="624" w:type="dxa"/>
            <w:noWrap w:val="0"/>
            <w:vAlign w:val="center"/>
          </w:tcPr>
          <w:p w14:paraId="4D430FDF">
            <w:pPr>
              <w:pStyle w:val="563"/>
              <w:bidi w:val="0"/>
              <w:rPr>
                <w:rFonts w:hint="default"/>
                <w:b/>
                <w:bCs/>
                <w:color w:val="auto"/>
                <w:highlight w:val="none"/>
              </w:rPr>
            </w:pPr>
            <w:r>
              <w:rPr>
                <w:rFonts w:hint="default"/>
                <w:b/>
                <w:bCs/>
                <w:color w:val="auto"/>
                <w:highlight w:val="none"/>
                <w:lang w:val="en-US" w:eastAsia="zh-CN"/>
              </w:rPr>
              <w:t>S</w:t>
            </w:r>
          </w:p>
        </w:tc>
        <w:tc>
          <w:tcPr>
            <w:tcW w:w="632" w:type="dxa"/>
            <w:noWrap w:val="0"/>
            <w:vAlign w:val="center"/>
          </w:tcPr>
          <w:p w14:paraId="555710BD">
            <w:pPr>
              <w:pStyle w:val="563"/>
              <w:bidi w:val="0"/>
              <w:rPr>
                <w:rFonts w:hint="default"/>
                <w:b/>
                <w:bCs/>
                <w:color w:val="auto"/>
                <w:highlight w:val="none"/>
              </w:rPr>
            </w:pPr>
            <w:r>
              <w:rPr>
                <w:rFonts w:hint="default"/>
                <w:b/>
                <w:bCs/>
                <w:color w:val="auto"/>
                <w:highlight w:val="none"/>
                <w:lang w:val="en-US" w:eastAsia="zh-CN"/>
              </w:rPr>
              <w:t>N</w:t>
            </w:r>
          </w:p>
        </w:tc>
        <w:tc>
          <w:tcPr>
            <w:tcW w:w="667" w:type="dxa"/>
            <w:vMerge w:val="continue"/>
            <w:noWrap w:val="0"/>
            <w:vAlign w:val="center"/>
          </w:tcPr>
          <w:p w14:paraId="7AE17086">
            <w:pPr>
              <w:pStyle w:val="563"/>
              <w:bidi w:val="0"/>
              <w:rPr>
                <w:rFonts w:hint="eastAsia"/>
                <w:color w:val="auto"/>
                <w:highlight w:val="none"/>
              </w:rPr>
            </w:pPr>
          </w:p>
        </w:tc>
      </w:tr>
      <w:tr w14:paraId="5F40E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4B6A9239">
            <w:pPr>
              <w:pStyle w:val="563"/>
              <w:bidi w:val="0"/>
              <w:rPr>
                <w:rFonts w:hint="default"/>
                <w:color w:val="auto"/>
                <w:highlight w:val="none"/>
              </w:rPr>
            </w:pPr>
            <w:r>
              <w:rPr>
                <w:rFonts w:hint="default"/>
                <w:color w:val="auto"/>
                <w:highlight w:val="none"/>
                <w:lang w:val="en-US" w:eastAsia="zh-CN"/>
              </w:rPr>
              <w:t>1</w:t>
            </w:r>
          </w:p>
        </w:tc>
        <w:tc>
          <w:tcPr>
            <w:tcW w:w="424" w:type="dxa"/>
            <w:vMerge w:val="restart"/>
            <w:noWrap w:val="0"/>
            <w:vAlign w:val="center"/>
          </w:tcPr>
          <w:p w14:paraId="7804CB09">
            <w:pPr>
              <w:pStyle w:val="563"/>
              <w:bidi w:val="0"/>
              <w:rPr>
                <w:rFonts w:hint="eastAsia"/>
                <w:color w:val="auto"/>
                <w:highlight w:val="none"/>
              </w:rPr>
            </w:pPr>
            <w:r>
              <w:rPr>
                <w:rFonts w:hint="eastAsia"/>
                <w:color w:val="auto"/>
                <w:highlight w:val="none"/>
                <w:lang w:val="en-US" w:eastAsia="zh-CN"/>
              </w:rPr>
              <w:t>站区内</w:t>
            </w:r>
          </w:p>
        </w:tc>
        <w:tc>
          <w:tcPr>
            <w:tcW w:w="708" w:type="dxa"/>
            <w:noWrap w:val="0"/>
            <w:vAlign w:val="center"/>
          </w:tcPr>
          <w:p w14:paraId="711BF141">
            <w:pPr>
              <w:pStyle w:val="563"/>
              <w:bidi w:val="0"/>
              <w:rPr>
                <w:rFonts w:hint="eastAsia"/>
                <w:color w:val="auto"/>
                <w:highlight w:val="none"/>
              </w:rPr>
            </w:pPr>
            <w:r>
              <w:rPr>
                <w:rFonts w:hint="eastAsia"/>
                <w:color w:val="auto"/>
                <w:highlight w:val="none"/>
                <w:lang w:val="en-US" w:eastAsia="zh-CN"/>
              </w:rPr>
              <w:t>撬装式制氢设备（含风机）</w:t>
            </w:r>
          </w:p>
        </w:tc>
        <w:tc>
          <w:tcPr>
            <w:tcW w:w="750" w:type="dxa"/>
            <w:noWrap w:val="0"/>
            <w:vAlign w:val="center"/>
          </w:tcPr>
          <w:p w14:paraId="18FAEA40">
            <w:pPr>
              <w:pStyle w:val="563"/>
              <w:bidi w:val="0"/>
              <w:rPr>
                <w:rFonts w:hint="default"/>
                <w:color w:val="auto"/>
                <w:highlight w:val="none"/>
              </w:rPr>
            </w:pPr>
            <w:r>
              <w:rPr>
                <w:rFonts w:hint="default"/>
                <w:color w:val="auto"/>
                <w:highlight w:val="none"/>
                <w:lang w:val="en-US" w:eastAsia="zh-CN"/>
              </w:rPr>
              <w:t>80</w:t>
            </w:r>
          </w:p>
        </w:tc>
        <w:tc>
          <w:tcPr>
            <w:tcW w:w="0" w:type="auto"/>
            <w:noWrap/>
            <w:vAlign w:val="center"/>
          </w:tcPr>
          <w:p w14:paraId="5165538C">
            <w:pPr>
              <w:pStyle w:val="563"/>
              <w:bidi w:val="0"/>
              <w:rPr>
                <w:rFonts w:hint="default"/>
                <w:color w:val="auto"/>
                <w:highlight w:val="none"/>
              </w:rPr>
            </w:pPr>
            <w:r>
              <w:rPr>
                <w:rFonts w:hint="default"/>
                <w:color w:val="auto"/>
                <w:highlight w:val="none"/>
                <w:lang w:val="en-US" w:eastAsia="zh-CN"/>
              </w:rPr>
              <w:t>3</w:t>
            </w:r>
          </w:p>
        </w:tc>
        <w:tc>
          <w:tcPr>
            <w:tcW w:w="647" w:type="dxa"/>
            <w:vMerge w:val="restart"/>
            <w:noWrap w:val="0"/>
            <w:vAlign w:val="center"/>
          </w:tcPr>
          <w:p w14:paraId="2F996976">
            <w:pPr>
              <w:pStyle w:val="563"/>
              <w:bidi w:val="0"/>
              <w:rPr>
                <w:rFonts w:hint="eastAsia"/>
                <w:color w:val="auto"/>
                <w:highlight w:val="none"/>
              </w:rPr>
            </w:pPr>
            <w:r>
              <w:rPr>
                <w:rFonts w:hint="eastAsia"/>
                <w:color w:val="auto"/>
                <w:highlight w:val="none"/>
                <w:lang w:val="en-US" w:eastAsia="zh-CN"/>
              </w:rPr>
              <w:t>选用低噪声设备，厂房隔声等措施</w:t>
            </w:r>
          </w:p>
        </w:tc>
        <w:tc>
          <w:tcPr>
            <w:tcW w:w="498" w:type="dxa"/>
            <w:noWrap w:val="0"/>
            <w:vAlign w:val="center"/>
          </w:tcPr>
          <w:p w14:paraId="389E9150">
            <w:pPr>
              <w:pStyle w:val="563"/>
              <w:bidi w:val="0"/>
              <w:rPr>
                <w:rFonts w:hint="default"/>
                <w:color w:val="auto"/>
                <w:highlight w:val="none"/>
              </w:rPr>
            </w:pPr>
            <w:r>
              <w:rPr>
                <w:rFonts w:hint="default"/>
                <w:color w:val="auto"/>
                <w:highlight w:val="none"/>
                <w:lang w:val="en-US" w:eastAsia="zh-CN"/>
              </w:rPr>
              <w:t>120</w:t>
            </w:r>
          </w:p>
        </w:tc>
        <w:tc>
          <w:tcPr>
            <w:tcW w:w="498" w:type="dxa"/>
            <w:noWrap w:val="0"/>
            <w:vAlign w:val="center"/>
          </w:tcPr>
          <w:p w14:paraId="415E1AEA">
            <w:pPr>
              <w:pStyle w:val="563"/>
              <w:bidi w:val="0"/>
              <w:rPr>
                <w:rFonts w:hint="default"/>
                <w:color w:val="auto"/>
                <w:highlight w:val="none"/>
              </w:rPr>
            </w:pPr>
            <w:r>
              <w:rPr>
                <w:rFonts w:hint="default"/>
                <w:color w:val="auto"/>
                <w:highlight w:val="none"/>
                <w:lang w:val="en-US" w:eastAsia="zh-CN"/>
              </w:rPr>
              <w:t>35</w:t>
            </w:r>
          </w:p>
        </w:tc>
        <w:tc>
          <w:tcPr>
            <w:tcW w:w="491" w:type="dxa"/>
            <w:noWrap w:val="0"/>
            <w:vAlign w:val="center"/>
          </w:tcPr>
          <w:p w14:paraId="3DC8139D">
            <w:pPr>
              <w:pStyle w:val="563"/>
              <w:bidi w:val="0"/>
              <w:rPr>
                <w:rFonts w:hint="default"/>
                <w:color w:val="auto"/>
                <w:highlight w:val="none"/>
              </w:rPr>
            </w:pPr>
            <w:r>
              <w:rPr>
                <w:rFonts w:hint="default"/>
                <w:color w:val="auto"/>
                <w:highlight w:val="none"/>
                <w:lang w:val="en-US" w:eastAsia="zh-CN"/>
              </w:rPr>
              <w:t>5</w:t>
            </w:r>
          </w:p>
        </w:tc>
        <w:tc>
          <w:tcPr>
            <w:tcW w:w="461" w:type="dxa"/>
            <w:noWrap w:val="0"/>
            <w:vAlign w:val="center"/>
          </w:tcPr>
          <w:p w14:paraId="3AAF300F">
            <w:pPr>
              <w:pStyle w:val="563"/>
              <w:bidi w:val="0"/>
              <w:rPr>
                <w:rFonts w:hint="default"/>
                <w:color w:val="auto"/>
                <w:highlight w:val="none"/>
              </w:rPr>
            </w:pPr>
            <w:r>
              <w:rPr>
                <w:rFonts w:hint="default"/>
                <w:color w:val="auto"/>
                <w:highlight w:val="none"/>
                <w:lang w:val="en-US" w:eastAsia="zh-CN"/>
              </w:rPr>
              <w:t>32</w:t>
            </w:r>
          </w:p>
        </w:tc>
        <w:tc>
          <w:tcPr>
            <w:tcW w:w="507" w:type="dxa"/>
            <w:noWrap w:val="0"/>
            <w:vAlign w:val="center"/>
          </w:tcPr>
          <w:p w14:paraId="4893600C">
            <w:pPr>
              <w:pStyle w:val="563"/>
              <w:bidi w:val="0"/>
              <w:rPr>
                <w:rFonts w:hint="default"/>
                <w:color w:val="auto"/>
                <w:highlight w:val="none"/>
              </w:rPr>
            </w:pPr>
            <w:r>
              <w:rPr>
                <w:rFonts w:hint="default"/>
                <w:color w:val="auto"/>
                <w:highlight w:val="none"/>
                <w:lang w:val="en-US" w:eastAsia="zh-CN"/>
              </w:rPr>
              <w:t>120</w:t>
            </w:r>
          </w:p>
        </w:tc>
        <w:tc>
          <w:tcPr>
            <w:tcW w:w="445" w:type="dxa"/>
            <w:noWrap w:val="0"/>
            <w:vAlign w:val="center"/>
          </w:tcPr>
          <w:p w14:paraId="4ED211F0">
            <w:pPr>
              <w:pStyle w:val="563"/>
              <w:bidi w:val="0"/>
              <w:rPr>
                <w:rFonts w:hint="default"/>
                <w:color w:val="auto"/>
                <w:highlight w:val="none"/>
              </w:rPr>
            </w:pPr>
            <w:r>
              <w:rPr>
                <w:rFonts w:hint="default"/>
                <w:color w:val="auto"/>
                <w:highlight w:val="none"/>
                <w:lang w:val="en-US" w:eastAsia="zh-CN"/>
              </w:rPr>
              <w:t>35</w:t>
            </w:r>
          </w:p>
        </w:tc>
        <w:tc>
          <w:tcPr>
            <w:tcW w:w="614" w:type="dxa"/>
            <w:noWrap w:val="0"/>
            <w:vAlign w:val="center"/>
          </w:tcPr>
          <w:p w14:paraId="5E23BD0F">
            <w:pPr>
              <w:pStyle w:val="563"/>
              <w:bidi w:val="0"/>
              <w:rPr>
                <w:rFonts w:hint="default"/>
                <w:color w:val="auto"/>
                <w:highlight w:val="none"/>
              </w:rPr>
            </w:pPr>
            <w:r>
              <w:rPr>
                <w:rFonts w:hint="default"/>
                <w:color w:val="auto"/>
                <w:highlight w:val="none"/>
                <w:lang w:val="en-US" w:eastAsia="zh-CN"/>
              </w:rPr>
              <w:t>82</w:t>
            </w:r>
          </w:p>
        </w:tc>
        <w:tc>
          <w:tcPr>
            <w:tcW w:w="618" w:type="dxa"/>
            <w:noWrap w:val="0"/>
            <w:vAlign w:val="center"/>
          </w:tcPr>
          <w:p w14:paraId="2B5D4969">
            <w:pPr>
              <w:pStyle w:val="563"/>
              <w:bidi w:val="0"/>
              <w:rPr>
                <w:rFonts w:hint="default"/>
                <w:color w:val="auto"/>
                <w:highlight w:val="none"/>
              </w:rPr>
            </w:pPr>
            <w:r>
              <w:rPr>
                <w:rFonts w:hint="default"/>
                <w:color w:val="auto"/>
                <w:highlight w:val="none"/>
                <w:lang w:val="en-US" w:eastAsia="zh-CN"/>
              </w:rPr>
              <w:t>54.7</w:t>
            </w:r>
          </w:p>
        </w:tc>
        <w:tc>
          <w:tcPr>
            <w:tcW w:w="532" w:type="dxa"/>
            <w:noWrap w:val="0"/>
            <w:vAlign w:val="center"/>
          </w:tcPr>
          <w:p w14:paraId="446A6CE7">
            <w:pPr>
              <w:pStyle w:val="563"/>
              <w:bidi w:val="0"/>
              <w:rPr>
                <w:rFonts w:hint="default"/>
                <w:color w:val="auto"/>
                <w:highlight w:val="none"/>
              </w:rPr>
            </w:pPr>
            <w:r>
              <w:rPr>
                <w:rFonts w:hint="default"/>
                <w:color w:val="auto"/>
                <w:highlight w:val="none"/>
                <w:lang w:val="en-US" w:eastAsia="zh-CN"/>
              </w:rPr>
              <w:t>43.2</w:t>
            </w:r>
          </w:p>
        </w:tc>
        <w:tc>
          <w:tcPr>
            <w:tcW w:w="618" w:type="dxa"/>
            <w:noWrap w:val="0"/>
            <w:vAlign w:val="center"/>
          </w:tcPr>
          <w:p w14:paraId="5B46B790">
            <w:pPr>
              <w:pStyle w:val="563"/>
              <w:bidi w:val="0"/>
              <w:rPr>
                <w:rFonts w:hint="default"/>
                <w:color w:val="auto"/>
                <w:highlight w:val="none"/>
              </w:rPr>
            </w:pPr>
            <w:r>
              <w:rPr>
                <w:rFonts w:hint="default"/>
                <w:color w:val="auto"/>
                <w:highlight w:val="none"/>
                <w:lang w:val="en-US" w:eastAsia="zh-CN"/>
              </w:rPr>
              <w:t>53.9</w:t>
            </w:r>
          </w:p>
        </w:tc>
        <w:tc>
          <w:tcPr>
            <w:tcW w:w="624" w:type="dxa"/>
            <w:noWrap w:val="0"/>
            <w:vAlign w:val="center"/>
          </w:tcPr>
          <w:p w14:paraId="287FE872">
            <w:pPr>
              <w:pStyle w:val="563"/>
              <w:bidi w:val="0"/>
              <w:rPr>
                <w:rFonts w:hint="default"/>
                <w:color w:val="auto"/>
                <w:highlight w:val="none"/>
              </w:rPr>
            </w:pPr>
            <w:r>
              <w:rPr>
                <w:rFonts w:hint="default"/>
                <w:color w:val="auto"/>
                <w:highlight w:val="none"/>
                <w:lang w:val="en-US" w:eastAsia="zh-CN"/>
              </w:rPr>
              <w:t>46.5</w:t>
            </w:r>
          </w:p>
        </w:tc>
        <w:tc>
          <w:tcPr>
            <w:tcW w:w="659" w:type="dxa"/>
            <w:vMerge w:val="restart"/>
            <w:noWrap w:val="0"/>
            <w:vAlign w:val="center"/>
          </w:tcPr>
          <w:p w14:paraId="25CAC53E">
            <w:pPr>
              <w:pStyle w:val="563"/>
              <w:bidi w:val="0"/>
              <w:rPr>
                <w:rFonts w:hint="eastAsia"/>
                <w:color w:val="auto"/>
                <w:highlight w:val="none"/>
              </w:rPr>
            </w:pPr>
            <w:r>
              <w:rPr>
                <w:rFonts w:hint="eastAsia"/>
                <w:color w:val="auto"/>
                <w:highlight w:val="none"/>
                <w:lang w:val="en-US" w:eastAsia="zh-CN"/>
              </w:rPr>
              <w:t>昼夜间断运行</w:t>
            </w:r>
          </w:p>
        </w:tc>
        <w:tc>
          <w:tcPr>
            <w:tcW w:w="843" w:type="dxa"/>
            <w:noWrap w:val="0"/>
            <w:vAlign w:val="center"/>
          </w:tcPr>
          <w:p w14:paraId="159B6B36">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7FD34F76">
            <w:pPr>
              <w:pStyle w:val="563"/>
              <w:bidi w:val="0"/>
              <w:rPr>
                <w:rFonts w:hint="default"/>
                <w:color w:val="auto"/>
                <w:highlight w:val="none"/>
              </w:rPr>
            </w:pPr>
            <w:r>
              <w:rPr>
                <w:rFonts w:hint="default"/>
                <w:color w:val="auto"/>
                <w:highlight w:val="none"/>
                <w:lang w:val="en-US" w:eastAsia="zh-CN"/>
              </w:rPr>
              <w:t>39.7</w:t>
            </w:r>
          </w:p>
        </w:tc>
        <w:tc>
          <w:tcPr>
            <w:tcW w:w="659" w:type="dxa"/>
            <w:noWrap w:val="0"/>
            <w:vAlign w:val="center"/>
          </w:tcPr>
          <w:p w14:paraId="7E726EC5">
            <w:pPr>
              <w:pStyle w:val="563"/>
              <w:bidi w:val="0"/>
              <w:rPr>
                <w:rFonts w:hint="default"/>
                <w:color w:val="auto"/>
                <w:highlight w:val="none"/>
              </w:rPr>
            </w:pPr>
            <w:r>
              <w:rPr>
                <w:rFonts w:hint="default"/>
                <w:color w:val="auto"/>
                <w:highlight w:val="none"/>
                <w:lang w:val="en-US" w:eastAsia="zh-CN"/>
              </w:rPr>
              <w:t>28.2</w:t>
            </w:r>
          </w:p>
        </w:tc>
        <w:tc>
          <w:tcPr>
            <w:tcW w:w="624" w:type="dxa"/>
            <w:noWrap w:val="0"/>
            <w:vAlign w:val="center"/>
          </w:tcPr>
          <w:p w14:paraId="4A00145C">
            <w:pPr>
              <w:pStyle w:val="563"/>
              <w:bidi w:val="0"/>
              <w:rPr>
                <w:rFonts w:hint="default"/>
                <w:color w:val="auto"/>
                <w:highlight w:val="none"/>
              </w:rPr>
            </w:pPr>
            <w:r>
              <w:rPr>
                <w:rFonts w:hint="default"/>
                <w:color w:val="auto"/>
                <w:highlight w:val="none"/>
                <w:lang w:val="en-US" w:eastAsia="zh-CN"/>
              </w:rPr>
              <w:t>38.9</w:t>
            </w:r>
          </w:p>
        </w:tc>
        <w:tc>
          <w:tcPr>
            <w:tcW w:w="632" w:type="dxa"/>
            <w:noWrap w:val="0"/>
            <w:vAlign w:val="center"/>
          </w:tcPr>
          <w:p w14:paraId="73B442DD">
            <w:pPr>
              <w:pStyle w:val="563"/>
              <w:bidi w:val="0"/>
              <w:rPr>
                <w:rFonts w:hint="default"/>
                <w:color w:val="auto"/>
                <w:highlight w:val="none"/>
              </w:rPr>
            </w:pPr>
            <w:r>
              <w:rPr>
                <w:rFonts w:hint="default"/>
                <w:color w:val="auto"/>
                <w:highlight w:val="none"/>
                <w:lang w:val="en-US" w:eastAsia="zh-CN"/>
              </w:rPr>
              <w:t>31.5</w:t>
            </w:r>
          </w:p>
        </w:tc>
        <w:tc>
          <w:tcPr>
            <w:tcW w:w="667" w:type="dxa"/>
            <w:noWrap w:val="0"/>
            <w:vAlign w:val="center"/>
          </w:tcPr>
          <w:p w14:paraId="2A4014AE">
            <w:pPr>
              <w:pStyle w:val="563"/>
              <w:bidi w:val="0"/>
              <w:rPr>
                <w:rFonts w:hint="default"/>
                <w:color w:val="auto"/>
                <w:highlight w:val="none"/>
              </w:rPr>
            </w:pPr>
            <w:r>
              <w:rPr>
                <w:rFonts w:hint="default"/>
                <w:color w:val="auto"/>
                <w:highlight w:val="none"/>
                <w:lang w:val="en-US" w:eastAsia="zh-CN"/>
              </w:rPr>
              <w:t>1</w:t>
            </w:r>
          </w:p>
        </w:tc>
      </w:tr>
      <w:tr w14:paraId="2B497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637D0DCF">
            <w:pPr>
              <w:pStyle w:val="563"/>
              <w:bidi w:val="0"/>
              <w:rPr>
                <w:rFonts w:hint="default"/>
                <w:color w:val="auto"/>
                <w:highlight w:val="none"/>
              </w:rPr>
            </w:pPr>
            <w:r>
              <w:rPr>
                <w:rFonts w:hint="default"/>
                <w:color w:val="auto"/>
                <w:highlight w:val="none"/>
                <w:lang w:val="en-US" w:eastAsia="zh-CN"/>
              </w:rPr>
              <w:t>2</w:t>
            </w:r>
          </w:p>
        </w:tc>
        <w:tc>
          <w:tcPr>
            <w:tcW w:w="424" w:type="dxa"/>
            <w:vMerge w:val="continue"/>
            <w:noWrap w:val="0"/>
            <w:vAlign w:val="center"/>
          </w:tcPr>
          <w:p w14:paraId="03B97CF3">
            <w:pPr>
              <w:pStyle w:val="563"/>
              <w:bidi w:val="0"/>
              <w:rPr>
                <w:rFonts w:hint="eastAsia"/>
                <w:color w:val="auto"/>
                <w:highlight w:val="none"/>
              </w:rPr>
            </w:pPr>
          </w:p>
        </w:tc>
        <w:tc>
          <w:tcPr>
            <w:tcW w:w="708" w:type="dxa"/>
            <w:noWrap w:val="0"/>
            <w:vAlign w:val="center"/>
          </w:tcPr>
          <w:p w14:paraId="15ECCF2C">
            <w:pPr>
              <w:pStyle w:val="563"/>
              <w:bidi w:val="0"/>
              <w:rPr>
                <w:rFonts w:hint="eastAsia"/>
                <w:color w:val="auto"/>
                <w:highlight w:val="none"/>
              </w:rPr>
            </w:pPr>
            <w:r>
              <w:rPr>
                <w:rFonts w:hint="eastAsia"/>
                <w:color w:val="auto"/>
                <w:highlight w:val="none"/>
                <w:lang w:val="en-US" w:eastAsia="zh-CN"/>
              </w:rPr>
              <w:t>氢气压缩机</w:t>
            </w:r>
          </w:p>
        </w:tc>
        <w:tc>
          <w:tcPr>
            <w:tcW w:w="750" w:type="dxa"/>
            <w:noWrap w:val="0"/>
            <w:vAlign w:val="center"/>
          </w:tcPr>
          <w:p w14:paraId="20ED304D">
            <w:pPr>
              <w:pStyle w:val="563"/>
              <w:bidi w:val="0"/>
              <w:rPr>
                <w:rFonts w:hint="default"/>
                <w:color w:val="auto"/>
                <w:highlight w:val="none"/>
              </w:rPr>
            </w:pPr>
            <w:r>
              <w:rPr>
                <w:rFonts w:hint="default"/>
                <w:color w:val="auto"/>
                <w:highlight w:val="none"/>
                <w:lang w:val="en-US" w:eastAsia="zh-CN"/>
              </w:rPr>
              <w:t>75</w:t>
            </w:r>
          </w:p>
        </w:tc>
        <w:tc>
          <w:tcPr>
            <w:tcW w:w="0" w:type="auto"/>
            <w:noWrap/>
            <w:vAlign w:val="center"/>
          </w:tcPr>
          <w:p w14:paraId="2C63EDB3">
            <w:pPr>
              <w:pStyle w:val="563"/>
              <w:bidi w:val="0"/>
              <w:rPr>
                <w:rFonts w:hint="default"/>
                <w:color w:val="auto"/>
                <w:highlight w:val="none"/>
              </w:rPr>
            </w:pPr>
            <w:r>
              <w:rPr>
                <w:rFonts w:hint="default"/>
                <w:color w:val="auto"/>
                <w:highlight w:val="none"/>
                <w:lang w:val="en-US" w:eastAsia="zh-CN"/>
              </w:rPr>
              <w:t>7</w:t>
            </w:r>
          </w:p>
        </w:tc>
        <w:tc>
          <w:tcPr>
            <w:tcW w:w="647" w:type="dxa"/>
            <w:vMerge w:val="continue"/>
            <w:noWrap w:val="0"/>
            <w:vAlign w:val="center"/>
          </w:tcPr>
          <w:p w14:paraId="77D1733B">
            <w:pPr>
              <w:pStyle w:val="563"/>
              <w:bidi w:val="0"/>
              <w:rPr>
                <w:rFonts w:hint="eastAsia"/>
                <w:color w:val="auto"/>
                <w:highlight w:val="none"/>
              </w:rPr>
            </w:pPr>
          </w:p>
        </w:tc>
        <w:tc>
          <w:tcPr>
            <w:tcW w:w="498" w:type="dxa"/>
            <w:noWrap w:val="0"/>
            <w:vAlign w:val="center"/>
          </w:tcPr>
          <w:p w14:paraId="36E706C9">
            <w:pPr>
              <w:pStyle w:val="563"/>
              <w:bidi w:val="0"/>
              <w:rPr>
                <w:rFonts w:hint="default"/>
                <w:color w:val="auto"/>
                <w:highlight w:val="none"/>
              </w:rPr>
            </w:pPr>
            <w:r>
              <w:rPr>
                <w:rFonts w:hint="default"/>
                <w:color w:val="auto"/>
                <w:highlight w:val="none"/>
                <w:lang w:val="en-US" w:eastAsia="zh-CN"/>
              </w:rPr>
              <w:t>115</w:t>
            </w:r>
          </w:p>
        </w:tc>
        <w:tc>
          <w:tcPr>
            <w:tcW w:w="498" w:type="dxa"/>
            <w:noWrap w:val="0"/>
            <w:vAlign w:val="center"/>
          </w:tcPr>
          <w:p w14:paraId="7BBAADFE">
            <w:pPr>
              <w:pStyle w:val="563"/>
              <w:bidi w:val="0"/>
              <w:rPr>
                <w:rFonts w:hint="default"/>
                <w:color w:val="auto"/>
                <w:highlight w:val="none"/>
              </w:rPr>
            </w:pPr>
            <w:r>
              <w:rPr>
                <w:rFonts w:hint="default"/>
                <w:color w:val="auto"/>
                <w:highlight w:val="none"/>
                <w:lang w:val="en-US" w:eastAsia="zh-CN"/>
              </w:rPr>
              <w:t>20</w:t>
            </w:r>
          </w:p>
        </w:tc>
        <w:tc>
          <w:tcPr>
            <w:tcW w:w="491" w:type="dxa"/>
            <w:noWrap w:val="0"/>
            <w:vAlign w:val="center"/>
          </w:tcPr>
          <w:p w14:paraId="368EE20D">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1C6D9387">
            <w:pPr>
              <w:pStyle w:val="563"/>
              <w:bidi w:val="0"/>
              <w:rPr>
                <w:rFonts w:hint="default"/>
                <w:color w:val="auto"/>
                <w:highlight w:val="none"/>
              </w:rPr>
            </w:pPr>
            <w:r>
              <w:rPr>
                <w:rFonts w:hint="default"/>
                <w:color w:val="auto"/>
                <w:highlight w:val="none"/>
                <w:lang w:val="en-US" w:eastAsia="zh-CN"/>
              </w:rPr>
              <w:t>37</w:t>
            </w:r>
          </w:p>
        </w:tc>
        <w:tc>
          <w:tcPr>
            <w:tcW w:w="507" w:type="dxa"/>
            <w:noWrap w:val="0"/>
            <w:vAlign w:val="center"/>
          </w:tcPr>
          <w:p w14:paraId="0D2D09AC">
            <w:pPr>
              <w:pStyle w:val="563"/>
              <w:bidi w:val="0"/>
              <w:rPr>
                <w:rFonts w:hint="default"/>
                <w:color w:val="auto"/>
                <w:highlight w:val="none"/>
              </w:rPr>
            </w:pPr>
            <w:r>
              <w:rPr>
                <w:rFonts w:hint="default"/>
                <w:color w:val="auto"/>
                <w:highlight w:val="none"/>
                <w:lang w:val="en-US" w:eastAsia="zh-CN"/>
              </w:rPr>
              <w:t>115</w:t>
            </w:r>
          </w:p>
        </w:tc>
        <w:tc>
          <w:tcPr>
            <w:tcW w:w="445" w:type="dxa"/>
            <w:noWrap w:val="0"/>
            <w:vAlign w:val="center"/>
          </w:tcPr>
          <w:p w14:paraId="2D6A201E">
            <w:pPr>
              <w:pStyle w:val="563"/>
              <w:bidi w:val="0"/>
              <w:rPr>
                <w:rFonts w:hint="default"/>
                <w:color w:val="auto"/>
                <w:highlight w:val="none"/>
              </w:rPr>
            </w:pPr>
            <w:r>
              <w:rPr>
                <w:rFonts w:hint="default"/>
                <w:color w:val="auto"/>
                <w:highlight w:val="none"/>
                <w:lang w:val="en-US" w:eastAsia="zh-CN"/>
              </w:rPr>
              <w:t>20</w:t>
            </w:r>
          </w:p>
        </w:tc>
        <w:tc>
          <w:tcPr>
            <w:tcW w:w="614" w:type="dxa"/>
            <w:noWrap w:val="0"/>
            <w:vAlign w:val="center"/>
          </w:tcPr>
          <w:p w14:paraId="319A34EE">
            <w:pPr>
              <w:pStyle w:val="563"/>
              <w:bidi w:val="0"/>
              <w:rPr>
                <w:rFonts w:hint="default"/>
                <w:color w:val="auto"/>
                <w:highlight w:val="none"/>
              </w:rPr>
            </w:pPr>
            <w:r>
              <w:rPr>
                <w:rFonts w:hint="default"/>
                <w:color w:val="auto"/>
                <w:highlight w:val="none"/>
                <w:lang w:val="en-US" w:eastAsia="zh-CN"/>
              </w:rPr>
              <w:t>97</w:t>
            </w:r>
          </w:p>
        </w:tc>
        <w:tc>
          <w:tcPr>
            <w:tcW w:w="618" w:type="dxa"/>
            <w:noWrap w:val="0"/>
            <w:vAlign w:val="center"/>
          </w:tcPr>
          <w:p w14:paraId="3821A43C">
            <w:pPr>
              <w:pStyle w:val="563"/>
              <w:bidi w:val="0"/>
              <w:rPr>
                <w:rFonts w:hint="default"/>
                <w:color w:val="auto"/>
                <w:highlight w:val="none"/>
              </w:rPr>
            </w:pPr>
            <w:r>
              <w:rPr>
                <w:rFonts w:hint="default"/>
                <w:color w:val="auto"/>
                <w:highlight w:val="none"/>
                <w:lang w:val="en-US" w:eastAsia="zh-CN"/>
              </w:rPr>
              <w:t>52.1</w:t>
            </w:r>
          </w:p>
        </w:tc>
        <w:tc>
          <w:tcPr>
            <w:tcW w:w="532" w:type="dxa"/>
            <w:noWrap w:val="0"/>
            <w:vAlign w:val="center"/>
          </w:tcPr>
          <w:p w14:paraId="082057C0">
            <w:pPr>
              <w:pStyle w:val="563"/>
              <w:bidi w:val="0"/>
              <w:rPr>
                <w:rFonts w:hint="default"/>
                <w:color w:val="auto"/>
                <w:highlight w:val="none"/>
              </w:rPr>
            </w:pPr>
            <w:r>
              <w:rPr>
                <w:rFonts w:hint="default"/>
                <w:color w:val="auto"/>
                <w:highlight w:val="none"/>
                <w:lang w:val="en-US" w:eastAsia="zh-CN"/>
              </w:rPr>
              <w:t>42.2</w:t>
            </w:r>
          </w:p>
        </w:tc>
        <w:tc>
          <w:tcPr>
            <w:tcW w:w="618" w:type="dxa"/>
            <w:noWrap w:val="0"/>
            <w:vAlign w:val="center"/>
          </w:tcPr>
          <w:p w14:paraId="518C8FD6">
            <w:pPr>
              <w:pStyle w:val="563"/>
              <w:bidi w:val="0"/>
              <w:rPr>
                <w:rFonts w:hint="default"/>
                <w:color w:val="auto"/>
                <w:highlight w:val="none"/>
              </w:rPr>
            </w:pPr>
            <w:r>
              <w:rPr>
                <w:rFonts w:hint="default"/>
                <w:color w:val="auto"/>
                <w:highlight w:val="none"/>
                <w:lang w:val="en-US" w:eastAsia="zh-CN"/>
              </w:rPr>
              <w:t>57.4</w:t>
            </w:r>
          </w:p>
        </w:tc>
        <w:tc>
          <w:tcPr>
            <w:tcW w:w="624" w:type="dxa"/>
            <w:noWrap w:val="0"/>
            <w:vAlign w:val="center"/>
          </w:tcPr>
          <w:p w14:paraId="291CD33D">
            <w:pPr>
              <w:pStyle w:val="563"/>
              <w:bidi w:val="0"/>
              <w:rPr>
                <w:rFonts w:hint="default"/>
                <w:color w:val="auto"/>
                <w:highlight w:val="none"/>
              </w:rPr>
            </w:pPr>
            <w:r>
              <w:rPr>
                <w:rFonts w:hint="default"/>
                <w:color w:val="auto"/>
                <w:highlight w:val="none"/>
                <w:lang w:val="en-US" w:eastAsia="zh-CN"/>
              </w:rPr>
              <w:t>43.7</w:t>
            </w:r>
          </w:p>
        </w:tc>
        <w:tc>
          <w:tcPr>
            <w:tcW w:w="659" w:type="dxa"/>
            <w:vMerge w:val="continue"/>
            <w:noWrap w:val="0"/>
            <w:vAlign w:val="center"/>
          </w:tcPr>
          <w:p w14:paraId="5B87301D">
            <w:pPr>
              <w:pStyle w:val="563"/>
              <w:bidi w:val="0"/>
              <w:rPr>
                <w:rFonts w:hint="eastAsia"/>
                <w:color w:val="auto"/>
                <w:highlight w:val="none"/>
              </w:rPr>
            </w:pPr>
          </w:p>
        </w:tc>
        <w:tc>
          <w:tcPr>
            <w:tcW w:w="843" w:type="dxa"/>
            <w:noWrap w:val="0"/>
            <w:vAlign w:val="center"/>
          </w:tcPr>
          <w:p w14:paraId="127FB281">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54E602C5">
            <w:pPr>
              <w:pStyle w:val="563"/>
              <w:bidi w:val="0"/>
              <w:rPr>
                <w:rFonts w:hint="default"/>
                <w:color w:val="auto"/>
                <w:highlight w:val="none"/>
              </w:rPr>
            </w:pPr>
            <w:r>
              <w:rPr>
                <w:rFonts w:hint="default"/>
                <w:color w:val="auto"/>
                <w:highlight w:val="none"/>
                <w:lang w:val="en-US" w:eastAsia="zh-CN"/>
              </w:rPr>
              <w:t>37.1</w:t>
            </w:r>
          </w:p>
        </w:tc>
        <w:tc>
          <w:tcPr>
            <w:tcW w:w="659" w:type="dxa"/>
            <w:noWrap w:val="0"/>
            <w:vAlign w:val="center"/>
          </w:tcPr>
          <w:p w14:paraId="38C50D52">
            <w:pPr>
              <w:pStyle w:val="563"/>
              <w:bidi w:val="0"/>
              <w:rPr>
                <w:rFonts w:hint="default"/>
                <w:color w:val="auto"/>
                <w:highlight w:val="none"/>
              </w:rPr>
            </w:pPr>
            <w:r>
              <w:rPr>
                <w:rFonts w:hint="default"/>
                <w:color w:val="auto"/>
                <w:highlight w:val="none"/>
                <w:lang w:val="en-US" w:eastAsia="zh-CN"/>
              </w:rPr>
              <w:t>27.2</w:t>
            </w:r>
          </w:p>
        </w:tc>
        <w:tc>
          <w:tcPr>
            <w:tcW w:w="624" w:type="dxa"/>
            <w:noWrap w:val="0"/>
            <w:vAlign w:val="center"/>
          </w:tcPr>
          <w:p w14:paraId="5DC8C853">
            <w:pPr>
              <w:pStyle w:val="563"/>
              <w:bidi w:val="0"/>
              <w:rPr>
                <w:rFonts w:hint="default"/>
                <w:color w:val="auto"/>
                <w:highlight w:val="none"/>
              </w:rPr>
            </w:pPr>
            <w:r>
              <w:rPr>
                <w:rFonts w:hint="default"/>
                <w:color w:val="auto"/>
                <w:highlight w:val="none"/>
                <w:lang w:val="en-US" w:eastAsia="zh-CN"/>
              </w:rPr>
              <w:t>42.4</w:t>
            </w:r>
          </w:p>
        </w:tc>
        <w:tc>
          <w:tcPr>
            <w:tcW w:w="632" w:type="dxa"/>
            <w:noWrap w:val="0"/>
            <w:vAlign w:val="center"/>
          </w:tcPr>
          <w:p w14:paraId="3B3A199B">
            <w:pPr>
              <w:pStyle w:val="563"/>
              <w:bidi w:val="0"/>
              <w:rPr>
                <w:rFonts w:hint="default"/>
                <w:color w:val="auto"/>
                <w:highlight w:val="none"/>
              </w:rPr>
            </w:pPr>
            <w:r>
              <w:rPr>
                <w:rFonts w:hint="default"/>
                <w:color w:val="auto"/>
                <w:highlight w:val="none"/>
                <w:lang w:val="en-US" w:eastAsia="zh-CN"/>
              </w:rPr>
              <w:t>28.7</w:t>
            </w:r>
          </w:p>
        </w:tc>
        <w:tc>
          <w:tcPr>
            <w:tcW w:w="667" w:type="dxa"/>
            <w:noWrap w:val="0"/>
            <w:vAlign w:val="center"/>
          </w:tcPr>
          <w:p w14:paraId="53787397">
            <w:pPr>
              <w:pStyle w:val="563"/>
              <w:bidi w:val="0"/>
              <w:rPr>
                <w:rFonts w:hint="default"/>
                <w:color w:val="auto"/>
                <w:highlight w:val="none"/>
              </w:rPr>
            </w:pPr>
            <w:r>
              <w:rPr>
                <w:rFonts w:hint="default"/>
                <w:color w:val="auto"/>
                <w:highlight w:val="none"/>
                <w:lang w:val="en-US" w:eastAsia="zh-CN"/>
              </w:rPr>
              <w:t>1</w:t>
            </w:r>
          </w:p>
        </w:tc>
      </w:tr>
      <w:tr w14:paraId="348CF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6DE57E00">
            <w:pPr>
              <w:pStyle w:val="563"/>
              <w:bidi w:val="0"/>
              <w:rPr>
                <w:rFonts w:hint="default"/>
                <w:color w:val="auto"/>
                <w:highlight w:val="none"/>
              </w:rPr>
            </w:pPr>
            <w:r>
              <w:rPr>
                <w:rFonts w:hint="default"/>
                <w:color w:val="auto"/>
                <w:highlight w:val="none"/>
                <w:lang w:val="en-US" w:eastAsia="zh-CN"/>
              </w:rPr>
              <w:t>3</w:t>
            </w:r>
          </w:p>
        </w:tc>
        <w:tc>
          <w:tcPr>
            <w:tcW w:w="424" w:type="dxa"/>
            <w:vMerge w:val="continue"/>
            <w:noWrap w:val="0"/>
            <w:vAlign w:val="center"/>
          </w:tcPr>
          <w:p w14:paraId="2CCB3B0A">
            <w:pPr>
              <w:pStyle w:val="563"/>
              <w:bidi w:val="0"/>
              <w:rPr>
                <w:rFonts w:hint="eastAsia"/>
                <w:color w:val="auto"/>
                <w:highlight w:val="none"/>
              </w:rPr>
            </w:pPr>
          </w:p>
        </w:tc>
        <w:tc>
          <w:tcPr>
            <w:tcW w:w="708" w:type="dxa"/>
            <w:noWrap w:val="0"/>
            <w:vAlign w:val="center"/>
          </w:tcPr>
          <w:p w14:paraId="5749129F">
            <w:pPr>
              <w:pStyle w:val="563"/>
              <w:bidi w:val="0"/>
              <w:rPr>
                <w:rFonts w:hint="eastAsia"/>
                <w:color w:val="auto"/>
                <w:highlight w:val="none"/>
              </w:rPr>
            </w:pPr>
            <w:r>
              <w:rPr>
                <w:rFonts w:hint="eastAsia"/>
                <w:color w:val="auto"/>
                <w:highlight w:val="none"/>
                <w:lang w:val="en-US" w:eastAsia="zh-CN"/>
              </w:rPr>
              <w:t>冷水机</w:t>
            </w:r>
          </w:p>
        </w:tc>
        <w:tc>
          <w:tcPr>
            <w:tcW w:w="750" w:type="dxa"/>
            <w:noWrap w:val="0"/>
            <w:vAlign w:val="center"/>
          </w:tcPr>
          <w:p w14:paraId="05DE2782">
            <w:pPr>
              <w:pStyle w:val="563"/>
              <w:bidi w:val="0"/>
              <w:rPr>
                <w:rFonts w:hint="default"/>
                <w:color w:val="auto"/>
                <w:highlight w:val="none"/>
              </w:rPr>
            </w:pPr>
            <w:r>
              <w:rPr>
                <w:rFonts w:hint="default"/>
                <w:color w:val="auto"/>
                <w:highlight w:val="none"/>
                <w:lang w:val="en-US" w:eastAsia="zh-CN"/>
              </w:rPr>
              <w:t>80</w:t>
            </w:r>
          </w:p>
        </w:tc>
        <w:tc>
          <w:tcPr>
            <w:tcW w:w="0" w:type="auto"/>
            <w:noWrap/>
            <w:vAlign w:val="center"/>
          </w:tcPr>
          <w:p w14:paraId="4F612636">
            <w:pPr>
              <w:pStyle w:val="563"/>
              <w:bidi w:val="0"/>
              <w:rPr>
                <w:rFonts w:hint="default"/>
                <w:color w:val="auto"/>
                <w:highlight w:val="none"/>
              </w:rPr>
            </w:pPr>
            <w:r>
              <w:rPr>
                <w:rFonts w:hint="default"/>
                <w:color w:val="auto"/>
                <w:highlight w:val="none"/>
                <w:lang w:val="en-US" w:eastAsia="zh-CN"/>
              </w:rPr>
              <w:t>3</w:t>
            </w:r>
          </w:p>
        </w:tc>
        <w:tc>
          <w:tcPr>
            <w:tcW w:w="647" w:type="dxa"/>
            <w:vMerge w:val="continue"/>
            <w:noWrap w:val="0"/>
            <w:vAlign w:val="center"/>
          </w:tcPr>
          <w:p w14:paraId="1D2B7570">
            <w:pPr>
              <w:pStyle w:val="563"/>
              <w:bidi w:val="0"/>
              <w:rPr>
                <w:rFonts w:hint="eastAsia"/>
                <w:color w:val="auto"/>
                <w:highlight w:val="none"/>
              </w:rPr>
            </w:pPr>
          </w:p>
        </w:tc>
        <w:tc>
          <w:tcPr>
            <w:tcW w:w="498" w:type="dxa"/>
            <w:noWrap w:val="0"/>
            <w:vAlign w:val="center"/>
          </w:tcPr>
          <w:p w14:paraId="0D3440D3">
            <w:pPr>
              <w:pStyle w:val="563"/>
              <w:bidi w:val="0"/>
              <w:rPr>
                <w:rFonts w:hint="default"/>
                <w:color w:val="auto"/>
                <w:highlight w:val="none"/>
              </w:rPr>
            </w:pPr>
            <w:r>
              <w:rPr>
                <w:rFonts w:hint="default"/>
                <w:color w:val="auto"/>
                <w:highlight w:val="none"/>
                <w:lang w:val="en-US" w:eastAsia="zh-CN"/>
              </w:rPr>
              <w:t>95</w:t>
            </w:r>
          </w:p>
        </w:tc>
        <w:tc>
          <w:tcPr>
            <w:tcW w:w="498" w:type="dxa"/>
            <w:noWrap w:val="0"/>
            <w:vAlign w:val="center"/>
          </w:tcPr>
          <w:p w14:paraId="28D74937">
            <w:pPr>
              <w:pStyle w:val="563"/>
              <w:bidi w:val="0"/>
              <w:rPr>
                <w:rFonts w:hint="default"/>
                <w:color w:val="auto"/>
                <w:highlight w:val="none"/>
              </w:rPr>
            </w:pPr>
            <w:r>
              <w:rPr>
                <w:rFonts w:hint="default"/>
                <w:color w:val="auto"/>
                <w:highlight w:val="none"/>
                <w:lang w:val="en-US" w:eastAsia="zh-CN"/>
              </w:rPr>
              <w:t>21</w:t>
            </w:r>
          </w:p>
        </w:tc>
        <w:tc>
          <w:tcPr>
            <w:tcW w:w="491" w:type="dxa"/>
            <w:noWrap w:val="0"/>
            <w:vAlign w:val="center"/>
          </w:tcPr>
          <w:p w14:paraId="4F925E68">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658CFD82">
            <w:pPr>
              <w:pStyle w:val="563"/>
              <w:bidi w:val="0"/>
              <w:rPr>
                <w:rFonts w:hint="default"/>
                <w:color w:val="auto"/>
                <w:highlight w:val="none"/>
              </w:rPr>
            </w:pPr>
            <w:r>
              <w:rPr>
                <w:rFonts w:hint="default"/>
                <w:color w:val="auto"/>
                <w:highlight w:val="none"/>
                <w:lang w:val="en-US" w:eastAsia="zh-CN"/>
              </w:rPr>
              <w:t>57</w:t>
            </w:r>
          </w:p>
        </w:tc>
        <w:tc>
          <w:tcPr>
            <w:tcW w:w="507" w:type="dxa"/>
            <w:noWrap w:val="0"/>
            <w:vAlign w:val="center"/>
          </w:tcPr>
          <w:p w14:paraId="1FF71F46">
            <w:pPr>
              <w:pStyle w:val="563"/>
              <w:bidi w:val="0"/>
              <w:rPr>
                <w:rFonts w:hint="default"/>
                <w:color w:val="auto"/>
                <w:highlight w:val="none"/>
              </w:rPr>
            </w:pPr>
            <w:r>
              <w:rPr>
                <w:rFonts w:hint="default"/>
                <w:color w:val="auto"/>
                <w:highlight w:val="none"/>
                <w:lang w:val="en-US" w:eastAsia="zh-CN"/>
              </w:rPr>
              <w:t>95</w:t>
            </w:r>
          </w:p>
        </w:tc>
        <w:tc>
          <w:tcPr>
            <w:tcW w:w="445" w:type="dxa"/>
            <w:noWrap w:val="0"/>
            <w:vAlign w:val="center"/>
          </w:tcPr>
          <w:p w14:paraId="635FA700">
            <w:pPr>
              <w:pStyle w:val="563"/>
              <w:bidi w:val="0"/>
              <w:rPr>
                <w:rFonts w:hint="default"/>
                <w:color w:val="auto"/>
                <w:highlight w:val="none"/>
              </w:rPr>
            </w:pPr>
            <w:r>
              <w:rPr>
                <w:rFonts w:hint="default"/>
                <w:color w:val="auto"/>
                <w:highlight w:val="none"/>
                <w:lang w:val="en-US" w:eastAsia="zh-CN"/>
              </w:rPr>
              <w:t>21</w:t>
            </w:r>
          </w:p>
        </w:tc>
        <w:tc>
          <w:tcPr>
            <w:tcW w:w="614" w:type="dxa"/>
            <w:noWrap w:val="0"/>
            <w:vAlign w:val="center"/>
          </w:tcPr>
          <w:p w14:paraId="002BB675">
            <w:pPr>
              <w:pStyle w:val="563"/>
              <w:bidi w:val="0"/>
              <w:rPr>
                <w:rFonts w:hint="default"/>
                <w:color w:val="auto"/>
                <w:highlight w:val="none"/>
              </w:rPr>
            </w:pPr>
            <w:r>
              <w:rPr>
                <w:rFonts w:hint="default"/>
                <w:color w:val="auto"/>
                <w:highlight w:val="none"/>
                <w:lang w:val="en-US" w:eastAsia="zh-CN"/>
              </w:rPr>
              <w:t>96</w:t>
            </w:r>
          </w:p>
        </w:tc>
        <w:tc>
          <w:tcPr>
            <w:tcW w:w="618" w:type="dxa"/>
            <w:noWrap w:val="0"/>
            <w:vAlign w:val="center"/>
          </w:tcPr>
          <w:p w14:paraId="0D0371B7">
            <w:pPr>
              <w:pStyle w:val="563"/>
              <w:bidi w:val="0"/>
              <w:rPr>
                <w:rFonts w:hint="default"/>
                <w:color w:val="auto"/>
                <w:highlight w:val="none"/>
              </w:rPr>
            </w:pPr>
            <w:r>
              <w:rPr>
                <w:rFonts w:hint="default"/>
                <w:color w:val="auto"/>
                <w:highlight w:val="none"/>
                <w:lang w:val="en-US" w:eastAsia="zh-CN"/>
              </w:rPr>
              <w:t>49.7</w:t>
            </w:r>
          </w:p>
        </w:tc>
        <w:tc>
          <w:tcPr>
            <w:tcW w:w="532" w:type="dxa"/>
            <w:noWrap w:val="0"/>
            <w:vAlign w:val="center"/>
          </w:tcPr>
          <w:p w14:paraId="4F09BDAC">
            <w:pPr>
              <w:pStyle w:val="563"/>
              <w:bidi w:val="0"/>
              <w:rPr>
                <w:rFonts w:hint="default"/>
                <w:color w:val="auto"/>
                <w:highlight w:val="none"/>
              </w:rPr>
            </w:pPr>
            <w:r>
              <w:rPr>
                <w:rFonts w:hint="default"/>
                <w:color w:val="auto"/>
                <w:highlight w:val="none"/>
                <w:lang w:val="en-US" w:eastAsia="zh-CN"/>
              </w:rPr>
              <w:t>45.2</w:t>
            </w:r>
          </w:p>
        </w:tc>
        <w:tc>
          <w:tcPr>
            <w:tcW w:w="618" w:type="dxa"/>
            <w:noWrap w:val="0"/>
            <w:vAlign w:val="center"/>
          </w:tcPr>
          <w:p w14:paraId="0B9A1B0A">
            <w:pPr>
              <w:pStyle w:val="563"/>
              <w:bidi w:val="0"/>
              <w:rPr>
                <w:rFonts w:hint="default"/>
                <w:color w:val="auto"/>
                <w:highlight w:val="none"/>
              </w:rPr>
            </w:pPr>
            <w:r>
              <w:rPr>
                <w:rFonts w:hint="default"/>
                <w:color w:val="auto"/>
                <w:highlight w:val="none"/>
                <w:lang w:val="en-US" w:eastAsia="zh-CN"/>
              </w:rPr>
              <w:t>58.3</w:t>
            </w:r>
          </w:p>
        </w:tc>
        <w:tc>
          <w:tcPr>
            <w:tcW w:w="624" w:type="dxa"/>
            <w:noWrap w:val="0"/>
            <w:vAlign w:val="center"/>
          </w:tcPr>
          <w:p w14:paraId="7C02F6A1">
            <w:pPr>
              <w:pStyle w:val="563"/>
              <w:bidi w:val="0"/>
              <w:rPr>
                <w:rFonts w:hint="default"/>
                <w:color w:val="auto"/>
                <w:highlight w:val="none"/>
              </w:rPr>
            </w:pPr>
            <w:r>
              <w:rPr>
                <w:rFonts w:hint="default"/>
                <w:color w:val="auto"/>
                <w:highlight w:val="none"/>
                <w:lang w:val="en-US" w:eastAsia="zh-CN"/>
              </w:rPr>
              <w:t>45.1</w:t>
            </w:r>
          </w:p>
        </w:tc>
        <w:tc>
          <w:tcPr>
            <w:tcW w:w="659" w:type="dxa"/>
            <w:vMerge w:val="continue"/>
            <w:noWrap w:val="0"/>
            <w:vAlign w:val="center"/>
          </w:tcPr>
          <w:p w14:paraId="68C0543A">
            <w:pPr>
              <w:pStyle w:val="563"/>
              <w:bidi w:val="0"/>
              <w:rPr>
                <w:rFonts w:hint="eastAsia"/>
                <w:color w:val="auto"/>
                <w:highlight w:val="none"/>
              </w:rPr>
            </w:pPr>
          </w:p>
        </w:tc>
        <w:tc>
          <w:tcPr>
            <w:tcW w:w="843" w:type="dxa"/>
            <w:noWrap w:val="0"/>
            <w:vAlign w:val="center"/>
          </w:tcPr>
          <w:p w14:paraId="68A5CFB4">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67F0169D">
            <w:pPr>
              <w:pStyle w:val="563"/>
              <w:bidi w:val="0"/>
              <w:rPr>
                <w:rFonts w:hint="default"/>
                <w:color w:val="auto"/>
                <w:highlight w:val="none"/>
              </w:rPr>
            </w:pPr>
            <w:r>
              <w:rPr>
                <w:rFonts w:hint="default"/>
                <w:color w:val="auto"/>
                <w:highlight w:val="none"/>
                <w:lang w:val="en-US" w:eastAsia="zh-CN"/>
              </w:rPr>
              <w:t>34.7</w:t>
            </w:r>
          </w:p>
        </w:tc>
        <w:tc>
          <w:tcPr>
            <w:tcW w:w="659" w:type="dxa"/>
            <w:noWrap w:val="0"/>
            <w:vAlign w:val="center"/>
          </w:tcPr>
          <w:p w14:paraId="7D95DEC3">
            <w:pPr>
              <w:pStyle w:val="563"/>
              <w:bidi w:val="0"/>
              <w:rPr>
                <w:rFonts w:hint="default"/>
                <w:color w:val="auto"/>
                <w:highlight w:val="none"/>
              </w:rPr>
            </w:pPr>
            <w:r>
              <w:rPr>
                <w:rFonts w:hint="default"/>
                <w:color w:val="auto"/>
                <w:highlight w:val="none"/>
                <w:lang w:val="en-US" w:eastAsia="zh-CN"/>
              </w:rPr>
              <w:t>30.2</w:t>
            </w:r>
          </w:p>
        </w:tc>
        <w:tc>
          <w:tcPr>
            <w:tcW w:w="624" w:type="dxa"/>
            <w:noWrap w:val="0"/>
            <w:vAlign w:val="center"/>
          </w:tcPr>
          <w:p w14:paraId="613A3473">
            <w:pPr>
              <w:pStyle w:val="563"/>
              <w:bidi w:val="0"/>
              <w:rPr>
                <w:rFonts w:hint="default"/>
                <w:color w:val="auto"/>
                <w:highlight w:val="none"/>
              </w:rPr>
            </w:pPr>
            <w:r>
              <w:rPr>
                <w:rFonts w:hint="default"/>
                <w:color w:val="auto"/>
                <w:highlight w:val="none"/>
                <w:lang w:val="en-US" w:eastAsia="zh-CN"/>
              </w:rPr>
              <w:t>43.3</w:t>
            </w:r>
          </w:p>
        </w:tc>
        <w:tc>
          <w:tcPr>
            <w:tcW w:w="632" w:type="dxa"/>
            <w:noWrap w:val="0"/>
            <w:vAlign w:val="center"/>
          </w:tcPr>
          <w:p w14:paraId="22412BC7">
            <w:pPr>
              <w:pStyle w:val="563"/>
              <w:bidi w:val="0"/>
              <w:rPr>
                <w:rFonts w:hint="default"/>
                <w:color w:val="auto"/>
                <w:highlight w:val="none"/>
              </w:rPr>
            </w:pPr>
            <w:r>
              <w:rPr>
                <w:rFonts w:hint="default"/>
                <w:color w:val="auto"/>
                <w:highlight w:val="none"/>
                <w:lang w:val="en-US" w:eastAsia="zh-CN"/>
              </w:rPr>
              <w:t>30.1</w:t>
            </w:r>
          </w:p>
        </w:tc>
        <w:tc>
          <w:tcPr>
            <w:tcW w:w="667" w:type="dxa"/>
            <w:noWrap w:val="0"/>
            <w:vAlign w:val="center"/>
          </w:tcPr>
          <w:p w14:paraId="0B0C9EE1">
            <w:pPr>
              <w:pStyle w:val="563"/>
              <w:bidi w:val="0"/>
              <w:rPr>
                <w:rFonts w:hint="default"/>
                <w:color w:val="auto"/>
                <w:highlight w:val="none"/>
              </w:rPr>
            </w:pPr>
            <w:r>
              <w:rPr>
                <w:rFonts w:hint="default"/>
                <w:color w:val="auto"/>
                <w:highlight w:val="none"/>
                <w:lang w:val="en-US" w:eastAsia="zh-CN"/>
              </w:rPr>
              <w:t>1</w:t>
            </w:r>
          </w:p>
        </w:tc>
      </w:tr>
      <w:tr w14:paraId="7922E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376D162B">
            <w:pPr>
              <w:pStyle w:val="563"/>
              <w:bidi w:val="0"/>
              <w:rPr>
                <w:rFonts w:hint="default"/>
                <w:color w:val="auto"/>
                <w:highlight w:val="none"/>
              </w:rPr>
            </w:pPr>
            <w:r>
              <w:rPr>
                <w:rFonts w:hint="default"/>
                <w:color w:val="auto"/>
                <w:highlight w:val="none"/>
                <w:lang w:val="en-US" w:eastAsia="zh-CN"/>
              </w:rPr>
              <w:t>4</w:t>
            </w:r>
          </w:p>
        </w:tc>
        <w:tc>
          <w:tcPr>
            <w:tcW w:w="424" w:type="dxa"/>
            <w:vMerge w:val="continue"/>
            <w:noWrap w:val="0"/>
            <w:vAlign w:val="center"/>
          </w:tcPr>
          <w:p w14:paraId="3EF242CE">
            <w:pPr>
              <w:pStyle w:val="563"/>
              <w:bidi w:val="0"/>
              <w:rPr>
                <w:rFonts w:hint="eastAsia"/>
                <w:color w:val="auto"/>
                <w:highlight w:val="none"/>
              </w:rPr>
            </w:pPr>
          </w:p>
        </w:tc>
        <w:tc>
          <w:tcPr>
            <w:tcW w:w="708" w:type="dxa"/>
            <w:noWrap w:val="0"/>
            <w:vAlign w:val="center"/>
          </w:tcPr>
          <w:p w14:paraId="79D5F60B">
            <w:pPr>
              <w:pStyle w:val="563"/>
              <w:bidi w:val="0"/>
              <w:rPr>
                <w:rFonts w:hint="eastAsia"/>
                <w:color w:val="auto"/>
                <w:highlight w:val="none"/>
              </w:rPr>
            </w:pPr>
            <w:r>
              <w:rPr>
                <w:rFonts w:hint="eastAsia"/>
                <w:color w:val="auto"/>
                <w:highlight w:val="none"/>
                <w:lang w:val="en-US" w:eastAsia="zh-CN"/>
              </w:rPr>
              <w:t>储氢瓶组</w:t>
            </w:r>
          </w:p>
        </w:tc>
        <w:tc>
          <w:tcPr>
            <w:tcW w:w="750" w:type="dxa"/>
            <w:noWrap w:val="0"/>
            <w:vAlign w:val="center"/>
          </w:tcPr>
          <w:p w14:paraId="7DC088D4">
            <w:pPr>
              <w:pStyle w:val="563"/>
              <w:bidi w:val="0"/>
              <w:rPr>
                <w:rFonts w:hint="default"/>
                <w:color w:val="auto"/>
                <w:highlight w:val="none"/>
              </w:rPr>
            </w:pPr>
            <w:r>
              <w:rPr>
                <w:rFonts w:hint="default"/>
                <w:color w:val="auto"/>
                <w:highlight w:val="none"/>
                <w:lang w:val="en-US" w:eastAsia="zh-CN"/>
              </w:rPr>
              <w:t>80</w:t>
            </w:r>
          </w:p>
        </w:tc>
        <w:tc>
          <w:tcPr>
            <w:tcW w:w="0" w:type="auto"/>
            <w:noWrap/>
            <w:vAlign w:val="center"/>
          </w:tcPr>
          <w:p w14:paraId="156C4F44">
            <w:pPr>
              <w:pStyle w:val="563"/>
              <w:bidi w:val="0"/>
              <w:rPr>
                <w:rFonts w:hint="default"/>
                <w:color w:val="auto"/>
                <w:highlight w:val="none"/>
              </w:rPr>
            </w:pPr>
            <w:r>
              <w:rPr>
                <w:rFonts w:hint="default"/>
                <w:color w:val="auto"/>
                <w:highlight w:val="none"/>
                <w:lang w:val="en-US" w:eastAsia="zh-CN"/>
              </w:rPr>
              <w:t>8</w:t>
            </w:r>
          </w:p>
        </w:tc>
        <w:tc>
          <w:tcPr>
            <w:tcW w:w="647" w:type="dxa"/>
            <w:vMerge w:val="continue"/>
            <w:noWrap w:val="0"/>
            <w:vAlign w:val="center"/>
          </w:tcPr>
          <w:p w14:paraId="79902B68">
            <w:pPr>
              <w:pStyle w:val="563"/>
              <w:bidi w:val="0"/>
              <w:rPr>
                <w:rFonts w:hint="eastAsia"/>
                <w:color w:val="auto"/>
                <w:highlight w:val="none"/>
              </w:rPr>
            </w:pPr>
          </w:p>
        </w:tc>
        <w:tc>
          <w:tcPr>
            <w:tcW w:w="498" w:type="dxa"/>
            <w:noWrap w:val="0"/>
            <w:vAlign w:val="center"/>
          </w:tcPr>
          <w:p w14:paraId="28DC114C">
            <w:pPr>
              <w:pStyle w:val="563"/>
              <w:bidi w:val="0"/>
              <w:rPr>
                <w:rFonts w:hint="default"/>
                <w:color w:val="auto"/>
                <w:highlight w:val="none"/>
              </w:rPr>
            </w:pPr>
            <w:r>
              <w:rPr>
                <w:rFonts w:hint="default"/>
                <w:color w:val="auto"/>
                <w:highlight w:val="none"/>
                <w:lang w:val="en-US" w:eastAsia="zh-CN"/>
              </w:rPr>
              <w:t>95</w:t>
            </w:r>
          </w:p>
        </w:tc>
        <w:tc>
          <w:tcPr>
            <w:tcW w:w="498" w:type="dxa"/>
            <w:noWrap w:val="0"/>
            <w:vAlign w:val="center"/>
          </w:tcPr>
          <w:p w14:paraId="7588753F">
            <w:pPr>
              <w:pStyle w:val="563"/>
              <w:bidi w:val="0"/>
              <w:rPr>
                <w:rFonts w:hint="default"/>
                <w:color w:val="auto"/>
                <w:highlight w:val="none"/>
              </w:rPr>
            </w:pPr>
            <w:r>
              <w:rPr>
                <w:rFonts w:hint="default"/>
                <w:color w:val="auto"/>
                <w:highlight w:val="none"/>
                <w:lang w:val="en-US" w:eastAsia="zh-CN"/>
              </w:rPr>
              <w:t>36</w:t>
            </w:r>
          </w:p>
        </w:tc>
        <w:tc>
          <w:tcPr>
            <w:tcW w:w="491" w:type="dxa"/>
            <w:noWrap w:val="0"/>
            <w:vAlign w:val="center"/>
          </w:tcPr>
          <w:p w14:paraId="76553B62">
            <w:pPr>
              <w:pStyle w:val="563"/>
              <w:bidi w:val="0"/>
              <w:rPr>
                <w:rFonts w:hint="default"/>
                <w:color w:val="auto"/>
                <w:highlight w:val="none"/>
              </w:rPr>
            </w:pPr>
            <w:r>
              <w:rPr>
                <w:rFonts w:hint="default"/>
                <w:color w:val="auto"/>
                <w:highlight w:val="none"/>
                <w:lang w:val="en-US" w:eastAsia="zh-CN"/>
              </w:rPr>
              <w:t>3</w:t>
            </w:r>
          </w:p>
        </w:tc>
        <w:tc>
          <w:tcPr>
            <w:tcW w:w="461" w:type="dxa"/>
            <w:noWrap w:val="0"/>
            <w:vAlign w:val="center"/>
          </w:tcPr>
          <w:p w14:paraId="393D926B">
            <w:pPr>
              <w:pStyle w:val="563"/>
              <w:bidi w:val="0"/>
              <w:rPr>
                <w:rFonts w:hint="default"/>
                <w:color w:val="auto"/>
                <w:highlight w:val="none"/>
              </w:rPr>
            </w:pPr>
            <w:r>
              <w:rPr>
                <w:rFonts w:hint="default"/>
                <w:color w:val="auto"/>
                <w:highlight w:val="none"/>
                <w:lang w:val="en-US" w:eastAsia="zh-CN"/>
              </w:rPr>
              <w:t>57</w:t>
            </w:r>
          </w:p>
        </w:tc>
        <w:tc>
          <w:tcPr>
            <w:tcW w:w="507" w:type="dxa"/>
            <w:noWrap w:val="0"/>
            <w:vAlign w:val="center"/>
          </w:tcPr>
          <w:p w14:paraId="670787F7">
            <w:pPr>
              <w:pStyle w:val="563"/>
              <w:bidi w:val="0"/>
              <w:rPr>
                <w:rFonts w:hint="default"/>
                <w:color w:val="auto"/>
                <w:highlight w:val="none"/>
              </w:rPr>
            </w:pPr>
            <w:r>
              <w:rPr>
                <w:rFonts w:hint="default"/>
                <w:color w:val="auto"/>
                <w:highlight w:val="none"/>
                <w:lang w:val="en-US" w:eastAsia="zh-CN"/>
              </w:rPr>
              <w:t>95</w:t>
            </w:r>
          </w:p>
        </w:tc>
        <w:tc>
          <w:tcPr>
            <w:tcW w:w="445" w:type="dxa"/>
            <w:noWrap w:val="0"/>
            <w:vAlign w:val="center"/>
          </w:tcPr>
          <w:p w14:paraId="578A8D74">
            <w:pPr>
              <w:pStyle w:val="563"/>
              <w:bidi w:val="0"/>
              <w:rPr>
                <w:rFonts w:hint="default"/>
                <w:color w:val="auto"/>
                <w:highlight w:val="none"/>
              </w:rPr>
            </w:pPr>
            <w:r>
              <w:rPr>
                <w:rFonts w:hint="default"/>
                <w:color w:val="auto"/>
                <w:highlight w:val="none"/>
                <w:lang w:val="en-US" w:eastAsia="zh-CN"/>
              </w:rPr>
              <w:t>36</w:t>
            </w:r>
          </w:p>
        </w:tc>
        <w:tc>
          <w:tcPr>
            <w:tcW w:w="614" w:type="dxa"/>
            <w:noWrap w:val="0"/>
            <w:vAlign w:val="center"/>
          </w:tcPr>
          <w:p w14:paraId="7C689B4E">
            <w:pPr>
              <w:pStyle w:val="563"/>
              <w:bidi w:val="0"/>
              <w:rPr>
                <w:rFonts w:hint="default"/>
                <w:color w:val="auto"/>
                <w:highlight w:val="none"/>
              </w:rPr>
            </w:pPr>
            <w:r>
              <w:rPr>
                <w:rFonts w:hint="default"/>
                <w:color w:val="auto"/>
                <w:highlight w:val="none"/>
                <w:lang w:val="en-US" w:eastAsia="zh-CN"/>
              </w:rPr>
              <w:t>81</w:t>
            </w:r>
          </w:p>
        </w:tc>
        <w:tc>
          <w:tcPr>
            <w:tcW w:w="618" w:type="dxa"/>
            <w:noWrap w:val="0"/>
            <w:vAlign w:val="center"/>
          </w:tcPr>
          <w:p w14:paraId="0D7A83F6">
            <w:pPr>
              <w:pStyle w:val="563"/>
              <w:bidi w:val="0"/>
              <w:rPr>
                <w:rFonts w:hint="default"/>
                <w:color w:val="auto"/>
                <w:highlight w:val="none"/>
              </w:rPr>
            </w:pPr>
            <w:r>
              <w:rPr>
                <w:rFonts w:hint="default"/>
                <w:color w:val="auto"/>
                <w:highlight w:val="none"/>
                <w:lang w:val="en-US" w:eastAsia="zh-CN"/>
              </w:rPr>
              <w:t>53.9</w:t>
            </w:r>
          </w:p>
        </w:tc>
        <w:tc>
          <w:tcPr>
            <w:tcW w:w="532" w:type="dxa"/>
            <w:noWrap w:val="0"/>
            <w:vAlign w:val="center"/>
          </w:tcPr>
          <w:p w14:paraId="2E6083DA">
            <w:pPr>
              <w:pStyle w:val="563"/>
              <w:bidi w:val="0"/>
              <w:rPr>
                <w:rFonts w:hint="default"/>
                <w:color w:val="auto"/>
                <w:highlight w:val="none"/>
              </w:rPr>
            </w:pPr>
            <w:r>
              <w:rPr>
                <w:rFonts w:hint="default"/>
                <w:color w:val="auto"/>
                <w:highlight w:val="none"/>
                <w:lang w:val="en-US" w:eastAsia="zh-CN"/>
              </w:rPr>
              <w:t>49.5</w:t>
            </w:r>
          </w:p>
        </w:tc>
        <w:tc>
          <w:tcPr>
            <w:tcW w:w="618" w:type="dxa"/>
            <w:noWrap w:val="0"/>
            <w:vAlign w:val="center"/>
          </w:tcPr>
          <w:p w14:paraId="4C93B7E7">
            <w:pPr>
              <w:pStyle w:val="563"/>
              <w:bidi w:val="0"/>
              <w:rPr>
                <w:rFonts w:hint="default"/>
                <w:color w:val="auto"/>
                <w:highlight w:val="none"/>
              </w:rPr>
            </w:pPr>
            <w:r>
              <w:rPr>
                <w:rFonts w:hint="default"/>
                <w:color w:val="auto"/>
                <w:highlight w:val="none"/>
                <w:lang w:val="en-US" w:eastAsia="zh-CN"/>
              </w:rPr>
              <w:t>57.9</w:t>
            </w:r>
          </w:p>
        </w:tc>
        <w:tc>
          <w:tcPr>
            <w:tcW w:w="624" w:type="dxa"/>
            <w:noWrap w:val="0"/>
            <w:vAlign w:val="center"/>
          </w:tcPr>
          <w:p w14:paraId="1F3BF8E3">
            <w:pPr>
              <w:pStyle w:val="563"/>
              <w:bidi w:val="0"/>
              <w:rPr>
                <w:rFonts w:hint="default"/>
                <w:color w:val="auto"/>
                <w:highlight w:val="none"/>
              </w:rPr>
            </w:pPr>
            <w:r>
              <w:rPr>
                <w:rFonts w:hint="default"/>
                <w:color w:val="auto"/>
                <w:highlight w:val="none"/>
                <w:lang w:val="en-US" w:eastAsia="zh-CN"/>
              </w:rPr>
              <w:t>50.9</w:t>
            </w:r>
          </w:p>
        </w:tc>
        <w:tc>
          <w:tcPr>
            <w:tcW w:w="659" w:type="dxa"/>
            <w:vMerge w:val="continue"/>
            <w:noWrap w:val="0"/>
            <w:vAlign w:val="center"/>
          </w:tcPr>
          <w:p w14:paraId="7459F82D">
            <w:pPr>
              <w:pStyle w:val="563"/>
              <w:bidi w:val="0"/>
              <w:rPr>
                <w:rFonts w:hint="eastAsia"/>
                <w:color w:val="auto"/>
                <w:highlight w:val="none"/>
              </w:rPr>
            </w:pPr>
          </w:p>
        </w:tc>
        <w:tc>
          <w:tcPr>
            <w:tcW w:w="843" w:type="dxa"/>
            <w:noWrap w:val="0"/>
            <w:vAlign w:val="center"/>
          </w:tcPr>
          <w:p w14:paraId="44EA47D6">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068B7852">
            <w:pPr>
              <w:pStyle w:val="563"/>
              <w:bidi w:val="0"/>
              <w:rPr>
                <w:rFonts w:hint="default"/>
                <w:color w:val="auto"/>
                <w:highlight w:val="none"/>
              </w:rPr>
            </w:pPr>
            <w:r>
              <w:rPr>
                <w:rFonts w:hint="default"/>
                <w:color w:val="auto"/>
                <w:highlight w:val="none"/>
                <w:lang w:val="en-US" w:eastAsia="zh-CN"/>
              </w:rPr>
              <w:t>38.9</w:t>
            </w:r>
          </w:p>
        </w:tc>
        <w:tc>
          <w:tcPr>
            <w:tcW w:w="659" w:type="dxa"/>
            <w:noWrap w:val="0"/>
            <w:vAlign w:val="center"/>
          </w:tcPr>
          <w:p w14:paraId="5AC31702">
            <w:pPr>
              <w:pStyle w:val="563"/>
              <w:bidi w:val="0"/>
              <w:rPr>
                <w:rFonts w:hint="default"/>
                <w:color w:val="auto"/>
                <w:highlight w:val="none"/>
              </w:rPr>
            </w:pPr>
            <w:r>
              <w:rPr>
                <w:rFonts w:hint="default"/>
                <w:color w:val="auto"/>
                <w:highlight w:val="none"/>
                <w:lang w:val="en-US" w:eastAsia="zh-CN"/>
              </w:rPr>
              <w:t>34.5</w:t>
            </w:r>
          </w:p>
        </w:tc>
        <w:tc>
          <w:tcPr>
            <w:tcW w:w="624" w:type="dxa"/>
            <w:noWrap w:val="0"/>
            <w:vAlign w:val="center"/>
          </w:tcPr>
          <w:p w14:paraId="09E93F3B">
            <w:pPr>
              <w:pStyle w:val="563"/>
              <w:bidi w:val="0"/>
              <w:rPr>
                <w:rFonts w:hint="default"/>
                <w:color w:val="auto"/>
                <w:highlight w:val="none"/>
              </w:rPr>
            </w:pPr>
            <w:r>
              <w:rPr>
                <w:rFonts w:hint="default"/>
                <w:color w:val="auto"/>
                <w:highlight w:val="none"/>
                <w:lang w:val="en-US" w:eastAsia="zh-CN"/>
              </w:rPr>
              <w:t>42.9</w:t>
            </w:r>
          </w:p>
        </w:tc>
        <w:tc>
          <w:tcPr>
            <w:tcW w:w="632" w:type="dxa"/>
            <w:noWrap w:val="0"/>
            <w:vAlign w:val="center"/>
          </w:tcPr>
          <w:p w14:paraId="64DBC44A">
            <w:pPr>
              <w:pStyle w:val="563"/>
              <w:bidi w:val="0"/>
              <w:rPr>
                <w:rFonts w:hint="default"/>
                <w:color w:val="auto"/>
                <w:highlight w:val="none"/>
              </w:rPr>
            </w:pPr>
            <w:r>
              <w:rPr>
                <w:rFonts w:hint="default"/>
                <w:color w:val="auto"/>
                <w:highlight w:val="none"/>
                <w:lang w:val="en-US" w:eastAsia="zh-CN"/>
              </w:rPr>
              <w:t>35.9</w:t>
            </w:r>
          </w:p>
        </w:tc>
        <w:tc>
          <w:tcPr>
            <w:tcW w:w="667" w:type="dxa"/>
            <w:noWrap w:val="0"/>
            <w:vAlign w:val="center"/>
          </w:tcPr>
          <w:p w14:paraId="5EC61082">
            <w:pPr>
              <w:pStyle w:val="563"/>
              <w:bidi w:val="0"/>
              <w:rPr>
                <w:rFonts w:hint="default"/>
                <w:color w:val="auto"/>
                <w:highlight w:val="none"/>
              </w:rPr>
            </w:pPr>
            <w:r>
              <w:rPr>
                <w:rFonts w:hint="default"/>
                <w:color w:val="auto"/>
                <w:highlight w:val="none"/>
                <w:lang w:val="en-US" w:eastAsia="zh-CN"/>
              </w:rPr>
              <w:t>1</w:t>
            </w:r>
          </w:p>
        </w:tc>
      </w:tr>
      <w:tr w14:paraId="5C571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1DF84CA9">
            <w:pPr>
              <w:pStyle w:val="563"/>
              <w:bidi w:val="0"/>
              <w:rPr>
                <w:rFonts w:hint="default"/>
                <w:color w:val="auto"/>
                <w:highlight w:val="none"/>
              </w:rPr>
            </w:pPr>
            <w:r>
              <w:rPr>
                <w:rFonts w:hint="default"/>
                <w:color w:val="auto"/>
                <w:highlight w:val="none"/>
                <w:lang w:val="en-US" w:eastAsia="zh-CN"/>
              </w:rPr>
              <w:t>5</w:t>
            </w:r>
          </w:p>
        </w:tc>
        <w:tc>
          <w:tcPr>
            <w:tcW w:w="424" w:type="dxa"/>
            <w:vMerge w:val="continue"/>
            <w:noWrap w:val="0"/>
            <w:vAlign w:val="center"/>
          </w:tcPr>
          <w:p w14:paraId="284D5C54">
            <w:pPr>
              <w:pStyle w:val="563"/>
              <w:bidi w:val="0"/>
              <w:rPr>
                <w:rFonts w:hint="eastAsia"/>
                <w:color w:val="auto"/>
                <w:highlight w:val="none"/>
              </w:rPr>
            </w:pPr>
          </w:p>
        </w:tc>
        <w:tc>
          <w:tcPr>
            <w:tcW w:w="708" w:type="dxa"/>
            <w:noWrap w:val="0"/>
            <w:vAlign w:val="center"/>
          </w:tcPr>
          <w:p w14:paraId="4BA9F367">
            <w:pPr>
              <w:pStyle w:val="563"/>
              <w:bidi w:val="0"/>
              <w:rPr>
                <w:rFonts w:hint="eastAsia"/>
                <w:color w:val="auto"/>
                <w:highlight w:val="none"/>
              </w:rPr>
            </w:pPr>
            <w:r>
              <w:rPr>
                <w:rFonts w:hint="eastAsia"/>
                <w:color w:val="auto"/>
                <w:highlight w:val="none"/>
                <w:lang w:val="en-US" w:eastAsia="zh-CN"/>
              </w:rPr>
              <w:t>卸气柱</w:t>
            </w:r>
          </w:p>
        </w:tc>
        <w:tc>
          <w:tcPr>
            <w:tcW w:w="750" w:type="dxa"/>
            <w:noWrap w:val="0"/>
            <w:vAlign w:val="center"/>
          </w:tcPr>
          <w:p w14:paraId="0876107D">
            <w:pPr>
              <w:pStyle w:val="563"/>
              <w:bidi w:val="0"/>
              <w:rPr>
                <w:rFonts w:hint="default"/>
                <w:color w:val="auto"/>
                <w:highlight w:val="none"/>
              </w:rPr>
            </w:pPr>
            <w:r>
              <w:rPr>
                <w:rFonts w:hint="default"/>
                <w:color w:val="auto"/>
                <w:highlight w:val="none"/>
                <w:lang w:val="en-US" w:eastAsia="zh-CN"/>
              </w:rPr>
              <w:t>85</w:t>
            </w:r>
          </w:p>
        </w:tc>
        <w:tc>
          <w:tcPr>
            <w:tcW w:w="0" w:type="auto"/>
            <w:noWrap/>
            <w:vAlign w:val="center"/>
          </w:tcPr>
          <w:p w14:paraId="59038450">
            <w:pPr>
              <w:pStyle w:val="563"/>
              <w:bidi w:val="0"/>
              <w:rPr>
                <w:rFonts w:hint="default"/>
                <w:color w:val="auto"/>
                <w:highlight w:val="none"/>
              </w:rPr>
            </w:pPr>
            <w:r>
              <w:rPr>
                <w:rFonts w:hint="default"/>
                <w:color w:val="auto"/>
                <w:highlight w:val="none"/>
                <w:lang w:val="en-US" w:eastAsia="zh-CN"/>
              </w:rPr>
              <w:t>2</w:t>
            </w:r>
          </w:p>
        </w:tc>
        <w:tc>
          <w:tcPr>
            <w:tcW w:w="647" w:type="dxa"/>
            <w:vMerge w:val="continue"/>
            <w:noWrap w:val="0"/>
            <w:vAlign w:val="center"/>
          </w:tcPr>
          <w:p w14:paraId="30E2544E">
            <w:pPr>
              <w:pStyle w:val="563"/>
              <w:bidi w:val="0"/>
              <w:rPr>
                <w:rFonts w:hint="eastAsia"/>
                <w:color w:val="auto"/>
                <w:highlight w:val="none"/>
              </w:rPr>
            </w:pPr>
          </w:p>
        </w:tc>
        <w:tc>
          <w:tcPr>
            <w:tcW w:w="498" w:type="dxa"/>
            <w:noWrap w:val="0"/>
            <w:vAlign w:val="center"/>
          </w:tcPr>
          <w:p w14:paraId="1D6B3216">
            <w:pPr>
              <w:pStyle w:val="563"/>
              <w:bidi w:val="0"/>
              <w:rPr>
                <w:rFonts w:hint="default"/>
                <w:color w:val="auto"/>
                <w:highlight w:val="none"/>
              </w:rPr>
            </w:pPr>
            <w:r>
              <w:rPr>
                <w:rFonts w:hint="default"/>
                <w:color w:val="auto"/>
                <w:highlight w:val="none"/>
                <w:lang w:val="en-US" w:eastAsia="zh-CN"/>
              </w:rPr>
              <w:t>105</w:t>
            </w:r>
          </w:p>
        </w:tc>
        <w:tc>
          <w:tcPr>
            <w:tcW w:w="498" w:type="dxa"/>
            <w:noWrap w:val="0"/>
            <w:vAlign w:val="center"/>
          </w:tcPr>
          <w:p w14:paraId="37A48449">
            <w:pPr>
              <w:pStyle w:val="563"/>
              <w:bidi w:val="0"/>
              <w:rPr>
                <w:rFonts w:hint="default"/>
                <w:color w:val="auto"/>
                <w:highlight w:val="none"/>
              </w:rPr>
            </w:pPr>
            <w:r>
              <w:rPr>
                <w:rFonts w:hint="default"/>
                <w:color w:val="auto"/>
                <w:highlight w:val="none"/>
                <w:lang w:val="en-US" w:eastAsia="zh-CN"/>
              </w:rPr>
              <w:t>49</w:t>
            </w:r>
          </w:p>
        </w:tc>
        <w:tc>
          <w:tcPr>
            <w:tcW w:w="491" w:type="dxa"/>
            <w:noWrap w:val="0"/>
            <w:vAlign w:val="center"/>
          </w:tcPr>
          <w:p w14:paraId="5782FB7E">
            <w:pPr>
              <w:pStyle w:val="563"/>
              <w:bidi w:val="0"/>
              <w:rPr>
                <w:rFonts w:hint="default"/>
                <w:color w:val="auto"/>
                <w:highlight w:val="none"/>
              </w:rPr>
            </w:pPr>
            <w:r>
              <w:rPr>
                <w:rFonts w:hint="default"/>
                <w:color w:val="auto"/>
                <w:highlight w:val="none"/>
                <w:lang w:val="en-US" w:eastAsia="zh-CN"/>
              </w:rPr>
              <w:t>2</w:t>
            </w:r>
          </w:p>
        </w:tc>
        <w:tc>
          <w:tcPr>
            <w:tcW w:w="461" w:type="dxa"/>
            <w:noWrap w:val="0"/>
            <w:vAlign w:val="center"/>
          </w:tcPr>
          <w:p w14:paraId="2282F468">
            <w:pPr>
              <w:pStyle w:val="563"/>
              <w:bidi w:val="0"/>
              <w:rPr>
                <w:rFonts w:hint="default"/>
                <w:color w:val="auto"/>
                <w:highlight w:val="none"/>
              </w:rPr>
            </w:pPr>
            <w:r>
              <w:rPr>
                <w:rFonts w:hint="default"/>
                <w:color w:val="auto"/>
                <w:highlight w:val="none"/>
                <w:lang w:val="en-US" w:eastAsia="zh-CN"/>
              </w:rPr>
              <w:t>47</w:t>
            </w:r>
          </w:p>
        </w:tc>
        <w:tc>
          <w:tcPr>
            <w:tcW w:w="507" w:type="dxa"/>
            <w:noWrap w:val="0"/>
            <w:vAlign w:val="center"/>
          </w:tcPr>
          <w:p w14:paraId="455AEAA5">
            <w:pPr>
              <w:pStyle w:val="563"/>
              <w:bidi w:val="0"/>
              <w:rPr>
                <w:rFonts w:hint="default"/>
                <w:color w:val="auto"/>
                <w:highlight w:val="none"/>
              </w:rPr>
            </w:pPr>
            <w:r>
              <w:rPr>
                <w:rFonts w:hint="default"/>
                <w:color w:val="auto"/>
                <w:highlight w:val="none"/>
                <w:lang w:val="en-US" w:eastAsia="zh-CN"/>
              </w:rPr>
              <w:t>105</w:t>
            </w:r>
          </w:p>
        </w:tc>
        <w:tc>
          <w:tcPr>
            <w:tcW w:w="445" w:type="dxa"/>
            <w:noWrap w:val="0"/>
            <w:vAlign w:val="center"/>
          </w:tcPr>
          <w:p w14:paraId="22D41D5E">
            <w:pPr>
              <w:pStyle w:val="563"/>
              <w:bidi w:val="0"/>
              <w:rPr>
                <w:rFonts w:hint="default"/>
                <w:color w:val="auto"/>
                <w:highlight w:val="none"/>
              </w:rPr>
            </w:pPr>
            <w:r>
              <w:rPr>
                <w:rFonts w:hint="default"/>
                <w:color w:val="auto"/>
                <w:highlight w:val="none"/>
                <w:lang w:val="en-US" w:eastAsia="zh-CN"/>
              </w:rPr>
              <w:t>49</w:t>
            </w:r>
          </w:p>
        </w:tc>
        <w:tc>
          <w:tcPr>
            <w:tcW w:w="614" w:type="dxa"/>
            <w:noWrap w:val="0"/>
            <w:vAlign w:val="center"/>
          </w:tcPr>
          <w:p w14:paraId="66E7512A">
            <w:pPr>
              <w:pStyle w:val="563"/>
              <w:bidi w:val="0"/>
              <w:rPr>
                <w:rFonts w:hint="default"/>
                <w:color w:val="auto"/>
                <w:highlight w:val="none"/>
              </w:rPr>
            </w:pPr>
            <w:r>
              <w:rPr>
                <w:rFonts w:hint="default"/>
                <w:color w:val="auto"/>
                <w:highlight w:val="none"/>
                <w:lang w:val="en-US" w:eastAsia="zh-CN"/>
              </w:rPr>
              <w:t>68</w:t>
            </w:r>
          </w:p>
        </w:tc>
        <w:tc>
          <w:tcPr>
            <w:tcW w:w="618" w:type="dxa"/>
            <w:noWrap w:val="0"/>
            <w:vAlign w:val="center"/>
          </w:tcPr>
          <w:p w14:paraId="649E460A">
            <w:pPr>
              <w:pStyle w:val="563"/>
              <w:bidi w:val="0"/>
              <w:rPr>
                <w:rFonts w:hint="default"/>
                <w:color w:val="auto"/>
                <w:highlight w:val="none"/>
              </w:rPr>
            </w:pPr>
            <w:r>
              <w:rPr>
                <w:rFonts w:hint="default"/>
                <w:color w:val="auto"/>
                <w:highlight w:val="none"/>
                <w:lang w:val="en-US" w:eastAsia="zh-CN"/>
              </w:rPr>
              <w:t>54.6</w:t>
            </w:r>
          </w:p>
        </w:tc>
        <w:tc>
          <w:tcPr>
            <w:tcW w:w="532" w:type="dxa"/>
            <w:noWrap w:val="0"/>
            <w:vAlign w:val="center"/>
          </w:tcPr>
          <w:p w14:paraId="7C995085">
            <w:pPr>
              <w:pStyle w:val="563"/>
              <w:bidi w:val="0"/>
              <w:rPr>
                <w:rFonts w:hint="default"/>
                <w:color w:val="auto"/>
                <w:highlight w:val="none"/>
              </w:rPr>
            </w:pPr>
            <w:r>
              <w:rPr>
                <w:rFonts w:hint="default"/>
                <w:color w:val="auto"/>
                <w:highlight w:val="none"/>
                <w:lang w:val="en-US" w:eastAsia="zh-CN"/>
              </w:rPr>
              <w:t>47.6</w:t>
            </w:r>
          </w:p>
        </w:tc>
        <w:tc>
          <w:tcPr>
            <w:tcW w:w="618" w:type="dxa"/>
            <w:noWrap w:val="0"/>
            <w:vAlign w:val="center"/>
          </w:tcPr>
          <w:p w14:paraId="3A9FF12B">
            <w:pPr>
              <w:pStyle w:val="563"/>
              <w:bidi w:val="0"/>
              <w:rPr>
                <w:rFonts w:hint="default"/>
                <w:color w:val="auto"/>
                <w:highlight w:val="none"/>
              </w:rPr>
            </w:pPr>
            <w:r>
              <w:rPr>
                <w:rFonts w:hint="default"/>
                <w:color w:val="auto"/>
                <w:highlight w:val="none"/>
                <w:lang w:val="en-US" w:eastAsia="zh-CN"/>
              </w:rPr>
              <w:t>54.2</w:t>
            </w:r>
          </w:p>
        </w:tc>
        <w:tc>
          <w:tcPr>
            <w:tcW w:w="624" w:type="dxa"/>
            <w:noWrap w:val="0"/>
            <w:vAlign w:val="center"/>
          </w:tcPr>
          <w:p w14:paraId="27918108">
            <w:pPr>
              <w:pStyle w:val="563"/>
              <w:bidi w:val="0"/>
              <w:rPr>
                <w:rFonts w:hint="default"/>
                <w:color w:val="auto"/>
                <w:highlight w:val="none"/>
              </w:rPr>
            </w:pPr>
            <w:r>
              <w:rPr>
                <w:rFonts w:hint="default"/>
                <w:color w:val="auto"/>
                <w:highlight w:val="none"/>
                <w:lang w:val="en-US" w:eastAsia="zh-CN"/>
              </w:rPr>
              <w:t>51.4</w:t>
            </w:r>
          </w:p>
        </w:tc>
        <w:tc>
          <w:tcPr>
            <w:tcW w:w="659" w:type="dxa"/>
            <w:vMerge w:val="continue"/>
            <w:noWrap w:val="0"/>
            <w:vAlign w:val="center"/>
          </w:tcPr>
          <w:p w14:paraId="638928D9">
            <w:pPr>
              <w:pStyle w:val="563"/>
              <w:bidi w:val="0"/>
              <w:rPr>
                <w:rFonts w:hint="eastAsia"/>
                <w:color w:val="auto"/>
                <w:highlight w:val="none"/>
              </w:rPr>
            </w:pPr>
          </w:p>
        </w:tc>
        <w:tc>
          <w:tcPr>
            <w:tcW w:w="843" w:type="dxa"/>
            <w:noWrap w:val="0"/>
            <w:vAlign w:val="center"/>
          </w:tcPr>
          <w:p w14:paraId="1CB4BC41">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25FE8803">
            <w:pPr>
              <w:pStyle w:val="563"/>
              <w:bidi w:val="0"/>
              <w:rPr>
                <w:rFonts w:hint="default"/>
                <w:color w:val="auto"/>
                <w:highlight w:val="none"/>
              </w:rPr>
            </w:pPr>
            <w:r>
              <w:rPr>
                <w:rFonts w:hint="default"/>
                <w:color w:val="auto"/>
                <w:highlight w:val="none"/>
                <w:lang w:val="en-US" w:eastAsia="zh-CN"/>
              </w:rPr>
              <w:t>39.6</w:t>
            </w:r>
          </w:p>
        </w:tc>
        <w:tc>
          <w:tcPr>
            <w:tcW w:w="659" w:type="dxa"/>
            <w:noWrap w:val="0"/>
            <w:vAlign w:val="center"/>
          </w:tcPr>
          <w:p w14:paraId="58D6CCCB">
            <w:pPr>
              <w:pStyle w:val="563"/>
              <w:bidi w:val="0"/>
              <w:rPr>
                <w:rFonts w:hint="default"/>
                <w:color w:val="auto"/>
                <w:highlight w:val="none"/>
              </w:rPr>
            </w:pPr>
            <w:r>
              <w:rPr>
                <w:rFonts w:hint="default"/>
                <w:color w:val="auto"/>
                <w:highlight w:val="none"/>
                <w:lang w:val="en-US" w:eastAsia="zh-CN"/>
              </w:rPr>
              <w:t>32.6</w:t>
            </w:r>
          </w:p>
        </w:tc>
        <w:tc>
          <w:tcPr>
            <w:tcW w:w="624" w:type="dxa"/>
            <w:noWrap w:val="0"/>
            <w:vAlign w:val="center"/>
          </w:tcPr>
          <w:p w14:paraId="7B137C8A">
            <w:pPr>
              <w:pStyle w:val="563"/>
              <w:bidi w:val="0"/>
              <w:rPr>
                <w:rFonts w:hint="default"/>
                <w:color w:val="auto"/>
                <w:highlight w:val="none"/>
              </w:rPr>
            </w:pPr>
            <w:r>
              <w:rPr>
                <w:rFonts w:hint="default"/>
                <w:color w:val="auto"/>
                <w:highlight w:val="none"/>
                <w:lang w:val="en-US" w:eastAsia="zh-CN"/>
              </w:rPr>
              <w:t>39.2</w:t>
            </w:r>
          </w:p>
        </w:tc>
        <w:tc>
          <w:tcPr>
            <w:tcW w:w="632" w:type="dxa"/>
            <w:noWrap w:val="0"/>
            <w:vAlign w:val="center"/>
          </w:tcPr>
          <w:p w14:paraId="6212132A">
            <w:pPr>
              <w:pStyle w:val="563"/>
              <w:bidi w:val="0"/>
              <w:rPr>
                <w:rFonts w:hint="default"/>
                <w:color w:val="auto"/>
                <w:highlight w:val="none"/>
              </w:rPr>
            </w:pPr>
            <w:r>
              <w:rPr>
                <w:rFonts w:hint="default"/>
                <w:color w:val="auto"/>
                <w:highlight w:val="none"/>
                <w:lang w:val="en-US" w:eastAsia="zh-CN"/>
              </w:rPr>
              <w:t>36.4</w:t>
            </w:r>
          </w:p>
        </w:tc>
        <w:tc>
          <w:tcPr>
            <w:tcW w:w="667" w:type="dxa"/>
            <w:noWrap w:val="0"/>
            <w:vAlign w:val="center"/>
          </w:tcPr>
          <w:p w14:paraId="53ACD692">
            <w:pPr>
              <w:pStyle w:val="563"/>
              <w:bidi w:val="0"/>
              <w:rPr>
                <w:rFonts w:hint="default"/>
                <w:color w:val="auto"/>
                <w:highlight w:val="none"/>
              </w:rPr>
            </w:pPr>
            <w:r>
              <w:rPr>
                <w:rFonts w:hint="default"/>
                <w:color w:val="auto"/>
                <w:highlight w:val="none"/>
                <w:lang w:val="en-US" w:eastAsia="zh-CN"/>
              </w:rPr>
              <w:t>1</w:t>
            </w:r>
          </w:p>
        </w:tc>
      </w:tr>
      <w:tr w14:paraId="1489B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7F9CFDC5">
            <w:pPr>
              <w:pStyle w:val="563"/>
              <w:bidi w:val="0"/>
              <w:rPr>
                <w:rFonts w:hint="default"/>
                <w:color w:val="auto"/>
                <w:highlight w:val="none"/>
              </w:rPr>
            </w:pPr>
            <w:r>
              <w:rPr>
                <w:rFonts w:hint="default"/>
                <w:color w:val="auto"/>
                <w:highlight w:val="none"/>
                <w:lang w:val="en-US" w:eastAsia="zh-CN"/>
              </w:rPr>
              <w:t>6</w:t>
            </w:r>
          </w:p>
        </w:tc>
        <w:tc>
          <w:tcPr>
            <w:tcW w:w="424" w:type="dxa"/>
            <w:vMerge w:val="continue"/>
            <w:noWrap w:val="0"/>
            <w:vAlign w:val="center"/>
          </w:tcPr>
          <w:p w14:paraId="0939A7EF">
            <w:pPr>
              <w:pStyle w:val="563"/>
              <w:bidi w:val="0"/>
              <w:rPr>
                <w:rFonts w:hint="eastAsia"/>
                <w:color w:val="auto"/>
                <w:highlight w:val="none"/>
              </w:rPr>
            </w:pPr>
          </w:p>
        </w:tc>
        <w:tc>
          <w:tcPr>
            <w:tcW w:w="708" w:type="dxa"/>
            <w:noWrap w:val="0"/>
            <w:vAlign w:val="center"/>
          </w:tcPr>
          <w:p w14:paraId="4377FABC">
            <w:pPr>
              <w:pStyle w:val="563"/>
              <w:bidi w:val="0"/>
              <w:rPr>
                <w:rFonts w:hint="eastAsia"/>
                <w:color w:val="auto"/>
                <w:highlight w:val="none"/>
              </w:rPr>
            </w:pPr>
            <w:r>
              <w:rPr>
                <w:rFonts w:hint="eastAsia"/>
                <w:color w:val="auto"/>
                <w:highlight w:val="none"/>
                <w:lang w:val="en-US" w:eastAsia="zh-CN"/>
              </w:rPr>
              <w:t>加氢机冷冻机</w:t>
            </w:r>
          </w:p>
        </w:tc>
        <w:tc>
          <w:tcPr>
            <w:tcW w:w="750" w:type="dxa"/>
            <w:noWrap w:val="0"/>
            <w:vAlign w:val="center"/>
          </w:tcPr>
          <w:p w14:paraId="2B530ACF">
            <w:pPr>
              <w:pStyle w:val="563"/>
              <w:bidi w:val="0"/>
              <w:rPr>
                <w:rFonts w:hint="default"/>
                <w:color w:val="auto"/>
                <w:highlight w:val="none"/>
              </w:rPr>
            </w:pPr>
            <w:r>
              <w:rPr>
                <w:rFonts w:hint="default"/>
                <w:color w:val="auto"/>
                <w:highlight w:val="none"/>
                <w:lang w:val="en-US" w:eastAsia="zh-CN"/>
              </w:rPr>
              <w:t>85</w:t>
            </w:r>
          </w:p>
        </w:tc>
        <w:tc>
          <w:tcPr>
            <w:tcW w:w="0" w:type="auto"/>
            <w:noWrap/>
            <w:vAlign w:val="center"/>
          </w:tcPr>
          <w:p w14:paraId="05C05817">
            <w:pPr>
              <w:pStyle w:val="563"/>
              <w:bidi w:val="0"/>
              <w:rPr>
                <w:rFonts w:hint="default"/>
                <w:color w:val="auto"/>
                <w:highlight w:val="none"/>
              </w:rPr>
            </w:pPr>
            <w:r>
              <w:rPr>
                <w:rFonts w:hint="default"/>
                <w:color w:val="auto"/>
                <w:highlight w:val="none"/>
                <w:lang w:val="en-US" w:eastAsia="zh-CN"/>
              </w:rPr>
              <w:t>2</w:t>
            </w:r>
          </w:p>
        </w:tc>
        <w:tc>
          <w:tcPr>
            <w:tcW w:w="647" w:type="dxa"/>
            <w:vMerge w:val="continue"/>
            <w:noWrap w:val="0"/>
            <w:vAlign w:val="center"/>
          </w:tcPr>
          <w:p w14:paraId="6EEE13B2">
            <w:pPr>
              <w:pStyle w:val="563"/>
              <w:bidi w:val="0"/>
              <w:rPr>
                <w:rFonts w:hint="eastAsia"/>
                <w:color w:val="auto"/>
                <w:highlight w:val="none"/>
              </w:rPr>
            </w:pPr>
          </w:p>
        </w:tc>
        <w:tc>
          <w:tcPr>
            <w:tcW w:w="498" w:type="dxa"/>
            <w:noWrap w:val="0"/>
            <w:vAlign w:val="center"/>
          </w:tcPr>
          <w:p w14:paraId="66F619C3">
            <w:pPr>
              <w:pStyle w:val="563"/>
              <w:bidi w:val="0"/>
              <w:rPr>
                <w:rFonts w:hint="default"/>
                <w:color w:val="auto"/>
                <w:highlight w:val="none"/>
              </w:rPr>
            </w:pPr>
            <w:r>
              <w:rPr>
                <w:rFonts w:hint="default"/>
                <w:color w:val="auto"/>
                <w:highlight w:val="none"/>
                <w:lang w:val="en-US" w:eastAsia="zh-CN"/>
              </w:rPr>
              <w:t>83</w:t>
            </w:r>
          </w:p>
        </w:tc>
        <w:tc>
          <w:tcPr>
            <w:tcW w:w="498" w:type="dxa"/>
            <w:noWrap w:val="0"/>
            <w:vAlign w:val="center"/>
          </w:tcPr>
          <w:p w14:paraId="43F98614">
            <w:pPr>
              <w:pStyle w:val="563"/>
              <w:bidi w:val="0"/>
              <w:rPr>
                <w:rFonts w:hint="default"/>
                <w:color w:val="auto"/>
                <w:highlight w:val="none"/>
              </w:rPr>
            </w:pPr>
            <w:r>
              <w:rPr>
                <w:rFonts w:hint="default"/>
                <w:color w:val="auto"/>
                <w:highlight w:val="none"/>
                <w:lang w:val="en-US" w:eastAsia="zh-CN"/>
              </w:rPr>
              <w:t>20</w:t>
            </w:r>
          </w:p>
        </w:tc>
        <w:tc>
          <w:tcPr>
            <w:tcW w:w="491" w:type="dxa"/>
            <w:noWrap w:val="0"/>
            <w:vAlign w:val="center"/>
          </w:tcPr>
          <w:p w14:paraId="797F6C48">
            <w:pPr>
              <w:pStyle w:val="563"/>
              <w:bidi w:val="0"/>
              <w:rPr>
                <w:rFonts w:hint="default"/>
                <w:color w:val="auto"/>
                <w:highlight w:val="none"/>
              </w:rPr>
            </w:pPr>
            <w:r>
              <w:rPr>
                <w:rFonts w:hint="default"/>
                <w:color w:val="auto"/>
                <w:highlight w:val="none"/>
                <w:lang w:val="en-US" w:eastAsia="zh-CN"/>
              </w:rPr>
              <w:t>2</w:t>
            </w:r>
          </w:p>
        </w:tc>
        <w:tc>
          <w:tcPr>
            <w:tcW w:w="461" w:type="dxa"/>
            <w:noWrap w:val="0"/>
            <w:vAlign w:val="center"/>
          </w:tcPr>
          <w:p w14:paraId="67A67473">
            <w:pPr>
              <w:pStyle w:val="563"/>
              <w:bidi w:val="0"/>
              <w:rPr>
                <w:rFonts w:hint="default"/>
                <w:color w:val="auto"/>
                <w:highlight w:val="none"/>
              </w:rPr>
            </w:pPr>
            <w:r>
              <w:rPr>
                <w:rFonts w:hint="default"/>
                <w:color w:val="auto"/>
                <w:highlight w:val="none"/>
                <w:lang w:val="en-US" w:eastAsia="zh-CN"/>
              </w:rPr>
              <w:t>69</w:t>
            </w:r>
          </w:p>
        </w:tc>
        <w:tc>
          <w:tcPr>
            <w:tcW w:w="507" w:type="dxa"/>
            <w:noWrap w:val="0"/>
            <w:vAlign w:val="center"/>
          </w:tcPr>
          <w:p w14:paraId="12E128F1">
            <w:pPr>
              <w:pStyle w:val="563"/>
              <w:bidi w:val="0"/>
              <w:rPr>
                <w:rFonts w:hint="default"/>
                <w:color w:val="auto"/>
                <w:highlight w:val="none"/>
              </w:rPr>
            </w:pPr>
            <w:r>
              <w:rPr>
                <w:rFonts w:hint="default"/>
                <w:color w:val="auto"/>
                <w:highlight w:val="none"/>
                <w:lang w:val="en-US" w:eastAsia="zh-CN"/>
              </w:rPr>
              <w:t>83</w:t>
            </w:r>
          </w:p>
        </w:tc>
        <w:tc>
          <w:tcPr>
            <w:tcW w:w="445" w:type="dxa"/>
            <w:noWrap w:val="0"/>
            <w:vAlign w:val="center"/>
          </w:tcPr>
          <w:p w14:paraId="32CA55DE">
            <w:pPr>
              <w:pStyle w:val="563"/>
              <w:bidi w:val="0"/>
              <w:rPr>
                <w:rFonts w:hint="default"/>
                <w:color w:val="auto"/>
                <w:highlight w:val="none"/>
              </w:rPr>
            </w:pPr>
            <w:r>
              <w:rPr>
                <w:rFonts w:hint="default"/>
                <w:color w:val="auto"/>
                <w:highlight w:val="none"/>
                <w:lang w:val="en-US" w:eastAsia="zh-CN"/>
              </w:rPr>
              <w:t>20</w:t>
            </w:r>
          </w:p>
        </w:tc>
        <w:tc>
          <w:tcPr>
            <w:tcW w:w="614" w:type="dxa"/>
            <w:noWrap w:val="0"/>
            <w:vAlign w:val="center"/>
          </w:tcPr>
          <w:p w14:paraId="497C5AAC">
            <w:pPr>
              <w:pStyle w:val="563"/>
              <w:bidi w:val="0"/>
              <w:rPr>
                <w:rFonts w:hint="default"/>
                <w:color w:val="auto"/>
                <w:highlight w:val="none"/>
              </w:rPr>
            </w:pPr>
            <w:r>
              <w:rPr>
                <w:rFonts w:hint="default"/>
                <w:color w:val="auto"/>
                <w:highlight w:val="none"/>
                <w:lang w:val="en-US" w:eastAsia="zh-CN"/>
              </w:rPr>
              <w:t>97</w:t>
            </w:r>
          </w:p>
        </w:tc>
        <w:tc>
          <w:tcPr>
            <w:tcW w:w="618" w:type="dxa"/>
            <w:noWrap w:val="0"/>
            <w:vAlign w:val="center"/>
          </w:tcPr>
          <w:p w14:paraId="76F46D07">
            <w:pPr>
              <w:pStyle w:val="563"/>
              <w:bidi w:val="0"/>
              <w:rPr>
                <w:rFonts w:hint="default"/>
                <w:color w:val="auto"/>
                <w:highlight w:val="none"/>
              </w:rPr>
            </w:pPr>
            <w:r>
              <w:rPr>
                <w:rFonts w:hint="default"/>
                <w:color w:val="auto"/>
                <w:highlight w:val="none"/>
                <w:lang w:val="en-US" w:eastAsia="zh-CN"/>
              </w:rPr>
              <w:t>51.2</w:t>
            </w:r>
          </w:p>
        </w:tc>
        <w:tc>
          <w:tcPr>
            <w:tcW w:w="532" w:type="dxa"/>
            <w:noWrap w:val="0"/>
            <w:vAlign w:val="center"/>
          </w:tcPr>
          <w:p w14:paraId="1F2E0888">
            <w:pPr>
              <w:pStyle w:val="563"/>
              <w:bidi w:val="0"/>
              <w:rPr>
                <w:rFonts w:hint="default"/>
                <w:color w:val="auto"/>
                <w:highlight w:val="none"/>
              </w:rPr>
            </w:pPr>
            <w:r>
              <w:rPr>
                <w:rFonts w:hint="default"/>
                <w:color w:val="auto"/>
                <w:highlight w:val="none"/>
                <w:lang w:val="en-US" w:eastAsia="zh-CN"/>
              </w:rPr>
              <w:t>49.6</w:t>
            </w:r>
          </w:p>
        </w:tc>
        <w:tc>
          <w:tcPr>
            <w:tcW w:w="618" w:type="dxa"/>
            <w:noWrap w:val="0"/>
            <w:vAlign w:val="center"/>
          </w:tcPr>
          <w:p w14:paraId="0A70093A">
            <w:pPr>
              <w:pStyle w:val="563"/>
              <w:bidi w:val="0"/>
              <w:rPr>
                <w:rFonts w:hint="default"/>
                <w:color w:val="auto"/>
                <w:highlight w:val="none"/>
              </w:rPr>
            </w:pPr>
            <w:r>
              <w:rPr>
                <w:rFonts w:hint="default"/>
                <w:color w:val="auto"/>
                <w:highlight w:val="none"/>
                <w:lang w:val="en-US" w:eastAsia="zh-CN"/>
              </w:rPr>
              <w:t>62.0</w:t>
            </w:r>
          </w:p>
        </w:tc>
        <w:tc>
          <w:tcPr>
            <w:tcW w:w="624" w:type="dxa"/>
            <w:noWrap w:val="0"/>
            <w:vAlign w:val="center"/>
          </w:tcPr>
          <w:p w14:paraId="102E4631">
            <w:pPr>
              <w:pStyle w:val="563"/>
              <w:bidi w:val="0"/>
              <w:rPr>
                <w:rFonts w:hint="default"/>
                <w:color w:val="auto"/>
                <w:highlight w:val="none"/>
              </w:rPr>
            </w:pPr>
            <w:r>
              <w:rPr>
                <w:rFonts w:hint="default"/>
                <w:color w:val="auto"/>
                <w:highlight w:val="none"/>
                <w:lang w:val="en-US" w:eastAsia="zh-CN"/>
              </w:rPr>
              <w:t>48.3</w:t>
            </w:r>
          </w:p>
        </w:tc>
        <w:tc>
          <w:tcPr>
            <w:tcW w:w="659" w:type="dxa"/>
            <w:vMerge w:val="continue"/>
            <w:noWrap w:val="0"/>
            <w:vAlign w:val="center"/>
          </w:tcPr>
          <w:p w14:paraId="2E75FFF6">
            <w:pPr>
              <w:pStyle w:val="563"/>
              <w:bidi w:val="0"/>
              <w:rPr>
                <w:rFonts w:hint="eastAsia"/>
                <w:color w:val="auto"/>
                <w:highlight w:val="none"/>
              </w:rPr>
            </w:pPr>
          </w:p>
        </w:tc>
        <w:tc>
          <w:tcPr>
            <w:tcW w:w="843" w:type="dxa"/>
            <w:noWrap w:val="0"/>
            <w:vAlign w:val="center"/>
          </w:tcPr>
          <w:p w14:paraId="79C7A42A">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7B0FAA04">
            <w:pPr>
              <w:pStyle w:val="563"/>
              <w:bidi w:val="0"/>
              <w:rPr>
                <w:rFonts w:hint="default"/>
                <w:color w:val="auto"/>
                <w:highlight w:val="none"/>
              </w:rPr>
            </w:pPr>
            <w:r>
              <w:rPr>
                <w:rFonts w:hint="default"/>
                <w:color w:val="auto"/>
                <w:highlight w:val="none"/>
                <w:lang w:val="en-US" w:eastAsia="zh-CN"/>
              </w:rPr>
              <w:t>36.2</w:t>
            </w:r>
          </w:p>
        </w:tc>
        <w:tc>
          <w:tcPr>
            <w:tcW w:w="659" w:type="dxa"/>
            <w:noWrap w:val="0"/>
            <w:vAlign w:val="center"/>
          </w:tcPr>
          <w:p w14:paraId="41321809">
            <w:pPr>
              <w:pStyle w:val="563"/>
              <w:bidi w:val="0"/>
              <w:rPr>
                <w:rFonts w:hint="default"/>
                <w:color w:val="auto"/>
                <w:highlight w:val="none"/>
              </w:rPr>
            </w:pPr>
            <w:r>
              <w:rPr>
                <w:rFonts w:hint="default"/>
                <w:color w:val="auto"/>
                <w:highlight w:val="none"/>
                <w:lang w:val="en-US" w:eastAsia="zh-CN"/>
              </w:rPr>
              <w:t>34.6</w:t>
            </w:r>
          </w:p>
        </w:tc>
        <w:tc>
          <w:tcPr>
            <w:tcW w:w="624" w:type="dxa"/>
            <w:noWrap w:val="0"/>
            <w:vAlign w:val="center"/>
          </w:tcPr>
          <w:p w14:paraId="50F3AEBC">
            <w:pPr>
              <w:pStyle w:val="563"/>
              <w:bidi w:val="0"/>
              <w:rPr>
                <w:rFonts w:hint="default"/>
                <w:color w:val="auto"/>
                <w:highlight w:val="none"/>
              </w:rPr>
            </w:pPr>
            <w:r>
              <w:rPr>
                <w:rFonts w:hint="default"/>
                <w:color w:val="auto"/>
                <w:highlight w:val="none"/>
                <w:lang w:val="en-US" w:eastAsia="zh-CN"/>
              </w:rPr>
              <w:t>47.0</w:t>
            </w:r>
          </w:p>
        </w:tc>
        <w:tc>
          <w:tcPr>
            <w:tcW w:w="632" w:type="dxa"/>
            <w:noWrap w:val="0"/>
            <w:vAlign w:val="center"/>
          </w:tcPr>
          <w:p w14:paraId="09201013">
            <w:pPr>
              <w:pStyle w:val="563"/>
              <w:bidi w:val="0"/>
              <w:rPr>
                <w:rFonts w:hint="default"/>
                <w:color w:val="auto"/>
                <w:highlight w:val="none"/>
              </w:rPr>
            </w:pPr>
            <w:r>
              <w:rPr>
                <w:rFonts w:hint="default"/>
                <w:color w:val="auto"/>
                <w:highlight w:val="none"/>
                <w:lang w:val="en-US" w:eastAsia="zh-CN"/>
              </w:rPr>
              <w:t>33.3</w:t>
            </w:r>
          </w:p>
        </w:tc>
        <w:tc>
          <w:tcPr>
            <w:tcW w:w="667" w:type="dxa"/>
            <w:noWrap w:val="0"/>
            <w:vAlign w:val="center"/>
          </w:tcPr>
          <w:p w14:paraId="3195BE72">
            <w:pPr>
              <w:pStyle w:val="563"/>
              <w:bidi w:val="0"/>
              <w:rPr>
                <w:rFonts w:hint="default"/>
                <w:color w:val="auto"/>
                <w:highlight w:val="none"/>
              </w:rPr>
            </w:pPr>
            <w:r>
              <w:rPr>
                <w:rFonts w:hint="default"/>
                <w:color w:val="auto"/>
                <w:highlight w:val="none"/>
                <w:lang w:val="en-US" w:eastAsia="zh-CN"/>
              </w:rPr>
              <w:t>1</w:t>
            </w:r>
          </w:p>
        </w:tc>
      </w:tr>
      <w:tr w14:paraId="4C3A9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6AFD38F6">
            <w:pPr>
              <w:pStyle w:val="563"/>
              <w:bidi w:val="0"/>
              <w:rPr>
                <w:rFonts w:hint="default"/>
                <w:color w:val="auto"/>
                <w:highlight w:val="none"/>
              </w:rPr>
            </w:pPr>
            <w:r>
              <w:rPr>
                <w:rFonts w:hint="default"/>
                <w:color w:val="auto"/>
                <w:highlight w:val="none"/>
                <w:lang w:val="en-US" w:eastAsia="zh-CN"/>
              </w:rPr>
              <w:t>7</w:t>
            </w:r>
          </w:p>
        </w:tc>
        <w:tc>
          <w:tcPr>
            <w:tcW w:w="424" w:type="dxa"/>
            <w:vMerge w:val="continue"/>
            <w:noWrap w:val="0"/>
            <w:vAlign w:val="center"/>
          </w:tcPr>
          <w:p w14:paraId="54219944">
            <w:pPr>
              <w:pStyle w:val="563"/>
              <w:bidi w:val="0"/>
              <w:rPr>
                <w:rFonts w:hint="eastAsia"/>
                <w:color w:val="auto"/>
                <w:highlight w:val="none"/>
              </w:rPr>
            </w:pPr>
          </w:p>
        </w:tc>
        <w:tc>
          <w:tcPr>
            <w:tcW w:w="708" w:type="dxa"/>
            <w:noWrap w:val="0"/>
            <w:vAlign w:val="center"/>
          </w:tcPr>
          <w:p w14:paraId="7B5EA6D5">
            <w:pPr>
              <w:pStyle w:val="563"/>
              <w:bidi w:val="0"/>
              <w:rPr>
                <w:rFonts w:hint="eastAsia"/>
                <w:color w:val="auto"/>
                <w:highlight w:val="none"/>
              </w:rPr>
            </w:pPr>
            <w:r>
              <w:rPr>
                <w:rFonts w:hint="eastAsia"/>
                <w:color w:val="auto"/>
                <w:highlight w:val="none"/>
                <w:lang w:val="en-US" w:eastAsia="zh-CN"/>
              </w:rPr>
              <w:t>氢气充装柱</w:t>
            </w:r>
          </w:p>
        </w:tc>
        <w:tc>
          <w:tcPr>
            <w:tcW w:w="750" w:type="dxa"/>
            <w:noWrap w:val="0"/>
            <w:vAlign w:val="center"/>
          </w:tcPr>
          <w:p w14:paraId="3303EDF8">
            <w:pPr>
              <w:pStyle w:val="563"/>
              <w:bidi w:val="0"/>
              <w:rPr>
                <w:rFonts w:hint="default"/>
                <w:color w:val="auto"/>
                <w:highlight w:val="none"/>
              </w:rPr>
            </w:pPr>
            <w:r>
              <w:rPr>
                <w:rFonts w:hint="default"/>
                <w:color w:val="auto"/>
                <w:highlight w:val="none"/>
                <w:lang w:val="en-US" w:eastAsia="zh-CN"/>
              </w:rPr>
              <w:t>80</w:t>
            </w:r>
          </w:p>
        </w:tc>
        <w:tc>
          <w:tcPr>
            <w:tcW w:w="0" w:type="auto"/>
            <w:noWrap/>
            <w:vAlign w:val="center"/>
          </w:tcPr>
          <w:p w14:paraId="0D74B565">
            <w:pPr>
              <w:pStyle w:val="563"/>
              <w:bidi w:val="0"/>
              <w:rPr>
                <w:rFonts w:hint="default"/>
                <w:color w:val="auto"/>
                <w:highlight w:val="none"/>
              </w:rPr>
            </w:pPr>
            <w:r>
              <w:rPr>
                <w:rFonts w:hint="default"/>
                <w:color w:val="auto"/>
                <w:highlight w:val="none"/>
                <w:lang w:val="en-US" w:eastAsia="zh-CN"/>
              </w:rPr>
              <w:t>3</w:t>
            </w:r>
          </w:p>
        </w:tc>
        <w:tc>
          <w:tcPr>
            <w:tcW w:w="647" w:type="dxa"/>
            <w:vMerge w:val="continue"/>
            <w:noWrap w:val="0"/>
            <w:vAlign w:val="center"/>
          </w:tcPr>
          <w:p w14:paraId="1611F66B">
            <w:pPr>
              <w:pStyle w:val="563"/>
              <w:bidi w:val="0"/>
              <w:rPr>
                <w:rFonts w:hint="eastAsia"/>
                <w:color w:val="auto"/>
                <w:highlight w:val="none"/>
              </w:rPr>
            </w:pPr>
          </w:p>
        </w:tc>
        <w:tc>
          <w:tcPr>
            <w:tcW w:w="498" w:type="dxa"/>
            <w:noWrap w:val="0"/>
            <w:vAlign w:val="center"/>
          </w:tcPr>
          <w:p w14:paraId="3AF993A3">
            <w:pPr>
              <w:pStyle w:val="563"/>
              <w:bidi w:val="0"/>
              <w:rPr>
                <w:rFonts w:hint="default"/>
                <w:color w:val="auto"/>
                <w:highlight w:val="none"/>
              </w:rPr>
            </w:pPr>
            <w:r>
              <w:rPr>
                <w:rFonts w:hint="default"/>
                <w:color w:val="auto"/>
                <w:highlight w:val="none"/>
                <w:lang w:val="en-US" w:eastAsia="zh-CN"/>
              </w:rPr>
              <w:t>103</w:t>
            </w:r>
          </w:p>
        </w:tc>
        <w:tc>
          <w:tcPr>
            <w:tcW w:w="498" w:type="dxa"/>
            <w:noWrap w:val="0"/>
            <w:vAlign w:val="center"/>
          </w:tcPr>
          <w:p w14:paraId="50688387">
            <w:pPr>
              <w:pStyle w:val="563"/>
              <w:bidi w:val="0"/>
              <w:rPr>
                <w:rFonts w:hint="default"/>
                <w:color w:val="auto"/>
                <w:highlight w:val="none"/>
              </w:rPr>
            </w:pPr>
            <w:r>
              <w:rPr>
                <w:rFonts w:hint="default"/>
                <w:color w:val="auto"/>
                <w:highlight w:val="none"/>
                <w:lang w:val="en-US" w:eastAsia="zh-CN"/>
              </w:rPr>
              <w:t>60</w:t>
            </w:r>
          </w:p>
        </w:tc>
        <w:tc>
          <w:tcPr>
            <w:tcW w:w="491" w:type="dxa"/>
            <w:noWrap w:val="0"/>
            <w:vAlign w:val="center"/>
          </w:tcPr>
          <w:p w14:paraId="297ADD74">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5FCB051F">
            <w:pPr>
              <w:pStyle w:val="563"/>
              <w:bidi w:val="0"/>
              <w:rPr>
                <w:rFonts w:hint="default"/>
                <w:color w:val="auto"/>
                <w:highlight w:val="none"/>
              </w:rPr>
            </w:pPr>
            <w:r>
              <w:rPr>
                <w:rFonts w:hint="default"/>
                <w:color w:val="auto"/>
                <w:highlight w:val="none"/>
                <w:lang w:val="en-US" w:eastAsia="zh-CN"/>
              </w:rPr>
              <w:t>49</w:t>
            </w:r>
          </w:p>
        </w:tc>
        <w:tc>
          <w:tcPr>
            <w:tcW w:w="507" w:type="dxa"/>
            <w:noWrap w:val="0"/>
            <w:vAlign w:val="center"/>
          </w:tcPr>
          <w:p w14:paraId="0DBECB0A">
            <w:pPr>
              <w:pStyle w:val="563"/>
              <w:bidi w:val="0"/>
              <w:rPr>
                <w:rFonts w:hint="default"/>
                <w:color w:val="auto"/>
                <w:highlight w:val="none"/>
              </w:rPr>
            </w:pPr>
            <w:r>
              <w:rPr>
                <w:rFonts w:hint="default"/>
                <w:color w:val="auto"/>
                <w:highlight w:val="none"/>
                <w:lang w:val="en-US" w:eastAsia="zh-CN"/>
              </w:rPr>
              <w:t>103</w:t>
            </w:r>
          </w:p>
        </w:tc>
        <w:tc>
          <w:tcPr>
            <w:tcW w:w="445" w:type="dxa"/>
            <w:noWrap w:val="0"/>
            <w:vAlign w:val="center"/>
          </w:tcPr>
          <w:p w14:paraId="00637CC6">
            <w:pPr>
              <w:pStyle w:val="563"/>
              <w:bidi w:val="0"/>
              <w:rPr>
                <w:rFonts w:hint="default"/>
                <w:color w:val="auto"/>
                <w:highlight w:val="none"/>
              </w:rPr>
            </w:pPr>
            <w:r>
              <w:rPr>
                <w:rFonts w:hint="default"/>
                <w:color w:val="auto"/>
                <w:highlight w:val="none"/>
                <w:lang w:val="en-US" w:eastAsia="zh-CN"/>
              </w:rPr>
              <w:t>60</w:t>
            </w:r>
          </w:p>
        </w:tc>
        <w:tc>
          <w:tcPr>
            <w:tcW w:w="614" w:type="dxa"/>
            <w:noWrap w:val="0"/>
            <w:vAlign w:val="center"/>
          </w:tcPr>
          <w:p w14:paraId="78C2B77F">
            <w:pPr>
              <w:pStyle w:val="563"/>
              <w:bidi w:val="0"/>
              <w:rPr>
                <w:rFonts w:hint="default"/>
                <w:color w:val="auto"/>
                <w:highlight w:val="none"/>
              </w:rPr>
            </w:pPr>
            <w:r>
              <w:rPr>
                <w:rFonts w:hint="default"/>
                <w:color w:val="auto"/>
                <w:highlight w:val="none"/>
                <w:lang w:val="en-US" w:eastAsia="zh-CN"/>
              </w:rPr>
              <w:t>57</w:t>
            </w:r>
          </w:p>
        </w:tc>
        <w:tc>
          <w:tcPr>
            <w:tcW w:w="618" w:type="dxa"/>
            <w:noWrap w:val="0"/>
            <w:vAlign w:val="center"/>
          </w:tcPr>
          <w:p w14:paraId="517E36C3">
            <w:pPr>
              <w:pStyle w:val="563"/>
              <w:bidi w:val="0"/>
              <w:rPr>
                <w:rFonts w:hint="default"/>
                <w:color w:val="auto"/>
                <w:highlight w:val="none"/>
              </w:rPr>
            </w:pPr>
            <w:r>
              <w:rPr>
                <w:rFonts w:hint="default"/>
                <w:color w:val="auto"/>
                <w:highlight w:val="none"/>
                <w:lang w:val="en-US" w:eastAsia="zh-CN"/>
              </w:rPr>
              <w:t>51.0</w:t>
            </w:r>
          </w:p>
        </w:tc>
        <w:tc>
          <w:tcPr>
            <w:tcW w:w="532" w:type="dxa"/>
            <w:noWrap w:val="0"/>
            <w:vAlign w:val="center"/>
          </w:tcPr>
          <w:p w14:paraId="0D0C8457">
            <w:pPr>
              <w:pStyle w:val="563"/>
              <w:bidi w:val="0"/>
              <w:rPr>
                <w:rFonts w:hint="default"/>
                <w:color w:val="auto"/>
                <w:highlight w:val="none"/>
              </w:rPr>
            </w:pPr>
            <w:r>
              <w:rPr>
                <w:rFonts w:hint="default"/>
                <w:color w:val="auto"/>
                <w:highlight w:val="none"/>
                <w:lang w:val="en-US" w:eastAsia="zh-CN"/>
              </w:rPr>
              <w:t>44.5</w:t>
            </w:r>
          </w:p>
        </w:tc>
        <w:tc>
          <w:tcPr>
            <w:tcW w:w="618" w:type="dxa"/>
            <w:noWrap w:val="0"/>
            <w:vAlign w:val="center"/>
          </w:tcPr>
          <w:p w14:paraId="6B922FA9">
            <w:pPr>
              <w:pStyle w:val="563"/>
              <w:bidi w:val="0"/>
              <w:rPr>
                <w:rFonts w:hint="default"/>
                <w:color w:val="auto"/>
                <w:highlight w:val="none"/>
              </w:rPr>
            </w:pPr>
            <w:r>
              <w:rPr>
                <w:rFonts w:hint="default"/>
                <w:color w:val="auto"/>
                <w:highlight w:val="none"/>
                <w:lang w:val="en-US" w:eastAsia="zh-CN"/>
              </w:rPr>
              <w:t>49.2</w:t>
            </w:r>
          </w:p>
        </w:tc>
        <w:tc>
          <w:tcPr>
            <w:tcW w:w="624" w:type="dxa"/>
            <w:noWrap w:val="0"/>
            <w:vAlign w:val="center"/>
          </w:tcPr>
          <w:p w14:paraId="4FCC0159">
            <w:pPr>
              <w:pStyle w:val="563"/>
              <w:bidi w:val="0"/>
              <w:rPr>
                <w:rFonts w:hint="default"/>
                <w:color w:val="auto"/>
                <w:highlight w:val="none"/>
              </w:rPr>
            </w:pPr>
            <w:r>
              <w:rPr>
                <w:rFonts w:hint="default"/>
                <w:color w:val="auto"/>
                <w:highlight w:val="none"/>
                <w:lang w:val="en-US" w:eastAsia="zh-CN"/>
              </w:rPr>
              <w:t>49.7</w:t>
            </w:r>
          </w:p>
        </w:tc>
        <w:tc>
          <w:tcPr>
            <w:tcW w:w="659" w:type="dxa"/>
            <w:vMerge w:val="continue"/>
            <w:noWrap w:val="0"/>
            <w:vAlign w:val="center"/>
          </w:tcPr>
          <w:p w14:paraId="584EA247">
            <w:pPr>
              <w:pStyle w:val="563"/>
              <w:bidi w:val="0"/>
              <w:rPr>
                <w:rFonts w:hint="eastAsia"/>
                <w:color w:val="auto"/>
                <w:highlight w:val="none"/>
              </w:rPr>
            </w:pPr>
          </w:p>
        </w:tc>
        <w:tc>
          <w:tcPr>
            <w:tcW w:w="843" w:type="dxa"/>
            <w:noWrap w:val="0"/>
            <w:vAlign w:val="center"/>
          </w:tcPr>
          <w:p w14:paraId="7B337002">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46E5AE01">
            <w:pPr>
              <w:pStyle w:val="563"/>
              <w:bidi w:val="0"/>
              <w:rPr>
                <w:rFonts w:hint="default"/>
                <w:color w:val="auto"/>
                <w:highlight w:val="none"/>
              </w:rPr>
            </w:pPr>
            <w:r>
              <w:rPr>
                <w:rFonts w:hint="default"/>
                <w:color w:val="auto"/>
                <w:highlight w:val="none"/>
                <w:lang w:val="en-US" w:eastAsia="zh-CN"/>
              </w:rPr>
              <w:t>36.0</w:t>
            </w:r>
          </w:p>
        </w:tc>
        <w:tc>
          <w:tcPr>
            <w:tcW w:w="659" w:type="dxa"/>
            <w:noWrap w:val="0"/>
            <w:vAlign w:val="center"/>
          </w:tcPr>
          <w:p w14:paraId="49B83F5E">
            <w:pPr>
              <w:pStyle w:val="563"/>
              <w:bidi w:val="0"/>
              <w:rPr>
                <w:rFonts w:hint="default"/>
                <w:color w:val="auto"/>
                <w:highlight w:val="none"/>
              </w:rPr>
            </w:pPr>
            <w:r>
              <w:rPr>
                <w:rFonts w:hint="default"/>
                <w:color w:val="auto"/>
                <w:highlight w:val="none"/>
                <w:lang w:val="en-US" w:eastAsia="zh-CN"/>
              </w:rPr>
              <w:t>29.5</w:t>
            </w:r>
          </w:p>
        </w:tc>
        <w:tc>
          <w:tcPr>
            <w:tcW w:w="624" w:type="dxa"/>
            <w:noWrap w:val="0"/>
            <w:vAlign w:val="center"/>
          </w:tcPr>
          <w:p w14:paraId="0898C576">
            <w:pPr>
              <w:pStyle w:val="563"/>
              <w:bidi w:val="0"/>
              <w:rPr>
                <w:rFonts w:hint="default"/>
                <w:color w:val="auto"/>
                <w:highlight w:val="none"/>
              </w:rPr>
            </w:pPr>
            <w:r>
              <w:rPr>
                <w:rFonts w:hint="default"/>
                <w:color w:val="auto"/>
                <w:highlight w:val="none"/>
                <w:lang w:val="en-US" w:eastAsia="zh-CN"/>
              </w:rPr>
              <w:t>34.2</w:t>
            </w:r>
          </w:p>
        </w:tc>
        <w:tc>
          <w:tcPr>
            <w:tcW w:w="632" w:type="dxa"/>
            <w:noWrap w:val="0"/>
            <w:vAlign w:val="center"/>
          </w:tcPr>
          <w:p w14:paraId="40C31E92">
            <w:pPr>
              <w:pStyle w:val="563"/>
              <w:bidi w:val="0"/>
              <w:rPr>
                <w:rFonts w:hint="default"/>
                <w:color w:val="auto"/>
                <w:highlight w:val="none"/>
              </w:rPr>
            </w:pPr>
            <w:r>
              <w:rPr>
                <w:rFonts w:hint="default"/>
                <w:color w:val="auto"/>
                <w:highlight w:val="none"/>
                <w:lang w:val="en-US" w:eastAsia="zh-CN"/>
              </w:rPr>
              <w:t>34.7</w:t>
            </w:r>
          </w:p>
        </w:tc>
        <w:tc>
          <w:tcPr>
            <w:tcW w:w="667" w:type="dxa"/>
            <w:noWrap w:val="0"/>
            <w:vAlign w:val="center"/>
          </w:tcPr>
          <w:p w14:paraId="00BFC64A">
            <w:pPr>
              <w:pStyle w:val="563"/>
              <w:bidi w:val="0"/>
              <w:rPr>
                <w:rFonts w:hint="default"/>
                <w:color w:val="auto"/>
                <w:highlight w:val="none"/>
              </w:rPr>
            </w:pPr>
            <w:r>
              <w:rPr>
                <w:rFonts w:hint="default"/>
                <w:color w:val="auto"/>
                <w:highlight w:val="none"/>
                <w:lang w:val="en-US" w:eastAsia="zh-CN"/>
              </w:rPr>
              <w:t>1</w:t>
            </w:r>
          </w:p>
        </w:tc>
      </w:tr>
      <w:tr w14:paraId="20123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004AA2F0">
            <w:pPr>
              <w:pStyle w:val="563"/>
              <w:bidi w:val="0"/>
              <w:rPr>
                <w:rFonts w:hint="default"/>
                <w:color w:val="auto"/>
                <w:highlight w:val="none"/>
              </w:rPr>
            </w:pPr>
            <w:r>
              <w:rPr>
                <w:rFonts w:hint="default"/>
                <w:color w:val="auto"/>
                <w:highlight w:val="none"/>
                <w:lang w:val="en-US" w:eastAsia="zh-CN"/>
              </w:rPr>
              <w:t>8</w:t>
            </w:r>
          </w:p>
        </w:tc>
        <w:tc>
          <w:tcPr>
            <w:tcW w:w="424" w:type="dxa"/>
            <w:vMerge w:val="continue"/>
            <w:noWrap w:val="0"/>
            <w:vAlign w:val="center"/>
          </w:tcPr>
          <w:p w14:paraId="23CF69CF">
            <w:pPr>
              <w:pStyle w:val="563"/>
              <w:bidi w:val="0"/>
              <w:rPr>
                <w:rFonts w:hint="eastAsia"/>
                <w:color w:val="auto"/>
                <w:highlight w:val="none"/>
              </w:rPr>
            </w:pPr>
          </w:p>
        </w:tc>
        <w:tc>
          <w:tcPr>
            <w:tcW w:w="708" w:type="dxa"/>
            <w:noWrap w:val="0"/>
            <w:vAlign w:val="center"/>
          </w:tcPr>
          <w:p w14:paraId="13855C10">
            <w:pPr>
              <w:pStyle w:val="563"/>
              <w:bidi w:val="0"/>
              <w:rPr>
                <w:rFonts w:hint="eastAsia"/>
                <w:color w:val="auto"/>
                <w:highlight w:val="none"/>
              </w:rPr>
            </w:pPr>
            <w:r>
              <w:rPr>
                <w:rFonts w:hint="eastAsia"/>
                <w:color w:val="auto"/>
                <w:highlight w:val="none"/>
                <w:lang w:val="en-US" w:eastAsia="zh-CN"/>
              </w:rPr>
              <w:t>净化生物沼气减压撬</w:t>
            </w:r>
          </w:p>
        </w:tc>
        <w:tc>
          <w:tcPr>
            <w:tcW w:w="750" w:type="dxa"/>
            <w:noWrap w:val="0"/>
            <w:vAlign w:val="center"/>
          </w:tcPr>
          <w:p w14:paraId="13DA1B26">
            <w:pPr>
              <w:pStyle w:val="563"/>
              <w:bidi w:val="0"/>
              <w:rPr>
                <w:rFonts w:hint="default"/>
                <w:color w:val="auto"/>
                <w:highlight w:val="none"/>
              </w:rPr>
            </w:pPr>
            <w:r>
              <w:rPr>
                <w:rFonts w:hint="default"/>
                <w:color w:val="auto"/>
                <w:highlight w:val="none"/>
                <w:lang w:val="en-US" w:eastAsia="zh-CN"/>
              </w:rPr>
              <w:t>80</w:t>
            </w:r>
          </w:p>
        </w:tc>
        <w:tc>
          <w:tcPr>
            <w:tcW w:w="0" w:type="auto"/>
            <w:noWrap/>
            <w:vAlign w:val="center"/>
          </w:tcPr>
          <w:p w14:paraId="284FA116">
            <w:pPr>
              <w:pStyle w:val="563"/>
              <w:bidi w:val="0"/>
              <w:rPr>
                <w:rFonts w:hint="default"/>
                <w:color w:val="auto"/>
                <w:highlight w:val="none"/>
              </w:rPr>
            </w:pPr>
            <w:r>
              <w:rPr>
                <w:rFonts w:hint="default"/>
                <w:color w:val="auto"/>
                <w:highlight w:val="none"/>
                <w:lang w:val="en-US" w:eastAsia="zh-CN"/>
              </w:rPr>
              <w:t>3</w:t>
            </w:r>
          </w:p>
        </w:tc>
        <w:tc>
          <w:tcPr>
            <w:tcW w:w="647" w:type="dxa"/>
            <w:vMerge w:val="continue"/>
            <w:noWrap w:val="0"/>
            <w:vAlign w:val="center"/>
          </w:tcPr>
          <w:p w14:paraId="77CC6211">
            <w:pPr>
              <w:pStyle w:val="563"/>
              <w:bidi w:val="0"/>
              <w:rPr>
                <w:rFonts w:hint="eastAsia"/>
                <w:color w:val="auto"/>
                <w:highlight w:val="none"/>
              </w:rPr>
            </w:pPr>
          </w:p>
        </w:tc>
        <w:tc>
          <w:tcPr>
            <w:tcW w:w="498" w:type="dxa"/>
            <w:noWrap w:val="0"/>
            <w:vAlign w:val="center"/>
          </w:tcPr>
          <w:p w14:paraId="78317E09">
            <w:pPr>
              <w:pStyle w:val="563"/>
              <w:bidi w:val="0"/>
              <w:rPr>
                <w:rFonts w:hint="default"/>
                <w:color w:val="auto"/>
                <w:highlight w:val="none"/>
              </w:rPr>
            </w:pPr>
            <w:r>
              <w:rPr>
                <w:rFonts w:hint="default"/>
                <w:color w:val="auto"/>
                <w:highlight w:val="none"/>
                <w:lang w:val="en-US" w:eastAsia="zh-CN"/>
              </w:rPr>
              <w:t>110</w:t>
            </w:r>
          </w:p>
        </w:tc>
        <w:tc>
          <w:tcPr>
            <w:tcW w:w="498" w:type="dxa"/>
            <w:noWrap w:val="0"/>
            <w:vAlign w:val="center"/>
          </w:tcPr>
          <w:p w14:paraId="2021E36C">
            <w:pPr>
              <w:pStyle w:val="563"/>
              <w:bidi w:val="0"/>
              <w:rPr>
                <w:rFonts w:hint="default"/>
                <w:color w:val="auto"/>
                <w:highlight w:val="none"/>
              </w:rPr>
            </w:pPr>
            <w:r>
              <w:rPr>
                <w:rFonts w:hint="default"/>
                <w:color w:val="auto"/>
                <w:highlight w:val="none"/>
                <w:lang w:val="en-US" w:eastAsia="zh-CN"/>
              </w:rPr>
              <w:t>58</w:t>
            </w:r>
          </w:p>
        </w:tc>
        <w:tc>
          <w:tcPr>
            <w:tcW w:w="491" w:type="dxa"/>
            <w:noWrap w:val="0"/>
            <w:vAlign w:val="center"/>
          </w:tcPr>
          <w:p w14:paraId="053BE2C7">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35CE9998">
            <w:pPr>
              <w:pStyle w:val="563"/>
              <w:bidi w:val="0"/>
              <w:rPr>
                <w:rFonts w:hint="default"/>
                <w:color w:val="auto"/>
                <w:highlight w:val="none"/>
              </w:rPr>
            </w:pPr>
            <w:r>
              <w:rPr>
                <w:rFonts w:hint="default"/>
                <w:color w:val="auto"/>
                <w:highlight w:val="none"/>
                <w:lang w:val="en-US" w:eastAsia="zh-CN"/>
              </w:rPr>
              <w:t>42</w:t>
            </w:r>
          </w:p>
        </w:tc>
        <w:tc>
          <w:tcPr>
            <w:tcW w:w="507" w:type="dxa"/>
            <w:noWrap w:val="0"/>
            <w:vAlign w:val="center"/>
          </w:tcPr>
          <w:p w14:paraId="7A754E14">
            <w:pPr>
              <w:pStyle w:val="563"/>
              <w:bidi w:val="0"/>
              <w:rPr>
                <w:rFonts w:hint="default"/>
                <w:color w:val="auto"/>
                <w:highlight w:val="none"/>
              </w:rPr>
            </w:pPr>
            <w:r>
              <w:rPr>
                <w:rFonts w:hint="default"/>
                <w:color w:val="auto"/>
                <w:highlight w:val="none"/>
                <w:lang w:val="en-US" w:eastAsia="zh-CN"/>
              </w:rPr>
              <w:t>110</w:t>
            </w:r>
          </w:p>
        </w:tc>
        <w:tc>
          <w:tcPr>
            <w:tcW w:w="445" w:type="dxa"/>
            <w:noWrap w:val="0"/>
            <w:vAlign w:val="center"/>
          </w:tcPr>
          <w:p w14:paraId="192145BD">
            <w:pPr>
              <w:pStyle w:val="563"/>
              <w:bidi w:val="0"/>
              <w:rPr>
                <w:rFonts w:hint="default"/>
                <w:color w:val="auto"/>
                <w:highlight w:val="none"/>
              </w:rPr>
            </w:pPr>
            <w:r>
              <w:rPr>
                <w:rFonts w:hint="default"/>
                <w:color w:val="auto"/>
                <w:highlight w:val="none"/>
                <w:lang w:val="en-US" w:eastAsia="zh-CN"/>
              </w:rPr>
              <w:t>58</w:t>
            </w:r>
          </w:p>
        </w:tc>
        <w:tc>
          <w:tcPr>
            <w:tcW w:w="614" w:type="dxa"/>
            <w:noWrap w:val="0"/>
            <w:vAlign w:val="center"/>
          </w:tcPr>
          <w:p w14:paraId="26FAA34E">
            <w:pPr>
              <w:pStyle w:val="563"/>
              <w:bidi w:val="0"/>
              <w:rPr>
                <w:rFonts w:hint="default"/>
                <w:color w:val="auto"/>
                <w:highlight w:val="none"/>
              </w:rPr>
            </w:pPr>
            <w:r>
              <w:rPr>
                <w:rFonts w:hint="default"/>
                <w:color w:val="auto"/>
                <w:highlight w:val="none"/>
                <w:lang w:val="en-US" w:eastAsia="zh-CN"/>
              </w:rPr>
              <w:t>59</w:t>
            </w:r>
          </w:p>
        </w:tc>
        <w:tc>
          <w:tcPr>
            <w:tcW w:w="618" w:type="dxa"/>
            <w:noWrap w:val="0"/>
            <w:vAlign w:val="center"/>
          </w:tcPr>
          <w:p w14:paraId="7BDF2307">
            <w:pPr>
              <w:pStyle w:val="563"/>
              <w:bidi w:val="0"/>
              <w:rPr>
                <w:rFonts w:hint="default"/>
                <w:color w:val="auto"/>
                <w:highlight w:val="none"/>
              </w:rPr>
            </w:pPr>
            <w:r>
              <w:rPr>
                <w:rFonts w:hint="default"/>
                <w:color w:val="auto"/>
                <w:highlight w:val="none"/>
                <w:lang w:val="en-US" w:eastAsia="zh-CN"/>
              </w:rPr>
              <w:t>52.3</w:t>
            </w:r>
          </w:p>
        </w:tc>
        <w:tc>
          <w:tcPr>
            <w:tcW w:w="532" w:type="dxa"/>
            <w:noWrap w:val="0"/>
            <w:vAlign w:val="center"/>
          </w:tcPr>
          <w:p w14:paraId="4E15CFB5">
            <w:pPr>
              <w:pStyle w:val="563"/>
              <w:bidi w:val="0"/>
              <w:rPr>
                <w:rFonts w:hint="default"/>
                <w:color w:val="auto"/>
                <w:highlight w:val="none"/>
              </w:rPr>
            </w:pPr>
            <w:r>
              <w:rPr>
                <w:rFonts w:hint="default"/>
                <w:color w:val="auto"/>
                <w:highlight w:val="none"/>
                <w:lang w:val="en-US" w:eastAsia="zh-CN"/>
              </w:rPr>
              <w:t>43.9</w:t>
            </w:r>
          </w:p>
        </w:tc>
        <w:tc>
          <w:tcPr>
            <w:tcW w:w="618" w:type="dxa"/>
            <w:noWrap w:val="0"/>
            <w:vAlign w:val="center"/>
          </w:tcPr>
          <w:p w14:paraId="5DB2F3FF">
            <w:pPr>
              <w:pStyle w:val="563"/>
              <w:bidi w:val="0"/>
              <w:rPr>
                <w:rFonts w:hint="default"/>
                <w:color w:val="auto"/>
                <w:highlight w:val="none"/>
              </w:rPr>
            </w:pPr>
            <w:r>
              <w:rPr>
                <w:rFonts w:hint="default"/>
                <w:color w:val="auto"/>
                <w:highlight w:val="none"/>
                <w:lang w:val="en-US" w:eastAsia="zh-CN"/>
              </w:rPr>
              <w:t>49.5</w:t>
            </w:r>
          </w:p>
        </w:tc>
        <w:tc>
          <w:tcPr>
            <w:tcW w:w="624" w:type="dxa"/>
            <w:noWrap w:val="0"/>
            <w:vAlign w:val="center"/>
          </w:tcPr>
          <w:p w14:paraId="64D6EDAB">
            <w:pPr>
              <w:pStyle w:val="563"/>
              <w:bidi w:val="0"/>
              <w:rPr>
                <w:rFonts w:hint="default"/>
                <w:color w:val="auto"/>
                <w:highlight w:val="none"/>
              </w:rPr>
            </w:pPr>
            <w:r>
              <w:rPr>
                <w:rFonts w:hint="default"/>
                <w:color w:val="auto"/>
                <w:highlight w:val="none"/>
                <w:lang w:val="en-US" w:eastAsia="zh-CN"/>
              </w:rPr>
              <w:t>49.4</w:t>
            </w:r>
          </w:p>
        </w:tc>
        <w:tc>
          <w:tcPr>
            <w:tcW w:w="659" w:type="dxa"/>
            <w:vMerge w:val="continue"/>
            <w:noWrap w:val="0"/>
            <w:vAlign w:val="center"/>
          </w:tcPr>
          <w:p w14:paraId="3EAA7A03">
            <w:pPr>
              <w:pStyle w:val="563"/>
              <w:bidi w:val="0"/>
              <w:rPr>
                <w:rFonts w:hint="eastAsia"/>
                <w:color w:val="auto"/>
                <w:highlight w:val="none"/>
              </w:rPr>
            </w:pPr>
          </w:p>
        </w:tc>
        <w:tc>
          <w:tcPr>
            <w:tcW w:w="843" w:type="dxa"/>
            <w:noWrap w:val="0"/>
            <w:vAlign w:val="center"/>
          </w:tcPr>
          <w:p w14:paraId="276B455A">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43974084">
            <w:pPr>
              <w:pStyle w:val="563"/>
              <w:bidi w:val="0"/>
              <w:rPr>
                <w:rFonts w:hint="default"/>
                <w:color w:val="auto"/>
                <w:highlight w:val="none"/>
              </w:rPr>
            </w:pPr>
            <w:r>
              <w:rPr>
                <w:rFonts w:hint="default"/>
                <w:color w:val="auto"/>
                <w:highlight w:val="none"/>
                <w:lang w:val="en-US" w:eastAsia="zh-CN"/>
              </w:rPr>
              <w:t>37.3</w:t>
            </w:r>
          </w:p>
        </w:tc>
        <w:tc>
          <w:tcPr>
            <w:tcW w:w="659" w:type="dxa"/>
            <w:noWrap w:val="0"/>
            <w:vAlign w:val="center"/>
          </w:tcPr>
          <w:p w14:paraId="118B6EE6">
            <w:pPr>
              <w:pStyle w:val="563"/>
              <w:bidi w:val="0"/>
              <w:rPr>
                <w:rFonts w:hint="default"/>
                <w:color w:val="auto"/>
                <w:highlight w:val="none"/>
              </w:rPr>
            </w:pPr>
            <w:r>
              <w:rPr>
                <w:rFonts w:hint="default"/>
                <w:color w:val="auto"/>
                <w:highlight w:val="none"/>
                <w:lang w:val="en-US" w:eastAsia="zh-CN"/>
              </w:rPr>
              <w:t>28.9</w:t>
            </w:r>
          </w:p>
        </w:tc>
        <w:tc>
          <w:tcPr>
            <w:tcW w:w="624" w:type="dxa"/>
            <w:noWrap w:val="0"/>
            <w:vAlign w:val="center"/>
          </w:tcPr>
          <w:p w14:paraId="2AF2CEC1">
            <w:pPr>
              <w:pStyle w:val="563"/>
              <w:bidi w:val="0"/>
              <w:rPr>
                <w:rFonts w:hint="default"/>
                <w:color w:val="auto"/>
                <w:highlight w:val="none"/>
              </w:rPr>
            </w:pPr>
            <w:r>
              <w:rPr>
                <w:rFonts w:hint="default"/>
                <w:color w:val="auto"/>
                <w:highlight w:val="none"/>
                <w:lang w:val="en-US" w:eastAsia="zh-CN"/>
              </w:rPr>
              <w:t>34.5</w:t>
            </w:r>
          </w:p>
        </w:tc>
        <w:tc>
          <w:tcPr>
            <w:tcW w:w="632" w:type="dxa"/>
            <w:noWrap w:val="0"/>
            <w:vAlign w:val="center"/>
          </w:tcPr>
          <w:p w14:paraId="5919053F">
            <w:pPr>
              <w:pStyle w:val="563"/>
              <w:bidi w:val="0"/>
              <w:rPr>
                <w:rFonts w:hint="default"/>
                <w:color w:val="auto"/>
                <w:highlight w:val="none"/>
              </w:rPr>
            </w:pPr>
            <w:r>
              <w:rPr>
                <w:rFonts w:hint="default"/>
                <w:color w:val="auto"/>
                <w:highlight w:val="none"/>
                <w:lang w:val="en-US" w:eastAsia="zh-CN"/>
              </w:rPr>
              <w:t>34.4</w:t>
            </w:r>
          </w:p>
        </w:tc>
        <w:tc>
          <w:tcPr>
            <w:tcW w:w="667" w:type="dxa"/>
            <w:noWrap w:val="0"/>
            <w:vAlign w:val="center"/>
          </w:tcPr>
          <w:p w14:paraId="34526F8D">
            <w:pPr>
              <w:pStyle w:val="563"/>
              <w:bidi w:val="0"/>
              <w:rPr>
                <w:rFonts w:hint="default"/>
                <w:color w:val="auto"/>
                <w:highlight w:val="none"/>
              </w:rPr>
            </w:pPr>
            <w:r>
              <w:rPr>
                <w:rFonts w:hint="default"/>
                <w:color w:val="auto"/>
                <w:highlight w:val="none"/>
                <w:lang w:val="en-US" w:eastAsia="zh-CN"/>
              </w:rPr>
              <w:t>1</w:t>
            </w:r>
          </w:p>
        </w:tc>
      </w:tr>
      <w:tr w14:paraId="330C1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413F4B4C">
            <w:pPr>
              <w:pStyle w:val="563"/>
              <w:bidi w:val="0"/>
              <w:rPr>
                <w:rFonts w:hint="default"/>
                <w:color w:val="auto"/>
                <w:highlight w:val="none"/>
              </w:rPr>
            </w:pPr>
            <w:r>
              <w:rPr>
                <w:rFonts w:hint="default"/>
                <w:color w:val="auto"/>
                <w:highlight w:val="none"/>
                <w:lang w:val="en-US" w:eastAsia="zh-CN"/>
              </w:rPr>
              <w:t>9</w:t>
            </w:r>
          </w:p>
        </w:tc>
        <w:tc>
          <w:tcPr>
            <w:tcW w:w="424" w:type="dxa"/>
            <w:vMerge w:val="continue"/>
            <w:noWrap w:val="0"/>
            <w:vAlign w:val="center"/>
          </w:tcPr>
          <w:p w14:paraId="00A3825A">
            <w:pPr>
              <w:pStyle w:val="563"/>
              <w:bidi w:val="0"/>
              <w:rPr>
                <w:rFonts w:hint="eastAsia"/>
                <w:color w:val="auto"/>
                <w:highlight w:val="none"/>
              </w:rPr>
            </w:pPr>
          </w:p>
        </w:tc>
        <w:tc>
          <w:tcPr>
            <w:tcW w:w="708" w:type="dxa"/>
            <w:noWrap w:val="0"/>
            <w:vAlign w:val="center"/>
          </w:tcPr>
          <w:p w14:paraId="5B15D4EA">
            <w:pPr>
              <w:pStyle w:val="563"/>
              <w:bidi w:val="0"/>
              <w:rPr>
                <w:rFonts w:hint="eastAsia"/>
                <w:color w:val="auto"/>
                <w:highlight w:val="none"/>
              </w:rPr>
            </w:pPr>
            <w:r>
              <w:rPr>
                <w:rFonts w:hint="eastAsia"/>
                <w:color w:val="auto"/>
                <w:highlight w:val="none"/>
                <w:lang w:val="en-US" w:eastAsia="zh-CN"/>
              </w:rPr>
              <w:t>氮气汇流排</w:t>
            </w:r>
          </w:p>
        </w:tc>
        <w:tc>
          <w:tcPr>
            <w:tcW w:w="750" w:type="dxa"/>
            <w:noWrap w:val="0"/>
            <w:vAlign w:val="center"/>
          </w:tcPr>
          <w:p w14:paraId="6359C49F">
            <w:pPr>
              <w:pStyle w:val="563"/>
              <w:bidi w:val="0"/>
              <w:rPr>
                <w:rFonts w:hint="default"/>
                <w:color w:val="auto"/>
                <w:highlight w:val="none"/>
              </w:rPr>
            </w:pPr>
            <w:r>
              <w:rPr>
                <w:rFonts w:hint="default"/>
                <w:color w:val="auto"/>
                <w:highlight w:val="none"/>
                <w:lang w:val="en-US" w:eastAsia="zh-CN"/>
              </w:rPr>
              <w:t>85</w:t>
            </w:r>
          </w:p>
        </w:tc>
        <w:tc>
          <w:tcPr>
            <w:tcW w:w="0" w:type="auto"/>
            <w:noWrap/>
            <w:vAlign w:val="center"/>
          </w:tcPr>
          <w:p w14:paraId="6B7030B4">
            <w:pPr>
              <w:pStyle w:val="563"/>
              <w:bidi w:val="0"/>
              <w:rPr>
                <w:rFonts w:hint="default"/>
                <w:color w:val="auto"/>
                <w:highlight w:val="none"/>
              </w:rPr>
            </w:pPr>
            <w:r>
              <w:rPr>
                <w:rFonts w:hint="default"/>
                <w:color w:val="auto"/>
                <w:highlight w:val="none"/>
                <w:lang w:val="en-US" w:eastAsia="zh-CN"/>
              </w:rPr>
              <w:t>1</w:t>
            </w:r>
          </w:p>
        </w:tc>
        <w:tc>
          <w:tcPr>
            <w:tcW w:w="647" w:type="dxa"/>
            <w:vMerge w:val="continue"/>
            <w:noWrap w:val="0"/>
            <w:vAlign w:val="center"/>
          </w:tcPr>
          <w:p w14:paraId="6775AC0D">
            <w:pPr>
              <w:pStyle w:val="563"/>
              <w:bidi w:val="0"/>
              <w:rPr>
                <w:rFonts w:hint="eastAsia"/>
                <w:color w:val="auto"/>
                <w:highlight w:val="none"/>
              </w:rPr>
            </w:pPr>
          </w:p>
        </w:tc>
        <w:tc>
          <w:tcPr>
            <w:tcW w:w="498" w:type="dxa"/>
            <w:noWrap w:val="0"/>
            <w:vAlign w:val="center"/>
          </w:tcPr>
          <w:p w14:paraId="5B268D60">
            <w:pPr>
              <w:pStyle w:val="563"/>
              <w:bidi w:val="0"/>
              <w:rPr>
                <w:rFonts w:hint="default"/>
                <w:color w:val="auto"/>
                <w:highlight w:val="none"/>
              </w:rPr>
            </w:pPr>
            <w:r>
              <w:rPr>
                <w:rFonts w:hint="default"/>
                <w:color w:val="auto"/>
                <w:highlight w:val="none"/>
                <w:lang w:val="en-US" w:eastAsia="zh-CN"/>
              </w:rPr>
              <w:t>80</w:t>
            </w:r>
          </w:p>
        </w:tc>
        <w:tc>
          <w:tcPr>
            <w:tcW w:w="498" w:type="dxa"/>
            <w:noWrap w:val="0"/>
            <w:vAlign w:val="center"/>
          </w:tcPr>
          <w:p w14:paraId="01A126FC">
            <w:pPr>
              <w:pStyle w:val="563"/>
              <w:bidi w:val="0"/>
              <w:rPr>
                <w:rFonts w:hint="default"/>
                <w:color w:val="auto"/>
                <w:highlight w:val="none"/>
              </w:rPr>
            </w:pPr>
            <w:r>
              <w:rPr>
                <w:rFonts w:hint="default"/>
                <w:color w:val="auto"/>
                <w:highlight w:val="none"/>
                <w:lang w:val="en-US" w:eastAsia="zh-CN"/>
              </w:rPr>
              <w:t>62</w:t>
            </w:r>
          </w:p>
        </w:tc>
        <w:tc>
          <w:tcPr>
            <w:tcW w:w="491" w:type="dxa"/>
            <w:noWrap w:val="0"/>
            <w:vAlign w:val="center"/>
          </w:tcPr>
          <w:p w14:paraId="797F4083">
            <w:pPr>
              <w:pStyle w:val="563"/>
              <w:bidi w:val="0"/>
              <w:rPr>
                <w:rFonts w:hint="default"/>
                <w:color w:val="auto"/>
                <w:highlight w:val="none"/>
              </w:rPr>
            </w:pPr>
            <w:r>
              <w:rPr>
                <w:rFonts w:hint="default"/>
                <w:color w:val="auto"/>
                <w:highlight w:val="none"/>
                <w:lang w:val="en-US" w:eastAsia="zh-CN"/>
              </w:rPr>
              <w:t>2</w:t>
            </w:r>
          </w:p>
        </w:tc>
        <w:tc>
          <w:tcPr>
            <w:tcW w:w="461" w:type="dxa"/>
            <w:noWrap w:val="0"/>
            <w:vAlign w:val="center"/>
          </w:tcPr>
          <w:p w14:paraId="3C91EC37">
            <w:pPr>
              <w:pStyle w:val="563"/>
              <w:bidi w:val="0"/>
              <w:rPr>
                <w:rFonts w:hint="default"/>
                <w:color w:val="auto"/>
                <w:highlight w:val="none"/>
              </w:rPr>
            </w:pPr>
            <w:r>
              <w:rPr>
                <w:rFonts w:hint="default"/>
                <w:color w:val="auto"/>
                <w:highlight w:val="none"/>
                <w:lang w:val="en-US" w:eastAsia="zh-CN"/>
              </w:rPr>
              <w:t>72</w:t>
            </w:r>
          </w:p>
        </w:tc>
        <w:tc>
          <w:tcPr>
            <w:tcW w:w="507" w:type="dxa"/>
            <w:noWrap w:val="0"/>
            <w:vAlign w:val="center"/>
          </w:tcPr>
          <w:p w14:paraId="33CF602F">
            <w:pPr>
              <w:pStyle w:val="563"/>
              <w:bidi w:val="0"/>
              <w:rPr>
                <w:rFonts w:hint="default"/>
                <w:color w:val="auto"/>
                <w:highlight w:val="none"/>
              </w:rPr>
            </w:pPr>
            <w:r>
              <w:rPr>
                <w:rFonts w:hint="default"/>
                <w:color w:val="auto"/>
                <w:highlight w:val="none"/>
                <w:lang w:val="en-US" w:eastAsia="zh-CN"/>
              </w:rPr>
              <w:t>80</w:t>
            </w:r>
          </w:p>
        </w:tc>
        <w:tc>
          <w:tcPr>
            <w:tcW w:w="445" w:type="dxa"/>
            <w:noWrap w:val="0"/>
            <w:vAlign w:val="center"/>
          </w:tcPr>
          <w:p w14:paraId="00B27781">
            <w:pPr>
              <w:pStyle w:val="563"/>
              <w:bidi w:val="0"/>
              <w:rPr>
                <w:rFonts w:hint="default"/>
                <w:color w:val="auto"/>
                <w:highlight w:val="none"/>
              </w:rPr>
            </w:pPr>
            <w:r>
              <w:rPr>
                <w:rFonts w:hint="default"/>
                <w:color w:val="auto"/>
                <w:highlight w:val="none"/>
                <w:lang w:val="en-US" w:eastAsia="zh-CN"/>
              </w:rPr>
              <w:t>62</w:t>
            </w:r>
          </w:p>
        </w:tc>
        <w:tc>
          <w:tcPr>
            <w:tcW w:w="614" w:type="dxa"/>
            <w:noWrap w:val="0"/>
            <w:vAlign w:val="center"/>
          </w:tcPr>
          <w:p w14:paraId="0DDA9382">
            <w:pPr>
              <w:pStyle w:val="563"/>
              <w:bidi w:val="0"/>
              <w:rPr>
                <w:rFonts w:hint="default"/>
                <w:color w:val="auto"/>
                <w:highlight w:val="none"/>
              </w:rPr>
            </w:pPr>
            <w:r>
              <w:rPr>
                <w:rFonts w:hint="default"/>
                <w:color w:val="auto"/>
                <w:highlight w:val="none"/>
                <w:lang w:val="en-US" w:eastAsia="zh-CN"/>
              </w:rPr>
              <w:t>55</w:t>
            </w:r>
          </w:p>
        </w:tc>
        <w:tc>
          <w:tcPr>
            <w:tcW w:w="618" w:type="dxa"/>
            <w:noWrap w:val="0"/>
            <w:vAlign w:val="center"/>
          </w:tcPr>
          <w:p w14:paraId="7869DB4C">
            <w:pPr>
              <w:pStyle w:val="563"/>
              <w:bidi w:val="0"/>
              <w:rPr>
                <w:rFonts w:hint="default"/>
                <w:color w:val="auto"/>
                <w:highlight w:val="none"/>
              </w:rPr>
            </w:pPr>
            <w:r>
              <w:rPr>
                <w:rFonts w:hint="default"/>
                <w:color w:val="auto"/>
                <w:highlight w:val="none"/>
                <w:lang w:val="en-US" w:eastAsia="zh-CN"/>
              </w:rPr>
              <w:t>47.9</w:t>
            </w:r>
          </w:p>
        </w:tc>
        <w:tc>
          <w:tcPr>
            <w:tcW w:w="532" w:type="dxa"/>
            <w:noWrap w:val="0"/>
            <w:vAlign w:val="center"/>
          </w:tcPr>
          <w:p w14:paraId="1F58D00B">
            <w:pPr>
              <w:pStyle w:val="563"/>
              <w:bidi w:val="0"/>
              <w:rPr>
                <w:rFonts w:hint="default"/>
                <w:color w:val="auto"/>
                <w:highlight w:val="none"/>
              </w:rPr>
            </w:pPr>
            <w:r>
              <w:rPr>
                <w:rFonts w:hint="default"/>
                <w:color w:val="auto"/>
                <w:highlight w:val="none"/>
                <w:lang w:val="en-US" w:eastAsia="zh-CN"/>
              </w:rPr>
              <w:t>46.9</w:t>
            </w:r>
          </w:p>
        </w:tc>
        <w:tc>
          <w:tcPr>
            <w:tcW w:w="618" w:type="dxa"/>
            <w:noWrap w:val="0"/>
            <w:vAlign w:val="center"/>
          </w:tcPr>
          <w:p w14:paraId="35BF952B">
            <w:pPr>
              <w:pStyle w:val="563"/>
              <w:bidi w:val="0"/>
              <w:rPr>
                <w:rFonts w:hint="default"/>
                <w:color w:val="auto"/>
                <w:highlight w:val="none"/>
              </w:rPr>
            </w:pPr>
            <w:r>
              <w:rPr>
                <w:rFonts w:hint="default"/>
                <w:color w:val="auto"/>
                <w:highlight w:val="none"/>
                <w:lang w:val="en-US" w:eastAsia="zh-CN"/>
              </w:rPr>
              <w:t>49.2</w:t>
            </w:r>
          </w:p>
        </w:tc>
        <w:tc>
          <w:tcPr>
            <w:tcW w:w="624" w:type="dxa"/>
            <w:noWrap w:val="0"/>
            <w:vAlign w:val="center"/>
          </w:tcPr>
          <w:p w14:paraId="745299DC">
            <w:pPr>
              <w:pStyle w:val="563"/>
              <w:bidi w:val="0"/>
              <w:rPr>
                <w:rFonts w:hint="default"/>
                <w:color w:val="auto"/>
                <w:highlight w:val="none"/>
              </w:rPr>
            </w:pPr>
            <w:r>
              <w:rPr>
                <w:rFonts w:hint="default"/>
                <w:color w:val="auto"/>
                <w:highlight w:val="none"/>
                <w:lang w:val="en-US" w:eastAsia="zh-CN"/>
              </w:rPr>
              <w:t>50.2</w:t>
            </w:r>
          </w:p>
        </w:tc>
        <w:tc>
          <w:tcPr>
            <w:tcW w:w="659" w:type="dxa"/>
            <w:vMerge w:val="continue"/>
            <w:noWrap w:val="0"/>
            <w:vAlign w:val="center"/>
          </w:tcPr>
          <w:p w14:paraId="6AF2F58F">
            <w:pPr>
              <w:pStyle w:val="563"/>
              <w:bidi w:val="0"/>
              <w:rPr>
                <w:rFonts w:hint="eastAsia"/>
                <w:color w:val="auto"/>
                <w:highlight w:val="none"/>
              </w:rPr>
            </w:pPr>
          </w:p>
        </w:tc>
        <w:tc>
          <w:tcPr>
            <w:tcW w:w="843" w:type="dxa"/>
            <w:noWrap w:val="0"/>
            <w:vAlign w:val="center"/>
          </w:tcPr>
          <w:p w14:paraId="689D1E35">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18FFC20F">
            <w:pPr>
              <w:pStyle w:val="563"/>
              <w:bidi w:val="0"/>
              <w:rPr>
                <w:rFonts w:hint="default"/>
                <w:color w:val="auto"/>
                <w:highlight w:val="none"/>
              </w:rPr>
            </w:pPr>
            <w:r>
              <w:rPr>
                <w:rFonts w:hint="default"/>
                <w:color w:val="auto"/>
                <w:highlight w:val="none"/>
                <w:lang w:val="en-US" w:eastAsia="zh-CN"/>
              </w:rPr>
              <w:t>32.9</w:t>
            </w:r>
          </w:p>
        </w:tc>
        <w:tc>
          <w:tcPr>
            <w:tcW w:w="659" w:type="dxa"/>
            <w:noWrap w:val="0"/>
            <w:vAlign w:val="center"/>
          </w:tcPr>
          <w:p w14:paraId="1EEAAF81">
            <w:pPr>
              <w:pStyle w:val="563"/>
              <w:bidi w:val="0"/>
              <w:rPr>
                <w:rFonts w:hint="default"/>
                <w:color w:val="auto"/>
                <w:highlight w:val="none"/>
              </w:rPr>
            </w:pPr>
            <w:r>
              <w:rPr>
                <w:rFonts w:hint="default"/>
                <w:color w:val="auto"/>
                <w:highlight w:val="none"/>
                <w:lang w:val="en-US" w:eastAsia="zh-CN"/>
              </w:rPr>
              <w:t>31.9</w:t>
            </w:r>
          </w:p>
        </w:tc>
        <w:tc>
          <w:tcPr>
            <w:tcW w:w="624" w:type="dxa"/>
            <w:noWrap w:val="0"/>
            <w:vAlign w:val="center"/>
          </w:tcPr>
          <w:p w14:paraId="489B20FA">
            <w:pPr>
              <w:pStyle w:val="563"/>
              <w:bidi w:val="0"/>
              <w:rPr>
                <w:rFonts w:hint="default"/>
                <w:color w:val="auto"/>
                <w:highlight w:val="none"/>
              </w:rPr>
            </w:pPr>
            <w:r>
              <w:rPr>
                <w:rFonts w:hint="default"/>
                <w:color w:val="auto"/>
                <w:highlight w:val="none"/>
                <w:lang w:val="en-US" w:eastAsia="zh-CN"/>
              </w:rPr>
              <w:t>34.2</w:t>
            </w:r>
          </w:p>
        </w:tc>
        <w:tc>
          <w:tcPr>
            <w:tcW w:w="632" w:type="dxa"/>
            <w:noWrap w:val="0"/>
            <w:vAlign w:val="center"/>
          </w:tcPr>
          <w:p w14:paraId="7809E566">
            <w:pPr>
              <w:pStyle w:val="563"/>
              <w:bidi w:val="0"/>
              <w:rPr>
                <w:rFonts w:hint="default"/>
                <w:color w:val="auto"/>
                <w:highlight w:val="none"/>
              </w:rPr>
            </w:pPr>
            <w:r>
              <w:rPr>
                <w:rFonts w:hint="default"/>
                <w:color w:val="auto"/>
                <w:highlight w:val="none"/>
                <w:lang w:val="en-US" w:eastAsia="zh-CN"/>
              </w:rPr>
              <w:t>35.2</w:t>
            </w:r>
          </w:p>
        </w:tc>
        <w:tc>
          <w:tcPr>
            <w:tcW w:w="667" w:type="dxa"/>
            <w:noWrap w:val="0"/>
            <w:vAlign w:val="center"/>
          </w:tcPr>
          <w:p w14:paraId="3BEC626B">
            <w:pPr>
              <w:pStyle w:val="563"/>
              <w:bidi w:val="0"/>
              <w:rPr>
                <w:rFonts w:hint="default"/>
                <w:color w:val="auto"/>
                <w:highlight w:val="none"/>
              </w:rPr>
            </w:pPr>
            <w:r>
              <w:rPr>
                <w:rFonts w:hint="default"/>
                <w:color w:val="auto"/>
                <w:highlight w:val="none"/>
                <w:lang w:val="en-US" w:eastAsia="zh-CN"/>
              </w:rPr>
              <w:t>1</w:t>
            </w:r>
          </w:p>
        </w:tc>
      </w:tr>
      <w:tr w14:paraId="026BB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427A5D67">
            <w:pPr>
              <w:pStyle w:val="563"/>
              <w:bidi w:val="0"/>
              <w:rPr>
                <w:rFonts w:hint="default"/>
                <w:color w:val="auto"/>
                <w:highlight w:val="none"/>
              </w:rPr>
            </w:pPr>
            <w:r>
              <w:rPr>
                <w:rFonts w:hint="default"/>
                <w:color w:val="auto"/>
                <w:highlight w:val="none"/>
                <w:lang w:val="en-US" w:eastAsia="zh-CN"/>
              </w:rPr>
              <w:t>10</w:t>
            </w:r>
          </w:p>
        </w:tc>
        <w:tc>
          <w:tcPr>
            <w:tcW w:w="424" w:type="dxa"/>
            <w:vMerge w:val="continue"/>
            <w:noWrap w:val="0"/>
            <w:vAlign w:val="center"/>
          </w:tcPr>
          <w:p w14:paraId="210E8457">
            <w:pPr>
              <w:pStyle w:val="563"/>
              <w:bidi w:val="0"/>
              <w:rPr>
                <w:rFonts w:hint="eastAsia"/>
                <w:color w:val="auto"/>
                <w:highlight w:val="none"/>
              </w:rPr>
            </w:pPr>
          </w:p>
        </w:tc>
        <w:tc>
          <w:tcPr>
            <w:tcW w:w="708" w:type="dxa"/>
            <w:noWrap w:val="0"/>
            <w:vAlign w:val="center"/>
          </w:tcPr>
          <w:p w14:paraId="01CB3C65">
            <w:pPr>
              <w:pStyle w:val="563"/>
              <w:bidi w:val="0"/>
              <w:rPr>
                <w:rFonts w:hint="eastAsia"/>
                <w:color w:val="auto"/>
                <w:highlight w:val="none"/>
              </w:rPr>
            </w:pPr>
            <w:r>
              <w:rPr>
                <w:rFonts w:hint="eastAsia"/>
                <w:color w:val="auto"/>
                <w:highlight w:val="none"/>
                <w:lang w:val="en-US" w:eastAsia="zh-CN"/>
              </w:rPr>
              <w:t>缓冲罐</w:t>
            </w:r>
          </w:p>
        </w:tc>
        <w:tc>
          <w:tcPr>
            <w:tcW w:w="750" w:type="dxa"/>
            <w:noWrap w:val="0"/>
            <w:vAlign w:val="center"/>
          </w:tcPr>
          <w:p w14:paraId="0B208662">
            <w:pPr>
              <w:pStyle w:val="563"/>
              <w:bidi w:val="0"/>
              <w:rPr>
                <w:rFonts w:hint="default"/>
                <w:color w:val="auto"/>
                <w:highlight w:val="none"/>
              </w:rPr>
            </w:pPr>
            <w:r>
              <w:rPr>
                <w:rFonts w:hint="default"/>
                <w:color w:val="auto"/>
                <w:highlight w:val="none"/>
                <w:lang w:val="en-US" w:eastAsia="zh-CN"/>
              </w:rPr>
              <w:t>80</w:t>
            </w:r>
          </w:p>
        </w:tc>
        <w:tc>
          <w:tcPr>
            <w:tcW w:w="0" w:type="auto"/>
            <w:noWrap/>
            <w:vAlign w:val="center"/>
          </w:tcPr>
          <w:p w14:paraId="5A6128F2">
            <w:pPr>
              <w:pStyle w:val="563"/>
              <w:bidi w:val="0"/>
              <w:rPr>
                <w:rFonts w:hint="default"/>
                <w:color w:val="auto"/>
                <w:highlight w:val="none"/>
              </w:rPr>
            </w:pPr>
            <w:r>
              <w:rPr>
                <w:rFonts w:hint="default"/>
                <w:color w:val="auto"/>
                <w:highlight w:val="none"/>
                <w:lang w:val="en-US" w:eastAsia="zh-CN"/>
              </w:rPr>
              <w:t>3</w:t>
            </w:r>
          </w:p>
        </w:tc>
        <w:tc>
          <w:tcPr>
            <w:tcW w:w="647" w:type="dxa"/>
            <w:vMerge w:val="continue"/>
            <w:noWrap w:val="0"/>
            <w:vAlign w:val="center"/>
          </w:tcPr>
          <w:p w14:paraId="1C7BEC99">
            <w:pPr>
              <w:pStyle w:val="563"/>
              <w:bidi w:val="0"/>
              <w:rPr>
                <w:rFonts w:hint="eastAsia"/>
                <w:color w:val="auto"/>
                <w:highlight w:val="none"/>
              </w:rPr>
            </w:pPr>
          </w:p>
        </w:tc>
        <w:tc>
          <w:tcPr>
            <w:tcW w:w="498" w:type="dxa"/>
            <w:noWrap w:val="0"/>
            <w:vAlign w:val="center"/>
          </w:tcPr>
          <w:p w14:paraId="35DF24DC">
            <w:pPr>
              <w:pStyle w:val="563"/>
              <w:bidi w:val="0"/>
              <w:rPr>
                <w:rFonts w:hint="default"/>
                <w:color w:val="auto"/>
                <w:highlight w:val="none"/>
              </w:rPr>
            </w:pPr>
            <w:r>
              <w:rPr>
                <w:rFonts w:hint="default"/>
                <w:color w:val="auto"/>
                <w:highlight w:val="none"/>
                <w:lang w:val="en-US" w:eastAsia="zh-CN"/>
              </w:rPr>
              <w:t>120</w:t>
            </w:r>
          </w:p>
        </w:tc>
        <w:tc>
          <w:tcPr>
            <w:tcW w:w="498" w:type="dxa"/>
            <w:noWrap w:val="0"/>
            <w:vAlign w:val="center"/>
          </w:tcPr>
          <w:p w14:paraId="2DAF0E2D">
            <w:pPr>
              <w:pStyle w:val="563"/>
              <w:bidi w:val="0"/>
              <w:rPr>
                <w:rFonts w:hint="default"/>
                <w:color w:val="auto"/>
                <w:highlight w:val="none"/>
              </w:rPr>
            </w:pPr>
            <w:r>
              <w:rPr>
                <w:rFonts w:hint="default"/>
                <w:color w:val="auto"/>
                <w:highlight w:val="none"/>
                <w:lang w:val="en-US" w:eastAsia="zh-CN"/>
              </w:rPr>
              <w:t>21</w:t>
            </w:r>
          </w:p>
        </w:tc>
        <w:tc>
          <w:tcPr>
            <w:tcW w:w="491" w:type="dxa"/>
            <w:noWrap w:val="0"/>
            <w:vAlign w:val="center"/>
          </w:tcPr>
          <w:p w14:paraId="51013C05">
            <w:pPr>
              <w:pStyle w:val="563"/>
              <w:bidi w:val="0"/>
              <w:rPr>
                <w:rFonts w:hint="default"/>
                <w:color w:val="auto"/>
                <w:highlight w:val="none"/>
              </w:rPr>
            </w:pPr>
            <w:r>
              <w:rPr>
                <w:rFonts w:hint="default"/>
                <w:color w:val="auto"/>
                <w:highlight w:val="none"/>
                <w:lang w:val="en-US" w:eastAsia="zh-CN"/>
              </w:rPr>
              <w:t>2</w:t>
            </w:r>
          </w:p>
        </w:tc>
        <w:tc>
          <w:tcPr>
            <w:tcW w:w="461" w:type="dxa"/>
            <w:noWrap w:val="0"/>
            <w:vAlign w:val="center"/>
          </w:tcPr>
          <w:p w14:paraId="670BBDCF">
            <w:pPr>
              <w:pStyle w:val="563"/>
              <w:bidi w:val="0"/>
              <w:rPr>
                <w:rFonts w:hint="default"/>
                <w:color w:val="auto"/>
                <w:highlight w:val="none"/>
              </w:rPr>
            </w:pPr>
            <w:r>
              <w:rPr>
                <w:rFonts w:hint="default"/>
                <w:color w:val="auto"/>
                <w:highlight w:val="none"/>
                <w:lang w:val="en-US" w:eastAsia="zh-CN"/>
              </w:rPr>
              <w:t>32</w:t>
            </w:r>
          </w:p>
        </w:tc>
        <w:tc>
          <w:tcPr>
            <w:tcW w:w="507" w:type="dxa"/>
            <w:noWrap w:val="0"/>
            <w:vAlign w:val="center"/>
          </w:tcPr>
          <w:p w14:paraId="4F7E802F">
            <w:pPr>
              <w:pStyle w:val="563"/>
              <w:bidi w:val="0"/>
              <w:rPr>
                <w:rFonts w:hint="default"/>
                <w:color w:val="auto"/>
                <w:highlight w:val="none"/>
              </w:rPr>
            </w:pPr>
            <w:r>
              <w:rPr>
                <w:rFonts w:hint="default"/>
                <w:color w:val="auto"/>
                <w:highlight w:val="none"/>
                <w:lang w:val="en-US" w:eastAsia="zh-CN"/>
              </w:rPr>
              <w:t>120</w:t>
            </w:r>
          </w:p>
        </w:tc>
        <w:tc>
          <w:tcPr>
            <w:tcW w:w="445" w:type="dxa"/>
            <w:noWrap w:val="0"/>
            <w:vAlign w:val="center"/>
          </w:tcPr>
          <w:p w14:paraId="5904099B">
            <w:pPr>
              <w:pStyle w:val="563"/>
              <w:bidi w:val="0"/>
              <w:rPr>
                <w:rFonts w:hint="default"/>
                <w:color w:val="auto"/>
                <w:highlight w:val="none"/>
              </w:rPr>
            </w:pPr>
            <w:r>
              <w:rPr>
                <w:rFonts w:hint="default"/>
                <w:color w:val="auto"/>
                <w:highlight w:val="none"/>
                <w:lang w:val="en-US" w:eastAsia="zh-CN"/>
              </w:rPr>
              <w:t>21</w:t>
            </w:r>
          </w:p>
        </w:tc>
        <w:tc>
          <w:tcPr>
            <w:tcW w:w="614" w:type="dxa"/>
            <w:noWrap w:val="0"/>
            <w:vAlign w:val="center"/>
          </w:tcPr>
          <w:p w14:paraId="2FAA19AD">
            <w:pPr>
              <w:pStyle w:val="563"/>
              <w:bidi w:val="0"/>
              <w:rPr>
                <w:rFonts w:hint="default"/>
                <w:color w:val="auto"/>
                <w:highlight w:val="none"/>
              </w:rPr>
            </w:pPr>
            <w:r>
              <w:rPr>
                <w:rFonts w:hint="default"/>
                <w:color w:val="auto"/>
                <w:highlight w:val="none"/>
                <w:lang w:val="en-US" w:eastAsia="zh-CN"/>
              </w:rPr>
              <w:t>96</w:t>
            </w:r>
          </w:p>
        </w:tc>
        <w:tc>
          <w:tcPr>
            <w:tcW w:w="618" w:type="dxa"/>
            <w:noWrap w:val="0"/>
            <w:vAlign w:val="center"/>
          </w:tcPr>
          <w:p w14:paraId="61A28CBD">
            <w:pPr>
              <w:pStyle w:val="563"/>
              <w:bidi w:val="0"/>
              <w:rPr>
                <w:rFonts w:hint="default"/>
                <w:color w:val="auto"/>
                <w:highlight w:val="none"/>
              </w:rPr>
            </w:pPr>
            <w:r>
              <w:rPr>
                <w:rFonts w:hint="default"/>
                <w:color w:val="auto"/>
                <w:highlight w:val="none"/>
                <w:lang w:val="en-US" w:eastAsia="zh-CN"/>
              </w:rPr>
              <w:t>54.7</w:t>
            </w:r>
          </w:p>
        </w:tc>
        <w:tc>
          <w:tcPr>
            <w:tcW w:w="532" w:type="dxa"/>
            <w:noWrap w:val="0"/>
            <w:vAlign w:val="center"/>
          </w:tcPr>
          <w:p w14:paraId="4AC42FE4">
            <w:pPr>
              <w:pStyle w:val="563"/>
              <w:bidi w:val="0"/>
              <w:rPr>
                <w:rFonts w:hint="default"/>
                <w:color w:val="auto"/>
                <w:highlight w:val="none"/>
              </w:rPr>
            </w:pPr>
            <w:r>
              <w:rPr>
                <w:rFonts w:hint="default"/>
                <w:color w:val="auto"/>
                <w:highlight w:val="none"/>
                <w:lang w:val="en-US" w:eastAsia="zh-CN"/>
              </w:rPr>
              <w:t>43.2</w:t>
            </w:r>
          </w:p>
        </w:tc>
        <w:tc>
          <w:tcPr>
            <w:tcW w:w="618" w:type="dxa"/>
            <w:noWrap w:val="0"/>
            <w:vAlign w:val="center"/>
          </w:tcPr>
          <w:p w14:paraId="62D22DCA">
            <w:pPr>
              <w:pStyle w:val="563"/>
              <w:bidi w:val="0"/>
              <w:rPr>
                <w:rFonts w:hint="default"/>
                <w:color w:val="auto"/>
                <w:highlight w:val="none"/>
              </w:rPr>
            </w:pPr>
            <w:r>
              <w:rPr>
                <w:rFonts w:hint="default"/>
                <w:color w:val="auto"/>
                <w:highlight w:val="none"/>
                <w:lang w:val="en-US" w:eastAsia="zh-CN"/>
              </w:rPr>
              <w:t>58.3</w:t>
            </w:r>
          </w:p>
        </w:tc>
        <w:tc>
          <w:tcPr>
            <w:tcW w:w="624" w:type="dxa"/>
            <w:noWrap w:val="0"/>
            <w:vAlign w:val="center"/>
          </w:tcPr>
          <w:p w14:paraId="62149FCF">
            <w:pPr>
              <w:pStyle w:val="563"/>
              <w:bidi w:val="0"/>
              <w:rPr>
                <w:rFonts w:hint="default"/>
                <w:color w:val="auto"/>
                <w:highlight w:val="none"/>
              </w:rPr>
            </w:pPr>
            <w:r>
              <w:rPr>
                <w:rFonts w:hint="default"/>
                <w:color w:val="auto"/>
                <w:highlight w:val="none"/>
                <w:lang w:val="en-US" w:eastAsia="zh-CN"/>
              </w:rPr>
              <w:t>45.1</w:t>
            </w:r>
          </w:p>
        </w:tc>
        <w:tc>
          <w:tcPr>
            <w:tcW w:w="659" w:type="dxa"/>
            <w:vMerge w:val="continue"/>
            <w:noWrap w:val="0"/>
            <w:vAlign w:val="center"/>
          </w:tcPr>
          <w:p w14:paraId="767B34A5">
            <w:pPr>
              <w:pStyle w:val="563"/>
              <w:bidi w:val="0"/>
              <w:rPr>
                <w:rFonts w:hint="eastAsia"/>
                <w:color w:val="auto"/>
                <w:highlight w:val="none"/>
              </w:rPr>
            </w:pPr>
          </w:p>
        </w:tc>
        <w:tc>
          <w:tcPr>
            <w:tcW w:w="843" w:type="dxa"/>
            <w:noWrap w:val="0"/>
            <w:vAlign w:val="center"/>
          </w:tcPr>
          <w:p w14:paraId="542EA3BA">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721FA3A3">
            <w:pPr>
              <w:pStyle w:val="563"/>
              <w:bidi w:val="0"/>
              <w:rPr>
                <w:rFonts w:hint="default"/>
                <w:color w:val="auto"/>
                <w:highlight w:val="none"/>
              </w:rPr>
            </w:pPr>
            <w:r>
              <w:rPr>
                <w:rFonts w:hint="default"/>
                <w:color w:val="auto"/>
                <w:highlight w:val="none"/>
                <w:lang w:val="en-US" w:eastAsia="zh-CN"/>
              </w:rPr>
              <w:t>39.7</w:t>
            </w:r>
          </w:p>
        </w:tc>
        <w:tc>
          <w:tcPr>
            <w:tcW w:w="659" w:type="dxa"/>
            <w:noWrap w:val="0"/>
            <w:vAlign w:val="center"/>
          </w:tcPr>
          <w:p w14:paraId="36EDBD26">
            <w:pPr>
              <w:pStyle w:val="563"/>
              <w:bidi w:val="0"/>
              <w:rPr>
                <w:rFonts w:hint="default"/>
                <w:color w:val="auto"/>
                <w:highlight w:val="none"/>
              </w:rPr>
            </w:pPr>
            <w:r>
              <w:rPr>
                <w:rFonts w:hint="default"/>
                <w:color w:val="auto"/>
                <w:highlight w:val="none"/>
                <w:lang w:val="en-US" w:eastAsia="zh-CN"/>
              </w:rPr>
              <w:t>28.2</w:t>
            </w:r>
          </w:p>
        </w:tc>
        <w:tc>
          <w:tcPr>
            <w:tcW w:w="624" w:type="dxa"/>
            <w:noWrap w:val="0"/>
            <w:vAlign w:val="center"/>
          </w:tcPr>
          <w:p w14:paraId="41C12F54">
            <w:pPr>
              <w:pStyle w:val="563"/>
              <w:bidi w:val="0"/>
              <w:rPr>
                <w:rFonts w:hint="default"/>
                <w:color w:val="auto"/>
                <w:highlight w:val="none"/>
              </w:rPr>
            </w:pPr>
            <w:r>
              <w:rPr>
                <w:rFonts w:hint="default"/>
                <w:color w:val="auto"/>
                <w:highlight w:val="none"/>
                <w:lang w:val="en-US" w:eastAsia="zh-CN"/>
              </w:rPr>
              <w:t>43.3</w:t>
            </w:r>
          </w:p>
        </w:tc>
        <w:tc>
          <w:tcPr>
            <w:tcW w:w="632" w:type="dxa"/>
            <w:noWrap w:val="0"/>
            <w:vAlign w:val="center"/>
          </w:tcPr>
          <w:p w14:paraId="36441968">
            <w:pPr>
              <w:pStyle w:val="563"/>
              <w:bidi w:val="0"/>
              <w:rPr>
                <w:rFonts w:hint="default"/>
                <w:color w:val="auto"/>
                <w:highlight w:val="none"/>
              </w:rPr>
            </w:pPr>
            <w:r>
              <w:rPr>
                <w:rFonts w:hint="default"/>
                <w:color w:val="auto"/>
                <w:highlight w:val="none"/>
                <w:lang w:val="en-US" w:eastAsia="zh-CN"/>
              </w:rPr>
              <w:t>30.1</w:t>
            </w:r>
          </w:p>
        </w:tc>
        <w:tc>
          <w:tcPr>
            <w:tcW w:w="667" w:type="dxa"/>
            <w:noWrap w:val="0"/>
            <w:vAlign w:val="center"/>
          </w:tcPr>
          <w:p w14:paraId="0E4975BF">
            <w:pPr>
              <w:pStyle w:val="563"/>
              <w:bidi w:val="0"/>
              <w:rPr>
                <w:rFonts w:hint="default"/>
                <w:color w:val="auto"/>
                <w:highlight w:val="none"/>
              </w:rPr>
            </w:pPr>
            <w:r>
              <w:rPr>
                <w:rFonts w:hint="default"/>
                <w:color w:val="auto"/>
                <w:highlight w:val="none"/>
                <w:lang w:val="en-US" w:eastAsia="zh-CN"/>
              </w:rPr>
              <w:t>1</w:t>
            </w:r>
          </w:p>
        </w:tc>
      </w:tr>
      <w:tr w14:paraId="3A8FE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663CA1EB">
            <w:pPr>
              <w:pStyle w:val="563"/>
              <w:bidi w:val="0"/>
              <w:rPr>
                <w:rFonts w:hint="default"/>
                <w:color w:val="auto"/>
                <w:highlight w:val="none"/>
              </w:rPr>
            </w:pPr>
            <w:r>
              <w:rPr>
                <w:rFonts w:hint="default"/>
                <w:color w:val="auto"/>
                <w:highlight w:val="none"/>
                <w:lang w:val="en-US" w:eastAsia="zh-CN"/>
              </w:rPr>
              <w:t>11</w:t>
            </w:r>
          </w:p>
        </w:tc>
        <w:tc>
          <w:tcPr>
            <w:tcW w:w="424" w:type="dxa"/>
            <w:vMerge w:val="continue"/>
            <w:noWrap w:val="0"/>
            <w:vAlign w:val="center"/>
          </w:tcPr>
          <w:p w14:paraId="570699F1">
            <w:pPr>
              <w:pStyle w:val="563"/>
              <w:bidi w:val="0"/>
              <w:rPr>
                <w:rFonts w:hint="eastAsia"/>
                <w:color w:val="auto"/>
                <w:highlight w:val="none"/>
              </w:rPr>
            </w:pPr>
          </w:p>
        </w:tc>
        <w:tc>
          <w:tcPr>
            <w:tcW w:w="708" w:type="dxa"/>
            <w:noWrap w:val="0"/>
            <w:vAlign w:val="center"/>
          </w:tcPr>
          <w:p w14:paraId="2C512174">
            <w:pPr>
              <w:pStyle w:val="563"/>
              <w:bidi w:val="0"/>
              <w:rPr>
                <w:rFonts w:hint="eastAsia"/>
                <w:color w:val="auto"/>
                <w:highlight w:val="none"/>
              </w:rPr>
            </w:pPr>
            <w:r>
              <w:rPr>
                <w:rFonts w:hint="eastAsia"/>
                <w:color w:val="auto"/>
                <w:highlight w:val="none"/>
                <w:lang w:val="en-US" w:eastAsia="zh-CN"/>
              </w:rPr>
              <w:t>顺序控制盘</w:t>
            </w:r>
          </w:p>
        </w:tc>
        <w:tc>
          <w:tcPr>
            <w:tcW w:w="750" w:type="dxa"/>
            <w:noWrap w:val="0"/>
            <w:vAlign w:val="center"/>
          </w:tcPr>
          <w:p w14:paraId="6F68D65E">
            <w:pPr>
              <w:pStyle w:val="563"/>
              <w:bidi w:val="0"/>
              <w:rPr>
                <w:rFonts w:hint="default"/>
                <w:color w:val="auto"/>
                <w:highlight w:val="none"/>
              </w:rPr>
            </w:pPr>
            <w:r>
              <w:rPr>
                <w:rFonts w:hint="default"/>
                <w:color w:val="auto"/>
                <w:highlight w:val="none"/>
                <w:lang w:val="en-US" w:eastAsia="zh-CN"/>
              </w:rPr>
              <w:t>85</w:t>
            </w:r>
          </w:p>
        </w:tc>
        <w:tc>
          <w:tcPr>
            <w:tcW w:w="0" w:type="auto"/>
            <w:noWrap/>
            <w:vAlign w:val="center"/>
          </w:tcPr>
          <w:p w14:paraId="15A3BDE7">
            <w:pPr>
              <w:pStyle w:val="563"/>
              <w:bidi w:val="0"/>
              <w:rPr>
                <w:rFonts w:hint="default"/>
                <w:color w:val="auto"/>
                <w:highlight w:val="none"/>
              </w:rPr>
            </w:pPr>
            <w:r>
              <w:rPr>
                <w:rFonts w:hint="default"/>
                <w:color w:val="auto"/>
                <w:highlight w:val="none"/>
                <w:lang w:val="en-US" w:eastAsia="zh-CN"/>
              </w:rPr>
              <w:t>3</w:t>
            </w:r>
          </w:p>
        </w:tc>
        <w:tc>
          <w:tcPr>
            <w:tcW w:w="647" w:type="dxa"/>
            <w:vMerge w:val="continue"/>
            <w:noWrap w:val="0"/>
            <w:vAlign w:val="center"/>
          </w:tcPr>
          <w:p w14:paraId="217536C2">
            <w:pPr>
              <w:pStyle w:val="563"/>
              <w:bidi w:val="0"/>
              <w:rPr>
                <w:rFonts w:hint="eastAsia"/>
                <w:color w:val="auto"/>
                <w:highlight w:val="none"/>
              </w:rPr>
            </w:pPr>
          </w:p>
        </w:tc>
        <w:tc>
          <w:tcPr>
            <w:tcW w:w="498" w:type="dxa"/>
            <w:noWrap w:val="0"/>
            <w:vAlign w:val="center"/>
          </w:tcPr>
          <w:p w14:paraId="29A3B4BD">
            <w:pPr>
              <w:pStyle w:val="563"/>
              <w:bidi w:val="0"/>
              <w:rPr>
                <w:rFonts w:hint="default"/>
                <w:color w:val="auto"/>
                <w:highlight w:val="none"/>
              </w:rPr>
            </w:pPr>
            <w:r>
              <w:rPr>
                <w:rFonts w:hint="default"/>
                <w:color w:val="auto"/>
                <w:highlight w:val="none"/>
                <w:lang w:val="en-US" w:eastAsia="zh-CN"/>
              </w:rPr>
              <w:t>100</w:t>
            </w:r>
          </w:p>
        </w:tc>
        <w:tc>
          <w:tcPr>
            <w:tcW w:w="498" w:type="dxa"/>
            <w:noWrap w:val="0"/>
            <w:vAlign w:val="center"/>
          </w:tcPr>
          <w:p w14:paraId="2DFE7496">
            <w:pPr>
              <w:pStyle w:val="563"/>
              <w:bidi w:val="0"/>
              <w:rPr>
                <w:rFonts w:hint="default"/>
                <w:color w:val="auto"/>
                <w:highlight w:val="none"/>
              </w:rPr>
            </w:pPr>
            <w:r>
              <w:rPr>
                <w:rFonts w:hint="default"/>
                <w:color w:val="auto"/>
                <w:highlight w:val="none"/>
                <w:lang w:val="en-US" w:eastAsia="zh-CN"/>
              </w:rPr>
              <w:t>27</w:t>
            </w:r>
          </w:p>
        </w:tc>
        <w:tc>
          <w:tcPr>
            <w:tcW w:w="491" w:type="dxa"/>
            <w:noWrap w:val="0"/>
            <w:vAlign w:val="center"/>
          </w:tcPr>
          <w:p w14:paraId="6A477D25">
            <w:pPr>
              <w:pStyle w:val="563"/>
              <w:bidi w:val="0"/>
              <w:rPr>
                <w:rFonts w:hint="default"/>
                <w:color w:val="auto"/>
                <w:highlight w:val="none"/>
              </w:rPr>
            </w:pPr>
            <w:r>
              <w:rPr>
                <w:rFonts w:hint="default"/>
                <w:color w:val="auto"/>
                <w:highlight w:val="none"/>
                <w:lang w:val="en-US" w:eastAsia="zh-CN"/>
              </w:rPr>
              <w:t>2</w:t>
            </w:r>
          </w:p>
        </w:tc>
        <w:tc>
          <w:tcPr>
            <w:tcW w:w="461" w:type="dxa"/>
            <w:noWrap w:val="0"/>
            <w:vAlign w:val="center"/>
          </w:tcPr>
          <w:p w14:paraId="47D32850">
            <w:pPr>
              <w:pStyle w:val="563"/>
              <w:bidi w:val="0"/>
              <w:rPr>
                <w:rFonts w:hint="default"/>
                <w:color w:val="auto"/>
                <w:highlight w:val="none"/>
              </w:rPr>
            </w:pPr>
            <w:r>
              <w:rPr>
                <w:rFonts w:hint="default"/>
                <w:color w:val="auto"/>
                <w:highlight w:val="none"/>
                <w:lang w:val="en-US" w:eastAsia="zh-CN"/>
              </w:rPr>
              <w:t>52</w:t>
            </w:r>
          </w:p>
        </w:tc>
        <w:tc>
          <w:tcPr>
            <w:tcW w:w="507" w:type="dxa"/>
            <w:noWrap w:val="0"/>
            <w:vAlign w:val="center"/>
          </w:tcPr>
          <w:p w14:paraId="068D774E">
            <w:pPr>
              <w:pStyle w:val="563"/>
              <w:bidi w:val="0"/>
              <w:rPr>
                <w:rFonts w:hint="default"/>
                <w:color w:val="auto"/>
                <w:highlight w:val="none"/>
              </w:rPr>
            </w:pPr>
            <w:r>
              <w:rPr>
                <w:rFonts w:hint="default"/>
                <w:color w:val="auto"/>
                <w:highlight w:val="none"/>
                <w:lang w:val="en-US" w:eastAsia="zh-CN"/>
              </w:rPr>
              <w:t>100</w:t>
            </w:r>
          </w:p>
        </w:tc>
        <w:tc>
          <w:tcPr>
            <w:tcW w:w="445" w:type="dxa"/>
            <w:noWrap w:val="0"/>
            <w:vAlign w:val="center"/>
          </w:tcPr>
          <w:p w14:paraId="3F4DAF25">
            <w:pPr>
              <w:pStyle w:val="563"/>
              <w:bidi w:val="0"/>
              <w:rPr>
                <w:rFonts w:hint="default"/>
                <w:color w:val="auto"/>
                <w:highlight w:val="none"/>
              </w:rPr>
            </w:pPr>
            <w:r>
              <w:rPr>
                <w:rFonts w:hint="default"/>
                <w:color w:val="auto"/>
                <w:highlight w:val="none"/>
                <w:lang w:val="en-US" w:eastAsia="zh-CN"/>
              </w:rPr>
              <w:t>27</w:t>
            </w:r>
          </w:p>
        </w:tc>
        <w:tc>
          <w:tcPr>
            <w:tcW w:w="614" w:type="dxa"/>
            <w:noWrap w:val="0"/>
            <w:vAlign w:val="center"/>
          </w:tcPr>
          <w:p w14:paraId="482BEB9D">
            <w:pPr>
              <w:pStyle w:val="563"/>
              <w:bidi w:val="0"/>
              <w:rPr>
                <w:rFonts w:hint="default"/>
                <w:color w:val="auto"/>
                <w:highlight w:val="none"/>
              </w:rPr>
            </w:pPr>
            <w:r>
              <w:rPr>
                <w:rFonts w:hint="default"/>
                <w:color w:val="auto"/>
                <w:highlight w:val="none"/>
                <w:lang w:val="en-US" w:eastAsia="zh-CN"/>
              </w:rPr>
              <w:t>90</w:t>
            </w:r>
          </w:p>
        </w:tc>
        <w:tc>
          <w:tcPr>
            <w:tcW w:w="618" w:type="dxa"/>
            <w:noWrap w:val="0"/>
            <w:vAlign w:val="center"/>
          </w:tcPr>
          <w:p w14:paraId="19CB4350">
            <w:pPr>
              <w:pStyle w:val="563"/>
              <w:bidi w:val="0"/>
              <w:rPr>
                <w:rFonts w:hint="default"/>
                <w:color w:val="auto"/>
                <w:highlight w:val="none"/>
              </w:rPr>
            </w:pPr>
            <w:r>
              <w:rPr>
                <w:rFonts w:hint="default"/>
                <w:color w:val="auto"/>
                <w:highlight w:val="none"/>
                <w:lang w:val="en-US" w:eastAsia="zh-CN"/>
              </w:rPr>
              <w:t>55.5</w:t>
            </w:r>
          </w:p>
        </w:tc>
        <w:tc>
          <w:tcPr>
            <w:tcW w:w="532" w:type="dxa"/>
            <w:noWrap w:val="0"/>
            <w:vAlign w:val="center"/>
          </w:tcPr>
          <w:p w14:paraId="75D5E70A">
            <w:pPr>
              <w:pStyle w:val="563"/>
              <w:bidi w:val="0"/>
              <w:rPr>
                <w:rFonts w:hint="default"/>
                <w:color w:val="auto"/>
                <w:highlight w:val="none"/>
              </w:rPr>
            </w:pPr>
            <w:r>
              <w:rPr>
                <w:rFonts w:hint="default"/>
                <w:color w:val="auto"/>
                <w:highlight w:val="none"/>
                <w:lang w:val="en-US" w:eastAsia="zh-CN"/>
              </w:rPr>
              <w:t>49.8</w:t>
            </w:r>
          </w:p>
        </w:tc>
        <w:tc>
          <w:tcPr>
            <w:tcW w:w="618" w:type="dxa"/>
            <w:noWrap w:val="0"/>
            <w:vAlign w:val="center"/>
          </w:tcPr>
          <w:p w14:paraId="2D696991">
            <w:pPr>
              <w:pStyle w:val="563"/>
              <w:bidi w:val="0"/>
              <w:rPr>
                <w:rFonts w:hint="default"/>
                <w:color w:val="auto"/>
                <w:highlight w:val="none"/>
              </w:rPr>
            </w:pPr>
            <w:r>
              <w:rPr>
                <w:rFonts w:hint="default"/>
                <w:color w:val="auto"/>
                <w:highlight w:val="none"/>
                <w:lang w:val="en-US" w:eastAsia="zh-CN"/>
              </w:rPr>
              <w:t>61.1</w:t>
            </w:r>
          </w:p>
        </w:tc>
        <w:tc>
          <w:tcPr>
            <w:tcW w:w="624" w:type="dxa"/>
            <w:noWrap w:val="0"/>
            <w:vAlign w:val="center"/>
          </w:tcPr>
          <w:p w14:paraId="50A8DB85">
            <w:pPr>
              <w:pStyle w:val="563"/>
              <w:bidi w:val="0"/>
              <w:rPr>
                <w:rFonts w:hint="default"/>
                <w:color w:val="auto"/>
                <w:highlight w:val="none"/>
              </w:rPr>
            </w:pPr>
            <w:r>
              <w:rPr>
                <w:rFonts w:hint="default"/>
                <w:color w:val="auto"/>
                <w:highlight w:val="none"/>
                <w:lang w:val="en-US" w:eastAsia="zh-CN"/>
              </w:rPr>
              <w:t>50.7</w:t>
            </w:r>
          </w:p>
        </w:tc>
        <w:tc>
          <w:tcPr>
            <w:tcW w:w="659" w:type="dxa"/>
            <w:vMerge w:val="continue"/>
            <w:noWrap w:val="0"/>
            <w:vAlign w:val="center"/>
          </w:tcPr>
          <w:p w14:paraId="6827A92F">
            <w:pPr>
              <w:pStyle w:val="563"/>
              <w:bidi w:val="0"/>
              <w:rPr>
                <w:rFonts w:hint="eastAsia"/>
                <w:color w:val="auto"/>
                <w:highlight w:val="none"/>
              </w:rPr>
            </w:pPr>
          </w:p>
        </w:tc>
        <w:tc>
          <w:tcPr>
            <w:tcW w:w="843" w:type="dxa"/>
            <w:noWrap w:val="0"/>
            <w:vAlign w:val="center"/>
          </w:tcPr>
          <w:p w14:paraId="6757C199">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25B362EC">
            <w:pPr>
              <w:pStyle w:val="563"/>
              <w:bidi w:val="0"/>
              <w:rPr>
                <w:rFonts w:hint="default"/>
                <w:color w:val="auto"/>
                <w:highlight w:val="none"/>
              </w:rPr>
            </w:pPr>
            <w:r>
              <w:rPr>
                <w:rFonts w:hint="default"/>
                <w:color w:val="auto"/>
                <w:highlight w:val="none"/>
                <w:lang w:val="en-US" w:eastAsia="zh-CN"/>
              </w:rPr>
              <w:t>40.5</w:t>
            </w:r>
          </w:p>
        </w:tc>
        <w:tc>
          <w:tcPr>
            <w:tcW w:w="659" w:type="dxa"/>
            <w:noWrap w:val="0"/>
            <w:vAlign w:val="center"/>
          </w:tcPr>
          <w:p w14:paraId="27E34D63">
            <w:pPr>
              <w:pStyle w:val="563"/>
              <w:bidi w:val="0"/>
              <w:rPr>
                <w:rFonts w:hint="default"/>
                <w:color w:val="auto"/>
                <w:highlight w:val="none"/>
              </w:rPr>
            </w:pPr>
            <w:r>
              <w:rPr>
                <w:rFonts w:hint="default"/>
                <w:color w:val="auto"/>
                <w:highlight w:val="none"/>
                <w:lang w:val="en-US" w:eastAsia="zh-CN"/>
              </w:rPr>
              <w:t>34.8</w:t>
            </w:r>
          </w:p>
        </w:tc>
        <w:tc>
          <w:tcPr>
            <w:tcW w:w="624" w:type="dxa"/>
            <w:noWrap w:val="0"/>
            <w:vAlign w:val="center"/>
          </w:tcPr>
          <w:p w14:paraId="711ED8CD">
            <w:pPr>
              <w:pStyle w:val="563"/>
              <w:bidi w:val="0"/>
              <w:rPr>
                <w:rFonts w:hint="default"/>
                <w:color w:val="auto"/>
                <w:highlight w:val="none"/>
              </w:rPr>
            </w:pPr>
            <w:r>
              <w:rPr>
                <w:rFonts w:hint="default"/>
                <w:color w:val="auto"/>
                <w:highlight w:val="none"/>
                <w:lang w:val="en-US" w:eastAsia="zh-CN"/>
              </w:rPr>
              <w:t>46.1</w:t>
            </w:r>
          </w:p>
        </w:tc>
        <w:tc>
          <w:tcPr>
            <w:tcW w:w="632" w:type="dxa"/>
            <w:noWrap w:val="0"/>
            <w:vAlign w:val="center"/>
          </w:tcPr>
          <w:p w14:paraId="040A8E89">
            <w:pPr>
              <w:pStyle w:val="563"/>
              <w:bidi w:val="0"/>
              <w:rPr>
                <w:rFonts w:hint="default"/>
                <w:color w:val="auto"/>
                <w:highlight w:val="none"/>
              </w:rPr>
            </w:pPr>
            <w:r>
              <w:rPr>
                <w:rFonts w:hint="default"/>
                <w:color w:val="auto"/>
                <w:highlight w:val="none"/>
                <w:lang w:val="en-US" w:eastAsia="zh-CN"/>
              </w:rPr>
              <w:t>35.7</w:t>
            </w:r>
          </w:p>
        </w:tc>
        <w:tc>
          <w:tcPr>
            <w:tcW w:w="667" w:type="dxa"/>
            <w:noWrap w:val="0"/>
            <w:vAlign w:val="center"/>
          </w:tcPr>
          <w:p w14:paraId="5A75CF62">
            <w:pPr>
              <w:pStyle w:val="563"/>
              <w:bidi w:val="0"/>
              <w:rPr>
                <w:rFonts w:hint="default"/>
                <w:color w:val="auto"/>
                <w:highlight w:val="none"/>
              </w:rPr>
            </w:pPr>
            <w:r>
              <w:rPr>
                <w:rFonts w:hint="default"/>
                <w:color w:val="auto"/>
                <w:highlight w:val="none"/>
                <w:lang w:val="en-US" w:eastAsia="zh-CN"/>
              </w:rPr>
              <w:t>1</w:t>
            </w:r>
          </w:p>
        </w:tc>
      </w:tr>
      <w:tr w14:paraId="49934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5C4D5EBC">
            <w:pPr>
              <w:pStyle w:val="563"/>
              <w:bidi w:val="0"/>
              <w:rPr>
                <w:rFonts w:hint="default"/>
                <w:color w:val="auto"/>
                <w:highlight w:val="none"/>
              </w:rPr>
            </w:pPr>
            <w:r>
              <w:rPr>
                <w:rFonts w:hint="default"/>
                <w:color w:val="auto"/>
                <w:highlight w:val="none"/>
                <w:lang w:val="en-US" w:eastAsia="zh-CN"/>
              </w:rPr>
              <w:t>12</w:t>
            </w:r>
          </w:p>
        </w:tc>
        <w:tc>
          <w:tcPr>
            <w:tcW w:w="424" w:type="dxa"/>
            <w:vMerge w:val="continue"/>
            <w:noWrap w:val="0"/>
            <w:vAlign w:val="center"/>
          </w:tcPr>
          <w:p w14:paraId="463A4DF3">
            <w:pPr>
              <w:pStyle w:val="563"/>
              <w:bidi w:val="0"/>
              <w:rPr>
                <w:rFonts w:hint="eastAsia"/>
                <w:color w:val="auto"/>
                <w:highlight w:val="none"/>
              </w:rPr>
            </w:pPr>
          </w:p>
        </w:tc>
        <w:tc>
          <w:tcPr>
            <w:tcW w:w="708" w:type="dxa"/>
            <w:noWrap w:val="0"/>
            <w:vAlign w:val="center"/>
          </w:tcPr>
          <w:p w14:paraId="2D967567">
            <w:pPr>
              <w:pStyle w:val="563"/>
              <w:bidi w:val="0"/>
              <w:rPr>
                <w:rFonts w:hint="eastAsia"/>
                <w:color w:val="auto"/>
                <w:highlight w:val="none"/>
              </w:rPr>
            </w:pPr>
            <w:r>
              <w:rPr>
                <w:rFonts w:hint="eastAsia"/>
                <w:color w:val="auto"/>
                <w:highlight w:val="none"/>
                <w:lang w:val="en-US" w:eastAsia="zh-CN"/>
              </w:rPr>
              <w:t>制氮机</w:t>
            </w:r>
          </w:p>
        </w:tc>
        <w:tc>
          <w:tcPr>
            <w:tcW w:w="750" w:type="dxa"/>
            <w:noWrap w:val="0"/>
            <w:vAlign w:val="center"/>
          </w:tcPr>
          <w:p w14:paraId="5E479B35">
            <w:pPr>
              <w:pStyle w:val="563"/>
              <w:bidi w:val="0"/>
              <w:rPr>
                <w:rFonts w:hint="default"/>
                <w:color w:val="auto"/>
                <w:highlight w:val="none"/>
              </w:rPr>
            </w:pPr>
            <w:r>
              <w:rPr>
                <w:rFonts w:hint="default"/>
                <w:color w:val="auto"/>
                <w:highlight w:val="none"/>
                <w:lang w:val="en-US" w:eastAsia="zh-CN"/>
              </w:rPr>
              <w:t>90</w:t>
            </w:r>
          </w:p>
        </w:tc>
        <w:tc>
          <w:tcPr>
            <w:tcW w:w="0" w:type="auto"/>
            <w:noWrap/>
            <w:vAlign w:val="center"/>
          </w:tcPr>
          <w:p w14:paraId="693E93C1">
            <w:pPr>
              <w:pStyle w:val="563"/>
              <w:bidi w:val="0"/>
              <w:rPr>
                <w:rFonts w:hint="eastAsia"/>
                <w:color w:val="auto"/>
                <w:highlight w:val="none"/>
              </w:rPr>
            </w:pPr>
            <w:r>
              <w:rPr>
                <w:rFonts w:hint="eastAsia"/>
                <w:color w:val="auto"/>
                <w:highlight w:val="none"/>
                <w:lang w:val="en-US" w:eastAsia="zh-CN"/>
              </w:rPr>
              <w:t>1</w:t>
            </w:r>
          </w:p>
        </w:tc>
        <w:tc>
          <w:tcPr>
            <w:tcW w:w="647" w:type="dxa"/>
            <w:vMerge w:val="continue"/>
            <w:noWrap w:val="0"/>
            <w:vAlign w:val="center"/>
          </w:tcPr>
          <w:p w14:paraId="4FB6B650">
            <w:pPr>
              <w:pStyle w:val="563"/>
              <w:bidi w:val="0"/>
              <w:rPr>
                <w:rFonts w:hint="eastAsia"/>
                <w:color w:val="auto"/>
                <w:highlight w:val="none"/>
              </w:rPr>
            </w:pPr>
          </w:p>
        </w:tc>
        <w:tc>
          <w:tcPr>
            <w:tcW w:w="498" w:type="dxa"/>
            <w:noWrap w:val="0"/>
            <w:vAlign w:val="center"/>
          </w:tcPr>
          <w:p w14:paraId="49A2E961">
            <w:pPr>
              <w:pStyle w:val="563"/>
              <w:bidi w:val="0"/>
              <w:rPr>
                <w:rFonts w:hint="default"/>
                <w:color w:val="auto"/>
                <w:highlight w:val="none"/>
              </w:rPr>
            </w:pPr>
            <w:r>
              <w:rPr>
                <w:rFonts w:hint="default"/>
                <w:color w:val="auto"/>
                <w:highlight w:val="none"/>
                <w:lang w:val="en-US" w:eastAsia="zh-CN"/>
              </w:rPr>
              <w:t>83</w:t>
            </w:r>
          </w:p>
        </w:tc>
        <w:tc>
          <w:tcPr>
            <w:tcW w:w="498" w:type="dxa"/>
            <w:noWrap w:val="0"/>
            <w:vAlign w:val="center"/>
          </w:tcPr>
          <w:p w14:paraId="60D1FDBC">
            <w:pPr>
              <w:pStyle w:val="563"/>
              <w:bidi w:val="0"/>
              <w:rPr>
                <w:rFonts w:hint="default"/>
                <w:color w:val="auto"/>
                <w:highlight w:val="none"/>
              </w:rPr>
            </w:pPr>
            <w:r>
              <w:rPr>
                <w:rFonts w:hint="default"/>
                <w:color w:val="auto"/>
                <w:highlight w:val="none"/>
                <w:lang w:val="en-US" w:eastAsia="zh-CN"/>
              </w:rPr>
              <w:t>62</w:t>
            </w:r>
          </w:p>
        </w:tc>
        <w:tc>
          <w:tcPr>
            <w:tcW w:w="491" w:type="dxa"/>
            <w:noWrap w:val="0"/>
            <w:vAlign w:val="center"/>
          </w:tcPr>
          <w:p w14:paraId="4494B02D">
            <w:pPr>
              <w:pStyle w:val="563"/>
              <w:bidi w:val="0"/>
              <w:rPr>
                <w:rFonts w:hint="default"/>
                <w:color w:val="auto"/>
                <w:highlight w:val="none"/>
              </w:rPr>
            </w:pPr>
            <w:r>
              <w:rPr>
                <w:rFonts w:hint="default"/>
                <w:color w:val="auto"/>
                <w:highlight w:val="none"/>
                <w:lang w:val="en-US" w:eastAsia="zh-CN"/>
              </w:rPr>
              <w:t>2</w:t>
            </w:r>
          </w:p>
        </w:tc>
        <w:tc>
          <w:tcPr>
            <w:tcW w:w="461" w:type="dxa"/>
            <w:noWrap w:val="0"/>
            <w:vAlign w:val="center"/>
          </w:tcPr>
          <w:p w14:paraId="319F9DE0">
            <w:pPr>
              <w:pStyle w:val="563"/>
              <w:bidi w:val="0"/>
              <w:rPr>
                <w:rFonts w:hint="default"/>
                <w:color w:val="auto"/>
                <w:highlight w:val="none"/>
              </w:rPr>
            </w:pPr>
            <w:r>
              <w:rPr>
                <w:rFonts w:hint="default"/>
                <w:color w:val="auto"/>
                <w:highlight w:val="none"/>
                <w:lang w:val="en-US" w:eastAsia="zh-CN"/>
              </w:rPr>
              <w:t>69</w:t>
            </w:r>
          </w:p>
        </w:tc>
        <w:tc>
          <w:tcPr>
            <w:tcW w:w="507" w:type="dxa"/>
            <w:noWrap w:val="0"/>
            <w:vAlign w:val="center"/>
          </w:tcPr>
          <w:p w14:paraId="1E4D34CF">
            <w:pPr>
              <w:pStyle w:val="563"/>
              <w:bidi w:val="0"/>
              <w:rPr>
                <w:rFonts w:hint="default"/>
                <w:color w:val="auto"/>
                <w:highlight w:val="none"/>
              </w:rPr>
            </w:pPr>
            <w:r>
              <w:rPr>
                <w:rFonts w:hint="default"/>
                <w:color w:val="auto"/>
                <w:highlight w:val="none"/>
                <w:lang w:val="en-US" w:eastAsia="zh-CN"/>
              </w:rPr>
              <w:t>83</w:t>
            </w:r>
          </w:p>
        </w:tc>
        <w:tc>
          <w:tcPr>
            <w:tcW w:w="445" w:type="dxa"/>
            <w:noWrap w:val="0"/>
            <w:vAlign w:val="center"/>
          </w:tcPr>
          <w:p w14:paraId="6A2C6035">
            <w:pPr>
              <w:pStyle w:val="563"/>
              <w:bidi w:val="0"/>
              <w:rPr>
                <w:rFonts w:hint="default"/>
                <w:color w:val="auto"/>
                <w:highlight w:val="none"/>
              </w:rPr>
            </w:pPr>
            <w:r>
              <w:rPr>
                <w:rFonts w:hint="default"/>
                <w:color w:val="auto"/>
                <w:highlight w:val="none"/>
                <w:lang w:val="en-US" w:eastAsia="zh-CN"/>
              </w:rPr>
              <w:t>62</w:t>
            </w:r>
          </w:p>
        </w:tc>
        <w:tc>
          <w:tcPr>
            <w:tcW w:w="614" w:type="dxa"/>
            <w:noWrap w:val="0"/>
            <w:vAlign w:val="center"/>
          </w:tcPr>
          <w:p w14:paraId="7F1BE9B1">
            <w:pPr>
              <w:pStyle w:val="563"/>
              <w:bidi w:val="0"/>
              <w:rPr>
                <w:rFonts w:hint="default"/>
                <w:color w:val="auto"/>
                <w:highlight w:val="none"/>
              </w:rPr>
            </w:pPr>
            <w:r>
              <w:rPr>
                <w:rFonts w:hint="default"/>
                <w:color w:val="auto"/>
                <w:highlight w:val="none"/>
                <w:lang w:val="en-US" w:eastAsia="zh-CN"/>
              </w:rPr>
              <w:t>55</w:t>
            </w:r>
          </w:p>
        </w:tc>
        <w:tc>
          <w:tcPr>
            <w:tcW w:w="618" w:type="dxa"/>
            <w:noWrap w:val="0"/>
            <w:vAlign w:val="center"/>
          </w:tcPr>
          <w:p w14:paraId="52D0250B">
            <w:pPr>
              <w:pStyle w:val="563"/>
              <w:bidi w:val="0"/>
              <w:rPr>
                <w:rFonts w:hint="default"/>
                <w:color w:val="auto"/>
                <w:highlight w:val="none"/>
              </w:rPr>
            </w:pPr>
            <w:r>
              <w:rPr>
                <w:rFonts w:hint="default"/>
                <w:color w:val="auto"/>
                <w:highlight w:val="none"/>
                <w:lang w:val="en-US" w:eastAsia="zh-CN"/>
              </w:rPr>
              <w:t>53.2</w:t>
            </w:r>
          </w:p>
        </w:tc>
        <w:tc>
          <w:tcPr>
            <w:tcW w:w="532" w:type="dxa"/>
            <w:noWrap w:val="0"/>
            <w:vAlign w:val="center"/>
          </w:tcPr>
          <w:p w14:paraId="7B5AA5E9">
            <w:pPr>
              <w:pStyle w:val="563"/>
              <w:bidi w:val="0"/>
              <w:rPr>
                <w:rFonts w:hint="default"/>
                <w:color w:val="auto"/>
                <w:highlight w:val="none"/>
              </w:rPr>
            </w:pPr>
            <w:r>
              <w:rPr>
                <w:rFonts w:hint="default"/>
                <w:color w:val="auto"/>
                <w:highlight w:val="none"/>
                <w:lang w:val="en-US" w:eastAsia="zh-CN"/>
              </w:rPr>
              <w:t>51.6</w:t>
            </w:r>
          </w:p>
        </w:tc>
        <w:tc>
          <w:tcPr>
            <w:tcW w:w="618" w:type="dxa"/>
            <w:noWrap w:val="0"/>
            <w:vAlign w:val="center"/>
          </w:tcPr>
          <w:p w14:paraId="5CC3C710">
            <w:pPr>
              <w:pStyle w:val="563"/>
              <w:bidi w:val="0"/>
              <w:rPr>
                <w:rFonts w:hint="default"/>
                <w:color w:val="auto"/>
                <w:highlight w:val="none"/>
              </w:rPr>
            </w:pPr>
            <w:r>
              <w:rPr>
                <w:rFonts w:hint="default"/>
                <w:color w:val="auto"/>
                <w:highlight w:val="none"/>
                <w:lang w:val="en-US" w:eastAsia="zh-CN"/>
              </w:rPr>
              <w:t>54.2</w:t>
            </w:r>
          </w:p>
        </w:tc>
        <w:tc>
          <w:tcPr>
            <w:tcW w:w="624" w:type="dxa"/>
            <w:noWrap w:val="0"/>
            <w:vAlign w:val="center"/>
          </w:tcPr>
          <w:p w14:paraId="1C320CF2">
            <w:pPr>
              <w:pStyle w:val="563"/>
              <w:bidi w:val="0"/>
              <w:rPr>
                <w:rFonts w:hint="default"/>
                <w:color w:val="auto"/>
                <w:highlight w:val="none"/>
              </w:rPr>
            </w:pPr>
            <w:r>
              <w:rPr>
                <w:rFonts w:hint="default"/>
                <w:color w:val="auto"/>
                <w:highlight w:val="none"/>
                <w:lang w:val="en-US" w:eastAsia="zh-CN"/>
              </w:rPr>
              <w:t>55.2</w:t>
            </w:r>
          </w:p>
        </w:tc>
        <w:tc>
          <w:tcPr>
            <w:tcW w:w="659" w:type="dxa"/>
            <w:vMerge w:val="continue"/>
            <w:noWrap w:val="0"/>
            <w:vAlign w:val="center"/>
          </w:tcPr>
          <w:p w14:paraId="3894385F">
            <w:pPr>
              <w:pStyle w:val="563"/>
              <w:bidi w:val="0"/>
              <w:rPr>
                <w:rFonts w:hint="eastAsia"/>
                <w:color w:val="auto"/>
                <w:highlight w:val="none"/>
              </w:rPr>
            </w:pPr>
          </w:p>
        </w:tc>
        <w:tc>
          <w:tcPr>
            <w:tcW w:w="843" w:type="dxa"/>
            <w:noWrap w:val="0"/>
            <w:vAlign w:val="center"/>
          </w:tcPr>
          <w:p w14:paraId="63629003">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783D52F8">
            <w:pPr>
              <w:pStyle w:val="563"/>
              <w:bidi w:val="0"/>
              <w:rPr>
                <w:rFonts w:hint="default"/>
                <w:color w:val="auto"/>
                <w:highlight w:val="none"/>
              </w:rPr>
            </w:pPr>
            <w:r>
              <w:rPr>
                <w:rFonts w:hint="default"/>
                <w:color w:val="auto"/>
                <w:highlight w:val="none"/>
                <w:lang w:val="en-US" w:eastAsia="zh-CN"/>
              </w:rPr>
              <w:t>38.2</w:t>
            </w:r>
          </w:p>
        </w:tc>
        <w:tc>
          <w:tcPr>
            <w:tcW w:w="659" w:type="dxa"/>
            <w:noWrap w:val="0"/>
            <w:vAlign w:val="center"/>
          </w:tcPr>
          <w:p w14:paraId="0D140581">
            <w:pPr>
              <w:pStyle w:val="563"/>
              <w:bidi w:val="0"/>
              <w:rPr>
                <w:rFonts w:hint="default"/>
                <w:color w:val="auto"/>
                <w:highlight w:val="none"/>
              </w:rPr>
            </w:pPr>
            <w:r>
              <w:rPr>
                <w:rFonts w:hint="default"/>
                <w:color w:val="auto"/>
                <w:highlight w:val="none"/>
                <w:lang w:val="en-US" w:eastAsia="zh-CN"/>
              </w:rPr>
              <w:t>36.6</w:t>
            </w:r>
          </w:p>
        </w:tc>
        <w:tc>
          <w:tcPr>
            <w:tcW w:w="624" w:type="dxa"/>
            <w:noWrap w:val="0"/>
            <w:vAlign w:val="center"/>
          </w:tcPr>
          <w:p w14:paraId="43251783">
            <w:pPr>
              <w:pStyle w:val="563"/>
              <w:bidi w:val="0"/>
              <w:rPr>
                <w:rFonts w:hint="default"/>
                <w:color w:val="auto"/>
                <w:highlight w:val="none"/>
              </w:rPr>
            </w:pPr>
            <w:r>
              <w:rPr>
                <w:rFonts w:hint="default"/>
                <w:color w:val="auto"/>
                <w:highlight w:val="none"/>
                <w:lang w:val="en-US" w:eastAsia="zh-CN"/>
              </w:rPr>
              <w:t>39.2</w:t>
            </w:r>
          </w:p>
        </w:tc>
        <w:tc>
          <w:tcPr>
            <w:tcW w:w="632" w:type="dxa"/>
            <w:noWrap w:val="0"/>
            <w:vAlign w:val="center"/>
          </w:tcPr>
          <w:p w14:paraId="43AE61E9">
            <w:pPr>
              <w:pStyle w:val="563"/>
              <w:bidi w:val="0"/>
              <w:rPr>
                <w:rFonts w:hint="default"/>
                <w:color w:val="auto"/>
                <w:highlight w:val="none"/>
              </w:rPr>
            </w:pPr>
            <w:r>
              <w:rPr>
                <w:rFonts w:hint="default"/>
                <w:color w:val="auto"/>
                <w:highlight w:val="none"/>
                <w:lang w:val="en-US" w:eastAsia="zh-CN"/>
              </w:rPr>
              <w:t>40.2</w:t>
            </w:r>
          </w:p>
        </w:tc>
        <w:tc>
          <w:tcPr>
            <w:tcW w:w="667" w:type="dxa"/>
            <w:noWrap w:val="0"/>
            <w:vAlign w:val="center"/>
          </w:tcPr>
          <w:p w14:paraId="4968736B">
            <w:pPr>
              <w:pStyle w:val="563"/>
              <w:bidi w:val="0"/>
              <w:rPr>
                <w:rFonts w:hint="default"/>
                <w:color w:val="auto"/>
                <w:highlight w:val="none"/>
              </w:rPr>
            </w:pPr>
            <w:r>
              <w:rPr>
                <w:rFonts w:hint="default"/>
                <w:color w:val="auto"/>
                <w:highlight w:val="none"/>
                <w:lang w:val="en-US" w:eastAsia="zh-CN"/>
              </w:rPr>
              <w:t>1</w:t>
            </w:r>
          </w:p>
        </w:tc>
      </w:tr>
      <w:tr w14:paraId="475E2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7C1E427E">
            <w:pPr>
              <w:pStyle w:val="563"/>
              <w:bidi w:val="0"/>
              <w:rPr>
                <w:rFonts w:hint="default"/>
                <w:color w:val="auto"/>
                <w:highlight w:val="none"/>
              </w:rPr>
            </w:pPr>
            <w:r>
              <w:rPr>
                <w:rFonts w:hint="default"/>
                <w:color w:val="auto"/>
                <w:highlight w:val="none"/>
                <w:lang w:val="en-US" w:eastAsia="zh-CN"/>
              </w:rPr>
              <w:t>13</w:t>
            </w:r>
          </w:p>
        </w:tc>
        <w:tc>
          <w:tcPr>
            <w:tcW w:w="424" w:type="dxa"/>
            <w:vMerge w:val="continue"/>
            <w:noWrap w:val="0"/>
            <w:vAlign w:val="center"/>
          </w:tcPr>
          <w:p w14:paraId="7C55B40E">
            <w:pPr>
              <w:pStyle w:val="563"/>
              <w:bidi w:val="0"/>
              <w:rPr>
                <w:rFonts w:hint="eastAsia"/>
                <w:color w:val="auto"/>
                <w:highlight w:val="none"/>
              </w:rPr>
            </w:pPr>
          </w:p>
        </w:tc>
        <w:tc>
          <w:tcPr>
            <w:tcW w:w="708" w:type="dxa"/>
            <w:noWrap w:val="0"/>
            <w:vAlign w:val="center"/>
          </w:tcPr>
          <w:p w14:paraId="0F824F1E">
            <w:pPr>
              <w:pStyle w:val="563"/>
              <w:bidi w:val="0"/>
              <w:rPr>
                <w:rFonts w:hint="eastAsia"/>
                <w:color w:val="auto"/>
                <w:highlight w:val="none"/>
              </w:rPr>
            </w:pPr>
            <w:r>
              <w:rPr>
                <w:rFonts w:hint="eastAsia"/>
                <w:color w:val="auto"/>
                <w:highlight w:val="none"/>
                <w:lang w:val="en-US" w:eastAsia="zh-CN"/>
              </w:rPr>
              <w:t>蒸汽发生器</w:t>
            </w:r>
          </w:p>
        </w:tc>
        <w:tc>
          <w:tcPr>
            <w:tcW w:w="750" w:type="dxa"/>
            <w:noWrap w:val="0"/>
            <w:vAlign w:val="center"/>
          </w:tcPr>
          <w:p w14:paraId="4871CE7B">
            <w:pPr>
              <w:pStyle w:val="563"/>
              <w:bidi w:val="0"/>
              <w:rPr>
                <w:rFonts w:hint="default"/>
                <w:color w:val="auto"/>
                <w:highlight w:val="none"/>
              </w:rPr>
            </w:pPr>
            <w:r>
              <w:rPr>
                <w:rFonts w:hint="default"/>
                <w:color w:val="auto"/>
                <w:highlight w:val="none"/>
                <w:lang w:val="en-US" w:eastAsia="zh-CN"/>
              </w:rPr>
              <w:t>80</w:t>
            </w:r>
          </w:p>
        </w:tc>
        <w:tc>
          <w:tcPr>
            <w:tcW w:w="0" w:type="auto"/>
            <w:noWrap/>
            <w:vAlign w:val="center"/>
          </w:tcPr>
          <w:p w14:paraId="0C4B838D">
            <w:pPr>
              <w:pStyle w:val="563"/>
              <w:bidi w:val="0"/>
              <w:rPr>
                <w:rFonts w:hint="default"/>
                <w:color w:val="auto"/>
                <w:highlight w:val="none"/>
              </w:rPr>
            </w:pPr>
            <w:r>
              <w:rPr>
                <w:rFonts w:hint="default"/>
                <w:color w:val="auto"/>
                <w:highlight w:val="none"/>
                <w:lang w:val="en-US" w:eastAsia="zh-CN"/>
              </w:rPr>
              <w:t>3</w:t>
            </w:r>
          </w:p>
        </w:tc>
        <w:tc>
          <w:tcPr>
            <w:tcW w:w="647" w:type="dxa"/>
            <w:vMerge w:val="continue"/>
            <w:noWrap w:val="0"/>
            <w:vAlign w:val="center"/>
          </w:tcPr>
          <w:p w14:paraId="17FC3F9B">
            <w:pPr>
              <w:pStyle w:val="563"/>
              <w:bidi w:val="0"/>
              <w:rPr>
                <w:rFonts w:hint="eastAsia"/>
                <w:color w:val="auto"/>
                <w:highlight w:val="none"/>
              </w:rPr>
            </w:pPr>
          </w:p>
        </w:tc>
        <w:tc>
          <w:tcPr>
            <w:tcW w:w="498" w:type="dxa"/>
            <w:noWrap w:val="0"/>
            <w:vAlign w:val="center"/>
          </w:tcPr>
          <w:p w14:paraId="550DD0AA">
            <w:pPr>
              <w:pStyle w:val="563"/>
              <w:bidi w:val="0"/>
              <w:rPr>
                <w:rFonts w:hint="default"/>
                <w:color w:val="auto"/>
                <w:highlight w:val="none"/>
              </w:rPr>
            </w:pPr>
            <w:r>
              <w:rPr>
                <w:rFonts w:hint="default"/>
                <w:color w:val="auto"/>
                <w:highlight w:val="none"/>
                <w:lang w:val="en-US" w:eastAsia="zh-CN"/>
              </w:rPr>
              <w:t>100</w:t>
            </w:r>
          </w:p>
        </w:tc>
        <w:tc>
          <w:tcPr>
            <w:tcW w:w="498" w:type="dxa"/>
            <w:noWrap w:val="0"/>
            <w:vAlign w:val="center"/>
          </w:tcPr>
          <w:p w14:paraId="1E5815CD">
            <w:pPr>
              <w:pStyle w:val="563"/>
              <w:bidi w:val="0"/>
              <w:rPr>
                <w:rFonts w:hint="default"/>
                <w:color w:val="auto"/>
                <w:highlight w:val="none"/>
              </w:rPr>
            </w:pPr>
            <w:r>
              <w:rPr>
                <w:rFonts w:hint="default"/>
                <w:color w:val="auto"/>
                <w:highlight w:val="none"/>
                <w:lang w:val="en-US" w:eastAsia="zh-CN"/>
              </w:rPr>
              <w:t>21</w:t>
            </w:r>
          </w:p>
        </w:tc>
        <w:tc>
          <w:tcPr>
            <w:tcW w:w="491" w:type="dxa"/>
            <w:noWrap w:val="0"/>
            <w:vAlign w:val="center"/>
          </w:tcPr>
          <w:p w14:paraId="0A2E9744">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42A93F40">
            <w:pPr>
              <w:pStyle w:val="563"/>
              <w:bidi w:val="0"/>
              <w:rPr>
                <w:rFonts w:hint="default"/>
                <w:color w:val="auto"/>
                <w:highlight w:val="none"/>
              </w:rPr>
            </w:pPr>
            <w:r>
              <w:rPr>
                <w:rFonts w:hint="default"/>
                <w:color w:val="auto"/>
                <w:highlight w:val="none"/>
                <w:lang w:val="en-US" w:eastAsia="zh-CN"/>
              </w:rPr>
              <w:t>52</w:t>
            </w:r>
          </w:p>
        </w:tc>
        <w:tc>
          <w:tcPr>
            <w:tcW w:w="507" w:type="dxa"/>
            <w:noWrap w:val="0"/>
            <w:vAlign w:val="center"/>
          </w:tcPr>
          <w:p w14:paraId="617099AE">
            <w:pPr>
              <w:pStyle w:val="563"/>
              <w:bidi w:val="0"/>
              <w:rPr>
                <w:rFonts w:hint="default"/>
                <w:color w:val="auto"/>
                <w:highlight w:val="none"/>
              </w:rPr>
            </w:pPr>
            <w:r>
              <w:rPr>
                <w:rFonts w:hint="default"/>
                <w:color w:val="auto"/>
                <w:highlight w:val="none"/>
                <w:lang w:val="en-US" w:eastAsia="zh-CN"/>
              </w:rPr>
              <w:t>100</w:t>
            </w:r>
          </w:p>
        </w:tc>
        <w:tc>
          <w:tcPr>
            <w:tcW w:w="445" w:type="dxa"/>
            <w:noWrap w:val="0"/>
            <w:vAlign w:val="center"/>
          </w:tcPr>
          <w:p w14:paraId="4002793D">
            <w:pPr>
              <w:pStyle w:val="563"/>
              <w:bidi w:val="0"/>
              <w:rPr>
                <w:rFonts w:hint="default"/>
                <w:color w:val="auto"/>
                <w:highlight w:val="none"/>
              </w:rPr>
            </w:pPr>
            <w:r>
              <w:rPr>
                <w:rFonts w:hint="default"/>
                <w:color w:val="auto"/>
                <w:highlight w:val="none"/>
                <w:lang w:val="en-US" w:eastAsia="zh-CN"/>
              </w:rPr>
              <w:t>21</w:t>
            </w:r>
          </w:p>
        </w:tc>
        <w:tc>
          <w:tcPr>
            <w:tcW w:w="614" w:type="dxa"/>
            <w:noWrap w:val="0"/>
            <w:vAlign w:val="center"/>
          </w:tcPr>
          <w:p w14:paraId="2E74A66D">
            <w:pPr>
              <w:pStyle w:val="563"/>
              <w:bidi w:val="0"/>
              <w:rPr>
                <w:rFonts w:hint="default"/>
                <w:color w:val="auto"/>
                <w:highlight w:val="none"/>
              </w:rPr>
            </w:pPr>
            <w:r>
              <w:rPr>
                <w:rFonts w:hint="default"/>
                <w:color w:val="auto"/>
                <w:highlight w:val="none"/>
                <w:lang w:val="en-US" w:eastAsia="zh-CN"/>
              </w:rPr>
              <w:t>96</w:t>
            </w:r>
          </w:p>
        </w:tc>
        <w:tc>
          <w:tcPr>
            <w:tcW w:w="618" w:type="dxa"/>
            <w:noWrap w:val="0"/>
            <w:vAlign w:val="center"/>
          </w:tcPr>
          <w:p w14:paraId="2882D396">
            <w:pPr>
              <w:pStyle w:val="563"/>
              <w:bidi w:val="0"/>
              <w:rPr>
                <w:rFonts w:hint="default"/>
                <w:color w:val="auto"/>
                <w:highlight w:val="none"/>
              </w:rPr>
            </w:pPr>
            <w:r>
              <w:rPr>
                <w:rFonts w:hint="default"/>
                <w:color w:val="auto"/>
                <w:highlight w:val="none"/>
                <w:lang w:val="en-US" w:eastAsia="zh-CN"/>
              </w:rPr>
              <w:t>50.5</w:t>
            </w:r>
          </w:p>
        </w:tc>
        <w:tc>
          <w:tcPr>
            <w:tcW w:w="532" w:type="dxa"/>
            <w:noWrap w:val="0"/>
            <w:vAlign w:val="center"/>
          </w:tcPr>
          <w:p w14:paraId="2F2DEDB9">
            <w:pPr>
              <w:pStyle w:val="563"/>
              <w:bidi w:val="0"/>
              <w:rPr>
                <w:rFonts w:hint="default"/>
                <w:color w:val="auto"/>
                <w:highlight w:val="none"/>
              </w:rPr>
            </w:pPr>
            <w:r>
              <w:rPr>
                <w:rFonts w:hint="default"/>
                <w:color w:val="auto"/>
                <w:highlight w:val="none"/>
                <w:lang w:val="en-US" w:eastAsia="zh-CN"/>
              </w:rPr>
              <w:t>44.8</w:t>
            </w:r>
          </w:p>
        </w:tc>
        <w:tc>
          <w:tcPr>
            <w:tcW w:w="618" w:type="dxa"/>
            <w:noWrap w:val="0"/>
            <w:vAlign w:val="center"/>
          </w:tcPr>
          <w:p w14:paraId="68A678E4">
            <w:pPr>
              <w:pStyle w:val="563"/>
              <w:bidi w:val="0"/>
              <w:rPr>
                <w:rFonts w:hint="default"/>
                <w:color w:val="auto"/>
                <w:highlight w:val="none"/>
              </w:rPr>
            </w:pPr>
            <w:r>
              <w:rPr>
                <w:rFonts w:hint="default"/>
                <w:color w:val="auto"/>
                <w:highlight w:val="none"/>
                <w:lang w:val="en-US" w:eastAsia="zh-CN"/>
              </w:rPr>
              <w:t>58.3</w:t>
            </w:r>
          </w:p>
        </w:tc>
        <w:tc>
          <w:tcPr>
            <w:tcW w:w="624" w:type="dxa"/>
            <w:noWrap w:val="0"/>
            <w:vAlign w:val="center"/>
          </w:tcPr>
          <w:p w14:paraId="26E4A2A7">
            <w:pPr>
              <w:pStyle w:val="563"/>
              <w:bidi w:val="0"/>
              <w:rPr>
                <w:rFonts w:hint="default"/>
                <w:color w:val="auto"/>
                <w:highlight w:val="none"/>
              </w:rPr>
            </w:pPr>
            <w:r>
              <w:rPr>
                <w:rFonts w:hint="default"/>
                <w:color w:val="auto"/>
                <w:highlight w:val="none"/>
                <w:lang w:val="en-US" w:eastAsia="zh-CN"/>
              </w:rPr>
              <w:t>45.1</w:t>
            </w:r>
          </w:p>
        </w:tc>
        <w:tc>
          <w:tcPr>
            <w:tcW w:w="659" w:type="dxa"/>
            <w:vMerge w:val="continue"/>
            <w:noWrap w:val="0"/>
            <w:vAlign w:val="center"/>
          </w:tcPr>
          <w:p w14:paraId="6AA7B553">
            <w:pPr>
              <w:pStyle w:val="563"/>
              <w:bidi w:val="0"/>
              <w:rPr>
                <w:rFonts w:hint="eastAsia"/>
                <w:color w:val="auto"/>
                <w:highlight w:val="none"/>
              </w:rPr>
            </w:pPr>
          </w:p>
        </w:tc>
        <w:tc>
          <w:tcPr>
            <w:tcW w:w="843" w:type="dxa"/>
            <w:noWrap w:val="0"/>
            <w:vAlign w:val="center"/>
          </w:tcPr>
          <w:p w14:paraId="0868FC8B">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5C232190">
            <w:pPr>
              <w:pStyle w:val="563"/>
              <w:bidi w:val="0"/>
              <w:rPr>
                <w:rFonts w:hint="default"/>
                <w:color w:val="auto"/>
                <w:highlight w:val="none"/>
              </w:rPr>
            </w:pPr>
            <w:r>
              <w:rPr>
                <w:rFonts w:hint="default"/>
                <w:color w:val="auto"/>
                <w:highlight w:val="none"/>
                <w:lang w:val="en-US" w:eastAsia="zh-CN"/>
              </w:rPr>
              <w:t>35.5</w:t>
            </w:r>
          </w:p>
        </w:tc>
        <w:tc>
          <w:tcPr>
            <w:tcW w:w="659" w:type="dxa"/>
            <w:noWrap w:val="0"/>
            <w:vAlign w:val="center"/>
          </w:tcPr>
          <w:p w14:paraId="5119C1C9">
            <w:pPr>
              <w:pStyle w:val="563"/>
              <w:bidi w:val="0"/>
              <w:rPr>
                <w:rFonts w:hint="default"/>
                <w:color w:val="auto"/>
                <w:highlight w:val="none"/>
              </w:rPr>
            </w:pPr>
            <w:r>
              <w:rPr>
                <w:rFonts w:hint="default"/>
                <w:color w:val="auto"/>
                <w:highlight w:val="none"/>
                <w:lang w:val="en-US" w:eastAsia="zh-CN"/>
              </w:rPr>
              <w:t>29.8</w:t>
            </w:r>
          </w:p>
        </w:tc>
        <w:tc>
          <w:tcPr>
            <w:tcW w:w="624" w:type="dxa"/>
            <w:noWrap w:val="0"/>
            <w:vAlign w:val="center"/>
          </w:tcPr>
          <w:p w14:paraId="10C0087E">
            <w:pPr>
              <w:pStyle w:val="563"/>
              <w:bidi w:val="0"/>
              <w:rPr>
                <w:rFonts w:hint="default"/>
                <w:color w:val="auto"/>
                <w:highlight w:val="none"/>
              </w:rPr>
            </w:pPr>
            <w:r>
              <w:rPr>
                <w:rFonts w:hint="default"/>
                <w:color w:val="auto"/>
                <w:highlight w:val="none"/>
                <w:lang w:val="en-US" w:eastAsia="zh-CN"/>
              </w:rPr>
              <w:t>43.3</w:t>
            </w:r>
          </w:p>
        </w:tc>
        <w:tc>
          <w:tcPr>
            <w:tcW w:w="632" w:type="dxa"/>
            <w:noWrap w:val="0"/>
            <w:vAlign w:val="center"/>
          </w:tcPr>
          <w:p w14:paraId="667FCB7A">
            <w:pPr>
              <w:pStyle w:val="563"/>
              <w:bidi w:val="0"/>
              <w:rPr>
                <w:rFonts w:hint="default"/>
                <w:color w:val="auto"/>
                <w:highlight w:val="none"/>
              </w:rPr>
            </w:pPr>
            <w:r>
              <w:rPr>
                <w:rFonts w:hint="default"/>
                <w:color w:val="auto"/>
                <w:highlight w:val="none"/>
                <w:lang w:val="en-US" w:eastAsia="zh-CN"/>
              </w:rPr>
              <w:t>30.1</w:t>
            </w:r>
          </w:p>
        </w:tc>
        <w:tc>
          <w:tcPr>
            <w:tcW w:w="667" w:type="dxa"/>
            <w:noWrap w:val="0"/>
            <w:vAlign w:val="center"/>
          </w:tcPr>
          <w:p w14:paraId="33E4C70A">
            <w:pPr>
              <w:pStyle w:val="563"/>
              <w:bidi w:val="0"/>
              <w:rPr>
                <w:rFonts w:hint="default"/>
                <w:color w:val="auto"/>
                <w:highlight w:val="none"/>
              </w:rPr>
            </w:pPr>
            <w:r>
              <w:rPr>
                <w:rFonts w:hint="default"/>
                <w:color w:val="auto"/>
                <w:highlight w:val="none"/>
                <w:lang w:val="en-US" w:eastAsia="zh-CN"/>
              </w:rPr>
              <w:t>1</w:t>
            </w:r>
          </w:p>
        </w:tc>
      </w:tr>
      <w:tr w14:paraId="0883B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76D08325">
            <w:pPr>
              <w:pStyle w:val="563"/>
              <w:bidi w:val="0"/>
              <w:rPr>
                <w:rFonts w:hint="default"/>
                <w:color w:val="auto"/>
                <w:highlight w:val="none"/>
              </w:rPr>
            </w:pPr>
            <w:r>
              <w:rPr>
                <w:rFonts w:hint="default"/>
                <w:color w:val="auto"/>
                <w:highlight w:val="none"/>
                <w:lang w:val="en-US" w:eastAsia="zh-CN"/>
              </w:rPr>
              <w:t>14</w:t>
            </w:r>
          </w:p>
        </w:tc>
        <w:tc>
          <w:tcPr>
            <w:tcW w:w="424" w:type="dxa"/>
            <w:vMerge w:val="continue"/>
            <w:noWrap w:val="0"/>
            <w:vAlign w:val="center"/>
          </w:tcPr>
          <w:p w14:paraId="1514A917">
            <w:pPr>
              <w:pStyle w:val="563"/>
              <w:bidi w:val="0"/>
              <w:rPr>
                <w:rFonts w:hint="eastAsia"/>
                <w:color w:val="auto"/>
                <w:highlight w:val="none"/>
              </w:rPr>
            </w:pPr>
          </w:p>
        </w:tc>
        <w:tc>
          <w:tcPr>
            <w:tcW w:w="708" w:type="dxa"/>
            <w:noWrap w:val="0"/>
            <w:vAlign w:val="center"/>
          </w:tcPr>
          <w:p w14:paraId="38AF0D39">
            <w:pPr>
              <w:pStyle w:val="563"/>
              <w:bidi w:val="0"/>
              <w:rPr>
                <w:rFonts w:hint="eastAsia"/>
                <w:color w:val="auto"/>
                <w:highlight w:val="none"/>
              </w:rPr>
            </w:pPr>
            <w:r>
              <w:rPr>
                <w:rFonts w:hint="eastAsia"/>
                <w:color w:val="auto"/>
                <w:highlight w:val="none"/>
                <w:lang w:val="en-US" w:eastAsia="zh-CN"/>
              </w:rPr>
              <w:t>脱盐水撬</w:t>
            </w:r>
          </w:p>
        </w:tc>
        <w:tc>
          <w:tcPr>
            <w:tcW w:w="750" w:type="dxa"/>
            <w:noWrap w:val="0"/>
            <w:vAlign w:val="center"/>
          </w:tcPr>
          <w:p w14:paraId="2A88DD29">
            <w:pPr>
              <w:pStyle w:val="563"/>
              <w:bidi w:val="0"/>
              <w:rPr>
                <w:rFonts w:hint="default"/>
                <w:color w:val="auto"/>
                <w:highlight w:val="none"/>
              </w:rPr>
            </w:pPr>
            <w:r>
              <w:rPr>
                <w:rFonts w:hint="default"/>
                <w:color w:val="auto"/>
                <w:highlight w:val="none"/>
                <w:lang w:val="en-US" w:eastAsia="zh-CN"/>
              </w:rPr>
              <w:t>85</w:t>
            </w:r>
          </w:p>
        </w:tc>
        <w:tc>
          <w:tcPr>
            <w:tcW w:w="0" w:type="auto"/>
            <w:noWrap/>
            <w:vAlign w:val="center"/>
          </w:tcPr>
          <w:p w14:paraId="0C5F4467">
            <w:pPr>
              <w:pStyle w:val="563"/>
              <w:bidi w:val="0"/>
              <w:rPr>
                <w:rFonts w:hint="default"/>
                <w:color w:val="auto"/>
                <w:highlight w:val="none"/>
              </w:rPr>
            </w:pPr>
            <w:r>
              <w:rPr>
                <w:rFonts w:hint="default"/>
                <w:color w:val="auto"/>
                <w:highlight w:val="none"/>
                <w:lang w:val="en-US" w:eastAsia="zh-CN"/>
              </w:rPr>
              <w:t>1</w:t>
            </w:r>
          </w:p>
        </w:tc>
        <w:tc>
          <w:tcPr>
            <w:tcW w:w="647" w:type="dxa"/>
            <w:vMerge w:val="continue"/>
            <w:noWrap w:val="0"/>
            <w:vAlign w:val="center"/>
          </w:tcPr>
          <w:p w14:paraId="4E3A0C49">
            <w:pPr>
              <w:pStyle w:val="563"/>
              <w:bidi w:val="0"/>
              <w:rPr>
                <w:rFonts w:hint="eastAsia"/>
                <w:color w:val="auto"/>
                <w:highlight w:val="none"/>
              </w:rPr>
            </w:pPr>
          </w:p>
        </w:tc>
        <w:tc>
          <w:tcPr>
            <w:tcW w:w="498" w:type="dxa"/>
            <w:noWrap w:val="0"/>
            <w:vAlign w:val="center"/>
          </w:tcPr>
          <w:p w14:paraId="73C61F29">
            <w:pPr>
              <w:pStyle w:val="563"/>
              <w:bidi w:val="0"/>
              <w:rPr>
                <w:rFonts w:hint="default"/>
                <w:color w:val="auto"/>
                <w:highlight w:val="none"/>
              </w:rPr>
            </w:pPr>
            <w:r>
              <w:rPr>
                <w:rFonts w:hint="default"/>
                <w:color w:val="auto"/>
                <w:highlight w:val="none"/>
                <w:lang w:val="en-US" w:eastAsia="zh-CN"/>
              </w:rPr>
              <w:t>95</w:t>
            </w:r>
          </w:p>
        </w:tc>
        <w:tc>
          <w:tcPr>
            <w:tcW w:w="498" w:type="dxa"/>
            <w:noWrap w:val="0"/>
            <w:vAlign w:val="center"/>
          </w:tcPr>
          <w:p w14:paraId="07597B5B">
            <w:pPr>
              <w:pStyle w:val="563"/>
              <w:bidi w:val="0"/>
              <w:rPr>
                <w:rFonts w:hint="default"/>
                <w:color w:val="auto"/>
                <w:highlight w:val="none"/>
              </w:rPr>
            </w:pPr>
            <w:r>
              <w:rPr>
                <w:rFonts w:hint="default"/>
                <w:color w:val="auto"/>
                <w:highlight w:val="none"/>
                <w:lang w:val="en-US" w:eastAsia="zh-CN"/>
              </w:rPr>
              <w:t>26</w:t>
            </w:r>
          </w:p>
        </w:tc>
        <w:tc>
          <w:tcPr>
            <w:tcW w:w="491" w:type="dxa"/>
            <w:noWrap w:val="0"/>
            <w:vAlign w:val="center"/>
          </w:tcPr>
          <w:p w14:paraId="68671AC1">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1883FF5C">
            <w:pPr>
              <w:pStyle w:val="563"/>
              <w:bidi w:val="0"/>
              <w:rPr>
                <w:rFonts w:hint="default"/>
                <w:color w:val="auto"/>
                <w:highlight w:val="none"/>
              </w:rPr>
            </w:pPr>
            <w:r>
              <w:rPr>
                <w:rFonts w:hint="default"/>
                <w:color w:val="auto"/>
                <w:highlight w:val="none"/>
                <w:lang w:val="en-US" w:eastAsia="zh-CN"/>
              </w:rPr>
              <w:t>57</w:t>
            </w:r>
          </w:p>
        </w:tc>
        <w:tc>
          <w:tcPr>
            <w:tcW w:w="507" w:type="dxa"/>
            <w:noWrap w:val="0"/>
            <w:vAlign w:val="center"/>
          </w:tcPr>
          <w:p w14:paraId="3C730287">
            <w:pPr>
              <w:pStyle w:val="563"/>
              <w:bidi w:val="0"/>
              <w:rPr>
                <w:rFonts w:hint="default"/>
                <w:color w:val="auto"/>
                <w:highlight w:val="none"/>
              </w:rPr>
            </w:pPr>
            <w:r>
              <w:rPr>
                <w:rFonts w:hint="default"/>
                <w:color w:val="auto"/>
                <w:highlight w:val="none"/>
                <w:lang w:val="en-US" w:eastAsia="zh-CN"/>
              </w:rPr>
              <w:t>95</w:t>
            </w:r>
          </w:p>
        </w:tc>
        <w:tc>
          <w:tcPr>
            <w:tcW w:w="445" w:type="dxa"/>
            <w:noWrap w:val="0"/>
            <w:vAlign w:val="center"/>
          </w:tcPr>
          <w:p w14:paraId="6CFE48D9">
            <w:pPr>
              <w:pStyle w:val="563"/>
              <w:bidi w:val="0"/>
              <w:rPr>
                <w:rFonts w:hint="default"/>
                <w:color w:val="auto"/>
                <w:highlight w:val="none"/>
              </w:rPr>
            </w:pPr>
            <w:r>
              <w:rPr>
                <w:rFonts w:hint="default"/>
                <w:color w:val="auto"/>
                <w:highlight w:val="none"/>
                <w:lang w:val="en-US" w:eastAsia="zh-CN"/>
              </w:rPr>
              <w:t>26</w:t>
            </w:r>
          </w:p>
        </w:tc>
        <w:tc>
          <w:tcPr>
            <w:tcW w:w="614" w:type="dxa"/>
            <w:noWrap w:val="0"/>
            <w:vAlign w:val="center"/>
          </w:tcPr>
          <w:p w14:paraId="42445D54">
            <w:pPr>
              <w:pStyle w:val="563"/>
              <w:bidi w:val="0"/>
              <w:rPr>
                <w:rFonts w:hint="default"/>
                <w:color w:val="auto"/>
                <w:highlight w:val="none"/>
              </w:rPr>
            </w:pPr>
            <w:r>
              <w:rPr>
                <w:rFonts w:hint="default"/>
                <w:color w:val="auto"/>
                <w:highlight w:val="none"/>
                <w:lang w:val="en-US" w:eastAsia="zh-CN"/>
              </w:rPr>
              <w:t>91</w:t>
            </w:r>
          </w:p>
        </w:tc>
        <w:tc>
          <w:tcPr>
            <w:tcW w:w="618" w:type="dxa"/>
            <w:noWrap w:val="0"/>
            <w:vAlign w:val="center"/>
          </w:tcPr>
          <w:p w14:paraId="61F8DCF9">
            <w:pPr>
              <w:pStyle w:val="563"/>
              <w:bidi w:val="0"/>
              <w:rPr>
                <w:rFonts w:hint="default"/>
                <w:color w:val="auto"/>
                <w:highlight w:val="none"/>
              </w:rPr>
            </w:pPr>
            <w:r>
              <w:rPr>
                <w:rFonts w:hint="default"/>
                <w:color w:val="auto"/>
                <w:highlight w:val="none"/>
                <w:lang w:val="en-US" w:eastAsia="zh-CN"/>
              </w:rPr>
              <w:t>49.9</w:t>
            </w:r>
          </w:p>
        </w:tc>
        <w:tc>
          <w:tcPr>
            <w:tcW w:w="532" w:type="dxa"/>
            <w:noWrap w:val="0"/>
            <w:vAlign w:val="center"/>
          </w:tcPr>
          <w:p w14:paraId="314FC492">
            <w:pPr>
              <w:pStyle w:val="563"/>
              <w:bidi w:val="0"/>
              <w:rPr>
                <w:rFonts w:hint="default"/>
                <w:color w:val="auto"/>
                <w:highlight w:val="none"/>
              </w:rPr>
            </w:pPr>
            <w:r>
              <w:rPr>
                <w:rFonts w:hint="default"/>
                <w:color w:val="auto"/>
                <w:highlight w:val="none"/>
                <w:lang w:val="en-US" w:eastAsia="zh-CN"/>
              </w:rPr>
              <w:t>45.4</w:t>
            </w:r>
          </w:p>
        </w:tc>
        <w:tc>
          <w:tcPr>
            <w:tcW w:w="618" w:type="dxa"/>
            <w:noWrap w:val="0"/>
            <w:vAlign w:val="center"/>
          </w:tcPr>
          <w:p w14:paraId="52169454">
            <w:pPr>
              <w:pStyle w:val="563"/>
              <w:bidi w:val="0"/>
              <w:rPr>
                <w:rFonts w:hint="default"/>
                <w:color w:val="auto"/>
                <w:highlight w:val="none"/>
              </w:rPr>
            </w:pPr>
            <w:r>
              <w:rPr>
                <w:rFonts w:hint="default"/>
                <w:color w:val="auto"/>
                <w:highlight w:val="none"/>
                <w:lang w:val="en-US" w:eastAsia="zh-CN"/>
              </w:rPr>
              <w:t>56.7</w:t>
            </w:r>
          </w:p>
        </w:tc>
        <w:tc>
          <w:tcPr>
            <w:tcW w:w="624" w:type="dxa"/>
            <w:noWrap w:val="0"/>
            <w:vAlign w:val="center"/>
          </w:tcPr>
          <w:p w14:paraId="47B33C3E">
            <w:pPr>
              <w:pStyle w:val="563"/>
              <w:bidi w:val="0"/>
              <w:rPr>
                <w:rFonts w:hint="default"/>
                <w:color w:val="auto"/>
                <w:highlight w:val="none"/>
              </w:rPr>
            </w:pPr>
            <w:r>
              <w:rPr>
                <w:rFonts w:hint="default"/>
                <w:color w:val="auto"/>
                <w:highlight w:val="none"/>
                <w:lang w:val="en-US" w:eastAsia="zh-CN"/>
              </w:rPr>
              <w:t>45.8</w:t>
            </w:r>
          </w:p>
        </w:tc>
        <w:tc>
          <w:tcPr>
            <w:tcW w:w="659" w:type="dxa"/>
            <w:vMerge w:val="continue"/>
            <w:noWrap w:val="0"/>
            <w:vAlign w:val="center"/>
          </w:tcPr>
          <w:p w14:paraId="0B38A304">
            <w:pPr>
              <w:pStyle w:val="563"/>
              <w:bidi w:val="0"/>
              <w:rPr>
                <w:rFonts w:hint="eastAsia"/>
                <w:color w:val="auto"/>
                <w:highlight w:val="none"/>
              </w:rPr>
            </w:pPr>
          </w:p>
        </w:tc>
        <w:tc>
          <w:tcPr>
            <w:tcW w:w="843" w:type="dxa"/>
            <w:noWrap w:val="0"/>
            <w:vAlign w:val="center"/>
          </w:tcPr>
          <w:p w14:paraId="7B997552">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4870EBD1">
            <w:pPr>
              <w:pStyle w:val="563"/>
              <w:bidi w:val="0"/>
              <w:rPr>
                <w:rFonts w:hint="default"/>
                <w:color w:val="auto"/>
                <w:highlight w:val="none"/>
              </w:rPr>
            </w:pPr>
            <w:r>
              <w:rPr>
                <w:rFonts w:hint="default"/>
                <w:color w:val="auto"/>
                <w:highlight w:val="none"/>
                <w:lang w:val="en-US" w:eastAsia="zh-CN"/>
              </w:rPr>
              <w:t>34.9</w:t>
            </w:r>
          </w:p>
        </w:tc>
        <w:tc>
          <w:tcPr>
            <w:tcW w:w="659" w:type="dxa"/>
            <w:noWrap w:val="0"/>
            <w:vAlign w:val="center"/>
          </w:tcPr>
          <w:p w14:paraId="6172FC3D">
            <w:pPr>
              <w:pStyle w:val="563"/>
              <w:bidi w:val="0"/>
              <w:rPr>
                <w:rFonts w:hint="default"/>
                <w:color w:val="auto"/>
                <w:highlight w:val="none"/>
              </w:rPr>
            </w:pPr>
            <w:r>
              <w:rPr>
                <w:rFonts w:hint="default"/>
                <w:color w:val="auto"/>
                <w:highlight w:val="none"/>
                <w:lang w:val="en-US" w:eastAsia="zh-CN"/>
              </w:rPr>
              <w:t>30.4</w:t>
            </w:r>
          </w:p>
        </w:tc>
        <w:tc>
          <w:tcPr>
            <w:tcW w:w="624" w:type="dxa"/>
            <w:noWrap w:val="0"/>
            <w:vAlign w:val="center"/>
          </w:tcPr>
          <w:p w14:paraId="673E14B2">
            <w:pPr>
              <w:pStyle w:val="563"/>
              <w:bidi w:val="0"/>
              <w:rPr>
                <w:rFonts w:hint="default"/>
                <w:color w:val="auto"/>
                <w:highlight w:val="none"/>
              </w:rPr>
            </w:pPr>
            <w:r>
              <w:rPr>
                <w:rFonts w:hint="default"/>
                <w:color w:val="auto"/>
                <w:highlight w:val="none"/>
                <w:lang w:val="en-US" w:eastAsia="zh-CN"/>
              </w:rPr>
              <w:t>41.7</w:t>
            </w:r>
          </w:p>
        </w:tc>
        <w:tc>
          <w:tcPr>
            <w:tcW w:w="632" w:type="dxa"/>
            <w:noWrap w:val="0"/>
            <w:vAlign w:val="center"/>
          </w:tcPr>
          <w:p w14:paraId="71CFABDB">
            <w:pPr>
              <w:pStyle w:val="563"/>
              <w:bidi w:val="0"/>
              <w:rPr>
                <w:rFonts w:hint="default"/>
                <w:color w:val="auto"/>
                <w:highlight w:val="none"/>
              </w:rPr>
            </w:pPr>
            <w:r>
              <w:rPr>
                <w:rFonts w:hint="default"/>
                <w:color w:val="auto"/>
                <w:highlight w:val="none"/>
                <w:lang w:val="en-US" w:eastAsia="zh-CN"/>
              </w:rPr>
              <w:t>30.8</w:t>
            </w:r>
          </w:p>
        </w:tc>
        <w:tc>
          <w:tcPr>
            <w:tcW w:w="667" w:type="dxa"/>
            <w:noWrap w:val="0"/>
            <w:vAlign w:val="center"/>
          </w:tcPr>
          <w:p w14:paraId="1B247684">
            <w:pPr>
              <w:pStyle w:val="563"/>
              <w:bidi w:val="0"/>
              <w:rPr>
                <w:rFonts w:hint="default"/>
                <w:color w:val="auto"/>
                <w:highlight w:val="none"/>
              </w:rPr>
            </w:pPr>
            <w:r>
              <w:rPr>
                <w:rFonts w:hint="default"/>
                <w:color w:val="auto"/>
                <w:highlight w:val="none"/>
                <w:lang w:val="en-US" w:eastAsia="zh-CN"/>
              </w:rPr>
              <w:t>1</w:t>
            </w:r>
          </w:p>
        </w:tc>
      </w:tr>
      <w:tr w14:paraId="65F83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5B462223">
            <w:pPr>
              <w:pStyle w:val="563"/>
              <w:bidi w:val="0"/>
              <w:rPr>
                <w:rFonts w:hint="default"/>
                <w:color w:val="auto"/>
                <w:highlight w:val="none"/>
              </w:rPr>
            </w:pPr>
            <w:r>
              <w:rPr>
                <w:rFonts w:hint="default"/>
                <w:color w:val="auto"/>
                <w:highlight w:val="none"/>
                <w:lang w:val="en-US" w:eastAsia="zh-CN"/>
              </w:rPr>
              <w:t>15</w:t>
            </w:r>
          </w:p>
        </w:tc>
        <w:tc>
          <w:tcPr>
            <w:tcW w:w="424" w:type="dxa"/>
            <w:vMerge w:val="continue"/>
            <w:noWrap w:val="0"/>
            <w:vAlign w:val="center"/>
          </w:tcPr>
          <w:p w14:paraId="0C3EB06B">
            <w:pPr>
              <w:pStyle w:val="563"/>
              <w:bidi w:val="0"/>
              <w:rPr>
                <w:rFonts w:hint="eastAsia"/>
                <w:color w:val="auto"/>
                <w:highlight w:val="none"/>
              </w:rPr>
            </w:pPr>
          </w:p>
        </w:tc>
        <w:tc>
          <w:tcPr>
            <w:tcW w:w="708" w:type="dxa"/>
            <w:noWrap w:val="0"/>
            <w:vAlign w:val="center"/>
          </w:tcPr>
          <w:p w14:paraId="5D351F8E">
            <w:pPr>
              <w:pStyle w:val="563"/>
              <w:bidi w:val="0"/>
              <w:rPr>
                <w:rFonts w:hint="eastAsia"/>
                <w:color w:val="auto"/>
                <w:highlight w:val="none"/>
              </w:rPr>
            </w:pPr>
            <w:r>
              <w:rPr>
                <w:rFonts w:hint="eastAsia"/>
                <w:color w:val="auto"/>
                <w:highlight w:val="none"/>
                <w:lang w:val="en-US" w:eastAsia="zh-CN"/>
              </w:rPr>
              <w:t>密闭循环冷却水系统</w:t>
            </w:r>
          </w:p>
        </w:tc>
        <w:tc>
          <w:tcPr>
            <w:tcW w:w="750" w:type="dxa"/>
            <w:noWrap w:val="0"/>
            <w:vAlign w:val="center"/>
          </w:tcPr>
          <w:p w14:paraId="08B1F2BC">
            <w:pPr>
              <w:pStyle w:val="563"/>
              <w:bidi w:val="0"/>
              <w:rPr>
                <w:rFonts w:hint="default"/>
                <w:color w:val="auto"/>
                <w:highlight w:val="none"/>
              </w:rPr>
            </w:pPr>
            <w:r>
              <w:rPr>
                <w:rFonts w:hint="default"/>
                <w:color w:val="auto"/>
                <w:highlight w:val="none"/>
                <w:lang w:val="en-US" w:eastAsia="zh-CN"/>
              </w:rPr>
              <w:t>80</w:t>
            </w:r>
          </w:p>
        </w:tc>
        <w:tc>
          <w:tcPr>
            <w:tcW w:w="0" w:type="auto"/>
            <w:noWrap/>
            <w:vAlign w:val="center"/>
          </w:tcPr>
          <w:p w14:paraId="31D15E84">
            <w:pPr>
              <w:pStyle w:val="563"/>
              <w:bidi w:val="0"/>
              <w:rPr>
                <w:rFonts w:hint="default"/>
                <w:color w:val="auto"/>
                <w:highlight w:val="none"/>
              </w:rPr>
            </w:pPr>
            <w:r>
              <w:rPr>
                <w:rFonts w:hint="default"/>
                <w:color w:val="auto"/>
                <w:highlight w:val="none"/>
                <w:lang w:val="en-US" w:eastAsia="zh-CN"/>
              </w:rPr>
              <w:t>1</w:t>
            </w:r>
          </w:p>
        </w:tc>
        <w:tc>
          <w:tcPr>
            <w:tcW w:w="647" w:type="dxa"/>
            <w:vMerge w:val="continue"/>
            <w:noWrap w:val="0"/>
            <w:vAlign w:val="center"/>
          </w:tcPr>
          <w:p w14:paraId="224FC2B7">
            <w:pPr>
              <w:pStyle w:val="563"/>
              <w:bidi w:val="0"/>
              <w:rPr>
                <w:rFonts w:hint="eastAsia"/>
                <w:color w:val="auto"/>
                <w:highlight w:val="none"/>
              </w:rPr>
            </w:pPr>
          </w:p>
        </w:tc>
        <w:tc>
          <w:tcPr>
            <w:tcW w:w="498" w:type="dxa"/>
            <w:noWrap w:val="0"/>
            <w:vAlign w:val="center"/>
          </w:tcPr>
          <w:p w14:paraId="5B4353F0">
            <w:pPr>
              <w:pStyle w:val="563"/>
              <w:bidi w:val="0"/>
              <w:rPr>
                <w:rFonts w:hint="default"/>
                <w:color w:val="auto"/>
                <w:highlight w:val="none"/>
              </w:rPr>
            </w:pPr>
            <w:r>
              <w:rPr>
                <w:rFonts w:hint="default"/>
                <w:color w:val="auto"/>
                <w:highlight w:val="none"/>
                <w:lang w:val="en-US" w:eastAsia="zh-CN"/>
              </w:rPr>
              <w:t>110</w:t>
            </w:r>
          </w:p>
        </w:tc>
        <w:tc>
          <w:tcPr>
            <w:tcW w:w="498" w:type="dxa"/>
            <w:noWrap w:val="0"/>
            <w:vAlign w:val="center"/>
          </w:tcPr>
          <w:p w14:paraId="00C96403">
            <w:pPr>
              <w:pStyle w:val="563"/>
              <w:bidi w:val="0"/>
              <w:rPr>
                <w:rFonts w:hint="default"/>
                <w:color w:val="auto"/>
                <w:highlight w:val="none"/>
              </w:rPr>
            </w:pPr>
            <w:r>
              <w:rPr>
                <w:rFonts w:hint="default"/>
                <w:color w:val="auto"/>
                <w:highlight w:val="none"/>
                <w:lang w:val="en-US" w:eastAsia="zh-CN"/>
              </w:rPr>
              <w:t>26</w:t>
            </w:r>
          </w:p>
        </w:tc>
        <w:tc>
          <w:tcPr>
            <w:tcW w:w="491" w:type="dxa"/>
            <w:noWrap w:val="0"/>
            <w:vAlign w:val="center"/>
          </w:tcPr>
          <w:p w14:paraId="5F7FC9C5">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39944A0D">
            <w:pPr>
              <w:pStyle w:val="563"/>
              <w:bidi w:val="0"/>
              <w:rPr>
                <w:rFonts w:hint="default"/>
                <w:color w:val="auto"/>
                <w:highlight w:val="none"/>
              </w:rPr>
            </w:pPr>
            <w:r>
              <w:rPr>
                <w:rFonts w:hint="default"/>
                <w:color w:val="auto"/>
                <w:highlight w:val="none"/>
                <w:lang w:val="en-US" w:eastAsia="zh-CN"/>
              </w:rPr>
              <w:t>42</w:t>
            </w:r>
          </w:p>
        </w:tc>
        <w:tc>
          <w:tcPr>
            <w:tcW w:w="507" w:type="dxa"/>
            <w:noWrap w:val="0"/>
            <w:vAlign w:val="center"/>
          </w:tcPr>
          <w:p w14:paraId="10B340AF">
            <w:pPr>
              <w:pStyle w:val="563"/>
              <w:bidi w:val="0"/>
              <w:rPr>
                <w:rFonts w:hint="default"/>
                <w:color w:val="auto"/>
                <w:highlight w:val="none"/>
              </w:rPr>
            </w:pPr>
            <w:r>
              <w:rPr>
                <w:rFonts w:hint="default"/>
                <w:color w:val="auto"/>
                <w:highlight w:val="none"/>
                <w:lang w:val="en-US" w:eastAsia="zh-CN"/>
              </w:rPr>
              <w:t>110</w:t>
            </w:r>
          </w:p>
        </w:tc>
        <w:tc>
          <w:tcPr>
            <w:tcW w:w="445" w:type="dxa"/>
            <w:noWrap w:val="0"/>
            <w:vAlign w:val="center"/>
          </w:tcPr>
          <w:p w14:paraId="28EEF112">
            <w:pPr>
              <w:pStyle w:val="563"/>
              <w:bidi w:val="0"/>
              <w:rPr>
                <w:rFonts w:hint="default"/>
                <w:color w:val="auto"/>
                <w:highlight w:val="none"/>
              </w:rPr>
            </w:pPr>
            <w:r>
              <w:rPr>
                <w:rFonts w:hint="default"/>
                <w:color w:val="auto"/>
                <w:highlight w:val="none"/>
                <w:lang w:val="en-US" w:eastAsia="zh-CN"/>
              </w:rPr>
              <w:t>26</w:t>
            </w:r>
          </w:p>
        </w:tc>
        <w:tc>
          <w:tcPr>
            <w:tcW w:w="614" w:type="dxa"/>
            <w:noWrap w:val="0"/>
            <w:vAlign w:val="center"/>
          </w:tcPr>
          <w:p w14:paraId="17DDAF96">
            <w:pPr>
              <w:pStyle w:val="563"/>
              <w:bidi w:val="0"/>
              <w:rPr>
                <w:rFonts w:hint="default"/>
                <w:color w:val="auto"/>
                <w:highlight w:val="none"/>
              </w:rPr>
            </w:pPr>
            <w:r>
              <w:rPr>
                <w:rFonts w:hint="default"/>
                <w:color w:val="auto"/>
                <w:highlight w:val="none"/>
                <w:lang w:val="en-US" w:eastAsia="zh-CN"/>
              </w:rPr>
              <w:t>91</w:t>
            </w:r>
          </w:p>
        </w:tc>
        <w:tc>
          <w:tcPr>
            <w:tcW w:w="618" w:type="dxa"/>
            <w:noWrap w:val="0"/>
            <w:vAlign w:val="center"/>
          </w:tcPr>
          <w:p w14:paraId="2BD00968">
            <w:pPr>
              <w:pStyle w:val="563"/>
              <w:bidi w:val="0"/>
              <w:rPr>
                <w:rFonts w:hint="default"/>
                <w:color w:val="auto"/>
                <w:highlight w:val="none"/>
              </w:rPr>
            </w:pPr>
            <w:r>
              <w:rPr>
                <w:rFonts w:hint="default"/>
                <w:color w:val="auto"/>
                <w:highlight w:val="none"/>
                <w:lang w:val="en-US" w:eastAsia="zh-CN"/>
              </w:rPr>
              <w:t>47.5</w:t>
            </w:r>
          </w:p>
        </w:tc>
        <w:tc>
          <w:tcPr>
            <w:tcW w:w="532" w:type="dxa"/>
            <w:noWrap w:val="0"/>
            <w:vAlign w:val="center"/>
          </w:tcPr>
          <w:p w14:paraId="2D24FDEB">
            <w:pPr>
              <w:pStyle w:val="563"/>
              <w:bidi w:val="0"/>
              <w:rPr>
                <w:rFonts w:hint="default"/>
                <w:color w:val="auto"/>
                <w:highlight w:val="none"/>
              </w:rPr>
            </w:pPr>
            <w:r>
              <w:rPr>
                <w:rFonts w:hint="default"/>
                <w:color w:val="auto"/>
                <w:highlight w:val="none"/>
                <w:lang w:val="en-US" w:eastAsia="zh-CN"/>
              </w:rPr>
              <w:t>39.2</w:t>
            </w:r>
          </w:p>
        </w:tc>
        <w:tc>
          <w:tcPr>
            <w:tcW w:w="618" w:type="dxa"/>
            <w:noWrap w:val="0"/>
            <w:vAlign w:val="center"/>
          </w:tcPr>
          <w:p w14:paraId="7391B274">
            <w:pPr>
              <w:pStyle w:val="563"/>
              <w:bidi w:val="0"/>
              <w:rPr>
                <w:rFonts w:hint="default"/>
                <w:color w:val="auto"/>
                <w:highlight w:val="none"/>
              </w:rPr>
            </w:pPr>
            <w:r>
              <w:rPr>
                <w:rFonts w:hint="default"/>
                <w:color w:val="auto"/>
                <w:highlight w:val="none"/>
                <w:lang w:val="en-US" w:eastAsia="zh-CN"/>
              </w:rPr>
              <w:t>51.7</w:t>
            </w:r>
          </w:p>
        </w:tc>
        <w:tc>
          <w:tcPr>
            <w:tcW w:w="624" w:type="dxa"/>
            <w:noWrap w:val="0"/>
            <w:vAlign w:val="center"/>
          </w:tcPr>
          <w:p w14:paraId="176D926D">
            <w:pPr>
              <w:pStyle w:val="563"/>
              <w:bidi w:val="0"/>
              <w:rPr>
                <w:rFonts w:hint="default"/>
                <w:color w:val="auto"/>
                <w:highlight w:val="none"/>
              </w:rPr>
            </w:pPr>
            <w:r>
              <w:rPr>
                <w:rFonts w:hint="default"/>
                <w:color w:val="auto"/>
                <w:highlight w:val="none"/>
                <w:lang w:val="en-US" w:eastAsia="zh-CN"/>
              </w:rPr>
              <w:t>40.8</w:t>
            </w:r>
          </w:p>
        </w:tc>
        <w:tc>
          <w:tcPr>
            <w:tcW w:w="659" w:type="dxa"/>
            <w:vMerge w:val="continue"/>
            <w:noWrap w:val="0"/>
            <w:vAlign w:val="center"/>
          </w:tcPr>
          <w:p w14:paraId="2948D9F9">
            <w:pPr>
              <w:pStyle w:val="563"/>
              <w:bidi w:val="0"/>
              <w:rPr>
                <w:rFonts w:hint="eastAsia"/>
                <w:color w:val="auto"/>
                <w:highlight w:val="none"/>
              </w:rPr>
            </w:pPr>
          </w:p>
        </w:tc>
        <w:tc>
          <w:tcPr>
            <w:tcW w:w="843" w:type="dxa"/>
            <w:noWrap w:val="0"/>
            <w:vAlign w:val="center"/>
          </w:tcPr>
          <w:p w14:paraId="3287CFAD">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05040909">
            <w:pPr>
              <w:pStyle w:val="563"/>
              <w:bidi w:val="0"/>
              <w:rPr>
                <w:rFonts w:hint="default"/>
                <w:color w:val="auto"/>
                <w:highlight w:val="none"/>
              </w:rPr>
            </w:pPr>
            <w:r>
              <w:rPr>
                <w:rFonts w:hint="default"/>
                <w:color w:val="auto"/>
                <w:highlight w:val="none"/>
                <w:lang w:val="en-US" w:eastAsia="zh-CN"/>
              </w:rPr>
              <w:t>32.5</w:t>
            </w:r>
          </w:p>
        </w:tc>
        <w:tc>
          <w:tcPr>
            <w:tcW w:w="659" w:type="dxa"/>
            <w:noWrap w:val="0"/>
            <w:vAlign w:val="center"/>
          </w:tcPr>
          <w:p w14:paraId="1965B254">
            <w:pPr>
              <w:pStyle w:val="563"/>
              <w:bidi w:val="0"/>
              <w:rPr>
                <w:rFonts w:hint="default"/>
                <w:color w:val="auto"/>
                <w:highlight w:val="none"/>
              </w:rPr>
            </w:pPr>
            <w:r>
              <w:rPr>
                <w:rFonts w:hint="default"/>
                <w:color w:val="auto"/>
                <w:highlight w:val="none"/>
                <w:lang w:val="en-US" w:eastAsia="zh-CN"/>
              </w:rPr>
              <w:t>24.2</w:t>
            </w:r>
          </w:p>
        </w:tc>
        <w:tc>
          <w:tcPr>
            <w:tcW w:w="624" w:type="dxa"/>
            <w:noWrap w:val="0"/>
            <w:vAlign w:val="center"/>
          </w:tcPr>
          <w:p w14:paraId="662ECF38">
            <w:pPr>
              <w:pStyle w:val="563"/>
              <w:bidi w:val="0"/>
              <w:rPr>
                <w:rFonts w:hint="default"/>
                <w:color w:val="auto"/>
                <w:highlight w:val="none"/>
              </w:rPr>
            </w:pPr>
            <w:r>
              <w:rPr>
                <w:rFonts w:hint="default"/>
                <w:color w:val="auto"/>
                <w:highlight w:val="none"/>
                <w:lang w:val="en-US" w:eastAsia="zh-CN"/>
              </w:rPr>
              <w:t>36.7</w:t>
            </w:r>
          </w:p>
        </w:tc>
        <w:tc>
          <w:tcPr>
            <w:tcW w:w="632" w:type="dxa"/>
            <w:noWrap w:val="0"/>
            <w:vAlign w:val="center"/>
          </w:tcPr>
          <w:p w14:paraId="61CC7338">
            <w:pPr>
              <w:pStyle w:val="563"/>
              <w:bidi w:val="0"/>
              <w:rPr>
                <w:rFonts w:hint="default"/>
                <w:color w:val="auto"/>
                <w:highlight w:val="none"/>
              </w:rPr>
            </w:pPr>
            <w:r>
              <w:rPr>
                <w:rFonts w:hint="default"/>
                <w:color w:val="auto"/>
                <w:highlight w:val="none"/>
                <w:lang w:val="en-US" w:eastAsia="zh-CN"/>
              </w:rPr>
              <w:t>25.8</w:t>
            </w:r>
          </w:p>
        </w:tc>
        <w:tc>
          <w:tcPr>
            <w:tcW w:w="667" w:type="dxa"/>
            <w:noWrap w:val="0"/>
            <w:vAlign w:val="center"/>
          </w:tcPr>
          <w:p w14:paraId="27AB8D1A">
            <w:pPr>
              <w:pStyle w:val="563"/>
              <w:bidi w:val="0"/>
              <w:rPr>
                <w:rFonts w:hint="default"/>
                <w:color w:val="auto"/>
                <w:highlight w:val="none"/>
              </w:rPr>
            </w:pPr>
            <w:r>
              <w:rPr>
                <w:rFonts w:hint="default"/>
                <w:color w:val="auto"/>
                <w:highlight w:val="none"/>
                <w:lang w:val="en-US" w:eastAsia="zh-CN"/>
              </w:rPr>
              <w:t>1</w:t>
            </w:r>
          </w:p>
        </w:tc>
      </w:tr>
      <w:tr w14:paraId="0C63D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1A566EAF">
            <w:pPr>
              <w:pStyle w:val="563"/>
              <w:bidi w:val="0"/>
              <w:rPr>
                <w:rFonts w:hint="default"/>
                <w:color w:val="auto"/>
                <w:highlight w:val="none"/>
              </w:rPr>
            </w:pPr>
            <w:r>
              <w:rPr>
                <w:rFonts w:hint="default"/>
                <w:color w:val="auto"/>
                <w:highlight w:val="none"/>
                <w:lang w:val="en-US" w:eastAsia="zh-CN"/>
              </w:rPr>
              <w:t>16</w:t>
            </w:r>
          </w:p>
        </w:tc>
        <w:tc>
          <w:tcPr>
            <w:tcW w:w="424" w:type="dxa"/>
            <w:vMerge w:val="continue"/>
            <w:noWrap w:val="0"/>
            <w:vAlign w:val="center"/>
          </w:tcPr>
          <w:p w14:paraId="37A11AF7">
            <w:pPr>
              <w:pStyle w:val="563"/>
              <w:bidi w:val="0"/>
              <w:rPr>
                <w:rFonts w:hint="eastAsia"/>
                <w:color w:val="auto"/>
                <w:highlight w:val="none"/>
              </w:rPr>
            </w:pPr>
          </w:p>
        </w:tc>
        <w:tc>
          <w:tcPr>
            <w:tcW w:w="708" w:type="dxa"/>
            <w:noWrap w:val="0"/>
            <w:vAlign w:val="center"/>
          </w:tcPr>
          <w:p w14:paraId="204A8C6D">
            <w:pPr>
              <w:pStyle w:val="563"/>
              <w:bidi w:val="0"/>
              <w:rPr>
                <w:rFonts w:hint="eastAsia"/>
                <w:color w:val="auto"/>
                <w:highlight w:val="none"/>
              </w:rPr>
            </w:pPr>
            <w:r>
              <w:rPr>
                <w:rFonts w:hint="eastAsia"/>
                <w:color w:val="auto"/>
                <w:highlight w:val="none"/>
                <w:lang w:val="en-US" w:eastAsia="zh-CN"/>
              </w:rPr>
              <w:t>双油品四枪加油机</w:t>
            </w:r>
          </w:p>
        </w:tc>
        <w:tc>
          <w:tcPr>
            <w:tcW w:w="750" w:type="dxa"/>
            <w:noWrap w:val="0"/>
            <w:vAlign w:val="center"/>
          </w:tcPr>
          <w:p w14:paraId="670829BE">
            <w:pPr>
              <w:pStyle w:val="563"/>
              <w:bidi w:val="0"/>
              <w:rPr>
                <w:rFonts w:hint="default"/>
                <w:color w:val="auto"/>
                <w:highlight w:val="none"/>
              </w:rPr>
            </w:pPr>
            <w:r>
              <w:rPr>
                <w:rFonts w:hint="default"/>
                <w:color w:val="auto"/>
                <w:highlight w:val="none"/>
                <w:lang w:val="en-US" w:eastAsia="zh-CN"/>
              </w:rPr>
              <w:t>80</w:t>
            </w:r>
          </w:p>
        </w:tc>
        <w:tc>
          <w:tcPr>
            <w:tcW w:w="0" w:type="auto"/>
            <w:noWrap/>
            <w:vAlign w:val="center"/>
          </w:tcPr>
          <w:p w14:paraId="3A82FC0D">
            <w:pPr>
              <w:pStyle w:val="563"/>
              <w:bidi w:val="0"/>
              <w:rPr>
                <w:rFonts w:hint="default"/>
                <w:color w:val="auto"/>
                <w:highlight w:val="none"/>
              </w:rPr>
            </w:pPr>
            <w:r>
              <w:rPr>
                <w:rFonts w:hint="default"/>
                <w:color w:val="auto"/>
                <w:highlight w:val="none"/>
                <w:lang w:val="en-US" w:eastAsia="zh-CN"/>
              </w:rPr>
              <w:t>4</w:t>
            </w:r>
          </w:p>
        </w:tc>
        <w:tc>
          <w:tcPr>
            <w:tcW w:w="647" w:type="dxa"/>
            <w:vMerge w:val="continue"/>
            <w:noWrap w:val="0"/>
            <w:vAlign w:val="center"/>
          </w:tcPr>
          <w:p w14:paraId="4D5C9378">
            <w:pPr>
              <w:pStyle w:val="563"/>
              <w:bidi w:val="0"/>
              <w:rPr>
                <w:rFonts w:hint="eastAsia"/>
                <w:color w:val="auto"/>
                <w:highlight w:val="none"/>
              </w:rPr>
            </w:pPr>
          </w:p>
        </w:tc>
        <w:tc>
          <w:tcPr>
            <w:tcW w:w="498" w:type="dxa"/>
            <w:noWrap w:val="0"/>
            <w:vAlign w:val="center"/>
          </w:tcPr>
          <w:p w14:paraId="4616A23A">
            <w:pPr>
              <w:pStyle w:val="563"/>
              <w:bidi w:val="0"/>
              <w:rPr>
                <w:rFonts w:hint="default"/>
                <w:color w:val="auto"/>
                <w:highlight w:val="none"/>
              </w:rPr>
            </w:pPr>
            <w:r>
              <w:rPr>
                <w:rFonts w:hint="default"/>
                <w:color w:val="auto"/>
                <w:highlight w:val="none"/>
                <w:lang w:val="en-US" w:eastAsia="zh-CN"/>
              </w:rPr>
              <w:t>30</w:t>
            </w:r>
          </w:p>
        </w:tc>
        <w:tc>
          <w:tcPr>
            <w:tcW w:w="498" w:type="dxa"/>
            <w:noWrap w:val="0"/>
            <w:vAlign w:val="center"/>
          </w:tcPr>
          <w:p w14:paraId="2EAB5BD9">
            <w:pPr>
              <w:pStyle w:val="563"/>
              <w:bidi w:val="0"/>
              <w:rPr>
                <w:rFonts w:hint="default"/>
                <w:color w:val="auto"/>
                <w:highlight w:val="none"/>
              </w:rPr>
            </w:pPr>
            <w:r>
              <w:rPr>
                <w:rFonts w:hint="default"/>
                <w:color w:val="auto"/>
                <w:highlight w:val="none"/>
                <w:lang w:val="en-US" w:eastAsia="zh-CN"/>
              </w:rPr>
              <w:t>38</w:t>
            </w:r>
          </w:p>
        </w:tc>
        <w:tc>
          <w:tcPr>
            <w:tcW w:w="491" w:type="dxa"/>
            <w:noWrap w:val="0"/>
            <w:vAlign w:val="center"/>
          </w:tcPr>
          <w:p w14:paraId="5898943D">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2D67CF50">
            <w:pPr>
              <w:pStyle w:val="563"/>
              <w:bidi w:val="0"/>
              <w:rPr>
                <w:rFonts w:hint="default"/>
                <w:color w:val="auto"/>
                <w:highlight w:val="none"/>
              </w:rPr>
            </w:pPr>
            <w:r>
              <w:rPr>
                <w:rFonts w:hint="default"/>
                <w:color w:val="auto"/>
                <w:highlight w:val="none"/>
                <w:lang w:val="en-US" w:eastAsia="zh-CN"/>
              </w:rPr>
              <w:t>122</w:t>
            </w:r>
          </w:p>
        </w:tc>
        <w:tc>
          <w:tcPr>
            <w:tcW w:w="507" w:type="dxa"/>
            <w:noWrap w:val="0"/>
            <w:vAlign w:val="center"/>
          </w:tcPr>
          <w:p w14:paraId="004992E8">
            <w:pPr>
              <w:pStyle w:val="563"/>
              <w:bidi w:val="0"/>
              <w:rPr>
                <w:rFonts w:hint="default"/>
                <w:color w:val="auto"/>
                <w:highlight w:val="none"/>
              </w:rPr>
            </w:pPr>
            <w:r>
              <w:rPr>
                <w:rFonts w:hint="default"/>
                <w:color w:val="auto"/>
                <w:highlight w:val="none"/>
                <w:lang w:val="en-US" w:eastAsia="zh-CN"/>
              </w:rPr>
              <w:t>30</w:t>
            </w:r>
          </w:p>
        </w:tc>
        <w:tc>
          <w:tcPr>
            <w:tcW w:w="445" w:type="dxa"/>
            <w:noWrap w:val="0"/>
            <w:vAlign w:val="center"/>
          </w:tcPr>
          <w:p w14:paraId="25AD768A">
            <w:pPr>
              <w:pStyle w:val="563"/>
              <w:bidi w:val="0"/>
              <w:rPr>
                <w:rFonts w:hint="default"/>
                <w:color w:val="auto"/>
                <w:highlight w:val="none"/>
              </w:rPr>
            </w:pPr>
            <w:r>
              <w:rPr>
                <w:rFonts w:hint="default"/>
                <w:color w:val="auto"/>
                <w:highlight w:val="none"/>
                <w:lang w:val="en-US" w:eastAsia="zh-CN"/>
              </w:rPr>
              <w:t>38</w:t>
            </w:r>
          </w:p>
        </w:tc>
        <w:tc>
          <w:tcPr>
            <w:tcW w:w="614" w:type="dxa"/>
            <w:noWrap w:val="0"/>
            <w:vAlign w:val="center"/>
          </w:tcPr>
          <w:p w14:paraId="3F547810">
            <w:pPr>
              <w:pStyle w:val="563"/>
              <w:bidi w:val="0"/>
              <w:rPr>
                <w:rFonts w:hint="default"/>
                <w:color w:val="auto"/>
                <w:highlight w:val="none"/>
              </w:rPr>
            </w:pPr>
            <w:r>
              <w:rPr>
                <w:rFonts w:hint="default"/>
                <w:color w:val="auto"/>
                <w:highlight w:val="none"/>
                <w:lang w:val="en-US" w:eastAsia="zh-CN"/>
              </w:rPr>
              <w:t>79</w:t>
            </w:r>
          </w:p>
        </w:tc>
        <w:tc>
          <w:tcPr>
            <w:tcW w:w="618" w:type="dxa"/>
            <w:noWrap w:val="0"/>
            <w:vAlign w:val="center"/>
          </w:tcPr>
          <w:p w14:paraId="1647EA51">
            <w:pPr>
              <w:pStyle w:val="563"/>
              <w:bidi w:val="0"/>
              <w:rPr>
                <w:rFonts w:hint="default"/>
                <w:color w:val="auto"/>
                <w:highlight w:val="none"/>
              </w:rPr>
            </w:pPr>
            <w:r>
              <w:rPr>
                <w:rFonts w:hint="default"/>
                <w:color w:val="auto"/>
                <w:highlight w:val="none"/>
                <w:lang w:val="en-US" w:eastAsia="zh-CN"/>
              </w:rPr>
              <w:t>44.3</w:t>
            </w:r>
          </w:p>
        </w:tc>
        <w:tc>
          <w:tcPr>
            <w:tcW w:w="532" w:type="dxa"/>
            <w:noWrap w:val="0"/>
            <w:vAlign w:val="center"/>
          </w:tcPr>
          <w:p w14:paraId="17835E85">
            <w:pPr>
              <w:pStyle w:val="563"/>
              <w:bidi w:val="0"/>
              <w:rPr>
                <w:rFonts w:hint="default"/>
                <w:color w:val="auto"/>
                <w:highlight w:val="none"/>
              </w:rPr>
            </w:pPr>
            <w:r>
              <w:rPr>
                <w:rFonts w:hint="default"/>
                <w:color w:val="auto"/>
                <w:highlight w:val="none"/>
                <w:lang w:val="en-US" w:eastAsia="zh-CN"/>
              </w:rPr>
              <w:t>56.5</w:t>
            </w:r>
          </w:p>
        </w:tc>
        <w:tc>
          <w:tcPr>
            <w:tcW w:w="618" w:type="dxa"/>
            <w:noWrap w:val="0"/>
            <w:vAlign w:val="center"/>
          </w:tcPr>
          <w:p w14:paraId="19EB5E78">
            <w:pPr>
              <w:pStyle w:val="563"/>
              <w:bidi w:val="0"/>
              <w:rPr>
                <w:rFonts w:hint="default"/>
                <w:color w:val="auto"/>
                <w:highlight w:val="none"/>
              </w:rPr>
            </w:pPr>
            <w:r>
              <w:rPr>
                <w:rFonts w:hint="default"/>
                <w:color w:val="auto"/>
                <w:highlight w:val="none"/>
                <w:lang w:val="en-US" w:eastAsia="zh-CN"/>
              </w:rPr>
              <w:t>54.4</w:t>
            </w:r>
          </w:p>
        </w:tc>
        <w:tc>
          <w:tcPr>
            <w:tcW w:w="624" w:type="dxa"/>
            <w:noWrap w:val="0"/>
            <w:vAlign w:val="center"/>
          </w:tcPr>
          <w:p w14:paraId="40C3E3FE">
            <w:pPr>
              <w:pStyle w:val="563"/>
              <w:bidi w:val="0"/>
              <w:rPr>
                <w:rFonts w:hint="default"/>
                <w:color w:val="auto"/>
                <w:highlight w:val="none"/>
              </w:rPr>
            </w:pPr>
            <w:r>
              <w:rPr>
                <w:rFonts w:hint="default"/>
                <w:color w:val="auto"/>
                <w:highlight w:val="none"/>
                <w:lang w:val="en-US" w:eastAsia="zh-CN"/>
              </w:rPr>
              <w:t>48.1</w:t>
            </w:r>
          </w:p>
        </w:tc>
        <w:tc>
          <w:tcPr>
            <w:tcW w:w="659" w:type="dxa"/>
            <w:vMerge w:val="continue"/>
            <w:noWrap w:val="0"/>
            <w:vAlign w:val="center"/>
          </w:tcPr>
          <w:p w14:paraId="0F1571EE">
            <w:pPr>
              <w:pStyle w:val="563"/>
              <w:bidi w:val="0"/>
              <w:rPr>
                <w:rFonts w:hint="eastAsia"/>
                <w:color w:val="auto"/>
                <w:highlight w:val="none"/>
              </w:rPr>
            </w:pPr>
          </w:p>
        </w:tc>
        <w:tc>
          <w:tcPr>
            <w:tcW w:w="843" w:type="dxa"/>
            <w:noWrap w:val="0"/>
            <w:vAlign w:val="center"/>
          </w:tcPr>
          <w:p w14:paraId="5C529EF2">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1F7F1DB6">
            <w:pPr>
              <w:pStyle w:val="563"/>
              <w:bidi w:val="0"/>
              <w:rPr>
                <w:rFonts w:hint="default"/>
                <w:color w:val="auto"/>
                <w:highlight w:val="none"/>
              </w:rPr>
            </w:pPr>
            <w:r>
              <w:rPr>
                <w:rFonts w:hint="default"/>
                <w:color w:val="auto"/>
                <w:highlight w:val="none"/>
                <w:lang w:val="en-US" w:eastAsia="zh-CN"/>
              </w:rPr>
              <w:t>29.3</w:t>
            </w:r>
          </w:p>
        </w:tc>
        <w:tc>
          <w:tcPr>
            <w:tcW w:w="659" w:type="dxa"/>
            <w:noWrap w:val="0"/>
            <w:vAlign w:val="center"/>
          </w:tcPr>
          <w:p w14:paraId="45908978">
            <w:pPr>
              <w:pStyle w:val="563"/>
              <w:bidi w:val="0"/>
              <w:rPr>
                <w:rFonts w:hint="default"/>
                <w:color w:val="auto"/>
                <w:highlight w:val="none"/>
              </w:rPr>
            </w:pPr>
            <w:r>
              <w:rPr>
                <w:rFonts w:hint="default"/>
                <w:color w:val="auto"/>
                <w:highlight w:val="none"/>
                <w:lang w:val="en-US" w:eastAsia="zh-CN"/>
              </w:rPr>
              <w:t>41.5</w:t>
            </w:r>
          </w:p>
        </w:tc>
        <w:tc>
          <w:tcPr>
            <w:tcW w:w="624" w:type="dxa"/>
            <w:noWrap w:val="0"/>
            <w:vAlign w:val="center"/>
          </w:tcPr>
          <w:p w14:paraId="4374BA9D">
            <w:pPr>
              <w:pStyle w:val="563"/>
              <w:bidi w:val="0"/>
              <w:rPr>
                <w:rFonts w:hint="default"/>
                <w:color w:val="auto"/>
                <w:highlight w:val="none"/>
              </w:rPr>
            </w:pPr>
            <w:r>
              <w:rPr>
                <w:rFonts w:hint="default"/>
                <w:color w:val="auto"/>
                <w:highlight w:val="none"/>
                <w:lang w:val="en-US" w:eastAsia="zh-CN"/>
              </w:rPr>
              <w:t>39.4</w:t>
            </w:r>
          </w:p>
        </w:tc>
        <w:tc>
          <w:tcPr>
            <w:tcW w:w="632" w:type="dxa"/>
            <w:noWrap w:val="0"/>
            <w:vAlign w:val="center"/>
          </w:tcPr>
          <w:p w14:paraId="767526AE">
            <w:pPr>
              <w:pStyle w:val="563"/>
              <w:bidi w:val="0"/>
              <w:rPr>
                <w:rFonts w:hint="default"/>
                <w:color w:val="auto"/>
                <w:highlight w:val="none"/>
              </w:rPr>
            </w:pPr>
            <w:r>
              <w:rPr>
                <w:rFonts w:hint="default"/>
                <w:color w:val="auto"/>
                <w:highlight w:val="none"/>
                <w:lang w:val="en-US" w:eastAsia="zh-CN"/>
              </w:rPr>
              <w:t>33.1</w:t>
            </w:r>
          </w:p>
        </w:tc>
        <w:tc>
          <w:tcPr>
            <w:tcW w:w="667" w:type="dxa"/>
            <w:noWrap w:val="0"/>
            <w:vAlign w:val="center"/>
          </w:tcPr>
          <w:p w14:paraId="776F5D78">
            <w:pPr>
              <w:pStyle w:val="563"/>
              <w:bidi w:val="0"/>
              <w:rPr>
                <w:rFonts w:hint="default"/>
                <w:color w:val="auto"/>
                <w:highlight w:val="none"/>
              </w:rPr>
            </w:pPr>
            <w:r>
              <w:rPr>
                <w:rFonts w:hint="default"/>
                <w:color w:val="auto"/>
                <w:highlight w:val="none"/>
                <w:lang w:val="en-US" w:eastAsia="zh-CN"/>
              </w:rPr>
              <w:t>1</w:t>
            </w:r>
          </w:p>
        </w:tc>
      </w:tr>
      <w:tr w14:paraId="519E9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100E7038">
            <w:pPr>
              <w:pStyle w:val="563"/>
              <w:bidi w:val="0"/>
              <w:rPr>
                <w:rFonts w:hint="default"/>
                <w:color w:val="auto"/>
                <w:highlight w:val="none"/>
              </w:rPr>
            </w:pPr>
            <w:r>
              <w:rPr>
                <w:rFonts w:hint="default"/>
                <w:color w:val="auto"/>
                <w:highlight w:val="none"/>
                <w:lang w:val="en-US" w:eastAsia="zh-CN"/>
              </w:rPr>
              <w:t>17</w:t>
            </w:r>
          </w:p>
        </w:tc>
        <w:tc>
          <w:tcPr>
            <w:tcW w:w="424" w:type="dxa"/>
            <w:vMerge w:val="continue"/>
            <w:noWrap w:val="0"/>
            <w:vAlign w:val="center"/>
          </w:tcPr>
          <w:p w14:paraId="2CFA444A">
            <w:pPr>
              <w:pStyle w:val="563"/>
              <w:bidi w:val="0"/>
              <w:rPr>
                <w:rFonts w:hint="eastAsia"/>
                <w:color w:val="auto"/>
                <w:highlight w:val="none"/>
              </w:rPr>
            </w:pPr>
          </w:p>
        </w:tc>
        <w:tc>
          <w:tcPr>
            <w:tcW w:w="708" w:type="dxa"/>
            <w:noWrap w:val="0"/>
            <w:vAlign w:val="center"/>
          </w:tcPr>
          <w:p w14:paraId="21221A65">
            <w:pPr>
              <w:pStyle w:val="563"/>
              <w:bidi w:val="0"/>
              <w:rPr>
                <w:rFonts w:hint="eastAsia"/>
                <w:color w:val="auto"/>
                <w:highlight w:val="none"/>
              </w:rPr>
            </w:pPr>
            <w:r>
              <w:rPr>
                <w:rFonts w:hint="eastAsia"/>
                <w:color w:val="auto"/>
                <w:highlight w:val="none"/>
                <w:lang w:val="en-US" w:eastAsia="zh-CN"/>
              </w:rPr>
              <w:t>氢气加气机</w:t>
            </w:r>
          </w:p>
        </w:tc>
        <w:tc>
          <w:tcPr>
            <w:tcW w:w="750" w:type="dxa"/>
            <w:noWrap w:val="0"/>
            <w:vAlign w:val="center"/>
          </w:tcPr>
          <w:p w14:paraId="023204F5">
            <w:pPr>
              <w:pStyle w:val="563"/>
              <w:bidi w:val="0"/>
              <w:rPr>
                <w:rFonts w:hint="default"/>
                <w:color w:val="auto"/>
                <w:highlight w:val="none"/>
              </w:rPr>
            </w:pPr>
            <w:r>
              <w:rPr>
                <w:rFonts w:hint="default"/>
                <w:color w:val="auto"/>
                <w:highlight w:val="none"/>
                <w:lang w:val="en-US" w:eastAsia="zh-CN"/>
              </w:rPr>
              <w:t>75</w:t>
            </w:r>
          </w:p>
        </w:tc>
        <w:tc>
          <w:tcPr>
            <w:tcW w:w="0" w:type="auto"/>
            <w:noWrap/>
            <w:vAlign w:val="center"/>
          </w:tcPr>
          <w:p w14:paraId="2B62A800">
            <w:pPr>
              <w:pStyle w:val="563"/>
              <w:bidi w:val="0"/>
              <w:rPr>
                <w:rFonts w:hint="default"/>
                <w:color w:val="auto"/>
                <w:highlight w:val="none"/>
              </w:rPr>
            </w:pPr>
            <w:r>
              <w:rPr>
                <w:rFonts w:hint="default"/>
                <w:color w:val="auto"/>
                <w:highlight w:val="none"/>
                <w:lang w:val="en-US" w:eastAsia="zh-CN"/>
              </w:rPr>
              <w:t>4</w:t>
            </w:r>
          </w:p>
        </w:tc>
        <w:tc>
          <w:tcPr>
            <w:tcW w:w="647" w:type="dxa"/>
            <w:vMerge w:val="continue"/>
            <w:noWrap w:val="0"/>
            <w:vAlign w:val="center"/>
          </w:tcPr>
          <w:p w14:paraId="5AE2886B">
            <w:pPr>
              <w:pStyle w:val="563"/>
              <w:bidi w:val="0"/>
              <w:rPr>
                <w:rFonts w:hint="eastAsia"/>
                <w:color w:val="auto"/>
                <w:highlight w:val="none"/>
              </w:rPr>
            </w:pPr>
          </w:p>
        </w:tc>
        <w:tc>
          <w:tcPr>
            <w:tcW w:w="498" w:type="dxa"/>
            <w:noWrap w:val="0"/>
            <w:vAlign w:val="center"/>
          </w:tcPr>
          <w:p w14:paraId="0DA25759">
            <w:pPr>
              <w:pStyle w:val="563"/>
              <w:bidi w:val="0"/>
              <w:rPr>
                <w:rFonts w:hint="default"/>
                <w:color w:val="auto"/>
                <w:highlight w:val="none"/>
              </w:rPr>
            </w:pPr>
            <w:r>
              <w:rPr>
                <w:rFonts w:hint="default"/>
                <w:color w:val="auto"/>
                <w:highlight w:val="none"/>
                <w:lang w:val="en-US" w:eastAsia="zh-CN"/>
              </w:rPr>
              <w:t>50</w:t>
            </w:r>
          </w:p>
        </w:tc>
        <w:tc>
          <w:tcPr>
            <w:tcW w:w="498" w:type="dxa"/>
            <w:noWrap w:val="0"/>
            <w:vAlign w:val="center"/>
          </w:tcPr>
          <w:p w14:paraId="5189FD53">
            <w:pPr>
              <w:pStyle w:val="563"/>
              <w:bidi w:val="0"/>
              <w:rPr>
                <w:rFonts w:hint="default"/>
                <w:color w:val="auto"/>
                <w:highlight w:val="none"/>
              </w:rPr>
            </w:pPr>
            <w:r>
              <w:rPr>
                <w:rFonts w:hint="default"/>
                <w:color w:val="auto"/>
                <w:highlight w:val="none"/>
                <w:lang w:val="en-US" w:eastAsia="zh-CN"/>
              </w:rPr>
              <w:t>38</w:t>
            </w:r>
          </w:p>
        </w:tc>
        <w:tc>
          <w:tcPr>
            <w:tcW w:w="491" w:type="dxa"/>
            <w:noWrap w:val="0"/>
            <w:vAlign w:val="center"/>
          </w:tcPr>
          <w:p w14:paraId="726D5DC3">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1301D9DC">
            <w:pPr>
              <w:pStyle w:val="563"/>
              <w:bidi w:val="0"/>
              <w:rPr>
                <w:rFonts w:hint="default"/>
                <w:color w:val="auto"/>
                <w:highlight w:val="none"/>
              </w:rPr>
            </w:pPr>
            <w:r>
              <w:rPr>
                <w:rFonts w:hint="default"/>
                <w:color w:val="auto"/>
                <w:highlight w:val="none"/>
                <w:lang w:val="en-US" w:eastAsia="zh-CN"/>
              </w:rPr>
              <w:t>102</w:t>
            </w:r>
          </w:p>
        </w:tc>
        <w:tc>
          <w:tcPr>
            <w:tcW w:w="507" w:type="dxa"/>
            <w:noWrap w:val="0"/>
            <w:vAlign w:val="center"/>
          </w:tcPr>
          <w:p w14:paraId="2BD8ACF2">
            <w:pPr>
              <w:pStyle w:val="563"/>
              <w:bidi w:val="0"/>
              <w:rPr>
                <w:rFonts w:hint="default"/>
                <w:color w:val="auto"/>
                <w:highlight w:val="none"/>
              </w:rPr>
            </w:pPr>
            <w:r>
              <w:rPr>
                <w:rFonts w:hint="default"/>
                <w:color w:val="auto"/>
                <w:highlight w:val="none"/>
                <w:lang w:val="en-US" w:eastAsia="zh-CN"/>
              </w:rPr>
              <w:t>50</w:t>
            </w:r>
          </w:p>
        </w:tc>
        <w:tc>
          <w:tcPr>
            <w:tcW w:w="445" w:type="dxa"/>
            <w:noWrap w:val="0"/>
            <w:vAlign w:val="center"/>
          </w:tcPr>
          <w:p w14:paraId="45BC83FC">
            <w:pPr>
              <w:pStyle w:val="563"/>
              <w:bidi w:val="0"/>
              <w:rPr>
                <w:rFonts w:hint="default"/>
                <w:color w:val="auto"/>
                <w:highlight w:val="none"/>
              </w:rPr>
            </w:pPr>
            <w:r>
              <w:rPr>
                <w:rFonts w:hint="default"/>
                <w:color w:val="auto"/>
                <w:highlight w:val="none"/>
                <w:lang w:val="en-US" w:eastAsia="zh-CN"/>
              </w:rPr>
              <w:t>38</w:t>
            </w:r>
          </w:p>
        </w:tc>
        <w:tc>
          <w:tcPr>
            <w:tcW w:w="614" w:type="dxa"/>
            <w:noWrap w:val="0"/>
            <w:vAlign w:val="center"/>
          </w:tcPr>
          <w:p w14:paraId="4BF9D649">
            <w:pPr>
              <w:pStyle w:val="563"/>
              <w:bidi w:val="0"/>
              <w:rPr>
                <w:rFonts w:hint="default"/>
                <w:color w:val="auto"/>
                <w:highlight w:val="none"/>
              </w:rPr>
            </w:pPr>
            <w:r>
              <w:rPr>
                <w:rFonts w:hint="default"/>
                <w:color w:val="auto"/>
                <w:highlight w:val="none"/>
                <w:lang w:val="en-US" w:eastAsia="zh-CN"/>
              </w:rPr>
              <w:t>79</w:t>
            </w:r>
          </w:p>
        </w:tc>
        <w:tc>
          <w:tcPr>
            <w:tcW w:w="618" w:type="dxa"/>
            <w:noWrap w:val="0"/>
            <w:vAlign w:val="center"/>
          </w:tcPr>
          <w:p w14:paraId="3B984393">
            <w:pPr>
              <w:pStyle w:val="563"/>
              <w:bidi w:val="0"/>
              <w:rPr>
                <w:rFonts w:hint="default"/>
                <w:color w:val="auto"/>
                <w:highlight w:val="none"/>
              </w:rPr>
            </w:pPr>
            <w:r>
              <w:rPr>
                <w:rFonts w:hint="default"/>
                <w:color w:val="auto"/>
                <w:highlight w:val="none"/>
                <w:lang w:val="en-US" w:eastAsia="zh-CN"/>
              </w:rPr>
              <w:t>40.8</w:t>
            </w:r>
          </w:p>
        </w:tc>
        <w:tc>
          <w:tcPr>
            <w:tcW w:w="532" w:type="dxa"/>
            <w:noWrap w:val="0"/>
            <w:vAlign w:val="center"/>
          </w:tcPr>
          <w:p w14:paraId="7254CAEE">
            <w:pPr>
              <w:pStyle w:val="563"/>
              <w:bidi w:val="0"/>
              <w:rPr>
                <w:rFonts w:hint="default"/>
                <w:color w:val="auto"/>
                <w:highlight w:val="none"/>
              </w:rPr>
            </w:pPr>
            <w:r>
              <w:rPr>
                <w:rFonts w:hint="default"/>
                <w:color w:val="auto"/>
                <w:highlight w:val="none"/>
                <w:lang w:val="en-US" w:eastAsia="zh-CN"/>
              </w:rPr>
              <w:t>47.0</w:t>
            </w:r>
          </w:p>
        </w:tc>
        <w:tc>
          <w:tcPr>
            <w:tcW w:w="618" w:type="dxa"/>
            <w:noWrap w:val="0"/>
            <w:vAlign w:val="center"/>
          </w:tcPr>
          <w:p w14:paraId="0DBC7CA1">
            <w:pPr>
              <w:pStyle w:val="563"/>
              <w:bidi w:val="0"/>
              <w:rPr>
                <w:rFonts w:hint="default"/>
                <w:color w:val="auto"/>
                <w:highlight w:val="none"/>
              </w:rPr>
            </w:pPr>
            <w:r>
              <w:rPr>
                <w:rFonts w:hint="default"/>
                <w:color w:val="auto"/>
                <w:highlight w:val="none"/>
                <w:lang w:val="en-US" w:eastAsia="zh-CN"/>
              </w:rPr>
              <w:t>49.4</w:t>
            </w:r>
          </w:p>
        </w:tc>
        <w:tc>
          <w:tcPr>
            <w:tcW w:w="624" w:type="dxa"/>
            <w:noWrap w:val="0"/>
            <w:vAlign w:val="center"/>
          </w:tcPr>
          <w:p w14:paraId="2AD7227B">
            <w:pPr>
              <w:pStyle w:val="563"/>
              <w:bidi w:val="0"/>
              <w:rPr>
                <w:rFonts w:hint="default"/>
                <w:color w:val="auto"/>
                <w:highlight w:val="none"/>
              </w:rPr>
            </w:pPr>
            <w:r>
              <w:rPr>
                <w:rFonts w:hint="default"/>
                <w:color w:val="auto"/>
                <w:highlight w:val="none"/>
                <w:lang w:val="en-US" w:eastAsia="zh-CN"/>
              </w:rPr>
              <w:t>43.1</w:t>
            </w:r>
          </w:p>
        </w:tc>
        <w:tc>
          <w:tcPr>
            <w:tcW w:w="659" w:type="dxa"/>
            <w:vMerge w:val="continue"/>
            <w:noWrap w:val="0"/>
            <w:vAlign w:val="center"/>
          </w:tcPr>
          <w:p w14:paraId="797D26B9">
            <w:pPr>
              <w:pStyle w:val="563"/>
              <w:bidi w:val="0"/>
              <w:rPr>
                <w:rFonts w:hint="eastAsia"/>
                <w:color w:val="auto"/>
                <w:highlight w:val="none"/>
              </w:rPr>
            </w:pPr>
          </w:p>
        </w:tc>
        <w:tc>
          <w:tcPr>
            <w:tcW w:w="843" w:type="dxa"/>
            <w:noWrap w:val="0"/>
            <w:vAlign w:val="center"/>
          </w:tcPr>
          <w:p w14:paraId="17BE6BB5">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29F03265">
            <w:pPr>
              <w:pStyle w:val="563"/>
              <w:bidi w:val="0"/>
              <w:rPr>
                <w:rFonts w:hint="default"/>
                <w:color w:val="auto"/>
                <w:highlight w:val="none"/>
              </w:rPr>
            </w:pPr>
            <w:r>
              <w:rPr>
                <w:rFonts w:hint="default"/>
                <w:color w:val="auto"/>
                <w:highlight w:val="none"/>
                <w:lang w:val="en-US" w:eastAsia="zh-CN"/>
              </w:rPr>
              <w:t>25.8</w:t>
            </w:r>
          </w:p>
        </w:tc>
        <w:tc>
          <w:tcPr>
            <w:tcW w:w="659" w:type="dxa"/>
            <w:noWrap w:val="0"/>
            <w:vAlign w:val="center"/>
          </w:tcPr>
          <w:p w14:paraId="44D85EB5">
            <w:pPr>
              <w:pStyle w:val="563"/>
              <w:bidi w:val="0"/>
              <w:rPr>
                <w:rFonts w:hint="default"/>
                <w:color w:val="auto"/>
                <w:highlight w:val="none"/>
              </w:rPr>
            </w:pPr>
            <w:r>
              <w:rPr>
                <w:rFonts w:hint="default"/>
                <w:color w:val="auto"/>
                <w:highlight w:val="none"/>
                <w:lang w:val="en-US" w:eastAsia="zh-CN"/>
              </w:rPr>
              <w:t>32.0</w:t>
            </w:r>
          </w:p>
        </w:tc>
        <w:tc>
          <w:tcPr>
            <w:tcW w:w="624" w:type="dxa"/>
            <w:noWrap w:val="0"/>
            <w:vAlign w:val="center"/>
          </w:tcPr>
          <w:p w14:paraId="064845B5">
            <w:pPr>
              <w:pStyle w:val="563"/>
              <w:bidi w:val="0"/>
              <w:rPr>
                <w:rFonts w:hint="default"/>
                <w:color w:val="auto"/>
                <w:highlight w:val="none"/>
              </w:rPr>
            </w:pPr>
            <w:r>
              <w:rPr>
                <w:rFonts w:hint="default"/>
                <w:color w:val="auto"/>
                <w:highlight w:val="none"/>
                <w:lang w:val="en-US" w:eastAsia="zh-CN"/>
              </w:rPr>
              <w:t>34.4</w:t>
            </w:r>
          </w:p>
        </w:tc>
        <w:tc>
          <w:tcPr>
            <w:tcW w:w="632" w:type="dxa"/>
            <w:noWrap w:val="0"/>
            <w:vAlign w:val="center"/>
          </w:tcPr>
          <w:p w14:paraId="0E8B4E40">
            <w:pPr>
              <w:pStyle w:val="563"/>
              <w:bidi w:val="0"/>
              <w:rPr>
                <w:rFonts w:hint="default"/>
                <w:color w:val="auto"/>
                <w:highlight w:val="none"/>
              </w:rPr>
            </w:pPr>
            <w:r>
              <w:rPr>
                <w:rFonts w:hint="default"/>
                <w:color w:val="auto"/>
                <w:highlight w:val="none"/>
                <w:lang w:val="en-US" w:eastAsia="zh-CN"/>
              </w:rPr>
              <w:t>28.1</w:t>
            </w:r>
          </w:p>
        </w:tc>
        <w:tc>
          <w:tcPr>
            <w:tcW w:w="667" w:type="dxa"/>
            <w:noWrap w:val="0"/>
            <w:vAlign w:val="center"/>
          </w:tcPr>
          <w:p w14:paraId="21447780">
            <w:pPr>
              <w:pStyle w:val="563"/>
              <w:bidi w:val="0"/>
              <w:rPr>
                <w:rFonts w:hint="default"/>
                <w:color w:val="auto"/>
                <w:highlight w:val="none"/>
              </w:rPr>
            </w:pPr>
            <w:r>
              <w:rPr>
                <w:rFonts w:hint="default"/>
                <w:color w:val="auto"/>
                <w:highlight w:val="none"/>
                <w:lang w:val="en-US" w:eastAsia="zh-CN"/>
              </w:rPr>
              <w:t>1</w:t>
            </w:r>
          </w:p>
        </w:tc>
      </w:tr>
      <w:tr w14:paraId="29A38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420E1745">
            <w:pPr>
              <w:pStyle w:val="563"/>
              <w:bidi w:val="0"/>
              <w:rPr>
                <w:rFonts w:hint="default"/>
                <w:color w:val="auto"/>
                <w:highlight w:val="none"/>
              </w:rPr>
            </w:pPr>
            <w:r>
              <w:rPr>
                <w:rFonts w:hint="default"/>
                <w:color w:val="auto"/>
                <w:highlight w:val="none"/>
                <w:lang w:val="en-US" w:eastAsia="zh-CN"/>
              </w:rPr>
              <w:t>18</w:t>
            </w:r>
          </w:p>
        </w:tc>
        <w:tc>
          <w:tcPr>
            <w:tcW w:w="424" w:type="dxa"/>
            <w:vMerge w:val="continue"/>
            <w:noWrap w:val="0"/>
            <w:vAlign w:val="center"/>
          </w:tcPr>
          <w:p w14:paraId="7BB73D94">
            <w:pPr>
              <w:pStyle w:val="563"/>
              <w:bidi w:val="0"/>
              <w:rPr>
                <w:rFonts w:hint="eastAsia"/>
                <w:color w:val="auto"/>
                <w:highlight w:val="none"/>
              </w:rPr>
            </w:pPr>
          </w:p>
        </w:tc>
        <w:tc>
          <w:tcPr>
            <w:tcW w:w="708" w:type="dxa"/>
            <w:noWrap w:val="0"/>
            <w:vAlign w:val="center"/>
          </w:tcPr>
          <w:p w14:paraId="6A73BE86">
            <w:pPr>
              <w:pStyle w:val="563"/>
              <w:bidi w:val="0"/>
              <w:rPr>
                <w:rFonts w:hint="eastAsia"/>
                <w:color w:val="auto"/>
                <w:highlight w:val="none"/>
              </w:rPr>
            </w:pPr>
            <w:r>
              <w:rPr>
                <w:rFonts w:hint="eastAsia"/>
                <w:color w:val="auto"/>
                <w:highlight w:val="none"/>
                <w:lang w:val="en-US" w:eastAsia="zh-CN"/>
              </w:rPr>
              <w:t>密闭式卸油管路系统</w:t>
            </w:r>
          </w:p>
        </w:tc>
        <w:tc>
          <w:tcPr>
            <w:tcW w:w="750" w:type="dxa"/>
            <w:noWrap w:val="0"/>
            <w:vAlign w:val="center"/>
          </w:tcPr>
          <w:p w14:paraId="75B288FA">
            <w:pPr>
              <w:pStyle w:val="563"/>
              <w:bidi w:val="0"/>
              <w:rPr>
                <w:rFonts w:hint="default"/>
                <w:color w:val="auto"/>
                <w:highlight w:val="none"/>
              </w:rPr>
            </w:pPr>
            <w:r>
              <w:rPr>
                <w:rFonts w:hint="default"/>
                <w:color w:val="auto"/>
                <w:highlight w:val="none"/>
                <w:lang w:val="en-US" w:eastAsia="zh-CN"/>
              </w:rPr>
              <w:t>75</w:t>
            </w:r>
          </w:p>
        </w:tc>
        <w:tc>
          <w:tcPr>
            <w:tcW w:w="0" w:type="auto"/>
            <w:noWrap/>
            <w:vAlign w:val="center"/>
          </w:tcPr>
          <w:p w14:paraId="430762CA">
            <w:pPr>
              <w:pStyle w:val="563"/>
              <w:bidi w:val="0"/>
              <w:rPr>
                <w:rFonts w:hint="default"/>
                <w:color w:val="auto"/>
                <w:highlight w:val="none"/>
              </w:rPr>
            </w:pPr>
            <w:r>
              <w:rPr>
                <w:rFonts w:hint="default"/>
                <w:color w:val="auto"/>
                <w:highlight w:val="none"/>
                <w:lang w:val="en-US" w:eastAsia="zh-CN"/>
              </w:rPr>
              <w:t>4</w:t>
            </w:r>
          </w:p>
        </w:tc>
        <w:tc>
          <w:tcPr>
            <w:tcW w:w="647" w:type="dxa"/>
            <w:vMerge w:val="continue"/>
            <w:noWrap w:val="0"/>
            <w:vAlign w:val="center"/>
          </w:tcPr>
          <w:p w14:paraId="79CE1FAB">
            <w:pPr>
              <w:pStyle w:val="563"/>
              <w:bidi w:val="0"/>
              <w:rPr>
                <w:rFonts w:hint="eastAsia"/>
                <w:color w:val="auto"/>
                <w:highlight w:val="none"/>
              </w:rPr>
            </w:pPr>
          </w:p>
        </w:tc>
        <w:tc>
          <w:tcPr>
            <w:tcW w:w="498" w:type="dxa"/>
            <w:noWrap w:val="0"/>
            <w:vAlign w:val="center"/>
          </w:tcPr>
          <w:p w14:paraId="084CF027">
            <w:pPr>
              <w:pStyle w:val="563"/>
              <w:bidi w:val="0"/>
              <w:rPr>
                <w:rFonts w:hint="default"/>
                <w:color w:val="auto"/>
                <w:highlight w:val="none"/>
              </w:rPr>
            </w:pPr>
            <w:r>
              <w:rPr>
                <w:rFonts w:hint="default"/>
                <w:color w:val="auto"/>
                <w:highlight w:val="none"/>
                <w:lang w:val="en-US" w:eastAsia="zh-CN"/>
              </w:rPr>
              <w:t>30</w:t>
            </w:r>
          </w:p>
        </w:tc>
        <w:tc>
          <w:tcPr>
            <w:tcW w:w="498" w:type="dxa"/>
            <w:noWrap w:val="0"/>
            <w:vAlign w:val="center"/>
          </w:tcPr>
          <w:p w14:paraId="2D1005BC">
            <w:pPr>
              <w:pStyle w:val="563"/>
              <w:bidi w:val="0"/>
              <w:rPr>
                <w:rFonts w:hint="default"/>
                <w:color w:val="auto"/>
                <w:highlight w:val="none"/>
              </w:rPr>
            </w:pPr>
            <w:r>
              <w:rPr>
                <w:rFonts w:hint="default"/>
                <w:color w:val="auto"/>
                <w:highlight w:val="none"/>
                <w:lang w:val="en-US" w:eastAsia="zh-CN"/>
              </w:rPr>
              <w:t>41</w:t>
            </w:r>
          </w:p>
        </w:tc>
        <w:tc>
          <w:tcPr>
            <w:tcW w:w="491" w:type="dxa"/>
            <w:noWrap w:val="0"/>
            <w:vAlign w:val="center"/>
          </w:tcPr>
          <w:p w14:paraId="355E73F7">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537B4215">
            <w:pPr>
              <w:pStyle w:val="563"/>
              <w:bidi w:val="0"/>
              <w:rPr>
                <w:rFonts w:hint="default"/>
                <w:color w:val="auto"/>
                <w:highlight w:val="none"/>
              </w:rPr>
            </w:pPr>
            <w:r>
              <w:rPr>
                <w:rFonts w:hint="default"/>
                <w:color w:val="auto"/>
                <w:highlight w:val="none"/>
                <w:lang w:val="en-US" w:eastAsia="zh-CN"/>
              </w:rPr>
              <w:t>122</w:t>
            </w:r>
          </w:p>
        </w:tc>
        <w:tc>
          <w:tcPr>
            <w:tcW w:w="507" w:type="dxa"/>
            <w:noWrap w:val="0"/>
            <w:vAlign w:val="center"/>
          </w:tcPr>
          <w:p w14:paraId="09CC06BB">
            <w:pPr>
              <w:pStyle w:val="563"/>
              <w:bidi w:val="0"/>
              <w:rPr>
                <w:rFonts w:hint="default"/>
                <w:color w:val="auto"/>
                <w:highlight w:val="none"/>
              </w:rPr>
            </w:pPr>
            <w:r>
              <w:rPr>
                <w:rFonts w:hint="default"/>
                <w:color w:val="auto"/>
                <w:highlight w:val="none"/>
                <w:lang w:val="en-US" w:eastAsia="zh-CN"/>
              </w:rPr>
              <w:t>30</w:t>
            </w:r>
          </w:p>
        </w:tc>
        <w:tc>
          <w:tcPr>
            <w:tcW w:w="445" w:type="dxa"/>
            <w:noWrap w:val="0"/>
            <w:vAlign w:val="center"/>
          </w:tcPr>
          <w:p w14:paraId="4F945D16">
            <w:pPr>
              <w:pStyle w:val="563"/>
              <w:bidi w:val="0"/>
              <w:rPr>
                <w:rFonts w:hint="default"/>
                <w:color w:val="auto"/>
                <w:highlight w:val="none"/>
              </w:rPr>
            </w:pPr>
            <w:r>
              <w:rPr>
                <w:rFonts w:hint="default"/>
                <w:color w:val="auto"/>
                <w:highlight w:val="none"/>
                <w:lang w:val="en-US" w:eastAsia="zh-CN"/>
              </w:rPr>
              <w:t>41</w:t>
            </w:r>
          </w:p>
        </w:tc>
        <w:tc>
          <w:tcPr>
            <w:tcW w:w="614" w:type="dxa"/>
            <w:noWrap w:val="0"/>
            <w:vAlign w:val="center"/>
          </w:tcPr>
          <w:p w14:paraId="48BB6880">
            <w:pPr>
              <w:pStyle w:val="563"/>
              <w:bidi w:val="0"/>
              <w:rPr>
                <w:rFonts w:hint="default"/>
                <w:color w:val="auto"/>
                <w:highlight w:val="none"/>
              </w:rPr>
            </w:pPr>
            <w:r>
              <w:rPr>
                <w:rFonts w:hint="default"/>
                <w:color w:val="auto"/>
                <w:highlight w:val="none"/>
                <w:lang w:val="en-US" w:eastAsia="zh-CN"/>
              </w:rPr>
              <w:t>76</w:t>
            </w:r>
          </w:p>
        </w:tc>
        <w:tc>
          <w:tcPr>
            <w:tcW w:w="618" w:type="dxa"/>
            <w:noWrap w:val="0"/>
            <w:vAlign w:val="center"/>
          </w:tcPr>
          <w:p w14:paraId="34CD8490">
            <w:pPr>
              <w:pStyle w:val="563"/>
              <w:bidi w:val="0"/>
              <w:rPr>
                <w:rFonts w:hint="default"/>
                <w:color w:val="auto"/>
                <w:highlight w:val="none"/>
              </w:rPr>
            </w:pPr>
            <w:r>
              <w:rPr>
                <w:rFonts w:hint="default"/>
                <w:color w:val="auto"/>
                <w:highlight w:val="none"/>
                <w:lang w:val="en-US" w:eastAsia="zh-CN"/>
              </w:rPr>
              <w:t>39.3</w:t>
            </w:r>
          </w:p>
        </w:tc>
        <w:tc>
          <w:tcPr>
            <w:tcW w:w="532" w:type="dxa"/>
            <w:noWrap w:val="0"/>
            <w:vAlign w:val="center"/>
          </w:tcPr>
          <w:p w14:paraId="084E2BF3">
            <w:pPr>
              <w:pStyle w:val="563"/>
              <w:bidi w:val="0"/>
              <w:rPr>
                <w:rFonts w:hint="default"/>
                <w:color w:val="auto"/>
                <w:highlight w:val="none"/>
              </w:rPr>
            </w:pPr>
            <w:r>
              <w:rPr>
                <w:rFonts w:hint="default"/>
                <w:color w:val="auto"/>
                <w:highlight w:val="none"/>
                <w:lang w:val="en-US" w:eastAsia="zh-CN"/>
              </w:rPr>
              <w:t>51.5</w:t>
            </w:r>
          </w:p>
        </w:tc>
        <w:tc>
          <w:tcPr>
            <w:tcW w:w="618" w:type="dxa"/>
            <w:noWrap w:val="0"/>
            <w:vAlign w:val="center"/>
          </w:tcPr>
          <w:p w14:paraId="69ADD90E">
            <w:pPr>
              <w:pStyle w:val="563"/>
              <w:bidi w:val="0"/>
              <w:rPr>
                <w:rFonts w:hint="default"/>
                <w:color w:val="auto"/>
                <w:highlight w:val="none"/>
              </w:rPr>
            </w:pPr>
            <w:r>
              <w:rPr>
                <w:rFonts w:hint="default"/>
                <w:color w:val="auto"/>
                <w:highlight w:val="none"/>
                <w:lang w:val="en-US" w:eastAsia="zh-CN"/>
              </w:rPr>
              <w:t>48.8</w:t>
            </w:r>
          </w:p>
        </w:tc>
        <w:tc>
          <w:tcPr>
            <w:tcW w:w="624" w:type="dxa"/>
            <w:noWrap w:val="0"/>
            <w:vAlign w:val="center"/>
          </w:tcPr>
          <w:p w14:paraId="1BB2463E">
            <w:pPr>
              <w:pStyle w:val="563"/>
              <w:bidi w:val="0"/>
              <w:rPr>
                <w:rFonts w:hint="default"/>
                <w:color w:val="auto"/>
                <w:highlight w:val="none"/>
              </w:rPr>
            </w:pPr>
            <w:r>
              <w:rPr>
                <w:rFonts w:hint="default"/>
                <w:color w:val="auto"/>
                <w:highlight w:val="none"/>
                <w:lang w:val="en-US" w:eastAsia="zh-CN"/>
              </w:rPr>
              <w:t>43.4</w:t>
            </w:r>
          </w:p>
        </w:tc>
        <w:tc>
          <w:tcPr>
            <w:tcW w:w="659" w:type="dxa"/>
            <w:vMerge w:val="continue"/>
            <w:noWrap w:val="0"/>
            <w:vAlign w:val="center"/>
          </w:tcPr>
          <w:p w14:paraId="1848DC23">
            <w:pPr>
              <w:pStyle w:val="563"/>
              <w:bidi w:val="0"/>
              <w:rPr>
                <w:rFonts w:hint="eastAsia"/>
                <w:color w:val="auto"/>
                <w:highlight w:val="none"/>
              </w:rPr>
            </w:pPr>
          </w:p>
        </w:tc>
        <w:tc>
          <w:tcPr>
            <w:tcW w:w="843" w:type="dxa"/>
            <w:noWrap w:val="0"/>
            <w:vAlign w:val="center"/>
          </w:tcPr>
          <w:p w14:paraId="1A3CC21F">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39CAEFEB">
            <w:pPr>
              <w:pStyle w:val="563"/>
              <w:bidi w:val="0"/>
              <w:rPr>
                <w:rFonts w:hint="default"/>
                <w:color w:val="auto"/>
                <w:highlight w:val="none"/>
              </w:rPr>
            </w:pPr>
            <w:r>
              <w:rPr>
                <w:rFonts w:hint="default"/>
                <w:color w:val="auto"/>
                <w:highlight w:val="none"/>
                <w:lang w:val="en-US" w:eastAsia="zh-CN"/>
              </w:rPr>
              <w:t>24.3</w:t>
            </w:r>
          </w:p>
        </w:tc>
        <w:tc>
          <w:tcPr>
            <w:tcW w:w="659" w:type="dxa"/>
            <w:noWrap w:val="0"/>
            <w:vAlign w:val="center"/>
          </w:tcPr>
          <w:p w14:paraId="71B53B07">
            <w:pPr>
              <w:pStyle w:val="563"/>
              <w:bidi w:val="0"/>
              <w:rPr>
                <w:rFonts w:hint="default"/>
                <w:color w:val="auto"/>
                <w:highlight w:val="none"/>
              </w:rPr>
            </w:pPr>
            <w:r>
              <w:rPr>
                <w:rFonts w:hint="default"/>
                <w:color w:val="auto"/>
                <w:highlight w:val="none"/>
                <w:lang w:val="en-US" w:eastAsia="zh-CN"/>
              </w:rPr>
              <w:t>36.5</w:t>
            </w:r>
          </w:p>
        </w:tc>
        <w:tc>
          <w:tcPr>
            <w:tcW w:w="624" w:type="dxa"/>
            <w:noWrap w:val="0"/>
            <w:vAlign w:val="center"/>
          </w:tcPr>
          <w:p w14:paraId="32B7D50E">
            <w:pPr>
              <w:pStyle w:val="563"/>
              <w:bidi w:val="0"/>
              <w:rPr>
                <w:rFonts w:hint="default"/>
                <w:color w:val="auto"/>
                <w:highlight w:val="none"/>
              </w:rPr>
            </w:pPr>
            <w:r>
              <w:rPr>
                <w:rFonts w:hint="default"/>
                <w:color w:val="auto"/>
                <w:highlight w:val="none"/>
                <w:lang w:val="en-US" w:eastAsia="zh-CN"/>
              </w:rPr>
              <w:t>33.8</w:t>
            </w:r>
          </w:p>
        </w:tc>
        <w:tc>
          <w:tcPr>
            <w:tcW w:w="632" w:type="dxa"/>
            <w:noWrap w:val="0"/>
            <w:vAlign w:val="center"/>
          </w:tcPr>
          <w:p w14:paraId="094EB788">
            <w:pPr>
              <w:pStyle w:val="563"/>
              <w:bidi w:val="0"/>
              <w:rPr>
                <w:rFonts w:hint="default"/>
                <w:color w:val="auto"/>
                <w:highlight w:val="none"/>
              </w:rPr>
            </w:pPr>
            <w:r>
              <w:rPr>
                <w:rFonts w:hint="default"/>
                <w:color w:val="auto"/>
                <w:highlight w:val="none"/>
                <w:lang w:val="en-US" w:eastAsia="zh-CN"/>
              </w:rPr>
              <w:t>28.4</w:t>
            </w:r>
          </w:p>
        </w:tc>
        <w:tc>
          <w:tcPr>
            <w:tcW w:w="667" w:type="dxa"/>
            <w:noWrap w:val="0"/>
            <w:vAlign w:val="center"/>
          </w:tcPr>
          <w:p w14:paraId="56AAEB61">
            <w:pPr>
              <w:pStyle w:val="563"/>
              <w:bidi w:val="0"/>
              <w:rPr>
                <w:rFonts w:hint="default"/>
                <w:color w:val="auto"/>
                <w:highlight w:val="none"/>
              </w:rPr>
            </w:pPr>
            <w:r>
              <w:rPr>
                <w:rFonts w:hint="default"/>
                <w:color w:val="auto"/>
                <w:highlight w:val="none"/>
                <w:lang w:val="en-US" w:eastAsia="zh-CN"/>
              </w:rPr>
              <w:t>1</w:t>
            </w:r>
          </w:p>
        </w:tc>
      </w:tr>
      <w:tr w14:paraId="07501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6DE7FEB8">
            <w:pPr>
              <w:pStyle w:val="563"/>
              <w:bidi w:val="0"/>
              <w:rPr>
                <w:rFonts w:hint="default"/>
                <w:color w:val="auto"/>
                <w:highlight w:val="none"/>
              </w:rPr>
            </w:pPr>
            <w:r>
              <w:rPr>
                <w:rFonts w:hint="default"/>
                <w:color w:val="auto"/>
                <w:highlight w:val="none"/>
                <w:lang w:val="en-US" w:eastAsia="zh-CN"/>
              </w:rPr>
              <w:t>19</w:t>
            </w:r>
          </w:p>
        </w:tc>
        <w:tc>
          <w:tcPr>
            <w:tcW w:w="424" w:type="dxa"/>
            <w:vMerge w:val="continue"/>
            <w:noWrap w:val="0"/>
            <w:vAlign w:val="center"/>
          </w:tcPr>
          <w:p w14:paraId="0448896A">
            <w:pPr>
              <w:pStyle w:val="563"/>
              <w:bidi w:val="0"/>
              <w:rPr>
                <w:rFonts w:hint="eastAsia"/>
                <w:color w:val="auto"/>
                <w:highlight w:val="none"/>
              </w:rPr>
            </w:pPr>
          </w:p>
        </w:tc>
        <w:tc>
          <w:tcPr>
            <w:tcW w:w="708" w:type="dxa"/>
            <w:noWrap w:val="0"/>
            <w:vAlign w:val="center"/>
          </w:tcPr>
          <w:p w14:paraId="23FE1C44">
            <w:pPr>
              <w:pStyle w:val="563"/>
              <w:bidi w:val="0"/>
              <w:rPr>
                <w:rFonts w:hint="eastAsia"/>
                <w:color w:val="auto"/>
                <w:highlight w:val="none"/>
              </w:rPr>
            </w:pPr>
            <w:r>
              <w:rPr>
                <w:rFonts w:hint="eastAsia"/>
                <w:color w:val="auto"/>
                <w:highlight w:val="none"/>
                <w:lang w:val="en-US" w:eastAsia="zh-CN"/>
              </w:rPr>
              <w:t>卸车机</w:t>
            </w:r>
          </w:p>
        </w:tc>
        <w:tc>
          <w:tcPr>
            <w:tcW w:w="750" w:type="dxa"/>
            <w:noWrap w:val="0"/>
            <w:vAlign w:val="center"/>
          </w:tcPr>
          <w:p w14:paraId="30A164CF">
            <w:pPr>
              <w:pStyle w:val="563"/>
              <w:bidi w:val="0"/>
              <w:rPr>
                <w:rFonts w:hint="default"/>
                <w:color w:val="auto"/>
                <w:highlight w:val="none"/>
              </w:rPr>
            </w:pPr>
            <w:r>
              <w:rPr>
                <w:rFonts w:hint="default"/>
                <w:color w:val="auto"/>
                <w:highlight w:val="none"/>
                <w:lang w:val="en-US" w:eastAsia="zh-CN"/>
              </w:rPr>
              <w:t>85</w:t>
            </w:r>
          </w:p>
        </w:tc>
        <w:tc>
          <w:tcPr>
            <w:tcW w:w="0" w:type="auto"/>
            <w:noWrap/>
            <w:vAlign w:val="center"/>
          </w:tcPr>
          <w:p w14:paraId="31A5B435">
            <w:pPr>
              <w:pStyle w:val="563"/>
              <w:bidi w:val="0"/>
              <w:rPr>
                <w:rFonts w:hint="default"/>
                <w:color w:val="auto"/>
                <w:highlight w:val="none"/>
              </w:rPr>
            </w:pPr>
            <w:r>
              <w:rPr>
                <w:rFonts w:hint="default"/>
                <w:color w:val="auto"/>
                <w:highlight w:val="none"/>
                <w:lang w:val="en-US" w:eastAsia="zh-CN"/>
              </w:rPr>
              <w:t>1</w:t>
            </w:r>
          </w:p>
        </w:tc>
        <w:tc>
          <w:tcPr>
            <w:tcW w:w="647" w:type="dxa"/>
            <w:vMerge w:val="continue"/>
            <w:noWrap w:val="0"/>
            <w:vAlign w:val="center"/>
          </w:tcPr>
          <w:p w14:paraId="1F74FD28">
            <w:pPr>
              <w:pStyle w:val="563"/>
              <w:bidi w:val="0"/>
              <w:rPr>
                <w:rFonts w:hint="eastAsia"/>
                <w:color w:val="auto"/>
                <w:highlight w:val="none"/>
              </w:rPr>
            </w:pPr>
          </w:p>
        </w:tc>
        <w:tc>
          <w:tcPr>
            <w:tcW w:w="498" w:type="dxa"/>
            <w:noWrap w:val="0"/>
            <w:vAlign w:val="center"/>
          </w:tcPr>
          <w:p w14:paraId="00F7A636">
            <w:pPr>
              <w:pStyle w:val="563"/>
              <w:bidi w:val="0"/>
              <w:rPr>
                <w:rFonts w:hint="default"/>
                <w:color w:val="auto"/>
                <w:highlight w:val="none"/>
              </w:rPr>
            </w:pPr>
            <w:r>
              <w:rPr>
                <w:rFonts w:hint="default"/>
                <w:color w:val="auto"/>
                <w:highlight w:val="none"/>
                <w:lang w:val="en-US" w:eastAsia="zh-CN"/>
              </w:rPr>
              <w:t>35</w:t>
            </w:r>
          </w:p>
        </w:tc>
        <w:tc>
          <w:tcPr>
            <w:tcW w:w="498" w:type="dxa"/>
            <w:noWrap w:val="0"/>
            <w:vAlign w:val="center"/>
          </w:tcPr>
          <w:p w14:paraId="5C4C87A7">
            <w:pPr>
              <w:pStyle w:val="563"/>
              <w:bidi w:val="0"/>
              <w:rPr>
                <w:rFonts w:hint="default"/>
                <w:color w:val="auto"/>
                <w:highlight w:val="none"/>
              </w:rPr>
            </w:pPr>
            <w:r>
              <w:rPr>
                <w:rFonts w:hint="default"/>
                <w:color w:val="auto"/>
                <w:highlight w:val="none"/>
                <w:lang w:val="en-US" w:eastAsia="zh-CN"/>
              </w:rPr>
              <w:t>41</w:t>
            </w:r>
          </w:p>
        </w:tc>
        <w:tc>
          <w:tcPr>
            <w:tcW w:w="491" w:type="dxa"/>
            <w:noWrap w:val="0"/>
            <w:vAlign w:val="center"/>
          </w:tcPr>
          <w:p w14:paraId="720E6D49">
            <w:pPr>
              <w:pStyle w:val="563"/>
              <w:bidi w:val="0"/>
              <w:rPr>
                <w:rFonts w:hint="default"/>
                <w:color w:val="auto"/>
                <w:highlight w:val="none"/>
              </w:rPr>
            </w:pPr>
            <w:r>
              <w:rPr>
                <w:rFonts w:hint="default"/>
                <w:color w:val="auto"/>
                <w:highlight w:val="none"/>
                <w:lang w:val="en-US" w:eastAsia="zh-CN"/>
              </w:rPr>
              <w:t>1</w:t>
            </w:r>
          </w:p>
        </w:tc>
        <w:tc>
          <w:tcPr>
            <w:tcW w:w="461" w:type="dxa"/>
            <w:noWrap w:val="0"/>
            <w:vAlign w:val="center"/>
          </w:tcPr>
          <w:p w14:paraId="178E0283">
            <w:pPr>
              <w:pStyle w:val="563"/>
              <w:bidi w:val="0"/>
              <w:rPr>
                <w:rFonts w:hint="default"/>
                <w:color w:val="auto"/>
                <w:highlight w:val="none"/>
              </w:rPr>
            </w:pPr>
            <w:r>
              <w:rPr>
                <w:rFonts w:hint="default"/>
                <w:color w:val="auto"/>
                <w:highlight w:val="none"/>
                <w:lang w:val="en-US" w:eastAsia="zh-CN"/>
              </w:rPr>
              <w:t>117</w:t>
            </w:r>
          </w:p>
        </w:tc>
        <w:tc>
          <w:tcPr>
            <w:tcW w:w="507" w:type="dxa"/>
            <w:noWrap w:val="0"/>
            <w:vAlign w:val="center"/>
          </w:tcPr>
          <w:p w14:paraId="3CA1489F">
            <w:pPr>
              <w:pStyle w:val="563"/>
              <w:bidi w:val="0"/>
              <w:rPr>
                <w:rFonts w:hint="default"/>
                <w:color w:val="auto"/>
                <w:highlight w:val="none"/>
              </w:rPr>
            </w:pPr>
            <w:r>
              <w:rPr>
                <w:rFonts w:hint="default"/>
                <w:color w:val="auto"/>
                <w:highlight w:val="none"/>
                <w:lang w:val="en-US" w:eastAsia="zh-CN"/>
              </w:rPr>
              <w:t>35</w:t>
            </w:r>
          </w:p>
        </w:tc>
        <w:tc>
          <w:tcPr>
            <w:tcW w:w="445" w:type="dxa"/>
            <w:noWrap w:val="0"/>
            <w:vAlign w:val="center"/>
          </w:tcPr>
          <w:p w14:paraId="7D5A964A">
            <w:pPr>
              <w:pStyle w:val="563"/>
              <w:bidi w:val="0"/>
              <w:rPr>
                <w:rFonts w:hint="default"/>
                <w:color w:val="auto"/>
                <w:highlight w:val="none"/>
              </w:rPr>
            </w:pPr>
            <w:r>
              <w:rPr>
                <w:rFonts w:hint="default"/>
                <w:color w:val="auto"/>
                <w:highlight w:val="none"/>
                <w:lang w:val="en-US" w:eastAsia="zh-CN"/>
              </w:rPr>
              <w:t>41</w:t>
            </w:r>
          </w:p>
        </w:tc>
        <w:tc>
          <w:tcPr>
            <w:tcW w:w="614" w:type="dxa"/>
            <w:noWrap w:val="0"/>
            <w:vAlign w:val="center"/>
          </w:tcPr>
          <w:p w14:paraId="10BAFE61">
            <w:pPr>
              <w:pStyle w:val="563"/>
              <w:bidi w:val="0"/>
              <w:rPr>
                <w:rFonts w:hint="default"/>
                <w:color w:val="auto"/>
                <w:highlight w:val="none"/>
              </w:rPr>
            </w:pPr>
            <w:r>
              <w:rPr>
                <w:rFonts w:hint="default"/>
                <w:color w:val="auto"/>
                <w:highlight w:val="none"/>
                <w:lang w:val="en-US" w:eastAsia="zh-CN"/>
              </w:rPr>
              <w:t>76</w:t>
            </w:r>
          </w:p>
        </w:tc>
        <w:tc>
          <w:tcPr>
            <w:tcW w:w="618" w:type="dxa"/>
            <w:noWrap w:val="0"/>
            <w:vAlign w:val="center"/>
          </w:tcPr>
          <w:p w14:paraId="11770A95">
            <w:pPr>
              <w:pStyle w:val="563"/>
              <w:bidi w:val="0"/>
              <w:rPr>
                <w:rFonts w:hint="default"/>
                <w:color w:val="auto"/>
                <w:highlight w:val="none"/>
              </w:rPr>
            </w:pPr>
            <w:r>
              <w:rPr>
                <w:rFonts w:hint="default"/>
                <w:color w:val="auto"/>
                <w:highlight w:val="none"/>
                <w:lang w:val="en-US" w:eastAsia="zh-CN"/>
              </w:rPr>
              <w:t>43.6</w:t>
            </w:r>
          </w:p>
        </w:tc>
        <w:tc>
          <w:tcPr>
            <w:tcW w:w="532" w:type="dxa"/>
            <w:noWrap w:val="0"/>
            <w:vAlign w:val="center"/>
          </w:tcPr>
          <w:p w14:paraId="7447CDCB">
            <w:pPr>
              <w:pStyle w:val="563"/>
              <w:bidi w:val="0"/>
              <w:rPr>
                <w:rFonts w:hint="default"/>
                <w:color w:val="auto"/>
                <w:highlight w:val="none"/>
              </w:rPr>
            </w:pPr>
            <w:r>
              <w:rPr>
                <w:rFonts w:hint="default"/>
                <w:color w:val="auto"/>
                <w:highlight w:val="none"/>
                <w:lang w:val="en-US" w:eastAsia="zh-CN"/>
              </w:rPr>
              <w:t>54.1</w:t>
            </w:r>
          </w:p>
        </w:tc>
        <w:tc>
          <w:tcPr>
            <w:tcW w:w="618" w:type="dxa"/>
            <w:noWrap w:val="0"/>
            <w:vAlign w:val="center"/>
          </w:tcPr>
          <w:p w14:paraId="59275201">
            <w:pPr>
              <w:pStyle w:val="563"/>
              <w:bidi w:val="0"/>
              <w:rPr>
                <w:rFonts w:hint="default"/>
                <w:color w:val="auto"/>
                <w:highlight w:val="none"/>
              </w:rPr>
            </w:pPr>
            <w:r>
              <w:rPr>
                <w:rFonts w:hint="default"/>
                <w:color w:val="auto"/>
                <w:highlight w:val="none"/>
                <w:lang w:val="en-US" w:eastAsia="zh-CN"/>
              </w:rPr>
              <w:t>52.7</w:t>
            </w:r>
          </w:p>
        </w:tc>
        <w:tc>
          <w:tcPr>
            <w:tcW w:w="624" w:type="dxa"/>
            <w:noWrap w:val="0"/>
            <w:vAlign w:val="center"/>
          </w:tcPr>
          <w:p w14:paraId="1B296500">
            <w:pPr>
              <w:pStyle w:val="563"/>
              <w:bidi w:val="0"/>
              <w:rPr>
                <w:rFonts w:hint="default"/>
                <w:color w:val="auto"/>
                <w:highlight w:val="none"/>
              </w:rPr>
            </w:pPr>
            <w:r>
              <w:rPr>
                <w:rFonts w:hint="default"/>
                <w:color w:val="auto"/>
                <w:highlight w:val="none"/>
                <w:lang w:val="en-US" w:eastAsia="zh-CN"/>
              </w:rPr>
              <w:t>47.4</w:t>
            </w:r>
          </w:p>
        </w:tc>
        <w:tc>
          <w:tcPr>
            <w:tcW w:w="659" w:type="dxa"/>
            <w:vMerge w:val="continue"/>
            <w:noWrap w:val="0"/>
            <w:vAlign w:val="center"/>
          </w:tcPr>
          <w:p w14:paraId="6334AFFE">
            <w:pPr>
              <w:pStyle w:val="563"/>
              <w:bidi w:val="0"/>
              <w:rPr>
                <w:rFonts w:hint="eastAsia"/>
                <w:color w:val="auto"/>
                <w:highlight w:val="none"/>
              </w:rPr>
            </w:pPr>
          </w:p>
        </w:tc>
        <w:tc>
          <w:tcPr>
            <w:tcW w:w="843" w:type="dxa"/>
            <w:noWrap w:val="0"/>
            <w:vAlign w:val="center"/>
          </w:tcPr>
          <w:p w14:paraId="73D9869E">
            <w:pPr>
              <w:pStyle w:val="563"/>
              <w:bidi w:val="0"/>
              <w:rPr>
                <w:rFonts w:hint="default"/>
                <w:color w:val="auto"/>
                <w:highlight w:val="none"/>
              </w:rPr>
            </w:pPr>
            <w:r>
              <w:rPr>
                <w:rFonts w:hint="default"/>
                <w:color w:val="auto"/>
                <w:highlight w:val="none"/>
                <w:lang w:val="en-US" w:eastAsia="zh-CN"/>
              </w:rPr>
              <w:t>15</w:t>
            </w:r>
          </w:p>
        </w:tc>
        <w:tc>
          <w:tcPr>
            <w:tcW w:w="624" w:type="dxa"/>
            <w:noWrap w:val="0"/>
            <w:vAlign w:val="center"/>
          </w:tcPr>
          <w:p w14:paraId="11B6FA1D">
            <w:pPr>
              <w:pStyle w:val="563"/>
              <w:bidi w:val="0"/>
              <w:rPr>
                <w:rFonts w:hint="default"/>
                <w:color w:val="auto"/>
                <w:highlight w:val="none"/>
              </w:rPr>
            </w:pPr>
            <w:r>
              <w:rPr>
                <w:rFonts w:hint="default"/>
                <w:color w:val="auto"/>
                <w:highlight w:val="none"/>
                <w:lang w:val="en-US" w:eastAsia="zh-CN"/>
              </w:rPr>
              <w:t>28.6</w:t>
            </w:r>
          </w:p>
        </w:tc>
        <w:tc>
          <w:tcPr>
            <w:tcW w:w="659" w:type="dxa"/>
            <w:noWrap w:val="0"/>
            <w:vAlign w:val="center"/>
          </w:tcPr>
          <w:p w14:paraId="66802935">
            <w:pPr>
              <w:pStyle w:val="563"/>
              <w:bidi w:val="0"/>
              <w:rPr>
                <w:rFonts w:hint="default"/>
                <w:color w:val="auto"/>
                <w:highlight w:val="none"/>
              </w:rPr>
            </w:pPr>
            <w:r>
              <w:rPr>
                <w:rFonts w:hint="default"/>
                <w:color w:val="auto"/>
                <w:highlight w:val="none"/>
                <w:lang w:val="en-US" w:eastAsia="zh-CN"/>
              </w:rPr>
              <w:t>39.1</w:t>
            </w:r>
          </w:p>
        </w:tc>
        <w:tc>
          <w:tcPr>
            <w:tcW w:w="624" w:type="dxa"/>
            <w:noWrap w:val="0"/>
            <w:vAlign w:val="center"/>
          </w:tcPr>
          <w:p w14:paraId="3D67D91E">
            <w:pPr>
              <w:pStyle w:val="563"/>
              <w:bidi w:val="0"/>
              <w:rPr>
                <w:rFonts w:hint="default"/>
                <w:color w:val="auto"/>
                <w:highlight w:val="none"/>
              </w:rPr>
            </w:pPr>
            <w:r>
              <w:rPr>
                <w:rFonts w:hint="default"/>
                <w:color w:val="auto"/>
                <w:highlight w:val="none"/>
                <w:lang w:val="en-US" w:eastAsia="zh-CN"/>
              </w:rPr>
              <w:t>37.7</w:t>
            </w:r>
          </w:p>
        </w:tc>
        <w:tc>
          <w:tcPr>
            <w:tcW w:w="632" w:type="dxa"/>
            <w:noWrap w:val="0"/>
            <w:vAlign w:val="center"/>
          </w:tcPr>
          <w:p w14:paraId="14A6D5FB">
            <w:pPr>
              <w:pStyle w:val="563"/>
              <w:bidi w:val="0"/>
              <w:rPr>
                <w:rFonts w:hint="default"/>
                <w:color w:val="auto"/>
                <w:highlight w:val="none"/>
              </w:rPr>
            </w:pPr>
            <w:r>
              <w:rPr>
                <w:rFonts w:hint="default"/>
                <w:color w:val="auto"/>
                <w:highlight w:val="none"/>
                <w:lang w:val="en-US" w:eastAsia="zh-CN"/>
              </w:rPr>
              <w:t>32.4</w:t>
            </w:r>
          </w:p>
        </w:tc>
        <w:tc>
          <w:tcPr>
            <w:tcW w:w="667" w:type="dxa"/>
            <w:noWrap w:val="0"/>
            <w:vAlign w:val="center"/>
          </w:tcPr>
          <w:p w14:paraId="44D46281">
            <w:pPr>
              <w:pStyle w:val="563"/>
              <w:bidi w:val="0"/>
              <w:rPr>
                <w:rFonts w:hint="default"/>
                <w:color w:val="auto"/>
                <w:highlight w:val="none"/>
              </w:rPr>
            </w:pPr>
            <w:r>
              <w:rPr>
                <w:rFonts w:hint="default"/>
                <w:color w:val="auto"/>
                <w:highlight w:val="none"/>
                <w:lang w:val="en-US" w:eastAsia="zh-CN"/>
              </w:rPr>
              <w:t>1</w:t>
            </w:r>
          </w:p>
        </w:tc>
      </w:tr>
      <w:tr w14:paraId="74442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noWrap w:val="0"/>
            <w:vAlign w:val="center"/>
          </w:tcPr>
          <w:p w14:paraId="5DC7660C">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20</w:t>
            </w:r>
          </w:p>
        </w:tc>
        <w:tc>
          <w:tcPr>
            <w:tcW w:w="424" w:type="dxa"/>
            <w:vMerge w:val="continue"/>
            <w:noWrap w:val="0"/>
            <w:vAlign w:val="center"/>
          </w:tcPr>
          <w:p w14:paraId="4152EF70">
            <w:pPr>
              <w:pStyle w:val="563"/>
              <w:bidi w:val="0"/>
              <w:ind w:firstLine="0" w:firstLineChars="0"/>
              <w:rPr>
                <w:rFonts w:hint="eastAsia" w:ascii="Times New Roman" w:hAnsi="Times New Roman" w:eastAsia="宋体"/>
                <w:color w:val="auto"/>
                <w:kern w:val="2"/>
                <w:sz w:val="21"/>
                <w:szCs w:val="21"/>
                <w:highlight w:val="none"/>
                <w:lang w:val="en-US" w:eastAsia="zh-CN" w:bidi="ar-SA"/>
              </w:rPr>
            </w:pPr>
          </w:p>
        </w:tc>
        <w:tc>
          <w:tcPr>
            <w:tcW w:w="708" w:type="dxa"/>
            <w:noWrap w:val="0"/>
            <w:vAlign w:val="center"/>
          </w:tcPr>
          <w:p w14:paraId="5B9A0288">
            <w:pPr>
              <w:pStyle w:val="563"/>
              <w:bidi w:val="0"/>
              <w:ind w:firstLine="0" w:firstLineChars="0"/>
              <w:rPr>
                <w:rFonts w:hint="eastAsia" w:ascii="Times New Roman" w:hAnsi="Times New Roman" w:eastAsia="宋体"/>
                <w:color w:val="auto"/>
                <w:kern w:val="2"/>
                <w:sz w:val="21"/>
                <w:szCs w:val="21"/>
                <w:highlight w:val="none"/>
                <w:lang w:val="en-US" w:eastAsia="zh-CN" w:bidi="ar-SA"/>
              </w:rPr>
            </w:pPr>
            <w:r>
              <w:rPr>
                <w:rFonts w:hint="eastAsia"/>
                <w:color w:val="auto"/>
                <w:highlight w:val="none"/>
                <w:lang w:val="en-US" w:eastAsia="zh-CN"/>
              </w:rPr>
              <w:t>洗车机</w:t>
            </w:r>
          </w:p>
        </w:tc>
        <w:tc>
          <w:tcPr>
            <w:tcW w:w="750" w:type="dxa"/>
            <w:noWrap w:val="0"/>
            <w:vAlign w:val="center"/>
          </w:tcPr>
          <w:p w14:paraId="6A65F768">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70</w:t>
            </w:r>
          </w:p>
        </w:tc>
        <w:tc>
          <w:tcPr>
            <w:tcW w:w="0" w:type="auto"/>
            <w:noWrap/>
            <w:vAlign w:val="center"/>
          </w:tcPr>
          <w:p w14:paraId="22BCD188">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1</w:t>
            </w:r>
          </w:p>
        </w:tc>
        <w:tc>
          <w:tcPr>
            <w:tcW w:w="647" w:type="dxa"/>
            <w:vMerge w:val="continue"/>
            <w:noWrap w:val="0"/>
            <w:vAlign w:val="center"/>
          </w:tcPr>
          <w:p w14:paraId="14774757">
            <w:pPr>
              <w:pStyle w:val="563"/>
              <w:bidi w:val="0"/>
              <w:ind w:firstLine="0" w:firstLineChars="0"/>
              <w:rPr>
                <w:rFonts w:hint="eastAsia" w:ascii="Times New Roman" w:hAnsi="Times New Roman" w:eastAsia="宋体"/>
                <w:color w:val="auto"/>
                <w:kern w:val="2"/>
                <w:sz w:val="21"/>
                <w:szCs w:val="21"/>
                <w:highlight w:val="none"/>
                <w:lang w:val="en-US" w:eastAsia="zh-CN" w:bidi="ar-SA"/>
              </w:rPr>
            </w:pPr>
          </w:p>
        </w:tc>
        <w:tc>
          <w:tcPr>
            <w:tcW w:w="498" w:type="dxa"/>
            <w:noWrap w:val="0"/>
            <w:vAlign w:val="center"/>
          </w:tcPr>
          <w:p w14:paraId="5F65A420">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27</w:t>
            </w:r>
          </w:p>
        </w:tc>
        <w:tc>
          <w:tcPr>
            <w:tcW w:w="498" w:type="dxa"/>
            <w:noWrap w:val="0"/>
            <w:vAlign w:val="center"/>
          </w:tcPr>
          <w:p w14:paraId="7E22BBF0">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32</w:t>
            </w:r>
          </w:p>
        </w:tc>
        <w:tc>
          <w:tcPr>
            <w:tcW w:w="491" w:type="dxa"/>
            <w:noWrap w:val="0"/>
            <w:vAlign w:val="center"/>
          </w:tcPr>
          <w:p w14:paraId="6CBCA24E">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1</w:t>
            </w:r>
          </w:p>
        </w:tc>
        <w:tc>
          <w:tcPr>
            <w:tcW w:w="461" w:type="dxa"/>
            <w:noWrap w:val="0"/>
            <w:vAlign w:val="center"/>
          </w:tcPr>
          <w:p w14:paraId="740720C0">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125</w:t>
            </w:r>
          </w:p>
        </w:tc>
        <w:tc>
          <w:tcPr>
            <w:tcW w:w="507" w:type="dxa"/>
            <w:noWrap w:val="0"/>
            <w:vAlign w:val="center"/>
          </w:tcPr>
          <w:p w14:paraId="6C6D29D3">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27</w:t>
            </w:r>
          </w:p>
        </w:tc>
        <w:tc>
          <w:tcPr>
            <w:tcW w:w="445" w:type="dxa"/>
            <w:noWrap w:val="0"/>
            <w:vAlign w:val="center"/>
          </w:tcPr>
          <w:p w14:paraId="31F2345A">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32</w:t>
            </w:r>
          </w:p>
        </w:tc>
        <w:tc>
          <w:tcPr>
            <w:tcW w:w="614" w:type="dxa"/>
            <w:noWrap w:val="0"/>
            <w:vAlign w:val="center"/>
          </w:tcPr>
          <w:p w14:paraId="246D02FD">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85</w:t>
            </w:r>
          </w:p>
        </w:tc>
        <w:tc>
          <w:tcPr>
            <w:tcW w:w="618" w:type="dxa"/>
            <w:noWrap w:val="0"/>
            <w:vAlign w:val="center"/>
          </w:tcPr>
          <w:p w14:paraId="305383C7">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28.1</w:t>
            </w:r>
          </w:p>
        </w:tc>
        <w:tc>
          <w:tcPr>
            <w:tcW w:w="532" w:type="dxa"/>
            <w:noWrap w:val="0"/>
            <w:vAlign w:val="center"/>
          </w:tcPr>
          <w:p w14:paraId="04215BFB">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41.4</w:t>
            </w:r>
          </w:p>
        </w:tc>
        <w:tc>
          <w:tcPr>
            <w:tcW w:w="618" w:type="dxa"/>
            <w:noWrap w:val="0"/>
            <w:vAlign w:val="center"/>
          </w:tcPr>
          <w:p w14:paraId="311D4638">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39.9</w:t>
            </w:r>
          </w:p>
        </w:tc>
        <w:tc>
          <w:tcPr>
            <w:tcW w:w="624" w:type="dxa"/>
            <w:noWrap w:val="0"/>
            <w:vAlign w:val="center"/>
          </w:tcPr>
          <w:p w14:paraId="4037BA18">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31.4</w:t>
            </w:r>
          </w:p>
        </w:tc>
        <w:tc>
          <w:tcPr>
            <w:tcW w:w="659" w:type="dxa"/>
            <w:vMerge w:val="continue"/>
            <w:noWrap w:val="0"/>
            <w:vAlign w:val="center"/>
          </w:tcPr>
          <w:p w14:paraId="34856898">
            <w:pPr>
              <w:pStyle w:val="563"/>
              <w:bidi w:val="0"/>
              <w:ind w:firstLine="0" w:firstLineChars="0"/>
              <w:rPr>
                <w:rFonts w:hint="eastAsia" w:ascii="Times New Roman" w:hAnsi="Times New Roman" w:eastAsia="宋体"/>
                <w:color w:val="auto"/>
                <w:kern w:val="2"/>
                <w:sz w:val="21"/>
                <w:szCs w:val="21"/>
                <w:highlight w:val="none"/>
                <w:lang w:val="en-US" w:eastAsia="zh-CN" w:bidi="ar-SA"/>
              </w:rPr>
            </w:pPr>
          </w:p>
        </w:tc>
        <w:tc>
          <w:tcPr>
            <w:tcW w:w="843" w:type="dxa"/>
            <w:noWrap w:val="0"/>
            <w:vAlign w:val="center"/>
          </w:tcPr>
          <w:p w14:paraId="6A310DD3">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15</w:t>
            </w:r>
          </w:p>
        </w:tc>
        <w:tc>
          <w:tcPr>
            <w:tcW w:w="624" w:type="dxa"/>
            <w:noWrap w:val="0"/>
            <w:vAlign w:val="center"/>
          </w:tcPr>
          <w:p w14:paraId="073E3B8F">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13.1</w:t>
            </w:r>
          </w:p>
        </w:tc>
        <w:tc>
          <w:tcPr>
            <w:tcW w:w="659" w:type="dxa"/>
            <w:noWrap w:val="0"/>
            <w:vAlign w:val="center"/>
          </w:tcPr>
          <w:p w14:paraId="22507155">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26.4</w:t>
            </w:r>
          </w:p>
        </w:tc>
        <w:tc>
          <w:tcPr>
            <w:tcW w:w="624" w:type="dxa"/>
            <w:noWrap w:val="0"/>
            <w:vAlign w:val="center"/>
          </w:tcPr>
          <w:p w14:paraId="14C4FC95">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24.9</w:t>
            </w:r>
          </w:p>
        </w:tc>
        <w:tc>
          <w:tcPr>
            <w:tcW w:w="632" w:type="dxa"/>
            <w:noWrap w:val="0"/>
            <w:vAlign w:val="center"/>
          </w:tcPr>
          <w:p w14:paraId="429FC2DC">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16.4</w:t>
            </w:r>
          </w:p>
        </w:tc>
        <w:tc>
          <w:tcPr>
            <w:tcW w:w="667" w:type="dxa"/>
            <w:noWrap w:val="0"/>
            <w:vAlign w:val="center"/>
          </w:tcPr>
          <w:p w14:paraId="60A7B620">
            <w:pPr>
              <w:pStyle w:val="563"/>
              <w:bidi w:val="0"/>
              <w:ind w:firstLine="0" w:firstLineChars="0"/>
              <w:rPr>
                <w:rFonts w:hint="default" w:ascii="Times New Roman" w:hAnsi="Times New Roman" w:eastAsia="宋体"/>
                <w:color w:val="auto"/>
                <w:kern w:val="2"/>
                <w:sz w:val="21"/>
                <w:szCs w:val="21"/>
                <w:highlight w:val="none"/>
                <w:lang w:val="en-US" w:eastAsia="zh-CN" w:bidi="ar-SA"/>
              </w:rPr>
            </w:pPr>
            <w:r>
              <w:rPr>
                <w:rFonts w:hint="default"/>
                <w:color w:val="auto"/>
                <w:highlight w:val="none"/>
                <w:lang w:val="en-US" w:eastAsia="zh-CN"/>
              </w:rPr>
              <w:t>1</w:t>
            </w:r>
          </w:p>
        </w:tc>
      </w:tr>
      <w:tr w14:paraId="5BA2E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018" w:type="dxa"/>
            <w:gridSpan w:val="24"/>
            <w:noWrap w:val="0"/>
            <w:vAlign w:val="center"/>
          </w:tcPr>
          <w:p w14:paraId="2C51F0E3">
            <w:pPr>
              <w:pStyle w:val="563"/>
              <w:bidi w:val="0"/>
              <w:rPr>
                <w:rFonts w:hint="eastAsia"/>
                <w:color w:val="auto"/>
                <w:highlight w:val="none"/>
              </w:rPr>
            </w:pPr>
            <w:r>
              <w:rPr>
                <w:rFonts w:hint="eastAsia"/>
                <w:b/>
                <w:bCs/>
                <w:color w:val="auto"/>
                <w:sz w:val="18"/>
                <w:szCs w:val="18"/>
                <w:highlight w:val="none"/>
                <w:lang w:val="en-US" w:eastAsia="zh-CN"/>
              </w:rPr>
              <w:t>备注：①以厂界西南点为原点；②项目同类型设备有大致相同的源强、尺寸，位于同一车间内，传播条件相同，且声源至车间各边界距离均大于自身最大几何尺寸的两倍，因此众多相同类型设备同类型等效为一个设备，坐标为等效坐标点位置，其噪声级叠加计算。</w:t>
            </w:r>
          </w:p>
        </w:tc>
      </w:tr>
    </w:tbl>
    <w:p w14:paraId="2B3232A0">
      <w:pPr>
        <w:pStyle w:val="283"/>
        <w:keepNext w:val="0"/>
        <w:keepLines w:val="0"/>
        <w:pageBreakBefore w:val="0"/>
        <w:widowControl w:val="0"/>
        <w:kinsoku/>
        <w:wordWrap/>
        <w:overflowPunct/>
        <w:topLinePunct w:val="0"/>
        <w:autoSpaceDE/>
        <w:autoSpaceDN/>
        <w:bidi w:val="0"/>
        <w:adjustRightInd/>
        <w:snapToGrid/>
        <w:spacing w:beforeLines="0" w:after="0"/>
        <w:textAlignment w:val="auto"/>
        <w:rPr>
          <w:rFonts w:hint="default" w:ascii="Times New Roman" w:hAnsi="Times New Roman" w:eastAsia="宋体" w:cs="Times New Roman"/>
          <w:color w:val="auto"/>
          <w:highlight w:val="none"/>
        </w:rPr>
      </w:pPr>
    </w:p>
    <w:p w14:paraId="1E3C8118">
      <w:pPr>
        <w:keepNext w:val="0"/>
        <w:keepLines w:val="0"/>
        <w:pageBreakBefore w:val="0"/>
        <w:widowControl w:val="0"/>
        <w:kinsoku/>
        <w:wordWrap/>
        <w:overflowPunct/>
        <w:autoSpaceDE/>
        <w:autoSpaceDN/>
        <w:bidi w:val="0"/>
        <w:adjustRightInd/>
        <w:snapToGrid/>
        <w:spacing w:line="360" w:lineRule="auto"/>
        <w:ind w:firstLine="0" w:firstLineChars="0"/>
        <w:jc w:val="left"/>
        <w:textAlignment w:val="auto"/>
        <w:rPr>
          <w:rFonts w:ascii="Times New Roman" w:hAnsi="Times New Roman" w:eastAsia="宋体"/>
          <w:b/>
          <w:bCs/>
          <w:color w:val="auto"/>
          <w:spacing w:val="-10"/>
          <w:sz w:val="24"/>
          <w:szCs w:val="21"/>
          <w:highlight w:val="none"/>
        </w:rPr>
        <w:sectPr>
          <w:pgSz w:w="16838" w:h="11906" w:orient="landscape"/>
          <w:pgMar w:top="1803" w:right="1440" w:bottom="1803" w:left="1440" w:header="964" w:footer="964" w:gutter="0"/>
          <w:pgBorders>
            <w:top w:val="none" w:sz="0" w:space="0"/>
            <w:left w:val="none" w:sz="0" w:space="0"/>
            <w:bottom w:val="none" w:sz="0" w:space="0"/>
            <w:right w:val="none" w:sz="0" w:space="0"/>
          </w:pgBorders>
          <w:cols w:space="720" w:num="1"/>
          <w:rtlGutter w:val="0"/>
          <w:docGrid w:type="lines" w:linePitch="360" w:charSpace="0"/>
        </w:sectPr>
      </w:pPr>
    </w:p>
    <w:p w14:paraId="7AB54889">
      <w:pPr>
        <w:pStyle w:val="5"/>
        <w:rPr>
          <w:color w:val="auto"/>
          <w:highlight w:val="none"/>
        </w:rPr>
      </w:pPr>
      <w:r>
        <w:rPr>
          <w:rFonts w:hint="eastAsia"/>
          <w:color w:val="auto"/>
          <w:highlight w:val="none"/>
          <w:lang w:val="en-US" w:eastAsia="zh-CN"/>
        </w:rPr>
        <w:t>5</w:t>
      </w:r>
      <w:r>
        <w:rPr>
          <w:color w:val="auto"/>
          <w:highlight w:val="none"/>
        </w:rPr>
        <w:t>.2.</w:t>
      </w:r>
      <w:r>
        <w:rPr>
          <w:rFonts w:hint="eastAsia"/>
          <w:color w:val="auto"/>
          <w:highlight w:val="none"/>
          <w:lang w:val="en-US" w:eastAsia="zh-CN"/>
        </w:rPr>
        <w:t>3</w:t>
      </w:r>
      <w:r>
        <w:rPr>
          <w:color w:val="auto"/>
          <w:highlight w:val="none"/>
        </w:rPr>
        <w:t>.4</w:t>
      </w:r>
      <w:r>
        <w:rPr>
          <w:rFonts w:hint="eastAsia"/>
          <w:color w:val="auto"/>
          <w:highlight w:val="none"/>
        </w:rPr>
        <w:t>噪声预测</w:t>
      </w:r>
    </w:p>
    <w:p w14:paraId="6170CA27">
      <w:pPr>
        <w:ind w:firstLine="482"/>
        <w:rPr>
          <w:b/>
          <w:bCs/>
          <w:color w:val="auto"/>
          <w:highlight w:val="none"/>
        </w:rPr>
      </w:pPr>
      <w:r>
        <w:rPr>
          <w:rFonts w:hint="eastAsia"/>
          <w:b/>
          <w:bCs/>
          <w:color w:val="auto"/>
          <w:highlight w:val="none"/>
        </w:rPr>
        <w:t>（1）预测模式</w:t>
      </w:r>
    </w:p>
    <w:p w14:paraId="46DF1C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根据项目设备声源特征和声学环境的特点，同时根据业主提供资料，视设备声源为点源</w:t>
      </w:r>
      <w:r>
        <w:rPr>
          <w:rFonts w:hint="eastAsia"/>
          <w:color w:val="auto"/>
          <w:sz w:val="24"/>
          <w:szCs w:val="24"/>
          <w:highlight w:val="none"/>
        </w:rPr>
        <w:t>。噪声在室外空间的传播，由于受到遮挡物的隔断，各种介质的吸收与反射以及空气介质的吸收等物理作用而逐渐减弱。为了简化计算条件并能考虑到最不利因素，计算时只考虑噪声随距离的衰减。</w:t>
      </w:r>
    </w:p>
    <w:p w14:paraId="70E660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依据《环境影响评价技术导则声环境》</w:t>
      </w:r>
      <w:r>
        <w:rPr>
          <w:rFonts w:hint="eastAsia"/>
          <w:color w:val="auto"/>
          <w:sz w:val="24"/>
          <w:szCs w:val="24"/>
          <w:highlight w:val="none"/>
        </w:rPr>
        <w:t>（H</w:t>
      </w:r>
      <w:r>
        <w:rPr>
          <w:color w:val="auto"/>
          <w:sz w:val="24"/>
          <w:szCs w:val="24"/>
          <w:highlight w:val="none"/>
        </w:rPr>
        <w:t>J2.4-2021</w:t>
      </w:r>
      <w:r>
        <w:rPr>
          <w:rFonts w:hint="eastAsia"/>
          <w:color w:val="auto"/>
          <w:sz w:val="24"/>
          <w:szCs w:val="24"/>
          <w:highlight w:val="none"/>
        </w:rPr>
        <w:t>）</w:t>
      </w:r>
      <w:r>
        <w:rPr>
          <w:color w:val="auto"/>
          <w:sz w:val="24"/>
          <w:szCs w:val="24"/>
          <w:highlight w:val="none"/>
        </w:rPr>
        <w:t>中推荐的</w:t>
      </w:r>
      <w:r>
        <w:rPr>
          <w:rFonts w:hint="eastAsia"/>
          <w:color w:val="auto"/>
          <w:sz w:val="24"/>
          <w:szCs w:val="24"/>
          <w:highlight w:val="none"/>
        </w:rPr>
        <w:t>工业噪声预测计算模式，对项目运行后的厂界噪声变化情况进行分析。本项目各类生产设备、污水处理站各类构筑物等设备布置在室内，采用室内声源等效室外声源声功率级计算方法；项目风机布置在室外，采用室外声源声功率级计算方法。</w:t>
      </w:r>
    </w:p>
    <w:p w14:paraId="701D1FA0">
      <w:pPr>
        <w:pStyle w:val="224"/>
        <w:rPr>
          <w:color w:val="auto"/>
          <w:sz w:val="24"/>
          <w:szCs w:val="24"/>
          <w:highlight w:val="none"/>
        </w:rPr>
      </w:pPr>
      <w:r>
        <w:rPr>
          <w:color w:val="auto"/>
          <w:sz w:val="24"/>
          <w:szCs w:val="24"/>
          <w:highlight w:val="none"/>
        </w:rPr>
        <w:drawing>
          <wp:inline distT="0" distB="0" distL="114300" distR="114300">
            <wp:extent cx="2265680" cy="1238885"/>
            <wp:effectExtent l="0" t="0" r="1270" b="18415"/>
            <wp:docPr id="578" name="图片 751" descr="E:\聊天软件\微信\WeChat Files\wxid_2677646775512\FileStorage\Temp\1700192463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751" descr="E:\聊天软件\微信\WeChat Files\wxid_2677646775512\FileStorage\Temp\1700192463146.png"/>
                    <pic:cNvPicPr>
                      <a:picLocks noChangeAspect="1"/>
                    </pic:cNvPicPr>
                  </pic:nvPicPr>
                  <pic:blipFill>
                    <a:blip r:embed="rId69"/>
                    <a:stretch>
                      <a:fillRect/>
                    </a:stretch>
                  </pic:blipFill>
                  <pic:spPr>
                    <a:xfrm>
                      <a:off x="0" y="0"/>
                      <a:ext cx="2265680" cy="1238885"/>
                    </a:xfrm>
                    <a:prstGeom prst="rect">
                      <a:avLst/>
                    </a:prstGeom>
                    <a:noFill/>
                    <a:ln>
                      <a:noFill/>
                    </a:ln>
                  </pic:spPr>
                </pic:pic>
              </a:graphicData>
            </a:graphic>
          </wp:inline>
        </w:drawing>
      </w:r>
    </w:p>
    <w:p w14:paraId="17976D88">
      <w:pPr>
        <w:pStyle w:val="283"/>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图</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8</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室内声源等效为室外声源图例</w:t>
      </w:r>
    </w:p>
    <w:p w14:paraId="1AC1EA5F">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highlight w:val="none"/>
        </w:rPr>
      </w:pPr>
      <w:r>
        <w:rPr>
          <w:color w:val="auto"/>
          <w:sz w:val="24"/>
          <w:szCs w:val="24"/>
          <w:highlight w:val="none"/>
        </w:rPr>
        <w:t>声源位于室内，室内声源可采用等效室外声源声功率级法进行计算。设靠近开口处（或窗户）室内、室外某倍频带的声压级或A声级分别为L</w:t>
      </w:r>
      <w:r>
        <w:rPr>
          <w:color w:val="auto"/>
          <w:sz w:val="24"/>
          <w:szCs w:val="24"/>
          <w:highlight w:val="none"/>
          <w:vertAlign w:val="subscript"/>
        </w:rPr>
        <w:t>p1</w:t>
      </w:r>
      <w:r>
        <w:rPr>
          <w:color w:val="auto"/>
          <w:sz w:val="24"/>
          <w:szCs w:val="24"/>
          <w:highlight w:val="none"/>
        </w:rPr>
        <w:t>和L</w:t>
      </w:r>
      <w:r>
        <w:rPr>
          <w:color w:val="auto"/>
          <w:sz w:val="24"/>
          <w:szCs w:val="24"/>
          <w:highlight w:val="none"/>
          <w:vertAlign w:val="subscript"/>
        </w:rPr>
        <w:t>p2</w:t>
      </w:r>
      <w:r>
        <w:rPr>
          <w:color w:val="auto"/>
          <w:sz w:val="24"/>
          <w:szCs w:val="24"/>
          <w:highlight w:val="none"/>
        </w:rPr>
        <w:t>。若声源所在室内声场为近似扩散声场，则室外的倍频带声压级可按近似求出：</w:t>
      </w:r>
    </w:p>
    <w:p w14:paraId="2F5944BB">
      <w:pPr>
        <w:pStyle w:val="224"/>
        <w:keepNext w:val="0"/>
        <w:keepLines w:val="0"/>
        <w:pageBreakBefore w:val="0"/>
        <w:widowControl w:val="0"/>
        <w:kinsoku/>
        <w:wordWrap/>
        <w:overflowPunct/>
        <w:topLinePunct w:val="0"/>
        <w:autoSpaceDE/>
        <w:autoSpaceDN/>
        <w:bidi w:val="0"/>
        <w:snapToGrid/>
        <w:spacing w:line="360" w:lineRule="auto"/>
        <w:ind w:firstLine="480" w:firstLineChars="200"/>
        <w:jc w:val="center"/>
        <w:rPr>
          <w:rFonts w:eastAsia="宋体"/>
          <w:color w:val="auto"/>
          <w:sz w:val="24"/>
          <w:szCs w:val="24"/>
          <w:highlight w:val="none"/>
        </w:rPr>
      </w:pPr>
      <w:r>
        <w:rPr>
          <w:rFonts w:hint="eastAsia"/>
          <w:color w:val="auto"/>
          <w:sz w:val="24"/>
          <w:szCs w:val="24"/>
          <w:highlight w:val="none"/>
        </w:rPr>
        <w:t>L</w:t>
      </w:r>
      <w:r>
        <w:rPr>
          <w:rFonts w:hint="eastAsia"/>
          <w:color w:val="auto"/>
          <w:sz w:val="24"/>
          <w:szCs w:val="24"/>
          <w:highlight w:val="none"/>
          <w:vertAlign w:val="subscript"/>
        </w:rPr>
        <w:t>p2</w:t>
      </w:r>
      <w:r>
        <w:rPr>
          <w:rFonts w:hint="eastAsia"/>
          <w:color w:val="auto"/>
          <w:sz w:val="24"/>
          <w:szCs w:val="24"/>
          <w:highlight w:val="none"/>
        </w:rPr>
        <w:t>=L</w:t>
      </w:r>
      <w:r>
        <w:rPr>
          <w:rFonts w:hint="eastAsia"/>
          <w:color w:val="auto"/>
          <w:sz w:val="24"/>
          <w:szCs w:val="24"/>
          <w:highlight w:val="none"/>
          <w:vertAlign w:val="subscript"/>
        </w:rPr>
        <w:t>p1</w:t>
      </w:r>
      <w:r>
        <w:rPr>
          <w:rFonts w:hint="eastAsia"/>
          <w:color w:val="auto"/>
          <w:sz w:val="24"/>
          <w:szCs w:val="24"/>
          <w:highlight w:val="none"/>
        </w:rPr>
        <w:t>-（TL+6）</w:t>
      </w:r>
    </w:p>
    <w:p w14:paraId="4FBAB5E2">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highlight w:val="none"/>
        </w:rPr>
      </w:pPr>
      <w:r>
        <w:rPr>
          <w:color w:val="auto"/>
          <w:sz w:val="24"/>
          <w:szCs w:val="24"/>
          <w:highlight w:val="none"/>
        </w:rPr>
        <w:t>式中：L</w:t>
      </w:r>
      <w:r>
        <w:rPr>
          <w:color w:val="auto"/>
          <w:sz w:val="24"/>
          <w:szCs w:val="24"/>
          <w:highlight w:val="none"/>
          <w:vertAlign w:val="subscript"/>
        </w:rPr>
        <w:t>p1</w:t>
      </w:r>
      <w:r>
        <w:rPr>
          <w:color w:val="auto"/>
          <w:sz w:val="24"/>
          <w:szCs w:val="24"/>
          <w:highlight w:val="none"/>
        </w:rPr>
        <w:t>——靠近开口处（或窗户）室内某倍频带的声压级或A声级，dB；</w:t>
      </w:r>
    </w:p>
    <w:p w14:paraId="4E50134D">
      <w:pPr>
        <w:keepNext w:val="0"/>
        <w:keepLines w:val="0"/>
        <w:pageBreakBefore w:val="0"/>
        <w:widowControl w:val="0"/>
        <w:kinsoku/>
        <w:wordWrap/>
        <w:overflowPunct/>
        <w:topLinePunct w:val="0"/>
        <w:autoSpaceDE/>
        <w:autoSpaceDN/>
        <w:bidi w:val="0"/>
        <w:snapToGrid/>
        <w:spacing w:line="360" w:lineRule="auto"/>
        <w:ind w:firstLine="1200" w:firstLineChars="500"/>
        <w:jc w:val="left"/>
        <w:rPr>
          <w:color w:val="auto"/>
          <w:sz w:val="24"/>
          <w:szCs w:val="24"/>
          <w:highlight w:val="none"/>
        </w:rPr>
      </w:pPr>
      <w:r>
        <w:rPr>
          <w:color w:val="auto"/>
          <w:sz w:val="24"/>
          <w:szCs w:val="24"/>
          <w:highlight w:val="none"/>
        </w:rPr>
        <w:t>L</w:t>
      </w:r>
      <w:r>
        <w:rPr>
          <w:color w:val="auto"/>
          <w:sz w:val="24"/>
          <w:szCs w:val="24"/>
          <w:highlight w:val="none"/>
          <w:vertAlign w:val="subscript"/>
        </w:rPr>
        <w:t>p2</w:t>
      </w:r>
      <w:r>
        <w:rPr>
          <w:color w:val="auto"/>
          <w:sz w:val="24"/>
          <w:szCs w:val="24"/>
          <w:highlight w:val="none"/>
        </w:rPr>
        <w:t>——靠近开口处（或窗户）室外某倍频带的声压级或A声级，dB；</w:t>
      </w:r>
    </w:p>
    <w:p w14:paraId="3275CB5A">
      <w:pPr>
        <w:keepNext w:val="0"/>
        <w:keepLines w:val="0"/>
        <w:pageBreakBefore w:val="0"/>
        <w:widowControl w:val="0"/>
        <w:kinsoku/>
        <w:wordWrap/>
        <w:overflowPunct/>
        <w:topLinePunct w:val="0"/>
        <w:autoSpaceDE/>
        <w:autoSpaceDN/>
        <w:bidi w:val="0"/>
        <w:snapToGrid/>
        <w:spacing w:line="360" w:lineRule="auto"/>
        <w:ind w:firstLine="1200" w:firstLineChars="500"/>
        <w:jc w:val="left"/>
        <w:rPr>
          <w:color w:val="auto"/>
          <w:sz w:val="24"/>
          <w:szCs w:val="24"/>
          <w:highlight w:val="none"/>
        </w:rPr>
      </w:pPr>
      <w:r>
        <w:rPr>
          <w:color w:val="auto"/>
          <w:sz w:val="24"/>
          <w:szCs w:val="24"/>
          <w:highlight w:val="none"/>
        </w:rPr>
        <w:t>TL——隔墙（或窗户）倍频带或A声级的隔声量，dB。</w:t>
      </w:r>
    </w:p>
    <w:p w14:paraId="15196BA2">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highlight w:val="none"/>
        </w:rPr>
      </w:pPr>
      <w:r>
        <w:rPr>
          <w:color w:val="auto"/>
          <w:sz w:val="24"/>
          <w:szCs w:val="24"/>
          <w:highlight w:val="none"/>
        </w:rPr>
        <w:t>计算某一室内声源靠近围护结构处产生的倍频带声压级或A声级：</w:t>
      </w:r>
    </w:p>
    <w:p w14:paraId="0245B021">
      <w:pPr>
        <w:pStyle w:val="224"/>
        <w:keepNext w:val="0"/>
        <w:keepLines w:val="0"/>
        <w:pageBreakBefore w:val="0"/>
        <w:widowControl w:val="0"/>
        <w:kinsoku/>
        <w:wordWrap/>
        <w:overflowPunct/>
        <w:topLinePunct w:val="0"/>
        <w:autoSpaceDE/>
        <w:autoSpaceDN/>
        <w:bidi w:val="0"/>
        <w:snapToGrid/>
        <w:spacing w:line="360" w:lineRule="auto"/>
        <w:ind w:firstLine="480" w:firstLineChars="200"/>
        <w:jc w:val="center"/>
        <w:rPr>
          <w:color w:val="auto"/>
          <w:sz w:val="24"/>
          <w:szCs w:val="24"/>
          <w:highlight w:val="none"/>
        </w:rPr>
      </w:pPr>
      <w:r>
        <w:rPr>
          <w:color w:val="auto"/>
          <w:sz w:val="24"/>
          <w:szCs w:val="24"/>
          <w:highlight w:val="none"/>
        </w:rPr>
        <w:drawing>
          <wp:inline distT="0" distB="0" distL="114300" distR="114300">
            <wp:extent cx="1895475" cy="433070"/>
            <wp:effectExtent l="0" t="0" r="9525" b="5080"/>
            <wp:docPr id="579" name="图片 752" descr="E:\聊天软件\微信\WeChat Files\wxid_2677646775512\FileStorage\Temp\17001926780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752" descr="E:\聊天软件\微信\WeChat Files\wxid_2677646775512\FileStorage\Temp\1700192678058(1).png"/>
                    <pic:cNvPicPr>
                      <a:picLocks noChangeAspect="1"/>
                    </pic:cNvPicPr>
                  </pic:nvPicPr>
                  <pic:blipFill>
                    <a:blip r:embed="rId70"/>
                    <a:stretch>
                      <a:fillRect/>
                    </a:stretch>
                  </pic:blipFill>
                  <pic:spPr>
                    <a:xfrm>
                      <a:off x="0" y="0"/>
                      <a:ext cx="1895475" cy="433070"/>
                    </a:xfrm>
                    <a:prstGeom prst="rect">
                      <a:avLst/>
                    </a:prstGeom>
                    <a:noFill/>
                    <a:ln>
                      <a:noFill/>
                    </a:ln>
                  </pic:spPr>
                </pic:pic>
              </a:graphicData>
            </a:graphic>
          </wp:inline>
        </w:drawing>
      </w:r>
    </w:p>
    <w:p w14:paraId="7A23922A">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highlight w:val="none"/>
        </w:rPr>
      </w:pPr>
      <w:r>
        <w:rPr>
          <w:color w:val="auto"/>
          <w:sz w:val="24"/>
          <w:szCs w:val="24"/>
          <w:highlight w:val="none"/>
        </w:rPr>
        <w:t>式中：L</w:t>
      </w:r>
      <w:r>
        <w:rPr>
          <w:color w:val="auto"/>
          <w:sz w:val="24"/>
          <w:szCs w:val="24"/>
          <w:highlight w:val="none"/>
          <w:vertAlign w:val="subscript"/>
        </w:rPr>
        <w:t>p1</w:t>
      </w:r>
      <w:r>
        <w:rPr>
          <w:color w:val="auto"/>
          <w:sz w:val="24"/>
          <w:szCs w:val="24"/>
          <w:highlight w:val="none"/>
        </w:rPr>
        <w:t>——靠近开口处（或窗户）室内某倍频带的声压级或A声级，dB；</w:t>
      </w:r>
    </w:p>
    <w:p w14:paraId="1C8EE8A6">
      <w:pPr>
        <w:keepNext w:val="0"/>
        <w:keepLines w:val="0"/>
        <w:pageBreakBefore w:val="0"/>
        <w:widowControl w:val="0"/>
        <w:kinsoku/>
        <w:wordWrap/>
        <w:overflowPunct/>
        <w:topLinePunct w:val="0"/>
        <w:autoSpaceDE/>
        <w:autoSpaceDN/>
        <w:bidi w:val="0"/>
        <w:snapToGrid/>
        <w:spacing w:line="360" w:lineRule="auto"/>
        <w:ind w:firstLine="1200" w:firstLineChars="500"/>
        <w:jc w:val="left"/>
        <w:rPr>
          <w:color w:val="auto"/>
          <w:sz w:val="24"/>
          <w:szCs w:val="24"/>
          <w:highlight w:val="none"/>
        </w:rPr>
      </w:pPr>
      <w:r>
        <w:rPr>
          <w:color w:val="auto"/>
          <w:sz w:val="24"/>
          <w:szCs w:val="24"/>
          <w:highlight w:val="none"/>
        </w:rPr>
        <w:t>Lw——点声源声功率级（A计权或倍频带），dB；</w:t>
      </w:r>
    </w:p>
    <w:p w14:paraId="3B2C7C4B">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highlight w:val="none"/>
        </w:rPr>
      </w:pPr>
      <w:r>
        <w:rPr>
          <w:color w:val="auto"/>
          <w:sz w:val="24"/>
          <w:szCs w:val="24"/>
          <w:highlight w:val="none"/>
        </w:rPr>
        <w:t>Q——指向性因数；通常对无指向性声源，当声源放在房间中心时，Q=1；当放在一面墙的中心时，Q=2；当放在两面墙夹角处时，Q=4；当放在三面墙夹角处时，Q=8；</w:t>
      </w:r>
    </w:p>
    <w:p w14:paraId="14884B63">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highlight w:val="none"/>
        </w:rPr>
      </w:pPr>
      <w:r>
        <w:rPr>
          <w:color w:val="auto"/>
          <w:sz w:val="24"/>
          <w:szCs w:val="24"/>
          <w:highlight w:val="none"/>
        </w:rPr>
        <w:t>R——房间常数；</w:t>
      </w:r>
      <w:r>
        <w:rPr>
          <w:rFonts w:hint="default" w:ascii="Times New Roman" w:hAnsi="Times New Roman" w:eastAsia="宋体" w:cs="Times New Roman"/>
          <w:color w:val="auto"/>
          <w:sz w:val="24"/>
          <w:szCs w:val="24"/>
          <w:highlight w:val="none"/>
          <w:vertAlign w:val="baseline"/>
          <w:lang w:val="en-US" w:eastAsia="zh-CN"/>
        </w:rPr>
        <w:t>S</w:t>
      </w:r>
      <w:r>
        <w:rPr>
          <w:rFonts w:hint="default" w:ascii="Times New Roman" w:hAnsi="Times New Roman" w:eastAsia="宋体" w:cs="Times New Roman"/>
          <w:color w:val="auto"/>
          <w:sz w:val="24"/>
          <w:szCs w:val="24"/>
          <w:highlight w:val="none"/>
          <w:vertAlign w:val="baseline"/>
        </w:rPr>
        <w:t>α</w:t>
      </w:r>
      <w:r>
        <w:rPr>
          <w:rFonts w:hint="default" w:ascii="Times New Roman" w:hAnsi="Times New Roman" w:eastAsia="宋体" w:cs="Times New Roman"/>
          <w:color w:val="auto"/>
          <w:sz w:val="24"/>
          <w:szCs w:val="24"/>
          <w:highlight w:val="none"/>
          <w:vertAlign w:val="baseline"/>
          <w:lang w:val="en-US" w:eastAsia="zh-CN"/>
        </w:rPr>
        <w:t>/（1-</w:t>
      </w:r>
      <w:r>
        <w:rPr>
          <w:rFonts w:hint="default" w:ascii="Times New Roman" w:hAnsi="Times New Roman" w:eastAsia="宋体" w:cs="Times New Roman"/>
          <w:color w:val="auto"/>
          <w:sz w:val="24"/>
          <w:szCs w:val="24"/>
          <w:highlight w:val="none"/>
          <w:vertAlign w:val="baseline"/>
        </w:rPr>
        <w:t>α</w:t>
      </w:r>
      <w:r>
        <w:rPr>
          <w:rFonts w:hint="default" w:ascii="Times New Roman" w:hAnsi="Times New Roman" w:eastAsia="宋体" w:cs="Times New Roman"/>
          <w:color w:val="auto"/>
          <w:sz w:val="24"/>
          <w:szCs w:val="24"/>
          <w:highlight w:val="none"/>
          <w:vertAlign w:val="baseline"/>
          <w:lang w:val="en-US" w:eastAsia="zh-CN"/>
        </w:rPr>
        <w:t>）</w:t>
      </w:r>
      <w:r>
        <w:rPr>
          <w:color w:val="auto"/>
          <w:sz w:val="24"/>
          <w:szCs w:val="24"/>
          <w:highlight w:val="none"/>
        </w:rPr>
        <w:t>，S为房间内表面面积，m</w:t>
      </w:r>
      <w:r>
        <w:rPr>
          <w:color w:val="auto"/>
          <w:sz w:val="24"/>
          <w:szCs w:val="24"/>
          <w:highlight w:val="none"/>
          <w:vertAlign w:val="superscript"/>
        </w:rPr>
        <w:t>2</w:t>
      </w:r>
      <w:r>
        <w:rPr>
          <w:color w:val="auto"/>
          <w:sz w:val="24"/>
          <w:szCs w:val="24"/>
          <w:highlight w:val="none"/>
        </w:rPr>
        <w:t>；α为平均吸声系数；</w:t>
      </w:r>
    </w:p>
    <w:p w14:paraId="0D7C21B0">
      <w:pPr>
        <w:keepNext w:val="0"/>
        <w:keepLines w:val="0"/>
        <w:pageBreakBefore w:val="0"/>
        <w:widowControl w:val="0"/>
        <w:kinsoku/>
        <w:wordWrap/>
        <w:overflowPunct/>
        <w:topLinePunct w:val="0"/>
        <w:autoSpaceDE/>
        <w:autoSpaceDN/>
        <w:bidi w:val="0"/>
        <w:snapToGrid/>
        <w:spacing w:line="360" w:lineRule="auto"/>
        <w:ind w:firstLine="480" w:firstLineChars="200"/>
        <w:jc w:val="left"/>
        <w:rPr>
          <w:color w:val="auto"/>
          <w:sz w:val="24"/>
          <w:szCs w:val="24"/>
          <w:highlight w:val="none"/>
        </w:rPr>
      </w:pPr>
      <w:r>
        <w:rPr>
          <w:color w:val="auto"/>
          <w:sz w:val="24"/>
          <w:szCs w:val="24"/>
          <w:highlight w:val="none"/>
        </w:rPr>
        <w:t>r——声源到靠近围护结构某点处的距离，m。</w:t>
      </w:r>
    </w:p>
    <w:p w14:paraId="2BCAB06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计算出所有室内声源在围护结构处产生的i倍频带叠加声压级：</w:t>
      </w:r>
    </w:p>
    <w:p w14:paraId="184C869F">
      <w:pPr>
        <w:pStyle w:val="224"/>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highlight w:val="none"/>
        </w:rPr>
      </w:pPr>
      <w:r>
        <w:rPr>
          <w:color w:val="auto"/>
          <w:sz w:val="24"/>
          <w:szCs w:val="24"/>
          <w:highlight w:val="none"/>
        </w:rPr>
        <w:drawing>
          <wp:inline distT="0" distB="0" distL="114300" distR="114300">
            <wp:extent cx="1812925" cy="523240"/>
            <wp:effectExtent l="0" t="0" r="15875" b="10160"/>
            <wp:docPr id="580" name="图片 753" descr="E:\聊天软件\微信\WeChat Files\wxid_2677646775512\FileStorage\Temp\1700192789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753" descr="E:\聊天软件\微信\WeChat Files\wxid_2677646775512\FileStorage\Temp\1700192789650.png"/>
                    <pic:cNvPicPr>
                      <a:picLocks noChangeAspect="1"/>
                    </pic:cNvPicPr>
                  </pic:nvPicPr>
                  <pic:blipFill>
                    <a:blip r:embed="rId71"/>
                    <a:stretch>
                      <a:fillRect/>
                    </a:stretch>
                  </pic:blipFill>
                  <pic:spPr>
                    <a:xfrm>
                      <a:off x="0" y="0"/>
                      <a:ext cx="1812925" cy="523240"/>
                    </a:xfrm>
                    <a:prstGeom prst="rect">
                      <a:avLst/>
                    </a:prstGeom>
                    <a:noFill/>
                    <a:ln>
                      <a:noFill/>
                    </a:ln>
                  </pic:spPr>
                </pic:pic>
              </a:graphicData>
            </a:graphic>
          </wp:inline>
        </w:drawing>
      </w:r>
    </w:p>
    <w:p w14:paraId="0E4F3E3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式中：L</w:t>
      </w:r>
      <w:r>
        <w:rPr>
          <w:color w:val="auto"/>
          <w:sz w:val="24"/>
          <w:szCs w:val="24"/>
          <w:highlight w:val="none"/>
          <w:vertAlign w:val="subscript"/>
        </w:rPr>
        <w:t>p</w:t>
      </w:r>
      <w:r>
        <w:rPr>
          <w:rFonts w:hint="eastAsia"/>
          <w:color w:val="auto"/>
          <w:sz w:val="24"/>
          <w:szCs w:val="24"/>
          <w:highlight w:val="none"/>
          <w:vertAlign w:val="subscript"/>
        </w:rPr>
        <w:t>l</w:t>
      </w:r>
      <w:r>
        <w:rPr>
          <w:color w:val="auto"/>
          <w:sz w:val="24"/>
          <w:szCs w:val="24"/>
          <w:highlight w:val="none"/>
          <w:vertAlign w:val="subscript"/>
        </w:rPr>
        <w:t>i</w:t>
      </w:r>
      <w:r>
        <w:rPr>
          <w:rFonts w:hint="eastAsia"/>
          <w:color w:val="auto"/>
          <w:sz w:val="24"/>
          <w:szCs w:val="24"/>
          <w:highlight w:val="none"/>
        </w:rPr>
        <w:t>（</w:t>
      </w:r>
      <w:r>
        <w:rPr>
          <w:color w:val="auto"/>
          <w:sz w:val="24"/>
          <w:szCs w:val="24"/>
          <w:highlight w:val="none"/>
        </w:rPr>
        <w:t>T</w:t>
      </w:r>
      <w:r>
        <w:rPr>
          <w:rFonts w:hint="eastAsia"/>
          <w:color w:val="auto"/>
          <w:sz w:val="24"/>
          <w:szCs w:val="24"/>
          <w:highlight w:val="none"/>
          <w:lang w:eastAsia="zh-CN"/>
        </w:rPr>
        <w:t>）</w:t>
      </w:r>
      <w:r>
        <w:rPr>
          <w:color w:val="auto"/>
          <w:sz w:val="24"/>
          <w:szCs w:val="24"/>
          <w:highlight w:val="none"/>
        </w:rPr>
        <w:t>——靠近围护结构处室内N个声源i倍频带的叠加声压级，dB；</w:t>
      </w:r>
    </w:p>
    <w:p w14:paraId="36FC9AD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L</w:t>
      </w:r>
      <w:r>
        <w:rPr>
          <w:color w:val="auto"/>
          <w:sz w:val="24"/>
          <w:szCs w:val="24"/>
          <w:highlight w:val="none"/>
          <w:vertAlign w:val="subscript"/>
        </w:rPr>
        <w:t>p1ij</w:t>
      </w:r>
      <w:r>
        <w:rPr>
          <w:color w:val="auto"/>
          <w:sz w:val="24"/>
          <w:szCs w:val="24"/>
          <w:highlight w:val="none"/>
        </w:rPr>
        <w:t>——室内j声源i倍频带的声压级，dB；</w:t>
      </w:r>
    </w:p>
    <w:p w14:paraId="661F737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N——室内声源总数。</w:t>
      </w:r>
    </w:p>
    <w:p w14:paraId="4CAAF88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在室内近似为扩散声场时，按式计算出靠近室外围护结构处的声压级：</w:t>
      </w:r>
    </w:p>
    <w:p w14:paraId="66E7632E">
      <w:pPr>
        <w:pStyle w:val="224"/>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highlight w:val="none"/>
        </w:rPr>
      </w:pPr>
      <w:r>
        <w:rPr>
          <w:color w:val="auto"/>
          <w:sz w:val="24"/>
          <w:szCs w:val="24"/>
          <w:highlight w:val="none"/>
        </w:rPr>
        <w:drawing>
          <wp:inline distT="0" distB="0" distL="114300" distR="114300">
            <wp:extent cx="1905000" cy="268605"/>
            <wp:effectExtent l="0" t="0" r="0" b="17145"/>
            <wp:docPr id="581" name="图片 139" descr="E:\聊天软件\微信\WeChat Files\wxid_2677646775512\FileStorage\Temp\17001930627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139" descr="E:\聊天软件\微信\WeChat Files\wxid_2677646775512\FileStorage\Temp\1700193062795.png"/>
                    <pic:cNvPicPr>
                      <a:picLocks noChangeAspect="1"/>
                    </pic:cNvPicPr>
                  </pic:nvPicPr>
                  <pic:blipFill>
                    <a:blip r:embed="rId72"/>
                    <a:stretch>
                      <a:fillRect/>
                    </a:stretch>
                  </pic:blipFill>
                  <pic:spPr>
                    <a:xfrm>
                      <a:off x="0" y="0"/>
                      <a:ext cx="1905000" cy="268605"/>
                    </a:xfrm>
                    <a:prstGeom prst="rect">
                      <a:avLst/>
                    </a:prstGeom>
                    <a:noFill/>
                    <a:ln>
                      <a:noFill/>
                    </a:ln>
                  </pic:spPr>
                </pic:pic>
              </a:graphicData>
            </a:graphic>
          </wp:inline>
        </w:drawing>
      </w:r>
    </w:p>
    <w:p w14:paraId="1C8B6EE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式中：L</w:t>
      </w:r>
      <w:r>
        <w:rPr>
          <w:color w:val="auto"/>
          <w:sz w:val="24"/>
          <w:szCs w:val="24"/>
          <w:highlight w:val="none"/>
          <w:vertAlign w:val="subscript"/>
        </w:rPr>
        <w:t>p2i</w:t>
      </w:r>
      <w:r>
        <w:rPr>
          <w:rFonts w:hint="eastAsia"/>
          <w:color w:val="auto"/>
          <w:sz w:val="24"/>
          <w:szCs w:val="24"/>
          <w:highlight w:val="none"/>
        </w:rPr>
        <w:t>（</w:t>
      </w:r>
      <w:r>
        <w:rPr>
          <w:color w:val="auto"/>
          <w:sz w:val="24"/>
          <w:szCs w:val="24"/>
          <w:highlight w:val="none"/>
        </w:rPr>
        <w:t>T</w:t>
      </w:r>
      <w:r>
        <w:rPr>
          <w:rFonts w:hint="eastAsia"/>
          <w:color w:val="auto"/>
          <w:sz w:val="24"/>
          <w:szCs w:val="24"/>
          <w:highlight w:val="none"/>
        </w:rPr>
        <w:t>）</w:t>
      </w:r>
      <w:r>
        <w:rPr>
          <w:color w:val="auto"/>
          <w:sz w:val="24"/>
          <w:szCs w:val="24"/>
          <w:highlight w:val="none"/>
        </w:rPr>
        <w:t>——靠近围护结构处室外N个声源i倍频带的叠加声压级，dB；</w:t>
      </w:r>
    </w:p>
    <w:p w14:paraId="1B0091B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L</w:t>
      </w:r>
      <w:r>
        <w:rPr>
          <w:color w:val="auto"/>
          <w:sz w:val="24"/>
          <w:szCs w:val="24"/>
          <w:highlight w:val="none"/>
          <w:vertAlign w:val="subscript"/>
        </w:rPr>
        <w:t>p1i</w:t>
      </w:r>
      <w:r>
        <w:rPr>
          <w:rFonts w:hint="eastAsia"/>
          <w:color w:val="auto"/>
          <w:sz w:val="24"/>
          <w:szCs w:val="24"/>
          <w:highlight w:val="none"/>
        </w:rPr>
        <w:t>（</w:t>
      </w:r>
      <w:r>
        <w:rPr>
          <w:color w:val="auto"/>
          <w:sz w:val="24"/>
          <w:szCs w:val="24"/>
          <w:highlight w:val="none"/>
        </w:rPr>
        <w:t>T</w:t>
      </w:r>
      <w:r>
        <w:rPr>
          <w:rFonts w:hint="eastAsia"/>
          <w:color w:val="auto"/>
          <w:sz w:val="24"/>
          <w:szCs w:val="24"/>
          <w:highlight w:val="none"/>
          <w:lang w:eastAsia="zh-CN"/>
        </w:rPr>
        <w:t>）</w:t>
      </w:r>
      <w:r>
        <w:rPr>
          <w:color w:val="auto"/>
          <w:sz w:val="24"/>
          <w:szCs w:val="24"/>
          <w:highlight w:val="none"/>
        </w:rPr>
        <w:t>——靠近围护结构处室内N个声源i倍频带的叠加声压级，dB；</w:t>
      </w:r>
    </w:p>
    <w:p w14:paraId="2EE28AF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TL</w:t>
      </w:r>
      <w:r>
        <w:rPr>
          <w:color w:val="auto"/>
          <w:sz w:val="24"/>
          <w:szCs w:val="24"/>
          <w:highlight w:val="none"/>
          <w:vertAlign w:val="subscript"/>
        </w:rPr>
        <w:t>i</w:t>
      </w:r>
      <w:r>
        <w:rPr>
          <w:color w:val="auto"/>
          <w:sz w:val="24"/>
          <w:szCs w:val="24"/>
          <w:highlight w:val="none"/>
        </w:rPr>
        <w:t>——围护结构i倍频带的隔声量，dB。</w:t>
      </w:r>
    </w:p>
    <w:p w14:paraId="03FD3D0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将室外声源的声压级和透过面积换算成等效的室外声源，计算出中心位置位于透声面积（S）处的等效声源的倍频带声功率级。</w:t>
      </w:r>
    </w:p>
    <w:p w14:paraId="4CA4BF0E">
      <w:pPr>
        <w:pStyle w:val="224"/>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highlight w:val="none"/>
        </w:rPr>
      </w:pPr>
      <w:r>
        <w:rPr>
          <w:color w:val="auto"/>
          <w:sz w:val="24"/>
          <w:szCs w:val="24"/>
          <w:highlight w:val="none"/>
        </w:rPr>
        <w:drawing>
          <wp:inline distT="0" distB="0" distL="114300" distR="114300">
            <wp:extent cx="1581785" cy="327025"/>
            <wp:effectExtent l="0" t="0" r="18415" b="15875"/>
            <wp:docPr id="582" name="图片 141" descr="E:\聊天软件\微信\WeChat Files\wxid_2677646775512\FileStorage\Temp\1700193049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141" descr="E:\聊天软件\微信\WeChat Files\wxid_2677646775512\FileStorage\Temp\1700193049068.png"/>
                    <pic:cNvPicPr>
                      <a:picLocks noChangeAspect="1"/>
                    </pic:cNvPicPr>
                  </pic:nvPicPr>
                  <pic:blipFill>
                    <a:blip r:embed="rId73"/>
                    <a:stretch>
                      <a:fillRect/>
                    </a:stretch>
                  </pic:blipFill>
                  <pic:spPr>
                    <a:xfrm>
                      <a:off x="0" y="0"/>
                      <a:ext cx="1581785" cy="327025"/>
                    </a:xfrm>
                    <a:prstGeom prst="rect">
                      <a:avLst/>
                    </a:prstGeom>
                    <a:noFill/>
                    <a:ln>
                      <a:noFill/>
                    </a:ln>
                  </pic:spPr>
                </pic:pic>
              </a:graphicData>
            </a:graphic>
          </wp:inline>
        </w:drawing>
      </w:r>
    </w:p>
    <w:p w14:paraId="320A7A2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式中：Lw——中心位置位于透声面积（S）处的等效声源的倍频带声功率级，dB；</w:t>
      </w:r>
    </w:p>
    <w:p w14:paraId="5BBCA55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L</w:t>
      </w:r>
      <w:r>
        <w:rPr>
          <w:color w:val="auto"/>
          <w:sz w:val="24"/>
          <w:szCs w:val="24"/>
          <w:highlight w:val="none"/>
          <w:vertAlign w:val="subscript"/>
        </w:rPr>
        <w:t>p2</w:t>
      </w:r>
      <w:r>
        <w:rPr>
          <w:rFonts w:hint="eastAsia"/>
          <w:color w:val="auto"/>
          <w:sz w:val="24"/>
          <w:szCs w:val="24"/>
          <w:highlight w:val="none"/>
        </w:rPr>
        <w:t>（</w:t>
      </w:r>
      <w:r>
        <w:rPr>
          <w:color w:val="auto"/>
          <w:sz w:val="24"/>
          <w:szCs w:val="24"/>
          <w:highlight w:val="none"/>
        </w:rPr>
        <w:t>T</w:t>
      </w:r>
      <w:r>
        <w:rPr>
          <w:rFonts w:hint="eastAsia"/>
          <w:color w:val="auto"/>
          <w:sz w:val="24"/>
          <w:szCs w:val="24"/>
          <w:highlight w:val="none"/>
        </w:rPr>
        <w:t>）</w:t>
      </w:r>
      <w:r>
        <w:rPr>
          <w:color w:val="auto"/>
          <w:sz w:val="24"/>
          <w:szCs w:val="24"/>
          <w:highlight w:val="none"/>
        </w:rPr>
        <w:t>——靠近围护结构处室外声源的声压级，dB；</w:t>
      </w:r>
    </w:p>
    <w:p w14:paraId="5E260C1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S——透声面积，m</w:t>
      </w:r>
      <w:r>
        <w:rPr>
          <w:color w:val="auto"/>
          <w:sz w:val="24"/>
          <w:szCs w:val="24"/>
          <w:highlight w:val="none"/>
          <w:vertAlign w:val="superscript"/>
        </w:rPr>
        <w:t>2</w:t>
      </w:r>
      <w:r>
        <w:rPr>
          <w:color w:val="auto"/>
          <w:sz w:val="24"/>
          <w:szCs w:val="24"/>
          <w:highlight w:val="none"/>
        </w:rPr>
        <w:t>。</w:t>
      </w:r>
    </w:p>
    <w:p w14:paraId="182D7B3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color w:val="auto"/>
          <w:sz w:val="24"/>
          <w:szCs w:val="24"/>
          <w:highlight w:val="none"/>
        </w:rPr>
        <w:t>然后按室外声源预测方法计算预测点处的A声级。</w:t>
      </w:r>
      <w:r>
        <w:rPr>
          <w:rFonts w:hint="eastAsia"/>
          <w:color w:val="auto"/>
          <w:sz w:val="24"/>
          <w:szCs w:val="24"/>
          <w:highlight w:val="none"/>
        </w:rPr>
        <w:t>室外声源处于半自由声场情况下，且声源可看作是位于地面上的，则：</w:t>
      </w:r>
    </w:p>
    <w:p w14:paraId="76576FBA">
      <w:pPr>
        <w:pStyle w:val="224"/>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highlight w:val="none"/>
        </w:rPr>
      </w:pPr>
      <w:r>
        <w:rPr>
          <w:color w:val="auto"/>
          <w:sz w:val="24"/>
          <w:szCs w:val="24"/>
          <w:highlight w:val="none"/>
        </w:rPr>
        <w:drawing>
          <wp:inline distT="0" distB="0" distL="114300" distR="114300">
            <wp:extent cx="1333500" cy="276860"/>
            <wp:effectExtent l="0" t="0" r="0" b="8890"/>
            <wp:docPr id="583" name="图片 148" descr="E:\聊天软件\微信\WeChat Files\wxid_2677646775512\FileStorage\Temp\1700193486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148" descr="E:\聊天软件\微信\WeChat Files\wxid_2677646775512\FileStorage\Temp\1700193486167.png"/>
                    <pic:cNvPicPr>
                      <a:picLocks noChangeAspect="1"/>
                    </pic:cNvPicPr>
                  </pic:nvPicPr>
                  <pic:blipFill>
                    <a:blip r:embed="rId74"/>
                    <a:stretch>
                      <a:fillRect/>
                    </a:stretch>
                  </pic:blipFill>
                  <pic:spPr>
                    <a:xfrm>
                      <a:off x="0" y="0"/>
                      <a:ext cx="1333500" cy="276860"/>
                    </a:xfrm>
                    <a:prstGeom prst="rect">
                      <a:avLst/>
                    </a:prstGeom>
                    <a:noFill/>
                    <a:ln>
                      <a:noFill/>
                    </a:ln>
                  </pic:spPr>
                </pic:pic>
              </a:graphicData>
            </a:graphic>
          </wp:inline>
        </w:drawing>
      </w:r>
    </w:p>
    <w:p w14:paraId="6ED78B8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rFonts w:hint="eastAsia"/>
          <w:color w:val="auto"/>
          <w:sz w:val="24"/>
          <w:szCs w:val="24"/>
          <w:highlight w:val="none"/>
        </w:rPr>
        <w:t>式中：r点声源到受声点的距离，m。</w:t>
      </w:r>
    </w:p>
    <w:p w14:paraId="7E1563D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rFonts w:hint="eastAsia"/>
          <w:color w:val="auto"/>
          <w:sz w:val="24"/>
          <w:szCs w:val="24"/>
          <w:highlight w:val="none"/>
        </w:rPr>
        <w:t>倍频带声压级和A声级转换：</w:t>
      </w:r>
    </w:p>
    <w:p w14:paraId="0434093F">
      <w:pPr>
        <w:pStyle w:val="224"/>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highlight w:val="none"/>
        </w:rPr>
      </w:pPr>
      <w:r>
        <w:rPr>
          <w:color w:val="auto"/>
          <w:sz w:val="24"/>
          <w:szCs w:val="24"/>
          <w:highlight w:val="none"/>
        </w:rPr>
        <w:drawing>
          <wp:inline distT="0" distB="0" distL="114300" distR="114300">
            <wp:extent cx="1762125" cy="461645"/>
            <wp:effectExtent l="0" t="0" r="9525" b="14605"/>
            <wp:docPr id="584" name="图片 130" descr="E:\聊天软件\微信\WeChat Files\wxid_2677646775512\FileStorage\Temp\17001935821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130" descr="E:\聊天软件\微信\WeChat Files\wxid_2677646775512\FileStorage\Temp\1700193582198(1).png"/>
                    <pic:cNvPicPr>
                      <a:picLocks noChangeAspect="1"/>
                    </pic:cNvPicPr>
                  </pic:nvPicPr>
                  <pic:blipFill>
                    <a:blip r:embed="rId75"/>
                    <a:stretch>
                      <a:fillRect/>
                    </a:stretch>
                  </pic:blipFill>
                  <pic:spPr>
                    <a:xfrm>
                      <a:off x="0" y="0"/>
                      <a:ext cx="1762125" cy="461645"/>
                    </a:xfrm>
                    <a:prstGeom prst="rect">
                      <a:avLst/>
                    </a:prstGeom>
                    <a:noFill/>
                    <a:ln>
                      <a:noFill/>
                    </a:ln>
                  </pic:spPr>
                </pic:pic>
              </a:graphicData>
            </a:graphic>
          </wp:inline>
        </w:drawing>
      </w:r>
    </w:p>
    <w:p w14:paraId="7DF4DAA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rFonts w:hint="eastAsia"/>
          <w:color w:val="auto"/>
          <w:sz w:val="24"/>
          <w:szCs w:val="24"/>
          <w:highlight w:val="none"/>
        </w:rPr>
        <w:t>运行设备到厂界噪声叠加按照下式计算：</w:t>
      </w:r>
    </w:p>
    <w:p w14:paraId="0CE2545F">
      <w:pPr>
        <w:pStyle w:val="224"/>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color w:val="auto"/>
          <w:sz w:val="24"/>
          <w:szCs w:val="24"/>
          <w:highlight w:val="none"/>
        </w:rPr>
      </w:pPr>
      <w:r>
        <w:rPr>
          <w:color w:val="auto"/>
          <w:position w:val="-32"/>
          <w:sz w:val="24"/>
          <w:szCs w:val="24"/>
          <w:highlight w:val="none"/>
        </w:rPr>
        <w:object>
          <v:shape id="_x0000_i1028" o:spt="75" type="#_x0000_t75" style="height:37.9pt;width:196.9pt;" o:ole="t" filled="f" o:preferrelative="t" stroked="f" coordsize="21600,21600">
            <v:path/>
            <v:fill on="f" focussize="0,0"/>
            <v:stroke on="f" joinstyle="miter"/>
            <v:imagedata r:id="rId77" o:title=""/>
            <o:lock v:ext="edit" aspectratio="t"/>
            <w10:wrap type="none"/>
            <w10:anchorlock/>
          </v:shape>
          <o:OLEObject Type="Embed" ProgID="Equation.DSMT4" ShapeID="_x0000_i1028" DrawAspect="Content" ObjectID="_1468075728" r:id="rId76">
            <o:LockedField>false</o:LockedField>
          </o:OLEObject>
        </w:object>
      </w:r>
    </w:p>
    <w:p w14:paraId="08D3574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color w:val="auto"/>
          <w:sz w:val="24"/>
          <w:szCs w:val="24"/>
          <w:highlight w:val="none"/>
        </w:rPr>
      </w:pPr>
      <w:r>
        <w:rPr>
          <w:rFonts w:hint="eastAsia"/>
          <w:color w:val="auto"/>
          <w:sz w:val="24"/>
          <w:szCs w:val="24"/>
          <w:highlight w:val="none"/>
        </w:rPr>
        <w:t>式中：Leqg--建设项目声源在预测点的等效声级贡献值，dB（A）；</w:t>
      </w:r>
    </w:p>
    <w:p w14:paraId="20CE2BD6">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color w:val="auto"/>
          <w:sz w:val="24"/>
          <w:szCs w:val="24"/>
          <w:highlight w:val="none"/>
        </w:rPr>
      </w:pPr>
      <w:r>
        <w:rPr>
          <w:rFonts w:hint="eastAsia"/>
          <w:color w:val="auto"/>
          <w:sz w:val="24"/>
          <w:szCs w:val="24"/>
          <w:highlight w:val="none"/>
        </w:rPr>
        <w:t>L</w:t>
      </w:r>
      <w:r>
        <w:rPr>
          <w:rFonts w:hint="eastAsia"/>
          <w:color w:val="auto"/>
          <w:sz w:val="24"/>
          <w:szCs w:val="24"/>
          <w:highlight w:val="none"/>
          <w:vertAlign w:val="subscript"/>
        </w:rPr>
        <w:t>Ai</w:t>
      </w:r>
      <w:r>
        <w:rPr>
          <w:rFonts w:hint="eastAsia"/>
          <w:color w:val="auto"/>
          <w:sz w:val="24"/>
          <w:szCs w:val="24"/>
          <w:highlight w:val="none"/>
        </w:rPr>
        <w:t>室外i声源在预测点产生的A声级，dB（A）；</w:t>
      </w:r>
    </w:p>
    <w:p w14:paraId="648A04F7">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color w:val="auto"/>
          <w:sz w:val="24"/>
          <w:szCs w:val="24"/>
          <w:highlight w:val="none"/>
        </w:rPr>
      </w:pPr>
      <w:r>
        <w:rPr>
          <w:rFonts w:hint="eastAsia"/>
          <w:color w:val="auto"/>
          <w:sz w:val="24"/>
          <w:szCs w:val="24"/>
          <w:highlight w:val="none"/>
        </w:rPr>
        <w:t>t-等效室外声源在T时间内j声源工作时间，s;</w:t>
      </w:r>
    </w:p>
    <w:p w14:paraId="0103267D">
      <w:pPr>
        <w:keepNext w:val="0"/>
        <w:keepLines w:val="0"/>
        <w:pageBreakBefore w:val="0"/>
        <w:widowControl w:val="0"/>
        <w:kinsoku/>
        <w:wordWrap/>
        <w:overflowPunct/>
        <w:topLinePunct w:val="0"/>
        <w:autoSpaceDE/>
        <w:autoSpaceDN/>
        <w:bidi w:val="0"/>
        <w:adjustRightInd/>
        <w:snapToGrid/>
        <w:spacing w:line="360" w:lineRule="auto"/>
        <w:ind w:firstLine="1200" w:firstLineChars="500"/>
        <w:jc w:val="left"/>
        <w:rPr>
          <w:color w:val="auto"/>
          <w:sz w:val="24"/>
          <w:szCs w:val="24"/>
          <w:highlight w:val="none"/>
        </w:rPr>
      </w:pPr>
      <w:r>
        <w:rPr>
          <w:rFonts w:hint="eastAsia"/>
          <w:color w:val="auto"/>
          <w:sz w:val="24"/>
          <w:szCs w:val="24"/>
          <w:highlight w:val="none"/>
        </w:rPr>
        <w:t>t</w:t>
      </w:r>
      <w:r>
        <w:rPr>
          <w:rFonts w:hint="eastAsia"/>
          <w:color w:val="auto"/>
          <w:sz w:val="24"/>
          <w:szCs w:val="24"/>
          <w:highlight w:val="none"/>
          <w:vertAlign w:val="subscript"/>
        </w:rPr>
        <w:t>i</w:t>
      </w:r>
      <w:r>
        <w:rPr>
          <w:rFonts w:hint="eastAsia"/>
          <w:color w:val="auto"/>
          <w:sz w:val="24"/>
          <w:szCs w:val="24"/>
          <w:highlight w:val="none"/>
        </w:rPr>
        <w:t>-室外声源在T时间内i声源工作时间，s；</w:t>
      </w:r>
    </w:p>
    <w:p w14:paraId="693F887B">
      <w:pPr>
        <w:numPr>
          <w:ilvl w:val="0"/>
          <w:numId w:val="3"/>
        </w:numPr>
        <w:ind w:firstLine="1200" w:firstLineChars="500"/>
        <w:rPr>
          <w:rFonts w:hint="eastAsia"/>
          <w:color w:val="auto"/>
          <w:sz w:val="24"/>
          <w:szCs w:val="24"/>
          <w:highlight w:val="none"/>
        </w:rPr>
      </w:pPr>
      <w:r>
        <w:rPr>
          <w:rFonts w:hint="eastAsia"/>
          <w:color w:val="auto"/>
          <w:sz w:val="24"/>
          <w:szCs w:val="24"/>
          <w:highlight w:val="none"/>
        </w:rPr>
        <w:t>-用于计算等效声级的时间，s；</w:t>
      </w:r>
    </w:p>
    <w:p w14:paraId="4504BA1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（2）项目采取的噪声控制措施</w:t>
      </w:r>
    </w:p>
    <w:p w14:paraId="4FB2875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ascii="Times New Roman" w:hAnsi="Times New Roman" w:eastAsia="宋体" w:cs="Times New Roman"/>
          <w:color w:val="auto"/>
          <w:sz w:val="24"/>
          <w:szCs w:val="24"/>
          <w:highlight w:val="none"/>
        </w:rPr>
        <w:t>1）在高噪声设备机器底面安装垫木或者橡胶减振垫，用地脚螺栓固定，减小设备运行时的振动和振动引起的噪声。</w:t>
      </w:r>
      <w:r>
        <w:rPr>
          <w:rFonts w:hint="eastAsia" w:ascii="Times New Roman" w:hAnsi="Times New Roman" w:eastAsia="宋体" w:cs="Times New Roman"/>
          <w:color w:val="auto"/>
          <w:sz w:val="24"/>
          <w:szCs w:val="24"/>
          <w:highlight w:val="none"/>
          <w:lang w:val="en-US" w:eastAsia="zh-CN"/>
        </w:rPr>
        <w:t>项目使用的油泵等设备置于地下安装方式。</w:t>
      </w:r>
    </w:p>
    <w:p w14:paraId="7FD2B77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2）选用低噪声设备，针对</w:t>
      </w:r>
      <w:r>
        <w:rPr>
          <w:rFonts w:hint="default" w:ascii="Times New Roman" w:hAnsi="Times New Roman" w:eastAsia="宋体" w:cs="Times New Roman"/>
          <w:color w:val="auto"/>
          <w:sz w:val="24"/>
          <w:szCs w:val="24"/>
          <w:highlight w:val="none"/>
        </w:rPr>
        <w:t>制氢生产线制氢装置、氢气纯化系统、氢气汇流排氢气压缩机</w:t>
      </w:r>
      <w:r>
        <w:rPr>
          <w:rFonts w:hint="eastAsia" w:ascii="Times New Roman" w:hAnsi="Times New Roman" w:eastAsia="宋体" w:cs="Times New Roman"/>
          <w:color w:val="auto"/>
          <w:sz w:val="24"/>
          <w:szCs w:val="24"/>
          <w:highlight w:val="none"/>
        </w:rPr>
        <w:t>等设备采取安装减振垫措施、风机安装隔声罩，空压机位于独立封闭空压机房内经过隔声消减噪声，厂区四周设置围墙。</w:t>
      </w:r>
    </w:p>
    <w:p w14:paraId="5787484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3）强化生产管理，加强设备维护保养，维持设备处于良好的运转状态，避免设备运转不正常时噪声增大。</w:t>
      </w:r>
    </w:p>
    <w:p w14:paraId="034BCCF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rPr>
          <w:rFonts w:ascii="Times New Roman" w:hAnsi="Times New Roman" w:eastAsia="宋体" w:cs="Times New Roman"/>
          <w:color w:val="auto"/>
          <w:sz w:val="24"/>
          <w:szCs w:val="24"/>
          <w:highlight w:val="none"/>
          <w:lang w:val="en-US" w:eastAsia="zh-CN"/>
        </w:rPr>
      </w:pPr>
      <w:r>
        <w:rPr>
          <w:rFonts w:ascii="Times New Roman" w:hAnsi="Times New Roman" w:eastAsia="宋体" w:cs="Times New Roman"/>
          <w:color w:val="auto"/>
          <w:sz w:val="24"/>
          <w:szCs w:val="24"/>
          <w:highlight w:val="none"/>
          <w:lang w:val="en-US" w:eastAsia="zh-CN"/>
        </w:rPr>
        <w:t>4）在总图布置上采用</w:t>
      </w:r>
      <w:r>
        <w:rPr>
          <w:rFonts w:hint="eastAsia" w:cs="Times New Roman"/>
          <w:color w:val="auto"/>
          <w:sz w:val="24"/>
          <w:szCs w:val="24"/>
          <w:highlight w:val="none"/>
          <w:lang w:val="en-US" w:eastAsia="zh-CN"/>
        </w:rPr>
        <w:t>“</w:t>
      </w:r>
      <w:r>
        <w:rPr>
          <w:rFonts w:ascii="Times New Roman" w:hAnsi="Times New Roman" w:eastAsia="宋体" w:cs="Times New Roman"/>
          <w:color w:val="auto"/>
          <w:sz w:val="24"/>
          <w:szCs w:val="24"/>
          <w:highlight w:val="none"/>
          <w:lang w:val="en-US" w:eastAsia="zh-CN"/>
        </w:rPr>
        <w:t>闹静分开</w:t>
      </w:r>
      <w:r>
        <w:rPr>
          <w:rFonts w:hint="eastAsia" w:cs="Times New Roman"/>
          <w:color w:val="auto"/>
          <w:sz w:val="24"/>
          <w:szCs w:val="24"/>
          <w:highlight w:val="none"/>
          <w:lang w:val="en-US" w:eastAsia="zh-CN"/>
        </w:rPr>
        <w:t>”</w:t>
      </w:r>
      <w:r>
        <w:rPr>
          <w:rFonts w:ascii="Times New Roman" w:hAnsi="Times New Roman" w:eastAsia="宋体" w:cs="Times New Roman"/>
          <w:color w:val="auto"/>
          <w:sz w:val="24"/>
          <w:szCs w:val="24"/>
          <w:highlight w:val="none"/>
          <w:lang w:val="en-US" w:eastAsia="zh-CN"/>
        </w:rPr>
        <w:t>和</w:t>
      </w:r>
      <w:r>
        <w:rPr>
          <w:rFonts w:hint="eastAsia"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合理布局</w:t>
      </w:r>
      <w:r>
        <w:rPr>
          <w:rFonts w:hint="eastAsia" w:cs="Times New Roman"/>
          <w:color w:val="auto"/>
          <w:sz w:val="24"/>
          <w:szCs w:val="24"/>
          <w:highlight w:val="none"/>
          <w:lang w:val="en-US" w:eastAsia="zh-CN"/>
        </w:rPr>
        <w:t>”</w:t>
      </w:r>
      <w:r>
        <w:rPr>
          <w:rFonts w:ascii="Times New Roman" w:hAnsi="Times New Roman" w:eastAsia="宋体" w:cs="Times New Roman"/>
          <w:color w:val="auto"/>
          <w:sz w:val="24"/>
          <w:szCs w:val="24"/>
          <w:highlight w:val="none"/>
          <w:lang w:val="en-US" w:eastAsia="zh-CN"/>
        </w:rPr>
        <w:t>的设计原则，将高噪声设备布置在厂区中心区域。</w:t>
      </w:r>
    </w:p>
    <w:p w14:paraId="2BB2D30C">
      <w:pPr>
        <w:pStyle w:val="5"/>
        <w:rPr>
          <w:color w:val="auto"/>
          <w:highlight w:val="none"/>
        </w:rPr>
      </w:pPr>
      <w:r>
        <w:rPr>
          <w:rFonts w:hint="eastAsia"/>
          <w:color w:val="auto"/>
          <w:highlight w:val="none"/>
          <w:lang w:val="en-US" w:eastAsia="zh-CN"/>
        </w:rPr>
        <w:t>5</w:t>
      </w:r>
      <w:r>
        <w:rPr>
          <w:color w:val="auto"/>
          <w:highlight w:val="none"/>
        </w:rPr>
        <w:t>.2.</w:t>
      </w:r>
      <w:r>
        <w:rPr>
          <w:rFonts w:hint="eastAsia"/>
          <w:color w:val="auto"/>
          <w:highlight w:val="none"/>
          <w:lang w:val="en-US" w:eastAsia="zh-CN"/>
        </w:rPr>
        <w:t>3</w:t>
      </w:r>
      <w:r>
        <w:rPr>
          <w:color w:val="auto"/>
          <w:highlight w:val="none"/>
        </w:rPr>
        <w:t>.</w:t>
      </w:r>
      <w:r>
        <w:rPr>
          <w:rFonts w:hint="eastAsia"/>
          <w:color w:val="auto"/>
          <w:highlight w:val="none"/>
          <w:lang w:val="en-US" w:eastAsia="zh-CN"/>
        </w:rPr>
        <w:t>5</w:t>
      </w:r>
      <w:r>
        <w:rPr>
          <w:rFonts w:hint="eastAsia"/>
          <w:color w:val="auto"/>
          <w:highlight w:val="none"/>
        </w:rPr>
        <w:t>噪声预测</w:t>
      </w:r>
    </w:p>
    <w:p w14:paraId="5BEEAF13">
      <w:pPr>
        <w:keepNext w:val="0"/>
        <w:keepLines w:val="0"/>
        <w:pageBreakBefore w:val="0"/>
        <w:widowControl w:val="0"/>
        <w:kinsoku/>
        <w:wordWrap/>
        <w:overflowPunct/>
        <w:topLinePunct/>
        <w:autoSpaceDE/>
        <w:autoSpaceDN/>
        <w:bidi w:val="0"/>
        <w:adjustRightInd w:val="0"/>
        <w:snapToGrid w:val="0"/>
        <w:spacing w:line="360" w:lineRule="auto"/>
        <w:ind w:firstLine="440" w:firstLineChars="200"/>
        <w:jc w:val="left"/>
        <w:textAlignment w:val="auto"/>
        <w:rPr>
          <w:rFonts w:hint="default" w:ascii="Times New Roman" w:hAnsi="Times New Roman" w:eastAsia="宋体" w:cs="Times New Roman"/>
          <w:bCs/>
          <w:color w:val="auto"/>
          <w:spacing w:val="-10"/>
          <w:sz w:val="24"/>
          <w:szCs w:val="21"/>
          <w:highlight w:val="none"/>
        </w:rPr>
      </w:pPr>
      <w:r>
        <w:rPr>
          <w:rFonts w:hint="default" w:ascii="Times New Roman" w:hAnsi="Times New Roman" w:eastAsia="宋体" w:cs="Times New Roman"/>
          <w:bCs/>
          <w:color w:val="auto"/>
          <w:spacing w:val="-10"/>
          <w:sz w:val="24"/>
          <w:szCs w:val="21"/>
          <w:highlight w:val="none"/>
        </w:rPr>
        <w:t>本项目设备对各厂界噪声影响贡献值预计在</w:t>
      </w:r>
      <w:r>
        <w:rPr>
          <w:rFonts w:hint="default" w:ascii="Times New Roman" w:hAnsi="Times New Roman" w:eastAsia="宋体" w:cs="Times New Roman"/>
          <w:bCs/>
          <w:color w:val="auto"/>
          <w:spacing w:val="-10"/>
          <w:sz w:val="24"/>
          <w:szCs w:val="21"/>
          <w:highlight w:val="none"/>
          <w:lang w:val="en-US" w:eastAsia="zh-CN"/>
        </w:rPr>
        <w:t>13.1</w:t>
      </w:r>
      <w:r>
        <w:rPr>
          <w:rFonts w:hint="default" w:ascii="Times New Roman" w:hAnsi="Times New Roman" w:eastAsia="宋体" w:cs="Times New Roman"/>
          <w:bCs/>
          <w:color w:val="auto"/>
          <w:spacing w:val="-10"/>
          <w:sz w:val="24"/>
          <w:szCs w:val="21"/>
          <w:highlight w:val="none"/>
        </w:rPr>
        <w:t>~</w:t>
      </w:r>
      <w:r>
        <w:rPr>
          <w:rFonts w:hint="default" w:ascii="Times New Roman" w:hAnsi="Times New Roman" w:eastAsia="宋体" w:cs="Times New Roman"/>
          <w:bCs/>
          <w:color w:val="auto"/>
          <w:spacing w:val="-10"/>
          <w:sz w:val="24"/>
          <w:szCs w:val="21"/>
          <w:highlight w:val="none"/>
          <w:lang w:val="en-US" w:eastAsia="zh-CN"/>
        </w:rPr>
        <w:t>46.1</w:t>
      </w:r>
      <w:r>
        <w:rPr>
          <w:rFonts w:hint="default" w:ascii="Times New Roman" w:hAnsi="Times New Roman" w:eastAsia="宋体" w:cs="Times New Roman"/>
          <w:bCs/>
          <w:color w:val="auto"/>
          <w:spacing w:val="-10"/>
          <w:sz w:val="24"/>
          <w:szCs w:val="21"/>
          <w:highlight w:val="none"/>
        </w:rPr>
        <w:t>dB（A）之间，厂界噪声可满足《工业企业厂界环境噪声排放标准》</w:t>
      </w:r>
      <w:r>
        <w:rPr>
          <w:rFonts w:hint="eastAsia" w:cs="Times New Roman"/>
          <w:bCs/>
          <w:color w:val="auto"/>
          <w:spacing w:val="-10"/>
          <w:sz w:val="24"/>
          <w:szCs w:val="21"/>
          <w:highlight w:val="none"/>
          <w:lang w:eastAsia="zh-CN"/>
        </w:rPr>
        <w:t>（</w:t>
      </w:r>
      <w:r>
        <w:rPr>
          <w:rFonts w:hint="default" w:ascii="Times New Roman" w:hAnsi="Times New Roman" w:eastAsia="宋体" w:cs="Times New Roman"/>
          <w:bCs/>
          <w:color w:val="auto"/>
          <w:spacing w:val="-10"/>
          <w:sz w:val="24"/>
          <w:szCs w:val="21"/>
          <w:highlight w:val="none"/>
        </w:rPr>
        <w:t>GB12348-2008</w:t>
      </w:r>
      <w:r>
        <w:rPr>
          <w:rFonts w:hint="default" w:ascii="Times New Roman" w:hAnsi="Times New Roman" w:eastAsia="宋体" w:cs="Times New Roman"/>
          <w:bCs/>
          <w:color w:val="auto"/>
          <w:spacing w:val="-10"/>
          <w:sz w:val="24"/>
          <w:szCs w:val="21"/>
          <w:highlight w:val="none"/>
          <w:lang w:eastAsia="zh-CN"/>
        </w:rPr>
        <w:t>）</w:t>
      </w:r>
      <w:r>
        <w:rPr>
          <w:rFonts w:hint="default" w:ascii="Times New Roman" w:hAnsi="Times New Roman" w:eastAsia="宋体" w:cs="Times New Roman"/>
          <w:bCs/>
          <w:color w:val="auto"/>
          <w:spacing w:val="-10"/>
          <w:sz w:val="24"/>
          <w:szCs w:val="21"/>
          <w:highlight w:val="none"/>
        </w:rPr>
        <w:t>中</w:t>
      </w:r>
      <w:r>
        <w:rPr>
          <w:rFonts w:hint="default" w:ascii="Times New Roman" w:hAnsi="Times New Roman" w:eastAsia="宋体" w:cs="Times New Roman"/>
          <w:bCs/>
          <w:color w:val="auto"/>
          <w:spacing w:val="-10"/>
          <w:sz w:val="24"/>
          <w:szCs w:val="21"/>
          <w:highlight w:val="none"/>
          <w:lang w:val="en-US" w:eastAsia="zh-CN"/>
        </w:rPr>
        <w:t>相应</w:t>
      </w:r>
      <w:r>
        <w:rPr>
          <w:rFonts w:hint="default" w:ascii="Times New Roman" w:hAnsi="Times New Roman" w:eastAsia="宋体" w:cs="Times New Roman"/>
          <w:bCs/>
          <w:color w:val="auto"/>
          <w:spacing w:val="-10"/>
          <w:sz w:val="24"/>
          <w:szCs w:val="21"/>
          <w:highlight w:val="none"/>
        </w:rPr>
        <w:t>标准限值要求。本项目厂界周边</w:t>
      </w:r>
      <w:r>
        <w:rPr>
          <w:rFonts w:hint="default" w:ascii="Times New Roman" w:hAnsi="Times New Roman" w:eastAsia="宋体" w:cs="Times New Roman"/>
          <w:bCs/>
          <w:color w:val="auto"/>
          <w:spacing w:val="-10"/>
          <w:sz w:val="24"/>
          <w:szCs w:val="21"/>
          <w:highlight w:val="none"/>
          <w:lang w:val="en-US" w:eastAsia="zh-CN"/>
        </w:rPr>
        <w:t>200</w:t>
      </w:r>
      <w:r>
        <w:rPr>
          <w:rFonts w:hint="default" w:ascii="Times New Roman" w:hAnsi="Times New Roman" w:eastAsia="宋体" w:cs="Times New Roman"/>
          <w:bCs/>
          <w:color w:val="auto"/>
          <w:spacing w:val="-10"/>
          <w:sz w:val="24"/>
          <w:szCs w:val="21"/>
          <w:highlight w:val="none"/>
        </w:rPr>
        <w:t>m范围内无敏感点，因此噪声对环境影响不大，不会降低当地声环境功能级别。</w:t>
      </w:r>
    </w:p>
    <w:p w14:paraId="46E8EAD4">
      <w:pPr>
        <w:autoSpaceDE w:val="0"/>
        <w:autoSpaceDN w:val="0"/>
        <w:jc w:val="center"/>
        <w:rPr>
          <w:rFonts w:ascii="Times New Roman" w:hAnsi="Times New Roman" w:eastAsia="宋体"/>
          <w:b/>
          <w:color w:val="auto"/>
          <w:kern w:val="0"/>
          <w:sz w:val="24"/>
          <w:szCs w:val="24"/>
          <w:highlight w:val="none"/>
        </w:rPr>
      </w:pPr>
      <w:r>
        <w:rPr>
          <w:rFonts w:ascii="Times New Roman" w:hAnsi="Times New Roman" w:eastAsia="宋体"/>
          <w:b/>
          <w:color w:val="auto"/>
          <w:kern w:val="0"/>
          <w:sz w:val="24"/>
          <w:szCs w:val="24"/>
          <w:highlight w:val="none"/>
        </w:rPr>
        <w:t>表</w:t>
      </w:r>
      <w:r>
        <w:rPr>
          <w:rFonts w:ascii="Times New Roman" w:hAnsi="Times New Roman" w:eastAsia="宋体"/>
          <w:b/>
          <w:bCs/>
          <w:color w:val="auto"/>
          <w:sz w:val="24"/>
          <w:szCs w:val="21"/>
          <w:highlight w:val="none"/>
        </w:rPr>
        <w:t>5.2.3-</w:t>
      </w:r>
      <w:r>
        <w:rPr>
          <w:rFonts w:hint="eastAsia" w:ascii="Times New Roman" w:hAnsi="Times New Roman" w:eastAsia="宋体"/>
          <w:b/>
          <w:bCs/>
          <w:color w:val="auto"/>
          <w:sz w:val="24"/>
          <w:szCs w:val="21"/>
          <w:highlight w:val="none"/>
          <w:lang w:val="en-US" w:eastAsia="zh-CN"/>
        </w:rPr>
        <w:t>5</w:t>
      </w:r>
      <w:r>
        <w:rPr>
          <w:rFonts w:hint="eastAsia"/>
          <w:b/>
          <w:bCs/>
          <w:color w:val="auto"/>
          <w:sz w:val="24"/>
          <w:szCs w:val="21"/>
          <w:highlight w:val="none"/>
          <w:lang w:val="en-US" w:eastAsia="zh-CN"/>
        </w:rPr>
        <w:t xml:space="preserve">  </w:t>
      </w:r>
      <w:r>
        <w:rPr>
          <w:rFonts w:ascii="Times New Roman" w:hAnsi="Times New Roman" w:eastAsia="宋体"/>
          <w:b/>
          <w:color w:val="auto"/>
          <w:kern w:val="0"/>
          <w:sz w:val="24"/>
          <w:szCs w:val="24"/>
          <w:highlight w:val="none"/>
        </w:rPr>
        <w:t>厂界噪声预测结果与达标分析表</w:t>
      </w:r>
      <w:bookmarkStart w:id="457" w:name="PT_7"/>
    </w:p>
    <w:tbl>
      <w:tblPr>
        <w:tblStyle w:val="4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094"/>
        <w:gridCol w:w="850"/>
        <w:gridCol w:w="852"/>
        <w:gridCol w:w="710"/>
        <w:gridCol w:w="990"/>
        <w:gridCol w:w="1504"/>
        <w:gridCol w:w="1590"/>
        <w:gridCol w:w="926"/>
      </w:tblGrid>
      <w:tr w14:paraId="10B575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5" w:hRule="exact"/>
          <w:jc w:val="center"/>
        </w:trPr>
        <w:tc>
          <w:tcPr>
            <w:tcW w:w="642" w:type="pct"/>
            <w:vMerge w:val="restart"/>
            <w:tcBorders>
              <w:tl2br w:val="nil"/>
              <w:tr2bl w:val="nil"/>
            </w:tcBorders>
            <w:noWrap w:val="0"/>
            <w:vAlign w:val="center"/>
          </w:tcPr>
          <w:p w14:paraId="41877D74">
            <w:pPr>
              <w:pStyle w:val="563"/>
              <w:bidi w:val="0"/>
              <w:rPr>
                <w:b/>
                <w:bCs/>
                <w:color w:val="auto"/>
                <w:highlight w:val="none"/>
              </w:rPr>
            </w:pPr>
            <w:r>
              <w:rPr>
                <w:b/>
                <w:bCs/>
                <w:color w:val="auto"/>
                <w:highlight w:val="none"/>
              </w:rPr>
              <w:t>预测方位</w:t>
            </w:r>
          </w:p>
        </w:tc>
        <w:tc>
          <w:tcPr>
            <w:tcW w:w="1416" w:type="pct"/>
            <w:gridSpan w:val="3"/>
            <w:tcBorders>
              <w:tl2br w:val="nil"/>
              <w:tr2bl w:val="nil"/>
            </w:tcBorders>
            <w:noWrap w:val="0"/>
            <w:vAlign w:val="center"/>
          </w:tcPr>
          <w:p w14:paraId="4DD69555">
            <w:pPr>
              <w:pStyle w:val="563"/>
              <w:bidi w:val="0"/>
              <w:rPr>
                <w:b/>
                <w:bCs/>
                <w:color w:val="auto"/>
                <w:highlight w:val="none"/>
              </w:rPr>
            </w:pPr>
            <w:r>
              <w:rPr>
                <w:b/>
                <w:bCs/>
                <w:color w:val="auto"/>
                <w:highlight w:val="none"/>
              </w:rPr>
              <w:t>空间相对位置/m</w:t>
            </w:r>
          </w:p>
        </w:tc>
        <w:tc>
          <w:tcPr>
            <w:tcW w:w="581" w:type="pct"/>
            <w:vMerge w:val="restart"/>
            <w:tcBorders>
              <w:tl2br w:val="nil"/>
              <w:tr2bl w:val="nil"/>
            </w:tcBorders>
            <w:noWrap w:val="0"/>
            <w:vAlign w:val="center"/>
          </w:tcPr>
          <w:p w14:paraId="430657FE">
            <w:pPr>
              <w:pStyle w:val="563"/>
              <w:bidi w:val="0"/>
              <w:rPr>
                <w:b/>
                <w:bCs/>
                <w:color w:val="auto"/>
                <w:highlight w:val="none"/>
              </w:rPr>
            </w:pPr>
            <w:r>
              <w:rPr>
                <w:b/>
                <w:bCs/>
                <w:color w:val="auto"/>
                <w:highlight w:val="none"/>
              </w:rPr>
              <w:t>时段</w:t>
            </w:r>
          </w:p>
        </w:tc>
        <w:tc>
          <w:tcPr>
            <w:tcW w:w="883" w:type="pct"/>
            <w:vMerge w:val="restart"/>
            <w:tcBorders>
              <w:tl2br w:val="nil"/>
              <w:tr2bl w:val="nil"/>
            </w:tcBorders>
            <w:noWrap w:val="0"/>
            <w:vAlign w:val="center"/>
          </w:tcPr>
          <w:p w14:paraId="5F446058">
            <w:pPr>
              <w:pStyle w:val="563"/>
              <w:bidi w:val="0"/>
              <w:rPr>
                <w:b/>
                <w:bCs/>
                <w:color w:val="auto"/>
                <w:highlight w:val="none"/>
              </w:rPr>
            </w:pPr>
            <w:r>
              <w:rPr>
                <w:b/>
                <w:bCs/>
                <w:color w:val="auto"/>
                <w:highlight w:val="none"/>
              </w:rPr>
              <w:t>预测值（dB(A)）</w:t>
            </w:r>
          </w:p>
        </w:tc>
        <w:tc>
          <w:tcPr>
            <w:tcW w:w="933" w:type="pct"/>
            <w:vMerge w:val="restart"/>
            <w:tcBorders>
              <w:tl2br w:val="nil"/>
              <w:tr2bl w:val="nil"/>
            </w:tcBorders>
            <w:noWrap w:val="0"/>
            <w:vAlign w:val="center"/>
          </w:tcPr>
          <w:p w14:paraId="4B2C7B48">
            <w:pPr>
              <w:pStyle w:val="563"/>
              <w:bidi w:val="0"/>
              <w:rPr>
                <w:b/>
                <w:bCs/>
                <w:color w:val="auto"/>
                <w:highlight w:val="none"/>
              </w:rPr>
            </w:pPr>
            <w:r>
              <w:rPr>
                <w:b/>
                <w:bCs/>
                <w:color w:val="auto"/>
                <w:highlight w:val="none"/>
              </w:rPr>
              <w:t>标准限值（dB(A)）</w:t>
            </w:r>
          </w:p>
        </w:tc>
        <w:tc>
          <w:tcPr>
            <w:tcW w:w="543" w:type="pct"/>
            <w:vMerge w:val="restart"/>
            <w:tcBorders>
              <w:tl2br w:val="nil"/>
              <w:tr2bl w:val="nil"/>
            </w:tcBorders>
            <w:noWrap w:val="0"/>
            <w:vAlign w:val="center"/>
          </w:tcPr>
          <w:p w14:paraId="031CBD7F">
            <w:pPr>
              <w:pStyle w:val="563"/>
              <w:bidi w:val="0"/>
              <w:rPr>
                <w:b/>
                <w:bCs/>
                <w:color w:val="auto"/>
                <w:highlight w:val="none"/>
              </w:rPr>
            </w:pPr>
            <w:r>
              <w:rPr>
                <w:b/>
                <w:bCs/>
                <w:color w:val="auto"/>
                <w:highlight w:val="none"/>
              </w:rPr>
              <w:t>达标</w:t>
            </w:r>
          </w:p>
          <w:p w14:paraId="477F1CC8">
            <w:pPr>
              <w:pStyle w:val="563"/>
              <w:bidi w:val="0"/>
              <w:rPr>
                <w:b/>
                <w:bCs/>
                <w:color w:val="auto"/>
                <w:highlight w:val="none"/>
              </w:rPr>
            </w:pPr>
            <w:r>
              <w:rPr>
                <w:b/>
                <w:bCs/>
                <w:color w:val="auto"/>
                <w:highlight w:val="none"/>
              </w:rPr>
              <w:t>情况</w:t>
            </w:r>
          </w:p>
        </w:tc>
      </w:tr>
      <w:tr w14:paraId="66DD7B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3" w:hRule="atLeast"/>
          <w:jc w:val="center"/>
        </w:trPr>
        <w:tc>
          <w:tcPr>
            <w:tcW w:w="642" w:type="pct"/>
            <w:vMerge w:val="continue"/>
            <w:tcBorders>
              <w:tl2br w:val="nil"/>
              <w:tr2bl w:val="nil"/>
            </w:tcBorders>
            <w:shd w:val="clear" w:color="auto" w:fill="FFFFFF"/>
            <w:noWrap w:val="0"/>
            <w:vAlign w:val="center"/>
          </w:tcPr>
          <w:p w14:paraId="34D9C7F0">
            <w:pPr>
              <w:pStyle w:val="563"/>
              <w:bidi w:val="0"/>
              <w:rPr>
                <w:b/>
                <w:bCs/>
                <w:color w:val="auto"/>
                <w:highlight w:val="none"/>
              </w:rPr>
            </w:pPr>
          </w:p>
        </w:tc>
        <w:tc>
          <w:tcPr>
            <w:tcW w:w="499" w:type="pct"/>
            <w:tcBorders>
              <w:tl2br w:val="nil"/>
              <w:tr2bl w:val="nil"/>
            </w:tcBorders>
            <w:shd w:val="clear" w:color="auto" w:fill="FFFFFF"/>
            <w:noWrap w:val="0"/>
            <w:vAlign w:val="center"/>
          </w:tcPr>
          <w:p w14:paraId="792079D1">
            <w:pPr>
              <w:pStyle w:val="563"/>
              <w:bidi w:val="0"/>
              <w:rPr>
                <w:b/>
                <w:bCs/>
                <w:color w:val="auto"/>
                <w:highlight w:val="none"/>
              </w:rPr>
            </w:pPr>
            <w:r>
              <w:rPr>
                <w:b/>
                <w:bCs/>
                <w:color w:val="auto"/>
                <w:highlight w:val="none"/>
              </w:rPr>
              <w:t>X</w:t>
            </w:r>
          </w:p>
        </w:tc>
        <w:tc>
          <w:tcPr>
            <w:tcW w:w="500" w:type="pct"/>
            <w:tcBorders>
              <w:tl2br w:val="nil"/>
              <w:tr2bl w:val="nil"/>
            </w:tcBorders>
            <w:shd w:val="clear" w:color="auto" w:fill="FFFFFF"/>
            <w:noWrap w:val="0"/>
            <w:vAlign w:val="center"/>
          </w:tcPr>
          <w:p w14:paraId="771455A1">
            <w:pPr>
              <w:pStyle w:val="563"/>
              <w:bidi w:val="0"/>
              <w:rPr>
                <w:b/>
                <w:bCs/>
                <w:color w:val="auto"/>
                <w:highlight w:val="none"/>
              </w:rPr>
            </w:pPr>
            <w:r>
              <w:rPr>
                <w:b/>
                <w:bCs/>
                <w:color w:val="auto"/>
                <w:highlight w:val="none"/>
              </w:rPr>
              <w:t>Y</w:t>
            </w:r>
          </w:p>
        </w:tc>
        <w:tc>
          <w:tcPr>
            <w:tcW w:w="416" w:type="pct"/>
            <w:tcBorders>
              <w:tl2br w:val="nil"/>
              <w:tr2bl w:val="nil"/>
            </w:tcBorders>
            <w:shd w:val="clear" w:color="auto" w:fill="FFFFFF"/>
            <w:noWrap w:val="0"/>
            <w:vAlign w:val="center"/>
          </w:tcPr>
          <w:p w14:paraId="3442AC74">
            <w:pPr>
              <w:pStyle w:val="563"/>
              <w:bidi w:val="0"/>
              <w:rPr>
                <w:b/>
                <w:bCs/>
                <w:color w:val="auto"/>
                <w:highlight w:val="none"/>
              </w:rPr>
            </w:pPr>
            <w:r>
              <w:rPr>
                <w:b/>
                <w:bCs/>
                <w:color w:val="auto"/>
                <w:highlight w:val="none"/>
              </w:rPr>
              <w:t>Z</w:t>
            </w:r>
          </w:p>
        </w:tc>
        <w:tc>
          <w:tcPr>
            <w:tcW w:w="581" w:type="pct"/>
            <w:vMerge w:val="continue"/>
            <w:tcBorders>
              <w:tl2br w:val="nil"/>
              <w:tr2bl w:val="nil"/>
            </w:tcBorders>
            <w:shd w:val="clear" w:color="auto" w:fill="FFFFFF"/>
            <w:noWrap w:val="0"/>
            <w:vAlign w:val="center"/>
          </w:tcPr>
          <w:p w14:paraId="02377C2C">
            <w:pPr>
              <w:pStyle w:val="563"/>
              <w:bidi w:val="0"/>
              <w:rPr>
                <w:color w:val="auto"/>
                <w:highlight w:val="none"/>
              </w:rPr>
            </w:pPr>
          </w:p>
        </w:tc>
        <w:tc>
          <w:tcPr>
            <w:tcW w:w="883" w:type="pct"/>
            <w:vMerge w:val="continue"/>
            <w:tcBorders>
              <w:tl2br w:val="nil"/>
              <w:tr2bl w:val="nil"/>
            </w:tcBorders>
            <w:shd w:val="clear" w:color="auto" w:fill="FFFFFF"/>
            <w:noWrap w:val="0"/>
            <w:vAlign w:val="center"/>
          </w:tcPr>
          <w:p w14:paraId="72D2CB6B">
            <w:pPr>
              <w:pStyle w:val="563"/>
              <w:bidi w:val="0"/>
              <w:rPr>
                <w:color w:val="auto"/>
                <w:highlight w:val="none"/>
              </w:rPr>
            </w:pPr>
          </w:p>
        </w:tc>
        <w:tc>
          <w:tcPr>
            <w:tcW w:w="933" w:type="pct"/>
            <w:vMerge w:val="continue"/>
            <w:tcBorders>
              <w:tl2br w:val="nil"/>
              <w:tr2bl w:val="nil"/>
            </w:tcBorders>
            <w:shd w:val="clear" w:color="auto" w:fill="FFFFFF"/>
            <w:noWrap w:val="0"/>
            <w:vAlign w:val="center"/>
          </w:tcPr>
          <w:p w14:paraId="448FE829">
            <w:pPr>
              <w:pStyle w:val="563"/>
              <w:bidi w:val="0"/>
              <w:rPr>
                <w:color w:val="auto"/>
                <w:highlight w:val="none"/>
              </w:rPr>
            </w:pPr>
          </w:p>
        </w:tc>
        <w:tc>
          <w:tcPr>
            <w:tcW w:w="543" w:type="pct"/>
            <w:vMerge w:val="continue"/>
            <w:tcBorders>
              <w:tl2br w:val="nil"/>
              <w:tr2bl w:val="nil"/>
            </w:tcBorders>
            <w:shd w:val="clear" w:color="auto" w:fill="FFFFFF"/>
            <w:noWrap w:val="0"/>
            <w:vAlign w:val="center"/>
          </w:tcPr>
          <w:p w14:paraId="17252340">
            <w:pPr>
              <w:pStyle w:val="563"/>
              <w:bidi w:val="0"/>
              <w:rPr>
                <w:color w:val="auto"/>
                <w:highlight w:val="none"/>
              </w:rPr>
            </w:pPr>
          </w:p>
        </w:tc>
      </w:tr>
      <w:tr w14:paraId="271DA0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42" w:type="pct"/>
            <w:vMerge w:val="restart"/>
            <w:tcBorders>
              <w:tl2br w:val="nil"/>
              <w:tr2bl w:val="nil"/>
            </w:tcBorders>
            <w:shd w:val="clear" w:color="auto" w:fill="FFFFFF"/>
            <w:noWrap w:val="0"/>
            <w:vAlign w:val="center"/>
          </w:tcPr>
          <w:p w14:paraId="6A47C84A">
            <w:pPr>
              <w:pStyle w:val="563"/>
              <w:bidi w:val="0"/>
              <w:rPr>
                <w:color w:val="auto"/>
                <w:highlight w:val="none"/>
              </w:rPr>
            </w:pPr>
            <w:r>
              <w:rPr>
                <w:color w:val="auto"/>
                <w:highlight w:val="none"/>
              </w:rPr>
              <w:t>东侧</w:t>
            </w:r>
          </w:p>
        </w:tc>
        <w:tc>
          <w:tcPr>
            <w:tcW w:w="499" w:type="pct"/>
            <w:vMerge w:val="restart"/>
            <w:tcBorders>
              <w:tl2br w:val="nil"/>
              <w:tr2bl w:val="nil"/>
            </w:tcBorders>
            <w:shd w:val="clear" w:color="auto" w:fill="FFFFFF"/>
            <w:noWrap w:val="0"/>
            <w:vAlign w:val="center"/>
          </w:tcPr>
          <w:p w14:paraId="774A43FB">
            <w:pPr>
              <w:pStyle w:val="563"/>
              <w:bidi w:val="0"/>
              <w:rPr>
                <w:rFonts w:hint="default"/>
                <w:color w:val="auto"/>
                <w:highlight w:val="none"/>
                <w:lang w:val="en-US" w:eastAsia="zh-CN"/>
              </w:rPr>
            </w:pPr>
            <w:r>
              <w:rPr>
                <w:rFonts w:hint="eastAsia"/>
                <w:color w:val="auto"/>
                <w:highlight w:val="none"/>
                <w:lang w:val="en-US" w:eastAsia="zh-CN"/>
              </w:rPr>
              <w:t>153</w:t>
            </w:r>
          </w:p>
        </w:tc>
        <w:tc>
          <w:tcPr>
            <w:tcW w:w="500" w:type="pct"/>
            <w:vMerge w:val="restart"/>
            <w:tcBorders>
              <w:tl2br w:val="nil"/>
              <w:tr2bl w:val="nil"/>
            </w:tcBorders>
            <w:shd w:val="clear" w:color="auto" w:fill="FFFFFF"/>
            <w:noWrap w:val="0"/>
            <w:vAlign w:val="center"/>
          </w:tcPr>
          <w:p w14:paraId="616517AC">
            <w:pPr>
              <w:pStyle w:val="563"/>
              <w:bidi w:val="0"/>
              <w:rPr>
                <w:rFonts w:hint="default"/>
                <w:color w:val="auto"/>
                <w:highlight w:val="none"/>
                <w:lang w:val="en-US" w:eastAsia="zh-CN"/>
              </w:rPr>
            </w:pPr>
            <w:r>
              <w:rPr>
                <w:rFonts w:hint="eastAsia"/>
                <w:color w:val="auto"/>
                <w:highlight w:val="none"/>
                <w:lang w:val="en-US" w:eastAsia="zh-CN"/>
              </w:rPr>
              <w:t>60</w:t>
            </w:r>
          </w:p>
        </w:tc>
        <w:tc>
          <w:tcPr>
            <w:tcW w:w="416" w:type="pct"/>
            <w:vMerge w:val="restart"/>
            <w:tcBorders>
              <w:tl2br w:val="nil"/>
              <w:tr2bl w:val="nil"/>
            </w:tcBorders>
            <w:shd w:val="clear" w:color="auto" w:fill="FFFFFF"/>
            <w:noWrap w:val="0"/>
            <w:vAlign w:val="center"/>
          </w:tcPr>
          <w:p w14:paraId="5BD5EF2A">
            <w:pPr>
              <w:pStyle w:val="563"/>
              <w:bidi w:val="0"/>
              <w:rPr>
                <w:color w:val="auto"/>
                <w:highlight w:val="none"/>
              </w:rPr>
            </w:pPr>
            <w:r>
              <w:rPr>
                <w:color w:val="auto"/>
                <w:highlight w:val="none"/>
              </w:rPr>
              <w:t>1</w:t>
            </w:r>
          </w:p>
        </w:tc>
        <w:tc>
          <w:tcPr>
            <w:tcW w:w="581" w:type="pct"/>
            <w:tcBorders>
              <w:tl2br w:val="nil"/>
              <w:tr2bl w:val="nil"/>
            </w:tcBorders>
            <w:shd w:val="clear" w:color="auto" w:fill="FFFFFF"/>
            <w:noWrap w:val="0"/>
            <w:vAlign w:val="center"/>
          </w:tcPr>
          <w:p w14:paraId="2D9A6D3D">
            <w:pPr>
              <w:pStyle w:val="563"/>
              <w:bidi w:val="0"/>
              <w:jc w:val="center"/>
              <w:rPr>
                <w:color w:val="auto"/>
                <w:highlight w:val="none"/>
              </w:rPr>
            </w:pPr>
            <w:r>
              <w:rPr>
                <w:color w:val="auto"/>
                <w:highlight w:val="none"/>
              </w:rPr>
              <w:t>昼间</w:t>
            </w:r>
          </w:p>
        </w:tc>
        <w:tc>
          <w:tcPr>
            <w:tcW w:w="883" w:type="pct"/>
            <w:vMerge w:val="restart"/>
            <w:tcBorders>
              <w:tl2br w:val="nil"/>
              <w:tr2bl w:val="nil"/>
            </w:tcBorders>
            <w:shd w:val="clear" w:color="auto" w:fill="FFFFFF"/>
            <w:noWrap w:val="0"/>
            <w:vAlign w:val="center"/>
          </w:tcPr>
          <w:p w14:paraId="3AE9425F">
            <w:pPr>
              <w:pStyle w:val="563"/>
              <w:bidi w:val="0"/>
              <w:jc w:val="center"/>
              <w:rPr>
                <w:rFonts w:hint="default"/>
                <w:color w:val="auto"/>
                <w:highlight w:val="none"/>
                <w:lang w:val="en-US" w:eastAsia="zh-CN"/>
              </w:rPr>
            </w:pPr>
            <w:r>
              <w:rPr>
                <w:rFonts w:hint="eastAsia"/>
                <w:color w:val="auto"/>
                <w:highlight w:val="none"/>
                <w:lang w:val="en-US" w:eastAsia="zh-CN"/>
              </w:rPr>
              <w:t>49.4</w:t>
            </w:r>
          </w:p>
        </w:tc>
        <w:tc>
          <w:tcPr>
            <w:tcW w:w="933" w:type="pct"/>
            <w:tcBorders>
              <w:tl2br w:val="nil"/>
              <w:tr2bl w:val="nil"/>
            </w:tcBorders>
            <w:shd w:val="clear" w:color="auto" w:fill="FFFFFF"/>
            <w:noWrap w:val="0"/>
            <w:vAlign w:val="center"/>
          </w:tcPr>
          <w:p w14:paraId="6C2BB393">
            <w:pPr>
              <w:pStyle w:val="563"/>
              <w:bidi w:val="0"/>
              <w:jc w:val="center"/>
              <w:rPr>
                <w:rFonts w:hint="default"/>
                <w:color w:val="auto"/>
                <w:highlight w:val="none"/>
                <w:lang w:val="en-US" w:eastAsia="zh-CN"/>
              </w:rPr>
            </w:pPr>
            <w:r>
              <w:rPr>
                <w:rFonts w:hint="eastAsia"/>
                <w:color w:val="auto"/>
                <w:highlight w:val="none"/>
                <w:lang w:val="en-US" w:eastAsia="zh-CN"/>
              </w:rPr>
              <w:t>70</w:t>
            </w:r>
          </w:p>
        </w:tc>
        <w:tc>
          <w:tcPr>
            <w:tcW w:w="543" w:type="pct"/>
            <w:tcBorders>
              <w:tl2br w:val="nil"/>
              <w:tr2bl w:val="nil"/>
            </w:tcBorders>
            <w:shd w:val="clear" w:color="auto" w:fill="FFFFFF"/>
            <w:noWrap w:val="0"/>
            <w:vAlign w:val="center"/>
          </w:tcPr>
          <w:p w14:paraId="067F1692">
            <w:pPr>
              <w:pStyle w:val="563"/>
              <w:bidi w:val="0"/>
              <w:rPr>
                <w:color w:val="auto"/>
                <w:highlight w:val="none"/>
              </w:rPr>
            </w:pPr>
            <w:r>
              <w:rPr>
                <w:color w:val="auto"/>
                <w:highlight w:val="none"/>
              </w:rPr>
              <w:t>达标</w:t>
            </w:r>
          </w:p>
        </w:tc>
      </w:tr>
      <w:tr w14:paraId="55C6C4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42" w:type="pct"/>
            <w:vMerge w:val="continue"/>
            <w:tcBorders>
              <w:tl2br w:val="nil"/>
              <w:tr2bl w:val="nil"/>
            </w:tcBorders>
            <w:shd w:val="clear" w:color="auto" w:fill="FFFFFF"/>
            <w:noWrap w:val="0"/>
            <w:vAlign w:val="center"/>
          </w:tcPr>
          <w:p w14:paraId="213AA19F">
            <w:pPr>
              <w:pStyle w:val="563"/>
              <w:bidi w:val="0"/>
              <w:rPr>
                <w:color w:val="auto"/>
                <w:highlight w:val="none"/>
              </w:rPr>
            </w:pPr>
          </w:p>
        </w:tc>
        <w:tc>
          <w:tcPr>
            <w:tcW w:w="499" w:type="pct"/>
            <w:vMerge w:val="continue"/>
            <w:tcBorders>
              <w:tl2br w:val="nil"/>
              <w:tr2bl w:val="nil"/>
            </w:tcBorders>
            <w:shd w:val="clear" w:color="auto" w:fill="FFFFFF"/>
            <w:noWrap w:val="0"/>
            <w:vAlign w:val="top"/>
          </w:tcPr>
          <w:p w14:paraId="2D293983">
            <w:pPr>
              <w:pStyle w:val="563"/>
              <w:bidi w:val="0"/>
              <w:rPr>
                <w:color w:val="auto"/>
                <w:highlight w:val="none"/>
              </w:rPr>
            </w:pPr>
          </w:p>
        </w:tc>
        <w:tc>
          <w:tcPr>
            <w:tcW w:w="500" w:type="pct"/>
            <w:vMerge w:val="continue"/>
            <w:tcBorders>
              <w:tl2br w:val="nil"/>
              <w:tr2bl w:val="nil"/>
            </w:tcBorders>
            <w:shd w:val="clear" w:color="auto" w:fill="FFFFFF"/>
            <w:noWrap w:val="0"/>
            <w:vAlign w:val="top"/>
          </w:tcPr>
          <w:p w14:paraId="69D420C2">
            <w:pPr>
              <w:pStyle w:val="563"/>
              <w:bidi w:val="0"/>
              <w:rPr>
                <w:color w:val="auto"/>
                <w:highlight w:val="none"/>
              </w:rPr>
            </w:pPr>
          </w:p>
        </w:tc>
        <w:tc>
          <w:tcPr>
            <w:tcW w:w="416" w:type="pct"/>
            <w:vMerge w:val="continue"/>
            <w:tcBorders>
              <w:tl2br w:val="nil"/>
              <w:tr2bl w:val="nil"/>
            </w:tcBorders>
            <w:shd w:val="clear" w:color="auto" w:fill="FFFFFF"/>
            <w:noWrap w:val="0"/>
            <w:vAlign w:val="top"/>
          </w:tcPr>
          <w:p w14:paraId="01CB3FD6">
            <w:pPr>
              <w:pStyle w:val="563"/>
              <w:bidi w:val="0"/>
              <w:rPr>
                <w:color w:val="auto"/>
                <w:highlight w:val="none"/>
              </w:rPr>
            </w:pPr>
          </w:p>
        </w:tc>
        <w:tc>
          <w:tcPr>
            <w:tcW w:w="581" w:type="pct"/>
            <w:tcBorders>
              <w:tl2br w:val="nil"/>
              <w:tr2bl w:val="nil"/>
            </w:tcBorders>
            <w:shd w:val="clear" w:color="auto" w:fill="FFFFFF"/>
            <w:noWrap w:val="0"/>
            <w:vAlign w:val="center"/>
          </w:tcPr>
          <w:p w14:paraId="2C4E74FC">
            <w:pPr>
              <w:pStyle w:val="563"/>
              <w:bidi w:val="0"/>
              <w:jc w:val="center"/>
              <w:rPr>
                <w:color w:val="auto"/>
                <w:highlight w:val="none"/>
              </w:rPr>
            </w:pPr>
            <w:r>
              <w:rPr>
                <w:color w:val="auto"/>
                <w:highlight w:val="none"/>
              </w:rPr>
              <w:t>夜间</w:t>
            </w:r>
          </w:p>
        </w:tc>
        <w:tc>
          <w:tcPr>
            <w:tcW w:w="883" w:type="pct"/>
            <w:vMerge w:val="continue"/>
            <w:tcBorders>
              <w:tl2br w:val="nil"/>
              <w:tr2bl w:val="nil"/>
            </w:tcBorders>
            <w:shd w:val="clear" w:color="auto" w:fill="FFFFFF"/>
            <w:noWrap w:val="0"/>
            <w:vAlign w:val="center"/>
          </w:tcPr>
          <w:p w14:paraId="409A0EA2">
            <w:pPr>
              <w:pStyle w:val="563"/>
              <w:bidi w:val="0"/>
              <w:jc w:val="center"/>
              <w:rPr>
                <w:color w:val="auto"/>
                <w:highlight w:val="none"/>
              </w:rPr>
            </w:pPr>
          </w:p>
        </w:tc>
        <w:tc>
          <w:tcPr>
            <w:tcW w:w="933" w:type="pct"/>
            <w:tcBorders>
              <w:tl2br w:val="nil"/>
              <w:tr2bl w:val="nil"/>
            </w:tcBorders>
            <w:shd w:val="clear" w:color="auto" w:fill="FFFFFF"/>
            <w:noWrap w:val="0"/>
            <w:vAlign w:val="center"/>
          </w:tcPr>
          <w:p w14:paraId="7CB3D55C">
            <w:pPr>
              <w:pStyle w:val="563"/>
              <w:bidi w:val="0"/>
              <w:jc w:val="center"/>
              <w:rPr>
                <w:color w:val="auto"/>
                <w:highlight w:val="none"/>
              </w:rPr>
            </w:pPr>
            <w:r>
              <w:rPr>
                <w:color w:val="auto"/>
                <w:highlight w:val="none"/>
              </w:rPr>
              <w:t>55</w:t>
            </w:r>
          </w:p>
        </w:tc>
        <w:tc>
          <w:tcPr>
            <w:tcW w:w="543" w:type="pct"/>
            <w:tcBorders>
              <w:tl2br w:val="nil"/>
              <w:tr2bl w:val="nil"/>
            </w:tcBorders>
            <w:shd w:val="clear" w:color="auto" w:fill="FFFFFF"/>
            <w:noWrap w:val="0"/>
            <w:vAlign w:val="top"/>
          </w:tcPr>
          <w:p w14:paraId="203085CB">
            <w:pPr>
              <w:pStyle w:val="563"/>
              <w:bidi w:val="0"/>
              <w:rPr>
                <w:color w:val="auto"/>
                <w:highlight w:val="none"/>
              </w:rPr>
            </w:pPr>
            <w:r>
              <w:rPr>
                <w:color w:val="auto"/>
                <w:highlight w:val="none"/>
              </w:rPr>
              <w:t>达标</w:t>
            </w:r>
          </w:p>
        </w:tc>
      </w:tr>
      <w:tr w14:paraId="09CC32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42" w:type="pct"/>
            <w:vMerge w:val="restart"/>
            <w:tcBorders>
              <w:tl2br w:val="nil"/>
              <w:tr2bl w:val="nil"/>
            </w:tcBorders>
            <w:shd w:val="clear" w:color="auto" w:fill="FFFFFF"/>
            <w:noWrap w:val="0"/>
            <w:vAlign w:val="center"/>
          </w:tcPr>
          <w:p w14:paraId="226DE313">
            <w:pPr>
              <w:pStyle w:val="563"/>
              <w:bidi w:val="0"/>
              <w:rPr>
                <w:color w:val="auto"/>
                <w:highlight w:val="none"/>
              </w:rPr>
            </w:pPr>
            <w:r>
              <w:rPr>
                <w:color w:val="auto"/>
                <w:highlight w:val="none"/>
              </w:rPr>
              <w:t>南侧</w:t>
            </w:r>
          </w:p>
        </w:tc>
        <w:tc>
          <w:tcPr>
            <w:tcW w:w="499" w:type="pct"/>
            <w:vMerge w:val="restart"/>
            <w:tcBorders>
              <w:tl2br w:val="nil"/>
              <w:tr2bl w:val="nil"/>
            </w:tcBorders>
            <w:shd w:val="clear" w:color="auto" w:fill="FFFFFF"/>
            <w:noWrap w:val="0"/>
            <w:vAlign w:val="center"/>
          </w:tcPr>
          <w:p w14:paraId="05ACC1DB">
            <w:pPr>
              <w:pStyle w:val="563"/>
              <w:bidi w:val="0"/>
              <w:rPr>
                <w:rFonts w:hint="default"/>
                <w:color w:val="auto"/>
                <w:highlight w:val="none"/>
                <w:lang w:val="en-US" w:eastAsia="zh-CN"/>
              </w:rPr>
            </w:pPr>
            <w:r>
              <w:rPr>
                <w:rFonts w:hint="eastAsia"/>
                <w:color w:val="auto"/>
                <w:highlight w:val="none"/>
                <w:lang w:val="en-US" w:eastAsia="zh-CN"/>
              </w:rPr>
              <w:t>76</w:t>
            </w:r>
          </w:p>
        </w:tc>
        <w:tc>
          <w:tcPr>
            <w:tcW w:w="500" w:type="pct"/>
            <w:vMerge w:val="restart"/>
            <w:tcBorders>
              <w:tl2br w:val="nil"/>
              <w:tr2bl w:val="nil"/>
            </w:tcBorders>
            <w:shd w:val="clear" w:color="auto" w:fill="FFFFFF"/>
            <w:noWrap w:val="0"/>
            <w:vAlign w:val="center"/>
          </w:tcPr>
          <w:p w14:paraId="711F2966">
            <w:pPr>
              <w:pStyle w:val="563"/>
              <w:bidi w:val="0"/>
              <w:rPr>
                <w:rFonts w:hint="default"/>
                <w:color w:val="auto"/>
                <w:highlight w:val="none"/>
                <w:lang w:val="en-US" w:eastAsia="zh-CN"/>
              </w:rPr>
            </w:pPr>
            <w:r>
              <w:rPr>
                <w:rFonts w:hint="eastAsia"/>
                <w:color w:val="auto"/>
                <w:highlight w:val="none"/>
                <w:lang w:val="en-US" w:eastAsia="zh-CN"/>
              </w:rPr>
              <w:t>-1</w:t>
            </w:r>
          </w:p>
        </w:tc>
        <w:tc>
          <w:tcPr>
            <w:tcW w:w="416" w:type="pct"/>
            <w:vMerge w:val="restart"/>
            <w:tcBorders>
              <w:tl2br w:val="nil"/>
              <w:tr2bl w:val="nil"/>
            </w:tcBorders>
            <w:shd w:val="clear" w:color="auto" w:fill="FFFFFF"/>
            <w:noWrap w:val="0"/>
            <w:vAlign w:val="center"/>
          </w:tcPr>
          <w:p w14:paraId="31CC2EF9">
            <w:pPr>
              <w:pStyle w:val="563"/>
              <w:bidi w:val="0"/>
              <w:rPr>
                <w:color w:val="auto"/>
                <w:highlight w:val="none"/>
              </w:rPr>
            </w:pPr>
            <w:r>
              <w:rPr>
                <w:color w:val="auto"/>
                <w:highlight w:val="none"/>
              </w:rPr>
              <w:t>1</w:t>
            </w:r>
          </w:p>
        </w:tc>
        <w:tc>
          <w:tcPr>
            <w:tcW w:w="581" w:type="pct"/>
            <w:tcBorders>
              <w:tl2br w:val="nil"/>
              <w:tr2bl w:val="nil"/>
            </w:tcBorders>
            <w:shd w:val="clear" w:color="auto" w:fill="FFFFFF"/>
            <w:noWrap w:val="0"/>
            <w:vAlign w:val="center"/>
          </w:tcPr>
          <w:p w14:paraId="66D5583F">
            <w:pPr>
              <w:pStyle w:val="563"/>
              <w:bidi w:val="0"/>
              <w:jc w:val="center"/>
              <w:rPr>
                <w:color w:val="auto"/>
                <w:highlight w:val="none"/>
              </w:rPr>
            </w:pPr>
            <w:r>
              <w:rPr>
                <w:color w:val="auto"/>
                <w:highlight w:val="none"/>
              </w:rPr>
              <w:t>昼间</w:t>
            </w:r>
          </w:p>
        </w:tc>
        <w:tc>
          <w:tcPr>
            <w:tcW w:w="883" w:type="pct"/>
            <w:vMerge w:val="restart"/>
            <w:tcBorders>
              <w:tl2br w:val="nil"/>
              <w:tr2bl w:val="nil"/>
            </w:tcBorders>
            <w:shd w:val="clear" w:color="auto" w:fill="FFFFFF"/>
            <w:noWrap w:val="0"/>
            <w:vAlign w:val="center"/>
          </w:tcPr>
          <w:p w14:paraId="5746E352">
            <w:pPr>
              <w:pStyle w:val="563"/>
              <w:bidi w:val="0"/>
              <w:jc w:val="center"/>
              <w:rPr>
                <w:rFonts w:hint="default"/>
                <w:color w:val="auto"/>
                <w:highlight w:val="none"/>
                <w:lang w:val="en-US" w:eastAsia="zh-CN"/>
              </w:rPr>
            </w:pPr>
            <w:r>
              <w:rPr>
                <w:rFonts w:hint="eastAsia"/>
                <w:color w:val="auto"/>
                <w:highlight w:val="none"/>
                <w:lang w:val="en-US" w:eastAsia="zh-CN"/>
              </w:rPr>
              <w:t>54.2</w:t>
            </w:r>
          </w:p>
        </w:tc>
        <w:tc>
          <w:tcPr>
            <w:tcW w:w="933" w:type="pct"/>
            <w:tcBorders>
              <w:tl2br w:val="nil"/>
              <w:tr2bl w:val="nil"/>
            </w:tcBorders>
            <w:shd w:val="clear" w:color="auto" w:fill="FFFFFF"/>
            <w:noWrap w:val="0"/>
            <w:vAlign w:val="center"/>
          </w:tcPr>
          <w:p w14:paraId="1A37977C">
            <w:pPr>
              <w:pStyle w:val="563"/>
              <w:bidi w:val="0"/>
              <w:jc w:val="center"/>
              <w:rPr>
                <w:color w:val="auto"/>
                <w:highlight w:val="none"/>
              </w:rPr>
            </w:pPr>
            <w:r>
              <w:rPr>
                <w:color w:val="auto"/>
                <w:highlight w:val="none"/>
              </w:rPr>
              <w:t>65</w:t>
            </w:r>
          </w:p>
        </w:tc>
        <w:tc>
          <w:tcPr>
            <w:tcW w:w="543" w:type="pct"/>
            <w:tcBorders>
              <w:tl2br w:val="nil"/>
              <w:tr2bl w:val="nil"/>
            </w:tcBorders>
            <w:shd w:val="clear" w:color="auto" w:fill="FFFFFF"/>
            <w:noWrap w:val="0"/>
            <w:vAlign w:val="center"/>
          </w:tcPr>
          <w:p w14:paraId="0EE38F9D">
            <w:pPr>
              <w:pStyle w:val="563"/>
              <w:bidi w:val="0"/>
              <w:rPr>
                <w:color w:val="auto"/>
                <w:highlight w:val="none"/>
              </w:rPr>
            </w:pPr>
            <w:r>
              <w:rPr>
                <w:color w:val="auto"/>
                <w:highlight w:val="none"/>
              </w:rPr>
              <w:t>达标</w:t>
            </w:r>
          </w:p>
        </w:tc>
      </w:tr>
      <w:tr w14:paraId="50A803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42" w:type="pct"/>
            <w:vMerge w:val="continue"/>
            <w:tcBorders>
              <w:tl2br w:val="nil"/>
              <w:tr2bl w:val="nil"/>
            </w:tcBorders>
            <w:shd w:val="clear" w:color="auto" w:fill="FFFFFF"/>
            <w:noWrap w:val="0"/>
            <w:vAlign w:val="center"/>
          </w:tcPr>
          <w:p w14:paraId="466AFA1B">
            <w:pPr>
              <w:pStyle w:val="563"/>
              <w:bidi w:val="0"/>
              <w:rPr>
                <w:color w:val="auto"/>
                <w:highlight w:val="none"/>
              </w:rPr>
            </w:pPr>
          </w:p>
        </w:tc>
        <w:tc>
          <w:tcPr>
            <w:tcW w:w="499" w:type="pct"/>
            <w:vMerge w:val="continue"/>
            <w:tcBorders>
              <w:tl2br w:val="nil"/>
              <w:tr2bl w:val="nil"/>
            </w:tcBorders>
            <w:shd w:val="clear" w:color="auto" w:fill="FFFFFF"/>
            <w:noWrap w:val="0"/>
            <w:vAlign w:val="top"/>
          </w:tcPr>
          <w:p w14:paraId="67C469CD">
            <w:pPr>
              <w:pStyle w:val="563"/>
              <w:bidi w:val="0"/>
              <w:rPr>
                <w:color w:val="auto"/>
                <w:highlight w:val="none"/>
              </w:rPr>
            </w:pPr>
          </w:p>
        </w:tc>
        <w:tc>
          <w:tcPr>
            <w:tcW w:w="500" w:type="pct"/>
            <w:vMerge w:val="continue"/>
            <w:tcBorders>
              <w:tl2br w:val="nil"/>
              <w:tr2bl w:val="nil"/>
            </w:tcBorders>
            <w:shd w:val="clear" w:color="auto" w:fill="FFFFFF"/>
            <w:noWrap w:val="0"/>
            <w:vAlign w:val="top"/>
          </w:tcPr>
          <w:p w14:paraId="02BC61AF">
            <w:pPr>
              <w:pStyle w:val="563"/>
              <w:bidi w:val="0"/>
              <w:rPr>
                <w:color w:val="auto"/>
                <w:highlight w:val="none"/>
              </w:rPr>
            </w:pPr>
          </w:p>
        </w:tc>
        <w:tc>
          <w:tcPr>
            <w:tcW w:w="416" w:type="pct"/>
            <w:vMerge w:val="continue"/>
            <w:tcBorders>
              <w:tl2br w:val="nil"/>
              <w:tr2bl w:val="nil"/>
            </w:tcBorders>
            <w:shd w:val="clear" w:color="auto" w:fill="FFFFFF"/>
            <w:noWrap w:val="0"/>
            <w:vAlign w:val="top"/>
          </w:tcPr>
          <w:p w14:paraId="75080207">
            <w:pPr>
              <w:pStyle w:val="563"/>
              <w:bidi w:val="0"/>
              <w:rPr>
                <w:color w:val="auto"/>
                <w:highlight w:val="none"/>
              </w:rPr>
            </w:pPr>
          </w:p>
        </w:tc>
        <w:tc>
          <w:tcPr>
            <w:tcW w:w="581" w:type="pct"/>
            <w:tcBorders>
              <w:tl2br w:val="nil"/>
              <w:tr2bl w:val="nil"/>
            </w:tcBorders>
            <w:shd w:val="clear" w:color="auto" w:fill="FFFFFF"/>
            <w:noWrap w:val="0"/>
            <w:vAlign w:val="center"/>
          </w:tcPr>
          <w:p w14:paraId="1332B110">
            <w:pPr>
              <w:pStyle w:val="563"/>
              <w:bidi w:val="0"/>
              <w:jc w:val="center"/>
              <w:rPr>
                <w:color w:val="auto"/>
                <w:highlight w:val="none"/>
              </w:rPr>
            </w:pPr>
            <w:r>
              <w:rPr>
                <w:color w:val="auto"/>
                <w:highlight w:val="none"/>
              </w:rPr>
              <w:t>夜间</w:t>
            </w:r>
          </w:p>
        </w:tc>
        <w:tc>
          <w:tcPr>
            <w:tcW w:w="883" w:type="pct"/>
            <w:vMerge w:val="continue"/>
            <w:tcBorders>
              <w:tl2br w:val="nil"/>
              <w:tr2bl w:val="nil"/>
            </w:tcBorders>
            <w:shd w:val="clear" w:color="auto" w:fill="FFFFFF"/>
            <w:noWrap w:val="0"/>
            <w:vAlign w:val="center"/>
          </w:tcPr>
          <w:p w14:paraId="62D1D191">
            <w:pPr>
              <w:pStyle w:val="563"/>
              <w:bidi w:val="0"/>
              <w:jc w:val="center"/>
              <w:rPr>
                <w:color w:val="auto"/>
                <w:highlight w:val="none"/>
              </w:rPr>
            </w:pPr>
          </w:p>
        </w:tc>
        <w:tc>
          <w:tcPr>
            <w:tcW w:w="933" w:type="pct"/>
            <w:tcBorders>
              <w:tl2br w:val="nil"/>
              <w:tr2bl w:val="nil"/>
            </w:tcBorders>
            <w:shd w:val="clear" w:color="auto" w:fill="FFFFFF"/>
            <w:noWrap w:val="0"/>
            <w:vAlign w:val="center"/>
          </w:tcPr>
          <w:p w14:paraId="75AC7A3E">
            <w:pPr>
              <w:pStyle w:val="563"/>
              <w:bidi w:val="0"/>
              <w:jc w:val="center"/>
              <w:rPr>
                <w:color w:val="auto"/>
                <w:highlight w:val="none"/>
              </w:rPr>
            </w:pPr>
            <w:r>
              <w:rPr>
                <w:color w:val="auto"/>
                <w:highlight w:val="none"/>
              </w:rPr>
              <w:t>55</w:t>
            </w:r>
          </w:p>
        </w:tc>
        <w:tc>
          <w:tcPr>
            <w:tcW w:w="543" w:type="pct"/>
            <w:tcBorders>
              <w:tl2br w:val="nil"/>
              <w:tr2bl w:val="nil"/>
            </w:tcBorders>
            <w:shd w:val="clear" w:color="auto" w:fill="FFFFFF"/>
            <w:noWrap w:val="0"/>
            <w:vAlign w:val="top"/>
          </w:tcPr>
          <w:p w14:paraId="0179C207">
            <w:pPr>
              <w:pStyle w:val="563"/>
              <w:bidi w:val="0"/>
              <w:rPr>
                <w:color w:val="auto"/>
                <w:highlight w:val="none"/>
              </w:rPr>
            </w:pPr>
            <w:r>
              <w:rPr>
                <w:color w:val="auto"/>
                <w:highlight w:val="none"/>
              </w:rPr>
              <w:t>达标</w:t>
            </w:r>
          </w:p>
        </w:tc>
      </w:tr>
      <w:tr w14:paraId="761B65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42" w:type="pct"/>
            <w:vMerge w:val="restart"/>
            <w:tcBorders>
              <w:tl2br w:val="nil"/>
              <w:tr2bl w:val="nil"/>
            </w:tcBorders>
            <w:shd w:val="clear" w:color="auto" w:fill="FFFFFF"/>
            <w:noWrap w:val="0"/>
            <w:vAlign w:val="center"/>
          </w:tcPr>
          <w:p w14:paraId="77B0CF1F">
            <w:pPr>
              <w:pStyle w:val="563"/>
              <w:bidi w:val="0"/>
              <w:rPr>
                <w:color w:val="auto"/>
                <w:highlight w:val="none"/>
              </w:rPr>
            </w:pPr>
            <w:r>
              <w:rPr>
                <w:color w:val="auto"/>
                <w:highlight w:val="none"/>
              </w:rPr>
              <w:t>西侧</w:t>
            </w:r>
          </w:p>
        </w:tc>
        <w:tc>
          <w:tcPr>
            <w:tcW w:w="499" w:type="pct"/>
            <w:vMerge w:val="restart"/>
            <w:tcBorders>
              <w:tl2br w:val="nil"/>
              <w:tr2bl w:val="nil"/>
            </w:tcBorders>
            <w:shd w:val="clear" w:color="auto" w:fill="FFFFFF"/>
            <w:noWrap w:val="0"/>
            <w:vAlign w:val="center"/>
          </w:tcPr>
          <w:p w14:paraId="35344E0B">
            <w:pPr>
              <w:pStyle w:val="563"/>
              <w:bidi w:val="0"/>
              <w:rPr>
                <w:rFonts w:hint="default"/>
                <w:color w:val="auto"/>
                <w:highlight w:val="none"/>
                <w:lang w:val="en-US" w:eastAsia="zh-CN"/>
              </w:rPr>
            </w:pPr>
            <w:r>
              <w:rPr>
                <w:rFonts w:hint="eastAsia"/>
                <w:color w:val="auto"/>
                <w:highlight w:val="none"/>
                <w:lang w:val="en-US" w:eastAsia="zh-CN"/>
              </w:rPr>
              <w:t>60</w:t>
            </w:r>
          </w:p>
        </w:tc>
        <w:tc>
          <w:tcPr>
            <w:tcW w:w="500" w:type="pct"/>
            <w:vMerge w:val="restart"/>
            <w:tcBorders>
              <w:tl2br w:val="nil"/>
              <w:tr2bl w:val="nil"/>
            </w:tcBorders>
            <w:shd w:val="clear" w:color="auto" w:fill="FFFFFF"/>
            <w:noWrap w:val="0"/>
            <w:vAlign w:val="center"/>
          </w:tcPr>
          <w:p w14:paraId="08EF8058">
            <w:pPr>
              <w:pStyle w:val="563"/>
              <w:bidi w:val="0"/>
              <w:rPr>
                <w:rFonts w:hint="default"/>
                <w:color w:val="auto"/>
                <w:highlight w:val="none"/>
                <w:lang w:val="en-US" w:eastAsia="zh-CN"/>
              </w:rPr>
            </w:pPr>
            <w:r>
              <w:rPr>
                <w:rFonts w:hint="eastAsia"/>
                <w:color w:val="auto"/>
                <w:highlight w:val="none"/>
                <w:lang w:val="en-US" w:eastAsia="zh-CN"/>
              </w:rPr>
              <w:t>-16</w:t>
            </w:r>
          </w:p>
        </w:tc>
        <w:tc>
          <w:tcPr>
            <w:tcW w:w="416" w:type="pct"/>
            <w:vMerge w:val="restart"/>
            <w:tcBorders>
              <w:tl2br w:val="nil"/>
              <w:tr2bl w:val="nil"/>
            </w:tcBorders>
            <w:shd w:val="clear" w:color="auto" w:fill="FFFFFF"/>
            <w:noWrap w:val="0"/>
            <w:vAlign w:val="center"/>
          </w:tcPr>
          <w:p w14:paraId="04118DDD">
            <w:pPr>
              <w:pStyle w:val="563"/>
              <w:bidi w:val="0"/>
              <w:rPr>
                <w:color w:val="auto"/>
                <w:highlight w:val="none"/>
              </w:rPr>
            </w:pPr>
            <w:r>
              <w:rPr>
                <w:color w:val="auto"/>
                <w:highlight w:val="none"/>
              </w:rPr>
              <w:t>1</w:t>
            </w:r>
          </w:p>
        </w:tc>
        <w:tc>
          <w:tcPr>
            <w:tcW w:w="581" w:type="pct"/>
            <w:tcBorders>
              <w:tl2br w:val="nil"/>
              <w:tr2bl w:val="nil"/>
            </w:tcBorders>
            <w:shd w:val="clear" w:color="auto" w:fill="FFFFFF"/>
            <w:noWrap w:val="0"/>
            <w:vAlign w:val="center"/>
          </w:tcPr>
          <w:p w14:paraId="63984B36">
            <w:pPr>
              <w:pStyle w:val="563"/>
              <w:bidi w:val="0"/>
              <w:jc w:val="center"/>
              <w:rPr>
                <w:color w:val="auto"/>
                <w:highlight w:val="none"/>
              </w:rPr>
            </w:pPr>
            <w:r>
              <w:rPr>
                <w:color w:val="auto"/>
                <w:highlight w:val="none"/>
              </w:rPr>
              <w:t>昼间</w:t>
            </w:r>
          </w:p>
        </w:tc>
        <w:tc>
          <w:tcPr>
            <w:tcW w:w="883" w:type="pct"/>
            <w:vMerge w:val="restart"/>
            <w:tcBorders>
              <w:tl2br w:val="nil"/>
              <w:tr2bl w:val="nil"/>
            </w:tcBorders>
            <w:shd w:val="clear" w:color="auto" w:fill="FFFFFF"/>
            <w:noWrap w:val="0"/>
            <w:vAlign w:val="center"/>
          </w:tcPr>
          <w:p w14:paraId="71851D98">
            <w:pPr>
              <w:pStyle w:val="563"/>
              <w:bidi w:val="0"/>
              <w:jc w:val="center"/>
              <w:rPr>
                <w:rFonts w:hint="default"/>
                <w:color w:val="auto"/>
                <w:highlight w:val="none"/>
                <w:lang w:val="en-US" w:eastAsia="zh-CN"/>
              </w:rPr>
            </w:pPr>
            <w:r>
              <w:rPr>
                <w:rFonts w:hint="eastAsia"/>
                <w:color w:val="auto"/>
                <w:highlight w:val="none"/>
                <w:lang w:val="en-US" w:eastAsia="zh-CN"/>
              </w:rPr>
              <w:t>47.2</w:t>
            </w:r>
          </w:p>
        </w:tc>
        <w:tc>
          <w:tcPr>
            <w:tcW w:w="933" w:type="pct"/>
            <w:tcBorders>
              <w:tl2br w:val="nil"/>
              <w:tr2bl w:val="nil"/>
            </w:tcBorders>
            <w:shd w:val="clear" w:color="auto" w:fill="FFFFFF"/>
            <w:noWrap w:val="0"/>
            <w:vAlign w:val="center"/>
          </w:tcPr>
          <w:p w14:paraId="210F358F">
            <w:pPr>
              <w:pStyle w:val="563"/>
              <w:bidi w:val="0"/>
              <w:jc w:val="center"/>
              <w:rPr>
                <w:rFonts w:hint="default"/>
                <w:color w:val="auto"/>
                <w:highlight w:val="none"/>
                <w:lang w:val="en-US" w:eastAsia="zh-CN"/>
              </w:rPr>
            </w:pPr>
            <w:r>
              <w:rPr>
                <w:rFonts w:hint="eastAsia"/>
                <w:color w:val="auto"/>
                <w:highlight w:val="none"/>
                <w:lang w:val="en-US" w:eastAsia="zh-CN"/>
              </w:rPr>
              <w:t>70</w:t>
            </w:r>
          </w:p>
        </w:tc>
        <w:tc>
          <w:tcPr>
            <w:tcW w:w="543" w:type="pct"/>
            <w:tcBorders>
              <w:tl2br w:val="nil"/>
              <w:tr2bl w:val="nil"/>
            </w:tcBorders>
            <w:shd w:val="clear" w:color="auto" w:fill="FFFFFF"/>
            <w:noWrap w:val="0"/>
            <w:vAlign w:val="center"/>
          </w:tcPr>
          <w:p w14:paraId="5D38FDA6">
            <w:pPr>
              <w:pStyle w:val="563"/>
              <w:bidi w:val="0"/>
              <w:rPr>
                <w:color w:val="auto"/>
                <w:highlight w:val="none"/>
              </w:rPr>
            </w:pPr>
            <w:r>
              <w:rPr>
                <w:color w:val="auto"/>
                <w:highlight w:val="none"/>
              </w:rPr>
              <w:t>达标</w:t>
            </w:r>
          </w:p>
        </w:tc>
      </w:tr>
      <w:tr w14:paraId="6A6AE8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42" w:type="pct"/>
            <w:vMerge w:val="continue"/>
            <w:tcBorders>
              <w:tl2br w:val="nil"/>
              <w:tr2bl w:val="nil"/>
            </w:tcBorders>
            <w:shd w:val="clear" w:color="auto" w:fill="FFFFFF"/>
            <w:noWrap w:val="0"/>
            <w:vAlign w:val="center"/>
          </w:tcPr>
          <w:p w14:paraId="0A171E42">
            <w:pPr>
              <w:pStyle w:val="563"/>
              <w:bidi w:val="0"/>
              <w:rPr>
                <w:color w:val="auto"/>
                <w:highlight w:val="none"/>
              </w:rPr>
            </w:pPr>
          </w:p>
        </w:tc>
        <w:tc>
          <w:tcPr>
            <w:tcW w:w="499" w:type="pct"/>
            <w:vMerge w:val="continue"/>
            <w:tcBorders>
              <w:tl2br w:val="nil"/>
              <w:tr2bl w:val="nil"/>
            </w:tcBorders>
            <w:shd w:val="clear" w:color="auto" w:fill="FFFFFF"/>
            <w:noWrap w:val="0"/>
            <w:vAlign w:val="top"/>
          </w:tcPr>
          <w:p w14:paraId="39FBCB40">
            <w:pPr>
              <w:pStyle w:val="563"/>
              <w:bidi w:val="0"/>
              <w:rPr>
                <w:color w:val="auto"/>
                <w:highlight w:val="none"/>
              </w:rPr>
            </w:pPr>
          </w:p>
        </w:tc>
        <w:tc>
          <w:tcPr>
            <w:tcW w:w="500" w:type="pct"/>
            <w:vMerge w:val="continue"/>
            <w:tcBorders>
              <w:tl2br w:val="nil"/>
              <w:tr2bl w:val="nil"/>
            </w:tcBorders>
            <w:shd w:val="clear" w:color="auto" w:fill="FFFFFF"/>
            <w:noWrap w:val="0"/>
            <w:vAlign w:val="top"/>
          </w:tcPr>
          <w:p w14:paraId="2EC946DB">
            <w:pPr>
              <w:pStyle w:val="563"/>
              <w:bidi w:val="0"/>
              <w:rPr>
                <w:color w:val="auto"/>
                <w:highlight w:val="none"/>
              </w:rPr>
            </w:pPr>
          </w:p>
        </w:tc>
        <w:tc>
          <w:tcPr>
            <w:tcW w:w="416" w:type="pct"/>
            <w:vMerge w:val="continue"/>
            <w:tcBorders>
              <w:tl2br w:val="nil"/>
              <w:tr2bl w:val="nil"/>
            </w:tcBorders>
            <w:shd w:val="clear" w:color="auto" w:fill="FFFFFF"/>
            <w:noWrap w:val="0"/>
            <w:vAlign w:val="top"/>
          </w:tcPr>
          <w:p w14:paraId="433100A2">
            <w:pPr>
              <w:pStyle w:val="563"/>
              <w:bidi w:val="0"/>
              <w:rPr>
                <w:color w:val="auto"/>
                <w:highlight w:val="none"/>
              </w:rPr>
            </w:pPr>
          </w:p>
        </w:tc>
        <w:tc>
          <w:tcPr>
            <w:tcW w:w="581" w:type="pct"/>
            <w:tcBorders>
              <w:tl2br w:val="nil"/>
              <w:tr2bl w:val="nil"/>
            </w:tcBorders>
            <w:shd w:val="clear" w:color="auto" w:fill="FFFFFF"/>
            <w:noWrap w:val="0"/>
            <w:vAlign w:val="center"/>
          </w:tcPr>
          <w:p w14:paraId="5B27D7F4">
            <w:pPr>
              <w:pStyle w:val="563"/>
              <w:bidi w:val="0"/>
              <w:jc w:val="center"/>
              <w:rPr>
                <w:color w:val="auto"/>
                <w:highlight w:val="none"/>
              </w:rPr>
            </w:pPr>
            <w:r>
              <w:rPr>
                <w:color w:val="auto"/>
                <w:highlight w:val="none"/>
              </w:rPr>
              <w:t>夜间</w:t>
            </w:r>
          </w:p>
        </w:tc>
        <w:tc>
          <w:tcPr>
            <w:tcW w:w="883" w:type="pct"/>
            <w:vMerge w:val="continue"/>
            <w:tcBorders>
              <w:tl2br w:val="nil"/>
              <w:tr2bl w:val="nil"/>
            </w:tcBorders>
            <w:shd w:val="clear" w:color="auto" w:fill="FFFFFF"/>
            <w:noWrap w:val="0"/>
            <w:vAlign w:val="center"/>
          </w:tcPr>
          <w:p w14:paraId="0A142BED">
            <w:pPr>
              <w:pStyle w:val="563"/>
              <w:bidi w:val="0"/>
              <w:jc w:val="center"/>
              <w:rPr>
                <w:color w:val="auto"/>
                <w:highlight w:val="none"/>
              </w:rPr>
            </w:pPr>
          </w:p>
        </w:tc>
        <w:tc>
          <w:tcPr>
            <w:tcW w:w="933" w:type="pct"/>
            <w:tcBorders>
              <w:tl2br w:val="nil"/>
              <w:tr2bl w:val="nil"/>
            </w:tcBorders>
            <w:shd w:val="clear" w:color="auto" w:fill="FFFFFF"/>
            <w:noWrap w:val="0"/>
            <w:vAlign w:val="center"/>
          </w:tcPr>
          <w:p w14:paraId="00809557">
            <w:pPr>
              <w:pStyle w:val="563"/>
              <w:bidi w:val="0"/>
              <w:jc w:val="center"/>
              <w:rPr>
                <w:color w:val="auto"/>
                <w:highlight w:val="none"/>
              </w:rPr>
            </w:pPr>
            <w:r>
              <w:rPr>
                <w:color w:val="auto"/>
                <w:highlight w:val="none"/>
              </w:rPr>
              <w:t>55</w:t>
            </w:r>
          </w:p>
        </w:tc>
        <w:tc>
          <w:tcPr>
            <w:tcW w:w="543" w:type="pct"/>
            <w:tcBorders>
              <w:tl2br w:val="nil"/>
              <w:tr2bl w:val="nil"/>
            </w:tcBorders>
            <w:shd w:val="clear" w:color="auto" w:fill="FFFFFF"/>
            <w:noWrap w:val="0"/>
            <w:vAlign w:val="top"/>
          </w:tcPr>
          <w:p w14:paraId="27A004D3">
            <w:pPr>
              <w:pStyle w:val="563"/>
              <w:bidi w:val="0"/>
              <w:rPr>
                <w:color w:val="auto"/>
                <w:highlight w:val="none"/>
              </w:rPr>
            </w:pPr>
            <w:r>
              <w:rPr>
                <w:color w:val="auto"/>
                <w:highlight w:val="none"/>
              </w:rPr>
              <w:t>达标</w:t>
            </w:r>
          </w:p>
        </w:tc>
      </w:tr>
      <w:tr w14:paraId="0819A3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42" w:type="pct"/>
            <w:vMerge w:val="restart"/>
            <w:tcBorders>
              <w:tl2br w:val="nil"/>
              <w:tr2bl w:val="nil"/>
            </w:tcBorders>
            <w:shd w:val="clear" w:color="auto" w:fill="FFFFFF"/>
            <w:noWrap w:val="0"/>
            <w:vAlign w:val="center"/>
          </w:tcPr>
          <w:p w14:paraId="6448F6FC">
            <w:pPr>
              <w:pStyle w:val="563"/>
              <w:bidi w:val="0"/>
              <w:rPr>
                <w:color w:val="auto"/>
                <w:highlight w:val="none"/>
              </w:rPr>
            </w:pPr>
            <w:r>
              <w:rPr>
                <w:color w:val="auto"/>
                <w:highlight w:val="none"/>
              </w:rPr>
              <w:t>北侧</w:t>
            </w:r>
          </w:p>
        </w:tc>
        <w:tc>
          <w:tcPr>
            <w:tcW w:w="499" w:type="pct"/>
            <w:vMerge w:val="restart"/>
            <w:tcBorders>
              <w:tl2br w:val="nil"/>
              <w:tr2bl w:val="nil"/>
            </w:tcBorders>
            <w:shd w:val="clear" w:color="auto" w:fill="FFFFFF"/>
            <w:noWrap w:val="0"/>
            <w:vAlign w:val="center"/>
          </w:tcPr>
          <w:p w14:paraId="4299F8BC">
            <w:pPr>
              <w:pStyle w:val="563"/>
              <w:bidi w:val="0"/>
              <w:rPr>
                <w:rFonts w:hint="default"/>
                <w:color w:val="auto"/>
                <w:highlight w:val="none"/>
                <w:lang w:val="en-US" w:eastAsia="zh-CN"/>
              </w:rPr>
            </w:pPr>
            <w:r>
              <w:rPr>
                <w:rFonts w:hint="eastAsia"/>
                <w:color w:val="auto"/>
                <w:highlight w:val="none"/>
                <w:lang w:val="en-US" w:eastAsia="zh-CN"/>
              </w:rPr>
              <w:t>42</w:t>
            </w:r>
          </w:p>
        </w:tc>
        <w:tc>
          <w:tcPr>
            <w:tcW w:w="500" w:type="pct"/>
            <w:vMerge w:val="restart"/>
            <w:tcBorders>
              <w:tl2br w:val="nil"/>
              <w:tr2bl w:val="nil"/>
            </w:tcBorders>
            <w:shd w:val="clear" w:color="auto" w:fill="FFFFFF"/>
            <w:noWrap w:val="0"/>
            <w:vAlign w:val="center"/>
          </w:tcPr>
          <w:p w14:paraId="4C3511AD">
            <w:pPr>
              <w:pStyle w:val="563"/>
              <w:bidi w:val="0"/>
              <w:rPr>
                <w:rFonts w:hint="default"/>
                <w:color w:val="auto"/>
                <w:highlight w:val="none"/>
                <w:lang w:val="en-US" w:eastAsia="zh-CN"/>
              </w:rPr>
            </w:pPr>
            <w:r>
              <w:rPr>
                <w:rFonts w:hint="eastAsia"/>
                <w:color w:val="auto"/>
                <w:highlight w:val="none"/>
                <w:lang w:val="en-US" w:eastAsia="zh-CN"/>
              </w:rPr>
              <w:t>120</w:t>
            </w:r>
          </w:p>
        </w:tc>
        <w:tc>
          <w:tcPr>
            <w:tcW w:w="416" w:type="pct"/>
            <w:vMerge w:val="restart"/>
            <w:tcBorders>
              <w:tl2br w:val="nil"/>
              <w:tr2bl w:val="nil"/>
            </w:tcBorders>
            <w:shd w:val="clear" w:color="auto" w:fill="FFFFFF"/>
            <w:noWrap w:val="0"/>
            <w:vAlign w:val="center"/>
          </w:tcPr>
          <w:p w14:paraId="3698E1B0">
            <w:pPr>
              <w:pStyle w:val="563"/>
              <w:bidi w:val="0"/>
              <w:rPr>
                <w:color w:val="auto"/>
                <w:highlight w:val="none"/>
              </w:rPr>
            </w:pPr>
            <w:r>
              <w:rPr>
                <w:color w:val="auto"/>
                <w:highlight w:val="none"/>
              </w:rPr>
              <w:t>1</w:t>
            </w:r>
          </w:p>
        </w:tc>
        <w:tc>
          <w:tcPr>
            <w:tcW w:w="581" w:type="pct"/>
            <w:tcBorders>
              <w:tl2br w:val="nil"/>
              <w:tr2bl w:val="nil"/>
            </w:tcBorders>
            <w:shd w:val="clear" w:color="auto" w:fill="FFFFFF"/>
            <w:noWrap w:val="0"/>
            <w:vAlign w:val="center"/>
          </w:tcPr>
          <w:p w14:paraId="6F6C4FF0">
            <w:pPr>
              <w:pStyle w:val="563"/>
              <w:bidi w:val="0"/>
              <w:jc w:val="center"/>
              <w:rPr>
                <w:color w:val="auto"/>
                <w:highlight w:val="none"/>
              </w:rPr>
            </w:pPr>
            <w:r>
              <w:rPr>
                <w:color w:val="auto"/>
                <w:highlight w:val="none"/>
              </w:rPr>
              <w:t>昼间</w:t>
            </w:r>
          </w:p>
        </w:tc>
        <w:tc>
          <w:tcPr>
            <w:tcW w:w="883" w:type="pct"/>
            <w:vMerge w:val="restart"/>
            <w:tcBorders>
              <w:tl2br w:val="nil"/>
              <w:tr2bl w:val="nil"/>
            </w:tcBorders>
            <w:shd w:val="clear" w:color="auto" w:fill="FFFFFF"/>
            <w:noWrap w:val="0"/>
            <w:vAlign w:val="center"/>
          </w:tcPr>
          <w:p w14:paraId="161910D1">
            <w:pPr>
              <w:pStyle w:val="563"/>
              <w:bidi w:val="0"/>
              <w:jc w:val="center"/>
              <w:rPr>
                <w:rFonts w:hint="default"/>
                <w:color w:val="auto"/>
                <w:highlight w:val="none"/>
                <w:lang w:val="en-US" w:eastAsia="zh-CN"/>
              </w:rPr>
            </w:pPr>
            <w:r>
              <w:rPr>
                <w:rFonts w:hint="eastAsia"/>
                <w:color w:val="auto"/>
                <w:highlight w:val="none"/>
                <w:lang w:val="en-US" w:eastAsia="zh-CN"/>
              </w:rPr>
              <w:t>46.6</w:t>
            </w:r>
          </w:p>
        </w:tc>
        <w:tc>
          <w:tcPr>
            <w:tcW w:w="933" w:type="pct"/>
            <w:tcBorders>
              <w:tl2br w:val="nil"/>
              <w:tr2bl w:val="nil"/>
            </w:tcBorders>
            <w:shd w:val="clear" w:color="auto" w:fill="FFFFFF"/>
            <w:noWrap w:val="0"/>
            <w:vAlign w:val="center"/>
          </w:tcPr>
          <w:p w14:paraId="7142F3FA">
            <w:pPr>
              <w:pStyle w:val="563"/>
              <w:bidi w:val="0"/>
              <w:jc w:val="center"/>
              <w:rPr>
                <w:color w:val="auto"/>
                <w:highlight w:val="none"/>
              </w:rPr>
            </w:pPr>
            <w:r>
              <w:rPr>
                <w:color w:val="auto"/>
                <w:highlight w:val="none"/>
              </w:rPr>
              <w:t>65</w:t>
            </w:r>
          </w:p>
        </w:tc>
        <w:tc>
          <w:tcPr>
            <w:tcW w:w="543" w:type="pct"/>
            <w:tcBorders>
              <w:tl2br w:val="nil"/>
              <w:tr2bl w:val="nil"/>
            </w:tcBorders>
            <w:shd w:val="clear" w:color="auto" w:fill="FFFFFF"/>
            <w:noWrap w:val="0"/>
            <w:vAlign w:val="center"/>
          </w:tcPr>
          <w:p w14:paraId="6FAF8914">
            <w:pPr>
              <w:pStyle w:val="563"/>
              <w:bidi w:val="0"/>
              <w:rPr>
                <w:color w:val="auto"/>
                <w:highlight w:val="none"/>
              </w:rPr>
            </w:pPr>
            <w:r>
              <w:rPr>
                <w:color w:val="auto"/>
                <w:highlight w:val="none"/>
              </w:rPr>
              <w:t>达标</w:t>
            </w:r>
          </w:p>
        </w:tc>
      </w:tr>
      <w:tr w14:paraId="64BE1D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exact"/>
          <w:jc w:val="center"/>
        </w:trPr>
        <w:tc>
          <w:tcPr>
            <w:tcW w:w="642" w:type="pct"/>
            <w:vMerge w:val="continue"/>
            <w:tcBorders>
              <w:tl2br w:val="nil"/>
              <w:tr2bl w:val="nil"/>
            </w:tcBorders>
            <w:shd w:val="clear" w:color="auto" w:fill="FFFFFF"/>
            <w:noWrap w:val="0"/>
            <w:vAlign w:val="center"/>
          </w:tcPr>
          <w:p w14:paraId="475934D1">
            <w:pPr>
              <w:pStyle w:val="563"/>
              <w:bidi w:val="0"/>
              <w:rPr>
                <w:color w:val="auto"/>
                <w:highlight w:val="none"/>
              </w:rPr>
            </w:pPr>
          </w:p>
        </w:tc>
        <w:tc>
          <w:tcPr>
            <w:tcW w:w="499" w:type="pct"/>
            <w:vMerge w:val="continue"/>
            <w:tcBorders>
              <w:tl2br w:val="nil"/>
              <w:tr2bl w:val="nil"/>
            </w:tcBorders>
            <w:shd w:val="clear" w:color="auto" w:fill="FFFFFF"/>
            <w:noWrap w:val="0"/>
            <w:vAlign w:val="top"/>
          </w:tcPr>
          <w:p w14:paraId="4B512474">
            <w:pPr>
              <w:pStyle w:val="563"/>
              <w:bidi w:val="0"/>
              <w:rPr>
                <w:color w:val="auto"/>
                <w:highlight w:val="none"/>
              </w:rPr>
            </w:pPr>
          </w:p>
        </w:tc>
        <w:tc>
          <w:tcPr>
            <w:tcW w:w="500" w:type="pct"/>
            <w:vMerge w:val="continue"/>
            <w:tcBorders>
              <w:tl2br w:val="nil"/>
              <w:tr2bl w:val="nil"/>
            </w:tcBorders>
            <w:shd w:val="clear" w:color="auto" w:fill="FFFFFF"/>
            <w:noWrap w:val="0"/>
            <w:vAlign w:val="top"/>
          </w:tcPr>
          <w:p w14:paraId="29860678">
            <w:pPr>
              <w:pStyle w:val="563"/>
              <w:bidi w:val="0"/>
              <w:rPr>
                <w:color w:val="auto"/>
                <w:highlight w:val="none"/>
              </w:rPr>
            </w:pPr>
          </w:p>
        </w:tc>
        <w:tc>
          <w:tcPr>
            <w:tcW w:w="416" w:type="pct"/>
            <w:vMerge w:val="continue"/>
            <w:tcBorders>
              <w:tl2br w:val="nil"/>
              <w:tr2bl w:val="nil"/>
            </w:tcBorders>
            <w:shd w:val="clear" w:color="auto" w:fill="FFFFFF"/>
            <w:noWrap w:val="0"/>
            <w:vAlign w:val="top"/>
          </w:tcPr>
          <w:p w14:paraId="4B13C2C7">
            <w:pPr>
              <w:pStyle w:val="563"/>
              <w:bidi w:val="0"/>
              <w:rPr>
                <w:color w:val="auto"/>
                <w:highlight w:val="none"/>
              </w:rPr>
            </w:pPr>
          </w:p>
        </w:tc>
        <w:tc>
          <w:tcPr>
            <w:tcW w:w="581" w:type="pct"/>
            <w:tcBorders>
              <w:tl2br w:val="nil"/>
              <w:tr2bl w:val="nil"/>
            </w:tcBorders>
            <w:shd w:val="clear" w:color="auto" w:fill="FFFFFF"/>
            <w:noWrap w:val="0"/>
            <w:vAlign w:val="center"/>
          </w:tcPr>
          <w:p w14:paraId="58D69267">
            <w:pPr>
              <w:pStyle w:val="563"/>
              <w:bidi w:val="0"/>
              <w:jc w:val="center"/>
              <w:rPr>
                <w:color w:val="auto"/>
                <w:highlight w:val="none"/>
              </w:rPr>
            </w:pPr>
            <w:r>
              <w:rPr>
                <w:color w:val="auto"/>
                <w:highlight w:val="none"/>
              </w:rPr>
              <w:t>夜间</w:t>
            </w:r>
          </w:p>
        </w:tc>
        <w:tc>
          <w:tcPr>
            <w:tcW w:w="883" w:type="pct"/>
            <w:vMerge w:val="continue"/>
            <w:tcBorders>
              <w:tl2br w:val="nil"/>
              <w:tr2bl w:val="nil"/>
            </w:tcBorders>
            <w:shd w:val="clear" w:color="auto" w:fill="FFFFFF"/>
            <w:noWrap w:val="0"/>
            <w:vAlign w:val="center"/>
          </w:tcPr>
          <w:p w14:paraId="024B400C">
            <w:pPr>
              <w:pStyle w:val="563"/>
              <w:bidi w:val="0"/>
              <w:jc w:val="center"/>
              <w:rPr>
                <w:color w:val="auto"/>
                <w:highlight w:val="none"/>
              </w:rPr>
            </w:pPr>
          </w:p>
        </w:tc>
        <w:tc>
          <w:tcPr>
            <w:tcW w:w="933" w:type="pct"/>
            <w:tcBorders>
              <w:tl2br w:val="nil"/>
              <w:tr2bl w:val="nil"/>
            </w:tcBorders>
            <w:shd w:val="clear" w:color="auto" w:fill="FFFFFF"/>
            <w:noWrap w:val="0"/>
            <w:vAlign w:val="center"/>
          </w:tcPr>
          <w:p w14:paraId="1FD759EE">
            <w:pPr>
              <w:pStyle w:val="563"/>
              <w:bidi w:val="0"/>
              <w:jc w:val="center"/>
              <w:rPr>
                <w:color w:val="auto"/>
                <w:highlight w:val="none"/>
              </w:rPr>
            </w:pPr>
            <w:r>
              <w:rPr>
                <w:color w:val="auto"/>
                <w:highlight w:val="none"/>
              </w:rPr>
              <w:t>55</w:t>
            </w:r>
          </w:p>
        </w:tc>
        <w:tc>
          <w:tcPr>
            <w:tcW w:w="543" w:type="pct"/>
            <w:tcBorders>
              <w:tl2br w:val="nil"/>
              <w:tr2bl w:val="nil"/>
            </w:tcBorders>
            <w:shd w:val="clear" w:color="auto" w:fill="FFFFFF"/>
            <w:noWrap w:val="0"/>
            <w:vAlign w:val="top"/>
          </w:tcPr>
          <w:p w14:paraId="67E7B220">
            <w:pPr>
              <w:pStyle w:val="563"/>
              <w:bidi w:val="0"/>
              <w:rPr>
                <w:color w:val="auto"/>
                <w:highlight w:val="none"/>
              </w:rPr>
            </w:pPr>
            <w:r>
              <w:rPr>
                <w:color w:val="auto"/>
                <w:highlight w:val="none"/>
              </w:rPr>
              <w:t>达标</w:t>
            </w:r>
          </w:p>
        </w:tc>
      </w:tr>
      <w:bookmarkEnd w:id="457"/>
    </w:tbl>
    <w:p w14:paraId="22500565">
      <w:pPr>
        <w:keepNext w:val="0"/>
        <w:keepLines w:val="0"/>
        <w:pageBreakBefore w:val="0"/>
        <w:widowControl w:val="0"/>
        <w:kinsoku/>
        <w:wordWrap/>
        <w:overflowPunct/>
        <w:topLinePunct/>
        <w:autoSpaceDE/>
        <w:autoSpaceDN/>
        <w:bidi w:val="0"/>
        <w:adjustRightInd w:val="0"/>
        <w:snapToGrid w:val="0"/>
        <w:spacing w:line="360" w:lineRule="auto"/>
        <w:ind w:firstLine="440" w:firstLineChars="200"/>
        <w:jc w:val="left"/>
        <w:textAlignment w:val="auto"/>
        <w:rPr>
          <w:rFonts w:hint="default" w:ascii="Times New Roman" w:hAnsi="Times New Roman" w:eastAsia="宋体" w:cs="Times New Roman"/>
          <w:bCs/>
          <w:color w:val="auto"/>
          <w:spacing w:val="-10"/>
          <w:sz w:val="24"/>
          <w:szCs w:val="21"/>
          <w:highlight w:val="none"/>
        </w:rPr>
      </w:pPr>
      <w:r>
        <w:rPr>
          <w:rFonts w:hint="default" w:ascii="Times New Roman" w:hAnsi="Times New Roman" w:eastAsia="宋体" w:cs="Times New Roman"/>
          <w:bCs/>
          <w:color w:val="auto"/>
          <w:spacing w:val="-10"/>
          <w:sz w:val="24"/>
          <w:szCs w:val="21"/>
          <w:highlight w:val="none"/>
        </w:rPr>
        <w:t>根据上表预测结果分析表明，本项目建成投产后，厂内各种设备所产生的噪声在采取相应的措施以及厂区合理布局后，经预测</w:t>
      </w:r>
      <w:r>
        <w:rPr>
          <w:rFonts w:hint="default" w:ascii="Times New Roman" w:hAnsi="Times New Roman" w:eastAsia="宋体" w:cs="Times New Roman"/>
          <w:bCs/>
          <w:color w:val="auto"/>
          <w:spacing w:val="-10"/>
          <w:sz w:val="24"/>
          <w:szCs w:val="21"/>
          <w:highlight w:val="none"/>
          <w:lang w:val="en-US" w:eastAsia="zh-CN"/>
        </w:rPr>
        <w:t>各</w:t>
      </w:r>
      <w:r>
        <w:rPr>
          <w:rFonts w:hint="default" w:ascii="Times New Roman" w:hAnsi="Times New Roman" w:eastAsia="宋体" w:cs="Times New Roman"/>
          <w:bCs/>
          <w:color w:val="auto"/>
          <w:spacing w:val="-10"/>
          <w:sz w:val="24"/>
          <w:szCs w:val="21"/>
          <w:highlight w:val="none"/>
          <w:lang w:eastAsia="zh-CN"/>
        </w:rPr>
        <w:t>厂界</w:t>
      </w:r>
      <w:r>
        <w:rPr>
          <w:rFonts w:hint="default" w:ascii="Times New Roman" w:hAnsi="Times New Roman" w:eastAsia="宋体" w:cs="Times New Roman"/>
          <w:bCs/>
          <w:color w:val="auto"/>
          <w:spacing w:val="-10"/>
          <w:sz w:val="24"/>
          <w:szCs w:val="21"/>
          <w:highlight w:val="none"/>
        </w:rPr>
        <w:t>噪声能达到</w:t>
      </w:r>
      <w:r>
        <w:rPr>
          <w:rFonts w:hint="default" w:ascii="Times New Roman" w:hAnsi="Times New Roman" w:eastAsia="宋体" w:cs="Times New Roman"/>
          <w:bCs/>
          <w:color w:val="auto"/>
          <w:spacing w:val="-10"/>
          <w:sz w:val="24"/>
          <w:szCs w:val="21"/>
          <w:highlight w:val="none"/>
          <w:lang w:eastAsia="zh-CN"/>
        </w:rPr>
        <w:t>满足</w:t>
      </w:r>
      <w:r>
        <w:rPr>
          <w:rFonts w:hint="default" w:ascii="Times New Roman" w:hAnsi="Times New Roman" w:eastAsia="宋体" w:cs="Times New Roman"/>
          <w:bCs/>
          <w:color w:val="auto"/>
          <w:spacing w:val="-10"/>
          <w:sz w:val="24"/>
          <w:szCs w:val="21"/>
          <w:highlight w:val="none"/>
        </w:rPr>
        <w:t>《工业企业厂界环境噪声排放标准》（GB12348-2008）中的3类</w:t>
      </w:r>
      <w:r>
        <w:rPr>
          <w:rFonts w:hint="eastAsia" w:ascii="Times New Roman" w:hAnsi="Times New Roman" w:eastAsia="宋体" w:cs="Times New Roman"/>
          <w:bCs/>
          <w:color w:val="auto"/>
          <w:spacing w:val="-10"/>
          <w:sz w:val="24"/>
          <w:szCs w:val="21"/>
          <w:highlight w:val="none"/>
          <w:lang w:val="en-US" w:eastAsia="zh-CN"/>
        </w:rPr>
        <w:t>及4类</w:t>
      </w:r>
      <w:r>
        <w:rPr>
          <w:rFonts w:hint="default" w:ascii="Times New Roman" w:hAnsi="Times New Roman" w:eastAsia="宋体" w:cs="Times New Roman"/>
          <w:bCs/>
          <w:color w:val="auto"/>
          <w:spacing w:val="-10"/>
          <w:sz w:val="24"/>
          <w:szCs w:val="21"/>
          <w:highlight w:val="none"/>
        </w:rPr>
        <w:t>标准的要求。项目运营期对所在区域声环境影响小。</w:t>
      </w:r>
    </w:p>
    <w:p w14:paraId="755B037F">
      <w:pPr>
        <w:autoSpaceDE w:val="0"/>
        <w:autoSpaceDN w:val="0"/>
        <w:jc w:val="center"/>
        <w:rPr>
          <w:rFonts w:ascii="Times New Roman" w:hAnsi="Times New Roman" w:eastAsia="宋体" w:cs="Times New Roman"/>
          <w:b/>
          <w:color w:val="auto"/>
          <w:kern w:val="0"/>
          <w:sz w:val="24"/>
          <w:szCs w:val="24"/>
          <w:highlight w:val="none"/>
        </w:rPr>
      </w:pPr>
      <w:r>
        <w:rPr>
          <w:rFonts w:ascii="Times New Roman" w:hAnsi="Times New Roman" w:eastAsia="宋体" w:cs="Times New Roman"/>
          <w:b/>
          <w:color w:val="auto"/>
          <w:kern w:val="0"/>
          <w:sz w:val="24"/>
          <w:szCs w:val="24"/>
          <w:highlight w:val="none"/>
        </w:rPr>
        <w:t>表</w:t>
      </w:r>
      <w:r>
        <w:rPr>
          <w:rFonts w:hint="eastAsia" w:ascii="Times New Roman" w:hAnsi="Times New Roman" w:eastAsia="宋体" w:cs="Times New Roman"/>
          <w:b/>
          <w:color w:val="auto"/>
          <w:kern w:val="0"/>
          <w:sz w:val="24"/>
          <w:szCs w:val="24"/>
          <w:highlight w:val="none"/>
          <w:lang w:val="en-US" w:eastAsia="zh-CN"/>
        </w:rPr>
        <w:t>5.2.3-6</w:t>
      </w:r>
      <w:r>
        <w:rPr>
          <w:rFonts w:hint="eastAsia" w:cs="Times New Roman"/>
          <w:b/>
          <w:color w:val="auto"/>
          <w:kern w:val="0"/>
          <w:sz w:val="24"/>
          <w:szCs w:val="24"/>
          <w:highlight w:val="none"/>
          <w:lang w:val="en-US" w:eastAsia="zh-CN"/>
        </w:rPr>
        <w:t xml:space="preserve">  </w:t>
      </w:r>
      <w:r>
        <w:rPr>
          <w:rFonts w:ascii="Times New Roman" w:hAnsi="Times New Roman" w:eastAsia="宋体" w:cs="Times New Roman"/>
          <w:b/>
          <w:color w:val="auto"/>
          <w:kern w:val="0"/>
          <w:sz w:val="24"/>
          <w:szCs w:val="24"/>
          <w:highlight w:val="none"/>
        </w:rPr>
        <w:t>声环境影响评价自查表</w:t>
      </w:r>
    </w:p>
    <w:tbl>
      <w:tblPr>
        <w:tblStyle w:val="49"/>
        <w:tblW w:w="89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1328"/>
        <w:gridCol w:w="1090"/>
        <w:gridCol w:w="547"/>
        <w:gridCol w:w="498"/>
        <w:gridCol w:w="655"/>
        <w:gridCol w:w="310"/>
        <w:gridCol w:w="841"/>
        <w:gridCol w:w="38"/>
        <w:gridCol w:w="394"/>
        <w:gridCol w:w="531"/>
        <w:gridCol w:w="484"/>
        <w:gridCol w:w="187"/>
        <w:gridCol w:w="977"/>
      </w:tblGrid>
      <w:tr w14:paraId="0EF0C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10" w:type="dxa"/>
            <w:gridSpan w:val="2"/>
            <w:tcBorders>
              <w:tl2br w:val="nil"/>
              <w:tr2bl w:val="nil"/>
            </w:tcBorders>
            <w:noWrap w:val="0"/>
            <w:vAlign w:val="center"/>
          </w:tcPr>
          <w:p w14:paraId="3F51A484">
            <w:pPr>
              <w:pStyle w:val="563"/>
              <w:bidi w:val="0"/>
              <w:rPr>
                <w:b/>
                <w:bCs/>
                <w:color w:val="auto"/>
                <w:highlight w:val="none"/>
              </w:rPr>
            </w:pPr>
            <w:r>
              <w:rPr>
                <w:b/>
                <w:bCs/>
                <w:color w:val="auto"/>
                <w:highlight w:val="none"/>
              </w:rPr>
              <w:t>工作内容</w:t>
            </w:r>
          </w:p>
        </w:tc>
        <w:tc>
          <w:tcPr>
            <w:tcW w:w="6552" w:type="dxa"/>
            <w:gridSpan w:val="12"/>
            <w:tcBorders>
              <w:tl2br w:val="nil"/>
              <w:tr2bl w:val="nil"/>
            </w:tcBorders>
            <w:noWrap w:val="0"/>
            <w:vAlign w:val="center"/>
          </w:tcPr>
          <w:p w14:paraId="04DF57B2">
            <w:pPr>
              <w:pStyle w:val="563"/>
              <w:bidi w:val="0"/>
              <w:rPr>
                <w:b/>
                <w:bCs/>
                <w:color w:val="auto"/>
                <w:highlight w:val="none"/>
              </w:rPr>
            </w:pPr>
            <w:r>
              <w:rPr>
                <w:b/>
                <w:bCs/>
                <w:color w:val="auto"/>
                <w:highlight w:val="none"/>
              </w:rPr>
              <w:t>自查项目</w:t>
            </w:r>
          </w:p>
        </w:tc>
      </w:tr>
      <w:tr w14:paraId="74A7F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restart"/>
            <w:tcBorders>
              <w:tl2br w:val="nil"/>
              <w:tr2bl w:val="nil"/>
            </w:tcBorders>
            <w:noWrap w:val="0"/>
            <w:vAlign w:val="center"/>
          </w:tcPr>
          <w:p w14:paraId="392A75FB">
            <w:pPr>
              <w:pStyle w:val="563"/>
              <w:bidi w:val="0"/>
              <w:rPr>
                <w:color w:val="auto"/>
                <w:highlight w:val="none"/>
              </w:rPr>
            </w:pPr>
            <w:r>
              <w:rPr>
                <w:color w:val="auto"/>
                <w:highlight w:val="none"/>
              </w:rPr>
              <w:t>评价等级与范围</w:t>
            </w:r>
          </w:p>
        </w:tc>
        <w:tc>
          <w:tcPr>
            <w:tcW w:w="1328" w:type="dxa"/>
            <w:tcBorders>
              <w:tl2br w:val="nil"/>
              <w:tr2bl w:val="nil"/>
            </w:tcBorders>
            <w:noWrap w:val="0"/>
            <w:vAlign w:val="center"/>
          </w:tcPr>
          <w:p w14:paraId="6978074A">
            <w:pPr>
              <w:pStyle w:val="563"/>
              <w:bidi w:val="0"/>
              <w:rPr>
                <w:color w:val="auto"/>
                <w:highlight w:val="none"/>
              </w:rPr>
            </w:pPr>
            <w:r>
              <w:rPr>
                <w:color w:val="auto"/>
                <w:highlight w:val="none"/>
              </w:rPr>
              <w:t>评价等级</w:t>
            </w:r>
          </w:p>
        </w:tc>
        <w:tc>
          <w:tcPr>
            <w:tcW w:w="6552" w:type="dxa"/>
            <w:gridSpan w:val="12"/>
            <w:tcBorders>
              <w:tl2br w:val="nil"/>
              <w:tr2bl w:val="nil"/>
            </w:tcBorders>
            <w:noWrap w:val="0"/>
            <w:vAlign w:val="center"/>
          </w:tcPr>
          <w:p w14:paraId="0E03C87F">
            <w:pPr>
              <w:pStyle w:val="563"/>
              <w:bidi w:val="0"/>
              <w:rPr>
                <w:color w:val="auto"/>
                <w:highlight w:val="none"/>
              </w:rPr>
            </w:pPr>
            <w:r>
              <w:rPr>
                <w:color w:val="auto"/>
                <w:highlight w:val="none"/>
              </w:rPr>
              <w:t>一级</w:t>
            </w:r>
            <w:r>
              <w:rPr>
                <w:color w:val="auto"/>
                <w:highlight w:val="none"/>
              </w:rPr>
              <w:sym w:font="Wingdings 2" w:char="00A3"/>
            </w:r>
            <w:r>
              <w:rPr>
                <w:color w:val="auto"/>
                <w:highlight w:val="none"/>
              </w:rPr>
              <w:t>二级</w:t>
            </w:r>
            <w:r>
              <w:rPr>
                <w:color w:val="auto"/>
                <w:highlight w:val="none"/>
              </w:rPr>
              <w:sym w:font="Wingdings 2" w:char="00A3"/>
            </w:r>
            <w:r>
              <w:rPr>
                <w:color w:val="auto"/>
                <w:highlight w:val="none"/>
              </w:rPr>
              <w:t>三级</w:t>
            </w:r>
            <w:r>
              <w:rPr>
                <w:color w:val="auto"/>
                <w:highlight w:val="none"/>
              </w:rPr>
              <w:sym w:font="Wingdings 2" w:char="0052"/>
            </w:r>
          </w:p>
        </w:tc>
      </w:tr>
      <w:tr w14:paraId="45821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continue"/>
            <w:tcBorders>
              <w:tl2br w:val="nil"/>
              <w:tr2bl w:val="nil"/>
            </w:tcBorders>
            <w:noWrap w:val="0"/>
            <w:vAlign w:val="center"/>
          </w:tcPr>
          <w:p w14:paraId="035E7B73">
            <w:pPr>
              <w:pStyle w:val="563"/>
              <w:bidi w:val="0"/>
              <w:rPr>
                <w:color w:val="auto"/>
                <w:highlight w:val="none"/>
              </w:rPr>
            </w:pPr>
          </w:p>
        </w:tc>
        <w:tc>
          <w:tcPr>
            <w:tcW w:w="1328" w:type="dxa"/>
            <w:tcBorders>
              <w:tl2br w:val="nil"/>
              <w:tr2bl w:val="nil"/>
            </w:tcBorders>
            <w:noWrap w:val="0"/>
            <w:vAlign w:val="center"/>
          </w:tcPr>
          <w:p w14:paraId="00860B63">
            <w:pPr>
              <w:pStyle w:val="563"/>
              <w:bidi w:val="0"/>
              <w:rPr>
                <w:color w:val="auto"/>
                <w:highlight w:val="none"/>
              </w:rPr>
            </w:pPr>
            <w:r>
              <w:rPr>
                <w:color w:val="auto"/>
                <w:highlight w:val="none"/>
              </w:rPr>
              <w:t>评价范围</w:t>
            </w:r>
          </w:p>
        </w:tc>
        <w:tc>
          <w:tcPr>
            <w:tcW w:w="6552" w:type="dxa"/>
            <w:gridSpan w:val="12"/>
            <w:tcBorders>
              <w:tl2br w:val="nil"/>
              <w:tr2bl w:val="nil"/>
            </w:tcBorders>
            <w:noWrap w:val="0"/>
            <w:vAlign w:val="center"/>
          </w:tcPr>
          <w:p w14:paraId="11779ED0">
            <w:pPr>
              <w:pStyle w:val="563"/>
              <w:bidi w:val="0"/>
              <w:rPr>
                <w:color w:val="auto"/>
                <w:highlight w:val="none"/>
              </w:rPr>
            </w:pPr>
            <w:r>
              <w:rPr>
                <w:color w:val="auto"/>
                <w:highlight w:val="none"/>
              </w:rPr>
              <w:t>200m</w:t>
            </w:r>
            <w:r>
              <w:rPr>
                <w:color w:val="auto"/>
                <w:highlight w:val="none"/>
              </w:rPr>
              <w:sym w:font="Wingdings 2" w:char="0052"/>
            </w:r>
            <w:r>
              <w:rPr>
                <w:color w:val="auto"/>
                <w:highlight w:val="none"/>
              </w:rPr>
              <w:t>大于200m</w:t>
            </w:r>
            <w:r>
              <w:rPr>
                <w:color w:val="auto"/>
                <w:highlight w:val="none"/>
              </w:rPr>
              <w:sym w:font="Wingdings 2" w:char="00A3"/>
            </w:r>
            <w:r>
              <w:rPr>
                <w:color w:val="auto"/>
                <w:highlight w:val="none"/>
              </w:rPr>
              <w:t>小于200m</w:t>
            </w:r>
            <w:r>
              <w:rPr>
                <w:color w:val="auto"/>
                <w:highlight w:val="none"/>
              </w:rPr>
              <w:sym w:font="Wingdings 2" w:char="00A3"/>
            </w:r>
          </w:p>
        </w:tc>
      </w:tr>
      <w:tr w14:paraId="51570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tcBorders>
              <w:tl2br w:val="nil"/>
              <w:tr2bl w:val="nil"/>
            </w:tcBorders>
            <w:noWrap w:val="0"/>
            <w:vAlign w:val="center"/>
          </w:tcPr>
          <w:p w14:paraId="6A510D5B">
            <w:pPr>
              <w:pStyle w:val="563"/>
              <w:bidi w:val="0"/>
              <w:rPr>
                <w:color w:val="auto"/>
                <w:highlight w:val="none"/>
              </w:rPr>
            </w:pPr>
            <w:r>
              <w:rPr>
                <w:color w:val="auto"/>
                <w:highlight w:val="none"/>
              </w:rPr>
              <w:t>评价因子</w:t>
            </w:r>
          </w:p>
        </w:tc>
        <w:tc>
          <w:tcPr>
            <w:tcW w:w="1328" w:type="dxa"/>
            <w:tcBorders>
              <w:tl2br w:val="nil"/>
              <w:tr2bl w:val="nil"/>
            </w:tcBorders>
            <w:noWrap w:val="0"/>
            <w:vAlign w:val="center"/>
          </w:tcPr>
          <w:p w14:paraId="73C7DE0B">
            <w:pPr>
              <w:pStyle w:val="563"/>
              <w:bidi w:val="0"/>
              <w:rPr>
                <w:color w:val="auto"/>
                <w:highlight w:val="none"/>
              </w:rPr>
            </w:pPr>
            <w:r>
              <w:rPr>
                <w:color w:val="auto"/>
                <w:highlight w:val="none"/>
              </w:rPr>
              <w:t>评价因子</w:t>
            </w:r>
          </w:p>
        </w:tc>
        <w:tc>
          <w:tcPr>
            <w:tcW w:w="2135" w:type="dxa"/>
            <w:gridSpan w:val="3"/>
            <w:tcBorders>
              <w:tl2br w:val="nil"/>
              <w:tr2bl w:val="nil"/>
            </w:tcBorders>
            <w:noWrap w:val="0"/>
            <w:vAlign w:val="center"/>
          </w:tcPr>
          <w:p w14:paraId="5A4531FC">
            <w:pPr>
              <w:pStyle w:val="563"/>
              <w:bidi w:val="0"/>
              <w:rPr>
                <w:color w:val="auto"/>
                <w:highlight w:val="none"/>
              </w:rPr>
            </w:pPr>
            <w:r>
              <w:rPr>
                <w:color w:val="auto"/>
                <w:highlight w:val="none"/>
              </w:rPr>
              <w:t>等效连续A声级</w:t>
            </w:r>
            <w:r>
              <w:rPr>
                <w:color w:val="auto"/>
                <w:highlight w:val="none"/>
              </w:rPr>
              <w:sym w:font="Wingdings 2" w:char="0052"/>
            </w:r>
          </w:p>
        </w:tc>
        <w:tc>
          <w:tcPr>
            <w:tcW w:w="1844" w:type="dxa"/>
            <w:gridSpan w:val="4"/>
            <w:tcBorders>
              <w:tl2br w:val="nil"/>
              <w:tr2bl w:val="nil"/>
            </w:tcBorders>
            <w:noWrap w:val="0"/>
            <w:vAlign w:val="center"/>
          </w:tcPr>
          <w:p w14:paraId="0E2A7E89">
            <w:pPr>
              <w:pStyle w:val="563"/>
              <w:bidi w:val="0"/>
              <w:rPr>
                <w:color w:val="auto"/>
                <w:highlight w:val="none"/>
              </w:rPr>
            </w:pPr>
            <w:r>
              <w:rPr>
                <w:color w:val="auto"/>
                <w:highlight w:val="none"/>
              </w:rPr>
              <w:t>最大A声级</w:t>
            </w:r>
            <w:r>
              <w:rPr>
                <w:color w:val="auto"/>
                <w:highlight w:val="none"/>
              </w:rPr>
              <w:sym w:font="Wingdings 2" w:char="00A3"/>
            </w:r>
          </w:p>
        </w:tc>
        <w:tc>
          <w:tcPr>
            <w:tcW w:w="2573" w:type="dxa"/>
            <w:gridSpan w:val="5"/>
            <w:tcBorders>
              <w:tl2br w:val="nil"/>
              <w:tr2bl w:val="nil"/>
            </w:tcBorders>
            <w:noWrap w:val="0"/>
            <w:vAlign w:val="center"/>
          </w:tcPr>
          <w:p w14:paraId="11D92025">
            <w:pPr>
              <w:pStyle w:val="563"/>
              <w:bidi w:val="0"/>
              <w:rPr>
                <w:color w:val="auto"/>
                <w:highlight w:val="none"/>
              </w:rPr>
            </w:pPr>
            <w:r>
              <w:rPr>
                <w:color w:val="auto"/>
                <w:highlight w:val="none"/>
              </w:rPr>
              <w:t>计权等效连续感觉噪声级</w:t>
            </w:r>
            <w:r>
              <w:rPr>
                <w:color w:val="auto"/>
                <w:highlight w:val="none"/>
              </w:rPr>
              <w:sym w:font="Wingdings 2" w:char="00A3"/>
            </w:r>
          </w:p>
        </w:tc>
      </w:tr>
      <w:tr w14:paraId="1377B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tcBorders>
              <w:tl2br w:val="nil"/>
              <w:tr2bl w:val="nil"/>
            </w:tcBorders>
            <w:noWrap w:val="0"/>
            <w:vAlign w:val="center"/>
          </w:tcPr>
          <w:p w14:paraId="40C13F2C">
            <w:pPr>
              <w:pStyle w:val="563"/>
              <w:bidi w:val="0"/>
              <w:rPr>
                <w:color w:val="auto"/>
                <w:highlight w:val="none"/>
              </w:rPr>
            </w:pPr>
            <w:r>
              <w:rPr>
                <w:color w:val="auto"/>
                <w:highlight w:val="none"/>
              </w:rPr>
              <w:t>评价标准</w:t>
            </w:r>
          </w:p>
        </w:tc>
        <w:tc>
          <w:tcPr>
            <w:tcW w:w="1328" w:type="dxa"/>
            <w:tcBorders>
              <w:tl2br w:val="nil"/>
              <w:tr2bl w:val="nil"/>
            </w:tcBorders>
            <w:noWrap w:val="0"/>
            <w:vAlign w:val="center"/>
          </w:tcPr>
          <w:p w14:paraId="0FA67962">
            <w:pPr>
              <w:pStyle w:val="563"/>
              <w:bidi w:val="0"/>
              <w:rPr>
                <w:color w:val="auto"/>
                <w:highlight w:val="none"/>
              </w:rPr>
            </w:pPr>
            <w:r>
              <w:rPr>
                <w:color w:val="auto"/>
                <w:highlight w:val="none"/>
              </w:rPr>
              <w:t>评价标准</w:t>
            </w:r>
          </w:p>
        </w:tc>
        <w:tc>
          <w:tcPr>
            <w:tcW w:w="2135" w:type="dxa"/>
            <w:gridSpan w:val="3"/>
            <w:tcBorders>
              <w:tl2br w:val="nil"/>
              <w:tr2bl w:val="nil"/>
            </w:tcBorders>
            <w:noWrap w:val="0"/>
            <w:vAlign w:val="center"/>
          </w:tcPr>
          <w:p w14:paraId="7F36BEF6">
            <w:pPr>
              <w:pStyle w:val="563"/>
              <w:bidi w:val="0"/>
              <w:rPr>
                <w:color w:val="auto"/>
                <w:highlight w:val="none"/>
              </w:rPr>
            </w:pPr>
            <w:r>
              <w:rPr>
                <w:color w:val="auto"/>
                <w:highlight w:val="none"/>
              </w:rPr>
              <w:t>国家标准</w:t>
            </w:r>
            <w:r>
              <w:rPr>
                <w:color w:val="auto"/>
                <w:highlight w:val="none"/>
              </w:rPr>
              <w:sym w:font="Wingdings 2" w:char="0052"/>
            </w:r>
          </w:p>
        </w:tc>
        <w:tc>
          <w:tcPr>
            <w:tcW w:w="1844" w:type="dxa"/>
            <w:gridSpan w:val="4"/>
            <w:tcBorders>
              <w:tl2br w:val="nil"/>
              <w:tr2bl w:val="nil"/>
            </w:tcBorders>
            <w:noWrap w:val="0"/>
            <w:vAlign w:val="center"/>
          </w:tcPr>
          <w:p w14:paraId="538CAAC2">
            <w:pPr>
              <w:pStyle w:val="563"/>
              <w:bidi w:val="0"/>
              <w:rPr>
                <w:color w:val="auto"/>
                <w:highlight w:val="none"/>
              </w:rPr>
            </w:pPr>
            <w:r>
              <w:rPr>
                <w:color w:val="auto"/>
                <w:highlight w:val="none"/>
              </w:rPr>
              <w:t>地方标准</w:t>
            </w:r>
            <w:r>
              <w:rPr>
                <w:color w:val="auto"/>
                <w:highlight w:val="none"/>
              </w:rPr>
              <w:sym w:font="Wingdings 2" w:char="00A3"/>
            </w:r>
          </w:p>
        </w:tc>
        <w:tc>
          <w:tcPr>
            <w:tcW w:w="2573" w:type="dxa"/>
            <w:gridSpan w:val="5"/>
            <w:tcBorders>
              <w:tl2br w:val="nil"/>
              <w:tr2bl w:val="nil"/>
            </w:tcBorders>
            <w:noWrap w:val="0"/>
            <w:vAlign w:val="center"/>
          </w:tcPr>
          <w:p w14:paraId="030D8964">
            <w:pPr>
              <w:pStyle w:val="563"/>
              <w:bidi w:val="0"/>
              <w:rPr>
                <w:color w:val="auto"/>
                <w:highlight w:val="none"/>
              </w:rPr>
            </w:pPr>
            <w:r>
              <w:rPr>
                <w:color w:val="auto"/>
                <w:highlight w:val="none"/>
              </w:rPr>
              <w:t>国外标准</w:t>
            </w:r>
            <w:r>
              <w:rPr>
                <w:color w:val="auto"/>
                <w:highlight w:val="none"/>
              </w:rPr>
              <w:sym w:font="Wingdings 2" w:char="00A3"/>
            </w:r>
          </w:p>
        </w:tc>
      </w:tr>
      <w:tr w14:paraId="6D830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restart"/>
            <w:tcBorders>
              <w:tl2br w:val="nil"/>
              <w:tr2bl w:val="nil"/>
            </w:tcBorders>
            <w:noWrap w:val="0"/>
            <w:vAlign w:val="center"/>
          </w:tcPr>
          <w:p w14:paraId="41DE3C53">
            <w:pPr>
              <w:pStyle w:val="563"/>
              <w:bidi w:val="0"/>
              <w:rPr>
                <w:color w:val="auto"/>
                <w:highlight w:val="none"/>
              </w:rPr>
            </w:pPr>
            <w:r>
              <w:rPr>
                <w:color w:val="auto"/>
                <w:highlight w:val="none"/>
              </w:rPr>
              <w:t>现状评价</w:t>
            </w:r>
          </w:p>
        </w:tc>
        <w:tc>
          <w:tcPr>
            <w:tcW w:w="1328" w:type="dxa"/>
            <w:tcBorders>
              <w:tl2br w:val="nil"/>
              <w:tr2bl w:val="nil"/>
            </w:tcBorders>
            <w:noWrap w:val="0"/>
            <w:vAlign w:val="center"/>
          </w:tcPr>
          <w:p w14:paraId="3CA41E00">
            <w:pPr>
              <w:pStyle w:val="563"/>
              <w:bidi w:val="0"/>
              <w:rPr>
                <w:color w:val="auto"/>
                <w:highlight w:val="none"/>
              </w:rPr>
            </w:pPr>
            <w:r>
              <w:rPr>
                <w:color w:val="auto"/>
                <w:highlight w:val="none"/>
              </w:rPr>
              <w:t>环境功能区</w:t>
            </w:r>
          </w:p>
        </w:tc>
        <w:tc>
          <w:tcPr>
            <w:tcW w:w="1090" w:type="dxa"/>
            <w:tcBorders>
              <w:tl2br w:val="nil"/>
              <w:tr2bl w:val="nil"/>
            </w:tcBorders>
            <w:noWrap w:val="0"/>
            <w:vAlign w:val="center"/>
          </w:tcPr>
          <w:p w14:paraId="199DC5A9">
            <w:pPr>
              <w:pStyle w:val="563"/>
              <w:bidi w:val="0"/>
              <w:rPr>
                <w:color w:val="auto"/>
                <w:highlight w:val="none"/>
              </w:rPr>
            </w:pPr>
            <w:r>
              <w:rPr>
                <w:color w:val="auto"/>
                <w:highlight w:val="none"/>
              </w:rPr>
              <w:t>0类区</w:t>
            </w:r>
            <w:r>
              <w:rPr>
                <w:color w:val="auto"/>
                <w:highlight w:val="none"/>
              </w:rPr>
              <w:sym w:font="Wingdings 2" w:char="00A3"/>
            </w:r>
          </w:p>
        </w:tc>
        <w:tc>
          <w:tcPr>
            <w:tcW w:w="1045" w:type="dxa"/>
            <w:gridSpan w:val="2"/>
            <w:tcBorders>
              <w:tl2br w:val="nil"/>
              <w:tr2bl w:val="nil"/>
            </w:tcBorders>
            <w:noWrap w:val="0"/>
            <w:vAlign w:val="center"/>
          </w:tcPr>
          <w:p w14:paraId="21516056">
            <w:pPr>
              <w:pStyle w:val="563"/>
              <w:bidi w:val="0"/>
              <w:rPr>
                <w:color w:val="auto"/>
                <w:highlight w:val="none"/>
              </w:rPr>
            </w:pPr>
            <w:r>
              <w:rPr>
                <w:color w:val="auto"/>
                <w:highlight w:val="none"/>
              </w:rPr>
              <w:t>1类区</w:t>
            </w:r>
            <w:r>
              <w:rPr>
                <w:color w:val="auto"/>
                <w:highlight w:val="none"/>
              </w:rPr>
              <w:sym w:font="Wingdings 2" w:char="00A3"/>
            </w:r>
          </w:p>
        </w:tc>
        <w:tc>
          <w:tcPr>
            <w:tcW w:w="965" w:type="dxa"/>
            <w:gridSpan w:val="2"/>
            <w:tcBorders>
              <w:tl2br w:val="nil"/>
              <w:tr2bl w:val="nil"/>
            </w:tcBorders>
            <w:noWrap w:val="0"/>
            <w:vAlign w:val="center"/>
          </w:tcPr>
          <w:p w14:paraId="1529D5B4">
            <w:pPr>
              <w:pStyle w:val="563"/>
              <w:bidi w:val="0"/>
              <w:rPr>
                <w:color w:val="auto"/>
                <w:highlight w:val="none"/>
              </w:rPr>
            </w:pPr>
            <w:r>
              <w:rPr>
                <w:color w:val="auto"/>
                <w:highlight w:val="none"/>
              </w:rPr>
              <w:t>2类区</w:t>
            </w:r>
            <w:r>
              <w:rPr>
                <w:color w:val="auto"/>
                <w:highlight w:val="none"/>
              </w:rPr>
              <w:sym w:font="Wingdings 2" w:char="00A3"/>
            </w:r>
          </w:p>
        </w:tc>
        <w:tc>
          <w:tcPr>
            <w:tcW w:w="1273" w:type="dxa"/>
            <w:gridSpan w:val="3"/>
            <w:tcBorders>
              <w:tl2br w:val="nil"/>
              <w:tr2bl w:val="nil"/>
            </w:tcBorders>
            <w:noWrap w:val="0"/>
            <w:vAlign w:val="center"/>
          </w:tcPr>
          <w:p w14:paraId="4369E728">
            <w:pPr>
              <w:pStyle w:val="563"/>
              <w:bidi w:val="0"/>
              <w:rPr>
                <w:color w:val="auto"/>
                <w:highlight w:val="none"/>
              </w:rPr>
            </w:pPr>
            <w:r>
              <w:rPr>
                <w:color w:val="auto"/>
                <w:highlight w:val="none"/>
              </w:rPr>
              <w:t>3类区</w:t>
            </w:r>
            <w:r>
              <w:rPr>
                <w:color w:val="auto"/>
                <w:highlight w:val="none"/>
              </w:rPr>
              <w:sym w:font="Wingdings 2" w:char="0052"/>
            </w:r>
          </w:p>
        </w:tc>
        <w:tc>
          <w:tcPr>
            <w:tcW w:w="1202" w:type="dxa"/>
            <w:gridSpan w:val="3"/>
            <w:tcBorders>
              <w:tl2br w:val="nil"/>
              <w:tr2bl w:val="nil"/>
            </w:tcBorders>
            <w:noWrap w:val="0"/>
            <w:vAlign w:val="center"/>
          </w:tcPr>
          <w:p w14:paraId="5335C691">
            <w:pPr>
              <w:pStyle w:val="563"/>
              <w:bidi w:val="0"/>
              <w:rPr>
                <w:color w:val="auto"/>
                <w:highlight w:val="none"/>
              </w:rPr>
            </w:pPr>
            <w:r>
              <w:rPr>
                <w:color w:val="auto"/>
                <w:highlight w:val="none"/>
              </w:rPr>
              <w:t>4a类区</w:t>
            </w:r>
            <w:r>
              <w:rPr>
                <w:color w:val="auto"/>
                <w:highlight w:val="none"/>
              </w:rPr>
              <w:sym w:font="Wingdings 2" w:char="0052"/>
            </w:r>
          </w:p>
        </w:tc>
        <w:tc>
          <w:tcPr>
            <w:tcW w:w="977" w:type="dxa"/>
            <w:tcBorders>
              <w:tl2br w:val="nil"/>
              <w:tr2bl w:val="nil"/>
            </w:tcBorders>
            <w:noWrap w:val="0"/>
            <w:vAlign w:val="center"/>
          </w:tcPr>
          <w:p w14:paraId="41B7B6FC">
            <w:pPr>
              <w:pStyle w:val="563"/>
              <w:bidi w:val="0"/>
              <w:rPr>
                <w:color w:val="auto"/>
                <w:highlight w:val="none"/>
              </w:rPr>
            </w:pPr>
            <w:r>
              <w:rPr>
                <w:color w:val="auto"/>
                <w:highlight w:val="none"/>
              </w:rPr>
              <w:t>4b类区</w:t>
            </w:r>
            <w:r>
              <w:rPr>
                <w:color w:val="auto"/>
                <w:highlight w:val="none"/>
              </w:rPr>
              <w:sym w:font="Wingdings 2" w:char="00A3"/>
            </w:r>
          </w:p>
        </w:tc>
      </w:tr>
      <w:tr w14:paraId="512C4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continue"/>
            <w:tcBorders>
              <w:tl2br w:val="nil"/>
              <w:tr2bl w:val="nil"/>
            </w:tcBorders>
            <w:noWrap w:val="0"/>
            <w:vAlign w:val="center"/>
          </w:tcPr>
          <w:p w14:paraId="60CE1ADF">
            <w:pPr>
              <w:pStyle w:val="563"/>
              <w:bidi w:val="0"/>
              <w:rPr>
                <w:color w:val="auto"/>
                <w:highlight w:val="none"/>
              </w:rPr>
            </w:pPr>
          </w:p>
        </w:tc>
        <w:tc>
          <w:tcPr>
            <w:tcW w:w="1328" w:type="dxa"/>
            <w:tcBorders>
              <w:tl2br w:val="nil"/>
              <w:tr2bl w:val="nil"/>
            </w:tcBorders>
            <w:noWrap w:val="0"/>
            <w:vAlign w:val="center"/>
          </w:tcPr>
          <w:p w14:paraId="50EF133C">
            <w:pPr>
              <w:pStyle w:val="563"/>
              <w:bidi w:val="0"/>
              <w:rPr>
                <w:color w:val="auto"/>
                <w:highlight w:val="none"/>
              </w:rPr>
            </w:pPr>
            <w:r>
              <w:rPr>
                <w:color w:val="auto"/>
                <w:highlight w:val="none"/>
              </w:rPr>
              <w:t>评价年度</w:t>
            </w:r>
          </w:p>
        </w:tc>
        <w:tc>
          <w:tcPr>
            <w:tcW w:w="1637" w:type="dxa"/>
            <w:gridSpan w:val="2"/>
            <w:tcBorders>
              <w:tl2br w:val="nil"/>
              <w:tr2bl w:val="nil"/>
            </w:tcBorders>
            <w:noWrap w:val="0"/>
            <w:vAlign w:val="center"/>
          </w:tcPr>
          <w:p w14:paraId="586B93FA">
            <w:pPr>
              <w:pStyle w:val="563"/>
              <w:bidi w:val="0"/>
              <w:rPr>
                <w:color w:val="auto"/>
                <w:highlight w:val="none"/>
              </w:rPr>
            </w:pPr>
            <w:r>
              <w:rPr>
                <w:color w:val="auto"/>
                <w:highlight w:val="none"/>
              </w:rPr>
              <w:t>初期</w:t>
            </w:r>
            <w:r>
              <w:rPr>
                <w:color w:val="auto"/>
                <w:highlight w:val="none"/>
              </w:rPr>
              <w:sym w:font="Wingdings 2" w:char="00A3"/>
            </w:r>
          </w:p>
        </w:tc>
        <w:tc>
          <w:tcPr>
            <w:tcW w:w="1463" w:type="dxa"/>
            <w:gridSpan w:val="3"/>
            <w:tcBorders>
              <w:tl2br w:val="nil"/>
              <w:tr2bl w:val="nil"/>
            </w:tcBorders>
            <w:noWrap w:val="0"/>
            <w:vAlign w:val="center"/>
          </w:tcPr>
          <w:p w14:paraId="0433001F">
            <w:pPr>
              <w:pStyle w:val="563"/>
              <w:bidi w:val="0"/>
              <w:rPr>
                <w:color w:val="auto"/>
                <w:highlight w:val="none"/>
              </w:rPr>
            </w:pPr>
            <w:r>
              <w:rPr>
                <w:color w:val="auto"/>
                <w:highlight w:val="none"/>
              </w:rPr>
              <w:t>近期</w:t>
            </w:r>
            <w:r>
              <w:rPr>
                <w:color w:val="auto"/>
                <w:highlight w:val="none"/>
              </w:rPr>
              <w:sym w:font="Wingdings 2" w:char="0052"/>
            </w:r>
          </w:p>
        </w:tc>
        <w:tc>
          <w:tcPr>
            <w:tcW w:w="1804" w:type="dxa"/>
            <w:gridSpan w:val="4"/>
            <w:tcBorders>
              <w:tl2br w:val="nil"/>
              <w:tr2bl w:val="nil"/>
            </w:tcBorders>
            <w:noWrap w:val="0"/>
            <w:vAlign w:val="center"/>
          </w:tcPr>
          <w:p w14:paraId="6517FDD2">
            <w:pPr>
              <w:pStyle w:val="563"/>
              <w:bidi w:val="0"/>
              <w:rPr>
                <w:color w:val="auto"/>
                <w:highlight w:val="none"/>
              </w:rPr>
            </w:pPr>
            <w:r>
              <w:rPr>
                <w:color w:val="auto"/>
                <w:highlight w:val="none"/>
              </w:rPr>
              <w:t>中期</w:t>
            </w:r>
            <w:r>
              <w:rPr>
                <w:color w:val="auto"/>
                <w:highlight w:val="none"/>
              </w:rPr>
              <w:sym w:font="Wingdings 2" w:char="00A3"/>
            </w:r>
          </w:p>
        </w:tc>
        <w:tc>
          <w:tcPr>
            <w:tcW w:w="1648" w:type="dxa"/>
            <w:gridSpan w:val="3"/>
            <w:tcBorders>
              <w:tl2br w:val="nil"/>
              <w:tr2bl w:val="nil"/>
            </w:tcBorders>
            <w:noWrap w:val="0"/>
            <w:vAlign w:val="center"/>
          </w:tcPr>
          <w:p w14:paraId="6CA28F72">
            <w:pPr>
              <w:pStyle w:val="563"/>
              <w:bidi w:val="0"/>
              <w:rPr>
                <w:color w:val="auto"/>
                <w:highlight w:val="none"/>
              </w:rPr>
            </w:pPr>
            <w:r>
              <w:rPr>
                <w:color w:val="auto"/>
                <w:highlight w:val="none"/>
              </w:rPr>
              <w:t>远期</w:t>
            </w:r>
            <w:r>
              <w:rPr>
                <w:color w:val="auto"/>
                <w:highlight w:val="none"/>
              </w:rPr>
              <w:sym w:font="Wingdings 2" w:char="00A3"/>
            </w:r>
          </w:p>
        </w:tc>
      </w:tr>
      <w:tr w14:paraId="37F39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continue"/>
            <w:tcBorders>
              <w:tl2br w:val="nil"/>
              <w:tr2bl w:val="nil"/>
            </w:tcBorders>
            <w:noWrap w:val="0"/>
            <w:vAlign w:val="center"/>
          </w:tcPr>
          <w:p w14:paraId="534F314E">
            <w:pPr>
              <w:pStyle w:val="563"/>
              <w:bidi w:val="0"/>
              <w:rPr>
                <w:color w:val="auto"/>
                <w:highlight w:val="none"/>
              </w:rPr>
            </w:pPr>
          </w:p>
        </w:tc>
        <w:tc>
          <w:tcPr>
            <w:tcW w:w="1328" w:type="dxa"/>
            <w:tcBorders>
              <w:tl2br w:val="nil"/>
              <w:tr2bl w:val="nil"/>
            </w:tcBorders>
            <w:noWrap w:val="0"/>
            <w:vAlign w:val="center"/>
          </w:tcPr>
          <w:p w14:paraId="1A188140">
            <w:pPr>
              <w:pStyle w:val="563"/>
              <w:bidi w:val="0"/>
              <w:rPr>
                <w:color w:val="auto"/>
                <w:highlight w:val="none"/>
              </w:rPr>
            </w:pPr>
            <w:r>
              <w:rPr>
                <w:color w:val="auto"/>
                <w:highlight w:val="none"/>
              </w:rPr>
              <w:t>现状调查方法</w:t>
            </w:r>
          </w:p>
        </w:tc>
        <w:tc>
          <w:tcPr>
            <w:tcW w:w="2135" w:type="dxa"/>
            <w:gridSpan w:val="3"/>
            <w:tcBorders>
              <w:tl2br w:val="nil"/>
              <w:tr2bl w:val="nil"/>
            </w:tcBorders>
            <w:noWrap w:val="0"/>
            <w:vAlign w:val="center"/>
          </w:tcPr>
          <w:p w14:paraId="2C28CC4F">
            <w:pPr>
              <w:pStyle w:val="563"/>
              <w:bidi w:val="0"/>
              <w:rPr>
                <w:color w:val="auto"/>
                <w:highlight w:val="none"/>
              </w:rPr>
            </w:pPr>
            <w:r>
              <w:rPr>
                <w:color w:val="auto"/>
                <w:highlight w:val="none"/>
              </w:rPr>
              <w:t>现场实测法</w:t>
            </w:r>
            <w:r>
              <w:rPr>
                <w:color w:val="auto"/>
                <w:highlight w:val="none"/>
              </w:rPr>
              <w:sym w:font="Wingdings 2" w:char="0052"/>
            </w:r>
          </w:p>
        </w:tc>
        <w:tc>
          <w:tcPr>
            <w:tcW w:w="2769" w:type="dxa"/>
            <w:gridSpan w:val="6"/>
            <w:tcBorders>
              <w:tl2br w:val="nil"/>
              <w:tr2bl w:val="nil"/>
            </w:tcBorders>
            <w:noWrap w:val="0"/>
            <w:vAlign w:val="center"/>
          </w:tcPr>
          <w:p w14:paraId="70C4E8C7">
            <w:pPr>
              <w:pStyle w:val="563"/>
              <w:bidi w:val="0"/>
              <w:rPr>
                <w:color w:val="auto"/>
                <w:highlight w:val="none"/>
              </w:rPr>
            </w:pPr>
            <w:r>
              <w:rPr>
                <w:color w:val="auto"/>
                <w:highlight w:val="none"/>
              </w:rPr>
              <w:t>现场实测加模型计算法</w:t>
            </w:r>
            <w:r>
              <w:rPr>
                <w:color w:val="auto"/>
                <w:highlight w:val="none"/>
              </w:rPr>
              <w:sym w:font="Wingdings 2" w:char="00A3"/>
            </w:r>
          </w:p>
        </w:tc>
        <w:tc>
          <w:tcPr>
            <w:tcW w:w="1648" w:type="dxa"/>
            <w:gridSpan w:val="3"/>
            <w:tcBorders>
              <w:tl2br w:val="nil"/>
              <w:tr2bl w:val="nil"/>
            </w:tcBorders>
            <w:noWrap w:val="0"/>
            <w:vAlign w:val="center"/>
          </w:tcPr>
          <w:p w14:paraId="6386EFD1">
            <w:pPr>
              <w:pStyle w:val="563"/>
              <w:bidi w:val="0"/>
              <w:rPr>
                <w:color w:val="auto"/>
                <w:highlight w:val="none"/>
              </w:rPr>
            </w:pPr>
            <w:r>
              <w:rPr>
                <w:color w:val="auto"/>
                <w:highlight w:val="none"/>
              </w:rPr>
              <w:t>收集资料</w:t>
            </w:r>
            <w:r>
              <w:rPr>
                <w:color w:val="auto"/>
                <w:highlight w:val="none"/>
              </w:rPr>
              <w:sym w:font="Wingdings 2" w:char="00A3"/>
            </w:r>
          </w:p>
        </w:tc>
      </w:tr>
      <w:tr w14:paraId="09730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continue"/>
            <w:tcBorders>
              <w:tl2br w:val="nil"/>
              <w:tr2bl w:val="nil"/>
            </w:tcBorders>
            <w:noWrap w:val="0"/>
            <w:vAlign w:val="center"/>
          </w:tcPr>
          <w:p w14:paraId="0D8C59BD">
            <w:pPr>
              <w:pStyle w:val="563"/>
              <w:bidi w:val="0"/>
              <w:rPr>
                <w:color w:val="auto"/>
                <w:highlight w:val="none"/>
              </w:rPr>
            </w:pPr>
          </w:p>
        </w:tc>
        <w:tc>
          <w:tcPr>
            <w:tcW w:w="1328" w:type="dxa"/>
            <w:tcBorders>
              <w:tl2br w:val="nil"/>
              <w:tr2bl w:val="nil"/>
            </w:tcBorders>
            <w:noWrap w:val="0"/>
            <w:vAlign w:val="center"/>
          </w:tcPr>
          <w:p w14:paraId="54597CC2">
            <w:pPr>
              <w:pStyle w:val="563"/>
              <w:bidi w:val="0"/>
              <w:rPr>
                <w:color w:val="auto"/>
                <w:highlight w:val="none"/>
              </w:rPr>
            </w:pPr>
            <w:r>
              <w:rPr>
                <w:color w:val="auto"/>
                <w:highlight w:val="none"/>
              </w:rPr>
              <w:t>现状评价</w:t>
            </w:r>
          </w:p>
        </w:tc>
        <w:tc>
          <w:tcPr>
            <w:tcW w:w="2135" w:type="dxa"/>
            <w:gridSpan w:val="3"/>
            <w:tcBorders>
              <w:tl2br w:val="nil"/>
              <w:tr2bl w:val="nil"/>
            </w:tcBorders>
            <w:noWrap w:val="0"/>
            <w:vAlign w:val="center"/>
          </w:tcPr>
          <w:p w14:paraId="48D975A2">
            <w:pPr>
              <w:pStyle w:val="563"/>
              <w:bidi w:val="0"/>
              <w:rPr>
                <w:color w:val="auto"/>
                <w:highlight w:val="none"/>
              </w:rPr>
            </w:pPr>
            <w:r>
              <w:rPr>
                <w:color w:val="auto"/>
                <w:highlight w:val="none"/>
              </w:rPr>
              <w:t>达标百分比</w:t>
            </w:r>
          </w:p>
        </w:tc>
        <w:tc>
          <w:tcPr>
            <w:tcW w:w="4417" w:type="dxa"/>
            <w:gridSpan w:val="9"/>
            <w:tcBorders>
              <w:tl2br w:val="nil"/>
              <w:tr2bl w:val="nil"/>
            </w:tcBorders>
            <w:noWrap w:val="0"/>
            <w:vAlign w:val="center"/>
          </w:tcPr>
          <w:p w14:paraId="500597C4">
            <w:pPr>
              <w:pStyle w:val="563"/>
              <w:bidi w:val="0"/>
              <w:rPr>
                <w:color w:val="auto"/>
                <w:highlight w:val="none"/>
              </w:rPr>
            </w:pPr>
            <w:r>
              <w:rPr>
                <w:color w:val="auto"/>
                <w:highlight w:val="none"/>
              </w:rPr>
              <w:t>100%</w:t>
            </w:r>
          </w:p>
        </w:tc>
      </w:tr>
      <w:tr w14:paraId="3E058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tcBorders>
              <w:tl2br w:val="nil"/>
              <w:tr2bl w:val="nil"/>
            </w:tcBorders>
            <w:noWrap w:val="0"/>
            <w:vAlign w:val="center"/>
          </w:tcPr>
          <w:p w14:paraId="05AF0A4F">
            <w:pPr>
              <w:pStyle w:val="563"/>
              <w:bidi w:val="0"/>
              <w:rPr>
                <w:color w:val="auto"/>
                <w:highlight w:val="none"/>
              </w:rPr>
            </w:pPr>
            <w:r>
              <w:rPr>
                <w:color w:val="auto"/>
                <w:highlight w:val="none"/>
              </w:rPr>
              <w:t>噪声源</w:t>
            </w:r>
          </w:p>
          <w:p w14:paraId="630AAD8C">
            <w:pPr>
              <w:pStyle w:val="563"/>
              <w:bidi w:val="0"/>
              <w:rPr>
                <w:color w:val="auto"/>
                <w:highlight w:val="none"/>
              </w:rPr>
            </w:pPr>
            <w:r>
              <w:rPr>
                <w:color w:val="auto"/>
                <w:highlight w:val="none"/>
              </w:rPr>
              <w:t>调查</w:t>
            </w:r>
          </w:p>
        </w:tc>
        <w:tc>
          <w:tcPr>
            <w:tcW w:w="1328" w:type="dxa"/>
            <w:tcBorders>
              <w:tl2br w:val="nil"/>
              <w:tr2bl w:val="nil"/>
            </w:tcBorders>
            <w:noWrap w:val="0"/>
            <w:vAlign w:val="center"/>
          </w:tcPr>
          <w:p w14:paraId="077E2A57">
            <w:pPr>
              <w:pStyle w:val="563"/>
              <w:bidi w:val="0"/>
              <w:rPr>
                <w:color w:val="auto"/>
                <w:highlight w:val="none"/>
              </w:rPr>
            </w:pPr>
            <w:r>
              <w:rPr>
                <w:color w:val="auto"/>
                <w:highlight w:val="none"/>
              </w:rPr>
              <w:t>噪声源调查方法</w:t>
            </w:r>
          </w:p>
        </w:tc>
        <w:tc>
          <w:tcPr>
            <w:tcW w:w="2135" w:type="dxa"/>
            <w:gridSpan w:val="3"/>
            <w:tcBorders>
              <w:tl2br w:val="nil"/>
              <w:tr2bl w:val="nil"/>
            </w:tcBorders>
            <w:noWrap w:val="0"/>
            <w:vAlign w:val="center"/>
          </w:tcPr>
          <w:p w14:paraId="78DB646E">
            <w:pPr>
              <w:pStyle w:val="563"/>
              <w:bidi w:val="0"/>
              <w:rPr>
                <w:color w:val="auto"/>
                <w:highlight w:val="none"/>
              </w:rPr>
            </w:pPr>
            <w:r>
              <w:rPr>
                <w:color w:val="auto"/>
                <w:highlight w:val="none"/>
              </w:rPr>
              <w:t>现场实测</w:t>
            </w:r>
            <w:r>
              <w:rPr>
                <w:color w:val="auto"/>
                <w:highlight w:val="none"/>
              </w:rPr>
              <w:sym w:font="Wingdings 2" w:char="00A3"/>
            </w:r>
          </w:p>
        </w:tc>
        <w:tc>
          <w:tcPr>
            <w:tcW w:w="2769" w:type="dxa"/>
            <w:gridSpan w:val="6"/>
            <w:tcBorders>
              <w:tl2br w:val="nil"/>
              <w:tr2bl w:val="nil"/>
            </w:tcBorders>
            <w:noWrap w:val="0"/>
            <w:vAlign w:val="center"/>
          </w:tcPr>
          <w:p w14:paraId="509C3550">
            <w:pPr>
              <w:pStyle w:val="563"/>
              <w:bidi w:val="0"/>
              <w:rPr>
                <w:color w:val="auto"/>
                <w:highlight w:val="none"/>
              </w:rPr>
            </w:pPr>
            <w:r>
              <w:rPr>
                <w:color w:val="auto"/>
                <w:highlight w:val="none"/>
              </w:rPr>
              <w:t>已有资料</w:t>
            </w:r>
            <w:r>
              <w:rPr>
                <w:color w:val="auto"/>
                <w:highlight w:val="none"/>
              </w:rPr>
              <w:sym w:font="Wingdings 2" w:char="0052"/>
            </w:r>
          </w:p>
        </w:tc>
        <w:tc>
          <w:tcPr>
            <w:tcW w:w="1648" w:type="dxa"/>
            <w:gridSpan w:val="3"/>
            <w:tcBorders>
              <w:tl2br w:val="nil"/>
              <w:tr2bl w:val="nil"/>
            </w:tcBorders>
            <w:noWrap w:val="0"/>
            <w:vAlign w:val="center"/>
          </w:tcPr>
          <w:p w14:paraId="7D2FBA0E">
            <w:pPr>
              <w:pStyle w:val="563"/>
              <w:bidi w:val="0"/>
              <w:rPr>
                <w:color w:val="auto"/>
                <w:highlight w:val="none"/>
              </w:rPr>
            </w:pPr>
            <w:r>
              <w:rPr>
                <w:color w:val="auto"/>
                <w:highlight w:val="none"/>
              </w:rPr>
              <w:t>研究成果</w:t>
            </w:r>
            <w:r>
              <w:rPr>
                <w:color w:val="auto"/>
                <w:highlight w:val="none"/>
              </w:rPr>
              <w:sym w:font="Wingdings 2" w:char="00A3"/>
            </w:r>
          </w:p>
        </w:tc>
      </w:tr>
      <w:tr w14:paraId="2E3EA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restart"/>
            <w:tcBorders>
              <w:tl2br w:val="nil"/>
              <w:tr2bl w:val="nil"/>
            </w:tcBorders>
            <w:noWrap w:val="0"/>
            <w:vAlign w:val="center"/>
          </w:tcPr>
          <w:p w14:paraId="0EF4FFA4">
            <w:pPr>
              <w:pStyle w:val="563"/>
              <w:bidi w:val="0"/>
              <w:rPr>
                <w:color w:val="auto"/>
                <w:highlight w:val="none"/>
              </w:rPr>
            </w:pPr>
            <w:r>
              <w:rPr>
                <w:color w:val="auto"/>
                <w:highlight w:val="none"/>
              </w:rPr>
              <w:t>声环境影响预测与评价</w:t>
            </w:r>
          </w:p>
        </w:tc>
        <w:tc>
          <w:tcPr>
            <w:tcW w:w="1328" w:type="dxa"/>
            <w:tcBorders>
              <w:tl2br w:val="nil"/>
              <w:tr2bl w:val="nil"/>
            </w:tcBorders>
            <w:noWrap w:val="0"/>
            <w:vAlign w:val="center"/>
          </w:tcPr>
          <w:p w14:paraId="4CBB0422">
            <w:pPr>
              <w:pStyle w:val="563"/>
              <w:bidi w:val="0"/>
              <w:rPr>
                <w:color w:val="auto"/>
                <w:highlight w:val="none"/>
              </w:rPr>
            </w:pPr>
            <w:r>
              <w:rPr>
                <w:color w:val="auto"/>
                <w:highlight w:val="none"/>
              </w:rPr>
              <w:t>预测模型</w:t>
            </w:r>
          </w:p>
        </w:tc>
        <w:tc>
          <w:tcPr>
            <w:tcW w:w="2135" w:type="dxa"/>
            <w:gridSpan w:val="3"/>
            <w:tcBorders>
              <w:tl2br w:val="nil"/>
              <w:tr2bl w:val="nil"/>
            </w:tcBorders>
            <w:noWrap w:val="0"/>
            <w:vAlign w:val="center"/>
          </w:tcPr>
          <w:p w14:paraId="1B057D1B">
            <w:pPr>
              <w:pStyle w:val="563"/>
              <w:bidi w:val="0"/>
              <w:rPr>
                <w:color w:val="auto"/>
                <w:highlight w:val="none"/>
              </w:rPr>
            </w:pPr>
            <w:r>
              <w:rPr>
                <w:color w:val="auto"/>
                <w:highlight w:val="none"/>
              </w:rPr>
              <w:t>导则推荐模型</w:t>
            </w:r>
            <w:r>
              <w:rPr>
                <w:color w:val="auto"/>
                <w:highlight w:val="none"/>
              </w:rPr>
              <w:sym w:font="Wingdings 2" w:char="0052"/>
            </w:r>
          </w:p>
        </w:tc>
        <w:tc>
          <w:tcPr>
            <w:tcW w:w="4417" w:type="dxa"/>
            <w:gridSpan w:val="9"/>
            <w:tcBorders>
              <w:tl2br w:val="nil"/>
              <w:tr2bl w:val="nil"/>
            </w:tcBorders>
            <w:noWrap w:val="0"/>
            <w:vAlign w:val="center"/>
          </w:tcPr>
          <w:p w14:paraId="7DABC102">
            <w:pPr>
              <w:pStyle w:val="563"/>
              <w:bidi w:val="0"/>
              <w:rPr>
                <w:color w:val="auto"/>
                <w:highlight w:val="none"/>
              </w:rPr>
            </w:pPr>
            <w:r>
              <w:rPr>
                <w:color w:val="auto"/>
                <w:highlight w:val="none"/>
              </w:rPr>
              <w:t>其他</w:t>
            </w:r>
            <w:r>
              <w:rPr>
                <w:color w:val="auto"/>
                <w:highlight w:val="none"/>
              </w:rPr>
              <w:sym w:font="Wingdings 2" w:char="00A3"/>
            </w:r>
          </w:p>
        </w:tc>
      </w:tr>
      <w:tr w14:paraId="0B590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continue"/>
            <w:tcBorders>
              <w:tl2br w:val="nil"/>
              <w:tr2bl w:val="nil"/>
            </w:tcBorders>
            <w:noWrap w:val="0"/>
            <w:vAlign w:val="center"/>
          </w:tcPr>
          <w:p w14:paraId="69FABF5D">
            <w:pPr>
              <w:pStyle w:val="563"/>
              <w:bidi w:val="0"/>
              <w:rPr>
                <w:color w:val="auto"/>
                <w:highlight w:val="none"/>
              </w:rPr>
            </w:pPr>
          </w:p>
        </w:tc>
        <w:tc>
          <w:tcPr>
            <w:tcW w:w="1328" w:type="dxa"/>
            <w:tcBorders>
              <w:tl2br w:val="nil"/>
              <w:tr2bl w:val="nil"/>
            </w:tcBorders>
            <w:noWrap w:val="0"/>
            <w:vAlign w:val="center"/>
          </w:tcPr>
          <w:p w14:paraId="4E4B5DD5">
            <w:pPr>
              <w:pStyle w:val="563"/>
              <w:bidi w:val="0"/>
              <w:rPr>
                <w:color w:val="auto"/>
                <w:highlight w:val="none"/>
              </w:rPr>
            </w:pPr>
            <w:r>
              <w:rPr>
                <w:color w:val="auto"/>
                <w:highlight w:val="none"/>
              </w:rPr>
              <w:t>预测范围</w:t>
            </w:r>
          </w:p>
        </w:tc>
        <w:tc>
          <w:tcPr>
            <w:tcW w:w="2135" w:type="dxa"/>
            <w:gridSpan w:val="3"/>
            <w:tcBorders>
              <w:tl2br w:val="nil"/>
              <w:tr2bl w:val="nil"/>
            </w:tcBorders>
            <w:noWrap w:val="0"/>
            <w:vAlign w:val="center"/>
          </w:tcPr>
          <w:p w14:paraId="288C441F">
            <w:pPr>
              <w:pStyle w:val="563"/>
              <w:bidi w:val="0"/>
              <w:rPr>
                <w:color w:val="auto"/>
                <w:highlight w:val="none"/>
              </w:rPr>
            </w:pPr>
            <w:r>
              <w:rPr>
                <w:color w:val="auto"/>
                <w:highlight w:val="none"/>
              </w:rPr>
              <w:t>200m</w:t>
            </w:r>
            <w:r>
              <w:rPr>
                <w:color w:val="auto"/>
                <w:highlight w:val="none"/>
              </w:rPr>
              <w:sym w:font="Wingdings 2" w:char="00A3"/>
            </w:r>
          </w:p>
        </w:tc>
        <w:tc>
          <w:tcPr>
            <w:tcW w:w="1806" w:type="dxa"/>
            <w:gridSpan w:val="3"/>
            <w:tcBorders>
              <w:tl2br w:val="nil"/>
              <w:tr2bl w:val="nil"/>
            </w:tcBorders>
            <w:noWrap w:val="0"/>
            <w:vAlign w:val="center"/>
          </w:tcPr>
          <w:p w14:paraId="4A04CC74">
            <w:pPr>
              <w:pStyle w:val="563"/>
              <w:bidi w:val="0"/>
              <w:rPr>
                <w:color w:val="auto"/>
                <w:highlight w:val="none"/>
              </w:rPr>
            </w:pPr>
            <w:r>
              <w:rPr>
                <w:color w:val="auto"/>
                <w:highlight w:val="none"/>
              </w:rPr>
              <w:t>大于200m</w:t>
            </w:r>
            <w:r>
              <w:rPr>
                <w:color w:val="auto"/>
                <w:highlight w:val="none"/>
              </w:rPr>
              <w:sym w:font="Wingdings 2" w:char="00A3"/>
            </w:r>
          </w:p>
        </w:tc>
        <w:tc>
          <w:tcPr>
            <w:tcW w:w="2611" w:type="dxa"/>
            <w:gridSpan w:val="6"/>
            <w:tcBorders>
              <w:tl2br w:val="nil"/>
              <w:tr2bl w:val="nil"/>
            </w:tcBorders>
            <w:noWrap w:val="0"/>
            <w:vAlign w:val="center"/>
          </w:tcPr>
          <w:p w14:paraId="03ABF1B4">
            <w:pPr>
              <w:pStyle w:val="563"/>
              <w:bidi w:val="0"/>
              <w:rPr>
                <w:color w:val="auto"/>
                <w:highlight w:val="none"/>
              </w:rPr>
            </w:pPr>
            <w:r>
              <w:rPr>
                <w:color w:val="auto"/>
                <w:highlight w:val="none"/>
              </w:rPr>
              <w:t>小于200m</w:t>
            </w:r>
            <w:r>
              <w:rPr>
                <w:color w:val="auto"/>
                <w:highlight w:val="none"/>
              </w:rPr>
              <w:sym w:font="Wingdings 2" w:char="0052"/>
            </w:r>
          </w:p>
        </w:tc>
      </w:tr>
      <w:tr w14:paraId="00750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continue"/>
            <w:tcBorders>
              <w:tl2br w:val="nil"/>
              <w:tr2bl w:val="nil"/>
            </w:tcBorders>
            <w:noWrap w:val="0"/>
            <w:vAlign w:val="center"/>
          </w:tcPr>
          <w:p w14:paraId="3A298545">
            <w:pPr>
              <w:pStyle w:val="563"/>
              <w:bidi w:val="0"/>
              <w:rPr>
                <w:color w:val="auto"/>
                <w:highlight w:val="none"/>
              </w:rPr>
            </w:pPr>
          </w:p>
        </w:tc>
        <w:tc>
          <w:tcPr>
            <w:tcW w:w="1328" w:type="dxa"/>
            <w:tcBorders>
              <w:tl2br w:val="nil"/>
              <w:tr2bl w:val="nil"/>
            </w:tcBorders>
            <w:noWrap w:val="0"/>
            <w:vAlign w:val="center"/>
          </w:tcPr>
          <w:p w14:paraId="2BC8AEC5">
            <w:pPr>
              <w:pStyle w:val="563"/>
              <w:bidi w:val="0"/>
              <w:rPr>
                <w:color w:val="auto"/>
                <w:highlight w:val="none"/>
              </w:rPr>
            </w:pPr>
            <w:r>
              <w:rPr>
                <w:color w:val="auto"/>
                <w:highlight w:val="none"/>
              </w:rPr>
              <w:t>预测因子</w:t>
            </w:r>
          </w:p>
        </w:tc>
        <w:tc>
          <w:tcPr>
            <w:tcW w:w="2135" w:type="dxa"/>
            <w:gridSpan w:val="3"/>
            <w:tcBorders>
              <w:tl2br w:val="nil"/>
              <w:tr2bl w:val="nil"/>
            </w:tcBorders>
            <w:noWrap w:val="0"/>
            <w:vAlign w:val="center"/>
          </w:tcPr>
          <w:p w14:paraId="7C8DA878">
            <w:pPr>
              <w:pStyle w:val="563"/>
              <w:bidi w:val="0"/>
              <w:rPr>
                <w:color w:val="auto"/>
                <w:highlight w:val="none"/>
              </w:rPr>
            </w:pPr>
            <w:r>
              <w:rPr>
                <w:color w:val="auto"/>
                <w:highlight w:val="none"/>
              </w:rPr>
              <w:t>等效连续A声级</w:t>
            </w:r>
            <w:r>
              <w:rPr>
                <w:color w:val="auto"/>
                <w:highlight w:val="none"/>
              </w:rPr>
              <w:sym w:font="Wingdings 2" w:char="0052"/>
            </w:r>
          </w:p>
        </w:tc>
        <w:tc>
          <w:tcPr>
            <w:tcW w:w="1806" w:type="dxa"/>
            <w:gridSpan w:val="3"/>
            <w:tcBorders>
              <w:tl2br w:val="nil"/>
              <w:tr2bl w:val="nil"/>
            </w:tcBorders>
            <w:noWrap w:val="0"/>
            <w:vAlign w:val="center"/>
          </w:tcPr>
          <w:p w14:paraId="6A1878A2">
            <w:pPr>
              <w:pStyle w:val="563"/>
              <w:bidi w:val="0"/>
              <w:rPr>
                <w:color w:val="auto"/>
                <w:highlight w:val="none"/>
              </w:rPr>
            </w:pPr>
            <w:r>
              <w:rPr>
                <w:color w:val="auto"/>
                <w:highlight w:val="none"/>
              </w:rPr>
              <w:t>最大A声级</w:t>
            </w:r>
            <w:r>
              <w:rPr>
                <w:color w:val="auto"/>
                <w:highlight w:val="none"/>
              </w:rPr>
              <w:sym w:font="Wingdings 2" w:char="00A3"/>
            </w:r>
          </w:p>
        </w:tc>
        <w:tc>
          <w:tcPr>
            <w:tcW w:w="2611" w:type="dxa"/>
            <w:gridSpan w:val="6"/>
            <w:tcBorders>
              <w:tl2br w:val="nil"/>
              <w:tr2bl w:val="nil"/>
            </w:tcBorders>
            <w:noWrap w:val="0"/>
            <w:vAlign w:val="center"/>
          </w:tcPr>
          <w:p w14:paraId="656DF2A5">
            <w:pPr>
              <w:pStyle w:val="563"/>
              <w:bidi w:val="0"/>
              <w:rPr>
                <w:color w:val="auto"/>
                <w:highlight w:val="none"/>
              </w:rPr>
            </w:pPr>
            <w:r>
              <w:rPr>
                <w:color w:val="auto"/>
                <w:highlight w:val="none"/>
              </w:rPr>
              <w:t>计权等效连续感觉噪声级</w:t>
            </w:r>
            <w:r>
              <w:rPr>
                <w:color w:val="auto"/>
                <w:highlight w:val="none"/>
              </w:rPr>
              <w:sym w:font="Wingdings 2" w:char="00A3"/>
            </w:r>
          </w:p>
        </w:tc>
      </w:tr>
      <w:tr w14:paraId="0CCB5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continue"/>
            <w:tcBorders>
              <w:tl2br w:val="nil"/>
              <w:tr2bl w:val="nil"/>
            </w:tcBorders>
            <w:noWrap w:val="0"/>
            <w:vAlign w:val="center"/>
          </w:tcPr>
          <w:p w14:paraId="1A1D3A58">
            <w:pPr>
              <w:pStyle w:val="563"/>
              <w:bidi w:val="0"/>
              <w:rPr>
                <w:color w:val="auto"/>
                <w:highlight w:val="none"/>
              </w:rPr>
            </w:pPr>
          </w:p>
        </w:tc>
        <w:tc>
          <w:tcPr>
            <w:tcW w:w="1328" w:type="dxa"/>
            <w:tcBorders>
              <w:tl2br w:val="nil"/>
              <w:tr2bl w:val="nil"/>
            </w:tcBorders>
            <w:noWrap w:val="0"/>
            <w:vAlign w:val="center"/>
          </w:tcPr>
          <w:p w14:paraId="39E7F219">
            <w:pPr>
              <w:pStyle w:val="563"/>
              <w:bidi w:val="0"/>
              <w:rPr>
                <w:color w:val="auto"/>
                <w:highlight w:val="none"/>
              </w:rPr>
            </w:pPr>
            <w:r>
              <w:rPr>
                <w:color w:val="auto"/>
                <w:highlight w:val="none"/>
              </w:rPr>
              <w:t>厂界噪声贡献值</w:t>
            </w:r>
          </w:p>
        </w:tc>
        <w:tc>
          <w:tcPr>
            <w:tcW w:w="2790" w:type="dxa"/>
            <w:gridSpan w:val="4"/>
            <w:tcBorders>
              <w:tl2br w:val="nil"/>
              <w:tr2bl w:val="nil"/>
            </w:tcBorders>
            <w:noWrap w:val="0"/>
            <w:vAlign w:val="center"/>
          </w:tcPr>
          <w:p w14:paraId="19F5BD2B">
            <w:pPr>
              <w:pStyle w:val="563"/>
              <w:bidi w:val="0"/>
              <w:rPr>
                <w:color w:val="auto"/>
                <w:highlight w:val="none"/>
              </w:rPr>
            </w:pPr>
            <w:r>
              <w:rPr>
                <w:color w:val="auto"/>
                <w:highlight w:val="none"/>
              </w:rPr>
              <w:t>达标</w:t>
            </w:r>
            <w:r>
              <w:rPr>
                <w:color w:val="auto"/>
                <w:highlight w:val="none"/>
              </w:rPr>
              <w:sym w:font="Wingdings 2" w:char="0052"/>
            </w:r>
          </w:p>
        </w:tc>
        <w:tc>
          <w:tcPr>
            <w:tcW w:w="3762" w:type="dxa"/>
            <w:gridSpan w:val="8"/>
            <w:tcBorders>
              <w:tl2br w:val="nil"/>
              <w:tr2bl w:val="nil"/>
            </w:tcBorders>
            <w:noWrap w:val="0"/>
            <w:vAlign w:val="center"/>
          </w:tcPr>
          <w:p w14:paraId="13AC5BAA">
            <w:pPr>
              <w:pStyle w:val="563"/>
              <w:bidi w:val="0"/>
              <w:rPr>
                <w:color w:val="auto"/>
                <w:highlight w:val="none"/>
              </w:rPr>
            </w:pPr>
            <w:r>
              <w:rPr>
                <w:color w:val="auto"/>
                <w:highlight w:val="none"/>
              </w:rPr>
              <w:t>不达标</w:t>
            </w:r>
            <w:r>
              <w:rPr>
                <w:color w:val="auto"/>
                <w:highlight w:val="none"/>
              </w:rPr>
              <w:sym w:font="Wingdings 2" w:char="00A3"/>
            </w:r>
          </w:p>
        </w:tc>
      </w:tr>
      <w:tr w14:paraId="63E56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continue"/>
            <w:tcBorders>
              <w:tl2br w:val="nil"/>
              <w:tr2bl w:val="nil"/>
            </w:tcBorders>
            <w:noWrap w:val="0"/>
            <w:vAlign w:val="center"/>
          </w:tcPr>
          <w:p w14:paraId="23A77417">
            <w:pPr>
              <w:pStyle w:val="563"/>
              <w:bidi w:val="0"/>
              <w:rPr>
                <w:color w:val="auto"/>
                <w:highlight w:val="none"/>
              </w:rPr>
            </w:pPr>
          </w:p>
        </w:tc>
        <w:tc>
          <w:tcPr>
            <w:tcW w:w="1328" w:type="dxa"/>
            <w:tcBorders>
              <w:tl2br w:val="nil"/>
              <w:tr2bl w:val="nil"/>
            </w:tcBorders>
            <w:noWrap w:val="0"/>
            <w:vAlign w:val="center"/>
          </w:tcPr>
          <w:p w14:paraId="04F2C93B">
            <w:pPr>
              <w:pStyle w:val="563"/>
              <w:bidi w:val="0"/>
              <w:rPr>
                <w:color w:val="auto"/>
                <w:highlight w:val="none"/>
              </w:rPr>
            </w:pPr>
            <w:r>
              <w:rPr>
                <w:color w:val="auto"/>
                <w:highlight w:val="none"/>
              </w:rPr>
              <w:t>声环境保护目标处噪声值</w:t>
            </w:r>
          </w:p>
        </w:tc>
        <w:tc>
          <w:tcPr>
            <w:tcW w:w="2790" w:type="dxa"/>
            <w:gridSpan w:val="4"/>
            <w:tcBorders>
              <w:tl2br w:val="nil"/>
              <w:tr2bl w:val="nil"/>
            </w:tcBorders>
            <w:noWrap w:val="0"/>
            <w:vAlign w:val="center"/>
          </w:tcPr>
          <w:p w14:paraId="7F2BD0F3">
            <w:pPr>
              <w:pStyle w:val="563"/>
              <w:bidi w:val="0"/>
              <w:rPr>
                <w:color w:val="auto"/>
                <w:highlight w:val="none"/>
              </w:rPr>
            </w:pPr>
            <w:r>
              <w:rPr>
                <w:color w:val="auto"/>
                <w:highlight w:val="none"/>
              </w:rPr>
              <w:t>达标</w:t>
            </w:r>
            <w:r>
              <w:rPr>
                <w:color w:val="auto"/>
                <w:highlight w:val="none"/>
              </w:rPr>
              <w:sym w:font="Wingdings 2" w:char="0052"/>
            </w:r>
          </w:p>
        </w:tc>
        <w:tc>
          <w:tcPr>
            <w:tcW w:w="3762" w:type="dxa"/>
            <w:gridSpan w:val="8"/>
            <w:tcBorders>
              <w:tl2br w:val="nil"/>
              <w:tr2bl w:val="nil"/>
            </w:tcBorders>
            <w:noWrap w:val="0"/>
            <w:vAlign w:val="center"/>
          </w:tcPr>
          <w:p w14:paraId="74EA0CAB">
            <w:pPr>
              <w:pStyle w:val="563"/>
              <w:bidi w:val="0"/>
              <w:rPr>
                <w:color w:val="auto"/>
                <w:highlight w:val="none"/>
              </w:rPr>
            </w:pPr>
            <w:r>
              <w:rPr>
                <w:color w:val="auto"/>
                <w:highlight w:val="none"/>
              </w:rPr>
              <w:t>不达标</w:t>
            </w:r>
            <w:r>
              <w:rPr>
                <w:color w:val="auto"/>
                <w:highlight w:val="none"/>
              </w:rPr>
              <w:sym w:font="Wingdings 2" w:char="00A3"/>
            </w:r>
          </w:p>
        </w:tc>
      </w:tr>
      <w:tr w14:paraId="72B3F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restart"/>
            <w:tcBorders>
              <w:tl2br w:val="nil"/>
              <w:tr2bl w:val="nil"/>
            </w:tcBorders>
            <w:noWrap w:val="0"/>
            <w:vAlign w:val="center"/>
          </w:tcPr>
          <w:p w14:paraId="217BFD8E">
            <w:pPr>
              <w:pStyle w:val="563"/>
              <w:bidi w:val="0"/>
              <w:rPr>
                <w:color w:val="auto"/>
                <w:highlight w:val="none"/>
              </w:rPr>
            </w:pPr>
            <w:r>
              <w:rPr>
                <w:color w:val="auto"/>
                <w:highlight w:val="none"/>
              </w:rPr>
              <w:t>环境监测计划</w:t>
            </w:r>
          </w:p>
        </w:tc>
        <w:tc>
          <w:tcPr>
            <w:tcW w:w="1328" w:type="dxa"/>
            <w:tcBorders>
              <w:tl2br w:val="nil"/>
              <w:tr2bl w:val="nil"/>
            </w:tcBorders>
            <w:noWrap w:val="0"/>
            <w:vAlign w:val="center"/>
          </w:tcPr>
          <w:p w14:paraId="1E8FFC1F">
            <w:pPr>
              <w:pStyle w:val="563"/>
              <w:bidi w:val="0"/>
              <w:rPr>
                <w:color w:val="auto"/>
                <w:highlight w:val="none"/>
              </w:rPr>
            </w:pPr>
            <w:r>
              <w:rPr>
                <w:color w:val="auto"/>
                <w:highlight w:val="none"/>
              </w:rPr>
              <w:t>排放监测</w:t>
            </w:r>
          </w:p>
        </w:tc>
        <w:tc>
          <w:tcPr>
            <w:tcW w:w="2790" w:type="dxa"/>
            <w:gridSpan w:val="4"/>
            <w:tcBorders>
              <w:tl2br w:val="nil"/>
              <w:tr2bl w:val="nil"/>
            </w:tcBorders>
            <w:noWrap w:val="0"/>
            <w:vAlign w:val="center"/>
          </w:tcPr>
          <w:p w14:paraId="5C1526F0">
            <w:pPr>
              <w:pStyle w:val="563"/>
              <w:bidi w:val="0"/>
              <w:rPr>
                <w:color w:val="auto"/>
                <w:highlight w:val="none"/>
              </w:rPr>
            </w:pPr>
            <w:r>
              <w:rPr>
                <w:color w:val="auto"/>
                <w:highlight w:val="none"/>
              </w:rPr>
              <w:t>厂界监测</w:t>
            </w:r>
            <w:r>
              <w:rPr>
                <w:color w:val="auto"/>
                <w:highlight w:val="none"/>
              </w:rPr>
              <w:sym w:font="Wingdings 2" w:char="0052"/>
            </w:r>
            <w:r>
              <w:rPr>
                <w:color w:val="auto"/>
                <w:highlight w:val="none"/>
              </w:rPr>
              <w:t>固定位置监测</w:t>
            </w:r>
            <w:r>
              <w:rPr>
                <w:color w:val="auto"/>
                <w:highlight w:val="none"/>
              </w:rPr>
              <w:sym w:font="Wingdings 2" w:char="00A3"/>
            </w:r>
          </w:p>
        </w:tc>
        <w:tc>
          <w:tcPr>
            <w:tcW w:w="2598" w:type="dxa"/>
            <w:gridSpan w:val="6"/>
            <w:tcBorders>
              <w:tl2br w:val="nil"/>
              <w:tr2bl w:val="nil"/>
            </w:tcBorders>
            <w:noWrap w:val="0"/>
            <w:vAlign w:val="center"/>
          </w:tcPr>
          <w:p w14:paraId="719AF6DE">
            <w:pPr>
              <w:pStyle w:val="563"/>
              <w:bidi w:val="0"/>
              <w:rPr>
                <w:color w:val="auto"/>
                <w:highlight w:val="none"/>
              </w:rPr>
            </w:pPr>
            <w:r>
              <w:rPr>
                <w:color w:val="auto"/>
                <w:highlight w:val="none"/>
              </w:rPr>
              <w:t>自动监测</w:t>
            </w:r>
            <w:r>
              <w:rPr>
                <w:color w:val="auto"/>
                <w:highlight w:val="none"/>
              </w:rPr>
              <w:sym w:font="Wingdings 2" w:char="00A3"/>
            </w:r>
            <w:r>
              <w:rPr>
                <w:color w:val="auto"/>
                <w:highlight w:val="none"/>
              </w:rPr>
              <w:t>手动监测</w:t>
            </w:r>
            <w:r>
              <w:rPr>
                <w:color w:val="auto"/>
                <w:highlight w:val="none"/>
              </w:rPr>
              <w:sym w:font="Wingdings 2" w:char="00A3"/>
            </w:r>
          </w:p>
        </w:tc>
        <w:tc>
          <w:tcPr>
            <w:tcW w:w="1164" w:type="dxa"/>
            <w:gridSpan w:val="2"/>
            <w:tcBorders>
              <w:tl2br w:val="nil"/>
              <w:tr2bl w:val="nil"/>
            </w:tcBorders>
            <w:noWrap w:val="0"/>
            <w:vAlign w:val="center"/>
          </w:tcPr>
          <w:p w14:paraId="40A37FEF">
            <w:pPr>
              <w:pStyle w:val="563"/>
              <w:bidi w:val="0"/>
              <w:rPr>
                <w:color w:val="auto"/>
                <w:highlight w:val="none"/>
              </w:rPr>
            </w:pPr>
            <w:r>
              <w:rPr>
                <w:color w:val="auto"/>
                <w:highlight w:val="none"/>
              </w:rPr>
              <w:t>无监测</w:t>
            </w:r>
            <w:r>
              <w:rPr>
                <w:color w:val="auto"/>
                <w:highlight w:val="none"/>
              </w:rPr>
              <w:sym w:font="Wingdings 2" w:char="00A3"/>
            </w:r>
          </w:p>
        </w:tc>
      </w:tr>
      <w:tr w14:paraId="09675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vMerge w:val="continue"/>
            <w:tcBorders>
              <w:tl2br w:val="nil"/>
              <w:tr2bl w:val="nil"/>
            </w:tcBorders>
            <w:noWrap w:val="0"/>
            <w:vAlign w:val="center"/>
          </w:tcPr>
          <w:p w14:paraId="5D4C5E17">
            <w:pPr>
              <w:pStyle w:val="563"/>
              <w:bidi w:val="0"/>
              <w:rPr>
                <w:color w:val="auto"/>
                <w:highlight w:val="none"/>
              </w:rPr>
            </w:pPr>
          </w:p>
        </w:tc>
        <w:tc>
          <w:tcPr>
            <w:tcW w:w="1328" w:type="dxa"/>
            <w:tcBorders>
              <w:tl2br w:val="nil"/>
              <w:tr2bl w:val="nil"/>
            </w:tcBorders>
            <w:noWrap w:val="0"/>
            <w:vAlign w:val="center"/>
          </w:tcPr>
          <w:p w14:paraId="480E6819">
            <w:pPr>
              <w:pStyle w:val="563"/>
              <w:bidi w:val="0"/>
              <w:rPr>
                <w:color w:val="auto"/>
                <w:highlight w:val="none"/>
              </w:rPr>
            </w:pPr>
            <w:r>
              <w:rPr>
                <w:color w:val="auto"/>
                <w:highlight w:val="none"/>
              </w:rPr>
              <w:t>声环境保护目标处噪声监测</w:t>
            </w:r>
          </w:p>
        </w:tc>
        <w:tc>
          <w:tcPr>
            <w:tcW w:w="2790" w:type="dxa"/>
            <w:gridSpan w:val="4"/>
            <w:tcBorders>
              <w:tl2br w:val="nil"/>
              <w:tr2bl w:val="nil"/>
            </w:tcBorders>
            <w:noWrap w:val="0"/>
            <w:vAlign w:val="center"/>
          </w:tcPr>
          <w:p w14:paraId="56A18AF3">
            <w:pPr>
              <w:pStyle w:val="563"/>
              <w:bidi w:val="0"/>
              <w:rPr>
                <w:color w:val="auto"/>
                <w:highlight w:val="none"/>
              </w:rPr>
            </w:pPr>
            <w:r>
              <w:rPr>
                <w:color w:val="auto"/>
                <w:highlight w:val="none"/>
              </w:rPr>
              <w:t>监测因子：（）</w:t>
            </w:r>
          </w:p>
        </w:tc>
        <w:tc>
          <w:tcPr>
            <w:tcW w:w="2598" w:type="dxa"/>
            <w:gridSpan w:val="6"/>
            <w:tcBorders>
              <w:tl2br w:val="nil"/>
              <w:tr2bl w:val="nil"/>
            </w:tcBorders>
            <w:noWrap w:val="0"/>
            <w:vAlign w:val="center"/>
          </w:tcPr>
          <w:p w14:paraId="62739597">
            <w:pPr>
              <w:pStyle w:val="563"/>
              <w:bidi w:val="0"/>
              <w:rPr>
                <w:color w:val="auto"/>
                <w:highlight w:val="none"/>
              </w:rPr>
            </w:pPr>
            <w:r>
              <w:rPr>
                <w:color w:val="auto"/>
                <w:highlight w:val="none"/>
              </w:rPr>
              <w:t>监测点位数</w:t>
            </w:r>
            <w:r>
              <w:rPr>
                <w:rFonts w:hint="eastAsia"/>
                <w:color w:val="auto"/>
                <w:highlight w:val="none"/>
                <w:lang w:eastAsia="zh-CN"/>
              </w:rPr>
              <w:t>（一</w:t>
            </w:r>
            <w:r>
              <w:rPr>
                <w:color w:val="auto"/>
                <w:highlight w:val="none"/>
              </w:rPr>
              <w:t>）</w:t>
            </w:r>
          </w:p>
        </w:tc>
        <w:tc>
          <w:tcPr>
            <w:tcW w:w="1164" w:type="dxa"/>
            <w:gridSpan w:val="2"/>
            <w:tcBorders>
              <w:tl2br w:val="nil"/>
              <w:tr2bl w:val="nil"/>
            </w:tcBorders>
            <w:noWrap w:val="0"/>
            <w:vAlign w:val="center"/>
          </w:tcPr>
          <w:p w14:paraId="023C244C">
            <w:pPr>
              <w:pStyle w:val="563"/>
              <w:bidi w:val="0"/>
              <w:rPr>
                <w:color w:val="auto"/>
                <w:highlight w:val="none"/>
              </w:rPr>
            </w:pPr>
            <w:r>
              <w:rPr>
                <w:color w:val="auto"/>
                <w:highlight w:val="none"/>
              </w:rPr>
              <w:t>无监测</w:t>
            </w:r>
            <w:r>
              <w:rPr>
                <w:color w:val="auto"/>
                <w:highlight w:val="none"/>
              </w:rPr>
              <w:sym w:font="Wingdings 2" w:char="00A3"/>
            </w:r>
          </w:p>
        </w:tc>
      </w:tr>
      <w:tr w14:paraId="42BA3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2" w:type="dxa"/>
            <w:tcBorders>
              <w:tl2br w:val="nil"/>
              <w:tr2bl w:val="nil"/>
            </w:tcBorders>
            <w:noWrap w:val="0"/>
            <w:vAlign w:val="center"/>
          </w:tcPr>
          <w:p w14:paraId="0C7827C3">
            <w:pPr>
              <w:pStyle w:val="563"/>
              <w:bidi w:val="0"/>
              <w:rPr>
                <w:color w:val="auto"/>
                <w:highlight w:val="none"/>
              </w:rPr>
            </w:pPr>
            <w:r>
              <w:rPr>
                <w:color w:val="auto"/>
                <w:highlight w:val="none"/>
              </w:rPr>
              <w:t>评价结论</w:t>
            </w:r>
          </w:p>
        </w:tc>
        <w:tc>
          <w:tcPr>
            <w:tcW w:w="1328" w:type="dxa"/>
            <w:tcBorders>
              <w:tl2br w:val="nil"/>
              <w:tr2bl w:val="nil"/>
            </w:tcBorders>
            <w:noWrap w:val="0"/>
            <w:vAlign w:val="center"/>
          </w:tcPr>
          <w:p w14:paraId="03923671">
            <w:pPr>
              <w:pStyle w:val="563"/>
              <w:bidi w:val="0"/>
              <w:rPr>
                <w:color w:val="auto"/>
                <w:highlight w:val="none"/>
              </w:rPr>
            </w:pPr>
            <w:r>
              <w:rPr>
                <w:color w:val="auto"/>
                <w:highlight w:val="none"/>
              </w:rPr>
              <w:t>环境影响</w:t>
            </w:r>
          </w:p>
        </w:tc>
        <w:tc>
          <w:tcPr>
            <w:tcW w:w="6552" w:type="dxa"/>
            <w:gridSpan w:val="12"/>
            <w:tcBorders>
              <w:tl2br w:val="nil"/>
              <w:tr2bl w:val="nil"/>
            </w:tcBorders>
            <w:noWrap w:val="0"/>
            <w:vAlign w:val="center"/>
          </w:tcPr>
          <w:p w14:paraId="24ABBA8C">
            <w:pPr>
              <w:pStyle w:val="563"/>
              <w:bidi w:val="0"/>
              <w:rPr>
                <w:color w:val="auto"/>
                <w:highlight w:val="none"/>
              </w:rPr>
            </w:pPr>
            <w:r>
              <w:rPr>
                <w:color w:val="auto"/>
                <w:highlight w:val="none"/>
              </w:rPr>
              <w:t>可行</w:t>
            </w:r>
            <w:r>
              <w:rPr>
                <w:color w:val="auto"/>
                <w:highlight w:val="none"/>
              </w:rPr>
              <w:sym w:font="Wingdings 2" w:char="0052"/>
            </w:r>
            <w:r>
              <w:rPr>
                <w:color w:val="auto"/>
                <w:highlight w:val="none"/>
              </w:rPr>
              <w:t>不可行</w:t>
            </w:r>
            <w:r>
              <w:rPr>
                <w:color w:val="auto"/>
                <w:highlight w:val="none"/>
              </w:rPr>
              <w:sym w:font="Wingdings 2" w:char="00A3"/>
            </w:r>
          </w:p>
        </w:tc>
      </w:tr>
      <w:tr w14:paraId="6DC71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62" w:type="dxa"/>
            <w:gridSpan w:val="14"/>
            <w:tcBorders>
              <w:tl2br w:val="nil"/>
              <w:tr2bl w:val="nil"/>
            </w:tcBorders>
            <w:noWrap w:val="0"/>
            <w:vAlign w:val="center"/>
          </w:tcPr>
          <w:p w14:paraId="0E9D6C01">
            <w:pPr>
              <w:pStyle w:val="563"/>
              <w:bidi w:val="0"/>
              <w:rPr>
                <w:color w:val="auto"/>
                <w:highlight w:val="none"/>
              </w:rPr>
            </w:pPr>
            <w:r>
              <w:rPr>
                <w:color w:val="auto"/>
                <w:highlight w:val="none"/>
              </w:rPr>
              <w:t>注：</w:t>
            </w:r>
            <w:r>
              <w:rPr>
                <w:rFonts w:hint="eastAsia"/>
                <w:color w:val="auto"/>
                <w:highlight w:val="none"/>
                <w:lang w:eastAsia="zh-CN"/>
              </w:rPr>
              <w:t>“</w:t>
            </w:r>
            <w:r>
              <w:rPr>
                <w:color w:val="auto"/>
                <w:highlight w:val="none"/>
              </w:rPr>
              <w:t>□</w:t>
            </w:r>
            <w:r>
              <w:rPr>
                <w:rFonts w:hint="eastAsia"/>
                <w:color w:val="auto"/>
                <w:highlight w:val="none"/>
                <w:lang w:eastAsia="zh-CN"/>
              </w:rPr>
              <w:t>”</w:t>
            </w:r>
            <w:r>
              <w:rPr>
                <w:color w:val="auto"/>
                <w:highlight w:val="none"/>
              </w:rPr>
              <w:t>为勾选项，可√；</w:t>
            </w:r>
            <w:r>
              <w:rPr>
                <w:rFonts w:hint="eastAsia"/>
                <w:color w:val="auto"/>
                <w:highlight w:val="none"/>
                <w:lang w:eastAsia="zh-CN"/>
              </w:rPr>
              <w:t>“</w:t>
            </w:r>
            <w:r>
              <w:rPr>
                <w:color w:val="auto"/>
                <w:highlight w:val="none"/>
              </w:rPr>
              <w:t>（）</w:t>
            </w:r>
            <w:r>
              <w:rPr>
                <w:rFonts w:hint="eastAsia"/>
                <w:color w:val="auto"/>
                <w:highlight w:val="none"/>
                <w:lang w:eastAsia="zh-CN"/>
              </w:rPr>
              <w:t>”</w:t>
            </w:r>
            <w:r>
              <w:rPr>
                <w:color w:val="auto"/>
                <w:highlight w:val="none"/>
              </w:rPr>
              <w:t>为内容填写项。</w:t>
            </w:r>
          </w:p>
        </w:tc>
      </w:tr>
    </w:tbl>
    <w:p w14:paraId="1A2FD401">
      <w:pPr>
        <w:pStyle w:val="4"/>
        <w:pageBreakBefore w:val="0"/>
        <w:widowControl w:val="0"/>
        <w:kinsoku/>
        <w:wordWrap/>
        <w:overflowPunct/>
        <w:topLinePunct w:val="0"/>
        <w:autoSpaceDE/>
        <w:autoSpaceDN/>
        <w:bidi w:val="0"/>
        <w:adjustRightInd/>
        <w:snapToGrid/>
        <w:spacing w:after="156"/>
        <w:textAlignment w:val="auto"/>
        <w:rPr>
          <w:color w:val="auto"/>
          <w:highlight w:val="none"/>
        </w:rPr>
      </w:pPr>
      <w:bookmarkStart w:id="458" w:name="_Toc152922659"/>
      <w:bookmarkStart w:id="459" w:name="_Toc117150266"/>
      <w:bookmarkStart w:id="460" w:name="_Toc152921700"/>
      <w:bookmarkStart w:id="461" w:name="_Toc152923340"/>
      <w:bookmarkStart w:id="462" w:name="_Toc152922065"/>
      <w:r>
        <w:rPr>
          <w:color w:val="auto"/>
          <w:highlight w:val="none"/>
        </w:rPr>
        <w:t>5.2.4运营期固废环境影响评价</w:t>
      </w:r>
      <w:bookmarkEnd w:id="458"/>
      <w:bookmarkEnd w:id="459"/>
      <w:bookmarkEnd w:id="460"/>
      <w:bookmarkEnd w:id="461"/>
      <w:bookmarkEnd w:id="462"/>
    </w:p>
    <w:p w14:paraId="0C9D62EE">
      <w:pPr>
        <w:pStyle w:val="5"/>
        <w:rPr>
          <w:rFonts w:hint="eastAsia" w:ascii="Times New Roman" w:hAnsi="Times New Roman" w:eastAsia="宋体" w:cs="Times New Roman"/>
          <w:b/>
          <w:bCs/>
          <w:color w:val="auto"/>
          <w:highlight w:val="none"/>
        </w:rPr>
      </w:pPr>
      <w:bookmarkStart w:id="463" w:name="_Toc152922660"/>
      <w:bookmarkStart w:id="464" w:name="_Toc152922066"/>
      <w:bookmarkStart w:id="465" w:name="_Toc152923341"/>
      <w:bookmarkStart w:id="466" w:name="_Toc152921701"/>
      <w:r>
        <w:rPr>
          <w:rFonts w:hint="eastAsia" w:ascii="Times New Roman" w:hAnsi="Times New Roman" w:eastAsia="宋体" w:cs="Times New Roman"/>
          <w:b/>
          <w:bCs/>
          <w:color w:val="auto"/>
          <w:highlight w:val="none"/>
        </w:rPr>
        <w:t>5.2.4.1固体废物产生情况</w:t>
      </w:r>
      <w:bookmarkEnd w:id="463"/>
      <w:bookmarkEnd w:id="464"/>
      <w:bookmarkEnd w:id="465"/>
      <w:bookmarkEnd w:id="466"/>
    </w:p>
    <w:p w14:paraId="79B847A1">
      <w:pPr>
        <w:pStyle w:val="352"/>
        <w:ind w:firstLine="480"/>
        <w:rPr>
          <w:color w:val="auto"/>
          <w:highlight w:val="none"/>
        </w:rPr>
      </w:pPr>
      <w:r>
        <w:rPr>
          <w:color w:val="auto"/>
          <w:highlight w:val="none"/>
        </w:rPr>
        <w:t>本项目固体废弃物主要有：</w:t>
      </w:r>
      <w:r>
        <w:rPr>
          <w:rFonts w:hint="eastAsia" w:ascii="Times New Roman" w:hAnsi="Times New Roman" w:eastAsia="宋体" w:cs="Times New Roman"/>
          <w:color w:val="auto"/>
          <w:sz w:val="24"/>
          <w:szCs w:val="24"/>
          <w:highlight w:val="none"/>
          <w:lang w:val="en-US" w:eastAsia="zh-CN"/>
        </w:rPr>
        <w:t>沼气除杂产生废过滤膜、制氮机</w:t>
      </w:r>
      <w:r>
        <w:rPr>
          <w:rFonts w:hint="default" w:ascii="Times New Roman" w:hAnsi="Times New Roman" w:eastAsia="宋体" w:cs="Times New Roman"/>
          <w:color w:val="auto"/>
          <w:sz w:val="24"/>
          <w:szCs w:val="24"/>
          <w:highlight w:val="none"/>
          <w:lang w:eastAsia="zh-CN"/>
        </w:rPr>
        <w:t>废</w:t>
      </w:r>
      <w:r>
        <w:rPr>
          <w:rFonts w:hint="eastAsia" w:ascii="Times New Roman" w:hAnsi="Times New Roman" w:eastAsia="宋体" w:cs="Times New Roman"/>
          <w:color w:val="auto"/>
          <w:sz w:val="24"/>
          <w:szCs w:val="24"/>
          <w:highlight w:val="none"/>
          <w:lang w:val="en-US" w:eastAsia="zh-CN"/>
        </w:rPr>
        <w:t>过滤膜</w:t>
      </w:r>
      <w:r>
        <w:rPr>
          <w:rFonts w:hint="default" w:ascii="Times New Roman" w:hAnsi="Times New Roman" w:eastAsia="宋体" w:cs="Times New Roman"/>
          <w:color w:val="auto"/>
          <w:sz w:val="24"/>
          <w:szCs w:val="24"/>
          <w:highlight w:val="none"/>
          <w:lang w:eastAsia="zh-CN"/>
        </w:rPr>
        <w:t>、制氢过程产生的</w:t>
      </w:r>
      <w:r>
        <w:rPr>
          <w:rFonts w:hint="eastAsia" w:ascii="Times New Roman" w:hAnsi="Times New Roman" w:eastAsia="宋体" w:cs="Times New Roman"/>
          <w:color w:val="auto"/>
          <w:sz w:val="24"/>
          <w:szCs w:val="24"/>
          <w:highlight w:val="none"/>
          <w:lang w:val="en-US" w:eastAsia="zh-CN"/>
        </w:rPr>
        <w:t>废吸附剂</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废脱硫剂、废催化剂、</w:t>
      </w:r>
      <w:r>
        <w:rPr>
          <w:rFonts w:hint="default" w:ascii="Times New Roman" w:hAnsi="Times New Roman" w:eastAsia="宋体" w:cs="Times New Roman"/>
          <w:color w:val="auto"/>
          <w:sz w:val="24"/>
          <w:szCs w:val="24"/>
          <w:highlight w:val="none"/>
          <w:lang w:eastAsia="zh-CN"/>
        </w:rPr>
        <w:t>脱盐水产生的废滤芯、废滤膜、生活垃圾、</w:t>
      </w:r>
      <w:r>
        <w:rPr>
          <w:rFonts w:hint="eastAsia" w:ascii="Times New Roman" w:hAnsi="Times New Roman" w:eastAsia="宋体" w:cs="Times New Roman"/>
          <w:color w:val="auto"/>
          <w:sz w:val="24"/>
          <w:szCs w:val="24"/>
          <w:highlight w:val="none"/>
          <w:lang w:val="en-US" w:eastAsia="zh-CN"/>
        </w:rPr>
        <w:t>隔油沉淀产生废污泥、清罐废油泥（含废清理液）</w:t>
      </w:r>
      <w:r>
        <w:rPr>
          <w:color w:val="auto"/>
          <w:highlight w:val="none"/>
        </w:rPr>
        <w:t>。固体废物产生详细情况见表5.2.4-1。</w:t>
      </w:r>
    </w:p>
    <w:p w14:paraId="7A84539D">
      <w:pPr>
        <w:snapToGrid w:val="0"/>
        <w:spacing w:line="360" w:lineRule="auto"/>
        <w:ind w:firstLine="480" w:firstLineChars="200"/>
        <w:rPr>
          <w:rFonts w:ascii="Times New Roman" w:hAnsi="Times New Roman" w:eastAsia="宋体"/>
          <w:bCs/>
          <w:color w:val="auto"/>
          <w:sz w:val="24"/>
          <w:szCs w:val="24"/>
          <w:highlight w:val="none"/>
        </w:rPr>
        <w:sectPr>
          <w:pgSz w:w="11906" w:h="16838"/>
          <w:pgMar w:top="1440" w:right="1803" w:bottom="1440" w:left="1803" w:header="964" w:footer="964" w:gutter="0"/>
          <w:pgBorders>
            <w:top w:val="none" w:sz="0" w:space="0"/>
            <w:left w:val="none" w:sz="0" w:space="0"/>
            <w:bottom w:val="none" w:sz="0" w:space="0"/>
            <w:right w:val="none" w:sz="0" w:space="0"/>
          </w:pgBorders>
          <w:cols w:space="720" w:num="1"/>
          <w:rtlGutter w:val="0"/>
          <w:docGrid w:type="lines" w:linePitch="360" w:charSpace="0"/>
        </w:sectPr>
      </w:pPr>
    </w:p>
    <w:p w14:paraId="3AA819B3">
      <w:pPr>
        <w:widowControl/>
        <w:jc w:val="center"/>
        <w:rPr>
          <w:rFonts w:ascii="Times New Roman" w:hAnsi="Times New Roman" w:eastAsia="宋体"/>
          <w:b/>
          <w:color w:val="auto"/>
          <w:kern w:val="0"/>
          <w:sz w:val="24"/>
          <w:szCs w:val="24"/>
          <w:highlight w:val="none"/>
        </w:rPr>
      </w:pPr>
      <w:r>
        <w:rPr>
          <w:rFonts w:ascii="Times New Roman" w:hAnsi="Times New Roman" w:eastAsia="宋体"/>
          <w:b/>
          <w:color w:val="auto"/>
          <w:kern w:val="0"/>
          <w:sz w:val="24"/>
          <w:szCs w:val="24"/>
          <w:highlight w:val="none"/>
        </w:rPr>
        <w:t>表</w:t>
      </w:r>
      <w:r>
        <w:rPr>
          <w:rFonts w:ascii="Times New Roman" w:hAnsi="Times New Roman" w:eastAsia="宋体"/>
          <w:b/>
          <w:bCs/>
          <w:color w:val="auto"/>
          <w:kern w:val="0"/>
          <w:sz w:val="24"/>
          <w:szCs w:val="24"/>
          <w:highlight w:val="none"/>
        </w:rPr>
        <w:t>5.2.4-1</w:t>
      </w:r>
      <w:r>
        <w:rPr>
          <w:rFonts w:hint="eastAsia"/>
          <w:b/>
          <w:bCs/>
          <w:color w:val="auto"/>
          <w:kern w:val="0"/>
          <w:sz w:val="24"/>
          <w:szCs w:val="24"/>
          <w:highlight w:val="none"/>
          <w:lang w:val="en-US" w:eastAsia="zh-CN"/>
        </w:rPr>
        <w:t xml:space="preserve">  </w:t>
      </w:r>
      <w:r>
        <w:rPr>
          <w:rFonts w:ascii="Times New Roman" w:hAnsi="Times New Roman" w:eastAsia="宋体"/>
          <w:b/>
          <w:color w:val="auto"/>
          <w:kern w:val="0"/>
          <w:sz w:val="24"/>
          <w:szCs w:val="24"/>
          <w:highlight w:val="none"/>
        </w:rPr>
        <w:t>运营期建设项目固废产生情况表</w:t>
      </w:r>
    </w:p>
    <w:tbl>
      <w:tblPr>
        <w:tblStyle w:val="49"/>
        <w:tblW w:w="1357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41"/>
        <w:gridCol w:w="1720"/>
        <w:gridCol w:w="1399"/>
        <w:gridCol w:w="1276"/>
        <w:gridCol w:w="1134"/>
        <w:gridCol w:w="1559"/>
        <w:gridCol w:w="992"/>
        <w:gridCol w:w="1134"/>
        <w:gridCol w:w="1473"/>
        <w:gridCol w:w="1943"/>
      </w:tblGrid>
      <w:tr w14:paraId="07DAC9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1" w:type="dxa"/>
            <w:tcBorders>
              <w:tl2br w:val="nil"/>
              <w:tr2bl w:val="nil"/>
            </w:tcBorders>
            <w:noWrap w:val="0"/>
            <w:vAlign w:val="center"/>
          </w:tcPr>
          <w:p w14:paraId="1BD91BE8">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序号</w:t>
            </w:r>
          </w:p>
        </w:tc>
        <w:tc>
          <w:tcPr>
            <w:tcW w:w="1720" w:type="dxa"/>
            <w:tcBorders>
              <w:tl2br w:val="nil"/>
              <w:tr2bl w:val="nil"/>
            </w:tcBorders>
            <w:noWrap w:val="0"/>
            <w:vAlign w:val="center"/>
          </w:tcPr>
          <w:p w14:paraId="5802B5DC">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固废名称</w:t>
            </w:r>
          </w:p>
        </w:tc>
        <w:tc>
          <w:tcPr>
            <w:tcW w:w="1399" w:type="dxa"/>
            <w:tcBorders>
              <w:tl2br w:val="nil"/>
              <w:tr2bl w:val="nil"/>
            </w:tcBorders>
            <w:noWrap w:val="0"/>
            <w:vAlign w:val="center"/>
          </w:tcPr>
          <w:p w14:paraId="1919EAB6">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产生工序</w:t>
            </w:r>
          </w:p>
        </w:tc>
        <w:tc>
          <w:tcPr>
            <w:tcW w:w="1276" w:type="dxa"/>
            <w:tcBorders>
              <w:tl2br w:val="nil"/>
              <w:tr2bl w:val="nil"/>
            </w:tcBorders>
            <w:noWrap w:val="0"/>
            <w:vAlign w:val="center"/>
          </w:tcPr>
          <w:p w14:paraId="5304B0B2">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属性</w:t>
            </w:r>
          </w:p>
        </w:tc>
        <w:tc>
          <w:tcPr>
            <w:tcW w:w="1134" w:type="dxa"/>
            <w:tcBorders>
              <w:tl2br w:val="nil"/>
              <w:tr2bl w:val="nil"/>
            </w:tcBorders>
            <w:noWrap w:val="0"/>
            <w:vAlign w:val="center"/>
          </w:tcPr>
          <w:p w14:paraId="5E537BCC">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废物类别</w:t>
            </w:r>
          </w:p>
        </w:tc>
        <w:tc>
          <w:tcPr>
            <w:tcW w:w="1559" w:type="dxa"/>
            <w:tcBorders>
              <w:tl2br w:val="nil"/>
              <w:tr2bl w:val="nil"/>
            </w:tcBorders>
            <w:noWrap w:val="0"/>
            <w:vAlign w:val="center"/>
          </w:tcPr>
          <w:p w14:paraId="3E333869">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废物代码</w:t>
            </w:r>
          </w:p>
        </w:tc>
        <w:tc>
          <w:tcPr>
            <w:tcW w:w="992" w:type="dxa"/>
            <w:tcBorders>
              <w:tl2br w:val="nil"/>
              <w:tr2bl w:val="nil"/>
            </w:tcBorders>
            <w:noWrap w:val="0"/>
            <w:vAlign w:val="center"/>
          </w:tcPr>
          <w:p w14:paraId="4F2B9710">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形态</w:t>
            </w:r>
          </w:p>
        </w:tc>
        <w:tc>
          <w:tcPr>
            <w:tcW w:w="1134" w:type="dxa"/>
            <w:tcBorders>
              <w:tl2br w:val="nil"/>
              <w:tr2bl w:val="nil"/>
            </w:tcBorders>
            <w:noWrap w:val="0"/>
            <w:vAlign w:val="center"/>
          </w:tcPr>
          <w:p w14:paraId="71170150">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产生量</w:t>
            </w:r>
          </w:p>
          <w:p w14:paraId="36BB6E01">
            <w:pPr>
              <w:widowControl/>
              <w:snapToGrid w:val="0"/>
              <w:jc w:val="center"/>
              <w:rPr>
                <w:rFonts w:ascii="Times New Roman" w:hAnsi="Times New Roman" w:eastAsia="宋体"/>
                <w:b/>
                <w:color w:val="auto"/>
                <w:kern w:val="0"/>
                <w:szCs w:val="21"/>
                <w:highlight w:val="none"/>
              </w:rPr>
            </w:pPr>
            <w:r>
              <w:rPr>
                <w:rFonts w:hint="eastAsia" w:ascii="Times New Roman" w:hAnsi="Times New Roman" w:eastAsia="宋体"/>
                <w:b/>
                <w:color w:val="auto"/>
                <w:kern w:val="0"/>
                <w:szCs w:val="21"/>
                <w:highlight w:val="none"/>
                <w:lang w:eastAsia="zh-CN"/>
              </w:rPr>
              <w:t>(</w:t>
            </w:r>
            <w:r>
              <w:rPr>
                <w:rFonts w:ascii="Times New Roman" w:hAnsi="Times New Roman" w:eastAsia="宋体"/>
                <w:b/>
                <w:bCs/>
                <w:color w:val="auto"/>
                <w:kern w:val="0"/>
                <w:szCs w:val="21"/>
                <w:highlight w:val="none"/>
              </w:rPr>
              <w:t>t/a</w:t>
            </w:r>
            <w:r>
              <w:rPr>
                <w:rFonts w:ascii="Times New Roman" w:hAnsi="Times New Roman" w:eastAsia="宋体"/>
                <w:b/>
                <w:color w:val="auto"/>
                <w:kern w:val="0"/>
                <w:szCs w:val="21"/>
                <w:highlight w:val="none"/>
              </w:rPr>
              <w:t>）</w:t>
            </w:r>
          </w:p>
        </w:tc>
        <w:tc>
          <w:tcPr>
            <w:tcW w:w="1473" w:type="dxa"/>
            <w:tcBorders>
              <w:tl2br w:val="nil"/>
              <w:tr2bl w:val="nil"/>
            </w:tcBorders>
            <w:noWrap w:val="0"/>
            <w:vAlign w:val="center"/>
          </w:tcPr>
          <w:p w14:paraId="27695A2C">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采取</w:t>
            </w:r>
            <w:r>
              <w:rPr>
                <w:rFonts w:hint="eastAsia"/>
                <w:b/>
                <w:color w:val="auto"/>
                <w:kern w:val="0"/>
                <w:szCs w:val="21"/>
                <w:highlight w:val="none"/>
                <w:lang w:val="en-US" w:eastAsia="zh-CN"/>
              </w:rPr>
              <w:t>处</w:t>
            </w:r>
            <w:r>
              <w:rPr>
                <w:rFonts w:ascii="Times New Roman" w:hAnsi="Times New Roman" w:eastAsia="宋体"/>
                <w:b/>
                <w:color w:val="auto"/>
                <w:kern w:val="0"/>
                <w:szCs w:val="21"/>
                <w:highlight w:val="none"/>
              </w:rPr>
              <w:t>理的处置方式</w:t>
            </w:r>
          </w:p>
        </w:tc>
        <w:tc>
          <w:tcPr>
            <w:tcW w:w="1943" w:type="dxa"/>
            <w:tcBorders>
              <w:tl2br w:val="nil"/>
              <w:tr2bl w:val="nil"/>
            </w:tcBorders>
            <w:noWrap w:val="0"/>
            <w:vAlign w:val="center"/>
          </w:tcPr>
          <w:p w14:paraId="03453EE2">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环境管</w:t>
            </w:r>
          </w:p>
          <w:p w14:paraId="426F8D6F">
            <w:pPr>
              <w:widowControl/>
              <w:snapToGrid w:val="0"/>
              <w:jc w:val="center"/>
              <w:rPr>
                <w:rFonts w:ascii="Times New Roman" w:hAnsi="Times New Roman" w:eastAsia="宋体"/>
                <w:b/>
                <w:color w:val="auto"/>
                <w:kern w:val="0"/>
                <w:szCs w:val="21"/>
                <w:highlight w:val="none"/>
              </w:rPr>
            </w:pPr>
            <w:r>
              <w:rPr>
                <w:rFonts w:ascii="Times New Roman" w:hAnsi="Times New Roman" w:eastAsia="宋体"/>
                <w:b/>
                <w:color w:val="auto"/>
                <w:kern w:val="0"/>
                <w:szCs w:val="21"/>
                <w:highlight w:val="none"/>
              </w:rPr>
              <w:t>理要求</w:t>
            </w:r>
          </w:p>
        </w:tc>
      </w:tr>
      <w:tr w14:paraId="0C6241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jc w:val="center"/>
        </w:trPr>
        <w:tc>
          <w:tcPr>
            <w:tcW w:w="941" w:type="dxa"/>
            <w:tcBorders>
              <w:tl2br w:val="nil"/>
              <w:tr2bl w:val="nil"/>
            </w:tcBorders>
            <w:noWrap w:val="0"/>
            <w:vAlign w:val="center"/>
          </w:tcPr>
          <w:p w14:paraId="7216604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1</w:t>
            </w:r>
          </w:p>
        </w:tc>
        <w:tc>
          <w:tcPr>
            <w:tcW w:w="1720" w:type="dxa"/>
            <w:tcBorders>
              <w:tl2br w:val="nil"/>
              <w:tr2bl w:val="nil"/>
            </w:tcBorders>
            <w:noWrap w:val="0"/>
            <w:vAlign w:val="center"/>
          </w:tcPr>
          <w:p w14:paraId="750E59E5">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ascii="Times New Roman" w:hAnsi="Times New Roman" w:eastAsia="宋体"/>
                <w:b w:val="0"/>
                <w:bCs w:val="0"/>
                <w:color w:val="auto"/>
                <w:kern w:val="0"/>
                <w:szCs w:val="21"/>
                <w:highlight w:val="none"/>
              </w:rPr>
            </w:pPr>
            <w:r>
              <w:rPr>
                <w:rFonts w:hint="default" w:ascii="Times New Roman" w:hAnsi="Times New Roman" w:eastAsia="宋体" w:cs="Times New Roman"/>
                <w:b w:val="0"/>
                <w:bCs w:val="0"/>
                <w:color w:val="auto"/>
                <w:spacing w:val="0"/>
                <w:kern w:val="2"/>
                <w:sz w:val="21"/>
                <w:szCs w:val="22"/>
                <w:highlight w:val="none"/>
                <w:lang w:val="en-US" w:eastAsia="zh-CN" w:bidi="ar-SA"/>
              </w:rPr>
              <w:t>沼气除杂产生废过滤膜</w:t>
            </w:r>
          </w:p>
        </w:tc>
        <w:tc>
          <w:tcPr>
            <w:tcW w:w="1399" w:type="dxa"/>
            <w:tcBorders>
              <w:tl2br w:val="nil"/>
              <w:tr2bl w:val="nil"/>
            </w:tcBorders>
            <w:noWrap w:val="0"/>
            <w:vAlign w:val="center"/>
          </w:tcPr>
          <w:p w14:paraId="627F6892">
            <w:pPr>
              <w:bidi w:val="0"/>
              <w:jc w:val="center"/>
              <w:rPr>
                <w:rFonts w:ascii="Times New Roman" w:hAnsi="Times New Roman" w:eastAsia="宋体"/>
                <w:color w:val="auto"/>
                <w:kern w:val="0"/>
                <w:szCs w:val="21"/>
                <w:highlight w:val="none"/>
              </w:rPr>
            </w:pPr>
            <w:r>
              <w:rPr>
                <w:rFonts w:hint="eastAsia"/>
                <w:color w:val="auto"/>
                <w:highlight w:val="none"/>
                <w:lang w:val="en-US" w:eastAsia="zh-CN"/>
              </w:rPr>
              <w:t>沼气过滤</w:t>
            </w:r>
          </w:p>
        </w:tc>
        <w:tc>
          <w:tcPr>
            <w:tcW w:w="1276" w:type="dxa"/>
            <w:tcBorders>
              <w:tl2br w:val="nil"/>
              <w:tr2bl w:val="nil"/>
            </w:tcBorders>
            <w:noWrap w:val="0"/>
            <w:vAlign w:val="center"/>
          </w:tcPr>
          <w:p w14:paraId="06420B32">
            <w:pPr>
              <w:bidi w:val="0"/>
              <w:jc w:val="center"/>
              <w:rPr>
                <w:rFonts w:ascii="Times New Roman" w:hAnsi="Times New Roman" w:eastAsia="宋体"/>
                <w:color w:val="auto"/>
                <w:kern w:val="0"/>
                <w:szCs w:val="21"/>
                <w:highlight w:val="none"/>
              </w:rPr>
            </w:pPr>
            <w:r>
              <w:rPr>
                <w:rFonts w:hint="default"/>
                <w:color w:val="auto"/>
                <w:highlight w:val="none"/>
              </w:rPr>
              <w:t>一般固废</w:t>
            </w:r>
          </w:p>
        </w:tc>
        <w:tc>
          <w:tcPr>
            <w:tcW w:w="1134" w:type="dxa"/>
            <w:tcBorders>
              <w:tl2br w:val="nil"/>
              <w:tr2bl w:val="nil"/>
            </w:tcBorders>
            <w:noWrap w:val="0"/>
            <w:vAlign w:val="center"/>
          </w:tcPr>
          <w:p w14:paraId="75127482">
            <w:pPr>
              <w:widowControl/>
              <w:snapToGrid w:val="0"/>
              <w:jc w:val="center"/>
              <w:rPr>
                <w:rFonts w:hint="eastAsia" w:ascii="Times New Roman" w:hAnsi="Times New Roman" w:eastAsia="宋体"/>
                <w:color w:val="auto"/>
                <w:kern w:val="0"/>
                <w:szCs w:val="21"/>
                <w:highlight w:val="none"/>
                <w:lang w:eastAsia="zh-CN"/>
              </w:rPr>
            </w:pPr>
            <w:r>
              <w:rPr>
                <w:rFonts w:hint="eastAsia" w:ascii="Times New Roman" w:hAnsi="Times New Roman" w:eastAsia="宋体"/>
                <w:color w:val="auto"/>
                <w:kern w:val="0"/>
                <w:szCs w:val="21"/>
                <w:highlight w:val="none"/>
                <w:lang w:val="en-US" w:eastAsia="zh-CN"/>
              </w:rPr>
              <w:t>/</w:t>
            </w:r>
          </w:p>
        </w:tc>
        <w:tc>
          <w:tcPr>
            <w:tcW w:w="1559" w:type="dxa"/>
            <w:tcBorders>
              <w:tl2br w:val="nil"/>
              <w:tr2bl w:val="nil"/>
            </w:tcBorders>
            <w:noWrap w:val="0"/>
            <w:vAlign w:val="center"/>
          </w:tcPr>
          <w:p w14:paraId="1D3364CC">
            <w:pPr>
              <w:bidi w:val="0"/>
              <w:jc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992" w:type="dxa"/>
            <w:tcBorders>
              <w:tl2br w:val="nil"/>
              <w:tr2bl w:val="nil"/>
            </w:tcBorders>
            <w:noWrap w:val="0"/>
            <w:vAlign w:val="center"/>
          </w:tcPr>
          <w:p w14:paraId="51C75DA5">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固态</w:t>
            </w:r>
          </w:p>
        </w:tc>
        <w:tc>
          <w:tcPr>
            <w:tcW w:w="1134" w:type="dxa"/>
            <w:tcBorders>
              <w:tl2br w:val="nil"/>
              <w:tr2bl w:val="nil"/>
            </w:tcBorders>
            <w:noWrap w:val="0"/>
            <w:vAlign w:val="center"/>
          </w:tcPr>
          <w:p w14:paraId="2FFD8B87">
            <w:pPr>
              <w:bidi w:val="0"/>
              <w:jc w:val="center"/>
              <w:rPr>
                <w:rFonts w:hint="default" w:ascii="Times New Roman" w:hAnsi="Times New Roman" w:eastAsia="宋体"/>
                <w:color w:val="auto"/>
                <w:kern w:val="0"/>
                <w:szCs w:val="21"/>
                <w:highlight w:val="none"/>
                <w:lang w:val="en-US"/>
              </w:rPr>
            </w:pPr>
            <w:r>
              <w:rPr>
                <w:rFonts w:hint="eastAsia"/>
                <w:color w:val="auto"/>
                <w:highlight w:val="none"/>
                <w:lang w:val="en-US" w:eastAsia="zh-CN"/>
              </w:rPr>
              <w:t>0.05</w:t>
            </w:r>
          </w:p>
        </w:tc>
        <w:tc>
          <w:tcPr>
            <w:tcW w:w="1473" w:type="dxa"/>
            <w:tcBorders>
              <w:tl2br w:val="nil"/>
              <w:tr2bl w:val="nil"/>
            </w:tcBorders>
            <w:noWrap w:val="0"/>
            <w:vAlign w:val="center"/>
          </w:tcPr>
          <w:p w14:paraId="59664BAC">
            <w:pPr>
              <w:bidi w:val="0"/>
              <w:jc w:val="center"/>
              <w:rPr>
                <w:rFonts w:ascii="Times New Roman" w:hAnsi="Times New Roman" w:eastAsia="宋体"/>
                <w:color w:val="auto"/>
                <w:kern w:val="0"/>
                <w:szCs w:val="21"/>
                <w:highlight w:val="none"/>
              </w:rPr>
            </w:pPr>
            <w:r>
              <w:rPr>
                <w:rFonts w:hint="eastAsia"/>
                <w:color w:val="auto"/>
                <w:highlight w:val="none"/>
                <w:lang w:val="en-US" w:eastAsia="zh-CN"/>
              </w:rPr>
              <w:t>厂家回收</w:t>
            </w:r>
          </w:p>
        </w:tc>
        <w:tc>
          <w:tcPr>
            <w:tcW w:w="1943" w:type="dxa"/>
            <w:vMerge w:val="restart"/>
            <w:tcBorders>
              <w:tl2br w:val="nil"/>
              <w:tr2bl w:val="nil"/>
            </w:tcBorders>
            <w:noWrap w:val="0"/>
            <w:vAlign w:val="center"/>
          </w:tcPr>
          <w:p w14:paraId="32AFE17D">
            <w:pPr>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分类收集，不外排</w:t>
            </w:r>
          </w:p>
        </w:tc>
      </w:tr>
      <w:tr w14:paraId="3BF744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jc w:val="center"/>
        </w:trPr>
        <w:tc>
          <w:tcPr>
            <w:tcW w:w="941" w:type="dxa"/>
            <w:tcBorders>
              <w:tl2br w:val="nil"/>
              <w:tr2bl w:val="nil"/>
            </w:tcBorders>
            <w:noWrap w:val="0"/>
            <w:vAlign w:val="center"/>
          </w:tcPr>
          <w:p w14:paraId="718F7B4B">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2</w:t>
            </w:r>
          </w:p>
        </w:tc>
        <w:tc>
          <w:tcPr>
            <w:tcW w:w="1720" w:type="dxa"/>
            <w:tcBorders>
              <w:tl2br w:val="nil"/>
              <w:tr2bl w:val="nil"/>
            </w:tcBorders>
            <w:noWrap w:val="0"/>
            <w:vAlign w:val="center"/>
          </w:tcPr>
          <w:p w14:paraId="6A93A52B">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ascii="Times New Roman" w:hAnsi="Times New Roman" w:eastAsia="宋体"/>
                <w:b w:val="0"/>
                <w:bCs w:val="0"/>
                <w:color w:val="auto"/>
                <w:kern w:val="0"/>
                <w:szCs w:val="21"/>
                <w:highlight w:val="none"/>
              </w:rPr>
            </w:pPr>
            <w:r>
              <w:rPr>
                <w:rFonts w:hint="default" w:ascii="Times New Roman" w:hAnsi="Times New Roman" w:eastAsia="宋体" w:cs="Times New Roman"/>
                <w:b w:val="0"/>
                <w:bCs w:val="0"/>
                <w:color w:val="auto"/>
                <w:spacing w:val="0"/>
                <w:kern w:val="2"/>
                <w:sz w:val="21"/>
                <w:szCs w:val="22"/>
                <w:highlight w:val="none"/>
                <w:lang w:val="en-US" w:eastAsia="zh-CN" w:bidi="ar-SA"/>
              </w:rPr>
              <w:t>废滤芯、废滤膜</w:t>
            </w:r>
          </w:p>
        </w:tc>
        <w:tc>
          <w:tcPr>
            <w:tcW w:w="1399" w:type="dxa"/>
            <w:tcBorders>
              <w:tl2br w:val="nil"/>
              <w:tr2bl w:val="nil"/>
            </w:tcBorders>
            <w:noWrap w:val="0"/>
            <w:vAlign w:val="center"/>
          </w:tcPr>
          <w:p w14:paraId="40B58CFD">
            <w:pPr>
              <w:bidi w:val="0"/>
              <w:jc w:val="center"/>
              <w:rPr>
                <w:rFonts w:ascii="Times New Roman" w:hAnsi="Times New Roman" w:eastAsia="宋体"/>
                <w:color w:val="auto"/>
                <w:kern w:val="0"/>
                <w:szCs w:val="21"/>
                <w:highlight w:val="none"/>
              </w:rPr>
            </w:pPr>
            <w:r>
              <w:rPr>
                <w:rFonts w:hint="default"/>
                <w:color w:val="auto"/>
                <w:highlight w:val="none"/>
                <w:lang w:val="en-US" w:eastAsia="zh-CN"/>
              </w:rPr>
              <w:t>脱盐水制备</w:t>
            </w:r>
          </w:p>
        </w:tc>
        <w:tc>
          <w:tcPr>
            <w:tcW w:w="1276" w:type="dxa"/>
            <w:tcBorders>
              <w:tl2br w:val="nil"/>
              <w:tr2bl w:val="nil"/>
            </w:tcBorders>
            <w:noWrap w:val="0"/>
            <w:vAlign w:val="center"/>
          </w:tcPr>
          <w:p w14:paraId="397F8DD7">
            <w:pPr>
              <w:bidi w:val="0"/>
              <w:jc w:val="center"/>
              <w:rPr>
                <w:rFonts w:ascii="Times New Roman" w:hAnsi="Times New Roman" w:eastAsia="宋体"/>
                <w:color w:val="auto"/>
                <w:kern w:val="0"/>
                <w:szCs w:val="21"/>
                <w:highlight w:val="none"/>
              </w:rPr>
            </w:pPr>
            <w:r>
              <w:rPr>
                <w:rFonts w:hint="default"/>
                <w:color w:val="auto"/>
                <w:highlight w:val="none"/>
              </w:rPr>
              <w:t>一般固废</w:t>
            </w:r>
          </w:p>
        </w:tc>
        <w:tc>
          <w:tcPr>
            <w:tcW w:w="1134" w:type="dxa"/>
            <w:tcBorders>
              <w:tl2br w:val="nil"/>
              <w:tr2bl w:val="nil"/>
            </w:tcBorders>
            <w:noWrap w:val="0"/>
            <w:vAlign w:val="center"/>
          </w:tcPr>
          <w:p w14:paraId="1877AFBB">
            <w:pPr>
              <w:widowControl/>
              <w:snapToGrid w:val="0"/>
              <w:jc w:val="center"/>
              <w:rPr>
                <w:rFonts w:hint="eastAsia" w:ascii="Times New Roman" w:hAnsi="Times New Roman" w:eastAsia="宋体"/>
                <w:color w:val="auto"/>
                <w:kern w:val="0"/>
                <w:szCs w:val="21"/>
                <w:highlight w:val="none"/>
                <w:lang w:eastAsia="zh-CN"/>
              </w:rPr>
            </w:pPr>
            <w:r>
              <w:rPr>
                <w:rFonts w:hint="eastAsia" w:ascii="Times New Roman" w:hAnsi="Times New Roman" w:eastAsia="宋体"/>
                <w:color w:val="auto"/>
                <w:kern w:val="0"/>
                <w:szCs w:val="21"/>
                <w:highlight w:val="none"/>
                <w:lang w:val="en-US" w:eastAsia="zh-CN"/>
              </w:rPr>
              <w:t>/</w:t>
            </w:r>
          </w:p>
        </w:tc>
        <w:tc>
          <w:tcPr>
            <w:tcW w:w="1559" w:type="dxa"/>
            <w:tcBorders>
              <w:tl2br w:val="nil"/>
              <w:tr2bl w:val="nil"/>
            </w:tcBorders>
            <w:noWrap w:val="0"/>
            <w:vAlign w:val="center"/>
          </w:tcPr>
          <w:p w14:paraId="243BBF52">
            <w:pPr>
              <w:bidi w:val="0"/>
              <w:jc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992" w:type="dxa"/>
            <w:tcBorders>
              <w:tl2br w:val="nil"/>
              <w:tr2bl w:val="nil"/>
            </w:tcBorders>
            <w:noWrap w:val="0"/>
            <w:vAlign w:val="center"/>
          </w:tcPr>
          <w:p w14:paraId="2DBDBCC2">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固态</w:t>
            </w:r>
          </w:p>
        </w:tc>
        <w:tc>
          <w:tcPr>
            <w:tcW w:w="1134" w:type="dxa"/>
            <w:tcBorders>
              <w:tl2br w:val="nil"/>
              <w:tr2bl w:val="nil"/>
            </w:tcBorders>
            <w:noWrap w:val="0"/>
            <w:vAlign w:val="center"/>
          </w:tcPr>
          <w:p w14:paraId="770FE8AE">
            <w:pPr>
              <w:bidi w:val="0"/>
              <w:jc w:val="center"/>
              <w:rPr>
                <w:rFonts w:hint="default" w:ascii="Times New Roman" w:hAnsi="Times New Roman" w:eastAsia="宋体"/>
                <w:color w:val="auto"/>
                <w:kern w:val="0"/>
                <w:szCs w:val="21"/>
                <w:highlight w:val="none"/>
                <w:lang w:val="en-US"/>
              </w:rPr>
            </w:pPr>
            <w:r>
              <w:rPr>
                <w:rFonts w:hint="eastAsia"/>
                <w:color w:val="auto"/>
                <w:highlight w:val="none"/>
                <w:lang w:val="en-US" w:eastAsia="zh-CN"/>
              </w:rPr>
              <w:t>0.5</w:t>
            </w:r>
          </w:p>
        </w:tc>
        <w:tc>
          <w:tcPr>
            <w:tcW w:w="1473" w:type="dxa"/>
            <w:tcBorders>
              <w:tl2br w:val="nil"/>
              <w:tr2bl w:val="nil"/>
            </w:tcBorders>
            <w:noWrap w:val="0"/>
            <w:vAlign w:val="center"/>
          </w:tcPr>
          <w:p w14:paraId="3254D2F2">
            <w:pPr>
              <w:bidi w:val="0"/>
              <w:jc w:val="center"/>
              <w:rPr>
                <w:rFonts w:ascii="Times New Roman" w:hAnsi="Times New Roman" w:eastAsia="宋体"/>
                <w:color w:val="auto"/>
                <w:kern w:val="0"/>
                <w:szCs w:val="21"/>
                <w:highlight w:val="none"/>
              </w:rPr>
            </w:pPr>
            <w:r>
              <w:rPr>
                <w:rFonts w:hint="eastAsia"/>
                <w:color w:val="auto"/>
                <w:highlight w:val="none"/>
                <w:lang w:val="en-US" w:eastAsia="zh-CN"/>
              </w:rPr>
              <w:t>收集后外售</w:t>
            </w:r>
            <w:r>
              <w:rPr>
                <w:rFonts w:hint="default"/>
                <w:color w:val="auto"/>
                <w:highlight w:val="none"/>
              </w:rPr>
              <w:t>用</w:t>
            </w:r>
          </w:p>
        </w:tc>
        <w:tc>
          <w:tcPr>
            <w:tcW w:w="1943" w:type="dxa"/>
            <w:vMerge w:val="continue"/>
            <w:tcBorders>
              <w:tl2br w:val="nil"/>
              <w:tr2bl w:val="nil"/>
            </w:tcBorders>
            <w:noWrap w:val="0"/>
            <w:vAlign w:val="center"/>
          </w:tcPr>
          <w:p w14:paraId="0F4B67A3">
            <w:pPr>
              <w:snapToGrid w:val="0"/>
              <w:jc w:val="center"/>
              <w:rPr>
                <w:rFonts w:ascii="Times New Roman" w:hAnsi="Times New Roman" w:eastAsia="宋体"/>
                <w:color w:val="auto"/>
                <w:kern w:val="0"/>
                <w:szCs w:val="21"/>
                <w:highlight w:val="none"/>
              </w:rPr>
            </w:pPr>
          </w:p>
        </w:tc>
      </w:tr>
      <w:tr w14:paraId="02E6D3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jc w:val="center"/>
        </w:trPr>
        <w:tc>
          <w:tcPr>
            <w:tcW w:w="941" w:type="dxa"/>
            <w:tcBorders>
              <w:tl2br w:val="nil"/>
              <w:tr2bl w:val="nil"/>
            </w:tcBorders>
            <w:noWrap w:val="0"/>
            <w:vAlign w:val="center"/>
          </w:tcPr>
          <w:p w14:paraId="51C7024E">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3</w:t>
            </w:r>
          </w:p>
        </w:tc>
        <w:tc>
          <w:tcPr>
            <w:tcW w:w="1720" w:type="dxa"/>
            <w:tcBorders>
              <w:tl2br w:val="nil"/>
              <w:tr2bl w:val="nil"/>
            </w:tcBorders>
            <w:noWrap w:val="0"/>
            <w:vAlign w:val="center"/>
          </w:tcPr>
          <w:p w14:paraId="7BD4C18E">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ascii="Times New Roman" w:hAnsi="Times New Roman" w:eastAsia="宋体"/>
                <w:b w:val="0"/>
                <w:bCs w:val="0"/>
                <w:color w:val="auto"/>
                <w:kern w:val="0"/>
                <w:szCs w:val="21"/>
                <w:highlight w:val="none"/>
              </w:rPr>
            </w:pPr>
            <w:r>
              <w:rPr>
                <w:rFonts w:hint="default" w:ascii="Times New Roman" w:hAnsi="Times New Roman" w:eastAsia="宋体" w:cs="Times New Roman"/>
                <w:b w:val="0"/>
                <w:bCs w:val="0"/>
                <w:color w:val="auto"/>
                <w:spacing w:val="0"/>
                <w:kern w:val="2"/>
                <w:sz w:val="21"/>
                <w:szCs w:val="22"/>
                <w:highlight w:val="none"/>
                <w:lang w:val="en-US" w:eastAsia="zh-CN" w:bidi="ar-SA"/>
              </w:rPr>
              <w:t>制氮机废过滤膜</w:t>
            </w:r>
          </w:p>
        </w:tc>
        <w:tc>
          <w:tcPr>
            <w:tcW w:w="1399" w:type="dxa"/>
            <w:tcBorders>
              <w:tl2br w:val="nil"/>
              <w:tr2bl w:val="nil"/>
            </w:tcBorders>
            <w:noWrap w:val="0"/>
            <w:vAlign w:val="center"/>
          </w:tcPr>
          <w:p w14:paraId="4AD5BEBA">
            <w:pPr>
              <w:bidi w:val="0"/>
              <w:jc w:val="center"/>
              <w:rPr>
                <w:rFonts w:ascii="Times New Roman" w:hAnsi="Times New Roman" w:eastAsia="宋体"/>
                <w:color w:val="auto"/>
                <w:kern w:val="0"/>
                <w:szCs w:val="21"/>
                <w:highlight w:val="none"/>
              </w:rPr>
            </w:pPr>
            <w:r>
              <w:rPr>
                <w:rFonts w:hint="eastAsia"/>
                <w:color w:val="auto"/>
                <w:highlight w:val="none"/>
                <w:lang w:val="en-US" w:eastAsia="zh-CN"/>
              </w:rPr>
              <w:t>氮气制备</w:t>
            </w:r>
          </w:p>
        </w:tc>
        <w:tc>
          <w:tcPr>
            <w:tcW w:w="1276" w:type="dxa"/>
            <w:tcBorders>
              <w:tl2br w:val="nil"/>
              <w:tr2bl w:val="nil"/>
            </w:tcBorders>
            <w:noWrap w:val="0"/>
            <w:vAlign w:val="center"/>
          </w:tcPr>
          <w:p w14:paraId="0C87A7F4">
            <w:pPr>
              <w:bidi w:val="0"/>
              <w:jc w:val="center"/>
              <w:rPr>
                <w:rFonts w:ascii="Times New Roman" w:hAnsi="Times New Roman" w:eastAsia="宋体"/>
                <w:color w:val="auto"/>
                <w:kern w:val="0"/>
                <w:szCs w:val="21"/>
                <w:highlight w:val="none"/>
              </w:rPr>
            </w:pPr>
            <w:r>
              <w:rPr>
                <w:rFonts w:hint="default"/>
                <w:color w:val="auto"/>
                <w:highlight w:val="none"/>
              </w:rPr>
              <w:t>一般固废</w:t>
            </w:r>
          </w:p>
        </w:tc>
        <w:tc>
          <w:tcPr>
            <w:tcW w:w="1134" w:type="dxa"/>
            <w:tcBorders>
              <w:tl2br w:val="nil"/>
              <w:tr2bl w:val="nil"/>
            </w:tcBorders>
            <w:noWrap w:val="0"/>
            <w:vAlign w:val="center"/>
          </w:tcPr>
          <w:p w14:paraId="3BCE5B29">
            <w:pPr>
              <w:widowControl/>
              <w:snapToGrid w:val="0"/>
              <w:jc w:val="center"/>
              <w:rPr>
                <w:rFonts w:hint="eastAsia" w:ascii="Times New Roman" w:hAnsi="Times New Roman" w:eastAsia="宋体"/>
                <w:color w:val="auto"/>
                <w:kern w:val="0"/>
                <w:szCs w:val="21"/>
                <w:highlight w:val="none"/>
                <w:lang w:eastAsia="zh-CN"/>
              </w:rPr>
            </w:pPr>
            <w:r>
              <w:rPr>
                <w:rFonts w:hint="eastAsia" w:ascii="Times New Roman" w:hAnsi="Times New Roman" w:eastAsia="宋体"/>
                <w:color w:val="auto"/>
                <w:kern w:val="0"/>
                <w:szCs w:val="21"/>
                <w:highlight w:val="none"/>
                <w:lang w:val="en-US" w:eastAsia="zh-CN"/>
              </w:rPr>
              <w:t>/</w:t>
            </w:r>
          </w:p>
        </w:tc>
        <w:tc>
          <w:tcPr>
            <w:tcW w:w="1559" w:type="dxa"/>
            <w:tcBorders>
              <w:tl2br w:val="nil"/>
              <w:tr2bl w:val="nil"/>
            </w:tcBorders>
            <w:noWrap w:val="0"/>
            <w:vAlign w:val="center"/>
          </w:tcPr>
          <w:p w14:paraId="6B9AC7B2">
            <w:pPr>
              <w:bidi w:val="0"/>
              <w:jc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992" w:type="dxa"/>
            <w:tcBorders>
              <w:tl2br w:val="nil"/>
              <w:tr2bl w:val="nil"/>
            </w:tcBorders>
            <w:noWrap w:val="0"/>
            <w:vAlign w:val="center"/>
          </w:tcPr>
          <w:p w14:paraId="2912354B">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固态</w:t>
            </w:r>
          </w:p>
        </w:tc>
        <w:tc>
          <w:tcPr>
            <w:tcW w:w="1134" w:type="dxa"/>
            <w:tcBorders>
              <w:tl2br w:val="nil"/>
              <w:tr2bl w:val="nil"/>
            </w:tcBorders>
            <w:noWrap w:val="0"/>
            <w:vAlign w:val="center"/>
          </w:tcPr>
          <w:p w14:paraId="484CA4F2">
            <w:pPr>
              <w:bidi w:val="0"/>
              <w:jc w:val="center"/>
              <w:rPr>
                <w:rFonts w:ascii="Times New Roman" w:hAnsi="Times New Roman" w:eastAsia="宋体"/>
                <w:color w:val="auto"/>
                <w:kern w:val="0"/>
                <w:szCs w:val="21"/>
                <w:highlight w:val="none"/>
              </w:rPr>
            </w:pPr>
            <w:r>
              <w:rPr>
                <w:rFonts w:hint="default"/>
                <w:color w:val="auto"/>
                <w:highlight w:val="none"/>
                <w:lang w:val="en-US" w:eastAsia="zh-CN"/>
              </w:rPr>
              <w:t>0.</w:t>
            </w:r>
            <w:r>
              <w:rPr>
                <w:rFonts w:hint="eastAsia"/>
                <w:color w:val="auto"/>
                <w:highlight w:val="none"/>
                <w:lang w:val="en-US" w:eastAsia="zh-CN"/>
              </w:rPr>
              <w:t>1</w:t>
            </w:r>
          </w:p>
        </w:tc>
        <w:tc>
          <w:tcPr>
            <w:tcW w:w="1473" w:type="dxa"/>
            <w:tcBorders>
              <w:tl2br w:val="nil"/>
              <w:tr2bl w:val="nil"/>
            </w:tcBorders>
            <w:noWrap w:val="0"/>
            <w:vAlign w:val="center"/>
          </w:tcPr>
          <w:p w14:paraId="24D12C07">
            <w:pPr>
              <w:bidi w:val="0"/>
              <w:jc w:val="center"/>
              <w:rPr>
                <w:rFonts w:ascii="Times New Roman" w:hAnsi="Times New Roman" w:eastAsia="宋体"/>
                <w:color w:val="auto"/>
                <w:kern w:val="0"/>
                <w:szCs w:val="21"/>
                <w:highlight w:val="none"/>
              </w:rPr>
            </w:pPr>
            <w:r>
              <w:rPr>
                <w:rFonts w:hint="eastAsia"/>
                <w:color w:val="auto"/>
                <w:highlight w:val="none"/>
                <w:lang w:val="en-US" w:eastAsia="zh-CN"/>
              </w:rPr>
              <w:t>厂家回收</w:t>
            </w:r>
          </w:p>
        </w:tc>
        <w:tc>
          <w:tcPr>
            <w:tcW w:w="1943" w:type="dxa"/>
            <w:vMerge w:val="continue"/>
            <w:tcBorders>
              <w:tl2br w:val="nil"/>
              <w:tr2bl w:val="nil"/>
            </w:tcBorders>
            <w:noWrap w:val="0"/>
            <w:vAlign w:val="center"/>
          </w:tcPr>
          <w:p w14:paraId="729167C7">
            <w:pPr>
              <w:snapToGrid w:val="0"/>
              <w:jc w:val="center"/>
              <w:rPr>
                <w:rFonts w:ascii="Times New Roman" w:hAnsi="Times New Roman" w:eastAsia="宋体"/>
                <w:color w:val="auto"/>
                <w:kern w:val="0"/>
                <w:szCs w:val="21"/>
                <w:highlight w:val="none"/>
              </w:rPr>
            </w:pPr>
          </w:p>
        </w:tc>
      </w:tr>
      <w:tr w14:paraId="7D237C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jc w:val="center"/>
        </w:trPr>
        <w:tc>
          <w:tcPr>
            <w:tcW w:w="941" w:type="dxa"/>
            <w:tcBorders>
              <w:tl2br w:val="nil"/>
              <w:tr2bl w:val="nil"/>
            </w:tcBorders>
            <w:noWrap w:val="0"/>
            <w:vAlign w:val="center"/>
          </w:tcPr>
          <w:p w14:paraId="4D5946A5">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4</w:t>
            </w:r>
          </w:p>
        </w:tc>
        <w:tc>
          <w:tcPr>
            <w:tcW w:w="1720" w:type="dxa"/>
            <w:tcBorders>
              <w:tl2br w:val="nil"/>
              <w:tr2bl w:val="nil"/>
            </w:tcBorders>
            <w:noWrap w:val="0"/>
            <w:vAlign w:val="center"/>
          </w:tcPr>
          <w:p w14:paraId="13001EE6">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ascii="Times New Roman" w:hAnsi="Times New Roman" w:eastAsia="宋体"/>
                <w:b w:val="0"/>
                <w:bCs w:val="0"/>
                <w:color w:val="auto"/>
                <w:kern w:val="0"/>
                <w:szCs w:val="21"/>
                <w:highlight w:val="none"/>
              </w:rPr>
            </w:pPr>
            <w:r>
              <w:rPr>
                <w:rFonts w:hint="eastAsia" w:ascii="Times New Roman" w:hAnsi="Times New Roman" w:eastAsia="宋体" w:cs="Times New Roman"/>
                <w:b w:val="0"/>
                <w:bCs w:val="0"/>
                <w:color w:val="auto"/>
                <w:spacing w:val="0"/>
                <w:kern w:val="2"/>
                <w:sz w:val="21"/>
                <w:szCs w:val="22"/>
                <w:highlight w:val="none"/>
                <w:lang w:val="en-US" w:eastAsia="zh-CN" w:bidi="ar-SA"/>
              </w:rPr>
              <w:t>废包装桶</w:t>
            </w:r>
          </w:p>
        </w:tc>
        <w:tc>
          <w:tcPr>
            <w:tcW w:w="1399" w:type="dxa"/>
            <w:tcBorders>
              <w:tl2br w:val="nil"/>
              <w:tr2bl w:val="nil"/>
            </w:tcBorders>
            <w:noWrap w:val="0"/>
            <w:vAlign w:val="center"/>
          </w:tcPr>
          <w:p w14:paraId="2A86C3F3">
            <w:pPr>
              <w:bidi w:val="0"/>
              <w:jc w:val="center"/>
              <w:rPr>
                <w:rFonts w:ascii="Times New Roman" w:hAnsi="Times New Roman" w:eastAsia="宋体"/>
                <w:color w:val="auto"/>
                <w:kern w:val="0"/>
                <w:szCs w:val="21"/>
                <w:highlight w:val="none"/>
              </w:rPr>
            </w:pPr>
            <w:r>
              <w:rPr>
                <w:rFonts w:hint="eastAsia"/>
                <w:color w:val="auto"/>
                <w:highlight w:val="none"/>
                <w:lang w:val="en-US" w:eastAsia="zh-CN"/>
              </w:rPr>
              <w:t>洗车剂使用</w:t>
            </w:r>
          </w:p>
        </w:tc>
        <w:tc>
          <w:tcPr>
            <w:tcW w:w="1276" w:type="dxa"/>
            <w:tcBorders>
              <w:tl2br w:val="nil"/>
              <w:tr2bl w:val="nil"/>
            </w:tcBorders>
            <w:noWrap w:val="0"/>
            <w:vAlign w:val="center"/>
          </w:tcPr>
          <w:p w14:paraId="1C6D45A3">
            <w:pPr>
              <w:bidi w:val="0"/>
              <w:jc w:val="center"/>
              <w:rPr>
                <w:rFonts w:ascii="Times New Roman" w:hAnsi="Times New Roman" w:eastAsia="宋体"/>
                <w:color w:val="auto"/>
                <w:kern w:val="0"/>
                <w:szCs w:val="21"/>
                <w:highlight w:val="none"/>
              </w:rPr>
            </w:pPr>
            <w:r>
              <w:rPr>
                <w:rFonts w:hint="default"/>
                <w:color w:val="auto"/>
                <w:highlight w:val="none"/>
              </w:rPr>
              <w:t>一般固废</w:t>
            </w:r>
          </w:p>
        </w:tc>
        <w:tc>
          <w:tcPr>
            <w:tcW w:w="1134" w:type="dxa"/>
            <w:tcBorders>
              <w:tl2br w:val="nil"/>
              <w:tr2bl w:val="nil"/>
            </w:tcBorders>
            <w:noWrap w:val="0"/>
            <w:vAlign w:val="center"/>
          </w:tcPr>
          <w:p w14:paraId="5D8EC7E8">
            <w:pPr>
              <w:widowControl/>
              <w:snapToGrid w:val="0"/>
              <w:jc w:val="center"/>
              <w:rPr>
                <w:rFonts w:hint="eastAsia" w:ascii="Times New Roman" w:hAnsi="Times New Roman" w:eastAsia="宋体"/>
                <w:color w:val="auto"/>
                <w:kern w:val="0"/>
                <w:szCs w:val="21"/>
                <w:highlight w:val="none"/>
                <w:lang w:eastAsia="zh-CN"/>
              </w:rPr>
            </w:pPr>
            <w:r>
              <w:rPr>
                <w:rFonts w:hint="eastAsia" w:ascii="Times New Roman" w:hAnsi="Times New Roman" w:eastAsia="宋体"/>
                <w:color w:val="auto"/>
                <w:kern w:val="0"/>
                <w:szCs w:val="21"/>
                <w:highlight w:val="none"/>
                <w:lang w:val="en-US" w:eastAsia="zh-CN"/>
              </w:rPr>
              <w:t>/</w:t>
            </w:r>
          </w:p>
        </w:tc>
        <w:tc>
          <w:tcPr>
            <w:tcW w:w="1559" w:type="dxa"/>
            <w:tcBorders>
              <w:tl2br w:val="nil"/>
              <w:tr2bl w:val="nil"/>
            </w:tcBorders>
            <w:noWrap w:val="0"/>
            <w:vAlign w:val="center"/>
          </w:tcPr>
          <w:p w14:paraId="2F38A414">
            <w:pPr>
              <w:bidi w:val="0"/>
              <w:jc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992" w:type="dxa"/>
            <w:tcBorders>
              <w:tl2br w:val="nil"/>
              <w:tr2bl w:val="nil"/>
            </w:tcBorders>
            <w:noWrap w:val="0"/>
            <w:vAlign w:val="center"/>
          </w:tcPr>
          <w:p w14:paraId="30926019">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固态</w:t>
            </w:r>
          </w:p>
        </w:tc>
        <w:tc>
          <w:tcPr>
            <w:tcW w:w="1134" w:type="dxa"/>
            <w:tcBorders>
              <w:tl2br w:val="nil"/>
              <w:tr2bl w:val="nil"/>
            </w:tcBorders>
            <w:noWrap w:val="0"/>
            <w:vAlign w:val="center"/>
          </w:tcPr>
          <w:p w14:paraId="469BA8EC">
            <w:pPr>
              <w:bidi w:val="0"/>
              <w:jc w:val="center"/>
              <w:rPr>
                <w:rFonts w:ascii="Times New Roman" w:hAnsi="Times New Roman" w:eastAsia="宋体"/>
                <w:color w:val="auto"/>
                <w:kern w:val="0"/>
                <w:szCs w:val="21"/>
                <w:highlight w:val="none"/>
              </w:rPr>
            </w:pPr>
            <w:r>
              <w:rPr>
                <w:rFonts w:hint="eastAsia"/>
                <w:color w:val="auto"/>
                <w:highlight w:val="none"/>
                <w:lang w:val="en-US" w:eastAsia="zh-CN"/>
              </w:rPr>
              <w:t>0.018</w:t>
            </w:r>
          </w:p>
        </w:tc>
        <w:tc>
          <w:tcPr>
            <w:tcW w:w="1473" w:type="dxa"/>
            <w:tcBorders>
              <w:bottom w:val="single" w:color="auto" w:sz="4" w:space="0"/>
              <w:tl2br w:val="nil"/>
              <w:tr2bl w:val="nil"/>
            </w:tcBorders>
            <w:noWrap w:val="0"/>
            <w:vAlign w:val="center"/>
          </w:tcPr>
          <w:p w14:paraId="0DCA20E3">
            <w:pPr>
              <w:bidi w:val="0"/>
              <w:jc w:val="center"/>
              <w:rPr>
                <w:rFonts w:ascii="Times New Roman" w:hAnsi="Times New Roman" w:eastAsia="宋体"/>
                <w:color w:val="auto"/>
                <w:kern w:val="0"/>
                <w:szCs w:val="21"/>
                <w:highlight w:val="none"/>
              </w:rPr>
            </w:pPr>
            <w:r>
              <w:rPr>
                <w:rFonts w:hint="default"/>
                <w:color w:val="auto"/>
                <w:highlight w:val="none"/>
              </w:rPr>
              <w:t>交由物资公司回收利用</w:t>
            </w:r>
          </w:p>
        </w:tc>
        <w:tc>
          <w:tcPr>
            <w:tcW w:w="1943" w:type="dxa"/>
            <w:vMerge w:val="continue"/>
            <w:tcBorders>
              <w:bottom w:val="single" w:color="auto" w:sz="4" w:space="0"/>
              <w:tl2br w:val="nil"/>
              <w:tr2bl w:val="nil"/>
            </w:tcBorders>
            <w:noWrap w:val="0"/>
            <w:vAlign w:val="center"/>
          </w:tcPr>
          <w:p w14:paraId="5B4A443B">
            <w:pPr>
              <w:snapToGrid w:val="0"/>
              <w:jc w:val="center"/>
              <w:rPr>
                <w:rFonts w:ascii="Times New Roman" w:hAnsi="Times New Roman" w:eastAsia="宋体"/>
                <w:color w:val="auto"/>
                <w:kern w:val="0"/>
                <w:szCs w:val="21"/>
                <w:highlight w:val="none"/>
              </w:rPr>
            </w:pPr>
          </w:p>
        </w:tc>
      </w:tr>
      <w:tr w14:paraId="7D1A3A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exact"/>
          <w:jc w:val="center"/>
        </w:trPr>
        <w:tc>
          <w:tcPr>
            <w:tcW w:w="941" w:type="dxa"/>
            <w:tcBorders>
              <w:tl2br w:val="nil"/>
              <w:tr2bl w:val="nil"/>
            </w:tcBorders>
            <w:noWrap w:val="0"/>
            <w:vAlign w:val="center"/>
          </w:tcPr>
          <w:p w14:paraId="7A0DE3B3">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5</w:t>
            </w:r>
          </w:p>
        </w:tc>
        <w:tc>
          <w:tcPr>
            <w:tcW w:w="1720" w:type="dxa"/>
            <w:tcBorders>
              <w:tl2br w:val="nil"/>
              <w:tr2bl w:val="nil"/>
            </w:tcBorders>
            <w:noWrap w:val="0"/>
            <w:vAlign w:val="center"/>
          </w:tcPr>
          <w:p w14:paraId="28589D2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Cs w:val="21"/>
                <w:highlight w:val="none"/>
              </w:rPr>
            </w:pPr>
            <w:r>
              <w:rPr>
                <w:rFonts w:hint="default" w:ascii="Times New Roman" w:hAnsi="Times New Roman" w:eastAsia="宋体" w:cs="Times New Roman"/>
                <w:b w:val="0"/>
                <w:bCs w:val="0"/>
                <w:color w:val="auto"/>
                <w:sz w:val="21"/>
                <w:szCs w:val="21"/>
                <w:highlight w:val="none"/>
                <w:lang w:val="en-US" w:eastAsia="zh-CN"/>
              </w:rPr>
              <w:t>废脱硫剂</w:t>
            </w:r>
          </w:p>
        </w:tc>
        <w:tc>
          <w:tcPr>
            <w:tcW w:w="1399" w:type="dxa"/>
            <w:tcBorders>
              <w:tl2br w:val="nil"/>
              <w:tr2bl w:val="nil"/>
            </w:tcBorders>
            <w:noWrap w:val="0"/>
            <w:vAlign w:val="center"/>
          </w:tcPr>
          <w:p w14:paraId="0B42CB85">
            <w:pPr>
              <w:widowControl/>
              <w:snapToGrid w:val="0"/>
              <w:jc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脱硫塔</w:t>
            </w:r>
          </w:p>
        </w:tc>
        <w:tc>
          <w:tcPr>
            <w:tcW w:w="1276" w:type="dxa"/>
            <w:tcBorders>
              <w:tl2br w:val="nil"/>
              <w:tr2bl w:val="nil"/>
            </w:tcBorders>
            <w:noWrap w:val="0"/>
            <w:vAlign w:val="center"/>
          </w:tcPr>
          <w:p w14:paraId="5D32ACE6">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危险废物</w:t>
            </w:r>
          </w:p>
        </w:tc>
        <w:tc>
          <w:tcPr>
            <w:tcW w:w="1134" w:type="dxa"/>
            <w:tcBorders>
              <w:tl2br w:val="nil"/>
              <w:tr2bl w:val="nil"/>
            </w:tcBorders>
            <w:noWrap w:val="0"/>
            <w:vAlign w:val="center"/>
          </w:tcPr>
          <w:p w14:paraId="3B9AE80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rPr>
              <w:t>HW</w:t>
            </w:r>
            <w:r>
              <w:rPr>
                <w:rFonts w:hint="eastAsia" w:ascii="Times New Roman" w:hAnsi="Times New Roman" w:eastAsia="宋体" w:cs="Times New Roman"/>
                <w:color w:val="auto"/>
                <w:sz w:val="21"/>
                <w:szCs w:val="21"/>
                <w:highlight w:val="none"/>
                <w:lang w:val="en-US" w:eastAsia="zh-CN"/>
              </w:rPr>
              <w:t>49</w:t>
            </w:r>
          </w:p>
        </w:tc>
        <w:tc>
          <w:tcPr>
            <w:tcW w:w="1559" w:type="dxa"/>
            <w:tcBorders>
              <w:tl2br w:val="nil"/>
              <w:tr2bl w:val="nil"/>
            </w:tcBorders>
            <w:noWrap w:val="0"/>
            <w:vAlign w:val="center"/>
          </w:tcPr>
          <w:p w14:paraId="04258806">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rPr>
              <w:t>900-</w:t>
            </w:r>
            <w:r>
              <w:rPr>
                <w:rFonts w:hint="eastAsia"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49</w:t>
            </w:r>
          </w:p>
        </w:tc>
        <w:tc>
          <w:tcPr>
            <w:tcW w:w="992" w:type="dxa"/>
            <w:tcBorders>
              <w:tl2br w:val="nil"/>
              <w:tr2bl w:val="nil"/>
            </w:tcBorders>
            <w:noWrap w:val="0"/>
            <w:vAlign w:val="center"/>
          </w:tcPr>
          <w:p w14:paraId="3068554E">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固态</w:t>
            </w:r>
          </w:p>
        </w:tc>
        <w:tc>
          <w:tcPr>
            <w:tcW w:w="1134" w:type="dxa"/>
            <w:tcBorders>
              <w:tl2br w:val="nil"/>
              <w:tr2bl w:val="nil"/>
            </w:tcBorders>
            <w:noWrap w:val="0"/>
            <w:vAlign w:val="center"/>
          </w:tcPr>
          <w:p w14:paraId="301C697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0.43</w:t>
            </w:r>
          </w:p>
        </w:tc>
        <w:tc>
          <w:tcPr>
            <w:tcW w:w="1473" w:type="dxa"/>
            <w:vMerge w:val="restart"/>
            <w:tcBorders>
              <w:top w:val="single" w:color="auto" w:sz="4" w:space="0"/>
              <w:tl2br w:val="nil"/>
              <w:tr2bl w:val="nil"/>
            </w:tcBorders>
            <w:noWrap w:val="0"/>
            <w:vAlign w:val="center"/>
          </w:tcPr>
          <w:p w14:paraId="64BF8736">
            <w:pPr>
              <w:widowControl/>
              <w:snapToGrid w:val="0"/>
              <w:jc w:val="center"/>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具有资质厂家更换处置</w:t>
            </w:r>
          </w:p>
        </w:tc>
        <w:tc>
          <w:tcPr>
            <w:tcW w:w="1943" w:type="dxa"/>
            <w:vMerge w:val="restart"/>
            <w:tcBorders>
              <w:top w:val="single" w:color="auto" w:sz="4" w:space="0"/>
              <w:tl2br w:val="nil"/>
              <w:tr2bl w:val="nil"/>
            </w:tcBorders>
            <w:noWrap w:val="0"/>
            <w:vAlign w:val="center"/>
          </w:tcPr>
          <w:p w14:paraId="2C2AABE4">
            <w:pPr>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满足</w:t>
            </w:r>
            <w:r>
              <w:rPr>
                <w:rFonts w:hint="eastAsia" w:ascii="Times New Roman" w:hAnsi="Times New Roman" w:eastAsia="宋体"/>
                <w:color w:val="auto"/>
                <w:kern w:val="0"/>
                <w:szCs w:val="21"/>
                <w:highlight w:val="none"/>
              </w:rPr>
              <w:t>《危险废物贮存污染控制标准》（</w:t>
            </w:r>
            <w:r>
              <w:rPr>
                <w:rFonts w:ascii="Times New Roman" w:hAnsi="Times New Roman" w:eastAsia="宋体"/>
                <w:color w:val="auto"/>
                <w:kern w:val="0"/>
                <w:szCs w:val="21"/>
                <w:highlight w:val="none"/>
              </w:rPr>
              <w:t>GB18597-2023）中相关要求</w:t>
            </w:r>
          </w:p>
        </w:tc>
      </w:tr>
      <w:tr w14:paraId="119010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7" w:hRule="exact"/>
          <w:jc w:val="center"/>
        </w:trPr>
        <w:tc>
          <w:tcPr>
            <w:tcW w:w="941" w:type="dxa"/>
            <w:tcBorders>
              <w:tl2br w:val="nil"/>
              <w:tr2bl w:val="nil"/>
            </w:tcBorders>
            <w:noWrap w:val="0"/>
            <w:vAlign w:val="center"/>
          </w:tcPr>
          <w:p w14:paraId="506A3F4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6</w:t>
            </w:r>
          </w:p>
        </w:tc>
        <w:tc>
          <w:tcPr>
            <w:tcW w:w="1720" w:type="dxa"/>
            <w:tcBorders>
              <w:tl2br w:val="nil"/>
              <w:tr2bl w:val="nil"/>
            </w:tcBorders>
            <w:noWrap w:val="0"/>
            <w:vAlign w:val="center"/>
          </w:tcPr>
          <w:p w14:paraId="2EEA48B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Cs w:val="21"/>
                <w:highlight w:val="none"/>
              </w:rPr>
            </w:pPr>
            <w:r>
              <w:rPr>
                <w:rFonts w:hint="default" w:ascii="Times New Roman" w:hAnsi="Times New Roman" w:eastAsia="宋体" w:cs="Times New Roman"/>
                <w:b w:val="0"/>
                <w:bCs w:val="0"/>
                <w:color w:val="auto"/>
                <w:sz w:val="21"/>
                <w:szCs w:val="21"/>
                <w:highlight w:val="none"/>
              </w:rPr>
              <w:t>废</w:t>
            </w:r>
            <w:r>
              <w:rPr>
                <w:rFonts w:hint="eastAsia" w:ascii="Times New Roman" w:hAnsi="Times New Roman" w:eastAsia="宋体" w:cs="Times New Roman"/>
                <w:b w:val="0"/>
                <w:bCs w:val="0"/>
                <w:color w:val="auto"/>
                <w:sz w:val="21"/>
                <w:szCs w:val="21"/>
                <w:highlight w:val="none"/>
                <w:lang w:val="en-US" w:eastAsia="zh-CN"/>
              </w:rPr>
              <w:t>催化剂</w:t>
            </w:r>
          </w:p>
        </w:tc>
        <w:tc>
          <w:tcPr>
            <w:tcW w:w="1399" w:type="dxa"/>
            <w:tcBorders>
              <w:tl2br w:val="nil"/>
              <w:tr2bl w:val="nil"/>
            </w:tcBorders>
            <w:noWrap w:val="0"/>
            <w:vAlign w:val="center"/>
          </w:tcPr>
          <w:p w14:paraId="5B3A6E0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高温转化炉</w:t>
            </w:r>
          </w:p>
        </w:tc>
        <w:tc>
          <w:tcPr>
            <w:tcW w:w="1276" w:type="dxa"/>
            <w:tcBorders>
              <w:tl2br w:val="nil"/>
              <w:tr2bl w:val="nil"/>
            </w:tcBorders>
            <w:noWrap w:val="0"/>
            <w:vAlign w:val="center"/>
          </w:tcPr>
          <w:p w14:paraId="2101D20B">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危险废物</w:t>
            </w:r>
          </w:p>
        </w:tc>
        <w:tc>
          <w:tcPr>
            <w:tcW w:w="1134" w:type="dxa"/>
            <w:tcBorders>
              <w:tl2br w:val="nil"/>
              <w:tr2bl w:val="nil"/>
            </w:tcBorders>
            <w:noWrap w:val="0"/>
            <w:vAlign w:val="center"/>
          </w:tcPr>
          <w:p w14:paraId="1E3CE78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HW4</w:t>
            </w:r>
            <w:r>
              <w:rPr>
                <w:rFonts w:hint="eastAsia" w:ascii="Times New Roman" w:hAnsi="Times New Roman" w:eastAsia="宋体" w:cs="Times New Roman"/>
                <w:color w:val="auto"/>
                <w:sz w:val="21"/>
                <w:szCs w:val="21"/>
                <w:highlight w:val="none"/>
                <w:lang w:val="en-US" w:eastAsia="zh-CN"/>
              </w:rPr>
              <w:t>6</w:t>
            </w:r>
          </w:p>
        </w:tc>
        <w:tc>
          <w:tcPr>
            <w:tcW w:w="1559" w:type="dxa"/>
            <w:tcBorders>
              <w:tl2br w:val="nil"/>
              <w:tr2bl w:val="nil"/>
            </w:tcBorders>
            <w:noWrap w:val="0"/>
            <w:vAlign w:val="center"/>
          </w:tcPr>
          <w:p w14:paraId="683689D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900-0</w:t>
            </w:r>
            <w:r>
              <w:rPr>
                <w:rFonts w:hint="eastAsia" w:ascii="Times New Roman" w:hAnsi="Times New Roman" w:eastAsia="宋体" w:cs="Times New Roman"/>
                <w:color w:val="auto"/>
                <w:sz w:val="21"/>
                <w:szCs w:val="21"/>
                <w:highlight w:val="none"/>
                <w:lang w:val="en-US" w:eastAsia="zh-CN"/>
              </w:rPr>
              <w:t>37</w:t>
            </w: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6</w:t>
            </w:r>
          </w:p>
        </w:tc>
        <w:tc>
          <w:tcPr>
            <w:tcW w:w="992" w:type="dxa"/>
            <w:tcBorders>
              <w:tl2br w:val="nil"/>
              <w:tr2bl w:val="nil"/>
            </w:tcBorders>
            <w:noWrap w:val="0"/>
            <w:vAlign w:val="center"/>
          </w:tcPr>
          <w:p w14:paraId="4F23A12C">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固态</w:t>
            </w:r>
          </w:p>
        </w:tc>
        <w:tc>
          <w:tcPr>
            <w:tcW w:w="1134" w:type="dxa"/>
            <w:tcBorders>
              <w:tl2br w:val="nil"/>
              <w:tr2bl w:val="nil"/>
            </w:tcBorders>
            <w:noWrap w:val="0"/>
            <w:vAlign w:val="center"/>
          </w:tcPr>
          <w:p w14:paraId="42EED0C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0.43</w:t>
            </w:r>
          </w:p>
        </w:tc>
        <w:tc>
          <w:tcPr>
            <w:tcW w:w="1473" w:type="dxa"/>
            <w:vMerge w:val="continue"/>
            <w:tcBorders>
              <w:tl2br w:val="nil"/>
              <w:tr2bl w:val="nil"/>
            </w:tcBorders>
            <w:noWrap w:val="0"/>
            <w:vAlign w:val="center"/>
          </w:tcPr>
          <w:p w14:paraId="78F4BAD5">
            <w:pPr>
              <w:widowControl/>
              <w:snapToGrid w:val="0"/>
              <w:jc w:val="center"/>
              <w:rPr>
                <w:rFonts w:ascii="Times New Roman" w:hAnsi="Times New Roman" w:eastAsia="宋体"/>
                <w:color w:val="auto"/>
                <w:kern w:val="0"/>
                <w:szCs w:val="21"/>
                <w:highlight w:val="none"/>
              </w:rPr>
            </w:pPr>
          </w:p>
        </w:tc>
        <w:tc>
          <w:tcPr>
            <w:tcW w:w="1943" w:type="dxa"/>
            <w:vMerge w:val="continue"/>
            <w:tcBorders>
              <w:tl2br w:val="nil"/>
              <w:tr2bl w:val="nil"/>
            </w:tcBorders>
            <w:noWrap w:val="0"/>
            <w:vAlign w:val="center"/>
          </w:tcPr>
          <w:p w14:paraId="5E30F0D8">
            <w:pPr>
              <w:snapToGrid w:val="0"/>
              <w:jc w:val="center"/>
              <w:rPr>
                <w:rFonts w:ascii="Times New Roman" w:hAnsi="Times New Roman" w:eastAsia="宋体"/>
                <w:color w:val="auto"/>
                <w:kern w:val="0"/>
                <w:szCs w:val="21"/>
                <w:highlight w:val="none"/>
              </w:rPr>
            </w:pPr>
          </w:p>
        </w:tc>
      </w:tr>
      <w:tr w14:paraId="11C1BE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6" w:hRule="exact"/>
          <w:jc w:val="center"/>
        </w:trPr>
        <w:tc>
          <w:tcPr>
            <w:tcW w:w="941" w:type="dxa"/>
            <w:tcBorders>
              <w:tl2br w:val="nil"/>
              <w:tr2bl w:val="nil"/>
            </w:tcBorders>
            <w:noWrap w:val="0"/>
            <w:vAlign w:val="center"/>
          </w:tcPr>
          <w:p w14:paraId="1B73DF13">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7</w:t>
            </w:r>
          </w:p>
        </w:tc>
        <w:tc>
          <w:tcPr>
            <w:tcW w:w="1720" w:type="dxa"/>
            <w:tcBorders>
              <w:tl2br w:val="nil"/>
              <w:tr2bl w:val="nil"/>
            </w:tcBorders>
            <w:noWrap w:val="0"/>
            <w:vAlign w:val="center"/>
          </w:tcPr>
          <w:p w14:paraId="4BF5CF2E">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Cs w:val="21"/>
                <w:highlight w:val="none"/>
              </w:rPr>
            </w:pPr>
            <w:r>
              <w:rPr>
                <w:rFonts w:hint="default" w:ascii="Times New Roman" w:hAnsi="Times New Roman" w:eastAsia="宋体" w:cs="Times New Roman"/>
                <w:b w:val="0"/>
                <w:bCs w:val="0"/>
                <w:color w:val="auto"/>
                <w:sz w:val="21"/>
                <w:szCs w:val="21"/>
                <w:highlight w:val="none"/>
                <w:lang w:eastAsia="zh-CN"/>
              </w:rPr>
              <w:t>废催化剂</w:t>
            </w:r>
          </w:p>
        </w:tc>
        <w:tc>
          <w:tcPr>
            <w:tcW w:w="1399" w:type="dxa"/>
            <w:tcBorders>
              <w:tl2br w:val="nil"/>
              <w:tr2bl w:val="nil"/>
            </w:tcBorders>
            <w:noWrap w:val="0"/>
            <w:vAlign w:val="center"/>
          </w:tcPr>
          <w:p w14:paraId="7398013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中温转化炉</w:t>
            </w:r>
          </w:p>
        </w:tc>
        <w:tc>
          <w:tcPr>
            <w:tcW w:w="1276" w:type="dxa"/>
            <w:tcBorders>
              <w:tl2br w:val="nil"/>
              <w:tr2bl w:val="nil"/>
            </w:tcBorders>
            <w:noWrap w:val="0"/>
            <w:vAlign w:val="center"/>
          </w:tcPr>
          <w:p w14:paraId="00362220">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危险废物</w:t>
            </w:r>
          </w:p>
        </w:tc>
        <w:tc>
          <w:tcPr>
            <w:tcW w:w="1134" w:type="dxa"/>
            <w:tcBorders>
              <w:tl2br w:val="nil"/>
              <w:tr2bl w:val="nil"/>
            </w:tcBorders>
            <w:noWrap w:val="0"/>
            <w:vAlign w:val="center"/>
          </w:tcPr>
          <w:p w14:paraId="330568C6">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HW50</w:t>
            </w:r>
          </w:p>
        </w:tc>
        <w:tc>
          <w:tcPr>
            <w:tcW w:w="1559" w:type="dxa"/>
            <w:tcBorders>
              <w:tl2br w:val="nil"/>
              <w:tr2bl w:val="nil"/>
            </w:tcBorders>
            <w:noWrap w:val="0"/>
            <w:vAlign w:val="center"/>
          </w:tcPr>
          <w:p w14:paraId="3818520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4"/>
                <w:szCs w:val="24"/>
                <w:highlight w:val="none"/>
                <w:lang w:eastAsia="zh-CN"/>
              </w:rPr>
              <w:t>26</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-156-50</w:t>
            </w:r>
          </w:p>
        </w:tc>
        <w:tc>
          <w:tcPr>
            <w:tcW w:w="992" w:type="dxa"/>
            <w:tcBorders>
              <w:tl2br w:val="nil"/>
              <w:tr2bl w:val="nil"/>
            </w:tcBorders>
            <w:noWrap w:val="0"/>
            <w:vAlign w:val="center"/>
          </w:tcPr>
          <w:p w14:paraId="63B0F4B2">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固态</w:t>
            </w:r>
          </w:p>
        </w:tc>
        <w:tc>
          <w:tcPr>
            <w:tcW w:w="1134" w:type="dxa"/>
            <w:tcBorders>
              <w:tl2br w:val="nil"/>
              <w:tr2bl w:val="nil"/>
            </w:tcBorders>
            <w:noWrap w:val="0"/>
            <w:vAlign w:val="center"/>
          </w:tcPr>
          <w:p w14:paraId="3459DD1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eastAsia="zh-CN"/>
              </w:rPr>
            </w:pPr>
            <w:r>
              <w:rPr>
                <w:rFonts w:hint="eastAsia" w:cs="Times New Roman"/>
                <w:color w:val="auto"/>
                <w:sz w:val="21"/>
                <w:szCs w:val="21"/>
                <w:highlight w:val="none"/>
                <w:lang w:val="en-US" w:eastAsia="zh-CN"/>
              </w:rPr>
              <w:t>0.46</w:t>
            </w:r>
          </w:p>
        </w:tc>
        <w:tc>
          <w:tcPr>
            <w:tcW w:w="1473" w:type="dxa"/>
            <w:vMerge w:val="continue"/>
            <w:tcBorders>
              <w:bottom w:val="single" w:color="auto" w:sz="4" w:space="0"/>
              <w:tl2br w:val="nil"/>
              <w:tr2bl w:val="nil"/>
            </w:tcBorders>
            <w:noWrap w:val="0"/>
            <w:vAlign w:val="center"/>
          </w:tcPr>
          <w:p w14:paraId="56A234CF">
            <w:pPr>
              <w:widowControl/>
              <w:snapToGrid w:val="0"/>
              <w:jc w:val="center"/>
              <w:rPr>
                <w:rFonts w:ascii="Times New Roman" w:hAnsi="Times New Roman" w:eastAsia="宋体"/>
                <w:color w:val="auto"/>
                <w:kern w:val="0"/>
                <w:szCs w:val="21"/>
                <w:highlight w:val="none"/>
              </w:rPr>
            </w:pPr>
          </w:p>
        </w:tc>
        <w:tc>
          <w:tcPr>
            <w:tcW w:w="1943" w:type="dxa"/>
            <w:vMerge w:val="continue"/>
            <w:tcBorders>
              <w:tl2br w:val="nil"/>
              <w:tr2bl w:val="nil"/>
            </w:tcBorders>
            <w:noWrap w:val="0"/>
            <w:vAlign w:val="center"/>
          </w:tcPr>
          <w:p w14:paraId="550A09E1">
            <w:pPr>
              <w:snapToGrid w:val="0"/>
              <w:jc w:val="center"/>
              <w:rPr>
                <w:rFonts w:ascii="Times New Roman" w:hAnsi="Times New Roman" w:eastAsia="宋体"/>
                <w:color w:val="auto"/>
                <w:kern w:val="0"/>
                <w:szCs w:val="21"/>
                <w:highlight w:val="none"/>
              </w:rPr>
            </w:pPr>
          </w:p>
        </w:tc>
      </w:tr>
      <w:tr w14:paraId="543E05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5" w:hRule="exact"/>
          <w:jc w:val="center"/>
        </w:trPr>
        <w:tc>
          <w:tcPr>
            <w:tcW w:w="941" w:type="dxa"/>
            <w:tcBorders>
              <w:tl2br w:val="nil"/>
              <w:tr2bl w:val="nil"/>
            </w:tcBorders>
            <w:noWrap w:val="0"/>
            <w:vAlign w:val="center"/>
          </w:tcPr>
          <w:p w14:paraId="4A2481FE">
            <w:pPr>
              <w:widowControl/>
              <w:snapToGrid w:val="0"/>
              <w:jc w:val="center"/>
              <w:rPr>
                <w:rFonts w:ascii="Times New Roman" w:hAnsi="Times New Roman" w:eastAsia="宋体"/>
                <w:color w:val="auto"/>
                <w:kern w:val="0"/>
                <w:szCs w:val="21"/>
                <w:highlight w:val="none"/>
              </w:rPr>
            </w:pPr>
            <w:r>
              <w:rPr>
                <w:rFonts w:hint="eastAsia" w:ascii="Times New Roman" w:hAnsi="Times New Roman" w:eastAsia="宋体"/>
                <w:color w:val="auto"/>
                <w:kern w:val="0"/>
                <w:szCs w:val="21"/>
                <w:highlight w:val="none"/>
              </w:rPr>
              <w:t>8</w:t>
            </w:r>
          </w:p>
        </w:tc>
        <w:tc>
          <w:tcPr>
            <w:tcW w:w="1720" w:type="dxa"/>
            <w:tcBorders>
              <w:tl2br w:val="nil"/>
              <w:tr2bl w:val="nil"/>
            </w:tcBorders>
            <w:noWrap w:val="0"/>
            <w:vAlign w:val="center"/>
          </w:tcPr>
          <w:p w14:paraId="7413AEA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Cs w:val="21"/>
                <w:highlight w:val="none"/>
              </w:rPr>
            </w:pPr>
            <w:r>
              <w:rPr>
                <w:rFonts w:hint="default" w:ascii="Times New Roman" w:hAnsi="Times New Roman" w:eastAsia="宋体" w:cs="Times New Roman"/>
                <w:b w:val="0"/>
                <w:bCs w:val="0"/>
                <w:color w:val="auto"/>
                <w:sz w:val="21"/>
                <w:szCs w:val="21"/>
                <w:highlight w:val="none"/>
                <w:lang w:eastAsia="zh-CN"/>
              </w:rPr>
              <w:t>废</w:t>
            </w:r>
            <w:r>
              <w:rPr>
                <w:rFonts w:hint="eastAsia" w:ascii="Times New Roman" w:hAnsi="Times New Roman" w:eastAsia="宋体" w:cs="Times New Roman"/>
                <w:b w:val="0"/>
                <w:bCs w:val="0"/>
                <w:color w:val="auto"/>
                <w:sz w:val="21"/>
                <w:szCs w:val="21"/>
                <w:highlight w:val="none"/>
                <w:lang w:val="en-US" w:eastAsia="zh-CN"/>
              </w:rPr>
              <w:t>吸附剂</w:t>
            </w:r>
          </w:p>
        </w:tc>
        <w:tc>
          <w:tcPr>
            <w:tcW w:w="1399" w:type="dxa"/>
            <w:tcBorders>
              <w:tl2br w:val="nil"/>
              <w:tr2bl w:val="nil"/>
            </w:tcBorders>
            <w:noWrap w:val="0"/>
            <w:vAlign w:val="center"/>
          </w:tcPr>
          <w:p w14:paraId="7636986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吸附塔</w:t>
            </w:r>
          </w:p>
        </w:tc>
        <w:tc>
          <w:tcPr>
            <w:tcW w:w="1276" w:type="dxa"/>
            <w:tcBorders>
              <w:tl2br w:val="nil"/>
              <w:tr2bl w:val="nil"/>
            </w:tcBorders>
            <w:noWrap w:val="0"/>
            <w:vAlign w:val="center"/>
          </w:tcPr>
          <w:p w14:paraId="15A71A79">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危险废物</w:t>
            </w:r>
          </w:p>
        </w:tc>
        <w:tc>
          <w:tcPr>
            <w:tcW w:w="1134" w:type="dxa"/>
            <w:tcBorders>
              <w:tl2br w:val="nil"/>
              <w:tr2bl w:val="nil"/>
            </w:tcBorders>
            <w:noWrap w:val="0"/>
            <w:vAlign w:val="center"/>
          </w:tcPr>
          <w:p w14:paraId="24784FD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HW49</w:t>
            </w:r>
          </w:p>
        </w:tc>
        <w:tc>
          <w:tcPr>
            <w:tcW w:w="1559" w:type="dxa"/>
            <w:tcBorders>
              <w:tl2br w:val="nil"/>
              <w:tr2bl w:val="nil"/>
            </w:tcBorders>
            <w:noWrap w:val="0"/>
            <w:vAlign w:val="center"/>
          </w:tcPr>
          <w:p w14:paraId="6E264A1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900-0</w:t>
            </w:r>
            <w:r>
              <w:rPr>
                <w:rFonts w:hint="eastAsia" w:ascii="Times New Roman" w:hAnsi="Times New Roman" w:eastAsia="宋体" w:cs="Times New Roman"/>
                <w:color w:val="auto"/>
                <w:sz w:val="21"/>
                <w:szCs w:val="21"/>
                <w:highlight w:val="none"/>
                <w:lang w:val="en-US" w:eastAsia="zh-CN"/>
              </w:rPr>
              <w:t>39</w:t>
            </w:r>
            <w:r>
              <w:rPr>
                <w:rFonts w:hint="default" w:ascii="Times New Roman" w:hAnsi="Times New Roman" w:eastAsia="宋体" w:cs="Times New Roman"/>
                <w:color w:val="auto"/>
                <w:sz w:val="21"/>
                <w:szCs w:val="21"/>
                <w:highlight w:val="none"/>
                <w:lang w:val="en-US" w:eastAsia="zh-CN"/>
              </w:rPr>
              <w:t>-49</w:t>
            </w:r>
          </w:p>
        </w:tc>
        <w:tc>
          <w:tcPr>
            <w:tcW w:w="992" w:type="dxa"/>
            <w:tcBorders>
              <w:tl2br w:val="nil"/>
              <w:tr2bl w:val="nil"/>
            </w:tcBorders>
            <w:noWrap w:val="0"/>
            <w:vAlign w:val="center"/>
          </w:tcPr>
          <w:p w14:paraId="138E68D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固态</w:t>
            </w:r>
          </w:p>
        </w:tc>
        <w:tc>
          <w:tcPr>
            <w:tcW w:w="1134" w:type="dxa"/>
            <w:tcBorders>
              <w:tl2br w:val="nil"/>
              <w:tr2bl w:val="nil"/>
            </w:tcBorders>
            <w:noWrap w:val="0"/>
            <w:vAlign w:val="center"/>
          </w:tcPr>
          <w:p w14:paraId="574A122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w:t>
            </w:r>
          </w:p>
        </w:tc>
        <w:tc>
          <w:tcPr>
            <w:tcW w:w="1473" w:type="dxa"/>
            <w:vMerge w:val="restart"/>
            <w:tcBorders>
              <w:top w:val="single" w:color="auto" w:sz="4" w:space="0"/>
              <w:tl2br w:val="nil"/>
              <w:tr2bl w:val="nil"/>
            </w:tcBorders>
            <w:noWrap w:val="0"/>
            <w:vAlign w:val="center"/>
          </w:tcPr>
          <w:p w14:paraId="2208B297">
            <w:pPr>
              <w:widowControl/>
              <w:snapToGrid w:val="0"/>
              <w:jc w:val="center"/>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eastAsia="zh-CN"/>
              </w:rPr>
              <w:t>危险废物暂存间分类暂存，定期委托有资质单位处置</w:t>
            </w:r>
          </w:p>
        </w:tc>
        <w:tc>
          <w:tcPr>
            <w:tcW w:w="1943" w:type="dxa"/>
            <w:vMerge w:val="continue"/>
            <w:tcBorders>
              <w:tl2br w:val="nil"/>
              <w:tr2bl w:val="nil"/>
            </w:tcBorders>
            <w:noWrap w:val="0"/>
            <w:vAlign w:val="center"/>
          </w:tcPr>
          <w:p w14:paraId="3EC2B433">
            <w:pPr>
              <w:snapToGrid w:val="0"/>
              <w:jc w:val="center"/>
              <w:rPr>
                <w:rFonts w:ascii="Times New Roman" w:hAnsi="Times New Roman" w:eastAsia="宋体"/>
                <w:color w:val="auto"/>
                <w:kern w:val="0"/>
                <w:szCs w:val="21"/>
                <w:highlight w:val="none"/>
              </w:rPr>
            </w:pPr>
          </w:p>
        </w:tc>
      </w:tr>
      <w:tr w14:paraId="1340E2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54" w:hRule="exact"/>
          <w:jc w:val="center"/>
        </w:trPr>
        <w:tc>
          <w:tcPr>
            <w:tcW w:w="941" w:type="dxa"/>
            <w:tcBorders>
              <w:tl2br w:val="nil"/>
              <w:tr2bl w:val="nil"/>
            </w:tcBorders>
            <w:noWrap w:val="0"/>
            <w:vAlign w:val="center"/>
          </w:tcPr>
          <w:p w14:paraId="7CCD365E">
            <w:pPr>
              <w:widowControl/>
              <w:snapToGrid w:val="0"/>
              <w:jc w:val="center"/>
              <w:rPr>
                <w:rFonts w:hint="eastAsia"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9</w:t>
            </w:r>
          </w:p>
        </w:tc>
        <w:tc>
          <w:tcPr>
            <w:tcW w:w="1720" w:type="dxa"/>
            <w:tcBorders>
              <w:tl2br w:val="nil"/>
              <w:tr2bl w:val="nil"/>
            </w:tcBorders>
            <w:noWrap w:val="0"/>
            <w:vAlign w:val="center"/>
          </w:tcPr>
          <w:p w14:paraId="45AA350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Cs w:val="21"/>
                <w:highlight w:val="none"/>
              </w:rPr>
            </w:pPr>
            <w:r>
              <w:rPr>
                <w:rFonts w:hint="eastAsia" w:ascii="Times New Roman" w:hAnsi="Times New Roman" w:eastAsia="宋体" w:cs="Times New Roman"/>
                <w:b w:val="0"/>
                <w:bCs w:val="0"/>
                <w:color w:val="auto"/>
                <w:sz w:val="21"/>
                <w:szCs w:val="21"/>
                <w:highlight w:val="none"/>
                <w:lang w:val="en-US" w:eastAsia="zh-CN"/>
              </w:rPr>
              <w:t>污泥</w:t>
            </w:r>
          </w:p>
        </w:tc>
        <w:tc>
          <w:tcPr>
            <w:tcW w:w="1399" w:type="dxa"/>
            <w:tcBorders>
              <w:tl2br w:val="nil"/>
              <w:tr2bl w:val="nil"/>
            </w:tcBorders>
            <w:noWrap w:val="0"/>
            <w:vAlign w:val="center"/>
          </w:tcPr>
          <w:p w14:paraId="5EDB935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eastAsia="zh-CN"/>
              </w:rPr>
            </w:pPr>
            <w:r>
              <w:rPr>
                <w:rFonts w:hint="eastAsia" w:ascii="Times New Roman" w:hAnsi="Times New Roman" w:eastAsia="宋体" w:cs="Times New Roman"/>
                <w:color w:val="auto"/>
                <w:sz w:val="21"/>
                <w:szCs w:val="21"/>
                <w:highlight w:val="none"/>
                <w:lang w:val="en-US" w:eastAsia="zh-CN"/>
              </w:rPr>
              <w:t>隔油池</w:t>
            </w:r>
          </w:p>
        </w:tc>
        <w:tc>
          <w:tcPr>
            <w:tcW w:w="1276" w:type="dxa"/>
            <w:tcBorders>
              <w:tl2br w:val="nil"/>
              <w:tr2bl w:val="nil"/>
            </w:tcBorders>
            <w:noWrap w:val="0"/>
            <w:vAlign w:val="center"/>
          </w:tcPr>
          <w:p w14:paraId="4B9CBDA9">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危险废物</w:t>
            </w:r>
          </w:p>
        </w:tc>
        <w:tc>
          <w:tcPr>
            <w:tcW w:w="1134" w:type="dxa"/>
            <w:tcBorders>
              <w:tl2br w:val="nil"/>
              <w:tr2bl w:val="nil"/>
            </w:tcBorders>
            <w:noWrap w:val="0"/>
            <w:vAlign w:val="center"/>
          </w:tcPr>
          <w:p w14:paraId="30CEC669">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HW</w:t>
            </w:r>
            <w:r>
              <w:rPr>
                <w:rFonts w:hint="eastAsia" w:ascii="Times New Roman" w:hAnsi="Times New Roman" w:eastAsia="宋体" w:cs="Times New Roman"/>
                <w:color w:val="auto"/>
                <w:sz w:val="21"/>
                <w:szCs w:val="21"/>
                <w:highlight w:val="none"/>
                <w:lang w:val="en-US" w:eastAsia="zh-CN"/>
              </w:rPr>
              <w:t>08</w:t>
            </w:r>
          </w:p>
        </w:tc>
        <w:tc>
          <w:tcPr>
            <w:tcW w:w="1559" w:type="dxa"/>
            <w:tcBorders>
              <w:tl2br w:val="nil"/>
              <w:tr2bl w:val="nil"/>
            </w:tcBorders>
            <w:noWrap w:val="0"/>
            <w:vAlign w:val="center"/>
          </w:tcPr>
          <w:p w14:paraId="09C6D8B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900-210-08</w:t>
            </w:r>
          </w:p>
        </w:tc>
        <w:tc>
          <w:tcPr>
            <w:tcW w:w="992" w:type="dxa"/>
            <w:tcBorders>
              <w:tl2br w:val="nil"/>
              <w:tr2bl w:val="nil"/>
            </w:tcBorders>
            <w:noWrap w:val="0"/>
            <w:vAlign w:val="center"/>
          </w:tcPr>
          <w:p w14:paraId="64AE6FB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液态</w:t>
            </w:r>
          </w:p>
        </w:tc>
        <w:tc>
          <w:tcPr>
            <w:tcW w:w="1134" w:type="dxa"/>
            <w:tcBorders>
              <w:tl2br w:val="nil"/>
              <w:tr2bl w:val="nil"/>
            </w:tcBorders>
            <w:noWrap w:val="0"/>
            <w:vAlign w:val="center"/>
          </w:tcPr>
          <w:p w14:paraId="50D01B13">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eastAsia="zh-CN"/>
              </w:rPr>
            </w:pPr>
            <w:r>
              <w:rPr>
                <w:rFonts w:hint="eastAsia" w:cs="Times New Roman"/>
                <w:color w:val="auto"/>
                <w:sz w:val="21"/>
                <w:szCs w:val="21"/>
                <w:highlight w:val="none"/>
                <w:lang w:val="en-US" w:eastAsia="zh-CN"/>
              </w:rPr>
              <w:t>3</w:t>
            </w:r>
          </w:p>
        </w:tc>
        <w:tc>
          <w:tcPr>
            <w:tcW w:w="1473" w:type="dxa"/>
            <w:vMerge w:val="continue"/>
            <w:tcBorders>
              <w:top w:val="single" w:color="auto" w:sz="4" w:space="0"/>
              <w:bottom w:val="single" w:color="auto" w:sz="4" w:space="0"/>
              <w:tl2br w:val="nil"/>
              <w:tr2bl w:val="nil"/>
            </w:tcBorders>
            <w:noWrap w:val="0"/>
            <w:vAlign w:val="center"/>
          </w:tcPr>
          <w:p w14:paraId="036B80A2">
            <w:pPr>
              <w:widowControl/>
              <w:snapToGrid w:val="0"/>
              <w:jc w:val="center"/>
              <w:rPr>
                <w:rFonts w:ascii="Times New Roman" w:hAnsi="Times New Roman" w:eastAsia="宋体"/>
                <w:color w:val="auto"/>
                <w:kern w:val="0"/>
                <w:szCs w:val="21"/>
                <w:highlight w:val="none"/>
              </w:rPr>
            </w:pPr>
          </w:p>
        </w:tc>
        <w:tc>
          <w:tcPr>
            <w:tcW w:w="1943" w:type="dxa"/>
            <w:vMerge w:val="continue"/>
            <w:tcBorders>
              <w:tl2br w:val="nil"/>
              <w:tr2bl w:val="nil"/>
            </w:tcBorders>
            <w:noWrap w:val="0"/>
            <w:vAlign w:val="center"/>
          </w:tcPr>
          <w:p w14:paraId="122D6C4D">
            <w:pPr>
              <w:snapToGrid w:val="0"/>
              <w:jc w:val="center"/>
              <w:rPr>
                <w:rFonts w:ascii="Times New Roman" w:hAnsi="Times New Roman" w:eastAsia="宋体"/>
                <w:color w:val="auto"/>
                <w:kern w:val="0"/>
                <w:szCs w:val="21"/>
                <w:highlight w:val="none"/>
              </w:rPr>
            </w:pPr>
          </w:p>
        </w:tc>
      </w:tr>
      <w:tr w14:paraId="69ACC0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4" w:hRule="exact"/>
          <w:jc w:val="center"/>
        </w:trPr>
        <w:tc>
          <w:tcPr>
            <w:tcW w:w="941" w:type="dxa"/>
            <w:tcBorders>
              <w:tl2br w:val="nil"/>
              <w:tr2bl w:val="nil"/>
            </w:tcBorders>
            <w:noWrap w:val="0"/>
            <w:vAlign w:val="center"/>
          </w:tcPr>
          <w:p w14:paraId="4ABEB431">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10</w:t>
            </w:r>
          </w:p>
        </w:tc>
        <w:tc>
          <w:tcPr>
            <w:tcW w:w="1720" w:type="dxa"/>
            <w:tcBorders>
              <w:tl2br w:val="nil"/>
              <w:tr2bl w:val="nil"/>
            </w:tcBorders>
            <w:noWrap w:val="0"/>
            <w:vAlign w:val="center"/>
          </w:tcPr>
          <w:p w14:paraId="3DA262A9">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Cs w:val="21"/>
                <w:highlight w:val="none"/>
              </w:rPr>
            </w:pPr>
            <w:r>
              <w:rPr>
                <w:rFonts w:hint="default" w:ascii="Times New Roman" w:hAnsi="Times New Roman" w:eastAsia="宋体" w:cs="Times New Roman"/>
                <w:b w:val="0"/>
                <w:bCs w:val="0"/>
                <w:color w:val="auto"/>
                <w:sz w:val="21"/>
                <w:szCs w:val="21"/>
                <w:highlight w:val="none"/>
                <w:lang w:val="en-US" w:eastAsia="zh-CN"/>
              </w:rPr>
              <w:t>清罐废油泥（含废清理液）</w:t>
            </w:r>
          </w:p>
        </w:tc>
        <w:tc>
          <w:tcPr>
            <w:tcW w:w="1399" w:type="dxa"/>
            <w:tcBorders>
              <w:tl2br w:val="nil"/>
              <w:tr2bl w:val="nil"/>
            </w:tcBorders>
            <w:noWrap w:val="0"/>
            <w:vAlign w:val="center"/>
          </w:tcPr>
          <w:p w14:paraId="4C688B3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eastAsia" w:ascii="Times New Roman" w:hAnsi="Times New Roman" w:eastAsia="宋体" w:cs="Times New Roman"/>
                <w:color w:val="auto"/>
                <w:sz w:val="21"/>
                <w:szCs w:val="21"/>
                <w:highlight w:val="none"/>
                <w:lang w:val="en-US" w:eastAsia="zh-CN"/>
              </w:rPr>
              <w:t>储油罐</w:t>
            </w:r>
          </w:p>
        </w:tc>
        <w:tc>
          <w:tcPr>
            <w:tcW w:w="1276" w:type="dxa"/>
            <w:tcBorders>
              <w:tl2br w:val="nil"/>
              <w:tr2bl w:val="nil"/>
            </w:tcBorders>
            <w:noWrap w:val="0"/>
            <w:vAlign w:val="center"/>
          </w:tcPr>
          <w:p w14:paraId="79E26FC1">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危险废物</w:t>
            </w:r>
          </w:p>
        </w:tc>
        <w:tc>
          <w:tcPr>
            <w:tcW w:w="1134" w:type="dxa"/>
            <w:tcBorders>
              <w:tl2br w:val="nil"/>
              <w:tr2bl w:val="nil"/>
            </w:tcBorders>
            <w:noWrap w:val="0"/>
            <w:vAlign w:val="center"/>
          </w:tcPr>
          <w:p w14:paraId="548899BE">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HW</w:t>
            </w:r>
            <w:r>
              <w:rPr>
                <w:rFonts w:hint="eastAsia" w:ascii="Times New Roman" w:hAnsi="Times New Roman" w:eastAsia="宋体" w:cs="Times New Roman"/>
                <w:color w:val="auto"/>
                <w:sz w:val="21"/>
                <w:szCs w:val="21"/>
                <w:highlight w:val="none"/>
                <w:lang w:val="en-US" w:eastAsia="zh-CN"/>
              </w:rPr>
              <w:t>08</w:t>
            </w:r>
          </w:p>
        </w:tc>
        <w:tc>
          <w:tcPr>
            <w:tcW w:w="1559" w:type="dxa"/>
            <w:tcBorders>
              <w:tl2br w:val="nil"/>
              <w:tr2bl w:val="nil"/>
            </w:tcBorders>
            <w:noWrap w:val="0"/>
            <w:vAlign w:val="center"/>
          </w:tcPr>
          <w:p w14:paraId="29E4A16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kern w:val="0"/>
                <w:szCs w:val="21"/>
                <w:highlight w:val="none"/>
              </w:rPr>
            </w:pPr>
            <w:r>
              <w:rPr>
                <w:rFonts w:hint="default" w:ascii="Times New Roman" w:hAnsi="Times New Roman" w:eastAsia="宋体" w:cs="Times New Roman"/>
                <w:color w:val="auto"/>
                <w:sz w:val="21"/>
                <w:szCs w:val="21"/>
                <w:highlight w:val="none"/>
                <w:lang w:val="en-US" w:eastAsia="zh-CN"/>
              </w:rPr>
              <w:t>900-</w:t>
            </w:r>
            <w:r>
              <w:rPr>
                <w:rFonts w:hint="eastAsia" w:ascii="Times New Roman" w:hAnsi="Times New Roman" w:eastAsia="宋体" w:cs="Times New Roman"/>
                <w:color w:val="auto"/>
                <w:sz w:val="21"/>
                <w:szCs w:val="21"/>
                <w:highlight w:val="none"/>
                <w:lang w:val="en-US" w:eastAsia="zh-CN"/>
              </w:rPr>
              <w:t>249</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08</w:t>
            </w:r>
          </w:p>
        </w:tc>
        <w:tc>
          <w:tcPr>
            <w:tcW w:w="992" w:type="dxa"/>
            <w:tcBorders>
              <w:tl2br w:val="nil"/>
              <w:tr2bl w:val="nil"/>
            </w:tcBorders>
            <w:noWrap w:val="0"/>
            <w:vAlign w:val="center"/>
          </w:tcPr>
          <w:p w14:paraId="42E19E84">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液态</w:t>
            </w:r>
          </w:p>
        </w:tc>
        <w:tc>
          <w:tcPr>
            <w:tcW w:w="1134" w:type="dxa"/>
            <w:tcBorders>
              <w:tl2br w:val="nil"/>
              <w:tr2bl w:val="nil"/>
            </w:tcBorders>
            <w:noWrap w:val="0"/>
            <w:vAlign w:val="center"/>
          </w:tcPr>
          <w:p w14:paraId="7C7FD898">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kern w:val="0"/>
                <w:szCs w:val="21"/>
                <w:highlight w:val="none"/>
                <w:lang w:val="en-US" w:eastAsia="zh-CN"/>
              </w:rPr>
            </w:pPr>
            <w:r>
              <w:rPr>
                <w:rFonts w:hint="eastAsia" w:cs="Times New Roman"/>
                <w:color w:val="auto"/>
                <w:sz w:val="21"/>
                <w:szCs w:val="21"/>
                <w:highlight w:val="none"/>
                <w:lang w:val="en-US" w:eastAsia="zh-CN"/>
              </w:rPr>
              <w:t>1</w:t>
            </w:r>
          </w:p>
        </w:tc>
        <w:tc>
          <w:tcPr>
            <w:tcW w:w="1473" w:type="dxa"/>
            <w:tcBorders>
              <w:top w:val="single" w:color="auto" w:sz="4" w:space="0"/>
              <w:bottom w:val="single" w:color="auto" w:sz="4" w:space="0"/>
              <w:tl2br w:val="nil"/>
              <w:tr2bl w:val="nil"/>
            </w:tcBorders>
            <w:noWrap w:val="0"/>
            <w:vAlign w:val="center"/>
          </w:tcPr>
          <w:p w14:paraId="4A7360F3">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由资质单位处置</w:t>
            </w:r>
          </w:p>
        </w:tc>
        <w:tc>
          <w:tcPr>
            <w:tcW w:w="1943" w:type="dxa"/>
            <w:vMerge w:val="continue"/>
            <w:tcBorders>
              <w:tl2br w:val="nil"/>
              <w:tr2bl w:val="nil"/>
            </w:tcBorders>
            <w:noWrap w:val="0"/>
            <w:vAlign w:val="center"/>
          </w:tcPr>
          <w:p w14:paraId="378741F0">
            <w:pPr>
              <w:snapToGrid w:val="0"/>
              <w:jc w:val="center"/>
              <w:rPr>
                <w:rFonts w:ascii="Times New Roman" w:hAnsi="Times New Roman" w:eastAsia="宋体"/>
                <w:color w:val="auto"/>
                <w:kern w:val="0"/>
                <w:szCs w:val="21"/>
                <w:highlight w:val="none"/>
              </w:rPr>
            </w:pPr>
          </w:p>
        </w:tc>
      </w:tr>
      <w:tr w14:paraId="089E46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5" w:hRule="exact"/>
          <w:jc w:val="center"/>
        </w:trPr>
        <w:tc>
          <w:tcPr>
            <w:tcW w:w="941" w:type="dxa"/>
            <w:tcBorders>
              <w:tl2br w:val="nil"/>
              <w:tr2bl w:val="nil"/>
            </w:tcBorders>
            <w:noWrap w:val="0"/>
            <w:vAlign w:val="center"/>
          </w:tcPr>
          <w:p w14:paraId="0664EE9B">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11</w:t>
            </w:r>
          </w:p>
        </w:tc>
        <w:tc>
          <w:tcPr>
            <w:tcW w:w="1720" w:type="dxa"/>
            <w:tcBorders>
              <w:tl2br w:val="nil"/>
              <w:tr2bl w:val="nil"/>
            </w:tcBorders>
            <w:noWrap w:val="0"/>
            <w:vAlign w:val="center"/>
          </w:tcPr>
          <w:p w14:paraId="7C024236">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生活垃圾</w:t>
            </w:r>
          </w:p>
        </w:tc>
        <w:tc>
          <w:tcPr>
            <w:tcW w:w="1399" w:type="dxa"/>
            <w:tcBorders>
              <w:tl2br w:val="nil"/>
              <w:tr2bl w:val="nil"/>
            </w:tcBorders>
            <w:noWrap w:val="0"/>
            <w:vAlign w:val="center"/>
          </w:tcPr>
          <w:p w14:paraId="76843441">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生活办公</w:t>
            </w:r>
          </w:p>
        </w:tc>
        <w:tc>
          <w:tcPr>
            <w:tcW w:w="1276" w:type="dxa"/>
            <w:tcBorders>
              <w:tl2br w:val="nil"/>
              <w:tr2bl w:val="nil"/>
            </w:tcBorders>
            <w:noWrap w:val="0"/>
            <w:vAlign w:val="center"/>
          </w:tcPr>
          <w:p w14:paraId="5DD1970A">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生活垃圾</w:t>
            </w:r>
          </w:p>
        </w:tc>
        <w:tc>
          <w:tcPr>
            <w:tcW w:w="1134" w:type="dxa"/>
            <w:tcBorders>
              <w:tl2br w:val="nil"/>
              <w:tr2bl w:val="nil"/>
            </w:tcBorders>
            <w:noWrap w:val="0"/>
            <w:vAlign w:val="center"/>
          </w:tcPr>
          <w:p w14:paraId="6789E193">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99</w:t>
            </w:r>
          </w:p>
        </w:tc>
        <w:tc>
          <w:tcPr>
            <w:tcW w:w="1559" w:type="dxa"/>
            <w:tcBorders>
              <w:tl2br w:val="nil"/>
              <w:tr2bl w:val="nil"/>
            </w:tcBorders>
            <w:noWrap w:val="0"/>
            <w:vAlign w:val="center"/>
          </w:tcPr>
          <w:p w14:paraId="73843D15">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900-999-99</w:t>
            </w:r>
          </w:p>
        </w:tc>
        <w:tc>
          <w:tcPr>
            <w:tcW w:w="992" w:type="dxa"/>
            <w:tcBorders>
              <w:tl2br w:val="nil"/>
              <w:tr2bl w:val="nil"/>
            </w:tcBorders>
            <w:noWrap w:val="0"/>
            <w:vAlign w:val="center"/>
          </w:tcPr>
          <w:p w14:paraId="0B6A814C">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固态</w:t>
            </w:r>
          </w:p>
        </w:tc>
        <w:tc>
          <w:tcPr>
            <w:tcW w:w="1134" w:type="dxa"/>
            <w:tcBorders>
              <w:tl2br w:val="nil"/>
              <w:tr2bl w:val="nil"/>
            </w:tcBorders>
            <w:noWrap w:val="0"/>
            <w:vAlign w:val="center"/>
          </w:tcPr>
          <w:p w14:paraId="1B67D202">
            <w:pPr>
              <w:widowControl/>
              <w:snapToGrid w:val="0"/>
              <w:jc w:val="center"/>
              <w:rPr>
                <w:rFonts w:hint="default" w:ascii="Times New Roman" w:hAnsi="Times New Roman" w:eastAsia="宋体"/>
                <w:color w:val="auto"/>
                <w:kern w:val="0"/>
                <w:szCs w:val="21"/>
                <w:highlight w:val="none"/>
                <w:lang w:val="en-US" w:eastAsia="zh-CN"/>
              </w:rPr>
            </w:pPr>
            <w:r>
              <w:rPr>
                <w:rFonts w:hint="eastAsia" w:ascii="Times New Roman" w:hAnsi="Times New Roman" w:eastAsia="宋体"/>
                <w:color w:val="auto"/>
                <w:kern w:val="0"/>
                <w:szCs w:val="21"/>
                <w:highlight w:val="none"/>
                <w:lang w:val="en-US" w:eastAsia="zh-CN"/>
              </w:rPr>
              <w:t>5.475</w:t>
            </w:r>
          </w:p>
        </w:tc>
        <w:tc>
          <w:tcPr>
            <w:tcW w:w="1473" w:type="dxa"/>
            <w:tcBorders>
              <w:top w:val="single" w:color="auto" w:sz="4" w:space="0"/>
              <w:tl2br w:val="nil"/>
              <w:tr2bl w:val="nil"/>
            </w:tcBorders>
            <w:noWrap w:val="0"/>
            <w:vAlign w:val="center"/>
          </w:tcPr>
          <w:p w14:paraId="37A66B0F">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环卫清运</w:t>
            </w:r>
          </w:p>
        </w:tc>
        <w:tc>
          <w:tcPr>
            <w:tcW w:w="1943" w:type="dxa"/>
            <w:tcBorders>
              <w:tl2br w:val="nil"/>
              <w:tr2bl w:val="nil"/>
            </w:tcBorders>
            <w:noWrap w:val="0"/>
            <w:vAlign w:val="center"/>
          </w:tcPr>
          <w:p w14:paraId="2A7E79DE">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分类收集，</w:t>
            </w:r>
          </w:p>
          <w:p w14:paraId="4FD3CD1F">
            <w:pPr>
              <w:widowControl/>
              <w:snapToGrid w:val="0"/>
              <w:jc w:val="center"/>
              <w:rPr>
                <w:rFonts w:ascii="Times New Roman" w:hAnsi="Times New Roman" w:eastAsia="宋体"/>
                <w:color w:val="auto"/>
                <w:kern w:val="0"/>
                <w:szCs w:val="21"/>
                <w:highlight w:val="none"/>
              </w:rPr>
            </w:pPr>
            <w:r>
              <w:rPr>
                <w:rFonts w:ascii="Times New Roman" w:hAnsi="Times New Roman" w:eastAsia="宋体"/>
                <w:color w:val="auto"/>
                <w:kern w:val="0"/>
                <w:szCs w:val="21"/>
                <w:highlight w:val="none"/>
              </w:rPr>
              <w:t>环卫清运</w:t>
            </w:r>
          </w:p>
        </w:tc>
      </w:tr>
    </w:tbl>
    <w:p w14:paraId="0BF41743">
      <w:pPr>
        <w:pStyle w:val="23"/>
        <w:rPr>
          <w:rFonts w:ascii="Times New Roman" w:hAnsi="Times New Roman"/>
          <w:color w:val="auto"/>
          <w:highlight w:val="none"/>
        </w:rPr>
      </w:pPr>
    </w:p>
    <w:p w14:paraId="411D3F24">
      <w:pPr>
        <w:snapToGrid w:val="0"/>
        <w:spacing w:line="360" w:lineRule="auto"/>
        <w:ind w:firstLine="480" w:firstLineChars="200"/>
        <w:rPr>
          <w:rFonts w:ascii="Times New Roman" w:hAnsi="Times New Roman" w:eastAsia="宋体"/>
          <w:bCs/>
          <w:color w:val="auto"/>
          <w:sz w:val="24"/>
          <w:szCs w:val="24"/>
          <w:highlight w:val="none"/>
        </w:rPr>
        <w:sectPr>
          <w:pgSz w:w="16838" w:h="11906" w:orient="landscape"/>
          <w:pgMar w:top="1803" w:right="1440" w:bottom="1803" w:left="1440" w:header="964" w:footer="964" w:gutter="0"/>
          <w:pgBorders>
            <w:top w:val="none" w:sz="0" w:space="0"/>
            <w:left w:val="none" w:sz="0" w:space="0"/>
            <w:bottom w:val="none" w:sz="0" w:space="0"/>
            <w:right w:val="none" w:sz="0" w:space="0"/>
          </w:pgBorders>
          <w:cols w:space="720" w:num="1"/>
          <w:rtlGutter w:val="0"/>
          <w:docGrid w:type="lines" w:linePitch="360" w:charSpace="0"/>
        </w:sectPr>
      </w:pPr>
    </w:p>
    <w:p w14:paraId="29FB6C0E">
      <w:pPr>
        <w:pStyle w:val="5"/>
        <w:rPr>
          <w:rFonts w:hint="default" w:ascii="Times New Roman" w:hAnsi="Times New Roman" w:eastAsia="宋体" w:cs="Times New Roman"/>
          <w:b/>
          <w:bCs/>
          <w:color w:val="auto"/>
          <w:highlight w:val="none"/>
          <w:lang w:val="zh-CN"/>
        </w:rPr>
      </w:pPr>
      <w:bookmarkStart w:id="467" w:name="_Toc152921702"/>
      <w:bookmarkStart w:id="468" w:name="_Toc152922067"/>
      <w:bookmarkStart w:id="469" w:name="_Toc152923342"/>
      <w:bookmarkStart w:id="470" w:name="_Toc152922661"/>
      <w:r>
        <w:rPr>
          <w:rFonts w:hint="eastAsia"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lang w:val="zh-CN"/>
        </w:rPr>
        <w:t>.2.</w:t>
      </w:r>
      <w:r>
        <w:rPr>
          <w:rFonts w:hint="eastAsia"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val="zh-CN"/>
        </w:rPr>
        <w:t>.2固体废物环境影响分析</w:t>
      </w:r>
    </w:p>
    <w:p w14:paraId="3E8D8EEE">
      <w:pPr>
        <w:pStyle w:val="226"/>
        <w:keepNext w:val="0"/>
        <w:keepLines w:val="0"/>
        <w:pageBreakBefore w:val="0"/>
        <w:widowControl w:val="0"/>
        <w:numPr>
          <w:ilvl w:val="0"/>
          <w:numId w:val="0"/>
        </w:numPr>
        <w:tabs>
          <w:tab w:val="left" w:pos="1373"/>
        </w:tabs>
        <w:kinsoku/>
        <w:wordWrap/>
        <w:overflowPunct/>
        <w:topLinePunct w:val="0"/>
        <w:autoSpaceDE/>
        <w:autoSpaceDN/>
        <w:bidi w:val="0"/>
        <w:adjustRightInd/>
        <w:snapToGrid/>
        <w:spacing w:line="360" w:lineRule="auto"/>
        <w:ind w:left="0" w:leftChars="0" w:right="0" w:rightChars="0" w:firstLine="482" w:firstLineChars="200"/>
        <w:jc w:val="both"/>
        <w:textAlignment w:val="auto"/>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lang w:eastAsia="zh-CN"/>
        </w:rPr>
        <w:t>（</w:t>
      </w:r>
      <w:r>
        <w:rPr>
          <w:rFonts w:hint="default" w:ascii="Times New Roman" w:hAnsi="Times New Roman" w:cs="Times New Roman"/>
          <w:b/>
          <w:color w:val="auto"/>
          <w:sz w:val="24"/>
          <w:szCs w:val="24"/>
          <w:highlight w:val="none"/>
          <w:lang w:val="en-US" w:eastAsia="zh-CN"/>
        </w:rPr>
        <w:t>1</w:t>
      </w:r>
      <w:r>
        <w:rPr>
          <w:rFonts w:hint="default" w:ascii="Times New Roman" w:hAnsi="Times New Roman" w:cs="Times New Roman"/>
          <w:b/>
          <w:color w:val="auto"/>
          <w:sz w:val="24"/>
          <w:szCs w:val="24"/>
          <w:highlight w:val="none"/>
          <w:lang w:eastAsia="zh-CN"/>
        </w:rPr>
        <w:t>）</w:t>
      </w:r>
      <w:r>
        <w:rPr>
          <w:rFonts w:hint="default" w:ascii="Times New Roman" w:hAnsi="Times New Roman" w:cs="Times New Roman"/>
          <w:b/>
          <w:color w:val="auto"/>
          <w:sz w:val="24"/>
          <w:szCs w:val="24"/>
          <w:highlight w:val="none"/>
        </w:rPr>
        <w:t>生活垃圾</w:t>
      </w:r>
    </w:p>
    <w:p w14:paraId="372FCDE1">
      <w:pPr>
        <w:pStyle w:val="18"/>
        <w:keepNext w:val="0"/>
        <w:keepLines w:val="0"/>
        <w:pageBreakBefore w:val="0"/>
        <w:widowControl w:val="0"/>
        <w:kinsoku/>
        <w:wordWrap/>
        <w:overflowPunct/>
        <w:topLinePunct w:val="0"/>
        <w:autoSpaceDE/>
        <w:autoSpaceDN/>
        <w:bidi w:val="0"/>
        <w:adjustRightInd/>
        <w:snapToGrid/>
        <w:spacing w:after="0" w:afterLines="0" w:line="360" w:lineRule="auto"/>
        <w:ind w:left="0" w:leftChars="0" w:right="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生活垃圾的成分比较复杂，会在微生物和细菌的作用下发生腐烂，发出恶臭，也成为蚊蝇滋生、病菌繁殖、老鼠肆虐的场所，是引发流行性疾病的重要发生源。</w:t>
      </w:r>
    </w:p>
    <w:p w14:paraId="3E22DF83">
      <w:pPr>
        <w:pStyle w:val="18"/>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本项目产生的生活垃圾采取垃圾桶集中收集，每日由市政环卫部门清运、处理。做到日产日清，不会产生二次污染，对环境影响小。</w:t>
      </w:r>
    </w:p>
    <w:p w14:paraId="6FC013DD">
      <w:pPr>
        <w:pStyle w:val="18"/>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46" w:firstLineChars="200"/>
        <w:jc w:val="both"/>
        <w:textAlignment w:val="auto"/>
        <w:rPr>
          <w:rFonts w:hint="default" w:ascii="Times New Roman" w:hAnsi="Times New Roman" w:cs="Times New Roman"/>
          <w:b/>
          <w:bCs/>
          <w:color w:val="auto"/>
          <w:spacing w:val="-9"/>
          <w:sz w:val="24"/>
          <w:szCs w:val="24"/>
          <w:highlight w:val="none"/>
          <w:lang w:eastAsia="zh-CN"/>
        </w:rPr>
      </w:pPr>
      <w:r>
        <w:rPr>
          <w:rFonts w:hint="default" w:ascii="Times New Roman" w:hAnsi="Times New Roman" w:cs="Times New Roman"/>
          <w:b/>
          <w:bCs/>
          <w:color w:val="auto"/>
          <w:spacing w:val="-9"/>
          <w:sz w:val="24"/>
          <w:szCs w:val="24"/>
          <w:highlight w:val="none"/>
          <w:lang w:eastAsia="zh-CN"/>
        </w:rPr>
        <w:t>（</w:t>
      </w:r>
      <w:r>
        <w:rPr>
          <w:rFonts w:hint="default" w:ascii="Times New Roman" w:hAnsi="Times New Roman" w:cs="Times New Roman"/>
          <w:b/>
          <w:bCs/>
          <w:color w:val="auto"/>
          <w:spacing w:val="-9"/>
          <w:sz w:val="24"/>
          <w:szCs w:val="24"/>
          <w:highlight w:val="none"/>
          <w:lang w:val="en-US" w:eastAsia="zh-CN"/>
        </w:rPr>
        <w:t>2</w:t>
      </w:r>
      <w:r>
        <w:rPr>
          <w:rFonts w:hint="default" w:ascii="Times New Roman" w:hAnsi="Times New Roman" w:cs="Times New Roman"/>
          <w:b/>
          <w:bCs/>
          <w:color w:val="auto"/>
          <w:spacing w:val="-9"/>
          <w:sz w:val="24"/>
          <w:szCs w:val="24"/>
          <w:highlight w:val="none"/>
          <w:lang w:eastAsia="zh-CN"/>
        </w:rPr>
        <w:t>）一般工业固体废物</w:t>
      </w:r>
    </w:p>
    <w:p w14:paraId="28FA28A5">
      <w:pPr>
        <w:pStyle w:val="18"/>
        <w:keepNext w:val="0"/>
        <w:keepLines w:val="0"/>
        <w:pageBreakBefore w:val="0"/>
        <w:widowControl w:val="0"/>
        <w:kinsoku/>
        <w:wordWrap/>
        <w:overflowPunct/>
        <w:topLinePunct w:val="0"/>
        <w:autoSpaceDE/>
        <w:autoSpaceDN/>
        <w:bidi w:val="0"/>
        <w:adjustRightInd/>
        <w:snapToGrid/>
        <w:spacing w:after="0" w:afterLines="0" w:line="360" w:lineRule="auto"/>
        <w:ind w:left="0" w:leftChars="0" w:right="0" w:firstLine="480" w:firstLineChars="200"/>
        <w:jc w:val="both"/>
        <w:textAlignment w:val="auto"/>
        <w:rPr>
          <w:rFonts w:hint="default" w:ascii="Times New Roman" w:hAnsi="Times New Roman" w:cs="Times New Roman"/>
          <w:color w:val="auto"/>
          <w:spacing w:val="-8"/>
          <w:sz w:val="24"/>
          <w:szCs w:val="24"/>
          <w:highlight w:val="none"/>
        </w:rPr>
      </w:pPr>
      <w:r>
        <w:rPr>
          <w:rFonts w:hint="default" w:ascii="Times New Roman" w:hAnsi="Times New Roman" w:cs="Times New Roman"/>
          <w:color w:val="auto"/>
          <w:sz w:val="24"/>
          <w:szCs w:val="24"/>
          <w:highlight w:val="none"/>
        </w:rPr>
        <w:t>一般工业固体废物</w:t>
      </w:r>
      <w:r>
        <w:rPr>
          <w:rFonts w:hint="default" w:ascii="Times New Roman" w:hAnsi="Times New Roman" w:cs="Times New Roman"/>
          <w:color w:val="auto"/>
          <w:spacing w:val="-1"/>
          <w:sz w:val="24"/>
          <w:szCs w:val="24"/>
          <w:highlight w:val="none"/>
        </w:rPr>
        <w:t>项目生产过程中产生的一般工业固体废物如果疏于管理，将其随意丢弃和堆放，</w:t>
      </w:r>
      <w:r>
        <w:rPr>
          <w:rFonts w:hint="default" w:ascii="Times New Roman" w:hAnsi="Times New Roman" w:cs="Times New Roman"/>
          <w:color w:val="auto"/>
          <w:spacing w:val="-4"/>
          <w:sz w:val="24"/>
          <w:szCs w:val="24"/>
          <w:highlight w:val="none"/>
        </w:rPr>
        <w:t>不仅占用厂区空间，还影响企业景观，而且长期经过雨水浸淋，固体废物中的有害物</w:t>
      </w:r>
      <w:r>
        <w:rPr>
          <w:rFonts w:hint="default" w:ascii="Times New Roman" w:hAnsi="Times New Roman" w:cs="Times New Roman"/>
          <w:color w:val="auto"/>
          <w:spacing w:val="-8"/>
          <w:sz w:val="24"/>
          <w:szCs w:val="24"/>
          <w:highlight w:val="none"/>
        </w:rPr>
        <w:t>质会发生迁移，不仅污染堆放地的土壤环境，还有可能随雨水径流肆意漫流，进入周围水体，污染水环境。有些会发生腐烂，产生恶臭和其他污染物，污染大气环境。</w:t>
      </w:r>
    </w:p>
    <w:p w14:paraId="75231DA2">
      <w:pPr>
        <w:widowControl/>
        <w:jc w:val="center"/>
        <w:rPr>
          <w:rFonts w:hint="default" w:ascii="Times New Roman" w:hAnsi="Times New Roman" w:eastAsia="宋体" w:cs="Times New Roman"/>
          <w:b/>
          <w:color w:val="auto"/>
          <w:kern w:val="0"/>
          <w:sz w:val="24"/>
          <w:szCs w:val="24"/>
          <w:highlight w:val="none"/>
        </w:rPr>
      </w:pPr>
      <w:r>
        <w:rPr>
          <w:rFonts w:ascii="Times New Roman" w:hAnsi="Times New Roman" w:eastAsia="宋体" w:cs="Times New Roman"/>
          <w:b/>
          <w:color w:val="auto"/>
          <w:kern w:val="0"/>
          <w:sz w:val="24"/>
          <w:szCs w:val="24"/>
          <w:highlight w:val="none"/>
        </w:rPr>
        <w:t>表</w:t>
      </w:r>
      <w:r>
        <w:rPr>
          <w:rFonts w:hint="eastAsia" w:ascii="Times New Roman" w:hAnsi="Times New Roman" w:eastAsia="宋体" w:cs="Times New Roman"/>
          <w:b/>
          <w:color w:val="auto"/>
          <w:kern w:val="0"/>
          <w:sz w:val="24"/>
          <w:szCs w:val="24"/>
          <w:highlight w:val="none"/>
          <w:lang w:val="en-US" w:eastAsia="zh-CN"/>
        </w:rPr>
        <w:t>5</w:t>
      </w:r>
      <w:r>
        <w:rPr>
          <w:rFonts w:ascii="Times New Roman" w:hAnsi="Times New Roman" w:eastAsia="宋体" w:cs="Times New Roman"/>
          <w:b/>
          <w:color w:val="auto"/>
          <w:kern w:val="0"/>
          <w:sz w:val="24"/>
          <w:szCs w:val="24"/>
          <w:highlight w:val="none"/>
        </w:rPr>
        <w:t>.2</w:t>
      </w:r>
      <w:r>
        <w:rPr>
          <w:rFonts w:hint="eastAsia" w:ascii="Times New Roman" w:hAnsi="Times New Roman" w:eastAsia="宋体" w:cs="Times New Roman"/>
          <w:b/>
          <w:color w:val="auto"/>
          <w:kern w:val="0"/>
          <w:sz w:val="24"/>
          <w:szCs w:val="24"/>
          <w:highlight w:val="none"/>
          <w:lang w:val="en-US" w:eastAsia="zh-CN"/>
        </w:rPr>
        <w:t>.4</w:t>
      </w:r>
      <w:r>
        <w:rPr>
          <w:rFonts w:ascii="Times New Roman" w:hAnsi="Times New Roman" w:eastAsia="宋体" w:cs="Times New Roman"/>
          <w:b/>
          <w:color w:val="auto"/>
          <w:kern w:val="0"/>
          <w:sz w:val="24"/>
          <w:szCs w:val="24"/>
          <w:highlight w:val="none"/>
        </w:rPr>
        <w:t>-</w:t>
      </w:r>
      <w:r>
        <w:rPr>
          <w:rFonts w:hint="eastAsia" w:ascii="Times New Roman" w:hAnsi="Times New Roman" w:eastAsia="宋体" w:cs="Times New Roman"/>
          <w:b/>
          <w:color w:val="auto"/>
          <w:kern w:val="0"/>
          <w:sz w:val="24"/>
          <w:szCs w:val="24"/>
          <w:highlight w:val="none"/>
          <w:lang w:val="en-US" w:eastAsia="zh-CN"/>
        </w:rPr>
        <w:t>2</w:t>
      </w:r>
      <w:r>
        <w:rPr>
          <w:rFonts w:hint="eastAsia" w:cs="Times New Roman"/>
          <w:b/>
          <w:color w:val="auto"/>
          <w:kern w:val="0"/>
          <w:sz w:val="24"/>
          <w:szCs w:val="24"/>
          <w:highlight w:val="none"/>
          <w:lang w:val="en-US" w:eastAsia="zh-CN"/>
        </w:rPr>
        <w:t xml:space="preserve">  </w:t>
      </w:r>
      <w:r>
        <w:rPr>
          <w:rFonts w:ascii="Times New Roman" w:hAnsi="Times New Roman" w:eastAsia="宋体" w:cs="Times New Roman"/>
          <w:b/>
          <w:color w:val="auto"/>
          <w:kern w:val="0"/>
          <w:sz w:val="24"/>
          <w:szCs w:val="24"/>
          <w:highlight w:val="none"/>
        </w:rPr>
        <w:t>一般固废贮存能力分析表</w:t>
      </w:r>
    </w:p>
    <w:tbl>
      <w:tblPr>
        <w:tblStyle w:val="49"/>
        <w:tblW w:w="518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3" w:type="dxa"/>
        </w:tblCellMar>
      </w:tblPr>
      <w:tblGrid>
        <w:gridCol w:w="447"/>
        <w:gridCol w:w="872"/>
        <w:gridCol w:w="1150"/>
        <w:gridCol w:w="1254"/>
        <w:gridCol w:w="682"/>
        <w:gridCol w:w="621"/>
        <w:gridCol w:w="749"/>
        <w:gridCol w:w="808"/>
        <w:gridCol w:w="623"/>
        <w:gridCol w:w="636"/>
        <w:gridCol w:w="819"/>
      </w:tblGrid>
      <w:tr w14:paraId="6ADE6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258" w:type="pct"/>
            <w:noWrap w:val="0"/>
            <w:vAlign w:val="center"/>
          </w:tcPr>
          <w:p w14:paraId="67155ADA">
            <w:pPr>
              <w:pStyle w:val="224"/>
              <w:rPr>
                <w:rFonts w:eastAsia="宋体"/>
                <w:b/>
                <w:bCs w:val="0"/>
                <w:color w:val="auto"/>
                <w:sz w:val="21"/>
                <w:szCs w:val="21"/>
                <w:highlight w:val="none"/>
              </w:rPr>
            </w:pPr>
            <w:r>
              <w:rPr>
                <w:rFonts w:eastAsia="宋体"/>
                <w:b/>
                <w:bCs w:val="0"/>
                <w:color w:val="auto"/>
                <w:sz w:val="21"/>
                <w:szCs w:val="21"/>
                <w:highlight w:val="none"/>
              </w:rPr>
              <w:t>序号</w:t>
            </w:r>
          </w:p>
        </w:tc>
        <w:tc>
          <w:tcPr>
            <w:tcW w:w="503" w:type="pct"/>
            <w:noWrap w:val="0"/>
            <w:vAlign w:val="center"/>
          </w:tcPr>
          <w:p w14:paraId="0301EE85">
            <w:pPr>
              <w:pStyle w:val="224"/>
              <w:rPr>
                <w:rFonts w:eastAsia="宋体"/>
                <w:b/>
                <w:bCs w:val="0"/>
                <w:color w:val="auto"/>
                <w:sz w:val="21"/>
                <w:szCs w:val="21"/>
                <w:highlight w:val="none"/>
              </w:rPr>
            </w:pPr>
            <w:r>
              <w:rPr>
                <w:rFonts w:eastAsia="宋体"/>
                <w:b/>
                <w:bCs w:val="0"/>
                <w:color w:val="auto"/>
                <w:sz w:val="21"/>
                <w:szCs w:val="21"/>
                <w:highlight w:val="none"/>
              </w:rPr>
              <w:t>贮存场所名称</w:t>
            </w:r>
          </w:p>
        </w:tc>
        <w:tc>
          <w:tcPr>
            <w:tcW w:w="663" w:type="pct"/>
            <w:noWrap w:val="0"/>
            <w:vAlign w:val="center"/>
          </w:tcPr>
          <w:p w14:paraId="21B806C6">
            <w:pPr>
              <w:pStyle w:val="224"/>
              <w:rPr>
                <w:rFonts w:eastAsia="宋体"/>
                <w:b/>
                <w:bCs w:val="0"/>
                <w:color w:val="auto"/>
                <w:sz w:val="21"/>
                <w:szCs w:val="21"/>
                <w:highlight w:val="none"/>
              </w:rPr>
            </w:pPr>
            <w:r>
              <w:rPr>
                <w:rFonts w:eastAsia="宋体"/>
                <w:b/>
                <w:bCs w:val="0"/>
                <w:color w:val="auto"/>
                <w:sz w:val="21"/>
                <w:szCs w:val="21"/>
                <w:highlight w:val="none"/>
              </w:rPr>
              <w:t>废物名称</w:t>
            </w:r>
          </w:p>
        </w:tc>
        <w:tc>
          <w:tcPr>
            <w:tcW w:w="723" w:type="pct"/>
            <w:noWrap w:val="0"/>
            <w:vAlign w:val="center"/>
          </w:tcPr>
          <w:p w14:paraId="6633A8EF">
            <w:pPr>
              <w:pStyle w:val="224"/>
              <w:rPr>
                <w:rFonts w:eastAsia="宋体"/>
                <w:b/>
                <w:bCs w:val="0"/>
                <w:color w:val="auto"/>
                <w:sz w:val="21"/>
                <w:szCs w:val="21"/>
                <w:highlight w:val="none"/>
              </w:rPr>
            </w:pPr>
            <w:r>
              <w:rPr>
                <w:rFonts w:eastAsia="宋体"/>
                <w:b/>
                <w:bCs w:val="0"/>
                <w:color w:val="auto"/>
                <w:sz w:val="21"/>
                <w:szCs w:val="21"/>
                <w:highlight w:val="none"/>
              </w:rPr>
              <w:t>废物代码</w:t>
            </w:r>
          </w:p>
        </w:tc>
        <w:tc>
          <w:tcPr>
            <w:tcW w:w="393" w:type="pct"/>
            <w:noWrap w:val="0"/>
            <w:vAlign w:val="center"/>
          </w:tcPr>
          <w:p w14:paraId="05201116">
            <w:pPr>
              <w:pStyle w:val="224"/>
              <w:rPr>
                <w:rFonts w:eastAsia="宋体"/>
                <w:b/>
                <w:bCs w:val="0"/>
                <w:color w:val="auto"/>
                <w:sz w:val="21"/>
                <w:szCs w:val="21"/>
                <w:highlight w:val="none"/>
              </w:rPr>
            </w:pPr>
            <w:r>
              <w:rPr>
                <w:rFonts w:eastAsia="宋体"/>
                <w:b/>
                <w:bCs w:val="0"/>
                <w:color w:val="auto"/>
                <w:sz w:val="21"/>
                <w:szCs w:val="21"/>
                <w:highlight w:val="none"/>
              </w:rPr>
              <w:t>位置</w:t>
            </w:r>
          </w:p>
        </w:tc>
        <w:tc>
          <w:tcPr>
            <w:tcW w:w="358" w:type="pct"/>
            <w:noWrap w:val="0"/>
            <w:vAlign w:val="center"/>
          </w:tcPr>
          <w:p w14:paraId="7BEAC753">
            <w:pPr>
              <w:pStyle w:val="224"/>
              <w:rPr>
                <w:rFonts w:eastAsia="宋体"/>
                <w:b/>
                <w:bCs w:val="0"/>
                <w:color w:val="auto"/>
                <w:sz w:val="21"/>
                <w:szCs w:val="21"/>
                <w:highlight w:val="none"/>
              </w:rPr>
            </w:pPr>
            <w:r>
              <w:rPr>
                <w:rFonts w:eastAsia="宋体"/>
                <w:b/>
                <w:bCs w:val="0"/>
                <w:color w:val="auto"/>
                <w:sz w:val="21"/>
                <w:szCs w:val="21"/>
                <w:highlight w:val="none"/>
              </w:rPr>
              <w:t>占地面积</w:t>
            </w:r>
          </w:p>
        </w:tc>
        <w:tc>
          <w:tcPr>
            <w:tcW w:w="432" w:type="pct"/>
            <w:noWrap w:val="0"/>
            <w:vAlign w:val="center"/>
          </w:tcPr>
          <w:p w14:paraId="6BE9BE96">
            <w:pPr>
              <w:pStyle w:val="224"/>
              <w:rPr>
                <w:rFonts w:eastAsia="宋体"/>
                <w:b/>
                <w:bCs w:val="0"/>
                <w:color w:val="auto"/>
                <w:sz w:val="21"/>
                <w:szCs w:val="21"/>
                <w:highlight w:val="none"/>
              </w:rPr>
            </w:pPr>
            <w:r>
              <w:rPr>
                <w:rFonts w:eastAsia="宋体"/>
                <w:b/>
                <w:bCs w:val="0"/>
                <w:color w:val="auto"/>
                <w:sz w:val="21"/>
                <w:szCs w:val="21"/>
                <w:highlight w:val="none"/>
              </w:rPr>
              <w:t>贮存方式</w:t>
            </w:r>
          </w:p>
        </w:tc>
        <w:tc>
          <w:tcPr>
            <w:tcW w:w="466" w:type="pct"/>
            <w:noWrap w:val="0"/>
            <w:vAlign w:val="center"/>
          </w:tcPr>
          <w:p w14:paraId="447744FF">
            <w:pPr>
              <w:pStyle w:val="224"/>
              <w:rPr>
                <w:rFonts w:eastAsia="宋体"/>
                <w:b/>
                <w:bCs w:val="0"/>
                <w:color w:val="auto"/>
                <w:sz w:val="21"/>
                <w:szCs w:val="21"/>
                <w:highlight w:val="none"/>
              </w:rPr>
            </w:pPr>
            <w:r>
              <w:rPr>
                <w:rFonts w:eastAsia="宋体"/>
                <w:b/>
                <w:bCs w:val="0"/>
                <w:color w:val="auto"/>
                <w:sz w:val="21"/>
                <w:szCs w:val="21"/>
                <w:highlight w:val="none"/>
              </w:rPr>
              <w:t>产生量（t/d）</w:t>
            </w:r>
          </w:p>
        </w:tc>
        <w:tc>
          <w:tcPr>
            <w:tcW w:w="359" w:type="pct"/>
            <w:noWrap w:val="0"/>
            <w:vAlign w:val="center"/>
          </w:tcPr>
          <w:p w14:paraId="12E48BB2">
            <w:pPr>
              <w:pStyle w:val="224"/>
              <w:rPr>
                <w:rFonts w:eastAsia="宋体"/>
                <w:b/>
                <w:bCs w:val="0"/>
                <w:color w:val="auto"/>
                <w:sz w:val="21"/>
                <w:szCs w:val="21"/>
                <w:highlight w:val="none"/>
              </w:rPr>
            </w:pPr>
            <w:r>
              <w:rPr>
                <w:rFonts w:eastAsia="宋体"/>
                <w:b/>
                <w:bCs w:val="0"/>
                <w:color w:val="auto"/>
                <w:sz w:val="21"/>
                <w:szCs w:val="21"/>
                <w:highlight w:val="none"/>
              </w:rPr>
              <w:t>贮存</w:t>
            </w:r>
          </w:p>
          <w:p w14:paraId="22826D3D">
            <w:pPr>
              <w:pStyle w:val="224"/>
              <w:rPr>
                <w:rFonts w:eastAsia="宋体"/>
                <w:b/>
                <w:bCs w:val="0"/>
                <w:color w:val="auto"/>
                <w:sz w:val="21"/>
                <w:szCs w:val="21"/>
                <w:highlight w:val="none"/>
              </w:rPr>
            </w:pPr>
            <w:r>
              <w:rPr>
                <w:rFonts w:eastAsia="宋体"/>
                <w:b/>
                <w:bCs w:val="0"/>
                <w:color w:val="auto"/>
                <w:sz w:val="21"/>
                <w:szCs w:val="21"/>
                <w:highlight w:val="none"/>
              </w:rPr>
              <w:t>能力</w:t>
            </w:r>
          </w:p>
        </w:tc>
        <w:tc>
          <w:tcPr>
            <w:tcW w:w="367" w:type="pct"/>
            <w:noWrap w:val="0"/>
            <w:vAlign w:val="center"/>
          </w:tcPr>
          <w:p w14:paraId="02AE4AE9">
            <w:pPr>
              <w:pStyle w:val="224"/>
              <w:rPr>
                <w:rFonts w:eastAsia="宋体"/>
                <w:b/>
                <w:bCs w:val="0"/>
                <w:color w:val="auto"/>
                <w:sz w:val="21"/>
                <w:szCs w:val="21"/>
                <w:highlight w:val="none"/>
              </w:rPr>
            </w:pPr>
            <w:r>
              <w:rPr>
                <w:rFonts w:eastAsia="宋体"/>
                <w:b/>
                <w:bCs w:val="0"/>
                <w:color w:val="auto"/>
                <w:sz w:val="21"/>
                <w:szCs w:val="21"/>
                <w:highlight w:val="none"/>
              </w:rPr>
              <w:t>贮存</w:t>
            </w:r>
          </w:p>
          <w:p w14:paraId="4D9CE7F9">
            <w:pPr>
              <w:pStyle w:val="224"/>
              <w:rPr>
                <w:rFonts w:eastAsia="宋体"/>
                <w:b/>
                <w:bCs w:val="0"/>
                <w:color w:val="auto"/>
                <w:sz w:val="21"/>
                <w:szCs w:val="21"/>
                <w:highlight w:val="none"/>
              </w:rPr>
            </w:pPr>
            <w:r>
              <w:rPr>
                <w:rFonts w:eastAsia="宋体"/>
                <w:b/>
                <w:bCs w:val="0"/>
                <w:color w:val="auto"/>
                <w:sz w:val="21"/>
                <w:szCs w:val="21"/>
                <w:highlight w:val="none"/>
              </w:rPr>
              <w:t>周期</w:t>
            </w:r>
          </w:p>
        </w:tc>
        <w:tc>
          <w:tcPr>
            <w:tcW w:w="472" w:type="pct"/>
            <w:noWrap w:val="0"/>
            <w:vAlign w:val="center"/>
          </w:tcPr>
          <w:p w14:paraId="2AE82AD1">
            <w:pPr>
              <w:pStyle w:val="224"/>
              <w:rPr>
                <w:rFonts w:eastAsia="宋体"/>
                <w:b/>
                <w:bCs w:val="0"/>
                <w:color w:val="auto"/>
                <w:sz w:val="21"/>
                <w:szCs w:val="21"/>
                <w:highlight w:val="none"/>
              </w:rPr>
            </w:pPr>
            <w:r>
              <w:rPr>
                <w:rFonts w:eastAsia="宋体"/>
                <w:b/>
                <w:bCs w:val="0"/>
                <w:color w:val="auto"/>
                <w:sz w:val="21"/>
                <w:szCs w:val="21"/>
                <w:highlight w:val="none"/>
              </w:rPr>
              <w:t>是否满足要求</w:t>
            </w:r>
          </w:p>
        </w:tc>
      </w:tr>
      <w:tr w14:paraId="432D9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258" w:type="pct"/>
            <w:noWrap w:val="0"/>
            <w:vAlign w:val="center"/>
          </w:tcPr>
          <w:p w14:paraId="2109E479">
            <w:pPr>
              <w:pStyle w:val="224"/>
              <w:rPr>
                <w:rFonts w:hint="eastAsia" w:eastAsia="宋体"/>
                <w:color w:val="auto"/>
                <w:sz w:val="21"/>
                <w:szCs w:val="21"/>
                <w:highlight w:val="none"/>
                <w:lang w:eastAsia="zh-CN"/>
              </w:rPr>
            </w:pPr>
            <w:r>
              <w:rPr>
                <w:rFonts w:hint="eastAsia" w:eastAsia="宋体"/>
                <w:color w:val="auto"/>
                <w:sz w:val="21"/>
                <w:szCs w:val="21"/>
                <w:highlight w:val="none"/>
                <w:lang w:val="en-US" w:eastAsia="zh-CN"/>
              </w:rPr>
              <w:t>1</w:t>
            </w:r>
          </w:p>
        </w:tc>
        <w:tc>
          <w:tcPr>
            <w:tcW w:w="503" w:type="pct"/>
            <w:vMerge w:val="restart"/>
            <w:noWrap w:val="0"/>
            <w:vAlign w:val="center"/>
          </w:tcPr>
          <w:p w14:paraId="02D4162A">
            <w:pPr>
              <w:pStyle w:val="224"/>
              <w:rPr>
                <w:rFonts w:eastAsia="宋体"/>
                <w:color w:val="auto"/>
                <w:sz w:val="21"/>
                <w:szCs w:val="21"/>
                <w:highlight w:val="none"/>
              </w:rPr>
            </w:pPr>
            <w:r>
              <w:rPr>
                <w:rFonts w:eastAsia="宋体"/>
                <w:color w:val="auto"/>
                <w:sz w:val="21"/>
                <w:szCs w:val="21"/>
                <w:highlight w:val="none"/>
              </w:rPr>
              <w:t>一般固废间</w:t>
            </w:r>
          </w:p>
        </w:tc>
        <w:tc>
          <w:tcPr>
            <w:tcW w:w="1149" w:type="dxa"/>
            <w:noWrap w:val="0"/>
            <w:vAlign w:val="center"/>
          </w:tcPr>
          <w:p w14:paraId="334680DF">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eastAsia="宋体"/>
                <w:color w:val="auto"/>
                <w:sz w:val="21"/>
                <w:szCs w:val="21"/>
                <w:highlight w:val="none"/>
              </w:rPr>
            </w:pPr>
            <w:r>
              <w:rPr>
                <w:rFonts w:hint="default" w:ascii="Times New Roman" w:hAnsi="Times New Roman" w:eastAsia="宋体" w:cs="Times New Roman"/>
                <w:b w:val="0"/>
                <w:bCs w:val="0"/>
                <w:color w:val="auto"/>
                <w:spacing w:val="0"/>
                <w:kern w:val="2"/>
                <w:sz w:val="21"/>
                <w:szCs w:val="22"/>
                <w:highlight w:val="none"/>
                <w:lang w:val="en-US" w:eastAsia="zh-CN" w:bidi="ar-SA"/>
              </w:rPr>
              <w:t>沼气除杂产生废过滤膜</w:t>
            </w:r>
          </w:p>
        </w:tc>
        <w:tc>
          <w:tcPr>
            <w:tcW w:w="1253" w:type="dxa"/>
            <w:noWrap w:val="0"/>
            <w:vAlign w:val="center"/>
          </w:tcPr>
          <w:p w14:paraId="2DB9628B">
            <w:pPr>
              <w:bidi w:val="0"/>
              <w:jc w:val="center"/>
              <w:rPr>
                <w:rFonts w:eastAsia="宋体"/>
                <w:color w:val="auto"/>
                <w:sz w:val="21"/>
                <w:szCs w:val="21"/>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393" w:type="pct"/>
            <w:noWrap w:val="0"/>
            <w:vAlign w:val="center"/>
          </w:tcPr>
          <w:p w14:paraId="5EDB297D">
            <w:pPr>
              <w:pStyle w:val="224"/>
              <w:rPr>
                <w:rFonts w:hint="eastAsia" w:eastAsia="宋体"/>
                <w:color w:val="auto"/>
                <w:sz w:val="21"/>
                <w:szCs w:val="21"/>
                <w:highlight w:val="none"/>
                <w:lang w:val="en-GB" w:eastAsia="zh-CN"/>
              </w:rPr>
            </w:pPr>
            <w:r>
              <w:rPr>
                <w:rFonts w:eastAsia="宋体"/>
                <w:color w:val="auto"/>
                <w:sz w:val="21"/>
                <w:szCs w:val="21"/>
                <w:highlight w:val="none"/>
              </w:rPr>
              <w:t>一般固废间</w:t>
            </w:r>
          </w:p>
        </w:tc>
        <w:tc>
          <w:tcPr>
            <w:tcW w:w="358" w:type="pct"/>
            <w:noWrap w:val="0"/>
            <w:vAlign w:val="center"/>
          </w:tcPr>
          <w:p w14:paraId="6A4C37B4">
            <w:pPr>
              <w:pStyle w:val="224"/>
              <w:rPr>
                <w:rFonts w:eastAsia="宋体"/>
                <w:color w:val="auto"/>
                <w:sz w:val="21"/>
                <w:szCs w:val="21"/>
                <w:highlight w:val="none"/>
              </w:rPr>
            </w:pPr>
            <w:r>
              <w:rPr>
                <w:rFonts w:eastAsia="宋体"/>
                <w:color w:val="auto"/>
                <w:sz w:val="21"/>
                <w:szCs w:val="21"/>
                <w:highlight w:val="none"/>
              </w:rPr>
              <w:t>5m</w:t>
            </w:r>
            <w:r>
              <w:rPr>
                <w:rFonts w:eastAsia="宋体"/>
                <w:color w:val="auto"/>
                <w:sz w:val="21"/>
                <w:szCs w:val="21"/>
                <w:highlight w:val="none"/>
                <w:vertAlign w:val="superscript"/>
              </w:rPr>
              <w:t>2</w:t>
            </w:r>
          </w:p>
        </w:tc>
        <w:tc>
          <w:tcPr>
            <w:tcW w:w="432" w:type="pct"/>
            <w:noWrap w:val="0"/>
            <w:vAlign w:val="center"/>
          </w:tcPr>
          <w:p w14:paraId="60AC0C9B">
            <w:pPr>
              <w:pStyle w:val="224"/>
              <w:rPr>
                <w:rFonts w:eastAsia="宋体"/>
                <w:color w:val="auto"/>
                <w:sz w:val="21"/>
                <w:szCs w:val="21"/>
                <w:highlight w:val="none"/>
              </w:rPr>
            </w:pPr>
            <w:r>
              <w:rPr>
                <w:rFonts w:hint="eastAsia" w:eastAsia="宋体"/>
                <w:color w:val="auto"/>
                <w:sz w:val="21"/>
                <w:szCs w:val="21"/>
                <w:highlight w:val="none"/>
                <w:lang w:val="en-US" w:eastAsia="zh-CN"/>
              </w:rPr>
              <w:t>袋装暂存</w:t>
            </w:r>
          </w:p>
        </w:tc>
        <w:tc>
          <w:tcPr>
            <w:tcW w:w="808" w:type="dxa"/>
            <w:noWrap w:val="0"/>
            <w:vAlign w:val="center"/>
          </w:tcPr>
          <w:p w14:paraId="472F2936">
            <w:pPr>
              <w:bidi w:val="0"/>
              <w:jc w:val="center"/>
              <w:rPr>
                <w:rFonts w:hint="default" w:eastAsia="宋体"/>
                <w:color w:val="auto"/>
                <w:sz w:val="21"/>
                <w:szCs w:val="21"/>
                <w:highlight w:val="none"/>
                <w:lang w:val="en-US"/>
              </w:rPr>
            </w:pPr>
            <w:r>
              <w:rPr>
                <w:rFonts w:hint="eastAsia"/>
                <w:color w:val="auto"/>
                <w:highlight w:val="none"/>
                <w:lang w:val="en-US" w:eastAsia="zh-CN"/>
              </w:rPr>
              <w:t>0.05</w:t>
            </w:r>
          </w:p>
        </w:tc>
        <w:tc>
          <w:tcPr>
            <w:tcW w:w="359" w:type="pct"/>
            <w:noWrap w:val="0"/>
            <w:vAlign w:val="center"/>
          </w:tcPr>
          <w:p w14:paraId="50B9F429">
            <w:pPr>
              <w:pStyle w:val="224"/>
              <w:rPr>
                <w:rFonts w:eastAsia="宋体"/>
                <w:color w:val="auto"/>
                <w:sz w:val="21"/>
                <w:szCs w:val="21"/>
                <w:highlight w:val="none"/>
              </w:rPr>
            </w:pPr>
            <w:r>
              <w:rPr>
                <w:rFonts w:hint="eastAsia" w:eastAsia="宋体"/>
                <w:color w:val="auto"/>
                <w:sz w:val="21"/>
                <w:szCs w:val="21"/>
                <w:highlight w:val="none"/>
                <w:lang w:val="en-US" w:eastAsia="zh-CN"/>
              </w:rPr>
              <w:t>5</w:t>
            </w:r>
            <w:r>
              <w:rPr>
                <w:rFonts w:eastAsia="宋体"/>
                <w:color w:val="auto"/>
                <w:sz w:val="21"/>
                <w:szCs w:val="21"/>
                <w:highlight w:val="none"/>
              </w:rPr>
              <w:t>t</w:t>
            </w:r>
          </w:p>
        </w:tc>
        <w:tc>
          <w:tcPr>
            <w:tcW w:w="367" w:type="pct"/>
            <w:noWrap w:val="0"/>
            <w:vAlign w:val="center"/>
          </w:tcPr>
          <w:p w14:paraId="4CF72B5C">
            <w:pPr>
              <w:pStyle w:val="224"/>
              <w:rPr>
                <w:rFonts w:eastAsia="宋体"/>
                <w:color w:val="auto"/>
                <w:sz w:val="21"/>
                <w:szCs w:val="21"/>
                <w:highlight w:val="none"/>
              </w:rPr>
            </w:pPr>
            <w:r>
              <w:rPr>
                <w:rFonts w:hint="eastAsia" w:eastAsia="宋体"/>
                <w:color w:val="auto"/>
                <w:sz w:val="21"/>
                <w:szCs w:val="21"/>
                <w:highlight w:val="none"/>
                <w:lang w:val="en-US" w:eastAsia="zh-CN"/>
              </w:rPr>
              <w:t>10</w:t>
            </w:r>
            <w:r>
              <w:rPr>
                <w:rFonts w:eastAsia="宋体"/>
                <w:color w:val="auto"/>
                <w:sz w:val="21"/>
                <w:szCs w:val="21"/>
                <w:highlight w:val="none"/>
              </w:rPr>
              <w:t>d</w:t>
            </w:r>
          </w:p>
        </w:tc>
        <w:tc>
          <w:tcPr>
            <w:tcW w:w="472" w:type="pct"/>
            <w:noWrap w:val="0"/>
            <w:vAlign w:val="center"/>
          </w:tcPr>
          <w:p w14:paraId="2E2D253D">
            <w:pPr>
              <w:pStyle w:val="224"/>
              <w:rPr>
                <w:rFonts w:eastAsia="宋体"/>
                <w:color w:val="auto"/>
                <w:sz w:val="21"/>
                <w:szCs w:val="21"/>
                <w:highlight w:val="none"/>
              </w:rPr>
            </w:pPr>
            <w:r>
              <w:rPr>
                <w:rFonts w:eastAsia="宋体"/>
                <w:color w:val="auto"/>
                <w:sz w:val="21"/>
                <w:szCs w:val="21"/>
                <w:highlight w:val="none"/>
              </w:rPr>
              <w:t>满足</w:t>
            </w:r>
          </w:p>
        </w:tc>
      </w:tr>
      <w:tr w14:paraId="5CBF7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258" w:type="pct"/>
            <w:noWrap w:val="0"/>
            <w:vAlign w:val="center"/>
          </w:tcPr>
          <w:p w14:paraId="30ADA39E">
            <w:pPr>
              <w:pStyle w:val="224"/>
              <w:rPr>
                <w:rFonts w:hint="eastAsia" w:eastAsia="宋体"/>
                <w:color w:val="auto"/>
                <w:sz w:val="21"/>
                <w:szCs w:val="21"/>
                <w:highlight w:val="none"/>
                <w:lang w:eastAsia="zh-CN"/>
              </w:rPr>
            </w:pPr>
            <w:r>
              <w:rPr>
                <w:rFonts w:hint="eastAsia" w:eastAsia="宋体"/>
                <w:color w:val="auto"/>
                <w:sz w:val="21"/>
                <w:szCs w:val="21"/>
                <w:highlight w:val="none"/>
                <w:lang w:val="en-US" w:eastAsia="zh-CN"/>
              </w:rPr>
              <w:t>2</w:t>
            </w:r>
          </w:p>
        </w:tc>
        <w:tc>
          <w:tcPr>
            <w:tcW w:w="503" w:type="pct"/>
            <w:vMerge w:val="continue"/>
            <w:noWrap w:val="0"/>
            <w:vAlign w:val="center"/>
          </w:tcPr>
          <w:p w14:paraId="7E9480C8">
            <w:pPr>
              <w:pStyle w:val="224"/>
              <w:rPr>
                <w:rFonts w:eastAsia="宋体"/>
                <w:color w:val="auto"/>
                <w:sz w:val="21"/>
                <w:szCs w:val="21"/>
                <w:highlight w:val="none"/>
              </w:rPr>
            </w:pPr>
          </w:p>
        </w:tc>
        <w:tc>
          <w:tcPr>
            <w:tcW w:w="1149" w:type="dxa"/>
            <w:noWrap w:val="0"/>
            <w:vAlign w:val="center"/>
          </w:tcPr>
          <w:p w14:paraId="0FAD80EF">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eastAsia="宋体"/>
                <w:color w:val="auto"/>
                <w:sz w:val="21"/>
                <w:szCs w:val="21"/>
                <w:highlight w:val="none"/>
              </w:rPr>
            </w:pPr>
            <w:r>
              <w:rPr>
                <w:rFonts w:hint="default" w:ascii="Times New Roman" w:hAnsi="Times New Roman" w:eastAsia="宋体" w:cs="Times New Roman"/>
                <w:b w:val="0"/>
                <w:bCs w:val="0"/>
                <w:color w:val="auto"/>
                <w:spacing w:val="0"/>
                <w:kern w:val="2"/>
                <w:sz w:val="21"/>
                <w:szCs w:val="22"/>
                <w:highlight w:val="none"/>
                <w:lang w:val="en-US" w:eastAsia="zh-CN" w:bidi="ar-SA"/>
              </w:rPr>
              <w:t>废滤芯、废滤膜</w:t>
            </w:r>
          </w:p>
        </w:tc>
        <w:tc>
          <w:tcPr>
            <w:tcW w:w="1253" w:type="dxa"/>
            <w:noWrap w:val="0"/>
            <w:vAlign w:val="center"/>
          </w:tcPr>
          <w:p w14:paraId="1135CDCC">
            <w:pPr>
              <w:bidi w:val="0"/>
              <w:jc w:val="center"/>
              <w:rPr>
                <w:rFonts w:eastAsia="宋体"/>
                <w:color w:val="auto"/>
                <w:sz w:val="21"/>
                <w:szCs w:val="21"/>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393" w:type="pct"/>
            <w:noWrap w:val="0"/>
            <w:vAlign w:val="center"/>
          </w:tcPr>
          <w:p w14:paraId="1C1AFAD0">
            <w:pPr>
              <w:pStyle w:val="224"/>
              <w:rPr>
                <w:rFonts w:eastAsia="宋体"/>
                <w:color w:val="auto"/>
                <w:sz w:val="21"/>
                <w:szCs w:val="21"/>
                <w:highlight w:val="none"/>
              </w:rPr>
            </w:pPr>
            <w:r>
              <w:rPr>
                <w:rFonts w:eastAsia="宋体"/>
                <w:color w:val="auto"/>
                <w:sz w:val="21"/>
                <w:szCs w:val="21"/>
                <w:highlight w:val="none"/>
              </w:rPr>
              <w:t>一般固废间</w:t>
            </w:r>
          </w:p>
        </w:tc>
        <w:tc>
          <w:tcPr>
            <w:tcW w:w="358" w:type="pct"/>
            <w:noWrap w:val="0"/>
            <w:vAlign w:val="center"/>
          </w:tcPr>
          <w:p w14:paraId="1F5DB969">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10</w:t>
            </w:r>
            <w:r>
              <w:rPr>
                <w:rFonts w:eastAsia="宋体"/>
                <w:color w:val="auto"/>
                <w:sz w:val="21"/>
                <w:szCs w:val="21"/>
                <w:highlight w:val="none"/>
              </w:rPr>
              <w:t>m</w:t>
            </w:r>
            <w:r>
              <w:rPr>
                <w:rFonts w:eastAsia="宋体"/>
                <w:color w:val="auto"/>
                <w:sz w:val="21"/>
                <w:szCs w:val="21"/>
                <w:highlight w:val="none"/>
                <w:vertAlign w:val="superscript"/>
              </w:rPr>
              <w:t>2</w:t>
            </w:r>
          </w:p>
        </w:tc>
        <w:tc>
          <w:tcPr>
            <w:tcW w:w="432" w:type="pct"/>
            <w:noWrap w:val="0"/>
            <w:vAlign w:val="center"/>
          </w:tcPr>
          <w:p w14:paraId="7CAAAA6F">
            <w:pPr>
              <w:pStyle w:val="224"/>
              <w:rPr>
                <w:rFonts w:eastAsia="宋体"/>
                <w:color w:val="auto"/>
                <w:sz w:val="21"/>
                <w:szCs w:val="21"/>
                <w:highlight w:val="none"/>
              </w:rPr>
            </w:pPr>
            <w:r>
              <w:rPr>
                <w:rFonts w:eastAsia="宋体"/>
                <w:color w:val="auto"/>
                <w:sz w:val="21"/>
                <w:szCs w:val="21"/>
                <w:highlight w:val="none"/>
              </w:rPr>
              <w:t>堆放</w:t>
            </w:r>
          </w:p>
        </w:tc>
        <w:tc>
          <w:tcPr>
            <w:tcW w:w="808" w:type="dxa"/>
            <w:noWrap w:val="0"/>
            <w:vAlign w:val="center"/>
          </w:tcPr>
          <w:p w14:paraId="6E1DFE57">
            <w:pPr>
              <w:bidi w:val="0"/>
              <w:jc w:val="center"/>
              <w:rPr>
                <w:rFonts w:hint="default" w:eastAsia="宋体"/>
                <w:color w:val="auto"/>
                <w:sz w:val="21"/>
                <w:szCs w:val="21"/>
                <w:highlight w:val="none"/>
                <w:lang w:val="en-US" w:eastAsia="zh-CN"/>
              </w:rPr>
            </w:pPr>
            <w:r>
              <w:rPr>
                <w:rFonts w:hint="eastAsia"/>
                <w:color w:val="auto"/>
                <w:highlight w:val="none"/>
                <w:lang w:val="en-US" w:eastAsia="zh-CN"/>
              </w:rPr>
              <w:t>0.5</w:t>
            </w:r>
          </w:p>
        </w:tc>
        <w:tc>
          <w:tcPr>
            <w:tcW w:w="359" w:type="pct"/>
            <w:noWrap w:val="0"/>
            <w:vAlign w:val="center"/>
          </w:tcPr>
          <w:p w14:paraId="4B49C96D">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30</w:t>
            </w:r>
          </w:p>
        </w:tc>
        <w:tc>
          <w:tcPr>
            <w:tcW w:w="367" w:type="pct"/>
            <w:noWrap w:val="0"/>
            <w:vAlign w:val="center"/>
          </w:tcPr>
          <w:p w14:paraId="47985FB3">
            <w:pPr>
              <w:pStyle w:val="224"/>
              <w:rPr>
                <w:rFonts w:eastAsia="宋体"/>
                <w:color w:val="auto"/>
                <w:sz w:val="21"/>
                <w:szCs w:val="21"/>
                <w:highlight w:val="none"/>
              </w:rPr>
            </w:pPr>
            <w:r>
              <w:rPr>
                <w:rFonts w:eastAsia="宋体"/>
                <w:color w:val="auto"/>
                <w:sz w:val="21"/>
                <w:szCs w:val="21"/>
                <w:highlight w:val="none"/>
              </w:rPr>
              <w:t>1</w:t>
            </w:r>
            <w:r>
              <w:rPr>
                <w:rFonts w:hint="eastAsia" w:eastAsia="宋体"/>
                <w:color w:val="auto"/>
                <w:sz w:val="21"/>
                <w:szCs w:val="21"/>
                <w:highlight w:val="none"/>
                <w:lang w:val="en-US" w:eastAsia="zh-CN"/>
              </w:rPr>
              <w:t>5</w:t>
            </w:r>
            <w:r>
              <w:rPr>
                <w:rFonts w:eastAsia="宋体"/>
                <w:color w:val="auto"/>
                <w:sz w:val="21"/>
                <w:szCs w:val="21"/>
                <w:highlight w:val="none"/>
              </w:rPr>
              <w:t>d</w:t>
            </w:r>
          </w:p>
        </w:tc>
        <w:tc>
          <w:tcPr>
            <w:tcW w:w="472" w:type="pct"/>
            <w:noWrap w:val="0"/>
            <w:vAlign w:val="center"/>
          </w:tcPr>
          <w:p w14:paraId="0D45A3D9">
            <w:pPr>
              <w:pStyle w:val="224"/>
              <w:rPr>
                <w:rFonts w:eastAsia="宋体"/>
                <w:color w:val="auto"/>
                <w:sz w:val="21"/>
                <w:szCs w:val="21"/>
                <w:highlight w:val="none"/>
              </w:rPr>
            </w:pPr>
            <w:r>
              <w:rPr>
                <w:rFonts w:eastAsia="宋体"/>
                <w:color w:val="auto"/>
                <w:sz w:val="21"/>
                <w:szCs w:val="21"/>
                <w:highlight w:val="none"/>
              </w:rPr>
              <w:t>满足</w:t>
            </w:r>
          </w:p>
        </w:tc>
      </w:tr>
      <w:tr w14:paraId="66CE7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258" w:type="pct"/>
            <w:noWrap w:val="0"/>
            <w:vAlign w:val="center"/>
          </w:tcPr>
          <w:p w14:paraId="5D03EBF2">
            <w:pPr>
              <w:pStyle w:val="224"/>
              <w:rPr>
                <w:rFonts w:hint="eastAsia" w:eastAsia="宋体"/>
                <w:color w:val="auto"/>
                <w:sz w:val="21"/>
                <w:szCs w:val="21"/>
                <w:highlight w:val="none"/>
                <w:lang w:eastAsia="zh-CN"/>
              </w:rPr>
            </w:pPr>
            <w:r>
              <w:rPr>
                <w:rFonts w:hint="eastAsia" w:eastAsia="宋体"/>
                <w:color w:val="auto"/>
                <w:sz w:val="21"/>
                <w:szCs w:val="21"/>
                <w:highlight w:val="none"/>
                <w:lang w:val="en-US" w:eastAsia="zh-CN"/>
              </w:rPr>
              <w:t>3</w:t>
            </w:r>
          </w:p>
        </w:tc>
        <w:tc>
          <w:tcPr>
            <w:tcW w:w="503" w:type="pct"/>
            <w:vMerge w:val="continue"/>
            <w:noWrap w:val="0"/>
            <w:vAlign w:val="center"/>
          </w:tcPr>
          <w:p w14:paraId="1209B449">
            <w:pPr>
              <w:pStyle w:val="224"/>
              <w:rPr>
                <w:rFonts w:eastAsia="宋体"/>
                <w:color w:val="auto"/>
                <w:sz w:val="21"/>
                <w:szCs w:val="21"/>
                <w:highlight w:val="none"/>
              </w:rPr>
            </w:pPr>
          </w:p>
        </w:tc>
        <w:tc>
          <w:tcPr>
            <w:tcW w:w="1149" w:type="dxa"/>
            <w:noWrap w:val="0"/>
            <w:vAlign w:val="center"/>
          </w:tcPr>
          <w:p w14:paraId="0BA1DC3F">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eastAsia="宋体"/>
                <w:color w:val="auto"/>
                <w:sz w:val="21"/>
                <w:szCs w:val="21"/>
                <w:highlight w:val="none"/>
              </w:rPr>
            </w:pPr>
            <w:r>
              <w:rPr>
                <w:rFonts w:hint="default" w:ascii="Times New Roman" w:hAnsi="Times New Roman" w:eastAsia="宋体" w:cs="Times New Roman"/>
                <w:b w:val="0"/>
                <w:bCs w:val="0"/>
                <w:color w:val="auto"/>
                <w:spacing w:val="0"/>
                <w:kern w:val="2"/>
                <w:sz w:val="21"/>
                <w:szCs w:val="22"/>
                <w:highlight w:val="none"/>
                <w:lang w:val="en-US" w:eastAsia="zh-CN" w:bidi="ar-SA"/>
              </w:rPr>
              <w:t>制氮机废过滤膜</w:t>
            </w:r>
          </w:p>
        </w:tc>
        <w:tc>
          <w:tcPr>
            <w:tcW w:w="1253" w:type="dxa"/>
            <w:noWrap w:val="0"/>
            <w:vAlign w:val="center"/>
          </w:tcPr>
          <w:p w14:paraId="555ACF27">
            <w:pPr>
              <w:bidi w:val="0"/>
              <w:jc w:val="center"/>
              <w:rPr>
                <w:rFonts w:eastAsia="宋体"/>
                <w:color w:val="auto"/>
                <w:sz w:val="21"/>
                <w:szCs w:val="21"/>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393" w:type="pct"/>
            <w:noWrap w:val="0"/>
            <w:vAlign w:val="center"/>
          </w:tcPr>
          <w:p w14:paraId="0174B8C4">
            <w:pPr>
              <w:pStyle w:val="224"/>
              <w:rPr>
                <w:rFonts w:eastAsia="宋体"/>
                <w:color w:val="auto"/>
                <w:sz w:val="21"/>
                <w:szCs w:val="21"/>
                <w:highlight w:val="none"/>
              </w:rPr>
            </w:pPr>
            <w:r>
              <w:rPr>
                <w:rFonts w:eastAsia="宋体"/>
                <w:color w:val="auto"/>
                <w:sz w:val="21"/>
                <w:szCs w:val="21"/>
                <w:highlight w:val="none"/>
              </w:rPr>
              <w:t>一般固废间</w:t>
            </w:r>
          </w:p>
        </w:tc>
        <w:tc>
          <w:tcPr>
            <w:tcW w:w="358" w:type="pct"/>
            <w:noWrap w:val="0"/>
            <w:vAlign w:val="center"/>
          </w:tcPr>
          <w:p w14:paraId="67E454D0">
            <w:pPr>
              <w:pStyle w:val="224"/>
              <w:rPr>
                <w:rFonts w:eastAsia="宋体"/>
                <w:color w:val="auto"/>
                <w:sz w:val="21"/>
                <w:szCs w:val="21"/>
                <w:highlight w:val="none"/>
              </w:rPr>
            </w:pPr>
            <w:r>
              <w:rPr>
                <w:rFonts w:hint="eastAsia" w:eastAsia="宋体"/>
                <w:color w:val="auto"/>
                <w:sz w:val="21"/>
                <w:szCs w:val="21"/>
                <w:highlight w:val="none"/>
                <w:lang w:val="en-US" w:eastAsia="zh-CN"/>
              </w:rPr>
              <w:t>2</w:t>
            </w:r>
            <w:r>
              <w:rPr>
                <w:rFonts w:eastAsia="宋体"/>
                <w:color w:val="auto"/>
                <w:sz w:val="21"/>
                <w:szCs w:val="21"/>
                <w:highlight w:val="none"/>
              </w:rPr>
              <w:t>m</w:t>
            </w:r>
            <w:r>
              <w:rPr>
                <w:rFonts w:eastAsia="宋体"/>
                <w:color w:val="auto"/>
                <w:sz w:val="21"/>
                <w:szCs w:val="21"/>
                <w:highlight w:val="none"/>
                <w:vertAlign w:val="superscript"/>
              </w:rPr>
              <w:t>2</w:t>
            </w:r>
          </w:p>
        </w:tc>
        <w:tc>
          <w:tcPr>
            <w:tcW w:w="432" w:type="pct"/>
            <w:noWrap w:val="0"/>
            <w:vAlign w:val="center"/>
          </w:tcPr>
          <w:p w14:paraId="2925FCF7">
            <w:pPr>
              <w:pStyle w:val="224"/>
              <w:rPr>
                <w:rFonts w:eastAsia="宋体"/>
                <w:color w:val="auto"/>
                <w:sz w:val="21"/>
                <w:szCs w:val="21"/>
                <w:highlight w:val="none"/>
              </w:rPr>
            </w:pPr>
            <w:r>
              <w:rPr>
                <w:rFonts w:eastAsia="宋体"/>
                <w:color w:val="auto"/>
                <w:sz w:val="21"/>
                <w:szCs w:val="21"/>
                <w:highlight w:val="none"/>
              </w:rPr>
              <w:t>桶装封存</w:t>
            </w:r>
          </w:p>
        </w:tc>
        <w:tc>
          <w:tcPr>
            <w:tcW w:w="808" w:type="dxa"/>
            <w:noWrap w:val="0"/>
            <w:vAlign w:val="center"/>
          </w:tcPr>
          <w:p w14:paraId="43EF3C3A">
            <w:pPr>
              <w:bidi w:val="0"/>
              <w:jc w:val="center"/>
              <w:rPr>
                <w:rFonts w:eastAsia="宋体"/>
                <w:color w:val="auto"/>
                <w:sz w:val="21"/>
                <w:szCs w:val="21"/>
                <w:highlight w:val="none"/>
              </w:rPr>
            </w:pPr>
            <w:r>
              <w:rPr>
                <w:rFonts w:hint="default"/>
                <w:color w:val="auto"/>
                <w:highlight w:val="none"/>
                <w:lang w:val="en-US" w:eastAsia="zh-CN"/>
              </w:rPr>
              <w:t>0.</w:t>
            </w:r>
            <w:r>
              <w:rPr>
                <w:rFonts w:hint="eastAsia"/>
                <w:color w:val="auto"/>
                <w:highlight w:val="none"/>
                <w:lang w:val="en-US" w:eastAsia="zh-CN"/>
              </w:rPr>
              <w:t>1</w:t>
            </w:r>
          </w:p>
        </w:tc>
        <w:tc>
          <w:tcPr>
            <w:tcW w:w="359" w:type="pct"/>
            <w:noWrap w:val="0"/>
            <w:vAlign w:val="center"/>
          </w:tcPr>
          <w:p w14:paraId="7C5ADF31">
            <w:pPr>
              <w:pStyle w:val="224"/>
              <w:rPr>
                <w:rFonts w:eastAsia="宋体"/>
                <w:color w:val="auto"/>
                <w:sz w:val="21"/>
                <w:szCs w:val="21"/>
                <w:highlight w:val="none"/>
              </w:rPr>
            </w:pPr>
            <w:r>
              <w:rPr>
                <w:rFonts w:hint="eastAsia" w:eastAsia="宋体"/>
                <w:color w:val="auto"/>
                <w:sz w:val="21"/>
                <w:szCs w:val="21"/>
                <w:highlight w:val="none"/>
                <w:lang w:val="en-US" w:eastAsia="zh-CN"/>
              </w:rPr>
              <w:t>1.5</w:t>
            </w:r>
            <w:r>
              <w:rPr>
                <w:rFonts w:eastAsia="宋体"/>
                <w:color w:val="auto"/>
                <w:sz w:val="21"/>
                <w:szCs w:val="21"/>
                <w:highlight w:val="none"/>
              </w:rPr>
              <w:t>t</w:t>
            </w:r>
          </w:p>
        </w:tc>
        <w:tc>
          <w:tcPr>
            <w:tcW w:w="367" w:type="pct"/>
            <w:noWrap w:val="0"/>
            <w:vAlign w:val="center"/>
          </w:tcPr>
          <w:p w14:paraId="4B6E8334">
            <w:pPr>
              <w:pStyle w:val="224"/>
              <w:rPr>
                <w:rFonts w:eastAsia="宋体"/>
                <w:color w:val="auto"/>
                <w:sz w:val="21"/>
                <w:szCs w:val="21"/>
                <w:highlight w:val="none"/>
              </w:rPr>
            </w:pPr>
            <w:r>
              <w:rPr>
                <w:rFonts w:hint="eastAsia" w:eastAsia="宋体"/>
                <w:color w:val="auto"/>
                <w:sz w:val="21"/>
                <w:szCs w:val="21"/>
                <w:highlight w:val="none"/>
                <w:lang w:val="en-US" w:eastAsia="zh-CN"/>
              </w:rPr>
              <w:t>30</w:t>
            </w:r>
            <w:r>
              <w:rPr>
                <w:rFonts w:eastAsia="宋体"/>
                <w:color w:val="auto"/>
                <w:sz w:val="21"/>
                <w:szCs w:val="21"/>
                <w:highlight w:val="none"/>
              </w:rPr>
              <w:t>d</w:t>
            </w:r>
          </w:p>
        </w:tc>
        <w:tc>
          <w:tcPr>
            <w:tcW w:w="472" w:type="pct"/>
            <w:noWrap w:val="0"/>
            <w:vAlign w:val="center"/>
          </w:tcPr>
          <w:p w14:paraId="252AD426">
            <w:pPr>
              <w:pStyle w:val="224"/>
              <w:rPr>
                <w:rFonts w:eastAsia="宋体"/>
                <w:color w:val="auto"/>
                <w:sz w:val="21"/>
                <w:szCs w:val="21"/>
                <w:highlight w:val="none"/>
              </w:rPr>
            </w:pPr>
            <w:r>
              <w:rPr>
                <w:rFonts w:eastAsia="宋体"/>
                <w:color w:val="auto"/>
                <w:sz w:val="21"/>
                <w:szCs w:val="21"/>
                <w:highlight w:val="none"/>
              </w:rPr>
              <w:t>满足</w:t>
            </w:r>
          </w:p>
        </w:tc>
      </w:tr>
      <w:tr w14:paraId="0E186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258" w:type="pct"/>
            <w:noWrap w:val="0"/>
            <w:vAlign w:val="center"/>
          </w:tcPr>
          <w:p w14:paraId="437E821B">
            <w:pPr>
              <w:pStyle w:val="224"/>
              <w:rPr>
                <w:rFonts w:hint="eastAsia" w:eastAsia="宋体"/>
                <w:color w:val="auto"/>
                <w:sz w:val="21"/>
                <w:szCs w:val="21"/>
                <w:highlight w:val="none"/>
                <w:lang w:eastAsia="zh-CN"/>
              </w:rPr>
            </w:pPr>
            <w:r>
              <w:rPr>
                <w:rFonts w:hint="eastAsia" w:eastAsia="宋体"/>
                <w:color w:val="auto"/>
                <w:sz w:val="21"/>
                <w:szCs w:val="21"/>
                <w:highlight w:val="none"/>
                <w:lang w:val="en-US" w:eastAsia="zh-CN"/>
              </w:rPr>
              <w:t>4</w:t>
            </w:r>
          </w:p>
        </w:tc>
        <w:tc>
          <w:tcPr>
            <w:tcW w:w="503" w:type="pct"/>
            <w:vMerge w:val="continue"/>
            <w:noWrap w:val="0"/>
            <w:vAlign w:val="center"/>
          </w:tcPr>
          <w:p w14:paraId="68B2BE87">
            <w:pPr>
              <w:pStyle w:val="224"/>
              <w:rPr>
                <w:rFonts w:eastAsia="宋体"/>
                <w:color w:val="auto"/>
                <w:sz w:val="21"/>
                <w:szCs w:val="21"/>
                <w:highlight w:val="none"/>
              </w:rPr>
            </w:pPr>
          </w:p>
        </w:tc>
        <w:tc>
          <w:tcPr>
            <w:tcW w:w="1149" w:type="dxa"/>
            <w:noWrap w:val="0"/>
            <w:vAlign w:val="center"/>
          </w:tcPr>
          <w:p w14:paraId="4462A8BA">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eastAsia="宋体"/>
                <w:color w:val="auto"/>
                <w:sz w:val="21"/>
                <w:szCs w:val="21"/>
                <w:highlight w:val="none"/>
              </w:rPr>
            </w:pPr>
            <w:r>
              <w:rPr>
                <w:rFonts w:hint="eastAsia" w:ascii="Times New Roman" w:hAnsi="Times New Roman" w:eastAsia="宋体" w:cs="Times New Roman"/>
                <w:b w:val="0"/>
                <w:bCs w:val="0"/>
                <w:color w:val="auto"/>
                <w:spacing w:val="0"/>
                <w:kern w:val="2"/>
                <w:sz w:val="21"/>
                <w:szCs w:val="22"/>
                <w:highlight w:val="none"/>
                <w:lang w:val="en-US" w:eastAsia="zh-CN" w:bidi="ar-SA"/>
              </w:rPr>
              <w:t>废包装桶</w:t>
            </w:r>
          </w:p>
        </w:tc>
        <w:tc>
          <w:tcPr>
            <w:tcW w:w="1253" w:type="dxa"/>
            <w:noWrap w:val="0"/>
            <w:vAlign w:val="center"/>
          </w:tcPr>
          <w:p w14:paraId="4814AB48">
            <w:pPr>
              <w:bidi w:val="0"/>
              <w:jc w:val="center"/>
              <w:rPr>
                <w:rFonts w:eastAsia="宋体"/>
                <w:color w:val="auto"/>
                <w:sz w:val="21"/>
                <w:szCs w:val="21"/>
                <w:highlight w:val="none"/>
              </w:rPr>
            </w:pPr>
            <w:r>
              <w:rPr>
                <w:rFonts w:hint="eastAsia" w:ascii="Times New Roman" w:hAnsi="Times New Roman" w:eastAsia="宋体" w:cs="Times New Roman"/>
                <w:color w:val="auto"/>
                <w:highlight w:val="none"/>
                <w:lang w:val="en-US" w:eastAsia="zh-CN"/>
              </w:rPr>
              <w:t>261</w:t>
            </w:r>
            <w:r>
              <w:rPr>
                <w:rFonts w:hint="default" w:ascii="Times New Roman" w:hAnsi="Times New Roman" w:eastAsia="宋体" w:cs="Times New Roman"/>
                <w:color w:val="auto"/>
                <w:highlight w:val="none"/>
                <w:lang w:val="en-US" w:eastAsia="zh-CN"/>
              </w:rPr>
              <w:t>-001-</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lang w:val="en-US" w:eastAsia="zh-CN"/>
              </w:rPr>
              <w:t>9</w:t>
            </w:r>
          </w:p>
        </w:tc>
        <w:tc>
          <w:tcPr>
            <w:tcW w:w="393" w:type="pct"/>
            <w:noWrap w:val="0"/>
            <w:vAlign w:val="center"/>
          </w:tcPr>
          <w:p w14:paraId="6D0B17FD">
            <w:pPr>
              <w:pStyle w:val="224"/>
              <w:rPr>
                <w:rFonts w:eastAsia="宋体"/>
                <w:color w:val="auto"/>
                <w:sz w:val="21"/>
                <w:szCs w:val="21"/>
                <w:highlight w:val="none"/>
              </w:rPr>
            </w:pPr>
            <w:r>
              <w:rPr>
                <w:rFonts w:eastAsia="宋体"/>
                <w:color w:val="auto"/>
                <w:sz w:val="21"/>
                <w:szCs w:val="21"/>
                <w:highlight w:val="none"/>
              </w:rPr>
              <w:t>一般固废间</w:t>
            </w:r>
          </w:p>
        </w:tc>
        <w:tc>
          <w:tcPr>
            <w:tcW w:w="358" w:type="pct"/>
            <w:noWrap w:val="0"/>
            <w:vAlign w:val="center"/>
          </w:tcPr>
          <w:p w14:paraId="6072FFCC">
            <w:pPr>
              <w:pStyle w:val="224"/>
              <w:rPr>
                <w:rFonts w:eastAsia="宋体"/>
                <w:color w:val="auto"/>
                <w:sz w:val="21"/>
                <w:szCs w:val="21"/>
                <w:highlight w:val="none"/>
              </w:rPr>
            </w:pPr>
            <w:r>
              <w:rPr>
                <w:rFonts w:hint="eastAsia" w:eastAsia="宋体"/>
                <w:color w:val="auto"/>
                <w:sz w:val="21"/>
                <w:szCs w:val="21"/>
                <w:highlight w:val="none"/>
                <w:lang w:val="en-US" w:eastAsia="zh-CN"/>
              </w:rPr>
              <w:t>3</w:t>
            </w:r>
            <w:r>
              <w:rPr>
                <w:rFonts w:eastAsia="宋体"/>
                <w:color w:val="auto"/>
                <w:sz w:val="21"/>
                <w:szCs w:val="21"/>
                <w:highlight w:val="none"/>
              </w:rPr>
              <w:t>m</w:t>
            </w:r>
            <w:r>
              <w:rPr>
                <w:rFonts w:eastAsia="宋体"/>
                <w:color w:val="auto"/>
                <w:sz w:val="21"/>
                <w:szCs w:val="21"/>
                <w:highlight w:val="none"/>
                <w:vertAlign w:val="superscript"/>
              </w:rPr>
              <w:t>2</w:t>
            </w:r>
          </w:p>
        </w:tc>
        <w:tc>
          <w:tcPr>
            <w:tcW w:w="432" w:type="pct"/>
            <w:noWrap w:val="0"/>
            <w:vAlign w:val="center"/>
          </w:tcPr>
          <w:p w14:paraId="3D805498">
            <w:pPr>
              <w:pStyle w:val="224"/>
              <w:rPr>
                <w:rFonts w:eastAsia="宋体"/>
                <w:color w:val="auto"/>
                <w:sz w:val="21"/>
                <w:szCs w:val="21"/>
                <w:highlight w:val="none"/>
              </w:rPr>
            </w:pPr>
            <w:r>
              <w:rPr>
                <w:rFonts w:eastAsia="宋体"/>
                <w:color w:val="auto"/>
                <w:sz w:val="21"/>
                <w:szCs w:val="21"/>
                <w:highlight w:val="none"/>
              </w:rPr>
              <w:t>桶装封存</w:t>
            </w:r>
          </w:p>
        </w:tc>
        <w:tc>
          <w:tcPr>
            <w:tcW w:w="808" w:type="dxa"/>
            <w:noWrap w:val="0"/>
            <w:vAlign w:val="center"/>
          </w:tcPr>
          <w:p w14:paraId="2A22E74F">
            <w:pPr>
              <w:bidi w:val="0"/>
              <w:jc w:val="center"/>
              <w:rPr>
                <w:rFonts w:hint="default" w:eastAsia="宋体"/>
                <w:color w:val="auto"/>
                <w:sz w:val="21"/>
                <w:szCs w:val="21"/>
                <w:highlight w:val="none"/>
                <w:lang w:val="en-US" w:eastAsia="zh-CN"/>
              </w:rPr>
            </w:pPr>
            <w:r>
              <w:rPr>
                <w:rFonts w:hint="eastAsia"/>
                <w:color w:val="auto"/>
                <w:highlight w:val="none"/>
                <w:lang w:val="en-US" w:eastAsia="zh-CN"/>
              </w:rPr>
              <w:t>0.018</w:t>
            </w:r>
          </w:p>
        </w:tc>
        <w:tc>
          <w:tcPr>
            <w:tcW w:w="359" w:type="pct"/>
            <w:noWrap w:val="0"/>
            <w:vAlign w:val="center"/>
          </w:tcPr>
          <w:p w14:paraId="0218DA48">
            <w:pPr>
              <w:pStyle w:val="224"/>
              <w:rPr>
                <w:rFonts w:eastAsia="宋体"/>
                <w:color w:val="auto"/>
                <w:sz w:val="21"/>
                <w:szCs w:val="21"/>
                <w:highlight w:val="none"/>
              </w:rPr>
            </w:pPr>
            <w:r>
              <w:rPr>
                <w:rFonts w:hint="eastAsia" w:eastAsia="宋体"/>
                <w:color w:val="auto"/>
                <w:sz w:val="21"/>
                <w:szCs w:val="21"/>
                <w:highlight w:val="none"/>
                <w:lang w:val="en-US" w:eastAsia="zh-CN"/>
              </w:rPr>
              <w:t>2</w:t>
            </w:r>
            <w:r>
              <w:rPr>
                <w:rFonts w:eastAsia="宋体"/>
                <w:color w:val="auto"/>
                <w:sz w:val="21"/>
                <w:szCs w:val="21"/>
                <w:highlight w:val="none"/>
              </w:rPr>
              <w:t>t</w:t>
            </w:r>
          </w:p>
        </w:tc>
        <w:tc>
          <w:tcPr>
            <w:tcW w:w="367" w:type="pct"/>
            <w:noWrap w:val="0"/>
            <w:vAlign w:val="center"/>
          </w:tcPr>
          <w:p w14:paraId="385D41D2">
            <w:pPr>
              <w:pStyle w:val="224"/>
              <w:rPr>
                <w:rFonts w:eastAsia="宋体"/>
                <w:color w:val="auto"/>
                <w:sz w:val="21"/>
                <w:szCs w:val="21"/>
                <w:highlight w:val="none"/>
              </w:rPr>
            </w:pPr>
            <w:r>
              <w:rPr>
                <w:rFonts w:hint="eastAsia" w:eastAsia="宋体"/>
                <w:color w:val="auto"/>
                <w:sz w:val="21"/>
                <w:szCs w:val="21"/>
                <w:highlight w:val="none"/>
                <w:lang w:val="en-US" w:eastAsia="zh-CN"/>
              </w:rPr>
              <w:t>150</w:t>
            </w:r>
            <w:r>
              <w:rPr>
                <w:rFonts w:eastAsia="宋体"/>
                <w:color w:val="auto"/>
                <w:sz w:val="21"/>
                <w:szCs w:val="21"/>
                <w:highlight w:val="none"/>
              </w:rPr>
              <w:t>d</w:t>
            </w:r>
          </w:p>
        </w:tc>
        <w:tc>
          <w:tcPr>
            <w:tcW w:w="472" w:type="pct"/>
            <w:noWrap w:val="0"/>
            <w:vAlign w:val="center"/>
          </w:tcPr>
          <w:p w14:paraId="17EDF82C">
            <w:pPr>
              <w:pStyle w:val="224"/>
              <w:rPr>
                <w:rFonts w:eastAsia="宋体"/>
                <w:color w:val="auto"/>
                <w:sz w:val="21"/>
                <w:szCs w:val="21"/>
                <w:highlight w:val="none"/>
              </w:rPr>
            </w:pPr>
            <w:r>
              <w:rPr>
                <w:rFonts w:eastAsia="宋体"/>
                <w:color w:val="auto"/>
                <w:sz w:val="21"/>
                <w:szCs w:val="21"/>
                <w:highlight w:val="none"/>
              </w:rPr>
              <w:t>满足</w:t>
            </w:r>
          </w:p>
        </w:tc>
      </w:tr>
    </w:tbl>
    <w:p w14:paraId="183E91F1">
      <w:pPr>
        <w:pStyle w:val="18"/>
        <w:keepNext w:val="0"/>
        <w:keepLines w:val="0"/>
        <w:pageBreakBefore w:val="0"/>
        <w:widowControl w:val="0"/>
        <w:numPr>
          <w:ilvl w:val="0"/>
          <w:numId w:val="0"/>
        </w:numPr>
        <w:kinsoku/>
        <w:wordWrap/>
        <w:overflowPunct/>
        <w:topLinePunct w:val="0"/>
        <w:autoSpaceDE/>
        <w:autoSpaceDN/>
        <w:bidi w:val="0"/>
        <w:adjustRightInd/>
        <w:snapToGrid/>
        <w:spacing w:after="0" w:afterLines="0" w:line="360" w:lineRule="auto"/>
        <w:ind w:left="0" w:leftChars="0" w:right="0" w:rightChars="0" w:firstLine="444"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pacing w:val="-9"/>
          <w:sz w:val="24"/>
          <w:szCs w:val="24"/>
          <w:highlight w:val="none"/>
        </w:rPr>
        <w:t>本项目</w:t>
      </w:r>
      <w:r>
        <w:rPr>
          <w:rFonts w:hint="eastAsia" w:ascii="Times New Roman" w:hAnsi="Times New Roman" w:cs="Times New Roman"/>
          <w:color w:val="auto"/>
          <w:spacing w:val="-9"/>
          <w:sz w:val="24"/>
          <w:szCs w:val="24"/>
          <w:highlight w:val="none"/>
          <w:lang w:val="en-US" w:eastAsia="zh-CN"/>
        </w:rPr>
        <w:t>于站房西侧</w:t>
      </w:r>
      <w:r>
        <w:rPr>
          <w:rFonts w:hint="default" w:ascii="Times New Roman" w:hAnsi="Times New Roman" w:cs="Times New Roman"/>
          <w:color w:val="auto"/>
          <w:spacing w:val="-9"/>
          <w:sz w:val="24"/>
          <w:szCs w:val="24"/>
          <w:highlight w:val="none"/>
          <w:lang w:eastAsia="zh-CN"/>
        </w:rPr>
        <w:t>设置一处</w:t>
      </w:r>
      <w:r>
        <w:rPr>
          <w:rFonts w:hint="default" w:ascii="Times New Roman" w:hAnsi="Times New Roman" w:cs="Times New Roman"/>
          <w:color w:val="auto"/>
          <w:spacing w:val="-4"/>
          <w:sz w:val="24"/>
          <w:szCs w:val="24"/>
          <w:highlight w:val="none"/>
        </w:rPr>
        <w:t>一般工业固体废物</w:t>
      </w:r>
      <w:r>
        <w:rPr>
          <w:rFonts w:hint="default" w:ascii="Times New Roman" w:hAnsi="Times New Roman" w:cs="Times New Roman"/>
          <w:color w:val="auto"/>
          <w:spacing w:val="-4"/>
          <w:sz w:val="24"/>
          <w:szCs w:val="24"/>
          <w:highlight w:val="none"/>
          <w:lang w:eastAsia="zh-CN"/>
        </w:rPr>
        <w:t>堆场（主要收集边角废料、废焊渣等）</w:t>
      </w:r>
      <w:r>
        <w:rPr>
          <w:rFonts w:hint="default" w:ascii="Times New Roman" w:hAnsi="Times New Roman" w:cs="Times New Roman"/>
          <w:color w:val="auto"/>
          <w:spacing w:val="-4"/>
          <w:sz w:val="24"/>
          <w:szCs w:val="24"/>
          <w:highlight w:val="none"/>
        </w:rPr>
        <w:t>，</w:t>
      </w:r>
      <w:r>
        <w:rPr>
          <w:rFonts w:hint="eastAsia" w:ascii="Times New Roman" w:hAnsi="Times New Roman" w:cs="Times New Roman"/>
          <w:color w:val="auto"/>
          <w:spacing w:val="-4"/>
          <w:sz w:val="24"/>
          <w:szCs w:val="24"/>
          <w:highlight w:val="none"/>
          <w:lang w:val="en-US" w:eastAsia="zh-CN"/>
        </w:rPr>
        <w:t>由上表5.2.4-2可知企业拟设置一般固废间满足暂存要求。</w:t>
      </w:r>
      <w:r>
        <w:rPr>
          <w:rFonts w:hint="default" w:ascii="Times New Roman" w:hAnsi="Times New Roman" w:cs="Times New Roman"/>
          <w:color w:val="auto"/>
          <w:spacing w:val="-1"/>
          <w:sz w:val="24"/>
          <w:szCs w:val="24"/>
          <w:highlight w:val="none"/>
          <w:lang w:eastAsia="zh-CN"/>
        </w:rPr>
        <w:t>本项目</w:t>
      </w:r>
      <w:r>
        <w:rPr>
          <w:rFonts w:hint="default" w:ascii="Times New Roman" w:hAnsi="Times New Roman" w:cs="Times New Roman"/>
          <w:color w:val="auto"/>
          <w:spacing w:val="-1"/>
          <w:sz w:val="24"/>
          <w:szCs w:val="24"/>
          <w:highlight w:val="none"/>
        </w:rPr>
        <w:t>一般工业固体废物</w:t>
      </w:r>
      <w:r>
        <w:rPr>
          <w:rFonts w:hint="default" w:ascii="Times New Roman" w:hAnsi="Times New Roman" w:cs="Times New Roman"/>
          <w:color w:val="auto"/>
          <w:spacing w:val="-1"/>
          <w:sz w:val="24"/>
          <w:szCs w:val="24"/>
          <w:highlight w:val="none"/>
          <w:lang w:eastAsia="zh-CN"/>
        </w:rPr>
        <w:t>集中收集，定期外售物资回收公司</w:t>
      </w:r>
      <w:r>
        <w:rPr>
          <w:rFonts w:hint="eastAsia"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lang w:eastAsia="zh-CN"/>
        </w:rPr>
        <w:t>对环境影响较小</w:t>
      </w:r>
      <w:r>
        <w:rPr>
          <w:rFonts w:hint="default" w:ascii="Times New Roman" w:hAnsi="Times New Roman" w:cs="Times New Roman"/>
          <w:color w:val="auto"/>
          <w:sz w:val="24"/>
          <w:szCs w:val="24"/>
          <w:highlight w:val="none"/>
        </w:rPr>
        <w:t>。</w:t>
      </w:r>
    </w:p>
    <w:p w14:paraId="2FEFB07F">
      <w:pPr>
        <w:keepNext w:val="0"/>
        <w:keepLines w:val="0"/>
        <w:pageBreakBefore w:val="0"/>
        <w:widowControl w:val="0"/>
        <w:kinsoku/>
        <w:wordWrap/>
        <w:overflowPunct/>
        <w:topLinePunct w:val="0"/>
        <w:autoSpaceDE/>
        <w:autoSpaceDN/>
        <w:bidi w:val="0"/>
        <w:adjustRightInd/>
        <w:snapToGrid/>
        <w:spacing w:line="360" w:lineRule="auto"/>
        <w:ind w:left="0" w:leftChars="0" w:right="0" w:firstLine="482" w:firstLineChars="20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rPr>
        <w:t>危险废物</w:t>
      </w:r>
    </w:p>
    <w:p w14:paraId="2625B0BD">
      <w:pPr>
        <w:pStyle w:val="18"/>
        <w:keepNext w:val="0"/>
        <w:keepLines w:val="0"/>
        <w:pageBreakBefore w:val="0"/>
        <w:widowControl w:val="0"/>
        <w:kinsoku/>
        <w:wordWrap/>
        <w:overflowPunct/>
        <w:topLinePunct w:val="0"/>
        <w:autoSpaceDE/>
        <w:autoSpaceDN/>
        <w:bidi w:val="0"/>
        <w:adjustRightInd/>
        <w:snapToGrid/>
        <w:spacing w:after="0" w:afterLines="0" w:line="360" w:lineRule="auto"/>
        <w:ind w:left="0" w:leftChars="0" w:right="0"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危险废物的危害除了包含一般工业固体废物的危害外，还表现在危险废物的泄漏会污染周围的环境空气、附近江河水体、土壤尤其是农田</w:t>
      </w:r>
      <w:r>
        <w:rPr>
          <w:rFonts w:hint="eastAsia"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rPr>
        <w:t>耕地等，</w:t>
      </w:r>
      <w:r>
        <w:rPr>
          <w:rFonts w:hint="eastAsia" w:ascii="Times New Roman" w:hAnsi="Times New Roman" w:cs="Times New Roman"/>
          <w:color w:val="auto"/>
          <w:spacing w:val="0"/>
          <w:sz w:val="24"/>
          <w:szCs w:val="24"/>
          <w:highlight w:val="none"/>
          <w:lang w:eastAsia="zh-CN"/>
        </w:rPr>
        <w:t>而且</w:t>
      </w:r>
      <w:r>
        <w:rPr>
          <w:rFonts w:hint="default" w:ascii="Times New Roman" w:hAnsi="Times New Roman" w:cs="Times New Roman"/>
          <w:color w:val="auto"/>
          <w:spacing w:val="0"/>
          <w:sz w:val="24"/>
          <w:szCs w:val="24"/>
          <w:highlight w:val="none"/>
        </w:rPr>
        <w:t>要消除这些</w:t>
      </w:r>
      <w:r>
        <w:rPr>
          <w:rFonts w:hint="eastAsia" w:ascii="Times New Roman" w:hAnsi="Times New Roman" w:cs="Times New Roman"/>
          <w:color w:val="auto"/>
          <w:spacing w:val="0"/>
          <w:sz w:val="24"/>
          <w:szCs w:val="24"/>
          <w:highlight w:val="none"/>
          <w:lang w:eastAsia="zh-CN"/>
        </w:rPr>
        <w:t>影响</w:t>
      </w:r>
      <w:r>
        <w:rPr>
          <w:rFonts w:hint="default" w:ascii="Times New Roman" w:hAnsi="Times New Roman" w:cs="Times New Roman"/>
          <w:color w:val="auto"/>
          <w:spacing w:val="0"/>
          <w:sz w:val="24"/>
          <w:szCs w:val="24"/>
          <w:highlight w:val="none"/>
        </w:rPr>
        <w:t>需要各级地方政府各部门的协作和合作才能完成，需要消耗大量的人力、财力；此外，有些影响很难消除，潜在较大的环境风险，对环境危害很大，同时也给周围的人群的健康和安全带来长期的危害。</w:t>
      </w:r>
    </w:p>
    <w:p w14:paraId="26D881C4">
      <w:pPr>
        <w:pStyle w:val="18"/>
        <w:keepNext w:val="0"/>
        <w:keepLines w:val="0"/>
        <w:pageBreakBefore w:val="0"/>
        <w:widowControl w:val="0"/>
        <w:kinsoku/>
        <w:wordWrap/>
        <w:overflowPunct/>
        <w:topLinePunct w:val="0"/>
        <w:autoSpaceDE/>
        <w:autoSpaceDN/>
        <w:bidi w:val="0"/>
        <w:adjustRightInd/>
        <w:snapToGrid/>
        <w:spacing w:after="0" w:afterLines="0" w:line="360" w:lineRule="auto"/>
        <w:ind w:left="0" w:leftChars="0" w:right="0"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本项目拟</w:t>
      </w:r>
      <w:r>
        <w:rPr>
          <w:rFonts w:hint="eastAsia" w:ascii="Times New Roman" w:hAnsi="Times New Roman" w:cs="Times New Roman"/>
          <w:color w:val="auto"/>
          <w:spacing w:val="0"/>
          <w:sz w:val="24"/>
          <w:szCs w:val="24"/>
          <w:highlight w:val="none"/>
          <w:lang w:val="en-US" w:eastAsia="zh-CN"/>
        </w:rPr>
        <w:t>于站房东侧</w:t>
      </w:r>
      <w:r>
        <w:rPr>
          <w:rFonts w:hint="default" w:ascii="Times New Roman" w:hAnsi="Times New Roman" w:cs="Times New Roman"/>
          <w:color w:val="auto"/>
          <w:spacing w:val="0"/>
          <w:sz w:val="24"/>
          <w:szCs w:val="24"/>
          <w:highlight w:val="none"/>
        </w:rPr>
        <w:t>新建</w:t>
      </w:r>
      <w:r>
        <w:rPr>
          <w:rFonts w:hint="default" w:ascii="Times New Roman" w:hAnsi="Times New Roman" w:cs="Times New Roman"/>
          <w:color w:val="auto"/>
          <w:spacing w:val="0"/>
          <w:sz w:val="24"/>
          <w:szCs w:val="24"/>
          <w:highlight w:val="none"/>
          <w:lang w:val="en-US" w:eastAsia="zh-CN"/>
        </w:rPr>
        <w:t>1</w:t>
      </w:r>
      <w:r>
        <w:rPr>
          <w:rFonts w:hint="default" w:ascii="Times New Roman" w:hAnsi="Times New Roman" w:cs="Times New Roman"/>
          <w:color w:val="auto"/>
          <w:spacing w:val="0"/>
          <w:sz w:val="24"/>
          <w:szCs w:val="24"/>
          <w:highlight w:val="none"/>
        </w:rPr>
        <w:t>间危险废物</w:t>
      </w:r>
      <w:r>
        <w:rPr>
          <w:rFonts w:hint="eastAsia" w:ascii="Times New Roman" w:hAnsi="Times New Roman" w:cs="Times New Roman"/>
          <w:color w:val="auto"/>
          <w:spacing w:val="0"/>
          <w:sz w:val="24"/>
          <w:szCs w:val="24"/>
          <w:highlight w:val="none"/>
          <w:lang w:val="en-US" w:eastAsia="zh-CN"/>
        </w:rPr>
        <w:t>暂存</w:t>
      </w:r>
      <w:r>
        <w:rPr>
          <w:rFonts w:hint="default" w:ascii="Times New Roman" w:hAnsi="Times New Roman" w:cs="Times New Roman"/>
          <w:color w:val="auto"/>
          <w:spacing w:val="0"/>
          <w:sz w:val="24"/>
          <w:szCs w:val="24"/>
          <w:highlight w:val="none"/>
        </w:rPr>
        <w:t>间，建筑面积约</w:t>
      </w:r>
      <w:r>
        <w:rPr>
          <w:rFonts w:hint="eastAsia" w:ascii="Times New Roman" w:hAnsi="Times New Roman" w:cs="Times New Roman"/>
          <w:color w:val="auto"/>
          <w:spacing w:val="0"/>
          <w:sz w:val="24"/>
          <w:szCs w:val="24"/>
          <w:highlight w:val="none"/>
          <w:lang w:val="en-US" w:eastAsia="zh-CN"/>
        </w:rPr>
        <w:t>20</w:t>
      </w:r>
      <w:r>
        <w:rPr>
          <w:rFonts w:hint="default" w:ascii="Times New Roman" w:hAnsi="Times New Roman" w:eastAsia="Times New Roman"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lang w:val="en-US" w:eastAsia="zh-CN"/>
        </w:rPr>
        <w:t>2</w:t>
      </w:r>
      <w:r>
        <w:rPr>
          <w:rFonts w:hint="default" w:ascii="Times New Roman" w:hAnsi="Times New Roman" w:cs="Times New Roman"/>
          <w:color w:val="auto"/>
          <w:spacing w:val="0"/>
          <w:sz w:val="24"/>
          <w:szCs w:val="24"/>
          <w:highlight w:val="none"/>
        </w:rPr>
        <w:t>，用于收集贮存项目运营产生的危险废物。项目</w:t>
      </w:r>
      <w:r>
        <w:rPr>
          <w:rFonts w:hint="default" w:ascii="Times New Roman" w:hAnsi="Times New Roman" w:cs="Times New Roman"/>
          <w:color w:val="auto"/>
          <w:spacing w:val="0"/>
          <w:sz w:val="24"/>
          <w:szCs w:val="24"/>
          <w:highlight w:val="none"/>
          <w:lang w:eastAsia="zh-CN"/>
        </w:rPr>
        <w:t>各类</w:t>
      </w:r>
      <w:r>
        <w:rPr>
          <w:rFonts w:hint="default" w:ascii="Times New Roman" w:hAnsi="Times New Roman" w:cs="Times New Roman"/>
          <w:color w:val="auto"/>
          <w:spacing w:val="0"/>
          <w:sz w:val="24"/>
          <w:szCs w:val="24"/>
          <w:highlight w:val="none"/>
        </w:rPr>
        <w:t>危险废物分类、密闭袋装</w:t>
      </w:r>
      <w:r>
        <w:rPr>
          <w:rFonts w:hint="default" w:ascii="Times New Roman" w:hAnsi="Times New Roman" w:eastAsia="Times New Roman" w:cs="Times New Roman"/>
          <w:color w:val="auto"/>
          <w:spacing w:val="0"/>
          <w:sz w:val="24"/>
          <w:szCs w:val="24"/>
          <w:highlight w:val="none"/>
        </w:rPr>
        <w:t>/</w:t>
      </w:r>
      <w:r>
        <w:rPr>
          <w:rFonts w:hint="default" w:ascii="Times New Roman" w:hAnsi="Times New Roman" w:cs="Times New Roman"/>
          <w:color w:val="auto"/>
          <w:spacing w:val="0"/>
          <w:sz w:val="24"/>
          <w:szCs w:val="24"/>
          <w:highlight w:val="none"/>
        </w:rPr>
        <w:t>桶装收集，储存于危废贮存间，定期委托资质单位进行处理。</w:t>
      </w:r>
    </w:p>
    <w:p w14:paraId="69C8B1A5">
      <w:pPr>
        <w:pStyle w:val="5"/>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b/>
          <w:bCs/>
          <w:color w:val="auto"/>
          <w:highlight w:val="none"/>
          <w:lang w:val="zh-CN"/>
        </w:rPr>
      </w:pPr>
      <w:r>
        <w:rPr>
          <w:rFonts w:hint="eastAsia"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lang w:val="zh-CN"/>
        </w:rPr>
        <w:t>.2.</w:t>
      </w:r>
      <w:r>
        <w:rPr>
          <w:rFonts w:hint="eastAsia"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val="zh-CN"/>
        </w:rPr>
        <w:t>.</w:t>
      </w:r>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lang w:val="zh-CN"/>
        </w:rPr>
        <w:t>危险废物暂存、运输与处置要求</w:t>
      </w:r>
    </w:p>
    <w:p w14:paraId="22FDE6D0">
      <w:pPr>
        <w:pageBreakBefore w:val="0"/>
        <w:widowControl w:val="0"/>
        <w:kinsoku/>
        <w:wordWrap/>
        <w:overflowPunct/>
        <w:topLinePunct w:val="0"/>
        <w:autoSpaceDE/>
        <w:autoSpaceDN/>
        <w:bidi w:val="0"/>
        <w:adjustRightInd/>
        <w:snapToGrid/>
        <w:spacing w:line="360" w:lineRule="auto"/>
        <w:ind w:firstLine="482"/>
        <w:jc w:val="left"/>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（1）危险废物暂存间选址</w:t>
      </w:r>
    </w:p>
    <w:p w14:paraId="05347AE3">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危险废物贮存场所选址应满足以下要求：</w:t>
      </w:r>
    </w:p>
    <w:p w14:paraId="1FFF5357">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①根据《危险废物收集、贮存、运输技术规范》（</w:t>
      </w:r>
      <w:r>
        <w:rPr>
          <w:rFonts w:ascii="Times New Roman" w:eastAsia="宋体" w:cs="Times New Roman"/>
          <w:b w:val="0"/>
          <w:bCs/>
          <w:color w:val="auto"/>
          <w:kern w:val="2"/>
          <w:highlight w:val="none"/>
        </w:rPr>
        <w:t>HJ2025-2012）及《危险废物贮</w:t>
      </w:r>
      <w:r>
        <w:rPr>
          <w:rFonts w:hint="eastAsia" w:ascii="Times New Roman" w:eastAsia="宋体" w:cs="Times New Roman"/>
          <w:b w:val="0"/>
          <w:bCs/>
          <w:color w:val="auto"/>
          <w:kern w:val="2"/>
          <w:highlight w:val="none"/>
        </w:rPr>
        <w:t>存污染控制标准》（</w:t>
      </w:r>
      <w:r>
        <w:rPr>
          <w:rFonts w:ascii="Times New Roman" w:eastAsia="宋体" w:cs="Times New Roman"/>
          <w:b w:val="0"/>
          <w:bCs/>
          <w:color w:val="auto"/>
          <w:kern w:val="2"/>
          <w:highlight w:val="none"/>
        </w:rPr>
        <w:t>GB18597-2023）中，选址地质结构稳定，地震烈度不超过7度；</w:t>
      </w:r>
    </w:p>
    <w:p w14:paraId="19684DEA">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②设施底部必须高于地下水最高位。</w:t>
      </w:r>
    </w:p>
    <w:p w14:paraId="7FAB7FF4">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③应在易燃、易爆等危险品仓库、高压输电线路防护区域以外。</w:t>
      </w:r>
    </w:p>
    <w:p w14:paraId="7AA42AB1">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④应位于居民中心区常年最大风频的下风向。</w:t>
      </w:r>
    </w:p>
    <w:p w14:paraId="680848D8">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⑤应避免建在溶洞区或易遭受严重自然灾害如洪水、滑坡，泥石流、潮汐等影响的地区。</w:t>
      </w:r>
    </w:p>
    <w:p w14:paraId="158C8B4B">
      <w:pPr>
        <w:adjustRightInd w:val="0"/>
        <w:snapToGrid w:val="0"/>
        <w:spacing w:line="360" w:lineRule="auto"/>
        <w:ind w:firstLine="482"/>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本项目拟建</w:t>
      </w:r>
      <w:r>
        <w:rPr>
          <w:rFonts w:hint="default" w:ascii="Times New Roman" w:hAnsi="Times New Roman" w:eastAsia="宋体" w:cs="Times New Roman"/>
          <w:color w:val="auto"/>
          <w:sz w:val="24"/>
          <w:szCs w:val="24"/>
          <w:highlight w:val="none"/>
          <w:lang w:val="en-US" w:eastAsia="zh-CN"/>
        </w:rPr>
        <w:t>1处</w:t>
      </w:r>
      <w:r>
        <w:rPr>
          <w:rFonts w:hint="default" w:ascii="Times New Roman" w:hAnsi="Times New Roman" w:eastAsia="宋体" w:cs="Times New Roman"/>
          <w:color w:val="auto"/>
          <w:sz w:val="24"/>
          <w:szCs w:val="24"/>
          <w:highlight w:val="none"/>
          <w:lang w:eastAsia="zh-CN"/>
        </w:rPr>
        <w:t>危险废物暂存间，布设在</w:t>
      </w:r>
      <w:r>
        <w:rPr>
          <w:rFonts w:hint="eastAsia" w:ascii="Times New Roman" w:hAnsi="Times New Roman" w:eastAsia="宋体" w:cs="Times New Roman"/>
          <w:color w:val="auto"/>
          <w:sz w:val="24"/>
          <w:szCs w:val="24"/>
          <w:highlight w:val="none"/>
          <w:lang w:val="en-US" w:eastAsia="zh-CN"/>
        </w:rPr>
        <w:t>站内站房西侧</w:t>
      </w:r>
      <w:r>
        <w:rPr>
          <w:rFonts w:hint="default" w:ascii="Times New Roman" w:hAnsi="Times New Roman" w:eastAsia="宋体" w:cs="Times New Roman"/>
          <w:color w:val="auto"/>
          <w:sz w:val="24"/>
          <w:szCs w:val="24"/>
          <w:highlight w:val="none"/>
          <w:lang w:eastAsia="zh-CN"/>
        </w:rPr>
        <w:t>，占地面积为</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rPr>
        <w:t>，周边无高压电线等；区域地质结构稳定；</w:t>
      </w:r>
      <w:r>
        <w:rPr>
          <w:rFonts w:hint="default" w:ascii="Times New Roman" w:hAnsi="Times New Roman" w:eastAsia="宋体" w:cs="Times New Roman"/>
          <w:color w:val="auto"/>
          <w:sz w:val="24"/>
          <w:szCs w:val="24"/>
          <w:highlight w:val="none"/>
          <w:lang w:eastAsia="zh-CN"/>
        </w:rPr>
        <w:t>危废库独立设置，选址远离办公宿舍</w:t>
      </w:r>
      <w:r>
        <w:rPr>
          <w:rFonts w:hint="default" w:ascii="Times New Roman" w:hAnsi="Times New Roman" w:eastAsia="宋体" w:cs="Times New Roman"/>
          <w:color w:val="auto"/>
          <w:sz w:val="24"/>
          <w:szCs w:val="24"/>
          <w:highlight w:val="none"/>
          <w:lang w:val="en-US" w:eastAsia="zh-CN"/>
        </w:rPr>
        <w:t>区</w:t>
      </w:r>
      <w:r>
        <w:rPr>
          <w:rFonts w:hint="default" w:ascii="Times New Roman" w:hAnsi="Times New Roman" w:eastAsia="宋体" w:cs="Times New Roman"/>
          <w:color w:val="auto"/>
          <w:sz w:val="24"/>
          <w:szCs w:val="24"/>
          <w:highlight w:val="none"/>
        </w:rPr>
        <w:t>。库房应满足</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六</w:t>
      </w:r>
      <w:r>
        <w:rPr>
          <w:rFonts w:hint="default" w:ascii="Times New Roman" w:hAnsi="Times New Roman" w:eastAsia="宋体" w:cs="Times New Roman"/>
          <w:color w:val="auto"/>
          <w:sz w:val="24"/>
          <w:szCs w:val="24"/>
          <w:highlight w:val="none"/>
        </w:rPr>
        <w:t>防</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的要求：防风、防晒、防雨、防漏、防渗、防腐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危废暂存库采用2mm以上高密度聚乙烯材料或其他人工材料防渗，确保防渗系数≤10</w:t>
      </w:r>
      <w:r>
        <w:rPr>
          <w:rFonts w:hint="default" w:ascii="Times New Roman" w:hAnsi="Times New Roman" w:eastAsia="宋体" w:cs="Times New Roman"/>
          <w:color w:val="auto"/>
          <w:sz w:val="24"/>
          <w:szCs w:val="24"/>
          <w:highlight w:val="none"/>
          <w:vertAlign w:val="superscript"/>
        </w:rPr>
        <w:t>-10</w:t>
      </w:r>
      <w:r>
        <w:rPr>
          <w:rFonts w:hint="default" w:ascii="Times New Roman" w:hAnsi="Times New Roman" w:eastAsia="宋体" w:cs="Times New Roman"/>
          <w:color w:val="auto"/>
          <w:sz w:val="24"/>
          <w:szCs w:val="24"/>
          <w:highlight w:val="none"/>
        </w:rPr>
        <w:t>cm/s。</w:t>
      </w:r>
      <w:r>
        <w:rPr>
          <w:rFonts w:hint="default" w:ascii="Times New Roman" w:hAnsi="Times New Roman" w:eastAsia="宋体" w:cs="Times New Roman"/>
          <w:color w:val="auto"/>
          <w:kern w:val="2"/>
          <w:sz w:val="24"/>
          <w:szCs w:val="24"/>
          <w:highlight w:val="none"/>
        </w:rPr>
        <w:t>选址符合《危险废物贮存污染控制标准》（GB18597-2023）中危险废物集中贮存设施的选址的要求。</w:t>
      </w:r>
    </w:p>
    <w:p w14:paraId="28328ECF">
      <w:pPr>
        <w:adjustRightInd w:val="0"/>
        <w:snapToGrid w:val="0"/>
        <w:spacing w:line="360" w:lineRule="auto"/>
        <w:ind w:firstLine="482"/>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（2）危险废物暂存间容量分析</w:t>
      </w:r>
    </w:p>
    <w:p w14:paraId="279C98C7">
      <w:pPr>
        <w:pStyle w:val="100"/>
        <w:spacing w:line="360" w:lineRule="auto"/>
        <w:ind w:firstLine="480" w:firstLineChars="200"/>
        <w:jc w:val="both"/>
        <w:rPr>
          <w:rFonts w:hint="eastAsia" w:ascii="Times New Roman" w:eastAsia="宋体" w:cs="Times New Roman"/>
          <w:b w:val="0"/>
          <w:bCs/>
          <w:color w:val="auto"/>
          <w:kern w:val="2"/>
          <w:highlight w:val="none"/>
          <w:lang w:val="en-US" w:eastAsia="zh-CN"/>
        </w:rPr>
      </w:pPr>
      <w:r>
        <w:rPr>
          <w:rFonts w:hint="eastAsia" w:ascii="Times New Roman" w:eastAsia="宋体" w:cs="Times New Roman"/>
          <w:b w:val="0"/>
          <w:bCs/>
          <w:color w:val="auto"/>
          <w:kern w:val="2"/>
          <w:highlight w:val="none"/>
        </w:rPr>
        <w:t>危险废物贮存设施</w:t>
      </w:r>
      <w:r>
        <w:rPr>
          <w:rFonts w:hint="eastAsia" w:ascii="Times New Roman" w:eastAsia="宋体" w:cs="Times New Roman"/>
          <w:b w:val="0"/>
          <w:bCs/>
          <w:color w:val="auto"/>
          <w:kern w:val="2"/>
          <w:highlight w:val="none"/>
          <w:lang w:val="en-US" w:eastAsia="zh-CN"/>
        </w:rPr>
        <w:t>设计原则为：</w:t>
      </w:r>
    </w:p>
    <w:p w14:paraId="3EA76F2E">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①地面与裙脚要用坚固、防渗的材料建造，建筑材料必须与危险废物相容。</w:t>
      </w:r>
    </w:p>
    <w:p w14:paraId="6626CAFD">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②必须有泄漏液体收集装置、气体导出口及气体净化装置。</w:t>
      </w:r>
    </w:p>
    <w:p w14:paraId="2EF0CDA2">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③设施内要有安全照明设施和观察窗口。</w:t>
      </w:r>
    </w:p>
    <w:p w14:paraId="5EBEFB55">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④用以存放装载液体、半固体危险废物容器的地方，必须有耐腐蚀的硬化地面，且表面无裂隙。</w:t>
      </w:r>
    </w:p>
    <w:p w14:paraId="6E12A710">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⑤应设计堵截泄漏的裙脚，地面与裙脚所围建的容积不低于堵截最大容器的最大储量或总储量的五分之一。</w:t>
      </w:r>
    </w:p>
    <w:p w14:paraId="3BB7B7BE">
      <w:pPr>
        <w:pStyle w:val="100"/>
        <w:spacing w:line="360" w:lineRule="auto"/>
        <w:ind w:firstLine="480" w:firstLineChars="200"/>
        <w:jc w:val="both"/>
        <w:rPr>
          <w:rFonts w:ascii="Times New Roman" w:eastAsia="宋体" w:cs="Times New Roman"/>
          <w:b w:val="0"/>
          <w:bCs/>
          <w:color w:val="auto"/>
          <w:kern w:val="2"/>
          <w:highlight w:val="none"/>
        </w:rPr>
      </w:pPr>
      <w:r>
        <w:rPr>
          <w:rFonts w:hint="eastAsia" w:ascii="Times New Roman" w:eastAsia="宋体" w:cs="Times New Roman"/>
          <w:b w:val="0"/>
          <w:bCs/>
          <w:color w:val="auto"/>
          <w:kern w:val="2"/>
          <w:highlight w:val="none"/>
        </w:rPr>
        <w:t>⑥不相容的危险废物必须分开存放，并设有隔离间隔断。</w:t>
      </w:r>
    </w:p>
    <w:p w14:paraId="5D637A00">
      <w:pPr>
        <w:pStyle w:val="283"/>
        <w:keepNext w:val="0"/>
        <w:keepLines w:val="0"/>
        <w:pageBreakBefore w:val="0"/>
        <w:widowControl w:val="0"/>
        <w:kinsoku/>
        <w:wordWrap/>
        <w:overflowPunct/>
        <w:topLinePunct w:val="0"/>
        <w:autoSpaceDE/>
        <w:autoSpaceDN/>
        <w:bidi w:val="0"/>
        <w:adjustRightInd/>
        <w:snapToGrid/>
        <w:spacing w:beforeLines="0"/>
        <w:textAlignment w:val="auto"/>
        <w:rPr>
          <w:rFonts w:hint="default"/>
          <w:color w:val="auto"/>
          <w:highlight w:val="none"/>
        </w:rPr>
      </w:pPr>
      <w:r>
        <w:rPr>
          <w:rFonts w:ascii="Times New Roman" w:hAnsi="Times New Roman" w:eastAsia="宋体" w:cs="Times New Roman"/>
          <w:b/>
          <w:color w:val="auto"/>
          <w:spacing w:val="0"/>
          <w:kern w:val="0"/>
          <w:sz w:val="24"/>
          <w:szCs w:val="24"/>
          <w:highlight w:val="none"/>
          <w:lang w:val="en-US" w:eastAsia="zh-CN" w:bidi="ar-SA"/>
        </w:rPr>
        <w:t>表</w:t>
      </w:r>
      <w:r>
        <w:rPr>
          <w:rFonts w:hint="eastAsia" w:ascii="Times New Roman" w:hAnsi="Times New Roman" w:eastAsia="宋体" w:cs="Times New Roman"/>
          <w:b/>
          <w:color w:val="auto"/>
          <w:spacing w:val="0"/>
          <w:kern w:val="0"/>
          <w:sz w:val="24"/>
          <w:szCs w:val="24"/>
          <w:highlight w:val="none"/>
          <w:lang w:val="en-US" w:eastAsia="zh-CN" w:bidi="ar-SA"/>
        </w:rPr>
        <w:t xml:space="preserve">5.2.4-3  </w:t>
      </w:r>
      <w:r>
        <w:rPr>
          <w:rFonts w:ascii="Times New Roman" w:hAnsi="Times New Roman" w:eastAsia="宋体" w:cs="Times New Roman"/>
          <w:b/>
          <w:color w:val="auto"/>
          <w:spacing w:val="0"/>
          <w:kern w:val="0"/>
          <w:sz w:val="24"/>
          <w:szCs w:val="24"/>
          <w:highlight w:val="none"/>
          <w:lang w:val="en-US" w:eastAsia="zh-CN" w:bidi="ar-SA"/>
        </w:rPr>
        <w:t>危险废物贮存能力分析表</w:t>
      </w:r>
    </w:p>
    <w:tbl>
      <w:tblPr>
        <w:tblStyle w:val="49"/>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3" w:type="dxa"/>
          <w:bottom w:w="0" w:type="dxa"/>
          <w:right w:w="23" w:type="dxa"/>
        </w:tblCellMar>
      </w:tblPr>
      <w:tblGrid>
        <w:gridCol w:w="286"/>
        <w:gridCol w:w="625"/>
        <w:gridCol w:w="886"/>
        <w:gridCol w:w="772"/>
        <w:gridCol w:w="1230"/>
        <w:gridCol w:w="643"/>
        <w:gridCol w:w="585"/>
        <w:gridCol w:w="705"/>
        <w:gridCol w:w="795"/>
        <w:gridCol w:w="607"/>
        <w:gridCol w:w="622"/>
        <w:gridCol w:w="588"/>
      </w:tblGrid>
      <w:tr w14:paraId="477B7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72" w:type="pct"/>
            <w:noWrap w:val="0"/>
            <w:vAlign w:val="center"/>
          </w:tcPr>
          <w:p w14:paraId="0B68FD24">
            <w:pPr>
              <w:pStyle w:val="224"/>
              <w:rPr>
                <w:rFonts w:eastAsia="宋体"/>
                <w:b/>
                <w:bCs w:val="0"/>
                <w:color w:val="auto"/>
                <w:sz w:val="21"/>
                <w:szCs w:val="21"/>
                <w:highlight w:val="none"/>
              </w:rPr>
            </w:pPr>
            <w:r>
              <w:rPr>
                <w:rFonts w:eastAsia="宋体"/>
                <w:b/>
                <w:bCs w:val="0"/>
                <w:color w:val="auto"/>
                <w:sz w:val="21"/>
                <w:szCs w:val="21"/>
                <w:highlight w:val="none"/>
              </w:rPr>
              <w:t>序号</w:t>
            </w:r>
          </w:p>
        </w:tc>
        <w:tc>
          <w:tcPr>
            <w:tcW w:w="374" w:type="pct"/>
            <w:noWrap w:val="0"/>
            <w:vAlign w:val="center"/>
          </w:tcPr>
          <w:p w14:paraId="62B96497">
            <w:pPr>
              <w:pStyle w:val="224"/>
              <w:rPr>
                <w:rFonts w:eastAsia="宋体"/>
                <w:b/>
                <w:bCs w:val="0"/>
                <w:color w:val="auto"/>
                <w:sz w:val="21"/>
                <w:szCs w:val="21"/>
                <w:highlight w:val="none"/>
              </w:rPr>
            </w:pPr>
            <w:r>
              <w:rPr>
                <w:rFonts w:eastAsia="宋体"/>
                <w:b/>
                <w:bCs w:val="0"/>
                <w:color w:val="auto"/>
                <w:sz w:val="21"/>
                <w:szCs w:val="21"/>
                <w:highlight w:val="none"/>
              </w:rPr>
              <w:t>贮存场所名称</w:t>
            </w:r>
          </w:p>
        </w:tc>
        <w:tc>
          <w:tcPr>
            <w:tcW w:w="530" w:type="pct"/>
            <w:noWrap w:val="0"/>
            <w:vAlign w:val="center"/>
          </w:tcPr>
          <w:p w14:paraId="58A5D1BC">
            <w:pPr>
              <w:pStyle w:val="224"/>
              <w:rPr>
                <w:rFonts w:eastAsia="宋体"/>
                <w:b/>
                <w:bCs w:val="0"/>
                <w:color w:val="auto"/>
                <w:sz w:val="21"/>
                <w:szCs w:val="21"/>
                <w:highlight w:val="none"/>
              </w:rPr>
            </w:pPr>
            <w:r>
              <w:rPr>
                <w:rFonts w:eastAsia="宋体"/>
                <w:b/>
                <w:bCs w:val="0"/>
                <w:color w:val="auto"/>
                <w:sz w:val="21"/>
                <w:szCs w:val="21"/>
                <w:highlight w:val="none"/>
              </w:rPr>
              <w:t>危险废物名称</w:t>
            </w:r>
          </w:p>
        </w:tc>
        <w:tc>
          <w:tcPr>
            <w:tcW w:w="462" w:type="pct"/>
            <w:noWrap w:val="0"/>
            <w:vAlign w:val="center"/>
          </w:tcPr>
          <w:p w14:paraId="05CDCCBE">
            <w:pPr>
              <w:pStyle w:val="224"/>
              <w:rPr>
                <w:rFonts w:eastAsia="宋体"/>
                <w:b/>
                <w:bCs w:val="0"/>
                <w:color w:val="auto"/>
                <w:sz w:val="21"/>
                <w:szCs w:val="21"/>
                <w:highlight w:val="none"/>
              </w:rPr>
            </w:pPr>
            <w:r>
              <w:rPr>
                <w:rFonts w:eastAsia="宋体"/>
                <w:b/>
                <w:bCs w:val="0"/>
                <w:color w:val="auto"/>
                <w:sz w:val="21"/>
                <w:szCs w:val="21"/>
                <w:highlight w:val="none"/>
              </w:rPr>
              <w:t>危险废物类别</w:t>
            </w:r>
          </w:p>
        </w:tc>
        <w:tc>
          <w:tcPr>
            <w:tcW w:w="736" w:type="pct"/>
            <w:noWrap w:val="0"/>
            <w:vAlign w:val="center"/>
          </w:tcPr>
          <w:p w14:paraId="5EB9BA10">
            <w:pPr>
              <w:pStyle w:val="224"/>
              <w:rPr>
                <w:rFonts w:eastAsia="宋体"/>
                <w:b/>
                <w:bCs w:val="0"/>
                <w:color w:val="auto"/>
                <w:sz w:val="21"/>
                <w:szCs w:val="21"/>
                <w:highlight w:val="none"/>
              </w:rPr>
            </w:pPr>
            <w:r>
              <w:rPr>
                <w:rFonts w:eastAsia="宋体"/>
                <w:b/>
                <w:bCs w:val="0"/>
                <w:color w:val="auto"/>
                <w:sz w:val="21"/>
                <w:szCs w:val="21"/>
                <w:highlight w:val="none"/>
              </w:rPr>
              <w:t>危险废物代码</w:t>
            </w:r>
          </w:p>
        </w:tc>
        <w:tc>
          <w:tcPr>
            <w:tcW w:w="385" w:type="pct"/>
            <w:noWrap w:val="0"/>
            <w:vAlign w:val="center"/>
          </w:tcPr>
          <w:p w14:paraId="172555E5">
            <w:pPr>
              <w:pStyle w:val="224"/>
              <w:rPr>
                <w:rFonts w:eastAsia="宋体"/>
                <w:b/>
                <w:bCs w:val="0"/>
                <w:color w:val="auto"/>
                <w:sz w:val="21"/>
                <w:szCs w:val="21"/>
                <w:highlight w:val="none"/>
              </w:rPr>
            </w:pPr>
            <w:r>
              <w:rPr>
                <w:rFonts w:eastAsia="宋体"/>
                <w:b/>
                <w:bCs w:val="0"/>
                <w:color w:val="auto"/>
                <w:sz w:val="21"/>
                <w:szCs w:val="21"/>
                <w:highlight w:val="none"/>
              </w:rPr>
              <w:t>位置</w:t>
            </w:r>
          </w:p>
        </w:tc>
        <w:tc>
          <w:tcPr>
            <w:tcW w:w="350" w:type="pct"/>
            <w:noWrap w:val="0"/>
            <w:vAlign w:val="center"/>
          </w:tcPr>
          <w:p w14:paraId="0B9793A9">
            <w:pPr>
              <w:pStyle w:val="224"/>
              <w:rPr>
                <w:rFonts w:eastAsia="宋体"/>
                <w:b/>
                <w:bCs w:val="0"/>
                <w:color w:val="auto"/>
                <w:sz w:val="21"/>
                <w:szCs w:val="21"/>
                <w:highlight w:val="none"/>
              </w:rPr>
            </w:pPr>
            <w:r>
              <w:rPr>
                <w:rFonts w:eastAsia="宋体"/>
                <w:b/>
                <w:bCs w:val="0"/>
                <w:color w:val="auto"/>
                <w:sz w:val="21"/>
                <w:szCs w:val="21"/>
                <w:highlight w:val="none"/>
              </w:rPr>
              <w:t>占地面积</w:t>
            </w:r>
          </w:p>
        </w:tc>
        <w:tc>
          <w:tcPr>
            <w:tcW w:w="422" w:type="pct"/>
            <w:noWrap w:val="0"/>
            <w:vAlign w:val="center"/>
          </w:tcPr>
          <w:p w14:paraId="11D5C339">
            <w:pPr>
              <w:pStyle w:val="224"/>
              <w:rPr>
                <w:rFonts w:eastAsia="宋体"/>
                <w:b/>
                <w:bCs w:val="0"/>
                <w:color w:val="auto"/>
                <w:sz w:val="21"/>
                <w:szCs w:val="21"/>
                <w:highlight w:val="none"/>
              </w:rPr>
            </w:pPr>
            <w:r>
              <w:rPr>
                <w:rFonts w:eastAsia="宋体"/>
                <w:b/>
                <w:bCs w:val="0"/>
                <w:color w:val="auto"/>
                <w:sz w:val="21"/>
                <w:szCs w:val="21"/>
                <w:highlight w:val="none"/>
              </w:rPr>
              <w:t>贮存方式</w:t>
            </w:r>
          </w:p>
        </w:tc>
        <w:tc>
          <w:tcPr>
            <w:tcW w:w="476" w:type="pct"/>
            <w:noWrap w:val="0"/>
            <w:vAlign w:val="center"/>
          </w:tcPr>
          <w:p w14:paraId="0C18850A">
            <w:pPr>
              <w:pStyle w:val="224"/>
              <w:rPr>
                <w:rFonts w:eastAsia="宋体"/>
                <w:b/>
                <w:bCs w:val="0"/>
                <w:color w:val="auto"/>
                <w:sz w:val="21"/>
                <w:szCs w:val="21"/>
                <w:highlight w:val="none"/>
              </w:rPr>
            </w:pPr>
            <w:r>
              <w:rPr>
                <w:rFonts w:eastAsia="宋体"/>
                <w:b/>
                <w:bCs w:val="0"/>
                <w:color w:val="auto"/>
                <w:sz w:val="21"/>
                <w:szCs w:val="21"/>
                <w:highlight w:val="none"/>
              </w:rPr>
              <w:t>产生量（t/a）</w:t>
            </w:r>
          </w:p>
        </w:tc>
        <w:tc>
          <w:tcPr>
            <w:tcW w:w="363" w:type="pct"/>
            <w:noWrap w:val="0"/>
            <w:vAlign w:val="center"/>
          </w:tcPr>
          <w:p w14:paraId="6E7C7F80">
            <w:pPr>
              <w:pStyle w:val="224"/>
              <w:rPr>
                <w:rFonts w:eastAsia="宋体"/>
                <w:b/>
                <w:bCs w:val="0"/>
                <w:color w:val="auto"/>
                <w:sz w:val="21"/>
                <w:szCs w:val="21"/>
                <w:highlight w:val="none"/>
              </w:rPr>
            </w:pPr>
            <w:r>
              <w:rPr>
                <w:rFonts w:eastAsia="宋体"/>
                <w:b/>
                <w:bCs w:val="0"/>
                <w:color w:val="auto"/>
                <w:sz w:val="21"/>
                <w:szCs w:val="21"/>
                <w:highlight w:val="none"/>
              </w:rPr>
              <w:t>贮存</w:t>
            </w:r>
          </w:p>
          <w:p w14:paraId="442E9479">
            <w:pPr>
              <w:pStyle w:val="224"/>
              <w:rPr>
                <w:rFonts w:eastAsia="宋体"/>
                <w:b/>
                <w:bCs w:val="0"/>
                <w:color w:val="auto"/>
                <w:sz w:val="21"/>
                <w:szCs w:val="21"/>
                <w:highlight w:val="none"/>
              </w:rPr>
            </w:pPr>
            <w:r>
              <w:rPr>
                <w:rFonts w:eastAsia="宋体"/>
                <w:b/>
                <w:bCs w:val="0"/>
                <w:color w:val="auto"/>
                <w:sz w:val="21"/>
                <w:szCs w:val="21"/>
                <w:highlight w:val="none"/>
              </w:rPr>
              <w:t>能力</w:t>
            </w:r>
          </w:p>
        </w:tc>
        <w:tc>
          <w:tcPr>
            <w:tcW w:w="372" w:type="pct"/>
            <w:noWrap w:val="0"/>
            <w:vAlign w:val="center"/>
          </w:tcPr>
          <w:p w14:paraId="64F14DB3">
            <w:pPr>
              <w:pStyle w:val="224"/>
              <w:rPr>
                <w:rFonts w:eastAsia="宋体"/>
                <w:b/>
                <w:bCs w:val="0"/>
                <w:color w:val="auto"/>
                <w:sz w:val="21"/>
                <w:szCs w:val="21"/>
                <w:highlight w:val="none"/>
              </w:rPr>
            </w:pPr>
            <w:r>
              <w:rPr>
                <w:rFonts w:eastAsia="宋体"/>
                <w:b/>
                <w:bCs w:val="0"/>
                <w:color w:val="auto"/>
                <w:sz w:val="21"/>
                <w:szCs w:val="21"/>
                <w:highlight w:val="none"/>
              </w:rPr>
              <w:t>贮存</w:t>
            </w:r>
          </w:p>
          <w:p w14:paraId="4800F8EE">
            <w:pPr>
              <w:pStyle w:val="224"/>
              <w:rPr>
                <w:rFonts w:eastAsia="宋体"/>
                <w:b/>
                <w:bCs w:val="0"/>
                <w:color w:val="auto"/>
                <w:sz w:val="21"/>
                <w:szCs w:val="21"/>
                <w:highlight w:val="none"/>
              </w:rPr>
            </w:pPr>
            <w:r>
              <w:rPr>
                <w:rFonts w:eastAsia="宋体"/>
                <w:b/>
                <w:bCs w:val="0"/>
                <w:color w:val="auto"/>
                <w:sz w:val="21"/>
                <w:szCs w:val="21"/>
                <w:highlight w:val="none"/>
              </w:rPr>
              <w:t>周期</w:t>
            </w:r>
          </w:p>
        </w:tc>
        <w:tc>
          <w:tcPr>
            <w:tcW w:w="352" w:type="pct"/>
            <w:noWrap w:val="0"/>
            <w:vAlign w:val="center"/>
          </w:tcPr>
          <w:p w14:paraId="2F5421D4">
            <w:pPr>
              <w:pStyle w:val="224"/>
              <w:rPr>
                <w:rFonts w:eastAsia="宋体"/>
                <w:b/>
                <w:bCs w:val="0"/>
                <w:color w:val="auto"/>
                <w:sz w:val="21"/>
                <w:szCs w:val="21"/>
                <w:highlight w:val="none"/>
              </w:rPr>
            </w:pPr>
            <w:r>
              <w:rPr>
                <w:rFonts w:eastAsia="宋体"/>
                <w:b/>
                <w:bCs w:val="0"/>
                <w:color w:val="auto"/>
                <w:sz w:val="21"/>
                <w:szCs w:val="21"/>
                <w:highlight w:val="none"/>
              </w:rPr>
              <w:t>是否满足要求</w:t>
            </w:r>
          </w:p>
        </w:tc>
      </w:tr>
      <w:tr w14:paraId="50CB0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72" w:type="pct"/>
            <w:noWrap w:val="0"/>
            <w:vAlign w:val="center"/>
          </w:tcPr>
          <w:p w14:paraId="230651CD">
            <w:pPr>
              <w:pStyle w:val="224"/>
              <w:rPr>
                <w:rFonts w:eastAsia="宋体"/>
                <w:color w:val="auto"/>
                <w:sz w:val="21"/>
                <w:szCs w:val="21"/>
                <w:highlight w:val="none"/>
              </w:rPr>
            </w:pPr>
            <w:r>
              <w:rPr>
                <w:rFonts w:eastAsia="宋体"/>
                <w:color w:val="auto"/>
                <w:sz w:val="21"/>
                <w:szCs w:val="21"/>
                <w:highlight w:val="none"/>
              </w:rPr>
              <w:t>1</w:t>
            </w:r>
          </w:p>
        </w:tc>
        <w:tc>
          <w:tcPr>
            <w:tcW w:w="374" w:type="pct"/>
            <w:vMerge w:val="restart"/>
            <w:noWrap w:val="0"/>
            <w:vAlign w:val="center"/>
          </w:tcPr>
          <w:p w14:paraId="73D04BE4">
            <w:pPr>
              <w:pStyle w:val="224"/>
              <w:rPr>
                <w:rFonts w:eastAsia="宋体"/>
                <w:color w:val="auto"/>
                <w:sz w:val="21"/>
                <w:szCs w:val="21"/>
                <w:highlight w:val="none"/>
              </w:rPr>
            </w:pPr>
            <w:r>
              <w:rPr>
                <w:rFonts w:eastAsia="宋体"/>
                <w:color w:val="auto"/>
                <w:sz w:val="21"/>
                <w:szCs w:val="21"/>
                <w:highlight w:val="none"/>
              </w:rPr>
              <w:t>危废库</w:t>
            </w:r>
          </w:p>
        </w:tc>
        <w:tc>
          <w:tcPr>
            <w:tcW w:w="530" w:type="pct"/>
            <w:noWrap w:val="0"/>
            <w:vAlign w:val="center"/>
          </w:tcPr>
          <w:p w14:paraId="1668CF05">
            <w:pPr>
              <w:keepNext w:val="0"/>
              <w:keepLines w:val="0"/>
              <w:pageBreakBefore w:val="0"/>
              <w:widowControl w:val="0"/>
              <w:kinsoku/>
              <w:wordWrap/>
              <w:overflowPunct/>
              <w:topLinePunct/>
              <w:autoSpaceDE/>
              <w:autoSpaceDN/>
              <w:bidi w:val="0"/>
              <w:adjustRightInd/>
              <w:snapToGrid/>
              <w:spacing w:line="240" w:lineRule="atLeast"/>
              <w:ind w:left="0" w:leftChars="0" w:right="0" w:rightChars="0" w:firstLine="0" w:firstLineChars="0"/>
              <w:jc w:val="center"/>
              <w:textAlignment w:val="auto"/>
              <w:rPr>
                <w:rFonts w:eastAsia="宋体"/>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废脱硫剂</w:t>
            </w:r>
          </w:p>
        </w:tc>
        <w:tc>
          <w:tcPr>
            <w:tcW w:w="771" w:type="dxa"/>
            <w:noWrap w:val="0"/>
            <w:vAlign w:val="center"/>
          </w:tcPr>
          <w:p w14:paraId="39BBE3B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rPr>
              <w:t>HW</w:t>
            </w:r>
            <w:r>
              <w:rPr>
                <w:rFonts w:hint="eastAsia" w:ascii="Times New Roman" w:hAnsi="Times New Roman" w:eastAsia="宋体" w:cs="Times New Roman"/>
                <w:color w:val="auto"/>
                <w:sz w:val="21"/>
                <w:szCs w:val="21"/>
                <w:highlight w:val="none"/>
                <w:lang w:val="en-US" w:eastAsia="zh-CN"/>
              </w:rPr>
              <w:t>49</w:t>
            </w:r>
          </w:p>
        </w:tc>
        <w:tc>
          <w:tcPr>
            <w:tcW w:w="1229" w:type="dxa"/>
            <w:noWrap w:val="0"/>
            <w:vAlign w:val="center"/>
          </w:tcPr>
          <w:p w14:paraId="01E74C1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rPr>
              <w:t>900-</w:t>
            </w:r>
            <w:r>
              <w:rPr>
                <w:rFonts w:hint="eastAsia" w:ascii="Times New Roman" w:hAnsi="Times New Roman" w:eastAsia="宋体" w:cs="Times New Roman"/>
                <w:color w:val="auto"/>
                <w:sz w:val="21"/>
                <w:szCs w:val="21"/>
                <w:highlight w:val="none"/>
                <w:lang w:val="en-US" w:eastAsia="zh-CN"/>
              </w:rPr>
              <w:t>041</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49</w:t>
            </w:r>
          </w:p>
        </w:tc>
        <w:tc>
          <w:tcPr>
            <w:tcW w:w="385" w:type="pct"/>
            <w:vMerge w:val="restart"/>
            <w:noWrap w:val="0"/>
            <w:vAlign w:val="center"/>
          </w:tcPr>
          <w:p w14:paraId="7F0DA34C">
            <w:pPr>
              <w:pStyle w:val="224"/>
              <w:rPr>
                <w:rFonts w:hint="default" w:eastAsia="宋体"/>
                <w:color w:val="auto"/>
                <w:sz w:val="21"/>
                <w:szCs w:val="21"/>
                <w:highlight w:val="none"/>
                <w:lang w:val="en-US"/>
              </w:rPr>
            </w:pPr>
            <w:r>
              <w:rPr>
                <w:rFonts w:hint="eastAsia" w:eastAsia="宋体"/>
                <w:color w:val="auto"/>
                <w:sz w:val="21"/>
                <w:szCs w:val="21"/>
                <w:highlight w:val="none"/>
                <w:lang w:val="en-US" w:eastAsia="zh-CN"/>
              </w:rPr>
              <w:t>站房西侧</w:t>
            </w:r>
          </w:p>
        </w:tc>
        <w:tc>
          <w:tcPr>
            <w:tcW w:w="350" w:type="pct"/>
            <w:noWrap w:val="0"/>
            <w:vAlign w:val="center"/>
          </w:tcPr>
          <w:p w14:paraId="233BFF57">
            <w:pPr>
              <w:pStyle w:val="224"/>
              <w:rPr>
                <w:rFonts w:eastAsia="宋体"/>
                <w:color w:val="auto"/>
                <w:sz w:val="21"/>
                <w:szCs w:val="21"/>
                <w:highlight w:val="none"/>
              </w:rPr>
            </w:pPr>
            <w:r>
              <w:rPr>
                <w:rFonts w:hint="eastAsia" w:eastAsia="宋体"/>
                <w:color w:val="auto"/>
                <w:sz w:val="21"/>
                <w:szCs w:val="21"/>
                <w:highlight w:val="none"/>
                <w:lang w:val="en-US" w:eastAsia="zh-CN"/>
              </w:rPr>
              <w:t>/</w:t>
            </w:r>
          </w:p>
        </w:tc>
        <w:tc>
          <w:tcPr>
            <w:tcW w:w="422" w:type="pct"/>
            <w:noWrap w:val="0"/>
            <w:vAlign w:val="center"/>
          </w:tcPr>
          <w:p w14:paraId="4A415AD9">
            <w:pPr>
              <w:pStyle w:val="224"/>
              <w:rPr>
                <w:rFonts w:eastAsia="宋体"/>
                <w:color w:val="auto"/>
                <w:sz w:val="21"/>
                <w:szCs w:val="21"/>
                <w:highlight w:val="none"/>
              </w:rPr>
            </w:pPr>
            <w:r>
              <w:rPr>
                <w:rFonts w:hint="eastAsia" w:eastAsia="宋体"/>
                <w:color w:val="auto"/>
                <w:sz w:val="21"/>
                <w:szCs w:val="21"/>
                <w:highlight w:val="none"/>
                <w:lang w:val="en-US" w:eastAsia="zh-CN"/>
              </w:rPr>
              <w:t>/</w:t>
            </w:r>
          </w:p>
        </w:tc>
        <w:tc>
          <w:tcPr>
            <w:tcW w:w="795" w:type="dxa"/>
            <w:noWrap w:val="0"/>
            <w:vAlign w:val="center"/>
          </w:tcPr>
          <w:p w14:paraId="6046444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eastAsia" w:ascii="Times New Roman" w:hAnsi="Times New Roman" w:eastAsia="宋体" w:cs="Times New Roman"/>
                <w:color w:val="auto"/>
                <w:sz w:val="21"/>
                <w:szCs w:val="21"/>
                <w:highlight w:val="none"/>
                <w:lang w:val="en-US" w:eastAsia="zh-CN"/>
              </w:rPr>
              <w:t>0.43</w:t>
            </w:r>
          </w:p>
        </w:tc>
        <w:tc>
          <w:tcPr>
            <w:tcW w:w="363" w:type="pct"/>
            <w:noWrap w:val="0"/>
            <w:vAlign w:val="center"/>
          </w:tcPr>
          <w:p w14:paraId="37BD7BC4">
            <w:pPr>
              <w:pStyle w:val="224"/>
              <w:rPr>
                <w:rFonts w:hint="eastAsia" w:eastAsia="宋体"/>
                <w:color w:val="auto"/>
                <w:sz w:val="21"/>
                <w:szCs w:val="21"/>
                <w:highlight w:val="none"/>
                <w:lang w:eastAsia="zh-CN"/>
              </w:rPr>
            </w:pPr>
            <w:r>
              <w:rPr>
                <w:rFonts w:hint="eastAsia" w:eastAsia="宋体"/>
                <w:color w:val="auto"/>
                <w:sz w:val="21"/>
                <w:szCs w:val="21"/>
                <w:highlight w:val="none"/>
                <w:lang w:val="en-US" w:eastAsia="zh-CN"/>
              </w:rPr>
              <w:t>1</w:t>
            </w:r>
          </w:p>
        </w:tc>
        <w:tc>
          <w:tcPr>
            <w:tcW w:w="372" w:type="pct"/>
            <w:noWrap w:val="0"/>
            <w:vAlign w:val="center"/>
          </w:tcPr>
          <w:p w14:paraId="77257636">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352" w:type="pct"/>
            <w:noWrap w:val="0"/>
            <w:vAlign w:val="center"/>
          </w:tcPr>
          <w:p w14:paraId="35A19709">
            <w:pPr>
              <w:pStyle w:val="224"/>
              <w:rPr>
                <w:rFonts w:eastAsia="宋体"/>
                <w:color w:val="auto"/>
                <w:sz w:val="21"/>
                <w:szCs w:val="21"/>
                <w:highlight w:val="none"/>
              </w:rPr>
            </w:pPr>
            <w:r>
              <w:rPr>
                <w:rFonts w:eastAsia="宋体"/>
                <w:color w:val="auto"/>
                <w:sz w:val="21"/>
                <w:szCs w:val="21"/>
                <w:highlight w:val="none"/>
              </w:rPr>
              <w:t>满足</w:t>
            </w:r>
          </w:p>
        </w:tc>
      </w:tr>
      <w:tr w14:paraId="03F0A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72" w:type="pct"/>
            <w:noWrap w:val="0"/>
            <w:vAlign w:val="center"/>
          </w:tcPr>
          <w:p w14:paraId="7E5D71A7">
            <w:pPr>
              <w:pStyle w:val="224"/>
              <w:rPr>
                <w:rFonts w:eastAsia="宋体"/>
                <w:color w:val="auto"/>
                <w:sz w:val="21"/>
                <w:szCs w:val="21"/>
                <w:highlight w:val="none"/>
              </w:rPr>
            </w:pPr>
            <w:r>
              <w:rPr>
                <w:rFonts w:eastAsia="宋体"/>
                <w:color w:val="auto"/>
                <w:sz w:val="21"/>
                <w:szCs w:val="21"/>
                <w:highlight w:val="none"/>
              </w:rPr>
              <w:t>2</w:t>
            </w:r>
          </w:p>
        </w:tc>
        <w:tc>
          <w:tcPr>
            <w:tcW w:w="374" w:type="pct"/>
            <w:vMerge w:val="continue"/>
            <w:noWrap w:val="0"/>
            <w:vAlign w:val="center"/>
          </w:tcPr>
          <w:p w14:paraId="2C0F2331">
            <w:pPr>
              <w:pStyle w:val="224"/>
              <w:rPr>
                <w:rFonts w:eastAsia="宋体"/>
                <w:color w:val="auto"/>
                <w:sz w:val="21"/>
                <w:szCs w:val="21"/>
                <w:highlight w:val="none"/>
              </w:rPr>
            </w:pPr>
          </w:p>
        </w:tc>
        <w:tc>
          <w:tcPr>
            <w:tcW w:w="530" w:type="pct"/>
            <w:noWrap w:val="0"/>
            <w:vAlign w:val="center"/>
          </w:tcPr>
          <w:p w14:paraId="13F96CAA">
            <w:pPr>
              <w:keepNext w:val="0"/>
              <w:keepLines w:val="0"/>
              <w:pageBreakBefore w:val="0"/>
              <w:widowControl w:val="0"/>
              <w:kinsoku/>
              <w:wordWrap/>
              <w:overflowPunct/>
              <w:topLinePunct/>
              <w:autoSpaceDE/>
              <w:autoSpaceDN/>
              <w:bidi w:val="0"/>
              <w:adjustRightInd/>
              <w:snapToGrid/>
              <w:spacing w:line="240" w:lineRule="atLeast"/>
              <w:ind w:left="0" w:leftChars="0" w:right="0" w:rightChars="0" w:firstLine="0" w:firstLineChars="0"/>
              <w:jc w:val="center"/>
              <w:textAlignment w:val="auto"/>
              <w:rPr>
                <w:rFonts w:eastAsia="宋体"/>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废</w:t>
            </w:r>
            <w:r>
              <w:rPr>
                <w:rFonts w:hint="eastAsia" w:ascii="Times New Roman" w:hAnsi="Times New Roman" w:eastAsia="宋体" w:cs="Times New Roman"/>
                <w:b w:val="0"/>
                <w:bCs w:val="0"/>
                <w:color w:val="auto"/>
                <w:sz w:val="21"/>
                <w:szCs w:val="21"/>
                <w:highlight w:val="none"/>
                <w:lang w:val="en-US" w:eastAsia="zh-CN"/>
              </w:rPr>
              <w:t>催化剂</w:t>
            </w:r>
          </w:p>
        </w:tc>
        <w:tc>
          <w:tcPr>
            <w:tcW w:w="771" w:type="dxa"/>
            <w:noWrap w:val="0"/>
            <w:vAlign w:val="center"/>
          </w:tcPr>
          <w:p w14:paraId="1523316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HW4</w:t>
            </w:r>
            <w:r>
              <w:rPr>
                <w:rFonts w:hint="eastAsia" w:ascii="Times New Roman" w:hAnsi="Times New Roman" w:eastAsia="宋体" w:cs="Times New Roman"/>
                <w:color w:val="auto"/>
                <w:sz w:val="21"/>
                <w:szCs w:val="21"/>
                <w:highlight w:val="none"/>
                <w:lang w:val="en-US" w:eastAsia="zh-CN"/>
              </w:rPr>
              <w:t>6</w:t>
            </w:r>
          </w:p>
        </w:tc>
        <w:tc>
          <w:tcPr>
            <w:tcW w:w="1229" w:type="dxa"/>
            <w:noWrap w:val="0"/>
            <w:vAlign w:val="center"/>
          </w:tcPr>
          <w:p w14:paraId="6E48C19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900-0</w:t>
            </w:r>
            <w:r>
              <w:rPr>
                <w:rFonts w:hint="eastAsia" w:ascii="Times New Roman" w:hAnsi="Times New Roman" w:eastAsia="宋体" w:cs="Times New Roman"/>
                <w:color w:val="auto"/>
                <w:sz w:val="21"/>
                <w:szCs w:val="21"/>
                <w:highlight w:val="none"/>
                <w:lang w:val="en-US" w:eastAsia="zh-CN"/>
              </w:rPr>
              <w:t>37</w:t>
            </w:r>
            <w:r>
              <w:rPr>
                <w:rFonts w:hint="default"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6</w:t>
            </w:r>
          </w:p>
        </w:tc>
        <w:tc>
          <w:tcPr>
            <w:tcW w:w="385" w:type="pct"/>
            <w:vMerge w:val="continue"/>
            <w:noWrap w:val="0"/>
            <w:vAlign w:val="center"/>
          </w:tcPr>
          <w:p w14:paraId="509ECAC0">
            <w:pPr>
              <w:pStyle w:val="224"/>
              <w:rPr>
                <w:rFonts w:eastAsia="宋体"/>
                <w:color w:val="auto"/>
                <w:sz w:val="21"/>
                <w:szCs w:val="21"/>
                <w:highlight w:val="none"/>
                <w:lang w:val="en-GB"/>
              </w:rPr>
            </w:pPr>
          </w:p>
        </w:tc>
        <w:tc>
          <w:tcPr>
            <w:tcW w:w="350" w:type="pct"/>
            <w:noWrap w:val="0"/>
            <w:vAlign w:val="center"/>
          </w:tcPr>
          <w:p w14:paraId="62AFCE4A">
            <w:pPr>
              <w:pStyle w:val="224"/>
              <w:rPr>
                <w:rFonts w:eastAsia="宋体"/>
                <w:color w:val="auto"/>
                <w:sz w:val="21"/>
                <w:szCs w:val="21"/>
                <w:highlight w:val="none"/>
              </w:rPr>
            </w:pPr>
            <w:r>
              <w:rPr>
                <w:rFonts w:hint="eastAsia" w:eastAsia="宋体"/>
                <w:color w:val="auto"/>
                <w:sz w:val="21"/>
                <w:szCs w:val="21"/>
                <w:highlight w:val="none"/>
                <w:lang w:val="en-US" w:eastAsia="zh-CN"/>
              </w:rPr>
              <w:t>/</w:t>
            </w:r>
          </w:p>
        </w:tc>
        <w:tc>
          <w:tcPr>
            <w:tcW w:w="422" w:type="pct"/>
            <w:noWrap w:val="0"/>
            <w:vAlign w:val="center"/>
          </w:tcPr>
          <w:p w14:paraId="7AFB60EF">
            <w:pPr>
              <w:pStyle w:val="224"/>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795" w:type="dxa"/>
            <w:noWrap w:val="0"/>
            <w:vAlign w:val="center"/>
          </w:tcPr>
          <w:p w14:paraId="72BD7102">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0.43</w:t>
            </w:r>
          </w:p>
        </w:tc>
        <w:tc>
          <w:tcPr>
            <w:tcW w:w="363" w:type="pct"/>
            <w:noWrap w:val="0"/>
            <w:vAlign w:val="center"/>
          </w:tcPr>
          <w:p w14:paraId="1CAA493A">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2.1</w:t>
            </w:r>
          </w:p>
        </w:tc>
        <w:tc>
          <w:tcPr>
            <w:tcW w:w="372" w:type="pct"/>
            <w:noWrap w:val="0"/>
            <w:vAlign w:val="center"/>
          </w:tcPr>
          <w:p w14:paraId="02FFAFDF">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352" w:type="pct"/>
            <w:noWrap w:val="0"/>
            <w:vAlign w:val="center"/>
          </w:tcPr>
          <w:p w14:paraId="28E1FA7E">
            <w:pPr>
              <w:pStyle w:val="224"/>
              <w:rPr>
                <w:rFonts w:eastAsia="宋体"/>
                <w:color w:val="auto"/>
                <w:sz w:val="21"/>
                <w:szCs w:val="21"/>
                <w:highlight w:val="none"/>
              </w:rPr>
            </w:pPr>
            <w:r>
              <w:rPr>
                <w:rFonts w:eastAsia="宋体"/>
                <w:color w:val="auto"/>
                <w:sz w:val="21"/>
                <w:szCs w:val="21"/>
                <w:highlight w:val="none"/>
              </w:rPr>
              <w:t>满足</w:t>
            </w:r>
          </w:p>
        </w:tc>
      </w:tr>
      <w:tr w14:paraId="7E49F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72" w:type="pct"/>
            <w:noWrap w:val="0"/>
            <w:vAlign w:val="center"/>
          </w:tcPr>
          <w:p w14:paraId="4CF054E5">
            <w:pPr>
              <w:pStyle w:val="224"/>
              <w:rPr>
                <w:rFonts w:eastAsia="宋体"/>
                <w:color w:val="auto"/>
                <w:sz w:val="21"/>
                <w:szCs w:val="21"/>
                <w:highlight w:val="none"/>
              </w:rPr>
            </w:pPr>
            <w:r>
              <w:rPr>
                <w:rFonts w:eastAsia="宋体"/>
                <w:color w:val="auto"/>
                <w:sz w:val="21"/>
                <w:szCs w:val="21"/>
                <w:highlight w:val="none"/>
              </w:rPr>
              <w:t>3</w:t>
            </w:r>
          </w:p>
        </w:tc>
        <w:tc>
          <w:tcPr>
            <w:tcW w:w="374" w:type="pct"/>
            <w:vMerge w:val="continue"/>
            <w:noWrap w:val="0"/>
            <w:vAlign w:val="center"/>
          </w:tcPr>
          <w:p w14:paraId="3CE50788">
            <w:pPr>
              <w:pStyle w:val="224"/>
              <w:rPr>
                <w:rFonts w:eastAsia="宋体"/>
                <w:color w:val="auto"/>
                <w:sz w:val="21"/>
                <w:szCs w:val="21"/>
                <w:highlight w:val="none"/>
              </w:rPr>
            </w:pPr>
          </w:p>
        </w:tc>
        <w:tc>
          <w:tcPr>
            <w:tcW w:w="530" w:type="pct"/>
            <w:noWrap w:val="0"/>
            <w:vAlign w:val="center"/>
          </w:tcPr>
          <w:p w14:paraId="14B0452A">
            <w:pPr>
              <w:keepNext w:val="0"/>
              <w:keepLines w:val="0"/>
              <w:pageBreakBefore w:val="0"/>
              <w:widowControl w:val="0"/>
              <w:kinsoku/>
              <w:wordWrap/>
              <w:overflowPunct/>
              <w:topLinePunct/>
              <w:autoSpaceDE/>
              <w:autoSpaceDN/>
              <w:bidi w:val="0"/>
              <w:adjustRightInd/>
              <w:snapToGrid/>
              <w:spacing w:line="240" w:lineRule="atLeast"/>
              <w:ind w:left="0" w:leftChars="0" w:right="0" w:rightChars="0" w:firstLine="0" w:firstLineChars="0"/>
              <w:jc w:val="center"/>
              <w:textAlignment w:val="auto"/>
              <w:rPr>
                <w:rFonts w:eastAsia="宋体"/>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废催化剂</w:t>
            </w:r>
          </w:p>
        </w:tc>
        <w:tc>
          <w:tcPr>
            <w:tcW w:w="771" w:type="dxa"/>
            <w:noWrap w:val="0"/>
            <w:vAlign w:val="center"/>
          </w:tcPr>
          <w:p w14:paraId="0A1D5BA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HW50</w:t>
            </w:r>
          </w:p>
        </w:tc>
        <w:tc>
          <w:tcPr>
            <w:tcW w:w="1229" w:type="dxa"/>
            <w:noWrap w:val="0"/>
            <w:vAlign w:val="center"/>
          </w:tcPr>
          <w:p w14:paraId="399A727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4"/>
                <w:szCs w:val="24"/>
                <w:highlight w:val="none"/>
                <w:lang w:eastAsia="zh-CN"/>
              </w:rPr>
              <w:t>26</w:t>
            </w:r>
            <w:r>
              <w:rPr>
                <w:rFonts w:hint="eastAsia"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-156-50</w:t>
            </w:r>
          </w:p>
        </w:tc>
        <w:tc>
          <w:tcPr>
            <w:tcW w:w="385" w:type="pct"/>
            <w:vMerge w:val="continue"/>
            <w:noWrap w:val="0"/>
            <w:vAlign w:val="center"/>
          </w:tcPr>
          <w:p w14:paraId="6376A1DE">
            <w:pPr>
              <w:pStyle w:val="224"/>
              <w:rPr>
                <w:rFonts w:eastAsia="宋体"/>
                <w:color w:val="auto"/>
                <w:sz w:val="21"/>
                <w:szCs w:val="21"/>
                <w:highlight w:val="none"/>
                <w:lang w:val="en-GB"/>
              </w:rPr>
            </w:pPr>
          </w:p>
        </w:tc>
        <w:tc>
          <w:tcPr>
            <w:tcW w:w="350" w:type="pct"/>
            <w:noWrap w:val="0"/>
            <w:vAlign w:val="center"/>
          </w:tcPr>
          <w:p w14:paraId="6355502D">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422" w:type="pct"/>
            <w:noWrap w:val="0"/>
            <w:vAlign w:val="center"/>
          </w:tcPr>
          <w:p w14:paraId="30A87408">
            <w:pPr>
              <w:pStyle w:val="224"/>
              <w:rPr>
                <w:rFonts w:hint="eastAsia" w:eastAsia="宋体"/>
                <w:color w:val="auto"/>
                <w:sz w:val="21"/>
                <w:szCs w:val="21"/>
                <w:highlight w:val="none"/>
                <w:lang w:eastAsia="zh-CN"/>
              </w:rPr>
            </w:pPr>
            <w:r>
              <w:rPr>
                <w:rFonts w:hint="eastAsia" w:eastAsia="宋体"/>
                <w:color w:val="auto"/>
                <w:sz w:val="21"/>
                <w:szCs w:val="21"/>
                <w:highlight w:val="none"/>
                <w:lang w:val="en-US" w:eastAsia="zh-CN"/>
              </w:rPr>
              <w:t>/</w:t>
            </w:r>
          </w:p>
        </w:tc>
        <w:tc>
          <w:tcPr>
            <w:tcW w:w="795" w:type="dxa"/>
            <w:noWrap w:val="0"/>
            <w:vAlign w:val="center"/>
          </w:tcPr>
          <w:p w14:paraId="5DF6FCA9">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eastAsia="宋体"/>
                <w:color w:val="auto"/>
                <w:sz w:val="21"/>
                <w:szCs w:val="21"/>
                <w:highlight w:val="none"/>
                <w:lang w:eastAsia="zh-CN"/>
              </w:rPr>
            </w:pPr>
            <w:r>
              <w:rPr>
                <w:rFonts w:hint="eastAsia" w:cs="Times New Roman"/>
                <w:color w:val="auto"/>
                <w:sz w:val="21"/>
                <w:szCs w:val="21"/>
                <w:highlight w:val="none"/>
                <w:lang w:val="en-US" w:eastAsia="zh-CN"/>
              </w:rPr>
              <w:t>0.46</w:t>
            </w:r>
          </w:p>
        </w:tc>
        <w:tc>
          <w:tcPr>
            <w:tcW w:w="363" w:type="pct"/>
            <w:noWrap w:val="0"/>
            <w:vAlign w:val="center"/>
          </w:tcPr>
          <w:p w14:paraId="7962615F">
            <w:pPr>
              <w:pStyle w:val="224"/>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372" w:type="pct"/>
            <w:noWrap w:val="0"/>
            <w:vAlign w:val="center"/>
          </w:tcPr>
          <w:p w14:paraId="5B93B4B2">
            <w:pPr>
              <w:pStyle w:val="224"/>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352" w:type="pct"/>
            <w:noWrap w:val="0"/>
            <w:vAlign w:val="center"/>
          </w:tcPr>
          <w:p w14:paraId="3FACF3E3">
            <w:pPr>
              <w:pStyle w:val="224"/>
              <w:rPr>
                <w:rFonts w:hint="eastAsia" w:eastAsia="宋体"/>
                <w:color w:val="auto"/>
                <w:sz w:val="21"/>
                <w:szCs w:val="21"/>
                <w:highlight w:val="none"/>
                <w:lang w:eastAsia="zh-CN"/>
              </w:rPr>
            </w:pPr>
            <w:r>
              <w:rPr>
                <w:rFonts w:hint="eastAsia" w:eastAsia="宋体"/>
                <w:color w:val="auto"/>
                <w:sz w:val="21"/>
                <w:szCs w:val="21"/>
                <w:highlight w:val="none"/>
                <w:lang w:val="en-US" w:eastAsia="zh-CN"/>
              </w:rPr>
              <w:t>/</w:t>
            </w:r>
          </w:p>
        </w:tc>
      </w:tr>
      <w:tr w14:paraId="4159F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72" w:type="pct"/>
            <w:noWrap w:val="0"/>
            <w:vAlign w:val="center"/>
          </w:tcPr>
          <w:p w14:paraId="5482F8C2">
            <w:pPr>
              <w:pStyle w:val="224"/>
              <w:rPr>
                <w:rFonts w:eastAsia="宋体"/>
                <w:color w:val="auto"/>
                <w:sz w:val="21"/>
                <w:szCs w:val="21"/>
                <w:highlight w:val="none"/>
              </w:rPr>
            </w:pPr>
            <w:r>
              <w:rPr>
                <w:rFonts w:eastAsia="宋体"/>
                <w:color w:val="auto"/>
                <w:sz w:val="21"/>
                <w:szCs w:val="21"/>
                <w:highlight w:val="none"/>
              </w:rPr>
              <w:t>4</w:t>
            </w:r>
          </w:p>
        </w:tc>
        <w:tc>
          <w:tcPr>
            <w:tcW w:w="374" w:type="pct"/>
            <w:vMerge w:val="continue"/>
            <w:noWrap w:val="0"/>
            <w:vAlign w:val="center"/>
          </w:tcPr>
          <w:p w14:paraId="64DC91A1">
            <w:pPr>
              <w:pStyle w:val="224"/>
              <w:rPr>
                <w:rFonts w:eastAsia="宋体"/>
                <w:color w:val="auto"/>
                <w:sz w:val="21"/>
                <w:szCs w:val="21"/>
                <w:highlight w:val="none"/>
              </w:rPr>
            </w:pPr>
          </w:p>
        </w:tc>
        <w:tc>
          <w:tcPr>
            <w:tcW w:w="530" w:type="pct"/>
            <w:noWrap w:val="0"/>
            <w:vAlign w:val="center"/>
          </w:tcPr>
          <w:p w14:paraId="3E4F8E25">
            <w:pPr>
              <w:keepNext w:val="0"/>
              <w:keepLines w:val="0"/>
              <w:pageBreakBefore w:val="0"/>
              <w:widowControl w:val="0"/>
              <w:kinsoku/>
              <w:wordWrap/>
              <w:overflowPunct/>
              <w:topLinePunct/>
              <w:autoSpaceDE/>
              <w:autoSpaceDN/>
              <w:bidi w:val="0"/>
              <w:adjustRightInd/>
              <w:snapToGrid/>
              <w:spacing w:line="240" w:lineRule="atLeast"/>
              <w:ind w:left="0" w:leftChars="0" w:right="0" w:rightChars="0" w:firstLine="0" w:firstLineChars="0"/>
              <w:jc w:val="center"/>
              <w:textAlignment w:val="auto"/>
              <w:rPr>
                <w:rFonts w:eastAsia="宋体"/>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废</w:t>
            </w:r>
            <w:r>
              <w:rPr>
                <w:rFonts w:hint="eastAsia" w:ascii="Times New Roman" w:hAnsi="Times New Roman" w:eastAsia="宋体" w:cs="Times New Roman"/>
                <w:b w:val="0"/>
                <w:bCs w:val="0"/>
                <w:color w:val="auto"/>
                <w:sz w:val="21"/>
                <w:szCs w:val="21"/>
                <w:highlight w:val="none"/>
                <w:lang w:val="en-US" w:eastAsia="zh-CN"/>
              </w:rPr>
              <w:t>吸附剂</w:t>
            </w:r>
          </w:p>
        </w:tc>
        <w:tc>
          <w:tcPr>
            <w:tcW w:w="771" w:type="dxa"/>
            <w:noWrap w:val="0"/>
            <w:vAlign w:val="center"/>
          </w:tcPr>
          <w:p w14:paraId="10CA915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HW49</w:t>
            </w:r>
          </w:p>
        </w:tc>
        <w:tc>
          <w:tcPr>
            <w:tcW w:w="1229" w:type="dxa"/>
            <w:noWrap w:val="0"/>
            <w:vAlign w:val="center"/>
          </w:tcPr>
          <w:p w14:paraId="63DBEAD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900-0</w:t>
            </w:r>
            <w:r>
              <w:rPr>
                <w:rFonts w:hint="eastAsia" w:ascii="Times New Roman" w:hAnsi="Times New Roman" w:eastAsia="宋体" w:cs="Times New Roman"/>
                <w:color w:val="auto"/>
                <w:sz w:val="21"/>
                <w:szCs w:val="21"/>
                <w:highlight w:val="none"/>
                <w:lang w:val="en-US" w:eastAsia="zh-CN"/>
              </w:rPr>
              <w:t>39</w:t>
            </w:r>
            <w:r>
              <w:rPr>
                <w:rFonts w:hint="default" w:ascii="Times New Roman" w:hAnsi="Times New Roman" w:eastAsia="宋体" w:cs="Times New Roman"/>
                <w:color w:val="auto"/>
                <w:sz w:val="21"/>
                <w:szCs w:val="21"/>
                <w:highlight w:val="none"/>
                <w:lang w:val="en-US" w:eastAsia="zh-CN"/>
              </w:rPr>
              <w:t>-49</w:t>
            </w:r>
          </w:p>
        </w:tc>
        <w:tc>
          <w:tcPr>
            <w:tcW w:w="385" w:type="pct"/>
            <w:vMerge w:val="continue"/>
            <w:noWrap w:val="0"/>
            <w:vAlign w:val="center"/>
          </w:tcPr>
          <w:p w14:paraId="65C7DB4A">
            <w:pPr>
              <w:pStyle w:val="224"/>
              <w:rPr>
                <w:rFonts w:eastAsia="宋体"/>
                <w:color w:val="auto"/>
                <w:sz w:val="21"/>
                <w:szCs w:val="21"/>
                <w:highlight w:val="none"/>
                <w:lang w:val="en-GB"/>
              </w:rPr>
            </w:pPr>
          </w:p>
        </w:tc>
        <w:tc>
          <w:tcPr>
            <w:tcW w:w="350" w:type="pct"/>
            <w:noWrap w:val="0"/>
            <w:vAlign w:val="center"/>
          </w:tcPr>
          <w:p w14:paraId="4D73157A">
            <w:pPr>
              <w:pStyle w:val="224"/>
              <w:rPr>
                <w:rFonts w:eastAsia="宋体"/>
                <w:color w:val="auto"/>
                <w:sz w:val="21"/>
                <w:szCs w:val="21"/>
                <w:highlight w:val="none"/>
              </w:rPr>
            </w:pPr>
            <w:r>
              <w:rPr>
                <w:rFonts w:hint="eastAsia" w:eastAsia="宋体"/>
                <w:color w:val="auto"/>
                <w:sz w:val="21"/>
                <w:szCs w:val="21"/>
                <w:highlight w:val="none"/>
                <w:lang w:val="en-US" w:eastAsia="zh-CN"/>
              </w:rPr>
              <w:t>/</w:t>
            </w:r>
          </w:p>
        </w:tc>
        <w:tc>
          <w:tcPr>
            <w:tcW w:w="422" w:type="pct"/>
            <w:noWrap w:val="0"/>
            <w:vAlign w:val="center"/>
          </w:tcPr>
          <w:p w14:paraId="474C288B">
            <w:pPr>
              <w:pStyle w:val="224"/>
              <w:rPr>
                <w:rFonts w:eastAsia="宋体"/>
                <w:color w:val="auto"/>
                <w:sz w:val="21"/>
                <w:szCs w:val="21"/>
                <w:highlight w:val="none"/>
              </w:rPr>
            </w:pPr>
            <w:r>
              <w:rPr>
                <w:rFonts w:hint="eastAsia" w:eastAsia="宋体"/>
                <w:color w:val="auto"/>
                <w:sz w:val="21"/>
                <w:szCs w:val="21"/>
                <w:highlight w:val="none"/>
                <w:lang w:val="en-US" w:eastAsia="zh-CN"/>
              </w:rPr>
              <w:t>/</w:t>
            </w:r>
          </w:p>
        </w:tc>
        <w:tc>
          <w:tcPr>
            <w:tcW w:w="795" w:type="dxa"/>
            <w:noWrap w:val="0"/>
            <w:vAlign w:val="center"/>
          </w:tcPr>
          <w:p w14:paraId="34C5212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2</w:t>
            </w:r>
          </w:p>
        </w:tc>
        <w:tc>
          <w:tcPr>
            <w:tcW w:w="363" w:type="pct"/>
            <w:noWrap w:val="0"/>
            <w:vAlign w:val="center"/>
          </w:tcPr>
          <w:p w14:paraId="6927179C">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w:t>
            </w:r>
          </w:p>
        </w:tc>
        <w:tc>
          <w:tcPr>
            <w:tcW w:w="372" w:type="pct"/>
            <w:noWrap w:val="0"/>
            <w:vAlign w:val="center"/>
          </w:tcPr>
          <w:p w14:paraId="549FC6AF">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352" w:type="pct"/>
            <w:noWrap w:val="0"/>
            <w:vAlign w:val="center"/>
          </w:tcPr>
          <w:p w14:paraId="34CCDCCA">
            <w:pPr>
              <w:pStyle w:val="224"/>
              <w:rPr>
                <w:rFonts w:eastAsia="宋体"/>
                <w:color w:val="auto"/>
                <w:sz w:val="21"/>
                <w:szCs w:val="21"/>
                <w:highlight w:val="none"/>
              </w:rPr>
            </w:pPr>
            <w:r>
              <w:rPr>
                <w:rFonts w:eastAsia="宋体"/>
                <w:color w:val="auto"/>
                <w:sz w:val="21"/>
                <w:szCs w:val="21"/>
                <w:highlight w:val="none"/>
              </w:rPr>
              <w:t>满足</w:t>
            </w:r>
          </w:p>
        </w:tc>
      </w:tr>
      <w:tr w14:paraId="3C232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72" w:type="pct"/>
            <w:noWrap w:val="0"/>
            <w:vAlign w:val="center"/>
          </w:tcPr>
          <w:p w14:paraId="4B9CB7EE">
            <w:pPr>
              <w:pStyle w:val="224"/>
              <w:rPr>
                <w:rFonts w:eastAsia="宋体"/>
                <w:color w:val="auto"/>
                <w:sz w:val="21"/>
                <w:szCs w:val="21"/>
                <w:highlight w:val="none"/>
              </w:rPr>
            </w:pPr>
            <w:r>
              <w:rPr>
                <w:rFonts w:eastAsia="宋体"/>
                <w:color w:val="auto"/>
                <w:sz w:val="21"/>
                <w:szCs w:val="21"/>
                <w:highlight w:val="none"/>
              </w:rPr>
              <w:t>5</w:t>
            </w:r>
          </w:p>
        </w:tc>
        <w:tc>
          <w:tcPr>
            <w:tcW w:w="374" w:type="pct"/>
            <w:vMerge w:val="continue"/>
            <w:noWrap w:val="0"/>
            <w:vAlign w:val="center"/>
          </w:tcPr>
          <w:p w14:paraId="2DDB2CC3">
            <w:pPr>
              <w:pStyle w:val="224"/>
              <w:rPr>
                <w:rFonts w:eastAsia="宋体"/>
                <w:color w:val="auto"/>
                <w:sz w:val="21"/>
                <w:szCs w:val="21"/>
                <w:highlight w:val="none"/>
              </w:rPr>
            </w:pPr>
          </w:p>
        </w:tc>
        <w:tc>
          <w:tcPr>
            <w:tcW w:w="530" w:type="pct"/>
            <w:noWrap w:val="0"/>
            <w:vAlign w:val="center"/>
          </w:tcPr>
          <w:p w14:paraId="3C7DEED2">
            <w:pPr>
              <w:keepNext w:val="0"/>
              <w:keepLines w:val="0"/>
              <w:pageBreakBefore w:val="0"/>
              <w:widowControl w:val="0"/>
              <w:kinsoku/>
              <w:wordWrap/>
              <w:overflowPunct/>
              <w:topLinePunct/>
              <w:autoSpaceDE/>
              <w:autoSpaceDN/>
              <w:bidi w:val="0"/>
              <w:adjustRightInd/>
              <w:snapToGrid/>
              <w:spacing w:line="240" w:lineRule="atLeast"/>
              <w:ind w:left="0" w:leftChars="0" w:right="0" w:rightChars="0" w:firstLine="0" w:firstLineChars="0"/>
              <w:jc w:val="center"/>
              <w:textAlignment w:val="auto"/>
              <w:rPr>
                <w:rFonts w:eastAsia="宋体"/>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污泥</w:t>
            </w:r>
          </w:p>
        </w:tc>
        <w:tc>
          <w:tcPr>
            <w:tcW w:w="771" w:type="dxa"/>
            <w:noWrap w:val="0"/>
            <w:vAlign w:val="center"/>
          </w:tcPr>
          <w:p w14:paraId="15B3BD7B">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HW</w:t>
            </w:r>
            <w:r>
              <w:rPr>
                <w:rFonts w:hint="eastAsia" w:ascii="Times New Roman" w:hAnsi="Times New Roman" w:eastAsia="宋体" w:cs="Times New Roman"/>
                <w:color w:val="auto"/>
                <w:sz w:val="21"/>
                <w:szCs w:val="21"/>
                <w:highlight w:val="none"/>
                <w:lang w:val="en-US" w:eastAsia="zh-CN"/>
              </w:rPr>
              <w:t>08</w:t>
            </w:r>
          </w:p>
        </w:tc>
        <w:tc>
          <w:tcPr>
            <w:tcW w:w="1229" w:type="dxa"/>
            <w:noWrap w:val="0"/>
            <w:vAlign w:val="center"/>
          </w:tcPr>
          <w:p w14:paraId="3ACD3EA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900-210-08</w:t>
            </w:r>
          </w:p>
        </w:tc>
        <w:tc>
          <w:tcPr>
            <w:tcW w:w="385" w:type="pct"/>
            <w:vMerge w:val="continue"/>
            <w:noWrap w:val="0"/>
            <w:vAlign w:val="center"/>
          </w:tcPr>
          <w:p w14:paraId="693467E0">
            <w:pPr>
              <w:pStyle w:val="224"/>
              <w:rPr>
                <w:rFonts w:eastAsia="宋体"/>
                <w:color w:val="auto"/>
                <w:sz w:val="21"/>
                <w:szCs w:val="21"/>
                <w:highlight w:val="none"/>
                <w:lang w:val="en-GB"/>
              </w:rPr>
            </w:pPr>
          </w:p>
        </w:tc>
        <w:tc>
          <w:tcPr>
            <w:tcW w:w="350" w:type="pct"/>
            <w:noWrap w:val="0"/>
            <w:vAlign w:val="center"/>
          </w:tcPr>
          <w:p w14:paraId="5431AC3A">
            <w:pPr>
              <w:pStyle w:val="224"/>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2</w:t>
            </w:r>
            <w:r>
              <w:rPr>
                <w:rFonts w:eastAsia="宋体"/>
                <w:color w:val="auto"/>
                <w:sz w:val="21"/>
                <w:szCs w:val="21"/>
                <w:highlight w:val="none"/>
              </w:rPr>
              <w:t>m</w:t>
            </w:r>
            <w:r>
              <w:rPr>
                <w:rFonts w:eastAsia="宋体"/>
                <w:color w:val="auto"/>
                <w:sz w:val="21"/>
                <w:szCs w:val="21"/>
                <w:highlight w:val="none"/>
                <w:vertAlign w:val="superscript"/>
              </w:rPr>
              <w:t>2</w:t>
            </w:r>
          </w:p>
        </w:tc>
        <w:tc>
          <w:tcPr>
            <w:tcW w:w="422" w:type="pct"/>
            <w:noWrap w:val="0"/>
            <w:vAlign w:val="center"/>
          </w:tcPr>
          <w:p w14:paraId="798AC197">
            <w:pPr>
              <w:pStyle w:val="224"/>
              <w:rPr>
                <w:rFonts w:eastAsia="宋体"/>
                <w:color w:val="auto"/>
                <w:sz w:val="21"/>
                <w:szCs w:val="21"/>
                <w:highlight w:val="none"/>
              </w:rPr>
            </w:pPr>
            <w:r>
              <w:rPr>
                <w:rFonts w:hint="eastAsia" w:eastAsia="宋体"/>
                <w:color w:val="auto"/>
                <w:sz w:val="21"/>
                <w:szCs w:val="21"/>
                <w:highlight w:val="none"/>
                <w:lang w:val="en-US" w:eastAsia="zh-CN"/>
              </w:rPr>
              <w:t>桶装封存</w:t>
            </w:r>
          </w:p>
        </w:tc>
        <w:tc>
          <w:tcPr>
            <w:tcW w:w="476" w:type="pct"/>
            <w:noWrap w:val="0"/>
            <w:vAlign w:val="center"/>
          </w:tcPr>
          <w:p w14:paraId="4C0A4664">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w:t>
            </w:r>
          </w:p>
        </w:tc>
        <w:tc>
          <w:tcPr>
            <w:tcW w:w="363" w:type="pct"/>
            <w:noWrap w:val="0"/>
            <w:vAlign w:val="center"/>
          </w:tcPr>
          <w:p w14:paraId="080039B2">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0.1</w:t>
            </w:r>
          </w:p>
        </w:tc>
        <w:tc>
          <w:tcPr>
            <w:tcW w:w="372" w:type="pct"/>
            <w:noWrap w:val="0"/>
            <w:vAlign w:val="center"/>
          </w:tcPr>
          <w:p w14:paraId="64D05EAD">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30d</w:t>
            </w:r>
          </w:p>
        </w:tc>
        <w:tc>
          <w:tcPr>
            <w:tcW w:w="352" w:type="pct"/>
            <w:noWrap w:val="0"/>
            <w:vAlign w:val="center"/>
          </w:tcPr>
          <w:p w14:paraId="54CEF955">
            <w:pPr>
              <w:pStyle w:val="224"/>
              <w:rPr>
                <w:rFonts w:eastAsia="宋体"/>
                <w:color w:val="auto"/>
                <w:sz w:val="21"/>
                <w:szCs w:val="21"/>
                <w:highlight w:val="none"/>
              </w:rPr>
            </w:pPr>
            <w:r>
              <w:rPr>
                <w:rFonts w:eastAsia="宋体"/>
                <w:color w:val="auto"/>
                <w:sz w:val="21"/>
                <w:szCs w:val="21"/>
                <w:highlight w:val="none"/>
              </w:rPr>
              <w:t>满足</w:t>
            </w:r>
          </w:p>
        </w:tc>
      </w:tr>
      <w:tr w14:paraId="101A7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3" w:type="dxa"/>
            <w:bottom w:w="0" w:type="dxa"/>
            <w:right w:w="23" w:type="dxa"/>
          </w:tblCellMar>
        </w:tblPrEx>
        <w:trPr>
          <w:trHeight w:val="397" w:hRule="atLeast"/>
          <w:jc w:val="center"/>
        </w:trPr>
        <w:tc>
          <w:tcPr>
            <w:tcW w:w="172" w:type="pct"/>
            <w:noWrap w:val="0"/>
            <w:vAlign w:val="center"/>
          </w:tcPr>
          <w:p w14:paraId="390010D9">
            <w:pPr>
              <w:pStyle w:val="224"/>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6</w:t>
            </w:r>
          </w:p>
        </w:tc>
        <w:tc>
          <w:tcPr>
            <w:tcW w:w="374" w:type="pct"/>
            <w:vMerge w:val="continue"/>
            <w:noWrap w:val="0"/>
            <w:vAlign w:val="center"/>
          </w:tcPr>
          <w:p w14:paraId="4A5154D1">
            <w:pPr>
              <w:pStyle w:val="224"/>
              <w:rPr>
                <w:rFonts w:eastAsia="宋体"/>
                <w:color w:val="auto"/>
                <w:sz w:val="21"/>
                <w:szCs w:val="21"/>
                <w:highlight w:val="none"/>
              </w:rPr>
            </w:pPr>
          </w:p>
        </w:tc>
        <w:tc>
          <w:tcPr>
            <w:tcW w:w="530" w:type="pct"/>
            <w:noWrap w:val="0"/>
            <w:vAlign w:val="center"/>
          </w:tcPr>
          <w:p w14:paraId="5262D171">
            <w:pPr>
              <w:keepNext w:val="0"/>
              <w:keepLines w:val="0"/>
              <w:pageBreakBefore w:val="0"/>
              <w:widowControl w:val="0"/>
              <w:kinsoku/>
              <w:wordWrap/>
              <w:overflowPunct/>
              <w:topLinePunct/>
              <w:autoSpaceDE/>
              <w:autoSpaceDN/>
              <w:bidi w:val="0"/>
              <w:adjustRightInd/>
              <w:snapToGrid/>
              <w:spacing w:line="240" w:lineRule="atLeast"/>
              <w:ind w:left="0" w:leftChars="0" w:right="0" w:rightChars="0" w:firstLine="0" w:firstLineChars="0"/>
              <w:jc w:val="center"/>
              <w:textAlignment w:val="auto"/>
              <w:rPr>
                <w:rFonts w:eastAsia="宋体"/>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清罐废油泥（含废清理液）</w:t>
            </w:r>
          </w:p>
        </w:tc>
        <w:tc>
          <w:tcPr>
            <w:tcW w:w="771" w:type="dxa"/>
            <w:noWrap w:val="0"/>
            <w:vAlign w:val="center"/>
          </w:tcPr>
          <w:p w14:paraId="1A752A54">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eastAsia="宋体"/>
                <w:color w:val="auto"/>
                <w:sz w:val="21"/>
                <w:szCs w:val="21"/>
                <w:highlight w:val="none"/>
              </w:rPr>
            </w:pPr>
            <w:r>
              <w:rPr>
                <w:rFonts w:hint="default" w:ascii="Times New Roman" w:hAnsi="Times New Roman" w:eastAsia="宋体" w:cs="Times New Roman"/>
                <w:color w:val="auto"/>
                <w:sz w:val="21"/>
                <w:szCs w:val="21"/>
                <w:highlight w:val="none"/>
                <w:lang w:val="en-US" w:eastAsia="zh-CN"/>
              </w:rPr>
              <w:t>HW</w:t>
            </w:r>
            <w:r>
              <w:rPr>
                <w:rFonts w:hint="eastAsia" w:ascii="Times New Roman" w:hAnsi="Times New Roman" w:eastAsia="宋体" w:cs="Times New Roman"/>
                <w:color w:val="auto"/>
                <w:sz w:val="21"/>
                <w:szCs w:val="21"/>
                <w:highlight w:val="none"/>
                <w:lang w:val="en-US" w:eastAsia="zh-CN"/>
              </w:rPr>
              <w:t>08</w:t>
            </w:r>
          </w:p>
        </w:tc>
        <w:tc>
          <w:tcPr>
            <w:tcW w:w="1229" w:type="dxa"/>
            <w:noWrap w:val="0"/>
            <w:vAlign w:val="center"/>
          </w:tcPr>
          <w:p w14:paraId="123B70C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eastAsia="宋体"/>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900-</w:t>
            </w:r>
            <w:r>
              <w:rPr>
                <w:rFonts w:hint="eastAsia" w:ascii="Times New Roman" w:hAnsi="Times New Roman" w:eastAsia="宋体" w:cs="Times New Roman"/>
                <w:color w:val="auto"/>
                <w:sz w:val="21"/>
                <w:szCs w:val="21"/>
                <w:highlight w:val="none"/>
                <w:lang w:val="en-US" w:eastAsia="zh-CN"/>
              </w:rPr>
              <w:t>249</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08</w:t>
            </w:r>
          </w:p>
        </w:tc>
        <w:tc>
          <w:tcPr>
            <w:tcW w:w="385" w:type="pct"/>
            <w:vMerge w:val="continue"/>
            <w:noWrap w:val="0"/>
            <w:vAlign w:val="center"/>
          </w:tcPr>
          <w:p w14:paraId="0E5058E7">
            <w:pPr>
              <w:pStyle w:val="224"/>
              <w:rPr>
                <w:rFonts w:eastAsia="宋体"/>
                <w:color w:val="auto"/>
                <w:sz w:val="21"/>
                <w:szCs w:val="21"/>
                <w:highlight w:val="none"/>
                <w:lang w:val="en-GB"/>
              </w:rPr>
            </w:pPr>
          </w:p>
        </w:tc>
        <w:tc>
          <w:tcPr>
            <w:tcW w:w="350" w:type="pct"/>
            <w:noWrap w:val="0"/>
            <w:vAlign w:val="center"/>
          </w:tcPr>
          <w:p w14:paraId="71F1D2FC">
            <w:pPr>
              <w:pStyle w:val="224"/>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w:t>
            </w:r>
          </w:p>
        </w:tc>
        <w:tc>
          <w:tcPr>
            <w:tcW w:w="422" w:type="pct"/>
            <w:noWrap w:val="0"/>
            <w:vAlign w:val="center"/>
          </w:tcPr>
          <w:p w14:paraId="229F03E7">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加盖封存，资质单位处置</w:t>
            </w:r>
          </w:p>
        </w:tc>
        <w:tc>
          <w:tcPr>
            <w:tcW w:w="476" w:type="pct"/>
            <w:noWrap w:val="0"/>
            <w:vAlign w:val="center"/>
          </w:tcPr>
          <w:p w14:paraId="453594D9">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w:t>
            </w:r>
          </w:p>
        </w:tc>
        <w:tc>
          <w:tcPr>
            <w:tcW w:w="363" w:type="pct"/>
            <w:noWrap w:val="0"/>
            <w:vAlign w:val="center"/>
          </w:tcPr>
          <w:p w14:paraId="3CB6EA29">
            <w:pPr>
              <w:pStyle w:val="224"/>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0.5</w:t>
            </w:r>
          </w:p>
        </w:tc>
        <w:tc>
          <w:tcPr>
            <w:tcW w:w="372" w:type="pct"/>
            <w:noWrap w:val="0"/>
            <w:vAlign w:val="center"/>
          </w:tcPr>
          <w:p w14:paraId="116EF076">
            <w:pPr>
              <w:pStyle w:val="224"/>
              <w:rPr>
                <w:rFonts w:hint="eastAsia" w:eastAsia="宋体"/>
                <w:color w:val="auto"/>
                <w:sz w:val="21"/>
                <w:szCs w:val="21"/>
                <w:highlight w:val="none"/>
              </w:rPr>
            </w:pPr>
            <w:r>
              <w:rPr>
                <w:rFonts w:hint="eastAsia" w:eastAsia="宋体"/>
                <w:color w:val="auto"/>
                <w:sz w:val="21"/>
                <w:szCs w:val="21"/>
                <w:highlight w:val="none"/>
                <w:lang w:val="en-US" w:eastAsia="zh-CN"/>
              </w:rPr>
              <w:t>/</w:t>
            </w:r>
          </w:p>
        </w:tc>
        <w:tc>
          <w:tcPr>
            <w:tcW w:w="352" w:type="pct"/>
            <w:noWrap w:val="0"/>
            <w:vAlign w:val="center"/>
          </w:tcPr>
          <w:p w14:paraId="03068291">
            <w:pPr>
              <w:pStyle w:val="224"/>
              <w:rPr>
                <w:rFonts w:eastAsia="宋体"/>
                <w:color w:val="auto"/>
                <w:sz w:val="21"/>
                <w:szCs w:val="21"/>
                <w:highlight w:val="none"/>
              </w:rPr>
            </w:pPr>
            <w:r>
              <w:rPr>
                <w:rFonts w:eastAsia="宋体"/>
                <w:color w:val="auto"/>
                <w:sz w:val="21"/>
                <w:szCs w:val="21"/>
                <w:highlight w:val="none"/>
              </w:rPr>
              <w:t>满足</w:t>
            </w:r>
          </w:p>
        </w:tc>
      </w:tr>
    </w:tbl>
    <w:p w14:paraId="08D47551">
      <w:pPr>
        <w:adjustRightInd w:val="0"/>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本项目运营期间</w:t>
      </w:r>
      <w:r>
        <w:rPr>
          <w:rFonts w:hint="eastAsia" w:ascii="Times New Roman" w:hAnsi="Times New Roman" w:eastAsia="宋体" w:cs="Times New Roman"/>
          <w:color w:val="auto"/>
          <w:sz w:val="24"/>
          <w:highlight w:val="none"/>
          <w:lang w:val="en-US" w:eastAsia="zh-CN"/>
        </w:rPr>
        <w:t>危险废物暂存主要涉及污泥，其他种类危险废物由资质单位进行处置，</w:t>
      </w:r>
      <w:r>
        <w:rPr>
          <w:rFonts w:hint="default" w:ascii="Times New Roman" w:hAnsi="Times New Roman" w:eastAsia="宋体" w:cs="Times New Roman"/>
          <w:color w:val="auto"/>
          <w:sz w:val="24"/>
          <w:highlight w:val="none"/>
        </w:rPr>
        <w:t>各类危险废物定期委托处置，不在厂内长时间存放，本项目危险废物暂存间设计面积约为</w:t>
      </w:r>
      <w:r>
        <w:rPr>
          <w:rFonts w:hint="eastAsia" w:cs="Times New Roman"/>
          <w:b w:val="0"/>
          <w:bCs w:val="0"/>
          <w:color w:val="auto"/>
          <w:kern w:val="0"/>
          <w:sz w:val="24"/>
          <w:highlight w:val="none"/>
          <w:lang w:val="en-US" w:eastAsia="zh-CN"/>
        </w:rPr>
        <w:t>20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根据上表可知拟建危废间</w:t>
      </w:r>
      <w:r>
        <w:rPr>
          <w:rFonts w:hint="default" w:ascii="Times New Roman" w:hAnsi="Times New Roman" w:eastAsia="宋体" w:cs="Times New Roman"/>
          <w:color w:val="auto"/>
          <w:sz w:val="24"/>
          <w:highlight w:val="none"/>
        </w:rPr>
        <w:t>满足暂存容纳项目产生的</w:t>
      </w:r>
      <w:r>
        <w:rPr>
          <w:rFonts w:hint="default" w:ascii="Times New Roman" w:hAnsi="Times New Roman" w:cs="Times New Roman"/>
          <w:color w:val="auto"/>
          <w:sz w:val="24"/>
          <w:highlight w:val="none"/>
          <w:lang w:eastAsia="zh-CN"/>
        </w:rPr>
        <w:t>危险废物</w:t>
      </w:r>
      <w:r>
        <w:rPr>
          <w:rFonts w:hint="default" w:ascii="Times New Roman" w:hAnsi="Times New Roman" w:eastAsia="宋体" w:cs="Times New Roman"/>
          <w:color w:val="auto"/>
          <w:sz w:val="24"/>
          <w:highlight w:val="none"/>
        </w:rPr>
        <w:t>容量的需要。</w:t>
      </w:r>
    </w:p>
    <w:p w14:paraId="38215323">
      <w:pPr>
        <w:adjustRightInd w:val="0"/>
        <w:snapToGrid w:val="0"/>
        <w:spacing w:line="360" w:lineRule="auto"/>
        <w:ind w:firstLine="482"/>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w:t>
      </w:r>
      <w:r>
        <w:rPr>
          <w:rFonts w:hint="default" w:ascii="Times New Roman" w:hAnsi="Times New Roman"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w:t>
      </w:r>
      <w:r>
        <w:rPr>
          <w:rFonts w:hint="default" w:ascii="Times New Roman" w:hAnsi="Times New Roman" w:cs="Times New Roman"/>
          <w:b/>
          <w:bCs/>
          <w:color w:val="auto"/>
          <w:sz w:val="24"/>
          <w:highlight w:val="none"/>
          <w:lang w:eastAsia="zh-CN"/>
        </w:rPr>
        <w:t>危险废物暂存间</w:t>
      </w:r>
      <w:r>
        <w:rPr>
          <w:rFonts w:hint="default" w:ascii="Times New Roman" w:hAnsi="Times New Roman" w:eastAsia="宋体" w:cs="Times New Roman"/>
          <w:b/>
          <w:bCs/>
          <w:color w:val="auto"/>
          <w:sz w:val="24"/>
          <w:highlight w:val="none"/>
        </w:rPr>
        <w:t>暂存要求</w:t>
      </w:r>
    </w:p>
    <w:p w14:paraId="6D96778E">
      <w:pPr>
        <w:adjustRightInd w:val="0"/>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项目产生的危险废物按处理要求分类分开存放，并设隔离间隔断，禁止将不相容的危险废物在同一容器内混装，同时做好</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防风、防雨、防晒、防盗、防流失、防渗漏</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，上述危险废物在</w:t>
      </w:r>
      <w:r>
        <w:rPr>
          <w:rFonts w:hint="default" w:ascii="Times New Roman" w:hAnsi="Times New Roman" w:cs="Times New Roman"/>
          <w:color w:val="auto"/>
          <w:sz w:val="24"/>
          <w:highlight w:val="none"/>
          <w:lang w:eastAsia="zh-CN"/>
        </w:rPr>
        <w:t>危险废物</w:t>
      </w:r>
      <w:r>
        <w:rPr>
          <w:rFonts w:hint="default" w:ascii="Times New Roman" w:hAnsi="Times New Roman" w:eastAsia="宋体" w:cs="Times New Roman"/>
          <w:color w:val="auto"/>
          <w:sz w:val="24"/>
          <w:highlight w:val="none"/>
        </w:rPr>
        <w:t>暂存间</w:t>
      </w:r>
      <w:r>
        <w:rPr>
          <w:rFonts w:hint="default" w:ascii="Times New Roman" w:hAnsi="Times New Roman" w:cs="Times New Roman"/>
          <w:color w:val="auto"/>
          <w:sz w:val="24"/>
          <w:highlight w:val="none"/>
          <w:lang w:eastAsia="zh-CN"/>
        </w:rPr>
        <w:t>分类</w:t>
      </w:r>
      <w:r>
        <w:rPr>
          <w:rFonts w:hint="default" w:ascii="Times New Roman" w:hAnsi="Times New Roman" w:eastAsia="宋体" w:cs="Times New Roman"/>
          <w:color w:val="auto"/>
          <w:sz w:val="24"/>
          <w:highlight w:val="none"/>
        </w:rPr>
        <w:t>暂存，定期交有资质的单位处理。危险废物均委托处理处置，做到不外排，对环境影响小。</w:t>
      </w:r>
    </w:p>
    <w:p w14:paraId="2B9AD1BD">
      <w:pPr>
        <w:adjustRightInd w:val="0"/>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此外，厂内需建立危险废物台账管理制度，</w:t>
      </w:r>
      <w:r>
        <w:rPr>
          <w:rFonts w:hint="eastAsia" w:cs="Times New Roman"/>
          <w:color w:val="auto"/>
          <w:sz w:val="24"/>
          <w:highlight w:val="none"/>
          <w:lang w:eastAsia="zh-CN"/>
        </w:rPr>
        <w:t>做好</w:t>
      </w:r>
      <w:r>
        <w:rPr>
          <w:rFonts w:hint="default" w:ascii="Times New Roman" w:hAnsi="Times New Roman" w:eastAsia="宋体" w:cs="Times New Roman"/>
          <w:color w:val="auto"/>
          <w:sz w:val="24"/>
          <w:highlight w:val="none"/>
        </w:rPr>
        <w:t>危险废物情况的记录，记录上须注明危险废物的名称、来源、数量、特性和包装容器的类别、入库日期、存放库位、废物出库日期及</w:t>
      </w:r>
      <w:r>
        <w:rPr>
          <w:rFonts w:hint="eastAsia" w:cs="Times New Roman"/>
          <w:color w:val="auto"/>
          <w:sz w:val="24"/>
          <w:highlight w:val="none"/>
          <w:lang w:eastAsia="zh-CN"/>
        </w:rPr>
        <w:t>接收单位</w:t>
      </w:r>
      <w:r>
        <w:rPr>
          <w:rFonts w:hint="default" w:ascii="Times New Roman" w:hAnsi="Times New Roman" w:eastAsia="宋体" w:cs="Times New Roman"/>
          <w:color w:val="auto"/>
          <w:sz w:val="24"/>
          <w:highlight w:val="none"/>
        </w:rPr>
        <w:t>名称，危险废物的记录和货单在危险废物回取后应继续保留</w:t>
      </w:r>
      <w:r>
        <w:rPr>
          <w:rFonts w:hint="eastAsia" w:ascii="Times New Roman" w:hAnsi="Times New Roman" w:eastAsia="宋体" w:cs="Times New Roman"/>
          <w:color w:val="auto"/>
          <w:sz w:val="24"/>
          <w:highlight w:val="none"/>
          <w:lang w:val="en-US" w:eastAsia="zh-CN"/>
        </w:rPr>
        <w:t>五</w:t>
      </w:r>
      <w:r>
        <w:rPr>
          <w:rFonts w:hint="default" w:ascii="Times New Roman" w:hAnsi="Times New Roman" w:eastAsia="宋体" w:cs="Times New Roman"/>
          <w:color w:val="auto"/>
          <w:sz w:val="24"/>
          <w:highlight w:val="none"/>
        </w:rPr>
        <w:t>年。</w:t>
      </w:r>
    </w:p>
    <w:p w14:paraId="234EAF51">
      <w:pPr>
        <w:adjustRightInd w:val="0"/>
        <w:snapToGrid w:val="0"/>
        <w:spacing w:line="360" w:lineRule="auto"/>
        <w:ind w:firstLine="482"/>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w:t>
      </w:r>
      <w:r>
        <w:rPr>
          <w:rFonts w:hint="default" w:ascii="Times New Roman" w:hAnsi="Times New Roman"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w:t>
      </w:r>
      <w:r>
        <w:rPr>
          <w:rFonts w:hint="default" w:ascii="Times New Roman" w:hAnsi="Times New Roman" w:cs="Times New Roman"/>
          <w:b/>
          <w:bCs/>
          <w:color w:val="auto"/>
          <w:sz w:val="24"/>
          <w:highlight w:val="none"/>
          <w:lang w:eastAsia="zh-CN"/>
        </w:rPr>
        <w:t>危险废物</w:t>
      </w:r>
      <w:r>
        <w:rPr>
          <w:rFonts w:hint="default" w:ascii="Times New Roman" w:hAnsi="Times New Roman" w:eastAsia="宋体" w:cs="Times New Roman"/>
          <w:b/>
          <w:bCs/>
          <w:color w:val="auto"/>
          <w:sz w:val="24"/>
          <w:highlight w:val="none"/>
        </w:rPr>
        <w:t>运输过程分析</w:t>
      </w:r>
    </w:p>
    <w:p w14:paraId="7EDCDF0E">
      <w:pPr>
        <w:adjustRightInd w:val="0"/>
        <w:snapToGrid w:val="0"/>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根据国务院令第344号《危险化学品安全管理条例》、原国家环境保护总局令第5号《危险废物转移联单管理办法》的有关规定，在危险废物外运至处置单位时必须严格遵守以下要求：</w:t>
      </w:r>
    </w:p>
    <w:p w14:paraId="3D19C4E6">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①危险废物在转移前，建设单位须按照国家有关规定报批危险废物转移计划；经批准后，建设单位应当向</w:t>
      </w:r>
      <w:r>
        <w:rPr>
          <w:rFonts w:hint="eastAsia" w:ascii="Times New Roman" w:hAnsi="Times New Roman" w:eastAsia="宋体" w:cs="Times New Roman"/>
          <w:color w:val="auto"/>
          <w:sz w:val="24"/>
          <w:highlight w:val="none"/>
          <w:lang w:val="en-US" w:eastAsia="zh-CN"/>
        </w:rPr>
        <w:t>领导部门</w:t>
      </w:r>
      <w:r>
        <w:rPr>
          <w:rFonts w:hint="default" w:ascii="Times New Roman" w:hAnsi="Times New Roman" w:eastAsia="宋体" w:cs="Times New Roman"/>
          <w:color w:val="auto"/>
          <w:sz w:val="24"/>
          <w:highlight w:val="none"/>
        </w:rPr>
        <w:t>申请领取联单。转移前三日内报告移出</w:t>
      </w:r>
      <w:r>
        <w:rPr>
          <w:rFonts w:hint="default" w:ascii="Times New Roman" w:hAnsi="Times New Roman" w:cs="Times New Roman"/>
          <w:color w:val="auto"/>
          <w:sz w:val="24"/>
          <w:highlight w:val="none"/>
          <w:lang w:eastAsia="zh-CN"/>
        </w:rPr>
        <w:t>当</w:t>
      </w:r>
      <w:r>
        <w:rPr>
          <w:rFonts w:hint="default" w:ascii="Times New Roman" w:hAnsi="Times New Roman" w:eastAsia="宋体" w:cs="Times New Roman"/>
          <w:color w:val="auto"/>
          <w:sz w:val="24"/>
          <w:highlight w:val="none"/>
        </w:rPr>
        <w:t>地环境保护行政主管部门，并同时将预期到达时间报告</w:t>
      </w:r>
      <w:r>
        <w:rPr>
          <w:rFonts w:hint="eastAsia" w:cs="Times New Roman"/>
          <w:color w:val="auto"/>
          <w:sz w:val="24"/>
          <w:highlight w:val="none"/>
          <w:lang w:eastAsia="zh-CN"/>
        </w:rPr>
        <w:t>接收</w:t>
      </w:r>
      <w:r>
        <w:rPr>
          <w:rFonts w:hint="default" w:ascii="Times New Roman" w:hAnsi="Times New Roman" w:eastAsia="宋体" w:cs="Times New Roman"/>
          <w:color w:val="auto"/>
          <w:sz w:val="24"/>
          <w:highlight w:val="none"/>
        </w:rPr>
        <w:t>地环境保护行政主管部门。</w:t>
      </w:r>
    </w:p>
    <w:p w14:paraId="3634593B">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②危险废物产生单位每转移一车（次）同类危险废物，应当填写一份联单。每车有多类危险废物的，应当按每一类危险废物填写一份联单。</w:t>
      </w:r>
    </w:p>
    <w:p w14:paraId="257F8BE0">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③危险废物运输单位应当如实填写联单的运输单位栏目，按照国家有关危险物品运输的规定，将危险废物安全运抵联单载明的</w:t>
      </w:r>
      <w:r>
        <w:rPr>
          <w:rFonts w:hint="eastAsia" w:cs="Times New Roman"/>
          <w:color w:val="auto"/>
          <w:sz w:val="24"/>
          <w:highlight w:val="none"/>
          <w:lang w:eastAsia="zh-CN"/>
        </w:rPr>
        <w:t>接收</w:t>
      </w:r>
      <w:r>
        <w:rPr>
          <w:rFonts w:hint="default" w:ascii="Times New Roman" w:hAnsi="Times New Roman" w:eastAsia="宋体" w:cs="Times New Roman"/>
          <w:color w:val="auto"/>
          <w:sz w:val="24"/>
          <w:highlight w:val="none"/>
        </w:rPr>
        <w:t>地点，并将联单第一联、第二联副联、第三联、第四联、第五联随转移的危险废物交付危险废物</w:t>
      </w:r>
      <w:r>
        <w:rPr>
          <w:rFonts w:hint="eastAsia" w:cs="Times New Roman"/>
          <w:color w:val="auto"/>
          <w:sz w:val="24"/>
          <w:highlight w:val="none"/>
          <w:lang w:eastAsia="zh-CN"/>
        </w:rPr>
        <w:t>接收单位</w:t>
      </w:r>
      <w:r>
        <w:rPr>
          <w:rFonts w:hint="default" w:ascii="Times New Roman" w:hAnsi="Times New Roman" w:eastAsia="宋体" w:cs="Times New Roman"/>
          <w:color w:val="auto"/>
          <w:sz w:val="24"/>
          <w:highlight w:val="none"/>
        </w:rPr>
        <w:t>。</w:t>
      </w:r>
    </w:p>
    <w:p w14:paraId="5B20EF2E">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④危险废物</w:t>
      </w:r>
      <w:r>
        <w:rPr>
          <w:rFonts w:hint="eastAsia" w:cs="Times New Roman"/>
          <w:color w:val="auto"/>
          <w:sz w:val="24"/>
          <w:highlight w:val="none"/>
          <w:lang w:eastAsia="zh-CN"/>
        </w:rPr>
        <w:t>接收单位</w:t>
      </w:r>
      <w:r>
        <w:rPr>
          <w:rFonts w:hint="default" w:ascii="Times New Roman" w:hAnsi="Times New Roman" w:eastAsia="宋体" w:cs="Times New Roman"/>
          <w:color w:val="auto"/>
          <w:sz w:val="24"/>
          <w:highlight w:val="none"/>
        </w:rPr>
        <w:t>应当按照联单填写的内容对危险废物核实验收，如实填写联单中</w:t>
      </w:r>
      <w:r>
        <w:rPr>
          <w:rFonts w:hint="eastAsia" w:cs="Times New Roman"/>
          <w:color w:val="auto"/>
          <w:sz w:val="24"/>
          <w:highlight w:val="none"/>
          <w:lang w:eastAsia="zh-CN"/>
        </w:rPr>
        <w:t>接收单位</w:t>
      </w:r>
      <w:r>
        <w:rPr>
          <w:rFonts w:hint="default" w:ascii="Times New Roman" w:hAnsi="Times New Roman" w:eastAsia="宋体" w:cs="Times New Roman"/>
          <w:color w:val="auto"/>
          <w:sz w:val="24"/>
          <w:highlight w:val="none"/>
        </w:rPr>
        <w:t>栏目并加盖公章。</w:t>
      </w:r>
      <w:r>
        <w:rPr>
          <w:rFonts w:hint="eastAsia" w:cs="Times New Roman"/>
          <w:color w:val="auto"/>
          <w:sz w:val="24"/>
          <w:highlight w:val="none"/>
          <w:lang w:eastAsia="zh-CN"/>
        </w:rPr>
        <w:t>接收单位</w:t>
      </w:r>
      <w:r>
        <w:rPr>
          <w:rFonts w:hint="default" w:ascii="Times New Roman" w:hAnsi="Times New Roman" w:eastAsia="宋体" w:cs="Times New Roman"/>
          <w:color w:val="auto"/>
          <w:sz w:val="24"/>
          <w:highlight w:val="none"/>
        </w:rPr>
        <w:t>应当将联单第一联、第二联副联自</w:t>
      </w:r>
      <w:r>
        <w:rPr>
          <w:rFonts w:hint="eastAsia" w:cs="Times New Roman"/>
          <w:color w:val="auto"/>
          <w:sz w:val="24"/>
          <w:highlight w:val="none"/>
          <w:lang w:eastAsia="zh-CN"/>
        </w:rPr>
        <w:t>接收</w:t>
      </w:r>
      <w:r>
        <w:rPr>
          <w:rFonts w:hint="default" w:ascii="Times New Roman" w:hAnsi="Times New Roman" w:eastAsia="宋体" w:cs="Times New Roman"/>
          <w:color w:val="auto"/>
          <w:sz w:val="24"/>
          <w:highlight w:val="none"/>
        </w:rPr>
        <w:t>危险废物之日起十日内交付建设单位，联单第一联由建设单位自留存档，联单第二联副联由建设单位在二日内报送</w:t>
      </w:r>
      <w:r>
        <w:rPr>
          <w:rFonts w:hint="eastAsia" w:cs="Times New Roman"/>
          <w:color w:val="auto"/>
          <w:sz w:val="24"/>
          <w:highlight w:val="none"/>
          <w:lang w:val="en-US" w:eastAsia="zh-CN"/>
        </w:rPr>
        <w:t>田家庵区</w:t>
      </w:r>
      <w:r>
        <w:rPr>
          <w:rFonts w:hint="default" w:ascii="Times New Roman" w:hAnsi="Times New Roman" w:eastAsia="宋体" w:cs="Times New Roman"/>
          <w:color w:val="auto"/>
          <w:sz w:val="24"/>
          <w:highlight w:val="none"/>
        </w:rPr>
        <w:t>生态环境分局。</w:t>
      </w:r>
    </w:p>
    <w:p w14:paraId="34B9C357">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联单保存期限为五年；贮存危险废物的，其联单保存期限与危险废物贮存期限相同。生态环境行政主管部门认为有必要延长联单保存期限的，产生单位应当按照要求延期保存联单。</w:t>
      </w:r>
    </w:p>
    <w:p w14:paraId="6AAE46F8">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⑤废弃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14:paraId="0A104D43">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⑥处置单位在运输危险废物时必须配备押运人员，并随时处于押运人员的监管之下，不得超装、超载，严格按照所在城市规定的行车时间和行车路线行驶，不得进入危险化学品运输车辆禁止通行的区域。</w:t>
      </w:r>
    </w:p>
    <w:p w14:paraId="6EB7DBE2">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⑦危险废物在运输途中若发生被盗、丢失、流散、泄漏等情况时，公司及押运人员必须立即向当地公安部门报告，并采取一切可能的警示措施。</w:t>
      </w:r>
    </w:p>
    <w:p w14:paraId="4C7B8CD9">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⑧一旦发生废弃物泄漏事故，公司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bookmarkStart w:id="471" w:name="_Toc16882"/>
      <w:bookmarkEnd w:id="471"/>
    </w:p>
    <w:p w14:paraId="6A404286">
      <w:pPr>
        <w:adjustRightInd w:val="0"/>
        <w:snapToGrid w:val="0"/>
        <w:spacing w:line="360" w:lineRule="auto"/>
        <w:ind w:firstLine="482"/>
        <w:rPr>
          <w:rFonts w:hint="default" w:ascii="Times New Roman" w:hAnsi="Times New Roman" w:eastAsia="宋体" w:cs="Times New Roman"/>
          <w:b/>
          <w:bCs/>
          <w:color w:val="auto"/>
          <w:sz w:val="24"/>
          <w:highlight w:val="none"/>
          <w:lang w:val="en-GB"/>
        </w:rPr>
      </w:pPr>
      <w:r>
        <w:rPr>
          <w:rFonts w:hint="default" w:ascii="Times New Roman" w:hAnsi="Times New Roman" w:eastAsia="宋体" w:cs="Times New Roman"/>
          <w:b/>
          <w:bCs/>
          <w:color w:val="auto"/>
          <w:sz w:val="24"/>
          <w:highlight w:val="none"/>
        </w:rPr>
        <w:t>（</w:t>
      </w:r>
      <w:r>
        <w:rPr>
          <w:rFonts w:hint="eastAsia"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）委托利用或者处置的环境</w:t>
      </w:r>
      <w:r>
        <w:rPr>
          <w:rFonts w:hint="default" w:ascii="Times New Roman" w:hAnsi="Times New Roman" w:eastAsia="宋体" w:cs="Times New Roman"/>
          <w:b/>
          <w:bCs/>
          <w:color w:val="auto"/>
          <w:sz w:val="24"/>
          <w:highlight w:val="none"/>
          <w:lang w:val="en-GB"/>
        </w:rPr>
        <w:t>影响分析</w:t>
      </w:r>
    </w:p>
    <w:p w14:paraId="57CE204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highlight w:val="none"/>
          <w:lang w:val="en-GB"/>
        </w:rPr>
      </w:pPr>
      <w:r>
        <w:rPr>
          <w:color w:val="auto"/>
          <w:sz w:val="24"/>
          <w:szCs w:val="24"/>
          <w:highlight w:val="none"/>
          <w:lang w:val="en-GB"/>
        </w:rPr>
        <w:t>本项目建设单位</w:t>
      </w:r>
      <w:r>
        <w:rPr>
          <w:color w:val="auto"/>
          <w:sz w:val="24"/>
          <w:szCs w:val="24"/>
          <w:highlight w:val="none"/>
        </w:rPr>
        <w:t>应按照法规要求，</w:t>
      </w:r>
      <w:r>
        <w:rPr>
          <w:color w:val="auto"/>
          <w:sz w:val="24"/>
          <w:szCs w:val="24"/>
          <w:highlight w:val="none"/>
          <w:lang w:val="en-GB"/>
        </w:rPr>
        <w:t>将产生的危险废物拟委托有危废处置资质单位处理处置，在选择处置单位时要注意核实接收单位的核准经营范围及处置余量，保证本项目的危险废物均能够得到合理处置。</w:t>
      </w:r>
    </w:p>
    <w:p w14:paraId="7D94DCA1">
      <w:pPr>
        <w:pStyle w:val="5"/>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b/>
          <w:bCs/>
          <w:color w:val="auto"/>
          <w:highlight w:val="none"/>
          <w:lang w:val="zh-CN"/>
        </w:rPr>
      </w:pPr>
      <w:r>
        <w:rPr>
          <w:rFonts w:hint="eastAsia"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lang w:val="zh-CN"/>
        </w:rPr>
        <w:t>.2.</w:t>
      </w:r>
      <w:r>
        <w:rPr>
          <w:rFonts w:hint="eastAsia"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val="zh-CN"/>
        </w:rPr>
        <w:t>.</w:t>
      </w:r>
      <w:r>
        <w:rPr>
          <w:rFonts w:hint="default"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val="zh-CN" w:eastAsia="zh-CN"/>
        </w:rPr>
        <w:t>固体废物</w:t>
      </w:r>
      <w:r>
        <w:rPr>
          <w:rFonts w:hint="default" w:ascii="Times New Roman" w:hAnsi="Times New Roman" w:eastAsia="宋体" w:cs="Times New Roman"/>
          <w:b/>
          <w:bCs/>
          <w:color w:val="auto"/>
          <w:highlight w:val="none"/>
          <w:lang w:val="zh-CN"/>
        </w:rPr>
        <w:t>处置环境管理要求</w:t>
      </w:r>
    </w:p>
    <w:p w14:paraId="659A62B9">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（1）配套建设的固体废物污染环境防治设施（如固体废物收集、密封、转运设施），必须与主体工程同时设计、同时施工、同时投入使用。</w:t>
      </w:r>
    </w:p>
    <w:p w14:paraId="0B7129C4">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（2）加强对固体废物的管理和维护，保证配套建设的污染防治设施的容量满足</w:t>
      </w:r>
      <w:r>
        <w:rPr>
          <w:rFonts w:hint="default" w:ascii="Times New Roman" w:hAnsi="Times New Roman" w:cs="Times New Roman"/>
          <w:color w:val="auto"/>
          <w:sz w:val="24"/>
          <w:highlight w:val="none"/>
          <w:lang w:eastAsia="zh-CN"/>
        </w:rPr>
        <w:t>固体废物</w:t>
      </w:r>
      <w:r>
        <w:rPr>
          <w:rFonts w:hint="default" w:ascii="Times New Roman" w:hAnsi="Times New Roman" w:eastAsia="宋体" w:cs="Times New Roman"/>
          <w:color w:val="auto"/>
          <w:sz w:val="24"/>
          <w:highlight w:val="none"/>
        </w:rPr>
        <w:t>临时存储需求。按照国家有关规定制定危险废物管理计划，对危险废物的容器和包装物以及收集、贮存、运输、处置危险废物的设施、场所，必须设置危险废物识别标志。</w:t>
      </w:r>
    </w:p>
    <w:p w14:paraId="37E265C6">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严格按照《危险废物转移联单管理办法》，实施追踪管理、落实安全处置措施。在各类固体废物收集、贮存、运输、利用、处置过程中应采取必要的防扬散、防流失、防渗漏或者其他防止污染环境的措施。并落实各项处置协议。</w:t>
      </w:r>
    </w:p>
    <w:p w14:paraId="2F1D4A8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（4）实行固体废物的减量化，充分合理利用固体废物和无害化处置固体废物，实现清洁生产和循环经济的发展模式。</w:t>
      </w:r>
    </w:p>
    <w:p w14:paraId="75C719B6">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bookmarkStart w:id="472" w:name="_Toc6230"/>
      <w:bookmarkEnd w:id="472"/>
      <w:r>
        <w:rPr>
          <w:rFonts w:hint="eastAsia" w:ascii="Times New Roman" w:hAnsi="Times New Roman" w:eastAsia="宋体" w:cs="Times New Roman"/>
          <w:color w:val="auto"/>
          <w:sz w:val="24"/>
          <w:highlight w:val="none"/>
        </w:rPr>
        <w:t>综上所述，拟采取的危废处理处置措施符合《</w:t>
      </w:r>
      <w:r>
        <w:rPr>
          <w:rFonts w:hint="eastAsia" w:cs="Times New Roman"/>
          <w:color w:val="auto"/>
          <w:sz w:val="24"/>
          <w:highlight w:val="none"/>
          <w:lang w:eastAsia="zh-CN"/>
        </w:rPr>
        <w:t>中华人民共和国固体废物污染环境防治法</w:t>
      </w:r>
      <w:r>
        <w:rPr>
          <w:rFonts w:hint="eastAsia" w:ascii="Times New Roman" w:hAnsi="Times New Roman" w:eastAsia="宋体" w:cs="Times New Roman"/>
          <w:color w:val="auto"/>
          <w:sz w:val="24"/>
          <w:highlight w:val="none"/>
        </w:rPr>
        <w:t>》中危险废物的环境污染防治规定、《危险废物贮存污染控制标准》（</w:t>
      </w:r>
      <w:r>
        <w:rPr>
          <w:rFonts w:hint="default" w:ascii="Times New Roman" w:hAnsi="Times New Roman" w:eastAsia="宋体" w:cs="Times New Roman"/>
          <w:color w:val="auto"/>
          <w:sz w:val="24"/>
          <w:highlight w:val="none"/>
        </w:rPr>
        <w:t>GB18597-2023）等标准要求，通过采取以上、处理处置措施后，使本公司项目产生的危险固废实现有效的处理处置。</w:t>
      </w:r>
    </w:p>
    <w:p w14:paraId="7CD05D95">
      <w:pPr>
        <w:pStyle w:val="5"/>
        <w:pageBreakBefore w:val="0"/>
        <w:widowControl w:val="0"/>
        <w:kinsoku/>
        <w:wordWrap/>
        <w:overflowPunct/>
        <w:topLinePunct w:val="0"/>
        <w:autoSpaceDE/>
        <w:autoSpaceDN/>
        <w:bidi w:val="0"/>
        <w:adjustRightInd/>
        <w:snapToGrid/>
        <w:jc w:val="left"/>
        <w:textAlignment w:val="auto"/>
        <w:rPr>
          <w:rFonts w:hint="default" w:ascii="Times New Roman" w:hAnsi="Times New Roman" w:eastAsia="宋体" w:cs="Times New Roman"/>
          <w:b/>
          <w:bCs/>
          <w:color w:val="auto"/>
          <w:highlight w:val="none"/>
          <w:lang w:val="zh-CN"/>
        </w:rPr>
      </w:pPr>
      <w:r>
        <w:rPr>
          <w:rFonts w:hint="eastAsia"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lang w:val="zh-CN"/>
        </w:rPr>
        <w:t>.2.</w:t>
      </w:r>
      <w:r>
        <w:rPr>
          <w:rFonts w:hint="eastAsia" w:ascii="Times New Roman" w:hAnsi="Times New Roman" w:eastAsia="宋体" w:cs="Times New Roman"/>
          <w:b/>
          <w:bCs/>
          <w:color w:val="auto"/>
          <w:highlight w:val="none"/>
          <w:lang w:val="en-US" w:eastAsia="zh-CN"/>
        </w:rPr>
        <w:t>4</w:t>
      </w:r>
      <w:r>
        <w:rPr>
          <w:rFonts w:hint="default" w:ascii="Times New Roman" w:hAnsi="Times New Roman" w:eastAsia="宋体" w:cs="Times New Roman"/>
          <w:b/>
          <w:bCs/>
          <w:color w:val="auto"/>
          <w:highlight w:val="none"/>
          <w:lang w:val="zh-CN"/>
        </w:rPr>
        <w:t>.</w:t>
      </w:r>
      <w:r>
        <w:rPr>
          <w:rFonts w:hint="eastAsia" w:ascii="Times New Roman" w:hAnsi="Times New Roman" w:eastAsia="宋体" w:cs="Times New Roman"/>
          <w:b/>
          <w:bCs/>
          <w:color w:val="auto"/>
          <w:highlight w:val="none"/>
          <w:lang w:val="en-US" w:eastAsia="zh-CN"/>
        </w:rPr>
        <w:t>5</w:t>
      </w:r>
      <w:r>
        <w:rPr>
          <w:color w:val="auto"/>
          <w:highlight w:val="none"/>
          <w:lang w:val="en-GB"/>
        </w:rPr>
        <w:t>固体废物环境影响分析</w:t>
      </w:r>
      <w:r>
        <w:rPr>
          <w:color w:val="auto"/>
          <w:highlight w:val="none"/>
        </w:rPr>
        <w:t>结论与建议</w:t>
      </w:r>
    </w:p>
    <w:p w14:paraId="225C64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en-GB"/>
        </w:rPr>
      </w:pPr>
      <w:r>
        <w:rPr>
          <w:rFonts w:hint="eastAsia"/>
          <w:color w:val="auto"/>
          <w:sz w:val="24"/>
          <w:szCs w:val="24"/>
          <w:highlight w:val="none"/>
          <w:lang w:val="en-GB"/>
        </w:rPr>
        <w:t>本</w:t>
      </w:r>
      <w:r>
        <w:rPr>
          <w:color w:val="auto"/>
          <w:sz w:val="24"/>
          <w:szCs w:val="24"/>
          <w:highlight w:val="none"/>
          <w:lang w:val="en-GB"/>
        </w:rPr>
        <w:t>项目建成投产后，</w:t>
      </w:r>
      <w:r>
        <w:rPr>
          <w:color w:val="auto"/>
          <w:sz w:val="24"/>
          <w:szCs w:val="24"/>
          <w:highlight w:val="none"/>
        </w:rPr>
        <w:t>通过落实环评提出的污染防控措施，本项目产生的固体废物对环境的影响可以接受。</w:t>
      </w:r>
      <w:r>
        <w:rPr>
          <w:color w:val="auto"/>
          <w:sz w:val="24"/>
          <w:szCs w:val="24"/>
          <w:highlight w:val="none"/>
          <w:lang w:val="en-GB"/>
        </w:rPr>
        <w:t>公司应加强对固体废物的管理，完善相应的防治措施，防止固体废物可能对环境的污染。为此，建议：</w:t>
      </w:r>
    </w:p>
    <w:p w14:paraId="620D5BE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en-GB"/>
        </w:rPr>
      </w:pPr>
      <w:r>
        <w:rPr>
          <w:rFonts w:hint="eastAsia"/>
          <w:color w:val="auto"/>
          <w:sz w:val="24"/>
          <w:szCs w:val="24"/>
          <w:highlight w:val="none"/>
          <w:lang w:val="en-GB"/>
        </w:rPr>
        <w:t>（</w:t>
      </w:r>
      <w:r>
        <w:rPr>
          <w:rFonts w:hint="eastAsia"/>
          <w:color w:val="auto"/>
          <w:sz w:val="24"/>
          <w:szCs w:val="24"/>
          <w:highlight w:val="none"/>
        </w:rPr>
        <w:t>1</w:t>
      </w:r>
      <w:r>
        <w:rPr>
          <w:rFonts w:hint="eastAsia"/>
          <w:color w:val="auto"/>
          <w:sz w:val="24"/>
          <w:szCs w:val="24"/>
          <w:highlight w:val="none"/>
          <w:lang w:val="en-GB"/>
        </w:rPr>
        <w:t>）</w:t>
      </w:r>
      <w:r>
        <w:rPr>
          <w:color w:val="auto"/>
          <w:sz w:val="24"/>
          <w:szCs w:val="24"/>
          <w:highlight w:val="none"/>
          <w:lang w:val="en-GB"/>
        </w:rPr>
        <w:t>废物减量化：加强管理，合理选择和利用原材料、能源和</w:t>
      </w:r>
      <w:r>
        <w:rPr>
          <w:rFonts w:hint="eastAsia"/>
          <w:color w:val="auto"/>
          <w:sz w:val="24"/>
          <w:szCs w:val="24"/>
          <w:highlight w:val="none"/>
          <w:lang w:val="en-GB"/>
        </w:rPr>
        <w:t>其他资源</w:t>
      </w:r>
      <w:r>
        <w:rPr>
          <w:color w:val="auto"/>
          <w:sz w:val="24"/>
          <w:szCs w:val="24"/>
          <w:highlight w:val="none"/>
          <w:lang w:val="en-GB"/>
        </w:rPr>
        <w:t>，采用先进的生产工艺和设备，进行清洁生产，尽量减少固体废物的产生量。</w:t>
      </w:r>
    </w:p>
    <w:p w14:paraId="64619B1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en-GB"/>
        </w:rPr>
      </w:pPr>
      <w:r>
        <w:rPr>
          <w:rFonts w:hint="eastAsia"/>
          <w:color w:val="auto"/>
          <w:sz w:val="24"/>
          <w:szCs w:val="24"/>
          <w:highlight w:val="none"/>
          <w:lang w:val="en-GB"/>
        </w:rPr>
        <w:t>（</w:t>
      </w:r>
      <w:r>
        <w:rPr>
          <w:rFonts w:hint="eastAsia"/>
          <w:color w:val="auto"/>
          <w:sz w:val="24"/>
          <w:szCs w:val="24"/>
          <w:highlight w:val="none"/>
        </w:rPr>
        <w:t>2</w:t>
      </w:r>
      <w:r>
        <w:rPr>
          <w:rFonts w:hint="eastAsia"/>
          <w:color w:val="auto"/>
          <w:sz w:val="24"/>
          <w:szCs w:val="24"/>
          <w:highlight w:val="none"/>
          <w:lang w:val="en-GB"/>
        </w:rPr>
        <w:t>）</w:t>
      </w:r>
      <w:r>
        <w:rPr>
          <w:color w:val="auto"/>
          <w:sz w:val="24"/>
          <w:szCs w:val="24"/>
          <w:highlight w:val="none"/>
          <w:lang w:val="en-GB"/>
        </w:rPr>
        <w:t>废物的储存堆放：坚持危险废物和一般废物分开存放，不能混放的原则。危险废物在装卸、运输、堆放过程中，注意防止危险废物的泄漏产生二次污染。</w:t>
      </w:r>
    </w:p>
    <w:p w14:paraId="46B8A9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综上，在加强环境管理，并在落实好各项污染防治措施和固体废物安全处置的前提下，本项目所产生的固体废物对周围环境影响较小，不造成二次污染。</w:t>
      </w:r>
    </w:p>
    <w:bookmarkEnd w:id="467"/>
    <w:bookmarkEnd w:id="468"/>
    <w:bookmarkEnd w:id="469"/>
    <w:bookmarkEnd w:id="470"/>
    <w:p w14:paraId="4EF860C5">
      <w:pPr>
        <w:pStyle w:val="4"/>
        <w:pageBreakBefore w:val="0"/>
        <w:widowControl w:val="0"/>
        <w:kinsoku/>
        <w:wordWrap/>
        <w:overflowPunct/>
        <w:topLinePunct w:val="0"/>
        <w:autoSpaceDE/>
        <w:autoSpaceDN/>
        <w:bidi w:val="0"/>
        <w:adjustRightInd/>
        <w:snapToGrid/>
        <w:spacing w:after="156"/>
        <w:textAlignment w:val="auto"/>
        <w:rPr>
          <w:rFonts w:ascii="Times New Roman" w:hAnsi="Times New Roman" w:eastAsia="宋体" w:cs="Times New Roman"/>
          <w:b/>
          <w:color w:val="auto"/>
          <w:highlight w:val="none"/>
        </w:rPr>
      </w:pPr>
      <w:bookmarkStart w:id="473" w:name="_Toc152923344"/>
      <w:bookmarkStart w:id="474" w:name="_Toc117150267"/>
      <w:bookmarkStart w:id="475" w:name="_Toc152921704"/>
      <w:bookmarkStart w:id="476" w:name="_Toc152922663"/>
      <w:bookmarkStart w:id="477" w:name="_Toc152922069"/>
      <w:r>
        <w:rPr>
          <w:rFonts w:ascii="Times New Roman" w:hAnsi="Times New Roman" w:eastAsia="宋体" w:cs="Times New Roman"/>
          <w:b/>
          <w:color w:val="auto"/>
          <w:highlight w:val="none"/>
        </w:rPr>
        <w:t>5.2.5运营期地下水环境影响</w:t>
      </w:r>
      <w:r>
        <w:rPr>
          <w:rFonts w:hint="eastAsia" w:ascii="Times New Roman" w:hAnsi="Times New Roman" w:eastAsia="宋体" w:cs="Times New Roman"/>
          <w:b/>
          <w:color w:val="auto"/>
          <w:highlight w:val="none"/>
          <w:lang w:val="en-US" w:eastAsia="zh-CN"/>
        </w:rPr>
        <w:t>预测与</w:t>
      </w:r>
      <w:r>
        <w:rPr>
          <w:rFonts w:ascii="Times New Roman" w:hAnsi="Times New Roman" w:eastAsia="宋体" w:cs="Times New Roman"/>
          <w:b/>
          <w:color w:val="auto"/>
          <w:highlight w:val="none"/>
        </w:rPr>
        <w:t>评价</w:t>
      </w:r>
      <w:bookmarkEnd w:id="473"/>
      <w:bookmarkEnd w:id="474"/>
      <w:bookmarkEnd w:id="475"/>
      <w:bookmarkEnd w:id="476"/>
      <w:bookmarkEnd w:id="477"/>
    </w:p>
    <w:p w14:paraId="05EAE39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根据《环境影响评价技术导则地下水》（HJ610-2016）表</w:t>
      </w:r>
      <w:r>
        <w:rPr>
          <w:rFonts w:hint="default"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rPr>
        <w:t>中规定，项目为</w:t>
      </w:r>
      <w:r>
        <w:rPr>
          <w:rFonts w:hint="default" w:ascii="Times New Roman" w:hAnsi="Times New Roman" w:cs="Times New Roman"/>
          <w:color w:val="auto"/>
          <w:sz w:val="24"/>
          <w:highlight w:val="none"/>
          <w:lang w:val="en-US" w:eastAsia="zh-CN"/>
        </w:rPr>
        <w:t>I</w:t>
      </w:r>
      <w:r>
        <w:rPr>
          <w:rFonts w:hint="default" w:ascii="Times New Roman" w:hAnsi="Times New Roman" w:eastAsia="宋体" w:cs="Times New Roman"/>
          <w:color w:val="auto"/>
          <w:sz w:val="24"/>
          <w:highlight w:val="none"/>
        </w:rPr>
        <w:t>类项目，区域地下水敏感程度为不敏感，本项目地下水评价等级为</w:t>
      </w:r>
      <w:r>
        <w:rPr>
          <w:rFonts w:hint="eastAsia" w:ascii="Times New Roman" w:hAnsi="Times New Roman" w:eastAsia="宋体" w:cs="Times New Roman"/>
          <w:color w:val="auto"/>
          <w:sz w:val="24"/>
          <w:highlight w:val="none"/>
          <w:lang w:val="en-US" w:eastAsia="zh-CN"/>
        </w:rPr>
        <w:t>二</w:t>
      </w:r>
      <w:r>
        <w:rPr>
          <w:rFonts w:hint="default" w:ascii="Times New Roman" w:hAnsi="Times New Roman" w:eastAsia="宋体" w:cs="Times New Roman"/>
          <w:color w:val="auto"/>
          <w:sz w:val="24"/>
          <w:highlight w:val="none"/>
        </w:rPr>
        <w:t>级。项目地下水评价范围为周边6km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的范围</w:t>
      </w:r>
      <w:r>
        <w:rPr>
          <w:rFonts w:hint="default" w:ascii="Times New Roman" w:hAnsi="Times New Roman" w:cs="Times New Roman"/>
          <w:color w:val="auto"/>
          <w:sz w:val="24"/>
          <w:highlight w:val="none"/>
          <w:lang w:eastAsia="zh-CN"/>
        </w:rPr>
        <w:t>。</w:t>
      </w:r>
    </w:p>
    <w:p w14:paraId="6956A88E">
      <w:pPr>
        <w:pStyle w:val="5"/>
        <w:pageBreakBefore w:val="0"/>
        <w:widowControl w:val="0"/>
        <w:kinsoku/>
        <w:wordWrap/>
        <w:overflowPunct/>
        <w:topLinePunct w:val="0"/>
        <w:autoSpaceDE/>
        <w:autoSpaceDN/>
        <w:bidi w:val="0"/>
        <w:adjustRightInd/>
        <w:snapToGrid/>
        <w:jc w:val="left"/>
        <w:textAlignment w:val="auto"/>
        <w:rPr>
          <w:rFonts w:ascii="Times New Roman" w:hAnsi="Times New Roman" w:eastAsia="宋体" w:cs="Times New Roman"/>
          <w:b/>
          <w:bCs/>
          <w:color w:val="auto"/>
          <w:highlight w:val="none"/>
          <w:lang w:val="zh-CN" w:eastAsia="zh-CN"/>
        </w:rPr>
      </w:pPr>
      <w:r>
        <w:rPr>
          <w:rFonts w:hint="eastAsia" w:ascii="Times New Roman" w:hAnsi="Times New Roman" w:eastAsia="宋体" w:cs="Times New Roman"/>
          <w:b/>
          <w:bCs/>
          <w:color w:val="auto"/>
          <w:highlight w:val="none"/>
          <w:lang w:val="zh-CN" w:eastAsia="zh-CN"/>
        </w:rPr>
        <w:t>5.</w:t>
      </w:r>
      <w:r>
        <w:rPr>
          <w:rFonts w:hint="eastAsia"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zh-CN" w:eastAsia="zh-CN"/>
        </w:rPr>
        <w:t>5.1区域</w:t>
      </w:r>
      <w:r>
        <w:rPr>
          <w:rFonts w:ascii="Times New Roman" w:hAnsi="Times New Roman" w:eastAsia="宋体" w:cs="Times New Roman"/>
          <w:b/>
          <w:bCs/>
          <w:color w:val="auto"/>
          <w:highlight w:val="none"/>
          <w:lang w:val="zh-CN" w:eastAsia="zh-CN"/>
        </w:rPr>
        <w:t>水文地质条件</w:t>
      </w:r>
    </w:p>
    <w:p w14:paraId="4B01D024">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lang w:val="zh-CN" w:eastAsia="zh-CN"/>
        </w:rPr>
      </w:pPr>
      <w:bookmarkStart w:id="478" w:name="_Toc452715779"/>
      <w:bookmarkStart w:id="479" w:name="_Toc31088"/>
      <w:r>
        <w:rPr>
          <w:rFonts w:hint="default"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地形地貌</w:t>
      </w:r>
      <w:bookmarkEnd w:id="478"/>
      <w:bookmarkEnd w:id="479"/>
    </w:p>
    <w:p w14:paraId="45089FE8">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lang w:val="zh-CN"/>
        </w:rPr>
      </w:pPr>
      <w:r>
        <w:rPr>
          <w:rFonts w:hint="eastAsia" w:ascii="Times New Roman" w:hAnsi="Times New Roman" w:eastAsia="宋体" w:cs="Times New Roman"/>
          <w:color w:val="auto"/>
          <w:sz w:val="24"/>
          <w:highlight w:val="none"/>
          <w:lang w:val="zh-CN"/>
        </w:rPr>
        <w:t>规划区位于淮河以南，地貌单元为剥蚀堆积平原、泛滥冲积平原，微地貌形态可进一步划分为河间平地（Ⅰ）、沿河泛滥带（Ⅱ）、河漫滩（Ⅲ）三个类型。</w:t>
      </w:r>
    </w:p>
    <w:p w14:paraId="0F2B1E91">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（1）河间平地（</w:t>
      </w:r>
      <w:r>
        <w:rPr>
          <w:rFonts w:hint="eastAsia" w:ascii="Times New Roman" w:hAnsi="Times New Roman" w:eastAsia="宋体" w:cs="Times New Roman"/>
          <w:color w:val="auto"/>
          <w:sz w:val="24"/>
          <w:highlight w:val="none"/>
        </w:rPr>
        <w:t>Ⅰ</w:t>
      </w:r>
      <w:r>
        <w:rPr>
          <w:rFonts w:hint="default" w:ascii="Times New Roman" w:hAnsi="Times New Roman" w:eastAsia="宋体" w:cs="Times New Roman"/>
          <w:color w:val="auto"/>
          <w:sz w:val="24"/>
          <w:highlight w:val="none"/>
        </w:rPr>
        <w:t>）</w:t>
      </w:r>
    </w:p>
    <w:p w14:paraId="5E97EE8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分布于本区大部分地区，地势平坦开阔，地面标高22~23m左右，地表岩性为第四系上更新统颍上组（Q3）粉质黏土及黏土。</w:t>
      </w:r>
    </w:p>
    <w:p w14:paraId="58388980">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（2）沿河泛滥带（</w:t>
      </w:r>
      <w:r>
        <w:rPr>
          <w:rFonts w:hint="eastAsia" w:ascii="Times New Roman" w:hAnsi="Times New Roman" w:eastAsia="宋体" w:cs="Times New Roman"/>
          <w:color w:val="auto"/>
          <w:sz w:val="24"/>
          <w:highlight w:val="none"/>
        </w:rPr>
        <w:t>Ⅱ</w:t>
      </w:r>
      <w:r>
        <w:rPr>
          <w:rFonts w:hint="default" w:ascii="Times New Roman" w:hAnsi="Times New Roman" w:eastAsia="宋体" w:cs="Times New Roman"/>
          <w:color w:val="auto"/>
          <w:sz w:val="24"/>
          <w:highlight w:val="none"/>
        </w:rPr>
        <w:t>）</w:t>
      </w:r>
    </w:p>
    <w:p w14:paraId="577D63B3">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分布于中南部泥河两侧地区，地势较低洼，地面标高17~18m，地表岩性为全新统蚌埠组（Q4）粉土、粉质黏土。</w:t>
      </w:r>
    </w:p>
    <w:p w14:paraId="4947A7A7">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（3）河漫滩（</w:t>
      </w:r>
      <w:r>
        <w:rPr>
          <w:rFonts w:hint="eastAsia" w:ascii="Times New Roman" w:hAnsi="Times New Roman" w:eastAsia="宋体" w:cs="Times New Roman"/>
          <w:color w:val="auto"/>
          <w:sz w:val="24"/>
          <w:highlight w:val="none"/>
        </w:rPr>
        <w:t>Ⅲ</w:t>
      </w:r>
      <w:r>
        <w:rPr>
          <w:rFonts w:hint="default" w:ascii="Times New Roman" w:hAnsi="Times New Roman" w:eastAsia="宋体" w:cs="Times New Roman"/>
          <w:color w:val="auto"/>
          <w:sz w:val="24"/>
          <w:highlight w:val="none"/>
        </w:rPr>
        <w:t>）</w:t>
      </w:r>
    </w:p>
    <w:p w14:paraId="5381A9D1">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分布于淮河河谷两侧，地面标高18~19m，地表岩性为全新统蚌埠组（Q4）粉砂、粉土。</w:t>
      </w:r>
    </w:p>
    <w:p w14:paraId="2EAD79CE">
      <w:pPr>
        <w:widowControl w:val="0"/>
        <w:kinsoku w:val="0"/>
        <w:overflowPunct w:val="0"/>
        <w:adjustRightInd w:val="0"/>
        <w:snapToGrid w:val="0"/>
        <w:spacing w:before="154" w:line="324" w:lineRule="auto"/>
        <w:ind w:firstLine="0" w:firstLineChars="0"/>
        <w:jc w:val="center"/>
        <w:rPr>
          <w:rFonts w:ascii="Times New Roman" w:hAnsi="Calibri" w:eastAsia="宋体" w:cs="Times New Roman"/>
          <w:color w:val="auto"/>
          <w:kern w:val="2"/>
          <w:sz w:val="5"/>
          <w:szCs w:val="22"/>
          <w:highlight w:val="none"/>
          <w:lang w:val="en-US" w:eastAsia="zh-CN" w:bidi="ar-SA"/>
        </w:rPr>
      </w:pPr>
      <w:r>
        <w:rPr>
          <w:rFonts w:ascii="Times New Roman" w:hAnsi="Calibri" w:eastAsia="宋体" w:cs="Times New Roman"/>
          <w:color w:val="auto"/>
          <w:kern w:val="2"/>
          <w:sz w:val="24"/>
          <w:szCs w:val="22"/>
          <w:highlight w:val="none"/>
          <w:lang w:val="en-US" w:eastAsia="zh-CN" w:bidi="ar-SA"/>
        </w:rPr>
        <mc:AlternateContent>
          <mc:Choice Requires="wps">
            <w:drawing>
              <wp:anchor distT="0" distB="0" distL="114300" distR="114300" simplePos="0" relativeHeight="251719680" behindDoc="0" locked="0" layoutInCell="1" allowOverlap="1">
                <wp:simplePos x="0" y="0"/>
                <wp:positionH relativeFrom="column">
                  <wp:posOffset>2704465</wp:posOffset>
                </wp:positionH>
                <wp:positionV relativeFrom="paragraph">
                  <wp:posOffset>2769870</wp:posOffset>
                </wp:positionV>
                <wp:extent cx="1014730" cy="368300"/>
                <wp:effectExtent l="6350" t="6350" r="7620" b="406400"/>
                <wp:wrapNone/>
                <wp:docPr id="932" name="对话气泡: 矩形 932"/>
                <wp:cNvGraphicFramePr/>
                <a:graphic xmlns:a="http://schemas.openxmlformats.org/drawingml/2006/main">
                  <a:graphicData uri="http://schemas.microsoft.com/office/word/2010/wordprocessingShape">
                    <wps:wsp>
                      <wps:cNvSpPr/>
                      <wps:spPr>
                        <a:xfrm>
                          <a:off x="0" y="0"/>
                          <a:ext cx="1014761" cy="367990"/>
                        </a:xfrm>
                        <a:prstGeom prst="wedgeRectCallout">
                          <a:avLst>
                            <a:gd name="adj1" fmla="val -42726"/>
                            <a:gd name="adj2" fmla="val 153279"/>
                          </a:avLst>
                        </a:prstGeom>
                        <a:noFill/>
                        <a:ln w="12700" cap="flat" cmpd="sng" algn="ctr">
                          <a:solidFill>
                            <a:srgbClr val="FF0000"/>
                          </a:solidFill>
                          <a:prstDash val="solid"/>
                          <a:miter lim="800000"/>
                        </a:ln>
                        <a:effectLst/>
                      </wps:spPr>
                      <wps:txbx>
                        <w:txbxContent>
                          <w:p w14:paraId="4ECC7EC2">
                            <w:pPr>
                              <w:adjustRightInd w:val="0"/>
                              <w:snapToGrid w:val="0"/>
                              <w:spacing w:line="240" w:lineRule="auto"/>
                              <w:ind w:firstLine="0" w:firstLineChars="0"/>
                              <w:rPr>
                                <w:rFonts w:ascii="Times New Roman" w:hAnsi="Times New Roman" w:eastAsia="宋体" w:cs="Times New Roman"/>
                                <w:b/>
                                <w:bCs/>
                                <w:color w:val="FF0000"/>
                                <w:sz w:val="21"/>
                                <w:szCs w:val="21"/>
                              </w:rPr>
                            </w:pPr>
                            <w:r>
                              <w:rPr>
                                <w:rFonts w:hint="eastAsia" w:ascii="Times New Roman" w:hAnsi="Times New Roman" w:eastAsia="宋体" w:cs="Times New Roman"/>
                                <w:b/>
                                <w:bCs/>
                                <w:color w:val="FF0000"/>
                                <w:sz w:val="21"/>
                                <w:szCs w:val="21"/>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932" o:spid="_x0000_s1026" o:spt="61" type="#_x0000_t61" style="position:absolute;left:0pt;margin-left:212.95pt;margin-top:218.1pt;height:29pt;width:79.9pt;z-index:251719680;v-text-anchor:middle;mso-width-relative:page;mso-height-relative:page;" filled="f" stroked="t" coordsize="21600,21600" o:gfxdata="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VbBUM9sAAAALAQAADwAA&#10;AAAAAAABACAAAAAiAAAAZHJzL2Rvd25yZXYueG1sUEsBAhQAFAAAAAgAh07iQORS24S+AgAAVQUA&#10;AA4AAAAAAAAAAQAgAAAAKgEAAGRycy9lMm9Eb2MueG1sUEsFBgAAAAAGAAYAWQEAAFoGAAAAAA==&#10;" adj="1571,43908">
                <v:fill on="f" focussize="0,0"/>
                <v:stroke weight="1pt" color="#FF0000" miterlimit="8" joinstyle="miter"/>
                <v:imagedata o:title=""/>
                <o:lock v:ext="edit" aspectratio="f"/>
                <v:textbox>
                  <w:txbxContent>
                    <w:p w14:paraId="4ECC7EC2">
                      <w:pPr>
                        <w:adjustRightInd w:val="0"/>
                        <w:snapToGrid w:val="0"/>
                        <w:spacing w:line="240" w:lineRule="auto"/>
                        <w:ind w:firstLine="0" w:firstLineChars="0"/>
                        <w:rPr>
                          <w:rFonts w:ascii="Times New Roman" w:hAnsi="Times New Roman" w:eastAsia="宋体" w:cs="Times New Roman"/>
                          <w:b/>
                          <w:bCs/>
                          <w:color w:val="FF0000"/>
                          <w:sz w:val="21"/>
                          <w:szCs w:val="21"/>
                        </w:rPr>
                      </w:pPr>
                      <w:r>
                        <w:rPr>
                          <w:rFonts w:hint="eastAsia" w:ascii="Times New Roman" w:hAnsi="Times New Roman" w:eastAsia="宋体" w:cs="Times New Roman"/>
                          <w:b/>
                          <w:bCs/>
                          <w:color w:val="FF0000"/>
                          <w:sz w:val="21"/>
                          <w:szCs w:val="21"/>
                        </w:rPr>
                        <w:t>项目所在地</w:t>
                      </w:r>
                    </w:p>
                  </w:txbxContent>
                </v:textbox>
              </v:shape>
            </w:pict>
          </mc:Fallback>
        </mc:AlternateContent>
      </w:r>
      <w:r>
        <w:rPr>
          <w:rFonts w:ascii="Times New Roman" w:hAnsi="Calibri" w:eastAsia="宋体" w:cs="Times New Roman"/>
          <w:color w:val="auto"/>
          <w:kern w:val="2"/>
          <w:sz w:val="24"/>
          <w:szCs w:val="22"/>
          <w:highlight w:val="none"/>
          <w:lang w:val="en-US" w:eastAsia="zh-CN" w:bidi="ar-SA"/>
        </w:rPr>
        <w:drawing>
          <wp:inline distT="0" distB="0" distL="114300" distR="114300">
            <wp:extent cx="5291455" cy="8162290"/>
            <wp:effectExtent l="0" t="0" r="4445" b="10160"/>
            <wp:docPr id="585" name="图片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3167"/>
                    <pic:cNvPicPr>
                      <a:picLocks noChangeAspect="1"/>
                    </pic:cNvPicPr>
                  </pic:nvPicPr>
                  <pic:blipFill>
                    <a:blip r:embed="rId78"/>
                    <a:stretch>
                      <a:fillRect/>
                    </a:stretch>
                  </pic:blipFill>
                  <pic:spPr>
                    <a:xfrm>
                      <a:off x="0" y="0"/>
                      <a:ext cx="5291455" cy="8162290"/>
                    </a:xfrm>
                    <a:prstGeom prst="rect">
                      <a:avLst/>
                    </a:prstGeom>
                    <a:noFill/>
                    <a:ln>
                      <a:noFill/>
                    </a:ln>
                  </pic:spPr>
                </pic:pic>
              </a:graphicData>
            </a:graphic>
          </wp:inline>
        </w:drawing>
      </w:r>
    </w:p>
    <w:p w14:paraId="06CD4EB6">
      <w:pPr>
        <w:widowControl w:val="0"/>
        <w:adjustRightInd w:val="0"/>
        <w:snapToGrid w:val="0"/>
        <w:spacing w:line="500" w:lineRule="exact"/>
        <w:ind w:firstLine="0" w:firstLineChars="0"/>
        <w:jc w:val="center"/>
        <w:rPr>
          <w:rFonts w:hint="default" w:ascii="Times New Roman" w:hAnsi="Times New Roman" w:eastAsia="宋体" w:cs="Times New Roman"/>
          <w:b/>
          <w:bCs/>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图5.2.5-1  安徽省地层区划图</w:t>
      </w:r>
    </w:p>
    <w:p w14:paraId="607A5716">
      <w:pPr>
        <w:widowControl w:val="0"/>
        <w:kinsoku w:val="0"/>
        <w:overflowPunct w:val="0"/>
        <w:adjustRightInd w:val="0"/>
        <w:snapToGrid w:val="0"/>
        <w:spacing w:line="360" w:lineRule="auto"/>
        <w:ind w:firstLine="0" w:firstLineChars="0"/>
        <w:jc w:val="center"/>
        <w:rPr>
          <w:rFonts w:ascii="Times New Roman" w:hAnsi="Calibri" w:eastAsia="宋体" w:cs="Times New Roman"/>
          <w:color w:val="auto"/>
          <w:kern w:val="2"/>
          <w:sz w:val="24"/>
          <w:szCs w:val="22"/>
          <w:highlight w:val="none"/>
          <w:lang w:val="en-US" w:eastAsia="zh-CN" w:bidi="ar-SA"/>
        </w:rPr>
      </w:pPr>
      <w:r>
        <w:rPr>
          <w:rFonts w:ascii="Times New Roman" w:hAnsi="Calibri" w:eastAsia="宋体" w:cs="Times New Roman"/>
          <w:color w:val="auto"/>
          <w:kern w:val="2"/>
          <w:sz w:val="24"/>
          <w:szCs w:val="22"/>
          <w:highlight w:val="none"/>
          <w:lang w:val="en-US" w:eastAsia="zh-CN" w:bidi="ar-SA"/>
        </w:rPr>
        <mc:AlternateContent>
          <mc:Choice Requires="wps">
            <w:drawing>
              <wp:anchor distT="0" distB="0" distL="114300" distR="114300" simplePos="0" relativeHeight="251718656" behindDoc="0" locked="0" layoutInCell="1" allowOverlap="1">
                <wp:simplePos x="0" y="0"/>
                <wp:positionH relativeFrom="column">
                  <wp:posOffset>2689225</wp:posOffset>
                </wp:positionH>
                <wp:positionV relativeFrom="paragraph">
                  <wp:posOffset>2333625</wp:posOffset>
                </wp:positionV>
                <wp:extent cx="1014730" cy="368300"/>
                <wp:effectExtent l="6350" t="6350" r="7620" b="406400"/>
                <wp:wrapNone/>
                <wp:docPr id="933" name="对话气泡: 矩形 933"/>
                <wp:cNvGraphicFramePr/>
                <a:graphic xmlns:a="http://schemas.openxmlformats.org/drawingml/2006/main">
                  <a:graphicData uri="http://schemas.microsoft.com/office/word/2010/wordprocessingShape">
                    <wps:wsp>
                      <wps:cNvSpPr/>
                      <wps:spPr>
                        <a:xfrm>
                          <a:off x="0" y="0"/>
                          <a:ext cx="1014761" cy="367990"/>
                        </a:xfrm>
                        <a:prstGeom prst="wedgeRectCallout">
                          <a:avLst>
                            <a:gd name="adj1" fmla="val -42726"/>
                            <a:gd name="adj2" fmla="val 153279"/>
                          </a:avLst>
                        </a:prstGeom>
                        <a:noFill/>
                        <a:ln w="12700" cap="flat" cmpd="sng" algn="ctr">
                          <a:solidFill>
                            <a:srgbClr val="FF0000"/>
                          </a:solidFill>
                          <a:prstDash val="solid"/>
                          <a:miter lim="800000"/>
                        </a:ln>
                        <a:effectLst/>
                      </wps:spPr>
                      <wps:txbx>
                        <w:txbxContent>
                          <w:p w14:paraId="5C2D47C9">
                            <w:pPr>
                              <w:adjustRightInd w:val="0"/>
                              <w:snapToGrid w:val="0"/>
                              <w:spacing w:line="240" w:lineRule="auto"/>
                              <w:ind w:firstLine="0" w:firstLineChars="0"/>
                              <w:rPr>
                                <w:rFonts w:ascii="Times New Roman" w:hAnsi="Times New Roman" w:eastAsia="宋体" w:cs="Times New Roman"/>
                                <w:b/>
                                <w:bCs/>
                                <w:color w:val="FF0000"/>
                                <w:sz w:val="21"/>
                                <w:szCs w:val="21"/>
                              </w:rPr>
                            </w:pPr>
                            <w:r>
                              <w:rPr>
                                <w:rFonts w:hint="eastAsia" w:ascii="Times New Roman" w:hAnsi="Times New Roman" w:eastAsia="宋体" w:cs="Times New Roman"/>
                                <w:b/>
                                <w:bCs/>
                                <w:color w:val="FF0000"/>
                                <w:sz w:val="21"/>
                                <w:szCs w:val="21"/>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933" o:spid="_x0000_s1026" o:spt="61" type="#_x0000_t61" style="position:absolute;left:0pt;margin-left:211.75pt;margin-top:183.75pt;height:29pt;width:79.9pt;z-index:251718656;v-text-anchor:middle;mso-width-relative:page;mso-height-relative:page;" filled="f" stroked="t" coordsize="21600,21600" o:gfxdata="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A5ukvnaAAAACwEAAA8AAAAA&#10;AAAAAQAgAAAAIgAAAGRycy9kb3ducmV2LnhtbFBLAQIUABQAAAAIAIdO4kCJIR3bvQIAAFUFAAAO&#10;AAAAAAAAAAEAIAAAACkBAABkcnMvZTJvRG9jLnhtbFBLBQYAAAAABgAGAFkBAABYBgAAAAA=&#10;" adj="1571,43908">
                <v:fill on="f" focussize="0,0"/>
                <v:stroke weight="1pt" color="#FF0000" miterlimit="8" joinstyle="miter"/>
                <v:imagedata o:title=""/>
                <o:lock v:ext="edit" aspectratio="f"/>
                <v:textbox>
                  <w:txbxContent>
                    <w:p w14:paraId="5C2D47C9">
                      <w:pPr>
                        <w:adjustRightInd w:val="0"/>
                        <w:snapToGrid w:val="0"/>
                        <w:spacing w:line="240" w:lineRule="auto"/>
                        <w:ind w:firstLine="0" w:firstLineChars="0"/>
                        <w:rPr>
                          <w:rFonts w:ascii="Times New Roman" w:hAnsi="Times New Roman" w:eastAsia="宋体" w:cs="Times New Roman"/>
                          <w:b/>
                          <w:bCs/>
                          <w:color w:val="FF0000"/>
                          <w:sz w:val="21"/>
                          <w:szCs w:val="21"/>
                        </w:rPr>
                      </w:pPr>
                      <w:r>
                        <w:rPr>
                          <w:rFonts w:hint="eastAsia" w:ascii="Times New Roman" w:hAnsi="Times New Roman" w:eastAsia="宋体" w:cs="Times New Roman"/>
                          <w:b/>
                          <w:bCs/>
                          <w:color w:val="FF0000"/>
                          <w:sz w:val="21"/>
                          <w:szCs w:val="21"/>
                        </w:rPr>
                        <w:t>项目所在地</w:t>
                      </w:r>
                    </w:p>
                  </w:txbxContent>
                </v:textbox>
              </v:shape>
            </w:pict>
          </mc:Fallback>
        </mc:AlternateContent>
      </w:r>
      <w:r>
        <w:rPr>
          <w:rFonts w:ascii="Times New Roman" w:hAnsi="Calibri" w:eastAsia="宋体" w:cs="Times New Roman"/>
          <w:color w:val="auto"/>
          <w:kern w:val="2"/>
          <w:sz w:val="24"/>
          <w:szCs w:val="22"/>
          <w:highlight w:val="none"/>
          <w:lang w:val="en-US" w:eastAsia="zh-CN" w:bidi="ar-SA"/>
        </w:rPr>
        <w:drawing>
          <wp:inline distT="0" distB="0" distL="114300" distR="114300">
            <wp:extent cx="5419090" cy="7940040"/>
            <wp:effectExtent l="0" t="0" r="10160" b="3810"/>
            <wp:docPr id="586"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947"/>
                    <pic:cNvPicPr>
                      <a:picLocks noChangeAspect="1"/>
                    </pic:cNvPicPr>
                  </pic:nvPicPr>
                  <pic:blipFill>
                    <a:blip r:embed="rId79"/>
                    <a:stretch>
                      <a:fillRect/>
                    </a:stretch>
                  </pic:blipFill>
                  <pic:spPr>
                    <a:xfrm>
                      <a:off x="0" y="0"/>
                      <a:ext cx="5419090" cy="7940040"/>
                    </a:xfrm>
                    <a:prstGeom prst="rect">
                      <a:avLst/>
                    </a:prstGeom>
                    <a:noFill/>
                    <a:ln>
                      <a:noFill/>
                    </a:ln>
                  </pic:spPr>
                </pic:pic>
              </a:graphicData>
            </a:graphic>
          </wp:inline>
        </w:drawing>
      </w:r>
    </w:p>
    <w:p w14:paraId="1DDE23A6">
      <w:pPr>
        <w:widowControl w:val="0"/>
        <w:tabs>
          <w:tab w:val="left" w:pos="5604"/>
        </w:tabs>
        <w:kinsoku w:val="0"/>
        <w:overflowPunct w:val="0"/>
        <w:adjustRightInd w:val="0"/>
        <w:snapToGrid w:val="0"/>
        <w:spacing w:line="232" w:lineRule="exact"/>
        <w:ind w:left="2395" w:firstLine="382" w:firstLineChars="200"/>
        <w:jc w:val="both"/>
        <w:rPr>
          <w:rFonts w:ascii="Times New Roman" w:hAnsi="Calibri" w:eastAsia="宋体" w:cs="Times New Roman"/>
          <w:b/>
          <w:bCs/>
          <w:color w:val="auto"/>
          <w:kern w:val="2"/>
          <w:sz w:val="20"/>
          <w:szCs w:val="22"/>
          <w:highlight w:val="none"/>
          <w:lang w:val="en-US" w:eastAsia="zh-CN" w:bidi="ar-SA"/>
        </w:rPr>
      </w:pPr>
      <w:r>
        <w:rPr>
          <w:rFonts w:ascii="Times New Roman" w:hAnsi="Calibri" w:eastAsia="宋体" w:cs="Times New Roman"/>
          <w:b/>
          <w:bCs/>
          <w:color w:val="auto"/>
          <w:w w:val="95"/>
          <w:kern w:val="2"/>
          <w:sz w:val="20"/>
          <w:szCs w:val="22"/>
          <w:highlight w:val="none"/>
          <w:lang w:val="en-US" w:eastAsia="zh-CN" w:bidi="ar-SA"/>
        </w:rPr>
        <w:t>1.松散岩类厚度等值线（m）</w:t>
      </w:r>
      <w:r>
        <w:rPr>
          <w:rFonts w:ascii="Times New Roman" w:hAnsi="Calibri" w:eastAsia="宋体" w:cs="Times New Roman"/>
          <w:b/>
          <w:bCs/>
          <w:color w:val="auto"/>
          <w:w w:val="95"/>
          <w:kern w:val="2"/>
          <w:sz w:val="20"/>
          <w:szCs w:val="22"/>
          <w:highlight w:val="none"/>
          <w:lang w:val="en-US" w:eastAsia="zh-CN" w:bidi="ar-SA"/>
        </w:rPr>
        <w:tab/>
      </w:r>
      <w:r>
        <w:rPr>
          <w:rFonts w:ascii="Times New Roman" w:hAnsi="Calibri" w:eastAsia="宋体" w:cs="Times New Roman"/>
          <w:b/>
          <w:bCs/>
          <w:color w:val="auto"/>
          <w:kern w:val="2"/>
          <w:sz w:val="20"/>
          <w:szCs w:val="22"/>
          <w:highlight w:val="none"/>
          <w:lang w:val="en-US" w:eastAsia="zh-CN" w:bidi="ar-SA"/>
        </w:rPr>
        <w:t>2.基岩裸露区</w:t>
      </w:r>
    </w:p>
    <w:p w14:paraId="6E6022A7">
      <w:pPr>
        <w:widowControl w:val="0"/>
        <w:adjustRightInd w:val="0"/>
        <w:snapToGrid w:val="0"/>
        <w:spacing w:line="500" w:lineRule="exact"/>
        <w:ind w:firstLine="0" w:firstLineChars="0"/>
        <w:jc w:val="center"/>
        <w:rPr>
          <w:rFonts w:hint="default" w:ascii="Times New Roman" w:hAnsi="Times New Roman" w:eastAsia="宋体" w:cs="Times New Roman"/>
          <w:b/>
          <w:bCs/>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图</w:t>
      </w:r>
      <w:r>
        <w:rPr>
          <w:rFonts w:hint="eastAsia" w:ascii="Times New Roman" w:hAnsi="Times New Roman" w:eastAsia="宋体" w:cs="Times New Roman"/>
          <w:b/>
          <w:bCs/>
          <w:color w:val="auto"/>
          <w:kern w:val="2"/>
          <w:sz w:val="24"/>
          <w:szCs w:val="22"/>
          <w:highlight w:val="none"/>
          <w:lang w:val="en-US" w:eastAsia="zh-CN" w:bidi="ar-SA"/>
        </w:rPr>
        <w:t>5.2</w:t>
      </w:r>
      <w:r>
        <w:rPr>
          <w:rFonts w:hint="default" w:ascii="Times New Roman" w:hAnsi="Times New Roman" w:eastAsia="宋体" w:cs="Times New Roman"/>
          <w:b/>
          <w:bCs/>
          <w:color w:val="auto"/>
          <w:kern w:val="2"/>
          <w:sz w:val="24"/>
          <w:szCs w:val="22"/>
          <w:highlight w:val="none"/>
          <w:lang w:val="en-US" w:eastAsia="zh-CN" w:bidi="ar-SA"/>
        </w:rPr>
        <w:t>.</w:t>
      </w:r>
      <w:r>
        <w:rPr>
          <w:rFonts w:hint="eastAsia" w:ascii="Times New Roman" w:hAnsi="Times New Roman" w:eastAsia="宋体" w:cs="Times New Roman"/>
          <w:b/>
          <w:bCs/>
          <w:color w:val="auto"/>
          <w:kern w:val="2"/>
          <w:sz w:val="24"/>
          <w:szCs w:val="22"/>
          <w:highlight w:val="none"/>
          <w:lang w:val="en-US" w:eastAsia="zh-CN" w:bidi="ar-SA"/>
        </w:rPr>
        <w:t>5</w:t>
      </w:r>
      <w:r>
        <w:rPr>
          <w:rFonts w:hint="default" w:ascii="Times New Roman" w:hAnsi="Times New Roman" w:eastAsia="宋体" w:cs="Times New Roman"/>
          <w:b/>
          <w:bCs/>
          <w:color w:val="auto"/>
          <w:kern w:val="2"/>
          <w:sz w:val="24"/>
          <w:szCs w:val="22"/>
          <w:highlight w:val="none"/>
          <w:lang w:val="en-US" w:eastAsia="zh-CN" w:bidi="ar-SA"/>
        </w:rPr>
        <w:t>-2  安徽省松散岩类厚度等值线图</w:t>
      </w:r>
    </w:p>
    <w:p w14:paraId="0619E87E">
      <w:pPr>
        <w:adjustRightInd w:val="0"/>
        <w:snapToGrid w:val="0"/>
        <w:spacing w:line="360" w:lineRule="auto"/>
        <w:ind w:firstLine="480" w:firstLineChars="200"/>
        <w:rPr>
          <w:rFonts w:hint="eastAsia" w:ascii="Calibri" w:hAnsi="Calibri" w:eastAsia="宋体" w:cs="Times New Roman"/>
          <w:color w:val="auto"/>
          <w:sz w:val="24"/>
          <w:highlight w:val="none"/>
          <w:lang w:val="zh-CN" w:eastAsia="zh-CN"/>
        </w:rPr>
      </w:pPr>
      <w:r>
        <w:rPr>
          <w:rFonts w:hint="eastAsia" w:ascii="Calibri" w:hAnsi="Calibri" w:eastAsia="宋体" w:cs="Times New Roman"/>
          <w:color w:val="auto"/>
          <w:sz w:val="24"/>
          <w:highlight w:val="none"/>
          <w:lang w:val="en-US" w:eastAsia="zh-CN"/>
        </w:rPr>
        <w:t>2、地质构造</w:t>
      </w:r>
    </w:p>
    <w:p w14:paraId="35188CC5">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ascii="Calibri" w:hAnsi="Calibri" w:eastAsia="宋体" w:cs="Times New Roman"/>
          <w:color w:val="auto"/>
          <w:sz w:val="24"/>
          <w:highlight w:val="none"/>
        </w:rPr>
        <w:t>区域构造单元属于中朝准地台南缘，分属淮河台坳淮南陷褶断带。印支</w:t>
      </w:r>
      <w:r>
        <w:rPr>
          <w:rFonts w:ascii="Times New Roman" w:hAnsi="Times New Roman" w:eastAsia="宋体" w:cs="Times New Roman"/>
          <w:color w:val="auto"/>
          <w:sz w:val="24"/>
          <w:highlight w:val="none"/>
        </w:rPr>
        <w:t>运动在南北向挤压应力的作用下塑造了本区构造的基本格局。形成了近东西向的淮南复向斜及北东、北西、近东西向的主要断裂构造。喜山早期，在北北东向的东西向构造联合控制下，形成以东西向为主的断陷盆地。喜山晚期北北东向构造控制占主导地位，出现与现今相一致的剥蚀区和上第三系与第四系的沉降中心。</w:t>
      </w:r>
    </w:p>
    <w:p w14:paraId="0F3360F9">
      <w:pPr>
        <w:adjustRightInd w:val="0"/>
        <w:snapToGrid w:val="0"/>
        <w:spacing w:line="360" w:lineRule="auto"/>
        <w:ind w:firstLine="480" w:firstLineChars="200"/>
        <w:rPr>
          <w:rFonts w:ascii="Times New Roman" w:hAnsi="Times New Roman" w:eastAsia="宋体" w:cs="Times New Roman"/>
          <w:color w:val="auto"/>
          <w:sz w:val="24"/>
          <w:highlight w:val="none"/>
          <w:lang w:val="zh-CN"/>
        </w:rPr>
      </w:pPr>
      <w:r>
        <w:rPr>
          <w:rFonts w:ascii="Times New Roman" w:hAnsi="Times New Roman" w:eastAsia="宋体" w:cs="Times New Roman"/>
          <w:color w:val="auto"/>
          <w:sz w:val="24"/>
          <w:highlight w:val="none"/>
        </w:rPr>
        <w:t>主要发育有F1、F2、F3、F4、F5断层及谢桥古沟向斜。F1、F2、F3、F4、F5断层走向近东西，倾角15~20°，多为逆断层；F3断层走向近南北，倾角15°，为正断层。</w:t>
      </w:r>
    </w:p>
    <w:p w14:paraId="734A0360">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区域</w:t>
      </w:r>
      <w:r>
        <w:rPr>
          <w:rFonts w:ascii="Times New Roman" w:hAnsi="Times New Roman" w:eastAsia="宋体" w:cs="Times New Roman"/>
          <w:color w:val="auto"/>
          <w:sz w:val="24"/>
          <w:highlight w:val="none"/>
        </w:rPr>
        <w:t>处于谢桥古沟向斜东部北翼，主体为一单斜形态，轴向近东西，地层倾角平缓，倾角5~15°。区内断层不发育，仅发育一条近东西向正断层</w:t>
      </w:r>
      <w:r>
        <w:rPr>
          <w:rFonts w:hint="eastAsia" w:cs="Times New Roman"/>
          <w:color w:val="auto"/>
          <w:sz w:val="24"/>
          <w:highlight w:val="none"/>
          <w:lang w:eastAsia="zh-CN"/>
        </w:rPr>
        <w:t>（</w:t>
      </w:r>
      <w:r>
        <w:rPr>
          <w:rFonts w:ascii="Times New Roman" w:hAnsi="Times New Roman" w:eastAsia="宋体" w:cs="Times New Roman"/>
          <w:color w:val="auto"/>
          <w:sz w:val="24"/>
          <w:highlight w:val="none"/>
        </w:rPr>
        <w:t>F4</w:t>
      </w:r>
      <w:r>
        <w:rPr>
          <w:rFonts w:hint="eastAsia" w:cs="Times New Roman"/>
          <w:color w:val="auto"/>
          <w:sz w:val="24"/>
          <w:highlight w:val="none"/>
          <w:lang w:eastAsia="zh-CN"/>
        </w:rPr>
        <w:t>）</w:t>
      </w:r>
      <w:r>
        <w:rPr>
          <w:rFonts w:ascii="Times New Roman" w:hAnsi="Times New Roman" w:eastAsia="宋体" w:cs="Times New Roman"/>
          <w:color w:val="auto"/>
          <w:sz w:val="24"/>
          <w:highlight w:val="none"/>
        </w:rPr>
        <w:t>，根据现有资料，全新区以来没有明显的活动迹象。</w:t>
      </w:r>
    </w:p>
    <w:p w14:paraId="39AF075A">
      <w:pPr>
        <w:adjustRightInd w:val="0"/>
        <w:snapToGrid w:val="0"/>
        <w:spacing w:line="360" w:lineRule="auto"/>
        <w:ind w:firstLine="480" w:firstLineChars="200"/>
        <w:rPr>
          <w:rFonts w:hint="eastAsia" w:ascii="Calibri" w:hAnsi="Calibri" w:eastAsia="宋体" w:cs="Times New Roman"/>
          <w:color w:val="auto"/>
          <w:sz w:val="24"/>
          <w:highlight w:val="none"/>
          <w:lang w:val="en-US" w:eastAsia="zh-CN"/>
        </w:rPr>
      </w:pPr>
      <w:r>
        <w:rPr>
          <w:rFonts w:hint="eastAsia" w:ascii="Calibri" w:hAnsi="Calibri" w:eastAsia="宋体" w:cs="Times New Roman"/>
          <w:color w:val="auto"/>
          <w:sz w:val="24"/>
          <w:highlight w:val="none"/>
          <w:lang w:val="en-US" w:eastAsia="zh-CN"/>
        </w:rPr>
        <w:t>3、地层岩性</w:t>
      </w:r>
    </w:p>
    <w:p w14:paraId="2BE57954">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一、区域地层</w:t>
      </w:r>
    </w:p>
    <w:p w14:paraId="0F778CC1">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区域地层隶属华北地层大区晋冀鲁豫地层区徐淮地层分区淮南地层小区，地层除中生界侏罗纪和古生界志留系、泥盆系缺失外，其余地层均有不同程度发育。前第四系地层除上太古界霍邱群、青白口系、震旦系。寒武系、奥陶系、白垩系局部出露地表外，其余均被第四系覆盖，区域地层划分情况见表</w:t>
      </w:r>
      <w:r>
        <w:rPr>
          <w:rFonts w:ascii="Times New Roman" w:hAnsi="Times New Roman" w:eastAsia="宋体" w:cs="Times New Roman"/>
          <w:color w:val="auto"/>
          <w:sz w:val="24"/>
          <w:highlight w:val="none"/>
        </w:rPr>
        <w:t>5.</w:t>
      </w:r>
      <w:r>
        <w:rPr>
          <w:rFonts w:hint="eastAsia" w:ascii="Times New Roman" w:hAnsi="Times New Roman" w:eastAsia="宋体" w:cs="Times New Roman"/>
          <w:color w:val="auto"/>
          <w:sz w:val="24"/>
          <w:highlight w:val="none"/>
          <w:lang w:val="en-US" w:eastAsia="zh-CN"/>
        </w:rPr>
        <w:t>2</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5</w:t>
      </w:r>
      <w:r>
        <w:rPr>
          <w:rFonts w:ascii="Times New Roman" w:hAnsi="Times New Roman" w:eastAsia="宋体" w:cs="Times New Roman"/>
          <w:color w:val="auto"/>
          <w:sz w:val="24"/>
          <w:highlight w:val="none"/>
        </w:rPr>
        <w:t>-1</w:t>
      </w:r>
      <w:r>
        <w:rPr>
          <w:rFonts w:hint="eastAsia" w:ascii="Times New Roman" w:hAnsi="Times New Roman" w:eastAsia="宋体" w:cs="Times New Roman"/>
          <w:color w:val="auto"/>
          <w:sz w:val="24"/>
          <w:highlight w:val="none"/>
        </w:rPr>
        <w:t>。</w:t>
      </w:r>
    </w:p>
    <w:p w14:paraId="5B42E2FE">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b/>
          <w:bCs/>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表5.2.5-1  区域地层划分简表</w:t>
      </w:r>
    </w:p>
    <w:tbl>
      <w:tblPr>
        <w:tblStyle w:val="4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20"/>
        <w:gridCol w:w="556"/>
        <w:gridCol w:w="870"/>
        <w:gridCol w:w="768"/>
        <w:gridCol w:w="940"/>
        <w:gridCol w:w="583"/>
        <w:gridCol w:w="514"/>
        <w:gridCol w:w="499"/>
        <w:gridCol w:w="580"/>
        <w:gridCol w:w="2675"/>
      </w:tblGrid>
      <w:tr w14:paraId="04250F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noWrap w:val="0"/>
            <w:vAlign w:val="center"/>
          </w:tcPr>
          <w:p w14:paraId="0706B21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界</w:t>
            </w:r>
          </w:p>
        </w:tc>
        <w:tc>
          <w:tcPr>
            <w:tcW w:w="604" w:type="dxa"/>
            <w:noWrap w:val="0"/>
            <w:vAlign w:val="center"/>
          </w:tcPr>
          <w:p w14:paraId="24A2F02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系</w:t>
            </w:r>
          </w:p>
        </w:tc>
        <w:tc>
          <w:tcPr>
            <w:tcW w:w="945" w:type="dxa"/>
            <w:noWrap w:val="0"/>
            <w:vAlign w:val="center"/>
          </w:tcPr>
          <w:p w14:paraId="61FF6C9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统</w:t>
            </w:r>
          </w:p>
        </w:tc>
        <w:tc>
          <w:tcPr>
            <w:tcW w:w="1858" w:type="dxa"/>
            <w:gridSpan w:val="2"/>
            <w:noWrap w:val="0"/>
            <w:vAlign w:val="center"/>
          </w:tcPr>
          <w:p w14:paraId="61FE9E6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地层名称</w:t>
            </w:r>
          </w:p>
        </w:tc>
        <w:tc>
          <w:tcPr>
            <w:tcW w:w="1193" w:type="dxa"/>
            <w:gridSpan w:val="2"/>
            <w:noWrap w:val="0"/>
            <w:vAlign w:val="center"/>
          </w:tcPr>
          <w:p w14:paraId="0AAC590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代号</w:t>
            </w:r>
          </w:p>
        </w:tc>
        <w:tc>
          <w:tcPr>
            <w:tcW w:w="1172" w:type="dxa"/>
            <w:gridSpan w:val="2"/>
            <w:noWrap w:val="0"/>
            <w:vAlign w:val="center"/>
          </w:tcPr>
          <w:p w14:paraId="25B28C9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厚度（m）</w:t>
            </w:r>
          </w:p>
        </w:tc>
        <w:tc>
          <w:tcPr>
            <w:tcW w:w="2907" w:type="dxa"/>
            <w:noWrap w:val="0"/>
            <w:vAlign w:val="center"/>
          </w:tcPr>
          <w:p w14:paraId="02751A5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主要岩性</w:t>
            </w:r>
          </w:p>
        </w:tc>
      </w:tr>
      <w:tr w14:paraId="3AA9ED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restart"/>
            <w:noWrap w:val="0"/>
            <w:vAlign w:val="center"/>
          </w:tcPr>
          <w:p w14:paraId="4D4F5F1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新生界</w:t>
            </w:r>
          </w:p>
        </w:tc>
        <w:tc>
          <w:tcPr>
            <w:tcW w:w="604" w:type="dxa"/>
            <w:vMerge w:val="restart"/>
            <w:noWrap w:val="0"/>
            <w:vAlign w:val="center"/>
          </w:tcPr>
          <w:p w14:paraId="487B672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第四系</w:t>
            </w:r>
          </w:p>
        </w:tc>
        <w:tc>
          <w:tcPr>
            <w:tcW w:w="945" w:type="dxa"/>
            <w:noWrap w:val="0"/>
            <w:vAlign w:val="center"/>
          </w:tcPr>
          <w:p w14:paraId="6AC884A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全新统</w:t>
            </w:r>
          </w:p>
        </w:tc>
        <w:tc>
          <w:tcPr>
            <w:tcW w:w="1858" w:type="dxa"/>
            <w:gridSpan w:val="2"/>
            <w:noWrap w:val="0"/>
            <w:vAlign w:val="center"/>
          </w:tcPr>
          <w:p w14:paraId="706A20C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蚌埠组</w:t>
            </w:r>
          </w:p>
        </w:tc>
        <w:tc>
          <w:tcPr>
            <w:tcW w:w="1193" w:type="dxa"/>
            <w:gridSpan w:val="2"/>
            <w:noWrap w:val="0"/>
            <w:vAlign w:val="center"/>
          </w:tcPr>
          <w:p w14:paraId="21823AF8">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Q4</w:t>
            </w:r>
          </w:p>
        </w:tc>
        <w:tc>
          <w:tcPr>
            <w:tcW w:w="1172" w:type="dxa"/>
            <w:gridSpan w:val="2"/>
            <w:noWrap w:val="0"/>
            <w:vAlign w:val="center"/>
          </w:tcPr>
          <w:p w14:paraId="7E5D356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&lt;15</w:t>
            </w:r>
          </w:p>
        </w:tc>
        <w:tc>
          <w:tcPr>
            <w:tcW w:w="2907" w:type="dxa"/>
            <w:noWrap w:val="0"/>
            <w:vAlign w:val="center"/>
          </w:tcPr>
          <w:p w14:paraId="20CBE3C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浅黄色粉砂、亚砂土</w:t>
            </w:r>
          </w:p>
        </w:tc>
      </w:tr>
      <w:tr w14:paraId="18FBAF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6E4B300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60CCB9E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noWrap w:val="0"/>
            <w:vAlign w:val="center"/>
          </w:tcPr>
          <w:p w14:paraId="7A66347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上更新统</w:t>
            </w:r>
          </w:p>
        </w:tc>
        <w:tc>
          <w:tcPr>
            <w:tcW w:w="1858" w:type="dxa"/>
            <w:gridSpan w:val="2"/>
            <w:noWrap w:val="0"/>
            <w:vAlign w:val="center"/>
          </w:tcPr>
          <w:p w14:paraId="7732679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颍上组</w:t>
            </w:r>
          </w:p>
        </w:tc>
        <w:tc>
          <w:tcPr>
            <w:tcW w:w="1193" w:type="dxa"/>
            <w:gridSpan w:val="2"/>
            <w:noWrap w:val="0"/>
            <w:vAlign w:val="center"/>
          </w:tcPr>
          <w:p w14:paraId="45BDFE2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Q3</w:t>
            </w:r>
          </w:p>
        </w:tc>
        <w:tc>
          <w:tcPr>
            <w:tcW w:w="1172" w:type="dxa"/>
            <w:gridSpan w:val="2"/>
            <w:noWrap w:val="0"/>
            <w:vAlign w:val="center"/>
          </w:tcPr>
          <w:p w14:paraId="706BA858">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7~39</w:t>
            </w:r>
          </w:p>
        </w:tc>
        <w:tc>
          <w:tcPr>
            <w:tcW w:w="2907" w:type="dxa"/>
            <w:noWrap w:val="0"/>
            <w:vAlign w:val="center"/>
          </w:tcPr>
          <w:p w14:paraId="005BE01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灰黄色亚黏土、淤泥质亚黏土、粉细砂、含少量钙质和铁锰质结核</w:t>
            </w:r>
          </w:p>
        </w:tc>
      </w:tr>
      <w:tr w14:paraId="42D52A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1224E1D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047215B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noWrap w:val="0"/>
            <w:vAlign w:val="center"/>
          </w:tcPr>
          <w:p w14:paraId="2DAFD5A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中更新统</w:t>
            </w:r>
          </w:p>
        </w:tc>
        <w:tc>
          <w:tcPr>
            <w:tcW w:w="1858" w:type="dxa"/>
            <w:gridSpan w:val="2"/>
            <w:noWrap w:val="0"/>
            <w:vAlign w:val="center"/>
          </w:tcPr>
          <w:p w14:paraId="3BB2A48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临泉组</w:t>
            </w:r>
          </w:p>
        </w:tc>
        <w:tc>
          <w:tcPr>
            <w:tcW w:w="1193" w:type="dxa"/>
            <w:gridSpan w:val="2"/>
            <w:noWrap w:val="0"/>
            <w:vAlign w:val="center"/>
          </w:tcPr>
          <w:p w14:paraId="5A8BB4A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Q2</w:t>
            </w:r>
          </w:p>
        </w:tc>
        <w:tc>
          <w:tcPr>
            <w:tcW w:w="1172" w:type="dxa"/>
            <w:gridSpan w:val="2"/>
            <w:noWrap w:val="0"/>
            <w:vAlign w:val="center"/>
          </w:tcPr>
          <w:p w14:paraId="7AC42D2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29~60</w:t>
            </w:r>
          </w:p>
        </w:tc>
        <w:tc>
          <w:tcPr>
            <w:tcW w:w="2907" w:type="dxa"/>
            <w:noWrap w:val="0"/>
            <w:vAlign w:val="center"/>
          </w:tcPr>
          <w:p w14:paraId="6D64C32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浅棕、灰黄色亚黏土、含砾中细砂、含钙质结核及铁锰质结核</w:t>
            </w:r>
          </w:p>
        </w:tc>
      </w:tr>
      <w:tr w14:paraId="75E68B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7AB9CEF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399A03B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noWrap w:val="0"/>
            <w:vAlign w:val="center"/>
          </w:tcPr>
          <w:p w14:paraId="1A5DFA3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下更新统</w:t>
            </w:r>
          </w:p>
        </w:tc>
        <w:tc>
          <w:tcPr>
            <w:tcW w:w="1858" w:type="dxa"/>
            <w:gridSpan w:val="2"/>
            <w:noWrap w:val="0"/>
            <w:vAlign w:val="center"/>
          </w:tcPr>
          <w:p w14:paraId="37F0E03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太和组</w:t>
            </w:r>
          </w:p>
        </w:tc>
        <w:tc>
          <w:tcPr>
            <w:tcW w:w="1193" w:type="dxa"/>
            <w:gridSpan w:val="2"/>
            <w:noWrap w:val="0"/>
            <w:vAlign w:val="center"/>
          </w:tcPr>
          <w:p w14:paraId="088DE37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Q1</w:t>
            </w:r>
          </w:p>
        </w:tc>
        <w:tc>
          <w:tcPr>
            <w:tcW w:w="1172" w:type="dxa"/>
            <w:gridSpan w:val="2"/>
            <w:noWrap w:val="0"/>
            <w:vAlign w:val="center"/>
          </w:tcPr>
          <w:p w14:paraId="0AA92EF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40~80</w:t>
            </w:r>
          </w:p>
        </w:tc>
        <w:tc>
          <w:tcPr>
            <w:tcW w:w="2907" w:type="dxa"/>
            <w:noWrap w:val="0"/>
            <w:vAlign w:val="center"/>
          </w:tcPr>
          <w:p w14:paraId="702A99D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黄色、浅灰色中、细砂，粉砂组成，间夹薄层黏土</w:t>
            </w:r>
          </w:p>
        </w:tc>
      </w:tr>
      <w:tr w14:paraId="4EFDF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7C5693C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restart"/>
            <w:noWrap w:val="0"/>
            <w:vAlign w:val="center"/>
          </w:tcPr>
          <w:p w14:paraId="1CCD2B7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第三系</w:t>
            </w:r>
          </w:p>
        </w:tc>
        <w:tc>
          <w:tcPr>
            <w:tcW w:w="945" w:type="dxa"/>
            <w:noWrap w:val="0"/>
            <w:vAlign w:val="center"/>
          </w:tcPr>
          <w:p w14:paraId="5CDA7F4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上新统</w:t>
            </w:r>
          </w:p>
        </w:tc>
        <w:tc>
          <w:tcPr>
            <w:tcW w:w="1858" w:type="dxa"/>
            <w:gridSpan w:val="2"/>
            <w:noWrap w:val="0"/>
            <w:vAlign w:val="center"/>
          </w:tcPr>
          <w:p w14:paraId="18EA877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明化镇组</w:t>
            </w:r>
          </w:p>
        </w:tc>
        <w:tc>
          <w:tcPr>
            <w:tcW w:w="1193" w:type="dxa"/>
            <w:gridSpan w:val="2"/>
            <w:noWrap w:val="0"/>
            <w:vAlign w:val="center"/>
          </w:tcPr>
          <w:p w14:paraId="2AF93D3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N2m</w:t>
            </w:r>
          </w:p>
        </w:tc>
        <w:tc>
          <w:tcPr>
            <w:tcW w:w="1172" w:type="dxa"/>
            <w:gridSpan w:val="2"/>
            <w:noWrap w:val="0"/>
            <w:vAlign w:val="center"/>
          </w:tcPr>
          <w:p w14:paraId="49EB6DF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&lt;290</w:t>
            </w:r>
          </w:p>
        </w:tc>
        <w:tc>
          <w:tcPr>
            <w:tcW w:w="2907" w:type="dxa"/>
            <w:noWrap w:val="0"/>
            <w:vAlign w:val="center"/>
          </w:tcPr>
          <w:p w14:paraId="5EF982F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紫红色、灰绿色黏土及灰白色巨厚层中粗砂、含少量铁锰质钙质结核、下部灰白色泥岩</w:t>
            </w:r>
          </w:p>
        </w:tc>
      </w:tr>
      <w:tr w14:paraId="358071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0B94FD8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6E709C8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noWrap w:val="0"/>
            <w:vAlign w:val="center"/>
          </w:tcPr>
          <w:p w14:paraId="0377BF4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古新统</w:t>
            </w:r>
          </w:p>
        </w:tc>
        <w:tc>
          <w:tcPr>
            <w:tcW w:w="836" w:type="dxa"/>
            <w:noWrap w:val="0"/>
            <w:vAlign w:val="center"/>
          </w:tcPr>
          <w:p w14:paraId="5FE35B3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双浮组</w:t>
            </w:r>
          </w:p>
        </w:tc>
        <w:tc>
          <w:tcPr>
            <w:tcW w:w="1022" w:type="dxa"/>
            <w:noWrap w:val="0"/>
            <w:vAlign w:val="center"/>
          </w:tcPr>
          <w:p w14:paraId="2E5427E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定远组</w:t>
            </w:r>
          </w:p>
        </w:tc>
        <w:tc>
          <w:tcPr>
            <w:tcW w:w="634" w:type="dxa"/>
            <w:noWrap w:val="0"/>
            <w:vAlign w:val="center"/>
          </w:tcPr>
          <w:p w14:paraId="49759C4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E1sh</w:t>
            </w:r>
          </w:p>
        </w:tc>
        <w:tc>
          <w:tcPr>
            <w:tcW w:w="559" w:type="dxa"/>
            <w:noWrap w:val="0"/>
            <w:vAlign w:val="center"/>
          </w:tcPr>
          <w:p w14:paraId="120E96C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E1dh</w:t>
            </w:r>
          </w:p>
        </w:tc>
        <w:tc>
          <w:tcPr>
            <w:tcW w:w="542" w:type="dxa"/>
            <w:noWrap w:val="0"/>
            <w:vAlign w:val="center"/>
          </w:tcPr>
          <w:p w14:paraId="3632452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&gt;743</w:t>
            </w:r>
          </w:p>
        </w:tc>
        <w:tc>
          <w:tcPr>
            <w:tcW w:w="630" w:type="dxa"/>
            <w:noWrap w:val="0"/>
            <w:vAlign w:val="center"/>
          </w:tcPr>
          <w:p w14:paraId="2679C7F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468</w:t>
            </w:r>
          </w:p>
        </w:tc>
        <w:tc>
          <w:tcPr>
            <w:tcW w:w="2907" w:type="dxa"/>
            <w:noWrap w:val="0"/>
            <w:vAlign w:val="center"/>
          </w:tcPr>
          <w:p w14:paraId="59EBAEC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粉砂质泥岩，细砂岩，含砾中粗砂岩，底部为角砾岩</w:t>
            </w:r>
          </w:p>
        </w:tc>
      </w:tr>
      <w:tr w14:paraId="7302F0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restart"/>
            <w:noWrap w:val="0"/>
            <w:vAlign w:val="center"/>
          </w:tcPr>
          <w:p w14:paraId="66289DB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中生界</w:t>
            </w:r>
          </w:p>
        </w:tc>
        <w:tc>
          <w:tcPr>
            <w:tcW w:w="604" w:type="dxa"/>
            <w:noWrap w:val="0"/>
            <w:vAlign w:val="center"/>
          </w:tcPr>
          <w:p w14:paraId="0D434FB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白垩纪</w:t>
            </w:r>
          </w:p>
        </w:tc>
        <w:tc>
          <w:tcPr>
            <w:tcW w:w="945" w:type="dxa"/>
            <w:noWrap w:val="0"/>
            <w:vAlign w:val="center"/>
          </w:tcPr>
          <w:p w14:paraId="1E692EB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上统</w:t>
            </w:r>
          </w:p>
        </w:tc>
        <w:tc>
          <w:tcPr>
            <w:tcW w:w="1858" w:type="dxa"/>
            <w:gridSpan w:val="2"/>
            <w:noWrap w:val="0"/>
            <w:vAlign w:val="center"/>
          </w:tcPr>
          <w:p w14:paraId="4B94300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张桥组</w:t>
            </w:r>
          </w:p>
        </w:tc>
        <w:tc>
          <w:tcPr>
            <w:tcW w:w="1193" w:type="dxa"/>
            <w:gridSpan w:val="2"/>
            <w:noWrap w:val="0"/>
            <w:vAlign w:val="center"/>
          </w:tcPr>
          <w:p w14:paraId="177A96E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K2Z</w:t>
            </w:r>
          </w:p>
        </w:tc>
        <w:tc>
          <w:tcPr>
            <w:tcW w:w="1172" w:type="dxa"/>
            <w:gridSpan w:val="2"/>
            <w:noWrap w:val="0"/>
            <w:vAlign w:val="center"/>
          </w:tcPr>
          <w:p w14:paraId="73CA2AD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&gt;210</w:t>
            </w:r>
          </w:p>
        </w:tc>
        <w:tc>
          <w:tcPr>
            <w:tcW w:w="2907" w:type="dxa"/>
            <w:noWrap w:val="0"/>
            <w:vAlign w:val="center"/>
          </w:tcPr>
          <w:p w14:paraId="262922F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砂岩，砂砾岩</w:t>
            </w:r>
          </w:p>
        </w:tc>
      </w:tr>
      <w:tr w14:paraId="17DE5A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2B2245D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restart"/>
            <w:noWrap w:val="0"/>
            <w:vAlign w:val="center"/>
          </w:tcPr>
          <w:p w14:paraId="44D2720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三迭系</w:t>
            </w:r>
          </w:p>
        </w:tc>
        <w:tc>
          <w:tcPr>
            <w:tcW w:w="945" w:type="dxa"/>
            <w:vMerge w:val="restart"/>
            <w:noWrap w:val="0"/>
            <w:vAlign w:val="center"/>
          </w:tcPr>
          <w:p w14:paraId="0150463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下统</w:t>
            </w:r>
          </w:p>
        </w:tc>
        <w:tc>
          <w:tcPr>
            <w:tcW w:w="1858" w:type="dxa"/>
            <w:gridSpan w:val="2"/>
            <w:noWrap w:val="0"/>
            <w:vAlign w:val="center"/>
          </w:tcPr>
          <w:p w14:paraId="2924EF7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和尚沟组</w:t>
            </w:r>
          </w:p>
        </w:tc>
        <w:tc>
          <w:tcPr>
            <w:tcW w:w="1193" w:type="dxa"/>
            <w:gridSpan w:val="2"/>
            <w:noWrap w:val="0"/>
            <w:vAlign w:val="center"/>
          </w:tcPr>
          <w:p w14:paraId="75D39A9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T1hs</w:t>
            </w:r>
          </w:p>
        </w:tc>
        <w:tc>
          <w:tcPr>
            <w:tcW w:w="1172" w:type="dxa"/>
            <w:gridSpan w:val="2"/>
            <w:noWrap w:val="0"/>
            <w:vAlign w:val="center"/>
          </w:tcPr>
          <w:p w14:paraId="40BCB42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&gt;110</w:t>
            </w:r>
          </w:p>
        </w:tc>
        <w:tc>
          <w:tcPr>
            <w:tcW w:w="2907" w:type="dxa"/>
            <w:noWrap w:val="0"/>
            <w:vAlign w:val="center"/>
          </w:tcPr>
          <w:p w14:paraId="2192B9A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泥岩、砂质泥岩夹中细砂岩</w:t>
            </w:r>
          </w:p>
        </w:tc>
      </w:tr>
      <w:tr w14:paraId="38544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4C2A495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2932EDB8">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vMerge w:val="continue"/>
            <w:noWrap w:val="0"/>
            <w:vAlign w:val="center"/>
          </w:tcPr>
          <w:p w14:paraId="64BF1C0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858" w:type="dxa"/>
            <w:gridSpan w:val="2"/>
            <w:noWrap w:val="0"/>
            <w:vAlign w:val="center"/>
          </w:tcPr>
          <w:p w14:paraId="4AE49C0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刘家沟组</w:t>
            </w:r>
          </w:p>
        </w:tc>
        <w:tc>
          <w:tcPr>
            <w:tcW w:w="1193" w:type="dxa"/>
            <w:gridSpan w:val="2"/>
            <w:noWrap w:val="0"/>
            <w:vAlign w:val="center"/>
          </w:tcPr>
          <w:p w14:paraId="407A94A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T11</w:t>
            </w:r>
          </w:p>
        </w:tc>
        <w:tc>
          <w:tcPr>
            <w:tcW w:w="1172" w:type="dxa"/>
            <w:gridSpan w:val="2"/>
            <w:noWrap w:val="0"/>
            <w:vAlign w:val="center"/>
          </w:tcPr>
          <w:p w14:paraId="74C089C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&gt;323</w:t>
            </w:r>
          </w:p>
        </w:tc>
        <w:tc>
          <w:tcPr>
            <w:tcW w:w="2907" w:type="dxa"/>
            <w:noWrap w:val="0"/>
            <w:vAlign w:val="center"/>
          </w:tcPr>
          <w:p w14:paraId="6D5D760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含泥砾中粒长石石英砂岩</w:t>
            </w:r>
          </w:p>
        </w:tc>
      </w:tr>
      <w:tr w14:paraId="015E4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restart"/>
            <w:noWrap w:val="0"/>
            <w:vAlign w:val="center"/>
          </w:tcPr>
          <w:p w14:paraId="32674E0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古生界</w:t>
            </w:r>
          </w:p>
        </w:tc>
        <w:tc>
          <w:tcPr>
            <w:tcW w:w="604" w:type="dxa"/>
            <w:vMerge w:val="restart"/>
            <w:noWrap w:val="0"/>
            <w:vAlign w:val="center"/>
          </w:tcPr>
          <w:p w14:paraId="6B9B30C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二迭系</w:t>
            </w:r>
          </w:p>
        </w:tc>
        <w:tc>
          <w:tcPr>
            <w:tcW w:w="945" w:type="dxa"/>
            <w:vMerge w:val="restart"/>
            <w:noWrap w:val="0"/>
            <w:vAlign w:val="center"/>
          </w:tcPr>
          <w:p w14:paraId="06A8D2E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上统</w:t>
            </w:r>
          </w:p>
        </w:tc>
        <w:tc>
          <w:tcPr>
            <w:tcW w:w="1858" w:type="dxa"/>
            <w:gridSpan w:val="2"/>
            <w:noWrap w:val="0"/>
            <w:vAlign w:val="center"/>
          </w:tcPr>
          <w:p w14:paraId="60306CE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石千峰组</w:t>
            </w:r>
          </w:p>
        </w:tc>
        <w:tc>
          <w:tcPr>
            <w:tcW w:w="1193" w:type="dxa"/>
            <w:gridSpan w:val="2"/>
            <w:noWrap w:val="0"/>
            <w:vAlign w:val="center"/>
          </w:tcPr>
          <w:p w14:paraId="7E6265F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P2sh</w:t>
            </w:r>
          </w:p>
        </w:tc>
        <w:tc>
          <w:tcPr>
            <w:tcW w:w="1172" w:type="dxa"/>
            <w:gridSpan w:val="2"/>
            <w:noWrap w:val="0"/>
            <w:vAlign w:val="center"/>
          </w:tcPr>
          <w:p w14:paraId="0EB822A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&gt;112</w:t>
            </w:r>
          </w:p>
        </w:tc>
        <w:tc>
          <w:tcPr>
            <w:tcW w:w="2907" w:type="dxa"/>
            <w:noWrap w:val="0"/>
            <w:vAlign w:val="center"/>
          </w:tcPr>
          <w:p w14:paraId="62DD840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中粗粒长石石英砂岩，局部含砾</w:t>
            </w:r>
          </w:p>
        </w:tc>
      </w:tr>
      <w:tr w14:paraId="6257A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5B3DA9E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715B92D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vMerge w:val="continue"/>
            <w:noWrap w:val="0"/>
            <w:vAlign w:val="center"/>
          </w:tcPr>
          <w:p w14:paraId="4BC53B3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858" w:type="dxa"/>
            <w:gridSpan w:val="2"/>
            <w:noWrap w:val="0"/>
            <w:vAlign w:val="center"/>
          </w:tcPr>
          <w:p w14:paraId="462F1BC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上石河子组</w:t>
            </w:r>
          </w:p>
        </w:tc>
        <w:tc>
          <w:tcPr>
            <w:tcW w:w="1193" w:type="dxa"/>
            <w:gridSpan w:val="2"/>
            <w:noWrap w:val="0"/>
            <w:vAlign w:val="center"/>
          </w:tcPr>
          <w:p w14:paraId="7D1C300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P2s</w:t>
            </w:r>
          </w:p>
        </w:tc>
        <w:tc>
          <w:tcPr>
            <w:tcW w:w="1172" w:type="dxa"/>
            <w:gridSpan w:val="2"/>
            <w:noWrap w:val="0"/>
            <w:vAlign w:val="center"/>
          </w:tcPr>
          <w:p w14:paraId="6BD7DBE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506</w:t>
            </w:r>
          </w:p>
        </w:tc>
        <w:tc>
          <w:tcPr>
            <w:tcW w:w="2907" w:type="dxa"/>
            <w:noWrap w:val="0"/>
            <w:vAlign w:val="center"/>
          </w:tcPr>
          <w:p w14:paraId="651D36B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泥岩、粉砂岩、碳质页岩煤</w:t>
            </w:r>
          </w:p>
        </w:tc>
      </w:tr>
      <w:tr w14:paraId="3A181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575DD40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236CC01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vMerge w:val="restart"/>
            <w:noWrap w:val="0"/>
            <w:vAlign w:val="center"/>
          </w:tcPr>
          <w:p w14:paraId="71163C1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下统</w:t>
            </w:r>
          </w:p>
        </w:tc>
        <w:tc>
          <w:tcPr>
            <w:tcW w:w="1858" w:type="dxa"/>
            <w:gridSpan w:val="2"/>
            <w:noWrap w:val="0"/>
            <w:vAlign w:val="center"/>
          </w:tcPr>
          <w:p w14:paraId="017EA9F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下石盒子组</w:t>
            </w:r>
          </w:p>
        </w:tc>
        <w:tc>
          <w:tcPr>
            <w:tcW w:w="1193" w:type="dxa"/>
            <w:gridSpan w:val="2"/>
            <w:noWrap w:val="0"/>
            <w:vAlign w:val="center"/>
          </w:tcPr>
          <w:p w14:paraId="41AD8D0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P1x</w:t>
            </w:r>
          </w:p>
        </w:tc>
        <w:tc>
          <w:tcPr>
            <w:tcW w:w="1172" w:type="dxa"/>
            <w:gridSpan w:val="2"/>
            <w:noWrap w:val="0"/>
            <w:vAlign w:val="center"/>
          </w:tcPr>
          <w:p w14:paraId="0730FBF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237</w:t>
            </w:r>
          </w:p>
        </w:tc>
        <w:tc>
          <w:tcPr>
            <w:tcW w:w="2907" w:type="dxa"/>
            <w:noWrap w:val="0"/>
            <w:vAlign w:val="center"/>
          </w:tcPr>
          <w:p w14:paraId="3576575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粉砂岩、黏土岩、碳质页岩煤</w:t>
            </w:r>
          </w:p>
        </w:tc>
      </w:tr>
      <w:tr w14:paraId="3D028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4F54E06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01E16BF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vMerge w:val="continue"/>
            <w:noWrap w:val="0"/>
            <w:vAlign w:val="center"/>
          </w:tcPr>
          <w:p w14:paraId="56EA8F4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858" w:type="dxa"/>
            <w:gridSpan w:val="2"/>
            <w:noWrap w:val="0"/>
            <w:vAlign w:val="center"/>
          </w:tcPr>
          <w:p w14:paraId="33ABD56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山西组</w:t>
            </w:r>
          </w:p>
        </w:tc>
        <w:tc>
          <w:tcPr>
            <w:tcW w:w="1193" w:type="dxa"/>
            <w:gridSpan w:val="2"/>
            <w:noWrap w:val="0"/>
            <w:vAlign w:val="center"/>
          </w:tcPr>
          <w:p w14:paraId="1F3E86B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P1s</w:t>
            </w:r>
          </w:p>
        </w:tc>
        <w:tc>
          <w:tcPr>
            <w:tcW w:w="1172" w:type="dxa"/>
            <w:gridSpan w:val="2"/>
            <w:noWrap w:val="0"/>
            <w:vAlign w:val="center"/>
          </w:tcPr>
          <w:p w14:paraId="2246DB4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52</w:t>
            </w:r>
          </w:p>
        </w:tc>
        <w:tc>
          <w:tcPr>
            <w:tcW w:w="2907" w:type="dxa"/>
            <w:noWrap w:val="0"/>
            <w:vAlign w:val="center"/>
          </w:tcPr>
          <w:p w14:paraId="58DA721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砂质泥岩，细中粒砂岩</w:t>
            </w:r>
          </w:p>
        </w:tc>
      </w:tr>
      <w:tr w14:paraId="0ECE73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6EC341B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noWrap w:val="0"/>
            <w:vAlign w:val="center"/>
          </w:tcPr>
          <w:p w14:paraId="07F6EEF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石炭系</w:t>
            </w:r>
          </w:p>
        </w:tc>
        <w:tc>
          <w:tcPr>
            <w:tcW w:w="945" w:type="dxa"/>
            <w:noWrap w:val="0"/>
            <w:vAlign w:val="center"/>
          </w:tcPr>
          <w:p w14:paraId="1568F82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上统</w:t>
            </w:r>
          </w:p>
        </w:tc>
        <w:tc>
          <w:tcPr>
            <w:tcW w:w="1858" w:type="dxa"/>
            <w:gridSpan w:val="2"/>
            <w:noWrap w:val="0"/>
            <w:vAlign w:val="center"/>
          </w:tcPr>
          <w:p w14:paraId="28EDC1A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太原组</w:t>
            </w:r>
          </w:p>
        </w:tc>
        <w:tc>
          <w:tcPr>
            <w:tcW w:w="1193" w:type="dxa"/>
            <w:gridSpan w:val="2"/>
            <w:noWrap w:val="0"/>
            <w:vAlign w:val="center"/>
          </w:tcPr>
          <w:p w14:paraId="2D9B3F3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C2t</w:t>
            </w:r>
          </w:p>
        </w:tc>
        <w:tc>
          <w:tcPr>
            <w:tcW w:w="1172" w:type="dxa"/>
            <w:gridSpan w:val="2"/>
            <w:noWrap w:val="0"/>
            <w:vAlign w:val="center"/>
          </w:tcPr>
          <w:p w14:paraId="63A2201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120</w:t>
            </w:r>
          </w:p>
        </w:tc>
        <w:tc>
          <w:tcPr>
            <w:tcW w:w="2907" w:type="dxa"/>
            <w:noWrap w:val="0"/>
            <w:vAlign w:val="center"/>
          </w:tcPr>
          <w:p w14:paraId="684464F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含燧石结核灰岩夹粉砂岩</w:t>
            </w:r>
          </w:p>
        </w:tc>
      </w:tr>
      <w:tr w14:paraId="123D58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3C05A1F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restart"/>
            <w:noWrap w:val="0"/>
            <w:vAlign w:val="center"/>
          </w:tcPr>
          <w:p w14:paraId="4C2AD58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奥陶系</w:t>
            </w:r>
          </w:p>
        </w:tc>
        <w:tc>
          <w:tcPr>
            <w:tcW w:w="945" w:type="dxa"/>
            <w:vMerge w:val="restart"/>
            <w:noWrap w:val="0"/>
            <w:vAlign w:val="center"/>
          </w:tcPr>
          <w:p w14:paraId="312BB5C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下统</w:t>
            </w:r>
          </w:p>
        </w:tc>
        <w:tc>
          <w:tcPr>
            <w:tcW w:w="1858" w:type="dxa"/>
            <w:gridSpan w:val="2"/>
            <w:noWrap w:val="0"/>
            <w:vAlign w:val="center"/>
          </w:tcPr>
          <w:p w14:paraId="2FF405C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马家沟组</w:t>
            </w:r>
          </w:p>
        </w:tc>
        <w:tc>
          <w:tcPr>
            <w:tcW w:w="1193" w:type="dxa"/>
            <w:gridSpan w:val="2"/>
            <w:noWrap w:val="0"/>
            <w:vAlign w:val="center"/>
          </w:tcPr>
          <w:p w14:paraId="6171F1B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O1m</w:t>
            </w:r>
          </w:p>
        </w:tc>
        <w:tc>
          <w:tcPr>
            <w:tcW w:w="1172" w:type="dxa"/>
            <w:gridSpan w:val="2"/>
            <w:noWrap w:val="0"/>
            <w:vAlign w:val="center"/>
          </w:tcPr>
          <w:p w14:paraId="2ECE7BE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146</w:t>
            </w:r>
          </w:p>
        </w:tc>
        <w:tc>
          <w:tcPr>
            <w:tcW w:w="2907" w:type="dxa"/>
            <w:noWrap w:val="0"/>
            <w:vAlign w:val="center"/>
          </w:tcPr>
          <w:p w14:paraId="51217C4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白云岩，白云质灰岩，灰岩</w:t>
            </w:r>
          </w:p>
        </w:tc>
      </w:tr>
      <w:tr w14:paraId="110189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348" w:type="dxa"/>
            <w:vMerge w:val="continue"/>
            <w:noWrap w:val="0"/>
            <w:vAlign w:val="center"/>
          </w:tcPr>
          <w:p w14:paraId="79A3493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6A66619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vMerge w:val="continue"/>
            <w:noWrap w:val="0"/>
            <w:vAlign w:val="center"/>
          </w:tcPr>
          <w:p w14:paraId="0E46CEF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858" w:type="dxa"/>
            <w:gridSpan w:val="2"/>
            <w:noWrap w:val="0"/>
            <w:vAlign w:val="center"/>
          </w:tcPr>
          <w:p w14:paraId="53CEBA3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萧县组</w:t>
            </w:r>
          </w:p>
        </w:tc>
        <w:tc>
          <w:tcPr>
            <w:tcW w:w="1193" w:type="dxa"/>
            <w:gridSpan w:val="2"/>
            <w:noWrap w:val="0"/>
            <w:vAlign w:val="center"/>
          </w:tcPr>
          <w:p w14:paraId="4AA011F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O1x</w:t>
            </w:r>
          </w:p>
        </w:tc>
        <w:tc>
          <w:tcPr>
            <w:tcW w:w="1172" w:type="dxa"/>
            <w:gridSpan w:val="2"/>
            <w:noWrap w:val="0"/>
            <w:vAlign w:val="center"/>
          </w:tcPr>
          <w:p w14:paraId="64BA57F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213</w:t>
            </w:r>
          </w:p>
        </w:tc>
        <w:tc>
          <w:tcPr>
            <w:tcW w:w="2907" w:type="dxa"/>
            <w:noWrap w:val="0"/>
            <w:vAlign w:val="center"/>
          </w:tcPr>
          <w:p w14:paraId="4FAA8AB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灰质白云岩、白云岩灰岩夹泥岩</w:t>
            </w:r>
          </w:p>
        </w:tc>
      </w:tr>
      <w:tr w14:paraId="42579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078BCCD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restart"/>
            <w:noWrap w:val="0"/>
            <w:vAlign w:val="center"/>
          </w:tcPr>
          <w:p w14:paraId="52E974E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寒武系</w:t>
            </w:r>
          </w:p>
        </w:tc>
        <w:tc>
          <w:tcPr>
            <w:tcW w:w="945" w:type="dxa"/>
            <w:vMerge w:val="restart"/>
            <w:noWrap w:val="0"/>
            <w:vAlign w:val="center"/>
          </w:tcPr>
          <w:p w14:paraId="005BFBE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上统</w:t>
            </w:r>
          </w:p>
        </w:tc>
        <w:tc>
          <w:tcPr>
            <w:tcW w:w="1858" w:type="dxa"/>
            <w:gridSpan w:val="2"/>
            <w:noWrap w:val="0"/>
            <w:vAlign w:val="center"/>
          </w:tcPr>
          <w:p w14:paraId="5D78715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土坝组</w:t>
            </w:r>
          </w:p>
        </w:tc>
        <w:tc>
          <w:tcPr>
            <w:tcW w:w="1193" w:type="dxa"/>
            <w:gridSpan w:val="2"/>
            <w:noWrap w:val="0"/>
            <w:vAlign w:val="center"/>
          </w:tcPr>
          <w:p w14:paraId="4CB533B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hint="eastAsia" w:ascii="宋体" w:hAnsi="宋体" w:eastAsia="宋体" w:cs="宋体"/>
                <w:color w:val="auto"/>
                <w:kern w:val="2"/>
                <w:sz w:val="21"/>
                <w:szCs w:val="22"/>
                <w:highlight w:val="none"/>
                <w:lang w:val="en-US" w:eastAsia="zh-CN" w:bidi="ar-SA"/>
              </w:rPr>
              <w:t>∈</w:t>
            </w:r>
            <w:r>
              <w:rPr>
                <w:rFonts w:ascii="Times New Roman" w:hAnsi="Times New Roman" w:eastAsia="宋体" w:cs="Times New Roman"/>
                <w:color w:val="auto"/>
                <w:kern w:val="2"/>
                <w:sz w:val="21"/>
                <w:szCs w:val="22"/>
                <w:highlight w:val="none"/>
                <w:lang w:val="en-US" w:eastAsia="zh-CN" w:bidi="ar-SA"/>
              </w:rPr>
              <w:t>3t</w:t>
            </w:r>
          </w:p>
        </w:tc>
        <w:tc>
          <w:tcPr>
            <w:tcW w:w="1172" w:type="dxa"/>
            <w:gridSpan w:val="2"/>
            <w:noWrap w:val="0"/>
            <w:vAlign w:val="center"/>
          </w:tcPr>
          <w:p w14:paraId="5215DEF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171</w:t>
            </w:r>
          </w:p>
        </w:tc>
        <w:tc>
          <w:tcPr>
            <w:tcW w:w="2907" w:type="dxa"/>
            <w:noWrap w:val="0"/>
            <w:vAlign w:val="center"/>
          </w:tcPr>
          <w:p w14:paraId="09B376D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含硅质泥岩白云岩</w:t>
            </w:r>
          </w:p>
        </w:tc>
      </w:tr>
      <w:tr w14:paraId="5180FA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61DB5098">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25E02D1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vMerge w:val="continue"/>
            <w:noWrap w:val="0"/>
            <w:vAlign w:val="center"/>
          </w:tcPr>
          <w:p w14:paraId="5F6E8BB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858" w:type="dxa"/>
            <w:gridSpan w:val="2"/>
            <w:noWrap w:val="0"/>
            <w:vAlign w:val="center"/>
          </w:tcPr>
          <w:p w14:paraId="36C994F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崮山组</w:t>
            </w:r>
          </w:p>
        </w:tc>
        <w:tc>
          <w:tcPr>
            <w:tcW w:w="1193" w:type="dxa"/>
            <w:gridSpan w:val="2"/>
            <w:noWrap w:val="0"/>
            <w:vAlign w:val="center"/>
          </w:tcPr>
          <w:p w14:paraId="4F77C51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hint="eastAsia" w:ascii="宋体" w:hAnsi="宋体" w:eastAsia="宋体" w:cs="宋体"/>
                <w:color w:val="auto"/>
                <w:kern w:val="2"/>
                <w:sz w:val="21"/>
                <w:szCs w:val="22"/>
                <w:highlight w:val="none"/>
                <w:lang w:val="en-US" w:eastAsia="zh-CN" w:bidi="ar-SA"/>
              </w:rPr>
              <w:t>∈</w:t>
            </w:r>
            <w:r>
              <w:rPr>
                <w:rFonts w:ascii="Times New Roman" w:hAnsi="Times New Roman" w:eastAsia="宋体" w:cs="Times New Roman"/>
                <w:color w:val="auto"/>
                <w:kern w:val="2"/>
                <w:sz w:val="21"/>
                <w:szCs w:val="22"/>
                <w:highlight w:val="none"/>
                <w:lang w:val="en-US" w:eastAsia="zh-CN" w:bidi="ar-SA"/>
              </w:rPr>
              <w:t>3g</w:t>
            </w:r>
          </w:p>
        </w:tc>
        <w:tc>
          <w:tcPr>
            <w:tcW w:w="1172" w:type="dxa"/>
            <w:gridSpan w:val="2"/>
            <w:noWrap w:val="0"/>
            <w:vAlign w:val="center"/>
          </w:tcPr>
          <w:p w14:paraId="38381A8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75</w:t>
            </w:r>
          </w:p>
        </w:tc>
        <w:tc>
          <w:tcPr>
            <w:tcW w:w="2907" w:type="dxa"/>
            <w:noWrap w:val="0"/>
            <w:vAlign w:val="center"/>
          </w:tcPr>
          <w:p w14:paraId="75762EC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含硅质泥岩白云岩，鲕状白云质灰岩</w:t>
            </w:r>
          </w:p>
        </w:tc>
      </w:tr>
      <w:tr w14:paraId="5E299D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6529BAB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102077B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noWrap w:val="0"/>
            <w:vAlign w:val="center"/>
          </w:tcPr>
          <w:p w14:paraId="3B25ACA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中统</w:t>
            </w:r>
          </w:p>
        </w:tc>
        <w:tc>
          <w:tcPr>
            <w:tcW w:w="1858" w:type="dxa"/>
            <w:gridSpan w:val="2"/>
            <w:noWrap w:val="0"/>
            <w:vAlign w:val="center"/>
          </w:tcPr>
          <w:p w14:paraId="25C4E5C8">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张夏组</w:t>
            </w:r>
          </w:p>
        </w:tc>
        <w:tc>
          <w:tcPr>
            <w:tcW w:w="1193" w:type="dxa"/>
            <w:gridSpan w:val="2"/>
            <w:noWrap w:val="0"/>
            <w:vAlign w:val="center"/>
          </w:tcPr>
          <w:p w14:paraId="4481888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hint="eastAsia" w:ascii="宋体" w:hAnsi="宋体" w:eastAsia="宋体" w:cs="宋体"/>
                <w:color w:val="auto"/>
                <w:kern w:val="2"/>
                <w:sz w:val="21"/>
                <w:szCs w:val="22"/>
                <w:highlight w:val="none"/>
                <w:lang w:val="en-US" w:eastAsia="zh-CN" w:bidi="ar-SA"/>
              </w:rPr>
              <w:t>∈</w:t>
            </w:r>
            <w:r>
              <w:rPr>
                <w:rFonts w:ascii="Times New Roman" w:hAnsi="Times New Roman" w:eastAsia="宋体" w:cs="Times New Roman"/>
                <w:color w:val="auto"/>
                <w:kern w:val="2"/>
                <w:sz w:val="21"/>
                <w:szCs w:val="22"/>
                <w:highlight w:val="none"/>
                <w:lang w:val="en-US" w:eastAsia="zh-CN" w:bidi="ar-SA"/>
              </w:rPr>
              <w:t>2z</w:t>
            </w:r>
          </w:p>
        </w:tc>
        <w:tc>
          <w:tcPr>
            <w:tcW w:w="1172" w:type="dxa"/>
            <w:gridSpan w:val="2"/>
            <w:noWrap w:val="0"/>
            <w:vAlign w:val="center"/>
          </w:tcPr>
          <w:p w14:paraId="74E7561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145</w:t>
            </w:r>
          </w:p>
        </w:tc>
        <w:tc>
          <w:tcPr>
            <w:tcW w:w="2907" w:type="dxa"/>
            <w:noWrap w:val="0"/>
            <w:vAlign w:val="center"/>
          </w:tcPr>
          <w:p w14:paraId="7E99148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灰质白云岩，白云岩灰岩</w:t>
            </w:r>
          </w:p>
        </w:tc>
      </w:tr>
      <w:tr w14:paraId="50964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restart"/>
            <w:noWrap w:val="0"/>
            <w:vAlign w:val="center"/>
          </w:tcPr>
          <w:p w14:paraId="2C55059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上元古界</w:t>
            </w:r>
          </w:p>
        </w:tc>
        <w:tc>
          <w:tcPr>
            <w:tcW w:w="604" w:type="dxa"/>
            <w:vMerge w:val="restart"/>
            <w:noWrap w:val="0"/>
            <w:vAlign w:val="center"/>
          </w:tcPr>
          <w:p w14:paraId="4BB4A24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震旦系</w:t>
            </w:r>
          </w:p>
        </w:tc>
        <w:tc>
          <w:tcPr>
            <w:tcW w:w="945" w:type="dxa"/>
            <w:vMerge w:val="restart"/>
            <w:noWrap w:val="0"/>
            <w:vAlign w:val="center"/>
          </w:tcPr>
          <w:p w14:paraId="7762F75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下统</w:t>
            </w:r>
          </w:p>
        </w:tc>
        <w:tc>
          <w:tcPr>
            <w:tcW w:w="1858" w:type="dxa"/>
            <w:gridSpan w:val="2"/>
            <w:noWrap w:val="0"/>
            <w:vAlign w:val="center"/>
          </w:tcPr>
          <w:p w14:paraId="6F66626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倪园组</w:t>
            </w:r>
          </w:p>
        </w:tc>
        <w:tc>
          <w:tcPr>
            <w:tcW w:w="1193" w:type="dxa"/>
            <w:gridSpan w:val="2"/>
            <w:noWrap w:val="0"/>
            <w:vAlign w:val="center"/>
          </w:tcPr>
          <w:p w14:paraId="4E761EB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Z1n</w:t>
            </w:r>
          </w:p>
        </w:tc>
        <w:tc>
          <w:tcPr>
            <w:tcW w:w="1172" w:type="dxa"/>
            <w:gridSpan w:val="2"/>
            <w:noWrap w:val="0"/>
            <w:vAlign w:val="center"/>
          </w:tcPr>
          <w:p w14:paraId="4C00D67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38</w:t>
            </w:r>
          </w:p>
        </w:tc>
        <w:tc>
          <w:tcPr>
            <w:tcW w:w="2907" w:type="dxa"/>
            <w:noWrap w:val="0"/>
            <w:vAlign w:val="center"/>
          </w:tcPr>
          <w:p w14:paraId="040C03F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条带状含燧石结核白云岩</w:t>
            </w:r>
          </w:p>
        </w:tc>
      </w:tr>
      <w:tr w14:paraId="7F273B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0E68384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0842936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vMerge w:val="continue"/>
            <w:noWrap w:val="0"/>
            <w:vAlign w:val="center"/>
          </w:tcPr>
          <w:p w14:paraId="6DCE6AE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858" w:type="dxa"/>
            <w:gridSpan w:val="2"/>
            <w:noWrap w:val="0"/>
            <w:vAlign w:val="center"/>
          </w:tcPr>
          <w:p w14:paraId="6BD81FA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四顶山组</w:t>
            </w:r>
          </w:p>
        </w:tc>
        <w:tc>
          <w:tcPr>
            <w:tcW w:w="1193" w:type="dxa"/>
            <w:gridSpan w:val="2"/>
            <w:noWrap w:val="0"/>
            <w:vAlign w:val="center"/>
          </w:tcPr>
          <w:p w14:paraId="0CBE760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Z1sd</w:t>
            </w:r>
          </w:p>
        </w:tc>
        <w:tc>
          <w:tcPr>
            <w:tcW w:w="1172" w:type="dxa"/>
            <w:gridSpan w:val="2"/>
            <w:noWrap w:val="0"/>
            <w:vAlign w:val="center"/>
          </w:tcPr>
          <w:p w14:paraId="463BC97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99</w:t>
            </w:r>
          </w:p>
        </w:tc>
        <w:tc>
          <w:tcPr>
            <w:tcW w:w="2907" w:type="dxa"/>
            <w:noWrap w:val="0"/>
            <w:vAlign w:val="center"/>
          </w:tcPr>
          <w:p w14:paraId="212ABD5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含叠层石白云岩</w:t>
            </w:r>
          </w:p>
        </w:tc>
      </w:tr>
      <w:tr w14:paraId="57F772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4652DDF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vMerge w:val="continue"/>
            <w:noWrap w:val="0"/>
            <w:vAlign w:val="center"/>
          </w:tcPr>
          <w:p w14:paraId="519AA43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noWrap w:val="0"/>
            <w:vAlign w:val="center"/>
          </w:tcPr>
          <w:p w14:paraId="2416E20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858" w:type="dxa"/>
            <w:gridSpan w:val="2"/>
            <w:noWrap w:val="0"/>
            <w:vAlign w:val="center"/>
          </w:tcPr>
          <w:p w14:paraId="2040333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九里桥组</w:t>
            </w:r>
          </w:p>
        </w:tc>
        <w:tc>
          <w:tcPr>
            <w:tcW w:w="1193" w:type="dxa"/>
            <w:gridSpan w:val="2"/>
            <w:noWrap w:val="0"/>
            <w:vAlign w:val="center"/>
          </w:tcPr>
          <w:p w14:paraId="647849C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Z1j</w:t>
            </w:r>
          </w:p>
        </w:tc>
        <w:tc>
          <w:tcPr>
            <w:tcW w:w="1172" w:type="dxa"/>
            <w:gridSpan w:val="2"/>
            <w:noWrap w:val="0"/>
            <w:vAlign w:val="center"/>
          </w:tcPr>
          <w:p w14:paraId="38BC8AC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71</w:t>
            </w:r>
          </w:p>
        </w:tc>
        <w:tc>
          <w:tcPr>
            <w:tcW w:w="2907" w:type="dxa"/>
            <w:noWrap w:val="0"/>
            <w:vAlign w:val="center"/>
          </w:tcPr>
          <w:p w14:paraId="212F307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条带状灰岩夹叠层石灰岩</w:t>
            </w:r>
          </w:p>
        </w:tc>
      </w:tr>
      <w:tr w14:paraId="380540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6F6A079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604" w:type="dxa"/>
            <w:noWrap w:val="0"/>
            <w:vAlign w:val="center"/>
          </w:tcPr>
          <w:p w14:paraId="0E79982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945" w:type="dxa"/>
            <w:noWrap w:val="0"/>
            <w:vAlign w:val="center"/>
          </w:tcPr>
          <w:p w14:paraId="003A222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858" w:type="dxa"/>
            <w:gridSpan w:val="2"/>
            <w:noWrap w:val="0"/>
            <w:vAlign w:val="center"/>
          </w:tcPr>
          <w:p w14:paraId="2D1D9B9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四十里长山组</w:t>
            </w:r>
          </w:p>
        </w:tc>
        <w:tc>
          <w:tcPr>
            <w:tcW w:w="1193" w:type="dxa"/>
            <w:gridSpan w:val="2"/>
            <w:noWrap w:val="0"/>
            <w:vAlign w:val="center"/>
          </w:tcPr>
          <w:p w14:paraId="0558769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Z1s</w:t>
            </w:r>
          </w:p>
        </w:tc>
        <w:tc>
          <w:tcPr>
            <w:tcW w:w="1172" w:type="dxa"/>
            <w:gridSpan w:val="2"/>
            <w:noWrap w:val="0"/>
            <w:vAlign w:val="center"/>
          </w:tcPr>
          <w:p w14:paraId="4C8377F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44</w:t>
            </w:r>
          </w:p>
        </w:tc>
        <w:tc>
          <w:tcPr>
            <w:tcW w:w="2907" w:type="dxa"/>
            <w:noWrap w:val="0"/>
            <w:vAlign w:val="center"/>
          </w:tcPr>
          <w:p w14:paraId="2B078ED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石英砂岩，长石石英岩砂岩</w:t>
            </w:r>
          </w:p>
        </w:tc>
      </w:tr>
      <w:tr w14:paraId="4D6FA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348" w:type="dxa"/>
            <w:vMerge w:val="continue"/>
            <w:noWrap w:val="0"/>
            <w:vAlign w:val="center"/>
          </w:tcPr>
          <w:p w14:paraId="0799050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549" w:type="dxa"/>
            <w:gridSpan w:val="2"/>
            <w:vMerge w:val="restart"/>
            <w:noWrap w:val="0"/>
            <w:vAlign w:val="center"/>
          </w:tcPr>
          <w:p w14:paraId="04D7196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青白口系</w:t>
            </w:r>
          </w:p>
        </w:tc>
        <w:tc>
          <w:tcPr>
            <w:tcW w:w="1858" w:type="dxa"/>
            <w:gridSpan w:val="2"/>
            <w:noWrap w:val="0"/>
            <w:vAlign w:val="center"/>
          </w:tcPr>
          <w:p w14:paraId="0D36E53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刘老碑组</w:t>
            </w:r>
          </w:p>
        </w:tc>
        <w:tc>
          <w:tcPr>
            <w:tcW w:w="1193" w:type="dxa"/>
            <w:gridSpan w:val="2"/>
            <w:noWrap w:val="0"/>
            <w:vAlign w:val="center"/>
          </w:tcPr>
          <w:p w14:paraId="5349764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Qn1</w:t>
            </w:r>
          </w:p>
        </w:tc>
        <w:tc>
          <w:tcPr>
            <w:tcW w:w="1172" w:type="dxa"/>
            <w:gridSpan w:val="2"/>
            <w:noWrap w:val="0"/>
            <w:vAlign w:val="center"/>
          </w:tcPr>
          <w:p w14:paraId="5D71443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685</w:t>
            </w:r>
          </w:p>
        </w:tc>
        <w:tc>
          <w:tcPr>
            <w:tcW w:w="2907" w:type="dxa"/>
            <w:noWrap w:val="0"/>
            <w:vAlign w:val="center"/>
          </w:tcPr>
          <w:p w14:paraId="613975A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页岩，泥灰岩夹白云质灰岩</w:t>
            </w:r>
          </w:p>
        </w:tc>
      </w:tr>
      <w:tr w14:paraId="77D1C4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8" w:hRule="atLeast"/>
          <w:jc w:val="center"/>
        </w:trPr>
        <w:tc>
          <w:tcPr>
            <w:tcW w:w="348" w:type="dxa"/>
            <w:vMerge w:val="continue"/>
            <w:noWrap w:val="0"/>
            <w:vAlign w:val="center"/>
          </w:tcPr>
          <w:p w14:paraId="1529330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549" w:type="dxa"/>
            <w:gridSpan w:val="2"/>
            <w:vMerge w:val="continue"/>
            <w:noWrap w:val="0"/>
            <w:vAlign w:val="center"/>
          </w:tcPr>
          <w:p w14:paraId="1D188F5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858" w:type="dxa"/>
            <w:gridSpan w:val="2"/>
            <w:noWrap w:val="0"/>
            <w:vAlign w:val="center"/>
          </w:tcPr>
          <w:p w14:paraId="4559DB7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伍山组</w:t>
            </w:r>
          </w:p>
        </w:tc>
        <w:tc>
          <w:tcPr>
            <w:tcW w:w="1193" w:type="dxa"/>
            <w:gridSpan w:val="2"/>
            <w:noWrap w:val="0"/>
            <w:vAlign w:val="center"/>
          </w:tcPr>
          <w:p w14:paraId="5CB0E26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Qnw</w:t>
            </w:r>
          </w:p>
        </w:tc>
        <w:tc>
          <w:tcPr>
            <w:tcW w:w="1172" w:type="dxa"/>
            <w:gridSpan w:val="2"/>
            <w:noWrap w:val="0"/>
            <w:vAlign w:val="center"/>
          </w:tcPr>
          <w:p w14:paraId="7EA32D58">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11</w:t>
            </w:r>
          </w:p>
        </w:tc>
        <w:tc>
          <w:tcPr>
            <w:tcW w:w="2907" w:type="dxa"/>
            <w:noWrap w:val="0"/>
            <w:vAlign w:val="center"/>
          </w:tcPr>
          <w:p w14:paraId="1814493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海绿石石英砂岩</w:t>
            </w:r>
          </w:p>
        </w:tc>
      </w:tr>
      <w:tr w14:paraId="40260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jc w:val="center"/>
        </w:trPr>
        <w:tc>
          <w:tcPr>
            <w:tcW w:w="1897" w:type="dxa"/>
            <w:gridSpan w:val="3"/>
            <w:noWrap w:val="0"/>
            <w:vAlign w:val="center"/>
          </w:tcPr>
          <w:p w14:paraId="79B53AF8">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上太古界</w:t>
            </w:r>
          </w:p>
        </w:tc>
        <w:tc>
          <w:tcPr>
            <w:tcW w:w="1858" w:type="dxa"/>
            <w:gridSpan w:val="2"/>
            <w:noWrap w:val="0"/>
            <w:vAlign w:val="center"/>
          </w:tcPr>
          <w:p w14:paraId="52AE9B6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霍邱群</w:t>
            </w:r>
          </w:p>
        </w:tc>
        <w:tc>
          <w:tcPr>
            <w:tcW w:w="1193" w:type="dxa"/>
            <w:gridSpan w:val="2"/>
            <w:noWrap w:val="0"/>
            <w:vAlign w:val="center"/>
          </w:tcPr>
          <w:p w14:paraId="4E6D4CD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Ar2hq</w:t>
            </w:r>
          </w:p>
        </w:tc>
        <w:tc>
          <w:tcPr>
            <w:tcW w:w="1172" w:type="dxa"/>
            <w:gridSpan w:val="2"/>
            <w:noWrap w:val="0"/>
            <w:vAlign w:val="center"/>
          </w:tcPr>
          <w:p w14:paraId="47F263A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&gt;592</w:t>
            </w:r>
          </w:p>
        </w:tc>
        <w:tc>
          <w:tcPr>
            <w:tcW w:w="2907" w:type="dxa"/>
            <w:noWrap w:val="0"/>
            <w:vAlign w:val="center"/>
          </w:tcPr>
          <w:p w14:paraId="66B0A84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黑云斜长片麻岩，斜长角闪岩</w:t>
            </w:r>
          </w:p>
        </w:tc>
      </w:tr>
    </w:tbl>
    <w:p w14:paraId="43A649CC">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二、规划区地层</w:t>
      </w:r>
    </w:p>
    <w:p w14:paraId="61C8B7B6">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其余地层主要发育有奥陶系、石炭系、二叠系、三叠系、第三系及第四系。新生界以来本区一直处于构造沉降带，形成了较厚的松散沉积物覆盖全区，沉积物厚度受古地形、沉降差异和新构造运动的控制，变化较大，厚度50~450m，平均厚度300m，总体由东南向西北逐渐增厚。现将地层由老到新分述如下：</w:t>
      </w:r>
    </w:p>
    <w:p w14:paraId="5F9FC3F9">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（1）</w:t>
      </w:r>
      <w:r>
        <w:rPr>
          <w:rFonts w:ascii="Times New Roman" w:hAnsi="Times New Roman" w:eastAsia="宋体" w:cs="Times New Roman"/>
          <w:color w:val="auto"/>
          <w:sz w:val="24"/>
          <w:szCs w:val="24"/>
          <w:highlight w:val="none"/>
        </w:rPr>
        <w:t>奥陶系</w:t>
      </w:r>
    </w:p>
    <w:p w14:paraId="55125BE6">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主要发育下统马家沟组（O1m），岩性顶部为灰色、厚层状硅质灰岩，局部夹泥质条带；底部为褐色、灰色中厚层白云岩，岩溶发育，厚度374m。</w:t>
      </w:r>
    </w:p>
    <w:p w14:paraId="084A2E83">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（2）</w:t>
      </w:r>
      <w:r>
        <w:rPr>
          <w:rFonts w:ascii="Times New Roman" w:hAnsi="Times New Roman" w:eastAsia="宋体" w:cs="Times New Roman"/>
          <w:color w:val="auto"/>
          <w:sz w:val="24"/>
          <w:szCs w:val="24"/>
          <w:highlight w:val="none"/>
        </w:rPr>
        <w:t>石炭系</w:t>
      </w:r>
    </w:p>
    <w:p w14:paraId="66D4EC26">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主要发育上统太原组（C2t），岩性为深灰色灰岩与中细粒砂岩、泥岩互层，其中灰岩约为11~13层，单层厚度一般小于10m，岩溶不发育（仅于断层破碎带局部岩溶较发育），间夹薄煤3层。厚度122m，与下伏奥陶系为假整合接触。</w:t>
      </w:r>
    </w:p>
    <w:p w14:paraId="1B0BD894">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（3）</w:t>
      </w:r>
      <w:r>
        <w:rPr>
          <w:rFonts w:ascii="Times New Roman" w:hAnsi="Times New Roman" w:eastAsia="宋体" w:cs="Times New Roman"/>
          <w:color w:val="auto"/>
          <w:sz w:val="24"/>
          <w:szCs w:val="24"/>
          <w:highlight w:val="none"/>
        </w:rPr>
        <w:t>二叠系</w:t>
      </w:r>
    </w:p>
    <w:p w14:paraId="654EDACC">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自下而上主要发育山西组、石盒子组和石千峰组。厚度1019m。</w:t>
      </w:r>
    </w:p>
    <w:p w14:paraId="537CB291">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w:instrText>
      </w:r>
      <w:r>
        <w:rPr>
          <w:rFonts w:hint="eastAsia" w:ascii="Times New Roman" w:hAnsi="Times New Roman" w:eastAsia="宋体" w:cs="Times New Roman"/>
          <w:color w:val="auto"/>
          <w:sz w:val="24"/>
          <w:szCs w:val="24"/>
          <w:highlight w:val="none"/>
        </w:rPr>
        <w:instrText xml:space="preserve">= 1 \* GB3</w:instrText>
      </w:r>
      <w:r>
        <w:rPr>
          <w:rFonts w:ascii="Times New Roman" w:hAnsi="Times New Roman" w:eastAsia="宋体" w:cs="Times New Roman"/>
          <w:color w:val="auto"/>
          <w:sz w:val="24"/>
          <w:szCs w:val="24"/>
          <w:highlight w:val="none"/>
        </w:rPr>
        <w:instrText xml:space="preserve"> </w:instrText>
      </w:r>
      <w:r>
        <w:rPr>
          <w:rFonts w:ascii="Times New Roman" w:hAnsi="Times New Roman" w:eastAsia="宋体" w:cs="Times New Roman"/>
          <w:color w:val="auto"/>
          <w:sz w:val="24"/>
          <w:szCs w:val="24"/>
          <w:highlight w:val="none"/>
        </w:rPr>
        <w:fldChar w:fldCharType="separate"/>
      </w:r>
      <w:r>
        <w:rPr>
          <w:rFonts w:hint="eastAsia" w:ascii="Times New Roman" w:hAnsi="Times New Roman" w:eastAsia="宋体" w:cs="Times New Roman"/>
          <w:color w:val="auto"/>
          <w:sz w:val="24"/>
          <w:szCs w:val="24"/>
          <w:highlight w:val="none"/>
        </w:rPr>
        <w:t>①</w:t>
      </w:r>
      <w:r>
        <w:rPr>
          <w:rFonts w:ascii="Times New Roman" w:hAnsi="Times New Roman" w:eastAsia="宋体" w:cs="Times New Roman"/>
          <w:color w:val="auto"/>
          <w:sz w:val="24"/>
          <w:szCs w:val="24"/>
          <w:highlight w:val="none"/>
        </w:rPr>
        <w:fldChar w:fldCharType="end"/>
      </w:r>
      <w:r>
        <w:rPr>
          <w:rFonts w:ascii="Times New Roman" w:hAnsi="Times New Roman" w:eastAsia="宋体" w:cs="Times New Roman"/>
          <w:color w:val="auto"/>
          <w:sz w:val="24"/>
          <w:szCs w:val="24"/>
          <w:highlight w:val="none"/>
        </w:rPr>
        <w:t>山西组（P1s）：由灰色砂岩、泥岩和煤层组成，为二叠系第一含煤段，含1、3两层可采煤层，是区内主要含煤地层之一。平均厚度85m，与下伏石炭纪地层为整合接触。</w:t>
      </w:r>
    </w:p>
    <w:p w14:paraId="384E12E0">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w:instrText>
      </w:r>
      <w:r>
        <w:rPr>
          <w:rFonts w:hint="eastAsia" w:ascii="Times New Roman" w:hAnsi="Times New Roman" w:eastAsia="宋体" w:cs="Times New Roman"/>
          <w:color w:val="auto"/>
          <w:sz w:val="24"/>
          <w:szCs w:val="24"/>
          <w:highlight w:val="none"/>
        </w:rPr>
        <w:instrText xml:space="preserve">= 2 \* GB3</w:instrText>
      </w:r>
      <w:r>
        <w:rPr>
          <w:rFonts w:ascii="Times New Roman" w:hAnsi="Times New Roman" w:eastAsia="宋体" w:cs="Times New Roman"/>
          <w:color w:val="auto"/>
          <w:sz w:val="24"/>
          <w:szCs w:val="24"/>
          <w:highlight w:val="none"/>
        </w:rPr>
        <w:instrText xml:space="preserve"> </w:instrText>
      </w:r>
      <w:r>
        <w:rPr>
          <w:rFonts w:ascii="Times New Roman" w:hAnsi="Times New Roman" w:eastAsia="宋体" w:cs="Times New Roman"/>
          <w:color w:val="auto"/>
          <w:sz w:val="24"/>
          <w:szCs w:val="24"/>
          <w:highlight w:val="none"/>
        </w:rPr>
        <w:fldChar w:fldCharType="separate"/>
      </w:r>
      <w:r>
        <w:rPr>
          <w:rFonts w:hint="eastAsia" w:ascii="Times New Roman" w:hAnsi="Times New Roman" w:eastAsia="宋体" w:cs="Times New Roman"/>
          <w:color w:val="auto"/>
          <w:sz w:val="24"/>
          <w:szCs w:val="24"/>
          <w:highlight w:val="none"/>
        </w:rPr>
        <w:t>②</w:t>
      </w:r>
      <w:r>
        <w:rPr>
          <w:rFonts w:ascii="Times New Roman" w:hAnsi="Times New Roman" w:eastAsia="宋体" w:cs="Times New Roman"/>
          <w:color w:val="auto"/>
          <w:sz w:val="24"/>
          <w:szCs w:val="24"/>
          <w:highlight w:val="none"/>
        </w:rPr>
        <w:fldChar w:fldCharType="end"/>
      </w:r>
      <w:r>
        <w:rPr>
          <w:rFonts w:ascii="Times New Roman" w:hAnsi="Times New Roman" w:eastAsia="宋体" w:cs="Times New Roman"/>
          <w:color w:val="auto"/>
          <w:sz w:val="24"/>
          <w:szCs w:val="24"/>
          <w:highlight w:val="none"/>
        </w:rPr>
        <w:t>石盒子组（P1-2^s）：分上、下石盒子组，是区内主要含煤地层。平均厚度670m，与下伏山西组地层为整合接触。</w:t>
      </w:r>
    </w:p>
    <w:p w14:paraId="06A4B427">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下石盒子组岩性主要为中粗砂岩和煤层，为二叠系第二含煤段，含煤9层，其中4、5、6、7、8煤层为可采或局部可采煤层。平均厚度130m。</w:t>
      </w:r>
    </w:p>
    <w:p w14:paraId="7469A37E">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上石盒子组岩性主要为中细砂岩、泥岩、砂质页岩和煤层组成，为二叠系第三~第七含煤段，含煤19~20层，其中11-2、13-1煤层为淮南煤田主采煤层。平均厚度540m。</w:t>
      </w:r>
    </w:p>
    <w:p w14:paraId="00968891">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w:instrText>
      </w:r>
      <w:r>
        <w:rPr>
          <w:rFonts w:hint="eastAsia" w:ascii="Times New Roman" w:hAnsi="Times New Roman" w:eastAsia="宋体" w:cs="Times New Roman"/>
          <w:color w:val="auto"/>
          <w:sz w:val="24"/>
          <w:szCs w:val="24"/>
          <w:highlight w:val="none"/>
        </w:rPr>
        <w:instrText xml:space="preserve">= 3 \* GB3</w:instrText>
      </w:r>
      <w:r>
        <w:rPr>
          <w:rFonts w:ascii="Times New Roman" w:hAnsi="Times New Roman" w:eastAsia="宋体" w:cs="Times New Roman"/>
          <w:color w:val="auto"/>
          <w:sz w:val="24"/>
          <w:szCs w:val="24"/>
          <w:highlight w:val="none"/>
        </w:rPr>
        <w:instrText xml:space="preserve"> </w:instrText>
      </w:r>
      <w:r>
        <w:rPr>
          <w:rFonts w:ascii="Times New Roman" w:hAnsi="Times New Roman" w:eastAsia="宋体" w:cs="Times New Roman"/>
          <w:color w:val="auto"/>
          <w:sz w:val="24"/>
          <w:szCs w:val="24"/>
          <w:highlight w:val="none"/>
        </w:rPr>
        <w:fldChar w:fldCharType="separate"/>
      </w:r>
      <w:r>
        <w:rPr>
          <w:rFonts w:hint="eastAsia" w:ascii="Times New Roman" w:hAnsi="Times New Roman" w:eastAsia="宋体" w:cs="Times New Roman"/>
          <w:color w:val="auto"/>
          <w:sz w:val="24"/>
          <w:szCs w:val="24"/>
          <w:highlight w:val="none"/>
        </w:rPr>
        <w:t>③</w:t>
      </w:r>
      <w:r>
        <w:rPr>
          <w:rFonts w:ascii="Times New Roman" w:hAnsi="Times New Roman" w:eastAsia="宋体" w:cs="Times New Roman"/>
          <w:color w:val="auto"/>
          <w:sz w:val="24"/>
          <w:szCs w:val="24"/>
          <w:highlight w:val="none"/>
        </w:rPr>
        <w:fldChar w:fldCharType="end"/>
      </w:r>
      <w:r>
        <w:rPr>
          <w:rFonts w:ascii="Times New Roman" w:hAnsi="Times New Roman" w:eastAsia="宋体" w:cs="Times New Roman"/>
          <w:color w:val="auto"/>
          <w:sz w:val="24"/>
          <w:szCs w:val="24"/>
          <w:highlight w:val="none"/>
        </w:rPr>
        <w:t>石千峰组（P2sh）：为一套杂色非含煤地层，岩性为灰白色中粒石英砂岩、紫红色石英粉砂岩、中细砂岩、含砾砂岩，底部以灰白或浅红色含砾中粗砂岩与石盒子组整合接触。平均厚度264m，与下伏石盒子组地层为整合接触。</w:t>
      </w:r>
    </w:p>
    <w:p w14:paraId="710CC1F1">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w:instrText>
      </w:r>
      <w:r>
        <w:rPr>
          <w:rFonts w:hint="eastAsia" w:ascii="Times New Roman" w:hAnsi="Times New Roman" w:eastAsia="宋体" w:cs="Times New Roman"/>
          <w:color w:val="auto"/>
          <w:sz w:val="24"/>
          <w:szCs w:val="24"/>
          <w:highlight w:val="none"/>
        </w:rPr>
        <w:instrText xml:space="preserve">= 4 \* GB3</w:instrText>
      </w:r>
      <w:r>
        <w:rPr>
          <w:rFonts w:ascii="Times New Roman" w:hAnsi="Times New Roman" w:eastAsia="宋体" w:cs="Times New Roman"/>
          <w:color w:val="auto"/>
          <w:sz w:val="24"/>
          <w:szCs w:val="24"/>
          <w:highlight w:val="none"/>
        </w:rPr>
        <w:instrText xml:space="preserve"> </w:instrText>
      </w:r>
      <w:r>
        <w:rPr>
          <w:rFonts w:ascii="Times New Roman" w:hAnsi="Times New Roman" w:eastAsia="宋体" w:cs="Times New Roman"/>
          <w:color w:val="auto"/>
          <w:sz w:val="24"/>
          <w:szCs w:val="24"/>
          <w:highlight w:val="none"/>
        </w:rPr>
        <w:fldChar w:fldCharType="separate"/>
      </w:r>
      <w:r>
        <w:rPr>
          <w:rFonts w:hint="eastAsia" w:ascii="Times New Roman" w:hAnsi="Times New Roman" w:eastAsia="宋体" w:cs="Times New Roman"/>
          <w:color w:val="auto"/>
          <w:sz w:val="24"/>
          <w:szCs w:val="24"/>
          <w:highlight w:val="none"/>
        </w:rPr>
        <w:t>④</w:t>
      </w:r>
      <w:r>
        <w:rPr>
          <w:rFonts w:ascii="Times New Roman" w:hAnsi="Times New Roman" w:eastAsia="宋体" w:cs="Times New Roman"/>
          <w:color w:val="auto"/>
          <w:sz w:val="24"/>
          <w:szCs w:val="24"/>
          <w:highlight w:val="none"/>
        </w:rPr>
        <w:fldChar w:fldCharType="end"/>
      </w:r>
      <w:r>
        <w:rPr>
          <w:rFonts w:ascii="Times New Roman" w:hAnsi="Times New Roman" w:eastAsia="宋体" w:cs="Times New Roman"/>
          <w:color w:val="auto"/>
          <w:sz w:val="24"/>
          <w:szCs w:val="24"/>
          <w:highlight w:val="none"/>
        </w:rPr>
        <w:t>三叠系</w:t>
      </w:r>
    </w:p>
    <w:p w14:paraId="18942A25">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主要发育下统和尚沟组（T1hs），为陆相红色岩层，岩性主要为棕红色、紫褐色砂岩、粉砂岩，局部含砾。厚度大于150m，与下伏二迭系地层为整合接触。</w:t>
      </w:r>
    </w:p>
    <w:p w14:paraId="630FCD6F">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w:instrText>
      </w:r>
      <w:r>
        <w:rPr>
          <w:rFonts w:hint="eastAsia" w:ascii="Times New Roman" w:hAnsi="Times New Roman" w:eastAsia="宋体" w:cs="Times New Roman"/>
          <w:color w:val="auto"/>
          <w:sz w:val="24"/>
          <w:szCs w:val="24"/>
          <w:highlight w:val="none"/>
        </w:rPr>
        <w:instrText xml:space="preserve">= 5 \* GB3</w:instrText>
      </w:r>
      <w:r>
        <w:rPr>
          <w:rFonts w:ascii="Times New Roman" w:hAnsi="Times New Roman" w:eastAsia="宋体" w:cs="Times New Roman"/>
          <w:color w:val="auto"/>
          <w:sz w:val="24"/>
          <w:szCs w:val="24"/>
          <w:highlight w:val="none"/>
        </w:rPr>
        <w:instrText xml:space="preserve"> </w:instrText>
      </w:r>
      <w:r>
        <w:rPr>
          <w:rFonts w:ascii="Times New Roman" w:hAnsi="Times New Roman" w:eastAsia="宋体" w:cs="Times New Roman"/>
          <w:color w:val="auto"/>
          <w:sz w:val="24"/>
          <w:szCs w:val="24"/>
          <w:highlight w:val="none"/>
        </w:rPr>
        <w:fldChar w:fldCharType="separate"/>
      </w:r>
      <w:r>
        <w:rPr>
          <w:rFonts w:hint="eastAsia" w:ascii="Times New Roman" w:hAnsi="Times New Roman" w:eastAsia="宋体" w:cs="Times New Roman"/>
          <w:color w:val="auto"/>
          <w:sz w:val="24"/>
          <w:szCs w:val="24"/>
          <w:highlight w:val="none"/>
        </w:rPr>
        <w:t>⑤</w:t>
      </w:r>
      <w:r>
        <w:rPr>
          <w:rFonts w:ascii="Times New Roman" w:hAnsi="Times New Roman" w:eastAsia="宋体" w:cs="Times New Roman"/>
          <w:color w:val="auto"/>
          <w:sz w:val="24"/>
          <w:szCs w:val="24"/>
          <w:highlight w:val="none"/>
        </w:rPr>
        <w:fldChar w:fldCharType="end"/>
      </w:r>
      <w:r>
        <w:rPr>
          <w:rFonts w:ascii="Times New Roman" w:hAnsi="Times New Roman" w:eastAsia="宋体" w:cs="Times New Roman"/>
          <w:color w:val="auto"/>
          <w:sz w:val="24"/>
          <w:szCs w:val="24"/>
          <w:highlight w:val="none"/>
        </w:rPr>
        <w:t>第三系</w:t>
      </w:r>
    </w:p>
    <w:p w14:paraId="4531A23B">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主要发育上新统明化镇（N2m），隐伏于第四系之下。岩性上部为紫红色、灰绿色黏土，含铁锰结核和钙质结核，下部为泥质粉砂岩夹灰白色泥灰岩。厚度大于290m。</w:t>
      </w:r>
    </w:p>
    <w:p w14:paraId="2D5A1229">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fldChar w:fldCharType="begin"/>
      </w:r>
      <w:r>
        <w:rPr>
          <w:rFonts w:ascii="Times New Roman" w:hAnsi="Times New Roman" w:eastAsia="宋体" w:cs="Times New Roman"/>
          <w:color w:val="auto"/>
          <w:sz w:val="24"/>
          <w:szCs w:val="24"/>
          <w:highlight w:val="none"/>
        </w:rPr>
        <w:instrText xml:space="preserve"> </w:instrText>
      </w:r>
      <w:r>
        <w:rPr>
          <w:rFonts w:hint="eastAsia" w:ascii="Times New Roman" w:hAnsi="Times New Roman" w:eastAsia="宋体" w:cs="Times New Roman"/>
          <w:color w:val="auto"/>
          <w:sz w:val="24"/>
          <w:szCs w:val="24"/>
          <w:highlight w:val="none"/>
        </w:rPr>
        <w:instrText xml:space="preserve">= 6 \* GB3</w:instrText>
      </w:r>
      <w:r>
        <w:rPr>
          <w:rFonts w:ascii="Times New Roman" w:hAnsi="Times New Roman" w:eastAsia="宋体" w:cs="Times New Roman"/>
          <w:color w:val="auto"/>
          <w:sz w:val="24"/>
          <w:szCs w:val="24"/>
          <w:highlight w:val="none"/>
        </w:rPr>
        <w:instrText xml:space="preserve"> </w:instrText>
      </w:r>
      <w:r>
        <w:rPr>
          <w:rFonts w:ascii="Times New Roman" w:hAnsi="Times New Roman" w:eastAsia="宋体" w:cs="Times New Roman"/>
          <w:color w:val="auto"/>
          <w:sz w:val="24"/>
          <w:szCs w:val="24"/>
          <w:highlight w:val="none"/>
        </w:rPr>
        <w:fldChar w:fldCharType="separate"/>
      </w:r>
      <w:r>
        <w:rPr>
          <w:rFonts w:hint="eastAsia" w:ascii="Times New Roman" w:hAnsi="Times New Roman" w:eastAsia="宋体" w:cs="Times New Roman"/>
          <w:color w:val="auto"/>
          <w:sz w:val="24"/>
          <w:szCs w:val="24"/>
          <w:highlight w:val="none"/>
        </w:rPr>
        <w:t>⑥</w:t>
      </w:r>
      <w:r>
        <w:rPr>
          <w:rFonts w:ascii="Times New Roman" w:hAnsi="Times New Roman" w:eastAsia="宋体" w:cs="Times New Roman"/>
          <w:color w:val="auto"/>
          <w:sz w:val="24"/>
          <w:szCs w:val="24"/>
          <w:highlight w:val="none"/>
        </w:rPr>
        <w:fldChar w:fldCharType="end"/>
      </w:r>
      <w:r>
        <w:rPr>
          <w:rFonts w:ascii="Times New Roman" w:hAnsi="Times New Roman" w:eastAsia="宋体" w:cs="Times New Roman"/>
          <w:color w:val="auto"/>
          <w:sz w:val="24"/>
          <w:szCs w:val="24"/>
          <w:highlight w:val="none"/>
        </w:rPr>
        <w:t>第四系</w:t>
      </w:r>
    </w:p>
    <w:p w14:paraId="30CF37D0">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第四系地层有下更新统太和组（Q1）、中更新统临泉组（Q2）、上更新统颍上组（Q3）以及全新统蚌埠组（Q4），厚约150m。主要岩性为黏土、粉质黏土、粉砂和中细砂。自下而上分述如下：</w:t>
      </w:r>
    </w:p>
    <w:p w14:paraId="56BC6125">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rPr>
        <w:t>a</w:t>
      </w:r>
      <w:r>
        <w:rPr>
          <w:rFonts w:ascii="Times New Roman" w:hAnsi="Times New Roman" w:eastAsia="宋体" w:cs="Times New Roman"/>
          <w:color w:val="auto"/>
          <w:sz w:val="24"/>
          <w:szCs w:val="24"/>
          <w:highlight w:val="none"/>
        </w:rPr>
        <w:t>第四系下更新统太和组（Q1）：埋深45.0~150m。下部主要由土黄色、棕红色、灰绿色黏土组成，中间夹粉砂和粉细砂薄层。中上部主要由黄色、浅灰色中、细砂、粉砂组成，间夹薄层黏土。为河床-河漫滩沉积相。厚度60~70m。</w:t>
      </w:r>
    </w:p>
    <w:p w14:paraId="4E913E13">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rPr>
        <w:t>b</w:t>
      </w:r>
      <w:r>
        <w:rPr>
          <w:rFonts w:ascii="Times New Roman" w:hAnsi="Times New Roman" w:eastAsia="宋体" w:cs="Times New Roman"/>
          <w:color w:val="auto"/>
          <w:sz w:val="24"/>
          <w:szCs w:val="24"/>
          <w:highlight w:val="none"/>
        </w:rPr>
        <w:t>第四系中更新统临泉组（Q2）：下部主要由灰黄色，棕红色厚层状黏土及粉质黏土组成，中间夹粉砂和粉细砂薄层。中部主要由灰黄色、浅灰色、中、细砂、中细砂和粉砂组成。为冲积—冲洪积。厚度10~30m。</w:t>
      </w:r>
    </w:p>
    <w:p w14:paraId="439BFBE9">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rPr>
        <w:t>c</w:t>
      </w:r>
      <w:r>
        <w:rPr>
          <w:rFonts w:ascii="Times New Roman" w:hAnsi="Times New Roman" w:eastAsia="宋体" w:cs="Times New Roman"/>
          <w:color w:val="auto"/>
          <w:sz w:val="24"/>
          <w:szCs w:val="24"/>
          <w:highlight w:val="none"/>
        </w:rPr>
        <w:t>第四系上更新统颍上组（Q3）：大部分地表出露。下部主要由棕黄色粉细砂、粉砂组成。上部主要由黑灰色、灰黄色、棕黄色黏土及粉质黏土组成。为冲积—冲洪积，厚度15~60m。</w:t>
      </w:r>
    </w:p>
    <w:p w14:paraId="672DC4DF">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rPr>
        <w:t>d</w:t>
      </w:r>
      <w:r>
        <w:rPr>
          <w:rFonts w:ascii="Times New Roman" w:hAnsi="Times New Roman" w:eastAsia="宋体" w:cs="Times New Roman"/>
          <w:color w:val="auto"/>
          <w:sz w:val="24"/>
          <w:szCs w:val="24"/>
          <w:highlight w:val="none"/>
        </w:rPr>
        <w:t>第四系全新统蚌埠组（Q4）：主要分布在现代河流河床及漫滩地区，由棕黄色、灰黄色粉质黏土和粉砂组成，局部夹粉砂薄层。厚度2~15m。</w:t>
      </w:r>
    </w:p>
    <w:p w14:paraId="289A083F">
      <w:pPr>
        <w:widowControl w:val="0"/>
        <w:kinsoku w:val="0"/>
        <w:overflowPunct w:val="0"/>
        <w:adjustRightInd w:val="0"/>
        <w:snapToGrid w:val="0"/>
        <w:spacing w:before="12" w:line="300" w:lineRule="auto"/>
        <w:ind w:firstLine="480" w:firstLineChars="200"/>
        <w:jc w:val="center"/>
        <w:rPr>
          <w:rFonts w:ascii="Times New Roman" w:hAnsi="Calibri" w:eastAsia="宋体" w:cs="Times New Roman"/>
          <w:color w:val="auto"/>
          <w:kern w:val="2"/>
          <w:sz w:val="3"/>
          <w:szCs w:val="22"/>
          <w:highlight w:val="none"/>
          <w:lang w:val="en-US" w:eastAsia="zh-CN" w:bidi="ar-SA"/>
        </w:rPr>
      </w:pPr>
      <w:r>
        <w:rPr>
          <w:rFonts w:ascii="Times New Roman" w:hAnsi="Calibri" w:eastAsia="宋体" w:cs="Times New Roman"/>
          <w:color w:val="auto"/>
          <w:kern w:val="2"/>
          <w:sz w:val="24"/>
          <w:szCs w:val="22"/>
          <w:highlight w:val="none"/>
          <w:lang w:val="en-US" w:eastAsia="zh-CN" w:bidi="ar-SA"/>
        </w:rPr>
        <mc:AlternateContent>
          <mc:Choice Requires="wps">
            <w:drawing>
              <wp:anchor distT="0" distB="0" distL="114300" distR="114300" simplePos="0" relativeHeight="251717632" behindDoc="0" locked="0" layoutInCell="1" allowOverlap="1">
                <wp:simplePos x="0" y="0"/>
                <wp:positionH relativeFrom="column">
                  <wp:posOffset>2753995</wp:posOffset>
                </wp:positionH>
                <wp:positionV relativeFrom="paragraph">
                  <wp:posOffset>2124075</wp:posOffset>
                </wp:positionV>
                <wp:extent cx="1014730" cy="368300"/>
                <wp:effectExtent l="6350" t="6350" r="7620" b="406400"/>
                <wp:wrapNone/>
                <wp:docPr id="937" name="对话气泡: 矩形 937"/>
                <wp:cNvGraphicFramePr/>
                <a:graphic xmlns:a="http://schemas.openxmlformats.org/drawingml/2006/main">
                  <a:graphicData uri="http://schemas.microsoft.com/office/word/2010/wordprocessingShape">
                    <wps:wsp>
                      <wps:cNvSpPr/>
                      <wps:spPr>
                        <a:xfrm>
                          <a:off x="0" y="0"/>
                          <a:ext cx="1014761" cy="367990"/>
                        </a:xfrm>
                        <a:prstGeom prst="wedgeRectCallout">
                          <a:avLst>
                            <a:gd name="adj1" fmla="val -42726"/>
                            <a:gd name="adj2" fmla="val 153279"/>
                          </a:avLst>
                        </a:prstGeom>
                        <a:noFill/>
                        <a:ln w="12700" cap="flat" cmpd="sng" algn="ctr">
                          <a:solidFill>
                            <a:srgbClr val="FF0000"/>
                          </a:solidFill>
                          <a:prstDash val="solid"/>
                          <a:miter lim="800000"/>
                        </a:ln>
                        <a:effectLst/>
                      </wps:spPr>
                      <wps:txbx>
                        <w:txbxContent>
                          <w:p w14:paraId="5F35BD33">
                            <w:pPr>
                              <w:adjustRightInd w:val="0"/>
                              <w:snapToGrid w:val="0"/>
                              <w:spacing w:line="240" w:lineRule="auto"/>
                              <w:ind w:firstLine="0" w:firstLineChars="0"/>
                              <w:rPr>
                                <w:rFonts w:ascii="Times New Roman" w:hAnsi="Times New Roman" w:eastAsia="宋体" w:cs="Times New Roman"/>
                                <w:b/>
                                <w:bCs/>
                                <w:color w:val="FF0000"/>
                                <w:sz w:val="21"/>
                                <w:szCs w:val="21"/>
                              </w:rPr>
                            </w:pPr>
                            <w:r>
                              <w:rPr>
                                <w:rFonts w:hint="eastAsia" w:ascii="Times New Roman" w:hAnsi="Times New Roman" w:eastAsia="宋体" w:cs="Times New Roman"/>
                                <w:b/>
                                <w:bCs/>
                                <w:color w:val="FF0000"/>
                                <w:sz w:val="21"/>
                                <w:szCs w:val="21"/>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937" o:spid="_x0000_s1026" o:spt="61" type="#_x0000_t61" style="position:absolute;left:0pt;margin-left:216.85pt;margin-top:167.25pt;height:29pt;width:79.9pt;z-index:251717632;v-text-anchor:middle;mso-width-relative:page;mso-height-relative:page;" filled="f" stroked="t" coordsize="21600,21600" o:gfxdata="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32gpOtsAAAALAQAADwAA&#10;AAAAAAABACAAAAAiAAAAZHJzL2Rvd25yZXYueG1sUEsBAhQAFAAAAAgAh07iQHzqdX++AgAAVQUA&#10;AA4AAAAAAAAAAQAgAAAAKgEAAGRycy9lMm9Eb2MueG1sUEsFBgAAAAAGAAYAWQEAAFoGAAAAAA==&#10;" adj="1571,43908">
                <v:fill on="f" focussize="0,0"/>
                <v:stroke weight="1pt" color="#FF0000" miterlimit="8" joinstyle="miter"/>
                <v:imagedata o:title=""/>
                <o:lock v:ext="edit" aspectratio="f"/>
                <v:textbox>
                  <w:txbxContent>
                    <w:p w14:paraId="5F35BD33">
                      <w:pPr>
                        <w:adjustRightInd w:val="0"/>
                        <w:snapToGrid w:val="0"/>
                        <w:spacing w:line="240" w:lineRule="auto"/>
                        <w:ind w:firstLine="0" w:firstLineChars="0"/>
                        <w:rPr>
                          <w:rFonts w:ascii="Times New Roman" w:hAnsi="Times New Roman" w:eastAsia="宋体" w:cs="Times New Roman"/>
                          <w:b/>
                          <w:bCs/>
                          <w:color w:val="FF0000"/>
                          <w:sz w:val="21"/>
                          <w:szCs w:val="21"/>
                        </w:rPr>
                      </w:pPr>
                      <w:r>
                        <w:rPr>
                          <w:rFonts w:hint="eastAsia" w:ascii="Times New Roman" w:hAnsi="Times New Roman" w:eastAsia="宋体" w:cs="Times New Roman"/>
                          <w:b/>
                          <w:bCs/>
                          <w:color w:val="FF0000"/>
                          <w:sz w:val="21"/>
                          <w:szCs w:val="21"/>
                        </w:rPr>
                        <w:t>项目所在地</w:t>
                      </w:r>
                    </w:p>
                  </w:txbxContent>
                </v:textbox>
              </v:shape>
            </w:pict>
          </mc:Fallback>
        </mc:AlternateContent>
      </w:r>
      <w:r>
        <w:rPr>
          <w:rFonts w:ascii="Times New Roman" w:hAnsi="Calibri" w:eastAsia="宋体" w:cs="Times New Roman"/>
          <w:color w:val="auto"/>
          <w:kern w:val="2"/>
          <w:sz w:val="24"/>
          <w:szCs w:val="22"/>
          <w:highlight w:val="none"/>
          <w:lang w:val="en-US" w:eastAsia="zh-CN" w:bidi="ar-SA"/>
        </w:rPr>
        <w:drawing>
          <wp:inline distT="0" distB="0" distL="114300" distR="114300">
            <wp:extent cx="5116830" cy="7484745"/>
            <wp:effectExtent l="0" t="0" r="7620" b="1905"/>
            <wp:docPr id="587"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948"/>
                    <pic:cNvPicPr>
                      <a:picLocks noChangeAspect="1"/>
                    </pic:cNvPicPr>
                  </pic:nvPicPr>
                  <pic:blipFill>
                    <a:blip r:embed="rId80"/>
                    <a:stretch>
                      <a:fillRect/>
                    </a:stretch>
                  </pic:blipFill>
                  <pic:spPr>
                    <a:xfrm>
                      <a:off x="0" y="0"/>
                      <a:ext cx="5116830" cy="7484745"/>
                    </a:xfrm>
                    <a:prstGeom prst="rect">
                      <a:avLst/>
                    </a:prstGeom>
                    <a:noFill/>
                    <a:ln>
                      <a:noFill/>
                    </a:ln>
                  </pic:spPr>
                </pic:pic>
              </a:graphicData>
            </a:graphic>
          </wp:inline>
        </w:drawing>
      </w:r>
    </w:p>
    <w:p w14:paraId="61E84274">
      <w:pPr>
        <w:widowControl w:val="0"/>
        <w:kinsoku w:val="0"/>
        <w:overflowPunct w:val="0"/>
        <w:adjustRightInd w:val="0"/>
        <w:snapToGrid w:val="0"/>
        <w:spacing w:line="360" w:lineRule="auto"/>
        <w:ind w:firstLine="300" w:firstLineChars="200"/>
        <w:jc w:val="both"/>
        <w:rPr>
          <w:rFonts w:ascii="Times New Roman" w:hAnsi="Calibri" w:eastAsia="宋体" w:cs="Times New Roman"/>
          <w:color w:val="auto"/>
          <w:kern w:val="2"/>
          <w:sz w:val="15"/>
          <w:szCs w:val="15"/>
          <w:highlight w:val="none"/>
          <w:lang w:val="en-US" w:eastAsia="zh-CN" w:bidi="ar-SA"/>
        </w:rPr>
      </w:pPr>
      <w:r>
        <w:rPr>
          <w:rFonts w:hint="eastAsia" w:ascii="Calibri" w:hAnsi="宋体" w:eastAsia="宋体" w:cs="宋体"/>
          <w:color w:val="auto"/>
          <w:kern w:val="2"/>
          <w:sz w:val="15"/>
          <w:szCs w:val="15"/>
          <w:highlight w:val="none"/>
          <w:lang w:val="en-US" w:eastAsia="zh-CN" w:bidi="ar-SA"/>
        </w:rPr>
        <w:t>Ⅰ</w:t>
      </w:r>
      <w:r>
        <w:rPr>
          <w:rFonts w:ascii="Times New Roman" w:hAnsi="Calibri" w:eastAsia="宋体" w:cs="Times New Roman"/>
          <w:color w:val="auto"/>
          <w:kern w:val="2"/>
          <w:sz w:val="15"/>
          <w:szCs w:val="15"/>
          <w:highlight w:val="none"/>
          <w:lang w:val="en-US" w:eastAsia="zh-CN" w:bidi="ar-SA"/>
        </w:rPr>
        <w:t xml:space="preserve">－淮北平原水文地质区 </w:t>
      </w:r>
      <w:r>
        <w:rPr>
          <w:rFonts w:hint="eastAsia" w:ascii="Calibri" w:hAnsi="宋体" w:eastAsia="宋体" w:cs="宋体"/>
          <w:color w:val="auto"/>
          <w:kern w:val="2"/>
          <w:sz w:val="15"/>
          <w:szCs w:val="15"/>
          <w:highlight w:val="none"/>
          <w:lang w:val="en-US" w:eastAsia="zh-CN" w:bidi="ar-SA"/>
        </w:rPr>
        <w:t>Ⅱ</w:t>
      </w:r>
      <w:r>
        <w:rPr>
          <w:rFonts w:ascii="Times New Roman" w:hAnsi="Calibri" w:eastAsia="宋体" w:cs="Times New Roman"/>
          <w:color w:val="auto"/>
          <w:kern w:val="2"/>
          <w:sz w:val="15"/>
          <w:szCs w:val="15"/>
          <w:highlight w:val="none"/>
          <w:lang w:val="en-US" w:eastAsia="zh-CN" w:bidi="ar-SA"/>
        </w:rPr>
        <w:t xml:space="preserve">－江淮波状平原水文地质区 </w:t>
      </w:r>
      <w:r>
        <w:rPr>
          <w:rFonts w:hint="eastAsia" w:ascii="Calibri" w:hAnsi="宋体" w:eastAsia="宋体" w:cs="宋体"/>
          <w:color w:val="auto"/>
          <w:kern w:val="2"/>
          <w:sz w:val="15"/>
          <w:szCs w:val="15"/>
          <w:highlight w:val="none"/>
          <w:lang w:val="en-US" w:eastAsia="zh-CN" w:bidi="ar-SA"/>
        </w:rPr>
        <w:t>Ⅲ</w:t>
      </w:r>
      <w:r>
        <w:rPr>
          <w:rFonts w:ascii="Times New Roman" w:hAnsi="Calibri" w:eastAsia="宋体" w:cs="Times New Roman"/>
          <w:color w:val="auto"/>
          <w:kern w:val="2"/>
          <w:sz w:val="15"/>
          <w:szCs w:val="15"/>
          <w:highlight w:val="none"/>
          <w:lang w:val="en-US" w:eastAsia="zh-CN" w:bidi="ar-SA"/>
        </w:rPr>
        <w:t xml:space="preserve">－皖西山地水文地质区 </w:t>
      </w:r>
      <w:r>
        <w:rPr>
          <w:rFonts w:hint="eastAsia" w:ascii="Calibri" w:hAnsi="宋体" w:eastAsia="宋体" w:cs="宋体"/>
          <w:color w:val="auto"/>
          <w:kern w:val="2"/>
          <w:sz w:val="15"/>
          <w:szCs w:val="15"/>
          <w:highlight w:val="none"/>
          <w:lang w:val="en-US" w:eastAsia="zh-CN" w:bidi="ar-SA"/>
        </w:rPr>
        <w:t>Ⅳ</w:t>
      </w:r>
      <w:r>
        <w:rPr>
          <w:rFonts w:ascii="Times New Roman" w:hAnsi="Calibri" w:eastAsia="宋体" w:cs="Times New Roman"/>
          <w:color w:val="auto"/>
          <w:kern w:val="2"/>
          <w:sz w:val="15"/>
          <w:szCs w:val="15"/>
          <w:highlight w:val="none"/>
          <w:lang w:val="en-US" w:eastAsia="zh-CN" w:bidi="ar-SA"/>
        </w:rPr>
        <w:t xml:space="preserve">－沿江丘陵平原水文地质区 </w:t>
      </w:r>
      <w:r>
        <w:rPr>
          <w:rFonts w:hint="eastAsia" w:ascii="Calibri" w:hAnsi="宋体" w:eastAsia="宋体" w:cs="宋体"/>
          <w:color w:val="auto"/>
          <w:kern w:val="2"/>
          <w:sz w:val="15"/>
          <w:szCs w:val="15"/>
          <w:highlight w:val="none"/>
          <w:lang w:val="en-US" w:eastAsia="zh-CN" w:bidi="ar-SA"/>
        </w:rPr>
        <w:t>Ⅴ</w:t>
      </w:r>
      <w:r>
        <w:rPr>
          <w:rFonts w:ascii="Times New Roman" w:hAnsi="Calibri" w:eastAsia="宋体" w:cs="Times New Roman"/>
          <w:color w:val="auto"/>
          <w:kern w:val="2"/>
          <w:sz w:val="15"/>
          <w:szCs w:val="15"/>
          <w:highlight w:val="none"/>
          <w:lang w:val="en-US" w:eastAsia="zh-CN" w:bidi="ar-SA"/>
        </w:rPr>
        <w:t>－皖南山地水文地质区</w:t>
      </w:r>
    </w:p>
    <w:p w14:paraId="202A917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b/>
          <w:bCs/>
          <w:snapToGrid w:val="0"/>
          <w:color w:val="auto"/>
          <w:kern w:val="2"/>
          <w:sz w:val="24"/>
          <w:szCs w:val="22"/>
          <w:highlight w:val="none"/>
          <w:lang w:val="en-US" w:eastAsia="zh-CN" w:bidi="ar-SA"/>
        </w:rPr>
      </w:pPr>
      <w:r>
        <w:rPr>
          <w:rFonts w:hint="default" w:ascii="Times New Roman" w:hAnsi="Times New Roman" w:eastAsia="宋体" w:cs="Times New Roman"/>
          <w:b/>
          <w:bCs/>
          <w:snapToGrid w:val="0"/>
          <w:color w:val="auto"/>
          <w:kern w:val="2"/>
          <w:sz w:val="24"/>
          <w:szCs w:val="22"/>
          <w:highlight w:val="none"/>
          <w:lang w:val="en-US" w:eastAsia="zh-CN" w:bidi="ar-SA"/>
        </w:rPr>
        <w:t>图5.2.5-3  安徽省水文地质分区图</w:t>
      </w:r>
    </w:p>
    <w:p w14:paraId="1F3F461F">
      <w:pPr>
        <w:pStyle w:val="5"/>
        <w:bidi w:val="0"/>
        <w:rPr>
          <w:color w:val="auto"/>
          <w:highlight w:val="none"/>
          <w:lang w:val="en-US" w:eastAsia="zh-CN"/>
        </w:rPr>
      </w:pPr>
      <w:r>
        <w:rPr>
          <w:rFonts w:hint="eastAsia"/>
          <w:color w:val="auto"/>
          <w:highlight w:val="none"/>
          <w:lang w:val="en-US" w:eastAsia="zh-CN"/>
        </w:rPr>
        <w:t>5.2.5.2评价区</w:t>
      </w:r>
      <w:r>
        <w:rPr>
          <w:color w:val="auto"/>
          <w:highlight w:val="none"/>
          <w:lang w:val="en-US" w:eastAsia="zh-CN"/>
        </w:rPr>
        <w:t>水文地质条件</w:t>
      </w:r>
    </w:p>
    <w:p w14:paraId="196947A0">
      <w:pPr>
        <w:adjustRightInd w:val="0"/>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1、地下水类型</w:t>
      </w:r>
    </w:p>
    <w:p w14:paraId="7A96670B">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区内的地形地貌、地层分布和岩性特征，决定了地下水的类型和水文地质特征。依据地下水的赋存条件和含水介质的特征，区域地下水可划分为松散岩类孔隙水、碎屑岩类孔隙裂隙水、碳酸盐岩裂隙岩溶水三种类型（见表</w:t>
      </w:r>
      <w:r>
        <w:rPr>
          <w:rFonts w:ascii="Times New Roman" w:hAnsi="Times New Roman" w:eastAsia="宋体" w:cs="Times New Roman"/>
          <w:color w:val="auto"/>
          <w:sz w:val="24"/>
          <w:highlight w:val="none"/>
        </w:rPr>
        <w:t>5.</w:t>
      </w:r>
      <w:r>
        <w:rPr>
          <w:rFonts w:hint="eastAsia" w:ascii="Times New Roman" w:hAnsi="Times New Roman" w:eastAsia="宋体" w:cs="Times New Roman"/>
          <w:color w:val="auto"/>
          <w:sz w:val="24"/>
          <w:highlight w:val="none"/>
          <w:lang w:val="en-US" w:eastAsia="zh-CN"/>
        </w:rPr>
        <w:t>2</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5</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rPr>
        <w:t>）。</w:t>
      </w:r>
    </w:p>
    <w:p w14:paraId="4D696CA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b/>
          <w:bCs/>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表5.</w:t>
      </w:r>
      <w:r>
        <w:rPr>
          <w:rFonts w:hint="eastAsia" w:ascii="Times New Roman" w:hAnsi="Times New Roman" w:eastAsia="宋体" w:cs="Times New Roman"/>
          <w:b/>
          <w:bCs/>
          <w:color w:val="auto"/>
          <w:kern w:val="2"/>
          <w:sz w:val="24"/>
          <w:szCs w:val="22"/>
          <w:highlight w:val="none"/>
          <w:lang w:val="en-US" w:eastAsia="zh-CN" w:bidi="ar-SA"/>
        </w:rPr>
        <w:t>2</w:t>
      </w:r>
      <w:r>
        <w:rPr>
          <w:rFonts w:hint="default" w:ascii="Times New Roman" w:hAnsi="Times New Roman" w:eastAsia="宋体" w:cs="Times New Roman"/>
          <w:b/>
          <w:bCs/>
          <w:color w:val="auto"/>
          <w:kern w:val="2"/>
          <w:sz w:val="24"/>
          <w:szCs w:val="22"/>
          <w:highlight w:val="none"/>
          <w:lang w:val="en-US" w:eastAsia="zh-CN" w:bidi="ar-SA"/>
        </w:rPr>
        <w:t>.</w:t>
      </w:r>
      <w:r>
        <w:rPr>
          <w:rFonts w:hint="eastAsia" w:ascii="Times New Roman" w:hAnsi="Times New Roman" w:eastAsia="宋体" w:cs="Times New Roman"/>
          <w:b/>
          <w:bCs/>
          <w:color w:val="auto"/>
          <w:kern w:val="2"/>
          <w:sz w:val="24"/>
          <w:szCs w:val="22"/>
          <w:highlight w:val="none"/>
          <w:lang w:val="en-US" w:eastAsia="zh-CN" w:bidi="ar-SA"/>
        </w:rPr>
        <w:t>5</w:t>
      </w:r>
      <w:r>
        <w:rPr>
          <w:rFonts w:hint="default" w:ascii="Times New Roman" w:hAnsi="Times New Roman" w:eastAsia="宋体" w:cs="Times New Roman"/>
          <w:b/>
          <w:bCs/>
          <w:color w:val="auto"/>
          <w:kern w:val="2"/>
          <w:sz w:val="24"/>
          <w:szCs w:val="22"/>
          <w:highlight w:val="none"/>
          <w:lang w:val="en-US" w:eastAsia="zh-CN" w:bidi="ar-SA"/>
        </w:rPr>
        <w:t>-</w:t>
      </w:r>
      <w:r>
        <w:rPr>
          <w:rFonts w:hint="eastAsia" w:ascii="Times New Roman" w:hAnsi="Times New Roman" w:eastAsia="宋体" w:cs="Times New Roman"/>
          <w:b/>
          <w:bCs/>
          <w:color w:val="auto"/>
          <w:kern w:val="2"/>
          <w:sz w:val="24"/>
          <w:szCs w:val="22"/>
          <w:highlight w:val="none"/>
          <w:lang w:val="en-US" w:eastAsia="zh-CN" w:bidi="ar-SA"/>
        </w:rPr>
        <w:t>2</w:t>
      </w:r>
      <w:r>
        <w:rPr>
          <w:rFonts w:hint="default" w:ascii="Times New Roman" w:hAnsi="Times New Roman" w:eastAsia="宋体" w:cs="Times New Roman"/>
          <w:b/>
          <w:bCs/>
          <w:color w:val="auto"/>
          <w:kern w:val="2"/>
          <w:sz w:val="24"/>
          <w:szCs w:val="22"/>
          <w:highlight w:val="none"/>
          <w:lang w:val="en-US" w:eastAsia="zh-CN" w:bidi="ar-SA"/>
        </w:rPr>
        <w:t xml:space="preserve">  区域地下水类型划分表</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7"/>
        <w:gridCol w:w="730"/>
        <w:gridCol w:w="1593"/>
        <w:gridCol w:w="1241"/>
        <w:gridCol w:w="1366"/>
        <w:gridCol w:w="2669"/>
      </w:tblGrid>
      <w:tr w14:paraId="23708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6" w:hRule="atLeast"/>
          <w:jc w:val="center"/>
        </w:trPr>
        <w:tc>
          <w:tcPr>
            <w:tcW w:w="3054" w:type="dxa"/>
            <w:gridSpan w:val="3"/>
            <w:tcBorders>
              <w:tl2br w:val="nil"/>
              <w:tr2bl w:val="nil"/>
            </w:tcBorders>
            <w:noWrap w:val="0"/>
            <w:vAlign w:val="center"/>
          </w:tcPr>
          <w:p w14:paraId="1D300AE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地下水类型</w:t>
            </w:r>
          </w:p>
        </w:tc>
        <w:tc>
          <w:tcPr>
            <w:tcW w:w="1247" w:type="dxa"/>
            <w:tcBorders>
              <w:tl2br w:val="nil"/>
              <w:tr2bl w:val="nil"/>
            </w:tcBorders>
            <w:noWrap w:val="0"/>
            <w:vAlign w:val="center"/>
          </w:tcPr>
          <w:p w14:paraId="14C947F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水力性质</w:t>
            </w:r>
          </w:p>
        </w:tc>
        <w:tc>
          <w:tcPr>
            <w:tcW w:w="1372" w:type="dxa"/>
            <w:tcBorders>
              <w:tl2br w:val="nil"/>
              <w:tr2bl w:val="nil"/>
            </w:tcBorders>
            <w:noWrap w:val="0"/>
            <w:vAlign w:val="center"/>
          </w:tcPr>
          <w:p w14:paraId="51DDEC5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含水层位</w:t>
            </w:r>
          </w:p>
        </w:tc>
        <w:tc>
          <w:tcPr>
            <w:tcW w:w="2682" w:type="dxa"/>
            <w:tcBorders>
              <w:tl2br w:val="nil"/>
              <w:tr2bl w:val="nil"/>
            </w:tcBorders>
            <w:noWrap w:val="0"/>
            <w:vAlign w:val="center"/>
          </w:tcPr>
          <w:p w14:paraId="2F3243D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含水层主要岩性</w:t>
            </w:r>
          </w:p>
        </w:tc>
      </w:tr>
      <w:tr w14:paraId="43A5D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720" w:type="dxa"/>
            <w:vMerge w:val="restart"/>
            <w:tcBorders>
              <w:tl2br w:val="nil"/>
              <w:tr2bl w:val="nil"/>
            </w:tcBorders>
            <w:noWrap w:val="0"/>
            <w:vAlign w:val="center"/>
          </w:tcPr>
          <w:p w14:paraId="3AFDC96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hint="eastAsia" w:ascii="宋体" w:hAnsi="宋体" w:eastAsia="宋体" w:cs="宋体"/>
                <w:color w:val="auto"/>
                <w:kern w:val="2"/>
                <w:sz w:val="21"/>
                <w:szCs w:val="22"/>
                <w:highlight w:val="none"/>
                <w:lang w:val="en-US" w:eastAsia="zh-CN" w:bidi="ar-SA"/>
              </w:rPr>
              <w:t>Ⅰ</w:t>
            </w:r>
          </w:p>
        </w:tc>
        <w:tc>
          <w:tcPr>
            <w:tcW w:w="733" w:type="dxa"/>
            <w:vMerge w:val="restart"/>
            <w:tcBorders>
              <w:tl2br w:val="nil"/>
              <w:tr2bl w:val="nil"/>
            </w:tcBorders>
            <w:noWrap w:val="0"/>
            <w:vAlign w:val="center"/>
          </w:tcPr>
          <w:p w14:paraId="71E8CCA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松散岩类孔隙水</w:t>
            </w:r>
          </w:p>
        </w:tc>
        <w:tc>
          <w:tcPr>
            <w:tcW w:w="1601" w:type="dxa"/>
            <w:tcBorders>
              <w:tl2br w:val="nil"/>
              <w:tr2bl w:val="nil"/>
            </w:tcBorders>
            <w:noWrap w:val="0"/>
            <w:vAlign w:val="center"/>
          </w:tcPr>
          <w:p w14:paraId="3AF3A60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浅层孔隙水</w:t>
            </w:r>
          </w:p>
        </w:tc>
        <w:tc>
          <w:tcPr>
            <w:tcW w:w="1247" w:type="dxa"/>
            <w:tcBorders>
              <w:tl2br w:val="nil"/>
              <w:tr2bl w:val="nil"/>
            </w:tcBorders>
            <w:noWrap w:val="0"/>
            <w:vAlign w:val="center"/>
          </w:tcPr>
          <w:p w14:paraId="5DC74E5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潜水</w:t>
            </w:r>
          </w:p>
        </w:tc>
        <w:tc>
          <w:tcPr>
            <w:tcW w:w="1372" w:type="dxa"/>
            <w:tcBorders>
              <w:tl2br w:val="nil"/>
              <w:tr2bl w:val="nil"/>
            </w:tcBorders>
            <w:noWrap w:val="0"/>
            <w:vAlign w:val="center"/>
          </w:tcPr>
          <w:p w14:paraId="1611069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Q4、Q3</w:t>
            </w:r>
          </w:p>
        </w:tc>
        <w:tc>
          <w:tcPr>
            <w:tcW w:w="2682" w:type="dxa"/>
            <w:tcBorders>
              <w:tl2br w:val="nil"/>
              <w:tr2bl w:val="nil"/>
            </w:tcBorders>
            <w:noWrap w:val="0"/>
            <w:vAlign w:val="center"/>
          </w:tcPr>
          <w:p w14:paraId="4EB3D8A9">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粉细砂、粉砂</w:t>
            </w:r>
          </w:p>
        </w:tc>
      </w:tr>
      <w:tr w14:paraId="029BA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 w:hRule="atLeast"/>
          <w:jc w:val="center"/>
        </w:trPr>
        <w:tc>
          <w:tcPr>
            <w:tcW w:w="720" w:type="dxa"/>
            <w:vMerge w:val="continue"/>
            <w:tcBorders>
              <w:tl2br w:val="nil"/>
              <w:tr2bl w:val="nil"/>
            </w:tcBorders>
            <w:noWrap w:val="0"/>
            <w:vAlign w:val="center"/>
          </w:tcPr>
          <w:p w14:paraId="31C2E828">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733" w:type="dxa"/>
            <w:vMerge w:val="continue"/>
            <w:tcBorders>
              <w:tl2br w:val="nil"/>
              <w:tr2bl w:val="nil"/>
            </w:tcBorders>
            <w:noWrap w:val="0"/>
            <w:vAlign w:val="center"/>
          </w:tcPr>
          <w:p w14:paraId="4F9E04F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601" w:type="dxa"/>
            <w:tcBorders>
              <w:tl2br w:val="nil"/>
              <w:tr2bl w:val="nil"/>
            </w:tcBorders>
            <w:noWrap w:val="0"/>
            <w:vAlign w:val="center"/>
          </w:tcPr>
          <w:p w14:paraId="18A78A5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中深层孔隙水</w:t>
            </w:r>
          </w:p>
        </w:tc>
        <w:tc>
          <w:tcPr>
            <w:tcW w:w="1247" w:type="dxa"/>
            <w:tcBorders>
              <w:tl2br w:val="nil"/>
              <w:tr2bl w:val="nil"/>
            </w:tcBorders>
            <w:noWrap w:val="0"/>
            <w:vAlign w:val="center"/>
          </w:tcPr>
          <w:p w14:paraId="29EDD5C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承压水</w:t>
            </w:r>
          </w:p>
        </w:tc>
        <w:tc>
          <w:tcPr>
            <w:tcW w:w="1372" w:type="dxa"/>
            <w:tcBorders>
              <w:tl2br w:val="nil"/>
              <w:tr2bl w:val="nil"/>
            </w:tcBorders>
            <w:noWrap w:val="0"/>
            <w:vAlign w:val="center"/>
          </w:tcPr>
          <w:p w14:paraId="3C67587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Q2、Q1</w:t>
            </w:r>
          </w:p>
        </w:tc>
        <w:tc>
          <w:tcPr>
            <w:tcW w:w="2682" w:type="dxa"/>
            <w:tcBorders>
              <w:tl2br w:val="nil"/>
              <w:tr2bl w:val="nil"/>
            </w:tcBorders>
            <w:noWrap w:val="0"/>
            <w:vAlign w:val="center"/>
          </w:tcPr>
          <w:p w14:paraId="323D74D8">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细、中、粗砂</w:t>
            </w:r>
          </w:p>
        </w:tc>
      </w:tr>
      <w:tr w14:paraId="4F9F8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720" w:type="dxa"/>
            <w:vMerge w:val="continue"/>
            <w:tcBorders>
              <w:tl2br w:val="nil"/>
              <w:tr2bl w:val="nil"/>
            </w:tcBorders>
            <w:noWrap w:val="0"/>
            <w:vAlign w:val="center"/>
          </w:tcPr>
          <w:p w14:paraId="6A9140A4">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733" w:type="dxa"/>
            <w:vMerge w:val="continue"/>
            <w:tcBorders>
              <w:tl2br w:val="nil"/>
              <w:tr2bl w:val="nil"/>
            </w:tcBorders>
            <w:noWrap w:val="0"/>
            <w:vAlign w:val="center"/>
          </w:tcPr>
          <w:p w14:paraId="28C1D15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p>
        </w:tc>
        <w:tc>
          <w:tcPr>
            <w:tcW w:w="1601" w:type="dxa"/>
            <w:tcBorders>
              <w:tl2br w:val="nil"/>
              <w:tr2bl w:val="nil"/>
            </w:tcBorders>
            <w:noWrap w:val="0"/>
            <w:vAlign w:val="center"/>
          </w:tcPr>
          <w:p w14:paraId="0A5AB4B6">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深层孔隙水</w:t>
            </w:r>
          </w:p>
        </w:tc>
        <w:tc>
          <w:tcPr>
            <w:tcW w:w="1247" w:type="dxa"/>
            <w:tcBorders>
              <w:tl2br w:val="nil"/>
              <w:tr2bl w:val="nil"/>
            </w:tcBorders>
            <w:noWrap w:val="0"/>
            <w:vAlign w:val="center"/>
          </w:tcPr>
          <w:p w14:paraId="3D9979B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承压水</w:t>
            </w:r>
          </w:p>
        </w:tc>
        <w:tc>
          <w:tcPr>
            <w:tcW w:w="1372" w:type="dxa"/>
            <w:tcBorders>
              <w:tl2br w:val="nil"/>
              <w:tr2bl w:val="nil"/>
            </w:tcBorders>
            <w:noWrap w:val="0"/>
            <w:vAlign w:val="center"/>
          </w:tcPr>
          <w:p w14:paraId="6AB7A0F0">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N</w:t>
            </w:r>
          </w:p>
        </w:tc>
        <w:tc>
          <w:tcPr>
            <w:tcW w:w="2682" w:type="dxa"/>
            <w:tcBorders>
              <w:tl2br w:val="nil"/>
              <w:tr2bl w:val="nil"/>
            </w:tcBorders>
            <w:noWrap w:val="0"/>
            <w:vAlign w:val="center"/>
          </w:tcPr>
          <w:p w14:paraId="4AD0363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粗砂、砂砾</w:t>
            </w:r>
          </w:p>
        </w:tc>
      </w:tr>
      <w:tr w14:paraId="71A9F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720" w:type="dxa"/>
            <w:tcBorders>
              <w:tl2br w:val="nil"/>
              <w:tr2bl w:val="nil"/>
            </w:tcBorders>
            <w:noWrap w:val="0"/>
            <w:vAlign w:val="center"/>
          </w:tcPr>
          <w:p w14:paraId="5EF7958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hint="eastAsia" w:ascii="宋体" w:hAnsi="宋体" w:eastAsia="宋体" w:cs="宋体"/>
                <w:color w:val="auto"/>
                <w:kern w:val="2"/>
                <w:sz w:val="21"/>
                <w:szCs w:val="22"/>
                <w:highlight w:val="none"/>
                <w:lang w:val="en-US" w:eastAsia="zh-CN" w:bidi="ar-SA"/>
              </w:rPr>
              <w:t>Ⅱ</w:t>
            </w:r>
          </w:p>
        </w:tc>
        <w:tc>
          <w:tcPr>
            <w:tcW w:w="2334" w:type="dxa"/>
            <w:gridSpan w:val="2"/>
            <w:tcBorders>
              <w:tl2br w:val="nil"/>
              <w:tr2bl w:val="nil"/>
            </w:tcBorders>
            <w:noWrap w:val="0"/>
            <w:vAlign w:val="center"/>
          </w:tcPr>
          <w:p w14:paraId="2828F5A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碎屑岩类孔隙裂隙水</w:t>
            </w:r>
          </w:p>
        </w:tc>
        <w:tc>
          <w:tcPr>
            <w:tcW w:w="1247" w:type="dxa"/>
            <w:tcBorders>
              <w:tl2br w:val="nil"/>
              <w:tr2bl w:val="nil"/>
            </w:tcBorders>
            <w:noWrap w:val="0"/>
            <w:vAlign w:val="center"/>
          </w:tcPr>
          <w:p w14:paraId="4A496A6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承压水</w:t>
            </w:r>
          </w:p>
        </w:tc>
        <w:tc>
          <w:tcPr>
            <w:tcW w:w="1372" w:type="dxa"/>
            <w:tcBorders>
              <w:tl2br w:val="nil"/>
              <w:tr2bl w:val="nil"/>
            </w:tcBorders>
            <w:noWrap w:val="0"/>
            <w:vAlign w:val="center"/>
          </w:tcPr>
          <w:p w14:paraId="7D66023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T、P</w:t>
            </w:r>
          </w:p>
        </w:tc>
        <w:tc>
          <w:tcPr>
            <w:tcW w:w="2682" w:type="dxa"/>
            <w:tcBorders>
              <w:tl2br w:val="nil"/>
              <w:tr2bl w:val="nil"/>
            </w:tcBorders>
            <w:noWrap w:val="0"/>
            <w:vAlign w:val="center"/>
          </w:tcPr>
          <w:p w14:paraId="27C70E62">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砂岩</w:t>
            </w:r>
          </w:p>
        </w:tc>
      </w:tr>
      <w:tr w14:paraId="5BBEF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720" w:type="dxa"/>
            <w:tcBorders>
              <w:tl2br w:val="nil"/>
              <w:tr2bl w:val="nil"/>
            </w:tcBorders>
            <w:noWrap w:val="0"/>
            <w:vAlign w:val="center"/>
          </w:tcPr>
          <w:p w14:paraId="44DF458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hint="eastAsia" w:ascii="宋体" w:hAnsi="宋体" w:eastAsia="宋体" w:cs="宋体"/>
                <w:color w:val="auto"/>
                <w:kern w:val="2"/>
                <w:sz w:val="21"/>
                <w:szCs w:val="22"/>
                <w:highlight w:val="none"/>
                <w:lang w:val="en-US" w:eastAsia="zh-CN" w:bidi="ar-SA"/>
              </w:rPr>
              <w:t>Ⅲ</w:t>
            </w:r>
          </w:p>
        </w:tc>
        <w:tc>
          <w:tcPr>
            <w:tcW w:w="2334" w:type="dxa"/>
            <w:gridSpan w:val="2"/>
            <w:tcBorders>
              <w:tl2br w:val="nil"/>
              <w:tr2bl w:val="nil"/>
            </w:tcBorders>
            <w:noWrap w:val="0"/>
            <w:vAlign w:val="center"/>
          </w:tcPr>
          <w:p w14:paraId="056DA60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碳酸盐岩裂隙岩溶水</w:t>
            </w:r>
          </w:p>
        </w:tc>
        <w:tc>
          <w:tcPr>
            <w:tcW w:w="1247" w:type="dxa"/>
            <w:tcBorders>
              <w:tl2br w:val="nil"/>
              <w:tr2bl w:val="nil"/>
            </w:tcBorders>
            <w:noWrap w:val="0"/>
            <w:vAlign w:val="center"/>
          </w:tcPr>
          <w:p w14:paraId="044A951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承压水</w:t>
            </w:r>
          </w:p>
        </w:tc>
        <w:tc>
          <w:tcPr>
            <w:tcW w:w="1372" w:type="dxa"/>
            <w:tcBorders>
              <w:tl2br w:val="nil"/>
              <w:tr2bl w:val="nil"/>
            </w:tcBorders>
            <w:noWrap w:val="0"/>
            <w:vAlign w:val="center"/>
          </w:tcPr>
          <w:p w14:paraId="5508260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C、O</w:t>
            </w:r>
          </w:p>
        </w:tc>
        <w:tc>
          <w:tcPr>
            <w:tcW w:w="2682" w:type="dxa"/>
            <w:tcBorders>
              <w:tl2br w:val="nil"/>
              <w:tr2bl w:val="nil"/>
            </w:tcBorders>
            <w:noWrap w:val="0"/>
            <w:vAlign w:val="center"/>
          </w:tcPr>
          <w:p w14:paraId="56B91665">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灰岩、白云质灰岩</w:t>
            </w:r>
          </w:p>
        </w:tc>
      </w:tr>
    </w:tbl>
    <w:p w14:paraId="607AD350">
      <w:pPr>
        <w:adjustRightInd w:val="0"/>
        <w:snapToGrid w:val="0"/>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2、含水层富水性</w:t>
      </w:r>
    </w:p>
    <w:p w14:paraId="30AC39C4">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（1）松散岩类孔隙水</w:t>
      </w:r>
    </w:p>
    <w:p w14:paraId="2A4CBAF6">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松散岩类孔隙水赋存于新生界松散岩类地层中，广布全区，是规划区评价的主要对象，是区内主要开采的地下水类型。松散岩类由于洪积、湖积和冲积交互作用的结果，使之结构复杂，砂层和黏土相间沉积，构成较复杂的含水层组。松散岩类孔隙水按埋藏条件进一步分为浅层孔隙水、中深层孔隙水、深层孔隙水。</w:t>
      </w:r>
    </w:p>
    <w:p w14:paraId="3E844A04">
      <w:pPr>
        <w:adjustRightInd w:val="0"/>
        <w:snapToGrid w:val="0"/>
        <w:spacing w:line="360" w:lineRule="auto"/>
        <w:ind w:firstLine="480" w:firstLineChars="200"/>
        <w:jc w:val="center"/>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drawing>
          <wp:inline distT="0" distB="0" distL="114300" distR="114300">
            <wp:extent cx="2970530" cy="8028305"/>
            <wp:effectExtent l="0" t="0" r="1270" b="10795"/>
            <wp:docPr id="588" name="图片 949" descr="D:\黄转E\黄凌涛09年8月13日\环评报告书\淮南\淮南煤化工基地\图6.4-2 地质柱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949" descr="D:\黄转E\黄凌涛09年8月13日\环评报告书\淮南\淮南煤化工基地\图6.4-2 地质柱状图.JPG"/>
                    <pic:cNvPicPr>
                      <a:picLocks noChangeAspect="1"/>
                    </pic:cNvPicPr>
                  </pic:nvPicPr>
                  <pic:blipFill>
                    <a:blip r:embed="rId81"/>
                    <a:stretch>
                      <a:fillRect/>
                    </a:stretch>
                  </pic:blipFill>
                  <pic:spPr>
                    <a:xfrm>
                      <a:off x="0" y="0"/>
                      <a:ext cx="2970530" cy="8028305"/>
                    </a:xfrm>
                    <a:prstGeom prst="rect">
                      <a:avLst/>
                    </a:prstGeom>
                    <a:noFill/>
                    <a:ln>
                      <a:noFill/>
                    </a:ln>
                  </pic:spPr>
                </pic:pic>
              </a:graphicData>
            </a:graphic>
          </wp:inline>
        </w:drawing>
      </w:r>
    </w:p>
    <w:p w14:paraId="4680010C">
      <w:pPr>
        <w:jc w:val="center"/>
        <w:rPr>
          <w:rFonts w:hint="default" w:ascii="Times New Roman" w:hAnsi="Times New Roman" w:eastAsia="宋体" w:cs="Times New Roman"/>
          <w:b/>
          <w:bCs/>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图5.2.5-</w:t>
      </w:r>
      <w:r>
        <w:rPr>
          <w:rFonts w:hint="eastAsia" w:cs="Times New Roman"/>
          <w:b/>
          <w:bCs/>
          <w:color w:val="auto"/>
          <w:kern w:val="2"/>
          <w:sz w:val="24"/>
          <w:szCs w:val="22"/>
          <w:highlight w:val="none"/>
          <w:lang w:val="en-US" w:eastAsia="zh-CN" w:bidi="ar-SA"/>
        </w:rPr>
        <w:t>4</w:t>
      </w:r>
      <w:r>
        <w:rPr>
          <w:rFonts w:hint="default" w:ascii="Times New Roman" w:hAnsi="Times New Roman" w:eastAsia="宋体" w:cs="Times New Roman"/>
          <w:b/>
          <w:bCs/>
          <w:color w:val="auto"/>
          <w:kern w:val="2"/>
          <w:sz w:val="24"/>
          <w:szCs w:val="22"/>
          <w:highlight w:val="none"/>
          <w:lang w:val="en-US" w:eastAsia="zh-CN" w:bidi="ar-SA"/>
        </w:rPr>
        <w:t xml:space="preserve">  地质柱状图</w:t>
      </w:r>
    </w:p>
    <w:p w14:paraId="5A542B67">
      <w:pPr>
        <w:adjustRightInd/>
        <w:snapToGrid/>
        <w:spacing w:line="360" w:lineRule="auto"/>
        <w:ind w:firstLine="480" w:firstLineChars="200"/>
        <w:rPr>
          <w:rFonts w:ascii="Times New Roman" w:hAnsi="Times New Roman" w:eastAsia="宋体" w:cs="Times New Roman"/>
          <w:bCs/>
          <w:color w:val="auto"/>
          <w:sz w:val="24"/>
          <w:szCs w:val="24"/>
          <w:highlight w:val="none"/>
        </w:rPr>
      </w:pPr>
      <w:r>
        <w:rPr>
          <w:rFonts w:ascii="Times New Roman" w:hAnsi="Times New Roman" w:eastAsia="宋体" w:cs="Times New Roman"/>
          <w:bCs/>
          <w:color w:val="auto"/>
          <w:sz w:val="24"/>
          <w:szCs w:val="24"/>
          <w:highlight w:val="none"/>
        </w:rPr>
        <w:t>a．浅层孔隙水</w:t>
      </w:r>
    </w:p>
    <w:p w14:paraId="1AF4DD83">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含水层组由第四系上新统、全新统地层组成，岩性以粉细砂为主，含水层顶板埋深7.0－12.0m，底板埋深15—30m，砂层累计厚度8—12m。含水层顶板之上为厚6-7m的粉质粘土，致使浅层含水层地下水水力性质为潜水－微承压水，渗透系数0.2－5.0m/d，单井涌水量一般为500－1000m</w:t>
      </w:r>
      <w:r>
        <w:rPr>
          <w:rFonts w:ascii="Times New Roman" w:hAnsi="Times New Roman" w:eastAsia="宋体" w:cs="Times New Roman"/>
          <w:color w:val="auto"/>
          <w:sz w:val="24"/>
          <w:szCs w:val="24"/>
          <w:highlight w:val="none"/>
          <w:vertAlign w:val="superscript"/>
        </w:rPr>
        <w:t>3</w:t>
      </w:r>
      <w:r>
        <w:rPr>
          <w:rFonts w:ascii="Times New Roman" w:hAnsi="Times New Roman" w:eastAsia="宋体" w:cs="Times New Roman"/>
          <w:color w:val="auto"/>
          <w:sz w:val="24"/>
          <w:szCs w:val="24"/>
          <w:highlight w:val="none"/>
        </w:rPr>
        <w:t>/d。水化学类型以HCO</w:t>
      </w:r>
      <w:r>
        <w:rPr>
          <w:rFonts w:ascii="Times New Roman" w:hAnsi="Times New Roman" w:eastAsia="宋体" w:cs="Times New Roman"/>
          <w:color w:val="auto"/>
          <w:sz w:val="24"/>
          <w:szCs w:val="24"/>
          <w:highlight w:val="none"/>
          <w:vertAlign w:val="subscript"/>
        </w:rPr>
        <w:t>3</w:t>
      </w:r>
      <w:r>
        <w:rPr>
          <w:rFonts w:ascii="Times New Roman" w:hAnsi="Times New Roman" w:eastAsia="宋体" w:cs="Times New Roman"/>
          <w:color w:val="auto"/>
          <w:sz w:val="24"/>
          <w:szCs w:val="24"/>
          <w:highlight w:val="none"/>
        </w:rPr>
        <w:t>－Ca、HCO</w:t>
      </w:r>
      <w:r>
        <w:rPr>
          <w:rFonts w:ascii="Times New Roman" w:hAnsi="Times New Roman" w:eastAsia="宋体" w:cs="Times New Roman"/>
          <w:color w:val="auto"/>
          <w:sz w:val="24"/>
          <w:szCs w:val="24"/>
          <w:highlight w:val="none"/>
          <w:vertAlign w:val="subscript"/>
        </w:rPr>
        <w:t>3</w:t>
      </w:r>
      <w:r>
        <w:rPr>
          <w:rFonts w:ascii="Times New Roman" w:hAnsi="Times New Roman" w:eastAsia="宋体" w:cs="Times New Roman"/>
          <w:color w:val="auto"/>
          <w:sz w:val="24"/>
          <w:szCs w:val="24"/>
          <w:highlight w:val="none"/>
        </w:rPr>
        <w:t>－Ca·Na型和HCO</w:t>
      </w:r>
      <w:r>
        <w:rPr>
          <w:rFonts w:ascii="Times New Roman" w:hAnsi="Times New Roman" w:eastAsia="宋体" w:cs="Times New Roman"/>
          <w:color w:val="auto"/>
          <w:sz w:val="24"/>
          <w:szCs w:val="24"/>
          <w:highlight w:val="none"/>
          <w:vertAlign w:val="subscript"/>
        </w:rPr>
        <w:t>3</w:t>
      </w:r>
      <w:r>
        <w:rPr>
          <w:rFonts w:ascii="Times New Roman" w:hAnsi="Times New Roman" w:eastAsia="宋体" w:cs="Times New Roman"/>
          <w:color w:val="auto"/>
          <w:sz w:val="24"/>
          <w:szCs w:val="24"/>
          <w:highlight w:val="none"/>
        </w:rPr>
        <w:t>－Ca·Mg型为主，水温一般在16.5－19</w:t>
      </w:r>
      <w:r>
        <w:rPr>
          <w:rFonts w:hint="eastAsia" w:ascii="宋体" w:hAnsi="宋体" w:eastAsia="宋体" w:cs="宋体"/>
          <w:color w:val="auto"/>
          <w:sz w:val="24"/>
          <w:szCs w:val="24"/>
          <w:highlight w:val="none"/>
        </w:rPr>
        <w:t>℃</w:t>
      </w:r>
      <w:r>
        <w:rPr>
          <w:rFonts w:ascii="Times New Roman" w:hAnsi="Times New Roman" w:eastAsia="宋体" w:cs="Times New Roman"/>
          <w:color w:val="auto"/>
          <w:sz w:val="24"/>
          <w:szCs w:val="24"/>
          <w:highlight w:val="none"/>
        </w:rPr>
        <w:t>，矿化度一般小于1g/L。天然状态下粉质粘土中地下水水位与下伏微承压含水层水位一致，埋深一般在2.0－4.0m。浅层孔隙水与下部中深层孔隙水之间有一层厚度在1.3－31.18m的粘土层，平均厚度13.98m，隔水性能较好，称为上部隔水层组。但其厚度变化较大，由东向西逐渐变薄。</w:t>
      </w:r>
    </w:p>
    <w:p w14:paraId="77396E44">
      <w:pPr>
        <w:adjustRightInd/>
        <w:snapToGrid/>
        <w:spacing w:line="360" w:lineRule="auto"/>
        <w:ind w:firstLine="480" w:firstLineChars="200"/>
        <w:rPr>
          <w:rFonts w:ascii="Times New Roman" w:hAnsi="Times New Roman" w:eastAsia="宋体" w:cs="Times New Roman"/>
          <w:bCs/>
          <w:color w:val="auto"/>
          <w:sz w:val="24"/>
          <w:szCs w:val="24"/>
          <w:highlight w:val="none"/>
        </w:rPr>
      </w:pPr>
      <w:r>
        <w:rPr>
          <w:rFonts w:ascii="Times New Roman" w:hAnsi="Times New Roman" w:eastAsia="宋体" w:cs="Times New Roman"/>
          <w:bCs/>
          <w:color w:val="auto"/>
          <w:sz w:val="24"/>
          <w:szCs w:val="24"/>
          <w:highlight w:val="none"/>
        </w:rPr>
        <w:t>b．中深层孔隙水</w:t>
      </w:r>
    </w:p>
    <w:p w14:paraId="7655E68B">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中深层孔隙水含水层组由第四系下、中更新统地层组成，含水层顶板埋深约为45－50m，底板埋深约为50－100m，岩性为细砂、含砾中粗砂等，地下水水力性质为承压水，渗透系数1.38—4.65m/d。天然状态下地下水水位埋深一般在2.0—4.0m，单井涌水量一般为500－3000m</w:t>
      </w:r>
      <w:r>
        <w:rPr>
          <w:rFonts w:ascii="Times New Roman" w:hAnsi="Times New Roman" w:eastAsia="宋体" w:cs="Times New Roman"/>
          <w:color w:val="auto"/>
          <w:sz w:val="24"/>
          <w:szCs w:val="24"/>
          <w:highlight w:val="none"/>
          <w:vertAlign w:val="superscript"/>
        </w:rPr>
        <w:t>3</w:t>
      </w:r>
      <w:r>
        <w:rPr>
          <w:rFonts w:ascii="Times New Roman" w:hAnsi="Times New Roman" w:eastAsia="宋体" w:cs="Times New Roman"/>
          <w:color w:val="auto"/>
          <w:sz w:val="24"/>
          <w:szCs w:val="24"/>
          <w:highlight w:val="none"/>
        </w:rPr>
        <w:t>/d。水化学类型以HCO</w:t>
      </w:r>
      <w:r>
        <w:rPr>
          <w:rFonts w:ascii="Times New Roman" w:hAnsi="Times New Roman" w:eastAsia="宋体" w:cs="Times New Roman"/>
          <w:color w:val="auto"/>
          <w:sz w:val="24"/>
          <w:szCs w:val="24"/>
          <w:highlight w:val="none"/>
          <w:vertAlign w:val="subscript"/>
        </w:rPr>
        <w:t>3</w:t>
      </w:r>
      <w:r>
        <w:rPr>
          <w:rFonts w:ascii="Times New Roman" w:hAnsi="Times New Roman" w:eastAsia="宋体" w:cs="Times New Roman"/>
          <w:color w:val="auto"/>
          <w:sz w:val="24"/>
          <w:szCs w:val="24"/>
          <w:highlight w:val="none"/>
        </w:rPr>
        <w:t>－Ca·Na型为主，水温一般在18－21</w:t>
      </w:r>
      <w:r>
        <w:rPr>
          <w:rFonts w:hint="eastAsia" w:ascii="宋体" w:hAnsi="宋体" w:eastAsia="宋体" w:cs="宋体"/>
          <w:color w:val="auto"/>
          <w:sz w:val="24"/>
          <w:szCs w:val="24"/>
          <w:highlight w:val="none"/>
        </w:rPr>
        <w:t>℃</w:t>
      </w:r>
      <w:r>
        <w:rPr>
          <w:rFonts w:ascii="Times New Roman" w:hAnsi="Times New Roman" w:eastAsia="宋体" w:cs="Times New Roman"/>
          <w:color w:val="auto"/>
          <w:sz w:val="24"/>
          <w:szCs w:val="24"/>
          <w:highlight w:val="none"/>
        </w:rPr>
        <w:t>，矿化度一般在1.07－2.3g/L。</w:t>
      </w:r>
    </w:p>
    <w:p w14:paraId="5A3DE2CE">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中深层孔隙水含水层组与下部深层孔隙水之间有一层厚度在3.5－55.53m的粘土层，平均厚度35.80m，隔水性能较好，岩性主要为浅灰绿色黏土及砂质黏土，较致密，分布比较稳定，称为下部隔水层组。是中深层和深层孔隙水之间的良好隔水层。</w:t>
      </w:r>
    </w:p>
    <w:p w14:paraId="39289F5D">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中深层孔隙水水量丰富，水质相对较好，是城镇生产、生活主要供水水源。受开采影响，在潘集城区、潘一矿、潘二矿、潘三矿周围形成了一定范围的开采降落漏斗，漏斗中心水位埋深在10—14m左右，地下水流向变为有四周向漏斗中心流动，水力坡度为1/1000左右。</w:t>
      </w:r>
    </w:p>
    <w:p w14:paraId="3CB2AD8C">
      <w:pPr>
        <w:adjustRightInd/>
        <w:snapToGrid/>
        <w:spacing w:line="360" w:lineRule="auto"/>
        <w:ind w:firstLine="480" w:firstLineChars="200"/>
        <w:rPr>
          <w:rFonts w:ascii="Times New Roman" w:hAnsi="Times New Roman" w:eastAsia="宋体" w:cs="Times New Roman"/>
          <w:bCs/>
          <w:color w:val="auto"/>
          <w:sz w:val="24"/>
          <w:szCs w:val="24"/>
          <w:highlight w:val="none"/>
        </w:rPr>
      </w:pPr>
      <w:r>
        <w:rPr>
          <w:rFonts w:ascii="Times New Roman" w:hAnsi="Times New Roman" w:eastAsia="宋体" w:cs="Times New Roman"/>
          <w:bCs/>
          <w:color w:val="auto"/>
          <w:sz w:val="24"/>
          <w:szCs w:val="24"/>
          <w:highlight w:val="none"/>
        </w:rPr>
        <w:t>C．深层孔隙水</w:t>
      </w:r>
    </w:p>
    <w:p w14:paraId="12984A5A">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深层孔隙水含水层组为第三系上新统地层组成，含水层顶板埋深约为150m以下，底板埋深最大为400m，含水层岩性以灰绿色中粗砂、细砂和棕黄色砂砾层为主。地下水水力性质为承压水，渗透系数0.2－2.5m/d。天然状态下地下水水位埋深一般在2.0－4.0m，单井涌水量一般为500－1200m</w:t>
      </w:r>
      <w:r>
        <w:rPr>
          <w:rFonts w:ascii="Times New Roman" w:hAnsi="Times New Roman" w:eastAsia="宋体" w:cs="Times New Roman"/>
          <w:color w:val="auto"/>
          <w:sz w:val="24"/>
          <w:szCs w:val="24"/>
          <w:highlight w:val="none"/>
          <w:vertAlign w:val="superscript"/>
        </w:rPr>
        <w:t>3</w:t>
      </w:r>
      <w:r>
        <w:rPr>
          <w:rFonts w:ascii="Times New Roman" w:hAnsi="Times New Roman" w:eastAsia="宋体" w:cs="Times New Roman"/>
          <w:color w:val="auto"/>
          <w:sz w:val="24"/>
          <w:szCs w:val="24"/>
          <w:highlight w:val="none"/>
        </w:rPr>
        <w:t>/d。水化学类型以Cl－Na型为主，水温一般在23－26</w:t>
      </w:r>
      <w:r>
        <w:rPr>
          <w:rFonts w:hint="eastAsia" w:ascii="宋体" w:hAnsi="宋体" w:eastAsia="宋体" w:cs="宋体"/>
          <w:color w:val="auto"/>
          <w:sz w:val="24"/>
          <w:szCs w:val="24"/>
          <w:highlight w:val="none"/>
        </w:rPr>
        <w:t>℃</w:t>
      </w:r>
      <w:r>
        <w:rPr>
          <w:rFonts w:ascii="Times New Roman" w:hAnsi="Times New Roman" w:eastAsia="宋体" w:cs="Times New Roman"/>
          <w:color w:val="auto"/>
          <w:sz w:val="24"/>
          <w:szCs w:val="24"/>
          <w:highlight w:val="none"/>
        </w:rPr>
        <w:t>，矿化度一般在2.2－2.5g/L。</w:t>
      </w:r>
    </w:p>
    <w:p w14:paraId="02A1B50B">
      <w:pPr>
        <w:adjustRightInd/>
        <w:snapToGrid/>
        <w:spacing w:line="360" w:lineRule="auto"/>
        <w:ind w:firstLine="480" w:firstLineChars="200"/>
        <w:rPr>
          <w:rFonts w:ascii="Times New Roman" w:hAnsi="Times New Roman" w:eastAsia="宋体" w:cs="Times New Roman"/>
          <w:bCs/>
          <w:color w:val="auto"/>
          <w:sz w:val="24"/>
          <w:szCs w:val="24"/>
          <w:highlight w:val="none"/>
        </w:rPr>
      </w:pPr>
      <w:r>
        <w:rPr>
          <w:rFonts w:ascii="Times New Roman" w:hAnsi="Times New Roman" w:eastAsia="宋体" w:cs="Times New Roman"/>
          <w:color w:val="auto"/>
          <w:sz w:val="24"/>
          <w:szCs w:val="24"/>
          <w:highlight w:val="none"/>
        </w:rPr>
        <w:t>区域内深层孔隙水基本未被开发利用，水动力场和水化学场基本处于初始状态。</w:t>
      </w:r>
    </w:p>
    <w:p w14:paraId="448D3744">
      <w:pPr>
        <w:adjustRightInd/>
        <w:snapToGrid/>
        <w:spacing w:line="360" w:lineRule="auto"/>
        <w:ind w:firstLine="480" w:firstLineChars="200"/>
        <w:rPr>
          <w:rFonts w:ascii="Times New Roman" w:hAnsi="Times New Roman" w:eastAsia="宋体" w:cs="Times New Roman"/>
          <w:bCs/>
          <w:color w:val="auto"/>
          <w:sz w:val="24"/>
          <w:szCs w:val="24"/>
          <w:highlight w:val="none"/>
        </w:rPr>
      </w:pPr>
      <w:r>
        <w:rPr>
          <w:rFonts w:ascii="Times New Roman" w:hAnsi="Times New Roman" w:eastAsia="宋体" w:cs="Times New Roman"/>
          <w:bCs/>
          <w:color w:val="auto"/>
          <w:sz w:val="24"/>
          <w:szCs w:val="24"/>
          <w:highlight w:val="none"/>
        </w:rPr>
        <w:t>（2）碎屑岩孔隙裂隙水</w:t>
      </w:r>
    </w:p>
    <w:p w14:paraId="4CF11076">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含水岩组主要由二叠、三叠系的泥岩粉砂岩、砂砾岩等碎屑岩煤系地层组成，埋藏于巨厚的新生界松散层之下，深度120－450m。地下水赋存于风化的</w:t>
      </w:r>
      <w:r>
        <w:rPr>
          <w:rFonts w:hint="eastAsia" w:cs="Times New Roman"/>
          <w:color w:val="auto"/>
          <w:sz w:val="24"/>
          <w:szCs w:val="24"/>
          <w:highlight w:val="none"/>
          <w:lang w:eastAsia="zh-CN"/>
        </w:rPr>
        <w:t>空隙</w:t>
      </w:r>
      <w:r>
        <w:rPr>
          <w:rFonts w:ascii="Times New Roman" w:hAnsi="Times New Roman" w:eastAsia="宋体" w:cs="Times New Roman"/>
          <w:color w:val="auto"/>
          <w:sz w:val="24"/>
          <w:szCs w:val="24"/>
          <w:highlight w:val="none"/>
        </w:rPr>
        <w:t>、裂隙和构造裂隙中，富水性受岩性和孔隙、裂隙发育程度控制，单井涌水量一般小于100m</w:t>
      </w:r>
      <w:r>
        <w:rPr>
          <w:rFonts w:ascii="Times New Roman" w:hAnsi="Times New Roman" w:eastAsia="宋体" w:cs="Times New Roman"/>
          <w:color w:val="auto"/>
          <w:sz w:val="24"/>
          <w:szCs w:val="24"/>
          <w:highlight w:val="none"/>
          <w:vertAlign w:val="superscript"/>
        </w:rPr>
        <w:t>3</w:t>
      </w:r>
      <w:r>
        <w:rPr>
          <w:rFonts w:ascii="Times New Roman" w:hAnsi="Times New Roman" w:eastAsia="宋体" w:cs="Times New Roman"/>
          <w:color w:val="auto"/>
          <w:sz w:val="24"/>
          <w:szCs w:val="24"/>
          <w:highlight w:val="none"/>
        </w:rPr>
        <w:t>/d，水温一般在</w:t>
      </w:r>
      <w:r>
        <w:rPr>
          <w:rFonts w:hint="eastAsia" w:ascii="Times New Roman" w:hAnsi="Times New Roman" w:eastAsia="宋体" w:cs="Times New Roman"/>
          <w:color w:val="auto"/>
          <w:sz w:val="24"/>
          <w:szCs w:val="24"/>
          <w:highlight w:val="none"/>
        </w:rPr>
        <w:t>，</w:t>
      </w:r>
      <w:r>
        <w:rPr>
          <w:rFonts w:ascii="Times New Roman" w:hAnsi="Times New Roman" w:eastAsia="宋体" w:cs="Times New Roman"/>
          <w:color w:val="auto"/>
          <w:sz w:val="24"/>
          <w:szCs w:val="24"/>
          <w:highlight w:val="none"/>
        </w:rPr>
        <w:t>24</w:t>
      </w:r>
      <w:r>
        <w:rPr>
          <w:rFonts w:hint="eastAsia" w:ascii="宋体" w:hAnsi="宋体" w:eastAsia="宋体" w:cs="宋体"/>
          <w:color w:val="auto"/>
          <w:sz w:val="24"/>
          <w:szCs w:val="24"/>
          <w:highlight w:val="none"/>
        </w:rPr>
        <w:t>℃</w:t>
      </w:r>
      <w:r>
        <w:rPr>
          <w:rFonts w:ascii="Times New Roman" w:hAnsi="Times New Roman" w:eastAsia="宋体" w:cs="Times New Roman"/>
          <w:color w:val="auto"/>
          <w:sz w:val="24"/>
          <w:szCs w:val="24"/>
          <w:highlight w:val="none"/>
        </w:rPr>
        <w:t>左右，矿化度一般在3.0－4.5g/L，水化学类型以Cl－Na型、Cl·HCO</w:t>
      </w:r>
      <w:r>
        <w:rPr>
          <w:rFonts w:ascii="Times New Roman" w:hAnsi="Times New Roman" w:eastAsia="宋体" w:cs="Times New Roman"/>
          <w:color w:val="auto"/>
          <w:sz w:val="24"/>
          <w:szCs w:val="24"/>
          <w:highlight w:val="none"/>
          <w:vertAlign w:val="subscript"/>
        </w:rPr>
        <w:t>3</w:t>
      </w:r>
      <w:r>
        <w:rPr>
          <w:rFonts w:ascii="Times New Roman" w:hAnsi="Times New Roman" w:eastAsia="宋体" w:cs="Times New Roman"/>
          <w:color w:val="auto"/>
          <w:sz w:val="24"/>
          <w:szCs w:val="24"/>
          <w:highlight w:val="none"/>
        </w:rPr>
        <w:t>－Na型为主。</w:t>
      </w:r>
    </w:p>
    <w:p w14:paraId="4F79F9A2">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碎屑岩孔隙裂隙水与其下伏的岩溶水之间存在较厚的隔水层，在五断层等影响因素情况下，不发生直接的水力联系；与其上覆的深层孔隙水能发生一定的水力联系。</w:t>
      </w:r>
    </w:p>
    <w:p w14:paraId="19419717">
      <w:pPr>
        <w:adjustRightInd/>
        <w:snapToGrid/>
        <w:spacing w:line="360" w:lineRule="auto"/>
        <w:ind w:firstLine="480" w:firstLineChars="200"/>
        <w:rPr>
          <w:rFonts w:ascii="Times New Roman" w:hAnsi="Times New Roman" w:eastAsia="宋体" w:cs="Times New Roman"/>
          <w:bCs/>
          <w:color w:val="auto"/>
          <w:sz w:val="24"/>
          <w:szCs w:val="24"/>
          <w:highlight w:val="none"/>
        </w:rPr>
      </w:pPr>
      <w:r>
        <w:rPr>
          <w:rFonts w:ascii="Times New Roman" w:hAnsi="Times New Roman" w:eastAsia="宋体" w:cs="Times New Roman"/>
          <w:bCs/>
          <w:color w:val="auto"/>
          <w:sz w:val="24"/>
          <w:szCs w:val="24"/>
          <w:highlight w:val="none"/>
        </w:rPr>
        <w:t>（3）碳酸盐岩裂隙岩溶水</w:t>
      </w:r>
    </w:p>
    <w:p w14:paraId="43A11B21">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含水岩组主要由奥陶系马家沟组石灰岩和石炭系太原组石灰岩等组成，地下水主要赋存碳酸盐岩裂隙、溶隙中，埋藏于巨厚的碎屑岩类煤系地层中。</w:t>
      </w:r>
    </w:p>
    <w:p w14:paraId="570238DF">
      <w:pPr>
        <w:adjustRightInd/>
        <w:snapToGrid/>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根据煤田勘探资料，石炭系太原组石灰岩含水层累计厚度41－54m，中上部多为薄层灰岩，仅底部灰岩较厚，约15m，地下水具承压性质，水位标高一般在+26－+28m，单位涌水量一般为0.12－0.191l/s·m，渗透系数0.009－0.30m/d。水化学类型以Cl·HCO</w:t>
      </w:r>
      <w:r>
        <w:rPr>
          <w:rFonts w:ascii="Times New Roman" w:hAnsi="Times New Roman" w:eastAsia="宋体" w:cs="Times New Roman"/>
          <w:color w:val="auto"/>
          <w:sz w:val="24"/>
          <w:szCs w:val="24"/>
          <w:highlight w:val="none"/>
          <w:vertAlign w:val="subscript"/>
        </w:rPr>
        <w:t>3</w:t>
      </w:r>
      <w:r>
        <w:rPr>
          <w:rFonts w:ascii="Times New Roman" w:hAnsi="Times New Roman" w:eastAsia="宋体" w:cs="Times New Roman"/>
          <w:color w:val="auto"/>
          <w:sz w:val="24"/>
          <w:szCs w:val="24"/>
          <w:highlight w:val="none"/>
        </w:rPr>
        <w:t>－Na型和Cl—Na型为主，水温一般在32－36</w:t>
      </w:r>
      <w:r>
        <w:rPr>
          <w:rFonts w:hint="eastAsia" w:ascii="宋体" w:hAnsi="宋体" w:eastAsia="宋体" w:cs="宋体"/>
          <w:color w:val="auto"/>
          <w:sz w:val="24"/>
          <w:szCs w:val="24"/>
          <w:highlight w:val="none"/>
        </w:rPr>
        <w:t>℃</w:t>
      </w:r>
      <w:r>
        <w:rPr>
          <w:rFonts w:ascii="Times New Roman" w:hAnsi="Times New Roman" w:eastAsia="宋体" w:cs="Times New Roman"/>
          <w:color w:val="auto"/>
          <w:sz w:val="24"/>
          <w:szCs w:val="24"/>
          <w:highlight w:val="none"/>
        </w:rPr>
        <w:t>，矿化度一般小于2.3－2.65g/L。</w:t>
      </w:r>
    </w:p>
    <w:p w14:paraId="1628BFCC">
      <w:pPr>
        <w:adjustRightInd/>
        <w:snapToGrid/>
        <w:spacing w:line="360" w:lineRule="auto"/>
        <w:ind w:firstLine="480" w:firstLineChars="200"/>
        <w:jc w:val="left"/>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奥陶系马家沟组石灰岩含水层累计厚度85—150m，上部为浅灰、褐灰色白云岩，中部为浅灰、灰色含白云质灰岩与褐灰色豹皮状白云质灰岩互层，下部灰色厚层含白云质灰岩，地下水具承压性质，水位标高一般在+25m左右，单位涌水量一般为0.2001l/s·m，渗透系数0.035m/d。水化学类型以Cl·SO</w:t>
      </w:r>
      <w:r>
        <w:rPr>
          <w:rFonts w:ascii="Times New Roman" w:hAnsi="Times New Roman" w:eastAsia="宋体" w:cs="Times New Roman"/>
          <w:color w:val="auto"/>
          <w:sz w:val="24"/>
          <w:szCs w:val="24"/>
          <w:highlight w:val="none"/>
          <w:vertAlign w:val="subscript"/>
        </w:rPr>
        <w:t>4</w:t>
      </w:r>
      <w:r>
        <w:rPr>
          <w:rFonts w:ascii="Times New Roman" w:hAnsi="Times New Roman" w:eastAsia="宋体" w:cs="Times New Roman"/>
          <w:color w:val="auto"/>
          <w:sz w:val="24"/>
          <w:szCs w:val="24"/>
          <w:highlight w:val="none"/>
        </w:rPr>
        <w:t>—Na型为主，水温一般在44</w:t>
      </w:r>
      <w:r>
        <w:rPr>
          <w:rFonts w:hint="eastAsia" w:ascii="宋体" w:hAnsi="宋体" w:eastAsia="宋体" w:cs="宋体"/>
          <w:color w:val="auto"/>
          <w:sz w:val="24"/>
          <w:szCs w:val="24"/>
          <w:highlight w:val="none"/>
        </w:rPr>
        <w:t>℃</w:t>
      </w:r>
      <w:r>
        <w:rPr>
          <w:rFonts w:ascii="Times New Roman" w:hAnsi="Times New Roman" w:eastAsia="宋体" w:cs="Times New Roman"/>
          <w:color w:val="auto"/>
          <w:sz w:val="24"/>
          <w:szCs w:val="24"/>
          <w:highlight w:val="none"/>
        </w:rPr>
        <w:t>左右，矿化度一般小于2.866g/L。</w:t>
      </w:r>
    </w:p>
    <w:p w14:paraId="44358161">
      <w:pPr>
        <w:pStyle w:val="5"/>
        <w:bidi w:val="0"/>
        <w:rPr>
          <w:rFonts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5</w:t>
      </w:r>
      <w:r>
        <w:rPr>
          <w:rFonts w:ascii="Times New Roman" w:hAnsi="Times New Roman" w:eastAsia="宋体" w:cs="Times New Roman"/>
          <w:b/>
          <w:bCs/>
          <w:color w:val="auto"/>
          <w:highlight w:val="none"/>
          <w:lang w:val="en-US" w:eastAsia="zh-CN"/>
        </w:rPr>
        <w:t>.</w:t>
      </w:r>
      <w:r>
        <w:rPr>
          <w:rFonts w:hint="eastAsia" w:cs="Times New Roman"/>
          <w:b/>
          <w:bCs/>
          <w:color w:val="auto"/>
          <w:highlight w:val="none"/>
          <w:lang w:val="en-US" w:eastAsia="zh-CN"/>
        </w:rPr>
        <w:t>2</w:t>
      </w:r>
      <w:r>
        <w:rPr>
          <w:rFonts w:ascii="Times New Roman" w:hAnsi="Times New Roman" w:eastAsia="宋体" w:cs="Times New Roman"/>
          <w:b/>
          <w:bCs/>
          <w:color w:val="auto"/>
          <w:highlight w:val="none"/>
          <w:lang w:val="en-US" w:eastAsia="zh-CN"/>
        </w:rPr>
        <w:t>.</w:t>
      </w:r>
      <w:r>
        <w:rPr>
          <w:rFonts w:hint="eastAsia" w:cs="Times New Roman"/>
          <w:b/>
          <w:bCs/>
          <w:color w:val="auto"/>
          <w:highlight w:val="none"/>
          <w:lang w:val="en-US" w:eastAsia="zh-CN"/>
        </w:rPr>
        <w:t>5</w:t>
      </w:r>
      <w:r>
        <w:rPr>
          <w:rFonts w:ascii="Times New Roman" w:hAnsi="Times New Roman" w:eastAsia="宋体" w:cs="Times New Roman"/>
          <w:b/>
          <w:bCs/>
          <w:color w:val="auto"/>
          <w:highlight w:val="none"/>
          <w:lang w:val="en-US" w:eastAsia="zh-CN"/>
        </w:rPr>
        <w:t>.3</w:t>
      </w:r>
      <w:r>
        <w:rPr>
          <w:rFonts w:hint="eastAsia" w:ascii="Times New Roman" w:hAnsi="Times New Roman" w:eastAsia="宋体" w:cs="Times New Roman"/>
          <w:b/>
          <w:bCs/>
          <w:color w:val="auto"/>
          <w:highlight w:val="none"/>
          <w:lang w:val="en-US" w:eastAsia="zh-CN"/>
        </w:rPr>
        <w:t>地下水补径排条件</w:t>
      </w:r>
    </w:p>
    <w:p w14:paraId="5C5E121F">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区内地下水的补给、径流、排泄条件和地下水动态特征，明显受到地形、地貌、地层岩性、地质构造和气候特征的影响。根据规划区新建项目的特征，污染仅可能</w:t>
      </w:r>
      <w:r>
        <w:rPr>
          <w:rFonts w:hint="eastAsia" w:cs="Times New Roman"/>
          <w:color w:val="auto"/>
          <w:sz w:val="24"/>
          <w:highlight w:val="none"/>
          <w:lang w:eastAsia="zh-CN"/>
        </w:rPr>
        <w:t>涉及</w:t>
      </w:r>
      <w:r>
        <w:rPr>
          <w:rFonts w:ascii="Times New Roman" w:hAnsi="Times New Roman" w:eastAsia="宋体" w:cs="Times New Roman"/>
          <w:color w:val="auto"/>
          <w:sz w:val="24"/>
          <w:highlight w:val="none"/>
        </w:rPr>
        <w:t>松散层孔隙水，现就松散层孔隙水的补径排特征分述如下：</w:t>
      </w:r>
    </w:p>
    <w:p w14:paraId="362ABA3D">
      <w:pPr>
        <w:adjustRightInd/>
        <w:snapToGrid/>
        <w:spacing w:line="360" w:lineRule="auto"/>
        <w:ind w:firstLine="482" w:firstLineChars="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1</w:t>
      </w:r>
      <w:r>
        <w:rPr>
          <w:rFonts w:hint="eastAsia" w:ascii="Times New Roman" w:hAnsi="Times New Roman" w:eastAsia="宋体" w:cs="Times New Roman"/>
          <w:color w:val="auto"/>
          <w:sz w:val="24"/>
          <w:szCs w:val="24"/>
          <w:highlight w:val="none"/>
        </w:rPr>
        <w:t>）</w:t>
      </w:r>
      <w:r>
        <w:rPr>
          <w:rFonts w:ascii="Times New Roman" w:hAnsi="Times New Roman" w:eastAsia="宋体" w:cs="Times New Roman"/>
          <w:color w:val="auto"/>
          <w:sz w:val="24"/>
          <w:szCs w:val="24"/>
          <w:highlight w:val="none"/>
        </w:rPr>
        <w:t>、浅层孔隙水</w:t>
      </w:r>
    </w:p>
    <w:p w14:paraId="4770D3B1">
      <w:pPr>
        <w:adjustRightInd/>
        <w:snapToGrid/>
        <w:spacing w:line="360" w:lineRule="auto"/>
        <w:ind w:firstLine="480" w:firstLineChars="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浅层孔隙水主要通过包气带接受大气降水入渗补给、其次为农田灌溉回渗补给、地表水的入渗补给。地表包气带岩性以亚黏土，局部为亚砂土。</w:t>
      </w:r>
    </w:p>
    <w:p w14:paraId="63D4BBE9">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浅层孔隙水径流主要受地形影响，径流方向与地表倾向一致，总趋势由西北向东南径流，水力坡度一般在1/10000~2/10000之间。</w:t>
      </w:r>
    </w:p>
    <w:p w14:paraId="2BE39204">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潜水蒸发是浅层孔隙水的主要排泄途径，其次为垂直向下部中深层孔隙水越流排泄、枯水期向河流排泄和人工开采排泄。</w:t>
      </w:r>
    </w:p>
    <w:p w14:paraId="23A8E152">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浅层孔隙水的动态呈现降水入渗—蒸发型动态特征，地下水位的变化明显具有季节性变化特征，一般1－3月水位稳定，4－6月水位下降幅度较大，水位达到年内最低值，7－9月份随降水量的增大，地下水位明显上升，基本达到年内最高，10月份水位开始回落。一般年变幅在2.0~4.0m。</w:t>
      </w:r>
    </w:p>
    <w:p w14:paraId="74A14787">
      <w:pPr>
        <w:adjustRightInd/>
        <w:snapToGrid/>
        <w:spacing w:line="360" w:lineRule="auto"/>
        <w:ind w:firstLine="480" w:firstLineChars="0"/>
        <w:rPr>
          <w:rFonts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2）、</w:t>
      </w:r>
      <w:r>
        <w:rPr>
          <w:rFonts w:ascii="Times New Roman" w:hAnsi="Times New Roman" w:eastAsia="宋体" w:cs="Times New Roman"/>
          <w:color w:val="auto"/>
          <w:sz w:val="24"/>
          <w:szCs w:val="24"/>
          <w:highlight w:val="none"/>
        </w:rPr>
        <w:t>中深层孔隙水</w:t>
      </w:r>
    </w:p>
    <w:p w14:paraId="5537F802">
      <w:pPr>
        <w:adjustRightInd/>
        <w:snapToGrid/>
        <w:spacing w:line="360" w:lineRule="auto"/>
        <w:ind w:firstLine="480" w:firstLineChars="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中深层孔隙水主要接受侧向径流补给及浅层孔隙水的越流补给；受开采影响，径流方向发生改变，四周水流向水源地开采中心汇集，水力坡度在4/10000~5/10000之间；侧向径流排泄和开采排泄是其主要的排泄方式。</w:t>
      </w:r>
    </w:p>
    <w:p w14:paraId="5FA841C7">
      <w:pPr>
        <w:adjustRightInd/>
        <w:snapToGrid/>
        <w:spacing w:line="360" w:lineRule="auto"/>
        <w:ind w:firstLine="480" w:firstLineChars="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中深层孔隙水的动态特征与浅层孔隙水相似，水位年变幅较小，一般在1.5m左右。受区域地下水和城区、矿区开采的影响，中深层孔隙水地下水水位呈逐年下降趋势。</w:t>
      </w:r>
    </w:p>
    <w:p w14:paraId="59CA50A4">
      <w:pPr>
        <w:adjustRightInd/>
        <w:snapToGrid/>
        <w:spacing w:line="360" w:lineRule="auto"/>
        <w:ind w:firstLine="480" w:firstLineChars="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3）、深层孔隙水</w:t>
      </w:r>
    </w:p>
    <w:p w14:paraId="4F5B4644">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szCs w:val="24"/>
          <w:highlight w:val="none"/>
        </w:rPr>
        <w:t>深层孔隙水的主要补给来源是侧向径流补给和中深层孔隙水的越流补给；其径流方向总体由西北向东南径流，水力坡度约为1/20000，地下水径流缓慢；深层孔隙水排泄主要为侧向径流排泄及受煤矿开采疏干排水向下部碎屑岩类孔隙裂隙水越流排泄。</w:t>
      </w:r>
    </w:p>
    <w:p w14:paraId="2DDBD9AB">
      <w:pPr>
        <w:pStyle w:val="5"/>
        <w:bidi w:val="0"/>
        <w:rPr>
          <w:rFonts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5</w:t>
      </w:r>
      <w:r>
        <w:rPr>
          <w:rFonts w:ascii="Times New Roman" w:hAnsi="Times New Roman" w:eastAsia="宋体" w:cs="Times New Roman"/>
          <w:b/>
          <w:bCs/>
          <w:color w:val="auto"/>
          <w:highlight w:val="none"/>
          <w:lang w:val="en-US" w:eastAsia="zh-CN"/>
        </w:rPr>
        <w:t>.</w:t>
      </w:r>
      <w:r>
        <w:rPr>
          <w:rFonts w:hint="eastAsia" w:ascii="Times New Roman" w:hAnsi="Times New Roman" w:eastAsia="宋体" w:cs="Times New Roman"/>
          <w:b/>
          <w:bCs/>
          <w:color w:val="auto"/>
          <w:highlight w:val="none"/>
          <w:lang w:val="en-US" w:eastAsia="zh-CN"/>
        </w:rPr>
        <w:t>2</w:t>
      </w:r>
      <w:r>
        <w:rPr>
          <w:rFonts w:ascii="Times New Roman" w:hAnsi="Times New Roman" w:eastAsia="宋体" w:cs="Times New Roman"/>
          <w:b/>
          <w:bCs/>
          <w:color w:val="auto"/>
          <w:highlight w:val="none"/>
          <w:lang w:val="en-US" w:eastAsia="zh-CN"/>
        </w:rPr>
        <w:t>.</w:t>
      </w:r>
      <w:r>
        <w:rPr>
          <w:rFonts w:hint="eastAsia" w:ascii="Times New Roman" w:hAnsi="Times New Roman" w:eastAsia="宋体" w:cs="Times New Roman"/>
          <w:b/>
          <w:bCs/>
          <w:color w:val="auto"/>
          <w:highlight w:val="none"/>
          <w:lang w:val="en-US" w:eastAsia="zh-CN"/>
        </w:rPr>
        <w:t>5</w:t>
      </w:r>
      <w:r>
        <w:rPr>
          <w:rFonts w:ascii="Times New Roman" w:hAnsi="Times New Roman" w:eastAsia="宋体" w:cs="Times New Roman"/>
          <w:b/>
          <w:bCs/>
          <w:color w:val="auto"/>
          <w:highlight w:val="none"/>
          <w:lang w:val="en-US" w:eastAsia="zh-CN"/>
        </w:rPr>
        <w:t>.4</w:t>
      </w:r>
      <w:r>
        <w:rPr>
          <w:rFonts w:hint="eastAsia" w:ascii="Times New Roman" w:hAnsi="Times New Roman" w:eastAsia="宋体" w:cs="Times New Roman"/>
          <w:b/>
          <w:bCs/>
          <w:color w:val="auto"/>
          <w:highlight w:val="none"/>
          <w:lang w:val="en-US" w:eastAsia="zh-CN"/>
        </w:rPr>
        <w:t>地下水开发利用现状</w:t>
      </w:r>
    </w:p>
    <w:p w14:paraId="764A40B7">
      <w:pPr>
        <w:adjustRightInd w:val="0"/>
        <w:snapToGrid w:val="0"/>
        <w:spacing w:line="360" w:lineRule="auto"/>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rPr>
        <w:t>环境水文地质问题</w:t>
      </w:r>
    </w:p>
    <w:p w14:paraId="7C5EAEA5">
      <w:pPr>
        <w:pStyle w:val="571"/>
        <w:ind w:firstLine="480"/>
        <w:rPr>
          <w:color w:val="auto"/>
          <w:highlight w:val="none"/>
        </w:rPr>
      </w:pPr>
      <w:r>
        <w:rPr>
          <w:rFonts w:hint="eastAsia"/>
          <w:color w:val="auto"/>
          <w:highlight w:val="none"/>
        </w:rPr>
        <w:t>调查区地下水天然水质基本良好，</w:t>
      </w:r>
      <w:r>
        <w:rPr>
          <w:rFonts w:hint="eastAsia"/>
          <w:color w:val="auto"/>
          <w:highlight w:val="none"/>
          <w:lang w:val="en-US" w:eastAsia="zh-CN"/>
        </w:rPr>
        <w:t>没有</w:t>
      </w:r>
      <w:r>
        <w:rPr>
          <w:rFonts w:hint="eastAsia"/>
          <w:color w:val="auto"/>
          <w:highlight w:val="none"/>
        </w:rPr>
        <w:t>发现天然劣质水和因为饮用地下水而产生的地方性疾病等环境地质问题。目前区内还没有发现由于地下水开采而造成的区域地下水位持续下降、地面沉降、湿地退化、生态破坏等环境地质问题。</w:t>
      </w:r>
    </w:p>
    <w:p w14:paraId="48843963">
      <w:pPr>
        <w:adjustRightInd w:val="0"/>
        <w:snapToGrid w:val="0"/>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）现有地下水污染源</w:t>
      </w:r>
    </w:p>
    <w:p w14:paraId="6A81B768">
      <w:pPr>
        <w:pStyle w:val="571"/>
        <w:ind w:firstLine="480"/>
        <w:rPr>
          <w:rFonts w:hint="eastAsia"/>
          <w:color w:val="auto"/>
          <w:highlight w:val="none"/>
        </w:rPr>
      </w:pPr>
      <w:r>
        <w:rPr>
          <w:rFonts w:hint="eastAsia"/>
          <w:color w:val="auto"/>
          <w:highlight w:val="none"/>
        </w:rPr>
        <w:t>根据现场调查，规划区无大量的抽排地下水现象。调查区内对地下水造成污染和可能造成污染的污染源，主要有当地居民生活污水和生活垃圾、农业生产化肥和农药、企业工厂等。规划区主要为生产企业，生产企业按照相关规定生产废水、生活污水集中收集处置，正常情况下不会对地下水造成明显影响。</w:t>
      </w:r>
    </w:p>
    <w:p w14:paraId="2F44B89F">
      <w:pPr>
        <w:pStyle w:val="571"/>
        <w:numPr>
          <w:ilvl w:val="0"/>
          <w:numId w:val="0"/>
        </w:numPr>
        <w:ind w:firstLine="480" w:firstLineChars="200"/>
        <w:rPr>
          <w:rFonts w:hint="eastAsia" w:ascii="黑体" w:hAnsi="宋体" w:eastAsia="黑体" w:cs="黑体"/>
          <w:b w:val="0"/>
          <w:bCs w:val="0"/>
          <w:color w:val="auto"/>
          <w:sz w:val="24"/>
          <w:szCs w:val="24"/>
          <w:highlight w:val="none"/>
          <w:lang w:eastAsia="zh-CN"/>
        </w:rPr>
      </w:pPr>
      <w:r>
        <w:rPr>
          <w:rFonts w:ascii="黑体" w:hAnsi="宋体" w:eastAsia="黑体" w:cs="黑体"/>
          <w:b w:val="0"/>
          <w:bCs w:val="0"/>
          <w:color w:val="auto"/>
          <w:kern w:val="2"/>
          <w:sz w:val="24"/>
          <w:szCs w:val="24"/>
          <w:highlight w:val="none"/>
          <w:lang w:val="en-US" w:eastAsia="zh-CN" w:bidi="ar-SA"/>
        </w:rPr>
        <w:t>（3）</w:t>
      </w:r>
      <w:r>
        <w:rPr>
          <w:rFonts w:ascii="黑体" w:hAnsi="宋体" w:eastAsia="黑体" w:cs="黑体"/>
          <w:b w:val="0"/>
          <w:bCs w:val="0"/>
          <w:color w:val="auto"/>
          <w:sz w:val="24"/>
          <w:szCs w:val="24"/>
          <w:highlight w:val="none"/>
        </w:rPr>
        <w:t>包气带防污性能</w:t>
      </w:r>
    </w:p>
    <w:p w14:paraId="4054BCA6">
      <w:pPr>
        <w:pStyle w:val="571"/>
        <w:numPr>
          <w:ilvl w:val="0"/>
          <w:numId w:val="0"/>
        </w:numPr>
        <w:ind w:firstLine="480" w:firstLineChars="200"/>
        <w:rPr>
          <w:rFonts w:hint="eastAsia"/>
          <w:color w:val="auto"/>
          <w:highlight w:val="none"/>
        </w:rPr>
      </w:pPr>
      <w:r>
        <w:rPr>
          <w:rFonts w:hint="eastAsia" w:ascii="宋体" w:hAnsi="宋体" w:eastAsia="宋体" w:cs="宋体"/>
          <w:b w:val="0"/>
          <w:bCs w:val="0"/>
          <w:color w:val="auto"/>
          <w:sz w:val="24"/>
          <w:szCs w:val="24"/>
          <w:highlight w:val="none"/>
        </w:rPr>
        <w:t>建设项目场地内，表层耕植土及其下的粉土厚度在</w:t>
      </w:r>
      <w:r>
        <w:rPr>
          <w:rFonts w:ascii="Times New Roman" w:hAnsi="Times New Roman" w:eastAsia="Times New Roman" w:cs="Times New Roman"/>
          <w:b w:val="0"/>
          <w:bCs w:val="0"/>
          <w:color w:val="auto"/>
          <w:sz w:val="24"/>
          <w:szCs w:val="24"/>
          <w:highlight w:val="none"/>
        </w:rPr>
        <w:t>10.00m</w:t>
      </w:r>
      <w:r>
        <w:rPr>
          <w:rFonts w:hint="eastAsia" w:ascii="宋体" w:hAnsi="宋体" w:eastAsia="宋体" w:cs="宋体"/>
          <w:b w:val="0"/>
          <w:bCs w:val="0"/>
          <w:color w:val="auto"/>
          <w:sz w:val="24"/>
          <w:szCs w:val="24"/>
          <w:highlight w:val="none"/>
        </w:rPr>
        <w:t>左右，建设项目场地包气带岩（土）层单层厚度</w:t>
      </w:r>
      <w:r>
        <w:rPr>
          <w:rFonts w:hint="default" w:ascii="Times New Roman" w:hAnsi="Times New Roman" w:eastAsia="Times New Roman" w:cs="Times New Roman"/>
          <w:b w:val="0"/>
          <w:bCs w:val="0"/>
          <w:color w:val="auto"/>
          <w:sz w:val="24"/>
          <w:szCs w:val="24"/>
          <w:highlight w:val="none"/>
        </w:rPr>
        <w:t>Mb≥1.0m</w:t>
      </w:r>
      <w:r>
        <w:rPr>
          <w:rFonts w:hint="eastAsia" w:ascii="宋体" w:hAnsi="宋体" w:eastAsia="宋体" w:cs="宋体"/>
          <w:b w:val="0"/>
          <w:bCs w:val="0"/>
          <w:color w:val="auto"/>
          <w:sz w:val="24"/>
          <w:szCs w:val="24"/>
          <w:highlight w:val="none"/>
        </w:rPr>
        <w:t>，且分布连续、稳定；根据场地内的渗水试验结果，渗透系数范围为</w:t>
      </w:r>
      <w:r>
        <w:rPr>
          <w:rFonts w:hint="default" w:ascii="Times New Roman" w:hAnsi="Times New Roman" w:eastAsia="Times New Roman" w:cs="Times New Roman"/>
          <w:b w:val="0"/>
          <w:bCs w:val="0"/>
          <w:color w:val="auto"/>
          <w:sz w:val="24"/>
          <w:szCs w:val="24"/>
          <w:highlight w:val="none"/>
        </w:rPr>
        <w:t>3.0×10</w:t>
      </w:r>
      <w:r>
        <w:rPr>
          <w:rFonts w:hint="eastAsia" w:ascii="Times New Roman" w:hAnsi="Times New Roman" w:eastAsia="宋体" w:cs="Times New Roman"/>
          <w:b w:val="0"/>
          <w:bCs w:val="0"/>
          <w:color w:val="auto"/>
          <w:sz w:val="24"/>
          <w:szCs w:val="24"/>
          <w:highlight w:val="none"/>
          <w:vertAlign w:val="superscript"/>
          <w:lang w:val="en-US" w:eastAsia="zh-CN"/>
        </w:rPr>
        <w:t>-7</w:t>
      </w:r>
      <w:r>
        <w:rPr>
          <w:rFonts w:hint="default" w:ascii="Times New Roman" w:hAnsi="Times New Roman" w:eastAsia="Times New Roman" w:cs="Times New Roman"/>
          <w:b w:val="0"/>
          <w:bCs w:val="0"/>
          <w:color w:val="auto"/>
          <w:sz w:val="24"/>
          <w:szCs w:val="24"/>
          <w:highlight w:val="none"/>
        </w:rPr>
        <w:t>~3.0×10</w:t>
      </w:r>
      <w:r>
        <w:rPr>
          <w:rFonts w:hint="eastAsia" w:ascii="Times New Roman" w:hAnsi="Times New Roman" w:eastAsia="宋体" w:cs="Times New Roman"/>
          <w:b w:val="0"/>
          <w:bCs w:val="0"/>
          <w:color w:val="auto"/>
          <w:sz w:val="24"/>
          <w:szCs w:val="24"/>
          <w:highlight w:val="none"/>
          <w:vertAlign w:val="superscript"/>
          <w:lang w:val="en-US" w:eastAsia="zh-CN"/>
        </w:rPr>
        <w:t>-5</w:t>
      </w:r>
      <w:r>
        <w:rPr>
          <w:rFonts w:hint="default" w:ascii="Times New Roman" w:hAnsi="Times New Roman" w:eastAsia="Times New Roman" w:cs="Times New Roman"/>
          <w:b w:val="0"/>
          <w:bCs w:val="0"/>
          <w:color w:val="auto"/>
          <w:sz w:val="24"/>
          <w:szCs w:val="24"/>
          <w:highlight w:val="none"/>
        </w:rPr>
        <w:t>cm/s</w:t>
      </w:r>
      <w:r>
        <w:rPr>
          <w:rFonts w:hint="eastAsia" w:ascii="宋体" w:hAnsi="宋体" w:eastAsia="宋体" w:cs="宋体"/>
          <w:b w:val="0"/>
          <w:bCs w:val="0"/>
          <w:color w:val="auto"/>
          <w:sz w:val="24"/>
          <w:szCs w:val="24"/>
          <w:highlight w:val="none"/>
        </w:rPr>
        <w:t>，天然防渗性能为</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中等</w:t>
      </w:r>
      <w:r>
        <w:rPr>
          <w:rFonts w:hint="eastAsia" w:ascii="宋体" w:hAnsi="宋体" w:cs="宋体"/>
          <w:b w:val="0"/>
          <w:bCs w:val="0"/>
          <w:color w:val="auto"/>
          <w:sz w:val="24"/>
          <w:szCs w:val="24"/>
          <w:highlight w:val="none"/>
          <w:lang w:eastAsia="zh-CN"/>
        </w:rPr>
        <w:t>”</w:t>
      </w:r>
      <w:r>
        <w:rPr>
          <w:rFonts w:hint="eastAsia" w:ascii="宋体" w:hAnsi="宋体" w:eastAsia="宋体" w:cs="宋体"/>
          <w:b w:val="0"/>
          <w:bCs w:val="0"/>
          <w:color w:val="auto"/>
          <w:sz w:val="24"/>
          <w:szCs w:val="24"/>
          <w:highlight w:val="none"/>
        </w:rPr>
        <w:t>。</w:t>
      </w:r>
    </w:p>
    <w:p w14:paraId="0A47531B">
      <w:pPr>
        <w:pStyle w:val="5"/>
        <w:bidi w:val="0"/>
        <w:rPr>
          <w:rFonts w:ascii="Times New Roman" w:hAnsi="Times New Roman" w:eastAsia="宋体" w:cs="Times New Roman"/>
          <w:b/>
          <w:bCs/>
          <w:color w:val="auto"/>
          <w:highlight w:val="none"/>
          <w:lang w:val="zh-CN" w:eastAsia="zh-CN"/>
        </w:rPr>
      </w:pPr>
      <w:r>
        <w:rPr>
          <w:rFonts w:hint="eastAsia" w:ascii="Times New Roman" w:hAnsi="Times New Roman" w:eastAsia="宋体" w:cs="Times New Roman"/>
          <w:b/>
          <w:bCs/>
          <w:color w:val="auto"/>
          <w:highlight w:val="none"/>
          <w:lang w:val="zh-CN" w:eastAsia="zh-CN"/>
        </w:rPr>
        <w:t>5.</w:t>
      </w:r>
      <w:r>
        <w:rPr>
          <w:rFonts w:hint="eastAsia" w:ascii="Times New Roman" w:hAnsi="Times New Roman" w:eastAsia="宋体" w:cs="Times New Roman"/>
          <w:b/>
          <w:bCs/>
          <w:color w:val="auto"/>
          <w:highlight w:val="none"/>
          <w:lang w:val="en-US" w:eastAsia="zh-CN"/>
        </w:rPr>
        <w:t>2.5</w:t>
      </w:r>
      <w:r>
        <w:rPr>
          <w:rFonts w:hint="eastAsia" w:ascii="Times New Roman" w:hAnsi="Times New Roman" w:eastAsia="宋体" w:cs="Times New Roman"/>
          <w:b/>
          <w:bCs/>
          <w:color w:val="auto"/>
          <w:highlight w:val="none"/>
          <w:lang w:val="zh-CN" w:eastAsia="zh-CN"/>
        </w:rPr>
        <w:t>.</w:t>
      </w:r>
      <w:r>
        <w:rPr>
          <w:rFonts w:hint="eastAsia" w:ascii="Times New Roman" w:hAnsi="Times New Roman" w:eastAsia="宋体" w:cs="Times New Roman"/>
          <w:b/>
          <w:bCs/>
          <w:color w:val="auto"/>
          <w:highlight w:val="none"/>
          <w:lang w:val="en-US" w:eastAsia="zh-CN"/>
        </w:rPr>
        <w:t>5</w:t>
      </w:r>
      <w:r>
        <w:rPr>
          <w:rFonts w:hint="eastAsia" w:ascii="Times New Roman" w:hAnsi="Times New Roman" w:eastAsia="宋体" w:cs="Times New Roman"/>
          <w:b/>
          <w:bCs/>
          <w:color w:val="auto"/>
          <w:highlight w:val="none"/>
          <w:lang w:val="zh-CN" w:eastAsia="zh-CN"/>
        </w:rPr>
        <w:t>地下水</w:t>
      </w:r>
      <w:r>
        <w:rPr>
          <w:rFonts w:ascii="Times New Roman" w:hAnsi="Times New Roman" w:eastAsia="宋体" w:cs="Times New Roman"/>
          <w:b/>
          <w:bCs/>
          <w:color w:val="auto"/>
          <w:highlight w:val="none"/>
          <w:lang w:val="zh-CN" w:eastAsia="zh-CN"/>
        </w:rPr>
        <w:t>环境影响分析</w:t>
      </w:r>
    </w:p>
    <w:p w14:paraId="1FC165E0">
      <w:pPr>
        <w:pStyle w:val="571"/>
        <w:numPr>
          <w:ilvl w:val="0"/>
          <w:numId w:val="0"/>
        </w:numPr>
        <w:ind w:firstLine="482" w:firstLineChars="200"/>
        <w:rPr>
          <w:rFonts w:ascii="Times New Roman" w:hAnsi="Times New Roman" w:eastAsia="宋体" w:cs="Times New Roman"/>
          <w:color w:val="auto"/>
          <w:kern w:val="2"/>
          <w:sz w:val="24"/>
          <w:szCs w:val="22"/>
          <w:highlight w:val="none"/>
          <w:lang w:val="zh-CN" w:eastAsia="zh-CN" w:bidi="ar-SA"/>
        </w:rPr>
      </w:pPr>
      <w:r>
        <w:rPr>
          <w:rFonts w:hint="eastAsia" w:ascii="Times New Roman" w:hAnsi="Times New Roman" w:eastAsia="宋体" w:cs="Times New Roman"/>
          <w:b/>
          <w:bCs/>
          <w:color w:val="auto"/>
          <w:kern w:val="2"/>
          <w:sz w:val="24"/>
          <w:szCs w:val="22"/>
          <w:highlight w:val="none"/>
          <w:lang w:val="zh-CN" w:eastAsia="zh-CN" w:bidi="ar-SA"/>
        </w:rPr>
        <w:t>（</w:t>
      </w:r>
      <w:r>
        <w:rPr>
          <w:rFonts w:hint="eastAsia" w:ascii="Times New Roman" w:hAnsi="Times New Roman" w:eastAsia="宋体" w:cs="Times New Roman"/>
          <w:b/>
          <w:bCs/>
          <w:color w:val="auto"/>
          <w:kern w:val="2"/>
          <w:sz w:val="24"/>
          <w:szCs w:val="22"/>
          <w:highlight w:val="none"/>
          <w:lang w:val="en-US" w:eastAsia="zh-CN" w:bidi="ar-SA"/>
        </w:rPr>
        <w:t>1</w:t>
      </w:r>
      <w:r>
        <w:rPr>
          <w:rFonts w:hint="eastAsia" w:ascii="Times New Roman" w:hAnsi="Times New Roman" w:eastAsia="宋体" w:cs="Times New Roman"/>
          <w:b/>
          <w:bCs/>
          <w:color w:val="auto"/>
          <w:kern w:val="2"/>
          <w:sz w:val="24"/>
          <w:szCs w:val="22"/>
          <w:highlight w:val="none"/>
          <w:lang w:val="zh-CN" w:eastAsia="zh-CN" w:bidi="ar-SA"/>
        </w:rPr>
        <w:t>）运营期</w:t>
      </w:r>
      <w:r>
        <w:rPr>
          <w:rFonts w:ascii="Times New Roman" w:hAnsi="Times New Roman" w:eastAsia="宋体" w:cs="Times New Roman"/>
          <w:b/>
          <w:bCs/>
          <w:color w:val="auto"/>
          <w:kern w:val="2"/>
          <w:sz w:val="24"/>
          <w:szCs w:val="22"/>
          <w:highlight w:val="none"/>
          <w:lang w:val="zh-CN" w:eastAsia="zh-CN" w:bidi="ar-SA"/>
        </w:rPr>
        <w:t>正常工况下地下水环境影响分析</w:t>
      </w:r>
    </w:p>
    <w:p w14:paraId="1FEAED2F">
      <w:pPr>
        <w:adjustRightInd w:val="0"/>
        <w:snapToGrid w:val="0"/>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项目排水体制为雨污分流制，雨水收集后直接排入园区雨水管网。项目废污水主要为</w:t>
      </w:r>
      <w:r>
        <w:rPr>
          <w:rFonts w:hint="eastAsia" w:ascii="Times New Roman" w:hAnsi="Times New Roman" w:eastAsia="宋体" w:cs="Times New Roman"/>
          <w:color w:val="auto"/>
          <w:sz w:val="24"/>
          <w:highlight w:val="none"/>
        </w:rPr>
        <w:t>工艺废水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间接</w:t>
      </w:r>
      <w:r>
        <w:rPr>
          <w:rFonts w:hint="eastAsia" w:ascii="Times New Roman" w:hAnsi="Times New Roman" w:eastAsia="宋体" w:cs="Times New Roman"/>
          <w:color w:val="auto"/>
          <w:sz w:val="24"/>
          <w:highlight w:val="none"/>
        </w:rPr>
        <w:t>循环冷却水排水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脱盐水制备浓水、反冲洗废水</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洗车废水</w:t>
      </w:r>
      <w:r>
        <w:rPr>
          <w:rFonts w:hint="eastAsia" w:ascii="Times New Roman" w:hAnsi="Times New Roman" w:eastAsia="宋体" w:cs="Times New Roman"/>
          <w:color w:val="auto"/>
          <w:sz w:val="24"/>
          <w:highlight w:val="none"/>
        </w:rPr>
        <w:t>、生活污水及初期雨水等</w:t>
      </w:r>
      <w:r>
        <w:rPr>
          <w:rFonts w:ascii="Times New Roman" w:hAnsi="Times New Roman" w:eastAsia="宋体" w:cs="Times New Roman"/>
          <w:color w:val="auto"/>
          <w:sz w:val="24"/>
          <w:highlight w:val="none"/>
        </w:rPr>
        <w:t>。生产废水收集处理后进入厂区污水处理站，预处理达标后经总排口排往</w:t>
      </w:r>
      <w:r>
        <w:rPr>
          <w:rFonts w:hint="eastAsia" w:ascii="Times New Roman" w:hAnsi="Times New Roman" w:eastAsia="宋体" w:cs="Times New Roman"/>
          <w:color w:val="auto"/>
          <w:sz w:val="24"/>
          <w:highlight w:val="none"/>
          <w:lang w:val="en-US" w:eastAsia="zh-CN"/>
        </w:rPr>
        <w:t>田家庵</w:t>
      </w:r>
      <w:r>
        <w:rPr>
          <w:rFonts w:hint="eastAsia" w:ascii="Times New Roman" w:hAnsi="Times New Roman" w:eastAsia="宋体" w:cs="Times New Roman"/>
          <w:color w:val="auto"/>
          <w:sz w:val="24"/>
          <w:highlight w:val="none"/>
        </w:rPr>
        <w:t>经济开发区</w:t>
      </w:r>
      <w:r>
        <w:rPr>
          <w:rFonts w:ascii="Times New Roman" w:hAnsi="Times New Roman" w:eastAsia="宋体" w:cs="Times New Roman"/>
          <w:color w:val="auto"/>
          <w:sz w:val="24"/>
          <w:highlight w:val="none"/>
        </w:rPr>
        <w:t>污水处理</w:t>
      </w:r>
      <w:r>
        <w:rPr>
          <w:rFonts w:hint="eastAsia" w:ascii="Times New Roman" w:hAnsi="Times New Roman" w:eastAsia="宋体" w:cs="Times New Roman"/>
          <w:color w:val="auto"/>
          <w:sz w:val="24"/>
          <w:highlight w:val="none"/>
          <w:lang w:val="en-US" w:eastAsia="zh-CN"/>
        </w:rPr>
        <w:t>站</w:t>
      </w:r>
      <w:r>
        <w:rPr>
          <w:rFonts w:ascii="Times New Roman" w:hAnsi="Times New Roman" w:eastAsia="宋体" w:cs="Times New Roman"/>
          <w:color w:val="auto"/>
          <w:sz w:val="24"/>
          <w:highlight w:val="none"/>
        </w:rPr>
        <w:t>集中处理。</w:t>
      </w:r>
      <w:r>
        <w:rPr>
          <w:rFonts w:hint="eastAsia" w:ascii="Times New Roman" w:hAnsi="Times New Roman" w:eastAsia="宋体" w:cs="Times New Roman"/>
          <w:color w:val="auto"/>
          <w:sz w:val="24"/>
          <w:highlight w:val="none"/>
          <w:lang w:val="en-US" w:eastAsia="zh-CN"/>
        </w:rPr>
        <w:t>站</w:t>
      </w:r>
      <w:r>
        <w:rPr>
          <w:rFonts w:ascii="Times New Roman" w:hAnsi="Times New Roman" w:eastAsia="宋体" w:cs="Times New Roman"/>
          <w:color w:val="auto"/>
          <w:sz w:val="24"/>
          <w:highlight w:val="none"/>
        </w:rPr>
        <w:t>区污水收集及运送管线等均做好防渗措施，正常工况下不会由于废水排放导致地下水污染。</w:t>
      </w:r>
    </w:p>
    <w:p w14:paraId="44F8F099">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加油站柴油罐、汽油罐均采用双层钢制罐，内层罐壁选用符合《钢制常压储罐》（AQ3020）标准，外层防腐等级不低于加强级，埋地输油管道采用双层管道，连接处焊接并加强防腐处理，双层罐采用压力或真空系统检测，同时企业遵循《加油站地下水污染防治技术指南》（环办〔2017〕323号）设置地下水监测井，及时发现油品</w:t>
      </w:r>
      <w:r>
        <w:rPr>
          <w:rFonts w:hint="eastAsia" w:cs="Times New Roman"/>
          <w:color w:val="auto"/>
          <w:sz w:val="24"/>
          <w:highlight w:val="none"/>
          <w:lang w:val="en-US" w:eastAsia="zh-CN"/>
        </w:rPr>
        <w:t>泄漏</w:t>
      </w:r>
      <w:r>
        <w:rPr>
          <w:rFonts w:hint="eastAsia" w:ascii="Times New Roman" w:hAnsi="Times New Roman" w:eastAsia="宋体" w:cs="Times New Roman"/>
          <w:color w:val="auto"/>
          <w:sz w:val="24"/>
          <w:highlight w:val="none"/>
          <w:lang w:val="en-US" w:eastAsia="zh-CN"/>
        </w:rPr>
        <w:t>。</w:t>
      </w:r>
    </w:p>
    <w:p w14:paraId="56FBB1A1">
      <w:pPr>
        <w:adjustRightInd w:val="0"/>
        <w:snapToGrid w:val="0"/>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highlight w:val="none"/>
        </w:rPr>
        <w:t>项目产生的固体废物包括定期更换的工艺固废、污泥，还有原辅材料各类包装桶、包装袋和生活垃圾。项目设危险废物库用于临时贮存危险废物，危险废物定期运走，危险废物库按照《危险废物贮存污染控制标准》（GB18597-20</w:t>
      </w:r>
      <w:r>
        <w:rPr>
          <w:rFonts w:hint="eastAsia" w:ascii="Times New Roman" w:hAnsi="Times New Roman" w:eastAsia="宋体" w:cs="Times New Roman"/>
          <w:color w:val="auto"/>
          <w:sz w:val="24"/>
          <w:highlight w:val="none"/>
          <w:lang w:val="en-US" w:eastAsia="zh-CN"/>
        </w:rPr>
        <w:t>23</w:t>
      </w:r>
      <w:r>
        <w:rPr>
          <w:rFonts w:ascii="Times New Roman" w:hAnsi="Times New Roman" w:eastAsia="宋体" w:cs="Times New Roman"/>
          <w:color w:val="auto"/>
          <w:sz w:val="24"/>
          <w:highlight w:val="none"/>
        </w:rPr>
        <w:t>）进行污染控制和管</w:t>
      </w:r>
      <w:r>
        <w:rPr>
          <w:rFonts w:ascii="Times New Roman" w:hAnsi="Times New Roman" w:eastAsia="宋体" w:cs="Times New Roman"/>
          <w:color w:val="auto"/>
          <w:sz w:val="24"/>
          <w:szCs w:val="24"/>
          <w:highlight w:val="none"/>
        </w:rPr>
        <w:t>理。因此项目运营期正常工况下固体废物不会导致地下水污染。</w:t>
      </w:r>
    </w:p>
    <w:p w14:paraId="6CC7696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kern w:val="2"/>
          <w:sz w:val="24"/>
          <w:szCs w:val="22"/>
          <w:highlight w:val="none"/>
          <w:lang w:val="zh-CN" w:eastAsia="zh-CN" w:bidi="ar-SA"/>
        </w:rPr>
      </w:pPr>
      <w:r>
        <w:rPr>
          <w:rFonts w:hint="eastAsia" w:ascii="Times New Roman" w:hAnsi="Times New Roman" w:eastAsia="宋体" w:cs="Times New Roman"/>
          <w:b/>
          <w:bCs/>
          <w:color w:val="auto"/>
          <w:kern w:val="2"/>
          <w:sz w:val="24"/>
          <w:szCs w:val="22"/>
          <w:highlight w:val="none"/>
          <w:lang w:val="zh-CN" w:eastAsia="zh-CN" w:bidi="ar-SA"/>
        </w:rPr>
        <w:t>（</w:t>
      </w:r>
      <w:r>
        <w:rPr>
          <w:rFonts w:hint="eastAsia" w:ascii="Times New Roman" w:hAnsi="Times New Roman" w:eastAsia="宋体" w:cs="Times New Roman"/>
          <w:b/>
          <w:bCs/>
          <w:color w:val="auto"/>
          <w:kern w:val="2"/>
          <w:sz w:val="24"/>
          <w:szCs w:val="22"/>
          <w:highlight w:val="none"/>
          <w:lang w:val="en-US" w:eastAsia="zh-CN" w:bidi="ar-SA"/>
        </w:rPr>
        <w:t>2</w:t>
      </w:r>
      <w:r>
        <w:rPr>
          <w:rFonts w:hint="eastAsia" w:ascii="Times New Roman" w:hAnsi="Times New Roman" w:eastAsia="宋体" w:cs="Times New Roman"/>
          <w:b/>
          <w:bCs/>
          <w:color w:val="auto"/>
          <w:kern w:val="2"/>
          <w:sz w:val="24"/>
          <w:szCs w:val="22"/>
          <w:highlight w:val="none"/>
          <w:lang w:val="zh-CN" w:eastAsia="zh-CN" w:bidi="ar-SA"/>
        </w:rPr>
        <w:t>）非正常工况下地下水环境影响分析</w:t>
      </w:r>
    </w:p>
    <w:p w14:paraId="36558B13">
      <w:pPr>
        <w:adjustRightInd w:val="0"/>
        <w:snapToGrid w:val="0"/>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val="en-US" w:eastAsia="zh-CN"/>
        </w:rPr>
        <w:t>制氢工艺区</w:t>
      </w:r>
      <w:r>
        <w:rPr>
          <w:rFonts w:hint="eastAsia" w:ascii="Times New Roman" w:hAnsi="Times New Roman" w:eastAsia="宋体" w:cs="Times New Roman"/>
          <w:color w:val="auto"/>
          <w:sz w:val="24"/>
          <w:highlight w:val="none"/>
        </w:rPr>
        <w:t>经过水泥硬化，</w:t>
      </w:r>
      <w:r>
        <w:rPr>
          <w:rFonts w:hint="eastAsia" w:ascii="Times New Roman" w:hAnsi="Times New Roman" w:eastAsia="宋体" w:cs="Times New Roman"/>
          <w:color w:val="auto"/>
          <w:sz w:val="24"/>
          <w:highlight w:val="none"/>
          <w:lang w:val="en-US" w:eastAsia="zh-CN"/>
        </w:rPr>
        <w:t>储油罐区采取双层罐，站内</w:t>
      </w:r>
      <w:r>
        <w:rPr>
          <w:rFonts w:hint="eastAsia" w:ascii="Times New Roman" w:hAnsi="Times New Roman" w:eastAsia="宋体" w:cs="Times New Roman"/>
          <w:color w:val="auto"/>
          <w:sz w:val="24"/>
          <w:highlight w:val="none"/>
        </w:rPr>
        <w:t>采取分区防渗措施，突出保障重点防治区地下水不受污染。本项目主要考虑事故主要是：</w:t>
      </w:r>
      <w:r>
        <w:rPr>
          <w:rFonts w:hint="eastAsia" w:ascii="Times New Roman" w:hAnsi="Times New Roman" w:eastAsia="宋体" w:cs="Times New Roman"/>
          <w:color w:val="auto"/>
          <w:sz w:val="24"/>
          <w:highlight w:val="none"/>
          <w:lang w:val="en-US" w:eastAsia="zh-CN"/>
        </w:rPr>
        <w:t>隔油池破损、地下储罐防渗层破损、危废库防渗层破损</w:t>
      </w:r>
      <w:r>
        <w:rPr>
          <w:rFonts w:hint="eastAsia" w:ascii="Times New Roman" w:hAnsi="Times New Roman" w:eastAsia="宋体" w:cs="Times New Roman"/>
          <w:color w:val="auto"/>
          <w:sz w:val="24"/>
          <w:highlight w:val="none"/>
        </w:rPr>
        <w:t>发生泄漏，污染物将透过被破坏的防渗层</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天窗</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进入天然地层的包气带，污染地下水。</w:t>
      </w:r>
    </w:p>
    <w:p w14:paraId="77D714F9">
      <w:pPr>
        <w:widowControl w:val="0"/>
        <w:adjustRightInd w:val="0"/>
        <w:snapToGrid w:val="0"/>
        <w:spacing w:line="500" w:lineRule="exact"/>
        <w:ind w:firstLine="0" w:firstLineChars="0"/>
        <w:jc w:val="center"/>
        <w:rPr>
          <w:rFonts w:ascii="Times New Roman" w:hAnsi="Times New Roman" w:eastAsia="黑体" w:cs="Times New Roman"/>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表5.</w:t>
      </w:r>
      <w:r>
        <w:rPr>
          <w:rFonts w:hint="eastAsia" w:ascii="Times New Roman" w:hAnsi="Times New Roman" w:eastAsia="宋体" w:cs="Times New Roman"/>
          <w:b/>
          <w:bCs/>
          <w:color w:val="auto"/>
          <w:kern w:val="2"/>
          <w:sz w:val="24"/>
          <w:szCs w:val="22"/>
          <w:highlight w:val="none"/>
          <w:lang w:val="en-US" w:eastAsia="zh-CN" w:bidi="ar-SA"/>
        </w:rPr>
        <w:t>2.5-3</w:t>
      </w:r>
      <w:r>
        <w:rPr>
          <w:rFonts w:hint="default" w:ascii="Times New Roman" w:hAnsi="Times New Roman" w:eastAsia="宋体" w:cs="Times New Roman"/>
          <w:b/>
          <w:bCs/>
          <w:color w:val="auto"/>
          <w:kern w:val="2"/>
          <w:sz w:val="24"/>
          <w:szCs w:val="22"/>
          <w:highlight w:val="none"/>
          <w:lang w:val="en-US" w:eastAsia="zh-CN" w:bidi="ar-SA"/>
        </w:rPr>
        <w:t xml:space="preserve"> </w:t>
      </w:r>
      <w:r>
        <w:rPr>
          <w:rFonts w:hint="eastAsia" w:ascii="Times New Roman" w:hAnsi="Times New Roman" w:eastAsia="宋体" w:cs="Times New Roman"/>
          <w:b/>
          <w:bCs/>
          <w:color w:val="auto"/>
          <w:kern w:val="2"/>
          <w:sz w:val="24"/>
          <w:szCs w:val="22"/>
          <w:highlight w:val="none"/>
          <w:lang w:val="en-US" w:eastAsia="zh-CN" w:bidi="ar-SA"/>
        </w:rPr>
        <w:t xml:space="preserve"> </w:t>
      </w:r>
      <w:r>
        <w:rPr>
          <w:rFonts w:hint="default" w:ascii="Times New Roman" w:hAnsi="Times New Roman" w:eastAsia="宋体" w:cs="Times New Roman"/>
          <w:b/>
          <w:bCs/>
          <w:color w:val="auto"/>
          <w:kern w:val="2"/>
          <w:sz w:val="24"/>
          <w:szCs w:val="22"/>
          <w:highlight w:val="none"/>
          <w:lang w:val="en-US" w:eastAsia="zh-CN" w:bidi="ar-SA"/>
        </w:rPr>
        <w:t>非正常工况下项目对地下水环境影响</w:t>
      </w:r>
    </w:p>
    <w:tbl>
      <w:tblPr>
        <w:tblStyle w:val="49"/>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174"/>
        <w:gridCol w:w="1696"/>
        <w:gridCol w:w="1435"/>
        <w:gridCol w:w="4008"/>
      </w:tblGrid>
      <w:tr w14:paraId="2F497B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exact"/>
          <w:jc w:val="center"/>
        </w:trPr>
        <w:tc>
          <w:tcPr>
            <w:tcW w:w="706" w:type="pct"/>
            <w:tcBorders>
              <w:tl2br w:val="nil"/>
              <w:tr2bl w:val="nil"/>
            </w:tcBorders>
            <w:noWrap w:val="0"/>
            <w:vAlign w:val="center"/>
          </w:tcPr>
          <w:p w14:paraId="0DAFFF05">
            <w:pPr>
              <w:widowControl/>
              <w:adjustRightInd w:val="0"/>
              <w:snapToGrid w:val="0"/>
              <w:spacing w:line="240" w:lineRule="auto"/>
              <w:ind w:firstLine="0" w:firstLineChars="0"/>
              <w:jc w:val="center"/>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潜在污染源</w:t>
            </w:r>
          </w:p>
        </w:tc>
        <w:tc>
          <w:tcPr>
            <w:tcW w:w="1020" w:type="pct"/>
            <w:tcBorders>
              <w:tl2br w:val="nil"/>
              <w:tr2bl w:val="nil"/>
            </w:tcBorders>
            <w:noWrap w:val="0"/>
            <w:vAlign w:val="center"/>
          </w:tcPr>
          <w:p w14:paraId="217A0714">
            <w:pPr>
              <w:widowControl/>
              <w:adjustRightInd w:val="0"/>
              <w:snapToGrid w:val="0"/>
              <w:spacing w:line="240" w:lineRule="auto"/>
              <w:ind w:firstLine="0" w:firstLineChars="0"/>
              <w:jc w:val="center"/>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潜在污染途径</w:t>
            </w:r>
          </w:p>
        </w:tc>
        <w:tc>
          <w:tcPr>
            <w:tcW w:w="863" w:type="pct"/>
            <w:tcBorders>
              <w:tl2br w:val="nil"/>
              <w:tr2bl w:val="nil"/>
            </w:tcBorders>
            <w:noWrap w:val="0"/>
            <w:vAlign w:val="center"/>
          </w:tcPr>
          <w:p w14:paraId="687BB86D">
            <w:pPr>
              <w:widowControl/>
              <w:adjustRightInd w:val="0"/>
              <w:snapToGrid w:val="0"/>
              <w:spacing w:line="240" w:lineRule="auto"/>
              <w:ind w:firstLine="0" w:firstLineChars="0"/>
              <w:jc w:val="center"/>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主要污染物</w:t>
            </w:r>
          </w:p>
        </w:tc>
        <w:tc>
          <w:tcPr>
            <w:tcW w:w="2409" w:type="pct"/>
            <w:tcBorders>
              <w:tl2br w:val="nil"/>
              <w:tr2bl w:val="nil"/>
            </w:tcBorders>
            <w:noWrap w:val="0"/>
            <w:vAlign w:val="center"/>
          </w:tcPr>
          <w:p w14:paraId="08A326E6">
            <w:pPr>
              <w:widowControl/>
              <w:adjustRightInd w:val="0"/>
              <w:snapToGrid w:val="0"/>
              <w:spacing w:line="240" w:lineRule="auto"/>
              <w:ind w:firstLine="0" w:firstLineChars="0"/>
              <w:jc w:val="center"/>
              <w:rPr>
                <w:rFonts w:hint="default" w:ascii="Times New Roman" w:hAnsi="Times New Roman" w:eastAsia="宋体" w:cs="Times New Roman"/>
                <w:b/>
                <w:bCs/>
                <w:color w:val="auto"/>
                <w:kern w:val="2"/>
                <w:sz w:val="21"/>
                <w:szCs w:val="22"/>
                <w:highlight w:val="none"/>
                <w:lang w:val="en-US" w:eastAsia="zh-CN" w:bidi="ar-SA"/>
              </w:rPr>
            </w:pPr>
            <w:r>
              <w:rPr>
                <w:rFonts w:hint="default" w:ascii="Times New Roman" w:hAnsi="Times New Roman" w:eastAsia="宋体" w:cs="Times New Roman"/>
                <w:b/>
                <w:bCs/>
                <w:color w:val="auto"/>
                <w:kern w:val="2"/>
                <w:sz w:val="21"/>
                <w:szCs w:val="22"/>
                <w:highlight w:val="none"/>
                <w:lang w:val="en-US" w:eastAsia="zh-CN" w:bidi="ar-SA"/>
              </w:rPr>
              <w:t>影响分析</w:t>
            </w:r>
          </w:p>
        </w:tc>
      </w:tr>
      <w:tr w14:paraId="013B36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0" w:hRule="atLeast"/>
          <w:jc w:val="center"/>
        </w:trPr>
        <w:tc>
          <w:tcPr>
            <w:tcW w:w="706" w:type="pct"/>
            <w:tcBorders>
              <w:tl2br w:val="nil"/>
              <w:tr2bl w:val="nil"/>
            </w:tcBorders>
            <w:noWrap w:val="0"/>
            <w:vAlign w:val="center"/>
          </w:tcPr>
          <w:p w14:paraId="5A140B9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hint="eastAsia" w:ascii="Times New Roman" w:hAnsi="Times New Roman" w:eastAsia="宋体" w:cs="Times New Roman"/>
                <w:color w:val="auto"/>
                <w:kern w:val="2"/>
                <w:sz w:val="21"/>
                <w:szCs w:val="22"/>
                <w:highlight w:val="none"/>
                <w:lang w:val="en-US" w:eastAsia="zh-CN" w:bidi="ar-SA"/>
              </w:rPr>
              <w:t>隔油池</w:t>
            </w:r>
          </w:p>
        </w:tc>
        <w:tc>
          <w:tcPr>
            <w:tcW w:w="1020" w:type="pct"/>
            <w:tcBorders>
              <w:tl2br w:val="nil"/>
              <w:tr2bl w:val="nil"/>
            </w:tcBorders>
            <w:noWrap w:val="0"/>
            <w:vAlign w:val="center"/>
          </w:tcPr>
          <w:p w14:paraId="4833884D">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池底或者侧面出现裂缝导致污水发生泄漏</w:t>
            </w:r>
          </w:p>
        </w:tc>
        <w:tc>
          <w:tcPr>
            <w:tcW w:w="863" w:type="pct"/>
            <w:tcBorders>
              <w:tl2br w:val="nil"/>
              <w:tr2bl w:val="nil"/>
            </w:tcBorders>
            <w:noWrap w:val="0"/>
            <w:vAlign w:val="center"/>
          </w:tcPr>
          <w:p w14:paraId="70F147BA">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pH、</w:t>
            </w:r>
            <w:r>
              <w:rPr>
                <w:rFonts w:hint="eastAsia" w:ascii="Times New Roman" w:hAnsi="Times New Roman" w:eastAsia="宋体" w:cs="Times New Roman"/>
                <w:color w:val="auto"/>
                <w:kern w:val="2"/>
                <w:sz w:val="21"/>
                <w:szCs w:val="22"/>
                <w:highlight w:val="none"/>
                <w:lang w:val="en-US" w:eastAsia="zh-CN" w:bidi="ar-SA"/>
              </w:rPr>
              <w:t>COD、石油类</w:t>
            </w:r>
            <w:r>
              <w:rPr>
                <w:rFonts w:ascii="Times New Roman" w:hAnsi="Times New Roman" w:eastAsia="宋体" w:cs="Times New Roman"/>
                <w:color w:val="auto"/>
                <w:kern w:val="2"/>
                <w:sz w:val="21"/>
                <w:szCs w:val="22"/>
                <w:highlight w:val="none"/>
                <w:lang w:val="en-US" w:eastAsia="zh-CN" w:bidi="ar-SA"/>
              </w:rPr>
              <w:t>等</w:t>
            </w:r>
          </w:p>
        </w:tc>
        <w:tc>
          <w:tcPr>
            <w:tcW w:w="2409" w:type="pct"/>
            <w:tcBorders>
              <w:tl2br w:val="nil"/>
              <w:tr2bl w:val="nil"/>
            </w:tcBorders>
            <w:noWrap w:val="0"/>
            <w:vAlign w:val="center"/>
          </w:tcPr>
          <w:p w14:paraId="27D0A483">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池体泄漏具有隐蔽性，需要较长时间才能发现，且池中污水浓度较大，可能对地下水造成相当影响。</w:t>
            </w:r>
          </w:p>
        </w:tc>
      </w:tr>
      <w:tr w14:paraId="45458B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7" w:hRule="atLeast"/>
          <w:jc w:val="center"/>
        </w:trPr>
        <w:tc>
          <w:tcPr>
            <w:tcW w:w="706" w:type="pct"/>
            <w:tcBorders>
              <w:tl2br w:val="nil"/>
              <w:tr2bl w:val="nil"/>
            </w:tcBorders>
            <w:noWrap w:val="0"/>
            <w:vAlign w:val="center"/>
          </w:tcPr>
          <w:p w14:paraId="2EE7058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储罐</w:t>
            </w:r>
          </w:p>
        </w:tc>
        <w:tc>
          <w:tcPr>
            <w:tcW w:w="1020" w:type="pct"/>
            <w:tcBorders>
              <w:tl2br w:val="nil"/>
              <w:tr2bl w:val="nil"/>
            </w:tcBorders>
            <w:noWrap w:val="0"/>
            <w:vAlign w:val="center"/>
          </w:tcPr>
          <w:p w14:paraId="476ABFE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储罐发生泄漏，污染物渗入地下</w:t>
            </w:r>
          </w:p>
        </w:tc>
        <w:tc>
          <w:tcPr>
            <w:tcW w:w="863" w:type="pct"/>
            <w:tcBorders>
              <w:tl2br w:val="nil"/>
              <w:tr2bl w:val="nil"/>
            </w:tcBorders>
            <w:noWrap w:val="0"/>
            <w:vAlign w:val="center"/>
          </w:tcPr>
          <w:p w14:paraId="22FC9911">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pH、</w:t>
            </w:r>
            <w:r>
              <w:rPr>
                <w:rFonts w:hint="eastAsia" w:ascii="Times New Roman" w:hAnsi="Times New Roman" w:eastAsia="宋体" w:cs="Times New Roman"/>
                <w:color w:val="auto"/>
                <w:kern w:val="2"/>
                <w:sz w:val="21"/>
                <w:szCs w:val="22"/>
                <w:highlight w:val="none"/>
                <w:lang w:val="en-US" w:eastAsia="zh-CN" w:bidi="ar-SA"/>
              </w:rPr>
              <w:t>石油类</w:t>
            </w:r>
            <w:r>
              <w:rPr>
                <w:rFonts w:ascii="Times New Roman" w:hAnsi="Times New Roman" w:eastAsia="宋体" w:cs="Times New Roman"/>
                <w:color w:val="auto"/>
                <w:kern w:val="2"/>
                <w:sz w:val="21"/>
                <w:szCs w:val="22"/>
                <w:highlight w:val="none"/>
                <w:lang w:val="en-US" w:eastAsia="zh-CN" w:bidi="ar-SA"/>
              </w:rPr>
              <w:t>等</w:t>
            </w:r>
          </w:p>
        </w:tc>
        <w:tc>
          <w:tcPr>
            <w:tcW w:w="2409" w:type="pct"/>
            <w:tcBorders>
              <w:tl2br w:val="nil"/>
              <w:tr2bl w:val="nil"/>
            </w:tcBorders>
            <w:noWrap w:val="0"/>
            <w:vAlign w:val="center"/>
          </w:tcPr>
          <w:p w14:paraId="4C58BE9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储罐在地</w:t>
            </w:r>
            <w:r>
              <w:rPr>
                <w:rFonts w:hint="eastAsia" w:ascii="Times New Roman" w:hAnsi="Times New Roman" w:eastAsia="宋体" w:cs="Times New Roman"/>
                <w:color w:val="auto"/>
                <w:kern w:val="2"/>
                <w:sz w:val="21"/>
                <w:szCs w:val="22"/>
                <w:highlight w:val="none"/>
                <w:lang w:val="en-US" w:eastAsia="zh-CN" w:bidi="ar-SA"/>
              </w:rPr>
              <w:t>下</w:t>
            </w:r>
            <w:r>
              <w:rPr>
                <w:rFonts w:ascii="Times New Roman" w:hAnsi="Times New Roman" w:eastAsia="宋体" w:cs="Times New Roman"/>
                <w:color w:val="auto"/>
                <w:kern w:val="2"/>
                <w:sz w:val="21"/>
                <w:szCs w:val="22"/>
                <w:highlight w:val="none"/>
                <w:lang w:val="en-US" w:eastAsia="zh-CN" w:bidi="ar-SA"/>
              </w:rPr>
              <w:t>，</w:t>
            </w:r>
            <w:r>
              <w:rPr>
                <w:rFonts w:hint="eastAsia" w:ascii="Times New Roman" w:hAnsi="Times New Roman" w:eastAsia="宋体" w:cs="Times New Roman"/>
                <w:color w:val="auto"/>
                <w:kern w:val="2"/>
                <w:sz w:val="21"/>
                <w:szCs w:val="22"/>
                <w:highlight w:val="none"/>
                <w:lang w:val="en-US" w:eastAsia="zh-CN" w:bidi="ar-SA"/>
              </w:rPr>
              <w:t>地下储油罐采用FF材质双层罐，防腐性能极佳，基本杜绝锈蚀问题，同时双层罐标配泄漏检测仪，能够对夹层间隙进行24小时实时监控，</w:t>
            </w:r>
            <w:r>
              <w:rPr>
                <w:rFonts w:ascii="Times New Roman" w:hAnsi="Times New Roman" w:eastAsia="宋体" w:cs="Times New Roman"/>
                <w:color w:val="auto"/>
                <w:kern w:val="2"/>
                <w:sz w:val="21"/>
                <w:szCs w:val="22"/>
                <w:highlight w:val="none"/>
                <w:lang w:val="en-US" w:eastAsia="zh-CN" w:bidi="ar-SA"/>
              </w:rPr>
              <w:t>可能</w:t>
            </w:r>
            <w:r>
              <w:rPr>
                <w:rFonts w:hint="eastAsia" w:ascii="Times New Roman" w:hAnsi="Times New Roman" w:eastAsia="宋体" w:cs="Times New Roman"/>
                <w:color w:val="auto"/>
                <w:kern w:val="2"/>
                <w:sz w:val="21"/>
                <w:szCs w:val="22"/>
                <w:highlight w:val="none"/>
                <w:lang w:val="en-US" w:eastAsia="zh-CN" w:bidi="ar-SA"/>
              </w:rPr>
              <w:t>避免造成较大范围的地下水污染。</w:t>
            </w:r>
          </w:p>
        </w:tc>
      </w:tr>
      <w:tr w14:paraId="28EFDD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jc w:val="center"/>
        </w:trPr>
        <w:tc>
          <w:tcPr>
            <w:tcW w:w="706" w:type="pct"/>
            <w:tcBorders>
              <w:tl2br w:val="nil"/>
              <w:tr2bl w:val="nil"/>
            </w:tcBorders>
            <w:noWrap w:val="0"/>
            <w:vAlign w:val="center"/>
          </w:tcPr>
          <w:p w14:paraId="0323806C">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危险废物存放库</w:t>
            </w:r>
          </w:p>
        </w:tc>
        <w:tc>
          <w:tcPr>
            <w:tcW w:w="1020" w:type="pct"/>
            <w:tcBorders>
              <w:tl2br w:val="nil"/>
              <w:tr2bl w:val="nil"/>
            </w:tcBorders>
            <w:noWrap w:val="0"/>
            <w:vAlign w:val="center"/>
          </w:tcPr>
          <w:p w14:paraId="4B176CEF">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地面出现裂缝，导致有毒有害物质进入地下造成地下水污染</w:t>
            </w:r>
          </w:p>
        </w:tc>
        <w:tc>
          <w:tcPr>
            <w:tcW w:w="863" w:type="pct"/>
            <w:tcBorders>
              <w:tl2br w:val="nil"/>
              <w:tr2bl w:val="nil"/>
            </w:tcBorders>
            <w:noWrap w:val="0"/>
            <w:vAlign w:val="center"/>
          </w:tcPr>
          <w:p w14:paraId="0CD09F97">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pH、</w:t>
            </w:r>
            <w:r>
              <w:rPr>
                <w:rFonts w:hint="eastAsia" w:ascii="Times New Roman" w:hAnsi="Times New Roman" w:eastAsia="宋体" w:cs="Times New Roman"/>
                <w:color w:val="auto"/>
                <w:kern w:val="2"/>
                <w:sz w:val="21"/>
                <w:szCs w:val="22"/>
                <w:highlight w:val="none"/>
                <w:lang w:val="en-US" w:eastAsia="zh-CN" w:bidi="ar-SA"/>
              </w:rPr>
              <w:t>石油类</w:t>
            </w:r>
            <w:r>
              <w:rPr>
                <w:rFonts w:ascii="Times New Roman" w:hAnsi="Times New Roman" w:eastAsia="宋体" w:cs="Times New Roman"/>
                <w:color w:val="auto"/>
                <w:kern w:val="2"/>
                <w:sz w:val="21"/>
                <w:szCs w:val="22"/>
                <w:highlight w:val="none"/>
                <w:lang w:val="en-US" w:eastAsia="zh-CN" w:bidi="ar-SA"/>
              </w:rPr>
              <w:t>等</w:t>
            </w:r>
          </w:p>
        </w:tc>
        <w:tc>
          <w:tcPr>
            <w:tcW w:w="2409" w:type="pct"/>
            <w:tcBorders>
              <w:tl2br w:val="nil"/>
              <w:tr2bl w:val="nil"/>
            </w:tcBorders>
            <w:noWrap w:val="0"/>
            <w:vAlign w:val="center"/>
          </w:tcPr>
          <w:p w14:paraId="5E77E11B">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ascii="Times New Roman" w:hAnsi="Times New Roman" w:eastAsia="宋体" w:cs="Times New Roman"/>
                <w:color w:val="auto"/>
                <w:kern w:val="2"/>
                <w:sz w:val="21"/>
                <w:szCs w:val="22"/>
                <w:highlight w:val="none"/>
                <w:lang w:val="en-US" w:eastAsia="zh-CN" w:bidi="ar-SA"/>
              </w:rPr>
              <w:t>危险废物存放库所在区域地面按《危险废物贮存污染控制标准》要求作好防渗措施，且危险废物会定期运走，容易发现可能存在的泄漏，并及时阻断污染源，避免造成较大范围的地下水污染。</w:t>
            </w:r>
          </w:p>
        </w:tc>
      </w:tr>
    </w:tbl>
    <w:p w14:paraId="5782D191">
      <w:pPr>
        <w:adjustRightInd w:val="0"/>
        <w:snapToGrid w:val="0"/>
        <w:spacing w:line="360" w:lineRule="auto"/>
        <w:ind w:firstLine="480" w:firstLineChars="200"/>
        <w:rPr>
          <w:rFonts w:hint="eastAsia" w:ascii="Times New Roman" w:hAnsi="Times New Roman" w:eastAsia="宋体" w:cs="Times New Roman"/>
          <w:color w:val="auto"/>
          <w:sz w:val="24"/>
          <w:highlight w:val="none"/>
          <w:lang w:val="zh-CN"/>
        </w:rPr>
      </w:pPr>
      <w:r>
        <w:rPr>
          <w:rFonts w:hint="eastAsia" w:ascii="Times New Roman" w:hAnsi="Times New Roman" w:eastAsia="宋体" w:cs="Times New Roman"/>
          <w:color w:val="auto"/>
          <w:sz w:val="24"/>
          <w:highlight w:val="none"/>
          <w:lang w:val="zh-CN"/>
        </w:rPr>
        <w:t>（1）预测因子</w:t>
      </w:r>
    </w:p>
    <w:p w14:paraId="55A2B4A7">
      <w:pPr>
        <w:pStyle w:val="571"/>
        <w:ind w:firstLine="480"/>
        <w:rPr>
          <w:color w:val="auto"/>
          <w:highlight w:val="none"/>
        </w:rPr>
      </w:pPr>
      <w:r>
        <w:rPr>
          <w:rFonts w:hint="eastAsia" w:ascii="Times New Roman" w:hAnsi="Times New Roman" w:eastAsia="宋体" w:cs="Times New Roman"/>
          <w:color w:val="auto"/>
          <w:sz w:val="24"/>
          <w:highlight w:val="none"/>
          <w:lang w:val="zh-CN"/>
        </w:rPr>
        <w:t>根据项目的具体情况，由于项目</w:t>
      </w:r>
      <w:r>
        <w:rPr>
          <w:rFonts w:hint="eastAsia" w:ascii="Times New Roman" w:hAnsi="Times New Roman" w:eastAsia="宋体" w:cs="Times New Roman"/>
          <w:color w:val="auto"/>
          <w:sz w:val="24"/>
          <w:highlight w:val="none"/>
          <w:lang w:val="en-US" w:eastAsia="zh-CN"/>
        </w:rPr>
        <w:t>生产加工涉及物料为沼气，气体泄漏逸散，基本对地下水直接影响较小。本项目地下储油罐采用FF材质双层罐，防腐性能极佳，基本杜绝锈蚀问题，同时双层罐标配泄漏检测仪，能够对夹层间隙进行24小时实时监控，</w:t>
      </w:r>
      <w:r>
        <w:rPr>
          <w:rFonts w:hint="eastAsia" w:ascii="Times New Roman" w:hAnsi="Times New Roman" w:eastAsia="宋体" w:cs="Times New Roman"/>
          <w:color w:val="auto"/>
          <w:sz w:val="24"/>
          <w:highlight w:val="none"/>
          <w:lang w:val="zh-CN"/>
        </w:rPr>
        <w:t>故本次环评以</w:t>
      </w:r>
      <w:r>
        <w:rPr>
          <w:rFonts w:hint="eastAsia" w:ascii="Times New Roman" w:hAnsi="Times New Roman" w:eastAsia="宋体" w:cs="Times New Roman"/>
          <w:color w:val="auto"/>
          <w:sz w:val="24"/>
          <w:highlight w:val="none"/>
          <w:lang w:val="en-US" w:eastAsia="zh-CN"/>
        </w:rPr>
        <w:t>隔油池破损石油类污染物</w:t>
      </w:r>
      <w:r>
        <w:rPr>
          <w:rFonts w:hint="eastAsia" w:ascii="Times New Roman" w:hAnsi="Times New Roman" w:eastAsia="宋体" w:cs="Times New Roman"/>
          <w:color w:val="auto"/>
          <w:sz w:val="24"/>
          <w:highlight w:val="none"/>
          <w:lang w:val="zh-CN"/>
        </w:rPr>
        <w:t>物质泄漏防渗层断裂时的下渗进行地下水水质影响分析，</w:t>
      </w:r>
      <w:r>
        <w:rPr>
          <w:rFonts w:hint="eastAsia"/>
          <w:color w:val="auto"/>
          <w:highlight w:val="none"/>
        </w:rPr>
        <w:t>预测因子</w:t>
      </w:r>
      <w:r>
        <w:rPr>
          <w:rFonts w:hint="eastAsia"/>
          <w:color w:val="auto"/>
          <w:highlight w:val="none"/>
          <w:lang w:val="en-US" w:eastAsia="zh-CN"/>
        </w:rPr>
        <w:t>选取</w:t>
      </w:r>
      <w:r>
        <w:rPr>
          <w:rFonts w:hint="eastAsia" w:ascii="Times New Roman" w:hAnsi="Times New Roman" w:eastAsia="宋体" w:cs="Times New Roman"/>
          <w:color w:val="auto"/>
          <w:sz w:val="24"/>
          <w:highlight w:val="none"/>
          <w:lang w:val="en-US" w:eastAsia="zh-CN"/>
        </w:rPr>
        <w:t>石油类</w:t>
      </w:r>
      <w:r>
        <w:rPr>
          <w:rFonts w:hint="eastAsia"/>
          <w:color w:val="auto"/>
          <w:highlight w:val="none"/>
        </w:rPr>
        <w:t>。</w:t>
      </w:r>
    </w:p>
    <w:p w14:paraId="5FA11C23">
      <w:pPr>
        <w:keepNext w:val="0"/>
        <w:keepLines w:val="0"/>
        <w:pageBreakBefore w:val="0"/>
        <w:widowControl w:val="0"/>
        <w:kinsoku/>
        <w:wordWrap/>
        <w:overflowPunct/>
        <w:topLinePunct w:val="0"/>
        <w:autoSpaceDE/>
        <w:autoSpaceDN/>
        <w:bidi w:val="0"/>
        <w:adjustRightInd w:val="0"/>
        <w:snapToGrid w:val="0"/>
        <w:spacing w:line="500" w:lineRule="exact"/>
        <w:ind w:firstLine="0" w:firstLineChars="0"/>
        <w:jc w:val="center"/>
        <w:textAlignment w:val="auto"/>
        <w:rPr>
          <w:rFonts w:ascii="Times New Roman" w:hAnsi="Times New Roman" w:eastAsia="黑体" w:cs="Times New Roman"/>
          <w:color w:val="auto"/>
          <w:kern w:val="2"/>
          <w:sz w:val="24"/>
          <w:szCs w:val="22"/>
          <w:highlight w:val="none"/>
          <w:lang w:val="en-US" w:eastAsia="zh-CN" w:bidi="ar-SA"/>
        </w:rPr>
      </w:pPr>
      <w:r>
        <w:rPr>
          <w:rFonts w:hint="default" w:ascii="Times New Roman" w:hAnsi="Times New Roman" w:eastAsia="宋体" w:cs="Times New Roman"/>
          <w:b/>
          <w:bCs/>
          <w:color w:val="auto"/>
          <w:kern w:val="2"/>
          <w:sz w:val="24"/>
          <w:szCs w:val="22"/>
          <w:highlight w:val="none"/>
          <w:lang w:val="en-US" w:eastAsia="zh-CN" w:bidi="ar-SA"/>
        </w:rPr>
        <w:t>表5.</w:t>
      </w:r>
      <w:r>
        <w:rPr>
          <w:rFonts w:hint="eastAsia" w:ascii="Times New Roman" w:hAnsi="Times New Roman" w:eastAsia="宋体" w:cs="Times New Roman"/>
          <w:b/>
          <w:bCs/>
          <w:color w:val="auto"/>
          <w:kern w:val="2"/>
          <w:sz w:val="24"/>
          <w:szCs w:val="22"/>
          <w:highlight w:val="none"/>
          <w:lang w:val="en-US" w:eastAsia="zh-CN" w:bidi="ar-SA"/>
        </w:rPr>
        <w:t>2.5-4</w:t>
      </w:r>
      <w:r>
        <w:rPr>
          <w:rFonts w:hint="default" w:ascii="Times New Roman" w:hAnsi="Times New Roman" w:eastAsia="宋体" w:cs="Times New Roman"/>
          <w:b/>
          <w:bCs/>
          <w:color w:val="auto"/>
          <w:kern w:val="2"/>
          <w:sz w:val="24"/>
          <w:szCs w:val="22"/>
          <w:highlight w:val="none"/>
          <w:lang w:val="en-US" w:eastAsia="zh-CN" w:bidi="ar-SA"/>
        </w:rPr>
        <w:t xml:space="preserve"> </w:t>
      </w:r>
      <w:r>
        <w:rPr>
          <w:rFonts w:hint="eastAsia" w:cs="Times New Roman"/>
          <w:b/>
          <w:bCs/>
          <w:color w:val="auto"/>
          <w:kern w:val="2"/>
          <w:sz w:val="24"/>
          <w:szCs w:val="22"/>
          <w:highlight w:val="none"/>
          <w:lang w:val="en-US" w:eastAsia="zh-CN" w:bidi="ar-SA"/>
        </w:rPr>
        <w:t xml:space="preserve"> </w:t>
      </w:r>
      <w:r>
        <w:rPr>
          <w:rFonts w:hint="default" w:ascii="Times New Roman" w:hAnsi="Times New Roman" w:eastAsia="宋体" w:cs="Times New Roman"/>
          <w:b/>
          <w:bCs/>
          <w:color w:val="auto"/>
          <w:kern w:val="2"/>
          <w:sz w:val="24"/>
          <w:szCs w:val="22"/>
          <w:highlight w:val="none"/>
          <w:lang w:val="en-US" w:eastAsia="zh-CN" w:bidi="ar-SA"/>
        </w:rPr>
        <w:t>非正常工况下项目对地下水环境影响</w:t>
      </w:r>
    </w:p>
    <w:tbl>
      <w:tblPr>
        <w:tblStyle w:val="49"/>
        <w:tblW w:w="504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08"/>
        <w:gridCol w:w="2353"/>
        <w:gridCol w:w="4425"/>
      </w:tblGrid>
      <w:tr w14:paraId="52B658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1605" w:type="dxa"/>
            <w:tcBorders>
              <w:tl2br w:val="nil"/>
              <w:tr2bl w:val="nil"/>
            </w:tcBorders>
            <w:noWrap w:val="0"/>
            <w:vAlign w:val="center"/>
          </w:tcPr>
          <w:p w14:paraId="78FE26A6">
            <w:pPr>
              <w:widowControl/>
              <w:adjustRightInd w:val="0"/>
              <w:snapToGrid w:val="0"/>
              <w:spacing w:line="240" w:lineRule="auto"/>
              <w:ind w:firstLine="0" w:firstLineChars="0"/>
              <w:jc w:val="center"/>
              <w:rPr>
                <w:rFonts w:hint="default" w:ascii="Times New Roman" w:hAnsi="Times New Roman" w:eastAsia="宋体" w:cs="Times New Roman"/>
                <w:b/>
                <w:bCs/>
                <w:color w:val="auto"/>
                <w:kern w:val="2"/>
                <w:sz w:val="21"/>
                <w:szCs w:val="22"/>
                <w:highlight w:val="none"/>
                <w:lang w:val="en-US" w:eastAsia="zh-CN" w:bidi="ar-SA"/>
              </w:rPr>
            </w:pPr>
            <w:r>
              <w:rPr>
                <w:rFonts w:hint="eastAsia" w:ascii="Times New Roman" w:hAnsi="Times New Roman" w:eastAsia="宋体" w:cs="Times New Roman"/>
                <w:b/>
                <w:bCs/>
                <w:color w:val="auto"/>
                <w:kern w:val="2"/>
                <w:sz w:val="21"/>
                <w:szCs w:val="22"/>
                <w:highlight w:val="none"/>
                <w:lang w:val="en-US" w:eastAsia="zh-CN" w:bidi="ar-SA"/>
              </w:rPr>
              <w:t>污染源所在位置</w:t>
            </w:r>
          </w:p>
        </w:tc>
        <w:tc>
          <w:tcPr>
            <w:tcW w:w="2348" w:type="dxa"/>
            <w:tcBorders>
              <w:tl2br w:val="nil"/>
              <w:tr2bl w:val="nil"/>
            </w:tcBorders>
            <w:noWrap w:val="0"/>
            <w:vAlign w:val="center"/>
          </w:tcPr>
          <w:p w14:paraId="614AB294">
            <w:pPr>
              <w:widowControl/>
              <w:adjustRightInd w:val="0"/>
              <w:snapToGrid w:val="0"/>
              <w:spacing w:line="240" w:lineRule="auto"/>
              <w:ind w:firstLine="0" w:firstLineChars="0"/>
              <w:jc w:val="center"/>
              <w:rPr>
                <w:rFonts w:ascii="Times New Roman" w:hAnsi="Times New Roman" w:eastAsia="宋体" w:cs="Times New Roman"/>
                <w:b/>
                <w:bCs/>
                <w:color w:val="auto"/>
                <w:kern w:val="2"/>
                <w:sz w:val="21"/>
                <w:szCs w:val="22"/>
                <w:highlight w:val="none"/>
                <w:lang w:val="en-US" w:eastAsia="zh-CN" w:bidi="ar-SA"/>
              </w:rPr>
            </w:pPr>
            <w:r>
              <w:rPr>
                <w:rFonts w:hint="eastAsia" w:ascii="Times New Roman" w:hAnsi="Times New Roman" w:eastAsia="宋体" w:cs="Times New Roman"/>
                <w:b/>
                <w:bCs/>
                <w:color w:val="auto"/>
                <w:kern w:val="2"/>
                <w:sz w:val="21"/>
                <w:szCs w:val="22"/>
                <w:highlight w:val="none"/>
                <w:lang w:val="en-US" w:eastAsia="zh-CN" w:bidi="ar-SA"/>
              </w:rPr>
              <w:t>预测因子</w:t>
            </w:r>
          </w:p>
        </w:tc>
        <w:tc>
          <w:tcPr>
            <w:tcW w:w="4417" w:type="dxa"/>
            <w:tcBorders>
              <w:tl2br w:val="nil"/>
              <w:tr2bl w:val="nil"/>
            </w:tcBorders>
            <w:noWrap w:val="0"/>
            <w:vAlign w:val="center"/>
          </w:tcPr>
          <w:p w14:paraId="32ECE840">
            <w:pPr>
              <w:widowControl/>
              <w:adjustRightInd w:val="0"/>
              <w:snapToGrid w:val="0"/>
              <w:spacing w:line="240" w:lineRule="auto"/>
              <w:ind w:firstLine="0" w:firstLineChars="0"/>
              <w:jc w:val="center"/>
              <w:rPr>
                <w:rFonts w:hint="default" w:ascii="Times New Roman" w:hAnsi="Times New Roman" w:eastAsia="宋体" w:cs="Times New Roman"/>
                <w:b/>
                <w:bCs/>
                <w:color w:val="auto"/>
                <w:kern w:val="2"/>
                <w:sz w:val="21"/>
                <w:szCs w:val="22"/>
                <w:highlight w:val="none"/>
                <w:lang w:val="en-US" w:eastAsia="zh-CN" w:bidi="ar-SA"/>
              </w:rPr>
            </w:pPr>
            <w:r>
              <w:rPr>
                <w:rFonts w:hint="eastAsia" w:ascii="Times New Roman" w:hAnsi="Times New Roman" w:eastAsia="宋体" w:cs="Times New Roman"/>
                <w:b/>
                <w:bCs/>
                <w:color w:val="auto"/>
                <w:kern w:val="2"/>
                <w:sz w:val="21"/>
                <w:szCs w:val="22"/>
                <w:highlight w:val="none"/>
                <w:lang w:val="en-US" w:eastAsia="zh-CN" w:bidi="ar-SA"/>
              </w:rPr>
              <w:t>污染物浓度</w:t>
            </w:r>
          </w:p>
        </w:tc>
      </w:tr>
      <w:tr w14:paraId="31CC10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exact"/>
          <w:jc w:val="center"/>
        </w:trPr>
        <w:tc>
          <w:tcPr>
            <w:tcW w:w="1605" w:type="dxa"/>
            <w:tcBorders>
              <w:tl2br w:val="nil"/>
              <w:tr2bl w:val="nil"/>
            </w:tcBorders>
            <w:noWrap w:val="0"/>
            <w:vAlign w:val="center"/>
          </w:tcPr>
          <w:p w14:paraId="5D4531B9">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ascii="Times New Roman" w:hAnsi="Times New Roman" w:eastAsia="宋体" w:cs="Times New Roman"/>
                <w:color w:val="auto"/>
                <w:kern w:val="2"/>
                <w:sz w:val="21"/>
                <w:szCs w:val="22"/>
                <w:highlight w:val="none"/>
                <w:lang w:val="en-US" w:eastAsia="zh-CN" w:bidi="ar-SA"/>
              </w:rPr>
              <w:t>隔油池</w:t>
            </w:r>
          </w:p>
        </w:tc>
        <w:tc>
          <w:tcPr>
            <w:tcW w:w="2348" w:type="dxa"/>
            <w:tcBorders>
              <w:tl2br w:val="nil"/>
              <w:tr2bl w:val="nil"/>
            </w:tcBorders>
            <w:noWrap w:val="0"/>
            <w:vAlign w:val="center"/>
          </w:tcPr>
          <w:p w14:paraId="0431F5E3">
            <w:pPr>
              <w:widowControl/>
              <w:adjustRightInd w:val="0"/>
              <w:snapToGrid w:val="0"/>
              <w:spacing w:line="240" w:lineRule="auto"/>
              <w:ind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ascii="Times New Roman" w:hAnsi="Times New Roman" w:eastAsia="宋体" w:cs="Times New Roman"/>
                <w:color w:val="auto"/>
                <w:kern w:val="2"/>
                <w:sz w:val="21"/>
                <w:szCs w:val="22"/>
                <w:highlight w:val="none"/>
                <w:lang w:val="en-US" w:eastAsia="zh-CN" w:bidi="ar-SA"/>
              </w:rPr>
              <w:t>石油类</w:t>
            </w:r>
          </w:p>
        </w:tc>
        <w:tc>
          <w:tcPr>
            <w:tcW w:w="4417" w:type="dxa"/>
            <w:tcBorders>
              <w:tl2br w:val="nil"/>
              <w:tr2bl w:val="nil"/>
            </w:tcBorders>
            <w:noWrap w:val="0"/>
            <w:vAlign w:val="center"/>
          </w:tcPr>
          <w:p w14:paraId="77F5792E">
            <w:pPr>
              <w:widowControl/>
              <w:adjustRightInd w:val="0"/>
              <w:snapToGrid w:val="0"/>
              <w:spacing w:line="240" w:lineRule="auto"/>
              <w:ind w:firstLine="0" w:firstLineChars="0"/>
              <w:jc w:val="center"/>
              <w:rPr>
                <w:rFonts w:ascii="Times New Roman" w:hAnsi="Times New Roman" w:eastAsia="宋体" w:cs="Times New Roman"/>
                <w:color w:val="auto"/>
                <w:kern w:val="2"/>
                <w:sz w:val="21"/>
                <w:szCs w:val="22"/>
                <w:highlight w:val="none"/>
                <w:lang w:val="en-US" w:eastAsia="zh-CN" w:bidi="ar-SA"/>
              </w:rPr>
            </w:pPr>
            <w:r>
              <w:rPr>
                <w:rFonts w:hint="eastAsia" w:ascii="Times New Roman" w:hAnsi="Times New Roman" w:eastAsia="宋体" w:cs="Times New Roman"/>
                <w:color w:val="auto"/>
                <w:kern w:val="2"/>
                <w:sz w:val="21"/>
                <w:szCs w:val="22"/>
                <w:highlight w:val="none"/>
                <w:lang w:val="en-US" w:eastAsia="zh-CN" w:bidi="ar-SA"/>
              </w:rPr>
              <w:t>25mg/L</w:t>
            </w:r>
          </w:p>
        </w:tc>
      </w:tr>
    </w:tbl>
    <w:p w14:paraId="26573F63">
      <w:pPr>
        <w:adjustRightInd w:val="0"/>
        <w:snapToGrid w:val="0"/>
        <w:spacing w:line="360" w:lineRule="auto"/>
        <w:ind w:firstLine="480" w:firstLineChars="200"/>
        <w:rPr>
          <w:rFonts w:hint="eastAsia" w:ascii="Times New Roman" w:hAnsi="Times New Roman" w:eastAsia="宋体" w:cs="Times New Roman"/>
          <w:color w:val="auto"/>
          <w:sz w:val="24"/>
          <w:highlight w:val="none"/>
          <w:lang w:val="zh-CN" w:eastAsia="zh-CN"/>
        </w:rPr>
      </w:pPr>
      <w:r>
        <w:rPr>
          <w:rFonts w:hint="eastAsia" w:ascii="Times New Roman" w:hAnsi="Times New Roman" w:eastAsia="宋体" w:cs="Times New Roman"/>
          <w:color w:val="auto"/>
          <w:sz w:val="24"/>
          <w:highlight w:val="none"/>
          <w:lang w:val="zh-CN" w:eastAsia="zh-CN"/>
        </w:rPr>
        <w:t>（</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val="zh-CN" w:eastAsia="zh-CN"/>
        </w:rPr>
        <w:t>）预测时段</w:t>
      </w:r>
    </w:p>
    <w:p w14:paraId="71376671">
      <w:pPr>
        <w:adjustRightInd w:val="0"/>
        <w:snapToGrid w:val="0"/>
        <w:spacing w:line="360" w:lineRule="auto"/>
        <w:ind w:firstLine="480" w:firstLineChars="200"/>
        <w:rPr>
          <w:rFonts w:hint="eastAsia" w:ascii="Times New Roman" w:hAnsi="Times New Roman" w:eastAsia="宋体" w:cs="Times New Roman"/>
          <w:color w:val="auto"/>
          <w:sz w:val="24"/>
          <w:highlight w:val="none"/>
          <w:lang w:val="zh-CN" w:eastAsia="zh-CN"/>
        </w:rPr>
      </w:pPr>
      <w:r>
        <w:rPr>
          <w:rFonts w:hint="eastAsia" w:ascii="Times New Roman" w:hAnsi="Times New Roman" w:eastAsia="宋体" w:cs="Times New Roman"/>
          <w:color w:val="auto"/>
          <w:sz w:val="24"/>
          <w:highlight w:val="none"/>
          <w:lang w:val="zh-CN" w:eastAsia="zh-CN"/>
        </w:rPr>
        <w:t>按100天、1000天、3000天下游厂界及地下水敏感点的扩散范围进行预测。</w:t>
      </w:r>
    </w:p>
    <w:p w14:paraId="097B2CA7">
      <w:pPr>
        <w:adjustRightInd w:val="0"/>
        <w:snapToGrid w:val="0"/>
        <w:spacing w:line="360" w:lineRule="auto"/>
        <w:ind w:firstLine="480" w:firstLineChars="200"/>
        <w:rPr>
          <w:rFonts w:hint="eastAsia" w:ascii="Times New Roman" w:hAnsi="Times New Roman" w:eastAsia="宋体" w:cs="Times New Roman"/>
          <w:color w:val="auto"/>
          <w:sz w:val="24"/>
          <w:highlight w:val="none"/>
          <w:lang w:val="zh-CN" w:eastAsia="zh-CN"/>
        </w:rPr>
      </w:pPr>
      <w:r>
        <w:rPr>
          <w:rFonts w:hint="eastAsia" w:ascii="Times New Roman" w:hAnsi="Times New Roman" w:eastAsia="宋体" w:cs="Times New Roman"/>
          <w:color w:val="auto"/>
          <w:sz w:val="24"/>
          <w:highlight w:val="none"/>
          <w:lang w:val="zh-CN" w:eastAsia="zh-CN"/>
        </w:rPr>
        <w:t>（</w:t>
      </w:r>
      <w:r>
        <w:rPr>
          <w:rFonts w:hint="eastAsia"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val="zh-CN" w:eastAsia="zh-CN"/>
        </w:rPr>
        <w:t>）预测模型</w:t>
      </w:r>
    </w:p>
    <w:p w14:paraId="5C56A9B2">
      <w:pPr>
        <w:adjustRightInd w:val="0"/>
        <w:snapToGrid w:val="0"/>
        <w:spacing w:line="360" w:lineRule="auto"/>
        <w:ind w:firstLine="480" w:firstLineChars="200"/>
        <w:rPr>
          <w:rFonts w:hint="eastAsia" w:ascii="Times New Roman" w:hAnsi="Times New Roman" w:eastAsia="宋体" w:cs="Times New Roman"/>
          <w:color w:val="auto"/>
          <w:sz w:val="24"/>
          <w:highlight w:val="none"/>
          <w:lang w:val="zh-CN" w:eastAsia="zh-CN"/>
        </w:rPr>
      </w:pPr>
      <w:r>
        <w:rPr>
          <w:rFonts w:hint="eastAsia" w:ascii="Times New Roman" w:hAnsi="Times New Roman" w:eastAsia="宋体" w:cs="Times New Roman"/>
          <w:color w:val="auto"/>
          <w:sz w:val="24"/>
          <w:highlight w:val="none"/>
          <w:lang w:val="zh-CN" w:eastAsia="zh-CN"/>
        </w:rPr>
        <w:t>预测采用《环境影响评价技术导则地下水环境》</w:t>
      </w:r>
      <w:r>
        <w:rPr>
          <w:rFonts w:hint="eastAsia" w:cs="Times New Roman"/>
          <w:color w:val="auto"/>
          <w:sz w:val="24"/>
          <w:highlight w:val="none"/>
          <w:lang w:val="zh-CN" w:eastAsia="zh-CN"/>
        </w:rPr>
        <w:t>（</w:t>
      </w:r>
      <w:r>
        <w:rPr>
          <w:rFonts w:hint="eastAsia" w:ascii="Times New Roman" w:hAnsi="Times New Roman" w:eastAsia="宋体" w:cs="Times New Roman"/>
          <w:color w:val="auto"/>
          <w:sz w:val="24"/>
          <w:highlight w:val="none"/>
          <w:lang w:val="zh-CN" w:eastAsia="zh-CN"/>
        </w:rPr>
        <w:t>HJ610-2016</w:t>
      </w:r>
      <w:r>
        <w:rPr>
          <w:rFonts w:hint="eastAsia" w:cs="Times New Roman"/>
          <w:color w:val="auto"/>
          <w:sz w:val="24"/>
          <w:highlight w:val="none"/>
          <w:lang w:val="zh-CN" w:eastAsia="zh-CN"/>
        </w:rPr>
        <w:t>）</w:t>
      </w:r>
      <w:r>
        <w:rPr>
          <w:rFonts w:hint="eastAsia" w:ascii="Times New Roman" w:hAnsi="Times New Roman" w:eastAsia="宋体" w:cs="Times New Roman"/>
          <w:color w:val="auto"/>
          <w:sz w:val="24"/>
          <w:highlight w:val="none"/>
          <w:lang w:val="zh-CN" w:eastAsia="zh-CN"/>
        </w:rPr>
        <w:t>附录D推荐的一维稳定流动一维水动力弥散问题，概化条件为</w:t>
      </w:r>
      <w:r>
        <w:rPr>
          <w:rFonts w:hint="eastAsia" w:cs="Times New Roman"/>
          <w:color w:val="auto"/>
          <w:sz w:val="24"/>
          <w:highlight w:val="none"/>
          <w:lang w:val="zh-CN" w:eastAsia="zh-CN"/>
        </w:rPr>
        <w:t>“</w:t>
      </w:r>
      <w:r>
        <w:rPr>
          <w:rFonts w:hint="eastAsia" w:ascii="Times New Roman" w:hAnsi="Times New Roman" w:eastAsia="宋体" w:cs="Times New Roman"/>
          <w:color w:val="auto"/>
          <w:sz w:val="24"/>
          <w:highlight w:val="none"/>
          <w:lang w:val="zh-CN" w:eastAsia="zh-CN"/>
        </w:rPr>
        <w:t>一维半无限长多孔介质柱体，一端为定浓度边界</w:t>
      </w:r>
      <w:r>
        <w:rPr>
          <w:rFonts w:hint="eastAsia" w:cs="Times New Roman"/>
          <w:color w:val="auto"/>
          <w:sz w:val="24"/>
          <w:highlight w:val="none"/>
          <w:lang w:val="zh-CN" w:eastAsia="zh-CN"/>
        </w:rPr>
        <w:t>”</w:t>
      </w:r>
      <w:r>
        <w:rPr>
          <w:rFonts w:hint="eastAsia" w:ascii="Times New Roman" w:hAnsi="Times New Roman" w:eastAsia="宋体" w:cs="Times New Roman"/>
          <w:color w:val="auto"/>
          <w:sz w:val="24"/>
          <w:highlight w:val="none"/>
          <w:lang w:val="zh-CN" w:eastAsia="zh-CN"/>
        </w:rPr>
        <w:t>。其解析解为：</w:t>
      </w:r>
    </w:p>
    <w:p w14:paraId="6911498E">
      <w:pPr>
        <w:bidi w:val="0"/>
        <w:jc w:val="center"/>
        <w:rPr>
          <w:rFonts w:hint="eastAsia"/>
          <w:color w:val="auto"/>
          <w:highlight w:val="none"/>
          <w:lang w:val="zh-CN" w:eastAsia="zh-CN"/>
        </w:rPr>
      </w:pPr>
      <w:r>
        <w:rPr>
          <w:color w:val="auto"/>
          <w:highlight w:val="none"/>
        </w:rPr>
        <w:drawing>
          <wp:inline distT="0" distB="0" distL="114300" distR="114300">
            <wp:extent cx="3805555" cy="753110"/>
            <wp:effectExtent l="0" t="0" r="4445" b="8890"/>
            <wp:docPr id="589"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284"/>
                    <pic:cNvPicPr>
                      <a:picLocks noChangeAspect="1"/>
                    </pic:cNvPicPr>
                  </pic:nvPicPr>
                  <pic:blipFill>
                    <a:blip r:embed="rId82"/>
                    <a:stretch>
                      <a:fillRect/>
                    </a:stretch>
                  </pic:blipFill>
                  <pic:spPr>
                    <a:xfrm>
                      <a:off x="0" y="0"/>
                      <a:ext cx="3805555" cy="753110"/>
                    </a:xfrm>
                    <a:prstGeom prst="rect">
                      <a:avLst/>
                    </a:prstGeom>
                    <a:noFill/>
                    <a:ln>
                      <a:noFill/>
                    </a:ln>
                  </pic:spPr>
                </pic:pic>
              </a:graphicData>
            </a:graphic>
          </wp:inline>
        </w:drawing>
      </w:r>
    </w:p>
    <w:p w14:paraId="5A683B3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default" w:ascii="Times New Roman" w:hAnsi="Times New Roman" w:eastAsia="宋体" w:cs="Times New Roman"/>
          <w:color w:val="auto"/>
          <w:sz w:val="24"/>
          <w:highlight w:val="none"/>
          <w:lang w:val="zh-CN" w:eastAsia="zh-CN"/>
        </w:rPr>
      </w:pPr>
      <w:r>
        <w:rPr>
          <w:rFonts w:hint="eastAsia" w:ascii="Times New Roman" w:hAnsi="Times New Roman" w:eastAsia="宋体" w:cs="Times New Roman"/>
          <w:color w:val="auto"/>
          <w:sz w:val="24"/>
          <w:highlight w:val="none"/>
          <w:lang w:val="zh-CN" w:eastAsia="zh-CN"/>
        </w:rPr>
        <w:t>式中</w:t>
      </w:r>
      <w:r>
        <w:rPr>
          <w:rFonts w:hint="eastAsia" w:cs="Times New Roman"/>
          <w:color w:val="auto"/>
          <w:sz w:val="24"/>
          <w:highlight w:val="none"/>
          <w:lang w:val="zh-CN" w:eastAsia="zh-CN"/>
        </w:rPr>
        <w:t>：</w:t>
      </w:r>
      <w:r>
        <w:rPr>
          <w:rFonts w:hint="default" w:ascii="Times New Roman" w:hAnsi="Times New Roman" w:eastAsia="宋体" w:cs="Times New Roman"/>
          <w:color w:val="auto"/>
          <w:sz w:val="24"/>
          <w:highlight w:val="none"/>
          <w:lang w:val="en-US" w:eastAsia="zh-CN"/>
        </w:rPr>
        <w:t>x</w:t>
      </w:r>
      <w:r>
        <w:rPr>
          <w:rFonts w:hint="default" w:ascii="Times New Roman" w:hAnsi="Times New Roman" w:eastAsia="宋体" w:cs="Times New Roman"/>
          <w:color w:val="auto"/>
          <w:sz w:val="24"/>
          <w:highlight w:val="none"/>
          <w:lang w:val="zh-CN" w:eastAsia="zh-CN"/>
        </w:rPr>
        <w:t>-预测点距污染源强的距离，m</w:t>
      </w:r>
      <w:r>
        <w:rPr>
          <w:rFonts w:hint="eastAsia" w:ascii="Times New Roman" w:hAnsi="Times New Roman" w:eastAsia="宋体" w:cs="Times New Roman"/>
          <w:color w:val="auto"/>
          <w:sz w:val="24"/>
          <w:highlight w:val="none"/>
          <w:lang w:val="zh-CN" w:eastAsia="zh-CN"/>
        </w:rPr>
        <w:t>；</w:t>
      </w:r>
    </w:p>
    <w:p w14:paraId="3119773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t-预测时间，d</w:t>
      </w:r>
      <w:r>
        <w:rPr>
          <w:rFonts w:hint="eastAsia" w:ascii="Times New Roman" w:hAnsi="Times New Roman" w:eastAsia="宋体" w:cs="Times New Roman"/>
          <w:color w:val="auto"/>
          <w:sz w:val="24"/>
          <w:highlight w:val="none"/>
          <w:lang w:val="zh-CN" w:eastAsia="zh-CN"/>
        </w:rPr>
        <w:t>；</w:t>
      </w:r>
    </w:p>
    <w:p w14:paraId="61162B5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C-时刻x处的污染物浓度，mg</w:t>
      </w:r>
      <w:r>
        <w:rPr>
          <w:rFonts w:hint="eastAsia" w:ascii="Times New Roman" w:hAnsi="Times New Roman" w:eastAsia="宋体" w:cs="Times New Roman"/>
          <w:color w:val="auto"/>
          <w:sz w:val="24"/>
          <w:highlight w:val="none"/>
          <w:lang w:val="zh-CN" w:eastAsia="zh-CN"/>
        </w:rPr>
        <w:t>；</w:t>
      </w:r>
    </w:p>
    <w:p w14:paraId="3B84F35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C</w:t>
      </w:r>
      <w:r>
        <w:rPr>
          <w:rFonts w:hint="eastAsia" w:ascii="Times New Roman" w:hAnsi="Times New Roman" w:eastAsia="宋体" w:cs="Times New Roman"/>
          <w:color w:val="auto"/>
          <w:sz w:val="24"/>
          <w:highlight w:val="none"/>
          <w:vertAlign w:val="subscript"/>
          <w:lang w:val="en-US" w:eastAsia="zh-CN"/>
        </w:rPr>
        <w:t>0</w:t>
      </w:r>
      <w:r>
        <w:rPr>
          <w:rFonts w:hint="default" w:ascii="Times New Roman" w:hAnsi="Times New Roman" w:eastAsia="宋体" w:cs="Times New Roman"/>
          <w:color w:val="auto"/>
          <w:sz w:val="24"/>
          <w:highlight w:val="none"/>
          <w:lang w:val="zh-CN" w:eastAsia="zh-CN"/>
        </w:rPr>
        <w:t>-地下水污染源强浓度，mgL</w:t>
      </w:r>
      <w:r>
        <w:rPr>
          <w:rFonts w:hint="eastAsia" w:ascii="Times New Roman" w:hAnsi="Times New Roman" w:eastAsia="宋体" w:cs="Times New Roman"/>
          <w:color w:val="auto"/>
          <w:sz w:val="24"/>
          <w:highlight w:val="none"/>
          <w:lang w:val="zh-CN" w:eastAsia="zh-CN"/>
        </w:rPr>
        <w:t>；</w:t>
      </w:r>
    </w:p>
    <w:p w14:paraId="72E388B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u-水流速度，m/d</w:t>
      </w:r>
      <w:r>
        <w:rPr>
          <w:rFonts w:hint="eastAsia" w:ascii="Times New Roman" w:hAnsi="Times New Roman" w:eastAsia="宋体" w:cs="Times New Roman"/>
          <w:color w:val="auto"/>
          <w:sz w:val="24"/>
          <w:highlight w:val="none"/>
          <w:lang w:val="zh-CN" w:eastAsia="zh-CN"/>
        </w:rPr>
        <w:t>；</w:t>
      </w:r>
    </w:p>
    <w:p w14:paraId="4802C1C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D</w:t>
      </w:r>
      <w:r>
        <w:rPr>
          <w:rFonts w:hint="default" w:ascii="Times New Roman" w:hAnsi="Times New Roman" w:eastAsia="宋体" w:cs="Times New Roman"/>
          <w:color w:val="auto"/>
          <w:sz w:val="24"/>
          <w:highlight w:val="none"/>
          <w:vertAlign w:val="subscript"/>
          <w:lang w:val="zh-CN" w:eastAsia="zh-CN"/>
        </w:rPr>
        <w:t>L</w:t>
      </w:r>
      <w:r>
        <w:rPr>
          <w:rFonts w:hint="default" w:ascii="Times New Roman" w:hAnsi="Times New Roman" w:eastAsia="宋体" w:cs="Times New Roman"/>
          <w:color w:val="auto"/>
          <w:sz w:val="24"/>
          <w:highlight w:val="none"/>
          <w:lang w:val="zh-CN" w:eastAsia="zh-CN"/>
        </w:rPr>
        <w:t>-纵向弥散系数，m</w:t>
      </w:r>
      <w:r>
        <w:rPr>
          <w:rFonts w:hint="eastAsia" w:ascii="Times New Roman" w:hAnsi="Times New Roman" w:eastAsia="宋体" w:cs="Times New Roman"/>
          <w:color w:val="auto"/>
          <w:sz w:val="24"/>
          <w:highlight w:val="none"/>
          <w:vertAlign w:val="superscript"/>
          <w:lang w:val="en-US" w:eastAsia="zh-CN"/>
        </w:rPr>
        <w:t>2</w:t>
      </w:r>
      <w:r>
        <w:rPr>
          <w:rFonts w:hint="default" w:ascii="Times New Roman" w:hAnsi="Times New Roman" w:eastAsia="宋体" w:cs="Times New Roman"/>
          <w:color w:val="auto"/>
          <w:sz w:val="24"/>
          <w:highlight w:val="none"/>
          <w:lang w:val="zh-CN" w:eastAsia="zh-CN"/>
        </w:rPr>
        <w:t>/d</w:t>
      </w:r>
      <w:r>
        <w:rPr>
          <w:rFonts w:hint="eastAsia" w:ascii="Times New Roman" w:hAnsi="Times New Roman" w:eastAsia="宋体" w:cs="Times New Roman"/>
          <w:color w:val="auto"/>
          <w:sz w:val="24"/>
          <w:highlight w:val="none"/>
          <w:lang w:val="zh-CN" w:eastAsia="zh-CN"/>
        </w:rPr>
        <w:t>；</w:t>
      </w:r>
    </w:p>
    <w:p w14:paraId="33C48F4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highlight w:val="none"/>
          <w:lang w:val="zh-CN" w:eastAsia="zh-CN"/>
        </w:rPr>
      </w:pPr>
      <w:r>
        <w:rPr>
          <w:rFonts w:hint="default" w:ascii="Times New Roman" w:hAnsi="Times New Roman" w:eastAsia="宋体" w:cs="Times New Roman"/>
          <w:color w:val="auto"/>
          <w:sz w:val="24"/>
          <w:highlight w:val="none"/>
          <w:lang w:val="zh-CN" w:eastAsia="zh-CN"/>
        </w:rPr>
        <w:t>erc()-余误差函数。</w:t>
      </w:r>
    </w:p>
    <w:p w14:paraId="79003806">
      <w:pPr>
        <w:pStyle w:val="571"/>
        <w:ind w:firstLine="480"/>
        <w:rPr>
          <w:color w:val="auto"/>
          <w:highlight w:val="none"/>
        </w:rPr>
      </w:pPr>
      <w:r>
        <w:rPr>
          <w:rFonts w:hint="eastAsia"/>
          <w:color w:val="auto"/>
          <w:highlight w:val="none"/>
        </w:rPr>
        <w:t>计算参数根据区域地勘数据并根据含水层中砂砾石颗粒大小、颗粒均匀度和排列情况类比取得的水文地质参数，详见表</w:t>
      </w:r>
      <w:r>
        <w:rPr>
          <w:color w:val="auto"/>
          <w:highlight w:val="none"/>
        </w:rPr>
        <w:t>5.</w:t>
      </w:r>
      <w:r>
        <w:rPr>
          <w:rFonts w:hint="eastAsia"/>
          <w:color w:val="auto"/>
          <w:highlight w:val="none"/>
          <w:lang w:val="en-US" w:eastAsia="zh-CN"/>
        </w:rPr>
        <w:t>2</w:t>
      </w:r>
      <w:r>
        <w:rPr>
          <w:color w:val="auto"/>
          <w:highlight w:val="none"/>
        </w:rPr>
        <w:t>.</w:t>
      </w:r>
      <w:r>
        <w:rPr>
          <w:rFonts w:hint="eastAsia"/>
          <w:color w:val="auto"/>
          <w:highlight w:val="none"/>
          <w:lang w:val="en-US" w:eastAsia="zh-CN"/>
        </w:rPr>
        <w:t>5</w:t>
      </w:r>
      <w:r>
        <w:rPr>
          <w:color w:val="auto"/>
          <w:highlight w:val="none"/>
        </w:rPr>
        <w:t>-</w:t>
      </w:r>
      <w:r>
        <w:rPr>
          <w:rFonts w:hint="eastAsia"/>
          <w:color w:val="auto"/>
          <w:highlight w:val="none"/>
          <w:lang w:val="en-US" w:eastAsia="zh-CN"/>
        </w:rPr>
        <w:t>5</w:t>
      </w:r>
      <w:r>
        <w:rPr>
          <w:rFonts w:hint="eastAsia"/>
          <w:color w:val="auto"/>
          <w:highlight w:val="none"/>
        </w:rPr>
        <w:t>和表</w:t>
      </w:r>
      <w:r>
        <w:rPr>
          <w:color w:val="auto"/>
          <w:highlight w:val="none"/>
        </w:rPr>
        <w:t>5.</w:t>
      </w:r>
      <w:r>
        <w:rPr>
          <w:rFonts w:hint="eastAsia"/>
          <w:color w:val="auto"/>
          <w:highlight w:val="none"/>
          <w:lang w:val="en-US" w:eastAsia="zh-CN"/>
        </w:rPr>
        <w:t>2</w:t>
      </w:r>
      <w:r>
        <w:rPr>
          <w:color w:val="auto"/>
          <w:highlight w:val="none"/>
        </w:rPr>
        <w:t>.</w:t>
      </w:r>
      <w:r>
        <w:rPr>
          <w:rFonts w:hint="eastAsia"/>
          <w:color w:val="auto"/>
          <w:highlight w:val="none"/>
          <w:lang w:val="en-US" w:eastAsia="zh-CN"/>
        </w:rPr>
        <w:t>5</w:t>
      </w:r>
      <w:r>
        <w:rPr>
          <w:color w:val="auto"/>
          <w:highlight w:val="none"/>
        </w:rPr>
        <w:t>-</w:t>
      </w:r>
      <w:r>
        <w:rPr>
          <w:rFonts w:hint="eastAsia"/>
          <w:color w:val="auto"/>
          <w:highlight w:val="none"/>
          <w:lang w:val="en-US" w:eastAsia="zh-CN"/>
        </w:rPr>
        <w:t>6</w:t>
      </w:r>
      <w:r>
        <w:rPr>
          <w:rFonts w:hint="eastAsia"/>
          <w:color w:val="auto"/>
          <w:highlight w:val="none"/>
        </w:rPr>
        <w:t>。</w:t>
      </w:r>
    </w:p>
    <w:p w14:paraId="56052CBC">
      <w:pPr>
        <w:pStyle w:val="571"/>
        <w:ind w:firstLine="480"/>
        <w:rPr>
          <w:color w:val="auto"/>
          <w:highlight w:val="none"/>
        </w:rPr>
      </w:pPr>
      <w:r>
        <w:rPr>
          <w:rFonts w:hint="eastAsia"/>
          <w:color w:val="auto"/>
          <w:highlight w:val="none"/>
        </w:rPr>
        <w:t>地下水实际流速和弥散系数的确定按下列方法取得：</w:t>
      </w:r>
    </w:p>
    <w:p w14:paraId="526DDEF4">
      <w:pPr>
        <w:adjustRightInd w:val="0"/>
        <w:snapToGrid w:val="0"/>
        <w:spacing w:line="360" w:lineRule="auto"/>
        <w:jc w:val="center"/>
        <w:rPr>
          <w:rFonts w:ascii="宋体" w:hAnsi="宋体"/>
          <w:color w:val="auto"/>
          <w:sz w:val="24"/>
          <w:highlight w:val="none"/>
          <w:lang w:val="pl-PL"/>
        </w:rPr>
      </w:pPr>
      <w:r>
        <w:rPr>
          <w:rFonts w:ascii="宋体" w:hAnsi="宋体"/>
          <w:color w:val="auto"/>
          <w:position w:val="-18"/>
          <w:sz w:val="24"/>
          <w:highlight w:val="none"/>
        </w:rPr>
        <w:object>
          <v:shape id="_x0000_i1029" o:spt="75" type="#_x0000_t75" style="height:23.75pt;width:57.05pt;" o:ole="t" filled="f" o:preferrelative="t" stroked="f" coordsize="21600,21600">
            <v:path/>
            <v:fill on="f" focussize="0,0"/>
            <v:stroke on="f" joinstyle="miter"/>
            <v:imagedata r:id="rId84" o:title=""/>
            <o:lock v:ext="edit" aspectratio="t"/>
            <w10:wrap type="none"/>
            <w10:anchorlock/>
          </v:shape>
          <o:OLEObject Type="Embed" ProgID="Equation.DSMT4" ShapeID="_x0000_i1029" DrawAspect="Content" ObjectID="_1468075729" r:id="rId83">
            <o:LockedField>false</o:LockedField>
          </o:OLEObject>
        </w:object>
      </w:r>
    </w:p>
    <w:p w14:paraId="7ACA4EC2">
      <w:pPr>
        <w:adjustRightInd w:val="0"/>
        <w:snapToGrid w:val="0"/>
        <w:spacing w:line="360" w:lineRule="auto"/>
        <w:jc w:val="center"/>
        <w:rPr>
          <w:rFonts w:ascii="宋体" w:hAnsi="宋体"/>
          <w:color w:val="auto"/>
          <w:sz w:val="24"/>
          <w:highlight w:val="none"/>
          <w:lang w:val="pl-PL"/>
        </w:rPr>
      </w:pPr>
      <w:r>
        <w:rPr>
          <w:rFonts w:ascii="宋体" w:hAnsi="宋体"/>
          <w:color w:val="auto"/>
          <w:position w:val="-12"/>
          <w:sz w:val="24"/>
          <w:highlight w:val="none"/>
        </w:rPr>
        <w:object>
          <v:shape id="_x0000_i1030" o:spt="75" type="#_x0000_t75" style="height:20.4pt;width:59.1pt;" o:ole="t" filled="f" o:preferrelative="t" stroked="f" coordsize="21600,21600">
            <v:path/>
            <v:fill on="f" focussize="0,0"/>
            <v:stroke on="f" joinstyle="miter"/>
            <v:imagedata r:id="rId86" o:title=""/>
            <o:lock v:ext="edit" aspectratio="t"/>
            <w10:wrap type="none"/>
            <w10:anchorlock/>
          </v:shape>
          <o:OLEObject Type="Embed" ProgID="Equation.DSMT4" ShapeID="_x0000_i1030" DrawAspect="Content" ObjectID="_1468075730" r:id="rId85">
            <o:LockedField>false</o:LockedField>
          </o:OLEObject>
        </w:object>
      </w:r>
    </w:p>
    <w:p w14:paraId="65787D1C">
      <w:pPr>
        <w:pStyle w:val="571"/>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color w:val="auto"/>
          <w:highlight w:val="none"/>
        </w:rPr>
      </w:pPr>
      <w:r>
        <w:rPr>
          <w:rFonts w:hint="eastAsia"/>
          <w:color w:val="auto"/>
          <w:highlight w:val="none"/>
        </w:rPr>
        <w:t>其中：</w:t>
      </w:r>
      <w:r>
        <w:rPr>
          <w:color w:val="auto"/>
          <w:highlight w:val="none"/>
        </w:rPr>
        <w:t>U</w:t>
      </w:r>
      <w:r>
        <w:rPr>
          <w:rFonts w:hint="eastAsia"/>
          <w:color w:val="auto"/>
          <w:highlight w:val="none"/>
        </w:rPr>
        <w:t>为地下水实际流速，</w:t>
      </w:r>
      <w:r>
        <w:rPr>
          <w:color w:val="auto"/>
          <w:highlight w:val="none"/>
        </w:rPr>
        <w:t>m/d</w:t>
      </w:r>
      <w:r>
        <w:rPr>
          <w:rFonts w:hint="eastAsia"/>
          <w:color w:val="auto"/>
          <w:highlight w:val="none"/>
        </w:rPr>
        <w:t>；</w:t>
      </w:r>
    </w:p>
    <w:p w14:paraId="060C0913">
      <w:pPr>
        <w:pStyle w:val="571"/>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auto"/>
          <w:highlight w:val="none"/>
        </w:rPr>
      </w:pPr>
      <w:r>
        <w:rPr>
          <w:color w:val="auto"/>
          <w:highlight w:val="none"/>
        </w:rPr>
        <w:t>K</w:t>
      </w:r>
      <w:r>
        <w:rPr>
          <w:rFonts w:hint="eastAsia"/>
          <w:color w:val="auto"/>
          <w:highlight w:val="none"/>
        </w:rPr>
        <w:t>为渗透系数，</w:t>
      </w:r>
      <w:r>
        <w:rPr>
          <w:color w:val="auto"/>
          <w:highlight w:val="none"/>
        </w:rPr>
        <w:t>m/d</w:t>
      </w:r>
      <w:r>
        <w:rPr>
          <w:rFonts w:hint="eastAsia"/>
          <w:color w:val="auto"/>
          <w:highlight w:val="none"/>
        </w:rPr>
        <w:t>；</w:t>
      </w:r>
    </w:p>
    <w:p w14:paraId="1EF860E6">
      <w:pPr>
        <w:pStyle w:val="571"/>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auto"/>
          <w:highlight w:val="none"/>
        </w:rPr>
      </w:pPr>
      <w:r>
        <w:rPr>
          <w:color w:val="auto"/>
          <w:highlight w:val="none"/>
        </w:rPr>
        <w:t>I</w:t>
      </w:r>
      <w:r>
        <w:rPr>
          <w:rFonts w:hint="eastAsia"/>
          <w:color w:val="auto"/>
          <w:highlight w:val="none"/>
        </w:rPr>
        <w:t>为水力坡度，‰；</w:t>
      </w:r>
    </w:p>
    <w:p w14:paraId="724AAA9D">
      <w:pPr>
        <w:pStyle w:val="571"/>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auto"/>
          <w:highlight w:val="none"/>
        </w:rPr>
      </w:pPr>
      <w:r>
        <w:rPr>
          <w:color w:val="auto"/>
          <w:highlight w:val="none"/>
        </w:rPr>
        <w:t>n</w:t>
      </w:r>
      <w:r>
        <w:rPr>
          <w:rFonts w:hint="eastAsia"/>
          <w:color w:val="auto"/>
          <w:highlight w:val="none"/>
        </w:rPr>
        <w:t>为孔隙度；</w:t>
      </w:r>
    </w:p>
    <w:p w14:paraId="64C7C9E5">
      <w:pPr>
        <w:pStyle w:val="571"/>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auto"/>
          <w:highlight w:val="none"/>
        </w:rPr>
      </w:pPr>
      <w:r>
        <w:rPr>
          <w:color w:val="auto"/>
          <w:highlight w:val="none"/>
        </w:rPr>
        <w:t>D</w:t>
      </w:r>
      <w:r>
        <w:rPr>
          <w:rFonts w:hint="eastAsia"/>
          <w:color w:val="auto"/>
          <w:highlight w:val="none"/>
        </w:rPr>
        <w:t>为弥散系数，</w:t>
      </w:r>
      <w:r>
        <w:rPr>
          <w:color w:val="auto"/>
          <w:highlight w:val="none"/>
        </w:rPr>
        <w:t>m</w:t>
      </w:r>
      <w:r>
        <w:rPr>
          <w:color w:val="auto"/>
          <w:highlight w:val="none"/>
          <w:vertAlign w:val="superscript"/>
        </w:rPr>
        <w:t>2</w:t>
      </w:r>
      <w:r>
        <w:rPr>
          <w:color w:val="auto"/>
          <w:highlight w:val="none"/>
        </w:rPr>
        <w:t>/d</w:t>
      </w:r>
      <w:r>
        <w:rPr>
          <w:rFonts w:hint="eastAsia"/>
          <w:color w:val="auto"/>
          <w:highlight w:val="none"/>
        </w:rPr>
        <w:t>；</w:t>
      </w:r>
    </w:p>
    <w:p w14:paraId="6403537B">
      <w:pPr>
        <w:pStyle w:val="571"/>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color w:val="auto"/>
          <w:highlight w:val="none"/>
        </w:rPr>
      </w:pPr>
      <w:r>
        <w:rPr>
          <w:rFonts w:hint="default" w:ascii="Times New Roman" w:hAnsi="Times New Roman" w:cs="Times New Roman"/>
          <w:color w:val="auto"/>
          <w:highlight w:val="none"/>
          <w:lang w:val="en-US" w:eastAsia="zh-CN"/>
        </w:rPr>
        <w:t>α</w:t>
      </w:r>
      <w:r>
        <w:rPr>
          <w:rFonts w:hint="default" w:ascii="Times New Roman" w:hAnsi="Times New Roman" w:cs="Times New Roman"/>
          <w:color w:val="auto"/>
          <w:highlight w:val="none"/>
          <w:vertAlign w:val="subscript"/>
        </w:rPr>
        <w:t>L</w:t>
      </w:r>
      <w:r>
        <w:rPr>
          <w:rFonts w:hint="eastAsia"/>
          <w:color w:val="auto"/>
          <w:highlight w:val="none"/>
        </w:rPr>
        <w:t>为弥散度（类比本地区项目纵向弥散度取</w:t>
      </w:r>
      <w:r>
        <w:rPr>
          <w:color w:val="auto"/>
          <w:highlight w:val="none"/>
        </w:rPr>
        <w:t>50m</w:t>
      </w:r>
      <w:r>
        <w:rPr>
          <w:rFonts w:hint="eastAsia"/>
          <w:color w:val="auto"/>
          <w:highlight w:val="none"/>
        </w:rPr>
        <w:t>），</w:t>
      </w:r>
      <w:r>
        <w:rPr>
          <w:color w:val="auto"/>
          <w:highlight w:val="none"/>
        </w:rPr>
        <w:t>m</w:t>
      </w:r>
      <w:r>
        <w:rPr>
          <w:rFonts w:hint="eastAsia"/>
          <w:color w:val="auto"/>
          <w:highlight w:val="none"/>
        </w:rPr>
        <w:t>；</w:t>
      </w:r>
    </w:p>
    <w:p w14:paraId="2455F4A7">
      <w:pPr>
        <w:pStyle w:val="571"/>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eastAsia="黑体" w:cs="Times New Roman"/>
          <w:bCs/>
          <w:color w:val="auto"/>
          <w:highlight w:val="none"/>
        </w:rPr>
      </w:pPr>
      <w:r>
        <w:rPr>
          <w:color w:val="auto"/>
          <w:highlight w:val="none"/>
        </w:rPr>
        <w:t>m</w:t>
      </w:r>
      <w:r>
        <w:rPr>
          <w:rFonts w:hint="eastAsia"/>
          <w:color w:val="auto"/>
          <w:highlight w:val="none"/>
        </w:rPr>
        <w:t>为指数。</w:t>
      </w:r>
    </w:p>
    <w:p w14:paraId="34EBDFB2">
      <w:pPr>
        <w:pStyle w:val="572"/>
        <w:adjustRightInd w:val="0"/>
        <w:snapToGrid w:val="0"/>
        <w:spacing w:line="400" w:lineRule="exact"/>
        <w:rPr>
          <w:rFonts w:eastAsia="黑体" w:cs="Times New Roman"/>
          <w:bCs/>
          <w:color w:val="auto"/>
          <w:highlight w:val="none"/>
        </w:rPr>
      </w:pPr>
      <w:r>
        <w:rPr>
          <w:rFonts w:hint="eastAsia" w:ascii="Times New Roman" w:hAnsi="Times New Roman" w:eastAsia="宋体" w:cs="Times New Roman"/>
          <w:b/>
          <w:bCs/>
          <w:snapToGrid/>
          <w:color w:val="auto"/>
          <w:kern w:val="2"/>
          <w:sz w:val="24"/>
          <w:szCs w:val="22"/>
          <w:highlight w:val="none"/>
          <w:lang w:val="en-US" w:eastAsia="zh-CN" w:bidi="ar-SA"/>
        </w:rPr>
        <w:t>表</w:t>
      </w:r>
      <w:r>
        <w:rPr>
          <w:rFonts w:hint="default" w:ascii="Times New Roman" w:hAnsi="Times New Roman" w:eastAsia="宋体" w:cs="Times New Roman"/>
          <w:b/>
          <w:bCs/>
          <w:snapToGrid/>
          <w:color w:val="auto"/>
          <w:kern w:val="2"/>
          <w:sz w:val="24"/>
          <w:szCs w:val="22"/>
          <w:highlight w:val="none"/>
          <w:lang w:val="en-US" w:eastAsia="zh-CN" w:bidi="ar-SA"/>
        </w:rPr>
        <w:t>5.</w:t>
      </w:r>
      <w:r>
        <w:rPr>
          <w:rFonts w:hint="eastAsia" w:ascii="Times New Roman" w:hAnsi="Times New Roman" w:eastAsia="宋体" w:cs="Times New Roman"/>
          <w:b/>
          <w:bCs/>
          <w:snapToGrid/>
          <w:color w:val="auto"/>
          <w:kern w:val="2"/>
          <w:sz w:val="24"/>
          <w:szCs w:val="22"/>
          <w:highlight w:val="none"/>
          <w:lang w:val="en-US" w:eastAsia="zh-CN" w:bidi="ar-SA"/>
        </w:rPr>
        <w:t>2</w:t>
      </w:r>
      <w:r>
        <w:rPr>
          <w:rFonts w:hint="default" w:ascii="Times New Roman" w:hAnsi="Times New Roman" w:eastAsia="宋体" w:cs="Times New Roman"/>
          <w:b/>
          <w:bCs/>
          <w:snapToGrid/>
          <w:color w:val="auto"/>
          <w:kern w:val="2"/>
          <w:sz w:val="24"/>
          <w:szCs w:val="22"/>
          <w:highlight w:val="none"/>
          <w:lang w:val="en-US" w:eastAsia="zh-CN" w:bidi="ar-SA"/>
        </w:rPr>
        <w:t>.</w:t>
      </w:r>
      <w:r>
        <w:rPr>
          <w:rFonts w:hint="eastAsia" w:ascii="Times New Roman" w:hAnsi="Times New Roman" w:eastAsia="宋体" w:cs="Times New Roman"/>
          <w:b/>
          <w:bCs/>
          <w:snapToGrid/>
          <w:color w:val="auto"/>
          <w:kern w:val="2"/>
          <w:sz w:val="24"/>
          <w:szCs w:val="22"/>
          <w:highlight w:val="none"/>
          <w:lang w:val="en-US" w:eastAsia="zh-CN" w:bidi="ar-SA"/>
        </w:rPr>
        <w:t>5</w:t>
      </w:r>
      <w:r>
        <w:rPr>
          <w:rFonts w:hint="default" w:ascii="Times New Roman" w:hAnsi="Times New Roman" w:eastAsia="宋体" w:cs="Times New Roman"/>
          <w:b/>
          <w:bCs/>
          <w:snapToGrid/>
          <w:color w:val="auto"/>
          <w:kern w:val="2"/>
          <w:sz w:val="24"/>
          <w:szCs w:val="22"/>
          <w:highlight w:val="none"/>
          <w:lang w:val="en-US" w:eastAsia="zh-CN" w:bidi="ar-SA"/>
        </w:rPr>
        <w:t>-</w:t>
      </w:r>
      <w:r>
        <w:rPr>
          <w:rFonts w:hint="eastAsia" w:ascii="Times New Roman" w:hAnsi="Times New Roman" w:eastAsia="宋体" w:cs="Times New Roman"/>
          <w:b/>
          <w:bCs/>
          <w:snapToGrid/>
          <w:color w:val="auto"/>
          <w:kern w:val="2"/>
          <w:sz w:val="24"/>
          <w:szCs w:val="22"/>
          <w:highlight w:val="none"/>
          <w:lang w:val="en-US" w:eastAsia="zh-CN" w:bidi="ar-SA"/>
        </w:rPr>
        <w:t>5</w:t>
      </w:r>
      <w:r>
        <w:rPr>
          <w:rFonts w:hint="default" w:ascii="Times New Roman" w:hAnsi="Times New Roman" w:eastAsia="宋体" w:cs="Times New Roman"/>
          <w:b/>
          <w:bCs/>
          <w:snapToGrid/>
          <w:color w:val="auto"/>
          <w:kern w:val="2"/>
          <w:sz w:val="24"/>
          <w:szCs w:val="22"/>
          <w:highlight w:val="none"/>
          <w:lang w:val="en-US" w:eastAsia="zh-CN" w:bidi="ar-SA"/>
        </w:rPr>
        <w:t xml:space="preserve">  </w:t>
      </w:r>
      <w:r>
        <w:rPr>
          <w:rFonts w:hint="eastAsia" w:ascii="Times New Roman" w:hAnsi="Times New Roman" w:eastAsia="宋体" w:cs="Times New Roman"/>
          <w:b/>
          <w:bCs/>
          <w:snapToGrid/>
          <w:color w:val="auto"/>
          <w:kern w:val="2"/>
          <w:sz w:val="24"/>
          <w:szCs w:val="22"/>
          <w:highlight w:val="none"/>
          <w:lang w:val="en-US" w:eastAsia="zh-CN" w:bidi="ar-SA"/>
        </w:rPr>
        <w:t>地下水含水层参数</w:t>
      </w:r>
    </w:p>
    <w:tbl>
      <w:tblPr>
        <w:tblStyle w:val="49"/>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4"/>
        <w:gridCol w:w="2321"/>
        <w:gridCol w:w="2322"/>
        <w:gridCol w:w="2245"/>
      </w:tblGrid>
      <w:tr w14:paraId="3C216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184" w:type="dxa"/>
            <w:tcBorders>
              <w:tl2br w:val="nil"/>
              <w:tr2bl w:val="nil"/>
            </w:tcBorders>
            <w:noWrap w:val="0"/>
            <w:vAlign w:val="center"/>
          </w:tcPr>
          <w:p w14:paraId="68DCE4AE">
            <w:pPr>
              <w:pStyle w:val="57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参数</w:t>
            </w:r>
          </w:p>
        </w:tc>
        <w:tc>
          <w:tcPr>
            <w:tcW w:w="2321" w:type="dxa"/>
            <w:tcBorders>
              <w:tl2br w:val="nil"/>
              <w:tr2bl w:val="nil"/>
            </w:tcBorders>
            <w:noWrap w:val="0"/>
            <w:vAlign w:val="center"/>
          </w:tcPr>
          <w:p w14:paraId="7621E27B">
            <w:pPr>
              <w:pStyle w:val="57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渗透系数K（m/d）</w:t>
            </w:r>
          </w:p>
        </w:tc>
        <w:tc>
          <w:tcPr>
            <w:tcW w:w="2322" w:type="dxa"/>
            <w:tcBorders>
              <w:tl2br w:val="nil"/>
              <w:tr2bl w:val="nil"/>
            </w:tcBorders>
            <w:noWrap w:val="0"/>
            <w:vAlign w:val="center"/>
          </w:tcPr>
          <w:p w14:paraId="5A9480AC">
            <w:pPr>
              <w:pStyle w:val="57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水力坡度I（‰）</w:t>
            </w:r>
          </w:p>
        </w:tc>
        <w:tc>
          <w:tcPr>
            <w:tcW w:w="2245" w:type="dxa"/>
            <w:tcBorders>
              <w:tl2br w:val="nil"/>
              <w:tr2bl w:val="nil"/>
            </w:tcBorders>
            <w:noWrap w:val="0"/>
            <w:vAlign w:val="center"/>
          </w:tcPr>
          <w:p w14:paraId="07D04B3A">
            <w:pPr>
              <w:pStyle w:val="57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孔隙度n</w:t>
            </w:r>
          </w:p>
        </w:tc>
      </w:tr>
      <w:tr w14:paraId="052D0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184" w:type="dxa"/>
            <w:tcBorders>
              <w:tl2br w:val="nil"/>
              <w:tr2bl w:val="nil"/>
            </w:tcBorders>
            <w:noWrap w:val="0"/>
            <w:vAlign w:val="center"/>
          </w:tcPr>
          <w:p w14:paraId="474260E0">
            <w:pPr>
              <w:pStyle w:val="57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数值</w:t>
            </w:r>
          </w:p>
        </w:tc>
        <w:tc>
          <w:tcPr>
            <w:tcW w:w="2321" w:type="dxa"/>
            <w:tcBorders>
              <w:tl2br w:val="nil"/>
              <w:tr2bl w:val="nil"/>
            </w:tcBorders>
            <w:noWrap w:val="0"/>
            <w:vAlign w:val="center"/>
          </w:tcPr>
          <w:p w14:paraId="3D1D0884">
            <w:pPr>
              <w:pStyle w:val="57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0.69</w:t>
            </w:r>
          </w:p>
        </w:tc>
        <w:tc>
          <w:tcPr>
            <w:tcW w:w="2322" w:type="dxa"/>
            <w:tcBorders>
              <w:tl2br w:val="nil"/>
              <w:tr2bl w:val="nil"/>
            </w:tcBorders>
            <w:noWrap w:val="0"/>
            <w:vAlign w:val="center"/>
          </w:tcPr>
          <w:p w14:paraId="74D8D85F">
            <w:pPr>
              <w:pStyle w:val="57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w:t>
            </w:r>
          </w:p>
        </w:tc>
        <w:tc>
          <w:tcPr>
            <w:tcW w:w="2245" w:type="dxa"/>
            <w:tcBorders>
              <w:tl2br w:val="nil"/>
              <w:tr2bl w:val="nil"/>
            </w:tcBorders>
            <w:noWrap w:val="0"/>
            <w:vAlign w:val="center"/>
          </w:tcPr>
          <w:p w14:paraId="56C283EA">
            <w:pPr>
              <w:pStyle w:val="571"/>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r>
    </w:tbl>
    <w:p w14:paraId="5C19F906">
      <w:pPr>
        <w:pStyle w:val="572"/>
        <w:adjustRightInd w:val="0"/>
        <w:snapToGrid w:val="0"/>
        <w:spacing w:line="400" w:lineRule="exact"/>
        <w:rPr>
          <w:rFonts w:eastAsia="黑体" w:cs="Times New Roman"/>
          <w:bCs/>
          <w:color w:val="auto"/>
          <w:highlight w:val="none"/>
        </w:rPr>
      </w:pPr>
      <w:r>
        <w:rPr>
          <w:rFonts w:hint="eastAsia" w:ascii="Times New Roman" w:hAnsi="Times New Roman" w:eastAsia="宋体" w:cs="Times New Roman"/>
          <w:b/>
          <w:bCs/>
          <w:snapToGrid/>
          <w:color w:val="auto"/>
          <w:kern w:val="2"/>
          <w:sz w:val="24"/>
          <w:szCs w:val="22"/>
          <w:highlight w:val="none"/>
          <w:lang w:val="en-US" w:eastAsia="zh-CN" w:bidi="ar-SA"/>
        </w:rPr>
        <w:t>表</w:t>
      </w:r>
      <w:r>
        <w:rPr>
          <w:rFonts w:hint="default" w:ascii="Times New Roman" w:hAnsi="Times New Roman" w:eastAsia="宋体" w:cs="Times New Roman"/>
          <w:b/>
          <w:bCs/>
          <w:snapToGrid/>
          <w:color w:val="auto"/>
          <w:kern w:val="2"/>
          <w:sz w:val="24"/>
          <w:szCs w:val="22"/>
          <w:highlight w:val="none"/>
          <w:lang w:val="en-US" w:eastAsia="zh-CN" w:bidi="ar-SA"/>
        </w:rPr>
        <w:t>5.</w:t>
      </w:r>
      <w:r>
        <w:rPr>
          <w:rFonts w:hint="eastAsia" w:ascii="Times New Roman" w:hAnsi="Times New Roman" w:eastAsia="宋体" w:cs="Times New Roman"/>
          <w:b/>
          <w:bCs/>
          <w:snapToGrid/>
          <w:color w:val="auto"/>
          <w:kern w:val="2"/>
          <w:sz w:val="24"/>
          <w:szCs w:val="22"/>
          <w:highlight w:val="none"/>
          <w:lang w:val="en-US" w:eastAsia="zh-CN" w:bidi="ar-SA"/>
        </w:rPr>
        <w:t>2</w:t>
      </w:r>
      <w:r>
        <w:rPr>
          <w:rFonts w:hint="default" w:ascii="Times New Roman" w:hAnsi="Times New Roman" w:eastAsia="宋体" w:cs="Times New Roman"/>
          <w:b/>
          <w:bCs/>
          <w:snapToGrid/>
          <w:color w:val="auto"/>
          <w:kern w:val="2"/>
          <w:sz w:val="24"/>
          <w:szCs w:val="22"/>
          <w:highlight w:val="none"/>
          <w:lang w:val="en-US" w:eastAsia="zh-CN" w:bidi="ar-SA"/>
        </w:rPr>
        <w:t>.</w:t>
      </w:r>
      <w:r>
        <w:rPr>
          <w:rFonts w:hint="eastAsia" w:ascii="Times New Roman" w:hAnsi="Times New Roman" w:eastAsia="宋体" w:cs="Times New Roman"/>
          <w:b/>
          <w:bCs/>
          <w:snapToGrid/>
          <w:color w:val="auto"/>
          <w:kern w:val="2"/>
          <w:sz w:val="24"/>
          <w:szCs w:val="22"/>
          <w:highlight w:val="none"/>
          <w:lang w:val="en-US" w:eastAsia="zh-CN" w:bidi="ar-SA"/>
        </w:rPr>
        <w:t>5</w:t>
      </w:r>
      <w:r>
        <w:rPr>
          <w:rFonts w:hint="default" w:ascii="Times New Roman" w:hAnsi="Times New Roman" w:eastAsia="宋体" w:cs="Times New Roman"/>
          <w:b/>
          <w:bCs/>
          <w:snapToGrid/>
          <w:color w:val="auto"/>
          <w:kern w:val="2"/>
          <w:sz w:val="24"/>
          <w:szCs w:val="22"/>
          <w:highlight w:val="none"/>
          <w:lang w:val="en-US" w:eastAsia="zh-CN" w:bidi="ar-SA"/>
        </w:rPr>
        <w:t>-</w:t>
      </w:r>
      <w:r>
        <w:rPr>
          <w:rFonts w:hint="eastAsia" w:ascii="Times New Roman" w:hAnsi="Times New Roman" w:eastAsia="宋体" w:cs="Times New Roman"/>
          <w:b/>
          <w:bCs/>
          <w:snapToGrid/>
          <w:color w:val="auto"/>
          <w:kern w:val="2"/>
          <w:sz w:val="24"/>
          <w:szCs w:val="22"/>
          <w:highlight w:val="none"/>
          <w:lang w:val="en-US" w:eastAsia="zh-CN" w:bidi="ar-SA"/>
        </w:rPr>
        <w:t>6</w:t>
      </w:r>
      <w:r>
        <w:rPr>
          <w:rFonts w:hint="default" w:ascii="Times New Roman" w:hAnsi="Times New Roman" w:eastAsia="宋体" w:cs="Times New Roman"/>
          <w:b/>
          <w:bCs/>
          <w:snapToGrid/>
          <w:color w:val="auto"/>
          <w:kern w:val="2"/>
          <w:sz w:val="24"/>
          <w:szCs w:val="22"/>
          <w:highlight w:val="none"/>
          <w:lang w:val="en-US" w:eastAsia="zh-CN" w:bidi="ar-SA"/>
        </w:rPr>
        <w:t xml:space="preserve">  </w:t>
      </w:r>
      <w:r>
        <w:rPr>
          <w:rFonts w:hint="eastAsia" w:ascii="Times New Roman" w:hAnsi="Times New Roman" w:eastAsia="宋体" w:cs="Times New Roman"/>
          <w:b/>
          <w:bCs/>
          <w:snapToGrid/>
          <w:color w:val="auto"/>
          <w:kern w:val="2"/>
          <w:sz w:val="24"/>
          <w:szCs w:val="22"/>
          <w:highlight w:val="none"/>
          <w:lang w:val="en-US" w:eastAsia="zh-CN" w:bidi="ar-SA"/>
        </w:rPr>
        <w:t>含水层弥散度类比取值表</w:t>
      </w:r>
    </w:p>
    <w:tbl>
      <w:tblPr>
        <w:tblStyle w:val="49"/>
        <w:tblW w:w="91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7"/>
        <w:gridCol w:w="2138"/>
        <w:gridCol w:w="1450"/>
        <w:gridCol w:w="2374"/>
      </w:tblGrid>
      <w:tr w14:paraId="3333D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3187" w:type="dxa"/>
            <w:tcBorders>
              <w:tl2br w:val="nil"/>
              <w:tr2bl w:val="nil"/>
            </w:tcBorders>
            <w:noWrap w:val="0"/>
            <w:vAlign w:val="center"/>
          </w:tcPr>
          <w:p w14:paraId="516085AF">
            <w:pPr>
              <w:pStyle w:val="571"/>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highlight w:val="none"/>
              </w:rPr>
            </w:pPr>
            <w:r>
              <w:rPr>
                <w:rFonts w:hint="eastAsia"/>
                <w:b/>
                <w:color w:val="auto"/>
                <w:sz w:val="21"/>
                <w:szCs w:val="21"/>
                <w:highlight w:val="none"/>
              </w:rPr>
              <w:t>粒径变化范围</w:t>
            </w:r>
            <w:r>
              <w:rPr>
                <w:rFonts w:hint="default"/>
                <w:b/>
                <w:color w:val="auto"/>
                <w:sz w:val="21"/>
                <w:szCs w:val="21"/>
                <w:highlight w:val="none"/>
              </w:rPr>
              <w:t>(mm)</w:t>
            </w:r>
          </w:p>
        </w:tc>
        <w:tc>
          <w:tcPr>
            <w:tcW w:w="2138" w:type="dxa"/>
            <w:tcBorders>
              <w:tl2br w:val="nil"/>
              <w:tr2bl w:val="nil"/>
            </w:tcBorders>
            <w:noWrap w:val="0"/>
            <w:vAlign w:val="center"/>
          </w:tcPr>
          <w:p w14:paraId="4B884B9D">
            <w:pPr>
              <w:pStyle w:val="571"/>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highlight w:val="none"/>
              </w:rPr>
            </w:pPr>
            <w:r>
              <w:rPr>
                <w:rFonts w:hint="eastAsia"/>
                <w:b/>
                <w:color w:val="auto"/>
                <w:sz w:val="21"/>
                <w:szCs w:val="21"/>
                <w:highlight w:val="none"/>
              </w:rPr>
              <w:t>均匀度系数</w:t>
            </w:r>
          </w:p>
        </w:tc>
        <w:tc>
          <w:tcPr>
            <w:tcW w:w="1450" w:type="dxa"/>
            <w:tcBorders>
              <w:tl2br w:val="nil"/>
              <w:tr2bl w:val="nil"/>
            </w:tcBorders>
            <w:noWrap w:val="0"/>
            <w:vAlign w:val="center"/>
          </w:tcPr>
          <w:p w14:paraId="075EB8A6">
            <w:pPr>
              <w:pStyle w:val="571"/>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highlight w:val="none"/>
              </w:rPr>
            </w:pPr>
            <w:r>
              <w:rPr>
                <w:rFonts w:hint="eastAsia"/>
                <w:b/>
                <w:color w:val="auto"/>
                <w:sz w:val="21"/>
                <w:szCs w:val="21"/>
                <w:highlight w:val="none"/>
              </w:rPr>
              <w:t>指数</w:t>
            </w:r>
            <w:r>
              <w:rPr>
                <w:rFonts w:hint="default"/>
                <w:b/>
                <w:color w:val="auto"/>
                <w:sz w:val="21"/>
                <w:szCs w:val="21"/>
                <w:highlight w:val="none"/>
              </w:rPr>
              <w:t>m</w:t>
            </w:r>
          </w:p>
        </w:tc>
        <w:tc>
          <w:tcPr>
            <w:tcW w:w="2374" w:type="dxa"/>
            <w:tcBorders>
              <w:tl2br w:val="nil"/>
              <w:tr2bl w:val="nil"/>
            </w:tcBorders>
            <w:noWrap w:val="0"/>
            <w:vAlign w:val="center"/>
          </w:tcPr>
          <w:p w14:paraId="66DE9664">
            <w:pPr>
              <w:pStyle w:val="571"/>
              <w:keepNext w:val="0"/>
              <w:keepLines w:val="0"/>
              <w:suppressLineNumbers w:val="0"/>
              <w:spacing w:before="0" w:beforeAutospacing="0" w:after="0" w:afterAutospacing="0" w:line="240" w:lineRule="auto"/>
              <w:ind w:left="0" w:right="0" w:firstLine="0" w:firstLineChars="0"/>
              <w:jc w:val="center"/>
              <w:rPr>
                <w:rFonts w:hint="default"/>
                <w:b/>
                <w:color w:val="auto"/>
                <w:sz w:val="21"/>
                <w:szCs w:val="21"/>
                <w:highlight w:val="none"/>
              </w:rPr>
            </w:pPr>
            <w:r>
              <w:rPr>
                <w:rFonts w:hint="eastAsia"/>
                <w:b/>
                <w:color w:val="auto"/>
                <w:sz w:val="21"/>
                <w:szCs w:val="21"/>
                <w:highlight w:val="none"/>
              </w:rPr>
              <w:t>弥散度</w:t>
            </w:r>
            <w:r>
              <w:rPr>
                <w:rFonts w:hint="default" w:ascii="Times New Roman" w:hAnsi="Times New Roman" w:cs="Times New Roman"/>
                <w:color w:val="auto"/>
                <w:highlight w:val="none"/>
                <w:lang w:val="en-US" w:eastAsia="zh-CN"/>
              </w:rPr>
              <w:t>α</w:t>
            </w:r>
            <w:r>
              <w:rPr>
                <w:rFonts w:hint="default" w:ascii="Times New Roman" w:hAnsi="Times New Roman" w:cs="Times New Roman"/>
                <w:color w:val="auto"/>
                <w:highlight w:val="none"/>
                <w:vertAlign w:val="subscript"/>
              </w:rPr>
              <w:t>L</w:t>
            </w:r>
            <w:r>
              <w:rPr>
                <w:rFonts w:hint="default"/>
                <w:b/>
                <w:color w:val="auto"/>
                <w:sz w:val="21"/>
                <w:szCs w:val="21"/>
                <w:highlight w:val="none"/>
              </w:rPr>
              <w:t>(m)</w:t>
            </w:r>
          </w:p>
        </w:tc>
      </w:tr>
      <w:tr w14:paraId="297A7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87" w:type="dxa"/>
            <w:tcBorders>
              <w:tl2br w:val="nil"/>
              <w:tr2bl w:val="nil"/>
            </w:tcBorders>
            <w:noWrap w:val="0"/>
            <w:vAlign w:val="center"/>
          </w:tcPr>
          <w:p w14:paraId="53E01B6E">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0.4-0.7</w:t>
            </w:r>
          </w:p>
        </w:tc>
        <w:tc>
          <w:tcPr>
            <w:tcW w:w="2138" w:type="dxa"/>
            <w:tcBorders>
              <w:tl2br w:val="nil"/>
              <w:tr2bl w:val="nil"/>
            </w:tcBorders>
            <w:noWrap w:val="0"/>
            <w:vAlign w:val="center"/>
          </w:tcPr>
          <w:p w14:paraId="26737E55">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1.55</w:t>
            </w:r>
          </w:p>
        </w:tc>
        <w:tc>
          <w:tcPr>
            <w:tcW w:w="1450" w:type="dxa"/>
            <w:tcBorders>
              <w:tl2br w:val="nil"/>
              <w:tr2bl w:val="nil"/>
            </w:tcBorders>
            <w:noWrap w:val="0"/>
            <w:vAlign w:val="center"/>
          </w:tcPr>
          <w:p w14:paraId="08F77634">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1.09</w:t>
            </w:r>
          </w:p>
        </w:tc>
        <w:tc>
          <w:tcPr>
            <w:tcW w:w="2374" w:type="dxa"/>
            <w:tcBorders>
              <w:tl2br w:val="nil"/>
              <w:tr2bl w:val="nil"/>
            </w:tcBorders>
            <w:noWrap w:val="0"/>
            <w:vAlign w:val="center"/>
          </w:tcPr>
          <w:p w14:paraId="171BE01F">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3.96</w:t>
            </w:r>
          </w:p>
        </w:tc>
      </w:tr>
      <w:tr w14:paraId="4A994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87" w:type="dxa"/>
            <w:tcBorders>
              <w:tl2br w:val="nil"/>
              <w:tr2bl w:val="nil"/>
            </w:tcBorders>
            <w:noWrap w:val="0"/>
            <w:vAlign w:val="center"/>
          </w:tcPr>
          <w:p w14:paraId="651E6AFC">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0.5-1.5</w:t>
            </w:r>
          </w:p>
        </w:tc>
        <w:tc>
          <w:tcPr>
            <w:tcW w:w="2138" w:type="dxa"/>
            <w:tcBorders>
              <w:tl2br w:val="nil"/>
              <w:tr2bl w:val="nil"/>
            </w:tcBorders>
            <w:noWrap w:val="0"/>
            <w:vAlign w:val="center"/>
          </w:tcPr>
          <w:p w14:paraId="1A509586">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1.85</w:t>
            </w:r>
          </w:p>
        </w:tc>
        <w:tc>
          <w:tcPr>
            <w:tcW w:w="1450" w:type="dxa"/>
            <w:tcBorders>
              <w:tl2br w:val="nil"/>
              <w:tr2bl w:val="nil"/>
            </w:tcBorders>
            <w:noWrap w:val="0"/>
            <w:vAlign w:val="center"/>
          </w:tcPr>
          <w:p w14:paraId="738F94BE">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1.1</w:t>
            </w:r>
          </w:p>
        </w:tc>
        <w:tc>
          <w:tcPr>
            <w:tcW w:w="2374" w:type="dxa"/>
            <w:tcBorders>
              <w:tl2br w:val="nil"/>
              <w:tr2bl w:val="nil"/>
            </w:tcBorders>
            <w:noWrap w:val="0"/>
            <w:vAlign w:val="center"/>
          </w:tcPr>
          <w:p w14:paraId="703BBA02">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5.78</w:t>
            </w:r>
          </w:p>
        </w:tc>
      </w:tr>
      <w:tr w14:paraId="6ECFC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87" w:type="dxa"/>
            <w:tcBorders>
              <w:tl2br w:val="nil"/>
              <w:tr2bl w:val="nil"/>
            </w:tcBorders>
            <w:noWrap w:val="0"/>
            <w:vAlign w:val="center"/>
          </w:tcPr>
          <w:p w14:paraId="1208D022">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1-2</w:t>
            </w:r>
          </w:p>
        </w:tc>
        <w:tc>
          <w:tcPr>
            <w:tcW w:w="2138" w:type="dxa"/>
            <w:tcBorders>
              <w:tl2br w:val="nil"/>
              <w:tr2bl w:val="nil"/>
            </w:tcBorders>
            <w:noWrap w:val="0"/>
            <w:vAlign w:val="center"/>
          </w:tcPr>
          <w:p w14:paraId="144772FC">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1.6</w:t>
            </w:r>
          </w:p>
        </w:tc>
        <w:tc>
          <w:tcPr>
            <w:tcW w:w="1450" w:type="dxa"/>
            <w:tcBorders>
              <w:tl2br w:val="nil"/>
              <w:tr2bl w:val="nil"/>
            </w:tcBorders>
            <w:noWrap w:val="0"/>
            <w:vAlign w:val="center"/>
          </w:tcPr>
          <w:p w14:paraId="52E9B71C">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1.1</w:t>
            </w:r>
          </w:p>
        </w:tc>
        <w:tc>
          <w:tcPr>
            <w:tcW w:w="2374" w:type="dxa"/>
            <w:tcBorders>
              <w:tl2br w:val="nil"/>
              <w:tr2bl w:val="nil"/>
            </w:tcBorders>
            <w:noWrap w:val="0"/>
            <w:vAlign w:val="center"/>
          </w:tcPr>
          <w:p w14:paraId="0DDD194A">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8.8</w:t>
            </w:r>
          </w:p>
        </w:tc>
      </w:tr>
      <w:tr w14:paraId="73F2E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87" w:type="dxa"/>
            <w:tcBorders>
              <w:tl2br w:val="nil"/>
              <w:tr2bl w:val="nil"/>
            </w:tcBorders>
            <w:noWrap w:val="0"/>
            <w:vAlign w:val="center"/>
          </w:tcPr>
          <w:p w14:paraId="73DBE66B">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2-3</w:t>
            </w:r>
          </w:p>
        </w:tc>
        <w:tc>
          <w:tcPr>
            <w:tcW w:w="2138" w:type="dxa"/>
            <w:tcBorders>
              <w:tl2br w:val="nil"/>
              <w:tr2bl w:val="nil"/>
            </w:tcBorders>
            <w:noWrap w:val="0"/>
            <w:vAlign w:val="center"/>
          </w:tcPr>
          <w:p w14:paraId="51806A5C">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1.3</w:t>
            </w:r>
          </w:p>
        </w:tc>
        <w:tc>
          <w:tcPr>
            <w:tcW w:w="1450" w:type="dxa"/>
            <w:tcBorders>
              <w:tl2br w:val="nil"/>
              <w:tr2bl w:val="nil"/>
            </w:tcBorders>
            <w:noWrap w:val="0"/>
            <w:vAlign w:val="center"/>
          </w:tcPr>
          <w:p w14:paraId="3F4C0906">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1.09</w:t>
            </w:r>
          </w:p>
        </w:tc>
        <w:tc>
          <w:tcPr>
            <w:tcW w:w="2374" w:type="dxa"/>
            <w:tcBorders>
              <w:tl2br w:val="nil"/>
              <w:tr2bl w:val="nil"/>
            </w:tcBorders>
            <w:noWrap w:val="0"/>
            <w:vAlign w:val="center"/>
          </w:tcPr>
          <w:p w14:paraId="51C9C42D">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13.0</w:t>
            </w:r>
          </w:p>
        </w:tc>
      </w:tr>
      <w:tr w14:paraId="6DAA1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87" w:type="dxa"/>
            <w:tcBorders>
              <w:tl2br w:val="nil"/>
              <w:tr2bl w:val="nil"/>
            </w:tcBorders>
            <w:noWrap w:val="0"/>
            <w:vAlign w:val="center"/>
          </w:tcPr>
          <w:p w14:paraId="32F05202">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5-7</w:t>
            </w:r>
          </w:p>
        </w:tc>
        <w:tc>
          <w:tcPr>
            <w:tcW w:w="2138" w:type="dxa"/>
            <w:tcBorders>
              <w:tl2br w:val="nil"/>
              <w:tr2bl w:val="nil"/>
            </w:tcBorders>
            <w:noWrap w:val="0"/>
            <w:vAlign w:val="center"/>
          </w:tcPr>
          <w:p w14:paraId="09C41F71">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1.3</w:t>
            </w:r>
          </w:p>
        </w:tc>
        <w:tc>
          <w:tcPr>
            <w:tcW w:w="1450" w:type="dxa"/>
            <w:tcBorders>
              <w:tl2br w:val="nil"/>
              <w:tr2bl w:val="nil"/>
            </w:tcBorders>
            <w:noWrap w:val="0"/>
            <w:vAlign w:val="center"/>
          </w:tcPr>
          <w:p w14:paraId="43B5BCDE">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1.09</w:t>
            </w:r>
          </w:p>
        </w:tc>
        <w:tc>
          <w:tcPr>
            <w:tcW w:w="2374" w:type="dxa"/>
            <w:tcBorders>
              <w:tl2br w:val="nil"/>
              <w:tr2bl w:val="nil"/>
            </w:tcBorders>
            <w:noWrap w:val="0"/>
            <w:vAlign w:val="center"/>
          </w:tcPr>
          <w:p w14:paraId="7782582B">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16.7</w:t>
            </w:r>
          </w:p>
        </w:tc>
      </w:tr>
      <w:tr w14:paraId="272DC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87" w:type="dxa"/>
            <w:tcBorders>
              <w:tl2br w:val="nil"/>
              <w:tr2bl w:val="nil"/>
            </w:tcBorders>
            <w:noWrap w:val="0"/>
            <w:vAlign w:val="center"/>
          </w:tcPr>
          <w:p w14:paraId="44E026ED">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0.5-2</w:t>
            </w:r>
          </w:p>
        </w:tc>
        <w:tc>
          <w:tcPr>
            <w:tcW w:w="2138" w:type="dxa"/>
            <w:tcBorders>
              <w:tl2br w:val="nil"/>
              <w:tr2bl w:val="nil"/>
            </w:tcBorders>
            <w:noWrap w:val="0"/>
            <w:vAlign w:val="center"/>
          </w:tcPr>
          <w:p w14:paraId="6CA5C265">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2</w:t>
            </w:r>
          </w:p>
        </w:tc>
        <w:tc>
          <w:tcPr>
            <w:tcW w:w="1450" w:type="dxa"/>
            <w:tcBorders>
              <w:tl2br w:val="nil"/>
              <w:tr2bl w:val="nil"/>
            </w:tcBorders>
            <w:noWrap w:val="0"/>
            <w:vAlign w:val="center"/>
          </w:tcPr>
          <w:p w14:paraId="77086053">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1.08</w:t>
            </w:r>
          </w:p>
        </w:tc>
        <w:tc>
          <w:tcPr>
            <w:tcW w:w="2374" w:type="dxa"/>
            <w:tcBorders>
              <w:tl2br w:val="nil"/>
              <w:tr2bl w:val="nil"/>
            </w:tcBorders>
            <w:noWrap w:val="0"/>
            <w:vAlign w:val="center"/>
          </w:tcPr>
          <w:p w14:paraId="6CB702B7">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3.11</w:t>
            </w:r>
          </w:p>
        </w:tc>
      </w:tr>
      <w:tr w14:paraId="73C45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87" w:type="dxa"/>
            <w:tcBorders>
              <w:tl2br w:val="nil"/>
              <w:tr2bl w:val="nil"/>
            </w:tcBorders>
            <w:noWrap w:val="0"/>
            <w:vAlign w:val="center"/>
          </w:tcPr>
          <w:p w14:paraId="1C7DD7F0">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0.2-5</w:t>
            </w:r>
          </w:p>
        </w:tc>
        <w:tc>
          <w:tcPr>
            <w:tcW w:w="2138" w:type="dxa"/>
            <w:tcBorders>
              <w:tl2br w:val="nil"/>
              <w:tr2bl w:val="nil"/>
            </w:tcBorders>
            <w:noWrap w:val="0"/>
            <w:vAlign w:val="center"/>
          </w:tcPr>
          <w:p w14:paraId="5B03ABBC">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5</w:t>
            </w:r>
          </w:p>
        </w:tc>
        <w:tc>
          <w:tcPr>
            <w:tcW w:w="1450" w:type="dxa"/>
            <w:tcBorders>
              <w:tl2br w:val="nil"/>
              <w:tr2bl w:val="nil"/>
            </w:tcBorders>
            <w:noWrap w:val="0"/>
            <w:vAlign w:val="center"/>
          </w:tcPr>
          <w:p w14:paraId="0A24DC1E">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1.08</w:t>
            </w:r>
          </w:p>
        </w:tc>
        <w:tc>
          <w:tcPr>
            <w:tcW w:w="2374" w:type="dxa"/>
            <w:tcBorders>
              <w:tl2br w:val="nil"/>
              <w:tr2bl w:val="nil"/>
            </w:tcBorders>
            <w:noWrap w:val="0"/>
            <w:vAlign w:val="center"/>
          </w:tcPr>
          <w:p w14:paraId="0B3B4F21">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8.3</w:t>
            </w:r>
          </w:p>
        </w:tc>
      </w:tr>
      <w:tr w14:paraId="1019C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87" w:type="dxa"/>
            <w:tcBorders>
              <w:tl2br w:val="nil"/>
              <w:tr2bl w:val="nil"/>
            </w:tcBorders>
            <w:noWrap w:val="0"/>
            <w:vAlign w:val="center"/>
          </w:tcPr>
          <w:p w14:paraId="4F59ADBD">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0.1-10</w:t>
            </w:r>
          </w:p>
        </w:tc>
        <w:tc>
          <w:tcPr>
            <w:tcW w:w="2138" w:type="dxa"/>
            <w:tcBorders>
              <w:tl2br w:val="nil"/>
              <w:tr2bl w:val="nil"/>
            </w:tcBorders>
            <w:noWrap w:val="0"/>
            <w:vAlign w:val="center"/>
          </w:tcPr>
          <w:p w14:paraId="4059C1F9">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10</w:t>
            </w:r>
          </w:p>
        </w:tc>
        <w:tc>
          <w:tcPr>
            <w:tcW w:w="1450" w:type="dxa"/>
            <w:tcBorders>
              <w:tl2br w:val="nil"/>
              <w:tr2bl w:val="nil"/>
            </w:tcBorders>
            <w:noWrap w:val="0"/>
            <w:vAlign w:val="center"/>
          </w:tcPr>
          <w:p w14:paraId="429A98FF">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1.07</w:t>
            </w:r>
          </w:p>
        </w:tc>
        <w:tc>
          <w:tcPr>
            <w:tcW w:w="2374" w:type="dxa"/>
            <w:tcBorders>
              <w:tl2br w:val="nil"/>
              <w:tr2bl w:val="nil"/>
            </w:tcBorders>
            <w:noWrap w:val="0"/>
            <w:vAlign w:val="center"/>
          </w:tcPr>
          <w:p w14:paraId="49CBFA27">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16.3</w:t>
            </w:r>
          </w:p>
        </w:tc>
      </w:tr>
      <w:tr w14:paraId="199F4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187" w:type="dxa"/>
            <w:tcBorders>
              <w:tl2br w:val="nil"/>
              <w:tr2bl w:val="nil"/>
            </w:tcBorders>
            <w:noWrap w:val="0"/>
            <w:vAlign w:val="center"/>
          </w:tcPr>
          <w:p w14:paraId="3B7E63F6">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0.05-20</w:t>
            </w:r>
          </w:p>
        </w:tc>
        <w:tc>
          <w:tcPr>
            <w:tcW w:w="2138" w:type="dxa"/>
            <w:tcBorders>
              <w:tl2br w:val="nil"/>
              <w:tr2bl w:val="nil"/>
            </w:tcBorders>
            <w:noWrap w:val="0"/>
            <w:vAlign w:val="center"/>
          </w:tcPr>
          <w:p w14:paraId="40CF5B3C">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20</w:t>
            </w:r>
          </w:p>
        </w:tc>
        <w:tc>
          <w:tcPr>
            <w:tcW w:w="1450" w:type="dxa"/>
            <w:tcBorders>
              <w:tl2br w:val="nil"/>
              <w:tr2bl w:val="nil"/>
            </w:tcBorders>
            <w:noWrap w:val="0"/>
            <w:vAlign w:val="center"/>
          </w:tcPr>
          <w:p w14:paraId="2F36186B">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1.07</w:t>
            </w:r>
          </w:p>
        </w:tc>
        <w:tc>
          <w:tcPr>
            <w:tcW w:w="2374" w:type="dxa"/>
            <w:tcBorders>
              <w:tl2br w:val="nil"/>
              <w:tr2bl w:val="nil"/>
            </w:tcBorders>
            <w:noWrap w:val="0"/>
            <w:vAlign w:val="center"/>
          </w:tcPr>
          <w:p w14:paraId="077A2B0B">
            <w:pPr>
              <w:pStyle w:val="571"/>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none"/>
              </w:rPr>
            </w:pPr>
            <w:r>
              <w:rPr>
                <w:rFonts w:hint="default"/>
                <w:color w:val="auto"/>
                <w:sz w:val="21"/>
                <w:szCs w:val="21"/>
                <w:highlight w:val="none"/>
              </w:rPr>
              <w:t>70.7</w:t>
            </w:r>
          </w:p>
        </w:tc>
      </w:tr>
    </w:tbl>
    <w:p w14:paraId="17F9C0FD">
      <w:pPr>
        <w:autoSpaceDE w:val="0"/>
        <w:autoSpaceDN w:val="0"/>
        <w:adjustRightInd w:val="0"/>
        <w:snapToGrid w:val="0"/>
        <w:spacing w:line="360" w:lineRule="auto"/>
        <w:ind w:firstLine="480" w:firstLineChars="200"/>
        <w:jc w:val="left"/>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计算参数结果见表</w:t>
      </w:r>
      <w:r>
        <w:rPr>
          <w:rFonts w:ascii="Times New Roman" w:hAnsi="Times New Roman" w:eastAsia="宋体" w:cs="Times New Roman"/>
          <w:color w:val="auto"/>
          <w:sz w:val="24"/>
          <w:szCs w:val="24"/>
          <w:highlight w:val="none"/>
        </w:rPr>
        <w:t>5.</w:t>
      </w:r>
      <w:r>
        <w:rPr>
          <w:rFonts w:hint="eastAsia" w:ascii="Times New Roman" w:hAnsi="Times New Roman" w:eastAsia="宋体" w:cs="Times New Roman"/>
          <w:color w:val="auto"/>
          <w:sz w:val="24"/>
          <w:szCs w:val="24"/>
          <w:highlight w:val="none"/>
          <w:lang w:val="en-US" w:eastAsia="zh-CN"/>
        </w:rPr>
        <w:t>2</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5</w:t>
      </w:r>
      <w:r>
        <w:rPr>
          <w:rFonts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7</w:t>
      </w:r>
      <w:r>
        <w:rPr>
          <w:rFonts w:hint="eastAsia" w:ascii="Times New Roman" w:hAnsi="Times New Roman" w:eastAsia="宋体" w:cs="Times New Roman"/>
          <w:color w:val="auto"/>
          <w:sz w:val="24"/>
          <w:szCs w:val="24"/>
          <w:highlight w:val="none"/>
        </w:rPr>
        <w:t>。</w:t>
      </w:r>
    </w:p>
    <w:p w14:paraId="5C79289B">
      <w:pPr>
        <w:keepNext w:val="0"/>
        <w:keepLines w:val="0"/>
        <w:pageBreakBefore w:val="0"/>
        <w:widowControl/>
        <w:kinsoku/>
        <w:wordWrap/>
        <w:overflowPunct/>
        <w:topLinePunct w:val="0"/>
        <w:autoSpaceDE/>
        <w:autoSpaceDN/>
        <w:bidi w:val="0"/>
        <w:adjustRightInd/>
        <w:snapToGrid w:val="0"/>
        <w:spacing w:line="360" w:lineRule="auto"/>
        <w:ind w:firstLine="964" w:firstLineChars="400"/>
        <w:jc w:val="center"/>
        <w:textAlignment w:val="auto"/>
        <w:rPr>
          <w:rFonts w:ascii="Times New Roman" w:hAnsi="宋体" w:eastAsia="宋体" w:cs="Times New Roman"/>
          <w:b/>
          <w:color w:val="auto"/>
          <w:kern w:val="0"/>
          <w:sz w:val="24"/>
          <w:highlight w:val="none"/>
        </w:rPr>
      </w:pPr>
      <w:r>
        <w:rPr>
          <w:rFonts w:hint="eastAsia" w:ascii="Times New Roman" w:hAnsi="Times New Roman" w:eastAsia="宋体" w:cs="Times New Roman"/>
          <w:b/>
          <w:bCs/>
          <w:color w:val="auto"/>
          <w:kern w:val="2"/>
          <w:sz w:val="24"/>
          <w:szCs w:val="22"/>
          <w:highlight w:val="none"/>
          <w:lang w:val="en-US" w:eastAsia="zh-CN" w:bidi="ar-SA"/>
        </w:rPr>
        <w:t>表</w:t>
      </w:r>
      <w:r>
        <w:rPr>
          <w:rFonts w:hint="default" w:ascii="Times New Roman" w:hAnsi="Times New Roman" w:eastAsia="宋体" w:cs="Times New Roman"/>
          <w:b/>
          <w:bCs/>
          <w:color w:val="auto"/>
          <w:kern w:val="2"/>
          <w:sz w:val="24"/>
          <w:szCs w:val="22"/>
          <w:highlight w:val="none"/>
          <w:lang w:val="en-US" w:eastAsia="zh-CN" w:bidi="ar-SA"/>
        </w:rPr>
        <w:t>5.</w:t>
      </w:r>
      <w:r>
        <w:rPr>
          <w:rFonts w:hint="eastAsia" w:ascii="Times New Roman" w:hAnsi="Times New Roman" w:eastAsia="宋体" w:cs="Times New Roman"/>
          <w:b/>
          <w:bCs/>
          <w:color w:val="auto"/>
          <w:kern w:val="2"/>
          <w:sz w:val="24"/>
          <w:szCs w:val="22"/>
          <w:highlight w:val="none"/>
          <w:lang w:val="en-US" w:eastAsia="zh-CN" w:bidi="ar-SA"/>
        </w:rPr>
        <w:t>2</w:t>
      </w:r>
      <w:r>
        <w:rPr>
          <w:rFonts w:hint="default" w:ascii="Times New Roman" w:hAnsi="Times New Roman" w:eastAsia="宋体" w:cs="Times New Roman"/>
          <w:b/>
          <w:bCs/>
          <w:color w:val="auto"/>
          <w:kern w:val="2"/>
          <w:sz w:val="24"/>
          <w:szCs w:val="22"/>
          <w:highlight w:val="none"/>
          <w:lang w:val="en-US" w:eastAsia="zh-CN" w:bidi="ar-SA"/>
        </w:rPr>
        <w:t>.</w:t>
      </w:r>
      <w:r>
        <w:rPr>
          <w:rFonts w:hint="eastAsia" w:ascii="Times New Roman" w:hAnsi="Times New Roman" w:eastAsia="宋体" w:cs="Times New Roman"/>
          <w:b/>
          <w:bCs/>
          <w:color w:val="auto"/>
          <w:kern w:val="2"/>
          <w:sz w:val="24"/>
          <w:szCs w:val="22"/>
          <w:highlight w:val="none"/>
          <w:lang w:val="en-US" w:eastAsia="zh-CN" w:bidi="ar-SA"/>
        </w:rPr>
        <w:t>5</w:t>
      </w:r>
      <w:r>
        <w:rPr>
          <w:rFonts w:hint="default" w:ascii="Times New Roman" w:hAnsi="Times New Roman" w:eastAsia="宋体" w:cs="Times New Roman"/>
          <w:b/>
          <w:bCs/>
          <w:color w:val="auto"/>
          <w:kern w:val="2"/>
          <w:sz w:val="24"/>
          <w:szCs w:val="22"/>
          <w:highlight w:val="none"/>
          <w:lang w:val="en-US" w:eastAsia="zh-CN" w:bidi="ar-SA"/>
        </w:rPr>
        <w:t>-</w:t>
      </w:r>
      <w:r>
        <w:rPr>
          <w:rFonts w:hint="eastAsia" w:ascii="Times New Roman" w:hAnsi="Times New Roman" w:eastAsia="宋体" w:cs="Times New Roman"/>
          <w:b/>
          <w:bCs/>
          <w:color w:val="auto"/>
          <w:kern w:val="2"/>
          <w:sz w:val="24"/>
          <w:szCs w:val="22"/>
          <w:highlight w:val="none"/>
          <w:lang w:val="en-US" w:eastAsia="zh-CN" w:bidi="ar-SA"/>
        </w:rPr>
        <w:t>7</w:t>
      </w:r>
      <w:r>
        <w:rPr>
          <w:rFonts w:hint="default" w:ascii="Times New Roman" w:hAnsi="Times New Roman" w:eastAsia="宋体" w:cs="Times New Roman"/>
          <w:b/>
          <w:bCs/>
          <w:color w:val="auto"/>
          <w:kern w:val="2"/>
          <w:sz w:val="24"/>
          <w:szCs w:val="22"/>
          <w:highlight w:val="none"/>
          <w:lang w:val="en-US" w:eastAsia="zh-CN" w:bidi="ar-SA"/>
        </w:rPr>
        <w:t xml:space="preserve">  </w:t>
      </w:r>
      <w:r>
        <w:rPr>
          <w:rFonts w:hint="eastAsia" w:ascii="Times New Roman" w:hAnsi="Times New Roman" w:eastAsia="宋体" w:cs="Times New Roman"/>
          <w:b/>
          <w:bCs/>
          <w:color w:val="auto"/>
          <w:kern w:val="2"/>
          <w:sz w:val="24"/>
          <w:szCs w:val="22"/>
          <w:highlight w:val="none"/>
          <w:lang w:val="en-US" w:eastAsia="zh-CN" w:bidi="ar-SA"/>
        </w:rPr>
        <w:t>计算参数一览表</w:t>
      </w:r>
    </w:p>
    <w:tbl>
      <w:tblPr>
        <w:tblStyle w:val="4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5"/>
        <w:gridCol w:w="1602"/>
        <w:gridCol w:w="1691"/>
        <w:gridCol w:w="3192"/>
      </w:tblGrid>
      <w:tr w14:paraId="2DEB3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1194" w:type="pct"/>
            <w:vMerge w:val="restart"/>
            <w:tcBorders>
              <w:tl2br w:val="single" w:color="auto" w:sz="4" w:space="0"/>
            </w:tcBorders>
            <w:noWrap w:val="0"/>
            <w:vAlign w:val="center"/>
          </w:tcPr>
          <w:p w14:paraId="326DDAAD">
            <w:pPr>
              <w:keepNext w:val="0"/>
              <w:keepLines w:val="0"/>
              <w:suppressLineNumbers w:val="0"/>
              <w:adjustRightInd w:val="0"/>
              <w:snapToGrid w:val="0"/>
              <w:spacing w:before="0" w:beforeAutospacing="0" w:after="0" w:afterAutospacing="0"/>
              <w:ind w:left="0" w:right="0"/>
              <w:jc w:val="right"/>
              <w:rPr>
                <w:rFonts w:hint="default" w:ascii="Times New Roman" w:hAnsi="Times New Roman" w:eastAsia="宋体" w:cs="Times New Roman"/>
                <w:b/>
                <w:color w:val="auto"/>
                <w:sz w:val="21"/>
                <w:szCs w:val="21"/>
                <w:highlight w:val="none"/>
              </w:rPr>
            </w:pPr>
            <w:r>
              <w:rPr>
                <w:rFonts w:hint="eastAsia" w:ascii="Times New Roman" w:hAnsi="Times New Roman" w:eastAsia="宋体" w:cs="Times New Roman"/>
                <w:b/>
                <w:color w:val="auto"/>
                <w:sz w:val="21"/>
                <w:szCs w:val="21"/>
                <w:highlight w:val="none"/>
              </w:rPr>
              <w:t>参数</w:t>
            </w:r>
          </w:p>
          <w:p w14:paraId="5E4A6E54">
            <w:pPr>
              <w:keepNext w:val="0"/>
              <w:keepLines w:val="0"/>
              <w:suppressLineNumbers w:val="0"/>
              <w:adjustRightInd w:val="0"/>
              <w:snapToGrid w:val="0"/>
              <w:spacing w:before="0" w:beforeAutospacing="0" w:after="0" w:afterAutospacing="0"/>
              <w:ind w:left="0" w:right="0" w:firstLine="105" w:firstLineChars="50"/>
              <w:rPr>
                <w:rFonts w:hint="default" w:ascii="Times New Roman" w:hAnsi="Times New Roman" w:eastAsia="宋体" w:cs="Times New Roman"/>
                <w:b/>
                <w:color w:val="auto"/>
                <w:sz w:val="21"/>
                <w:szCs w:val="21"/>
                <w:highlight w:val="none"/>
              </w:rPr>
            </w:pPr>
            <w:r>
              <w:rPr>
                <w:rFonts w:hint="eastAsia" w:ascii="Times New Roman" w:hAnsi="Times New Roman" w:eastAsia="宋体" w:cs="Times New Roman"/>
                <w:b/>
                <w:color w:val="auto"/>
                <w:sz w:val="21"/>
                <w:szCs w:val="21"/>
                <w:highlight w:val="none"/>
              </w:rPr>
              <w:t>含水层</w:t>
            </w:r>
          </w:p>
        </w:tc>
        <w:tc>
          <w:tcPr>
            <w:tcW w:w="940" w:type="pct"/>
            <w:vMerge w:val="restart"/>
            <w:tcBorders>
              <w:tl2br w:val="nil"/>
              <w:tr2bl w:val="nil"/>
            </w:tcBorders>
            <w:noWrap w:val="0"/>
            <w:vAlign w:val="center"/>
          </w:tcPr>
          <w:p w14:paraId="281D980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eastAsia" w:ascii="Times New Roman" w:hAnsi="Times New Roman" w:eastAsia="宋体" w:cs="Times New Roman"/>
                <w:b/>
                <w:color w:val="auto"/>
                <w:sz w:val="21"/>
                <w:szCs w:val="21"/>
                <w:highlight w:val="none"/>
              </w:rPr>
              <w:t>地下水实际流速</w:t>
            </w:r>
            <w:r>
              <w:rPr>
                <w:rFonts w:hint="default" w:ascii="Times New Roman" w:hAnsi="Times New Roman" w:eastAsia="宋体" w:cs="Times New Roman"/>
                <w:b/>
                <w:i/>
                <w:color w:val="auto"/>
                <w:sz w:val="21"/>
                <w:szCs w:val="21"/>
                <w:highlight w:val="none"/>
              </w:rPr>
              <w:t>U</w:t>
            </w:r>
            <w:r>
              <w:rPr>
                <w:rFonts w:hint="eastAsia"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rPr>
              <w:t>m/d</w:t>
            </w:r>
            <w:r>
              <w:rPr>
                <w:rFonts w:hint="eastAsia" w:ascii="Times New Roman" w:hAnsi="Times New Roman" w:eastAsia="宋体" w:cs="Times New Roman"/>
                <w:b/>
                <w:color w:val="auto"/>
                <w:sz w:val="21"/>
                <w:szCs w:val="21"/>
                <w:highlight w:val="none"/>
              </w:rPr>
              <w:t>）</w:t>
            </w:r>
          </w:p>
        </w:tc>
        <w:tc>
          <w:tcPr>
            <w:tcW w:w="992" w:type="pct"/>
            <w:vMerge w:val="restart"/>
            <w:tcBorders>
              <w:tl2br w:val="nil"/>
              <w:tr2bl w:val="nil"/>
            </w:tcBorders>
            <w:noWrap w:val="0"/>
            <w:vAlign w:val="center"/>
          </w:tcPr>
          <w:p w14:paraId="4876792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eastAsia" w:ascii="Times New Roman" w:hAnsi="Times New Roman" w:eastAsia="宋体" w:cs="Times New Roman"/>
                <w:b/>
                <w:color w:val="auto"/>
                <w:sz w:val="21"/>
                <w:szCs w:val="21"/>
                <w:highlight w:val="none"/>
              </w:rPr>
              <w:t>纵向弥散系数</w:t>
            </w:r>
            <w:r>
              <w:rPr>
                <w:rFonts w:hint="default" w:ascii="Times New Roman" w:hAnsi="Times New Roman" w:eastAsia="宋体" w:cs="Times New Roman"/>
                <w:b/>
                <w:i/>
                <w:color w:val="auto"/>
                <w:sz w:val="21"/>
                <w:szCs w:val="21"/>
                <w:highlight w:val="none"/>
              </w:rPr>
              <w:t>D</w:t>
            </w:r>
            <w:r>
              <w:rPr>
                <w:rFonts w:hint="default" w:ascii="Times New Roman" w:hAnsi="Times New Roman" w:eastAsia="宋体" w:cs="Times New Roman"/>
                <w:b/>
                <w:color w:val="auto"/>
                <w:sz w:val="21"/>
                <w:szCs w:val="21"/>
                <w:highlight w:val="none"/>
                <w:vertAlign w:val="subscript"/>
              </w:rPr>
              <w:t>L</w:t>
            </w:r>
            <w:r>
              <w:rPr>
                <w:rFonts w:hint="eastAsia"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rPr>
              <w:t>m</w:t>
            </w:r>
            <w:r>
              <w:rPr>
                <w:rFonts w:hint="default" w:ascii="Times New Roman" w:hAnsi="Times New Roman" w:eastAsia="宋体" w:cs="Times New Roman"/>
                <w:b/>
                <w:color w:val="auto"/>
                <w:sz w:val="21"/>
                <w:szCs w:val="21"/>
                <w:highlight w:val="none"/>
                <w:vertAlign w:val="superscript"/>
              </w:rPr>
              <w:t>2</w:t>
            </w:r>
            <w:r>
              <w:rPr>
                <w:rFonts w:hint="default" w:ascii="Times New Roman" w:hAnsi="Times New Roman" w:eastAsia="宋体" w:cs="Times New Roman"/>
                <w:b/>
                <w:color w:val="auto"/>
                <w:sz w:val="21"/>
                <w:szCs w:val="21"/>
                <w:highlight w:val="none"/>
              </w:rPr>
              <w:t>/d</w:t>
            </w:r>
            <w:r>
              <w:rPr>
                <w:rFonts w:hint="eastAsia" w:ascii="Times New Roman" w:hAnsi="Times New Roman" w:eastAsia="宋体" w:cs="Times New Roman"/>
                <w:b/>
                <w:color w:val="auto"/>
                <w:sz w:val="21"/>
                <w:szCs w:val="21"/>
                <w:highlight w:val="none"/>
              </w:rPr>
              <w:t>）</w:t>
            </w:r>
          </w:p>
        </w:tc>
        <w:tc>
          <w:tcPr>
            <w:tcW w:w="1873" w:type="pct"/>
            <w:tcBorders>
              <w:tl2br w:val="nil"/>
              <w:tr2bl w:val="nil"/>
            </w:tcBorders>
            <w:noWrap w:val="0"/>
            <w:vAlign w:val="center"/>
          </w:tcPr>
          <w:p w14:paraId="5D19418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i/>
                <w:color w:val="auto"/>
                <w:sz w:val="21"/>
                <w:szCs w:val="21"/>
                <w:highlight w:val="none"/>
              </w:rPr>
              <w:t>C</w:t>
            </w:r>
            <w:r>
              <w:rPr>
                <w:rFonts w:hint="default" w:ascii="Times New Roman" w:hAnsi="Times New Roman" w:eastAsia="宋体" w:cs="Times New Roman"/>
                <w:b/>
                <w:color w:val="auto"/>
                <w:sz w:val="21"/>
                <w:szCs w:val="21"/>
                <w:highlight w:val="none"/>
                <w:vertAlign w:val="subscript"/>
              </w:rPr>
              <w:t>0</w:t>
            </w:r>
            <w:r>
              <w:rPr>
                <w:rFonts w:hint="eastAsia"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rPr>
              <w:t>mg/L</w:t>
            </w:r>
            <w:r>
              <w:rPr>
                <w:rFonts w:hint="eastAsia" w:ascii="Times New Roman" w:hAnsi="Times New Roman" w:eastAsia="宋体" w:cs="Times New Roman"/>
                <w:b/>
                <w:color w:val="auto"/>
                <w:sz w:val="21"/>
                <w:szCs w:val="21"/>
                <w:highlight w:val="none"/>
              </w:rPr>
              <w:t>）</w:t>
            </w:r>
          </w:p>
        </w:tc>
      </w:tr>
      <w:tr w14:paraId="321E0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94" w:type="pct"/>
            <w:vMerge w:val="continue"/>
            <w:tcBorders>
              <w:tl2br w:val="nil"/>
              <w:tr2bl w:val="nil"/>
            </w:tcBorders>
            <w:noWrap w:val="0"/>
            <w:vAlign w:val="center"/>
          </w:tcPr>
          <w:p w14:paraId="1E3BA62D">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eastAsia="宋体" w:cs="Times New Roman"/>
                <w:b/>
                <w:color w:val="auto"/>
                <w:sz w:val="21"/>
                <w:szCs w:val="21"/>
                <w:highlight w:val="none"/>
              </w:rPr>
            </w:pPr>
          </w:p>
        </w:tc>
        <w:tc>
          <w:tcPr>
            <w:tcW w:w="940" w:type="pct"/>
            <w:vMerge w:val="continue"/>
            <w:tcBorders>
              <w:tl2br w:val="nil"/>
              <w:tr2bl w:val="nil"/>
            </w:tcBorders>
            <w:noWrap w:val="0"/>
            <w:vAlign w:val="center"/>
          </w:tcPr>
          <w:p w14:paraId="4765475C">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eastAsia="宋体" w:cs="Times New Roman"/>
                <w:b/>
                <w:color w:val="auto"/>
                <w:sz w:val="21"/>
                <w:szCs w:val="21"/>
                <w:highlight w:val="none"/>
              </w:rPr>
            </w:pPr>
          </w:p>
        </w:tc>
        <w:tc>
          <w:tcPr>
            <w:tcW w:w="992" w:type="pct"/>
            <w:vMerge w:val="continue"/>
            <w:tcBorders>
              <w:tl2br w:val="nil"/>
              <w:tr2bl w:val="nil"/>
            </w:tcBorders>
            <w:noWrap w:val="0"/>
            <w:vAlign w:val="center"/>
          </w:tcPr>
          <w:p w14:paraId="52200581">
            <w:pPr>
              <w:keepNext w:val="0"/>
              <w:keepLines w:val="0"/>
              <w:widowControl/>
              <w:suppressLineNumbers w:val="0"/>
              <w:adjustRightInd w:val="0"/>
              <w:snapToGrid w:val="0"/>
              <w:spacing w:before="0" w:beforeAutospacing="0" w:after="0" w:afterAutospacing="0"/>
              <w:ind w:left="0" w:right="0"/>
              <w:jc w:val="left"/>
              <w:rPr>
                <w:rFonts w:hint="default" w:ascii="Times New Roman" w:hAnsi="Times New Roman" w:eastAsia="宋体" w:cs="Times New Roman"/>
                <w:b/>
                <w:color w:val="auto"/>
                <w:sz w:val="21"/>
                <w:szCs w:val="21"/>
                <w:highlight w:val="none"/>
              </w:rPr>
            </w:pPr>
          </w:p>
        </w:tc>
        <w:tc>
          <w:tcPr>
            <w:tcW w:w="1873" w:type="pct"/>
            <w:tcBorders>
              <w:tl2br w:val="nil"/>
              <w:tr2bl w:val="nil"/>
            </w:tcBorders>
            <w:noWrap w:val="0"/>
            <w:vAlign w:val="center"/>
          </w:tcPr>
          <w:p w14:paraId="0E6A7C4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rPr>
            </w:pPr>
            <w:r>
              <w:rPr>
                <w:rFonts w:hint="eastAsia" w:ascii="Times New Roman" w:hAnsi="Times New Roman" w:eastAsia="宋体" w:cs="Times New Roman"/>
                <w:b/>
                <w:color w:val="auto"/>
                <w:sz w:val="21"/>
                <w:szCs w:val="21"/>
                <w:highlight w:val="none"/>
                <w:lang w:val="en-US" w:eastAsia="zh-CN"/>
              </w:rPr>
              <w:t>石油类</w:t>
            </w:r>
          </w:p>
        </w:tc>
      </w:tr>
      <w:tr w14:paraId="62331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94" w:type="pct"/>
            <w:tcBorders>
              <w:tl2br w:val="nil"/>
              <w:tr2bl w:val="nil"/>
            </w:tcBorders>
            <w:noWrap w:val="0"/>
            <w:vAlign w:val="center"/>
          </w:tcPr>
          <w:p w14:paraId="2CF74D7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潜水含水层</w:t>
            </w:r>
          </w:p>
        </w:tc>
        <w:tc>
          <w:tcPr>
            <w:tcW w:w="940" w:type="pct"/>
            <w:tcBorders>
              <w:tl2br w:val="nil"/>
              <w:tr2bl w:val="nil"/>
            </w:tcBorders>
            <w:noWrap w:val="0"/>
            <w:vAlign w:val="center"/>
          </w:tcPr>
          <w:p w14:paraId="380AEB5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-3</w:t>
            </w:r>
          </w:p>
        </w:tc>
        <w:tc>
          <w:tcPr>
            <w:tcW w:w="992" w:type="pct"/>
            <w:tcBorders>
              <w:tl2br w:val="nil"/>
              <w:tr2bl w:val="nil"/>
            </w:tcBorders>
            <w:noWrap w:val="0"/>
            <w:vAlign w:val="center"/>
          </w:tcPr>
          <w:p w14:paraId="2E68E55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0.07</w:t>
            </w:r>
          </w:p>
        </w:tc>
        <w:tc>
          <w:tcPr>
            <w:tcW w:w="1873" w:type="pct"/>
            <w:tcBorders>
              <w:tl2br w:val="nil"/>
              <w:tr2bl w:val="nil"/>
            </w:tcBorders>
            <w:noWrap w:val="0"/>
            <w:vAlign w:val="center"/>
          </w:tcPr>
          <w:p w14:paraId="0502019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25</w:t>
            </w:r>
          </w:p>
        </w:tc>
      </w:tr>
    </w:tbl>
    <w:p w14:paraId="1A7AFC62">
      <w:pPr>
        <w:widowControl/>
        <w:spacing w:line="500" w:lineRule="exact"/>
        <w:ind w:firstLine="964" w:firstLineChars="400"/>
        <w:jc w:val="center"/>
        <w:rPr>
          <w:rFonts w:hint="eastAsia"/>
          <w:b/>
          <w:color w:val="auto"/>
          <w:kern w:val="0"/>
          <w:sz w:val="24"/>
          <w:highlight w:val="none"/>
        </w:rPr>
      </w:pPr>
      <w:r>
        <w:rPr>
          <w:rFonts w:hint="default" w:ascii="Times New Roman" w:hAnsi="Times New Roman" w:eastAsia="宋体" w:cs="Times New Roman"/>
          <w:b/>
          <w:bCs/>
          <w:color w:val="auto"/>
          <w:kern w:val="2"/>
          <w:sz w:val="24"/>
          <w:szCs w:val="22"/>
          <w:highlight w:val="none"/>
          <w:lang w:val="en-US" w:eastAsia="zh-CN" w:bidi="ar-SA"/>
        </w:rPr>
        <w:t>表</w:t>
      </w:r>
      <w:r>
        <w:rPr>
          <w:rFonts w:hint="eastAsia" w:ascii="Times New Roman" w:hAnsi="Times New Roman" w:eastAsia="宋体" w:cs="Times New Roman"/>
          <w:b/>
          <w:bCs/>
          <w:color w:val="auto"/>
          <w:kern w:val="2"/>
          <w:sz w:val="24"/>
          <w:szCs w:val="22"/>
          <w:highlight w:val="none"/>
          <w:lang w:val="en-US" w:eastAsia="zh-CN" w:bidi="ar-SA"/>
        </w:rPr>
        <w:t>5.2.5-8  地下水中石油烃污染物质迁移情况</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2418"/>
        <w:gridCol w:w="2485"/>
        <w:gridCol w:w="2183"/>
        <w:gridCol w:w="9"/>
      </w:tblGrid>
      <w:tr w14:paraId="71226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836" w:type="pct"/>
            <w:vMerge w:val="restart"/>
            <w:noWrap w:val="0"/>
            <w:vAlign w:val="center"/>
          </w:tcPr>
          <w:p w14:paraId="4B4A4AE6">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rPr>
              <w:t>距离m</w:t>
            </w:r>
          </w:p>
        </w:tc>
        <w:tc>
          <w:tcPr>
            <w:tcW w:w="4163" w:type="pct"/>
            <w:gridSpan w:val="4"/>
            <w:noWrap w:val="0"/>
            <w:vAlign w:val="center"/>
          </w:tcPr>
          <w:p w14:paraId="1C835764">
            <w:pPr>
              <w:widowControl/>
              <w:spacing w:line="280" w:lineRule="exact"/>
              <w:jc w:val="center"/>
              <w:rPr>
                <w:rFonts w:hint="eastAsia"/>
                <w:color w:val="auto"/>
                <w:kern w:val="0"/>
                <w:szCs w:val="21"/>
                <w:highlight w:val="none"/>
                <w:lang w:val="en-US" w:eastAsia="zh-CN"/>
              </w:rPr>
            </w:pPr>
            <w:r>
              <w:rPr>
                <w:rFonts w:hint="eastAsia"/>
                <w:color w:val="auto"/>
                <w:kern w:val="0"/>
                <w:szCs w:val="21"/>
                <w:highlight w:val="none"/>
                <w:lang w:val="en-US" w:eastAsia="zh-CN"/>
              </w:rPr>
              <w:t>预测浓度（mg/l）</w:t>
            </w:r>
          </w:p>
        </w:tc>
      </w:tr>
      <w:tr w14:paraId="2B5ED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vMerge w:val="continue"/>
            <w:noWrap w:val="0"/>
            <w:vAlign w:val="center"/>
          </w:tcPr>
          <w:p w14:paraId="63D8C3CF">
            <w:pPr>
              <w:widowControl/>
              <w:spacing w:line="280" w:lineRule="exact"/>
              <w:jc w:val="center"/>
              <w:rPr>
                <w:rFonts w:hint="eastAsia"/>
                <w:color w:val="auto"/>
                <w:kern w:val="0"/>
                <w:szCs w:val="21"/>
                <w:highlight w:val="none"/>
              </w:rPr>
            </w:pPr>
          </w:p>
        </w:tc>
        <w:tc>
          <w:tcPr>
            <w:tcW w:w="1419" w:type="pct"/>
            <w:noWrap w:val="0"/>
            <w:vAlign w:val="center"/>
          </w:tcPr>
          <w:p w14:paraId="001190E5">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100d</w:t>
            </w:r>
          </w:p>
        </w:tc>
        <w:tc>
          <w:tcPr>
            <w:tcW w:w="1458" w:type="pct"/>
            <w:noWrap w:val="0"/>
            <w:vAlign w:val="center"/>
          </w:tcPr>
          <w:p w14:paraId="5042B6DF">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1000d</w:t>
            </w:r>
          </w:p>
        </w:tc>
        <w:tc>
          <w:tcPr>
            <w:tcW w:w="1281" w:type="pct"/>
            <w:noWrap w:val="0"/>
            <w:vAlign w:val="center"/>
          </w:tcPr>
          <w:p w14:paraId="3A2E82A5">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3000d</w:t>
            </w:r>
          </w:p>
        </w:tc>
      </w:tr>
      <w:tr w14:paraId="6FB52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0A1B4A41">
            <w:pPr>
              <w:widowControl/>
              <w:spacing w:line="280" w:lineRule="exact"/>
              <w:jc w:val="center"/>
              <w:rPr>
                <w:rFonts w:hint="eastAsia" w:eastAsia="宋体"/>
                <w:color w:val="auto"/>
                <w:kern w:val="0"/>
                <w:szCs w:val="21"/>
                <w:highlight w:val="none"/>
                <w:lang w:eastAsia="zh-CN"/>
              </w:rPr>
            </w:pPr>
            <w:r>
              <w:rPr>
                <w:rFonts w:hint="eastAsia"/>
                <w:color w:val="auto"/>
                <w:kern w:val="0"/>
                <w:szCs w:val="21"/>
                <w:highlight w:val="none"/>
                <w:lang w:val="en-US" w:eastAsia="zh-CN"/>
              </w:rPr>
              <w:t>0</w:t>
            </w:r>
          </w:p>
        </w:tc>
        <w:tc>
          <w:tcPr>
            <w:tcW w:w="1419" w:type="pct"/>
            <w:noWrap w:val="0"/>
            <w:vAlign w:val="center"/>
          </w:tcPr>
          <w:p w14:paraId="4E602F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25</w:t>
            </w:r>
          </w:p>
        </w:tc>
        <w:tc>
          <w:tcPr>
            <w:tcW w:w="1458" w:type="pct"/>
            <w:noWrap w:val="0"/>
            <w:vAlign w:val="center"/>
          </w:tcPr>
          <w:p w14:paraId="117816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25</w:t>
            </w:r>
          </w:p>
        </w:tc>
        <w:tc>
          <w:tcPr>
            <w:tcW w:w="1281" w:type="pct"/>
            <w:noWrap w:val="0"/>
            <w:vAlign w:val="center"/>
          </w:tcPr>
          <w:p w14:paraId="6B3EB129">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25</w:t>
            </w:r>
          </w:p>
        </w:tc>
      </w:tr>
      <w:tr w14:paraId="6BAAB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74A0E8AF">
            <w:pPr>
              <w:widowControl/>
              <w:spacing w:line="28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10</w:t>
            </w:r>
          </w:p>
        </w:tc>
        <w:tc>
          <w:tcPr>
            <w:tcW w:w="1419" w:type="pct"/>
            <w:noWrap w:val="0"/>
            <w:vAlign w:val="center"/>
          </w:tcPr>
          <w:p w14:paraId="068B1B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0.225</w:t>
            </w:r>
          </w:p>
        </w:tc>
        <w:tc>
          <w:tcPr>
            <w:tcW w:w="1458" w:type="pct"/>
            <w:noWrap w:val="0"/>
            <w:vAlign w:val="center"/>
          </w:tcPr>
          <w:p w14:paraId="2FC027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11.8</w:t>
            </w:r>
          </w:p>
        </w:tc>
        <w:tc>
          <w:tcPr>
            <w:tcW w:w="1281" w:type="pct"/>
            <w:noWrap w:val="0"/>
            <w:vAlign w:val="center"/>
          </w:tcPr>
          <w:p w14:paraId="39EF2AD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22.7</w:t>
            </w:r>
          </w:p>
        </w:tc>
      </w:tr>
      <w:tr w14:paraId="2A5CB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708EF002">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20</w:t>
            </w:r>
          </w:p>
        </w:tc>
        <w:tc>
          <w:tcPr>
            <w:tcW w:w="1419" w:type="pct"/>
            <w:noWrap w:val="0"/>
            <w:vAlign w:val="center"/>
          </w:tcPr>
          <w:p w14:paraId="704057D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3.24×10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-6</w:t>
            </w:r>
          </w:p>
        </w:tc>
        <w:tc>
          <w:tcPr>
            <w:tcW w:w="1458" w:type="pct"/>
            <w:noWrap w:val="0"/>
            <w:vAlign w:val="center"/>
          </w:tcPr>
          <w:p w14:paraId="4F40E5E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3.21</w:t>
            </w:r>
          </w:p>
        </w:tc>
        <w:tc>
          <w:tcPr>
            <w:tcW w:w="1281" w:type="pct"/>
            <w:noWrap w:val="0"/>
            <w:vAlign w:val="center"/>
          </w:tcPr>
          <w:p w14:paraId="177E8AB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19.7</w:t>
            </w:r>
          </w:p>
        </w:tc>
      </w:tr>
      <w:tr w14:paraId="6C29A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1885A7B7">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30</w:t>
            </w:r>
          </w:p>
        </w:tc>
        <w:tc>
          <w:tcPr>
            <w:tcW w:w="1419" w:type="pct"/>
            <w:noWrap w:val="0"/>
            <w:vAlign w:val="center"/>
          </w:tcPr>
          <w:p w14:paraId="28B87D91">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4.96×10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-6</w:t>
            </w:r>
          </w:p>
        </w:tc>
        <w:tc>
          <w:tcPr>
            <w:tcW w:w="1458" w:type="pct"/>
            <w:noWrap w:val="0"/>
            <w:vAlign w:val="center"/>
          </w:tcPr>
          <w:p w14:paraId="788C26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0.474</w:t>
            </w:r>
          </w:p>
        </w:tc>
        <w:tc>
          <w:tcPr>
            <w:tcW w:w="1281" w:type="pct"/>
            <w:noWrap w:val="0"/>
            <w:vAlign w:val="center"/>
          </w:tcPr>
          <w:p w14:paraId="7CFAA7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16.4</w:t>
            </w:r>
          </w:p>
        </w:tc>
      </w:tr>
      <w:tr w14:paraId="1DBD7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261EF165">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40</w:t>
            </w:r>
          </w:p>
        </w:tc>
        <w:tc>
          <w:tcPr>
            <w:tcW w:w="1419" w:type="pct"/>
            <w:noWrap w:val="0"/>
            <w:vAlign w:val="center"/>
          </w:tcPr>
          <w:p w14:paraId="3DF9B0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1857F8E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0.0365</w:t>
            </w:r>
          </w:p>
        </w:tc>
        <w:tc>
          <w:tcPr>
            <w:tcW w:w="1281" w:type="pct"/>
            <w:noWrap w:val="0"/>
            <w:vAlign w:val="center"/>
          </w:tcPr>
          <w:p w14:paraId="1B1D16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13.0</w:t>
            </w:r>
          </w:p>
        </w:tc>
      </w:tr>
      <w:tr w14:paraId="0ABE1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4E1F25BB">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50</w:t>
            </w:r>
          </w:p>
        </w:tc>
        <w:tc>
          <w:tcPr>
            <w:tcW w:w="1419" w:type="pct"/>
            <w:noWrap w:val="0"/>
            <w:vAlign w:val="center"/>
          </w:tcPr>
          <w:p w14:paraId="2F9AD4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51054A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1.44×10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1281" w:type="pct"/>
            <w:noWrap w:val="0"/>
            <w:vAlign w:val="center"/>
          </w:tcPr>
          <w:p w14:paraId="771B52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9.73</w:t>
            </w:r>
          </w:p>
        </w:tc>
      </w:tr>
      <w:tr w14:paraId="349D8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1F1BB046">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60</w:t>
            </w:r>
          </w:p>
        </w:tc>
        <w:tc>
          <w:tcPr>
            <w:tcW w:w="1419" w:type="pct"/>
            <w:noWrap w:val="0"/>
            <w:vAlign w:val="center"/>
          </w:tcPr>
          <w:p w14:paraId="4A8F41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3B1815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2.87×10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-5</w:t>
            </w:r>
          </w:p>
        </w:tc>
        <w:tc>
          <w:tcPr>
            <w:tcW w:w="1281" w:type="pct"/>
            <w:noWrap w:val="0"/>
            <w:vAlign w:val="center"/>
          </w:tcPr>
          <w:p w14:paraId="559A10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6.89</w:t>
            </w:r>
          </w:p>
        </w:tc>
      </w:tr>
      <w:tr w14:paraId="5F02F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06FA51ED">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70</w:t>
            </w:r>
          </w:p>
        </w:tc>
        <w:tc>
          <w:tcPr>
            <w:tcW w:w="1419" w:type="pct"/>
            <w:noWrap w:val="0"/>
            <w:vAlign w:val="center"/>
          </w:tcPr>
          <w:p w14:paraId="264525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4BE68F32">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2.87×10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-5</w:t>
            </w:r>
          </w:p>
        </w:tc>
        <w:tc>
          <w:tcPr>
            <w:tcW w:w="1281" w:type="pct"/>
            <w:noWrap w:val="0"/>
            <w:vAlign w:val="center"/>
          </w:tcPr>
          <w:p w14:paraId="61B46DD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4.61</w:t>
            </w:r>
          </w:p>
        </w:tc>
      </w:tr>
      <w:tr w14:paraId="2B654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1A4E1F54">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80</w:t>
            </w:r>
          </w:p>
        </w:tc>
        <w:tc>
          <w:tcPr>
            <w:tcW w:w="1419" w:type="pct"/>
            <w:noWrap w:val="0"/>
            <w:vAlign w:val="center"/>
          </w:tcPr>
          <w:p w14:paraId="539601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66D9A89C">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1.43×10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-9</w:t>
            </w:r>
          </w:p>
        </w:tc>
        <w:tc>
          <w:tcPr>
            <w:tcW w:w="1281" w:type="pct"/>
            <w:noWrap w:val="0"/>
            <w:vAlign w:val="center"/>
          </w:tcPr>
          <w:p w14:paraId="52A407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2.90</w:t>
            </w:r>
          </w:p>
        </w:tc>
      </w:tr>
      <w:tr w14:paraId="4925F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6E563483">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90</w:t>
            </w:r>
          </w:p>
        </w:tc>
        <w:tc>
          <w:tcPr>
            <w:tcW w:w="1419" w:type="pct"/>
            <w:noWrap w:val="0"/>
            <w:vAlign w:val="center"/>
          </w:tcPr>
          <w:p w14:paraId="3D2975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78DC9A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3.77×10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-12</w:t>
            </w:r>
          </w:p>
        </w:tc>
        <w:tc>
          <w:tcPr>
            <w:tcW w:w="1281" w:type="pct"/>
            <w:noWrap w:val="0"/>
            <w:vAlign w:val="center"/>
          </w:tcPr>
          <w:p w14:paraId="6D27F64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1.71</w:t>
            </w:r>
          </w:p>
        </w:tc>
      </w:tr>
      <w:tr w14:paraId="58E57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5688EF85">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100</w:t>
            </w:r>
          </w:p>
        </w:tc>
        <w:tc>
          <w:tcPr>
            <w:tcW w:w="1419" w:type="pct"/>
            <w:noWrap w:val="0"/>
            <w:vAlign w:val="center"/>
          </w:tcPr>
          <w:p w14:paraId="61D56E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1CE2C1DE">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2.78×10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-15</w:t>
            </w:r>
          </w:p>
        </w:tc>
        <w:tc>
          <w:tcPr>
            <w:tcW w:w="1281" w:type="pct"/>
            <w:noWrap w:val="0"/>
            <w:vAlign w:val="center"/>
          </w:tcPr>
          <w:p w14:paraId="52ED65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0.95</w:t>
            </w:r>
          </w:p>
        </w:tc>
      </w:tr>
      <w:tr w14:paraId="01196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6AF36624">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110</w:t>
            </w:r>
          </w:p>
        </w:tc>
        <w:tc>
          <w:tcPr>
            <w:tcW w:w="1419" w:type="pct"/>
            <w:noWrap w:val="0"/>
            <w:vAlign w:val="center"/>
          </w:tcPr>
          <w:p w14:paraId="51F71E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2DFA1AD4">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30F02A1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0.494</w:t>
            </w:r>
          </w:p>
        </w:tc>
      </w:tr>
      <w:tr w14:paraId="4EC5D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65B6A69D">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120</w:t>
            </w:r>
          </w:p>
        </w:tc>
        <w:tc>
          <w:tcPr>
            <w:tcW w:w="1419" w:type="pct"/>
            <w:noWrap w:val="0"/>
            <w:vAlign w:val="center"/>
          </w:tcPr>
          <w:p w14:paraId="542739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66D48DE5">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161877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0.241</w:t>
            </w:r>
          </w:p>
        </w:tc>
      </w:tr>
      <w:tr w14:paraId="40269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014343AB">
            <w:pPr>
              <w:widowControl/>
              <w:spacing w:line="32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130</w:t>
            </w:r>
          </w:p>
        </w:tc>
        <w:tc>
          <w:tcPr>
            <w:tcW w:w="1419" w:type="pct"/>
            <w:noWrap w:val="0"/>
            <w:vAlign w:val="center"/>
          </w:tcPr>
          <w:p w14:paraId="1698BC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6A10024F">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6B56AB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0.11</w:t>
            </w:r>
          </w:p>
        </w:tc>
      </w:tr>
      <w:tr w14:paraId="191D4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023BB5DD">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140</w:t>
            </w:r>
          </w:p>
        </w:tc>
        <w:tc>
          <w:tcPr>
            <w:tcW w:w="1419" w:type="pct"/>
            <w:noWrap w:val="0"/>
            <w:vAlign w:val="center"/>
          </w:tcPr>
          <w:p w14:paraId="3B301D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3C178BE0">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5E1810B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0.0468</w:t>
            </w:r>
          </w:p>
        </w:tc>
      </w:tr>
      <w:tr w14:paraId="00723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40355D5C">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150</w:t>
            </w:r>
          </w:p>
        </w:tc>
        <w:tc>
          <w:tcPr>
            <w:tcW w:w="1419" w:type="pct"/>
            <w:noWrap w:val="0"/>
            <w:vAlign w:val="center"/>
          </w:tcPr>
          <w:p w14:paraId="08EADD6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670F8027">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68ADF8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0.0187</w:t>
            </w:r>
          </w:p>
        </w:tc>
      </w:tr>
      <w:tr w14:paraId="05B0A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398A7E4C">
            <w:pPr>
              <w:widowControl/>
              <w:spacing w:line="280" w:lineRule="exact"/>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160</w:t>
            </w:r>
          </w:p>
        </w:tc>
        <w:tc>
          <w:tcPr>
            <w:tcW w:w="1419" w:type="pct"/>
            <w:noWrap w:val="0"/>
            <w:vAlign w:val="center"/>
          </w:tcPr>
          <w:p w14:paraId="1CD3BD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2DBCA12D">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24F3D2A2">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6.96×10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-3</w:t>
            </w:r>
          </w:p>
        </w:tc>
      </w:tr>
      <w:tr w14:paraId="623CB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065152EE">
            <w:pPr>
              <w:widowControl/>
              <w:spacing w:line="28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170</w:t>
            </w:r>
          </w:p>
        </w:tc>
        <w:tc>
          <w:tcPr>
            <w:tcW w:w="1419" w:type="pct"/>
            <w:noWrap w:val="0"/>
            <w:vAlign w:val="center"/>
          </w:tcPr>
          <w:p w14:paraId="535B30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2A8A612C">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5482FF2A">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2.42×10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-3</w:t>
            </w:r>
          </w:p>
        </w:tc>
      </w:tr>
      <w:tr w14:paraId="728BD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61DABBCB">
            <w:pPr>
              <w:widowControl/>
              <w:spacing w:line="28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180</w:t>
            </w:r>
          </w:p>
        </w:tc>
        <w:tc>
          <w:tcPr>
            <w:tcW w:w="1419" w:type="pct"/>
            <w:noWrap w:val="0"/>
            <w:vAlign w:val="center"/>
          </w:tcPr>
          <w:p w14:paraId="6C34B5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23F80EF2">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4827C1AE">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7.88×10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-4</w:t>
            </w:r>
          </w:p>
        </w:tc>
      </w:tr>
      <w:tr w14:paraId="088B9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78DB5CEE">
            <w:pPr>
              <w:widowControl/>
              <w:spacing w:line="28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190</w:t>
            </w:r>
          </w:p>
        </w:tc>
        <w:tc>
          <w:tcPr>
            <w:tcW w:w="1419" w:type="pct"/>
            <w:noWrap w:val="0"/>
            <w:vAlign w:val="center"/>
          </w:tcPr>
          <w:p w14:paraId="2F9062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0832163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4390B9DC">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2.39×10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-4</w:t>
            </w:r>
          </w:p>
        </w:tc>
      </w:tr>
      <w:tr w14:paraId="4B260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exact"/>
          <w:jc w:val="center"/>
        </w:trPr>
        <w:tc>
          <w:tcPr>
            <w:tcW w:w="836" w:type="pct"/>
            <w:noWrap w:val="0"/>
            <w:vAlign w:val="center"/>
          </w:tcPr>
          <w:p w14:paraId="61D5907F">
            <w:pPr>
              <w:widowControl/>
              <w:spacing w:line="280" w:lineRule="exact"/>
              <w:jc w:val="center"/>
              <w:rPr>
                <w:rFonts w:hint="default"/>
                <w:color w:val="auto"/>
                <w:kern w:val="0"/>
                <w:szCs w:val="21"/>
                <w:highlight w:val="none"/>
                <w:lang w:val="en-US" w:eastAsia="zh-CN"/>
              </w:rPr>
            </w:pPr>
            <w:r>
              <w:rPr>
                <w:rFonts w:hint="eastAsia"/>
                <w:color w:val="auto"/>
                <w:kern w:val="0"/>
                <w:szCs w:val="21"/>
                <w:highlight w:val="none"/>
                <w:lang w:val="en-US" w:eastAsia="zh-CN"/>
              </w:rPr>
              <w:t>200</w:t>
            </w:r>
          </w:p>
        </w:tc>
        <w:tc>
          <w:tcPr>
            <w:tcW w:w="1419" w:type="pct"/>
            <w:noWrap w:val="0"/>
            <w:vAlign w:val="center"/>
          </w:tcPr>
          <w:p w14:paraId="764440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458" w:type="pct"/>
            <w:noWrap w:val="0"/>
            <w:vAlign w:val="center"/>
          </w:tcPr>
          <w:p w14:paraId="630C9FBA">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1281" w:type="pct"/>
            <w:noWrap w:val="0"/>
            <w:vAlign w:val="center"/>
          </w:tcPr>
          <w:p w14:paraId="578A4734">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6.78×10</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-5</w:t>
            </w:r>
          </w:p>
        </w:tc>
      </w:tr>
    </w:tbl>
    <w:p w14:paraId="4A33FE7C">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ascii="Times New Roman" w:hAnsi="Times New Roman" w:cs="Times New Roman"/>
          <w:color w:val="auto"/>
          <w:sz w:val="24"/>
          <w:highlight w:val="none"/>
          <w:lang w:val="zh-CN" w:eastAsia="zh-CN"/>
        </w:rPr>
      </w:pPr>
      <w:r>
        <w:rPr>
          <w:rFonts w:hint="eastAsia" w:ascii="Times New Roman" w:hAnsi="Times New Roman" w:cs="Times New Roman"/>
          <w:color w:val="auto"/>
          <w:sz w:val="24"/>
          <w:highlight w:val="none"/>
          <w:lang w:val="zh-CN" w:eastAsia="zh-CN"/>
        </w:rPr>
        <w:t>通过下渗泄漏情况的模拟预测结果分析</w:t>
      </w:r>
      <w:r>
        <w:rPr>
          <w:rFonts w:hint="eastAsia" w:cs="Times New Roman"/>
          <w:color w:val="auto"/>
          <w:sz w:val="24"/>
          <w:highlight w:val="none"/>
          <w:lang w:val="zh-CN" w:eastAsia="zh-CN"/>
        </w:rPr>
        <w:t>，</w:t>
      </w:r>
      <w:r>
        <w:rPr>
          <w:rFonts w:hint="eastAsia" w:ascii="Times New Roman" w:hAnsi="Times New Roman" w:cs="Times New Roman"/>
          <w:color w:val="auto"/>
          <w:sz w:val="24"/>
          <w:highlight w:val="none"/>
          <w:lang w:val="zh-CN" w:eastAsia="zh-CN"/>
        </w:rPr>
        <w:t>其影响范围主要集中在地下水径流的下游方向，污染物在地下水对流作用的影响下，污染中心区域向下游迁移，同时在弥散作用的影响下，污染羽的范围向四周不断扩大，影响距离逐渐增大。持续泄漏100天时，污染物迁移至距离泄漏点大于</w:t>
      </w:r>
      <w:r>
        <w:rPr>
          <w:rFonts w:hint="eastAsia" w:ascii="Times New Roman" w:hAnsi="Times New Roman" w:cs="Times New Roman"/>
          <w:color w:val="auto"/>
          <w:sz w:val="24"/>
          <w:highlight w:val="none"/>
          <w:lang w:val="en-US" w:eastAsia="zh-CN"/>
        </w:rPr>
        <w:t>12</w:t>
      </w:r>
      <w:r>
        <w:rPr>
          <w:rFonts w:hint="eastAsia" w:ascii="Times New Roman" w:hAnsi="Times New Roman" w:cs="Times New Roman"/>
          <w:color w:val="auto"/>
          <w:sz w:val="24"/>
          <w:highlight w:val="none"/>
          <w:lang w:val="zh-CN" w:eastAsia="zh-CN"/>
        </w:rPr>
        <w:t>m时污染物浓度小于地</w:t>
      </w:r>
      <w:r>
        <w:rPr>
          <w:rFonts w:hint="eastAsia" w:ascii="Times New Roman" w:hAnsi="Times New Roman" w:cs="Times New Roman"/>
          <w:color w:val="auto"/>
          <w:sz w:val="24"/>
          <w:highlight w:val="none"/>
          <w:lang w:val="en-US" w:eastAsia="zh-CN"/>
        </w:rPr>
        <w:t>表水</w:t>
      </w:r>
      <w:r>
        <w:rPr>
          <w:rFonts w:hint="eastAsia" w:ascii="Times New Roman" w:hAnsi="Times New Roman" w:cs="Times New Roman"/>
          <w:color w:val="auto"/>
          <w:sz w:val="24"/>
          <w:highlight w:val="none"/>
          <w:lang w:val="zh-CN" w:eastAsia="zh-CN"/>
        </w:rPr>
        <w:t>质量标准，最大的迁移距离为</w:t>
      </w:r>
      <w:r>
        <w:rPr>
          <w:rFonts w:hint="eastAsia" w:ascii="Times New Roman" w:hAnsi="Times New Roman" w:cs="Times New Roman"/>
          <w:color w:val="auto"/>
          <w:sz w:val="24"/>
          <w:highlight w:val="none"/>
          <w:lang w:val="en-US" w:eastAsia="zh-CN"/>
        </w:rPr>
        <w:t>31</w:t>
      </w:r>
      <w:r>
        <w:rPr>
          <w:rFonts w:hint="eastAsia" w:ascii="Times New Roman" w:hAnsi="Times New Roman" w:cs="Times New Roman"/>
          <w:color w:val="auto"/>
          <w:sz w:val="24"/>
          <w:highlight w:val="none"/>
          <w:lang w:val="zh-CN" w:eastAsia="zh-CN"/>
        </w:rPr>
        <w:t>m；持续泄漏1000天时，污染物迁移至距离泄漏点大于</w:t>
      </w:r>
      <w:r>
        <w:rPr>
          <w:rFonts w:hint="eastAsia" w:ascii="Times New Roman" w:hAnsi="Times New Roman" w:cs="Times New Roman"/>
          <w:color w:val="auto"/>
          <w:sz w:val="24"/>
          <w:highlight w:val="none"/>
          <w:lang w:val="en-US" w:eastAsia="zh-CN"/>
        </w:rPr>
        <w:t>38</w:t>
      </w:r>
      <w:r>
        <w:rPr>
          <w:rFonts w:hint="eastAsia" w:ascii="Times New Roman" w:hAnsi="Times New Roman" w:cs="Times New Roman"/>
          <w:color w:val="auto"/>
          <w:sz w:val="24"/>
          <w:highlight w:val="none"/>
          <w:lang w:val="zh-CN" w:eastAsia="zh-CN"/>
        </w:rPr>
        <w:t>m时污染物浓度小于地</w:t>
      </w:r>
      <w:r>
        <w:rPr>
          <w:rFonts w:hint="eastAsia" w:ascii="Times New Roman" w:hAnsi="Times New Roman" w:cs="Times New Roman"/>
          <w:color w:val="auto"/>
          <w:sz w:val="24"/>
          <w:highlight w:val="none"/>
          <w:lang w:val="en-US" w:eastAsia="zh-CN"/>
        </w:rPr>
        <w:t>表水</w:t>
      </w:r>
      <w:r>
        <w:rPr>
          <w:rFonts w:hint="eastAsia" w:ascii="Times New Roman" w:hAnsi="Times New Roman" w:cs="Times New Roman"/>
          <w:color w:val="auto"/>
          <w:sz w:val="24"/>
          <w:highlight w:val="none"/>
          <w:lang w:val="zh-CN" w:eastAsia="zh-CN"/>
        </w:rPr>
        <w:t>质量标准，最大的迁移距离为</w:t>
      </w:r>
      <w:r>
        <w:rPr>
          <w:rFonts w:hint="eastAsia" w:ascii="Times New Roman" w:hAnsi="Times New Roman" w:cs="Times New Roman"/>
          <w:color w:val="auto"/>
          <w:sz w:val="24"/>
          <w:highlight w:val="none"/>
          <w:lang w:val="en-US" w:eastAsia="zh-CN"/>
        </w:rPr>
        <w:t>101</w:t>
      </w:r>
      <w:r>
        <w:rPr>
          <w:rFonts w:hint="eastAsia" w:ascii="Times New Roman" w:hAnsi="Times New Roman" w:cs="Times New Roman"/>
          <w:color w:val="auto"/>
          <w:sz w:val="24"/>
          <w:highlight w:val="none"/>
          <w:lang w:val="zh-CN" w:eastAsia="zh-CN"/>
        </w:rPr>
        <w:t>m；影响距离为36m；持续泄漏3000d时，污染物迁移至距离泄漏点大于</w:t>
      </w:r>
      <w:r>
        <w:rPr>
          <w:rFonts w:hint="eastAsia" w:ascii="Times New Roman" w:hAnsi="Times New Roman" w:cs="Times New Roman"/>
          <w:color w:val="auto"/>
          <w:sz w:val="24"/>
          <w:highlight w:val="none"/>
          <w:lang w:val="en-US" w:eastAsia="zh-CN"/>
        </w:rPr>
        <w:t>139</w:t>
      </w:r>
      <w:r>
        <w:rPr>
          <w:rFonts w:hint="eastAsia" w:ascii="Times New Roman" w:hAnsi="Times New Roman" w:cs="Times New Roman"/>
          <w:color w:val="auto"/>
          <w:sz w:val="24"/>
          <w:highlight w:val="none"/>
          <w:lang w:val="zh-CN" w:eastAsia="zh-CN"/>
        </w:rPr>
        <w:t>m时污染物浓度小于地</w:t>
      </w:r>
      <w:r>
        <w:rPr>
          <w:rFonts w:hint="eastAsia" w:ascii="Times New Roman" w:hAnsi="Times New Roman" w:cs="Times New Roman"/>
          <w:color w:val="auto"/>
          <w:sz w:val="24"/>
          <w:highlight w:val="none"/>
          <w:lang w:val="en-US" w:eastAsia="zh-CN"/>
        </w:rPr>
        <w:t>表水</w:t>
      </w:r>
      <w:r>
        <w:rPr>
          <w:rFonts w:hint="eastAsia" w:ascii="Times New Roman" w:hAnsi="Times New Roman" w:cs="Times New Roman"/>
          <w:color w:val="auto"/>
          <w:sz w:val="24"/>
          <w:highlight w:val="none"/>
          <w:lang w:val="zh-CN" w:eastAsia="zh-CN"/>
        </w:rPr>
        <w:t>质量标准，最大的迁移距离为</w:t>
      </w:r>
      <w:r>
        <w:rPr>
          <w:rFonts w:hint="eastAsia" w:ascii="Times New Roman" w:hAnsi="Times New Roman" w:cs="Times New Roman"/>
          <w:color w:val="auto"/>
          <w:sz w:val="24"/>
          <w:highlight w:val="none"/>
          <w:lang w:val="en-US" w:eastAsia="zh-CN"/>
        </w:rPr>
        <w:t>338</w:t>
      </w:r>
      <w:r>
        <w:rPr>
          <w:rFonts w:hint="eastAsia" w:ascii="Times New Roman" w:hAnsi="Times New Roman" w:cs="Times New Roman"/>
          <w:color w:val="auto"/>
          <w:sz w:val="24"/>
          <w:highlight w:val="none"/>
          <w:lang w:val="zh-CN" w:eastAsia="zh-CN"/>
        </w:rPr>
        <w:t>m。</w:t>
      </w:r>
    </w:p>
    <w:p w14:paraId="59735192">
      <w:pPr>
        <w:pStyle w:val="5"/>
        <w:keepNext w:val="0"/>
        <w:keepLines w:val="0"/>
        <w:pageBreakBefore w:val="0"/>
        <w:widowControl w:val="0"/>
        <w:kinsoku/>
        <w:wordWrap/>
        <w:overflowPunct/>
        <w:topLinePunct w:val="0"/>
        <w:autoSpaceDE w:val="0"/>
        <w:autoSpaceDN w:val="0"/>
        <w:bidi w:val="0"/>
        <w:adjustRightInd/>
        <w:snapToGrid/>
        <w:spacing w:before="157" w:beforeLines="50" w:after="157" w:afterLines="50" w:line="360" w:lineRule="auto"/>
        <w:ind w:left="0" w:leftChars="0" w:firstLine="0" w:firstLineChars="0"/>
        <w:jc w:val="both"/>
        <w:textAlignment w:val="auto"/>
        <w:rPr>
          <w:rFonts w:hint="default" w:ascii="Times New Roman" w:hAnsi="Times New Roman" w:eastAsia="宋体" w:cs="Times New Roman"/>
          <w:b/>
          <w:color w:val="auto"/>
          <w:sz w:val="24"/>
          <w:highlight w:val="none"/>
          <w:lang w:val="zh-CN"/>
        </w:rPr>
      </w:pPr>
      <w:r>
        <w:rPr>
          <w:rFonts w:hint="eastAsia" w:ascii="Times New Roman" w:hAnsi="Times New Roman"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lang w:val="en-US" w:eastAsia="zh-CN"/>
        </w:rPr>
        <w:t>.2.</w:t>
      </w:r>
      <w:r>
        <w:rPr>
          <w:rFonts w:hint="eastAsia" w:eastAsia="宋体" w:cs="Times New Roman"/>
          <w:b/>
          <w:color w:val="auto"/>
          <w:sz w:val="24"/>
          <w:highlight w:val="none"/>
          <w:lang w:val="en-US" w:eastAsia="zh-CN"/>
        </w:rPr>
        <w:t>5</w:t>
      </w:r>
      <w:r>
        <w:rPr>
          <w:rFonts w:hint="default" w:ascii="Times New Roman" w:hAnsi="Times New Roman" w:eastAsia="宋体" w:cs="Times New Roman"/>
          <w:b/>
          <w:color w:val="auto"/>
          <w:sz w:val="24"/>
          <w:highlight w:val="none"/>
          <w:lang w:val="en-US" w:eastAsia="zh-CN"/>
        </w:rPr>
        <w:t>.</w:t>
      </w:r>
      <w:r>
        <w:rPr>
          <w:rFonts w:hint="eastAsia" w:cs="Times New Roman"/>
          <w:b/>
          <w:color w:val="auto"/>
          <w:sz w:val="24"/>
          <w:highlight w:val="none"/>
          <w:lang w:val="en-US" w:eastAsia="zh-CN"/>
        </w:rPr>
        <w:t>6</w:t>
      </w:r>
      <w:r>
        <w:rPr>
          <w:rFonts w:hint="default" w:ascii="Times New Roman" w:hAnsi="Times New Roman" w:eastAsia="宋体" w:cs="Times New Roman"/>
          <w:b/>
          <w:color w:val="auto"/>
          <w:sz w:val="24"/>
          <w:highlight w:val="none"/>
          <w:lang w:val="zh-CN"/>
        </w:rPr>
        <w:t>地下水污染控制措施</w:t>
      </w:r>
    </w:p>
    <w:p w14:paraId="05501E7C">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cs="Times New Roman"/>
          <w:b/>
          <w:bCs/>
          <w:color w:val="auto"/>
          <w:sz w:val="24"/>
          <w:highlight w:val="none"/>
          <w:lang w:eastAsia="zh-CN"/>
        </w:rPr>
      </w:pP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lang w:val="en-US" w:eastAsia="zh-CN"/>
        </w:rPr>
        <w:t>1</w:t>
      </w:r>
      <w:r>
        <w:rPr>
          <w:rFonts w:hint="default" w:ascii="Times New Roman" w:hAnsi="Times New Roman" w:cs="Times New Roman"/>
          <w:b/>
          <w:bCs/>
          <w:color w:val="auto"/>
          <w:sz w:val="24"/>
          <w:highlight w:val="none"/>
          <w:lang w:eastAsia="zh-CN"/>
        </w:rPr>
        <w:t>）源头控制</w:t>
      </w:r>
    </w:p>
    <w:p w14:paraId="1E0DE5FD">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针对项目区污染物可能的跑、冒、滴、漏，应按照</w:t>
      </w:r>
      <w:r>
        <w:rPr>
          <w:rFonts w:hint="eastAsia" w:cs="Times New Roman"/>
          <w:color w:val="auto"/>
          <w:sz w:val="24"/>
          <w:highlight w:val="none"/>
          <w:lang w:eastAsia="zh-CN"/>
        </w:rPr>
        <w:t>“</w:t>
      </w:r>
      <w:r>
        <w:rPr>
          <w:rFonts w:hint="default" w:ascii="Times New Roman" w:hAnsi="Times New Roman" w:cs="Times New Roman"/>
          <w:color w:val="auto"/>
          <w:sz w:val="24"/>
          <w:highlight w:val="none"/>
          <w:lang w:eastAsia="zh-CN"/>
        </w:rPr>
        <w:t>源头控制、末端防治、污染监控、应急响应</w:t>
      </w:r>
      <w:r>
        <w:rPr>
          <w:rFonts w:hint="eastAsia" w:cs="Times New Roman"/>
          <w:color w:val="auto"/>
          <w:sz w:val="24"/>
          <w:highlight w:val="none"/>
          <w:lang w:eastAsia="zh-CN"/>
        </w:rPr>
        <w:t>”</w:t>
      </w:r>
      <w:r>
        <w:rPr>
          <w:rFonts w:hint="default" w:ascii="Times New Roman" w:hAnsi="Times New Roman" w:cs="Times New Roman"/>
          <w:color w:val="auto"/>
          <w:sz w:val="24"/>
          <w:highlight w:val="none"/>
          <w:lang w:eastAsia="zh-CN"/>
        </w:rPr>
        <w:t>相结合的原则，从污染物的产生、入渗、扩散、应急响应全阶段进行控制。主要包括在液体原料的储存与使用，水帘柜设备的运行，污水管网等采取相应措施，防止和降低污染物跑、冒、滴、漏，将污染物泄漏到外环境的风险事故降到最低。</w:t>
      </w:r>
    </w:p>
    <w:p w14:paraId="1D28A2C6">
      <w:pPr>
        <w:adjustRightInd w:val="0"/>
        <w:snapToGrid w:val="0"/>
        <w:spacing w:line="360" w:lineRule="auto"/>
        <w:ind w:firstLine="482"/>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b/>
          <w:bCs/>
          <w:color w:val="auto"/>
          <w:sz w:val="24"/>
          <w:highlight w:val="none"/>
          <w:lang w:eastAsia="zh-CN"/>
        </w:rPr>
        <w:t>（</w:t>
      </w: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lang w:eastAsia="zh-CN"/>
        </w:rPr>
        <w:t>）分区防渗</w:t>
      </w:r>
    </w:p>
    <w:p w14:paraId="41DF03C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为防止本项目污染地下水，在项目设计和施工过程中，应对厂区进行专项防渗设计和分区防渗处理。根据物料或者污染物泄漏后是否能及时发现和处理，可将建设场地划分为一般污染防治区和重点污染防治区。本项目重点防渗区分区见下表。</w:t>
      </w:r>
    </w:p>
    <w:p w14:paraId="4F990446">
      <w:pPr>
        <w:widowControl/>
        <w:spacing w:line="500" w:lineRule="exact"/>
        <w:ind w:firstLine="964" w:firstLineChars="400"/>
        <w:jc w:val="center"/>
        <w:rPr>
          <w:rFonts w:hint="default" w:ascii="Times New Roman" w:hAnsi="宋体" w:eastAsia="宋体" w:cs="Times New Roman"/>
          <w:b/>
          <w:color w:val="auto"/>
          <w:kern w:val="0"/>
          <w:sz w:val="24"/>
          <w:highlight w:val="none"/>
        </w:rPr>
      </w:pPr>
      <w:r>
        <w:rPr>
          <w:rFonts w:hint="default" w:ascii="Times New Roman" w:hAnsi="Times New Roman" w:eastAsia="宋体" w:cs="Times New Roman"/>
          <w:b/>
          <w:bCs/>
          <w:color w:val="auto"/>
          <w:kern w:val="2"/>
          <w:sz w:val="24"/>
          <w:szCs w:val="22"/>
          <w:highlight w:val="none"/>
          <w:lang w:val="en-US" w:eastAsia="zh-CN" w:bidi="ar-SA"/>
        </w:rPr>
        <w:t>表5.2.5-</w:t>
      </w:r>
      <w:r>
        <w:rPr>
          <w:rFonts w:hint="eastAsia" w:cs="Times New Roman"/>
          <w:b/>
          <w:bCs/>
          <w:color w:val="auto"/>
          <w:kern w:val="2"/>
          <w:sz w:val="24"/>
          <w:szCs w:val="22"/>
          <w:highlight w:val="none"/>
          <w:lang w:val="en-US" w:eastAsia="zh-CN" w:bidi="ar-SA"/>
        </w:rPr>
        <w:t xml:space="preserve">9  </w:t>
      </w:r>
      <w:r>
        <w:rPr>
          <w:rFonts w:hint="default" w:ascii="Times New Roman" w:hAnsi="Times New Roman" w:eastAsia="宋体" w:cs="Times New Roman"/>
          <w:b/>
          <w:bCs/>
          <w:color w:val="auto"/>
          <w:kern w:val="2"/>
          <w:sz w:val="24"/>
          <w:szCs w:val="22"/>
          <w:highlight w:val="none"/>
          <w:lang w:val="en-US" w:eastAsia="zh-CN" w:bidi="ar-SA"/>
        </w:rPr>
        <w:t>项目防渗分区一览表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1"/>
        <w:gridCol w:w="1832"/>
        <w:gridCol w:w="4876"/>
      </w:tblGrid>
      <w:tr w14:paraId="34CAE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3" w:type="pct"/>
            <w:tcBorders>
              <w:top w:val="single" w:color="auto" w:sz="4" w:space="0"/>
              <w:left w:val="single" w:color="auto" w:sz="4" w:space="0"/>
              <w:bottom w:val="single" w:color="auto" w:sz="4" w:space="0"/>
              <w:right w:val="single" w:color="auto" w:sz="4" w:space="0"/>
            </w:tcBorders>
            <w:noWrap w:val="0"/>
            <w:vAlign w:val="center"/>
          </w:tcPr>
          <w:p w14:paraId="779A61D0">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位置</w:t>
            </w:r>
          </w:p>
        </w:tc>
        <w:tc>
          <w:tcPr>
            <w:tcW w:w="1075" w:type="pct"/>
            <w:tcBorders>
              <w:top w:val="single" w:color="auto" w:sz="4" w:space="0"/>
              <w:left w:val="nil"/>
              <w:bottom w:val="single" w:color="auto" w:sz="4" w:space="0"/>
              <w:right w:val="single" w:color="auto" w:sz="4" w:space="0"/>
            </w:tcBorders>
            <w:noWrap w:val="0"/>
            <w:vAlign w:val="center"/>
          </w:tcPr>
          <w:p w14:paraId="29154D4F">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防渗系数及要求</w:t>
            </w:r>
          </w:p>
        </w:tc>
        <w:tc>
          <w:tcPr>
            <w:tcW w:w="2861" w:type="pct"/>
            <w:tcBorders>
              <w:top w:val="single" w:color="auto" w:sz="4" w:space="0"/>
              <w:left w:val="nil"/>
              <w:bottom w:val="single" w:color="auto" w:sz="4" w:space="0"/>
              <w:right w:val="single" w:color="auto" w:sz="4" w:space="0"/>
            </w:tcBorders>
            <w:noWrap w:val="0"/>
            <w:vAlign w:val="center"/>
          </w:tcPr>
          <w:p w14:paraId="4DE6271B">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防渗材料</w:t>
            </w:r>
          </w:p>
        </w:tc>
      </w:tr>
      <w:tr w14:paraId="7E77E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3" w:type="pct"/>
            <w:tcBorders>
              <w:top w:val="single" w:color="auto" w:sz="4" w:space="0"/>
              <w:left w:val="single" w:color="auto" w:sz="4" w:space="0"/>
              <w:bottom w:val="single" w:color="auto" w:sz="4" w:space="0"/>
              <w:right w:val="single" w:color="auto" w:sz="4" w:space="0"/>
            </w:tcBorders>
            <w:noWrap w:val="0"/>
            <w:vAlign w:val="center"/>
          </w:tcPr>
          <w:p w14:paraId="0A79670F">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油罐区</w:t>
            </w:r>
            <w:r>
              <w:rPr>
                <w:rFonts w:hint="default" w:ascii="Times New Roman" w:hAnsi="Times New Roman" w:eastAsia="宋体" w:cs="Times New Roman"/>
                <w:b w:val="0"/>
                <w:bCs w:val="0"/>
                <w:color w:val="auto"/>
                <w:sz w:val="21"/>
                <w:szCs w:val="21"/>
                <w:highlight w:val="none"/>
              </w:rPr>
              <w:t>、危险废物暂存间、</w:t>
            </w:r>
            <w:r>
              <w:rPr>
                <w:rFonts w:hint="default" w:ascii="Times New Roman" w:hAnsi="Times New Roman" w:eastAsia="宋体" w:cs="Times New Roman"/>
                <w:b w:val="0"/>
                <w:bCs w:val="0"/>
                <w:color w:val="auto"/>
                <w:sz w:val="21"/>
                <w:szCs w:val="21"/>
                <w:highlight w:val="none"/>
                <w:lang w:val="en-US" w:eastAsia="zh-CN"/>
              </w:rPr>
              <w:t>隔油池</w:t>
            </w:r>
          </w:p>
        </w:tc>
        <w:tc>
          <w:tcPr>
            <w:tcW w:w="1075" w:type="pct"/>
            <w:tcBorders>
              <w:top w:val="single" w:color="auto" w:sz="4" w:space="0"/>
              <w:left w:val="nil"/>
              <w:bottom w:val="single" w:color="auto" w:sz="4" w:space="0"/>
              <w:right w:val="single" w:color="auto" w:sz="4" w:space="0"/>
            </w:tcBorders>
            <w:noWrap w:val="0"/>
            <w:vAlign w:val="center"/>
          </w:tcPr>
          <w:p w14:paraId="392B2C5F">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渗透系数≤10</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rPr>
              <w:t>cm/s，或参照GB18597执行。</w:t>
            </w:r>
          </w:p>
        </w:tc>
        <w:tc>
          <w:tcPr>
            <w:tcW w:w="2861" w:type="pct"/>
            <w:tcBorders>
              <w:top w:val="single" w:color="auto" w:sz="4" w:space="0"/>
              <w:left w:val="nil"/>
              <w:bottom w:val="single" w:color="auto" w:sz="4" w:space="0"/>
              <w:right w:val="single" w:color="auto" w:sz="4" w:space="0"/>
            </w:tcBorders>
            <w:noWrap w:val="0"/>
            <w:vAlign w:val="center"/>
          </w:tcPr>
          <w:p w14:paraId="6DD74A9B">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1、结构厚度不应小于500mm。</w:t>
            </w:r>
          </w:p>
          <w:p w14:paraId="1E13A8FD">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2、混凝土的抗渗等级不应低于P8，且地面表面应涂刷水泥基渗透结晶型或喷涂聚脲等防水涂料，或在混凝土内掺加水泥基渗透结晶型防水剂。</w:t>
            </w:r>
          </w:p>
          <w:p w14:paraId="0AF66391">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3、水泥基渗透结晶型防水涂料厚度不应小于1.0mm，喷涂聚脲防水涂料厚度不应小于1.5mm。</w:t>
            </w:r>
          </w:p>
          <w:p w14:paraId="26CB9A39">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4、当混凝土内掺加水泥基渗透结晶型防水剂时，掺量宜为胶凝材料总量的1%～2%。</w:t>
            </w:r>
          </w:p>
        </w:tc>
      </w:tr>
      <w:tr w14:paraId="03B0E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3" w:type="pct"/>
            <w:tcBorders>
              <w:top w:val="single" w:color="auto" w:sz="4" w:space="0"/>
              <w:left w:val="single" w:color="auto" w:sz="4" w:space="0"/>
              <w:bottom w:val="single" w:color="auto" w:sz="4" w:space="0"/>
              <w:right w:val="single" w:color="auto" w:sz="4" w:space="0"/>
            </w:tcBorders>
            <w:noWrap w:val="0"/>
            <w:vAlign w:val="center"/>
          </w:tcPr>
          <w:p w14:paraId="1F463AA9">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制氢工艺区</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光电充区、一般固废间等</w:t>
            </w:r>
          </w:p>
        </w:tc>
        <w:tc>
          <w:tcPr>
            <w:tcW w:w="1075" w:type="pct"/>
            <w:tcBorders>
              <w:top w:val="single" w:color="auto" w:sz="4" w:space="0"/>
              <w:left w:val="nil"/>
              <w:bottom w:val="single" w:color="auto" w:sz="4" w:space="0"/>
              <w:right w:val="single" w:color="auto" w:sz="4" w:space="0"/>
            </w:tcBorders>
            <w:noWrap w:val="0"/>
            <w:vAlign w:val="center"/>
          </w:tcPr>
          <w:p w14:paraId="75F1CABD">
            <w:pPr>
              <w:pStyle w:val="229"/>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渗透系数≤10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p>
        </w:tc>
        <w:tc>
          <w:tcPr>
            <w:tcW w:w="2861" w:type="pct"/>
            <w:tcBorders>
              <w:top w:val="single" w:color="auto" w:sz="4" w:space="0"/>
              <w:left w:val="nil"/>
              <w:bottom w:val="single" w:color="auto" w:sz="4" w:space="0"/>
              <w:right w:val="single" w:color="auto" w:sz="4" w:space="0"/>
            </w:tcBorders>
            <w:noWrap w:val="0"/>
            <w:vAlign w:val="center"/>
          </w:tcPr>
          <w:p w14:paraId="57CE7126">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采用钢结构，采用满焊焊接，使用前检查是否漏水。</w:t>
            </w:r>
          </w:p>
        </w:tc>
      </w:tr>
      <w:tr w14:paraId="03568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3" w:type="pct"/>
            <w:tcBorders>
              <w:top w:val="single" w:color="auto" w:sz="4" w:space="0"/>
              <w:left w:val="single" w:color="auto" w:sz="4" w:space="0"/>
              <w:bottom w:val="single" w:color="auto" w:sz="4" w:space="0"/>
              <w:right w:val="single" w:color="auto" w:sz="4" w:space="0"/>
            </w:tcBorders>
            <w:noWrap w:val="0"/>
            <w:vAlign w:val="center"/>
          </w:tcPr>
          <w:p w14:paraId="5D9E35AD">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管道</w:t>
            </w:r>
          </w:p>
        </w:tc>
        <w:tc>
          <w:tcPr>
            <w:tcW w:w="1075" w:type="pct"/>
            <w:tcBorders>
              <w:top w:val="single" w:color="auto" w:sz="4" w:space="0"/>
              <w:left w:val="nil"/>
              <w:bottom w:val="single" w:color="auto" w:sz="4" w:space="0"/>
              <w:right w:val="single" w:color="auto" w:sz="4" w:space="0"/>
            </w:tcBorders>
            <w:noWrap w:val="0"/>
            <w:vAlign w:val="center"/>
          </w:tcPr>
          <w:p w14:paraId="00CABA75">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861" w:type="pct"/>
            <w:tcBorders>
              <w:top w:val="single" w:color="auto" w:sz="4" w:space="0"/>
              <w:left w:val="nil"/>
              <w:bottom w:val="single" w:color="auto" w:sz="4" w:space="0"/>
              <w:right w:val="single" w:color="auto" w:sz="4" w:space="0"/>
            </w:tcBorders>
            <w:noWrap w:val="0"/>
            <w:vAlign w:val="center"/>
          </w:tcPr>
          <w:p w14:paraId="089B6678">
            <w:pPr>
              <w:pStyle w:val="229"/>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采用钢管或玻璃钢管道或PP/PE等材质的管道。</w:t>
            </w:r>
          </w:p>
        </w:tc>
      </w:tr>
    </w:tbl>
    <w:p w14:paraId="2451FE02">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b/>
          <w:bCs/>
          <w:color w:val="auto"/>
          <w:sz w:val="24"/>
          <w:highlight w:val="none"/>
          <w:lang w:eastAsia="zh-CN"/>
        </w:rPr>
        <w:t>（</w:t>
      </w:r>
      <w:r>
        <w:rPr>
          <w:rFonts w:hint="eastAsia"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lang w:eastAsia="zh-CN"/>
        </w:rPr>
        <w:t>）</w:t>
      </w:r>
      <w:r>
        <w:rPr>
          <w:rFonts w:hint="eastAsia" w:ascii="Times New Roman" w:hAnsi="Times New Roman" w:cs="Times New Roman"/>
          <w:b/>
          <w:bCs/>
          <w:color w:val="auto"/>
          <w:sz w:val="24"/>
          <w:highlight w:val="none"/>
          <w:lang w:val="en-US" w:eastAsia="zh-CN"/>
        </w:rPr>
        <w:t>加强管理</w:t>
      </w:r>
    </w:p>
    <w:p w14:paraId="5C0598C8">
      <w:pPr>
        <w:pStyle w:val="55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运行期严格管理，加强巡检，及时发现污染物泄漏；一旦出现泄漏及时处理，检查检修设备，将污染物泄漏的环境风险事故降到最低；制定并落实相应环境风险事故应急预案。</w:t>
      </w:r>
    </w:p>
    <w:p w14:paraId="2A1A2791">
      <w:pPr>
        <w:pStyle w:val="5"/>
        <w:bidi w:val="0"/>
        <w:rPr>
          <w:rFonts w:ascii="Times New Roman" w:hAnsi="Times New Roman" w:eastAsia="宋体" w:cs="Times New Roman"/>
          <w:b/>
          <w:bCs/>
          <w:color w:val="auto"/>
          <w:highlight w:val="none"/>
          <w:lang w:val="zh-CN" w:eastAsia="zh-CN"/>
        </w:rPr>
      </w:pPr>
      <w:r>
        <w:rPr>
          <w:rFonts w:hint="eastAsia" w:ascii="Times New Roman" w:hAnsi="Times New Roman" w:eastAsia="宋体" w:cs="Times New Roman"/>
          <w:b/>
          <w:bCs/>
          <w:color w:val="auto"/>
          <w:highlight w:val="none"/>
          <w:lang w:val="zh-CN" w:eastAsia="zh-CN"/>
        </w:rPr>
        <w:t>5.</w:t>
      </w:r>
      <w:r>
        <w:rPr>
          <w:rFonts w:hint="eastAsia"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zh-CN" w:eastAsia="zh-CN"/>
        </w:rPr>
        <w:t>5.</w:t>
      </w:r>
      <w:r>
        <w:rPr>
          <w:rFonts w:hint="eastAsia" w:cs="Times New Roman"/>
          <w:b/>
          <w:bCs/>
          <w:color w:val="auto"/>
          <w:highlight w:val="none"/>
          <w:lang w:val="en-US" w:eastAsia="zh-CN"/>
        </w:rPr>
        <w:t>7</w:t>
      </w:r>
      <w:r>
        <w:rPr>
          <w:rFonts w:hint="eastAsia" w:ascii="Times New Roman" w:hAnsi="Times New Roman" w:eastAsia="宋体" w:cs="Times New Roman"/>
          <w:b/>
          <w:bCs/>
          <w:color w:val="auto"/>
          <w:highlight w:val="none"/>
          <w:lang w:val="zh-CN" w:eastAsia="zh-CN"/>
        </w:rPr>
        <w:t>小结</w:t>
      </w:r>
    </w:p>
    <w:p w14:paraId="129B3B4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综合地下水影响分析可知，项目若不采取防渗措施，一旦发生泄漏，将会对项目附近区域地下水造成一定影响。针对可能出现的事故情景，评价制定了相应的监测方案和应急措施。在相关保护措施实施后，该项目对水环境的影响是可以接受的。</w:t>
      </w:r>
    </w:p>
    <w:p w14:paraId="72C8FA0D">
      <w:pPr>
        <w:pStyle w:val="4"/>
        <w:spacing w:after="156"/>
        <w:rPr>
          <w:color w:val="auto"/>
          <w:highlight w:val="none"/>
        </w:rPr>
      </w:pPr>
      <w:bookmarkStart w:id="480" w:name="_Toc152922070"/>
      <w:bookmarkStart w:id="481" w:name="_Toc117150268"/>
      <w:bookmarkStart w:id="482" w:name="_Toc152922664"/>
      <w:bookmarkStart w:id="483" w:name="_Toc152921705"/>
      <w:bookmarkStart w:id="484" w:name="_Toc152923345"/>
      <w:r>
        <w:rPr>
          <w:color w:val="auto"/>
          <w:highlight w:val="none"/>
        </w:rPr>
        <w:t>5.2.6运营期土壤环境影响评价</w:t>
      </w:r>
      <w:bookmarkEnd w:id="480"/>
      <w:bookmarkEnd w:id="481"/>
      <w:bookmarkEnd w:id="482"/>
      <w:bookmarkEnd w:id="483"/>
      <w:bookmarkEnd w:id="484"/>
    </w:p>
    <w:p w14:paraId="4ED3609A">
      <w:pPr>
        <w:pStyle w:val="5"/>
        <w:rPr>
          <w:color w:val="auto"/>
          <w:highlight w:val="none"/>
        </w:rPr>
      </w:pPr>
      <w:r>
        <w:rPr>
          <w:color w:val="auto"/>
          <w:highlight w:val="none"/>
        </w:rPr>
        <w:t>5.2.6.1土壤环境评价等级及范围</w:t>
      </w:r>
    </w:p>
    <w:p w14:paraId="74C8E9DC">
      <w:pPr>
        <w:pStyle w:val="352"/>
        <w:ind w:firstLine="480"/>
        <w:rPr>
          <w:color w:val="auto"/>
          <w:highlight w:val="none"/>
        </w:rPr>
      </w:pPr>
      <w:r>
        <w:rPr>
          <w:color w:val="auto"/>
          <w:highlight w:val="none"/>
        </w:rPr>
        <w:t>根据</w:t>
      </w:r>
      <w:r>
        <w:rPr>
          <w:rFonts w:hint="eastAsia"/>
          <w:color w:val="auto"/>
          <w:highlight w:val="none"/>
          <w:lang w:eastAsia="zh-CN"/>
        </w:rPr>
        <w:t>《环境影响评价技术导则土壤环境环境（试行）》</w:t>
      </w:r>
      <w:r>
        <w:rPr>
          <w:color w:val="auto"/>
          <w:highlight w:val="none"/>
        </w:rPr>
        <w:t>（HJ964-2018）附录A，本项目为污染影响型项目，项目类别为Ⅰ类。项目占地</w:t>
      </w:r>
      <w:r>
        <w:rPr>
          <w:rFonts w:hint="eastAsia" w:ascii="Times New Roman" w:hAnsi="Times New Roman" w:eastAsia="宋体"/>
          <w:color w:val="auto"/>
          <w:sz w:val="24"/>
          <w:szCs w:val="24"/>
          <w:highlight w:val="none"/>
          <w:lang w:val="en-US" w:eastAsia="zh-CN"/>
        </w:rPr>
        <w:t>15300</w:t>
      </w:r>
      <w:r>
        <w:rPr>
          <w:rFonts w:ascii="Times New Roman" w:hAnsi="Times New Roman" w:eastAsia="宋体"/>
          <w:color w:val="auto"/>
          <w:sz w:val="24"/>
          <w:szCs w:val="24"/>
          <w:highlight w:val="none"/>
        </w:rPr>
        <w:t>m</w:t>
      </w:r>
      <w:r>
        <w:rPr>
          <w:rFonts w:ascii="Times New Roman" w:hAnsi="Times New Roman" w:eastAsia="宋体"/>
          <w:color w:val="auto"/>
          <w:sz w:val="24"/>
          <w:szCs w:val="24"/>
          <w:highlight w:val="none"/>
          <w:vertAlign w:val="superscript"/>
        </w:rPr>
        <w:t>2</w:t>
      </w:r>
      <w:r>
        <w:rPr>
          <w:color w:val="auto"/>
          <w:highlight w:val="none"/>
        </w:rPr>
        <w:t>，属于小型占地规模。根据项目环境保护目标识别，厂界周边</w:t>
      </w:r>
      <w:r>
        <w:rPr>
          <w:rFonts w:hint="eastAsia"/>
          <w:color w:val="auto"/>
          <w:highlight w:val="none"/>
        </w:rPr>
        <w:t>200</w:t>
      </w:r>
      <w:r>
        <w:rPr>
          <w:color w:val="auto"/>
          <w:highlight w:val="none"/>
        </w:rPr>
        <w:t>m范围内无耕地、居民区等土壤环境敏感目标，则项目敏感程度为不敏感。因此，本项目土壤环境影响评价等级定为二级。土壤环境影响预测范围与现状调查评价范围一致，为项目占地范围外200m范围。</w:t>
      </w:r>
    </w:p>
    <w:p w14:paraId="35CE1804">
      <w:pPr>
        <w:pStyle w:val="5"/>
        <w:rPr>
          <w:color w:val="auto"/>
          <w:highlight w:val="none"/>
        </w:rPr>
      </w:pPr>
      <w:bookmarkStart w:id="485" w:name="_Toc152922665"/>
      <w:bookmarkStart w:id="486" w:name="_Toc152922071"/>
      <w:bookmarkStart w:id="487" w:name="_Toc152923346"/>
      <w:bookmarkStart w:id="488" w:name="_Toc152921706"/>
      <w:r>
        <w:rPr>
          <w:color w:val="auto"/>
          <w:highlight w:val="none"/>
        </w:rPr>
        <w:t>5.2.6.2土壤污染影响途径识别</w:t>
      </w:r>
      <w:bookmarkEnd w:id="485"/>
      <w:bookmarkEnd w:id="486"/>
      <w:bookmarkEnd w:id="487"/>
      <w:bookmarkEnd w:id="488"/>
    </w:p>
    <w:p w14:paraId="57C6F7BB">
      <w:pPr>
        <w:snapToGrid w:val="0"/>
        <w:spacing w:line="360" w:lineRule="auto"/>
        <w:ind w:firstLine="480" w:firstLineChars="200"/>
        <w:rPr>
          <w:rFonts w:hint="eastAsia" w:ascii="Times New Roman" w:hAnsi="Times New Roman" w:eastAsia="宋体"/>
          <w:color w:val="auto"/>
          <w:sz w:val="24"/>
          <w:szCs w:val="24"/>
          <w:highlight w:val="none"/>
        </w:rPr>
      </w:pPr>
      <w:r>
        <w:rPr>
          <w:rFonts w:ascii="Times New Roman" w:hAnsi="Times New Roman" w:eastAsia="宋体"/>
          <w:color w:val="auto"/>
          <w:sz w:val="24"/>
          <w:szCs w:val="24"/>
          <w:highlight w:val="none"/>
        </w:rPr>
        <w:t>根据《环境影响评价技术导则土壤环境（试行）》</w:t>
      </w:r>
      <w:r>
        <w:rPr>
          <w:rFonts w:hint="eastAsia"/>
          <w:color w:val="auto"/>
          <w:sz w:val="24"/>
          <w:szCs w:val="24"/>
          <w:highlight w:val="none"/>
          <w:lang w:eastAsia="zh-CN"/>
        </w:rPr>
        <w:t>（</w:t>
      </w:r>
      <w:r>
        <w:rPr>
          <w:rFonts w:ascii="Times New Roman" w:hAnsi="Times New Roman" w:eastAsia="宋体"/>
          <w:color w:val="auto"/>
          <w:sz w:val="24"/>
          <w:szCs w:val="24"/>
          <w:highlight w:val="none"/>
        </w:rPr>
        <w:t>HJ964-2018</w:t>
      </w:r>
      <w:r>
        <w:rPr>
          <w:rFonts w:hint="eastAsia"/>
          <w:color w:val="auto"/>
          <w:sz w:val="24"/>
          <w:szCs w:val="24"/>
          <w:highlight w:val="none"/>
          <w:lang w:eastAsia="zh-CN"/>
        </w:rPr>
        <w:t>）</w:t>
      </w:r>
      <w:r>
        <w:rPr>
          <w:rFonts w:ascii="Times New Roman" w:hAnsi="Times New Roman" w:eastAsia="宋体"/>
          <w:color w:val="auto"/>
          <w:sz w:val="24"/>
          <w:szCs w:val="24"/>
          <w:highlight w:val="none"/>
        </w:rPr>
        <w:t>中</w:t>
      </w:r>
      <w:r>
        <w:rPr>
          <w:rFonts w:hint="eastAsia"/>
          <w:color w:val="auto"/>
          <w:sz w:val="24"/>
          <w:szCs w:val="24"/>
          <w:highlight w:val="none"/>
          <w:lang w:eastAsia="zh-CN"/>
        </w:rPr>
        <w:t>“</w:t>
      </w:r>
      <w:r>
        <w:rPr>
          <w:rFonts w:ascii="Times New Roman" w:hAnsi="Times New Roman" w:eastAsia="宋体"/>
          <w:color w:val="auto"/>
          <w:sz w:val="24"/>
          <w:szCs w:val="24"/>
          <w:highlight w:val="none"/>
        </w:rPr>
        <w:t>附录A</w:t>
      </w:r>
      <w:r>
        <w:rPr>
          <w:rFonts w:hint="eastAsia"/>
          <w:color w:val="auto"/>
          <w:sz w:val="24"/>
          <w:szCs w:val="24"/>
          <w:highlight w:val="none"/>
          <w:lang w:eastAsia="zh-CN"/>
        </w:rPr>
        <w:t>”</w:t>
      </w:r>
      <w:r>
        <w:rPr>
          <w:rFonts w:ascii="Times New Roman" w:hAnsi="Times New Roman" w:eastAsia="宋体"/>
          <w:color w:val="auto"/>
          <w:sz w:val="24"/>
          <w:szCs w:val="24"/>
          <w:highlight w:val="none"/>
        </w:rPr>
        <w:t>，本项目</w:t>
      </w:r>
      <w:r>
        <w:rPr>
          <w:rFonts w:hint="eastAsia" w:ascii="Times New Roman" w:hAnsi="Times New Roman" w:eastAsia="宋体"/>
          <w:color w:val="auto"/>
          <w:sz w:val="24"/>
          <w:szCs w:val="24"/>
          <w:highlight w:val="none"/>
          <w:lang w:val="en-US" w:eastAsia="zh-CN"/>
        </w:rPr>
        <w:t>含有制氢工艺区，属于基础化学原料制造</w:t>
      </w:r>
      <w:r>
        <w:rPr>
          <w:rFonts w:ascii="Times New Roman" w:hAnsi="Times New Roman" w:eastAsia="宋体"/>
          <w:color w:val="auto"/>
          <w:sz w:val="24"/>
          <w:szCs w:val="24"/>
          <w:highlight w:val="none"/>
        </w:rPr>
        <w:t>，土壤环境影响评价项目类别为Ⅰ类。</w:t>
      </w:r>
      <w:r>
        <w:rPr>
          <w:rFonts w:hint="eastAsia" w:ascii="Times New Roman" w:hAnsi="Times New Roman" w:eastAsia="宋体"/>
          <w:color w:val="auto"/>
          <w:sz w:val="24"/>
          <w:szCs w:val="24"/>
          <w:highlight w:val="none"/>
        </w:rPr>
        <w:t>本项目属于新建项目，项目施工期主要为设备安装，施工期土壤污染影响较小。</w:t>
      </w:r>
    </w:p>
    <w:p w14:paraId="42577C42">
      <w:pPr>
        <w:snapToGrid w:val="0"/>
        <w:spacing w:line="360" w:lineRule="auto"/>
        <w:ind w:firstLine="480" w:firstLineChars="200"/>
        <w:rPr>
          <w:rFonts w:hint="eastAsia" w:ascii="Times New Roman" w:hAnsi="Times New Roman" w:eastAsia="宋体"/>
          <w:color w:val="auto"/>
          <w:sz w:val="24"/>
          <w:szCs w:val="24"/>
          <w:highlight w:val="none"/>
          <w:lang w:val="en-US" w:eastAsia="zh-CN"/>
        </w:rPr>
      </w:pPr>
      <w:r>
        <w:rPr>
          <w:rFonts w:hint="eastAsia" w:ascii="Times New Roman" w:hAnsi="Times New Roman" w:eastAsia="宋体"/>
          <w:color w:val="auto"/>
          <w:sz w:val="24"/>
          <w:szCs w:val="24"/>
          <w:highlight w:val="none"/>
          <w:lang w:val="en-US" w:eastAsia="zh-CN"/>
        </w:rPr>
        <w:t>本项目营运期排放生活污水和生产废水，水质简单，不涉及重金属及难降解有机污染物。生活污水水质简单，经化粪池处理后直接排入市政污水管网，不会出现非正常排放。工艺废水基本为清净下水，洗车废水经管线收集隔油沉淀处理排放，因此，正常工况条件下物料或污染物的地面漫流对土壤影响较小。</w:t>
      </w:r>
    </w:p>
    <w:p w14:paraId="257EFD53">
      <w:pPr>
        <w:snapToGrid w:val="0"/>
        <w:spacing w:line="360" w:lineRule="auto"/>
        <w:ind w:firstLine="480" w:firstLineChars="200"/>
        <w:rPr>
          <w:rFonts w:hint="eastAsia" w:ascii="Times New Roman" w:hAnsi="Times New Roman" w:eastAsia="宋体"/>
          <w:color w:val="auto"/>
          <w:sz w:val="24"/>
          <w:szCs w:val="24"/>
          <w:highlight w:val="none"/>
        </w:rPr>
      </w:pPr>
      <w:r>
        <w:rPr>
          <w:rFonts w:hint="eastAsia" w:ascii="Times New Roman" w:hAnsi="Times New Roman" w:eastAsia="宋体"/>
          <w:color w:val="auto"/>
          <w:sz w:val="24"/>
          <w:szCs w:val="24"/>
          <w:highlight w:val="none"/>
        </w:rPr>
        <w:t>根据项目工程分析，本项目主要生产废气为SO</w:t>
      </w:r>
      <w:r>
        <w:rPr>
          <w:rFonts w:hint="eastAsia" w:ascii="Times New Roman" w:hAnsi="Times New Roman" w:eastAsia="宋体"/>
          <w:color w:val="auto"/>
          <w:sz w:val="24"/>
          <w:szCs w:val="24"/>
          <w:highlight w:val="none"/>
          <w:vertAlign w:val="subscript"/>
        </w:rPr>
        <w:t>2</w:t>
      </w:r>
      <w:r>
        <w:rPr>
          <w:rFonts w:hint="eastAsia" w:ascii="Times New Roman" w:hAnsi="Times New Roman" w:eastAsia="宋体"/>
          <w:color w:val="auto"/>
          <w:sz w:val="24"/>
          <w:szCs w:val="24"/>
          <w:highlight w:val="none"/>
        </w:rPr>
        <w:t>、NOx</w:t>
      </w:r>
      <w:r>
        <w:rPr>
          <w:rFonts w:hint="eastAsia" w:ascii="Times New Roman" w:hAnsi="Times New Roman" w:eastAsia="宋体"/>
          <w:color w:val="auto"/>
          <w:sz w:val="24"/>
          <w:szCs w:val="24"/>
          <w:highlight w:val="none"/>
          <w:lang w:eastAsia="zh-CN"/>
        </w:rPr>
        <w:t>、</w:t>
      </w:r>
      <w:r>
        <w:rPr>
          <w:rFonts w:hint="eastAsia" w:ascii="Times New Roman" w:hAnsi="Times New Roman" w:eastAsia="宋体"/>
          <w:color w:val="auto"/>
          <w:sz w:val="24"/>
          <w:szCs w:val="24"/>
          <w:highlight w:val="none"/>
          <w:lang w:val="en-US" w:eastAsia="zh-CN"/>
        </w:rPr>
        <w:t>非甲烷总烃</w:t>
      </w:r>
      <w:r>
        <w:rPr>
          <w:rFonts w:hint="eastAsia" w:ascii="Times New Roman" w:hAnsi="Times New Roman" w:eastAsia="宋体"/>
          <w:color w:val="auto"/>
          <w:sz w:val="24"/>
          <w:szCs w:val="24"/>
          <w:highlight w:val="none"/>
        </w:rPr>
        <w:t>等，</w:t>
      </w:r>
      <w:r>
        <w:rPr>
          <w:rFonts w:hint="eastAsia" w:ascii="Times New Roman" w:hAnsi="Times New Roman" w:eastAsia="宋体"/>
          <w:color w:val="auto"/>
          <w:sz w:val="24"/>
          <w:szCs w:val="24"/>
          <w:highlight w:val="none"/>
          <w:lang w:val="en-US" w:eastAsia="zh-CN"/>
        </w:rPr>
        <w:t>非甲烷总烃等有机废气经长时间</w:t>
      </w:r>
      <w:r>
        <w:rPr>
          <w:rFonts w:hint="eastAsia" w:ascii="Times New Roman" w:hAnsi="Times New Roman" w:eastAsia="宋体"/>
          <w:color w:val="auto"/>
          <w:sz w:val="24"/>
          <w:szCs w:val="24"/>
          <w:highlight w:val="none"/>
        </w:rPr>
        <w:t>沉降到地面对土壤</w:t>
      </w:r>
      <w:r>
        <w:rPr>
          <w:rFonts w:hint="eastAsia" w:ascii="Times New Roman" w:hAnsi="Times New Roman" w:eastAsia="宋体"/>
          <w:color w:val="auto"/>
          <w:sz w:val="24"/>
          <w:szCs w:val="24"/>
          <w:highlight w:val="none"/>
          <w:lang w:val="en-US" w:eastAsia="zh-CN"/>
        </w:rPr>
        <w:t>环境产生影响</w:t>
      </w:r>
      <w:r>
        <w:rPr>
          <w:rFonts w:hint="eastAsia" w:ascii="Times New Roman" w:hAnsi="Times New Roman" w:eastAsia="宋体"/>
          <w:color w:val="auto"/>
          <w:sz w:val="24"/>
          <w:szCs w:val="24"/>
          <w:highlight w:val="none"/>
        </w:rPr>
        <w:t>，因此本次评价考虑大气污染物沉降污染。</w:t>
      </w:r>
    </w:p>
    <w:p w14:paraId="5A80AA47">
      <w:pPr>
        <w:snapToGrid w:val="0"/>
        <w:ind w:firstLine="420"/>
        <w:jc w:val="center"/>
        <w:rPr>
          <w:rFonts w:ascii="Times New Roman" w:hAnsi="Times New Roman" w:eastAsia="宋体"/>
          <w:b/>
          <w:color w:val="auto"/>
          <w:kern w:val="0"/>
          <w:sz w:val="24"/>
          <w:szCs w:val="21"/>
          <w:highlight w:val="none"/>
        </w:rPr>
      </w:pPr>
      <w:r>
        <w:rPr>
          <w:rFonts w:hint="default" w:ascii="Times New Roman" w:hAnsi="Times New Roman" w:eastAsia="宋体" w:cs="Times New Roman"/>
          <w:b/>
          <w:bCs/>
          <w:color w:val="auto"/>
          <w:kern w:val="2"/>
          <w:sz w:val="24"/>
          <w:szCs w:val="22"/>
          <w:highlight w:val="none"/>
          <w:lang w:val="en-US" w:eastAsia="zh-CN" w:bidi="ar-SA"/>
        </w:rPr>
        <w:t>表5.</w:t>
      </w:r>
      <w:r>
        <w:rPr>
          <w:rFonts w:hint="eastAsia" w:ascii="Times New Roman" w:hAnsi="Times New Roman" w:eastAsia="宋体" w:cs="Times New Roman"/>
          <w:b/>
          <w:bCs/>
          <w:color w:val="auto"/>
          <w:kern w:val="2"/>
          <w:sz w:val="24"/>
          <w:szCs w:val="22"/>
          <w:highlight w:val="none"/>
          <w:lang w:val="en-US" w:eastAsia="zh-CN" w:bidi="ar-SA"/>
        </w:rPr>
        <w:t>2.6</w:t>
      </w:r>
      <w:r>
        <w:rPr>
          <w:rFonts w:hint="default" w:ascii="Times New Roman" w:hAnsi="Times New Roman" w:eastAsia="宋体" w:cs="Times New Roman"/>
          <w:b/>
          <w:bCs/>
          <w:color w:val="auto"/>
          <w:kern w:val="2"/>
          <w:sz w:val="24"/>
          <w:szCs w:val="22"/>
          <w:highlight w:val="none"/>
          <w:lang w:val="en-US" w:eastAsia="zh-CN" w:bidi="ar-SA"/>
        </w:rPr>
        <w:t>-1</w:t>
      </w:r>
      <w:r>
        <w:rPr>
          <w:rFonts w:hint="eastAsia" w:cs="Times New Roman"/>
          <w:b/>
          <w:bCs/>
          <w:color w:val="auto"/>
          <w:kern w:val="2"/>
          <w:sz w:val="24"/>
          <w:szCs w:val="22"/>
          <w:highlight w:val="none"/>
          <w:lang w:val="en-US" w:eastAsia="zh-CN" w:bidi="ar-SA"/>
        </w:rPr>
        <w:t xml:space="preserve">  </w:t>
      </w:r>
      <w:r>
        <w:rPr>
          <w:rFonts w:hint="default" w:ascii="Times New Roman" w:hAnsi="Times New Roman" w:eastAsia="宋体" w:cs="Times New Roman"/>
          <w:b/>
          <w:bCs/>
          <w:color w:val="auto"/>
          <w:kern w:val="2"/>
          <w:sz w:val="24"/>
          <w:szCs w:val="22"/>
          <w:highlight w:val="none"/>
          <w:lang w:val="en-US" w:eastAsia="zh-CN" w:bidi="ar-SA"/>
        </w:rPr>
        <w:t>建设项目土壤环境影响类型与影响途径表</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5"/>
        <w:gridCol w:w="1704"/>
        <w:gridCol w:w="1705"/>
        <w:gridCol w:w="1705"/>
        <w:gridCol w:w="1513"/>
      </w:tblGrid>
      <w:tr w14:paraId="24E09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595" w:type="dxa"/>
            <w:vMerge w:val="restart"/>
            <w:tcBorders>
              <w:tl2br w:val="nil"/>
              <w:tr2bl w:val="nil"/>
            </w:tcBorders>
            <w:noWrap w:val="0"/>
            <w:vAlign w:val="center"/>
          </w:tcPr>
          <w:p w14:paraId="603F5634">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不同时段</w:t>
            </w:r>
          </w:p>
        </w:tc>
        <w:tc>
          <w:tcPr>
            <w:tcW w:w="6627" w:type="dxa"/>
            <w:gridSpan w:val="4"/>
            <w:tcBorders>
              <w:tl2br w:val="nil"/>
              <w:tr2bl w:val="nil"/>
            </w:tcBorders>
            <w:noWrap w:val="0"/>
            <w:vAlign w:val="center"/>
          </w:tcPr>
          <w:p w14:paraId="06E4A0A4">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污染影响型</w:t>
            </w:r>
          </w:p>
        </w:tc>
      </w:tr>
      <w:tr w14:paraId="01AA7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595" w:type="dxa"/>
            <w:vMerge w:val="continue"/>
            <w:tcBorders>
              <w:tl2br w:val="nil"/>
              <w:tr2bl w:val="nil"/>
            </w:tcBorders>
            <w:noWrap w:val="0"/>
            <w:vAlign w:val="center"/>
          </w:tcPr>
          <w:p w14:paraId="41D7F8D3">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p>
        </w:tc>
        <w:tc>
          <w:tcPr>
            <w:tcW w:w="1704" w:type="dxa"/>
            <w:tcBorders>
              <w:tl2br w:val="nil"/>
              <w:tr2bl w:val="nil"/>
            </w:tcBorders>
            <w:noWrap w:val="0"/>
            <w:vAlign w:val="center"/>
          </w:tcPr>
          <w:p w14:paraId="11D04EF0">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大气沉降</w:t>
            </w:r>
          </w:p>
        </w:tc>
        <w:tc>
          <w:tcPr>
            <w:tcW w:w="1705" w:type="dxa"/>
            <w:tcBorders>
              <w:tl2br w:val="nil"/>
              <w:tr2bl w:val="nil"/>
            </w:tcBorders>
            <w:noWrap w:val="0"/>
            <w:vAlign w:val="center"/>
          </w:tcPr>
          <w:p w14:paraId="1CCFCCC4">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地表漫流</w:t>
            </w:r>
          </w:p>
        </w:tc>
        <w:tc>
          <w:tcPr>
            <w:tcW w:w="1705" w:type="dxa"/>
            <w:tcBorders>
              <w:tl2br w:val="nil"/>
              <w:tr2bl w:val="nil"/>
            </w:tcBorders>
            <w:noWrap w:val="0"/>
            <w:vAlign w:val="center"/>
          </w:tcPr>
          <w:p w14:paraId="0C8E2FCE">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垂直入渗</w:t>
            </w:r>
          </w:p>
        </w:tc>
        <w:tc>
          <w:tcPr>
            <w:tcW w:w="1513" w:type="dxa"/>
            <w:tcBorders>
              <w:tl2br w:val="nil"/>
              <w:tr2bl w:val="nil"/>
            </w:tcBorders>
            <w:noWrap w:val="0"/>
            <w:vAlign w:val="center"/>
          </w:tcPr>
          <w:p w14:paraId="68A47C98">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其他</w:t>
            </w:r>
          </w:p>
        </w:tc>
      </w:tr>
      <w:tr w14:paraId="3057C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595" w:type="dxa"/>
            <w:tcBorders>
              <w:tl2br w:val="nil"/>
              <w:tr2bl w:val="nil"/>
            </w:tcBorders>
            <w:noWrap w:val="0"/>
            <w:vAlign w:val="center"/>
          </w:tcPr>
          <w:p w14:paraId="096AB109">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建设期</w:t>
            </w:r>
          </w:p>
        </w:tc>
        <w:tc>
          <w:tcPr>
            <w:tcW w:w="1704" w:type="dxa"/>
            <w:tcBorders>
              <w:tl2br w:val="nil"/>
              <w:tr2bl w:val="nil"/>
            </w:tcBorders>
            <w:noWrap w:val="0"/>
            <w:vAlign w:val="center"/>
          </w:tcPr>
          <w:p w14:paraId="54815F3E">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c>
          <w:tcPr>
            <w:tcW w:w="1705" w:type="dxa"/>
            <w:tcBorders>
              <w:tl2br w:val="nil"/>
              <w:tr2bl w:val="nil"/>
            </w:tcBorders>
            <w:noWrap w:val="0"/>
            <w:vAlign w:val="center"/>
          </w:tcPr>
          <w:p w14:paraId="14938409">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c>
          <w:tcPr>
            <w:tcW w:w="1705" w:type="dxa"/>
            <w:tcBorders>
              <w:tl2br w:val="nil"/>
              <w:tr2bl w:val="nil"/>
            </w:tcBorders>
            <w:noWrap w:val="0"/>
            <w:vAlign w:val="center"/>
          </w:tcPr>
          <w:p w14:paraId="746DF587">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c>
          <w:tcPr>
            <w:tcW w:w="1513" w:type="dxa"/>
            <w:tcBorders>
              <w:tl2br w:val="nil"/>
              <w:tr2bl w:val="nil"/>
            </w:tcBorders>
            <w:noWrap w:val="0"/>
            <w:vAlign w:val="center"/>
          </w:tcPr>
          <w:p w14:paraId="48AA076A">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r>
      <w:tr w14:paraId="2E0DA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595" w:type="dxa"/>
            <w:tcBorders>
              <w:tl2br w:val="nil"/>
              <w:tr2bl w:val="nil"/>
            </w:tcBorders>
            <w:noWrap w:val="0"/>
            <w:vAlign w:val="center"/>
          </w:tcPr>
          <w:p w14:paraId="6478F597">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运营期</w:t>
            </w:r>
          </w:p>
        </w:tc>
        <w:tc>
          <w:tcPr>
            <w:tcW w:w="1704" w:type="dxa"/>
            <w:tcBorders>
              <w:tl2br w:val="nil"/>
              <w:tr2bl w:val="nil"/>
            </w:tcBorders>
            <w:noWrap w:val="0"/>
            <w:vAlign w:val="center"/>
          </w:tcPr>
          <w:p w14:paraId="1098FF64">
            <w:pPr>
              <w:tabs>
                <w:tab w:val="left" w:pos="1050"/>
              </w:tabs>
              <w:topLinePunct/>
              <w:adjustRightInd w:val="0"/>
              <w:snapToGrid w:val="0"/>
              <w:jc w:val="center"/>
              <w:textAlignment w:val="center"/>
              <w:rPr>
                <w:rFonts w:hint="eastAsia" w:ascii="Times New Roman" w:hAnsi="Times New Roman" w:eastAsia="宋体"/>
                <w:snapToGrid w:val="0"/>
                <w:color w:val="auto"/>
                <w:kern w:val="0"/>
                <w:szCs w:val="21"/>
                <w:highlight w:val="none"/>
                <w:lang w:eastAsia="zh-CN"/>
              </w:rPr>
            </w:pPr>
            <w:r>
              <w:rPr>
                <w:rFonts w:hint="eastAsia" w:ascii="Times New Roman" w:hAnsi="Times New Roman" w:eastAsia="宋体"/>
                <w:snapToGrid w:val="0"/>
                <w:color w:val="auto"/>
                <w:kern w:val="0"/>
                <w:szCs w:val="21"/>
                <w:highlight w:val="none"/>
                <w:lang w:eastAsia="zh-CN"/>
              </w:rPr>
              <w:t>√</w:t>
            </w:r>
          </w:p>
        </w:tc>
        <w:tc>
          <w:tcPr>
            <w:tcW w:w="1705" w:type="dxa"/>
            <w:tcBorders>
              <w:tl2br w:val="nil"/>
              <w:tr2bl w:val="nil"/>
            </w:tcBorders>
            <w:noWrap w:val="0"/>
            <w:vAlign w:val="center"/>
          </w:tcPr>
          <w:p w14:paraId="46CFCC1A">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c>
          <w:tcPr>
            <w:tcW w:w="1705" w:type="dxa"/>
            <w:tcBorders>
              <w:tl2br w:val="nil"/>
              <w:tr2bl w:val="nil"/>
            </w:tcBorders>
            <w:noWrap w:val="0"/>
            <w:vAlign w:val="center"/>
          </w:tcPr>
          <w:p w14:paraId="6164E0C4">
            <w:pPr>
              <w:tabs>
                <w:tab w:val="left" w:pos="1050"/>
              </w:tabs>
              <w:topLinePunct/>
              <w:adjustRightInd w:val="0"/>
              <w:snapToGrid w:val="0"/>
              <w:jc w:val="center"/>
              <w:textAlignment w:val="center"/>
              <w:rPr>
                <w:rFonts w:hint="eastAsia" w:ascii="Times New Roman" w:hAnsi="Times New Roman" w:eastAsia="宋体"/>
                <w:snapToGrid w:val="0"/>
                <w:color w:val="auto"/>
                <w:kern w:val="0"/>
                <w:szCs w:val="21"/>
                <w:highlight w:val="none"/>
                <w:lang w:eastAsia="zh-CN"/>
              </w:rPr>
            </w:pPr>
            <w:r>
              <w:rPr>
                <w:rFonts w:hint="eastAsia" w:ascii="Times New Roman" w:hAnsi="Times New Roman" w:eastAsia="宋体"/>
                <w:snapToGrid w:val="0"/>
                <w:color w:val="auto"/>
                <w:kern w:val="0"/>
                <w:szCs w:val="21"/>
                <w:highlight w:val="none"/>
                <w:lang w:eastAsia="zh-CN"/>
              </w:rPr>
              <w:t>√</w:t>
            </w:r>
          </w:p>
        </w:tc>
        <w:tc>
          <w:tcPr>
            <w:tcW w:w="1513" w:type="dxa"/>
            <w:tcBorders>
              <w:tl2br w:val="nil"/>
              <w:tr2bl w:val="nil"/>
            </w:tcBorders>
            <w:noWrap w:val="0"/>
            <w:vAlign w:val="center"/>
          </w:tcPr>
          <w:p w14:paraId="7C68FA0F">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r>
      <w:tr w14:paraId="5433E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1595" w:type="dxa"/>
            <w:tcBorders>
              <w:tl2br w:val="nil"/>
              <w:tr2bl w:val="nil"/>
            </w:tcBorders>
            <w:noWrap w:val="0"/>
            <w:vAlign w:val="center"/>
          </w:tcPr>
          <w:p w14:paraId="6F35118F">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服务期满</w:t>
            </w:r>
          </w:p>
        </w:tc>
        <w:tc>
          <w:tcPr>
            <w:tcW w:w="1704" w:type="dxa"/>
            <w:tcBorders>
              <w:tl2br w:val="nil"/>
              <w:tr2bl w:val="nil"/>
            </w:tcBorders>
            <w:noWrap w:val="0"/>
            <w:vAlign w:val="center"/>
          </w:tcPr>
          <w:p w14:paraId="739083AE">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c>
          <w:tcPr>
            <w:tcW w:w="1705" w:type="dxa"/>
            <w:tcBorders>
              <w:tl2br w:val="nil"/>
              <w:tr2bl w:val="nil"/>
            </w:tcBorders>
            <w:noWrap w:val="0"/>
            <w:vAlign w:val="center"/>
          </w:tcPr>
          <w:p w14:paraId="5CCC7CAD">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c>
          <w:tcPr>
            <w:tcW w:w="1705" w:type="dxa"/>
            <w:tcBorders>
              <w:tl2br w:val="nil"/>
              <w:tr2bl w:val="nil"/>
            </w:tcBorders>
            <w:noWrap w:val="0"/>
            <w:vAlign w:val="center"/>
          </w:tcPr>
          <w:p w14:paraId="795AE795">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c>
          <w:tcPr>
            <w:tcW w:w="1513" w:type="dxa"/>
            <w:tcBorders>
              <w:tl2br w:val="nil"/>
              <w:tr2bl w:val="nil"/>
            </w:tcBorders>
            <w:noWrap w:val="0"/>
            <w:vAlign w:val="center"/>
          </w:tcPr>
          <w:p w14:paraId="6EE6033C">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w:t>
            </w:r>
          </w:p>
        </w:tc>
      </w:tr>
    </w:tbl>
    <w:p w14:paraId="28A27E9E">
      <w:pPr>
        <w:snapToGrid w:val="0"/>
        <w:spacing w:line="360" w:lineRule="auto"/>
        <w:ind w:firstLine="480" w:firstLineChars="200"/>
        <w:rPr>
          <w:rFonts w:ascii="Times New Roman" w:hAnsi="Times New Roman" w:eastAsia="宋体"/>
          <w:color w:val="auto"/>
          <w:kern w:val="0"/>
          <w:sz w:val="24"/>
          <w:highlight w:val="none"/>
          <w:lang w:bidi="en-US"/>
        </w:rPr>
      </w:pPr>
      <w:r>
        <w:rPr>
          <w:rFonts w:ascii="Times New Roman" w:hAnsi="Times New Roman" w:eastAsia="宋体"/>
          <w:color w:val="auto"/>
          <w:kern w:val="0"/>
          <w:sz w:val="24"/>
          <w:highlight w:val="none"/>
          <w:lang w:bidi="en-US"/>
        </w:rPr>
        <w:t>由上表可知，主要是项目运营期污染物通过大气沉降、垂直入渗等途径对土壤环境产生影响，土壤环境影响源及影响因子识别见下表：</w:t>
      </w:r>
    </w:p>
    <w:p w14:paraId="23427AEC">
      <w:pPr>
        <w:tabs>
          <w:tab w:val="left" w:pos="1050"/>
        </w:tabs>
        <w:topLinePunct/>
        <w:adjustRightInd w:val="0"/>
        <w:snapToGrid w:val="0"/>
        <w:jc w:val="center"/>
        <w:textAlignment w:val="center"/>
        <w:rPr>
          <w:rFonts w:ascii="Times New Roman" w:hAnsi="Times New Roman" w:eastAsia="宋体"/>
          <w:b/>
          <w:snapToGrid w:val="0"/>
          <w:color w:val="auto"/>
          <w:kern w:val="0"/>
          <w:sz w:val="24"/>
          <w:szCs w:val="21"/>
          <w:highlight w:val="none"/>
        </w:rPr>
      </w:pPr>
      <w:r>
        <w:rPr>
          <w:rFonts w:ascii="Times New Roman" w:hAnsi="Times New Roman" w:eastAsia="宋体"/>
          <w:b/>
          <w:snapToGrid w:val="0"/>
          <w:color w:val="auto"/>
          <w:kern w:val="0"/>
          <w:sz w:val="24"/>
          <w:szCs w:val="21"/>
          <w:highlight w:val="none"/>
        </w:rPr>
        <w:t>表5.</w:t>
      </w:r>
      <w:r>
        <w:rPr>
          <w:rFonts w:hint="eastAsia" w:ascii="Times New Roman" w:hAnsi="Times New Roman" w:eastAsia="宋体"/>
          <w:b/>
          <w:snapToGrid w:val="0"/>
          <w:color w:val="auto"/>
          <w:kern w:val="0"/>
          <w:sz w:val="24"/>
          <w:szCs w:val="21"/>
          <w:highlight w:val="none"/>
        </w:rPr>
        <w:t>2.6</w:t>
      </w:r>
      <w:r>
        <w:rPr>
          <w:rFonts w:ascii="Times New Roman" w:hAnsi="Times New Roman" w:eastAsia="宋体"/>
          <w:b/>
          <w:snapToGrid w:val="0"/>
          <w:color w:val="auto"/>
          <w:kern w:val="0"/>
          <w:sz w:val="24"/>
          <w:szCs w:val="21"/>
          <w:highlight w:val="none"/>
        </w:rPr>
        <w:t>-2</w:t>
      </w:r>
      <w:r>
        <w:rPr>
          <w:rFonts w:hint="eastAsia"/>
          <w:b/>
          <w:snapToGrid w:val="0"/>
          <w:color w:val="auto"/>
          <w:kern w:val="0"/>
          <w:sz w:val="24"/>
          <w:szCs w:val="21"/>
          <w:highlight w:val="none"/>
          <w:lang w:val="en-US" w:eastAsia="zh-CN"/>
        </w:rPr>
        <w:t xml:space="preserve">  </w:t>
      </w:r>
      <w:r>
        <w:rPr>
          <w:rFonts w:ascii="Times New Roman" w:hAnsi="Times New Roman" w:eastAsia="宋体"/>
          <w:b/>
          <w:snapToGrid w:val="0"/>
          <w:color w:val="auto"/>
          <w:kern w:val="0"/>
          <w:sz w:val="24"/>
          <w:szCs w:val="21"/>
          <w:highlight w:val="none"/>
        </w:rPr>
        <w:t>土壤环境影响源及影响因子识别表</w:t>
      </w:r>
    </w:p>
    <w:tbl>
      <w:tblPr>
        <w:tblStyle w:val="4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1"/>
        <w:gridCol w:w="1430"/>
        <w:gridCol w:w="1067"/>
        <w:gridCol w:w="1663"/>
        <w:gridCol w:w="810"/>
        <w:gridCol w:w="2426"/>
      </w:tblGrid>
      <w:tr w14:paraId="39680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58" w:type="pct"/>
            <w:tcBorders>
              <w:tl2br w:val="nil"/>
              <w:tr2bl w:val="nil"/>
            </w:tcBorders>
            <w:noWrap w:val="0"/>
            <w:vAlign w:val="center"/>
          </w:tcPr>
          <w:p w14:paraId="569F3442">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污染源</w:t>
            </w:r>
          </w:p>
        </w:tc>
        <w:tc>
          <w:tcPr>
            <w:tcW w:w="839" w:type="pct"/>
            <w:tcBorders>
              <w:tl2br w:val="nil"/>
              <w:tr2bl w:val="nil"/>
            </w:tcBorders>
            <w:noWrap w:val="0"/>
            <w:vAlign w:val="center"/>
          </w:tcPr>
          <w:p w14:paraId="787AAE20">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工艺流程</w:t>
            </w:r>
          </w:p>
        </w:tc>
        <w:tc>
          <w:tcPr>
            <w:tcW w:w="626" w:type="pct"/>
            <w:tcBorders>
              <w:tl2br w:val="nil"/>
              <w:tr2bl w:val="nil"/>
            </w:tcBorders>
            <w:noWrap w:val="0"/>
            <w:vAlign w:val="center"/>
          </w:tcPr>
          <w:p w14:paraId="0BA2984B">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污染途径</w:t>
            </w:r>
          </w:p>
        </w:tc>
        <w:tc>
          <w:tcPr>
            <w:tcW w:w="976" w:type="pct"/>
            <w:tcBorders>
              <w:tl2br w:val="nil"/>
              <w:tr2bl w:val="nil"/>
            </w:tcBorders>
            <w:noWrap w:val="0"/>
            <w:vAlign w:val="center"/>
          </w:tcPr>
          <w:p w14:paraId="658F106B">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hint="eastAsia" w:ascii="Times New Roman" w:hAnsi="Times New Roman" w:eastAsia="宋体"/>
                <w:b/>
                <w:snapToGrid w:val="0"/>
                <w:color w:val="auto"/>
                <w:kern w:val="0"/>
                <w:szCs w:val="21"/>
                <w:highlight w:val="none"/>
                <w:lang w:val="en-US" w:eastAsia="zh-CN"/>
              </w:rPr>
              <w:t>全部</w:t>
            </w:r>
            <w:r>
              <w:rPr>
                <w:rFonts w:ascii="Times New Roman" w:hAnsi="Times New Roman" w:eastAsia="宋体"/>
                <w:b/>
                <w:snapToGrid w:val="0"/>
                <w:color w:val="auto"/>
                <w:kern w:val="0"/>
                <w:szCs w:val="21"/>
                <w:highlight w:val="none"/>
              </w:rPr>
              <w:t>污染</w:t>
            </w:r>
            <w:r>
              <w:rPr>
                <w:rFonts w:hint="eastAsia" w:ascii="Times New Roman" w:hAnsi="Times New Roman" w:eastAsia="宋体"/>
                <w:b/>
                <w:snapToGrid w:val="0"/>
                <w:color w:val="auto"/>
                <w:kern w:val="0"/>
                <w:szCs w:val="21"/>
                <w:highlight w:val="none"/>
                <w:lang w:val="en-US" w:eastAsia="zh-CN"/>
              </w:rPr>
              <w:t>指标</w:t>
            </w:r>
          </w:p>
        </w:tc>
        <w:tc>
          <w:tcPr>
            <w:tcW w:w="475" w:type="pct"/>
            <w:tcBorders>
              <w:tl2br w:val="nil"/>
              <w:tr2bl w:val="nil"/>
            </w:tcBorders>
            <w:noWrap w:val="0"/>
            <w:vAlign w:val="center"/>
          </w:tcPr>
          <w:p w14:paraId="0275099A">
            <w:pPr>
              <w:tabs>
                <w:tab w:val="left" w:pos="1050"/>
              </w:tabs>
              <w:topLinePunct/>
              <w:adjustRightInd w:val="0"/>
              <w:snapToGrid w:val="0"/>
              <w:jc w:val="center"/>
              <w:textAlignment w:val="center"/>
              <w:rPr>
                <w:rFonts w:hint="default" w:ascii="Times New Roman" w:hAnsi="Times New Roman" w:eastAsia="宋体"/>
                <w:b/>
                <w:snapToGrid w:val="0"/>
                <w:color w:val="auto"/>
                <w:kern w:val="0"/>
                <w:szCs w:val="21"/>
                <w:highlight w:val="none"/>
                <w:lang w:val="en-US" w:eastAsia="zh-CN"/>
              </w:rPr>
            </w:pPr>
            <w:r>
              <w:rPr>
                <w:rFonts w:hint="eastAsia" w:ascii="Times New Roman" w:hAnsi="Times New Roman" w:eastAsia="宋体"/>
                <w:b/>
                <w:snapToGrid w:val="0"/>
                <w:color w:val="auto"/>
                <w:kern w:val="0"/>
                <w:szCs w:val="21"/>
                <w:highlight w:val="none"/>
                <w:lang w:val="en-US" w:eastAsia="zh-CN"/>
              </w:rPr>
              <w:t>特征因子</w:t>
            </w:r>
          </w:p>
        </w:tc>
        <w:tc>
          <w:tcPr>
            <w:tcW w:w="1423" w:type="pct"/>
            <w:tcBorders>
              <w:tl2br w:val="nil"/>
              <w:tr2bl w:val="nil"/>
            </w:tcBorders>
            <w:noWrap w:val="0"/>
            <w:vAlign w:val="center"/>
          </w:tcPr>
          <w:p w14:paraId="538FCF64">
            <w:pPr>
              <w:tabs>
                <w:tab w:val="left" w:pos="1050"/>
              </w:tabs>
              <w:topLinePunct/>
              <w:adjustRightInd w:val="0"/>
              <w:snapToGrid w:val="0"/>
              <w:jc w:val="center"/>
              <w:textAlignment w:val="center"/>
              <w:rPr>
                <w:rFonts w:ascii="Times New Roman" w:hAnsi="Times New Roman" w:eastAsia="宋体"/>
                <w:b/>
                <w:snapToGrid w:val="0"/>
                <w:color w:val="auto"/>
                <w:kern w:val="0"/>
                <w:szCs w:val="21"/>
                <w:highlight w:val="none"/>
              </w:rPr>
            </w:pPr>
            <w:r>
              <w:rPr>
                <w:rFonts w:ascii="Times New Roman" w:hAnsi="Times New Roman" w:eastAsia="宋体"/>
                <w:b/>
                <w:snapToGrid w:val="0"/>
                <w:color w:val="auto"/>
                <w:kern w:val="0"/>
                <w:szCs w:val="21"/>
                <w:highlight w:val="none"/>
              </w:rPr>
              <w:t>备注</w:t>
            </w:r>
          </w:p>
        </w:tc>
      </w:tr>
      <w:tr w14:paraId="4ACFF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 w:type="pct"/>
            <w:tcBorders>
              <w:tl2br w:val="nil"/>
              <w:tr2bl w:val="nil"/>
            </w:tcBorders>
            <w:noWrap w:val="0"/>
            <w:vAlign w:val="center"/>
          </w:tcPr>
          <w:p w14:paraId="7166764D">
            <w:pPr>
              <w:tabs>
                <w:tab w:val="left" w:pos="1050"/>
              </w:tabs>
              <w:topLinePunct/>
              <w:adjustRightInd w:val="0"/>
              <w:snapToGrid w:val="0"/>
              <w:jc w:val="center"/>
              <w:textAlignment w:val="center"/>
              <w:rPr>
                <w:rFonts w:hint="default" w:ascii="Times New Roman" w:hAnsi="Times New Roman" w:eastAsia="宋体"/>
                <w:snapToGrid w:val="0"/>
                <w:color w:val="auto"/>
                <w:kern w:val="0"/>
                <w:szCs w:val="21"/>
                <w:highlight w:val="none"/>
                <w:lang w:val="en-US" w:eastAsia="zh-CN"/>
              </w:rPr>
            </w:pPr>
            <w:r>
              <w:rPr>
                <w:rFonts w:hint="eastAsia" w:ascii="Times New Roman" w:hAnsi="Times New Roman" w:eastAsia="宋体"/>
                <w:snapToGrid w:val="0"/>
                <w:color w:val="auto"/>
                <w:kern w:val="0"/>
                <w:szCs w:val="21"/>
                <w:highlight w:val="none"/>
                <w:lang w:val="en-US" w:eastAsia="zh-CN"/>
              </w:rPr>
              <w:t>储罐区、加油机</w:t>
            </w:r>
          </w:p>
        </w:tc>
        <w:tc>
          <w:tcPr>
            <w:tcW w:w="839" w:type="pct"/>
            <w:tcBorders>
              <w:tl2br w:val="nil"/>
              <w:tr2bl w:val="nil"/>
            </w:tcBorders>
            <w:noWrap w:val="0"/>
            <w:vAlign w:val="center"/>
          </w:tcPr>
          <w:p w14:paraId="0A85D11B">
            <w:pPr>
              <w:tabs>
                <w:tab w:val="left" w:pos="1050"/>
              </w:tabs>
              <w:topLinePunct/>
              <w:adjustRightInd w:val="0"/>
              <w:snapToGrid w:val="0"/>
              <w:jc w:val="center"/>
              <w:textAlignment w:val="center"/>
              <w:rPr>
                <w:rFonts w:hint="default" w:ascii="Times New Roman" w:hAnsi="Times New Roman" w:eastAsia="宋体"/>
                <w:snapToGrid w:val="0"/>
                <w:color w:val="auto"/>
                <w:kern w:val="0"/>
                <w:szCs w:val="21"/>
                <w:highlight w:val="none"/>
                <w:lang w:val="en-US"/>
              </w:rPr>
            </w:pPr>
            <w:r>
              <w:rPr>
                <w:rFonts w:hint="eastAsia" w:ascii="Times New Roman" w:hAnsi="Times New Roman" w:eastAsia="宋体"/>
                <w:snapToGrid w:val="0"/>
                <w:color w:val="auto"/>
                <w:kern w:val="0"/>
                <w:szCs w:val="21"/>
                <w:highlight w:val="none"/>
                <w:lang w:val="en-US" w:eastAsia="zh-CN"/>
              </w:rPr>
              <w:t>油品存储大小呼吸、加油过程</w:t>
            </w:r>
          </w:p>
        </w:tc>
        <w:tc>
          <w:tcPr>
            <w:tcW w:w="626" w:type="pct"/>
            <w:tcBorders>
              <w:tl2br w:val="nil"/>
              <w:tr2bl w:val="nil"/>
            </w:tcBorders>
            <w:noWrap w:val="0"/>
            <w:vAlign w:val="center"/>
          </w:tcPr>
          <w:p w14:paraId="5EFC8849">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大气沉降</w:t>
            </w:r>
          </w:p>
        </w:tc>
        <w:tc>
          <w:tcPr>
            <w:tcW w:w="976" w:type="pct"/>
            <w:tcBorders>
              <w:tl2br w:val="nil"/>
              <w:tr2bl w:val="nil"/>
            </w:tcBorders>
            <w:noWrap w:val="0"/>
            <w:vAlign w:val="center"/>
          </w:tcPr>
          <w:p w14:paraId="72B07EC0">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hint="eastAsia" w:ascii="Times New Roman" w:hAnsi="Times New Roman" w:eastAsia="宋体"/>
                <w:snapToGrid w:val="0"/>
                <w:color w:val="auto"/>
                <w:kern w:val="0"/>
                <w:szCs w:val="21"/>
                <w:highlight w:val="none"/>
                <w:lang w:val="en-US" w:eastAsia="zh-CN"/>
              </w:rPr>
              <w:t>非甲烷总烃</w:t>
            </w:r>
          </w:p>
        </w:tc>
        <w:tc>
          <w:tcPr>
            <w:tcW w:w="475" w:type="pct"/>
            <w:tcBorders>
              <w:tl2br w:val="nil"/>
              <w:tr2bl w:val="nil"/>
            </w:tcBorders>
            <w:noWrap w:val="0"/>
            <w:vAlign w:val="center"/>
          </w:tcPr>
          <w:p w14:paraId="45C1FEE6">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hint="eastAsia" w:ascii="Times New Roman" w:hAnsi="Times New Roman" w:eastAsia="宋体"/>
                <w:snapToGrid w:val="0"/>
                <w:color w:val="auto"/>
                <w:kern w:val="0"/>
                <w:szCs w:val="21"/>
                <w:highlight w:val="none"/>
                <w:lang w:val="en-US" w:eastAsia="zh-CN"/>
              </w:rPr>
              <w:t>非甲烷总烃</w:t>
            </w:r>
          </w:p>
        </w:tc>
        <w:tc>
          <w:tcPr>
            <w:tcW w:w="1423" w:type="pct"/>
            <w:tcBorders>
              <w:tl2br w:val="nil"/>
              <w:tr2bl w:val="nil"/>
            </w:tcBorders>
            <w:noWrap w:val="0"/>
            <w:vAlign w:val="center"/>
          </w:tcPr>
          <w:p w14:paraId="1147F740">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污染物通过废气的大气沉降进入周边土壤</w:t>
            </w:r>
          </w:p>
        </w:tc>
      </w:tr>
      <w:tr w14:paraId="52D2F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 w:type="pct"/>
            <w:tcBorders>
              <w:tl2br w:val="nil"/>
              <w:tr2bl w:val="nil"/>
            </w:tcBorders>
            <w:noWrap w:val="0"/>
            <w:vAlign w:val="center"/>
          </w:tcPr>
          <w:p w14:paraId="071CEE32">
            <w:pPr>
              <w:tabs>
                <w:tab w:val="left" w:pos="1050"/>
              </w:tabs>
              <w:topLinePunct/>
              <w:adjustRightInd w:val="0"/>
              <w:snapToGrid w:val="0"/>
              <w:jc w:val="center"/>
              <w:textAlignment w:val="center"/>
              <w:rPr>
                <w:rFonts w:hint="default" w:ascii="Times New Roman" w:hAnsi="Times New Roman" w:eastAsia="宋体"/>
                <w:snapToGrid w:val="0"/>
                <w:color w:val="auto"/>
                <w:kern w:val="0"/>
                <w:szCs w:val="21"/>
                <w:highlight w:val="none"/>
                <w:lang w:val="en-US"/>
              </w:rPr>
            </w:pPr>
            <w:r>
              <w:rPr>
                <w:rFonts w:hint="default" w:ascii="Times New Roman" w:hAnsi="Times New Roman" w:eastAsia="宋体"/>
                <w:snapToGrid w:val="0"/>
                <w:color w:val="auto"/>
                <w:kern w:val="0"/>
                <w:szCs w:val="21"/>
                <w:highlight w:val="none"/>
              </w:rPr>
              <w:t>危险废物暂存间、</w:t>
            </w:r>
            <w:r>
              <w:rPr>
                <w:rFonts w:hint="eastAsia" w:ascii="Times New Roman" w:hAnsi="Times New Roman" w:eastAsia="宋体"/>
                <w:snapToGrid w:val="0"/>
                <w:color w:val="auto"/>
                <w:kern w:val="0"/>
                <w:szCs w:val="21"/>
                <w:highlight w:val="none"/>
                <w:lang w:val="en-US" w:eastAsia="zh-CN"/>
              </w:rPr>
              <w:t>隔油池、储罐区</w:t>
            </w:r>
          </w:p>
        </w:tc>
        <w:tc>
          <w:tcPr>
            <w:tcW w:w="839" w:type="pct"/>
            <w:tcBorders>
              <w:tl2br w:val="nil"/>
              <w:tr2bl w:val="nil"/>
            </w:tcBorders>
            <w:noWrap w:val="0"/>
            <w:vAlign w:val="center"/>
          </w:tcPr>
          <w:p w14:paraId="387F56BB">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hint="eastAsia" w:ascii="Times New Roman" w:hAnsi="Times New Roman" w:eastAsia="宋体"/>
                <w:snapToGrid w:val="0"/>
                <w:color w:val="auto"/>
                <w:kern w:val="0"/>
                <w:szCs w:val="21"/>
                <w:highlight w:val="none"/>
                <w:lang w:val="en-US" w:eastAsia="zh-CN"/>
              </w:rPr>
              <w:t>物料暂存、危废、废水暂存、油品存储过程产生泄漏</w:t>
            </w:r>
            <w:r>
              <w:rPr>
                <w:rFonts w:ascii="Times New Roman" w:hAnsi="Times New Roman" w:eastAsia="宋体"/>
                <w:snapToGrid w:val="0"/>
                <w:color w:val="auto"/>
                <w:kern w:val="0"/>
                <w:szCs w:val="21"/>
                <w:highlight w:val="none"/>
              </w:rPr>
              <w:t>等</w:t>
            </w:r>
          </w:p>
        </w:tc>
        <w:tc>
          <w:tcPr>
            <w:tcW w:w="626" w:type="pct"/>
            <w:tcBorders>
              <w:tl2br w:val="nil"/>
              <w:tr2bl w:val="nil"/>
            </w:tcBorders>
            <w:noWrap w:val="0"/>
            <w:vAlign w:val="center"/>
          </w:tcPr>
          <w:p w14:paraId="34F6B423">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垂直入渗</w:t>
            </w:r>
          </w:p>
        </w:tc>
        <w:tc>
          <w:tcPr>
            <w:tcW w:w="976" w:type="pct"/>
            <w:tcBorders>
              <w:tl2br w:val="nil"/>
              <w:tr2bl w:val="nil"/>
            </w:tcBorders>
            <w:noWrap w:val="0"/>
            <w:vAlign w:val="center"/>
          </w:tcPr>
          <w:p w14:paraId="0254B66E">
            <w:pPr>
              <w:tabs>
                <w:tab w:val="left" w:pos="1050"/>
              </w:tabs>
              <w:topLinePunct/>
              <w:adjustRightInd w:val="0"/>
              <w:snapToGrid w:val="0"/>
              <w:jc w:val="center"/>
              <w:textAlignment w:val="center"/>
              <w:rPr>
                <w:rFonts w:hint="default" w:ascii="Times New Roman" w:hAnsi="Times New Roman" w:eastAsia="宋体"/>
                <w:snapToGrid w:val="0"/>
                <w:color w:val="auto"/>
                <w:kern w:val="0"/>
                <w:szCs w:val="21"/>
                <w:highlight w:val="none"/>
                <w:lang w:val="en-US"/>
              </w:rPr>
            </w:pPr>
            <w:r>
              <w:rPr>
                <w:rFonts w:hint="eastAsia" w:ascii="Times New Roman" w:hAnsi="Times New Roman" w:eastAsia="宋体"/>
                <w:snapToGrid w:val="0"/>
                <w:color w:val="auto"/>
                <w:kern w:val="0"/>
                <w:szCs w:val="21"/>
                <w:highlight w:val="none"/>
                <w:lang w:val="en-US" w:eastAsia="zh-CN"/>
              </w:rPr>
              <w:t>COD、石油类</w:t>
            </w:r>
          </w:p>
        </w:tc>
        <w:tc>
          <w:tcPr>
            <w:tcW w:w="475" w:type="pct"/>
            <w:tcBorders>
              <w:tl2br w:val="nil"/>
              <w:tr2bl w:val="nil"/>
            </w:tcBorders>
            <w:noWrap w:val="0"/>
            <w:vAlign w:val="center"/>
          </w:tcPr>
          <w:p w14:paraId="372E3563">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hint="eastAsia" w:ascii="Times New Roman" w:hAnsi="Times New Roman" w:eastAsia="宋体"/>
                <w:snapToGrid w:val="0"/>
                <w:color w:val="auto"/>
                <w:kern w:val="0"/>
                <w:szCs w:val="21"/>
                <w:highlight w:val="none"/>
                <w:lang w:val="en-US" w:eastAsia="zh-CN"/>
              </w:rPr>
              <w:t>石油类</w:t>
            </w:r>
          </w:p>
        </w:tc>
        <w:tc>
          <w:tcPr>
            <w:tcW w:w="1423" w:type="pct"/>
            <w:tcBorders>
              <w:tl2br w:val="nil"/>
              <w:tr2bl w:val="nil"/>
            </w:tcBorders>
            <w:noWrap w:val="0"/>
            <w:vAlign w:val="center"/>
          </w:tcPr>
          <w:p w14:paraId="4AD42ADA">
            <w:pPr>
              <w:tabs>
                <w:tab w:val="left" w:pos="1050"/>
              </w:tabs>
              <w:topLinePunct/>
              <w:adjustRightInd w:val="0"/>
              <w:snapToGrid w:val="0"/>
              <w:jc w:val="center"/>
              <w:textAlignment w:val="center"/>
              <w:rPr>
                <w:rFonts w:ascii="Times New Roman" w:hAnsi="Times New Roman" w:eastAsia="宋体"/>
                <w:snapToGrid w:val="0"/>
                <w:color w:val="auto"/>
                <w:kern w:val="0"/>
                <w:szCs w:val="21"/>
                <w:highlight w:val="none"/>
              </w:rPr>
            </w:pPr>
            <w:r>
              <w:rPr>
                <w:rFonts w:ascii="Times New Roman" w:hAnsi="Times New Roman" w:eastAsia="宋体"/>
                <w:snapToGrid w:val="0"/>
                <w:color w:val="auto"/>
                <w:kern w:val="0"/>
                <w:szCs w:val="21"/>
                <w:highlight w:val="none"/>
              </w:rPr>
              <w:t>泄</w:t>
            </w:r>
            <w:r>
              <w:rPr>
                <w:rFonts w:hint="eastAsia" w:ascii="Times New Roman" w:hAnsi="Times New Roman" w:eastAsia="宋体"/>
                <w:snapToGrid w:val="0"/>
                <w:color w:val="auto"/>
                <w:kern w:val="0"/>
                <w:szCs w:val="21"/>
                <w:highlight w:val="none"/>
              </w:rPr>
              <w:t>漏</w:t>
            </w:r>
            <w:r>
              <w:rPr>
                <w:rFonts w:ascii="Times New Roman" w:hAnsi="Times New Roman" w:eastAsia="宋体"/>
                <w:snapToGrid w:val="0"/>
                <w:color w:val="auto"/>
                <w:kern w:val="0"/>
                <w:szCs w:val="21"/>
                <w:highlight w:val="none"/>
              </w:rPr>
              <w:t>事故状态下，</w:t>
            </w:r>
            <w:r>
              <w:rPr>
                <w:rFonts w:hint="eastAsia" w:ascii="Times New Roman" w:hAnsi="Times New Roman" w:eastAsia="宋体"/>
                <w:snapToGrid w:val="0"/>
                <w:color w:val="auto"/>
                <w:kern w:val="0"/>
                <w:szCs w:val="21"/>
                <w:highlight w:val="none"/>
                <w:lang w:val="en-US" w:eastAsia="zh-CN"/>
              </w:rPr>
              <w:t>废水、危废等</w:t>
            </w:r>
            <w:r>
              <w:rPr>
                <w:rFonts w:ascii="Times New Roman" w:hAnsi="Times New Roman" w:eastAsia="宋体"/>
                <w:snapToGrid w:val="0"/>
                <w:color w:val="auto"/>
                <w:kern w:val="0"/>
                <w:szCs w:val="21"/>
                <w:highlight w:val="none"/>
              </w:rPr>
              <w:t>泄漏，通过</w:t>
            </w:r>
            <w:r>
              <w:rPr>
                <w:rFonts w:hint="eastAsia" w:ascii="Times New Roman" w:hAnsi="Times New Roman" w:eastAsia="宋体"/>
                <w:snapToGrid w:val="0"/>
                <w:color w:val="auto"/>
                <w:kern w:val="0"/>
                <w:szCs w:val="21"/>
                <w:highlight w:val="none"/>
              </w:rPr>
              <w:t>垂直入渗的方式进入项目范围内土壤</w:t>
            </w:r>
          </w:p>
        </w:tc>
      </w:tr>
    </w:tbl>
    <w:p w14:paraId="540B21CA">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bookmarkStart w:id="489" w:name="_Toc152922667"/>
      <w:bookmarkStart w:id="490" w:name="_Toc152923348"/>
      <w:bookmarkStart w:id="491" w:name="_Toc152921708"/>
      <w:bookmarkStart w:id="492" w:name="_Toc152922073"/>
      <w:r>
        <w:rPr>
          <w:rFonts w:hint="default" w:ascii="Times New Roman" w:hAnsi="Times New Roman" w:eastAsia="宋体" w:cs="Times New Roman"/>
          <w:color w:val="auto"/>
          <w:sz w:val="24"/>
          <w:szCs w:val="24"/>
          <w:highlight w:val="none"/>
        </w:rPr>
        <w:t>根据工程分析及环境影响识别结果，确定本项目环境影响要素的评价因子为非甲烷总烃。本项目评价范围内土壤环境现状监测中pH的结果范围在7~8之间，本项目废气中非甲烷总烃的沉降影响后，pH值变化不大，</w:t>
      </w:r>
      <w:r>
        <w:rPr>
          <w:rFonts w:hint="eastAsia" w:ascii="Times New Roman" w:hAnsi="Times New Roman" w:eastAsia="宋体" w:cs="Times New Roman"/>
          <w:color w:val="auto"/>
          <w:sz w:val="24"/>
          <w:szCs w:val="24"/>
          <w:highlight w:val="none"/>
          <w:lang w:val="en-US" w:eastAsia="zh-CN"/>
        </w:rPr>
        <w:t>因此本次环评不考虑</w:t>
      </w:r>
      <w:r>
        <w:rPr>
          <w:rFonts w:hint="default" w:ascii="Times New Roman" w:hAnsi="Times New Roman" w:eastAsia="宋体" w:cs="Times New Roman"/>
          <w:color w:val="auto"/>
          <w:sz w:val="24"/>
          <w:szCs w:val="24"/>
          <w:highlight w:val="none"/>
        </w:rPr>
        <w:t>pH值</w:t>
      </w:r>
      <w:r>
        <w:rPr>
          <w:rFonts w:hint="eastAsia" w:ascii="Times New Roman" w:hAnsi="Times New Roman" w:eastAsia="宋体" w:cs="Times New Roman"/>
          <w:color w:val="auto"/>
          <w:sz w:val="24"/>
          <w:szCs w:val="24"/>
          <w:highlight w:val="none"/>
          <w:lang w:val="en-US" w:eastAsia="zh-CN"/>
        </w:rPr>
        <w:t>变化对周边土壤污染影响</w:t>
      </w:r>
      <w:r>
        <w:rPr>
          <w:rFonts w:hint="default" w:ascii="Times New Roman" w:hAnsi="Times New Roman" w:eastAsia="宋体" w:cs="Times New Roman"/>
          <w:color w:val="auto"/>
          <w:sz w:val="24"/>
          <w:szCs w:val="24"/>
          <w:highlight w:val="none"/>
        </w:rPr>
        <w:t>。</w:t>
      </w:r>
    </w:p>
    <w:p w14:paraId="024F3488">
      <w:pPr>
        <w:keepNext w:val="0"/>
        <w:keepLines w:val="0"/>
        <w:pageBreakBefore w:val="0"/>
        <w:widowControl w:val="0"/>
        <w:shd w:val="clear" w:color="auto" w:fill="auto"/>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olor w:val="auto"/>
          <w:sz w:val="24"/>
          <w:szCs w:val="24"/>
          <w:highlight w:val="none"/>
        </w:rPr>
        <w:t>项目运营期产生的危险废物暂存于危险废物暂存间，生产废水经预处理后排入</w:t>
      </w:r>
      <w:r>
        <w:rPr>
          <w:rFonts w:hint="eastAsia" w:ascii="Times New Roman" w:hAnsi="Times New Roman" w:eastAsia="宋体"/>
          <w:color w:val="auto"/>
          <w:sz w:val="24"/>
          <w:szCs w:val="24"/>
          <w:highlight w:val="none"/>
          <w:lang w:val="en-US" w:eastAsia="zh-CN"/>
        </w:rPr>
        <w:t>田家庵经济开发区</w:t>
      </w:r>
      <w:r>
        <w:rPr>
          <w:rFonts w:hint="eastAsia" w:ascii="Times New Roman" w:hAnsi="Times New Roman" w:eastAsia="宋体"/>
          <w:color w:val="auto"/>
          <w:sz w:val="24"/>
          <w:szCs w:val="24"/>
          <w:highlight w:val="none"/>
        </w:rPr>
        <w:t>污水处理</w:t>
      </w:r>
      <w:r>
        <w:rPr>
          <w:rFonts w:hint="eastAsia" w:ascii="Times New Roman" w:hAnsi="Times New Roman" w:eastAsia="宋体"/>
          <w:color w:val="auto"/>
          <w:sz w:val="24"/>
          <w:szCs w:val="24"/>
          <w:highlight w:val="none"/>
          <w:lang w:val="en-US" w:eastAsia="zh-CN"/>
        </w:rPr>
        <w:t>站</w:t>
      </w:r>
      <w:r>
        <w:rPr>
          <w:rFonts w:hint="eastAsia" w:ascii="Times New Roman" w:hAnsi="Times New Roman" w:eastAsia="宋体"/>
          <w:color w:val="auto"/>
          <w:sz w:val="24"/>
          <w:szCs w:val="24"/>
          <w:highlight w:val="none"/>
        </w:rPr>
        <w:t>进行处理，生产区、罐区</w:t>
      </w:r>
      <w:r>
        <w:rPr>
          <w:rFonts w:hint="eastAsia" w:ascii="Times New Roman" w:hAnsi="Times New Roman" w:eastAsia="宋体"/>
          <w:color w:val="auto"/>
          <w:sz w:val="24"/>
          <w:szCs w:val="24"/>
          <w:highlight w:val="none"/>
          <w:lang w:val="en-US" w:eastAsia="zh-CN"/>
        </w:rPr>
        <w:t>均须</w:t>
      </w:r>
      <w:r>
        <w:rPr>
          <w:rFonts w:hint="eastAsia" w:ascii="Times New Roman" w:hAnsi="Times New Roman" w:eastAsia="宋体"/>
          <w:color w:val="auto"/>
          <w:sz w:val="24"/>
          <w:szCs w:val="24"/>
          <w:highlight w:val="none"/>
        </w:rPr>
        <w:t>进行表面硬化处理，原料、物料及污水输送管线也</w:t>
      </w:r>
      <w:r>
        <w:rPr>
          <w:rFonts w:hint="eastAsia" w:ascii="Times New Roman" w:hAnsi="Times New Roman" w:eastAsia="宋体"/>
          <w:color w:val="auto"/>
          <w:sz w:val="24"/>
          <w:szCs w:val="24"/>
          <w:highlight w:val="none"/>
          <w:lang w:val="en-US" w:eastAsia="zh-CN"/>
        </w:rPr>
        <w:t>须</w:t>
      </w:r>
      <w:r>
        <w:rPr>
          <w:rFonts w:hint="eastAsia" w:ascii="Times New Roman" w:hAnsi="Times New Roman" w:eastAsia="宋体"/>
          <w:color w:val="auto"/>
          <w:sz w:val="24"/>
          <w:szCs w:val="24"/>
          <w:highlight w:val="none"/>
        </w:rPr>
        <w:t>按照相关规范要求</w:t>
      </w:r>
      <w:r>
        <w:rPr>
          <w:rFonts w:hint="eastAsia"/>
          <w:color w:val="auto"/>
          <w:sz w:val="24"/>
          <w:szCs w:val="24"/>
          <w:highlight w:val="none"/>
          <w:lang w:eastAsia="zh-CN"/>
        </w:rPr>
        <w:t>进行</w:t>
      </w:r>
      <w:r>
        <w:rPr>
          <w:rFonts w:hint="eastAsia" w:ascii="Times New Roman" w:hAnsi="Times New Roman" w:eastAsia="宋体"/>
          <w:color w:val="auto"/>
          <w:sz w:val="24"/>
          <w:szCs w:val="24"/>
          <w:highlight w:val="none"/>
        </w:rPr>
        <w:t>防腐防渗处理。因此正常工况下，本项目潜在土壤污染源均达到设计要求，防渗性能完好，对土壤影响较小。</w:t>
      </w:r>
    </w:p>
    <w:p w14:paraId="53BC1145">
      <w:pPr>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line="360" w:lineRule="auto"/>
        <w:ind w:leftChars="0" w:firstLine="482"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
          <w:color w:val="auto"/>
          <w:sz w:val="24"/>
          <w:szCs w:val="24"/>
          <w:highlight w:val="none"/>
          <w:lang w:val="en-US" w:eastAsia="zh-CN"/>
        </w:rPr>
        <w:t>故本项目垂直入渗对土壤不会造成影响，本项目主要考虑大气沉降对土壤造成的影响。</w:t>
      </w:r>
    </w:p>
    <w:p w14:paraId="66636D2A">
      <w:pPr>
        <w:pStyle w:val="5"/>
        <w:spacing w:before="240"/>
        <w:rPr>
          <w:color w:val="auto"/>
          <w:highlight w:val="none"/>
        </w:rPr>
      </w:pPr>
      <w:r>
        <w:rPr>
          <w:color w:val="auto"/>
          <w:highlight w:val="none"/>
        </w:rPr>
        <w:t>5.2.6.</w:t>
      </w:r>
      <w:r>
        <w:rPr>
          <w:rFonts w:hint="eastAsia"/>
          <w:color w:val="auto"/>
          <w:highlight w:val="none"/>
        </w:rPr>
        <w:t>3土壤环境现状调查与评价</w:t>
      </w:r>
    </w:p>
    <w:p w14:paraId="7EC347C8">
      <w:pPr>
        <w:snapToGrid w:val="0"/>
        <w:spacing w:line="360" w:lineRule="auto"/>
        <w:ind w:firstLine="480" w:firstLineChars="200"/>
        <w:rPr>
          <w:rFonts w:ascii="Times New Roman" w:hAnsi="Times New Roman" w:eastAsia="宋体"/>
          <w:color w:val="auto"/>
          <w:highlight w:val="none"/>
        </w:rPr>
      </w:pPr>
      <w:r>
        <w:rPr>
          <w:rFonts w:ascii="Times New Roman" w:hAnsi="宋体" w:eastAsia="宋体"/>
          <w:color w:val="auto"/>
          <w:sz w:val="24"/>
          <w:highlight w:val="none"/>
        </w:rPr>
        <w:t>项目所在区域土壤环境质量现状监测详见前文</w:t>
      </w:r>
      <w:r>
        <w:rPr>
          <w:rFonts w:hint="eastAsia" w:ascii="Times New Roman" w:hAnsi="Times New Roman" w:eastAsia="宋体"/>
          <w:color w:val="auto"/>
          <w:sz w:val="24"/>
          <w:highlight w:val="none"/>
          <w:lang w:val="en-US" w:eastAsia="zh-CN"/>
        </w:rPr>
        <w:t>4</w:t>
      </w:r>
      <w:r>
        <w:rPr>
          <w:rFonts w:ascii="Times New Roman" w:hAnsi="Times New Roman" w:eastAsia="宋体"/>
          <w:color w:val="auto"/>
          <w:sz w:val="24"/>
          <w:highlight w:val="none"/>
        </w:rPr>
        <w:t>.</w:t>
      </w:r>
      <w:r>
        <w:rPr>
          <w:rFonts w:hint="eastAsia" w:ascii="Times New Roman" w:hAnsi="Times New Roman" w:eastAsia="宋体"/>
          <w:color w:val="auto"/>
          <w:sz w:val="24"/>
          <w:highlight w:val="none"/>
        </w:rPr>
        <w:t>2.5</w:t>
      </w:r>
      <w:r>
        <w:rPr>
          <w:rFonts w:ascii="Times New Roman" w:hAnsi="宋体" w:eastAsia="宋体"/>
          <w:color w:val="auto"/>
          <w:sz w:val="24"/>
          <w:highlight w:val="none"/>
        </w:rPr>
        <w:t>章节。由监测结果分析可知，项目拟建地土壤现状监测点位的各项土壤监测因子均符合《土壤环境质量建设用地土壤污染风险管控标准（试行）》（</w:t>
      </w:r>
      <w:r>
        <w:rPr>
          <w:rFonts w:ascii="Times New Roman" w:hAnsi="Times New Roman" w:eastAsia="宋体"/>
          <w:color w:val="auto"/>
          <w:sz w:val="24"/>
          <w:highlight w:val="none"/>
        </w:rPr>
        <w:t>GB36600-2018</w:t>
      </w:r>
      <w:r>
        <w:rPr>
          <w:rFonts w:ascii="Times New Roman" w:hAnsi="宋体" w:eastAsia="宋体"/>
          <w:color w:val="auto"/>
          <w:sz w:val="24"/>
          <w:highlight w:val="none"/>
        </w:rPr>
        <w:t>）表</w:t>
      </w:r>
      <w:r>
        <w:rPr>
          <w:rFonts w:ascii="Times New Roman" w:hAnsi="Times New Roman" w:eastAsia="宋体"/>
          <w:color w:val="auto"/>
          <w:sz w:val="24"/>
          <w:highlight w:val="none"/>
        </w:rPr>
        <w:t>1</w:t>
      </w:r>
      <w:r>
        <w:rPr>
          <w:rFonts w:ascii="Times New Roman" w:hAnsi="宋体" w:eastAsia="宋体"/>
          <w:color w:val="auto"/>
          <w:sz w:val="24"/>
          <w:highlight w:val="none"/>
        </w:rPr>
        <w:t>中筛选值第二类用地标准；项目周边用地土壤监测因子符合《土壤环境质量建设用地土壤污染风险管控标准（试行）》（</w:t>
      </w:r>
      <w:r>
        <w:rPr>
          <w:rFonts w:ascii="Times New Roman" w:hAnsi="Times New Roman" w:eastAsia="宋体"/>
          <w:color w:val="auto"/>
          <w:sz w:val="24"/>
          <w:highlight w:val="none"/>
        </w:rPr>
        <w:t>GB36600-2018</w:t>
      </w:r>
      <w:r>
        <w:rPr>
          <w:rFonts w:ascii="Times New Roman" w:hAnsi="宋体" w:eastAsia="宋体"/>
          <w:color w:val="auto"/>
          <w:sz w:val="24"/>
          <w:highlight w:val="none"/>
        </w:rPr>
        <w:t>）表</w:t>
      </w:r>
      <w:r>
        <w:rPr>
          <w:rFonts w:ascii="Times New Roman" w:hAnsi="Times New Roman" w:eastAsia="宋体"/>
          <w:color w:val="auto"/>
          <w:sz w:val="24"/>
          <w:highlight w:val="none"/>
        </w:rPr>
        <w:t>1</w:t>
      </w:r>
      <w:r>
        <w:rPr>
          <w:rFonts w:ascii="Times New Roman" w:hAnsi="宋体" w:eastAsia="宋体"/>
          <w:color w:val="auto"/>
          <w:sz w:val="24"/>
          <w:highlight w:val="none"/>
        </w:rPr>
        <w:t>中筛选值第一类用地和第二类用地标准。</w:t>
      </w:r>
    </w:p>
    <w:p w14:paraId="14B03AD1">
      <w:pPr>
        <w:pStyle w:val="5"/>
        <w:rPr>
          <w:color w:val="auto"/>
          <w:highlight w:val="none"/>
        </w:rPr>
      </w:pPr>
      <w:r>
        <w:rPr>
          <w:color w:val="auto"/>
          <w:highlight w:val="none"/>
        </w:rPr>
        <w:t>5.2.6.</w:t>
      </w:r>
      <w:r>
        <w:rPr>
          <w:rFonts w:hint="eastAsia"/>
          <w:color w:val="auto"/>
          <w:highlight w:val="none"/>
        </w:rPr>
        <w:t>4土壤环境影响预测分析</w:t>
      </w:r>
    </w:p>
    <w:p w14:paraId="51809E8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kern w:val="2"/>
          <w:sz w:val="24"/>
          <w:szCs w:val="22"/>
          <w:highlight w:val="none"/>
          <w:lang w:val="en-US" w:eastAsia="zh-CN" w:bidi="ar-SA"/>
        </w:rPr>
      </w:pPr>
      <w:r>
        <w:rPr>
          <w:rFonts w:hint="eastAsia" w:ascii="Times New Roman" w:hAnsi="Times New Roman" w:eastAsia="宋体" w:cs="Times New Roman"/>
          <w:color w:val="auto"/>
          <w:kern w:val="2"/>
          <w:sz w:val="24"/>
          <w:szCs w:val="22"/>
          <w:highlight w:val="none"/>
          <w:lang w:val="en-US" w:eastAsia="zh-CN" w:bidi="ar-SA"/>
        </w:rPr>
        <w:t>项目正常运营期产生的废气中含有非甲烷总烃，在干湿沉降作用下进入土壤层，在土壤吸附、络合、沉淀和阻留作用下，迁移速度较缓慢，大部分残留在土壤耕作层，极少向下层土壤迁移。本次评价假定废气中污染物全部沉降在土层中，不考虑其输出影响；废气污染源排放量保持不变，均匀沉降在固定区域内；按最不利排放情况的影响进行考虑。</w:t>
      </w:r>
    </w:p>
    <w:p w14:paraId="7D6DFD18">
      <w:pPr>
        <w:widowControl w:val="0"/>
        <w:spacing w:line="360" w:lineRule="auto"/>
        <w:ind w:firstLine="480" w:firstLineChars="200"/>
        <w:jc w:val="both"/>
        <w:rPr>
          <w:rFonts w:hint="eastAsia"/>
          <w:color w:val="auto"/>
          <w:highlight w:val="none"/>
        </w:rPr>
      </w:pPr>
      <w:r>
        <w:rPr>
          <w:rFonts w:hint="eastAsia" w:ascii="Times New Roman" w:hAnsi="Times New Roman" w:eastAsia="宋体" w:cs="Times New Roman"/>
          <w:color w:val="auto"/>
          <w:kern w:val="2"/>
          <w:sz w:val="24"/>
          <w:szCs w:val="22"/>
          <w:highlight w:val="none"/>
          <w:lang w:val="en-US" w:eastAsia="zh-CN" w:bidi="ar-SA"/>
        </w:rPr>
        <w:t>根据工程分析及环境影响识别结果，确定本项目环境影响要素的评价因子为非甲烷总烃。对照</w:t>
      </w:r>
      <w:r>
        <w:rPr>
          <w:rFonts w:ascii="Times New Roman" w:hAnsi="宋体" w:eastAsia="宋体"/>
          <w:color w:val="auto"/>
          <w:sz w:val="24"/>
          <w:highlight w:val="none"/>
        </w:rPr>
        <w:t>《土壤环境质量建设用地土壤污染风险管控标准（试行）》</w:t>
      </w:r>
      <w:r>
        <w:rPr>
          <w:rFonts w:hint="eastAsia" w:ascii="Times New Roman" w:hAnsi="宋体" w:eastAsia="宋体"/>
          <w:color w:val="auto"/>
          <w:sz w:val="24"/>
          <w:highlight w:val="none"/>
          <w:lang w:val="en-US" w:eastAsia="zh-CN"/>
        </w:rPr>
        <w:t>评价指标，</w:t>
      </w:r>
      <w:r>
        <w:rPr>
          <w:rFonts w:hint="eastAsia" w:ascii="Times New Roman" w:hAnsi="Times New Roman" w:eastAsia="宋体" w:cs="Times New Roman"/>
          <w:color w:val="auto"/>
          <w:kern w:val="2"/>
          <w:sz w:val="24"/>
          <w:szCs w:val="22"/>
          <w:highlight w:val="none"/>
          <w:lang w:val="en-US" w:eastAsia="zh-CN" w:bidi="ar-SA"/>
        </w:rPr>
        <w:t>本次评价选取废气中排放的非甲烷总烃作为预测因子，预测其通过多年沉降后对土壤环境质量的影响，来判断项目建成营运后对土壤环境影响的程度。</w:t>
      </w:r>
      <w:r>
        <w:rPr>
          <w:rFonts w:ascii="Times New Roman" w:hAnsi="宋体" w:eastAsia="宋体"/>
          <w:color w:val="auto"/>
          <w:sz w:val="24"/>
          <w:szCs w:val="24"/>
          <w:highlight w:val="none"/>
        </w:rPr>
        <w:t>本项目面源土壤污染预测采用《环境影响评价技术导则土壤环境（试行）》（</w:t>
      </w:r>
      <w:r>
        <w:rPr>
          <w:rFonts w:ascii="Times New Roman" w:hAnsi="Times New Roman" w:eastAsia="宋体"/>
          <w:color w:val="auto"/>
          <w:sz w:val="24"/>
          <w:szCs w:val="24"/>
          <w:highlight w:val="none"/>
        </w:rPr>
        <w:t>HJ964-2018</w:t>
      </w:r>
      <w:r>
        <w:rPr>
          <w:rFonts w:ascii="Times New Roman" w:hAnsi="宋体" w:eastAsia="宋体"/>
          <w:color w:val="auto"/>
          <w:sz w:val="24"/>
          <w:szCs w:val="24"/>
          <w:highlight w:val="none"/>
        </w:rPr>
        <w:t>）附录</w:t>
      </w:r>
      <w:r>
        <w:rPr>
          <w:rFonts w:ascii="Times New Roman" w:hAnsi="Times New Roman" w:eastAsia="宋体"/>
          <w:color w:val="auto"/>
          <w:sz w:val="24"/>
          <w:szCs w:val="24"/>
          <w:highlight w:val="none"/>
        </w:rPr>
        <w:t>E</w:t>
      </w:r>
      <w:r>
        <w:rPr>
          <w:rFonts w:ascii="Times New Roman" w:hAnsi="宋体" w:eastAsia="宋体"/>
          <w:color w:val="auto"/>
          <w:sz w:val="24"/>
          <w:szCs w:val="24"/>
          <w:highlight w:val="none"/>
        </w:rPr>
        <w:t>中方法一，该方法适用于某种物质概化为面源形式进入土壤环境的影响预测，包括大气沉降、地面漫流以及盐、酸、碱类等物质进入土壤环境引起的土壤盐化、酸化、碱化等。</w:t>
      </w:r>
    </w:p>
    <w:p w14:paraId="0BA8930E">
      <w:pPr>
        <w:snapToGrid w:val="0"/>
        <w:spacing w:line="360" w:lineRule="auto"/>
        <w:ind w:firstLine="482" w:firstLineChars="200"/>
        <w:rPr>
          <w:rFonts w:ascii="Times New Roman" w:hAnsi="Times New Roman" w:eastAsia="宋体"/>
          <w:b/>
          <w:color w:val="auto"/>
          <w:sz w:val="24"/>
          <w:szCs w:val="24"/>
          <w:highlight w:val="none"/>
        </w:rPr>
      </w:pPr>
      <w:r>
        <w:rPr>
          <w:rFonts w:ascii="Times New Roman" w:hAnsi="Times New Roman" w:eastAsia="宋体"/>
          <w:b/>
          <w:color w:val="auto"/>
          <w:sz w:val="24"/>
          <w:szCs w:val="20"/>
          <w:highlight w:val="none"/>
        </w:rPr>
        <w:t>1、预测模式及参数选取</w:t>
      </w:r>
    </w:p>
    <w:p w14:paraId="31BA0C73">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1）单位质量土壤中某种物质的增量可用下式计算：</w:t>
      </w:r>
    </w:p>
    <w:p w14:paraId="245046D9">
      <w:pPr>
        <w:spacing w:line="360" w:lineRule="auto"/>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color w:val="auto"/>
          <w:sz w:val="24"/>
          <w:szCs w:val="24"/>
          <w:highlight w:val="none"/>
          <w:vertAlign w:val="baseline"/>
          <w:lang w:eastAsia="zh-CN"/>
        </w:rPr>
        <w:t>△S=n(</w:t>
      </w:r>
      <w:r>
        <w:rPr>
          <w:rFonts w:hint="default" w:ascii="Times New Roman" w:hAnsi="Times New Roman" w:eastAsia="宋体" w:cs="Times New Roman"/>
          <w:b w:val="0"/>
          <w:bCs w:val="0"/>
          <w:i/>
          <w:iCs/>
          <w:color w:val="auto"/>
          <w:sz w:val="24"/>
          <w:szCs w:val="24"/>
          <w:highlight w:val="none"/>
          <w:vertAlign w:val="baseline"/>
          <w:lang w:eastAsia="zh-CN"/>
        </w:rPr>
        <w:t>I</w:t>
      </w:r>
      <w:r>
        <w:rPr>
          <w:rFonts w:hint="default" w:ascii="Times New Roman" w:hAnsi="Times New Roman" w:eastAsia="宋体" w:cs="Times New Roman"/>
          <w:b w:val="0"/>
          <w:bCs w:val="0"/>
          <w:color w:val="auto"/>
          <w:sz w:val="24"/>
          <w:szCs w:val="24"/>
          <w:highlight w:val="none"/>
          <w:vertAlign w:val="baseline"/>
          <w:lang w:eastAsia="zh-CN"/>
        </w:rPr>
        <w:t>s-</w:t>
      </w:r>
      <w:r>
        <w:rPr>
          <w:rFonts w:hint="default" w:ascii="Times New Roman" w:hAnsi="Times New Roman" w:eastAsia="宋体" w:cs="Times New Roman"/>
          <w:b w:val="0"/>
          <w:bCs w:val="0"/>
          <w:i/>
          <w:iCs/>
          <w:color w:val="auto"/>
          <w:sz w:val="24"/>
          <w:szCs w:val="24"/>
          <w:highlight w:val="none"/>
          <w:vertAlign w:val="baseline"/>
          <w:lang w:eastAsia="zh-CN"/>
        </w:rPr>
        <w:t>L</w:t>
      </w:r>
      <w:r>
        <w:rPr>
          <w:rFonts w:hint="default" w:ascii="Times New Roman" w:hAnsi="Times New Roman" w:eastAsia="宋体" w:cs="Times New Roman"/>
          <w:b w:val="0"/>
          <w:bCs w:val="0"/>
          <w:color w:val="auto"/>
          <w:sz w:val="24"/>
          <w:szCs w:val="24"/>
          <w:highlight w:val="none"/>
          <w:vertAlign w:val="baseline"/>
          <w:lang w:eastAsia="zh-CN"/>
        </w:rPr>
        <w:t>s</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i/>
          <w:iCs/>
          <w:color w:val="auto"/>
          <w:sz w:val="24"/>
          <w:szCs w:val="24"/>
          <w:highlight w:val="none"/>
          <w:vertAlign w:val="baseline"/>
          <w:lang w:eastAsia="zh-CN"/>
        </w:rPr>
        <w:t>R</w:t>
      </w:r>
      <w:r>
        <w:rPr>
          <w:rFonts w:hint="default" w:ascii="Times New Roman" w:hAnsi="Times New Roman" w:eastAsia="宋体" w:cs="Times New Roman"/>
          <w:b w:val="0"/>
          <w:bCs w:val="0"/>
          <w:color w:val="auto"/>
          <w:sz w:val="24"/>
          <w:szCs w:val="24"/>
          <w:highlight w:val="none"/>
          <w:vertAlign w:val="baseline"/>
          <w:lang w:eastAsia="zh-CN"/>
        </w:rPr>
        <w:t>s)/(ρ</w:t>
      </w:r>
      <w:r>
        <w:rPr>
          <w:rFonts w:hint="default" w:ascii="Times New Roman" w:hAnsi="Times New Roman" w:eastAsia="宋体" w:cs="Times New Roman"/>
          <w:b w:val="0"/>
          <w:bCs w:val="0"/>
          <w:color w:val="auto"/>
          <w:sz w:val="24"/>
          <w:szCs w:val="24"/>
          <w:highlight w:val="none"/>
          <w:vertAlign w:val="subscript"/>
          <w:lang w:eastAsia="zh-CN"/>
        </w:rPr>
        <w:t>b</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i/>
          <w:iCs/>
          <w:color w:val="auto"/>
          <w:sz w:val="24"/>
          <w:szCs w:val="24"/>
          <w:highlight w:val="none"/>
          <w:vertAlign w:val="baseline"/>
          <w:lang w:eastAsia="zh-CN"/>
        </w:rPr>
        <w:t>A</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i/>
          <w:iCs/>
          <w:color w:val="auto"/>
          <w:sz w:val="24"/>
          <w:szCs w:val="24"/>
          <w:highlight w:val="none"/>
          <w:vertAlign w:val="baseline"/>
          <w:lang w:eastAsia="zh-CN"/>
        </w:rPr>
        <w:t>D</w:t>
      </w:r>
      <w:r>
        <w:rPr>
          <w:rFonts w:hint="default" w:ascii="Times New Roman" w:hAnsi="Times New Roman" w:eastAsia="宋体" w:cs="Times New Roman"/>
          <w:b w:val="0"/>
          <w:bCs w:val="0"/>
          <w:color w:val="auto"/>
          <w:sz w:val="24"/>
          <w:szCs w:val="24"/>
          <w:highlight w:val="none"/>
          <w:vertAlign w:val="baseline"/>
          <w:lang w:eastAsia="zh-CN"/>
        </w:rPr>
        <w:t>)</w:t>
      </w:r>
    </w:p>
    <w:p w14:paraId="4F191D83">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r>
        <w:rPr>
          <w:rFonts w:hint="eastAsia" w:ascii="Times New Roman" w:hAnsi="Times New Roman" w:eastAsia="宋体" w:cs="Times New Roman"/>
          <w:color w:val="auto"/>
          <w:sz w:val="24"/>
          <w:szCs w:val="24"/>
          <w:highlight w:val="none"/>
          <w:lang w:eastAsia="zh-CN"/>
        </w:rPr>
        <w:t>Δ</w:t>
      </w:r>
      <w:r>
        <w:rPr>
          <w:rFonts w:hint="eastAsia" w:ascii="Times New Roman" w:hAnsi="Times New Roman" w:eastAsia="宋体" w:cs="Times New Roman"/>
          <w:color w:val="auto"/>
          <w:sz w:val="24"/>
          <w:szCs w:val="24"/>
          <w:highlight w:val="none"/>
          <w:lang w:val="en-US" w:eastAsia="zh-CN"/>
        </w:rPr>
        <w:t>S</w:t>
      </w:r>
      <w:r>
        <w:rPr>
          <w:rFonts w:hint="default" w:ascii="Times New Roman" w:hAnsi="Times New Roman" w:eastAsia="宋体" w:cs="Times New Roman"/>
          <w:color w:val="auto"/>
          <w:szCs w:val="20"/>
          <w:highlight w:val="none"/>
        </w:rPr>
        <w:t>——</w:t>
      </w:r>
      <w:r>
        <w:rPr>
          <w:rFonts w:hint="default" w:ascii="Times New Roman" w:hAnsi="Times New Roman" w:eastAsia="宋体" w:cs="Times New Roman"/>
          <w:color w:val="auto"/>
          <w:sz w:val="24"/>
          <w:szCs w:val="24"/>
          <w:highlight w:val="none"/>
        </w:rPr>
        <w:t>单位质量表层土壤中某物质的增量，g/kg；</w:t>
      </w:r>
    </w:p>
    <w:p w14:paraId="4F0BFA1E">
      <w:pPr>
        <w:keepNext w:val="0"/>
        <w:keepLines w:val="0"/>
        <w:pageBreakBefore w:val="0"/>
        <w:widowControl w:val="0"/>
        <w:kinsoku/>
        <w:wordWrap/>
        <w:overflowPunct/>
        <w:topLinePunct w:val="0"/>
        <w:autoSpaceDE/>
        <w:autoSpaceDN/>
        <w:bidi w:val="0"/>
        <w:adjustRightInd/>
        <w:snapToGrid/>
        <w:spacing w:line="360" w:lineRule="auto"/>
        <w:ind w:firstLine="525" w:firstLineChars="25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i/>
          <w:iCs/>
          <w:color w:val="auto"/>
          <w:szCs w:val="20"/>
          <w:highlight w:val="none"/>
          <w:lang w:val="en-US" w:eastAsia="zh-CN"/>
        </w:rPr>
        <w:t>I</w:t>
      </w:r>
      <w:r>
        <w:rPr>
          <w:rFonts w:hint="eastAsia" w:ascii="Times New Roman" w:hAnsi="Times New Roman" w:eastAsia="宋体" w:cs="Times New Roman"/>
          <w:color w:val="auto"/>
          <w:szCs w:val="20"/>
          <w:highlight w:val="none"/>
          <w:vertAlign w:val="subscript"/>
          <w:lang w:val="en-US" w:eastAsia="zh-CN"/>
        </w:rPr>
        <w:t>S</w:t>
      </w:r>
      <w:r>
        <w:rPr>
          <w:rFonts w:hint="default" w:ascii="Times New Roman" w:hAnsi="Times New Roman" w:eastAsia="宋体" w:cs="Times New Roman"/>
          <w:color w:val="auto"/>
          <w:szCs w:val="20"/>
          <w:highlight w:val="none"/>
        </w:rPr>
        <w:t>——</w:t>
      </w:r>
      <w:r>
        <w:rPr>
          <w:rFonts w:hint="default" w:ascii="Times New Roman" w:hAnsi="Times New Roman" w:eastAsia="宋体" w:cs="Times New Roman"/>
          <w:color w:val="auto"/>
          <w:sz w:val="24"/>
          <w:szCs w:val="24"/>
          <w:highlight w:val="none"/>
        </w:rPr>
        <w:t>预测评价范围内单位年份表层土壤中某物质的输入量，g；</w:t>
      </w:r>
    </w:p>
    <w:p w14:paraId="7D90148F">
      <w:pPr>
        <w:keepNext w:val="0"/>
        <w:keepLines w:val="0"/>
        <w:pageBreakBefore w:val="0"/>
        <w:widowControl w:val="0"/>
        <w:kinsoku/>
        <w:wordWrap/>
        <w:overflowPunct/>
        <w:topLinePunct w:val="0"/>
        <w:autoSpaceDE/>
        <w:autoSpaceDN/>
        <w:bidi w:val="0"/>
        <w:adjustRightInd/>
        <w:snapToGrid/>
        <w:spacing w:line="360" w:lineRule="auto"/>
        <w:ind w:firstLine="600" w:firstLineChars="25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i/>
          <w:iCs/>
          <w:color w:val="auto"/>
          <w:sz w:val="24"/>
          <w:szCs w:val="24"/>
          <w:highlight w:val="none"/>
          <w:lang w:val="en-US" w:eastAsia="zh-CN"/>
        </w:rPr>
        <w:t>L</w:t>
      </w:r>
      <w:r>
        <w:rPr>
          <w:rFonts w:hint="eastAsia" w:ascii="Times New Roman" w:hAnsi="Times New Roman" w:eastAsia="宋体" w:cs="Times New Roman"/>
          <w:color w:val="auto"/>
          <w:sz w:val="24"/>
          <w:szCs w:val="24"/>
          <w:highlight w:val="none"/>
          <w:vertAlign w:val="subscript"/>
          <w:lang w:val="en-US" w:eastAsia="zh-CN"/>
        </w:rPr>
        <w:t>S</w:t>
      </w:r>
      <w:r>
        <w:rPr>
          <w:rFonts w:hint="default" w:ascii="Times New Roman" w:hAnsi="Times New Roman" w:eastAsia="宋体" w:cs="Times New Roman"/>
          <w:color w:val="auto"/>
          <w:sz w:val="24"/>
          <w:szCs w:val="24"/>
          <w:highlight w:val="none"/>
        </w:rPr>
        <w:t>——预测评价范围内单位年份表层土壤中某物质经淋溶排出的量，g；</w:t>
      </w:r>
    </w:p>
    <w:p w14:paraId="31892537">
      <w:pPr>
        <w:keepNext w:val="0"/>
        <w:keepLines w:val="0"/>
        <w:pageBreakBefore w:val="0"/>
        <w:widowControl w:val="0"/>
        <w:kinsoku/>
        <w:wordWrap/>
        <w:overflowPunct/>
        <w:topLinePunct w:val="0"/>
        <w:autoSpaceDE/>
        <w:autoSpaceDN/>
        <w:bidi w:val="0"/>
        <w:adjustRightInd/>
        <w:snapToGrid/>
        <w:spacing w:line="360" w:lineRule="auto"/>
        <w:ind w:firstLine="525" w:firstLineChars="25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i/>
          <w:iCs/>
          <w:color w:val="auto"/>
          <w:szCs w:val="20"/>
          <w:highlight w:val="none"/>
          <w:lang w:val="en-US" w:eastAsia="zh-CN"/>
        </w:rPr>
        <w:t>R</w:t>
      </w:r>
      <w:r>
        <w:rPr>
          <w:rFonts w:hint="eastAsia" w:ascii="Times New Roman" w:hAnsi="Times New Roman" w:eastAsia="宋体" w:cs="Times New Roman"/>
          <w:color w:val="auto"/>
          <w:szCs w:val="20"/>
          <w:highlight w:val="none"/>
          <w:vertAlign w:val="subscript"/>
          <w:lang w:val="en-US" w:eastAsia="zh-CN"/>
        </w:rPr>
        <w:t>S</w:t>
      </w:r>
      <w:r>
        <w:rPr>
          <w:rFonts w:hint="default" w:ascii="Times New Roman" w:hAnsi="Times New Roman" w:eastAsia="宋体" w:cs="Times New Roman"/>
          <w:color w:val="auto"/>
          <w:szCs w:val="20"/>
          <w:highlight w:val="none"/>
        </w:rPr>
        <w:t>——</w:t>
      </w:r>
      <w:r>
        <w:rPr>
          <w:rFonts w:hint="default" w:ascii="Times New Roman" w:hAnsi="Times New Roman" w:eastAsia="宋体" w:cs="Times New Roman"/>
          <w:color w:val="auto"/>
          <w:sz w:val="24"/>
          <w:szCs w:val="24"/>
          <w:highlight w:val="none"/>
        </w:rPr>
        <w:t>预测评价范围内单位年份表层土壤中某物质经径流排出量，g；</w:t>
      </w:r>
    </w:p>
    <w:p w14:paraId="0EBB3300">
      <w:pPr>
        <w:keepNext w:val="0"/>
        <w:keepLines w:val="0"/>
        <w:pageBreakBefore w:val="0"/>
        <w:widowControl w:val="0"/>
        <w:kinsoku/>
        <w:wordWrap/>
        <w:overflowPunct/>
        <w:topLinePunct w:val="0"/>
        <w:autoSpaceDE/>
        <w:autoSpaceDN/>
        <w:bidi w:val="0"/>
        <w:adjustRightInd/>
        <w:snapToGrid/>
        <w:spacing w:line="360" w:lineRule="auto"/>
        <w:ind w:firstLine="525" w:firstLineChars="25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12"/>
          <w:szCs w:val="20"/>
          <w:highlight w:val="none"/>
        </w:rPr>
        <w:drawing>
          <wp:inline distT="0" distB="0" distL="114300" distR="114300">
            <wp:extent cx="190500" cy="238125"/>
            <wp:effectExtent l="0" t="0" r="0" b="5715"/>
            <wp:docPr id="59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48"/>
                    <pic:cNvPicPr>
                      <a:picLocks noChangeAspect="1"/>
                    </pic:cNvPicPr>
                  </pic:nvPicPr>
                  <pic:blipFill>
                    <a:blip r:embed="rId87"/>
                    <a:stretch>
                      <a:fillRect/>
                    </a:stretch>
                  </pic:blipFill>
                  <pic:spPr>
                    <a:xfrm>
                      <a:off x="0" y="0"/>
                      <a:ext cx="190500" cy="238125"/>
                    </a:xfrm>
                    <a:prstGeom prst="rect">
                      <a:avLst/>
                    </a:prstGeom>
                    <a:noFill/>
                    <a:ln>
                      <a:noFill/>
                    </a:ln>
                  </pic:spPr>
                </pic:pic>
              </a:graphicData>
            </a:graphic>
          </wp:inline>
        </w:drawing>
      </w:r>
      <w:r>
        <w:rPr>
          <w:rFonts w:hint="default" w:ascii="Times New Roman" w:hAnsi="Times New Roman" w:eastAsia="宋体" w:cs="Times New Roman"/>
          <w:color w:val="auto"/>
          <w:szCs w:val="20"/>
          <w:highlight w:val="none"/>
        </w:rPr>
        <w:t>——</w:t>
      </w:r>
      <w:r>
        <w:rPr>
          <w:rFonts w:hint="default" w:ascii="Times New Roman" w:hAnsi="Times New Roman" w:eastAsia="宋体" w:cs="Times New Roman"/>
          <w:color w:val="auto"/>
          <w:sz w:val="24"/>
          <w:szCs w:val="24"/>
          <w:highlight w:val="none"/>
        </w:rPr>
        <w:t>表层土壤容重，kg/m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；取</w:t>
      </w:r>
      <w:r>
        <w:rPr>
          <w:rFonts w:hint="default" w:ascii="Times New Roman" w:hAnsi="Times New Roman" w:eastAsia="宋体" w:cs="Times New Roman"/>
          <w:color w:val="auto"/>
          <w:sz w:val="24"/>
          <w:szCs w:val="24"/>
          <w:highlight w:val="none"/>
          <w:lang w:val="en-US" w:eastAsia="zh-CN"/>
        </w:rPr>
        <w:t>840</w:t>
      </w:r>
      <w:r>
        <w:rPr>
          <w:rFonts w:hint="default" w:ascii="Times New Roman" w:hAnsi="Times New Roman" w:eastAsia="宋体" w:cs="Times New Roman"/>
          <w:color w:val="auto"/>
          <w:sz w:val="24"/>
          <w:szCs w:val="24"/>
          <w:highlight w:val="none"/>
        </w:rPr>
        <w:t>kg/m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1E0D7492">
      <w:pPr>
        <w:keepNext w:val="0"/>
        <w:keepLines w:val="0"/>
        <w:pageBreakBefore w:val="0"/>
        <w:widowControl w:val="0"/>
        <w:kinsoku/>
        <w:wordWrap/>
        <w:overflowPunct/>
        <w:topLinePunct w:val="0"/>
        <w:autoSpaceDE/>
        <w:autoSpaceDN/>
        <w:bidi w:val="0"/>
        <w:adjustRightInd/>
        <w:snapToGrid/>
        <w:spacing w:line="360" w:lineRule="auto"/>
        <w:ind w:firstLine="600" w:firstLineChars="250"/>
        <w:jc w:val="left"/>
        <w:textAlignment w:val="auto"/>
        <w:rPr>
          <w:rFonts w:hint="default" w:ascii="Times New Roman" w:hAnsi="Times New Roman" w:eastAsia="宋体" w:cs="Times New Roman"/>
          <w:color w:val="auto"/>
          <w:szCs w:val="20"/>
          <w:highlight w:val="none"/>
        </w:rPr>
      </w:pPr>
      <w:r>
        <w:rPr>
          <w:rFonts w:hint="eastAsia" w:ascii="Times New Roman" w:hAnsi="Times New Roman" w:eastAsia="宋体" w:cs="Times New Roman"/>
          <w:i/>
          <w:iCs/>
          <w:color w:val="auto"/>
          <w:sz w:val="24"/>
          <w:szCs w:val="24"/>
          <w:highlight w:val="none"/>
          <w:lang w:val="en-US" w:eastAsia="zh-CN"/>
        </w:rPr>
        <w:t>A</w:t>
      </w:r>
      <w:r>
        <w:rPr>
          <w:rFonts w:hint="default" w:ascii="Times New Roman" w:hAnsi="Times New Roman" w:eastAsia="宋体" w:cs="Times New Roman"/>
          <w:color w:val="auto"/>
          <w:szCs w:val="20"/>
          <w:highlight w:val="none"/>
        </w:rPr>
        <w:t>——</w:t>
      </w:r>
      <w:r>
        <w:rPr>
          <w:rFonts w:hint="default" w:ascii="Times New Roman" w:hAnsi="Times New Roman" w:eastAsia="宋体" w:cs="Times New Roman"/>
          <w:color w:val="auto"/>
          <w:sz w:val="24"/>
          <w:szCs w:val="24"/>
          <w:highlight w:val="none"/>
        </w:rPr>
        <w:t>预测评价范围，m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Cs w:val="20"/>
          <w:highlight w:val="none"/>
        </w:rPr>
        <w:t>；</w:t>
      </w:r>
    </w:p>
    <w:p w14:paraId="32A29F7D">
      <w:pPr>
        <w:keepNext w:val="0"/>
        <w:keepLines w:val="0"/>
        <w:pageBreakBefore w:val="0"/>
        <w:widowControl w:val="0"/>
        <w:kinsoku/>
        <w:wordWrap/>
        <w:overflowPunct/>
        <w:topLinePunct w:val="0"/>
        <w:autoSpaceDE/>
        <w:autoSpaceDN/>
        <w:bidi w:val="0"/>
        <w:adjustRightInd/>
        <w:snapToGrid/>
        <w:spacing w:line="360" w:lineRule="auto"/>
        <w:ind w:firstLine="525" w:firstLineChars="25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i/>
          <w:iCs/>
          <w:color w:val="auto"/>
          <w:szCs w:val="20"/>
          <w:highlight w:val="none"/>
          <w:lang w:val="en-US" w:eastAsia="zh-CN"/>
        </w:rPr>
        <w:t>D</w:t>
      </w:r>
      <w:r>
        <w:rPr>
          <w:rFonts w:hint="default" w:ascii="Times New Roman" w:hAnsi="Times New Roman" w:eastAsia="宋体" w:cs="Times New Roman"/>
          <w:color w:val="auto"/>
          <w:szCs w:val="20"/>
          <w:highlight w:val="none"/>
        </w:rPr>
        <w:t>——</w:t>
      </w:r>
      <w:r>
        <w:rPr>
          <w:rFonts w:hint="default" w:ascii="Times New Roman" w:hAnsi="Times New Roman" w:eastAsia="宋体" w:cs="Times New Roman"/>
          <w:color w:val="auto"/>
          <w:sz w:val="24"/>
          <w:szCs w:val="24"/>
          <w:highlight w:val="none"/>
        </w:rPr>
        <w:t>表层土壤深度；本项目与现场调查一致取0.2m；</w:t>
      </w:r>
    </w:p>
    <w:p w14:paraId="03BEEB9B">
      <w:pPr>
        <w:keepNext w:val="0"/>
        <w:keepLines w:val="0"/>
        <w:pageBreakBefore w:val="0"/>
        <w:widowControl w:val="0"/>
        <w:kinsoku/>
        <w:wordWrap/>
        <w:overflowPunct/>
        <w:topLinePunct w:val="0"/>
        <w:autoSpaceDE/>
        <w:autoSpaceDN/>
        <w:bidi w:val="0"/>
        <w:adjustRightInd/>
        <w:snapToGrid/>
        <w:spacing w:line="360" w:lineRule="auto"/>
        <w:ind w:firstLine="525" w:firstLineChars="25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Cs w:val="20"/>
          <w:highlight w:val="none"/>
          <w:lang w:val="en-US" w:eastAsia="zh-CN"/>
        </w:rPr>
        <w:t>n</w:t>
      </w:r>
      <w:r>
        <w:rPr>
          <w:rFonts w:hint="default" w:ascii="Times New Roman" w:hAnsi="Times New Roman" w:eastAsia="宋体" w:cs="Times New Roman"/>
          <w:color w:val="auto"/>
          <w:szCs w:val="20"/>
          <w:highlight w:val="none"/>
        </w:rPr>
        <w:t>——</w:t>
      </w:r>
      <w:r>
        <w:rPr>
          <w:rFonts w:hint="default" w:ascii="Times New Roman" w:hAnsi="Times New Roman" w:eastAsia="宋体" w:cs="Times New Roman"/>
          <w:color w:val="auto"/>
          <w:sz w:val="24"/>
          <w:szCs w:val="24"/>
          <w:highlight w:val="none"/>
        </w:rPr>
        <w:t>持续年份；</w:t>
      </w:r>
    </w:p>
    <w:p w14:paraId="7B2535C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其中，污染物的年输入量I</w:t>
      </w:r>
      <w:r>
        <w:rPr>
          <w:rFonts w:ascii="Times New Roman" w:hAnsi="Times New Roman" w:eastAsia="宋体"/>
          <w:color w:val="auto"/>
          <w:sz w:val="24"/>
          <w:szCs w:val="24"/>
          <w:highlight w:val="none"/>
          <w:vertAlign w:val="subscript"/>
        </w:rPr>
        <w:t>S</w:t>
      </w:r>
      <w:r>
        <w:rPr>
          <w:rFonts w:ascii="Times New Roman" w:hAnsi="Times New Roman" w:eastAsia="宋体"/>
          <w:color w:val="auto"/>
          <w:sz w:val="24"/>
          <w:szCs w:val="24"/>
          <w:highlight w:val="none"/>
        </w:rPr>
        <w:t>的计算公式为：</w:t>
      </w:r>
    </w:p>
    <w:p w14:paraId="27496691">
      <w:pPr>
        <w:spacing w:line="360" w:lineRule="auto"/>
        <w:jc w:val="center"/>
        <w:rPr>
          <w:rFonts w:hint="default" w:ascii="Times New Roman" w:hAnsi="Times New Roman" w:eastAsia="宋体" w:cs="Times New Roman"/>
          <w:b w:val="0"/>
          <w:bCs w:val="0"/>
          <w:color w:val="auto"/>
          <w:sz w:val="24"/>
          <w:szCs w:val="24"/>
          <w:highlight w:val="none"/>
          <w:vertAlign w:val="baseline"/>
          <w:lang w:eastAsia="zh-CN"/>
        </w:rPr>
      </w:pPr>
      <w:r>
        <w:rPr>
          <w:rFonts w:hint="default" w:ascii="Times New Roman" w:hAnsi="Times New Roman" w:eastAsia="宋体" w:cs="Times New Roman"/>
          <w:b w:val="0"/>
          <w:bCs w:val="0"/>
          <w:i/>
          <w:iCs/>
          <w:color w:val="auto"/>
          <w:sz w:val="24"/>
          <w:szCs w:val="24"/>
          <w:highlight w:val="none"/>
          <w:vertAlign w:val="baseline"/>
          <w:lang w:eastAsia="zh-CN"/>
        </w:rPr>
        <w:t>I</w:t>
      </w:r>
      <w:r>
        <w:rPr>
          <w:rFonts w:hint="default" w:ascii="Times New Roman" w:hAnsi="Times New Roman" w:eastAsia="宋体" w:cs="Times New Roman"/>
          <w:b w:val="0"/>
          <w:bCs w:val="0"/>
          <w:color w:val="auto"/>
          <w:sz w:val="24"/>
          <w:szCs w:val="24"/>
          <w:highlight w:val="none"/>
          <w:vertAlign w:val="baseline"/>
          <w:lang w:eastAsia="zh-CN"/>
        </w:rPr>
        <w:t>s=</w:t>
      </w:r>
      <w:r>
        <w:rPr>
          <w:rFonts w:hint="default" w:ascii="Times New Roman" w:hAnsi="Times New Roman" w:eastAsia="宋体" w:cs="Times New Roman"/>
          <w:b w:val="0"/>
          <w:bCs w:val="0"/>
          <w:i/>
          <w:iCs/>
          <w:color w:val="auto"/>
          <w:sz w:val="24"/>
          <w:szCs w:val="24"/>
          <w:highlight w:val="none"/>
          <w:vertAlign w:val="baseline"/>
          <w:lang w:eastAsia="zh-CN"/>
        </w:rPr>
        <w:t>W</w:t>
      </w:r>
      <w:r>
        <w:rPr>
          <w:rFonts w:hint="default" w:ascii="Times New Roman" w:hAnsi="Times New Roman" w:eastAsia="宋体" w:cs="Times New Roman"/>
          <w:b w:val="0"/>
          <w:bCs w:val="0"/>
          <w:color w:val="auto"/>
          <w:sz w:val="24"/>
          <w:szCs w:val="24"/>
          <w:highlight w:val="none"/>
          <w:vertAlign w:val="baseline"/>
          <w:lang w:eastAsia="zh-CN"/>
        </w:rPr>
        <w:t>o</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i/>
          <w:iCs/>
          <w:color w:val="auto"/>
          <w:sz w:val="24"/>
          <w:szCs w:val="24"/>
          <w:highlight w:val="none"/>
          <w:vertAlign w:val="baseline"/>
          <w:lang w:eastAsia="zh-CN"/>
        </w:rPr>
        <w:t>A</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i/>
          <w:iCs/>
          <w:color w:val="auto"/>
          <w:sz w:val="24"/>
          <w:szCs w:val="24"/>
          <w:highlight w:val="none"/>
          <w:vertAlign w:val="baseline"/>
          <w:lang w:eastAsia="zh-CN"/>
        </w:rPr>
        <w:t>V</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color w:val="auto"/>
          <w:sz w:val="24"/>
          <w:szCs w:val="24"/>
          <w:highlight w:val="none"/>
          <w:vertAlign w:val="baseline"/>
          <w:lang w:eastAsia="zh-CN"/>
        </w:rPr>
        <w:t>3600</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eastAsia" w:cs="Times New Roman"/>
          <w:b w:val="0"/>
          <w:bCs w:val="0"/>
          <w:color w:val="auto"/>
          <w:sz w:val="24"/>
          <w:szCs w:val="24"/>
          <w:highlight w:val="none"/>
          <w:vertAlign w:val="baseline"/>
          <w:lang w:val="en-US" w:eastAsia="zh-CN"/>
        </w:rPr>
        <w:t>24</w:t>
      </w:r>
      <w:r>
        <w:rPr>
          <w:rFonts w:hint="default" w:ascii="Times New Roman" w:hAnsi="Times New Roman" w:eastAsia="宋体"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color w:val="auto"/>
          <w:sz w:val="24"/>
          <w:szCs w:val="24"/>
          <w:highlight w:val="none"/>
          <w:vertAlign w:val="baseline"/>
          <w:lang w:eastAsia="zh-CN"/>
        </w:rPr>
        <w:t>3</w:t>
      </w:r>
      <w:r>
        <w:rPr>
          <w:rFonts w:hint="eastAsia" w:ascii="Times New Roman" w:hAnsi="Times New Roman" w:cs="Times New Roman"/>
          <w:b w:val="0"/>
          <w:bCs w:val="0"/>
          <w:color w:val="auto"/>
          <w:sz w:val="24"/>
          <w:szCs w:val="24"/>
          <w:highlight w:val="none"/>
          <w:vertAlign w:val="baseline"/>
          <w:lang w:val="en-US" w:eastAsia="zh-CN"/>
        </w:rPr>
        <w:t>0</w:t>
      </w:r>
      <w:r>
        <w:rPr>
          <w:rFonts w:hint="default" w:ascii="Times New Roman" w:hAnsi="Times New Roman" w:cs="Times New Roman"/>
          <w:b w:val="0"/>
          <w:bCs w:val="0"/>
          <w:color w:val="auto"/>
          <w:sz w:val="24"/>
          <w:szCs w:val="24"/>
          <w:highlight w:val="none"/>
          <w:vertAlign w:val="baseline"/>
          <w:lang w:val="en-US" w:eastAsia="zh-CN"/>
        </w:rPr>
        <w:t>0</w:t>
      </w:r>
      <w:r>
        <w:rPr>
          <w:rFonts w:hint="default" w:ascii="Times New Roman" w:hAnsi="Times New Roman" w:eastAsia="宋体" w:cs="Times New Roman"/>
          <w:b w:val="0"/>
          <w:bCs w:val="0"/>
          <w:color w:val="auto"/>
          <w:sz w:val="24"/>
          <w:szCs w:val="24"/>
          <w:highlight w:val="none"/>
          <w:vertAlign w:val="baseline"/>
          <w:lang w:eastAsia="zh-CN"/>
        </w:rPr>
        <w:t>/1000</w:t>
      </w:r>
    </w:p>
    <w:p w14:paraId="26996504">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式中：</w:t>
      </w:r>
      <w:r>
        <w:rPr>
          <w:rFonts w:hint="default" w:ascii="Times New Roman" w:hAnsi="Times New Roman" w:eastAsia="宋体" w:cs="Times New Roman"/>
          <w:color w:val="auto"/>
          <w:position w:val="-12"/>
          <w:szCs w:val="20"/>
          <w:highlight w:val="none"/>
        </w:rPr>
        <w:drawing>
          <wp:inline distT="0" distB="0" distL="114300" distR="114300">
            <wp:extent cx="161925" cy="238125"/>
            <wp:effectExtent l="0" t="0" r="9525" b="6350"/>
            <wp:docPr id="59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3"/>
                    <pic:cNvPicPr>
                      <a:picLocks noChangeAspect="1"/>
                    </pic:cNvPicPr>
                  </pic:nvPicPr>
                  <pic:blipFill>
                    <a:blip r:embed="rId88"/>
                    <a:stretch>
                      <a:fillRect/>
                    </a:stretch>
                  </pic:blipFill>
                  <pic:spPr>
                    <a:xfrm>
                      <a:off x="0" y="0"/>
                      <a:ext cx="161925" cy="238125"/>
                    </a:xfrm>
                    <a:prstGeom prst="rect">
                      <a:avLst/>
                    </a:prstGeom>
                    <a:noFill/>
                    <a:ln>
                      <a:noFill/>
                    </a:ln>
                  </pic:spPr>
                </pic:pic>
              </a:graphicData>
            </a:graphic>
          </wp:inline>
        </w:drawing>
      </w:r>
      <w:r>
        <w:rPr>
          <w:rFonts w:ascii="Times New Roman" w:hAnsi="Times New Roman" w:eastAsia="宋体"/>
          <w:color w:val="auto"/>
          <w:szCs w:val="20"/>
          <w:highlight w:val="none"/>
        </w:rPr>
        <w:t>——</w:t>
      </w:r>
      <w:r>
        <w:rPr>
          <w:rFonts w:ascii="Times New Roman" w:hAnsi="Times New Roman" w:eastAsia="宋体"/>
          <w:color w:val="auto"/>
          <w:sz w:val="24"/>
          <w:szCs w:val="24"/>
          <w:highlight w:val="none"/>
        </w:rPr>
        <w:t>预测最大落地浓度值，mg/m</w:t>
      </w:r>
      <w:r>
        <w:rPr>
          <w:rFonts w:ascii="Times New Roman" w:hAnsi="Times New Roman" w:eastAsia="宋体"/>
          <w:color w:val="auto"/>
          <w:sz w:val="24"/>
          <w:szCs w:val="24"/>
          <w:highlight w:val="none"/>
          <w:vertAlign w:val="superscript"/>
        </w:rPr>
        <w:t>3</w:t>
      </w:r>
      <w:r>
        <w:rPr>
          <w:rFonts w:ascii="Times New Roman" w:hAnsi="Times New Roman" w:eastAsia="宋体"/>
          <w:color w:val="auto"/>
          <w:sz w:val="24"/>
          <w:szCs w:val="24"/>
          <w:highlight w:val="none"/>
        </w:rPr>
        <w:t>；</w:t>
      </w:r>
    </w:p>
    <w:p w14:paraId="17768C2D">
      <w:pPr>
        <w:keepNext w:val="0"/>
        <w:keepLines w:val="0"/>
        <w:pageBreakBefore w:val="0"/>
        <w:widowControl w:val="0"/>
        <w:kinsoku/>
        <w:wordWrap/>
        <w:overflowPunct/>
        <w:topLinePunct w:val="0"/>
        <w:autoSpaceDE/>
        <w:autoSpaceDN/>
        <w:bidi w:val="0"/>
        <w:adjustRightInd/>
        <w:snapToGrid/>
        <w:spacing w:line="360" w:lineRule="auto"/>
        <w:ind w:firstLine="630" w:firstLineChars="300"/>
        <w:jc w:val="left"/>
        <w:textAlignment w:val="auto"/>
        <w:rPr>
          <w:rFonts w:ascii="Times New Roman" w:hAnsi="Times New Roman" w:eastAsia="宋体"/>
          <w:color w:val="auto"/>
          <w:sz w:val="24"/>
          <w:szCs w:val="24"/>
          <w:highlight w:val="none"/>
        </w:rPr>
      </w:pPr>
      <w:r>
        <w:rPr>
          <w:rFonts w:ascii="Times New Roman" w:hAnsi="Times New Roman" w:eastAsia="宋体"/>
          <w:color w:val="auto"/>
          <w:position w:val="-4"/>
          <w:szCs w:val="20"/>
          <w:highlight w:val="none"/>
        </w:rPr>
        <w:drawing>
          <wp:inline distT="0" distB="0" distL="114300" distR="114300">
            <wp:extent cx="123825" cy="161925"/>
            <wp:effectExtent l="0" t="0" r="9525" b="6350"/>
            <wp:docPr id="592"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158"/>
                    <pic:cNvPicPr>
                      <a:picLocks noChangeAspect="1"/>
                    </pic:cNvPicPr>
                  </pic:nvPicPr>
                  <pic:blipFill>
                    <a:blip r:embed="rId89"/>
                    <a:stretch>
                      <a:fillRect/>
                    </a:stretch>
                  </pic:blipFill>
                  <pic:spPr>
                    <a:xfrm>
                      <a:off x="0" y="0"/>
                      <a:ext cx="123825" cy="161925"/>
                    </a:xfrm>
                    <a:prstGeom prst="rect">
                      <a:avLst/>
                    </a:prstGeom>
                    <a:noFill/>
                    <a:ln>
                      <a:noFill/>
                    </a:ln>
                  </pic:spPr>
                </pic:pic>
              </a:graphicData>
            </a:graphic>
          </wp:inline>
        </w:drawing>
      </w:r>
      <w:r>
        <w:rPr>
          <w:rFonts w:ascii="Times New Roman" w:hAnsi="Times New Roman" w:eastAsia="宋体"/>
          <w:color w:val="auto"/>
          <w:szCs w:val="20"/>
          <w:highlight w:val="none"/>
        </w:rPr>
        <w:t>——</w:t>
      </w:r>
      <w:r>
        <w:rPr>
          <w:rFonts w:ascii="Times New Roman" w:hAnsi="Times New Roman" w:eastAsia="宋体"/>
          <w:color w:val="auto"/>
          <w:sz w:val="24"/>
          <w:szCs w:val="24"/>
          <w:highlight w:val="none"/>
        </w:rPr>
        <w:t>沉降速率，m/s；</w:t>
      </w:r>
    </w:p>
    <w:p w14:paraId="4C76A7D7">
      <w:pPr>
        <w:spacing w:line="360" w:lineRule="auto"/>
        <w:ind w:firstLine="480" w:firstLineChars="200"/>
        <w:jc w:val="both"/>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cs="Times New Roman"/>
          <w:color w:val="auto"/>
          <w:sz w:val="24"/>
          <w:szCs w:val="24"/>
          <w:highlight w:val="none"/>
          <w:lang w:val="en-US" w:eastAsia="zh-CN"/>
        </w:rPr>
        <w:t>根据</w:t>
      </w:r>
      <w:r>
        <w:rPr>
          <w:rFonts w:hint="default" w:ascii="Times New Roman" w:hAnsi="Times New Roman" w:eastAsia="宋体" w:cs="Times New Roman"/>
          <w:color w:val="auto"/>
          <w:sz w:val="24"/>
          <w:szCs w:val="24"/>
          <w:highlight w:val="none"/>
          <w:lang w:val="en-US" w:eastAsia="zh-CN"/>
        </w:rPr>
        <w:t>《环境影响评价技术导则-土壤环境》（HJ964-2018）</w:t>
      </w:r>
      <w:r>
        <w:rPr>
          <w:rFonts w:hint="default" w:ascii="Times New Roman" w:hAnsi="Times New Roman" w:cs="Times New Roman"/>
          <w:color w:val="auto"/>
          <w:sz w:val="24"/>
          <w:szCs w:val="24"/>
          <w:highlight w:val="none"/>
          <w:lang w:val="en-US" w:eastAsia="zh-CN"/>
        </w:rPr>
        <w:t>中附录E中E.1.2一般方法和步骤中b）涉及大气沉降影响的，可不考虑输出量，故本项目</w:t>
      </w:r>
      <w:r>
        <w:rPr>
          <w:rFonts w:hint="default" w:ascii="Times New Roman" w:hAnsi="Times New Roman" w:eastAsia="宋体" w:cs="Times New Roman"/>
          <w:b w:val="0"/>
          <w:bCs w:val="0"/>
          <w:color w:val="auto"/>
          <w:sz w:val="24"/>
          <w:szCs w:val="24"/>
          <w:highlight w:val="none"/>
          <w:vertAlign w:val="baseline"/>
          <w:lang w:eastAsia="zh-CN"/>
        </w:rPr>
        <w:t>Ls</w:t>
      </w:r>
      <w:r>
        <w:rPr>
          <w:rFonts w:hint="default" w:ascii="Times New Roman" w:hAnsi="Times New Roman" w:cs="Times New Roman"/>
          <w:b w:val="0"/>
          <w:bCs w:val="0"/>
          <w:color w:val="auto"/>
          <w:sz w:val="24"/>
          <w:szCs w:val="24"/>
          <w:highlight w:val="none"/>
          <w:vertAlign w:val="baseline"/>
          <w:lang w:eastAsia="zh-CN"/>
        </w:rPr>
        <w:t>和</w:t>
      </w:r>
      <w:r>
        <w:rPr>
          <w:rFonts w:hint="default" w:ascii="Times New Roman" w:hAnsi="Times New Roman" w:eastAsia="宋体" w:cs="Times New Roman"/>
          <w:b w:val="0"/>
          <w:bCs w:val="0"/>
          <w:color w:val="auto"/>
          <w:sz w:val="24"/>
          <w:szCs w:val="24"/>
          <w:highlight w:val="none"/>
          <w:vertAlign w:val="baseline"/>
          <w:lang w:eastAsia="zh-CN"/>
        </w:rPr>
        <w:t>Rs</w:t>
      </w:r>
      <w:r>
        <w:rPr>
          <w:rFonts w:hint="default" w:ascii="Times New Roman" w:hAnsi="Times New Roman" w:cs="Times New Roman"/>
          <w:b w:val="0"/>
          <w:bCs w:val="0"/>
          <w:color w:val="auto"/>
          <w:sz w:val="24"/>
          <w:szCs w:val="24"/>
          <w:highlight w:val="none"/>
          <w:vertAlign w:val="baseline"/>
          <w:lang w:eastAsia="zh-CN"/>
        </w:rPr>
        <w:t>不考虑取值，即无物质流出。</w:t>
      </w:r>
    </w:p>
    <w:p w14:paraId="16F6D21E">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2）单位质量土壤中某种物质的预测值可以根据其增量叠加现状值进行计算：</w:t>
      </w:r>
    </w:p>
    <w:p w14:paraId="542CFE59">
      <w:pPr>
        <w:snapToGrid w:val="0"/>
        <w:spacing w:line="360" w:lineRule="auto"/>
        <w:ind w:firstLine="420" w:firstLineChars="200"/>
        <w:jc w:val="center"/>
        <w:rPr>
          <w:rFonts w:ascii="Times New Roman" w:hAnsi="Times New Roman" w:eastAsia="宋体"/>
          <w:color w:val="auto"/>
          <w:szCs w:val="20"/>
          <w:highlight w:val="none"/>
        </w:rPr>
      </w:pPr>
      <w:r>
        <w:rPr>
          <w:rFonts w:ascii="Times New Roman" w:hAnsi="Times New Roman" w:eastAsia="宋体"/>
          <w:color w:val="auto"/>
          <w:position w:val="-12"/>
          <w:szCs w:val="20"/>
          <w:highlight w:val="none"/>
        </w:rPr>
        <w:drawing>
          <wp:inline distT="0" distB="0" distL="114300" distR="114300">
            <wp:extent cx="924560" cy="238125"/>
            <wp:effectExtent l="0" t="0" r="0" b="7620"/>
            <wp:docPr id="6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10"/>
                    <pic:cNvPicPr>
                      <a:picLocks noChangeAspect="1"/>
                    </pic:cNvPicPr>
                  </pic:nvPicPr>
                  <pic:blipFill>
                    <a:blip r:embed="rId90"/>
                    <a:stretch>
                      <a:fillRect/>
                    </a:stretch>
                  </pic:blipFill>
                  <pic:spPr>
                    <a:xfrm>
                      <a:off x="0" y="0"/>
                      <a:ext cx="924560" cy="238125"/>
                    </a:xfrm>
                    <a:prstGeom prst="rect">
                      <a:avLst/>
                    </a:prstGeom>
                    <a:noFill/>
                    <a:ln>
                      <a:noFill/>
                    </a:ln>
                  </pic:spPr>
                </pic:pic>
              </a:graphicData>
            </a:graphic>
          </wp:inline>
        </w:drawing>
      </w:r>
    </w:p>
    <w:p w14:paraId="536ADA54">
      <w:pPr>
        <w:keepNext w:val="0"/>
        <w:keepLines w:val="0"/>
        <w:pageBreakBefore w:val="0"/>
        <w:widowControl w:val="0"/>
        <w:kinsoku/>
        <w:wordWrap/>
        <w:overflowPunct/>
        <w:topLinePunct w:val="0"/>
        <w:autoSpaceDE/>
        <w:autoSpaceDN/>
        <w:bidi w:val="0"/>
        <w:adjustRightInd/>
        <w:snapToGrid w:val="0"/>
        <w:spacing w:line="360" w:lineRule="auto"/>
        <w:ind w:firstLine="0" w:firstLineChars="0"/>
        <w:textAlignment w:val="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式中：</w:t>
      </w:r>
      <w:r>
        <w:rPr>
          <w:rFonts w:hint="eastAsia" w:ascii="Times New Roman" w:hAnsi="Times New Roman" w:eastAsia="宋体"/>
          <w:i/>
          <w:iCs/>
          <w:color w:val="auto"/>
          <w:sz w:val="24"/>
          <w:szCs w:val="24"/>
          <w:highlight w:val="none"/>
          <w:lang w:val="en-US" w:eastAsia="zh-CN"/>
        </w:rPr>
        <w:t>S</w:t>
      </w:r>
      <w:r>
        <w:rPr>
          <w:rFonts w:hint="eastAsia" w:ascii="Times New Roman" w:hAnsi="Times New Roman" w:eastAsia="宋体"/>
          <w:color w:val="auto"/>
          <w:sz w:val="24"/>
          <w:szCs w:val="24"/>
          <w:highlight w:val="none"/>
          <w:vertAlign w:val="subscript"/>
          <w:lang w:val="en-US" w:eastAsia="zh-CN"/>
        </w:rPr>
        <w:t>b</w:t>
      </w:r>
      <w:r>
        <w:rPr>
          <w:rFonts w:ascii="Times New Roman" w:hAnsi="Times New Roman" w:eastAsia="宋体"/>
          <w:color w:val="auto"/>
          <w:szCs w:val="20"/>
          <w:highlight w:val="none"/>
        </w:rPr>
        <w:t>——</w:t>
      </w:r>
      <w:r>
        <w:rPr>
          <w:rFonts w:ascii="Times New Roman" w:hAnsi="Times New Roman" w:eastAsia="宋体"/>
          <w:color w:val="auto"/>
          <w:sz w:val="24"/>
          <w:szCs w:val="24"/>
          <w:highlight w:val="none"/>
        </w:rPr>
        <w:t>单位质量土壤中某物质的现状值，g/kg；</w:t>
      </w:r>
    </w:p>
    <w:p w14:paraId="273018FE">
      <w:pPr>
        <w:keepNext w:val="0"/>
        <w:keepLines w:val="0"/>
        <w:pageBreakBefore w:val="0"/>
        <w:widowControl w:val="0"/>
        <w:kinsoku/>
        <w:wordWrap/>
        <w:overflowPunct/>
        <w:topLinePunct w:val="0"/>
        <w:autoSpaceDE/>
        <w:autoSpaceDN/>
        <w:bidi w:val="0"/>
        <w:adjustRightInd/>
        <w:snapToGrid/>
        <w:spacing w:line="360" w:lineRule="auto"/>
        <w:ind w:firstLine="525" w:firstLineChars="250"/>
        <w:textAlignment w:val="auto"/>
        <w:rPr>
          <w:rFonts w:ascii="Times New Roman" w:hAnsi="Times New Roman" w:eastAsia="宋体"/>
          <w:color w:val="auto"/>
          <w:sz w:val="24"/>
          <w:szCs w:val="24"/>
          <w:highlight w:val="none"/>
        </w:rPr>
      </w:pPr>
      <w:r>
        <w:rPr>
          <w:rFonts w:ascii="Times New Roman" w:hAnsi="Times New Roman" w:eastAsia="宋体"/>
          <w:color w:val="auto"/>
          <w:position w:val="-4"/>
          <w:szCs w:val="24"/>
          <w:highlight w:val="none"/>
        </w:rPr>
        <w:drawing>
          <wp:inline distT="0" distB="0" distL="114300" distR="114300">
            <wp:extent cx="142875" cy="161925"/>
            <wp:effectExtent l="0" t="0" r="0" b="6350"/>
            <wp:docPr id="59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8"/>
                    <pic:cNvPicPr>
                      <a:picLocks noChangeAspect="1"/>
                    </pic:cNvPicPr>
                  </pic:nvPicPr>
                  <pic:blipFill>
                    <a:blip r:embed="rId91"/>
                    <a:stretch>
                      <a:fillRect/>
                    </a:stretch>
                  </pic:blipFill>
                  <pic:spPr>
                    <a:xfrm>
                      <a:off x="0" y="0"/>
                      <a:ext cx="142875" cy="161925"/>
                    </a:xfrm>
                    <a:prstGeom prst="rect">
                      <a:avLst/>
                    </a:prstGeom>
                    <a:noFill/>
                    <a:ln>
                      <a:noFill/>
                    </a:ln>
                  </pic:spPr>
                </pic:pic>
              </a:graphicData>
            </a:graphic>
          </wp:inline>
        </w:drawing>
      </w:r>
      <w:r>
        <w:rPr>
          <w:rFonts w:ascii="Times New Roman" w:hAnsi="Times New Roman" w:eastAsia="宋体"/>
          <w:color w:val="auto"/>
          <w:szCs w:val="24"/>
          <w:highlight w:val="none"/>
        </w:rPr>
        <w:t>——</w:t>
      </w:r>
      <w:r>
        <w:rPr>
          <w:rFonts w:ascii="Times New Roman" w:hAnsi="Times New Roman" w:eastAsia="宋体"/>
          <w:color w:val="auto"/>
          <w:sz w:val="24"/>
          <w:szCs w:val="24"/>
          <w:highlight w:val="none"/>
        </w:rPr>
        <w:t>单位质量土壤中某物质的预测值，g/kg；</w:t>
      </w:r>
    </w:p>
    <w:p w14:paraId="40D003B7">
      <w:pPr>
        <w:widowControl w:val="0"/>
        <w:spacing w:line="360" w:lineRule="auto"/>
        <w:ind w:firstLine="480" w:firstLineChars="200"/>
        <w:jc w:val="both"/>
        <w:rPr>
          <w:rFonts w:ascii="Times New Roman" w:hAnsi="Times New Roman" w:eastAsia="宋体" w:cs="Times New Roman"/>
          <w:color w:val="auto"/>
          <w:kern w:val="2"/>
          <w:sz w:val="24"/>
          <w:szCs w:val="22"/>
          <w:highlight w:val="none"/>
          <w:lang w:val="en-US" w:eastAsia="zh-CN" w:bidi="ar-SA"/>
        </w:rPr>
      </w:pPr>
      <w:r>
        <w:rPr>
          <w:rFonts w:hint="eastAsia" w:ascii="Times New Roman" w:hAnsi="Times New Roman" w:eastAsia="宋体" w:cs="Times New Roman"/>
          <w:color w:val="auto"/>
          <w:kern w:val="2"/>
          <w:sz w:val="24"/>
          <w:szCs w:val="22"/>
          <w:highlight w:val="none"/>
          <w:lang w:val="en-US" w:eastAsia="zh-CN" w:bidi="ar-SA"/>
        </w:rPr>
        <w:t>本</w:t>
      </w:r>
      <w:r>
        <w:rPr>
          <w:rFonts w:ascii="Times New Roman" w:hAnsi="Times New Roman" w:eastAsia="宋体" w:cs="Times New Roman"/>
          <w:color w:val="auto"/>
          <w:kern w:val="2"/>
          <w:sz w:val="24"/>
          <w:szCs w:val="22"/>
          <w:highlight w:val="none"/>
          <w:lang w:val="en-US" w:eastAsia="zh-CN" w:bidi="ar-SA"/>
        </w:rPr>
        <w:t>项目预测</w:t>
      </w:r>
      <w:r>
        <w:rPr>
          <w:rFonts w:hint="eastAsia" w:ascii="Times New Roman" w:hAnsi="Times New Roman" w:eastAsia="宋体" w:cs="Times New Roman"/>
          <w:color w:val="auto"/>
          <w:kern w:val="2"/>
          <w:sz w:val="24"/>
          <w:szCs w:val="22"/>
          <w:highlight w:val="none"/>
          <w:lang w:val="en-US" w:eastAsia="zh-CN" w:bidi="ar-SA"/>
        </w:rPr>
        <w:t>参数取值详见下表。</w:t>
      </w:r>
    </w:p>
    <w:p w14:paraId="0C0327A2">
      <w:pPr>
        <w:bidi w:val="0"/>
        <w:jc w:val="center"/>
        <w:rPr>
          <w:rFonts w:hint="eastAsia" w:ascii="Times New Roman" w:hAnsi="Times New Roman" w:eastAsia="宋体" w:cs="Times New Roman"/>
          <w:b/>
          <w:bCs/>
          <w:color w:val="auto"/>
          <w:sz w:val="24"/>
          <w:szCs w:val="24"/>
          <w:highlight w:val="none"/>
          <w:lang w:val="en-US" w:eastAsia="zh-CN"/>
        </w:rPr>
      </w:pPr>
      <w:bookmarkStart w:id="493" w:name="_Ref84904918"/>
      <w:r>
        <w:rPr>
          <w:rFonts w:hint="eastAsia" w:ascii="Times New Roman" w:hAnsi="Times New Roman" w:eastAsia="宋体" w:cs="Times New Roman"/>
          <w:b/>
          <w:bCs/>
          <w:color w:val="auto"/>
          <w:sz w:val="24"/>
          <w:szCs w:val="24"/>
          <w:highlight w:val="none"/>
          <w:lang w:val="en-US" w:eastAsia="zh-CN"/>
        </w:rPr>
        <w:t>表</w:t>
      </w:r>
      <w:bookmarkEnd w:id="493"/>
      <w:r>
        <w:rPr>
          <w:rFonts w:hint="eastAsia" w:ascii="Times New Roman" w:hAnsi="Times New Roman" w:eastAsia="宋体" w:cs="Times New Roman"/>
          <w:b/>
          <w:bCs/>
          <w:color w:val="auto"/>
          <w:sz w:val="24"/>
          <w:szCs w:val="24"/>
          <w:highlight w:val="none"/>
          <w:lang w:val="en-US" w:eastAsia="zh-CN"/>
        </w:rPr>
        <w:t>5.2.6-3</w:t>
      </w:r>
      <w:r>
        <w:rPr>
          <w:rFonts w:hint="eastAsia" w:cs="Times New Roman"/>
          <w:b/>
          <w:bCs/>
          <w:color w:val="auto"/>
          <w:sz w:val="24"/>
          <w:szCs w:val="24"/>
          <w:highlight w:val="none"/>
          <w:lang w:val="en-US" w:eastAsia="zh-CN"/>
        </w:rPr>
        <w:t xml:space="preserve">  </w:t>
      </w:r>
      <w:r>
        <w:rPr>
          <w:rFonts w:hint="eastAsia" w:ascii="Times New Roman" w:hAnsi="Times New Roman" w:eastAsia="宋体" w:cs="Times New Roman"/>
          <w:b/>
          <w:bCs/>
          <w:color w:val="auto"/>
          <w:sz w:val="24"/>
          <w:szCs w:val="24"/>
          <w:highlight w:val="none"/>
          <w:lang w:val="en-US" w:eastAsia="zh-CN"/>
        </w:rPr>
        <w:t>土壤环境影响预测参数选择</w:t>
      </w:r>
    </w:p>
    <w:tbl>
      <w:tblPr>
        <w:tblStyle w:val="535"/>
        <w:tblpPr w:leftFromText="181" w:rightFromText="181" w:bottomFromText="142"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1125"/>
        <w:gridCol w:w="1126"/>
        <w:gridCol w:w="1562"/>
        <w:gridCol w:w="4549"/>
      </w:tblGrid>
      <w:tr w14:paraId="2B674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673" w:type="pct"/>
            <w:noWrap w:val="0"/>
            <w:vAlign w:val="center"/>
          </w:tcPr>
          <w:p w14:paraId="3584E074">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参数</w:t>
            </w:r>
          </w:p>
        </w:tc>
        <w:tc>
          <w:tcPr>
            <w:tcW w:w="673" w:type="pct"/>
            <w:noWrap w:val="0"/>
            <w:vAlign w:val="center"/>
          </w:tcPr>
          <w:p w14:paraId="68B50E67">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单位</w:t>
            </w:r>
          </w:p>
        </w:tc>
        <w:tc>
          <w:tcPr>
            <w:tcW w:w="934" w:type="pct"/>
            <w:noWrap w:val="0"/>
            <w:vAlign w:val="center"/>
          </w:tcPr>
          <w:p w14:paraId="3EF075E6">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取值</w:t>
            </w:r>
          </w:p>
        </w:tc>
        <w:tc>
          <w:tcPr>
            <w:tcW w:w="2720" w:type="pct"/>
            <w:noWrap w:val="0"/>
            <w:vAlign w:val="center"/>
          </w:tcPr>
          <w:p w14:paraId="5A3521C4">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备注</w:t>
            </w:r>
          </w:p>
        </w:tc>
      </w:tr>
      <w:tr w14:paraId="30D67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673" w:type="pct"/>
            <w:noWrap w:val="0"/>
            <w:vAlign w:val="center"/>
          </w:tcPr>
          <w:p w14:paraId="16FC07F3">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Is</w:t>
            </w:r>
          </w:p>
        </w:tc>
        <w:tc>
          <w:tcPr>
            <w:tcW w:w="673" w:type="pct"/>
            <w:noWrap w:val="0"/>
            <w:vAlign w:val="center"/>
          </w:tcPr>
          <w:p w14:paraId="3FFB7845">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g</w:t>
            </w:r>
          </w:p>
        </w:tc>
        <w:tc>
          <w:tcPr>
            <w:tcW w:w="934" w:type="pct"/>
            <w:noWrap w:val="0"/>
            <w:vAlign w:val="center"/>
          </w:tcPr>
          <w:p w14:paraId="541B680A">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113412.4</w:t>
            </w:r>
          </w:p>
        </w:tc>
        <w:tc>
          <w:tcPr>
            <w:tcW w:w="2720" w:type="pct"/>
            <w:noWrap w:val="0"/>
            <w:vAlign w:val="center"/>
          </w:tcPr>
          <w:p w14:paraId="5C7B4179">
            <w:pPr>
              <w:widowControl w:val="0"/>
              <w:spacing w:line="240" w:lineRule="auto"/>
              <w:ind w:firstLine="0" w:firstLineChars="0"/>
              <w:jc w:val="both"/>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评价范围内年均最大预测浓度值77.714</w:t>
            </w:r>
            <w:r>
              <w:rPr>
                <w:rFonts w:ascii="Times New Roman" w:hAnsi="Times New Roman" w:eastAsia="宋体" w:cs="Times New Roman"/>
                <w:color w:val="auto"/>
                <w:kern w:val="0"/>
                <w:sz w:val="21"/>
                <w:szCs w:val="20"/>
                <w:highlight w:val="none"/>
                <w:lang w:val="en-US" w:eastAsia="zh-CN" w:bidi="ar-SA"/>
              </w:rPr>
              <w:t>μg/m³</w:t>
            </w:r>
            <w:r>
              <w:rPr>
                <w:rFonts w:hint="eastAsia" w:ascii="Times New Roman" w:hAnsi="Times New Roman" w:eastAsia="宋体" w:cs="Times New Roman"/>
                <w:color w:val="auto"/>
                <w:kern w:val="0"/>
                <w:sz w:val="21"/>
                <w:szCs w:val="20"/>
                <w:highlight w:val="none"/>
                <w:lang w:val="en-US" w:eastAsia="zh-CN" w:bidi="ar-SA"/>
              </w:rPr>
              <w:t>，沉降速率0</w:t>
            </w:r>
            <w:r>
              <w:rPr>
                <w:rFonts w:ascii="Times New Roman" w:hAnsi="Times New Roman" w:eastAsia="宋体" w:cs="Times New Roman"/>
                <w:color w:val="auto"/>
                <w:kern w:val="0"/>
                <w:sz w:val="21"/>
                <w:szCs w:val="20"/>
                <w:highlight w:val="none"/>
                <w:lang w:val="en-US" w:eastAsia="zh-CN" w:bidi="ar-SA"/>
              </w:rPr>
              <w:t>.0</w:t>
            </w:r>
            <w:r>
              <w:rPr>
                <w:rFonts w:hint="eastAsia" w:ascii="Times New Roman" w:hAnsi="Times New Roman" w:eastAsia="宋体" w:cs="Times New Roman"/>
                <w:color w:val="auto"/>
                <w:kern w:val="0"/>
                <w:sz w:val="21"/>
                <w:szCs w:val="20"/>
                <w:highlight w:val="none"/>
                <w:lang w:val="en-US" w:eastAsia="zh-CN" w:bidi="ar-SA"/>
              </w:rPr>
              <w:t>01</w:t>
            </w:r>
            <w:r>
              <w:rPr>
                <w:rFonts w:ascii="Times New Roman" w:hAnsi="Times New Roman" w:eastAsia="宋体" w:cs="Times New Roman"/>
                <w:color w:val="auto"/>
                <w:kern w:val="0"/>
                <w:sz w:val="21"/>
                <w:szCs w:val="20"/>
                <w:highlight w:val="none"/>
                <w:lang w:val="en-US" w:eastAsia="zh-CN" w:bidi="ar-SA"/>
              </w:rPr>
              <w:t>m/s</w:t>
            </w:r>
          </w:p>
        </w:tc>
      </w:tr>
      <w:tr w14:paraId="42A57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673" w:type="pct"/>
            <w:noWrap w:val="0"/>
            <w:vAlign w:val="center"/>
          </w:tcPr>
          <w:p w14:paraId="49B37182">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Ls</w:t>
            </w:r>
          </w:p>
        </w:tc>
        <w:tc>
          <w:tcPr>
            <w:tcW w:w="673" w:type="pct"/>
            <w:noWrap w:val="0"/>
            <w:vAlign w:val="center"/>
          </w:tcPr>
          <w:p w14:paraId="7A1247F1">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g</w:t>
            </w:r>
          </w:p>
        </w:tc>
        <w:tc>
          <w:tcPr>
            <w:tcW w:w="934" w:type="pct"/>
            <w:noWrap w:val="0"/>
            <w:vAlign w:val="center"/>
          </w:tcPr>
          <w:p w14:paraId="715853EA">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w:t>
            </w:r>
          </w:p>
        </w:tc>
        <w:tc>
          <w:tcPr>
            <w:tcW w:w="2720" w:type="pct"/>
            <w:noWrap w:val="0"/>
            <w:vAlign w:val="center"/>
          </w:tcPr>
          <w:p w14:paraId="4A5C61BE">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ascii="Times New Roman" w:hAnsi="Times New Roman" w:eastAsia="宋体" w:cs="Times New Roman"/>
                <w:color w:val="auto"/>
                <w:kern w:val="0"/>
                <w:sz w:val="21"/>
                <w:szCs w:val="20"/>
                <w:highlight w:val="none"/>
                <w:lang w:val="en-US" w:eastAsia="zh-CN" w:bidi="ar-SA"/>
              </w:rPr>
              <w:t>按最不利情景，不考虑排出量</w:t>
            </w:r>
          </w:p>
        </w:tc>
      </w:tr>
      <w:tr w14:paraId="5D8AC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673" w:type="pct"/>
            <w:noWrap w:val="0"/>
            <w:vAlign w:val="center"/>
          </w:tcPr>
          <w:p w14:paraId="18FD1336">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Rs</w:t>
            </w:r>
          </w:p>
        </w:tc>
        <w:tc>
          <w:tcPr>
            <w:tcW w:w="673" w:type="pct"/>
            <w:noWrap w:val="0"/>
            <w:vAlign w:val="center"/>
          </w:tcPr>
          <w:p w14:paraId="5DC664B1">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g</w:t>
            </w:r>
          </w:p>
        </w:tc>
        <w:tc>
          <w:tcPr>
            <w:tcW w:w="934" w:type="pct"/>
            <w:noWrap w:val="0"/>
            <w:vAlign w:val="center"/>
          </w:tcPr>
          <w:p w14:paraId="1B0DCF2A">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w:t>
            </w:r>
          </w:p>
        </w:tc>
        <w:tc>
          <w:tcPr>
            <w:tcW w:w="2720" w:type="pct"/>
            <w:noWrap w:val="0"/>
            <w:vAlign w:val="center"/>
          </w:tcPr>
          <w:p w14:paraId="2C35B01D">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ascii="Times New Roman" w:hAnsi="Times New Roman" w:eastAsia="宋体" w:cs="Times New Roman"/>
                <w:color w:val="auto"/>
                <w:kern w:val="0"/>
                <w:sz w:val="21"/>
                <w:szCs w:val="20"/>
                <w:highlight w:val="none"/>
                <w:lang w:val="en-US" w:eastAsia="zh-CN" w:bidi="ar-SA"/>
              </w:rPr>
              <w:t>按最不利情景，不考虑排出量</w:t>
            </w:r>
          </w:p>
        </w:tc>
      </w:tr>
      <w:tr w14:paraId="068CF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673" w:type="pct"/>
            <w:noWrap w:val="0"/>
            <w:vAlign w:val="center"/>
          </w:tcPr>
          <w:p w14:paraId="71C87D12">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ascii="Times New Roman" w:hAnsi="Times New Roman" w:eastAsia="宋体" w:cs="Times New Roman"/>
                <w:color w:val="auto"/>
                <w:kern w:val="0"/>
                <w:sz w:val="21"/>
                <w:szCs w:val="20"/>
                <w:highlight w:val="none"/>
                <w:lang w:val="en-US" w:eastAsia="zh-CN" w:bidi="ar-SA"/>
              </w:rPr>
              <w:t>ρ</w:t>
            </w:r>
            <w:r>
              <w:rPr>
                <w:rFonts w:hint="eastAsia" w:ascii="Times New Roman" w:hAnsi="Times New Roman" w:eastAsia="宋体" w:cs="Times New Roman"/>
                <w:color w:val="auto"/>
                <w:kern w:val="0"/>
                <w:sz w:val="21"/>
                <w:szCs w:val="20"/>
                <w:highlight w:val="none"/>
                <w:vertAlign w:val="subscript"/>
                <w:lang w:val="en-US" w:eastAsia="zh-CN" w:bidi="ar-SA"/>
              </w:rPr>
              <w:t>b</w:t>
            </w:r>
          </w:p>
        </w:tc>
        <w:tc>
          <w:tcPr>
            <w:tcW w:w="673" w:type="pct"/>
            <w:noWrap w:val="0"/>
            <w:vAlign w:val="center"/>
          </w:tcPr>
          <w:p w14:paraId="1EFA9381">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kg/m</w:t>
            </w:r>
            <w:r>
              <w:rPr>
                <w:rFonts w:hint="eastAsia" w:ascii="Times New Roman" w:hAnsi="Times New Roman" w:eastAsia="宋体" w:cs="Times New Roman"/>
                <w:color w:val="auto"/>
                <w:kern w:val="0"/>
                <w:sz w:val="21"/>
                <w:szCs w:val="20"/>
                <w:highlight w:val="none"/>
                <w:vertAlign w:val="superscript"/>
                <w:lang w:val="en-US" w:eastAsia="zh-CN" w:bidi="ar-SA"/>
              </w:rPr>
              <w:t>3</w:t>
            </w:r>
          </w:p>
        </w:tc>
        <w:tc>
          <w:tcPr>
            <w:tcW w:w="934" w:type="pct"/>
            <w:noWrap w:val="0"/>
            <w:vAlign w:val="center"/>
          </w:tcPr>
          <w:p w14:paraId="65DC21FB">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840</w:t>
            </w:r>
          </w:p>
        </w:tc>
        <w:tc>
          <w:tcPr>
            <w:tcW w:w="2720" w:type="pct"/>
            <w:noWrap w:val="0"/>
            <w:vAlign w:val="center"/>
          </w:tcPr>
          <w:p w14:paraId="1E825FEB">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表层以中壤土计</w:t>
            </w:r>
          </w:p>
        </w:tc>
      </w:tr>
      <w:tr w14:paraId="092C9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673" w:type="pct"/>
            <w:noWrap w:val="0"/>
            <w:vAlign w:val="center"/>
          </w:tcPr>
          <w:p w14:paraId="56493196">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A</w:t>
            </w:r>
          </w:p>
        </w:tc>
        <w:tc>
          <w:tcPr>
            <w:tcW w:w="673" w:type="pct"/>
            <w:noWrap w:val="0"/>
            <w:vAlign w:val="center"/>
          </w:tcPr>
          <w:p w14:paraId="4F381509">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m</w:t>
            </w:r>
            <w:r>
              <w:rPr>
                <w:rFonts w:hint="eastAsia" w:ascii="Times New Roman" w:hAnsi="Times New Roman" w:eastAsia="宋体" w:cs="Times New Roman"/>
                <w:color w:val="auto"/>
                <w:kern w:val="0"/>
                <w:sz w:val="21"/>
                <w:szCs w:val="20"/>
                <w:highlight w:val="none"/>
                <w:vertAlign w:val="superscript"/>
                <w:lang w:val="en-US" w:eastAsia="zh-CN" w:bidi="ar-SA"/>
              </w:rPr>
              <w:t>2</w:t>
            </w:r>
          </w:p>
        </w:tc>
        <w:tc>
          <w:tcPr>
            <w:tcW w:w="934" w:type="pct"/>
            <w:noWrap w:val="0"/>
            <w:vAlign w:val="center"/>
          </w:tcPr>
          <w:p w14:paraId="50067684">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17252.676</w:t>
            </w:r>
          </w:p>
        </w:tc>
        <w:tc>
          <w:tcPr>
            <w:tcW w:w="2720" w:type="pct"/>
            <w:noWrap w:val="0"/>
            <w:vAlign w:val="center"/>
          </w:tcPr>
          <w:p w14:paraId="399A28E5">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ascii="Times New Roman" w:hAnsi="Times New Roman" w:eastAsia="宋体" w:cs="Times New Roman"/>
                <w:color w:val="auto"/>
                <w:kern w:val="0"/>
                <w:sz w:val="21"/>
                <w:szCs w:val="20"/>
                <w:highlight w:val="none"/>
                <w:lang w:val="en-US" w:eastAsia="zh-CN" w:bidi="ar-SA"/>
              </w:rPr>
              <w:t>厂</w:t>
            </w:r>
            <w:r>
              <w:rPr>
                <w:rFonts w:hint="eastAsia" w:ascii="Times New Roman" w:hAnsi="Times New Roman" w:eastAsia="宋体" w:cs="Times New Roman"/>
                <w:color w:val="auto"/>
                <w:kern w:val="0"/>
                <w:sz w:val="21"/>
                <w:szCs w:val="20"/>
                <w:highlight w:val="none"/>
                <w:lang w:val="en-US" w:eastAsia="zh-CN" w:bidi="ar-SA"/>
              </w:rPr>
              <w:t>区</w:t>
            </w:r>
            <w:r>
              <w:rPr>
                <w:rFonts w:ascii="Times New Roman" w:hAnsi="Times New Roman" w:eastAsia="宋体" w:cs="Times New Roman"/>
                <w:color w:val="auto"/>
                <w:kern w:val="0"/>
                <w:sz w:val="21"/>
                <w:szCs w:val="20"/>
                <w:highlight w:val="none"/>
                <w:lang w:val="en-US" w:eastAsia="zh-CN" w:bidi="ar-SA"/>
              </w:rPr>
              <w:t>及周边</w:t>
            </w:r>
            <w:r>
              <w:rPr>
                <w:rFonts w:hint="eastAsia" w:ascii="Times New Roman" w:hAnsi="Times New Roman" w:eastAsia="宋体" w:cs="Times New Roman"/>
                <w:color w:val="auto"/>
                <w:kern w:val="0"/>
                <w:sz w:val="21"/>
                <w:szCs w:val="20"/>
                <w:highlight w:val="none"/>
                <w:lang w:val="en-US" w:eastAsia="zh-CN" w:bidi="ar-SA"/>
              </w:rPr>
              <w:t>2</w:t>
            </w:r>
            <w:r>
              <w:rPr>
                <w:rFonts w:ascii="Times New Roman" w:hAnsi="Times New Roman" w:eastAsia="宋体" w:cs="Times New Roman"/>
                <w:color w:val="auto"/>
                <w:kern w:val="0"/>
                <w:sz w:val="21"/>
                <w:szCs w:val="20"/>
                <w:highlight w:val="none"/>
                <w:lang w:val="en-US" w:eastAsia="zh-CN" w:bidi="ar-SA"/>
              </w:rPr>
              <w:t>00m范围</w:t>
            </w:r>
          </w:p>
        </w:tc>
      </w:tr>
      <w:tr w14:paraId="2231E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673" w:type="pct"/>
            <w:noWrap w:val="0"/>
            <w:vAlign w:val="center"/>
          </w:tcPr>
          <w:p w14:paraId="77A2A4D7">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D</w:t>
            </w:r>
          </w:p>
        </w:tc>
        <w:tc>
          <w:tcPr>
            <w:tcW w:w="673" w:type="pct"/>
            <w:noWrap w:val="0"/>
            <w:vAlign w:val="center"/>
          </w:tcPr>
          <w:p w14:paraId="23B14F78">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m</w:t>
            </w:r>
          </w:p>
        </w:tc>
        <w:tc>
          <w:tcPr>
            <w:tcW w:w="934" w:type="pct"/>
            <w:noWrap w:val="0"/>
            <w:vAlign w:val="center"/>
          </w:tcPr>
          <w:p w14:paraId="4AFE191B">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w:t>
            </w:r>
            <w:r>
              <w:rPr>
                <w:rFonts w:ascii="Times New Roman" w:hAnsi="Times New Roman" w:eastAsia="宋体" w:cs="Times New Roman"/>
                <w:color w:val="auto"/>
                <w:kern w:val="0"/>
                <w:sz w:val="21"/>
                <w:szCs w:val="20"/>
                <w:highlight w:val="none"/>
                <w:lang w:val="en-US" w:eastAsia="zh-CN" w:bidi="ar-SA"/>
              </w:rPr>
              <w:t>.2</w:t>
            </w:r>
          </w:p>
        </w:tc>
        <w:tc>
          <w:tcPr>
            <w:tcW w:w="2720" w:type="pct"/>
            <w:noWrap w:val="0"/>
            <w:vAlign w:val="center"/>
          </w:tcPr>
          <w:p w14:paraId="6AB88CB8">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ascii="Times New Roman" w:hAnsi="Times New Roman" w:eastAsia="宋体" w:cs="Times New Roman"/>
                <w:color w:val="auto"/>
                <w:kern w:val="0"/>
                <w:sz w:val="21"/>
                <w:szCs w:val="20"/>
                <w:highlight w:val="none"/>
                <w:lang w:val="en-US" w:eastAsia="zh-CN" w:bidi="ar-SA"/>
              </w:rPr>
              <w:t>一般取值</w:t>
            </w:r>
          </w:p>
        </w:tc>
      </w:tr>
      <w:tr w14:paraId="18563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673" w:type="pct"/>
            <w:noWrap w:val="0"/>
            <w:vAlign w:val="center"/>
          </w:tcPr>
          <w:p w14:paraId="5AF51321">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Sb</w:t>
            </w:r>
          </w:p>
        </w:tc>
        <w:tc>
          <w:tcPr>
            <w:tcW w:w="673" w:type="pct"/>
            <w:noWrap w:val="0"/>
            <w:vAlign w:val="center"/>
          </w:tcPr>
          <w:p w14:paraId="6FD8E729">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g/kg</w:t>
            </w:r>
          </w:p>
        </w:tc>
        <w:tc>
          <w:tcPr>
            <w:tcW w:w="934" w:type="pct"/>
            <w:noWrap w:val="0"/>
            <w:vAlign w:val="center"/>
          </w:tcPr>
          <w:p w14:paraId="5C38A35E">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37</w:t>
            </w:r>
          </w:p>
        </w:tc>
        <w:tc>
          <w:tcPr>
            <w:tcW w:w="2720" w:type="pct"/>
            <w:noWrap w:val="0"/>
            <w:vAlign w:val="center"/>
          </w:tcPr>
          <w:p w14:paraId="1B926321">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default" w:ascii="Times New Roman" w:hAnsi="Times New Roman" w:eastAsia="宋体" w:cs="Times New Roman"/>
                <w:color w:val="auto"/>
                <w:kern w:val="0"/>
                <w:sz w:val="21"/>
                <w:szCs w:val="20"/>
                <w:highlight w:val="none"/>
                <w:lang w:val="en-US" w:eastAsia="zh-CN" w:bidi="ar-SA"/>
              </w:rPr>
              <w:t>本项目</w:t>
            </w:r>
            <w:r>
              <w:rPr>
                <w:rFonts w:hint="eastAsia" w:ascii="Times New Roman" w:hAnsi="Times New Roman" w:eastAsia="宋体" w:cs="Times New Roman"/>
                <w:color w:val="auto"/>
                <w:kern w:val="0"/>
                <w:sz w:val="21"/>
                <w:szCs w:val="20"/>
                <w:highlight w:val="none"/>
                <w:lang w:val="en-US" w:eastAsia="zh-CN" w:bidi="ar-SA"/>
              </w:rPr>
              <w:t>石油烃选取监测浓度最大值37</w:t>
            </w:r>
            <w:r>
              <w:rPr>
                <w:rFonts w:hint="default" w:ascii="Times New Roman" w:hAnsi="Times New Roman" w:eastAsia="宋体" w:cs="Times New Roman"/>
                <w:color w:val="auto"/>
                <w:kern w:val="0"/>
                <w:sz w:val="21"/>
                <w:szCs w:val="20"/>
                <w:highlight w:val="none"/>
                <w:lang w:val="en-US" w:eastAsia="zh-CN" w:bidi="ar-SA"/>
              </w:rPr>
              <w:t>。</w:t>
            </w:r>
          </w:p>
        </w:tc>
      </w:tr>
    </w:tbl>
    <w:p w14:paraId="73B06A71">
      <w:pPr>
        <w:snapToGrid w:val="0"/>
        <w:spacing w:before="156" w:beforeLines="50" w:line="360" w:lineRule="auto"/>
        <w:ind w:firstLine="482" w:firstLineChars="200"/>
        <w:rPr>
          <w:rFonts w:ascii="Times New Roman" w:hAnsi="Times New Roman" w:eastAsia="宋体"/>
          <w:b/>
          <w:color w:val="auto"/>
          <w:sz w:val="24"/>
          <w:szCs w:val="20"/>
          <w:highlight w:val="none"/>
        </w:rPr>
      </w:pPr>
      <w:r>
        <w:rPr>
          <w:rFonts w:hint="eastAsia" w:ascii="Times New Roman" w:hAnsi="Times New Roman" w:eastAsia="宋体"/>
          <w:b/>
          <w:color w:val="auto"/>
          <w:sz w:val="24"/>
          <w:szCs w:val="20"/>
          <w:highlight w:val="none"/>
          <w:lang w:val="en-US" w:eastAsia="zh-CN"/>
        </w:rPr>
        <w:t>2</w:t>
      </w:r>
      <w:r>
        <w:rPr>
          <w:rFonts w:ascii="Times New Roman" w:hAnsi="Times New Roman" w:eastAsia="宋体"/>
          <w:b/>
          <w:color w:val="auto"/>
          <w:sz w:val="24"/>
          <w:szCs w:val="20"/>
          <w:highlight w:val="none"/>
        </w:rPr>
        <w:t>、预测结果与分析</w:t>
      </w:r>
    </w:p>
    <w:p w14:paraId="77128E14">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通过上述方法预测计算出本项目投产1年、5年、10年、20年后的下风向最大落地浓度处</w:t>
      </w:r>
      <w:r>
        <w:rPr>
          <w:rFonts w:hint="eastAsia" w:ascii="Times New Roman" w:hAnsi="Times New Roman" w:eastAsia="宋体" w:cs="Times New Roman"/>
          <w:color w:val="auto"/>
          <w:kern w:val="2"/>
          <w:sz w:val="24"/>
          <w:szCs w:val="22"/>
          <w:highlight w:val="none"/>
          <w:lang w:val="en-US" w:eastAsia="zh-CN" w:bidi="ar-SA"/>
        </w:rPr>
        <w:t>石油烃（有机废气）</w:t>
      </w:r>
      <w:r>
        <w:rPr>
          <w:rFonts w:ascii="Times New Roman" w:hAnsi="Times New Roman" w:eastAsia="宋体"/>
          <w:color w:val="auto"/>
          <w:sz w:val="24"/>
          <w:szCs w:val="24"/>
          <w:highlight w:val="none"/>
        </w:rPr>
        <w:t>输入量及与背景值叠加后的结果，见表5.</w:t>
      </w:r>
      <w:r>
        <w:rPr>
          <w:rFonts w:hint="eastAsia" w:ascii="Times New Roman" w:hAnsi="Times New Roman" w:eastAsia="宋体"/>
          <w:color w:val="auto"/>
          <w:sz w:val="24"/>
          <w:szCs w:val="24"/>
          <w:highlight w:val="none"/>
          <w:lang w:val="en-US" w:eastAsia="zh-CN"/>
        </w:rPr>
        <w:t>2.6</w:t>
      </w:r>
      <w:r>
        <w:rPr>
          <w:rFonts w:ascii="Times New Roman" w:hAnsi="Times New Roman" w:eastAsia="宋体"/>
          <w:color w:val="auto"/>
          <w:sz w:val="24"/>
          <w:szCs w:val="24"/>
          <w:highlight w:val="none"/>
        </w:rPr>
        <w:t>-</w:t>
      </w:r>
      <w:r>
        <w:rPr>
          <w:rFonts w:hint="eastAsia" w:ascii="Times New Roman" w:hAnsi="Times New Roman" w:eastAsia="宋体"/>
          <w:color w:val="auto"/>
          <w:sz w:val="24"/>
          <w:szCs w:val="24"/>
          <w:highlight w:val="none"/>
          <w:lang w:val="en-US" w:eastAsia="zh-CN"/>
        </w:rPr>
        <w:t>4</w:t>
      </w:r>
      <w:r>
        <w:rPr>
          <w:rFonts w:ascii="Times New Roman" w:hAnsi="Times New Roman" w:eastAsia="宋体"/>
          <w:color w:val="auto"/>
          <w:sz w:val="24"/>
          <w:szCs w:val="24"/>
          <w:highlight w:val="none"/>
        </w:rPr>
        <w:t>。</w:t>
      </w:r>
    </w:p>
    <w:p w14:paraId="3B4DE7A9">
      <w:pPr>
        <w:bidi w:val="0"/>
        <w:jc w:val="center"/>
        <w:rPr>
          <w:b/>
          <w:bCs/>
          <w:color w:val="auto"/>
          <w:sz w:val="24"/>
          <w:szCs w:val="24"/>
          <w:highlight w:val="none"/>
          <w:lang w:val="en-US" w:eastAsia="zh-CN"/>
        </w:rPr>
      </w:pPr>
      <w:bookmarkStart w:id="494" w:name="_Ref84905267"/>
      <w:r>
        <w:rPr>
          <w:rFonts w:hint="eastAsia"/>
          <w:b/>
          <w:bCs/>
          <w:color w:val="auto"/>
          <w:sz w:val="24"/>
          <w:szCs w:val="24"/>
          <w:highlight w:val="none"/>
          <w:lang w:val="en-US" w:eastAsia="zh-CN"/>
        </w:rPr>
        <w:t>表</w:t>
      </w:r>
      <w:bookmarkEnd w:id="494"/>
      <w:r>
        <w:rPr>
          <w:rFonts w:hint="eastAsia"/>
          <w:b/>
          <w:bCs/>
          <w:color w:val="auto"/>
          <w:sz w:val="24"/>
          <w:szCs w:val="24"/>
          <w:highlight w:val="none"/>
          <w:lang w:val="en-US" w:eastAsia="zh-CN"/>
        </w:rPr>
        <w:t>5.2.6-4  土壤环境影响预测结果表（单位g/kg）</w:t>
      </w:r>
    </w:p>
    <w:tbl>
      <w:tblPr>
        <w:tblStyle w:val="535"/>
        <w:tblpPr w:leftFromText="181" w:rightFromText="181" w:bottomFromText="142"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1776"/>
        <w:gridCol w:w="1395"/>
        <w:gridCol w:w="1230"/>
        <w:gridCol w:w="1350"/>
        <w:gridCol w:w="1348"/>
        <w:gridCol w:w="1263"/>
      </w:tblGrid>
      <w:tr w14:paraId="3E940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62" w:type="pct"/>
            <w:vMerge w:val="restart"/>
            <w:noWrap w:val="0"/>
            <w:vAlign w:val="center"/>
          </w:tcPr>
          <w:p w14:paraId="6CFACEA6">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项目</w:t>
            </w:r>
          </w:p>
        </w:tc>
        <w:tc>
          <w:tcPr>
            <w:tcW w:w="3937" w:type="pct"/>
            <w:gridSpan w:val="5"/>
            <w:noWrap w:val="0"/>
            <w:vAlign w:val="center"/>
          </w:tcPr>
          <w:p w14:paraId="64A7A46E">
            <w:pPr>
              <w:widowControl w:val="0"/>
              <w:spacing w:line="240" w:lineRule="auto"/>
              <w:ind w:firstLine="0" w:firstLineChars="0"/>
              <w:jc w:val="center"/>
              <w:textAlignment w:val="center"/>
              <w:rPr>
                <w:rFonts w:ascii="Times New Roman" w:hAnsi="Times New Roman" w:eastAsia="宋体" w:cs="Times New Roman"/>
                <w:b w:val="0"/>
                <w:i w:val="0"/>
                <w:color w:val="auto"/>
                <w:kern w:val="0"/>
                <w:sz w:val="21"/>
                <w:szCs w:val="20"/>
                <w:highlight w:val="none"/>
                <w:lang w:val="en-US" w:eastAsia="zh-CN" w:bidi="ar-SA"/>
              </w:rPr>
            </w:pPr>
            <w:r>
              <w:rPr>
                <w:rFonts w:hint="eastAsia" w:ascii="Times New Roman" w:hAnsi="Times New Roman" w:eastAsia="宋体" w:cs="Times New Roman"/>
                <w:b/>
                <w:i w:val="0"/>
                <w:color w:val="auto"/>
                <w:kern w:val="0"/>
                <w:sz w:val="21"/>
                <w:szCs w:val="20"/>
                <w:highlight w:val="none"/>
                <w:lang w:val="en-US" w:eastAsia="zh-CN" w:bidi="ar-SA"/>
              </w:rPr>
              <w:t>持续年份（评价因子：</w:t>
            </w:r>
            <w:r>
              <w:rPr>
                <w:rFonts w:hint="eastAsia" w:ascii="Times New Roman" w:hAnsi="Times New Roman" w:eastAsia="宋体" w:cs="Times New Roman"/>
                <w:color w:val="auto"/>
                <w:kern w:val="0"/>
                <w:sz w:val="21"/>
                <w:szCs w:val="20"/>
                <w:highlight w:val="none"/>
                <w:lang w:val="en-US" w:eastAsia="zh-CN" w:bidi="ar-SA"/>
              </w:rPr>
              <w:t>石油烃</w:t>
            </w:r>
            <w:r>
              <w:rPr>
                <w:rFonts w:hint="eastAsia" w:ascii="Times New Roman" w:hAnsi="Times New Roman" w:eastAsia="宋体" w:cs="Times New Roman"/>
                <w:b/>
                <w:i w:val="0"/>
                <w:color w:val="auto"/>
                <w:kern w:val="0"/>
                <w:sz w:val="21"/>
                <w:szCs w:val="20"/>
                <w:highlight w:val="none"/>
                <w:lang w:val="en-US" w:eastAsia="zh-CN" w:bidi="ar-SA"/>
              </w:rPr>
              <w:t>）</w:t>
            </w:r>
          </w:p>
        </w:tc>
      </w:tr>
      <w:tr w14:paraId="6D371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62" w:type="pct"/>
            <w:vMerge w:val="continue"/>
            <w:noWrap w:val="0"/>
            <w:vAlign w:val="center"/>
          </w:tcPr>
          <w:p w14:paraId="58524F8C">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p>
        </w:tc>
        <w:tc>
          <w:tcPr>
            <w:tcW w:w="834" w:type="pct"/>
            <w:noWrap w:val="0"/>
            <w:vAlign w:val="center"/>
          </w:tcPr>
          <w:p w14:paraId="4C6A8F40">
            <w:pPr>
              <w:widowControl w:val="0"/>
              <w:spacing w:line="240" w:lineRule="auto"/>
              <w:ind w:firstLine="0" w:firstLineChars="0"/>
              <w:jc w:val="center"/>
              <w:textAlignment w:val="center"/>
              <w:rPr>
                <w:rFonts w:ascii="Times New Roman" w:hAnsi="Times New Roman" w:eastAsia="宋体" w:cs="Times New Roman"/>
                <w:b/>
                <w:bCs/>
                <w:color w:val="auto"/>
                <w:kern w:val="0"/>
                <w:sz w:val="21"/>
                <w:szCs w:val="20"/>
                <w:highlight w:val="none"/>
                <w:lang w:val="en-US" w:eastAsia="zh-CN" w:bidi="ar-SA"/>
              </w:rPr>
            </w:pPr>
            <w:r>
              <w:rPr>
                <w:rFonts w:hint="eastAsia" w:ascii="Times New Roman" w:hAnsi="Times New Roman" w:eastAsia="宋体" w:cs="Times New Roman"/>
                <w:b/>
                <w:bCs/>
                <w:color w:val="auto"/>
                <w:kern w:val="0"/>
                <w:sz w:val="21"/>
                <w:szCs w:val="20"/>
                <w:highlight w:val="none"/>
                <w:lang w:val="en-US" w:eastAsia="zh-CN" w:bidi="ar-SA"/>
              </w:rPr>
              <w:t>1年</w:t>
            </w:r>
          </w:p>
        </w:tc>
        <w:tc>
          <w:tcPr>
            <w:tcW w:w="735" w:type="pct"/>
            <w:noWrap w:val="0"/>
            <w:vAlign w:val="center"/>
          </w:tcPr>
          <w:p w14:paraId="3A6D3C60">
            <w:pPr>
              <w:widowControl w:val="0"/>
              <w:spacing w:line="240" w:lineRule="auto"/>
              <w:ind w:firstLine="0" w:firstLineChars="0"/>
              <w:jc w:val="center"/>
              <w:textAlignment w:val="center"/>
              <w:rPr>
                <w:rFonts w:ascii="Times New Roman" w:hAnsi="Times New Roman" w:eastAsia="宋体" w:cs="Times New Roman"/>
                <w:b/>
                <w:bCs/>
                <w:color w:val="auto"/>
                <w:kern w:val="0"/>
                <w:sz w:val="21"/>
                <w:szCs w:val="20"/>
                <w:highlight w:val="none"/>
                <w:lang w:val="en-US" w:eastAsia="zh-CN" w:bidi="ar-SA"/>
              </w:rPr>
            </w:pPr>
            <w:r>
              <w:rPr>
                <w:rFonts w:hint="eastAsia" w:ascii="Times New Roman" w:hAnsi="Times New Roman" w:eastAsia="宋体" w:cs="Times New Roman"/>
                <w:b/>
                <w:bCs/>
                <w:color w:val="auto"/>
                <w:kern w:val="0"/>
                <w:sz w:val="21"/>
                <w:szCs w:val="20"/>
                <w:highlight w:val="none"/>
                <w:lang w:val="en-US" w:eastAsia="zh-CN" w:bidi="ar-SA"/>
              </w:rPr>
              <w:t>5年</w:t>
            </w:r>
          </w:p>
        </w:tc>
        <w:tc>
          <w:tcPr>
            <w:tcW w:w="807" w:type="pct"/>
            <w:noWrap w:val="0"/>
            <w:vAlign w:val="center"/>
          </w:tcPr>
          <w:p w14:paraId="6128DD33">
            <w:pPr>
              <w:widowControl w:val="0"/>
              <w:spacing w:line="240" w:lineRule="auto"/>
              <w:ind w:firstLine="0" w:firstLineChars="0"/>
              <w:jc w:val="center"/>
              <w:textAlignment w:val="center"/>
              <w:rPr>
                <w:rFonts w:ascii="Times New Roman" w:hAnsi="Times New Roman" w:eastAsia="宋体" w:cs="Times New Roman"/>
                <w:b/>
                <w:bCs/>
                <w:color w:val="auto"/>
                <w:kern w:val="0"/>
                <w:sz w:val="21"/>
                <w:szCs w:val="20"/>
                <w:highlight w:val="none"/>
                <w:lang w:val="en-US" w:eastAsia="zh-CN" w:bidi="ar-SA"/>
              </w:rPr>
            </w:pPr>
            <w:r>
              <w:rPr>
                <w:rFonts w:hint="eastAsia" w:ascii="Times New Roman" w:hAnsi="Times New Roman" w:eastAsia="宋体" w:cs="Times New Roman"/>
                <w:b/>
                <w:bCs/>
                <w:color w:val="auto"/>
                <w:kern w:val="0"/>
                <w:sz w:val="21"/>
                <w:szCs w:val="20"/>
                <w:highlight w:val="none"/>
                <w:lang w:val="en-US" w:eastAsia="zh-CN" w:bidi="ar-SA"/>
              </w:rPr>
              <w:t>1</w:t>
            </w:r>
            <w:r>
              <w:rPr>
                <w:rFonts w:ascii="Times New Roman" w:hAnsi="Times New Roman" w:eastAsia="宋体" w:cs="Times New Roman"/>
                <w:b/>
                <w:bCs/>
                <w:color w:val="auto"/>
                <w:kern w:val="0"/>
                <w:sz w:val="21"/>
                <w:szCs w:val="20"/>
                <w:highlight w:val="none"/>
                <w:lang w:val="en-US" w:eastAsia="zh-CN" w:bidi="ar-SA"/>
              </w:rPr>
              <w:t>0</w:t>
            </w:r>
            <w:r>
              <w:rPr>
                <w:rFonts w:hint="eastAsia" w:ascii="Times New Roman" w:hAnsi="Times New Roman" w:eastAsia="宋体" w:cs="Times New Roman"/>
                <w:b/>
                <w:bCs/>
                <w:color w:val="auto"/>
                <w:kern w:val="0"/>
                <w:sz w:val="21"/>
                <w:szCs w:val="20"/>
                <w:highlight w:val="none"/>
                <w:lang w:val="en-US" w:eastAsia="zh-CN" w:bidi="ar-SA"/>
              </w:rPr>
              <w:t>年</w:t>
            </w:r>
          </w:p>
        </w:tc>
        <w:tc>
          <w:tcPr>
            <w:tcW w:w="806" w:type="pct"/>
            <w:noWrap w:val="0"/>
            <w:vAlign w:val="center"/>
          </w:tcPr>
          <w:p w14:paraId="616BE01E">
            <w:pPr>
              <w:widowControl w:val="0"/>
              <w:spacing w:line="240" w:lineRule="auto"/>
              <w:ind w:firstLine="0" w:firstLineChars="0"/>
              <w:jc w:val="center"/>
              <w:textAlignment w:val="center"/>
              <w:rPr>
                <w:rFonts w:ascii="Times New Roman" w:hAnsi="Times New Roman" w:eastAsia="宋体" w:cs="Times New Roman"/>
                <w:b/>
                <w:bCs/>
                <w:color w:val="auto"/>
                <w:kern w:val="0"/>
                <w:sz w:val="21"/>
                <w:szCs w:val="20"/>
                <w:highlight w:val="none"/>
                <w:lang w:val="en-US" w:eastAsia="zh-CN" w:bidi="ar-SA"/>
              </w:rPr>
            </w:pPr>
            <w:r>
              <w:rPr>
                <w:rFonts w:hint="eastAsia" w:ascii="Times New Roman" w:hAnsi="Times New Roman" w:eastAsia="宋体" w:cs="Times New Roman"/>
                <w:b/>
                <w:bCs/>
                <w:color w:val="auto"/>
                <w:kern w:val="0"/>
                <w:sz w:val="21"/>
                <w:szCs w:val="20"/>
                <w:highlight w:val="none"/>
                <w:lang w:val="en-US" w:eastAsia="zh-CN" w:bidi="ar-SA"/>
              </w:rPr>
              <w:t>2</w:t>
            </w:r>
            <w:r>
              <w:rPr>
                <w:rFonts w:ascii="Times New Roman" w:hAnsi="Times New Roman" w:eastAsia="宋体" w:cs="Times New Roman"/>
                <w:b/>
                <w:bCs/>
                <w:color w:val="auto"/>
                <w:kern w:val="0"/>
                <w:sz w:val="21"/>
                <w:szCs w:val="20"/>
                <w:highlight w:val="none"/>
                <w:lang w:val="en-US" w:eastAsia="zh-CN" w:bidi="ar-SA"/>
              </w:rPr>
              <w:t>0</w:t>
            </w:r>
            <w:r>
              <w:rPr>
                <w:rFonts w:hint="eastAsia" w:ascii="Times New Roman" w:hAnsi="Times New Roman" w:eastAsia="宋体" w:cs="Times New Roman"/>
                <w:b/>
                <w:bCs/>
                <w:color w:val="auto"/>
                <w:kern w:val="0"/>
                <w:sz w:val="21"/>
                <w:szCs w:val="20"/>
                <w:highlight w:val="none"/>
                <w:lang w:val="en-US" w:eastAsia="zh-CN" w:bidi="ar-SA"/>
              </w:rPr>
              <w:t>年</w:t>
            </w:r>
          </w:p>
        </w:tc>
        <w:tc>
          <w:tcPr>
            <w:tcW w:w="753" w:type="pct"/>
            <w:noWrap w:val="0"/>
            <w:vAlign w:val="center"/>
          </w:tcPr>
          <w:p w14:paraId="1F340145">
            <w:pPr>
              <w:widowControl w:val="0"/>
              <w:spacing w:line="240" w:lineRule="auto"/>
              <w:ind w:firstLine="0" w:firstLineChars="0"/>
              <w:jc w:val="center"/>
              <w:textAlignment w:val="center"/>
              <w:rPr>
                <w:rFonts w:ascii="Times New Roman" w:hAnsi="Times New Roman" w:eastAsia="宋体" w:cs="Times New Roman"/>
                <w:b/>
                <w:bCs/>
                <w:color w:val="auto"/>
                <w:kern w:val="0"/>
                <w:sz w:val="21"/>
                <w:szCs w:val="20"/>
                <w:highlight w:val="none"/>
                <w:lang w:val="en-US" w:eastAsia="zh-CN" w:bidi="ar-SA"/>
              </w:rPr>
            </w:pPr>
            <w:r>
              <w:rPr>
                <w:rFonts w:hint="eastAsia" w:ascii="Times New Roman" w:hAnsi="Times New Roman" w:eastAsia="宋体" w:cs="Times New Roman"/>
                <w:b/>
                <w:bCs/>
                <w:color w:val="auto"/>
                <w:kern w:val="0"/>
                <w:sz w:val="21"/>
                <w:szCs w:val="20"/>
                <w:highlight w:val="none"/>
                <w:lang w:val="en-US" w:eastAsia="zh-CN" w:bidi="ar-SA"/>
              </w:rPr>
              <w:t>3</w:t>
            </w:r>
            <w:r>
              <w:rPr>
                <w:rFonts w:ascii="Times New Roman" w:hAnsi="Times New Roman" w:eastAsia="宋体" w:cs="Times New Roman"/>
                <w:b/>
                <w:bCs/>
                <w:color w:val="auto"/>
                <w:kern w:val="0"/>
                <w:sz w:val="21"/>
                <w:szCs w:val="20"/>
                <w:highlight w:val="none"/>
                <w:lang w:val="en-US" w:eastAsia="zh-CN" w:bidi="ar-SA"/>
              </w:rPr>
              <w:t>0</w:t>
            </w:r>
            <w:r>
              <w:rPr>
                <w:rFonts w:hint="eastAsia" w:ascii="Times New Roman" w:hAnsi="Times New Roman" w:eastAsia="宋体" w:cs="Times New Roman"/>
                <w:b/>
                <w:bCs/>
                <w:color w:val="auto"/>
                <w:kern w:val="0"/>
                <w:sz w:val="21"/>
                <w:szCs w:val="20"/>
                <w:highlight w:val="none"/>
                <w:lang w:val="en-US" w:eastAsia="zh-CN" w:bidi="ar-SA"/>
              </w:rPr>
              <w:t>年</w:t>
            </w:r>
          </w:p>
        </w:tc>
      </w:tr>
      <w:tr w14:paraId="25E20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62" w:type="pct"/>
            <w:noWrap w:val="0"/>
            <w:vAlign w:val="center"/>
          </w:tcPr>
          <w:p w14:paraId="440EAF50">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增量</w:t>
            </w:r>
            <w:r>
              <w:rPr>
                <w:rFonts w:ascii="Times New Roman" w:hAnsi="Times New Roman" w:eastAsia="宋体" w:cs="Times New Roman"/>
                <w:color w:val="auto"/>
                <w:kern w:val="0"/>
                <w:sz w:val="21"/>
                <w:szCs w:val="20"/>
                <w:highlight w:val="none"/>
                <w:lang w:val="en-US" w:eastAsia="zh-CN" w:bidi="ar-SA"/>
              </w:rPr>
              <w:t>ΔS</w:t>
            </w:r>
          </w:p>
        </w:tc>
        <w:tc>
          <w:tcPr>
            <w:tcW w:w="834" w:type="pct"/>
            <w:noWrap w:val="0"/>
            <w:vAlign w:val="center"/>
          </w:tcPr>
          <w:p w14:paraId="66716A37">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0.039</w:t>
            </w:r>
          </w:p>
        </w:tc>
        <w:tc>
          <w:tcPr>
            <w:tcW w:w="735" w:type="pct"/>
            <w:noWrap w:val="0"/>
            <w:vAlign w:val="center"/>
          </w:tcPr>
          <w:p w14:paraId="45E543B4">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0.195</w:t>
            </w:r>
          </w:p>
        </w:tc>
        <w:tc>
          <w:tcPr>
            <w:tcW w:w="807" w:type="pct"/>
            <w:noWrap w:val="0"/>
            <w:vAlign w:val="center"/>
          </w:tcPr>
          <w:p w14:paraId="7824032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0.39</w:t>
            </w:r>
          </w:p>
        </w:tc>
        <w:tc>
          <w:tcPr>
            <w:tcW w:w="806" w:type="pct"/>
            <w:noWrap w:val="0"/>
            <w:vAlign w:val="center"/>
          </w:tcPr>
          <w:p w14:paraId="0DA4F650">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0.78</w:t>
            </w:r>
          </w:p>
        </w:tc>
        <w:tc>
          <w:tcPr>
            <w:tcW w:w="753" w:type="pct"/>
            <w:noWrap w:val="0"/>
            <w:vAlign w:val="center"/>
          </w:tcPr>
          <w:p w14:paraId="684ED9D3">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1.17</w:t>
            </w:r>
          </w:p>
        </w:tc>
      </w:tr>
      <w:tr w14:paraId="46D1D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62" w:type="pct"/>
            <w:noWrap w:val="0"/>
            <w:vAlign w:val="center"/>
          </w:tcPr>
          <w:p w14:paraId="6CC2123F">
            <w:pPr>
              <w:widowControl w:val="0"/>
              <w:spacing w:line="240" w:lineRule="auto"/>
              <w:ind w:firstLine="0" w:firstLineChars="0"/>
              <w:jc w:val="center"/>
              <w:textAlignment w:val="center"/>
              <w:rPr>
                <w:rFonts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预测值S</w:t>
            </w:r>
          </w:p>
        </w:tc>
        <w:tc>
          <w:tcPr>
            <w:tcW w:w="834" w:type="pct"/>
            <w:noWrap w:val="0"/>
            <w:vAlign w:val="center"/>
          </w:tcPr>
          <w:p w14:paraId="149B2FED">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37.039</w:t>
            </w:r>
          </w:p>
        </w:tc>
        <w:tc>
          <w:tcPr>
            <w:tcW w:w="735" w:type="pct"/>
            <w:noWrap w:val="0"/>
            <w:vAlign w:val="center"/>
          </w:tcPr>
          <w:p w14:paraId="09F6136D">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37.195</w:t>
            </w:r>
          </w:p>
        </w:tc>
        <w:tc>
          <w:tcPr>
            <w:tcW w:w="807" w:type="pct"/>
            <w:noWrap w:val="0"/>
            <w:vAlign w:val="center"/>
          </w:tcPr>
          <w:p w14:paraId="1EB1198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37.39</w:t>
            </w:r>
          </w:p>
        </w:tc>
        <w:tc>
          <w:tcPr>
            <w:tcW w:w="806" w:type="pct"/>
            <w:noWrap w:val="0"/>
            <w:vAlign w:val="center"/>
          </w:tcPr>
          <w:p w14:paraId="4CF8CFF0">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37.78</w:t>
            </w:r>
          </w:p>
        </w:tc>
        <w:tc>
          <w:tcPr>
            <w:tcW w:w="753" w:type="pct"/>
            <w:noWrap w:val="0"/>
            <w:vAlign w:val="center"/>
          </w:tcPr>
          <w:p w14:paraId="78991024">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38.17</w:t>
            </w:r>
          </w:p>
        </w:tc>
      </w:tr>
      <w:tr w14:paraId="2C830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62" w:type="pct"/>
            <w:noWrap w:val="0"/>
            <w:vAlign w:val="center"/>
          </w:tcPr>
          <w:p w14:paraId="23FA50AF">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ascii="Times New Roman" w:hAnsi="Times New Roman" w:eastAsia="宋体"/>
                <w:color w:val="auto"/>
                <w:szCs w:val="21"/>
                <w:highlight w:val="none"/>
              </w:rPr>
              <w:t>第</w:t>
            </w:r>
            <w:r>
              <w:rPr>
                <w:rFonts w:hint="eastAsia" w:ascii="Times New Roman" w:hAnsi="Times New Roman" w:eastAsia="宋体"/>
                <w:color w:val="auto"/>
                <w:szCs w:val="21"/>
                <w:highlight w:val="none"/>
                <w:lang w:val="en-US" w:eastAsia="zh-CN"/>
              </w:rPr>
              <w:t>一</w:t>
            </w:r>
            <w:r>
              <w:rPr>
                <w:rFonts w:ascii="Times New Roman" w:hAnsi="Times New Roman" w:eastAsia="宋体"/>
                <w:color w:val="auto"/>
                <w:szCs w:val="21"/>
                <w:highlight w:val="none"/>
              </w:rPr>
              <w:t>类用地标准值</w:t>
            </w:r>
          </w:p>
        </w:tc>
        <w:tc>
          <w:tcPr>
            <w:tcW w:w="834" w:type="pct"/>
            <w:noWrap w:val="0"/>
            <w:vAlign w:val="center"/>
          </w:tcPr>
          <w:p w14:paraId="3123339D">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826</w:t>
            </w:r>
          </w:p>
        </w:tc>
        <w:tc>
          <w:tcPr>
            <w:tcW w:w="1229" w:type="dxa"/>
            <w:noWrap w:val="0"/>
            <w:vAlign w:val="center"/>
          </w:tcPr>
          <w:p w14:paraId="6624CAF1">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826</w:t>
            </w:r>
          </w:p>
        </w:tc>
        <w:tc>
          <w:tcPr>
            <w:tcW w:w="1349" w:type="dxa"/>
            <w:noWrap w:val="0"/>
            <w:vAlign w:val="center"/>
          </w:tcPr>
          <w:p w14:paraId="593E36FA">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826</w:t>
            </w:r>
          </w:p>
        </w:tc>
        <w:tc>
          <w:tcPr>
            <w:tcW w:w="1347" w:type="dxa"/>
            <w:noWrap w:val="0"/>
            <w:vAlign w:val="center"/>
          </w:tcPr>
          <w:p w14:paraId="76131656">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826</w:t>
            </w:r>
          </w:p>
        </w:tc>
        <w:tc>
          <w:tcPr>
            <w:tcW w:w="1262" w:type="dxa"/>
            <w:noWrap w:val="0"/>
            <w:vAlign w:val="center"/>
          </w:tcPr>
          <w:p w14:paraId="2E32C826">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826</w:t>
            </w:r>
          </w:p>
        </w:tc>
      </w:tr>
      <w:tr w14:paraId="68A00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40" w:hRule="atLeast"/>
          <w:jc w:val="center"/>
        </w:trPr>
        <w:tc>
          <w:tcPr>
            <w:tcW w:w="1062" w:type="pct"/>
            <w:noWrap w:val="0"/>
            <w:vAlign w:val="center"/>
          </w:tcPr>
          <w:p w14:paraId="4F2EB3C0">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ascii="Times New Roman" w:hAnsi="Times New Roman" w:eastAsia="宋体"/>
                <w:color w:val="auto"/>
                <w:szCs w:val="21"/>
                <w:highlight w:val="none"/>
              </w:rPr>
              <w:t>第二类用地标准值</w:t>
            </w:r>
          </w:p>
        </w:tc>
        <w:tc>
          <w:tcPr>
            <w:tcW w:w="834" w:type="pct"/>
            <w:noWrap w:val="0"/>
            <w:vAlign w:val="center"/>
          </w:tcPr>
          <w:p w14:paraId="260797C5">
            <w:pPr>
              <w:widowControl w:val="0"/>
              <w:spacing w:line="240" w:lineRule="auto"/>
              <w:ind w:firstLine="0" w:firstLineChars="0"/>
              <w:jc w:val="center"/>
              <w:textAlignment w:val="center"/>
              <w:rPr>
                <w:rFonts w:hint="default"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4500</w:t>
            </w:r>
          </w:p>
        </w:tc>
        <w:tc>
          <w:tcPr>
            <w:tcW w:w="1229" w:type="dxa"/>
            <w:noWrap w:val="0"/>
            <w:vAlign w:val="center"/>
          </w:tcPr>
          <w:p w14:paraId="4D925C21">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4500</w:t>
            </w:r>
          </w:p>
        </w:tc>
        <w:tc>
          <w:tcPr>
            <w:tcW w:w="1349" w:type="dxa"/>
            <w:noWrap w:val="0"/>
            <w:vAlign w:val="center"/>
          </w:tcPr>
          <w:p w14:paraId="18639936">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4500</w:t>
            </w:r>
          </w:p>
        </w:tc>
        <w:tc>
          <w:tcPr>
            <w:tcW w:w="1347" w:type="dxa"/>
            <w:noWrap w:val="0"/>
            <w:vAlign w:val="center"/>
          </w:tcPr>
          <w:p w14:paraId="20D54926">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4500</w:t>
            </w:r>
          </w:p>
        </w:tc>
        <w:tc>
          <w:tcPr>
            <w:tcW w:w="1262" w:type="dxa"/>
            <w:noWrap w:val="0"/>
            <w:vAlign w:val="center"/>
          </w:tcPr>
          <w:p w14:paraId="74916E03">
            <w:pPr>
              <w:widowControl w:val="0"/>
              <w:spacing w:line="240" w:lineRule="auto"/>
              <w:ind w:firstLine="0" w:firstLineChars="0"/>
              <w:jc w:val="center"/>
              <w:textAlignment w:val="center"/>
              <w:rPr>
                <w:rFonts w:hint="eastAsia" w:ascii="Times New Roman" w:hAnsi="Times New Roman" w:eastAsia="宋体" w:cs="Times New Roman"/>
                <w:color w:val="auto"/>
                <w:kern w:val="0"/>
                <w:sz w:val="21"/>
                <w:szCs w:val="20"/>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bidi="ar-SA"/>
              </w:rPr>
              <w:t>4500</w:t>
            </w:r>
          </w:p>
        </w:tc>
      </w:tr>
    </w:tbl>
    <w:p w14:paraId="14CEACC6">
      <w:pPr>
        <w:snapToGrid w:val="0"/>
        <w:spacing w:line="360" w:lineRule="auto"/>
        <w:ind w:firstLine="480" w:firstLineChars="200"/>
        <w:rPr>
          <w:rFonts w:ascii="Times New Roman" w:hAnsi="Times New Roman"/>
          <w:color w:val="auto"/>
          <w:highlight w:val="none"/>
        </w:rPr>
      </w:pPr>
      <w:r>
        <w:rPr>
          <w:rFonts w:ascii="Times New Roman" w:hAnsi="Times New Roman" w:eastAsia="宋体"/>
          <w:color w:val="auto"/>
          <w:sz w:val="24"/>
          <w:szCs w:val="24"/>
          <w:highlight w:val="none"/>
        </w:rPr>
        <w:t>由表5.2.6-</w:t>
      </w:r>
      <w:r>
        <w:rPr>
          <w:rFonts w:hint="eastAsia" w:ascii="Times New Roman" w:hAnsi="Times New Roman" w:eastAsia="宋体"/>
          <w:color w:val="auto"/>
          <w:sz w:val="24"/>
          <w:szCs w:val="24"/>
          <w:highlight w:val="none"/>
        </w:rPr>
        <w:t>5</w:t>
      </w:r>
      <w:r>
        <w:rPr>
          <w:rFonts w:ascii="Times New Roman" w:hAnsi="Times New Roman" w:eastAsia="宋体"/>
          <w:color w:val="auto"/>
          <w:sz w:val="24"/>
          <w:szCs w:val="24"/>
          <w:highlight w:val="none"/>
        </w:rPr>
        <w:t>预测结果可以看出，正常排放情况下，本项目投产</w:t>
      </w:r>
      <w:r>
        <w:rPr>
          <w:rFonts w:hint="eastAsia" w:ascii="Times New Roman" w:hAnsi="Times New Roman" w:eastAsia="宋体"/>
          <w:color w:val="auto"/>
          <w:sz w:val="24"/>
          <w:szCs w:val="24"/>
          <w:highlight w:val="none"/>
          <w:lang w:val="en-US" w:eastAsia="zh-CN"/>
        </w:rPr>
        <w:t>3</w:t>
      </w:r>
      <w:r>
        <w:rPr>
          <w:rFonts w:ascii="Times New Roman" w:hAnsi="Times New Roman" w:eastAsia="宋体"/>
          <w:color w:val="auto"/>
          <w:sz w:val="24"/>
          <w:szCs w:val="24"/>
          <w:highlight w:val="none"/>
        </w:rPr>
        <w:t>0年后，排放的</w:t>
      </w:r>
      <w:r>
        <w:rPr>
          <w:rFonts w:hint="eastAsia" w:ascii="Times New Roman" w:hAnsi="Times New Roman" w:eastAsia="宋体"/>
          <w:color w:val="auto"/>
          <w:sz w:val="24"/>
          <w:szCs w:val="24"/>
          <w:highlight w:val="none"/>
          <w:lang w:val="en-US" w:eastAsia="zh-CN"/>
        </w:rPr>
        <w:t>石油烃</w:t>
      </w:r>
      <w:r>
        <w:rPr>
          <w:rFonts w:ascii="Times New Roman" w:hAnsi="Times New Roman" w:eastAsia="宋体"/>
          <w:color w:val="auto"/>
          <w:sz w:val="24"/>
          <w:szCs w:val="24"/>
          <w:highlight w:val="none"/>
        </w:rPr>
        <w:t>在落地浓度最大值网格内土壤中的累积叠加背景浓度后满足</w:t>
      </w:r>
      <w:r>
        <w:rPr>
          <w:rFonts w:ascii="Times New Roman" w:hAnsi="Times New Roman" w:eastAsia="宋体"/>
          <w:bCs/>
          <w:color w:val="auto"/>
          <w:sz w:val="24"/>
          <w:szCs w:val="24"/>
          <w:highlight w:val="none"/>
        </w:rPr>
        <w:t>《土壤环境质量建设用地土壤污染风险管控标准（试行）》（GB36600-2018）中</w:t>
      </w:r>
      <w:r>
        <w:rPr>
          <w:rFonts w:ascii="Times New Roman" w:hAnsi="Times New Roman" w:eastAsia="宋体"/>
          <w:color w:val="auto"/>
          <w:sz w:val="24"/>
          <w:szCs w:val="21"/>
          <w:highlight w:val="none"/>
        </w:rPr>
        <w:t>第一类用地和</w:t>
      </w:r>
      <w:r>
        <w:rPr>
          <w:rFonts w:ascii="Times New Roman" w:hAnsi="Times New Roman" w:eastAsia="宋体"/>
          <w:bCs/>
          <w:color w:val="auto"/>
          <w:sz w:val="24"/>
          <w:szCs w:val="24"/>
          <w:highlight w:val="none"/>
        </w:rPr>
        <w:t>第二类用地筛选值标准</w:t>
      </w:r>
      <w:r>
        <w:rPr>
          <w:rFonts w:ascii="Times New Roman" w:hAnsi="Times New Roman" w:eastAsia="宋体"/>
          <w:color w:val="auto"/>
          <w:sz w:val="24"/>
          <w:szCs w:val="24"/>
          <w:highlight w:val="none"/>
        </w:rPr>
        <w:t>。本项目大气沉降对土壤环境的影响可以接受。</w:t>
      </w:r>
    </w:p>
    <w:p w14:paraId="658FD02D">
      <w:pPr>
        <w:pStyle w:val="5"/>
        <w:rPr>
          <w:color w:val="auto"/>
          <w:highlight w:val="none"/>
        </w:rPr>
      </w:pPr>
      <w:r>
        <w:rPr>
          <w:color w:val="auto"/>
          <w:highlight w:val="none"/>
        </w:rPr>
        <w:t>5.2.6.</w:t>
      </w:r>
      <w:r>
        <w:rPr>
          <w:rFonts w:hint="eastAsia"/>
          <w:color w:val="auto"/>
          <w:highlight w:val="none"/>
        </w:rPr>
        <w:t>5土壤环境影响分析结论</w:t>
      </w:r>
    </w:p>
    <w:p w14:paraId="0934743F">
      <w:pPr>
        <w:snapToGrid w:val="0"/>
        <w:spacing w:line="360" w:lineRule="auto"/>
        <w:ind w:firstLine="480" w:firstLineChars="200"/>
        <w:rPr>
          <w:rFonts w:hint="eastAsia"/>
          <w:color w:val="auto"/>
          <w:highlight w:val="none"/>
        </w:rPr>
      </w:pPr>
      <w:r>
        <w:rPr>
          <w:rFonts w:ascii="Times New Roman" w:hAnsi="Times New Roman" w:eastAsia="宋体"/>
          <w:color w:val="auto"/>
          <w:kern w:val="0"/>
          <w:sz w:val="24"/>
          <w:szCs w:val="24"/>
          <w:highlight w:val="none"/>
          <w:lang w:bidi="en-US"/>
        </w:rPr>
        <w:t>综合上述分析及预测结果，项目的</w:t>
      </w:r>
      <w:r>
        <w:rPr>
          <w:rFonts w:hint="eastAsia" w:ascii="Times New Roman" w:hAnsi="Times New Roman" w:eastAsia="宋体"/>
          <w:color w:val="auto"/>
          <w:kern w:val="0"/>
          <w:sz w:val="24"/>
          <w:szCs w:val="24"/>
          <w:highlight w:val="none"/>
          <w:lang w:val="en-US" w:eastAsia="zh-CN" w:bidi="en-US"/>
        </w:rPr>
        <w:t>储罐区、</w:t>
      </w:r>
      <w:r>
        <w:rPr>
          <w:rFonts w:ascii="Times New Roman" w:hAnsi="Times New Roman" w:eastAsia="宋体"/>
          <w:color w:val="auto"/>
          <w:kern w:val="0"/>
          <w:sz w:val="24"/>
          <w:szCs w:val="24"/>
          <w:highlight w:val="none"/>
          <w:lang w:bidi="en-US"/>
        </w:rPr>
        <w:t>危废库、</w:t>
      </w:r>
      <w:r>
        <w:rPr>
          <w:rFonts w:hint="eastAsia" w:ascii="Times New Roman" w:hAnsi="Times New Roman" w:eastAsia="宋体"/>
          <w:color w:val="auto"/>
          <w:kern w:val="0"/>
          <w:sz w:val="24"/>
          <w:szCs w:val="24"/>
          <w:highlight w:val="none"/>
          <w:lang w:val="en-US" w:eastAsia="zh-CN" w:bidi="en-US"/>
        </w:rPr>
        <w:t>隔油池</w:t>
      </w:r>
      <w:r>
        <w:rPr>
          <w:rFonts w:hint="eastAsia" w:ascii="Times New Roman" w:hAnsi="Times New Roman" w:eastAsia="宋体"/>
          <w:color w:val="auto"/>
          <w:kern w:val="0"/>
          <w:sz w:val="24"/>
          <w:szCs w:val="24"/>
          <w:highlight w:val="none"/>
          <w:lang w:bidi="en-US"/>
        </w:rPr>
        <w:t>等区域</w:t>
      </w:r>
      <w:r>
        <w:rPr>
          <w:rFonts w:ascii="Times New Roman" w:hAnsi="Times New Roman" w:eastAsia="宋体"/>
          <w:color w:val="auto"/>
          <w:kern w:val="0"/>
          <w:sz w:val="24"/>
          <w:szCs w:val="24"/>
          <w:highlight w:val="none"/>
          <w:lang w:bidi="en-US"/>
        </w:rPr>
        <w:t>均严格按照</w:t>
      </w:r>
      <w:r>
        <w:rPr>
          <w:rFonts w:hint="eastAsia" w:ascii="Times New Roman" w:hAnsi="Times New Roman" w:eastAsia="宋体"/>
          <w:color w:val="auto"/>
          <w:kern w:val="0"/>
          <w:sz w:val="24"/>
          <w:szCs w:val="24"/>
          <w:highlight w:val="none"/>
          <w:lang w:bidi="en-US"/>
        </w:rPr>
        <w:t>《危险废物贮存污染控制标准》（GB18597-2023）</w:t>
      </w:r>
      <w:r>
        <w:rPr>
          <w:rFonts w:ascii="Times New Roman" w:hAnsi="Times New Roman" w:eastAsia="宋体"/>
          <w:color w:val="auto"/>
          <w:kern w:val="0"/>
          <w:sz w:val="24"/>
          <w:szCs w:val="24"/>
          <w:highlight w:val="none"/>
          <w:lang w:bidi="en-US"/>
        </w:rPr>
        <w:t>等有关规范设计，</w:t>
      </w:r>
      <w:r>
        <w:rPr>
          <w:rFonts w:hint="eastAsia" w:ascii="Times New Roman" w:hAnsi="Times New Roman" w:eastAsia="宋体"/>
          <w:color w:val="auto"/>
          <w:kern w:val="0"/>
          <w:sz w:val="24"/>
          <w:szCs w:val="24"/>
          <w:highlight w:val="none"/>
          <w:lang w:val="en-US" w:eastAsia="zh-CN" w:bidi="en-US"/>
        </w:rPr>
        <w:t>储罐区、</w:t>
      </w:r>
      <w:r>
        <w:rPr>
          <w:rFonts w:ascii="Times New Roman" w:hAnsi="Times New Roman" w:eastAsia="宋体"/>
          <w:color w:val="auto"/>
          <w:kern w:val="0"/>
          <w:sz w:val="24"/>
          <w:szCs w:val="24"/>
          <w:highlight w:val="none"/>
          <w:lang w:bidi="en-US"/>
        </w:rPr>
        <w:t>危废库、</w:t>
      </w:r>
      <w:r>
        <w:rPr>
          <w:rFonts w:hint="eastAsia" w:ascii="Times New Roman" w:hAnsi="Times New Roman" w:eastAsia="宋体"/>
          <w:color w:val="auto"/>
          <w:kern w:val="0"/>
          <w:sz w:val="24"/>
          <w:szCs w:val="24"/>
          <w:highlight w:val="none"/>
          <w:lang w:val="en-US" w:eastAsia="zh-CN" w:bidi="en-US"/>
        </w:rPr>
        <w:t>隔油池</w:t>
      </w:r>
      <w:r>
        <w:rPr>
          <w:rFonts w:ascii="Times New Roman" w:hAnsi="Times New Roman" w:eastAsia="宋体"/>
          <w:color w:val="auto"/>
          <w:kern w:val="0"/>
          <w:sz w:val="24"/>
          <w:szCs w:val="24"/>
          <w:highlight w:val="none"/>
          <w:lang w:bidi="en-US"/>
        </w:rPr>
        <w:t>按要求做好防渗措施，项目建成后对周边土壤的影响较小；废气排放对周边土壤</w:t>
      </w:r>
      <w:r>
        <w:rPr>
          <w:rFonts w:hint="eastAsia" w:ascii="Times New Roman" w:hAnsi="Times New Roman" w:eastAsia="宋体"/>
          <w:color w:val="auto"/>
          <w:kern w:val="0"/>
          <w:sz w:val="24"/>
          <w:szCs w:val="24"/>
          <w:highlight w:val="none"/>
          <w:lang w:val="en-US" w:eastAsia="zh-CN" w:bidi="en-US"/>
        </w:rPr>
        <w:t>石油烃</w:t>
      </w:r>
      <w:r>
        <w:rPr>
          <w:rFonts w:ascii="Times New Roman" w:hAnsi="Times New Roman" w:eastAsia="宋体"/>
          <w:color w:val="auto"/>
          <w:kern w:val="0"/>
          <w:sz w:val="24"/>
          <w:szCs w:val="24"/>
          <w:highlight w:val="none"/>
          <w:lang w:bidi="en-US"/>
        </w:rPr>
        <w:t>的贡献浓度很低，各污染物在土壤中的累积量</w:t>
      </w:r>
      <w:r>
        <w:rPr>
          <w:rFonts w:ascii="Times New Roman" w:hAnsi="Times New Roman" w:eastAsia="宋体"/>
          <w:color w:val="auto"/>
          <w:sz w:val="24"/>
          <w:szCs w:val="24"/>
          <w:highlight w:val="none"/>
        </w:rPr>
        <w:t>满足</w:t>
      </w:r>
      <w:r>
        <w:rPr>
          <w:rFonts w:ascii="Times New Roman" w:hAnsi="Times New Roman" w:eastAsia="宋体"/>
          <w:bCs/>
          <w:color w:val="auto"/>
          <w:sz w:val="24"/>
          <w:szCs w:val="24"/>
          <w:highlight w:val="none"/>
        </w:rPr>
        <w:t>《土壤环境质量建设用地土壤污染风险管控标准（试行）》（GB36600-2018）中</w:t>
      </w:r>
      <w:r>
        <w:rPr>
          <w:rFonts w:ascii="Times New Roman" w:hAnsi="Times New Roman" w:eastAsia="宋体"/>
          <w:color w:val="auto"/>
          <w:sz w:val="24"/>
          <w:szCs w:val="21"/>
          <w:highlight w:val="none"/>
        </w:rPr>
        <w:t>第</w:t>
      </w:r>
      <w:r>
        <w:rPr>
          <w:rFonts w:hint="eastAsia" w:ascii="Times New Roman" w:hAnsi="Times New Roman" w:eastAsia="宋体"/>
          <w:color w:val="auto"/>
          <w:sz w:val="24"/>
          <w:szCs w:val="21"/>
          <w:highlight w:val="none"/>
        </w:rPr>
        <w:t>一</w:t>
      </w:r>
      <w:r>
        <w:rPr>
          <w:rFonts w:ascii="Times New Roman" w:hAnsi="Times New Roman" w:eastAsia="宋体"/>
          <w:color w:val="auto"/>
          <w:sz w:val="24"/>
          <w:szCs w:val="21"/>
          <w:highlight w:val="none"/>
        </w:rPr>
        <w:t>类用地和</w:t>
      </w:r>
      <w:r>
        <w:rPr>
          <w:rFonts w:ascii="Times New Roman" w:hAnsi="Times New Roman" w:eastAsia="宋体"/>
          <w:bCs/>
          <w:color w:val="auto"/>
          <w:sz w:val="24"/>
          <w:szCs w:val="24"/>
          <w:highlight w:val="none"/>
        </w:rPr>
        <w:t>第二类用地筛选值标准</w:t>
      </w:r>
      <w:r>
        <w:rPr>
          <w:rFonts w:ascii="Times New Roman" w:hAnsi="Times New Roman" w:eastAsia="宋体"/>
          <w:color w:val="auto"/>
          <w:kern w:val="0"/>
          <w:sz w:val="24"/>
          <w:szCs w:val="24"/>
          <w:highlight w:val="none"/>
          <w:lang w:bidi="en-US"/>
        </w:rPr>
        <w:t>，不会对周边土壤产生明显影响。</w:t>
      </w:r>
    </w:p>
    <w:p w14:paraId="3579BC44">
      <w:pPr>
        <w:pStyle w:val="5"/>
        <w:rPr>
          <w:color w:val="auto"/>
          <w:highlight w:val="none"/>
        </w:rPr>
      </w:pPr>
      <w:r>
        <w:rPr>
          <w:color w:val="auto"/>
          <w:highlight w:val="none"/>
        </w:rPr>
        <w:t>5.2.6.</w:t>
      </w:r>
      <w:r>
        <w:rPr>
          <w:rFonts w:hint="eastAsia"/>
          <w:color w:val="auto"/>
          <w:highlight w:val="none"/>
        </w:rPr>
        <w:t>6土壤环境保护措施与对策</w:t>
      </w:r>
    </w:p>
    <w:p w14:paraId="256713EE">
      <w:pPr>
        <w:snapToGrid w:val="0"/>
        <w:spacing w:line="360" w:lineRule="auto"/>
        <w:ind w:firstLine="480" w:firstLineChars="200"/>
        <w:rPr>
          <w:rFonts w:ascii="Times New Roman" w:hAnsi="Times New Roman" w:eastAsia="宋体"/>
          <w:color w:val="auto"/>
          <w:kern w:val="0"/>
          <w:sz w:val="24"/>
          <w:szCs w:val="24"/>
          <w:highlight w:val="none"/>
          <w:lang w:bidi="en-US"/>
        </w:rPr>
      </w:pPr>
      <w:r>
        <w:rPr>
          <w:rFonts w:ascii="Times New Roman" w:hAnsi="Times New Roman" w:eastAsia="宋体"/>
          <w:color w:val="auto"/>
          <w:kern w:val="0"/>
          <w:sz w:val="24"/>
          <w:szCs w:val="24"/>
          <w:highlight w:val="none"/>
          <w:lang w:bidi="en-US"/>
        </w:rPr>
        <w:t>1、源头控制</w:t>
      </w:r>
    </w:p>
    <w:p w14:paraId="18F0B1C0">
      <w:pPr>
        <w:snapToGrid w:val="0"/>
        <w:spacing w:line="360" w:lineRule="auto"/>
        <w:ind w:firstLine="480" w:firstLineChars="200"/>
        <w:rPr>
          <w:rFonts w:ascii="Times New Roman" w:hAnsi="Times New Roman" w:eastAsia="宋体"/>
          <w:color w:val="auto"/>
          <w:kern w:val="0"/>
          <w:sz w:val="24"/>
          <w:szCs w:val="24"/>
          <w:highlight w:val="none"/>
          <w:lang w:bidi="en-US"/>
        </w:rPr>
      </w:pPr>
      <w:r>
        <w:rPr>
          <w:rFonts w:hint="eastAsia" w:ascii="Times New Roman" w:hAnsi="Times New Roman" w:eastAsia="宋体"/>
          <w:color w:val="auto"/>
          <w:kern w:val="0"/>
          <w:sz w:val="24"/>
          <w:szCs w:val="24"/>
          <w:highlight w:val="none"/>
          <w:lang w:bidi="en-US"/>
        </w:rPr>
        <w:t>本项目大气沉降污染物主要为</w:t>
      </w:r>
      <w:r>
        <w:rPr>
          <w:rFonts w:hint="eastAsia" w:ascii="Times New Roman" w:hAnsi="Times New Roman" w:eastAsia="宋体"/>
          <w:color w:val="auto"/>
          <w:kern w:val="0"/>
          <w:sz w:val="24"/>
          <w:szCs w:val="24"/>
          <w:highlight w:val="none"/>
          <w:lang w:val="en-US" w:eastAsia="zh-CN" w:bidi="en-US"/>
        </w:rPr>
        <w:t>非甲烷总烃、NOx、SO</w:t>
      </w:r>
      <w:r>
        <w:rPr>
          <w:rFonts w:hint="eastAsia" w:ascii="Times New Roman" w:hAnsi="Times New Roman" w:eastAsia="宋体"/>
          <w:color w:val="auto"/>
          <w:kern w:val="0"/>
          <w:sz w:val="24"/>
          <w:szCs w:val="24"/>
          <w:highlight w:val="none"/>
          <w:vertAlign w:val="subscript"/>
          <w:lang w:val="en-US" w:eastAsia="zh-CN" w:bidi="en-US"/>
        </w:rPr>
        <w:t>2</w:t>
      </w:r>
      <w:r>
        <w:rPr>
          <w:rFonts w:hint="eastAsia" w:ascii="Times New Roman" w:hAnsi="Times New Roman" w:eastAsia="宋体"/>
          <w:color w:val="auto"/>
          <w:kern w:val="0"/>
          <w:sz w:val="24"/>
          <w:szCs w:val="24"/>
          <w:highlight w:val="none"/>
          <w:lang w:bidi="en-US"/>
        </w:rPr>
        <w:t>等气体。</w:t>
      </w:r>
      <w:r>
        <w:rPr>
          <w:rFonts w:hint="eastAsia" w:ascii="Times New Roman" w:hAnsi="Times New Roman" w:eastAsia="宋体"/>
          <w:color w:val="auto"/>
          <w:kern w:val="0"/>
          <w:sz w:val="24"/>
          <w:szCs w:val="24"/>
          <w:highlight w:val="none"/>
          <w:lang w:val="en-US" w:eastAsia="zh-CN" w:bidi="en-US"/>
        </w:rPr>
        <w:t>站内在选用材料环节，选用净化生物沼气，</w:t>
      </w:r>
      <w:r>
        <w:rPr>
          <w:rFonts w:hint="eastAsia" w:ascii="Times New Roman" w:hAnsi="Times New Roman" w:eastAsia="宋体"/>
          <w:color w:val="auto"/>
          <w:kern w:val="0"/>
          <w:sz w:val="24"/>
          <w:szCs w:val="24"/>
          <w:highlight w:val="none"/>
          <w:lang w:bidi="en-US"/>
        </w:rPr>
        <w:t>从源头减少</w:t>
      </w:r>
      <w:r>
        <w:rPr>
          <w:rFonts w:hint="eastAsia" w:ascii="Times New Roman" w:hAnsi="Times New Roman" w:eastAsia="宋体"/>
          <w:color w:val="auto"/>
          <w:kern w:val="0"/>
          <w:sz w:val="24"/>
          <w:szCs w:val="24"/>
          <w:highlight w:val="none"/>
          <w:lang w:val="en-US" w:eastAsia="zh-CN" w:bidi="en-US"/>
        </w:rPr>
        <w:t>硫化物的</w:t>
      </w:r>
      <w:r>
        <w:rPr>
          <w:rFonts w:hint="eastAsia" w:ascii="Times New Roman" w:hAnsi="Times New Roman" w:eastAsia="宋体"/>
          <w:color w:val="auto"/>
          <w:kern w:val="0"/>
          <w:sz w:val="24"/>
          <w:szCs w:val="24"/>
          <w:highlight w:val="none"/>
          <w:lang w:bidi="en-US"/>
        </w:rPr>
        <w:t>产生</w:t>
      </w:r>
      <w:r>
        <w:rPr>
          <w:rFonts w:ascii="Times New Roman" w:hAnsi="Times New Roman" w:eastAsia="宋体"/>
          <w:color w:val="auto"/>
          <w:kern w:val="0"/>
          <w:sz w:val="24"/>
          <w:szCs w:val="24"/>
          <w:highlight w:val="none"/>
          <w:lang w:bidi="en-US"/>
        </w:rPr>
        <w:t>。</w:t>
      </w:r>
    </w:p>
    <w:p w14:paraId="6FE529B9">
      <w:pPr>
        <w:snapToGrid w:val="0"/>
        <w:spacing w:line="360" w:lineRule="auto"/>
        <w:ind w:firstLine="480" w:firstLineChars="200"/>
        <w:rPr>
          <w:rFonts w:ascii="Times New Roman" w:hAnsi="Times New Roman" w:eastAsia="宋体"/>
          <w:color w:val="auto"/>
          <w:kern w:val="0"/>
          <w:sz w:val="24"/>
          <w:szCs w:val="24"/>
          <w:highlight w:val="none"/>
          <w:lang w:bidi="en-US"/>
        </w:rPr>
      </w:pPr>
      <w:r>
        <w:rPr>
          <w:rFonts w:ascii="Times New Roman" w:hAnsi="Times New Roman" w:eastAsia="宋体"/>
          <w:color w:val="auto"/>
          <w:kern w:val="0"/>
          <w:sz w:val="24"/>
          <w:szCs w:val="24"/>
          <w:highlight w:val="none"/>
          <w:lang w:bidi="en-US"/>
        </w:rPr>
        <w:t>2、过程防控</w:t>
      </w:r>
    </w:p>
    <w:p w14:paraId="76CCC7C9">
      <w:pPr>
        <w:snapToGrid w:val="0"/>
        <w:spacing w:line="360" w:lineRule="auto"/>
        <w:ind w:firstLine="480" w:firstLineChars="200"/>
        <w:rPr>
          <w:rFonts w:ascii="Times New Roman" w:hAnsi="Times New Roman" w:eastAsia="宋体"/>
          <w:color w:val="auto"/>
          <w:kern w:val="0"/>
          <w:sz w:val="24"/>
          <w:szCs w:val="24"/>
          <w:highlight w:val="none"/>
          <w:lang w:bidi="en-US"/>
        </w:rPr>
      </w:pPr>
      <w:r>
        <w:rPr>
          <w:rFonts w:hint="eastAsia" w:ascii="Times New Roman" w:hAnsi="Times New Roman" w:eastAsia="宋体"/>
          <w:color w:val="auto"/>
          <w:kern w:val="0"/>
          <w:sz w:val="24"/>
          <w:szCs w:val="24"/>
          <w:highlight w:val="none"/>
          <w:lang w:bidi="en-US"/>
        </w:rPr>
        <w:t>要求在生产时加强密闭，减少</w:t>
      </w:r>
      <w:r>
        <w:rPr>
          <w:rFonts w:hint="eastAsia" w:ascii="Times New Roman" w:hAnsi="Times New Roman" w:eastAsia="宋体"/>
          <w:color w:val="auto"/>
          <w:kern w:val="0"/>
          <w:sz w:val="24"/>
          <w:szCs w:val="24"/>
          <w:highlight w:val="none"/>
          <w:lang w:val="en-US" w:eastAsia="zh-CN" w:bidi="en-US"/>
        </w:rPr>
        <w:t>废气</w:t>
      </w:r>
      <w:r>
        <w:rPr>
          <w:rFonts w:ascii="Times New Roman" w:hAnsi="Times New Roman" w:eastAsia="宋体"/>
          <w:color w:val="auto"/>
          <w:kern w:val="0"/>
          <w:sz w:val="24"/>
          <w:szCs w:val="24"/>
          <w:highlight w:val="none"/>
          <w:lang w:bidi="en-US"/>
        </w:rPr>
        <w:t>的无组织逸散。</w:t>
      </w:r>
      <w:r>
        <w:rPr>
          <w:rFonts w:hint="eastAsia" w:ascii="Times New Roman" w:hAnsi="Times New Roman" w:eastAsia="宋体"/>
          <w:color w:val="auto"/>
          <w:kern w:val="0"/>
          <w:sz w:val="24"/>
          <w:szCs w:val="24"/>
          <w:highlight w:val="none"/>
          <w:lang w:val="en-US" w:eastAsia="zh-CN" w:bidi="en-US"/>
        </w:rPr>
        <w:t>站内</w:t>
      </w:r>
      <w:r>
        <w:rPr>
          <w:rFonts w:ascii="Times New Roman" w:hAnsi="Times New Roman" w:eastAsia="宋体"/>
          <w:color w:val="auto"/>
          <w:kern w:val="0"/>
          <w:sz w:val="24"/>
          <w:szCs w:val="24"/>
          <w:highlight w:val="none"/>
          <w:lang w:bidi="en-US"/>
        </w:rPr>
        <w:t>周边</w:t>
      </w:r>
      <w:r>
        <w:rPr>
          <w:rFonts w:hint="eastAsia" w:ascii="Times New Roman" w:hAnsi="Times New Roman" w:eastAsia="宋体"/>
          <w:color w:val="auto"/>
          <w:kern w:val="0"/>
          <w:sz w:val="24"/>
          <w:szCs w:val="24"/>
          <w:highlight w:val="none"/>
          <w:lang w:val="en-US" w:eastAsia="zh-CN" w:bidi="en-US"/>
        </w:rPr>
        <w:t>道路</w:t>
      </w:r>
      <w:r>
        <w:rPr>
          <w:rFonts w:ascii="Times New Roman" w:hAnsi="Times New Roman" w:eastAsia="宋体"/>
          <w:color w:val="auto"/>
          <w:kern w:val="0"/>
          <w:sz w:val="24"/>
          <w:szCs w:val="24"/>
          <w:highlight w:val="none"/>
          <w:lang w:bidi="en-US"/>
        </w:rPr>
        <w:t>水泥硬化，</w:t>
      </w:r>
      <w:r>
        <w:rPr>
          <w:rFonts w:hint="eastAsia" w:ascii="Times New Roman" w:hAnsi="Times New Roman" w:eastAsia="宋体"/>
          <w:color w:val="auto"/>
          <w:kern w:val="0"/>
          <w:sz w:val="24"/>
          <w:szCs w:val="24"/>
          <w:highlight w:val="none"/>
          <w:lang w:val="en-US" w:eastAsia="zh-CN" w:bidi="en-US"/>
        </w:rPr>
        <w:t>站内须</w:t>
      </w:r>
      <w:r>
        <w:rPr>
          <w:rFonts w:ascii="Times New Roman" w:hAnsi="Times New Roman" w:eastAsia="宋体"/>
          <w:color w:val="auto"/>
          <w:kern w:val="0"/>
          <w:sz w:val="24"/>
          <w:szCs w:val="24"/>
          <w:highlight w:val="none"/>
          <w:lang w:bidi="en-US"/>
        </w:rPr>
        <w:t>落实分区防渗，危废库、</w:t>
      </w:r>
      <w:r>
        <w:rPr>
          <w:rFonts w:hint="eastAsia" w:ascii="Times New Roman" w:hAnsi="Times New Roman" w:eastAsia="宋体"/>
          <w:color w:val="auto"/>
          <w:kern w:val="0"/>
          <w:sz w:val="24"/>
          <w:szCs w:val="24"/>
          <w:highlight w:val="none"/>
          <w:lang w:val="en-US" w:eastAsia="zh-CN" w:bidi="en-US"/>
        </w:rPr>
        <w:t>隔油池</w:t>
      </w:r>
      <w:r>
        <w:rPr>
          <w:rFonts w:ascii="Times New Roman" w:hAnsi="Times New Roman" w:eastAsia="宋体"/>
          <w:color w:val="auto"/>
          <w:kern w:val="0"/>
          <w:sz w:val="24"/>
          <w:szCs w:val="24"/>
          <w:highlight w:val="none"/>
          <w:lang w:bidi="en-US"/>
        </w:rPr>
        <w:t>等区域重点</w:t>
      </w:r>
      <w:r>
        <w:rPr>
          <w:rFonts w:hint="eastAsia" w:ascii="Times New Roman" w:hAnsi="Times New Roman" w:eastAsia="宋体"/>
          <w:color w:val="auto"/>
          <w:kern w:val="0"/>
          <w:sz w:val="24"/>
          <w:szCs w:val="24"/>
          <w:highlight w:val="none"/>
          <w:lang w:val="en-US" w:eastAsia="zh-CN" w:bidi="en-US"/>
        </w:rPr>
        <w:t>防渗</w:t>
      </w:r>
      <w:r>
        <w:rPr>
          <w:rFonts w:ascii="Times New Roman" w:hAnsi="Times New Roman" w:eastAsia="宋体"/>
          <w:color w:val="auto"/>
          <w:kern w:val="0"/>
          <w:sz w:val="24"/>
          <w:szCs w:val="24"/>
          <w:highlight w:val="none"/>
          <w:lang w:bidi="en-US"/>
        </w:rPr>
        <w:t>，并设置托盘，从大气沉降、垂直</w:t>
      </w:r>
      <w:r>
        <w:rPr>
          <w:rFonts w:hint="eastAsia" w:ascii="Times New Roman" w:hAnsi="Times New Roman" w:eastAsia="宋体"/>
          <w:color w:val="auto"/>
          <w:kern w:val="0"/>
          <w:sz w:val="24"/>
          <w:szCs w:val="24"/>
          <w:highlight w:val="none"/>
          <w:lang w:val="en-US" w:eastAsia="zh-CN" w:bidi="en-US"/>
        </w:rPr>
        <w:t>渗入</w:t>
      </w:r>
      <w:r>
        <w:rPr>
          <w:rFonts w:ascii="Times New Roman" w:hAnsi="Times New Roman" w:eastAsia="宋体"/>
          <w:color w:val="auto"/>
          <w:kern w:val="0"/>
          <w:sz w:val="24"/>
          <w:szCs w:val="24"/>
          <w:highlight w:val="none"/>
          <w:lang w:bidi="en-US"/>
        </w:rPr>
        <w:t>等过程进行防控，减小土壤污染的可能性。</w:t>
      </w:r>
    </w:p>
    <w:p w14:paraId="60FB01DE">
      <w:pPr>
        <w:snapToGrid w:val="0"/>
        <w:spacing w:line="360" w:lineRule="auto"/>
        <w:ind w:firstLine="480" w:firstLineChars="200"/>
        <w:rPr>
          <w:rFonts w:ascii="Times New Roman" w:hAnsi="Times New Roman" w:eastAsia="宋体"/>
          <w:color w:val="auto"/>
          <w:kern w:val="0"/>
          <w:sz w:val="24"/>
          <w:szCs w:val="24"/>
          <w:highlight w:val="none"/>
          <w:lang w:bidi="en-US"/>
        </w:rPr>
      </w:pPr>
      <w:r>
        <w:rPr>
          <w:rFonts w:ascii="Times New Roman" w:hAnsi="Times New Roman" w:eastAsia="宋体"/>
          <w:color w:val="auto"/>
          <w:kern w:val="0"/>
          <w:sz w:val="24"/>
          <w:szCs w:val="24"/>
          <w:highlight w:val="none"/>
          <w:lang w:bidi="en-US"/>
        </w:rPr>
        <w:t>3、跟踪监测</w:t>
      </w:r>
    </w:p>
    <w:p w14:paraId="30C41AC1">
      <w:pPr>
        <w:snapToGrid w:val="0"/>
        <w:spacing w:line="360" w:lineRule="auto"/>
        <w:ind w:firstLine="480" w:firstLineChars="200"/>
        <w:rPr>
          <w:rFonts w:hint="eastAsia" w:ascii="Times New Roman" w:hAnsi="Times New Roman" w:eastAsia="宋体"/>
          <w:color w:val="auto"/>
          <w:kern w:val="0"/>
          <w:sz w:val="24"/>
          <w:szCs w:val="24"/>
          <w:highlight w:val="none"/>
          <w:lang w:bidi="en-US"/>
        </w:rPr>
      </w:pPr>
      <w:r>
        <w:rPr>
          <w:rFonts w:hint="eastAsia" w:ascii="Times New Roman" w:hAnsi="Times New Roman" w:eastAsia="宋体"/>
          <w:color w:val="auto"/>
          <w:kern w:val="0"/>
          <w:sz w:val="24"/>
          <w:szCs w:val="24"/>
          <w:highlight w:val="none"/>
          <w:lang w:bidi="en-US"/>
        </w:rPr>
        <w:t>制定跟踪监测计划、建立跟踪监测制度，以便及时发现问题，采取措施。</w:t>
      </w:r>
    </w:p>
    <w:p w14:paraId="4F6A13FF">
      <w:pPr>
        <w:pStyle w:val="5"/>
        <w:rPr>
          <w:color w:val="auto"/>
          <w:highlight w:val="none"/>
        </w:rPr>
      </w:pPr>
      <w:r>
        <w:rPr>
          <w:color w:val="auto"/>
          <w:highlight w:val="none"/>
        </w:rPr>
        <w:t>5.2.6.</w:t>
      </w:r>
      <w:r>
        <w:rPr>
          <w:rFonts w:hint="eastAsia"/>
          <w:color w:val="auto"/>
          <w:highlight w:val="none"/>
        </w:rPr>
        <w:t>7</w:t>
      </w:r>
      <w:bookmarkEnd w:id="489"/>
      <w:bookmarkEnd w:id="490"/>
      <w:bookmarkEnd w:id="491"/>
      <w:bookmarkEnd w:id="492"/>
      <w:r>
        <w:rPr>
          <w:rFonts w:hint="eastAsia"/>
          <w:color w:val="auto"/>
          <w:highlight w:val="none"/>
        </w:rPr>
        <w:t>土壤环境影响自查情况</w:t>
      </w:r>
    </w:p>
    <w:p w14:paraId="3D427C09">
      <w:pPr>
        <w:pStyle w:val="352"/>
        <w:ind w:firstLine="480"/>
        <w:rPr>
          <w:color w:val="auto"/>
          <w:highlight w:val="none"/>
        </w:rPr>
      </w:pPr>
      <w:r>
        <w:rPr>
          <w:color w:val="auto"/>
          <w:highlight w:val="none"/>
        </w:rPr>
        <w:t>根据上述内容分析得知，本项目建设项目各个不同阶段，在保证环保措施落实到位的情况下，本项目在土壤环境敏感目标处且占地范围内各评价因子预测与分析均满足GB36600中相关标准要求。</w:t>
      </w:r>
    </w:p>
    <w:p w14:paraId="5A3276CE">
      <w:pPr>
        <w:pStyle w:val="352"/>
        <w:spacing w:line="240" w:lineRule="auto"/>
        <w:ind w:firstLine="482"/>
        <w:jc w:val="center"/>
        <w:rPr>
          <w:b/>
          <w:color w:val="auto"/>
          <w:highlight w:val="none"/>
        </w:rPr>
      </w:pPr>
      <w:r>
        <w:rPr>
          <w:b/>
          <w:color w:val="auto"/>
          <w:highlight w:val="none"/>
        </w:rPr>
        <w:t>表</w:t>
      </w:r>
      <w:r>
        <w:rPr>
          <w:b/>
          <w:color w:val="auto"/>
          <w:szCs w:val="20"/>
          <w:highlight w:val="none"/>
        </w:rPr>
        <w:t>5.2.6-</w:t>
      </w:r>
      <w:r>
        <w:rPr>
          <w:rFonts w:hint="eastAsia"/>
          <w:b/>
          <w:color w:val="auto"/>
          <w:szCs w:val="20"/>
          <w:highlight w:val="none"/>
          <w:lang w:val="en-US" w:eastAsia="zh-CN"/>
        </w:rPr>
        <w:t xml:space="preserve">5  </w:t>
      </w:r>
      <w:r>
        <w:rPr>
          <w:b/>
          <w:color w:val="auto"/>
          <w:highlight w:val="none"/>
        </w:rPr>
        <w:t>土壤环境影响评价自查表</w:t>
      </w:r>
    </w:p>
    <w:tbl>
      <w:tblPr>
        <w:tblStyle w:val="49"/>
        <w:tblW w:w="873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2"/>
        <w:gridCol w:w="1903"/>
        <w:gridCol w:w="973"/>
        <w:gridCol w:w="930"/>
        <w:gridCol w:w="825"/>
        <w:gridCol w:w="601"/>
        <w:gridCol w:w="1774"/>
        <w:gridCol w:w="936"/>
      </w:tblGrid>
      <w:tr w14:paraId="242CDA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700" w:type="dxa"/>
            <w:gridSpan w:val="2"/>
            <w:tcBorders>
              <w:tl2br w:val="nil"/>
              <w:tr2bl w:val="nil"/>
            </w:tcBorders>
            <w:noWrap w:val="0"/>
            <w:vAlign w:val="center"/>
          </w:tcPr>
          <w:p w14:paraId="4947A83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工作内容</w:t>
            </w:r>
          </w:p>
        </w:tc>
        <w:tc>
          <w:tcPr>
            <w:tcW w:w="5103" w:type="dxa"/>
            <w:gridSpan w:val="5"/>
            <w:tcBorders>
              <w:tl2br w:val="nil"/>
              <w:tr2bl w:val="nil"/>
            </w:tcBorders>
            <w:noWrap w:val="0"/>
            <w:vAlign w:val="center"/>
          </w:tcPr>
          <w:p w14:paraId="69440D0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完成情况</w:t>
            </w:r>
          </w:p>
        </w:tc>
        <w:tc>
          <w:tcPr>
            <w:tcW w:w="936" w:type="dxa"/>
            <w:tcBorders>
              <w:tl2br w:val="nil"/>
              <w:tr2bl w:val="nil"/>
            </w:tcBorders>
            <w:noWrap w:val="0"/>
            <w:vAlign w:val="center"/>
          </w:tcPr>
          <w:p w14:paraId="424BB05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备注</w:t>
            </w:r>
          </w:p>
        </w:tc>
      </w:tr>
      <w:tr w14:paraId="4FC9CD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restart"/>
            <w:tcBorders>
              <w:tl2br w:val="nil"/>
              <w:tr2bl w:val="nil"/>
            </w:tcBorders>
            <w:noWrap w:val="0"/>
            <w:vAlign w:val="center"/>
          </w:tcPr>
          <w:p w14:paraId="0AD11DD3">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影响识别</w:t>
            </w:r>
          </w:p>
        </w:tc>
        <w:tc>
          <w:tcPr>
            <w:tcW w:w="1903" w:type="dxa"/>
            <w:tcBorders>
              <w:tl2br w:val="nil"/>
              <w:tr2bl w:val="nil"/>
            </w:tcBorders>
            <w:noWrap w:val="0"/>
            <w:vAlign w:val="center"/>
          </w:tcPr>
          <w:p w14:paraId="31A56CC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影响类型</w:t>
            </w:r>
          </w:p>
        </w:tc>
        <w:tc>
          <w:tcPr>
            <w:tcW w:w="5103" w:type="dxa"/>
            <w:gridSpan w:val="5"/>
            <w:tcBorders>
              <w:tl2br w:val="nil"/>
              <w:tr2bl w:val="nil"/>
            </w:tcBorders>
            <w:noWrap w:val="0"/>
            <w:vAlign w:val="center"/>
          </w:tcPr>
          <w:p w14:paraId="2EC421D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污染影响型</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；生态影响型□；两种兼有□</w:t>
            </w:r>
          </w:p>
        </w:tc>
        <w:tc>
          <w:tcPr>
            <w:tcW w:w="936" w:type="dxa"/>
            <w:tcBorders>
              <w:tl2br w:val="nil"/>
              <w:tr2bl w:val="nil"/>
            </w:tcBorders>
            <w:noWrap w:val="0"/>
            <w:vAlign w:val="center"/>
          </w:tcPr>
          <w:p w14:paraId="6E677771">
            <w:pPr>
              <w:snapToGrid w:val="0"/>
              <w:jc w:val="center"/>
              <w:rPr>
                <w:rFonts w:ascii="Times New Roman" w:hAnsi="Times New Roman" w:eastAsia="宋体"/>
                <w:color w:val="auto"/>
                <w:szCs w:val="21"/>
                <w:highlight w:val="none"/>
              </w:rPr>
            </w:pPr>
          </w:p>
        </w:tc>
      </w:tr>
      <w:tr w14:paraId="4AE9E2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136ABBB8">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6724D34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土地利用类型</w:t>
            </w:r>
          </w:p>
        </w:tc>
        <w:tc>
          <w:tcPr>
            <w:tcW w:w="5103" w:type="dxa"/>
            <w:gridSpan w:val="5"/>
            <w:tcBorders>
              <w:tl2br w:val="nil"/>
              <w:tr2bl w:val="nil"/>
            </w:tcBorders>
            <w:noWrap w:val="0"/>
            <w:vAlign w:val="center"/>
          </w:tcPr>
          <w:p w14:paraId="451E2C4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建设用地</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；农用地□；未利用地□</w:t>
            </w:r>
          </w:p>
        </w:tc>
        <w:tc>
          <w:tcPr>
            <w:tcW w:w="936" w:type="dxa"/>
            <w:tcBorders>
              <w:tl2br w:val="nil"/>
              <w:tr2bl w:val="nil"/>
            </w:tcBorders>
            <w:noWrap w:val="0"/>
            <w:vAlign w:val="center"/>
          </w:tcPr>
          <w:p w14:paraId="447DFCD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土地利用类型图</w:t>
            </w:r>
          </w:p>
        </w:tc>
      </w:tr>
      <w:tr w14:paraId="36379F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160B0A5C">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57D87F7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占地规模</w:t>
            </w:r>
          </w:p>
        </w:tc>
        <w:tc>
          <w:tcPr>
            <w:tcW w:w="5103" w:type="dxa"/>
            <w:gridSpan w:val="5"/>
            <w:tcBorders>
              <w:tl2br w:val="nil"/>
              <w:tr2bl w:val="nil"/>
            </w:tcBorders>
            <w:noWrap w:val="0"/>
            <w:vAlign w:val="center"/>
          </w:tcPr>
          <w:p w14:paraId="0382C167">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lang w:val="en-US" w:eastAsia="zh-CN"/>
              </w:rPr>
              <w:t>1.53</w:t>
            </w:r>
            <w:r>
              <w:rPr>
                <w:rFonts w:ascii="Times New Roman" w:hAnsi="Times New Roman" w:eastAsia="宋体"/>
                <w:color w:val="auto"/>
                <w:szCs w:val="21"/>
                <w:highlight w:val="none"/>
              </w:rPr>
              <w:t>hm</w:t>
            </w:r>
            <w:r>
              <w:rPr>
                <w:rFonts w:ascii="Times New Roman" w:hAnsi="Times New Roman" w:eastAsia="宋体"/>
                <w:color w:val="auto"/>
                <w:szCs w:val="21"/>
                <w:highlight w:val="none"/>
                <w:vertAlign w:val="superscript"/>
              </w:rPr>
              <w:t>2</w:t>
            </w:r>
          </w:p>
        </w:tc>
        <w:tc>
          <w:tcPr>
            <w:tcW w:w="936" w:type="dxa"/>
            <w:tcBorders>
              <w:tl2br w:val="nil"/>
              <w:tr2bl w:val="nil"/>
            </w:tcBorders>
            <w:noWrap w:val="0"/>
            <w:vAlign w:val="center"/>
          </w:tcPr>
          <w:p w14:paraId="7CFFF807">
            <w:pPr>
              <w:snapToGrid w:val="0"/>
              <w:jc w:val="center"/>
              <w:rPr>
                <w:rFonts w:ascii="Times New Roman" w:hAnsi="Times New Roman" w:eastAsia="宋体"/>
                <w:color w:val="auto"/>
                <w:szCs w:val="21"/>
                <w:highlight w:val="none"/>
              </w:rPr>
            </w:pPr>
          </w:p>
        </w:tc>
      </w:tr>
      <w:tr w14:paraId="7FC564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6B7B3AC0">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6CA3433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敏感目标信息</w:t>
            </w:r>
          </w:p>
        </w:tc>
        <w:tc>
          <w:tcPr>
            <w:tcW w:w="5103" w:type="dxa"/>
            <w:gridSpan w:val="5"/>
            <w:tcBorders>
              <w:tl2br w:val="nil"/>
              <w:tr2bl w:val="nil"/>
            </w:tcBorders>
            <w:noWrap w:val="0"/>
            <w:vAlign w:val="center"/>
          </w:tcPr>
          <w:p w14:paraId="52A1116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无</w:t>
            </w:r>
          </w:p>
        </w:tc>
        <w:tc>
          <w:tcPr>
            <w:tcW w:w="936" w:type="dxa"/>
            <w:tcBorders>
              <w:tl2br w:val="nil"/>
              <w:tr2bl w:val="nil"/>
            </w:tcBorders>
            <w:noWrap w:val="0"/>
            <w:vAlign w:val="center"/>
          </w:tcPr>
          <w:p w14:paraId="41043266">
            <w:pPr>
              <w:snapToGrid w:val="0"/>
              <w:jc w:val="center"/>
              <w:rPr>
                <w:rFonts w:ascii="Times New Roman" w:hAnsi="Times New Roman" w:eastAsia="宋体"/>
                <w:color w:val="auto"/>
                <w:szCs w:val="21"/>
                <w:highlight w:val="none"/>
              </w:rPr>
            </w:pPr>
          </w:p>
        </w:tc>
      </w:tr>
      <w:tr w14:paraId="7DC8A1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40D5388F">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1F9FF90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影响途径</w:t>
            </w:r>
          </w:p>
        </w:tc>
        <w:tc>
          <w:tcPr>
            <w:tcW w:w="5103" w:type="dxa"/>
            <w:gridSpan w:val="5"/>
            <w:tcBorders>
              <w:tl2br w:val="nil"/>
              <w:tr2bl w:val="nil"/>
            </w:tcBorders>
            <w:noWrap w:val="0"/>
            <w:vAlign w:val="center"/>
          </w:tcPr>
          <w:p w14:paraId="5C0A6C4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大气沉降</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；地面漫流□；垂直入渗</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；地下水位□；其它□</w:t>
            </w:r>
          </w:p>
        </w:tc>
        <w:tc>
          <w:tcPr>
            <w:tcW w:w="936" w:type="dxa"/>
            <w:tcBorders>
              <w:tl2br w:val="nil"/>
              <w:tr2bl w:val="nil"/>
            </w:tcBorders>
            <w:noWrap w:val="0"/>
            <w:vAlign w:val="center"/>
          </w:tcPr>
          <w:p w14:paraId="1970876C">
            <w:pPr>
              <w:snapToGrid w:val="0"/>
              <w:jc w:val="center"/>
              <w:rPr>
                <w:rFonts w:ascii="Times New Roman" w:hAnsi="Times New Roman" w:eastAsia="宋体"/>
                <w:color w:val="auto"/>
                <w:szCs w:val="21"/>
                <w:highlight w:val="none"/>
              </w:rPr>
            </w:pPr>
          </w:p>
        </w:tc>
      </w:tr>
      <w:tr w14:paraId="30BE20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428E095C">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1900745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全部污染物</w:t>
            </w:r>
          </w:p>
        </w:tc>
        <w:tc>
          <w:tcPr>
            <w:tcW w:w="5103" w:type="dxa"/>
            <w:gridSpan w:val="5"/>
            <w:tcBorders>
              <w:tl2br w:val="nil"/>
              <w:tr2bl w:val="nil"/>
            </w:tcBorders>
            <w:noWrap w:val="0"/>
            <w:vAlign w:val="center"/>
          </w:tcPr>
          <w:p w14:paraId="6C14717F">
            <w:pPr>
              <w:snapToGrid w:val="0"/>
              <w:jc w:val="center"/>
              <w:rPr>
                <w:rFonts w:hint="eastAsia" w:ascii="Times New Roman" w:hAnsi="Times New Roman" w:eastAsia="宋体"/>
                <w:color w:val="auto"/>
                <w:szCs w:val="21"/>
                <w:highlight w:val="none"/>
                <w:lang w:eastAsia="zh-CN"/>
              </w:rPr>
            </w:pPr>
            <w:r>
              <w:rPr>
                <w:rFonts w:hint="eastAsia" w:ascii="Times New Roman" w:hAnsi="Times New Roman" w:eastAsia="宋体"/>
                <w:color w:val="auto"/>
                <w:szCs w:val="21"/>
                <w:highlight w:val="none"/>
                <w:lang w:val="en-US" w:eastAsia="zh-CN"/>
              </w:rPr>
              <w:t>非甲烷总烃</w:t>
            </w:r>
          </w:p>
        </w:tc>
        <w:tc>
          <w:tcPr>
            <w:tcW w:w="936" w:type="dxa"/>
            <w:tcBorders>
              <w:tl2br w:val="nil"/>
              <w:tr2bl w:val="nil"/>
            </w:tcBorders>
            <w:noWrap w:val="0"/>
            <w:vAlign w:val="center"/>
          </w:tcPr>
          <w:p w14:paraId="02AAE266">
            <w:pPr>
              <w:snapToGrid w:val="0"/>
              <w:jc w:val="center"/>
              <w:rPr>
                <w:rFonts w:ascii="Times New Roman" w:hAnsi="Times New Roman" w:eastAsia="宋体"/>
                <w:color w:val="auto"/>
                <w:szCs w:val="21"/>
                <w:highlight w:val="none"/>
              </w:rPr>
            </w:pPr>
          </w:p>
        </w:tc>
      </w:tr>
      <w:tr w14:paraId="5B14A3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67E495D4">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4CB1C82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特征因子</w:t>
            </w:r>
          </w:p>
        </w:tc>
        <w:tc>
          <w:tcPr>
            <w:tcW w:w="5103" w:type="dxa"/>
            <w:gridSpan w:val="5"/>
            <w:tcBorders>
              <w:tl2br w:val="nil"/>
              <w:tr2bl w:val="nil"/>
            </w:tcBorders>
            <w:noWrap w:val="0"/>
            <w:vAlign w:val="center"/>
          </w:tcPr>
          <w:p w14:paraId="1A28CDF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（GB36600）表1基本项目</w:t>
            </w:r>
          </w:p>
        </w:tc>
        <w:tc>
          <w:tcPr>
            <w:tcW w:w="936" w:type="dxa"/>
            <w:tcBorders>
              <w:tl2br w:val="nil"/>
              <w:tr2bl w:val="nil"/>
            </w:tcBorders>
            <w:noWrap w:val="0"/>
            <w:vAlign w:val="center"/>
          </w:tcPr>
          <w:p w14:paraId="27623A31">
            <w:pPr>
              <w:snapToGrid w:val="0"/>
              <w:jc w:val="center"/>
              <w:rPr>
                <w:rFonts w:ascii="Times New Roman" w:hAnsi="Times New Roman" w:eastAsia="宋体"/>
                <w:color w:val="auto"/>
                <w:szCs w:val="21"/>
                <w:highlight w:val="none"/>
              </w:rPr>
            </w:pPr>
          </w:p>
        </w:tc>
      </w:tr>
      <w:tr w14:paraId="382A18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19AA3CF6">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582EBA8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所属土壤环境影响评价项目类别</w:t>
            </w:r>
          </w:p>
        </w:tc>
        <w:tc>
          <w:tcPr>
            <w:tcW w:w="5103" w:type="dxa"/>
            <w:gridSpan w:val="5"/>
            <w:tcBorders>
              <w:tl2br w:val="nil"/>
              <w:tr2bl w:val="nil"/>
            </w:tcBorders>
            <w:noWrap w:val="0"/>
            <w:vAlign w:val="center"/>
          </w:tcPr>
          <w:p w14:paraId="2FD9089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Ⅰ类</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；Ⅱ类□；Ⅲ类□；Ⅳ类□</w:t>
            </w:r>
          </w:p>
        </w:tc>
        <w:tc>
          <w:tcPr>
            <w:tcW w:w="936" w:type="dxa"/>
            <w:tcBorders>
              <w:tl2br w:val="nil"/>
              <w:tr2bl w:val="nil"/>
            </w:tcBorders>
            <w:noWrap w:val="0"/>
            <w:vAlign w:val="center"/>
          </w:tcPr>
          <w:p w14:paraId="7606E3C0">
            <w:pPr>
              <w:snapToGrid w:val="0"/>
              <w:jc w:val="center"/>
              <w:rPr>
                <w:rFonts w:ascii="Times New Roman" w:hAnsi="Times New Roman" w:eastAsia="宋体"/>
                <w:color w:val="auto"/>
                <w:szCs w:val="21"/>
                <w:highlight w:val="none"/>
              </w:rPr>
            </w:pPr>
          </w:p>
        </w:tc>
      </w:tr>
      <w:tr w14:paraId="253760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2998B137">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4C9C809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敏感程度</w:t>
            </w:r>
          </w:p>
        </w:tc>
        <w:tc>
          <w:tcPr>
            <w:tcW w:w="5103" w:type="dxa"/>
            <w:gridSpan w:val="5"/>
            <w:tcBorders>
              <w:tl2br w:val="nil"/>
              <w:tr2bl w:val="nil"/>
            </w:tcBorders>
            <w:noWrap w:val="0"/>
            <w:vAlign w:val="center"/>
          </w:tcPr>
          <w:p w14:paraId="19CB29E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敏感□；较敏感□；不敏感</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w:t>
            </w:r>
          </w:p>
        </w:tc>
        <w:tc>
          <w:tcPr>
            <w:tcW w:w="936" w:type="dxa"/>
            <w:tcBorders>
              <w:tl2br w:val="nil"/>
              <w:tr2bl w:val="nil"/>
            </w:tcBorders>
            <w:noWrap w:val="0"/>
            <w:vAlign w:val="center"/>
          </w:tcPr>
          <w:p w14:paraId="227B0FAE">
            <w:pPr>
              <w:snapToGrid w:val="0"/>
              <w:jc w:val="center"/>
              <w:rPr>
                <w:rFonts w:ascii="Times New Roman" w:hAnsi="Times New Roman" w:eastAsia="宋体"/>
                <w:color w:val="auto"/>
                <w:szCs w:val="21"/>
                <w:highlight w:val="none"/>
              </w:rPr>
            </w:pPr>
          </w:p>
        </w:tc>
      </w:tr>
      <w:tr w14:paraId="70D638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700" w:type="dxa"/>
            <w:gridSpan w:val="2"/>
            <w:tcBorders>
              <w:tl2br w:val="nil"/>
              <w:tr2bl w:val="nil"/>
            </w:tcBorders>
            <w:noWrap w:val="0"/>
            <w:vAlign w:val="center"/>
          </w:tcPr>
          <w:p w14:paraId="288E8A6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评价工作等级</w:t>
            </w:r>
          </w:p>
        </w:tc>
        <w:tc>
          <w:tcPr>
            <w:tcW w:w="5103" w:type="dxa"/>
            <w:gridSpan w:val="5"/>
            <w:tcBorders>
              <w:tl2br w:val="nil"/>
              <w:tr2bl w:val="nil"/>
            </w:tcBorders>
            <w:noWrap w:val="0"/>
            <w:vAlign w:val="center"/>
          </w:tcPr>
          <w:p w14:paraId="2E74DBB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一级□；二级</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；三级□</w:t>
            </w:r>
          </w:p>
        </w:tc>
        <w:tc>
          <w:tcPr>
            <w:tcW w:w="936" w:type="dxa"/>
            <w:tcBorders>
              <w:tl2br w:val="nil"/>
              <w:tr2bl w:val="nil"/>
            </w:tcBorders>
            <w:noWrap w:val="0"/>
            <w:vAlign w:val="center"/>
          </w:tcPr>
          <w:p w14:paraId="50BB74BA">
            <w:pPr>
              <w:snapToGrid w:val="0"/>
              <w:jc w:val="center"/>
              <w:rPr>
                <w:rFonts w:ascii="Times New Roman" w:hAnsi="Times New Roman" w:eastAsia="宋体"/>
                <w:color w:val="auto"/>
                <w:szCs w:val="21"/>
                <w:highlight w:val="none"/>
              </w:rPr>
            </w:pPr>
          </w:p>
        </w:tc>
      </w:tr>
      <w:tr w14:paraId="7F67FC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jc w:val="center"/>
        </w:trPr>
        <w:tc>
          <w:tcPr>
            <w:tcW w:w="797" w:type="dxa"/>
            <w:vMerge w:val="restart"/>
            <w:tcBorders>
              <w:tl2br w:val="nil"/>
              <w:tr2bl w:val="nil"/>
            </w:tcBorders>
            <w:noWrap w:val="0"/>
            <w:vAlign w:val="center"/>
          </w:tcPr>
          <w:p w14:paraId="04276C1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现状调查内容</w:t>
            </w:r>
          </w:p>
        </w:tc>
        <w:tc>
          <w:tcPr>
            <w:tcW w:w="1903" w:type="dxa"/>
            <w:tcBorders>
              <w:tl2br w:val="nil"/>
              <w:tr2bl w:val="nil"/>
            </w:tcBorders>
            <w:noWrap w:val="0"/>
            <w:vAlign w:val="center"/>
          </w:tcPr>
          <w:p w14:paraId="4CF5F6B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资料收集</w:t>
            </w:r>
          </w:p>
        </w:tc>
        <w:tc>
          <w:tcPr>
            <w:tcW w:w="5103" w:type="dxa"/>
            <w:gridSpan w:val="5"/>
            <w:tcBorders>
              <w:tl2br w:val="nil"/>
              <w:tr2bl w:val="nil"/>
            </w:tcBorders>
            <w:noWrap w:val="0"/>
            <w:vAlign w:val="center"/>
          </w:tcPr>
          <w:p w14:paraId="429B997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a）□；b）</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；c）□；d）</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w:t>
            </w:r>
          </w:p>
        </w:tc>
        <w:tc>
          <w:tcPr>
            <w:tcW w:w="936" w:type="dxa"/>
            <w:tcBorders>
              <w:tl2br w:val="nil"/>
              <w:tr2bl w:val="nil"/>
            </w:tcBorders>
            <w:noWrap w:val="0"/>
            <w:vAlign w:val="center"/>
          </w:tcPr>
          <w:p w14:paraId="5BD1E0C8">
            <w:pPr>
              <w:snapToGrid w:val="0"/>
              <w:jc w:val="center"/>
              <w:rPr>
                <w:rFonts w:ascii="Times New Roman" w:hAnsi="Times New Roman" w:eastAsia="宋体"/>
                <w:color w:val="auto"/>
                <w:szCs w:val="21"/>
                <w:highlight w:val="none"/>
              </w:rPr>
            </w:pPr>
          </w:p>
        </w:tc>
      </w:tr>
      <w:tr w14:paraId="61B5C9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64FBA2E9">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56C1AC0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理化特性</w:t>
            </w:r>
          </w:p>
        </w:tc>
        <w:tc>
          <w:tcPr>
            <w:tcW w:w="5103" w:type="dxa"/>
            <w:gridSpan w:val="5"/>
            <w:tcBorders>
              <w:tl2br w:val="nil"/>
              <w:tr2bl w:val="nil"/>
            </w:tcBorders>
            <w:noWrap w:val="0"/>
            <w:vAlign w:val="center"/>
          </w:tcPr>
          <w:p w14:paraId="7B6B37F7">
            <w:pPr>
              <w:snapToGrid w:val="0"/>
              <w:jc w:val="center"/>
              <w:rPr>
                <w:rFonts w:ascii="Times New Roman" w:hAnsi="Times New Roman" w:eastAsia="宋体"/>
                <w:color w:val="auto"/>
                <w:szCs w:val="21"/>
                <w:highlight w:val="none"/>
              </w:rPr>
            </w:pPr>
            <w:r>
              <w:rPr>
                <w:rFonts w:hint="eastAsia" w:ascii="Times New Roman" w:hAnsi="Times New Roman" w:eastAsia="宋体"/>
                <w:color w:val="auto"/>
                <w:szCs w:val="21"/>
                <w:highlight w:val="none"/>
              </w:rPr>
              <w:t>/</w:t>
            </w:r>
          </w:p>
        </w:tc>
        <w:tc>
          <w:tcPr>
            <w:tcW w:w="936" w:type="dxa"/>
            <w:tcBorders>
              <w:tl2br w:val="nil"/>
              <w:tr2bl w:val="nil"/>
            </w:tcBorders>
            <w:noWrap w:val="0"/>
            <w:vAlign w:val="center"/>
          </w:tcPr>
          <w:p w14:paraId="0064EC6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同附录C</w:t>
            </w:r>
          </w:p>
        </w:tc>
      </w:tr>
      <w:tr w14:paraId="033352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47CD0567">
            <w:pPr>
              <w:snapToGrid w:val="0"/>
              <w:jc w:val="center"/>
              <w:rPr>
                <w:rFonts w:ascii="Times New Roman" w:hAnsi="Times New Roman" w:eastAsia="宋体"/>
                <w:color w:val="auto"/>
                <w:szCs w:val="21"/>
                <w:highlight w:val="none"/>
              </w:rPr>
            </w:pPr>
          </w:p>
        </w:tc>
        <w:tc>
          <w:tcPr>
            <w:tcW w:w="1903" w:type="dxa"/>
            <w:vMerge w:val="restart"/>
            <w:tcBorders>
              <w:tl2br w:val="nil"/>
              <w:tr2bl w:val="nil"/>
            </w:tcBorders>
            <w:noWrap w:val="0"/>
            <w:vAlign w:val="center"/>
          </w:tcPr>
          <w:p w14:paraId="07E77CE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现状监测点位</w:t>
            </w:r>
          </w:p>
        </w:tc>
        <w:tc>
          <w:tcPr>
            <w:tcW w:w="973" w:type="dxa"/>
            <w:tcBorders>
              <w:tl2br w:val="nil"/>
              <w:tr2bl w:val="nil"/>
            </w:tcBorders>
            <w:noWrap w:val="0"/>
            <w:vAlign w:val="center"/>
          </w:tcPr>
          <w:p w14:paraId="26389425">
            <w:pPr>
              <w:snapToGrid w:val="0"/>
              <w:jc w:val="center"/>
              <w:rPr>
                <w:rFonts w:ascii="Times New Roman" w:hAnsi="Times New Roman" w:eastAsia="宋体"/>
                <w:color w:val="auto"/>
                <w:szCs w:val="21"/>
                <w:highlight w:val="none"/>
              </w:rPr>
            </w:pPr>
          </w:p>
        </w:tc>
        <w:tc>
          <w:tcPr>
            <w:tcW w:w="930" w:type="dxa"/>
            <w:tcBorders>
              <w:tl2br w:val="nil"/>
              <w:tr2bl w:val="nil"/>
            </w:tcBorders>
            <w:noWrap w:val="0"/>
            <w:vAlign w:val="center"/>
          </w:tcPr>
          <w:p w14:paraId="160A940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占地范围内</w:t>
            </w:r>
          </w:p>
        </w:tc>
        <w:tc>
          <w:tcPr>
            <w:tcW w:w="825" w:type="dxa"/>
            <w:tcBorders>
              <w:tl2br w:val="nil"/>
              <w:tr2bl w:val="nil"/>
            </w:tcBorders>
            <w:noWrap w:val="0"/>
            <w:vAlign w:val="center"/>
          </w:tcPr>
          <w:p w14:paraId="257C5404">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占地范围外</w:t>
            </w:r>
          </w:p>
        </w:tc>
        <w:tc>
          <w:tcPr>
            <w:tcW w:w="2375" w:type="dxa"/>
            <w:gridSpan w:val="2"/>
            <w:tcBorders>
              <w:tl2br w:val="nil"/>
              <w:tr2bl w:val="nil"/>
            </w:tcBorders>
            <w:noWrap w:val="0"/>
            <w:vAlign w:val="center"/>
          </w:tcPr>
          <w:p w14:paraId="60A3A55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深度</w:t>
            </w:r>
          </w:p>
        </w:tc>
        <w:tc>
          <w:tcPr>
            <w:tcW w:w="936" w:type="dxa"/>
            <w:vMerge w:val="restart"/>
            <w:tcBorders>
              <w:tl2br w:val="nil"/>
              <w:tr2bl w:val="nil"/>
            </w:tcBorders>
            <w:noWrap w:val="0"/>
            <w:vAlign w:val="center"/>
          </w:tcPr>
          <w:p w14:paraId="0FE7AF3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点位布置图</w:t>
            </w:r>
          </w:p>
        </w:tc>
      </w:tr>
      <w:tr w14:paraId="5B08E8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31C4A1C3">
            <w:pPr>
              <w:snapToGrid w:val="0"/>
              <w:jc w:val="center"/>
              <w:rPr>
                <w:rFonts w:ascii="Times New Roman" w:hAnsi="Times New Roman" w:eastAsia="宋体"/>
                <w:color w:val="auto"/>
                <w:szCs w:val="21"/>
                <w:highlight w:val="none"/>
              </w:rPr>
            </w:pPr>
          </w:p>
        </w:tc>
        <w:tc>
          <w:tcPr>
            <w:tcW w:w="1903" w:type="dxa"/>
            <w:vMerge w:val="continue"/>
            <w:tcBorders>
              <w:tl2br w:val="nil"/>
              <w:tr2bl w:val="nil"/>
            </w:tcBorders>
            <w:noWrap w:val="0"/>
            <w:vAlign w:val="center"/>
          </w:tcPr>
          <w:p w14:paraId="7A5BE528">
            <w:pPr>
              <w:snapToGrid w:val="0"/>
              <w:jc w:val="center"/>
              <w:rPr>
                <w:rFonts w:ascii="Times New Roman" w:hAnsi="Times New Roman" w:eastAsia="宋体"/>
                <w:color w:val="auto"/>
                <w:szCs w:val="21"/>
                <w:highlight w:val="none"/>
              </w:rPr>
            </w:pPr>
          </w:p>
        </w:tc>
        <w:tc>
          <w:tcPr>
            <w:tcW w:w="973" w:type="dxa"/>
            <w:tcBorders>
              <w:tl2br w:val="nil"/>
              <w:tr2bl w:val="nil"/>
            </w:tcBorders>
            <w:noWrap w:val="0"/>
            <w:vAlign w:val="center"/>
          </w:tcPr>
          <w:p w14:paraId="0335AD5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表层样点数</w:t>
            </w:r>
          </w:p>
        </w:tc>
        <w:tc>
          <w:tcPr>
            <w:tcW w:w="930" w:type="dxa"/>
            <w:tcBorders>
              <w:tl2br w:val="nil"/>
              <w:tr2bl w:val="nil"/>
            </w:tcBorders>
            <w:noWrap w:val="0"/>
            <w:vAlign w:val="center"/>
          </w:tcPr>
          <w:p w14:paraId="5CE4B20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w:t>
            </w:r>
          </w:p>
        </w:tc>
        <w:tc>
          <w:tcPr>
            <w:tcW w:w="825" w:type="dxa"/>
            <w:tcBorders>
              <w:tl2br w:val="nil"/>
              <w:tr2bl w:val="nil"/>
            </w:tcBorders>
            <w:noWrap w:val="0"/>
            <w:vAlign w:val="center"/>
          </w:tcPr>
          <w:p w14:paraId="054B222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2</w:t>
            </w:r>
          </w:p>
        </w:tc>
        <w:tc>
          <w:tcPr>
            <w:tcW w:w="2375" w:type="dxa"/>
            <w:gridSpan w:val="2"/>
            <w:tcBorders>
              <w:tl2br w:val="nil"/>
              <w:tr2bl w:val="nil"/>
            </w:tcBorders>
            <w:noWrap w:val="0"/>
            <w:vAlign w:val="center"/>
          </w:tcPr>
          <w:p w14:paraId="6E8BA45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0~0.2m</w:t>
            </w:r>
          </w:p>
        </w:tc>
        <w:tc>
          <w:tcPr>
            <w:tcW w:w="936" w:type="dxa"/>
            <w:vMerge w:val="continue"/>
            <w:tcBorders>
              <w:tl2br w:val="nil"/>
              <w:tr2bl w:val="nil"/>
            </w:tcBorders>
            <w:noWrap w:val="0"/>
            <w:vAlign w:val="center"/>
          </w:tcPr>
          <w:p w14:paraId="123F0562">
            <w:pPr>
              <w:snapToGrid w:val="0"/>
              <w:jc w:val="center"/>
              <w:rPr>
                <w:rFonts w:ascii="Times New Roman" w:hAnsi="Times New Roman" w:eastAsia="宋体"/>
                <w:color w:val="auto"/>
                <w:szCs w:val="21"/>
                <w:highlight w:val="none"/>
              </w:rPr>
            </w:pPr>
          </w:p>
        </w:tc>
      </w:tr>
      <w:tr w14:paraId="70DC9D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1A9430D2">
            <w:pPr>
              <w:snapToGrid w:val="0"/>
              <w:jc w:val="center"/>
              <w:rPr>
                <w:rFonts w:ascii="Times New Roman" w:hAnsi="Times New Roman" w:eastAsia="宋体"/>
                <w:color w:val="auto"/>
                <w:szCs w:val="21"/>
                <w:highlight w:val="none"/>
              </w:rPr>
            </w:pPr>
          </w:p>
        </w:tc>
        <w:tc>
          <w:tcPr>
            <w:tcW w:w="1903" w:type="dxa"/>
            <w:vMerge w:val="continue"/>
            <w:tcBorders>
              <w:tl2br w:val="nil"/>
              <w:tr2bl w:val="nil"/>
            </w:tcBorders>
            <w:noWrap w:val="0"/>
            <w:vAlign w:val="center"/>
          </w:tcPr>
          <w:p w14:paraId="0211ED09">
            <w:pPr>
              <w:snapToGrid w:val="0"/>
              <w:jc w:val="center"/>
              <w:rPr>
                <w:rFonts w:ascii="Times New Roman" w:hAnsi="Times New Roman" w:eastAsia="宋体"/>
                <w:color w:val="auto"/>
                <w:szCs w:val="21"/>
                <w:highlight w:val="none"/>
              </w:rPr>
            </w:pPr>
          </w:p>
        </w:tc>
        <w:tc>
          <w:tcPr>
            <w:tcW w:w="973" w:type="dxa"/>
            <w:tcBorders>
              <w:tl2br w:val="nil"/>
              <w:tr2bl w:val="nil"/>
            </w:tcBorders>
            <w:noWrap w:val="0"/>
            <w:vAlign w:val="center"/>
          </w:tcPr>
          <w:p w14:paraId="4E321F3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柱状样点数</w:t>
            </w:r>
          </w:p>
        </w:tc>
        <w:tc>
          <w:tcPr>
            <w:tcW w:w="930" w:type="dxa"/>
            <w:tcBorders>
              <w:tl2br w:val="nil"/>
              <w:tr2bl w:val="nil"/>
            </w:tcBorders>
            <w:noWrap w:val="0"/>
            <w:vAlign w:val="center"/>
          </w:tcPr>
          <w:p w14:paraId="0D55169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3</w:t>
            </w:r>
          </w:p>
        </w:tc>
        <w:tc>
          <w:tcPr>
            <w:tcW w:w="825" w:type="dxa"/>
            <w:tcBorders>
              <w:tl2br w:val="nil"/>
              <w:tr2bl w:val="nil"/>
            </w:tcBorders>
            <w:noWrap w:val="0"/>
            <w:vAlign w:val="center"/>
          </w:tcPr>
          <w:p w14:paraId="1602D1D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w:t>
            </w:r>
          </w:p>
        </w:tc>
        <w:tc>
          <w:tcPr>
            <w:tcW w:w="2375" w:type="dxa"/>
            <w:gridSpan w:val="2"/>
            <w:tcBorders>
              <w:tl2br w:val="nil"/>
              <w:tr2bl w:val="nil"/>
            </w:tcBorders>
            <w:noWrap w:val="0"/>
            <w:vAlign w:val="center"/>
          </w:tcPr>
          <w:p w14:paraId="79F695B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0~0.5m/0.5~1.5m/1.5m~3.0m</w:t>
            </w:r>
          </w:p>
        </w:tc>
        <w:tc>
          <w:tcPr>
            <w:tcW w:w="936" w:type="dxa"/>
            <w:vMerge w:val="continue"/>
            <w:tcBorders>
              <w:tl2br w:val="nil"/>
              <w:tr2bl w:val="nil"/>
            </w:tcBorders>
            <w:noWrap w:val="0"/>
            <w:vAlign w:val="center"/>
          </w:tcPr>
          <w:p w14:paraId="58282FF6">
            <w:pPr>
              <w:snapToGrid w:val="0"/>
              <w:jc w:val="center"/>
              <w:rPr>
                <w:rFonts w:ascii="Times New Roman" w:hAnsi="Times New Roman" w:eastAsia="宋体"/>
                <w:color w:val="auto"/>
                <w:szCs w:val="21"/>
                <w:highlight w:val="none"/>
              </w:rPr>
            </w:pPr>
          </w:p>
        </w:tc>
      </w:tr>
      <w:tr w14:paraId="40A15E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5C171E9E">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69405B5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现状监测因子</w:t>
            </w:r>
          </w:p>
        </w:tc>
        <w:tc>
          <w:tcPr>
            <w:tcW w:w="5103" w:type="dxa"/>
            <w:gridSpan w:val="5"/>
            <w:tcBorders>
              <w:tl2br w:val="nil"/>
              <w:tr2bl w:val="nil"/>
            </w:tcBorders>
            <w:noWrap w:val="0"/>
            <w:vAlign w:val="center"/>
          </w:tcPr>
          <w:p w14:paraId="45617D3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GB36600基础45项指标</w:t>
            </w:r>
          </w:p>
        </w:tc>
        <w:tc>
          <w:tcPr>
            <w:tcW w:w="936" w:type="dxa"/>
            <w:tcBorders>
              <w:tl2br w:val="nil"/>
              <w:tr2bl w:val="nil"/>
            </w:tcBorders>
            <w:noWrap w:val="0"/>
            <w:vAlign w:val="center"/>
          </w:tcPr>
          <w:p w14:paraId="35992642">
            <w:pPr>
              <w:snapToGrid w:val="0"/>
              <w:jc w:val="center"/>
              <w:rPr>
                <w:rFonts w:ascii="Times New Roman" w:hAnsi="Times New Roman" w:eastAsia="宋体"/>
                <w:color w:val="auto"/>
                <w:szCs w:val="21"/>
                <w:highlight w:val="none"/>
              </w:rPr>
            </w:pPr>
          </w:p>
        </w:tc>
      </w:tr>
      <w:tr w14:paraId="5A4BF6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restart"/>
            <w:tcBorders>
              <w:tl2br w:val="nil"/>
              <w:tr2bl w:val="nil"/>
            </w:tcBorders>
            <w:noWrap w:val="0"/>
            <w:vAlign w:val="center"/>
          </w:tcPr>
          <w:p w14:paraId="6E97972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现状评价</w:t>
            </w:r>
          </w:p>
        </w:tc>
        <w:tc>
          <w:tcPr>
            <w:tcW w:w="1903" w:type="dxa"/>
            <w:tcBorders>
              <w:tl2br w:val="nil"/>
              <w:tr2bl w:val="nil"/>
            </w:tcBorders>
            <w:noWrap w:val="0"/>
            <w:vAlign w:val="center"/>
          </w:tcPr>
          <w:p w14:paraId="2C0DDAED">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评价因子</w:t>
            </w:r>
          </w:p>
        </w:tc>
        <w:tc>
          <w:tcPr>
            <w:tcW w:w="5103" w:type="dxa"/>
            <w:gridSpan w:val="5"/>
            <w:tcBorders>
              <w:tl2br w:val="nil"/>
              <w:tr2bl w:val="nil"/>
            </w:tcBorders>
            <w:noWrap w:val="0"/>
            <w:vAlign w:val="center"/>
          </w:tcPr>
          <w:p w14:paraId="4FC30A6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GB36600基础45项指标</w:t>
            </w:r>
          </w:p>
        </w:tc>
        <w:tc>
          <w:tcPr>
            <w:tcW w:w="936" w:type="dxa"/>
            <w:tcBorders>
              <w:tl2br w:val="nil"/>
              <w:tr2bl w:val="nil"/>
            </w:tcBorders>
            <w:noWrap w:val="0"/>
            <w:vAlign w:val="center"/>
          </w:tcPr>
          <w:p w14:paraId="2C3CA5E7">
            <w:pPr>
              <w:snapToGrid w:val="0"/>
              <w:jc w:val="center"/>
              <w:rPr>
                <w:rFonts w:ascii="Times New Roman" w:hAnsi="Times New Roman" w:eastAsia="宋体"/>
                <w:color w:val="auto"/>
                <w:szCs w:val="21"/>
                <w:highlight w:val="none"/>
              </w:rPr>
            </w:pPr>
          </w:p>
        </w:tc>
      </w:tr>
      <w:tr w14:paraId="460332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62A6309F">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6252C11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评价标准</w:t>
            </w:r>
          </w:p>
        </w:tc>
        <w:tc>
          <w:tcPr>
            <w:tcW w:w="5103" w:type="dxa"/>
            <w:gridSpan w:val="5"/>
            <w:tcBorders>
              <w:tl2br w:val="nil"/>
              <w:tr2bl w:val="nil"/>
            </w:tcBorders>
            <w:noWrap w:val="0"/>
            <w:vAlign w:val="center"/>
          </w:tcPr>
          <w:p w14:paraId="3197DDC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GB15618□；GB36600</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；表D.1□；表D.2□；其他（</w:t>
            </w:r>
            <w:r>
              <w:rPr>
                <w:rFonts w:ascii="Times New Roman" w:hAnsi="Times New Roman" w:eastAsia="宋体"/>
                <w:color w:val="auto"/>
                <w:szCs w:val="21"/>
                <w:highlight w:val="none"/>
              </w:rPr>
              <w:tab/>
            </w:r>
            <w:r>
              <w:rPr>
                <w:rFonts w:ascii="Times New Roman" w:hAnsi="Times New Roman" w:eastAsia="宋体"/>
                <w:color w:val="auto"/>
                <w:szCs w:val="21"/>
                <w:highlight w:val="none"/>
              </w:rPr>
              <w:t>）</w:t>
            </w:r>
          </w:p>
        </w:tc>
        <w:tc>
          <w:tcPr>
            <w:tcW w:w="936" w:type="dxa"/>
            <w:tcBorders>
              <w:tl2br w:val="nil"/>
              <w:tr2bl w:val="nil"/>
            </w:tcBorders>
            <w:noWrap w:val="0"/>
            <w:vAlign w:val="center"/>
          </w:tcPr>
          <w:p w14:paraId="7C684C51">
            <w:pPr>
              <w:snapToGrid w:val="0"/>
              <w:jc w:val="center"/>
              <w:rPr>
                <w:rFonts w:ascii="Times New Roman" w:hAnsi="Times New Roman" w:eastAsia="宋体"/>
                <w:color w:val="auto"/>
                <w:szCs w:val="21"/>
                <w:highlight w:val="none"/>
              </w:rPr>
            </w:pPr>
          </w:p>
        </w:tc>
      </w:tr>
      <w:tr w14:paraId="76FE69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68DC07D9">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1E74682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现状评价结论</w:t>
            </w:r>
          </w:p>
        </w:tc>
        <w:tc>
          <w:tcPr>
            <w:tcW w:w="5103" w:type="dxa"/>
            <w:gridSpan w:val="5"/>
            <w:tcBorders>
              <w:tl2br w:val="nil"/>
              <w:tr2bl w:val="nil"/>
            </w:tcBorders>
            <w:noWrap w:val="0"/>
            <w:vAlign w:val="center"/>
          </w:tcPr>
          <w:p w14:paraId="22C0FAA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满足标准要求</w:t>
            </w:r>
          </w:p>
        </w:tc>
        <w:tc>
          <w:tcPr>
            <w:tcW w:w="936" w:type="dxa"/>
            <w:tcBorders>
              <w:tl2br w:val="nil"/>
              <w:tr2bl w:val="nil"/>
            </w:tcBorders>
            <w:noWrap w:val="0"/>
            <w:vAlign w:val="center"/>
          </w:tcPr>
          <w:p w14:paraId="3280DF6A">
            <w:pPr>
              <w:snapToGrid w:val="0"/>
              <w:jc w:val="center"/>
              <w:rPr>
                <w:rFonts w:ascii="Times New Roman" w:hAnsi="Times New Roman" w:eastAsia="宋体"/>
                <w:color w:val="auto"/>
                <w:szCs w:val="21"/>
                <w:highlight w:val="none"/>
              </w:rPr>
            </w:pPr>
          </w:p>
        </w:tc>
      </w:tr>
      <w:tr w14:paraId="36E8CE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restart"/>
            <w:tcBorders>
              <w:tl2br w:val="nil"/>
              <w:tr2bl w:val="nil"/>
            </w:tcBorders>
            <w:noWrap w:val="0"/>
            <w:vAlign w:val="center"/>
          </w:tcPr>
          <w:p w14:paraId="54274DFB">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影响预测</w:t>
            </w:r>
          </w:p>
        </w:tc>
        <w:tc>
          <w:tcPr>
            <w:tcW w:w="1903" w:type="dxa"/>
            <w:tcBorders>
              <w:tl2br w:val="nil"/>
              <w:tr2bl w:val="nil"/>
            </w:tcBorders>
            <w:noWrap w:val="0"/>
            <w:vAlign w:val="center"/>
          </w:tcPr>
          <w:p w14:paraId="73C334D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预测因子</w:t>
            </w:r>
          </w:p>
        </w:tc>
        <w:tc>
          <w:tcPr>
            <w:tcW w:w="5103" w:type="dxa"/>
            <w:gridSpan w:val="5"/>
            <w:tcBorders>
              <w:tl2br w:val="nil"/>
              <w:tr2bl w:val="nil"/>
            </w:tcBorders>
            <w:noWrap w:val="0"/>
            <w:vAlign w:val="center"/>
          </w:tcPr>
          <w:p w14:paraId="76059891">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Cr</w:t>
            </w:r>
          </w:p>
        </w:tc>
        <w:tc>
          <w:tcPr>
            <w:tcW w:w="936" w:type="dxa"/>
            <w:tcBorders>
              <w:tl2br w:val="nil"/>
              <w:tr2bl w:val="nil"/>
            </w:tcBorders>
            <w:noWrap w:val="0"/>
            <w:vAlign w:val="center"/>
          </w:tcPr>
          <w:p w14:paraId="58DD9483">
            <w:pPr>
              <w:snapToGrid w:val="0"/>
              <w:jc w:val="center"/>
              <w:rPr>
                <w:rFonts w:ascii="Times New Roman" w:hAnsi="Times New Roman" w:eastAsia="宋体"/>
                <w:color w:val="auto"/>
                <w:szCs w:val="21"/>
                <w:highlight w:val="none"/>
              </w:rPr>
            </w:pPr>
          </w:p>
        </w:tc>
      </w:tr>
      <w:tr w14:paraId="46A3D3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1276AF85">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7A6C079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预测方法</w:t>
            </w:r>
          </w:p>
        </w:tc>
        <w:tc>
          <w:tcPr>
            <w:tcW w:w="5103" w:type="dxa"/>
            <w:gridSpan w:val="5"/>
            <w:tcBorders>
              <w:tl2br w:val="nil"/>
              <w:tr2bl w:val="nil"/>
            </w:tcBorders>
            <w:noWrap w:val="0"/>
            <w:vAlign w:val="center"/>
          </w:tcPr>
          <w:p w14:paraId="5622D6CA">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附录E□；附录F</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；其他（定性预测）</w:t>
            </w:r>
            <w:r>
              <w:rPr>
                <w:rFonts w:hint="eastAsia" w:ascii="Times New Roman" w:hAnsi="Times New Roman" w:eastAsia="Times New Roman" w:cs="Times New Roman"/>
                <w:color w:val="auto"/>
                <w:szCs w:val="21"/>
                <w:highlight w:val="none"/>
              </w:rPr>
              <w:t>☑</w:t>
            </w:r>
          </w:p>
        </w:tc>
        <w:tc>
          <w:tcPr>
            <w:tcW w:w="936" w:type="dxa"/>
            <w:tcBorders>
              <w:tl2br w:val="nil"/>
              <w:tr2bl w:val="nil"/>
            </w:tcBorders>
            <w:noWrap w:val="0"/>
            <w:vAlign w:val="center"/>
          </w:tcPr>
          <w:p w14:paraId="429B8FBF">
            <w:pPr>
              <w:snapToGrid w:val="0"/>
              <w:jc w:val="center"/>
              <w:rPr>
                <w:rFonts w:ascii="Times New Roman" w:hAnsi="Times New Roman" w:eastAsia="宋体"/>
                <w:color w:val="auto"/>
                <w:szCs w:val="21"/>
                <w:highlight w:val="none"/>
              </w:rPr>
            </w:pPr>
          </w:p>
        </w:tc>
      </w:tr>
      <w:tr w14:paraId="73A5BA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5CC6E172">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5B3B309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预测影响分析内容</w:t>
            </w:r>
          </w:p>
        </w:tc>
        <w:tc>
          <w:tcPr>
            <w:tcW w:w="5103" w:type="dxa"/>
            <w:gridSpan w:val="5"/>
            <w:tcBorders>
              <w:tl2br w:val="nil"/>
              <w:tr2bl w:val="nil"/>
            </w:tcBorders>
            <w:noWrap w:val="0"/>
            <w:vAlign w:val="center"/>
          </w:tcPr>
          <w:p w14:paraId="541FCCA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影响程度（在环保措施到位的情况下，可以接受）影响程度（/）</w:t>
            </w:r>
          </w:p>
        </w:tc>
        <w:tc>
          <w:tcPr>
            <w:tcW w:w="936" w:type="dxa"/>
            <w:tcBorders>
              <w:tl2br w:val="nil"/>
              <w:tr2bl w:val="nil"/>
            </w:tcBorders>
            <w:noWrap w:val="0"/>
            <w:vAlign w:val="center"/>
          </w:tcPr>
          <w:p w14:paraId="2A433604">
            <w:pPr>
              <w:snapToGrid w:val="0"/>
              <w:jc w:val="center"/>
              <w:rPr>
                <w:rFonts w:ascii="Times New Roman" w:hAnsi="Times New Roman" w:eastAsia="宋体"/>
                <w:color w:val="auto"/>
                <w:szCs w:val="21"/>
                <w:highlight w:val="none"/>
              </w:rPr>
            </w:pPr>
          </w:p>
        </w:tc>
      </w:tr>
      <w:tr w14:paraId="301860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1213D814">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638CC13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达标结论</w:t>
            </w:r>
          </w:p>
        </w:tc>
        <w:tc>
          <w:tcPr>
            <w:tcW w:w="5103" w:type="dxa"/>
            <w:gridSpan w:val="5"/>
            <w:tcBorders>
              <w:tl2br w:val="nil"/>
              <w:tr2bl w:val="nil"/>
            </w:tcBorders>
            <w:noWrap w:val="0"/>
            <w:vAlign w:val="center"/>
          </w:tcPr>
          <w:p w14:paraId="4A8CDA5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达标结论：a)</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；b)□；c)□不达标结论：a)□；b)□</w:t>
            </w:r>
          </w:p>
        </w:tc>
        <w:tc>
          <w:tcPr>
            <w:tcW w:w="936" w:type="dxa"/>
            <w:tcBorders>
              <w:tl2br w:val="nil"/>
              <w:tr2bl w:val="nil"/>
            </w:tcBorders>
            <w:noWrap w:val="0"/>
            <w:vAlign w:val="center"/>
          </w:tcPr>
          <w:p w14:paraId="5417CC73">
            <w:pPr>
              <w:snapToGrid w:val="0"/>
              <w:jc w:val="center"/>
              <w:rPr>
                <w:rFonts w:ascii="Times New Roman" w:hAnsi="Times New Roman" w:eastAsia="宋体"/>
                <w:color w:val="auto"/>
                <w:szCs w:val="21"/>
                <w:highlight w:val="none"/>
              </w:rPr>
            </w:pPr>
          </w:p>
        </w:tc>
      </w:tr>
      <w:tr w14:paraId="27C569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restart"/>
            <w:tcBorders>
              <w:tl2br w:val="nil"/>
              <w:tr2bl w:val="nil"/>
            </w:tcBorders>
            <w:noWrap w:val="0"/>
            <w:vAlign w:val="center"/>
          </w:tcPr>
          <w:p w14:paraId="7FF15C2F">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防治措施</w:t>
            </w:r>
          </w:p>
        </w:tc>
        <w:tc>
          <w:tcPr>
            <w:tcW w:w="1903" w:type="dxa"/>
            <w:tcBorders>
              <w:tl2br w:val="nil"/>
              <w:tr2bl w:val="nil"/>
            </w:tcBorders>
            <w:noWrap w:val="0"/>
            <w:vAlign w:val="center"/>
          </w:tcPr>
          <w:p w14:paraId="295169AE">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防治措施</w:t>
            </w:r>
          </w:p>
        </w:tc>
        <w:tc>
          <w:tcPr>
            <w:tcW w:w="5103" w:type="dxa"/>
            <w:gridSpan w:val="5"/>
            <w:tcBorders>
              <w:tl2br w:val="nil"/>
              <w:tr2bl w:val="nil"/>
            </w:tcBorders>
            <w:noWrap w:val="0"/>
            <w:vAlign w:val="center"/>
          </w:tcPr>
          <w:p w14:paraId="46AED34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土壤环境质量现状保障；源头控制</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；过程防控</w:t>
            </w:r>
            <w:r>
              <w:rPr>
                <w:rFonts w:hint="eastAsia" w:ascii="Times New Roman" w:hAnsi="Times New Roman" w:eastAsia="Times New Roman" w:cs="Times New Roman"/>
                <w:color w:val="auto"/>
                <w:szCs w:val="21"/>
                <w:highlight w:val="none"/>
              </w:rPr>
              <w:t>☑</w:t>
            </w:r>
            <w:r>
              <w:rPr>
                <w:rFonts w:ascii="Times New Roman" w:hAnsi="Times New Roman" w:eastAsia="宋体"/>
                <w:color w:val="auto"/>
                <w:szCs w:val="21"/>
                <w:highlight w:val="none"/>
              </w:rPr>
              <w:t>；其他（）</w:t>
            </w:r>
          </w:p>
        </w:tc>
        <w:tc>
          <w:tcPr>
            <w:tcW w:w="936" w:type="dxa"/>
            <w:tcBorders>
              <w:tl2br w:val="nil"/>
              <w:tr2bl w:val="nil"/>
            </w:tcBorders>
            <w:noWrap w:val="0"/>
            <w:vAlign w:val="center"/>
          </w:tcPr>
          <w:p w14:paraId="0BC8E552">
            <w:pPr>
              <w:snapToGrid w:val="0"/>
              <w:jc w:val="center"/>
              <w:rPr>
                <w:rFonts w:ascii="Times New Roman" w:hAnsi="Times New Roman" w:eastAsia="宋体"/>
                <w:color w:val="auto"/>
                <w:szCs w:val="21"/>
                <w:highlight w:val="none"/>
              </w:rPr>
            </w:pPr>
          </w:p>
        </w:tc>
      </w:tr>
      <w:tr w14:paraId="042626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12BC5C73">
            <w:pPr>
              <w:snapToGrid w:val="0"/>
              <w:jc w:val="center"/>
              <w:rPr>
                <w:rFonts w:ascii="Times New Roman" w:hAnsi="Times New Roman" w:eastAsia="宋体"/>
                <w:color w:val="auto"/>
                <w:szCs w:val="21"/>
                <w:highlight w:val="none"/>
              </w:rPr>
            </w:pPr>
          </w:p>
        </w:tc>
        <w:tc>
          <w:tcPr>
            <w:tcW w:w="1903" w:type="dxa"/>
            <w:vMerge w:val="restart"/>
            <w:tcBorders>
              <w:tl2br w:val="nil"/>
              <w:tr2bl w:val="nil"/>
            </w:tcBorders>
            <w:noWrap w:val="0"/>
            <w:vAlign w:val="center"/>
          </w:tcPr>
          <w:p w14:paraId="62E41A87">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跟踪监测</w:t>
            </w:r>
          </w:p>
        </w:tc>
        <w:tc>
          <w:tcPr>
            <w:tcW w:w="1903" w:type="dxa"/>
            <w:gridSpan w:val="2"/>
            <w:tcBorders>
              <w:tl2br w:val="nil"/>
              <w:tr2bl w:val="nil"/>
            </w:tcBorders>
            <w:noWrap w:val="0"/>
            <w:vAlign w:val="center"/>
          </w:tcPr>
          <w:p w14:paraId="4BF8A289">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监测点数</w:t>
            </w:r>
          </w:p>
        </w:tc>
        <w:tc>
          <w:tcPr>
            <w:tcW w:w="1426" w:type="dxa"/>
            <w:gridSpan w:val="2"/>
            <w:tcBorders>
              <w:tl2br w:val="nil"/>
              <w:tr2bl w:val="nil"/>
            </w:tcBorders>
            <w:noWrap w:val="0"/>
            <w:vAlign w:val="center"/>
          </w:tcPr>
          <w:p w14:paraId="795E34F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监测指标</w:t>
            </w:r>
          </w:p>
        </w:tc>
        <w:tc>
          <w:tcPr>
            <w:tcW w:w="1774" w:type="dxa"/>
            <w:tcBorders>
              <w:tl2br w:val="nil"/>
              <w:tr2bl w:val="nil"/>
            </w:tcBorders>
            <w:noWrap w:val="0"/>
            <w:vAlign w:val="center"/>
          </w:tcPr>
          <w:p w14:paraId="0717D3B8">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监测频次</w:t>
            </w:r>
          </w:p>
        </w:tc>
        <w:tc>
          <w:tcPr>
            <w:tcW w:w="936" w:type="dxa"/>
            <w:vMerge w:val="restart"/>
            <w:tcBorders>
              <w:tl2br w:val="nil"/>
              <w:tr2bl w:val="nil"/>
            </w:tcBorders>
            <w:noWrap w:val="0"/>
            <w:vAlign w:val="center"/>
          </w:tcPr>
          <w:p w14:paraId="7FAA4F52">
            <w:pPr>
              <w:snapToGrid w:val="0"/>
              <w:jc w:val="center"/>
              <w:rPr>
                <w:rFonts w:ascii="Times New Roman" w:hAnsi="Times New Roman" w:eastAsia="宋体"/>
                <w:color w:val="auto"/>
                <w:szCs w:val="21"/>
                <w:highlight w:val="none"/>
              </w:rPr>
            </w:pPr>
          </w:p>
        </w:tc>
      </w:tr>
      <w:tr w14:paraId="3BF9FD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4C6957EC">
            <w:pPr>
              <w:snapToGrid w:val="0"/>
              <w:jc w:val="center"/>
              <w:rPr>
                <w:rFonts w:ascii="Times New Roman" w:hAnsi="Times New Roman" w:eastAsia="宋体"/>
                <w:color w:val="auto"/>
                <w:szCs w:val="21"/>
                <w:highlight w:val="none"/>
              </w:rPr>
            </w:pPr>
          </w:p>
        </w:tc>
        <w:tc>
          <w:tcPr>
            <w:tcW w:w="1903" w:type="dxa"/>
            <w:vMerge w:val="continue"/>
            <w:tcBorders>
              <w:tl2br w:val="nil"/>
              <w:tr2bl w:val="nil"/>
            </w:tcBorders>
            <w:noWrap w:val="0"/>
            <w:vAlign w:val="center"/>
          </w:tcPr>
          <w:p w14:paraId="2888BB0C">
            <w:pPr>
              <w:snapToGrid w:val="0"/>
              <w:jc w:val="center"/>
              <w:rPr>
                <w:rFonts w:ascii="Times New Roman" w:hAnsi="Times New Roman" w:eastAsia="宋体"/>
                <w:color w:val="auto"/>
                <w:szCs w:val="21"/>
                <w:highlight w:val="none"/>
              </w:rPr>
            </w:pPr>
          </w:p>
        </w:tc>
        <w:tc>
          <w:tcPr>
            <w:tcW w:w="1903" w:type="dxa"/>
            <w:gridSpan w:val="2"/>
            <w:tcBorders>
              <w:tl2br w:val="nil"/>
              <w:tr2bl w:val="nil"/>
            </w:tcBorders>
            <w:noWrap w:val="0"/>
            <w:vAlign w:val="center"/>
          </w:tcPr>
          <w:p w14:paraId="2A197566">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1</w:t>
            </w:r>
          </w:p>
        </w:tc>
        <w:tc>
          <w:tcPr>
            <w:tcW w:w="1426" w:type="dxa"/>
            <w:gridSpan w:val="2"/>
            <w:tcBorders>
              <w:tl2br w:val="nil"/>
              <w:tr2bl w:val="nil"/>
            </w:tcBorders>
            <w:noWrap w:val="0"/>
            <w:vAlign w:val="center"/>
          </w:tcPr>
          <w:p w14:paraId="5714DF4F">
            <w:pPr>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eastAsia="宋体"/>
                <w:color w:val="auto"/>
                <w:szCs w:val="21"/>
                <w:highlight w:val="none"/>
                <w:lang w:val="en-US" w:eastAsia="zh-CN"/>
              </w:rPr>
              <w:t>石油烃</w:t>
            </w:r>
          </w:p>
        </w:tc>
        <w:tc>
          <w:tcPr>
            <w:tcW w:w="1774" w:type="dxa"/>
            <w:tcBorders>
              <w:tl2br w:val="nil"/>
              <w:tr2bl w:val="nil"/>
            </w:tcBorders>
            <w:noWrap w:val="0"/>
            <w:vAlign w:val="center"/>
          </w:tcPr>
          <w:p w14:paraId="5A2D21E2">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每5年监测1次</w:t>
            </w:r>
          </w:p>
        </w:tc>
        <w:tc>
          <w:tcPr>
            <w:tcW w:w="936" w:type="dxa"/>
            <w:vMerge w:val="continue"/>
            <w:tcBorders>
              <w:tl2br w:val="nil"/>
              <w:tr2bl w:val="nil"/>
            </w:tcBorders>
            <w:noWrap w:val="0"/>
            <w:vAlign w:val="center"/>
          </w:tcPr>
          <w:p w14:paraId="390A1E01">
            <w:pPr>
              <w:snapToGrid w:val="0"/>
              <w:jc w:val="center"/>
              <w:rPr>
                <w:rFonts w:ascii="Times New Roman" w:hAnsi="Times New Roman" w:eastAsia="宋体"/>
                <w:color w:val="auto"/>
                <w:szCs w:val="21"/>
                <w:highlight w:val="none"/>
              </w:rPr>
            </w:pPr>
          </w:p>
        </w:tc>
      </w:tr>
      <w:tr w14:paraId="538A5A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797" w:type="dxa"/>
            <w:vMerge w:val="continue"/>
            <w:tcBorders>
              <w:tl2br w:val="nil"/>
              <w:tr2bl w:val="nil"/>
            </w:tcBorders>
            <w:noWrap w:val="0"/>
            <w:vAlign w:val="center"/>
          </w:tcPr>
          <w:p w14:paraId="2A25448F">
            <w:pPr>
              <w:snapToGrid w:val="0"/>
              <w:jc w:val="center"/>
              <w:rPr>
                <w:rFonts w:ascii="Times New Roman" w:hAnsi="Times New Roman" w:eastAsia="宋体"/>
                <w:color w:val="auto"/>
                <w:szCs w:val="21"/>
                <w:highlight w:val="none"/>
              </w:rPr>
            </w:pPr>
          </w:p>
        </w:tc>
        <w:tc>
          <w:tcPr>
            <w:tcW w:w="1903" w:type="dxa"/>
            <w:tcBorders>
              <w:tl2br w:val="nil"/>
              <w:tr2bl w:val="nil"/>
            </w:tcBorders>
            <w:noWrap w:val="0"/>
            <w:vAlign w:val="center"/>
          </w:tcPr>
          <w:p w14:paraId="7853417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信息公开指标</w:t>
            </w:r>
          </w:p>
        </w:tc>
        <w:tc>
          <w:tcPr>
            <w:tcW w:w="5103" w:type="dxa"/>
            <w:gridSpan w:val="5"/>
            <w:tcBorders>
              <w:tl2br w:val="nil"/>
              <w:tr2bl w:val="nil"/>
            </w:tcBorders>
            <w:noWrap w:val="0"/>
            <w:vAlign w:val="center"/>
          </w:tcPr>
          <w:p w14:paraId="1893C2A5">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w:t>
            </w:r>
          </w:p>
        </w:tc>
        <w:tc>
          <w:tcPr>
            <w:tcW w:w="936" w:type="dxa"/>
            <w:tcBorders>
              <w:tl2br w:val="nil"/>
              <w:tr2bl w:val="nil"/>
            </w:tcBorders>
            <w:noWrap w:val="0"/>
            <w:vAlign w:val="center"/>
          </w:tcPr>
          <w:p w14:paraId="3325BC05">
            <w:pPr>
              <w:snapToGrid w:val="0"/>
              <w:jc w:val="center"/>
              <w:rPr>
                <w:rFonts w:ascii="Times New Roman" w:hAnsi="Times New Roman" w:eastAsia="宋体"/>
                <w:color w:val="auto"/>
                <w:szCs w:val="21"/>
                <w:highlight w:val="none"/>
              </w:rPr>
            </w:pPr>
          </w:p>
        </w:tc>
      </w:tr>
      <w:tr w14:paraId="6305B8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jc w:val="center"/>
        </w:trPr>
        <w:tc>
          <w:tcPr>
            <w:tcW w:w="2700" w:type="dxa"/>
            <w:gridSpan w:val="2"/>
            <w:tcBorders>
              <w:tl2br w:val="nil"/>
              <w:tr2bl w:val="nil"/>
            </w:tcBorders>
            <w:noWrap w:val="0"/>
            <w:vAlign w:val="center"/>
          </w:tcPr>
          <w:p w14:paraId="72226C50">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评价结论</w:t>
            </w:r>
          </w:p>
        </w:tc>
        <w:tc>
          <w:tcPr>
            <w:tcW w:w="5103" w:type="dxa"/>
            <w:gridSpan w:val="5"/>
            <w:tcBorders>
              <w:tl2br w:val="nil"/>
              <w:tr2bl w:val="nil"/>
            </w:tcBorders>
            <w:noWrap w:val="0"/>
            <w:vAlign w:val="center"/>
          </w:tcPr>
          <w:p w14:paraId="0F6C9E7C">
            <w:pPr>
              <w:snapToGrid w:val="0"/>
              <w:jc w:val="center"/>
              <w:rPr>
                <w:rFonts w:ascii="Times New Roman" w:hAnsi="Times New Roman" w:eastAsia="宋体"/>
                <w:color w:val="auto"/>
                <w:szCs w:val="21"/>
                <w:highlight w:val="none"/>
              </w:rPr>
            </w:pPr>
            <w:r>
              <w:rPr>
                <w:rFonts w:ascii="Times New Roman" w:hAnsi="Times New Roman" w:eastAsia="宋体"/>
                <w:color w:val="auto"/>
                <w:szCs w:val="21"/>
                <w:highlight w:val="none"/>
              </w:rPr>
              <w:t>本项目运行对土壤环境影响较小，项目可行</w:t>
            </w:r>
          </w:p>
        </w:tc>
        <w:tc>
          <w:tcPr>
            <w:tcW w:w="936" w:type="dxa"/>
            <w:tcBorders>
              <w:tl2br w:val="nil"/>
              <w:tr2bl w:val="nil"/>
            </w:tcBorders>
            <w:noWrap w:val="0"/>
            <w:vAlign w:val="center"/>
          </w:tcPr>
          <w:p w14:paraId="6236EE7E">
            <w:pPr>
              <w:snapToGrid w:val="0"/>
              <w:jc w:val="center"/>
              <w:rPr>
                <w:rFonts w:ascii="Times New Roman" w:hAnsi="Times New Roman" w:eastAsia="宋体"/>
                <w:color w:val="auto"/>
                <w:szCs w:val="21"/>
                <w:highlight w:val="none"/>
              </w:rPr>
            </w:pPr>
          </w:p>
        </w:tc>
      </w:tr>
    </w:tbl>
    <w:p w14:paraId="1FBF11AC">
      <w:pPr>
        <w:pStyle w:val="4"/>
        <w:pageBreakBefore w:val="0"/>
        <w:widowControl w:val="0"/>
        <w:kinsoku/>
        <w:overflowPunct/>
        <w:topLinePunct w:val="0"/>
        <w:autoSpaceDE/>
        <w:autoSpaceDN/>
        <w:bidi w:val="0"/>
        <w:adjustRightInd/>
        <w:snapToGrid w:val="0"/>
        <w:spacing w:after="0" w:afterLines="0"/>
        <w:textAlignment w:val="auto"/>
        <w:rPr>
          <w:color w:val="auto"/>
          <w:highlight w:val="none"/>
        </w:rPr>
      </w:pPr>
      <w:bookmarkStart w:id="495" w:name="_Toc117150269"/>
      <w:bookmarkStart w:id="496" w:name="_Toc152922668"/>
      <w:bookmarkStart w:id="497" w:name="_Toc152923349"/>
      <w:bookmarkStart w:id="498" w:name="_Toc152922074"/>
      <w:bookmarkStart w:id="499" w:name="_Toc152921709"/>
      <w:r>
        <w:rPr>
          <w:color w:val="auto"/>
          <w:highlight w:val="none"/>
        </w:rPr>
        <w:t>5.2.7环境风险影响预测与评价</w:t>
      </w:r>
      <w:bookmarkEnd w:id="495"/>
      <w:bookmarkEnd w:id="496"/>
      <w:bookmarkEnd w:id="497"/>
      <w:bookmarkEnd w:id="498"/>
      <w:bookmarkEnd w:id="499"/>
    </w:p>
    <w:p w14:paraId="006EFE19">
      <w:pPr>
        <w:pStyle w:val="5"/>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7</w:t>
      </w:r>
      <w:r>
        <w:rPr>
          <w:rFonts w:hint="default" w:ascii="Times New Roman" w:hAnsi="Times New Roman" w:eastAsia="宋体" w:cs="Times New Roman"/>
          <w:b/>
          <w:bCs/>
          <w:color w:val="auto"/>
          <w:highlight w:val="none"/>
          <w:lang w:val="en-US" w:eastAsia="zh-CN"/>
        </w:rPr>
        <w:t>.1环境风险潜势初判</w:t>
      </w:r>
    </w:p>
    <w:p w14:paraId="3A005990">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根据《建设项目环境风险评价技术导则》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HJ/T169-2018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相关规定，风险调查主要包括危险物质数量和分布情况、生产工艺特点，收集危险物质安全技术说明书（MSDS）等基础资料。分析建设项目生产、使用、储存过程中涉及的有毒有害、易燃易爆物质，定量分析危险物质数量与临界量的比值（Q）和所属行业及生产工艺特点（M），并按危险物质及工艺系统危险性（P）等级进行判断。</w:t>
      </w:r>
    </w:p>
    <w:p w14:paraId="506788F1">
      <w:pPr>
        <w:keepNext w:val="0"/>
        <w:keepLines w:val="0"/>
        <w:pageBreakBefore w:val="0"/>
        <w:widowControl w:val="0"/>
        <w:numPr>
          <w:ilvl w:val="0"/>
          <w:numId w:val="4"/>
        </w:numPr>
        <w:kinsoku/>
        <w:wordWrap/>
        <w:overflowPunct/>
        <w:topLinePunct w:val="0"/>
        <w:autoSpaceDE/>
        <w:autoSpaceDN/>
        <w:bidi w:val="0"/>
        <w:adjustRightInd w:val="0"/>
        <w:snapToGrid/>
        <w:spacing w:line="360" w:lineRule="auto"/>
        <w:ind w:firstLine="482" w:firstLineChars="200"/>
        <w:jc w:val="left"/>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建设项目风险源调查</w:t>
      </w:r>
    </w:p>
    <w:p w14:paraId="0E55EC08">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ascii="Times New Roman" w:hAnsi="Times New Roman" w:eastAsia="宋体" w:cs="Times New Roman"/>
          <w:color w:val="auto"/>
          <w:sz w:val="24"/>
          <w:szCs w:val="24"/>
          <w:highlight w:val="none"/>
        </w:rPr>
        <w:t>根据《建设项目环境风险评价技术导则》（HJ169-2018）判定，本次工程所涉及的危险物质有</w:t>
      </w:r>
      <w:r>
        <w:rPr>
          <w:rFonts w:hint="eastAsia" w:ascii="Times New Roman" w:hAnsi="Times New Roman" w:eastAsia="宋体" w:cs="Times New Roman"/>
          <w:color w:val="auto"/>
          <w:sz w:val="24"/>
          <w:szCs w:val="24"/>
          <w:highlight w:val="none"/>
          <w:lang w:val="en-US" w:eastAsia="zh-CN"/>
        </w:rPr>
        <w:t>柴油、汽油、净化沼气等，项目使用的催化剂、吸附剂（废活性炭）、储罐清洗时产生的废矿物油、油罐清洗产生的油渣更换前均与有危废处置资质单位联系，派专用车辆前来清理，直接清运统一交由资质单位处理，不在站内存储。</w:t>
      </w:r>
    </w:p>
    <w:p w14:paraId="4374B005">
      <w:pPr>
        <w:keepNext w:val="0"/>
        <w:keepLines w:val="0"/>
        <w:pageBreakBefore w:val="0"/>
        <w:widowControl/>
        <w:kinsoku/>
        <w:wordWrap w:val="0"/>
        <w:overflowPunct/>
        <w:topLinePunct w:val="0"/>
        <w:autoSpaceDE/>
        <w:autoSpaceDN/>
        <w:bidi w:val="0"/>
        <w:adjustRightInd/>
        <w:snapToGrid/>
        <w:spacing w:line="360" w:lineRule="auto"/>
        <w:ind w:firstLine="0" w:firstLineChars="0"/>
        <w:jc w:val="center"/>
        <w:textAlignment w:val="auto"/>
        <w:rPr>
          <w:rFonts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w:t>
      </w:r>
      <w:r>
        <w:rPr>
          <w:rFonts w:hint="default" w:ascii="Times New Roman" w:hAnsi="Times New Roman" w:eastAsia="宋体" w:cs="Times New Roman"/>
          <w:b/>
          <w:bCs/>
          <w:color w:val="auto"/>
          <w:kern w:val="2"/>
          <w:sz w:val="24"/>
          <w:szCs w:val="21"/>
          <w:highlight w:val="none"/>
          <w:lang w:val="en-US" w:eastAsia="zh-CN" w:bidi="ar-SA"/>
        </w:rPr>
        <w:t>.</w:t>
      </w:r>
      <w:r>
        <w:rPr>
          <w:rFonts w:hint="eastAsia" w:ascii="Times New Roman" w:hAnsi="Times New Roman" w:eastAsia="宋体" w:cs="Times New Roman"/>
          <w:b/>
          <w:bCs/>
          <w:color w:val="auto"/>
          <w:kern w:val="2"/>
          <w:sz w:val="24"/>
          <w:szCs w:val="21"/>
          <w:highlight w:val="none"/>
          <w:lang w:val="en-US" w:eastAsia="zh-CN" w:bidi="ar-SA"/>
        </w:rPr>
        <w:t>2.7</w:t>
      </w:r>
      <w:r>
        <w:rPr>
          <w:rFonts w:hint="default" w:ascii="Times New Roman" w:hAnsi="Times New Roman" w:eastAsia="宋体" w:cs="Times New Roman"/>
          <w:b/>
          <w:bCs/>
          <w:color w:val="auto"/>
          <w:kern w:val="2"/>
          <w:sz w:val="24"/>
          <w:szCs w:val="21"/>
          <w:highlight w:val="none"/>
          <w:lang w:val="en-US" w:eastAsia="zh-CN" w:bidi="ar-SA"/>
        </w:rPr>
        <w:t>-1</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ascii="Times New Roman" w:hAnsi="Times New Roman" w:eastAsia="宋体" w:cs="Times New Roman"/>
          <w:b/>
          <w:bCs/>
          <w:color w:val="auto"/>
          <w:kern w:val="2"/>
          <w:sz w:val="24"/>
          <w:szCs w:val="21"/>
          <w:highlight w:val="none"/>
          <w:lang w:val="en-US" w:eastAsia="zh-CN" w:bidi="ar-SA"/>
        </w:rPr>
        <w:t>拟建项目主要物料存储方式及最大存储量</w:t>
      </w:r>
    </w:p>
    <w:tbl>
      <w:tblPr>
        <w:tblStyle w:val="49"/>
        <w:tblW w:w="841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10"/>
        <w:gridCol w:w="1757"/>
        <w:gridCol w:w="2160"/>
        <w:gridCol w:w="3691"/>
      </w:tblGrid>
      <w:tr w14:paraId="7DEF12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9" w:hRule="atLeast"/>
          <w:jc w:val="center"/>
        </w:trPr>
        <w:tc>
          <w:tcPr>
            <w:tcW w:w="810" w:type="dxa"/>
            <w:tcBorders>
              <w:top w:val="single" w:color="auto" w:sz="4" w:space="0"/>
              <w:left w:val="single" w:color="auto" w:sz="4" w:space="0"/>
              <w:bottom w:val="single" w:color="auto" w:sz="6" w:space="0"/>
              <w:right w:val="single" w:color="auto" w:sz="6" w:space="0"/>
            </w:tcBorders>
            <w:noWrap w:val="0"/>
            <w:vAlign w:val="center"/>
          </w:tcPr>
          <w:p w14:paraId="15B90E5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序号</w:t>
            </w:r>
          </w:p>
        </w:tc>
        <w:tc>
          <w:tcPr>
            <w:tcW w:w="1757" w:type="dxa"/>
            <w:tcBorders>
              <w:top w:val="single" w:color="auto" w:sz="4" w:space="0"/>
              <w:left w:val="single" w:color="auto" w:sz="6" w:space="0"/>
              <w:bottom w:val="single" w:color="auto" w:sz="6" w:space="0"/>
              <w:right w:val="single" w:color="auto" w:sz="6" w:space="0"/>
            </w:tcBorders>
            <w:noWrap w:val="0"/>
            <w:vAlign w:val="center"/>
          </w:tcPr>
          <w:p w14:paraId="286DE4B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危险物质名称</w:t>
            </w:r>
          </w:p>
        </w:tc>
        <w:tc>
          <w:tcPr>
            <w:tcW w:w="2160" w:type="dxa"/>
            <w:tcBorders>
              <w:top w:val="single" w:color="auto" w:sz="4" w:space="0"/>
              <w:left w:val="single" w:color="auto" w:sz="6" w:space="0"/>
              <w:bottom w:val="single" w:color="auto" w:sz="6" w:space="0"/>
              <w:right w:val="single" w:color="auto" w:sz="6" w:space="0"/>
            </w:tcBorders>
            <w:noWrap w:val="0"/>
            <w:vAlign w:val="center"/>
          </w:tcPr>
          <w:p w14:paraId="0456D91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CAS号</w:t>
            </w:r>
          </w:p>
        </w:tc>
        <w:tc>
          <w:tcPr>
            <w:tcW w:w="3691" w:type="dxa"/>
            <w:tcBorders>
              <w:top w:val="single" w:color="auto" w:sz="4" w:space="0"/>
              <w:left w:val="single" w:color="auto" w:sz="6" w:space="0"/>
              <w:bottom w:val="single" w:color="auto" w:sz="6" w:space="0"/>
              <w:right w:val="single" w:color="auto" w:sz="4" w:space="0"/>
            </w:tcBorders>
            <w:noWrap w:val="0"/>
            <w:vAlign w:val="center"/>
          </w:tcPr>
          <w:p w14:paraId="533E2B7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val="0"/>
                <w:color w:val="auto"/>
                <w:kern w:val="2"/>
                <w:sz w:val="21"/>
                <w:szCs w:val="21"/>
                <w:highlight w:val="none"/>
                <w:lang w:val="en-US" w:eastAsia="zh-CN" w:bidi="ar-SA"/>
              </w:rPr>
            </w:pPr>
            <w:r>
              <w:rPr>
                <w:rFonts w:hint="default" w:ascii="Times New Roman" w:hAnsi="Times New Roman" w:eastAsia="宋体" w:cs="Times New Roman"/>
                <w:b/>
                <w:bCs w:val="0"/>
                <w:color w:val="auto"/>
                <w:kern w:val="2"/>
                <w:sz w:val="21"/>
                <w:szCs w:val="21"/>
                <w:highlight w:val="none"/>
                <w:lang w:val="en-US" w:eastAsia="zh-CN" w:bidi="ar-SA"/>
              </w:rPr>
              <w:t>项目危险物质量qn/t</w:t>
            </w:r>
          </w:p>
        </w:tc>
      </w:tr>
      <w:tr w14:paraId="6E5967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2" w:hRule="atLeast"/>
          <w:jc w:val="center"/>
        </w:trPr>
        <w:tc>
          <w:tcPr>
            <w:tcW w:w="810" w:type="dxa"/>
            <w:tcBorders>
              <w:top w:val="single" w:color="auto" w:sz="6" w:space="0"/>
              <w:left w:val="single" w:color="auto" w:sz="4" w:space="0"/>
              <w:bottom w:val="single" w:color="auto" w:sz="6" w:space="0"/>
              <w:right w:val="single" w:color="auto" w:sz="6" w:space="0"/>
            </w:tcBorders>
            <w:noWrap w:val="0"/>
            <w:vAlign w:val="center"/>
          </w:tcPr>
          <w:p w14:paraId="21C0B20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757" w:type="dxa"/>
            <w:tcBorders>
              <w:top w:val="single" w:color="auto" w:sz="6" w:space="0"/>
              <w:left w:val="single" w:color="auto" w:sz="6" w:space="0"/>
              <w:bottom w:val="single" w:color="auto" w:sz="6" w:space="0"/>
              <w:right w:val="single" w:color="auto" w:sz="6" w:space="0"/>
            </w:tcBorders>
            <w:noWrap w:val="0"/>
            <w:vAlign w:val="center"/>
          </w:tcPr>
          <w:p w14:paraId="32B2478F">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柴油</w:t>
            </w:r>
          </w:p>
        </w:tc>
        <w:tc>
          <w:tcPr>
            <w:tcW w:w="2160" w:type="dxa"/>
            <w:tcBorders>
              <w:top w:val="single" w:color="auto" w:sz="6" w:space="0"/>
              <w:left w:val="single" w:color="auto" w:sz="6" w:space="0"/>
              <w:bottom w:val="single" w:color="auto" w:sz="6" w:space="0"/>
              <w:right w:val="single" w:color="auto" w:sz="6" w:space="0"/>
            </w:tcBorders>
            <w:noWrap w:val="0"/>
            <w:vAlign w:val="center"/>
          </w:tcPr>
          <w:p w14:paraId="2099705A">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691" w:type="dxa"/>
            <w:tcBorders>
              <w:top w:val="single" w:color="auto" w:sz="6" w:space="0"/>
              <w:left w:val="single" w:color="auto" w:sz="6" w:space="0"/>
              <w:bottom w:val="single" w:color="auto" w:sz="6" w:space="0"/>
              <w:right w:val="single" w:color="auto" w:sz="4" w:space="0"/>
            </w:tcBorders>
            <w:noWrap w:val="0"/>
            <w:vAlign w:val="center"/>
          </w:tcPr>
          <w:p w14:paraId="3359F89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22</w:t>
            </w:r>
          </w:p>
        </w:tc>
      </w:tr>
      <w:tr w14:paraId="0B5CD0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2" w:hRule="atLeast"/>
          <w:jc w:val="center"/>
        </w:trPr>
        <w:tc>
          <w:tcPr>
            <w:tcW w:w="810" w:type="dxa"/>
            <w:tcBorders>
              <w:top w:val="single" w:color="auto" w:sz="6" w:space="0"/>
              <w:left w:val="single" w:color="auto" w:sz="4" w:space="0"/>
              <w:bottom w:val="single" w:color="auto" w:sz="6" w:space="0"/>
              <w:right w:val="single" w:color="auto" w:sz="6" w:space="0"/>
            </w:tcBorders>
            <w:noWrap w:val="0"/>
            <w:vAlign w:val="center"/>
          </w:tcPr>
          <w:p w14:paraId="0E57146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757" w:type="dxa"/>
            <w:tcBorders>
              <w:top w:val="single" w:color="auto" w:sz="6" w:space="0"/>
              <w:left w:val="single" w:color="auto" w:sz="6" w:space="0"/>
              <w:bottom w:val="single" w:color="auto" w:sz="6" w:space="0"/>
              <w:right w:val="single" w:color="auto" w:sz="6" w:space="0"/>
            </w:tcBorders>
            <w:noWrap w:val="0"/>
            <w:vAlign w:val="center"/>
          </w:tcPr>
          <w:p w14:paraId="611B18A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汽油</w:t>
            </w:r>
          </w:p>
        </w:tc>
        <w:tc>
          <w:tcPr>
            <w:tcW w:w="2160" w:type="dxa"/>
            <w:tcBorders>
              <w:top w:val="single" w:color="auto" w:sz="6" w:space="0"/>
              <w:left w:val="single" w:color="auto" w:sz="6" w:space="0"/>
              <w:bottom w:val="single" w:color="auto" w:sz="6" w:space="0"/>
              <w:right w:val="single" w:color="auto" w:sz="6" w:space="0"/>
            </w:tcBorders>
            <w:noWrap w:val="0"/>
            <w:vAlign w:val="center"/>
          </w:tcPr>
          <w:p w14:paraId="5D74C4A6">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691" w:type="dxa"/>
            <w:tcBorders>
              <w:top w:val="single" w:color="auto" w:sz="6" w:space="0"/>
              <w:left w:val="single" w:color="auto" w:sz="6" w:space="0"/>
              <w:bottom w:val="single" w:color="auto" w:sz="6" w:space="0"/>
              <w:right w:val="single" w:color="auto" w:sz="4" w:space="0"/>
            </w:tcBorders>
            <w:noWrap w:val="0"/>
            <w:vAlign w:val="center"/>
          </w:tcPr>
          <w:p w14:paraId="5DBA24B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41</w:t>
            </w:r>
          </w:p>
        </w:tc>
      </w:tr>
      <w:tr w14:paraId="4FC61C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810" w:type="dxa"/>
            <w:tcBorders>
              <w:top w:val="single" w:color="auto" w:sz="6" w:space="0"/>
              <w:left w:val="single" w:color="auto" w:sz="4" w:space="0"/>
              <w:bottom w:val="single" w:color="auto" w:sz="6" w:space="0"/>
              <w:right w:val="single" w:color="auto" w:sz="6" w:space="0"/>
            </w:tcBorders>
            <w:noWrap w:val="0"/>
            <w:vAlign w:val="center"/>
          </w:tcPr>
          <w:p w14:paraId="6FEEDAE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757" w:type="dxa"/>
            <w:tcBorders>
              <w:top w:val="single" w:color="auto" w:sz="6" w:space="0"/>
              <w:left w:val="single" w:color="auto" w:sz="6" w:space="0"/>
              <w:bottom w:val="single" w:color="auto" w:sz="6" w:space="0"/>
              <w:right w:val="single" w:color="auto" w:sz="6" w:space="0"/>
            </w:tcBorders>
            <w:noWrap w:val="0"/>
            <w:vAlign w:val="center"/>
          </w:tcPr>
          <w:p w14:paraId="68DBA13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甲烷（净化沼气）</w:t>
            </w:r>
          </w:p>
        </w:tc>
        <w:tc>
          <w:tcPr>
            <w:tcW w:w="2160" w:type="dxa"/>
            <w:tcBorders>
              <w:top w:val="single" w:color="auto" w:sz="6" w:space="0"/>
              <w:left w:val="single" w:color="auto" w:sz="6" w:space="0"/>
              <w:bottom w:val="single" w:color="auto" w:sz="6" w:space="0"/>
              <w:right w:val="single" w:color="auto" w:sz="6" w:space="0"/>
            </w:tcBorders>
            <w:noWrap w:val="0"/>
            <w:vAlign w:val="center"/>
          </w:tcPr>
          <w:p w14:paraId="5E4BAC6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74-82-8</w:t>
            </w:r>
          </w:p>
        </w:tc>
        <w:tc>
          <w:tcPr>
            <w:tcW w:w="3691" w:type="dxa"/>
            <w:tcBorders>
              <w:top w:val="single" w:color="auto" w:sz="6" w:space="0"/>
              <w:left w:val="single" w:color="auto" w:sz="6" w:space="0"/>
              <w:bottom w:val="single" w:color="auto" w:sz="6" w:space="0"/>
              <w:right w:val="single" w:color="auto" w:sz="4" w:space="0"/>
            </w:tcBorders>
            <w:noWrap w:val="0"/>
            <w:vAlign w:val="center"/>
          </w:tcPr>
          <w:p w14:paraId="3CBD13E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6.72</w:t>
            </w:r>
          </w:p>
        </w:tc>
      </w:tr>
      <w:tr w14:paraId="7A3EE2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2" w:hRule="atLeast"/>
          <w:jc w:val="center"/>
        </w:trPr>
        <w:tc>
          <w:tcPr>
            <w:tcW w:w="8418" w:type="dxa"/>
            <w:gridSpan w:val="4"/>
            <w:tcBorders>
              <w:top w:val="single" w:color="auto" w:sz="6" w:space="0"/>
              <w:left w:val="single" w:color="auto" w:sz="4" w:space="0"/>
              <w:bottom w:val="single" w:color="auto" w:sz="6" w:space="0"/>
              <w:right w:val="single" w:color="auto" w:sz="4" w:space="0"/>
            </w:tcBorders>
            <w:noWrap w:val="0"/>
            <w:vAlign w:val="center"/>
          </w:tcPr>
          <w:p w14:paraId="3742C560">
            <w:pPr>
              <w:widowControl w:val="0"/>
              <w:wordWrap w:val="0"/>
              <w:bidi w:val="0"/>
              <w:adjustRightInd w:val="0"/>
              <w:snapToGrid w:val="0"/>
              <w:spacing w:line="240" w:lineRule="auto"/>
              <w:ind w:firstLine="0" w:firstLineChars="0"/>
              <w:jc w:val="left"/>
              <w:textAlignment w:val="baseline"/>
              <w:rPr>
                <w:rFonts w:hint="eastAsia"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项目沼气中甲烷含量＞98%，其余物质均为碳氢化合物，甲烷含量按100%计，沼气最大暂存量计算过程如下：</w:t>
            </w:r>
          </w:p>
          <w:p w14:paraId="63D2B7CA">
            <w:pPr>
              <w:widowControl w:val="0"/>
              <w:wordWrap w:val="0"/>
              <w:bidi w:val="0"/>
              <w:adjustRightInd w:val="0"/>
              <w:snapToGrid w:val="0"/>
              <w:spacing w:line="240" w:lineRule="auto"/>
              <w:ind w:firstLine="0" w:firstLineChars="0"/>
              <w:jc w:val="left"/>
              <w:textAlignment w:val="baseline"/>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生物燃气停车位：体积26m</w:t>
            </w:r>
            <w:r>
              <w:rPr>
                <w:rFonts w:hint="eastAsia" w:ascii="Times New Roman" w:hAnsi="Times New Roman" w:eastAsia="宋体" w:cs="Times New Roman"/>
                <w:b w:val="0"/>
                <w:bCs w:val="0"/>
                <w:color w:val="auto"/>
                <w:kern w:val="2"/>
                <w:sz w:val="18"/>
                <w:szCs w:val="18"/>
                <w:highlight w:val="none"/>
                <w:vertAlign w:val="superscript"/>
                <w:lang w:val="en-US" w:eastAsia="zh-CN" w:bidi="ar-SA"/>
              </w:rPr>
              <w:t>3</w:t>
            </w:r>
            <w:r>
              <w:rPr>
                <w:rFonts w:hint="default" w:ascii="Times New Roman" w:hAnsi="Times New Roman" w:eastAsia="宋体" w:cs="Times New Roman"/>
                <w:b w:val="0"/>
                <w:bCs w:val="0"/>
                <w:color w:val="auto"/>
                <w:kern w:val="2"/>
                <w:sz w:val="18"/>
                <w:szCs w:val="18"/>
                <w:highlight w:val="none"/>
                <w:lang w:val="en-US" w:eastAsia="zh-CN" w:bidi="ar-SA"/>
              </w:rPr>
              <w:t>，压力为20MPa。</w:t>
            </w:r>
          </w:p>
          <w:p w14:paraId="07FB4B08">
            <w:pPr>
              <w:widowControl w:val="0"/>
              <w:wordWrap w:val="0"/>
              <w:bidi w:val="0"/>
              <w:adjustRightInd w:val="0"/>
              <w:snapToGrid w:val="0"/>
              <w:spacing w:line="240" w:lineRule="auto"/>
              <w:ind w:firstLine="0" w:firstLineChars="0"/>
              <w:jc w:val="left"/>
              <w:textAlignment w:val="baseline"/>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根据气体状态方程式PV=mRT/M，计算储气瓶组天然气的总质量。</w:t>
            </w:r>
          </w:p>
          <w:p w14:paraId="3BD75537">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baseline"/>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注：P为气体的压强，单位为Pa</w:t>
            </w:r>
            <w:r>
              <w:rPr>
                <w:rFonts w:hint="eastAsia" w:ascii="Times New Roman" w:hAnsi="Times New Roman" w:eastAsia="宋体" w:cs="Times New Roman"/>
                <w:b w:val="0"/>
                <w:bCs w:val="0"/>
                <w:color w:val="auto"/>
                <w:kern w:val="2"/>
                <w:sz w:val="18"/>
                <w:szCs w:val="18"/>
                <w:highlight w:val="none"/>
                <w:lang w:val="en-US" w:eastAsia="zh-CN" w:bidi="ar-SA"/>
              </w:rPr>
              <w:t>；</w:t>
            </w:r>
          </w:p>
          <w:p w14:paraId="62A54CF2">
            <w:pPr>
              <w:keepNext w:val="0"/>
              <w:keepLines w:val="0"/>
              <w:pageBreakBefore w:val="0"/>
              <w:widowControl w:val="0"/>
              <w:kinsoku/>
              <w:wordWrap w:val="0"/>
              <w:overflowPunct/>
              <w:topLinePunct w:val="0"/>
              <w:autoSpaceDE/>
              <w:autoSpaceDN/>
              <w:bidi w:val="0"/>
              <w:adjustRightInd w:val="0"/>
              <w:snapToGrid w:val="0"/>
              <w:spacing w:line="240" w:lineRule="auto"/>
              <w:ind w:firstLine="360" w:firstLineChars="200"/>
              <w:jc w:val="left"/>
              <w:textAlignment w:val="baseline"/>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V为气体的体积，单位为m²；</w:t>
            </w:r>
          </w:p>
          <w:p w14:paraId="6755EBF2">
            <w:pPr>
              <w:keepNext w:val="0"/>
              <w:keepLines w:val="0"/>
              <w:pageBreakBefore w:val="0"/>
              <w:widowControl w:val="0"/>
              <w:kinsoku/>
              <w:wordWrap w:val="0"/>
              <w:overflowPunct/>
              <w:topLinePunct w:val="0"/>
              <w:autoSpaceDE/>
              <w:autoSpaceDN/>
              <w:bidi w:val="0"/>
              <w:adjustRightInd w:val="0"/>
              <w:snapToGrid w:val="0"/>
              <w:spacing w:line="240" w:lineRule="auto"/>
              <w:ind w:firstLine="360" w:firstLineChars="200"/>
              <w:jc w:val="left"/>
              <w:textAlignment w:val="baseline"/>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m为气体的质量，单位为g</w:t>
            </w:r>
            <w:r>
              <w:rPr>
                <w:rFonts w:hint="eastAsia" w:ascii="Times New Roman" w:hAnsi="Times New Roman" w:eastAsia="宋体" w:cs="Times New Roman"/>
                <w:b w:val="0"/>
                <w:bCs w:val="0"/>
                <w:color w:val="auto"/>
                <w:kern w:val="2"/>
                <w:sz w:val="18"/>
                <w:szCs w:val="18"/>
                <w:highlight w:val="none"/>
                <w:lang w:val="en-US" w:eastAsia="zh-CN" w:bidi="ar-SA"/>
              </w:rPr>
              <w:t>；</w:t>
            </w:r>
            <w:r>
              <w:rPr>
                <w:rFonts w:hint="default" w:ascii="Times New Roman" w:hAnsi="Times New Roman" w:eastAsia="宋体" w:cs="Times New Roman"/>
                <w:b w:val="0"/>
                <w:bCs w:val="0"/>
                <w:color w:val="auto"/>
                <w:kern w:val="2"/>
                <w:sz w:val="18"/>
                <w:szCs w:val="18"/>
                <w:highlight w:val="none"/>
                <w:lang w:val="en-US" w:eastAsia="zh-CN" w:bidi="ar-SA"/>
              </w:rPr>
              <w:t>M为气体的摩尔质量，单位为g/mol</w:t>
            </w:r>
            <w:r>
              <w:rPr>
                <w:rFonts w:hint="eastAsia" w:ascii="Times New Roman" w:hAnsi="Times New Roman" w:eastAsia="宋体" w:cs="Times New Roman"/>
                <w:b w:val="0"/>
                <w:bCs w:val="0"/>
                <w:color w:val="auto"/>
                <w:kern w:val="2"/>
                <w:sz w:val="18"/>
                <w:szCs w:val="18"/>
                <w:highlight w:val="none"/>
                <w:lang w:val="en-US" w:eastAsia="zh-CN" w:bidi="ar-SA"/>
              </w:rPr>
              <w:t>；</w:t>
            </w:r>
          </w:p>
          <w:p w14:paraId="11133FB8">
            <w:pPr>
              <w:keepNext w:val="0"/>
              <w:keepLines w:val="0"/>
              <w:pageBreakBefore w:val="0"/>
              <w:widowControl w:val="0"/>
              <w:kinsoku/>
              <w:wordWrap w:val="0"/>
              <w:overflowPunct/>
              <w:topLinePunct w:val="0"/>
              <w:autoSpaceDE/>
              <w:autoSpaceDN/>
              <w:bidi w:val="0"/>
              <w:adjustRightInd w:val="0"/>
              <w:snapToGrid w:val="0"/>
              <w:spacing w:line="240" w:lineRule="auto"/>
              <w:ind w:firstLine="360" w:firstLineChars="200"/>
              <w:jc w:val="left"/>
              <w:textAlignment w:val="baseline"/>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R为气体常数，值为8.314，单位为J/(mol·k)</w:t>
            </w:r>
            <w:r>
              <w:rPr>
                <w:rFonts w:hint="eastAsia" w:ascii="Times New Roman" w:hAnsi="Times New Roman" w:eastAsia="宋体" w:cs="Times New Roman"/>
                <w:b w:val="0"/>
                <w:bCs w:val="0"/>
                <w:color w:val="auto"/>
                <w:kern w:val="2"/>
                <w:sz w:val="18"/>
                <w:szCs w:val="18"/>
                <w:highlight w:val="none"/>
                <w:lang w:val="en-US" w:eastAsia="zh-CN" w:bidi="ar-SA"/>
              </w:rPr>
              <w:t>；</w:t>
            </w:r>
          </w:p>
          <w:p w14:paraId="30F86919">
            <w:pPr>
              <w:keepNext w:val="0"/>
              <w:keepLines w:val="0"/>
              <w:pageBreakBefore w:val="0"/>
              <w:widowControl w:val="0"/>
              <w:kinsoku/>
              <w:wordWrap w:val="0"/>
              <w:overflowPunct/>
              <w:topLinePunct w:val="0"/>
              <w:autoSpaceDE/>
              <w:autoSpaceDN/>
              <w:bidi w:val="0"/>
              <w:adjustRightInd w:val="0"/>
              <w:snapToGrid w:val="0"/>
              <w:spacing w:line="240" w:lineRule="auto"/>
              <w:ind w:firstLine="360" w:firstLineChars="200"/>
              <w:jc w:val="left"/>
              <w:textAlignment w:val="baseline"/>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则m=PVM/RT=20×106×26×16/(8.314×298)=3.36t</w:t>
            </w:r>
            <w:r>
              <w:rPr>
                <w:rFonts w:hint="eastAsia" w:ascii="Times New Roman" w:hAnsi="Times New Roman" w:eastAsia="宋体" w:cs="Times New Roman"/>
                <w:b w:val="0"/>
                <w:bCs w:val="0"/>
                <w:color w:val="auto"/>
                <w:kern w:val="2"/>
                <w:sz w:val="18"/>
                <w:szCs w:val="18"/>
                <w:highlight w:val="none"/>
                <w:lang w:val="en-US" w:eastAsia="zh-CN" w:bidi="ar-SA"/>
              </w:rPr>
              <w:t>；</w:t>
            </w:r>
          </w:p>
          <w:p w14:paraId="36E5B396">
            <w:pPr>
              <w:widowControl w:val="0"/>
              <w:wordWrap w:val="0"/>
              <w:bidi w:val="0"/>
              <w:adjustRightInd w:val="0"/>
              <w:snapToGrid w:val="0"/>
              <w:spacing w:line="240" w:lineRule="auto"/>
              <w:ind w:firstLine="0" w:firstLineChars="0"/>
              <w:jc w:val="left"/>
              <w:textAlignment w:val="baseline"/>
              <w:rPr>
                <w:rFonts w:hint="default" w:ascii="Times New Roman" w:hAnsi="Times New Roman" w:eastAsia="宋体" w:cs="Times New Roman"/>
                <w:b/>
                <w:bCs/>
                <w:color w:val="auto"/>
                <w:kern w:val="2"/>
                <w:sz w:val="18"/>
                <w:szCs w:val="18"/>
                <w:highlight w:val="none"/>
                <w:lang w:val="en-US" w:eastAsia="zh-CN" w:bidi="ar-SA"/>
              </w:rPr>
            </w:pPr>
            <w:r>
              <w:rPr>
                <w:rFonts w:hint="default" w:ascii="Times New Roman" w:hAnsi="Times New Roman" w:eastAsia="宋体" w:cs="Times New Roman"/>
                <w:b w:val="0"/>
                <w:bCs w:val="0"/>
                <w:color w:val="auto"/>
                <w:kern w:val="2"/>
                <w:sz w:val="18"/>
                <w:szCs w:val="18"/>
                <w:highlight w:val="none"/>
                <w:lang w:val="en-US" w:eastAsia="zh-CN" w:bidi="ar-SA"/>
              </w:rPr>
              <w:t>2个生物燃气停车位总质量为：2×3.36=6.72t。</w:t>
            </w:r>
          </w:p>
        </w:tc>
      </w:tr>
    </w:tbl>
    <w:p w14:paraId="77CE4B58">
      <w:pPr>
        <w:wordWrap w:val="0"/>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w:t>
      </w: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）危险物质数量与临界量比值（Q）</w:t>
      </w:r>
    </w:p>
    <w:p w14:paraId="13CFDA4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计算所涉及的每种危险物质在厂界内的最大存在总量与其在附录B中对应临界量的比值Q。在不同厂区的同一种物质，按其在厂界内的最大存在总量计算。</w:t>
      </w:r>
    </w:p>
    <w:p w14:paraId="147F198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当只涉及一种危险物质时，计算该物质的总量与其临界量比值，即为Q；</w:t>
      </w:r>
    </w:p>
    <w:p w14:paraId="5ECE50E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当存在多种危险物质时，则按下式计算物质总量与其临界量比值（Q）；</w:t>
      </w:r>
    </w:p>
    <w:p w14:paraId="5C8E5B9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Q=q</w: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1</w:t>
      </w:r>
      <w:r>
        <w:rPr>
          <w:rFonts w:hint="eastAsia" w:ascii="Times New Roman" w:hAnsi="Times New Roman" w:eastAsia="宋体" w:cs="Times New Roman"/>
          <w:color w:val="auto"/>
          <w:sz w:val="24"/>
          <w:szCs w:val="24"/>
          <w:highlight w:val="none"/>
          <w:vertAlign w:val="subscript"/>
          <w:lang w:eastAsia="zh-CN"/>
        </w:rPr>
        <w:t>+</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2</w:t>
      </w:r>
      <w:r>
        <w:rPr>
          <w:rFonts w:hint="eastAsia" w:ascii="Times New Roman" w:hAnsi="Times New Roman" w:eastAsia="宋体" w:cs="Times New Roman"/>
          <w:color w:val="auto"/>
          <w:sz w:val="24"/>
          <w:szCs w:val="24"/>
          <w:highlight w:val="none"/>
          <w:vertAlign w:val="subscript"/>
          <w:lang w:eastAsia="zh-CN"/>
        </w:rPr>
        <w:t>+</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n</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n</w:t>
      </w:r>
    </w:p>
    <w:p w14:paraId="5754D33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式中：q</w: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n</w:t>
      </w:r>
      <w:r>
        <w:rPr>
          <w:rFonts w:hint="default" w:ascii="Times New Roman" w:hAnsi="Times New Roman" w:eastAsia="宋体" w:cs="Times New Roman"/>
          <w:color w:val="auto"/>
          <w:sz w:val="24"/>
          <w:szCs w:val="24"/>
          <w:highlight w:val="none"/>
        </w:rPr>
        <w:t>－每种危险物质最大存在总量，t。</w:t>
      </w:r>
    </w:p>
    <w:p w14:paraId="0F0C7EC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n</w:t>
      </w:r>
      <w:r>
        <w:rPr>
          <w:rFonts w:hint="default" w:ascii="Times New Roman" w:hAnsi="Times New Roman" w:eastAsia="宋体" w:cs="Times New Roman"/>
          <w:color w:val="auto"/>
          <w:sz w:val="24"/>
          <w:szCs w:val="24"/>
          <w:highlight w:val="none"/>
        </w:rPr>
        <w:t>－每种危险物质的临界量，t。</w:t>
      </w:r>
    </w:p>
    <w:p w14:paraId="457DE03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当Q＜1时，该项目环境风险潜势为I。</w:t>
      </w:r>
    </w:p>
    <w:p w14:paraId="2C87444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当Q≥1时，将Q值划分为：（1）1≤Q＜10；（2）10≤Q＜100；（3）Q≥100。</w:t>
      </w:r>
    </w:p>
    <w:p w14:paraId="41994DA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5.2.7</w:t>
      </w:r>
      <w:r>
        <w:rPr>
          <w:rFonts w:hint="default" w:ascii="Times New Roman" w:hAnsi="Times New Roman" w:eastAsia="宋体" w:cs="Times New Roman"/>
          <w:b/>
          <w:bCs/>
          <w:color w:val="auto"/>
          <w:kern w:val="2"/>
          <w:sz w:val="24"/>
          <w:szCs w:val="21"/>
          <w:highlight w:val="none"/>
          <w:lang w:val="en-US" w:eastAsia="zh-CN" w:bidi="ar-SA"/>
        </w:rPr>
        <w:t>-</w:t>
      </w:r>
      <w:r>
        <w:rPr>
          <w:rFonts w:hint="eastAsia" w:cs="Times New Roman"/>
          <w:b/>
          <w:bCs/>
          <w:color w:val="auto"/>
          <w:kern w:val="2"/>
          <w:sz w:val="24"/>
          <w:szCs w:val="21"/>
          <w:highlight w:val="none"/>
          <w:lang w:val="en-US" w:eastAsia="zh-CN" w:bidi="ar-SA"/>
        </w:rPr>
        <w:t>2</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本项目Q值确定表</w:t>
      </w:r>
    </w:p>
    <w:tbl>
      <w:tblPr>
        <w:tblStyle w:val="4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8"/>
        <w:gridCol w:w="1256"/>
        <w:gridCol w:w="1280"/>
        <w:gridCol w:w="1101"/>
        <w:gridCol w:w="1222"/>
        <w:gridCol w:w="2010"/>
      </w:tblGrid>
      <w:tr w14:paraId="0F051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968" w:type="pct"/>
            <w:vMerge w:val="restart"/>
            <w:noWrap w:val="0"/>
            <w:vAlign w:val="center"/>
          </w:tcPr>
          <w:p w14:paraId="7DC09CA8">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kern w:val="2"/>
                <w:sz w:val="21"/>
                <w:szCs w:val="21"/>
                <w:highlight w:val="none"/>
                <w:lang w:val="zh-CN" w:eastAsia="zh-CN" w:bidi="ar-SA"/>
              </w:rPr>
            </w:pPr>
            <w:r>
              <w:rPr>
                <w:rFonts w:hint="default" w:ascii="Times New Roman" w:hAnsi="Times New Roman" w:eastAsia="宋体" w:cs="Times New Roman"/>
                <w:b/>
                <w:bCs/>
                <w:color w:val="auto"/>
                <w:kern w:val="2"/>
                <w:sz w:val="21"/>
                <w:szCs w:val="21"/>
                <w:highlight w:val="none"/>
                <w:lang w:val="zh-CN" w:eastAsia="zh-CN" w:bidi="ar-SA"/>
              </w:rPr>
              <w:t>危险物质</w:t>
            </w:r>
          </w:p>
        </w:tc>
        <w:tc>
          <w:tcPr>
            <w:tcW w:w="737" w:type="pct"/>
            <w:vMerge w:val="restart"/>
            <w:noWrap w:val="0"/>
            <w:vAlign w:val="center"/>
          </w:tcPr>
          <w:p w14:paraId="5932A17E">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kern w:val="2"/>
                <w:sz w:val="21"/>
                <w:szCs w:val="21"/>
                <w:highlight w:val="none"/>
                <w:lang w:val="zh-CN" w:eastAsia="zh-CN" w:bidi="ar-SA"/>
              </w:rPr>
            </w:pPr>
            <w:r>
              <w:rPr>
                <w:rFonts w:hint="default" w:ascii="Times New Roman" w:hAnsi="Times New Roman" w:eastAsia="宋体" w:cs="Times New Roman"/>
                <w:b/>
                <w:bCs/>
                <w:color w:val="auto"/>
                <w:kern w:val="2"/>
                <w:sz w:val="18"/>
                <w:szCs w:val="18"/>
                <w:highlight w:val="none"/>
                <w:lang w:val="en-US" w:eastAsia="zh-CN" w:bidi="ar-SA"/>
              </w:rPr>
              <w:t>CAS号</w:t>
            </w:r>
          </w:p>
        </w:tc>
        <w:tc>
          <w:tcPr>
            <w:tcW w:w="751" w:type="pct"/>
            <w:vMerge w:val="restart"/>
            <w:noWrap w:val="0"/>
            <w:vAlign w:val="center"/>
          </w:tcPr>
          <w:p w14:paraId="503F1C1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kern w:val="2"/>
                <w:sz w:val="21"/>
                <w:szCs w:val="21"/>
                <w:highlight w:val="none"/>
                <w:lang w:val="zh-CN" w:eastAsia="zh-CN" w:bidi="ar-SA"/>
              </w:rPr>
            </w:pPr>
            <w:r>
              <w:rPr>
                <w:rFonts w:hint="default" w:ascii="Times New Roman" w:hAnsi="Times New Roman" w:eastAsia="宋体" w:cs="Times New Roman"/>
                <w:b/>
                <w:bCs/>
                <w:color w:val="auto"/>
                <w:kern w:val="2"/>
                <w:sz w:val="21"/>
                <w:szCs w:val="21"/>
                <w:highlight w:val="none"/>
                <w:lang w:val="zh-CN" w:eastAsia="zh-CN" w:bidi="ar-SA"/>
              </w:rPr>
              <w:t>最大存储量（</w:t>
            </w:r>
            <w:r>
              <w:rPr>
                <w:rFonts w:hint="default" w:ascii="Times New Roman" w:hAnsi="Times New Roman" w:eastAsia="宋体" w:cs="Times New Roman"/>
                <w:b/>
                <w:bCs/>
                <w:color w:val="auto"/>
                <w:kern w:val="2"/>
                <w:sz w:val="21"/>
                <w:szCs w:val="21"/>
                <w:highlight w:val="none"/>
                <w:lang w:val="en-US" w:eastAsia="zh-CN" w:bidi="ar-SA"/>
              </w:rPr>
              <w:t>t</w:t>
            </w:r>
            <w:r>
              <w:rPr>
                <w:rFonts w:hint="default" w:ascii="Times New Roman" w:hAnsi="Times New Roman" w:eastAsia="宋体" w:cs="Times New Roman"/>
                <w:b/>
                <w:bCs/>
                <w:color w:val="auto"/>
                <w:kern w:val="2"/>
                <w:sz w:val="21"/>
                <w:szCs w:val="21"/>
                <w:highlight w:val="none"/>
                <w:lang w:val="zh-CN" w:eastAsia="zh-CN" w:bidi="ar-SA"/>
              </w:rPr>
              <w:t>）</w:t>
            </w:r>
          </w:p>
        </w:tc>
        <w:tc>
          <w:tcPr>
            <w:tcW w:w="646" w:type="pct"/>
            <w:vMerge w:val="restart"/>
            <w:noWrap w:val="0"/>
            <w:vAlign w:val="center"/>
          </w:tcPr>
          <w:p w14:paraId="67D28819">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kern w:val="2"/>
                <w:sz w:val="21"/>
                <w:szCs w:val="21"/>
                <w:highlight w:val="none"/>
                <w:lang w:val="zh-CN" w:eastAsia="zh-CN" w:bidi="ar-SA"/>
              </w:rPr>
            </w:pPr>
            <w:r>
              <w:rPr>
                <w:rFonts w:hint="default" w:ascii="Times New Roman" w:hAnsi="Times New Roman" w:eastAsia="宋体" w:cs="Times New Roman"/>
                <w:b/>
                <w:bCs/>
                <w:color w:val="auto"/>
                <w:kern w:val="2"/>
                <w:sz w:val="21"/>
                <w:szCs w:val="21"/>
                <w:highlight w:val="none"/>
                <w:lang w:val="zh-CN" w:eastAsia="zh-CN" w:bidi="ar-SA"/>
              </w:rPr>
              <w:t>储存地点</w:t>
            </w:r>
          </w:p>
        </w:tc>
        <w:tc>
          <w:tcPr>
            <w:tcW w:w="716" w:type="pct"/>
            <w:vMerge w:val="restart"/>
            <w:noWrap w:val="0"/>
            <w:vAlign w:val="center"/>
          </w:tcPr>
          <w:p w14:paraId="42BB9ED2">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kern w:val="2"/>
                <w:sz w:val="21"/>
                <w:szCs w:val="21"/>
                <w:highlight w:val="none"/>
                <w:lang w:val="zh-CN" w:eastAsia="zh-CN" w:bidi="ar-SA"/>
              </w:rPr>
            </w:pPr>
            <w:r>
              <w:rPr>
                <w:rFonts w:hint="default" w:ascii="Times New Roman" w:hAnsi="Times New Roman" w:eastAsia="宋体" w:cs="Times New Roman"/>
                <w:b/>
                <w:bCs/>
                <w:color w:val="auto"/>
                <w:kern w:val="2"/>
                <w:sz w:val="21"/>
                <w:szCs w:val="21"/>
                <w:highlight w:val="none"/>
                <w:lang w:val="zh-CN" w:eastAsia="zh-CN" w:bidi="ar-SA"/>
              </w:rPr>
              <w:t>临界量（</w:t>
            </w:r>
            <w:r>
              <w:rPr>
                <w:rFonts w:hint="default" w:ascii="Times New Roman" w:hAnsi="Times New Roman" w:eastAsia="宋体" w:cs="Times New Roman"/>
                <w:b/>
                <w:bCs/>
                <w:color w:val="auto"/>
                <w:kern w:val="2"/>
                <w:sz w:val="21"/>
                <w:szCs w:val="21"/>
                <w:highlight w:val="none"/>
                <w:lang w:val="en-US" w:eastAsia="zh-CN" w:bidi="ar-SA"/>
              </w:rPr>
              <w:t>t</w:t>
            </w:r>
            <w:r>
              <w:rPr>
                <w:rFonts w:hint="default" w:ascii="Times New Roman" w:hAnsi="Times New Roman" w:eastAsia="宋体" w:cs="Times New Roman"/>
                <w:b/>
                <w:bCs/>
                <w:color w:val="auto"/>
                <w:kern w:val="2"/>
                <w:sz w:val="21"/>
                <w:szCs w:val="21"/>
                <w:highlight w:val="none"/>
                <w:lang w:val="zh-CN" w:eastAsia="zh-CN" w:bidi="ar-SA"/>
              </w:rPr>
              <w:t>）</w:t>
            </w:r>
          </w:p>
        </w:tc>
        <w:tc>
          <w:tcPr>
            <w:tcW w:w="1180" w:type="pct"/>
            <w:vMerge w:val="restart"/>
            <w:noWrap w:val="0"/>
            <w:vAlign w:val="center"/>
          </w:tcPr>
          <w:p w14:paraId="0A15506F">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kern w:val="2"/>
                <w:sz w:val="21"/>
                <w:szCs w:val="21"/>
                <w:highlight w:val="none"/>
                <w:lang w:val="zh-CN" w:eastAsia="zh-CN" w:bidi="ar-SA"/>
              </w:rPr>
            </w:pPr>
            <w:r>
              <w:rPr>
                <w:rFonts w:hint="default" w:ascii="Times New Roman" w:hAnsi="Times New Roman" w:eastAsia="宋体" w:cs="Times New Roman"/>
                <w:b/>
                <w:bCs/>
                <w:color w:val="auto"/>
                <w:kern w:val="2"/>
                <w:sz w:val="21"/>
                <w:szCs w:val="21"/>
                <w:highlight w:val="none"/>
                <w:lang w:val="zh-CN" w:eastAsia="zh-CN" w:bidi="ar-SA"/>
              </w:rPr>
              <w:t>该种危险物质Q值</w:t>
            </w:r>
          </w:p>
        </w:tc>
      </w:tr>
      <w:tr w14:paraId="37FF4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68" w:type="pct"/>
            <w:vMerge w:val="continue"/>
            <w:noWrap w:val="0"/>
            <w:vAlign w:val="center"/>
          </w:tcPr>
          <w:p w14:paraId="7592495E">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361" w:firstLineChars="200"/>
              <w:jc w:val="center"/>
              <w:textAlignment w:val="auto"/>
              <w:rPr>
                <w:rFonts w:hint="default" w:ascii="Times New Roman" w:hAnsi="Times New Roman" w:eastAsia="宋体" w:cs="Times New Roman"/>
                <w:b/>
                <w:bCs/>
                <w:color w:val="auto"/>
                <w:kern w:val="2"/>
                <w:sz w:val="18"/>
                <w:szCs w:val="18"/>
                <w:highlight w:val="none"/>
                <w:lang w:val="zh-CN" w:eastAsia="zh-CN" w:bidi="ar-SA"/>
              </w:rPr>
            </w:pPr>
          </w:p>
        </w:tc>
        <w:tc>
          <w:tcPr>
            <w:tcW w:w="737" w:type="pct"/>
            <w:vMerge w:val="continue"/>
            <w:noWrap w:val="0"/>
            <w:vAlign w:val="center"/>
          </w:tcPr>
          <w:p w14:paraId="442F4F17">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361" w:firstLineChars="200"/>
              <w:jc w:val="center"/>
              <w:textAlignment w:val="auto"/>
              <w:rPr>
                <w:rFonts w:hint="default" w:ascii="Times New Roman" w:hAnsi="Times New Roman" w:eastAsia="宋体" w:cs="Times New Roman"/>
                <w:b/>
                <w:bCs/>
                <w:color w:val="auto"/>
                <w:kern w:val="2"/>
                <w:sz w:val="18"/>
                <w:szCs w:val="18"/>
                <w:highlight w:val="none"/>
                <w:lang w:val="zh-CN" w:eastAsia="zh-CN" w:bidi="ar-SA"/>
              </w:rPr>
            </w:pPr>
          </w:p>
        </w:tc>
        <w:tc>
          <w:tcPr>
            <w:tcW w:w="751" w:type="pct"/>
            <w:vMerge w:val="continue"/>
            <w:noWrap w:val="0"/>
            <w:vAlign w:val="center"/>
          </w:tcPr>
          <w:p w14:paraId="15C7B76E">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361" w:firstLineChars="200"/>
              <w:jc w:val="center"/>
              <w:textAlignment w:val="auto"/>
              <w:rPr>
                <w:rFonts w:hint="default" w:ascii="Times New Roman" w:hAnsi="Times New Roman" w:eastAsia="宋体" w:cs="Times New Roman"/>
                <w:b/>
                <w:bCs/>
                <w:color w:val="auto"/>
                <w:kern w:val="2"/>
                <w:sz w:val="18"/>
                <w:szCs w:val="18"/>
                <w:highlight w:val="none"/>
                <w:lang w:val="zh-CN" w:eastAsia="zh-CN" w:bidi="ar-SA"/>
              </w:rPr>
            </w:pPr>
          </w:p>
        </w:tc>
        <w:tc>
          <w:tcPr>
            <w:tcW w:w="646" w:type="pct"/>
            <w:vMerge w:val="continue"/>
            <w:noWrap w:val="0"/>
            <w:vAlign w:val="center"/>
          </w:tcPr>
          <w:p w14:paraId="7A6A4CB1">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361" w:firstLineChars="200"/>
              <w:jc w:val="center"/>
              <w:textAlignment w:val="auto"/>
              <w:rPr>
                <w:rFonts w:hint="default" w:ascii="Times New Roman" w:hAnsi="Times New Roman" w:eastAsia="宋体" w:cs="Times New Roman"/>
                <w:b/>
                <w:bCs/>
                <w:color w:val="auto"/>
                <w:kern w:val="2"/>
                <w:sz w:val="18"/>
                <w:szCs w:val="18"/>
                <w:highlight w:val="none"/>
                <w:lang w:val="zh-CN" w:eastAsia="zh-CN" w:bidi="ar-SA"/>
              </w:rPr>
            </w:pPr>
          </w:p>
        </w:tc>
        <w:tc>
          <w:tcPr>
            <w:tcW w:w="716" w:type="pct"/>
            <w:vMerge w:val="continue"/>
            <w:noWrap w:val="0"/>
            <w:vAlign w:val="center"/>
          </w:tcPr>
          <w:p w14:paraId="3AA70B0B">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361" w:firstLineChars="200"/>
              <w:jc w:val="center"/>
              <w:textAlignment w:val="auto"/>
              <w:rPr>
                <w:rFonts w:hint="default" w:ascii="Times New Roman" w:hAnsi="Times New Roman" w:eastAsia="宋体" w:cs="Times New Roman"/>
                <w:b/>
                <w:bCs/>
                <w:color w:val="auto"/>
                <w:kern w:val="2"/>
                <w:sz w:val="18"/>
                <w:szCs w:val="18"/>
                <w:highlight w:val="none"/>
                <w:lang w:val="zh-CN" w:eastAsia="zh-CN" w:bidi="ar-SA"/>
              </w:rPr>
            </w:pPr>
          </w:p>
        </w:tc>
        <w:tc>
          <w:tcPr>
            <w:tcW w:w="1180" w:type="pct"/>
            <w:vMerge w:val="continue"/>
            <w:noWrap w:val="0"/>
            <w:vAlign w:val="center"/>
          </w:tcPr>
          <w:p w14:paraId="2C382485">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361" w:firstLineChars="200"/>
              <w:jc w:val="center"/>
              <w:textAlignment w:val="auto"/>
              <w:rPr>
                <w:rFonts w:hint="default" w:ascii="Times New Roman" w:hAnsi="Times New Roman" w:eastAsia="宋体" w:cs="Times New Roman"/>
                <w:b/>
                <w:bCs/>
                <w:color w:val="auto"/>
                <w:kern w:val="2"/>
                <w:sz w:val="18"/>
                <w:szCs w:val="18"/>
                <w:highlight w:val="none"/>
                <w:lang w:val="zh-CN" w:eastAsia="zh-CN" w:bidi="ar-SA"/>
              </w:rPr>
            </w:pPr>
          </w:p>
        </w:tc>
      </w:tr>
      <w:tr w14:paraId="0267C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968" w:type="pct"/>
            <w:noWrap w:val="0"/>
            <w:vAlign w:val="center"/>
          </w:tcPr>
          <w:p w14:paraId="6D09FE0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柴油</w:t>
            </w:r>
          </w:p>
        </w:tc>
        <w:tc>
          <w:tcPr>
            <w:tcW w:w="737" w:type="pct"/>
            <w:noWrap w:val="0"/>
            <w:vAlign w:val="center"/>
          </w:tcPr>
          <w:p w14:paraId="3640CDF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751" w:type="pct"/>
            <w:noWrap w:val="0"/>
            <w:vAlign w:val="center"/>
          </w:tcPr>
          <w:p w14:paraId="2E9F0CC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22</w:t>
            </w:r>
          </w:p>
        </w:tc>
        <w:tc>
          <w:tcPr>
            <w:tcW w:w="646" w:type="pct"/>
            <w:noWrap w:val="0"/>
            <w:vAlign w:val="center"/>
          </w:tcPr>
          <w:p w14:paraId="787376F3">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柴油储罐</w:t>
            </w:r>
          </w:p>
        </w:tc>
        <w:tc>
          <w:tcPr>
            <w:tcW w:w="716" w:type="pct"/>
            <w:noWrap w:val="0"/>
            <w:vAlign w:val="center"/>
          </w:tcPr>
          <w:p w14:paraId="22527897">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2500</w:t>
            </w:r>
          </w:p>
        </w:tc>
        <w:tc>
          <w:tcPr>
            <w:tcW w:w="1180" w:type="pct"/>
            <w:noWrap w:val="0"/>
            <w:vAlign w:val="center"/>
          </w:tcPr>
          <w:p w14:paraId="140AB77A">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0.0088</w:t>
            </w:r>
          </w:p>
        </w:tc>
      </w:tr>
      <w:tr w14:paraId="67306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968" w:type="pct"/>
            <w:noWrap w:val="0"/>
            <w:vAlign w:val="center"/>
          </w:tcPr>
          <w:p w14:paraId="32D1379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汽油</w:t>
            </w:r>
          </w:p>
        </w:tc>
        <w:tc>
          <w:tcPr>
            <w:tcW w:w="737" w:type="pct"/>
            <w:noWrap w:val="0"/>
            <w:vAlign w:val="center"/>
          </w:tcPr>
          <w:p w14:paraId="4D7B11E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751" w:type="pct"/>
            <w:noWrap w:val="0"/>
            <w:vAlign w:val="center"/>
          </w:tcPr>
          <w:p w14:paraId="344B71F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w:t>
            </w:r>
          </w:p>
        </w:tc>
        <w:tc>
          <w:tcPr>
            <w:tcW w:w="646" w:type="pct"/>
            <w:noWrap w:val="0"/>
            <w:vAlign w:val="center"/>
          </w:tcPr>
          <w:p w14:paraId="2418BF9E">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汽油储罐</w:t>
            </w:r>
          </w:p>
        </w:tc>
        <w:tc>
          <w:tcPr>
            <w:tcW w:w="716" w:type="pct"/>
            <w:noWrap w:val="0"/>
            <w:vAlign w:val="center"/>
          </w:tcPr>
          <w:p w14:paraId="3E103015">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2500</w:t>
            </w:r>
          </w:p>
        </w:tc>
        <w:tc>
          <w:tcPr>
            <w:tcW w:w="1180" w:type="pct"/>
            <w:noWrap w:val="0"/>
            <w:vAlign w:val="center"/>
          </w:tcPr>
          <w:p w14:paraId="411435A3">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0.0164</w:t>
            </w:r>
          </w:p>
        </w:tc>
      </w:tr>
      <w:tr w14:paraId="4E32B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68" w:type="pct"/>
            <w:noWrap w:val="0"/>
            <w:vAlign w:val="center"/>
          </w:tcPr>
          <w:p w14:paraId="0169FC8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甲烷（净化沼气）</w:t>
            </w:r>
          </w:p>
        </w:tc>
        <w:tc>
          <w:tcPr>
            <w:tcW w:w="737" w:type="pct"/>
            <w:noWrap w:val="0"/>
            <w:vAlign w:val="center"/>
          </w:tcPr>
          <w:p w14:paraId="536C3B2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74-82-8</w:t>
            </w:r>
          </w:p>
        </w:tc>
        <w:tc>
          <w:tcPr>
            <w:tcW w:w="751" w:type="pct"/>
            <w:noWrap w:val="0"/>
            <w:vAlign w:val="center"/>
          </w:tcPr>
          <w:p w14:paraId="4B0D685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6.72</w:t>
            </w:r>
          </w:p>
        </w:tc>
        <w:tc>
          <w:tcPr>
            <w:tcW w:w="646" w:type="pct"/>
            <w:noWrap w:val="0"/>
            <w:vAlign w:val="center"/>
          </w:tcPr>
          <w:p w14:paraId="7E9DC80D">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长罐车</w:t>
            </w:r>
          </w:p>
        </w:tc>
        <w:tc>
          <w:tcPr>
            <w:tcW w:w="716" w:type="pct"/>
            <w:noWrap w:val="0"/>
            <w:vAlign w:val="center"/>
          </w:tcPr>
          <w:p w14:paraId="2A981527">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c>
          <w:tcPr>
            <w:tcW w:w="1180" w:type="pct"/>
            <w:noWrap w:val="0"/>
            <w:vAlign w:val="center"/>
          </w:tcPr>
          <w:p w14:paraId="51833739">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w:t>
            </w:r>
            <w:r>
              <w:rPr>
                <w:rFonts w:hint="eastAsia" w:ascii="Times New Roman" w:hAnsi="Times New Roman" w:eastAsia="宋体" w:cs="Times New Roman"/>
                <w:b w:val="0"/>
                <w:bCs w:val="0"/>
                <w:color w:val="auto"/>
                <w:kern w:val="2"/>
                <w:sz w:val="21"/>
                <w:szCs w:val="21"/>
                <w:highlight w:val="none"/>
                <w:lang w:val="en-US" w:eastAsia="zh-CN" w:bidi="ar-SA"/>
              </w:rPr>
              <w:t>672</w:t>
            </w:r>
          </w:p>
        </w:tc>
      </w:tr>
      <w:tr w14:paraId="137DC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19" w:type="pct"/>
            <w:gridSpan w:val="5"/>
            <w:noWrap w:val="0"/>
            <w:vAlign w:val="center"/>
          </w:tcPr>
          <w:p w14:paraId="05378A0F">
            <w:pPr>
              <w:keepNext w:val="0"/>
              <w:keepLines w:val="0"/>
              <w:pageBreakBefore w:val="0"/>
              <w:widowControl w:val="0"/>
              <w:kinsoku/>
              <w:wordWrap/>
              <w:overflowPunct/>
              <w:topLinePunct w:val="0"/>
              <w:autoSpaceDE/>
              <w:autoSpaceDN/>
              <w:bidi w:val="0"/>
              <w:adjustRightInd/>
              <w:snapToGrid/>
              <w:spacing w:before="0" w:beforeLines="0" w:after="0" w:afterLines="0"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合计</w:t>
            </w:r>
          </w:p>
        </w:tc>
        <w:tc>
          <w:tcPr>
            <w:tcW w:w="1180" w:type="pct"/>
            <w:noWrap w:val="0"/>
            <w:vAlign w:val="center"/>
          </w:tcPr>
          <w:p w14:paraId="308BC47B">
            <w:pPr>
              <w:keepNext w:val="0"/>
              <w:keepLines w:val="0"/>
              <w:pageBreakBefore w:val="0"/>
              <w:widowControl/>
              <w:suppressLineNumbers w:val="0"/>
              <w:kinsoku/>
              <w:wordWrap/>
              <w:overflowPunct/>
              <w:topLinePunct w:val="0"/>
              <w:autoSpaceDE/>
              <w:autoSpaceDN/>
              <w:bidi w:val="0"/>
              <w:adjustRightInd/>
              <w:snapToGrid/>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w:t>
            </w:r>
            <w:r>
              <w:rPr>
                <w:rFonts w:hint="eastAsia" w:ascii="Times New Roman" w:hAnsi="Times New Roman" w:eastAsia="宋体" w:cs="Times New Roman"/>
                <w:i w:val="0"/>
                <w:iCs w:val="0"/>
                <w:color w:val="auto"/>
                <w:kern w:val="0"/>
                <w:sz w:val="21"/>
                <w:szCs w:val="21"/>
                <w:highlight w:val="none"/>
                <w:u w:val="none"/>
                <w:lang w:val="en-US" w:eastAsia="zh-CN" w:bidi="ar"/>
              </w:rPr>
              <w:t>97</w:t>
            </w:r>
            <w:r>
              <w:rPr>
                <w:rFonts w:hint="default" w:ascii="Times New Roman" w:hAnsi="Times New Roman" w:eastAsia="宋体" w:cs="Times New Roman"/>
                <w:i w:val="0"/>
                <w:iCs w:val="0"/>
                <w:color w:val="auto"/>
                <w:kern w:val="0"/>
                <w:sz w:val="21"/>
                <w:szCs w:val="21"/>
                <w:highlight w:val="none"/>
                <w:u w:val="none"/>
                <w:lang w:val="en-US" w:eastAsia="zh-CN" w:bidi="ar"/>
              </w:rPr>
              <w:t>2</w:t>
            </w:r>
          </w:p>
        </w:tc>
      </w:tr>
    </w:tbl>
    <w:p w14:paraId="43BBA235">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经计算，本项目Q=</w:t>
      </w:r>
      <w:r>
        <w:rPr>
          <w:rFonts w:hint="eastAsia" w:ascii="Times New Roman" w:hAnsi="Times New Roman" w:eastAsia="宋体" w:cs="Times New Roman"/>
          <w:color w:val="auto"/>
          <w:sz w:val="24"/>
          <w:szCs w:val="24"/>
          <w:highlight w:val="none"/>
          <w:lang w:val="en-US" w:eastAsia="zh-CN"/>
        </w:rPr>
        <w:t>0.6</w:t>
      </w:r>
      <w:r>
        <w:rPr>
          <w:rFonts w:hint="eastAsia" w:cs="Times New Roman"/>
          <w:color w:val="auto"/>
          <w:sz w:val="24"/>
          <w:szCs w:val="24"/>
          <w:highlight w:val="none"/>
          <w:lang w:val="en-US" w:eastAsia="zh-CN"/>
        </w:rPr>
        <w:t>97</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&lt;1</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同时对照企业已编制完成且备案重大风险源评估报告明确，站内营运期不存在重大风险源。</w:t>
      </w:r>
    </w:p>
    <w:p w14:paraId="765123CF">
      <w:pPr>
        <w:wordWrap w:val="0"/>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（2）评价等级判定</w:t>
      </w:r>
    </w:p>
    <w:p w14:paraId="09DF8A14">
      <w:pPr>
        <w:wordWrap w:val="0"/>
        <w:autoSpaceDE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本项目Q=</w:t>
      </w:r>
      <w:r>
        <w:rPr>
          <w:rFonts w:hint="eastAsia" w:ascii="Times New Roman" w:hAnsi="Times New Roman" w:eastAsia="宋体" w:cs="Times New Roman"/>
          <w:color w:val="auto"/>
          <w:sz w:val="24"/>
          <w:szCs w:val="24"/>
          <w:highlight w:val="none"/>
          <w:lang w:val="en-US" w:eastAsia="zh-CN"/>
        </w:rPr>
        <w:t>0.6</w:t>
      </w:r>
      <w:r>
        <w:rPr>
          <w:rFonts w:hint="eastAsia" w:cs="Times New Roman"/>
          <w:color w:val="auto"/>
          <w:sz w:val="24"/>
          <w:szCs w:val="24"/>
          <w:highlight w:val="none"/>
          <w:lang w:val="en-US" w:eastAsia="zh-CN"/>
        </w:rPr>
        <w:t>97</w:t>
      </w: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&lt;1</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根据《建设项目环境风险评价技术导则》（HJ/T169-2018）项目环境风险潜势为</w:t>
      </w:r>
      <w:r>
        <w:rPr>
          <w:rFonts w:hint="default" w:ascii="Times New Roman" w:hAnsi="Times New Roman" w:eastAsia="宋体" w:cs="Times New Roman"/>
          <w:color w:val="auto"/>
          <w:sz w:val="24"/>
          <w:szCs w:val="24"/>
          <w:highlight w:val="none"/>
          <w:lang w:val="en-US" w:eastAsia="zh-CN"/>
        </w:rPr>
        <w:t>I</w:t>
      </w:r>
      <w:r>
        <w:rPr>
          <w:rFonts w:hint="default" w:ascii="Times New Roman" w:hAnsi="Times New Roman" w:eastAsia="宋体" w:cs="Times New Roman"/>
          <w:color w:val="auto"/>
          <w:sz w:val="24"/>
          <w:szCs w:val="24"/>
          <w:highlight w:val="none"/>
        </w:rPr>
        <w:t>，环境</w:t>
      </w:r>
      <w:r>
        <w:rPr>
          <w:rFonts w:hint="eastAsia" w:cs="Times New Roman"/>
          <w:color w:val="auto"/>
          <w:sz w:val="24"/>
          <w:szCs w:val="24"/>
          <w:highlight w:val="none"/>
          <w:lang w:eastAsia="zh-CN"/>
        </w:rPr>
        <w:t>风险</w:t>
      </w:r>
      <w:r>
        <w:rPr>
          <w:rFonts w:hint="default" w:ascii="Times New Roman" w:hAnsi="Times New Roman" w:eastAsia="宋体" w:cs="Times New Roman"/>
          <w:color w:val="auto"/>
          <w:sz w:val="24"/>
          <w:szCs w:val="24"/>
          <w:highlight w:val="none"/>
        </w:rPr>
        <w:t>评价仅需简单分析。</w:t>
      </w:r>
    </w:p>
    <w:p w14:paraId="4E146785">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5.2.7</w:t>
      </w:r>
      <w:r>
        <w:rPr>
          <w:rFonts w:hint="default" w:ascii="Times New Roman" w:hAnsi="Times New Roman" w:eastAsia="宋体" w:cs="Times New Roman"/>
          <w:b/>
          <w:bCs/>
          <w:color w:val="auto"/>
          <w:kern w:val="2"/>
          <w:sz w:val="24"/>
          <w:szCs w:val="21"/>
          <w:highlight w:val="none"/>
          <w:lang w:val="en-US" w:eastAsia="zh-CN" w:bidi="ar-SA"/>
        </w:rPr>
        <w:t>-</w:t>
      </w:r>
      <w:r>
        <w:rPr>
          <w:rFonts w:hint="eastAsia" w:cs="Times New Roman"/>
          <w:b/>
          <w:bCs/>
          <w:color w:val="auto"/>
          <w:kern w:val="2"/>
          <w:sz w:val="24"/>
          <w:szCs w:val="21"/>
          <w:highlight w:val="none"/>
          <w:lang w:val="en-US" w:eastAsia="zh-CN" w:bidi="ar-SA"/>
        </w:rPr>
        <w:t>3</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评价工作等级划分</w:t>
      </w:r>
    </w:p>
    <w:tbl>
      <w:tblPr>
        <w:tblStyle w:val="49"/>
        <w:tblW w:w="51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98"/>
        <w:gridCol w:w="1638"/>
        <w:gridCol w:w="1638"/>
        <w:gridCol w:w="1643"/>
        <w:gridCol w:w="1895"/>
      </w:tblGrid>
      <w:tr w14:paraId="65516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3" w:hRule="atLeast"/>
          <w:jc w:val="center"/>
        </w:trPr>
        <w:tc>
          <w:tcPr>
            <w:tcW w:w="998" w:type="pct"/>
            <w:noWrap w:val="0"/>
            <w:vAlign w:val="center"/>
          </w:tcPr>
          <w:p w14:paraId="5D80282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环境风险潜势</w:t>
            </w:r>
          </w:p>
        </w:tc>
        <w:tc>
          <w:tcPr>
            <w:tcW w:w="962" w:type="pct"/>
            <w:noWrap w:val="0"/>
            <w:vAlign w:val="center"/>
          </w:tcPr>
          <w:p w14:paraId="4171B0E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Ⅳ、Ⅳ+</w:t>
            </w:r>
          </w:p>
        </w:tc>
        <w:tc>
          <w:tcPr>
            <w:tcW w:w="962" w:type="pct"/>
            <w:noWrap w:val="0"/>
            <w:vAlign w:val="center"/>
          </w:tcPr>
          <w:p w14:paraId="230C43C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Ⅲ</w:t>
            </w:r>
          </w:p>
        </w:tc>
        <w:tc>
          <w:tcPr>
            <w:tcW w:w="965" w:type="pct"/>
            <w:noWrap w:val="0"/>
            <w:vAlign w:val="center"/>
          </w:tcPr>
          <w:p w14:paraId="748ED4E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Ⅱ</w:t>
            </w:r>
          </w:p>
        </w:tc>
        <w:tc>
          <w:tcPr>
            <w:tcW w:w="1109" w:type="pct"/>
            <w:noWrap w:val="0"/>
            <w:vAlign w:val="center"/>
          </w:tcPr>
          <w:p w14:paraId="1FA6B12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Ⅰ</w:t>
            </w:r>
          </w:p>
        </w:tc>
      </w:tr>
      <w:tr w14:paraId="4A5AB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2" w:hRule="atLeast"/>
          <w:jc w:val="center"/>
        </w:trPr>
        <w:tc>
          <w:tcPr>
            <w:tcW w:w="998" w:type="pct"/>
            <w:shd w:val="clear" w:color="auto" w:fill="auto"/>
            <w:noWrap w:val="0"/>
            <w:vAlign w:val="top"/>
          </w:tcPr>
          <w:p w14:paraId="27AA3C1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评价工作等级</w:t>
            </w:r>
          </w:p>
        </w:tc>
        <w:tc>
          <w:tcPr>
            <w:tcW w:w="962" w:type="pct"/>
            <w:shd w:val="clear" w:color="auto" w:fill="auto"/>
            <w:noWrap w:val="0"/>
            <w:vAlign w:val="top"/>
          </w:tcPr>
          <w:p w14:paraId="3156AC0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w:t>
            </w:r>
          </w:p>
        </w:tc>
        <w:tc>
          <w:tcPr>
            <w:tcW w:w="962" w:type="pct"/>
            <w:shd w:val="clear" w:color="auto" w:fill="FFFFFF"/>
            <w:noWrap w:val="0"/>
            <w:vAlign w:val="top"/>
          </w:tcPr>
          <w:p w14:paraId="3BE2EB1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二</w:t>
            </w:r>
          </w:p>
        </w:tc>
        <w:tc>
          <w:tcPr>
            <w:tcW w:w="965" w:type="pct"/>
            <w:shd w:val="clear" w:color="auto" w:fill="FFFFFF"/>
            <w:noWrap w:val="0"/>
            <w:vAlign w:val="top"/>
          </w:tcPr>
          <w:p w14:paraId="72661BB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三</w:t>
            </w:r>
          </w:p>
        </w:tc>
        <w:tc>
          <w:tcPr>
            <w:tcW w:w="1109" w:type="pct"/>
            <w:shd w:val="clear" w:color="auto" w:fill="A4A4A4"/>
            <w:noWrap w:val="0"/>
            <w:vAlign w:val="top"/>
          </w:tcPr>
          <w:p w14:paraId="5BD9A61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简单分析a</w:t>
            </w:r>
          </w:p>
        </w:tc>
      </w:tr>
      <w:tr w14:paraId="15D0F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8" w:hRule="atLeast"/>
          <w:jc w:val="center"/>
        </w:trPr>
        <w:tc>
          <w:tcPr>
            <w:tcW w:w="5000" w:type="pct"/>
            <w:gridSpan w:val="5"/>
            <w:noWrap w:val="0"/>
            <w:vAlign w:val="top"/>
          </w:tcPr>
          <w:p w14:paraId="44767EB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a是相对于详细评价工作内容而言，在描述危险物质、环境影响途径、环境危害后果、风险防范措施等方面给出定性的说明。见附录A。</w:t>
            </w:r>
          </w:p>
        </w:tc>
      </w:tr>
    </w:tbl>
    <w:p w14:paraId="5247EB7E">
      <w:pPr>
        <w:keepNext/>
        <w:keepLines/>
        <w:pageBreakBefore w:val="0"/>
        <w:widowControl w:val="0"/>
        <w:kinsoku/>
        <w:wordWrap/>
        <w:overflowPunct/>
        <w:topLinePunct w:val="0"/>
        <w:autoSpaceDE/>
        <w:autoSpaceDN/>
        <w:bidi w:val="0"/>
        <w:adjustRightInd/>
        <w:snapToGrid w:val="0"/>
        <w:spacing w:before="181" w:beforeLines="50" w:line="360" w:lineRule="auto"/>
        <w:ind w:firstLine="482" w:firstLineChars="200"/>
        <w:jc w:val="left"/>
        <w:textAlignment w:val="auto"/>
        <w:outlineLvl w:val="3"/>
        <w:rPr>
          <w:rFonts w:hint="default" w:ascii="Times New Roman" w:hAnsi="Times New Roman" w:eastAsia="宋体" w:cs="Times New Roman"/>
          <w:b/>
          <w:bCs/>
          <w:color w:val="auto"/>
          <w:kern w:val="2"/>
          <w:sz w:val="24"/>
          <w:szCs w:val="28"/>
          <w:highlight w:val="none"/>
          <w:lang w:val="en-US" w:eastAsia="zh-CN" w:bidi="ar-SA"/>
        </w:rPr>
      </w:pPr>
      <w:r>
        <w:rPr>
          <w:rFonts w:hint="eastAsia" w:ascii="Times New Roman" w:hAnsi="Times New Roman" w:eastAsia="宋体" w:cs="Times New Roman"/>
          <w:b/>
          <w:bCs/>
          <w:color w:val="auto"/>
          <w:kern w:val="2"/>
          <w:sz w:val="24"/>
          <w:szCs w:val="28"/>
          <w:highlight w:val="none"/>
          <w:lang w:val="en-US" w:eastAsia="zh-CN" w:bidi="ar-SA"/>
        </w:rPr>
        <w:t>5</w:t>
      </w:r>
      <w:r>
        <w:rPr>
          <w:rFonts w:hint="default" w:ascii="Times New Roman" w:hAnsi="Times New Roman" w:eastAsia="宋体" w:cs="Times New Roman"/>
          <w:b/>
          <w:bCs/>
          <w:color w:val="auto"/>
          <w:kern w:val="2"/>
          <w:sz w:val="24"/>
          <w:szCs w:val="28"/>
          <w:highlight w:val="none"/>
          <w:lang w:val="en-US" w:eastAsia="zh-CN" w:bidi="ar-SA"/>
        </w:rPr>
        <w:t>.2.</w:t>
      </w:r>
      <w:r>
        <w:rPr>
          <w:rFonts w:hint="eastAsia" w:ascii="Times New Roman" w:hAnsi="Times New Roman" w:eastAsia="宋体" w:cs="Times New Roman"/>
          <w:b/>
          <w:bCs/>
          <w:color w:val="auto"/>
          <w:kern w:val="2"/>
          <w:sz w:val="24"/>
          <w:szCs w:val="28"/>
          <w:highlight w:val="none"/>
          <w:lang w:val="en-US" w:eastAsia="zh-CN" w:bidi="ar-SA"/>
        </w:rPr>
        <w:t>7</w:t>
      </w:r>
      <w:r>
        <w:rPr>
          <w:rFonts w:hint="default" w:ascii="Times New Roman" w:hAnsi="Times New Roman" w:eastAsia="宋体" w:cs="Times New Roman"/>
          <w:b/>
          <w:bCs/>
          <w:color w:val="auto"/>
          <w:kern w:val="2"/>
          <w:sz w:val="24"/>
          <w:szCs w:val="28"/>
          <w:highlight w:val="none"/>
          <w:lang w:val="en-US" w:eastAsia="zh-CN" w:bidi="ar-SA"/>
        </w:rPr>
        <w:t>.2环境风险识别及其对环境的影响分析</w:t>
      </w:r>
    </w:p>
    <w:p w14:paraId="0DEADEA5">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项目环境风险事故主要包括风险物质泄漏及火灾爆炸引发的次生污染影响。</w:t>
      </w:r>
    </w:p>
    <w:p w14:paraId="1B53D2FD">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（1）易燃易爆类风险物质发生火灾或者爆炸引发的次生风险情形分析</w:t>
      </w:r>
    </w:p>
    <w:p w14:paraId="6AFEEF83">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氢气储罐长时间处于高压状态，易引发罐体阀门强度、严密性下降，发生氢气泄漏，遇明火发生爆炸，其燃烧产物为水，</w:t>
      </w:r>
      <w:r>
        <w:rPr>
          <w:rFonts w:hint="eastAsia" w:ascii="Times New Roman" w:hAnsi="Times New Roman" w:eastAsia="宋体" w:cs="Times New Roman"/>
          <w:color w:val="auto"/>
          <w:sz w:val="24"/>
          <w:szCs w:val="24"/>
          <w:highlight w:val="none"/>
          <w:lang w:val="en-US" w:eastAsia="zh-CN"/>
        </w:rPr>
        <w:t>但一般爆炸事故会引发火灾，次生大量消防废水。</w:t>
      </w:r>
    </w:p>
    <w:p w14:paraId="14F94E6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本次选取一套制氢装置发生爆炸本次选取一个氢气装置发生爆炸引发的次生环境事件进行风险预测和结果分析。制氢站氢气最大存储瓶组为12m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w:t>
      </w:r>
      <w:r>
        <w:rPr>
          <w:rFonts w:hint="eastAsia" w:ascii="Times New Roman" w:hAnsi="Times New Roman" w:eastAsia="宋体" w:cs="Times New Roman"/>
          <w:color w:val="auto"/>
          <w:sz w:val="24"/>
          <w:szCs w:val="24"/>
          <w:highlight w:val="none"/>
          <w:lang w:val="en-US" w:eastAsia="zh-CN"/>
        </w:rPr>
        <w:t>最高工作压力为45MPa</w:t>
      </w:r>
      <w:r>
        <w:rPr>
          <w:rFonts w:hint="eastAsia" w:ascii="Times New Roman" w:hAnsi="Times New Roman" w:eastAsia="宋体" w:cs="Times New Roman"/>
          <w:color w:val="auto"/>
          <w:sz w:val="24"/>
          <w:szCs w:val="24"/>
          <w:highlight w:val="none"/>
          <w:vertAlign w:val="baseline"/>
          <w:lang w:val="en-US" w:eastAsia="zh-CN"/>
        </w:rPr>
        <w:t>）</w:t>
      </w:r>
      <w:r>
        <w:rPr>
          <w:rFonts w:hint="eastAsia" w:ascii="Times New Roman" w:hAnsi="Times New Roman" w:eastAsia="宋体" w:cs="Times New Roman"/>
          <w:color w:val="auto"/>
          <w:sz w:val="24"/>
          <w:szCs w:val="24"/>
          <w:highlight w:val="none"/>
          <w:lang w:val="en-US" w:eastAsia="zh-CN"/>
        </w:rPr>
        <w:t>，单装置氢气储量为430kg，相当于标况下4783m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vertAlign w:val="baseline"/>
          <w:lang w:val="en-US" w:eastAsia="zh-CN"/>
        </w:rPr>
        <w:t>。</w:t>
      </w:r>
      <w:r>
        <w:rPr>
          <w:rFonts w:hint="eastAsia" w:ascii="Times New Roman" w:hAnsi="Times New Roman" w:eastAsia="宋体" w:cs="Times New Roman"/>
          <w:color w:val="auto"/>
          <w:sz w:val="24"/>
          <w:szCs w:val="24"/>
          <w:highlight w:val="none"/>
          <w:lang w:val="en-US" w:eastAsia="zh-CN"/>
        </w:rPr>
        <w:t>其爆炸能量分析如下：</w:t>
      </w:r>
    </w:p>
    <w:p w14:paraId="1A20CB6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1、物理性爆炸能量计算E</w:t>
      </w:r>
      <w:r>
        <w:rPr>
          <w:rFonts w:hint="eastAsia" w:ascii="Times New Roman" w:hAnsi="Times New Roman" w:eastAsia="宋体" w:cs="Times New Roman"/>
          <w:color w:val="auto"/>
          <w:sz w:val="24"/>
          <w:szCs w:val="24"/>
          <w:highlight w:val="none"/>
          <w:vertAlign w:val="subscript"/>
          <w:lang w:val="en-US" w:eastAsia="zh-CN"/>
        </w:rPr>
        <w:t>1</w:t>
      </w:r>
    </w:p>
    <w:p w14:paraId="7F2C4DB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E</w:t>
      </w:r>
      <w:r>
        <w:rPr>
          <w:rFonts w:hint="eastAsia" w:ascii="Times New Roman" w:hAnsi="Times New Roman" w:eastAsia="宋体" w:cs="Times New Roman"/>
          <w:color w:val="auto"/>
          <w:sz w:val="24"/>
          <w:szCs w:val="24"/>
          <w:highlight w:val="none"/>
          <w:vertAlign w:val="subscript"/>
          <w:lang w:val="en-US" w:eastAsia="zh-CN"/>
        </w:rPr>
        <w:t>1</w:t>
      </w:r>
      <w:r>
        <w:rPr>
          <w:rFonts w:hint="eastAsia" w:ascii="Times New Roman" w:hAnsi="Times New Roman" w:eastAsia="宋体" w:cs="Times New Roman"/>
          <w:color w:val="auto"/>
          <w:sz w:val="24"/>
          <w:szCs w:val="24"/>
          <w:highlight w:val="none"/>
          <w:lang w:val="en-US" w:eastAsia="zh-CN"/>
        </w:rPr>
        <w:t>=CgV=37700×12=452400kJ</w:t>
      </w:r>
    </w:p>
    <w:p w14:paraId="0FE221E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式中：E</w:t>
      </w:r>
      <w:r>
        <w:rPr>
          <w:rFonts w:hint="eastAsia" w:ascii="Times New Roman" w:hAnsi="Times New Roman" w:eastAsia="宋体" w:cs="Times New Roman"/>
          <w:color w:val="auto"/>
          <w:sz w:val="24"/>
          <w:szCs w:val="24"/>
          <w:highlight w:val="none"/>
          <w:vertAlign w:val="subscript"/>
          <w:lang w:val="en-US" w:eastAsia="zh-CN"/>
        </w:rPr>
        <w:t>1</w:t>
      </w:r>
      <w:r>
        <w:rPr>
          <w:rFonts w:hint="eastAsia" w:ascii="Times New Roman" w:hAnsi="Times New Roman" w:eastAsia="宋体" w:cs="Times New Roman"/>
          <w:color w:val="auto"/>
          <w:sz w:val="24"/>
          <w:szCs w:val="24"/>
          <w:highlight w:val="none"/>
          <w:lang w:val="en-US" w:eastAsia="zh-CN"/>
        </w:rPr>
        <w:t>——物理性爆炸能量，kJ；</w:t>
      </w:r>
    </w:p>
    <w:p w14:paraId="51C9EEC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Cg——压缩气体爆炸能量系数，取Cg=37700kJ/m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w:t>
      </w:r>
    </w:p>
    <w:p w14:paraId="721B368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V——储罐的容积，12m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w:t>
      </w:r>
    </w:p>
    <w:p w14:paraId="6A76DE5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2、化学性爆炸能量计算E2</w:t>
      </w:r>
    </w:p>
    <w:p w14:paraId="41E25D2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E</w:t>
      </w:r>
      <w:r>
        <w:rPr>
          <w:rFonts w:hint="eastAsia" w:ascii="Times New Roman" w:hAnsi="Times New Roman" w:eastAsia="宋体" w:cs="Times New Roman"/>
          <w:color w:val="auto"/>
          <w:sz w:val="24"/>
          <w:szCs w:val="24"/>
          <w:highlight w:val="none"/>
          <w:vertAlign w:val="subscript"/>
          <w:lang w:val="en-US" w:eastAsia="zh-CN"/>
        </w:rPr>
        <w:t>2</w:t>
      </w:r>
      <w:r>
        <w:rPr>
          <w:rFonts w:hint="eastAsia" w:ascii="Times New Roman" w:hAnsi="Times New Roman" w:eastAsia="宋体" w:cs="Times New Roman"/>
          <w:color w:val="auto"/>
          <w:sz w:val="24"/>
          <w:szCs w:val="24"/>
          <w:highlight w:val="none"/>
          <w:lang w:val="en-US" w:eastAsia="zh-CN"/>
        </w:rPr>
        <w:t>=HV</w:t>
      </w:r>
      <w:r>
        <w:rPr>
          <w:rFonts w:hint="eastAsia" w:ascii="Times New Roman" w:hAnsi="Times New Roman" w:eastAsia="宋体" w:cs="Times New Roman"/>
          <w:color w:val="auto"/>
          <w:sz w:val="24"/>
          <w:szCs w:val="24"/>
          <w:highlight w:val="none"/>
          <w:vertAlign w:val="subscript"/>
          <w:lang w:val="en-US" w:eastAsia="zh-CN"/>
        </w:rPr>
        <w:t>1</w:t>
      </w:r>
      <w:r>
        <w:rPr>
          <w:rFonts w:hint="eastAsia" w:ascii="Times New Roman" w:hAnsi="Times New Roman" w:eastAsia="宋体" w:cs="Times New Roman"/>
          <w:color w:val="auto"/>
          <w:sz w:val="24"/>
          <w:szCs w:val="24"/>
          <w:highlight w:val="none"/>
          <w:lang w:val="en-US" w:eastAsia="zh-CN"/>
        </w:rPr>
        <w:t>=12770×4783=61078910kJ</w:t>
      </w:r>
    </w:p>
    <w:p w14:paraId="4E9664A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式中：E</w:t>
      </w:r>
      <w:r>
        <w:rPr>
          <w:rFonts w:hint="eastAsia" w:ascii="Times New Roman" w:hAnsi="Times New Roman" w:eastAsia="宋体" w:cs="Times New Roman"/>
          <w:color w:val="auto"/>
          <w:sz w:val="24"/>
          <w:szCs w:val="24"/>
          <w:highlight w:val="none"/>
          <w:vertAlign w:val="subscript"/>
          <w:lang w:val="en-US" w:eastAsia="zh-CN"/>
        </w:rPr>
        <w:t>2</w:t>
      </w:r>
      <w:r>
        <w:rPr>
          <w:rFonts w:hint="eastAsia" w:ascii="Times New Roman" w:hAnsi="Times New Roman" w:eastAsia="宋体" w:cs="Times New Roman"/>
          <w:color w:val="auto"/>
          <w:sz w:val="24"/>
          <w:szCs w:val="24"/>
          <w:highlight w:val="none"/>
          <w:lang w:val="en-US" w:eastAsia="zh-CN"/>
        </w:rPr>
        <w:t>——化学性爆炸能量，kJ；</w:t>
      </w:r>
    </w:p>
    <w:p w14:paraId="66168C6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H——可燃气体的燃烧热值，kJ/kg；</w:t>
      </w:r>
    </w:p>
    <w:p w14:paraId="617B0D5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V</w:t>
      </w:r>
      <w:r>
        <w:rPr>
          <w:rFonts w:hint="eastAsia" w:ascii="Times New Roman" w:hAnsi="Times New Roman" w:eastAsia="宋体" w:cs="Times New Roman"/>
          <w:color w:val="auto"/>
          <w:sz w:val="24"/>
          <w:szCs w:val="24"/>
          <w:highlight w:val="none"/>
          <w:vertAlign w:val="subscript"/>
          <w:lang w:val="en-US" w:eastAsia="zh-CN"/>
        </w:rPr>
        <w:t>1</w:t>
      </w:r>
      <w:r>
        <w:rPr>
          <w:rFonts w:hint="eastAsia" w:ascii="Times New Roman" w:hAnsi="Times New Roman" w:eastAsia="宋体" w:cs="Times New Roman"/>
          <w:color w:val="auto"/>
          <w:sz w:val="24"/>
          <w:szCs w:val="24"/>
          <w:highlight w:val="none"/>
          <w:lang w:val="en-US" w:eastAsia="zh-CN"/>
        </w:rPr>
        <w:t>——参与反应的可燃气体的体积（标况），m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val="en-US" w:eastAsia="zh-CN"/>
        </w:rPr>
        <w:t>。</w:t>
      </w:r>
    </w:p>
    <w:p w14:paraId="266759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从以上计算可见，1个氢气缓冲装置发生化学性爆炸的能量比发生物理性爆炸的能量大两个数量积。</w:t>
      </w:r>
    </w:p>
    <w:p w14:paraId="735E363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3、TNT当量计算q</w:t>
      </w:r>
    </w:p>
    <w:p w14:paraId="4426F4E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center"/>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q=E/q</w:t>
      </w:r>
      <w:r>
        <w:rPr>
          <w:rFonts w:hint="eastAsia" w:ascii="Times New Roman" w:hAnsi="Times New Roman" w:eastAsia="宋体" w:cs="Times New Roman"/>
          <w:color w:val="auto"/>
          <w:sz w:val="24"/>
          <w:szCs w:val="24"/>
          <w:highlight w:val="none"/>
          <w:vertAlign w:val="subscript"/>
          <w:lang w:val="en-US" w:eastAsia="zh-CN"/>
        </w:rPr>
        <w:t>TNT</w:t>
      </w:r>
      <w:r>
        <w:rPr>
          <w:rFonts w:hint="eastAsia" w:ascii="Times New Roman" w:hAnsi="Times New Roman" w:eastAsia="宋体" w:cs="Times New Roman"/>
          <w:color w:val="auto"/>
          <w:sz w:val="24"/>
          <w:szCs w:val="24"/>
          <w:highlight w:val="none"/>
          <w:lang w:val="en-US" w:eastAsia="zh-CN"/>
        </w:rPr>
        <w:t>=61078910/4520=13513kg</w:t>
      </w:r>
    </w:p>
    <w:p w14:paraId="06E3B6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式中：q</w:t>
      </w:r>
      <w:r>
        <w:rPr>
          <w:rFonts w:hint="eastAsia" w:ascii="Times New Roman" w:hAnsi="Times New Roman" w:eastAsia="宋体" w:cs="Times New Roman"/>
          <w:color w:val="auto"/>
          <w:sz w:val="24"/>
          <w:szCs w:val="24"/>
          <w:highlight w:val="none"/>
          <w:vertAlign w:val="subscript"/>
          <w:lang w:val="en-US" w:eastAsia="zh-CN"/>
        </w:rPr>
        <w:t>TNT</w:t>
      </w:r>
      <w:r>
        <w:rPr>
          <w:rFonts w:hint="eastAsia" w:ascii="Times New Roman" w:hAnsi="Times New Roman" w:eastAsia="宋体" w:cs="Times New Roman"/>
          <w:color w:val="auto"/>
          <w:sz w:val="24"/>
          <w:szCs w:val="24"/>
          <w:highlight w:val="none"/>
          <w:lang w:val="en-US" w:eastAsia="zh-CN"/>
        </w:rPr>
        <w:t>——TNT爆热，可取q</w:t>
      </w:r>
      <w:r>
        <w:rPr>
          <w:rFonts w:hint="eastAsia" w:ascii="Times New Roman" w:hAnsi="Times New Roman" w:eastAsia="宋体" w:cs="Times New Roman"/>
          <w:color w:val="auto"/>
          <w:sz w:val="24"/>
          <w:szCs w:val="24"/>
          <w:highlight w:val="none"/>
          <w:vertAlign w:val="subscript"/>
          <w:lang w:val="en-US" w:eastAsia="zh-CN"/>
        </w:rPr>
        <w:t>TNT</w:t>
      </w:r>
      <w:r>
        <w:rPr>
          <w:rFonts w:hint="eastAsia" w:ascii="Times New Roman" w:hAnsi="Times New Roman" w:eastAsia="宋体" w:cs="Times New Roman"/>
          <w:color w:val="auto"/>
          <w:sz w:val="24"/>
          <w:szCs w:val="24"/>
          <w:highlight w:val="none"/>
          <w:lang w:val="en-US" w:eastAsia="zh-CN"/>
        </w:rPr>
        <w:t>=4520kJ/kg。</w:t>
      </w:r>
    </w:p>
    <w:p w14:paraId="3956B04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4、求出爆炸的模拟比</w:t>
      </w:r>
      <w:r>
        <w:rPr>
          <w:rFonts w:hint="default" w:ascii="Times New Roman" w:hAnsi="Times New Roman" w:eastAsia="宋体" w:cs="Times New Roman"/>
          <w:color w:val="auto"/>
          <w:sz w:val="28"/>
          <w:szCs w:val="28"/>
          <w:highlight w:val="none"/>
          <w:lang w:val="en-US" w:eastAsia="zh-CN"/>
        </w:rPr>
        <w:t>α</w:t>
      </w:r>
    </w:p>
    <w:p w14:paraId="01F2F721">
      <w:pPr>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8"/>
          <w:szCs w:val="28"/>
          <w:highlight w:val="none"/>
          <w:lang w:val="en-US" w:eastAsia="zh-CN"/>
        </w:rPr>
        <w:t>α</w:t>
      </w:r>
      <w:r>
        <w:rPr>
          <w:rFonts w:hint="eastAsia" w:ascii="Times New Roman" w:hAnsi="Times New Roman" w:eastAsia="宋体" w:cs="Times New Roman"/>
          <w:color w:val="auto"/>
          <w:sz w:val="24"/>
          <w:szCs w:val="24"/>
          <w:highlight w:val="none"/>
          <w:lang w:val="en-US" w:eastAsia="zh-CN"/>
        </w:rPr>
        <w:t>=0.1q</w:t>
      </w:r>
      <w:r>
        <w:rPr>
          <w:rFonts w:hint="eastAsia" w:ascii="Times New Roman" w:hAnsi="Times New Roman" w:eastAsia="宋体" w:cs="Times New Roman"/>
          <w:color w:val="auto"/>
          <w:sz w:val="24"/>
          <w:szCs w:val="24"/>
          <w:highlight w:val="none"/>
          <w:vertAlign w:val="superscript"/>
          <w:lang w:val="en-US" w:eastAsia="zh-CN"/>
        </w:rPr>
        <w:t>1/3</w:t>
      </w:r>
      <w:r>
        <w:rPr>
          <w:rFonts w:hint="eastAsia" w:ascii="Times New Roman" w:hAnsi="Times New Roman" w:eastAsia="宋体" w:cs="Times New Roman"/>
          <w:color w:val="auto"/>
          <w:sz w:val="24"/>
          <w:szCs w:val="24"/>
          <w:highlight w:val="none"/>
          <w:lang w:val="en-US" w:eastAsia="zh-CN"/>
        </w:rPr>
        <w:t>=0.1×13513</w:t>
      </w:r>
      <w:r>
        <w:rPr>
          <w:rFonts w:hint="eastAsia" w:ascii="Times New Roman" w:hAnsi="Times New Roman" w:eastAsia="宋体" w:cs="Times New Roman"/>
          <w:color w:val="auto"/>
          <w:sz w:val="24"/>
          <w:szCs w:val="24"/>
          <w:highlight w:val="none"/>
          <w:vertAlign w:val="superscript"/>
          <w:lang w:val="en-US" w:eastAsia="zh-CN"/>
        </w:rPr>
        <w:t>1/3</w:t>
      </w:r>
      <w:r>
        <w:rPr>
          <w:rFonts w:hint="eastAsia" w:ascii="Times New Roman" w:hAnsi="Times New Roman" w:eastAsia="宋体" w:cs="Times New Roman"/>
          <w:color w:val="auto"/>
          <w:sz w:val="24"/>
          <w:szCs w:val="24"/>
          <w:highlight w:val="none"/>
          <w:lang w:val="en-US" w:eastAsia="zh-CN"/>
        </w:rPr>
        <w:t>=2.378</w:t>
      </w:r>
    </w:p>
    <w:p w14:paraId="29AE65A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根据伤害的超压计算伤害半径。死亡半径按超压90KPa计算R1=13.6×</w:t>
      </w:r>
      <w:r>
        <w:rPr>
          <w:rFonts w:hint="default" w:ascii="Times New Roman" w:hAnsi="Times New Roman" w:eastAsia="宋体" w:cs="Times New Roman"/>
          <w:color w:val="auto"/>
          <w:sz w:val="28"/>
          <w:szCs w:val="28"/>
          <w:highlight w:val="none"/>
          <w:lang w:val="en-US" w:eastAsia="zh-CN"/>
        </w:rPr>
        <w:t>α</w:t>
      </w:r>
      <w:r>
        <w:rPr>
          <w:rFonts w:hint="eastAsia" w:ascii="Times New Roman" w:hAnsi="Times New Roman" w:eastAsia="宋体" w:cs="Times New Roman"/>
          <w:color w:val="auto"/>
          <w:sz w:val="24"/>
          <w:szCs w:val="24"/>
          <w:highlight w:val="none"/>
          <w:vertAlign w:val="superscript"/>
          <w:lang w:val="en-US" w:eastAsia="zh-CN"/>
        </w:rPr>
        <w:t>0.38</w:t>
      </w:r>
      <w:r>
        <w:rPr>
          <w:rFonts w:hint="eastAsia" w:ascii="Times New Roman" w:hAnsi="Times New Roman" w:eastAsia="宋体" w:cs="Times New Roman"/>
          <w:color w:val="auto"/>
          <w:sz w:val="24"/>
          <w:szCs w:val="24"/>
          <w:highlight w:val="none"/>
          <w:vertAlign w:val="baseline"/>
          <w:lang w:val="en-US" w:eastAsia="zh-CN"/>
        </w:rPr>
        <w:t>=25.3m</w:t>
      </w:r>
      <w:r>
        <w:rPr>
          <w:rFonts w:hint="eastAsia" w:ascii="Times New Roman" w:hAnsi="Times New Roman" w:eastAsia="宋体" w:cs="Times New Roman"/>
          <w:color w:val="auto"/>
          <w:sz w:val="24"/>
          <w:szCs w:val="24"/>
          <w:highlight w:val="none"/>
          <w:lang w:val="en-US" w:eastAsia="zh-CN"/>
        </w:rPr>
        <w:t>，</w:t>
      </w:r>
    </w:p>
    <w:p w14:paraId="5129859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重伤半径按44kPa计算R2=0.396×</w:t>
      </w:r>
      <w:r>
        <w:rPr>
          <w:rFonts w:hint="default" w:ascii="Times New Roman" w:hAnsi="Times New Roman" w:eastAsia="宋体" w:cs="Times New Roman"/>
          <w:color w:val="auto"/>
          <w:sz w:val="28"/>
          <w:szCs w:val="28"/>
          <w:highlight w:val="none"/>
          <w:lang w:val="en-US" w:eastAsia="zh-CN"/>
        </w:rPr>
        <w:t>α</w:t>
      </w:r>
      <w:r>
        <w:rPr>
          <w:rFonts w:hint="eastAsia" w:ascii="Times New Roman" w:hAnsi="Times New Roman" w:eastAsia="宋体" w:cs="Times New Roman"/>
          <w:color w:val="auto"/>
          <w:sz w:val="24"/>
          <w:szCs w:val="24"/>
          <w:highlight w:val="none"/>
          <w:vertAlign w:val="superscript"/>
          <w:lang w:val="en-US" w:eastAsia="zh-CN"/>
        </w:rPr>
        <w:t>1/3</w:t>
      </w:r>
      <w:r>
        <w:rPr>
          <w:rFonts w:hint="eastAsia" w:ascii="Times New Roman" w:hAnsi="Times New Roman" w:eastAsia="宋体" w:cs="Times New Roman"/>
          <w:color w:val="auto"/>
          <w:sz w:val="24"/>
          <w:szCs w:val="24"/>
          <w:highlight w:val="none"/>
          <w:lang w:val="en-US" w:eastAsia="zh-CN"/>
        </w:rPr>
        <w:t>×exp[3.5031-0.7241lnP+0.0398（lnP）</w:t>
      </w:r>
      <w:r>
        <w:rPr>
          <w:rFonts w:hint="eastAsia"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]=60.3m，</w:t>
      </w:r>
    </w:p>
    <w:p w14:paraId="64655C0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轻伤半径按17kPa计算，计算过程同重伤，R3=113.6m；</w:t>
      </w:r>
    </w:p>
    <w:p w14:paraId="2C93C92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vertAlign w:val="baseline"/>
          <w:lang w:val="en-US" w:eastAsia="zh-CN"/>
        </w:rPr>
      </w:pPr>
      <w:r>
        <w:rPr>
          <w:rFonts w:hint="eastAsia" w:ascii="Times New Roman" w:hAnsi="Times New Roman" w:eastAsia="宋体" w:cs="Times New Roman"/>
          <w:color w:val="auto"/>
          <w:sz w:val="24"/>
          <w:szCs w:val="24"/>
          <w:highlight w:val="none"/>
          <w:lang w:val="en-US" w:eastAsia="zh-CN"/>
        </w:rPr>
        <w:t>财产损失半径按13.8kPa。R4=4.6×</w:t>
      </w:r>
      <w:r>
        <w:rPr>
          <w:rFonts w:hint="default" w:ascii="Times New Roman" w:hAnsi="Times New Roman" w:eastAsia="宋体" w:cs="Times New Roman"/>
          <w:color w:val="auto"/>
          <w:sz w:val="28"/>
          <w:szCs w:val="28"/>
          <w:highlight w:val="none"/>
          <w:lang w:val="en-US" w:eastAsia="zh-CN"/>
        </w:rPr>
        <w:t>α</w:t>
      </w:r>
      <w:r>
        <w:rPr>
          <w:rFonts w:hint="eastAsia" w:ascii="Times New Roman" w:hAnsi="Times New Roman" w:eastAsia="宋体" w:cs="Times New Roman"/>
          <w:color w:val="auto"/>
          <w:sz w:val="24"/>
          <w:szCs w:val="24"/>
          <w:highlight w:val="none"/>
          <w:vertAlign w:val="superscript"/>
          <w:lang w:val="en-US" w:eastAsia="zh-CN"/>
        </w:rPr>
        <w:t>1/3</w:t>
      </w:r>
      <w:r>
        <w:rPr>
          <w:rFonts w:hint="eastAsia" w:ascii="Times New Roman" w:hAnsi="Times New Roman" w:eastAsia="宋体" w:cs="Times New Roman"/>
          <w:color w:val="auto"/>
          <w:sz w:val="24"/>
          <w:szCs w:val="24"/>
          <w:highlight w:val="none"/>
          <w:lang w:val="en-US" w:eastAsia="zh-CN"/>
        </w:rPr>
        <w:t>×[1+（3175/</w:t>
      </w:r>
      <w:r>
        <w:rPr>
          <w:rFonts w:hint="default" w:ascii="Times New Roman" w:hAnsi="Times New Roman" w:eastAsia="宋体" w:cs="Times New Roman"/>
          <w:color w:val="auto"/>
          <w:sz w:val="28"/>
          <w:szCs w:val="28"/>
          <w:highlight w:val="none"/>
          <w:lang w:val="en-US" w:eastAsia="zh-CN"/>
        </w:rPr>
        <w:t>α</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vertAlign w:val="superscript"/>
          <w:lang w:val="en-US" w:eastAsia="zh-CN"/>
        </w:rPr>
        <w:t>2</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vertAlign w:val="superscript"/>
          <w:lang w:val="en-US" w:eastAsia="zh-CN"/>
        </w:rPr>
        <w:t>1/6</w:t>
      </w:r>
      <w:r>
        <w:rPr>
          <w:rFonts w:hint="eastAsia" w:ascii="Times New Roman" w:hAnsi="Times New Roman" w:eastAsia="宋体" w:cs="Times New Roman"/>
          <w:color w:val="auto"/>
          <w:sz w:val="24"/>
          <w:szCs w:val="24"/>
          <w:highlight w:val="none"/>
          <w:vertAlign w:val="baseline"/>
          <w:lang w:val="en-US" w:eastAsia="zh-CN"/>
        </w:rPr>
        <w:t>=76m</w:t>
      </w:r>
    </w:p>
    <w:p w14:paraId="5AB0C95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因此，当氢气缓冲装置发生爆炸事故时：死亡半径为25.3米；重伤半径为60.3米；轻伤半径为113.6米；财产损失半径为76米。</w:t>
      </w:r>
    </w:p>
    <w:p w14:paraId="4FCA9B7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对于本项目制氢站氢气来说，我们对于伤害模型是按照一般危险原则来考虑，即：一个氢气最大瓶组发生爆炸。氢气的危险性在于蒸气云爆炸，体现为冲击波超压的伤害——破坏作用。进行</w:t>
      </w:r>
      <w:r>
        <w:rPr>
          <w:rFonts w:hint="default" w:ascii="Times New Roman" w:hAnsi="Times New Roman" w:eastAsia="宋体" w:cs="Times New Roman"/>
          <w:color w:val="auto"/>
          <w:sz w:val="24"/>
          <w:szCs w:val="24"/>
          <w:highlight w:val="none"/>
        </w:rPr>
        <w:t>因此，要强化管理、措施到位，要防微杜渐。</w:t>
      </w:r>
    </w:p>
    <w:p w14:paraId="18728BC7">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项目为油、氢、光电合建站，发生火灾过程中使用泡沫灭火剂、干粉灭火剂或灭火毯沙子类，不使用消防水进行灭火。</w:t>
      </w:r>
    </w:p>
    <w:p w14:paraId="4B5F159F">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（2）废气事故排放风险事故情形分析</w:t>
      </w:r>
    </w:p>
    <w:p w14:paraId="3D281A69">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项目废气处理装置发生故障，转化炉燃烧器燃烧的</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低氮燃烧器</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装置发生故障，废气处理装置处理效率降低，此时废气（污染因子为氮氧化物）排放对周围大气环境造成一定影响，但是不会造成急性的环境风险，风险可控。</w:t>
      </w:r>
    </w:p>
    <w:p w14:paraId="3A75FEEA">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（2）运输过程事故排放风险事故情形分析</w:t>
      </w:r>
    </w:p>
    <w:p w14:paraId="378F96DE">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项目区液态原料储存、运输过程中，容器、运输车辆发生破损，液态原料外溢</w:t>
      </w:r>
      <w:r>
        <w:rPr>
          <w:rFonts w:hint="eastAsia" w:cs="Times New Roman"/>
          <w:color w:val="auto"/>
          <w:sz w:val="24"/>
          <w:szCs w:val="24"/>
          <w:highlight w:val="none"/>
          <w:lang w:val="en-US" w:eastAsia="zh-CN"/>
        </w:rPr>
        <w:t>，在</w:t>
      </w:r>
      <w:r>
        <w:rPr>
          <w:rFonts w:hint="eastAsia" w:ascii="Times New Roman" w:hAnsi="Times New Roman" w:eastAsia="宋体" w:cs="Times New Roman"/>
          <w:color w:val="auto"/>
          <w:sz w:val="24"/>
          <w:szCs w:val="24"/>
          <w:highlight w:val="none"/>
          <w:lang w:val="en-US" w:eastAsia="zh-CN"/>
        </w:rPr>
        <w:t>未能及时收集的情况下，可能会随雨水管道流入附近地表水体，污染地表水体，未处理及时污染地下水和土壤；</w:t>
      </w:r>
    </w:p>
    <w:p w14:paraId="07AA1BEA">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液体原料泄漏时挥发的有机废气，会污染周边环境空气；项目区废气治理设施发生故障，无法有效处理废气，会使废气超标排放，污染环境空气。</w:t>
      </w:r>
    </w:p>
    <w:p w14:paraId="63F8443A">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根据本项目工艺流程及平面布置图</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可能存在危险性的单元主要为储罐</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运输车辆</w:t>
      </w:r>
      <w:r>
        <w:rPr>
          <w:rFonts w:hint="default" w:ascii="Times New Roman" w:hAnsi="Times New Roman" w:eastAsia="宋体" w:cs="Times New Roman"/>
          <w:color w:val="auto"/>
          <w:sz w:val="24"/>
          <w:szCs w:val="24"/>
          <w:highlight w:val="none"/>
        </w:rPr>
        <w:t>，建设项目环境风险识别表见下表。</w:t>
      </w:r>
    </w:p>
    <w:p w14:paraId="6B3F1F72">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w:t>
      </w:r>
      <w:r>
        <w:rPr>
          <w:rFonts w:hint="default" w:ascii="Times New Roman" w:hAnsi="Times New Roman" w:eastAsia="宋体" w:cs="Times New Roman"/>
          <w:b/>
          <w:bCs/>
          <w:color w:val="auto"/>
          <w:kern w:val="2"/>
          <w:sz w:val="24"/>
          <w:szCs w:val="21"/>
          <w:highlight w:val="none"/>
          <w:lang w:val="en-US" w:eastAsia="zh-CN" w:bidi="ar-SA"/>
        </w:rPr>
        <w:t>.</w:t>
      </w:r>
      <w:r>
        <w:rPr>
          <w:rFonts w:hint="eastAsia" w:ascii="Times New Roman" w:hAnsi="Times New Roman" w:eastAsia="宋体" w:cs="Times New Roman"/>
          <w:b/>
          <w:bCs/>
          <w:color w:val="auto"/>
          <w:kern w:val="2"/>
          <w:sz w:val="24"/>
          <w:szCs w:val="21"/>
          <w:highlight w:val="none"/>
          <w:lang w:val="en-US" w:eastAsia="zh-CN" w:bidi="ar-SA"/>
        </w:rPr>
        <w:t>2.7-</w:t>
      </w:r>
      <w:r>
        <w:rPr>
          <w:rFonts w:hint="eastAsia" w:cs="Times New Roman"/>
          <w:b/>
          <w:bCs/>
          <w:color w:val="auto"/>
          <w:kern w:val="2"/>
          <w:sz w:val="24"/>
          <w:szCs w:val="21"/>
          <w:highlight w:val="none"/>
          <w:lang w:val="en-US" w:eastAsia="zh-CN" w:bidi="ar-SA"/>
        </w:rPr>
        <w:t>4</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建设项目环境风险识别表</w:t>
      </w:r>
    </w:p>
    <w:tbl>
      <w:tblPr>
        <w:tblStyle w:val="49"/>
        <w:tblW w:w="5024"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452"/>
        <w:gridCol w:w="1135"/>
        <w:gridCol w:w="1393"/>
        <w:gridCol w:w="1939"/>
        <w:gridCol w:w="875"/>
        <w:gridCol w:w="1059"/>
        <w:gridCol w:w="1503"/>
      </w:tblGrid>
      <w:tr w14:paraId="1C4B13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4" w:hRule="atLeast"/>
          <w:jc w:val="center"/>
        </w:trPr>
        <w:tc>
          <w:tcPr>
            <w:tcW w:w="451" w:type="dxa"/>
            <w:noWrap w:val="0"/>
            <w:vAlign w:val="center"/>
          </w:tcPr>
          <w:p w14:paraId="614E12E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133" w:type="dxa"/>
            <w:noWrap w:val="0"/>
            <w:vAlign w:val="center"/>
          </w:tcPr>
          <w:p w14:paraId="2A89A99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危险单元</w:t>
            </w:r>
          </w:p>
        </w:tc>
        <w:tc>
          <w:tcPr>
            <w:tcW w:w="1390" w:type="dxa"/>
            <w:noWrap w:val="0"/>
            <w:vAlign w:val="center"/>
          </w:tcPr>
          <w:p w14:paraId="6E0C05F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风险源</w:t>
            </w:r>
          </w:p>
        </w:tc>
        <w:tc>
          <w:tcPr>
            <w:tcW w:w="1936" w:type="dxa"/>
            <w:noWrap w:val="0"/>
            <w:vAlign w:val="center"/>
          </w:tcPr>
          <w:p w14:paraId="451F874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主要风险物质</w:t>
            </w:r>
          </w:p>
        </w:tc>
        <w:tc>
          <w:tcPr>
            <w:tcW w:w="873" w:type="dxa"/>
            <w:noWrap w:val="0"/>
            <w:vAlign w:val="center"/>
          </w:tcPr>
          <w:p w14:paraId="65F5CE4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环境风险类型</w:t>
            </w:r>
          </w:p>
        </w:tc>
        <w:tc>
          <w:tcPr>
            <w:tcW w:w="1057" w:type="dxa"/>
            <w:noWrap w:val="0"/>
            <w:vAlign w:val="center"/>
          </w:tcPr>
          <w:p w14:paraId="572F4B7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环境影响途径</w:t>
            </w:r>
          </w:p>
        </w:tc>
        <w:tc>
          <w:tcPr>
            <w:tcW w:w="1500" w:type="dxa"/>
            <w:noWrap w:val="0"/>
            <w:vAlign w:val="center"/>
          </w:tcPr>
          <w:p w14:paraId="7A1782C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可能受影响的环境敏感目标</w:t>
            </w:r>
          </w:p>
        </w:tc>
      </w:tr>
      <w:tr w14:paraId="65929E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4" w:hRule="atLeast"/>
          <w:jc w:val="center"/>
        </w:trPr>
        <w:tc>
          <w:tcPr>
            <w:tcW w:w="451" w:type="dxa"/>
            <w:noWrap w:val="0"/>
            <w:vAlign w:val="center"/>
          </w:tcPr>
          <w:p w14:paraId="2CAE07C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133" w:type="dxa"/>
            <w:tcBorders>
              <w:bottom w:val="single" w:color="auto" w:sz="4" w:space="0"/>
            </w:tcBorders>
            <w:noWrap w:val="0"/>
            <w:vAlign w:val="center"/>
          </w:tcPr>
          <w:p w14:paraId="44010895">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储罐</w:t>
            </w:r>
          </w:p>
        </w:tc>
        <w:tc>
          <w:tcPr>
            <w:tcW w:w="1390" w:type="dxa"/>
            <w:tcBorders>
              <w:bottom w:val="single" w:color="auto" w:sz="4" w:space="0"/>
            </w:tcBorders>
            <w:noWrap w:val="0"/>
            <w:vAlign w:val="center"/>
          </w:tcPr>
          <w:p w14:paraId="73D1D73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柴油、汽油</w:t>
            </w:r>
          </w:p>
        </w:tc>
        <w:tc>
          <w:tcPr>
            <w:tcW w:w="1936" w:type="dxa"/>
            <w:tcBorders>
              <w:bottom w:val="single" w:color="auto" w:sz="4" w:space="0"/>
            </w:tcBorders>
            <w:noWrap w:val="0"/>
            <w:vAlign w:val="center"/>
          </w:tcPr>
          <w:p w14:paraId="304A9AB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柴油、汽油、液化沼气</w:t>
            </w:r>
          </w:p>
        </w:tc>
        <w:tc>
          <w:tcPr>
            <w:tcW w:w="873" w:type="dxa"/>
            <w:vMerge w:val="restart"/>
            <w:noWrap w:val="0"/>
            <w:vAlign w:val="center"/>
          </w:tcPr>
          <w:p w14:paraId="56AC3F6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泄漏、爆炸、火灾</w:t>
            </w:r>
            <w:r>
              <w:rPr>
                <w:rFonts w:hint="eastAsia" w:cs="Times New Roman"/>
                <w:color w:val="auto"/>
                <w:kern w:val="2"/>
                <w:sz w:val="21"/>
                <w:szCs w:val="21"/>
                <w:highlight w:val="none"/>
                <w:lang w:val="en-US" w:eastAsia="zh-CN" w:bidi="ar-SA"/>
              </w:rPr>
              <w:t>次生污染物</w:t>
            </w:r>
            <w:r>
              <w:rPr>
                <w:rFonts w:hint="eastAsia" w:ascii="Times New Roman" w:hAnsi="Times New Roman" w:eastAsia="宋体" w:cs="Times New Roman"/>
                <w:color w:val="auto"/>
                <w:kern w:val="2"/>
                <w:sz w:val="21"/>
                <w:szCs w:val="21"/>
                <w:highlight w:val="none"/>
                <w:lang w:val="en-US" w:eastAsia="zh-CN" w:bidi="ar-SA"/>
              </w:rPr>
              <w:t>排放</w:t>
            </w:r>
          </w:p>
        </w:tc>
        <w:tc>
          <w:tcPr>
            <w:tcW w:w="1057" w:type="dxa"/>
            <w:vMerge w:val="restart"/>
            <w:noWrap w:val="0"/>
            <w:vAlign w:val="center"/>
          </w:tcPr>
          <w:p w14:paraId="33F9F9C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环境空气、地下水、土壤下渗</w:t>
            </w:r>
          </w:p>
        </w:tc>
        <w:tc>
          <w:tcPr>
            <w:tcW w:w="1500" w:type="dxa"/>
            <w:vMerge w:val="restart"/>
            <w:noWrap w:val="0"/>
            <w:vAlign w:val="center"/>
          </w:tcPr>
          <w:p w14:paraId="39E9B79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周边地表水、大气环境、地下水、土壤</w:t>
            </w:r>
          </w:p>
        </w:tc>
      </w:tr>
      <w:tr w14:paraId="77655E2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560" w:hRule="atLeast"/>
          <w:jc w:val="center"/>
        </w:trPr>
        <w:tc>
          <w:tcPr>
            <w:tcW w:w="451" w:type="dxa"/>
            <w:noWrap w:val="0"/>
            <w:vAlign w:val="center"/>
          </w:tcPr>
          <w:p w14:paraId="59E44E4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133" w:type="dxa"/>
            <w:tcBorders>
              <w:top w:val="single" w:color="auto" w:sz="4" w:space="0"/>
            </w:tcBorders>
            <w:noWrap w:val="0"/>
            <w:vAlign w:val="center"/>
          </w:tcPr>
          <w:p w14:paraId="7272A5F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运输车辆</w:t>
            </w:r>
          </w:p>
        </w:tc>
        <w:tc>
          <w:tcPr>
            <w:tcW w:w="1390" w:type="dxa"/>
            <w:tcBorders>
              <w:top w:val="single" w:color="auto" w:sz="4" w:space="0"/>
            </w:tcBorders>
            <w:noWrap w:val="0"/>
            <w:vAlign w:val="center"/>
          </w:tcPr>
          <w:p w14:paraId="1C87804B">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液化沼气、油品泄漏</w:t>
            </w:r>
          </w:p>
        </w:tc>
        <w:tc>
          <w:tcPr>
            <w:tcW w:w="1936" w:type="dxa"/>
            <w:tcBorders>
              <w:top w:val="single" w:color="auto" w:sz="4" w:space="0"/>
            </w:tcBorders>
            <w:noWrap w:val="0"/>
            <w:vAlign w:val="center"/>
          </w:tcPr>
          <w:p w14:paraId="166A7BC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柴油、汽油、液化沼气</w:t>
            </w:r>
          </w:p>
        </w:tc>
        <w:tc>
          <w:tcPr>
            <w:tcW w:w="873" w:type="dxa"/>
            <w:vMerge w:val="continue"/>
            <w:noWrap w:val="0"/>
            <w:vAlign w:val="center"/>
          </w:tcPr>
          <w:p w14:paraId="7DFE313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057" w:type="dxa"/>
            <w:vMerge w:val="continue"/>
            <w:noWrap w:val="0"/>
            <w:vAlign w:val="center"/>
          </w:tcPr>
          <w:p w14:paraId="5E790AC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500" w:type="dxa"/>
            <w:vMerge w:val="continue"/>
            <w:noWrap w:val="0"/>
            <w:vAlign w:val="center"/>
          </w:tcPr>
          <w:p w14:paraId="478B113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r>
      <w:tr w14:paraId="026B9D8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560" w:hRule="atLeast"/>
          <w:jc w:val="center"/>
        </w:trPr>
        <w:tc>
          <w:tcPr>
            <w:tcW w:w="451" w:type="dxa"/>
            <w:noWrap w:val="0"/>
            <w:vAlign w:val="center"/>
          </w:tcPr>
          <w:p w14:paraId="6BFE626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w:t>
            </w:r>
          </w:p>
        </w:tc>
        <w:tc>
          <w:tcPr>
            <w:tcW w:w="1133" w:type="dxa"/>
            <w:tcBorders>
              <w:top w:val="single" w:color="auto" w:sz="4" w:space="0"/>
            </w:tcBorders>
            <w:noWrap w:val="0"/>
            <w:vAlign w:val="center"/>
          </w:tcPr>
          <w:p w14:paraId="5CEA2F0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氢气储罐</w:t>
            </w:r>
          </w:p>
        </w:tc>
        <w:tc>
          <w:tcPr>
            <w:tcW w:w="1390" w:type="dxa"/>
            <w:tcBorders>
              <w:top w:val="single" w:color="auto" w:sz="4" w:space="0"/>
            </w:tcBorders>
            <w:noWrap w:val="0"/>
            <w:vAlign w:val="center"/>
          </w:tcPr>
          <w:p w14:paraId="6D379D7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氢气泄漏</w:t>
            </w:r>
          </w:p>
        </w:tc>
        <w:tc>
          <w:tcPr>
            <w:tcW w:w="1936" w:type="dxa"/>
            <w:tcBorders>
              <w:top w:val="single" w:color="auto" w:sz="4" w:space="0"/>
            </w:tcBorders>
            <w:noWrap w:val="0"/>
            <w:vAlign w:val="center"/>
          </w:tcPr>
          <w:p w14:paraId="661E33C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氢气</w:t>
            </w:r>
          </w:p>
        </w:tc>
        <w:tc>
          <w:tcPr>
            <w:tcW w:w="873" w:type="dxa"/>
            <w:vMerge w:val="continue"/>
            <w:noWrap w:val="0"/>
            <w:vAlign w:val="center"/>
          </w:tcPr>
          <w:p w14:paraId="4A10F1A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057" w:type="dxa"/>
            <w:vMerge w:val="continue"/>
            <w:noWrap w:val="0"/>
            <w:vAlign w:val="center"/>
          </w:tcPr>
          <w:p w14:paraId="3454DA5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500" w:type="dxa"/>
            <w:vMerge w:val="continue"/>
            <w:noWrap w:val="0"/>
            <w:vAlign w:val="center"/>
          </w:tcPr>
          <w:p w14:paraId="40A2000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r>
      <w:tr w14:paraId="4E46E27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560" w:hRule="atLeast"/>
          <w:jc w:val="center"/>
        </w:trPr>
        <w:tc>
          <w:tcPr>
            <w:tcW w:w="451" w:type="dxa"/>
            <w:noWrap w:val="0"/>
            <w:vAlign w:val="center"/>
          </w:tcPr>
          <w:p w14:paraId="6F360DE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w:t>
            </w:r>
          </w:p>
        </w:tc>
        <w:tc>
          <w:tcPr>
            <w:tcW w:w="1133" w:type="dxa"/>
            <w:tcBorders>
              <w:top w:val="single" w:color="auto" w:sz="4" w:space="0"/>
            </w:tcBorders>
            <w:noWrap w:val="0"/>
            <w:vAlign w:val="center"/>
          </w:tcPr>
          <w:p w14:paraId="4322B08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转化炉燃烧器</w:t>
            </w:r>
          </w:p>
        </w:tc>
        <w:tc>
          <w:tcPr>
            <w:tcW w:w="1390" w:type="dxa"/>
            <w:tcBorders>
              <w:top w:val="single" w:color="auto" w:sz="4" w:space="0"/>
            </w:tcBorders>
            <w:noWrap w:val="0"/>
            <w:vAlign w:val="center"/>
          </w:tcPr>
          <w:p w14:paraId="2C2AB75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燃烧废气</w:t>
            </w:r>
          </w:p>
        </w:tc>
        <w:tc>
          <w:tcPr>
            <w:tcW w:w="1936" w:type="dxa"/>
            <w:tcBorders>
              <w:top w:val="single" w:color="auto" w:sz="4" w:space="0"/>
            </w:tcBorders>
            <w:noWrap w:val="0"/>
            <w:vAlign w:val="center"/>
          </w:tcPr>
          <w:p w14:paraId="2DBA13D5">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NO</w:t>
            </w:r>
            <w:r>
              <w:rPr>
                <w:rFonts w:hint="eastAsia" w:ascii="Times New Roman" w:hAnsi="Times New Roman" w:eastAsia="宋体" w:cs="Times New Roman"/>
                <w:color w:val="auto"/>
                <w:kern w:val="2"/>
                <w:sz w:val="21"/>
                <w:szCs w:val="21"/>
                <w:highlight w:val="none"/>
                <w:vertAlign w:val="subscript"/>
                <w:lang w:val="en-US" w:eastAsia="zh-CN" w:bidi="ar-SA"/>
              </w:rPr>
              <w:t>X</w:t>
            </w:r>
          </w:p>
        </w:tc>
        <w:tc>
          <w:tcPr>
            <w:tcW w:w="873" w:type="dxa"/>
            <w:vMerge w:val="continue"/>
            <w:noWrap w:val="0"/>
            <w:vAlign w:val="center"/>
          </w:tcPr>
          <w:p w14:paraId="759CA6E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p>
        </w:tc>
        <w:tc>
          <w:tcPr>
            <w:tcW w:w="1057" w:type="dxa"/>
            <w:noWrap w:val="0"/>
            <w:vAlign w:val="center"/>
          </w:tcPr>
          <w:p w14:paraId="528D510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环境空气</w:t>
            </w:r>
          </w:p>
        </w:tc>
        <w:tc>
          <w:tcPr>
            <w:tcW w:w="1500" w:type="dxa"/>
            <w:noWrap w:val="0"/>
            <w:vAlign w:val="center"/>
          </w:tcPr>
          <w:p w14:paraId="2610DEA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周边大气环境</w:t>
            </w:r>
          </w:p>
        </w:tc>
      </w:tr>
      <w:tr w14:paraId="643E417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25" w:hRule="atLeast"/>
          <w:jc w:val="center"/>
        </w:trPr>
        <w:tc>
          <w:tcPr>
            <w:tcW w:w="451" w:type="dxa"/>
            <w:noWrap w:val="0"/>
            <w:vAlign w:val="center"/>
          </w:tcPr>
          <w:p w14:paraId="4EB27ADF">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w:t>
            </w:r>
          </w:p>
        </w:tc>
        <w:tc>
          <w:tcPr>
            <w:tcW w:w="1133" w:type="dxa"/>
            <w:noWrap w:val="0"/>
            <w:vAlign w:val="center"/>
          </w:tcPr>
          <w:p w14:paraId="5369B2F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废气处理设施</w:t>
            </w:r>
          </w:p>
        </w:tc>
        <w:tc>
          <w:tcPr>
            <w:tcW w:w="1390" w:type="dxa"/>
            <w:noWrap w:val="0"/>
            <w:vAlign w:val="center"/>
          </w:tcPr>
          <w:p w14:paraId="53E0DB6D">
            <w:pPr>
              <w:widowControl w:val="0"/>
              <w:wordWrap w:val="0"/>
              <w:bidi w:val="0"/>
              <w:adjustRightInd w:val="0"/>
              <w:snapToGrid w:val="0"/>
              <w:spacing w:line="240" w:lineRule="auto"/>
              <w:ind w:firstLine="0" w:firstLineChars="0"/>
              <w:jc w:val="center"/>
              <w:textAlignment w:val="baseline"/>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废气泄漏</w:t>
            </w:r>
          </w:p>
        </w:tc>
        <w:tc>
          <w:tcPr>
            <w:tcW w:w="1936" w:type="dxa"/>
            <w:noWrap w:val="0"/>
            <w:vAlign w:val="center"/>
          </w:tcPr>
          <w:p w14:paraId="7086889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颗粒物、VOCs（以非甲烷总烃计）</w:t>
            </w:r>
            <w:r>
              <w:rPr>
                <w:rFonts w:hint="eastAsia" w:ascii="Times New Roman" w:hAnsi="Times New Roman" w:eastAsia="宋体" w:cs="Times New Roman"/>
                <w:color w:val="auto"/>
                <w:kern w:val="2"/>
                <w:sz w:val="21"/>
                <w:szCs w:val="21"/>
                <w:highlight w:val="none"/>
                <w:lang w:val="en-US" w:eastAsia="zh-CN" w:bidi="ar-SA"/>
              </w:rPr>
              <w:t>、SO</w:t>
            </w:r>
            <w:r>
              <w:rPr>
                <w:rFonts w:hint="eastAsia" w:ascii="Times New Roman" w:hAnsi="Times New Roman" w:eastAsia="宋体" w:cs="Times New Roman"/>
                <w:color w:val="auto"/>
                <w:kern w:val="2"/>
                <w:sz w:val="21"/>
                <w:szCs w:val="21"/>
                <w:highlight w:val="none"/>
                <w:vertAlign w:val="subscript"/>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、NO</w:t>
            </w:r>
            <w:r>
              <w:rPr>
                <w:rFonts w:hint="eastAsia" w:ascii="Times New Roman" w:hAnsi="Times New Roman" w:eastAsia="宋体" w:cs="Times New Roman"/>
                <w:color w:val="auto"/>
                <w:kern w:val="2"/>
                <w:sz w:val="21"/>
                <w:szCs w:val="21"/>
                <w:highlight w:val="none"/>
                <w:vertAlign w:val="subscript"/>
                <w:lang w:val="en-US" w:eastAsia="zh-CN" w:bidi="ar-SA"/>
              </w:rPr>
              <w:t>X</w:t>
            </w:r>
          </w:p>
        </w:tc>
        <w:tc>
          <w:tcPr>
            <w:tcW w:w="873" w:type="dxa"/>
            <w:noWrap w:val="0"/>
            <w:vAlign w:val="center"/>
          </w:tcPr>
          <w:p w14:paraId="7B3CAA7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不达标排放</w:t>
            </w:r>
          </w:p>
        </w:tc>
        <w:tc>
          <w:tcPr>
            <w:tcW w:w="1057" w:type="dxa"/>
            <w:noWrap w:val="0"/>
            <w:vAlign w:val="center"/>
          </w:tcPr>
          <w:p w14:paraId="409C1C8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环境空气</w:t>
            </w:r>
          </w:p>
        </w:tc>
        <w:tc>
          <w:tcPr>
            <w:tcW w:w="1500" w:type="dxa"/>
            <w:noWrap w:val="0"/>
            <w:vAlign w:val="center"/>
          </w:tcPr>
          <w:p w14:paraId="213F8DB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周边大气环境</w:t>
            </w:r>
          </w:p>
        </w:tc>
      </w:tr>
    </w:tbl>
    <w:p w14:paraId="7ABEA7C4">
      <w:pPr>
        <w:keepNext/>
        <w:keepLines/>
        <w:widowControl w:val="0"/>
        <w:wordWrap w:val="0"/>
        <w:snapToGrid w:val="0"/>
        <w:spacing w:line="360" w:lineRule="auto"/>
        <w:ind w:firstLine="482" w:firstLineChars="200"/>
        <w:jc w:val="left"/>
        <w:outlineLvl w:val="3"/>
        <w:rPr>
          <w:rFonts w:hint="default" w:ascii="Times New Roman" w:hAnsi="Times New Roman" w:eastAsia="宋体" w:cs="Times New Roman"/>
          <w:b/>
          <w:bCs/>
          <w:color w:val="auto"/>
          <w:kern w:val="2"/>
          <w:sz w:val="24"/>
          <w:szCs w:val="28"/>
          <w:highlight w:val="none"/>
          <w:lang w:val="en-US" w:eastAsia="zh-CN" w:bidi="ar-SA"/>
        </w:rPr>
      </w:pPr>
      <w:r>
        <w:rPr>
          <w:rFonts w:hint="eastAsia" w:ascii="Times New Roman" w:hAnsi="Times New Roman" w:eastAsia="宋体" w:cs="Times New Roman"/>
          <w:b/>
          <w:bCs/>
          <w:color w:val="auto"/>
          <w:kern w:val="2"/>
          <w:sz w:val="24"/>
          <w:szCs w:val="28"/>
          <w:highlight w:val="none"/>
          <w:lang w:val="en-US" w:eastAsia="zh-CN" w:bidi="ar-SA"/>
        </w:rPr>
        <w:t>5</w:t>
      </w:r>
      <w:r>
        <w:rPr>
          <w:rFonts w:hint="default" w:ascii="Times New Roman" w:hAnsi="Times New Roman" w:eastAsia="宋体" w:cs="Times New Roman"/>
          <w:b/>
          <w:bCs/>
          <w:color w:val="auto"/>
          <w:kern w:val="2"/>
          <w:sz w:val="24"/>
          <w:szCs w:val="28"/>
          <w:highlight w:val="none"/>
          <w:lang w:val="en-US" w:eastAsia="zh-CN" w:bidi="ar-SA"/>
        </w:rPr>
        <w:t>.2.</w:t>
      </w:r>
      <w:r>
        <w:rPr>
          <w:rFonts w:hint="eastAsia" w:ascii="Times New Roman" w:hAnsi="Times New Roman" w:eastAsia="宋体" w:cs="Times New Roman"/>
          <w:b/>
          <w:bCs/>
          <w:color w:val="auto"/>
          <w:kern w:val="2"/>
          <w:sz w:val="24"/>
          <w:szCs w:val="28"/>
          <w:highlight w:val="none"/>
          <w:lang w:val="en-US" w:eastAsia="zh-CN" w:bidi="ar-SA"/>
        </w:rPr>
        <w:t>7</w:t>
      </w:r>
      <w:r>
        <w:rPr>
          <w:rFonts w:hint="default" w:ascii="Times New Roman" w:hAnsi="Times New Roman" w:eastAsia="宋体" w:cs="Times New Roman"/>
          <w:b/>
          <w:bCs/>
          <w:color w:val="auto"/>
          <w:kern w:val="2"/>
          <w:sz w:val="24"/>
          <w:szCs w:val="28"/>
          <w:highlight w:val="none"/>
          <w:lang w:val="en-US" w:eastAsia="zh-CN" w:bidi="ar-SA"/>
        </w:rPr>
        <w:t>.3风险管理及事故防范措施</w:t>
      </w:r>
    </w:p>
    <w:p w14:paraId="022642D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本项目存在发生原辅材料泄漏、废气事故排放、火灾和爆炸等风险，可能导致对大气环境、水环境、土壤环境等污染。若安全措施全面落实到位，则事故的概率将会降低。本项目</w:t>
      </w:r>
      <w:r>
        <w:rPr>
          <w:rFonts w:hint="eastAsia" w:ascii="Times New Roman" w:hAnsi="Times New Roman" w:eastAsia="宋体" w:cs="Times New Roman"/>
          <w:color w:val="auto"/>
          <w:sz w:val="24"/>
          <w:szCs w:val="24"/>
          <w:highlight w:val="none"/>
          <w:lang w:val="en-US" w:eastAsia="zh-CN"/>
        </w:rPr>
        <w:t>各原料储罐、缓冲罐等设备严格</w:t>
      </w:r>
      <w:r>
        <w:rPr>
          <w:rFonts w:hint="default" w:ascii="Times New Roman" w:hAnsi="Times New Roman" w:eastAsia="宋体" w:cs="Times New Roman"/>
          <w:color w:val="auto"/>
          <w:sz w:val="24"/>
          <w:szCs w:val="24"/>
          <w:highlight w:val="none"/>
          <w:lang w:eastAsia="zh-CN"/>
        </w:rPr>
        <w:t>按照设计</w:t>
      </w:r>
      <w:r>
        <w:rPr>
          <w:rFonts w:hint="eastAsia" w:ascii="Times New Roman" w:hAnsi="Times New Roman" w:eastAsia="宋体" w:cs="Times New Roman"/>
          <w:color w:val="auto"/>
          <w:sz w:val="24"/>
          <w:szCs w:val="24"/>
          <w:highlight w:val="none"/>
          <w:lang w:val="en-US" w:eastAsia="zh-CN"/>
        </w:rPr>
        <w:t>规范</w:t>
      </w:r>
      <w:r>
        <w:rPr>
          <w:rFonts w:hint="default" w:ascii="Times New Roman" w:hAnsi="Times New Roman" w:eastAsia="宋体" w:cs="Times New Roman"/>
          <w:color w:val="auto"/>
          <w:sz w:val="24"/>
          <w:szCs w:val="24"/>
          <w:highlight w:val="none"/>
        </w:rPr>
        <w:t>，保证建造质量，严格安全生产制度、严格管理，提高操作人员的素质和水平，以减少事故的发生。</w:t>
      </w:r>
    </w:p>
    <w:p w14:paraId="078E386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rPr>
      </w:pPr>
      <w:r>
        <w:rPr>
          <w:rFonts w:hint="eastAsia" w:ascii="宋体" w:hAnsi="宋体" w:eastAsia="宋体" w:cs="宋体"/>
          <w:color w:val="auto"/>
          <w:kern w:val="0"/>
          <w:sz w:val="24"/>
          <w:szCs w:val="24"/>
          <w:highlight w:val="none"/>
          <w:lang w:val="en-US" w:eastAsia="zh-CN" w:bidi="ar"/>
        </w:rPr>
        <w:t>企业应根据《企业事业单位突发环境事件应急预案备案管理办法（试行）》（环境保护部文件环发〔</w:t>
      </w:r>
      <w:r>
        <w:rPr>
          <w:rFonts w:hint="default" w:ascii="Times New Roman" w:hAnsi="Times New Roman" w:eastAsia="宋体" w:cs="Times New Roman"/>
          <w:color w:val="auto"/>
          <w:kern w:val="0"/>
          <w:sz w:val="24"/>
          <w:szCs w:val="24"/>
          <w:highlight w:val="none"/>
          <w:lang w:val="en-US" w:eastAsia="zh-CN" w:bidi="ar"/>
        </w:rPr>
        <w:t>2015</w:t>
      </w:r>
      <w:r>
        <w:rPr>
          <w:rFonts w:hint="eastAsia"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4</w:t>
      </w:r>
      <w:r>
        <w:rPr>
          <w:rFonts w:hint="eastAsia" w:ascii="宋体" w:hAnsi="宋体" w:eastAsia="宋体" w:cs="宋体"/>
          <w:color w:val="auto"/>
          <w:kern w:val="0"/>
          <w:sz w:val="24"/>
          <w:szCs w:val="24"/>
          <w:highlight w:val="none"/>
          <w:lang w:val="en-US" w:eastAsia="zh-CN" w:bidi="ar"/>
        </w:rPr>
        <w:t>号）编制突发环境事件应急预案，并报环保部门备案。公司应急预案体系中，应急救援组织机构中技术组协助指挥部做好事件报警、通报及处置工作；向周边企业、村落提供本单位有关危险物质特性、应急措施、救援知识等；疏散组根据现场情况判断是否需要人员紧急疏散和抢救物资，如需紧急疏散须及时规定疏散路线和疏散路口；并及时协助厂内员工和周围人员及居民的紧急疏散工作。</w:t>
      </w:r>
    </w:p>
    <w:p w14:paraId="4EF743F3">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企业应落实《关于</w:t>
      </w:r>
      <w:r>
        <w:rPr>
          <w:rFonts w:hint="default" w:ascii="Times New Roman" w:hAnsi="Times New Roman" w:eastAsia="宋体" w:cs="Times New Roman"/>
          <w:color w:val="auto"/>
          <w:sz w:val="24"/>
          <w:szCs w:val="24"/>
          <w:highlight w:val="none"/>
          <w:lang w:val="en-US" w:eastAsia="zh-CN"/>
        </w:rPr>
        <w:t>进一步加强环保设备设施安全生产工作</w:t>
      </w:r>
      <w:r>
        <w:rPr>
          <w:rFonts w:hint="eastAsia" w:ascii="Times New Roman" w:hAnsi="Times New Roman" w:eastAsia="宋体" w:cs="Times New Roman"/>
          <w:color w:val="auto"/>
          <w:sz w:val="24"/>
          <w:szCs w:val="24"/>
          <w:highlight w:val="none"/>
          <w:lang w:val="en-US" w:eastAsia="zh-CN"/>
        </w:rPr>
        <w:t>的通知》（皖安办明电〔2023〕1号）要求，深刻吸取事故教训、落实各方安全主体责任，</w:t>
      </w:r>
      <w:r>
        <w:rPr>
          <w:rFonts w:hint="eastAsia" w:ascii="Times New Roman" w:hAnsi="Times New Roman" w:eastAsia="宋体" w:cs="Times New Roman"/>
          <w:color w:val="auto"/>
          <w:sz w:val="24"/>
          <w:szCs w:val="24"/>
          <w:highlight w:val="none"/>
          <w:lang w:eastAsia="zh-CN"/>
        </w:rPr>
        <w:t>将环保设备设施安全作为</w:t>
      </w:r>
      <w:r>
        <w:rPr>
          <w:rFonts w:hint="eastAsia" w:ascii="Times New Roman" w:hAnsi="Times New Roman" w:eastAsia="宋体" w:cs="Times New Roman"/>
          <w:color w:val="auto"/>
          <w:sz w:val="24"/>
          <w:szCs w:val="24"/>
          <w:highlight w:val="none"/>
          <w:lang w:val="en-US" w:eastAsia="zh-CN"/>
        </w:rPr>
        <w:t>企业</w:t>
      </w:r>
      <w:r>
        <w:rPr>
          <w:rFonts w:hint="eastAsia" w:ascii="Times New Roman" w:hAnsi="Times New Roman" w:eastAsia="宋体" w:cs="Times New Roman"/>
          <w:color w:val="auto"/>
          <w:sz w:val="24"/>
          <w:szCs w:val="24"/>
          <w:highlight w:val="none"/>
          <w:lang w:eastAsia="zh-CN"/>
        </w:rPr>
        <w:t>安全工作的重要内容，切实承担起安全监督管理和指导责任。</w:t>
      </w:r>
    </w:p>
    <w:p w14:paraId="00FC7C91">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both"/>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具体</w:t>
      </w:r>
      <w:r>
        <w:rPr>
          <w:rFonts w:hint="default" w:ascii="Times New Roman" w:hAnsi="Times New Roman" w:eastAsia="宋体" w:cs="Times New Roman"/>
          <w:b/>
          <w:bCs/>
          <w:color w:val="auto"/>
          <w:sz w:val="24"/>
          <w:szCs w:val="24"/>
          <w:highlight w:val="none"/>
        </w:rPr>
        <w:t>安全防范措施</w:t>
      </w:r>
      <w:r>
        <w:rPr>
          <w:rFonts w:hint="eastAsia" w:ascii="Times New Roman" w:hAnsi="Times New Roman" w:eastAsia="宋体" w:cs="Times New Roman"/>
          <w:b/>
          <w:bCs/>
          <w:color w:val="auto"/>
          <w:sz w:val="24"/>
          <w:szCs w:val="24"/>
          <w:highlight w:val="none"/>
          <w:lang w:val="en-US" w:eastAsia="zh-CN"/>
        </w:rPr>
        <w:t>如下：</w:t>
      </w:r>
    </w:p>
    <w:p w14:paraId="2E860FD4">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both"/>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（1）选址、总图布置和建筑安全防范措施</w:t>
      </w:r>
    </w:p>
    <w:p w14:paraId="3C8A8EA9">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根据总图设计，项目区布置有危废贮存库等，项目区总平面布置根据厂内生产装置及安全、卫生要求合理分区，分区内部和相互之间保持一定的通道和间距。</w:t>
      </w:r>
    </w:p>
    <w:p w14:paraId="589213ED">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项目区原料、产品等大宗货物运输有单独路线，不与人流及其他货流混行和平交。项目区道路根据交通、消防和分区的要求合理布置，路面宽度按交通密度及安全因素确定，保证消防、急救车辆畅行无阻</w:t>
      </w:r>
    </w:p>
    <w:p w14:paraId="5711029A">
      <w:pPr>
        <w:wordWrap w:val="0"/>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eastAsia="zh-CN"/>
        </w:rPr>
        <w:t>（</w:t>
      </w: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生产过程的防范措施</w:t>
      </w:r>
    </w:p>
    <w:p w14:paraId="275F93C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生产过程事故风险防范是安全生产的核心，要严格采取措施加以防范，尽可能降低事故概率。</w:t>
      </w:r>
    </w:p>
    <w:p w14:paraId="2388813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①</w:t>
      </w:r>
      <w:r>
        <w:rPr>
          <w:rFonts w:hint="eastAsia" w:ascii="Times New Roman" w:hAnsi="Times New Roman" w:eastAsia="宋体" w:cs="Times New Roman"/>
          <w:color w:val="auto"/>
          <w:sz w:val="24"/>
          <w:szCs w:val="24"/>
          <w:highlight w:val="none"/>
          <w:lang w:val="en-US" w:eastAsia="zh-CN"/>
        </w:rPr>
        <w:t>站区</w:t>
      </w:r>
      <w:r>
        <w:rPr>
          <w:rFonts w:hint="default" w:ascii="Times New Roman" w:hAnsi="Times New Roman" w:eastAsia="宋体" w:cs="Times New Roman"/>
          <w:color w:val="auto"/>
          <w:sz w:val="24"/>
          <w:szCs w:val="24"/>
          <w:highlight w:val="none"/>
        </w:rPr>
        <w:t>必须按照</w:t>
      </w:r>
      <w:r>
        <w:rPr>
          <w:rFonts w:hint="eastAsia" w:ascii="Times New Roman" w:hAnsi="Times New Roman" w:eastAsia="宋体" w:cs="Times New Roman"/>
          <w:color w:val="auto"/>
          <w:sz w:val="24"/>
          <w:szCs w:val="24"/>
          <w:highlight w:val="none"/>
          <w:lang w:val="en-US" w:eastAsia="zh-CN"/>
        </w:rPr>
        <w:t>《汽车加油加气加氢站技术标准》（GB50156-2021）等</w:t>
      </w:r>
      <w:r>
        <w:rPr>
          <w:rFonts w:hint="eastAsia" w:ascii="Times New Roman" w:hAnsi="Times New Roman" w:eastAsia="宋体" w:cs="Times New Roman"/>
          <w:color w:val="auto"/>
          <w:spacing w:val="0"/>
          <w:sz w:val="21"/>
          <w:szCs w:val="24"/>
          <w:highlight w:val="none"/>
        </w:rPr>
        <w:t>相关规定</w:t>
      </w:r>
      <w:r>
        <w:rPr>
          <w:rFonts w:hint="eastAsia" w:ascii="Times New Roman" w:hAnsi="Times New Roman" w:eastAsia="宋体" w:cs="Times New Roman"/>
          <w:color w:val="auto"/>
          <w:sz w:val="24"/>
          <w:szCs w:val="24"/>
          <w:highlight w:val="none"/>
          <w:lang w:eastAsia="zh-CN"/>
        </w:rPr>
        <w:t>及其他</w:t>
      </w:r>
      <w:r>
        <w:rPr>
          <w:rFonts w:hint="default" w:ascii="Times New Roman" w:hAnsi="Times New Roman" w:eastAsia="宋体" w:cs="Times New Roman"/>
          <w:color w:val="auto"/>
          <w:sz w:val="24"/>
          <w:szCs w:val="24"/>
          <w:highlight w:val="none"/>
        </w:rPr>
        <w:t>安全规范建设、生产、管理。项目总图布置既要考虑满足工艺流程通顺，又要考虑安全、消防、环保等问题；危险物品存储、使用单元必须具备稳定、优良的通风条件，生产现场设置事故照明、安全疏散指示标志。</w:t>
      </w:r>
    </w:p>
    <w:p w14:paraId="39BA521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②</w:t>
      </w:r>
      <w:r>
        <w:rPr>
          <w:rFonts w:hint="default" w:ascii="Times New Roman" w:hAnsi="Times New Roman" w:eastAsia="宋体" w:cs="Times New Roman"/>
          <w:color w:val="auto"/>
          <w:sz w:val="24"/>
          <w:szCs w:val="24"/>
          <w:highlight w:val="none"/>
        </w:rPr>
        <w:t>建立安全生产岗位责任制，制定安全生产规章制度、安全操作规程。如生产过程有全套切实可行的安全操作规程，有专人负责检查安全操作规程的执行、安全设备及防护设备的使用情况；严禁吸烟；</w:t>
      </w:r>
      <w:r>
        <w:rPr>
          <w:rFonts w:hint="eastAsia" w:ascii="Times New Roman" w:hAnsi="Times New Roman" w:eastAsia="宋体" w:cs="Times New Roman"/>
          <w:color w:val="auto"/>
          <w:sz w:val="24"/>
          <w:szCs w:val="24"/>
          <w:highlight w:val="none"/>
          <w:lang w:val="en-US" w:eastAsia="zh-CN"/>
        </w:rPr>
        <w:t>站内</w:t>
      </w:r>
      <w:r>
        <w:rPr>
          <w:rFonts w:hint="default" w:ascii="Times New Roman" w:hAnsi="Times New Roman" w:eastAsia="宋体" w:cs="Times New Roman"/>
          <w:color w:val="auto"/>
          <w:sz w:val="24"/>
          <w:szCs w:val="24"/>
          <w:highlight w:val="none"/>
        </w:rPr>
        <w:t>应配备急救设备和药品；工作人员应学会自救和互救。</w:t>
      </w:r>
    </w:p>
    <w:p w14:paraId="5C881F6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③</w:t>
      </w:r>
      <w:r>
        <w:rPr>
          <w:rFonts w:hint="default" w:ascii="Times New Roman" w:hAnsi="Times New Roman" w:eastAsia="宋体" w:cs="Times New Roman"/>
          <w:color w:val="auto"/>
          <w:sz w:val="24"/>
          <w:szCs w:val="24"/>
          <w:highlight w:val="none"/>
        </w:rPr>
        <w:t>事故性泄漏常与装置设备故障相关联，项目生产和安全管理中要密切注意事故易发部位，做好运行监督检查与维修保养，防患于未然。</w:t>
      </w:r>
      <w:r>
        <w:rPr>
          <w:rFonts w:hint="default" w:ascii="Times New Roman" w:hAnsi="Times New Roman" w:eastAsia="宋体" w:cs="Times New Roman"/>
          <w:color w:val="auto"/>
          <w:sz w:val="24"/>
          <w:szCs w:val="24"/>
          <w:highlight w:val="none"/>
          <w:lang w:val="en-US" w:eastAsia="zh-CN"/>
        </w:rPr>
        <w:t>各主要生产过程所用的物料运行在密闭的设备和管道中，实现生产操作机械化、密闭化。设备管道采用无泄漏设计，尽量采用焊接连接方式，提高系统的密封性能，防止工艺介质泄漏。对重要设备设置安全泄压系统，设置安全阀、防爆膜等，防止系统超压破坏。采用先进的DCS集散控制系统及自动保护和紧急停车保护装置。在装置区、充装区设置CH</w:t>
      </w:r>
      <w:r>
        <w:rPr>
          <w:rFonts w:hint="default" w:ascii="Times New Roman" w:hAnsi="Times New Roman" w:eastAsia="宋体" w:cs="Times New Roman"/>
          <w:color w:val="auto"/>
          <w:sz w:val="24"/>
          <w:szCs w:val="24"/>
          <w:highlight w:val="none"/>
          <w:vertAlign w:val="subscript"/>
          <w:lang w:val="en-US" w:eastAsia="zh-CN"/>
        </w:rPr>
        <w:t>4</w:t>
      </w:r>
      <w:r>
        <w:rPr>
          <w:rFonts w:hint="default" w:ascii="Times New Roman" w:hAnsi="Times New Roman" w:eastAsia="宋体" w:cs="Times New Roman"/>
          <w:color w:val="auto"/>
          <w:sz w:val="24"/>
          <w:szCs w:val="24"/>
          <w:highlight w:val="none"/>
          <w:lang w:val="en-US" w:eastAsia="zh-CN"/>
        </w:rPr>
        <w:t>、氢气等可燃气体报警器。</w:t>
      </w:r>
    </w:p>
    <w:p w14:paraId="18510EB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④</w:t>
      </w:r>
      <w:r>
        <w:rPr>
          <w:rFonts w:hint="default" w:ascii="Times New Roman" w:hAnsi="Times New Roman" w:eastAsia="宋体" w:cs="Times New Roman"/>
          <w:color w:val="auto"/>
          <w:sz w:val="24"/>
          <w:szCs w:val="24"/>
          <w:highlight w:val="none"/>
        </w:rPr>
        <w:t>本项目负责人应组织员工认真学习贯彻，并将国家要求和安全技术规范转化为各自岗位的安全操作规程，并悬挂在岗位醒目位置，规范岗位操作，降低事故概率。</w:t>
      </w:r>
    </w:p>
    <w:p w14:paraId="4694867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⑤</w:t>
      </w:r>
      <w:r>
        <w:rPr>
          <w:rFonts w:hint="default" w:ascii="Times New Roman" w:hAnsi="Times New Roman" w:eastAsia="宋体" w:cs="Times New Roman"/>
          <w:color w:val="auto"/>
          <w:sz w:val="24"/>
          <w:szCs w:val="24"/>
          <w:highlight w:val="none"/>
        </w:rPr>
        <w:t>工程中应充分考虑安全因素，物料输送等关键岗位建议通过设备安全控制连锁措施降低风险性。在</w:t>
      </w:r>
      <w:r>
        <w:rPr>
          <w:rFonts w:hint="eastAsia" w:ascii="Times New Roman" w:hAnsi="Times New Roman" w:eastAsia="宋体" w:cs="Times New Roman"/>
          <w:color w:val="auto"/>
          <w:sz w:val="24"/>
          <w:szCs w:val="24"/>
          <w:highlight w:val="none"/>
          <w:lang w:val="en-US" w:eastAsia="zh-CN"/>
        </w:rPr>
        <w:t>站内</w:t>
      </w:r>
      <w:r>
        <w:rPr>
          <w:rFonts w:hint="default" w:ascii="Times New Roman" w:hAnsi="Times New Roman" w:eastAsia="宋体" w:cs="Times New Roman"/>
          <w:color w:val="auto"/>
          <w:sz w:val="24"/>
          <w:szCs w:val="24"/>
          <w:highlight w:val="none"/>
        </w:rPr>
        <w:t>设置疏散工作指示方向标识。</w:t>
      </w:r>
    </w:p>
    <w:p w14:paraId="4BCD62B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⑥</w:t>
      </w:r>
      <w:r>
        <w:rPr>
          <w:rFonts w:hint="default" w:ascii="Times New Roman" w:hAnsi="Times New Roman" w:eastAsia="宋体" w:cs="Times New Roman"/>
          <w:color w:val="auto"/>
          <w:sz w:val="24"/>
          <w:szCs w:val="24"/>
          <w:highlight w:val="none"/>
        </w:rPr>
        <w:t>组织专门定期进行周期性巡回检查，有跑冒滴漏或其他异常现象的应及时检修，必要时按照</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生产服从安全</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原则停车检修，严禁不正常运转。</w:t>
      </w:r>
    </w:p>
    <w:p w14:paraId="1FCB31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⑦</w:t>
      </w:r>
      <w:r>
        <w:rPr>
          <w:rFonts w:hint="default" w:ascii="Times New Roman" w:hAnsi="Times New Roman" w:eastAsia="宋体" w:cs="Times New Roman"/>
          <w:color w:val="auto"/>
          <w:sz w:val="24"/>
          <w:szCs w:val="24"/>
          <w:highlight w:val="none"/>
        </w:rPr>
        <w:t>建立预警机制，定期组织相关人员进行事故防范演习。</w:t>
      </w:r>
    </w:p>
    <w:p w14:paraId="20FE5C9A">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工艺及设备安全防范措施</w:t>
      </w:r>
    </w:p>
    <w:p w14:paraId="30284AE3">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①保证容器完好</w:t>
      </w:r>
    </w:p>
    <w:p w14:paraId="7A22AC1C">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容器的制造应严格按照压力容器的制造工艺进行，消除焊接等质量上的缺陷，容器配置的温度计、压力表、安全阀等安全装置必须齐全好用。</w:t>
      </w:r>
    </w:p>
    <w:p w14:paraId="6A646DA6">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②防止容器受外力破坏</w:t>
      </w:r>
    </w:p>
    <w:p w14:paraId="658F6E1D">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对于装载可燃气体的槽车的运输、停放应严加管理，防止由于交通事故、碰撞、触礁等外力，使其产生裂缝、开口，防止泄漏的气体达到爆炸浓度</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遇火源发生化学爆炸</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或因火焰加热贮罐，发生蒸汽爆炸。</w:t>
      </w:r>
    </w:p>
    <w:p w14:paraId="75668D53">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③及时有效堵漏</w:t>
      </w:r>
    </w:p>
    <w:p w14:paraId="5E62F045">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设置可燃气体监测报警系统</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为了能及时检测到可燃气体的非正常超量泄漏，以便工作人员尽快进行泄漏处置</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应在易泄漏处设置可燃气体检测报警装置。当发生可燃气体泄漏时，切断气源，堵住漏点，是消除其形成爆炸性混合物和防止火灾蔓延的重要步骤。</w:t>
      </w:r>
      <w:r>
        <w:rPr>
          <w:rFonts w:hint="eastAsia" w:ascii="Times New Roman" w:hAnsi="Times New Roman" w:eastAsia="宋体" w:cs="Times New Roman"/>
          <w:color w:val="auto"/>
          <w:sz w:val="24"/>
          <w:szCs w:val="24"/>
          <w:highlight w:val="none"/>
          <w:lang w:val="en-US" w:eastAsia="zh-CN"/>
        </w:rPr>
        <w:t>完善站内应急措施、设置超温报警和紧急停车联锁、紧急情况下切断进料，将反应器泄压至火炬。</w:t>
      </w:r>
    </w:p>
    <w:p w14:paraId="2609B3F3">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④控制点火源</w:t>
      </w:r>
    </w:p>
    <w:p w14:paraId="57C08113">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熄灭可燃气体扩散区的一切火种。在可燃气体扩散的区域，将电气设备保持原来状态，不要开或关，及时切断该区域的总电源。对已泄漏，但还没有着火的情况，堵漏时不得使用非防爆电器</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禁止发火的金属物品之间撞击和碰擦</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并在事故现场四周设立警戒区，警戒区内不得有任何火源存在，严禁将任何火源带入警戒区。</w:t>
      </w:r>
    </w:p>
    <w:p w14:paraId="6F637B7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环保设施运行风险防范</w:t>
      </w:r>
    </w:p>
    <w:p w14:paraId="5500AC4A">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本项目生产过</w:t>
      </w:r>
      <w:r>
        <w:rPr>
          <w:rFonts w:hint="eastAsia" w:cs="Times New Roman"/>
          <w:color w:val="auto"/>
          <w:sz w:val="24"/>
          <w:szCs w:val="24"/>
          <w:highlight w:val="none"/>
          <w:lang w:val="en-US" w:eastAsia="zh-CN"/>
        </w:rPr>
        <w:t>程中</w:t>
      </w:r>
      <w:r>
        <w:rPr>
          <w:rFonts w:hint="eastAsia" w:ascii="Times New Roman" w:hAnsi="Times New Roman" w:eastAsia="宋体" w:cs="Times New Roman"/>
          <w:color w:val="auto"/>
          <w:sz w:val="24"/>
          <w:szCs w:val="24"/>
          <w:highlight w:val="none"/>
          <w:lang w:val="en-US" w:eastAsia="zh-CN"/>
        </w:rPr>
        <w:t>会产生多种危险废物，危险废物暂存过程中如储存不当、管理不善，容易发生泄漏、火灾等风险事故，其风险防范措施如下：</w:t>
      </w:r>
    </w:p>
    <w:p w14:paraId="55B11FA0">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①危险废物暂存场所必须严格按照《危险废物贮存污染控制标准》（GB18597-2023）及其修改单的要求设置和管理，必须设置防渗、防漏、防腐、防雨等防范措施。</w:t>
      </w:r>
    </w:p>
    <w:p w14:paraId="2170FB11">
      <w:pPr>
        <w:wordWrap w:val="0"/>
        <w:bidi w:val="0"/>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②各类危险废物必须分类储存，并设置相应的标签，标明危废的来源、具体的成分、主要成分的性质和泄漏、火灾等处置方式，不得混合储存，各储存分区之间必须设置相应的防护距离，防止发生连锁反应。</w:t>
      </w:r>
    </w:p>
    <w:p w14:paraId="1305A027">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③必须定期对所贮存的危险废物包装容器及贮存设施进行检查，发现破损，应及时采取措施清理更换。</w:t>
      </w:r>
    </w:p>
    <w:p w14:paraId="5A70741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火灾的防范措施</w:t>
      </w:r>
    </w:p>
    <w:p w14:paraId="6344CCE5">
      <w:pPr>
        <w:wordWrap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柴油、汽油、沼气等原料</w:t>
      </w:r>
      <w:r>
        <w:rPr>
          <w:rFonts w:hint="default" w:ascii="Times New Roman" w:hAnsi="Times New Roman" w:eastAsia="宋体" w:cs="Times New Roman"/>
          <w:color w:val="auto"/>
          <w:sz w:val="24"/>
          <w:szCs w:val="24"/>
          <w:highlight w:val="none"/>
          <w:lang w:eastAsia="zh-CN"/>
        </w:rPr>
        <w:t>不完全燃烧的产物有一氧化碳等气体，CO有毒性，当达到一定的浓度时，会影响人的造血功能及神经系统功能。所以应加强防护措施和应急处理设施。</w:t>
      </w:r>
    </w:p>
    <w:p w14:paraId="261ED39F">
      <w:pPr>
        <w:wordWrap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①预防措施</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经常检查，及时处理。</w:t>
      </w:r>
    </w:p>
    <w:p w14:paraId="59BC0936">
      <w:pPr>
        <w:wordWrap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②应急处理</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迅速撤离火灾污染区人员至上风处，并立即进行隔离，小泄漏时隔离50m，大泄漏时隔离150m，严格限制出入。应急处理人员戴自给正压式呼吸器，穿防毒服。尽可能切断泄漏源。合理通风，加速扩散。</w:t>
      </w:r>
    </w:p>
    <w:p w14:paraId="5B3624E5">
      <w:pPr>
        <w:wordWrap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③防护措施</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空气中浓度超标时，建议佩戴空气呼吸器或氧气呼吸器。紧急事态抢救或撤离时，必须佩戴氧气呼吸器。工作现场禁止吸烟、进食和饮水，进入高浓度区作业，须有人监护。</w:t>
      </w:r>
    </w:p>
    <w:p w14:paraId="2A9C572E">
      <w:pPr>
        <w:wordWrap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④急救措施</w:t>
      </w:r>
    </w:p>
    <w:p w14:paraId="76F0CCA6">
      <w:pPr>
        <w:wordWrap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急救方法</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当人体吸入有毒气体引起中毒，须迅速脱离现场至空气新鲜处</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情节严重的要立即就医。</w:t>
      </w:r>
    </w:p>
    <w:p w14:paraId="3610C87F">
      <w:pPr>
        <w:wordWrap w:val="0"/>
        <w:spacing w:line="360" w:lineRule="auto"/>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灭火方法</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消防人员必须佩戴过滤式防毒面具</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全面罩</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或隔离式呼吸器、穿全身防火防毒服</w:t>
      </w:r>
      <w:r>
        <w:rPr>
          <w:rFonts w:hint="eastAsia" w:cs="Times New Roman"/>
          <w:color w:val="auto"/>
          <w:sz w:val="24"/>
          <w:szCs w:val="24"/>
          <w:highlight w:val="none"/>
          <w:lang w:eastAsia="zh-CN"/>
        </w:rPr>
        <w:t>，使</w:t>
      </w:r>
      <w:r>
        <w:rPr>
          <w:rFonts w:hint="default" w:ascii="Times New Roman" w:hAnsi="Times New Roman" w:eastAsia="宋体" w:cs="Times New Roman"/>
          <w:color w:val="auto"/>
          <w:sz w:val="24"/>
          <w:szCs w:val="24"/>
          <w:highlight w:val="none"/>
          <w:lang w:eastAsia="zh-CN"/>
        </w:rPr>
        <w:t>用灭火器紧急处理，及时报告，根据情况向</w:t>
      </w:r>
      <w:r>
        <w:rPr>
          <w:rFonts w:hint="eastAsia" w:ascii="Times New Roman" w:hAnsi="Times New Roman" w:eastAsia="宋体" w:cs="Times New Roman"/>
          <w:color w:val="auto"/>
          <w:sz w:val="24"/>
          <w:szCs w:val="24"/>
          <w:highlight w:val="none"/>
          <w:lang w:val="en-US" w:eastAsia="zh-CN"/>
        </w:rPr>
        <w:t>站内</w:t>
      </w:r>
      <w:r>
        <w:rPr>
          <w:rFonts w:hint="default" w:ascii="Times New Roman" w:hAnsi="Times New Roman" w:eastAsia="宋体" w:cs="Times New Roman"/>
          <w:color w:val="auto"/>
          <w:sz w:val="24"/>
          <w:szCs w:val="24"/>
          <w:highlight w:val="none"/>
          <w:lang w:eastAsia="zh-CN"/>
        </w:rPr>
        <w:t>应急中心求救或拨打119。</w:t>
      </w:r>
    </w:p>
    <w:p w14:paraId="7AF80B66">
      <w:pPr>
        <w:numPr>
          <w:ilvl w:val="0"/>
          <w:numId w:val="2"/>
        </w:numPr>
        <w:wordWrap w:val="0"/>
        <w:bidi w:val="0"/>
        <w:spacing w:line="360" w:lineRule="auto"/>
        <w:ind w:firstLine="482" w:firstLineChars="200"/>
        <w:jc w:val="left"/>
        <w:rPr>
          <w:rFonts w:hint="eastAsia"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泄漏</w:t>
      </w:r>
      <w:r>
        <w:rPr>
          <w:rFonts w:hint="eastAsia" w:ascii="Times New Roman" w:hAnsi="Times New Roman" w:eastAsia="宋体" w:cs="Times New Roman"/>
          <w:b/>
          <w:bCs/>
          <w:color w:val="auto"/>
          <w:sz w:val="24"/>
          <w:szCs w:val="24"/>
          <w:highlight w:val="none"/>
          <w:lang w:val="en-US" w:eastAsia="zh-CN"/>
        </w:rPr>
        <w:t>风险防范措施</w:t>
      </w:r>
    </w:p>
    <w:p w14:paraId="4CB754C4">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原料泄漏时，迅速撤离泄漏污染区人员至安全区，并进行隔离，严格限制出入。切断火源。建议应急处理人员戴自给正压式呼吸器，穿消防防护服。尽可能切断泄漏源。</w:t>
      </w:r>
    </w:p>
    <w:p w14:paraId="5E57B0B2">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防止进入下水道、排洪沟等限制性空间。</w:t>
      </w:r>
    </w:p>
    <w:p w14:paraId="40AC2B47">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小量泄漏</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用砂土、蛭石或其它惰性材料吸收。</w:t>
      </w:r>
    </w:p>
    <w:p w14:paraId="7DC1E0BD">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大量泄漏</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构筑围堤或挖坑收容</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用泡沫覆盖，降低蒸气灾害。用防爆泵转移至槽车或专用收集器内，回收或运至废物处理场所处置</w:t>
      </w:r>
      <w:r>
        <w:rPr>
          <w:rFonts w:hint="eastAsia" w:ascii="Times New Roman" w:hAnsi="Times New Roman" w:eastAsia="宋体" w:cs="Times New Roman"/>
          <w:color w:val="auto"/>
          <w:sz w:val="24"/>
          <w:szCs w:val="24"/>
          <w:highlight w:val="none"/>
          <w:lang w:val="en-US" w:eastAsia="zh-CN"/>
        </w:rPr>
        <w:t>。</w:t>
      </w:r>
    </w:p>
    <w:p w14:paraId="34122FB5">
      <w:pPr>
        <w:wordWrap w:val="0"/>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废气事故排放的防范措施</w:t>
      </w:r>
    </w:p>
    <w:p w14:paraId="17CF52B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若项目废气处理设施发生故障，会造成工艺废气</w:t>
      </w:r>
      <w:r>
        <w:rPr>
          <w:rFonts w:hint="eastAsia" w:ascii="Times New Roman" w:hAnsi="Times New Roman" w:eastAsia="宋体" w:cs="Times New Roman"/>
          <w:color w:val="auto"/>
          <w:sz w:val="24"/>
          <w:szCs w:val="24"/>
          <w:highlight w:val="none"/>
          <w:lang w:eastAsia="zh-CN"/>
        </w:rPr>
        <w:t>直接</w:t>
      </w:r>
      <w:r>
        <w:rPr>
          <w:rFonts w:hint="default" w:ascii="Times New Roman" w:hAnsi="Times New Roman" w:eastAsia="宋体" w:cs="Times New Roman"/>
          <w:color w:val="auto"/>
          <w:sz w:val="24"/>
          <w:szCs w:val="24"/>
          <w:highlight w:val="none"/>
        </w:rPr>
        <w:t>排入环境中，造成大气污染。</w:t>
      </w:r>
    </w:p>
    <w:p w14:paraId="16A62B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现实许多企业由于设备长期运行失效而出现环保事故排放可以说是屡见不鲜。故建设单位应认真做好设备的保养，定期维护、保修工作，使处理设施达到预期效果。为确保不发生事故性废气排放，建议建设单位采取一定的事故性防范保护措施：</w:t>
      </w:r>
    </w:p>
    <w:p w14:paraId="4C112C5E">
      <w:pPr>
        <w:wordWrap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①</w:t>
      </w:r>
      <w:r>
        <w:rPr>
          <w:rFonts w:hint="default" w:ascii="Times New Roman" w:hAnsi="Times New Roman" w:eastAsia="宋体" w:cs="Times New Roman"/>
          <w:color w:val="auto"/>
          <w:sz w:val="24"/>
          <w:szCs w:val="24"/>
          <w:highlight w:val="none"/>
        </w:rPr>
        <w:t>各生产环节严格执行生产管理的有关规定，加强设备的检修及保养，提高管理人员素质，并设置机器事故应急措施及管理制度，确保设备长期处于良好状态，使设备达到预期的处理效果。</w:t>
      </w:r>
    </w:p>
    <w:p w14:paraId="05C33C7F">
      <w:pPr>
        <w:wordWrap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②</w:t>
      </w:r>
      <w:r>
        <w:rPr>
          <w:rFonts w:hint="default" w:ascii="Times New Roman" w:hAnsi="Times New Roman" w:eastAsia="宋体" w:cs="Times New Roman"/>
          <w:color w:val="auto"/>
          <w:sz w:val="24"/>
          <w:szCs w:val="24"/>
          <w:highlight w:val="none"/>
        </w:rPr>
        <w:t>现场作业人员定时记录废气处理状况</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对抽风机等设备进行点检工作，并派专人巡视，遇不良工作状况立即停止厂房相关作业，维修正常后再开始作业，杜绝事故性废气直排，并及时呈报单位主管。待检修完毕再通知生产相关工序。</w:t>
      </w:r>
    </w:p>
    <w:p w14:paraId="1A7F4FDA">
      <w:pPr>
        <w:wordWrap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③</w:t>
      </w:r>
      <w:r>
        <w:rPr>
          <w:rFonts w:hint="default" w:ascii="Times New Roman" w:hAnsi="Times New Roman" w:eastAsia="宋体" w:cs="Times New Roman"/>
          <w:color w:val="auto"/>
          <w:sz w:val="24"/>
          <w:szCs w:val="24"/>
          <w:highlight w:val="none"/>
        </w:rPr>
        <w:t>一旦造成废气事故排放时，就可能对</w:t>
      </w:r>
      <w:r>
        <w:rPr>
          <w:rFonts w:hint="eastAsia" w:ascii="Times New Roman" w:hAnsi="Times New Roman" w:eastAsia="宋体" w:cs="Times New Roman"/>
          <w:color w:val="auto"/>
          <w:sz w:val="24"/>
          <w:szCs w:val="24"/>
          <w:highlight w:val="none"/>
          <w:lang w:val="en-US" w:eastAsia="zh-CN"/>
        </w:rPr>
        <w:t>站内员工</w:t>
      </w:r>
      <w:r>
        <w:rPr>
          <w:rFonts w:hint="default" w:ascii="Times New Roman" w:hAnsi="Times New Roman" w:eastAsia="宋体" w:cs="Times New Roman"/>
          <w:color w:val="auto"/>
          <w:sz w:val="24"/>
          <w:szCs w:val="24"/>
          <w:highlight w:val="none"/>
        </w:rPr>
        <w:t>及周围环境产生影响。建设单位必须严加管理，杜绝事故排放的事故发生。</w:t>
      </w:r>
    </w:p>
    <w:p w14:paraId="054B2B85">
      <w:pPr>
        <w:wordWrap w:val="0"/>
        <w:spacing w:line="360" w:lineRule="auto"/>
        <w:ind w:firstLine="482" w:firstLineChars="20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eastAsia="宋体" w:cs="Times New Roman"/>
          <w:b/>
          <w:bCs/>
          <w:color w:val="auto"/>
          <w:sz w:val="24"/>
          <w:szCs w:val="24"/>
          <w:highlight w:val="none"/>
        </w:rPr>
        <w:t>厂内运输过程中的事故防范措施</w:t>
      </w:r>
    </w:p>
    <w:p w14:paraId="4654F6A4">
      <w:pPr>
        <w:wordWrap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由于液态物料运输较</w:t>
      </w:r>
      <w:r>
        <w:rPr>
          <w:rFonts w:hint="eastAsia" w:ascii="Times New Roman" w:hAnsi="Times New Roman" w:eastAsia="宋体" w:cs="Times New Roman"/>
          <w:color w:val="auto"/>
          <w:sz w:val="24"/>
          <w:szCs w:val="24"/>
          <w:highlight w:val="none"/>
          <w:lang w:eastAsia="zh-CN"/>
        </w:rPr>
        <w:t>其他</w:t>
      </w:r>
      <w:r>
        <w:rPr>
          <w:rFonts w:hint="default" w:ascii="Times New Roman" w:hAnsi="Times New Roman" w:eastAsia="宋体" w:cs="Times New Roman"/>
          <w:color w:val="auto"/>
          <w:sz w:val="24"/>
          <w:szCs w:val="24"/>
          <w:highlight w:val="none"/>
        </w:rPr>
        <w:t>货物的运输有更大的危险性，因此在运输过程中应小心谨慎，确保安全。为此注意以下几个问题：</w:t>
      </w:r>
    </w:p>
    <w:p w14:paraId="343ED75A">
      <w:pPr>
        <w:wordWrap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合理规划运输路线及时间。</w:t>
      </w:r>
      <w:r>
        <w:rPr>
          <w:rFonts w:hint="eastAsia" w:ascii="Times New Roman" w:hAnsi="Times New Roman" w:eastAsia="宋体" w:cs="Times New Roman"/>
          <w:color w:val="auto"/>
          <w:sz w:val="24"/>
          <w:szCs w:val="24"/>
          <w:highlight w:val="none"/>
          <w:lang w:val="en-US" w:eastAsia="zh-CN"/>
        </w:rPr>
        <w:t>柴油、汽油、沼气、氢气等运输</w:t>
      </w:r>
      <w:r>
        <w:rPr>
          <w:rFonts w:hint="default" w:ascii="Times New Roman" w:hAnsi="Times New Roman" w:eastAsia="宋体" w:cs="Times New Roman"/>
          <w:color w:val="auto"/>
          <w:sz w:val="24"/>
          <w:szCs w:val="24"/>
          <w:highlight w:val="none"/>
        </w:rPr>
        <w:t>的装运应做到定车、定人。被装运的危险物品必须在其外包装的明显部位按《危险货物包装标志》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GB190-</w:t>
      </w:r>
      <w:r>
        <w:rPr>
          <w:rFonts w:hint="default" w:ascii="Times New Roman" w:hAnsi="Times New Roman" w:eastAsia="宋体" w:cs="Times New Roman"/>
          <w:color w:val="auto"/>
          <w:sz w:val="24"/>
          <w:szCs w:val="24"/>
          <w:highlight w:val="none"/>
          <w:lang w:val="en-US" w:eastAsia="zh-CN"/>
        </w:rPr>
        <w:t>2009</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规定的危险物品标志，包装标志要牢固、正确。运输有毒和腐蚀性物品汽车的驾驶员和押运人员，在出车前必须检查防毒、防护用品和是否携带齐全有效，在运输途中发现泄漏时应主动采取处理措施。</w:t>
      </w:r>
    </w:p>
    <w:p w14:paraId="60899C3C">
      <w:pPr>
        <w:keepNext/>
        <w:keepLines/>
        <w:widowControl w:val="0"/>
        <w:wordWrap w:val="0"/>
        <w:snapToGrid w:val="0"/>
        <w:spacing w:line="360" w:lineRule="auto"/>
        <w:ind w:firstLine="482" w:firstLineChars="200"/>
        <w:jc w:val="left"/>
        <w:outlineLvl w:val="3"/>
        <w:rPr>
          <w:rFonts w:hint="default" w:ascii="Times New Roman" w:hAnsi="Times New Roman" w:eastAsia="宋体" w:cs="Times New Roman"/>
          <w:b/>
          <w:bCs/>
          <w:color w:val="auto"/>
          <w:kern w:val="2"/>
          <w:sz w:val="24"/>
          <w:szCs w:val="28"/>
          <w:highlight w:val="none"/>
          <w:lang w:val="en-US" w:eastAsia="zh-CN" w:bidi="ar-SA"/>
        </w:rPr>
      </w:pPr>
      <w:r>
        <w:rPr>
          <w:rFonts w:hint="eastAsia" w:ascii="Times New Roman" w:hAnsi="Times New Roman" w:eastAsia="宋体" w:cs="Times New Roman"/>
          <w:b/>
          <w:bCs/>
          <w:color w:val="auto"/>
          <w:kern w:val="2"/>
          <w:sz w:val="24"/>
          <w:szCs w:val="28"/>
          <w:highlight w:val="none"/>
          <w:lang w:val="en-US" w:eastAsia="zh-CN" w:bidi="ar-SA"/>
        </w:rPr>
        <w:t>5</w:t>
      </w:r>
      <w:r>
        <w:rPr>
          <w:rFonts w:hint="default" w:ascii="Times New Roman" w:hAnsi="Times New Roman" w:eastAsia="宋体" w:cs="Times New Roman"/>
          <w:b/>
          <w:bCs/>
          <w:color w:val="auto"/>
          <w:kern w:val="2"/>
          <w:sz w:val="24"/>
          <w:szCs w:val="28"/>
          <w:highlight w:val="none"/>
          <w:lang w:val="en-US" w:eastAsia="zh-CN" w:bidi="ar-SA"/>
        </w:rPr>
        <w:t>.2.</w:t>
      </w:r>
      <w:r>
        <w:rPr>
          <w:rFonts w:hint="eastAsia" w:ascii="Times New Roman" w:hAnsi="Times New Roman" w:eastAsia="宋体" w:cs="Times New Roman"/>
          <w:b/>
          <w:bCs/>
          <w:color w:val="auto"/>
          <w:kern w:val="2"/>
          <w:sz w:val="24"/>
          <w:szCs w:val="28"/>
          <w:highlight w:val="none"/>
          <w:lang w:val="en-US" w:eastAsia="zh-CN" w:bidi="ar-SA"/>
        </w:rPr>
        <w:t>7</w:t>
      </w:r>
      <w:r>
        <w:rPr>
          <w:rFonts w:hint="default" w:ascii="Times New Roman" w:hAnsi="Times New Roman" w:eastAsia="宋体" w:cs="Times New Roman"/>
          <w:b/>
          <w:bCs/>
          <w:color w:val="auto"/>
          <w:kern w:val="2"/>
          <w:sz w:val="24"/>
          <w:szCs w:val="28"/>
          <w:highlight w:val="none"/>
          <w:lang w:val="en-US" w:eastAsia="zh-CN" w:bidi="ar-SA"/>
        </w:rPr>
        <w:t>.</w:t>
      </w:r>
      <w:r>
        <w:rPr>
          <w:rFonts w:hint="eastAsia" w:ascii="Times New Roman" w:hAnsi="Times New Roman" w:eastAsia="宋体" w:cs="Times New Roman"/>
          <w:b/>
          <w:bCs/>
          <w:color w:val="auto"/>
          <w:kern w:val="2"/>
          <w:sz w:val="24"/>
          <w:szCs w:val="28"/>
          <w:highlight w:val="none"/>
          <w:lang w:val="en-US" w:eastAsia="zh-CN" w:bidi="ar-SA"/>
        </w:rPr>
        <w:t>4</w:t>
      </w:r>
      <w:r>
        <w:rPr>
          <w:rFonts w:hint="default" w:ascii="Times New Roman" w:hAnsi="Times New Roman" w:eastAsia="宋体" w:cs="Times New Roman"/>
          <w:b/>
          <w:bCs/>
          <w:color w:val="auto"/>
          <w:kern w:val="2"/>
          <w:sz w:val="24"/>
          <w:szCs w:val="28"/>
          <w:highlight w:val="none"/>
          <w:lang w:val="en-US" w:eastAsia="zh-CN" w:bidi="ar-SA"/>
        </w:rPr>
        <w:t>风险事故应急预案</w:t>
      </w:r>
    </w:p>
    <w:p w14:paraId="6BBED215">
      <w:pPr>
        <w:widowControl w:val="0"/>
        <w:wordWrap w:val="0"/>
        <w:autoSpaceDE w:val="0"/>
        <w:spacing w:line="360" w:lineRule="auto"/>
        <w:ind w:firstLine="480" w:firstLineChars="200"/>
        <w:jc w:val="left"/>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企业应自行或者委托有关单位编制本项目的环境风险应急预案，并在环保行政主管部门进行备案。根据《建设项目环境风险评价技术导则》（HJ169-2018），本项目环境风险应急预案主要内容及要求见下表。</w:t>
      </w:r>
    </w:p>
    <w:p w14:paraId="7C631B2C">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5.2.7-</w:t>
      </w:r>
      <w:r>
        <w:rPr>
          <w:rFonts w:hint="eastAsia" w:cs="Times New Roman"/>
          <w:b/>
          <w:bCs/>
          <w:color w:val="auto"/>
          <w:kern w:val="2"/>
          <w:sz w:val="24"/>
          <w:szCs w:val="21"/>
          <w:highlight w:val="none"/>
          <w:lang w:val="en-US" w:eastAsia="zh-CN" w:bidi="ar-SA"/>
        </w:rPr>
        <w:t>5</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环境风险应急预案主要内容及要求</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24"/>
        <w:gridCol w:w="1449"/>
        <w:gridCol w:w="6243"/>
      </w:tblGrid>
      <w:tr w14:paraId="3ADDD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75" w:type="pct"/>
            <w:noWrap w:val="0"/>
            <w:vAlign w:val="center"/>
          </w:tcPr>
          <w:p w14:paraId="4C88F65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871" w:type="pct"/>
            <w:noWrap w:val="0"/>
            <w:vAlign w:val="center"/>
          </w:tcPr>
          <w:p w14:paraId="6D7365E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项目</w:t>
            </w:r>
          </w:p>
        </w:tc>
        <w:tc>
          <w:tcPr>
            <w:tcW w:w="3753" w:type="pct"/>
            <w:noWrap w:val="0"/>
            <w:vAlign w:val="center"/>
          </w:tcPr>
          <w:p w14:paraId="3D5B81E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内容及要求</w:t>
            </w:r>
          </w:p>
        </w:tc>
      </w:tr>
      <w:tr w14:paraId="7C8E0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75" w:type="pct"/>
            <w:noWrap w:val="0"/>
            <w:vAlign w:val="center"/>
          </w:tcPr>
          <w:p w14:paraId="5BEBE9F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871" w:type="pct"/>
            <w:noWrap w:val="0"/>
            <w:vAlign w:val="center"/>
          </w:tcPr>
          <w:p w14:paraId="2D58D12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总则</w:t>
            </w:r>
          </w:p>
        </w:tc>
        <w:tc>
          <w:tcPr>
            <w:tcW w:w="3753" w:type="pct"/>
            <w:noWrap w:val="0"/>
            <w:vAlign w:val="center"/>
          </w:tcPr>
          <w:p w14:paraId="4E8D2BA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明确编制目的、编制依据、适用范围、工作原则等。</w:t>
            </w:r>
          </w:p>
        </w:tc>
      </w:tr>
      <w:tr w14:paraId="318CF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375" w:type="pct"/>
            <w:noWrap w:val="0"/>
            <w:vAlign w:val="center"/>
          </w:tcPr>
          <w:p w14:paraId="568F842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871" w:type="pct"/>
            <w:noWrap w:val="0"/>
            <w:vAlign w:val="center"/>
          </w:tcPr>
          <w:p w14:paraId="363E780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危险源概况</w:t>
            </w:r>
          </w:p>
        </w:tc>
        <w:tc>
          <w:tcPr>
            <w:tcW w:w="3753" w:type="pct"/>
            <w:noWrap w:val="0"/>
            <w:vAlign w:val="center"/>
          </w:tcPr>
          <w:p w14:paraId="55425F6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详述危险源类型、数量及其分布</w:t>
            </w:r>
          </w:p>
        </w:tc>
      </w:tr>
      <w:tr w14:paraId="75EDB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1" w:hRule="atLeast"/>
          <w:jc w:val="center"/>
        </w:trPr>
        <w:tc>
          <w:tcPr>
            <w:tcW w:w="375" w:type="pct"/>
            <w:noWrap w:val="0"/>
            <w:vAlign w:val="center"/>
          </w:tcPr>
          <w:p w14:paraId="230BC18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871" w:type="pct"/>
            <w:noWrap w:val="0"/>
            <w:vAlign w:val="center"/>
          </w:tcPr>
          <w:p w14:paraId="423A4F9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应急计划区</w:t>
            </w:r>
          </w:p>
        </w:tc>
        <w:tc>
          <w:tcPr>
            <w:tcW w:w="3753" w:type="pct"/>
            <w:noWrap w:val="0"/>
            <w:vAlign w:val="center"/>
          </w:tcPr>
          <w:p w14:paraId="4FC239A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危险目标</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各生产区、储存区、环境保护目标等。</w:t>
            </w:r>
          </w:p>
        </w:tc>
      </w:tr>
      <w:tr w14:paraId="784DA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7" w:hRule="atLeast"/>
          <w:jc w:val="center"/>
        </w:trPr>
        <w:tc>
          <w:tcPr>
            <w:tcW w:w="375" w:type="pct"/>
            <w:noWrap w:val="0"/>
            <w:vAlign w:val="center"/>
          </w:tcPr>
          <w:p w14:paraId="4120B61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871" w:type="pct"/>
            <w:noWrap w:val="0"/>
            <w:vAlign w:val="center"/>
          </w:tcPr>
          <w:p w14:paraId="665646D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应急组织</w:t>
            </w:r>
          </w:p>
        </w:tc>
        <w:tc>
          <w:tcPr>
            <w:tcW w:w="3753" w:type="pct"/>
            <w:noWrap w:val="0"/>
            <w:vAlign w:val="center"/>
          </w:tcPr>
          <w:p w14:paraId="1996801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依据企业的规模大小和突发环境事件危害程度的级别，设置分级应急救援的组织机构，并明确各组及人员职责</w:t>
            </w:r>
          </w:p>
        </w:tc>
      </w:tr>
      <w:tr w14:paraId="0DE3C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2" w:hRule="atLeast"/>
          <w:jc w:val="center"/>
        </w:trPr>
        <w:tc>
          <w:tcPr>
            <w:tcW w:w="375" w:type="pct"/>
            <w:noWrap w:val="0"/>
            <w:vAlign w:val="center"/>
          </w:tcPr>
          <w:p w14:paraId="7237F81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871" w:type="pct"/>
            <w:noWrap w:val="0"/>
            <w:vAlign w:val="center"/>
          </w:tcPr>
          <w:p w14:paraId="044607C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应急状态分类及应急响应程序</w:t>
            </w:r>
          </w:p>
        </w:tc>
        <w:tc>
          <w:tcPr>
            <w:tcW w:w="3753" w:type="pct"/>
            <w:noWrap w:val="0"/>
            <w:vAlign w:val="center"/>
          </w:tcPr>
          <w:p w14:paraId="487A560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规定事故的级别及相应的应急分类响应程序</w:t>
            </w:r>
          </w:p>
        </w:tc>
      </w:tr>
      <w:tr w14:paraId="6ADFD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jc w:val="center"/>
        </w:trPr>
        <w:tc>
          <w:tcPr>
            <w:tcW w:w="375" w:type="pct"/>
            <w:noWrap w:val="0"/>
            <w:vAlign w:val="center"/>
          </w:tcPr>
          <w:p w14:paraId="355770F7">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871" w:type="pct"/>
            <w:noWrap w:val="0"/>
            <w:vAlign w:val="center"/>
          </w:tcPr>
          <w:p w14:paraId="02DFA80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应急设施、设备与材料</w:t>
            </w:r>
          </w:p>
        </w:tc>
        <w:tc>
          <w:tcPr>
            <w:tcW w:w="3753" w:type="pct"/>
            <w:noWrap w:val="0"/>
            <w:vAlign w:val="center"/>
          </w:tcPr>
          <w:p w14:paraId="20E7A745">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生产装置：①防火灾、爆炸事故应急设施、设备与材料，主要为消防器材；②罐区：</w:t>
            </w:r>
            <w:r>
              <w:rPr>
                <w:rFonts w:hint="eastAsia" w:ascii="Times New Roman" w:hAnsi="Times New Roman" w:eastAsia="宋体" w:cs="Times New Roman"/>
                <w:color w:val="auto"/>
                <w:kern w:val="2"/>
                <w:sz w:val="21"/>
                <w:szCs w:val="21"/>
                <w:highlight w:val="none"/>
                <w:lang w:val="en-US" w:eastAsia="zh-CN" w:bidi="ar-SA"/>
              </w:rPr>
              <w:t>设置气体报警装置，液位计，其他消防器材</w:t>
            </w:r>
            <w:r>
              <w:rPr>
                <w:rFonts w:hint="default" w:ascii="Times New Roman" w:hAnsi="Times New Roman" w:eastAsia="宋体" w:cs="Times New Roman"/>
                <w:color w:val="auto"/>
                <w:kern w:val="2"/>
                <w:sz w:val="21"/>
                <w:szCs w:val="21"/>
                <w:highlight w:val="none"/>
                <w:lang w:val="en-US" w:eastAsia="zh-CN" w:bidi="ar-SA"/>
              </w:rPr>
              <w:t>与生产装置</w:t>
            </w:r>
            <w:r>
              <w:rPr>
                <w:rFonts w:hint="eastAsia" w:ascii="Times New Roman" w:hAnsi="Times New Roman" w:eastAsia="宋体" w:cs="Times New Roman"/>
                <w:color w:val="auto"/>
                <w:kern w:val="2"/>
                <w:sz w:val="21"/>
                <w:szCs w:val="21"/>
                <w:highlight w:val="none"/>
                <w:lang w:val="en-US" w:eastAsia="zh-CN" w:bidi="ar-SA"/>
              </w:rPr>
              <w:t>相同</w:t>
            </w:r>
          </w:p>
        </w:tc>
      </w:tr>
      <w:tr w14:paraId="6C559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jc w:val="center"/>
        </w:trPr>
        <w:tc>
          <w:tcPr>
            <w:tcW w:w="375" w:type="pct"/>
            <w:noWrap w:val="0"/>
            <w:vAlign w:val="center"/>
          </w:tcPr>
          <w:p w14:paraId="6330E7A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w:t>
            </w:r>
          </w:p>
        </w:tc>
        <w:tc>
          <w:tcPr>
            <w:tcW w:w="871" w:type="pct"/>
            <w:noWrap w:val="0"/>
            <w:vAlign w:val="center"/>
          </w:tcPr>
          <w:p w14:paraId="6AC0A17B">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应急通讯、通知和交通</w:t>
            </w:r>
          </w:p>
        </w:tc>
        <w:tc>
          <w:tcPr>
            <w:tcW w:w="3753" w:type="pct"/>
            <w:noWrap w:val="0"/>
            <w:vAlign w:val="center"/>
          </w:tcPr>
          <w:p w14:paraId="5D6AF920">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规定应急状态下的通讯方式、通知方式和交通保障、管制</w:t>
            </w:r>
          </w:p>
        </w:tc>
      </w:tr>
      <w:tr w14:paraId="5CE2B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jc w:val="center"/>
        </w:trPr>
        <w:tc>
          <w:tcPr>
            <w:tcW w:w="375" w:type="pct"/>
            <w:noWrap w:val="0"/>
            <w:vAlign w:val="center"/>
          </w:tcPr>
          <w:p w14:paraId="1B3450E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w:t>
            </w:r>
          </w:p>
        </w:tc>
        <w:tc>
          <w:tcPr>
            <w:tcW w:w="871" w:type="pct"/>
            <w:noWrap w:val="0"/>
            <w:vAlign w:val="center"/>
          </w:tcPr>
          <w:p w14:paraId="05056B4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应急环境监测及事故后评估</w:t>
            </w:r>
          </w:p>
        </w:tc>
        <w:tc>
          <w:tcPr>
            <w:tcW w:w="3753" w:type="pct"/>
            <w:noWrap w:val="0"/>
            <w:vAlign w:val="center"/>
          </w:tcPr>
          <w:p w14:paraId="6116ADD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由专业队伍负责对事故现场进行侦察监测，对事故性质、参数与后果</w:t>
            </w:r>
          </w:p>
          <w:p w14:paraId="1C5869A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进行评估，为指挥部门提供决策依据</w:t>
            </w:r>
          </w:p>
        </w:tc>
      </w:tr>
      <w:tr w14:paraId="7CC9D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375" w:type="pct"/>
            <w:noWrap w:val="0"/>
            <w:vAlign w:val="center"/>
          </w:tcPr>
          <w:p w14:paraId="4A7D769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w:t>
            </w:r>
          </w:p>
        </w:tc>
        <w:tc>
          <w:tcPr>
            <w:tcW w:w="871" w:type="pct"/>
            <w:noWrap w:val="0"/>
            <w:vAlign w:val="center"/>
          </w:tcPr>
          <w:p w14:paraId="05FFC84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应急防护措施、清除泄漏措施方法和器材</w:t>
            </w:r>
          </w:p>
        </w:tc>
        <w:tc>
          <w:tcPr>
            <w:tcW w:w="3753" w:type="pct"/>
            <w:noWrap w:val="0"/>
            <w:vAlign w:val="center"/>
          </w:tcPr>
          <w:p w14:paraId="275ECE3F">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事故现场：控制事故，防止扩大、蔓延及连锁反应。清除现场泄漏物，降低危害，配备相应的设施器材；</w:t>
            </w:r>
          </w:p>
          <w:p w14:paraId="3187043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邻近区域：控制防火区域，控制和清除污染的措施及相应设备配备</w:t>
            </w:r>
          </w:p>
        </w:tc>
      </w:tr>
      <w:tr w14:paraId="76E01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jc w:val="center"/>
        </w:trPr>
        <w:tc>
          <w:tcPr>
            <w:tcW w:w="375" w:type="pct"/>
            <w:noWrap w:val="0"/>
            <w:vAlign w:val="center"/>
          </w:tcPr>
          <w:p w14:paraId="5FEEB84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c>
          <w:tcPr>
            <w:tcW w:w="871" w:type="pct"/>
            <w:noWrap w:val="0"/>
            <w:vAlign w:val="center"/>
          </w:tcPr>
          <w:p w14:paraId="2895865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应急剂量控制、撤离组织计划、医疗救护与公众健康</w:t>
            </w:r>
          </w:p>
        </w:tc>
        <w:tc>
          <w:tcPr>
            <w:tcW w:w="3753" w:type="pct"/>
            <w:noWrap w:val="0"/>
            <w:vAlign w:val="center"/>
          </w:tcPr>
          <w:p w14:paraId="439768D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事故现场：事故处理人员对毒物的应急剂量控制制定，现场及邻近装置人员撤离组织计划及救护；</w:t>
            </w:r>
          </w:p>
          <w:p w14:paraId="1DF4393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工厂邻近</w:t>
            </w:r>
            <w:r>
              <w:rPr>
                <w:rFonts w:hint="eastAsia" w:ascii="Times New Roman" w:hAnsi="Times New Roman" w:eastAsia="宋体" w:cs="Times New Roman"/>
                <w:color w:val="auto"/>
                <w:kern w:val="2"/>
                <w:sz w:val="21"/>
                <w:szCs w:val="21"/>
                <w:highlight w:val="none"/>
                <w:lang w:val="en-US" w:eastAsia="zh-CN" w:bidi="ar-SA"/>
              </w:rPr>
              <w:t>区域</w:t>
            </w:r>
            <w:r>
              <w:rPr>
                <w:rFonts w:hint="default" w:ascii="Times New Roman" w:hAnsi="Times New Roman" w:eastAsia="宋体" w:cs="Times New Roman"/>
                <w:color w:val="auto"/>
                <w:kern w:val="2"/>
                <w:sz w:val="21"/>
                <w:szCs w:val="21"/>
                <w:highlight w:val="none"/>
                <w:lang w:val="en-US" w:eastAsia="zh-CN" w:bidi="ar-SA"/>
              </w:rPr>
              <w:t>：受事故影响的邻近区域人员及公众对毒物应急剂量控制规定，撤离组织计划及救护。</w:t>
            </w:r>
          </w:p>
        </w:tc>
      </w:tr>
      <w:tr w14:paraId="7D639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jc w:val="center"/>
        </w:trPr>
        <w:tc>
          <w:tcPr>
            <w:tcW w:w="375" w:type="pct"/>
            <w:noWrap w:val="0"/>
            <w:vAlign w:val="center"/>
          </w:tcPr>
          <w:p w14:paraId="2EAAA01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w:t>
            </w:r>
          </w:p>
        </w:tc>
        <w:tc>
          <w:tcPr>
            <w:tcW w:w="871" w:type="pct"/>
            <w:noWrap w:val="0"/>
            <w:vAlign w:val="center"/>
          </w:tcPr>
          <w:p w14:paraId="5A46E6A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应急状态终止与恢复措施</w:t>
            </w:r>
          </w:p>
        </w:tc>
        <w:tc>
          <w:tcPr>
            <w:tcW w:w="3753" w:type="pct"/>
            <w:noWrap w:val="0"/>
            <w:vAlign w:val="center"/>
          </w:tcPr>
          <w:p w14:paraId="5E3750E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规定应急状态终止程序事故现场善后处理、恢复措施</w:t>
            </w:r>
          </w:p>
          <w:p w14:paraId="1FEDC2E2">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邻近区域解除事故警戒及善后恢复措施</w:t>
            </w:r>
          </w:p>
        </w:tc>
      </w:tr>
      <w:tr w14:paraId="3F7FC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75" w:type="pct"/>
            <w:noWrap w:val="0"/>
            <w:vAlign w:val="center"/>
          </w:tcPr>
          <w:p w14:paraId="219AF8AA">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w:t>
            </w:r>
          </w:p>
        </w:tc>
        <w:tc>
          <w:tcPr>
            <w:tcW w:w="871" w:type="pct"/>
            <w:noWrap w:val="0"/>
            <w:vAlign w:val="center"/>
          </w:tcPr>
          <w:p w14:paraId="5E77F0C6">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人员培训与</w:t>
            </w:r>
          </w:p>
          <w:p w14:paraId="3900D593">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演练</w:t>
            </w:r>
          </w:p>
        </w:tc>
        <w:tc>
          <w:tcPr>
            <w:tcW w:w="3753" w:type="pct"/>
            <w:noWrap w:val="0"/>
            <w:vAlign w:val="center"/>
          </w:tcPr>
          <w:p w14:paraId="394BFADC">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应急计划制定后，平时安排人员培训及演练</w:t>
            </w:r>
          </w:p>
        </w:tc>
      </w:tr>
      <w:tr w14:paraId="2D629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75" w:type="pct"/>
            <w:noWrap w:val="0"/>
            <w:vAlign w:val="center"/>
          </w:tcPr>
          <w:p w14:paraId="1E260C0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w:t>
            </w:r>
          </w:p>
        </w:tc>
        <w:tc>
          <w:tcPr>
            <w:tcW w:w="871" w:type="pct"/>
            <w:noWrap w:val="0"/>
            <w:vAlign w:val="center"/>
          </w:tcPr>
          <w:p w14:paraId="0CA535C4">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公众教育和</w:t>
            </w:r>
          </w:p>
          <w:p w14:paraId="2C3120BE">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信息</w:t>
            </w:r>
          </w:p>
        </w:tc>
        <w:tc>
          <w:tcPr>
            <w:tcW w:w="3753" w:type="pct"/>
            <w:noWrap w:val="0"/>
            <w:vAlign w:val="center"/>
          </w:tcPr>
          <w:p w14:paraId="6DD8AA9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对工厂邻近地区开展公众教育、培训和发布有关信息</w:t>
            </w:r>
          </w:p>
        </w:tc>
      </w:tr>
      <w:tr w14:paraId="2A687B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75" w:type="pct"/>
            <w:noWrap w:val="0"/>
            <w:vAlign w:val="center"/>
          </w:tcPr>
          <w:p w14:paraId="216229C9">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14</w:t>
            </w:r>
          </w:p>
        </w:tc>
        <w:tc>
          <w:tcPr>
            <w:tcW w:w="871" w:type="pct"/>
            <w:noWrap w:val="0"/>
            <w:vAlign w:val="center"/>
          </w:tcPr>
          <w:p w14:paraId="1A015CE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记录和报告</w:t>
            </w:r>
          </w:p>
        </w:tc>
        <w:tc>
          <w:tcPr>
            <w:tcW w:w="3753" w:type="pct"/>
            <w:noWrap w:val="0"/>
            <w:vAlign w:val="center"/>
          </w:tcPr>
          <w:p w14:paraId="7F1DEAC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设置应急事故专门记录，建立档案和专门报告制度，设专门部门负责管理</w:t>
            </w:r>
          </w:p>
        </w:tc>
      </w:tr>
      <w:tr w14:paraId="50F68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375" w:type="pct"/>
            <w:noWrap w:val="0"/>
            <w:vAlign w:val="center"/>
          </w:tcPr>
          <w:p w14:paraId="5EE173D1">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w:t>
            </w:r>
          </w:p>
        </w:tc>
        <w:tc>
          <w:tcPr>
            <w:tcW w:w="871" w:type="pct"/>
            <w:noWrap w:val="0"/>
            <w:vAlign w:val="center"/>
          </w:tcPr>
          <w:p w14:paraId="516C9D0D">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附件</w:t>
            </w:r>
          </w:p>
        </w:tc>
        <w:tc>
          <w:tcPr>
            <w:tcW w:w="3753" w:type="pct"/>
            <w:noWrap w:val="0"/>
            <w:vAlign w:val="center"/>
          </w:tcPr>
          <w:p w14:paraId="68800108">
            <w:pPr>
              <w:widowControl w:val="0"/>
              <w:wordWrap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与应急事故有关的多种附件材料的准备和形成</w:t>
            </w:r>
          </w:p>
        </w:tc>
      </w:tr>
    </w:tbl>
    <w:p w14:paraId="6AD3A3CF">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本应急预案每三年至少修订一次；有下列情形之一的，企业应当及时组织进行修订评审，然后重新发布、备案：</w:t>
      </w:r>
    </w:p>
    <w:p w14:paraId="7C7EDE7F">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①企业生产工艺和技术发生重大变化的；</w:t>
      </w:r>
    </w:p>
    <w:p w14:paraId="3417571C">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②相关单位和人员发生变化或者应急组织指挥体系或职责发生重大调整；</w:t>
      </w:r>
    </w:p>
    <w:p w14:paraId="4A8298B5">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③周围环境或者环境敏感点发生重大变化的；</w:t>
      </w:r>
    </w:p>
    <w:p w14:paraId="392CB6AD">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④环境应急预案依据的主要法律、法规、规章等发生重大变化的；</w:t>
      </w:r>
    </w:p>
    <w:p w14:paraId="18730C79">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⑤环境保护主管部门或者企业认为应当适时修订的其他情形。</w:t>
      </w:r>
    </w:p>
    <w:p w14:paraId="20218862">
      <w:pPr>
        <w:keepNext/>
        <w:keepLines/>
        <w:widowControl w:val="0"/>
        <w:wordWrap w:val="0"/>
        <w:snapToGrid w:val="0"/>
        <w:spacing w:line="360" w:lineRule="auto"/>
        <w:ind w:firstLine="482" w:firstLineChars="200"/>
        <w:jc w:val="left"/>
        <w:outlineLvl w:val="3"/>
        <w:rPr>
          <w:rFonts w:hint="default" w:ascii="Times New Roman" w:hAnsi="Times New Roman" w:eastAsia="宋体" w:cs="Times New Roman"/>
          <w:b/>
          <w:bCs/>
          <w:color w:val="auto"/>
          <w:kern w:val="2"/>
          <w:sz w:val="24"/>
          <w:szCs w:val="28"/>
          <w:highlight w:val="none"/>
          <w:lang w:val="en-US" w:eastAsia="zh-CN" w:bidi="ar-SA"/>
        </w:rPr>
      </w:pPr>
      <w:r>
        <w:rPr>
          <w:rFonts w:hint="eastAsia" w:ascii="Times New Roman" w:hAnsi="Times New Roman" w:eastAsia="宋体" w:cs="Times New Roman"/>
          <w:b/>
          <w:bCs/>
          <w:color w:val="auto"/>
          <w:kern w:val="2"/>
          <w:sz w:val="24"/>
          <w:szCs w:val="28"/>
          <w:highlight w:val="none"/>
          <w:lang w:val="en-US" w:eastAsia="zh-CN" w:bidi="ar-SA"/>
        </w:rPr>
        <w:t>5</w:t>
      </w:r>
      <w:r>
        <w:rPr>
          <w:rFonts w:hint="default" w:ascii="Times New Roman" w:hAnsi="Times New Roman" w:eastAsia="宋体" w:cs="Times New Roman"/>
          <w:b/>
          <w:bCs/>
          <w:color w:val="auto"/>
          <w:kern w:val="2"/>
          <w:sz w:val="24"/>
          <w:szCs w:val="28"/>
          <w:highlight w:val="none"/>
          <w:lang w:val="en-US" w:eastAsia="zh-CN" w:bidi="ar-SA"/>
        </w:rPr>
        <w:t>.2.</w:t>
      </w:r>
      <w:r>
        <w:rPr>
          <w:rFonts w:hint="eastAsia" w:ascii="Times New Roman" w:hAnsi="Times New Roman" w:eastAsia="宋体" w:cs="Times New Roman"/>
          <w:b/>
          <w:bCs/>
          <w:color w:val="auto"/>
          <w:kern w:val="2"/>
          <w:sz w:val="24"/>
          <w:szCs w:val="28"/>
          <w:highlight w:val="none"/>
          <w:lang w:val="en-US" w:eastAsia="zh-CN" w:bidi="ar-SA"/>
        </w:rPr>
        <w:t>7</w:t>
      </w:r>
      <w:r>
        <w:rPr>
          <w:rFonts w:hint="default" w:ascii="Times New Roman" w:hAnsi="Times New Roman" w:eastAsia="宋体" w:cs="Times New Roman"/>
          <w:b/>
          <w:bCs/>
          <w:color w:val="auto"/>
          <w:kern w:val="2"/>
          <w:sz w:val="24"/>
          <w:szCs w:val="28"/>
          <w:highlight w:val="none"/>
          <w:lang w:val="en-US" w:eastAsia="zh-CN" w:bidi="ar-SA"/>
        </w:rPr>
        <w:t>.</w:t>
      </w:r>
      <w:r>
        <w:rPr>
          <w:rFonts w:hint="eastAsia" w:ascii="Times New Roman" w:hAnsi="Times New Roman" w:eastAsia="宋体" w:cs="Times New Roman"/>
          <w:b/>
          <w:bCs/>
          <w:color w:val="auto"/>
          <w:kern w:val="2"/>
          <w:sz w:val="24"/>
          <w:szCs w:val="28"/>
          <w:highlight w:val="none"/>
          <w:lang w:val="en-US" w:eastAsia="zh-CN" w:bidi="ar-SA"/>
        </w:rPr>
        <w:t>5</w:t>
      </w:r>
      <w:r>
        <w:rPr>
          <w:rFonts w:hint="default" w:ascii="Times New Roman" w:hAnsi="Times New Roman" w:eastAsia="宋体" w:cs="Times New Roman"/>
          <w:b/>
          <w:bCs/>
          <w:color w:val="auto"/>
          <w:kern w:val="2"/>
          <w:sz w:val="24"/>
          <w:szCs w:val="28"/>
          <w:highlight w:val="none"/>
          <w:lang w:val="en-US" w:eastAsia="zh-CN" w:bidi="ar-SA"/>
        </w:rPr>
        <w:t>环境风险评价结论</w:t>
      </w:r>
    </w:p>
    <w:p w14:paraId="196C9429">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综上所述，</w:t>
      </w:r>
      <w:r>
        <w:rPr>
          <w:rFonts w:hint="eastAsia"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lang w:val="en-US" w:eastAsia="zh-CN"/>
        </w:rPr>
        <w:t>区风险潜势为1，环境风险等级为简单分析，项目建设可行企业需采取必要的风险防范措施和事故应急措施，加大风险管理措施，对易燃物质、有毒有害物质分别制定相应的贮运及使用管理措施，对可能发生的事故，企业应制定应急预案，使各部门在事故发生后能有步骤、有秩序地采取各项应急措施。加强对全体员工防范事故风险能力的培训，建立应急计划和事故应急预案。</w:t>
      </w:r>
    </w:p>
    <w:p w14:paraId="717505D7">
      <w:pPr>
        <w:wordWrap w:val="0"/>
        <w:bidi w:val="0"/>
        <w:spacing w:line="360" w:lineRule="auto"/>
        <w:ind w:firstLine="480" w:firstLineChars="200"/>
        <w:jc w:val="left"/>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本项目需委托专业公司进行安全评价，出具安全评价报告</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在加强监控、建立前述风险防范措施，并制定切实可行的应急预案的情况下，本项目的环境风险是可控的。</w:t>
      </w:r>
    </w:p>
    <w:p w14:paraId="7421CCE3">
      <w:pPr>
        <w:widowControl/>
        <w:wordWrap w:val="0"/>
        <w:bidi w:val="0"/>
        <w:spacing w:line="240" w:lineRule="auto"/>
        <w:ind w:firstLine="0" w:firstLineChars="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5.2.7-</w:t>
      </w:r>
      <w:r>
        <w:rPr>
          <w:rFonts w:hint="eastAsia" w:cs="Times New Roman"/>
          <w:b/>
          <w:bCs/>
          <w:color w:val="auto"/>
          <w:kern w:val="2"/>
          <w:sz w:val="24"/>
          <w:szCs w:val="21"/>
          <w:highlight w:val="none"/>
          <w:lang w:val="en-US" w:eastAsia="zh-CN" w:bidi="ar-SA"/>
        </w:rPr>
        <w:t>6</w:t>
      </w:r>
      <w:r>
        <w:rPr>
          <w:rFonts w:hint="eastAsia" w:ascii="Times New Roman" w:hAnsi="Times New Roman" w:eastAsia="宋体"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建设项目环境风险简单分析内容表</w:t>
      </w:r>
    </w:p>
    <w:tbl>
      <w:tblPr>
        <w:tblStyle w:val="5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44"/>
        <w:gridCol w:w="1161"/>
        <w:gridCol w:w="2235"/>
        <w:gridCol w:w="1329"/>
        <w:gridCol w:w="2144"/>
      </w:tblGrid>
      <w:tr w14:paraId="63D30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9" w:type="pct"/>
            <w:noWrap w:val="0"/>
            <w:vAlign w:val="center"/>
          </w:tcPr>
          <w:p w14:paraId="1C47C87C">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建设项目</w:t>
            </w:r>
          </w:p>
          <w:p w14:paraId="7431ADDF">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名称</w:t>
            </w:r>
          </w:p>
        </w:tc>
        <w:tc>
          <w:tcPr>
            <w:tcW w:w="4130" w:type="pct"/>
            <w:gridSpan w:val="4"/>
            <w:noWrap w:val="0"/>
            <w:vAlign w:val="center"/>
          </w:tcPr>
          <w:p w14:paraId="2957B643">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安徽氢环生物质沼气便携式制氢设备制造及综合能源供应项目</w:t>
            </w:r>
          </w:p>
        </w:tc>
      </w:tr>
      <w:tr w14:paraId="37F1E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9" w:type="pct"/>
            <w:noWrap w:val="0"/>
            <w:vAlign w:val="center"/>
          </w:tcPr>
          <w:p w14:paraId="34B8967A">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建设地点</w:t>
            </w:r>
          </w:p>
        </w:tc>
        <w:tc>
          <w:tcPr>
            <w:tcW w:w="4130" w:type="pct"/>
            <w:gridSpan w:val="4"/>
            <w:noWrap w:val="0"/>
            <w:vAlign w:val="center"/>
          </w:tcPr>
          <w:p w14:paraId="2A7BF0E4">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安徽省淮南市田家庵区滁新高速与合淮路交叉口往南400m</w:t>
            </w:r>
          </w:p>
        </w:tc>
      </w:tr>
      <w:tr w14:paraId="61A54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9" w:type="pct"/>
            <w:noWrap w:val="0"/>
            <w:vAlign w:val="center"/>
          </w:tcPr>
          <w:p w14:paraId="2514D926">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地理坐标</w:t>
            </w:r>
          </w:p>
        </w:tc>
        <w:tc>
          <w:tcPr>
            <w:tcW w:w="698" w:type="pct"/>
            <w:noWrap w:val="0"/>
            <w:vAlign w:val="center"/>
          </w:tcPr>
          <w:p w14:paraId="0889E149">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经度</w:t>
            </w:r>
          </w:p>
        </w:tc>
        <w:tc>
          <w:tcPr>
            <w:tcW w:w="1344" w:type="pct"/>
            <w:noWrap w:val="0"/>
            <w:vAlign w:val="center"/>
          </w:tcPr>
          <w:p w14:paraId="1642C204">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117.001832</w:t>
            </w:r>
          </w:p>
        </w:tc>
        <w:tc>
          <w:tcPr>
            <w:tcW w:w="799" w:type="pct"/>
            <w:noWrap w:val="0"/>
            <w:vAlign w:val="center"/>
          </w:tcPr>
          <w:p w14:paraId="52BA898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纬度</w:t>
            </w:r>
          </w:p>
        </w:tc>
        <w:tc>
          <w:tcPr>
            <w:tcW w:w="1289" w:type="pct"/>
            <w:noWrap w:val="0"/>
            <w:vAlign w:val="center"/>
          </w:tcPr>
          <w:p w14:paraId="0B9EF41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32.525835</w:t>
            </w:r>
          </w:p>
        </w:tc>
      </w:tr>
      <w:tr w14:paraId="7E686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9" w:type="pct"/>
            <w:noWrap w:val="0"/>
            <w:vAlign w:val="center"/>
          </w:tcPr>
          <w:p w14:paraId="43ECA3E2">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主要危险物质及分布</w:t>
            </w:r>
          </w:p>
        </w:tc>
        <w:tc>
          <w:tcPr>
            <w:tcW w:w="4130" w:type="pct"/>
            <w:gridSpan w:val="4"/>
            <w:noWrap w:val="0"/>
            <w:vAlign w:val="center"/>
          </w:tcPr>
          <w:p w14:paraId="243AB482">
            <w:pPr>
              <w:keepNext w:val="0"/>
              <w:keepLines w:val="0"/>
              <w:pageBreakBefore w:val="0"/>
              <w:widowControl/>
              <w:suppressLineNumbers w:val="0"/>
              <w:kinsoku/>
              <w:wordWrap/>
              <w:overflowPunct/>
              <w:topLinePunct w:val="0"/>
              <w:bidi w:val="0"/>
              <w:snapToGrid/>
              <w:spacing w:line="240" w:lineRule="auto"/>
              <w:ind w:left="0" w:leftChars="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主要危险物质：</w:t>
            </w:r>
            <w:r>
              <w:rPr>
                <w:rFonts w:hint="eastAsia" w:ascii="Times New Roman" w:hAnsi="Times New Roman" w:eastAsia="宋体" w:cs="Times New Roman"/>
                <w:b w:val="0"/>
                <w:bCs w:val="0"/>
                <w:color w:val="auto"/>
                <w:sz w:val="21"/>
                <w:szCs w:val="21"/>
                <w:highlight w:val="none"/>
                <w:vertAlign w:val="baseline"/>
                <w:lang w:val="en-US" w:eastAsia="zh-CN"/>
              </w:rPr>
              <w:t>柴油、汽油、沼气、氢气</w:t>
            </w:r>
            <w:r>
              <w:rPr>
                <w:rFonts w:hint="default" w:ascii="Times New Roman" w:hAnsi="Times New Roman" w:eastAsia="宋体" w:cs="Times New Roman"/>
                <w:b w:val="0"/>
                <w:bCs w:val="0"/>
                <w:color w:val="auto"/>
                <w:sz w:val="21"/>
                <w:szCs w:val="21"/>
                <w:highlight w:val="none"/>
                <w:vertAlign w:val="baseline"/>
                <w:lang w:val="en-US" w:eastAsia="zh-CN"/>
              </w:rPr>
              <w:t>；</w:t>
            </w:r>
          </w:p>
          <w:p w14:paraId="5EC129BF">
            <w:pPr>
              <w:keepNext w:val="0"/>
              <w:keepLines w:val="0"/>
              <w:pageBreakBefore w:val="0"/>
              <w:widowControl/>
              <w:suppressLineNumbers w:val="0"/>
              <w:kinsoku/>
              <w:wordWrap/>
              <w:overflowPunct/>
              <w:topLinePunct w:val="0"/>
              <w:bidi w:val="0"/>
              <w:snapToGrid/>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分布：</w:t>
            </w:r>
            <w:r>
              <w:rPr>
                <w:rFonts w:hint="eastAsia" w:ascii="Times New Roman" w:hAnsi="Times New Roman" w:eastAsia="宋体" w:cs="Times New Roman"/>
                <w:b w:val="0"/>
                <w:bCs w:val="0"/>
                <w:color w:val="auto"/>
                <w:sz w:val="21"/>
                <w:szCs w:val="21"/>
                <w:highlight w:val="none"/>
                <w:vertAlign w:val="baseline"/>
                <w:lang w:val="en-US" w:eastAsia="zh-CN"/>
              </w:rPr>
              <w:t>柴油、汽油、沼气、氢气均贮存于储罐中，隔油池污泥存储于危废间</w:t>
            </w:r>
            <w:r>
              <w:rPr>
                <w:rFonts w:hint="default" w:ascii="Times New Roman" w:hAnsi="Times New Roman" w:eastAsia="宋体" w:cs="Times New Roman"/>
                <w:b w:val="0"/>
                <w:bCs w:val="0"/>
                <w:color w:val="auto"/>
                <w:sz w:val="21"/>
                <w:szCs w:val="21"/>
                <w:highlight w:val="none"/>
                <w:vertAlign w:val="baseline"/>
                <w:lang w:val="en-US" w:eastAsia="zh-CN"/>
              </w:rPr>
              <w:t>。</w:t>
            </w:r>
          </w:p>
        </w:tc>
      </w:tr>
      <w:tr w14:paraId="4F02F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9" w:type="pct"/>
            <w:noWrap w:val="0"/>
            <w:vAlign w:val="center"/>
          </w:tcPr>
          <w:p w14:paraId="784BE12C">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环境影响途径及危害后果（大气、地表水、地下水等）</w:t>
            </w:r>
          </w:p>
        </w:tc>
        <w:tc>
          <w:tcPr>
            <w:tcW w:w="4130" w:type="pct"/>
            <w:gridSpan w:val="4"/>
            <w:noWrap w:val="0"/>
            <w:vAlign w:val="center"/>
          </w:tcPr>
          <w:p w14:paraId="3193F8ED">
            <w:pPr>
              <w:keepNext w:val="0"/>
              <w:keepLines w:val="0"/>
              <w:pageBreakBefore w:val="0"/>
              <w:widowControl/>
              <w:numPr>
                <w:ilvl w:val="0"/>
                <w:numId w:val="5"/>
              </w:numPr>
              <w:suppressLineNumbers w:val="0"/>
              <w:kinsoku/>
              <w:wordWrap/>
              <w:overflowPunct/>
              <w:topLinePunct w:val="0"/>
              <w:bidi w:val="0"/>
              <w:snapToGrid/>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大气影响途径及危害后果：项目大气污染事故风险主要包括废气处理设施系统故障；风险物质泄漏、火灾及爆炸等引发的二次污染废气，对周边大气环境产生污染影响；</w:t>
            </w:r>
          </w:p>
          <w:p w14:paraId="3F5D47FF">
            <w:pPr>
              <w:keepNext w:val="0"/>
              <w:keepLines w:val="0"/>
              <w:pageBreakBefore w:val="0"/>
              <w:widowControl/>
              <w:numPr>
                <w:ilvl w:val="0"/>
                <w:numId w:val="5"/>
              </w:numPr>
              <w:suppressLineNumbers w:val="0"/>
              <w:kinsoku/>
              <w:wordWrap/>
              <w:overflowPunct/>
              <w:topLinePunct w:val="0"/>
              <w:bidi w:val="0"/>
              <w:snapToGrid/>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地表水影响途径及危害后果：风险物质发生泄漏可能进入雨水管网排入附近地表水体，降低地表水环境功能；</w:t>
            </w:r>
          </w:p>
          <w:p w14:paraId="2E004A5E">
            <w:pPr>
              <w:keepNext w:val="0"/>
              <w:keepLines w:val="0"/>
              <w:pageBreakBefore w:val="0"/>
              <w:widowControl/>
              <w:numPr>
                <w:ilvl w:val="0"/>
                <w:numId w:val="5"/>
              </w:numPr>
              <w:suppressLineNumbers w:val="0"/>
              <w:kinsoku/>
              <w:wordWrap/>
              <w:overflowPunct/>
              <w:topLinePunct w:val="0"/>
              <w:bidi w:val="0"/>
              <w:snapToGrid/>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地下水及土壤影响途径及危害后果：风险物质泄漏，可能污染地下水和土壤。</w:t>
            </w:r>
          </w:p>
        </w:tc>
      </w:tr>
      <w:tr w14:paraId="21FB5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69" w:type="pct"/>
            <w:noWrap w:val="0"/>
            <w:vAlign w:val="center"/>
          </w:tcPr>
          <w:p w14:paraId="270AF8EF">
            <w:pPr>
              <w:keepNext w:val="0"/>
              <w:keepLines w:val="0"/>
              <w:pageBreakBefore w:val="0"/>
              <w:widowControl w:val="0"/>
              <w:kinsoku/>
              <w:wordWrap/>
              <w:overflowPunct/>
              <w:topLinePunct w:val="0"/>
              <w:autoSpaceDE w:val="0"/>
              <w:autoSpaceDN w:val="0"/>
              <w:bidi w:val="0"/>
              <w:adjustRightInd w:val="0"/>
              <w:snapToGrid/>
              <w:spacing w:beforeLines="0" w:afterLines="0" w:line="240" w:lineRule="auto"/>
              <w:ind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风险防范措施要求</w:t>
            </w:r>
          </w:p>
        </w:tc>
        <w:tc>
          <w:tcPr>
            <w:tcW w:w="4130" w:type="pct"/>
            <w:gridSpan w:val="4"/>
            <w:noWrap w:val="0"/>
            <w:vAlign w:val="center"/>
          </w:tcPr>
          <w:p w14:paraId="5E92A593">
            <w:pPr>
              <w:keepNext w:val="0"/>
              <w:keepLines w:val="0"/>
              <w:pageBreakBefore w:val="0"/>
              <w:widowControl/>
              <w:numPr>
                <w:ilvl w:val="0"/>
                <w:numId w:val="0"/>
              </w:numPr>
              <w:suppressLineNumbers w:val="0"/>
              <w:kinsoku/>
              <w:wordWrap/>
              <w:overflowPunct/>
              <w:topLinePunct w:val="0"/>
              <w:bidi w:val="0"/>
              <w:snapToGrid/>
              <w:spacing w:line="240" w:lineRule="auto"/>
              <w:ind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1、废气防范措施：建设单位应做好废气处理装置的管理、维修工作，选用质量好的设备，派专人对易发生非正常排放的设备进行管理，出现异常要及时维修处理。</w:t>
            </w:r>
          </w:p>
          <w:p w14:paraId="481D0371">
            <w:pPr>
              <w:keepNext w:val="0"/>
              <w:keepLines w:val="0"/>
              <w:pageBreakBefore w:val="0"/>
              <w:widowControl/>
              <w:numPr>
                <w:ilvl w:val="0"/>
                <w:numId w:val="0"/>
              </w:numPr>
              <w:suppressLineNumbers w:val="0"/>
              <w:kinsoku/>
              <w:wordWrap/>
              <w:overflowPunct/>
              <w:topLinePunct w:val="0"/>
              <w:bidi w:val="0"/>
              <w:snapToGrid/>
              <w:spacing w:line="240" w:lineRule="auto"/>
              <w:ind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2、废水风险防范措施：配备应急设备、设施、材料。制定应急防护措施，清除泄漏物的措施、方法及使用器材等。事故火灾发生时，</w:t>
            </w:r>
            <w:r>
              <w:rPr>
                <w:rFonts w:hint="eastAsia" w:ascii="Times New Roman" w:hAnsi="Times New Roman" w:eastAsia="宋体" w:cs="Times New Roman"/>
                <w:b w:val="0"/>
                <w:bCs w:val="0"/>
                <w:color w:val="auto"/>
                <w:sz w:val="21"/>
                <w:szCs w:val="21"/>
                <w:highlight w:val="none"/>
                <w:vertAlign w:val="baseline"/>
                <w:lang w:val="en-US" w:eastAsia="zh-CN"/>
              </w:rPr>
              <w:t>污染的雨水限制于厂区内，事故结束后及时将污染的废水交有处理能力的单位处理</w:t>
            </w:r>
            <w:r>
              <w:rPr>
                <w:rFonts w:hint="default" w:ascii="Times New Roman" w:hAnsi="Times New Roman" w:eastAsia="宋体" w:cs="Times New Roman"/>
                <w:b w:val="0"/>
                <w:bCs w:val="0"/>
                <w:color w:val="auto"/>
                <w:sz w:val="21"/>
                <w:szCs w:val="21"/>
                <w:highlight w:val="none"/>
                <w:vertAlign w:val="baseline"/>
                <w:lang w:val="en-US" w:eastAsia="zh-CN"/>
              </w:rPr>
              <w:t>。</w:t>
            </w:r>
          </w:p>
          <w:p w14:paraId="65F92D95">
            <w:pPr>
              <w:keepNext w:val="0"/>
              <w:keepLines w:val="0"/>
              <w:pageBreakBefore w:val="0"/>
              <w:widowControl/>
              <w:numPr>
                <w:ilvl w:val="0"/>
                <w:numId w:val="0"/>
              </w:numPr>
              <w:suppressLineNumbers w:val="0"/>
              <w:kinsoku/>
              <w:wordWrap/>
              <w:overflowPunct/>
              <w:topLinePunct w:val="0"/>
              <w:bidi w:val="0"/>
              <w:snapToGrid/>
              <w:spacing w:line="240" w:lineRule="auto"/>
              <w:ind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3、火灾防范措施：各车间配置各类消防器材；严格控制明火源、消除和防止电火花；加强管理，确保防火通道、安全通道畅通；</w:t>
            </w:r>
          </w:p>
          <w:p w14:paraId="69E0F3C7">
            <w:pPr>
              <w:keepNext w:val="0"/>
              <w:keepLines w:val="0"/>
              <w:pageBreakBefore w:val="0"/>
              <w:widowControl/>
              <w:numPr>
                <w:ilvl w:val="0"/>
                <w:numId w:val="5"/>
              </w:numPr>
              <w:suppressLineNumbers w:val="0"/>
              <w:kinsoku/>
              <w:wordWrap/>
              <w:overflowPunct/>
              <w:topLinePunct w:val="0"/>
              <w:bidi w:val="0"/>
              <w:snapToGrid/>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交通运输防范措施：原料与成品运输严禁与易燃易爆物品混运；运输车辆严禁超载、超速、违反交通规则；</w:t>
            </w:r>
          </w:p>
          <w:p w14:paraId="056541BF">
            <w:pPr>
              <w:keepNext w:val="0"/>
              <w:keepLines w:val="0"/>
              <w:pageBreakBefore w:val="0"/>
              <w:widowControl/>
              <w:numPr>
                <w:ilvl w:val="0"/>
                <w:numId w:val="5"/>
              </w:numPr>
              <w:suppressLineNumbers w:val="0"/>
              <w:kinsoku/>
              <w:wordWrap/>
              <w:overflowPunct/>
              <w:topLinePunct w:val="0"/>
              <w:bidi w:val="0"/>
              <w:snapToGrid/>
              <w:spacing w:line="240" w:lineRule="auto"/>
              <w:ind w:left="0" w:leftChars="0" w:firstLine="0" w:firstLineChars="0"/>
              <w:jc w:val="both"/>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泄漏事故预防措施：</w:t>
            </w:r>
            <w:r>
              <w:rPr>
                <w:rFonts w:hint="eastAsia" w:ascii="Times New Roman" w:hAnsi="Times New Roman" w:eastAsia="宋体" w:cs="Times New Roman"/>
                <w:b w:val="0"/>
                <w:bCs w:val="0"/>
                <w:color w:val="auto"/>
                <w:sz w:val="21"/>
                <w:szCs w:val="21"/>
                <w:highlight w:val="none"/>
                <w:vertAlign w:val="baseline"/>
                <w:lang w:val="en-US" w:eastAsia="zh-CN"/>
              </w:rPr>
              <w:t>隔油池、</w:t>
            </w:r>
            <w:r>
              <w:rPr>
                <w:rFonts w:hint="default" w:ascii="Times New Roman" w:hAnsi="Times New Roman" w:eastAsia="宋体" w:cs="Times New Roman"/>
                <w:b w:val="0"/>
                <w:bCs w:val="0"/>
                <w:color w:val="auto"/>
                <w:sz w:val="21"/>
                <w:szCs w:val="21"/>
                <w:highlight w:val="none"/>
                <w:vertAlign w:val="baseline"/>
                <w:lang w:val="en-US" w:eastAsia="zh-CN"/>
              </w:rPr>
              <w:t>危废库进行硬化及防渗</w:t>
            </w:r>
            <w:r>
              <w:rPr>
                <w:rFonts w:hint="eastAsia"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并在底部放置托盘；</w:t>
            </w:r>
            <w:r>
              <w:rPr>
                <w:rFonts w:hint="eastAsia" w:ascii="Times New Roman" w:hAnsi="Times New Roman" w:eastAsia="宋体" w:cs="Times New Roman"/>
                <w:b w:val="0"/>
                <w:bCs w:val="0"/>
                <w:color w:val="auto"/>
                <w:sz w:val="21"/>
                <w:szCs w:val="21"/>
                <w:highlight w:val="none"/>
                <w:vertAlign w:val="baseline"/>
                <w:lang w:val="en-US" w:eastAsia="zh-CN"/>
              </w:rPr>
              <w:t>储罐设置为双层罐，底部重点防渗；储罐设置</w:t>
            </w:r>
            <w:r>
              <w:rPr>
                <w:rFonts w:hint="eastAsia" w:cs="Times New Roman"/>
                <w:b w:val="0"/>
                <w:bCs w:val="0"/>
                <w:color w:val="auto"/>
                <w:sz w:val="21"/>
                <w:szCs w:val="21"/>
                <w:highlight w:val="none"/>
                <w:vertAlign w:val="baseline"/>
                <w:lang w:val="en-US" w:eastAsia="zh-CN"/>
              </w:rPr>
              <w:t>泄漏</w:t>
            </w:r>
            <w:r>
              <w:rPr>
                <w:rFonts w:hint="eastAsia" w:ascii="Times New Roman" w:hAnsi="Times New Roman" w:eastAsia="宋体" w:cs="Times New Roman"/>
                <w:b w:val="0"/>
                <w:bCs w:val="0"/>
                <w:color w:val="auto"/>
                <w:sz w:val="21"/>
                <w:szCs w:val="21"/>
                <w:highlight w:val="none"/>
                <w:vertAlign w:val="baseline"/>
                <w:lang w:val="en-US" w:eastAsia="zh-CN"/>
              </w:rPr>
              <w:t>监测系统</w:t>
            </w:r>
            <w:r>
              <w:rPr>
                <w:rFonts w:hint="default" w:ascii="Times New Roman" w:hAnsi="Times New Roman" w:eastAsia="宋体" w:cs="Times New Roman"/>
                <w:b w:val="0"/>
                <w:bCs w:val="0"/>
                <w:color w:val="auto"/>
                <w:sz w:val="21"/>
                <w:szCs w:val="21"/>
                <w:highlight w:val="none"/>
                <w:vertAlign w:val="baseline"/>
                <w:lang w:val="en-US" w:eastAsia="zh-CN"/>
              </w:rPr>
              <w:t>。张贴</w:t>
            </w:r>
            <w:r>
              <w:rPr>
                <w:rFonts w:hint="eastAsia"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严禁烟火</w:t>
            </w:r>
            <w:r>
              <w:rPr>
                <w:rFonts w:hint="eastAsia"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；与四周建筑物留有足够的安全距离和防火间距、四周设置围挡，禁止人员靠近。</w:t>
            </w:r>
          </w:p>
        </w:tc>
      </w:tr>
    </w:tbl>
    <w:p w14:paraId="53C2809C">
      <w:pPr>
        <w:pStyle w:val="352"/>
        <w:keepNext w:val="0"/>
        <w:keepLines w:val="0"/>
        <w:pageBreakBefore w:val="0"/>
        <w:widowControl w:val="0"/>
        <w:kinsoku/>
        <w:wordWrap/>
        <w:overflowPunct/>
        <w:topLinePunct w:val="0"/>
        <w:autoSpaceDE/>
        <w:autoSpaceDN/>
        <w:bidi w:val="0"/>
        <w:adjustRightInd/>
        <w:snapToGrid/>
        <w:ind w:firstLine="480"/>
        <w:textAlignment w:val="auto"/>
        <w:rPr>
          <w:color w:val="auto"/>
          <w:highlight w:val="none"/>
        </w:rPr>
      </w:pPr>
    </w:p>
    <w:p w14:paraId="4D48FC03">
      <w:pPr>
        <w:spacing w:before="156" w:beforeLines="50" w:line="360" w:lineRule="auto"/>
        <w:outlineLvl w:val="0"/>
        <w:rPr>
          <w:rFonts w:ascii="Times New Roman" w:hAnsi="Times New Roman" w:eastAsia="宋体"/>
          <w:b/>
          <w:bCs/>
          <w:color w:val="auto"/>
          <w:sz w:val="32"/>
          <w:szCs w:val="28"/>
          <w:highlight w:val="none"/>
        </w:rPr>
        <w:sectPr>
          <w:pgSz w:w="11906" w:h="16838"/>
          <w:pgMar w:top="1440" w:right="1800" w:bottom="1440" w:left="1800" w:header="964" w:footer="964" w:gutter="0"/>
          <w:pgBorders>
            <w:top w:val="none" w:sz="0" w:space="0"/>
            <w:left w:val="none" w:sz="0" w:space="0"/>
            <w:bottom w:val="none" w:sz="0" w:space="0"/>
            <w:right w:val="none" w:sz="0" w:space="0"/>
          </w:pgBorders>
          <w:cols w:space="720" w:num="1"/>
          <w:rtlGutter w:val="0"/>
          <w:docGrid w:type="lines" w:linePitch="360" w:charSpace="0"/>
        </w:sectPr>
      </w:pPr>
    </w:p>
    <w:p w14:paraId="44780A20">
      <w:pPr>
        <w:pStyle w:val="46"/>
        <w:jc w:val="center"/>
        <w:rPr>
          <w:color w:val="auto"/>
          <w:highlight w:val="none"/>
        </w:rPr>
      </w:pPr>
      <w:bookmarkStart w:id="500" w:name="_Toc152922076"/>
      <w:bookmarkStart w:id="501" w:name="_Toc152922670"/>
      <w:bookmarkStart w:id="502" w:name="_Toc19110"/>
      <w:r>
        <w:rPr>
          <w:color w:val="auto"/>
          <w:highlight w:val="none"/>
        </w:rPr>
        <w:t>6环境保护措施及其可行性论证</w:t>
      </w:r>
      <w:bookmarkEnd w:id="500"/>
      <w:bookmarkEnd w:id="501"/>
      <w:bookmarkEnd w:id="502"/>
    </w:p>
    <w:p w14:paraId="04E39B39">
      <w:pPr>
        <w:pStyle w:val="218"/>
        <w:spacing w:before="62" w:after="156"/>
        <w:rPr>
          <w:rFonts w:ascii="Times New Roman" w:hAnsi="Times New Roman" w:eastAsia="宋体" w:cs="Times New Roman"/>
          <w:b/>
          <w:bCs/>
          <w:color w:val="auto"/>
          <w:highlight w:val="none"/>
          <w:lang w:val="en-US" w:eastAsia="zh-CN"/>
        </w:rPr>
      </w:pPr>
      <w:bookmarkStart w:id="503" w:name="_Toc29766"/>
      <w:bookmarkStart w:id="504" w:name="_Toc24752"/>
      <w:bookmarkStart w:id="505" w:name="_Toc20716"/>
      <w:bookmarkStart w:id="506" w:name="_Toc152922077"/>
      <w:bookmarkStart w:id="507" w:name="_Toc152922671"/>
      <w:r>
        <w:rPr>
          <w:rFonts w:hint="eastAsia" w:ascii="Times New Roman" w:hAnsi="Times New Roman" w:eastAsia="宋体" w:cs="Times New Roman"/>
          <w:b/>
          <w:bCs/>
          <w:color w:val="auto"/>
          <w:highlight w:val="none"/>
          <w:lang w:val="en-US" w:eastAsia="zh-CN"/>
        </w:rPr>
        <w:t>6</w:t>
      </w:r>
      <w:r>
        <w:rPr>
          <w:rFonts w:ascii="Times New Roman" w:hAnsi="Times New Roman" w:eastAsia="宋体" w:cs="Times New Roman"/>
          <w:b/>
          <w:bCs/>
          <w:color w:val="auto"/>
          <w:highlight w:val="none"/>
          <w:lang w:val="en-US" w:eastAsia="zh-CN"/>
        </w:rPr>
        <w:t>.1施工期污染防治措施分析</w:t>
      </w:r>
      <w:bookmarkEnd w:id="503"/>
      <w:bookmarkEnd w:id="504"/>
      <w:bookmarkEnd w:id="505"/>
    </w:p>
    <w:p w14:paraId="664F9CD3">
      <w:pPr>
        <w:bidi w:val="0"/>
        <w:spacing w:line="360" w:lineRule="auto"/>
        <w:ind w:firstLine="480" w:firstLineChars="200"/>
        <w:rPr>
          <w:rFonts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本项目租赁现有厂房进行生产建设，施工期主要为设备的安装及构筑物的开挖，</w:t>
      </w:r>
      <w:r>
        <w:rPr>
          <w:rFonts w:ascii="Times New Roman" w:hAnsi="Times New Roman" w:eastAsia="宋体" w:cs="Times New Roman"/>
          <w:color w:val="auto"/>
          <w:sz w:val="24"/>
          <w:szCs w:val="24"/>
          <w:highlight w:val="none"/>
        </w:rPr>
        <w:t>针对工程施工期可能对环境造成的影响，对施工期环境影响因素进行简要分析并提出具体的防范措施。</w:t>
      </w:r>
    </w:p>
    <w:p w14:paraId="43CD6756">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hint="default"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.1.1</w:t>
      </w:r>
      <w:r>
        <w:rPr>
          <w:rFonts w:hint="eastAsia" w:ascii="Times New Roman" w:hAnsi="Times New Roman" w:eastAsia="宋体" w:cs="Times New Roman"/>
          <w:b/>
          <w:color w:val="auto"/>
          <w:highlight w:val="none"/>
          <w:lang w:val="en-US" w:eastAsia="zh-CN"/>
        </w:rPr>
        <w:t>、</w:t>
      </w:r>
      <w:r>
        <w:rPr>
          <w:rFonts w:hint="default" w:ascii="Times New Roman" w:hAnsi="Times New Roman" w:eastAsia="宋体" w:cs="Times New Roman"/>
          <w:b/>
          <w:color w:val="auto"/>
          <w:highlight w:val="none"/>
          <w:lang w:val="en-US" w:eastAsia="zh-CN"/>
        </w:rPr>
        <w:t>施工期水污染防治措施分析</w:t>
      </w:r>
    </w:p>
    <w:p w14:paraId="4147DAAB">
      <w:pPr>
        <w:bidi w:val="0"/>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工程对水环境的污染主要包括施工期生产废水、施工人员生活污水，评价针对环境特点提出工程施工期水环境保护措施，详见表5</w:t>
      </w:r>
      <w:r>
        <w:rPr>
          <w:rFonts w:hint="eastAsia" w:ascii="Times New Roman" w:hAnsi="Times New Roman" w:eastAsia="宋体" w:cs="Times New Roman"/>
          <w:color w:val="auto"/>
          <w:sz w:val="24"/>
          <w:szCs w:val="24"/>
          <w:highlight w:val="none"/>
          <w:lang w:val="en-US" w:eastAsia="zh-CN"/>
        </w:rPr>
        <w:t>.1</w:t>
      </w:r>
      <w:r>
        <w:rPr>
          <w:rFonts w:ascii="Times New Roman" w:hAnsi="Times New Roman" w:eastAsia="宋体" w:cs="Times New Roman"/>
          <w:color w:val="auto"/>
          <w:sz w:val="24"/>
          <w:szCs w:val="24"/>
          <w:highlight w:val="none"/>
        </w:rPr>
        <w:t>-1。</w:t>
      </w:r>
    </w:p>
    <w:p w14:paraId="1078D290">
      <w:pPr>
        <w:widowControl w:val="0"/>
        <w:bidi w:val="0"/>
        <w:adjustRightInd/>
        <w:snapToGrid/>
        <w:spacing w:line="360" w:lineRule="auto"/>
        <w:ind w:left="0" w:firstLine="0" w:firstLineChars="0"/>
        <w:jc w:val="center"/>
        <w:outlineLvl w:val="9"/>
        <w:rPr>
          <w:rFonts w:hint="eastAsia" w:ascii="Times New Roman" w:hAnsi="Times New Roman" w:eastAsia="宋体" w:cs="Times New Roman"/>
          <w:b/>
          <w:bCs/>
          <w:color w:val="auto"/>
          <w:kern w:val="2"/>
          <w:sz w:val="21"/>
          <w:szCs w:val="24"/>
          <w:highlight w:val="none"/>
          <w:lang w:val="en-US" w:eastAsia="zh-CN" w:bidi="ar-SA"/>
        </w:rPr>
      </w:pPr>
      <w:r>
        <w:rPr>
          <w:rFonts w:hint="eastAsia" w:ascii="Times New Roman" w:hAnsi="Times New Roman" w:eastAsia="宋体" w:cs="Times New Roman"/>
          <w:b/>
          <w:bCs/>
          <w:color w:val="auto"/>
          <w:kern w:val="2"/>
          <w:sz w:val="21"/>
          <w:szCs w:val="24"/>
          <w:highlight w:val="none"/>
          <w:lang w:val="en-US" w:eastAsia="zh-CN" w:bidi="ar-SA"/>
        </w:rPr>
        <w:t>表</w:t>
      </w:r>
      <w:r>
        <w:rPr>
          <w:rFonts w:hint="eastAsia" w:cs="Times New Roman"/>
          <w:b/>
          <w:bCs/>
          <w:color w:val="auto"/>
          <w:kern w:val="2"/>
          <w:sz w:val="21"/>
          <w:szCs w:val="24"/>
          <w:highlight w:val="none"/>
          <w:lang w:val="en-US" w:eastAsia="zh-CN" w:bidi="ar-SA"/>
        </w:rPr>
        <w:t>6</w:t>
      </w:r>
      <w:r>
        <w:rPr>
          <w:rFonts w:hint="eastAsia" w:ascii="Times New Roman" w:hAnsi="Times New Roman" w:eastAsia="宋体" w:cs="Times New Roman"/>
          <w:b/>
          <w:bCs/>
          <w:color w:val="auto"/>
          <w:kern w:val="2"/>
          <w:sz w:val="21"/>
          <w:szCs w:val="24"/>
          <w:highlight w:val="none"/>
          <w:lang w:val="en-US" w:eastAsia="zh-CN" w:bidi="ar-SA"/>
        </w:rPr>
        <w:t>.1-1  施工期水污染防治措施一览表</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2216"/>
        <w:gridCol w:w="3311"/>
        <w:gridCol w:w="2410"/>
      </w:tblGrid>
      <w:tr w14:paraId="4DF89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5" w:type="dxa"/>
            <w:noWrap w:val="0"/>
            <w:tcMar>
              <w:left w:w="0" w:type="dxa"/>
              <w:right w:w="0" w:type="dxa"/>
            </w:tcMar>
            <w:vAlign w:val="center"/>
          </w:tcPr>
          <w:p w14:paraId="2C949862">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序号</w:t>
            </w:r>
          </w:p>
        </w:tc>
        <w:tc>
          <w:tcPr>
            <w:tcW w:w="2216" w:type="dxa"/>
            <w:noWrap w:val="0"/>
            <w:tcMar>
              <w:left w:w="0" w:type="dxa"/>
              <w:right w:w="0" w:type="dxa"/>
            </w:tcMar>
            <w:vAlign w:val="center"/>
          </w:tcPr>
          <w:p w14:paraId="006D4E4C">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主要环境影响</w:t>
            </w:r>
          </w:p>
        </w:tc>
        <w:tc>
          <w:tcPr>
            <w:tcW w:w="3311" w:type="dxa"/>
            <w:noWrap w:val="0"/>
            <w:tcMar>
              <w:left w:w="0" w:type="dxa"/>
              <w:right w:w="0" w:type="dxa"/>
            </w:tcMar>
            <w:vAlign w:val="center"/>
          </w:tcPr>
          <w:p w14:paraId="293E8DEF">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环保措施</w:t>
            </w:r>
          </w:p>
        </w:tc>
        <w:tc>
          <w:tcPr>
            <w:tcW w:w="2410" w:type="dxa"/>
            <w:noWrap w:val="0"/>
            <w:tcMar>
              <w:left w:w="0" w:type="dxa"/>
              <w:right w:w="0" w:type="dxa"/>
            </w:tcMar>
            <w:vAlign w:val="center"/>
          </w:tcPr>
          <w:p w14:paraId="039CCA3E">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效益</w:t>
            </w:r>
          </w:p>
        </w:tc>
      </w:tr>
      <w:tr w14:paraId="1BB5C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5" w:type="dxa"/>
            <w:noWrap w:val="0"/>
            <w:tcMar>
              <w:left w:w="0" w:type="dxa"/>
              <w:right w:w="0" w:type="dxa"/>
            </w:tcMar>
            <w:vAlign w:val="center"/>
          </w:tcPr>
          <w:p w14:paraId="41A27471">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1</w:t>
            </w:r>
          </w:p>
        </w:tc>
        <w:tc>
          <w:tcPr>
            <w:tcW w:w="2216" w:type="dxa"/>
            <w:noWrap w:val="0"/>
            <w:tcMar>
              <w:left w:w="0" w:type="dxa"/>
              <w:right w:w="0" w:type="dxa"/>
            </w:tcMar>
            <w:vAlign w:val="center"/>
          </w:tcPr>
          <w:p w14:paraId="33D543EB">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施工排水可能对水环境产生影响，造成水土流失</w:t>
            </w:r>
          </w:p>
        </w:tc>
        <w:tc>
          <w:tcPr>
            <w:tcW w:w="3311" w:type="dxa"/>
            <w:noWrap w:val="0"/>
            <w:tcMar>
              <w:left w:w="0" w:type="dxa"/>
              <w:right w:w="0" w:type="dxa"/>
            </w:tcMar>
            <w:vAlign w:val="center"/>
          </w:tcPr>
          <w:p w14:paraId="2E16BE3C">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施工用水尽量做到节约用水，重复利用，可用于拌和水泥，简单沉淀后用于浇灌施工现场周围树木和绿地，严禁排入地表水体</w:t>
            </w:r>
          </w:p>
        </w:tc>
        <w:tc>
          <w:tcPr>
            <w:tcW w:w="2410" w:type="dxa"/>
            <w:noWrap w:val="0"/>
            <w:tcMar>
              <w:left w:w="0" w:type="dxa"/>
              <w:right w:w="0" w:type="dxa"/>
            </w:tcMar>
            <w:vAlign w:val="center"/>
          </w:tcPr>
          <w:p w14:paraId="10131FF0">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节约用水，减少水土流失，减轻或避免生活污水、粪便对环境污染影响</w:t>
            </w:r>
          </w:p>
        </w:tc>
      </w:tr>
      <w:tr w14:paraId="15FB5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5" w:type="dxa"/>
            <w:noWrap w:val="0"/>
            <w:tcMar>
              <w:left w:w="0" w:type="dxa"/>
              <w:right w:w="0" w:type="dxa"/>
            </w:tcMar>
            <w:vAlign w:val="center"/>
          </w:tcPr>
          <w:p w14:paraId="0607F132">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2</w:t>
            </w:r>
          </w:p>
        </w:tc>
        <w:tc>
          <w:tcPr>
            <w:tcW w:w="2216" w:type="dxa"/>
            <w:noWrap w:val="0"/>
            <w:tcMar>
              <w:left w:w="0" w:type="dxa"/>
              <w:right w:w="0" w:type="dxa"/>
            </w:tcMar>
            <w:vAlign w:val="center"/>
          </w:tcPr>
          <w:p w14:paraId="64A3F28A">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生活污水、粪便随便排放对环境污染影响</w:t>
            </w:r>
          </w:p>
        </w:tc>
        <w:tc>
          <w:tcPr>
            <w:tcW w:w="3311" w:type="dxa"/>
            <w:noWrap w:val="0"/>
            <w:tcMar>
              <w:left w:w="0" w:type="dxa"/>
              <w:right w:w="0" w:type="dxa"/>
            </w:tcMar>
            <w:vAlign w:val="center"/>
          </w:tcPr>
          <w:p w14:paraId="3C506A9C">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施工期修建化粪池，施工区生活污水经化粪池处理后排放至污水管网</w:t>
            </w:r>
          </w:p>
        </w:tc>
        <w:tc>
          <w:tcPr>
            <w:tcW w:w="2410" w:type="dxa"/>
            <w:noWrap w:val="0"/>
            <w:tcMar>
              <w:left w:w="0" w:type="dxa"/>
              <w:right w:w="0" w:type="dxa"/>
            </w:tcMar>
            <w:vAlign w:val="center"/>
          </w:tcPr>
          <w:p w14:paraId="43CB51CC">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保护施工人员居住处的环境卫生</w:t>
            </w:r>
          </w:p>
        </w:tc>
      </w:tr>
    </w:tbl>
    <w:p w14:paraId="45405A3C">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hint="default"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.1.2</w:t>
      </w:r>
      <w:r>
        <w:rPr>
          <w:rFonts w:hint="eastAsia" w:ascii="Times New Roman" w:hAnsi="Times New Roman" w:eastAsia="宋体" w:cs="Times New Roman"/>
          <w:b/>
          <w:color w:val="auto"/>
          <w:highlight w:val="none"/>
          <w:lang w:val="en-US" w:eastAsia="zh-CN"/>
        </w:rPr>
        <w:t>、</w:t>
      </w:r>
      <w:r>
        <w:rPr>
          <w:rFonts w:hint="default" w:ascii="Times New Roman" w:hAnsi="Times New Roman" w:eastAsia="宋体" w:cs="Times New Roman"/>
          <w:b/>
          <w:color w:val="auto"/>
          <w:highlight w:val="none"/>
          <w:lang w:val="en-US" w:eastAsia="zh-CN"/>
        </w:rPr>
        <w:t>施工期环境空气污染防治措施分析</w:t>
      </w:r>
    </w:p>
    <w:p w14:paraId="739A7750">
      <w:pPr>
        <w:bidi w:val="0"/>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施工期对环境空气的污染主要包括扬尘及施工车辆尾气排放，评价针对各种污染物排放特点及性质提出施工期环境空气污染防治措施，详见表5</w:t>
      </w:r>
      <w:r>
        <w:rPr>
          <w:rFonts w:hint="eastAsia" w:ascii="Times New Roman" w:hAnsi="Times New Roman" w:eastAsia="宋体" w:cs="Times New Roman"/>
          <w:color w:val="auto"/>
          <w:sz w:val="24"/>
          <w:szCs w:val="24"/>
          <w:highlight w:val="none"/>
          <w:lang w:val="en-US" w:eastAsia="zh-CN"/>
        </w:rPr>
        <w:t>.1</w:t>
      </w:r>
      <w:r>
        <w:rPr>
          <w:rFonts w:ascii="Times New Roman" w:hAnsi="Times New Roman" w:eastAsia="宋体" w:cs="Times New Roman"/>
          <w:color w:val="auto"/>
          <w:sz w:val="24"/>
          <w:szCs w:val="24"/>
          <w:highlight w:val="none"/>
        </w:rPr>
        <w:t>-2。</w:t>
      </w:r>
    </w:p>
    <w:p w14:paraId="50AB0B92">
      <w:pPr>
        <w:widowControl w:val="0"/>
        <w:bidi w:val="0"/>
        <w:adjustRightInd/>
        <w:snapToGrid/>
        <w:spacing w:line="360" w:lineRule="auto"/>
        <w:ind w:left="0" w:firstLine="0" w:firstLineChars="0"/>
        <w:jc w:val="center"/>
        <w:outlineLvl w:val="9"/>
        <w:rPr>
          <w:rFonts w:hint="eastAsia" w:ascii="Times New Roman" w:hAnsi="Times New Roman" w:eastAsia="宋体" w:cs="Times New Roman"/>
          <w:b/>
          <w:bCs/>
          <w:color w:val="auto"/>
          <w:kern w:val="2"/>
          <w:sz w:val="21"/>
          <w:szCs w:val="24"/>
          <w:highlight w:val="none"/>
          <w:lang w:val="en-US" w:eastAsia="zh-CN" w:bidi="ar-SA"/>
        </w:rPr>
      </w:pPr>
      <w:r>
        <w:rPr>
          <w:rFonts w:hint="eastAsia" w:ascii="Times New Roman" w:hAnsi="Times New Roman" w:eastAsia="宋体" w:cs="Times New Roman"/>
          <w:b/>
          <w:bCs/>
          <w:color w:val="auto"/>
          <w:kern w:val="2"/>
          <w:sz w:val="21"/>
          <w:szCs w:val="24"/>
          <w:highlight w:val="none"/>
          <w:lang w:val="en-US" w:eastAsia="zh-CN" w:bidi="ar-SA"/>
        </w:rPr>
        <w:t>表</w:t>
      </w:r>
      <w:r>
        <w:rPr>
          <w:rFonts w:hint="eastAsia" w:cs="Times New Roman"/>
          <w:b/>
          <w:bCs/>
          <w:color w:val="auto"/>
          <w:kern w:val="2"/>
          <w:sz w:val="21"/>
          <w:szCs w:val="24"/>
          <w:highlight w:val="none"/>
          <w:lang w:val="en-US" w:eastAsia="zh-CN" w:bidi="ar-SA"/>
        </w:rPr>
        <w:t>6</w:t>
      </w:r>
      <w:r>
        <w:rPr>
          <w:rFonts w:hint="eastAsia" w:ascii="Times New Roman" w:hAnsi="Times New Roman" w:eastAsia="宋体" w:cs="Times New Roman"/>
          <w:b/>
          <w:bCs/>
          <w:color w:val="auto"/>
          <w:kern w:val="2"/>
          <w:sz w:val="21"/>
          <w:szCs w:val="24"/>
          <w:highlight w:val="none"/>
          <w:lang w:val="en-US" w:eastAsia="zh-CN" w:bidi="ar-SA"/>
        </w:rPr>
        <w:t>.1-2</w:t>
      </w:r>
      <w:r>
        <w:rPr>
          <w:rFonts w:hint="eastAsia" w:cs="Times New Roman"/>
          <w:b/>
          <w:bCs/>
          <w:color w:val="auto"/>
          <w:kern w:val="2"/>
          <w:sz w:val="21"/>
          <w:szCs w:val="24"/>
          <w:highlight w:val="none"/>
          <w:lang w:val="en-US" w:eastAsia="zh-CN" w:bidi="ar-SA"/>
        </w:rPr>
        <w:t xml:space="preserve">  </w:t>
      </w:r>
      <w:r>
        <w:rPr>
          <w:rFonts w:hint="eastAsia" w:ascii="Times New Roman" w:hAnsi="Times New Roman" w:eastAsia="宋体" w:cs="Times New Roman"/>
          <w:b/>
          <w:bCs/>
          <w:color w:val="auto"/>
          <w:kern w:val="2"/>
          <w:sz w:val="21"/>
          <w:szCs w:val="24"/>
          <w:highlight w:val="none"/>
          <w:lang w:val="en-US" w:eastAsia="zh-CN" w:bidi="ar-SA"/>
        </w:rPr>
        <w:t>施工期环境空气污染防治措施一览表</w:t>
      </w:r>
    </w:p>
    <w:tbl>
      <w:tblPr>
        <w:tblStyle w:val="49"/>
        <w:tblW w:w="87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5"/>
        <w:gridCol w:w="2074"/>
        <w:gridCol w:w="3077"/>
        <w:gridCol w:w="2789"/>
      </w:tblGrid>
      <w:tr w14:paraId="6BE06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5" w:type="dxa"/>
            <w:noWrap w:val="0"/>
            <w:tcMar>
              <w:left w:w="0" w:type="dxa"/>
              <w:right w:w="0" w:type="dxa"/>
            </w:tcMar>
            <w:vAlign w:val="center"/>
          </w:tcPr>
          <w:p w14:paraId="34C04469">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序号</w:t>
            </w:r>
          </w:p>
        </w:tc>
        <w:tc>
          <w:tcPr>
            <w:tcW w:w="2074" w:type="dxa"/>
            <w:noWrap w:val="0"/>
            <w:tcMar>
              <w:left w:w="0" w:type="dxa"/>
              <w:right w:w="0" w:type="dxa"/>
            </w:tcMar>
            <w:vAlign w:val="center"/>
          </w:tcPr>
          <w:p w14:paraId="04FD226D">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主要环境影响</w:t>
            </w:r>
          </w:p>
        </w:tc>
        <w:tc>
          <w:tcPr>
            <w:tcW w:w="3077" w:type="dxa"/>
            <w:noWrap w:val="0"/>
            <w:tcMar>
              <w:left w:w="0" w:type="dxa"/>
              <w:right w:w="0" w:type="dxa"/>
            </w:tcMar>
            <w:vAlign w:val="center"/>
          </w:tcPr>
          <w:p w14:paraId="264EC7FE">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环保措施</w:t>
            </w:r>
          </w:p>
        </w:tc>
        <w:tc>
          <w:tcPr>
            <w:tcW w:w="2789" w:type="dxa"/>
            <w:noWrap w:val="0"/>
            <w:tcMar>
              <w:left w:w="0" w:type="dxa"/>
              <w:right w:w="0" w:type="dxa"/>
            </w:tcMar>
            <w:vAlign w:val="center"/>
          </w:tcPr>
          <w:p w14:paraId="1E3ED5B0">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效益</w:t>
            </w:r>
          </w:p>
        </w:tc>
      </w:tr>
      <w:tr w14:paraId="3BE20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5" w:type="dxa"/>
            <w:noWrap w:val="0"/>
            <w:tcMar>
              <w:left w:w="0" w:type="dxa"/>
              <w:right w:w="0" w:type="dxa"/>
            </w:tcMar>
            <w:vAlign w:val="center"/>
          </w:tcPr>
          <w:p w14:paraId="7676D24C">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1</w:t>
            </w:r>
          </w:p>
        </w:tc>
        <w:tc>
          <w:tcPr>
            <w:tcW w:w="2074" w:type="dxa"/>
            <w:noWrap w:val="0"/>
            <w:tcMar>
              <w:left w:w="0" w:type="dxa"/>
              <w:right w:w="0" w:type="dxa"/>
            </w:tcMar>
            <w:vAlign w:val="center"/>
          </w:tcPr>
          <w:p w14:paraId="507DFD4B">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运输汽车运行产生道</w:t>
            </w:r>
          </w:p>
          <w:p w14:paraId="6B7BE4D1">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路扬尘污染</w:t>
            </w:r>
          </w:p>
        </w:tc>
        <w:tc>
          <w:tcPr>
            <w:tcW w:w="3077" w:type="dxa"/>
            <w:noWrap w:val="0"/>
            <w:tcMar>
              <w:left w:w="0" w:type="dxa"/>
              <w:right w:w="0" w:type="dxa"/>
            </w:tcMar>
            <w:vAlign w:val="center"/>
          </w:tcPr>
          <w:p w14:paraId="1E7956CF">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运输路线应定期洒水</w:t>
            </w:r>
          </w:p>
        </w:tc>
        <w:tc>
          <w:tcPr>
            <w:tcW w:w="2789" w:type="dxa"/>
            <w:noWrap w:val="0"/>
            <w:tcMar>
              <w:left w:w="0" w:type="dxa"/>
              <w:right w:w="0" w:type="dxa"/>
            </w:tcMar>
            <w:vAlign w:val="center"/>
          </w:tcPr>
          <w:p w14:paraId="6E55BCD5">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减少道路扬尘对施工场区内人员、施工区周围厂房以及运输道路范围内污染影响</w:t>
            </w:r>
          </w:p>
        </w:tc>
      </w:tr>
      <w:tr w14:paraId="77DE5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5" w:type="dxa"/>
            <w:noWrap w:val="0"/>
            <w:tcMar>
              <w:left w:w="0" w:type="dxa"/>
              <w:right w:w="0" w:type="dxa"/>
            </w:tcMar>
            <w:vAlign w:val="center"/>
          </w:tcPr>
          <w:p w14:paraId="3EB5F20B">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2</w:t>
            </w:r>
          </w:p>
        </w:tc>
        <w:tc>
          <w:tcPr>
            <w:tcW w:w="2074" w:type="dxa"/>
            <w:noWrap w:val="0"/>
            <w:tcMar>
              <w:left w:w="0" w:type="dxa"/>
              <w:right w:w="0" w:type="dxa"/>
            </w:tcMar>
            <w:vAlign w:val="center"/>
          </w:tcPr>
          <w:p w14:paraId="5B5AF87E">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少量水泥等运输</w:t>
            </w:r>
          </w:p>
        </w:tc>
        <w:tc>
          <w:tcPr>
            <w:tcW w:w="3077" w:type="dxa"/>
            <w:noWrap w:val="0"/>
            <w:tcMar>
              <w:left w:w="0" w:type="dxa"/>
              <w:right w:w="0" w:type="dxa"/>
            </w:tcMar>
            <w:vAlign w:val="center"/>
          </w:tcPr>
          <w:p w14:paraId="0CBBAF01">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加强运输管理，保证汽车文明、安全、中速行驶</w:t>
            </w:r>
          </w:p>
        </w:tc>
        <w:tc>
          <w:tcPr>
            <w:tcW w:w="2789" w:type="dxa"/>
            <w:noWrap w:val="0"/>
            <w:tcMar>
              <w:left w:w="0" w:type="dxa"/>
              <w:right w:w="0" w:type="dxa"/>
            </w:tcMar>
            <w:vAlign w:val="center"/>
          </w:tcPr>
          <w:p w14:paraId="44919160">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减少二次污染影响</w:t>
            </w:r>
          </w:p>
        </w:tc>
      </w:tr>
      <w:tr w14:paraId="46B23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5" w:type="dxa"/>
            <w:noWrap w:val="0"/>
            <w:tcMar>
              <w:left w:w="0" w:type="dxa"/>
              <w:right w:w="0" w:type="dxa"/>
            </w:tcMar>
            <w:vAlign w:val="center"/>
          </w:tcPr>
          <w:p w14:paraId="49384551">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3</w:t>
            </w:r>
          </w:p>
        </w:tc>
        <w:tc>
          <w:tcPr>
            <w:tcW w:w="2074" w:type="dxa"/>
            <w:noWrap w:val="0"/>
            <w:tcMar>
              <w:left w:w="0" w:type="dxa"/>
              <w:right w:w="0" w:type="dxa"/>
            </w:tcMar>
            <w:vAlign w:val="center"/>
          </w:tcPr>
          <w:p w14:paraId="022A4333">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车辆排放尾气</w:t>
            </w:r>
          </w:p>
        </w:tc>
        <w:tc>
          <w:tcPr>
            <w:tcW w:w="3077" w:type="dxa"/>
            <w:noWrap w:val="0"/>
            <w:tcMar>
              <w:left w:w="0" w:type="dxa"/>
              <w:right w:w="0" w:type="dxa"/>
            </w:tcMar>
            <w:vAlign w:val="center"/>
          </w:tcPr>
          <w:p w14:paraId="5EB43277">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采用符合标准的清洁能源汽车或国六汽车</w:t>
            </w:r>
          </w:p>
        </w:tc>
        <w:tc>
          <w:tcPr>
            <w:tcW w:w="2789" w:type="dxa"/>
            <w:noWrap w:val="0"/>
            <w:tcMar>
              <w:left w:w="0" w:type="dxa"/>
              <w:right w:w="0" w:type="dxa"/>
            </w:tcMar>
            <w:vAlign w:val="center"/>
          </w:tcPr>
          <w:p w14:paraId="6793DE6B">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减少尾气排放</w:t>
            </w:r>
          </w:p>
        </w:tc>
      </w:tr>
    </w:tbl>
    <w:p w14:paraId="75FD1E95">
      <w:pPr>
        <w:bidi w:val="0"/>
        <w:spacing w:line="360" w:lineRule="auto"/>
        <w:ind w:firstLine="480" w:firstLineChars="200"/>
        <w:rPr>
          <w:rFonts w:hint="default" w:ascii="Times New Roman" w:hAnsi="Times New Roman" w:eastAsia="宋体" w:cs="Times New Roman"/>
          <w:color w:val="auto"/>
          <w:sz w:val="24"/>
          <w:szCs w:val="24"/>
          <w:highlight w:val="none"/>
          <w:lang w:val="en-US"/>
        </w:rPr>
      </w:pPr>
      <w:r>
        <w:rPr>
          <w:rFonts w:hint="eastAsia" w:ascii="Times New Roman" w:hAnsi="Times New Roman" w:eastAsia="宋体" w:cs="Times New Roman"/>
          <w:color w:val="auto"/>
          <w:sz w:val="24"/>
          <w:szCs w:val="24"/>
          <w:highlight w:val="none"/>
          <w:lang w:val="en-US" w:eastAsia="zh-CN"/>
        </w:rPr>
        <w:t>本项目主要涉及设备运输产生的运输扬尘及少量构筑物主体修建需要的水泥，运输线路定期洒水抑尘，限制车速，少量水泥等拌合过程位于厂房内进行，即用即拌。构筑物开发土方用于厂区内绿化，不运出厂外。由于本项目施工期工程量较小，因此施工期废气产生量较小，采取上述措施后，施工期废气对周边大气环境影响较小。</w:t>
      </w:r>
    </w:p>
    <w:p w14:paraId="2F755D81">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hint="default"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.1.3</w:t>
      </w:r>
      <w:r>
        <w:rPr>
          <w:rFonts w:hint="eastAsia" w:ascii="Times New Roman" w:hAnsi="Times New Roman" w:eastAsia="宋体" w:cs="Times New Roman"/>
          <w:b/>
          <w:color w:val="auto"/>
          <w:highlight w:val="none"/>
          <w:lang w:val="en-US" w:eastAsia="zh-CN"/>
        </w:rPr>
        <w:t>、</w:t>
      </w:r>
      <w:r>
        <w:rPr>
          <w:rFonts w:hint="default" w:ascii="Times New Roman" w:hAnsi="Times New Roman" w:eastAsia="宋体" w:cs="Times New Roman"/>
          <w:b/>
          <w:color w:val="auto"/>
          <w:highlight w:val="none"/>
          <w:lang w:val="en-US" w:eastAsia="zh-CN"/>
        </w:rPr>
        <w:t>施工期噪声污染防治措施分析</w:t>
      </w:r>
    </w:p>
    <w:p w14:paraId="6D670A91">
      <w:pPr>
        <w:bidi w:val="0"/>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工程施工期噪声的污染主要是机械噪声，评价根据工程特点提出施工期噪声污染防治措施见表5</w:t>
      </w:r>
      <w:r>
        <w:rPr>
          <w:rFonts w:hint="eastAsia" w:ascii="Times New Roman" w:hAnsi="Times New Roman" w:eastAsia="宋体" w:cs="Times New Roman"/>
          <w:color w:val="auto"/>
          <w:sz w:val="24"/>
          <w:szCs w:val="24"/>
          <w:highlight w:val="none"/>
          <w:lang w:val="en-US" w:eastAsia="zh-CN"/>
        </w:rPr>
        <w:t>.1</w:t>
      </w:r>
      <w:r>
        <w:rPr>
          <w:rFonts w:ascii="Times New Roman" w:hAnsi="Times New Roman" w:eastAsia="宋体" w:cs="Times New Roman"/>
          <w:color w:val="auto"/>
          <w:sz w:val="24"/>
          <w:szCs w:val="24"/>
          <w:highlight w:val="none"/>
        </w:rPr>
        <w:t>-3。</w:t>
      </w:r>
    </w:p>
    <w:p w14:paraId="4E06395F">
      <w:pPr>
        <w:widowControl w:val="0"/>
        <w:bidi w:val="0"/>
        <w:adjustRightInd/>
        <w:snapToGrid/>
        <w:spacing w:line="360" w:lineRule="auto"/>
        <w:ind w:left="0" w:firstLine="0" w:firstLineChars="0"/>
        <w:jc w:val="center"/>
        <w:outlineLvl w:val="9"/>
        <w:rPr>
          <w:rFonts w:hint="eastAsia" w:ascii="Times New Roman" w:hAnsi="Times New Roman" w:eastAsia="宋体" w:cs="Times New Roman"/>
          <w:b/>
          <w:bCs/>
          <w:color w:val="auto"/>
          <w:kern w:val="2"/>
          <w:sz w:val="21"/>
          <w:szCs w:val="24"/>
          <w:highlight w:val="none"/>
          <w:lang w:val="en-US" w:eastAsia="zh-CN" w:bidi="ar-SA"/>
        </w:rPr>
      </w:pPr>
      <w:r>
        <w:rPr>
          <w:rFonts w:hint="eastAsia" w:ascii="Times New Roman" w:hAnsi="Times New Roman" w:eastAsia="宋体" w:cs="Times New Roman"/>
          <w:b/>
          <w:bCs/>
          <w:color w:val="auto"/>
          <w:kern w:val="2"/>
          <w:sz w:val="21"/>
          <w:szCs w:val="24"/>
          <w:highlight w:val="none"/>
          <w:lang w:val="en-US" w:eastAsia="zh-CN" w:bidi="ar-SA"/>
        </w:rPr>
        <w:t>表</w:t>
      </w:r>
      <w:r>
        <w:rPr>
          <w:rFonts w:hint="eastAsia" w:cs="Times New Roman"/>
          <w:b/>
          <w:bCs/>
          <w:color w:val="auto"/>
          <w:kern w:val="2"/>
          <w:sz w:val="21"/>
          <w:szCs w:val="24"/>
          <w:highlight w:val="none"/>
          <w:lang w:val="en-US" w:eastAsia="zh-CN" w:bidi="ar-SA"/>
        </w:rPr>
        <w:t>6</w:t>
      </w:r>
      <w:r>
        <w:rPr>
          <w:rFonts w:hint="eastAsia" w:ascii="Times New Roman" w:hAnsi="Times New Roman" w:eastAsia="宋体" w:cs="Times New Roman"/>
          <w:b/>
          <w:bCs/>
          <w:color w:val="auto"/>
          <w:kern w:val="2"/>
          <w:sz w:val="21"/>
          <w:szCs w:val="24"/>
          <w:highlight w:val="none"/>
          <w:lang w:val="en-US" w:eastAsia="zh-CN" w:bidi="ar-SA"/>
        </w:rPr>
        <w:t>.1-3  施工期噪声污染防治措施一览表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1732"/>
        <w:gridCol w:w="3825"/>
        <w:gridCol w:w="2031"/>
      </w:tblGrid>
      <w:tr w14:paraId="75744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noWrap w:val="0"/>
            <w:tcMar>
              <w:left w:w="0" w:type="dxa"/>
              <w:right w:w="0" w:type="dxa"/>
            </w:tcMar>
            <w:vAlign w:val="center"/>
          </w:tcPr>
          <w:p w14:paraId="6FEE36AB">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序号</w:t>
            </w:r>
          </w:p>
        </w:tc>
        <w:tc>
          <w:tcPr>
            <w:tcW w:w="1042" w:type="pct"/>
            <w:noWrap w:val="0"/>
            <w:tcMar>
              <w:left w:w="0" w:type="dxa"/>
              <w:right w:w="0" w:type="dxa"/>
            </w:tcMar>
            <w:vAlign w:val="center"/>
          </w:tcPr>
          <w:p w14:paraId="26AD2BF7">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主要环境影响</w:t>
            </w:r>
          </w:p>
        </w:tc>
        <w:tc>
          <w:tcPr>
            <w:tcW w:w="2302" w:type="pct"/>
            <w:noWrap w:val="0"/>
            <w:tcMar>
              <w:left w:w="0" w:type="dxa"/>
              <w:right w:w="0" w:type="dxa"/>
            </w:tcMar>
            <w:vAlign w:val="center"/>
          </w:tcPr>
          <w:p w14:paraId="0C5BBA86">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环保措施</w:t>
            </w:r>
          </w:p>
        </w:tc>
        <w:tc>
          <w:tcPr>
            <w:tcW w:w="1222" w:type="pct"/>
            <w:noWrap w:val="0"/>
            <w:tcMar>
              <w:left w:w="0" w:type="dxa"/>
              <w:right w:w="0" w:type="dxa"/>
            </w:tcMar>
            <w:vAlign w:val="center"/>
          </w:tcPr>
          <w:p w14:paraId="79581B20">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效益</w:t>
            </w:r>
          </w:p>
        </w:tc>
      </w:tr>
      <w:tr w14:paraId="75EE9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noWrap w:val="0"/>
            <w:tcMar>
              <w:left w:w="0" w:type="dxa"/>
              <w:right w:w="0" w:type="dxa"/>
            </w:tcMar>
            <w:vAlign w:val="center"/>
          </w:tcPr>
          <w:p w14:paraId="27C821D1">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1</w:t>
            </w:r>
          </w:p>
        </w:tc>
        <w:tc>
          <w:tcPr>
            <w:tcW w:w="1042" w:type="pct"/>
            <w:noWrap w:val="0"/>
            <w:tcMar>
              <w:left w:w="0" w:type="dxa"/>
              <w:right w:w="0" w:type="dxa"/>
            </w:tcMar>
            <w:vAlign w:val="center"/>
          </w:tcPr>
          <w:p w14:paraId="6F03ED88">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机械运输噪声</w:t>
            </w:r>
          </w:p>
        </w:tc>
        <w:tc>
          <w:tcPr>
            <w:tcW w:w="2302" w:type="pct"/>
            <w:noWrap w:val="0"/>
            <w:tcMar>
              <w:left w:w="0" w:type="dxa"/>
              <w:right w:w="0" w:type="dxa"/>
            </w:tcMar>
            <w:vAlign w:val="center"/>
          </w:tcPr>
          <w:p w14:paraId="1512A2CE">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合理安排运输线路，经过沿线敏感点时限速行驶</w:t>
            </w:r>
          </w:p>
        </w:tc>
        <w:tc>
          <w:tcPr>
            <w:tcW w:w="1222" w:type="pct"/>
            <w:noWrap w:val="0"/>
            <w:tcMar>
              <w:left w:w="0" w:type="dxa"/>
              <w:right w:w="0" w:type="dxa"/>
            </w:tcMar>
            <w:vAlign w:val="center"/>
          </w:tcPr>
          <w:p w14:paraId="15DAFB61">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减轻交通噪声对沿线噪声敏感点影响</w:t>
            </w:r>
          </w:p>
        </w:tc>
      </w:tr>
      <w:tr w14:paraId="313EA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3" w:type="pct"/>
            <w:noWrap w:val="0"/>
            <w:tcMar>
              <w:left w:w="0" w:type="dxa"/>
              <w:right w:w="0" w:type="dxa"/>
            </w:tcMar>
            <w:vAlign w:val="center"/>
          </w:tcPr>
          <w:p w14:paraId="0E528EF2">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2</w:t>
            </w:r>
          </w:p>
        </w:tc>
        <w:tc>
          <w:tcPr>
            <w:tcW w:w="1042" w:type="pct"/>
            <w:noWrap w:val="0"/>
            <w:tcMar>
              <w:left w:w="0" w:type="dxa"/>
              <w:right w:w="0" w:type="dxa"/>
            </w:tcMar>
            <w:vAlign w:val="center"/>
          </w:tcPr>
          <w:p w14:paraId="0949F3F6">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对高噪声源设备操作人员影响</w:t>
            </w:r>
          </w:p>
        </w:tc>
        <w:tc>
          <w:tcPr>
            <w:tcW w:w="2302" w:type="pct"/>
            <w:noWrap w:val="0"/>
            <w:tcMar>
              <w:left w:w="0" w:type="dxa"/>
              <w:right w:w="0" w:type="dxa"/>
            </w:tcMar>
            <w:vAlign w:val="center"/>
          </w:tcPr>
          <w:p w14:paraId="56C2F227">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合理规划各种施工机械设备布局，采用科学的施工方法，严格控制施工作业范围和作业时间</w:t>
            </w:r>
          </w:p>
        </w:tc>
        <w:tc>
          <w:tcPr>
            <w:tcW w:w="1222" w:type="pct"/>
            <w:noWrap w:val="0"/>
            <w:tcMar>
              <w:left w:w="0" w:type="dxa"/>
              <w:right w:w="0" w:type="dxa"/>
            </w:tcMar>
            <w:vAlign w:val="center"/>
          </w:tcPr>
          <w:p w14:paraId="61FDB0D3">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减轻噪声对施工人员身体健康的影响</w:t>
            </w:r>
          </w:p>
        </w:tc>
      </w:tr>
    </w:tbl>
    <w:p w14:paraId="05493BB8">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hint="default"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.1.4</w:t>
      </w:r>
      <w:r>
        <w:rPr>
          <w:rFonts w:hint="eastAsia" w:ascii="Times New Roman" w:hAnsi="Times New Roman" w:eastAsia="宋体" w:cs="Times New Roman"/>
          <w:b/>
          <w:color w:val="auto"/>
          <w:highlight w:val="none"/>
          <w:lang w:val="en-US" w:eastAsia="zh-CN"/>
        </w:rPr>
        <w:t>、</w:t>
      </w:r>
      <w:r>
        <w:rPr>
          <w:rFonts w:hint="default" w:ascii="Times New Roman" w:hAnsi="Times New Roman" w:eastAsia="宋体" w:cs="Times New Roman"/>
          <w:b/>
          <w:color w:val="auto"/>
          <w:highlight w:val="none"/>
          <w:lang w:val="en-US" w:eastAsia="zh-CN"/>
        </w:rPr>
        <w:t>施工期固废污染防治措施分析</w:t>
      </w:r>
    </w:p>
    <w:p w14:paraId="67C9D2D0">
      <w:pPr>
        <w:bidi w:val="0"/>
        <w:spacing w:line="360" w:lineRule="auto"/>
        <w:ind w:firstLine="480" w:firstLineChars="200"/>
        <w:rPr>
          <w:rFonts w:ascii="Times New Roman" w:hAnsi="Times New Roman" w:eastAsia="宋体" w:cs="Times New Roman"/>
          <w:color w:val="auto"/>
          <w:sz w:val="24"/>
          <w:szCs w:val="24"/>
          <w:highlight w:val="none"/>
        </w:rPr>
      </w:pPr>
      <w:r>
        <w:rPr>
          <w:rFonts w:ascii="Times New Roman" w:hAnsi="Times New Roman" w:eastAsia="宋体" w:cs="Times New Roman"/>
          <w:color w:val="auto"/>
          <w:sz w:val="24"/>
          <w:szCs w:val="24"/>
          <w:highlight w:val="none"/>
        </w:rPr>
        <w:t>工程施工期固废主要是施工建筑垃圾及弃土，评价根据各种污染物排放特点及性质提出污染防治措施见表5</w:t>
      </w:r>
      <w:r>
        <w:rPr>
          <w:rFonts w:hint="eastAsia" w:ascii="Times New Roman" w:hAnsi="Times New Roman" w:eastAsia="宋体" w:cs="Times New Roman"/>
          <w:color w:val="auto"/>
          <w:sz w:val="24"/>
          <w:szCs w:val="24"/>
          <w:highlight w:val="none"/>
          <w:lang w:val="en-US" w:eastAsia="zh-CN"/>
        </w:rPr>
        <w:t>.1</w:t>
      </w:r>
      <w:r>
        <w:rPr>
          <w:rFonts w:ascii="Times New Roman" w:hAnsi="Times New Roman" w:eastAsia="宋体" w:cs="Times New Roman"/>
          <w:color w:val="auto"/>
          <w:sz w:val="24"/>
          <w:szCs w:val="24"/>
          <w:highlight w:val="none"/>
        </w:rPr>
        <w:t>-4。</w:t>
      </w:r>
    </w:p>
    <w:p w14:paraId="3073555F">
      <w:pPr>
        <w:widowControl w:val="0"/>
        <w:bidi w:val="0"/>
        <w:adjustRightInd/>
        <w:snapToGrid/>
        <w:spacing w:line="360" w:lineRule="auto"/>
        <w:ind w:left="0" w:firstLine="0" w:firstLineChars="0"/>
        <w:jc w:val="center"/>
        <w:outlineLvl w:val="9"/>
        <w:rPr>
          <w:rFonts w:hint="eastAsia" w:ascii="Times New Roman" w:hAnsi="Times New Roman" w:eastAsia="宋体" w:cs="Times New Roman"/>
          <w:b/>
          <w:bCs/>
          <w:color w:val="auto"/>
          <w:kern w:val="2"/>
          <w:sz w:val="21"/>
          <w:szCs w:val="24"/>
          <w:highlight w:val="none"/>
          <w:lang w:val="en-US" w:eastAsia="zh-CN" w:bidi="ar-SA"/>
        </w:rPr>
      </w:pPr>
      <w:r>
        <w:rPr>
          <w:rFonts w:hint="eastAsia" w:ascii="Times New Roman" w:hAnsi="Times New Roman" w:eastAsia="宋体" w:cs="Times New Roman"/>
          <w:b/>
          <w:bCs/>
          <w:color w:val="auto"/>
          <w:kern w:val="2"/>
          <w:sz w:val="21"/>
          <w:szCs w:val="24"/>
          <w:highlight w:val="none"/>
          <w:lang w:val="en-US" w:eastAsia="zh-CN" w:bidi="ar-SA"/>
        </w:rPr>
        <w:t>表</w:t>
      </w:r>
      <w:r>
        <w:rPr>
          <w:rFonts w:hint="eastAsia" w:cs="Times New Roman"/>
          <w:b/>
          <w:bCs/>
          <w:color w:val="auto"/>
          <w:kern w:val="2"/>
          <w:sz w:val="21"/>
          <w:szCs w:val="24"/>
          <w:highlight w:val="none"/>
          <w:lang w:val="en-US" w:eastAsia="zh-CN" w:bidi="ar-SA"/>
        </w:rPr>
        <w:t>6</w:t>
      </w:r>
      <w:r>
        <w:rPr>
          <w:rFonts w:hint="eastAsia" w:ascii="Times New Roman" w:hAnsi="Times New Roman" w:eastAsia="宋体" w:cs="Times New Roman"/>
          <w:b/>
          <w:bCs/>
          <w:color w:val="auto"/>
          <w:kern w:val="2"/>
          <w:sz w:val="21"/>
          <w:szCs w:val="24"/>
          <w:highlight w:val="none"/>
          <w:lang w:val="en-US" w:eastAsia="zh-CN" w:bidi="ar-SA"/>
        </w:rPr>
        <w:t>.1-4  施工期固废污染防治措施一览表</w:t>
      </w:r>
    </w:p>
    <w:tbl>
      <w:tblPr>
        <w:tblStyle w:val="4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2797"/>
        <w:gridCol w:w="2867"/>
        <w:gridCol w:w="1979"/>
      </w:tblGrid>
      <w:tr w14:paraId="3B9F1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noWrap w:val="0"/>
            <w:tcMar>
              <w:left w:w="0" w:type="dxa"/>
              <w:right w:w="0" w:type="dxa"/>
            </w:tcMar>
            <w:vAlign w:val="center"/>
          </w:tcPr>
          <w:p w14:paraId="5F63B977">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序号</w:t>
            </w:r>
          </w:p>
        </w:tc>
        <w:tc>
          <w:tcPr>
            <w:tcW w:w="1683" w:type="pct"/>
            <w:noWrap w:val="0"/>
            <w:tcMar>
              <w:left w:w="0" w:type="dxa"/>
              <w:right w:w="0" w:type="dxa"/>
            </w:tcMar>
            <w:vAlign w:val="center"/>
          </w:tcPr>
          <w:p w14:paraId="566284FF">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主要环境影响</w:t>
            </w:r>
          </w:p>
        </w:tc>
        <w:tc>
          <w:tcPr>
            <w:tcW w:w="1725" w:type="pct"/>
            <w:noWrap w:val="0"/>
            <w:tcMar>
              <w:left w:w="0" w:type="dxa"/>
              <w:right w:w="0" w:type="dxa"/>
            </w:tcMar>
            <w:vAlign w:val="center"/>
          </w:tcPr>
          <w:p w14:paraId="4F3FDC6F">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环保措施</w:t>
            </w:r>
          </w:p>
        </w:tc>
        <w:tc>
          <w:tcPr>
            <w:tcW w:w="1191" w:type="pct"/>
            <w:noWrap w:val="0"/>
            <w:tcMar>
              <w:left w:w="0" w:type="dxa"/>
              <w:right w:w="0" w:type="dxa"/>
            </w:tcMar>
            <w:vAlign w:val="center"/>
          </w:tcPr>
          <w:p w14:paraId="78753857">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效益</w:t>
            </w:r>
          </w:p>
        </w:tc>
      </w:tr>
      <w:tr w14:paraId="23FC8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noWrap w:val="0"/>
            <w:tcMar>
              <w:left w:w="0" w:type="dxa"/>
              <w:right w:w="0" w:type="dxa"/>
            </w:tcMar>
            <w:vAlign w:val="center"/>
          </w:tcPr>
          <w:p w14:paraId="56E13A27">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1</w:t>
            </w:r>
          </w:p>
        </w:tc>
        <w:tc>
          <w:tcPr>
            <w:tcW w:w="1683" w:type="pct"/>
            <w:noWrap w:val="0"/>
            <w:tcMar>
              <w:left w:w="0" w:type="dxa"/>
              <w:right w:w="0" w:type="dxa"/>
            </w:tcMar>
            <w:vAlign w:val="center"/>
          </w:tcPr>
          <w:p w14:paraId="26A61AB6">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建筑垃圾遇风、雨、雪等恶劣天气材料流失，对环境产生的影响</w:t>
            </w:r>
          </w:p>
        </w:tc>
        <w:tc>
          <w:tcPr>
            <w:tcW w:w="1725" w:type="pct"/>
            <w:noWrap w:val="0"/>
            <w:tcMar>
              <w:left w:w="0" w:type="dxa"/>
              <w:right w:w="0" w:type="dxa"/>
            </w:tcMar>
            <w:vAlign w:val="center"/>
          </w:tcPr>
          <w:p w14:paraId="768FE8AD">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建筑垃圾集中堆存，堆场加防尘网覆盖，并及时清运</w:t>
            </w:r>
          </w:p>
        </w:tc>
        <w:tc>
          <w:tcPr>
            <w:tcW w:w="1191" w:type="pct"/>
            <w:noWrap w:val="0"/>
            <w:tcMar>
              <w:left w:w="0" w:type="dxa"/>
              <w:right w:w="0" w:type="dxa"/>
            </w:tcMar>
            <w:vAlign w:val="center"/>
          </w:tcPr>
          <w:p w14:paraId="66240D4C">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避免建筑垃圾流失对环境的影响</w:t>
            </w:r>
          </w:p>
        </w:tc>
      </w:tr>
      <w:tr w14:paraId="299C6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noWrap w:val="0"/>
            <w:tcMar>
              <w:left w:w="0" w:type="dxa"/>
              <w:right w:w="0" w:type="dxa"/>
            </w:tcMar>
            <w:vAlign w:val="center"/>
          </w:tcPr>
          <w:p w14:paraId="3A314CDE">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2</w:t>
            </w:r>
          </w:p>
        </w:tc>
        <w:tc>
          <w:tcPr>
            <w:tcW w:w="1683" w:type="pct"/>
            <w:noWrap w:val="0"/>
            <w:tcMar>
              <w:left w:w="0" w:type="dxa"/>
              <w:right w:w="0" w:type="dxa"/>
            </w:tcMar>
            <w:vAlign w:val="center"/>
          </w:tcPr>
          <w:p w14:paraId="33E4614A">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施工废弃土排放占地</w:t>
            </w:r>
          </w:p>
        </w:tc>
        <w:tc>
          <w:tcPr>
            <w:tcW w:w="1725" w:type="pct"/>
            <w:noWrap w:val="0"/>
            <w:tcMar>
              <w:left w:w="0" w:type="dxa"/>
              <w:right w:w="0" w:type="dxa"/>
            </w:tcMar>
            <w:vAlign w:val="center"/>
          </w:tcPr>
          <w:p w14:paraId="3AF00057">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施工弃土开挖后及时用于厂区绿化</w:t>
            </w:r>
          </w:p>
        </w:tc>
        <w:tc>
          <w:tcPr>
            <w:tcW w:w="1191" w:type="pct"/>
            <w:noWrap w:val="0"/>
            <w:tcMar>
              <w:left w:w="0" w:type="dxa"/>
              <w:right w:w="0" w:type="dxa"/>
            </w:tcMar>
            <w:vAlign w:val="center"/>
          </w:tcPr>
          <w:p w14:paraId="722BE494">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default" w:ascii="Times New Roman" w:hAnsi="Times New Roman" w:eastAsia="宋体" w:cs="Times New Roman"/>
                <w:bCs/>
                <w:color w:val="auto"/>
                <w:kern w:val="2"/>
                <w:sz w:val="21"/>
                <w:szCs w:val="18"/>
                <w:highlight w:val="none"/>
                <w:lang w:val="en-US" w:eastAsia="zh-CN" w:bidi="ar-SA"/>
              </w:rPr>
              <w:t>减少废弃物占地对生态环境影响</w:t>
            </w:r>
          </w:p>
        </w:tc>
      </w:tr>
    </w:tbl>
    <w:p w14:paraId="2769DB10">
      <w:pPr>
        <w:pStyle w:val="218"/>
        <w:spacing w:before="62" w:after="156"/>
        <w:rPr>
          <w:rFonts w:hint="eastAsia" w:ascii="Times New Roman" w:hAnsi="Times New Roman" w:eastAsia="宋体" w:cs="Times New Roman"/>
          <w:b/>
          <w:bCs/>
          <w:color w:val="auto"/>
          <w:highlight w:val="none"/>
          <w:lang w:val="en-US" w:eastAsia="zh-CN"/>
        </w:rPr>
      </w:pPr>
      <w:bookmarkStart w:id="508" w:name="_Toc25749"/>
      <w:r>
        <w:rPr>
          <w:rFonts w:ascii="Times New Roman" w:hAnsi="Times New Roman" w:eastAsia="宋体" w:cs="Times New Roman"/>
          <w:b/>
          <w:bCs/>
          <w:color w:val="auto"/>
          <w:highlight w:val="none"/>
        </w:rPr>
        <w:t>6.</w:t>
      </w:r>
      <w:r>
        <w:rPr>
          <w:rFonts w:hint="eastAsia" w:ascii="Times New Roman" w:hAnsi="Times New Roman" w:eastAsia="宋体" w:cs="Times New Roman"/>
          <w:b/>
          <w:bCs/>
          <w:color w:val="auto"/>
          <w:highlight w:val="none"/>
          <w:lang w:val="en-US" w:eastAsia="zh-CN"/>
        </w:rPr>
        <w:t>2</w:t>
      </w:r>
      <w:r>
        <w:rPr>
          <w:rFonts w:ascii="Times New Roman" w:hAnsi="Times New Roman" w:eastAsia="宋体" w:cs="Times New Roman"/>
          <w:b/>
          <w:bCs/>
          <w:color w:val="auto"/>
          <w:highlight w:val="none"/>
        </w:rPr>
        <w:t>大气污染防治措施及可行性分析</w:t>
      </w:r>
      <w:bookmarkEnd w:id="506"/>
      <w:bookmarkEnd w:id="507"/>
      <w:bookmarkEnd w:id="508"/>
    </w:p>
    <w:p w14:paraId="0D481167">
      <w:pPr>
        <w:pStyle w:val="4"/>
        <w:keepNext w:val="0"/>
        <w:keepLines w:val="0"/>
        <w:pageBreakBefore w:val="0"/>
        <w:widowControl w:val="0"/>
        <w:kinsoku/>
        <w:wordWrap/>
        <w:overflowPunct/>
        <w:topLinePunct w:val="0"/>
        <w:autoSpaceDE/>
        <w:autoSpaceDN/>
        <w:bidi w:val="0"/>
        <w:adjustRightInd/>
        <w:snapToGrid/>
        <w:spacing w:after="0" w:afterLines="0" w:line="360" w:lineRule="auto"/>
        <w:textAlignment w:val="auto"/>
        <w:rPr>
          <w:rFonts w:hint="default" w:ascii="Times New Roman" w:hAnsi="Times New Roman" w:eastAsia="宋体" w:cs="Times New Roman"/>
          <w:b/>
          <w:color w:val="auto"/>
          <w:highlight w:val="none"/>
          <w:lang w:val="en-US" w:eastAsia="zh-CN"/>
        </w:rPr>
      </w:pPr>
      <w:bookmarkStart w:id="509" w:name="_Toc16328"/>
      <w:bookmarkStart w:id="510" w:name="_Toc152922672"/>
      <w:bookmarkStart w:id="511" w:name="_Toc152922078"/>
      <w:bookmarkStart w:id="512" w:name="_Toc152923353"/>
      <w:bookmarkStart w:id="513" w:name="_Toc152921713"/>
      <w:bookmarkStart w:id="514" w:name="_Toc117150272"/>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2</w:t>
      </w:r>
      <w:r>
        <w:rPr>
          <w:rFonts w:hint="default" w:ascii="Times New Roman" w:hAnsi="Times New Roman" w:eastAsia="宋体" w:cs="Times New Roman"/>
          <w:b/>
          <w:color w:val="auto"/>
          <w:highlight w:val="none"/>
          <w:lang w:val="en-US" w:eastAsia="zh-CN"/>
        </w:rPr>
        <w:t>.1</w:t>
      </w:r>
      <w:bookmarkEnd w:id="509"/>
      <w:r>
        <w:rPr>
          <w:rFonts w:hint="eastAsia" w:ascii="Times New Roman" w:hAnsi="Times New Roman" w:eastAsia="宋体" w:cs="Times New Roman"/>
          <w:b/>
          <w:color w:val="auto"/>
          <w:highlight w:val="none"/>
          <w:lang w:val="en-US" w:eastAsia="zh-CN"/>
        </w:rPr>
        <w:t>废气治理措施可行性分析</w:t>
      </w:r>
    </w:p>
    <w:p w14:paraId="739EDE3C">
      <w:pPr>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2" w:firstLineChars="200"/>
        <w:jc w:val="both"/>
        <w:textAlignment w:val="auto"/>
        <w:rPr>
          <w:rFonts w:hint="default" w:ascii="Times New Roman" w:hAnsi="Times New Roman" w:eastAsia="宋体" w:cs="Times New Roman"/>
          <w:b/>
          <w:bCs/>
          <w:color w:val="auto"/>
          <w:spacing w:val="0"/>
          <w:w w:val="100"/>
          <w:kern w:val="2"/>
          <w:position w:val="0"/>
          <w:sz w:val="24"/>
          <w:szCs w:val="24"/>
          <w:highlight w:val="none"/>
          <w:u w:val="none"/>
          <w:shd w:val="clear" w:color="auto" w:fill="auto"/>
          <w:lang w:val="zh-TW" w:eastAsia="zh-CN" w:bidi="zh-TW"/>
        </w:rPr>
      </w:pPr>
      <w:r>
        <w:rPr>
          <w:rFonts w:hint="default" w:ascii="Times New Roman" w:hAnsi="Times New Roman" w:eastAsia="宋体" w:cs="Times New Roman"/>
          <w:b/>
          <w:bCs/>
          <w:color w:val="auto"/>
          <w:spacing w:val="0"/>
          <w:w w:val="100"/>
          <w:kern w:val="2"/>
          <w:position w:val="0"/>
          <w:sz w:val="24"/>
          <w:szCs w:val="24"/>
          <w:highlight w:val="none"/>
          <w:u w:val="none"/>
          <w:shd w:val="clear" w:color="auto" w:fill="auto"/>
          <w:lang w:val="zh-TW" w:eastAsia="zh-CN" w:bidi="zh-TW"/>
        </w:rPr>
        <w:t>（</w:t>
      </w:r>
      <w:r>
        <w:rPr>
          <w:rFonts w:hint="default" w:ascii="Times New Roman" w:hAnsi="Times New Roman" w:eastAsia="宋体" w:cs="Times New Roman"/>
          <w:b/>
          <w:bCs/>
          <w:color w:val="auto"/>
          <w:spacing w:val="0"/>
          <w:w w:val="100"/>
          <w:kern w:val="2"/>
          <w:position w:val="0"/>
          <w:sz w:val="24"/>
          <w:szCs w:val="24"/>
          <w:highlight w:val="none"/>
          <w:u w:val="none"/>
          <w:shd w:val="clear" w:color="auto" w:fill="auto"/>
          <w:lang w:val="en-US" w:eastAsia="zh-CN" w:bidi="zh-TW"/>
        </w:rPr>
        <w:t>1</w:t>
      </w:r>
      <w:r>
        <w:rPr>
          <w:rFonts w:hint="default" w:ascii="Times New Roman" w:hAnsi="Times New Roman" w:eastAsia="宋体" w:cs="Times New Roman"/>
          <w:b/>
          <w:bCs/>
          <w:color w:val="auto"/>
          <w:spacing w:val="0"/>
          <w:w w:val="100"/>
          <w:kern w:val="2"/>
          <w:position w:val="0"/>
          <w:sz w:val="24"/>
          <w:szCs w:val="24"/>
          <w:highlight w:val="none"/>
          <w:u w:val="none"/>
          <w:shd w:val="clear" w:color="auto" w:fill="auto"/>
          <w:lang w:val="zh-TW" w:eastAsia="zh-CN" w:bidi="zh-TW"/>
        </w:rPr>
        <w:t>）</w:t>
      </w:r>
      <w:r>
        <w:rPr>
          <w:rFonts w:hint="eastAsia" w:ascii="Times New Roman" w:hAnsi="Times New Roman" w:eastAsia="宋体" w:cs="Times New Roman"/>
          <w:b/>
          <w:bCs/>
          <w:color w:val="auto"/>
          <w:spacing w:val="0"/>
          <w:w w:val="100"/>
          <w:kern w:val="2"/>
          <w:position w:val="0"/>
          <w:sz w:val="24"/>
          <w:szCs w:val="24"/>
          <w:highlight w:val="none"/>
          <w:u w:val="none"/>
          <w:shd w:val="clear" w:color="auto" w:fill="auto"/>
          <w:lang w:val="en-US" w:eastAsia="zh-CN" w:bidi="zh-TW"/>
        </w:rPr>
        <w:t>高温转化炉燃烧烟气</w:t>
      </w:r>
    </w:p>
    <w:p w14:paraId="60B257E2">
      <w:pPr>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0" w:firstLineChars="200"/>
        <w:jc w:val="both"/>
        <w:textAlignment w:val="auto"/>
        <w:rPr>
          <w:rFonts w:hint="default" w:ascii="Times New Roman" w:hAnsi="Times New Roman" w:eastAsia="宋体" w:cs="Times New Roman"/>
          <w:color w:val="auto"/>
          <w:kern w:val="2"/>
          <w:sz w:val="24"/>
          <w:szCs w:val="22"/>
          <w:highlight w:val="none"/>
          <w:u w:val="none"/>
          <w:shd w:val="clear" w:color="auto" w:fill="auto"/>
          <w:lang w:val="zh-TW" w:eastAsia="zh-TW" w:bidi="zh-TW"/>
        </w:rPr>
      </w:pP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本项目三台高温转化炉废气</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zh-TW" w:eastAsia="zh-TW" w:bidi="zh-TW"/>
        </w:rPr>
        <w:t>经密闭管道收集</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经15</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zh-TW" w:eastAsia="zh-TW" w:bidi="zh-TW"/>
        </w:rPr>
        <w:t>m高排气筒排放（DA00</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1、</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zh-TW" w:eastAsia="zh-TW" w:bidi="zh-TW"/>
        </w:rPr>
        <w:t>DA00</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/2、</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zh-TW" w:eastAsia="zh-TW" w:bidi="zh-TW"/>
        </w:rPr>
        <w:t>DA003）</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排放，</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zh-TW" w:eastAsia="zh-TW" w:bidi="zh-TW"/>
        </w:rPr>
        <w:t>本项目</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高温转化炉</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zh-TW" w:eastAsia="zh-TW" w:bidi="zh-TW"/>
        </w:rPr>
        <w:t>烟气是主要污染源，转化炉燃烧的原料为天然气和解吸气</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zh-TW" w:eastAsia="zh-CN" w:bidi="zh-TW"/>
        </w:rPr>
        <w:t>，</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zh-TW" w:eastAsia="zh-TW" w:bidi="zh-TW"/>
        </w:rPr>
        <w:t>产生的污染物主要是二氧化硫、氮氧化物</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zh-TW" w:eastAsia="zh-CN" w:bidi="zh-TW"/>
        </w:rPr>
        <w:t>、</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非甲烷总烃</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zh-TW" w:eastAsia="zh-TW" w:bidi="zh-TW"/>
        </w:rPr>
        <w:t>。</w:t>
      </w:r>
    </w:p>
    <w:p w14:paraId="42852AA3">
      <w:pPr>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0" w:firstLineChars="200"/>
        <w:jc w:val="both"/>
        <w:textAlignment w:val="auto"/>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zh-TW" w:eastAsia="zh-TW" w:bidi="zh-TW"/>
        </w:rPr>
        <w:t>本项目使用了清洁燃料</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净化后的沼气及解吸气（解吸气经过了进一步的脱硫除尘处理），同时燃烧嘴配套低氮燃烧器，减少氮氧化物的产生。低氮燃烧器技术是较成熟可靠的工艺，对照《排污许可证申请与核发技术规范石化工业》（HJ853-2017）表5：工艺加热炉采用低氮燃烧技术属于减少氮氧化物可行技术，选用清洁能源、低硫燃料属于减少SO</w:t>
      </w:r>
      <w:r>
        <w:rPr>
          <w:rFonts w:hint="eastAsia" w:ascii="Times New Roman" w:hAnsi="Times New Roman" w:eastAsia="宋体" w:cs="Times New Roman"/>
          <w:color w:val="auto"/>
          <w:spacing w:val="0"/>
          <w:w w:val="100"/>
          <w:kern w:val="2"/>
          <w:position w:val="0"/>
          <w:sz w:val="24"/>
          <w:szCs w:val="24"/>
          <w:highlight w:val="none"/>
          <w:u w:val="none"/>
          <w:shd w:val="clear" w:color="auto" w:fill="auto"/>
          <w:vertAlign w:val="subscript"/>
          <w:lang w:val="en-US" w:eastAsia="zh-CN" w:bidi="zh-TW"/>
        </w:rPr>
        <w:t>2</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、颗粒物可行技术。</w:t>
      </w:r>
    </w:p>
    <w:p w14:paraId="4BF85558">
      <w:pPr>
        <w:keepNext w:val="0"/>
        <w:keepLines w:val="0"/>
        <w:pageBreakBefore w:val="0"/>
        <w:widowControl w:val="0"/>
        <w:shd w:val="clear" w:color="auto" w:fill="auto"/>
        <w:kinsoku/>
        <w:wordWrap/>
        <w:overflowPunct/>
        <w:topLinePunct w:val="0"/>
        <w:autoSpaceDE/>
        <w:autoSpaceDN/>
        <w:bidi w:val="0"/>
        <w:adjustRightInd/>
        <w:snapToGrid/>
        <w:spacing w:before="0" w:line="360" w:lineRule="auto"/>
        <w:ind w:left="0" w:right="0" w:firstLine="480" w:firstLineChars="200"/>
        <w:jc w:val="both"/>
        <w:textAlignment w:val="auto"/>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TW" w:bidi="zh-TW"/>
        </w:rPr>
      </w:pP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（2）卸油、加油过程废气防治措施可行性分析</w:t>
      </w:r>
    </w:p>
    <w:p w14:paraId="46DDC27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Times New Roman" w:cs="Times New Roman"/>
          <w:b w:val="0"/>
          <w:bCs w:val="0"/>
          <w:color w:val="auto"/>
          <w:sz w:val="24"/>
          <w:szCs w:val="24"/>
          <w:highlight w:val="none"/>
        </w:rPr>
      </w:pPr>
      <w:r>
        <w:rPr>
          <w:rFonts w:ascii="Times New Roman" w:hAnsi="Times New Roman" w:eastAsia="Times New Roman" w:cs="Times New Roman"/>
          <w:b w:val="0"/>
          <w:bCs w:val="0"/>
          <w:color w:val="auto"/>
          <w:sz w:val="24"/>
          <w:szCs w:val="24"/>
          <w:highlight w:val="none"/>
        </w:rPr>
        <w:t>本</w:t>
      </w:r>
      <w:r>
        <w:rPr>
          <w:rFonts w:hint="default" w:ascii="Times New Roman" w:hAnsi="Times New Roman" w:eastAsia="Times New Roman" w:cs="Times New Roman"/>
          <w:b w:val="0"/>
          <w:bCs w:val="0"/>
          <w:color w:val="auto"/>
          <w:sz w:val="24"/>
          <w:szCs w:val="24"/>
          <w:highlight w:val="none"/>
        </w:rPr>
        <w:t>项目撬装加油装置自带密闭卸油快速接头，设置密闭油气回收系统对加油站卸油和加油时挥发的油气（以非甲烷总烃表征）进行回收。</w:t>
      </w:r>
    </w:p>
    <w:p w14:paraId="0E47DD5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hint="default" w:ascii="Times New Roman" w:hAnsi="Times New Roman" w:eastAsia="Times New Roman" w:cs="Times New Roman"/>
          <w:b w:val="0"/>
          <w:bCs w:val="0"/>
          <w:color w:val="auto"/>
          <w:sz w:val="24"/>
          <w:szCs w:val="24"/>
          <w:highlight w:val="none"/>
        </w:rPr>
        <w:t>油气回收系统原</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理如下：</w:t>
      </w:r>
    </w:p>
    <w:p w14:paraId="719F5898">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b/>
          <w:bCs/>
          <w:color w:val="auto"/>
          <w:spacing w:val="0"/>
          <w:w w:val="100"/>
          <w:kern w:val="2"/>
          <w:position w:val="0"/>
          <w:sz w:val="24"/>
          <w:szCs w:val="24"/>
          <w:highlight w:val="none"/>
          <w:u w:val="none"/>
          <w:shd w:val="clear" w:color="auto" w:fill="auto"/>
          <w:lang w:val="en-US" w:eastAsia="zh-CN" w:bidi="zh-TW"/>
        </w:rPr>
        <w:t>一次油气回收阶段（即卸油油气回收系统）</w:t>
      </w:r>
      <w:r>
        <w:rPr>
          <w:rFonts w:hint="eastAsia" w:ascii="Times New Roman" w:hAnsi="Times New Roman" w:eastAsia="宋体" w:cs="Times New Roman"/>
          <w:b/>
          <w:bCs/>
          <w:color w:val="auto"/>
          <w:spacing w:val="0"/>
          <w:w w:val="100"/>
          <w:kern w:val="2"/>
          <w:position w:val="0"/>
          <w:sz w:val="24"/>
          <w:szCs w:val="24"/>
          <w:highlight w:val="none"/>
          <w:u w:val="none"/>
          <w:shd w:val="clear" w:color="auto" w:fill="auto"/>
          <w:lang w:val="en-US" w:eastAsia="zh-CN" w:bidi="zh-TW"/>
        </w:rPr>
        <w:t>：</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卸油油气回收系统是通过压力平衡原理，将在卸油过程中挥发的油气收集到油罐车内，运回储油库进行油气回收处理的过程。工作原理为在油罐车卸油过程中，油罐车内压力减小，柴油储罐内压力增加，柴油储罐内与油罐车内的压力差，使卸油过程中挥发的油气通过气管线回到油罐车内，达到油气收集目的。卸油过程罐车与油罐内油气气压基本平衡，气液等体积置换，卸油过程管道密闭，根据《加油站大气污染物排放标准（征求意见稿）编制说明》，卸油油气回收效率可达</w:t>
      </w: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9</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5%。</w:t>
      </w:r>
    </w:p>
    <w:p w14:paraId="0CD5EDD1">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hint="default" w:ascii="Times New Roman" w:hAnsi="Times New Roman" w:eastAsia="宋体" w:cs="Times New Roman"/>
          <w:b/>
          <w:bCs/>
          <w:color w:val="auto"/>
          <w:spacing w:val="0"/>
          <w:w w:val="100"/>
          <w:kern w:val="2"/>
          <w:position w:val="0"/>
          <w:sz w:val="24"/>
          <w:szCs w:val="24"/>
          <w:highlight w:val="none"/>
          <w:u w:val="none"/>
          <w:shd w:val="clear" w:color="auto" w:fill="auto"/>
          <w:lang w:val="en-US" w:eastAsia="zh-CN" w:bidi="zh-TW"/>
        </w:rPr>
        <w:t>加油油气回收系统（二次油气回收）</w:t>
      </w:r>
      <w:r>
        <w:rPr>
          <w:rFonts w:hint="eastAsia" w:ascii="Times New Roman" w:hAnsi="Times New Roman" w:eastAsia="宋体" w:cs="Times New Roman"/>
          <w:b/>
          <w:bCs/>
          <w:color w:val="auto"/>
          <w:spacing w:val="0"/>
          <w:w w:val="100"/>
          <w:kern w:val="2"/>
          <w:position w:val="0"/>
          <w:sz w:val="24"/>
          <w:szCs w:val="24"/>
          <w:highlight w:val="none"/>
          <w:u w:val="none"/>
          <w:shd w:val="clear" w:color="auto" w:fill="auto"/>
          <w:lang w:val="en-US" w:eastAsia="zh-CN" w:bidi="zh-TW"/>
        </w:rPr>
        <w:t>：</w:t>
      </w: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加油油气回收系统工作原理为在加油枪加油过程中，通过真空泵产生一定真空度，经过油气回收油枪和同轴皮管、油气回收管等油气回收设备对车辆油箱油气进行回收。加油油气回收系统回收的柴油回收至油罐内，加油油气经1：1的汽液比进行回收，回收后使油罐内平衡，多余油气经通气立管外排。根据《加油站大气污染物排放标准（征求意见稿）编制说明》，加油油气回收效率可达90%。</w:t>
      </w:r>
    </w:p>
    <w:p w14:paraId="7E30717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hint="eastAsia"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同时本项目在卸油过程和加油过程采取一系列控制措施能够有效减少油气无组织排放。</w:t>
      </w:r>
    </w:p>
    <w:p w14:paraId="3244C8EF">
      <w:pPr>
        <w:keepNext w:val="0"/>
        <w:keepLines w:val="0"/>
        <w:pageBreakBefore w:val="0"/>
        <w:widowControl/>
        <w:numPr>
          <w:ilvl w:val="0"/>
          <w:numId w:val="6"/>
        </w:numPr>
        <w:suppressLineNumbers w:val="0"/>
        <w:kinsoku/>
        <w:wordWrap/>
        <w:overflowPunct/>
        <w:topLinePunct w:val="0"/>
        <w:autoSpaceDE/>
        <w:autoSpaceDN/>
        <w:bidi w:val="0"/>
        <w:adjustRightInd/>
        <w:snapToGrid/>
        <w:spacing w:line="360" w:lineRule="auto"/>
        <w:ind w:left="-60" w:leftChars="0" w:firstLine="480" w:firstLineChars="0"/>
        <w:jc w:val="left"/>
        <w:textAlignment w:val="auto"/>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减少卸油过程中油气排放：卸油应采用浸没式卸油方式，卸油管出油口距离罐底50mm~100mm，进油管应采取防虹吸措施；</w:t>
      </w:r>
    </w:p>
    <w:p w14:paraId="532F9C42">
      <w:pPr>
        <w:keepNext w:val="0"/>
        <w:keepLines w:val="0"/>
        <w:pageBreakBefore w:val="0"/>
        <w:widowControl/>
        <w:numPr>
          <w:ilvl w:val="0"/>
          <w:numId w:val="6"/>
        </w:numPr>
        <w:suppressLineNumbers w:val="0"/>
        <w:kinsoku/>
        <w:wordWrap/>
        <w:overflowPunct/>
        <w:topLinePunct w:val="0"/>
        <w:autoSpaceDE/>
        <w:autoSpaceDN/>
        <w:bidi w:val="0"/>
        <w:adjustRightInd/>
        <w:snapToGrid/>
        <w:spacing w:line="360" w:lineRule="auto"/>
        <w:ind w:left="-60" w:leftChars="0" w:firstLine="480" w:firstLineChars="0"/>
        <w:jc w:val="left"/>
        <w:textAlignment w:val="auto"/>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卸油和油气回收接口应安装截流阀、密封式快速接头和帽盖；</w:t>
      </w:r>
    </w:p>
    <w:p w14:paraId="3ECE42C7">
      <w:pPr>
        <w:keepNext w:val="0"/>
        <w:keepLines w:val="0"/>
        <w:pageBreakBefore w:val="0"/>
        <w:widowControl/>
        <w:numPr>
          <w:ilvl w:val="0"/>
          <w:numId w:val="6"/>
        </w:numPr>
        <w:suppressLineNumbers w:val="0"/>
        <w:kinsoku/>
        <w:wordWrap/>
        <w:overflowPunct/>
        <w:topLinePunct w:val="0"/>
        <w:autoSpaceDE/>
        <w:autoSpaceDN/>
        <w:bidi w:val="0"/>
        <w:adjustRightInd/>
        <w:snapToGrid/>
        <w:spacing w:line="360" w:lineRule="auto"/>
        <w:ind w:left="-60" w:leftChars="0" w:firstLine="480" w:firstLineChars="0"/>
        <w:jc w:val="left"/>
        <w:textAlignment w:val="auto"/>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连接软管应采用密封式快速接头与卸油车连接，卸油后连接软管内不能存留残油；</w:t>
      </w:r>
    </w:p>
    <w:p w14:paraId="48A60F8E">
      <w:pPr>
        <w:keepNext w:val="0"/>
        <w:keepLines w:val="0"/>
        <w:pageBreakBefore w:val="0"/>
        <w:widowControl/>
        <w:numPr>
          <w:ilvl w:val="0"/>
          <w:numId w:val="6"/>
        </w:numPr>
        <w:suppressLineNumbers w:val="0"/>
        <w:kinsoku/>
        <w:wordWrap/>
        <w:overflowPunct/>
        <w:topLinePunct w:val="0"/>
        <w:autoSpaceDE/>
        <w:autoSpaceDN/>
        <w:bidi w:val="0"/>
        <w:adjustRightInd/>
        <w:snapToGrid/>
        <w:spacing w:line="360" w:lineRule="auto"/>
        <w:ind w:left="-60" w:leftChars="0" w:firstLine="480" w:firstLineChars="0"/>
        <w:jc w:val="left"/>
        <w:textAlignment w:val="auto"/>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t>所有油气管线排放口应按GB50156的要求设置压力真空阀；</w:t>
      </w:r>
    </w:p>
    <w:p w14:paraId="3B9919E5">
      <w:pPr>
        <w:keepNext w:val="0"/>
        <w:keepLines w:val="0"/>
        <w:pageBreakBefore w:val="0"/>
        <w:widowControl/>
        <w:numPr>
          <w:ilvl w:val="0"/>
          <w:numId w:val="6"/>
        </w:numPr>
        <w:suppressLineNumbers w:val="0"/>
        <w:kinsoku/>
        <w:wordWrap/>
        <w:overflowPunct/>
        <w:topLinePunct w:val="0"/>
        <w:autoSpaceDE/>
        <w:autoSpaceDN/>
        <w:bidi w:val="0"/>
        <w:adjustRightInd/>
        <w:snapToGrid/>
        <w:spacing w:line="360" w:lineRule="auto"/>
        <w:ind w:left="-60" w:leftChars="0" w:firstLine="480" w:firstLineChars="0"/>
        <w:jc w:val="left"/>
        <w:textAlignment w:val="auto"/>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ascii="Times New Roman" w:hAnsi="Times New Roman" w:eastAsia="Times New Roman" w:cs="Times New Roman"/>
          <w:b w:val="0"/>
          <w:bCs w:val="0"/>
          <w:color w:val="auto"/>
          <w:sz w:val="24"/>
          <w:szCs w:val="24"/>
          <w:highlight w:val="none"/>
        </w:rPr>
        <w:t>应</w:t>
      </w:r>
      <w:r>
        <w:rPr>
          <w:rFonts w:hint="default" w:ascii="Times New Roman" w:hAnsi="Times New Roman" w:eastAsia="Times New Roman" w:cs="Times New Roman"/>
          <w:b w:val="0"/>
          <w:bCs w:val="0"/>
          <w:color w:val="auto"/>
          <w:sz w:val="24"/>
          <w:szCs w:val="24"/>
          <w:highlight w:val="none"/>
        </w:rPr>
        <w:t>严格按规程操作和管理油气回收设施，定期检查、维护并记录备查；</w:t>
      </w:r>
    </w:p>
    <w:p w14:paraId="043F710B">
      <w:pPr>
        <w:keepNext w:val="0"/>
        <w:keepLines w:val="0"/>
        <w:pageBreakBefore w:val="0"/>
        <w:widowControl/>
        <w:numPr>
          <w:ilvl w:val="0"/>
          <w:numId w:val="6"/>
        </w:numPr>
        <w:suppressLineNumbers w:val="0"/>
        <w:kinsoku/>
        <w:wordWrap/>
        <w:overflowPunct/>
        <w:topLinePunct w:val="0"/>
        <w:autoSpaceDE/>
        <w:autoSpaceDN/>
        <w:bidi w:val="0"/>
        <w:adjustRightInd/>
        <w:snapToGrid/>
        <w:spacing w:line="360" w:lineRule="auto"/>
        <w:ind w:left="-60" w:leftChars="0" w:firstLine="480" w:firstLineChars="0"/>
        <w:jc w:val="left"/>
        <w:textAlignment w:val="auto"/>
        <w:rPr>
          <w:rFonts w:hint="default" w:ascii="Times New Roman" w:hAnsi="Times New Roman" w:eastAsia="宋体" w:cs="Times New Roman"/>
          <w:color w:val="auto"/>
          <w:spacing w:val="0"/>
          <w:w w:val="100"/>
          <w:kern w:val="2"/>
          <w:position w:val="0"/>
          <w:sz w:val="24"/>
          <w:szCs w:val="24"/>
          <w:highlight w:val="none"/>
          <w:u w:val="none"/>
          <w:shd w:val="clear" w:color="auto" w:fill="auto"/>
          <w:lang w:val="en-US" w:eastAsia="zh-CN" w:bidi="zh-TW"/>
        </w:rPr>
      </w:pPr>
      <w:r>
        <w:rPr>
          <w:rFonts w:hint="default" w:ascii="Times New Roman" w:hAnsi="Times New Roman" w:eastAsia="Times New Roman" w:cs="Times New Roman"/>
          <w:b w:val="0"/>
          <w:bCs w:val="0"/>
          <w:color w:val="auto"/>
          <w:sz w:val="24"/>
          <w:szCs w:val="24"/>
          <w:highlight w:val="none"/>
        </w:rPr>
        <w:t>当车辆油箱面达到自动停止加油高度时，不应再向油箱内加油。同时加强运营期间的管理工作以及工作人员的操作培训，以减少跑冒滴漏的损失。</w:t>
      </w:r>
    </w:p>
    <w:p w14:paraId="72A9D721">
      <w:pPr>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对照</w:t>
      </w:r>
      <w:r>
        <w:rPr>
          <w:rFonts w:hint="default" w:ascii="Times New Roman" w:hAnsi="Times New Roman" w:eastAsia="宋体" w:cs="Times New Roman"/>
          <w:color w:val="auto"/>
          <w:sz w:val="24"/>
          <w:szCs w:val="24"/>
          <w:highlight w:val="none"/>
          <w:lang w:val="en-US" w:eastAsia="zh-CN"/>
        </w:rPr>
        <w:t>《排污许可证申请与核发技术规范储油库、加油站》（HJ1118-2020），</w:t>
      </w:r>
      <w:r>
        <w:rPr>
          <w:rFonts w:hint="eastAsia" w:ascii="Times New Roman" w:hAnsi="Times New Roman" w:eastAsia="宋体" w:cs="Times New Roman"/>
          <w:color w:val="auto"/>
          <w:sz w:val="24"/>
          <w:szCs w:val="24"/>
          <w:highlight w:val="none"/>
          <w:lang w:val="en-US" w:eastAsia="zh-CN"/>
        </w:rPr>
        <w:t>本项目加油站所采取油气回收措施属于可行技术。</w:t>
      </w:r>
    </w:p>
    <w:p w14:paraId="6BE3C85E">
      <w:pPr>
        <w:widowControl w:val="0"/>
        <w:bidi w:val="0"/>
        <w:adjustRightInd/>
        <w:snapToGrid/>
        <w:spacing w:line="360" w:lineRule="auto"/>
        <w:ind w:left="0" w:firstLine="0" w:firstLineChars="0"/>
        <w:jc w:val="center"/>
        <w:outlineLvl w:val="9"/>
        <w:rPr>
          <w:rFonts w:hint="eastAsia" w:ascii="Times New Roman" w:hAnsi="Times New Roman" w:eastAsia="宋体" w:cs="Times New Roman"/>
          <w:b/>
          <w:bCs/>
          <w:color w:val="auto"/>
          <w:kern w:val="2"/>
          <w:sz w:val="21"/>
          <w:szCs w:val="24"/>
          <w:highlight w:val="none"/>
          <w:lang w:val="en-US" w:eastAsia="zh-CN" w:bidi="ar-SA"/>
        </w:rPr>
      </w:pPr>
      <w:r>
        <w:rPr>
          <w:rFonts w:hint="eastAsia" w:ascii="Times New Roman" w:hAnsi="Times New Roman" w:eastAsia="宋体" w:cs="Times New Roman"/>
          <w:b/>
          <w:bCs/>
          <w:color w:val="auto"/>
          <w:kern w:val="2"/>
          <w:sz w:val="21"/>
          <w:szCs w:val="24"/>
          <w:highlight w:val="none"/>
          <w:lang w:val="en-US" w:eastAsia="zh-CN" w:bidi="ar-SA"/>
        </w:rPr>
        <w:t>表6.</w:t>
      </w:r>
      <w:r>
        <w:rPr>
          <w:rFonts w:hint="eastAsia" w:cs="Times New Roman"/>
          <w:b/>
          <w:bCs/>
          <w:color w:val="auto"/>
          <w:kern w:val="2"/>
          <w:sz w:val="21"/>
          <w:szCs w:val="24"/>
          <w:highlight w:val="none"/>
          <w:lang w:val="en-US" w:eastAsia="zh-CN" w:bidi="ar-SA"/>
        </w:rPr>
        <w:t>2</w:t>
      </w:r>
      <w:r>
        <w:rPr>
          <w:rFonts w:hint="eastAsia" w:ascii="Times New Roman" w:hAnsi="Times New Roman" w:eastAsia="宋体" w:cs="Times New Roman"/>
          <w:b/>
          <w:bCs/>
          <w:color w:val="auto"/>
          <w:kern w:val="2"/>
          <w:sz w:val="21"/>
          <w:szCs w:val="24"/>
          <w:highlight w:val="none"/>
          <w:lang w:val="en-US" w:eastAsia="zh-CN" w:bidi="ar-SA"/>
        </w:rPr>
        <w:t>-1</w:t>
      </w:r>
      <w:r>
        <w:rPr>
          <w:rFonts w:hint="eastAsia" w:cs="Times New Roman"/>
          <w:b/>
          <w:bCs/>
          <w:color w:val="auto"/>
          <w:kern w:val="2"/>
          <w:sz w:val="21"/>
          <w:szCs w:val="24"/>
          <w:highlight w:val="none"/>
          <w:lang w:val="en-US" w:eastAsia="zh-CN" w:bidi="ar-SA"/>
        </w:rPr>
        <w:t xml:space="preserve">  </w:t>
      </w:r>
      <w:r>
        <w:rPr>
          <w:rFonts w:hint="eastAsia" w:ascii="Times New Roman" w:hAnsi="Times New Roman" w:eastAsia="宋体" w:cs="Times New Roman"/>
          <w:b/>
          <w:bCs/>
          <w:color w:val="auto"/>
          <w:kern w:val="2"/>
          <w:sz w:val="21"/>
          <w:szCs w:val="24"/>
          <w:highlight w:val="none"/>
          <w:lang w:val="en-US" w:eastAsia="zh-CN" w:bidi="ar-SA"/>
        </w:rPr>
        <w:t>加油站废气污染防治措施一览表</w:t>
      </w:r>
    </w:p>
    <w:tbl>
      <w:tblPr>
        <w:tblStyle w:val="49"/>
        <w:tblW w:w="87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5"/>
        <w:gridCol w:w="1804"/>
        <w:gridCol w:w="3077"/>
        <w:gridCol w:w="2789"/>
      </w:tblGrid>
      <w:tr w14:paraId="2BCF2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noWrap w:val="0"/>
            <w:tcMar>
              <w:left w:w="0" w:type="dxa"/>
              <w:right w:w="0" w:type="dxa"/>
            </w:tcMar>
            <w:vAlign w:val="center"/>
          </w:tcPr>
          <w:p w14:paraId="103674F8">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eastAsia" w:ascii="Times New Roman" w:hAnsi="Times New Roman" w:eastAsia="宋体" w:cs="Times New Roman"/>
                <w:b/>
                <w:bCs w:val="0"/>
                <w:color w:val="auto"/>
                <w:kern w:val="2"/>
                <w:sz w:val="21"/>
                <w:szCs w:val="18"/>
                <w:highlight w:val="none"/>
                <w:lang w:val="en-US" w:eastAsia="zh-CN" w:bidi="ar-SA"/>
              </w:rPr>
              <w:t>产污环节</w:t>
            </w:r>
          </w:p>
        </w:tc>
        <w:tc>
          <w:tcPr>
            <w:tcW w:w="1804" w:type="dxa"/>
            <w:noWrap w:val="0"/>
            <w:tcMar>
              <w:left w:w="0" w:type="dxa"/>
              <w:right w:w="0" w:type="dxa"/>
            </w:tcMar>
            <w:vAlign w:val="center"/>
          </w:tcPr>
          <w:p w14:paraId="51912489">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eastAsia" w:ascii="Times New Roman" w:hAnsi="Times New Roman" w:eastAsia="宋体" w:cs="Times New Roman"/>
                <w:b/>
                <w:bCs w:val="0"/>
                <w:color w:val="auto"/>
                <w:kern w:val="2"/>
                <w:sz w:val="21"/>
                <w:szCs w:val="18"/>
                <w:highlight w:val="none"/>
                <w:lang w:val="en-US" w:eastAsia="zh-CN" w:bidi="ar-SA"/>
              </w:rPr>
              <w:t>污染物项目</w:t>
            </w:r>
          </w:p>
        </w:tc>
        <w:tc>
          <w:tcPr>
            <w:tcW w:w="3077" w:type="dxa"/>
            <w:noWrap w:val="0"/>
            <w:tcMar>
              <w:left w:w="0" w:type="dxa"/>
              <w:right w:w="0" w:type="dxa"/>
            </w:tcMar>
            <w:vAlign w:val="center"/>
          </w:tcPr>
          <w:p w14:paraId="7ABE04CF">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default" w:ascii="Times New Roman" w:hAnsi="Times New Roman" w:eastAsia="宋体" w:cs="Times New Roman"/>
                <w:b/>
                <w:bCs w:val="0"/>
                <w:color w:val="auto"/>
                <w:kern w:val="2"/>
                <w:sz w:val="21"/>
                <w:szCs w:val="18"/>
                <w:highlight w:val="none"/>
                <w:lang w:val="en-US" w:eastAsia="zh-CN" w:bidi="ar-SA"/>
              </w:rPr>
              <w:t>环保措施</w:t>
            </w:r>
          </w:p>
        </w:tc>
        <w:tc>
          <w:tcPr>
            <w:tcW w:w="2789" w:type="dxa"/>
            <w:noWrap w:val="0"/>
            <w:tcMar>
              <w:left w:w="0" w:type="dxa"/>
              <w:right w:w="0" w:type="dxa"/>
            </w:tcMar>
            <w:vAlign w:val="center"/>
          </w:tcPr>
          <w:p w14:paraId="5DB40CF8">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
                <w:bCs w:val="0"/>
                <w:color w:val="auto"/>
                <w:kern w:val="2"/>
                <w:sz w:val="21"/>
                <w:szCs w:val="18"/>
                <w:highlight w:val="none"/>
                <w:lang w:val="en-US" w:eastAsia="zh-CN" w:bidi="ar-SA"/>
              </w:rPr>
            </w:pPr>
            <w:r>
              <w:rPr>
                <w:rFonts w:hint="eastAsia" w:ascii="Times New Roman" w:hAnsi="Times New Roman" w:eastAsia="宋体" w:cs="Times New Roman"/>
                <w:b/>
                <w:bCs w:val="0"/>
                <w:color w:val="auto"/>
                <w:kern w:val="2"/>
                <w:sz w:val="21"/>
                <w:szCs w:val="18"/>
                <w:highlight w:val="none"/>
                <w:lang w:val="en-US" w:eastAsia="zh-CN" w:bidi="ar-SA"/>
              </w:rPr>
              <w:t>是否属于可行技术</w:t>
            </w:r>
          </w:p>
        </w:tc>
      </w:tr>
      <w:tr w14:paraId="53AC1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noWrap w:val="0"/>
            <w:tcMar>
              <w:left w:w="0" w:type="dxa"/>
              <w:right w:w="0" w:type="dxa"/>
            </w:tcMar>
            <w:vAlign w:val="center"/>
          </w:tcPr>
          <w:p w14:paraId="2CFF0349">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汽油储油</w:t>
            </w:r>
          </w:p>
        </w:tc>
        <w:tc>
          <w:tcPr>
            <w:tcW w:w="1804" w:type="dxa"/>
            <w:noWrap w:val="0"/>
            <w:tcMar>
              <w:left w:w="0" w:type="dxa"/>
              <w:right w:w="0" w:type="dxa"/>
            </w:tcMar>
            <w:vAlign w:val="center"/>
          </w:tcPr>
          <w:p w14:paraId="5DE827BE">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挥发性有机物</w:t>
            </w:r>
          </w:p>
        </w:tc>
        <w:tc>
          <w:tcPr>
            <w:tcW w:w="3077" w:type="dxa"/>
            <w:noWrap w:val="0"/>
            <w:tcMar>
              <w:left w:w="0" w:type="dxa"/>
              <w:right w:w="0" w:type="dxa"/>
            </w:tcMar>
            <w:vAlign w:val="center"/>
          </w:tcPr>
          <w:p w14:paraId="5CBD27D8">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油气处理装置</w:t>
            </w:r>
          </w:p>
        </w:tc>
        <w:tc>
          <w:tcPr>
            <w:tcW w:w="2789" w:type="dxa"/>
            <w:noWrap w:val="0"/>
            <w:tcMar>
              <w:left w:w="0" w:type="dxa"/>
              <w:right w:w="0" w:type="dxa"/>
            </w:tcMar>
            <w:vAlign w:val="center"/>
          </w:tcPr>
          <w:p w14:paraId="63D0ECB0">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是</w:t>
            </w:r>
          </w:p>
        </w:tc>
      </w:tr>
      <w:tr w14:paraId="1977C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noWrap w:val="0"/>
            <w:tcMar>
              <w:left w:w="0" w:type="dxa"/>
              <w:right w:w="0" w:type="dxa"/>
            </w:tcMar>
            <w:vAlign w:val="center"/>
          </w:tcPr>
          <w:p w14:paraId="4149CFE4">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汽油卸油</w:t>
            </w:r>
          </w:p>
        </w:tc>
        <w:tc>
          <w:tcPr>
            <w:tcW w:w="1804" w:type="dxa"/>
            <w:noWrap w:val="0"/>
            <w:tcMar>
              <w:left w:w="0" w:type="dxa"/>
              <w:right w:w="0" w:type="dxa"/>
            </w:tcMar>
            <w:vAlign w:val="center"/>
          </w:tcPr>
          <w:p w14:paraId="70C45A85">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挥发性有机物</w:t>
            </w:r>
          </w:p>
        </w:tc>
        <w:tc>
          <w:tcPr>
            <w:tcW w:w="3077" w:type="dxa"/>
            <w:noWrap w:val="0"/>
            <w:tcMar>
              <w:left w:w="0" w:type="dxa"/>
              <w:right w:w="0" w:type="dxa"/>
            </w:tcMar>
            <w:vAlign w:val="center"/>
          </w:tcPr>
          <w:p w14:paraId="5ACC1885">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卸油油气回收系统</w:t>
            </w:r>
          </w:p>
        </w:tc>
        <w:tc>
          <w:tcPr>
            <w:tcW w:w="2789" w:type="dxa"/>
            <w:noWrap w:val="0"/>
            <w:tcMar>
              <w:left w:w="0" w:type="dxa"/>
              <w:right w:w="0" w:type="dxa"/>
            </w:tcMar>
            <w:vAlign w:val="center"/>
          </w:tcPr>
          <w:p w14:paraId="3ED87255">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是</w:t>
            </w:r>
          </w:p>
        </w:tc>
      </w:tr>
      <w:tr w14:paraId="1A3A1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35" w:type="dxa"/>
            <w:noWrap w:val="0"/>
            <w:tcMar>
              <w:left w:w="0" w:type="dxa"/>
              <w:right w:w="0" w:type="dxa"/>
            </w:tcMar>
            <w:vAlign w:val="center"/>
          </w:tcPr>
          <w:p w14:paraId="31A2178A">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汽油加油</w:t>
            </w:r>
          </w:p>
        </w:tc>
        <w:tc>
          <w:tcPr>
            <w:tcW w:w="1804" w:type="dxa"/>
            <w:noWrap w:val="0"/>
            <w:tcMar>
              <w:left w:w="0" w:type="dxa"/>
              <w:right w:w="0" w:type="dxa"/>
            </w:tcMar>
            <w:vAlign w:val="center"/>
          </w:tcPr>
          <w:p w14:paraId="2CAE97E4">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挥发性有机物</w:t>
            </w:r>
          </w:p>
        </w:tc>
        <w:tc>
          <w:tcPr>
            <w:tcW w:w="3077" w:type="dxa"/>
            <w:noWrap w:val="0"/>
            <w:tcMar>
              <w:left w:w="0" w:type="dxa"/>
              <w:right w:w="0" w:type="dxa"/>
            </w:tcMar>
            <w:vAlign w:val="center"/>
          </w:tcPr>
          <w:p w14:paraId="76067EAB">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加油油气回收系统</w:t>
            </w:r>
          </w:p>
        </w:tc>
        <w:tc>
          <w:tcPr>
            <w:tcW w:w="2789" w:type="dxa"/>
            <w:noWrap w:val="0"/>
            <w:tcMar>
              <w:left w:w="0" w:type="dxa"/>
              <w:right w:w="0" w:type="dxa"/>
            </w:tcMar>
            <w:vAlign w:val="center"/>
          </w:tcPr>
          <w:p w14:paraId="197E009A">
            <w:pPr>
              <w:widowControl w:val="0"/>
              <w:bidi w:val="0"/>
              <w:adjustRightInd w:val="0"/>
              <w:snapToGrid w:val="0"/>
              <w:spacing w:beforeLines="0" w:afterLines="0" w:line="240" w:lineRule="auto"/>
              <w:ind w:firstLine="0" w:firstLineChars="0"/>
              <w:jc w:val="center"/>
              <w:rPr>
                <w:rFonts w:hint="default" w:ascii="Times New Roman" w:hAnsi="Times New Roman" w:eastAsia="宋体" w:cs="Times New Roman"/>
                <w:bCs/>
                <w:color w:val="auto"/>
                <w:kern w:val="2"/>
                <w:sz w:val="21"/>
                <w:szCs w:val="18"/>
                <w:highlight w:val="none"/>
                <w:lang w:val="en-US" w:eastAsia="zh-CN" w:bidi="ar-SA"/>
              </w:rPr>
            </w:pPr>
            <w:r>
              <w:rPr>
                <w:rFonts w:hint="eastAsia" w:ascii="Times New Roman" w:hAnsi="Times New Roman" w:eastAsia="宋体" w:cs="Times New Roman"/>
                <w:bCs/>
                <w:color w:val="auto"/>
                <w:kern w:val="2"/>
                <w:sz w:val="21"/>
                <w:szCs w:val="18"/>
                <w:highlight w:val="none"/>
                <w:lang w:val="en-US" w:eastAsia="zh-CN" w:bidi="ar-SA"/>
              </w:rPr>
              <w:t>是</w:t>
            </w:r>
          </w:p>
        </w:tc>
      </w:tr>
    </w:tbl>
    <w:p w14:paraId="686629C3">
      <w:pPr>
        <w:keepNext w:val="0"/>
        <w:keepLines w:val="0"/>
        <w:pageBreakBefore w:val="0"/>
        <w:widowControl w:val="0"/>
        <w:kinsoku/>
        <w:wordWrap/>
        <w:overflowPunct w:val="0"/>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2"/>
          <w:sz w:val="24"/>
          <w:szCs w:val="20"/>
          <w:highlight w:val="none"/>
          <w:lang w:val="en-US" w:eastAsia="zh-CN" w:bidi="ar-SA"/>
        </w:rPr>
      </w:pPr>
      <w:r>
        <w:rPr>
          <w:rFonts w:hint="default" w:ascii="Times New Roman" w:hAnsi="Times New Roman" w:eastAsia="宋体" w:cs="Times New Roman"/>
          <w:b/>
          <w:bCs/>
          <w:color w:val="auto"/>
          <w:kern w:val="2"/>
          <w:sz w:val="24"/>
          <w:szCs w:val="20"/>
          <w:highlight w:val="none"/>
          <w:lang w:val="en-US" w:eastAsia="zh-CN" w:bidi="ar-SA"/>
        </w:rPr>
        <w:t>（</w:t>
      </w:r>
      <w:r>
        <w:rPr>
          <w:rFonts w:hint="eastAsia" w:ascii="Times New Roman" w:hAnsi="Times New Roman" w:eastAsia="宋体" w:cs="Times New Roman"/>
          <w:b/>
          <w:bCs/>
          <w:color w:val="auto"/>
          <w:kern w:val="2"/>
          <w:sz w:val="24"/>
          <w:szCs w:val="20"/>
          <w:highlight w:val="none"/>
          <w:lang w:val="en-US" w:eastAsia="zh-CN" w:bidi="ar-SA"/>
        </w:rPr>
        <w:t>3</w:t>
      </w:r>
      <w:r>
        <w:rPr>
          <w:rFonts w:hint="default" w:ascii="Times New Roman" w:hAnsi="Times New Roman" w:eastAsia="宋体" w:cs="Times New Roman"/>
          <w:b/>
          <w:bCs/>
          <w:color w:val="auto"/>
          <w:kern w:val="2"/>
          <w:sz w:val="24"/>
          <w:szCs w:val="20"/>
          <w:highlight w:val="none"/>
          <w:lang w:val="en-US" w:eastAsia="zh-CN" w:bidi="ar-SA"/>
        </w:rPr>
        <w:t>）</w:t>
      </w:r>
      <w:r>
        <w:rPr>
          <w:rFonts w:hint="eastAsia" w:ascii="Times New Roman" w:hAnsi="Times New Roman" w:eastAsia="宋体" w:cs="Times New Roman"/>
          <w:b/>
          <w:bCs/>
          <w:color w:val="auto"/>
          <w:kern w:val="2"/>
          <w:sz w:val="24"/>
          <w:szCs w:val="20"/>
          <w:highlight w:val="none"/>
          <w:lang w:val="en-US" w:eastAsia="zh-CN" w:bidi="ar-SA"/>
        </w:rPr>
        <w:t>其他无组织废气</w:t>
      </w:r>
    </w:p>
    <w:p w14:paraId="04CC212A">
      <w:pPr>
        <w:widowControl w:val="0"/>
        <w:autoSpaceDE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sz w:val="24"/>
          <w:szCs w:val="22"/>
          <w:highlight w:val="none"/>
          <w:lang w:val="en-US" w:eastAsia="zh-CN"/>
        </w:rPr>
        <w:t>本项目脱盐水除氧产生除氧废气、制氢装置无组织排放的污染物为H</w:t>
      </w:r>
      <w:r>
        <w:rPr>
          <w:rFonts w:hint="eastAsia" w:ascii="Times New Roman" w:hAnsi="Times New Roman" w:eastAsia="宋体" w:cs="Times New Roman"/>
          <w:color w:val="auto"/>
          <w:sz w:val="24"/>
          <w:szCs w:val="22"/>
          <w:highlight w:val="none"/>
          <w:vertAlign w:val="subscript"/>
          <w:lang w:val="en-US" w:eastAsia="zh-CN"/>
        </w:rPr>
        <w:t>2</w:t>
      </w:r>
      <w:r>
        <w:rPr>
          <w:rFonts w:hint="eastAsia" w:ascii="Times New Roman" w:hAnsi="Times New Roman" w:eastAsia="宋体" w:cs="Times New Roman"/>
          <w:color w:val="auto"/>
          <w:sz w:val="24"/>
          <w:szCs w:val="22"/>
          <w:highlight w:val="none"/>
          <w:lang w:val="en-US" w:eastAsia="zh-CN"/>
        </w:rPr>
        <w:t>S、非甲烷总烃、甲烷、一氧化碳、H</w:t>
      </w:r>
      <w:r>
        <w:rPr>
          <w:rFonts w:hint="eastAsia" w:ascii="Times New Roman" w:hAnsi="Times New Roman" w:eastAsia="宋体" w:cs="Times New Roman"/>
          <w:color w:val="auto"/>
          <w:sz w:val="24"/>
          <w:szCs w:val="22"/>
          <w:highlight w:val="none"/>
          <w:vertAlign w:val="subscript"/>
          <w:lang w:val="en-US" w:eastAsia="zh-CN"/>
        </w:rPr>
        <w:t>2</w:t>
      </w:r>
      <w:r>
        <w:rPr>
          <w:rFonts w:hint="eastAsia" w:ascii="Times New Roman" w:hAnsi="Times New Roman" w:eastAsia="宋体" w:cs="Times New Roman"/>
          <w:color w:val="auto"/>
          <w:sz w:val="24"/>
          <w:szCs w:val="22"/>
          <w:highlight w:val="none"/>
          <w:lang w:val="en-US" w:eastAsia="zh-CN"/>
        </w:rPr>
        <w:t>，这些无组织废气是安全阀放空的时候产生的，来自原料天然气，排放是瞬时的。对环境及工作人员影响较小。由以上分析可知，本项目排放的污染物可通过大气迅速扩散，对周围环境影响较小。</w:t>
      </w:r>
    </w:p>
    <w:p w14:paraId="4FA0BCF8">
      <w:pPr>
        <w:pStyle w:val="4"/>
        <w:keepNext w:val="0"/>
        <w:keepLines w:val="0"/>
        <w:pageBreakBefore w:val="0"/>
        <w:widowControl w:val="0"/>
        <w:kinsoku/>
        <w:wordWrap/>
        <w:overflowPunct/>
        <w:topLinePunct w:val="0"/>
        <w:autoSpaceDE/>
        <w:autoSpaceDN/>
        <w:bidi w:val="0"/>
        <w:adjustRightInd/>
        <w:snapToGrid/>
        <w:spacing w:after="0" w:afterLines="0" w:line="360" w:lineRule="auto"/>
        <w:textAlignment w:val="auto"/>
        <w:rPr>
          <w:rFonts w:hint="default" w:ascii="Times New Roman" w:hAnsi="Times New Roman" w:eastAsia="宋体" w:cs="Times New Roman"/>
          <w:b/>
          <w:color w:val="auto"/>
          <w:highlight w:val="none"/>
          <w:lang w:val="en-US" w:eastAsia="zh-CN"/>
        </w:rPr>
      </w:pPr>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2</w:t>
      </w:r>
      <w:r>
        <w:rPr>
          <w:rFonts w:hint="default" w:ascii="Times New Roman" w:hAnsi="Times New Roman" w:eastAsia="宋体"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2非正常情况下废气治理措施可行性分析</w:t>
      </w:r>
    </w:p>
    <w:p w14:paraId="179C8280">
      <w:pPr>
        <w:widowControl w:val="0"/>
        <w:autoSpaceDE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rPr>
        <w:t>项目生产运行阶段的开、停车、检修、操作不正常或设备故障等非正常工况下，各装置或单元产生的可燃气体不直接放空，采取送应急焚烧装置燃烧处理后排放，可有效控制项目非正常情况下的可燃气体排放。</w:t>
      </w:r>
    </w:p>
    <w:bookmarkEnd w:id="510"/>
    <w:bookmarkEnd w:id="511"/>
    <w:bookmarkEnd w:id="512"/>
    <w:bookmarkEnd w:id="513"/>
    <w:bookmarkEnd w:id="514"/>
    <w:p w14:paraId="447F1143">
      <w:pPr>
        <w:pStyle w:val="218"/>
        <w:spacing w:before="62" w:after="156"/>
        <w:rPr>
          <w:color w:val="auto"/>
          <w:highlight w:val="none"/>
        </w:rPr>
      </w:pPr>
      <w:bookmarkStart w:id="515" w:name="_Toc19213"/>
      <w:bookmarkStart w:id="516" w:name="_Toc152922678"/>
      <w:bookmarkStart w:id="517" w:name="_Toc152922084"/>
      <w:r>
        <w:rPr>
          <w:color w:val="auto"/>
          <w:highlight w:val="none"/>
        </w:rPr>
        <w:t>6.</w:t>
      </w:r>
      <w:r>
        <w:rPr>
          <w:rFonts w:hint="eastAsia"/>
          <w:color w:val="auto"/>
          <w:highlight w:val="none"/>
          <w:lang w:val="en-US" w:eastAsia="zh-CN"/>
        </w:rPr>
        <w:t>3</w:t>
      </w:r>
      <w:r>
        <w:rPr>
          <w:color w:val="auto"/>
          <w:highlight w:val="none"/>
        </w:rPr>
        <w:t>水污染防治措施及可行性分析</w:t>
      </w:r>
      <w:bookmarkEnd w:id="515"/>
      <w:bookmarkEnd w:id="516"/>
      <w:bookmarkEnd w:id="517"/>
    </w:p>
    <w:p w14:paraId="0154FD8C">
      <w:pPr>
        <w:pStyle w:val="4"/>
        <w:spacing w:after="156"/>
        <w:rPr>
          <w:color w:val="auto"/>
          <w:highlight w:val="none"/>
        </w:rPr>
      </w:pPr>
      <w:bookmarkStart w:id="518" w:name="_Toc152923360"/>
      <w:bookmarkStart w:id="519" w:name="_Toc117150276"/>
      <w:bookmarkStart w:id="520" w:name="_Toc152922085"/>
      <w:bookmarkStart w:id="521" w:name="_Toc152921720"/>
      <w:bookmarkStart w:id="522" w:name="_Toc152922679"/>
      <w:r>
        <w:rPr>
          <w:color w:val="auto"/>
          <w:highlight w:val="none"/>
        </w:rPr>
        <w:t>6.</w:t>
      </w:r>
      <w:r>
        <w:rPr>
          <w:rFonts w:hint="eastAsia"/>
          <w:color w:val="auto"/>
          <w:highlight w:val="none"/>
          <w:lang w:val="en-US" w:eastAsia="zh-CN"/>
        </w:rPr>
        <w:t>3</w:t>
      </w:r>
      <w:r>
        <w:rPr>
          <w:color w:val="auto"/>
          <w:highlight w:val="none"/>
        </w:rPr>
        <w:t>.1废水污染治理措施概述</w:t>
      </w:r>
      <w:bookmarkEnd w:id="518"/>
      <w:bookmarkEnd w:id="519"/>
      <w:bookmarkEnd w:id="520"/>
      <w:bookmarkEnd w:id="521"/>
      <w:bookmarkEnd w:id="522"/>
    </w:p>
    <w:p w14:paraId="2E4268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18"/>
          <w:sz w:val="24"/>
          <w:szCs w:val="22"/>
          <w:highlight w:val="none"/>
          <w:lang w:val="en-US" w:eastAsia="zh-CN" w:bidi="ar-SA"/>
        </w:rPr>
      </w:pPr>
      <w:r>
        <w:rPr>
          <w:rFonts w:hint="default" w:ascii="Times New Roman" w:hAnsi="Times New Roman" w:eastAsia="宋体" w:cs="Times New Roman"/>
          <w:color w:val="auto"/>
          <w:spacing w:val="0"/>
          <w:kern w:val="18"/>
          <w:sz w:val="24"/>
          <w:szCs w:val="22"/>
          <w:highlight w:val="none"/>
          <w:lang w:val="en-US" w:eastAsia="zh-CN" w:bidi="ar-SA"/>
        </w:rPr>
        <w:t>本项目运营期外排废水为</w:t>
      </w:r>
      <w:r>
        <w:rPr>
          <w:rFonts w:hint="eastAsia" w:ascii="Times New Roman" w:hAnsi="Times New Roman" w:eastAsia="宋体" w:cs="Times New Roman"/>
          <w:color w:val="auto"/>
          <w:spacing w:val="0"/>
          <w:kern w:val="18"/>
          <w:sz w:val="24"/>
          <w:szCs w:val="22"/>
          <w:highlight w:val="none"/>
          <w:lang w:val="en-US" w:eastAsia="zh-CN" w:bidi="ar-SA"/>
        </w:rPr>
        <w:t>主要</w:t>
      </w:r>
      <w:r>
        <w:rPr>
          <w:rFonts w:hint="default" w:ascii="Times New Roman" w:hAnsi="Times New Roman" w:eastAsia="宋体" w:cs="Times New Roman"/>
          <w:color w:val="auto"/>
          <w:spacing w:val="0"/>
          <w:kern w:val="2"/>
          <w:sz w:val="24"/>
          <w:szCs w:val="22"/>
          <w:highlight w:val="none"/>
          <w:lang w:val="en-US" w:eastAsia="zh-CN" w:bidi="ar-SA"/>
        </w:rPr>
        <w:t>生活污水</w:t>
      </w:r>
      <w:r>
        <w:rPr>
          <w:rFonts w:hint="eastAsia" w:ascii="Times New Roman" w:hAnsi="Times New Roman" w:eastAsia="宋体" w:cs="Times New Roman"/>
          <w:color w:val="auto"/>
          <w:spacing w:val="0"/>
          <w:kern w:val="2"/>
          <w:sz w:val="24"/>
          <w:szCs w:val="22"/>
          <w:highlight w:val="none"/>
          <w:lang w:val="en-US" w:eastAsia="zh-CN" w:bidi="ar-SA"/>
        </w:rPr>
        <w:t>、保洁废水及脱盐水制备产生浓水、反冲洗废水、洗车废水等</w:t>
      </w:r>
      <w:r>
        <w:rPr>
          <w:rFonts w:hint="default" w:ascii="Times New Roman" w:hAnsi="Times New Roman" w:eastAsia="宋体" w:cs="Times New Roman"/>
          <w:color w:val="auto"/>
          <w:spacing w:val="0"/>
          <w:kern w:val="2"/>
          <w:sz w:val="24"/>
          <w:szCs w:val="22"/>
          <w:highlight w:val="none"/>
          <w:lang w:val="en-US" w:eastAsia="zh-CN" w:bidi="ar-SA"/>
        </w:rPr>
        <w:t>，主要污染物COD、BOD</w:t>
      </w:r>
      <w:r>
        <w:rPr>
          <w:rFonts w:hint="default" w:ascii="Times New Roman" w:hAnsi="Times New Roman" w:eastAsia="宋体" w:cs="Times New Roman"/>
          <w:color w:val="auto"/>
          <w:spacing w:val="0"/>
          <w:kern w:val="2"/>
          <w:sz w:val="24"/>
          <w:szCs w:val="22"/>
          <w:highlight w:val="none"/>
          <w:vertAlign w:val="subscript"/>
          <w:lang w:val="en-US" w:eastAsia="zh-CN" w:bidi="ar-SA"/>
        </w:rPr>
        <w:t>5</w:t>
      </w:r>
      <w:r>
        <w:rPr>
          <w:rFonts w:hint="default" w:ascii="Times New Roman" w:hAnsi="Times New Roman" w:eastAsia="宋体" w:cs="Times New Roman"/>
          <w:color w:val="auto"/>
          <w:spacing w:val="0"/>
          <w:kern w:val="2"/>
          <w:sz w:val="24"/>
          <w:szCs w:val="22"/>
          <w:highlight w:val="none"/>
          <w:lang w:val="en-US" w:eastAsia="zh-CN" w:bidi="ar-SA"/>
        </w:rPr>
        <w:t>、SS、氨氮</w:t>
      </w:r>
      <w:r>
        <w:rPr>
          <w:rFonts w:hint="eastAsia" w:ascii="Times New Roman" w:hAnsi="Times New Roman" w:eastAsia="宋体" w:cs="Times New Roman"/>
          <w:color w:val="auto"/>
          <w:spacing w:val="0"/>
          <w:kern w:val="2"/>
          <w:sz w:val="24"/>
          <w:szCs w:val="22"/>
          <w:highlight w:val="none"/>
          <w:lang w:val="en-US" w:eastAsia="zh-CN" w:bidi="ar-SA"/>
        </w:rPr>
        <w:t>、总氮、总磷、LAS、石油类</w:t>
      </w:r>
      <w:r>
        <w:rPr>
          <w:rFonts w:hint="default" w:ascii="Times New Roman" w:hAnsi="Times New Roman" w:eastAsia="宋体" w:cs="Times New Roman"/>
          <w:color w:val="auto"/>
          <w:spacing w:val="0"/>
          <w:kern w:val="2"/>
          <w:sz w:val="24"/>
          <w:szCs w:val="22"/>
          <w:highlight w:val="none"/>
          <w:lang w:val="en-US" w:eastAsia="zh-CN" w:bidi="ar-SA"/>
        </w:rPr>
        <w:t>，污水水质简单</w:t>
      </w:r>
      <w:r>
        <w:rPr>
          <w:rFonts w:hint="eastAsia" w:ascii="Times New Roman" w:hAnsi="Times New Roman" w:eastAsia="宋体" w:cs="Times New Roman"/>
          <w:color w:val="auto"/>
          <w:spacing w:val="0"/>
          <w:kern w:val="2"/>
          <w:sz w:val="24"/>
          <w:szCs w:val="22"/>
          <w:highlight w:val="none"/>
          <w:lang w:val="en-US" w:eastAsia="zh-CN" w:bidi="ar-SA"/>
        </w:rPr>
        <w:t>，</w:t>
      </w:r>
      <w:r>
        <w:rPr>
          <w:rFonts w:hint="default" w:ascii="Times New Roman" w:hAnsi="Times New Roman" w:eastAsia="宋体" w:cs="Times New Roman"/>
          <w:color w:val="auto"/>
          <w:spacing w:val="0"/>
          <w:kern w:val="2"/>
          <w:sz w:val="24"/>
          <w:szCs w:val="22"/>
          <w:highlight w:val="none"/>
          <w:lang w:val="en-US" w:eastAsia="zh-CN" w:bidi="ar-SA"/>
        </w:rPr>
        <w:t>生活污水</w:t>
      </w:r>
      <w:r>
        <w:rPr>
          <w:rFonts w:hint="eastAsia" w:ascii="Times New Roman" w:hAnsi="Times New Roman" w:eastAsia="宋体" w:cs="Times New Roman"/>
          <w:color w:val="auto"/>
          <w:spacing w:val="0"/>
          <w:kern w:val="2"/>
          <w:sz w:val="24"/>
          <w:szCs w:val="22"/>
          <w:highlight w:val="none"/>
          <w:lang w:val="en-US" w:eastAsia="zh-CN" w:bidi="ar-SA"/>
        </w:rPr>
        <w:t>经厂区</w:t>
      </w:r>
      <w:r>
        <w:rPr>
          <w:rFonts w:hint="default" w:ascii="Times New Roman" w:hAnsi="Times New Roman" w:eastAsia="宋体" w:cs="Times New Roman"/>
          <w:color w:val="auto"/>
          <w:spacing w:val="0"/>
          <w:kern w:val="18"/>
          <w:sz w:val="24"/>
          <w:szCs w:val="22"/>
          <w:highlight w:val="none"/>
          <w:lang w:val="en-US" w:eastAsia="zh-CN" w:bidi="ar-SA"/>
        </w:rPr>
        <w:t>化粪池</w:t>
      </w:r>
      <w:r>
        <w:rPr>
          <w:rFonts w:hint="eastAsia" w:ascii="Times New Roman" w:hAnsi="Times New Roman" w:eastAsia="宋体" w:cs="Times New Roman"/>
          <w:color w:val="auto"/>
          <w:spacing w:val="0"/>
          <w:kern w:val="18"/>
          <w:sz w:val="24"/>
          <w:szCs w:val="22"/>
          <w:highlight w:val="none"/>
          <w:lang w:val="en-US" w:eastAsia="zh-CN" w:bidi="ar-SA"/>
        </w:rPr>
        <w:t>收集</w:t>
      </w:r>
      <w:r>
        <w:rPr>
          <w:rFonts w:hint="default" w:ascii="Times New Roman" w:hAnsi="Times New Roman" w:eastAsia="宋体" w:cs="Times New Roman"/>
          <w:color w:val="auto"/>
          <w:spacing w:val="0"/>
          <w:kern w:val="18"/>
          <w:sz w:val="24"/>
          <w:szCs w:val="22"/>
          <w:highlight w:val="none"/>
          <w:lang w:val="en-US" w:eastAsia="zh-CN" w:bidi="ar-SA"/>
        </w:rPr>
        <w:t>预处理后，</w:t>
      </w:r>
      <w:r>
        <w:rPr>
          <w:rFonts w:hint="eastAsia" w:ascii="Times New Roman" w:hAnsi="Times New Roman" w:eastAsia="宋体" w:cs="Times New Roman"/>
          <w:color w:val="auto"/>
          <w:spacing w:val="0"/>
          <w:kern w:val="18"/>
          <w:sz w:val="24"/>
          <w:szCs w:val="22"/>
          <w:highlight w:val="none"/>
          <w:lang w:val="en-US" w:eastAsia="zh-CN" w:bidi="ar-SA"/>
        </w:rPr>
        <w:t>接管市政污水管网进入田家庵经济开发区污水处理站处理，</w:t>
      </w:r>
      <w:r>
        <w:rPr>
          <w:rFonts w:hint="default" w:ascii="Times New Roman" w:hAnsi="Times New Roman" w:eastAsia="宋体" w:cs="Times New Roman"/>
          <w:color w:val="auto"/>
          <w:spacing w:val="0"/>
          <w:kern w:val="18"/>
          <w:sz w:val="24"/>
          <w:szCs w:val="22"/>
          <w:highlight w:val="none"/>
          <w:lang w:val="en-US" w:eastAsia="zh-CN" w:bidi="ar-SA"/>
        </w:rPr>
        <w:t>尾水处理达到《城镇污水处理厂污染物排放标准》（GB18918-2002）中一级A标准后</w:t>
      </w:r>
      <w:r>
        <w:rPr>
          <w:rFonts w:hint="eastAsia" w:ascii="Times New Roman" w:hAnsi="Times New Roman" w:eastAsia="宋体" w:cs="Times New Roman"/>
          <w:color w:val="auto"/>
          <w:spacing w:val="0"/>
          <w:kern w:val="18"/>
          <w:sz w:val="24"/>
          <w:szCs w:val="22"/>
          <w:highlight w:val="none"/>
          <w:lang w:val="en-US" w:eastAsia="zh-CN" w:bidi="ar-SA"/>
        </w:rPr>
        <w:t>最终</w:t>
      </w:r>
      <w:r>
        <w:rPr>
          <w:rFonts w:hint="default" w:ascii="Times New Roman" w:hAnsi="Times New Roman" w:eastAsia="宋体" w:cs="Times New Roman"/>
          <w:color w:val="auto"/>
          <w:spacing w:val="0"/>
          <w:kern w:val="18"/>
          <w:sz w:val="24"/>
          <w:szCs w:val="22"/>
          <w:highlight w:val="none"/>
          <w:lang w:val="en-US" w:eastAsia="zh-CN" w:bidi="ar-SA"/>
        </w:rPr>
        <w:t>排入</w:t>
      </w:r>
      <w:r>
        <w:rPr>
          <w:rFonts w:hint="eastAsia" w:ascii="Times New Roman" w:hAnsi="Times New Roman" w:eastAsia="宋体" w:cs="Times New Roman"/>
          <w:color w:val="auto"/>
          <w:spacing w:val="0"/>
          <w:kern w:val="18"/>
          <w:sz w:val="24"/>
          <w:szCs w:val="22"/>
          <w:highlight w:val="none"/>
          <w:lang w:val="en-US" w:eastAsia="zh-CN" w:bidi="ar-SA"/>
        </w:rPr>
        <w:t>瓦埠湖</w:t>
      </w:r>
      <w:r>
        <w:rPr>
          <w:rFonts w:hint="default" w:ascii="Times New Roman" w:hAnsi="Times New Roman" w:eastAsia="宋体" w:cs="Times New Roman"/>
          <w:color w:val="auto"/>
          <w:spacing w:val="0"/>
          <w:kern w:val="18"/>
          <w:sz w:val="24"/>
          <w:szCs w:val="22"/>
          <w:highlight w:val="none"/>
          <w:lang w:val="en-US" w:eastAsia="zh-CN" w:bidi="ar-SA"/>
        </w:rPr>
        <w:t>。</w:t>
      </w:r>
    </w:p>
    <w:p w14:paraId="161201F3">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hint="default" w:ascii="Times New Roman" w:hAnsi="Times New Roman" w:eastAsia="宋体" w:cs="Times New Roman"/>
          <w:b/>
          <w:color w:val="auto"/>
          <w:highlight w:val="none"/>
          <w:lang w:val="en-US" w:eastAsia="zh-CN"/>
        </w:rPr>
      </w:pPr>
      <w:bookmarkStart w:id="523" w:name="_Toc10101"/>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3</w:t>
      </w:r>
      <w:r>
        <w:rPr>
          <w:rFonts w:hint="default" w:ascii="Times New Roman" w:hAnsi="Times New Roman" w:eastAsia="宋体" w:cs="Times New Roman"/>
          <w:b/>
          <w:color w:val="auto"/>
          <w:highlight w:val="none"/>
          <w:lang w:val="en-US" w:eastAsia="zh-CN"/>
        </w:rPr>
        <w:t>.2废水接管可行性分析</w:t>
      </w:r>
      <w:bookmarkEnd w:id="523"/>
    </w:p>
    <w:p w14:paraId="2FB04D3E">
      <w:pPr>
        <w:spacing w:line="360" w:lineRule="auto"/>
        <w:ind w:firstLine="480" w:firstLineChars="200"/>
        <w:rPr>
          <w:rFonts w:hint="default" w:ascii="Times New Roman" w:hAnsi="Times New Roman" w:eastAsia="宋体" w:cs="Times New Roman"/>
          <w:color w:val="auto"/>
          <w:kern w:val="18"/>
          <w:highlight w:val="none"/>
          <w:lang w:val="en-US" w:eastAsia="zh-CN"/>
        </w:rPr>
      </w:pPr>
      <w:r>
        <w:rPr>
          <w:rFonts w:hint="default" w:ascii="Times New Roman" w:hAnsi="Times New Roman" w:eastAsia="宋体" w:cs="Times New Roman"/>
          <w:color w:val="auto"/>
          <w:spacing w:val="0"/>
          <w:kern w:val="2"/>
          <w:sz w:val="24"/>
          <w:szCs w:val="22"/>
          <w:highlight w:val="none"/>
          <w:lang w:val="en-US" w:eastAsia="zh-CN" w:bidi="ar-SA"/>
        </w:rPr>
        <w:t>项目选址安徽省淮南市田家庵区滁新高速与合淮路交叉口往南400m</w:t>
      </w:r>
      <w:r>
        <w:rPr>
          <w:rFonts w:hint="eastAsia" w:ascii="Times New Roman" w:hAnsi="Times New Roman" w:eastAsia="宋体" w:cs="Times New Roman"/>
          <w:color w:val="auto"/>
          <w:kern w:val="0"/>
          <w:sz w:val="24"/>
          <w:szCs w:val="24"/>
          <w:highlight w:val="none"/>
          <w:shd w:val="clear" w:color="auto" w:fill="FFFFFF"/>
          <w:lang w:eastAsia="zh-CN"/>
        </w:rPr>
        <w:t>，</w:t>
      </w:r>
      <w:r>
        <w:rPr>
          <w:rFonts w:hint="default" w:ascii="Times New Roman" w:hAnsi="Times New Roman" w:eastAsia="宋体" w:cs="Times New Roman"/>
          <w:color w:val="auto"/>
          <w:spacing w:val="0"/>
          <w:kern w:val="2"/>
          <w:sz w:val="24"/>
          <w:szCs w:val="22"/>
          <w:highlight w:val="none"/>
          <w:lang w:val="en-US" w:eastAsia="zh-CN" w:bidi="ar-SA"/>
        </w:rPr>
        <w:t>所在区域</w:t>
      </w:r>
      <w:r>
        <w:rPr>
          <w:rFonts w:hint="eastAsia" w:cs="Times New Roman"/>
          <w:color w:val="auto"/>
          <w:spacing w:val="0"/>
          <w:kern w:val="2"/>
          <w:sz w:val="24"/>
          <w:szCs w:val="22"/>
          <w:highlight w:val="none"/>
          <w:lang w:val="en-US" w:eastAsia="zh-CN" w:bidi="ar-SA"/>
        </w:rPr>
        <w:t>属于</w:t>
      </w:r>
      <w:r>
        <w:rPr>
          <w:rFonts w:hint="eastAsia" w:ascii="Times New Roman" w:hAnsi="Times New Roman" w:eastAsia="宋体" w:cs="Times New Roman"/>
          <w:color w:val="auto"/>
          <w:spacing w:val="0"/>
          <w:kern w:val="18"/>
          <w:sz w:val="24"/>
          <w:szCs w:val="22"/>
          <w:highlight w:val="none"/>
          <w:lang w:val="en-US" w:eastAsia="zh-CN" w:bidi="ar-SA"/>
        </w:rPr>
        <w:t>田家庵经济开发区污水处理站</w:t>
      </w:r>
      <w:r>
        <w:rPr>
          <w:rFonts w:hint="default" w:ascii="Times New Roman" w:hAnsi="Times New Roman" w:eastAsia="宋体" w:cs="Times New Roman"/>
          <w:color w:val="auto"/>
          <w:spacing w:val="0"/>
          <w:kern w:val="2"/>
          <w:sz w:val="24"/>
          <w:szCs w:val="22"/>
          <w:highlight w:val="none"/>
          <w:lang w:val="en-US" w:eastAsia="zh-CN" w:bidi="ar-SA"/>
        </w:rPr>
        <w:t>的收水</w:t>
      </w:r>
      <w:r>
        <w:rPr>
          <w:rFonts w:hint="eastAsia" w:ascii="Times New Roman" w:hAnsi="Times New Roman" w:eastAsia="宋体" w:cs="Times New Roman"/>
          <w:color w:val="auto"/>
          <w:spacing w:val="0"/>
          <w:kern w:val="2"/>
          <w:sz w:val="24"/>
          <w:szCs w:val="22"/>
          <w:highlight w:val="none"/>
          <w:lang w:val="en-US" w:eastAsia="zh-CN" w:bidi="ar-SA"/>
        </w:rPr>
        <w:t>辐射</w:t>
      </w:r>
      <w:r>
        <w:rPr>
          <w:rFonts w:hint="default" w:ascii="Times New Roman" w:hAnsi="Times New Roman" w:eastAsia="宋体" w:cs="Times New Roman"/>
          <w:color w:val="auto"/>
          <w:spacing w:val="0"/>
          <w:kern w:val="2"/>
          <w:sz w:val="24"/>
          <w:szCs w:val="22"/>
          <w:highlight w:val="none"/>
          <w:lang w:val="en-US" w:eastAsia="zh-CN" w:bidi="ar-SA"/>
        </w:rPr>
        <w:t>范围；本项目废水量为</w:t>
      </w:r>
      <w:r>
        <w:rPr>
          <w:rFonts w:hint="eastAsia" w:ascii="Times New Roman" w:hAnsi="Times New Roman" w:eastAsia="宋体" w:cs="Times New Roman"/>
          <w:color w:val="auto"/>
          <w:spacing w:val="0"/>
          <w:kern w:val="2"/>
          <w:sz w:val="24"/>
          <w:szCs w:val="22"/>
          <w:highlight w:val="none"/>
          <w:lang w:val="en-US" w:eastAsia="zh-CN" w:bidi="ar-SA"/>
        </w:rPr>
        <w:t>11.85</w:t>
      </w:r>
      <w:r>
        <w:rPr>
          <w:rFonts w:hint="default" w:ascii="Times New Roman" w:hAnsi="Times New Roman" w:eastAsia="宋体" w:cs="Times New Roman"/>
          <w:color w:val="auto"/>
          <w:spacing w:val="0"/>
          <w:kern w:val="2"/>
          <w:sz w:val="24"/>
          <w:szCs w:val="22"/>
          <w:highlight w:val="none"/>
          <w:lang w:val="en-US" w:eastAsia="zh-CN" w:bidi="ar-SA"/>
        </w:rPr>
        <w:t>m</w:t>
      </w:r>
      <w:r>
        <w:rPr>
          <w:rFonts w:hint="default" w:ascii="Times New Roman" w:hAnsi="Times New Roman" w:eastAsia="宋体" w:cs="Times New Roman"/>
          <w:color w:val="auto"/>
          <w:spacing w:val="0"/>
          <w:kern w:val="2"/>
          <w:sz w:val="24"/>
          <w:szCs w:val="22"/>
          <w:highlight w:val="none"/>
          <w:vertAlign w:val="superscript"/>
          <w:lang w:val="en-US" w:eastAsia="zh-CN" w:bidi="ar-SA"/>
        </w:rPr>
        <w:t>3</w:t>
      </w:r>
      <w:r>
        <w:rPr>
          <w:rFonts w:hint="default" w:ascii="Times New Roman" w:hAnsi="Times New Roman" w:eastAsia="宋体" w:cs="Times New Roman"/>
          <w:color w:val="auto"/>
          <w:spacing w:val="0"/>
          <w:kern w:val="2"/>
          <w:sz w:val="24"/>
          <w:szCs w:val="22"/>
          <w:highlight w:val="none"/>
          <w:lang w:val="en-US" w:eastAsia="zh-CN" w:bidi="ar-SA"/>
        </w:rPr>
        <w:t>/d，废水</w:t>
      </w:r>
      <w:r>
        <w:rPr>
          <w:rFonts w:hint="eastAsia" w:ascii="Times New Roman" w:hAnsi="Times New Roman" w:eastAsia="宋体" w:cs="Times New Roman"/>
          <w:color w:val="auto"/>
          <w:spacing w:val="0"/>
          <w:kern w:val="2"/>
          <w:sz w:val="24"/>
          <w:szCs w:val="22"/>
          <w:highlight w:val="none"/>
          <w:lang w:val="en-US" w:eastAsia="zh-CN" w:bidi="ar-SA"/>
        </w:rPr>
        <w:t>主要为</w:t>
      </w:r>
      <w:r>
        <w:rPr>
          <w:rFonts w:hint="default" w:ascii="Times New Roman" w:hAnsi="Times New Roman" w:eastAsia="宋体" w:cs="Times New Roman"/>
          <w:color w:val="auto"/>
          <w:spacing w:val="0"/>
          <w:kern w:val="2"/>
          <w:sz w:val="24"/>
          <w:szCs w:val="22"/>
          <w:highlight w:val="none"/>
          <w:lang w:val="en-US" w:eastAsia="zh-CN" w:bidi="ar-SA"/>
        </w:rPr>
        <w:t>员工生活污水</w:t>
      </w:r>
      <w:r>
        <w:rPr>
          <w:rFonts w:hint="eastAsia" w:ascii="Times New Roman" w:hAnsi="Times New Roman" w:eastAsia="宋体" w:cs="Times New Roman"/>
          <w:color w:val="auto"/>
          <w:spacing w:val="0"/>
          <w:kern w:val="2"/>
          <w:sz w:val="24"/>
          <w:szCs w:val="22"/>
          <w:highlight w:val="none"/>
          <w:lang w:val="en-US" w:eastAsia="zh-CN" w:bidi="ar-SA"/>
        </w:rPr>
        <w:t>及清净下水</w:t>
      </w:r>
      <w:r>
        <w:rPr>
          <w:rFonts w:hint="default" w:ascii="Times New Roman" w:hAnsi="Times New Roman" w:eastAsia="宋体" w:cs="Times New Roman"/>
          <w:color w:val="auto"/>
          <w:spacing w:val="0"/>
          <w:kern w:val="2"/>
          <w:sz w:val="24"/>
          <w:szCs w:val="22"/>
          <w:highlight w:val="none"/>
          <w:lang w:val="en-US" w:eastAsia="zh-CN" w:bidi="ar-SA"/>
        </w:rPr>
        <w:t>，水质简单，满足</w:t>
      </w:r>
      <w:r>
        <w:rPr>
          <w:rFonts w:hint="eastAsia" w:ascii="Times New Roman" w:hAnsi="Times New Roman" w:eastAsia="宋体" w:cs="Times New Roman"/>
          <w:color w:val="auto"/>
          <w:spacing w:val="0"/>
          <w:kern w:val="18"/>
          <w:sz w:val="24"/>
          <w:szCs w:val="22"/>
          <w:highlight w:val="none"/>
          <w:lang w:val="en-US" w:eastAsia="zh-CN" w:bidi="ar-SA"/>
        </w:rPr>
        <w:t>田家庵经济开发区污水处理站</w:t>
      </w:r>
      <w:r>
        <w:rPr>
          <w:rFonts w:hint="default" w:ascii="Times New Roman" w:hAnsi="Times New Roman" w:eastAsia="宋体" w:cs="Times New Roman"/>
          <w:color w:val="auto"/>
          <w:spacing w:val="0"/>
          <w:kern w:val="2"/>
          <w:sz w:val="24"/>
          <w:szCs w:val="22"/>
          <w:highlight w:val="none"/>
          <w:lang w:val="en-US" w:eastAsia="zh-CN" w:bidi="ar-SA"/>
        </w:rPr>
        <w:t>接管标准要求。项目区域污水管网已建设完成，待项目建设完成后，污水可</w:t>
      </w:r>
      <w:r>
        <w:rPr>
          <w:rFonts w:hint="eastAsia" w:ascii="Times New Roman" w:hAnsi="Times New Roman" w:eastAsia="宋体" w:cs="Times New Roman"/>
          <w:color w:val="auto"/>
          <w:spacing w:val="0"/>
          <w:kern w:val="2"/>
          <w:sz w:val="24"/>
          <w:szCs w:val="22"/>
          <w:highlight w:val="none"/>
          <w:lang w:val="en-US" w:eastAsia="zh-CN" w:bidi="ar-SA"/>
        </w:rPr>
        <w:t>由</w:t>
      </w:r>
      <w:r>
        <w:rPr>
          <w:rFonts w:hint="default" w:ascii="Times New Roman" w:hAnsi="Times New Roman" w:eastAsia="宋体" w:cs="Times New Roman"/>
          <w:color w:val="auto"/>
          <w:spacing w:val="0"/>
          <w:kern w:val="2"/>
          <w:sz w:val="24"/>
          <w:szCs w:val="22"/>
          <w:highlight w:val="none"/>
          <w:lang w:val="en-US" w:eastAsia="zh-CN" w:bidi="ar-SA"/>
        </w:rPr>
        <w:t>合淮路</w:t>
      </w:r>
      <w:r>
        <w:rPr>
          <w:rFonts w:hint="eastAsia" w:ascii="Times New Roman" w:hAnsi="Times New Roman" w:eastAsia="宋体" w:cs="Times New Roman"/>
          <w:color w:val="auto"/>
          <w:spacing w:val="0"/>
          <w:kern w:val="2"/>
          <w:sz w:val="24"/>
          <w:szCs w:val="22"/>
          <w:highlight w:val="none"/>
          <w:lang w:val="en-US" w:eastAsia="zh-CN" w:bidi="ar-SA"/>
        </w:rPr>
        <w:t>已建污水管网进入</w:t>
      </w:r>
      <w:r>
        <w:rPr>
          <w:rFonts w:hint="eastAsia" w:ascii="Times New Roman" w:hAnsi="Times New Roman" w:eastAsia="宋体" w:cs="Times New Roman"/>
          <w:color w:val="auto"/>
          <w:spacing w:val="0"/>
          <w:kern w:val="18"/>
          <w:sz w:val="24"/>
          <w:szCs w:val="22"/>
          <w:highlight w:val="none"/>
          <w:lang w:val="en-US" w:eastAsia="zh-CN" w:bidi="ar-SA"/>
        </w:rPr>
        <w:t>田家庵经济开发区污水处理站</w:t>
      </w:r>
      <w:r>
        <w:rPr>
          <w:rFonts w:hint="default" w:ascii="Times New Roman" w:hAnsi="Times New Roman" w:eastAsia="宋体" w:cs="Times New Roman"/>
          <w:color w:val="auto"/>
          <w:spacing w:val="0"/>
          <w:kern w:val="2"/>
          <w:sz w:val="24"/>
          <w:szCs w:val="22"/>
          <w:highlight w:val="none"/>
          <w:lang w:val="en-US" w:eastAsia="zh-CN" w:bidi="ar-SA"/>
        </w:rPr>
        <w:t>。因此</w:t>
      </w:r>
      <w:r>
        <w:rPr>
          <w:rFonts w:hint="eastAsia" w:ascii="Times New Roman" w:hAnsi="Times New Roman" w:eastAsia="宋体" w:cs="Times New Roman"/>
          <w:color w:val="auto"/>
          <w:spacing w:val="0"/>
          <w:kern w:val="2"/>
          <w:sz w:val="24"/>
          <w:szCs w:val="22"/>
          <w:highlight w:val="none"/>
          <w:lang w:val="en-US" w:eastAsia="zh-CN" w:bidi="ar-SA"/>
        </w:rPr>
        <w:t>，</w:t>
      </w:r>
      <w:r>
        <w:rPr>
          <w:rFonts w:hint="default" w:ascii="Times New Roman" w:hAnsi="Times New Roman" w:eastAsia="宋体" w:cs="Times New Roman"/>
          <w:color w:val="auto"/>
          <w:spacing w:val="0"/>
          <w:kern w:val="2"/>
          <w:sz w:val="24"/>
          <w:szCs w:val="22"/>
          <w:highlight w:val="none"/>
          <w:lang w:val="en-US" w:eastAsia="zh-CN" w:bidi="ar-SA"/>
        </w:rPr>
        <w:t>本项目产生的</w:t>
      </w:r>
      <w:r>
        <w:rPr>
          <w:rFonts w:hint="eastAsia" w:cs="Times New Roman"/>
          <w:color w:val="auto"/>
          <w:spacing w:val="0"/>
          <w:kern w:val="2"/>
          <w:sz w:val="24"/>
          <w:szCs w:val="22"/>
          <w:highlight w:val="none"/>
          <w:lang w:val="en-US" w:eastAsia="zh-CN" w:bidi="ar-SA"/>
        </w:rPr>
        <w:t>生产</w:t>
      </w:r>
      <w:r>
        <w:rPr>
          <w:rFonts w:hint="eastAsia" w:ascii="Times New Roman" w:hAnsi="Times New Roman" w:eastAsia="宋体" w:cs="Times New Roman"/>
          <w:color w:val="auto"/>
          <w:spacing w:val="0"/>
          <w:kern w:val="2"/>
          <w:sz w:val="24"/>
          <w:szCs w:val="22"/>
          <w:highlight w:val="none"/>
          <w:lang w:val="en-US" w:eastAsia="zh-CN" w:bidi="ar-SA"/>
        </w:rPr>
        <w:t>废水</w:t>
      </w:r>
      <w:r>
        <w:rPr>
          <w:rFonts w:hint="default" w:ascii="Times New Roman" w:hAnsi="Times New Roman" w:eastAsia="宋体" w:cs="Times New Roman"/>
          <w:color w:val="auto"/>
          <w:spacing w:val="0"/>
          <w:kern w:val="2"/>
          <w:sz w:val="24"/>
          <w:szCs w:val="22"/>
          <w:highlight w:val="none"/>
          <w:lang w:val="en-US" w:eastAsia="zh-CN" w:bidi="ar-SA"/>
        </w:rPr>
        <w:t>排入市政污水管网，接入</w:t>
      </w:r>
      <w:r>
        <w:rPr>
          <w:rFonts w:hint="eastAsia" w:ascii="Times New Roman" w:hAnsi="Times New Roman" w:eastAsia="宋体" w:cs="Times New Roman"/>
          <w:color w:val="auto"/>
          <w:spacing w:val="0"/>
          <w:kern w:val="18"/>
          <w:sz w:val="24"/>
          <w:szCs w:val="22"/>
          <w:highlight w:val="none"/>
          <w:lang w:val="en-US" w:eastAsia="zh-CN" w:bidi="ar-SA"/>
        </w:rPr>
        <w:t>田家庵经济开发区污水处理站</w:t>
      </w:r>
      <w:r>
        <w:rPr>
          <w:rFonts w:hint="default" w:ascii="Times New Roman" w:hAnsi="Times New Roman" w:eastAsia="宋体" w:cs="Times New Roman"/>
          <w:color w:val="auto"/>
          <w:spacing w:val="0"/>
          <w:kern w:val="2"/>
          <w:sz w:val="24"/>
          <w:szCs w:val="22"/>
          <w:highlight w:val="none"/>
          <w:lang w:val="en-US" w:eastAsia="zh-CN" w:bidi="ar-SA"/>
        </w:rPr>
        <w:t>集中处理可行。</w:t>
      </w:r>
    </w:p>
    <w:p w14:paraId="0DAB1304">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hint="default" w:ascii="Times New Roman" w:hAnsi="Times New Roman" w:eastAsia="宋体" w:cs="Times New Roman"/>
          <w:b/>
          <w:color w:val="auto"/>
          <w:highlight w:val="none"/>
          <w:lang w:val="en-US" w:eastAsia="zh-CN"/>
        </w:rPr>
      </w:pPr>
      <w:bookmarkStart w:id="524" w:name="_Toc24464"/>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3</w:t>
      </w:r>
      <w:r>
        <w:rPr>
          <w:rFonts w:hint="default" w:ascii="Times New Roman" w:hAnsi="Times New Roman" w:eastAsia="宋体" w:cs="Times New Roman"/>
          <w:b/>
          <w:color w:val="auto"/>
          <w:highlight w:val="none"/>
          <w:lang w:val="en-US" w:eastAsia="zh-CN"/>
        </w:rPr>
        <w:t>.3水质、水量接管可行性分析</w:t>
      </w:r>
      <w:bookmarkEnd w:id="524"/>
    </w:p>
    <w:p w14:paraId="2390153C">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pacing w:val="0"/>
          <w:kern w:val="18"/>
          <w:sz w:val="24"/>
          <w:szCs w:val="22"/>
          <w:highlight w:val="none"/>
          <w:lang w:val="en-US" w:eastAsia="zh-CN" w:bidi="ar-SA"/>
        </w:rPr>
        <w:t>田家庵经济开发区污水处理站</w:t>
      </w:r>
      <w:r>
        <w:rPr>
          <w:rFonts w:hint="eastAsia" w:cs="Times New Roman"/>
          <w:color w:val="auto"/>
          <w:spacing w:val="0"/>
          <w:kern w:val="18"/>
          <w:sz w:val="24"/>
          <w:szCs w:val="22"/>
          <w:highlight w:val="none"/>
          <w:lang w:val="en-US" w:eastAsia="zh-CN" w:bidi="ar-SA"/>
        </w:rPr>
        <w:t>位于</w:t>
      </w:r>
      <w:r>
        <w:rPr>
          <w:rFonts w:hint="default" w:ascii="Times New Roman" w:hAnsi="Times New Roman" w:eastAsia="宋体" w:cs="Times New Roman"/>
          <w:color w:val="auto"/>
          <w:spacing w:val="0"/>
          <w:kern w:val="2"/>
          <w:sz w:val="24"/>
          <w:szCs w:val="22"/>
          <w:highlight w:val="none"/>
          <w:lang w:val="en-US" w:eastAsia="zh-CN" w:bidi="ar-SA"/>
        </w:rPr>
        <w:t>西外环路东侧，日处理污水1000t，采用</w:t>
      </w:r>
      <w:r>
        <w:rPr>
          <w:rFonts w:hint="eastAsia" w:cs="Times New Roman"/>
          <w:color w:val="auto"/>
          <w:spacing w:val="0"/>
          <w:kern w:val="2"/>
          <w:sz w:val="24"/>
          <w:szCs w:val="22"/>
          <w:highlight w:val="none"/>
          <w:lang w:val="en-US" w:eastAsia="zh-CN" w:bidi="ar-SA"/>
        </w:rPr>
        <w:t>“</w:t>
      </w:r>
      <w:r>
        <w:rPr>
          <w:rFonts w:hint="default" w:ascii="Times New Roman" w:hAnsi="Times New Roman" w:eastAsia="宋体" w:cs="Times New Roman"/>
          <w:color w:val="auto"/>
          <w:spacing w:val="0"/>
          <w:kern w:val="2"/>
          <w:sz w:val="24"/>
          <w:szCs w:val="22"/>
          <w:highlight w:val="none"/>
          <w:lang w:val="en-US" w:eastAsia="zh-CN" w:bidi="ar-SA"/>
        </w:rPr>
        <w:t>预处理+生化处理+深度处理</w:t>
      </w:r>
      <w:r>
        <w:rPr>
          <w:rFonts w:hint="eastAsia" w:cs="Times New Roman"/>
          <w:color w:val="auto"/>
          <w:spacing w:val="0"/>
          <w:kern w:val="2"/>
          <w:sz w:val="24"/>
          <w:szCs w:val="22"/>
          <w:highlight w:val="none"/>
          <w:lang w:val="en-US" w:eastAsia="zh-CN" w:bidi="ar-SA"/>
        </w:rPr>
        <w:t>”</w:t>
      </w:r>
      <w:r>
        <w:rPr>
          <w:rFonts w:hint="default" w:ascii="Times New Roman" w:hAnsi="Times New Roman" w:eastAsia="宋体" w:cs="Times New Roman"/>
          <w:color w:val="auto"/>
          <w:spacing w:val="0"/>
          <w:kern w:val="2"/>
          <w:sz w:val="24"/>
          <w:szCs w:val="22"/>
          <w:highlight w:val="none"/>
          <w:lang w:val="en-US" w:eastAsia="zh-CN" w:bidi="ar-SA"/>
        </w:rPr>
        <w:t>工艺，占地面积7亩。处理厂已于2018年3月正式运营。污水处理厂尾水排入林桥涧沟，最终汇入瓦埠湖</w:t>
      </w:r>
      <w:r>
        <w:rPr>
          <w:rFonts w:hint="eastAsia" w:ascii="Times New Roman" w:hAnsi="Times New Roman" w:eastAsia="宋体" w:cs="Times New Roman"/>
          <w:color w:val="auto"/>
          <w:spacing w:val="0"/>
          <w:kern w:val="2"/>
          <w:sz w:val="24"/>
          <w:szCs w:val="22"/>
          <w:highlight w:val="none"/>
          <w:lang w:val="en-US" w:eastAsia="zh-CN" w:bidi="ar-SA"/>
        </w:rPr>
        <w:t>。</w:t>
      </w:r>
      <w:r>
        <w:rPr>
          <w:rFonts w:hint="default" w:ascii="Times New Roman" w:hAnsi="Times New Roman" w:eastAsia="宋体" w:cs="Times New Roman"/>
          <w:color w:val="auto"/>
          <w:spacing w:val="0"/>
          <w:kern w:val="2"/>
          <w:sz w:val="24"/>
          <w:szCs w:val="22"/>
          <w:highlight w:val="none"/>
          <w:lang w:val="en-US" w:eastAsia="zh-CN" w:bidi="ar-SA"/>
        </w:rPr>
        <w:t>项目生活污水水质、浓度低，且不含重金属物质，符合</w:t>
      </w:r>
      <w:r>
        <w:rPr>
          <w:rFonts w:hint="eastAsia" w:ascii="Times New Roman" w:hAnsi="Times New Roman" w:eastAsia="宋体" w:cs="Times New Roman"/>
          <w:color w:val="auto"/>
          <w:spacing w:val="0"/>
          <w:kern w:val="18"/>
          <w:sz w:val="24"/>
          <w:szCs w:val="22"/>
          <w:highlight w:val="none"/>
          <w:lang w:val="en-US" w:eastAsia="zh-CN" w:bidi="ar-SA"/>
        </w:rPr>
        <w:t>田家庵经济开发区污水处理站</w:t>
      </w:r>
      <w:r>
        <w:rPr>
          <w:rFonts w:hint="default" w:ascii="Times New Roman" w:hAnsi="Times New Roman" w:eastAsia="宋体" w:cs="Times New Roman"/>
          <w:color w:val="auto"/>
          <w:sz w:val="24"/>
          <w:highlight w:val="none"/>
        </w:rPr>
        <w:t>的进水水质要求</w:t>
      </w:r>
      <w:r>
        <w:rPr>
          <w:rFonts w:hint="default" w:ascii="Times New Roman" w:hAnsi="Times New Roman" w:eastAsia="宋体" w:cs="Times New Roman"/>
          <w:color w:val="auto"/>
          <w:sz w:val="24"/>
          <w:highlight w:val="none"/>
          <w:lang w:eastAsia="zh-CN"/>
        </w:rPr>
        <w:t>。</w:t>
      </w:r>
    </w:p>
    <w:p w14:paraId="471816C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snapToGrid w:val="0"/>
          <w:color w:val="auto"/>
          <w:kern w:val="0"/>
          <w:sz w:val="24"/>
          <w:highlight w:val="none"/>
          <w:lang w:val="zh-CN"/>
        </w:rPr>
      </w:pPr>
      <w:r>
        <w:rPr>
          <w:rFonts w:hint="default" w:ascii="Times New Roman" w:hAnsi="Times New Roman" w:eastAsia="宋体" w:cs="Times New Roman"/>
          <w:color w:val="auto"/>
          <w:sz w:val="24"/>
          <w:highlight w:val="none"/>
          <w:lang w:eastAsia="zh-CN"/>
        </w:rPr>
        <w:t>本项目</w:t>
      </w:r>
      <w:r>
        <w:rPr>
          <w:rFonts w:hint="eastAsia" w:ascii="Times New Roman" w:hAnsi="Times New Roman" w:eastAsia="宋体" w:cs="Times New Roman"/>
          <w:color w:val="auto"/>
          <w:sz w:val="24"/>
          <w:highlight w:val="none"/>
          <w:lang w:val="en-US" w:eastAsia="zh-CN"/>
        </w:rPr>
        <w:t>综合废水</w:t>
      </w:r>
      <w:r>
        <w:rPr>
          <w:rFonts w:hint="default" w:ascii="Times New Roman" w:hAnsi="Times New Roman" w:eastAsia="宋体" w:cs="Times New Roman"/>
          <w:color w:val="auto"/>
          <w:sz w:val="24"/>
          <w:highlight w:val="none"/>
          <w:lang w:eastAsia="zh-CN"/>
        </w:rPr>
        <w:t>排放量</w:t>
      </w:r>
      <w:r>
        <w:rPr>
          <w:rFonts w:hint="eastAsia" w:ascii="Times New Roman" w:hAnsi="Times New Roman" w:eastAsia="宋体" w:cs="Times New Roman"/>
          <w:color w:val="auto"/>
          <w:sz w:val="24"/>
          <w:highlight w:val="none"/>
          <w:lang w:val="en-US" w:eastAsia="zh-CN"/>
        </w:rPr>
        <w:t>10.7</w:t>
      </w:r>
      <w:r>
        <w:rPr>
          <w:rFonts w:hint="default" w:ascii="Times New Roman" w:hAnsi="Times New Roman" w:eastAsia="宋体" w:cs="Times New Roman"/>
          <w:color w:val="auto"/>
          <w:sz w:val="24"/>
          <w:highlight w:val="none"/>
          <w:lang w:val="en-US" w:eastAsia="zh-CN"/>
        </w:rPr>
        <w:t>t/d，</w:t>
      </w:r>
      <w:r>
        <w:rPr>
          <w:rFonts w:hint="eastAsia" w:ascii="Times New Roman" w:hAnsi="Times New Roman" w:eastAsia="宋体" w:cs="Times New Roman"/>
          <w:color w:val="auto"/>
          <w:spacing w:val="0"/>
          <w:kern w:val="18"/>
          <w:sz w:val="24"/>
          <w:szCs w:val="22"/>
          <w:highlight w:val="none"/>
          <w:lang w:val="en-US" w:eastAsia="zh-CN" w:bidi="ar-SA"/>
        </w:rPr>
        <w:t>田家庵经济开发区污水处理站</w:t>
      </w:r>
      <w:r>
        <w:rPr>
          <w:rFonts w:hint="default" w:ascii="Times New Roman" w:hAnsi="Times New Roman" w:eastAsia="宋体" w:cs="Times New Roman"/>
          <w:color w:val="auto"/>
          <w:kern w:val="0"/>
          <w:sz w:val="24"/>
          <w:szCs w:val="24"/>
          <w:highlight w:val="none"/>
          <w:lang w:val="en-US" w:eastAsia="zh-CN" w:bidi="ar"/>
        </w:rPr>
        <w:t>日处理能力</w:t>
      </w:r>
      <w:r>
        <w:rPr>
          <w:rFonts w:hint="eastAsia" w:ascii="Times New Roman" w:hAnsi="Times New Roman" w:eastAsia="宋体" w:cs="Times New Roman"/>
          <w:color w:val="auto"/>
          <w:kern w:val="0"/>
          <w:sz w:val="24"/>
          <w:szCs w:val="24"/>
          <w:highlight w:val="none"/>
          <w:lang w:val="en-US" w:eastAsia="zh-CN" w:bidi="ar"/>
        </w:rPr>
        <w:t>1000</w:t>
      </w:r>
      <w:r>
        <w:rPr>
          <w:rFonts w:hint="default" w:ascii="Times New Roman" w:hAnsi="Times New Roman" w:eastAsia="宋体" w:cs="Times New Roman"/>
          <w:color w:val="auto"/>
          <w:kern w:val="0"/>
          <w:sz w:val="24"/>
          <w:szCs w:val="24"/>
          <w:highlight w:val="none"/>
          <w:lang w:val="en-US" w:eastAsia="zh-CN" w:bidi="ar"/>
        </w:rPr>
        <w:t>t/d，</w:t>
      </w:r>
      <w:r>
        <w:rPr>
          <w:rFonts w:hint="eastAsia" w:ascii="Times New Roman" w:hAnsi="Times New Roman" w:eastAsia="宋体" w:cs="Times New Roman"/>
          <w:color w:val="auto"/>
          <w:kern w:val="0"/>
          <w:sz w:val="24"/>
          <w:szCs w:val="24"/>
          <w:highlight w:val="none"/>
          <w:lang w:val="en-US" w:eastAsia="zh-CN" w:bidi="ar"/>
        </w:rPr>
        <w:t>目前正处于初期运行阶段，尚有充足余量</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eastAsia="宋体" w:cs="Times New Roman"/>
          <w:color w:val="auto"/>
          <w:sz w:val="24"/>
          <w:highlight w:val="none"/>
          <w:lang w:eastAsia="zh-CN"/>
        </w:rPr>
        <w:t>污水处理厂有能力接纳本项目</w:t>
      </w:r>
      <w:r>
        <w:rPr>
          <w:rFonts w:hint="eastAsia" w:ascii="Times New Roman" w:hAnsi="Times New Roman" w:eastAsia="宋体" w:cs="Times New Roman"/>
          <w:color w:val="auto"/>
          <w:sz w:val="24"/>
          <w:highlight w:val="none"/>
          <w:lang w:val="en-US" w:eastAsia="zh-CN"/>
        </w:rPr>
        <w:t>废水</w:t>
      </w:r>
      <w:r>
        <w:rPr>
          <w:rFonts w:hint="default" w:ascii="Times New Roman" w:hAnsi="Times New Roman" w:eastAsia="宋体" w:cs="Times New Roman"/>
          <w:snapToGrid w:val="0"/>
          <w:color w:val="auto"/>
          <w:kern w:val="0"/>
          <w:sz w:val="24"/>
          <w:highlight w:val="none"/>
          <w:lang w:val="zh-CN"/>
        </w:rPr>
        <w:t>。</w:t>
      </w:r>
    </w:p>
    <w:p w14:paraId="7CCA6085">
      <w:pPr>
        <w:keepNext w:val="0"/>
        <w:keepLines w:val="0"/>
        <w:pageBreakBefore w:val="0"/>
        <w:widowControl w:val="0"/>
        <w:kinsoku/>
        <w:wordWrap/>
        <w:overflowPunct/>
        <w:topLinePunct w:val="0"/>
        <w:autoSpaceDE/>
        <w:autoSpaceDN/>
        <w:bidi w:val="0"/>
        <w:snapToGrid/>
        <w:spacing w:before="0" w:line="360" w:lineRule="auto"/>
        <w:ind w:firstLine="480" w:firstLineChars="200"/>
        <w:jc w:val="both"/>
        <w:textAlignment w:val="auto"/>
        <w:rPr>
          <w:rFonts w:hint="default" w:ascii="Times New Roman" w:hAnsi="Times New Roman" w:eastAsia="宋体" w:cs="Times New Roman"/>
          <w:color w:val="auto"/>
          <w:kern w:val="2"/>
          <w:sz w:val="28"/>
          <w:szCs w:val="20"/>
          <w:highlight w:val="none"/>
          <w:lang w:val="en-US" w:eastAsia="zh-CN" w:bidi="ar-SA"/>
        </w:rPr>
      </w:pPr>
      <w:r>
        <w:rPr>
          <w:rFonts w:hint="default" w:ascii="Times New Roman" w:hAnsi="Times New Roman" w:eastAsia="宋体" w:cs="Times New Roman"/>
          <w:snapToGrid w:val="0"/>
          <w:color w:val="auto"/>
          <w:kern w:val="0"/>
          <w:sz w:val="24"/>
          <w:szCs w:val="20"/>
          <w:highlight w:val="none"/>
          <w:lang w:val="zh-CN" w:eastAsia="zh-CN" w:bidi="ar-SA"/>
        </w:rPr>
        <w:t>综上所述，本项目运营期间</w:t>
      </w:r>
      <w:r>
        <w:rPr>
          <w:rFonts w:hint="default" w:ascii="Times New Roman" w:hAnsi="Times New Roman" w:eastAsia="宋体" w:cs="Times New Roman"/>
          <w:color w:val="auto"/>
          <w:kern w:val="2"/>
          <w:sz w:val="24"/>
          <w:szCs w:val="20"/>
          <w:highlight w:val="none"/>
          <w:lang w:val="en-US" w:eastAsia="zh-CN" w:bidi="ar-SA"/>
        </w:rPr>
        <w:t>污水接管市政管网，进入</w:t>
      </w:r>
      <w:r>
        <w:rPr>
          <w:rFonts w:hint="eastAsia" w:ascii="Times New Roman" w:hAnsi="Times New Roman" w:eastAsia="宋体" w:cs="Times New Roman"/>
          <w:color w:val="auto"/>
          <w:spacing w:val="0"/>
          <w:kern w:val="18"/>
          <w:sz w:val="24"/>
          <w:szCs w:val="22"/>
          <w:highlight w:val="none"/>
          <w:lang w:val="en-US" w:eastAsia="zh-CN" w:bidi="ar-SA"/>
        </w:rPr>
        <w:t>田家庵经济开发区污水处理站</w:t>
      </w:r>
      <w:r>
        <w:rPr>
          <w:rFonts w:hint="default" w:ascii="Times New Roman" w:hAnsi="Times New Roman" w:eastAsia="宋体" w:cs="Times New Roman"/>
          <w:color w:val="auto"/>
          <w:kern w:val="2"/>
          <w:sz w:val="24"/>
          <w:szCs w:val="20"/>
          <w:highlight w:val="none"/>
          <w:lang w:val="en-US" w:eastAsia="zh-CN" w:bidi="ar-SA"/>
        </w:rPr>
        <w:t>处理是可行的。</w:t>
      </w:r>
    </w:p>
    <w:p w14:paraId="6CC0279A">
      <w:pPr>
        <w:pStyle w:val="218"/>
        <w:spacing w:before="62" w:after="156"/>
        <w:rPr>
          <w:color w:val="auto"/>
          <w:highlight w:val="none"/>
        </w:rPr>
      </w:pPr>
      <w:bookmarkStart w:id="525" w:name="_Toc152922689"/>
      <w:bookmarkStart w:id="526" w:name="_Toc152922095"/>
      <w:bookmarkStart w:id="527" w:name="_Toc13474"/>
      <w:r>
        <w:rPr>
          <w:color w:val="auto"/>
          <w:highlight w:val="none"/>
        </w:rPr>
        <w:t>6.</w:t>
      </w:r>
      <w:r>
        <w:rPr>
          <w:rFonts w:hint="eastAsia"/>
          <w:color w:val="auto"/>
          <w:highlight w:val="none"/>
          <w:lang w:val="en-US" w:eastAsia="zh-CN"/>
        </w:rPr>
        <w:t>4</w:t>
      </w:r>
      <w:r>
        <w:rPr>
          <w:color w:val="auto"/>
          <w:highlight w:val="none"/>
        </w:rPr>
        <w:t>噪声污染防治措施及可行性分析</w:t>
      </w:r>
      <w:bookmarkEnd w:id="525"/>
      <w:bookmarkEnd w:id="526"/>
      <w:bookmarkEnd w:id="527"/>
    </w:p>
    <w:p w14:paraId="71DD3494">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0"/>
          <w:highlight w:val="none"/>
          <w:lang w:val="en-US" w:eastAsia="zh-CN" w:bidi="ar-SA"/>
        </w:rPr>
      </w:pPr>
      <w:bookmarkStart w:id="528" w:name="_Toc152922690"/>
      <w:bookmarkStart w:id="529" w:name="_Toc117150287"/>
      <w:bookmarkStart w:id="530" w:name="_Toc152922096"/>
      <w:bookmarkStart w:id="531" w:name="_Toc152923371"/>
      <w:bookmarkStart w:id="532" w:name="_Toc152921731"/>
      <w:r>
        <w:rPr>
          <w:rFonts w:hint="default" w:ascii="Times New Roman" w:hAnsi="Times New Roman" w:eastAsia="宋体" w:cs="Times New Roman"/>
          <w:color w:val="auto"/>
          <w:kern w:val="0"/>
          <w:sz w:val="24"/>
          <w:szCs w:val="20"/>
          <w:highlight w:val="none"/>
          <w:lang w:val="en-US" w:eastAsia="zh-CN" w:bidi="ar-SA"/>
        </w:rPr>
        <w:t>本项目营运期的噪声源主要来自各类生产设备、公用机械设备的运行噪声以及废气治理设备等环保设备的运行噪声。为确保企业厂界噪声全面达到《工业企业厂界环境噪声排放标准》（GB12348-2008）中3类</w:t>
      </w:r>
      <w:r>
        <w:rPr>
          <w:rFonts w:hint="eastAsia" w:ascii="Times New Roman" w:hAnsi="Times New Roman" w:eastAsia="宋体" w:cs="Times New Roman"/>
          <w:color w:val="auto"/>
          <w:kern w:val="0"/>
          <w:sz w:val="24"/>
          <w:szCs w:val="20"/>
          <w:highlight w:val="none"/>
          <w:lang w:val="en-US" w:eastAsia="zh-CN" w:bidi="ar-SA"/>
        </w:rPr>
        <w:t>、4a</w:t>
      </w:r>
      <w:r>
        <w:rPr>
          <w:rFonts w:hint="default" w:ascii="Times New Roman" w:hAnsi="Times New Roman" w:eastAsia="宋体" w:cs="Times New Roman"/>
          <w:color w:val="auto"/>
          <w:kern w:val="0"/>
          <w:sz w:val="24"/>
          <w:szCs w:val="20"/>
          <w:highlight w:val="none"/>
          <w:lang w:val="en-US" w:eastAsia="zh-CN" w:bidi="ar-SA"/>
        </w:rPr>
        <w:t>声功能区的标准，减少对周围声环境质量的影响。建设单位拟采取隔声、减振等措施，降低噪声对周边环境影响，具体措施和对策如下：</w:t>
      </w:r>
    </w:p>
    <w:p w14:paraId="4905E64A">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（1）优选设备</w:t>
      </w:r>
    </w:p>
    <w:p w14:paraId="3B41DB62">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优先选用低噪声设备，如低噪的风机、</w:t>
      </w:r>
      <w:r>
        <w:rPr>
          <w:rFonts w:hint="eastAsia" w:ascii="Times New Roman" w:hAnsi="Times New Roman" w:eastAsia="宋体" w:cs="Times New Roman"/>
          <w:color w:val="auto"/>
          <w:kern w:val="0"/>
          <w:sz w:val="24"/>
          <w:szCs w:val="24"/>
          <w:highlight w:val="none"/>
          <w:lang w:val="en-US" w:eastAsia="zh-CN" w:bidi="ar-SA"/>
        </w:rPr>
        <w:t>水泵、压缩机</w:t>
      </w:r>
      <w:r>
        <w:rPr>
          <w:rFonts w:hint="default" w:ascii="Times New Roman" w:hAnsi="Times New Roman" w:eastAsia="宋体" w:cs="Times New Roman"/>
          <w:color w:val="auto"/>
          <w:kern w:val="0"/>
          <w:sz w:val="24"/>
          <w:szCs w:val="24"/>
          <w:highlight w:val="none"/>
          <w:lang w:val="en-US" w:eastAsia="zh-CN" w:bidi="ar-SA"/>
        </w:rPr>
        <w:t>、空压机等，从而从声源上降低设备本身的噪声。</w:t>
      </w:r>
    </w:p>
    <w:p w14:paraId="6153BA11">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（2）总平面布局</w:t>
      </w:r>
    </w:p>
    <w:p w14:paraId="14772120">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ascii="Times New Roman" w:hAnsi="Times New Roman" w:eastAsia="宋体"/>
          <w:bCs/>
          <w:color w:val="auto"/>
          <w:sz w:val="24"/>
          <w:szCs w:val="24"/>
          <w:highlight w:val="none"/>
        </w:rPr>
        <w:t>调整布局，尽量将高噪声设备远离</w:t>
      </w:r>
      <w:r>
        <w:rPr>
          <w:rFonts w:hint="eastAsia" w:ascii="Times New Roman" w:hAnsi="Times New Roman" w:eastAsia="宋体"/>
          <w:bCs/>
          <w:color w:val="auto"/>
          <w:sz w:val="24"/>
          <w:szCs w:val="24"/>
          <w:highlight w:val="none"/>
          <w:lang w:val="en-US" w:eastAsia="zh-CN"/>
        </w:rPr>
        <w:t>敏感点</w:t>
      </w:r>
      <w:r>
        <w:rPr>
          <w:rFonts w:hint="eastAsia" w:ascii="Times New Roman" w:hAnsi="Times New Roman" w:eastAsia="宋体"/>
          <w:bCs/>
          <w:color w:val="auto"/>
          <w:sz w:val="24"/>
          <w:szCs w:val="24"/>
          <w:highlight w:val="none"/>
          <w:lang w:eastAsia="zh-CN"/>
        </w:rPr>
        <w:t>，</w:t>
      </w:r>
      <w:r>
        <w:rPr>
          <w:rFonts w:hint="eastAsia" w:ascii="Times New Roman" w:hAnsi="Times New Roman" w:eastAsia="宋体"/>
          <w:bCs/>
          <w:color w:val="auto"/>
          <w:sz w:val="24"/>
          <w:szCs w:val="24"/>
          <w:highlight w:val="none"/>
          <w:lang w:val="en-US" w:eastAsia="zh-CN"/>
        </w:rPr>
        <w:t>项目整体将高噪声设备布局于站内东侧</w:t>
      </w:r>
      <w:r>
        <w:rPr>
          <w:rFonts w:hint="default" w:ascii="Times New Roman" w:hAnsi="Times New Roman" w:eastAsia="宋体" w:cs="Times New Roman"/>
          <w:color w:val="auto"/>
          <w:kern w:val="0"/>
          <w:sz w:val="24"/>
          <w:szCs w:val="24"/>
          <w:highlight w:val="none"/>
          <w:lang w:val="en-US" w:eastAsia="zh-CN" w:bidi="ar-SA"/>
        </w:rPr>
        <w:t>。</w:t>
      </w:r>
    </w:p>
    <w:p w14:paraId="77A20734">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（3）基础减振</w:t>
      </w:r>
    </w:p>
    <w:p w14:paraId="7C5F013D">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提高设备安装精度，设置防震沟和隔振器械，隔振器应选择大阻尼弹簧隔振器，以保证隔振器的刚度和阻尼比；</w:t>
      </w:r>
    </w:p>
    <w:p w14:paraId="7AA4D6EE">
      <w:pPr>
        <w:keepNext w:val="0"/>
        <w:keepLines w:val="0"/>
        <w:pageBreakBefore w:val="0"/>
        <w:numPr>
          <w:ilvl w:val="0"/>
          <w:numId w:val="0"/>
        </w:numPr>
        <w:kinsoku/>
        <w:wordWrap/>
        <w:overflowPunct/>
        <w:topLinePunct w:val="0"/>
        <w:autoSpaceDE/>
        <w:autoSpaceDN/>
        <w:bidi w:val="0"/>
        <w:adjustRightInd/>
        <w:snapToGrid/>
        <w:spacing w:line="360" w:lineRule="auto"/>
        <w:ind w:left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lang w:eastAsia="zh-CN"/>
        </w:rPr>
        <w:t>）风机防治措施：</w:t>
      </w:r>
    </w:p>
    <w:p w14:paraId="122572D8">
      <w:pPr>
        <w:keepNext w:val="0"/>
        <w:keepLines w:val="0"/>
        <w:pageBreakBefore w:val="0"/>
        <w:numPr>
          <w:ilvl w:val="0"/>
          <w:numId w:val="0"/>
        </w:numPr>
        <w:kinsoku/>
        <w:wordWrap/>
        <w:overflowPunct/>
        <w:topLinePunct w:val="0"/>
        <w:autoSpaceDE/>
        <w:autoSpaceDN/>
        <w:bidi w:val="0"/>
        <w:adjustRightInd/>
        <w:snapToGrid/>
        <w:spacing w:line="360" w:lineRule="auto"/>
        <w:ind w:left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①</w:t>
      </w:r>
      <w:r>
        <w:rPr>
          <w:rFonts w:hint="default" w:ascii="Times New Roman" w:hAnsi="Times New Roman" w:eastAsia="宋体" w:cs="Times New Roman"/>
          <w:color w:val="auto"/>
          <w:sz w:val="24"/>
          <w:highlight w:val="none"/>
        </w:rPr>
        <w:t>安装减振器。风机吊顶采用阻尼弹簧减振器，减小风机振动；</w:t>
      </w:r>
    </w:p>
    <w:p w14:paraId="7BC4FC14">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②</w:t>
      </w:r>
      <w:r>
        <w:rPr>
          <w:rFonts w:hint="default" w:ascii="Times New Roman" w:hAnsi="Times New Roman" w:eastAsia="宋体" w:cs="Times New Roman"/>
          <w:color w:val="auto"/>
          <w:sz w:val="24"/>
          <w:highlight w:val="none"/>
        </w:rPr>
        <w:t>安装消声百叶。地面层外百叶窗使用消声</w:t>
      </w:r>
      <w:r>
        <w:rPr>
          <w:rFonts w:hint="eastAsia" w:ascii="Times New Roman" w:hAnsi="Times New Roman" w:eastAsia="宋体" w:cs="Times New Roman"/>
          <w:color w:val="auto"/>
          <w:sz w:val="24"/>
          <w:highlight w:val="none"/>
          <w:lang w:eastAsia="zh-CN"/>
        </w:rPr>
        <w:t>百叶窗</w:t>
      </w:r>
      <w:r>
        <w:rPr>
          <w:rFonts w:hint="default" w:ascii="Times New Roman" w:hAnsi="Times New Roman" w:eastAsia="宋体" w:cs="Times New Roman"/>
          <w:color w:val="auto"/>
          <w:sz w:val="24"/>
          <w:highlight w:val="none"/>
        </w:rPr>
        <w:t>，削减噪声传播；</w:t>
      </w:r>
    </w:p>
    <w:p w14:paraId="42DBFB7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③</w:t>
      </w:r>
      <w:r>
        <w:rPr>
          <w:rFonts w:hint="default" w:ascii="Times New Roman" w:hAnsi="Times New Roman" w:eastAsia="宋体" w:cs="Times New Roman"/>
          <w:color w:val="auto"/>
          <w:sz w:val="24"/>
          <w:highlight w:val="none"/>
        </w:rPr>
        <w:t>安装消声设备。为削减空气动力性噪声的影响，在风机的排风口安装消声设备，内置消声插片；</w:t>
      </w:r>
    </w:p>
    <w:p w14:paraId="45A599E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④</w:t>
      </w:r>
      <w:r>
        <w:rPr>
          <w:rFonts w:hint="default" w:ascii="Times New Roman" w:hAnsi="Times New Roman" w:eastAsia="宋体" w:cs="Times New Roman"/>
          <w:color w:val="auto"/>
          <w:sz w:val="24"/>
          <w:highlight w:val="none"/>
        </w:rPr>
        <w:t>安装风机隔声罩。隔声罩采用金属或非金属隔声板，岩棉加孔板组成的吸声体。为保证不影响风机本身寿命，合理设置通风散热系统，并安装隔声门窗方便工人巡查及对设备的维护。</w:t>
      </w:r>
    </w:p>
    <w:p w14:paraId="0B119D2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2"/>
          <w:sz w:val="24"/>
          <w:szCs w:val="22"/>
          <w:highlight w:val="none"/>
          <w:lang w:val="en-US" w:eastAsia="zh-CN" w:bidi="ar-SA"/>
        </w:rPr>
        <w:t>（5）</w:t>
      </w:r>
      <w:r>
        <w:rPr>
          <w:rFonts w:hint="default" w:ascii="Times New Roman" w:hAnsi="Times New Roman" w:eastAsia="宋体" w:cs="Times New Roman"/>
          <w:color w:val="auto"/>
          <w:sz w:val="24"/>
          <w:highlight w:val="none"/>
        </w:rPr>
        <w:t>加强设备维护，确保设备处于良好的运转状态，杜绝因设备不正常运转时产生的高噪声现象。</w:t>
      </w:r>
    </w:p>
    <w:p w14:paraId="6C449A1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2"/>
          <w:sz w:val="24"/>
          <w:szCs w:val="22"/>
          <w:highlight w:val="none"/>
          <w:lang w:val="en-US" w:eastAsia="zh-CN" w:bidi="ar-SA"/>
        </w:rPr>
        <w:t>（6）</w:t>
      </w:r>
      <w:r>
        <w:rPr>
          <w:rFonts w:hint="default" w:ascii="Times New Roman" w:hAnsi="Times New Roman" w:eastAsia="宋体" w:cs="Times New Roman"/>
          <w:color w:val="auto"/>
          <w:sz w:val="24"/>
          <w:highlight w:val="none"/>
        </w:rPr>
        <w:t>对出入区域内来往的加油车辆严格管理，采取车辆进站时减速、禁止鸣笛、加油时车辆熄火和平稳启动等措施，使区域内的交通噪声降到最低值。</w:t>
      </w:r>
    </w:p>
    <w:bookmarkEnd w:id="528"/>
    <w:bookmarkEnd w:id="529"/>
    <w:bookmarkEnd w:id="530"/>
    <w:bookmarkEnd w:id="531"/>
    <w:bookmarkEnd w:id="532"/>
    <w:p w14:paraId="13721A6F">
      <w:pPr>
        <w:keepNext w:val="0"/>
        <w:keepLines w:val="0"/>
        <w:pageBreakBefore w:val="0"/>
        <w:widowControl/>
        <w:kinsoku/>
        <w:wordWrap/>
        <w:overflowPunct/>
        <w:topLinePunct w:val="0"/>
        <w:autoSpaceDE/>
        <w:autoSpaceDN/>
        <w:bidi w:val="0"/>
        <w:adjustRightInd w:val="0"/>
        <w:snapToGrid/>
        <w:spacing w:line="360" w:lineRule="auto"/>
        <w:ind w:firstLine="480" w:firstLineChars="200"/>
        <w:jc w:val="left"/>
        <w:textAlignment w:val="auto"/>
        <w:rPr>
          <w:rFonts w:ascii="Times New Roman" w:hAnsi="Times New Roman" w:eastAsia="宋体"/>
          <w:bCs/>
          <w:color w:val="auto"/>
          <w:sz w:val="24"/>
          <w:szCs w:val="24"/>
          <w:highlight w:val="none"/>
        </w:rPr>
      </w:pPr>
      <w:r>
        <w:rPr>
          <w:rFonts w:ascii="Times New Roman" w:hAnsi="Times New Roman" w:eastAsia="宋体"/>
          <w:bCs/>
          <w:color w:val="auto"/>
          <w:sz w:val="24"/>
          <w:szCs w:val="24"/>
          <w:highlight w:val="none"/>
        </w:rPr>
        <w:t>采取了以上的隔声降噪措施以及利用绿地和周围建筑物衰减声源，项目产生的噪声对厂界（车间边界）声环境影响比较有限，经预测后厂界噪声</w:t>
      </w:r>
      <w:r>
        <w:rPr>
          <w:rFonts w:hint="eastAsia" w:ascii="Times New Roman" w:hAnsi="Times New Roman" w:eastAsia="宋体"/>
          <w:bCs/>
          <w:color w:val="auto"/>
          <w:sz w:val="24"/>
          <w:szCs w:val="24"/>
          <w:highlight w:val="none"/>
          <w:lang w:val="en-US" w:eastAsia="zh-CN"/>
        </w:rPr>
        <w:t>贡献值</w:t>
      </w:r>
      <w:r>
        <w:rPr>
          <w:rFonts w:ascii="Times New Roman" w:hAnsi="Times New Roman" w:eastAsia="宋体"/>
          <w:bCs/>
          <w:color w:val="auto"/>
          <w:sz w:val="24"/>
          <w:szCs w:val="24"/>
          <w:highlight w:val="none"/>
        </w:rPr>
        <w:t>全部满足《工业企业厂界环境噪声排放标准》（GB12348-2008）3类</w:t>
      </w:r>
      <w:r>
        <w:rPr>
          <w:rFonts w:hint="eastAsia" w:ascii="Times New Roman" w:hAnsi="Times New Roman" w:eastAsia="宋体"/>
          <w:bCs/>
          <w:color w:val="auto"/>
          <w:sz w:val="24"/>
          <w:szCs w:val="24"/>
          <w:highlight w:val="none"/>
          <w:lang w:eastAsia="zh-CN"/>
        </w:rPr>
        <w:t>、</w:t>
      </w:r>
      <w:r>
        <w:rPr>
          <w:rFonts w:hint="eastAsia" w:ascii="Times New Roman" w:hAnsi="Times New Roman" w:eastAsia="宋体"/>
          <w:bCs/>
          <w:color w:val="auto"/>
          <w:sz w:val="24"/>
          <w:szCs w:val="24"/>
          <w:highlight w:val="none"/>
          <w:lang w:val="en-US" w:eastAsia="zh-CN"/>
        </w:rPr>
        <w:t>4a</w:t>
      </w:r>
      <w:r>
        <w:rPr>
          <w:rFonts w:ascii="Times New Roman" w:hAnsi="Times New Roman" w:eastAsia="宋体"/>
          <w:bCs/>
          <w:color w:val="auto"/>
          <w:sz w:val="24"/>
          <w:szCs w:val="24"/>
          <w:highlight w:val="none"/>
        </w:rPr>
        <w:t>标准，不会对周围环境和本项目内部造成明显影响。</w:t>
      </w:r>
    </w:p>
    <w:p w14:paraId="54A75B33">
      <w:pPr>
        <w:pStyle w:val="218"/>
        <w:spacing w:before="62" w:after="156"/>
        <w:rPr>
          <w:color w:val="auto"/>
          <w:highlight w:val="none"/>
        </w:rPr>
      </w:pPr>
      <w:bookmarkStart w:id="533" w:name="_Toc152922692"/>
      <w:bookmarkStart w:id="534" w:name="_Toc1688"/>
      <w:bookmarkStart w:id="535" w:name="_Toc152922098"/>
      <w:r>
        <w:rPr>
          <w:color w:val="auto"/>
          <w:highlight w:val="none"/>
        </w:rPr>
        <w:t>6.</w:t>
      </w:r>
      <w:r>
        <w:rPr>
          <w:rFonts w:hint="eastAsia"/>
          <w:color w:val="auto"/>
          <w:highlight w:val="none"/>
          <w:lang w:val="en-US" w:eastAsia="zh-CN"/>
        </w:rPr>
        <w:t>5</w:t>
      </w:r>
      <w:r>
        <w:rPr>
          <w:color w:val="auto"/>
          <w:highlight w:val="none"/>
        </w:rPr>
        <w:t>固体废物污染防治措施及可行性分析</w:t>
      </w:r>
      <w:bookmarkEnd w:id="533"/>
      <w:bookmarkEnd w:id="534"/>
      <w:bookmarkEnd w:id="535"/>
    </w:p>
    <w:p w14:paraId="798D0B25">
      <w:pPr>
        <w:spacing w:line="360" w:lineRule="auto"/>
        <w:ind w:firstLine="436" w:firstLineChars="182"/>
        <w:rPr>
          <w:rFonts w:hint="default" w:ascii="Times New Roman" w:hAnsi="Times New Roman" w:eastAsia="宋体" w:cs="Times New Roman"/>
          <w:color w:val="auto"/>
          <w:sz w:val="24"/>
          <w:highlight w:val="none"/>
        </w:rPr>
      </w:pPr>
      <w:bookmarkStart w:id="536" w:name="_Toc152922100"/>
      <w:bookmarkStart w:id="537" w:name="_Toc152922694"/>
      <w:bookmarkStart w:id="538" w:name="_Toc117150291"/>
      <w:bookmarkStart w:id="539" w:name="_Toc152921735"/>
      <w:bookmarkStart w:id="540" w:name="_Toc152923375"/>
      <w:r>
        <w:rPr>
          <w:rFonts w:hint="default" w:ascii="Times New Roman" w:hAnsi="Times New Roman" w:eastAsia="宋体" w:cs="Times New Roman"/>
          <w:color w:val="auto"/>
          <w:sz w:val="24"/>
          <w:highlight w:val="none"/>
        </w:rPr>
        <w:t>项目产生的</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主要分为</w:t>
      </w:r>
      <w:r>
        <w:rPr>
          <w:rFonts w:hint="default" w:ascii="Times New Roman" w:hAnsi="Times New Roman" w:eastAsia="宋体" w:cs="Times New Roman"/>
          <w:color w:val="auto"/>
          <w:sz w:val="24"/>
          <w:highlight w:val="none"/>
          <w:lang w:eastAsia="zh-CN"/>
        </w:rPr>
        <w:t>员工生活垃圾、</w:t>
      </w:r>
      <w:r>
        <w:rPr>
          <w:rFonts w:hint="default" w:ascii="Times New Roman" w:hAnsi="Times New Roman" w:eastAsia="宋体" w:cs="Times New Roman"/>
          <w:color w:val="auto"/>
          <w:sz w:val="24"/>
          <w:highlight w:val="none"/>
        </w:rPr>
        <w:t>一般工业固体废物和危险</w:t>
      </w:r>
      <w:r>
        <w:rPr>
          <w:rFonts w:hint="default" w:ascii="Times New Roman" w:hAnsi="Times New Roman" w:eastAsia="宋体" w:cs="Times New Roman"/>
          <w:color w:val="auto"/>
          <w:sz w:val="24"/>
          <w:highlight w:val="none"/>
          <w:lang w:eastAsia="zh-CN"/>
        </w:rPr>
        <w:t>废物</w:t>
      </w:r>
      <w:r>
        <w:rPr>
          <w:rFonts w:hint="default" w:ascii="Times New Roman" w:hAnsi="Times New Roman" w:eastAsia="宋体" w:cs="Times New Roman"/>
          <w:color w:val="auto"/>
          <w:sz w:val="24"/>
          <w:highlight w:val="none"/>
        </w:rPr>
        <w:t>。</w:t>
      </w:r>
    </w:p>
    <w:p w14:paraId="550184DD">
      <w:pPr>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highlight w:val="none"/>
          <w:lang w:eastAsia="zh-CN"/>
        </w:rPr>
      </w:pPr>
      <w:r>
        <w:rPr>
          <w:rFonts w:hint="eastAsia" w:ascii="Times New Roman" w:hAnsi="Times New Roman" w:eastAsia="宋体" w:cs="Times New Roman"/>
          <w:color w:val="auto"/>
          <w:sz w:val="24"/>
          <w:szCs w:val="24"/>
          <w:highlight w:val="none"/>
          <w:lang w:val="en-US" w:eastAsia="zh-CN"/>
        </w:rPr>
        <w:t>沼气除杂产</w:t>
      </w:r>
      <w:r>
        <w:rPr>
          <w:rFonts w:hint="eastAsia" w:cs="Times New Roman"/>
          <w:color w:val="auto"/>
          <w:sz w:val="24"/>
          <w:szCs w:val="24"/>
          <w:highlight w:val="none"/>
          <w:lang w:val="en-US" w:eastAsia="zh-CN"/>
        </w:rPr>
        <w:t>生的</w:t>
      </w:r>
      <w:r>
        <w:rPr>
          <w:rFonts w:hint="eastAsia" w:ascii="Times New Roman" w:hAnsi="Times New Roman" w:eastAsia="宋体" w:cs="Times New Roman"/>
          <w:color w:val="auto"/>
          <w:sz w:val="24"/>
          <w:szCs w:val="24"/>
          <w:highlight w:val="none"/>
          <w:lang w:val="en-US" w:eastAsia="zh-CN"/>
        </w:rPr>
        <w:t>废过滤膜</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szCs w:val="24"/>
          <w:highlight w:val="none"/>
          <w:lang w:val="en-US" w:eastAsia="zh-CN"/>
        </w:rPr>
        <w:t>制氮机</w:t>
      </w:r>
      <w:r>
        <w:rPr>
          <w:rFonts w:hint="default" w:ascii="Times New Roman" w:hAnsi="Times New Roman" w:eastAsia="宋体" w:cs="Times New Roman"/>
          <w:color w:val="auto"/>
          <w:sz w:val="24"/>
          <w:szCs w:val="24"/>
          <w:highlight w:val="none"/>
          <w:lang w:eastAsia="zh-CN"/>
        </w:rPr>
        <w:t>废</w:t>
      </w:r>
      <w:r>
        <w:rPr>
          <w:rFonts w:hint="eastAsia" w:ascii="Times New Roman" w:hAnsi="Times New Roman" w:eastAsia="宋体" w:cs="Times New Roman"/>
          <w:color w:val="auto"/>
          <w:sz w:val="24"/>
          <w:szCs w:val="24"/>
          <w:highlight w:val="none"/>
          <w:lang w:val="en-US" w:eastAsia="zh-CN"/>
        </w:rPr>
        <w:t>过滤膜</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szCs w:val="24"/>
          <w:highlight w:val="none"/>
          <w:lang w:eastAsia="zh-CN"/>
        </w:rPr>
        <w:t>脱盐水产生的废滤芯、废滤膜</w:t>
      </w:r>
      <w:r>
        <w:rPr>
          <w:rFonts w:hint="default" w:ascii="Times New Roman" w:hAnsi="Times New Roman" w:eastAsia="宋体" w:cs="Times New Roman"/>
          <w:color w:val="auto"/>
          <w:sz w:val="24"/>
          <w:highlight w:val="none"/>
        </w:rPr>
        <w:t>等</w:t>
      </w:r>
      <w:r>
        <w:rPr>
          <w:rFonts w:hint="default" w:ascii="Times New Roman" w:hAnsi="Times New Roman" w:eastAsia="宋体" w:cs="Times New Roman"/>
          <w:color w:val="auto"/>
          <w:sz w:val="24"/>
          <w:highlight w:val="none"/>
          <w:lang w:val="en-US" w:eastAsia="zh-CN"/>
        </w:rPr>
        <w:t>分类</w:t>
      </w:r>
      <w:r>
        <w:rPr>
          <w:rFonts w:hint="default" w:ascii="Times New Roman" w:hAnsi="Times New Roman" w:eastAsia="宋体" w:cs="Times New Roman"/>
          <w:color w:val="auto"/>
          <w:sz w:val="24"/>
          <w:highlight w:val="none"/>
          <w:lang w:eastAsia="zh-CN"/>
        </w:rPr>
        <w:t>集中收集后，外售</w:t>
      </w:r>
      <w:r>
        <w:rPr>
          <w:rFonts w:hint="default" w:ascii="Times New Roman" w:hAnsi="Times New Roman" w:eastAsia="宋体" w:cs="Times New Roman"/>
          <w:color w:val="auto"/>
          <w:sz w:val="24"/>
          <w:highlight w:val="none"/>
        </w:rPr>
        <w:t>综合利用</w:t>
      </w:r>
      <w:r>
        <w:rPr>
          <w:rFonts w:hint="eastAsia" w:ascii="Times New Roman" w:hAnsi="Times New Roman" w:eastAsia="宋体" w:cs="Times New Roman"/>
          <w:color w:val="auto"/>
          <w:sz w:val="24"/>
          <w:highlight w:val="none"/>
          <w:lang w:val="en-US" w:eastAsia="zh-CN"/>
        </w:rPr>
        <w:t>或由厂家回收</w:t>
      </w:r>
      <w:r>
        <w:rPr>
          <w:rFonts w:hint="default" w:ascii="Times New Roman" w:hAnsi="Times New Roman" w:eastAsia="宋体" w:cs="Times New Roman"/>
          <w:color w:val="auto"/>
          <w:sz w:val="24"/>
          <w:highlight w:val="none"/>
        </w:rPr>
        <w:t>；生活垃圾委托环卫部门清运处理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lang w:eastAsia="zh-CN"/>
        </w:rPr>
        <w:t>制氢过程产生的</w:t>
      </w:r>
      <w:r>
        <w:rPr>
          <w:rFonts w:hint="eastAsia" w:ascii="Times New Roman" w:hAnsi="Times New Roman" w:eastAsia="宋体" w:cs="Times New Roman"/>
          <w:color w:val="auto"/>
          <w:sz w:val="24"/>
          <w:szCs w:val="24"/>
          <w:highlight w:val="none"/>
          <w:lang w:val="en-US" w:eastAsia="zh-CN"/>
        </w:rPr>
        <w:t>废吸附剂</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废脱硫剂、废催化剂、隔油沉淀产生废污泥、清罐废油泥（含废清理液）</w:t>
      </w:r>
      <w:r>
        <w:rPr>
          <w:rFonts w:hint="default" w:ascii="Times New Roman" w:hAnsi="Times New Roman" w:eastAsia="宋体" w:cs="Times New Roman"/>
          <w:color w:val="auto"/>
          <w:sz w:val="24"/>
          <w:highlight w:val="none"/>
        </w:rPr>
        <w:t>属于危险废物</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szCs w:val="24"/>
          <w:highlight w:val="none"/>
          <w:lang w:val="en-US" w:eastAsia="zh-CN"/>
        </w:rPr>
        <w:t>隔油沉淀产生废污泥</w:t>
      </w:r>
      <w:r>
        <w:rPr>
          <w:rFonts w:hint="default" w:ascii="Times New Roman" w:hAnsi="Times New Roman" w:eastAsia="宋体" w:cs="Times New Roman"/>
          <w:color w:val="auto"/>
          <w:sz w:val="24"/>
          <w:highlight w:val="none"/>
          <w:lang w:eastAsia="zh-CN"/>
        </w:rPr>
        <w:t>在厂区危险废物暂存间暂存后，定期</w:t>
      </w:r>
      <w:r>
        <w:rPr>
          <w:rFonts w:hint="default" w:ascii="Times New Roman" w:hAnsi="Times New Roman" w:eastAsia="宋体" w:cs="Times New Roman"/>
          <w:color w:val="auto"/>
          <w:sz w:val="24"/>
          <w:highlight w:val="none"/>
        </w:rPr>
        <w:t>委托有资质单位处置</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szCs w:val="24"/>
          <w:highlight w:val="none"/>
          <w:lang w:val="en-US" w:eastAsia="zh-CN"/>
        </w:rPr>
        <w:t>废吸附剂</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废脱硫剂、废催化剂、清罐废油泥（含废清理液）</w:t>
      </w:r>
      <w:r>
        <w:rPr>
          <w:rFonts w:hint="eastAsia" w:ascii="Times New Roman" w:hAnsi="Times New Roman" w:eastAsia="宋体" w:cs="Times New Roman"/>
          <w:color w:val="auto"/>
          <w:sz w:val="24"/>
          <w:highlight w:val="none"/>
          <w:lang w:val="en-US" w:eastAsia="zh-CN"/>
        </w:rPr>
        <w:t>由资质单位更换委托处置，不在厂区内暂存</w:t>
      </w:r>
      <w:r>
        <w:rPr>
          <w:rFonts w:hint="default" w:ascii="Times New Roman" w:hAnsi="Times New Roman" w:eastAsia="宋体" w:cs="Times New Roman"/>
          <w:color w:val="auto"/>
          <w:sz w:val="24"/>
          <w:highlight w:val="none"/>
          <w:lang w:eastAsia="zh-CN"/>
        </w:rPr>
        <w:t>。</w:t>
      </w:r>
    </w:p>
    <w:p w14:paraId="12EB2EB2">
      <w:pPr>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sz w:val="24"/>
          <w:highlight w:val="none"/>
        </w:rPr>
      </w:pPr>
      <w:r>
        <w:rPr>
          <w:rFonts w:hint="default" w:ascii="Times New Roman" w:hAnsi="Times New Roman" w:eastAsia="宋体" w:cs="Times New Roman"/>
          <w:color w:val="auto"/>
          <w:sz w:val="24"/>
          <w:highlight w:val="none"/>
        </w:rPr>
        <w:t>项目建设</w:t>
      </w:r>
      <w:r>
        <w:rPr>
          <w:rFonts w:hint="eastAsia" w:cs="Times New Roman"/>
          <w:color w:val="auto"/>
          <w:sz w:val="24"/>
          <w:highlight w:val="none"/>
          <w:lang w:eastAsia="zh-CN"/>
        </w:rPr>
        <w:t>单位</w:t>
      </w:r>
      <w:r>
        <w:rPr>
          <w:rFonts w:hint="default" w:ascii="Times New Roman" w:hAnsi="Times New Roman" w:eastAsia="宋体" w:cs="Times New Roman"/>
          <w:color w:val="auto"/>
          <w:sz w:val="24"/>
          <w:highlight w:val="none"/>
        </w:rPr>
        <w:t>强化废物产生、收集、贮存等</w:t>
      </w:r>
      <w:r>
        <w:rPr>
          <w:rFonts w:hint="eastAsia" w:ascii="Times New Roman" w:hAnsi="Times New Roman" w:eastAsia="宋体" w:cs="Times New Roman"/>
          <w:color w:val="auto"/>
          <w:sz w:val="24"/>
          <w:highlight w:val="none"/>
          <w:lang w:eastAsia="zh-CN"/>
        </w:rPr>
        <w:t>环节</w:t>
      </w:r>
      <w:r>
        <w:rPr>
          <w:rFonts w:hint="default" w:ascii="Times New Roman" w:hAnsi="Times New Roman" w:eastAsia="宋体" w:cs="Times New Roman"/>
          <w:color w:val="auto"/>
          <w:sz w:val="24"/>
          <w:highlight w:val="none"/>
        </w:rPr>
        <w:t>的管理，杜绝</w:t>
      </w:r>
      <w:r>
        <w:rPr>
          <w:rFonts w:hint="default" w:ascii="Times New Roman" w:hAnsi="Times New Roman" w:eastAsia="宋体" w:cs="Times New Roman"/>
          <w:color w:val="auto"/>
          <w:sz w:val="24"/>
          <w:highlight w:val="none"/>
          <w:lang w:eastAsia="zh-CN"/>
        </w:rPr>
        <w:t>固体废</w:t>
      </w:r>
      <w:r>
        <w:rPr>
          <w:rFonts w:hint="eastAsia" w:cs="Times New Roman"/>
          <w:color w:val="auto"/>
          <w:sz w:val="24"/>
          <w:highlight w:val="none"/>
          <w:lang w:eastAsia="zh-CN"/>
        </w:rPr>
        <w:t>物在</w:t>
      </w:r>
      <w:r>
        <w:rPr>
          <w:rFonts w:hint="default" w:ascii="Times New Roman" w:hAnsi="Times New Roman" w:eastAsia="宋体" w:cs="Times New Roman"/>
          <w:color w:val="auto"/>
          <w:sz w:val="24"/>
          <w:highlight w:val="none"/>
        </w:rPr>
        <w:t>厂区内的散失、渗漏。做好</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在场内的收集和储存相关工作，收集后进行有效的处置。建立完善的规章制度，以降低危险废物散落对周围环境的影响。</w:t>
      </w:r>
      <w:r>
        <w:rPr>
          <w:rFonts w:hint="default" w:ascii="Times New Roman" w:hAnsi="Times New Roman" w:eastAsia="宋体" w:cs="Times New Roman"/>
          <w:b w:val="0"/>
          <w:bCs/>
          <w:color w:val="auto"/>
          <w:sz w:val="24"/>
          <w:highlight w:val="none"/>
        </w:rPr>
        <w:t>通过相应的利用措施和严格的监督管理措施，拟建项目各类</w:t>
      </w:r>
      <w:r>
        <w:rPr>
          <w:rFonts w:hint="default" w:ascii="Times New Roman" w:hAnsi="Times New Roman" w:eastAsia="宋体" w:cs="Times New Roman"/>
          <w:b w:val="0"/>
          <w:bCs/>
          <w:color w:val="auto"/>
          <w:sz w:val="24"/>
          <w:highlight w:val="none"/>
          <w:lang w:eastAsia="zh-CN"/>
        </w:rPr>
        <w:t>固体废物</w:t>
      </w:r>
      <w:r>
        <w:rPr>
          <w:rFonts w:hint="default" w:ascii="Times New Roman" w:hAnsi="Times New Roman" w:eastAsia="宋体" w:cs="Times New Roman"/>
          <w:b w:val="0"/>
          <w:bCs/>
          <w:color w:val="auto"/>
          <w:sz w:val="24"/>
          <w:highlight w:val="none"/>
        </w:rPr>
        <w:t>均可得到妥善处置和利用，不会对周围环境造成二次污染，可实现区域零排放，不会对周围环境产生不利影响。</w:t>
      </w:r>
    </w:p>
    <w:p w14:paraId="5DB1CC1A">
      <w:pPr>
        <w:pStyle w:val="4"/>
        <w:spacing w:after="156"/>
        <w:rPr>
          <w:rFonts w:ascii="Times New Roman" w:hAnsi="Times New Roman" w:eastAsia="宋体" w:cs="Times New Roman"/>
          <w:b/>
          <w:color w:val="auto"/>
          <w:highlight w:val="none"/>
        </w:rPr>
      </w:pPr>
      <w:r>
        <w:rPr>
          <w:rFonts w:hint="eastAsia" w:ascii="Times New Roman" w:hAnsi="Times New Roman" w:eastAsia="宋体" w:cs="Times New Roman"/>
          <w:b/>
          <w:color w:val="auto"/>
          <w:highlight w:val="none"/>
          <w:lang w:val="en-US" w:eastAsia="zh-CN"/>
        </w:rPr>
        <w:t>6.5</w:t>
      </w:r>
      <w:r>
        <w:rPr>
          <w:rFonts w:hint="eastAsia" w:ascii="Times New Roman" w:hAnsi="Times New Roman" w:eastAsia="宋体" w:cs="Times New Roman"/>
          <w:b/>
          <w:color w:val="auto"/>
          <w:highlight w:val="none"/>
        </w:rPr>
        <w:t>.1</w:t>
      </w:r>
      <w:r>
        <w:rPr>
          <w:rFonts w:ascii="Times New Roman" w:hAnsi="Times New Roman" w:eastAsia="宋体" w:cs="Times New Roman"/>
          <w:b/>
          <w:color w:val="auto"/>
          <w:highlight w:val="none"/>
        </w:rPr>
        <w:t>一般工业固废对环境的影响途径及处理措施</w:t>
      </w:r>
    </w:p>
    <w:p w14:paraId="0B39B5C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项目一般固废主要为</w:t>
      </w:r>
      <w:r>
        <w:rPr>
          <w:rFonts w:hint="default" w:ascii="Times New Roman" w:hAnsi="Times New Roman" w:cs="Times New Roman"/>
          <w:color w:val="auto"/>
          <w:sz w:val="24"/>
          <w:szCs w:val="24"/>
          <w:highlight w:val="none"/>
          <w:lang w:val="en-US" w:eastAsia="zh-CN"/>
        </w:rPr>
        <w:t>废气处理产生</w:t>
      </w:r>
      <w:r>
        <w:rPr>
          <w:rFonts w:hint="eastAsia" w:ascii="Times New Roman" w:hAnsi="Times New Roman" w:eastAsia="宋体" w:cs="Times New Roman"/>
          <w:color w:val="auto"/>
          <w:sz w:val="24"/>
          <w:szCs w:val="24"/>
          <w:highlight w:val="none"/>
          <w:lang w:val="en-US" w:eastAsia="zh-CN"/>
        </w:rPr>
        <w:t>沼气除杂产生废过滤膜</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szCs w:val="24"/>
          <w:highlight w:val="none"/>
          <w:lang w:val="en-US" w:eastAsia="zh-CN"/>
        </w:rPr>
        <w:t>制氮机</w:t>
      </w:r>
      <w:r>
        <w:rPr>
          <w:rFonts w:hint="default" w:ascii="Times New Roman" w:hAnsi="Times New Roman" w:eastAsia="宋体" w:cs="Times New Roman"/>
          <w:color w:val="auto"/>
          <w:sz w:val="24"/>
          <w:szCs w:val="24"/>
          <w:highlight w:val="none"/>
          <w:lang w:eastAsia="zh-CN"/>
        </w:rPr>
        <w:t>废</w:t>
      </w:r>
      <w:r>
        <w:rPr>
          <w:rFonts w:hint="eastAsia" w:ascii="Times New Roman" w:hAnsi="Times New Roman" w:eastAsia="宋体" w:cs="Times New Roman"/>
          <w:color w:val="auto"/>
          <w:sz w:val="24"/>
          <w:szCs w:val="24"/>
          <w:highlight w:val="none"/>
          <w:lang w:val="en-US" w:eastAsia="zh-CN"/>
        </w:rPr>
        <w:t>过滤膜</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szCs w:val="24"/>
          <w:highlight w:val="none"/>
          <w:lang w:eastAsia="zh-CN"/>
        </w:rPr>
        <w:t>脱盐水产生的废滤芯、废滤膜</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分类收集暂存于</w:t>
      </w:r>
      <w:r>
        <w:rPr>
          <w:rFonts w:hint="default" w:ascii="Times New Roman" w:hAnsi="Times New Roman" w:cs="Times New Roman"/>
          <w:color w:val="auto"/>
          <w:sz w:val="24"/>
          <w:szCs w:val="24"/>
          <w:highlight w:val="none"/>
        </w:rPr>
        <w:t>一般固废间暂存，</w:t>
      </w:r>
      <w:r>
        <w:rPr>
          <w:rFonts w:hint="eastAsia" w:ascii="Times New Roman" w:hAnsi="Times New Roman" w:cs="Times New Roman"/>
          <w:color w:val="auto"/>
          <w:sz w:val="24"/>
          <w:szCs w:val="24"/>
          <w:highlight w:val="none"/>
          <w:lang w:val="en-US" w:eastAsia="zh-CN"/>
        </w:rPr>
        <w:t>定期外售物质回收部门</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根据表5.2.4-2可知，本项目拟设置20m</w:t>
      </w:r>
      <w:r>
        <w:rPr>
          <w:rFonts w:hint="eastAsia"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sz w:val="24"/>
          <w:szCs w:val="24"/>
          <w:highlight w:val="none"/>
          <w:lang w:val="en-US" w:eastAsia="zh-CN"/>
        </w:rPr>
        <w:t>一般固废间满足暂存要求。</w:t>
      </w:r>
      <w:r>
        <w:rPr>
          <w:rFonts w:hint="default" w:ascii="Times New Roman" w:hAnsi="Times New Roman" w:cs="Times New Roman"/>
          <w:color w:val="auto"/>
          <w:sz w:val="24"/>
          <w:szCs w:val="24"/>
          <w:highlight w:val="none"/>
        </w:rPr>
        <w:t>一般固废间及要求如下：</w:t>
      </w:r>
    </w:p>
    <w:p w14:paraId="4D92776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w:t>
      </w:r>
      <w:r>
        <w:rPr>
          <w:rFonts w:hint="eastAsia" w:ascii="Times New Roman" w:hAnsi="Times New Roman" w:cs="Times New Roman"/>
          <w:color w:val="auto"/>
          <w:sz w:val="24"/>
          <w:szCs w:val="24"/>
          <w:highlight w:val="none"/>
          <w:lang w:val="en-US" w:eastAsia="zh-CN"/>
        </w:rPr>
        <w:t>参照</w:t>
      </w:r>
      <w:r>
        <w:rPr>
          <w:rFonts w:hint="default" w:ascii="Times New Roman" w:hAnsi="Times New Roman" w:cs="Times New Roman"/>
          <w:color w:val="auto"/>
          <w:sz w:val="24"/>
          <w:szCs w:val="24"/>
          <w:highlight w:val="none"/>
        </w:rPr>
        <w:t>《一般工业固体废物贮存和填埋污染控制标准》（GB18599-2020）</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各类贮存场所采取防风、防雨、防渗措施应满足《一般工业固体废物贮存和填埋污染控制标准》（GB18599-2020）</w:t>
      </w:r>
      <w:r>
        <w:rPr>
          <w:rFonts w:hint="default" w:ascii="Times New Roman" w:hAnsi="Times New Roman" w:eastAsia="宋体" w:cs="Times New Roman"/>
          <w:color w:val="auto"/>
          <w:sz w:val="24"/>
          <w:highlight w:val="none"/>
          <w:lang w:val="en-US" w:eastAsia="zh-CN"/>
        </w:rPr>
        <w:t>相应防渗漏、防雨淋、防扬尘等环境保护要求，并确保处置过程不对环境造成二次污染</w:t>
      </w:r>
    </w:p>
    <w:p w14:paraId="6C0FC1C0">
      <w:pPr>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w:t>
      </w:r>
      <w:r>
        <w:rPr>
          <w:rFonts w:hint="default" w:ascii="Times New Roman" w:hAnsi="Times New Roman" w:eastAsia="宋体" w:cs="Times New Roman"/>
          <w:color w:val="auto"/>
          <w:sz w:val="24"/>
          <w:highlight w:val="none"/>
        </w:rPr>
        <w:t>项目建设</w:t>
      </w:r>
      <w:r>
        <w:rPr>
          <w:rFonts w:hint="eastAsia" w:cs="Times New Roman"/>
          <w:color w:val="auto"/>
          <w:sz w:val="24"/>
          <w:highlight w:val="none"/>
          <w:lang w:eastAsia="zh-CN"/>
        </w:rPr>
        <w:t>单位</w:t>
      </w:r>
      <w:r>
        <w:rPr>
          <w:rFonts w:hint="default" w:ascii="Times New Roman" w:hAnsi="Times New Roman" w:eastAsia="宋体" w:cs="Times New Roman"/>
          <w:color w:val="auto"/>
          <w:sz w:val="24"/>
          <w:highlight w:val="none"/>
        </w:rPr>
        <w:t>强化废物产生、收集、贮存等</w:t>
      </w:r>
      <w:r>
        <w:rPr>
          <w:rFonts w:hint="eastAsia" w:ascii="Times New Roman" w:hAnsi="Times New Roman" w:eastAsia="宋体" w:cs="Times New Roman"/>
          <w:color w:val="auto"/>
          <w:sz w:val="24"/>
          <w:highlight w:val="none"/>
          <w:lang w:eastAsia="zh-CN"/>
        </w:rPr>
        <w:t>环节</w:t>
      </w:r>
      <w:r>
        <w:rPr>
          <w:rFonts w:hint="default" w:ascii="Times New Roman" w:hAnsi="Times New Roman" w:eastAsia="宋体" w:cs="Times New Roman"/>
          <w:color w:val="auto"/>
          <w:sz w:val="24"/>
          <w:highlight w:val="none"/>
        </w:rPr>
        <w:t>的管理，杜绝</w:t>
      </w:r>
      <w:r>
        <w:rPr>
          <w:rFonts w:hint="default" w:ascii="Times New Roman" w:hAnsi="Times New Roman" w:eastAsia="宋体" w:cs="Times New Roman"/>
          <w:color w:val="auto"/>
          <w:sz w:val="24"/>
          <w:highlight w:val="none"/>
          <w:lang w:eastAsia="zh-CN"/>
        </w:rPr>
        <w:t>固体废</w:t>
      </w:r>
      <w:r>
        <w:rPr>
          <w:rFonts w:hint="eastAsia" w:cs="Times New Roman"/>
          <w:color w:val="auto"/>
          <w:sz w:val="24"/>
          <w:highlight w:val="none"/>
          <w:lang w:eastAsia="zh-CN"/>
        </w:rPr>
        <w:t>物在</w:t>
      </w:r>
      <w:r>
        <w:rPr>
          <w:rFonts w:hint="default" w:ascii="Times New Roman" w:hAnsi="Times New Roman" w:eastAsia="宋体" w:cs="Times New Roman"/>
          <w:color w:val="auto"/>
          <w:sz w:val="24"/>
          <w:highlight w:val="none"/>
        </w:rPr>
        <w:t>厂区内的散失、渗漏。做好</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在场内的收集和储存相关工作，收集后进行有效的处置。建立完善的规章制度，以降低危险废物散落对周围环境的影响。</w:t>
      </w:r>
    </w:p>
    <w:p w14:paraId="0E67CBD6">
      <w:pPr>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通过相应的利用措施和严格的监督管理措施，拟建项目各类</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均可得到妥善处置和利用，不会对周围环境造成二次污染，可实现区域零排放，不会对周围环境产生不利影响。</w:t>
      </w:r>
    </w:p>
    <w:p w14:paraId="45F00E62">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ascii="Times New Roman" w:hAnsi="Times New Roman" w:eastAsia="宋体" w:cs="Times New Roman"/>
          <w:b/>
          <w:color w:val="auto"/>
          <w:highlight w:val="none"/>
        </w:rPr>
      </w:pPr>
      <w:r>
        <w:rPr>
          <w:rFonts w:hint="eastAsia" w:ascii="Times New Roman" w:hAnsi="Times New Roman" w:eastAsia="宋体" w:cs="Times New Roman"/>
          <w:b/>
          <w:color w:val="auto"/>
          <w:highlight w:val="none"/>
          <w:lang w:val="en-US" w:eastAsia="zh-CN"/>
        </w:rPr>
        <w:t>6</w:t>
      </w:r>
      <w:r>
        <w:rPr>
          <w:rFonts w:hint="eastAsia" w:ascii="Times New Roman" w:hAnsi="Times New Roman" w:eastAsia="宋体" w:cs="Times New Roman"/>
          <w:b/>
          <w:color w:val="auto"/>
          <w:highlight w:val="none"/>
        </w:rPr>
        <w:t>.</w:t>
      </w:r>
      <w:r>
        <w:rPr>
          <w:rFonts w:hint="eastAsia" w:ascii="Times New Roman" w:hAnsi="Times New Roman" w:eastAsia="宋体" w:cs="Times New Roman"/>
          <w:b/>
          <w:color w:val="auto"/>
          <w:highlight w:val="none"/>
          <w:lang w:val="en-US" w:eastAsia="zh-CN"/>
        </w:rPr>
        <w:t>5</w:t>
      </w:r>
      <w:r>
        <w:rPr>
          <w:rFonts w:hint="eastAsia" w:ascii="Times New Roman" w:hAnsi="Times New Roman" w:eastAsia="宋体" w:cs="Times New Roman"/>
          <w:b/>
          <w:color w:val="auto"/>
          <w:highlight w:val="none"/>
        </w:rPr>
        <w:t>.</w:t>
      </w:r>
      <w:r>
        <w:rPr>
          <w:rFonts w:hint="eastAsia" w:ascii="Times New Roman" w:hAnsi="Times New Roman" w:eastAsia="宋体" w:cs="Times New Roman"/>
          <w:b/>
          <w:color w:val="auto"/>
          <w:highlight w:val="none"/>
          <w:lang w:val="en-US" w:eastAsia="zh-CN"/>
        </w:rPr>
        <w:t>2</w:t>
      </w:r>
      <w:r>
        <w:rPr>
          <w:rFonts w:hint="eastAsia" w:ascii="Times New Roman" w:hAnsi="Times New Roman" w:eastAsia="宋体" w:cs="Times New Roman"/>
          <w:b/>
          <w:color w:val="auto"/>
          <w:highlight w:val="none"/>
        </w:rPr>
        <w:t>.</w:t>
      </w:r>
      <w:r>
        <w:rPr>
          <w:rFonts w:ascii="Times New Roman" w:hAnsi="Times New Roman" w:eastAsia="宋体" w:cs="Times New Roman"/>
          <w:b/>
          <w:color w:val="auto"/>
          <w:highlight w:val="none"/>
        </w:rPr>
        <w:t>生活垃圾对环境的影响途径及处理措施</w:t>
      </w:r>
    </w:p>
    <w:p w14:paraId="1B9DEE7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sz w:val="24"/>
          <w:szCs w:val="24"/>
          <w:highlight w:val="none"/>
        </w:rPr>
      </w:pPr>
      <w:r>
        <w:rPr>
          <w:color w:val="auto"/>
          <w:sz w:val="24"/>
          <w:szCs w:val="24"/>
          <w:highlight w:val="none"/>
        </w:rPr>
        <w:t>本项目建成投产后，在厂区范围实行垃圾的分类收集。在人员流动较多的场所，设置可分类的加盖垃圾箱，将生活垃圾按环卫部门的规定要求，以分类投放的方式收集，由环卫部门定期清运，统一处置。</w:t>
      </w:r>
    </w:p>
    <w:p w14:paraId="2F24F92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color w:val="auto"/>
          <w:highlight w:val="none"/>
        </w:rPr>
      </w:pPr>
      <w:r>
        <w:rPr>
          <w:color w:val="auto"/>
          <w:sz w:val="24"/>
          <w:szCs w:val="24"/>
          <w:highlight w:val="none"/>
        </w:rPr>
        <w:t>本项目生活垃圾日产日清，不积存；密闭运输，不应出现遗撒及垃圾粘挂现象，以消除恶臭对周围环境空气的影响。</w:t>
      </w:r>
    </w:p>
    <w:p w14:paraId="00D0F171">
      <w:pPr>
        <w:pStyle w:val="4"/>
        <w:keepNext w:val="0"/>
        <w:keepLines w:val="0"/>
        <w:pageBreakBefore w:val="0"/>
        <w:widowControl w:val="0"/>
        <w:kinsoku/>
        <w:wordWrap/>
        <w:overflowPunct/>
        <w:topLinePunct w:val="0"/>
        <w:autoSpaceDE/>
        <w:autoSpaceDN/>
        <w:bidi w:val="0"/>
        <w:adjustRightInd/>
        <w:snapToGrid/>
        <w:spacing w:after="0" w:afterLines="0"/>
        <w:textAlignment w:val="auto"/>
        <w:rPr>
          <w:rFonts w:ascii="Times New Roman" w:hAnsi="Times New Roman" w:eastAsia="宋体" w:cs="Times New Roman"/>
          <w:b/>
          <w:color w:val="auto"/>
          <w:highlight w:val="none"/>
        </w:rPr>
      </w:pPr>
      <w:bookmarkStart w:id="541" w:name="page149"/>
      <w:bookmarkEnd w:id="541"/>
      <w:r>
        <w:rPr>
          <w:rFonts w:hint="eastAsia" w:ascii="Times New Roman" w:hAnsi="Times New Roman" w:eastAsia="宋体" w:cs="Times New Roman"/>
          <w:b/>
          <w:color w:val="auto"/>
          <w:highlight w:val="none"/>
          <w:lang w:val="en-US" w:eastAsia="zh-CN"/>
        </w:rPr>
        <w:t>6</w:t>
      </w:r>
      <w:r>
        <w:rPr>
          <w:rFonts w:hint="eastAsia" w:ascii="Times New Roman" w:hAnsi="Times New Roman" w:eastAsia="宋体" w:cs="Times New Roman"/>
          <w:b/>
          <w:color w:val="auto"/>
          <w:highlight w:val="none"/>
        </w:rPr>
        <w:t>.</w:t>
      </w:r>
      <w:r>
        <w:rPr>
          <w:rFonts w:hint="eastAsia" w:ascii="Times New Roman" w:hAnsi="Times New Roman" w:eastAsia="宋体" w:cs="Times New Roman"/>
          <w:b/>
          <w:color w:val="auto"/>
          <w:highlight w:val="none"/>
          <w:lang w:val="en-US" w:eastAsia="zh-CN"/>
        </w:rPr>
        <w:t>5</w:t>
      </w:r>
      <w:r>
        <w:rPr>
          <w:rFonts w:hint="eastAsia" w:ascii="Times New Roman" w:hAnsi="Times New Roman" w:eastAsia="宋体" w:cs="Times New Roman"/>
          <w:b/>
          <w:color w:val="auto"/>
          <w:highlight w:val="none"/>
        </w:rPr>
        <w:t>.</w:t>
      </w:r>
      <w:r>
        <w:rPr>
          <w:rFonts w:hint="eastAsia" w:ascii="Times New Roman" w:hAnsi="Times New Roman" w:eastAsia="宋体" w:cs="Times New Roman"/>
          <w:b/>
          <w:color w:val="auto"/>
          <w:highlight w:val="none"/>
          <w:lang w:val="en-US" w:eastAsia="zh-CN"/>
        </w:rPr>
        <w:t>3</w:t>
      </w:r>
      <w:r>
        <w:rPr>
          <w:rFonts w:hint="eastAsia" w:ascii="Times New Roman" w:hAnsi="Times New Roman" w:eastAsia="宋体" w:cs="Times New Roman"/>
          <w:b/>
          <w:color w:val="auto"/>
          <w:highlight w:val="none"/>
        </w:rPr>
        <w:t>危险废物</w:t>
      </w:r>
      <w:r>
        <w:rPr>
          <w:rFonts w:ascii="Times New Roman" w:hAnsi="Times New Roman" w:eastAsia="宋体" w:cs="Times New Roman"/>
          <w:b/>
          <w:color w:val="auto"/>
          <w:highlight w:val="none"/>
        </w:rPr>
        <w:t>对环境的影响途径及处理措施</w:t>
      </w:r>
    </w:p>
    <w:p w14:paraId="5A733F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本项目产生的危险废物为</w:t>
      </w:r>
      <w:r>
        <w:rPr>
          <w:rFonts w:hint="default" w:ascii="Times New Roman" w:hAnsi="Times New Roman" w:eastAsia="宋体" w:cs="Times New Roman"/>
          <w:color w:val="auto"/>
          <w:sz w:val="24"/>
          <w:szCs w:val="24"/>
          <w:highlight w:val="none"/>
          <w:lang w:eastAsia="zh-CN"/>
        </w:rPr>
        <w:t>制氢过程产生的</w:t>
      </w:r>
      <w:r>
        <w:rPr>
          <w:rFonts w:hint="eastAsia" w:ascii="Times New Roman" w:hAnsi="Times New Roman" w:eastAsia="宋体" w:cs="Times New Roman"/>
          <w:color w:val="auto"/>
          <w:sz w:val="24"/>
          <w:szCs w:val="24"/>
          <w:highlight w:val="none"/>
          <w:lang w:val="en-US" w:eastAsia="zh-CN"/>
        </w:rPr>
        <w:t>废吸附剂</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废脱硫剂、废催化剂、隔油沉淀产生废污泥、清罐废油泥（含废清理液）</w:t>
      </w:r>
      <w:r>
        <w:rPr>
          <w:rFonts w:hint="eastAsia"/>
          <w:color w:val="auto"/>
          <w:sz w:val="24"/>
          <w:szCs w:val="24"/>
          <w:highlight w:val="none"/>
        </w:rPr>
        <w:t>，新建危险废物暂存间一座，位于</w:t>
      </w:r>
      <w:r>
        <w:rPr>
          <w:rFonts w:hint="eastAsia"/>
          <w:color w:val="auto"/>
          <w:sz w:val="24"/>
          <w:szCs w:val="24"/>
          <w:highlight w:val="none"/>
          <w:lang w:val="en-US" w:eastAsia="zh-CN"/>
        </w:rPr>
        <w:t>站区西</w:t>
      </w:r>
      <w:r>
        <w:rPr>
          <w:rFonts w:hint="eastAsia"/>
          <w:color w:val="auto"/>
          <w:sz w:val="24"/>
          <w:szCs w:val="24"/>
          <w:highlight w:val="none"/>
        </w:rPr>
        <w:t>侧，占地20</w:t>
      </w:r>
      <w:r>
        <w:rPr>
          <w:color w:val="auto"/>
          <w:sz w:val="24"/>
          <w:szCs w:val="24"/>
          <w:highlight w:val="none"/>
        </w:rPr>
        <w:t>m</w:t>
      </w:r>
      <w:r>
        <w:rPr>
          <w:color w:val="auto"/>
          <w:sz w:val="24"/>
          <w:szCs w:val="24"/>
          <w:highlight w:val="none"/>
          <w:vertAlign w:val="superscript"/>
        </w:rPr>
        <w:t>2</w:t>
      </w:r>
      <w:r>
        <w:rPr>
          <w:rFonts w:hint="eastAsia"/>
          <w:color w:val="auto"/>
          <w:sz w:val="24"/>
          <w:szCs w:val="24"/>
          <w:highlight w:val="none"/>
        </w:rPr>
        <w:t>，</w:t>
      </w:r>
      <w:r>
        <w:rPr>
          <w:rFonts w:hint="eastAsia"/>
          <w:color w:val="auto"/>
          <w:sz w:val="24"/>
          <w:szCs w:val="24"/>
          <w:highlight w:val="none"/>
          <w:lang w:val="en-US" w:eastAsia="zh-CN"/>
        </w:rPr>
        <w:t>根据表5.2.4-3可知拟建危废间</w:t>
      </w:r>
      <w:r>
        <w:rPr>
          <w:rFonts w:hint="eastAsia"/>
          <w:color w:val="auto"/>
          <w:sz w:val="24"/>
          <w:szCs w:val="24"/>
          <w:highlight w:val="none"/>
        </w:rPr>
        <w:t>可以满足</w:t>
      </w:r>
      <w:r>
        <w:rPr>
          <w:rFonts w:hint="eastAsia"/>
          <w:color w:val="auto"/>
          <w:sz w:val="24"/>
          <w:szCs w:val="24"/>
          <w:highlight w:val="none"/>
          <w:lang w:val="en-US" w:eastAsia="zh-CN"/>
        </w:rPr>
        <w:t>本</w:t>
      </w:r>
      <w:r>
        <w:rPr>
          <w:rFonts w:hint="eastAsia"/>
          <w:color w:val="auto"/>
          <w:sz w:val="24"/>
          <w:szCs w:val="24"/>
          <w:highlight w:val="none"/>
        </w:rPr>
        <w:t>项目危险废物暂存需要；</w:t>
      </w:r>
      <w:r>
        <w:rPr>
          <w:color w:val="auto"/>
          <w:sz w:val="24"/>
          <w:szCs w:val="24"/>
          <w:highlight w:val="none"/>
        </w:rPr>
        <w:t>本项目</w:t>
      </w:r>
      <w:r>
        <w:rPr>
          <w:rFonts w:hint="eastAsia"/>
          <w:color w:val="auto"/>
          <w:sz w:val="24"/>
          <w:szCs w:val="24"/>
          <w:highlight w:val="none"/>
        </w:rPr>
        <w:t>危废贮存库</w:t>
      </w:r>
      <w:r>
        <w:rPr>
          <w:color w:val="auto"/>
          <w:sz w:val="24"/>
          <w:szCs w:val="24"/>
          <w:highlight w:val="none"/>
        </w:rPr>
        <w:t>应按照</w:t>
      </w:r>
      <w:r>
        <w:rPr>
          <w:rFonts w:hint="eastAsia"/>
          <w:color w:val="auto"/>
          <w:sz w:val="24"/>
          <w:szCs w:val="24"/>
          <w:highlight w:val="none"/>
        </w:rPr>
        <w:t>《危险废物贮存污染控制标准》（GB18597-2023）</w:t>
      </w:r>
      <w:r>
        <w:rPr>
          <w:color w:val="auto"/>
          <w:sz w:val="24"/>
          <w:szCs w:val="24"/>
          <w:highlight w:val="none"/>
        </w:rPr>
        <w:t>及相关规范要求进行建设，做好裙脚、防渗、警示标识、台账管理、危废联单制度等规定内容。</w:t>
      </w:r>
    </w:p>
    <w:p w14:paraId="209420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根据《中华人民共和国固体废物污染环境防治法》（2020年4月29日修订）本评价针对危险废物的后续管理，提出相关的要求，具体如下：</w:t>
      </w:r>
    </w:p>
    <w:p w14:paraId="383964F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（1）</w:t>
      </w:r>
      <w:r>
        <w:rPr>
          <w:color w:val="auto"/>
          <w:sz w:val="24"/>
          <w:szCs w:val="24"/>
          <w:highlight w:val="none"/>
        </w:rPr>
        <w:t>产生危险废物的单位，应当按照国家有关规定制定危险废物管理计划；建立危险废物管理台账，如实记录有关信息，并通过国家危险废物信息管理系统向所在地生态环境主管部门申报危险废物的种类、产生量、流向、贮存、处置等有关资料。危险废物管理计划应当报产生危险废物的单位所在地生态环境主管部门备案。</w:t>
      </w:r>
    </w:p>
    <w:p w14:paraId="6EBB86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（2）</w:t>
      </w:r>
      <w:r>
        <w:rPr>
          <w:color w:val="auto"/>
          <w:sz w:val="24"/>
          <w:szCs w:val="24"/>
          <w:highlight w:val="none"/>
        </w:rPr>
        <w:t>收集、贮存危险废物，应当按照危险废物特性分类进行。禁止混合收集、贮存、运输、处置性质不相容而未经安全性处置的危险废物。贮存危险废物应当采取符合国家环境保护标准的防护措施。禁止将危险废物混入非危险废物中贮存。</w:t>
      </w:r>
    </w:p>
    <w:p w14:paraId="0F93B4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（3）</w:t>
      </w:r>
      <w:r>
        <w:rPr>
          <w:color w:val="auto"/>
          <w:sz w:val="24"/>
          <w:szCs w:val="24"/>
          <w:highlight w:val="none"/>
        </w:rPr>
        <w:t>从事收集、贮存危险废物经营活动的单位，贮存危险废物不得超过一年；确需延长期限的，应当报经颁发许可证的生态环境主管部门批准；法律、行政法规另有规定的除外。</w:t>
      </w:r>
    </w:p>
    <w:p w14:paraId="6DDD58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（4）</w:t>
      </w:r>
      <w:r>
        <w:rPr>
          <w:color w:val="auto"/>
          <w:sz w:val="24"/>
          <w:szCs w:val="24"/>
          <w:highlight w:val="none"/>
        </w:rPr>
        <w:t>转移危险废物的，应当按照国家有关规定填写、运行危险废物电子或者纸质转移联单。</w:t>
      </w:r>
    </w:p>
    <w:p w14:paraId="04E7A1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hint="eastAsia"/>
          <w:color w:val="auto"/>
          <w:sz w:val="24"/>
          <w:szCs w:val="24"/>
          <w:highlight w:val="none"/>
        </w:rPr>
        <w:t>（5）</w:t>
      </w:r>
      <w:r>
        <w:rPr>
          <w:color w:val="auto"/>
          <w:sz w:val="24"/>
          <w:szCs w:val="24"/>
          <w:highlight w:val="none"/>
        </w:rPr>
        <w:t>收集、贮存危险废物的场所、设施、设备和容器、包装物及其他物品转作他用时，应当按照国家有关规定经过消除污染处理，方可使用。</w:t>
      </w:r>
    </w:p>
    <w:p w14:paraId="37A5DE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产生、收集、贮存危险废物的单位，应当依法制定意外事故的防范措施和应急预案，并向所在地生态环境主管部门和其他负有固体废物污染环境防治监督管理职责的部门备案。</w:t>
      </w:r>
    </w:p>
    <w:p w14:paraId="7BE3432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针对本项目，本次评价提出以下要求：</w:t>
      </w:r>
    </w:p>
    <w:p w14:paraId="79FEC8E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color w:val="auto"/>
          <w:sz w:val="24"/>
          <w:szCs w:val="24"/>
          <w:highlight w:val="none"/>
        </w:rPr>
      </w:pPr>
      <w:r>
        <w:rPr>
          <w:b/>
          <w:bCs/>
          <w:color w:val="auto"/>
          <w:sz w:val="24"/>
          <w:szCs w:val="24"/>
          <w:highlight w:val="none"/>
        </w:rPr>
        <w:t>建设要求：</w:t>
      </w:r>
      <w:r>
        <w:rPr>
          <w:color w:val="auto"/>
          <w:sz w:val="24"/>
          <w:szCs w:val="24"/>
          <w:highlight w:val="none"/>
          <w:lang w:val="en-GB"/>
        </w:rPr>
        <w:t>本项目</w:t>
      </w:r>
      <w:r>
        <w:rPr>
          <w:rFonts w:hint="eastAsia"/>
          <w:color w:val="auto"/>
          <w:sz w:val="24"/>
          <w:szCs w:val="24"/>
          <w:highlight w:val="none"/>
          <w:lang w:val="en-GB"/>
        </w:rPr>
        <w:t>单独设置一个危废</w:t>
      </w:r>
      <w:r>
        <w:rPr>
          <w:color w:val="auto"/>
          <w:sz w:val="24"/>
          <w:szCs w:val="24"/>
          <w:highlight w:val="none"/>
          <w:lang w:val="en-GB"/>
        </w:rPr>
        <w:t>暂存间，</w:t>
      </w:r>
      <w:r>
        <w:rPr>
          <w:rFonts w:hint="eastAsia"/>
          <w:color w:val="auto"/>
          <w:sz w:val="24"/>
          <w:szCs w:val="24"/>
          <w:highlight w:val="none"/>
          <w:lang w:val="en-GB"/>
        </w:rPr>
        <w:t>位于</w:t>
      </w:r>
      <w:r>
        <w:rPr>
          <w:rFonts w:hint="eastAsia"/>
          <w:color w:val="auto"/>
          <w:sz w:val="24"/>
          <w:szCs w:val="24"/>
          <w:highlight w:val="none"/>
          <w:lang w:val="en-US" w:eastAsia="zh-CN"/>
        </w:rPr>
        <w:t>站区东</w:t>
      </w:r>
      <w:r>
        <w:rPr>
          <w:rFonts w:hint="eastAsia"/>
          <w:color w:val="auto"/>
          <w:sz w:val="24"/>
          <w:szCs w:val="24"/>
          <w:highlight w:val="none"/>
        </w:rPr>
        <w:t>侧</w:t>
      </w:r>
      <w:r>
        <w:rPr>
          <w:rFonts w:hint="eastAsia"/>
          <w:color w:val="auto"/>
          <w:sz w:val="24"/>
          <w:szCs w:val="24"/>
          <w:highlight w:val="none"/>
          <w:lang w:val="en-GB"/>
        </w:rPr>
        <w:t>，</w:t>
      </w:r>
      <w:r>
        <w:rPr>
          <w:color w:val="auto"/>
          <w:sz w:val="24"/>
          <w:szCs w:val="24"/>
          <w:highlight w:val="none"/>
          <w:lang w:val="en-GB"/>
        </w:rPr>
        <w:t>建筑面积为</w:t>
      </w:r>
      <w:r>
        <w:rPr>
          <w:rFonts w:hint="eastAsia"/>
          <w:color w:val="auto"/>
          <w:sz w:val="24"/>
          <w:szCs w:val="24"/>
          <w:highlight w:val="none"/>
          <w:lang w:val="en-GB"/>
        </w:rPr>
        <w:t>20</w:t>
      </w:r>
      <w:r>
        <w:rPr>
          <w:color w:val="auto"/>
          <w:sz w:val="24"/>
          <w:szCs w:val="24"/>
          <w:highlight w:val="none"/>
        </w:rPr>
        <w:t>m</w:t>
      </w:r>
      <w:r>
        <w:rPr>
          <w:color w:val="auto"/>
          <w:sz w:val="24"/>
          <w:szCs w:val="24"/>
          <w:highlight w:val="none"/>
          <w:vertAlign w:val="superscript"/>
        </w:rPr>
        <w:t>2</w:t>
      </w:r>
      <w:r>
        <w:rPr>
          <w:color w:val="auto"/>
          <w:sz w:val="24"/>
          <w:szCs w:val="24"/>
          <w:highlight w:val="none"/>
          <w:lang w:val="en-GB"/>
        </w:rPr>
        <w:t>，选址</w:t>
      </w:r>
      <w:r>
        <w:rPr>
          <w:rFonts w:hint="eastAsia"/>
          <w:color w:val="auto"/>
          <w:sz w:val="24"/>
          <w:szCs w:val="24"/>
          <w:highlight w:val="none"/>
        </w:rPr>
        <w:t>应</w:t>
      </w:r>
      <w:r>
        <w:rPr>
          <w:color w:val="auto"/>
          <w:sz w:val="24"/>
          <w:szCs w:val="24"/>
          <w:highlight w:val="none"/>
          <w:lang w:val="en-GB"/>
        </w:rPr>
        <w:t>符合《危险废物贮存污染控制标准》（GB18597-20</w:t>
      </w:r>
      <w:r>
        <w:rPr>
          <w:rFonts w:hint="eastAsia"/>
          <w:color w:val="auto"/>
          <w:sz w:val="24"/>
          <w:szCs w:val="24"/>
          <w:highlight w:val="none"/>
        </w:rPr>
        <w:t>23</w:t>
      </w:r>
      <w:r>
        <w:rPr>
          <w:color w:val="auto"/>
          <w:sz w:val="24"/>
          <w:szCs w:val="24"/>
          <w:highlight w:val="none"/>
          <w:lang w:val="en-GB"/>
        </w:rPr>
        <w:t>）中危险废物集中贮存设施的选址的要求。</w:t>
      </w:r>
      <w:r>
        <w:rPr>
          <w:color w:val="auto"/>
          <w:sz w:val="24"/>
          <w:szCs w:val="24"/>
          <w:highlight w:val="none"/>
        </w:rPr>
        <w:t>本项目</w:t>
      </w:r>
      <w:r>
        <w:rPr>
          <w:rFonts w:hint="eastAsia"/>
          <w:color w:val="auto"/>
          <w:sz w:val="24"/>
          <w:szCs w:val="24"/>
          <w:highlight w:val="none"/>
        </w:rPr>
        <w:t>危废贮存库</w:t>
      </w:r>
      <w:r>
        <w:rPr>
          <w:color w:val="auto"/>
          <w:sz w:val="24"/>
          <w:szCs w:val="24"/>
          <w:highlight w:val="none"/>
        </w:rPr>
        <w:t>应按照</w:t>
      </w:r>
      <w:r>
        <w:rPr>
          <w:rFonts w:hint="eastAsia"/>
          <w:color w:val="auto"/>
          <w:sz w:val="24"/>
          <w:szCs w:val="24"/>
          <w:highlight w:val="none"/>
        </w:rPr>
        <w:t>《危险废物贮存污染控制标准》（GB18597-2023）</w:t>
      </w:r>
      <w:r>
        <w:rPr>
          <w:color w:val="auto"/>
          <w:sz w:val="24"/>
          <w:szCs w:val="24"/>
          <w:highlight w:val="none"/>
        </w:rPr>
        <w:t>及相关规范要求进行建设</w:t>
      </w:r>
      <w:r>
        <w:rPr>
          <w:rFonts w:hint="eastAsia"/>
          <w:color w:val="auto"/>
          <w:sz w:val="24"/>
          <w:szCs w:val="24"/>
          <w:highlight w:val="none"/>
        </w:rPr>
        <w:t>，</w:t>
      </w:r>
      <w:r>
        <w:rPr>
          <w:color w:val="auto"/>
          <w:sz w:val="24"/>
          <w:szCs w:val="24"/>
          <w:highlight w:val="none"/>
        </w:rPr>
        <w:t>要做好防渗措施，</w:t>
      </w:r>
      <w:r>
        <w:rPr>
          <w:rFonts w:hint="eastAsia"/>
          <w:color w:val="auto"/>
          <w:sz w:val="24"/>
          <w:szCs w:val="24"/>
          <w:highlight w:val="none"/>
        </w:rPr>
        <w:t>表面防渗材料应与所接触的物料或污染物相容，可采用抗渗混凝土、高密度聚乙烯膜、钠基膨润土防水毯或其他防渗性能等效的材料。贮存的危险废物直接接触地面的，还应进行基础防渗，防渗层为至少</w:t>
      </w:r>
      <w:r>
        <w:rPr>
          <w:color w:val="auto"/>
          <w:sz w:val="24"/>
          <w:szCs w:val="24"/>
          <w:highlight w:val="none"/>
        </w:rPr>
        <w:t>1m</w:t>
      </w:r>
      <w:r>
        <w:rPr>
          <w:rFonts w:hint="eastAsia"/>
          <w:color w:val="auto"/>
          <w:sz w:val="24"/>
          <w:szCs w:val="24"/>
          <w:highlight w:val="none"/>
        </w:rPr>
        <w:t>厚黏土层（渗透系数不大于</w:t>
      </w:r>
      <w:r>
        <w:rPr>
          <w:color w:val="auto"/>
          <w:sz w:val="24"/>
          <w:szCs w:val="24"/>
          <w:highlight w:val="none"/>
        </w:rPr>
        <w:t>10</w:t>
      </w:r>
      <w:r>
        <w:rPr>
          <w:color w:val="auto"/>
          <w:sz w:val="24"/>
          <w:szCs w:val="24"/>
          <w:highlight w:val="none"/>
          <w:vertAlign w:val="superscript"/>
        </w:rPr>
        <w:t>-7</w:t>
      </w:r>
      <w:r>
        <w:rPr>
          <w:color w:val="auto"/>
          <w:sz w:val="24"/>
          <w:szCs w:val="24"/>
          <w:highlight w:val="none"/>
        </w:rPr>
        <w:t>cm/s</w:t>
      </w:r>
      <w:r>
        <w:rPr>
          <w:rFonts w:hint="eastAsia"/>
          <w:color w:val="auto"/>
          <w:sz w:val="24"/>
          <w:szCs w:val="24"/>
          <w:highlight w:val="none"/>
        </w:rPr>
        <w:t>），或至少</w:t>
      </w:r>
      <w:r>
        <w:rPr>
          <w:color w:val="auto"/>
          <w:sz w:val="24"/>
          <w:szCs w:val="24"/>
          <w:highlight w:val="none"/>
        </w:rPr>
        <w:t>2mm</w:t>
      </w:r>
      <w:r>
        <w:rPr>
          <w:rFonts w:hint="eastAsia"/>
          <w:color w:val="auto"/>
          <w:sz w:val="24"/>
          <w:szCs w:val="24"/>
          <w:highlight w:val="none"/>
        </w:rPr>
        <w:t>厚高密度聚乙烯膜等人工防渗材料（渗透系数不大于</w:t>
      </w:r>
      <w:r>
        <w:rPr>
          <w:color w:val="auto"/>
          <w:sz w:val="24"/>
          <w:szCs w:val="24"/>
          <w:highlight w:val="none"/>
          <w:lang w:val="en-GB"/>
        </w:rPr>
        <w:t>10</w:t>
      </w:r>
      <w:r>
        <w:rPr>
          <w:color w:val="auto"/>
          <w:sz w:val="24"/>
          <w:szCs w:val="24"/>
          <w:highlight w:val="none"/>
          <w:vertAlign w:val="superscript"/>
          <w:lang w:val="en-GB"/>
        </w:rPr>
        <w:t>-10</w:t>
      </w:r>
      <w:r>
        <w:rPr>
          <w:color w:val="auto"/>
          <w:sz w:val="24"/>
          <w:szCs w:val="24"/>
          <w:highlight w:val="none"/>
        </w:rPr>
        <w:t>cm/s</w:t>
      </w:r>
      <w:r>
        <w:rPr>
          <w:rFonts w:hint="eastAsia"/>
          <w:color w:val="auto"/>
          <w:sz w:val="24"/>
          <w:szCs w:val="24"/>
          <w:highlight w:val="none"/>
        </w:rPr>
        <w:t>），或其他防渗性能等效的材料。</w:t>
      </w:r>
    </w:p>
    <w:p w14:paraId="794E1C5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color w:val="auto"/>
          <w:sz w:val="24"/>
          <w:szCs w:val="24"/>
          <w:highlight w:val="none"/>
        </w:rPr>
      </w:pPr>
      <w:r>
        <w:rPr>
          <w:rFonts w:hint="eastAsia"/>
          <w:b/>
          <w:bCs/>
          <w:color w:val="auto"/>
          <w:sz w:val="24"/>
          <w:szCs w:val="24"/>
          <w:highlight w:val="none"/>
        </w:rPr>
        <w:t>管理要求：</w:t>
      </w:r>
      <w:r>
        <w:rPr>
          <w:rFonts w:hint="eastAsia"/>
          <w:color w:val="auto"/>
          <w:sz w:val="24"/>
          <w:szCs w:val="24"/>
          <w:highlight w:val="none"/>
        </w:rPr>
        <w:t>危废贮存库应设置明显的警示标识，为保证装卸时突发性降雨危险废物的安全性</w:t>
      </w:r>
      <w:r>
        <w:rPr>
          <w:rFonts w:hint="eastAsia"/>
          <w:color w:val="auto"/>
          <w:sz w:val="24"/>
          <w:szCs w:val="24"/>
          <w:highlight w:val="none"/>
          <w:lang w:eastAsia="zh-CN"/>
        </w:rPr>
        <w:t>，在</w:t>
      </w:r>
      <w:r>
        <w:rPr>
          <w:rFonts w:hint="eastAsia"/>
          <w:color w:val="auto"/>
          <w:sz w:val="24"/>
          <w:szCs w:val="24"/>
          <w:highlight w:val="none"/>
        </w:rPr>
        <w:t>装卸区域建设拉伸型防雨棚。由专人对危废进行管理，危险废物要单独设置台账，同时危险废物的移交严格执行危废联单制度，存储期间严格按照《危险废物贮存污染控制标准》（GB18597-2023）执行。</w:t>
      </w:r>
    </w:p>
    <w:p w14:paraId="3536FF6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color w:val="auto"/>
          <w:sz w:val="24"/>
          <w:szCs w:val="24"/>
          <w:highlight w:val="none"/>
        </w:rPr>
      </w:pPr>
      <w:r>
        <w:rPr>
          <w:b/>
          <w:bCs/>
          <w:color w:val="auto"/>
          <w:sz w:val="24"/>
          <w:szCs w:val="24"/>
          <w:highlight w:val="none"/>
        </w:rPr>
        <w:t>管理措施：</w:t>
      </w:r>
      <w:r>
        <w:rPr>
          <w:color w:val="auto"/>
          <w:sz w:val="24"/>
          <w:szCs w:val="24"/>
          <w:highlight w:val="none"/>
        </w:rPr>
        <w:t>①制定危险废物管理制度；②</w:t>
      </w:r>
      <w:r>
        <w:rPr>
          <w:rFonts w:hint="eastAsia"/>
          <w:color w:val="auto"/>
          <w:sz w:val="24"/>
          <w:szCs w:val="24"/>
          <w:highlight w:val="none"/>
        </w:rPr>
        <w:t>做好</w:t>
      </w:r>
      <w:r>
        <w:rPr>
          <w:color w:val="auto"/>
          <w:sz w:val="24"/>
          <w:szCs w:val="24"/>
          <w:highlight w:val="none"/>
        </w:rPr>
        <w:t>危险废物情况的记录，记录上须注明危险废物的名称、来源、数量、特性；③按照国家有关规定制定危险废物管理计划，并向当地生态环境主管部门申报危险废物的种类、生产量、流向、储存、处置等有关资料，如实记录危险废物的种类、数量、利用、贮存、处置、流向等信息，建立危险废物台账，并依据台账做好危险废物的申报登记工作；④按照公司环境保护管理的相关规定对危险废物进行管理、贮存。⑤废物转运时必须安全转移，由具有相应处理资质的单位</w:t>
      </w:r>
      <w:r>
        <w:rPr>
          <w:rFonts w:hint="eastAsia"/>
          <w:color w:val="auto"/>
          <w:sz w:val="24"/>
          <w:szCs w:val="24"/>
          <w:highlight w:val="none"/>
        </w:rPr>
        <w:t>接收</w:t>
      </w:r>
      <w:r>
        <w:rPr>
          <w:color w:val="auto"/>
          <w:sz w:val="24"/>
          <w:szCs w:val="24"/>
          <w:highlight w:val="none"/>
        </w:rPr>
        <w:t>，危险废物运输按规定路线行驶，驾驶员持证上岗。严格执行《危险废物转运联单管理办法》，在转移危险废物前，按照国家有关规定报批危险废物转移计划；经批准后，向</w:t>
      </w:r>
      <w:r>
        <w:rPr>
          <w:rFonts w:hint="eastAsia"/>
          <w:color w:val="auto"/>
          <w:sz w:val="24"/>
          <w:szCs w:val="24"/>
          <w:highlight w:val="none"/>
          <w:lang w:eastAsia="zh-CN"/>
        </w:rPr>
        <w:t>移出</w:t>
      </w:r>
      <w:r>
        <w:rPr>
          <w:color w:val="auto"/>
          <w:sz w:val="24"/>
          <w:szCs w:val="24"/>
          <w:highlight w:val="none"/>
        </w:rPr>
        <w:t>地生态环境主管部门申请领取联单，并如实填写联单中栏目，并加盖公章，联单保存期限不低于5年，每转运1次，均填写一份转移联单。</w:t>
      </w:r>
    </w:p>
    <w:p w14:paraId="78EF85B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color w:val="auto"/>
          <w:sz w:val="24"/>
          <w:szCs w:val="24"/>
          <w:highlight w:val="none"/>
        </w:rPr>
      </w:pPr>
      <w:r>
        <w:rPr>
          <w:rFonts w:hint="eastAsia"/>
          <w:b/>
          <w:bCs/>
          <w:color w:val="auto"/>
          <w:sz w:val="24"/>
          <w:szCs w:val="24"/>
          <w:highlight w:val="none"/>
        </w:rPr>
        <w:t>危险</w:t>
      </w:r>
      <w:r>
        <w:rPr>
          <w:b/>
          <w:bCs/>
          <w:color w:val="auto"/>
          <w:sz w:val="24"/>
          <w:szCs w:val="24"/>
          <w:highlight w:val="none"/>
        </w:rPr>
        <w:t>废物运输要求：</w:t>
      </w:r>
      <w:r>
        <w:rPr>
          <w:color w:val="auto"/>
          <w:sz w:val="24"/>
          <w:szCs w:val="24"/>
          <w:highlight w:val="none"/>
        </w:rPr>
        <w:t>危险废物运输时外委进行危险废物处理的单位必须具有危险废物运输资质的单位采用车辆运进、运出，运输路线避免经过居民集中区和饮用水源地。转运过程中必须安全转移，防止撒漏，并严格执行危险废物转运联单制度，防止二次污染的产生。危险废物运输按规定路线行驶，驾驶员持证上岗。</w:t>
      </w:r>
    </w:p>
    <w:p w14:paraId="2BB54D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经采取以上措施后，可确保本项目固体废物在产生、储存、运输、处置等各个环节均不会对环境产生明显影响。</w:t>
      </w:r>
    </w:p>
    <w:p w14:paraId="596A1C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en-GB"/>
        </w:rPr>
      </w:pPr>
      <w:r>
        <w:rPr>
          <w:rFonts w:hint="eastAsia"/>
          <w:color w:val="auto"/>
          <w:sz w:val="24"/>
          <w:szCs w:val="24"/>
          <w:highlight w:val="none"/>
          <w:lang w:val="en-GB"/>
        </w:rPr>
        <w:t>本</w:t>
      </w:r>
      <w:r>
        <w:rPr>
          <w:color w:val="auto"/>
          <w:sz w:val="24"/>
          <w:szCs w:val="24"/>
          <w:highlight w:val="none"/>
          <w:lang w:val="en-GB"/>
        </w:rPr>
        <w:t>项目建成投产后，通过落实环评提出的污染防控措施，本项目产生的固体废物对环境的影响可以接受。公司应加强对固体废物的管理，完善相应的防治措施，防止固体废物可能对环境的污染。为此，建议：</w:t>
      </w:r>
    </w:p>
    <w:p w14:paraId="4F2B4A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en-GB"/>
        </w:rPr>
      </w:pPr>
      <w:r>
        <w:rPr>
          <w:rFonts w:hint="eastAsia"/>
          <w:color w:val="auto"/>
          <w:sz w:val="24"/>
          <w:szCs w:val="24"/>
          <w:highlight w:val="none"/>
          <w:lang w:val="en-GB"/>
        </w:rPr>
        <w:t>（1）</w:t>
      </w:r>
      <w:r>
        <w:rPr>
          <w:color w:val="auto"/>
          <w:sz w:val="24"/>
          <w:szCs w:val="24"/>
          <w:highlight w:val="none"/>
          <w:lang w:val="en-GB"/>
        </w:rPr>
        <w:t>废物减量化：加强管理，合理选择和利用原材料、能源和</w:t>
      </w:r>
      <w:r>
        <w:rPr>
          <w:rFonts w:hint="eastAsia"/>
          <w:color w:val="auto"/>
          <w:sz w:val="24"/>
          <w:szCs w:val="24"/>
          <w:highlight w:val="none"/>
          <w:lang w:val="en-GB"/>
        </w:rPr>
        <w:t>其他资源</w:t>
      </w:r>
      <w:r>
        <w:rPr>
          <w:color w:val="auto"/>
          <w:sz w:val="24"/>
          <w:szCs w:val="24"/>
          <w:highlight w:val="none"/>
          <w:lang w:val="en-GB"/>
        </w:rPr>
        <w:t>，采用先进的生产工艺和设备，进行清洁生产，尽量减少固体废物的产生量。</w:t>
      </w:r>
    </w:p>
    <w:p w14:paraId="4E9E06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lang w:val="en-GB"/>
        </w:rPr>
      </w:pPr>
      <w:r>
        <w:rPr>
          <w:rFonts w:hint="eastAsia"/>
          <w:color w:val="auto"/>
          <w:sz w:val="24"/>
          <w:szCs w:val="24"/>
          <w:highlight w:val="none"/>
          <w:lang w:val="en-GB"/>
        </w:rPr>
        <w:t>（2）</w:t>
      </w:r>
      <w:r>
        <w:rPr>
          <w:color w:val="auto"/>
          <w:sz w:val="24"/>
          <w:szCs w:val="24"/>
          <w:highlight w:val="none"/>
          <w:lang w:val="en-GB"/>
        </w:rPr>
        <w:t>废物的储存堆放：坚持危险废物和一般废物分开存放，不能混放的原则。危险废物在装卸、运输、堆放过程中，注意防止危险废物的泄漏产生二次污染。</w:t>
      </w:r>
    </w:p>
    <w:bookmarkEnd w:id="536"/>
    <w:bookmarkEnd w:id="537"/>
    <w:bookmarkEnd w:id="538"/>
    <w:bookmarkEnd w:id="539"/>
    <w:bookmarkEnd w:id="540"/>
    <w:p w14:paraId="1971735B">
      <w:pPr>
        <w:pStyle w:val="218"/>
        <w:spacing w:before="62" w:after="156"/>
        <w:rPr>
          <w:color w:val="auto"/>
          <w:highlight w:val="none"/>
        </w:rPr>
      </w:pPr>
      <w:bookmarkStart w:id="542" w:name="_Toc29571"/>
      <w:bookmarkStart w:id="543" w:name="_Toc152922106"/>
      <w:bookmarkStart w:id="544" w:name="_Toc152922700"/>
      <w:r>
        <w:rPr>
          <w:color w:val="auto"/>
          <w:highlight w:val="none"/>
        </w:rPr>
        <w:t>6.</w:t>
      </w:r>
      <w:r>
        <w:rPr>
          <w:rFonts w:hint="eastAsia"/>
          <w:color w:val="auto"/>
          <w:highlight w:val="none"/>
          <w:lang w:val="en-US" w:eastAsia="zh-CN"/>
        </w:rPr>
        <w:t>6</w:t>
      </w:r>
      <w:r>
        <w:rPr>
          <w:color w:val="auto"/>
          <w:highlight w:val="none"/>
        </w:rPr>
        <w:t>地下水污染防治措施及可行性分析</w:t>
      </w:r>
      <w:bookmarkEnd w:id="542"/>
      <w:bookmarkEnd w:id="543"/>
      <w:bookmarkEnd w:id="544"/>
    </w:p>
    <w:p w14:paraId="1D61D315">
      <w:pPr>
        <w:pStyle w:val="4"/>
        <w:spacing w:after="156"/>
        <w:rPr>
          <w:color w:val="auto"/>
          <w:highlight w:val="none"/>
        </w:rPr>
      </w:pPr>
      <w:bookmarkStart w:id="545" w:name="_Toc152922107"/>
      <w:bookmarkStart w:id="546" w:name="_Toc117150294"/>
      <w:bookmarkStart w:id="547" w:name="_Toc152923382"/>
      <w:bookmarkStart w:id="548" w:name="_Toc152921742"/>
      <w:bookmarkStart w:id="549" w:name="_Toc152922701"/>
      <w:r>
        <w:rPr>
          <w:color w:val="auto"/>
          <w:highlight w:val="none"/>
        </w:rPr>
        <w:t>6.</w:t>
      </w:r>
      <w:r>
        <w:rPr>
          <w:rFonts w:hint="eastAsia"/>
          <w:color w:val="auto"/>
          <w:highlight w:val="none"/>
          <w:lang w:val="en-US" w:eastAsia="zh-CN"/>
        </w:rPr>
        <w:t>6</w:t>
      </w:r>
      <w:r>
        <w:rPr>
          <w:color w:val="auto"/>
          <w:highlight w:val="none"/>
        </w:rPr>
        <w:t>.1源头控制措施</w:t>
      </w:r>
      <w:bookmarkEnd w:id="545"/>
      <w:bookmarkEnd w:id="546"/>
      <w:bookmarkEnd w:id="547"/>
      <w:bookmarkEnd w:id="548"/>
      <w:bookmarkEnd w:id="549"/>
    </w:p>
    <w:p w14:paraId="566AE1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pacing w:val="0"/>
          <w:kern w:val="2"/>
          <w:sz w:val="24"/>
          <w:szCs w:val="22"/>
          <w:highlight w:val="none"/>
          <w:lang w:val="en-US" w:eastAsia="zh-CN" w:bidi="ar-SA"/>
        </w:rPr>
      </w:pPr>
      <w:r>
        <w:rPr>
          <w:rFonts w:hint="default" w:ascii="Times New Roman" w:hAnsi="Times New Roman" w:eastAsia="宋体" w:cs="Times New Roman"/>
          <w:color w:val="auto"/>
          <w:spacing w:val="0"/>
          <w:kern w:val="2"/>
          <w:sz w:val="24"/>
          <w:szCs w:val="22"/>
          <w:highlight w:val="none"/>
          <w:lang w:val="en-US" w:eastAsia="zh-CN" w:bidi="ar-SA"/>
        </w:rPr>
        <w:t>为防止项目实施对区域地下水和土壤环境造成污染，本评价要求项目从原辅料储存、生产过程、污染处理等全过程控制各种有毒有害原辅材料、中间材料、产品泄漏（含跑、冒、滴、漏），同时对有害物质可能泄漏到地面的区域采取防渗措施，阻止其渗入土壤和地下水中，即从源头到末端全方位采取控制措施。</w:t>
      </w:r>
    </w:p>
    <w:p w14:paraId="0E267C1B">
      <w:pPr>
        <w:widowControl/>
        <w:numPr>
          <w:ilvl w:val="0"/>
          <w:numId w:val="7"/>
        </w:numPr>
        <w:adjustRightInd w:val="0"/>
        <w:snapToGrid w:val="0"/>
        <w:spacing w:line="360" w:lineRule="auto"/>
        <w:ind w:firstLine="480" w:firstLineChars="200"/>
        <w:jc w:val="left"/>
        <w:rPr>
          <w:rFonts w:ascii="Times New Roman" w:hAnsi="Times New Roman" w:eastAsia="宋体"/>
          <w:bCs/>
          <w:color w:val="auto"/>
          <w:sz w:val="24"/>
          <w:szCs w:val="24"/>
          <w:highlight w:val="none"/>
        </w:rPr>
      </w:pPr>
      <w:r>
        <w:rPr>
          <w:rFonts w:ascii="Times New Roman" w:hAnsi="Times New Roman" w:eastAsia="宋体"/>
          <w:bCs/>
          <w:color w:val="auto"/>
          <w:sz w:val="24"/>
          <w:szCs w:val="24"/>
          <w:highlight w:val="none"/>
        </w:rPr>
        <w:t>实施清洁生产和循环经济，减少污染物的排放量。</w:t>
      </w:r>
    </w:p>
    <w:p w14:paraId="69686C1A">
      <w:pPr>
        <w:widowControl/>
        <w:numPr>
          <w:ilvl w:val="0"/>
          <w:numId w:val="7"/>
        </w:numPr>
        <w:adjustRightInd w:val="0"/>
        <w:snapToGrid w:val="0"/>
        <w:spacing w:line="360" w:lineRule="auto"/>
        <w:ind w:firstLine="480" w:firstLineChars="200"/>
        <w:jc w:val="left"/>
        <w:rPr>
          <w:rFonts w:ascii="Times New Roman" w:hAnsi="Times New Roman" w:eastAsia="宋体"/>
          <w:bCs/>
          <w:color w:val="auto"/>
          <w:sz w:val="24"/>
          <w:szCs w:val="24"/>
          <w:highlight w:val="none"/>
        </w:rPr>
      </w:pPr>
      <w:r>
        <w:rPr>
          <w:rFonts w:ascii="Times New Roman" w:hAnsi="Times New Roman" w:eastAsia="宋体"/>
          <w:bCs/>
          <w:color w:val="auto"/>
          <w:sz w:val="24"/>
          <w:szCs w:val="24"/>
          <w:highlight w:val="none"/>
        </w:rPr>
        <w:t>从设计、管理各种工艺设备和物料运输管线上，防止和减少污染物的跑冒滴漏；</w:t>
      </w:r>
    </w:p>
    <w:p w14:paraId="34B7F0A9">
      <w:pPr>
        <w:widowControl/>
        <w:numPr>
          <w:ilvl w:val="0"/>
          <w:numId w:val="7"/>
        </w:numPr>
        <w:adjustRightInd w:val="0"/>
        <w:snapToGrid w:val="0"/>
        <w:spacing w:line="360" w:lineRule="auto"/>
        <w:ind w:firstLine="480" w:firstLineChars="200"/>
        <w:jc w:val="left"/>
        <w:rPr>
          <w:rFonts w:ascii="Times New Roman" w:hAnsi="Times New Roman" w:eastAsia="宋体"/>
          <w:bCs/>
          <w:color w:val="auto"/>
          <w:sz w:val="24"/>
          <w:szCs w:val="24"/>
          <w:highlight w:val="none"/>
        </w:rPr>
      </w:pPr>
      <w:r>
        <w:rPr>
          <w:rFonts w:ascii="Times New Roman" w:hAnsi="Times New Roman" w:eastAsia="宋体"/>
          <w:bCs/>
          <w:color w:val="auto"/>
          <w:sz w:val="24"/>
          <w:szCs w:val="24"/>
          <w:highlight w:val="none"/>
        </w:rPr>
        <w:t>合理布局，减少污染物泄漏途径。</w:t>
      </w:r>
      <w:r>
        <w:rPr>
          <w:rFonts w:hint="default" w:ascii="Times New Roman" w:hAnsi="Times New Roman" w:eastAsia="宋体"/>
          <w:bCs/>
          <w:color w:val="auto"/>
          <w:sz w:val="24"/>
          <w:szCs w:val="24"/>
          <w:highlight w:val="none"/>
          <w:lang w:val="en-US" w:eastAsia="zh-CN"/>
        </w:rPr>
        <w:t>收集的危废立即送危废间暂存，定期委托有资质的单位处置，减少危废的储存时间；危废贮存仓库负责人定期检查危废贮存容器，进一步降低危险废物泄漏等事故产生的可能性。</w:t>
      </w:r>
    </w:p>
    <w:p w14:paraId="42745ACE">
      <w:pPr>
        <w:pStyle w:val="4"/>
        <w:spacing w:after="156"/>
        <w:rPr>
          <w:color w:val="auto"/>
          <w:highlight w:val="none"/>
        </w:rPr>
      </w:pPr>
      <w:bookmarkStart w:id="550" w:name="_Toc117150295"/>
      <w:bookmarkStart w:id="551" w:name="_Toc152923383"/>
      <w:bookmarkStart w:id="552" w:name="_Toc152922108"/>
      <w:bookmarkStart w:id="553" w:name="_Toc152922702"/>
      <w:bookmarkStart w:id="554" w:name="_Toc152921743"/>
      <w:r>
        <w:rPr>
          <w:color w:val="auto"/>
          <w:highlight w:val="none"/>
        </w:rPr>
        <w:t>6.</w:t>
      </w:r>
      <w:r>
        <w:rPr>
          <w:rFonts w:hint="eastAsia"/>
          <w:color w:val="auto"/>
          <w:highlight w:val="none"/>
          <w:lang w:val="en-US" w:eastAsia="zh-CN"/>
        </w:rPr>
        <w:t>6</w:t>
      </w:r>
      <w:r>
        <w:rPr>
          <w:color w:val="auto"/>
          <w:highlight w:val="none"/>
        </w:rPr>
        <w:t>.2分区防控措施</w:t>
      </w:r>
      <w:bookmarkEnd w:id="550"/>
      <w:bookmarkEnd w:id="551"/>
      <w:bookmarkEnd w:id="552"/>
      <w:bookmarkEnd w:id="553"/>
      <w:bookmarkEnd w:id="554"/>
    </w:p>
    <w:p w14:paraId="4DF6E970">
      <w:pPr>
        <w:snapToGrid w:val="0"/>
        <w:spacing w:line="360" w:lineRule="auto"/>
        <w:ind w:firstLine="480" w:firstLineChars="200"/>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项目厂内不同区域实施分区防治，污染区划分为一般防渗区、重点防渗区、简单防渗区，根据不同的防渗区采取相应的防渗措施。采取的防渗措施如下：</w:t>
      </w:r>
    </w:p>
    <w:p w14:paraId="4A64A4B7">
      <w:pPr>
        <w:spacing w:line="360" w:lineRule="auto"/>
        <w:rPr>
          <w:rFonts w:ascii="Times New Roman" w:hAnsi="Times New Roman" w:eastAsia="宋体"/>
          <w:b/>
          <w:color w:val="auto"/>
          <w:sz w:val="24"/>
          <w:highlight w:val="none"/>
        </w:rPr>
      </w:pPr>
      <w:r>
        <w:rPr>
          <w:rFonts w:ascii="Times New Roman" w:hAnsi="宋体" w:eastAsia="宋体"/>
          <w:b/>
          <w:color w:val="auto"/>
          <w:sz w:val="24"/>
          <w:highlight w:val="none"/>
        </w:rPr>
        <w:t>（</w:t>
      </w:r>
      <w:r>
        <w:rPr>
          <w:rFonts w:ascii="Times New Roman" w:hAnsi="Times New Roman" w:eastAsia="宋体"/>
          <w:b/>
          <w:color w:val="auto"/>
          <w:sz w:val="24"/>
          <w:highlight w:val="none"/>
        </w:rPr>
        <w:t>1</w:t>
      </w:r>
      <w:r>
        <w:rPr>
          <w:rFonts w:ascii="Times New Roman" w:hAnsi="宋体" w:eastAsia="宋体"/>
          <w:b/>
          <w:color w:val="auto"/>
          <w:sz w:val="24"/>
          <w:highlight w:val="none"/>
        </w:rPr>
        <w:t>）分区防渗措施</w:t>
      </w:r>
    </w:p>
    <w:p w14:paraId="4C626D4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eastAsia="宋体"/>
          <w:color w:val="auto"/>
          <w:sz w:val="24"/>
          <w:highlight w:val="none"/>
        </w:rPr>
      </w:pPr>
      <w:r>
        <w:rPr>
          <w:rFonts w:hint="eastAsia" w:ascii="Times New Roman" w:hAnsi="宋体" w:eastAsia="宋体"/>
          <w:color w:val="auto"/>
          <w:sz w:val="24"/>
          <w:highlight w:val="none"/>
        </w:rPr>
        <w:t>①</w:t>
      </w:r>
      <w:r>
        <w:rPr>
          <w:rFonts w:ascii="Times New Roman" w:hAnsi="宋体" w:eastAsia="宋体"/>
          <w:color w:val="auto"/>
          <w:sz w:val="24"/>
          <w:highlight w:val="none"/>
        </w:rPr>
        <w:t>一般防渗区</w:t>
      </w:r>
    </w:p>
    <w:p w14:paraId="5CE6209A">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pacing w:val="0"/>
          <w:kern w:val="2"/>
          <w:sz w:val="24"/>
          <w:szCs w:val="22"/>
          <w:highlight w:val="none"/>
          <w:lang w:val="en-US" w:eastAsia="zh-CN" w:bidi="ar-SA"/>
        </w:rPr>
      </w:pPr>
      <w:r>
        <w:rPr>
          <w:rFonts w:hint="default" w:ascii="Times New Roman" w:hAnsi="Times New Roman" w:eastAsia="宋体" w:cs="Times New Roman"/>
          <w:color w:val="auto"/>
          <w:spacing w:val="0"/>
          <w:kern w:val="2"/>
          <w:sz w:val="24"/>
          <w:szCs w:val="22"/>
          <w:highlight w:val="none"/>
          <w:lang w:val="en-US" w:eastAsia="zh-CN" w:bidi="ar-SA"/>
        </w:rPr>
        <w:t>根据现场勘查，本项目一般防渗区主要为</w:t>
      </w:r>
      <w:r>
        <w:rPr>
          <w:rFonts w:hint="eastAsia" w:ascii="Times New Roman" w:hAnsi="Times New Roman" w:eastAsia="宋体" w:cs="Times New Roman"/>
          <w:color w:val="auto"/>
          <w:spacing w:val="0"/>
          <w:kern w:val="2"/>
          <w:sz w:val="24"/>
          <w:szCs w:val="22"/>
          <w:highlight w:val="none"/>
          <w:lang w:val="en-US" w:eastAsia="zh-CN" w:bidi="ar-SA"/>
        </w:rPr>
        <w:t>加氢工艺区、一般固废间、生活区等</w:t>
      </w:r>
      <w:r>
        <w:rPr>
          <w:rFonts w:hint="default" w:ascii="Times New Roman" w:hAnsi="Times New Roman" w:eastAsia="宋体" w:cs="Times New Roman"/>
          <w:color w:val="auto"/>
          <w:spacing w:val="0"/>
          <w:kern w:val="2"/>
          <w:sz w:val="24"/>
          <w:szCs w:val="22"/>
          <w:highlight w:val="none"/>
          <w:lang w:val="en-US" w:eastAsia="zh-CN" w:bidi="ar-SA"/>
        </w:rPr>
        <w:t>区域，采用水泥硬化地面防渗，确保防渗层渗漏系数≤10</w:t>
      </w:r>
      <w:r>
        <w:rPr>
          <w:rFonts w:hint="default" w:ascii="Times New Roman" w:hAnsi="Times New Roman" w:eastAsia="宋体" w:cs="Times New Roman"/>
          <w:color w:val="auto"/>
          <w:spacing w:val="0"/>
          <w:kern w:val="2"/>
          <w:sz w:val="24"/>
          <w:szCs w:val="22"/>
          <w:highlight w:val="none"/>
          <w:vertAlign w:val="superscript"/>
          <w:lang w:val="en-US" w:eastAsia="zh-CN" w:bidi="ar-SA"/>
        </w:rPr>
        <w:t>-7</w:t>
      </w:r>
      <w:r>
        <w:rPr>
          <w:rFonts w:hint="default" w:ascii="Times New Roman" w:hAnsi="Times New Roman" w:eastAsia="宋体" w:cs="Times New Roman"/>
          <w:color w:val="auto"/>
          <w:spacing w:val="0"/>
          <w:kern w:val="2"/>
          <w:sz w:val="24"/>
          <w:szCs w:val="22"/>
          <w:highlight w:val="none"/>
          <w:lang w:val="en-US" w:eastAsia="zh-CN" w:bidi="ar-SA"/>
        </w:rPr>
        <w:t>cm/s。</w:t>
      </w:r>
    </w:p>
    <w:p w14:paraId="1B0C39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eastAsia="宋体"/>
          <w:color w:val="auto"/>
          <w:sz w:val="24"/>
          <w:highlight w:val="none"/>
        </w:rPr>
      </w:pPr>
      <w:r>
        <w:rPr>
          <w:rFonts w:ascii="Times New Roman" w:hAnsi="宋体" w:eastAsia="宋体"/>
          <w:color w:val="auto"/>
          <w:sz w:val="24"/>
          <w:highlight w:val="none"/>
        </w:rPr>
        <w:fldChar w:fldCharType="begin"/>
      </w:r>
      <w:r>
        <w:rPr>
          <w:rFonts w:ascii="Times New Roman" w:hAnsi="宋体" w:eastAsia="宋体"/>
          <w:color w:val="auto"/>
          <w:sz w:val="24"/>
          <w:highlight w:val="none"/>
        </w:rPr>
        <w:instrText xml:space="preserve">= 2 \* GB3</w:instrText>
      </w:r>
      <w:r>
        <w:rPr>
          <w:rFonts w:ascii="Times New Roman" w:hAnsi="宋体" w:eastAsia="宋体"/>
          <w:color w:val="auto"/>
          <w:sz w:val="24"/>
          <w:highlight w:val="none"/>
        </w:rPr>
        <w:fldChar w:fldCharType="separate"/>
      </w:r>
      <w:r>
        <w:rPr>
          <w:rFonts w:hint="eastAsia" w:ascii="Times New Roman" w:hAnsi="宋体" w:eastAsia="宋体"/>
          <w:color w:val="auto"/>
          <w:sz w:val="24"/>
          <w:highlight w:val="none"/>
        </w:rPr>
        <w:t>②</w:t>
      </w:r>
      <w:r>
        <w:rPr>
          <w:rFonts w:ascii="Times New Roman" w:hAnsi="宋体" w:eastAsia="宋体"/>
          <w:color w:val="auto"/>
          <w:sz w:val="24"/>
          <w:highlight w:val="none"/>
        </w:rPr>
        <w:fldChar w:fldCharType="end"/>
      </w:r>
      <w:r>
        <w:rPr>
          <w:rFonts w:ascii="Times New Roman" w:hAnsi="宋体" w:eastAsia="宋体"/>
          <w:color w:val="auto"/>
          <w:sz w:val="24"/>
          <w:highlight w:val="none"/>
        </w:rPr>
        <w:t>重点防渗区</w:t>
      </w:r>
    </w:p>
    <w:p w14:paraId="528F4D35">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spacing w:val="0"/>
          <w:kern w:val="2"/>
          <w:sz w:val="24"/>
          <w:szCs w:val="22"/>
          <w:highlight w:val="none"/>
          <w:lang w:val="en-US" w:eastAsia="zh-CN" w:bidi="ar-SA"/>
        </w:rPr>
      </w:pPr>
      <w:r>
        <w:rPr>
          <w:rFonts w:hint="default" w:ascii="Times New Roman" w:hAnsi="Times New Roman" w:eastAsia="宋体" w:cs="Times New Roman"/>
          <w:color w:val="auto"/>
          <w:spacing w:val="0"/>
          <w:kern w:val="2"/>
          <w:sz w:val="24"/>
          <w:szCs w:val="22"/>
          <w:highlight w:val="none"/>
          <w:lang w:val="en-US" w:eastAsia="zh-CN" w:bidi="ar-SA"/>
        </w:rPr>
        <w:t>本项目重点防渗区主要为危废暂存库、</w:t>
      </w:r>
      <w:r>
        <w:rPr>
          <w:rFonts w:hint="eastAsia" w:ascii="Times New Roman" w:hAnsi="Times New Roman" w:eastAsia="宋体" w:cs="Times New Roman"/>
          <w:color w:val="auto"/>
          <w:spacing w:val="0"/>
          <w:kern w:val="2"/>
          <w:sz w:val="24"/>
          <w:szCs w:val="22"/>
          <w:highlight w:val="none"/>
          <w:lang w:val="en-US" w:eastAsia="zh-CN" w:bidi="ar-SA"/>
        </w:rPr>
        <w:t>罐区</w:t>
      </w:r>
      <w:r>
        <w:rPr>
          <w:rFonts w:hint="default" w:ascii="Times New Roman" w:hAnsi="Times New Roman" w:eastAsia="宋体" w:cs="Times New Roman"/>
          <w:color w:val="auto"/>
          <w:spacing w:val="0"/>
          <w:kern w:val="2"/>
          <w:sz w:val="24"/>
          <w:szCs w:val="22"/>
          <w:highlight w:val="none"/>
          <w:lang w:val="en-US" w:eastAsia="zh-CN" w:bidi="ar-SA"/>
        </w:rPr>
        <w:t>、</w:t>
      </w:r>
      <w:r>
        <w:rPr>
          <w:rFonts w:hint="eastAsia" w:ascii="Times New Roman" w:hAnsi="Times New Roman" w:eastAsia="宋体" w:cs="Times New Roman"/>
          <w:color w:val="auto"/>
          <w:spacing w:val="0"/>
          <w:kern w:val="2"/>
          <w:sz w:val="24"/>
          <w:szCs w:val="22"/>
          <w:highlight w:val="none"/>
          <w:lang w:val="en-US" w:eastAsia="zh-CN" w:bidi="ar-SA"/>
        </w:rPr>
        <w:t>隔油沉淀池、初期雨水池</w:t>
      </w:r>
      <w:r>
        <w:rPr>
          <w:rFonts w:hint="default" w:ascii="Times New Roman" w:hAnsi="Times New Roman" w:eastAsia="宋体" w:cs="Times New Roman"/>
          <w:color w:val="auto"/>
          <w:spacing w:val="0"/>
          <w:kern w:val="2"/>
          <w:sz w:val="24"/>
          <w:szCs w:val="22"/>
          <w:highlight w:val="none"/>
          <w:lang w:val="en-US" w:eastAsia="zh-CN" w:bidi="ar-SA"/>
        </w:rPr>
        <w:t>。危废暂存库、</w:t>
      </w:r>
      <w:r>
        <w:rPr>
          <w:rFonts w:hint="eastAsia" w:ascii="Times New Roman" w:hAnsi="Times New Roman" w:eastAsia="宋体" w:cs="Times New Roman"/>
          <w:color w:val="auto"/>
          <w:spacing w:val="0"/>
          <w:kern w:val="2"/>
          <w:sz w:val="24"/>
          <w:szCs w:val="22"/>
          <w:highlight w:val="none"/>
          <w:lang w:val="en-US" w:eastAsia="zh-CN" w:bidi="ar-SA"/>
        </w:rPr>
        <w:t>罐区</w:t>
      </w:r>
      <w:r>
        <w:rPr>
          <w:rFonts w:hint="default" w:ascii="Times New Roman" w:hAnsi="Times New Roman" w:eastAsia="宋体" w:cs="Times New Roman"/>
          <w:color w:val="auto"/>
          <w:spacing w:val="0"/>
          <w:kern w:val="2"/>
          <w:sz w:val="24"/>
          <w:szCs w:val="22"/>
          <w:highlight w:val="none"/>
          <w:lang w:val="en-US" w:eastAsia="zh-CN" w:bidi="ar-SA"/>
        </w:rPr>
        <w:t>、</w:t>
      </w:r>
      <w:r>
        <w:rPr>
          <w:rFonts w:hint="eastAsia" w:ascii="Times New Roman" w:hAnsi="Times New Roman" w:eastAsia="宋体" w:cs="Times New Roman"/>
          <w:color w:val="auto"/>
          <w:spacing w:val="0"/>
          <w:kern w:val="2"/>
          <w:sz w:val="24"/>
          <w:szCs w:val="22"/>
          <w:highlight w:val="none"/>
          <w:lang w:val="en-US" w:eastAsia="zh-CN" w:bidi="ar-SA"/>
        </w:rPr>
        <w:t>隔油沉淀池、初期雨水池</w:t>
      </w:r>
      <w:r>
        <w:rPr>
          <w:rFonts w:hint="default" w:ascii="Times New Roman" w:hAnsi="Times New Roman" w:eastAsia="宋体" w:cs="Times New Roman"/>
          <w:color w:val="auto"/>
          <w:spacing w:val="0"/>
          <w:kern w:val="2"/>
          <w:sz w:val="24"/>
          <w:szCs w:val="22"/>
          <w:highlight w:val="none"/>
          <w:lang w:val="en-US" w:eastAsia="zh-CN" w:bidi="ar-SA"/>
        </w:rPr>
        <w:t>采用高密度聚乙烯材料或其他人工材料防渗，确保重点防渗区为可视、可控状态，确保重点防渗区防渗层防渗系数≤10</w:t>
      </w:r>
      <w:r>
        <w:rPr>
          <w:rFonts w:hint="default" w:ascii="Times New Roman" w:hAnsi="Times New Roman" w:eastAsia="宋体" w:cs="Times New Roman"/>
          <w:color w:val="auto"/>
          <w:spacing w:val="0"/>
          <w:kern w:val="2"/>
          <w:sz w:val="24"/>
          <w:szCs w:val="22"/>
          <w:highlight w:val="none"/>
          <w:vertAlign w:val="superscript"/>
          <w:lang w:val="en-US" w:eastAsia="zh-CN" w:bidi="ar-SA"/>
        </w:rPr>
        <w:t>-10</w:t>
      </w:r>
      <w:r>
        <w:rPr>
          <w:rFonts w:hint="default" w:ascii="Times New Roman" w:hAnsi="Times New Roman" w:eastAsia="宋体" w:cs="Times New Roman"/>
          <w:color w:val="auto"/>
          <w:spacing w:val="0"/>
          <w:kern w:val="2"/>
          <w:sz w:val="24"/>
          <w:szCs w:val="22"/>
          <w:highlight w:val="none"/>
          <w:lang w:val="en-US" w:eastAsia="zh-CN" w:bidi="ar-SA"/>
        </w:rPr>
        <w:t>cm/s。</w:t>
      </w:r>
    </w:p>
    <w:p w14:paraId="315C8A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宋体" w:eastAsia="宋体"/>
          <w:color w:val="auto"/>
          <w:sz w:val="24"/>
          <w:highlight w:val="none"/>
        </w:rPr>
      </w:pPr>
      <w:r>
        <w:rPr>
          <w:rFonts w:hint="eastAsia" w:ascii="Times New Roman" w:hAnsi="宋体" w:eastAsia="宋体"/>
          <w:color w:val="auto"/>
          <w:sz w:val="24"/>
          <w:highlight w:val="none"/>
        </w:rPr>
        <w:t>③</w:t>
      </w:r>
      <w:r>
        <w:rPr>
          <w:rFonts w:ascii="Times New Roman" w:hAnsi="宋体" w:eastAsia="宋体"/>
          <w:color w:val="auto"/>
          <w:sz w:val="24"/>
          <w:highlight w:val="none"/>
        </w:rPr>
        <w:t>简单防渗区</w:t>
      </w:r>
    </w:p>
    <w:p w14:paraId="51535E89">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本项目生产车间重点污染防治区和一般污染防治区之外的区域为简单污染防治区，采用抗渗钢筋混凝土浇制地面底板，可达到一般地面硬化要求。</w:t>
      </w:r>
    </w:p>
    <w:p w14:paraId="474BD4AB">
      <w:pPr>
        <w:spacing w:line="360" w:lineRule="auto"/>
        <w:rPr>
          <w:rFonts w:ascii="Times New Roman" w:hAnsi="宋体" w:eastAsia="宋体"/>
          <w:b/>
          <w:color w:val="auto"/>
          <w:sz w:val="24"/>
          <w:highlight w:val="none"/>
        </w:rPr>
      </w:pPr>
      <w:r>
        <w:rPr>
          <w:rFonts w:ascii="Times New Roman" w:hAnsi="宋体" w:eastAsia="宋体"/>
          <w:b/>
          <w:color w:val="auto"/>
          <w:sz w:val="24"/>
          <w:highlight w:val="none"/>
        </w:rPr>
        <w:t>（2）分区防渗措施一览表</w:t>
      </w:r>
    </w:p>
    <w:p w14:paraId="4BADB8A7">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本项目地下水分区防渗措施见表6.</w:t>
      </w:r>
      <w:r>
        <w:rPr>
          <w:rFonts w:hint="eastAsia" w:ascii="Times New Roman" w:hAnsi="Times New Roman" w:eastAsia="宋体"/>
          <w:color w:val="auto"/>
          <w:sz w:val="24"/>
          <w:szCs w:val="24"/>
          <w:highlight w:val="none"/>
          <w:lang w:val="en-US" w:eastAsia="zh-CN"/>
        </w:rPr>
        <w:t>6</w:t>
      </w:r>
      <w:r>
        <w:rPr>
          <w:rFonts w:ascii="Times New Roman" w:hAnsi="Times New Roman" w:eastAsia="宋体"/>
          <w:color w:val="auto"/>
          <w:sz w:val="24"/>
          <w:szCs w:val="24"/>
          <w:highlight w:val="none"/>
        </w:rPr>
        <w:t>.</w:t>
      </w:r>
      <w:r>
        <w:rPr>
          <w:rFonts w:hint="eastAsia" w:ascii="Times New Roman" w:hAnsi="Times New Roman" w:eastAsia="宋体"/>
          <w:color w:val="auto"/>
          <w:sz w:val="24"/>
          <w:szCs w:val="24"/>
          <w:highlight w:val="none"/>
          <w:lang w:val="en-US" w:eastAsia="zh-CN"/>
        </w:rPr>
        <w:t>2</w:t>
      </w:r>
      <w:r>
        <w:rPr>
          <w:rFonts w:ascii="Times New Roman" w:hAnsi="Times New Roman" w:eastAsia="宋体"/>
          <w:color w:val="auto"/>
          <w:sz w:val="24"/>
          <w:szCs w:val="24"/>
          <w:highlight w:val="none"/>
        </w:rPr>
        <w:t>-1。项目防渗示意图见图</w:t>
      </w:r>
      <w:r>
        <w:rPr>
          <w:rFonts w:hint="eastAsia" w:ascii="Times New Roman" w:hAnsi="Times New Roman" w:eastAsia="宋体"/>
          <w:color w:val="auto"/>
          <w:sz w:val="24"/>
          <w:szCs w:val="24"/>
          <w:highlight w:val="none"/>
          <w:lang w:val="en-US" w:eastAsia="zh-CN"/>
        </w:rPr>
        <w:t>3.1.3</w:t>
      </w:r>
      <w:r>
        <w:rPr>
          <w:rFonts w:ascii="Times New Roman" w:hAnsi="Times New Roman" w:eastAsia="宋体"/>
          <w:color w:val="auto"/>
          <w:sz w:val="24"/>
          <w:szCs w:val="24"/>
          <w:highlight w:val="none"/>
        </w:rPr>
        <w:t>。</w:t>
      </w:r>
    </w:p>
    <w:p w14:paraId="316CC0DB">
      <w:pPr>
        <w:keepNext w:val="0"/>
        <w:keepLines w:val="0"/>
        <w:pageBreakBefore w:val="0"/>
        <w:kinsoku/>
        <w:wordWrap/>
        <w:overflowPunct/>
        <w:topLinePunct w:val="0"/>
        <w:autoSpaceDE/>
        <w:autoSpaceDN/>
        <w:bidi w:val="0"/>
        <w:adjustRightInd/>
        <w:snapToGrid/>
        <w:spacing w:line="400" w:lineRule="exact"/>
        <w:jc w:val="center"/>
        <w:textAlignment w:val="auto"/>
        <w:rPr>
          <w:rFonts w:ascii="Times New Roman" w:hAnsi="Times New Roman" w:eastAsia="宋体"/>
          <w:b/>
          <w:color w:val="auto"/>
          <w:sz w:val="24"/>
          <w:szCs w:val="24"/>
          <w:highlight w:val="none"/>
        </w:rPr>
      </w:pPr>
      <w:r>
        <w:rPr>
          <w:rFonts w:ascii="Times New Roman" w:hAnsi="Times New Roman" w:eastAsia="宋体"/>
          <w:b/>
          <w:color w:val="auto"/>
          <w:sz w:val="24"/>
          <w:szCs w:val="24"/>
          <w:highlight w:val="none"/>
        </w:rPr>
        <w:t>表6.</w:t>
      </w:r>
      <w:r>
        <w:rPr>
          <w:rFonts w:hint="eastAsia" w:ascii="Times New Roman" w:hAnsi="Times New Roman" w:eastAsia="宋体"/>
          <w:b/>
          <w:color w:val="auto"/>
          <w:sz w:val="24"/>
          <w:szCs w:val="24"/>
          <w:highlight w:val="none"/>
          <w:lang w:val="en-US" w:eastAsia="zh-CN"/>
        </w:rPr>
        <w:t>6</w:t>
      </w:r>
      <w:r>
        <w:rPr>
          <w:rFonts w:ascii="Times New Roman" w:hAnsi="Times New Roman" w:eastAsia="宋体"/>
          <w:b/>
          <w:color w:val="auto"/>
          <w:sz w:val="24"/>
          <w:szCs w:val="24"/>
          <w:highlight w:val="none"/>
        </w:rPr>
        <w:t>.</w:t>
      </w:r>
      <w:r>
        <w:rPr>
          <w:rFonts w:hint="eastAsia" w:ascii="Times New Roman" w:hAnsi="Times New Roman" w:eastAsia="宋体"/>
          <w:b/>
          <w:color w:val="auto"/>
          <w:sz w:val="24"/>
          <w:szCs w:val="24"/>
          <w:highlight w:val="none"/>
          <w:lang w:val="en-US" w:eastAsia="zh-CN"/>
        </w:rPr>
        <w:t>2</w:t>
      </w:r>
      <w:r>
        <w:rPr>
          <w:rFonts w:ascii="Times New Roman" w:hAnsi="Times New Roman" w:eastAsia="宋体"/>
          <w:b/>
          <w:color w:val="auto"/>
          <w:sz w:val="24"/>
          <w:szCs w:val="24"/>
          <w:highlight w:val="none"/>
        </w:rPr>
        <w:t>-1</w:t>
      </w:r>
      <w:r>
        <w:rPr>
          <w:rFonts w:hint="eastAsia"/>
          <w:b/>
          <w:color w:val="auto"/>
          <w:sz w:val="24"/>
          <w:szCs w:val="24"/>
          <w:highlight w:val="none"/>
          <w:lang w:val="en-US" w:eastAsia="zh-CN"/>
        </w:rPr>
        <w:t xml:space="preserve">  </w:t>
      </w:r>
      <w:r>
        <w:rPr>
          <w:rFonts w:ascii="Times New Roman" w:hAnsi="Times New Roman" w:eastAsia="宋体"/>
          <w:b/>
          <w:color w:val="auto"/>
          <w:sz w:val="24"/>
          <w:szCs w:val="24"/>
          <w:highlight w:val="none"/>
        </w:rPr>
        <w:t>地下水分区防渗措施一览表</w:t>
      </w:r>
    </w:p>
    <w:tbl>
      <w:tblPr>
        <w:tblStyle w:val="4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3"/>
        <w:gridCol w:w="2413"/>
        <w:gridCol w:w="4565"/>
      </w:tblGrid>
      <w:tr w14:paraId="4EA7B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0" w:type="pct"/>
            <w:noWrap w:val="0"/>
            <w:vAlign w:val="center"/>
          </w:tcPr>
          <w:p w14:paraId="2738964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污染防治分区</w:t>
            </w:r>
          </w:p>
        </w:tc>
        <w:tc>
          <w:tcPr>
            <w:tcW w:w="1417" w:type="pct"/>
            <w:noWrap w:val="0"/>
            <w:vAlign w:val="center"/>
          </w:tcPr>
          <w:p w14:paraId="174859D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防治区域</w:t>
            </w:r>
          </w:p>
        </w:tc>
        <w:tc>
          <w:tcPr>
            <w:tcW w:w="2681" w:type="pct"/>
            <w:noWrap w:val="0"/>
            <w:vAlign w:val="center"/>
          </w:tcPr>
          <w:p w14:paraId="1A4B6DC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防治措施</w:t>
            </w:r>
          </w:p>
        </w:tc>
      </w:tr>
      <w:tr w14:paraId="4FBDC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900" w:type="pct"/>
            <w:noWrap w:val="0"/>
            <w:vAlign w:val="center"/>
          </w:tcPr>
          <w:p w14:paraId="28B0593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重点防渗区</w:t>
            </w:r>
          </w:p>
        </w:tc>
        <w:tc>
          <w:tcPr>
            <w:tcW w:w="1417" w:type="pct"/>
            <w:noWrap w:val="0"/>
            <w:vAlign w:val="center"/>
          </w:tcPr>
          <w:p w14:paraId="4FB320C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危废暂存库、罐区、隔油沉淀池</w:t>
            </w:r>
          </w:p>
        </w:tc>
        <w:tc>
          <w:tcPr>
            <w:tcW w:w="2681" w:type="pct"/>
            <w:noWrap w:val="0"/>
            <w:vAlign w:val="center"/>
          </w:tcPr>
          <w:p w14:paraId="6DFA13D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2mm厚高密度聚乙烯，或至少2mm厚的</w:t>
            </w:r>
            <w:r>
              <w:rPr>
                <w:rFonts w:hint="eastAsia" w:ascii="Times New Roman" w:hAnsi="Times New Roman" w:eastAsia="宋体" w:cs="Times New Roman"/>
                <w:color w:val="auto"/>
                <w:kern w:val="2"/>
                <w:sz w:val="21"/>
                <w:szCs w:val="36"/>
                <w:highlight w:val="none"/>
                <w:lang w:val="en-US" w:eastAsia="zh-CN" w:bidi="ar-SA"/>
              </w:rPr>
              <w:t>其他人工</w:t>
            </w:r>
            <w:r>
              <w:rPr>
                <w:rFonts w:hint="default" w:ascii="Times New Roman" w:hAnsi="Times New Roman" w:eastAsia="宋体" w:cs="Times New Roman"/>
                <w:color w:val="auto"/>
                <w:kern w:val="2"/>
                <w:sz w:val="21"/>
                <w:szCs w:val="36"/>
                <w:highlight w:val="none"/>
                <w:lang w:val="en-US" w:eastAsia="zh-CN" w:bidi="ar-SA"/>
              </w:rPr>
              <w:t>材料，渗透系数≤1×10</w:t>
            </w:r>
            <w:r>
              <w:rPr>
                <w:rFonts w:hint="default" w:ascii="Times New Roman" w:hAnsi="Times New Roman" w:eastAsia="宋体" w:cs="Times New Roman"/>
                <w:color w:val="auto"/>
                <w:kern w:val="2"/>
                <w:sz w:val="21"/>
                <w:szCs w:val="36"/>
                <w:highlight w:val="none"/>
                <w:vertAlign w:val="superscript"/>
                <w:lang w:val="en-US" w:eastAsia="zh-CN" w:bidi="ar-SA"/>
              </w:rPr>
              <w:t>-10</w:t>
            </w:r>
            <w:r>
              <w:rPr>
                <w:rFonts w:hint="default" w:ascii="Times New Roman" w:hAnsi="Times New Roman" w:eastAsia="宋体" w:cs="Times New Roman"/>
                <w:color w:val="auto"/>
                <w:kern w:val="2"/>
                <w:sz w:val="21"/>
                <w:szCs w:val="36"/>
                <w:highlight w:val="none"/>
                <w:lang w:val="en-US" w:eastAsia="zh-CN" w:bidi="ar-SA"/>
              </w:rPr>
              <w:t>cm/s</w:t>
            </w:r>
          </w:p>
        </w:tc>
      </w:tr>
      <w:tr w14:paraId="3D46B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0" w:type="pct"/>
            <w:noWrap w:val="0"/>
            <w:vAlign w:val="center"/>
          </w:tcPr>
          <w:p w14:paraId="1869983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一般防渗区</w:t>
            </w:r>
          </w:p>
        </w:tc>
        <w:tc>
          <w:tcPr>
            <w:tcW w:w="1417" w:type="pct"/>
            <w:noWrap w:val="0"/>
            <w:vAlign w:val="center"/>
          </w:tcPr>
          <w:p w14:paraId="0D3C7F0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制氢</w:t>
            </w:r>
            <w:r>
              <w:rPr>
                <w:rFonts w:hint="default" w:ascii="Times New Roman" w:hAnsi="Times New Roman" w:eastAsia="宋体" w:cs="Times New Roman"/>
                <w:color w:val="auto"/>
                <w:kern w:val="2"/>
                <w:sz w:val="21"/>
                <w:szCs w:val="36"/>
                <w:highlight w:val="none"/>
                <w:lang w:val="en-US" w:eastAsia="zh-CN" w:bidi="ar-SA"/>
              </w:rPr>
              <w:t>工艺区、一般固废间、生活区</w:t>
            </w:r>
          </w:p>
        </w:tc>
        <w:tc>
          <w:tcPr>
            <w:tcW w:w="2681" w:type="pct"/>
            <w:noWrap w:val="0"/>
            <w:vAlign w:val="center"/>
          </w:tcPr>
          <w:p w14:paraId="70D0379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采用水泥硬化地面防渗，确保防渗层渗漏系数≤10</w:t>
            </w:r>
            <w:r>
              <w:rPr>
                <w:rFonts w:hint="default" w:ascii="Times New Roman" w:hAnsi="Times New Roman" w:eastAsia="宋体" w:cs="Times New Roman"/>
                <w:color w:val="auto"/>
                <w:kern w:val="2"/>
                <w:sz w:val="21"/>
                <w:szCs w:val="36"/>
                <w:highlight w:val="none"/>
                <w:vertAlign w:val="superscript"/>
                <w:lang w:val="en-US" w:eastAsia="zh-CN" w:bidi="ar-SA"/>
              </w:rPr>
              <w:t>-7</w:t>
            </w:r>
            <w:r>
              <w:rPr>
                <w:rFonts w:hint="default" w:ascii="Times New Roman" w:hAnsi="Times New Roman" w:eastAsia="宋体" w:cs="Times New Roman"/>
                <w:color w:val="auto"/>
                <w:kern w:val="2"/>
                <w:sz w:val="21"/>
                <w:szCs w:val="36"/>
                <w:highlight w:val="none"/>
                <w:lang w:val="en-US" w:eastAsia="zh-CN" w:bidi="ar-SA"/>
              </w:rPr>
              <w:t>cm/s</w:t>
            </w:r>
          </w:p>
        </w:tc>
      </w:tr>
      <w:tr w14:paraId="2C311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900" w:type="pct"/>
            <w:noWrap w:val="0"/>
            <w:vAlign w:val="center"/>
          </w:tcPr>
          <w:p w14:paraId="72C2CB0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非污染防治区</w:t>
            </w:r>
          </w:p>
        </w:tc>
        <w:tc>
          <w:tcPr>
            <w:tcW w:w="1417" w:type="pct"/>
            <w:noWrap w:val="0"/>
            <w:vAlign w:val="center"/>
          </w:tcPr>
          <w:p w14:paraId="5084C8F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厂区道路等</w:t>
            </w:r>
          </w:p>
        </w:tc>
        <w:tc>
          <w:tcPr>
            <w:tcW w:w="2681" w:type="pct"/>
            <w:noWrap w:val="0"/>
            <w:vAlign w:val="center"/>
          </w:tcPr>
          <w:p w14:paraId="70F1D3A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按常规建筑结构要求进行地面处理，可采取非铺砌地坪或普通混凝土地坪，不设置专门的防渗层</w:t>
            </w:r>
          </w:p>
        </w:tc>
      </w:tr>
    </w:tbl>
    <w:p w14:paraId="01D20F0D">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color w:val="auto"/>
          <w:spacing w:val="0"/>
          <w:kern w:val="2"/>
          <w:sz w:val="24"/>
          <w:szCs w:val="22"/>
          <w:highlight w:val="none"/>
          <w:lang w:val="en-US" w:eastAsia="zh-CN" w:bidi="ar-SA"/>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color w:val="auto"/>
          <w:spacing w:val="0"/>
          <w:kern w:val="2"/>
          <w:sz w:val="24"/>
          <w:szCs w:val="22"/>
          <w:highlight w:val="none"/>
          <w:lang w:val="en-US" w:eastAsia="zh-CN" w:bidi="ar-SA"/>
        </w:rPr>
        <w:t>3）其他污染防治措施</w:t>
      </w:r>
    </w:p>
    <w:p w14:paraId="004D7D1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①合理布设雨污管道，使用质量合格的管道，使厂区的雨污水能得到</w:t>
      </w:r>
      <w:r>
        <w:rPr>
          <w:rFonts w:hint="eastAsia" w:cs="Times New Roman"/>
          <w:color w:val="auto"/>
          <w:kern w:val="0"/>
          <w:sz w:val="24"/>
          <w:szCs w:val="24"/>
          <w:highlight w:val="none"/>
          <w:lang w:val="en-US" w:eastAsia="zh-CN" w:bidi="ar"/>
        </w:rPr>
        <w:t>及时</w:t>
      </w:r>
      <w:r>
        <w:rPr>
          <w:rFonts w:hint="default" w:ascii="Times New Roman" w:hAnsi="Times New Roman" w:eastAsia="宋体" w:cs="Times New Roman"/>
          <w:color w:val="auto"/>
          <w:kern w:val="0"/>
          <w:sz w:val="24"/>
          <w:szCs w:val="24"/>
          <w:highlight w:val="none"/>
          <w:lang w:val="en-US" w:eastAsia="zh-CN" w:bidi="ar"/>
        </w:rPr>
        <w:t>疏导，并做好雨污收集系统的维护和定期检测。</w:t>
      </w:r>
    </w:p>
    <w:p w14:paraId="19D1B560">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②定期检测厂区各防渗衬层系统的完整性和有效性、密封性，杜绝污水渗漏，防止地下水污染；当发现防渗衬层系统失效发生废水、固体废物渗滤液渗漏时，应及时采取补救措施。</w:t>
      </w:r>
    </w:p>
    <w:p w14:paraId="4E8604C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③制定全厂设备安全操作规章、检修制度和设备管理考核制度，对每台设备确定责任人。由专职机构定期进行设备完好率、运行率考核，实施重奖重罚，消除设备故障和地下水污染隐患。</w:t>
      </w:r>
    </w:p>
    <w:p w14:paraId="6DD53B5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④加强管理，杜绝超设计生产。</w:t>
      </w:r>
    </w:p>
    <w:p w14:paraId="123C7BD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⑤做好员工的环保和安全知识培训，提高全厂职工地下水保护意识。</w:t>
      </w:r>
    </w:p>
    <w:p w14:paraId="0A6748B0">
      <w:pPr>
        <w:keepNext w:val="0"/>
        <w:keepLines w:val="0"/>
        <w:pageBreakBefore w:val="0"/>
        <w:widowControl/>
        <w:kinsoku/>
        <w:wordWrap/>
        <w:overflowPunct/>
        <w:topLinePunct w:val="0"/>
        <w:autoSpaceDE/>
        <w:autoSpaceDN/>
        <w:bidi w:val="0"/>
        <w:adjustRightInd w:val="0"/>
        <w:snapToGrid/>
        <w:spacing w:line="360" w:lineRule="auto"/>
        <w:ind w:firstLine="480" w:firstLineChars="200"/>
        <w:jc w:val="left"/>
        <w:textAlignment w:val="auto"/>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在采取以上分区防渗等措施后，可有效防止和避免对地下水和土壤</w:t>
      </w:r>
      <w:r>
        <w:rPr>
          <w:rFonts w:hint="eastAsia"/>
          <w:color w:val="auto"/>
          <w:sz w:val="24"/>
          <w:szCs w:val="24"/>
          <w:highlight w:val="none"/>
          <w:lang w:val="en-US" w:eastAsia="zh-CN"/>
        </w:rPr>
        <w:t>产生</w:t>
      </w:r>
      <w:r>
        <w:rPr>
          <w:rFonts w:ascii="Times New Roman" w:hAnsi="Times New Roman" w:eastAsia="宋体"/>
          <w:color w:val="auto"/>
          <w:sz w:val="24"/>
          <w:szCs w:val="24"/>
          <w:highlight w:val="none"/>
        </w:rPr>
        <w:t>污染。</w:t>
      </w:r>
    </w:p>
    <w:p w14:paraId="0984322B">
      <w:pPr>
        <w:pStyle w:val="4"/>
        <w:spacing w:after="156"/>
        <w:rPr>
          <w:rFonts w:hint="default" w:ascii="Times New Roman" w:hAnsi="Times New Roman" w:eastAsia="宋体" w:cs="Times New Roman"/>
          <w:b/>
          <w:color w:val="auto"/>
          <w:highlight w:val="none"/>
          <w:lang w:val="en-US" w:eastAsia="zh-CN"/>
        </w:rPr>
      </w:pPr>
      <w:bookmarkStart w:id="555" w:name="_Toc20232"/>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3</w:t>
      </w:r>
      <w:r>
        <w:rPr>
          <w:rFonts w:hint="default" w:ascii="Times New Roman" w:hAnsi="Times New Roman" w:eastAsia="宋体" w:cs="Times New Roman"/>
          <w:b/>
          <w:color w:val="auto"/>
          <w:highlight w:val="none"/>
          <w:lang w:val="en-US" w:eastAsia="zh-CN"/>
        </w:rPr>
        <w:t>跟踪监测与信息公开计划</w:t>
      </w:r>
      <w:bookmarkEnd w:id="555"/>
    </w:p>
    <w:p w14:paraId="09D5F2CC">
      <w:pPr>
        <w:widowControl w:val="0"/>
        <w:autoSpaceDE w:val="0"/>
        <w:autoSpaceDN w:val="0"/>
        <w:adjustRightInd w:val="0"/>
        <w:snapToGrid w:val="0"/>
        <w:spacing w:beforeLines="0" w:afterLines="0" w:line="360" w:lineRule="auto"/>
        <w:ind w:firstLine="480" w:firstLineChars="200"/>
        <w:jc w:val="both"/>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为了及时准确掌握本项目运营期对地下水环境质量状况的影响，本项目应建立地下水长期监控系统，以了解生产活动对潜水含水层的影响。根据本项目工程特点、水文地质条件，应对厂区的地下水水质开展例行监测，根据《环境影响评价技术导则 地下水环境》</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HJ610-2016</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二级评价的建设项目，一般不少于3个</w:t>
      </w:r>
      <w:r>
        <w:rPr>
          <w:rFonts w:hint="eastAsia" w:ascii="Times New Roman" w:hAnsi="Times New Roman" w:eastAsia="宋体"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应至少在建设项目场地</w:t>
      </w:r>
      <w:r>
        <w:rPr>
          <w:rFonts w:hint="eastAsia" w:ascii="Times New Roman" w:hAnsi="Times New Roman" w:eastAsia="宋体"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上、下游各布置1个。</w:t>
      </w:r>
      <w:r>
        <w:rPr>
          <w:rFonts w:hint="eastAsia" w:cs="Times New Roman"/>
          <w:b w:val="0"/>
          <w:bCs/>
          <w:color w:val="auto"/>
          <w:kern w:val="2"/>
          <w:sz w:val="24"/>
          <w:szCs w:val="24"/>
          <w:highlight w:val="none"/>
          <w:lang w:val="en-US" w:eastAsia="zh-CN" w:bidi="ar-SA"/>
        </w:rPr>
        <w:t>”</w:t>
      </w:r>
      <w:r>
        <w:rPr>
          <w:rFonts w:hint="default" w:ascii="Times New Roman" w:hAnsi="Times New Roman" w:eastAsia="宋体" w:cs="Times New Roman"/>
          <w:b w:val="0"/>
          <w:bCs/>
          <w:color w:val="auto"/>
          <w:kern w:val="2"/>
          <w:sz w:val="24"/>
          <w:szCs w:val="24"/>
          <w:highlight w:val="none"/>
          <w:lang w:val="en-US" w:eastAsia="zh-CN" w:bidi="ar-SA"/>
        </w:rPr>
        <w:t>具体点位布置见下表。在日常例行监测中，一旦发现地下水水质监测数据异常，应尽快核查数据，掌握区域地下水的水质变化情况。</w:t>
      </w:r>
    </w:p>
    <w:p w14:paraId="4475DDCC">
      <w:pPr>
        <w:keepNext w:val="0"/>
        <w:keepLines w:val="0"/>
        <w:pageBreakBefore w:val="0"/>
        <w:kinsoku/>
        <w:wordWrap/>
        <w:overflowPunct/>
        <w:topLinePunct w:val="0"/>
        <w:autoSpaceDE/>
        <w:autoSpaceDN/>
        <w:bidi w:val="0"/>
        <w:adjustRightInd/>
        <w:snapToGrid/>
        <w:spacing w:line="400" w:lineRule="exact"/>
        <w:jc w:val="center"/>
        <w:textAlignment w:val="auto"/>
        <w:rPr>
          <w:rFonts w:ascii="Times New Roman" w:hAnsi="Times New Roman" w:eastAsia="宋体"/>
          <w:b/>
          <w:color w:val="auto"/>
          <w:sz w:val="24"/>
          <w:szCs w:val="24"/>
          <w:highlight w:val="none"/>
        </w:rPr>
      </w:pPr>
      <w:r>
        <w:rPr>
          <w:rFonts w:ascii="Times New Roman" w:hAnsi="Times New Roman" w:eastAsia="宋体"/>
          <w:b/>
          <w:color w:val="auto"/>
          <w:sz w:val="24"/>
          <w:szCs w:val="24"/>
          <w:highlight w:val="none"/>
        </w:rPr>
        <w:t>表6.</w:t>
      </w:r>
      <w:r>
        <w:rPr>
          <w:rFonts w:hint="eastAsia" w:ascii="Times New Roman" w:hAnsi="Times New Roman" w:eastAsia="宋体"/>
          <w:b/>
          <w:color w:val="auto"/>
          <w:sz w:val="24"/>
          <w:szCs w:val="24"/>
          <w:highlight w:val="none"/>
          <w:lang w:val="en-US" w:eastAsia="zh-CN"/>
        </w:rPr>
        <w:t>6</w:t>
      </w:r>
      <w:r>
        <w:rPr>
          <w:rFonts w:ascii="Times New Roman" w:hAnsi="Times New Roman" w:eastAsia="宋体"/>
          <w:b/>
          <w:color w:val="auto"/>
          <w:sz w:val="24"/>
          <w:szCs w:val="24"/>
          <w:highlight w:val="none"/>
        </w:rPr>
        <w:t>.</w:t>
      </w:r>
      <w:r>
        <w:rPr>
          <w:rFonts w:hint="eastAsia" w:ascii="Times New Roman" w:hAnsi="Times New Roman" w:eastAsia="宋体"/>
          <w:b/>
          <w:color w:val="auto"/>
          <w:sz w:val="24"/>
          <w:szCs w:val="24"/>
          <w:highlight w:val="none"/>
          <w:lang w:val="en-US" w:eastAsia="zh-CN"/>
        </w:rPr>
        <w:t>3</w:t>
      </w:r>
      <w:r>
        <w:rPr>
          <w:rFonts w:ascii="Times New Roman" w:hAnsi="Times New Roman" w:eastAsia="宋体"/>
          <w:b/>
          <w:color w:val="auto"/>
          <w:sz w:val="24"/>
          <w:szCs w:val="24"/>
          <w:highlight w:val="none"/>
        </w:rPr>
        <w:t>-</w:t>
      </w:r>
      <w:r>
        <w:rPr>
          <w:rFonts w:hint="eastAsia" w:ascii="Times New Roman" w:hAnsi="Times New Roman" w:eastAsia="宋体"/>
          <w:b/>
          <w:color w:val="auto"/>
          <w:sz w:val="24"/>
          <w:szCs w:val="24"/>
          <w:highlight w:val="none"/>
          <w:lang w:val="en-US" w:eastAsia="zh-CN"/>
        </w:rPr>
        <w:t>1</w:t>
      </w:r>
      <w:r>
        <w:rPr>
          <w:rFonts w:hint="eastAsia"/>
          <w:b/>
          <w:color w:val="auto"/>
          <w:sz w:val="24"/>
          <w:szCs w:val="24"/>
          <w:highlight w:val="none"/>
          <w:lang w:val="en-US" w:eastAsia="zh-CN"/>
        </w:rPr>
        <w:t xml:space="preserve">  </w:t>
      </w:r>
      <w:r>
        <w:rPr>
          <w:rFonts w:ascii="Times New Roman" w:hAnsi="Times New Roman" w:eastAsia="宋体"/>
          <w:b/>
          <w:color w:val="auto"/>
          <w:sz w:val="24"/>
          <w:szCs w:val="24"/>
          <w:highlight w:val="none"/>
        </w:rPr>
        <w:t>地下水</w:t>
      </w:r>
      <w:r>
        <w:rPr>
          <w:rFonts w:hint="eastAsia" w:ascii="Times New Roman" w:hAnsi="Times New Roman" w:eastAsia="宋体"/>
          <w:b/>
          <w:color w:val="auto"/>
          <w:sz w:val="24"/>
          <w:szCs w:val="24"/>
          <w:highlight w:val="none"/>
          <w:lang w:val="en-US" w:eastAsia="zh-CN"/>
        </w:rPr>
        <w:t>监控井设置方案</w:t>
      </w:r>
      <w:r>
        <w:rPr>
          <w:rFonts w:ascii="Times New Roman" w:hAnsi="Times New Roman" w:eastAsia="宋体"/>
          <w:b/>
          <w:color w:val="auto"/>
          <w:sz w:val="24"/>
          <w:szCs w:val="24"/>
          <w:highlight w:val="none"/>
        </w:rPr>
        <w:t>一览表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2666"/>
        <w:gridCol w:w="1877"/>
        <w:gridCol w:w="2972"/>
      </w:tblGrid>
      <w:tr w14:paraId="5905C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86" w:type="pct"/>
            <w:noWrap w:val="0"/>
            <w:vAlign w:val="center"/>
          </w:tcPr>
          <w:p w14:paraId="4478F77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监测点</w:t>
            </w:r>
          </w:p>
        </w:tc>
        <w:tc>
          <w:tcPr>
            <w:tcW w:w="1565" w:type="pct"/>
            <w:noWrap w:val="0"/>
            <w:vAlign w:val="center"/>
          </w:tcPr>
          <w:p w14:paraId="44CBA22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监测点位置</w:t>
            </w:r>
          </w:p>
        </w:tc>
        <w:tc>
          <w:tcPr>
            <w:tcW w:w="1102" w:type="pct"/>
            <w:noWrap w:val="0"/>
            <w:vAlign w:val="center"/>
          </w:tcPr>
          <w:p w14:paraId="5D324C9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监测指标</w:t>
            </w:r>
          </w:p>
        </w:tc>
        <w:tc>
          <w:tcPr>
            <w:tcW w:w="1745" w:type="pct"/>
            <w:noWrap w:val="0"/>
            <w:vAlign w:val="center"/>
          </w:tcPr>
          <w:p w14:paraId="251EA93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监测频次</w:t>
            </w:r>
          </w:p>
        </w:tc>
      </w:tr>
      <w:tr w14:paraId="5D73E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586" w:type="pct"/>
            <w:noWrap w:val="0"/>
            <w:vAlign w:val="center"/>
          </w:tcPr>
          <w:p w14:paraId="204D519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D1</w:t>
            </w:r>
          </w:p>
        </w:tc>
        <w:tc>
          <w:tcPr>
            <w:tcW w:w="1565" w:type="pct"/>
            <w:noWrap w:val="0"/>
            <w:vAlign w:val="center"/>
          </w:tcPr>
          <w:p w14:paraId="0706C5F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调节池区域</w:t>
            </w:r>
          </w:p>
        </w:tc>
        <w:tc>
          <w:tcPr>
            <w:tcW w:w="1102" w:type="pct"/>
            <w:vMerge w:val="restart"/>
            <w:noWrap w:val="0"/>
            <w:vAlign w:val="center"/>
          </w:tcPr>
          <w:p w14:paraId="790AE49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石油类、石油烃（C6~C9）、石油烃（C10~C40）、甲基叔丁基醚</w:t>
            </w:r>
          </w:p>
        </w:tc>
        <w:tc>
          <w:tcPr>
            <w:tcW w:w="1745" w:type="pct"/>
            <w:noWrap w:val="0"/>
            <w:vAlign w:val="center"/>
          </w:tcPr>
          <w:p w14:paraId="697D86B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1次/年</w:t>
            </w:r>
          </w:p>
        </w:tc>
      </w:tr>
      <w:tr w14:paraId="197F3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86" w:type="pct"/>
            <w:noWrap w:val="0"/>
            <w:vAlign w:val="center"/>
          </w:tcPr>
          <w:p w14:paraId="5A57FF2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D2</w:t>
            </w:r>
          </w:p>
        </w:tc>
        <w:tc>
          <w:tcPr>
            <w:tcW w:w="1565" w:type="pct"/>
            <w:noWrap w:val="0"/>
            <w:vAlign w:val="center"/>
          </w:tcPr>
          <w:p w14:paraId="29DB6C8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李郢村</w:t>
            </w:r>
          </w:p>
        </w:tc>
        <w:tc>
          <w:tcPr>
            <w:tcW w:w="1102" w:type="pct"/>
            <w:vMerge w:val="continue"/>
            <w:noWrap w:val="0"/>
            <w:vAlign w:val="center"/>
          </w:tcPr>
          <w:p w14:paraId="63CD049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745" w:type="pct"/>
            <w:noWrap w:val="0"/>
            <w:vAlign w:val="center"/>
          </w:tcPr>
          <w:p w14:paraId="6FB0124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1次/年</w:t>
            </w:r>
          </w:p>
        </w:tc>
      </w:tr>
      <w:tr w14:paraId="58320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86" w:type="pct"/>
            <w:noWrap w:val="0"/>
            <w:vAlign w:val="center"/>
          </w:tcPr>
          <w:p w14:paraId="7BFADDE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D3</w:t>
            </w:r>
          </w:p>
        </w:tc>
        <w:tc>
          <w:tcPr>
            <w:tcW w:w="1565" w:type="pct"/>
            <w:noWrap w:val="0"/>
            <w:vAlign w:val="center"/>
          </w:tcPr>
          <w:p w14:paraId="54E33FB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中国石化销售股份有限公司安徽淮南石油分公司</w:t>
            </w:r>
          </w:p>
        </w:tc>
        <w:tc>
          <w:tcPr>
            <w:tcW w:w="1102" w:type="pct"/>
            <w:vMerge w:val="continue"/>
            <w:noWrap w:val="0"/>
            <w:vAlign w:val="center"/>
          </w:tcPr>
          <w:p w14:paraId="6FC8467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745" w:type="pct"/>
            <w:noWrap w:val="0"/>
            <w:vAlign w:val="center"/>
          </w:tcPr>
          <w:p w14:paraId="1D4B1E7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1次/年</w:t>
            </w:r>
          </w:p>
        </w:tc>
      </w:tr>
    </w:tbl>
    <w:p w14:paraId="536E93E2">
      <w:pPr>
        <w:keepNext w:val="0"/>
        <w:keepLines w:val="0"/>
        <w:pageBreakBefore w:val="0"/>
        <w:widowControl w:val="0"/>
        <w:numPr>
          <w:ilvl w:val="0"/>
          <w:numId w:val="0"/>
        </w:numPr>
        <w:kinsoku/>
        <w:wordWrap/>
        <w:overflowPunct/>
        <w:topLinePunct w:val="0"/>
        <w:autoSpaceDE w:val="0"/>
        <w:autoSpaceDN w:val="0"/>
        <w:bidi w:val="0"/>
        <w:adjustRightInd w:val="0"/>
        <w:snapToGrid w:val="0"/>
        <w:spacing w:beforeLines="0" w:afterLines="0" w:line="360" w:lineRule="auto"/>
        <w:ind w:firstLine="480" w:firstLineChars="200"/>
        <w:jc w:val="both"/>
        <w:textAlignment w:val="auto"/>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kern w:val="2"/>
          <w:sz w:val="24"/>
          <w:szCs w:val="24"/>
          <w:highlight w:val="none"/>
          <w:lang w:val="en-US" w:eastAsia="zh-CN" w:bidi="ar-SA"/>
        </w:rPr>
        <w:t>（1）</w:t>
      </w:r>
      <w:r>
        <w:rPr>
          <w:rFonts w:hint="eastAsia" w:ascii="宋体" w:hAnsi="宋体" w:eastAsia="宋体" w:cs="宋体"/>
          <w:b w:val="0"/>
          <w:bCs w:val="0"/>
          <w:color w:val="auto"/>
          <w:sz w:val="24"/>
          <w:szCs w:val="24"/>
          <w:highlight w:val="none"/>
        </w:rPr>
        <w:t>地下水环境跟踪监测报告</w:t>
      </w:r>
    </w:p>
    <w:p w14:paraId="24B17925">
      <w:pPr>
        <w:keepNext w:val="0"/>
        <w:keepLines w:val="0"/>
        <w:pageBreakBefore w:val="0"/>
        <w:widowControl w:val="0"/>
        <w:numPr>
          <w:ilvl w:val="0"/>
          <w:numId w:val="0"/>
        </w:numPr>
        <w:kinsoku/>
        <w:wordWrap/>
        <w:overflowPunct/>
        <w:topLinePunct w:val="0"/>
        <w:autoSpaceDE w:val="0"/>
        <w:autoSpaceDN w:val="0"/>
        <w:bidi w:val="0"/>
        <w:adjustRightInd w:val="0"/>
        <w:snapToGrid w:val="0"/>
        <w:spacing w:beforeLines="0" w:afterLines="0" w:line="360" w:lineRule="auto"/>
        <w:ind w:firstLine="480" w:firstLineChars="200"/>
        <w:jc w:val="both"/>
        <w:textAlignment w:val="auto"/>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项目环境保护专职机构负责编制项目地下水环境跟踪监测报告，报告内容应包括以下内容：项目厂区及其影响区地下水环境跟踪监测数据，项目排放污染物的种类、数量和浓度等。项目生产设备、管廊或管线、成品运输装置、危废暂存场所、事故应急池及应急装置等设施的运行状况、跑冒滴漏记录和维护记录等。</w:t>
      </w:r>
    </w:p>
    <w:p w14:paraId="0342DBC8">
      <w:pPr>
        <w:keepNext w:val="0"/>
        <w:keepLines w:val="0"/>
        <w:pageBreakBefore w:val="0"/>
        <w:widowControl w:val="0"/>
        <w:numPr>
          <w:ilvl w:val="0"/>
          <w:numId w:val="0"/>
        </w:numPr>
        <w:kinsoku/>
        <w:wordWrap/>
        <w:overflowPunct/>
        <w:topLinePunct w:val="0"/>
        <w:autoSpaceDE w:val="0"/>
        <w:autoSpaceDN w:val="0"/>
        <w:bidi w:val="0"/>
        <w:adjustRightInd w:val="0"/>
        <w:snapToGrid w:val="0"/>
        <w:spacing w:beforeLines="0" w:afterLines="0" w:line="360" w:lineRule="auto"/>
        <w:ind w:left="0" w:leftChars="0" w:firstLine="480" w:firstLineChars="200"/>
        <w:jc w:val="both"/>
        <w:textAlignment w:val="auto"/>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kern w:val="2"/>
          <w:sz w:val="24"/>
          <w:szCs w:val="24"/>
          <w:highlight w:val="none"/>
          <w:lang w:val="en-US" w:eastAsia="zh-CN" w:bidi="ar-SA"/>
        </w:rPr>
        <w:t>（2）</w:t>
      </w:r>
      <w:r>
        <w:rPr>
          <w:rFonts w:hint="eastAsia" w:ascii="宋体" w:hAnsi="宋体" w:eastAsia="宋体" w:cs="宋体"/>
          <w:b w:val="0"/>
          <w:bCs w:val="0"/>
          <w:color w:val="auto"/>
          <w:sz w:val="24"/>
          <w:szCs w:val="24"/>
          <w:highlight w:val="none"/>
        </w:rPr>
        <w:t>地下水信息公开计划</w:t>
      </w:r>
    </w:p>
    <w:p w14:paraId="3A22C2CE">
      <w:pPr>
        <w:keepNext w:val="0"/>
        <w:keepLines w:val="0"/>
        <w:pageBreakBefore w:val="0"/>
        <w:widowControl w:val="0"/>
        <w:numPr>
          <w:ilvl w:val="0"/>
          <w:numId w:val="0"/>
        </w:numPr>
        <w:kinsoku/>
        <w:wordWrap/>
        <w:overflowPunct/>
        <w:topLinePunct w:val="0"/>
        <w:autoSpaceDE w:val="0"/>
        <w:autoSpaceDN w:val="0"/>
        <w:bidi w:val="0"/>
        <w:adjustRightInd w:val="0"/>
        <w:snapToGrid w:val="0"/>
        <w:spacing w:beforeLines="0" w:afterLines="0" w:line="360" w:lineRule="auto"/>
        <w:ind w:left="0" w:leftChars="0" w:firstLine="480" w:firstLineChars="200"/>
        <w:jc w:val="both"/>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eastAsia" w:ascii="宋体" w:hAnsi="宋体" w:eastAsia="宋体" w:cs="宋体"/>
          <w:b w:val="0"/>
          <w:bCs w:val="0"/>
          <w:color w:val="auto"/>
          <w:sz w:val="24"/>
          <w:szCs w:val="24"/>
          <w:highlight w:val="none"/>
        </w:rPr>
        <w:t>企业应将地下水监测工作开展情况及监测结果向社会公众公开，公开频率以环境保护主管部门要求为准，一般一年公开一次。公开内容应包括：基础信息：企业名称、法人代表、所属行业、地理位置、生产周期、联系方式等；地下水监测方案；地下水监测结果：全部监测点位、监测时间、监测基本因子和项目特征因子的地下水环境监测值、标准限值、达标情况、超标倍数等。</w:t>
      </w:r>
    </w:p>
    <w:p w14:paraId="3A119E4C">
      <w:pPr>
        <w:pStyle w:val="4"/>
        <w:spacing w:after="156"/>
        <w:rPr>
          <w:rFonts w:hint="default" w:ascii="Times New Roman" w:hAnsi="Times New Roman" w:eastAsia="宋体" w:cs="Times New Roman"/>
          <w:b/>
          <w:color w:val="auto"/>
          <w:highlight w:val="none"/>
          <w:lang w:val="en-US" w:eastAsia="zh-CN"/>
        </w:rPr>
      </w:pPr>
      <w:bookmarkStart w:id="556" w:name="_Toc6556"/>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val="en-US" w:eastAsia="zh-CN"/>
        </w:rPr>
        <w:t>.</w:t>
      </w:r>
      <w:r>
        <w:rPr>
          <w:rFonts w:hint="eastAsia" w:ascii="Times New Roman" w:hAnsi="Times New Roman" w:eastAsia="宋体" w:cs="Times New Roman"/>
          <w:b/>
          <w:color w:val="auto"/>
          <w:highlight w:val="none"/>
          <w:lang w:val="en-US" w:eastAsia="zh-CN"/>
        </w:rPr>
        <w:t>4</w:t>
      </w:r>
      <w:r>
        <w:rPr>
          <w:rFonts w:hint="default" w:ascii="Times New Roman" w:hAnsi="Times New Roman" w:eastAsia="宋体" w:cs="Times New Roman"/>
          <w:b/>
          <w:color w:val="auto"/>
          <w:highlight w:val="none"/>
          <w:lang w:val="en-US" w:eastAsia="zh-CN"/>
        </w:rPr>
        <w:t>地下水污染应急系统</w:t>
      </w:r>
      <w:bookmarkEnd w:id="556"/>
    </w:p>
    <w:p w14:paraId="11C5CE62">
      <w:pPr>
        <w:widowControl w:val="0"/>
        <w:autoSpaceDE w:val="0"/>
        <w:autoSpaceDN w:val="0"/>
        <w:adjustRightInd w:val="0"/>
        <w:snapToGrid w:val="0"/>
        <w:spacing w:beforeLines="0" w:afterLines="0" w:line="360" w:lineRule="auto"/>
        <w:ind w:firstLine="480" w:firstLineChars="200"/>
        <w:jc w:val="both"/>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①建立地下水应急预案，及时发现地下水水质污染，及时控制。一旦出现地下水污染事故，立即启动应急预案和应急处置办法，控制地下水污染。</w:t>
      </w:r>
    </w:p>
    <w:p w14:paraId="54957C7F">
      <w:pPr>
        <w:widowControl w:val="0"/>
        <w:autoSpaceDE w:val="0"/>
        <w:autoSpaceDN w:val="0"/>
        <w:adjustRightInd w:val="0"/>
        <w:snapToGrid w:val="0"/>
        <w:spacing w:beforeLines="0" w:afterLines="0" w:line="360" w:lineRule="auto"/>
        <w:ind w:firstLine="480" w:firstLineChars="200"/>
        <w:jc w:val="both"/>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②通过地下水跟踪监测，一旦监测地下水受到污染，根据超标特征因子确定发生污废水渗漏的污废水存储设施，立即将其中废水抽出排至事故水池中暂存，废水抽干后，对污废水存储设施进行维修，并同时利用污染控制监测点抽取受到污染的地下水，经处理后排入</w:t>
      </w:r>
      <w:r>
        <w:rPr>
          <w:rFonts w:hint="eastAsia" w:ascii="Times New Roman" w:hAnsi="Times New Roman" w:eastAsia="宋体" w:cs="Times New Roman"/>
          <w:b w:val="0"/>
          <w:bCs/>
          <w:color w:val="auto"/>
          <w:kern w:val="2"/>
          <w:sz w:val="24"/>
          <w:szCs w:val="24"/>
          <w:highlight w:val="none"/>
          <w:lang w:val="en-US" w:eastAsia="zh-CN" w:bidi="ar-SA"/>
        </w:rPr>
        <w:t>田家庵经济开发区污水处理站</w:t>
      </w:r>
      <w:r>
        <w:rPr>
          <w:rFonts w:hint="default" w:ascii="Times New Roman" w:hAnsi="Times New Roman" w:eastAsia="宋体" w:cs="Times New Roman"/>
          <w:b w:val="0"/>
          <w:bCs/>
          <w:color w:val="auto"/>
          <w:kern w:val="2"/>
          <w:sz w:val="24"/>
          <w:szCs w:val="24"/>
          <w:highlight w:val="none"/>
          <w:lang w:val="en-US" w:eastAsia="zh-CN" w:bidi="ar-SA"/>
        </w:rPr>
        <w:t>。</w:t>
      </w:r>
    </w:p>
    <w:p w14:paraId="63CD655E">
      <w:pPr>
        <w:widowControl w:val="0"/>
        <w:autoSpaceDE w:val="0"/>
        <w:autoSpaceDN w:val="0"/>
        <w:adjustRightInd w:val="0"/>
        <w:snapToGrid w:val="0"/>
        <w:spacing w:beforeLines="0" w:afterLines="0" w:line="360" w:lineRule="auto"/>
        <w:ind w:firstLine="480" w:firstLineChars="200"/>
        <w:jc w:val="both"/>
        <w:rPr>
          <w:rFonts w:hint="default" w:ascii="Times New Roman" w:hAnsi="Times New Roman" w:eastAsia="宋体" w:cs="Times New Roman"/>
          <w:color w:val="auto"/>
          <w:kern w:val="2"/>
          <w:sz w:val="24"/>
          <w:szCs w:val="24"/>
          <w:highlight w:val="none"/>
          <w:lang w:val="zh-CN" w:eastAsia="zh-CN" w:bidi="ar-SA"/>
        </w:rPr>
      </w:pPr>
      <w:r>
        <w:rPr>
          <w:rFonts w:hint="default" w:ascii="Times New Roman" w:hAnsi="Times New Roman" w:eastAsia="宋体" w:cs="Times New Roman"/>
          <w:b w:val="0"/>
          <w:bCs/>
          <w:color w:val="auto"/>
          <w:kern w:val="2"/>
          <w:sz w:val="24"/>
          <w:szCs w:val="24"/>
          <w:highlight w:val="none"/>
          <w:lang w:val="en-US" w:eastAsia="zh-CN" w:bidi="ar-SA"/>
        </w:rPr>
        <w:t>通过以上防治措施，可将地下水污染的风险降到最低。企业在实际生产过程中，需严格控制污染物排放，采取严格的防渗措施，加强地下水监控。因此，项目采用的地下水污染防治措施技术上是可行的。</w:t>
      </w:r>
    </w:p>
    <w:p w14:paraId="684D2FFF">
      <w:pPr>
        <w:pStyle w:val="218"/>
        <w:spacing w:before="62" w:after="156"/>
        <w:rPr>
          <w:color w:val="auto"/>
          <w:highlight w:val="none"/>
        </w:rPr>
      </w:pPr>
      <w:bookmarkStart w:id="557" w:name="_Toc152922704"/>
      <w:bookmarkStart w:id="558" w:name="_Toc6032"/>
      <w:bookmarkStart w:id="559" w:name="_Toc152922110"/>
      <w:r>
        <w:rPr>
          <w:color w:val="auto"/>
          <w:highlight w:val="none"/>
        </w:rPr>
        <w:t>6.</w:t>
      </w:r>
      <w:r>
        <w:rPr>
          <w:rFonts w:hint="eastAsia"/>
          <w:color w:val="auto"/>
          <w:highlight w:val="none"/>
          <w:lang w:val="en-US" w:eastAsia="zh-CN"/>
        </w:rPr>
        <w:t>7</w:t>
      </w:r>
      <w:r>
        <w:rPr>
          <w:color w:val="auto"/>
          <w:highlight w:val="none"/>
        </w:rPr>
        <w:t>土壤污染防治措施及可行性分析</w:t>
      </w:r>
      <w:bookmarkEnd w:id="557"/>
      <w:bookmarkEnd w:id="558"/>
      <w:bookmarkEnd w:id="559"/>
    </w:p>
    <w:p w14:paraId="6F3D1B01">
      <w:pPr>
        <w:pStyle w:val="4"/>
        <w:spacing w:after="156"/>
        <w:rPr>
          <w:color w:val="auto"/>
          <w:highlight w:val="none"/>
        </w:rPr>
      </w:pPr>
      <w:bookmarkStart w:id="560" w:name="_Toc152922111"/>
      <w:bookmarkStart w:id="561" w:name="_Toc117150298"/>
      <w:bookmarkStart w:id="562" w:name="_Toc152923386"/>
      <w:bookmarkStart w:id="563" w:name="_Toc152922705"/>
      <w:bookmarkStart w:id="564" w:name="_Toc152921746"/>
      <w:r>
        <w:rPr>
          <w:color w:val="auto"/>
          <w:highlight w:val="none"/>
        </w:rPr>
        <w:t>6.</w:t>
      </w:r>
      <w:r>
        <w:rPr>
          <w:rFonts w:hint="eastAsia"/>
          <w:color w:val="auto"/>
          <w:highlight w:val="none"/>
          <w:lang w:val="en-US" w:eastAsia="zh-CN"/>
        </w:rPr>
        <w:t>7</w:t>
      </w:r>
      <w:r>
        <w:rPr>
          <w:color w:val="auto"/>
          <w:highlight w:val="none"/>
        </w:rPr>
        <w:t>.1源头控制措施</w:t>
      </w:r>
      <w:bookmarkEnd w:id="560"/>
      <w:bookmarkEnd w:id="561"/>
      <w:bookmarkEnd w:id="562"/>
      <w:bookmarkEnd w:id="563"/>
      <w:bookmarkEnd w:id="564"/>
    </w:p>
    <w:p w14:paraId="735B8B4C">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hint="eastAsia" w:ascii="Times New Roman" w:hAnsi="Times New Roman" w:eastAsia="宋体"/>
          <w:color w:val="auto"/>
          <w:sz w:val="24"/>
          <w:szCs w:val="24"/>
          <w:highlight w:val="none"/>
          <w:lang w:val="en-US" w:eastAsia="zh-CN"/>
        </w:rPr>
        <w:t>根据前述分析，</w:t>
      </w:r>
      <w:r>
        <w:rPr>
          <w:rFonts w:ascii="Times New Roman" w:hAnsi="Times New Roman" w:eastAsia="宋体"/>
          <w:color w:val="auto"/>
          <w:sz w:val="24"/>
          <w:szCs w:val="24"/>
          <w:highlight w:val="none"/>
        </w:rPr>
        <w:t>本项目土壤影响类型主要为大气沉降影响、垂直入渗影响，因此项目源头控制措施分别针对大气沉降、垂直入渗展开。</w:t>
      </w:r>
    </w:p>
    <w:p w14:paraId="537AEFC3">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（1）大气沉降影响源头控制措施</w:t>
      </w:r>
    </w:p>
    <w:p w14:paraId="7064C7DB">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hint="eastAsia" w:ascii="Times New Roman" w:hAnsi="Times New Roman" w:eastAsia="宋体"/>
          <w:color w:val="auto"/>
          <w:sz w:val="24"/>
          <w:szCs w:val="24"/>
          <w:highlight w:val="none"/>
          <w:lang w:val="en-US" w:eastAsia="zh-CN"/>
        </w:rPr>
        <w:t>制氢</w:t>
      </w:r>
      <w:r>
        <w:rPr>
          <w:rFonts w:ascii="Times New Roman" w:hAnsi="Times New Roman" w:eastAsia="宋体"/>
          <w:color w:val="auto"/>
          <w:sz w:val="24"/>
          <w:szCs w:val="24"/>
          <w:highlight w:val="none"/>
        </w:rPr>
        <w:t>生产线产生的大气</w:t>
      </w:r>
      <w:r>
        <w:rPr>
          <w:rFonts w:hint="eastAsia" w:ascii="Times New Roman" w:hAnsi="Times New Roman" w:eastAsia="宋体"/>
          <w:color w:val="auto"/>
          <w:sz w:val="24"/>
          <w:szCs w:val="24"/>
          <w:highlight w:val="none"/>
          <w:lang w:eastAsia="zh-CN"/>
        </w:rPr>
        <w:t>污染物</w:t>
      </w:r>
      <w:r>
        <w:rPr>
          <w:rFonts w:ascii="Times New Roman" w:hAnsi="Times New Roman" w:eastAsia="宋体"/>
          <w:color w:val="auto"/>
          <w:sz w:val="24"/>
          <w:szCs w:val="24"/>
          <w:highlight w:val="none"/>
        </w:rPr>
        <w:t>主要为</w:t>
      </w:r>
      <w:r>
        <w:rPr>
          <w:rFonts w:hint="eastAsia" w:ascii="Times New Roman" w:hAnsi="Times New Roman" w:eastAsia="宋体"/>
          <w:color w:val="auto"/>
          <w:sz w:val="24"/>
          <w:szCs w:val="24"/>
          <w:highlight w:val="none"/>
          <w:lang w:val="en-US" w:eastAsia="zh-CN"/>
        </w:rPr>
        <w:t>颗粒物、SO</w:t>
      </w:r>
      <w:r>
        <w:rPr>
          <w:rFonts w:hint="eastAsia" w:ascii="Times New Roman" w:hAnsi="Times New Roman" w:eastAsia="宋体"/>
          <w:color w:val="auto"/>
          <w:sz w:val="24"/>
          <w:szCs w:val="24"/>
          <w:highlight w:val="none"/>
          <w:vertAlign w:val="subscript"/>
          <w:lang w:val="en-US" w:eastAsia="zh-CN"/>
        </w:rPr>
        <w:t>2</w:t>
      </w:r>
      <w:r>
        <w:rPr>
          <w:rFonts w:hint="eastAsia" w:ascii="Times New Roman" w:hAnsi="Times New Roman" w:eastAsia="宋体"/>
          <w:color w:val="auto"/>
          <w:sz w:val="24"/>
          <w:szCs w:val="24"/>
          <w:highlight w:val="none"/>
          <w:vertAlign w:val="baseline"/>
          <w:lang w:val="en-US" w:eastAsia="zh-CN"/>
        </w:rPr>
        <w:t>、</w:t>
      </w:r>
      <w:r>
        <w:rPr>
          <w:rFonts w:hint="eastAsia" w:ascii="Times New Roman" w:hAnsi="Times New Roman" w:eastAsia="宋体"/>
          <w:color w:val="auto"/>
          <w:sz w:val="24"/>
          <w:szCs w:val="24"/>
          <w:highlight w:val="none"/>
          <w:lang w:val="en-US" w:eastAsia="zh-CN"/>
        </w:rPr>
        <w:t>非甲烷总烃、氮氧化物</w:t>
      </w:r>
      <w:r>
        <w:rPr>
          <w:rFonts w:ascii="Times New Roman" w:hAnsi="Times New Roman" w:eastAsia="宋体"/>
          <w:color w:val="auto"/>
          <w:sz w:val="24"/>
          <w:szCs w:val="24"/>
          <w:highlight w:val="none"/>
        </w:rPr>
        <w:t>。</w:t>
      </w:r>
      <w:r>
        <w:rPr>
          <w:rFonts w:hint="eastAsia" w:ascii="Times New Roman" w:hAnsi="Times New Roman" w:eastAsia="宋体"/>
          <w:color w:val="auto"/>
          <w:sz w:val="24"/>
          <w:szCs w:val="24"/>
          <w:highlight w:val="none"/>
          <w:lang w:val="en-US" w:eastAsia="zh-CN"/>
        </w:rPr>
        <w:t>燃烧废气经管道引入</w:t>
      </w:r>
      <w:r>
        <w:rPr>
          <w:rFonts w:ascii="Times New Roman" w:hAnsi="Times New Roman" w:eastAsia="宋体"/>
          <w:color w:val="auto"/>
          <w:sz w:val="24"/>
          <w:szCs w:val="24"/>
          <w:highlight w:val="none"/>
        </w:rPr>
        <w:t>排气筒高空排放，高度为</w:t>
      </w:r>
      <w:r>
        <w:rPr>
          <w:rFonts w:hint="eastAsia" w:ascii="Times New Roman" w:hAnsi="Times New Roman" w:eastAsia="宋体"/>
          <w:color w:val="auto"/>
          <w:sz w:val="24"/>
          <w:szCs w:val="24"/>
          <w:highlight w:val="none"/>
          <w:lang w:val="en-US" w:eastAsia="zh-CN"/>
        </w:rPr>
        <w:t>15</w:t>
      </w:r>
      <w:r>
        <w:rPr>
          <w:rFonts w:ascii="Times New Roman" w:hAnsi="Times New Roman" w:eastAsia="宋体"/>
          <w:color w:val="auto"/>
          <w:sz w:val="24"/>
          <w:szCs w:val="24"/>
          <w:highlight w:val="none"/>
        </w:rPr>
        <w:t>m。</w:t>
      </w:r>
    </w:p>
    <w:p w14:paraId="29478C25">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w:t>
      </w:r>
      <w:r>
        <w:rPr>
          <w:rFonts w:hint="eastAsia" w:ascii="Times New Roman" w:hAnsi="Times New Roman" w:eastAsia="宋体"/>
          <w:color w:val="auto"/>
          <w:sz w:val="24"/>
          <w:szCs w:val="24"/>
          <w:highlight w:val="none"/>
          <w:lang w:val="en-US" w:eastAsia="zh-CN"/>
        </w:rPr>
        <w:t>2</w:t>
      </w:r>
      <w:r>
        <w:rPr>
          <w:rFonts w:ascii="Times New Roman" w:hAnsi="Times New Roman" w:eastAsia="宋体"/>
          <w:color w:val="auto"/>
          <w:sz w:val="24"/>
          <w:szCs w:val="24"/>
          <w:highlight w:val="none"/>
        </w:rPr>
        <w:t>）垂直入渗影响源头控制措施</w:t>
      </w:r>
    </w:p>
    <w:p w14:paraId="45DA42BD">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项目运行</w:t>
      </w:r>
      <w:r>
        <w:rPr>
          <w:rFonts w:hint="eastAsia" w:ascii="Times New Roman" w:hAnsi="Times New Roman" w:eastAsia="宋体"/>
          <w:color w:val="auto"/>
          <w:sz w:val="24"/>
          <w:szCs w:val="24"/>
          <w:highlight w:val="none"/>
          <w:lang w:eastAsia="zh-CN"/>
        </w:rPr>
        <w:t>期间</w:t>
      </w:r>
      <w:r>
        <w:rPr>
          <w:rFonts w:ascii="Times New Roman" w:hAnsi="Times New Roman" w:eastAsia="宋体"/>
          <w:color w:val="auto"/>
          <w:sz w:val="24"/>
          <w:szCs w:val="24"/>
          <w:highlight w:val="none"/>
        </w:rPr>
        <w:t>，所有产品及原辅材料及时入库，禁止在厂区露天堆放。垂直入渗预防措施主要为分区防渗，本项目主要区域均进行硬化和防渗处理。</w:t>
      </w:r>
    </w:p>
    <w:p w14:paraId="74C1C55C">
      <w:pPr>
        <w:pStyle w:val="4"/>
        <w:spacing w:after="156"/>
        <w:rPr>
          <w:color w:val="auto"/>
          <w:highlight w:val="none"/>
        </w:rPr>
      </w:pPr>
      <w:bookmarkStart w:id="565" w:name="_Toc152921747"/>
      <w:bookmarkStart w:id="566" w:name="_Toc152923387"/>
      <w:bookmarkStart w:id="567" w:name="_Toc117150299"/>
      <w:bookmarkStart w:id="568" w:name="_Toc152922112"/>
      <w:bookmarkStart w:id="569" w:name="_Toc152922706"/>
      <w:r>
        <w:rPr>
          <w:color w:val="auto"/>
          <w:highlight w:val="none"/>
        </w:rPr>
        <w:t>6.7.2过程控制措施</w:t>
      </w:r>
      <w:bookmarkEnd w:id="565"/>
      <w:bookmarkEnd w:id="566"/>
      <w:bookmarkEnd w:id="567"/>
      <w:bookmarkEnd w:id="568"/>
      <w:bookmarkEnd w:id="569"/>
    </w:p>
    <w:p w14:paraId="24FC4A70">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本项目为土壤污染型项目，根据《环境影响评价技术导则土壤环境（试行）》（HJ964-2018）过程控制措施，结合本项目污染特征。本项目拟采取如下过程控制措施。</w:t>
      </w:r>
    </w:p>
    <w:p w14:paraId="13D1BA95">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（1）占地范围内应采取绿化措施，以种植具有较强吸附能力的植物为主，根据本项目所处区域自然地理特征，该地区可种植杨树等易于在该地区生长且富集能力较强、生物量较大的植物种植。</w:t>
      </w:r>
    </w:p>
    <w:p w14:paraId="68C95D8E">
      <w:pPr>
        <w:widowControl/>
        <w:adjustRightInd w:val="0"/>
        <w:snapToGrid w:val="0"/>
        <w:spacing w:line="360" w:lineRule="auto"/>
        <w:ind w:firstLine="480" w:firstLineChars="200"/>
        <w:jc w:val="left"/>
        <w:rPr>
          <w:rFonts w:hint="eastAsia" w:ascii="Times New Roman" w:hAnsi="Times New Roman" w:eastAsia="宋体"/>
          <w:color w:val="auto"/>
          <w:sz w:val="24"/>
          <w:szCs w:val="24"/>
          <w:highlight w:val="none"/>
        </w:rPr>
      </w:pPr>
      <w:r>
        <w:rPr>
          <w:rFonts w:ascii="Times New Roman" w:hAnsi="Times New Roman" w:eastAsia="宋体"/>
          <w:color w:val="auto"/>
          <w:sz w:val="24"/>
          <w:szCs w:val="24"/>
          <w:highlight w:val="none"/>
        </w:rPr>
        <w:t>（2）涉及垂直入渗途径影响的，应根据相关标</w:t>
      </w:r>
      <w:r>
        <w:rPr>
          <w:rFonts w:hint="eastAsia"/>
          <w:color w:val="auto"/>
          <w:sz w:val="24"/>
          <w:szCs w:val="24"/>
          <w:highlight w:val="none"/>
          <w:lang w:eastAsia="zh-CN"/>
        </w:rPr>
        <w:t>准和</w:t>
      </w:r>
      <w:r>
        <w:rPr>
          <w:rFonts w:ascii="Times New Roman" w:hAnsi="Times New Roman" w:eastAsia="宋体"/>
          <w:color w:val="auto"/>
          <w:sz w:val="24"/>
          <w:szCs w:val="24"/>
          <w:highlight w:val="none"/>
        </w:rPr>
        <w:t>规范要求，对设备设施采取相应的</w:t>
      </w:r>
      <w:r>
        <w:rPr>
          <w:rFonts w:hint="eastAsia" w:ascii="Times New Roman" w:hAnsi="Times New Roman" w:eastAsia="宋体"/>
          <w:color w:val="auto"/>
          <w:sz w:val="24"/>
          <w:szCs w:val="24"/>
          <w:highlight w:val="none"/>
          <w:lang w:eastAsia="zh-CN"/>
        </w:rPr>
        <w:t>防控</w:t>
      </w:r>
      <w:r>
        <w:rPr>
          <w:rFonts w:ascii="Times New Roman" w:hAnsi="Times New Roman" w:eastAsia="宋体"/>
          <w:color w:val="auto"/>
          <w:sz w:val="24"/>
          <w:szCs w:val="24"/>
          <w:highlight w:val="none"/>
        </w:rPr>
        <w:t>措施，以防止土壤环境污染。</w:t>
      </w:r>
    </w:p>
    <w:p w14:paraId="09B36A2A">
      <w:pPr>
        <w:pStyle w:val="4"/>
        <w:spacing w:after="156"/>
        <w:rPr>
          <w:color w:val="auto"/>
          <w:highlight w:val="none"/>
        </w:rPr>
      </w:pPr>
      <w:bookmarkStart w:id="570" w:name="_Toc152922113"/>
      <w:bookmarkStart w:id="571" w:name="_Toc152923388"/>
      <w:bookmarkStart w:id="572" w:name="_Toc152921748"/>
      <w:bookmarkStart w:id="573" w:name="_Toc152922707"/>
      <w:bookmarkStart w:id="574" w:name="_Toc117150300"/>
      <w:r>
        <w:rPr>
          <w:color w:val="auto"/>
          <w:highlight w:val="none"/>
        </w:rPr>
        <w:t>6.</w:t>
      </w:r>
      <w:r>
        <w:rPr>
          <w:rFonts w:hint="eastAsia"/>
          <w:color w:val="auto"/>
          <w:highlight w:val="none"/>
          <w:lang w:val="en-US" w:eastAsia="zh-CN"/>
        </w:rPr>
        <w:t>7</w:t>
      </w:r>
      <w:r>
        <w:rPr>
          <w:color w:val="auto"/>
          <w:highlight w:val="none"/>
        </w:rPr>
        <w:t>.3跟踪监测</w:t>
      </w:r>
      <w:bookmarkEnd w:id="570"/>
      <w:bookmarkEnd w:id="571"/>
      <w:bookmarkEnd w:id="572"/>
      <w:bookmarkEnd w:id="573"/>
      <w:bookmarkEnd w:id="574"/>
    </w:p>
    <w:p w14:paraId="495BC3BE">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为了及时准确掌握项目区及周边敏感点土壤环境质量状况和土壤中污染物的动态变化，本项目拟建立覆盖全区的土壤长期监控系统，包括科学、合理地设置土壤监测点，建立完善的监测制度，以便及时发现并及时控制。</w:t>
      </w:r>
    </w:p>
    <w:p w14:paraId="21085456">
      <w:pPr>
        <w:keepNext w:val="0"/>
        <w:keepLines w:val="0"/>
        <w:pageBreakBefore w:val="0"/>
        <w:kinsoku/>
        <w:wordWrap/>
        <w:overflowPunct/>
        <w:topLinePunct w:val="0"/>
        <w:autoSpaceDE/>
        <w:autoSpaceDN/>
        <w:bidi w:val="0"/>
        <w:adjustRightInd/>
        <w:snapToGrid/>
        <w:spacing w:line="400" w:lineRule="exact"/>
        <w:jc w:val="center"/>
        <w:textAlignment w:val="auto"/>
        <w:rPr>
          <w:rFonts w:ascii="Times New Roman" w:hAnsi="Times New Roman" w:eastAsia="宋体"/>
          <w:b/>
          <w:color w:val="auto"/>
          <w:sz w:val="24"/>
          <w:szCs w:val="24"/>
          <w:highlight w:val="none"/>
        </w:rPr>
      </w:pPr>
      <w:r>
        <w:rPr>
          <w:rFonts w:ascii="Times New Roman" w:hAnsi="Times New Roman" w:eastAsia="宋体"/>
          <w:b/>
          <w:color w:val="auto"/>
          <w:sz w:val="24"/>
          <w:szCs w:val="24"/>
          <w:highlight w:val="none"/>
        </w:rPr>
        <w:t>表6.</w:t>
      </w:r>
      <w:r>
        <w:rPr>
          <w:rFonts w:hint="eastAsia" w:ascii="Times New Roman" w:hAnsi="Times New Roman" w:eastAsia="宋体"/>
          <w:b/>
          <w:color w:val="auto"/>
          <w:sz w:val="24"/>
          <w:szCs w:val="24"/>
          <w:highlight w:val="none"/>
          <w:lang w:val="en-US" w:eastAsia="zh-CN"/>
        </w:rPr>
        <w:t>7</w:t>
      </w:r>
      <w:r>
        <w:rPr>
          <w:rFonts w:ascii="Times New Roman" w:hAnsi="Times New Roman" w:eastAsia="宋体"/>
          <w:b/>
          <w:color w:val="auto"/>
          <w:sz w:val="24"/>
          <w:szCs w:val="24"/>
          <w:highlight w:val="none"/>
        </w:rPr>
        <w:t>.</w:t>
      </w:r>
      <w:r>
        <w:rPr>
          <w:rFonts w:hint="eastAsia" w:ascii="Times New Roman" w:hAnsi="Times New Roman" w:eastAsia="宋体"/>
          <w:b/>
          <w:color w:val="auto"/>
          <w:sz w:val="24"/>
          <w:szCs w:val="24"/>
          <w:highlight w:val="none"/>
          <w:lang w:val="en-US" w:eastAsia="zh-CN"/>
        </w:rPr>
        <w:t>3</w:t>
      </w:r>
      <w:r>
        <w:rPr>
          <w:rFonts w:ascii="Times New Roman" w:hAnsi="Times New Roman" w:eastAsia="宋体"/>
          <w:b/>
          <w:color w:val="auto"/>
          <w:sz w:val="24"/>
          <w:szCs w:val="24"/>
          <w:highlight w:val="none"/>
        </w:rPr>
        <w:t>-</w:t>
      </w:r>
      <w:r>
        <w:rPr>
          <w:rFonts w:hint="eastAsia" w:ascii="Times New Roman" w:hAnsi="Times New Roman" w:eastAsia="宋体"/>
          <w:b/>
          <w:color w:val="auto"/>
          <w:sz w:val="24"/>
          <w:szCs w:val="24"/>
          <w:highlight w:val="none"/>
          <w:lang w:val="en-US" w:eastAsia="zh-CN"/>
        </w:rPr>
        <w:t>1</w:t>
      </w:r>
      <w:r>
        <w:rPr>
          <w:rFonts w:hint="eastAsia"/>
          <w:b/>
          <w:color w:val="auto"/>
          <w:sz w:val="24"/>
          <w:szCs w:val="24"/>
          <w:highlight w:val="none"/>
          <w:lang w:val="en-US" w:eastAsia="zh-CN"/>
        </w:rPr>
        <w:t xml:space="preserve">  </w:t>
      </w:r>
      <w:r>
        <w:rPr>
          <w:rFonts w:hint="eastAsia" w:ascii="Times New Roman" w:hAnsi="Times New Roman" w:eastAsia="宋体"/>
          <w:b/>
          <w:color w:val="auto"/>
          <w:sz w:val="24"/>
          <w:szCs w:val="24"/>
          <w:highlight w:val="none"/>
          <w:lang w:val="en-US" w:eastAsia="zh-CN"/>
        </w:rPr>
        <w:t>土壤跟踪监测设置方案</w:t>
      </w:r>
      <w:r>
        <w:rPr>
          <w:rFonts w:ascii="Times New Roman" w:hAnsi="Times New Roman" w:eastAsia="宋体"/>
          <w:b/>
          <w:color w:val="auto"/>
          <w:sz w:val="24"/>
          <w:szCs w:val="24"/>
          <w:highlight w:val="none"/>
        </w:rPr>
        <w:t>一览表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2576"/>
        <w:gridCol w:w="1787"/>
        <w:gridCol w:w="1579"/>
        <w:gridCol w:w="1663"/>
      </w:tblGrid>
      <w:tr w14:paraId="02AAD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33" w:type="pct"/>
            <w:noWrap w:val="0"/>
            <w:vAlign w:val="center"/>
          </w:tcPr>
          <w:p w14:paraId="0D720F2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监测点</w:t>
            </w:r>
          </w:p>
        </w:tc>
        <w:tc>
          <w:tcPr>
            <w:tcW w:w="1512" w:type="pct"/>
            <w:noWrap w:val="0"/>
            <w:vAlign w:val="center"/>
          </w:tcPr>
          <w:p w14:paraId="5A1AA49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监测点位置</w:t>
            </w:r>
          </w:p>
        </w:tc>
        <w:tc>
          <w:tcPr>
            <w:tcW w:w="1049" w:type="pct"/>
            <w:noWrap w:val="0"/>
            <w:vAlign w:val="center"/>
          </w:tcPr>
          <w:p w14:paraId="7F3B1F7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监测指标</w:t>
            </w:r>
          </w:p>
        </w:tc>
        <w:tc>
          <w:tcPr>
            <w:tcW w:w="927" w:type="pct"/>
            <w:noWrap w:val="0"/>
            <w:vAlign w:val="center"/>
          </w:tcPr>
          <w:p w14:paraId="54BCD96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监测频次</w:t>
            </w:r>
          </w:p>
        </w:tc>
        <w:tc>
          <w:tcPr>
            <w:tcW w:w="976" w:type="pct"/>
            <w:noWrap w:val="0"/>
            <w:vAlign w:val="center"/>
          </w:tcPr>
          <w:p w14:paraId="6AEA72A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执行标准</w:t>
            </w:r>
          </w:p>
        </w:tc>
      </w:tr>
      <w:tr w14:paraId="6FC5F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533" w:type="pct"/>
            <w:noWrap w:val="0"/>
            <w:vAlign w:val="center"/>
          </w:tcPr>
          <w:p w14:paraId="425F795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D1</w:t>
            </w:r>
          </w:p>
        </w:tc>
        <w:tc>
          <w:tcPr>
            <w:tcW w:w="1512" w:type="pct"/>
            <w:noWrap w:val="0"/>
            <w:vAlign w:val="center"/>
          </w:tcPr>
          <w:p w14:paraId="49A175C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隔油池</w:t>
            </w:r>
          </w:p>
        </w:tc>
        <w:tc>
          <w:tcPr>
            <w:tcW w:w="1049" w:type="pct"/>
            <w:vMerge w:val="restart"/>
            <w:noWrap w:val="0"/>
            <w:vAlign w:val="center"/>
          </w:tcPr>
          <w:p w14:paraId="2CAAB89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石油烃</w:t>
            </w:r>
          </w:p>
        </w:tc>
        <w:tc>
          <w:tcPr>
            <w:tcW w:w="927" w:type="pct"/>
            <w:noWrap w:val="0"/>
            <w:vAlign w:val="center"/>
          </w:tcPr>
          <w:p w14:paraId="7F83F90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1次/5年</w:t>
            </w:r>
          </w:p>
        </w:tc>
        <w:tc>
          <w:tcPr>
            <w:tcW w:w="976" w:type="pct"/>
            <w:vMerge w:val="restart"/>
            <w:noWrap w:val="0"/>
            <w:vAlign w:val="center"/>
          </w:tcPr>
          <w:p w14:paraId="3661472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r>
              <w:rPr>
                <w:rFonts w:ascii="Times New Roman" w:hAnsi="Times New Roman" w:eastAsia="Times New Roman" w:cs="Times New Roman"/>
                <w:b w:val="0"/>
                <w:bCs w:val="0"/>
                <w:color w:val="auto"/>
                <w:sz w:val="20"/>
                <w:szCs w:val="20"/>
                <w:highlight w:val="none"/>
              </w:rPr>
              <w:t>GB36600-2018</w:t>
            </w:r>
          </w:p>
        </w:tc>
      </w:tr>
      <w:tr w14:paraId="762BB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33" w:type="pct"/>
            <w:noWrap w:val="0"/>
            <w:vAlign w:val="center"/>
          </w:tcPr>
          <w:p w14:paraId="384AA42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D2</w:t>
            </w:r>
          </w:p>
        </w:tc>
        <w:tc>
          <w:tcPr>
            <w:tcW w:w="1512" w:type="pct"/>
            <w:noWrap w:val="0"/>
            <w:vAlign w:val="center"/>
          </w:tcPr>
          <w:p w14:paraId="192CA45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李郢村</w:t>
            </w:r>
          </w:p>
        </w:tc>
        <w:tc>
          <w:tcPr>
            <w:tcW w:w="1049" w:type="pct"/>
            <w:vMerge w:val="continue"/>
            <w:noWrap w:val="0"/>
            <w:vAlign w:val="center"/>
          </w:tcPr>
          <w:p w14:paraId="4467FEF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27" w:type="pct"/>
            <w:noWrap w:val="0"/>
            <w:vAlign w:val="center"/>
          </w:tcPr>
          <w:p w14:paraId="51568D3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1次/5年</w:t>
            </w:r>
          </w:p>
        </w:tc>
        <w:tc>
          <w:tcPr>
            <w:tcW w:w="976" w:type="pct"/>
            <w:vMerge w:val="continue"/>
            <w:noWrap w:val="0"/>
            <w:vAlign w:val="center"/>
          </w:tcPr>
          <w:p w14:paraId="1C13C37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p>
        </w:tc>
      </w:tr>
      <w:tr w14:paraId="100C3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33" w:type="pct"/>
            <w:noWrap w:val="0"/>
            <w:vAlign w:val="center"/>
          </w:tcPr>
          <w:p w14:paraId="654FA8B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D3</w:t>
            </w:r>
          </w:p>
        </w:tc>
        <w:tc>
          <w:tcPr>
            <w:tcW w:w="1512" w:type="pct"/>
            <w:noWrap w:val="0"/>
            <w:vAlign w:val="center"/>
          </w:tcPr>
          <w:p w14:paraId="1D67D62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中国石化销售股份有限公司安徽淮南石油分公司</w:t>
            </w:r>
          </w:p>
        </w:tc>
        <w:tc>
          <w:tcPr>
            <w:tcW w:w="1049" w:type="pct"/>
            <w:vMerge w:val="continue"/>
            <w:noWrap w:val="0"/>
            <w:vAlign w:val="center"/>
          </w:tcPr>
          <w:p w14:paraId="3AFDEEA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27" w:type="pct"/>
            <w:noWrap w:val="0"/>
            <w:vAlign w:val="center"/>
          </w:tcPr>
          <w:p w14:paraId="4D4E991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1次/5年</w:t>
            </w:r>
          </w:p>
        </w:tc>
        <w:tc>
          <w:tcPr>
            <w:tcW w:w="976" w:type="pct"/>
            <w:vMerge w:val="continue"/>
            <w:noWrap w:val="0"/>
            <w:vAlign w:val="center"/>
          </w:tcPr>
          <w:p w14:paraId="7CAEB53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val="0"/>
                <w:bCs w:val="0"/>
                <w:color w:val="auto"/>
                <w:sz w:val="18"/>
                <w:szCs w:val="18"/>
                <w:highlight w:val="none"/>
                <w:lang w:val="en-US" w:eastAsia="zh-CN"/>
              </w:rPr>
            </w:pPr>
          </w:p>
        </w:tc>
      </w:tr>
    </w:tbl>
    <w:p w14:paraId="5DC92511">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本项目土壤环境跟踪监测措施包括制定跟踪监测计划、建立跟踪监测制度，以便及时发现问题，采取防治土壤污染措施。</w:t>
      </w:r>
    </w:p>
    <w:p w14:paraId="7089B209">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r>
        <w:rPr>
          <w:rFonts w:ascii="Times New Roman" w:hAnsi="Times New Roman" w:eastAsia="宋体"/>
          <w:color w:val="auto"/>
          <w:sz w:val="24"/>
          <w:szCs w:val="24"/>
          <w:highlight w:val="none"/>
        </w:rPr>
        <w:t>监测结果执行标准按照土地利用类型分别确定。按照《中华人民共和国土壤污染防治法》及《环境影响评价技术导则土壤环境（试行）》（HJ964-2018）要求监测计划及监测结果应及时向社会公开。</w:t>
      </w:r>
    </w:p>
    <w:p w14:paraId="73C0273B">
      <w:pPr>
        <w:pStyle w:val="218"/>
        <w:spacing w:before="62" w:after="156"/>
        <w:rPr>
          <w:rFonts w:ascii="Times New Roman" w:hAnsi="Times New Roman" w:eastAsia="宋体" w:cs="Times New Roman"/>
          <w:b/>
          <w:bCs/>
          <w:color w:val="auto"/>
          <w:highlight w:val="none"/>
        </w:rPr>
      </w:pPr>
      <w:bookmarkStart w:id="575" w:name="_Toc29037"/>
      <w:bookmarkStart w:id="576" w:name="_Toc31924"/>
      <w:r>
        <w:rPr>
          <w:rFonts w:hint="eastAsia" w:ascii="Times New Roman" w:hAnsi="Times New Roman" w:eastAsia="宋体" w:cs="Times New Roman"/>
          <w:b/>
          <w:bCs/>
          <w:color w:val="auto"/>
          <w:highlight w:val="none"/>
          <w:lang w:val="en-US" w:eastAsia="zh-CN"/>
        </w:rPr>
        <w:t>6</w:t>
      </w:r>
      <w:r>
        <w:rPr>
          <w:rFonts w:ascii="Times New Roman" w:hAnsi="Times New Roman" w:eastAsia="宋体" w:cs="Times New Roman"/>
          <w:b/>
          <w:bCs/>
          <w:color w:val="auto"/>
          <w:highlight w:val="none"/>
        </w:rPr>
        <w:t>.</w:t>
      </w:r>
      <w:r>
        <w:rPr>
          <w:rFonts w:hint="eastAsia" w:ascii="Times New Roman" w:hAnsi="Times New Roman" w:eastAsia="宋体" w:cs="Times New Roman"/>
          <w:b/>
          <w:bCs/>
          <w:color w:val="auto"/>
          <w:highlight w:val="none"/>
          <w:lang w:val="en-US" w:eastAsia="zh-CN"/>
        </w:rPr>
        <w:t>8</w:t>
      </w:r>
      <w:r>
        <w:rPr>
          <w:rFonts w:hint="eastAsia" w:ascii="Times New Roman" w:hAnsi="Times New Roman" w:eastAsia="宋体" w:cs="Times New Roman"/>
          <w:b/>
          <w:bCs/>
          <w:color w:val="auto"/>
          <w:highlight w:val="none"/>
        </w:rPr>
        <w:t>小结</w:t>
      </w:r>
      <w:bookmarkEnd w:id="575"/>
      <w:bookmarkEnd w:id="576"/>
    </w:p>
    <w:p w14:paraId="0621769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4"/>
          <w:highlight w:val="none"/>
          <w:lang w:val="en-GB"/>
        </w:rPr>
      </w:pPr>
      <w:r>
        <w:rPr>
          <w:rFonts w:hint="eastAsia" w:ascii="宋体" w:hAnsi="宋体" w:eastAsia="宋体" w:cs="宋体"/>
          <w:color w:val="auto"/>
          <w:sz w:val="24"/>
          <w:szCs w:val="24"/>
          <w:highlight w:val="none"/>
          <w:lang w:val="en-GB"/>
        </w:rPr>
        <w:t>综上所述，本项目废气、废水、固体废物、噪声以及土壤和地下水的污染防治措施比较完善。废气经处理后能够达标排放；外排废水能够稳定达标排放、确保接入市政污水管网</w:t>
      </w:r>
      <w:r>
        <w:rPr>
          <w:rFonts w:hint="eastAsia" w:ascii="宋体" w:hAnsi="宋体" w:eastAsia="宋体" w:cs="宋体"/>
          <w:color w:val="auto"/>
          <w:sz w:val="24"/>
          <w:szCs w:val="24"/>
          <w:highlight w:val="none"/>
          <w:lang w:val="en-US" w:eastAsia="zh-CN"/>
        </w:rPr>
        <w:t>进行达标处理</w:t>
      </w:r>
      <w:r>
        <w:rPr>
          <w:rFonts w:hint="eastAsia" w:ascii="宋体" w:hAnsi="宋体" w:eastAsia="宋体" w:cs="宋体"/>
          <w:color w:val="auto"/>
          <w:sz w:val="24"/>
          <w:szCs w:val="24"/>
          <w:highlight w:val="none"/>
          <w:lang w:val="en-GB"/>
        </w:rPr>
        <w:t>；经过采取噪声防治措施后，本项目产生的噪声也不会对周围声环境及敏感点产生影响；固体废物均综合利用或妥善处置，不会对周围环境产生不利影响；采取的防渗处理措施可防治可能对土壤及地下水产生的污染。项目拟采取的污染防治措施合理、可行。</w:t>
      </w:r>
    </w:p>
    <w:p w14:paraId="4B4B540A">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sectPr>
          <w:pgSz w:w="11906" w:h="16838"/>
          <w:pgMar w:top="1440" w:right="1803" w:bottom="1440" w:left="1803" w:header="964" w:footer="964" w:gutter="0"/>
          <w:pgBorders>
            <w:top w:val="none" w:sz="0" w:space="0"/>
            <w:left w:val="none" w:sz="0" w:space="0"/>
            <w:bottom w:val="none" w:sz="0" w:space="0"/>
            <w:right w:val="none" w:sz="0" w:space="0"/>
          </w:pgBorders>
          <w:cols w:space="720" w:num="1"/>
          <w:rtlGutter w:val="0"/>
          <w:docGrid w:type="lines" w:linePitch="360" w:charSpace="0"/>
        </w:sectPr>
      </w:pPr>
    </w:p>
    <w:p w14:paraId="254E81F6">
      <w:pPr>
        <w:pStyle w:val="2"/>
        <w:bidi w:val="0"/>
        <w:jc w:val="center"/>
        <w:rPr>
          <w:color w:val="auto"/>
          <w:highlight w:val="none"/>
        </w:rPr>
      </w:pPr>
      <w:bookmarkStart w:id="577" w:name="_Toc15997"/>
      <w:bookmarkStart w:id="578" w:name="_Toc152922117"/>
      <w:bookmarkStart w:id="579" w:name="_Toc152922711"/>
      <w:r>
        <w:rPr>
          <w:color w:val="auto"/>
          <w:highlight w:val="none"/>
        </w:rPr>
        <w:t>7环境影响经济损益分析</w:t>
      </w:r>
      <w:bookmarkEnd w:id="577"/>
      <w:bookmarkEnd w:id="578"/>
      <w:bookmarkEnd w:id="579"/>
    </w:p>
    <w:p w14:paraId="21343174">
      <w:pPr>
        <w:pStyle w:val="352"/>
        <w:ind w:firstLine="480"/>
        <w:rPr>
          <w:color w:val="auto"/>
          <w:highlight w:val="none"/>
        </w:rPr>
      </w:pPr>
      <w:r>
        <w:rPr>
          <w:color w:val="auto"/>
          <w:highlight w:val="none"/>
        </w:rPr>
        <w:t>环境经济损益分析是对项目的社会效益、经济效益和环境效益进行分析，揭示三效益之间的依存关系，分析本项目在发展经济的同时也能实现环境保护的双重目的，使三效益协调统一，走可持续发展的道路，即在发展经济的同时保护好环境，从而促进社会的稳定。</w:t>
      </w:r>
    </w:p>
    <w:p w14:paraId="26935291">
      <w:pPr>
        <w:pStyle w:val="218"/>
        <w:spacing w:before="62" w:after="156"/>
        <w:rPr>
          <w:rFonts w:hint="eastAsia" w:ascii="Times New Roman" w:hAnsi="Times New Roman" w:eastAsia="宋体" w:cs="Times New Roman"/>
          <w:b/>
          <w:bCs/>
          <w:color w:val="auto"/>
          <w:highlight w:val="none"/>
        </w:rPr>
      </w:pPr>
      <w:bookmarkStart w:id="580" w:name="_Toc331"/>
      <w:r>
        <w:rPr>
          <w:rFonts w:hint="eastAsia" w:ascii="Times New Roman" w:hAnsi="Times New Roman" w:eastAsia="宋体" w:cs="Times New Roman"/>
          <w:b/>
          <w:bCs/>
          <w:color w:val="auto"/>
          <w:highlight w:val="none"/>
        </w:rPr>
        <w:t>7.1</w:t>
      </w:r>
      <w:r>
        <w:rPr>
          <w:rFonts w:hint="eastAsia" w:ascii="Times New Roman" w:hAnsi="Times New Roman" w:eastAsia="宋体" w:cs="Times New Roman"/>
          <w:b/>
          <w:bCs/>
          <w:color w:val="auto"/>
          <w:highlight w:val="none"/>
          <w:lang w:val="en-US" w:eastAsia="zh-CN"/>
        </w:rPr>
        <w:t>环保投资估算</w:t>
      </w:r>
      <w:bookmarkEnd w:id="580"/>
    </w:p>
    <w:p w14:paraId="0773D33C">
      <w:pPr>
        <w:spacing w:line="360" w:lineRule="auto"/>
        <w:ind w:firstLine="480" w:firstLineChars="200"/>
        <w:rPr>
          <w:rFonts w:hint="default" w:ascii="Times New Roman" w:hAnsi="Times New Roman" w:eastAsia="宋体"/>
          <w:color w:val="auto"/>
          <w:highlight w:val="none"/>
        </w:rPr>
      </w:pPr>
      <w:r>
        <w:rPr>
          <w:rFonts w:hint="default" w:ascii="Times New Roman" w:hAnsi="Times New Roman" w:eastAsia="宋体" w:cs="Times New Roman"/>
          <w:color w:val="auto"/>
          <w:sz w:val="24"/>
          <w:highlight w:val="none"/>
        </w:rPr>
        <w:t>本</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总投资</w:t>
      </w:r>
      <w:r>
        <w:rPr>
          <w:rFonts w:hint="eastAsia" w:ascii="Times New Roman" w:hAnsi="Times New Roman" w:eastAsia="宋体" w:cs="Times New Roman"/>
          <w:color w:val="auto"/>
          <w:sz w:val="24"/>
          <w:highlight w:val="none"/>
          <w:lang w:val="en-US" w:eastAsia="zh-CN"/>
        </w:rPr>
        <w:t>5000</w:t>
      </w:r>
      <w:r>
        <w:rPr>
          <w:rFonts w:hint="eastAsia" w:cs="Times New Roman"/>
          <w:color w:val="auto"/>
          <w:sz w:val="24"/>
          <w:highlight w:val="none"/>
          <w:lang w:val="en-US" w:eastAsia="zh-CN"/>
        </w:rPr>
        <w:t>0</w:t>
      </w:r>
      <w:r>
        <w:rPr>
          <w:rFonts w:hint="default" w:ascii="Times New Roman" w:hAnsi="Times New Roman" w:eastAsia="宋体" w:cs="Times New Roman"/>
          <w:color w:val="auto"/>
          <w:sz w:val="24"/>
          <w:highlight w:val="none"/>
        </w:rPr>
        <w:t>元，其中环保工程投资</w:t>
      </w:r>
      <w:r>
        <w:rPr>
          <w:rFonts w:hint="eastAsia" w:ascii="Times New Roman" w:hAnsi="Times New Roman" w:eastAsia="宋体" w:cs="Times New Roman"/>
          <w:color w:val="auto"/>
          <w:sz w:val="24"/>
          <w:highlight w:val="none"/>
          <w:lang w:val="en-US" w:eastAsia="zh-CN"/>
        </w:rPr>
        <w:t>511</w:t>
      </w:r>
      <w:r>
        <w:rPr>
          <w:rFonts w:hint="default" w:ascii="Times New Roman" w:hAnsi="Times New Roman" w:eastAsia="宋体" w:cs="Times New Roman"/>
          <w:color w:val="auto"/>
          <w:sz w:val="24"/>
          <w:highlight w:val="none"/>
        </w:rPr>
        <w:t>万元，占项目总投资的</w:t>
      </w:r>
      <w:r>
        <w:rPr>
          <w:rFonts w:hint="eastAsia" w:ascii="Times New Roman" w:hAnsi="Times New Roman" w:eastAsia="宋体" w:cs="Times New Roman"/>
          <w:color w:val="auto"/>
          <w:sz w:val="24"/>
          <w:highlight w:val="none"/>
          <w:lang w:val="en-US" w:eastAsia="zh-CN"/>
        </w:rPr>
        <w:t>1.022</w:t>
      </w:r>
      <w:r>
        <w:rPr>
          <w:rFonts w:hint="default" w:ascii="Times New Roman" w:hAnsi="Times New Roman" w:eastAsia="宋体" w:cs="Times New Roman"/>
          <w:color w:val="auto"/>
          <w:sz w:val="24"/>
          <w:highlight w:val="none"/>
        </w:rPr>
        <w:t>%。环保投资概算见下表所示。</w:t>
      </w:r>
    </w:p>
    <w:p w14:paraId="235FA371">
      <w:pPr>
        <w:widowControl/>
        <w:bidi w:val="0"/>
        <w:spacing w:line="360" w:lineRule="auto"/>
        <w:ind w:firstLine="482" w:firstLineChars="20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表7.1-1</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环保设施及投资估算一览表单位：万元</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49"/>
        <w:gridCol w:w="1019"/>
        <w:gridCol w:w="5020"/>
        <w:gridCol w:w="685"/>
        <w:gridCol w:w="680"/>
      </w:tblGrid>
      <w:tr w14:paraId="28328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noWrap w:val="0"/>
            <w:vAlign w:val="center"/>
          </w:tcPr>
          <w:p w14:paraId="7E5922A7">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工程类别</w:t>
            </w:r>
          </w:p>
        </w:tc>
        <w:tc>
          <w:tcPr>
            <w:tcW w:w="609" w:type="pct"/>
            <w:noWrap w:val="0"/>
            <w:vAlign w:val="center"/>
          </w:tcPr>
          <w:p w14:paraId="62D67D9B">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产污环节</w:t>
            </w:r>
          </w:p>
        </w:tc>
        <w:tc>
          <w:tcPr>
            <w:tcW w:w="3004" w:type="pct"/>
            <w:noWrap w:val="0"/>
            <w:vAlign w:val="center"/>
          </w:tcPr>
          <w:p w14:paraId="59BF2AA8">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污染防治环保设施</w:t>
            </w:r>
            <w:r>
              <w:rPr>
                <w:rFonts w:hint="eastAsia" w:cs="Times New Roman"/>
                <w:b/>
                <w:bCs/>
                <w:color w:val="auto"/>
                <w:kern w:val="2"/>
                <w:sz w:val="21"/>
                <w:szCs w:val="36"/>
                <w:highlight w:val="none"/>
                <w:lang w:val="en-US" w:eastAsia="zh-CN" w:bidi="ar-SA"/>
              </w:rPr>
              <w:t>（</w:t>
            </w:r>
            <w:r>
              <w:rPr>
                <w:rFonts w:hint="default" w:ascii="Times New Roman" w:hAnsi="Times New Roman" w:eastAsia="宋体" w:cs="Times New Roman"/>
                <w:b/>
                <w:bCs/>
                <w:color w:val="auto"/>
                <w:kern w:val="2"/>
                <w:sz w:val="21"/>
                <w:szCs w:val="36"/>
                <w:highlight w:val="none"/>
                <w:lang w:val="en-US" w:eastAsia="zh-CN" w:bidi="ar-SA"/>
              </w:rPr>
              <w:t>措施</w:t>
            </w:r>
            <w:r>
              <w:rPr>
                <w:rFonts w:hint="eastAsia" w:cs="Times New Roman"/>
                <w:b/>
                <w:bCs/>
                <w:color w:val="auto"/>
                <w:kern w:val="2"/>
                <w:sz w:val="21"/>
                <w:szCs w:val="36"/>
                <w:highlight w:val="none"/>
                <w:lang w:val="en-US" w:eastAsia="zh-CN" w:bidi="ar-SA"/>
              </w:rPr>
              <w:t>）</w:t>
            </w:r>
          </w:p>
        </w:tc>
        <w:tc>
          <w:tcPr>
            <w:tcW w:w="410" w:type="pct"/>
            <w:noWrap w:val="0"/>
            <w:vAlign w:val="center"/>
          </w:tcPr>
          <w:p w14:paraId="1023FAFF">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数量</w:t>
            </w:r>
          </w:p>
        </w:tc>
        <w:tc>
          <w:tcPr>
            <w:tcW w:w="407" w:type="pct"/>
            <w:noWrap w:val="0"/>
            <w:vAlign w:val="center"/>
          </w:tcPr>
          <w:p w14:paraId="0B779AF7">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投资</w:t>
            </w:r>
          </w:p>
        </w:tc>
      </w:tr>
      <w:tr w14:paraId="4D7F0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0" w:hRule="atLeast"/>
          <w:tblHeader/>
          <w:jc w:val="center"/>
        </w:trPr>
        <w:tc>
          <w:tcPr>
            <w:tcW w:w="568" w:type="pct"/>
            <w:vMerge w:val="restart"/>
            <w:noWrap w:val="0"/>
            <w:vAlign w:val="center"/>
          </w:tcPr>
          <w:p w14:paraId="2195B815">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zh-CN" w:eastAsia="zh-CN" w:bidi="ar-SA"/>
              </w:rPr>
            </w:pPr>
            <w:r>
              <w:rPr>
                <w:rFonts w:hint="default" w:ascii="Times New Roman" w:hAnsi="Times New Roman" w:eastAsia="宋体" w:cs="Times New Roman"/>
                <w:b/>
                <w:bCs/>
                <w:color w:val="auto"/>
                <w:kern w:val="2"/>
                <w:sz w:val="21"/>
                <w:szCs w:val="36"/>
                <w:highlight w:val="none"/>
                <w:lang w:val="zh-CN" w:eastAsia="zh-CN" w:bidi="ar-SA"/>
              </w:rPr>
              <w:t>废气治理</w:t>
            </w:r>
          </w:p>
        </w:tc>
        <w:tc>
          <w:tcPr>
            <w:tcW w:w="609" w:type="pct"/>
            <w:noWrap w:val="0"/>
            <w:vAlign w:val="center"/>
          </w:tcPr>
          <w:p w14:paraId="57D31CC8">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zh-CN" w:eastAsia="zh-CN" w:bidi="ar-SA"/>
              </w:rPr>
            </w:pPr>
            <w:r>
              <w:rPr>
                <w:rFonts w:hint="default" w:ascii="Times New Roman" w:hAnsi="Times New Roman" w:eastAsia="宋体" w:cs="Times New Roman"/>
                <w:b/>
                <w:bCs/>
                <w:color w:val="auto"/>
                <w:kern w:val="2"/>
                <w:sz w:val="21"/>
                <w:szCs w:val="36"/>
                <w:highlight w:val="none"/>
                <w:lang w:val="zh-CN" w:eastAsia="zh-CN" w:bidi="ar-SA"/>
              </w:rPr>
              <w:t>高温转化炉烟气</w:t>
            </w:r>
          </w:p>
        </w:tc>
        <w:tc>
          <w:tcPr>
            <w:tcW w:w="3004" w:type="pct"/>
            <w:noWrap w:val="0"/>
            <w:vAlign w:val="center"/>
          </w:tcPr>
          <w:p w14:paraId="6A8CA7CB">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olor w:val="auto"/>
                <w:kern w:val="0"/>
                <w:szCs w:val="21"/>
                <w:highlight w:val="none"/>
                <w:lang w:val="en-US" w:eastAsia="zh-CN"/>
              </w:rPr>
              <w:t>低氮燃烧器+15米排气筒（DA001、DA002、DA003）排放</w:t>
            </w:r>
          </w:p>
        </w:tc>
        <w:tc>
          <w:tcPr>
            <w:tcW w:w="410" w:type="pct"/>
            <w:noWrap w:val="0"/>
            <w:vAlign w:val="center"/>
          </w:tcPr>
          <w:p w14:paraId="5DD1B465">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3套</w:t>
            </w:r>
          </w:p>
        </w:tc>
        <w:tc>
          <w:tcPr>
            <w:tcW w:w="407" w:type="pct"/>
            <w:tcBorders>
              <w:bottom w:val="single" w:color="auto" w:sz="4" w:space="0"/>
            </w:tcBorders>
            <w:noWrap w:val="0"/>
            <w:vAlign w:val="center"/>
          </w:tcPr>
          <w:p w14:paraId="7B62C19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3</w:t>
            </w:r>
          </w:p>
        </w:tc>
      </w:tr>
      <w:tr w14:paraId="4B270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vMerge w:val="continue"/>
            <w:noWrap w:val="0"/>
            <w:vAlign w:val="center"/>
          </w:tcPr>
          <w:p w14:paraId="5DF9680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zh-CN" w:eastAsia="zh-CN" w:bidi="ar-SA"/>
              </w:rPr>
            </w:pPr>
          </w:p>
        </w:tc>
        <w:tc>
          <w:tcPr>
            <w:tcW w:w="609" w:type="pct"/>
            <w:noWrap w:val="0"/>
            <w:vAlign w:val="center"/>
          </w:tcPr>
          <w:p w14:paraId="63A0B266">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储油废气</w:t>
            </w:r>
          </w:p>
        </w:tc>
        <w:tc>
          <w:tcPr>
            <w:tcW w:w="3004" w:type="pct"/>
            <w:noWrap w:val="0"/>
            <w:vAlign w:val="center"/>
          </w:tcPr>
          <w:p w14:paraId="5FA2E656">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olor w:val="auto"/>
                <w:kern w:val="0"/>
                <w:szCs w:val="21"/>
                <w:highlight w:val="none"/>
                <w:lang w:val="en-US" w:eastAsia="zh-CN"/>
              </w:rPr>
              <w:t>加油站设置油气回收在线监测系统</w:t>
            </w:r>
          </w:p>
        </w:tc>
        <w:tc>
          <w:tcPr>
            <w:tcW w:w="410" w:type="pct"/>
            <w:tcBorders>
              <w:bottom w:val="single" w:color="auto" w:sz="4" w:space="0"/>
            </w:tcBorders>
            <w:noWrap w:val="0"/>
            <w:vAlign w:val="center"/>
          </w:tcPr>
          <w:p w14:paraId="530B8745">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1套</w:t>
            </w:r>
          </w:p>
        </w:tc>
        <w:tc>
          <w:tcPr>
            <w:tcW w:w="407" w:type="pct"/>
            <w:tcBorders>
              <w:bottom w:val="single" w:color="auto" w:sz="4" w:space="0"/>
            </w:tcBorders>
            <w:noWrap w:val="0"/>
            <w:vAlign w:val="center"/>
          </w:tcPr>
          <w:p w14:paraId="546A46F2">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cs="Times New Roman"/>
                <w:color w:val="auto"/>
                <w:kern w:val="2"/>
                <w:sz w:val="21"/>
                <w:szCs w:val="36"/>
                <w:highlight w:val="none"/>
                <w:lang w:val="en-US" w:eastAsia="zh-CN" w:bidi="ar-SA"/>
              </w:rPr>
            </w:pPr>
            <w:r>
              <w:rPr>
                <w:rFonts w:hint="eastAsia" w:cs="Times New Roman"/>
                <w:color w:val="auto"/>
                <w:kern w:val="2"/>
                <w:sz w:val="21"/>
                <w:szCs w:val="36"/>
                <w:highlight w:val="none"/>
                <w:lang w:val="en-US" w:eastAsia="zh-CN" w:bidi="ar-SA"/>
              </w:rPr>
              <w:t>10</w:t>
            </w:r>
          </w:p>
        </w:tc>
      </w:tr>
      <w:tr w14:paraId="14475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vMerge w:val="continue"/>
            <w:noWrap w:val="0"/>
            <w:vAlign w:val="center"/>
          </w:tcPr>
          <w:p w14:paraId="2FAD4B11">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zh-CN" w:eastAsia="zh-CN" w:bidi="ar-SA"/>
              </w:rPr>
            </w:pPr>
          </w:p>
        </w:tc>
        <w:tc>
          <w:tcPr>
            <w:tcW w:w="609" w:type="pct"/>
            <w:vMerge w:val="restart"/>
            <w:noWrap w:val="0"/>
            <w:vAlign w:val="center"/>
          </w:tcPr>
          <w:p w14:paraId="457688B3">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加油废气</w:t>
            </w:r>
          </w:p>
        </w:tc>
        <w:tc>
          <w:tcPr>
            <w:tcW w:w="3004" w:type="pct"/>
            <w:noWrap w:val="0"/>
            <w:vAlign w:val="center"/>
          </w:tcPr>
          <w:p w14:paraId="1A51C3C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eastAsia"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olor w:val="auto"/>
                <w:kern w:val="0"/>
                <w:szCs w:val="21"/>
                <w:highlight w:val="none"/>
                <w:lang w:val="en-US" w:eastAsia="zh-CN"/>
              </w:rPr>
              <w:t>油气回收系统回收</w:t>
            </w:r>
          </w:p>
        </w:tc>
        <w:tc>
          <w:tcPr>
            <w:tcW w:w="410" w:type="pct"/>
            <w:tcBorders>
              <w:bottom w:val="single" w:color="auto" w:sz="4" w:space="0"/>
            </w:tcBorders>
            <w:noWrap w:val="0"/>
            <w:vAlign w:val="center"/>
          </w:tcPr>
          <w:p w14:paraId="1512938C">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1套</w:t>
            </w:r>
          </w:p>
        </w:tc>
        <w:tc>
          <w:tcPr>
            <w:tcW w:w="407" w:type="pct"/>
            <w:tcBorders>
              <w:bottom w:val="single" w:color="auto" w:sz="4" w:space="0"/>
            </w:tcBorders>
            <w:noWrap w:val="0"/>
            <w:vAlign w:val="center"/>
          </w:tcPr>
          <w:p w14:paraId="5252AF3C">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cs="Times New Roman"/>
                <w:color w:val="auto"/>
                <w:kern w:val="2"/>
                <w:sz w:val="21"/>
                <w:szCs w:val="36"/>
                <w:highlight w:val="none"/>
                <w:lang w:val="en-US" w:eastAsia="zh-CN" w:bidi="ar-SA"/>
              </w:rPr>
            </w:pPr>
            <w:r>
              <w:rPr>
                <w:rFonts w:hint="eastAsia" w:cs="Times New Roman"/>
                <w:color w:val="auto"/>
                <w:kern w:val="2"/>
                <w:sz w:val="21"/>
                <w:szCs w:val="36"/>
                <w:highlight w:val="none"/>
                <w:lang w:val="en-US" w:eastAsia="zh-CN" w:bidi="ar-SA"/>
              </w:rPr>
              <w:t>10</w:t>
            </w:r>
          </w:p>
        </w:tc>
      </w:tr>
      <w:tr w14:paraId="60BEE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vMerge w:val="continue"/>
            <w:noWrap w:val="0"/>
            <w:vAlign w:val="center"/>
          </w:tcPr>
          <w:p w14:paraId="37FBDD04">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zh-CN" w:eastAsia="zh-CN" w:bidi="ar-SA"/>
              </w:rPr>
            </w:pPr>
          </w:p>
        </w:tc>
        <w:tc>
          <w:tcPr>
            <w:tcW w:w="609" w:type="pct"/>
            <w:vMerge w:val="continue"/>
            <w:noWrap w:val="0"/>
            <w:vAlign w:val="center"/>
          </w:tcPr>
          <w:p w14:paraId="08FB8CA2">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eastAsia" w:ascii="Times New Roman" w:hAnsi="Times New Roman" w:eastAsia="宋体" w:cs="Times New Roman"/>
                <w:b/>
                <w:bCs/>
                <w:color w:val="auto"/>
                <w:kern w:val="2"/>
                <w:sz w:val="21"/>
                <w:szCs w:val="36"/>
                <w:highlight w:val="none"/>
                <w:lang w:val="en-US" w:eastAsia="zh-CN" w:bidi="ar-SA"/>
              </w:rPr>
            </w:pPr>
          </w:p>
        </w:tc>
        <w:tc>
          <w:tcPr>
            <w:tcW w:w="3004" w:type="pct"/>
            <w:noWrap w:val="0"/>
            <w:vAlign w:val="center"/>
          </w:tcPr>
          <w:p w14:paraId="01BE2C3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eastAsia"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olor w:val="auto"/>
                <w:kern w:val="0"/>
                <w:szCs w:val="21"/>
                <w:highlight w:val="none"/>
                <w:lang w:val="en-US" w:eastAsia="zh-CN"/>
              </w:rPr>
              <w:t>加油油气回收装置回收</w:t>
            </w:r>
          </w:p>
        </w:tc>
        <w:tc>
          <w:tcPr>
            <w:tcW w:w="410" w:type="pct"/>
            <w:tcBorders>
              <w:bottom w:val="single" w:color="auto" w:sz="4" w:space="0"/>
            </w:tcBorders>
            <w:noWrap w:val="0"/>
            <w:vAlign w:val="center"/>
          </w:tcPr>
          <w:p w14:paraId="68ED646D">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1套</w:t>
            </w:r>
          </w:p>
        </w:tc>
        <w:tc>
          <w:tcPr>
            <w:tcW w:w="407" w:type="pct"/>
            <w:tcBorders>
              <w:bottom w:val="single" w:color="auto" w:sz="4" w:space="0"/>
            </w:tcBorders>
            <w:noWrap w:val="0"/>
            <w:vAlign w:val="center"/>
          </w:tcPr>
          <w:p w14:paraId="39DED8B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cs="Times New Roman"/>
                <w:color w:val="auto"/>
                <w:kern w:val="2"/>
                <w:sz w:val="21"/>
                <w:szCs w:val="36"/>
                <w:highlight w:val="none"/>
                <w:lang w:val="en-US" w:eastAsia="zh-CN" w:bidi="ar-SA"/>
              </w:rPr>
            </w:pPr>
            <w:r>
              <w:rPr>
                <w:rFonts w:hint="eastAsia" w:cs="Times New Roman"/>
                <w:color w:val="auto"/>
                <w:kern w:val="2"/>
                <w:sz w:val="21"/>
                <w:szCs w:val="36"/>
                <w:highlight w:val="none"/>
                <w:lang w:val="en-US" w:eastAsia="zh-CN" w:bidi="ar-SA"/>
              </w:rPr>
              <w:t>10</w:t>
            </w:r>
          </w:p>
        </w:tc>
      </w:tr>
      <w:tr w14:paraId="3E168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vMerge w:val="restart"/>
            <w:noWrap w:val="0"/>
            <w:vAlign w:val="center"/>
          </w:tcPr>
          <w:p w14:paraId="3B3BED3D">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zh-CN" w:eastAsia="zh-CN" w:bidi="ar-SA"/>
              </w:rPr>
            </w:pPr>
            <w:r>
              <w:rPr>
                <w:rFonts w:hint="default" w:ascii="Times New Roman" w:hAnsi="Times New Roman" w:eastAsia="宋体" w:cs="Times New Roman"/>
                <w:b/>
                <w:bCs/>
                <w:color w:val="auto"/>
                <w:kern w:val="2"/>
                <w:sz w:val="21"/>
                <w:szCs w:val="36"/>
                <w:highlight w:val="none"/>
                <w:lang w:val="en-US" w:eastAsia="zh-CN" w:bidi="ar-SA"/>
              </w:rPr>
              <w:t>废水</w:t>
            </w:r>
            <w:r>
              <w:rPr>
                <w:rFonts w:hint="default" w:ascii="Times New Roman" w:hAnsi="Times New Roman" w:eastAsia="宋体" w:cs="Times New Roman"/>
                <w:b/>
                <w:bCs/>
                <w:color w:val="auto"/>
                <w:kern w:val="2"/>
                <w:sz w:val="21"/>
                <w:szCs w:val="36"/>
                <w:highlight w:val="none"/>
                <w:lang w:val="zh-CN" w:eastAsia="zh-CN" w:bidi="ar-SA"/>
              </w:rPr>
              <w:t>治理</w:t>
            </w:r>
          </w:p>
        </w:tc>
        <w:tc>
          <w:tcPr>
            <w:tcW w:w="609" w:type="pct"/>
            <w:noWrap w:val="0"/>
            <w:vAlign w:val="center"/>
          </w:tcPr>
          <w:p w14:paraId="7DEC1C4D">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生活污水</w:t>
            </w:r>
          </w:p>
        </w:tc>
        <w:tc>
          <w:tcPr>
            <w:tcW w:w="3004" w:type="pct"/>
            <w:noWrap w:val="0"/>
            <w:vAlign w:val="center"/>
          </w:tcPr>
          <w:p w14:paraId="6F8A5A83">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经新建污水管线进入化粪池预处理后接管市政污水管网</w:t>
            </w:r>
          </w:p>
        </w:tc>
        <w:tc>
          <w:tcPr>
            <w:tcW w:w="410" w:type="pct"/>
            <w:tcBorders>
              <w:bottom w:val="single" w:color="auto" w:sz="4" w:space="0"/>
            </w:tcBorders>
            <w:noWrap w:val="0"/>
            <w:vAlign w:val="center"/>
          </w:tcPr>
          <w:p w14:paraId="5164317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w:t>
            </w:r>
          </w:p>
        </w:tc>
        <w:tc>
          <w:tcPr>
            <w:tcW w:w="407" w:type="pct"/>
            <w:tcBorders>
              <w:bottom w:val="single" w:color="auto" w:sz="4" w:space="0"/>
            </w:tcBorders>
            <w:noWrap w:val="0"/>
            <w:vAlign w:val="center"/>
          </w:tcPr>
          <w:p w14:paraId="601FBECD">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12</w:t>
            </w:r>
          </w:p>
        </w:tc>
      </w:tr>
      <w:tr w14:paraId="23D64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vMerge w:val="continue"/>
            <w:noWrap w:val="0"/>
            <w:vAlign w:val="center"/>
          </w:tcPr>
          <w:p w14:paraId="6C743E3F">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609" w:type="pct"/>
            <w:noWrap w:val="0"/>
            <w:vAlign w:val="center"/>
          </w:tcPr>
          <w:p w14:paraId="58383A9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洗车废水</w:t>
            </w:r>
          </w:p>
        </w:tc>
        <w:tc>
          <w:tcPr>
            <w:tcW w:w="3004" w:type="pct"/>
            <w:noWrap w:val="0"/>
            <w:vAlign w:val="center"/>
          </w:tcPr>
          <w:p w14:paraId="3B9B6688">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隔油沉淀池</w:t>
            </w:r>
          </w:p>
        </w:tc>
        <w:tc>
          <w:tcPr>
            <w:tcW w:w="410" w:type="pct"/>
            <w:tcBorders>
              <w:bottom w:val="single" w:color="auto" w:sz="4" w:space="0"/>
            </w:tcBorders>
            <w:noWrap w:val="0"/>
            <w:vAlign w:val="center"/>
          </w:tcPr>
          <w:p w14:paraId="041C5E96">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w:t>
            </w:r>
          </w:p>
        </w:tc>
        <w:tc>
          <w:tcPr>
            <w:tcW w:w="407" w:type="pct"/>
            <w:tcBorders>
              <w:bottom w:val="single" w:color="auto" w:sz="4" w:space="0"/>
            </w:tcBorders>
            <w:noWrap w:val="0"/>
            <w:vAlign w:val="center"/>
          </w:tcPr>
          <w:p w14:paraId="5E31F331">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5</w:t>
            </w:r>
          </w:p>
        </w:tc>
      </w:tr>
      <w:tr w14:paraId="3B918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vMerge w:val="continue"/>
            <w:noWrap w:val="0"/>
            <w:vAlign w:val="center"/>
          </w:tcPr>
          <w:p w14:paraId="26B5B2EB">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609" w:type="pct"/>
            <w:noWrap w:val="0"/>
            <w:vAlign w:val="center"/>
          </w:tcPr>
          <w:p w14:paraId="5817FFAC">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脱盐水制备产生浓水、反冲废水</w:t>
            </w:r>
          </w:p>
        </w:tc>
        <w:tc>
          <w:tcPr>
            <w:tcW w:w="3004" w:type="pct"/>
            <w:noWrap w:val="0"/>
            <w:vAlign w:val="center"/>
          </w:tcPr>
          <w:p w14:paraId="7B930A31">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直接接管市政污水管网</w:t>
            </w:r>
          </w:p>
        </w:tc>
        <w:tc>
          <w:tcPr>
            <w:tcW w:w="410" w:type="pct"/>
            <w:tcBorders>
              <w:bottom w:val="single" w:color="auto" w:sz="4" w:space="0"/>
            </w:tcBorders>
            <w:noWrap w:val="0"/>
            <w:vAlign w:val="center"/>
          </w:tcPr>
          <w:p w14:paraId="41B0AED6">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w:t>
            </w:r>
          </w:p>
        </w:tc>
        <w:tc>
          <w:tcPr>
            <w:tcW w:w="407" w:type="pct"/>
            <w:tcBorders>
              <w:bottom w:val="single" w:color="auto" w:sz="4" w:space="0"/>
            </w:tcBorders>
            <w:noWrap w:val="0"/>
            <w:vAlign w:val="center"/>
          </w:tcPr>
          <w:p w14:paraId="5E779E88">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w:t>
            </w:r>
          </w:p>
        </w:tc>
      </w:tr>
      <w:tr w14:paraId="22D62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vMerge w:val="continue"/>
            <w:noWrap w:val="0"/>
            <w:vAlign w:val="center"/>
          </w:tcPr>
          <w:p w14:paraId="5B313E17">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609" w:type="pct"/>
            <w:noWrap w:val="0"/>
            <w:vAlign w:val="center"/>
          </w:tcPr>
          <w:p w14:paraId="4D0CAE29">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初期雨水</w:t>
            </w:r>
          </w:p>
        </w:tc>
        <w:tc>
          <w:tcPr>
            <w:tcW w:w="3004" w:type="pct"/>
            <w:noWrap w:val="0"/>
            <w:vAlign w:val="center"/>
          </w:tcPr>
          <w:p w14:paraId="1BF64E05">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经初期雨水池收集经隔油沉淀处理后接管市政污水管网</w:t>
            </w:r>
          </w:p>
        </w:tc>
        <w:tc>
          <w:tcPr>
            <w:tcW w:w="410" w:type="pct"/>
            <w:tcBorders>
              <w:bottom w:val="single" w:color="auto" w:sz="4" w:space="0"/>
            </w:tcBorders>
            <w:noWrap w:val="0"/>
            <w:vAlign w:val="center"/>
          </w:tcPr>
          <w:p w14:paraId="599BE078">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w:t>
            </w:r>
          </w:p>
        </w:tc>
        <w:tc>
          <w:tcPr>
            <w:tcW w:w="407" w:type="pct"/>
            <w:tcBorders>
              <w:bottom w:val="single" w:color="auto" w:sz="4" w:space="0"/>
            </w:tcBorders>
            <w:noWrap w:val="0"/>
            <w:vAlign w:val="center"/>
          </w:tcPr>
          <w:p w14:paraId="700D673D">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30</w:t>
            </w:r>
          </w:p>
        </w:tc>
      </w:tr>
      <w:tr w14:paraId="5424E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1178" w:type="pct"/>
            <w:gridSpan w:val="2"/>
            <w:noWrap w:val="0"/>
            <w:vAlign w:val="center"/>
          </w:tcPr>
          <w:p w14:paraId="3557B45B">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噪声</w:t>
            </w:r>
            <w:r>
              <w:rPr>
                <w:rFonts w:hint="default" w:ascii="Times New Roman" w:hAnsi="Times New Roman" w:eastAsia="宋体" w:cs="Times New Roman"/>
                <w:b/>
                <w:bCs/>
                <w:color w:val="auto"/>
                <w:kern w:val="2"/>
                <w:sz w:val="21"/>
                <w:szCs w:val="36"/>
                <w:highlight w:val="none"/>
                <w:lang w:val="zh-CN" w:eastAsia="zh-CN" w:bidi="ar-SA"/>
              </w:rPr>
              <w:t>治理</w:t>
            </w:r>
          </w:p>
        </w:tc>
        <w:tc>
          <w:tcPr>
            <w:tcW w:w="3004" w:type="pct"/>
            <w:noWrap w:val="0"/>
            <w:vAlign w:val="center"/>
          </w:tcPr>
          <w:p w14:paraId="01519C66">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基础减振、厂房隔声、距离衰减。</w:t>
            </w:r>
          </w:p>
        </w:tc>
        <w:tc>
          <w:tcPr>
            <w:tcW w:w="410" w:type="pct"/>
            <w:tcBorders>
              <w:bottom w:val="single" w:color="auto" w:sz="4" w:space="0"/>
            </w:tcBorders>
            <w:noWrap w:val="0"/>
            <w:vAlign w:val="center"/>
          </w:tcPr>
          <w:p w14:paraId="73306CB2">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w:t>
            </w:r>
          </w:p>
        </w:tc>
        <w:tc>
          <w:tcPr>
            <w:tcW w:w="407" w:type="pct"/>
            <w:tcBorders>
              <w:bottom w:val="single" w:color="auto" w:sz="4" w:space="0"/>
            </w:tcBorders>
            <w:noWrap w:val="0"/>
            <w:vAlign w:val="center"/>
          </w:tcPr>
          <w:p w14:paraId="50C34B45">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cs="Times New Roman"/>
                <w:color w:val="auto"/>
                <w:kern w:val="2"/>
                <w:sz w:val="21"/>
                <w:szCs w:val="36"/>
                <w:highlight w:val="none"/>
                <w:lang w:val="en-US" w:eastAsia="zh-CN" w:bidi="ar-SA"/>
              </w:rPr>
              <w:t>4</w:t>
            </w:r>
            <w:r>
              <w:rPr>
                <w:rFonts w:hint="eastAsia" w:ascii="Times New Roman" w:hAnsi="Times New Roman" w:eastAsia="宋体" w:cs="Times New Roman"/>
                <w:color w:val="auto"/>
                <w:kern w:val="2"/>
                <w:sz w:val="21"/>
                <w:szCs w:val="36"/>
                <w:highlight w:val="none"/>
                <w:lang w:val="en-US" w:eastAsia="zh-CN" w:bidi="ar-SA"/>
              </w:rPr>
              <w:t>0</w:t>
            </w:r>
          </w:p>
        </w:tc>
      </w:tr>
      <w:tr w14:paraId="5E1F4B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vMerge w:val="restart"/>
            <w:noWrap w:val="0"/>
            <w:vAlign w:val="center"/>
          </w:tcPr>
          <w:p w14:paraId="514A44A3">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固体废物</w:t>
            </w:r>
          </w:p>
          <w:p w14:paraId="050DFAF5">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处置</w:t>
            </w:r>
          </w:p>
        </w:tc>
        <w:tc>
          <w:tcPr>
            <w:tcW w:w="609" w:type="pct"/>
            <w:noWrap w:val="0"/>
            <w:vAlign w:val="center"/>
          </w:tcPr>
          <w:p w14:paraId="0F008675">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生活垃圾</w:t>
            </w:r>
          </w:p>
        </w:tc>
        <w:tc>
          <w:tcPr>
            <w:tcW w:w="3004" w:type="pct"/>
            <w:noWrap w:val="0"/>
            <w:vAlign w:val="center"/>
          </w:tcPr>
          <w:p w14:paraId="1F7457FF">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生活垃圾依托环卫部门统一收集。</w:t>
            </w:r>
          </w:p>
        </w:tc>
        <w:tc>
          <w:tcPr>
            <w:tcW w:w="410" w:type="pct"/>
            <w:noWrap w:val="0"/>
            <w:vAlign w:val="center"/>
          </w:tcPr>
          <w:p w14:paraId="7A07E0D9">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w:t>
            </w:r>
          </w:p>
        </w:tc>
        <w:tc>
          <w:tcPr>
            <w:tcW w:w="407" w:type="pct"/>
            <w:noWrap w:val="0"/>
            <w:vAlign w:val="center"/>
          </w:tcPr>
          <w:p w14:paraId="01F86EB9">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2</w:t>
            </w:r>
          </w:p>
        </w:tc>
      </w:tr>
      <w:tr w14:paraId="12DCF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568" w:type="pct"/>
            <w:vMerge w:val="continue"/>
            <w:noWrap w:val="0"/>
            <w:vAlign w:val="center"/>
          </w:tcPr>
          <w:p w14:paraId="1A80A982">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609" w:type="pct"/>
            <w:noWrap w:val="0"/>
            <w:vAlign w:val="center"/>
          </w:tcPr>
          <w:p w14:paraId="64A13812">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危险废物</w:t>
            </w:r>
          </w:p>
        </w:tc>
        <w:tc>
          <w:tcPr>
            <w:tcW w:w="3004" w:type="pct"/>
            <w:noWrap w:val="0"/>
            <w:vAlign w:val="center"/>
          </w:tcPr>
          <w:p w14:paraId="1F10DC38">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建设1处危险废物暂存库，占地面积</w:t>
            </w:r>
            <w:r>
              <w:rPr>
                <w:rFonts w:hint="eastAsia" w:ascii="Times New Roman" w:hAnsi="Times New Roman" w:eastAsia="宋体" w:cs="Times New Roman"/>
                <w:color w:val="auto"/>
                <w:kern w:val="2"/>
                <w:sz w:val="21"/>
                <w:szCs w:val="36"/>
                <w:highlight w:val="none"/>
                <w:lang w:val="en-US" w:eastAsia="zh-CN" w:bidi="ar-SA"/>
              </w:rPr>
              <w:t>20</w:t>
            </w:r>
            <w:r>
              <w:rPr>
                <w:rFonts w:hint="default" w:ascii="Times New Roman" w:hAnsi="Times New Roman" w:eastAsia="宋体" w:cs="Times New Roman"/>
                <w:color w:val="auto"/>
                <w:kern w:val="2"/>
                <w:sz w:val="21"/>
                <w:szCs w:val="36"/>
                <w:highlight w:val="none"/>
                <w:lang w:val="en-US" w:eastAsia="zh-CN" w:bidi="ar-SA"/>
              </w:rPr>
              <w:t>m</w:t>
            </w:r>
            <w:r>
              <w:rPr>
                <w:rFonts w:hint="default" w:ascii="Times New Roman" w:hAnsi="Times New Roman" w:eastAsia="宋体" w:cs="Times New Roman"/>
                <w:color w:val="auto"/>
                <w:kern w:val="2"/>
                <w:sz w:val="21"/>
                <w:szCs w:val="36"/>
                <w:highlight w:val="none"/>
                <w:vertAlign w:val="superscript"/>
                <w:lang w:val="en-US" w:eastAsia="zh-CN" w:bidi="ar-SA"/>
              </w:rPr>
              <w:t>2</w:t>
            </w:r>
            <w:r>
              <w:rPr>
                <w:rFonts w:hint="default" w:ascii="Times New Roman" w:hAnsi="Times New Roman" w:eastAsia="宋体" w:cs="Times New Roman"/>
                <w:color w:val="auto"/>
                <w:kern w:val="2"/>
                <w:sz w:val="21"/>
                <w:szCs w:val="36"/>
                <w:highlight w:val="none"/>
                <w:lang w:val="en-US" w:eastAsia="zh-CN" w:bidi="ar-SA"/>
              </w:rPr>
              <w:t>，废</w:t>
            </w:r>
            <w:r>
              <w:rPr>
                <w:rFonts w:hint="eastAsia" w:cs="Times New Roman"/>
                <w:color w:val="auto"/>
                <w:kern w:val="2"/>
                <w:sz w:val="21"/>
                <w:szCs w:val="36"/>
                <w:highlight w:val="none"/>
                <w:lang w:val="en-US" w:eastAsia="zh-CN" w:bidi="ar-SA"/>
              </w:rPr>
              <w:t>活性炭</w:t>
            </w:r>
            <w:r>
              <w:rPr>
                <w:rFonts w:hint="default" w:ascii="Times New Roman" w:hAnsi="Times New Roman" w:eastAsia="宋体" w:cs="Times New Roman"/>
                <w:color w:val="auto"/>
                <w:kern w:val="2"/>
                <w:sz w:val="21"/>
                <w:szCs w:val="36"/>
                <w:highlight w:val="none"/>
                <w:lang w:val="en-US" w:eastAsia="zh-CN" w:bidi="ar-SA"/>
              </w:rPr>
              <w:t>、废过滤棉等危险废物暂存后委托有资质单位处置。</w:t>
            </w:r>
          </w:p>
        </w:tc>
        <w:tc>
          <w:tcPr>
            <w:tcW w:w="410" w:type="pct"/>
            <w:noWrap w:val="0"/>
            <w:vAlign w:val="center"/>
          </w:tcPr>
          <w:p w14:paraId="617BC9F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w:t>
            </w:r>
          </w:p>
        </w:tc>
        <w:tc>
          <w:tcPr>
            <w:tcW w:w="407" w:type="pct"/>
            <w:noWrap w:val="0"/>
            <w:vAlign w:val="center"/>
          </w:tcPr>
          <w:p w14:paraId="72ACCFB6">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10</w:t>
            </w:r>
          </w:p>
        </w:tc>
      </w:tr>
      <w:tr w14:paraId="381CA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3" w:hRule="atLeast"/>
          <w:tblHeader/>
          <w:jc w:val="center"/>
        </w:trPr>
        <w:tc>
          <w:tcPr>
            <w:tcW w:w="568" w:type="pct"/>
            <w:vMerge w:val="continue"/>
            <w:noWrap w:val="0"/>
            <w:vAlign w:val="center"/>
          </w:tcPr>
          <w:p w14:paraId="1DF9E972">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609" w:type="pct"/>
            <w:noWrap w:val="0"/>
            <w:vAlign w:val="center"/>
          </w:tcPr>
          <w:p w14:paraId="180B604C">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一般工业固体废物</w:t>
            </w:r>
          </w:p>
        </w:tc>
        <w:tc>
          <w:tcPr>
            <w:tcW w:w="3004" w:type="pct"/>
            <w:noWrap w:val="0"/>
            <w:vAlign w:val="center"/>
          </w:tcPr>
          <w:p w14:paraId="3D6A8EBE">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废边角料、金属粉尘、焊渣</w:t>
            </w:r>
            <w:r>
              <w:rPr>
                <w:rFonts w:hint="eastAsia" w:cs="Times New Roman"/>
                <w:color w:val="auto"/>
                <w:kern w:val="2"/>
                <w:sz w:val="21"/>
                <w:szCs w:val="36"/>
                <w:highlight w:val="none"/>
                <w:lang w:val="en-US" w:eastAsia="zh-CN" w:bidi="ar-SA"/>
              </w:rPr>
              <w:t>、废钢砂</w:t>
            </w:r>
            <w:r>
              <w:rPr>
                <w:rFonts w:hint="default" w:ascii="Times New Roman" w:hAnsi="Times New Roman" w:eastAsia="宋体" w:cs="Times New Roman"/>
                <w:color w:val="auto"/>
                <w:kern w:val="2"/>
                <w:sz w:val="21"/>
                <w:szCs w:val="36"/>
                <w:highlight w:val="none"/>
                <w:lang w:val="en-US" w:eastAsia="zh-CN" w:bidi="ar-SA"/>
              </w:rPr>
              <w:t>等集中收集后，外售综合利用</w:t>
            </w:r>
            <w:r>
              <w:rPr>
                <w:rFonts w:hint="eastAsia" w:ascii="Times New Roman" w:hAnsi="Times New Roman" w:eastAsia="宋体" w:cs="Times New Roman"/>
                <w:color w:val="auto"/>
                <w:kern w:val="2"/>
                <w:sz w:val="21"/>
                <w:szCs w:val="36"/>
                <w:highlight w:val="none"/>
                <w:lang w:val="en-US" w:eastAsia="zh-CN" w:bidi="ar-SA"/>
              </w:rPr>
              <w:t>；</w:t>
            </w:r>
          </w:p>
        </w:tc>
        <w:tc>
          <w:tcPr>
            <w:tcW w:w="410" w:type="pct"/>
            <w:noWrap w:val="0"/>
            <w:vAlign w:val="center"/>
          </w:tcPr>
          <w:p w14:paraId="71B9F2CE">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w:t>
            </w:r>
          </w:p>
        </w:tc>
        <w:tc>
          <w:tcPr>
            <w:tcW w:w="407" w:type="pct"/>
            <w:noWrap w:val="0"/>
            <w:vAlign w:val="center"/>
          </w:tcPr>
          <w:p w14:paraId="26DD6FF4">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4</w:t>
            </w:r>
          </w:p>
        </w:tc>
      </w:tr>
      <w:tr w14:paraId="4ADE7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tblHeader/>
          <w:jc w:val="center"/>
        </w:trPr>
        <w:tc>
          <w:tcPr>
            <w:tcW w:w="1178" w:type="pct"/>
            <w:gridSpan w:val="2"/>
            <w:noWrap w:val="0"/>
            <w:vAlign w:val="center"/>
          </w:tcPr>
          <w:p w14:paraId="676679AE">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土壤及地下水</w:t>
            </w:r>
          </w:p>
        </w:tc>
        <w:tc>
          <w:tcPr>
            <w:tcW w:w="3004" w:type="pct"/>
            <w:noWrap w:val="0"/>
            <w:vAlign w:val="center"/>
          </w:tcPr>
          <w:p w14:paraId="2A3DFD9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项目分区防渗。</w:t>
            </w:r>
          </w:p>
          <w:p w14:paraId="784C1CF5">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重点防渗区：</w:t>
            </w:r>
            <w:r>
              <w:rPr>
                <w:rFonts w:hint="eastAsia" w:ascii="Times New Roman" w:hAnsi="Times New Roman" w:eastAsia="宋体"/>
                <w:color w:val="auto"/>
                <w:szCs w:val="21"/>
                <w:highlight w:val="none"/>
                <w:lang w:val="en-US" w:eastAsia="zh-CN"/>
              </w:rPr>
              <w:t>油罐区、危废暂存间、隔油沉淀池、初期雨水</w:t>
            </w:r>
            <w:r>
              <w:rPr>
                <w:rFonts w:hint="default" w:ascii="Times New Roman" w:hAnsi="Times New Roman" w:eastAsia="宋体" w:cs="Times New Roman"/>
                <w:color w:val="auto"/>
                <w:kern w:val="0"/>
                <w:sz w:val="21"/>
                <w:szCs w:val="21"/>
                <w:highlight w:val="none"/>
                <w:lang w:val="en-US" w:eastAsia="zh-CN" w:bidi="ar-SA"/>
              </w:rPr>
              <w:t>等区域重点防渗，采用高密度聚乙烯材料或其他人工防渗材料防渗，防渗系数≤1.0×10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w:t>
            </w:r>
          </w:p>
          <w:p w14:paraId="5EDD7F17">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一般防渗区除重点区域的其他生产加工区域、一般工业固体废物暂存处，防渗采用硬化防渗水泥地面防渗，防渗系数≤1.0×10</w:t>
            </w:r>
            <w:r>
              <w:rPr>
                <w:rFonts w:hint="default" w:ascii="Times New Roman" w:hAnsi="Times New Roman" w:eastAsia="宋体" w:cs="Times New Roman"/>
                <w:color w:val="auto"/>
                <w:kern w:val="0"/>
                <w:sz w:val="21"/>
                <w:szCs w:val="21"/>
                <w:highlight w:val="none"/>
                <w:vertAlign w:val="superscript"/>
                <w:lang w:val="en-US" w:eastAsia="zh-CN" w:bidi="ar-SA"/>
              </w:rPr>
              <w:t>-7</w:t>
            </w:r>
            <w:r>
              <w:rPr>
                <w:rFonts w:hint="default" w:ascii="Times New Roman" w:hAnsi="Times New Roman" w:eastAsia="宋体" w:cs="Times New Roman"/>
                <w:color w:val="auto"/>
                <w:kern w:val="0"/>
                <w:sz w:val="21"/>
                <w:szCs w:val="21"/>
                <w:highlight w:val="none"/>
                <w:lang w:val="en-US" w:eastAsia="zh-CN" w:bidi="ar-SA"/>
              </w:rPr>
              <w:t>cm/s。</w:t>
            </w:r>
          </w:p>
        </w:tc>
        <w:tc>
          <w:tcPr>
            <w:tcW w:w="410" w:type="pct"/>
            <w:noWrap w:val="0"/>
            <w:vAlign w:val="center"/>
          </w:tcPr>
          <w:p w14:paraId="65EC00AA">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w:t>
            </w:r>
          </w:p>
        </w:tc>
        <w:tc>
          <w:tcPr>
            <w:tcW w:w="407" w:type="pct"/>
            <w:noWrap w:val="0"/>
            <w:vAlign w:val="center"/>
          </w:tcPr>
          <w:p w14:paraId="2592DCB1">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25</w:t>
            </w:r>
          </w:p>
        </w:tc>
      </w:tr>
      <w:tr w14:paraId="1ADDA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tblHeader/>
          <w:jc w:val="center"/>
        </w:trPr>
        <w:tc>
          <w:tcPr>
            <w:tcW w:w="1178" w:type="pct"/>
            <w:gridSpan w:val="2"/>
            <w:noWrap w:val="0"/>
            <w:vAlign w:val="center"/>
          </w:tcPr>
          <w:p w14:paraId="771EEDBB">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风险</w:t>
            </w:r>
          </w:p>
        </w:tc>
        <w:tc>
          <w:tcPr>
            <w:tcW w:w="3004" w:type="pct"/>
            <w:noWrap w:val="0"/>
            <w:vAlign w:val="center"/>
          </w:tcPr>
          <w:p w14:paraId="519B3A9C">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厂区应成立突</w:t>
            </w:r>
            <w:r>
              <w:rPr>
                <w:rFonts w:hint="eastAsia" w:cs="Times New Roman"/>
                <w:color w:val="auto"/>
                <w:kern w:val="0"/>
                <w:sz w:val="21"/>
                <w:szCs w:val="21"/>
                <w:highlight w:val="none"/>
                <w:lang w:val="en-US" w:eastAsia="zh-CN" w:bidi="ar-SA"/>
              </w:rPr>
              <w:t>发</w:t>
            </w:r>
            <w:r>
              <w:rPr>
                <w:rFonts w:hint="default" w:ascii="Times New Roman" w:hAnsi="Times New Roman" w:eastAsia="宋体" w:cs="Times New Roman"/>
                <w:color w:val="auto"/>
                <w:kern w:val="0"/>
                <w:sz w:val="21"/>
                <w:szCs w:val="21"/>
                <w:highlight w:val="none"/>
                <w:lang w:val="en-US" w:eastAsia="zh-CN" w:bidi="ar-SA"/>
              </w:rPr>
              <w:t>环境事件应急处置小组，配备突发事件环境风险应急物资，编制突发事件风险应急预案，并定期演练。</w:t>
            </w:r>
            <w:r>
              <w:rPr>
                <w:rFonts w:hint="eastAsia" w:ascii="Times New Roman" w:hAnsi="Times New Roman" w:eastAsia="宋体"/>
                <w:color w:val="auto"/>
                <w:szCs w:val="21"/>
                <w:highlight w:val="none"/>
              </w:rPr>
              <w:t>罐区地面做好防腐、防渗处理</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szCs w:val="21"/>
                <w:highlight w:val="none"/>
                <w:lang w:val="en-US" w:eastAsia="zh-CN"/>
              </w:rPr>
              <w:t>采用双层罐，</w:t>
            </w:r>
            <w:r>
              <w:rPr>
                <w:rFonts w:hint="eastAsia" w:ascii="Times New Roman" w:hAnsi="Times New Roman" w:eastAsia="宋体"/>
                <w:color w:val="auto"/>
                <w:szCs w:val="21"/>
                <w:highlight w:val="none"/>
              </w:rPr>
              <w:t>四</w:t>
            </w:r>
            <w:r>
              <w:rPr>
                <w:rFonts w:hint="eastAsia" w:ascii="Times New Roman" w:hAnsi="Times New Roman" w:eastAsia="宋体"/>
                <w:color w:val="auto"/>
                <w:szCs w:val="21"/>
                <w:highlight w:val="none"/>
                <w:lang w:val="en-US" w:eastAsia="zh-CN"/>
              </w:rPr>
              <w:t>周</w:t>
            </w:r>
            <w:r>
              <w:rPr>
                <w:rFonts w:hint="eastAsia" w:ascii="Times New Roman" w:hAnsi="Times New Roman" w:eastAsia="宋体"/>
                <w:color w:val="auto"/>
                <w:szCs w:val="21"/>
                <w:highlight w:val="none"/>
              </w:rPr>
              <w:t>设置截流沟与</w:t>
            </w:r>
            <w:r>
              <w:rPr>
                <w:rFonts w:hint="eastAsia" w:ascii="Times New Roman" w:hAnsi="Times New Roman" w:eastAsia="宋体"/>
                <w:color w:val="auto"/>
                <w:szCs w:val="21"/>
                <w:highlight w:val="none"/>
                <w:lang w:val="en-US" w:eastAsia="zh-CN"/>
              </w:rPr>
              <w:t>水封井</w:t>
            </w:r>
            <w:r>
              <w:rPr>
                <w:rFonts w:hint="eastAsia" w:ascii="Times New Roman" w:hAnsi="Times New Roman" w:eastAsia="宋体"/>
                <w:color w:val="auto"/>
                <w:szCs w:val="21"/>
                <w:highlight w:val="none"/>
              </w:rPr>
              <w:t>相连，四周设置1m高</w:t>
            </w:r>
            <w:r>
              <w:rPr>
                <w:rFonts w:hint="eastAsia" w:ascii="Times New Roman" w:hAnsi="Times New Roman" w:eastAsia="宋体"/>
                <w:color w:val="auto"/>
                <w:szCs w:val="21"/>
                <w:highlight w:val="none"/>
                <w:lang w:val="en-US" w:eastAsia="zh-CN"/>
              </w:rPr>
              <w:t>围堰</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szCs w:val="21"/>
                <w:highlight w:val="none"/>
              </w:rPr>
              <w:t>可燃气体</w:t>
            </w:r>
            <w:r>
              <w:rPr>
                <w:rFonts w:hint="eastAsia"/>
                <w:color w:val="auto"/>
                <w:szCs w:val="21"/>
                <w:highlight w:val="none"/>
                <w:lang w:eastAsia="zh-CN"/>
              </w:rPr>
              <w:t>报警器</w:t>
            </w:r>
            <w:r>
              <w:rPr>
                <w:rFonts w:hint="eastAsia" w:ascii="Times New Roman" w:hAnsi="Times New Roman" w:eastAsia="宋体"/>
                <w:color w:val="auto"/>
                <w:szCs w:val="21"/>
                <w:highlight w:val="none"/>
              </w:rPr>
              <w:t>、火灾报警器、液位检测仪、围油设备、收油设备、防护服、防毒面罩、消防设备及其他应急物资。</w:t>
            </w:r>
          </w:p>
        </w:tc>
        <w:tc>
          <w:tcPr>
            <w:tcW w:w="410" w:type="pct"/>
            <w:noWrap w:val="0"/>
            <w:vAlign w:val="center"/>
          </w:tcPr>
          <w:p w14:paraId="3823FF45">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w:t>
            </w:r>
          </w:p>
        </w:tc>
        <w:tc>
          <w:tcPr>
            <w:tcW w:w="407" w:type="pct"/>
            <w:noWrap w:val="0"/>
            <w:vAlign w:val="center"/>
          </w:tcPr>
          <w:p w14:paraId="3B9B8D62">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300</w:t>
            </w:r>
          </w:p>
        </w:tc>
      </w:tr>
      <w:tr w14:paraId="59610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2" w:hRule="atLeast"/>
          <w:tblHeader/>
          <w:jc w:val="center"/>
        </w:trPr>
        <w:tc>
          <w:tcPr>
            <w:tcW w:w="1178" w:type="pct"/>
            <w:gridSpan w:val="2"/>
            <w:noWrap w:val="0"/>
            <w:vAlign w:val="center"/>
          </w:tcPr>
          <w:p w14:paraId="6B8C6717">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其他</w:t>
            </w:r>
          </w:p>
        </w:tc>
        <w:tc>
          <w:tcPr>
            <w:tcW w:w="3004" w:type="pct"/>
            <w:noWrap w:val="0"/>
            <w:vAlign w:val="center"/>
          </w:tcPr>
          <w:p w14:paraId="2D7F9F0B">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制氮机</w:t>
            </w:r>
            <w:r>
              <w:rPr>
                <w:rFonts w:hint="default" w:ascii="Times New Roman" w:hAnsi="Times New Roman" w:eastAsia="宋体" w:cs="Times New Roman"/>
                <w:color w:val="auto"/>
                <w:kern w:val="0"/>
                <w:sz w:val="21"/>
                <w:szCs w:val="21"/>
                <w:highlight w:val="none"/>
                <w:lang w:val="en-US" w:eastAsia="zh-CN" w:bidi="ar-SA"/>
              </w:rPr>
              <w:t>中过滤器、</w:t>
            </w:r>
            <w:r>
              <w:rPr>
                <w:rFonts w:hint="eastAsia" w:ascii="Times New Roman" w:hAnsi="Times New Roman" w:eastAsia="宋体" w:cs="Times New Roman"/>
                <w:color w:val="auto"/>
                <w:kern w:val="0"/>
                <w:sz w:val="21"/>
                <w:szCs w:val="21"/>
                <w:highlight w:val="none"/>
                <w:lang w:val="en-US" w:eastAsia="zh-CN" w:bidi="ar-SA"/>
              </w:rPr>
              <w:t>制氢装置</w:t>
            </w:r>
            <w:r>
              <w:rPr>
                <w:rFonts w:hint="default" w:ascii="Times New Roman" w:hAnsi="Times New Roman" w:eastAsia="宋体" w:cs="Times New Roman"/>
                <w:color w:val="auto"/>
                <w:kern w:val="0"/>
                <w:sz w:val="21"/>
                <w:szCs w:val="21"/>
                <w:highlight w:val="none"/>
                <w:lang w:val="en-US" w:eastAsia="zh-CN" w:bidi="ar-SA"/>
              </w:rPr>
              <w:t>催化剂的定期更换和维护。</w:t>
            </w:r>
          </w:p>
        </w:tc>
        <w:tc>
          <w:tcPr>
            <w:tcW w:w="410" w:type="pct"/>
            <w:noWrap w:val="0"/>
            <w:vAlign w:val="center"/>
          </w:tcPr>
          <w:p w14:paraId="7532CA0D">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w:t>
            </w:r>
          </w:p>
        </w:tc>
        <w:tc>
          <w:tcPr>
            <w:tcW w:w="407" w:type="pct"/>
            <w:noWrap w:val="0"/>
            <w:vAlign w:val="center"/>
          </w:tcPr>
          <w:p w14:paraId="4A208FB7">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50</w:t>
            </w:r>
          </w:p>
        </w:tc>
      </w:tr>
      <w:tr w14:paraId="7E1B5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blHeader/>
          <w:jc w:val="center"/>
        </w:trPr>
        <w:tc>
          <w:tcPr>
            <w:tcW w:w="4592" w:type="pct"/>
            <w:gridSpan w:val="4"/>
            <w:noWrap w:val="0"/>
            <w:vAlign w:val="center"/>
          </w:tcPr>
          <w:p w14:paraId="15EDABD1">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合计</w:t>
            </w:r>
          </w:p>
        </w:tc>
        <w:tc>
          <w:tcPr>
            <w:tcW w:w="407" w:type="pct"/>
            <w:noWrap w:val="0"/>
            <w:vAlign w:val="center"/>
          </w:tcPr>
          <w:p w14:paraId="06736479">
            <w:pPr>
              <w:keepNext w:val="0"/>
              <w:keepLines w:val="0"/>
              <w:pageBreakBefore w:val="0"/>
              <w:widowControl w:val="0"/>
              <w:kinsoku/>
              <w:wordWrap/>
              <w:overflowPunct/>
              <w:topLinePunct w:val="0"/>
              <w:autoSpaceDE/>
              <w:autoSpaceDN/>
              <w:bidi w:val="0"/>
              <w:adjustRightInd/>
              <w:snapToGrid/>
              <w:spacing w:before="0" w:beforeLines="0" w:after="0" w:afterLines="0" w:line="340" w:lineRule="exact"/>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511</w:t>
            </w:r>
          </w:p>
        </w:tc>
      </w:tr>
    </w:tbl>
    <w:p w14:paraId="7ED9DF60">
      <w:pPr>
        <w:pStyle w:val="218"/>
        <w:spacing w:before="62" w:after="156"/>
        <w:rPr>
          <w:rFonts w:hint="default" w:ascii="Times New Roman" w:hAnsi="Times New Roman" w:eastAsia="宋体" w:cs="Times New Roman"/>
          <w:b/>
          <w:bCs/>
          <w:color w:val="auto"/>
          <w:highlight w:val="none"/>
          <w:lang w:val="zh-CN" w:eastAsia="zh-CN"/>
        </w:rPr>
      </w:pPr>
      <w:bookmarkStart w:id="581" w:name="_Toc11255"/>
      <w:bookmarkStart w:id="582" w:name="_Toc19730"/>
      <w:r>
        <w:rPr>
          <w:rFonts w:hint="eastAsia" w:ascii="Times New Roman" w:hAnsi="Times New Roman" w:eastAsia="宋体" w:cs="Times New Roman"/>
          <w:b/>
          <w:bCs/>
          <w:color w:val="auto"/>
          <w:highlight w:val="none"/>
          <w:lang w:val="en-US" w:eastAsia="zh-CN"/>
        </w:rPr>
        <w:t>7</w:t>
      </w:r>
      <w:r>
        <w:rPr>
          <w:rFonts w:hint="default" w:ascii="Times New Roman" w:hAnsi="Times New Roman" w:eastAsia="宋体" w:cs="Times New Roman"/>
          <w:b/>
          <w:bCs/>
          <w:color w:val="auto"/>
          <w:highlight w:val="none"/>
          <w:lang w:val="zh-CN" w:eastAsia="zh-CN"/>
        </w:rPr>
        <w:t>.</w:t>
      </w:r>
      <w:r>
        <w:rPr>
          <w:rFonts w:hint="eastAsia"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val="zh-CN" w:eastAsia="zh-CN"/>
        </w:rPr>
        <w:t>项目社会效益分析</w:t>
      </w:r>
      <w:bookmarkEnd w:id="581"/>
      <w:bookmarkEnd w:id="582"/>
    </w:p>
    <w:p w14:paraId="5B2A469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该项目的建设和实施过程中将投入一定的资金用于建设和生产，将刺激当地的经济需求，带动当地和周边地区的经济发展，促进电力、运输、建材、商业、服务等相关行业和基础设施的发展建设，加速当地的经济发展，提升地方经济实力。同时，项目建成投产后，增加财政税源，壮大地方经济。</w:t>
      </w:r>
    </w:p>
    <w:p w14:paraId="3C10358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该项目在运营期内需要一定的劳动力参与生产建设活动，将为项目区提供一定数量的就业机会，</w:t>
      </w:r>
      <w:r>
        <w:rPr>
          <w:rFonts w:hint="default" w:ascii="Times New Roman" w:hAnsi="Times New Roman" w:eastAsia="宋体" w:cs="Times New Roman"/>
          <w:color w:val="auto"/>
          <w:sz w:val="24"/>
          <w:highlight w:val="none"/>
          <w:lang w:eastAsia="zh-CN"/>
        </w:rPr>
        <w:t>为</w:t>
      </w:r>
      <w:r>
        <w:rPr>
          <w:rFonts w:hint="default" w:ascii="Times New Roman" w:hAnsi="Times New Roman" w:eastAsia="宋体" w:cs="Times New Roman"/>
          <w:color w:val="auto"/>
          <w:sz w:val="24"/>
          <w:highlight w:val="none"/>
        </w:rPr>
        <w:t>周边社会富余</w:t>
      </w:r>
      <w:r>
        <w:rPr>
          <w:rFonts w:hint="eastAsia" w:ascii="Times New Roman" w:hAnsi="Times New Roman" w:eastAsia="宋体" w:cs="Times New Roman"/>
          <w:color w:val="auto"/>
          <w:sz w:val="24"/>
          <w:highlight w:val="none"/>
          <w:lang w:eastAsia="zh-CN"/>
        </w:rPr>
        <w:t>劳动</w:t>
      </w:r>
      <w:r>
        <w:rPr>
          <w:rFonts w:hint="default" w:ascii="Times New Roman" w:hAnsi="Times New Roman" w:eastAsia="宋体" w:cs="Times New Roman"/>
          <w:color w:val="auto"/>
          <w:sz w:val="24"/>
          <w:highlight w:val="none"/>
        </w:rPr>
        <w:t>力</w:t>
      </w:r>
      <w:r>
        <w:rPr>
          <w:rFonts w:hint="default" w:ascii="Times New Roman" w:hAnsi="Times New Roman" w:eastAsia="宋体" w:cs="Times New Roman"/>
          <w:color w:val="auto"/>
          <w:sz w:val="24"/>
          <w:highlight w:val="none"/>
          <w:lang w:eastAsia="zh-CN"/>
        </w:rPr>
        <w:t>提供劳动就业</w:t>
      </w:r>
      <w:r>
        <w:rPr>
          <w:rFonts w:hint="default" w:ascii="Times New Roman" w:hAnsi="Times New Roman" w:eastAsia="宋体" w:cs="Times New Roman"/>
          <w:color w:val="auto"/>
          <w:sz w:val="24"/>
          <w:highlight w:val="none"/>
        </w:rPr>
        <w:t>，对增加当地群众的收入，</w:t>
      </w:r>
      <w:r>
        <w:rPr>
          <w:rFonts w:hint="default" w:ascii="Times New Roman" w:hAnsi="Times New Roman" w:eastAsia="宋体" w:cs="Times New Roman"/>
          <w:color w:val="auto"/>
          <w:sz w:val="24"/>
          <w:highlight w:val="none"/>
          <w:lang w:eastAsia="zh-CN"/>
        </w:rPr>
        <w:t>社会稳定</w:t>
      </w:r>
      <w:r>
        <w:rPr>
          <w:rFonts w:hint="default" w:ascii="Times New Roman" w:hAnsi="Times New Roman" w:eastAsia="宋体" w:cs="Times New Roman"/>
          <w:color w:val="auto"/>
          <w:sz w:val="24"/>
          <w:highlight w:val="none"/>
        </w:rPr>
        <w:t>有着积极的促进作用。</w:t>
      </w:r>
    </w:p>
    <w:p w14:paraId="3231BFA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zh-CN" w:eastAsia="zh-CN" w:bidi="ar"/>
        </w:rPr>
      </w:pPr>
      <w:bookmarkStart w:id="583" w:name="_Toc1196"/>
      <w:r>
        <w:rPr>
          <w:rFonts w:hint="eastAsia" w:ascii="Times New Roman" w:hAnsi="Times New Roman" w:eastAsia="宋体" w:cs="Times New Roman"/>
          <w:b/>
          <w:color w:val="auto"/>
          <w:kern w:val="0"/>
          <w:sz w:val="24"/>
          <w:szCs w:val="24"/>
          <w:highlight w:val="none"/>
          <w:lang w:val="en-US" w:eastAsia="zh-CN" w:bidi="ar"/>
        </w:rPr>
        <w:t>7</w:t>
      </w:r>
      <w:r>
        <w:rPr>
          <w:rFonts w:hint="default" w:ascii="Times New Roman" w:hAnsi="Times New Roman" w:eastAsia="宋体" w:cs="Times New Roman"/>
          <w:b/>
          <w:color w:val="auto"/>
          <w:kern w:val="0"/>
          <w:sz w:val="24"/>
          <w:szCs w:val="24"/>
          <w:highlight w:val="none"/>
          <w:lang w:val="zh-CN" w:eastAsia="zh-CN" w:bidi="ar"/>
        </w:rPr>
        <w:t>.</w:t>
      </w:r>
      <w:r>
        <w:rPr>
          <w:rFonts w:hint="eastAsia" w:ascii="Times New Roman" w:hAnsi="Times New Roman" w:eastAsia="宋体" w:cs="Times New Roman"/>
          <w:b/>
          <w:color w:val="auto"/>
          <w:kern w:val="0"/>
          <w:sz w:val="24"/>
          <w:szCs w:val="24"/>
          <w:highlight w:val="none"/>
          <w:lang w:val="en-US" w:eastAsia="zh-CN" w:bidi="ar"/>
        </w:rPr>
        <w:t>2</w:t>
      </w:r>
      <w:r>
        <w:rPr>
          <w:rFonts w:hint="default" w:ascii="Times New Roman" w:hAnsi="Times New Roman" w:eastAsia="宋体" w:cs="Times New Roman"/>
          <w:b/>
          <w:color w:val="auto"/>
          <w:kern w:val="0"/>
          <w:sz w:val="24"/>
          <w:szCs w:val="24"/>
          <w:highlight w:val="none"/>
          <w:lang w:val="zh-CN" w:eastAsia="zh-CN" w:bidi="ar"/>
        </w:rPr>
        <w:t>.1目的和方法</w:t>
      </w:r>
      <w:bookmarkEnd w:id="583"/>
    </w:p>
    <w:p w14:paraId="37DC06A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经济损益分析是环评报告中的一个重要组成部分。衡量一个项目的效益除经济效益外，还有环境效益和社会效益。与工程经济分析不同，环境经济分析将项目产生的直接和间接的、可定量和不可定量的各种影响都列于分析范围内，通过分析计算用于控制污染所需投资费用、环境经济指标，估算可能收到的环境与经济实效，全面衡量项目建设投资在环保经济上的合理水平。</w:t>
      </w:r>
    </w:p>
    <w:p w14:paraId="62836E6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以调查和资料分析为主，在详细了解项目的工程概况、环保投资及施工运行等各个环节影响的程度和范围的基础上，进行经济损益分析评价。</w:t>
      </w:r>
    </w:p>
    <w:p w14:paraId="0A9A01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建设项目环境经济损益分析方法采用指标计算方法。</w:t>
      </w:r>
    </w:p>
    <w:p w14:paraId="6A0F7F2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指标计算方法是指项目对环境经济产生的损益，首先分解成各项经济指标，包括环保费用指标、污染损失指标和环境效益指标，再按完整的指标体系进行逐项计算，然后通过环境经济静态分析，得出项目环保投资的年净效益，环保治理费用的经济效益和效益与费用比例等各项参数。</w:t>
      </w:r>
    </w:p>
    <w:p w14:paraId="38D6A8E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年净效益是指环保投资的直接经济效益扣除污染控制费用。</w:t>
      </w:r>
    </w:p>
    <w:p w14:paraId="0771768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环境污染</w:t>
      </w:r>
      <w:r>
        <w:rPr>
          <w:rFonts w:hint="default" w:ascii="Times New Roman" w:hAnsi="Times New Roman" w:eastAsia="宋体" w:cs="Times New Roman"/>
          <w:color w:val="auto"/>
          <w:sz w:val="24"/>
          <w:highlight w:val="none"/>
        </w:rPr>
        <w:t>治理费用的经济效益等于环保效益指标与污染控制费用（年运行费用）之比。当比值大于等于1时，可以认为项目的环保治理方案在经济上是可行的，否则是不可行的。</w:t>
      </w:r>
    </w:p>
    <w:p w14:paraId="78AC387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zh-CN" w:eastAsia="zh-CN" w:bidi="ar"/>
        </w:rPr>
      </w:pPr>
      <w:bookmarkStart w:id="584" w:name="_Toc6045"/>
      <w:r>
        <w:rPr>
          <w:rFonts w:hint="eastAsia" w:ascii="Times New Roman" w:hAnsi="Times New Roman" w:eastAsia="宋体" w:cs="Times New Roman"/>
          <w:b/>
          <w:color w:val="auto"/>
          <w:kern w:val="0"/>
          <w:sz w:val="24"/>
          <w:szCs w:val="24"/>
          <w:highlight w:val="none"/>
          <w:lang w:val="en-US" w:eastAsia="zh-CN" w:bidi="ar"/>
        </w:rPr>
        <w:t>7</w:t>
      </w:r>
      <w:r>
        <w:rPr>
          <w:rFonts w:hint="default" w:ascii="Times New Roman" w:hAnsi="Times New Roman" w:eastAsia="宋体" w:cs="Times New Roman"/>
          <w:b/>
          <w:color w:val="auto"/>
          <w:kern w:val="0"/>
          <w:sz w:val="24"/>
          <w:szCs w:val="24"/>
          <w:highlight w:val="none"/>
          <w:lang w:val="zh-CN" w:eastAsia="zh-CN" w:bidi="ar"/>
        </w:rPr>
        <w:t>.2.2基础数据</w:t>
      </w:r>
      <w:bookmarkEnd w:id="584"/>
    </w:p>
    <w:p w14:paraId="038D05BA">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环保工程建设及投资费用</w:t>
      </w:r>
    </w:p>
    <w:p w14:paraId="518000B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建设项目的环保措施主要包括：废气治理及噪声控制措施等。</w:t>
      </w:r>
    </w:p>
    <w:p w14:paraId="391585DD">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本项目用于环境保护方面的投资约</w:t>
      </w:r>
      <w:r>
        <w:rPr>
          <w:rFonts w:hint="eastAsia" w:ascii="Times New Roman" w:hAnsi="Times New Roman" w:eastAsia="宋体" w:cs="Times New Roman"/>
          <w:color w:val="auto"/>
          <w:sz w:val="24"/>
          <w:highlight w:val="none"/>
          <w:lang w:val="en-US" w:eastAsia="zh-CN"/>
        </w:rPr>
        <w:t>511</w:t>
      </w:r>
      <w:r>
        <w:rPr>
          <w:rFonts w:hint="default" w:ascii="Times New Roman" w:hAnsi="Times New Roman" w:eastAsia="宋体" w:cs="Times New Roman"/>
          <w:color w:val="auto"/>
          <w:sz w:val="24"/>
          <w:highlight w:val="none"/>
        </w:rPr>
        <w:t>万元，占项目总投资额</w:t>
      </w:r>
      <w:r>
        <w:rPr>
          <w:rFonts w:hint="eastAsia" w:ascii="Times New Roman" w:hAnsi="Times New Roman" w:eastAsia="宋体" w:cs="Times New Roman"/>
          <w:color w:val="auto"/>
          <w:sz w:val="24"/>
          <w:highlight w:val="none"/>
          <w:lang w:val="en-US" w:eastAsia="zh-CN"/>
        </w:rPr>
        <w:t>50000</w:t>
      </w:r>
      <w:r>
        <w:rPr>
          <w:rFonts w:hint="default" w:ascii="Times New Roman" w:hAnsi="Times New Roman" w:eastAsia="宋体" w:cs="Times New Roman"/>
          <w:color w:val="auto"/>
          <w:sz w:val="24"/>
          <w:highlight w:val="none"/>
        </w:rPr>
        <w:t>万</w:t>
      </w:r>
      <w:r>
        <w:rPr>
          <w:rFonts w:hint="default" w:ascii="Times New Roman" w:hAnsi="Times New Roman" w:eastAsia="宋体" w:cs="Times New Roman"/>
          <w:color w:val="auto"/>
          <w:sz w:val="24"/>
          <w:highlight w:val="none"/>
          <w:lang w:eastAsia="zh-CN"/>
        </w:rPr>
        <w:t>元</w:t>
      </w:r>
      <w:r>
        <w:rPr>
          <w:rFonts w:hint="default" w:ascii="Times New Roman" w:hAnsi="Times New Roman" w:eastAsia="宋体" w:cs="Times New Roman"/>
          <w:color w:val="auto"/>
          <w:sz w:val="24"/>
          <w:highlight w:val="none"/>
        </w:rPr>
        <w:t>的</w:t>
      </w:r>
      <w:r>
        <w:rPr>
          <w:rFonts w:hint="eastAsia" w:ascii="Times New Roman" w:hAnsi="Times New Roman" w:eastAsia="宋体" w:cs="Times New Roman"/>
          <w:color w:val="auto"/>
          <w:sz w:val="24"/>
          <w:highlight w:val="none"/>
          <w:lang w:val="en-US" w:eastAsia="zh-CN"/>
        </w:rPr>
        <w:t>1.022</w:t>
      </w:r>
      <w:r>
        <w:rPr>
          <w:rFonts w:hint="default" w:ascii="Times New Roman" w:hAnsi="Times New Roman" w:eastAsia="宋体" w:cs="Times New Roman"/>
          <w:color w:val="auto"/>
          <w:sz w:val="24"/>
          <w:highlight w:val="none"/>
        </w:rPr>
        <w:t>%。</w:t>
      </w:r>
    </w:p>
    <w:p w14:paraId="478ECF07">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环保设施年运行费用</w:t>
      </w:r>
    </w:p>
    <w:p w14:paraId="0FAD83C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参照国内其他相似企业的相关资料，环保设施的年运行费用，按环保投资的8%计算，约为</w:t>
      </w:r>
      <w:r>
        <w:rPr>
          <w:rFonts w:hint="eastAsia" w:ascii="Times New Roman" w:hAnsi="Times New Roman" w:eastAsia="宋体" w:cs="Times New Roman"/>
          <w:color w:val="auto"/>
          <w:sz w:val="24"/>
          <w:highlight w:val="none"/>
          <w:lang w:val="en-US" w:eastAsia="zh-CN"/>
        </w:rPr>
        <w:t>40.88</w:t>
      </w:r>
      <w:r>
        <w:rPr>
          <w:rFonts w:hint="default" w:ascii="Times New Roman" w:hAnsi="Times New Roman" w:eastAsia="宋体" w:cs="Times New Roman"/>
          <w:color w:val="auto"/>
          <w:sz w:val="24"/>
          <w:highlight w:val="none"/>
        </w:rPr>
        <w:t>万元。</w:t>
      </w:r>
    </w:p>
    <w:p w14:paraId="6C3C5DD2">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设备辅助费用</w:t>
      </w:r>
    </w:p>
    <w:p w14:paraId="617D45F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环保辅助费用主要包括相关管理部门的办公费、</w:t>
      </w:r>
      <w:r>
        <w:rPr>
          <w:rFonts w:hint="eastAsia" w:ascii="Times New Roman" w:hAnsi="Times New Roman" w:eastAsia="宋体" w:cs="Times New Roman"/>
          <w:color w:val="auto"/>
          <w:sz w:val="24"/>
          <w:highlight w:val="none"/>
          <w:lang w:eastAsia="zh-CN"/>
        </w:rPr>
        <w:t>检测费</w:t>
      </w:r>
      <w:r>
        <w:rPr>
          <w:rFonts w:hint="default" w:ascii="Times New Roman" w:hAnsi="Times New Roman" w:eastAsia="宋体" w:cs="Times New Roman"/>
          <w:color w:val="auto"/>
          <w:sz w:val="24"/>
          <w:highlight w:val="none"/>
        </w:rPr>
        <w:t>、技术咨询、学习交流及环境机构所需的资金和人员工资等，根据本项目的实际情况，一般按环保投资的0.5%～0.8%计，本项目计算中取0.</w:t>
      </w:r>
      <w:r>
        <w:rPr>
          <w:rFonts w:hint="eastAsia"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约</w:t>
      </w:r>
      <w:r>
        <w:rPr>
          <w:rFonts w:hint="default" w:ascii="Times New Roman" w:hAnsi="Times New Roman" w:eastAsia="宋体" w:cs="Times New Roman"/>
          <w:color w:val="auto"/>
          <w:sz w:val="24"/>
          <w:highlight w:val="none"/>
        </w:rPr>
        <w:t>为</w:t>
      </w:r>
      <w:r>
        <w:rPr>
          <w:rFonts w:hint="eastAsia" w:ascii="Times New Roman" w:hAnsi="Times New Roman" w:eastAsia="宋体" w:cs="Times New Roman"/>
          <w:color w:val="auto"/>
          <w:sz w:val="24"/>
          <w:highlight w:val="none"/>
          <w:lang w:val="en-US" w:eastAsia="zh-CN"/>
        </w:rPr>
        <w:t>4.088</w:t>
      </w:r>
      <w:r>
        <w:rPr>
          <w:rFonts w:hint="default" w:ascii="Times New Roman" w:hAnsi="Times New Roman" w:eastAsia="宋体" w:cs="Times New Roman"/>
          <w:color w:val="auto"/>
          <w:sz w:val="24"/>
          <w:highlight w:val="none"/>
        </w:rPr>
        <w:t>万元。</w:t>
      </w:r>
    </w:p>
    <w:p w14:paraId="0C128837">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设备折旧费</w:t>
      </w:r>
    </w:p>
    <w:p w14:paraId="4E4DE30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建设项目有效生产年限按10年计。</w:t>
      </w:r>
    </w:p>
    <w:p w14:paraId="6E70F96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zh-CN" w:eastAsia="zh-CN" w:bidi="ar"/>
        </w:rPr>
      </w:pPr>
      <w:bookmarkStart w:id="585" w:name="_Toc21008"/>
      <w:r>
        <w:rPr>
          <w:rFonts w:hint="eastAsia" w:ascii="Times New Roman" w:hAnsi="Times New Roman" w:eastAsia="宋体" w:cs="Times New Roman"/>
          <w:b/>
          <w:color w:val="auto"/>
          <w:kern w:val="0"/>
          <w:sz w:val="24"/>
          <w:szCs w:val="24"/>
          <w:highlight w:val="none"/>
          <w:lang w:val="en-US" w:eastAsia="zh-CN" w:bidi="ar"/>
        </w:rPr>
        <w:t>7</w:t>
      </w:r>
      <w:r>
        <w:rPr>
          <w:rFonts w:hint="default" w:ascii="Times New Roman" w:hAnsi="Times New Roman" w:eastAsia="宋体" w:cs="Times New Roman"/>
          <w:b/>
          <w:color w:val="auto"/>
          <w:kern w:val="0"/>
          <w:sz w:val="24"/>
          <w:szCs w:val="24"/>
          <w:highlight w:val="none"/>
          <w:lang w:val="zh-CN" w:eastAsia="zh-CN" w:bidi="ar"/>
        </w:rPr>
        <w:t>.2.3环保经济指标确定</w:t>
      </w:r>
      <w:bookmarkEnd w:id="585"/>
    </w:p>
    <w:p w14:paraId="58B5CE3D">
      <w:pPr>
        <w:keepNext w:val="0"/>
        <w:keepLines w:val="0"/>
        <w:pageBreakBefore w:val="0"/>
        <w:widowControl w:val="0"/>
        <w:kinsoku/>
        <w:wordWrap/>
        <w:overflowPunct/>
        <w:topLinePunct w:val="0"/>
        <w:autoSpaceDE/>
        <w:autoSpaceDN/>
        <w:bidi w:val="0"/>
        <w:spacing w:line="360" w:lineRule="auto"/>
        <w:ind w:firstLine="506" w:firstLineChars="200"/>
        <w:textAlignment w:val="auto"/>
        <w:rPr>
          <w:rFonts w:hint="default" w:ascii="Times New Roman" w:hAnsi="Times New Roman" w:eastAsia="宋体" w:cs="Times New Roman"/>
          <w:b/>
          <w:bCs/>
          <w:color w:val="auto"/>
          <w:spacing w:val="6"/>
          <w:sz w:val="24"/>
          <w:highlight w:val="none"/>
        </w:rPr>
      </w:pPr>
      <w:r>
        <w:rPr>
          <w:rFonts w:hint="default" w:ascii="Times New Roman" w:hAnsi="Times New Roman" w:eastAsia="宋体" w:cs="Times New Roman"/>
          <w:b/>
          <w:bCs/>
          <w:color w:val="auto"/>
          <w:spacing w:val="6"/>
          <w:sz w:val="24"/>
          <w:highlight w:val="none"/>
          <w:lang w:eastAsia="zh-CN"/>
        </w:rPr>
        <w:t>（</w:t>
      </w:r>
      <w:r>
        <w:rPr>
          <w:rFonts w:hint="default" w:ascii="Times New Roman" w:hAnsi="Times New Roman" w:eastAsia="宋体" w:cs="Times New Roman"/>
          <w:b/>
          <w:bCs/>
          <w:color w:val="auto"/>
          <w:spacing w:val="6"/>
          <w:sz w:val="24"/>
          <w:highlight w:val="none"/>
          <w:lang w:val="en-US" w:eastAsia="zh-CN"/>
        </w:rPr>
        <w:t>1</w:t>
      </w:r>
      <w:r>
        <w:rPr>
          <w:rFonts w:hint="default" w:ascii="Times New Roman" w:hAnsi="Times New Roman" w:eastAsia="宋体" w:cs="Times New Roman"/>
          <w:b/>
          <w:bCs/>
          <w:color w:val="auto"/>
          <w:spacing w:val="6"/>
          <w:sz w:val="24"/>
          <w:highlight w:val="none"/>
          <w:lang w:eastAsia="zh-CN"/>
        </w:rPr>
        <w:t>）</w:t>
      </w:r>
      <w:r>
        <w:rPr>
          <w:rFonts w:hint="default" w:ascii="Times New Roman" w:hAnsi="Times New Roman" w:eastAsia="宋体" w:cs="Times New Roman"/>
          <w:b/>
          <w:bCs/>
          <w:color w:val="auto"/>
          <w:spacing w:val="6"/>
          <w:sz w:val="24"/>
          <w:highlight w:val="none"/>
        </w:rPr>
        <w:t>环保费用指标</w:t>
      </w:r>
    </w:p>
    <w:p w14:paraId="63D09C79">
      <w:pPr>
        <w:keepNext w:val="0"/>
        <w:keepLines w:val="0"/>
        <w:pageBreakBefore w:val="0"/>
        <w:widowControl w:val="0"/>
        <w:kinsoku/>
        <w:wordWrap/>
        <w:overflowPunct/>
        <w:topLinePunct w:val="0"/>
        <w:autoSpaceDE/>
        <w:autoSpaceDN/>
        <w:bidi w:val="0"/>
        <w:spacing w:line="360" w:lineRule="auto"/>
        <w:ind w:firstLine="504" w:firstLineChars="200"/>
        <w:textAlignment w:val="auto"/>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环保费用指标是指项目污染治理需要的各项投资费用，包括污染治理的投资费用、污染控制运行费用和其他辅助费用。</w:t>
      </w:r>
    </w:p>
    <w:p w14:paraId="38BD093E">
      <w:pPr>
        <w:keepNext w:val="0"/>
        <w:keepLines w:val="0"/>
        <w:pageBreakBefore w:val="0"/>
        <w:widowControl w:val="0"/>
        <w:kinsoku/>
        <w:wordWrap/>
        <w:overflowPunct/>
        <w:topLinePunct w:val="0"/>
        <w:autoSpaceDE/>
        <w:autoSpaceDN/>
        <w:bidi w:val="0"/>
        <w:spacing w:line="360" w:lineRule="auto"/>
        <w:ind w:firstLine="504" w:firstLineChars="200"/>
        <w:textAlignment w:val="auto"/>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环保费用指标按下式计算：</w:t>
      </w:r>
    </w:p>
    <w:p w14:paraId="3FBF5249">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28"/>
          <w:sz w:val="24"/>
          <w:highlight w:val="none"/>
        </w:rPr>
        <w:object>
          <v:shape id="_x0000_i1031" o:spt="75" type="#_x0000_t75" style="height:34.5pt;width:123.75pt;" o:ole="t" filled="f" o:preferrelative="t" stroked="f" coordsize="21600,21600">
            <v:path/>
            <v:fill on="f" focussize="0,0"/>
            <v:stroke on="f"/>
            <v:imagedata r:id="rId93" embosscolor="#FFFFFF" o:title=""/>
            <o:lock v:ext="edit" grouping="f" rotation="f" text="f" aspectratio="t"/>
            <w10:wrap type="none"/>
            <w10:anchorlock/>
          </v:shape>
          <o:OLEObject Type="Embed" ProgID="Equation.3" ShapeID="_x0000_i1031" DrawAspect="Content" ObjectID="_1468075731" r:id="rId92">
            <o:LockedField>false</o:LockedField>
          </o:OLEObject>
        </w:object>
      </w:r>
    </w:p>
    <w:p w14:paraId="7E5F2869">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i/>
          <w:iCs/>
          <w:color w:val="auto"/>
          <w:sz w:val="24"/>
          <w:highlight w:val="none"/>
        </w:rPr>
        <w:t>C</w:t>
      </w:r>
      <w:r>
        <w:rPr>
          <w:rFonts w:hint="default" w:ascii="Times New Roman" w:hAnsi="Times New Roman" w:eastAsia="宋体" w:cs="Times New Roman"/>
          <w:color w:val="auto"/>
          <w:sz w:val="24"/>
          <w:highlight w:val="none"/>
        </w:rPr>
        <w:t>—环保费用指标；</w:t>
      </w:r>
    </w:p>
    <w:p w14:paraId="56FC73C2">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C</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—环保投资费用，本工程为</w:t>
      </w:r>
      <w:r>
        <w:rPr>
          <w:rFonts w:hint="eastAsia" w:ascii="Times New Roman" w:hAnsi="Times New Roman" w:eastAsia="宋体" w:cs="Times New Roman"/>
          <w:color w:val="auto"/>
          <w:sz w:val="24"/>
          <w:highlight w:val="none"/>
          <w:lang w:val="en-US" w:eastAsia="zh-CN"/>
        </w:rPr>
        <w:t>511</w:t>
      </w:r>
      <w:r>
        <w:rPr>
          <w:rFonts w:hint="default" w:ascii="Times New Roman" w:hAnsi="Times New Roman" w:eastAsia="宋体" w:cs="Times New Roman"/>
          <w:color w:val="auto"/>
          <w:sz w:val="24"/>
          <w:highlight w:val="none"/>
        </w:rPr>
        <w:t>万元；</w:t>
      </w:r>
    </w:p>
    <w:p w14:paraId="4C96CD3A">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C</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—环保年运行费用，本工程为</w:t>
      </w:r>
      <w:r>
        <w:rPr>
          <w:rFonts w:hint="eastAsia" w:ascii="Times New Roman" w:hAnsi="Times New Roman" w:eastAsia="宋体" w:cs="Times New Roman"/>
          <w:color w:val="auto"/>
          <w:sz w:val="24"/>
          <w:highlight w:val="none"/>
          <w:lang w:val="en-US" w:eastAsia="zh-CN"/>
        </w:rPr>
        <w:t>40.88</w:t>
      </w:r>
      <w:r>
        <w:rPr>
          <w:rFonts w:hint="default" w:ascii="Times New Roman" w:hAnsi="Times New Roman" w:eastAsia="宋体" w:cs="Times New Roman"/>
          <w:color w:val="auto"/>
          <w:sz w:val="24"/>
          <w:highlight w:val="none"/>
        </w:rPr>
        <w:t>万元；</w:t>
      </w:r>
    </w:p>
    <w:p w14:paraId="7025A0B4">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C</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—环保辅助费用，本工程为</w:t>
      </w:r>
      <w:r>
        <w:rPr>
          <w:rFonts w:hint="eastAsia" w:ascii="Times New Roman" w:hAnsi="Times New Roman" w:eastAsia="宋体" w:cs="Times New Roman"/>
          <w:color w:val="auto"/>
          <w:sz w:val="24"/>
          <w:highlight w:val="none"/>
          <w:lang w:val="en-US" w:eastAsia="zh-CN"/>
        </w:rPr>
        <w:t>4.088</w:t>
      </w:r>
      <w:r>
        <w:rPr>
          <w:rFonts w:hint="default" w:ascii="Times New Roman" w:hAnsi="Times New Roman" w:eastAsia="宋体" w:cs="Times New Roman"/>
          <w:color w:val="auto"/>
          <w:sz w:val="24"/>
          <w:highlight w:val="none"/>
        </w:rPr>
        <w:t>万元；</w:t>
      </w:r>
    </w:p>
    <w:p w14:paraId="42134D1E">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η</w:t>
      </w:r>
      <w:r>
        <w:rPr>
          <w:rFonts w:hint="default" w:ascii="Times New Roman" w:hAnsi="Times New Roman" w:eastAsia="宋体" w:cs="Times New Roman"/>
          <w:color w:val="auto"/>
          <w:sz w:val="24"/>
          <w:highlight w:val="none"/>
        </w:rPr>
        <w:t>—为设备折旧年限，以有效生产年限</w:t>
      </w:r>
      <w:r>
        <w:rPr>
          <w:rFonts w:hint="default"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rPr>
        <w:t>年计；</w:t>
      </w:r>
    </w:p>
    <w:p w14:paraId="52D2F6F9">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β</w:t>
      </w:r>
      <w:r>
        <w:rPr>
          <w:rFonts w:hint="default" w:ascii="Times New Roman" w:hAnsi="Times New Roman" w:eastAsia="宋体" w:cs="Times New Roman"/>
          <w:color w:val="auto"/>
          <w:sz w:val="24"/>
          <w:highlight w:val="none"/>
        </w:rPr>
        <w:t>—为固定资产形成率，以环保投资费用的90%计。</w:t>
      </w:r>
    </w:p>
    <w:p w14:paraId="6845CE68">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经计算，本项目环保费用指标为</w:t>
      </w:r>
      <w:r>
        <w:rPr>
          <w:rFonts w:hint="eastAsia" w:ascii="Times New Roman" w:hAnsi="Times New Roman" w:eastAsia="宋体" w:cs="Times New Roman"/>
          <w:color w:val="auto"/>
          <w:sz w:val="24"/>
          <w:highlight w:val="none"/>
          <w:lang w:val="en-US" w:eastAsia="zh-CN"/>
        </w:rPr>
        <w:t>90.958</w:t>
      </w:r>
      <w:r>
        <w:rPr>
          <w:rFonts w:hint="default" w:ascii="Times New Roman" w:hAnsi="Times New Roman" w:eastAsia="宋体" w:cs="Times New Roman"/>
          <w:color w:val="auto"/>
          <w:sz w:val="24"/>
          <w:highlight w:val="none"/>
        </w:rPr>
        <w:t>万元。</w:t>
      </w:r>
    </w:p>
    <w:p w14:paraId="189A136F">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污染损失指标</w:t>
      </w:r>
    </w:p>
    <w:p w14:paraId="3A002779">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污染损失指标是指建设项目产生的污染与损毁对环境造成的损失最终以经济形式的表述。主要包括能源和资源流失的损失，各类污染物对生产、生活造成的损失，以及各种环境补偿性损失。</w:t>
      </w:r>
    </w:p>
    <w:p w14:paraId="6AB30E23">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污染损失指标由下式计算：</w:t>
      </w:r>
    </w:p>
    <w:p w14:paraId="08D4BA86">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position w:val="-28"/>
          <w:sz w:val="24"/>
          <w:highlight w:val="none"/>
        </w:rPr>
        <w:object>
          <v:shape id="_x0000_i1032" o:spt="75" type="#_x0000_t75" style="height:33.75pt;width:201.75pt;" o:ole="t" filled="f" o:preferrelative="t" stroked="f" coordsize="21600,21600">
            <v:path/>
            <v:fill on="f" focussize="0,0"/>
            <v:stroke on="f"/>
            <v:imagedata r:id="rId95" embosscolor="#FFFFFF" o:title=""/>
            <o:lock v:ext="edit" grouping="f" rotation="f" text="f" aspectratio="t"/>
            <w10:wrap type="none"/>
            <w10:anchorlock/>
          </v:shape>
          <o:OLEObject Type="Embed" ProgID="Equation.3" ShapeID="_x0000_i1032" DrawAspect="Content" ObjectID="_1468075732" r:id="rId94">
            <o:LockedField>false</o:LockedField>
          </o:OLEObject>
        </w:object>
      </w:r>
    </w:p>
    <w:p w14:paraId="3F615E99">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式中：L—污染损失指标；</w:t>
      </w:r>
    </w:p>
    <w:p w14:paraId="441E8DB3">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—资源和能源流失造成的损失；</w:t>
      </w:r>
    </w:p>
    <w:p w14:paraId="2E6E5C34">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—各类污染物对生产造成的损失；</w:t>
      </w:r>
    </w:p>
    <w:p w14:paraId="0E8775A9">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—各类污染物对生活造成的损失；</w:t>
      </w:r>
    </w:p>
    <w:p w14:paraId="00924918">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4</w:t>
      </w:r>
      <w:r>
        <w:rPr>
          <w:rFonts w:hint="default" w:ascii="Times New Roman" w:hAnsi="Times New Roman" w:eastAsia="宋体" w:cs="Times New Roman"/>
          <w:color w:val="auto"/>
          <w:sz w:val="24"/>
          <w:highlight w:val="none"/>
        </w:rPr>
        <w:t>—污染物对人体健康和劳动力的损失；</w:t>
      </w:r>
    </w:p>
    <w:p w14:paraId="5DB52BA7">
      <w:pPr>
        <w:keepNext w:val="0"/>
        <w:keepLines w:val="0"/>
        <w:pageBreakBefore w:val="0"/>
        <w:widowControl w:val="0"/>
        <w:kinsoku/>
        <w:wordWrap/>
        <w:overflowPunct/>
        <w:topLinePunct w:val="0"/>
        <w:autoSpaceDE/>
        <w:autoSpaceDN/>
        <w:bidi w:val="0"/>
        <w:spacing w:line="360" w:lineRule="auto"/>
        <w:ind w:firstLine="1200" w:firstLineChars="5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5</w:t>
      </w:r>
      <w:r>
        <w:rPr>
          <w:rFonts w:hint="default" w:ascii="Times New Roman" w:hAnsi="Times New Roman" w:eastAsia="宋体" w:cs="Times New Roman"/>
          <w:color w:val="auto"/>
          <w:sz w:val="24"/>
          <w:highlight w:val="none"/>
        </w:rPr>
        <w:t>—各种补偿性损失。</w:t>
      </w:r>
    </w:p>
    <w:p w14:paraId="651757D4">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sz w:val="24"/>
          <w:highlight w:val="none"/>
        </w:rPr>
        <w:t>根据工程分析及环境影响预测，项目建成后废气经处理后均能够达标排放，对环境影响较小，噪声的排放亦达到标准，可以认为建设项目产生的污染物对环境造成的损失</w:t>
      </w:r>
      <w:r>
        <w:rPr>
          <w:rFonts w:hint="eastAsia" w:ascii="Times New Roman" w:hAnsi="Times New Roman" w:eastAsia="宋体" w:cs="Times New Roman"/>
          <w:color w:val="auto"/>
          <w:sz w:val="24"/>
          <w:highlight w:val="none"/>
          <w:lang w:eastAsia="zh-CN"/>
        </w:rPr>
        <w:t>很小</w:t>
      </w:r>
      <w:r>
        <w:rPr>
          <w:rFonts w:hint="default" w:ascii="Times New Roman" w:hAnsi="Times New Roman" w:eastAsia="宋体" w:cs="Times New Roman"/>
          <w:color w:val="auto"/>
          <w:sz w:val="24"/>
          <w:highlight w:val="none"/>
        </w:rPr>
        <w:t>。</w:t>
      </w:r>
    </w:p>
    <w:p w14:paraId="5F29F706">
      <w:pPr>
        <w:pStyle w:val="218"/>
        <w:spacing w:before="62" w:after="156"/>
        <w:rPr>
          <w:rFonts w:hint="default" w:ascii="Times New Roman" w:hAnsi="Times New Roman" w:eastAsia="宋体" w:cs="Times New Roman"/>
          <w:b/>
          <w:bCs/>
          <w:color w:val="auto"/>
          <w:highlight w:val="none"/>
          <w:lang w:val="zh-CN" w:eastAsia="zh-CN"/>
        </w:rPr>
      </w:pPr>
      <w:bookmarkStart w:id="586" w:name="_Toc13971"/>
      <w:bookmarkStart w:id="587" w:name="_Toc2069"/>
      <w:r>
        <w:rPr>
          <w:rFonts w:hint="eastAsia" w:ascii="Times New Roman" w:hAnsi="Times New Roman" w:eastAsia="宋体" w:cs="Times New Roman"/>
          <w:b/>
          <w:bCs/>
          <w:color w:val="auto"/>
          <w:highlight w:val="none"/>
          <w:lang w:val="en-US" w:eastAsia="zh-CN"/>
        </w:rPr>
        <w:t>7</w:t>
      </w:r>
      <w:r>
        <w:rPr>
          <w:rFonts w:hint="default" w:ascii="Times New Roman" w:hAnsi="Times New Roman" w:eastAsia="宋体" w:cs="Times New Roman"/>
          <w:b/>
          <w:bCs/>
          <w:color w:val="auto"/>
          <w:highlight w:val="none"/>
          <w:lang w:val="zh-CN" w:eastAsia="zh-CN"/>
        </w:rPr>
        <w:t>.3环境损益分析</w:t>
      </w:r>
      <w:bookmarkEnd w:id="586"/>
      <w:bookmarkEnd w:id="587"/>
    </w:p>
    <w:p w14:paraId="272FC2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环境效益指标包括直接经济效益和间接经济效益。直接经济效益主要是清洁生产工艺带来的环境效益；间接经济效益指环保项目实施后的社会经济效益。</w:t>
      </w:r>
    </w:p>
    <w:p w14:paraId="5F570308">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（1）环境效益指标计算式</w:t>
      </w:r>
    </w:p>
    <w:p w14:paraId="5FA6068A">
      <w:pPr>
        <w:spacing w:line="360" w:lineRule="auto"/>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33" o:spt="75" type="#_x0000_t75" style="height:33.75pt;width:129.75pt;" o:ole="t" filled="f" o:preferrelative="t" stroked="f" coordsize="21600,21600">
            <v:path/>
            <v:fill on="f" focussize="0,0"/>
            <v:stroke on="f"/>
            <v:imagedata r:id="rId97" embosscolor="#FFFFFF" o:title=""/>
            <o:lock v:ext="edit" grouping="f" rotation="f" text="f" aspectratio="t"/>
            <w10:wrap type="none"/>
            <w10:anchorlock/>
          </v:shape>
          <o:OLEObject Type="Embed" ProgID="Equation.3" ShapeID="_x0000_i1033" DrawAspect="Content" ObjectID="_1468075733" r:id="rId96">
            <o:LockedField>false</o:LockedField>
          </o:OLEObject>
        </w:object>
      </w:r>
    </w:p>
    <w:p w14:paraId="1E8BC20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i/>
          <w:iCs/>
          <w:color w:val="auto"/>
          <w:sz w:val="24"/>
          <w:highlight w:val="none"/>
        </w:rPr>
        <w:t>R</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—环境效益指标；</w:t>
      </w:r>
    </w:p>
    <w:p w14:paraId="7890AC98">
      <w:pPr>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N</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—能源利用的经济效益，包括清洁生产工艺带来的各种动力、原材料利用率提高后产生的环境经济效益；</w:t>
      </w:r>
    </w:p>
    <w:p w14:paraId="67A7B4AC">
      <w:pPr>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M</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—减少排污的经济效益；</w:t>
      </w:r>
    </w:p>
    <w:p w14:paraId="46154B1E">
      <w:pPr>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S</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—固体废物综合利用的经济效益；</w:t>
      </w:r>
    </w:p>
    <w:p w14:paraId="00A43268">
      <w:pPr>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i/>
          <w:iCs/>
          <w:color w:val="auto"/>
          <w:sz w:val="24"/>
          <w:highlight w:val="none"/>
        </w:rPr>
        <w:t>i</w:t>
      </w:r>
      <w:r>
        <w:rPr>
          <w:rFonts w:hint="default" w:ascii="Times New Roman" w:hAnsi="Times New Roman" w:eastAsia="宋体" w:cs="Times New Roman"/>
          <w:color w:val="auto"/>
          <w:sz w:val="24"/>
          <w:highlight w:val="none"/>
        </w:rPr>
        <w:t>—分别为各项效益的种类</w:t>
      </w:r>
    </w:p>
    <w:p w14:paraId="763CD6C0">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建设项目间接环境经济效益指标为</w:t>
      </w:r>
      <w:r>
        <w:rPr>
          <w:rFonts w:hint="eastAsia" w:ascii="Times New Roman" w:hAnsi="Times New Roman" w:eastAsia="宋体" w:cs="Times New Roman"/>
          <w:color w:val="auto"/>
          <w:sz w:val="24"/>
          <w:highlight w:val="none"/>
          <w:lang w:val="en-US" w:eastAsia="zh-CN"/>
        </w:rPr>
        <w:t>200</w:t>
      </w:r>
      <w:r>
        <w:rPr>
          <w:rFonts w:hint="default" w:ascii="Times New Roman" w:hAnsi="Times New Roman" w:eastAsia="宋体" w:cs="Times New Roman"/>
          <w:color w:val="auto"/>
          <w:sz w:val="24"/>
          <w:highlight w:val="none"/>
        </w:rPr>
        <w:t>万元/a。</w:t>
      </w:r>
    </w:p>
    <w:p w14:paraId="04B5CDF9">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（2）环境效益静态分析</w:t>
      </w:r>
    </w:p>
    <w:p w14:paraId="2E179C9E">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①环境年净效益</w:t>
      </w:r>
    </w:p>
    <w:p w14:paraId="20CDD06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环境年净效益指环境直接经济效益（本项目即为效益指标）扣除环保费用指标后所得到的经济效益。即年净效益=环境效益指标－环保费用指标</w:t>
      </w:r>
    </w:p>
    <w:p w14:paraId="018CF443">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根据前面计算建设项目环境效益指标为</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00万元，环保费用指标为</w:t>
      </w:r>
      <w:r>
        <w:rPr>
          <w:rFonts w:hint="eastAsia" w:ascii="Times New Roman" w:hAnsi="Times New Roman" w:eastAsia="宋体" w:cs="Times New Roman"/>
          <w:color w:val="auto"/>
          <w:sz w:val="24"/>
          <w:highlight w:val="none"/>
          <w:lang w:val="en-US" w:eastAsia="zh-CN"/>
        </w:rPr>
        <w:t>90.958</w:t>
      </w:r>
      <w:r>
        <w:rPr>
          <w:rFonts w:hint="default" w:ascii="Times New Roman" w:hAnsi="Times New Roman" w:eastAsia="宋体" w:cs="Times New Roman"/>
          <w:color w:val="auto"/>
          <w:sz w:val="24"/>
          <w:highlight w:val="none"/>
        </w:rPr>
        <w:t>万元，经计算得到年净效益为</w:t>
      </w:r>
      <w:r>
        <w:rPr>
          <w:rFonts w:hint="eastAsia" w:ascii="Times New Roman" w:hAnsi="Times New Roman" w:eastAsia="宋体" w:cs="Times New Roman"/>
          <w:color w:val="auto"/>
          <w:sz w:val="24"/>
          <w:highlight w:val="none"/>
          <w:lang w:val="en-US" w:eastAsia="zh-CN"/>
        </w:rPr>
        <w:t>109.042</w:t>
      </w:r>
      <w:r>
        <w:rPr>
          <w:rFonts w:hint="default" w:ascii="Times New Roman" w:hAnsi="Times New Roman" w:eastAsia="宋体" w:cs="Times New Roman"/>
          <w:color w:val="auto"/>
          <w:sz w:val="24"/>
          <w:highlight w:val="none"/>
        </w:rPr>
        <w:t>万元。</w:t>
      </w:r>
    </w:p>
    <w:p w14:paraId="414C347D">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②环保治理费用的经济效益</w:t>
      </w:r>
    </w:p>
    <w:p w14:paraId="13C31808">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环保治理费用的经济效益=环境效益指标/年运行费用</w:t>
      </w:r>
    </w:p>
    <w:p w14:paraId="4854612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环境效益与年运行费用比，一般认为大于或等于1时，本项目的环境控制方案在技术上是可行的，否则认为是不合理的。根据前面计算得到环境效益指标与年运行费用比为</w:t>
      </w:r>
      <w:r>
        <w:rPr>
          <w:rFonts w:hint="eastAsia" w:ascii="Times New Roman" w:hAnsi="Times New Roman" w:eastAsia="宋体" w:cs="Times New Roman"/>
          <w:color w:val="auto"/>
          <w:sz w:val="24"/>
          <w:highlight w:val="none"/>
          <w:lang w:val="en-US" w:eastAsia="zh-CN"/>
        </w:rPr>
        <w:t>3.7</w:t>
      </w:r>
      <w:r>
        <w:rPr>
          <w:rFonts w:hint="default" w:ascii="Times New Roman" w:hAnsi="Times New Roman" w:eastAsia="宋体" w:cs="Times New Roman"/>
          <w:color w:val="auto"/>
          <w:sz w:val="24"/>
          <w:highlight w:val="none"/>
        </w:rPr>
        <w:t>。</w:t>
      </w:r>
    </w:p>
    <w:p w14:paraId="1BAD6D4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由此可见，建设项目在环境经济上也是合理的，并能获得一定的环境经济效益。</w:t>
      </w:r>
    </w:p>
    <w:p w14:paraId="2FEB9E62">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③环境效益与费用比</w:t>
      </w:r>
    </w:p>
    <w:p w14:paraId="3D9BD2F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环境效益与费用比=环境效益指标/环保费用指标</w:t>
      </w:r>
    </w:p>
    <w:p w14:paraId="4C1C58A7">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根据计算，得到环境效益与环保费用比指标为</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00</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90.958</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2.2</w:t>
      </w:r>
      <w:r>
        <w:rPr>
          <w:rFonts w:hint="default" w:ascii="Times New Roman" w:hAnsi="Times New Roman" w:eastAsia="宋体" w:cs="Times New Roman"/>
          <w:color w:val="auto"/>
          <w:sz w:val="24"/>
          <w:highlight w:val="none"/>
        </w:rPr>
        <w:t>。</w:t>
      </w:r>
    </w:p>
    <w:p w14:paraId="24D3463F">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综上所述，建设项目的环境效益较好。</w:t>
      </w:r>
    </w:p>
    <w:p w14:paraId="2D851721">
      <w:pPr>
        <w:pStyle w:val="218"/>
        <w:spacing w:before="62" w:after="156"/>
        <w:rPr>
          <w:rFonts w:hint="default" w:ascii="Times New Roman" w:hAnsi="Times New Roman" w:eastAsia="宋体" w:cs="Times New Roman"/>
          <w:b/>
          <w:bCs/>
          <w:color w:val="auto"/>
          <w:highlight w:val="none"/>
          <w:lang w:val="zh-CN" w:eastAsia="zh-CN"/>
        </w:rPr>
      </w:pPr>
      <w:bookmarkStart w:id="588" w:name="_Toc14146"/>
      <w:bookmarkStart w:id="589" w:name="_Toc14426"/>
      <w:r>
        <w:rPr>
          <w:rFonts w:hint="eastAsia" w:ascii="Times New Roman" w:hAnsi="Times New Roman" w:eastAsia="宋体" w:cs="Times New Roman"/>
          <w:b/>
          <w:bCs/>
          <w:color w:val="auto"/>
          <w:highlight w:val="none"/>
          <w:lang w:val="en-US" w:eastAsia="zh-CN"/>
        </w:rPr>
        <w:t>7</w:t>
      </w:r>
      <w:r>
        <w:rPr>
          <w:rFonts w:hint="default" w:ascii="Times New Roman" w:hAnsi="Times New Roman" w:eastAsia="宋体" w:cs="Times New Roman"/>
          <w:b/>
          <w:bCs/>
          <w:color w:val="auto"/>
          <w:highlight w:val="none"/>
          <w:lang w:val="zh-CN" w:eastAsia="zh-CN"/>
        </w:rPr>
        <w:t>.4小结</w:t>
      </w:r>
      <w:bookmarkEnd w:id="588"/>
      <w:bookmarkEnd w:id="589"/>
    </w:p>
    <w:p w14:paraId="22E37179">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结合本项目的社会经济效益、环保投入和环境效益进行综合分析得出，本项目在创造良好经济效益和社会效益的同时，经采取污染防治措施后，对环境的影响较小，能够将项目带来的环境损失降到可接受程度。因此，本项目可以实现经济效益与环保效益的相统一。</w:t>
      </w:r>
    </w:p>
    <w:p w14:paraId="14D1F0A0">
      <w:pPr>
        <w:pStyle w:val="352"/>
        <w:ind w:firstLine="480"/>
        <w:rPr>
          <w:rFonts w:hint="eastAsia" w:eastAsia="宋体"/>
          <w:color w:val="auto"/>
          <w:highlight w:val="none"/>
          <w:lang w:eastAsia="zh-CN"/>
        </w:rPr>
      </w:pPr>
      <w:r>
        <w:rPr>
          <w:rFonts w:hint="default" w:ascii="Times New Roman" w:hAnsi="Times New Roman" w:eastAsia="宋体" w:cs="Times New Roman"/>
          <w:color w:val="auto"/>
          <w:sz w:val="24"/>
          <w:highlight w:val="none"/>
        </w:rPr>
        <w:t>环境经济损益分析是工程开发可行性研究的重要组成部分，是从环境经济的角度对项目的可行性进行评价，以货币的形式定量表述建设项目对环境的影响程度和相应的环境工程效益，从而为决策部门提供科学依据，使建设项目在营运后能更好地实现经济效益、环境效益和社会效益的统一</w:t>
      </w:r>
      <w:r>
        <w:rPr>
          <w:rFonts w:hint="eastAsia" w:ascii="Times New Roman" w:hAnsi="Times New Roman" w:eastAsia="宋体" w:cs="Times New Roman"/>
          <w:color w:val="auto"/>
          <w:sz w:val="24"/>
          <w:highlight w:val="none"/>
          <w:lang w:eastAsia="zh-CN"/>
        </w:rPr>
        <w:t>。</w:t>
      </w:r>
    </w:p>
    <w:p w14:paraId="698DA747">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pPr>
    </w:p>
    <w:p w14:paraId="4ECE8EB8">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sectPr>
          <w:pgSz w:w="11906" w:h="16838"/>
          <w:pgMar w:top="1440" w:right="1803" w:bottom="1440" w:left="1803" w:header="964" w:footer="964" w:gutter="0"/>
          <w:pgBorders>
            <w:top w:val="none" w:sz="0" w:space="0"/>
            <w:left w:val="none" w:sz="0" w:space="0"/>
            <w:bottom w:val="none" w:sz="0" w:space="0"/>
            <w:right w:val="none" w:sz="0" w:space="0"/>
          </w:pgBorders>
          <w:cols w:space="720" w:num="1"/>
          <w:rtlGutter w:val="0"/>
          <w:docGrid w:type="lines" w:linePitch="360" w:charSpace="0"/>
        </w:sectPr>
      </w:pPr>
    </w:p>
    <w:p w14:paraId="5E3B1CFE">
      <w:pPr>
        <w:pStyle w:val="2"/>
        <w:bidi w:val="0"/>
        <w:jc w:val="center"/>
        <w:rPr>
          <w:color w:val="auto"/>
          <w:highlight w:val="none"/>
        </w:rPr>
      </w:pPr>
      <w:bookmarkStart w:id="590" w:name="_Toc152922716"/>
      <w:bookmarkStart w:id="591" w:name="_Toc152922122"/>
      <w:bookmarkStart w:id="592" w:name="_Toc21138"/>
      <w:r>
        <w:rPr>
          <w:color w:val="auto"/>
          <w:highlight w:val="none"/>
        </w:rPr>
        <w:t>8环境管理与环境监测</w:t>
      </w:r>
      <w:bookmarkEnd w:id="590"/>
      <w:bookmarkEnd w:id="591"/>
      <w:bookmarkEnd w:id="592"/>
    </w:p>
    <w:p w14:paraId="2BF3EE96">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both"/>
        <w:textAlignment w:val="auto"/>
        <w:outlineLvl w:val="1"/>
        <w:rPr>
          <w:rFonts w:hint="default" w:ascii="Times New Roman" w:hAnsi="Times New Roman" w:eastAsia="宋体" w:cs="Times New Roman"/>
          <w:b/>
          <w:bCs/>
          <w:color w:val="auto"/>
          <w:kern w:val="2"/>
          <w:sz w:val="28"/>
          <w:szCs w:val="28"/>
          <w:highlight w:val="none"/>
          <w:lang w:val="zh-CN" w:eastAsia="zh-CN" w:bidi="ar-SA"/>
        </w:rPr>
      </w:pPr>
      <w:bookmarkStart w:id="593" w:name="_Toc27064"/>
      <w:bookmarkStart w:id="594" w:name="_Toc10119"/>
      <w:bookmarkStart w:id="595" w:name="_Toc152922717"/>
      <w:bookmarkStart w:id="596" w:name="_Toc152922123"/>
      <w:r>
        <w:rPr>
          <w:rFonts w:hint="eastAsia"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zh-CN" w:eastAsia="zh-CN" w:bidi="ar-SA"/>
        </w:rPr>
        <w:t>.1环境管理</w:t>
      </w:r>
      <w:bookmarkEnd w:id="593"/>
      <w:bookmarkEnd w:id="594"/>
    </w:p>
    <w:p w14:paraId="61D8E00B">
      <w:pPr>
        <w:widowControl w:val="0"/>
        <w:bidi w:val="0"/>
        <w:spacing w:before="0" w:beforeAutospacing="0" w:after="0" w:afterAutospacing="0" w:line="480" w:lineRule="auto"/>
        <w:ind w:firstLine="562" w:firstLineChars="200"/>
        <w:jc w:val="left"/>
        <w:outlineLvl w:val="2"/>
        <w:rPr>
          <w:rFonts w:hint="default" w:ascii="Times New Roman" w:hAnsi="Times New Roman" w:eastAsia="宋体" w:cs="Times New Roman"/>
          <w:b/>
          <w:bCs w:val="0"/>
          <w:color w:val="auto"/>
          <w:kern w:val="0"/>
          <w:sz w:val="28"/>
          <w:szCs w:val="28"/>
          <w:highlight w:val="none"/>
          <w:lang w:val="zh-CN" w:eastAsia="zh-CN" w:bidi="ar"/>
        </w:rPr>
      </w:pPr>
      <w:bookmarkStart w:id="597" w:name="_Toc30736"/>
      <w:r>
        <w:rPr>
          <w:rFonts w:hint="eastAsia" w:ascii="Times New Roman" w:hAnsi="Times New Roman" w:eastAsia="宋体" w:cs="Times New Roman"/>
          <w:b/>
          <w:bCs w:val="0"/>
          <w:color w:val="auto"/>
          <w:kern w:val="0"/>
          <w:sz w:val="28"/>
          <w:szCs w:val="28"/>
          <w:highlight w:val="none"/>
          <w:lang w:val="en-US" w:eastAsia="zh-CN" w:bidi="ar"/>
        </w:rPr>
        <w:t>8</w:t>
      </w:r>
      <w:r>
        <w:rPr>
          <w:rFonts w:hint="default" w:ascii="Times New Roman" w:hAnsi="Times New Roman" w:eastAsia="宋体" w:cs="Times New Roman"/>
          <w:b/>
          <w:bCs w:val="0"/>
          <w:color w:val="auto"/>
          <w:kern w:val="0"/>
          <w:sz w:val="28"/>
          <w:szCs w:val="28"/>
          <w:highlight w:val="none"/>
          <w:lang w:val="zh-CN" w:eastAsia="zh-CN" w:bidi="ar"/>
        </w:rPr>
        <w:t>.1.1目的</w:t>
      </w:r>
      <w:bookmarkEnd w:id="597"/>
    </w:p>
    <w:p w14:paraId="0E44ACF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该项目生产过程中，将对周围环境产生一定影响，因此，必须采取一定措施将不利影响减轻或消除，建设单位为此需加强环境保护机构的建设和管理，根据拟建项目的污染特点和生产布局，合理制订环境监测计划，及时掌握本项目的施工或运行所造成的环境影响程度，了解环境保护措施所获取的效益，以便进行必要的调整与补充。根据监测结果，可以验证环境影响评价的科学性以及为环境影响回顾性评价提供系统性资料，准确地把握项目建设产生的环境效益。同时，通过监测可以掌握某些突发性事故对环境的影响程度及范围，以便采取应急措施，减轻其危害。</w:t>
      </w:r>
    </w:p>
    <w:p w14:paraId="79DA5108">
      <w:pPr>
        <w:widowControl w:val="0"/>
        <w:bidi w:val="0"/>
        <w:spacing w:before="0" w:beforeAutospacing="0" w:after="0" w:afterAutospacing="0" w:line="480" w:lineRule="auto"/>
        <w:ind w:firstLine="562" w:firstLineChars="200"/>
        <w:jc w:val="left"/>
        <w:outlineLvl w:val="2"/>
        <w:rPr>
          <w:rFonts w:hint="default" w:ascii="Times New Roman" w:hAnsi="Times New Roman" w:eastAsia="宋体" w:cs="Times New Roman"/>
          <w:b/>
          <w:bCs w:val="0"/>
          <w:color w:val="auto"/>
          <w:kern w:val="0"/>
          <w:sz w:val="28"/>
          <w:szCs w:val="28"/>
          <w:highlight w:val="none"/>
          <w:lang w:val="zh-CN" w:eastAsia="zh-CN" w:bidi="ar"/>
        </w:rPr>
      </w:pPr>
      <w:bookmarkStart w:id="598" w:name="_Toc10635"/>
      <w:r>
        <w:rPr>
          <w:rFonts w:hint="eastAsia" w:ascii="Times New Roman" w:hAnsi="Times New Roman" w:eastAsia="宋体" w:cs="Times New Roman"/>
          <w:b/>
          <w:bCs w:val="0"/>
          <w:color w:val="auto"/>
          <w:kern w:val="0"/>
          <w:sz w:val="28"/>
          <w:szCs w:val="28"/>
          <w:highlight w:val="none"/>
          <w:lang w:val="en-US" w:eastAsia="zh-CN" w:bidi="ar"/>
        </w:rPr>
        <w:t>8</w:t>
      </w:r>
      <w:r>
        <w:rPr>
          <w:rFonts w:hint="default" w:ascii="Times New Roman" w:hAnsi="Times New Roman" w:eastAsia="宋体" w:cs="Times New Roman"/>
          <w:b/>
          <w:bCs w:val="0"/>
          <w:color w:val="auto"/>
          <w:kern w:val="0"/>
          <w:sz w:val="28"/>
          <w:szCs w:val="28"/>
          <w:highlight w:val="none"/>
          <w:lang w:val="zh-CN" w:eastAsia="zh-CN" w:bidi="ar"/>
        </w:rPr>
        <w:t>.1.2建立环境管理体系</w:t>
      </w:r>
      <w:bookmarkEnd w:id="598"/>
    </w:p>
    <w:p w14:paraId="2BD9B88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管理有助于指导和监督项目的环保工作，全面反映项目各部分的环境状况，掌握污染源动态及其缓减措施和实际运行效果，以便及时有效地采取补救措施，使企业的生产活动符合环境法规的要求。目前，我国已颁布环境管理体系的系列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GB/T24001，24004、24010，24011～24012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，按该系列标准的要求，本项目环境管理体系可参照下图步骤建立和完善。</w:t>
      </w:r>
    </w:p>
    <w:p w14:paraId="5CEBABC4">
      <w:pPr>
        <w:widowControl w:val="0"/>
        <w:adjustRightInd w:val="0"/>
        <w:snapToGrid w:val="0"/>
        <w:spacing w:after="0" w:afterLines="0" w:line="360" w:lineRule="auto"/>
        <w:ind w:firstLine="560" w:firstLineChars="200"/>
        <w:jc w:val="center"/>
        <w:rPr>
          <w:rFonts w:hint="default" w:ascii="Times New Roman" w:hAnsi="Times New Roman" w:eastAsia="宋体" w:cs="Times New Roman"/>
          <w:snapToGrid w:val="0"/>
          <w:color w:val="auto"/>
          <w:kern w:val="0"/>
          <w:sz w:val="28"/>
          <w:szCs w:val="28"/>
          <w:highlight w:val="none"/>
          <w:lang w:val="en-US" w:eastAsia="zh-CN" w:bidi="ar-SA"/>
        </w:rPr>
      </w:pPr>
      <w:r>
        <w:rPr>
          <w:rFonts w:hint="default" w:ascii="Times New Roman" w:hAnsi="Times New Roman" w:eastAsia="宋体" w:cs="Times New Roman"/>
          <w:snapToGrid w:val="0"/>
          <w:color w:val="auto"/>
          <w:kern w:val="0"/>
          <w:sz w:val="28"/>
          <w:szCs w:val="28"/>
          <w:highlight w:val="none"/>
          <w:lang w:val="en-US" w:eastAsia="zh-CN" w:bidi="ar-SA"/>
        </w:rPr>
        <mc:AlternateContent>
          <mc:Choice Requires="wpg">
            <w:drawing>
              <wp:inline distT="0" distB="0" distL="114300" distR="114300">
                <wp:extent cx="1863090" cy="1930400"/>
                <wp:effectExtent l="4445" t="4445" r="18415" b="8255"/>
                <wp:docPr id="111" name="组合 111"/>
                <wp:cNvGraphicFramePr/>
                <a:graphic xmlns:a="http://schemas.openxmlformats.org/drawingml/2006/main">
                  <a:graphicData uri="http://schemas.microsoft.com/office/word/2010/wordprocessingGroup">
                    <wpg:wgp>
                      <wpg:cNvGrpSpPr>
                        <a:grpSpLocks noRot="1"/>
                      </wpg:cNvGrpSpPr>
                      <wpg:grpSpPr>
                        <a:xfrm>
                          <a:off x="0" y="0"/>
                          <a:ext cx="1863090" cy="1930400"/>
                          <a:chOff x="0" y="0"/>
                          <a:chExt cx="2934" cy="3040"/>
                        </a:xfrm>
                        <a:effectLst/>
                      </wpg:grpSpPr>
                      <wps:wsp>
                        <wps:cNvPr id="112" name="文本框 1"/>
                        <wps:cNvSpPr txBox="1"/>
                        <wps:spPr>
                          <a:xfrm>
                            <a:off x="0" y="0"/>
                            <a:ext cx="2880" cy="468"/>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517F0CB">
                              <w:pPr>
                                <w:spacing w:line="240" w:lineRule="auto"/>
                                <w:jc w:val="center"/>
                                <w:rPr>
                                  <w:rFonts w:hint="eastAsia" w:ascii="Times New Roman" w:hAnsi="Times New Roman" w:eastAsia="宋体"/>
                                  <w:sz w:val="24"/>
                                </w:rPr>
                              </w:pPr>
                              <w:r>
                                <w:rPr>
                                  <w:rFonts w:hint="eastAsia" w:ascii="Times New Roman" w:hAnsi="Times New Roman" w:eastAsia="宋体"/>
                                  <w:sz w:val="24"/>
                                </w:rPr>
                                <w:t>制定环境方针</w:t>
                              </w:r>
                            </w:p>
                            <w:p w14:paraId="10E67629">
                              <w:pPr>
                                <w:widowControl w:val="0"/>
                                <w:spacing w:after="120" w:afterLines="0" w:line="360" w:lineRule="auto"/>
                                <w:ind w:firstLine="480" w:firstLineChars="200"/>
                                <w:jc w:val="both"/>
                                <w:rPr>
                                  <w:rFonts w:hint="eastAsia" w:ascii="宋体" w:hAnsi="宋体" w:eastAsia="宋体" w:cs="Times New Roman"/>
                                  <w:snapToGrid w:val="0"/>
                                  <w:kern w:val="0"/>
                                  <w:sz w:val="24"/>
                                  <w:szCs w:val="22"/>
                                  <w:lang w:val="en-US" w:eastAsia="zh-CN" w:bidi="ar-SA"/>
                                </w:rPr>
                              </w:pPr>
                            </w:p>
                          </w:txbxContent>
                        </wps:txbx>
                        <wps:bodyPr vert="horz" wrap="square" anchor="t" anchorCtr="0" upright="1"/>
                      </wps:wsp>
                      <wps:wsp>
                        <wps:cNvPr id="113" name="文本框 2"/>
                        <wps:cNvSpPr txBox="1"/>
                        <wps:spPr>
                          <a:xfrm>
                            <a:off x="0" y="826"/>
                            <a:ext cx="2880" cy="468"/>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56E2FEF6">
                              <w:pPr>
                                <w:spacing w:line="240" w:lineRule="auto"/>
                                <w:ind w:left="0" w:leftChars="0" w:firstLine="240" w:firstLineChars="100"/>
                                <w:jc w:val="both"/>
                                <w:rPr>
                                  <w:rFonts w:hint="eastAsia" w:ascii="Times New Roman" w:hAnsi="Times New Roman" w:eastAsia="宋体"/>
                                  <w:sz w:val="24"/>
                                </w:rPr>
                              </w:pPr>
                              <w:r>
                                <w:rPr>
                                  <w:rFonts w:hint="eastAsia" w:ascii="Times New Roman" w:hAnsi="Times New Roman" w:eastAsia="宋体"/>
                                  <w:sz w:val="24"/>
                                </w:rPr>
                                <w:t>制定环境目标和指标</w:t>
                              </w:r>
                            </w:p>
                          </w:txbxContent>
                        </wps:txbx>
                        <wps:bodyPr vert="horz" wrap="square" anchor="t" anchorCtr="0" upright="1"/>
                      </wps:wsp>
                      <wps:wsp>
                        <wps:cNvPr id="116" name="文本框 3"/>
                        <wps:cNvSpPr txBox="1"/>
                        <wps:spPr>
                          <a:xfrm>
                            <a:off x="0" y="1741"/>
                            <a:ext cx="2899" cy="468"/>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BB14122">
                              <w:pPr>
                                <w:spacing w:line="240" w:lineRule="auto"/>
                                <w:ind w:left="0" w:leftChars="0" w:firstLine="0" w:firstLineChars="0"/>
                                <w:jc w:val="both"/>
                                <w:rPr>
                                  <w:rFonts w:hint="eastAsia" w:ascii="Times New Roman" w:hAnsi="Times New Roman" w:eastAsia="宋体"/>
                                  <w:sz w:val="24"/>
                                </w:rPr>
                              </w:pPr>
                              <w:r>
                                <w:rPr>
                                  <w:rFonts w:hint="eastAsia" w:ascii="Times New Roman" w:hAnsi="Times New Roman" w:eastAsia="宋体"/>
                                  <w:sz w:val="24"/>
                                </w:rPr>
                                <w:t>制定环境管理实施和方案</w:t>
                              </w:r>
                            </w:p>
                          </w:txbxContent>
                        </wps:txbx>
                        <wps:bodyPr vert="horz" wrap="square" lIns="0" tIns="45720" rIns="0" bIns="45720" anchor="t" anchorCtr="0" upright="1"/>
                      </wps:wsp>
                      <wps:wsp>
                        <wps:cNvPr id="117" name="文本框 4"/>
                        <wps:cNvSpPr txBox="1"/>
                        <wps:spPr>
                          <a:xfrm>
                            <a:off x="0" y="2572"/>
                            <a:ext cx="2934" cy="468"/>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14941905">
                              <w:pPr>
                                <w:spacing w:line="240" w:lineRule="auto"/>
                                <w:ind w:left="0" w:leftChars="0" w:firstLine="0" w:firstLineChars="0"/>
                                <w:jc w:val="both"/>
                                <w:rPr>
                                  <w:rFonts w:hint="eastAsia" w:ascii="Times New Roman" w:hAnsi="Times New Roman" w:eastAsia="宋体"/>
                                  <w:sz w:val="24"/>
                                </w:rPr>
                              </w:pPr>
                              <w:r>
                                <w:rPr>
                                  <w:rFonts w:hint="eastAsia" w:ascii="Times New Roman" w:hAnsi="Times New Roman" w:eastAsia="宋体"/>
                                  <w:sz w:val="24"/>
                                </w:rPr>
                                <w:t>调整组织机构明确职责</w:t>
                              </w:r>
                            </w:p>
                          </w:txbxContent>
                        </wps:txbx>
                        <wps:bodyPr vert="horz" wrap="square" anchor="t" anchorCtr="0" upright="1"/>
                      </wps:wsp>
                      <wps:wsp>
                        <wps:cNvPr id="118" name="直接连接符 5"/>
                        <wps:cNvCnPr/>
                        <wps:spPr>
                          <a:xfrm>
                            <a:off x="1440" y="468"/>
                            <a:ext cx="0" cy="378"/>
                          </a:xfrm>
                          <a:prstGeom prst="line">
                            <a:avLst/>
                          </a:prstGeom>
                          <a:ln w="9525" cap="flat" cmpd="sng">
                            <a:solidFill>
                              <a:srgbClr val="000000"/>
                            </a:solidFill>
                            <a:prstDash val="solid"/>
                            <a:headEnd type="none" w="med" len="med"/>
                            <a:tailEnd type="stealth" w="lg" len="lg"/>
                          </a:ln>
                          <a:effectLst/>
                        </wps:spPr>
                        <wps:bodyPr upright="1"/>
                      </wps:wsp>
                      <wps:wsp>
                        <wps:cNvPr id="119" name="直接连接符 6"/>
                        <wps:cNvCnPr/>
                        <wps:spPr>
                          <a:xfrm>
                            <a:off x="1440" y="1292"/>
                            <a:ext cx="0" cy="446"/>
                          </a:xfrm>
                          <a:prstGeom prst="line">
                            <a:avLst/>
                          </a:prstGeom>
                          <a:ln w="9525" cap="flat" cmpd="sng">
                            <a:solidFill>
                              <a:srgbClr val="000000"/>
                            </a:solidFill>
                            <a:prstDash val="solid"/>
                            <a:headEnd type="none" w="med" len="med"/>
                            <a:tailEnd type="stealth" w="lg" len="lg"/>
                          </a:ln>
                          <a:effectLst/>
                        </wps:spPr>
                        <wps:bodyPr upright="1"/>
                      </wps:wsp>
                      <wps:wsp>
                        <wps:cNvPr id="120" name="直接连接符 7"/>
                        <wps:cNvCnPr/>
                        <wps:spPr>
                          <a:xfrm>
                            <a:off x="1440" y="2206"/>
                            <a:ext cx="0" cy="366"/>
                          </a:xfrm>
                          <a:prstGeom prst="line">
                            <a:avLst/>
                          </a:prstGeom>
                          <a:ln w="9525" cap="flat" cmpd="sng">
                            <a:solidFill>
                              <a:srgbClr val="000000"/>
                            </a:solidFill>
                            <a:prstDash val="solid"/>
                            <a:headEnd type="none" w="med" len="med"/>
                            <a:tailEnd type="stealth" w="lg" len="lg"/>
                          </a:ln>
                          <a:effectLst/>
                        </wps:spPr>
                        <wps:bodyPr upright="1"/>
                      </wps:wsp>
                    </wpg:wgp>
                  </a:graphicData>
                </a:graphic>
              </wp:inline>
            </w:drawing>
          </mc:Choice>
          <mc:Fallback>
            <w:pict>
              <v:group id="_x0000_s1026" o:spid="_x0000_s1026" o:spt="203" style="height:152pt;width:146.7pt;" coordsize="2934,3040" o:gfxdata="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">
                <o:lock v:ext="edit" rotation="t" aspectratio="f"/>
                <v:shape id="文本框 1" o:spid="_x0000_s1026" o:spt="202" type="#_x0000_t202" style="position:absolute;left:0;top:0;height:468;width:2880;" fillcolor="#FFFFFF" filled="t" stroked="t" coordsize="21600,21600" o:gfxdata="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yZaa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7517F0CB">
                        <w:pPr>
                          <w:spacing w:line="240" w:lineRule="auto"/>
                          <w:jc w:val="center"/>
                          <w:rPr>
                            <w:rFonts w:hint="eastAsia" w:ascii="Times New Roman" w:hAnsi="Times New Roman" w:eastAsia="宋体"/>
                            <w:sz w:val="24"/>
                          </w:rPr>
                        </w:pPr>
                        <w:r>
                          <w:rPr>
                            <w:rFonts w:hint="eastAsia" w:ascii="Times New Roman" w:hAnsi="Times New Roman" w:eastAsia="宋体"/>
                            <w:sz w:val="24"/>
                          </w:rPr>
                          <w:t>制定环境方针</w:t>
                        </w:r>
                      </w:p>
                      <w:p w14:paraId="10E67629">
                        <w:pPr>
                          <w:widowControl w:val="0"/>
                          <w:spacing w:after="120" w:afterLines="0" w:line="360" w:lineRule="auto"/>
                          <w:ind w:firstLine="480" w:firstLineChars="200"/>
                          <w:jc w:val="both"/>
                          <w:rPr>
                            <w:rFonts w:hint="eastAsia" w:ascii="宋体" w:hAnsi="宋体" w:eastAsia="宋体" w:cs="Times New Roman"/>
                            <w:snapToGrid w:val="0"/>
                            <w:kern w:val="0"/>
                            <w:sz w:val="24"/>
                            <w:szCs w:val="22"/>
                            <w:lang w:val="en-US" w:eastAsia="zh-CN" w:bidi="ar-SA"/>
                          </w:rPr>
                        </w:pPr>
                      </w:p>
                    </w:txbxContent>
                  </v:textbox>
                </v:shape>
                <v:shape id="文本框 2" o:spid="_x0000_s1026" o:spt="202" type="#_x0000_t202" style="position:absolute;left:0;top:826;height:468;width:2880;" fillcolor="#FFFFFF" filled="t" stroked="t" coordsize="21600,21600" o:gfxdata="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FMw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56E2FEF6">
                        <w:pPr>
                          <w:spacing w:line="240" w:lineRule="auto"/>
                          <w:ind w:left="0" w:leftChars="0" w:firstLine="240" w:firstLineChars="100"/>
                          <w:jc w:val="both"/>
                          <w:rPr>
                            <w:rFonts w:hint="eastAsia" w:ascii="Times New Roman" w:hAnsi="Times New Roman" w:eastAsia="宋体"/>
                            <w:sz w:val="24"/>
                          </w:rPr>
                        </w:pPr>
                        <w:r>
                          <w:rPr>
                            <w:rFonts w:hint="eastAsia" w:ascii="Times New Roman" w:hAnsi="Times New Roman" w:eastAsia="宋体"/>
                            <w:sz w:val="24"/>
                          </w:rPr>
                          <w:t>制定环境目标和指标</w:t>
                        </w:r>
                      </w:p>
                    </w:txbxContent>
                  </v:textbox>
                </v:shape>
                <v:shape id="文本框 3" o:spid="_x0000_s1026" o:spt="202" type="#_x0000_t202" style="position:absolute;left:0;top:1741;height:468;width:2899;" fillcolor="#FFFFFF" filled="t" stroked="t" coordsize="21600,21600" o:gfxdata="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QXu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inset="0mm,1.27mm,0mm,1.27mm">
                    <w:txbxContent>
                      <w:p w14:paraId="2BB14122">
                        <w:pPr>
                          <w:spacing w:line="240" w:lineRule="auto"/>
                          <w:ind w:left="0" w:leftChars="0" w:firstLine="0" w:firstLineChars="0"/>
                          <w:jc w:val="both"/>
                          <w:rPr>
                            <w:rFonts w:hint="eastAsia" w:ascii="Times New Roman" w:hAnsi="Times New Roman" w:eastAsia="宋体"/>
                            <w:sz w:val="24"/>
                          </w:rPr>
                        </w:pPr>
                        <w:r>
                          <w:rPr>
                            <w:rFonts w:hint="eastAsia" w:ascii="Times New Roman" w:hAnsi="Times New Roman" w:eastAsia="宋体"/>
                            <w:sz w:val="24"/>
                          </w:rPr>
                          <w:t>制定环境管理实施和方案</w:t>
                        </w:r>
                      </w:p>
                    </w:txbxContent>
                  </v:textbox>
                </v:shape>
                <v:shape id="文本框 4" o:spid="_x0000_s1026" o:spt="202" type="#_x0000_t202" style="position:absolute;left:0;top:2572;height:468;width:2934;" fillcolor="#FFFFFF" filled="t" stroked="t" coordsize="21600,21600" o:gfxdata="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vjUC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4941905">
                        <w:pPr>
                          <w:spacing w:line="240" w:lineRule="auto"/>
                          <w:ind w:left="0" w:leftChars="0" w:firstLine="0" w:firstLineChars="0"/>
                          <w:jc w:val="both"/>
                          <w:rPr>
                            <w:rFonts w:hint="eastAsia" w:ascii="Times New Roman" w:hAnsi="Times New Roman" w:eastAsia="宋体"/>
                            <w:sz w:val="24"/>
                          </w:rPr>
                        </w:pPr>
                        <w:r>
                          <w:rPr>
                            <w:rFonts w:hint="eastAsia" w:ascii="Times New Roman" w:hAnsi="Times New Roman" w:eastAsia="宋体"/>
                            <w:sz w:val="24"/>
                          </w:rPr>
                          <w:t>调整组织机构明确职责</w:t>
                        </w:r>
                      </w:p>
                    </w:txbxContent>
                  </v:textbox>
                </v:shape>
                <v:line id="直接连接符 5" o:spid="_x0000_s1026" o:spt="20" style="position:absolute;left:1440;top:468;height:378;width:0;" filled="f" stroked="t" coordsize="21600,21600" o:gfxdata="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KX9wvQAA&#10;ANwAAAAPAAAAAAAAAAEAIAAAACIAAABkcnMvZG93bnJldi54bWxQSwECFAAUAAAACACHTuJAMy8F&#10;njsAAAA5AAAAEAAAAAAAAAABACAAAAAMAQAAZHJzL3NoYXBleG1sLnhtbFBLBQYAAAAABgAGAFsB&#10;AAC2AwAAAAA=&#10;">
                  <v:fill on="f" focussize="0,0"/>
                  <v:stroke color="#000000" joinstyle="round" endarrow="classic" endarrowwidth="wide" endarrowlength="long"/>
                  <v:imagedata o:title=""/>
                  <o:lock v:ext="edit" aspectratio="f"/>
                </v:line>
                <v:line id="直接连接符 6" o:spid="_x0000_s1026" o:spt="20" style="position:absolute;left:1440;top:1292;height:446;width:0;" filled="f" stroked="t" coordsize="21600,21600" o:gfxdata="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ZdrrugAAANwA&#10;AAAPAAAAAAAAAAEAIAAAACIAAABkcnMvZG93bnJldi54bWxQSwECFAAUAAAACACHTuJAMy8FnjsA&#10;AAA5AAAAEAAAAAAAAAABACAAAAAJAQAAZHJzL3NoYXBleG1sLnhtbFBLBQYAAAAABgAGAFsBAACz&#10;AwAAAAA=&#10;">
                  <v:fill on="f" focussize="0,0"/>
                  <v:stroke color="#000000" joinstyle="round" endarrow="classic" endarrowwidth="wide" endarrowlength="long"/>
                  <v:imagedata o:title=""/>
                  <o:lock v:ext="edit" aspectratio="f"/>
                </v:line>
                <v:line id="直接连接符 7" o:spid="_x0000_s1026" o:spt="20" style="position:absolute;left:1440;top:2206;height:366;width:0;" filled="f" stroked="t" coordsize="21600,21600" o:gfxdata="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7nLvQAA&#10;ANwAAAAPAAAAAAAAAAEAIAAAACIAAABkcnMvZG93bnJldi54bWxQSwECFAAUAAAACACHTuJAMy8F&#10;njsAAAA5AAAAEAAAAAAAAAABACAAAAAMAQAAZHJzL3NoYXBleG1sLnhtbFBLBQYAAAAABgAGAFsB&#10;AAC2AwAAAAA=&#10;">
                  <v:fill on="f" focussize="0,0"/>
                  <v:stroke color="#000000" joinstyle="round" endarrow="classic" endarrowwidth="wide" endarrowlength="long"/>
                  <v:imagedata o:title=""/>
                  <o:lock v:ext="edit" aspectratio="f"/>
                </v:line>
                <w10:wrap type="none"/>
                <w10:anchorlock/>
              </v:group>
            </w:pict>
          </mc:Fallback>
        </mc:AlternateContent>
      </w:r>
    </w:p>
    <w:p w14:paraId="6639060B">
      <w:pPr>
        <w:spacing w:line="360" w:lineRule="auto"/>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eastAsia" w:ascii="Times New Roman" w:hAnsi="Times New Roman" w:eastAsia="宋体" w:cs="Times New Roman"/>
          <w:b/>
          <w:bCs/>
          <w:color w:val="auto"/>
          <w:sz w:val="24"/>
          <w:szCs w:val="24"/>
          <w:highlight w:val="none"/>
          <w:lang w:val="en-US" w:eastAsia="zh-CN"/>
        </w:rPr>
        <w:t>8.1</w:t>
      </w:r>
      <w:r>
        <w:rPr>
          <w:rFonts w:hint="default" w:ascii="Times New Roman" w:hAnsi="Times New Roman" w:eastAsia="宋体" w:cs="Times New Roman"/>
          <w:b/>
          <w:bCs/>
          <w:color w:val="auto"/>
          <w:sz w:val="24"/>
          <w:szCs w:val="24"/>
          <w:highlight w:val="none"/>
        </w:rPr>
        <w:t>-1</w:t>
      </w:r>
      <w:r>
        <w:rPr>
          <w:rFonts w:hint="eastAsia" w:cs="Times New Roman"/>
          <w:b/>
          <w:bCs/>
          <w:color w:val="auto"/>
          <w:sz w:val="24"/>
          <w:szCs w:val="24"/>
          <w:highlight w:val="none"/>
          <w:lang w:val="en-US" w:eastAsia="zh-CN"/>
        </w:rPr>
        <w:t xml:space="preserve">  </w:t>
      </w:r>
      <w:r>
        <w:rPr>
          <w:rFonts w:hint="default" w:ascii="Times New Roman" w:hAnsi="Times New Roman" w:eastAsia="宋体" w:cs="Times New Roman"/>
          <w:b/>
          <w:bCs/>
          <w:color w:val="auto"/>
          <w:sz w:val="24"/>
          <w:szCs w:val="24"/>
          <w:highlight w:val="none"/>
        </w:rPr>
        <w:t>环境管理体系建立和完善步骤</w:t>
      </w:r>
    </w:p>
    <w:p w14:paraId="250EEF52">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管理体系应在企业对环境所承担的责任和义务的环境方针指导下，制定出在一定时期要实现的环境目标和分解指标，以及实现环境目标的具体实施方案。为了顺利实施环境管理方案，必须明确从最高领导到一般员工的环境职责，执行国家环保法规和各项规章制度。</w:t>
      </w:r>
    </w:p>
    <w:p w14:paraId="4E2CC7EC">
      <w:pPr>
        <w:widowControl w:val="0"/>
        <w:bidi w:val="0"/>
        <w:spacing w:before="0" w:beforeAutospacing="0" w:after="0" w:afterAutospacing="0" w:line="480" w:lineRule="auto"/>
        <w:ind w:firstLine="562" w:firstLineChars="200"/>
        <w:jc w:val="left"/>
        <w:outlineLvl w:val="2"/>
        <w:rPr>
          <w:rFonts w:hint="default" w:ascii="Times New Roman" w:hAnsi="Times New Roman" w:eastAsia="宋体" w:cs="Times New Roman"/>
          <w:b/>
          <w:bCs w:val="0"/>
          <w:color w:val="auto"/>
          <w:kern w:val="0"/>
          <w:sz w:val="28"/>
          <w:szCs w:val="28"/>
          <w:highlight w:val="none"/>
          <w:lang w:val="zh-CN" w:eastAsia="zh-CN" w:bidi="ar"/>
        </w:rPr>
      </w:pPr>
      <w:bookmarkStart w:id="599" w:name="_Toc7041"/>
      <w:r>
        <w:rPr>
          <w:rFonts w:hint="eastAsia" w:ascii="Times New Roman" w:hAnsi="Times New Roman" w:eastAsia="宋体" w:cs="Times New Roman"/>
          <w:b/>
          <w:bCs w:val="0"/>
          <w:color w:val="auto"/>
          <w:kern w:val="0"/>
          <w:sz w:val="28"/>
          <w:szCs w:val="28"/>
          <w:highlight w:val="none"/>
          <w:lang w:val="en-US" w:eastAsia="zh-CN" w:bidi="ar"/>
        </w:rPr>
        <w:t>8</w:t>
      </w:r>
      <w:r>
        <w:rPr>
          <w:rFonts w:hint="default" w:ascii="Times New Roman" w:hAnsi="Times New Roman" w:eastAsia="宋体" w:cs="Times New Roman"/>
          <w:b/>
          <w:bCs w:val="0"/>
          <w:color w:val="auto"/>
          <w:kern w:val="0"/>
          <w:sz w:val="28"/>
          <w:szCs w:val="28"/>
          <w:highlight w:val="none"/>
          <w:lang w:val="zh-CN" w:eastAsia="zh-CN" w:bidi="ar"/>
        </w:rPr>
        <w:t>.1.3健全环保机构</w:t>
      </w:r>
      <w:bookmarkEnd w:id="599"/>
    </w:p>
    <w:p w14:paraId="08DD19B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国家有关环境保护法规的要求和本项目生产的实际需要，建议该企业在设置组织机构时，考虑设置专门的环保管理机构：环保处（科），配备专职环保管理人员1~2名。环保管理人员应有熟悉企业排污状况、具备一定清洁生产知识、责任心强和组织协调能力强的人员担任，以利于监督管理，负责全场的环境保护管理工作，发现问题能及时解决并向上级环保主管部门报告，其主要职责如下：</w:t>
      </w:r>
    </w:p>
    <w:p w14:paraId="46085AAD">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（1）宣传、贯彻和执行环境保护政策、法律法规及环境保护标准。开展环境保护宣传、教育、培训等专业知识普及工作；</w:t>
      </w:r>
    </w:p>
    <w:p w14:paraId="0AD8F68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（2）编制并组织实施环境保护规划和计划，并监督执行，负责日常环境保护的管理工作；</w:t>
      </w:r>
    </w:p>
    <w:p w14:paraId="31EAB3B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（3）领导并组织企业的环境监测工作，建立监测</w:t>
      </w:r>
      <w:r>
        <w:rPr>
          <w:rFonts w:hint="eastAsia" w:ascii="Times New Roman" w:hAnsi="Times New Roman" w:eastAsia="宋体" w:cs="Times New Roman"/>
          <w:color w:val="auto"/>
          <w:sz w:val="24"/>
          <w:highlight w:val="none"/>
          <w:lang w:eastAsia="zh-CN"/>
        </w:rPr>
        <w:t>台账</w:t>
      </w:r>
      <w:r>
        <w:rPr>
          <w:rFonts w:hint="default" w:ascii="Times New Roman" w:hAnsi="Times New Roman" w:eastAsia="宋体" w:cs="Times New Roman"/>
          <w:color w:val="auto"/>
          <w:sz w:val="24"/>
          <w:highlight w:val="none"/>
        </w:rPr>
        <w:t>和档案，编写环保简报，做好环境统计，使企业领导、上级部门及时掌握污染治理动态；</w:t>
      </w:r>
    </w:p>
    <w:p w14:paraId="3C1DFF6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w:t>
      </w:r>
      <w:r>
        <w:rPr>
          <w:rFonts w:hint="eastAsia" w:ascii="Times New Roman" w:hAnsi="Times New Roman" w:eastAsia="宋体" w:cs="Times New Roman"/>
          <w:color w:val="auto"/>
          <w:sz w:val="24"/>
          <w:highlight w:val="none"/>
          <w:lang w:eastAsia="zh-CN"/>
        </w:rPr>
        <w:t>建立健全</w:t>
      </w:r>
      <w:r>
        <w:rPr>
          <w:rFonts w:hint="default" w:ascii="Times New Roman" w:hAnsi="Times New Roman" w:eastAsia="宋体" w:cs="Times New Roman"/>
          <w:color w:val="auto"/>
          <w:sz w:val="24"/>
          <w:highlight w:val="none"/>
        </w:rPr>
        <w:t>环境保护与劳动安全管理制度，监督工程施工期、运行期和服务期满后环保措施的有效实施；</w:t>
      </w:r>
    </w:p>
    <w:p w14:paraId="2E0F630B">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为保证工程环保设施的正常运转，减少或防范污染事故，制定污染治理设备设施操作规程的检查、维修计划，检查、记录污染治理设施运行及检修情况，并定期检查操作人员的操作技能，在实际工作中检验各项操作规范的可行性；</w:t>
      </w:r>
    </w:p>
    <w:p w14:paraId="37B870A1">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（6）检查各环境保护设施的运行情况、负责污染事故性排放的处理和调查。</w:t>
      </w:r>
    </w:p>
    <w:p w14:paraId="165FF405">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rPr>
          <w:rFonts w:hint="default" w:ascii="Times New Roman" w:hAnsi="Times New Roman" w:eastAsia="宋体" w:cs="Times New Roman"/>
          <w:b/>
          <w:bCs w:val="0"/>
          <w:color w:val="auto"/>
          <w:kern w:val="0"/>
          <w:sz w:val="28"/>
          <w:szCs w:val="28"/>
          <w:highlight w:val="none"/>
          <w:lang w:val="en-US" w:eastAsia="zh-CN" w:bidi="ar"/>
        </w:rPr>
      </w:pPr>
      <w:r>
        <w:rPr>
          <w:rFonts w:hint="eastAsia" w:ascii="Times New Roman" w:hAnsi="Times New Roman" w:eastAsia="宋体" w:cs="Times New Roman"/>
          <w:b/>
          <w:bCs w:val="0"/>
          <w:color w:val="auto"/>
          <w:kern w:val="0"/>
          <w:sz w:val="28"/>
          <w:szCs w:val="28"/>
          <w:highlight w:val="none"/>
          <w:lang w:val="en-US" w:eastAsia="zh-CN" w:bidi="ar"/>
        </w:rPr>
        <w:t>8</w:t>
      </w:r>
      <w:r>
        <w:rPr>
          <w:rFonts w:hint="default" w:ascii="Times New Roman" w:hAnsi="Times New Roman" w:eastAsia="宋体" w:cs="Times New Roman"/>
          <w:b/>
          <w:bCs w:val="0"/>
          <w:color w:val="auto"/>
          <w:kern w:val="0"/>
          <w:sz w:val="28"/>
          <w:szCs w:val="28"/>
          <w:highlight w:val="none"/>
          <w:lang w:val="en-US" w:eastAsia="zh-CN" w:bidi="ar"/>
        </w:rPr>
        <w:t>.1.</w:t>
      </w:r>
      <w:r>
        <w:rPr>
          <w:rFonts w:hint="eastAsia" w:ascii="Times New Roman" w:hAnsi="Times New Roman" w:eastAsia="宋体" w:cs="Times New Roman"/>
          <w:b/>
          <w:bCs w:val="0"/>
          <w:color w:val="auto"/>
          <w:kern w:val="0"/>
          <w:sz w:val="28"/>
          <w:szCs w:val="28"/>
          <w:highlight w:val="none"/>
          <w:lang w:val="en-US" w:eastAsia="zh-CN" w:bidi="ar"/>
        </w:rPr>
        <w:t>4</w:t>
      </w:r>
      <w:r>
        <w:rPr>
          <w:rFonts w:hint="default" w:ascii="Times New Roman" w:hAnsi="Times New Roman" w:eastAsia="宋体" w:cs="Times New Roman"/>
          <w:b/>
          <w:bCs w:val="0"/>
          <w:color w:val="auto"/>
          <w:kern w:val="0"/>
          <w:sz w:val="28"/>
          <w:szCs w:val="28"/>
          <w:highlight w:val="none"/>
          <w:lang w:val="en-US" w:eastAsia="zh-CN" w:bidi="ar"/>
        </w:rPr>
        <w:t>营运期环境管理制度</w:t>
      </w:r>
    </w:p>
    <w:p w14:paraId="51BE8A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企业应建立健全环境管理制度体系，将环保纳入考核体系，确保在日常运行中将环保目标</w:t>
      </w:r>
      <w:r>
        <w:rPr>
          <w:rFonts w:hint="eastAsia" w:ascii="Times New Roman" w:hAnsi="Times New Roman" w:eastAsia="宋体" w:cs="Times New Roman"/>
          <w:color w:val="auto"/>
          <w:sz w:val="24"/>
          <w:highlight w:val="none"/>
          <w:lang w:eastAsia="zh-CN"/>
        </w:rPr>
        <w:t>落到实处</w:t>
      </w:r>
      <w:r>
        <w:rPr>
          <w:rFonts w:hint="default" w:ascii="Times New Roman" w:hAnsi="Times New Roman" w:eastAsia="宋体" w:cs="Times New Roman"/>
          <w:color w:val="auto"/>
          <w:sz w:val="24"/>
          <w:highlight w:val="none"/>
        </w:rPr>
        <w:t>。</w:t>
      </w:r>
    </w:p>
    <w:p w14:paraId="29490DE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三同时</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制度</w:t>
      </w:r>
    </w:p>
    <w:p w14:paraId="19757F6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建设项目环境保护管理条例》，建设项目需配套建设的环境保护设施，必须与主体工程同时设计、同时施工、同时投产使用。项目竣工后，建设单位应当按照国务院环境保护行政主管部门规定的标准和程序，对配套建设的环境保护设施进行验收，编制验收报告。建设单位在环境保护设施验收过程中，应当如实查验、监测、记载建设项目环境保护设施的建设和调试情况，不得弄虚作假，验收报告应依法向社会公开。</w:t>
      </w:r>
    </w:p>
    <w:p w14:paraId="370025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排污许可制度</w:t>
      </w:r>
    </w:p>
    <w:p w14:paraId="48A016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单位应当在项目投入生产或使用并产生实际排污行为之前申请领取排污许可证。依法按照排污许可证申请与核发技术规范提交排污许可申请，申报排放污染物种类、排放浓度等，测算并申报污染物排放量。建设单位应当严格执行排污许可证的规定，禁止无证排污或不按证排污。</w:t>
      </w:r>
    </w:p>
    <w:p w14:paraId="29E34D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环保台账制度</w:t>
      </w:r>
    </w:p>
    <w:p w14:paraId="48E7429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厂内需完善记录制度和档案保存制度，有利于环境管理质量的追踪和持续改进。记录和台账包括设施运行和维护记录、危险废物进出台账、废水、废气污染物监测台账、所有原辅材料使用台账、突发性事件的处理、调查记录等，妥善保存所有记录、台账及污染物排放监测资料、环境管理档案资料等。</w:t>
      </w:r>
    </w:p>
    <w:p w14:paraId="0A5D6F5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4</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报告制度</w:t>
      </w:r>
    </w:p>
    <w:p w14:paraId="78D64C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企业应定期向当地政府环保部门报告污染治理设施运行情况、污染物排放情况以及污染事故、污染纠纷等情况，便于环保部门和企业管理人员及时了解企业污染动态</w:t>
      </w:r>
      <w:r>
        <w:rPr>
          <w:rFonts w:hint="eastAsia" w:cs="Times New Roman"/>
          <w:color w:val="auto"/>
          <w:sz w:val="24"/>
          <w:highlight w:val="none"/>
          <w:lang w:eastAsia="zh-CN"/>
        </w:rPr>
        <w:t>，有</w:t>
      </w:r>
      <w:r>
        <w:rPr>
          <w:rFonts w:hint="default" w:ascii="Times New Roman" w:hAnsi="Times New Roman" w:eastAsia="宋体" w:cs="Times New Roman"/>
          <w:color w:val="auto"/>
          <w:sz w:val="24"/>
          <w:highlight w:val="none"/>
        </w:rPr>
        <w:t>利于采取相应的对策措施。若企业排污情况发生重大变化、污染治理设施改变或企业生产工艺发生重大改变等都必须按《建设项目环境保护管理条例》等文件要求，向当地环保部门申报，并请有审批权限的环保部门审批。企业产量和生产原辅料发生变化也应及时向环保部门报告。</w:t>
      </w:r>
    </w:p>
    <w:p w14:paraId="2A526F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5</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污染治理设施的管理、监控制度</w:t>
      </w:r>
    </w:p>
    <w:p w14:paraId="2E6423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本项目建成后，必须确保污染治理设施长期、稳定、有效地运行，不得擅自拆除或者闲置尾气处理装置和污水治理设施等，不得故意不正常使用污染治理设施。污染治理设施的管理必须与生产经营活动一起</w:t>
      </w:r>
      <w:r>
        <w:rPr>
          <w:rFonts w:hint="eastAsia" w:cs="Times New Roman"/>
          <w:color w:val="auto"/>
          <w:sz w:val="24"/>
          <w:highlight w:val="none"/>
          <w:lang w:eastAsia="zh-CN"/>
        </w:rPr>
        <w:t>纳入</w:t>
      </w:r>
      <w:r>
        <w:rPr>
          <w:rFonts w:hint="default" w:ascii="Times New Roman" w:hAnsi="Times New Roman" w:eastAsia="宋体" w:cs="Times New Roman"/>
          <w:color w:val="auto"/>
          <w:sz w:val="24"/>
          <w:highlight w:val="none"/>
        </w:rPr>
        <w:t>公司日常管理工作的范畴，落实责任人、操作人员、维修人员、运行经费、设备的备品备件和其他原辅材料。同时要建立健全岗位责任制、制定正确的操作规程、建立</w:t>
      </w:r>
      <w:r>
        <w:rPr>
          <w:rFonts w:hint="eastAsia" w:ascii="Times New Roman" w:hAnsi="Times New Roman" w:eastAsia="宋体" w:cs="Times New Roman"/>
          <w:color w:val="auto"/>
          <w:sz w:val="24"/>
          <w:highlight w:val="none"/>
          <w:lang w:eastAsia="zh-CN"/>
        </w:rPr>
        <w:t>管理台账</w:t>
      </w:r>
      <w:r>
        <w:rPr>
          <w:rFonts w:hint="default" w:ascii="Times New Roman" w:hAnsi="Times New Roman" w:eastAsia="宋体" w:cs="Times New Roman"/>
          <w:color w:val="auto"/>
          <w:sz w:val="24"/>
          <w:highlight w:val="none"/>
        </w:rPr>
        <w:t>。</w:t>
      </w:r>
    </w:p>
    <w:p w14:paraId="6708A0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6</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固体废物环境保护制度</w:t>
      </w:r>
    </w:p>
    <w:p w14:paraId="3DA989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①</w:t>
      </w:r>
      <w:r>
        <w:rPr>
          <w:rFonts w:hint="default" w:ascii="Times New Roman" w:hAnsi="Times New Roman" w:eastAsia="宋体" w:cs="Times New Roman"/>
          <w:color w:val="auto"/>
          <w:sz w:val="24"/>
          <w:highlight w:val="none"/>
        </w:rPr>
        <w:t>建设单位应通过</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安徽省危险废物动态管理信息系统</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进行危险废物申报登记。将危险废物的实际产生、贮存、利用、处置等情况纳入生产记录，建立危险废物管理台账和企业内部产生和收集、贮存、转移等部门危险废物交接制度。</w:t>
      </w:r>
    </w:p>
    <w:p w14:paraId="5B932C2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②</w:t>
      </w:r>
      <w:r>
        <w:rPr>
          <w:rFonts w:hint="default" w:ascii="Times New Roman" w:hAnsi="Times New Roman" w:eastAsia="宋体" w:cs="Times New Roman"/>
          <w:color w:val="auto"/>
          <w:sz w:val="24"/>
          <w:highlight w:val="none"/>
        </w:rPr>
        <w:t>明确建设单位为固体废物污染防治的责任主体</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要求企业建立风险管理及应急救援体系，执行环境监测计划、转移联单管理制度及国家和省有关转移管理的相关规定、处置过程安全操作规程、人员培训考核制度、档案管理制度、处置全过程管理制度等。</w:t>
      </w:r>
    </w:p>
    <w:p w14:paraId="1658A2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③</w:t>
      </w:r>
      <w:r>
        <w:rPr>
          <w:rFonts w:hint="default" w:ascii="Times New Roman" w:hAnsi="Times New Roman" w:eastAsia="宋体" w:cs="Times New Roman"/>
          <w:color w:val="auto"/>
          <w:sz w:val="24"/>
          <w:highlight w:val="none"/>
        </w:rPr>
        <w:t>规范建设危险废物贮存场所并按照要求设置警告标志，危废包装、容器和贮存场所应按照《危险废物贮存污染控制标准》</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GB18597-2023</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中</w:t>
      </w:r>
      <w:r>
        <w:rPr>
          <w:rFonts w:hint="default" w:ascii="Times New Roman" w:hAnsi="Times New Roman" w:eastAsia="宋体" w:cs="Times New Roman"/>
          <w:color w:val="auto"/>
          <w:sz w:val="24"/>
          <w:highlight w:val="none"/>
        </w:rPr>
        <w:t>有关要求张贴标识。</w:t>
      </w:r>
    </w:p>
    <w:p w14:paraId="655EFA7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7</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信息公开制度</w:t>
      </w:r>
    </w:p>
    <w:p w14:paraId="46786D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本项目建成后，应建立健全环境信息公开制度，及时、完整、准确</w:t>
      </w:r>
      <w:r>
        <w:rPr>
          <w:rFonts w:hint="eastAsia"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按照《企业事业单位环境信息公开办法》</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环保部第31号令</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等法律法规及技术规范要求，向社会及时公开污染防治设施的建设、运行情况，排放污染物名称、排放方式、排放浓度和总量、超标排放情况和整改情况等信息。</w:t>
      </w:r>
    </w:p>
    <w:p w14:paraId="579FA9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8</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环保奖惩制度</w:t>
      </w:r>
    </w:p>
    <w:p w14:paraId="3B8147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8"/>
          <w:szCs w:val="28"/>
          <w:highlight w:val="none"/>
          <w:lang w:val="zh-CN" w:eastAsia="zh-CN"/>
        </w:rPr>
      </w:pPr>
      <w:r>
        <w:rPr>
          <w:rFonts w:hint="default" w:ascii="Times New Roman" w:hAnsi="Times New Roman" w:eastAsia="宋体" w:cs="Times New Roman"/>
          <w:color w:val="auto"/>
          <w:sz w:val="24"/>
          <w:highlight w:val="none"/>
        </w:rPr>
        <w:t>企业应加强宣传教育，提高员工的污染隐患意识和环境风险意识</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制定员工参与环保技术培训的计划，提高员工技术素质水平</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设立岗位</w:t>
      </w:r>
      <w:r>
        <w:rPr>
          <w:rFonts w:hint="eastAsia" w:ascii="Times New Roman" w:hAnsi="Times New Roman" w:eastAsia="宋体" w:cs="Times New Roman"/>
          <w:color w:val="auto"/>
          <w:sz w:val="24"/>
          <w:highlight w:val="none"/>
          <w:lang w:eastAsia="zh-CN"/>
        </w:rPr>
        <w:t>负责</w:t>
      </w:r>
      <w:r>
        <w:rPr>
          <w:rFonts w:hint="default" w:ascii="Times New Roman" w:hAnsi="Times New Roman" w:eastAsia="宋体" w:cs="Times New Roman"/>
          <w:color w:val="auto"/>
          <w:sz w:val="24"/>
          <w:highlight w:val="none"/>
        </w:rPr>
        <w:t>制，制定严格的奖、罚制度。建议企业设置环境保护奖励条例，纳入人员考核体系。对爱护环保设施、节能降耗、改善环境者实行奖励</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对环保观念淡薄、不按环保管理要求，造成环保设施损坏、环境污染及资源和能源浪费者一律处以重罚。</w:t>
      </w:r>
    </w:p>
    <w:p w14:paraId="0EBC897F">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both"/>
        <w:textAlignment w:val="auto"/>
        <w:outlineLvl w:val="1"/>
        <w:rPr>
          <w:rFonts w:hint="default" w:ascii="Times New Roman" w:hAnsi="Times New Roman" w:eastAsia="宋体" w:cs="Times New Roman"/>
          <w:b/>
          <w:bCs/>
          <w:color w:val="auto"/>
          <w:kern w:val="2"/>
          <w:sz w:val="28"/>
          <w:szCs w:val="28"/>
          <w:highlight w:val="none"/>
          <w:lang w:val="zh-CN" w:eastAsia="zh-CN" w:bidi="ar-SA"/>
        </w:rPr>
      </w:pPr>
      <w:bookmarkStart w:id="600" w:name="_Toc25975"/>
      <w:bookmarkStart w:id="601" w:name="_Toc9049"/>
      <w:r>
        <w:rPr>
          <w:rFonts w:hint="eastAsia"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zh-CN" w:eastAsia="zh-CN" w:bidi="ar-SA"/>
        </w:rPr>
        <w:t>.2</w:t>
      </w:r>
      <w:r>
        <w:rPr>
          <w:rFonts w:hint="default" w:ascii="Times New Roman" w:hAnsi="Times New Roman" w:eastAsia="宋体" w:cs="Times New Roman"/>
          <w:b/>
          <w:bCs/>
          <w:color w:val="auto"/>
          <w:kern w:val="2"/>
          <w:sz w:val="28"/>
          <w:szCs w:val="28"/>
          <w:highlight w:val="none"/>
          <w:lang w:val="en-US" w:eastAsia="zh-CN" w:bidi="ar-SA"/>
        </w:rPr>
        <w:t>自主验收要求</w:t>
      </w:r>
      <w:bookmarkEnd w:id="600"/>
      <w:bookmarkEnd w:id="601"/>
    </w:p>
    <w:p w14:paraId="747427F5">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根据《建设项目竣工环境保护验收暂行办法》（国环规环评</w:t>
      </w:r>
      <w:r>
        <w:rPr>
          <w:rFonts w:hint="eastAsia" w:ascii="Times New Roman" w:hAnsi="Times New Roman" w:eastAsia="宋体" w:cs="Times New Roman"/>
          <w:color w:val="auto"/>
          <w:sz w:val="24"/>
          <w:highlight w:val="none"/>
          <w:lang w:val="en-US" w:eastAsia="zh-CN"/>
        </w:rPr>
        <w:t>〔2017〕4号</w:t>
      </w:r>
      <w:r>
        <w:rPr>
          <w:rFonts w:hint="default" w:ascii="Times New Roman" w:hAnsi="Times New Roman" w:eastAsia="宋体" w:cs="Times New Roman"/>
          <w:color w:val="auto"/>
          <w:sz w:val="24"/>
          <w:highlight w:val="none"/>
          <w:lang w:val="en-US" w:eastAsia="zh-CN"/>
        </w:rPr>
        <w:t>），除需要取得排污许可证的水和大气污染防治设施外，其他环境保护设施的验收期限一般不超过3个月；需要对该类环境保护设施进行调试或者整改的，验收期限可以适当延期，但最长不超过12个月。验收期限是指自建设项目环境保护设施竣工之日起至建设单位向社会公开验收报告之日止的时间。</w:t>
      </w:r>
    </w:p>
    <w:p w14:paraId="64C0B9A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建设单位是建设项目竣工环境保护验收的责任主体，建设单位不具备编制验收监测（调查）报告能力的，可以委托有能力的技术机构编制。</w:t>
      </w:r>
    </w:p>
    <w:p w14:paraId="34F2EB1C">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both"/>
        <w:textAlignment w:val="auto"/>
        <w:outlineLvl w:val="1"/>
        <w:rPr>
          <w:rFonts w:hint="default" w:ascii="Times New Roman" w:hAnsi="Times New Roman" w:eastAsia="宋体" w:cs="Times New Roman"/>
          <w:b/>
          <w:bCs/>
          <w:color w:val="auto"/>
          <w:kern w:val="2"/>
          <w:sz w:val="28"/>
          <w:szCs w:val="28"/>
          <w:highlight w:val="none"/>
          <w:lang w:val="zh-CN" w:eastAsia="zh-CN" w:bidi="ar-SA"/>
        </w:rPr>
      </w:pPr>
      <w:bookmarkStart w:id="602" w:name="_Toc24535"/>
      <w:bookmarkStart w:id="603" w:name="_Toc31060"/>
      <w:r>
        <w:rPr>
          <w:rFonts w:hint="eastAsia"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en-US" w:eastAsia="zh-CN" w:bidi="ar-SA"/>
        </w:rPr>
        <w:t>.3</w:t>
      </w:r>
      <w:r>
        <w:rPr>
          <w:rFonts w:hint="default" w:ascii="Times New Roman" w:hAnsi="Times New Roman" w:eastAsia="宋体" w:cs="Times New Roman"/>
          <w:b/>
          <w:bCs/>
          <w:color w:val="auto"/>
          <w:kern w:val="2"/>
          <w:sz w:val="28"/>
          <w:szCs w:val="28"/>
          <w:highlight w:val="none"/>
          <w:lang w:val="zh-CN" w:eastAsia="zh-CN" w:bidi="ar-SA"/>
        </w:rPr>
        <w:t>环境管理计划</w:t>
      </w:r>
      <w:bookmarkEnd w:id="602"/>
      <w:bookmarkEnd w:id="603"/>
    </w:p>
    <w:p w14:paraId="1CA07617">
      <w:pPr>
        <w:keepNext w:val="0"/>
        <w:keepLines w:val="0"/>
        <w:pageBreakBefore w:val="0"/>
        <w:widowControl w:val="0"/>
        <w:kinsoku/>
        <w:wordWrap/>
        <w:overflowPunct/>
        <w:topLinePunct w:val="0"/>
        <w:autoSpaceDE/>
        <w:autoSpaceDN/>
        <w:bidi w:val="0"/>
        <w:adjustRightInd/>
        <w:snapToGrid/>
        <w:spacing w:before="157" w:beforeLines="50" w:beforeAutospacing="0" w:after="157" w:afterLines="50" w:afterAutospacing="0" w:line="24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en-US" w:eastAsia="zh-CN" w:bidi="ar"/>
        </w:rPr>
      </w:pPr>
      <w:bookmarkStart w:id="604" w:name="_Toc9922"/>
      <w:r>
        <w:rPr>
          <w:rFonts w:hint="eastAsia" w:ascii="Times New Roman" w:hAnsi="Times New Roman" w:eastAsia="宋体" w:cs="Times New Roman"/>
          <w:b/>
          <w:color w:val="auto"/>
          <w:kern w:val="0"/>
          <w:sz w:val="24"/>
          <w:szCs w:val="24"/>
          <w:highlight w:val="none"/>
          <w:lang w:val="en-US" w:eastAsia="zh-CN" w:bidi="ar"/>
        </w:rPr>
        <w:t>8</w:t>
      </w:r>
      <w:r>
        <w:rPr>
          <w:rFonts w:hint="default" w:ascii="Times New Roman" w:hAnsi="Times New Roman" w:eastAsia="宋体" w:cs="Times New Roman"/>
          <w:b/>
          <w:color w:val="auto"/>
          <w:kern w:val="0"/>
          <w:sz w:val="24"/>
          <w:szCs w:val="24"/>
          <w:highlight w:val="none"/>
          <w:lang w:val="en-US" w:eastAsia="zh-CN" w:bidi="ar"/>
        </w:rPr>
        <w:t>.3.1环境监测的意义</w:t>
      </w:r>
      <w:bookmarkEnd w:id="604"/>
    </w:p>
    <w:p w14:paraId="18A5E8C8">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环境监测（包括污染源监测）是企业环境保护的组成部分，也是企业的各项规范化制度。通过环境监测数据整理分析建立监测档案，为污染源治理、掌握污染物排放变化规律提供了依据，也为上级生态环境部门进行区域环境规划，管理执法提供依据。</w:t>
      </w:r>
    </w:p>
    <w:p w14:paraId="670EE2C5">
      <w:pPr>
        <w:keepNext w:val="0"/>
        <w:keepLines w:val="0"/>
        <w:pageBreakBefore w:val="0"/>
        <w:widowControl w:val="0"/>
        <w:kinsoku/>
        <w:wordWrap/>
        <w:overflowPunct/>
        <w:topLinePunct w:val="0"/>
        <w:autoSpaceDE/>
        <w:autoSpaceDN/>
        <w:bidi w:val="0"/>
        <w:adjustRightInd/>
        <w:snapToGrid/>
        <w:spacing w:before="157" w:beforeLines="50" w:beforeAutospacing="0" w:after="157" w:afterLines="50" w:afterAutospacing="0" w:line="24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en-US" w:eastAsia="zh-CN" w:bidi="ar"/>
        </w:rPr>
      </w:pPr>
      <w:bookmarkStart w:id="605" w:name="_Toc13182"/>
      <w:r>
        <w:rPr>
          <w:rFonts w:hint="eastAsia" w:ascii="Times New Roman" w:hAnsi="Times New Roman" w:eastAsia="宋体" w:cs="Times New Roman"/>
          <w:b/>
          <w:color w:val="auto"/>
          <w:kern w:val="0"/>
          <w:sz w:val="24"/>
          <w:szCs w:val="24"/>
          <w:highlight w:val="none"/>
          <w:lang w:val="en-US" w:eastAsia="zh-CN" w:bidi="ar"/>
        </w:rPr>
        <w:t>8</w:t>
      </w:r>
      <w:r>
        <w:rPr>
          <w:rFonts w:hint="default" w:ascii="Times New Roman" w:hAnsi="Times New Roman" w:eastAsia="宋体" w:cs="Times New Roman"/>
          <w:b/>
          <w:color w:val="auto"/>
          <w:kern w:val="0"/>
          <w:sz w:val="24"/>
          <w:szCs w:val="24"/>
          <w:highlight w:val="none"/>
          <w:lang w:val="en-US" w:eastAsia="zh-CN" w:bidi="ar"/>
        </w:rPr>
        <w:t>.3.2环境监测的主要任务</w:t>
      </w:r>
      <w:bookmarkEnd w:id="605"/>
    </w:p>
    <w:p w14:paraId="4DC62A70">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（1）制定项目环境监测计划。</w:t>
      </w:r>
    </w:p>
    <w:p w14:paraId="1800B14F">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（2）定期监测项目排放污染物是否符合规定的排放标准，并对主要污染物建立监测档案。</w:t>
      </w:r>
    </w:p>
    <w:p w14:paraId="1EFD3F25">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（3）分析所排污染物质变化规律，为制定污染控制措施提供依据。</w:t>
      </w:r>
    </w:p>
    <w:p w14:paraId="36763330">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（4）配合生产车间，参加</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三废</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的治理工作。</w:t>
      </w:r>
    </w:p>
    <w:p w14:paraId="731D1FC3">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（5）负责企业污染事故调查监测及报告。</w:t>
      </w:r>
    </w:p>
    <w:p w14:paraId="52B477E6">
      <w:pPr>
        <w:keepNext w:val="0"/>
        <w:keepLines w:val="0"/>
        <w:pageBreakBefore w:val="0"/>
        <w:widowControl w:val="0"/>
        <w:kinsoku/>
        <w:wordWrap/>
        <w:overflowPunct/>
        <w:topLinePunct w:val="0"/>
        <w:autoSpaceDE/>
        <w:autoSpaceDN/>
        <w:bidi w:val="0"/>
        <w:adjustRightInd/>
        <w:snapToGrid/>
        <w:spacing w:before="157" w:beforeLines="50" w:beforeAutospacing="0" w:after="157" w:afterLines="50" w:afterAutospacing="0" w:line="24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en-US" w:eastAsia="zh-CN" w:bidi="ar"/>
        </w:rPr>
      </w:pPr>
      <w:bookmarkStart w:id="606" w:name="_Toc9408"/>
      <w:r>
        <w:rPr>
          <w:rFonts w:hint="eastAsia" w:ascii="Times New Roman" w:hAnsi="Times New Roman" w:eastAsia="宋体" w:cs="Times New Roman"/>
          <w:b/>
          <w:color w:val="auto"/>
          <w:kern w:val="0"/>
          <w:sz w:val="24"/>
          <w:szCs w:val="24"/>
          <w:highlight w:val="none"/>
          <w:lang w:val="en-US" w:eastAsia="zh-CN" w:bidi="ar"/>
        </w:rPr>
        <w:t>8</w:t>
      </w:r>
      <w:r>
        <w:rPr>
          <w:rFonts w:hint="default" w:ascii="Times New Roman" w:hAnsi="Times New Roman" w:eastAsia="宋体" w:cs="Times New Roman"/>
          <w:b/>
          <w:color w:val="auto"/>
          <w:kern w:val="0"/>
          <w:sz w:val="24"/>
          <w:szCs w:val="24"/>
          <w:highlight w:val="none"/>
          <w:lang w:val="en-US" w:eastAsia="zh-CN" w:bidi="ar"/>
        </w:rPr>
        <w:t>.3.3环境监测计划</w:t>
      </w:r>
      <w:bookmarkEnd w:id="606"/>
    </w:p>
    <w:p w14:paraId="2D8B95C8">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val="en-US" w:eastAsia="zh-CN"/>
        </w:rPr>
        <w:t>根据</w:t>
      </w:r>
      <w:r>
        <w:rPr>
          <w:rFonts w:hint="default" w:ascii="Times New Roman" w:hAnsi="Times New Roman" w:eastAsia="宋体" w:cs="Times New Roman"/>
          <w:color w:val="auto"/>
          <w:sz w:val="24"/>
          <w:highlight w:val="none"/>
        </w:rPr>
        <w:t>《排污许可证申请与核发技术规范</w:t>
      </w:r>
      <w:r>
        <w:rPr>
          <w:rFonts w:hint="eastAsia" w:ascii="Times New Roman" w:hAnsi="Times New Roman" w:eastAsia="宋体" w:cs="Times New Roman"/>
          <w:color w:val="auto"/>
          <w:sz w:val="24"/>
          <w:highlight w:val="none"/>
          <w:lang w:val="en-US" w:eastAsia="zh-CN"/>
        </w:rPr>
        <w:t xml:space="preserve"> 储油库、加油站</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（HJ11</w:t>
      </w:r>
      <w:r>
        <w:rPr>
          <w:rFonts w:hint="eastAsia"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lang w:eastAsia="zh-CN"/>
        </w:rPr>
        <w:t>—2020）</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排污单位自行监测技术指南</w:t>
      </w:r>
      <w:r>
        <w:rPr>
          <w:rFonts w:hint="eastAsia" w:ascii="Times New Roman" w:hAnsi="Times New Roman" w:eastAsia="宋体" w:cs="Times New Roman"/>
          <w:color w:val="auto"/>
          <w:sz w:val="24"/>
          <w:highlight w:val="none"/>
          <w:lang w:val="en-US" w:eastAsia="zh-CN"/>
        </w:rPr>
        <w:t xml:space="preserve"> 石油化学工业》</w:t>
      </w:r>
      <w:r>
        <w:rPr>
          <w:rFonts w:hint="default" w:ascii="Times New Roman" w:hAnsi="Times New Roman" w:eastAsia="宋体" w:cs="Times New Roman"/>
          <w:color w:val="auto"/>
          <w:sz w:val="24"/>
          <w:highlight w:val="none"/>
          <w:lang w:eastAsia="zh-CN"/>
        </w:rPr>
        <w:t>（HJ</w:t>
      </w:r>
      <w:r>
        <w:rPr>
          <w:rFonts w:hint="eastAsia" w:ascii="Times New Roman" w:hAnsi="Times New Roman" w:eastAsia="宋体" w:cs="Times New Roman"/>
          <w:color w:val="auto"/>
          <w:sz w:val="24"/>
          <w:highlight w:val="none"/>
          <w:lang w:val="en-US" w:eastAsia="zh-CN"/>
        </w:rPr>
        <w:t>947</w:t>
      </w:r>
      <w:r>
        <w:rPr>
          <w:rFonts w:hint="default" w:ascii="Times New Roman" w:hAnsi="Times New Roman" w:eastAsia="宋体" w:cs="Times New Roman"/>
          <w:color w:val="auto"/>
          <w:sz w:val="24"/>
          <w:highlight w:val="none"/>
          <w:lang w:eastAsia="zh-CN"/>
        </w:rPr>
        <w:t>—20</w:t>
      </w:r>
      <w:r>
        <w:rPr>
          <w:rFonts w:hint="eastAsia"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排污</w:t>
      </w:r>
      <w:r>
        <w:rPr>
          <w:rFonts w:hint="eastAsia" w:ascii="Times New Roman" w:hAnsi="Times New Roman" w:eastAsia="宋体" w:cs="Times New Roman"/>
          <w:color w:val="auto"/>
          <w:sz w:val="24"/>
          <w:highlight w:val="none"/>
          <w:lang w:val="en-US" w:eastAsia="zh-CN"/>
        </w:rPr>
        <w:t>单位自行监测计划指南 储油库、加油站</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（HJ</w:t>
      </w:r>
      <w:r>
        <w:rPr>
          <w:rFonts w:hint="eastAsia" w:ascii="Times New Roman" w:hAnsi="Times New Roman" w:eastAsia="宋体" w:cs="Times New Roman"/>
          <w:color w:val="auto"/>
          <w:sz w:val="24"/>
          <w:highlight w:val="none"/>
          <w:lang w:val="en-US" w:eastAsia="zh-CN"/>
        </w:rPr>
        <w:t>1249</w:t>
      </w:r>
      <w:r>
        <w:rPr>
          <w:rFonts w:hint="default" w:ascii="Times New Roman" w:hAnsi="Times New Roman" w:eastAsia="宋体" w:cs="Times New Roman"/>
          <w:color w:val="auto"/>
          <w:sz w:val="24"/>
          <w:highlight w:val="none"/>
          <w:lang w:eastAsia="zh-CN"/>
        </w:rPr>
        <w:t>—202</w:t>
      </w:r>
      <w:r>
        <w:rPr>
          <w:rFonts w:hint="eastAsia"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排污</w:t>
      </w:r>
      <w:r>
        <w:rPr>
          <w:rFonts w:hint="eastAsia" w:ascii="Times New Roman" w:hAnsi="Times New Roman" w:eastAsia="宋体" w:cs="Times New Roman"/>
          <w:color w:val="auto"/>
          <w:sz w:val="24"/>
          <w:highlight w:val="none"/>
          <w:lang w:val="en-US" w:eastAsia="zh-CN"/>
        </w:rPr>
        <w:t>单位自行监测计划指南 石油化学工业</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（HJ</w:t>
      </w:r>
      <w:r>
        <w:rPr>
          <w:rFonts w:hint="eastAsia" w:ascii="Times New Roman" w:hAnsi="Times New Roman" w:eastAsia="宋体" w:cs="Times New Roman"/>
          <w:color w:val="auto"/>
          <w:sz w:val="24"/>
          <w:highlight w:val="none"/>
          <w:lang w:val="en-US" w:eastAsia="zh-CN"/>
        </w:rPr>
        <w:t>947</w:t>
      </w:r>
      <w:r>
        <w:rPr>
          <w:rFonts w:hint="default" w:ascii="Times New Roman" w:hAnsi="Times New Roman" w:eastAsia="宋体" w:cs="Times New Roman"/>
          <w:color w:val="auto"/>
          <w:sz w:val="24"/>
          <w:highlight w:val="none"/>
          <w:lang w:eastAsia="zh-CN"/>
        </w:rPr>
        <w:t>—20</w:t>
      </w:r>
      <w:r>
        <w:rPr>
          <w:rFonts w:hint="eastAsia"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，本公司自行监测计划如下</w:t>
      </w:r>
      <w:r>
        <w:rPr>
          <w:rFonts w:hint="eastAsia" w:ascii="Times New Roman" w:hAnsi="Times New Roman" w:eastAsia="宋体" w:cs="Times New Roman"/>
          <w:color w:val="auto"/>
          <w:sz w:val="24"/>
          <w:highlight w:val="none"/>
          <w:lang w:eastAsia="zh-CN"/>
        </w:rPr>
        <w:t>：</w:t>
      </w:r>
    </w:p>
    <w:p w14:paraId="62693F07">
      <w:pPr>
        <w:keepNext w:val="0"/>
        <w:widowControl w:val="0"/>
        <w:autoSpaceDE w:val="0"/>
        <w:autoSpaceDN w:val="0"/>
        <w:bidi w:val="0"/>
        <w:spacing w:line="420" w:lineRule="auto"/>
        <w:ind w:left="0" w:leftChars="0" w:right="0" w:firstLine="0" w:firstLineChars="0"/>
        <w:jc w:val="left"/>
        <w:outlineLvl w:val="3"/>
        <w:rPr>
          <w:rFonts w:hint="default" w:ascii="Times New Roman" w:hAnsi="Times New Roman" w:eastAsia="宋体" w:cs="Times New Roman"/>
          <w:b/>
          <w:bCs/>
          <w:color w:val="auto"/>
          <w:kern w:val="0"/>
          <w:sz w:val="25"/>
          <w:szCs w:val="28"/>
          <w:highlight w:val="none"/>
          <w:lang w:val="en-US" w:eastAsia="zh-CN" w:bidi="ar-SA"/>
        </w:rPr>
      </w:pPr>
      <w:r>
        <w:rPr>
          <w:rFonts w:hint="eastAsia" w:ascii="Times New Roman" w:hAnsi="Times New Roman" w:eastAsia="宋体" w:cs="Times New Roman"/>
          <w:b/>
          <w:bCs/>
          <w:color w:val="auto"/>
          <w:kern w:val="0"/>
          <w:sz w:val="25"/>
          <w:szCs w:val="28"/>
          <w:highlight w:val="none"/>
          <w:lang w:val="en-US" w:eastAsia="zh-CN" w:bidi="ar-SA"/>
        </w:rPr>
        <w:t>8</w:t>
      </w:r>
      <w:r>
        <w:rPr>
          <w:rFonts w:hint="default" w:ascii="Times New Roman" w:hAnsi="Times New Roman" w:eastAsia="宋体" w:cs="Times New Roman"/>
          <w:b/>
          <w:bCs/>
          <w:color w:val="auto"/>
          <w:kern w:val="0"/>
          <w:sz w:val="25"/>
          <w:szCs w:val="28"/>
          <w:highlight w:val="none"/>
          <w:lang w:val="en-US" w:eastAsia="zh-CN" w:bidi="ar-SA"/>
        </w:rPr>
        <w:t>.3.3.1废气排放监测</w:t>
      </w:r>
    </w:p>
    <w:p w14:paraId="1E1829F0">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废气排放自行监测计划如下表。</w:t>
      </w:r>
    </w:p>
    <w:p w14:paraId="2E3144FF">
      <w:pPr>
        <w:widowControl/>
        <w:bidi w:val="0"/>
        <w:spacing w:line="360" w:lineRule="auto"/>
        <w:ind w:firstLine="482" w:firstLineChars="200"/>
        <w:jc w:val="center"/>
        <w:rPr>
          <w:rFonts w:hint="default" w:ascii="Times New Roman" w:hAnsi="Times New Roman" w:eastAsia="宋体" w:cs="Times New Roman"/>
          <w:b/>
          <w:bCs/>
          <w:color w:val="auto"/>
          <w:kern w:val="2"/>
          <w:sz w:val="24"/>
          <w:szCs w:val="21"/>
          <w:highlight w:val="none"/>
          <w:lang w:val="en-US" w:eastAsia="zh-CN" w:bidi="ar-SA"/>
        </w:rPr>
      </w:pPr>
    </w:p>
    <w:p w14:paraId="54419B1C">
      <w:pPr>
        <w:widowControl/>
        <w:bidi w:val="0"/>
        <w:spacing w:line="360" w:lineRule="auto"/>
        <w:ind w:firstLine="482" w:firstLineChars="20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8.3.3</w:t>
      </w:r>
      <w:r>
        <w:rPr>
          <w:rFonts w:hint="default" w:ascii="Times New Roman" w:hAnsi="Times New Roman" w:eastAsia="宋体" w:cs="Times New Roman"/>
          <w:b/>
          <w:bCs/>
          <w:color w:val="auto"/>
          <w:kern w:val="2"/>
          <w:sz w:val="24"/>
          <w:szCs w:val="21"/>
          <w:highlight w:val="none"/>
          <w:lang w:val="en-US" w:eastAsia="zh-CN" w:bidi="ar-SA"/>
        </w:rPr>
        <w:t>-1</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有组织废气监测方案</w:t>
      </w:r>
    </w:p>
    <w:tbl>
      <w:tblPr>
        <w:tblStyle w:val="4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7"/>
        <w:gridCol w:w="1034"/>
        <w:gridCol w:w="1651"/>
        <w:gridCol w:w="1319"/>
        <w:gridCol w:w="2880"/>
      </w:tblGrid>
      <w:tr w14:paraId="01CD5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5" w:type="pct"/>
            <w:gridSpan w:val="2"/>
            <w:noWrap w:val="0"/>
            <w:vAlign w:val="center"/>
          </w:tcPr>
          <w:p w14:paraId="69E1AFB5">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监测点位</w:t>
            </w:r>
          </w:p>
        </w:tc>
        <w:tc>
          <w:tcPr>
            <w:tcW w:w="932" w:type="pct"/>
            <w:noWrap w:val="0"/>
            <w:vAlign w:val="center"/>
          </w:tcPr>
          <w:p w14:paraId="5A77461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监测指标</w:t>
            </w:r>
          </w:p>
        </w:tc>
        <w:tc>
          <w:tcPr>
            <w:tcW w:w="745" w:type="pct"/>
            <w:noWrap w:val="0"/>
            <w:vAlign w:val="center"/>
          </w:tcPr>
          <w:p w14:paraId="34BB59D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监测频次</w:t>
            </w:r>
          </w:p>
        </w:tc>
        <w:tc>
          <w:tcPr>
            <w:tcW w:w="1626" w:type="pct"/>
            <w:noWrap w:val="0"/>
            <w:vAlign w:val="center"/>
          </w:tcPr>
          <w:p w14:paraId="530CB46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执行排放标准</w:t>
            </w:r>
          </w:p>
        </w:tc>
      </w:tr>
      <w:tr w14:paraId="32DDA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restart"/>
            <w:noWrap w:val="0"/>
            <w:vAlign w:val="center"/>
          </w:tcPr>
          <w:p w14:paraId="220CEC4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转化炉废气</w:t>
            </w:r>
          </w:p>
        </w:tc>
        <w:tc>
          <w:tcPr>
            <w:tcW w:w="584" w:type="pct"/>
            <w:vMerge w:val="restart"/>
            <w:noWrap w:val="0"/>
            <w:vAlign w:val="center"/>
          </w:tcPr>
          <w:p w14:paraId="4FD19DD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36"/>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DA00</w:t>
            </w:r>
            <w:r>
              <w:rPr>
                <w:rFonts w:hint="eastAsia" w:ascii="Times New Roman" w:hAnsi="Times New Roman" w:eastAsia="宋体" w:cs="Times New Roman"/>
                <w:b w:val="0"/>
                <w:bCs w:val="0"/>
                <w:color w:val="auto"/>
                <w:kern w:val="0"/>
                <w:sz w:val="21"/>
                <w:szCs w:val="21"/>
                <w:highlight w:val="none"/>
                <w:lang w:val="en-US" w:eastAsia="zh-CN" w:bidi="ar-SA"/>
              </w:rPr>
              <w:t>1</w:t>
            </w:r>
          </w:p>
        </w:tc>
        <w:tc>
          <w:tcPr>
            <w:tcW w:w="932" w:type="pct"/>
            <w:noWrap w:val="0"/>
            <w:vAlign w:val="center"/>
          </w:tcPr>
          <w:p w14:paraId="4570187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颗粒物</w:t>
            </w:r>
          </w:p>
        </w:tc>
        <w:tc>
          <w:tcPr>
            <w:tcW w:w="745" w:type="pct"/>
            <w:noWrap w:val="0"/>
            <w:vAlign w:val="center"/>
          </w:tcPr>
          <w:p w14:paraId="737449B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vMerge w:val="restart"/>
            <w:noWrap w:val="0"/>
            <w:vAlign w:val="center"/>
          </w:tcPr>
          <w:p w14:paraId="23CD7A6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rPr>
              <w:t>《石油化学工业污染物排放标准（含2024年修改单）》</w:t>
            </w:r>
            <w:r>
              <w:rPr>
                <w:rFonts w:hint="eastAsia" w:cs="Times New Roman"/>
                <w:color w:val="auto"/>
                <w:kern w:val="0"/>
                <w:sz w:val="21"/>
                <w:szCs w:val="20"/>
                <w:highlight w:val="none"/>
                <w:lang w:val="en-US" w:eastAsia="zh-CN"/>
              </w:rPr>
              <w:t>（</w:t>
            </w:r>
            <w:r>
              <w:rPr>
                <w:rFonts w:hint="eastAsia" w:ascii="Times New Roman" w:hAnsi="Times New Roman" w:eastAsia="宋体" w:cs="Times New Roman"/>
                <w:color w:val="auto"/>
                <w:kern w:val="0"/>
                <w:sz w:val="21"/>
                <w:szCs w:val="20"/>
                <w:highlight w:val="none"/>
                <w:lang w:val="en-US" w:eastAsia="zh-CN"/>
              </w:rPr>
              <w:t>GB31571-2015</w:t>
            </w:r>
            <w:r>
              <w:rPr>
                <w:rFonts w:hint="eastAsia" w:cs="Times New Roman"/>
                <w:color w:val="auto"/>
                <w:kern w:val="0"/>
                <w:sz w:val="21"/>
                <w:szCs w:val="20"/>
                <w:highlight w:val="none"/>
                <w:lang w:val="en-US" w:eastAsia="zh-CN"/>
              </w:rPr>
              <w:t>）</w:t>
            </w:r>
          </w:p>
        </w:tc>
      </w:tr>
      <w:tr w14:paraId="4DDD1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continue"/>
            <w:noWrap w:val="0"/>
            <w:vAlign w:val="center"/>
          </w:tcPr>
          <w:p w14:paraId="155E6A4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b/>
                <w:bCs/>
                <w:color w:val="auto"/>
                <w:kern w:val="2"/>
                <w:sz w:val="21"/>
                <w:szCs w:val="36"/>
                <w:highlight w:val="none"/>
                <w:lang w:val="en-US" w:eastAsia="zh-CN" w:bidi="ar-SA"/>
              </w:rPr>
            </w:pPr>
          </w:p>
        </w:tc>
        <w:tc>
          <w:tcPr>
            <w:tcW w:w="584" w:type="pct"/>
            <w:vMerge w:val="continue"/>
            <w:noWrap w:val="0"/>
            <w:vAlign w:val="center"/>
          </w:tcPr>
          <w:p w14:paraId="41D156A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932" w:type="pct"/>
            <w:noWrap w:val="0"/>
            <w:vAlign w:val="center"/>
          </w:tcPr>
          <w:p w14:paraId="140E81D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SO</w:t>
            </w:r>
            <w:r>
              <w:rPr>
                <w:rFonts w:hint="eastAsia" w:ascii="Times New Roman" w:hAnsi="Times New Roman" w:eastAsia="宋体" w:cs="Times New Roman"/>
                <w:color w:val="auto"/>
                <w:kern w:val="2"/>
                <w:sz w:val="21"/>
                <w:szCs w:val="36"/>
                <w:highlight w:val="none"/>
                <w:vertAlign w:val="subscript"/>
                <w:lang w:val="en-US" w:eastAsia="zh-CN" w:bidi="ar-SA"/>
              </w:rPr>
              <w:t>2</w:t>
            </w:r>
          </w:p>
        </w:tc>
        <w:tc>
          <w:tcPr>
            <w:tcW w:w="745" w:type="pct"/>
            <w:noWrap w:val="0"/>
            <w:vAlign w:val="center"/>
          </w:tcPr>
          <w:p w14:paraId="45D2E98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vMerge w:val="continue"/>
            <w:noWrap w:val="0"/>
            <w:vAlign w:val="center"/>
          </w:tcPr>
          <w:p w14:paraId="6408F36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p>
        </w:tc>
      </w:tr>
      <w:tr w14:paraId="4449A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111" w:type="pct"/>
            <w:vMerge w:val="continue"/>
            <w:noWrap w:val="0"/>
            <w:vAlign w:val="center"/>
          </w:tcPr>
          <w:p w14:paraId="1CF2A39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p>
        </w:tc>
        <w:tc>
          <w:tcPr>
            <w:tcW w:w="584" w:type="pct"/>
            <w:vMerge w:val="continue"/>
            <w:noWrap w:val="0"/>
            <w:vAlign w:val="center"/>
          </w:tcPr>
          <w:p w14:paraId="1EA5073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36"/>
                <w:highlight w:val="none"/>
                <w:lang w:val="en-US" w:eastAsia="zh-CN" w:bidi="ar-SA"/>
              </w:rPr>
            </w:pPr>
          </w:p>
        </w:tc>
        <w:tc>
          <w:tcPr>
            <w:tcW w:w="932" w:type="pct"/>
            <w:noWrap w:val="0"/>
            <w:vAlign w:val="center"/>
          </w:tcPr>
          <w:p w14:paraId="731BAF8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NOx</w:t>
            </w:r>
          </w:p>
        </w:tc>
        <w:tc>
          <w:tcPr>
            <w:tcW w:w="745" w:type="pct"/>
            <w:noWrap w:val="0"/>
            <w:vAlign w:val="center"/>
          </w:tcPr>
          <w:p w14:paraId="04FF6E2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vMerge w:val="continue"/>
            <w:noWrap w:val="0"/>
            <w:vAlign w:val="center"/>
          </w:tcPr>
          <w:p w14:paraId="347E7F7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p>
        </w:tc>
      </w:tr>
      <w:tr w14:paraId="10F95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continue"/>
            <w:noWrap w:val="0"/>
            <w:vAlign w:val="center"/>
          </w:tcPr>
          <w:p w14:paraId="7A2AEB5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p>
        </w:tc>
        <w:tc>
          <w:tcPr>
            <w:tcW w:w="584" w:type="pct"/>
            <w:vMerge w:val="continue"/>
            <w:noWrap w:val="0"/>
            <w:vAlign w:val="center"/>
          </w:tcPr>
          <w:p w14:paraId="75C5E4C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36"/>
                <w:highlight w:val="none"/>
                <w:lang w:val="en-US" w:eastAsia="zh-CN" w:bidi="ar-SA"/>
              </w:rPr>
            </w:pPr>
          </w:p>
        </w:tc>
        <w:tc>
          <w:tcPr>
            <w:tcW w:w="932" w:type="pct"/>
            <w:noWrap w:val="0"/>
            <w:vAlign w:val="center"/>
          </w:tcPr>
          <w:p w14:paraId="17F0ED7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非甲烷总烃</w:t>
            </w:r>
          </w:p>
        </w:tc>
        <w:tc>
          <w:tcPr>
            <w:tcW w:w="745" w:type="pct"/>
            <w:noWrap w:val="0"/>
            <w:vAlign w:val="center"/>
          </w:tcPr>
          <w:p w14:paraId="45F07BB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noWrap w:val="0"/>
            <w:vAlign w:val="center"/>
          </w:tcPr>
          <w:p w14:paraId="4438017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《大气污染物综合排放标准》（GB16297-1996）表2污染物排放限值</w:t>
            </w:r>
          </w:p>
        </w:tc>
      </w:tr>
      <w:tr w14:paraId="2C0C8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restart"/>
            <w:noWrap w:val="0"/>
            <w:vAlign w:val="center"/>
          </w:tcPr>
          <w:p w14:paraId="6C58D77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转化炉废气</w:t>
            </w:r>
          </w:p>
        </w:tc>
        <w:tc>
          <w:tcPr>
            <w:tcW w:w="584" w:type="pct"/>
            <w:vMerge w:val="restart"/>
            <w:noWrap w:val="0"/>
            <w:vAlign w:val="center"/>
          </w:tcPr>
          <w:p w14:paraId="28108495">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36"/>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DA00</w:t>
            </w:r>
            <w:r>
              <w:rPr>
                <w:rFonts w:hint="eastAsia" w:ascii="Times New Roman" w:hAnsi="Times New Roman" w:eastAsia="宋体" w:cs="Times New Roman"/>
                <w:b w:val="0"/>
                <w:bCs w:val="0"/>
                <w:color w:val="auto"/>
                <w:kern w:val="0"/>
                <w:sz w:val="21"/>
                <w:szCs w:val="21"/>
                <w:highlight w:val="none"/>
                <w:lang w:val="en-US" w:eastAsia="zh-CN" w:bidi="ar-SA"/>
              </w:rPr>
              <w:t>2</w:t>
            </w:r>
          </w:p>
        </w:tc>
        <w:tc>
          <w:tcPr>
            <w:tcW w:w="932" w:type="pct"/>
            <w:noWrap w:val="0"/>
            <w:vAlign w:val="center"/>
          </w:tcPr>
          <w:p w14:paraId="057756A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颗粒物</w:t>
            </w:r>
          </w:p>
        </w:tc>
        <w:tc>
          <w:tcPr>
            <w:tcW w:w="745" w:type="pct"/>
            <w:noWrap w:val="0"/>
            <w:vAlign w:val="center"/>
          </w:tcPr>
          <w:p w14:paraId="55D94A3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vMerge w:val="restart"/>
            <w:noWrap w:val="0"/>
            <w:vAlign w:val="center"/>
          </w:tcPr>
          <w:p w14:paraId="2DB3380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rPr>
              <w:t>《石油化学工业污染物排放标准（含2024年修改单）》</w:t>
            </w:r>
            <w:r>
              <w:rPr>
                <w:rFonts w:hint="eastAsia" w:cs="Times New Roman"/>
                <w:color w:val="auto"/>
                <w:kern w:val="0"/>
                <w:sz w:val="21"/>
                <w:szCs w:val="20"/>
                <w:highlight w:val="none"/>
                <w:lang w:val="en-US" w:eastAsia="zh-CN"/>
              </w:rPr>
              <w:t>（</w:t>
            </w:r>
            <w:r>
              <w:rPr>
                <w:rFonts w:hint="eastAsia" w:ascii="Times New Roman" w:hAnsi="Times New Roman" w:eastAsia="宋体" w:cs="Times New Roman"/>
                <w:color w:val="auto"/>
                <w:kern w:val="0"/>
                <w:sz w:val="21"/>
                <w:szCs w:val="20"/>
                <w:highlight w:val="none"/>
                <w:lang w:val="en-US" w:eastAsia="zh-CN"/>
              </w:rPr>
              <w:t>GB31571-2015</w:t>
            </w:r>
            <w:r>
              <w:rPr>
                <w:rFonts w:hint="eastAsia" w:cs="Times New Roman"/>
                <w:color w:val="auto"/>
                <w:kern w:val="0"/>
                <w:sz w:val="21"/>
                <w:szCs w:val="20"/>
                <w:highlight w:val="none"/>
                <w:lang w:val="en-US" w:eastAsia="zh-CN"/>
              </w:rPr>
              <w:t>）</w:t>
            </w:r>
          </w:p>
        </w:tc>
      </w:tr>
      <w:tr w14:paraId="5256C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continue"/>
            <w:noWrap w:val="0"/>
            <w:vAlign w:val="center"/>
          </w:tcPr>
          <w:p w14:paraId="6CC82EA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584" w:type="pct"/>
            <w:vMerge w:val="continue"/>
            <w:noWrap w:val="0"/>
            <w:vAlign w:val="center"/>
          </w:tcPr>
          <w:p w14:paraId="7961854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36"/>
                <w:highlight w:val="none"/>
                <w:lang w:val="en-US" w:eastAsia="zh-CN" w:bidi="ar-SA"/>
              </w:rPr>
            </w:pPr>
          </w:p>
        </w:tc>
        <w:tc>
          <w:tcPr>
            <w:tcW w:w="932" w:type="pct"/>
            <w:noWrap w:val="0"/>
            <w:vAlign w:val="center"/>
          </w:tcPr>
          <w:p w14:paraId="0763336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SO</w:t>
            </w:r>
            <w:r>
              <w:rPr>
                <w:rFonts w:hint="eastAsia" w:ascii="Times New Roman" w:hAnsi="Times New Roman" w:eastAsia="宋体" w:cs="Times New Roman"/>
                <w:color w:val="auto"/>
                <w:kern w:val="2"/>
                <w:sz w:val="21"/>
                <w:szCs w:val="36"/>
                <w:highlight w:val="none"/>
                <w:vertAlign w:val="subscript"/>
                <w:lang w:val="en-US" w:eastAsia="zh-CN" w:bidi="ar-SA"/>
              </w:rPr>
              <w:t>2</w:t>
            </w:r>
          </w:p>
        </w:tc>
        <w:tc>
          <w:tcPr>
            <w:tcW w:w="745" w:type="pct"/>
            <w:noWrap w:val="0"/>
            <w:vAlign w:val="center"/>
          </w:tcPr>
          <w:p w14:paraId="415A334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vMerge w:val="continue"/>
            <w:noWrap w:val="0"/>
            <w:vAlign w:val="center"/>
          </w:tcPr>
          <w:p w14:paraId="4FF9002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p>
        </w:tc>
      </w:tr>
      <w:tr w14:paraId="7F846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continue"/>
            <w:noWrap w:val="0"/>
            <w:vAlign w:val="center"/>
          </w:tcPr>
          <w:p w14:paraId="1E68FC3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584" w:type="pct"/>
            <w:vMerge w:val="continue"/>
            <w:noWrap w:val="0"/>
            <w:vAlign w:val="center"/>
          </w:tcPr>
          <w:p w14:paraId="0B235BD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36"/>
                <w:highlight w:val="none"/>
                <w:lang w:val="en-US" w:eastAsia="zh-CN" w:bidi="ar-SA"/>
              </w:rPr>
            </w:pPr>
          </w:p>
        </w:tc>
        <w:tc>
          <w:tcPr>
            <w:tcW w:w="932" w:type="pct"/>
            <w:noWrap w:val="0"/>
            <w:vAlign w:val="center"/>
          </w:tcPr>
          <w:p w14:paraId="19A7C87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NOx</w:t>
            </w:r>
          </w:p>
        </w:tc>
        <w:tc>
          <w:tcPr>
            <w:tcW w:w="745" w:type="pct"/>
            <w:noWrap w:val="0"/>
            <w:vAlign w:val="center"/>
          </w:tcPr>
          <w:p w14:paraId="4678DA7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vMerge w:val="continue"/>
            <w:noWrap w:val="0"/>
            <w:vAlign w:val="center"/>
          </w:tcPr>
          <w:p w14:paraId="60368B2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p>
        </w:tc>
      </w:tr>
      <w:tr w14:paraId="24D7E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continue"/>
            <w:noWrap w:val="0"/>
            <w:vAlign w:val="center"/>
          </w:tcPr>
          <w:p w14:paraId="684204C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584" w:type="pct"/>
            <w:vMerge w:val="continue"/>
            <w:noWrap w:val="0"/>
            <w:vAlign w:val="center"/>
          </w:tcPr>
          <w:p w14:paraId="2483A74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val="0"/>
                <w:bCs w:val="0"/>
                <w:color w:val="auto"/>
                <w:kern w:val="2"/>
                <w:sz w:val="21"/>
                <w:szCs w:val="36"/>
                <w:highlight w:val="none"/>
                <w:lang w:val="en-US" w:eastAsia="zh-CN" w:bidi="ar-SA"/>
              </w:rPr>
            </w:pPr>
          </w:p>
        </w:tc>
        <w:tc>
          <w:tcPr>
            <w:tcW w:w="932" w:type="pct"/>
            <w:noWrap w:val="0"/>
            <w:vAlign w:val="center"/>
          </w:tcPr>
          <w:p w14:paraId="2041C58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非甲烷总烃</w:t>
            </w:r>
          </w:p>
        </w:tc>
        <w:tc>
          <w:tcPr>
            <w:tcW w:w="745" w:type="pct"/>
            <w:noWrap w:val="0"/>
            <w:vAlign w:val="center"/>
          </w:tcPr>
          <w:p w14:paraId="2540DD8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noWrap w:val="0"/>
            <w:vAlign w:val="center"/>
          </w:tcPr>
          <w:p w14:paraId="43FA2956">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《大气污染物综合排放标准》（GB16297-1996）表2污染物排放限值</w:t>
            </w:r>
          </w:p>
        </w:tc>
      </w:tr>
      <w:tr w14:paraId="34861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restart"/>
            <w:noWrap w:val="0"/>
            <w:vAlign w:val="center"/>
          </w:tcPr>
          <w:p w14:paraId="1F8B0F8E">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转化炉废气</w:t>
            </w:r>
          </w:p>
        </w:tc>
        <w:tc>
          <w:tcPr>
            <w:tcW w:w="584" w:type="pct"/>
            <w:vMerge w:val="restart"/>
            <w:noWrap w:val="0"/>
            <w:vAlign w:val="center"/>
          </w:tcPr>
          <w:p w14:paraId="2FA388D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36"/>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DA003</w:t>
            </w:r>
          </w:p>
        </w:tc>
        <w:tc>
          <w:tcPr>
            <w:tcW w:w="932" w:type="pct"/>
            <w:noWrap w:val="0"/>
            <w:vAlign w:val="center"/>
          </w:tcPr>
          <w:p w14:paraId="5CB88BE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颗粒物</w:t>
            </w:r>
          </w:p>
        </w:tc>
        <w:tc>
          <w:tcPr>
            <w:tcW w:w="745" w:type="pct"/>
            <w:noWrap w:val="0"/>
            <w:vAlign w:val="center"/>
          </w:tcPr>
          <w:p w14:paraId="077F5ED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vMerge w:val="restart"/>
            <w:noWrap w:val="0"/>
            <w:vAlign w:val="center"/>
          </w:tcPr>
          <w:p w14:paraId="5BE8D39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rPr>
              <w:t>《石油化学工业污染物排放标准（含2024年修改单）》</w:t>
            </w:r>
            <w:r>
              <w:rPr>
                <w:rFonts w:hint="eastAsia" w:cs="Times New Roman"/>
                <w:color w:val="auto"/>
                <w:kern w:val="0"/>
                <w:sz w:val="21"/>
                <w:szCs w:val="20"/>
                <w:highlight w:val="none"/>
                <w:lang w:val="en-US" w:eastAsia="zh-CN"/>
              </w:rPr>
              <w:t>（</w:t>
            </w:r>
            <w:r>
              <w:rPr>
                <w:rFonts w:hint="eastAsia" w:ascii="Times New Roman" w:hAnsi="Times New Roman" w:eastAsia="宋体" w:cs="Times New Roman"/>
                <w:color w:val="auto"/>
                <w:kern w:val="0"/>
                <w:sz w:val="21"/>
                <w:szCs w:val="20"/>
                <w:highlight w:val="none"/>
                <w:lang w:val="en-US" w:eastAsia="zh-CN"/>
              </w:rPr>
              <w:t>GB31571-2015</w:t>
            </w:r>
            <w:r>
              <w:rPr>
                <w:rFonts w:hint="eastAsia" w:cs="Times New Roman"/>
                <w:color w:val="auto"/>
                <w:kern w:val="0"/>
                <w:sz w:val="21"/>
                <w:szCs w:val="20"/>
                <w:highlight w:val="none"/>
                <w:lang w:val="en-US" w:eastAsia="zh-CN"/>
              </w:rPr>
              <w:t>）</w:t>
            </w:r>
          </w:p>
        </w:tc>
      </w:tr>
      <w:tr w14:paraId="488BD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continue"/>
            <w:noWrap w:val="0"/>
            <w:vAlign w:val="center"/>
          </w:tcPr>
          <w:p w14:paraId="1E676A5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584" w:type="pct"/>
            <w:vMerge w:val="continue"/>
            <w:noWrap w:val="0"/>
            <w:vAlign w:val="center"/>
          </w:tcPr>
          <w:p w14:paraId="1DDF4BF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932" w:type="pct"/>
            <w:noWrap w:val="0"/>
            <w:vAlign w:val="center"/>
          </w:tcPr>
          <w:p w14:paraId="4743A91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SO</w:t>
            </w:r>
            <w:r>
              <w:rPr>
                <w:rFonts w:hint="eastAsia" w:ascii="Times New Roman" w:hAnsi="Times New Roman" w:eastAsia="宋体" w:cs="Times New Roman"/>
                <w:color w:val="auto"/>
                <w:kern w:val="2"/>
                <w:sz w:val="21"/>
                <w:szCs w:val="36"/>
                <w:highlight w:val="none"/>
                <w:vertAlign w:val="subscript"/>
                <w:lang w:val="en-US" w:eastAsia="zh-CN" w:bidi="ar-SA"/>
              </w:rPr>
              <w:t>2</w:t>
            </w:r>
          </w:p>
        </w:tc>
        <w:tc>
          <w:tcPr>
            <w:tcW w:w="745" w:type="pct"/>
            <w:noWrap w:val="0"/>
            <w:vAlign w:val="center"/>
          </w:tcPr>
          <w:p w14:paraId="7FF8EFA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vMerge w:val="continue"/>
            <w:noWrap w:val="0"/>
            <w:vAlign w:val="center"/>
          </w:tcPr>
          <w:p w14:paraId="0F8301C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p>
        </w:tc>
      </w:tr>
      <w:tr w14:paraId="1424B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continue"/>
            <w:noWrap w:val="0"/>
            <w:vAlign w:val="center"/>
          </w:tcPr>
          <w:p w14:paraId="35C72084">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584" w:type="pct"/>
            <w:vMerge w:val="continue"/>
            <w:noWrap w:val="0"/>
            <w:vAlign w:val="center"/>
          </w:tcPr>
          <w:p w14:paraId="53E0DAF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932" w:type="pct"/>
            <w:noWrap w:val="0"/>
            <w:vAlign w:val="center"/>
          </w:tcPr>
          <w:p w14:paraId="2318748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NOx</w:t>
            </w:r>
          </w:p>
        </w:tc>
        <w:tc>
          <w:tcPr>
            <w:tcW w:w="745" w:type="pct"/>
            <w:noWrap w:val="0"/>
            <w:vAlign w:val="center"/>
          </w:tcPr>
          <w:p w14:paraId="4B95B7C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vMerge w:val="continue"/>
            <w:noWrap w:val="0"/>
            <w:vAlign w:val="center"/>
          </w:tcPr>
          <w:p w14:paraId="01E7FF3C">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p>
        </w:tc>
      </w:tr>
      <w:tr w14:paraId="7E3BB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1" w:type="pct"/>
            <w:vMerge w:val="continue"/>
            <w:noWrap w:val="0"/>
            <w:vAlign w:val="center"/>
          </w:tcPr>
          <w:p w14:paraId="78199D6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b/>
                <w:bCs/>
                <w:color w:val="auto"/>
                <w:kern w:val="2"/>
                <w:sz w:val="21"/>
                <w:szCs w:val="36"/>
                <w:highlight w:val="none"/>
                <w:lang w:val="en-US" w:eastAsia="zh-CN" w:bidi="ar-SA"/>
              </w:rPr>
            </w:pPr>
          </w:p>
        </w:tc>
        <w:tc>
          <w:tcPr>
            <w:tcW w:w="584" w:type="pct"/>
            <w:vMerge w:val="continue"/>
            <w:noWrap w:val="0"/>
            <w:vAlign w:val="center"/>
          </w:tcPr>
          <w:p w14:paraId="5EBDDAB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932" w:type="pct"/>
            <w:noWrap w:val="0"/>
            <w:vAlign w:val="center"/>
          </w:tcPr>
          <w:p w14:paraId="6192FD2D">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非甲烷总烃</w:t>
            </w:r>
          </w:p>
        </w:tc>
        <w:tc>
          <w:tcPr>
            <w:tcW w:w="745" w:type="pct"/>
            <w:noWrap w:val="0"/>
            <w:vAlign w:val="center"/>
          </w:tcPr>
          <w:p w14:paraId="67C2657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1626" w:type="pct"/>
            <w:noWrap w:val="0"/>
            <w:vAlign w:val="center"/>
          </w:tcPr>
          <w:p w14:paraId="49005FBA">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《大气污染物综合排放标准》（GB16297-1996）表2污染物排放限值</w:t>
            </w:r>
          </w:p>
        </w:tc>
      </w:tr>
    </w:tbl>
    <w:p w14:paraId="77AA7556">
      <w:pPr>
        <w:widowControl/>
        <w:bidi w:val="0"/>
        <w:spacing w:line="360" w:lineRule="auto"/>
        <w:ind w:firstLine="482" w:firstLineChars="20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8.3.3</w:t>
      </w:r>
      <w:r>
        <w:rPr>
          <w:rFonts w:hint="default" w:ascii="Times New Roman" w:hAnsi="Times New Roman" w:eastAsia="宋体" w:cs="Times New Roman"/>
          <w:b/>
          <w:bCs/>
          <w:color w:val="auto"/>
          <w:kern w:val="2"/>
          <w:sz w:val="24"/>
          <w:szCs w:val="21"/>
          <w:highlight w:val="none"/>
          <w:lang w:val="en-US" w:eastAsia="zh-CN" w:bidi="ar-SA"/>
        </w:rPr>
        <w:t>-2</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无组织废气监测方案</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4"/>
        <w:gridCol w:w="1440"/>
        <w:gridCol w:w="1215"/>
        <w:gridCol w:w="3347"/>
      </w:tblGrid>
      <w:tr w14:paraId="0176E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54" w:type="dxa"/>
            <w:noWrap w:val="0"/>
            <w:vAlign w:val="center"/>
          </w:tcPr>
          <w:p w14:paraId="69764072">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监测点位</w:t>
            </w:r>
          </w:p>
        </w:tc>
        <w:tc>
          <w:tcPr>
            <w:tcW w:w="1440" w:type="dxa"/>
            <w:noWrap w:val="0"/>
            <w:vAlign w:val="center"/>
          </w:tcPr>
          <w:p w14:paraId="2EF74281">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监测指标</w:t>
            </w:r>
          </w:p>
        </w:tc>
        <w:tc>
          <w:tcPr>
            <w:tcW w:w="1215" w:type="dxa"/>
            <w:noWrap w:val="0"/>
            <w:vAlign w:val="center"/>
          </w:tcPr>
          <w:p w14:paraId="05F4A4B7">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监测频次</w:t>
            </w:r>
          </w:p>
        </w:tc>
        <w:tc>
          <w:tcPr>
            <w:tcW w:w="3347" w:type="dxa"/>
            <w:noWrap w:val="0"/>
            <w:vAlign w:val="center"/>
          </w:tcPr>
          <w:p w14:paraId="25DA25F7">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执行排放标准</w:t>
            </w:r>
          </w:p>
        </w:tc>
      </w:tr>
      <w:tr w14:paraId="49E9E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2854" w:type="dxa"/>
            <w:vMerge w:val="restart"/>
            <w:noWrap w:val="0"/>
            <w:vAlign w:val="center"/>
          </w:tcPr>
          <w:p w14:paraId="4ECEB2B6">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项目厂界</w:t>
            </w:r>
          </w:p>
        </w:tc>
        <w:tc>
          <w:tcPr>
            <w:tcW w:w="1440" w:type="dxa"/>
            <w:noWrap w:val="0"/>
            <w:vAlign w:val="center"/>
          </w:tcPr>
          <w:p w14:paraId="4AD9C7A9">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非甲烷总烃</w:t>
            </w:r>
          </w:p>
        </w:tc>
        <w:tc>
          <w:tcPr>
            <w:tcW w:w="1215" w:type="dxa"/>
            <w:noWrap w:val="0"/>
            <w:vAlign w:val="center"/>
          </w:tcPr>
          <w:p w14:paraId="06142C36">
            <w:pPr>
              <w:widowControl w:val="0"/>
              <w:bidi w:val="0"/>
              <w:spacing w:before="15" w:beforeLines="15" w:after="15" w:afterLines="15" w:line="240" w:lineRule="auto"/>
              <w:ind w:firstLine="0" w:firstLineChars="0"/>
              <w:jc w:val="center"/>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3347" w:type="dxa"/>
            <w:noWrap w:val="0"/>
            <w:vAlign w:val="center"/>
          </w:tcPr>
          <w:p w14:paraId="33B75D71">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《大气污染物综合排放标准》（GB16297-1996）厂界大气污染物监控点浓度限值</w:t>
            </w:r>
          </w:p>
        </w:tc>
      </w:tr>
      <w:tr w14:paraId="5E5C6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2854" w:type="dxa"/>
            <w:vMerge w:val="continue"/>
            <w:noWrap w:val="0"/>
            <w:vAlign w:val="center"/>
          </w:tcPr>
          <w:p w14:paraId="2DAE6FED">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p>
        </w:tc>
        <w:tc>
          <w:tcPr>
            <w:tcW w:w="1440" w:type="dxa"/>
            <w:noWrap w:val="0"/>
            <w:vAlign w:val="center"/>
          </w:tcPr>
          <w:p w14:paraId="3DD1369C">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硫化氢</w:t>
            </w:r>
          </w:p>
        </w:tc>
        <w:tc>
          <w:tcPr>
            <w:tcW w:w="1215" w:type="dxa"/>
            <w:noWrap w:val="0"/>
            <w:vAlign w:val="center"/>
          </w:tcPr>
          <w:p w14:paraId="2A658323">
            <w:pPr>
              <w:widowControl w:val="0"/>
              <w:bidi w:val="0"/>
              <w:spacing w:before="15" w:beforeLines="15" w:after="15" w:afterLines="15" w:line="240" w:lineRule="auto"/>
              <w:ind w:firstLine="0" w:firstLineChars="0"/>
              <w:jc w:val="center"/>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3347" w:type="dxa"/>
            <w:vMerge w:val="restart"/>
            <w:noWrap w:val="0"/>
            <w:vAlign w:val="center"/>
          </w:tcPr>
          <w:p w14:paraId="427E1DA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《恶臭污染物排放标准》（GB14544-93）</w:t>
            </w:r>
          </w:p>
        </w:tc>
      </w:tr>
      <w:tr w14:paraId="4C997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2854" w:type="dxa"/>
            <w:vMerge w:val="continue"/>
            <w:noWrap w:val="0"/>
            <w:vAlign w:val="center"/>
          </w:tcPr>
          <w:p w14:paraId="57F12A9A">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p>
        </w:tc>
        <w:tc>
          <w:tcPr>
            <w:tcW w:w="1440" w:type="dxa"/>
            <w:noWrap w:val="0"/>
            <w:vAlign w:val="center"/>
          </w:tcPr>
          <w:p w14:paraId="52E9FF79">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臭气浓度</w:t>
            </w:r>
          </w:p>
        </w:tc>
        <w:tc>
          <w:tcPr>
            <w:tcW w:w="1215" w:type="dxa"/>
            <w:noWrap w:val="0"/>
            <w:vAlign w:val="center"/>
          </w:tcPr>
          <w:p w14:paraId="1D75DFA4">
            <w:pPr>
              <w:widowControl w:val="0"/>
              <w:bidi w:val="0"/>
              <w:spacing w:before="15" w:beforeLines="15" w:after="15" w:afterLines="15" w:line="240" w:lineRule="auto"/>
              <w:ind w:firstLine="0" w:firstLineChars="0"/>
              <w:jc w:val="center"/>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3347" w:type="dxa"/>
            <w:vMerge w:val="continue"/>
            <w:noWrap w:val="0"/>
            <w:vAlign w:val="center"/>
          </w:tcPr>
          <w:p w14:paraId="5F9D431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p>
        </w:tc>
      </w:tr>
      <w:tr w14:paraId="14249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2854" w:type="dxa"/>
            <w:vMerge w:val="continue"/>
            <w:noWrap w:val="0"/>
            <w:vAlign w:val="center"/>
          </w:tcPr>
          <w:p w14:paraId="03266379">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p>
        </w:tc>
        <w:tc>
          <w:tcPr>
            <w:tcW w:w="1440" w:type="dxa"/>
            <w:noWrap w:val="0"/>
            <w:vAlign w:val="center"/>
          </w:tcPr>
          <w:p w14:paraId="69068591">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甲烷</w:t>
            </w:r>
          </w:p>
        </w:tc>
        <w:tc>
          <w:tcPr>
            <w:tcW w:w="1215" w:type="dxa"/>
            <w:noWrap w:val="0"/>
            <w:vAlign w:val="center"/>
          </w:tcPr>
          <w:p w14:paraId="4B3AA3E5">
            <w:pPr>
              <w:widowControl w:val="0"/>
              <w:bidi w:val="0"/>
              <w:spacing w:before="15" w:beforeLines="15" w:after="15" w:afterLines="15" w:line="240" w:lineRule="auto"/>
              <w:ind w:firstLine="0" w:firstLineChars="0"/>
              <w:jc w:val="center"/>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3347" w:type="dxa"/>
            <w:noWrap w:val="0"/>
            <w:vAlign w:val="center"/>
          </w:tcPr>
          <w:p w14:paraId="3724DBC8">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w:t>
            </w:r>
          </w:p>
        </w:tc>
      </w:tr>
      <w:tr w14:paraId="18481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854" w:type="dxa"/>
            <w:noWrap w:val="0"/>
            <w:vAlign w:val="center"/>
          </w:tcPr>
          <w:p w14:paraId="6F81ED66">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厂房门窗或通风口、其他开口（孔）等排放口外1m，距离地面1.5m以上位置</w:t>
            </w:r>
          </w:p>
        </w:tc>
        <w:tc>
          <w:tcPr>
            <w:tcW w:w="1440" w:type="dxa"/>
            <w:noWrap w:val="0"/>
            <w:vAlign w:val="center"/>
          </w:tcPr>
          <w:p w14:paraId="238581FF">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非甲烷总烃</w:t>
            </w:r>
          </w:p>
        </w:tc>
        <w:tc>
          <w:tcPr>
            <w:tcW w:w="1215" w:type="dxa"/>
            <w:noWrap w:val="0"/>
            <w:vAlign w:val="center"/>
          </w:tcPr>
          <w:p w14:paraId="0D899C28">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1次/年</w:t>
            </w:r>
          </w:p>
        </w:tc>
        <w:tc>
          <w:tcPr>
            <w:tcW w:w="3347" w:type="dxa"/>
            <w:noWrap w:val="0"/>
            <w:vAlign w:val="center"/>
          </w:tcPr>
          <w:p w14:paraId="06CF574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cs="Times New Roman"/>
                <w:color w:val="auto"/>
                <w:sz w:val="21"/>
                <w:szCs w:val="21"/>
                <w:highlight w:val="none"/>
                <w:lang w:val="en-US" w:eastAsia="zh-CN"/>
              </w:rPr>
              <w:t>《挥发性有机物无组织排放控制标准》（GB37822-2019）中表A.1</w:t>
            </w:r>
          </w:p>
        </w:tc>
      </w:tr>
      <w:tr w14:paraId="3AE38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2854" w:type="dxa"/>
            <w:noWrap w:val="0"/>
            <w:vAlign w:val="center"/>
          </w:tcPr>
          <w:p w14:paraId="341513FB">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加油站油气回收系统密闭点</w:t>
            </w:r>
          </w:p>
        </w:tc>
        <w:tc>
          <w:tcPr>
            <w:tcW w:w="1440" w:type="dxa"/>
            <w:noWrap w:val="0"/>
            <w:vAlign w:val="center"/>
          </w:tcPr>
          <w:p w14:paraId="1B4CC74B">
            <w:pPr>
              <w:widowControl w:val="0"/>
              <w:bidi w:val="0"/>
              <w:spacing w:before="15" w:beforeLines="15" w:after="15" w:afterLines="15" w:line="240" w:lineRule="auto"/>
              <w:ind w:firstLine="0" w:firstLineChars="0"/>
              <w:jc w:val="center"/>
              <w:rPr>
                <w:rFonts w:hint="default" w:ascii="Times New Roman" w:hAnsi="Times New Roman" w:eastAsia="宋体" w:cs="Times New Roman"/>
                <w:b w:val="0"/>
                <w:bCs w:val="0"/>
                <w:color w:val="auto"/>
                <w:kern w:val="2"/>
                <w:sz w:val="21"/>
                <w:szCs w:val="36"/>
                <w:highlight w:val="none"/>
                <w:lang w:val="en-US" w:eastAsia="zh-CN" w:bidi="ar-SA"/>
              </w:rPr>
            </w:pPr>
            <w:r>
              <w:rPr>
                <w:rFonts w:hint="eastAsia" w:ascii="Times New Roman" w:hAnsi="Times New Roman" w:eastAsia="宋体" w:cs="Times New Roman"/>
                <w:b w:val="0"/>
                <w:bCs w:val="0"/>
                <w:color w:val="auto"/>
                <w:kern w:val="2"/>
                <w:sz w:val="21"/>
                <w:szCs w:val="36"/>
                <w:highlight w:val="none"/>
                <w:lang w:val="en-US" w:eastAsia="zh-CN" w:bidi="ar-SA"/>
              </w:rPr>
              <w:t>泄漏检测值</w:t>
            </w:r>
          </w:p>
        </w:tc>
        <w:tc>
          <w:tcPr>
            <w:tcW w:w="1215" w:type="dxa"/>
            <w:noWrap w:val="0"/>
            <w:vAlign w:val="center"/>
          </w:tcPr>
          <w:p w14:paraId="1522FF34">
            <w:pPr>
              <w:widowControl w:val="0"/>
              <w:bidi w:val="0"/>
              <w:spacing w:before="15" w:beforeLines="15" w:after="15" w:afterLines="15" w:line="240" w:lineRule="auto"/>
              <w:ind w:firstLine="0" w:firstLineChars="0"/>
              <w:jc w:val="center"/>
              <w:rPr>
                <w:rFonts w:hint="eastAsia" w:ascii="Times New Roman" w:hAnsi="Times New Roman" w:eastAsia="宋体" w:cs="Times New Roman"/>
                <w:b w:val="0"/>
                <w:bCs w:val="0"/>
                <w:color w:val="auto"/>
                <w:kern w:val="2"/>
                <w:sz w:val="21"/>
                <w:szCs w:val="36"/>
                <w:highlight w:val="none"/>
                <w:lang w:val="en-US" w:eastAsia="zh-CN" w:bidi="ar-SA"/>
              </w:rPr>
            </w:pPr>
            <w:r>
              <w:rPr>
                <w:rFonts w:hint="eastAsia" w:ascii="Times New Roman" w:hAnsi="Times New Roman" w:eastAsia="宋体" w:cs="Times New Roman"/>
                <w:b w:val="0"/>
                <w:bCs w:val="0"/>
                <w:color w:val="auto"/>
                <w:kern w:val="2"/>
                <w:sz w:val="21"/>
                <w:szCs w:val="36"/>
                <w:highlight w:val="none"/>
                <w:lang w:val="en-US" w:eastAsia="zh-CN" w:bidi="ar-SA"/>
              </w:rPr>
              <w:t>1次/半年</w:t>
            </w:r>
          </w:p>
        </w:tc>
        <w:tc>
          <w:tcPr>
            <w:tcW w:w="3347" w:type="dxa"/>
            <w:vMerge w:val="restart"/>
            <w:noWrap w:val="0"/>
            <w:vAlign w:val="center"/>
          </w:tcPr>
          <w:p w14:paraId="7EF1C5E7">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《加油站大气污染物排放标准》</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GB20952-2020</w:t>
            </w:r>
            <w:r>
              <w:rPr>
                <w:rFonts w:hint="eastAsia" w:cs="Times New Roman"/>
                <w:color w:val="auto"/>
                <w:sz w:val="21"/>
                <w:szCs w:val="21"/>
                <w:highlight w:val="none"/>
                <w:lang w:val="en-US" w:eastAsia="zh-CN"/>
              </w:rPr>
              <w:t>）</w:t>
            </w:r>
          </w:p>
        </w:tc>
      </w:tr>
      <w:tr w14:paraId="6CAC6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854" w:type="dxa"/>
            <w:vMerge w:val="restart"/>
            <w:noWrap w:val="0"/>
            <w:vAlign w:val="center"/>
          </w:tcPr>
          <w:p w14:paraId="012DE304">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加油油气回收立管</w:t>
            </w:r>
          </w:p>
        </w:tc>
        <w:tc>
          <w:tcPr>
            <w:tcW w:w="1440" w:type="dxa"/>
            <w:noWrap w:val="0"/>
            <w:vAlign w:val="center"/>
          </w:tcPr>
          <w:p w14:paraId="3A11E355">
            <w:pPr>
              <w:widowControl w:val="0"/>
              <w:bidi w:val="0"/>
              <w:spacing w:before="15" w:beforeLines="15" w:after="15" w:afterLines="15" w:line="240" w:lineRule="auto"/>
              <w:ind w:firstLine="0" w:firstLineChars="0"/>
              <w:jc w:val="center"/>
              <w:rPr>
                <w:rFonts w:hint="default" w:ascii="Times New Roman" w:hAnsi="Times New Roman" w:eastAsia="宋体" w:cs="Times New Roman"/>
                <w:b w:val="0"/>
                <w:bCs w:val="0"/>
                <w:color w:val="auto"/>
                <w:kern w:val="2"/>
                <w:sz w:val="21"/>
                <w:szCs w:val="36"/>
                <w:highlight w:val="none"/>
                <w:lang w:val="en-US" w:eastAsia="zh-CN" w:bidi="ar-SA"/>
              </w:rPr>
            </w:pPr>
            <w:r>
              <w:rPr>
                <w:rFonts w:hint="eastAsia" w:ascii="Times New Roman" w:hAnsi="Times New Roman" w:eastAsia="宋体" w:cs="Times New Roman"/>
                <w:b w:val="0"/>
                <w:bCs w:val="0"/>
                <w:color w:val="auto"/>
                <w:kern w:val="2"/>
                <w:sz w:val="21"/>
                <w:szCs w:val="36"/>
                <w:highlight w:val="none"/>
                <w:lang w:val="en-US" w:eastAsia="zh-CN" w:bidi="ar-SA"/>
              </w:rPr>
              <w:t>液阻</w:t>
            </w:r>
          </w:p>
        </w:tc>
        <w:tc>
          <w:tcPr>
            <w:tcW w:w="1215" w:type="dxa"/>
            <w:noWrap w:val="0"/>
            <w:vAlign w:val="center"/>
          </w:tcPr>
          <w:p w14:paraId="5B838840">
            <w:pPr>
              <w:widowControl w:val="0"/>
              <w:bidi w:val="0"/>
              <w:spacing w:before="15" w:beforeLines="15" w:after="15" w:afterLines="15" w:line="240" w:lineRule="auto"/>
              <w:ind w:firstLine="0" w:firstLineChars="0"/>
              <w:jc w:val="center"/>
              <w:rPr>
                <w:rFonts w:hint="eastAsia" w:ascii="Times New Roman" w:hAnsi="Times New Roman" w:eastAsia="宋体" w:cs="Times New Roman"/>
                <w:b w:val="0"/>
                <w:bCs w:val="0"/>
                <w:color w:val="auto"/>
                <w:kern w:val="2"/>
                <w:sz w:val="21"/>
                <w:szCs w:val="36"/>
                <w:highlight w:val="none"/>
                <w:lang w:val="en-US" w:eastAsia="zh-CN" w:bidi="ar-SA"/>
              </w:rPr>
            </w:pPr>
            <w:r>
              <w:rPr>
                <w:rFonts w:hint="eastAsia" w:ascii="Times New Roman" w:hAnsi="Times New Roman" w:eastAsia="宋体" w:cs="Times New Roman"/>
                <w:b w:val="0"/>
                <w:bCs w:val="0"/>
                <w:color w:val="auto"/>
                <w:kern w:val="2"/>
                <w:sz w:val="21"/>
                <w:szCs w:val="36"/>
                <w:highlight w:val="none"/>
                <w:lang w:val="en-US" w:eastAsia="zh-CN" w:bidi="ar-SA"/>
              </w:rPr>
              <w:t>1次/半年</w:t>
            </w:r>
          </w:p>
        </w:tc>
        <w:tc>
          <w:tcPr>
            <w:tcW w:w="3347" w:type="dxa"/>
            <w:vMerge w:val="continue"/>
            <w:noWrap w:val="0"/>
            <w:vAlign w:val="center"/>
          </w:tcPr>
          <w:p w14:paraId="12CD1F10">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p>
        </w:tc>
      </w:tr>
      <w:tr w14:paraId="75513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2854" w:type="dxa"/>
            <w:vMerge w:val="continue"/>
            <w:noWrap w:val="0"/>
            <w:vAlign w:val="center"/>
          </w:tcPr>
          <w:p w14:paraId="5463F1F8">
            <w:pPr>
              <w:widowControl w:val="0"/>
              <w:bidi w:val="0"/>
              <w:spacing w:before="15" w:beforeLines="15" w:after="15" w:afterLines="15" w:line="240" w:lineRule="auto"/>
              <w:ind w:firstLine="0" w:firstLineChars="0"/>
              <w:jc w:val="center"/>
              <w:rPr>
                <w:rFonts w:hint="eastAsia" w:ascii="Times New Roman" w:hAnsi="Times New Roman" w:eastAsia="宋体" w:cs="Times New Roman"/>
                <w:b/>
                <w:bCs/>
                <w:color w:val="auto"/>
                <w:kern w:val="2"/>
                <w:sz w:val="21"/>
                <w:szCs w:val="36"/>
                <w:highlight w:val="none"/>
                <w:lang w:val="en-US" w:eastAsia="zh-CN" w:bidi="ar-SA"/>
              </w:rPr>
            </w:pPr>
          </w:p>
        </w:tc>
        <w:tc>
          <w:tcPr>
            <w:tcW w:w="1440" w:type="dxa"/>
            <w:noWrap w:val="0"/>
            <w:vAlign w:val="center"/>
          </w:tcPr>
          <w:p w14:paraId="0C2D3435">
            <w:pPr>
              <w:widowControl w:val="0"/>
              <w:bidi w:val="0"/>
              <w:spacing w:before="15" w:beforeLines="15" w:after="15" w:afterLines="15" w:line="240" w:lineRule="auto"/>
              <w:ind w:firstLine="0" w:firstLineChars="0"/>
              <w:jc w:val="center"/>
              <w:rPr>
                <w:rFonts w:hint="default" w:ascii="Times New Roman" w:hAnsi="Times New Roman" w:eastAsia="宋体" w:cs="Times New Roman"/>
                <w:b w:val="0"/>
                <w:bCs w:val="0"/>
                <w:color w:val="auto"/>
                <w:kern w:val="2"/>
                <w:sz w:val="21"/>
                <w:szCs w:val="36"/>
                <w:highlight w:val="none"/>
                <w:lang w:val="en-US" w:eastAsia="zh-CN" w:bidi="ar-SA"/>
              </w:rPr>
            </w:pPr>
            <w:r>
              <w:rPr>
                <w:rFonts w:hint="eastAsia" w:ascii="Times New Roman" w:hAnsi="Times New Roman" w:eastAsia="宋体" w:cs="Times New Roman"/>
                <w:b w:val="0"/>
                <w:bCs w:val="0"/>
                <w:color w:val="auto"/>
                <w:kern w:val="2"/>
                <w:sz w:val="21"/>
                <w:szCs w:val="36"/>
                <w:highlight w:val="none"/>
                <w:lang w:val="en-US" w:eastAsia="zh-CN" w:bidi="ar-SA"/>
              </w:rPr>
              <w:t>密闭性</w:t>
            </w:r>
          </w:p>
        </w:tc>
        <w:tc>
          <w:tcPr>
            <w:tcW w:w="1215" w:type="dxa"/>
            <w:noWrap w:val="0"/>
            <w:vAlign w:val="center"/>
          </w:tcPr>
          <w:p w14:paraId="64089554">
            <w:pPr>
              <w:widowControl w:val="0"/>
              <w:bidi w:val="0"/>
              <w:spacing w:before="15" w:beforeLines="15" w:after="15" w:afterLines="15" w:line="240" w:lineRule="auto"/>
              <w:ind w:firstLine="0" w:firstLineChars="0"/>
              <w:jc w:val="center"/>
              <w:rPr>
                <w:rFonts w:hint="eastAsia" w:ascii="Times New Roman" w:hAnsi="Times New Roman" w:eastAsia="宋体" w:cs="Times New Roman"/>
                <w:b w:val="0"/>
                <w:bCs w:val="0"/>
                <w:color w:val="auto"/>
                <w:kern w:val="2"/>
                <w:sz w:val="21"/>
                <w:szCs w:val="36"/>
                <w:highlight w:val="none"/>
                <w:lang w:val="en-US" w:eastAsia="zh-CN" w:bidi="ar-SA"/>
              </w:rPr>
            </w:pPr>
            <w:r>
              <w:rPr>
                <w:rFonts w:hint="eastAsia" w:ascii="Times New Roman" w:hAnsi="Times New Roman" w:eastAsia="宋体" w:cs="Times New Roman"/>
                <w:b w:val="0"/>
                <w:bCs w:val="0"/>
                <w:color w:val="auto"/>
                <w:kern w:val="2"/>
                <w:sz w:val="21"/>
                <w:szCs w:val="36"/>
                <w:highlight w:val="none"/>
                <w:lang w:val="en-US" w:eastAsia="zh-CN" w:bidi="ar-SA"/>
              </w:rPr>
              <w:t>1次/半年</w:t>
            </w:r>
          </w:p>
        </w:tc>
        <w:tc>
          <w:tcPr>
            <w:tcW w:w="3347" w:type="dxa"/>
            <w:vMerge w:val="continue"/>
            <w:noWrap w:val="0"/>
            <w:vAlign w:val="center"/>
          </w:tcPr>
          <w:p w14:paraId="58D211FB">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p>
        </w:tc>
      </w:tr>
      <w:tr w14:paraId="6C8E3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2854" w:type="dxa"/>
            <w:noWrap w:val="0"/>
            <w:vAlign w:val="center"/>
          </w:tcPr>
          <w:p w14:paraId="2282E30D">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加油枪喷管</w:t>
            </w:r>
          </w:p>
        </w:tc>
        <w:tc>
          <w:tcPr>
            <w:tcW w:w="1440" w:type="dxa"/>
            <w:noWrap w:val="0"/>
            <w:vAlign w:val="center"/>
          </w:tcPr>
          <w:p w14:paraId="3650912E">
            <w:pPr>
              <w:widowControl w:val="0"/>
              <w:bidi w:val="0"/>
              <w:spacing w:before="15" w:beforeLines="15" w:after="15" w:afterLines="15" w:line="240" w:lineRule="auto"/>
              <w:ind w:firstLine="0" w:firstLineChars="0"/>
              <w:jc w:val="center"/>
              <w:rPr>
                <w:rFonts w:hint="default" w:ascii="Times New Roman" w:hAnsi="Times New Roman" w:eastAsia="宋体" w:cs="Times New Roman"/>
                <w:b w:val="0"/>
                <w:bCs w:val="0"/>
                <w:color w:val="auto"/>
                <w:kern w:val="2"/>
                <w:sz w:val="21"/>
                <w:szCs w:val="36"/>
                <w:highlight w:val="none"/>
                <w:lang w:val="en-US" w:eastAsia="zh-CN" w:bidi="ar-SA"/>
              </w:rPr>
            </w:pPr>
            <w:r>
              <w:rPr>
                <w:rFonts w:hint="eastAsia" w:ascii="Times New Roman" w:hAnsi="Times New Roman" w:eastAsia="宋体" w:cs="Times New Roman"/>
                <w:b w:val="0"/>
                <w:bCs w:val="0"/>
                <w:color w:val="auto"/>
                <w:kern w:val="2"/>
                <w:sz w:val="21"/>
                <w:szCs w:val="36"/>
                <w:highlight w:val="none"/>
                <w:lang w:val="en-US" w:eastAsia="zh-CN" w:bidi="ar-SA"/>
              </w:rPr>
              <w:t>气液比</w:t>
            </w:r>
          </w:p>
        </w:tc>
        <w:tc>
          <w:tcPr>
            <w:tcW w:w="1215" w:type="dxa"/>
            <w:noWrap w:val="0"/>
            <w:vAlign w:val="center"/>
          </w:tcPr>
          <w:p w14:paraId="474981A3">
            <w:pPr>
              <w:widowControl w:val="0"/>
              <w:bidi w:val="0"/>
              <w:spacing w:before="15" w:beforeLines="15" w:after="15" w:afterLines="15" w:line="240" w:lineRule="auto"/>
              <w:ind w:firstLine="0" w:firstLineChars="0"/>
              <w:jc w:val="center"/>
              <w:rPr>
                <w:rFonts w:hint="eastAsia" w:ascii="Times New Roman" w:hAnsi="Times New Roman" w:eastAsia="宋体" w:cs="Times New Roman"/>
                <w:b w:val="0"/>
                <w:bCs w:val="0"/>
                <w:color w:val="auto"/>
                <w:kern w:val="2"/>
                <w:sz w:val="21"/>
                <w:szCs w:val="36"/>
                <w:highlight w:val="none"/>
                <w:lang w:val="en-US" w:eastAsia="zh-CN" w:bidi="ar-SA"/>
              </w:rPr>
            </w:pPr>
            <w:r>
              <w:rPr>
                <w:rFonts w:hint="eastAsia" w:ascii="Times New Roman" w:hAnsi="Times New Roman" w:eastAsia="宋体" w:cs="Times New Roman"/>
                <w:b w:val="0"/>
                <w:bCs w:val="0"/>
                <w:color w:val="auto"/>
                <w:kern w:val="2"/>
                <w:sz w:val="21"/>
                <w:szCs w:val="36"/>
                <w:highlight w:val="none"/>
                <w:lang w:val="en-US" w:eastAsia="zh-CN" w:bidi="ar-SA"/>
              </w:rPr>
              <w:t>1次/半年</w:t>
            </w:r>
          </w:p>
        </w:tc>
        <w:tc>
          <w:tcPr>
            <w:tcW w:w="3347" w:type="dxa"/>
            <w:vMerge w:val="continue"/>
            <w:noWrap w:val="0"/>
            <w:vAlign w:val="center"/>
          </w:tcPr>
          <w:p w14:paraId="6FA7DC92">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cs="Times New Roman"/>
                <w:color w:val="auto"/>
                <w:sz w:val="21"/>
                <w:szCs w:val="21"/>
                <w:highlight w:val="none"/>
                <w:lang w:val="en-US" w:eastAsia="zh-CN"/>
              </w:rPr>
            </w:pPr>
          </w:p>
        </w:tc>
      </w:tr>
    </w:tbl>
    <w:p w14:paraId="0AAD7650">
      <w:pPr>
        <w:widowControl/>
        <w:bidi w:val="0"/>
        <w:spacing w:line="360" w:lineRule="auto"/>
        <w:ind w:firstLine="482" w:firstLineChars="20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8.3.3</w:t>
      </w:r>
      <w:r>
        <w:rPr>
          <w:rFonts w:hint="default" w:ascii="Times New Roman" w:hAnsi="Times New Roman" w:eastAsia="宋体" w:cs="Times New Roman"/>
          <w:b/>
          <w:bCs/>
          <w:color w:val="auto"/>
          <w:kern w:val="2"/>
          <w:sz w:val="24"/>
          <w:szCs w:val="21"/>
          <w:highlight w:val="none"/>
          <w:lang w:val="en-US" w:eastAsia="zh-CN" w:bidi="ar-SA"/>
        </w:rPr>
        <w:t>-</w:t>
      </w:r>
      <w:r>
        <w:rPr>
          <w:rFonts w:hint="eastAsia" w:ascii="Times New Roman" w:hAnsi="Times New Roman" w:eastAsia="宋体" w:cs="Times New Roman"/>
          <w:b/>
          <w:bCs/>
          <w:color w:val="auto"/>
          <w:kern w:val="2"/>
          <w:sz w:val="24"/>
          <w:szCs w:val="21"/>
          <w:highlight w:val="none"/>
          <w:lang w:val="en-US" w:eastAsia="zh-CN" w:bidi="ar-SA"/>
        </w:rPr>
        <w:t>3</w:t>
      </w:r>
      <w:r>
        <w:rPr>
          <w:rFonts w:hint="eastAsia" w:cs="Times New Roman"/>
          <w:b/>
          <w:bCs/>
          <w:color w:val="auto"/>
          <w:kern w:val="2"/>
          <w:sz w:val="24"/>
          <w:szCs w:val="21"/>
          <w:highlight w:val="none"/>
          <w:lang w:val="en-US" w:eastAsia="zh-CN" w:bidi="ar-SA"/>
        </w:rPr>
        <w:t xml:space="preserve">  </w:t>
      </w:r>
      <w:r>
        <w:rPr>
          <w:rFonts w:hint="eastAsia" w:ascii="Times New Roman" w:hAnsi="Times New Roman" w:eastAsia="宋体" w:cs="Times New Roman"/>
          <w:b/>
          <w:bCs/>
          <w:color w:val="auto"/>
          <w:kern w:val="2"/>
          <w:sz w:val="24"/>
          <w:szCs w:val="21"/>
          <w:highlight w:val="none"/>
          <w:lang w:val="en-US" w:eastAsia="zh-CN" w:bidi="ar-SA"/>
        </w:rPr>
        <w:t>环境空气</w:t>
      </w:r>
      <w:r>
        <w:rPr>
          <w:rFonts w:hint="default" w:ascii="Times New Roman" w:hAnsi="Times New Roman" w:eastAsia="宋体" w:cs="Times New Roman"/>
          <w:b/>
          <w:bCs/>
          <w:color w:val="auto"/>
          <w:kern w:val="2"/>
          <w:sz w:val="24"/>
          <w:szCs w:val="21"/>
          <w:highlight w:val="none"/>
          <w:lang w:val="en-US" w:eastAsia="zh-CN" w:bidi="ar-SA"/>
        </w:rPr>
        <w:t>监测方案</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4"/>
        <w:gridCol w:w="1500"/>
        <w:gridCol w:w="1275"/>
        <w:gridCol w:w="4757"/>
      </w:tblGrid>
      <w:tr w14:paraId="46F9B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24" w:type="dxa"/>
            <w:noWrap w:val="0"/>
            <w:vAlign w:val="center"/>
          </w:tcPr>
          <w:p w14:paraId="1C220374">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监测点位</w:t>
            </w:r>
          </w:p>
        </w:tc>
        <w:tc>
          <w:tcPr>
            <w:tcW w:w="1500" w:type="dxa"/>
            <w:noWrap w:val="0"/>
            <w:vAlign w:val="center"/>
          </w:tcPr>
          <w:p w14:paraId="05DF8246">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监测指标</w:t>
            </w:r>
          </w:p>
        </w:tc>
        <w:tc>
          <w:tcPr>
            <w:tcW w:w="1275" w:type="dxa"/>
            <w:noWrap w:val="0"/>
            <w:vAlign w:val="center"/>
          </w:tcPr>
          <w:p w14:paraId="0CC71009">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监测频次</w:t>
            </w:r>
          </w:p>
        </w:tc>
        <w:tc>
          <w:tcPr>
            <w:tcW w:w="4757" w:type="dxa"/>
            <w:noWrap w:val="0"/>
            <w:vAlign w:val="center"/>
          </w:tcPr>
          <w:p w14:paraId="7CD9FBD6">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执行标准</w:t>
            </w:r>
          </w:p>
        </w:tc>
      </w:tr>
      <w:tr w14:paraId="79D9B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324" w:type="dxa"/>
            <w:noWrap w:val="0"/>
            <w:vAlign w:val="center"/>
          </w:tcPr>
          <w:p w14:paraId="2A71AE3E">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项目</w:t>
            </w:r>
            <w:r>
              <w:rPr>
                <w:rFonts w:hint="eastAsia" w:ascii="Times New Roman" w:hAnsi="Times New Roman" w:eastAsia="宋体" w:cs="Times New Roman"/>
                <w:b/>
                <w:bCs/>
                <w:color w:val="auto"/>
                <w:kern w:val="2"/>
                <w:sz w:val="21"/>
                <w:szCs w:val="36"/>
                <w:highlight w:val="none"/>
                <w:lang w:val="en-US" w:eastAsia="zh-CN" w:bidi="ar-SA"/>
              </w:rPr>
              <w:t>西</w:t>
            </w:r>
            <w:r>
              <w:rPr>
                <w:rFonts w:hint="default" w:ascii="Times New Roman" w:hAnsi="Times New Roman" w:eastAsia="宋体" w:cs="Times New Roman"/>
                <w:b/>
                <w:bCs/>
                <w:color w:val="auto"/>
                <w:kern w:val="2"/>
                <w:sz w:val="21"/>
                <w:szCs w:val="36"/>
                <w:highlight w:val="none"/>
                <w:lang w:val="en-US" w:eastAsia="zh-CN" w:bidi="ar-SA"/>
              </w:rPr>
              <w:t>厂界</w:t>
            </w:r>
          </w:p>
        </w:tc>
        <w:tc>
          <w:tcPr>
            <w:tcW w:w="1500" w:type="dxa"/>
            <w:noWrap w:val="0"/>
            <w:vAlign w:val="center"/>
          </w:tcPr>
          <w:p w14:paraId="7E35A800">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非甲烷总烃</w:t>
            </w:r>
          </w:p>
        </w:tc>
        <w:tc>
          <w:tcPr>
            <w:tcW w:w="1275" w:type="dxa"/>
            <w:noWrap w:val="0"/>
            <w:vAlign w:val="center"/>
          </w:tcPr>
          <w:p w14:paraId="408325FE">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1次/年</w:t>
            </w:r>
          </w:p>
        </w:tc>
        <w:tc>
          <w:tcPr>
            <w:tcW w:w="4757" w:type="dxa"/>
            <w:noWrap w:val="0"/>
            <w:vAlign w:val="center"/>
          </w:tcPr>
          <w:p w14:paraId="2B891B29">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cs="Times New Roman"/>
                <w:color w:val="auto"/>
                <w:kern w:val="0"/>
                <w:sz w:val="21"/>
                <w:szCs w:val="20"/>
                <w:highlight w:val="none"/>
              </w:rPr>
              <w:t>《大气污染物综合排放标准详解》</w:t>
            </w:r>
          </w:p>
        </w:tc>
      </w:tr>
    </w:tbl>
    <w:p w14:paraId="7CDE14B3">
      <w:pPr>
        <w:keepNext w:val="0"/>
        <w:widowControl w:val="0"/>
        <w:autoSpaceDE w:val="0"/>
        <w:autoSpaceDN w:val="0"/>
        <w:bidi w:val="0"/>
        <w:spacing w:line="420" w:lineRule="auto"/>
        <w:ind w:left="0" w:leftChars="0" w:right="0" w:firstLine="0" w:firstLineChars="0"/>
        <w:jc w:val="left"/>
        <w:outlineLvl w:val="3"/>
        <w:rPr>
          <w:rFonts w:hint="default" w:ascii="Times New Roman" w:hAnsi="Times New Roman" w:eastAsia="宋体" w:cs="Times New Roman"/>
          <w:b/>
          <w:bCs/>
          <w:color w:val="auto"/>
          <w:kern w:val="0"/>
          <w:sz w:val="25"/>
          <w:szCs w:val="28"/>
          <w:highlight w:val="none"/>
          <w:lang w:val="en-US" w:eastAsia="zh-CN" w:bidi="ar-SA"/>
        </w:rPr>
      </w:pPr>
      <w:r>
        <w:rPr>
          <w:rFonts w:hint="eastAsia" w:ascii="Times New Roman" w:hAnsi="Times New Roman" w:eastAsia="宋体" w:cs="Times New Roman"/>
          <w:b/>
          <w:bCs/>
          <w:color w:val="auto"/>
          <w:kern w:val="0"/>
          <w:sz w:val="25"/>
          <w:szCs w:val="28"/>
          <w:highlight w:val="none"/>
          <w:lang w:val="en-US" w:eastAsia="zh-CN" w:bidi="ar-SA"/>
        </w:rPr>
        <w:t>8</w:t>
      </w:r>
      <w:r>
        <w:rPr>
          <w:rFonts w:hint="default" w:ascii="Times New Roman" w:hAnsi="Times New Roman" w:eastAsia="宋体" w:cs="Times New Roman"/>
          <w:b/>
          <w:bCs/>
          <w:color w:val="auto"/>
          <w:kern w:val="0"/>
          <w:sz w:val="25"/>
          <w:szCs w:val="28"/>
          <w:highlight w:val="none"/>
          <w:lang w:val="en-US" w:eastAsia="zh-CN" w:bidi="ar-SA"/>
        </w:rPr>
        <w:t>.3.3.2噪声排放监测</w:t>
      </w:r>
    </w:p>
    <w:p w14:paraId="7542AF27">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噪声排放自行监测计划如下表。</w:t>
      </w:r>
    </w:p>
    <w:p w14:paraId="5F4D2C8A">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8.3.3</w:t>
      </w:r>
      <w:r>
        <w:rPr>
          <w:rFonts w:hint="default" w:ascii="Times New Roman" w:hAnsi="Times New Roman" w:eastAsia="宋体" w:cs="Times New Roman"/>
          <w:b/>
          <w:bCs/>
          <w:color w:val="auto"/>
          <w:kern w:val="2"/>
          <w:sz w:val="24"/>
          <w:szCs w:val="21"/>
          <w:highlight w:val="none"/>
          <w:lang w:val="en-US" w:eastAsia="zh-CN" w:bidi="ar-SA"/>
        </w:rPr>
        <w:t>-</w:t>
      </w:r>
      <w:r>
        <w:rPr>
          <w:rFonts w:hint="eastAsia" w:ascii="Times New Roman" w:hAnsi="Times New Roman" w:eastAsia="宋体" w:cs="Times New Roman"/>
          <w:b/>
          <w:bCs/>
          <w:color w:val="auto"/>
          <w:kern w:val="2"/>
          <w:sz w:val="24"/>
          <w:szCs w:val="21"/>
          <w:highlight w:val="none"/>
          <w:lang w:val="en-US" w:eastAsia="zh-CN" w:bidi="ar-SA"/>
        </w:rPr>
        <w:t>4</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噪声监测方案</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5"/>
        <w:gridCol w:w="1744"/>
        <w:gridCol w:w="1286"/>
        <w:gridCol w:w="3671"/>
      </w:tblGrid>
      <w:tr w14:paraId="06AB3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7" w:type="dxa"/>
            <w:noWrap w:val="0"/>
            <w:vAlign w:val="center"/>
          </w:tcPr>
          <w:p w14:paraId="4768E250">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监测点位</w:t>
            </w:r>
          </w:p>
        </w:tc>
        <w:tc>
          <w:tcPr>
            <w:tcW w:w="1785" w:type="dxa"/>
            <w:noWrap w:val="0"/>
            <w:vAlign w:val="center"/>
          </w:tcPr>
          <w:p w14:paraId="2228AE04">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监测指标</w:t>
            </w:r>
          </w:p>
        </w:tc>
        <w:tc>
          <w:tcPr>
            <w:tcW w:w="1315" w:type="dxa"/>
            <w:noWrap w:val="0"/>
            <w:vAlign w:val="center"/>
          </w:tcPr>
          <w:p w14:paraId="2AA4B419">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监测频次</w:t>
            </w:r>
          </w:p>
        </w:tc>
        <w:tc>
          <w:tcPr>
            <w:tcW w:w="3764" w:type="dxa"/>
            <w:noWrap w:val="0"/>
            <w:vAlign w:val="center"/>
          </w:tcPr>
          <w:p w14:paraId="3A9BFD38">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执行排放标准</w:t>
            </w:r>
          </w:p>
        </w:tc>
      </w:tr>
      <w:tr w14:paraId="080A9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7" w:type="dxa"/>
            <w:noWrap w:val="0"/>
            <w:vAlign w:val="center"/>
          </w:tcPr>
          <w:p w14:paraId="77B41C8A">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项目厂界</w:t>
            </w:r>
          </w:p>
        </w:tc>
        <w:tc>
          <w:tcPr>
            <w:tcW w:w="1785" w:type="dxa"/>
            <w:noWrap w:val="0"/>
            <w:vAlign w:val="center"/>
          </w:tcPr>
          <w:p w14:paraId="1542CB74">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L</w:t>
            </w:r>
            <w:r>
              <w:rPr>
                <w:rFonts w:hint="default" w:ascii="Times New Roman" w:hAnsi="Times New Roman" w:eastAsia="宋体" w:cs="Times New Roman"/>
                <w:color w:val="auto"/>
                <w:kern w:val="2"/>
                <w:sz w:val="21"/>
                <w:szCs w:val="36"/>
                <w:highlight w:val="none"/>
                <w:vertAlign w:val="subscript"/>
                <w:lang w:val="en-US" w:eastAsia="zh-CN" w:bidi="ar-SA"/>
              </w:rPr>
              <w:t>d</w:t>
            </w:r>
            <w:r>
              <w:rPr>
                <w:rFonts w:hint="default" w:ascii="Times New Roman" w:hAnsi="Times New Roman" w:eastAsia="宋体" w:cs="Times New Roman"/>
                <w:color w:val="auto"/>
                <w:kern w:val="2"/>
                <w:sz w:val="21"/>
                <w:szCs w:val="36"/>
                <w:highlight w:val="none"/>
                <w:lang w:val="en-US" w:eastAsia="zh-CN" w:bidi="ar-SA"/>
              </w:rPr>
              <w:t>/L</w:t>
            </w:r>
            <w:r>
              <w:rPr>
                <w:rFonts w:hint="default" w:ascii="Times New Roman" w:hAnsi="Times New Roman" w:eastAsia="宋体" w:cs="Times New Roman"/>
                <w:color w:val="auto"/>
                <w:kern w:val="2"/>
                <w:sz w:val="21"/>
                <w:szCs w:val="36"/>
                <w:highlight w:val="none"/>
                <w:vertAlign w:val="subscript"/>
                <w:lang w:val="en-US" w:eastAsia="zh-CN" w:bidi="ar-SA"/>
              </w:rPr>
              <w:t>n</w:t>
            </w:r>
          </w:p>
        </w:tc>
        <w:tc>
          <w:tcPr>
            <w:tcW w:w="1315" w:type="dxa"/>
            <w:noWrap w:val="0"/>
            <w:vAlign w:val="center"/>
          </w:tcPr>
          <w:p w14:paraId="08ADD223">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w:t>
            </w:r>
            <w:r>
              <w:rPr>
                <w:rFonts w:hint="default" w:ascii="Times New Roman" w:hAnsi="Times New Roman" w:eastAsia="宋体" w:cs="Times New Roman"/>
                <w:color w:val="auto"/>
                <w:kern w:val="2"/>
                <w:sz w:val="21"/>
                <w:szCs w:val="36"/>
                <w:highlight w:val="none"/>
                <w:lang w:val="en-US" w:eastAsia="zh-CN" w:bidi="ar-SA"/>
              </w:rPr>
              <w:t>季</w:t>
            </w:r>
          </w:p>
        </w:tc>
        <w:tc>
          <w:tcPr>
            <w:tcW w:w="3764" w:type="dxa"/>
            <w:noWrap w:val="0"/>
            <w:vAlign w:val="center"/>
          </w:tcPr>
          <w:p w14:paraId="05231A2F">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《工业企业厂界环境噪声排放标准》（GB12348-2008）3类</w:t>
            </w:r>
            <w:r>
              <w:rPr>
                <w:rFonts w:hint="eastAsia" w:ascii="Times New Roman" w:hAnsi="Times New Roman" w:eastAsia="宋体" w:cs="Times New Roman"/>
                <w:color w:val="auto"/>
                <w:kern w:val="2"/>
                <w:sz w:val="21"/>
                <w:szCs w:val="36"/>
                <w:highlight w:val="none"/>
                <w:lang w:val="en-US" w:eastAsia="zh-CN" w:bidi="ar-SA"/>
              </w:rPr>
              <w:t>、4a类</w:t>
            </w:r>
            <w:r>
              <w:rPr>
                <w:rFonts w:hint="default" w:ascii="Times New Roman" w:hAnsi="Times New Roman" w:eastAsia="宋体" w:cs="Times New Roman"/>
                <w:color w:val="auto"/>
                <w:kern w:val="2"/>
                <w:sz w:val="21"/>
                <w:szCs w:val="36"/>
                <w:highlight w:val="none"/>
                <w:lang w:val="en-US" w:eastAsia="zh-CN" w:bidi="ar-SA"/>
              </w:rPr>
              <w:t>标准</w:t>
            </w:r>
          </w:p>
        </w:tc>
      </w:tr>
    </w:tbl>
    <w:p w14:paraId="2C4B21B1">
      <w:pPr>
        <w:keepNext w:val="0"/>
        <w:widowControl w:val="0"/>
        <w:autoSpaceDE w:val="0"/>
        <w:autoSpaceDN w:val="0"/>
        <w:bidi w:val="0"/>
        <w:spacing w:line="420" w:lineRule="auto"/>
        <w:ind w:left="0" w:leftChars="0" w:right="0" w:firstLine="0" w:firstLineChars="0"/>
        <w:jc w:val="left"/>
        <w:outlineLvl w:val="3"/>
        <w:rPr>
          <w:rFonts w:hint="default" w:ascii="Times New Roman" w:hAnsi="Times New Roman" w:eastAsia="宋体" w:cs="Times New Roman"/>
          <w:b/>
          <w:bCs/>
          <w:color w:val="auto"/>
          <w:kern w:val="0"/>
          <w:sz w:val="25"/>
          <w:szCs w:val="28"/>
          <w:highlight w:val="none"/>
          <w:lang w:val="en-US" w:eastAsia="zh-CN" w:bidi="ar-SA"/>
        </w:rPr>
      </w:pPr>
      <w:r>
        <w:rPr>
          <w:rFonts w:hint="eastAsia" w:ascii="Times New Roman" w:hAnsi="Times New Roman" w:eastAsia="宋体" w:cs="Times New Roman"/>
          <w:b/>
          <w:bCs/>
          <w:color w:val="auto"/>
          <w:kern w:val="0"/>
          <w:sz w:val="25"/>
          <w:szCs w:val="28"/>
          <w:highlight w:val="none"/>
          <w:lang w:val="en-US" w:eastAsia="zh-CN" w:bidi="ar-SA"/>
        </w:rPr>
        <w:t>8</w:t>
      </w:r>
      <w:r>
        <w:rPr>
          <w:rFonts w:hint="default" w:ascii="Times New Roman" w:hAnsi="Times New Roman" w:eastAsia="宋体" w:cs="Times New Roman"/>
          <w:b/>
          <w:bCs/>
          <w:color w:val="auto"/>
          <w:kern w:val="0"/>
          <w:sz w:val="25"/>
          <w:szCs w:val="28"/>
          <w:highlight w:val="none"/>
          <w:lang w:val="en-US" w:eastAsia="zh-CN" w:bidi="ar-SA"/>
        </w:rPr>
        <w:t>.3.3.3土壤监测</w:t>
      </w:r>
    </w:p>
    <w:p w14:paraId="6EB75F68">
      <w:pPr>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项目土壤自行监测计划详见下表。</w:t>
      </w:r>
    </w:p>
    <w:p w14:paraId="15DC1D94">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8.3.3</w:t>
      </w:r>
      <w:r>
        <w:rPr>
          <w:rFonts w:hint="default" w:ascii="Times New Roman" w:hAnsi="Times New Roman" w:eastAsia="宋体" w:cs="Times New Roman"/>
          <w:b/>
          <w:bCs/>
          <w:color w:val="auto"/>
          <w:kern w:val="2"/>
          <w:sz w:val="24"/>
          <w:szCs w:val="21"/>
          <w:highlight w:val="none"/>
          <w:lang w:val="en-US" w:eastAsia="zh-CN" w:bidi="ar-SA"/>
        </w:rPr>
        <w:t>-</w:t>
      </w:r>
      <w:r>
        <w:rPr>
          <w:rFonts w:hint="eastAsia" w:ascii="Times New Roman" w:hAnsi="Times New Roman" w:eastAsia="宋体" w:cs="Times New Roman"/>
          <w:b/>
          <w:bCs/>
          <w:color w:val="auto"/>
          <w:kern w:val="2"/>
          <w:sz w:val="24"/>
          <w:szCs w:val="21"/>
          <w:highlight w:val="none"/>
          <w:lang w:val="en-US" w:eastAsia="zh-CN" w:bidi="ar-SA"/>
        </w:rPr>
        <w:t>5</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土壤监测方案</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2307"/>
        <w:gridCol w:w="2003"/>
        <w:gridCol w:w="3187"/>
      </w:tblGrid>
      <w:tr w14:paraId="60B40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noWrap w:val="0"/>
            <w:vAlign w:val="center"/>
          </w:tcPr>
          <w:p w14:paraId="3E48557D">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监测点位</w:t>
            </w:r>
          </w:p>
        </w:tc>
        <w:tc>
          <w:tcPr>
            <w:tcW w:w="2307" w:type="dxa"/>
            <w:noWrap w:val="0"/>
            <w:vAlign w:val="center"/>
          </w:tcPr>
          <w:p w14:paraId="51CC10A7">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监测指标</w:t>
            </w:r>
          </w:p>
        </w:tc>
        <w:tc>
          <w:tcPr>
            <w:tcW w:w="2003" w:type="dxa"/>
            <w:noWrap w:val="0"/>
            <w:vAlign w:val="center"/>
          </w:tcPr>
          <w:p w14:paraId="6569E691">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监测频次</w:t>
            </w:r>
          </w:p>
        </w:tc>
        <w:tc>
          <w:tcPr>
            <w:tcW w:w="3187" w:type="dxa"/>
            <w:noWrap w:val="0"/>
            <w:vAlign w:val="center"/>
          </w:tcPr>
          <w:p w14:paraId="795E2E1F">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执行标准</w:t>
            </w:r>
          </w:p>
        </w:tc>
      </w:tr>
      <w:tr w14:paraId="4BF67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noWrap w:val="0"/>
            <w:vAlign w:val="center"/>
          </w:tcPr>
          <w:p w14:paraId="056F7E86">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厂区内</w:t>
            </w:r>
          </w:p>
        </w:tc>
        <w:tc>
          <w:tcPr>
            <w:tcW w:w="2307" w:type="dxa"/>
            <w:noWrap w:val="0"/>
            <w:vAlign w:val="center"/>
          </w:tcPr>
          <w:p w14:paraId="00E8A52C">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pH、石油烃</w:t>
            </w:r>
          </w:p>
        </w:tc>
        <w:tc>
          <w:tcPr>
            <w:tcW w:w="2003" w:type="dxa"/>
            <w:noWrap w:val="0"/>
            <w:vAlign w:val="center"/>
          </w:tcPr>
          <w:p w14:paraId="14635918">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每5年</w:t>
            </w:r>
            <w:r>
              <w:rPr>
                <w:rFonts w:hint="eastAsia" w:ascii="Times New Roman" w:hAnsi="Times New Roman" w:eastAsia="宋体" w:cs="Times New Roman"/>
                <w:color w:val="auto"/>
                <w:kern w:val="2"/>
                <w:sz w:val="21"/>
                <w:szCs w:val="36"/>
                <w:highlight w:val="none"/>
                <w:lang w:val="en-US" w:eastAsia="zh-CN" w:bidi="ar-SA"/>
              </w:rPr>
              <w:t>1</w:t>
            </w:r>
            <w:r>
              <w:rPr>
                <w:rFonts w:hint="default" w:ascii="Times New Roman" w:hAnsi="Times New Roman" w:eastAsia="宋体" w:cs="Times New Roman"/>
                <w:color w:val="auto"/>
                <w:kern w:val="2"/>
                <w:sz w:val="21"/>
                <w:szCs w:val="36"/>
                <w:highlight w:val="none"/>
                <w:lang w:val="en-US" w:eastAsia="zh-CN" w:bidi="ar-SA"/>
              </w:rPr>
              <w:t>次</w:t>
            </w:r>
          </w:p>
        </w:tc>
        <w:tc>
          <w:tcPr>
            <w:tcW w:w="3187" w:type="dxa"/>
            <w:noWrap w:val="0"/>
            <w:vAlign w:val="center"/>
          </w:tcPr>
          <w:p w14:paraId="7ACE7AAC">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《土壤环境质量标准建设用地土壤风险管控标准（试行）》（GB36600-2018）</w:t>
            </w:r>
          </w:p>
        </w:tc>
      </w:tr>
    </w:tbl>
    <w:p w14:paraId="5864B57B">
      <w:pPr>
        <w:keepNext w:val="0"/>
        <w:widowControl w:val="0"/>
        <w:autoSpaceDE w:val="0"/>
        <w:autoSpaceDN w:val="0"/>
        <w:bidi w:val="0"/>
        <w:spacing w:line="420" w:lineRule="auto"/>
        <w:ind w:left="0" w:leftChars="0" w:right="0" w:firstLine="0" w:firstLineChars="0"/>
        <w:jc w:val="left"/>
        <w:outlineLvl w:val="3"/>
        <w:rPr>
          <w:rFonts w:hint="default" w:ascii="Times New Roman" w:hAnsi="Times New Roman" w:eastAsia="宋体" w:cs="Times New Roman"/>
          <w:b/>
          <w:bCs/>
          <w:color w:val="auto"/>
          <w:kern w:val="0"/>
          <w:sz w:val="25"/>
          <w:szCs w:val="28"/>
          <w:highlight w:val="none"/>
          <w:lang w:val="en-US" w:eastAsia="zh-CN" w:bidi="ar-SA"/>
        </w:rPr>
      </w:pPr>
      <w:r>
        <w:rPr>
          <w:rFonts w:hint="eastAsia" w:ascii="Times New Roman" w:hAnsi="Times New Roman" w:eastAsia="宋体" w:cs="Times New Roman"/>
          <w:b/>
          <w:bCs/>
          <w:color w:val="auto"/>
          <w:kern w:val="0"/>
          <w:sz w:val="25"/>
          <w:szCs w:val="28"/>
          <w:highlight w:val="none"/>
          <w:lang w:val="en-US" w:eastAsia="zh-CN" w:bidi="ar-SA"/>
        </w:rPr>
        <w:t>8</w:t>
      </w:r>
      <w:r>
        <w:rPr>
          <w:rFonts w:hint="default" w:ascii="Times New Roman" w:hAnsi="Times New Roman" w:eastAsia="宋体" w:cs="Times New Roman"/>
          <w:b/>
          <w:bCs/>
          <w:color w:val="auto"/>
          <w:kern w:val="0"/>
          <w:sz w:val="25"/>
          <w:szCs w:val="28"/>
          <w:highlight w:val="none"/>
          <w:lang w:val="en-US" w:eastAsia="zh-CN" w:bidi="ar-SA"/>
        </w:rPr>
        <w:t>.3.3.4地下水监测</w:t>
      </w:r>
    </w:p>
    <w:p w14:paraId="125BA1DC">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eastAsia="zh-CN"/>
        </w:rPr>
        <w:t>地下水</w:t>
      </w:r>
      <w:r>
        <w:rPr>
          <w:rFonts w:hint="default" w:ascii="Times New Roman" w:hAnsi="Times New Roman" w:eastAsia="宋体" w:cs="Times New Roman"/>
          <w:color w:val="auto"/>
          <w:sz w:val="24"/>
          <w:highlight w:val="none"/>
        </w:rPr>
        <w:t>自行监测计划详见下表。</w:t>
      </w:r>
    </w:p>
    <w:p w14:paraId="06C5B4D2">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8.3.3-6</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地下水监测方案</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4301"/>
        <w:gridCol w:w="1095"/>
        <w:gridCol w:w="2101"/>
      </w:tblGrid>
      <w:tr w14:paraId="0D595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noWrap w:val="0"/>
            <w:vAlign w:val="center"/>
          </w:tcPr>
          <w:p w14:paraId="3999275D">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监测点位</w:t>
            </w:r>
          </w:p>
        </w:tc>
        <w:tc>
          <w:tcPr>
            <w:tcW w:w="4301" w:type="dxa"/>
            <w:noWrap w:val="0"/>
            <w:vAlign w:val="center"/>
          </w:tcPr>
          <w:p w14:paraId="385BD575">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监测指标</w:t>
            </w:r>
          </w:p>
        </w:tc>
        <w:tc>
          <w:tcPr>
            <w:tcW w:w="1095" w:type="dxa"/>
            <w:noWrap w:val="0"/>
            <w:vAlign w:val="center"/>
          </w:tcPr>
          <w:p w14:paraId="7B32CE05">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监测频次</w:t>
            </w:r>
          </w:p>
        </w:tc>
        <w:tc>
          <w:tcPr>
            <w:tcW w:w="2101" w:type="dxa"/>
            <w:noWrap w:val="0"/>
            <w:vAlign w:val="center"/>
          </w:tcPr>
          <w:p w14:paraId="16E672EF">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执行标准</w:t>
            </w:r>
          </w:p>
        </w:tc>
      </w:tr>
      <w:tr w14:paraId="474B7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jc w:val="center"/>
        </w:trPr>
        <w:tc>
          <w:tcPr>
            <w:tcW w:w="1359" w:type="dxa"/>
            <w:noWrap w:val="0"/>
            <w:vAlign w:val="center"/>
          </w:tcPr>
          <w:p w14:paraId="040A816E">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站内、上游、</w:t>
            </w:r>
            <w:r>
              <w:rPr>
                <w:rFonts w:hint="default" w:ascii="Times New Roman" w:hAnsi="Times New Roman" w:eastAsia="宋体" w:cs="Times New Roman"/>
                <w:b/>
                <w:bCs/>
                <w:color w:val="auto"/>
                <w:kern w:val="2"/>
                <w:sz w:val="21"/>
                <w:szCs w:val="36"/>
                <w:highlight w:val="none"/>
                <w:lang w:val="en-US" w:eastAsia="zh-CN" w:bidi="ar-SA"/>
              </w:rPr>
              <w:t>下游</w:t>
            </w:r>
          </w:p>
        </w:tc>
        <w:tc>
          <w:tcPr>
            <w:tcW w:w="4301" w:type="dxa"/>
            <w:noWrap w:val="0"/>
            <w:vAlign w:val="center"/>
          </w:tcPr>
          <w:p w14:paraId="24AFCAA3">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水位、pH、氨氮、硝酸盐、亚硝酸盐、挥发性酚类、氰化物、砷、汞、铬</w:t>
            </w:r>
            <w:r>
              <w:rPr>
                <w:rFonts w:hint="eastAsia" w:cs="Times New Roman"/>
                <w:color w:val="auto"/>
                <w:kern w:val="2"/>
                <w:sz w:val="21"/>
                <w:szCs w:val="36"/>
                <w:highlight w:val="none"/>
                <w:lang w:val="en-US" w:eastAsia="zh-CN" w:bidi="ar-SA"/>
              </w:rPr>
              <w:t>（</w:t>
            </w:r>
            <w:r>
              <w:rPr>
                <w:rFonts w:hint="default" w:ascii="Times New Roman" w:hAnsi="Times New Roman" w:eastAsia="宋体" w:cs="Times New Roman"/>
                <w:color w:val="auto"/>
                <w:kern w:val="2"/>
                <w:sz w:val="21"/>
                <w:szCs w:val="36"/>
                <w:highlight w:val="none"/>
                <w:lang w:val="en-US" w:eastAsia="zh-CN" w:bidi="ar-SA"/>
              </w:rPr>
              <w:t>六价</w:t>
            </w:r>
            <w:r>
              <w:rPr>
                <w:rFonts w:hint="eastAsia" w:cs="Times New Roman"/>
                <w:color w:val="auto"/>
                <w:kern w:val="2"/>
                <w:sz w:val="21"/>
                <w:szCs w:val="36"/>
                <w:highlight w:val="none"/>
                <w:lang w:val="en-US" w:eastAsia="zh-CN" w:bidi="ar-SA"/>
              </w:rPr>
              <w:t>）</w:t>
            </w:r>
            <w:r>
              <w:rPr>
                <w:rFonts w:hint="default" w:ascii="Times New Roman" w:hAnsi="Times New Roman" w:eastAsia="宋体" w:cs="Times New Roman"/>
                <w:color w:val="auto"/>
                <w:kern w:val="2"/>
                <w:sz w:val="21"/>
                <w:szCs w:val="36"/>
                <w:highlight w:val="none"/>
                <w:lang w:val="en-US" w:eastAsia="zh-CN" w:bidi="ar-SA"/>
              </w:rPr>
              <w:t>、总硬度、铅、氟、镉、铁、锰、溶解性总固体、高锰酸盐指数、硫酸盐、氯化物、总大肠菌群、细菌总数、石油烃</w:t>
            </w:r>
          </w:p>
        </w:tc>
        <w:tc>
          <w:tcPr>
            <w:tcW w:w="1095" w:type="dxa"/>
            <w:noWrap w:val="0"/>
            <w:vAlign w:val="center"/>
          </w:tcPr>
          <w:p w14:paraId="4DF81E25">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1次/年</w:t>
            </w:r>
          </w:p>
        </w:tc>
        <w:tc>
          <w:tcPr>
            <w:tcW w:w="2101" w:type="dxa"/>
            <w:noWrap w:val="0"/>
            <w:vAlign w:val="center"/>
          </w:tcPr>
          <w:p w14:paraId="5EC4EED7">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《地下水质量标准》</w:t>
            </w:r>
            <w:r>
              <w:rPr>
                <w:rFonts w:hint="eastAsia" w:cs="Times New Roman"/>
                <w:color w:val="auto"/>
                <w:kern w:val="2"/>
                <w:sz w:val="21"/>
                <w:szCs w:val="36"/>
                <w:highlight w:val="none"/>
                <w:lang w:val="en-US" w:eastAsia="zh-CN" w:bidi="ar-SA"/>
              </w:rPr>
              <w:t>（</w:t>
            </w:r>
            <w:r>
              <w:rPr>
                <w:rFonts w:hint="default" w:ascii="Times New Roman" w:hAnsi="Times New Roman" w:eastAsia="宋体" w:cs="Times New Roman"/>
                <w:color w:val="auto"/>
                <w:kern w:val="2"/>
                <w:sz w:val="21"/>
                <w:szCs w:val="36"/>
                <w:highlight w:val="none"/>
                <w:lang w:val="en-US" w:eastAsia="zh-CN" w:bidi="ar-SA"/>
              </w:rPr>
              <w:t>GB/T14848-2017</w:t>
            </w:r>
            <w:r>
              <w:rPr>
                <w:rFonts w:hint="eastAsia" w:cs="Times New Roman"/>
                <w:color w:val="auto"/>
                <w:kern w:val="2"/>
                <w:sz w:val="21"/>
                <w:szCs w:val="36"/>
                <w:highlight w:val="none"/>
                <w:lang w:val="en-US" w:eastAsia="zh-CN" w:bidi="ar-SA"/>
              </w:rPr>
              <w:t>）</w:t>
            </w:r>
            <w:r>
              <w:rPr>
                <w:rFonts w:hint="default" w:ascii="Times New Roman" w:hAnsi="Times New Roman" w:eastAsia="宋体" w:cs="Times New Roman"/>
                <w:color w:val="auto"/>
                <w:kern w:val="2"/>
                <w:sz w:val="21"/>
                <w:szCs w:val="36"/>
                <w:highlight w:val="none"/>
                <w:lang w:val="en-US" w:eastAsia="zh-CN" w:bidi="ar-SA"/>
              </w:rPr>
              <w:t>中III类标准</w:t>
            </w:r>
          </w:p>
        </w:tc>
      </w:tr>
    </w:tbl>
    <w:p w14:paraId="53B3D0A6">
      <w:pPr>
        <w:keepNext w:val="0"/>
        <w:widowControl w:val="0"/>
        <w:autoSpaceDE w:val="0"/>
        <w:autoSpaceDN w:val="0"/>
        <w:bidi w:val="0"/>
        <w:spacing w:line="420" w:lineRule="auto"/>
        <w:ind w:left="0" w:leftChars="0" w:right="0" w:firstLine="0" w:firstLineChars="0"/>
        <w:jc w:val="left"/>
        <w:outlineLvl w:val="3"/>
        <w:rPr>
          <w:rFonts w:hint="default" w:ascii="Times New Roman" w:hAnsi="Times New Roman" w:eastAsia="宋体" w:cs="Times New Roman"/>
          <w:b/>
          <w:bCs/>
          <w:color w:val="auto"/>
          <w:kern w:val="0"/>
          <w:sz w:val="25"/>
          <w:szCs w:val="28"/>
          <w:highlight w:val="none"/>
          <w:lang w:val="en-US" w:eastAsia="zh-CN" w:bidi="ar-SA"/>
        </w:rPr>
      </w:pPr>
      <w:r>
        <w:rPr>
          <w:rFonts w:hint="eastAsia" w:ascii="Times New Roman" w:hAnsi="Times New Roman" w:eastAsia="宋体" w:cs="Times New Roman"/>
          <w:b/>
          <w:bCs/>
          <w:color w:val="auto"/>
          <w:kern w:val="0"/>
          <w:sz w:val="25"/>
          <w:szCs w:val="28"/>
          <w:highlight w:val="none"/>
          <w:lang w:val="en-US" w:eastAsia="zh-CN" w:bidi="ar-SA"/>
        </w:rPr>
        <w:t>8</w:t>
      </w:r>
      <w:r>
        <w:rPr>
          <w:rFonts w:hint="default" w:ascii="Times New Roman" w:hAnsi="Times New Roman" w:eastAsia="宋体" w:cs="Times New Roman"/>
          <w:b/>
          <w:bCs/>
          <w:color w:val="auto"/>
          <w:kern w:val="0"/>
          <w:sz w:val="25"/>
          <w:szCs w:val="28"/>
          <w:highlight w:val="none"/>
          <w:lang w:val="en-US" w:eastAsia="zh-CN" w:bidi="ar-SA"/>
        </w:rPr>
        <w:t>.3.3.</w:t>
      </w:r>
      <w:r>
        <w:rPr>
          <w:rFonts w:hint="eastAsia" w:ascii="Times New Roman" w:hAnsi="Times New Roman" w:eastAsia="宋体" w:cs="Times New Roman"/>
          <w:b/>
          <w:bCs/>
          <w:color w:val="auto"/>
          <w:kern w:val="0"/>
          <w:sz w:val="25"/>
          <w:szCs w:val="28"/>
          <w:highlight w:val="none"/>
          <w:lang w:val="en-US" w:eastAsia="zh-CN" w:bidi="ar-SA"/>
        </w:rPr>
        <w:t>5废水</w:t>
      </w:r>
      <w:r>
        <w:rPr>
          <w:rFonts w:hint="default" w:ascii="Times New Roman" w:hAnsi="Times New Roman" w:eastAsia="宋体" w:cs="Times New Roman"/>
          <w:b/>
          <w:bCs/>
          <w:color w:val="auto"/>
          <w:kern w:val="0"/>
          <w:sz w:val="25"/>
          <w:szCs w:val="28"/>
          <w:highlight w:val="none"/>
          <w:lang w:val="en-US" w:eastAsia="zh-CN" w:bidi="ar-SA"/>
        </w:rPr>
        <w:t>监测</w:t>
      </w:r>
    </w:p>
    <w:p w14:paraId="37F86CCA">
      <w:pPr>
        <w:spacing w:line="360" w:lineRule="auto"/>
        <w:ind w:firstLine="480" w:firstLineChars="200"/>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本项目废水</w:t>
      </w:r>
      <w:r>
        <w:rPr>
          <w:rFonts w:hint="default" w:ascii="Times New Roman" w:hAnsi="Times New Roman" w:eastAsia="宋体" w:cs="Times New Roman"/>
          <w:color w:val="auto"/>
          <w:sz w:val="24"/>
          <w:highlight w:val="none"/>
        </w:rPr>
        <w:t>自行监测计划详见下表。</w:t>
      </w:r>
    </w:p>
    <w:p w14:paraId="4C1BFAC9">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p>
    <w:p w14:paraId="721C1369">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p>
    <w:p w14:paraId="3A19A8F7">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8.3.3-7</w:t>
      </w:r>
      <w:r>
        <w:rPr>
          <w:rFonts w:hint="eastAsia" w:cs="Times New Roman"/>
          <w:b/>
          <w:bCs/>
          <w:color w:val="auto"/>
          <w:kern w:val="2"/>
          <w:sz w:val="24"/>
          <w:szCs w:val="21"/>
          <w:highlight w:val="none"/>
          <w:lang w:val="en-US" w:eastAsia="zh-CN" w:bidi="ar-SA"/>
        </w:rPr>
        <w:t xml:space="preserve">  </w:t>
      </w:r>
      <w:r>
        <w:rPr>
          <w:rFonts w:hint="eastAsia" w:ascii="Times New Roman" w:hAnsi="Times New Roman" w:eastAsia="宋体" w:cs="Times New Roman"/>
          <w:b/>
          <w:bCs/>
          <w:color w:val="auto"/>
          <w:kern w:val="2"/>
          <w:sz w:val="24"/>
          <w:szCs w:val="21"/>
          <w:highlight w:val="none"/>
          <w:lang w:val="en-US" w:eastAsia="zh-CN" w:bidi="ar-SA"/>
        </w:rPr>
        <w:t>废水</w:t>
      </w:r>
      <w:r>
        <w:rPr>
          <w:rFonts w:hint="default" w:ascii="Times New Roman" w:hAnsi="Times New Roman" w:eastAsia="宋体" w:cs="Times New Roman"/>
          <w:b/>
          <w:bCs/>
          <w:color w:val="auto"/>
          <w:kern w:val="2"/>
          <w:sz w:val="24"/>
          <w:szCs w:val="21"/>
          <w:highlight w:val="none"/>
          <w:lang w:val="en-US" w:eastAsia="zh-CN" w:bidi="ar-SA"/>
        </w:rPr>
        <w:t>监测方案</w:t>
      </w:r>
    </w:p>
    <w:tbl>
      <w:tblPr>
        <w:tblStyle w:val="4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2393"/>
        <w:gridCol w:w="1650"/>
        <w:gridCol w:w="3454"/>
      </w:tblGrid>
      <w:tr w14:paraId="5A475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59" w:type="dxa"/>
            <w:noWrap w:val="0"/>
            <w:vAlign w:val="center"/>
          </w:tcPr>
          <w:p w14:paraId="6D624BF5">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监测点位</w:t>
            </w:r>
          </w:p>
        </w:tc>
        <w:tc>
          <w:tcPr>
            <w:tcW w:w="2393" w:type="dxa"/>
            <w:noWrap w:val="0"/>
            <w:vAlign w:val="center"/>
          </w:tcPr>
          <w:p w14:paraId="441E9CBF">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监测指标</w:t>
            </w:r>
          </w:p>
        </w:tc>
        <w:tc>
          <w:tcPr>
            <w:tcW w:w="1650" w:type="dxa"/>
            <w:noWrap w:val="0"/>
            <w:vAlign w:val="center"/>
          </w:tcPr>
          <w:p w14:paraId="010A4D02">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监测频次</w:t>
            </w:r>
          </w:p>
        </w:tc>
        <w:tc>
          <w:tcPr>
            <w:tcW w:w="3454" w:type="dxa"/>
            <w:noWrap w:val="0"/>
            <w:vAlign w:val="center"/>
          </w:tcPr>
          <w:p w14:paraId="708D92DD">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执行标准</w:t>
            </w:r>
          </w:p>
        </w:tc>
      </w:tr>
      <w:tr w14:paraId="6E966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1359" w:type="dxa"/>
            <w:vMerge w:val="restart"/>
            <w:noWrap w:val="0"/>
            <w:vAlign w:val="center"/>
          </w:tcPr>
          <w:p w14:paraId="3F41863A">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废水总排口</w:t>
            </w:r>
          </w:p>
        </w:tc>
        <w:tc>
          <w:tcPr>
            <w:tcW w:w="2393" w:type="dxa"/>
            <w:noWrap w:val="0"/>
            <w:vAlign w:val="center"/>
          </w:tcPr>
          <w:p w14:paraId="03244607">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流量、</w:t>
            </w:r>
            <w:r>
              <w:rPr>
                <w:rFonts w:hint="default" w:ascii="Times New Roman" w:hAnsi="Times New Roman" w:eastAsia="宋体" w:cs="Times New Roman"/>
                <w:color w:val="auto"/>
                <w:kern w:val="2"/>
                <w:sz w:val="21"/>
                <w:szCs w:val="36"/>
                <w:highlight w:val="none"/>
                <w:lang w:val="en-US" w:eastAsia="zh-CN" w:bidi="ar-SA"/>
              </w:rPr>
              <w:t>pH、</w:t>
            </w:r>
            <w:r>
              <w:rPr>
                <w:rFonts w:hint="eastAsia" w:ascii="Times New Roman" w:hAnsi="Times New Roman" w:eastAsia="宋体" w:cs="Times New Roman"/>
                <w:color w:val="auto"/>
                <w:kern w:val="2"/>
                <w:sz w:val="21"/>
                <w:szCs w:val="36"/>
                <w:highlight w:val="none"/>
                <w:lang w:val="en-US" w:eastAsia="zh-CN" w:bidi="ar-SA"/>
              </w:rPr>
              <w:t>总磷</w:t>
            </w:r>
            <w:r>
              <w:rPr>
                <w:rFonts w:hint="default" w:ascii="Times New Roman" w:hAnsi="Times New Roman" w:eastAsia="宋体" w:cs="Times New Roman"/>
                <w:color w:val="auto"/>
                <w:kern w:val="2"/>
                <w:sz w:val="21"/>
                <w:szCs w:val="36"/>
                <w:highlight w:val="none"/>
                <w:lang w:val="en-US" w:eastAsia="zh-CN" w:bidi="ar-SA"/>
              </w:rPr>
              <w:t>、</w:t>
            </w:r>
            <w:r>
              <w:rPr>
                <w:rFonts w:hint="eastAsia" w:ascii="Times New Roman" w:hAnsi="Times New Roman" w:eastAsia="宋体" w:cs="Times New Roman"/>
                <w:color w:val="auto"/>
                <w:kern w:val="2"/>
                <w:sz w:val="21"/>
                <w:szCs w:val="36"/>
                <w:highlight w:val="none"/>
                <w:lang w:val="en-US" w:eastAsia="zh-CN" w:bidi="ar-SA"/>
              </w:rPr>
              <w:t>总氮、悬浮物、LAS、石油类</w:t>
            </w:r>
          </w:p>
        </w:tc>
        <w:tc>
          <w:tcPr>
            <w:tcW w:w="1650" w:type="dxa"/>
            <w:noWrap w:val="0"/>
            <w:vAlign w:val="center"/>
          </w:tcPr>
          <w:p w14:paraId="14752224">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1次/半年</w:t>
            </w:r>
          </w:p>
        </w:tc>
        <w:tc>
          <w:tcPr>
            <w:tcW w:w="3454" w:type="dxa"/>
            <w:vMerge w:val="restart"/>
            <w:noWrap w:val="0"/>
            <w:vAlign w:val="center"/>
          </w:tcPr>
          <w:p w14:paraId="48E28155">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olor w:val="auto"/>
                <w:spacing w:val="-4"/>
                <w:highlight w:val="none"/>
                <w:lang w:val="zh-CN" w:eastAsia="zh-CN" w:bidi="zh-CN"/>
              </w:rPr>
              <w:t>《石油化学工业污染物排放标准》（GB31571-2015）、《污水综合排放标准》（GB8978-1996）表4中三级标准</w:t>
            </w:r>
            <w:r>
              <w:rPr>
                <w:rFonts w:hint="eastAsia" w:ascii="Times New Roman" w:hAnsi="Times New Roman" w:eastAsia="宋体"/>
                <w:color w:val="auto"/>
                <w:spacing w:val="-4"/>
                <w:highlight w:val="none"/>
                <w:lang w:val="en-US" w:eastAsia="zh-CN" w:bidi="zh-CN"/>
              </w:rPr>
              <w:t>和田家庵经济开发区污水处理站接管标准</w:t>
            </w:r>
          </w:p>
        </w:tc>
      </w:tr>
      <w:tr w14:paraId="5625F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1359" w:type="dxa"/>
            <w:vMerge w:val="continue"/>
            <w:noWrap w:val="0"/>
            <w:vAlign w:val="center"/>
          </w:tcPr>
          <w:p w14:paraId="728E5A59">
            <w:pPr>
              <w:widowControl w:val="0"/>
              <w:bidi w:val="0"/>
              <w:spacing w:before="15" w:beforeLines="15" w:after="15" w:afterLines="15" w:line="240" w:lineRule="auto"/>
              <w:ind w:firstLine="0" w:firstLineChars="0"/>
              <w:jc w:val="center"/>
              <w:rPr>
                <w:rFonts w:hint="eastAsia" w:ascii="Times New Roman" w:hAnsi="Times New Roman" w:eastAsia="宋体" w:cs="Times New Roman"/>
                <w:b/>
                <w:bCs/>
                <w:color w:val="auto"/>
                <w:kern w:val="2"/>
                <w:sz w:val="21"/>
                <w:szCs w:val="36"/>
                <w:highlight w:val="none"/>
                <w:lang w:val="en-US" w:eastAsia="zh-CN" w:bidi="ar-SA"/>
              </w:rPr>
            </w:pPr>
          </w:p>
        </w:tc>
        <w:tc>
          <w:tcPr>
            <w:tcW w:w="2393" w:type="dxa"/>
            <w:noWrap w:val="0"/>
            <w:vAlign w:val="center"/>
          </w:tcPr>
          <w:p w14:paraId="00660E99">
            <w:pPr>
              <w:widowControl w:val="0"/>
              <w:bidi w:val="0"/>
              <w:spacing w:before="15" w:beforeLines="15" w:after="15" w:afterLines="15" w:line="240" w:lineRule="auto"/>
              <w:ind w:firstLine="0" w:firstLineChars="0"/>
              <w:jc w:val="center"/>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COD</w:t>
            </w:r>
            <w:r>
              <w:rPr>
                <w:rFonts w:hint="default" w:ascii="Times New Roman" w:hAnsi="Times New Roman" w:eastAsia="宋体" w:cs="Times New Roman"/>
                <w:color w:val="auto"/>
                <w:kern w:val="2"/>
                <w:sz w:val="21"/>
                <w:szCs w:val="36"/>
                <w:highlight w:val="none"/>
                <w:lang w:val="en-US" w:eastAsia="zh-CN" w:bidi="ar-SA"/>
              </w:rPr>
              <w:t>、氨氮</w:t>
            </w:r>
          </w:p>
        </w:tc>
        <w:tc>
          <w:tcPr>
            <w:tcW w:w="1650" w:type="dxa"/>
            <w:noWrap w:val="0"/>
            <w:vAlign w:val="center"/>
          </w:tcPr>
          <w:p w14:paraId="4270DA5C">
            <w:pPr>
              <w:widowControl w:val="0"/>
              <w:bidi w:val="0"/>
              <w:spacing w:before="15" w:beforeLines="15" w:after="15" w:afterLines="15" w:line="240" w:lineRule="auto"/>
              <w:ind w:firstLine="0" w:firstLineChars="0"/>
              <w:jc w:val="center"/>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1次/周</w:t>
            </w:r>
          </w:p>
        </w:tc>
        <w:tc>
          <w:tcPr>
            <w:tcW w:w="3454" w:type="dxa"/>
            <w:vMerge w:val="continue"/>
            <w:noWrap w:val="0"/>
            <w:vAlign w:val="center"/>
          </w:tcPr>
          <w:p w14:paraId="6A6F8516">
            <w:pPr>
              <w:widowControl w:val="0"/>
              <w:bidi w:val="0"/>
              <w:spacing w:before="15" w:beforeLines="15" w:after="15" w:afterLines="15" w:line="240" w:lineRule="auto"/>
              <w:ind w:firstLine="0" w:firstLineChars="0"/>
              <w:jc w:val="center"/>
              <w:rPr>
                <w:rFonts w:hint="eastAsia" w:ascii="Times New Roman" w:hAnsi="Times New Roman" w:eastAsia="宋体"/>
                <w:color w:val="auto"/>
                <w:spacing w:val="-4"/>
                <w:highlight w:val="none"/>
                <w:lang w:val="zh-CN" w:eastAsia="zh-CN" w:bidi="zh-CN"/>
              </w:rPr>
            </w:pPr>
          </w:p>
        </w:tc>
      </w:tr>
      <w:tr w14:paraId="01F71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359" w:type="dxa"/>
            <w:vMerge w:val="continue"/>
            <w:noWrap w:val="0"/>
            <w:vAlign w:val="center"/>
          </w:tcPr>
          <w:p w14:paraId="3941F60A">
            <w:pPr>
              <w:widowControl w:val="0"/>
              <w:bidi w:val="0"/>
              <w:spacing w:before="15" w:beforeLines="15" w:after="15" w:afterLines="15" w:line="240" w:lineRule="auto"/>
              <w:ind w:firstLine="0" w:firstLineChars="0"/>
              <w:jc w:val="center"/>
              <w:rPr>
                <w:rFonts w:hint="eastAsia" w:ascii="Times New Roman" w:hAnsi="Times New Roman" w:eastAsia="宋体" w:cs="Times New Roman"/>
                <w:b/>
                <w:bCs/>
                <w:color w:val="auto"/>
                <w:kern w:val="2"/>
                <w:sz w:val="21"/>
                <w:szCs w:val="36"/>
                <w:highlight w:val="none"/>
                <w:lang w:val="en-US" w:eastAsia="zh-CN" w:bidi="ar-SA"/>
              </w:rPr>
            </w:pPr>
          </w:p>
        </w:tc>
        <w:tc>
          <w:tcPr>
            <w:tcW w:w="2393" w:type="dxa"/>
            <w:noWrap w:val="0"/>
            <w:vAlign w:val="center"/>
          </w:tcPr>
          <w:p w14:paraId="57429C0A">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BOD</w:t>
            </w:r>
            <w:r>
              <w:rPr>
                <w:rFonts w:hint="eastAsia" w:ascii="Times New Roman" w:hAnsi="Times New Roman" w:eastAsia="宋体" w:cs="Times New Roman"/>
                <w:color w:val="auto"/>
                <w:kern w:val="2"/>
                <w:sz w:val="21"/>
                <w:szCs w:val="36"/>
                <w:highlight w:val="none"/>
                <w:vertAlign w:val="subscript"/>
                <w:lang w:val="en-US" w:eastAsia="zh-CN" w:bidi="ar-SA"/>
              </w:rPr>
              <w:t>5</w:t>
            </w:r>
          </w:p>
        </w:tc>
        <w:tc>
          <w:tcPr>
            <w:tcW w:w="1650" w:type="dxa"/>
            <w:noWrap w:val="0"/>
            <w:vAlign w:val="center"/>
          </w:tcPr>
          <w:p w14:paraId="782BAB2B">
            <w:pPr>
              <w:widowControl w:val="0"/>
              <w:bidi w:val="0"/>
              <w:spacing w:before="15" w:beforeLines="15" w:after="15" w:afterLines="15" w:line="240" w:lineRule="auto"/>
              <w:ind w:firstLine="0" w:firstLineChars="0"/>
              <w:jc w:val="center"/>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1次/季度</w:t>
            </w:r>
          </w:p>
        </w:tc>
        <w:tc>
          <w:tcPr>
            <w:tcW w:w="3454" w:type="dxa"/>
            <w:vMerge w:val="continue"/>
            <w:noWrap w:val="0"/>
            <w:vAlign w:val="center"/>
          </w:tcPr>
          <w:p w14:paraId="25987EF3">
            <w:pPr>
              <w:widowControl w:val="0"/>
              <w:bidi w:val="0"/>
              <w:spacing w:before="15" w:beforeLines="15" w:after="15" w:afterLines="15" w:line="240" w:lineRule="auto"/>
              <w:ind w:firstLine="0" w:firstLineChars="0"/>
              <w:jc w:val="center"/>
              <w:rPr>
                <w:rFonts w:hint="eastAsia" w:ascii="Times New Roman" w:hAnsi="Times New Roman" w:eastAsia="宋体"/>
                <w:color w:val="auto"/>
                <w:spacing w:val="-4"/>
                <w:highlight w:val="none"/>
                <w:lang w:val="zh-CN" w:eastAsia="zh-CN" w:bidi="zh-CN"/>
              </w:rPr>
            </w:pPr>
          </w:p>
        </w:tc>
      </w:tr>
      <w:tr w14:paraId="07794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1359" w:type="dxa"/>
            <w:noWrap w:val="0"/>
            <w:vAlign w:val="center"/>
          </w:tcPr>
          <w:p w14:paraId="12CE6DD9">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eastAsia" w:ascii="Times New Roman" w:hAnsi="Times New Roman" w:eastAsia="宋体" w:cs="Times New Roman"/>
                <w:b/>
                <w:bCs/>
                <w:color w:val="auto"/>
                <w:kern w:val="2"/>
                <w:sz w:val="21"/>
                <w:szCs w:val="36"/>
                <w:highlight w:val="none"/>
                <w:lang w:val="en-US" w:eastAsia="zh-CN" w:bidi="ar-SA"/>
              </w:rPr>
              <w:t>雨水排口</w:t>
            </w:r>
          </w:p>
        </w:tc>
        <w:tc>
          <w:tcPr>
            <w:tcW w:w="2393" w:type="dxa"/>
            <w:noWrap w:val="0"/>
            <w:vAlign w:val="center"/>
          </w:tcPr>
          <w:p w14:paraId="1F721286">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pH</w:t>
            </w:r>
            <w:r>
              <w:rPr>
                <w:rFonts w:hint="eastAsia" w:ascii="Times New Roman" w:hAnsi="Times New Roman" w:eastAsia="宋体" w:cs="Times New Roman"/>
                <w:color w:val="auto"/>
                <w:kern w:val="2"/>
                <w:sz w:val="21"/>
                <w:szCs w:val="36"/>
                <w:highlight w:val="none"/>
                <w:lang w:val="en-US" w:eastAsia="zh-CN" w:bidi="ar-SA"/>
              </w:rPr>
              <w:t>、COD、SS</w:t>
            </w:r>
          </w:p>
        </w:tc>
        <w:tc>
          <w:tcPr>
            <w:tcW w:w="1650" w:type="dxa"/>
            <w:noWrap w:val="0"/>
            <w:vAlign w:val="center"/>
          </w:tcPr>
          <w:p w14:paraId="45B09285">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日/次</w:t>
            </w:r>
          </w:p>
        </w:tc>
        <w:tc>
          <w:tcPr>
            <w:tcW w:w="3454" w:type="dxa"/>
            <w:noWrap w:val="0"/>
            <w:vAlign w:val="center"/>
          </w:tcPr>
          <w:p w14:paraId="3C466A43">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w:t>
            </w:r>
          </w:p>
        </w:tc>
      </w:tr>
    </w:tbl>
    <w:p w14:paraId="0329953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b/>
          <w:color w:val="auto"/>
          <w:kern w:val="0"/>
          <w:sz w:val="21"/>
          <w:szCs w:val="21"/>
          <w:highlight w:val="none"/>
          <w:lang w:val="en-US" w:eastAsia="zh-CN" w:bidi="ar"/>
        </w:rPr>
      </w:pPr>
      <w:r>
        <w:rPr>
          <w:rFonts w:hint="eastAsia" w:cs="Times New Roman"/>
          <w:b/>
          <w:color w:val="auto"/>
          <w:kern w:val="0"/>
          <w:sz w:val="21"/>
          <w:szCs w:val="21"/>
          <w:highlight w:val="none"/>
          <w:lang w:val="en-US" w:eastAsia="zh-CN" w:bidi="ar"/>
        </w:rPr>
        <w:t>注：雨水监测排放时间按日监测。</w:t>
      </w:r>
    </w:p>
    <w:p w14:paraId="5A6FB84A">
      <w:pPr>
        <w:keepNext w:val="0"/>
        <w:keepLines w:val="0"/>
        <w:pageBreakBefore w:val="0"/>
        <w:widowControl w:val="0"/>
        <w:kinsoku/>
        <w:wordWrap/>
        <w:overflowPunct/>
        <w:topLinePunct w:val="0"/>
        <w:autoSpaceDE/>
        <w:autoSpaceDN/>
        <w:bidi w:val="0"/>
        <w:adjustRightInd/>
        <w:snapToGrid/>
        <w:spacing w:before="157" w:beforeLines="50" w:beforeAutospacing="0" w:after="157" w:afterLines="50" w:afterAutospacing="0" w:line="36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zh-CN" w:eastAsia="zh-CN" w:bidi="ar"/>
        </w:rPr>
      </w:pPr>
      <w:bookmarkStart w:id="607" w:name="_Toc5835"/>
      <w:r>
        <w:rPr>
          <w:rFonts w:hint="eastAsia" w:ascii="Times New Roman" w:hAnsi="Times New Roman" w:eastAsia="宋体" w:cs="Times New Roman"/>
          <w:b/>
          <w:color w:val="auto"/>
          <w:kern w:val="0"/>
          <w:sz w:val="24"/>
          <w:szCs w:val="24"/>
          <w:highlight w:val="none"/>
          <w:lang w:val="en-US" w:eastAsia="zh-CN" w:bidi="ar"/>
        </w:rPr>
        <w:t>8</w:t>
      </w:r>
      <w:r>
        <w:rPr>
          <w:rFonts w:hint="default" w:ascii="Times New Roman" w:hAnsi="Times New Roman" w:eastAsia="宋体" w:cs="Times New Roman"/>
          <w:b/>
          <w:color w:val="auto"/>
          <w:kern w:val="0"/>
          <w:sz w:val="24"/>
          <w:szCs w:val="24"/>
          <w:highlight w:val="none"/>
          <w:lang w:val="en-US" w:eastAsia="zh-CN" w:bidi="ar"/>
        </w:rPr>
        <w:t>.3.4</w:t>
      </w:r>
      <w:r>
        <w:rPr>
          <w:rFonts w:hint="default" w:ascii="Times New Roman" w:hAnsi="Times New Roman" w:eastAsia="宋体" w:cs="Times New Roman"/>
          <w:b/>
          <w:color w:val="auto"/>
          <w:kern w:val="0"/>
          <w:sz w:val="24"/>
          <w:szCs w:val="24"/>
          <w:highlight w:val="none"/>
          <w:lang w:val="zh-CN" w:eastAsia="zh-CN" w:bidi="ar"/>
        </w:rPr>
        <w:t>监测技术要求及档案管理</w:t>
      </w:r>
      <w:bookmarkEnd w:id="607"/>
    </w:p>
    <w:p w14:paraId="1A67416F">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环境监测采样、分析方法、数据处理等技术要求均应遵循环境监测技术规范中有关环境要素监测技术规定的方法进行。</w:t>
      </w:r>
    </w:p>
    <w:p w14:paraId="1C98034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企业对自身污染源及污染物排放实行例行监测、控制污染，是企业做好环境保护工作职责之一。</w:t>
      </w:r>
      <w:r>
        <w:rPr>
          <w:rFonts w:hint="default" w:ascii="Times New Roman" w:hAnsi="Times New Roman" w:eastAsia="宋体" w:cs="Times New Roman"/>
          <w:color w:val="auto"/>
          <w:sz w:val="24"/>
          <w:highlight w:val="none"/>
          <w:lang w:eastAsia="zh-CN"/>
        </w:rPr>
        <w:t>建立健全环境保护规章制度，落实企业自行监测计划，保存原始监测记录，定期公开环境信息，配备专职环保专员。</w:t>
      </w:r>
      <w:r>
        <w:rPr>
          <w:rFonts w:hint="default" w:ascii="Times New Roman" w:hAnsi="Times New Roman" w:eastAsia="宋体" w:cs="Times New Roman"/>
          <w:color w:val="auto"/>
          <w:sz w:val="24"/>
          <w:highlight w:val="none"/>
        </w:rPr>
        <w:t>监测资料应进行技术分析、分类存档、科学管理，为企业防治环境污染途径和治理措施提供必要的依据；同时也是企业的环境保护资料统计上报、查阅、目标管理等</w:t>
      </w:r>
      <w:r>
        <w:rPr>
          <w:rFonts w:hint="eastAsia" w:cs="Times New Roman"/>
          <w:color w:val="auto"/>
          <w:sz w:val="24"/>
          <w:highlight w:val="none"/>
          <w:lang w:eastAsia="zh-CN"/>
        </w:rPr>
        <w:t>必须</w:t>
      </w:r>
      <w:r>
        <w:rPr>
          <w:rFonts w:hint="default" w:ascii="Times New Roman" w:hAnsi="Times New Roman" w:eastAsia="宋体" w:cs="Times New Roman"/>
          <w:color w:val="auto"/>
          <w:sz w:val="24"/>
          <w:highlight w:val="none"/>
        </w:rPr>
        <w:t>做的工作内容之一。</w:t>
      </w:r>
    </w:p>
    <w:p w14:paraId="53E24EC8">
      <w:pPr>
        <w:keepNext w:val="0"/>
        <w:keepLines w:val="0"/>
        <w:pageBreakBefore w:val="0"/>
        <w:widowControl w:val="0"/>
        <w:kinsoku/>
        <w:wordWrap/>
        <w:overflowPunct/>
        <w:topLinePunct w:val="0"/>
        <w:autoSpaceDE/>
        <w:autoSpaceDN/>
        <w:bidi w:val="0"/>
        <w:adjustRightInd/>
        <w:snapToGrid/>
        <w:spacing w:before="157" w:beforeLines="50" w:beforeAutospacing="0" w:after="157" w:afterLines="50" w:afterAutospacing="0" w:line="36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zh-CN" w:eastAsia="zh-CN" w:bidi="ar"/>
        </w:rPr>
      </w:pPr>
      <w:bookmarkStart w:id="608" w:name="_Toc2729"/>
      <w:r>
        <w:rPr>
          <w:rFonts w:hint="eastAsia" w:ascii="Times New Roman" w:hAnsi="Times New Roman" w:eastAsia="宋体" w:cs="Times New Roman"/>
          <w:b/>
          <w:color w:val="auto"/>
          <w:kern w:val="0"/>
          <w:sz w:val="24"/>
          <w:szCs w:val="24"/>
          <w:highlight w:val="none"/>
          <w:lang w:val="en-US" w:eastAsia="zh-CN" w:bidi="ar"/>
        </w:rPr>
        <w:t>8</w:t>
      </w:r>
      <w:r>
        <w:rPr>
          <w:rFonts w:hint="default" w:ascii="Times New Roman" w:hAnsi="Times New Roman" w:eastAsia="宋体" w:cs="Times New Roman"/>
          <w:b/>
          <w:color w:val="auto"/>
          <w:kern w:val="0"/>
          <w:sz w:val="24"/>
          <w:szCs w:val="24"/>
          <w:highlight w:val="none"/>
          <w:lang w:val="en-US" w:eastAsia="zh-CN" w:bidi="ar"/>
        </w:rPr>
        <w:t>.3.5</w:t>
      </w:r>
      <w:r>
        <w:rPr>
          <w:rFonts w:hint="default" w:ascii="Times New Roman" w:hAnsi="Times New Roman" w:eastAsia="宋体" w:cs="Times New Roman"/>
          <w:b/>
          <w:color w:val="auto"/>
          <w:kern w:val="0"/>
          <w:sz w:val="24"/>
          <w:szCs w:val="24"/>
          <w:highlight w:val="none"/>
          <w:lang w:val="zh-CN" w:eastAsia="zh-CN" w:bidi="ar"/>
        </w:rPr>
        <w:t>监测仪器配置</w:t>
      </w:r>
      <w:bookmarkEnd w:id="608"/>
    </w:p>
    <w:p w14:paraId="35192FC3">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委托有资质第三方检测机构进行相关日常监测，厂区不另配置监测仪器。</w:t>
      </w:r>
    </w:p>
    <w:p w14:paraId="04E97FDC">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both"/>
        <w:textAlignment w:val="auto"/>
        <w:outlineLvl w:val="1"/>
        <w:rPr>
          <w:rFonts w:hint="default" w:ascii="Times New Roman" w:hAnsi="Times New Roman" w:eastAsia="宋体" w:cs="Times New Roman"/>
          <w:b/>
          <w:bCs/>
          <w:color w:val="auto"/>
          <w:kern w:val="2"/>
          <w:sz w:val="28"/>
          <w:szCs w:val="28"/>
          <w:highlight w:val="none"/>
          <w:lang w:val="zh-CN" w:eastAsia="zh-CN" w:bidi="ar-SA"/>
        </w:rPr>
      </w:pPr>
      <w:bookmarkStart w:id="609" w:name="_Toc16064"/>
      <w:bookmarkStart w:id="610" w:name="_Toc2150"/>
      <w:r>
        <w:rPr>
          <w:rFonts w:hint="eastAsia"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zh-CN" w:eastAsia="zh-CN" w:bidi="ar-SA"/>
        </w:rPr>
        <w:t>.4</w:t>
      </w:r>
      <w:r>
        <w:rPr>
          <w:rFonts w:hint="default" w:ascii="Times New Roman" w:hAnsi="Times New Roman" w:eastAsia="宋体" w:cs="Times New Roman"/>
          <w:b/>
          <w:bCs/>
          <w:color w:val="auto"/>
          <w:kern w:val="2"/>
          <w:sz w:val="28"/>
          <w:szCs w:val="28"/>
          <w:highlight w:val="none"/>
          <w:lang w:val="en-US" w:eastAsia="zh-CN" w:bidi="ar-SA"/>
        </w:rPr>
        <w:t>排污许可证制度</w:t>
      </w:r>
      <w:bookmarkEnd w:id="609"/>
      <w:bookmarkEnd w:id="610"/>
    </w:p>
    <w:p w14:paraId="73FC1ED8">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根据《国务院办公厅关于印发控制污染物排放许可制实施方案的通知》（国办发﹝2016﹞81号，2016年11月10日），指出到2020年，完成覆盖所有固定污染源的排污许可证核发工作，并建立健全企事业单位污染物排放总量控制制度，逐步实现由行政区域污染物排放总量控制向企事业单位污染物排放总量控制转变，控制的范围逐渐统一到固定污染源。</w:t>
      </w:r>
    </w:p>
    <w:p w14:paraId="7D99F773">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根据《关于印发</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十三五</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环境影响评价改革实施方案</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lang w:val="en-US" w:eastAsia="zh-CN"/>
        </w:rPr>
        <w:t>的通知》（环环评﹝2016﹞95号，2016年7月15日）中提出：项目环评重在落实环境质量目标管理要求，优化环保措施，强化环境风险防控，做好与排污许可的衔接。</w:t>
      </w:r>
    </w:p>
    <w:p w14:paraId="7D850075">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根据《关于做好环境影响评价制度与排污许可证衔接相关工作的通知》（环办环评﹝2017﹞84号，2017年11月24日）：排污许可制是企事业单位生产运营期排污的法律依据，是确保环境影响评价提出的污染防治设施和措施落实落地的重要保障。</w:t>
      </w:r>
    </w:p>
    <w:p w14:paraId="6CC28AB8">
      <w:pPr>
        <w:spacing w:line="360" w:lineRule="auto"/>
        <w:ind w:firstLine="482"/>
        <w:rPr>
          <w:rFonts w:hint="default" w:ascii="Times New Roman" w:hAnsi="Times New Roman" w:eastAsia="宋体" w:cs="Times New Roman"/>
          <w:color w:val="auto"/>
          <w:sz w:val="30"/>
          <w:szCs w:val="30"/>
          <w:highlight w:val="none"/>
        </w:rPr>
      </w:pPr>
      <w:r>
        <w:rPr>
          <w:rFonts w:hint="default" w:ascii="Times New Roman" w:hAnsi="Times New Roman" w:eastAsia="宋体" w:cs="Times New Roman"/>
          <w:color w:val="auto"/>
          <w:sz w:val="24"/>
          <w:highlight w:val="none"/>
          <w:lang w:val="en-US" w:eastAsia="zh-CN"/>
        </w:rPr>
        <w:t>综上，建设单位必须在项目发生实际排污行为之前，</w:t>
      </w:r>
      <w:r>
        <w:rPr>
          <w:rFonts w:hint="eastAsia" w:cs="Times New Roman"/>
          <w:color w:val="auto"/>
          <w:sz w:val="24"/>
          <w:highlight w:val="none"/>
          <w:lang w:val="en-US" w:eastAsia="zh-CN"/>
        </w:rPr>
        <w:t>根据</w:t>
      </w:r>
      <w:r>
        <w:rPr>
          <w:rFonts w:hint="default" w:ascii="Times New Roman" w:hAnsi="Times New Roman" w:eastAsia="宋体" w:cs="Times New Roman"/>
          <w:color w:val="auto"/>
          <w:sz w:val="24"/>
          <w:highlight w:val="none"/>
        </w:rPr>
        <w:t>《排污许可证申请与核发技术规范</w:t>
      </w:r>
      <w:r>
        <w:rPr>
          <w:rFonts w:hint="eastAsia" w:ascii="Times New Roman" w:hAnsi="Times New Roman" w:eastAsia="宋体" w:cs="Times New Roman"/>
          <w:color w:val="auto"/>
          <w:sz w:val="24"/>
          <w:highlight w:val="none"/>
          <w:lang w:val="en-US" w:eastAsia="zh-CN"/>
        </w:rPr>
        <w:t xml:space="preserve"> 储油库、加油站</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（HJ11</w:t>
      </w:r>
      <w:r>
        <w:rPr>
          <w:rFonts w:hint="eastAsia"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lang w:eastAsia="zh-CN"/>
        </w:rPr>
        <w:t>—2020）</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排污</w:t>
      </w:r>
      <w:r>
        <w:rPr>
          <w:rFonts w:hint="eastAsia" w:ascii="Times New Roman" w:hAnsi="Times New Roman" w:eastAsia="宋体" w:cs="Times New Roman"/>
          <w:color w:val="auto"/>
          <w:sz w:val="24"/>
          <w:highlight w:val="none"/>
          <w:lang w:val="en-US" w:eastAsia="zh-CN"/>
        </w:rPr>
        <w:t>单位自行监测计划指南 石油化学工业</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（HJ</w:t>
      </w:r>
      <w:r>
        <w:rPr>
          <w:rFonts w:hint="eastAsia" w:ascii="Times New Roman" w:hAnsi="Times New Roman" w:eastAsia="宋体" w:cs="Times New Roman"/>
          <w:color w:val="auto"/>
          <w:sz w:val="24"/>
          <w:highlight w:val="none"/>
          <w:lang w:val="en-US" w:eastAsia="zh-CN"/>
        </w:rPr>
        <w:t>947</w:t>
      </w:r>
      <w:r>
        <w:rPr>
          <w:rFonts w:hint="default" w:ascii="Times New Roman" w:hAnsi="Times New Roman" w:eastAsia="宋体" w:cs="Times New Roman"/>
          <w:color w:val="auto"/>
          <w:sz w:val="24"/>
          <w:highlight w:val="none"/>
          <w:lang w:eastAsia="zh-CN"/>
        </w:rPr>
        <w:t>—20</w:t>
      </w:r>
      <w:r>
        <w:rPr>
          <w:rFonts w:hint="eastAsia"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，建设单位应按照排污许可证的规定排污。</w:t>
      </w:r>
    </w:p>
    <w:p w14:paraId="1CFAEF9C">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both"/>
        <w:textAlignment w:val="auto"/>
        <w:outlineLvl w:val="1"/>
        <w:rPr>
          <w:rFonts w:hint="default" w:ascii="Times New Roman" w:hAnsi="Times New Roman" w:eastAsia="宋体" w:cs="Times New Roman"/>
          <w:b/>
          <w:bCs/>
          <w:color w:val="auto"/>
          <w:kern w:val="2"/>
          <w:sz w:val="28"/>
          <w:szCs w:val="28"/>
          <w:highlight w:val="none"/>
          <w:lang w:val="zh-CN" w:eastAsia="zh-CN" w:bidi="ar-SA"/>
        </w:rPr>
      </w:pPr>
      <w:bookmarkStart w:id="611" w:name="_Toc7007"/>
      <w:bookmarkStart w:id="612" w:name="_Toc27223"/>
      <w:r>
        <w:rPr>
          <w:rFonts w:hint="eastAsia"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en-US" w:eastAsia="zh-CN" w:bidi="ar-SA"/>
        </w:rPr>
        <w:t>.5</w:t>
      </w:r>
      <w:r>
        <w:rPr>
          <w:rFonts w:hint="default" w:ascii="Times New Roman" w:hAnsi="Times New Roman" w:eastAsia="宋体" w:cs="Times New Roman"/>
          <w:b/>
          <w:bCs/>
          <w:color w:val="auto"/>
          <w:kern w:val="2"/>
          <w:sz w:val="28"/>
          <w:szCs w:val="28"/>
          <w:highlight w:val="none"/>
          <w:lang w:val="zh-CN" w:eastAsia="zh-CN" w:bidi="ar-SA"/>
        </w:rPr>
        <w:t>排污口规范化管理</w:t>
      </w:r>
      <w:bookmarkEnd w:id="611"/>
      <w:bookmarkEnd w:id="612"/>
    </w:p>
    <w:p w14:paraId="6D01BAF7">
      <w:pPr>
        <w:keepNext w:val="0"/>
        <w:keepLines w:val="0"/>
        <w:pageBreakBefore w:val="0"/>
        <w:widowControl w:val="0"/>
        <w:kinsoku/>
        <w:wordWrap/>
        <w:overflowPunct/>
        <w:topLinePunct w:val="0"/>
        <w:autoSpaceDE/>
        <w:autoSpaceDN/>
        <w:bidi w:val="0"/>
        <w:adjustRightInd/>
        <w:snapToGrid/>
        <w:spacing w:before="157" w:beforeLines="50" w:beforeAutospacing="0" w:after="157" w:afterLines="50" w:afterAutospacing="0" w:line="36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zh-CN" w:eastAsia="zh-CN" w:bidi="ar"/>
        </w:rPr>
      </w:pPr>
      <w:bookmarkStart w:id="613" w:name="_Toc27435"/>
      <w:r>
        <w:rPr>
          <w:rFonts w:hint="eastAsia" w:ascii="Times New Roman" w:hAnsi="Times New Roman" w:eastAsia="宋体" w:cs="Times New Roman"/>
          <w:b/>
          <w:color w:val="auto"/>
          <w:kern w:val="0"/>
          <w:sz w:val="24"/>
          <w:szCs w:val="24"/>
          <w:highlight w:val="none"/>
          <w:lang w:val="en-US" w:eastAsia="zh-CN" w:bidi="ar"/>
        </w:rPr>
        <w:t>8</w:t>
      </w:r>
      <w:r>
        <w:rPr>
          <w:rFonts w:hint="default" w:ascii="Times New Roman" w:hAnsi="Times New Roman" w:eastAsia="宋体" w:cs="Times New Roman"/>
          <w:b/>
          <w:color w:val="auto"/>
          <w:kern w:val="0"/>
          <w:sz w:val="24"/>
          <w:szCs w:val="24"/>
          <w:highlight w:val="none"/>
          <w:lang w:val="en-US" w:eastAsia="zh-CN" w:bidi="ar"/>
        </w:rPr>
        <w:t>.5.1排污口规范化</w:t>
      </w:r>
      <w:bookmarkEnd w:id="613"/>
    </w:p>
    <w:p w14:paraId="28A52C0B">
      <w:pPr>
        <w:spacing w:line="360" w:lineRule="auto"/>
        <w:ind w:firstLine="48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按《安徽省污染源排放口规范化整治管理办法》（环法函〔2005〕114）号要求，该项目废气排气筒、废水排放口、固废堆放场所必须进行规范化设置。</w:t>
      </w:r>
    </w:p>
    <w:p w14:paraId="6071E449">
      <w:pPr>
        <w:spacing w:line="360" w:lineRule="auto"/>
        <w:ind w:firstLine="482"/>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（1）废水排放口规范化</w:t>
      </w:r>
    </w:p>
    <w:p w14:paraId="2DE4F866">
      <w:pPr>
        <w:spacing w:line="360" w:lineRule="auto"/>
        <w:ind w:firstLine="480"/>
        <w:rPr>
          <w:rFonts w:hint="default" w:ascii="Times New Roman" w:hAnsi="Times New Roman" w:eastAsia="宋体" w:cs="Times New Roman"/>
          <w:color w:val="auto"/>
          <w:sz w:val="24"/>
          <w:highlight w:val="none"/>
        </w:rPr>
      </w:pPr>
      <w:r>
        <w:rPr>
          <w:rFonts w:hint="eastAsia" w:ascii="Times New Roman" w:hAnsi="Times New Roman" w:eastAsia="宋体" w:cs="Times New Roman"/>
          <w:caps w:val="0"/>
          <w:smallCaps w:val="0"/>
          <w:color w:val="auto"/>
          <w:sz w:val="24"/>
          <w:highlight w:val="none"/>
          <w:lang w:eastAsia="zh-CN"/>
        </w:rPr>
        <w:t>本</w:t>
      </w:r>
      <w:r>
        <w:rPr>
          <w:rFonts w:hint="eastAsia" w:ascii="Times New Roman" w:hAnsi="Times New Roman" w:eastAsia="宋体" w:cs="Times New Roman"/>
          <w:caps w:val="0"/>
          <w:smallCaps w:val="0"/>
          <w:color w:val="auto"/>
          <w:sz w:val="24"/>
          <w:highlight w:val="none"/>
          <w:lang w:val="en-US" w:eastAsia="zh-CN"/>
        </w:rPr>
        <w:t>新建</w:t>
      </w:r>
      <w:r>
        <w:rPr>
          <w:rFonts w:hint="eastAsia" w:ascii="Times New Roman" w:hAnsi="Times New Roman" w:eastAsia="宋体" w:cs="Times New Roman"/>
          <w:caps w:val="0"/>
          <w:smallCaps w:val="0"/>
          <w:color w:val="auto"/>
          <w:sz w:val="24"/>
          <w:highlight w:val="none"/>
          <w:lang w:eastAsia="zh-CN"/>
        </w:rPr>
        <w:t>项目</w:t>
      </w:r>
      <w:r>
        <w:rPr>
          <w:rFonts w:hint="default" w:ascii="Times New Roman" w:hAnsi="Times New Roman" w:eastAsia="宋体" w:cs="Times New Roman"/>
          <w:caps w:val="0"/>
          <w:smallCaps w:val="0"/>
          <w:color w:val="auto"/>
          <w:sz w:val="24"/>
          <w:highlight w:val="none"/>
        </w:rPr>
        <w:t>排水系统按</w:t>
      </w:r>
      <w:r>
        <w:rPr>
          <w:rFonts w:hint="eastAsia" w:cs="Times New Roman"/>
          <w:caps w:val="0"/>
          <w:smallCaps w:val="0"/>
          <w:color w:val="auto"/>
          <w:sz w:val="24"/>
          <w:highlight w:val="none"/>
          <w:lang w:eastAsia="zh-CN"/>
        </w:rPr>
        <w:t>“</w:t>
      </w:r>
      <w:r>
        <w:rPr>
          <w:rFonts w:hint="default" w:ascii="Times New Roman" w:hAnsi="Times New Roman" w:eastAsia="宋体" w:cs="Times New Roman"/>
          <w:caps w:val="0"/>
          <w:smallCaps w:val="0"/>
          <w:color w:val="auto"/>
          <w:sz w:val="24"/>
          <w:highlight w:val="none"/>
        </w:rPr>
        <w:t>清污分流、雨污分流</w:t>
      </w:r>
      <w:r>
        <w:rPr>
          <w:rFonts w:hint="eastAsia" w:cs="Times New Roman"/>
          <w:caps w:val="0"/>
          <w:smallCaps w:val="0"/>
          <w:color w:val="auto"/>
          <w:sz w:val="24"/>
          <w:highlight w:val="none"/>
          <w:lang w:eastAsia="zh-CN"/>
        </w:rPr>
        <w:t>”</w:t>
      </w:r>
      <w:r>
        <w:rPr>
          <w:rFonts w:hint="default" w:ascii="Times New Roman" w:hAnsi="Times New Roman" w:eastAsia="宋体" w:cs="Times New Roman"/>
          <w:caps w:val="0"/>
          <w:smallCaps w:val="0"/>
          <w:color w:val="auto"/>
          <w:sz w:val="24"/>
          <w:highlight w:val="none"/>
        </w:rPr>
        <w:t>原则设计</w:t>
      </w:r>
      <w:r>
        <w:rPr>
          <w:rFonts w:hint="eastAsia" w:ascii="Times New Roman" w:hAnsi="Times New Roman" w:eastAsia="宋体" w:cs="Times New Roman"/>
          <w:caps w:val="0"/>
          <w:smallCaps w:val="0"/>
          <w:color w:val="auto"/>
          <w:sz w:val="24"/>
          <w:highlight w:val="none"/>
          <w:lang w:eastAsia="zh-CN"/>
        </w:rPr>
        <w:t>，本项目新增废水排污口</w:t>
      </w:r>
      <w:r>
        <w:rPr>
          <w:rFonts w:hint="eastAsia" w:ascii="Times New Roman" w:hAnsi="Times New Roman" w:eastAsia="宋体" w:cs="Times New Roman"/>
          <w:caps w:val="0"/>
          <w:smallCaps w:val="0"/>
          <w:color w:val="auto"/>
          <w:sz w:val="24"/>
          <w:highlight w:val="none"/>
          <w:lang w:val="en-US" w:eastAsia="zh-CN"/>
        </w:rPr>
        <w:t>1个</w:t>
      </w:r>
      <w:r>
        <w:rPr>
          <w:rFonts w:hint="eastAsia" w:ascii="Times New Roman" w:hAnsi="Times New Roman" w:eastAsia="宋体" w:cs="Times New Roman"/>
          <w:caps w:val="0"/>
          <w:smallCaps w:val="0"/>
          <w:color w:val="auto"/>
          <w:sz w:val="24"/>
          <w:highlight w:val="none"/>
          <w:lang w:eastAsia="zh-CN"/>
        </w:rPr>
        <w:t>，</w:t>
      </w:r>
      <w:r>
        <w:rPr>
          <w:rFonts w:hint="default" w:ascii="Times New Roman" w:hAnsi="Times New Roman" w:eastAsia="宋体" w:cs="Times New Roman"/>
          <w:caps w:val="0"/>
          <w:smallCaps w:val="0"/>
          <w:color w:val="auto"/>
          <w:sz w:val="24"/>
          <w:highlight w:val="none"/>
        </w:rPr>
        <w:t>雨水排放口1个。项目厂区实行雨污分流制，</w:t>
      </w:r>
      <w:r>
        <w:rPr>
          <w:rFonts w:hint="eastAsia" w:ascii="Times New Roman" w:hAnsi="Times New Roman" w:eastAsia="宋体" w:cs="Times New Roman"/>
          <w:caps w:val="0"/>
          <w:smallCaps w:val="0"/>
          <w:color w:val="auto"/>
          <w:sz w:val="24"/>
          <w:highlight w:val="none"/>
          <w:lang w:val="en-US" w:eastAsia="zh-CN"/>
        </w:rPr>
        <w:t>生活污水经化粪池收集预处理达到田家庵经济开发区污水处理站</w:t>
      </w:r>
      <w:r>
        <w:rPr>
          <w:rFonts w:hint="default" w:ascii="Times New Roman" w:hAnsi="Times New Roman" w:eastAsia="宋体" w:cs="Times New Roman"/>
          <w:caps w:val="0"/>
          <w:smallCaps w:val="0"/>
          <w:color w:val="auto"/>
          <w:sz w:val="24"/>
          <w:highlight w:val="none"/>
        </w:rPr>
        <w:t>，</w:t>
      </w:r>
      <w:r>
        <w:rPr>
          <w:rFonts w:hint="eastAsia" w:ascii="Times New Roman" w:hAnsi="Times New Roman" w:eastAsia="宋体" w:cs="Times New Roman"/>
          <w:caps w:val="0"/>
          <w:smallCaps w:val="0"/>
          <w:color w:val="auto"/>
          <w:sz w:val="24"/>
          <w:highlight w:val="none"/>
          <w:lang w:val="en-US" w:eastAsia="zh-CN"/>
        </w:rPr>
        <w:t>脱盐水制备产生浓水、反冲洗废水直接接管</w:t>
      </w:r>
      <w:r>
        <w:rPr>
          <w:rFonts w:hint="default" w:ascii="Times New Roman" w:hAnsi="Times New Roman" w:eastAsia="宋体" w:cs="Times New Roman"/>
          <w:caps w:val="0"/>
          <w:smallCaps w:val="0"/>
          <w:color w:val="auto"/>
          <w:sz w:val="24"/>
          <w:highlight w:val="none"/>
        </w:rPr>
        <w:t>市政污水管网</w:t>
      </w:r>
      <w:r>
        <w:rPr>
          <w:rFonts w:hint="eastAsia" w:ascii="Times New Roman" w:hAnsi="Times New Roman" w:eastAsia="宋体" w:cs="Times New Roman"/>
          <w:caps w:val="0"/>
          <w:smallCaps w:val="0"/>
          <w:color w:val="auto"/>
          <w:sz w:val="24"/>
          <w:highlight w:val="none"/>
          <w:lang w:eastAsia="zh-CN"/>
        </w:rPr>
        <w:t>，</w:t>
      </w:r>
      <w:r>
        <w:rPr>
          <w:rFonts w:hint="eastAsia" w:ascii="Times New Roman" w:hAnsi="Times New Roman" w:eastAsia="宋体" w:cs="Times New Roman"/>
          <w:caps w:val="0"/>
          <w:smallCaps w:val="0"/>
          <w:color w:val="auto"/>
          <w:sz w:val="24"/>
          <w:highlight w:val="none"/>
          <w:lang w:val="en-US" w:eastAsia="zh-CN"/>
        </w:rPr>
        <w:t>洗车废水、初期雨水经隔油沉淀处理后接管市政污水管网进入田家庵经济开发区污水处理站处理</w:t>
      </w:r>
      <w:r>
        <w:rPr>
          <w:rFonts w:hint="default" w:ascii="Times New Roman" w:hAnsi="Times New Roman" w:eastAsia="宋体" w:cs="Times New Roman"/>
          <w:caps w:val="0"/>
          <w:smallCaps w:val="0"/>
          <w:color w:val="auto"/>
          <w:sz w:val="24"/>
          <w:highlight w:val="none"/>
        </w:rPr>
        <w:t>。</w:t>
      </w:r>
    </w:p>
    <w:p w14:paraId="649AF76A">
      <w:pPr>
        <w:spacing w:line="360" w:lineRule="auto"/>
        <w:ind w:firstLine="482"/>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（2）废气排气口规范化</w:t>
      </w:r>
    </w:p>
    <w:p w14:paraId="4E9E647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各废气排气筒应设置便于采样、监测并符合《污染源监测技术规范》要求的采样口和采样平台，无法满足要求的应由市级以上环境监测部门确认采样口位置。采样位置应避开对操作人员有危险的区域，采样位置优先选择垂直管段，应避开弯头和断面急剧变化部位；采样位置在距弯头、阀门、变径管下游方向不小于6倍直径，和距上述部件上游方向不小于3倍直径处。采样断面的气流速度最好在5m/s以上。采样孔内径应不小于80mm，采样孔管长应不大于50mm，不使用时盖板、管堵或管帽封闭等，应满足《固定源废气监测技术规范》（HJ/T397-2007）中要求。并且按照《环境保护图形标志》（GB15562.1-1995）、（GB15562.2-1995）的规定设置与之相适应的环境保护图形标志牌。环境保护图形标志牌设置位置应距污染物排放口或采样点较近且醒目处，并能长久保留。</w:t>
      </w:r>
    </w:p>
    <w:p w14:paraId="2F0421FA">
      <w:pPr>
        <w:spacing w:line="360" w:lineRule="auto"/>
        <w:ind w:firstLine="482"/>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（3）固体废物暂存规范化</w:t>
      </w:r>
    </w:p>
    <w:p w14:paraId="41B8B55A">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本项目固体废物应按照固废处理相关规定加强管理，应加强暂存期间的管理，存放</w:t>
      </w:r>
      <w:r>
        <w:rPr>
          <w:rFonts w:hint="eastAsia" w:ascii="Times New Roman" w:hAnsi="Times New Roman" w:eastAsia="宋体" w:cs="Times New Roman"/>
          <w:color w:val="auto"/>
          <w:sz w:val="24"/>
          <w:highlight w:val="none"/>
          <w:lang w:val="en-US" w:eastAsia="zh-CN"/>
        </w:rPr>
        <w:t>场所</w:t>
      </w:r>
      <w:r>
        <w:rPr>
          <w:rFonts w:hint="default" w:ascii="Times New Roman" w:hAnsi="Times New Roman" w:eastAsia="宋体" w:cs="Times New Roman"/>
          <w:color w:val="auto"/>
          <w:sz w:val="24"/>
          <w:highlight w:val="none"/>
          <w:lang w:val="en-US" w:eastAsia="zh-CN"/>
        </w:rPr>
        <w:t>应采取严格的防风、防雨、防晒、防渗、防泄漏、防盗等措施，并在存放</w:t>
      </w:r>
      <w:r>
        <w:rPr>
          <w:rFonts w:hint="eastAsia" w:cs="Times New Roman"/>
          <w:color w:val="auto"/>
          <w:sz w:val="24"/>
          <w:highlight w:val="none"/>
          <w:lang w:val="en-US" w:eastAsia="zh-CN"/>
        </w:rPr>
        <w:t>场所</w:t>
      </w:r>
      <w:r>
        <w:rPr>
          <w:rFonts w:hint="default" w:ascii="Times New Roman" w:hAnsi="Times New Roman" w:eastAsia="宋体" w:cs="Times New Roman"/>
          <w:color w:val="auto"/>
          <w:sz w:val="24"/>
          <w:highlight w:val="none"/>
          <w:lang w:val="en-US" w:eastAsia="zh-CN"/>
        </w:rPr>
        <w:t>边界和进出口位置设置环保标志牌。环境保护图形标志牌设置位置应距固体废物贮存（堆放）场较近且醒目处，并能长久保留。危险废物贮存（堆放）场应设置警告性环境保护图形标志牌。</w:t>
      </w:r>
    </w:p>
    <w:p w14:paraId="4BD886DA">
      <w:pPr>
        <w:spacing w:line="360" w:lineRule="auto"/>
        <w:ind w:firstLine="482"/>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（4）排污口管理要求</w:t>
      </w:r>
    </w:p>
    <w:p w14:paraId="34DABC89">
      <w:pPr>
        <w:spacing w:line="360" w:lineRule="auto"/>
        <w:ind w:firstLine="482"/>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如实填写《中华人民共和国规范化排污口标记登记证》，建设单位可分别按以下内容建立排污口管理的专门档案：排污口性质和编号；位置；排放主要污染物种类、数量、浓度；排放去向；达标情况；治理设施运行情况等。</w:t>
      </w:r>
    </w:p>
    <w:p w14:paraId="14DC6EA1">
      <w:pPr>
        <w:keepNext w:val="0"/>
        <w:keepLines w:val="0"/>
        <w:pageBreakBefore w:val="0"/>
        <w:widowControl w:val="0"/>
        <w:kinsoku/>
        <w:wordWrap/>
        <w:overflowPunct/>
        <w:topLinePunct w:val="0"/>
        <w:autoSpaceDE/>
        <w:autoSpaceDN/>
        <w:bidi w:val="0"/>
        <w:adjustRightInd/>
        <w:snapToGrid/>
        <w:spacing w:before="157" w:beforeLines="50" w:beforeAutospacing="0" w:after="157" w:afterLines="50" w:afterAutospacing="0" w:line="360" w:lineRule="auto"/>
        <w:ind w:left="0" w:leftChars="0" w:firstLine="0" w:firstLineChars="0"/>
        <w:jc w:val="both"/>
        <w:textAlignment w:val="auto"/>
        <w:outlineLvl w:val="2"/>
        <w:rPr>
          <w:rFonts w:hint="default" w:ascii="Times New Roman" w:hAnsi="Times New Roman" w:eastAsia="宋体" w:cs="Times New Roman"/>
          <w:b/>
          <w:color w:val="auto"/>
          <w:kern w:val="0"/>
          <w:sz w:val="24"/>
          <w:szCs w:val="24"/>
          <w:highlight w:val="none"/>
          <w:lang w:val="en-US" w:eastAsia="zh-CN" w:bidi="ar"/>
        </w:rPr>
      </w:pPr>
      <w:bookmarkStart w:id="614" w:name="_Toc3157"/>
      <w:r>
        <w:rPr>
          <w:rFonts w:hint="eastAsia" w:ascii="Times New Roman" w:hAnsi="Times New Roman" w:eastAsia="宋体" w:cs="Times New Roman"/>
          <w:b/>
          <w:color w:val="auto"/>
          <w:kern w:val="0"/>
          <w:sz w:val="24"/>
          <w:szCs w:val="24"/>
          <w:highlight w:val="none"/>
          <w:lang w:val="en-US" w:eastAsia="zh-CN" w:bidi="ar"/>
        </w:rPr>
        <w:t>8</w:t>
      </w:r>
      <w:r>
        <w:rPr>
          <w:rFonts w:hint="default" w:ascii="Times New Roman" w:hAnsi="Times New Roman" w:eastAsia="宋体" w:cs="Times New Roman"/>
          <w:b/>
          <w:color w:val="auto"/>
          <w:kern w:val="0"/>
          <w:sz w:val="24"/>
          <w:szCs w:val="24"/>
          <w:highlight w:val="none"/>
          <w:lang w:val="en-US" w:eastAsia="zh-CN" w:bidi="ar"/>
        </w:rPr>
        <w:t>.5.2环境保护图形标志</w:t>
      </w:r>
      <w:bookmarkEnd w:id="614"/>
    </w:p>
    <w:p w14:paraId="4837EF65">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在厂区的污水排放口、废气排放口、噪声厂界监测点、固体废物贮存处置场应设置环境保护图形标志，图形符号分为提示图形和警告图形符号两种，分别按GB15562.1-1995、GB15562.2-1995执行。</w:t>
      </w:r>
      <w:r>
        <w:rPr>
          <w:rFonts w:hint="eastAsia" w:ascii="Times New Roman" w:hAnsi="Times New Roman" w:eastAsia="宋体" w:cs="Times New Roman"/>
          <w:color w:val="auto"/>
          <w:sz w:val="24"/>
          <w:highlight w:val="none"/>
          <w:lang w:val="en-US" w:eastAsia="zh-CN"/>
        </w:rPr>
        <w:t>环境保护</w:t>
      </w:r>
      <w:r>
        <w:rPr>
          <w:rFonts w:hint="default" w:ascii="Times New Roman" w:hAnsi="Times New Roman" w:eastAsia="宋体" w:cs="Times New Roman"/>
          <w:color w:val="auto"/>
          <w:sz w:val="24"/>
          <w:highlight w:val="none"/>
          <w:lang w:val="en-US" w:eastAsia="zh-CN"/>
        </w:rPr>
        <w:t>图形符号见表</w:t>
      </w:r>
      <w:r>
        <w:rPr>
          <w:rFonts w:hint="eastAsia" w:ascii="Times New Roman" w:hAnsi="Times New Roman" w:eastAsia="宋体" w:cs="Times New Roman"/>
          <w:color w:val="auto"/>
          <w:sz w:val="24"/>
          <w:highlight w:val="none"/>
          <w:lang w:val="en-US" w:eastAsia="zh-CN"/>
        </w:rPr>
        <w:t>8.5.1</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。环境保护图形标志的形状及颜色见表</w:t>
      </w:r>
      <w:r>
        <w:rPr>
          <w:rFonts w:hint="eastAsia" w:ascii="Times New Roman" w:hAnsi="Times New Roman" w:eastAsia="宋体" w:cs="Times New Roman"/>
          <w:color w:val="auto"/>
          <w:sz w:val="24"/>
          <w:highlight w:val="none"/>
          <w:lang w:val="en-US" w:eastAsia="zh-CN"/>
        </w:rPr>
        <w:t>8.5.1-2</w:t>
      </w:r>
      <w:r>
        <w:rPr>
          <w:rFonts w:hint="default" w:ascii="Times New Roman" w:hAnsi="Times New Roman" w:eastAsia="宋体" w:cs="Times New Roman"/>
          <w:color w:val="auto"/>
          <w:sz w:val="24"/>
          <w:highlight w:val="none"/>
          <w:lang w:val="en-US" w:eastAsia="zh-CN"/>
        </w:rPr>
        <w:t>。</w:t>
      </w:r>
    </w:p>
    <w:p w14:paraId="31E26C40">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8.5.1-1</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环境保护图形符号一览表</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837"/>
        <w:gridCol w:w="1718"/>
        <w:gridCol w:w="1274"/>
        <w:gridCol w:w="2882"/>
      </w:tblGrid>
      <w:tr w14:paraId="5D58C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7" w:type="dxa"/>
            <w:noWrap w:val="0"/>
            <w:vAlign w:val="center"/>
          </w:tcPr>
          <w:p w14:paraId="548F1C60">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序号</w:t>
            </w:r>
          </w:p>
        </w:tc>
        <w:tc>
          <w:tcPr>
            <w:tcW w:w="1837" w:type="dxa"/>
            <w:noWrap w:val="0"/>
            <w:vAlign w:val="center"/>
          </w:tcPr>
          <w:p w14:paraId="702FE104">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提示图形符号</w:t>
            </w:r>
          </w:p>
        </w:tc>
        <w:tc>
          <w:tcPr>
            <w:tcW w:w="1718" w:type="dxa"/>
            <w:noWrap w:val="0"/>
            <w:vAlign w:val="center"/>
          </w:tcPr>
          <w:p w14:paraId="51310DE3">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警告图形符号</w:t>
            </w:r>
          </w:p>
        </w:tc>
        <w:tc>
          <w:tcPr>
            <w:tcW w:w="1274" w:type="dxa"/>
            <w:noWrap w:val="0"/>
            <w:vAlign w:val="center"/>
          </w:tcPr>
          <w:p w14:paraId="7403739B">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名称</w:t>
            </w:r>
          </w:p>
        </w:tc>
        <w:tc>
          <w:tcPr>
            <w:tcW w:w="2882" w:type="dxa"/>
            <w:noWrap w:val="0"/>
            <w:vAlign w:val="center"/>
          </w:tcPr>
          <w:p w14:paraId="6503B29F">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功能</w:t>
            </w:r>
          </w:p>
        </w:tc>
      </w:tr>
      <w:tr w14:paraId="31D46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7" w:type="dxa"/>
            <w:noWrap w:val="0"/>
            <w:vAlign w:val="center"/>
          </w:tcPr>
          <w:p w14:paraId="1D8ED88D">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1</w:t>
            </w:r>
          </w:p>
        </w:tc>
        <w:tc>
          <w:tcPr>
            <w:tcW w:w="1837" w:type="dxa"/>
            <w:noWrap w:val="0"/>
            <w:vAlign w:val="center"/>
          </w:tcPr>
          <w:p w14:paraId="58421A3D">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drawing>
                <wp:inline distT="0" distB="0" distL="114300" distR="114300">
                  <wp:extent cx="848360" cy="666115"/>
                  <wp:effectExtent l="0" t="0" r="8890" b="635"/>
                  <wp:docPr id="595" name="图片 62" descr="说明: 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62" descr="说明: 13001"/>
                          <pic:cNvPicPr>
                            <a:picLocks noChangeAspect="1"/>
                          </pic:cNvPicPr>
                        </pic:nvPicPr>
                        <pic:blipFill>
                          <a:blip r:embed="rId98"/>
                          <a:stretch>
                            <a:fillRect/>
                          </a:stretch>
                        </pic:blipFill>
                        <pic:spPr>
                          <a:xfrm>
                            <a:off x="0" y="0"/>
                            <a:ext cx="848360" cy="666115"/>
                          </a:xfrm>
                          <a:prstGeom prst="rect">
                            <a:avLst/>
                          </a:prstGeom>
                          <a:noFill/>
                          <a:ln>
                            <a:noFill/>
                          </a:ln>
                        </pic:spPr>
                      </pic:pic>
                    </a:graphicData>
                  </a:graphic>
                </wp:inline>
              </w:drawing>
            </w:r>
          </w:p>
        </w:tc>
        <w:tc>
          <w:tcPr>
            <w:tcW w:w="1718" w:type="dxa"/>
            <w:noWrap w:val="0"/>
            <w:vAlign w:val="center"/>
          </w:tcPr>
          <w:p w14:paraId="6769084F">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drawing>
                <wp:inline distT="0" distB="0" distL="114300" distR="114300">
                  <wp:extent cx="847090" cy="704215"/>
                  <wp:effectExtent l="0" t="0" r="10160" b="635"/>
                  <wp:docPr id="596" name="图片 63" descr="说明: 1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63" descr="说明: 13002"/>
                          <pic:cNvPicPr>
                            <a:picLocks noChangeAspect="1"/>
                          </pic:cNvPicPr>
                        </pic:nvPicPr>
                        <pic:blipFill>
                          <a:blip r:embed="rId99"/>
                          <a:stretch>
                            <a:fillRect/>
                          </a:stretch>
                        </pic:blipFill>
                        <pic:spPr>
                          <a:xfrm>
                            <a:off x="0" y="0"/>
                            <a:ext cx="847090" cy="704215"/>
                          </a:xfrm>
                          <a:prstGeom prst="rect">
                            <a:avLst/>
                          </a:prstGeom>
                          <a:noFill/>
                          <a:ln>
                            <a:noFill/>
                          </a:ln>
                        </pic:spPr>
                      </pic:pic>
                    </a:graphicData>
                  </a:graphic>
                </wp:inline>
              </w:drawing>
            </w:r>
          </w:p>
        </w:tc>
        <w:tc>
          <w:tcPr>
            <w:tcW w:w="1274" w:type="dxa"/>
            <w:noWrap w:val="0"/>
            <w:vAlign w:val="center"/>
          </w:tcPr>
          <w:p w14:paraId="2C570BF5">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废水排放口</w:t>
            </w:r>
          </w:p>
        </w:tc>
        <w:tc>
          <w:tcPr>
            <w:tcW w:w="2882" w:type="dxa"/>
            <w:noWrap w:val="0"/>
            <w:vAlign w:val="center"/>
          </w:tcPr>
          <w:p w14:paraId="79159B0D">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表示废水向水体排放</w:t>
            </w:r>
          </w:p>
        </w:tc>
      </w:tr>
      <w:tr w14:paraId="148CC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17" w:type="dxa"/>
            <w:noWrap w:val="0"/>
            <w:vAlign w:val="center"/>
          </w:tcPr>
          <w:p w14:paraId="005FFBE7">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2</w:t>
            </w:r>
          </w:p>
        </w:tc>
        <w:tc>
          <w:tcPr>
            <w:tcW w:w="1837" w:type="dxa"/>
            <w:noWrap w:val="0"/>
            <w:vAlign w:val="center"/>
          </w:tcPr>
          <w:p w14:paraId="41D13DB6">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drawing>
                <wp:inline distT="0" distB="0" distL="114300" distR="114300">
                  <wp:extent cx="848360" cy="609600"/>
                  <wp:effectExtent l="0" t="0" r="8890" b="0"/>
                  <wp:docPr id="597" name="图片 64" descr="说明: 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64" descr="说明: 13003"/>
                          <pic:cNvPicPr>
                            <a:picLocks noChangeAspect="1"/>
                          </pic:cNvPicPr>
                        </pic:nvPicPr>
                        <pic:blipFill>
                          <a:blip r:embed="rId100"/>
                          <a:stretch>
                            <a:fillRect/>
                          </a:stretch>
                        </pic:blipFill>
                        <pic:spPr>
                          <a:xfrm>
                            <a:off x="0" y="0"/>
                            <a:ext cx="848360" cy="609600"/>
                          </a:xfrm>
                          <a:prstGeom prst="rect">
                            <a:avLst/>
                          </a:prstGeom>
                          <a:noFill/>
                          <a:ln>
                            <a:noFill/>
                          </a:ln>
                        </pic:spPr>
                      </pic:pic>
                    </a:graphicData>
                  </a:graphic>
                </wp:inline>
              </w:drawing>
            </w:r>
          </w:p>
        </w:tc>
        <w:tc>
          <w:tcPr>
            <w:tcW w:w="1718" w:type="dxa"/>
            <w:noWrap w:val="0"/>
            <w:vAlign w:val="center"/>
          </w:tcPr>
          <w:p w14:paraId="54AC251F">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drawing>
                <wp:inline distT="0" distB="0" distL="114300" distR="114300">
                  <wp:extent cx="885825" cy="609600"/>
                  <wp:effectExtent l="0" t="0" r="9525" b="0"/>
                  <wp:docPr id="598" name="图片 65" descr="说明: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65" descr="说明: 4"/>
                          <pic:cNvPicPr>
                            <a:picLocks noChangeAspect="1"/>
                          </pic:cNvPicPr>
                        </pic:nvPicPr>
                        <pic:blipFill>
                          <a:blip r:embed="rId101"/>
                          <a:stretch>
                            <a:fillRect/>
                          </a:stretch>
                        </pic:blipFill>
                        <pic:spPr>
                          <a:xfrm>
                            <a:off x="0" y="0"/>
                            <a:ext cx="885825" cy="609600"/>
                          </a:xfrm>
                          <a:prstGeom prst="rect">
                            <a:avLst/>
                          </a:prstGeom>
                          <a:noFill/>
                          <a:ln>
                            <a:noFill/>
                          </a:ln>
                        </pic:spPr>
                      </pic:pic>
                    </a:graphicData>
                  </a:graphic>
                </wp:inline>
              </w:drawing>
            </w:r>
          </w:p>
        </w:tc>
        <w:tc>
          <w:tcPr>
            <w:tcW w:w="1274" w:type="dxa"/>
            <w:noWrap w:val="0"/>
            <w:vAlign w:val="center"/>
          </w:tcPr>
          <w:p w14:paraId="4DD74C95">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废气排放口</w:t>
            </w:r>
          </w:p>
        </w:tc>
        <w:tc>
          <w:tcPr>
            <w:tcW w:w="2882" w:type="dxa"/>
            <w:noWrap w:val="0"/>
            <w:vAlign w:val="center"/>
          </w:tcPr>
          <w:p w14:paraId="49A7EBA0">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表示废气向大气环境排放</w:t>
            </w:r>
          </w:p>
        </w:tc>
      </w:tr>
      <w:tr w14:paraId="5D97D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8" w:hRule="atLeast"/>
          <w:jc w:val="center"/>
        </w:trPr>
        <w:tc>
          <w:tcPr>
            <w:tcW w:w="817" w:type="dxa"/>
            <w:noWrap w:val="0"/>
            <w:vAlign w:val="center"/>
          </w:tcPr>
          <w:p w14:paraId="6408C948">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3</w:t>
            </w:r>
          </w:p>
        </w:tc>
        <w:tc>
          <w:tcPr>
            <w:tcW w:w="1837" w:type="dxa"/>
            <w:noWrap w:val="0"/>
            <w:vAlign w:val="center"/>
          </w:tcPr>
          <w:p w14:paraId="378C6C01">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drawing>
                <wp:inline distT="0" distB="0" distL="114300" distR="114300">
                  <wp:extent cx="848360" cy="857250"/>
                  <wp:effectExtent l="0" t="0" r="8890" b="0"/>
                  <wp:docPr id="599" name="图片 66" descr="说明: 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66" descr="说明: 14001"/>
                          <pic:cNvPicPr>
                            <a:picLocks noChangeAspect="1"/>
                          </pic:cNvPicPr>
                        </pic:nvPicPr>
                        <pic:blipFill>
                          <a:blip r:embed="rId102"/>
                          <a:stretch>
                            <a:fillRect/>
                          </a:stretch>
                        </pic:blipFill>
                        <pic:spPr>
                          <a:xfrm>
                            <a:off x="0" y="0"/>
                            <a:ext cx="848360" cy="857250"/>
                          </a:xfrm>
                          <a:prstGeom prst="rect">
                            <a:avLst/>
                          </a:prstGeom>
                          <a:noFill/>
                          <a:ln>
                            <a:noFill/>
                          </a:ln>
                        </pic:spPr>
                      </pic:pic>
                    </a:graphicData>
                  </a:graphic>
                </wp:inline>
              </w:drawing>
            </w:r>
          </w:p>
        </w:tc>
        <w:tc>
          <w:tcPr>
            <w:tcW w:w="1718" w:type="dxa"/>
            <w:noWrap w:val="0"/>
            <w:vAlign w:val="center"/>
          </w:tcPr>
          <w:p w14:paraId="6596690B">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drawing>
                <wp:inline distT="0" distB="0" distL="114300" distR="114300">
                  <wp:extent cx="914400" cy="857250"/>
                  <wp:effectExtent l="0" t="0" r="0" b="0"/>
                  <wp:docPr id="600" name="图片 67" descr="说明: 1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7" descr="说明: 14002"/>
                          <pic:cNvPicPr>
                            <a:picLocks noChangeAspect="1"/>
                          </pic:cNvPicPr>
                        </pic:nvPicPr>
                        <pic:blipFill>
                          <a:blip r:embed="rId103"/>
                          <a:stretch>
                            <a:fillRect/>
                          </a:stretch>
                        </pic:blipFill>
                        <pic:spPr>
                          <a:xfrm>
                            <a:off x="0" y="0"/>
                            <a:ext cx="914400" cy="857250"/>
                          </a:xfrm>
                          <a:prstGeom prst="rect">
                            <a:avLst/>
                          </a:prstGeom>
                          <a:noFill/>
                          <a:ln>
                            <a:noFill/>
                          </a:ln>
                        </pic:spPr>
                      </pic:pic>
                    </a:graphicData>
                  </a:graphic>
                </wp:inline>
              </w:drawing>
            </w:r>
          </w:p>
        </w:tc>
        <w:tc>
          <w:tcPr>
            <w:tcW w:w="1274" w:type="dxa"/>
            <w:noWrap w:val="0"/>
            <w:vAlign w:val="center"/>
          </w:tcPr>
          <w:p w14:paraId="61A82C36">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一般固体</w:t>
            </w:r>
          </w:p>
          <w:p w14:paraId="45A91B9A">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废物</w:t>
            </w:r>
          </w:p>
        </w:tc>
        <w:tc>
          <w:tcPr>
            <w:tcW w:w="2882" w:type="dxa"/>
            <w:noWrap w:val="0"/>
            <w:vAlign w:val="center"/>
          </w:tcPr>
          <w:p w14:paraId="2165E367">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表示一般固体废物贮存、处</w:t>
            </w:r>
          </w:p>
          <w:p w14:paraId="4B4360F4">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置场</w:t>
            </w:r>
          </w:p>
        </w:tc>
      </w:tr>
      <w:tr w14:paraId="18D83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817" w:type="dxa"/>
            <w:noWrap w:val="0"/>
            <w:vAlign w:val="center"/>
          </w:tcPr>
          <w:p w14:paraId="0824E6EE">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4</w:t>
            </w:r>
          </w:p>
        </w:tc>
        <w:tc>
          <w:tcPr>
            <w:tcW w:w="1837" w:type="dxa"/>
            <w:noWrap w:val="0"/>
            <w:vAlign w:val="center"/>
          </w:tcPr>
          <w:p w14:paraId="556F254D">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drawing>
                <wp:inline distT="0" distB="0" distL="114300" distR="114300">
                  <wp:extent cx="847725" cy="847725"/>
                  <wp:effectExtent l="0" t="0" r="9525" b="9525"/>
                  <wp:docPr id="601" name="图片 68" descr="说明: 200602201518049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8" descr="说明: 200602201518049853"/>
                          <pic:cNvPicPr>
                            <a:picLocks noChangeAspect="1"/>
                          </pic:cNvPicPr>
                        </pic:nvPicPr>
                        <pic:blipFill>
                          <a:blip r:embed="rId104"/>
                          <a:stretch>
                            <a:fillRect/>
                          </a:stretch>
                        </pic:blipFill>
                        <pic:spPr>
                          <a:xfrm>
                            <a:off x="0" y="0"/>
                            <a:ext cx="847725" cy="847725"/>
                          </a:xfrm>
                          <a:prstGeom prst="rect">
                            <a:avLst/>
                          </a:prstGeom>
                          <a:noFill/>
                          <a:ln>
                            <a:noFill/>
                          </a:ln>
                        </pic:spPr>
                      </pic:pic>
                    </a:graphicData>
                  </a:graphic>
                </wp:inline>
              </w:drawing>
            </w:r>
          </w:p>
        </w:tc>
        <w:tc>
          <w:tcPr>
            <w:tcW w:w="1718" w:type="dxa"/>
            <w:noWrap w:val="0"/>
            <w:vAlign w:val="center"/>
          </w:tcPr>
          <w:p w14:paraId="28CEFA41">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drawing>
                <wp:inline distT="0" distB="0" distL="114300" distR="114300">
                  <wp:extent cx="952500" cy="845820"/>
                  <wp:effectExtent l="0" t="0" r="0" b="11430"/>
                  <wp:docPr id="602" name="图片 69" descr="说明: 20060220151901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9" descr="说明: 200602201519018631"/>
                          <pic:cNvPicPr>
                            <a:picLocks noChangeAspect="1"/>
                          </pic:cNvPicPr>
                        </pic:nvPicPr>
                        <pic:blipFill>
                          <a:blip r:embed="rId105"/>
                          <a:stretch>
                            <a:fillRect/>
                          </a:stretch>
                        </pic:blipFill>
                        <pic:spPr>
                          <a:xfrm>
                            <a:off x="0" y="0"/>
                            <a:ext cx="952500" cy="845820"/>
                          </a:xfrm>
                          <a:prstGeom prst="rect">
                            <a:avLst/>
                          </a:prstGeom>
                          <a:noFill/>
                          <a:ln>
                            <a:noFill/>
                          </a:ln>
                        </pic:spPr>
                      </pic:pic>
                    </a:graphicData>
                  </a:graphic>
                </wp:inline>
              </w:drawing>
            </w:r>
          </w:p>
        </w:tc>
        <w:tc>
          <w:tcPr>
            <w:tcW w:w="1274" w:type="dxa"/>
            <w:noWrap w:val="0"/>
            <w:vAlign w:val="center"/>
          </w:tcPr>
          <w:p w14:paraId="78AD31E6">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噪声排放源</w:t>
            </w:r>
          </w:p>
        </w:tc>
        <w:tc>
          <w:tcPr>
            <w:tcW w:w="2882" w:type="dxa"/>
            <w:noWrap w:val="0"/>
            <w:vAlign w:val="center"/>
          </w:tcPr>
          <w:p w14:paraId="3EC7448D">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表示噪声向外环境排放</w:t>
            </w:r>
          </w:p>
        </w:tc>
      </w:tr>
      <w:tr w14:paraId="0F778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4" w:hRule="atLeast"/>
          <w:jc w:val="center"/>
        </w:trPr>
        <w:tc>
          <w:tcPr>
            <w:tcW w:w="817" w:type="dxa"/>
            <w:noWrap w:val="0"/>
            <w:vAlign w:val="center"/>
          </w:tcPr>
          <w:p w14:paraId="46954E9B">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5</w:t>
            </w:r>
          </w:p>
        </w:tc>
        <w:tc>
          <w:tcPr>
            <w:tcW w:w="1837" w:type="dxa"/>
            <w:noWrap w:val="0"/>
            <w:vAlign w:val="center"/>
          </w:tcPr>
          <w:p w14:paraId="0681A72E">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p>
        </w:tc>
        <w:tc>
          <w:tcPr>
            <w:tcW w:w="1718" w:type="dxa"/>
            <w:noWrap w:val="0"/>
            <w:vAlign w:val="center"/>
          </w:tcPr>
          <w:p w14:paraId="01F85CA1">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ascii="Times New Roman" w:hAnsi="Times New Roman" w:eastAsia="宋体" w:cs="宋体"/>
                <w:color w:val="auto"/>
                <w:kern w:val="2"/>
                <w:sz w:val="24"/>
                <w:szCs w:val="24"/>
                <w:highlight w:val="none"/>
                <w:lang w:val="en-US" w:eastAsia="zh-CN" w:bidi="ar-SA"/>
              </w:rPr>
              <w:drawing>
                <wp:inline distT="0" distB="0" distL="114300" distR="114300">
                  <wp:extent cx="1050290" cy="861060"/>
                  <wp:effectExtent l="0" t="0" r="16510" b="15240"/>
                  <wp:docPr id="60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17"/>
                          <pic:cNvPicPr>
                            <a:picLocks noChangeAspect="1"/>
                          </pic:cNvPicPr>
                        </pic:nvPicPr>
                        <pic:blipFill>
                          <a:blip r:embed="rId106"/>
                          <a:stretch>
                            <a:fillRect/>
                          </a:stretch>
                        </pic:blipFill>
                        <pic:spPr>
                          <a:xfrm>
                            <a:off x="0" y="0"/>
                            <a:ext cx="1050290" cy="861060"/>
                          </a:xfrm>
                          <a:prstGeom prst="rect">
                            <a:avLst/>
                          </a:prstGeom>
                          <a:noFill/>
                          <a:ln>
                            <a:noFill/>
                          </a:ln>
                        </pic:spPr>
                      </pic:pic>
                    </a:graphicData>
                  </a:graphic>
                </wp:inline>
              </w:drawing>
            </w:r>
          </w:p>
        </w:tc>
        <w:tc>
          <w:tcPr>
            <w:tcW w:w="1274" w:type="dxa"/>
            <w:noWrap w:val="0"/>
            <w:vAlign w:val="center"/>
          </w:tcPr>
          <w:p w14:paraId="7388F5FB">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危险废物</w:t>
            </w:r>
          </w:p>
        </w:tc>
        <w:tc>
          <w:tcPr>
            <w:tcW w:w="2882" w:type="dxa"/>
            <w:noWrap w:val="0"/>
            <w:vAlign w:val="center"/>
          </w:tcPr>
          <w:p w14:paraId="441AAC79">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表示危险废物贮存、处置场</w:t>
            </w:r>
          </w:p>
        </w:tc>
      </w:tr>
    </w:tbl>
    <w:p w14:paraId="71E4E7C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8.5.1-2</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环境保护图形标志的形状及颜色</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1"/>
        <w:gridCol w:w="2129"/>
        <w:gridCol w:w="2125"/>
        <w:gridCol w:w="2177"/>
      </w:tblGrid>
      <w:tr w14:paraId="6FCE0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91" w:type="dxa"/>
            <w:noWrap w:val="0"/>
            <w:vAlign w:val="center"/>
          </w:tcPr>
          <w:p w14:paraId="55D95783">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标志名称</w:t>
            </w:r>
          </w:p>
        </w:tc>
        <w:tc>
          <w:tcPr>
            <w:tcW w:w="2129" w:type="dxa"/>
            <w:noWrap w:val="0"/>
            <w:vAlign w:val="top"/>
          </w:tcPr>
          <w:p w14:paraId="55CB9B30">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形状</w:t>
            </w:r>
          </w:p>
        </w:tc>
        <w:tc>
          <w:tcPr>
            <w:tcW w:w="2125" w:type="dxa"/>
            <w:noWrap w:val="0"/>
            <w:vAlign w:val="top"/>
          </w:tcPr>
          <w:p w14:paraId="4F885E87">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背景颜色</w:t>
            </w:r>
          </w:p>
        </w:tc>
        <w:tc>
          <w:tcPr>
            <w:tcW w:w="2177" w:type="dxa"/>
            <w:noWrap w:val="0"/>
            <w:vAlign w:val="center"/>
          </w:tcPr>
          <w:p w14:paraId="3904391F">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图形颜色</w:t>
            </w:r>
          </w:p>
        </w:tc>
      </w:tr>
      <w:tr w14:paraId="53DAC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91" w:type="dxa"/>
            <w:noWrap w:val="0"/>
            <w:vAlign w:val="center"/>
          </w:tcPr>
          <w:p w14:paraId="58E32B61">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警告标志</w:t>
            </w:r>
          </w:p>
        </w:tc>
        <w:tc>
          <w:tcPr>
            <w:tcW w:w="2129" w:type="dxa"/>
            <w:noWrap w:val="0"/>
            <w:vAlign w:val="top"/>
          </w:tcPr>
          <w:p w14:paraId="1A0820E5">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三角形边框</w:t>
            </w:r>
          </w:p>
        </w:tc>
        <w:tc>
          <w:tcPr>
            <w:tcW w:w="2125" w:type="dxa"/>
            <w:noWrap w:val="0"/>
            <w:vAlign w:val="top"/>
          </w:tcPr>
          <w:p w14:paraId="74148120">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黄色</w:t>
            </w:r>
          </w:p>
        </w:tc>
        <w:tc>
          <w:tcPr>
            <w:tcW w:w="2177" w:type="dxa"/>
            <w:noWrap w:val="0"/>
            <w:vAlign w:val="center"/>
          </w:tcPr>
          <w:p w14:paraId="380956F6">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黑色</w:t>
            </w:r>
          </w:p>
        </w:tc>
      </w:tr>
      <w:tr w14:paraId="21CFE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91" w:type="dxa"/>
            <w:noWrap w:val="0"/>
            <w:vAlign w:val="center"/>
          </w:tcPr>
          <w:p w14:paraId="7A64E035">
            <w:pPr>
              <w:widowControl w:val="0"/>
              <w:bidi w:val="0"/>
              <w:spacing w:before="15" w:beforeLines="15" w:after="15" w:afterLines="15" w:line="240" w:lineRule="auto"/>
              <w:ind w:firstLine="0" w:firstLineChars="0"/>
              <w:jc w:val="center"/>
              <w:rPr>
                <w:rFonts w:hint="default" w:ascii="Times New Roman" w:hAnsi="Times New Roman" w:eastAsia="宋体" w:cs="Times New Roman"/>
                <w:b/>
                <w:bCs/>
                <w:color w:val="auto"/>
                <w:kern w:val="2"/>
                <w:sz w:val="21"/>
                <w:szCs w:val="36"/>
                <w:highlight w:val="none"/>
                <w:lang w:val="en-US" w:eastAsia="zh-CN" w:bidi="ar-SA"/>
              </w:rPr>
            </w:pPr>
            <w:r>
              <w:rPr>
                <w:rFonts w:hint="default" w:ascii="Times New Roman" w:hAnsi="Times New Roman" w:eastAsia="宋体" w:cs="Times New Roman"/>
                <w:b/>
                <w:bCs/>
                <w:color w:val="auto"/>
                <w:kern w:val="2"/>
                <w:sz w:val="21"/>
                <w:szCs w:val="36"/>
                <w:highlight w:val="none"/>
                <w:lang w:val="en-US" w:eastAsia="zh-CN" w:bidi="ar-SA"/>
              </w:rPr>
              <w:t>提示标志</w:t>
            </w:r>
          </w:p>
        </w:tc>
        <w:tc>
          <w:tcPr>
            <w:tcW w:w="2129" w:type="dxa"/>
            <w:noWrap w:val="0"/>
            <w:vAlign w:val="top"/>
          </w:tcPr>
          <w:p w14:paraId="6F74793D">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正方形边框</w:t>
            </w:r>
          </w:p>
        </w:tc>
        <w:tc>
          <w:tcPr>
            <w:tcW w:w="2125" w:type="dxa"/>
            <w:noWrap w:val="0"/>
            <w:vAlign w:val="top"/>
          </w:tcPr>
          <w:p w14:paraId="1D85979F">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绿色</w:t>
            </w:r>
          </w:p>
        </w:tc>
        <w:tc>
          <w:tcPr>
            <w:tcW w:w="2177" w:type="dxa"/>
            <w:noWrap w:val="0"/>
            <w:vAlign w:val="center"/>
          </w:tcPr>
          <w:p w14:paraId="7B4532D0">
            <w:pPr>
              <w:widowControl w:val="0"/>
              <w:bidi w:val="0"/>
              <w:spacing w:before="15" w:beforeLines="15" w:after="15" w:afterLines="15" w:line="240" w:lineRule="auto"/>
              <w:ind w:firstLine="0" w:firstLineChars="0"/>
              <w:jc w:val="center"/>
              <w:rPr>
                <w:rFonts w:hint="default" w:ascii="Times New Roman" w:hAnsi="Times New Roman" w:eastAsia="宋体" w:cs="Times New Roman"/>
                <w:color w:val="auto"/>
                <w:kern w:val="2"/>
                <w:sz w:val="21"/>
                <w:szCs w:val="36"/>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白色</w:t>
            </w:r>
          </w:p>
        </w:tc>
      </w:tr>
    </w:tbl>
    <w:p w14:paraId="047E9A6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firstLine="0" w:firstLineChars="0"/>
        <w:jc w:val="both"/>
        <w:textAlignment w:val="auto"/>
        <w:outlineLvl w:val="1"/>
        <w:rPr>
          <w:rFonts w:hint="default" w:ascii="Times New Roman" w:hAnsi="Times New Roman" w:eastAsia="宋体" w:cs="Times New Roman"/>
          <w:b/>
          <w:bCs/>
          <w:color w:val="auto"/>
          <w:kern w:val="2"/>
          <w:sz w:val="28"/>
          <w:szCs w:val="28"/>
          <w:highlight w:val="none"/>
          <w:lang w:val="zh-CN" w:eastAsia="zh-CN" w:bidi="ar-SA"/>
        </w:rPr>
      </w:pPr>
      <w:bookmarkStart w:id="615" w:name="_Toc337"/>
      <w:bookmarkStart w:id="616" w:name="_Toc29336"/>
      <w:r>
        <w:rPr>
          <w:rFonts w:hint="eastAsia"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zh-CN" w:eastAsia="zh-CN" w:bidi="ar-SA"/>
        </w:rPr>
        <w:t>.</w:t>
      </w:r>
      <w:r>
        <w:rPr>
          <w:rFonts w:hint="default" w:ascii="Times New Roman" w:hAnsi="Times New Roman" w:eastAsia="宋体" w:cs="Times New Roman"/>
          <w:b/>
          <w:bCs/>
          <w:color w:val="auto"/>
          <w:kern w:val="2"/>
          <w:sz w:val="28"/>
          <w:szCs w:val="28"/>
          <w:highlight w:val="none"/>
          <w:lang w:val="en-US" w:eastAsia="zh-CN" w:bidi="ar-SA"/>
        </w:rPr>
        <w:t>6</w:t>
      </w:r>
      <w:r>
        <w:rPr>
          <w:rFonts w:hint="default" w:ascii="Times New Roman" w:hAnsi="Times New Roman" w:eastAsia="宋体" w:cs="Times New Roman"/>
          <w:b/>
          <w:bCs/>
          <w:color w:val="auto"/>
          <w:kern w:val="2"/>
          <w:sz w:val="28"/>
          <w:szCs w:val="28"/>
          <w:highlight w:val="none"/>
          <w:lang w:val="zh-CN" w:eastAsia="zh-CN" w:bidi="ar-SA"/>
        </w:rPr>
        <w:t>环境管理与监测工作建议</w:t>
      </w:r>
      <w:bookmarkEnd w:id="615"/>
      <w:bookmarkEnd w:id="616"/>
    </w:p>
    <w:p w14:paraId="7B8530EF">
      <w:pPr>
        <w:spacing w:line="360" w:lineRule="auto"/>
        <w:ind w:firstLine="482"/>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1、把清洁生产、文明生产，贯彻到生产管理的全过程中，加强对全体职工的环境意识教育，增强保护环境的自觉性。</w:t>
      </w:r>
    </w:p>
    <w:p w14:paraId="42C5E8E0">
      <w:pPr>
        <w:spacing w:line="360" w:lineRule="auto"/>
        <w:ind w:firstLine="482"/>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2、把环境保护目标和责任分解到人，实行岗位责任制，从公司经理到工人均实行奖惩制度，把环保工作完成情况与经济效益相结合。</w:t>
      </w:r>
    </w:p>
    <w:p w14:paraId="331FB042">
      <w:pPr>
        <w:keepNext w:val="0"/>
        <w:keepLines w:val="0"/>
        <w:pageBreakBefore w:val="0"/>
        <w:widowControl w:val="0"/>
        <w:kinsoku/>
        <w:wordWrap/>
        <w:overflowPunct/>
        <w:topLinePunct w:val="0"/>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3、日常性的环境监测数据，应定期汇总报当地生态环境局和行业主管部门；非正常工况下的事故性排放，应及时监测、及时上报。</w:t>
      </w:r>
    </w:p>
    <w:p w14:paraId="2ECB391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outlineLvl w:val="1"/>
        <w:rPr>
          <w:rFonts w:hint="default" w:ascii="Times New Roman" w:hAnsi="Times New Roman" w:eastAsia="宋体" w:cs="Times New Roman"/>
          <w:b/>
          <w:bCs/>
          <w:color w:val="auto"/>
          <w:kern w:val="2"/>
          <w:sz w:val="28"/>
          <w:szCs w:val="28"/>
          <w:highlight w:val="none"/>
          <w:lang w:val="zh-CN" w:eastAsia="zh-CN" w:bidi="ar-SA"/>
        </w:rPr>
      </w:pPr>
      <w:bookmarkStart w:id="617" w:name="_Toc1151"/>
      <w:bookmarkStart w:id="618" w:name="_Toc5269"/>
      <w:r>
        <w:rPr>
          <w:rFonts w:hint="eastAsia"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zh-CN" w:eastAsia="zh-CN" w:bidi="ar-SA"/>
        </w:rPr>
        <w:t>.</w:t>
      </w:r>
      <w:r>
        <w:rPr>
          <w:rFonts w:hint="default" w:ascii="Times New Roman" w:hAnsi="Times New Roman" w:eastAsia="宋体" w:cs="Times New Roman"/>
          <w:b/>
          <w:bCs/>
          <w:color w:val="auto"/>
          <w:kern w:val="2"/>
          <w:sz w:val="28"/>
          <w:szCs w:val="28"/>
          <w:highlight w:val="none"/>
          <w:lang w:val="en-US" w:eastAsia="zh-CN" w:bidi="ar-SA"/>
        </w:rPr>
        <w:t>7</w:t>
      </w:r>
      <w:r>
        <w:rPr>
          <w:rFonts w:hint="default" w:ascii="Times New Roman" w:hAnsi="Times New Roman" w:eastAsia="宋体" w:cs="Times New Roman"/>
          <w:b/>
          <w:bCs/>
          <w:color w:val="auto"/>
          <w:kern w:val="2"/>
          <w:sz w:val="28"/>
          <w:szCs w:val="28"/>
          <w:highlight w:val="none"/>
          <w:lang w:val="zh-CN" w:eastAsia="zh-CN" w:bidi="ar-SA"/>
        </w:rPr>
        <w:t>污染物排放管理</w:t>
      </w:r>
      <w:bookmarkEnd w:id="617"/>
      <w:bookmarkEnd w:id="618"/>
    </w:p>
    <w:p w14:paraId="1B91B22D">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（1）工程组成及原辅材料组分</w:t>
      </w:r>
    </w:p>
    <w:p w14:paraId="2BAD4DD6">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本项目工程组成详见表</w:t>
      </w:r>
      <w:r>
        <w:rPr>
          <w:rFonts w:hint="default" w:ascii="Times New Roman" w:hAnsi="Times New Roman" w:eastAsia="宋体" w:cs="Times New Roman"/>
          <w:color w:val="auto"/>
          <w:sz w:val="24"/>
          <w:highlight w:val="none"/>
        </w:rPr>
        <w:t>3</w:t>
      </w:r>
      <w:r>
        <w:rPr>
          <w:rFonts w:hint="eastAsia" w:ascii="Times New Roman" w:hAnsi="Times New Roman" w:eastAsia="宋体" w:cs="Times New Roman"/>
          <w:color w:val="auto"/>
          <w:sz w:val="24"/>
          <w:highlight w:val="none"/>
          <w:lang w:val="en-US" w:eastAsia="zh-CN"/>
        </w:rPr>
        <w:t>.2.2</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zh-CN"/>
        </w:rPr>
        <w:t>，原辅材料组分详见表</w:t>
      </w:r>
      <w:r>
        <w:rPr>
          <w:rFonts w:hint="default" w:ascii="Times New Roman" w:hAnsi="Times New Roman" w:eastAsia="宋体" w:cs="Times New Roman"/>
          <w:color w:val="auto"/>
          <w:sz w:val="24"/>
          <w:highlight w:val="none"/>
        </w:rPr>
        <w:t>3</w:t>
      </w:r>
      <w:r>
        <w:rPr>
          <w:rFonts w:hint="eastAsia" w:ascii="Times New Roman" w:hAnsi="Times New Roman" w:eastAsia="宋体" w:cs="Times New Roman"/>
          <w:color w:val="auto"/>
          <w:sz w:val="24"/>
          <w:highlight w:val="none"/>
          <w:lang w:val="en-US" w:eastAsia="zh-CN"/>
        </w:rPr>
        <w:t>.2.5</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val="zh-CN"/>
        </w:rPr>
        <w:t>。</w:t>
      </w:r>
    </w:p>
    <w:p w14:paraId="0A9FA97E">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（2）项目运营期主要环境保护措施及其运行参数、污染物种类、排放浓度、执行环境标准情况见前文第</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zh-CN"/>
        </w:rPr>
        <w:t>章节。</w:t>
      </w:r>
    </w:p>
    <w:p w14:paraId="09CF822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（3）需向社会公开信息：</w:t>
      </w:r>
    </w:p>
    <w:p w14:paraId="04D69C6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a</w:t>
      </w:r>
      <w:r>
        <w:rPr>
          <w:rFonts w:hint="eastAsia"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lang w:val="zh-CN"/>
        </w:rPr>
        <w:t>环境保护方针、年度环境保护目标及成效；</w:t>
      </w:r>
    </w:p>
    <w:p w14:paraId="7F673851">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b</w:t>
      </w:r>
      <w:r>
        <w:rPr>
          <w:rFonts w:hint="eastAsia"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lang w:val="zh-CN"/>
        </w:rPr>
        <w:t>环保投资和环境技术开发情况；</w:t>
      </w:r>
    </w:p>
    <w:p w14:paraId="3BA89D68">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c</w:t>
      </w:r>
      <w:r>
        <w:rPr>
          <w:rFonts w:hint="eastAsia"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lang w:val="zh-CN"/>
        </w:rPr>
        <w:t>排放污染物种类、数量、浓度和去向；</w:t>
      </w:r>
    </w:p>
    <w:p w14:paraId="061A2CE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d</w:t>
      </w:r>
      <w:r>
        <w:rPr>
          <w:rFonts w:hint="eastAsia"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lang w:val="zh-CN"/>
        </w:rPr>
        <w:t>环保设施的建设和运行情况；</w:t>
      </w:r>
    </w:p>
    <w:p w14:paraId="278E8132">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e</w:t>
      </w:r>
      <w:r>
        <w:rPr>
          <w:rFonts w:hint="eastAsia"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lang w:val="zh-CN"/>
        </w:rPr>
        <w:t>生产过程中产生的废物的处理、处置情况，废弃产品的回收、综合利用情况；</w:t>
      </w:r>
    </w:p>
    <w:p w14:paraId="49740B23">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f</w:t>
      </w:r>
      <w:r>
        <w:rPr>
          <w:rFonts w:hint="eastAsia"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lang w:val="zh-CN"/>
        </w:rPr>
        <w:t>与环保部门签订的改善环境行为的自愿协议；</w:t>
      </w:r>
    </w:p>
    <w:p w14:paraId="2016597B">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g</w:t>
      </w:r>
      <w:r>
        <w:rPr>
          <w:rFonts w:hint="eastAsia"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lang w:val="zh-CN"/>
        </w:rPr>
        <w:t>企业履行社会责任的情况；</w:t>
      </w:r>
    </w:p>
    <w:p w14:paraId="381F249A">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h</w:t>
      </w:r>
      <w:r>
        <w:rPr>
          <w:rFonts w:hint="eastAsia" w:ascii="Times New Roman" w:hAnsi="Times New Roman" w:eastAsia="宋体" w:cs="Times New Roman"/>
          <w:color w:val="auto"/>
          <w:sz w:val="24"/>
          <w:highlight w:val="none"/>
          <w:lang w:val="zh-CN"/>
        </w:rPr>
        <w:t>.</w:t>
      </w:r>
      <w:r>
        <w:rPr>
          <w:rFonts w:hint="default" w:ascii="Times New Roman" w:hAnsi="Times New Roman" w:eastAsia="宋体" w:cs="Times New Roman"/>
          <w:color w:val="auto"/>
          <w:sz w:val="24"/>
          <w:highlight w:val="none"/>
          <w:lang w:val="zh-CN"/>
        </w:rPr>
        <w:t>企业自愿公开的其他环境信息。</w:t>
      </w:r>
    </w:p>
    <w:p w14:paraId="0E1D33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outlineLvl w:val="1"/>
        <w:rPr>
          <w:rFonts w:hint="default" w:ascii="Times New Roman" w:hAnsi="Times New Roman" w:eastAsia="宋体" w:cs="Times New Roman"/>
          <w:b/>
          <w:bCs/>
          <w:color w:val="auto"/>
          <w:kern w:val="2"/>
          <w:sz w:val="28"/>
          <w:szCs w:val="28"/>
          <w:highlight w:val="none"/>
          <w:lang w:val="zh-CN" w:eastAsia="zh-CN" w:bidi="ar-SA"/>
        </w:rPr>
      </w:pPr>
      <w:bookmarkStart w:id="619" w:name="_Toc23270"/>
      <w:bookmarkStart w:id="620" w:name="_Toc26220"/>
      <w:r>
        <w:rPr>
          <w:rFonts w:hint="eastAsia"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zh-CN" w:eastAsia="zh-CN" w:bidi="ar-SA"/>
        </w:rPr>
        <w:t>.</w:t>
      </w:r>
      <w:r>
        <w:rPr>
          <w:rFonts w:hint="default"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zh-CN" w:eastAsia="zh-CN" w:bidi="ar-SA"/>
        </w:rPr>
        <w:t>污染物排放清单</w:t>
      </w:r>
      <w:bookmarkEnd w:id="619"/>
      <w:bookmarkEnd w:id="620"/>
    </w:p>
    <w:p w14:paraId="1F9E853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lang w:val="zh-CN"/>
        </w:rPr>
        <w:sectPr>
          <w:pgSz w:w="12240" w:h="15840"/>
          <w:pgMar w:top="1440" w:right="1800" w:bottom="1440" w:left="1800" w:header="720" w:footer="720" w:gutter="0"/>
          <w:pgBorders>
            <w:top w:val="none" w:sz="0" w:space="0"/>
            <w:left w:val="none" w:sz="0" w:space="0"/>
            <w:bottom w:val="none" w:sz="0" w:space="0"/>
            <w:right w:val="none" w:sz="0" w:space="0"/>
          </w:pgBorders>
          <w:lnNumType w:countBy="0" w:distance="360"/>
          <w:pgNumType w:fmt="decimal"/>
          <w:cols w:space="720" w:num="1"/>
          <w:rtlGutter w:val="0"/>
          <w:docGrid w:type="lines" w:linePitch="312" w:charSpace="0"/>
        </w:sectPr>
      </w:pPr>
      <w:r>
        <w:rPr>
          <w:rFonts w:hint="default" w:ascii="Times New Roman" w:hAnsi="Times New Roman" w:eastAsia="宋体" w:cs="Times New Roman"/>
          <w:color w:val="auto"/>
          <w:sz w:val="24"/>
          <w:highlight w:val="none"/>
          <w:lang w:val="zh-CN"/>
        </w:rPr>
        <w:t>本项目运营期污染物排放清单见下表。</w:t>
      </w:r>
    </w:p>
    <w:p w14:paraId="6B03C7A9">
      <w:pPr>
        <w:widowControl/>
        <w:bidi w:val="0"/>
        <w:spacing w:line="360" w:lineRule="auto"/>
        <w:ind w:firstLine="482" w:firstLineChars="20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8.8</w:t>
      </w:r>
      <w:r>
        <w:rPr>
          <w:rFonts w:hint="default" w:ascii="Times New Roman" w:hAnsi="Times New Roman" w:eastAsia="宋体" w:cs="Times New Roman"/>
          <w:b/>
          <w:bCs/>
          <w:color w:val="auto"/>
          <w:kern w:val="2"/>
          <w:sz w:val="24"/>
          <w:szCs w:val="21"/>
          <w:highlight w:val="none"/>
          <w:lang w:val="en-US" w:eastAsia="zh-CN" w:bidi="ar-SA"/>
        </w:rPr>
        <w:t>-</w:t>
      </w:r>
      <w:r>
        <w:rPr>
          <w:rFonts w:hint="eastAsia" w:ascii="Times New Roman" w:hAnsi="Times New Roman" w:eastAsia="宋体" w:cs="Times New Roman"/>
          <w:b/>
          <w:bCs/>
          <w:color w:val="auto"/>
          <w:kern w:val="2"/>
          <w:sz w:val="24"/>
          <w:szCs w:val="21"/>
          <w:highlight w:val="none"/>
          <w:lang w:val="en-US" w:eastAsia="zh-CN" w:bidi="ar-SA"/>
        </w:rPr>
        <w:t>1</w:t>
      </w:r>
      <w:r>
        <w:rPr>
          <w:rFonts w:hint="eastAsia" w:cs="Times New Roman"/>
          <w:b/>
          <w:bCs/>
          <w:color w:val="auto"/>
          <w:kern w:val="2"/>
          <w:sz w:val="24"/>
          <w:szCs w:val="21"/>
          <w:highlight w:val="none"/>
          <w:lang w:val="en-US" w:eastAsia="zh-CN" w:bidi="ar-SA"/>
        </w:rPr>
        <w:t xml:space="preserve">  </w:t>
      </w:r>
      <w:r>
        <w:rPr>
          <w:rFonts w:hint="default" w:ascii="Times New Roman" w:hAnsi="Times New Roman" w:eastAsia="宋体" w:cs="Times New Roman"/>
          <w:b/>
          <w:bCs/>
          <w:color w:val="auto"/>
          <w:kern w:val="2"/>
          <w:sz w:val="24"/>
          <w:szCs w:val="21"/>
          <w:highlight w:val="none"/>
          <w:lang w:val="en-US" w:eastAsia="zh-CN" w:bidi="ar-SA"/>
        </w:rPr>
        <w:t>污染物排放清单一览表</w:t>
      </w:r>
    </w:p>
    <w:tbl>
      <w:tblPr>
        <w:tblStyle w:val="4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1091"/>
        <w:gridCol w:w="1740"/>
        <w:gridCol w:w="2401"/>
        <w:gridCol w:w="2580"/>
        <w:gridCol w:w="962"/>
        <w:gridCol w:w="1219"/>
        <w:gridCol w:w="2414"/>
      </w:tblGrid>
      <w:tr w14:paraId="3ADB5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04" w:type="pct"/>
            <w:gridSpan w:val="2"/>
            <w:noWrap w:val="0"/>
            <w:vAlign w:val="center"/>
          </w:tcPr>
          <w:p w14:paraId="18F9091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660" w:type="pct"/>
            <w:noWrap w:val="0"/>
            <w:vAlign w:val="center"/>
          </w:tcPr>
          <w:p w14:paraId="3A15111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污染物种类</w:t>
            </w:r>
          </w:p>
        </w:tc>
        <w:tc>
          <w:tcPr>
            <w:tcW w:w="911" w:type="pct"/>
            <w:noWrap w:val="0"/>
            <w:vAlign w:val="center"/>
          </w:tcPr>
          <w:p w14:paraId="5D1D846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治理措施</w:t>
            </w:r>
          </w:p>
        </w:tc>
        <w:tc>
          <w:tcPr>
            <w:tcW w:w="979" w:type="pct"/>
            <w:noWrap w:val="0"/>
            <w:vAlign w:val="center"/>
          </w:tcPr>
          <w:p w14:paraId="0E7920B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主要运行参数</w:t>
            </w:r>
          </w:p>
        </w:tc>
        <w:tc>
          <w:tcPr>
            <w:tcW w:w="365" w:type="pct"/>
            <w:noWrap w:val="0"/>
            <w:vAlign w:val="center"/>
          </w:tcPr>
          <w:p w14:paraId="502A972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排放量</w:t>
            </w:r>
          </w:p>
          <w:p w14:paraId="747025C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（t/a）</w:t>
            </w:r>
          </w:p>
        </w:tc>
        <w:tc>
          <w:tcPr>
            <w:tcW w:w="462" w:type="pct"/>
            <w:noWrap w:val="0"/>
            <w:vAlign w:val="center"/>
          </w:tcPr>
          <w:p w14:paraId="4C89370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排放浓度（mg/m</w:t>
            </w:r>
            <w:r>
              <w:rPr>
                <w:rFonts w:hint="default" w:ascii="Times New Roman" w:hAnsi="Times New Roman" w:eastAsia="宋体" w:cs="Times New Roman"/>
                <w:b/>
                <w:bCs/>
                <w:color w:val="auto"/>
                <w:kern w:val="2"/>
                <w:sz w:val="21"/>
                <w:szCs w:val="21"/>
                <w:highlight w:val="none"/>
                <w:vertAlign w:val="superscript"/>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t>）</w:t>
            </w:r>
          </w:p>
        </w:tc>
        <w:tc>
          <w:tcPr>
            <w:tcW w:w="916" w:type="pct"/>
            <w:noWrap w:val="0"/>
            <w:vAlign w:val="center"/>
          </w:tcPr>
          <w:p w14:paraId="6E98AE9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执行标准</w:t>
            </w:r>
          </w:p>
        </w:tc>
      </w:tr>
      <w:tr w14:paraId="7733C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restart"/>
            <w:noWrap w:val="0"/>
            <w:vAlign w:val="center"/>
          </w:tcPr>
          <w:p w14:paraId="0342ECA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有组织废气</w:t>
            </w:r>
          </w:p>
        </w:tc>
        <w:tc>
          <w:tcPr>
            <w:tcW w:w="414" w:type="pct"/>
            <w:vMerge w:val="restart"/>
            <w:noWrap w:val="0"/>
            <w:vAlign w:val="center"/>
          </w:tcPr>
          <w:p w14:paraId="1E971CF2">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转化炉排气筒</w:t>
            </w:r>
          </w:p>
        </w:tc>
        <w:tc>
          <w:tcPr>
            <w:tcW w:w="660" w:type="pct"/>
            <w:noWrap w:val="0"/>
            <w:vAlign w:val="center"/>
          </w:tcPr>
          <w:p w14:paraId="5CA64CA4">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颗粒物</w:t>
            </w:r>
          </w:p>
        </w:tc>
        <w:tc>
          <w:tcPr>
            <w:tcW w:w="911" w:type="pct"/>
            <w:vMerge w:val="restart"/>
            <w:noWrap w:val="0"/>
            <w:vAlign w:val="center"/>
          </w:tcPr>
          <w:p w14:paraId="6326BCF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低氮燃烧器+15</w:t>
            </w:r>
            <w:r>
              <w:rPr>
                <w:rFonts w:hint="default" w:ascii="Times New Roman" w:hAnsi="Times New Roman" w:eastAsia="宋体" w:cs="Times New Roman"/>
                <w:color w:val="auto"/>
                <w:kern w:val="2"/>
                <w:sz w:val="21"/>
                <w:szCs w:val="21"/>
                <w:highlight w:val="none"/>
                <w:lang w:val="en-US" w:eastAsia="zh-CN" w:bidi="ar-SA"/>
              </w:rPr>
              <w:t>m排气筒</w:t>
            </w:r>
          </w:p>
        </w:tc>
        <w:tc>
          <w:tcPr>
            <w:tcW w:w="979" w:type="pct"/>
            <w:vMerge w:val="restart"/>
            <w:noWrap w:val="0"/>
            <w:vAlign w:val="center"/>
          </w:tcPr>
          <w:p w14:paraId="02CEA2F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氮氧化物减少产生50%</w:t>
            </w:r>
          </w:p>
        </w:tc>
        <w:tc>
          <w:tcPr>
            <w:tcW w:w="365" w:type="pct"/>
            <w:noWrap w:val="0"/>
            <w:vAlign w:val="center"/>
          </w:tcPr>
          <w:p w14:paraId="62B75ABE">
            <w:pPr>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Cs w:val="21"/>
                <w:highlight w:val="none"/>
                <w:lang w:val="en-US" w:eastAsia="zh-CN"/>
              </w:rPr>
              <w:t>0.4455</w:t>
            </w:r>
          </w:p>
        </w:tc>
        <w:tc>
          <w:tcPr>
            <w:tcW w:w="462" w:type="pct"/>
            <w:noWrap w:val="0"/>
            <w:vAlign w:val="center"/>
          </w:tcPr>
          <w:p w14:paraId="4D7FE9EA">
            <w:pPr>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Cs w:val="21"/>
                <w:highlight w:val="none"/>
                <w:lang w:val="en-US" w:eastAsia="zh-CN"/>
              </w:rPr>
              <w:t>19.89</w:t>
            </w:r>
          </w:p>
        </w:tc>
        <w:tc>
          <w:tcPr>
            <w:tcW w:w="916" w:type="pct"/>
            <w:vMerge w:val="restart"/>
            <w:noWrap w:val="0"/>
            <w:vAlign w:val="center"/>
          </w:tcPr>
          <w:p w14:paraId="2773880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rPr>
              <w:t>（GB31571-2015）表5</w:t>
            </w:r>
          </w:p>
        </w:tc>
      </w:tr>
      <w:tr w14:paraId="64D60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3406FDE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2FDED9D8">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vertAlign w:val="baseline"/>
                <w:lang w:val="en-US" w:eastAsia="zh-CN" w:bidi="ar-SA"/>
              </w:rPr>
            </w:pPr>
          </w:p>
        </w:tc>
        <w:tc>
          <w:tcPr>
            <w:tcW w:w="660" w:type="pct"/>
            <w:noWrap w:val="0"/>
            <w:vAlign w:val="center"/>
          </w:tcPr>
          <w:p w14:paraId="2FBFBB63">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NOx</w:t>
            </w:r>
          </w:p>
        </w:tc>
        <w:tc>
          <w:tcPr>
            <w:tcW w:w="911" w:type="pct"/>
            <w:vMerge w:val="continue"/>
            <w:noWrap w:val="0"/>
            <w:vAlign w:val="center"/>
          </w:tcPr>
          <w:p w14:paraId="4FCE5828">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1B2B633F">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617F4DE1">
            <w:pPr>
              <w:adjustRightInd w:val="0"/>
              <w:snapToGrid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1.4565</w:t>
            </w:r>
          </w:p>
        </w:tc>
        <w:tc>
          <w:tcPr>
            <w:tcW w:w="462" w:type="pct"/>
            <w:noWrap w:val="0"/>
            <w:vAlign w:val="center"/>
          </w:tcPr>
          <w:p w14:paraId="4119A510">
            <w:pPr>
              <w:adjustRightInd w:val="0"/>
              <w:snapToGrid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Cs w:val="21"/>
                <w:highlight w:val="none"/>
                <w:lang w:val="en-US" w:eastAsia="zh-CN"/>
              </w:rPr>
              <w:t>65.01</w:t>
            </w:r>
          </w:p>
        </w:tc>
        <w:tc>
          <w:tcPr>
            <w:tcW w:w="916" w:type="pct"/>
            <w:vMerge w:val="continue"/>
            <w:noWrap w:val="0"/>
            <w:vAlign w:val="center"/>
          </w:tcPr>
          <w:p w14:paraId="7E378B0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48468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5B7D046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48CD7960">
            <w:pPr>
              <w:keepNext w:val="0"/>
              <w:keepLines w:val="0"/>
              <w:pageBreakBefore w:val="0"/>
              <w:widowControl w:val="0"/>
              <w:kinsoku/>
              <w:wordWrap/>
              <w:overflowPunct/>
              <w:topLinePunct w:val="0"/>
              <w:autoSpaceDE/>
              <w:autoSpaceDN/>
              <w:bidi w:val="0"/>
              <w:adjustRightInd/>
              <w:snapToGrid/>
              <w:spacing w:line="260" w:lineRule="exact"/>
              <w:ind w:left="0" w:leftChars="0" w:right="0" w:rightChars="0" w:firstLine="0" w:firstLineChars="0"/>
              <w:jc w:val="center"/>
              <w:textAlignment w:val="auto"/>
              <w:rPr>
                <w:rFonts w:hint="eastAsia" w:ascii="Times New Roman" w:hAnsi="Times New Roman" w:eastAsia="宋体" w:cs="Times New Roman"/>
                <w:b w:val="0"/>
                <w:bCs w:val="0"/>
                <w:color w:val="auto"/>
                <w:kern w:val="0"/>
                <w:sz w:val="21"/>
                <w:szCs w:val="21"/>
                <w:highlight w:val="none"/>
                <w:vertAlign w:val="baseline"/>
                <w:lang w:val="en-US" w:eastAsia="zh-CN" w:bidi="ar-SA"/>
              </w:rPr>
            </w:pPr>
          </w:p>
        </w:tc>
        <w:tc>
          <w:tcPr>
            <w:tcW w:w="660" w:type="pct"/>
            <w:noWrap w:val="0"/>
            <w:vAlign w:val="center"/>
          </w:tcPr>
          <w:p w14:paraId="0112E7E7">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p>
        </w:tc>
        <w:tc>
          <w:tcPr>
            <w:tcW w:w="911" w:type="pct"/>
            <w:vMerge w:val="continue"/>
            <w:noWrap w:val="0"/>
            <w:vAlign w:val="center"/>
          </w:tcPr>
          <w:p w14:paraId="0A97F593">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4ACEACE5">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0ACBB1EF">
            <w:pPr>
              <w:adjustRightInd w:val="0"/>
              <w:snapToGrid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0.06</w:t>
            </w:r>
          </w:p>
        </w:tc>
        <w:tc>
          <w:tcPr>
            <w:tcW w:w="462" w:type="pct"/>
            <w:noWrap w:val="0"/>
            <w:vAlign w:val="center"/>
          </w:tcPr>
          <w:p w14:paraId="760C002E">
            <w:pPr>
              <w:adjustRightInd w:val="0"/>
              <w:snapToGrid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2.57</w:t>
            </w:r>
          </w:p>
        </w:tc>
        <w:tc>
          <w:tcPr>
            <w:tcW w:w="916" w:type="pct"/>
            <w:vMerge w:val="continue"/>
            <w:noWrap w:val="0"/>
            <w:vAlign w:val="center"/>
          </w:tcPr>
          <w:p w14:paraId="43E3F4F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308FB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90" w:type="pct"/>
            <w:vMerge w:val="continue"/>
            <w:noWrap w:val="0"/>
            <w:vAlign w:val="center"/>
          </w:tcPr>
          <w:p w14:paraId="3AEEA3D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27E8C39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660" w:type="pct"/>
            <w:noWrap w:val="0"/>
            <w:vAlign w:val="center"/>
          </w:tcPr>
          <w:p w14:paraId="28BF581F">
            <w:pPr>
              <w:adjustRightInd w:val="0"/>
              <w:snapToGrid w:val="0"/>
              <w:jc w:val="center"/>
              <w:textAlignment w:val="center"/>
              <w:rPr>
                <w:rFonts w:hint="default" w:ascii="Times New Roman" w:hAnsi="Times New Roman" w:eastAsia="宋体" w:cs="Times New Roman"/>
                <w:b w:val="0"/>
                <w:bCs w:val="0"/>
                <w:color w:val="auto"/>
                <w:spacing w:val="0"/>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非甲烷总烃</w:t>
            </w:r>
          </w:p>
        </w:tc>
        <w:tc>
          <w:tcPr>
            <w:tcW w:w="911" w:type="pct"/>
            <w:vMerge w:val="continue"/>
            <w:noWrap w:val="0"/>
            <w:vAlign w:val="center"/>
          </w:tcPr>
          <w:p w14:paraId="208975F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11D2CCE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7E3A19D6">
            <w:pPr>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Cs w:val="21"/>
                <w:highlight w:val="none"/>
                <w:lang w:val="en-US" w:eastAsia="zh-CN"/>
              </w:rPr>
              <w:t>0.215</w:t>
            </w:r>
          </w:p>
        </w:tc>
        <w:tc>
          <w:tcPr>
            <w:tcW w:w="462" w:type="pct"/>
            <w:noWrap w:val="0"/>
            <w:vAlign w:val="center"/>
          </w:tcPr>
          <w:p w14:paraId="78E48C4F">
            <w:pPr>
              <w:adjustRightInd w:val="0"/>
              <w:snapToGrid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Cs w:val="21"/>
                <w:highlight w:val="none"/>
                <w:lang w:val="en-US" w:eastAsia="zh-CN"/>
              </w:rPr>
              <w:t>9.64</w:t>
            </w:r>
          </w:p>
        </w:tc>
        <w:tc>
          <w:tcPr>
            <w:tcW w:w="916" w:type="pct"/>
            <w:noWrap w:val="0"/>
            <w:vAlign w:val="center"/>
          </w:tcPr>
          <w:p w14:paraId="78D9748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（GB16297-1996）表2</w:t>
            </w:r>
          </w:p>
        </w:tc>
      </w:tr>
      <w:tr w14:paraId="0A760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0" w:type="pct"/>
            <w:vMerge w:val="continue"/>
            <w:noWrap w:val="0"/>
            <w:vAlign w:val="center"/>
          </w:tcPr>
          <w:p w14:paraId="7B8AB2D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restart"/>
            <w:noWrap w:val="0"/>
            <w:vAlign w:val="center"/>
          </w:tcPr>
          <w:p w14:paraId="72426085">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转化炉排气筒</w:t>
            </w:r>
          </w:p>
        </w:tc>
        <w:tc>
          <w:tcPr>
            <w:tcW w:w="660" w:type="pct"/>
            <w:noWrap w:val="0"/>
            <w:vAlign w:val="center"/>
          </w:tcPr>
          <w:p w14:paraId="39950B9A">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颗粒物</w:t>
            </w:r>
          </w:p>
        </w:tc>
        <w:tc>
          <w:tcPr>
            <w:tcW w:w="911" w:type="pct"/>
            <w:vMerge w:val="restart"/>
            <w:noWrap w:val="0"/>
            <w:vAlign w:val="center"/>
          </w:tcPr>
          <w:p w14:paraId="0EE95AF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低氮燃烧器+15</w:t>
            </w:r>
            <w:r>
              <w:rPr>
                <w:rFonts w:hint="default" w:ascii="Times New Roman" w:hAnsi="Times New Roman" w:eastAsia="宋体" w:cs="Times New Roman"/>
                <w:color w:val="auto"/>
                <w:kern w:val="2"/>
                <w:sz w:val="21"/>
                <w:szCs w:val="21"/>
                <w:highlight w:val="none"/>
                <w:lang w:val="en-US" w:eastAsia="zh-CN" w:bidi="ar-SA"/>
              </w:rPr>
              <w:t>m排气筒</w:t>
            </w:r>
          </w:p>
        </w:tc>
        <w:tc>
          <w:tcPr>
            <w:tcW w:w="979" w:type="pct"/>
            <w:vMerge w:val="restart"/>
            <w:noWrap w:val="0"/>
            <w:vAlign w:val="center"/>
          </w:tcPr>
          <w:p w14:paraId="7C64008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氮氧化物减少产生50%</w:t>
            </w:r>
          </w:p>
        </w:tc>
        <w:tc>
          <w:tcPr>
            <w:tcW w:w="365" w:type="pct"/>
            <w:noWrap w:val="0"/>
            <w:vAlign w:val="center"/>
          </w:tcPr>
          <w:p w14:paraId="695B3C58">
            <w:pPr>
              <w:adjustRightInd w:val="0"/>
              <w:snapToGrid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zCs w:val="21"/>
                <w:highlight w:val="none"/>
                <w:lang w:val="en-US" w:eastAsia="zh-CN"/>
              </w:rPr>
              <w:t>0.4455</w:t>
            </w:r>
          </w:p>
        </w:tc>
        <w:tc>
          <w:tcPr>
            <w:tcW w:w="462" w:type="pct"/>
            <w:noWrap w:val="0"/>
            <w:vAlign w:val="center"/>
          </w:tcPr>
          <w:p w14:paraId="5177415B">
            <w:pPr>
              <w:adjustRightInd w:val="0"/>
              <w:snapToGrid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zCs w:val="21"/>
                <w:highlight w:val="none"/>
                <w:lang w:val="en-US" w:eastAsia="zh-CN"/>
              </w:rPr>
              <w:t>19.89</w:t>
            </w:r>
          </w:p>
        </w:tc>
        <w:tc>
          <w:tcPr>
            <w:tcW w:w="916" w:type="pct"/>
            <w:vMerge w:val="restart"/>
            <w:noWrap w:val="0"/>
            <w:vAlign w:val="center"/>
          </w:tcPr>
          <w:p w14:paraId="3CFDAFD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rPr>
              <w:t>（GB31571-2015）表5</w:t>
            </w:r>
          </w:p>
        </w:tc>
      </w:tr>
      <w:tr w14:paraId="16C79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21576D1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45658078">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bidi="ar-SA"/>
              </w:rPr>
            </w:pPr>
          </w:p>
        </w:tc>
        <w:tc>
          <w:tcPr>
            <w:tcW w:w="660" w:type="pct"/>
            <w:noWrap w:val="0"/>
            <w:vAlign w:val="center"/>
          </w:tcPr>
          <w:p w14:paraId="64505E46">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NOx</w:t>
            </w:r>
          </w:p>
        </w:tc>
        <w:tc>
          <w:tcPr>
            <w:tcW w:w="911" w:type="pct"/>
            <w:vMerge w:val="continue"/>
            <w:noWrap w:val="0"/>
            <w:vAlign w:val="center"/>
          </w:tcPr>
          <w:p w14:paraId="7FBA7E5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08888F4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4B98BB83">
            <w:pPr>
              <w:adjustRightInd w:val="0"/>
              <w:snapToGrid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1.4565</w:t>
            </w:r>
          </w:p>
        </w:tc>
        <w:tc>
          <w:tcPr>
            <w:tcW w:w="462" w:type="pct"/>
            <w:noWrap w:val="0"/>
            <w:vAlign w:val="center"/>
          </w:tcPr>
          <w:p w14:paraId="505C9B72">
            <w:pPr>
              <w:adjustRightInd w:val="0"/>
              <w:snapToGrid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zCs w:val="21"/>
                <w:highlight w:val="none"/>
                <w:lang w:val="en-US" w:eastAsia="zh-CN"/>
              </w:rPr>
              <w:t>65.01</w:t>
            </w:r>
          </w:p>
        </w:tc>
        <w:tc>
          <w:tcPr>
            <w:tcW w:w="916" w:type="pct"/>
            <w:vMerge w:val="continue"/>
            <w:noWrap w:val="0"/>
            <w:vAlign w:val="center"/>
          </w:tcPr>
          <w:p w14:paraId="0095293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63856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00ADA76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642972E1">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bidi="ar-SA"/>
              </w:rPr>
            </w:pPr>
          </w:p>
        </w:tc>
        <w:tc>
          <w:tcPr>
            <w:tcW w:w="660" w:type="pct"/>
            <w:noWrap w:val="0"/>
            <w:vAlign w:val="center"/>
          </w:tcPr>
          <w:p w14:paraId="41D40313">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p>
        </w:tc>
        <w:tc>
          <w:tcPr>
            <w:tcW w:w="911" w:type="pct"/>
            <w:vMerge w:val="continue"/>
            <w:noWrap w:val="0"/>
            <w:vAlign w:val="center"/>
          </w:tcPr>
          <w:p w14:paraId="026F57C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4B20A17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46B10BAA">
            <w:pPr>
              <w:adjustRightInd w:val="0"/>
              <w:snapToGrid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0.06</w:t>
            </w:r>
          </w:p>
        </w:tc>
        <w:tc>
          <w:tcPr>
            <w:tcW w:w="462" w:type="pct"/>
            <w:noWrap w:val="0"/>
            <w:vAlign w:val="center"/>
          </w:tcPr>
          <w:p w14:paraId="55756A13">
            <w:pPr>
              <w:adjustRightInd w:val="0"/>
              <w:snapToGrid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
              </w:rPr>
              <w:t>2.57</w:t>
            </w:r>
          </w:p>
        </w:tc>
        <w:tc>
          <w:tcPr>
            <w:tcW w:w="916" w:type="pct"/>
            <w:vMerge w:val="continue"/>
            <w:noWrap w:val="0"/>
            <w:vAlign w:val="center"/>
          </w:tcPr>
          <w:p w14:paraId="0F29ACA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0FA39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436EA95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68ECEB69">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bidi="ar-SA"/>
              </w:rPr>
            </w:pPr>
          </w:p>
        </w:tc>
        <w:tc>
          <w:tcPr>
            <w:tcW w:w="660" w:type="pct"/>
            <w:noWrap w:val="0"/>
            <w:vAlign w:val="center"/>
          </w:tcPr>
          <w:p w14:paraId="020E2275">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非甲烷总烃</w:t>
            </w:r>
          </w:p>
        </w:tc>
        <w:tc>
          <w:tcPr>
            <w:tcW w:w="911" w:type="pct"/>
            <w:vMerge w:val="continue"/>
            <w:noWrap w:val="0"/>
            <w:vAlign w:val="center"/>
          </w:tcPr>
          <w:p w14:paraId="2C560E8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57B7DE2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631D6716">
            <w:pPr>
              <w:adjustRightInd w:val="0"/>
              <w:snapToGrid w:val="0"/>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szCs w:val="21"/>
                <w:highlight w:val="none"/>
                <w:lang w:val="en-US" w:eastAsia="zh-CN"/>
              </w:rPr>
              <w:t>0.215</w:t>
            </w:r>
          </w:p>
        </w:tc>
        <w:tc>
          <w:tcPr>
            <w:tcW w:w="462" w:type="pct"/>
            <w:noWrap w:val="0"/>
            <w:vAlign w:val="center"/>
          </w:tcPr>
          <w:p w14:paraId="597A32DB">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9.64</w:t>
            </w:r>
          </w:p>
        </w:tc>
        <w:tc>
          <w:tcPr>
            <w:tcW w:w="916" w:type="pct"/>
            <w:noWrap w:val="0"/>
            <w:vAlign w:val="center"/>
          </w:tcPr>
          <w:p w14:paraId="1F683EA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（GB16297-1996）表2</w:t>
            </w:r>
          </w:p>
        </w:tc>
      </w:tr>
      <w:tr w14:paraId="524BF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538E9BC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restart"/>
            <w:noWrap w:val="0"/>
            <w:vAlign w:val="center"/>
          </w:tcPr>
          <w:p w14:paraId="48B27EFC">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转化炉排气筒</w:t>
            </w:r>
          </w:p>
        </w:tc>
        <w:tc>
          <w:tcPr>
            <w:tcW w:w="660" w:type="pct"/>
            <w:noWrap w:val="0"/>
            <w:vAlign w:val="center"/>
          </w:tcPr>
          <w:p w14:paraId="78BC75FE">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颗粒物</w:t>
            </w:r>
          </w:p>
        </w:tc>
        <w:tc>
          <w:tcPr>
            <w:tcW w:w="911" w:type="pct"/>
            <w:vMerge w:val="restart"/>
            <w:noWrap w:val="0"/>
            <w:vAlign w:val="center"/>
          </w:tcPr>
          <w:p w14:paraId="2ED600C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低氮燃烧器+15</w:t>
            </w:r>
            <w:r>
              <w:rPr>
                <w:rFonts w:hint="default" w:ascii="Times New Roman" w:hAnsi="Times New Roman" w:eastAsia="宋体" w:cs="Times New Roman"/>
                <w:color w:val="auto"/>
                <w:kern w:val="2"/>
                <w:sz w:val="21"/>
                <w:szCs w:val="21"/>
                <w:highlight w:val="none"/>
                <w:lang w:val="en-US" w:eastAsia="zh-CN" w:bidi="ar-SA"/>
              </w:rPr>
              <w:t>m排气筒</w:t>
            </w:r>
          </w:p>
        </w:tc>
        <w:tc>
          <w:tcPr>
            <w:tcW w:w="979" w:type="pct"/>
            <w:vMerge w:val="restart"/>
            <w:noWrap w:val="0"/>
            <w:vAlign w:val="center"/>
          </w:tcPr>
          <w:p w14:paraId="38A836C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氮氧化物减少产生50%</w:t>
            </w:r>
          </w:p>
        </w:tc>
        <w:tc>
          <w:tcPr>
            <w:tcW w:w="365" w:type="pct"/>
            <w:noWrap w:val="0"/>
            <w:vAlign w:val="center"/>
          </w:tcPr>
          <w:p w14:paraId="029097BB">
            <w:pPr>
              <w:adjustRightInd w:val="0"/>
              <w:snapToGrid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color w:val="auto"/>
                <w:szCs w:val="21"/>
                <w:highlight w:val="none"/>
                <w:lang w:val="en-US" w:eastAsia="zh-CN"/>
              </w:rPr>
              <w:t>0.4455</w:t>
            </w:r>
          </w:p>
        </w:tc>
        <w:tc>
          <w:tcPr>
            <w:tcW w:w="462" w:type="pct"/>
            <w:noWrap w:val="0"/>
            <w:vAlign w:val="center"/>
          </w:tcPr>
          <w:p w14:paraId="0B3E0149">
            <w:pPr>
              <w:adjustRightInd w:val="0"/>
              <w:snapToGrid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color w:val="auto"/>
                <w:szCs w:val="21"/>
                <w:highlight w:val="none"/>
                <w:lang w:val="en-US" w:eastAsia="zh-CN"/>
              </w:rPr>
              <w:t>19.89</w:t>
            </w:r>
          </w:p>
        </w:tc>
        <w:tc>
          <w:tcPr>
            <w:tcW w:w="916" w:type="pct"/>
            <w:vMerge w:val="restart"/>
            <w:noWrap w:val="0"/>
            <w:vAlign w:val="center"/>
          </w:tcPr>
          <w:p w14:paraId="16E9B25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0"/>
                <w:highlight w:val="none"/>
                <w:lang w:val="en-US" w:eastAsia="zh-CN"/>
              </w:rPr>
              <w:t>（GB31571-2015）表5</w:t>
            </w:r>
          </w:p>
        </w:tc>
      </w:tr>
      <w:tr w14:paraId="47FB3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13BA50E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0CF96375">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bidi="ar-SA"/>
              </w:rPr>
            </w:pPr>
          </w:p>
        </w:tc>
        <w:tc>
          <w:tcPr>
            <w:tcW w:w="660" w:type="pct"/>
            <w:noWrap w:val="0"/>
            <w:vAlign w:val="center"/>
          </w:tcPr>
          <w:p w14:paraId="291A3645">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NOx</w:t>
            </w:r>
          </w:p>
        </w:tc>
        <w:tc>
          <w:tcPr>
            <w:tcW w:w="911" w:type="pct"/>
            <w:vMerge w:val="continue"/>
            <w:noWrap w:val="0"/>
            <w:vAlign w:val="center"/>
          </w:tcPr>
          <w:p w14:paraId="4F0B508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1816850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31797DAB">
            <w:pPr>
              <w:adjustRightInd w:val="0"/>
              <w:snapToGrid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1.4565</w:t>
            </w:r>
          </w:p>
        </w:tc>
        <w:tc>
          <w:tcPr>
            <w:tcW w:w="462" w:type="pct"/>
            <w:noWrap w:val="0"/>
            <w:vAlign w:val="center"/>
          </w:tcPr>
          <w:p w14:paraId="4C119F60">
            <w:pPr>
              <w:adjustRightInd w:val="0"/>
              <w:snapToGrid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color w:val="auto"/>
                <w:szCs w:val="21"/>
                <w:highlight w:val="none"/>
                <w:lang w:val="en-US" w:eastAsia="zh-CN"/>
              </w:rPr>
              <w:t>65.01</w:t>
            </w:r>
          </w:p>
        </w:tc>
        <w:tc>
          <w:tcPr>
            <w:tcW w:w="916" w:type="pct"/>
            <w:vMerge w:val="continue"/>
            <w:noWrap w:val="0"/>
            <w:vAlign w:val="center"/>
          </w:tcPr>
          <w:p w14:paraId="3CAA9E6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08B0D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656C793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2BA1D9A3">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bidi="ar-SA"/>
              </w:rPr>
            </w:pPr>
          </w:p>
        </w:tc>
        <w:tc>
          <w:tcPr>
            <w:tcW w:w="660" w:type="pct"/>
            <w:noWrap w:val="0"/>
            <w:vAlign w:val="center"/>
          </w:tcPr>
          <w:p w14:paraId="083EB601">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SO</w:t>
            </w:r>
            <w:r>
              <w:rPr>
                <w:rFonts w:hint="eastAsia" w:ascii="Times New Roman" w:hAnsi="Times New Roman" w:eastAsia="宋体" w:cs="Times New Roman"/>
                <w:color w:val="auto"/>
                <w:sz w:val="21"/>
                <w:szCs w:val="21"/>
                <w:highlight w:val="none"/>
                <w:vertAlign w:val="subscript"/>
                <w:lang w:val="en-US" w:eastAsia="zh-CN"/>
              </w:rPr>
              <w:t>2</w:t>
            </w:r>
          </w:p>
        </w:tc>
        <w:tc>
          <w:tcPr>
            <w:tcW w:w="911" w:type="pct"/>
            <w:vMerge w:val="continue"/>
            <w:noWrap w:val="0"/>
            <w:vAlign w:val="center"/>
          </w:tcPr>
          <w:p w14:paraId="34A74B0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617C01C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4F6CC10E">
            <w:pPr>
              <w:adjustRightInd w:val="0"/>
              <w:snapToGrid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0.06</w:t>
            </w:r>
          </w:p>
        </w:tc>
        <w:tc>
          <w:tcPr>
            <w:tcW w:w="462" w:type="pct"/>
            <w:noWrap w:val="0"/>
            <w:vAlign w:val="center"/>
          </w:tcPr>
          <w:p w14:paraId="433610DB">
            <w:pPr>
              <w:adjustRightInd w:val="0"/>
              <w:snapToGrid w:val="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2.57</w:t>
            </w:r>
          </w:p>
        </w:tc>
        <w:tc>
          <w:tcPr>
            <w:tcW w:w="916" w:type="pct"/>
            <w:vMerge w:val="continue"/>
            <w:noWrap w:val="0"/>
            <w:vAlign w:val="center"/>
          </w:tcPr>
          <w:p w14:paraId="4F45110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18306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421F04E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35967856">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b w:val="0"/>
                <w:bCs w:val="0"/>
                <w:color w:val="auto"/>
                <w:spacing w:val="0"/>
                <w:kern w:val="0"/>
                <w:sz w:val="21"/>
                <w:szCs w:val="21"/>
                <w:highlight w:val="none"/>
                <w:lang w:val="en-US" w:eastAsia="zh-CN" w:bidi="ar-SA"/>
              </w:rPr>
            </w:pPr>
          </w:p>
        </w:tc>
        <w:tc>
          <w:tcPr>
            <w:tcW w:w="660" w:type="pct"/>
            <w:noWrap w:val="0"/>
            <w:vAlign w:val="center"/>
          </w:tcPr>
          <w:p w14:paraId="78DF5C5C">
            <w:pPr>
              <w:adjustRightInd w:val="0"/>
              <w:snapToGrid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eastAsia="zh-CN"/>
              </w:rPr>
              <w:t>非甲烷总烃</w:t>
            </w:r>
          </w:p>
        </w:tc>
        <w:tc>
          <w:tcPr>
            <w:tcW w:w="911" w:type="pct"/>
            <w:vMerge w:val="continue"/>
            <w:noWrap w:val="0"/>
            <w:vAlign w:val="center"/>
          </w:tcPr>
          <w:p w14:paraId="659E900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6441134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777165BA">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0.215</w:t>
            </w:r>
          </w:p>
        </w:tc>
        <w:tc>
          <w:tcPr>
            <w:tcW w:w="462" w:type="pct"/>
            <w:noWrap w:val="0"/>
            <w:vAlign w:val="center"/>
          </w:tcPr>
          <w:p w14:paraId="703D8411">
            <w:pPr>
              <w:adjustRightInd w:val="0"/>
              <w:snapToGrid w:val="0"/>
              <w:jc w:val="center"/>
              <w:textAlignment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9.64</w:t>
            </w:r>
          </w:p>
        </w:tc>
        <w:tc>
          <w:tcPr>
            <w:tcW w:w="916" w:type="pct"/>
            <w:noWrap w:val="0"/>
            <w:vAlign w:val="center"/>
          </w:tcPr>
          <w:p w14:paraId="2A670FE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（GB16297-1996）表2</w:t>
            </w:r>
          </w:p>
        </w:tc>
      </w:tr>
      <w:tr w14:paraId="6EFBF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90" w:type="pct"/>
            <w:vMerge w:val="restart"/>
            <w:noWrap w:val="0"/>
            <w:vAlign w:val="center"/>
          </w:tcPr>
          <w:p w14:paraId="1125B38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无组织</w:t>
            </w:r>
          </w:p>
          <w:p w14:paraId="08DA892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废气</w:t>
            </w:r>
          </w:p>
        </w:tc>
        <w:tc>
          <w:tcPr>
            <w:tcW w:w="414" w:type="pct"/>
            <w:vMerge w:val="restart"/>
            <w:noWrap w:val="0"/>
            <w:vAlign w:val="center"/>
          </w:tcPr>
          <w:p w14:paraId="5840C2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站界</w:t>
            </w:r>
          </w:p>
        </w:tc>
        <w:tc>
          <w:tcPr>
            <w:tcW w:w="660" w:type="pct"/>
            <w:noWrap w:val="0"/>
            <w:vAlign w:val="center"/>
          </w:tcPr>
          <w:p w14:paraId="2635A610">
            <w:pPr>
              <w:tabs>
                <w:tab w:val="left" w:pos="2200"/>
                <w:tab w:val="left" w:pos="3960"/>
                <w:tab w:val="left" w:pos="5280"/>
              </w:tabs>
              <w:snapToGrid w:val="0"/>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甲烷</w:t>
            </w:r>
          </w:p>
        </w:tc>
        <w:tc>
          <w:tcPr>
            <w:tcW w:w="911" w:type="pct"/>
            <w:vMerge w:val="restart"/>
            <w:noWrap w:val="0"/>
            <w:vAlign w:val="center"/>
          </w:tcPr>
          <w:p w14:paraId="189AE9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kern w:val="0"/>
                <w:szCs w:val="21"/>
                <w:highlight w:val="none"/>
                <w:lang w:val="en-US" w:eastAsia="zh-CN"/>
              </w:rPr>
              <w:t>加大废气收集效率</w:t>
            </w:r>
          </w:p>
        </w:tc>
        <w:tc>
          <w:tcPr>
            <w:tcW w:w="979" w:type="pct"/>
            <w:noWrap w:val="0"/>
            <w:vAlign w:val="center"/>
          </w:tcPr>
          <w:p w14:paraId="235C3A83">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kern w:val="2"/>
                <w:sz w:val="21"/>
                <w:szCs w:val="21"/>
                <w:highlight w:val="none"/>
                <w:lang w:val="en-US" w:eastAsia="zh-CN" w:bidi="ar-SA"/>
              </w:rPr>
              <w:t>/</w:t>
            </w:r>
          </w:p>
        </w:tc>
        <w:tc>
          <w:tcPr>
            <w:tcW w:w="365" w:type="pct"/>
            <w:noWrap w:val="0"/>
            <w:vAlign w:val="center"/>
          </w:tcPr>
          <w:p w14:paraId="03A55F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p>
        </w:tc>
        <w:tc>
          <w:tcPr>
            <w:tcW w:w="462" w:type="pct"/>
            <w:noWrap w:val="0"/>
            <w:vAlign w:val="center"/>
          </w:tcPr>
          <w:p w14:paraId="1D228D98">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p>
        </w:tc>
        <w:tc>
          <w:tcPr>
            <w:tcW w:w="916" w:type="pct"/>
            <w:noWrap w:val="0"/>
            <w:vAlign w:val="center"/>
          </w:tcPr>
          <w:p w14:paraId="33DE18A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kern w:val="2"/>
                <w:sz w:val="21"/>
                <w:szCs w:val="21"/>
                <w:highlight w:val="none"/>
                <w:lang w:val="en-US" w:eastAsia="zh-CN" w:bidi="ar-SA"/>
              </w:rPr>
              <w:t>/</w:t>
            </w:r>
          </w:p>
        </w:tc>
      </w:tr>
      <w:tr w14:paraId="11CBF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290" w:type="pct"/>
            <w:vMerge w:val="continue"/>
            <w:noWrap w:val="0"/>
            <w:vAlign w:val="center"/>
          </w:tcPr>
          <w:p w14:paraId="78BF2D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14" w:type="pct"/>
            <w:vMerge w:val="continue"/>
            <w:noWrap w:val="0"/>
            <w:vAlign w:val="center"/>
          </w:tcPr>
          <w:p w14:paraId="405819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60" w:type="pct"/>
            <w:noWrap w:val="0"/>
            <w:vAlign w:val="center"/>
          </w:tcPr>
          <w:p w14:paraId="7A428D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val="en-US" w:eastAsia="zh-CN"/>
              </w:rPr>
              <w:t>非甲烷总烃</w:t>
            </w:r>
          </w:p>
        </w:tc>
        <w:tc>
          <w:tcPr>
            <w:tcW w:w="911" w:type="pct"/>
            <w:vMerge w:val="continue"/>
            <w:noWrap w:val="0"/>
            <w:vAlign w:val="center"/>
          </w:tcPr>
          <w:p w14:paraId="38703D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979" w:type="pct"/>
            <w:noWrap w:val="0"/>
            <w:vAlign w:val="center"/>
          </w:tcPr>
          <w:p w14:paraId="4B89F8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365" w:type="pct"/>
            <w:noWrap w:val="0"/>
            <w:vAlign w:val="center"/>
          </w:tcPr>
          <w:p w14:paraId="7B5BE6B2">
            <w:pPr>
              <w:jc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color w:val="auto"/>
                <w:highlight w:val="none"/>
                <w:lang w:val="en-US" w:eastAsia="zh-CN"/>
              </w:rPr>
              <w:t>1.1666</w:t>
            </w:r>
          </w:p>
        </w:tc>
        <w:tc>
          <w:tcPr>
            <w:tcW w:w="462" w:type="pct"/>
            <w:noWrap w:val="0"/>
            <w:vAlign w:val="center"/>
          </w:tcPr>
          <w:p w14:paraId="44D57D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916" w:type="pct"/>
            <w:noWrap w:val="0"/>
            <w:vAlign w:val="center"/>
          </w:tcPr>
          <w:p w14:paraId="701013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（GB16297-1996）表2</w:t>
            </w:r>
          </w:p>
        </w:tc>
      </w:tr>
      <w:tr w14:paraId="27850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290" w:type="pct"/>
            <w:vMerge w:val="continue"/>
            <w:noWrap w:val="0"/>
            <w:vAlign w:val="center"/>
          </w:tcPr>
          <w:p w14:paraId="17838F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414" w:type="pct"/>
            <w:vMerge w:val="continue"/>
            <w:noWrap w:val="0"/>
            <w:vAlign w:val="center"/>
          </w:tcPr>
          <w:p w14:paraId="4ACCC5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660" w:type="pct"/>
            <w:noWrap w:val="0"/>
            <w:vAlign w:val="center"/>
          </w:tcPr>
          <w:p w14:paraId="30562F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S、臭气浓度</w:t>
            </w:r>
          </w:p>
        </w:tc>
        <w:tc>
          <w:tcPr>
            <w:tcW w:w="911" w:type="pct"/>
            <w:vMerge w:val="continue"/>
            <w:noWrap w:val="0"/>
            <w:vAlign w:val="center"/>
          </w:tcPr>
          <w:p w14:paraId="1A5C38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p>
        </w:tc>
        <w:tc>
          <w:tcPr>
            <w:tcW w:w="979" w:type="pct"/>
            <w:noWrap w:val="0"/>
            <w:vAlign w:val="center"/>
          </w:tcPr>
          <w:p w14:paraId="3EFE76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365" w:type="pct"/>
            <w:noWrap w:val="0"/>
            <w:vAlign w:val="center"/>
          </w:tcPr>
          <w:p w14:paraId="779600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eastAsia" w:ascii="Times New Roman" w:hAnsi="Times New Roman" w:eastAsia="宋体" w:cs="Times New Roman"/>
                <w:color w:val="auto"/>
                <w:kern w:val="2"/>
                <w:sz w:val="21"/>
                <w:szCs w:val="21"/>
                <w:highlight w:val="none"/>
                <w:lang w:val="en-US" w:eastAsia="zh-CN" w:bidi="ar-SA"/>
              </w:rPr>
              <w:t>/</w:t>
            </w:r>
          </w:p>
        </w:tc>
        <w:tc>
          <w:tcPr>
            <w:tcW w:w="462" w:type="pct"/>
            <w:noWrap w:val="0"/>
            <w:vAlign w:val="center"/>
          </w:tcPr>
          <w:p w14:paraId="4CBB3B16">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ar-SA"/>
              </w:rPr>
              <w:t>/</w:t>
            </w:r>
          </w:p>
        </w:tc>
        <w:tc>
          <w:tcPr>
            <w:tcW w:w="916" w:type="pct"/>
            <w:noWrap w:val="0"/>
            <w:vAlign w:val="center"/>
          </w:tcPr>
          <w:p w14:paraId="2ED61A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olor w:val="auto"/>
                <w:szCs w:val="21"/>
                <w:highlight w:val="none"/>
                <w:lang w:eastAsia="zh-CN"/>
              </w:rPr>
              <w:t>（GB14554-93）</w:t>
            </w:r>
            <w:r>
              <w:rPr>
                <w:rFonts w:hint="eastAsia" w:ascii="Times New Roman" w:hAnsi="Times New Roman" w:eastAsia="宋体"/>
                <w:color w:val="auto"/>
                <w:szCs w:val="21"/>
                <w:highlight w:val="none"/>
                <w:lang w:val="en-US" w:eastAsia="zh-CN"/>
              </w:rPr>
              <w:t>表1</w:t>
            </w:r>
          </w:p>
        </w:tc>
      </w:tr>
      <w:tr w14:paraId="64DFD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restart"/>
            <w:noWrap w:val="0"/>
            <w:vAlign w:val="center"/>
          </w:tcPr>
          <w:p w14:paraId="28374A6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废水</w:t>
            </w:r>
          </w:p>
        </w:tc>
        <w:tc>
          <w:tcPr>
            <w:tcW w:w="414" w:type="pct"/>
            <w:vMerge w:val="restart"/>
            <w:noWrap w:val="0"/>
            <w:vAlign w:val="center"/>
          </w:tcPr>
          <w:p w14:paraId="0DC9196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综合废水</w:t>
            </w:r>
          </w:p>
        </w:tc>
        <w:tc>
          <w:tcPr>
            <w:tcW w:w="660" w:type="pct"/>
            <w:noWrap w:val="0"/>
            <w:vAlign w:val="center"/>
          </w:tcPr>
          <w:p w14:paraId="11EA2D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pH</w:t>
            </w:r>
          </w:p>
        </w:tc>
        <w:tc>
          <w:tcPr>
            <w:tcW w:w="911" w:type="pct"/>
            <w:vMerge w:val="restart"/>
            <w:noWrap w:val="0"/>
            <w:vAlign w:val="center"/>
          </w:tcPr>
          <w:p w14:paraId="5A60CC8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生活污水经化粪池预处理</w:t>
            </w:r>
            <w:r>
              <w:rPr>
                <w:rFonts w:hint="eastAsia" w:ascii="Times New Roman" w:hAnsi="Times New Roman" w:eastAsia="宋体" w:cs="Times New Roman"/>
                <w:color w:val="auto"/>
                <w:kern w:val="2"/>
                <w:sz w:val="21"/>
                <w:szCs w:val="21"/>
                <w:highlight w:val="none"/>
                <w:lang w:val="en-US" w:eastAsia="zh-CN" w:bidi="ar-SA"/>
              </w:rPr>
              <w:t>、保洁废水接管市政污水管网，洗车废水经隔油沉淀处理接管市政</w:t>
            </w:r>
            <w:r>
              <w:rPr>
                <w:rFonts w:hint="eastAsia" w:cs="Times New Roman"/>
                <w:color w:val="auto"/>
                <w:kern w:val="2"/>
                <w:sz w:val="21"/>
                <w:szCs w:val="21"/>
                <w:highlight w:val="none"/>
                <w:lang w:val="en-US" w:eastAsia="zh-CN" w:bidi="ar-SA"/>
              </w:rPr>
              <w:t>污水管网</w:t>
            </w:r>
            <w:r>
              <w:rPr>
                <w:rFonts w:hint="eastAsia" w:ascii="Times New Roman" w:hAnsi="Times New Roman" w:eastAsia="宋体" w:cs="Times New Roman"/>
                <w:color w:val="auto"/>
                <w:kern w:val="2"/>
                <w:sz w:val="21"/>
                <w:szCs w:val="21"/>
                <w:highlight w:val="none"/>
                <w:lang w:val="en-US" w:eastAsia="zh-CN" w:bidi="ar-SA"/>
              </w:rPr>
              <w:t>，初期雨水经隔油沉淀收集隔油处理</w:t>
            </w:r>
          </w:p>
        </w:tc>
        <w:tc>
          <w:tcPr>
            <w:tcW w:w="979" w:type="pct"/>
            <w:vMerge w:val="restart"/>
            <w:noWrap w:val="0"/>
            <w:vAlign w:val="center"/>
          </w:tcPr>
          <w:p w14:paraId="729F50F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365" w:type="pct"/>
            <w:noWrap w:val="0"/>
            <w:vAlign w:val="center"/>
          </w:tcPr>
          <w:p w14:paraId="5D846FC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462" w:type="pct"/>
            <w:noWrap w:val="0"/>
            <w:vAlign w:val="center"/>
          </w:tcPr>
          <w:p w14:paraId="0C7726D9">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916" w:type="pct"/>
            <w:vMerge w:val="restart"/>
            <w:noWrap w:val="0"/>
            <w:vAlign w:val="center"/>
          </w:tcPr>
          <w:p w14:paraId="65B2525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执行《石油化学工业污染物排放标准》（GB31571-2015）和田家庵经济开发区污水处理站接管标准</w:t>
            </w:r>
          </w:p>
        </w:tc>
      </w:tr>
      <w:tr w14:paraId="2D633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1426ABE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0DFD3CE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660" w:type="pct"/>
            <w:noWrap w:val="0"/>
            <w:vAlign w:val="center"/>
          </w:tcPr>
          <w:p w14:paraId="47AD9F4F">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COD</w:t>
            </w:r>
          </w:p>
        </w:tc>
        <w:tc>
          <w:tcPr>
            <w:tcW w:w="911" w:type="pct"/>
            <w:vMerge w:val="continue"/>
            <w:noWrap w:val="0"/>
            <w:vAlign w:val="center"/>
          </w:tcPr>
          <w:p w14:paraId="6FDEB76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2985A72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3324540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0.756</w:t>
            </w:r>
          </w:p>
        </w:tc>
        <w:tc>
          <w:tcPr>
            <w:tcW w:w="462" w:type="pct"/>
            <w:noWrap w:val="0"/>
            <w:vAlign w:val="center"/>
          </w:tcPr>
          <w:p w14:paraId="21DCF9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192.96</w:t>
            </w:r>
          </w:p>
        </w:tc>
        <w:tc>
          <w:tcPr>
            <w:tcW w:w="916" w:type="pct"/>
            <w:vMerge w:val="continue"/>
            <w:noWrap w:val="0"/>
            <w:vAlign w:val="center"/>
          </w:tcPr>
          <w:p w14:paraId="10775E2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79A84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30A0C74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73B370F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660" w:type="pct"/>
            <w:noWrap w:val="0"/>
            <w:vAlign w:val="center"/>
          </w:tcPr>
          <w:p w14:paraId="4E2B2B1A">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SS</w:t>
            </w:r>
          </w:p>
        </w:tc>
        <w:tc>
          <w:tcPr>
            <w:tcW w:w="911" w:type="pct"/>
            <w:vMerge w:val="continue"/>
            <w:noWrap w:val="0"/>
            <w:vAlign w:val="center"/>
          </w:tcPr>
          <w:p w14:paraId="128800C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6A743D6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711152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0.422</w:t>
            </w:r>
          </w:p>
        </w:tc>
        <w:tc>
          <w:tcPr>
            <w:tcW w:w="462" w:type="pct"/>
            <w:noWrap w:val="0"/>
            <w:vAlign w:val="center"/>
          </w:tcPr>
          <w:p w14:paraId="091EE3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107.71</w:t>
            </w:r>
          </w:p>
        </w:tc>
        <w:tc>
          <w:tcPr>
            <w:tcW w:w="916" w:type="pct"/>
            <w:vMerge w:val="continue"/>
            <w:noWrap w:val="0"/>
            <w:vAlign w:val="center"/>
          </w:tcPr>
          <w:p w14:paraId="03A9B82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1CA2A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4FF6741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5D6752A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660" w:type="pct"/>
            <w:noWrap w:val="0"/>
            <w:vAlign w:val="center"/>
          </w:tcPr>
          <w:p w14:paraId="4DF95F38">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BOD</w:t>
            </w:r>
            <w:r>
              <w:rPr>
                <w:rFonts w:hint="default" w:ascii="Times New Roman" w:hAnsi="Times New Roman" w:eastAsia="宋体" w:cs="Times New Roman"/>
                <w:color w:val="auto"/>
                <w:sz w:val="21"/>
                <w:szCs w:val="21"/>
                <w:highlight w:val="none"/>
                <w:vertAlign w:val="subscript"/>
              </w:rPr>
              <w:t>5</w:t>
            </w:r>
          </w:p>
        </w:tc>
        <w:tc>
          <w:tcPr>
            <w:tcW w:w="911" w:type="pct"/>
            <w:vMerge w:val="continue"/>
            <w:noWrap w:val="0"/>
            <w:vAlign w:val="center"/>
          </w:tcPr>
          <w:p w14:paraId="5D3ACB0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54A1749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69E347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0.214</w:t>
            </w:r>
          </w:p>
        </w:tc>
        <w:tc>
          <w:tcPr>
            <w:tcW w:w="462" w:type="pct"/>
            <w:noWrap w:val="0"/>
            <w:vAlign w:val="center"/>
          </w:tcPr>
          <w:p w14:paraId="0A9732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54.62</w:t>
            </w:r>
          </w:p>
        </w:tc>
        <w:tc>
          <w:tcPr>
            <w:tcW w:w="916" w:type="pct"/>
            <w:vMerge w:val="continue"/>
            <w:noWrap w:val="0"/>
            <w:vAlign w:val="center"/>
          </w:tcPr>
          <w:p w14:paraId="21529B2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7F3E3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1CC017B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48E406D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660" w:type="pct"/>
            <w:noWrap w:val="0"/>
            <w:vAlign w:val="center"/>
          </w:tcPr>
          <w:p w14:paraId="6FA5C394">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氨氮</w:t>
            </w:r>
          </w:p>
        </w:tc>
        <w:tc>
          <w:tcPr>
            <w:tcW w:w="911" w:type="pct"/>
            <w:vMerge w:val="continue"/>
            <w:noWrap w:val="0"/>
            <w:vAlign w:val="center"/>
          </w:tcPr>
          <w:p w14:paraId="73733D3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03DB7AE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3A94607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0.044</w:t>
            </w:r>
          </w:p>
        </w:tc>
        <w:tc>
          <w:tcPr>
            <w:tcW w:w="462" w:type="pct"/>
            <w:noWrap w:val="0"/>
            <w:vAlign w:val="center"/>
          </w:tcPr>
          <w:p w14:paraId="23B108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11.23</w:t>
            </w:r>
          </w:p>
        </w:tc>
        <w:tc>
          <w:tcPr>
            <w:tcW w:w="916" w:type="pct"/>
            <w:vMerge w:val="continue"/>
            <w:noWrap w:val="0"/>
            <w:vAlign w:val="center"/>
          </w:tcPr>
          <w:p w14:paraId="2DA342C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2E53B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51B10CA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7F23875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660" w:type="pct"/>
            <w:noWrap w:val="0"/>
            <w:vAlign w:val="center"/>
          </w:tcPr>
          <w:p w14:paraId="26E1680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总氮</w:t>
            </w:r>
          </w:p>
        </w:tc>
        <w:tc>
          <w:tcPr>
            <w:tcW w:w="911" w:type="pct"/>
            <w:vMerge w:val="continue"/>
            <w:noWrap w:val="0"/>
            <w:vAlign w:val="center"/>
          </w:tcPr>
          <w:p w14:paraId="6178D95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30ACB3E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7CD181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0.049</w:t>
            </w:r>
          </w:p>
        </w:tc>
        <w:tc>
          <w:tcPr>
            <w:tcW w:w="462" w:type="pct"/>
            <w:noWrap w:val="0"/>
            <w:vAlign w:val="center"/>
          </w:tcPr>
          <w:p w14:paraId="2FA6FA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12.51</w:t>
            </w:r>
          </w:p>
        </w:tc>
        <w:tc>
          <w:tcPr>
            <w:tcW w:w="916" w:type="pct"/>
            <w:vMerge w:val="continue"/>
            <w:noWrap w:val="0"/>
            <w:vAlign w:val="center"/>
          </w:tcPr>
          <w:p w14:paraId="6C2F4A9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426FE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1C8424F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4BC2D84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660" w:type="pct"/>
            <w:noWrap w:val="0"/>
            <w:vAlign w:val="center"/>
          </w:tcPr>
          <w:p w14:paraId="54EEB242">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TP</w:t>
            </w:r>
          </w:p>
        </w:tc>
        <w:tc>
          <w:tcPr>
            <w:tcW w:w="911" w:type="pct"/>
            <w:vMerge w:val="continue"/>
            <w:noWrap w:val="0"/>
            <w:vAlign w:val="center"/>
          </w:tcPr>
          <w:p w14:paraId="76E004A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2744613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4BC836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c>
          <w:tcPr>
            <w:tcW w:w="462" w:type="pct"/>
            <w:noWrap w:val="0"/>
            <w:vAlign w:val="center"/>
          </w:tcPr>
          <w:p w14:paraId="7F6423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1.28</w:t>
            </w:r>
          </w:p>
        </w:tc>
        <w:tc>
          <w:tcPr>
            <w:tcW w:w="916" w:type="pct"/>
            <w:vMerge w:val="continue"/>
            <w:noWrap w:val="0"/>
            <w:vAlign w:val="center"/>
          </w:tcPr>
          <w:p w14:paraId="1CC9AFC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6EF14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290" w:type="pct"/>
            <w:vMerge w:val="continue"/>
            <w:noWrap w:val="0"/>
            <w:vAlign w:val="center"/>
          </w:tcPr>
          <w:p w14:paraId="016EC0F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040B142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660" w:type="pct"/>
            <w:noWrap w:val="0"/>
            <w:vAlign w:val="center"/>
          </w:tcPr>
          <w:p w14:paraId="34BC926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LAS</w:t>
            </w:r>
          </w:p>
        </w:tc>
        <w:tc>
          <w:tcPr>
            <w:tcW w:w="911" w:type="pct"/>
            <w:vMerge w:val="continue"/>
            <w:noWrap w:val="0"/>
            <w:vAlign w:val="center"/>
          </w:tcPr>
          <w:p w14:paraId="790074F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4B5B1B5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7382834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462" w:type="pct"/>
            <w:noWrap w:val="0"/>
            <w:vAlign w:val="center"/>
          </w:tcPr>
          <w:p w14:paraId="6A6953A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0.51</w:t>
            </w:r>
          </w:p>
        </w:tc>
        <w:tc>
          <w:tcPr>
            <w:tcW w:w="916" w:type="pct"/>
            <w:vMerge w:val="continue"/>
            <w:noWrap w:val="0"/>
            <w:vAlign w:val="center"/>
          </w:tcPr>
          <w:p w14:paraId="04F8C4B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3540E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290" w:type="pct"/>
            <w:vMerge w:val="continue"/>
            <w:noWrap w:val="0"/>
            <w:vAlign w:val="center"/>
          </w:tcPr>
          <w:p w14:paraId="404F2B4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414" w:type="pct"/>
            <w:vMerge w:val="continue"/>
            <w:noWrap w:val="0"/>
            <w:vAlign w:val="center"/>
          </w:tcPr>
          <w:p w14:paraId="404BD9C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660" w:type="pct"/>
            <w:noWrap w:val="0"/>
            <w:vAlign w:val="center"/>
          </w:tcPr>
          <w:p w14:paraId="4028A593">
            <w:pPr>
              <w:pStyle w:val="17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60" w:lineRule="exact"/>
              <w:ind w:left="0" w:leftChars="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石油类</w:t>
            </w:r>
          </w:p>
        </w:tc>
        <w:tc>
          <w:tcPr>
            <w:tcW w:w="911" w:type="pct"/>
            <w:vMerge w:val="continue"/>
            <w:noWrap w:val="0"/>
            <w:vAlign w:val="center"/>
          </w:tcPr>
          <w:p w14:paraId="56F9C3A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365D14C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6FC5C7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c>
          <w:tcPr>
            <w:tcW w:w="462" w:type="pct"/>
            <w:noWrap w:val="0"/>
            <w:vAlign w:val="center"/>
          </w:tcPr>
          <w:p w14:paraId="7B312D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2.85</w:t>
            </w:r>
          </w:p>
        </w:tc>
        <w:tc>
          <w:tcPr>
            <w:tcW w:w="916" w:type="pct"/>
            <w:vMerge w:val="continue"/>
            <w:noWrap w:val="0"/>
            <w:vAlign w:val="center"/>
          </w:tcPr>
          <w:p w14:paraId="48323E1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7FE6C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290" w:type="pct"/>
            <w:noWrap w:val="0"/>
            <w:vAlign w:val="center"/>
          </w:tcPr>
          <w:p w14:paraId="332A80F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噪声</w:t>
            </w:r>
          </w:p>
        </w:tc>
        <w:tc>
          <w:tcPr>
            <w:tcW w:w="414" w:type="pct"/>
            <w:noWrap w:val="0"/>
            <w:vAlign w:val="center"/>
          </w:tcPr>
          <w:p w14:paraId="1186669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设备运行</w:t>
            </w:r>
          </w:p>
        </w:tc>
        <w:tc>
          <w:tcPr>
            <w:tcW w:w="660" w:type="pct"/>
            <w:noWrap w:val="0"/>
            <w:vAlign w:val="center"/>
          </w:tcPr>
          <w:p w14:paraId="087B662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LAeq</w:t>
            </w:r>
          </w:p>
        </w:tc>
        <w:tc>
          <w:tcPr>
            <w:tcW w:w="911" w:type="pct"/>
            <w:noWrap w:val="0"/>
            <w:vAlign w:val="center"/>
          </w:tcPr>
          <w:p w14:paraId="7BD05F6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风机消声、设备减振、</w:t>
            </w:r>
          </w:p>
          <w:p w14:paraId="3E3560D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隔声</w:t>
            </w:r>
          </w:p>
        </w:tc>
        <w:tc>
          <w:tcPr>
            <w:tcW w:w="979" w:type="pct"/>
            <w:noWrap w:val="0"/>
            <w:vAlign w:val="center"/>
          </w:tcPr>
          <w:p w14:paraId="0DCADCB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365" w:type="pct"/>
            <w:noWrap w:val="0"/>
            <w:vAlign w:val="center"/>
          </w:tcPr>
          <w:p w14:paraId="39288C0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462" w:type="pct"/>
            <w:noWrap w:val="0"/>
            <w:vAlign w:val="center"/>
          </w:tcPr>
          <w:p w14:paraId="1B74933A">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noWrap w:val="0"/>
            <w:vAlign w:val="center"/>
          </w:tcPr>
          <w:p w14:paraId="62F3AA7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《工业企业厂界环境噪声排放标准》（GB12348-2008）3</w:t>
            </w:r>
            <w:r>
              <w:rPr>
                <w:rFonts w:hint="eastAsia" w:ascii="Times New Roman" w:hAnsi="Times New Roman" w:eastAsia="宋体" w:cs="Times New Roman"/>
                <w:color w:val="auto"/>
                <w:kern w:val="2"/>
                <w:sz w:val="21"/>
                <w:szCs w:val="21"/>
                <w:highlight w:val="none"/>
                <w:lang w:val="en-US" w:eastAsia="zh-CN" w:bidi="ar-SA"/>
              </w:rPr>
              <w:t>、4</w:t>
            </w:r>
            <w:r>
              <w:rPr>
                <w:rFonts w:hint="default" w:ascii="Times New Roman" w:hAnsi="Times New Roman" w:eastAsia="宋体" w:cs="Times New Roman"/>
                <w:color w:val="auto"/>
                <w:kern w:val="2"/>
                <w:sz w:val="21"/>
                <w:szCs w:val="21"/>
                <w:highlight w:val="none"/>
                <w:lang w:val="en-US" w:eastAsia="zh-CN" w:bidi="ar-SA"/>
              </w:rPr>
              <w:t>类标准</w:t>
            </w:r>
          </w:p>
        </w:tc>
      </w:tr>
      <w:tr w14:paraId="517FB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restart"/>
            <w:noWrap w:val="0"/>
            <w:vAlign w:val="center"/>
          </w:tcPr>
          <w:p w14:paraId="7A11D58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固体</w:t>
            </w:r>
          </w:p>
          <w:p w14:paraId="7481498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废物</w:t>
            </w:r>
          </w:p>
        </w:tc>
        <w:tc>
          <w:tcPr>
            <w:tcW w:w="414" w:type="pct"/>
            <w:noWrap w:val="0"/>
            <w:vAlign w:val="center"/>
          </w:tcPr>
          <w:p w14:paraId="1843EBED">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沼气过滤</w:t>
            </w:r>
          </w:p>
        </w:tc>
        <w:tc>
          <w:tcPr>
            <w:tcW w:w="660" w:type="pct"/>
            <w:noWrap w:val="0"/>
            <w:vAlign w:val="center"/>
          </w:tcPr>
          <w:p w14:paraId="593483CA">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pacing w:val="0"/>
                <w:kern w:val="2"/>
                <w:sz w:val="21"/>
                <w:szCs w:val="22"/>
                <w:highlight w:val="none"/>
                <w:lang w:val="en-US" w:eastAsia="zh-CN" w:bidi="ar-SA"/>
              </w:rPr>
              <w:t>沼气除杂产生废过滤膜</w:t>
            </w:r>
          </w:p>
        </w:tc>
        <w:tc>
          <w:tcPr>
            <w:tcW w:w="911" w:type="pct"/>
            <w:noWrap w:val="0"/>
            <w:vAlign w:val="center"/>
          </w:tcPr>
          <w:p w14:paraId="0E0158E9">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厂家回收</w:t>
            </w:r>
          </w:p>
        </w:tc>
        <w:tc>
          <w:tcPr>
            <w:tcW w:w="979" w:type="pct"/>
            <w:vMerge w:val="restart"/>
            <w:noWrap w:val="0"/>
            <w:vAlign w:val="center"/>
          </w:tcPr>
          <w:p w14:paraId="175E7D9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365" w:type="pct"/>
            <w:noWrap w:val="0"/>
            <w:vAlign w:val="center"/>
          </w:tcPr>
          <w:p w14:paraId="1B53288E">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0.05</w:t>
            </w:r>
          </w:p>
        </w:tc>
        <w:tc>
          <w:tcPr>
            <w:tcW w:w="462" w:type="pct"/>
            <w:noWrap w:val="0"/>
            <w:vAlign w:val="center"/>
          </w:tcPr>
          <w:p w14:paraId="4282826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restart"/>
            <w:noWrap w:val="0"/>
            <w:vAlign w:val="center"/>
          </w:tcPr>
          <w:p w14:paraId="2B0FE0D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参照</w:t>
            </w:r>
            <w:r>
              <w:rPr>
                <w:rFonts w:hint="default" w:ascii="Times New Roman" w:hAnsi="Times New Roman" w:eastAsia="宋体" w:cs="Times New Roman"/>
                <w:color w:val="auto"/>
                <w:kern w:val="2"/>
                <w:sz w:val="21"/>
                <w:szCs w:val="21"/>
                <w:highlight w:val="none"/>
                <w:lang w:val="en-US" w:eastAsia="zh-CN" w:bidi="ar-SA"/>
              </w:rPr>
              <w:t>《一般工业固体废物贮存和填埋污染控制标准》（GB18599-2020）有关规定</w:t>
            </w:r>
          </w:p>
        </w:tc>
      </w:tr>
      <w:tr w14:paraId="2F90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6BA9C19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noWrap w:val="0"/>
            <w:vAlign w:val="center"/>
          </w:tcPr>
          <w:p w14:paraId="5212D5E1">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color w:val="auto"/>
                <w:highlight w:val="none"/>
                <w:lang w:val="en-US" w:eastAsia="zh-CN"/>
              </w:rPr>
              <w:t>脱盐水制备</w:t>
            </w:r>
          </w:p>
        </w:tc>
        <w:tc>
          <w:tcPr>
            <w:tcW w:w="660" w:type="pct"/>
            <w:noWrap w:val="0"/>
            <w:vAlign w:val="center"/>
          </w:tcPr>
          <w:p w14:paraId="3B4ABE28">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pacing w:val="0"/>
                <w:kern w:val="2"/>
                <w:sz w:val="21"/>
                <w:szCs w:val="22"/>
                <w:highlight w:val="none"/>
                <w:lang w:val="en-US" w:eastAsia="zh-CN" w:bidi="ar-SA"/>
              </w:rPr>
              <w:t>废滤芯、废滤膜</w:t>
            </w:r>
          </w:p>
        </w:tc>
        <w:tc>
          <w:tcPr>
            <w:tcW w:w="911" w:type="pct"/>
            <w:noWrap w:val="0"/>
            <w:vAlign w:val="center"/>
          </w:tcPr>
          <w:p w14:paraId="67E7EA2A">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收集后外售</w:t>
            </w:r>
            <w:r>
              <w:rPr>
                <w:rFonts w:hint="default"/>
                <w:color w:val="auto"/>
                <w:highlight w:val="none"/>
              </w:rPr>
              <w:t>用</w:t>
            </w:r>
          </w:p>
        </w:tc>
        <w:tc>
          <w:tcPr>
            <w:tcW w:w="979" w:type="pct"/>
            <w:vMerge w:val="continue"/>
            <w:noWrap w:val="0"/>
            <w:vAlign w:val="center"/>
          </w:tcPr>
          <w:p w14:paraId="4093CDA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4C8DE240">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0.5</w:t>
            </w:r>
          </w:p>
        </w:tc>
        <w:tc>
          <w:tcPr>
            <w:tcW w:w="462" w:type="pct"/>
            <w:noWrap w:val="0"/>
            <w:vAlign w:val="center"/>
          </w:tcPr>
          <w:p w14:paraId="7CACD85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continue"/>
            <w:noWrap w:val="0"/>
            <w:vAlign w:val="center"/>
          </w:tcPr>
          <w:p w14:paraId="5E3AADE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11DE1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90" w:type="pct"/>
            <w:vMerge w:val="continue"/>
            <w:noWrap w:val="0"/>
            <w:vAlign w:val="center"/>
          </w:tcPr>
          <w:p w14:paraId="6EE5A99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noWrap w:val="0"/>
            <w:vAlign w:val="center"/>
          </w:tcPr>
          <w:p w14:paraId="10F6E236">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氮气制备</w:t>
            </w:r>
          </w:p>
        </w:tc>
        <w:tc>
          <w:tcPr>
            <w:tcW w:w="660" w:type="pct"/>
            <w:noWrap w:val="0"/>
            <w:vAlign w:val="center"/>
          </w:tcPr>
          <w:p w14:paraId="00A68FAC">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pacing w:val="0"/>
                <w:kern w:val="2"/>
                <w:sz w:val="21"/>
                <w:szCs w:val="22"/>
                <w:highlight w:val="none"/>
                <w:lang w:val="en-US" w:eastAsia="zh-CN" w:bidi="ar-SA"/>
              </w:rPr>
              <w:t>制氮机废过滤膜</w:t>
            </w:r>
          </w:p>
        </w:tc>
        <w:tc>
          <w:tcPr>
            <w:tcW w:w="911" w:type="pct"/>
            <w:noWrap w:val="0"/>
            <w:vAlign w:val="center"/>
          </w:tcPr>
          <w:p w14:paraId="2593214A">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厂家回收</w:t>
            </w:r>
          </w:p>
        </w:tc>
        <w:tc>
          <w:tcPr>
            <w:tcW w:w="979" w:type="pct"/>
            <w:vMerge w:val="continue"/>
            <w:noWrap w:val="0"/>
            <w:vAlign w:val="center"/>
          </w:tcPr>
          <w:p w14:paraId="54BAEAF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2EE460F2">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color w:val="auto"/>
                <w:highlight w:val="none"/>
                <w:lang w:val="en-US" w:eastAsia="zh-CN"/>
              </w:rPr>
              <w:t>0.</w:t>
            </w:r>
            <w:r>
              <w:rPr>
                <w:rFonts w:hint="eastAsia"/>
                <w:color w:val="auto"/>
                <w:highlight w:val="none"/>
                <w:lang w:val="en-US" w:eastAsia="zh-CN"/>
              </w:rPr>
              <w:t>1</w:t>
            </w:r>
          </w:p>
        </w:tc>
        <w:tc>
          <w:tcPr>
            <w:tcW w:w="462" w:type="pct"/>
            <w:noWrap w:val="0"/>
            <w:vAlign w:val="center"/>
          </w:tcPr>
          <w:p w14:paraId="4EC768C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continue"/>
            <w:noWrap w:val="0"/>
            <w:vAlign w:val="center"/>
          </w:tcPr>
          <w:p w14:paraId="7421023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5D0D0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90" w:type="pct"/>
            <w:vMerge w:val="continue"/>
            <w:noWrap w:val="0"/>
            <w:vAlign w:val="center"/>
          </w:tcPr>
          <w:p w14:paraId="6C340BF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noWrap w:val="0"/>
            <w:vAlign w:val="center"/>
          </w:tcPr>
          <w:p w14:paraId="5C4C103E">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洗车剂使用</w:t>
            </w:r>
          </w:p>
        </w:tc>
        <w:tc>
          <w:tcPr>
            <w:tcW w:w="660" w:type="pct"/>
            <w:noWrap w:val="0"/>
            <w:vAlign w:val="center"/>
          </w:tcPr>
          <w:p w14:paraId="1B31F9CB">
            <w:pPr>
              <w:pStyle w:val="42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tLeast"/>
              <w:ind w:left="0" w:leftChars="0" w:right="0" w:rightChars="0" w:firstLine="0" w:firstLineChars="0"/>
              <w:jc w:val="center"/>
              <w:textAlignment w:val="baseline"/>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pacing w:val="0"/>
                <w:kern w:val="2"/>
                <w:sz w:val="21"/>
                <w:szCs w:val="22"/>
                <w:highlight w:val="none"/>
                <w:lang w:val="en-US" w:eastAsia="zh-CN" w:bidi="ar-SA"/>
              </w:rPr>
              <w:t>废包装桶</w:t>
            </w:r>
          </w:p>
        </w:tc>
        <w:tc>
          <w:tcPr>
            <w:tcW w:w="911" w:type="pct"/>
            <w:noWrap w:val="0"/>
            <w:vAlign w:val="center"/>
          </w:tcPr>
          <w:p w14:paraId="0B92AD88">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color w:val="auto"/>
                <w:highlight w:val="none"/>
              </w:rPr>
              <w:t>交由物资公司回收利用</w:t>
            </w:r>
          </w:p>
        </w:tc>
        <w:tc>
          <w:tcPr>
            <w:tcW w:w="979" w:type="pct"/>
            <w:vMerge w:val="continue"/>
            <w:noWrap w:val="0"/>
            <w:vAlign w:val="center"/>
          </w:tcPr>
          <w:p w14:paraId="5B0CDAB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3DAADF5B">
            <w:pPr>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0.018</w:t>
            </w:r>
          </w:p>
        </w:tc>
        <w:tc>
          <w:tcPr>
            <w:tcW w:w="462" w:type="pct"/>
            <w:noWrap w:val="0"/>
            <w:vAlign w:val="center"/>
          </w:tcPr>
          <w:p w14:paraId="1211550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continue"/>
            <w:noWrap w:val="0"/>
            <w:vAlign w:val="center"/>
          </w:tcPr>
          <w:p w14:paraId="19D7FCF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77DA1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290" w:type="pct"/>
            <w:vMerge w:val="continue"/>
            <w:noWrap w:val="0"/>
            <w:vAlign w:val="center"/>
          </w:tcPr>
          <w:p w14:paraId="508C2F1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noWrap w:val="0"/>
            <w:vAlign w:val="center"/>
          </w:tcPr>
          <w:p w14:paraId="44310B3B">
            <w:pPr>
              <w:widowControl/>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脱硫塔</w:t>
            </w:r>
          </w:p>
        </w:tc>
        <w:tc>
          <w:tcPr>
            <w:tcW w:w="660" w:type="pct"/>
            <w:noWrap w:val="0"/>
            <w:vAlign w:val="center"/>
          </w:tcPr>
          <w:p w14:paraId="465BCED5">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废脱硫剂</w:t>
            </w:r>
          </w:p>
        </w:tc>
        <w:tc>
          <w:tcPr>
            <w:tcW w:w="911" w:type="pct"/>
            <w:vMerge w:val="restart"/>
            <w:noWrap w:val="0"/>
            <w:vAlign w:val="center"/>
          </w:tcPr>
          <w:p w14:paraId="3568E9B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资质单位进行更换处置</w:t>
            </w:r>
          </w:p>
        </w:tc>
        <w:tc>
          <w:tcPr>
            <w:tcW w:w="979" w:type="pct"/>
            <w:noWrap w:val="0"/>
            <w:vAlign w:val="center"/>
          </w:tcPr>
          <w:p w14:paraId="272F7E8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365" w:type="pct"/>
            <w:noWrap w:val="0"/>
            <w:vAlign w:val="center"/>
          </w:tcPr>
          <w:p w14:paraId="3F08278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462" w:type="pct"/>
            <w:noWrap w:val="0"/>
            <w:vAlign w:val="center"/>
          </w:tcPr>
          <w:p w14:paraId="77274EE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restart"/>
            <w:noWrap w:val="0"/>
            <w:vAlign w:val="center"/>
          </w:tcPr>
          <w:p w14:paraId="4451814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《危险废物贮存污染控制标准》（GB18597-20</w:t>
            </w:r>
            <w:r>
              <w:rPr>
                <w:rFonts w:hint="eastAsia" w:ascii="Times New Roman" w:hAnsi="Times New Roman" w:eastAsia="宋体" w:cs="Times New Roman"/>
                <w:color w:val="auto"/>
                <w:kern w:val="2"/>
                <w:sz w:val="21"/>
                <w:szCs w:val="21"/>
                <w:highlight w:val="none"/>
                <w:lang w:val="en-US" w:eastAsia="zh-CN" w:bidi="ar-SA"/>
              </w:rPr>
              <w:t>23</w:t>
            </w:r>
            <w:r>
              <w:rPr>
                <w:rFonts w:hint="default" w:ascii="Times New Roman" w:hAnsi="Times New Roman" w:eastAsia="宋体" w:cs="Times New Roman"/>
                <w:color w:val="auto"/>
                <w:kern w:val="2"/>
                <w:sz w:val="21"/>
                <w:szCs w:val="21"/>
                <w:highlight w:val="none"/>
                <w:lang w:val="en-US" w:eastAsia="zh-CN" w:bidi="ar-SA"/>
              </w:rPr>
              <w:t>）</w:t>
            </w:r>
          </w:p>
        </w:tc>
      </w:tr>
      <w:tr w14:paraId="65CFB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0658516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noWrap w:val="0"/>
            <w:vAlign w:val="center"/>
          </w:tcPr>
          <w:p w14:paraId="281FED40">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高温转化炉</w:t>
            </w:r>
          </w:p>
        </w:tc>
        <w:tc>
          <w:tcPr>
            <w:tcW w:w="660" w:type="pct"/>
            <w:noWrap w:val="0"/>
            <w:vAlign w:val="center"/>
          </w:tcPr>
          <w:p w14:paraId="6160454A">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废</w:t>
            </w:r>
            <w:r>
              <w:rPr>
                <w:rFonts w:hint="eastAsia" w:ascii="Times New Roman" w:hAnsi="Times New Roman" w:eastAsia="宋体" w:cs="Times New Roman"/>
                <w:b w:val="0"/>
                <w:bCs w:val="0"/>
                <w:color w:val="auto"/>
                <w:sz w:val="21"/>
                <w:szCs w:val="21"/>
                <w:highlight w:val="none"/>
                <w:lang w:val="en-US" w:eastAsia="zh-CN"/>
              </w:rPr>
              <w:t>催化剂</w:t>
            </w:r>
          </w:p>
        </w:tc>
        <w:tc>
          <w:tcPr>
            <w:tcW w:w="911" w:type="pct"/>
            <w:vMerge w:val="continue"/>
            <w:noWrap w:val="0"/>
            <w:vAlign w:val="center"/>
          </w:tcPr>
          <w:p w14:paraId="0A3B460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restart"/>
            <w:noWrap w:val="0"/>
            <w:vAlign w:val="center"/>
          </w:tcPr>
          <w:p w14:paraId="14A231C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422048D2">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462" w:type="pct"/>
            <w:noWrap w:val="0"/>
            <w:vAlign w:val="center"/>
          </w:tcPr>
          <w:p w14:paraId="589C09A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continue"/>
            <w:noWrap w:val="0"/>
            <w:vAlign w:val="center"/>
          </w:tcPr>
          <w:p w14:paraId="374C32E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3F690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6746453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noWrap w:val="0"/>
            <w:vAlign w:val="center"/>
          </w:tcPr>
          <w:p w14:paraId="7A7E1EB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中温转化炉</w:t>
            </w:r>
          </w:p>
        </w:tc>
        <w:tc>
          <w:tcPr>
            <w:tcW w:w="660" w:type="pct"/>
            <w:noWrap w:val="0"/>
            <w:vAlign w:val="center"/>
          </w:tcPr>
          <w:p w14:paraId="5334930F">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废催化剂</w:t>
            </w:r>
          </w:p>
        </w:tc>
        <w:tc>
          <w:tcPr>
            <w:tcW w:w="911" w:type="pct"/>
            <w:vMerge w:val="continue"/>
            <w:noWrap w:val="0"/>
            <w:vAlign w:val="center"/>
          </w:tcPr>
          <w:p w14:paraId="7F9A48B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40A52EB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2365EE3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462" w:type="pct"/>
            <w:noWrap w:val="0"/>
            <w:vAlign w:val="center"/>
          </w:tcPr>
          <w:p w14:paraId="5F94EB9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continue"/>
            <w:noWrap w:val="0"/>
            <w:vAlign w:val="center"/>
          </w:tcPr>
          <w:p w14:paraId="3868307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7B425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3654DDE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noWrap w:val="0"/>
            <w:vAlign w:val="center"/>
          </w:tcPr>
          <w:p w14:paraId="480537C4">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吸附塔</w:t>
            </w:r>
          </w:p>
        </w:tc>
        <w:tc>
          <w:tcPr>
            <w:tcW w:w="660" w:type="pct"/>
            <w:noWrap w:val="0"/>
            <w:vAlign w:val="center"/>
          </w:tcPr>
          <w:p w14:paraId="0E2398D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废</w:t>
            </w:r>
            <w:r>
              <w:rPr>
                <w:rFonts w:hint="eastAsia" w:ascii="Times New Roman" w:hAnsi="Times New Roman" w:eastAsia="宋体" w:cs="Times New Roman"/>
                <w:b w:val="0"/>
                <w:bCs w:val="0"/>
                <w:color w:val="auto"/>
                <w:sz w:val="21"/>
                <w:szCs w:val="21"/>
                <w:highlight w:val="none"/>
                <w:lang w:val="en-US" w:eastAsia="zh-CN"/>
              </w:rPr>
              <w:t>吸附剂</w:t>
            </w:r>
          </w:p>
        </w:tc>
        <w:tc>
          <w:tcPr>
            <w:tcW w:w="911" w:type="pct"/>
            <w:vMerge w:val="restart"/>
            <w:noWrap w:val="0"/>
            <w:vAlign w:val="center"/>
          </w:tcPr>
          <w:p w14:paraId="29714E2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收集于危险废物暂存间后委托有资质单位进行清运处理</w:t>
            </w:r>
          </w:p>
        </w:tc>
        <w:tc>
          <w:tcPr>
            <w:tcW w:w="979" w:type="pct"/>
            <w:vMerge w:val="restart"/>
            <w:noWrap w:val="0"/>
            <w:vAlign w:val="center"/>
          </w:tcPr>
          <w:p w14:paraId="45ECC33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位于</w:t>
            </w:r>
            <w:r>
              <w:rPr>
                <w:rFonts w:hint="eastAsia" w:ascii="Times New Roman" w:hAnsi="Times New Roman" w:eastAsia="宋体" w:cs="Times New Roman"/>
                <w:color w:val="auto"/>
                <w:kern w:val="2"/>
                <w:sz w:val="21"/>
                <w:szCs w:val="21"/>
                <w:highlight w:val="none"/>
                <w:lang w:val="en-US" w:eastAsia="zh-CN" w:bidi="ar-SA"/>
              </w:rPr>
              <w:t>站房东侧</w:t>
            </w:r>
            <w:r>
              <w:rPr>
                <w:rFonts w:hint="default" w:ascii="Times New Roman" w:hAnsi="Times New Roman" w:eastAsia="宋体" w:cs="Times New Roman"/>
                <w:color w:val="auto"/>
                <w:kern w:val="2"/>
                <w:sz w:val="21"/>
                <w:szCs w:val="21"/>
                <w:highlight w:val="none"/>
                <w:lang w:val="en-US" w:eastAsia="zh-CN" w:bidi="ar-SA"/>
              </w:rPr>
              <w:t>设置一间危险废物暂存间，面积约</w:t>
            </w:r>
            <w:r>
              <w:rPr>
                <w:rFonts w:hint="eastAsia"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0m</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365" w:type="pct"/>
            <w:noWrap w:val="0"/>
            <w:vAlign w:val="center"/>
          </w:tcPr>
          <w:p w14:paraId="480A3E8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462" w:type="pct"/>
            <w:noWrap w:val="0"/>
            <w:vAlign w:val="center"/>
          </w:tcPr>
          <w:p w14:paraId="24787FB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continue"/>
            <w:noWrap w:val="0"/>
            <w:vAlign w:val="center"/>
          </w:tcPr>
          <w:p w14:paraId="52088A5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70501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41933CB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noWrap w:val="0"/>
            <w:vAlign w:val="center"/>
          </w:tcPr>
          <w:p w14:paraId="235DBBF7">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隔油池</w:t>
            </w:r>
          </w:p>
        </w:tc>
        <w:tc>
          <w:tcPr>
            <w:tcW w:w="660" w:type="pct"/>
            <w:noWrap w:val="0"/>
            <w:vAlign w:val="center"/>
          </w:tcPr>
          <w:p w14:paraId="4C83D8A1">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污泥</w:t>
            </w:r>
          </w:p>
        </w:tc>
        <w:tc>
          <w:tcPr>
            <w:tcW w:w="911" w:type="pct"/>
            <w:vMerge w:val="continue"/>
            <w:noWrap w:val="0"/>
            <w:vAlign w:val="center"/>
          </w:tcPr>
          <w:p w14:paraId="6483F0B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59E9D4F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11F1B38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462" w:type="pct"/>
            <w:noWrap w:val="0"/>
            <w:vAlign w:val="center"/>
          </w:tcPr>
          <w:p w14:paraId="2932744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continue"/>
            <w:noWrap w:val="0"/>
            <w:vAlign w:val="center"/>
          </w:tcPr>
          <w:p w14:paraId="0E3DF05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2C79D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290" w:type="pct"/>
            <w:vMerge w:val="continue"/>
            <w:noWrap w:val="0"/>
            <w:vAlign w:val="center"/>
          </w:tcPr>
          <w:p w14:paraId="4C6CD190">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vMerge w:val="restart"/>
            <w:noWrap w:val="0"/>
            <w:vAlign w:val="center"/>
          </w:tcPr>
          <w:p w14:paraId="6BEF7F5D">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储油罐</w:t>
            </w:r>
          </w:p>
        </w:tc>
        <w:tc>
          <w:tcPr>
            <w:tcW w:w="660" w:type="pct"/>
            <w:vMerge w:val="restart"/>
            <w:noWrap w:val="0"/>
            <w:vAlign w:val="center"/>
          </w:tcPr>
          <w:p w14:paraId="23E40FBC">
            <w:pPr>
              <w:keepNext w:val="0"/>
              <w:keepLines w:val="0"/>
              <w:pageBreakBefore w:val="0"/>
              <w:widowControl w:val="0"/>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清罐废油泥（含废清理液）</w:t>
            </w:r>
          </w:p>
        </w:tc>
        <w:tc>
          <w:tcPr>
            <w:tcW w:w="911" w:type="pct"/>
            <w:vMerge w:val="restart"/>
            <w:noWrap w:val="0"/>
            <w:vAlign w:val="center"/>
          </w:tcPr>
          <w:p w14:paraId="7FEB166C">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资质单位进行更换处置</w:t>
            </w:r>
          </w:p>
        </w:tc>
        <w:tc>
          <w:tcPr>
            <w:tcW w:w="979" w:type="pct"/>
            <w:vMerge w:val="continue"/>
            <w:noWrap w:val="0"/>
            <w:vAlign w:val="center"/>
          </w:tcPr>
          <w:p w14:paraId="6193006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04C6951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462" w:type="pct"/>
            <w:noWrap w:val="0"/>
            <w:vAlign w:val="center"/>
          </w:tcPr>
          <w:p w14:paraId="2B0481B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continue"/>
            <w:noWrap w:val="0"/>
            <w:vAlign w:val="center"/>
          </w:tcPr>
          <w:p w14:paraId="18F5E7E8">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05694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5816B6C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vMerge w:val="continue"/>
            <w:noWrap w:val="0"/>
            <w:vAlign w:val="center"/>
          </w:tcPr>
          <w:p w14:paraId="4B0A4F5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660" w:type="pct"/>
            <w:vMerge w:val="continue"/>
            <w:noWrap w:val="0"/>
            <w:vAlign w:val="center"/>
          </w:tcPr>
          <w:p w14:paraId="5159F6C9">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11" w:type="pct"/>
            <w:vMerge w:val="continue"/>
            <w:noWrap w:val="0"/>
            <w:vAlign w:val="center"/>
          </w:tcPr>
          <w:p w14:paraId="516C0C3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79" w:type="pct"/>
            <w:vMerge w:val="continue"/>
            <w:noWrap w:val="0"/>
            <w:vAlign w:val="center"/>
          </w:tcPr>
          <w:p w14:paraId="62CE4695">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65" w:type="pct"/>
            <w:noWrap w:val="0"/>
            <w:vAlign w:val="center"/>
          </w:tcPr>
          <w:p w14:paraId="0BC0706F">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w:t>
            </w:r>
          </w:p>
        </w:tc>
        <w:tc>
          <w:tcPr>
            <w:tcW w:w="462" w:type="pct"/>
            <w:noWrap w:val="0"/>
            <w:vAlign w:val="center"/>
          </w:tcPr>
          <w:p w14:paraId="4AE1DB31">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vMerge w:val="continue"/>
            <w:noWrap w:val="0"/>
            <w:vAlign w:val="center"/>
          </w:tcPr>
          <w:p w14:paraId="4F809A5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14:paraId="099AE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0" w:type="pct"/>
            <w:vMerge w:val="continue"/>
            <w:noWrap w:val="0"/>
            <w:vAlign w:val="center"/>
          </w:tcPr>
          <w:p w14:paraId="2115E7C6">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414" w:type="pct"/>
            <w:noWrap w:val="0"/>
            <w:vAlign w:val="center"/>
          </w:tcPr>
          <w:p w14:paraId="70717887">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生产办公</w:t>
            </w:r>
          </w:p>
        </w:tc>
        <w:tc>
          <w:tcPr>
            <w:tcW w:w="660" w:type="pct"/>
            <w:noWrap w:val="0"/>
            <w:vAlign w:val="center"/>
          </w:tcPr>
          <w:p w14:paraId="318A685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生活垃圾</w:t>
            </w:r>
          </w:p>
        </w:tc>
        <w:tc>
          <w:tcPr>
            <w:tcW w:w="911" w:type="pct"/>
            <w:noWrap w:val="0"/>
            <w:vAlign w:val="center"/>
          </w:tcPr>
          <w:p w14:paraId="1B8FA05B">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集中收集交由环卫部门清运</w:t>
            </w:r>
          </w:p>
        </w:tc>
        <w:tc>
          <w:tcPr>
            <w:tcW w:w="979" w:type="pct"/>
            <w:noWrap w:val="0"/>
            <w:vAlign w:val="center"/>
          </w:tcPr>
          <w:p w14:paraId="2004475D">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车间内设置若干垃圾桶</w:t>
            </w:r>
          </w:p>
        </w:tc>
        <w:tc>
          <w:tcPr>
            <w:tcW w:w="365" w:type="pct"/>
            <w:noWrap w:val="0"/>
            <w:vAlign w:val="center"/>
          </w:tcPr>
          <w:p w14:paraId="455262F4">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w:t>
            </w:r>
          </w:p>
        </w:tc>
        <w:tc>
          <w:tcPr>
            <w:tcW w:w="462" w:type="pct"/>
            <w:noWrap w:val="0"/>
            <w:vAlign w:val="center"/>
          </w:tcPr>
          <w:p w14:paraId="32D1757E">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916" w:type="pct"/>
            <w:noWrap w:val="0"/>
            <w:vAlign w:val="center"/>
          </w:tcPr>
          <w:p w14:paraId="4F829DE3">
            <w:pPr>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r>
      <w:bookmarkEnd w:id="595"/>
      <w:bookmarkEnd w:id="596"/>
    </w:tbl>
    <w:p w14:paraId="6C8445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outlineLvl w:val="1"/>
        <w:rPr>
          <w:rFonts w:hint="eastAsia" w:ascii="Times New Roman" w:hAnsi="Times New Roman" w:eastAsia="宋体" w:cs="Times New Roman"/>
          <w:b/>
          <w:bCs/>
          <w:color w:val="auto"/>
          <w:kern w:val="2"/>
          <w:sz w:val="28"/>
          <w:szCs w:val="28"/>
          <w:highlight w:val="none"/>
          <w:lang w:val="en-US" w:eastAsia="zh-CN" w:bidi="ar-SA"/>
        </w:rPr>
      </w:pPr>
      <w:bookmarkStart w:id="621" w:name="_Toc32048"/>
      <w:r>
        <w:rPr>
          <w:rFonts w:hint="eastAsia" w:ascii="Times New Roman" w:hAnsi="Times New Roman" w:eastAsia="宋体" w:cs="Times New Roman"/>
          <w:b/>
          <w:bCs/>
          <w:color w:val="auto"/>
          <w:kern w:val="2"/>
          <w:sz w:val="28"/>
          <w:szCs w:val="28"/>
          <w:highlight w:val="none"/>
          <w:lang w:val="en-US" w:eastAsia="zh-CN" w:bidi="ar-SA"/>
        </w:rPr>
        <w:t>8</w:t>
      </w:r>
      <w:r>
        <w:rPr>
          <w:rFonts w:hint="default" w:ascii="Times New Roman" w:hAnsi="Times New Roman" w:eastAsia="宋体" w:cs="Times New Roman"/>
          <w:b/>
          <w:bCs/>
          <w:color w:val="auto"/>
          <w:kern w:val="2"/>
          <w:sz w:val="28"/>
          <w:szCs w:val="28"/>
          <w:highlight w:val="none"/>
          <w:lang w:val="zh-CN" w:eastAsia="zh-CN" w:bidi="ar-SA"/>
        </w:rPr>
        <w:t>.</w:t>
      </w:r>
      <w:r>
        <w:rPr>
          <w:rFonts w:hint="eastAsia" w:ascii="Times New Roman" w:hAnsi="Times New Roman" w:eastAsia="宋体" w:cs="Times New Roman"/>
          <w:b/>
          <w:bCs/>
          <w:color w:val="auto"/>
          <w:kern w:val="2"/>
          <w:sz w:val="28"/>
          <w:szCs w:val="28"/>
          <w:highlight w:val="none"/>
          <w:lang w:val="en-US" w:eastAsia="zh-CN" w:bidi="ar-SA"/>
        </w:rPr>
        <w:t>9环境保护设施竣工验收管理</w:t>
      </w:r>
      <w:bookmarkEnd w:id="621"/>
    </w:p>
    <w:p w14:paraId="1CB60B9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color w:val="auto"/>
          <w:highlight w:val="none"/>
        </w:rPr>
      </w:pPr>
      <w:r>
        <w:rPr>
          <w:rFonts w:hint="default"/>
          <w:color w:val="auto"/>
          <w:sz w:val="24"/>
          <w:szCs w:val="24"/>
          <w:highlight w:val="none"/>
        </w:rPr>
        <w:t>根据《建设项目环境保护管理条例》有关规定，环境污染治理设施必须与主体工程同时设计，同时施工，同时投产使用，在工程完成后，应对环境保护设施进行验收，验收内容见</w:t>
      </w:r>
      <w:r>
        <w:rPr>
          <w:rFonts w:hint="eastAsia"/>
          <w:color w:val="auto"/>
          <w:sz w:val="24"/>
          <w:szCs w:val="24"/>
          <w:highlight w:val="none"/>
          <w:lang w:eastAsia="zh-CN"/>
        </w:rPr>
        <w:t>“</w:t>
      </w:r>
      <w:r>
        <w:rPr>
          <w:rFonts w:hint="default"/>
          <w:color w:val="auto"/>
          <w:sz w:val="24"/>
          <w:szCs w:val="24"/>
          <w:highlight w:val="none"/>
        </w:rPr>
        <w:t>三同时</w:t>
      </w:r>
      <w:r>
        <w:rPr>
          <w:rFonts w:hint="eastAsia"/>
          <w:color w:val="auto"/>
          <w:sz w:val="24"/>
          <w:szCs w:val="24"/>
          <w:highlight w:val="none"/>
          <w:lang w:eastAsia="zh-CN"/>
        </w:rPr>
        <w:t>”</w:t>
      </w:r>
      <w:r>
        <w:rPr>
          <w:rFonts w:hint="default"/>
          <w:color w:val="auto"/>
          <w:sz w:val="24"/>
          <w:szCs w:val="24"/>
          <w:highlight w:val="none"/>
        </w:rPr>
        <w:t>验收一览表</w:t>
      </w:r>
      <w:r>
        <w:rPr>
          <w:rFonts w:hint="eastAsia"/>
          <w:color w:val="auto"/>
          <w:sz w:val="24"/>
          <w:szCs w:val="24"/>
          <w:highlight w:val="none"/>
          <w:lang w:val="en-US" w:eastAsia="zh-CN"/>
        </w:rPr>
        <w:t>8</w:t>
      </w:r>
      <w:r>
        <w:rPr>
          <w:rFonts w:hint="default"/>
          <w:color w:val="auto"/>
          <w:sz w:val="24"/>
          <w:szCs w:val="24"/>
          <w:highlight w:val="none"/>
        </w:rPr>
        <w:t>.</w:t>
      </w:r>
      <w:r>
        <w:rPr>
          <w:rFonts w:hint="eastAsia"/>
          <w:color w:val="auto"/>
          <w:sz w:val="24"/>
          <w:szCs w:val="24"/>
          <w:highlight w:val="none"/>
          <w:lang w:val="en-US" w:eastAsia="zh-CN"/>
        </w:rPr>
        <w:t>9</w:t>
      </w:r>
      <w:r>
        <w:rPr>
          <w:rFonts w:hint="default"/>
          <w:color w:val="auto"/>
          <w:sz w:val="24"/>
          <w:szCs w:val="24"/>
          <w:highlight w:val="none"/>
        </w:rPr>
        <w:t>-1。</w:t>
      </w:r>
    </w:p>
    <w:p w14:paraId="6ED4A292">
      <w:pPr>
        <w:widowControl/>
        <w:bidi w:val="0"/>
        <w:spacing w:line="240" w:lineRule="auto"/>
        <w:ind w:firstLine="482" w:firstLineChars="200"/>
        <w:jc w:val="center"/>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表</w:t>
      </w:r>
      <w:r>
        <w:rPr>
          <w:rFonts w:hint="eastAsia" w:ascii="Times New Roman" w:hAnsi="Times New Roman" w:eastAsia="宋体" w:cs="Times New Roman"/>
          <w:b/>
          <w:bCs/>
          <w:color w:val="auto"/>
          <w:kern w:val="2"/>
          <w:sz w:val="24"/>
          <w:szCs w:val="21"/>
          <w:highlight w:val="none"/>
          <w:lang w:val="en-US" w:eastAsia="zh-CN" w:bidi="ar-SA"/>
        </w:rPr>
        <w:t>8.9</w:t>
      </w:r>
      <w:r>
        <w:rPr>
          <w:rFonts w:hint="default" w:ascii="Times New Roman" w:hAnsi="Times New Roman" w:eastAsia="宋体" w:cs="Times New Roman"/>
          <w:b/>
          <w:bCs/>
          <w:color w:val="auto"/>
          <w:kern w:val="2"/>
          <w:sz w:val="24"/>
          <w:szCs w:val="21"/>
          <w:highlight w:val="none"/>
          <w:lang w:val="en-US" w:eastAsia="zh-CN" w:bidi="ar-SA"/>
        </w:rPr>
        <w:t>-1  建设项目环保</w:t>
      </w:r>
      <w:r>
        <w:rPr>
          <w:rFonts w:hint="eastAsia" w:cs="Times New Roman"/>
          <w:b/>
          <w:bCs/>
          <w:color w:val="auto"/>
          <w:kern w:val="2"/>
          <w:sz w:val="24"/>
          <w:szCs w:val="21"/>
          <w:highlight w:val="none"/>
          <w:lang w:val="en-US" w:eastAsia="zh-CN" w:bidi="ar-SA"/>
        </w:rPr>
        <w:t>“</w:t>
      </w:r>
      <w:r>
        <w:rPr>
          <w:rFonts w:hint="default" w:ascii="Times New Roman" w:hAnsi="Times New Roman" w:eastAsia="宋体" w:cs="Times New Roman"/>
          <w:b/>
          <w:bCs/>
          <w:color w:val="auto"/>
          <w:kern w:val="2"/>
          <w:sz w:val="24"/>
          <w:szCs w:val="21"/>
          <w:highlight w:val="none"/>
          <w:lang w:val="en-US" w:eastAsia="zh-CN" w:bidi="ar-SA"/>
        </w:rPr>
        <w:t>三同时</w:t>
      </w:r>
      <w:r>
        <w:rPr>
          <w:rFonts w:hint="eastAsia" w:cs="Times New Roman"/>
          <w:b/>
          <w:bCs/>
          <w:color w:val="auto"/>
          <w:kern w:val="2"/>
          <w:sz w:val="24"/>
          <w:szCs w:val="21"/>
          <w:highlight w:val="none"/>
          <w:lang w:val="en-US" w:eastAsia="zh-CN" w:bidi="ar-SA"/>
        </w:rPr>
        <w:t>”</w:t>
      </w:r>
      <w:r>
        <w:rPr>
          <w:rFonts w:hint="default" w:ascii="Times New Roman" w:hAnsi="Times New Roman" w:eastAsia="宋体" w:cs="Times New Roman"/>
          <w:b/>
          <w:bCs/>
          <w:color w:val="auto"/>
          <w:kern w:val="2"/>
          <w:sz w:val="24"/>
          <w:szCs w:val="21"/>
          <w:highlight w:val="none"/>
          <w:lang w:val="en-US" w:eastAsia="zh-CN" w:bidi="ar-SA"/>
        </w:rPr>
        <w:t>验收一览表</w:t>
      </w:r>
    </w:p>
    <w:tbl>
      <w:tblPr>
        <w:tblStyle w:val="49"/>
        <w:tblW w:w="50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39"/>
        <w:gridCol w:w="603"/>
        <w:gridCol w:w="1773"/>
        <w:gridCol w:w="3467"/>
        <w:gridCol w:w="574"/>
        <w:gridCol w:w="2012"/>
        <w:gridCol w:w="1052"/>
        <w:gridCol w:w="2790"/>
      </w:tblGrid>
      <w:tr w14:paraId="68A97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pct"/>
            <w:noWrap w:val="0"/>
            <w:vAlign w:val="center"/>
          </w:tcPr>
          <w:p w14:paraId="46F962FD">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类别</w:t>
            </w:r>
          </w:p>
        </w:tc>
        <w:tc>
          <w:tcPr>
            <w:tcW w:w="906" w:type="pct"/>
            <w:gridSpan w:val="2"/>
            <w:noWrap w:val="0"/>
            <w:vAlign w:val="center"/>
          </w:tcPr>
          <w:p w14:paraId="4CEF2FDF">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治理对象（主要内容）</w:t>
            </w:r>
          </w:p>
        </w:tc>
        <w:tc>
          <w:tcPr>
            <w:tcW w:w="1322" w:type="pct"/>
            <w:noWrap w:val="0"/>
            <w:vAlign w:val="center"/>
          </w:tcPr>
          <w:p w14:paraId="6D2BA583">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环保设施及措施</w:t>
            </w:r>
          </w:p>
        </w:tc>
        <w:tc>
          <w:tcPr>
            <w:tcW w:w="219" w:type="pct"/>
            <w:noWrap w:val="0"/>
            <w:vAlign w:val="center"/>
          </w:tcPr>
          <w:p w14:paraId="679AA694">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数量</w:t>
            </w:r>
          </w:p>
        </w:tc>
        <w:tc>
          <w:tcPr>
            <w:tcW w:w="767" w:type="pct"/>
            <w:noWrap w:val="0"/>
            <w:vAlign w:val="center"/>
          </w:tcPr>
          <w:p w14:paraId="0EB8AB79">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处理效率</w:t>
            </w:r>
          </w:p>
        </w:tc>
        <w:tc>
          <w:tcPr>
            <w:tcW w:w="401" w:type="pct"/>
            <w:noWrap w:val="0"/>
            <w:vAlign w:val="center"/>
          </w:tcPr>
          <w:p w14:paraId="60C8130A">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位置</w:t>
            </w:r>
          </w:p>
        </w:tc>
        <w:tc>
          <w:tcPr>
            <w:tcW w:w="1062" w:type="pct"/>
            <w:noWrap w:val="0"/>
            <w:vAlign w:val="center"/>
          </w:tcPr>
          <w:p w14:paraId="0FB30861">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验收标准</w:t>
            </w:r>
          </w:p>
        </w:tc>
      </w:tr>
      <w:tr w14:paraId="1D4E0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3" w:hRule="atLeast"/>
          <w:jc w:val="center"/>
        </w:trPr>
        <w:tc>
          <w:tcPr>
            <w:tcW w:w="320" w:type="pct"/>
            <w:vMerge w:val="restart"/>
            <w:noWrap w:val="0"/>
            <w:vAlign w:val="center"/>
          </w:tcPr>
          <w:p w14:paraId="43810B59">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废气治理</w:t>
            </w:r>
          </w:p>
          <w:p w14:paraId="56507B9D">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工程</w:t>
            </w:r>
          </w:p>
        </w:tc>
        <w:tc>
          <w:tcPr>
            <w:tcW w:w="906" w:type="pct"/>
            <w:gridSpan w:val="2"/>
            <w:noWrap w:val="0"/>
            <w:vAlign w:val="center"/>
          </w:tcPr>
          <w:p w14:paraId="3EF8DCF4">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转化炉排气筒</w:t>
            </w:r>
          </w:p>
        </w:tc>
        <w:tc>
          <w:tcPr>
            <w:tcW w:w="1322" w:type="pct"/>
            <w:noWrap w:val="0"/>
            <w:vAlign w:val="center"/>
          </w:tcPr>
          <w:p w14:paraId="16479ED4">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密闭管道收集</w:t>
            </w:r>
            <w:r>
              <w:rPr>
                <w:rFonts w:hint="default" w:ascii="Times New Roman" w:hAnsi="Times New Roman" w:eastAsia="宋体" w:cs="Times New Roman"/>
                <w:color w:val="auto"/>
                <w:kern w:val="2"/>
                <w:sz w:val="21"/>
                <w:szCs w:val="36"/>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低氮燃烧器</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15</w:t>
            </w:r>
            <w:r>
              <w:rPr>
                <w:rFonts w:hint="default" w:ascii="Times New Roman" w:hAnsi="Times New Roman" w:eastAsia="宋体" w:cs="Times New Roman"/>
                <w:color w:val="auto"/>
                <w:kern w:val="2"/>
                <w:sz w:val="21"/>
                <w:szCs w:val="21"/>
                <w:highlight w:val="none"/>
                <w:lang w:val="en-US" w:eastAsia="zh-CN" w:bidi="ar-SA"/>
              </w:rPr>
              <w:t>m排气筒</w:t>
            </w:r>
            <w:r>
              <w:rPr>
                <w:rFonts w:hint="eastAsia" w:ascii="Times New Roman" w:hAnsi="Times New Roman" w:eastAsia="宋体" w:cs="Times New Roman"/>
                <w:color w:val="auto"/>
                <w:kern w:val="2"/>
                <w:sz w:val="21"/>
                <w:szCs w:val="21"/>
                <w:highlight w:val="none"/>
                <w:lang w:val="en-US" w:eastAsia="zh-CN" w:bidi="ar-SA"/>
              </w:rPr>
              <w:t>DA001、DA002、DA003</w:t>
            </w:r>
          </w:p>
        </w:tc>
        <w:tc>
          <w:tcPr>
            <w:tcW w:w="219" w:type="pct"/>
            <w:noWrap w:val="0"/>
            <w:vAlign w:val="center"/>
          </w:tcPr>
          <w:p w14:paraId="63508318">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套</w:t>
            </w:r>
          </w:p>
        </w:tc>
        <w:tc>
          <w:tcPr>
            <w:tcW w:w="767" w:type="pct"/>
            <w:noWrap w:val="0"/>
            <w:vAlign w:val="center"/>
          </w:tcPr>
          <w:p w14:paraId="6931E8CE">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36"/>
                <w:highlight w:val="none"/>
                <w:lang w:val="en-US" w:eastAsia="zh-CN" w:bidi="ar-SA"/>
              </w:rPr>
              <w:t>处理率为</w:t>
            </w:r>
            <w:r>
              <w:rPr>
                <w:rFonts w:hint="eastAsia" w:ascii="Times New Roman" w:hAnsi="Times New Roman" w:eastAsia="宋体" w:cs="Times New Roman"/>
                <w:color w:val="auto"/>
                <w:kern w:val="2"/>
                <w:sz w:val="21"/>
                <w:szCs w:val="36"/>
                <w:highlight w:val="none"/>
                <w:lang w:val="en-US" w:eastAsia="zh-CN" w:bidi="ar-SA"/>
              </w:rPr>
              <w:t>50</w:t>
            </w:r>
            <w:r>
              <w:rPr>
                <w:rFonts w:hint="default" w:ascii="Times New Roman" w:hAnsi="Times New Roman" w:eastAsia="宋体" w:cs="Times New Roman"/>
                <w:color w:val="auto"/>
                <w:kern w:val="2"/>
                <w:sz w:val="21"/>
                <w:szCs w:val="36"/>
                <w:highlight w:val="none"/>
                <w:lang w:val="en-US" w:eastAsia="zh-CN" w:bidi="ar-SA"/>
              </w:rPr>
              <w:t>%</w:t>
            </w:r>
          </w:p>
        </w:tc>
        <w:tc>
          <w:tcPr>
            <w:tcW w:w="401" w:type="pct"/>
            <w:noWrap w:val="0"/>
            <w:vAlign w:val="center"/>
          </w:tcPr>
          <w:p w14:paraId="52EE6BE2">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燃烧嘴</w:t>
            </w:r>
          </w:p>
        </w:tc>
        <w:tc>
          <w:tcPr>
            <w:tcW w:w="1062" w:type="pct"/>
            <w:noWrap w:val="0"/>
            <w:vAlign w:val="center"/>
          </w:tcPr>
          <w:p w14:paraId="710625A2">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有机废气执行</w:t>
            </w:r>
            <w:r>
              <w:rPr>
                <w:rFonts w:hint="default" w:ascii="Times New Roman" w:hAnsi="Times New Roman" w:eastAsia="宋体" w:cs="Times New Roman"/>
                <w:color w:val="auto"/>
                <w:kern w:val="2"/>
                <w:sz w:val="21"/>
                <w:szCs w:val="36"/>
                <w:highlight w:val="none"/>
                <w:lang w:val="en-US" w:eastAsia="zh-CN" w:bidi="ar-SA"/>
              </w:rPr>
              <w:t>《大气污染物综合排放标准》（GB16297-1996）表2污染物排放限值</w:t>
            </w:r>
            <w:r>
              <w:rPr>
                <w:rFonts w:hint="eastAsia" w:ascii="Times New Roman" w:hAnsi="Times New Roman" w:eastAsia="宋体" w:cs="Times New Roman"/>
                <w:color w:val="auto"/>
                <w:kern w:val="2"/>
                <w:sz w:val="21"/>
                <w:szCs w:val="36"/>
                <w:highlight w:val="none"/>
                <w:lang w:val="en-US" w:eastAsia="zh-CN" w:bidi="ar-SA"/>
              </w:rPr>
              <w:t>；颗粒物、SO</w:t>
            </w:r>
            <w:r>
              <w:rPr>
                <w:rFonts w:hint="eastAsia" w:ascii="Times New Roman" w:hAnsi="Times New Roman" w:eastAsia="宋体" w:cs="Times New Roman"/>
                <w:color w:val="auto"/>
                <w:kern w:val="2"/>
                <w:sz w:val="21"/>
                <w:szCs w:val="36"/>
                <w:highlight w:val="none"/>
                <w:vertAlign w:val="subscript"/>
                <w:lang w:val="en-US" w:eastAsia="zh-CN" w:bidi="ar-SA"/>
              </w:rPr>
              <w:t>2</w:t>
            </w:r>
            <w:r>
              <w:rPr>
                <w:rFonts w:hint="eastAsia" w:ascii="Times New Roman" w:hAnsi="Times New Roman" w:eastAsia="宋体" w:cs="Times New Roman"/>
                <w:color w:val="auto"/>
                <w:kern w:val="2"/>
                <w:sz w:val="21"/>
                <w:szCs w:val="36"/>
                <w:highlight w:val="none"/>
                <w:lang w:val="en-US" w:eastAsia="zh-CN" w:bidi="ar-SA"/>
              </w:rPr>
              <w:t>、NOx执行</w:t>
            </w:r>
            <w:r>
              <w:rPr>
                <w:rFonts w:hint="eastAsia" w:ascii="Times New Roman" w:hAnsi="Times New Roman" w:eastAsia="宋体" w:cs="Times New Roman"/>
                <w:color w:val="auto"/>
                <w:kern w:val="0"/>
                <w:sz w:val="21"/>
                <w:szCs w:val="20"/>
                <w:highlight w:val="none"/>
                <w:lang w:val="en-US" w:eastAsia="zh-CN"/>
              </w:rPr>
              <w:t>（GB31571-2015）表5排放标准限值</w:t>
            </w:r>
          </w:p>
        </w:tc>
      </w:tr>
      <w:tr w14:paraId="2C8D7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3" w:hRule="atLeast"/>
          <w:jc w:val="center"/>
        </w:trPr>
        <w:tc>
          <w:tcPr>
            <w:tcW w:w="320" w:type="pct"/>
            <w:vMerge w:val="continue"/>
            <w:noWrap w:val="0"/>
            <w:vAlign w:val="center"/>
          </w:tcPr>
          <w:p w14:paraId="6B157C87">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906" w:type="pct"/>
            <w:gridSpan w:val="2"/>
            <w:noWrap w:val="0"/>
            <w:vAlign w:val="center"/>
          </w:tcPr>
          <w:p w14:paraId="6CF1ADA1">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装卸油品</w:t>
            </w:r>
          </w:p>
        </w:tc>
        <w:tc>
          <w:tcPr>
            <w:tcW w:w="1322" w:type="pct"/>
            <w:noWrap w:val="0"/>
            <w:vAlign w:val="center"/>
          </w:tcPr>
          <w:p w14:paraId="08D6DF4E">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油气回收系统</w:t>
            </w:r>
          </w:p>
        </w:tc>
        <w:tc>
          <w:tcPr>
            <w:tcW w:w="219" w:type="pct"/>
            <w:noWrap w:val="0"/>
            <w:vAlign w:val="center"/>
          </w:tcPr>
          <w:p w14:paraId="5829EC70">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p>
        </w:tc>
        <w:tc>
          <w:tcPr>
            <w:tcW w:w="767" w:type="pct"/>
            <w:noWrap w:val="0"/>
            <w:vAlign w:val="center"/>
          </w:tcPr>
          <w:p w14:paraId="75DEC952">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95%</w:t>
            </w:r>
          </w:p>
        </w:tc>
        <w:tc>
          <w:tcPr>
            <w:tcW w:w="401" w:type="pct"/>
            <w:noWrap w:val="0"/>
            <w:vAlign w:val="center"/>
          </w:tcPr>
          <w:p w14:paraId="37A2F2D8">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油罐</w:t>
            </w:r>
          </w:p>
        </w:tc>
        <w:tc>
          <w:tcPr>
            <w:tcW w:w="1062" w:type="pct"/>
            <w:vMerge w:val="restart"/>
            <w:noWrap w:val="0"/>
            <w:vAlign w:val="center"/>
          </w:tcPr>
          <w:p w14:paraId="008A0844">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《加油站大气污染物排放标准》</w:t>
            </w:r>
            <w:r>
              <w:rPr>
                <w:rFonts w:hint="eastAsia" w:cs="Times New Roman"/>
                <w:color w:val="auto"/>
                <w:kern w:val="2"/>
                <w:sz w:val="21"/>
                <w:szCs w:val="36"/>
                <w:highlight w:val="none"/>
                <w:lang w:val="en-US" w:eastAsia="zh-CN" w:bidi="ar-SA"/>
              </w:rPr>
              <w:t>（</w:t>
            </w:r>
            <w:r>
              <w:rPr>
                <w:rFonts w:hint="eastAsia" w:ascii="Times New Roman" w:hAnsi="Times New Roman" w:eastAsia="宋体" w:cs="Times New Roman"/>
                <w:color w:val="auto"/>
                <w:sz w:val="24"/>
                <w:szCs w:val="24"/>
                <w:highlight w:val="none"/>
              </w:rPr>
              <w:t>GB20952-2020</w:t>
            </w:r>
            <w:r>
              <w:rPr>
                <w:rFonts w:hint="eastAsia" w:cs="Times New Roman"/>
                <w:color w:val="auto"/>
                <w:sz w:val="24"/>
                <w:szCs w:val="24"/>
                <w:highlight w:val="none"/>
                <w:lang w:eastAsia="zh-CN"/>
              </w:rPr>
              <w:t>）</w:t>
            </w:r>
            <w:r>
              <w:rPr>
                <w:rFonts w:ascii="Times New Roman" w:hAnsi="Times New Roman" w:eastAsia="宋体" w:cs="Times New Roman"/>
                <w:color w:val="auto"/>
                <w:sz w:val="24"/>
                <w:szCs w:val="24"/>
                <w:highlight w:val="none"/>
              </w:rPr>
              <w:t>。</w:t>
            </w:r>
          </w:p>
        </w:tc>
      </w:tr>
      <w:tr w14:paraId="56772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3" w:hRule="atLeast"/>
          <w:jc w:val="center"/>
        </w:trPr>
        <w:tc>
          <w:tcPr>
            <w:tcW w:w="320" w:type="pct"/>
            <w:vMerge w:val="continue"/>
            <w:noWrap w:val="0"/>
            <w:vAlign w:val="center"/>
          </w:tcPr>
          <w:p w14:paraId="1CB71ECB">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p>
        </w:tc>
        <w:tc>
          <w:tcPr>
            <w:tcW w:w="906" w:type="pct"/>
            <w:gridSpan w:val="2"/>
            <w:noWrap w:val="0"/>
            <w:vAlign w:val="center"/>
          </w:tcPr>
          <w:p w14:paraId="52FFAF6F">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加油废气</w:t>
            </w:r>
          </w:p>
        </w:tc>
        <w:tc>
          <w:tcPr>
            <w:tcW w:w="1322" w:type="pct"/>
            <w:noWrap w:val="0"/>
            <w:vAlign w:val="center"/>
          </w:tcPr>
          <w:p w14:paraId="6315C97A">
            <w:pPr>
              <w:keepNext w:val="0"/>
              <w:keepLines w:val="0"/>
              <w:pageBreakBefore w:val="0"/>
              <w:widowControl w:val="0"/>
              <w:kinsoku/>
              <w:wordWrap/>
              <w:overflowPunct/>
              <w:topLinePunct w:val="0"/>
              <w:autoSpaceDE/>
              <w:autoSpaceDN/>
              <w:bidi w:val="0"/>
              <w:adjustRightInd/>
              <w:snapToGrid/>
              <w:spacing w:before="0" w:beforeLines="0" w:after="0" w:afterLines="0" w:line="26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加油油气回收装置</w:t>
            </w:r>
          </w:p>
        </w:tc>
        <w:tc>
          <w:tcPr>
            <w:tcW w:w="219" w:type="pct"/>
            <w:noWrap w:val="0"/>
            <w:vAlign w:val="center"/>
          </w:tcPr>
          <w:p w14:paraId="20E2DBBA">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p>
        </w:tc>
        <w:tc>
          <w:tcPr>
            <w:tcW w:w="767" w:type="pct"/>
            <w:noWrap w:val="0"/>
            <w:vAlign w:val="center"/>
          </w:tcPr>
          <w:p w14:paraId="61E73B90">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36"/>
                <w:highlight w:val="none"/>
                <w:lang w:val="en-US" w:eastAsia="zh-CN" w:bidi="ar-SA"/>
              </w:rPr>
            </w:pPr>
            <w:r>
              <w:rPr>
                <w:rFonts w:hint="eastAsia" w:ascii="Times New Roman" w:hAnsi="Times New Roman" w:eastAsia="宋体" w:cs="Times New Roman"/>
                <w:color w:val="auto"/>
                <w:kern w:val="2"/>
                <w:sz w:val="21"/>
                <w:szCs w:val="36"/>
                <w:highlight w:val="none"/>
                <w:lang w:val="en-US" w:eastAsia="zh-CN" w:bidi="ar-SA"/>
              </w:rPr>
              <w:t>90%</w:t>
            </w:r>
          </w:p>
        </w:tc>
        <w:tc>
          <w:tcPr>
            <w:tcW w:w="401" w:type="pct"/>
            <w:noWrap w:val="0"/>
            <w:vAlign w:val="center"/>
          </w:tcPr>
          <w:p w14:paraId="091DB67B">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加油枪</w:t>
            </w:r>
          </w:p>
        </w:tc>
        <w:tc>
          <w:tcPr>
            <w:tcW w:w="1062" w:type="pct"/>
            <w:vMerge w:val="continue"/>
            <w:noWrap w:val="0"/>
            <w:vAlign w:val="center"/>
          </w:tcPr>
          <w:p w14:paraId="451BE92D">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eastAsia" w:ascii="Times New Roman" w:hAnsi="Times New Roman" w:eastAsia="宋体" w:cs="Times New Roman"/>
                <w:color w:val="auto"/>
                <w:kern w:val="2"/>
                <w:sz w:val="21"/>
                <w:szCs w:val="36"/>
                <w:highlight w:val="none"/>
                <w:lang w:val="en-US" w:eastAsia="zh-CN" w:bidi="ar-SA"/>
              </w:rPr>
            </w:pPr>
          </w:p>
        </w:tc>
      </w:tr>
      <w:tr w14:paraId="276C5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320" w:type="pct"/>
            <w:noWrap w:val="0"/>
            <w:vAlign w:val="center"/>
          </w:tcPr>
          <w:p w14:paraId="4F72581E">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废水治理工程</w:t>
            </w:r>
          </w:p>
        </w:tc>
        <w:tc>
          <w:tcPr>
            <w:tcW w:w="906" w:type="pct"/>
            <w:gridSpan w:val="2"/>
            <w:noWrap w:val="0"/>
            <w:vAlign w:val="center"/>
          </w:tcPr>
          <w:p w14:paraId="5BCBA588">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综合污水</w:t>
            </w:r>
          </w:p>
        </w:tc>
        <w:tc>
          <w:tcPr>
            <w:tcW w:w="1322" w:type="pct"/>
            <w:noWrap w:val="0"/>
            <w:vAlign w:val="center"/>
          </w:tcPr>
          <w:p w14:paraId="29586D2B">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厂区化粪池和</w:t>
            </w:r>
            <w:r>
              <w:rPr>
                <w:rFonts w:hint="eastAsia" w:cs="Times New Roman"/>
                <w:color w:val="auto"/>
                <w:kern w:val="2"/>
                <w:sz w:val="21"/>
                <w:szCs w:val="21"/>
                <w:highlight w:val="none"/>
                <w:lang w:val="en-US" w:eastAsia="zh-CN" w:bidi="ar-SA"/>
              </w:rPr>
              <w:t>污水管网</w:t>
            </w:r>
            <w:r>
              <w:rPr>
                <w:rFonts w:hint="eastAsia" w:ascii="Times New Roman" w:hAnsi="Times New Roman" w:eastAsia="宋体" w:cs="Times New Roman"/>
                <w:color w:val="auto"/>
                <w:kern w:val="2"/>
                <w:sz w:val="21"/>
                <w:szCs w:val="21"/>
                <w:highlight w:val="none"/>
                <w:lang w:val="en-US" w:eastAsia="zh-CN" w:bidi="ar-SA"/>
              </w:rPr>
              <w:t>、隔油沉淀池</w:t>
            </w:r>
          </w:p>
        </w:tc>
        <w:tc>
          <w:tcPr>
            <w:tcW w:w="219" w:type="pct"/>
            <w:noWrap w:val="0"/>
            <w:vAlign w:val="center"/>
          </w:tcPr>
          <w:p w14:paraId="5AF51AA7">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c>
          <w:tcPr>
            <w:tcW w:w="767" w:type="pct"/>
            <w:noWrap w:val="0"/>
            <w:vAlign w:val="center"/>
          </w:tcPr>
          <w:p w14:paraId="0205F4B8">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401" w:type="pct"/>
            <w:noWrap w:val="0"/>
            <w:vAlign w:val="center"/>
          </w:tcPr>
          <w:p w14:paraId="1DD408A8">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062" w:type="pct"/>
            <w:noWrap w:val="0"/>
            <w:vAlign w:val="center"/>
          </w:tcPr>
          <w:p w14:paraId="427C9013">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《石油化学工业污染物排放标准》（GB31571-2015）和田家庵经济开发区污水处理站接管标准</w:t>
            </w:r>
          </w:p>
        </w:tc>
      </w:tr>
      <w:tr w14:paraId="011AB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pct"/>
            <w:vMerge w:val="restart"/>
            <w:noWrap w:val="0"/>
            <w:vAlign w:val="center"/>
          </w:tcPr>
          <w:p w14:paraId="4C1FC1AD">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固体废物治理工程</w:t>
            </w:r>
          </w:p>
        </w:tc>
        <w:tc>
          <w:tcPr>
            <w:tcW w:w="906" w:type="pct"/>
            <w:gridSpan w:val="2"/>
            <w:noWrap w:val="0"/>
            <w:vAlign w:val="center"/>
          </w:tcPr>
          <w:p w14:paraId="1C1C3F6D">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生活垃圾</w:t>
            </w:r>
          </w:p>
        </w:tc>
        <w:tc>
          <w:tcPr>
            <w:tcW w:w="1322" w:type="pct"/>
            <w:tcBorders>
              <w:top w:val="single" w:color="auto" w:sz="4" w:space="0"/>
              <w:bottom w:val="single" w:color="auto" w:sz="4" w:space="0"/>
            </w:tcBorders>
            <w:noWrap w:val="0"/>
            <w:vAlign w:val="center"/>
          </w:tcPr>
          <w:p w14:paraId="566A1F5E">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垃圾桶收集后，委托环卫部门处理</w:t>
            </w:r>
          </w:p>
        </w:tc>
        <w:tc>
          <w:tcPr>
            <w:tcW w:w="219" w:type="pct"/>
            <w:noWrap w:val="0"/>
            <w:vAlign w:val="center"/>
          </w:tcPr>
          <w:p w14:paraId="34B6D9D5">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若干</w:t>
            </w:r>
          </w:p>
        </w:tc>
        <w:tc>
          <w:tcPr>
            <w:tcW w:w="767" w:type="pct"/>
            <w:noWrap w:val="0"/>
            <w:vAlign w:val="center"/>
          </w:tcPr>
          <w:p w14:paraId="3CF4FB0A">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100%处置</w:t>
            </w:r>
          </w:p>
        </w:tc>
        <w:tc>
          <w:tcPr>
            <w:tcW w:w="401" w:type="pct"/>
            <w:noWrap w:val="0"/>
            <w:vAlign w:val="center"/>
          </w:tcPr>
          <w:p w14:paraId="0A3F9FE7">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厂区内</w:t>
            </w:r>
          </w:p>
        </w:tc>
        <w:tc>
          <w:tcPr>
            <w:tcW w:w="1062" w:type="pct"/>
            <w:noWrap w:val="0"/>
            <w:vAlign w:val="center"/>
          </w:tcPr>
          <w:p w14:paraId="2C304827">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定期委托环卫部门处理</w:t>
            </w:r>
          </w:p>
        </w:tc>
      </w:tr>
      <w:tr w14:paraId="06CE8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pct"/>
            <w:vMerge w:val="continue"/>
            <w:noWrap w:val="0"/>
            <w:vAlign w:val="center"/>
          </w:tcPr>
          <w:p w14:paraId="5053477F">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30" w:type="pct"/>
            <w:noWrap w:val="0"/>
            <w:vAlign w:val="center"/>
          </w:tcPr>
          <w:p w14:paraId="0BDF652E">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危险</w:t>
            </w:r>
          </w:p>
          <w:p w14:paraId="3EF6D04B">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废物</w:t>
            </w:r>
          </w:p>
        </w:tc>
        <w:tc>
          <w:tcPr>
            <w:tcW w:w="675" w:type="pct"/>
            <w:noWrap w:val="0"/>
            <w:vAlign w:val="center"/>
          </w:tcPr>
          <w:p w14:paraId="4E24237E">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废吸附剂、废脱硫剂、废催化剂、隔油沉淀产生废污泥、清罐废油泥（含废清理液）</w:t>
            </w:r>
          </w:p>
        </w:tc>
        <w:tc>
          <w:tcPr>
            <w:tcW w:w="1322" w:type="pct"/>
            <w:noWrap w:val="0"/>
            <w:vAlign w:val="center"/>
          </w:tcPr>
          <w:p w14:paraId="31AD0F8A">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废吸附剂、废脱硫剂、废催化剂</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清罐废油泥（含废清理液）</w:t>
            </w:r>
            <w:r>
              <w:rPr>
                <w:rFonts w:hint="eastAsia" w:ascii="Times New Roman" w:hAnsi="Times New Roman" w:eastAsia="宋体" w:cs="Times New Roman"/>
                <w:color w:val="auto"/>
                <w:kern w:val="2"/>
                <w:sz w:val="21"/>
                <w:szCs w:val="21"/>
                <w:highlight w:val="none"/>
                <w:lang w:val="en-US" w:eastAsia="zh-CN" w:bidi="ar-SA"/>
              </w:rPr>
              <w:t>由资质单位进行处置，</w:t>
            </w:r>
            <w:r>
              <w:rPr>
                <w:rFonts w:hint="default" w:ascii="Times New Roman" w:hAnsi="Times New Roman" w:eastAsia="宋体" w:cs="Times New Roman"/>
                <w:color w:val="auto"/>
                <w:kern w:val="2"/>
                <w:sz w:val="21"/>
                <w:szCs w:val="21"/>
                <w:highlight w:val="none"/>
                <w:lang w:val="en-US" w:eastAsia="zh-CN" w:bidi="ar-SA"/>
              </w:rPr>
              <w:t>油沉淀产生废污泥、在危险废物暂存间分类暂存后，定期交有资质单位处置</w:t>
            </w:r>
          </w:p>
        </w:tc>
        <w:tc>
          <w:tcPr>
            <w:tcW w:w="219" w:type="pct"/>
            <w:noWrap w:val="0"/>
            <w:vAlign w:val="center"/>
          </w:tcPr>
          <w:p w14:paraId="2C6B462B">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1处</w:t>
            </w:r>
          </w:p>
        </w:tc>
        <w:tc>
          <w:tcPr>
            <w:tcW w:w="767" w:type="pct"/>
            <w:noWrap w:val="0"/>
            <w:vAlign w:val="center"/>
          </w:tcPr>
          <w:p w14:paraId="1CB7DCA4">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100%处置</w:t>
            </w:r>
          </w:p>
        </w:tc>
        <w:tc>
          <w:tcPr>
            <w:tcW w:w="401" w:type="pct"/>
            <w:noWrap w:val="0"/>
            <w:vAlign w:val="center"/>
          </w:tcPr>
          <w:p w14:paraId="1C3FA1B6">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站房西侧</w:t>
            </w:r>
            <w:r>
              <w:rPr>
                <w:rFonts w:hint="default" w:ascii="Times New Roman" w:hAnsi="Times New Roman" w:eastAsia="宋体" w:cs="Times New Roman"/>
                <w:color w:val="auto"/>
                <w:kern w:val="2"/>
                <w:sz w:val="21"/>
                <w:szCs w:val="21"/>
                <w:highlight w:val="none"/>
                <w:lang w:val="en-US" w:eastAsia="zh-CN" w:bidi="ar-SA"/>
              </w:rPr>
              <w:t>危险废物间</w:t>
            </w:r>
          </w:p>
        </w:tc>
        <w:tc>
          <w:tcPr>
            <w:tcW w:w="1062" w:type="pct"/>
            <w:noWrap w:val="0"/>
            <w:vAlign w:val="center"/>
          </w:tcPr>
          <w:p w14:paraId="76FE5882">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安全处置</w:t>
            </w:r>
          </w:p>
        </w:tc>
      </w:tr>
      <w:tr w14:paraId="2B6FE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11" w:hRule="atLeast"/>
          <w:jc w:val="center"/>
        </w:trPr>
        <w:tc>
          <w:tcPr>
            <w:tcW w:w="320" w:type="pct"/>
            <w:vMerge w:val="continue"/>
            <w:noWrap w:val="0"/>
            <w:vAlign w:val="center"/>
          </w:tcPr>
          <w:p w14:paraId="61EE5BC3">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30" w:type="pct"/>
            <w:noWrap w:val="0"/>
            <w:vAlign w:val="center"/>
          </w:tcPr>
          <w:p w14:paraId="451C0ABC">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一般工业固体废物</w:t>
            </w:r>
          </w:p>
        </w:tc>
        <w:tc>
          <w:tcPr>
            <w:tcW w:w="675" w:type="pct"/>
            <w:noWrap w:val="0"/>
            <w:vAlign w:val="center"/>
          </w:tcPr>
          <w:p w14:paraId="1DF43F9C">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沼气除杂产生废过滤膜、制氮机废过滤膜、脱盐水产生的废滤芯、废滤膜</w:t>
            </w:r>
          </w:p>
        </w:tc>
        <w:tc>
          <w:tcPr>
            <w:tcW w:w="1322" w:type="pct"/>
            <w:noWrap w:val="0"/>
            <w:vAlign w:val="center"/>
          </w:tcPr>
          <w:p w14:paraId="186273DB">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集中收集，外售综合利用</w:t>
            </w:r>
          </w:p>
        </w:tc>
        <w:tc>
          <w:tcPr>
            <w:tcW w:w="219" w:type="pct"/>
            <w:noWrap w:val="0"/>
            <w:vAlign w:val="center"/>
          </w:tcPr>
          <w:p w14:paraId="4B25C249">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1处</w:t>
            </w:r>
          </w:p>
        </w:tc>
        <w:tc>
          <w:tcPr>
            <w:tcW w:w="767" w:type="pct"/>
            <w:noWrap w:val="0"/>
            <w:vAlign w:val="center"/>
          </w:tcPr>
          <w:p w14:paraId="5B932104">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100%处置</w:t>
            </w:r>
          </w:p>
        </w:tc>
        <w:tc>
          <w:tcPr>
            <w:tcW w:w="401" w:type="pct"/>
            <w:noWrap w:val="0"/>
            <w:vAlign w:val="center"/>
          </w:tcPr>
          <w:p w14:paraId="6610D1D1">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一般工业固体废物暂存间</w:t>
            </w:r>
          </w:p>
        </w:tc>
        <w:tc>
          <w:tcPr>
            <w:tcW w:w="1062" w:type="pct"/>
            <w:noWrap w:val="0"/>
            <w:vAlign w:val="center"/>
          </w:tcPr>
          <w:p w14:paraId="32AABEAF">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综合利用</w:t>
            </w:r>
          </w:p>
        </w:tc>
      </w:tr>
      <w:tr w14:paraId="6ADB2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pct"/>
            <w:noWrap w:val="0"/>
            <w:vAlign w:val="center"/>
          </w:tcPr>
          <w:p w14:paraId="5BFA160D">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噪声治理</w:t>
            </w:r>
          </w:p>
          <w:p w14:paraId="5170B93A">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工程</w:t>
            </w:r>
          </w:p>
        </w:tc>
        <w:tc>
          <w:tcPr>
            <w:tcW w:w="906" w:type="pct"/>
            <w:gridSpan w:val="2"/>
            <w:noWrap w:val="0"/>
            <w:vAlign w:val="center"/>
          </w:tcPr>
          <w:p w14:paraId="3B533E8D">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设备噪声</w:t>
            </w:r>
          </w:p>
        </w:tc>
        <w:tc>
          <w:tcPr>
            <w:tcW w:w="1322" w:type="pct"/>
            <w:noWrap w:val="0"/>
            <w:vAlign w:val="center"/>
          </w:tcPr>
          <w:p w14:paraId="0F7FF225">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利用厂房隔声、距离衰减</w:t>
            </w:r>
          </w:p>
        </w:tc>
        <w:tc>
          <w:tcPr>
            <w:tcW w:w="219" w:type="pct"/>
            <w:noWrap w:val="0"/>
            <w:vAlign w:val="center"/>
          </w:tcPr>
          <w:p w14:paraId="4B7E2574">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767" w:type="pct"/>
            <w:noWrap w:val="0"/>
            <w:vAlign w:val="center"/>
          </w:tcPr>
          <w:p w14:paraId="70BEC50D">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401" w:type="pct"/>
            <w:noWrap w:val="0"/>
            <w:vAlign w:val="center"/>
          </w:tcPr>
          <w:p w14:paraId="2E7067FC">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生产车</w:t>
            </w:r>
          </w:p>
          <w:p w14:paraId="33791DFC">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间内</w:t>
            </w:r>
          </w:p>
        </w:tc>
        <w:tc>
          <w:tcPr>
            <w:tcW w:w="1062" w:type="pct"/>
            <w:noWrap w:val="0"/>
            <w:vAlign w:val="center"/>
          </w:tcPr>
          <w:p w14:paraId="781AE724">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《工业企业厂界环境噪声排放标准》（GB12348-2008）3类</w:t>
            </w:r>
            <w:r>
              <w:rPr>
                <w:rFonts w:hint="eastAsia" w:ascii="Times New Roman" w:hAnsi="Times New Roman" w:eastAsia="宋体" w:cs="Times New Roman"/>
                <w:color w:val="auto"/>
                <w:kern w:val="2"/>
                <w:sz w:val="21"/>
                <w:szCs w:val="21"/>
                <w:highlight w:val="none"/>
                <w:lang w:val="en-US" w:eastAsia="zh-CN" w:bidi="ar-SA"/>
              </w:rPr>
              <w:t>、4a</w:t>
            </w:r>
            <w:r>
              <w:rPr>
                <w:rFonts w:hint="default" w:ascii="Times New Roman" w:hAnsi="Times New Roman" w:eastAsia="宋体" w:cs="Times New Roman"/>
                <w:color w:val="auto"/>
                <w:kern w:val="2"/>
                <w:sz w:val="21"/>
                <w:szCs w:val="21"/>
                <w:highlight w:val="none"/>
                <w:lang w:val="en-US" w:eastAsia="zh-CN" w:bidi="ar-SA"/>
              </w:rPr>
              <w:t>标准</w:t>
            </w:r>
          </w:p>
        </w:tc>
      </w:tr>
      <w:tr w14:paraId="3FB40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0" w:type="pct"/>
            <w:noWrap w:val="0"/>
            <w:vAlign w:val="center"/>
          </w:tcPr>
          <w:p w14:paraId="5B43FCA9">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地下水及土壤</w:t>
            </w:r>
          </w:p>
        </w:tc>
        <w:tc>
          <w:tcPr>
            <w:tcW w:w="4679" w:type="pct"/>
            <w:gridSpan w:val="7"/>
            <w:noWrap w:val="0"/>
            <w:vAlign w:val="center"/>
          </w:tcPr>
          <w:p w14:paraId="0783B1A0">
            <w:pPr>
              <w:widowControl w:val="0"/>
              <w:bidi w:val="0"/>
              <w:spacing w:before="15" w:beforeLines="15" w:after="15" w:afterLines="15" w:line="240" w:lineRule="auto"/>
              <w:ind w:firstLine="0" w:firstLineChars="0"/>
              <w:jc w:val="left"/>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重点防渗区：危废暂存库、罐区、隔油沉淀池等区域重点防渗，采用高密度聚乙烯材料或其他人工防渗材料防渗，防渗系数≤1.0×10</w:t>
            </w:r>
            <w:r>
              <w:rPr>
                <w:rFonts w:hint="default" w:ascii="Times New Roman" w:hAnsi="Times New Roman" w:eastAsia="宋体" w:cs="Times New Roman"/>
                <w:color w:val="auto"/>
                <w:kern w:val="0"/>
                <w:sz w:val="21"/>
                <w:szCs w:val="21"/>
                <w:highlight w:val="none"/>
                <w:vertAlign w:val="superscript"/>
                <w:lang w:val="en-US" w:eastAsia="zh-CN" w:bidi="ar-SA"/>
              </w:rPr>
              <w:t>-10</w:t>
            </w:r>
            <w:r>
              <w:rPr>
                <w:rFonts w:hint="default" w:ascii="Times New Roman" w:hAnsi="Times New Roman" w:eastAsia="宋体" w:cs="Times New Roman"/>
                <w:color w:val="auto"/>
                <w:kern w:val="0"/>
                <w:sz w:val="21"/>
                <w:szCs w:val="21"/>
                <w:highlight w:val="none"/>
                <w:lang w:val="en-US" w:eastAsia="zh-CN" w:bidi="ar-SA"/>
              </w:rPr>
              <w:t>cm/s。</w:t>
            </w:r>
          </w:p>
          <w:p w14:paraId="48CF29B4">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一般防渗区：</w:t>
            </w:r>
            <w:r>
              <w:rPr>
                <w:rFonts w:hint="eastAsia" w:ascii="Times New Roman" w:hAnsi="Times New Roman" w:eastAsia="宋体" w:cs="Times New Roman"/>
                <w:color w:val="auto"/>
                <w:kern w:val="2"/>
                <w:sz w:val="21"/>
                <w:szCs w:val="36"/>
                <w:highlight w:val="none"/>
                <w:lang w:val="en-US" w:eastAsia="zh-CN" w:bidi="ar-SA"/>
              </w:rPr>
              <w:t>制氢</w:t>
            </w:r>
            <w:r>
              <w:rPr>
                <w:rFonts w:hint="default" w:ascii="Times New Roman" w:hAnsi="Times New Roman" w:eastAsia="宋体" w:cs="Times New Roman"/>
                <w:color w:val="auto"/>
                <w:kern w:val="2"/>
                <w:sz w:val="21"/>
                <w:szCs w:val="36"/>
                <w:highlight w:val="none"/>
                <w:lang w:val="en-US" w:eastAsia="zh-CN" w:bidi="ar-SA"/>
              </w:rPr>
              <w:t>工艺区、一般固废间、生活区</w:t>
            </w:r>
            <w:r>
              <w:rPr>
                <w:rFonts w:hint="default" w:ascii="Times New Roman" w:hAnsi="Times New Roman" w:eastAsia="宋体" w:cs="Times New Roman"/>
                <w:color w:val="auto"/>
                <w:kern w:val="0"/>
                <w:sz w:val="21"/>
                <w:szCs w:val="21"/>
                <w:highlight w:val="none"/>
                <w:lang w:val="en-US" w:eastAsia="zh-CN" w:bidi="ar-SA"/>
              </w:rPr>
              <w:t>，防渗采用硬化防渗水泥地面防渗，防渗系数≤1.0×10</w:t>
            </w:r>
            <w:r>
              <w:rPr>
                <w:rFonts w:hint="default" w:ascii="Times New Roman" w:hAnsi="Times New Roman" w:eastAsia="宋体" w:cs="Times New Roman"/>
                <w:color w:val="auto"/>
                <w:kern w:val="0"/>
                <w:sz w:val="21"/>
                <w:szCs w:val="21"/>
                <w:highlight w:val="none"/>
                <w:vertAlign w:val="superscript"/>
                <w:lang w:val="en-US" w:eastAsia="zh-CN" w:bidi="ar-SA"/>
              </w:rPr>
              <w:t>-7</w:t>
            </w:r>
            <w:r>
              <w:rPr>
                <w:rFonts w:hint="default" w:ascii="Times New Roman" w:hAnsi="Times New Roman" w:eastAsia="宋体" w:cs="Times New Roman"/>
                <w:color w:val="auto"/>
                <w:kern w:val="0"/>
                <w:sz w:val="21"/>
                <w:szCs w:val="21"/>
                <w:highlight w:val="none"/>
                <w:lang w:val="en-US" w:eastAsia="zh-CN" w:bidi="ar-SA"/>
              </w:rPr>
              <w:t>cm/s。</w:t>
            </w:r>
          </w:p>
        </w:tc>
      </w:tr>
      <w:tr w14:paraId="40CF4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20" w:type="pct"/>
            <w:noWrap w:val="0"/>
            <w:vAlign w:val="center"/>
          </w:tcPr>
          <w:p w14:paraId="13E4738B">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环境风险</w:t>
            </w:r>
          </w:p>
        </w:tc>
        <w:tc>
          <w:tcPr>
            <w:tcW w:w="4679" w:type="pct"/>
            <w:gridSpan w:val="7"/>
            <w:noWrap w:val="0"/>
            <w:vAlign w:val="center"/>
          </w:tcPr>
          <w:p w14:paraId="1E13B847">
            <w:pPr>
              <w:keepNext w:val="0"/>
              <w:keepLines w:val="0"/>
              <w:pageBreakBefore w:val="0"/>
              <w:widowControl w:val="0"/>
              <w:kinsoku/>
              <w:wordWrap/>
              <w:overflowPunct/>
              <w:topLinePunct w:val="0"/>
              <w:autoSpaceDE/>
              <w:autoSpaceDN/>
              <w:bidi w:val="0"/>
              <w:adjustRightInd/>
              <w:snapToGrid/>
              <w:spacing w:before="15" w:beforeLines="15" w:after="15" w:afterLines="15" w:line="240" w:lineRule="exact"/>
              <w:ind w:firstLine="0" w:firstLineChars="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szCs w:val="21"/>
                <w:highlight w:val="none"/>
              </w:rPr>
              <w:t>罐区地面做好防腐、防渗处理</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szCs w:val="21"/>
                <w:highlight w:val="none"/>
                <w:lang w:val="en-US" w:eastAsia="zh-CN"/>
              </w:rPr>
              <w:t>采用双层罐，</w:t>
            </w:r>
            <w:r>
              <w:rPr>
                <w:rFonts w:hint="eastAsia" w:ascii="Times New Roman" w:hAnsi="Times New Roman" w:eastAsia="宋体"/>
                <w:color w:val="auto"/>
                <w:szCs w:val="21"/>
                <w:highlight w:val="none"/>
              </w:rPr>
              <w:t>四</w:t>
            </w:r>
            <w:r>
              <w:rPr>
                <w:rFonts w:hint="eastAsia" w:ascii="Times New Roman" w:hAnsi="Times New Roman" w:eastAsia="宋体"/>
                <w:color w:val="auto"/>
                <w:szCs w:val="21"/>
                <w:highlight w:val="none"/>
                <w:lang w:val="en-US" w:eastAsia="zh-CN"/>
              </w:rPr>
              <w:t>周</w:t>
            </w:r>
            <w:r>
              <w:rPr>
                <w:rFonts w:hint="eastAsia" w:ascii="Times New Roman" w:hAnsi="Times New Roman" w:eastAsia="宋体"/>
                <w:color w:val="auto"/>
                <w:szCs w:val="21"/>
                <w:highlight w:val="none"/>
              </w:rPr>
              <w:t>设置截流沟与</w:t>
            </w:r>
            <w:r>
              <w:rPr>
                <w:rFonts w:hint="eastAsia" w:ascii="Times New Roman" w:hAnsi="Times New Roman" w:eastAsia="宋体"/>
                <w:color w:val="auto"/>
                <w:szCs w:val="21"/>
                <w:highlight w:val="none"/>
                <w:lang w:val="en-US" w:eastAsia="zh-CN"/>
              </w:rPr>
              <w:t>水封井</w:t>
            </w:r>
            <w:r>
              <w:rPr>
                <w:rFonts w:hint="eastAsia" w:ascii="Times New Roman" w:hAnsi="Times New Roman" w:eastAsia="宋体"/>
                <w:color w:val="auto"/>
                <w:szCs w:val="21"/>
                <w:highlight w:val="none"/>
              </w:rPr>
              <w:t>相连，四周设置1m高</w:t>
            </w:r>
            <w:r>
              <w:rPr>
                <w:rFonts w:hint="eastAsia" w:ascii="Times New Roman" w:hAnsi="Times New Roman" w:eastAsia="宋体"/>
                <w:color w:val="auto"/>
                <w:szCs w:val="21"/>
                <w:highlight w:val="none"/>
                <w:lang w:val="en-US" w:eastAsia="zh-CN"/>
              </w:rPr>
              <w:t>围堰</w:t>
            </w:r>
            <w:r>
              <w:rPr>
                <w:rFonts w:hint="eastAsia" w:ascii="Times New Roman" w:hAnsi="Times New Roman" w:eastAsia="宋体"/>
                <w:color w:val="auto"/>
                <w:szCs w:val="21"/>
                <w:highlight w:val="none"/>
                <w:lang w:eastAsia="zh-CN"/>
              </w:rPr>
              <w:t>，</w:t>
            </w:r>
            <w:r>
              <w:rPr>
                <w:rFonts w:hint="eastAsia" w:ascii="Times New Roman" w:hAnsi="Times New Roman" w:eastAsia="宋体"/>
                <w:color w:val="auto"/>
                <w:szCs w:val="21"/>
                <w:highlight w:val="none"/>
              </w:rPr>
              <w:t>可燃气体报</w:t>
            </w:r>
            <w:r>
              <w:rPr>
                <w:rFonts w:hint="eastAsia" w:ascii="Times New Roman" w:hAnsi="Times New Roman" w:eastAsia="宋体"/>
                <w:color w:val="auto"/>
                <w:szCs w:val="21"/>
                <w:highlight w:val="none"/>
                <w:lang w:val="en-US" w:eastAsia="zh-CN"/>
              </w:rPr>
              <w:t>警</w:t>
            </w:r>
            <w:r>
              <w:rPr>
                <w:rFonts w:hint="eastAsia" w:ascii="Times New Roman" w:hAnsi="Times New Roman" w:eastAsia="宋体"/>
                <w:color w:val="auto"/>
                <w:szCs w:val="21"/>
                <w:highlight w:val="none"/>
              </w:rPr>
              <w:t>器、火灾报警器、液位检测仪、围油设备、收油设备、防护服、防毒面罩、消防设备及其他应急物资。</w:t>
            </w:r>
          </w:p>
        </w:tc>
      </w:tr>
    </w:tbl>
    <w:p w14:paraId="5A343D25">
      <w:pPr>
        <w:pStyle w:val="100"/>
        <w:rPr>
          <w:rFonts w:hint="default"/>
          <w:color w:val="auto"/>
          <w:highlight w:val="none"/>
          <w:lang w:val="zh-CN" w:eastAsia="zh-CN"/>
        </w:rPr>
      </w:pPr>
    </w:p>
    <w:p w14:paraId="76CCF0F5">
      <w:pPr>
        <w:widowControl/>
        <w:spacing w:line="360" w:lineRule="auto"/>
        <w:jc w:val="center"/>
        <w:rPr>
          <w:rFonts w:ascii="Times New Roman" w:hAnsi="Times New Roman" w:eastAsia="宋体"/>
          <w:bCs/>
          <w:color w:val="auto"/>
          <w:sz w:val="24"/>
          <w:szCs w:val="24"/>
          <w:highlight w:val="none"/>
        </w:rPr>
      </w:pPr>
    </w:p>
    <w:p w14:paraId="1790936D">
      <w:pPr>
        <w:widowControl/>
        <w:adjustRightInd w:val="0"/>
        <w:snapToGrid w:val="0"/>
        <w:spacing w:line="360" w:lineRule="auto"/>
        <w:ind w:firstLine="480" w:firstLineChars="200"/>
        <w:jc w:val="left"/>
        <w:rPr>
          <w:rFonts w:ascii="Times New Roman" w:hAnsi="Times New Roman" w:eastAsia="宋体"/>
          <w:color w:val="auto"/>
          <w:sz w:val="24"/>
          <w:szCs w:val="24"/>
          <w:highlight w:val="none"/>
        </w:rPr>
        <w:sectPr>
          <w:pgSz w:w="15840" w:h="12240" w:orient="landscape"/>
          <w:pgMar w:top="1803" w:right="1440" w:bottom="1803" w:left="1440" w:header="720" w:footer="720" w:gutter="0"/>
          <w:pgBorders>
            <w:top w:val="none" w:sz="0" w:space="0"/>
            <w:left w:val="none" w:sz="0" w:space="0"/>
            <w:bottom w:val="none" w:sz="0" w:space="0"/>
            <w:right w:val="none" w:sz="0" w:space="0"/>
          </w:pgBorders>
          <w:cols w:space="720" w:num="1"/>
          <w:rtlGutter w:val="0"/>
          <w:docGrid w:type="lines" w:linePitch="319" w:charSpace="0"/>
        </w:sectPr>
      </w:pPr>
    </w:p>
    <w:p w14:paraId="25858498">
      <w:pPr>
        <w:pStyle w:val="2"/>
        <w:bidi w:val="0"/>
        <w:jc w:val="center"/>
        <w:rPr>
          <w:color w:val="auto"/>
          <w:highlight w:val="none"/>
        </w:rPr>
      </w:pPr>
      <w:bookmarkStart w:id="622" w:name="_Toc152922730"/>
      <w:bookmarkStart w:id="623" w:name="_Toc152922136"/>
      <w:bookmarkStart w:id="624" w:name="_Toc18040"/>
      <w:r>
        <w:rPr>
          <w:color w:val="auto"/>
          <w:highlight w:val="none"/>
        </w:rPr>
        <w:t>9环境影响评价结论及建议</w:t>
      </w:r>
      <w:bookmarkEnd w:id="622"/>
      <w:bookmarkEnd w:id="623"/>
      <w:bookmarkEnd w:id="624"/>
    </w:p>
    <w:p w14:paraId="56CEBC22">
      <w:pPr>
        <w:pStyle w:val="218"/>
        <w:spacing w:before="62" w:after="156"/>
        <w:rPr>
          <w:color w:val="auto"/>
          <w:highlight w:val="none"/>
        </w:rPr>
      </w:pPr>
      <w:bookmarkStart w:id="625" w:name="_Toc27289"/>
      <w:bookmarkStart w:id="626" w:name="_Toc152922731"/>
      <w:bookmarkStart w:id="627" w:name="_Toc152922137"/>
      <w:r>
        <w:rPr>
          <w:color w:val="auto"/>
          <w:highlight w:val="none"/>
        </w:rPr>
        <w:t>9.1结论</w:t>
      </w:r>
      <w:bookmarkEnd w:id="625"/>
      <w:bookmarkEnd w:id="626"/>
      <w:bookmarkEnd w:id="627"/>
    </w:p>
    <w:p w14:paraId="200327FC">
      <w:pPr>
        <w:pStyle w:val="4"/>
        <w:spacing w:after="156"/>
        <w:rPr>
          <w:color w:val="auto"/>
          <w:highlight w:val="none"/>
        </w:rPr>
      </w:pPr>
      <w:bookmarkStart w:id="628" w:name="_Toc152921773"/>
      <w:bookmarkStart w:id="629" w:name="_Toc117150325"/>
      <w:bookmarkStart w:id="630" w:name="_Toc152922732"/>
      <w:bookmarkStart w:id="631" w:name="_Toc152923413"/>
      <w:bookmarkStart w:id="632" w:name="_Toc152922138"/>
      <w:r>
        <w:rPr>
          <w:color w:val="auto"/>
          <w:highlight w:val="none"/>
        </w:rPr>
        <w:t>9.1.1项目概况</w:t>
      </w:r>
      <w:bookmarkEnd w:id="628"/>
      <w:bookmarkEnd w:id="629"/>
      <w:bookmarkEnd w:id="630"/>
      <w:bookmarkEnd w:id="631"/>
      <w:bookmarkEnd w:id="632"/>
    </w:p>
    <w:p w14:paraId="70766392">
      <w:pPr>
        <w:snapToGrid w:val="0"/>
        <w:spacing w:line="360" w:lineRule="auto"/>
        <w:ind w:firstLine="480" w:firstLineChars="200"/>
        <w:rPr>
          <w:color w:val="auto"/>
          <w:highlight w:val="none"/>
        </w:rPr>
      </w:pPr>
      <w:r>
        <w:rPr>
          <w:rFonts w:hint="eastAsia" w:ascii="Times New Roman" w:hAnsi="Times New Roman" w:eastAsia="宋体" w:cs="Times New Roman"/>
          <w:color w:val="auto"/>
          <w:sz w:val="24"/>
          <w:highlight w:val="none"/>
        </w:rPr>
        <w:t>安徽氢环能源技术有限公司在安徽省淮南市田家庵区</w:t>
      </w:r>
      <w:r>
        <w:rPr>
          <w:rFonts w:hint="eastAsia" w:ascii="Times New Roman" w:hAnsi="Times New Roman" w:eastAsia="宋体"/>
          <w:color w:val="auto"/>
          <w:sz w:val="24"/>
          <w:highlight w:val="none"/>
        </w:rPr>
        <w:t>拟投资</w:t>
      </w:r>
      <w:r>
        <w:rPr>
          <w:rFonts w:hint="eastAsia" w:ascii="Times New Roman" w:hAnsi="Times New Roman" w:eastAsia="宋体"/>
          <w:color w:val="auto"/>
          <w:sz w:val="24"/>
          <w:highlight w:val="none"/>
          <w:lang w:val="en-US" w:eastAsia="zh-CN"/>
        </w:rPr>
        <w:t>50000</w:t>
      </w:r>
      <w:r>
        <w:rPr>
          <w:rFonts w:hint="eastAsia" w:ascii="Times New Roman" w:hAnsi="Times New Roman" w:eastAsia="宋体"/>
          <w:color w:val="auto"/>
          <w:sz w:val="24"/>
          <w:highlight w:val="none"/>
        </w:rPr>
        <w:t>万元建设</w:t>
      </w:r>
      <w:r>
        <w:rPr>
          <w:rFonts w:ascii="新宋体" w:hAnsi="新宋体" w:eastAsia="新宋体" w:cs="新宋体"/>
          <w:b w:val="0"/>
          <w:bCs w:val="0"/>
          <w:color w:val="auto"/>
          <w:sz w:val="24"/>
          <w:szCs w:val="24"/>
          <w:highlight w:val="none"/>
        </w:rPr>
        <w:t>安徽氢环生物质沼气便携式制氢设备制造及综合能源供应项目</w:t>
      </w:r>
      <w:r>
        <w:rPr>
          <w:rFonts w:hint="eastAsia" w:ascii="Times New Roman" w:hAnsi="Times New Roman" w:eastAsia="宋体"/>
          <w:color w:val="auto"/>
          <w:sz w:val="24"/>
          <w:highlight w:val="none"/>
        </w:rPr>
        <w:t>，</w:t>
      </w:r>
      <w:r>
        <w:rPr>
          <w:rFonts w:hint="default" w:ascii="Times New Roman" w:hAnsi="Times New Roman" w:eastAsia="宋体" w:cs="Times New Roman"/>
          <w:color w:val="auto"/>
          <w:sz w:val="24"/>
          <w:highlight w:val="none"/>
          <w:lang w:val="en-US" w:eastAsia="zh-CN"/>
        </w:rPr>
        <w:t>规划建设用地</w:t>
      </w:r>
      <w:r>
        <w:rPr>
          <w:rFonts w:hint="eastAsia" w:cs="Times New Roman"/>
          <w:color w:val="auto"/>
          <w:sz w:val="24"/>
          <w:highlight w:val="none"/>
          <w:lang w:val="en-US" w:eastAsia="zh-CN"/>
        </w:rPr>
        <w:t>22.95</w:t>
      </w:r>
      <w:r>
        <w:rPr>
          <w:rFonts w:hint="default" w:ascii="Times New Roman" w:hAnsi="Times New Roman" w:eastAsia="宋体" w:cs="Times New Roman"/>
          <w:color w:val="auto"/>
          <w:sz w:val="24"/>
          <w:highlight w:val="none"/>
          <w:lang w:val="en-US" w:eastAsia="zh-CN"/>
        </w:rPr>
        <w:t>亩，</w:t>
      </w:r>
      <w:r>
        <w:rPr>
          <w:rFonts w:hint="eastAsia" w:ascii="Times New Roman" w:hAnsi="Times New Roman" w:eastAsia="宋体"/>
          <w:color w:val="auto"/>
          <w:sz w:val="24"/>
          <w:highlight w:val="none"/>
        </w:rPr>
        <w:t>建设一座集加油、</w:t>
      </w:r>
      <w:r>
        <w:rPr>
          <w:rFonts w:hint="eastAsia" w:ascii="Times New Roman" w:hAnsi="Times New Roman" w:eastAsia="宋体"/>
          <w:color w:val="auto"/>
          <w:sz w:val="24"/>
          <w:highlight w:val="none"/>
          <w:lang w:val="en-US" w:eastAsia="zh-CN"/>
        </w:rPr>
        <w:t>制氢</w:t>
      </w:r>
      <w:r>
        <w:rPr>
          <w:rFonts w:hint="eastAsia" w:ascii="Times New Roman" w:hAnsi="Times New Roman" w:eastAsia="宋体"/>
          <w:color w:val="auto"/>
          <w:sz w:val="24"/>
          <w:highlight w:val="none"/>
        </w:rPr>
        <w:t>加氢</w:t>
      </w:r>
      <w:r>
        <w:rPr>
          <w:rFonts w:hint="eastAsia" w:ascii="Times New Roman" w:hAnsi="Times New Roman" w:eastAsia="宋体"/>
          <w:color w:val="auto"/>
          <w:sz w:val="24"/>
          <w:highlight w:val="none"/>
          <w:lang w:eastAsia="zh-CN"/>
        </w:rPr>
        <w:t>（</w:t>
      </w:r>
      <w:r>
        <w:rPr>
          <w:rFonts w:hint="default" w:ascii="Times New Roman" w:hAnsi="Times New Roman" w:eastAsia="宋体" w:cs="Times New Roman"/>
          <w:color w:val="auto"/>
          <w:sz w:val="24"/>
          <w:highlight w:val="none"/>
          <w:lang w:val="en-US" w:eastAsia="zh-CN"/>
        </w:rPr>
        <w:t>含充装</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w:t>
      </w:r>
      <w:r>
        <w:rPr>
          <w:rFonts w:hint="default" w:ascii="Times New Roman" w:hAnsi="Times New Roman" w:eastAsia="宋体" w:cs="Times New Roman"/>
          <w:color w:val="auto"/>
          <w:sz w:val="24"/>
          <w:highlight w:val="none"/>
          <w:lang w:val="en-US" w:eastAsia="zh-CN"/>
        </w:rPr>
        <w:t>光电充</w:t>
      </w:r>
      <w:r>
        <w:rPr>
          <w:rFonts w:hint="eastAsia" w:ascii="Times New Roman" w:hAnsi="Times New Roman" w:eastAsia="宋体"/>
          <w:color w:val="auto"/>
          <w:sz w:val="24"/>
          <w:highlight w:val="none"/>
        </w:rPr>
        <w:t>一体的综合加能站</w:t>
      </w:r>
      <w:r>
        <w:rPr>
          <w:rFonts w:hint="eastAsia" w:ascii="Times New Roman" w:hAnsi="Times New Roman" w:eastAsia="宋体"/>
          <w:color w:val="auto"/>
          <w:sz w:val="24"/>
          <w:highlight w:val="none"/>
          <w:lang w:eastAsia="zh-CN"/>
        </w:rPr>
        <w:t>。</w:t>
      </w:r>
      <w:r>
        <w:rPr>
          <w:rFonts w:hint="eastAsia" w:ascii="Times New Roman" w:hAnsi="Times New Roman" w:eastAsia="宋体"/>
          <w:color w:val="auto"/>
          <w:sz w:val="24"/>
          <w:highlight w:val="none"/>
        </w:rPr>
        <w:t>主要内容包括：</w:t>
      </w:r>
      <w:r>
        <w:rPr>
          <w:rFonts w:hint="default" w:ascii="Times New Roman" w:hAnsi="Times New Roman" w:eastAsia="宋体" w:cs="Times New Roman"/>
          <w:color w:val="auto"/>
          <w:sz w:val="24"/>
          <w:highlight w:val="none"/>
          <w:lang w:val="en-US" w:eastAsia="zh-CN"/>
        </w:rPr>
        <w:t>新建规模为3t/d制加氢充装一体综合能源站</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olor w:val="auto"/>
          <w:sz w:val="24"/>
          <w:highlight w:val="none"/>
          <w:lang w:val="en-US" w:eastAsia="zh-CN"/>
        </w:rPr>
        <w:t>新增</w:t>
      </w:r>
      <w:r>
        <w:rPr>
          <w:rFonts w:hint="eastAsia" w:ascii="Times New Roman" w:hAnsi="Times New Roman" w:eastAsia="宋体"/>
          <w:color w:val="auto"/>
          <w:sz w:val="24"/>
          <w:highlight w:val="none"/>
        </w:rPr>
        <w:t>500Nm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/h箱式制氢设备三套</w:t>
      </w:r>
      <w:r>
        <w:rPr>
          <w:rFonts w:hint="eastAsia" w:ascii="Times New Roman" w:hAnsi="Times New Roman" w:eastAsia="宋体"/>
          <w:color w:val="auto"/>
          <w:sz w:val="24"/>
          <w:highlight w:val="none"/>
          <w:lang w:eastAsia="zh-CN"/>
        </w:rPr>
        <w:t>，年产氢气达</w:t>
      </w:r>
      <w:r>
        <w:rPr>
          <w:rFonts w:hint="eastAsia" w:ascii="Times New Roman" w:hAnsi="Times New Roman" w:eastAsia="宋体"/>
          <w:color w:val="auto"/>
          <w:sz w:val="24"/>
          <w:highlight w:val="none"/>
          <w:lang w:val="en-US" w:eastAsia="zh-CN"/>
        </w:rPr>
        <w:t>108</w:t>
      </w:r>
      <w:r>
        <w:rPr>
          <w:rFonts w:hint="eastAsia" w:ascii="Times New Roman" w:hAnsi="Times New Roman" w:eastAsia="宋体"/>
          <w:color w:val="auto"/>
          <w:sz w:val="24"/>
          <w:highlight w:val="none"/>
          <w:lang w:eastAsia="zh-CN"/>
        </w:rPr>
        <w:t>0万Nm</w:t>
      </w:r>
      <w:r>
        <w:rPr>
          <w:rFonts w:hint="eastAsia" w:ascii="Times New Roman" w:hAnsi="Times New Roman" w:eastAsia="宋体"/>
          <w:color w:val="auto"/>
          <w:sz w:val="24"/>
          <w:highlight w:val="none"/>
          <w:vertAlign w:val="superscript"/>
          <w:lang w:eastAsia="zh-CN"/>
        </w:rPr>
        <w:t>3</w:t>
      </w:r>
      <w:r>
        <w:rPr>
          <w:rFonts w:hint="eastAsia" w:ascii="Times New Roman" w:hAnsi="Times New Roman" w:eastAsia="宋体"/>
          <w:color w:val="auto"/>
          <w:sz w:val="24"/>
          <w:highlight w:val="none"/>
        </w:rPr>
        <w:t>；光伏部分利用停车位区域采用BIPV形式打造光伏车棚，配置三台100</w:t>
      </w:r>
      <w:r>
        <w:rPr>
          <w:rFonts w:hint="eastAsia" w:ascii="Times New Roman" w:hAnsi="Times New Roman" w:eastAsia="宋体"/>
          <w:color w:val="auto"/>
          <w:sz w:val="24"/>
          <w:highlight w:val="none"/>
          <w:lang w:val="en-US" w:eastAsia="zh-CN"/>
        </w:rPr>
        <w:t>kW</w:t>
      </w:r>
      <w:r>
        <w:rPr>
          <w:rFonts w:hint="eastAsia" w:ascii="Times New Roman" w:hAnsi="Times New Roman" w:eastAsia="宋体"/>
          <w:color w:val="auto"/>
          <w:sz w:val="24"/>
          <w:highlight w:val="none"/>
        </w:rPr>
        <w:t>逆变器，接入箱变低压侧进行并网；下面布置60个快速充电桩车位。加油：1个30m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92号汽油储罐；1个30m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95号汽油储罐；1个30m</w:t>
      </w:r>
      <w:r>
        <w:rPr>
          <w:rFonts w:hint="eastAsia" w:ascii="Times New Roman" w:hAnsi="Times New Roman" w:eastAsia="宋体"/>
          <w:color w:val="auto"/>
          <w:sz w:val="24"/>
          <w:highlight w:val="none"/>
          <w:vertAlign w:val="superscript"/>
        </w:rPr>
        <w:t>3</w:t>
      </w:r>
      <w:r>
        <w:rPr>
          <w:rFonts w:hint="eastAsia" w:ascii="Times New Roman" w:hAnsi="Times New Roman" w:eastAsia="宋体"/>
          <w:color w:val="auto"/>
          <w:sz w:val="24"/>
          <w:highlight w:val="none"/>
        </w:rPr>
        <w:t>0号柴油储罐；</w:t>
      </w:r>
      <w:r>
        <w:rPr>
          <w:rFonts w:hint="eastAsia" w:ascii="Times New Roman" w:hAnsi="Times New Roman" w:eastAsia="宋体"/>
          <w:color w:val="auto"/>
          <w:sz w:val="24"/>
          <w:highlight w:val="none"/>
          <w:lang w:val="en-US" w:eastAsia="zh-CN"/>
        </w:rPr>
        <w:t>其他辅助性用房包括</w:t>
      </w:r>
      <w:r>
        <w:rPr>
          <w:rFonts w:hint="eastAsia" w:ascii="Times New Roman" w:hAnsi="Times New Roman" w:eastAsia="宋体"/>
          <w:color w:val="auto"/>
          <w:sz w:val="24"/>
          <w:highlight w:val="none"/>
        </w:rPr>
        <w:t>站房1座，包括营业厅、控制室、卫生间、办公室等。</w:t>
      </w:r>
    </w:p>
    <w:p w14:paraId="3A86093D">
      <w:pPr>
        <w:pStyle w:val="4"/>
        <w:spacing w:after="156"/>
        <w:rPr>
          <w:color w:val="auto"/>
          <w:highlight w:val="none"/>
        </w:rPr>
      </w:pPr>
      <w:bookmarkStart w:id="633" w:name="_Toc152921774"/>
      <w:bookmarkStart w:id="634" w:name="_Toc152922733"/>
      <w:bookmarkStart w:id="635" w:name="_Toc117150326"/>
      <w:bookmarkStart w:id="636" w:name="_Toc152923414"/>
      <w:bookmarkStart w:id="637" w:name="_Toc152922139"/>
      <w:r>
        <w:rPr>
          <w:color w:val="auto"/>
          <w:highlight w:val="none"/>
        </w:rPr>
        <w:t>9.1.2项目产业政策及选址合理性</w:t>
      </w:r>
      <w:bookmarkEnd w:id="633"/>
      <w:bookmarkEnd w:id="634"/>
      <w:bookmarkEnd w:id="635"/>
      <w:bookmarkEnd w:id="636"/>
      <w:bookmarkEnd w:id="637"/>
    </w:p>
    <w:p w14:paraId="74FA6013">
      <w:pPr>
        <w:pStyle w:val="352"/>
        <w:ind w:firstLine="480"/>
        <w:rPr>
          <w:rFonts w:hint="default"/>
          <w:color w:val="auto"/>
          <w:highlight w:val="none"/>
        </w:rPr>
      </w:pPr>
      <w:r>
        <w:rPr>
          <w:color w:val="auto"/>
          <w:highlight w:val="none"/>
        </w:rPr>
        <w:t>对照《产业结构调整指导目录（20</w:t>
      </w:r>
      <w:r>
        <w:rPr>
          <w:rFonts w:hint="eastAsia"/>
          <w:color w:val="auto"/>
          <w:highlight w:val="none"/>
          <w:lang w:val="en-US" w:eastAsia="zh-CN"/>
        </w:rPr>
        <w:t>24</w:t>
      </w:r>
      <w:r>
        <w:rPr>
          <w:color w:val="auto"/>
          <w:highlight w:val="none"/>
        </w:rPr>
        <w:t>年本）》可知，本项目属于鼓励类，与产业政策相符，故本项目的建设符合国家产业政策；</w:t>
      </w:r>
      <w:r>
        <w:rPr>
          <w:rFonts w:hint="default"/>
          <w:color w:val="auto"/>
          <w:highlight w:val="none"/>
        </w:rPr>
        <w:t>项目所选设备也不在淘汰类和限制类之列，项目于</w:t>
      </w:r>
      <w:r>
        <w:rPr>
          <w:rFonts w:ascii="Times New Roman" w:hAnsi="Times New Roman" w:eastAsia="宋体"/>
          <w:color w:val="auto"/>
          <w:sz w:val="24"/>
          <w:highlight w:val="none"/>
        </w:rPr>
        <w:t>202</w:t>
      </w:r>
      <w:r>
        <w:rPr>
          <w:rFonts w:hint="eastAsia" w:ascii="Times New Roman" w:hAnsi="Times New Roman" w:eastAsia="宋体"/>
          <w:color w:val="auto"/>
          <w:sz w:val="24"/>
          <w:highlight w:val="none"/>
          <w:lang w:val="en-US" w:eastAsia="zh-CN"/>
        </w:rPr>
        <w:t>5</w:t>
      </w:r>
      <w:r>
        <w:rPr>
          <w:rFonts w:ascii="Times New Roman" w:hAnsi="Times New Roman" w:eastAsia="宋体"/>
          <w:color w:val="auto"/>
          <w:sz w:val="24"/>
          <w:highlight w:val="none"/>
        </w:rPr>
        <w:t>年</w:t>
      </w:r>
      <w:r>
        <w:rPr>
          <w:rFonts w:hint="eastAsia" w:ascii="Times New Roman" w:hAnsi="Times New Roman" w:eastAsia="宋体"/>
          <w:color w:val="auto"/>
          <w:sz w:val="24"/>
          <w:highlight w:val="none"/>
          <w:lang w:val="en-US" w:eastAsia="zh-CN"/>
        </w:rPr>
        <w:t>6</w:t>
      </w:r>
      <w:r>
        <w:rPr>
          <w:rFonts w:ascii="Times New Roman" w:hAnsi="Times New Roman" w:eastAsia="宋体"/>
          <w:color w:val="auto"/>
          <w:sz w:val="24"/>
          <w:highlight w:val="none"/>
        </w:rPr>
        <w:t>月</w:t>
      </w:r>
      <w:r>
        <w:rPr>
          <w:rFonts w:hint="eastAsia" w:ascii="Times New Roman" w:hAnsi="Times New Roman" w:eastAsia="宋体"/>
          <w:color w:val="auto"/>
          <w:sz w:val="24"/>
          <w:highlight w:val="none"/>
        </w:rPr>
        <w:t>2</w:t>
      </w:r>
      <w:r>
        <w:rPr>
          <w:rFonts w:hint="eastAsia" w:ascii="Times New Roman" w:hAnsi="Times New Roman" w:eastAsia="宋体"/>
          <w:color w:val="auto"/>
          <w:sz w:val="24"/>
          <w:highlight w:val="none"/>
          <w:lang w:val="en-US" w:eastAsia="zh-CN"/>
        </w:rPr>
        <w:t>3</w:t>
      </w:r>
      <w:r>
        <w:rPr>
          <w:rFonts w:ascii="Times New Roman" w:hAnsi="Times New Roman" w:eastAsia="宋体"/>
          <w:color w:val="auto"/>
          <w:sz w:val="24"/>
          <w:highlight w:val="none"/>
        </w:rPr>
        <w:t>日</w:t>
      </w:r>
      <w:r>
        <w:rPr>
          <w:rFonts w:hint="eastAsia" w:ascii="Times New Roman" w:hAnsi="Times New Roman" w:eastAsia="宋体"/>
          <w:color w:val="auto"/>
          <w:sz w:val="24"/>
          <w:highlight w:val="none"/>
          <w:lang w:val="en-US" w:eastAsia="zh-CN"/>
        </w:rPr>
        <w:t>通过了</w:t>
      </w:r>
      <w:r>
        <w:rPr>
          <w:rFonts w:ascii="Times New Roman" w:hAnsi="Times New Roman" w:eastAsia="宋体"/>
          <w:color w:val="auto"/>
          <w:sz w:val="24"/>
          <w:highlight w:val="none"/>
        </w:rPr>
        <w:t>田家庵区发展改革委</w:t>
      </w:r>
      <w:r>
        <w:rPr>
          <w:rFonts w:hint="eastAsia" w:ascii="Times New Roman" w:hAnsi="Times New Roman" w:eastAsia="宋体"/>
          <w:color w:val="auto"/>
          <w:sz w:val="24"/>
          <w:highlight w:val="none"/>
          <w:lang w:val="en-US" w:eastAsia="zh-CN"/>
        </w:rPr>
        <w:t>对本项目的</w:t>
      </w:r>
      <w:r>
        <w:rPr>
          <w:rFonts w:hint="default"/>
          <w:color w:val="auto"/>
          <w:highlight w:val="none"/>
        </w:rPr>
        <w:t>备案</w:t>
      </w:r>
      <w:r>
        <w:rPr>
          <w:rFonts w:hint="default"/>
          <w:color w:val="auto"/>
          <w:highlight w:val="none"/>
          <w:lang w:eastAsia="zh-CN"/>
        </w:rPr>
        <w:t>，</w:t>
      </w:r>
      <w:r>
        <w:rPr>
          <w:rFonts w:hint="default"/>
          <w:color w:val="auto"/>
          <w:highlight w:val="none"/>
        </w:rPr>
        <w:t>项目代码：</w:t>
      </w:r>
      <w:r>
        <w:rPr>
          <w:rFonts w:ascii="Times New Roman" w:hAnsi="Times New Roman" w:eastAsia="宋体"/>
          <w:color w:val="auto"/>
          <w:sz w:val="24"/>
          <w:highlight w:val="none"/>
        </w:rPr>
        <w:t>2504-340403-04-01-932201</w:t>
      </w:r>
      <w:r>
        <w:rPr>
          <w:rFonts w:hint="default"/>
          <w:color w:val="auto"/>
          <w:highlight w:val="none"/>
        </w:rPr>
        <w:t>。因此，本项目符合国家产业政策。</w:t>
      </w:r>
    </w:p>
    <w:p w14:paraId="6F2436AD">
      <w:pPr>
        <w:pStyle w:val="352"/>
        <w:ind w:firstLine="480"/>
        <w:rPr>
          <w:color w:val="auto"/>
          <w:highlight w:val="none"/>
        </w:rPr>
      </w:pPr>
      <w:r>
        <w:rPr>
          <w:rFonts w:hint="eastAsia" w:ascii="Times New Roman" w:hAnsi="Times New Roman" w:eastAsia="宋体" w:cs="Times New Roman"/>
          <w:color w:val="auto"/>
          <w:highlight w:val="none"/>
          <w:lang w:val="en-US" w:eastAsia="zh-CN"/>
        </w:rPr>
        <w:t>通过对照《淮南市曹庵镇总体规划（2016-2030年）</w:t>
      </w:r>
      <w:r>
        <w:rPr>
          <w:rFonts w:hint="eastAsia" w:cs="Times New Roman"/>
          <w:color w:val="auto"/>
          <w:highlight w:val="none"/>
          <w:lang w:val="en-US" w:eastAsia="zh-CN"/>
        </w:rPr>
        <w:t>》《</w:t>
      </w:r>
      <w:r>
        <w:rPr>
          <w:rFonts w:hint="eastAsia"/>
          <w:color w:val="auto"/>
          <w:highlight w:val="none"/>
        </w:rPr>
        <w:t>淮南市国土空间规划</w:t>
      </w:r>
      <w:r>
        <w:rPr>
          <w:color w:val="auto"/>
          <w:highlight w:val="none"/>
        </w:rPr>
        <w:t>（20</w:t>
      </w:r>
      <w:r>
        <w:rPr>
          <w:rFonts w:hint="eastAsia"/>
          <w:color w:val="auto"/>
          <w:highlight w:val="none"/>
        </w:rPr>
        <w:t>21</w:t>
      </w:r>
      <w:r>
        <w:rPr>
          <w:color w:val="auto"/>
          <w:highlight w:val="none"/>
        </w:rPr>
        <w:t>-203</w:t>
      </w:r>
      <w:r>
        <w:rPr>
          <w:rFonts w:hint="eastAsia"/>
          <w:color w:val="auto"/>
          <w:highlight w:val="none"/>
        </w:rPr>
        <w:t>5</w:t>
      </w:r>
      <w:r>
        <w:rPr>
          <w:color w:val="auto"/>
          <w:highlight w:val="none"/>
        </w:rPr>
        <w:t>年）》</w:t>
      </w:r>
      <w:r>
        <w:rPr>
          <w:rFonts w:hint="eastAsia"/>
          <w:color w:val="auto"/>
          <w:highlight w:val="none"/>
          <w:lang w:eastAsia="zh-CN"/>
        </w:rPr>
        <w:t>，</w:t>
      </w:r>
      <w:r>
        <w:rPr>
          <w:rFonts w:hint="eastAsia"/>
          <w:color w:val="auto"/>
          <w:highlight w:val="none"/>
          <w:lang w:val="en-US" w:eastAsia="zh-CN"/>
        </w:rPr>
        <w:t>本项目选址位于工业用地，不占用耕地，符合规划要求</w:t>
      </w:r>
      <w:r>
        <w:rPr>
          <w:color w:val="auto"/>
          <w:highlight w:val="none"/>
        </w:rPr>
        <w:t>。</w:t>
      </w:r>
    </w:p>
    <w:p w14:paraId="51D05CFC">
      <w:pPr>
        <w:pStyle w:val="352"/>
        <w:ind w:firstLine="480"/>
        <w:rPr>
          <w:color w:val="auto"/>
          <w:highlight w:val="none"/>
        </w:rPr>
      </w:pPr>
      <w:r>
        <w:rPr>
          <w:color w:val="auto"/>
          <w:highlight w:val="none"/>
        </w:rPr>
        <w:t>本项目产生的</w:t>
      </w:r>
      <w:r>
        <w:rPr>
          <w:rFonts w:hint="eastAsia"/>
          <w:color w:val="auto"/>
          <w:highlight w:val="none"/>
          <w:lang w:eastAsia="zh-CN"/>
        </w:rPr>
        <w:t>“</w:t>
      </w:r>
      <w:r>
        <w:rPr>
          <w:color w:val="auto"/>
          <w:highlight w:val="none"/>
        </w:rPr>
        <w:t>三废</w:t>
      </w:r>
      <w:r>
        <w:rPr>
          <w:rFonts w:hint="eastAsia"/>
          <w:color w:val="auto"/>
          <w:highlight w:val="none"/>
          <w:lang w:eastAsia="zh-CN"/>
        </w:rPr>
        <w:t>”</w:t>
      </w:r>
      <w:r>
        <w:rPr>
          <w:color w:val="auto"/>
          <w:highlight w:val="none"/>
        </w:rPr>
        <w:t>均能实现处理后达标排放或安全利用处置，对周围环境影响不大，区域环境质量仍可维持现状功能；环境风险水平可以接受；社会公众均支持本项目的建设。</w:t>
      </w:r>
    </w:p>
    <w:p w14:paraId="62F34A1F">
      <w:pPr>
        <w:pStyle w:val="352"/>
        <w:ind w:firstLine="480"/>
        <w:rPr>
          <w:rFonts w:hint="eastAsia"/>
          <w:color w:val="auto"/>
          <w:highlight w:val="none"/>
        </w:rPr>
      </w:pPr>
      <w:r>
        <w:rPr>
          <w:color w:val="auto"/>
          <w:highlight w:val="none"/>
        </w:rPr>
        <w:t>因此，在加强生产管理并确切落实项目</w:t>
      </w:r>
      <w:r>
        <w:rPr>
          <w:rFonts w:hint="eastAsia"/>
          <w:color w:val="auto"/>
          <w:highlight w:val="none"/>
          <w:lang w:eastAsia="zh-CN"/>
        </w:rPr>
        <w:t>“</w:t>
      </w:r>
      <w:r>
        <w:rPr>
          <w:color w:val="auto"/>
          <w:highlight w:val="none"/>
        </w:rPr>
        <w:t>三同时</w:t>
      </w:r>
      <w:r>
        <w:rPr>
          <w:rFonts w:hint="eastAsia"/>
          <w:color w:val="auto"/>
          <w:highlight w:val="none"/>
          <w:lang w:eastAsia="zh-CN"/>
        </w:rPr>
        <w:t>”</w:t>
      </w:r>
      <w:r>
        <w:rPr>
          <w:color w:val="auto"/>
          <w:highlight w:val="none"/>
        </w:rPr>
        <w:t>措施及风险防范措施的前提下，本项目选址是合理可行的。</w:t>
      </w:r>
    </w:p>
    <w:p w14:paraId="2F5EB6D2">
      <w:pPr>
        <w:pStyle w:val="4"/>
        <w:spacing w:after="156"/>
        <w:rPr>
          <w:color w:val="auto"/>
          <w:highlight w:val="none"/>
        </w:rPr>
      </w:pPr>
      <w:bookmarkStart w:id="638" w:name="_Toc152923415"/>
      <w:bookmarkStart w:id="639" w:name="_Toc152922140"/>
      <w:bookmarkStart w:id="640" w:name="_Toc152922734"/>
      <w:bookmarkStart w:id="641" w:name="_Toc152921775"/>
      <w:bookmarkStart w:id="642" w:name="_Toc117150327"/>
      <w:r>
        <w:rPr>
          <w:color w:val="auto"/>
          <w:highlight w:val="none"/>
        </w:rPr>
        <w:t>9.1.3环境质量现状</w:t>
      </w:r>
      <w:bookmarkEnd w:id="638"/>
      <w:bookmarkEnd w:id="639"/>
      <w:bookmarkEnd w:id="640"/>
      <w:bookmarkEnd w:id="641"/>
      <w:bookmarkEnd w:id="642"/>
    </w:p>
    <w:p w14:paraId="21940734">
      <w:pPr>
        <w:spacing w:line="360" w:lineRule="auto"/>
        <w:ind w:firstLine="480" w:firstLineChars="200"/>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（1）根据《202</w:t>
      </w:r>
      <w:r>
        <w:rPr>
          <w:rFonts w:hint="eastAsia" w:ascii="Times New Roman" w:hAnsi="Times New Roman" w:eastAsia="宋体" w:cs="Times New Roman"/>
          <w:b w:val="0"/>
          <w:bCs w:val="0"/>
          <w:color w:val="auto"/>
          <w:sz w:val="24"/>
          <w:highlight w:val="none"/>
          <w:lang w:val="en-US" w:eastAsia="zh-CN"/>
        </w:rPr>
        <w:t>4</w:t>
      </w:r>
      <w:r>
        <w:rPr>
          <w:rFonts w:hint="default" w:ascii="Times New Roman" w:hAnsi="Times New Roman" w:eastAsia="宋体" w:cs="Times New Roman"/>
          <w:b w:val="0"/>
          <w:bCs w:val="0"/>
          <w:color w:val="auto"/>
          <w:sz w:val="24"/>
          <w:highlight w:val="none"/>
        </w:rPr>
        <w:t>年淮南市生态环境质量状况公报》，项目所在地为</w:t>
      </w:r>
      <w:r>
        <w:rPr>
          <w:rFonts w:hint="eastAsia" w:ascii="Times New Roman" w:hAnsi="Times New Roman" w:eastAsia="宋体" w:cs="Times New Roman"/>
          <w:b w:val="0"/>
          <w:bCs w:val="0"/>
          <w:color w:val="auto"/>
          <w:sz w:val="24"/>
          <w:highlight w:val="none"/>
          <w:lang w:val="en-US" w:eastAsia="zh-CN"/>
        </w:rPr>
        <w:t>不</w:t>
      </w:r>
      <w:r>
        <w:rPr>
          <w:rFonts w:hint="default" w:ascii="Times New Roman" w:hAnsi="Times New Roman" w:eastAsia="宋体" w:cs="Times New Roman"/>
          <w:b w:val="0"/>
          <w:bCs w:val="0"/>
          <w:color w:val="auto"/>
          <w:sz w:val="24"/>
          <w:highlight w:val="none"/>
        </w:rPr>
        <w:t>达标区。根据</w:t>
      </w:r>
      <w:r>
        <w:rPr>
          <w:rFonts w:hint="eastAsia" w:ascii="Times New Roman" w:hAnsi="Times New Roman" w:eastAsia="宋体" w:cs="Times New Roman"/>
          <w:b w:val="0"/>
          <w:bCs w:val="0"/>
          <w:color w:val="auto"/>
          <w:sz w:val="24"/>
          <w:highlight w:val="none"/>
          <w:lang w:val="en-US" w:eastAsia="zh-CN"/>
        </w:rPr>
        <w:t>补充</w:t>
      </w:r>
      <w:r>
        <w:rPr>
          <w:rFonts w:hint="default" w:ascii="Times New Roman" w:hAnsi="Times New Roman" w:eastAsia="宋体" w:cs="Times New Roman"/>
          <w:b w:val="0"/>
          <w:bCs w:val="0"/>
          <w:color w:val="auto"/>
          <w:sz w:val="24"/>
          <w:highlight w:val="none"/>
        </w:rPr>
        <w:t>监测数据，监测期间各监测点</w:t>
      </w:r>
      <w:r>
        <w:rPr>
          <w:rFonts w:hint="eastAsia" w:ascii="Times New Roman" w:hAnsi="Times New Roman" w:eastAsia="宋体" w:cs="Times New Roman"/>
          <w:b w:val="0"/>
          <w:bCs w:val="0"/>
          <w:color w:val="auto"/>
          <w:sz w:val="24"/>
          <w:highlight w:val="none"/>
          <w:lang w:val="en-US" w:eastAsia="zh-CN"/>
        </w:rPr>
        <w:t>H</w:t>
      </w:r>
      <w:r>
        <w:rPr>
          <w:rFonts w:hint="eastAsia" w:ascii="Times New Roman" w:hAnsi="Times New Roman" w:eastAsia="宋体" w:cs="Times New Roman"/>
          <w:b w:val="0"/>
          <w:bCs w:val="0"/>
          <w:color w:val="auto"/>
          <w:sz w:val="24"/>
          <w:highlight w:val="none"/>
          <w:vertAlign w:val="subscript"/>
          <w:lang w:val="en-US" w:eastAsia="zh-CN"/>
        </w:rPr>
        <w:t>2</w:t>
      </w:r>
      <w:r>
        <w:rPr>
          <w:rFonts w:hint="eastAsia" w:ascii="Times New Roman" w:hAnsi="Times New Roman" w:eastAsia="宋体" w:cs="Times New Roman"/>
          <w:b w:val="0"/>
          <w:bCs w:val="0"/>
          <w:color w:val="auto"/>
          <w:sz w:val="24"/>
          <w:highlight w:val="none"/>
          <w:lang w:val="en-US" w:eastAsia="zh-CN"/>
        </w:rPr>
        <w:t>S</w:t>
      </w:r>
      <w:r>
        <w:rPr>
          <w:rFonts w:hint="default" w:ascii="Times New Roman" w:hAnsi="Times New Roman" w:eastAsia="宋体" w:cs="Times New Roman"/>
          <w:b w:val="0"/>
          <w:bCs w:val="0"/>
          <w:color w:val="auto"/>
          <w:sz w:val="24"/>
          <w:highlight w:val="none"/>
        </w:rPr>
        <w:t>监测浓度满足《环境影响评价技术导则——大气环境》（HJ2.2-2018）附录D浓度限值要求</w:t>
      </w:r>
      <w:r>
        <w:rPr>
          <w:rFonts w:hint="eastAsia" w:ascii="Times New Roman" w:hAnsi="Times New Roman" w:eastAsia="宋体" w:cs="Times New Roman"/>
          <w:b w:val="0"/>
          <w:bCs w:val="0"/>
          <w:color w:val="auto"/>
          <w:sz w:val="24"/>
          <w:highlight w:val="none"/>
        </w:rPr>
        <w:t>，</w:t>
      </w:r>
      <w:r>
        <w:rPr>
          <w:rFonts w:hint="default" w:ascii="Times New Roman" w:hAnsi="Times New Roman" w:eastAsia="宋体" w:cs="Times New Roman"/>
          <w:b w:val="0"/>
          <w:bCs w:val="0"/>
          <w:color w:val="auto"/>
          <w:sz w:val="24"/>
          <w:highlight w:val="none"/>
        </w:rPr>
        <w:t>非甲烷总烃浓度满足《大气污染物综合排放标准详解》中2.0mg/m</w:t>
      </w:r>
      <w:r>
        <w:rPr>
          <w:rFonts w:hint="default" w:ascii="Times New Roman" w:hAnsi="Times New Roman" w:eastAsia="宋体" w:cs="Times New Roman"/>
          <w:b w:val="0"/>
          <w:bCs w:val="0"/>
          <w:color w:val="auto"/>
          <w:sz w:val="24"/>
          <w:highlight w:val="none"/>
          <w:vertAlign w:val="superscript"/>
        </w:rPr>
        <w:t>3</w:t>
      </w:r>
      <w:r>
        <w:rPr>
          <w:rFonts w:hint="default" w:ascii="Times New Roman" w:hAnsi="Times New Roman" w:eastAsia="宋体" w:cs="Times New Roman"/>
          <w:b w:val="0"/>
          <w:bCs w:val="0"/>
          <w:color w:val="auto"/>
          <w:sz w:val="24"/>
          <w:highlight w:val="none"/>
        </w:rPr>
        <w:t>限值要求</w:t>
      </w: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eastAsia="宋体" w:cs="Times New Roman"/>
          <w:b w:val="0"/>
          <w:bCs w:val="0"/>
          <w:color w:val="auto"/>
          <w:sz w:val="24"/>
          <w:highlight w:val="none"/>
          <w:lang w:val="en-US" w:eastAsia="zh-CN"/>
        </w:rPr>
        <w:t>TSP日均值满足《环境空气质量标准》（GB3095-2012）中的二级标准、甲烷满足</w:t>
      </w:r>
      <w:r>
        <w:rPr>
          <w:rFonts w:hint="default" w:ascii="Times New Roman" w:hAnsi="Times New Roman" w:cs="Times New Roman"/>
          <w:color w:val="auto"/>
          <w:sz w:val="24"/>
          <w:szCs w:val="24"/>
          <w:highlight w:val="none"/>
        </w:rPr>
        <w:t>《大气环境标准工作手册》的公式计算得到的环境质量标准一次标准限值</w:t>
      </w:r>
      <w:r>
        <w:rPr>
          <w:rFonts w:hint="default" w:ascii="Times New Roman" w:hAnsi="Times New Roman" w:eastAsia="宋体" w:cs="Times New Roman"/>
          <w:b w:val="0"/>
          <w:bCs w:val="0"/>
          <w:color w:val="auto"/>
          <w:sz w:val="24"/>
          <w:highlight w:val="none"/>
        </w:rPr>
        <w:t>。</w:t>
      </w:r>
    </w:p>
    <w:p w14:paraId="2EF2F14F">
      <w:pPr>
        <w:spacing w:line="360" w:lineRule="auto"/>
        <w:ind w:firstLine="480" w:firstLineChars="200"/>
        <w:rPr>
          <w:rFonts w:hint="eastAsia" w:ascii="Times New Roman" w:hAnsi="Times New Roman" w:eastAsia="宋体" w:cs="Times New Roman"/>
          <w:b w:val="0"/>
          <w:bCs w:val="0"/>
          <w:color w:val="auto"/>
          <w:sz w:val="24"/>
          <w:highlight w:val="none"/>
          <w:lang w:eastAsia="zh-CN"/>
        </w:rPr>
      </w:pPr>
      <w:r>
        <w:rPr>
          <w:rFonts w:hint="default" w:ascii="Times New Roman" w:hAnsi="Times New Roman" w:eastAsia="宋体" w:cs="Times New Roman"/>
          <w:b w:val="0"/>
          <w:bCs w:val="0"/>
          <w:color w:val="auto"/>
          <w:sz w:val="24"/>
          <w:highlight w:val="none"/>
        </w:rPr>
        <w:t>（2）根据《202</w:t>
      </w:r>
      <w:r>
        <w:rPr>
          <w:rFonts w:hint="eastAsia" w:ascii="Times New Roman" w:hAnsi="Times New Roman" w:eastAsia="宋体" w:cs="Times New Roman"/>
          <w:b w:val="0"/>
          <w:bCs w:val="0"/>
          <w:color w:val="auto"/>
          <w:sz w:val="24"/>
          <w:highlight w:val="none"/>
          <w:lang w:val="en-US" w:eastAsia="zh-CN"/>
        </w:rPr>
        <w:t>4</w:t>
      </w:r>
      <w:r>
        <w:rPr>
          <w:rFonts w:hint="default" w:ascii="Times New Roman" w:hAnsi="Times New Roman" w:eastAsia="宋体" w:cs="Times New Roman"/>
          <w:b w:val="0"/>
          <w:bCs w:val="0"/>
          <w:color w:val="auto"/>
          <w:sz w:val="24"/>
          <w:highlight w:val="none"/>
        </w:rPr>
        <w:t>年淮南市生态环境质量状况公报》</w:t>
      </w:r>
      <w:r>
        <w:rPr>
          <w:rFonts w:hint="eastAsia"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szCs w:val="24"/>
          <w:highlight w:val="none"/>
        </w:rPr>
        <w:t>2024年，全市地表水24个监测断面中优良水质比例为91.7%</w:t>
      </w:r>
      <w:r>
        <w:rPr>
          <w:rFonts w:hint="eastAsia"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szCs w:val="24"/>
          <w:highlight w:val="none"/>
        </w:rPr>
        <w:t>比上年下降了4.1个百分点，Ⅳ类水质比例8.3%，总体水质状况优。</w:t>
      </w:r>
      <w:r>
        <w:rPr>
          <w:rFonts w:hint="eastAsia" w:ascii="Times New Roman" w:hAnsi="Times New Roman" w:eastAsia="宋体" w:cs="Times New Roman"/>
          <w:b w:val="0"/>
          <w:bCs w:val="0"/>
          <w:color w:val="auto"/>
          <w:sz w:val="24"/>
          <w:highlight w:val="none"/>
          <w:lang w:val="en-US" w:eastAsia="zh-CN"/>
        </w:rPr>
        <w:t>根据</w:t>
      </w:r>
      <w:r>
        <w:rPr>
          <w:rFonts w:hint="eastAsia" w:ascii="Times New Roman" w:hAnsi="Times New Roman" w:eastAsia="宋体" w:cs="Times New Roman"/>
          <w:b w:val="0"/>
          <w:bCs w:val="0"/>
          <w:color w:val="auto"/>
          <w:sz w:val="24"/>
          <w:highlight w:val="none"/>
        </w:rPr>
        <w:t>《</w:t>
      </w:r>
      <w:r>
        <w:rPr>
          <w:rFonts w:hint="default" w:ascii="Times New Roman" w:hAnsi="Times New Roman" w:eastAsia="宋体" w:cs="Times New Roman"/>
          <w:b w:val="0"/>
          <w:bCs w:val="0"/>
          <w:color w:val="auto"/>
          <w:sz w:val="24"/>
          <w:highlight w:val="none"/>
        </w:rPr>
        <w:t>淮南市202</w:t>
      </w:r>
      <w:r>
        <w:rPr>
          <w:rFonts w:hint="eastAsia" w:ascii="Times New Roman" w:hAnsi="Times New Roman" w:eastAsia="宋体" w:cs="Times New Roman"/>
          <w:b w:val="0"/>
          <w:bCs w:val="0"/>
          <w:color w:val="auto"/>
          <w:sz w:val="24"/>
          <w:highlight w:val="none"/>
          <w:lang w:val="en-US" w:eastAsia="zh-CN"/>
        </w:rPr>
        <w:t>5</w:t>
      </w:r>
      <w:r>
        <w:rPr>
          <w:rFonts w:hint="default" w:ascii="Times New Roman" w:hAnsi="Times New Roman" w:eastAsia="宋体" w:cs="Times New Roman"/>
          <w:b w:val="0"/>
          <w:bCs w:val="0"/>
          <w:color w:val="auto"/>
          <w:sz w:val="24"/>
          <w:highlight w:val="none"/>
        </w:rPr>
        <w:t>年</w:t>
      </w:r>
      <w:r>
        <w:rPr>
          <w:rFonts w:hint="eastAsia" w:ascii="Times New Roman" w:hAnsi="Times New Roman" w:eastAsia="宋体" w:cs="Times New Roman"/>
          <w:b w:val="0"/>
          <w:bCs w:val="0"/>
          <w:color w:val="auto"/>
          <w:sz w:val="24"/>
          <w:highlight w:val="none"/>
          <w:lang w:val="en-US" w:eastAsia="zh-CN"/>
        </w:rPr>
        <w:t>5</w:t>
      </w:r>
      <w:r>
        <w:rPr>
          <w:rFonts w:hint="default" w:ascii="Times New Roman" w:hAnsi="Times New Roman" w:eastAsia="宋体" w:cs="Times New Roman"/>
          <w:b w:val="0"/>
          <w:bCs w:val="0"/>
          <w:color w:val="auto"/>
          <w:sz w:val="24"/>
          <w:highlight w:val="none"/>
        </w:rPr>
        <w:t>月环境质量月报</w:t>
      </w:r>
      <w:r>
        <w:rPr>
          <w:rFonts w:hint="eastAsia" w:ascii="Times New Roman" w:hAnsi="Times New Roman" w:eastAsia="宋体" w:cs="Times New Roman"/>
          <w:b w:val="0"/>
          <w:bCs w:val="0"/>
          <w:color w:val="auto"/>
          <w:sz w:val="24"/>
          <w:highlight w:val="none"/>
        </w:rPr>
        <w:t>》</w:t>
      </w:r>
      <w:r>
        <w:rPr>
          <w:rFonts w:hint="eastAsia" w:ascii="Times New Roman" w:hAnsi="Times New Roman" w:eastAsia="宋体" w:cs="Times New Roman"/>
          <w:b w:val="0"/>
          <w:bCs w:val="0"/>
          <w:color w:val="auto"/>
          <w:sz w:val="24"/>
          <w:highlight w:val="none"/>
          <w:lang w:eastAsia="zh-CN"/>
        </w:rPr>
        <w:t>，</w:t>
      </w:r>
      <w:r>
        <w:rPr>
          <w:rFonts w:hint="eastAsia" w:ascii="Times New Roman" w:hAnsi="Times New Roman" w:eastAsia="宋体" w:cs="Times New Roman"/>
          <w:b w:val="0"/>
          <w:bCs w:val="0"/>
          <w:color w:val="auto"/>
          <w:sz w:val="24"/>
          <w:highlight w:val="none"/>
          <w:lang w:val="en-US" w:eastAsia="zh-CN"/>
        </w:rPr>
        <w:t>瓦埠湖</w:t>
      </w:r>
      <w:r>
        <w:rPr>
          <w:rFonts w:hint="default" w:ascii="Times New Roman" w:hAnsi="Times New Roman" w:eastAsia="宋体" w:cs="Times New Roman"/>
          <w:b w:val="0"/>
          <w:bCs w:val="0"/>
          <w:color w:val="auto"/>
          <w:sz w:val="24"/>
          <w:highlight w:val="none"/>
        </w:rPr>
        <w:t>监测断面均满足《地表水环境质量标准》（GB3838-2002）中的III类标准</w:t>
      </w:r>
      <w:r>
        <w:rPr>
          <w:rFonts w:hint="eastAsia" w:ascii="Times New Roman" w:hAnsi="Times New Roman" w:eastAsia="宋体" w:cs="Times New Roman"/>
          <w:b w:val="0"/>
          <w:bCs w:val="0"/>
          <w:color w:val="auto"/>
          <w:sz w:val="24"/>
          <w:highlight w:val="none"/>
          <w:lang w:eastAsia="zh-CN"/>
        </w:rPr>
        <w:t>。</w:t>
      </w:r>
    </w:p>
    <w:p w14:paraId="0A968135">
      <w:pPr>
        <w:spacing w:line="360" w:lineRule="auto"/>
        <w:ind w:firstLine="480" w:firstLineChars="200"/>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（3）根据现状监测数据，各厂界的昼间和夜间等效声级均满足《声环境质量标准》（GB3096-2008）中3类标准限值的要求。</w:t>
      </w:r>
    </w:p>
    <w:p w14:paraId="067A819F">
      <w:pPr>
        <w:spacing w:line="360" w:lineRule="auto"/>
        <w:ind w:firstLine="480" w:firstLineChars="200"/>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（4）本项目评价区域地下水水质较好，根据监测数据，各监测因子均达到《地下水质量标准》（GB/T14848-2017）Ⅲ类标准。</w:t>
      </w:r>
    </w:p>
    <w:p w14:paraId="29807212">
      <w:pPr>
        <w:spacing w:line="360" w:lineRule="auto"/>
        <w:ind w:firstLine="480" w:firstLineChars="200"/>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（5）区域土壤满足《土壤环境质量标准建设用地土壤污染风险管控标准》（GB36600-2018）第二类用地筛选值标准的要求。</w:t>
      </w:r>
    </w:p>
    <w:p w14:paraId="1D1D363D">
      <w:pPr>
        <w:pStyle w:val="4"/>
        <w:spacing w:after="156"/>
        <w:rPr>
          <w:color w:val="auto"/>
          <w:highlight w:val="none"/>
        </w:rPr>
      </w:pPr>
      <w:bookmarkStart w:id="643" w:name="_Toc117150328"/>
      <w:bookmarkStart w:id="644" w:name="_Toc152923416"/>
      <w:bookmarkStart w:id="645" w:name="_Toc152922141"/>
      <w:bookmarkStart w:id="646" w:name="_Toc152921776"/>
      <w:bookmarkStart w:id="647" w:name="_Toc152922735"/>
      <w:r>
        <w:rPr>
          <w:color w:val="auto"/>
          <w:highlight w:val="none"/>
        </w:rPr>
        <w:t>9.1.4</w:t>
      </w:r>
      <w:r>
        <w:rPr>
          <w:rFonts w:hint="eastAsia"/>
          <w:color w:val="auto"/>
          <w:highlight w:val="none"/>
          <w:lang w:val="en-US" w:eastAsia="zh-CN"/>
        </w:rPr>
        <w:t>主要环境影响结论</w:t>
      </w:r>
      <w:bookmarkEnd w:id="643"/>
      <w:bookmarkEnd w:id="644"/>
      <w:bookmarkEnd w:id="645"/>
      <w:bookmarkEnd w:id="646"/>
      <w:bookmarkEnd w:id="647"/>
    </w:p>
    <w:p w14:paraId="68E48F7D">
      <w:pPr>
        <w:pStyle w:val="352"/>
        <w:ind w:firstLine="480"/>
        <w:rPr>
          <w:b/>
          <w:bCs/>
          <w:color w:val="auto"/>
          <w:highlight w:val="none"/>
        </w:rPr>
      </w:pPr>
      <w:r>
        <w:rPr>
          <w:b/>
          <w:bCs/>
          <w:color w:val="auto"/>
          <w:highlight w:val="none"/>
        </w:rPr>
        <w:t>（1）</w:t>
      </w:r>
      <w:r>
        <w:rPr>
          <w:rFonts w:hint="eastAsia"/>
          <w:b/>
          <w:bCs/>
          <w:color w:val="auto"/>
          <w:highlight w:val="none"/>
          <w:lang w:val="en-US" w:eastAsia="zh-CN"/>
        </w:rPr>
        <w:t>运行期大气环境影响</w:t>
      </w:r>
    </w:p>
    <w:p w14:paraId="290807D0">
      <w:pPr>
        <w:spacing w:line="360" w:lineRule="auto"/>
        <w:ind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项目废气分为项目废气主要为</w:t>
      </w:r>
      <w:r>
        <w:rPr>
          <w:rFonts w:hint="default" w:ascii="Times New Roman" w:hAnsi="Times New Roman" w:eastAsia="宋体" w:cs="Times New Roman"/>
          <w:color w:val="auto"/>
          <w:kern w:val="0"/>
          <w:sz w:val="24"/>
          <w:highlight w:val="none"/>
          <w:lang w:val="en-US" w:eastAsia="zh-CN"/>
        </w:rPr>
        <w:t>除氧废气G1、转化炉燃烧废气G2、PSA提纯解吸气，油品装卸过程废气G4、油品加油过程G6和储罐呼吸废气G5，以及制氢工艺区无组织废气、站内汽车尾气</w:t>
      </w:r>
      <w:r>
        <w:rPr>
          <w:rFonts w:hint="default" w:ascii="Times New Roman" w:hAnsi="Times New Roman" w:eastAsia="宋体" w:cs="Times New Roman"/>
          <w:color w:val="auto"/>
          <w:kern w:val="0"/>
          <w:sz w:val="24"/>
          <w:highlight w:val="none"/>
        </w:rPr>
        <w:t>。</w:t>
      </w:r>
    </w:p>
    <w:p w14:paraId="7B08FA1C">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1）有组织废气</w:t>
      </w:r>
    </w:p>
    <w:p w14:paraId="288790C3">
      <w:pPr>
        <w:keepNext w:val="0"/>
        <w:keepLines w:val="0"/>
        <w:pageBreakBefore w:val="0"/>
        <w:widowControl w:val="0"/>
        <w:kinsoku/>
        <w:wordWrap/>
        <w:overflowPunct/>
        <w:topLinePunct w:val="0"/>
        <w:autoSpaceDE/>
        <w:autoSpaceDN/>
        <w:bidi w:val="0"/>
        <w:adjustRightInd/>
        <w:snapToGrid/>
        <w:spacing w:after="0" w:afterLines="0" w:line="360" w:lineRule="auto"/>
        <w:ind w:firstLine="480" w:firstLineChars="200"/>
        <w:jc w:val="both"/>
        <w:textAlignment w:val="auto"/>
        <w:rPr>
          <w:rFonts w:hint="eastAsia" w:ascii="Times New Roman" w:hAnsi="Times New Roman" w:eastAsia="宋体" w:cs="Times New Roman"/>
          <w:snapToGrid w:val="0"/>
          <w:color w:val="auto"/>
          <w:kern w:val="0"/>
          <w:sz w:val="24"/>
          <w:szCs w:val="22"/>
          <w:highlight w:val="none"/>
          <w:lang w:val="en-US" w:eastAsia="zh-CN" w:bidi="ar-SA"/>
        </w:rPr>
      </w:pPr>
      <w:r>
        <w:rPr>
          <w:rFonts w:hint="eastAsia" w:ascii="Times New Roman" w:hAnsi="Times New Roman" w:eastAsia="宋体" w:cs="Times New Roman"/>
          <w:snapToGrid w:val="0"/>
          <w:color w:val="auto"/>
          <w:kern w:val="0"/>
          <w:sz w:val="24"/>
          <w:szCs w:val="22"/>
          <w:highlight w:val="none"/>
          <w:lang w:val="en-US" w:eastAsia="zh-CN" w:bidi="ar-SA"/>
        </w:rPr>
        <w:t>本项目高温转化炉利用沼气和解吸气燃烧后热能进行供能，燃烧嘴配套低氮燃烧器，燃烧废气经15m排气筒DA001、DA002、DA003排放。经工程分析核算，燃烧废气SO</w:t>
      </w:r>
      <w:r>
        <w:rPr>
          <w:rFonts w:hint="eastAsia" w:ascii="Times New Roman" w:hAnsi="Times New Roman" w:eastAsia="宋体" w:cs="Times New Roman"/>
          <w:snapToGrid w:val="0"/>
          <w:color w:val="auto"/>
          <w:kern w:val="0"/>
          <w:sz w:val="24"/>
          <w:szCs w:val="22"/>
          <w:highlight w:val="none"/>
          <w:vertAlign w:val="subscript"/>
          <w:lang w:val="en-US" w:eastAsia="zh-CN" w:bidi="ar-SA"/>
        </w:rPr>
        <w:t>2</w:t>
      </w:r>
      <w:r>
        <w:rPr>
          <w:rFonts w:hint="eastAsia" w:ascii="Times New Roman" w:hAnsi="Times New Roman" w:eastAsia="宋体" w:cs="Times New Roman"/>
          <w:snapToGrid w:val="0"/>
          <w:color w:val="auto"/>
          <w:kern w:val="0"/>
          <w:sz w:val="24"/>
          <w:szCs w:val="22"/>
          <w:highlight w:val="none"/>
          <w:lang w:val="en-US" w:eastAsia="zh-CN" w:bidi="ar-SA"/>
        </w:rPr>
        <w:t>、NOx、颗粒物排放浓度满足</w:t>
      </w:r>
      <w:r>
        <w:rPr>
          <w:rFonts w:hint="eastAsia" w:ascii="Times New Roman" w:hAnsi="Times New Roman" w:cs="Times New Roman"/>
          <w:color w:val="auto"/>
          <w:sz w:val="24"/>
          <w:highlight w:val="none"/>
          <w:lang w:val="en-US" w:eastAsia="zh-CN"/>
        </w:rPr>
        <w:t>《石油化学工业污染物排放标准（含2024年修改单）》（GB31571-2015）表5中的特别排放限值要求。</w:t>
      </w:r>
    </w:p>
    <w:p w14:paraId="1C8CB3B0">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2）无组织废气</w:t>
      </w:r>
    </w:p>
    <w:p w14:paraId="2C993263">
      <w:pPr>
        <w:spacing w:line="360" w:lineRule="auto"/>
        <w:ind w:firstLine="480" w:firstLineChars="200"/>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rPr>
        <w:t>①</w:t>
      </w:r>
      <w:r>
        <w:rPr>
          <w:rFonts w:hint="default" w:ascii="Times New Roman" w:hAnsi="Times New Roman" w:eastAsia="宋体" w:cs="Times New Roman"/>
          <w:b w:val="0"/>
          <w:bCs w:val="0"/>
          <w:color w:val="auto"/>
          <w:sz w:val="24"/>
          <w:highlight w:val="none"/>
          <w:lang w:val="en-US" w:eastAsia="zh-CN"/>
        </w:rPr>
        <w:t>除氧废气G1</w:t>
      </w:r>
    </w:p>
    <w:p w14:paraId="2043BFD5">
      <w:pPr>
        <w:widowControl w:val="0"/>
        <w:adjustRightInd w:val="0"/>
        <w:snapToGrid w:val="0"/>
        <w:spacing w:line="360" w:lineRule="auto"/>
        <w:ind w:firstLine="480" w:firstLineChars="200"/>
        <w:jc w:val="both"/>
        <w:rPr>
          <w:rFonts w:hint="default" w:ascii="Times New Roman" w:hAnsi="Times New Roman" w:eastAsia="宋体" w:cs="Times New Roman"/>
          <w:color w:val="auto"/>
          <w:spacing w:val="0"/>
          <w:kern w:val="2"/>
          <w:sz w:val="24"/>
          <w:szCs w:val="22"/>
          <w:highlight w:val="none"/>
          <w:lang w:val="en-US" w:eastAsia="zh-CN" w:bidi="ar-SA"/>
        </w:rPr>
      </w:pPr>
      <w:r>
        <w:rPr>
          <w:rFonts w:hint="default" w:ascii="Times New Roman" w:hAnsi="Times New Roman" w:eastAsia="宋体" w:cs="Times New Roman"/>
          <w:color w:val="auto"/>
          <w:spacing w:val="0"/>
          <w:kern w:val="2"/>
          <w:sz w:val="24"/>
          <w:szCs w:val="22"/>
          <w:highlight w:val="none"/>
          <w:lang w:val="en-US" w:eastAsia="zh-CN" w:bidi="ar-SA"/>
        </w:rPr>
        <w:t>项目</w:t>
      </w:r>
      <w:r>
        <w:rPr>
          <w:rFonts w:hint="eastAsia" w:ascii="Times New Roman" w:hAnsi="Times New Roman" w:eastAsia="宋体" w:cs="Times New Roman"/>
          <w:color w:val="auto"/>
          <w:spacing w:val="0"/>
          <w:kern w:val="2"/>
          <w:sz w:val="24"/>
          <w:szCs w:val="22"/>
          <w:highlight w:val="none"/>
          <w:lang w:val="en-US" w:eastAsia="zh-CN" w:bidi="ar-SA"/>
        </w:rPr>
        <w:t>脱盐水及冷凝水在进入蒸汽发生器时需要进行高温除氧，产生少量除氧废气（氧气、水分等），对周边环境没有影响</w:t>
      </w:r>
      <w:r>
        <w:rPr>
          <w:rFonts w:hint="default" w:ascii="Times New Roman" w:hAnsi="Times New Roman" w:eastAsia="宋体" w:cs="Times New Roman"/>
          <w:color w:val="auto"/>
          <w:spacing w:val="0"/>
          <w:kern w:val="2"/>
          <w:sz w:val="24"/>
          <w:szCs w:val="22"/>
          <w:highlight w:val="none"/>
          <w:lang w:val="en-US" w:eastAsia="zh-CN" w:bidi="ar-SA"/>
        </w:rPr>
        <w:t>，无组织排放。</w:t>
      </w:r>
    </w:p>
    <w:p w14:paraId="2F14995A">
      <w:pPr>
        <w:spacing w:line="360" w:lineRule="auto"/>
        <w:ind w:firstLine="480" w:firstLineChars="200"/>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lang w:eastAsia="zh-CN"/>
        </w:rPr>
        <w:t>②</w:t>
      </w:r>
      <w:r>
        <w:rPr>
          <w:rFonts w:hint="default" w:ascii="Times New Roman" w:hAnsi="Times New Roman" w:eastAsia="宋体" w:cs="Times New Roman"/>
          <w:b w:val="0"/>
          <w:bCs w:val="0"/>
          <w:color w:val="auto"/>
          <w:kern w:val="0"/>
          <w:sz w:val="24"/>
          <w:highlight w:val="none"/>
          <w:lang w:val="en-US" w:eastAsia="zh-CN"/>
        </w:rPr>
        <w:t>油品装卸过程废气G4、油品加油过程G6和储罐呼吸废气G5</w:t>
      </w:r>
    </w:p>
    <w:p w14:paraId="73A451D8">
      <w:pPr>
        <w:widowControl w:val="0"/>
        <w:spacing w:line="360" w:lineRule="auto"/>
        <w:ind w:firstLine="480" w:firstLineChars="200"/>
        <w:jc w:val="left"/>
        <w:rPr>
          <w:rFonts w:hint="default" w:ascii="Times New Roman" w:hAnsi="Times New Roman" w:eastAsia="宋体" w:cs="Times New Roman"/>
          <w:color w:val="auto"/>
          <w:spacing w:val="0"/>
          <w:kern w:val="2"/>
          <w:sz w:val="24"/>
          <w:szCs w:val="22"/>
          <w:highlight w:val="none"/>
          <w:lang w:val="en-US" w:eastAsia="zh-CN" w:bidi="ar-SA"/>
        </w:rPr>
      </w:pPr>
      <w:r>
        <w:rPr>
          <w:rFonts w:hint="eastAsia" w:ascii="Times New Roman" w:hAnsi="Times New Roman" w:eastAsia="宋体" w:cs="Times New Roman"/>
          <w:color w:val="auto"/>
          <w:sz w:val="24"/>
          <w:szCs w:val="24"/>
          <w:highlight w:val="none"/>
          <w:lang w:val="en-US" w:eastAsia="zh-CN"/>
        </w:rPr>
        <w:t>本项目外运油品进站内与油罐装卸过程利用油气回收装置对装卸油气废气进行收集回收，加油过程产生废气采用加油油气回收装置进行油气回收，汽油储罐呼吸废气经油气排放处置装置收集处理，未被回收油气于站内无组织排放</w:t>
      </w:r>
      <w:r>
        <w:rPr>
          <w:rFonts w:hint="default" w:ascii="Times New Roman" w:hAnsi="Times New Roman" w:eastAsia="宋体" w:cs="Times New Roman"/>
          <w:color w:val="auto"/>
          <w:spacing w:val="0"/>
          <w:kern w:val="2"/>
          <w:sz w:val="24"/>
          <w:szCs w:val="22"/>
          <w:highlight w:val="none"/>
          <w:lang w:val="en-US" w:eastAsia="zh-CN" w:bidi="ar-SA"/>
        </w:rPr>
        <w:t>。</w:t>
      </w:r>
    </w:p>
    <w:p w14:paraId="76158312">
      <w:pPr>
        <w:spacing w:line="360" w:lineRule="auto"/>
        <w:ind w:firstLine="480" w:firstLineChars="200"/>
        <w:rPr>
          <w:rFonts w:hint="default" w:ascii="Times New Roman" w:hAnsi="Times New Roman" w:eastAsia="宋体" w:cs="Times New Roman"/>
          <w:b w:val="0"/>
          <w:bCs w:val="0"/>
          <w:color w:val="auto"/>
          <w:sz w:val="24"/>
          <w:highlight w:val="none"/>
        </w:rPr>
      </w:pPr>
      <w:r>
        <w:rPr>
          <w:rFonts w:hint="default" w:ascii="Times New Roman" w:hAnsi="Times New Roman" w:eastAsia="宋体" w:cs="Times New Roman"/>
          <w:b w:val="0"/>
          <w:bCs w:val="0"/>
          <w:color w:val="auto"/>
          <w:sz w:val="24"/>
          <w:highlight w:val="none"/>
          <w:lang w:eastAsia="zh-CN"/>
        </w:rPr>
        <w:t>③</w:t>
      </w:r>
      <w:r>
        <w:rPr>
          <w:rFonts w:hint="default" w:ascii="Times New Roman" w:hAnsi="Times New Roman" w:eastAsia="宋体" w:cs="Times New Roman"/>
          <w:b w:val="0"/>
          <w:bCs w:val="0"/>
          <w:color w:val="auto"/>
          <w:kern w:val="0"/>
          <w:sz w:val="24"/>
          <w:highlight w:val="none"/>
          <w:lang w:val="en-US" w:eastAsia="zh-CN"/>
        </w:rPr>
        <w:t>制氢工艺区无组织废气</w:t>
      </w:r>
    </w:p>
    <w:p w14:paraId="78025EF0">
      <w:pPr>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本项目生产过程对设备密闭性要求很高，工程设计设备、物料输送管道及泵的密封处均采用优质密封环，可有效避免无组织废气排放。项目氢气充装完之后，拆卸软管，需要把充装软管头的残留氢气排掉，间歇排放，对环境影响较小，无组织排放。</w:t>
      </w:r>
    </w:p>
    <w:p w14:paraId="78CE014E">
      <w:pPr>
        <w:spacing w:line="360" w:lineRule="auto"/>
        <w:ind w:firstLine="480" w:firstLineChars="200"/>
        <w:rPr>
          <w:rFonts w:hint="default" w:ascii="Times New Roman" w:hAnsi="Times New Roman" w:eastAsia="宋体" w:cs="Times New Roman"/>
          <w:b/>
          <w:bCs/>
          <w:color w:val="auto"/>
          <w:sz w:val="24"/>
          <w:highlight w:val="none"/>
        </w:rPr>
      </w:pPr>
      <w:r>
        <w:rPr>
          <w:rFonts w:hint="eastAsia" w:ascii="Times New Roman" w:hAnsi="Times New Roman" w:eastAsia="宋体" w:cs="Times New Roman"/>
          <w:color w:val="auto"/>
          <w:kern w:val="0"/>
          <w:sz w:val="24"/>
          <w:highlight w:val="none"/>
          <w:lang w:val="en-US" w:eastAsia="zh-CN"/>
        </w:rPr>
        <w:t>④</w:t>
      </w:r>
      <w:r>
        <w:rPr>
          <w:rFonts w:hint="default" w:ascii="Times New Roman" w:hAnsi="Times New Roman" w:eastAsia="宋体" w:cs="Times New Roman"/>
          <w:color w:val="auto"/>
          <w:kern w:val="0"/>
          <w:sz w:val="24"/>
          <w:highlight w:val="none"/>
          <w:lang w:val="en-US" w:eastAsia="zh-CN"/>
        </w:rPr>
        <w:t>站内汽车尾气</w:t>
      </w:r>
    </w:p>
    <w:p w14:paraId="7246B2C1">
      <w:pPr>
        <w:widowControl w:val="0"/>
        <w:adjustRightInd w:val="0"/>
        <w:snapToGrid w:val="0"/>
        <w:spacing w:line="360" w:lineRule="auto"/>
        <w:ind w:firstLine="480" w:firstLineChars="200"/>
        <w:jc w:val="both"/>
        <w:rPr>
          <w:rFonts w:hint="default" w:ascii="Times New Roman" w:hAnsi="Times New Roman" w:eastAsia="宋体" w:cs="Times New Roman"/>
          <w:color w:val="auto"/>
          <w:spacing w:val="0"/>
          <w:kern w:val="2"/>
          <w:sz w:val="24"/>
          <w:szCs w:val="22"/>
          <w:highlight w:val="none"/>
          <w:lang w:val="en-US" w:eastAsia="zh-CN" w:bidi="ar-SA"/>
        </w:rPr>
      </w:pPr>
      <w:r>
        <w:rPr>
          <w:rFonts w:hint="eastAsia"/>
          <w:color w:val="auto"/>
          <w:sz w:val="24"/>
          <w:highlight w:val="none"/>
          <w:lang w:val="en-US" w:eastAsia="zh-CN"/>
        </w:rPr>
        <w:t>汽车尾气，车辆所排放的尾气中主要污染物为CO、NO</w:t>
      </w:r>
      <w:r>
        <w:rPr>
          <w:rFonts w:hint="eastAsia"/>
          <w:color w:val="auto"/>
          <w:sz w:val="24"/>
          <w:highlight w:val="none"/>
          <w:vertAlign w:val="subscript"/>
          <w:lang w:val="en-US" w:eastAsia="zh-CN"/>
        </w:rPr>
        <w:t>X</w:t>
      </w:r>
      <w:r>
        <w:rPr>
          <w:rFonts w:hint="eastAsia"/>
          <w:color w:val="auto"/>
          <w:sz w:val="24"/>
          <w:highlight w:val="none"/>
          <w:lang w:val="en-US" w:eastAsia="zh-CN"/>
        </w:rPr>
        <w:t>及颗粒物，污染物产生量较少，且间歇产生及排放，加之项目区域地势较为开阔，排放的汽车尾气能够迅速被环境空气稀释、扩散，对周围环境影响不大。</w:t>
      </w:r>
    </w:p>
    <w:p w14:paraId="43A227F4">
      <w:pPr>
        <w:widowControl w:val="0"/>
        <w:adjustRightInd w:val="0"/>
        <w:snapToGrid w:val="0"/>
        <w:spacing w:line="360" w:lineRule="auto"/>
        <w:ind w:firstLine="482" w:firstLineChars="200"/>
        <w:jc w:val="both"/>
        <w:rPr>
          <w:rFonts w:hint="default" w:ascii="Times New Roman" w:hAnsi="Times New Roman" w:eastAsia="宋体" w:cs="Times New Roman"/>
          <w:b/>
          <w:bCs/>
          <w:color w:val="auto"/>
          <w:spacing w:val="0"/>
          <w:kern w:val="2"/>
          <w:sz w:val="24"/>
          <w:szCs w:val="22"/>
          <w:highlight w:val="none"/>
          <w:lang w:val="en-US" w:eastAsia="zh-CN" w:bidi="ar-SA"/>
        </w:rPr>
      </w:pPr>
      <w:r>
        <w:rPr>
          <w:rFonts w:hint="default" w:ascii="Times New Roman" w:hAnsi="Times New Roman" w:eastAsia="宋体" w:cs="Times New Roman"/>
          <w:b/>
          <w:bCs/>
          <w:color w:val="auto"/>
          <w:spacing w:val="0"/>
          <w:kern w:val="2"/>
          <w:sz w:val="24"/>
          <w:szCs w:val="22"/>
          <w:highlight w:val="none"/>
          <w:lang w:val="en-US" w:eastAsia="zh-CN" w:bidi="ar-SA"/>
        </w:rPr>
        <w:t>3）结论</w:t>
      </w:r>
    </w:p>
    <w:p w14:paraId="033E5D5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经预测结果表明，项目运营后，废气污染物占标率均小于10%，废气污染物排放对区域大气环境质量造成的不利影响较小，不会改变区域内大气环境质量的现有功能。</w:t>
      </w:r>
    </w:p>
    <w:p w14:paraId="39137362">
      <w:pPr>
        <w:pStyle w:val="352"/>
        <w:ind w:firstLine="480"/>
        <w:rPr>
          <w:color w:val="auto"/>
          <w:highlight w:val="none"/>
        </w:rPr>
      </w:pPr>
      <w:r>
        <w:rPr>
          <w:color w:val="auto"/>
          <w:highlight w:val="none"/>
        </w:rPr>
        <w:t>非正常排放时，</w:t>
      </w:r>
      <w:r>
        <w:rPr>
          <w:rFonts w:hint="eastAsia" w:ascii="宋体" w:hAnsi="宋体" w:eastAsia="宋体" w:cs="宋体"/>
          <w:b w:val="0"/>
          <w:bCs w:val="0"/>
          <w:color w:val="auto"/>
          <w:sz w:val="24"/>
          <w:szCs w:val="24"/>
          <w:highlight w:val="none"/>
        </w:rPr>
        <w:t>将系统内残余气体送应急焚烧装置，之后用氮气对全系统进行吹扫，一年停车一次，氮气吹扫气体送至应急焚烧装置，一般可在</w:t>
      </w:r>
      <w:r>
        <w:rPr>
          <w:rFonts w:ascii="Times New Roman" w:hAnsi="Times New Roman" w:eastAsia="Times New Roman" w:cs="Times New Roman"/>
          <w:b w:val="0"/>
          <w:bCs w:val="0"/>
          <w:color w:val="auto"/>
          <w:sz w:val="24"/>
          <w:szCs w:val="24"/>
          <w:highlight w:val="none"/>
        </w:rPr>
        <w:t>20min</w:t>
      </w:r>
      <w:r>
        <w:rPr>
          <w:rFonts w:hint="eastAsia" w:ascii="宋体" w:hAnsi="宋体" w:eastAsia="宋体" w:cs="宋体"/>
          <w:b w:val="0"/>
          <w:bCs w:val="0"/>
          <w:color w:val="auto"/>
          <w:sz w:val="24"/>
          <w:szCs w:val="24"/>
          <w:highlight w:val="none"/>
        </w:rPr>
        <w:t>内可完成吹扫过程。</w:t>
      </w:r>
      <w:r>
        <w:rPr>
          <w:rFonts w:hint="eastAsia" w:ascii="宋体" w:hAnsi="宋体" w:eastAsia="宋体" w:cs="宋体"/>
          <w:b w:val="0"/>
          <w:bCs w:val="0"/>
          <w:color w:val="auto"/>
          <w:sz w:val="24"/>
          <w:szCs w:val="24"/>
          <w:highlight w:val="none"/>
          <w:lang w:val="en-US" w:eastAsia="zh-CN"/>
        </w:rPr>
        <w:t>同时本项目设置ESD系统（紧急停车系统），在不同的应急条件下进行应急处理，确保不会发生安全事故</w:t>
      </w:r>
      <w:r>
        <w:rPr>
          <w:color w:val="auto"/>
          <w:highlight w:val="none"/>
        </w:rPr>
        <w:t>；</w:t>
      </w:r>
    </w:p>
    <w:p w14:paraId="72A74CF2">
      <w:pPr>
        <w:pStyle w:val="352"/>
        <w:ind w:firstLine="480"/>
        <w:rPr>
          <w:color w:val="auto"/>
          <w:highlight w:val="none"/>
        </w:rPr>
      </w:pPr>
      <w:r>
        <w:rPr>
          <w:rFonts w:hint="eastAsia"/>
          <w:color w:val="auto"/>
          <w:highlight w:val="none"/>
          <w:lang w:val="en-US" w:eastAsia="zh-CN"/>
        </w:rPr>
        <w:t>为防止</w:t>
      </w:r>
      <w:r>
        <w:rPr>
          <w:color w:val="auto"/>
          <w:highlight w:val="none"/>
        </w:rPr>
        <w:t>本项目</w:t>
      </w:r>
      <w:r>
        <w:rPr>
          <w:rFonts w:hint="eastAsia"/>
          <w:color w:val="auto"/>
          <w:highlight w:val="none"/>
          <w:lang w:val="en-US" w:eastAsia="zh-CN"/>
        </w:rPr>
        <w:t>无组织废气对周边环境影响，以厂界外延50m、设置</w:t>
      </w:r>
      <w:r>
        <w:rPr>
          <w:color w:val="auto"/>
          <w:highlight w:val="none"/>
        </w:rPr>
        <w:t>环境防护距离。</w:t>
      </w:r>
      <w:r>
        <w:rPr>
          <w:rFonts w:hint="eastAsia"/>
          <w:color w:val="auto"/>
          <w:highlight w:val="none"/>
          <w:lang w:val="en-US" w:eastAsia="zh-CN"/>
        </w:rPr>
        <w:t>环境防护距离内</w:t>
      </w:r>
      <w:r>
        <w:rPr>
          <w:color w:val="auto"/>
          <w:highlight w:val="none"/>
        </w:rPr>
        <w:t>不得新建学校、医院、居民住宅等环境敏感目标。</w:t>
      </w:r>
    </w:p>
    <w:p w14:paraId="4653F99C">
      <w:pPr>
        <w:pStyle w:val="352"/>
        <w:ind w:firstLine="480"/>
        <w:rPr>
          <w:rFonts w:hint="default" w:eastAsia="宋体"/>
          <w:b/>
          <w:bCs/>
          <w:color w:val="auto"/>
          <w:highlight w:val="none"/>
          <w:lang w:val="en-US" w:eastAsia="zh-CN"/>
        </w:rPr>
      </w:pPr>
      <w:r>
        <w:rPr>
          <w:b/>
          <w:bCs/>
          <w:color w:val="auto"/>
          <w:highlight w:val="none"/>
        </w:rPr>
        <w:t>（2）</w:t>
      </w:r>
      <w:r>
        <w:rPr>
          <w:rFonts w:hint="eastAsia"/>
          <w:b/>
          <w:bCs/>
          <w:color w:val="auto"/>
          <w:highlight w:val="none"/>
          <w:lang w:val="en-US" w:eastAsia="zh-CN"/>
        </w:rPr>
        <w:t>运行期</w:t>
      </w:r>
      <w:r>
        <w:rPr>
          <w:b/>
          <w:bCs/>
          <w:color w:val="auto"/>
          <w:highlight w:val="none"/>
        </w:rPr>
        <w:t>水</w:t>
      </w:r>
      <w:r>
        <w:rPr>
          <w:rFonts w:hint="eastAsia"/>
          <w:b/>
          <w:bCs/>
          <w:color w:val="auto"/>
          <w:highlight w:val="none"/>
          <w:lang w:val="en-US" w:eastAsia="zh-CN"/>
        </w:rPr>
        <w:t>环境影响</w:t>
      </w:r>
    </w:p>
    <w:p w14:paraId="15A33351">
      <w:pPr>
        <w:pStyle w:val="352"/>
        <w:ind w:firstLine="480"/>
        <w:rPr>
          <w:color w:val="auto"/>
          <w:highlight w:val="none"/>
        </w:rPr>
      </w:pPr>
      <w:r>
        <w:rPr>
          <w:color w:val="auto"/>
          <w:highlight w:val="none"/>
        </w:rPr>
        <w:t>建设项目厂区排水体制实行</w:t>
      </w:r>
      <w:r>
        <w:rPr>
          <w:rFonts w:hint="eastAsia"/>
          <w:color w:val="auto"/>
          <w:highlight w:val="none"/>
          <w:lang w:eastAsia="zh-CN"/>
        </w:rPr>
        <w:t>“</w:t>
      </w:r>
      <w:r>
        <w:rPr>
          <w:color w:val="auto"/>
          <w:highlight w:val="none"/>
        </w:rPr>
        <w:t>雨污分流、清污分流</w:t>
      </w:r>
      <w:r>
        <w:rPr>
          <w:rFonts w:hint="eastAsia"/>
          <w:color w:val="auto"/>
          <w:highlight w:val="none"/>
          <w:lang w:eastAsia="zh-CN"/>
        </w:rPr>
        <w:t>”</w:t>
      </w:r>
      <w:r>
        <w:rPr>
          <w:color w:val="auto"/>
          <w:highlight w:val="none"/>
        </w:rPr>
        <w:t>，雨水经雨水管网收集排入区域雨水管网。</w:t>
      </w:r>
    </w:p>
    <w:p w14:paraId="5F07C8EE">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厂区雨水接管市政雨水管网排放；</w:t>
      </w:r>
      <w:r>
        <w:rPr>
          <w:rFonts w:hint="default" w:ascii="Times New Roman" w:hAnsi="Times New Roman" w:eastAsia="宋体" w:cs="Times New Roman"/>
          <w:b w:val="0"/>
          <w:bCs/>
          <w:color w:val="auto"/>
          <w:kern w:val="2"/>
          <w:sz w:val="24"/>
          <w:szCs w:val="24"/>
          <w:highlight w:val="none"/>
          <w:lang w:val="zh-CN" w:eastAsia="zh-CN" w:bidi="ar-SA"/>
        </w:rPr>
        <w:t>生活污水</w:t>
      </w:r>
      <w:r>
        <w:rPr>
          <w:rFonts w:hint="eastAsia" w:ascii="Times New Roman" w:hAnsi="Times New Roman" w:eastAsia="宋体" w:cs="Times New Roman"/>
          <w:b w:val="0"/>
          <w:bCs/>
          <w:color w:val="auto"/>
          <w:kern w:val="2"/>
          <w:sz w:val="24"/>
          <w:szCs w:val="24"/>
          <w:highlight w:val="none"/>
          <w:lang w:val="zh-CN" w:eastAsia="zh-CN" w:bidi="ar-SA"/>
        </w:rPr>
        <w:t>、</w:t>
      </w:r>
      <w:r>
        <w:rPr>
          <w:rFonts w:hint="eastAsia" w:ascii="Times New Roman" w:hAnsi="Times New Roman" w:eastAsia="宋体" w:cs="Times New Roman"/>
          <w:b w:val="0"/>
          <w:bCs/>
          <w:color w:val="auto"/>
          <w:kern w:val="2"/>
          <w:sz w:val="24"/>
          <w:szCs w:val="24"/>
          <w:highlight w:val="none"/>
          <w:lang w:val="en-US" w:eastAsia="zh-CN" w:bidi="ar-SA"/>
        </w:rPr>
        <w:t>保洁废水经厂区</w:t>
      </w:r>
      <w:r>
        <w:rPr>
          <w:rFonts w:hint="default" w:ascii="Times New Roman" w:hAnsi="Times New Roman" w:eastAsia="宋体" w:cs="Times New Roman"/>
          <w:b w:val="0"/>
          <w:bCs/>
          <w:color w:val="auto"/>
          <w:kern w:val="2"/>
          <w:sz w:val="24"/>
          <w:szCs w:val="24"/>
          <w:highlight w:val="none"/>
          <w:lang w:val="zh-CN" w:eastAsia="zh-CN" w:bidi="ar-SA"/>
        </w:rPr>
        <w:t>化粪池预处理后</w:t>
      </w:r>
      <w:r>
        <w:rPr>
          <w:rFonts w:hint="eastAsia" w:ascii="Times New Roman" w:hAnsi="Times New Roman" w:eastAsia="宋体" w:cs="Times New Roman"/>
          <w:b w:val="0"/>
          <w:bCs/>
          <w:color w:val="auto"/>
          <w:kern w:val="2"/>
          <w:sz w:val="24"/>
          <w:szCs w:val="24"/>
          <w:highlight w:val="none"/>
          <w:lang w:val="en-US" w:eastAsia="zh-CN" w:bidi="ar-SA"/>
        </w:rPr>
        <w:t>接管</w:t>
      </w:r>
      <w:r>
        <w:rPr>
          <w:rFonts w:hint="default" w:ascii="Times New Roman" w:hAnsi="Times New Roman" w:eastAsia="宋体" w:cs="Times New Roman"/>
          <w:b w:val="0"/>
          <w:bCs/>
          <w:color w:val="auto"/>
          <w:kern w:val="2"/>
          <w:sz w:val="24"/>
          <w:szCs w:val="24"/>
          <w:highlight w:val="none"/>
          <w:lang w:val="zh-CN" w:eastAsia="zh-CN" w:bidi="ar-SA"/>
        </w:rPr>
        <w:t>市政污水管网，然后进入</w:t>
      </w:r>
      <w:r>
        <w:rPr>
          <w:rFonts w:hint="eastAsia" w:ascii="Times New Roman" w:hAnsi="Times New Roman" w:eastAsia="宋体" w:cs="Times New Roman"/>
          <w:b w:val="0"/>
          <w:bCs/>
          <w:color w:val="auto"/>
          <w:kern w:val="2"/>
          <w:sz w:val="24"/>
          <w:szCs w:val="24"/>
          <w:highlight w:val="none"/>
          <w:lang w:val="en-US" w:eastAsia="zh-CN" w:bidi="ar-SA"/>
        </w:rPr>
        <w:t>田家庵经济开发区污水处理站</w:t>
      </w:r>
      <w:r>
        <w:rPr>
          <w:rFonts w:hint="default" w:ascii="Times New Roman" w:hAnsi="Times New Roman" w:eastAsia="宋体" w:cs="Times New Roman"/>
          <w:b w:val="0"/>
          <w:bCs/>
          <w:color w:val="auto"/>
          <w:kern w:val="2"/>
          <w:sz w:val="24"/>
          <w:szCs w:val="24"/>
          <w:highlight w:val="none"/>
          <w:lang w:val="zh-CN" w:eastAsia="zh-CN" w:bidi="ar-SA"/>
        </w:rPr>
        <w:t>，</w:t>
      </w:r>
      <w:r>
        <w:rPr>
          <w:rFonts w:hint="eastAsia" w:ascii="Times New Roman" w:hAnsi="Times New Roman" w:eastAsia="宋体" w:cs="Times New Roman"/>
          <w:b w:val="0"/>
          <w:bCs/>
          <w:color w:val="auto"/>
          <w:kern w:val="2"/>
          <w:sz w:val="24"/>
          <w:szCs w:val="24"/>
          <w:highlight w:val="none"/>
          <w:lang w:val="en-US" w:eastAsia="zh-CN" w:bidi="ar-SA"/>
        </w:rPr>
        <w:t>间接循环冷却废水、脱盐水制备产生浓水、反冲洗水直接接管市政污水管网，洗车废水、初期雨水经隔油沉淀处理后接管市政污水管网</w:t>
      </w:r>
      <w:r>
        <w:rPr>
          <w:rFonts w:hint="default" w:ascii="Times New Roman" w:hAnsi="Times New Roman" w:eastAsia="宋体" w:cs="Times New Roman"/>
          <w:b w:val="0"/>
          <w:bCs/>
          <w:color w:val="auto"/>
          <w:kern w:val="2"/>
          <w:sz w:val="24"/>
          <w:szCs w:val="24"/>
          <w:highlight w:val="none"/>
          <w:lang w:val="zh-CN" w:eastAsia="zh-CN" w:bidi="ar-SA"/>
        </w:rPr>
        <w:t>进入</w:t>
      </w:r>
      <w:r>
        <w:rPr>
          <w:rFonts w:hint="eastAsia" w:ascii="Times New Roman" w:hAnsi="Times New Roman" w:eastAsia="宋体" w:cs="Times New Roman"/>
          <w:b w:val="0"/>
          <w:bCs/>
          <w:color w:val="auto"/>
          <w:kern w:val="2"/>
          <w:sz w:val="24"/>
          <w:szCs w:val="24"/>
          <w:highlight w:val="none"/>
          <w:lang w:val="en-US" w:eastAsia="zh-CN" w:bidi="ar-SA"/>
        </w:rPr>
        <w:t>田家庵经济开发区污水处理站</w:t>
      </w:r>
      <w:r>
        <w:rPr>
          <w:rFonts w:hint="eastAsia" w:cs="Times New Roman"/>
          <w:b w:val="0"/>
          <w:bCs/>
          <w:color w:val="auto"/>
          <w:kern w:val="2"/>
          <w:sz w:val="24"/>
          <w:szCs w:val="24"/>
          <w:highlight w:val="none"/>
          <w:lang w:val="zh-CN" w:eastAsia="zh-CN" w:bidi="ar-SA"/>
        </w:rPr>
        <w:t>，</w:t>
      </w:r>
      <w:r>
        <w:rPr>
          <w:rFonts w:hint="eastAsia" w:cs="Times New Roman"/>
          <w:b w:val="0"/>
          <w:bCs/>
          <w:color w:val="auto"/>
          <w:kern w:val="2"/>
          <w:sz w:val="24"/>
          <w:szCs w:val="24"/>
          <w:highlight w:val="none"/>
          <w:lang w:val="en-US" w:eastAsia="zh-CN" w:bidi="ar-SA"/>
        </w:rPr>
        <w:t>尾水</w:t>
      </w:r>
      <w:r>
        <w:rPr>
          <w:rFonts w:hint="default" w:ascii="Times New Roman" w:hAnsi="Times New Roman" w:eastAsia="宋体" w:cs="Times New Roman"/>
          <w:b w:val="0"/>
          <w:bCs/>
          <w:color w:val="auto"/>
          <w:kern w:val="2"/>
          <w:sz w:val="24"/>
          <w:szCs w:val="24"/>
          <w:highlight w:val="none"/>
          <w:lang w:val="zh-CN" w:eastAsia="zh-CN" w:bidi="ar-SA"/>
        </w:rPr>
        <w:t>《城镇污水处理厂污染物排放标准》（GB18918-2002）一级A标准后，尾水排入林桥涧沟，最终汇入瓦埠湖。</w:t>
      </w:r>
    </w:p>
    <w:p w14:paraId="1389BBCF">
      <w:pPr>
        <w:pStyle w:val="352"/>
        <w:ind w:firstLine="480"/>
        <w:rPr>
          <w:b/>
          <w:bCs/>
          <w:color w:val="auto"/>
          <w:highlight w:val="none"/>
        </w:rPr>
      </w:pPr>
      <w:r>
        <w:rPr>
          <w:b/>
          <w:bCs/>
          <w:color w:val="auto"/>
          <w:highlight w:val="none"/>
        </w:rPr>
        <w:t>（3）</w:t>
      </w:r>
      <w:r>
        <w:rPr>
          <w:rFonts w:hint="eastAsia"/>
          <w:b/>
          <w:bCs/>
          <w:color w:val="auto"/>
          <w:highlight w:val="none"/>
          <w:lang w:val="en-US" w:eastAsia="zh-CN"/>
        </w:rPr>
        <w:t>运行期声环境影响</w:t>
      </w:r>
    </w:p>
    <w:p w14:paraId="0540C791">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本项目建成投产后，采取</w:t>
      </w:r>
      <w:r>
        <w:rPr>
          <w:rFonts w:hint="default" w:ascii="Times New Roman" w:hAnsi="Times New Roman" w:eastAsia="宋体" w:cs="Times New Roman"/>
          <w:color w:val="auto"/>
          <w:sz w:val="24"/>
          <w:highlight w:val="none"/>
          <w:lang w:eastAsia="zh-CN"/>
        </w:rPr>
        <w:t>相应</w:t>
      </w:r>
      <w:r>
        <w:rPr>
          <w:rFonts w:hint="default" w:ascii="Times New Roman" w:hAnsi="Times New Roman" w:eastAsia="宋体" w:cs="Times New Roman"/>
          <w:color w:val="auto"/>
          <w:sz w:val="24"/>
          <w:highlight w:val="none"/>
        </w:rPr>
        <w:t>降噪措施</w:t>
      </w:r>
      <w:r>
        <w:rPr>
          <w:rFonts w:hint="default" w:ascii="Times New Roman" w:hAnsi="Times New Roman" w:eastAsia="宋体" w:cs="Times New Roman"/>
          <w:color w:val="auto"/>
          <w:sz w:val="24"/>
          <w:highlight w:val="none"/>
          <w:lang w:eastAsia="zh-CN"/>
        </w:rPr>
        <w:t>后</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东厂界</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南厂界</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西厂界</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lang w:eastAsia="zh-CN"/>
        </w:rPr>
        <w:t>北厂界</w:t>
      </w:r>
      <w:r>
        <w:rPr>
          <w:rFonts w:hint="eastAsia" w:ascii="Times New Roman" w:hAnsi="Times New Roman" w:eastAsia="宋体" w:cs="Times New Roman"/>
          <w:color w:val="auto"/>
          <w:sz w:val="24"/>
          <w:highlight w:val="none"/>
          <w:lang w:val="en-US" w:eastAsia="zh-CN"/>
        </w:rPr>
        <w:t>均</w:t>
      </w:r>
      <w:r>
        <w:rPr>
          <w:rFonts w:hint="default" w:ascii="Times New Roman" w:hAnsi="Times New Roman" w:eastAsia="宋体" w:cs="Times New Roman"/>
          <w:color w:val="auto"/>
          <w:sz w:val="24"/>
          <w:highlight w:val="none"/>
          <w:lang w:eastAsia="zh-CN"/>
        </w:rPr>
        <w:t>噪声满足</w:t>
      </w:r>
      <w:r>
        <w:rPr>
          <w:rFonts w:hint="default" w:ascii="Times New Roman" w:hAnsi="Times New Roman" w:eastAsia="宋体" w:cs="Times New Roman"/>
          <w:color w:val="auto"/>
          <w:sz w:val="24"/>
          <w:highlight w:val="none"/>
        </w:rPr>
        <w:t>《工业企业厂界环境噪声排放标准》（GB12348-2008）中的3</w:t>
      </w:r>
      <w:r>
        <w:rPr>
          <w:rFonts w:hint="default" w:ascii="Times New Roman" w:hAnsi="Times New Roman" w:eastAsia="宋体" w:cs="Times New Roman"/>
          <w:color w:val="auto"/>
          <w:sz w:val="24"/>
          <w:highlight w:val="none"/>
          <w:lang w:eastAsia="zh-CN"/>
        </w:rPr>
        <w:t>类</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4a类</w:t>
      </w:r>
      <w:r>
        <w:rPr>
          <w:rFonts w:hint="default" w:ascii="Times New Roman" w:hAnsi="Times New Roman" w:eastAsia="宋体" w:cs="Times New Roman"/>
          <w:color w:val="auto"/>
          <w:sz w:val="24"/>
          <w:highlight w:val="none"/>
        </w:rPr>
        <w:t>标准</w:t>
      </w:r>
      <w:r>
        <w:rPr>
          <w:rFonts w:hint="default" w:ascii="Times New Roman" w:hAnsi="Times New Roman" w:eastAsia="宋体" w:cs="Times New Roman"/>
          <w:color w:val="auto"/>
          <w:sz w:val="24"/>
          <w:highlight w:val="none"/>
          <w:lang w:eastAsia="zh-CN"/>
        </w:rPr>
        <w:t>。</w:t>
      </w:r>
    </w:p>
    <w:p w14:paraId="7F549CCB">
      <w:pPr>
        <w:pStyle w:val="352"/>
        <w:ind w:firstLine="480"/>
        <w:rPr>
          <w:rFonts w:hint="default" w:eastAsia="宋体"/>
          <w:b/>
          <w:bCs/>
          <w:color w:val="auto"/>
          <w:highlight w:val="none"/>
          <w:lang w:val="en-US" w:eastAsia="zh-CN"/>
        </w:rPr>
      </w:pPr>
      <w:r>
        <w:rPr>
          <w:b/>
          <w:bCs/>
          <w:color w:val="auto"/>
          <w:highlight w:val="none"/>
        </w:rPr>
        <w:t>（4）</w:t>
      </w:r>
      <w:r>
        <w:rPr>
          <w:rFonts w:hint="eastAsia"/>
          <w:b/>
          <w:bCs/>
          <w:color w:val="auto"/>
          <w:highlight w:val="none"/>
          <w:lang w:val="en-US" w:eastAsia="zh-CN"/>
        </w:rPr>
        <w:t>运行期</w:t>
      </w:r>
      <w:r>
        <w:rPr>
          <w:b/>
          <w:bCs/>
          <w:color w:val="auto"/>
          <w:highlight w:val="none"/>
        </w:rPr>
        <w:t>固废</w:t>
      </w:r>
      <w:r>
        <w:rPr>
          <w:rFonts w:hint="eastAsia"/>
          <w:b/>
          <w:bCs/>
          <w:color w:val="auto"/>
          <w:highlight w:val="none"/>
          <w:lang w:val="en-US" w:eastAsia="zh-CN"/>
        </w:rPr>
        <w:t>环境影响</w:t>
      </w:r>
    </w:p>
    <w:p w14:paraId="4316D8A5">
      <w:pPr>
        <w:pStyle w:val="352"/>
        <w:ind w:firstLine="480"/>
        <w:rPr>
          <w:rFonts w:hint="eastAsia"/>
          <w:color w:val="auto"/>
          <w:highlight w:val="none"/>
          <w:lang w:val="en-US" w:eastAsia="zh-CN"/>
        </w:rPr>
      </w:pPr>
      <w:r>
        <w:rPr>
          <w:color w:val="auto"/>
          <w:highlight w:val="none"/>
        </w:rPr>
        <w:t>本项目固废包括员工生活垃圾</w:t>
      </w:r>
      <w:r>
        <w:rPr>
          <w:rFonts w:hint="eastAsia"/>
          <w:color w:val="auto"/>
          <w:highlight w:val="none"/>
          <w:lang w:eastAsia="zh-CN"/>
        </w:rPr>
        <w:t>、</w:t>
      </w:r>
      <w:r>
        <w:rPr>
          <w:rFonts w:hint="eastAsia"/>
          <w:color w:val="auto"/>
          <w:highlight w:val="none"/>
          <w:lang w:val="en-US" w:eastAsia="zh-CN"/>
        </w:rPr>
        <w:t>一般固废（</w:t>
      </w:r>
      <w:r>
        <w:rPr>
          <w:rFonts w:hint="eastAsia" w:ascii="Times New Roman" w:hAnsi="Times New Roman" w:eastAsia="宋体" w:cs="Times New Roman"/>
          <w:color w:val="auto"/>
          <w:sz w:val="24"/>
          <w:szCs w:val="24"/>
          <w:highlight w:val="none"/>
          <w:lang w:val="en-US" w:eastAsia="zh-CN"/>
        </w:rPr>
        <w:t>沼气除杂产生废过滤膜、制氮机</w:t>
      </w:r>
      <w:r>
        <w:rPr>
          <w:rFonts w:hint="default" w:ascii="Times New Roman" w:hAnsi="Times New Roman" w:eastAsia="宋体" w:cs="Times New Roman"/>
          <w:color w:val="auto"/>
          <w:sz w:val="24"/>
          <w:szCs w:val="24"/>
          <w:highlight w:val="none"/>
          <w:lang w:eastAsia="zh-CN"/>
        </w:rPr>
        <w:t>废</w:t>
      </w:r>
      <w:r>
        <w:rPr>
          <w:rFonts w:hint="eastAsia" w:ascii="Times New Roman" w:hAnsi="Times New Roman" w:eastAsia="宋体" w:cs="Times New Roman"/>
          <w:color w:val="auto"/>
          <w:sz w:val="24"/>
          <w:szCs w:val="24"/>
          <w:highlight w:val="none"/>
          <w:lang w:val="en-US" w:eastAsia="zh-CN"/>
        </w:rPr>
        <w:t>过滤膜</w:t>
      </w:r>
      <w:r>
        <w:rPr>
          <w:rFonts w:hint="default" w:ascii="Times New Roman" w:hAnsi="Times New Roman" w:eastAsia="宋体" w:cs="Times New Roman"/>
          <w:snapToGrid w:val="0"/>
          <w:color w:val="auto"/>
          <w:kern w:val="0"/>
          <w:sz w:val="24"/>
          <w:szCs w:val="22"/>
          <w:highlight w:val="none"/>
          <w:lang w:val="en-US" w:eastAsia="zh-CN" w:bidi="ar-SA"/>
        </w:rPr>
        <w:t>、</w:t>
      </w:r>
      <w:r>
        <w:rPr>
          <w:rFonts w:hint="default" w:ascii="Times New Roman" w:hAnsi="Times New Roman" w:eastAsia="宋体" w:cs="Times New Roman"/>
          <w:color w:val="auto"/>
          <w:sz w:val="24"/>
          <w:szCs w:val="24"/>
          <w:highlight w:val="none"/>
          <w:lang w:eastAsia="zh-CN"/>
        </w:rPr>
        <w:t>脱盐水产生的废滤芯、废滤膜</w:t>
      </w:r>
      <w:r>
        <w:rPr>
          <w:rFonts w:hint="eastAsia"/>
          <w:color w:val="auto"/>
          <w:highlight w:val="none"/>
          <w:lang w:val="en-US" w:eastAsia="zh-CN"/>
        </w:rPr>
        <w:t>）</w:t>
      </w:r>
      <w:r>
        <w:rPr>
          <w:color w:val="auto"/>
          <w:highlight w:val="none"/>
        </w:rPr>
        <w:t>和</w:t>
      </w:r>
      <w:r>
        <w:rPr>
          <w:rFonts w:hint="eastAsia"/>
          <w:color w:val="auto"/>
          <w:highlight w:val="none"/>
          <w:lang w:val="en-US" w:eastAsia="zh-CN"/>
        </w:rPr>
        <w:t>危险废物（</w:t>
      </w:r>
      <w:r>
        <w:rPr>
          <w:rFonts w:hint="default" w:ascii="Times New Roman" w:hAnsi="Times New Roman" w:eastAsia="宋体" w:cs="Times New Roman"/>
          <w:color w:val="auto"/>
          <w:sz w:val="24"/>
          <w:szCs w:val="24"/>
          <w:highlight w:val="none"/>
          <w:lang w:eastAsia="zh-CN"/>
        </w:rPr>
        <w:t>制氢过程产生的</w:t>
      </w:r>
      <w:r>
        <w:rPr>
          <w:rFonts w:hint="eastAsia" w:ascii="Times New Roman" w:hAnsi="Times New Roman" w:eastAsia="宋体" w:cs="Times New Roman"/>
          <w:color w:val="auto"/>
          <w:sz w:val="24"/>
          <w:szCs w:val="24"/>
          <w:highlight w:val="none"/>
          <w:lang w:val="en-US" w:eastAsia="zh-CN"/>
        </w:rPr>
        <w:t>废吸附剂</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废脱硫剂、废催化剂、隔油沉淀产生废污泥、清罐废油泥（含废清理液）</w:t>
      </w:r>
      <w:r>
        <w:rPr>
          <w:rFonts w:hint="eastAsia"/>
          <w:color w:val="auto"/>
          <w:highlight w:val="none"/>
          <w:lang w:val="en-US" w:eastAsia="zh-CN"/>
        </w:rPr>
        <w:t>）</w:t>
      </w:r>
      <w:r>
        <w:rPr>
          <w:color w:val="auto"/>
          <w:highlight w:val="none"/>
        </w:rPr>
        <w:t>。生活垃圾由环卫部门定期清运；</w:t>
      </w:r>
      <w:r>
        <w:rPr>
          <w:rFonts w:hint="default" w:ascii="Times New Roman" w:hAnsi="Times New Roman" w:eastAsia="宋体" w:cs="Times New Roman"/>
          <w:color w:val="auto"/>
          <w:sz w:val="24"/>
          <w:szCs w:val="24"/>
          <w:highlight w:val="none"/>
          <w:lang w:eastAsia="zh-CN"/>
        </w:rPr>
        <w:t>制氢过程产生的</w:t>
      </w:r>
      <w:r>
        <w:rPr>
          <w:rFonts w:hint="eastAsia" w:ascii="Times New Roman" w:hAnsi="Times New Roman" w:eastAsia="宋体" w:cs="Times New Roman"/>
          <w:color w:val="auto"/>
          <w:sz w:val="24"/>
          <w:szCs w:val="24"/>
          <w:highlight w:val="none"/>
          <w:lang w:val="en-US" w:eastAsia="zh-CN"/>
        </w:rPr>
        <w:t>废吸附剂</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废脱硫剂、废催化剂</w:t>
      </w:r>
      <w:r>
        <w:rPr>
          <w:color w:val="auto"/>
          <w:highlight w:val="none"/>
        </w:rPr>
        <w:t>更换后及时由危废处置单位运走，不在厂内贮存，</w:t>
      </w:r>
      <w:r>
        <w:rPr>
          <w:rFonts w:hint="eastAsia" w:ascii="Times New Roman" w:hAnsi="Times New Roman" w:eastAsia="宋体" w:cs="Times New Roman"/>
          <w:color w:val="auto"/>
          <w:sz w:val="24"/>
          <w:szCs w:val="24"/>
          <w:highlight w:val="none"/>
          <w:lang w:val="en-US" w:eastAsia="zh-CN"/>
        </w:rPr>
        <w:t>清罐废油泥（含废清理液）由资质单位处置，隔油沉淀产生废污泥</w:t>
      </w:r>
      <w:r>
        <w:rPr>
          <w:color w:val="auto"/>
          <w:highlight w:val="none"/>
        </w:rPr>
        <w:t>送</w:t>
      </w:r>
      <w:r>
        <w:rPr>
          <w:rFonts w:hint="eastAsia"/>
          <w:color w:val="auto"/>
          <w:highlight w:val="none"/>
          <w:lang w:val="en-US" w:eastAsia="zh-CN"/>
        </w:rPr>
        <w:t>站内</w:t>
      </w:r>
      <w:r>
        <w:rPr>
          <w:color w:val="auto"/>
          <w:highlight w:val="none"/>
        </w:rPr>
        <w:t>危废库暂存，委托具有危废处置资质的单位处置，危废库重点防渗。</w:t>
      </w:r>
      <w:r>
        <w:rPr>
          <w:rFonts w:hint="eastAsia"/>
          <w:color w:val="auto"/>
          <w:highlight w:val="none"/>
          <w:lang w:val="en-US" w:eastAsia="zh-CN"/>
        </w:rPr>
        <w:t>一般固废分区暂存定期外售物资回收部门。在采取上述措施前提下，固体废物对环境的影响降低到最低程度。</w:t>
      </w:r>
    </w:p>
    <w:p w14:paraId="33CD0783">
      <w:pPr>
        <w:pStyle w:val="352"/>
        <w:ind w:firstLine="480"/>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（5）</w:t>
      </w:r>
      <w:r>
        <w:rPr>
          <w:rFonts w:hint="eastAsia" w:ascii="Times New Roman" w:hAnsi="Times New Roman" w:eastAsia="宋体" w:cs="Times New Roman"/>
          <w:b/>
          <w:bCs/>
          <w:color w:val="auto"/>
          <w:highlight w:val="none"/>
          <w:lang w:val="en-US" w:eastAsia="zh-CN"/>
        </w:rPr>
        <w:t>运行期</w:t>
      </w:r>
      <w:r>
        <w:rPr>
          <w:rFonts w:ascii="Times New Roman" w:hAnsi="Times New Roman" w:eastAsia="宋体" w:cs="Times New Roman"/>
          <w:b/>
          <w:bCs/>
          <w:color w:val="auto"/>
          <w:highlight w:val="none"/>
        </w:rPr>
        <w:t>地下水环境影响</w:t>
      </w:r>
    </w:p>
    <w:p w14:paraId="7E9E111A">
      <w:pPr>
        <w:widowControl w:val="0"/>
        <w:adjustRightInd w:val="0"/>
        <w:snapToGrid w:val="0"/>
        <w:spacing w:after="0" w:afterLines="0" w:line="360" w:lineRule="auto"/>
        <w:ind w:firstLine="476" w:firstLineChars="200"/>
        <w:jc w:val="both"/>
        <w:rPr>
          <w:rFonts w:hint="default" w:ascii="Times New Roman" w:hAnsi="Times New Roman" w:eastAsia="宋体" w:cs="Times New Roman"/>
          <w:snapToGrid w:val="0"/>
          <w:color w:val="auto"/>
          <w:spacing w:val="-1"/>
          <w:kern w:val="0"/>
          <w:sz w:val="24"/>
          <w:szCs w:val="22"/>
          <w:highlight w:val="none"/>
          <w:lang w:val="en-US" w:eastAsia="zh-CN" w:bidi="ar-SA"/>
        </w:rPr>
      </w:pPr>
      <w:r>
        <w:rPr>
          <w:rFonts w:hint="default" w:ascii="Times New Roman" w:hAnsi="Times New Roman" w:eastAsia="宋体" w:cs="Times New Roman"/>
          <w:snapToGrid w:val="0"/>
          <w:color w:val="auto"/>
          <w:spacing w:val="-1"/>
          <w:kern w:val="0"/>
          <w:sz w:val="24"/>
          <w:szCs w:val="22"/>
          <w:highlight w:val="none"/>
          <w:lang w:val="en-US" w:eastAsia="zh-CN" w:bidi="ar-SA"/>
        </w:rPr>
        <w:t>项目采取分区防渗措施，一般防渗区采用水泥硬化地面防渗，确保防渗层渗漏系数≤10</w:t>
      </w:r>
      <w:r>
        <w:rPr>
          <w:rFonts w:hint="default" w:ascii="Times New Roman" w:hAnsi="Times New Roman" w:eastAsia="宋体" w:cs="Times New Roman"/>
          <w:snapToGrid w:val="0"/>
          <w:color w:val="auto"/>
          <w:spacing w:val="-1"/>
          <w:kern w:val="0"/>
          <w:sz w:val="24"/>
          <w:szCs w:val="22"/>
          <w:highlight w:val="none"/>
          <w:vertAlign w:val="superscript"/>
          <w:lang w:val="en-US" w:eastAsia="zh-CN" w:bidi="ar-SA"/>
        </w:rPr>
        <w:t>-7</w:t>
      </w:r>
      <w:r>
        <w:rPr>
          <w:rFonts w:hint="default" w:ascii="Times New Roman" w:hAnsi="Times New Roman" w:eastAsia="宋体" w:cs="Times New Roman"/>
          <w:snapToGrid w:val="0"/>
          <w:color w:val="auto"/>
          <w:spacing w:val="-1"/>
          <w:kern w:val="0"/>
          <w:sz w:val="24"/>
          <w:szCs w:val="22"/>
          <w:highlight w:val="none"/>
          <w:lang w:val="en-US" w:eastAsia="zh-CN" w:bidi="ar-SA"/>
        </w:rPr>
        <w:t>cm/s。重点防渗区域采用高密度聚乙烯材料或其他人工材料防渗，确保重点防渗区为可视、可控状态，确保重点防渗区防渗层防渗系数≤10</w:t>
      </w:r>
      <w:r>
        <w:rPr>
          <w:rFonts w:hint="default" w:ascii="Times New Roman" w:hAnsi="Times New Roman" w:eastAsia="宋体" w:cs="Times New Roman"/>
          <w:snapToGrid w:val="0"/>
          <w:color w:val="auto"/>
          <w:spacing w:val="-1"/>
          <w:kern w:val="0"/>
          <w:sz w:val="24"/>
          <w:szCs w:val="22"/>
          <w:highlight w:val="none"/>
          <w:vertAlign w:val="superscript"/>
          <w:lang w:val="en-US" w:eastAsia="zh-CN" w:bidi="ar-SA"/>
        </w:rPr>
        <w:t>-10</w:t>
      </w:r>
      <w:r>
        <w:rPr>
          <w:rFonts w:hint="default" w:ascii="Times New Roman" w:hAnsi="Times New Roman" w:eastAsia="宋体" w:cs="Times New Roman"/>
          <w:snapToGrid w:val="0"/>
          <w:color w:val="auto"/>
          <w:spacing w:val="-1"/>
          <w:kern w:val="0"/>
          <w:sz w:val="24"/>
          <w:szCs w:val="22"/>
          <w:highlight w:val="none"/>
          <w:lang w:val="en-US" w:eastAsia="zh-CN" w:bidi="ar-SA"/>
        </w:rPr>
        <w:t>cm/s。</w:t>
      </w:r>
    </w:p>
    <w:p w14:paraId="1E57B58A">
      <w:pPr>
        <w:pStyle w:val="352"/>
        <w:ind w:firstLine="480"/>
        <w:rPr>
          <w:color w:val="auto"/>
          <w:highlight w:val="none"/>
        </w:rPr>
      </w:pPr>
      <w:r>
        <w:rPr>
          <w:color w:val="auto"/>
          <w:highlight w:val="none"/>
        </w:rPr>
        <w:t>综上所述，从地下水环境保护角度看，本项目的地下水环境影响是可以接受的。</w:t>
      </w:r>
    </w:p>
    <w:p w14:paraId="22CA85D8">
      <w:pPr>
        <w:pStyle w:val="352"/>
        <w:ind w:firstLine="480"/>
        <w:rPr>
          <w:color w:val="auto"/>
          <w:highlight w:val="none"/>
        </w:rPr>
      </w:pPr>
      <w:r>
        <w:rPr>
          <w:color w:val="auto"/>
          <w:highlight w:val="none"/>
        </w:rPr>
        <w:t>（6）</w:t>
      </w:r>
      <w:r>
        <w:rPr>
          <w:rFonts w:hint="eastAsia"/>
          <w:color w:val="auto"/>
          <w:highlight w:val="none"/>
          <w:lang w:val="en-US" w:eastAsia="zh-CN"/>
        </w:rPr>
        <w:t>运行期</w:t>
      </w:r>
      <w:r>
        <w:rPr>
          <w:color w:val="auto"/>
          <w:highlight w:val="none"/>
        </w:rPr>
        <w:t>土壤环境影响</w:t>
      </w:r>
    </w:p>
    <w:p w14:paraId="56365EF4">
      <w:pPr>
        <w:pStyle w:val="352"/>
        <w:ind w:firstLine="480"/>
        <w:rPr>
          <w:rFonts w:hint="default"/>
          <w:color w:val="auto"/>
          <w:highlight w:val="none"/>
        </w:rPr>
      </w:pPr>
      <w:r>
        <w:rPr>
          <w:rFonts w:hint="default"/>
          <w:color w:val="auto"/>
          <w:highlight w:val="none"/>
          <w:lang w:val="en-US" w:eastAsia="zh-CN"/>
        </w:rPr>
        <w:t>本项目土壤环境影响评价等级为</w:t>
      </w:r>
      <w:r>
        <w:rPr>
          <w:rFonts w:hint="eastAsia"/>
          <w:color w:val="auto"/>
          <w:highlight w:val="none"/>
          <w:lang w:val="en-US" w:eastAsia="zh-CN"/>
        </w:rPr>
        <w:t>二</w:t>
      </w:r>
      <w:r>
        <w:rPr>
          <w:rFonts w:hint="default"/>
          <w:color w:val="auto"/>
          <w:highlight w:val="none"/>
          <w:lang w:val="en-US" w:eastAsia="zh-CN"/>
        </w:rPr>
        <w:t>级。根据预测数据可知，项目运营5</w:t>
      </w:r>
      <w:r>
        <w:rPr>
          <w:rFonts w:hint="eastAsia"/>
          <w:color w:val="auto"/>
          <w:highlight w:val="none"/>
          <w:lang w:val="en-US" w:eastAsia="zh-CN"/>
        </w:rPr>
        <w:t>～3</w:t>
      </w:r>
      <w:r>
        <w:rPr>
          <w:rFonts w:hint="default"/>
          <w:color w:val="auto"/>
          <w:highlight w:val="none"/>
          <w:lang w:val="en-US" w:eastAsia="zh-CN"/>
        </w:rPr>
        <w:t>0年后周围影响区域土壤中</w:t>
      </w:r>
      <w:r>
        <w:rPr>
          <w:rFonts w:hint="eastAsia"/>
          <w:color w:val="auto"/>
          <w:highlight w:val="none"/>
          <w:lang w:val="en-US" w:eastAsia="zh-CN"/>
        </w:rPr>
        <w:t>石油烃</w:t>
      </w:r>
      <w:r>
        <w:rPr>
          <w:rFonts w:hint="default"/>
          <w:color w:val="auto"/>
          <w:highlight w:val="none"/>
          <w:lang w:val="en-US" w:eastAsia="zh-CN"/>
        </w:rPr>
        <w:t>累积量小于《土壤环境质量建设用地土壤污染风险管控标准（试行）》（GB15618-2018）第二类用地的筛选值的风险筛选值。同时，项目运营期采取分区防渗等措施后，能有效降低对土壤污染影响。在落实本次评价提出的土壤保护措施的前提下，项目建设对厂区及周边土壤环境的影响小。</w:t>
      </w:r>
    </w:p>
    <w:p w14:paraId="10BEF0D6">
      <w:pPr>
        <w:pStyle w:val="4"/>
        <w:spacing w:after="156"/>
        <w:rPr>
          <w:color w:val="auto"/>
          <w:highlight w:val="none"/>
        </w:rPr>
      </w:pPr>
      <w:bookmarkStart w:id="648" w:name="_Toc152922737"/>
      <w:bookmarkStart w:id="649" w:name="_Toc117150330"/>
      <w:bookmarkStart w:id="650" w:name="_Toc152921778"/>
      <w:bookmarkStart w:id="651" w:name="_Toc152923418"/>
      <w:bookmarkStart w:id="652" w:name="_Toc152922143"/>
      <w:r>
        <w:rPr>
          <w:color w:val="auto"/>
          <w:highlight w:val="none"/>
        </w:rPr>
        <w:t>9.1.</w:t>
      </w:r>
      <w:r>
        <w:rPr>
          <w:rFonts w:hint="eastAsia"/>
          <w:color w:val="auto"/>
          <w:highlight w:val="none"/>
          <w:lang w:val="en-US" w:eastAsia="zh-CN"/>
        </w:rPr>
        <w:t>5</w:t>
      </w:r>
      <w:r>
        <w:rPr>
          <w:color w:val="auto"/>
          <w:highlight w:val="none"/>
        </w:rPr>
        <w:t>公众意见采纳情况</w:t>
      </w:r>
      <w:bookmarkEnd w:id="648"/>
      <w:bookmarkEnd w:id="649"/>
      <w:bookmarkEnd w:id="650"/>
      <w:bookmarkEnd w:id="651"/>
      <w:bookmarkEnd w:id="652"/>
    </w:p>
    <w:p w14:paraId="5AFD45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本次环评以网络公示和报纸公示相结合的方式，广泛征求意见。网络公示及报纸期间，均未收到反对意见。项目公示期间未收到群众的反对意见，公众对项目的建设是认可的。</w:t>
      </w:r>
    </w:p>
    <w:p w14:paraId="31F4FF1D">
      <w:pPr>
        <w:pStyle w:val="352"/>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建设单位应在建设过程中及运营后加强管理，应重视公众提出的意见和要求，力求解决好公众关心的各类环境问题，严格执行</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三同时</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制度，以取得当地人民政府和群众的支持，确保经济效益、环境效益和社会效益的协调发展。</w:t>
      </w:r>
    </w:p>
    <w:p w14:paraId="6A1A00AC">
      <w:pPr>
        <w:pStyle w:val="4"/>
        <w:spacing w:after="156"/>
        <w:rPr>
          <w:color w:val="auto"/>
          <w:highlight w:val="none"/>
        </w:rPr>
      </w:pPr>
      <w:bookmarkStart w:id="653" w:name="_Toc152922144"/>
      <w:bookmarkStart w:id="654" w:name="_Toc152923419"/>
      <w:bookmarkStart w:id="655" w:name="_Toc152922738"/>
      <w:bookmarkStart w:id="656" w:name="_Toc117150331"/>
      <w:bookmarkStart w:id="657" w:name="_Toc152921779"/>
      <w:r>
        <w:rPr>
          <w:color w:val="auto"/>
          <w:highlight w:val="none"/>
        </w:rPr>
        <w:t>9.1.</w:t>
      </w:r>
      <w:r>
        <w:rPr>
          <w:rFonts w:hint="eastAsia"/>
          <w:color w:val="auto"/>
          <w:highlight w:val="none"/>
          <w:lang w:val="en-US" w:eastAsia="zh-CN"/>
        </w:rPr>
        <w:t>6</w:t>
      </w:r>
      <w:r>
        <w:rPr>
          <w:color w:val="auto"/>
          <w:highlight w:val="none"/>
        </w:rPr>
        <w:t>环境风险</w:t>
      </w:r>
      <w:bookmarkEnd w:id="653"/>
      <w:bookmarkEnd w:id="654"/>
      <w:bookmarkEnd w:id="655"/>
      <w:bookmarkEnd w:id="656"/>
      <w:bookmarkEnd w:id="657"/>
    </w:p>
    <w:p w14:paraId="73C03D98">
      <w:pPr>
        <w:pStyle w:val="352"/>
        <w:ind w:firstLine="480"/>
        <w:rPr>
          <w:rFonts w:hint="default"/>
          <w:color w:val="auto"/>
          <w:highlight w:val="none"/>
          <w:lang w:val="en-US" w:eastAsia="zh-CN"/>
        </w:rPr>
      </w:pPr>
      <w:r>
        <w:rPr>
          <w:rFonts w:hint="default"/>
          <w:color w:val="auto"/>
          <w:highlight w:val="none"/>
          <w:lang w:val="en-US" w:eastAsia="zh-CN"/>
        </w:rPr>
        <w:t>根据风险分析可知，本项目风险潜势为I，最大可信事故为</w:t>
      </w:r>
      <w:r>
        <w:rPr>
          <w:rFonts w:hint="eastAsia"/>
          <w:color w:val="auto"/>
          <w:highlight w:val="none"/>
          <w:lang w:val="en-US" w:eastAsia="zh-CN"/>
        </w:rPr>
        <w:t>油罐、储氢装置泄漏</w:t>
      </w:r>
      <w:r>
        <w:rPr>
          <w:rFonts w:hint="default"/>
          <w:color w:val="auto"/>
          <w:highlight w:val="none"/>
          <w:lang w:val="en-US" w:eastAsia="zh-CN"/>
        </w:rPr>
        <w:t>，发生</w:t>
      </w:r>
      <w:r>
        <w:rPr>
          <w:rFonts w:hint="eastAsia"/>
          <w:color w:val="auto"/>
          <w:highlight w:val="none"/>
          <w:lang w:val="en-US" w:eastAsia="zh-CN"/>
        </w:rPr>
        <w:t>泄漏</w:t>
      </w:r>
      <w:r>
        <w:rPr>
          <w:rFonts w:hint="default"/>
          <w:color w:val="auto"/>
          <w:highlight w:val="none"/>
          <w:lang w:val="en-US" w:eastAsia="zh-CN"/>
        </w:rPr>
        <w:t>的主要危害表现在对</w:t>
      </w:r>
      <w:r>
        <w:rPr>
          <w:rFonts w:hint="eastAsia"/>
          <w:color w:val="auto"/>
          <w:highlight w:val="none"/>
          <w:lang w:val="en-US" w:eastAsia="zh-CN"/>
        </w:rPr>
        <w:t>土壤、</w:t>
      </w:r>
      <w:r>
        <w:rPr>
          <w:rFonts w:hint="default"/>
          <w:color w:val="auto"/>
          <w:highlight w:val="none"/>
          <w:lang w:val="en-US" w:eastAsia="zh-CN"/>
        </w:rPr>
        <w:t>地下水的污染</w:t>
      </w:r>
      <w:r>
        <w:rPr>
          <w:rFonts w:hint="eastAsia"/>
          <w:color w:val="auto"/>
          <w:highlight w:val="none"/>
          <w:lang w:val="en-US" w:eastAsia="zh-CN"/>
        </w:rPr>
        <w:t>，以及爆炸引发火灾伴生污染物</w:t>
      </w:r>
      <w:r>
        <w:rPr>
          <w:rFonts w:hint="default"/>
          <w:color w:val="auto"/>
          <w:highlight w:val="none"/>
          <w:lang w:val="en-US" w:eastAsia="zh-CN"/>
        </w:rPr>
        <w:t>；</w:t>
      </w:r>
      <w:r>
        <w:rPr>
          <w:rFonts w:hint="eastAsia"/>
          <w:color w:val="auto"/>
          <w:highlight w:val="none"/>
          <w:lang w:val="en-US" w:eastAsia="zh-CN"/>
        </w:rPr>
        <w:t>部分原料</w:t>
      </w:r>
      <w:r>
        <w:rPr>
          <w:rFonts w:hint="default"/>
          <w:color w:val="auto"/>
          <w:highlight w:val="none"/>
          <w:lang w:val="en-US" w:eastAsia="zh-CN"/>
        </w:rPr>
        <w:t>遇见火花等可能造成火灾爆炸事故次生的环境污染。建设单位需采取制定环境风险应急预案，对项目分区防渗，</w:t>
      </w:r>
      <w:r>
        <w:rPr>
          <w:rFonts w:hint="eastAsia"/>
          <w:color w:val="auto"/>
          <w:highlight w:val="none"/>
          <w:lang w:val="en-US" w:eastAsia="zh-CN"/>
        </w:rPr>
        <w:t>储备应急物资，罐区地面做好防腐、防渗处理，采用双层罐，四周设置截流沟与水封井相连，四周设置1m高围堰，可燃气体报警器、火灾报警器、液位检测仪、围油设备、收油设备、防护服、防毒面罩、消防设备及其他应急物资。</w:t>
      </w:r>
    </w:p>
    <w:p w14:paraId="22C10FB4">
      <w:pPr>
        <w:pStyle w:val="352"/>
        <w:ind w:firstLine="480"/>
        <w:rPr>
          <w:rFonts w:hint="default"/>
          <w:color w:val="auto"/>
          <w:highlight w:val="none"/>
          <w:lang w:val="en-US" w:eastAsia="zh-CN"/>
        </w:rPr>
      </w:pPr>
      <w:r>
        <w:rPr>
          <w:rFonts w:hint="default"/>
          <w:color w:val="auto"/>
          <w:highlight w:val="none"/>
          <w:lang w:val="en-US" w:eastAsia="zh-CN"/>
        </w:rPr>
        <w:t>本报告针对项目的工程特点，提出防范风险的管理措施及风险应急预案，建设单位在认真落实本报告提出的各项防范措施的基础上，项目的环境风险是可以接受的。</w:t>
      </w:r>
    </w:p>
    <w:p w14:paraId="0EBF8815">
      <w:pPr>
        <w:pStyle w:val="4"/>
        <w:spacing w:after="156"/>
        <w:rPr>
          <w:color w:val="auto"/>
          <w:highlight w:val="none"/>
        </w:rPr>
      </w:pPr>
      <w:bookmarkStart w:id="658" w:name="_Toc152923420"/>
      <w:bookmarkStart w:id="659" w:name="_Toc152921780"/>
      <w:bookmarkStart w:id="660" w:name="_Toc117150332"/>
      <w:bookmarkStart w:id="661" w:name="_Toc152922739"/>
      <w:bookmarkStart w:id="662" w:name="_Toc152922145"/>
      <w:r>
        <w:rPr>
          <w:color w:val="auto"/>
          <w:highlight w:val="none"/>
        </w:rPr>
        <w:t>9.1.</w:t>
      </w:r>
      <w:r>
        <w:rPr>
          <w:rFonts w:hint="eastAsia"/>
          <w:color w:val="auto"/>
          <w:highlight w:val="none"/>
          <w:lang w:val="en-US" w:eastAsia="zh-CN"/>
        </w:rPr>
        <w:t>7</w:t>
      </w:r>
      <w:r>
        <w:rPr>
          <w:color w:val="auto"/>
          <w:highlight w:val="none"/>
        </w:rPr>
        <w:t>环境影响经济损益分析</w:t>
      </w:r>
      <w:bookmarkEnd w:id="658"/>
      <w:bookmarkEnd w:id="659"/>
      <w:bookmarkEnd w:id="660"/>
      <w:bookmarkEnd w:id="661"/>
      <w:bookmarkEnd w:id="662"/>
    </w:p>
    <w:p w14:paraId="13439F5C">
      <w:pPr>
        <w:pStyle w:val="352"/>
        <w:ind w:firstLine="480"/>
        <w:rPr>
          <w:color w:val="auto"/>
          <w:highlight w:val="none"/>
        </w:rPr>
      </w:pPr>
      <w:r>
        <w:rPr>
          <w:color w:val="auto"/>
          <w:highlight w:val="none"/>
        </w:rPr>
        <w:t>项目在确保环保资金和污染治理设施到位的前提下，项目产生的</w:t>
      </w:r>
      <w:r>
        <w:rPr>
          <w:rFonts w:hint="eastAsia"/>
          <w:color w:val="auto"/>
          <w:highlight w:val="none"/>
          <w:lang w:eastAsia="zh-CN"/>
        </w:rPr>
        <w:t>“</w:t>
      </w:r>
      <w:r>
        <w:rPr>
          <w:color w:val="auto"/>
          <w:highlight w:val="none"/>
        </w:rPr>
        <w:t>三废</w:t>
      </w:r>
      <w:r>
        <w:rPr>
          <w:rFonts w:hint="eastAsia"/>
          <w:color w:val="auto"/>
          <w:highlight w:val="none"/>
          <w:lang w:eastAsia="zh-CN"/>
        </w:rPr>
        <w:t>”</w:t>
      </w:r>
      <w:r>
        <w:rPr>
          <w:color w:val="auto"/>
          <w:highlight w:val="none"/>
        </w:rPr>
        <w:t>在采取合理的处理处置措施后，可明显降低其对周围环境的危害，并取得一定的经济效益。由此可见，本项目环保投资具有较好的环境经济效益。</w:t>
      </w:r>
    </w:p>
    <w:p w14:paraId="0B496E93">
      <w:pPr>
        <w:pStyle w:val="4"/>
        <w:spacing w:after="156"/>
        <w:rPr>
          <w:color w:val="auto"/>
          <w:highlight w:val="none"/>
        </w:rPr>
      </w:pPr>
      <w:bookmarkStart w:id="663" w:name="_Toc152922740"/>
      <w:bookmarkStart w:id="664" w:name="_Toc117150333"/>
      <w:bookmarkStart w:id="665" w:name="_Toc152921781"/>
      <w:bookmarkStart w:id="666" w:name="_Toc152923421"/>
      <w:bookmarkStart w:id="667" w:name="_Toc152922146"/>
      <w:r>
        <w:rPr>
          <w:color w:val="auto"/>
          <w:highlight w:val="none"/>
        </w:rPr>
        <w:t>9.1.</w:t>
      </w:r>
      <w:r>
        <w:rPr>
          <w:rFonts w:hint="eastAsia"/>
          <w:color w:val="auto"/>
          <w:highlight w:val="none"/>
          <w:lang w:val="en-US" w:eastAsia="zh-CN"/>
        </w:rPr>
        <w:t>8</w:t>
      </w:r>
      <w:r>
        <w:rPr>
          <w:color w:val="auto"/>
          <w:highlight w:val="none"/>
        </w:rPr>
        <w:t>环境管理与环境监测</w:t>
      </w:r>
      <w:bookmarkEnd w:id="663"/>
      <w:bookmarkEnd w:id="664"/>
      <w:bookmarkEnd w:id="665"/>
      <w:bookmarkEnd w:id="666"/>
      <w:bookmarkEnd w:id="667"/>
    </w:p>
    <w:p w14:paraId="171245C0">
      <w:pPr>
        <w:pStyle w:val="352"/>
        <w:ind w:firstLine="480"/>
        <w:rPr>
          <w:color w:val="auto"/>
          <w:highlight w:val="none"/>
        </w:rPr>
      </w:pPr>
      <w:r>
        <w:rPr>
          <w:color w:val="auto"/>
          <w:highlight w:val="none"/>
        </w:rPr>
        <w:t>本项目在运营期阶段制定了相应的环境管理要求，建设单位应根据相应的污染物排放清单严格控制污染物的排放，确保达标。另外，建设单位应不断完善环境管理机构和环保制度，完善环保设施运维费用保障计划。根据相应的环境质量和污染源监测计划，定期委托有相关监测资质的社会单位进行污染物监测。</w:t>
      </w:r>
    </w:p>
    <w:p w14:paraId="62B1ECE3">
      <w:pPr>
        <w:pStyle w:val="4"/>
        <w:spacing w:after="156"/>
        <w:rPr>
          <w:color w:val="auto"/>
          <w:highlight w:val="none"/>
        </w:rPr>
      </w:pPr>
      <w:bookmarkStart w:id="668" w:name="_Toc117150334"/>
      <w:bookmarkStart w:id="669" w:name="_Toc152921782"/>
      <w:bookmarkStart w:id="670" w:name="_Toc152923422"/>
      <w:bookmarkStart w:id="671" w:name="_Toc152922741"/>
      <w:bookmarkStart w:id="672" w:name="_Toc152922147"/>
      <w:r>
        <w:rPr>
          <w:color w:val="auto"/>
          <w:highlight w:val="none"/>
        </w:rPr>
        <w:t>9.1.</w:t>
      </w:r>
      <w:r>
        <w:rPr>
          <w:rFonts w:hint="eastAsia"/>
          <w:color w:val="auto"/>
          <w:highlight w:val="none"/>
          <w:lang w:val="en-US" w:eastAsia="zh-CN"/>
        </w:rPr>
        <w:t>9</w:t>
      </w:r>
      <w:r>
        <w:rPr>
          <w:color w:val="auto"/>
          <w:highlight w:val="none"/>
        </w:rPr>
        <w:t>总结论</w:t>
      </w:r>
      <w:bookmarkEnd w:id="668"/>
      <w:bookmarkEnd w:id="669"/>
      <w:bookmarkEnd w:id="670"/>
      <w:bookmarkEnd w:id="671"/>
      <w:bookmarkEnd w:id="672"/>
    </w:p>
    <w:p w14:paraId="1C0365E6">
      <w:pPr>
        <w:pStyle w:val="352"/>
        <w:ind w:firstLine="482"/>
        <w:rPr>
          <w:b/>
          <w:color w:val="auto"/>
          <w:highlight w:val="none"/>
        </w:rPr>
      </w:pPr>
      <w:r>
        <w:rPr>
          <w:b/>
          <w:color w:val="auto"/>
          <w:highlight w:val="none"/>
        </w:rPr>
        <w:t>综上所述，建设项目符合国家及地方的产业政策，选址合理，清洁生产水平均能达到国内同行业清洁生产先进水平的要求，采用的各项污染防治措施可行，总体上对评价区域环境影响较小，不会降低区域的环境质量现状，总量在可控制的范围内平衡，</w:t>
      </w:r>
      <w:r>
        <w:rPr>
          <w:rFonts w:hint="eastAsia"/>
          <w:b/>
          <w:color w:val="auto"/>
          <w:highlight w:val="none"/>
          <w:lang w:val="en-US" w:eastAsia="zh-CN"/>
        </w:rPr>
        <w:t>经企业进行公众参与调查，</w:t>
      </w:r>
      <w:r>
        <w:rPr>
          <w:b/>
          <w:color w:val="auto"/>
          <w:highlight w:val="none"/>
        </w:rPr>
        <w:t>周围居民对该项目的建设持支持态度</w:t>
      </w:r>
      <w:r>
        <w:rPr>
          <w:rFonts w:hint="eastAsia"/>
          <w:b/>
          <w:color w:val="auto"/>
          <w:highlight w:val="none"/>
          <w:lang w:eastAsia="zh-CN"/>
        </w:rPr>
        <w:t>。</w:t>
      </w:r>
      <w:r>
        <w:rPr>
          <w:rFonts w:hint="eastAsia"/>
          <w:b/>
          <w:color w:val="auto"/>
          <w:highlight w:val="none"/>
          <w:lang w:val="en-US" w:eastAsia="zh-CN"/>
        </w:rPr>
        <w:t>本项目</w:t>
      </w:r>
      <w:r>
        <w:rPr>
          <w:b/>
          <w:color w:val="auto"/>
          <w:highlight w:val="none"/>
        </w:rPr>
        <w:t>具有一定的风险，但在加强风险防范措施，建立风险应急预案的情况下，其风险值在可接受的范围内，因此，</w:t>
      </w:r>
      <w:r>
        <w:rPr>
          <w:rFonts w:hint="eastAsia"/>
          <w:b/>
          <w:color w:val="auto"/>
          <w:highlight w:val="none"/>
        </w:rPr>
        <w:t>从环境影响的角度分析，项目建设是可行的。</w:t>
      </w:r>
    </w:p>
    <w:p w14:paraId="641BEA92">
      <w:pPr>
        <w:pStyle w:val="218"/>
        <w:spacing w:before="62" w:after="156"/>
        <w:rPr>
          <w:color w:val="auto"/>
          <w:highlight w:val="none"/>
        </w:rPr>
      </w:pPr>
      <w:bookmarkStart w:id="673" w:name="_Toc17467"/>
      <w:bookmarkStart w:id="674" w:name="_Toc152922742"/>
      <w:bookmarkStart w:id="675" w:name="_Toc152921783"/>
      <w:bookmarkStart w:id="676" w:name="_Toc152922148"/>
      <w:r>
        <w:rPr>
          <w:color w:val="auto"/>
          <w:highlight w:val="none"/>
        </w:rPr>
        <w:t>9.2建议</w:t>
      </w:r>
      <w:bookmarkEnd w:id="673"/>
      <w:bookmarkEnd w:id="674"/>
      <w:bookmarkEnd w:id="675"/>
      <w:bookmarkEnd w:id="676"/>
    </w:p>
    <w:p w14:paraId="2B2CFE14">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（1）建设单位应加强管理，加强环保监测，对各排污点进行例行监测和不定期抽测，发现问题及时处理，确保污染防治措施的正常运行。</w:t>
      </w:r>
    </w:p>
    <w:p w14:paraId="7270747A">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（2）落实项目拟采取本评价要求的废气、废水、噪声、</w:t>
      </w:r>
      <w:r>
        <w:rPr>
          <w:rFonts w:hint="default" w:ascii="Times New Roman" w:hAnsi="Times New Roman" w:eastAsia="宋体" w:cs="Times New Roman"/>
          <w:color w:val="auto"/>
          <w:sz w:val="24"/>
          <w:highlight w:val="none"/>
          <w:lang w:eastAsia="zh-CN"/>
        </w:rPr>
        <w:t>固体废物</w:t>
      </w:r>
      <w:r>
        <w:rPr>
          <w:rFonts w:hint="default" w:ascii="Times New Roman" w:hAnsi="Times New Roman" w:eastAsia="宋体" w:cs="Times New Roman"/>
          <w:color w:val="auto"/>
          <w:sz w:val="24"/>
          <w:highlight w:val="none"/>
        </w:rPr>
        <w:t>以及风险的处理设施及工程措施，并按应急预案进行风险事故演练，防止风险事故的发生和扩大。</w:t>
      </w:r>
    </w:p>
    <w:p w14:paraId="23960C86">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（3）建设单位应充分关注国内同行业的发展和改革，在生产过程中要不断采取先进的工艺和技术方法</w:t>
      </w:r>
      <w:r>
        <w:rPr>
          <w:rFonts w:hint="default" w:ascii="Times New Roman" w:hAnsi="Times New Roman" w:eastAsia="宋体" w:cs="Times New Roman"/>
          <w:color w:val="auto"/>
          <w:sz w:val="24"/>
          <w:highlight w:val="none"/>
          <w:lang w:eastAsia="zh-CN"/>
        </w:rPr>
        <w:t>。</w:t>
      </w:r>
    </w:p>
    <w:p w14:paraId="18CDC0E6">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（4）严格执行</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三同时</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制度，确保项目运营过程各项污染指标达标排放。将环境管理纳入日常生产管理渠道，安排专业技术人员维护环保设施的正常运行。</w:t>
      </w:r>
    </w:p>
    <w:p w14:paraId="59551701">
      <w:pPr>
        <w:spacing w:line="360" w:lineRule="auto"/>
        <w:ind w:firstLine="480" w:firstLineChars="200"/>
        <w:rPr>
          <w:rFonts w:ascii="Times New Roman" w:hAnsi="Times New Roman"/>
          <w:color w:val="auto"/>
          <w:highlight w:val="none"/>
        </w:rPr>
      </w:pPr>
      <w:r>
        <w:rPr>
          <w:rFonts w:hint="default" w:ascii="Times New Roman" w:hAnsi="Times New Roman" w:eastAsia="宋体" w:cs="Times New Roman"/>
          <w:color w:val="auto"/>
          <w:sz w:val="24"/>
          <w:highlight w:val="none"/>
        </w:rPr>
        <w:t>（5）建设单位须委托有资质单位编制安全评价（含预评价），项目所采取的各项安全防治措施以安全评价结论为主，以降低因安全事故产生的次生环境污染事件。加强项目生产的日常管理，制定污染治理设备定期维修检查制度，杜绝非正常状况的发生。</w:t>
      </w:r>
    </w:p>
    <w:p w14:paraId="02C74CBD">
      <w:pPr>
        <w:pStyle w:val="23"/>
        <w:rPr>
          <w:rFonts w:ascii="Times New Roman" w:hAnsi="Times New Roman"/>
          <w:color w:val="auto"/>
          <w:highlight w:val="none"/>
        </w:rPr>
      </w:pPr>
    </w:p>
    <w:sectPr>
      <w:pgSz w:w="12240" w:h="15840"/>
      <w:pgMar w:top="1440" w:right="1803" w:bottom="1440" w:left="1803" w:header="720" w:footer="720" w:gutter="0"/>
      <w:pgBorders>
        <w:top w:val="none" w:sz="0" w:space="0"/>
        <w:left w:val="none" w:sz="0" w:space="0"/>
        <w:bottom w:val="none" w:sz="0" w:space="0"/>
        <w:right w:val="none" w:sz="0" w:space="0"/>
      </w:pgBorders>
      <w:cols w:space="72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A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C1FB73B6-5806-4C9A-BBE2-D783CB313098}"/>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D9899BCB-2599-4993-AF7E-65FA5CFED51F}"/>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3" w:fontKey="{F12F5278-AC3A-44EF-A71F-B6D810919145}"/>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楷体">
    <w:panose1 w:val="02010609060101010101"/>
    <w:charset w:val="86"/>
    <w:family w:val="modern"/>
    <w:pitch w:val="default"/>
    <w:sig w:usb0="800002BF" w:usb1="38CF7CFA" w:usb2="00000016" w:usb3="00000000" w:csb0="00040001" w:csb1="00000000"/>
  </w:font>
  <w:font w:name="Microsoft YaHei UI">
    <w:panose1 w:val="020B0503020204020204"/>
    <w:charset w:val="86"/>
    <w:family w:val="swiss"/>
    <w:pitch w:val="default"/>
    <w:sig w:usb0="80000287" w:usb1="2ACF3C50" w:usb2="00000016" w:usb3="00000000" w:csb0="0004001F" w:csb1="00000000"/>
  </w:font>
  <w:font w:name="Arial Black">
    <w:panose1 w:val="020B0A04020102020204"/>
    <w:charset w:val="00"/>
    <w:family w:val="swiss"/>
    <w:pitch w:val="default"/>
    <w:sig w:usb0="A00002AF" w:usb1="400078FB" w:usb2="00000000" w:usb3="00000000" w:csb0="6000009F" w:csb1="DFD7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新宋体">
    <w:panose1 w:val="02010609030101010101"/>
    <w:charset w:val="86"/>
    <w:family w:val="auto"/>
    <w:pitch w:val="default"/>
    <w:sig w:usb0="00000203" w:usb1="288F0000" w:usb2="00000006" w:usb3="00000000" w:csb0="00040001" w:csb1="00000000"/>
    <w:embedRegular r:id="rId4" w:fontKey="{F9869BA6-9F4A-45D1-B435-35787F8E1D6A}"/>
  </w:font>
  <w:font w:name="Wingdings 2">
    <w:panose1 w:val="05020102010507070707"/>
    <w:charset w:val="02"/>
    <w:family w:val="roman"/>
    <w:pitch w:val="default"/>
    <w:sig w:usb0="00000000" w:usb1="00000000" w:usb2="00000000" w:usb3="00000000" w:csb0="80000000" w:csb1="00000000"/>
    <w:embedRegular r:id="rId5" w:fontKey="{CB3A88D9-6A98-4618-82E0-66B67738E293}"/>
  </w:font>
  <w:font w:name="Tahoma">
    <w:panose1 w:val="020B0604030504040204"/>
    <w:charset w:val="00"/>
    <w:family w:val="swiss"/>
    <w:pitch w:val="default"/>
    <w:sig w:usb0="E1002EFF" w:usb1="C000605B" w:usb2="00000029" w:usb3="00000000" w:csb0="200101FF" w:csb1="20280000"/>
    <w:embedRegular r:id="rId6" w:fontKey="{8909D326-6679-4A9B-A757-36E0FF49ACFA}"/>
  </w:font>
  <w:font w:name="方正楷体_GB2312">
    <w:panose1 w:val="02000000000000000000"/>
    <w:charset w:val="86"/>
    <w:family w:val="auto"/>
    <w:pitch w:val="default"/>
    <w:sig w:usb0="A00002BF" w:usb1="184F6CFA" w:usb2="00000012" w:usb3="00000000" w:csb0="00040001" w:csb1="00000000"/>
    <w:embedRegular r:id="rId7" w:fontKey="{A2E588D4-57B8-4950-92DF-991A442720A1}"/>
  </w:font>
  <w:font w:name="STSong-Light-UniGB-UCS2-H">
    <w:altName w:val="XcGJSymbol"/>
    <w:panose1 w:val="00000000000000000000"/>
    <w:charset w:val="00"/>
    <w:family w:val="auto"/>
    <w:pitch w:val="default"/>
    <w:sig w:usb0="00000000" w:usb1="00000000" w:usb2="00000000" w:usb3="00000000" w:csb0="00000000" w:csb1="00000000"/>
  </w:font>
  <w:font w:name="XcGJSymbol">
    <w:panose1 w:val="02000500000000000000"/>
    <w:charset w:val="00"/>
    <w:family w:val="auto"/>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83A9B">
    <w:pPr>
      <w:pStyle w:val="30"/>
      <w:jc w:val="center"/>
      <w:rPr>
        <w:rFonts w:ascii="Times New Roman" w:hAnsi="Times New Roman"/>
      </w:rPr>
    </w:pPr>
    <w:r>
      <w:rPr>
        <w:rFonts w:ascii="Times New Roman" w:hAnsi="Times New Roman"/>
      </w:rPr>
      <w:fldChar w:fldCharType="begin"/>
    </w:r>
    <w:r>
      <w:rPr>
        <w:rFonts w:ascii="Times New Roman" w:hAnsi="Times New Roman"/>
      </w:rPr>
      <w:instrText xml:space="preserve">PAGE   \* MERGEFORMAT</w:instrText>
    </w:r>
    <w:r>
      <w:rPr>
        <w:rFonts w:ascii="Times New Roman" w:hAnsi="Times New Roman"/>
      </w:rPr>
      <w:fldChar w:fldCharType="separate"/>
    </w:r>
    <w:r>
      <w:rPr>
        <w:rFonts w:ascii="Times New Roman" w:hAnsi="Times New Roman"/>
        <w:lang w:val="zh-CN"/>
      </w:rPr>
      <w:t>I</w:t>
    </w:r>
    <w:r>
      <w:rPr>
        <w:rFonts w:ascii="Times New Roman" w:hAnsi="Times New Roma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E9F11D">
    <w:pPr>
      <w:pStyle w:val="30"/>
      <w:jc w:val="center"/>
      <w:rPr>
        <w:rFonts w:ascii="Times New Roman" w:hAnsi="Times New Roman"/>
      </w:rPr>
    </w:pPr>
    <w:r>
      <w:rPr>
        <w:rFonts w:ascii="Times New Roman" w:hAnsi="Times New Roman"/>
      </w:rPr>
      <w:fldChar w:fldCharType="begin"/>
    </w:r>
    <w:r>
      <w:rPr>
        <w:rFonts w:ascii="Times New Roman" w:hAnsi="Times New Roman"/>
      </w:rPr>
      <w:instrText xml:space="preserve">PAGE</w:instrText>
    </w:r>
    <w:r>
      <w:rPr>
        <w:rFonts w:ascii="Times New Roman" w:hAnsi="Times New Roman"/>
      </w:rPr>
      <w:fldChar w:fldCharType="separate"/>
    </w:r>
    <w:r>
      <w:rPr>
        <w:rFonts w:ascii="Times New Roman" w:hAnsi="Times New Roman"/>
      </w:rPr>
      <w:t>42</w:t>
    </w:r>
    <w:r>
      <w:rPr>
        <w:rFonts w:ascii="Times New Roman" w:hAnsi="Times New Roman"/>
      </w:rPr>
      <w:fldChar w:fldCharType="end"/>
    </w:r>
    <w:r>
      <w:rPr>
        <w:rFonts w:ascii="Times New Roman" w:hAnsi="Times New Roman"/>
        <w:lang w:val="zh-CN"/>
      </w:rPr>
      <w:t>/</w:t>
    </w:r>
    <w:r>
      <w:rPr>
        <w:rFonts w:ascii="Times New Roman" w:hAnsi="Times New Roman"/>
      </w:rPr>
      <w:fldChar w:fldCharType="begin"/>
    </w:r>
    <w:r>
      <w:rPr>
        <w:rFonts w:ascii="Times New Roman" w:hAnsi="Times New Roman"/>
      </w:rPr>
      <w:instrText xml:space="preserve">NUMPAGES</w:instrText>
    </w:r>
    <w:r>
      <w:rPr>
        <w:rFonts w:ascii="Times New Roman" w:hAnsi="Times New Roman"/>
      </w:rPr>
      <w:fldChar w:fldCharType="separate"/>
    </w:r>
    <w:r>
      <w:rPr>
        <w:rFonts w:ascii="Times New Roman" w:hAnsi="Times New Roman"/>
      </w:rPr>
      <w:t>46</w:t>
    </w:r>
    <w:r>
      <w:rPr>
        <w:rFonts w:ascii="Times New Roman" w:hAnsi="Times New Roma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D8734E">
    <w:pPr>
      <w:pStyle w:val="30"/>
      <w:jc w:val="center"/>
      <w:rPr>
        <w:rFonts w:ascii="Times New Roman" w:hAnsi="Times New Roman"/>
        <w:bCs/>
      </w:rPr>
    </w:pPr>
    <w:r>
      <w:rPr>
        <w:rFonts w:ascii="Times New Roman" w:hAnsi="Times New Roman"/>
        <w:bCs/>
        <w:sz w:val="24"/>
        <w:szCs w:val="24"/>
      </w:rPr>
      <w:fldChar w:fldCharType="begin"/>
    </w:r>
    <w:r>
      <w:rPr>
        <w:rFonts w:ascii="Times New Roman" w:hAnsi="Times New Roman"/>
        <w:bCs/>
      </w:rPr>
      <w:instrText xml:space="preserve">PAGE</w:instrText>
    </w:r>
    <w:r>
      <w:rPr>
        <w:rFonts w:ascii="Times New Roman" w:hAnsi="Times New Roman"/>
        <w:bCs/>
        <w:sz w:val="24"/>
        <w:szCs w:val="24"/>
      </w:rPr>
      <w:fldChar w:fldCharType="separate"/>
    </w:r>
    <w:r>
      <w:rPr>
        <w:rFonts w:ascii="Times New Roman" w:hAnsi="Times New Roman"/>
        <w:bCs/>
      </w:rPr>
      <w:t>45</w:t>
    </w:r>
    <w:r>
      <w:rPr>
        <w:rFonts w:ascii="Times New Roman" w:hAnsi="Times New Roman"/>
        <w:bCs/>
        <w:sz w:val="24"/>
        <w:szCs w:val="24"/>
      </w:rPr>
      <w:fldChar w:fldCharType="end"/>
    </w:r>
    <w:r>
      <w:rPr>
        <w:rFonts w:ascii="Times New Roman" w:hAnsi="Times New Roman"/>
        <w:bCs/>
        <w:lang w:val="zh-CN"/>
      </w:rPr>
      <w:t>/</w:t>
    </w:r>
    <w:r>
      <w:rPr>
        <w:rFonts w:ascii="Times New Roman" w:hAnsi="Times New Roman"/>
        <w:bCs/>
        <w:sz w:val="24"/>
        <w:szCs w:val="24"/>
      </w:rPr>
      <w:fldChar w:fldCharType="begin"/>
    </w:r>
    <w:r>
      <w:rPr>
        <w:rFonts w:ascii="Times New Roman" w:hAnsi="Times New Roman"/>
        <w:bCs/>
      </w:rPr>
      <w:instrText xml:space="preserve">NUMPAGES</w:instrText>
    </w:r>
    <w:r>
      <w:rPr>
        <w:rFonts w:ascii="Times New Roman" w:hAnsi="Times New Roman"/>
        <w:bCs/>
        <w:sz w:val="24"/>
        <w:szCs w:val="24"/>
      </w:rPr>
      <w:fldChar w:fldCharType="separate"/>
    </w:r>
    <w:r>
      <w:rPr>
        <w:rFonts w:ascii="Times New Roman" w:hAnsi="Times New Roman"/>
        <w:bCs/>
      </w:rPr>
      <w:t>49</w:t>
    </w:r>
    <w:r>
      <w:rPr>
        <w:rFonts w:ascii="Times New Roman" w:hAnsi="Times New Roman"/>
        <w:bCs/>
        <w:sz w:val="24"/>
        <w:szCs w:val="24"/>
      </w:rPr>
      <w:fldChar w:fldCharType="end"/>
    </w:r>
  </w:p>
  <w:p w14:paraId="50BAB7C9">
    <w:pPr>
      <w:pStyle w:val="3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D7ED3F">
    <w:pPr>
      <w:pStyle w:val="30"/>
      <w:jc w:val="center"/>
      <w:rPr>
        <w:rFonts w:ascii="Times New Roman" w:hAnsi="Times New Roman"/>
        <w:bCs/>
      </w:rPr>
    </w:pPr>
    <w:r>
      <w:rPr>
        <w:rFonts w:ascii="Times New Roman" w:hAnsi="Times New Roman"/>
        <w:bCs/>
        <w:sz w:val="24"/>
        <w:szCs w:val="24"/>
      </w:rPr>
      <w:fldChar w:fldCharType="begin"/>
    </w:r>
    <w:r>
      <w:rPr>
        <w:rFonts w:ascii="Times New Roman" w:hAnsi="Times New Roman"/>
        <w:bCs/>
      </w:rPr>
      <w:instrText xml:space="preserve">PAGE</w:instrText>
    </w:r>
    <w:r>
      <w:rPr>
        <w:rFonts w:ascii="Times New Roman" w:hAnsi="Times New Roman"/>
        <w:bCs/>
        <w:sz w:val="24"/>
        <w:szCs w:val="24"/>
      </w:rPr>
      <w:fldChar w:fldCharType="separate"/>
    </w:r>
    <w:r>
      <w:rPr>
        <w:rFonts w:ascii="Times New Roman" w:hAnsi="Times New Roman"/>
        <w:bCs/>
      </w:rPr>
      <w:t>258</w:t>
    </w:r>
    <w:r>
      <w:rPr>
        <w:rFonts w:ascii="Times New Roman" w:hAnsi="Times New Roman"/>
        <w:bCs/>
        <w:sz w:val="24"/>
        <w:szCs w:val="24"/>
      </w:rPr>
      <w:fldChar w:fldCharType="end"/>
    </w:r>
    <w:r>
      <w:rPr>
        <w:rFonts w:ascii="Times New Roman" w:hAnsi="Times New Roman"/>
        <w:bCs/>
        <w:lang w:val="zh-CN"/>
      </w:rPr>
      <w:t>/</w:t>
    </w:r>
    <w:r>
      <w:rPr>
        <w:rFonts w:ascii="Times New Roman" w:hAnsi="Times New Roman"/>
        <w:bCs/>
        <w:sz w:val="24"/>
        <w:szCs w:val="24"/>
      </w:rPr>
      <w:fldChar w:fldCharType="begin"/>
    </w:r>
    <w:r>
      <w:rPr>
        <w:rFonts w:ascii="Times New Roman" w:hAnsi="Times New Roman"/>
        <w:bCs/>
      </w:rPr>
      <w:instrText xml:space="preserve">NUMPAGES</w:instrText>
    </w:r>
    <w:r>
      <w:rPr>
        <w:rFonts w:ascii="Times New Roman" w:hAnsi="Times New Roman"/>
        <w:bCs/>
        <w:sz w:val="24"/>
        <w:szCs w:val="24"/>
      </w:rPr>
      <w:fldChar w:fldCharType="separate"/>
    </w:r>
    <w:r>
      <w:rPr>
        <w:rFonts w:ascii="Times New Roman" w:hAnsi="Times New Roman"/>
        <w:bCs/>
      </w:rPr>
      <w:t>262</w:t>
    </w:r>
    <w:r>
      <w:rPr>
        <w:rFonts w:ascii="Times New Roman" w:hAnsi="Times New Roman"/>
        <w:bCs/>
        <w:sz w:val="24"/>
        <w:szCs w:val="24"/>
      </w:rPr>
      <w:fldChar w:fldCharType="end"/>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994C90E"/>
    <w:multiLevelType w:val="singleLevel"/>
    <w:tmpl w:val="A994C90E"/>
    <w:lvl w:ilvl="0" w:tentative="0">
      <w:start w:val="5"/>
      <w:numFmt w:val="decimal"/>
      <w:suff w:val="nothing"/>
      <w:lvlText w:val="（%1）"/>
      <w:lvlJc w:val="left"/>
    </w:lvl>
  </w:abstractNum>
  <w:abstractNum w:abstractNumId="1">
    <w:nsid w:val="D566EBA3"/>
    <w:multiLevelType w:val="singleLevel"/>
    <w:tmpl w:val="D566EBA3"/>
    <w:lvl w:ilvl="0" w:tentative="0">
      <w:start w:val="1"/>
      <w:numFmt w:val="decimal"/>
      <w:suff w:val="nothing"/>
      <w:lvlText w:val="（%1）"/>
      <w:lvlJc w:val="left"/>
    </w:lvl>
  </w:abstractNum>
  <w:abstractNum w:abstractNumId="2">
    <w:nsid w:val="20717430"/>
    <w:multiLevelType w:val="singleLevel"/>
    <w:tmpl w:val="20717430"/>
    <w:lvl w:ilvl="0" w:tentative="0">
      <w:start w:val="1"/>
      <w:numFmt w:val="decimal"/>
      <w:suff w:val="nothing"/>
      <w:lvlText w:val="（%1）"/>
      <w:lvlJc w:val="left"/>
    </w:lvl>
  </w:abstractNum>
  <w:abstractNum w:abstractNumId="3">
    <w:nsid w:val="2BA76757"/>
    <w:multiLevelType w:val="multilevel"/>
    <w:tmpl w:val="2BA76757"/>
    <w:lvl w:ilvl="0" w:tentative="0">
      <w:start w:val="1"/>
      <w:numFmt w:val="decimal"/>
      <w:lvlText w:val="%1"/>
      <w:lvlJc w:val="left"/>
      <w:pPr>
        <w:ind w:left="425" w:hanging="425"/>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200" w:firstLine="0"/>
      </w:pPr>
      <w:rPr>
        <w:rFonts w:hint="eastAsia"/>
      </w:rPr>
    </w:lvl>
    <w:lvl w:ilvl="3" w:tentative="0">
      <w:start w:val="1"/>
      <w:numFmt w:val="decimal"/>
      <w:pStyle w:val="570"/>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
    <w:nsid w:val="35B906CB"/>
    <w:multiLevelType w:val="singleLevel"/>
    <w:tmpl w:val="35B906CB"/>
    <w:lvl w:ilvl="0" w:tentative="0">
      <w:start w:val="1"/>
      <w:numFmt w:val="decimal"/>
      <w:suff w:val="nothing"/>
      <w:lvlText w:val="%1、"/>
      <w:lvlJc w:val="left"/>
      <w:pPr>
        <w:ind w:left="-60"/>
      </w:pPr>
    </w:lvl>
  </w:abstractNum>
  <w:abstractNum w:abstractNumId="5">
    <w:nsid w:val="35CE477A"/>
    <w:multiLevelType w:val="singleLevel"/>
    <w:tmpl w:val="35CE477A"/>
    <w:lvl w:ilvl="0" w:tentative="0">
      <w:start w:val="20"/>
      <w:numFmt w:val="upperLetter"/>
      <w:suff w:val="nothing"/>
      <w:lvlText w:val="%1-"/>
      <w:lvlJc w:val="left"/>
    </w:lvl>
  </w:abstractNum>
  <w:abstractNum w:abstractNumId="6">
    <w:nsid w:val="5F1E7463"/>
    <w:multiLevelType w:val="singleLevel"/>
    <w:tmpl w:val="5F1E7463"/>
    <w:lvl w:ilvl="0" w:tentative="0">
      <w:start w:val="1"/>
      <w:numFmt w:val="decimal"/>
      <w:suff w:val="nothing"/>
      <w:lvlText w:val="%1、"/>
      <w:lvlJc w:val="left"/>
    </w:lvl>
  </w:abstractNum>
  <w:num w:numId="1">
    <w:abstractNumId w:val="3"/>
  </w:num>
  <w:num w:numId="2">
    <w:abstractNumId w:val="0"/>
  </w:num>
  <w:num w:numId="3">
    <w:abstractNumId w:val="5"/>
  </w:num>
  <w:num w:numId="4">
    <w:abstractNumId w:val="1"/>
  </w:num>
  <w:num w:numId="5">
    <w:abstractNumId w:val="6"/>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cumentProtection w:enforcement="0"/>
  <w:defaultTabStop w:val="420"/>
  <w:hyphenationZone w:val="360"/>
  <w:drawingGridHorizontalSpacing w:val="210"/>
  <w:drawingGridVerticalSpacing w:val="15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YxZDI1NTVmZDkyYjQyM2FlYmUwNzMzZTUxYzZiYWIifQ=="/>
  </w:docVars>
  <w:rsids>
    <w:rsidRoot w:val="007310BB"/>
    <w:rsid w:val="00001136"/>
    <w:rsid w:val="00001FDF"/>
    <w:rsid w:val="00002141"/>
    <w:rsid w:val="000029CC"/>
    <w:rsid w:val="0000313D"/>
    <w:rsid w:val="00003380"/>
    <w:rsid w:val="00003EB4"/>
    <w:rsid w:val="00003EFB"/>
    <w:rsid w:val="00005495"/>
    <w:rsid w:val="000061E8"/>
    <w:rsid w:val="00007399"/>
    <w:rsid w:val="000074E2"/>
    <w:rsid w:val="000122AA"/>
    <w:rsid w:val="000122BD"/>
    <w:rsid w:val="00012C9F"/>
    <w:rsid w:val="000137CE"/>
    <w:rsid w:val="000139CA"/>
    <w:rsid w:val="00014491"/>
    <w:rsid w:val="00014CC9"/>
    <w:rsid w:val="00015859"/>
    <w:rsid w:val="00015E9D"/>
    <w:rsid w:val="00016465"/>
    <w:rsid w:val="0002117A"/>
    <w:rsid w:val="0002192F"/>
    <w:rsid w:val="00022706"/>
    <w:rsid w:val="000228D8"/>
    <w:rsid w:val="00024CD8"/>
    <w:rsid w:val="0002584D"/>
    <w:rsid w:val="00025B50"/>
    <w:rsid w:val="00026622"/>
    <w:rsid w:val="00026AF8"/>
    <w:rsid w:val="00027CF4"/>
    <w:rsid w:val="000313AB"/>
    <w:rsid w:val="000319F5"/>
    <w:rsid w:val="00031C34"/>
    <w:rsid w:val="00032C34"/>
    <w:rsid w:val="0003357D"/>
    <w:rsid w:val="0003401B"/>
    <w:rsid w:val="00034FB0"/>
    <w:rsid w:val="00035122"/>
    <w:rsid w:val="000372A7"/>
    <w:rsid w:val="00041D62"/>
    <w:rsid w:val="00043561"/>
    <w:rsid w:val="00044065"/>
    <w:rsid w:val="00044195"/>
    <w:rsid w:val="000457B0"/>
    <w:rsid w:val="000477FD"/>
    <w:rsid w:val="00051713"/>
    <w:rsid w:val="00054438"/>
    <w:rsid w:val="00054E0E"/>
    <w:rsid w:val="00055578"/>
    <w:rsid w:val="00055D81"/>
    <w:rsid w:val="0005615F"/>
    <w:rsid w:val="00056431"/>
    <w:rsid w:val="000565FD"/>
    <w:rsid w:val="0005693C"/>
    <w:rsid w:val="00063146"/>
    <w:rsid w:val="000640E6"/>
    <w:rsid w:val="000644FA"/>
    <w:rsid w:val="000648A0"/>
    <w:rsid w:val="00067193"/>
    <w:rsid w:val="00067587"/>
    <w:rsid w:val="00070A9C"/>
    <w:rsid w:val="000768D3"/>
    <w:rsid w:val="00081AAE"/>
    <w:rsid w:val="000840C6"/>
    <w:rsid w:val="000842D8"/>
    <w:rsid w:val="000850B5"/>
    <w:rsid w:val="000858E3"/>
    <w:rsid w:val="000863EF"/>
    <w:rsid w:val="00086F87"/>
    <w:rsid w:val="0009081F"/>
    <w:rsid w:val="00091547"/>
    <w:rsid w:val="00092004"/>
    <w:rsid w:val="00094949"/>
    <w:rsid w:val="000A0E0C"/>
    <w:rsid w:val="000A2E2D"/>
    <w:rsid w:val="000A3B2A"/>
    <w:rsid w:val="000A66C2"/>
    <w:rsid w:val="000B0268"/>
    <w:rsid w:val="000B0AB9"/>
    <w:rsid w:val="000B40CB"/>
    <w:rsid w:val="000B7997"/>
    <w:rsid w:val="000C00AA"/>
    <w:rsid w:val="000C1A6B"/>
    <w:rsid w:val="000C39A5"/>
    <w:rsid w:val="000C39BD"/>
    <w:rsid w:val="000C5155"/>
    <w:rsid w:val="000C5DD4"/>
    <w:rsid w:val="000C63B4"/>
    <w:rsid w:val="000C74E7"/>
    <w:rsid w:val="000C7600"/>
    <w:rsid w:val="000C7EB1"/>
    <w:rsid w:val="000D0C9F"/>
    <w:rsid w:val="000D4018"/>
    <w:rsid w:val="000D5FC3"/>
    <w:rsid w:val="000D676D"/>
    <w:rsid w:val="000E162C"/>
    <w:rsid w:val="000E1F69"/>
    <w:rsid w:val="000E3026"/>
    <w:rsid w:val="000E42EC"/>
    <w:rsid w:val="000E45B5"/>
    <w:rsid w:val="000E665D"/>
    <w:rsid w:val="000E709F"/>
    <w:rsid w:val="000E719B"/>
    <w:rsid w:val="000F00A6"/>
    <w:rsid w:val="000F0F61"/>
    <w:rsid w:val="000F155A"/>
    <w:rsid w:val="000F3D33"/>
    <w:rsid w:val="000F4A14"/>
    <w:rsid w:val="000F6593"/>
    <w:rsid w:val="000F7017"/>
    <w:rsid w:val="001001CC"/>
    <w:rsid w:val="00102C26"/>
    <w:rsid w:val="001063A3"/>
    <w:rsid w:val="00107D91"/>
    <w:rsid w:val="00110632"/>
    <w:rsid w:val="00111640"/>
    <w:rsid w:val="001120A1"/>
    <w:rsid w:val="00114D86"/>
    <w:rsid w:val="00115689"/>
    <w:rsid w:val="00116278"/>
    <w:rsid w:val="00116F65"/>
    <w:rsid w:val="0011737A"/>
    <w:rsid w:val="001176EB"/>
    <w:rsid w:val="00117A67"/>
    <w:rsid w:val="00117DBF"/>
    <w:rsid w:val="00121C2A"/>
    <w:rsid w:val="001229FD"/>
    <w:rsid w:val="001230C4"/>
    <w:rsid w:val="0012312F"/>
    <w:rsid w:val="00123584"/>
    <w:rsid w:val="00123857"/>
    <w:rsid w:val="001243E5"/>
    <w:rsid w:val="00124F12"/>
    <w:rsid w:val="00125F76"/>
    <w:rsid w:val="00126EDF"/>
    <w:rsid w:val="00131117"/>
    <w:rsid w:val="0013440B"/>
    <w:rsid w:val="0013747A"/>
    <w:rsid w:val="0013796B"/>
    <w:rsid w:val="0014047F"/>
    <w:rsid w:val="001418F8"/>
    <w:rsid w:val="00142B76"/>
    <w:rsid w:val="00144A46"/>
    <w:rsid w:val="00145085"/>
    <w:rsid w:val="00146F35"/>
    <w:rsid w:val="001471C4"/>
    <w:rsid w:val="00154147"/>
    <w:rsid w:val="001541B9"/>
    <w:rsid w:val="0015624C"/>
    <w:rsid w:val="00157A00"/>
    <w:rsid w:val="00157A34"/>
    <w:rsid w:val="00157ECD"/>
    <w:rsid w:val="00160361"/>
    <w:rsid w:val="001609B7"/>
    <w:rsid w:val="00160F1B"/>
    <w:rsid w:val="001628FF"/>
    <w:rsid w:val="00163933"/>
    <w:rsid w:val="0016429A"/>
    <w:rsid w:val="001655F2"/>
    <w:rsid w:val="001659E2"/>
    <w:rsid w:val="00166DCD"/>
    <w:rsid w:val="0016735D"/>
    <w:rsid w:val="00171005"/>
    <w:rsid w:val="00171F62"/>
    <w:rsid w:val="001723FD"/>
    <w:rsid w:val="00172889"/>
    <w:rsid w:val="00172A5F"/>
    <w:rsid w:val="00173ABF"/>
    <w:rsid w:val="00174A3B"/>
    <w:rsid w:val="00175F5A"/>
    <w:rsid w:val="00180456"/>
    <w:rsid w:val="001852A4"/>
    <w:rsid w:val="00185521"/>
    <w:rsid w:val="001855AC"/>
    <w:rsid w:val="00186209"/>
    <w:rsid w:val="0018649B"/>
    <w:rsid w:val="00186E3B"/>
    <w:rsid w:val="00186FB0"/>
    <w:rsid w:val="00187A00"/>
    <w:rsid w:val="00187A0B"/>
    <w:rsid w:val="0019152F"/>
    <w:rsid w:val="00191C42"/>
    <w:rsid w:val="00191F3C"/>
    <w:rsid w:val="001920A6"/>
    <w:rsid w:val="00192A1F"/>
    <w:rsid w:val="00192D32"/>
    <w:rsid w:val="00193D51"/>
    <w:rsid w:val="00195408"/>
    <w:rsid w:val="00196024"/>
    <w:rsid w:val="00197C7C"/>
    <w:rsid w:val="001A1850"/>
    <w:rsid w:val="001A1A68"/>
    <w:rsid w:val="001A2F45"/>
    <w:rsid w:val="001A32CF"/>
    <w:rsid w:val="001A4FD9"/>
    <w:rsid w:val="001A52FB"/>
    <w:rsid w:val="001A68B0"/>
    <w:rsid w:val="001A76DC"/>
    <w:rsid w:val="001A7DA8"/>
    <w:rsid w:val="001B2C29"/>
    <w:rsid w:val="001B31D6"/>
    <w:rsid w:val="001B3B4F"/>
    <w:rsid w:val="001B453C"/>
    <w:rsid w:val="001B513C"/>
    <w:rsid w:val="001B5C0D"/>
    <w:rsid w:val="001B69E6"/>
    <w:rsid w:val="001B6DC1"/>
    <w:rsid w:val="001B6EB1"/>
    <w:rsid w:val="001C045B"/>
    <w:rsid w:val="001C0F2D"/>
    <w:rsid w:val="001C17DB"/>
    <w:rsid w:val="001C3F82"/>
    <w:rsid w:val="001C47C1"/>
    <w:rsid w:val="001C7A75"/>
    <w:rsid w:val="001D03FF"/>
    <w:rsid w:val="001D1057"/>
    <w:rsid w:val="001D1B69"/>
    <w:rsid w:val="001D24A8"/>
    <w:rsid w:val="001D3A46"/>
    <w:rsid w:val="001D4130"/>
    <w:rsid w:val="001D4C61"/>
    <w:rsid w:val="001D6A62"/>
    <w:rsid w:val="001E11C5"/>
    <w:rsid w:val="001E3318"/>
    <w:rsid w:val="001E3534"/>
    <w:rsid w:val="001E3893"/>
    <w:rsid w:val="001E3D39"/>
    <w:rsid w:val="001E4265"/>
    <w:rsid w:val="001E5858"/>
    <w:rsid w:val="001E5987"/>
    <w:rsid w:val="001E5D29"/>
    <w:rsid w:val="001E615A"/>
    <w:rsid w:val="001E65D5"/>
    <w:rsid w:val="001F2985"/>
    <w:rsid w:val="001F2D24"/>
    <w:rsid w:val="001F320C"/>
    <w:rsid w:val="001F3821"/>
    <w:rsid w:val="001F54D0"/>
    <w:rsid w:val="001F5663"/>
    <w:rsid w:val="001F62E7"/>
    <w:rsid w:val="001F6F62"/>
    <w:rsid w:val="001F7C90"/>
    <w:rsid w:val="00200E86"/>
    <w:rsid w:val="002012D1"/>
    <w:rsid w:val="00202109"/>
    <w:rsid w:val="00204AC6"/>
    <w:rsid w:val="00204B0E"/>
    <w:rsid w:val="0020631F"/>
    <w:rsid w:val="002066F2"/>
    <w:rsid w:val="00206DC5"/>
    <w:rsid w:val="002110F1"/>
    <w:rsid w:val="00211955"/>
    <w:rsid w:val="002127CC"/>
    <w:rsid w:val="00212DE8"/>
    <w:rsid w:val="002132B5"/>
    <w:rsid w:val="0021793E"/>
    <w:rsid w:val="00221B0E"/>
    <w:rsid w:val="00222D94"/>
    <w:rsid w:val="00225DA3"/>
    <w:rsid w:val="002301AF"/>
    <w:rsid w:val="0023075A"/>
    <w:rsid w:val="00231546"/>
    <w:rsid w:val="00231A05"/>
    <w:rsid w:val="00232917"/>
    <w:rsid w:val="00236638"/>
    <w:rsid w:val="00236989"/>
    <w:rsid w:val="00237CED"/>
    <w:rsid w:val="00240457"/>
    <w:rsid w:val="00241C93"/>
    <w:rsid w:val="00242B57"/>
    <w:rsid w:val="00242C60"/>
    <w:rsid w:val="002438C1"/>
    <w:rsid w:val="00244187"/>
    <w:rsid w:val="002465AE"/>
    <w:rsid w:val="00247D1B"/>
    <w:rsid w:val="00251E2C"/>
    <w:rsid w:val="00252DC0"/>
    <w:rsid w:val="00253D56"/>
    <w:rsid w:val="00254287"/>
    <w:rsid w:val="002548F8"/>
    <w:rsid w:val="00257860"/>
    <w:rsid w:val="00261505"/>
    <w:rsid w:val="002630A1"/>
    <w:rsid w:val="00264E1F"/>
    <w:rsid w:val="00264EC3"/>
    <w:rsid w:val="002665A9"/>
    <w:rsid w:val="0026767E"/>
    <w:rsid w:val="00271554"/>
    <w:rsid w:val="00271AE1"/>
    <w:rsid w:val="00274FCC"/>
    <w:rsid w:val="00275252"/>
    <w:rsid w:val="0027593C"/>
    <w:rsid w:val="00275BB5"/>
    <w:rsid w:val="002770DC"/>
    <w:rsid w:val="0028172C"/>
    <w:rsid w:val="00281DC1"/>
    <w:rsid w:val="00283506"/>
    <w:rsid w:val="00283A66"/>
    <w:rsid w:val="00284E2D"/>
    <w:rsid w:val="00286786"/>
    <w:rsid w:val="00287BEA"/>
    <w:rsid w:val="002913FF"/>
    <w:rsid w:val="00291CC6"/>
    <w:rsid w:val="002936CE"/>
    <w:rsid w:val="00293FB3"/>
    <w:rsid w:val="00294638"/>
    <w:rsid w:val="002973A9"/>
    <w:rsid w:val="002979F7"/>
    <w:rsid w:val="002A1F21"/>
    <w:rsid w:val="002A4CF4"/>
    <w:rsid w:val="002A50AF"/>
    <w:rsid w:val="002B005C"/>
    <w:rsid w:val="002B0FB8"/>
    <w:rsid w:val="002B113B"/>
    <w:rsid w:val="002B1280"/>
    <w:rsid w:val="002B17E7"/>
    <w:rsid w:val="002B1B74"/>
    <w:rsid w:val="002B1DAE"/>
    <w:rsid w:val="002B49B7"/>
    <w:rsid w:val="002B5C1A"/>
    <w:rsid w:val="002B62C3"/>
    <w:rsid w:val="002C19B9"/>
    <w:rsid w:val="002C578A"/>
    <w:rsid w:val="002C5E3E"/>
    <w:rsid w:val="002C6802"/>
    <w:rsid w:val="002C7AC2"/>
    <w:rsid w:val="002D03F5"/>
    <w:rsid w:val="002D121A"/>
    <w:rsid w:val="002D2330"/>
    <w:rsid w:val="002D2812"/>
    <w:rsid w:val="002D3168"/>
    <w:rsid w:val="002D38C7"/>
    <w:rsid w:val="002D49A6"/>
    <w:rsid w:val="002D50D0"/>
    <w:rsid w:val="002D5233"/>
    <w:rsid w:val="002D569F"/>
    <w:rsid w:val="002D6A12"/>
    <w:rsid w:val="002D700E"/>
    <w:rsid w:val="002D74C8"/>
    <w:rsid w:val="002D7BB4"/>
    <w:rsid w:val="002E005E"/>
    <w:rsid w:val="002E2512"/>
    <w:rsid w:val="002E2C44"/>
    <w:rsid w:val="002E2D18"/>
    <w:rsid w:val="002E3270"/>
    <w:rsid w:val="002E4031"/>
    <w:rsid w:val="002E40AB"/>
    <w:rsid w:val="002E5DCA"/>
    <w:rsid w:val="002E6903"/>
    <w:rsid w:val="002F2654"/>
    <w:rsid w:val="002F2FB0"/>
    <w:rsid w:val="002F6D3F"/>
    <w:rsid w:val="002F7B42"/>
    <w:rsid w:val="002F7F81"/>
    <w:rsid w:val="003005A9"/>
    <w:rsid w:val="00300BC3"/>
    <w:rsid w:val="00301AA2"/>
    <w:rsid w:val="00301C50"/>
    <w:rsid w:val="0030271E"/>
    <w:rsid w:val="0030584B"/>
    <w:rsid w:val="0030627C"/>
    <w:rsid w:val="0030650E"/>
    <w:rsid w:val="00311336"/>
    <w:rsid w:val="00311B51"/>
    <w:rsid w:val="00312E6E"/>
    <w:rsid w:val="00313492"/>
    <w:rsid w:val="00313CF6"/>
    <w:rsid w:val="00313F28"/>
    <w:rsid w:val="00315A45"/>
    <w:rsid w:val="003210B9"/>
    <w:rsid w:val="00321C41"/>
    <w:rsid w:val="003230C0"/>
    <w:rsid w:val="0032313E"/>
    <w:rsid w:val="00323C36"/>
    <w:rsid w:val="00323D34"/>
    <w:rsid w:val="00324AFA"/>
    <w:rsid w:val="00325A54"/>
    <w:rsid w:val="00326E8C"/>
    <w:rsid w:val="003275E8"/>
    <w:rsid w:val="00330755"/>
    <w:rsid w:val="00331327"/>
    <w:rsid w:val="00331ACA"/>
    <w:rsid w:val="00331E2C"/>
    <w:rsid w:val="00331E55"/>
    <w:rsid w:val="00333F03"/>
    <w:rsid w:val="00334F1E"/>
    <w:rsid w:val="00336ED6"/>
    <w:rsid w:val="00336F8B"/>
    <w:rsid w:val="003403EC"/>
    <w:rsid w:val="00340777"/>
    <w:rsid w:val="00344879"/>
    <w:rsid w:val="003451DE"/>
    <w:rsid w:val="0034654D"/>
    <w:rsid w:val="00347C11"/>
    <w:rsid w:val="003513CF"/>
    <w:rsid w:val="00352624"/>
    <w:rsid w:val="00353E7D"/>
    <w:rsid w:val="00354201"/>
    <w:rsid w:val="0035427A"/>
    <w:rsid w:val="00355A87"/>
    <w:rsid w:val="00360534"/>
    <w:rsid w:val="0036071F"/>
    <w:rsid w:val="003621C5"/>
    <w:rsid w:val="003630D8"/>
    <w:rsid w:val="00363316"/>
    <w:rsid w:val="00363AD9"/>
    <w:rsid w:val="00364BEE"/>
    <w:rsid w:val="00365234"/>
    <w:rsid w:val="00371374"/>
    <w:rsid w:val="003726CB"/>
    <w:rsid w:val="00373571"/>
    <w:rsid w:val="00373A60"/>
    <w:rsid w:val="003751DF"/>
    <w:rsid w:val="0037554D"/>
    <w:rsid w:val="00375575"/>
    <w:rsid w:val="0037709F"/>
    <w:rsid w:val="00377614"/>
    <w:rsid w:val="00377838"/>
    <w:rsid w:val="00377C6E"/>
    <w:rsid w:val="00381541"/>
    <w:rsid w:val="00382781"/>
    <w:rsid w:val="003838BA"/>
    <w:rsid w:val="0038443A"/>
    <w:rsid w:val="003850C6"/>
    <w:rsid w:val="00385991"/>
    <w:rsid w:val="00386CFF"/>
    <w:rsid w:val="00386E32"/>
    <w:rsid w:val="00387F0B"/>
    <w:rsid w:val="0039135F"/>
    <w:rsid w:val="003926C4"/>
    <w:rsid w:val="00393E71"/>
    <w:rsid w:val="0039514F"/>
    <w:rsid w:val="00395B8E"/>
    <w:rsid w:val="003978B2"/>
    <w:rsid w:val="003A39AD"/>
    <w:rsid w:val="003A4768"/>
    <w:rsid w:val="003A574B"/>
    <w:rsid w:val="003A7866"/>
    <w:rsid w:val="003B28C8"/>
    <w:rsid w:val="003B2EB4"/>
    <w:rsid w:val="003B400A"/>
    <w:rsid w:val="003B6750"/>
    <w:rsid w:val="003C0D1C"/>
    <w:rsid w:val="003C29EE"/>
    <w:rsid w:val="003C7EB3"/>
    <w:rsid w:val="003D047E"/>
    <w:rsid w:val="003D16FB"/>
    <w:rsid w:val="003D3033"/>
    <w:rsid w:val="003D4C1F"/>
    <w:rsid w:val="003D5C95"/>
    <w:rsid w:val="003D64B3"/>
    <w:rsid w:val="003D6578"/>
    <w:rsid w:val="003D6BB6"/>
    <w:rsid w:val="003D6EDB"/>
    <w:rsid w:val="003E0887"/>
    <w:rsid w:val="003E1C20"/>
    <w:rsid w:val="003E2290"/>
    <w:rsid w:val="003E40ED"/>
    <w:rsid w:val="003E5124"/>
    <w:rsid w:val="003E52FE"/>
    <w:rsid w:val="003E538E"/>
    <w:rsid w:val="003E6869"/>
    <w:rsid w:val="003E77E3"/>
    <w:rsid w:val="003E7C00"/>
    <w:rsid w:val="003F0191"/>
    <w:rsid w:val="003F0478"/>
    <w:rsid w:val="003F21BB"/>
    <w:rsid w:val="003F289D"/>
    <w:rsid w:val="003F294E"/>
    <w:rsid w:val="003F2AA5"/>
    <w:rsid w:val="003F4537"/>
    <w:rsid w:val="003F53E6"/>
    <w:rsid w:val="003F5505"/>
    <w:rsid w:val="003F69E5"/>
    <w:rsid w:val="003F6CCF"/>
    <w:rsid w:val="003F7DAF"/>
    <w:rsid w:val="004008AA"/>
    <w:rsid w:val="004009E9"/>
    <w:rsid w:val="00403777"/>
    <w:rsid w:val="00404EE9"/>
    <w:rsid w:val="004059FD"/>
    <w:rsid w:val="004074E6"/>
    <w:rsid w:val="004108AD"/>
    <w:rsid w:val="00412A96"/>
    <w:rsid w:val="004146F2"/>
    <w:rsid w:val="00415E47"/>
    <w:rsid w:val="004161A6"/>
    <w:rsid w:val="00417C24"/>
    <w:rsid w:val="004204F3"/>
    <w:rsid w:val="0042067A"/>
    <w:rsid w:val="00423D82"/>
    <w:rsid w:val="00424FFB"/>
    <w:rsid w:val="0042627D"/>
    <w:rsid w:val="00426846"/>
    <w:rsid w:val="00427252"/>
    <w:rsid w:val="0042725B"/>
    <w:rsid w:val="00427DB1"/>
    <w:rsid w:val="00430BC0"/>
    <w:rsid w:val="00431D5E"/>
    <w:rsid w:val="00432C29"/>
    <w:rsid w:val="00433284"/>
    <w:rsid w:val="0043381C"/>
    <w:rsid w:val="00433C77"/>
    <w:rsid w:val="00434512"/>
    <w:rsid w:val="00435518"/>
    <w:rsid w:val="00435C29"/>
    <w:rsid w:val="00436AD8"/>
    <w:rsid w:val="0044076E"/>
    <w:rsid w:val="004409DE"/>
    <w:rsid w:val="00441534"/>
    <w:rsid w:val="00441B53"/>
    <w:rsid w:val="00442D80"/>
    <w:rsid w:val="00443205"/>
    <w:rsid w:val="004433C6"/>
    <w:rsid w:val="004467D2"/>
    <w:rsid w:val="004468F6"/>
    <w:rsid w:val="0044693D"/>
    <w:rsid w:val="00447FA2"/>
    <w:rsid w:val="004506A3"/>
    <w:rsid w:val="00450F6E"/>
    <w:rsid w:val="00451F83"/>
    <w:rsid w:val="00453CD9"/>
    <w:rsid w:val="00454D02"/>
    <w:rsid w:val="00454EE5"/>
    <w:rsid w:val="00455278"/>
    <w:rsid w:val="004563EF"/>
    <w:rsid w:val="0045673A"/>
    <w:rsid w:val="004623DF"/>
    <w:rsid w:val="00462FBA"/>
    <w:rsid w:val="00465282"/>
    <w:rsid w:val="00465895"/>
    <w:rsid w:val="00465B3F"/>
    <w:rsid w:val="004663B2"/>
    <w:rsid w:val="00466F9D"/>
    <w:rsid w:val="0047240F"/>
    <w:rsid w:val="00473344"/>
    <w:rsid w:val="004752C9"/>
    <w:rsid w:val="004757F2"/>
    <w:rsid w:val="0047784B"/>
    <w:rsid w:val="00477ABA"/>
    <w:rsid w:val="00480D93"/>
    <w:rsid w:val="00481406"/>
    <w:rsid w:val="00481F53"/>
    <w:rsid w:val="00483883"/>
    <w:rsid w:val="00483EF2"/>
    <w:rsid w:val="00486387"/>
    <w:rsid w:val="00487459"/>
    <w:rsid w:val="004874F0"/>
    <w:rsid w:val="00487818"/>
    <w:rsid w:val="004902B2"/>
    <w:rsid w:val="00490953"/>
    <w:rsid w:val="004920C4"/>
    <w:rsid w:val="004922CD"/>
    <w:rsid w:val="00493FBA"/>
    <w:rsid w:val="004A1C7F"/>
    <w:rsid w:val="004A230D"/>
    <w:rsid w:val="004A36FE"/>
    <w:rsid w:val="004A4655"/>
    <w:rsid w:val="004A4813"/>
    <w:rsid w:val="004A5F3F"/>
    <w:rsid w:val="004A65FE"/>
    <w:rsid w:val="004A7B97"/>
    <w:rsid w:val="004B0C28"/>
    <w:rsid w:val="004B25CB"/>
    <w:rsid w:val="004B2A76"/>
    <w:rsid w:val="004B2B85"/>
    <w:rsid w:val="004B2FA7"/>
    <w:rsid w:val="004B40E1"/>
    <w:rsid w:val="004B4BFF"/>
    <w:rsid w:val="004B4CD1"/>
    <w:rsid w:val="004B5FE6"/>
    <w:rsid w:val="004B623A"/>
    <w:rsid w:val="004B683E"/>
    <w:rsid w:val="004C0667"/>
    <w:rsid w:val="004C1112"/>
    <w:rsid w:val="004C16AC"/>
    <w:rsid w:val="004C1724"/>
    <w:rsid w:val="004C3F95"/>
    <w:rsid w:val="004C4000"/>
    <w:rsid w:val="004C4203"/>
    <w:rsid w:val="004C536B"/>
    <w:rsid w:val="004C6F01"/>
    <w:rsid w:val="004D02D6"/>
    <w:rsid w:val="004D081C"/>
    <w:rsid w:val="004D0D95"/>
    <w:rsid w:val="004D13A5"/>
    <w:rsid w:val="004D202F"/>
    <w:rsid w:val="004D2A9F"/>
    <w:rsid w:val="004D39DF"/>
    <w:rsid w:val="004D60F0"/>
    <w:rsid w:val="004D7764"/>
    <w:rsid w:val="004E1113"/>
    <w:rsid w:val="004E1B3C"/>
    <w:rsid w:val="004E2D89"/>
    <w:rsid w:val="004E4D3E"/>
    <w:rsid w:val="004E5A05"/>
    <w:rsid w:val="004E65A7"/>
    <w:rsid w:val="004E66C7"/>
    <w:rsid w:val="004F1A9D"/>
    <w:rsid w:val="004F2962"/>
    <w:rsid w:val="004F2BD8"/>
    <w:rsid w:val="004F2D91"/>
    <w:rsid w:val="004F40F2"/>
    <w:rsid w:val="004F4716"/>
    <w:rsid w:val="004F4803"/>
    <w:rsid w:val="004F5C6C"/>
    <w:rsid w:val="0050053D"/>
    <w:rsid w:val="00501B86"/>
    <w:rsid w:val="00501C35"/>
    <w:rsid w:val="00503E48"/>
    <w:rsid w:val="00505A43"/>
    <w:rsid w:val="00506302"/>
    <w:rsid w:val="0050639C"/>
    <w:rsid w:val="00506962"/>
    <w:rsid w:val="00506FDD"/>
    <w:rsid w:val="00507586"/>
    <w:rsid w:val="00510455"/>
    <w:rsid w:val="0051090E"/>
    <w:rsid w:val="00510C9E"/>
    <w:rsid w:val="005119DE"/>
    <w:rsid w:val="005131B8"/>
    <w:rsid w:val="005148CF"/>
    <w:rsid w:val="005166B0"/>
    <w:rsid w:val="00517D03"/>
    <w:rsid w:val="00520780"/>
    <w:rsid w:val="00520FEF"/>
    <w:rsid w:val="00522690"/>
    <w:rsid w:val="00522846"/>
    <w:rsid w:val="005241FC"/>
    <w:rsid w:val="00524ECE"/>
    <w:rsid w:val="005277E3"/>
    <w:rsid w:val="00530175"/>
    <w:rsid w:val="00532CFF"/>
    <w:rsid w:val="005331BC"/>
    <w:rsid w:val="00535D28"/>
    <w:rsid w:val="005403D7"/>
    <w:rsid w:val="00540B1E"/>
    <w:rsid w:val="005422D9"/>
    <w:rsid w:val="005463B9"/>
    <w:rsid w:val="00550B9F"/>
    <w:rsid w:val="00552088"/>
    <w:rsid w:val="005525AA"/>
    <w:rsid w:val="00552E92"/>
    <w:rsid w:val="005535AC"/>
    <w:rsid w:val="00553BF9"/>
    <w:rsid w:val="00553E0A"/>
    <w:rsid w:val="00554151"/>
    <w:rsid w:val="005561D9"/>
    <w:rsid w:val="00556918"/>
    <w:rsid w:val="00556ED8"/>
    <w:rsid w:val="00557725"/>
    <w:rsid w:val="00557BB0"/>
    <w:rsid w:val="005616AD"/>
    <w:rsid w:val="00563887"/>
    <w:rsid w:val="00565A3B"/>
    <w:rsid w:val="00570391"/>
    <w:rsid w:val="00570410"/>
    <w:rsid w:val="00570CD7"/>
    <w:rsid w:val="00571ACE"/>
    <w:rsid w:val="00573623"/>
    <w:rsid w:val="00573E95"/>
    <w:rsid w:val="00574699"/>
    <w:rsid w:val="00576457"/>
    <w:rsid w:val="00576BE3"/>
    <w:rsid w:val="00577B60"/>
    <w:rsid w:val="00580439"/>
    <w:rsid w:val="00584493"/>
    <w:rsid w:val="005844F0"/>
    <w:rsid w:val="00585172"/>
    <w:rsid w:val="00585270"/>
    <w:rsid w:val="00585464"/>
    <w:rsid w:val="00585E40"/>
    <w:rsid w:val="005868B7"/>
    <w:rsid w:val="00587AF1"/>
    <w:rsid w:val="00587F92"/>
    <w:rsid w:val="005905BE"/>
    <w:rsid w:val="005A00B4"/>
    <w:rsid w:val="005A1281"/>
    <w:rsid w:val="005A17DB"/>
    <w:rsid w:val="005A2897"/>
    <w:rsid w:val="005A292E"/>
    <w:rsid w:val="005A2DB1"/>
    <w:rsid w:val="005A546E"/>
    <w:rsid w:val="005A6166"/>
    <w:rsid w:val="005B023F"/>
    <w:rsid w:val="005B1199"/>
    <w:rsid w:val="005B11A3"/>
    <w:rsid w:val="005B2576"/>
    <w:rsid w:val="005B37BC"/>
    <w:rsid w:val="005B5055"/>
    <w:rsid w:val="005B5EB8"/>
    <w:rsid w:val="005C2F5F"/>
    <w:rsid w:val="005C436A"/>
    <w:rsid w:val="005C4970"/>
    <w:rsid w:val="005C535A"/>
    <w:rsid w:val="005C5978"/>
    <w:rsid w:val="005C5E85"/>
    <w:rsid w:val="005C6888"/>
    <w:rsid w:val="005C6BFE"/>
    <w:rsid w:val="005D1746"/>
    <w:rsid w:val="005D2193"/>
    <w:rsid w:val="005D2D17"/>
    <w:rsid w:val="005D32A2"/>
    <w:rsid w:val="005D4A2B"/>
    <w:rsid w:val="005D5E87"/>
    <w:rsid w:val="005D6C17"/>
    <w:rsid w:val="005D7A63"/>
    <w:rsid w:val="005D7DB8"/>
    <w:rsid w:val="005E2CF6"/>
    <w:rsid w:val="005E2D1A"/>
    <w:rsid w:val="005E33A8"/>
    <w:rsid w:val="005E3677"/>
    <w:rsid w:val="005E3ACE"/>
    <w:rsid w:val="005E5FC1"/>
    <w:rsid w:val="005E66DD"/>
    <w:rsid w:val="005E6DF2"/>
    <w:rsid w:val="005E78D1"/>
    <w:rsid w:val="005E798F"/>
    <w:rsid w:val="005F0228"/>
    <w:rsid w:val="005F175C"/>
    <w:rsid w:val="005F1E0A"/>
    <w:rsid w:val="005F25AD"/>
    <w:rsid w:val="005F65ED"/>
    <w:rsid w:val="005F7649"/>
    <w:rsid w:val="006013D6"/>
    <w:rsid w:val="0060188E"/>
    <w:rsid w:val="006024F8"/>
    <w:rsid w:val="00602C96"/>
    <w:rsid w:val="00604580"/>
    <w:rsid w:val="0060469C"/>
    <w:rsid w:val="0061010E"/>
    <w:rsid w:val="006104FD"/>
    <w:rsid w:val="006117CE"/>
    <w:rsid w:val="006120F5"/>
    <w:rsid w:val="00612BD0"/>
    <w:rsid w:val="00613471"/>
    <w:rsid w:val="00613CC3"/>
    <w:rsid w:val="00615891"/>
    <w:rsid w:val="00615A0D"/>
    <w:rsid w:val="00616983"/>
    <w:rsid w:val="00617327"/>
    <w:rsid w:val="0061792D"/>
    <w:rsid w:val="00617C98"/>
    <w:rsid w:val="00620066"/>
    <w:rsid w:val="0062263A"/>
    <w:rsid w:val="00622EF9"/>
    <w:rsid w:val="00622FCB"/>
    <w:rsid w:val="00623144"/>
    <w:rsid w:val="00623C1C"/>
    <w:rsid w:val="0062408B"/>
    <w:rsid w:val="006240E0"/>
    <w:rsid w:val="00624317"/>
    <w:rsid w:val="00627269"/>
    <w:rsid w:val="006276E3"/>
    <w:rsid w:val="00630A94"/>
    <w:rsid w:val="00631F76"/>
    <w:rsid w:val="006324AD"/>
    <w:rsid w:val="00633123"/>
    <w:rsid w:val="00633CE3"/>
    <w:rsid w:val="00634812"/>
    <w:rsid w:val="00640B2F"/>
    <w:rsid w:val="006431E0"/>
    <w:rsid w:val="00643A21"/>
    <w:rsid w:val="006444C7"/>
    <w:rsid w:val="006452E2"/>
    <w:rsid w:val="00645674"/>
    <w:rsid w:val="00646DBD"/>
    <w:rsid w:val="00650C2F"/>
    <w:rsid w:val="006529C6"/>
    <w:rsid w:val="0065310B"/>
    <w:rsid w:val="006539B2"/>
    <w:rsid w:val="0065486C"/>
    <w:rsid w:val="00656BB0"/>
    <w:rsid w:val="006628CB"/>
    <w:rsid w:val="00664096"/>
    <w:rsid w:val="006648AA"/>
    <w:rsid w:val="00664E9F"/>
    <w:rsid w:val="006653DA"/>
    <w:rsid w:val="00665E3D"/>
    <w:rsid w:val="00670E81"/>
    <w:rsid w:val="0067123A"/>
    <w:rsid w:val="00671D17"/>
    <w:rsid w:val="006734FE"/>
    <w:rsid w:val="006742C7"/>
    <w:rsid w:val="0067540D"/>
    <w:rsid w:val="00677B24"/>
    <w:rsid w:val="00677BB9"/>
    <w:rsid w:val="00681826"/>
    <w:rsid w:val="00681925"/>
    <w:rsid w:val="00681A15"/>
    <w:rsid w:val="006825B6"/>
    <w:rsid w:val="0068286D"/>
    <w:rsid w:val="00683914"/>
    <w:rsid w:val="00683C8F"/>
    <w:rsid w:val="00684288"/>
    <w:rsid w:val="00684944"/>
    <w:rsid w:val="00685B37"/>
    <w:rsid w:val="00686BA1"/>
    <w:rsid w:val="006879D1"/>
    <w:rsid w:val="00690435"/>
    <w:rsid w:val="006908B5"/>
    <w:rsid w:val="00692DE8"/>
    <w:rsid w:val="006933C9"/>
    <w:rsid w:val="0069354E"/>
    <w:rsid w:val="006935C1"/>
    <w:rsid w:val="006951AB"/>
    <w:rsid w:val="006954C5"/>
    <w:rsid w:val="00695EC2"/>
    <w:rsid w:val="00696023"/>
    <w:rsid w:val="00696052"/>
    <w:rsid w:val="0069611E"/>
    <w:rsid w:val="00696854"/>
    <w:rsid w:val="006A0169"/>
    <w:rsid w:val="006A224F"/>
    <w:rsid w:val="006A290A"/>
    <w:rsid w:val="006A323A"/>
    <w:rsid w:val="006A52EB"/>
    <w:rsid w:val="006A68F9"/>
    <w:rsid w:val="006A6FEB"/>
    <w:rsid w:val="006B0E3E"/>
    <w:rsid w:val="006B12D5"/>
    <w:rsid w:val="006B1439"/>
    <w:rsid w:val="006B2062"/>
    <w:rsid w:val="006B28CA"/>
    <w:rsid w:val="006B2F6C"/>
    <w:rsid w:val="006B3598"/>
    <w:rsid w:val="006B38D9"/>
    <w:rsid w:val="006B4E6E"/>
    <w:rsid w:val="006B6D72"/>
    <w:rsid w:val="006B6EF2"/>
    <w:rsid w:val="006B70E7"/>
    <w:rsid w:val="006B7509"/>
    <w:rsid w:val="006B7985"/>
    <w:rsid w:val="006C0009"/>
    <w:rsid w:val="006C0B4C"/>
    <w:rsid w:val="006C12E4"/>
    <w:rsid w:val="006C25AB"/>
    <w:rsid w:val="006C299A"/>
    <w:rsid w:val="006C450A"/>
    <w:rsid w:val="006C79CF"/>
    <w:rsid w:val="006D0D37"/>
    <w:rsid w:val="006D2A0C"/>
    <w:rsid w:val="006D3A78"/>
    <w:rsid w:val="006D5BEF"/>
    <w:rsid w:val="006D63BD"/>
    <w:rsid w:val="006D77E8"/>
    <w:rsid w:val="006E0E11"/>
    <w:rsid w:val="006E1756"/>
    <w:rsid w:val="006E1DDC"/>
    <w:rsid w:val="006E2590"/>
    <w:rsid w:val="006E3F50"/>
    <w:rsid w:val="006E4B51"/>
    <w:rsid w:val="006E5418"/>
    <w:rsid w:val="006E747C"/>
    <w:rsid w:val="006E7C82"/>
    <w:rsid w:val="006E7DB9"/>
    <w:rsid w:val="006F21A2"/>
    <w:rsid w:val="006F6B07"/>
    <w:rsid w:val="006F7C8A"/>
    <w:rsid w:val="006F7F03"/>
    <w:rsid w:val="007021CA"/>
    <w:rsid w:val="00702271"/>
    <w:rsid w:val="00702729"/>
    <w:rsid w:val="00704287"/>
    <w:rsid w:val="00704306"/>
    <w:rsid w:val="007046B8"/>
    <w:rsid w:val="00704992"/>
    <w:rsid w:val="00705324"/>
    <w:rsid w:val="0070576C"/>
    <w:rsid w:val="00707116"/>
    <w:rsid w:val="00707603"/>
    <w:rsid w:val="00707E4C"/>
    <w:rsid w:val="0071118D"/>
    <w:rsid w:val="00712841"/>
    <w:rsid w:val="00714424"/>
    <w:rsid w:val="007225E5"/>
    <w:rsid w:val="00722C03"/>
    <w:rsid w:val="00722E11"/>
    <w:rsid w:val="0072399B"/>
    <w:rsid w:val="00723E2C"/>
    <w:rsid w:val="00723F7C"/>
    <w:rsid w:val="00724F77"/>
    <w:rsid w:val="00725A01"/>
    <w:rsid w:val="00725FB7"/>
    <w:rsid w:val="007300A3"/>
    <w:rsid w:val="007305F2"/>
    <w:rsid w:val="007310BB"/>
    <w:rsid w:val="00732419"/>
    <w:rsid w:val="0073303F"/>
    <w:rsid w:val="0073357A"/>
    <w:rsid w:val="00733D3E"/>
    <w:rsid w:val="00734F25"/>
    <w:rsid w:val="00735F70"/>
    <w:rsid w:val="007375AE"/>
    <w:rsid w:val="00737F09"/>
    <w:rsid w:val="00740473"/>
    <w:rsid w:val="0074145D"/>
    <w:rsid w:val="00744734"/>
    <w:rsid w:val="0074565F"/>
    <w:rsid w:val="00745EDF"/>
    <w:rsid w:val="00746643"/>
    <w:rsid w:val="00750BB5"/>
    <w:rsid w:val="00751D72"/>
    <w:rsid w:val="00752273"/>
    <w:rsid w:val="007534A9"/>
    <w:rsid w:val="00753B96"/>
    <w:rsid w:val="00755811"/>
    <w:rsid w:val="007571CE"/>
    <w:rsid w:val="00757200"/>
    <w:rsid w:val="007605D8"/>
    <w:rsid w:val="0076099A"/>
    <w:rsid w:val="00762A6B"/>
    <w:rsid w:val="007635EA"/>
    <w:rsid w:val="00766431"/>
    <w:rsid w:val="007667BB"/>
    <w:rsid w:val="00766DEC"/>
    <w:rsid w:val="00767AD5"/>
    <w:rsid w:val="00771423"/>
    <w:rsid w:val="007735BC"/>
    <w:rsid w:val="00775830"/>
    <w:rsid w:val="007775A0"/>
    <w:rsid w:val="007802F8"/>
    <w:rsid w:val="00780E6D"/>
    <w:rsid w:val="00783FFF"/>
    <w:rsid w:val="00784ACE"/>
    <w:rsid w:val="00786232"/>
    <w:rsid w:val="007877B9"/>
    <w:rsid w:val="00787C63"/>
    <w:rsid w:val="00787D23"/>
    <w:rsid w:val="00791629"/>
    <w:rsid w:val="00791A5E"/>
    <w:rsid w:val="00791AB7"/>
    <w:rsid w:val="00792505"/>
    <w:rsid w:val="00793167"/>
    <w:rsid w:val="00793703"/>
    <w:rsid w:val="007944F4"/>
    <w:rsid w:val="007947F6"/>
    <w:rsid w:val="00795054"/>
    <w:rsid w:val="00795FC1"/>
    <w:rsid w:val="007A02D6"/>
    <w:rsid w:val="007A1B80"/>
    <w:rsid w:val="007A1BF2"/>
    <w:rsid w:val="007A253C"/>
    <w:rsid w:val="007A3838"/>
    <w:rsid w:val="007A3A9D"/>
    <w:rsid w:val="007A67D4"/>
    <w:rsid w:val="007A7193"/>
    <w:rsid w:val="007A7AAE"/>
    <w:rsid w:val="007B041A"/>
    <w:rsid w:val="007B06D8"/>
    <w:rsid w:val="007B1B9B"/>
    <w:rsid w:val="007B3DC6"/>
    <w:rsid w:val="007B5506"/>
    <w:rsid w:val="007B6302"/>
    <w:rsid w:val="007B7BD7"/>
    <w:rsid w:val="007C4186"/>
    <w:rsid w:val="007C54C0"/>
    <w:rsid w:val="007C5A5C"/>
    <w:rsid w:val="007C6BFC"/>
    <w:rsid w:val="007D1F2D"/>
    <w:rsid w:val="007D300D"/>
    <w:rsid w:val="007D3591"/>
    <w:rsid w:val="007D538F"/>
    <w:rsid w:val="007D63F5"/>
    <w:rsid w:val="007E0B28"/>
    <w:rsid w:val="007E13F5"/>
    <w:rsid w:val="007E20A6"/>
    <w:rsid w:val="007E2A65"/>
    <w:rsid w:val="007E2B95"/>
    <w:rsid w:val="007E3FA6"/>
    <w:rsid w:val="007E425E"/>
    <w:rsid w:val="007E52F0"/>
    <w:rsid w:val="007E6471"/>
    <w:rsid w:val="007E6FB2"/>
    <w:rsid w:val="007F3153"/>
    <w:rsid w:val="007F4086"/>
    <w:rsid w:val="007F413D"/>
    <w:rsid w:val="00801E46"/>
    <w:rsid w:val="00803939"/>
    <w:rsid w:val="008065C1"/>
    <w:rsid w:val="00806617"/>
    <w:rsid w:val="008069CF"/>
    <w:rsid w:val="0081007A"/>
    <w:rsid w:val="008108CF"/>
    <w:rsid w:val="00812313"/>
    <w:rsid w:val="00813D47"/>
    <w:rsid w:val="008146F5"/>
    <w:rsid w:val="00814DF0"/>
    <w:rsid w:val="00814FD3"/>
    <w:rsid w:val="00815D34"/>
    <w:rsid w:val="0081619C"/>
    <w:rsid w:val="00816764"/>
    <w:rsid w:val="00816D01"/>
    <w:rsid w:val="00817718"/>
    <w:rsid w:val="008179A7"/>
    <w:rsid w:val="00817AE5"/>
    <w:rsid w:val="00821DA2"/>
    <w:rsid w:val="00822503"/>
    <w:rsid w:val="00822E6F"/>
    <w:rsid w:val="00823915"/>
    <w:rsid w:val="00826DA8"/>
    <w:rsid w:val="00827838"/>
    <w:rsid w:val="008302A3"/>
    <w:rsid w:val="0083156C"/>
    <w:rsid w:val="00831EE9"/>
    <w:rsid w:val="00832425"/>
    <w:rsid w:val="00832DCE"/>
    <w:rsid w:val="00833BFE"/>
    <w:rsid w:val="008343CE"/>
    <w:rsid w:val="0083518C"/>
    <w:rsid w:val="00836059"/>
    <w:rsid w:val="00837901"/>
    <w:rsid w:val="008403AB"/>
    <w:rsid w:val="0084091E"/>
    <w:rsid w:val="00840A11"/>
    <w:rsid w:val="008433B3"/>
    <w:rsid w:val="00844895"/>
    <w:rsid w:val="0084493F"/>
    <w:rsid w:val="00845336"/>
    <w:rsid w:val="00845A51"/>
    <w:rsid w:val="00845A93"/>
    <w:rsid w:val="0084721B"/>
    <w:rsid w:val="008479E7"/>
    <w:rsid w:val="00847AD8"/>
    <w:rsid w:val="00851B11"/>
    <w:rsid w:val="00855ACE"/>
    <w:rsid w:val="00855B95"/>
    <w:rsid w:val="00855BC3"/>
    <w:rsid w:val="00856340"/>
    <w:rsid w:val="008566EB"/>
    <w:rsid w:val="0085720D"/>
    <w:rsid w:val="008618FC"/>
    <w:rsid w:val="00861E4B"/>
    <w:rsid w:val="00863B40"/>
    <w:rsid w:val="00866C72"/>
    <w:rsid w:val="00867B3B"/>
    <w:rsid w:val="00872743"/>
    <w:rsid w:val="008729EE"/>
    <w:rsid w:val="00873150"/>
    <w:rsid w:val="00874F60"/>
    <w:rsid w:val="00874FCC"/>
    <w:rsid w:val="0087626E"/>
    <w:rsid w:val="0087684D"/>
    <w:rsid w:val="00876946"/>
    <w:rsid w:val="00876A25"/>
    <w:rsid w:val="00877676"/>
    <w:rsid w:val="00877909"/>
    <w:rsid w:val="00880109"/>
    <w:rsid w:val="0088208F"/>
    <w:rsid w:val="00882E6A"/>
    <w:rsid w:val="008850CD"/>
    <w:rsid w:val="008851C3"/>
    <w:rsid w:val="00887177"/>
    <w:rsid w:val="008874D7"/>
    <w:rsid w:val="008925BD"/>
    <w:rsid w:val="00892D46"/>
    <w:rsid w:val="00893A0C"/>
    <w:rsid w:val="00893BB7"/>
    <w:rsid w:val="00894D58"/>
    <w:rsid w:val="00894D66"/>
    <w:rsid w:val="00895C10"/>
    <w:rsid w:val="00895C8E"/>
    <w:rsid w:val="008A020C"/>
    <w:rsid w:val="008A0E7E"/>
    <w:rsid w:val="008A1658"/>
    <w:rsid w:val="008A17C4"/>
    <w:rsid w:val="008A22D8"/>
    <w:rsid w:val="008A3C77"/>
    <w:rsid w:val="008A3D51"/>
    <w:rsid w:val="008A45B5"/>
    <w:rsid w:val="008A45CA"/>
    <w:rsid w:val="008A4C84"/>
    <w:rsid w:val="008A4E3C"/>
    <w:rsid w:val="008A514E"/>
    <w:rsid w:val="008A60EF"/>
    <w:rsid w:val="008A689D"/>
    <w:rsid w:val="008A6C7C"/>
    <w:rsid w:val="008B075A"/>
    <w:rsid w:val="008B119B"/>
    <w:rsid w:val="008B23CF"/>
    <w:rsid w:val="008B3AF4"/>
    <w:rsid w:val="008B41C9"/>
    <w:rsid w:val="008B6932"/>
    <w:rsid w:val="008B6CE9"/>
    <w:rsid w:val="008B7511"/>
    <w:rsid w:val="008B7997"/>
    <w:rsid w:val="008B7A00"/>
    <w:rsid w:val="008C10D3"/>
    <w:rsid w:val="008C21B3"/>
    <w:rsid w:val="008C380C"/>
    <w:rsid w:val="008C4892"/>
    <w:rsid w:val="008C4FA5"/>
    <w:rsid w:val="008C5CB5"/>
    <w:rsid w:val="008C73FA"/>
    <w:rsid w:val="008D0510"/>
    <w:rsid w:val="008D0F51"/>
    <w:rsid w:val="008D1784"/>
    <w:rsid w:val="008D299D"/>
    <w:rsid w:val="008D29D4"/>
    <w:rsid w:val="008D3269"/>
    <w:rsid w:val="008D32CA"/>
    <w:rsid w:val="008D5388"/>
    <w:rsid w:val="008D56CF"/>
    <w:rsid w:val="008D68CE"/>
    <w:rsid w:val="008E1926"/>
    <w:rsid w:val="008E75C5"/>
    <w:rsid w:val="008E7EAA"/>
    <w:rsid w:val="008F0680"/>
    <w:rsid w:val="008F22C4"/>
    <w:rsid w:val="008F40E4"/>
    <w:rsid w:val="00901F64"/>
    <w:rsid w:val="00905940"/>
    <w:rsid w:val="009079AB"/>
    <w:rsid w:val="00910BAF"/>
    <w:rsid w:val="009111F1"/>
    <w:rsid w:val="00911E72"/>
    <w:rsid w:val="0091289C"/>
    <w:rsid w:val="00912E6F"/>
    <w:rsid w:val="009144A9"/>
    <w:rsid w:val="00914C9C"/>
    <w:rsid w:val="009155E5"/>
    <w:rsid w:val="009163E1"/>
    <w:rsid w:val="009178B2"/>
    <w:rsid w:val="00917C8F"/>
    <w:rsid w:val="009204A0"/>
    <w:rsid w:val="0092062A"/>
    <w:rsid w:val="009214DA"/>
    <w:rsid w:val="00921B54"/>
    <w:rsid w:val="00922360"/>
    <w:rsid w:val="009230C6"/>
    <w:rsid w:val="00923729"/>
    <w:rsid w:val="009240A0"/>
    <w:rsid w:val="009248EE"/>
    <w:rsid w:val="00924EBE"/>
    <w:rsid w:val="00924FFF"/>
    <w:rsid w:val="009251FE"/>
    <w:rsid w:val="00930378"/>
    <w:rsid w:val="00930A31"/>
    <w:rsid w:val="00930CC4"/>
    <w:rsid w:val="009322F4"/>
    <w:rsid w:val="00932531"/>
    <w:rsid w:val="009332C7"/>
    <w:rsid w:val="00935543"/>
    <w:rsid w:val="00940099"/>
    <w:rsid w:val="00940E3B"/>
    <w:rsid w:val="00941E83"/>
    <w:rsid w:val="00944104"/>
    <w:rsid w:val="009453E5"/>
    <w:rsid w:val="009454D3"/>
    <w:rsid w:val="00946995"/>
    <w:rsid w:val="00947854"/>
    <w:rsid w:val="00951802"/>
    <w:rsid w:val="0095228A"/>
    <w:rsid w:val="009548F8"/>
    <w:rsid w:val="00955069"/>
    <w:rsid w:val="009552EF"/>
    <w:rsid w:val="00955D43"/>
    <w:rsid w:val="009560D6"/>
    <w:rsid w:val="00956EBC"/>
    <w:rsid w:val="00957420"/>
    <w:rsid w:val="00957483"/>
    <w:rsid w:val="009613D0"/>
    <w:rsid w:val="009635CE"/>
    <w:rsid w:val="00964004"/>
    <w:rsid w:val="00964B64"/>
    <w:rsid w:val="00966DED"/>
    <w:rsid w:val="0096788A"/>
    <w:rsid w:val="00967BA0"/>
    <w:rsid w:val="009725B9"/>
    <w:rsid w:val="00972DDA"/>
    <w:rsid w:val="0097330E"/>
    <w:rsid w:val="00974982"/>
    <w:rsid w:val="00975DCB"/>
    <w:rsid w:val="009770C7"/>
    <w:rsid w:val="00977548"/>
    <w:rsid w:val="00984646"/>
    <w:rsid w:val="00985283"/>
    <w:rsid w:val="00986029"/>
    <w:rsid w:val="00987DC6"/>
    <w:rsid w:val="009908E3"/>
    <w:rsid w:val="009918F9"/>
    <w:rsid w:val="00992C68"/>
    <w:rsid w:val="00993BF4"/>
    <w:rsid w:val="0099503B"/>
    <w:rsid w:val="009A1701"/>
    <w:rsid w:val="009A28C8"/>
    <w:rsid w:val="009A3798"/>
    <w:rsid w:val="009A442E"/>
    <w:rsid w:val="009A6971"/>
    <w:rsid w:val="009A6D49"/>
    <w:rsid w:val="009A78E3"/>
    <w:rsid w:val="009A7D92"/>
    <w:rsid w:val="009A7DC2"/>
    <w:rsid w:val="009B20CC"/>
    <w:rsid w:val="009B2BBE"/>
    <w:rsid w:val="009B30A3"/>
    <w:rsid w:val="009B3773"/>
    <w:rsid w:val="009B3C26"/>
    <w:rsid w:val="009B6F61"/>
    <w:rsid w:val="009C2188"/>
    <w:rsid w:val="009C4D35"/>
    <w:rsid w:val="009C5613"/>
    <w:rsid w:val="009C6FFE"/>
    <w:rsid w:val="009D054B"/>
    <w:rsid w:val="009D0556"/>
    <w:rsid w:val="009D157A"/>
    <w:rsid w:val="009D2A9E"/>
    <w:rsid w:val="009D3F5E"/>
    <w:rsid w:val="009D6FDA"/>
    <w:rsid w:val="009E1BC9"/>
    <w:rsid w:val="009E2BCC"/>
    <w:rsid w:val="009E4D19"/>
    <w:rsid w:val="009E5EE6"/>
    <w:rsid w:val="009E7227"/>
    <w:rsid w:val="009E7B91"/>
    <w:rsid w:val="009F06D3"/>
    <w:rsid w:val="009F262B"/>
    <w:rsid w:val="009F3849"/>
    <w:rsid w:val="009F3E8B"/>
    <w:rsid w:val="009F56DE"/>
    <w:rsid w:val="009F5DA9"/>
    <w:rsid w:val="00A0403F"/>
    <w:rsid w:val="00A044FF"/>
    <w:rsid w:val="00A05BCC"/>
    <w:rsid w:val="00A07144"/>
    <w:rsid w:val="00A10644"/>
    <w:rsid w:val="00A10B0F"/>
    <w:rsid w:val="00A10DAF"/>
    <w:rsid w:val="00A1141B"/>
    <w:rsid w:val="00A11AB8"/>
    <w:rsid w:val="00A1477C"/>
    <w:rsid w:val="00A15AA8"/>
    <w:rsid w:val="00A16DAD"/>
    <w:rsid w:val="00A2258C"/>
    <w:rsid w:val="00A23012"/>
    <w:rsid w:val="00A2431F"/>
    <w:rsid w:val="00A244C1"/>
    <w:rsid w:val="00A25609"/>
    <w:rsid w:val="00A274A1"/>
    <w:rsid w:val="00A30207"/>
    <w:rsid w:val="00A314CA"/>
    <w:rsid w:val="00A3226E"/>
    <w:rsid w:val="00A32975"/>
    <w:rsid w:val="00A33165"/>
    <w:rsid w:val="00A3410C"/>
    <w:rsid w:val="00A3427A"/>
    <w:rsid w:val="00A3447D"/>
    <w:rsid w:val="00A35F83"/>
    <w:rsid w:val="00A36414"/>
    <w:rsid w:val="00A37B92"/>
    <w:rsid w:val="00A40727"/>
    <w:rsid w:val="00A413E7"/>
    <w:rsid w:val="00A41772"/>
    <w:rsid w:val="00A41C40"/>
    <w:rsid w:val="00A422BA"/>
    <w:rsid w:val="00A44044"/>
    <w:rsid w:val="00A455F3"/>
    <w:rsid w:val="00A461D9"/>
    <w:rsid w:val="00A46E70"/>
    <w:rsid w:val="00A46EB5"/>
    <w:rsid w:val="00A4788A"/>
    <w:rsid w:val="00A510B3"/>
    <w:rsid w:val="00A51AB0"/>
    <w:rsid w:val="00A53533"/>
    <w:rsid w:val="00A53BFA"/>
    <w:rsid w:val="00A542C4"/>
    <w:rsid w:val="00A54467"/>
    <w:rsid w:val="00A54AA6"/>
    <w:rsid w:val="00A5574A"/>
    <w:rsid w:val="00A55801"/>
    <w:rsid w:val="00A604F1"/>
    <w:rsid w:val="00A62984"/>
    <w:rsid w:val="00A63A60"/>
    <w:rsid w:val="00A65BC3"/>
    <w:rsid w:val="00A66CEA"/>
    <w:rsid w:val="00A67358"/>
    <w:rsid w:val="00A719E6"/>
    <w:rsid w:val="00A71C04"/>
    <w:rsid w:val="00A71D23"/>
    <w:rsid w:val="00A72647"/>
    <w:rsid w:val="00A729C7"/>
    <w:rsid w:val="00A730F2"/>
    <w:rsid w:val="00A740F8"/>
    <w:rsid w:val="00A74A98"/>
    <w:rsid w:val="00A80817"/>
    <w:rsid w:val="00A80D3D"/>
    <w:rsid w:val="00A83198"/>
    <w:rsid w:val="00A840F3"/>
    <w:rsid w:val="00A85036"/>
    <w:rsid w:val="00A85AD6"/>
    <w:rsid w:val="00A91AAA"/>
    <w:rsid w:val="00A92525"/>
    <w:rsid w:val="00A92B45"/>
    <w:rsid w:val="00A92E1C"/>
    <w:rsid w:val="00A92E65"/>
    <w:rsid w:val="00A93456"/>
    <w:rsid w:val="00A93BEA"/>
    <w:rsid w:val="00A93C11"/>
    <w:rsid w:val="00A93D2D"/>
    <w:rsid w:val="00A95AE9"/>
    <w:rsid w:val="00A96771"/>
    <w:rsid w:val="00A9755D"/>
    <w:rsid w:val="00A97848"/>
    <w:rsid w:val="00A979AF"/>
    <w:rsid w:val="00AA3F95"/>
    <w:rsid w:val="00AA4B87"/>
    <w:rsid w:val="00AA4E37"/>
    <w:rsid w:val="00AA6BCB"/>
    <w:rsid w:val="00AA7618"/>
    <w:rsid w:val="00AB19B9"/>
    <w:rsid w:val="00AB2B8F"/>
    <w:rsid w:val="00AB366A"/>
    <w:rsid w:val="00AB4439"/>
    <w:rsid w:val="00AC1243"/>
    <w:rsid w:val="00AC1313"/>
    <w:rsid w:val="00AC2F83"/>
    <w:rsid w:val="00AC3149"/>
    <w:rsid w:val="00AC4ABB"/>
    <w:rsid w:val="00AC6519"/>
    <w:rsid w:val="00AD1E82"/>
    <w:rsid w:val="00AD30D9"/>
    <w:rsid w:val="00AD4746"/>
    <w:rsid w:val="00AD66CD"/>
    <w:rsid w:val="00AE247E"/>
    <w:rsid w:val="00AE2DA0"/>
    <w:rsid w:val="00AE32C0"/>
    <w:rsid w:val="00AE3612"/>
    <w:rsid w:val="00AE3A97"/>
    <w:rsid w:val="00AE726D"/>
    <w:rsid w:val="00AE740C"/>
    <w:rsid w:val="00AE7DC9"/>
    <w:rsid w:val="00AF009E"/>
    <w:rsid w:val="00AF0C8E"/>
    <w:rsid w:val="00AF2150"/>
    <w:rsid w:val="00AF25B9"/>
    <w:rsid w:val="00AF34C4"/>
    <w:rsid w:val="00AF534E"/>
    <w:rsid w:val="00B00EC0"/>
    <w:rsid w:val="00B0443D"/>
    <w:rsid w:val="00B149B0"/>
    <w:rsid w:val="00B16F23"/>
    <w:rsid w:val="00B17367"/>
    <w:rsid w:val="00B200B4"/>
    <w:rsid w:val="00B2051D"/>
    <w:rsid w:val="00B23289"/>
    <w:rsid w:val="00B257F3"/>
    <w:rsid w:val="00B25FE9"/>
    <w:rsid w:val="00B32D39"/>
    <w:rsid w:val="00B3497E"/>
    <w:rsid w:val="00B351FC"/>
    <w:rsid w:val="00B36067"/>
    <w:rsid w:val="00B36A4A"/>
    <w:rsid w:val="00B36AE6"/>
    <w:rsid w:val="00B37396"/>
    <w:rsid w:val="00B432F6"/>
    <w:rsid w:val="00B44023"/>
    <w:rsid w:val="00B44343"/>
    <w:rsid w:val="00B44736"/>
    <w:rsid w:val="00B44C81"/>
    <w:rsid w:val="00B4516E"/>
    <w:rsid w:val="00B50193"/>
    <w:rsid w:val="00B50FC0"/>
    <w:rsid w:val="00B51AD3"/>
    <w:rsid w:val="00B55E80"/>
    <w:rsid w:val="00B55F0F"/>
    <w:rsid w:val="00B56142"/>
    <w:rsid w:val="00B56A1A"/>
    <w:rsid w:val="00B56B17"/>
    <w:rsid w:val="00B57C2B"/>
    <w:rsid w:val="00B610DE"/>
    <w:rsid w:val="00B61978"/>
    <w:rsid w:val="00B6240E"/>
    <w:rsid w:val="00B64A99"/>
    <w:rsid w:val="00B65BF9"/>
    <w:rsid w:val="00B6625D"/>
    <w:rsid w:val="00B6660E"/>
    <w:rsid w:val="00B679E0"/>
    <w:rsid w:val="00B67E0F"/>
    <w:rsid w:val="00B67FF5"/>
    <w:rsid w:val="00B700D5"/>
    <w:rsid w:val="00B700EF"/>
    <w:rsid w:val="00B70135"/>
    <w:rsid w:val="00B72411"/>
    <w:rsid w:val="00B73ED0"/>
    <w:rsid w:val="00B73F27"/>
    <w:rsid w:val="00B751D9"/>
    <w:rsid w:val="00B76B72"/>
    <w:rsid w:val="00B76F12"/>
    <w:rsid w:val="00B76F2E"/>
    <w:rsid w:val="00B77B88"/>
    <w:rsid w:val="00B80920"/>
    <w:rsid w:val="00B8101F"/>
    <w:rsid w:val="00B81EF0"/>
    <w:rsid w:val="00B82093"/>
    <w:rsid w:val="00B82D15"/>
    <w:rsid w:val="00B8364A"/>
    <w:rsid w:val="00B8424D"/>
    <w:rsid w:val="00B84ECF"/>
    <w:rsid w:val="00B84EE7"/>
    <w:rsid w:val="00B86E37"/>
    <w:rsid w:val="00B871F9"/>
    <w:rsid w:val="00B87C3C"/>
    <w:rsid w:val="00B91C95"/>
    <w:rsid w:val="00B91FD0"/>
    <w:rsid w:val="00B9348E"/>
    <w:rsid w:val="00B94323"/>
    <w:rsid w:val="00B94B34"/>
    <w:rsid w:val="00BA1E4D"/>
    <w:rsid w:val="00BA36CF"/>
    <w:rsid w:val="00BA61B3"/>
    <w:rsid w:val="00BA67D0"/>
    <w:rsid w:val="00BA6B91"/>
    <w:rsid w:val="00BA72A0"/>
    <w:rsid w:val="00BB15D6"/>
    <w:rsid w:val="00BB1EFE"/>
    <w:rsid w:val="00BB2FA0"/>
    <w:rsid w:val="00BB5292"/>
    <w:rsid w:val="00BB57F3"/>
    <w:rsid w:val="00BB6A52"/>
    <w:rsid w:val="00BB6BA6"/>
    <w:rsid w:val="00BC0332"/>
    <w:rsid w:val="00BC119F"/>
    <w:rsid w:val="00BC38EB"/>
    <w:rsid w:val="00BC4059"/>
    <w:rsid w:val="00BC4BF3"/>
    <w:rsid w:val="00BC511B"/>
    <w:rsid w:val="00BC5FF9"/>
    <w:rsid w:val="00BC7509"/>
    <w:rsid w:val="00BD1F79"/>
    <w:rsid w:val="00BD31DC"/>
    <w:rsid w:val="00BD4D42"/>
    <w:rsid w:val="00BD59A7"/>
    <w:rsid w:val="00BD5B23"/>
    <w:rsid w:val="00BD6413"/>
    <w:rsid w:val="00BD6B83"/>
    <w:rsid w:val="00BE0338"/>
    <w:rsid w:val="00BE0915"/>
    <w:rsid w:val="00BE19C1"/>
    <w:rsid w:val="00BE1B31"/>
    <w:rsid w:val="00BE21D7"/>
    <w:rsid w:val="00BE328B"/>
    <w:rsid w:val="00BE3AEB"/>
    <w:rsid w:val="00BE4006"/>
    <w:rsid w:val="00BE4B5D"/>
    <w:rsid w:val="00BE4FE3"/>
    <w:rsid w:val="00BF058E"/>
    <w:rsid w:val="00BF0C8B"/>
    <w:rsid w:val="00BF18C9"/>
    <w:rsid w:val="00BF1ADB"/>
    <w:rsid w:val="00BF3BF1"/>
    <w:rsid w:val="00BF6F7F"/>
    <w:rsid w:val="00C02ADA"/>
    <w:rsid w:val="00C050B7"/>
    <w:rsid w:val="00C07122"/>
    <w:rsid w:val="00C10DF6"/>
    <w:rsid w:val="00C1175B"/>
    <w:rsid w:val="00C1181D"/>
    <w:rsid w:val="00C131E9"/>
    <w:rsid w:val="00C13F51"/>
    <w:rsid w:val="00C168A2"/>
    <w:rsid w:val="00C20A14"/>
    <w:rsid w:val="00C214E6"/>
    <w:rsid w:val="00C2169D"/>
    <w:rsid w:val="00C23BCE"/>
    <w:rsid w:val="00C25ECB"/>
    <w:rsid w:val="00C266EF"/>
    <w:rsid w:val="00C274E6"/>
    <w:rsid w:val="00C314F2"/>
    <w:rsid w:val="00C31F9F"/>
    <w:rsid w:val="00C32282"/>
    <w:rsid w:val="00C32B08"/>
    <w:rsid w:val="00C330B9"/>
    <w:rsid w:val="00C34AF4"/>
    <w:rsid w:val="00C34BD9"/>
    <w:rsid w:val="00C36A41"/>
    <w:rsid w:val="00C37E0B"/>
    <w:rsid w:val="00C412EB"/>
    <w:rsid w:val="00C41ACB"/>
    <w:rsid w:val="00C42361"/>
    <w:rsid w:val="00C42897"/>
    <w:rsid w:val="00C42D41"/>
    <w:rsid w:val="00C44A07"/>
    <w:rsid w:val="00C44C93"/>
    <w:rsid w:val="00C45C3B"/>
    <w:rsid w:val="00C463AF"/>
    <w:rsid w:val="00C46DFA"/>
    <w:rsid w:val="00C50916"/>
    <w:rsid w:val="00C50A16"/>
    <w:rsid w:val="00C51867"/>
    <w:rsid w:val="00C52648"/>
    <w:rsid w:val="00C52FE6"/>
    <w:rsid w:val="00C5401E"/>
    <w:rsid w:val="00C60BFD"/>
    <w:rsid w:val="00C62E5F"/>
    <w:rsid w:val="00C63269"/>
    <w:rsid w:val="00C63A34"/>
    <w:rsid w:val="00C64B61"/>
    <w:rsid w:val="00C64CDE"/>
    <w:rsid w:val="00C66476"/>
    <w:rsid w:val="00C67405"/>
    <w:rsid w:val="00C70769"/>
    <w:rsid w:val="00C70A78"/>
    <w:rsid w:val="00C71228"/>
    <w:rsid w:val="00C72E0D"/>
    <w:rsid w:val="00C733AA"/>
    <w:rsid w:val="00C73D91"/>
    <w:rsid w:val="00C74CF3"/>
    <w:rsid w:val="00C766B9"/>
    <w:rsid w:val="00C77EA5"/>
    <w:rsid w:val="00C812CF"/>
    <w:rsid w:val="00C83E93"/>
    <w:rsid w:val="00C83E9D"/>
    <w:rsid w:val="00C83F9B"/>
    <w:rsid w:val="00C852EF"/>
    <w:rsid w:val="00C853D5"/>
    <w:rsid w:val="00C870AC"/>
    <w:rsid w:val="00C9646A"/>
    <w:rsid w:val="00CA0690"/>
    <w:rsid w:val="00CA0A35"/>
    <w:rsid w:val="00CA0F3B"/>
    <w:rsid w:val="00CA1712"/>
    <w:rsid w:val="00CA3E42"/>
    <w:rsid w:val="00CA4731"/>
    <w:rsid w:val="00CA5918"/>
    <w:rsid w:val="00CA775E"/>
    <w:rsid w:val="00CB2DF3"/>
    <w:rsid w:val="00CB4EFB"/>
    <w:rsid w:val="00CB61DF"/>
    <w:rsid w:val="00CB65CB"/>
    <w:rsid w:val="00CB68A9"/>
    <w:rsid w:val="00CB756C"/>
    <w:rsid w:val="00CC0AA3"/>
    <w:rsid w:val="00CC299C"/>
    <w:rsid w:val="00CC2E93"/>
    <w:rsid w:val="00CC3AD4"/>
    <w:rsid w:val="00CC4D47"/>
    <w:rsid w:val="00CC5340"/>
    <w:rsid w:val="00CC582E"/>
    <w:rsid w:val="00CC64D4"/>
    <w:rsid w:val="00CD05AA"/>
    <w:rsid w:val="00CD121E"/>
    <w:rsid w:val="00CD1729"/>
    <w:rsid w:val="00CD36E6"/>
    <w:rsid w:val="00CD6BE0"/>
    <w:rsid w:val="00CD6F3F"/>
    <w:rsid w:val="00CE2461"/>
    <w:rsid w:val="00CE2728"/>
    <w:rsid w:val="00CE2ACD"/>
    <w:rsid w:val="00CE30BC"/>
    <w:rsid w:val="00CE5E0F"/>
    <w:rsid w:val="00CE5E21"/>
    <w:rsid w:val="00CE74A6"/>
    <w:rsid w:val="00CE7F7E"/>
    <w:rsid w:val="00CF0B77"/>
    <w:rsid w:val="00CF2E01"/>
    <w:rsid w:val="00CF38C4"/>
    <w:rsid w:val="00CF3E65"/>
    <w:rsid w:val="00CF5156"/>
    <w:rsid w:val="00CF5DE7"/>
    <w:rsid w:val="00CF6565"/>
    <w:rsid w:val="00CF70A2"/>
    <w:rsid w:val="00CF7798"/>
    <w:rsid w:val="00D0062C"/>
    <w:rsid w:val="00D00EAA"/>
    <w:rsid w:val="00D00FD7"/>
    <w:rsid w:val="00D01960"/>
    <w:rsid w:val="00D04C0D"/>
    <w:rsid w:val="00D0761C"/>
    <w:rsid w:val="00D07CBE"/>
    <w:rsid w:val="00D10476"/>
    <w:rsid w:val="00D1071E"/>
    <w:rsid w:val="00D10D84"/>
    <w:rsid w:val="00D112E9"/>
    <w:rsid w:val="00D14307"/>
    <w:rsid w:val="00D14CAA"/>
    <w:rsid w:val="00D14E97"/>
    <w:rsid w:val="00D15B21"/>
    <w:rsid w:val="00D15CD1"/>
    <w:rsid w:val="00D17145"/>
    <w:rsid w:val="00D1754E"/>
    <w:rsid w:val="00D17F81"/>
    <w:rsid w:val="00D215E6"/>
    <w:rsid w:val="00D22E03"/>
    <w:rsid w:val="00D23FD1"/>
    <w:rsid w:val="00D25AAA"/>
    <w:rsid w:val="00D26A26"/>
    <w:rsid w:val="00D26B4D"/>
    <w:rsid w:val="00D321A8"/>
    <w:rsid w:val="00D3316B"/>
    <w:rsid w:val="00D33435"/>
    <w:rsid w:val="00D3426A"/>
    <w:rsid w:val="00D36BF9"/>
    <w:rsid w:val="00D37D37"/>
    <w:rsid w:val="00D40674"/>
    <w:rsid w:val="00D427E9"/>
    <w:rsid w:val="00D460F5"/>
    <w:rsid w:val="00D46DA5"/>
    <w:rsid w:val="00D46F0F"/>
    <w:rsid w:val="00D501F1"/>
    <w:rsid w:val="00D503F5"/>
    <w:rsid w:val="00D50558"/>
    <w:rsid w:val="00D50D9A"/>
    <w:rsid w:val="00D54962"/>
    <w:rsid w:val="00D563DD"/>
    <w:rsid w:val="00D563E6"/>
    <w:rsid w:val="00D571CC"/>
    <w:rsid w:val="00D63E10"/>
    <w:rsid w:val="00D645B1"/>
    <w:rsid w:val="00D64A43"/>
    <w:rsid w:val="00D65E47"/>
    <w:rsid w:val="00D678DE"/>
    <w:rsid w:val="00D67E0E"/>
    <w:rsid w:val="00D71518"/>
    <w:rsid w:val="00D7302B"/>
    <w:rsid w:val="00D731B4"/>
    <w:rsid w:val="00D748B0"/>
    <w:rsid w:val="00D74BCA"/>
    <w:rsid w:val="00D75F63"/>
    <w:rsid w:val="00D764E0"/>
    <w:rsid w:val="00D77147"/>
    <w:rsid w:val="00D774D1"/>
    <w:rsid w:val="00D8014F"/>
    <w:rsid w:val="00D8026D"/>
    <w:rsid w:val="00D83D1D"/>
    <w:rsid w:val="00D83F8C"/>
    <w:rsid w:val="00D8680C"/>
    <w:rsid w:val="00D86F03"/>
    <w:rsid w:val="00D93B1A"/>
    <w:rsid w:val="00D942F8"/>
    <w:rsid w:val="00D96236"/>
    <w:rsid w:val="00D965F2"/>
    <w:rsid w:val="00D97712"/>
    <w:rsid w:val="00DA0C27"/>
    <w:rsid w:val="00DA23E8"/>
    <w:rsid w:val="00DA595A"/>
    <w:rsid w:val="00DA5A60"/>
    <w:rsid w:val="00DA6072"/>
    <w:rsid w:val="00DA61C9"/>
    <w:rsid w:val="00DB0FF6"/>
    <w:rsid w:val="00DB10B7"/>
    <w:rsid w:val="00DB6AC7"/>
    <w:rsid w:val="00DC0DA0"/>
    <w:rsid w:val="00DC1C3D"/>
    <w:rsid w:val="00DC5885"/>
    <w:rsid w:val="00DC6388"/>
    <w:rsid w:val="00DC7931"/>
    <w:rsid w:val="00DD0472"/>
    <w:rsid w:val="00DD1959"/>
    <w:rsid w:val="00DD1DCE"/>
    <w:rsid w:val="00DD2A21"/>
    <w:rsid w:val="00DD4B40"/>
    <w:rsid w:val="00DD4F97"/>
    <w:rsid w:val="00DD5F58"/>
    <w:rsid w:val="00DE13C4"/>
    <w:rsid w:val="00DE2DDA"/>
    <w:rsid w:val="00DE3593"/>
    <w:rsid w:val="00DE4328"/>
    <w:rsid w:val="00DE6457"/>
    <w:rsid w:val="00DE67CF"/>
    <w:rsid w:val="00DE6869"/>
    <w:rsid w:val="00DE742D"/>
    <w:rsid w:val="00DF2455"/>
    <w:rsid w:val="00DF311C"/>
    <w:rsid w:val="00DF3259"/>
    <w:rsid w:val="00DF3C13"/>
    <w:rsid w:val="00DF4566"/>
    <w:rsid w:val="00DF5B30"/>
    <w:rsid w:val="00DF6DDA"/>
    <w:rsid w:val="00E00283"/>
    <w:rsid w:val="00E009DD"/>
    <w:rsid w:val="00E03AD7"/>
    <w:rsid w:val="00E04505"/>
    <w:rsid w:val="00E04BDF"/>
    <w:rsid w:val="00E05790"/>
    <w:rsid w:val="00E05824"/>
    <w:rsid w:val="00E060A0"/>
    <w:rsid w:val="00E101A9"/>
    <w:rsid w:val="00E118AB"/>
    <w:rsid w:val="00E129D7"/>
    <w:rsid w:val="00E152E4"/>
    <w:rsid w:val="00E1676D"/>
    <w:rsid w:val="00E17D47"/>
    <w:rsid w:val="00E21F08"/>
    <w:rsid w:val="00E24EFE"/>
    <w:rsid w:val="00E25231"/>
    <w:rsid w:val="00E261BA"/>
    <w:rsid w:val="00E26BA8"/>
    <w:rsid w:val="00E272EC"/>
    <w:rsid w:val="00E27B4A"/>
    <w:rsid w:val="00E30182"/>
    <w:rsid w:val="00E32404"/>
    <w:rsid w:val="00E32448"/>
    <w:rsid w:val="00E35241"/>
    <w:rsid w:val="00E36D3C"/>
    <w:rsid w:val="00E408B7"/>
    <w:rsid w:val="00E41BFD"/>
    <w:rsid w:val="00E43E84"/>
    <w:rsid w:val="00E44793"/>
    <w:rsid w:val="00E46298"/>
    <w:rsid w:val="00E465EB"/>
    <w:rsid w:val="00E50824"/>
    <w:rsid w:val="00E509A8"/>
    <w:rsid w:val="00E528AE"/>
    <w:rsid w:val="00E53C8E"/>
    <w:rsid w:val="00E53F8F"/>
    <w:rsid w:val="00E54D2E"/>
    <w:rsid w:val="00E550FC"/>
    <w:rsid w:val="00E61B98"/>
    <w:rsid w:val="00E62DAA"/>
    <w:rsid w:val="00E635A1"/>
    <w:rsid w:val="00E648A0"/>
    <w:rsid w:val="00E64E59"/>
    <w:rsid w:val="00E65369"/>
    <w:rsid w:val="00E67F21"/>
    <w:rsid w:val="00E72633"/>
    <w:rsid w:val="00E728D8"/>
    <w:rsid w:val="00E7295A"/>
    <w:rsid w:val="00E72A4D"/>
    <w:rsid w:val="00E739EA"/>
    <w:rsid w:val="00E73B7E"/>
    <w:rsid w:val="00E742F5"/>
    <w:rsid w:val="00E74F2D"/>
    <w:rsid w:val="00E754C7"/>
    <w:rsid w:val="00E758A6"/>
    <w:rsid w:val="00E8139C"/>
    <w:rsid w:val="00E824A0"/>
    <w:rsid w:val="00E827BC"/>
    <w:rsid w:val="00E83706"/>
    <w:rsid w:val="00E83998"/>
    <w:rsid w:val="00E856EB"/>
    <w:rsid w:val="00E87CC2"/>
    <w:rsid w:val="00E90FA6"/>
    <w:rsid w:val="00E922FF"/>
    <w:rsid w:val="00E92DD6"/>
    <w:rsid w:val="00E94C91"/>
    <w:rsid w:val="00E95829"/>
    <w:rsid w:val="00E95896"/>
    <w:rsid w:val="00E9639B"/>
    <w:rsid w:val="00E969A7"/>
    <w:rsid w:val="00EA0FD4"/>
    <w:rsid w:val="00EA10E8"/>
    <w:rsid w:val="00EA3F10"/>
    <w:rsid w:val="00EA42B1"/>
    <w:rsid w:val="00EA6C7A"/>
    <w:rsid w:val="00EB1310"/>
    <w:rsid w:val="00EB2C6B"/>
    <w:rsid w:val="00EB357B"/>
    <w:rsid w:val="00EB4259"/>
    <w:rsid w:val="00EB4951"/>
    <w:rsid w:val="00EB49BC"/>
    <w:rsid w:val="00EB5F63"/>
    <w:rsid w:val="00EB6A67"/>
    <w:rsid w:val="00EC1306"/>
    <w:rsid w:val="00EC2BF9"/>
    <w:rsid w:val="00EC2FE1"/>
    <w:rsid w:val="00EC3032"/>
    <w:rsid w:val="00EC43EE"/>
    <w:rsid w:val="00EC4E46"/>
    <w:rsid w:val="00EC506D"/>
    <w:rsid w:val="00EC5B16"/>
    <w:rsid w:val="00EC6433"/>
    <w:rsid w:val="00ED1904"/>
    <w:rsid w:val="00ED428A"/>
    <w:rsid w:val="00ED47FB"/>
    <w:rsid w:val="00ED4D06"/>
    <w:rsid w:val="00ED52FB"/>
    <w:rsid w:val="00ED56DC"/>
    <w:rsid w:val="00ED798C"/>
    <w:rsid w:val="00EE0CB7"/>
    <w:rsid w:val="00EE5084"/>
    <w:rsid w:val="00EE5989"/>
    <w:rsid w:val="00EE6355"/>
    <w:rsid w:val="00EF2F3D"/>
    <w:rsid w:val="00EF2F5E"/>
    <w:rsid w:val="00EF346E"/>
    <w:rsid w:val="00EF3B36"/>
    <w:rsid w:val="00EF4F25"/>
    <w:rsid w:val="00EF5559"/>
    <w:rsid w:val="00EF571C"/>
    <w:rsid w:val="00EF6A2E"/>
    <w:rsid w:val="00EF6D45"/>
    <w:rsid w:val="00EF736D"/>
    <w:rsid w:val="00F016CF"/>
    <w:rsid w:val="00F020D0"/>
    <w:rsid w:val="00F02CFC"/>
    <w:rsid w:val="00F02EC4"/>
    <w:rsid w:val="00F04065"/>
    <w:rsid w:val="00F04A07"/>
    <w:rsid w:val="00F07D34"/>
    <w:rsid w:val="00F1091A"/>
    <w:rsid w:val="00F10E0B"/>
    <w:rsid w:val="00F11BC4"/>
    <w:rsid w:val="00F132C8"/>
    <w:rsid w:val="00F1452A"/>
    <w:rsid w:val="00F20859"/>
    <w:rsid w:val="00F2522F"/>
    <w:rsid w:val="00F3092B"/>
    <w:rsid w:val="00F3126C"/>
    <w:rsid w:val="00F3369B"/>
    <w:rsid w:val="00F33885"/>
    <w:rsid w:val="00F3422B"/>
    <w:rsid w:val="00F3454A"/>
    <w:rsid w:val="00F34AA6"/>
    <w:rsid w:val="00F34AFE"/>
    <w:rsid w:val="00F34C9D"/>
    <w:rsid w:val="00F35197"/>
    <w:rsid w:val="00F3632E"/>
    <w:rsid w:val="00F37B1E"/>
    <w:rsid w:val="00F37C80"/>
    <w:rsid w:val="00F37C95"/>
    <w:rsid w:val="00F40F3B"/>
    <w:rsid w:val="00F40FC7"/>
    <w:rsid w:val="00F420DD"/>
    <w:rsid w:val="00F4248A"/>
    <w:rsid w:val="00F42552"/>
    <w:rsid w:val="00F4484B"/>
    <w:rsid w:val="00F4672B"/>
    <w:rsid w:val="00F474D9"/>
    <w:rsid w:val="00F5225C"/>
    <w:rsid w:val="00F52FF0"/>
    <w:rsid w:val="00F55900"/>
    <w:rsid w:val="00F559FA"/>
    <w:rsid w:val="00F603FE"/>
    <w:rsid w:val="00F60987"/>
    <w:rsid w:val="00F61A6D"/>
    <w:rsid w:val="00F61B8C"/>
    <w:rsid w:val="00F63ED4"/>
    <w:rsid w:val="00F656CF"/>
    <w:rsid w:val="00F657C9"/>
    <w:rsid w:val="00F65B79"/>
    <w:rsid w:val="00F66011"/>
    <w:rsid w:val="00F66C42"/>
    <w:rsid w:val="00F675AF"/>
    <w:rsid w:val="00F67D4A"/>
    <w:rsid w:val="00F728D6"/>
    <w:rsid w:val="00F7439A"/>
    <w:rsid w:val="00F74A3F"/>
    <w:rsid w:val="00F755F2"/>
    <w:rsid w:val="00F75DF5"/>
    <w:rsid w:val="00F769F0"/>
    <w:rsid w:val="00F82519"/>
    <w:rsid w:val="00F83BA1"/>
    <w:rsid w:val="00F83E4F"/>
    <w:rsid w:val="00F84845"/>
    <w:rsid w:val="00F91644"/>
    <w:rsid w:val="00F91F37"/>
    <w:rsid w:val="00F9209C"/>
    <w:rsid w:val="00F9242D"/>
    <w:rsid w:val="00F9390E"/>
    <w:rsid w:val="00F95668"/>
    <w:rsid w:val="00F95BDA"/>
    <w:rsid w:val="00F95FFF"/>
    <w:rsid w:val="00F9799F"/>
    <w:rsid w:val="00FA0FAB"/>
    <w:rsid w:val="00FA2388"/>
    <w:rsid w:val="00FA25A6"/>
    <w:rsid w:val="00FA2D63"/>
    <w:rsid w:val="00FA37D0"/>
    <w:rsid w:val="00FA5B70"/>
    <w:rsid w:val="00FA7599"/>
    <w:rsid w:val="00FB121A"/>
    <w:rsid w:val="00FB50AF"/>
    <w:rsid w:val="00FB5A3A"/>
    <w:rsid w:val="00FB5B3F"/>
    <w:rsid w:val="00FB7795"/>
    <w:rsid w:val="00FB799F"/>
    <w:rsid w:val="00FC0C22"/>
    <w:rsid w:val="00FC0C63"/>
    <w:rsid w:val="00FC21D1"/>
    <w:rsid w:val="00FC2A69"/>
    <w:rsid w:val="00FC32F1"/>
    <w:rsid w:val="00FC3F8B"/>
    <w:rsid w:val="00FC41CF"/>
    <w:rsid w:val="00FC665F"/>
    <w:rsid w:val="00FC7C96"/>
    <w:rsid w:val="00FD0764"/>
    <w:rsid w:val="00FD25C1"/>
    <w:rsid w:val="00FD3845"/>
    <w:rsid w:val="00FD403E"/>
    <w:rsid w:val="00FD4C2E"/>
    <w:rsid w:val="00FD500A"/>
    <w:rsid w:val="00FE0CA2"/>
    <w:rsid w:val="00FE0F53"/>
    <w:rsid w:val="00FE1465"/>
    <w:rsid w:val="00FE251A"/>
    <w:rsid w:val="00FE2C31"/>
    <w:rsid w:val="00FE302A"/>
    <w:rsid w:val="00FE4AC0"/>
    <w:rsid w:val="00FE507A"/>
    <w:rsid w:val="00FE6001"/>
    <w:rsid w:val="00FF0979"/>
    <w:rsid w:val="00FF1904"/>
    <w:rsid w:val="00FF20FA"/>
    <w:rsid w:val="00FF2F80"/>
    <w:rsid w:val="00FF6193"/>
    <w:rsid w:val="00FF64D9"/>
    <w:rsid w:val="00FF6893"/>
    <w:rsid w:val="014F4893"/>
    <w:rsid w:val="01A26771"/>
    <w:rsid w:val="01C3203E"/>
    <w:rsid w:val="02275933"/>
    <w:rsid w:val="02A836AF"/>
    <w:rsid w:val="02DE25A1"/>
    <w:rsid w:val="033726BC"/>
    <w:rsid w:val="0348159A"/>
    <w:rsid w:val="034D2BBA"/>
    <w:rsid w:val="036F4C38"/>
    <w:rsid w:val="03B7227C"/>
    <w:rsid w:val="044D4343"/>
    <w:rsid w:val="04762D1C"/>
    <w:rsid w:val="04FA7BBA"/>
    <w:rsid w:val="051F3116"/>
    <w:rsid w:val="0534627A"/>
    <w:rsid w:val="05401DD1"/>
    <w:rsid w:val="05B15378"/>
    <w:rsid w:val="064F62DC"/>
    <w:rsid w:val="06504129"/>
    <w:rsid w:val="06542CAB"/>
    <w:rsid w:val="06607DC8"/>
    <w:rsid w:val="06B932AD"/>
    <w:rsid w:val="06CC02D8"/>
    <w:rsid w:val="06EC0252"/>
    <w:rsid w:val="06F112CB"/>
    <w:rsid w:val="06F2361D"/>
    <w:rsid w:val="07031C5A"/>
    <w:rsid w:val="0707783D"/>
    <w:rsid w:val="0796796D"/>
    <w:rsid w:val="07AD033B"/>
    <w:rsid w:val="07B1779B"/>
    <w:rsid w:val="081E0B1B"/>
    <w:rsid w:val="08773762"/>
    <w:rsid w:val="08E81855"/>
    <w:rsid w:val="0955569E"/>
    <w:rsid w:val="09CA2D09"/>
    <w:rsid w:val="09FA3E37"/>
    <w:rsid w:val="0A1017D7"/>
    <w:rsid w:val="0A1B02A3"/>
    <w:rsid w:val="0A537044"/>
    <w:rsid w:val="0A5371A2"/>
    <w:rsid w:val="0A764C3F"/>
    <w:rsid w:val="0A8235E3"/>
    <w:rsid w:val="0A98035D"/>
    <w:rsid w:val="0AE24082"/>
    <w:rsid w:val="0AED56F5"/>
    <w:rsid w:val="0B2B77D7"/>
    <w:rsid w:val="0B3B1C0F"/>
    <w:rsid w:val="0B7D3DAB"/>
    <w:rsid w:val="0BA96E44"/>
    <w:rsid w:val="0BDF583A"/>
    <w:rsid w:val="0BF22112"/>
    <w:rsid w:val="0BF83D06"/>
    <w:rsid w:val="0C776A4C"/>
    <w:rsid w:val="0CB76E24"/>
    <w:rsid w:val="0CB929FF"/>
    <w:rsid w:val="0CE91C90"/>
    <w:rsid w:val="0D1D5845"/>
    <w:rsid w:val="0D3F756A"/>
    <w:rsid w:val="0DF0750B"/>
    <w:rsid w:val="0DF5231E"/>
    <w:rsid w:val="0E3746E5"/>
    <w:rsid w:val="0EC926A5"/>
    <w:rsid w:val="0EC95C85"/>
    <w:rsid w:val="0F3A58B2"/>
    <w:rsid w:val="0F426EFA"/>
    <w:rsid w:val="0F4F22B5"/>
    <w:rsid w:val="0F5568BF"/>
    <w:rsid w:val="0F6E05DA"/>
    <w:rsid w:val="0F762E98"/>
    <w:rsid w:val="0F7B0DA6"/>
    <w:rsid w:val="0FC242EE"/>
    <w:rsid w:val="0FCD076B"/>
    <w:rsid w:val="0FF92241"/>
    <w:rsid w:val="0FF95063"/>
    <w:rsid w:val="10B7530D"/>
    <w:rsid w:val="10F104AA"/>
    <w:rsid w:val="111441EB"/>
    <w:rsid w:val="1147290C"/>
    <w:rsid w:val="11A622AD"/>
    <w:rsid w:val="11D5047D"/>
    <w:rsid w:val="11E06E41"/>
    <w:rsid w:val="11EC3A38"/>
    <w:rsid w:val="12086AC4"/>
    <w:rsid w:val="12922832"/>
    <w:rsid w:val="12EC6328"/>
    <w:rsid w:val="130351FE"/>
    <w:rsid w:val="13103CCD"/>
    <w:rsid w:val="1352598C"/>
    <w:rsid w:val="13653831"/>
    <w:rsid w:val="13B36150"/>
    <w:rsid w:val="13B660AC"/>
    <w:rsid w:val="13BE38A6"/>
    <w:rsid w:val="13C95DDF"/>
    <w:rsid w:val="13F3098E"/>
    <w:rsid w:val="145204CA"/>
    <w:rsid w:val="145B380B"/>
    <w:rsid w:val="145E0557"/>
    <w:rsid w:val="146579B6"/>
    <w:rsid w:val="14716BD1"/>
    <w:rsid w:val="148A7D90"/>
    <w:rsid w:val="14E32F19"/>
    <w:rsid w:val="154F3E15"/>
    <w:rsid w:val="15506CB5"/>
    <w:rsid w:val="1577182D"/>
    <w:rsid w:val="157D3325"/>
    <w:rsid w:val="15913B9A"/>
    <w:rsid w:val="159E4625"/>
    <w:rsid w:val="15F630D7"/>
    <w:rsid w:val="16392123"/>
    <w:rsid w:val="1643237C"/>
    <w:rsid w:val="168B3820"/>
    <w:rsid w:val="16A62408"/>
    <w:rsid w:val="16BA2357"/>
    <w:rsid w:val="16BD7308"/>
    <w:rsid w:val="17312619"/>
    <w:rsid w:val="17463BEB"/>
    <w:rsid w:val="17C42AF4"/>
    <w:rsid w:val="17DE3E23"/>
    <w:rsid w:val="17EC6540"/>
    <w:rsid w:val="18100480"/>
    <w:rsid w:val="18D73444"/>
    <w:rsid w:val="191E4E1F"/>
    <w:rsid w:val="194B1768"/>
    <w:rsid w:val="195A4017"/>
    <w:rsid w:val="19832D71"/>
    <w:rsid w:val="19A7021C"/>
    <w:rsid w:val="19E046CF"/>
    <w:rsid w:val="1A2B3892"/>
    <w:rsid w:val="1AEC3738"/>
    <w:rsid w:val="1B0A13EC"/>
    <w:rsid w:val="1B0D0CA7"/>
    <w:rsid w:val="1B7477CA"/>
    <w:rsid w:val="1C042883"/>
    <w:rsid w:val="1CF322CF"/>
    <w:rsid w:val="1D3D4F60"/>
    <w:rsid w:val="1D5B5DA0"/>
    <w:rsid w:val="1DAF6EE4"/>
    <w:rsid w:val="1DF978BE"/>
    <w:rsid w:val="1E0A2ACC"/>
    <w:rsid w:val="1E426EBA"/>
    <w:rsid w:val="1E4A0464"/>
    <w:rsid w:val="1E5866DD"/>
    <w:rsid w:val="1E8943DB"/>
    <w:rsid w:val="1EDE73F2"/>
    <w:rsid w:val="1F026787"/>
    <w:rsid w:val="1FB2006F"/>
    <w:rsid w:val="1FD842B6"/>
    <w:rsid w:val="1FEA2C94"/>
    <w:rsid w:val="20755382"/>
    <w:rsid w:val="2086658C"/>
    <w:rsid w:val="215A6C3C"/>
    <w:rsid w:val="21A1039B"/>
    <w:rsid w:val="21AC3BEE"/>
    <w:rsid w:val="21CF6D42"/>
    <w:rsid w:val="21E351DB"/>
    <w:rsid w:val="21F901D7"/>
    <w:rsid w:val="21FF5741"/>
    <w:rsid w:val="2208666C"/>
    <w:rsid w:val="223E2AFA"/>
    <w:rsid w:val="22536718"/>
    <w:rsid w:val="225A1522"/>
    <w:rsid w:val="225C42C2"/>
    <w:rsid w:val="22B62BB1"/>
    <w:rsid w:val="23126441"/>
    <w:rsid w:val="23502079"/>
    <w:rsid w:val="239A1546"/>
    <w:rsid w:val="23B800D4"/>
    <w:rsid w:val="23D04F68"/>
    <w:rsid w:val="23EF505A"/>
    <w:rsid w:val="23FC6459"/>
    <w:rsid w:val="24EE49C0"/>
    <w:rsid w:val="251A5771"/>
    <w:rsid w:val="252D003C"/>
    <w:rsid w:val="25521762"/>
    <w:rsid w:val="255A02F4"/>
    <w:rsid w:val="25BC1216"/>
    <w:rsid w:val="25E61943"/>
    <w:rsid w:val="25FE08C4"/>
    <w:rsid w:val="261D3C03"/>
    <w:rsid w:val="261D63D2"/>
    <w:rsid w:val="26CD39E1"/>
    <w:rsid w:val="26F22552"/>
    <w:rsid w:val="272A6446"/>
    <w:rsid w:val="2769427F"/>
    <w:rsid w:val="27AF34BA"/>
    <w:rsid w:val="27E606F5"/>
    <w:rsid w:val="27E86D24"/>
    <w:rsid w:val="27EB6814"/>
    <w:rsid w:val="28363040"/>
    <w:rsid w:val="28947B8C"/>
    <w:rsid w:val="289B3D96"/>
    <w:rsid w:val="2901163C"/>
    <w:rsid w:val="29220014"/>
    <w:rsid w:val="292A4B94"/>
    <w:rsid w:val="297B7724"/>
    <w:rsid w:val="2984153D"/>
    <w:rsid w:val="2A241C04"/>
    <w:rsid w:val="2A4D243C"/>
    <w:rsid w:val="2A4E1EE6"/>
    <w:rsid w:val="2A8B54E7"/>
    <w:rsid w:val="2AD772CF"/>
    <w:rsid w:val="2BDC52AC"/>
    <w:rsid w:val="2BF0707E"/>
    <w:rsid w:val="2D2F6FD0"/>
    <w:rsid w:val="2D870D8D"/>
    <w:rsid w:val="2DB9081B"/>
    <w:rsid w:val="2DE03FF9"/>
    <w:rsid w:val="2E365140"/>
    <w:rsid w:val="2E5279C9"/>
    <w:rsid w:val="2E7F50B4"/>
    <w:rsid w:val="2E966576"/>
    <w:rsid w:val="2EBD5F82"/>
    <w:rsid w:val="2EEE1315"/>
    <w:rsid w:val="2F316DCE"/>
    <w:rsid w:val="2FE83639"/>
    <w:rsid w:val="302C4BE2"/>
    <w:rsid w:val="305C6E5E"/>
    <w:rsid w:val="31314919"/>
    <w:rsid w:val="31A53267"/>
    <w:rsid w:val="31B41A25"/>
    <w:rsid w:val="329F45E9"/>
    <w:rsid w:val="32CF23FC"/>
    <w:rsid w:val="338C0C66"/>
    <w:rsid w:val="33AF4B9A"/>
    <w:rsid w:val="3437737A"/>
    <w:rsid w:val="343B4019"/>
    <w:rsid w:val="349C2B98"/>
    <w:rsid w:val="34E23BA2"/>
    <w:rsid w:val="34E75037"/>
    <w:rsid w:val="34FA62E8"/>
    <w:rsid w:val="34FE1BAC"/>
    <w:rsid w:val="35251D1F"/>
    <w:rsid w:val="35983CB3"/>
    <w:rsid w:val="35B5361F"/>
    <w:rsid w:val="369578B7"/>
    <w:rsid w:val="36A52284"/>
    <w:rsid w:val="36FD31C1"/>
    <w:rsid w:val="375F1CD8"/>
    <w:rsid w:val="376E08C8"/>
    <w:rsid w:val="378661D6"/>
    <w:rsid w:val="37AC319E"/>
    <w:rsid w:val="37AE7DBB"/>
    <w:rsid w:val="37C01A3E"/>
    <w:rsid w:val="37C45F0A"/>
    <w:rsid w:val="37E707E6"/>
    <w:rsid w:val="3851489C"/>
    <w:rsid w:val="388D4C31"/>
    <w:rsid w:val="38FD0155"/>
    <w:rsid w:val="3902751A"/>
    <w:rsid w:val="392A7CF7"/>
    <w:rsid w:val="394418E0"/>
    <w:rsid w:val="394421DF"/>
    <w:rsid w:val="394C0E89"/>
    <w:rsid w:val="398B5761"/>
    <w:rsid w:val="39D32D28"/>
    <w:rsid w:val="39E210F9"/>
    <w:rsid w:val="39FA319C"/>
    <w:rsid w:val="39FB54B2"/>
    <w:rsid w:val="3A2477BA"/>
    <w:rsid w:val="3AA72E96"/>
    <w:rsid w:val="3ACC6031"/>
    <w:rsid w:val="3AD60C5E"/>
    <w:rsid w:val="3B5A188F"/>
    <w:rsid w:val="3B6E2FFD"/>
    <w:rsid w:val="3BB16FD5"/>
    <w:rsid w:val="3BBA0580"/>
    <w:rsid w:val="3BE208B6"/>
    <w:rsid w:val="3BFD7385"/>
    <w:rsid w:val="3C0245D1"/>
    <w:rsid w:val="3D6E1622"/>
    <w:rsid w:val="3D792A01"/>
    <w:rsid w:val="3E1046D8"/>
    <w:rsid w:val="3E653028"/>
    <w:rsid w:val="3E75253C"/>
    <w:rsid w:val="3EBF257B"/>
    <w:rsid w:val="3EC2771C"/>
    <w:rsid w:val="3ED220AE"/>
    <w:rsid w:val="3ED348EA"/>
    <w:rsid w:val="3F4A39C9"/>
    <w:rsid w:val="3F873E13"/>
    <w:rsid w:val="402932CE"/>
    <w:rsid w:val="40AD59F2"/>
    <w:rsid w:val="40D774DE"/>
    <w:rsid w:val="40E07851"/>
    <w:rsid w:val="41034E93"/>
    <w:rsid w:val="4162324B"/>
    <w:rsid w:val="418B72F9"/>
    <w:rsid w:val="42032ED0"/>
    <w:rsid w:val="42185C0A"/>
    <w:rsid w:val="423D7815"/>
    <w:rsid w:val="42503C59"/>
    <w:rsid w:val="427F1BDB"/>
    <w:rsid w:val="42B267E6"/>
    <w:rsid w:val="42CF37C1"/>
    <w:rsid w:val="42DD0C20"/>
    <w:rsid w:val="4312484A"/>
    <w:rsid w:val="4331587B"/>
    <w:rsid w:val="43362BE2"/>
    <w:rsid w:val="435B43F6"/>
    <w:rsid w:val="43712FB6"/>
    <w:rsid w:val="43827BD5"/>
    <w:rsid w:val="43C26223"/>
    <w:rsid w:val="43C5148D"/>
    <w:rsid w:val="442E7510"/>
    <w:rsid w:val="44873867"/>
    <w:rsid w:val="44AB647D"/>
    <w:rsid w:val="44C60633"/>
    <w:rsid w:val="451F1690"/>
    <w:rsid w:val="45266BAF"/>
    <w:rsid w:val="45324CD1"/>
    <w:rsid w:val="45A55DFD"/>
    <w:rsid w:val="45AA3413"/>
    <w:rsid w:val="461B5928"/>
    <w:rsid w:val="47462C52"/>
    <w:rsid w:val="47927509"/>
    <w:rsid w:val="47C10EBF"/>
    <w:rsid w:val="47D44777"/>
    <w:rsid w:val="4808561A"/>
    <w:rsid w:val="48653621"/>
    <w:rsid w:val="48873598"/>
    <w:rsid w:val="48E924A4"/>
    <w:rsid w:val="48EC02FE"/>
    <w:rsid w:val="48FD385A"/>
    <w:rsid w:val="491F54C5"/>
    <w:rsid w:val="4921579A"/>
    <w:rsid w:val="492E3490"/>
    <w:rsid w:val="493A58D8"/>
    <w:rsid w:val="49D41F3C"/>
    <w:rsid w:val="4A2C7A71"/>
    <w:rsid w:val="4A4330FA"/>
    <w:rsid w:val="4A721848"/>
    <w:rsid w:val="4A8C758B"/>
    <w:rsid w:val="4AB83EDC"/>
    <w:rsid w:val="4B8E10A3"/>
    <w:rsid w:val="4BA17C02"/>
    <w:rsid w:val="4BFB55AA"/>
    <w:rsid w:val="4C216860"/>
    <w:rsid w:val="4C3D774B"/>
    <w:rsid w:val="4C4610E8"/>
    <w:rsid w:val="4C567D76"/>
    <w:rsid w:val="4CA014BD"/>
    <w:rsid w:val="4D10006D"/>
    <w:rsid w:val="4D397BF5"/>
    <w:rsid w:val="4DAE0186"/>
    <w:rsid w:val="4E1B63C8"/>
    <w:rsid w:val="4E1C6E78"/>
    <w:rsid w:val="4E1F24C4"/>
    <w:rsid w:val="4E263853"/>
    <w:rsid w:val="4E38531F"/>
    <w:rsid w:val="4E6D5A73"/>
    <w:rsid w:val="4EB8126E"/>
    <w:rsid w:val="4EF61477"/>
    <w:rsid w:val="4EFF1406"/>
    <w:rsid w:val="4F0B2604"/>
    <w:rsid w:val="4F5F0DCA"/>
    <w:rsid w:val="4F94213B"/>
    <w:rsid w:val="4FA113E3"/>
    <w:rsid w:val="4FB914C3"/>
    <w:rsid w:val="4FC9093A"/>
    <w:rsid w:val="4FD9011D"/>
    <w:rsid w:val="4FF005A7"/>
    <w:rsid w:val="503A5393"/>
    <w:rsid w:val="508D1967"/>
    <w:rsid w:val="50F57E64"/>
    <w:rsid w:val="51295553"/>
    <w:rsid w:val="51655297"/>
    <w:rsid w:val="516945EC"/>
    <w:rsid w:val="51CA3DDA"/>
    <w:rsid w:val="52075749"/>
    <w:rsid w:val="529F6F26"/>
    <w:rsid w:val="53074ECA"/>
    <w:rsid w:val="53410411"/>
    <w:rsid w:val="534358A9"/>
    <w:rsid w:val="5386698D"/>
    <w:rsid w:val="53963229"/>
    <w:rsid w:val="53DB73B9"/>
    <w:rsid w:val="53E67B86"/>
    <w:rsid w:val="53EB70D0"/>
    <w:rsid w:val="53FB40AA"/>
    <w:rsid w:val="54212AF2"/>
    <w:rsid w:val="54373B95"/>
    <w:rsid w:val="544468CB"/>
    <w:rsid w:val="5465248A"/>
    <w:rsid w:val="558A20B2"/>
    <w:rsid w:val="55E40E17"/>
    <w:rsid w:val="56076371"/>
    <w:rsid w:val="56217AF4"/>
    <w:rsid w:val="569D33A0"/>
    <w:rsid w:val="57090374"/>
    <w:rsid w:val="57B679F5"/>
    <w:rsid w:val="57C06AC6"/>
    <w:rsid w:val="57C15D09"/>
    <w:rsid w:val="57CC7219"/>
    <w:rsid w:val="581072B0"/>
    <w:rsid w:val="583E0F9F"/>
    <w:rsid w:val="584E40D2"/>
    <w:rsid w:val="58E56AAA"/>
    <w:rsid w:val="58EB36AE"/>
    <w:rsid w:val="58F24042"/>
    <w:rsid w:val="593F125D"/>
    <w:rsid w:val="594D0E7C"/>
    <w:rsid w:val="595675CC"/>
    <w:rsid w:val="599C2C1B"/>
    <w:rsid w:val="59E20615"/>
    <w:rsid w:val="5A5F6122"/>
    <w:rsid w:val="5A655526"/>
    <w:rsid w:val="5A67147B"/>
    <w:rsid w:val="5AB30E9B"/>
    <w:rsid w:val="5AF63549"/>
    <w:rsid w:val="5B8237F2"/>
    <w:rsid w:val="5B837962"/>
    <w:rsid w:val="5B9C5800"/>
    <w:rsid w:val="5BBE0A6F"/>
    <w:rsid w:val="5BC0071A"/>
    <w:rsid w:val="5BE508A9"/>
    <w:rsid w:val="5C2869E8"/>
    <w:rsid w:val="5CB564CD"/>
    <w:rsid w:val="5CDB716F"/>
    <w:rsid w:val="5CE40B61"/>
    <w:rsid w:val="5D176394"/>
    <w:rsid w:val="5D1F0D9D"/>
    <w:rsid w:val="5D3A1F46"/>
    <w:rsid w:val="5D707D2F"/>
    <w:rsid w:val="5DF82358"/>
    <w:rsid w:val="5E061A7C"/>
    <w:rsid w:val="5E120DAA"/>
    <w:rsid w:val="5E145476"/>
    <w:rsid w:val="5E40669D"/>
    <w:rsid w:val="5E457D25"/>
    <w:rsid w:val="5E5D689B"/>
    <w:rsid w:val="5E6A7B9E"/>
    <w:rsid w:val="5E7871D6"/>
    <w:rsid w:val="5E826043"/>
    <w:rsid w:val="5ED5682B"/>
    <w:rsid w:val="5F033926"/>
    <w:rsid w:val="5F373741"/>
    <w:rsid w:val="5F553F98"/>
    <w:rsid w:val="5F73441E"/>
    <w:rsid w:val="5F8D54E0"/>
    <w:rsid w:val="5FE33352"/>
    <w:rsid w:val="5FE4753D"/>
    <w:rsid w:val="5FFB663E"/>
    <w:rsid w:val="606B1560"/>
    <w:rsid w:val="60740237"/>
    <w:rsid w:val="60793CB6"/>
    <w:rsid w:val="609B3C2C"/>
    <w:rsid w:val="60F830E0"/>
    <w:rsid w:val="615E35D8"/>
    <w:rsid w:val="61BC20AC"/>
    <w:rsid w:val="62211A20"/>
    <w:rsid w:val="623E44AD"/>
    <w:rsid w:val="62806AF0"/>
    <w:rsid w:val="628232F6"/>
    <w:rsid w:val="62847D74"/>
    <w:rsid w:val="63D66D53"/>
    <w:rsid w:val="63E726EC"/>
    <w:rsid w:val="63F21DB5"/>
    <w:rsid w:val="63F46650"/>
    <w:rsid w:val="64274BC2"/>
    <w:rsid w:val="644F7208"/>
    <w:rsid w:val="64C33752"/>
    <w:rsid w:val="659D126D"/>
    <w:rsid w:val="665E6555"/>
    <w:rsid w:val="66640B9F"/>
    <w:rsid w:val="667D6E54"/>
    <w:rsid w:val="668435F4"/>
    <w:rsid w:val="66B41CBA"/>
    <w:rsid w:val="66CF63DE"/>
    <w:rsid w:val="672C3161"/>
    <w:rsid w:val="675F5853"/>
    <w:rsid w:val="67DE038C"/>
    <w:rsid w:val="67F778A8"/>
    <w:rsid w:val="686B65DA"/>
    <w:rsid w:val="68902C85"/>
    <w:rsid w:val="68B91497"/>
    <w:rsid w:val="691E76E1"/>
    <w:rsid w:val="69DF4B8A"/>
    <w:rsid w:val="6A65674B"/>
    <w:rsid w:val="6AA14535"/>
    <w:rsid w:val="6ACB3360"/>
    <w:rsid w:val="6ACE4BFE"/>
    <w:rsid w:val="6AD52D09"/>
    <w:rsid w:val="6AE52CEF"/>
    <w:rsid w:val="6B192489"/>
    <w:rsid w:val="6B200067"/>
    <w:rsid w:val="6B3531BB"/>
    <w:rsid w:val="6B3D6BD5"/>
    <w:rsid w:val="6B403D4E"/>
    <w:rsid w:val="6B453E59"/>
    <w:rsid w:val="6B8440BC"/>
    <w:rsid w:val="6B882D16"/>
    <w:rsid w:val="6BCF389E"/>
    <w:rsid w:val="6BEC17E0"/>
    <w:rsid w:val="6BF87B65"/>
    <w:rsid w:val="6C32649D"/>
    <w:rsid w:val="6C3C5B6F"/>
    <w:rsid w:val="6C9D1553"/>
    <w:rsid w:val="6CAB34E9"/>
    <w:rsid w:val="6CB3375A"/>
    <w:rsid w:val="6CD33AE5"/>
    <w:rsid w:val="6CE45B81"/>
    <w:rsid w:val="6CFD3965"/>
    <w:rsid w:val="6D5821AF"/>
    <w:rsid w:val="6DA22A9E"/>
    <w:rsid w:val="6DA265FA"/>
    <w:rsid w:val="6DA83072"/>
    <w:rsid w:val="6DAA7DB7"/>
    <w:rsid w:val="6DBD1686"/>
    <w:rsid w:val="6DD82F8B"/>
    <w:rsid w:val="6E011F24"/>
    <w:rsid w:val="6E1401AA"/>
    <w:rsid w:val="6E4D0266"/>
    <w:rsid w:val="6E934195"/>
    <w:rsid w:val="6ECA47B1"/>
    <w:rsid w:val="6F0137F4"/>
    <w:rsid w:val="6F09098C"/>
    <w:rsid w:val="6F0D03EB"/>
    <w:rsid w:val="6F26325B"/>
    <w:rsid w:val="6F9204A4"/>
    <w:rsid w:val="6F9C5B83"/>
    <w:rsid w:val="6FFF04AF"/>
    <w:rsid w:val="7075449A"/>
    <w:rsid w:val="707E4C46"/>
    <w:rsid w:val="716562BC"/>
    <w:rsid w:val="719646C8"/>
    <w:rsid w:val="719A7007"/>
    <w:rsid w:val="71A65F82"/>
    <w:rsid w:val="720F511B"/>
    <w:rsid w:val="72133F6A"/>
    <w:rsid w:val="72521F8E"/>
    <w:rsid w:val="728647AA"/>
    <w:rsid w:val="728C73A4"/>
    <w:rsid w:val="72B06A76"/>
    <w:rsid w:val="72D36E98"/>
    <w:rsid w:val="730B0362"/>
    <w:rsid w:val="732E3803"/>
    <w:rsid w:val="735C549D"/>
    <w:rsid w:val="7377439D"/>
    <w:rsid w:val="740F42BD"/>
    <w:rsid w:val="743B3304"/>
    <w:rsid w:val="752006DE"/>
    <w:rsid w:val="752A64AA"/>
    <w:rsid w:val="760F67F7"/>
    <w:rsid w:val="761D459A"/>
    <w:rsid w:val="761D5FB0"/>
    <w:rsid w:val="764D4AFB"/>
    <w:rsid w:val="76676633"/>
    <w:rsid w:val="768B70BD"/>
    <w:rsid w:val="76C17757"/>
    <w:rsid w:val="77132317"/>
    <w:rsid w:val="774424D0"/>
    <w:rsid w:val="774E15A1"/>
    <w:rsid w:val="77707E71"/>
    <w:rsid w:val="77B27FE4"/>
    <w:rsid w:val="77EC2146"/>
    <w:rsid w:val="7816744B"/>
    <w:rsid w:val="78456C6A"/>
    <w:rsid w:val="78755B75"/>
    <w:rsid w:val="78917997"/>
    <w:rsid w:val="78A219DC"/>
    <w:rsid w:val="78AB26EA"/>
    <w:rsid w:val="78DE086A"/>
    <w:rsid w:val="78E32F42"/>
    <w:rsid w:val="793A0E79"/>
    <w:rsid w:val="799B3DCF"/>
    <w:rsid w:val="7A124B07"/>
    <w:rsid w:val="7A202DB4"/>
    <w:rsid w:val="7A467FEA"/>
    <w:rsid w:val="7AC322A6"/>
    <w:rsid w:val="7AD149C3"/>
    <w:rsid w:val="7C0668A2"/>
    <w:rsid w:val="7C7575D0"/>
    <w:rsid w:val="7C8E7012"/>
    <w:rsid w:val="7CA9037A"/>
    <w:rsid w:val="7CB3512E"/>
    <w:rsid w:val="7CBD259D"/>
    <w:rsid w:val="7D123CAA"/>
    <w:rsid w:val="7D181268"/>
    <w:rsid w:val="7D26666A"/>
    <w:rsid w:val="7D313739"/>
    <w:rsid w:val="7D4F3CC8"/>
    <w:rsid w:val="7D7C369B"/>
    <w:rsid w:val="7D810FB6"/>
    <w:rsid w:val="7D8201F6"/>
    <w:rsid w:val="7D955526"/>
    <w:rsid w:val="7DC06A52"/>
    <w:rsid w:val="7DC10D1E"/>
    <w:rsid w:val="7DDE281E"/>
    <w:rsid w:val="7DE0744C"/>
    <w:rsid w:val="7E123B46"/>
    <w:rsid w:val="7E384E8E"/>
    <w:rsid w:val="7E8D2286"/>
    <w:rsid w:val="7F1C1F84"/>
    <w:rsid w:val="7F200FE6"/>
    <w:rsid w:val="7FAB2330"/>
    <w:rsid w:val="7FBB1DCA"/>
    <w:rsid w:val="7FC83E64"/>
    <w:rsid w:val="7FF23DBA"/>
    <w:rsid w:val="7FFA407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joinstyle="miter"/>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 w:semiHidden="0" w:name="heading 2"/>
    <w:lsdException w:qFormat="1" w:unhideWhenUsed="0" w:uiPriority="0"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iPriority="99" w:semiHidden="0" w:name="footnote text"/>
    <w:lsdException w:qFormat="1" w:unhideWhenUsed="0" w:uiPriority="0" w:semiHidden="0" w:name="annotation text"/>
    <w:lsdException w:qFormat="1" w:uiPriority="0" w:semiHidden="0" w:name="header"/>
    <w:lsdException w:qFormat="1" w:uiPriority="99" w:semiHidden="0" w:name="footer"/>
    <w:lsdException w:uiPriority="99" w:name="index heading"/>
    <w:lsdException w:qFormat="1" w:unhideWhenUsed="0" w:uiPriority="99" w:semiHidden="0" w:name="caption"/>
    <w:lsdException w:uiPriority="99" w:name="table of figures"/>
    <w:lsdException w:uiPriority="99" w:name="envelope address"/>
    <w:lsdException w:qFormat="1" w:uiPriority="99" w:semiHidden="0" w:name="envelope return"/>
    <w:lsdException w:qFormat="1" w:uiPriority="99" w:semiHidden="0" w:name="footnote reference"/>
    <w:lsdException w:qFormat="1" w:unhideWhenUsed="0" w:uiPriority="0" w:semiHidden="0" w:name="annotation reference"/>
    <w:lsdException w:uiPriority="99" w:name="line number"/>
    <w:lsdException w:qFormat="1" w:unhideWhenUsed="0" w:uiPriority="0" w:semiHidden="0" w:name="page number"/>
    <w:lsdException w:qFormat="1" w:unhideWhenUsed="0" w:uiPriority="0" w:semiHidden="0" w:name="endnote reference"/>
    <w:lsdException w:qFormat="1" w:unhideWhenUsed="0" w:uiPriority="99" w:semiHidden="0"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qFormat="1" w:uiPriority="0" w:semiHidden="0" w:name="Salutation"/>
    <w:lsdException w:qFormat="1" w:unhideWhenUsed="0" w:uiPriority="0" w:semiHidden="0" w:name="Date"/>
    <w:lsdException w:qFormat="1" w:uiPriority="99" w:semiHidden="0" w:name="Body Text First Indent"/>
    <w:lsdException w:qFormat="1" w:unhideWhenUsed="0" w:uiPriority="0" w:semiHidden="0" w:name="Body Text First Indent 2"/>
    <w:lsdException w:uiPriority="99" w:name="Note Heading"/>
    <w:lsdException w:qFormat="1" w:uiPriority="99" w:semiHidden="0" w:name="Body Text 2"/>
    <w:lsdException w:qFormat="1" w:unhideWhenUsed="0" w:uiPriority="0" w:semiHidden="0" w:name="Body Text 3"/>
    <w:lsdException w:qFormat="1" w:unhideWhenUsed="0" w:uiPriority="0" w:semiHidden="0" w:name="Body Text Indent 2"/>
    <w:lsdException w:qFormat="1" w:uiPriority="99" w:semiHidden="0" w:name="Body Text Indent 3"/>
    <w:lsdException w:uiPriority="99" w:name="Block Text"/>
    <w:lsdException w:qFormat="1" w:unhideWhenUsed="0" w:uiPriority="99" w:semiHidden="0" w:name="Hyperlink"/>
    <w:lsdException w:qFormat="1" w:uiPriority="0" w:semiHidden="0" w:name="FollowedHyperlink"/>
    <w:lsdException w:qFormat="1" w:unhideWhenUsed="0" w:uiPriority="0" w:semiHidden="0" w:name="Strong"/>
    <w:lsdException w:qFormat="1" w:unhideWhenUsed="0" w:uiPriority="0" w:semiHidden="0" w:name="Emphasis"/>
    <w:lsdException w:qFormat="1" w:unhideWhenUsed="0" w:uiPriority="99" w:name="Document Map"/>
    <w:lsdException w:qFormat="1"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iPriority="0" w:semiHidden="0" w:name="HTML Cite"/>
    <w:lsdException w:qFormat="1" w:uiPriority="0" w:semiHidden="0" w:name="HTML Code"/>
    <w:lsdException w:qFormat="1" w:uiPriority="0" w:semiHidden="0" w:name="HTML Definition"/>
    <w:lsdException w:qFormat="1" w:uiPriority="0" w:semiHidden="0" w:name="HTML Keyboard"/>
    <w:lsdException w:uiPriority="99" w:name="HTML Preformatted"/>
    <w:lsdException w:qFormat="1" w:uiPriority="0" w:semiHidden="0" w:name="HTML Sample"/>
    <w:lsdException w:uiPriority="99" w:name="HTML Typewriter"/>
    <w:lsdException w:qFormat="1" w:uiPriority="0" w:semiHidden="0"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nhideWhenUsed="0" w:uiPriority="0" w:semiHidden="0" w:name="Balloon Text"/>
    <w:lsdException w:qFormat="1" w:unhideWhenUsed="0" w:uiPriority="39"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1"/>
    <w:basedOn w:val="1"/>
    <w:next w:val="1"/>
    <w:link w:val="99"/>
    <w:qFormat/>
    <w:uiPriority w:val="99"/>
    <w:pPr>
      <w:keepNext/>
      <w:keepLines/>
      <w:tabs>
        <w:tab w:val="left" w:pos="432"/>
      </w:tabs>
      <w:spacing w:line="360" w:lineRule="auto"/>
      <w:jc w:val="left"/>
      <w:outlineLvl w:val="0"/>
    </w:pPr>
    <w:rPr>
      <w:rFonts w:ascii="Times New Roman" w:hAnsi="Times New Roman" w:eastAsia="宋体"/>
      <w:b/>
      <w:kern w:val="44"/>
      <w:sz w:val="30"/>
      <w:szCs w:val="44"/>
    </w:rPr>
  </w:style>
  <w:style w:type="paragraph" w:styleId="3">
    <w:name w:val="heading 2"/>
    <w:basedOn w:val="1"/>
    <w:next w:val="1"/>
    <w:link w:val="68"/>
    <w:qFormat/>
    <w:uiPriority w:val="9"/>
    <w:pPr>
      <w:keepNext/>
      <w:keepLines/>
      <w:tabs>
        <w:tab w:val="left" w:pos="576"/>
      </w:tabs>
      <w:spacing w:line="360" w:lineRule="auto"/>
      <w:jc w:val="left"/>
      <w:outlineLvl w:val="1"/>
    </w:pPr>
    <w:rPr>
      <w:rFonts w:ascii="Arial" w:hAnsi="Arial" w:eastAsia="宋体"/>
      <w:b/>
      <w:sz w:val="24"/>
      <w:szCs w:val="32"/>
    </w:rPr>
  </w:style>
  <w:style w:type="paragraph" w:styleId="4">
    <w:name w:val="heading 3"/>
    <w:basedOn w:val="1"/>
    <w:next w:val="1"/>
    <w:link w:val="69"/>
    <w:qFormat/>
    <w:uiPriority w:val="0"/>
    <w:pPr>
      <w:tabs>
        <w:tab w:val="left" w:pos="862"/>
      </w:tabs>
      <w:spacing w:after="50" w:afterLines="50" w:line="360" w:lineRule="auto"/>
      <w:outlineLvl w:val="2"/>
    </w:pPr>
    <w:rPr>
      <w:rFonts w:ascii="Times New Roman" w:hAnsi="Times New Roman" w:eastAsia="宋体"/>
      <w:b/>
      <w:sz w:val="24"/>
      <w:szCs w:val="24"/>
    </w:rPr>
  </w:style>
  <w:style w:type="paragraph" w:styleId="5">
    <w:name w:val="heading 4"/>
    <w:basedOn w:val="1"/>
    <w:next w:val="1"/>
    <w:link w:val="70"/>
    <w:qFormat/>
    <w:uiPriority w:val="9"/>
    <w:pPr>
      <w:keepNext/>
      <w:keepLines/>
      <w:tabs>
        <w:tab w:val="left" w:pos="862"/>
        <w:tab w:val="left" w:pos="1074"/>
        <w:tab w:val="left" w:pos="1290"/>
        <w:tab w:val="left" w:pos="2707"/>
      </w:tabs>
      <w:snapToGrid w:val="0"/>
      <w:spacing w:line="360" w:lineRule="auto"/>
      <w:jc w:val="left"/>
      <w:outlineLvl w:val="3"/>
    </w:pPr>
    <w:rPr>
      <w:rFonts w:ascii="Times New Roman" w:hAnsi="Times New Roman" w:eastAsia="宋体"/>
      <w:b/>
      <w:bCs/>
      <w:sz w:val="24"/>
      <w:szCs w:val="28"/>
    </w:rPr>
  </w:style>
  <w:style w:type="paragraph" w:styleId="6">
    <w:name w:val="heading 5"/>
    <w:basedOn w:val="1"/>
    <w:next w:val="1"/>
    <w:link w:val="71"/>
    <w:qFormat/>
    <w:uiPriority w:val="0"/>
    <w:pPr>
      <w:keepNext/>
      <w:keepLines/>
      <w:tabs>
        <w:tab w:val="left" w:pos="1008"/>
      </w:tabs>
      <w:spacing w:line="360" w:lineRule="auto"/>
      <w:outlineLvl w:val="4"/>
    </w:pPr>
    <w:rPr>
      <w:rFonts w:ascii="Times New Roman" w:hAnsi="Times New Roman" w:eastAsia="宋体"/>
      <w:b/>
      <w:bCs/>
      <w:sz w:val="24"/>
      <w:szCs w:val="28"/>
    </w:rPr>
  </w:style>
  <w:style w:type="paragraph" w:styleId="7">
    <w:name w:val="heading 6"/>
    <w:basedOn w:val="1"/>
    <w:next w:val="1"/>
    <w:link w:val="72"/>
    <w:qFormat/>
    <w:uiPriority w:val="0"/>
    <w:pPr>
      <w:keepNext/>
      <w:keepLines/>
      <w:tabs>
        <w:tab w:val="left" w:pos="1152"/>
      </w:tabs>
      <w:spacing w:before="240" w:after="64" w:line="320" w:lineRule="auto"/>
      <w:ind w:left="2280"/>
      <w:outlineLvl w:val="5"/>
    </w:pPr>
    <w:rPr>
      <w:rFonts w:ascii="Arial" w:hAnsi="Arial" w:eastAsia="黑体"/>
      <w:b/>
      <w:bCs/>
      <w:sz w:val="24"/>
      <w:szCs w:val="24"/>
    </w:rPr>
  </w:style>
  <w:style w:type="paragraph" w:styleId="8">
    <w:name w:val="heading 7"/>
    <w:basedOn w:val="1"/>
    <w:next w:val="1"/>
    <w:link w:val="73"/>
    <w:qFormat/>
    <w:uiPriority w:val="0"/>
    <w:pPr>
      <w:keepNext/>
      <w:keepLines/>
      <w:tabs>
        <w:tab w:val="left" w:pos="1296"/>
      </w:tabs>
      <w:spacing w:before="240" w:after="64" w:line="320" w:lineRule="auto"/>
      <w:ind w:left="3000"/>
      <w:outlineLvl w:val="6"/>
    </w:pPr>
    <w:rPr>
      <w:rFonts w:ascii="Times New Roman" w:hAnsi="Times New Roman" w:eastAsia="宋体"/>
      <w:b/>
      <w:bCs/>
      <w:sz w:val="24"/>
      <w:szCs w:val="24"/>
    </w:rPr>
  </w:style>
  <w:style w:type="paragraph" w:styleId="9">
    <w:name w:val="heading 8"/>
    <w:basedOn w:val="1"/>
    <w:next w:val="1"/>
    <w:link w:val="74"/>
    <w:qFormat/>
    <w:uiPriority w:val="0"/>
    <w:pPr>
      <w:keepNext/>
      <w:keepLines/>
      <w:tabs>
        <w:tab w:val="left" w:pos="1440"/>
      </w:tabs>
      <w:spacing w:before="240" w:after="64" w:line="320" w:lineRule="auto"/>
      <w:ind w:left="3720"/>
      <w:outlineLvl w:val="7"/>
    </w:pPr>
    <w:rPr>
      <w:rFonts w:ascii="Arial" w:hAnsi="Arial" w:eastAsia="黑体"/>
      <w:sz w:val="24"/>
      <w:szCs w:val="24"/>
    </w:rPr>
  </w:style>
  <w:style w:type="paragraph" w:styleId="10">
    <w:name w:val="heading 9"/>
    <w:basedOn w:val="1"/>
    <w:next w:val="1"/>
    <w:link w:val="75"/>
    <w:qFormat/>
    <w:uiPriority w:val="0"/>
    <w:pPr>
      <w:keepNext/>
      <w:keepLines/>
      <w:tabs>
        <w:tab w:val="left" w:pos="1584"/>
      </w:tabs>
      <w:spacing w:before="240" w:after="64" w:line="320" w:lineRule="auto"/>
      <w:ind w:left="4440"/>
      <w:outlineLvl w:val="8"/>
    </w:pPr>
    <w:rPr>
      <w:rFonts w:ascii="Arial" w:hAnsi="Arial" w:eastAsia="黑体"/>
      <w:szCs w:val="21"/>
    </w:rPr>
  </w:style>
  <w:style w:type="character" w:default="1" w:styleId="52">
    <w:name w:val="Default Paragraph Font"/>
    <w:unhideWhenUsed/>
    <w:qFormat/>
    <w:uiPriority w:val="1"/>
  </w:style>
  <w:style w:type="table" w:default="1" w:styleId="49">
    <w:name w:val="Normal Table"/>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ind w:left="1050"/>
      <w:jc w:val="left"/>
    </w:pPr>
    <w:rPr>
      <w:rFonts w:ascii="Calibri" w:hAnsi="Calibri" w:cs="Calibri"/>
      <w:sz w:val="20"/>
      <w:szCs w:val="20"/>
    </w:rPr>
  </w:style>
  <w:style w:type="paragraph" w:styleId="12">
    <w:name w:val="Normal Indent"/>
    <w:basedOn w:val="1"/>
    <w:next w:val="5"/>
    <w:link w:val="76"/>
    <w:qFormat/>
    <w:uiPriority w:val="0"/>
    <w:pPr>
      <w:spacing w:before="60" w:line="460" w:lineRule="exact"/>
      <w:ind w:firstLine="420"/>
    </w:pPr>
    <w:rPr>
      <w:rFonts w:ascii="Calibri" w:hAnsi="Calibri" w:eastAsia="宋体"/>
      <w:sz w:val="24"/>
      <w:szCs w:val="20"/>
    </w:rPr>
  </w:style>
  <w:style w:type="paragraph" w:styleId="13">
    <w:name w:val="caption"/>
    <w:basedOn w:val="1"/>
    <w:next w:val="1"/>
    <w:qFormat/>
    <w:uiPriority w:val="99"/>
    <w:rPr>
      <w:rFonts w:ascii="Arial" w:hAnsi="Arial" w:eastAsia="黑体" w:cs="Arial"/>
      <w:sz w:val="20"/>
      <w:szCs w:val="20"/>
    </w:rPr>
  </w:style>
  <w:style w:type="paragraph" w:styleId="14">
    <w:name w:val="Document Map"/>
    <w:basedOn w:val="1"/>
    <w:link w:val="77"/>
    <w:semiHidden/>
    <w:qFormat/>
    <w:uiPriority w:val="99"/>
    <w:pPr>
      <w:shd w:val="clear" w:color="auto" w:fill="000080"/>
    </w:pPr>
    <w:rPr>
      <w:rFonts w:ascii="Times New Roman" w:hAnsi="Times New Roman" w:eastAsia="宋体"/>
      <w:szCs w:val="24"/>
    </w:rPr>
  </w:style>
  <w:style w:type="paragraph" w:styleId="15">
    <w:name w:val="annotation text"/>
    <w:basedOn w:val="1"/>
    <w:link w:val="78"/>
    <w:qFormat/>
    <w:uiPriority w:val="0"/>
    <w:pPr>
      <w:jc w:val="left"/>
    </w:pPr>
    <w:rPr>
      <w:rFonts w:ascii="Calibri" w:hAnsi="Calibri" w:eastAsia="宋体"/>
      <w:szCs w:val="24"/>
    </w:rPr>
  </w:style>
  <w:style w:type="paragraph" w:styleId="16">
    <w:name w:val="Salutation"/>
    <w:basedOn w:val="1"/>
    <w:next w:val="1"/>
    <w:link w:val="79"/>
    <w:unhideWhenUsed/>
    <w:qFormat/>
    <w:uiPriority w:val="0"/>
    <w:rPr>
      <w:rFonts w:ascii="Calibri" w:hAnsi="Calibri" w:eastAsia="宋体"/>
      <w:szCs w:val="24"/>
    </w:rPr>
  </w:style>
  <w:style w:type="paragraph" w:styleId="17">
    <w:name w:val="Body Text 3"/>
    <w:basedOn w:val="1"/>
    <w:link w:val="80"/>
    <w:qFormat/>
    <w:uiPriority w:val="0"/>
    <w:pPr>
      <w:spacing w:after="120"/>
    </w:pPr>
    <w:rPr>
      <w:rFonts w:ascii="Times New Roman" w:hAnsi="Times New Roman" w:eastAsia="宋体"/>
      <w:sz w:val="16"/>
      <w:szCs w:val="16"/>
    </w:rPr>
  </w:style>
  <w:style w:type="paragraph" w:styleId="18">
    <w:name w:val="Body Text"/>
    <w:basedOn w:val="1"/>
    <w:link w:val="81"/>
    <w:qFormat/>
    <w:uiPriority w:val="0"/>
    <w:pPr>
      <w:spacing w:after="120"/>
    </w:pPr>
    <w:rPr>
      <w:rFonts w:ascii="Times New Roman" w:hAnsi="Times New Roman" w:eastAsia="宋体"/>
      <w:szCs w:val="24"/>
    </w:rPr>
  </w:style>
  <w:style w:type="paragraph" w:styleId="19">
    <w:name w:val="Body Text Indent"/>
    <w:basedOn w:val="1"/>
    <w:next w:val="20"/>
    <w:link w:val="82"/>
    <w:qFormat/>
    <w:uiPriority w:val="0"/>
    <w:pPr>
      <w:spacing w:before="60" w:line="480" w:lineRule="auto"/>
      <w:ind w:left="420"/>
      <w:jc w:val="center"/>
    </w:pPr>
    <w:rPr>
      <w:rFonts w:ascii="Calibri" w:hAnsi="Calibri" w:eastAsia="宋体"/>
      <w:sz w:val="28"/>
      <w:szCs w:val="20"/>
    </w:rPr>
  </w:style>
  <w:style w:type="paragraph" w:customStyle="1" w:styleId="20">
    <w:name w:val="样式 正文文本缩进 + 行距: 1.5 倍行距"/>
    <w:basedOn w:val="19"/>
    <w:qFormat/>
    <w:uiPriority w:val="0"/>
    <w:pPr>
      <w:spacing w:after="120"/>
      <w:ind w:left="90" w:leftChars="0" w:firstLine="560"/>
    </w:pPr>
    <w:rPr>
      <w:rFonts w:ascii="Times New Roman" w:hAnsi="Times New Roman"/>
      <w:lang w:val="en-US"/>
    </w:rPr>
  </w:style>
  <w:style w:type="paragraph" w:styleId="21">
    <w:name w:val="toc 5"/>
    <w:basedOn w:val="1"/>
    <w:next w:val="1"/>
    <w:qFormat/>
    <w:uiPriority w:val="39"/>
    <w:pPr>
      <w:ind w:left="630"/>
      <w:jc w:val="left"/>
    </w:pPr>
    <w:rPr>
      <w:rFonts w:ascii="Calibri" w:hAnsi="Calibri" w:cs="Calibri"/>
      <w:sz w:val="20"/>
      <w:szCs w:val="20"/>
    </w:rPr>
  </w:style>
  <w:style w:type="paragraph" w:styleId="22">
    <w:name w:val="toc 3"/>
    <w:basedOn w:val="1"/>
    <w:next w:val="1"/>
    <w:qFormat/>
    <w:uiPriority w:val="39"/>
    <w:pPr>
      <w:ind w:left="210"/>
      <w:jc w:val="left"/>
    </w:pPr>
    <w:rPr>
      <w:rFonts w:ascii="Calibri" w:hAnsi="Calibri" w:cs="Calibri"/>
      <w:sz w:val="20"/>
      <w:szCs w:val="20"/>
    </w:rPr>
  </w:style>
  <w:style w:type="paragraph" w:styleId="23">
    <w:name w:val="Plain Text"/>
    <w:basedOn w:val="1"/>
    <w:next w:val="16"/>
    <w:link w:val="83"/>
    <w:unhideWhenUsed/>
    <w:qFormat/>
    <w:uiPriority w:val="0"/>
    <w:rPr>
      <w:rFonts w:ascii="宋体" w:hAnsi="Courier New" w:eastAsia="宋体"/>
      <w:szCs w:val="21"/>
    </w:rPr>
  </w:style>
  <w:style w:type="paragraph" w:styleId="24">
    <w:name w:val="toc 8"/>
    <w:basedOn w:val="1"/>
    <w:next w:val="1"/>
    <w:qFormat/>
    <w:uiPriority w:val="39"/>
    <w:pPr>
      <w:ind w:left="1260"/>
      <w:jc w:val="left"/>
    </w:pPr>
    <w:rPr>
      <w:rFonts w:ascii="Calibri" w:hAnsi="Calibri" w:cs="Calibri"/>
      <w:sz w:val="20"/>
      <w:szCs w:val="20"/>
    </w:rPr>
  </w:style>
  <w:style w:type="paragraph" w:styleId="25">
    <w:name w:val="Date"/>
    <w:basedOn w:val="1"/>
    <w:next w:val="1"/>
    <w:link w:val="84"/>
    <w:qFormat/>
    <w:uiPriority w:val="0"/>
    <w:pPr>
      <w:ind w:left="100" w:leftChars="2500"/>
    </w:pPr>
    <w:rPr>
      <w:rFonts w:ascii="Times New Roman" w:hAnsi="Times New Roman" w:eastAsia="宋体"/>
      <w:szCs w:val="24"/>
    </w:rPr>
  </w:style>
  <w:style w:type="paragraph" w:styleId="26">
    <w:name w:val="Body Text Indent 2"/>
    <w:basedOn w:val="1"/>
    <w:next w:val="27"/>
    <w:link w:val="85"/>
    <w:qFormat/>
    <w:uiPriority w:val="0"/>
    <w:pPr>
      <w:spacing w:after="120" w:line="480" w:lineRule="auto"/>
      <w:ind w:left="420" w:leftChars="200"/>
    </w:pPr>
    <w:rPr>
      <w:rFonts w:ascii="Times New Roman" w:hAnsi="Times New Roman" w:eastAsia="宋体"/>
      <w:szCs w:val="24"/>
    </w:rPr>
  </w:style>
  <w:style w:type="paragraph" w:styleId="27">
    <w:name w:val="Body Text First Indent 2"/>
    <w:basedOn w:val="19"/>
    <w:next w:val="1"/>
    <w:link w:val="86"/>
    <w:qFormat/>
    <w:uiPriority w:val="0"/>
    <w:pPr>
      <w:spacing w:before="0" w:after="120" w:line="240" w:lineRule="auto"/>
      <w:ind w:left="200" w:leftChars="200" w:firstLine="420" w:firstLineChars="200"/>
      <w:jc w:val="both"/>
    </w:pPr>
    <w:rPr>
      <w:sz w:val="21"/>
      <w:szCs w:val="24"/>
    </w:rPr>
  </w:style>
  <w:style w:type="paragraph" w:styleId="28">
    <w:name w:val="endnote text"/>
    <w:basedOn w:val="1"/>
    <w:link w:val="87"/>
    <w:qFormat/>
    <w:uiPriority w:val="99"/>
    <w:pPr>
      <w:snapToGrid w:val="0"/>
      <w:jc w:val="left"/>
    </w:pPr>
    <w:rPr>
      <w:rFonts w:ascii="Times New Roman" w:hAnsi="Times New Roman" w:eastAsia="宋体"/>
      <w:szCs w:val="24"/>
    </w:rPr>
  </w:style>
  <w:style w:type="paragraph" w:styleId="29">
    <w:name w:val="Balloon Text"/>
    <w:basedOn w:val="1"/>
    <w:link w:val="88"/>
    <w:qFormat/>
    <w:uiPriority w:val="0"/>
    <w:rPr>
      <w:rFonts w:ascii="Times New Roman" w:hAnsi="Times New Roman" w:eastAsia="宋体"/>
      <w:sz w:val="18"/>
      <w:szCs w:val="18"/>
    </w:rPr>
  </w:style>
  <w:style w:type="paragraph" w:styleId="30">
    <w:name w:val="footer"/>
    <w:basedOn w:val="1"/>
    <w:link w:val="89"/>
    <w:unhideWhenUsed/>
    <w:qFormat/>
    <w:uiPriority w:val="99"/>
    <w:pPr>
      <w:tabs>
        <w:tab w:val="center" w:pos="4153"/>
        <w:tab w:val="right" w:pos="8306"/>
      </w:tabs>
      <w:snapToGrid w:val="0"/>
      <w:jc w:val="left"/>
    </w:pPr>
    <w:rPr>
      <w:kern w:val="0"/>
      <w:sz w:val="18"/>
      <w:szCs w:val="18"/>
    </w:rPr>
  </w:style>
  <w:style w:type="paragraph" w:styleId="31">
    <w:name w:val="envelope return"/>
    <w:basedOn w:val="1"/>
    <w:unhideWhenUsed/>
    <w:qFormat/>
    <w:uiPriority w:val="99"/>
    <w:pPr>
      <w:snapToGrid w:val="0"/>
      <w:spacing w:line="360" w:lineRule="auto"/>
    </w:pPr>
    <w:rPr>
      <w:rFonts w:ascii="Arial" w:hAnsi="Arial" w:eastAsia="宋体" w:cs="黑体"/>
      <w:sz w:val="24"/>
    </w:rPr>
  </w:style>
  <w:style w:type="paragraph" w:styleId="32">
    <w:name w:val="header"/>
    <w:basedOn w:val="1"/>
    <w:next w:val="33"/>
    <w:link w:val="90"/>
    <w:unhideWhenUsed/>
    <w:qFormat/>
    <w:uiPriority w:val="0"/>
    <w:pPr>
      <w:pBdr>
        <w:bottom w:val="single" w:color="auto" w:sz="6" w:space="1"/>
      </w:pBdr>
      <w:tabs>
        <w:tab w:val="center" w:pos="4153"/>
        <w:tab w:val="right" w:pos="8306"/>
      </w:tabs>
      <w:snapToGrid w:val="0"/>
      <w:jc w:val="center"/>
    </w:pPr>
    <w:rPr>
      <w:kern w:val="0"/>
      <w:sz w:val="18"/>
      <w:szCs w:val="18"/>
    </w:rPr>
  </w:style>
  <w:style w:type="paragraph" w:customStyle="1" w:styleId="33">
    <w:name w:val="样式5"/>
    <w:basedOn w:val="34"/>
    <w:qFormat/>
    <w:uiPriority w:val="0"/>
    <w:rPr>
      <w:snapToGrid/>
      <w:kern w:val="0"/>
    </w:rPr>
  </w:style>
  <w:style w:type="paragraph" w:styleId="34">
    <w:name w:val="List"/>
    <w:basedOn w:val="1"/>
    <w:qFormat/>
    <w:uiPriority w:val="0"/>
    <w:pPr>
      <w:ind w:left="200" w:hanging="200" w:hangingChars="200"/>
    </w:pPr>
    <w:rPr>
      <w:rFonts w:ascii="Times New Roman" w:hAnsi="Times New Roman" w:eastAsia="宋体"/>
      <w:szCs w:val="24"/>
    </w:rPr>
  </w:style>
  <w:style w:type="paragraph" w:styleId="35">
    <w:name w:val="toc 1"/>
    <w:basedOn w:val="1"/>
    <w:next w:val="1"/>
    <w:qFormat/>
    <w:uiPriority w:val="39"/>
    <w:pPr>
      <w:spacing w:line="360" w:lineRule="auto"/>
      <w:jc w:val="left"/>
    </w:pPr>
    <w:rPr>
      <w:rFonts w:ascii="Cambria" w:hAnsi="Cambria" w:eastAsia="宋体"/>
      <w:b/>
      <w:bCs/>
      <w:caps/>
      <w:sz w:val="24"/>
      <w:szCs w:val="24"/>
    </w:rPr>
  </w:style>
  <w:style w:type="paragraph" w:styleId="36">
    <w:name w:val="toc 4"/>
    <w:basedOn w:val="1"/>
    <w:next w:val="1"/>
    <w:qFormat/>
    <w:uiPriority w:val="39"/>
    <w:pPr>
      <w:ind w:left="420"/>
      <w:jc w:val="left"/>
    </w:pPr>
    <w:rPr>
      <w:rFonts w:ascii="Calibri" w:hAnsi="Calibri" w:cs="Calibri"/>
      <w:sz w:val="20"/>
      <w:szCs w:val="20"/>
    </w:rPr>
  </w:style>
  <w:style w:type="paragraph" w:styleId="37">
    <w:name w:val="Subtitle"/>
    <w:basedOn w:val="1"/>
    <w:next w:val="1"/>
    <w:link w:val="91"/>
    <w:qFormat/>
    <w:uiPriority w:val="0"/>
    <w:pPr>
      <w:spacing w:line="480" w:lineRule="exact"/>
      <w:ind w:firstLine="200" w:firstLineChars="200"/>
      <w:jc w:val="center"/>
      <w:outlineLvl w:val="4"/>
    </w:pPr>
    <w:rPr>
      <w:rFonts w:ascii="Cambria" w:hAnsi="Cambria" w:eastAsia="宋体"/>
      <w:kern w:val="0"/>
      <w:szCs w:val="24"/>
      <w:lang w:eastAsia="en-US" w:bidi="en-US"/>
    </w:rPr>
  </w:style>
  <w:style w:type="paragraph" w:styleId="38">
    <w:name w:val="footnote text"/>
    <w:basedOn w:val="1"/>
    <w:link w:val="92"/>
    <w:unhideWhenUsed/>
    <w:qFormat/>
    <w:uiPriority w:val="99"/>
    <w:pPr>
      <w:spacing w:line="360" w:lineRule="auto"/>
      <w:jc w:val="left"/>
    </w:pPr>
    <w:rPr>
      <w:rFonts w:ascii="Calibri" w:hAnsi="Calibri" w:eastAsia="宋体"/>
      <w:kern w:val="0"/>
      <w:sz w:val="18"/>
      <w:szCs w:val="18"/>
    </w:rPr>
  </w:style>
  <w:style w:type="paragraph" w:styleId="39">
    <w:name w:val="toc 6"/>
    <w:basedOn w:val="1"/>
    <w:next w:val="1"/>
    <w:qFormat/>
    <w:uiPriority w:val="39"/>
    <w:pPr>
      <w:ind w:left="840"/>
      <w:jc w:val="left"/>
    </w:pPr>
    <w:rPr>
      <w:rFonts w:ascii="Calibri" w:hAnsi="Calibri" w:cs="Calibri"/>
      <w:sz w:val="20"/>
      <w:szCs w:val="20"/>
    </w:rPr>
  </w:style>
  <w:style w:type="paragraph" w:styleId="40">
    <w:name w:val="Body Text Indent 3"/>
    <w:basedOn w:val="1"/>
    <w:link w:val="93"/>
    <w:unhideWhenUsed/>
    <w:qFormat/>
    <w:uiPriority w:val="99"/>
    <w:pPr>
      <w:spacing w:after="120" w:line="360" w:lineRule="auto"/>
      <w:ind w:left="420" w:leftChars="200"/>
    </w:pPr>
    <w:rPr>
      <w:rFonts w:ascii="Times New Roman" w:hAnsi="Times New Roman" w:eastAsia="宋体"/>
      <w:sz w:val="16"/>
      <w:szCs w:val="16"/>
    </w:rPr>
  </w:style>
  <w:style w:type="paragraph" w:styleId="41">
    <w:name w:val="toc 2"/>
    <w:basedOn w:val="1"/>
    <w:next w:val="1"/>
    <w:qFormat/>
    <w:uiPriority w:val="39"/>
    <w:pPr>
      <w:spacing w:line="240" w:lineRule="auto"/>
      <w:ind w:firstLine="420" w:firstLineChars="200"/>
      <w:jc w:val="left"/>
    </w:pPr>
    <w:rPr>
      <w:rFonts w:ascii="Calibri" w:hAnsi="Calibri" w:eastAsia="宋体" w:cs="Calibri"/>
      <w:b/>
      <w:bCs/>
      <w:szCs w:val="20"/>
    </w:rPr>
  </w:style>
  <w:style w:type="paragraph" w:styleId="42">
    <w:name w:val="toc 9"/>
    <w:basedOn w:val="1"/>
    <w:next w:val="1"/>
    <w:qFormat/>
    <w:uiPriority w:val="39"/>
    <w:pPr>
      <w:ind w:left="1470"/>
      <w:jc w:val="left"/>
    </w:pPr>
    <w:rPr>
      <w:rFonts w:ascii="Calibri" w:hAnsi="Calibri" w:cs="Calibri"/>
      <w:sz w:val="20"/>
      <w:szCs w:val="20"/>
    </w:rPr>
  </w:style>
  <w:style w:type="paragraph" w:styleId="43">
    <w:name w:val="Body Text 2"/>
    <w:basedOn w:val="1"/>
    <w:link w:val="94"/>
    <w:unhideWhenUsed/>
    <w:qFormat/>
    <w:uiPriority w:val="99"/>
    <w:pPr>
      <w:spacing w:line="420" w:lineRule="exact"/>
    </w:pPr>
    <w:rPr>
      <w:rFonts w:ascii="Calibri" w:hAnsi="Calibri" w:eastAsia="宋体"/>
      <w:bCs/>
      <w:sz w:val="28"/>
    </w:rPr>
  </w:style>
  <w:style w:type="paragraph" w:styleId="44">
    <w:name w:val="Normal (Web)"/>
    <w:basedOn w:val="1"/>
    <w:link w:val="95"/>
    <w:qFormat/>
    <w:uiPriority w:val="0"/>
    <w:pPr>
      <w:widowControl/>
      <w:spacing w:before="100" w:beforeAutospacing="1" w:after="100" w:afterAutospacing="1"/>
      <w:jc w:val="left"/>
    </w:pPr>
    <w:rPr>
      <w:rFonts w:ascii="宋体" w:hAnsi="宋体" w:eastAsia="宋体"/>
      <w:kern w:val="0"/>
      <w:sz w:val="24"/>
      <w:szCs w:val="24"/>
    </w:rPr>
  </w:style>
  <w:style w:type="paragraph" w:styleId="45">
    <w:name w:val="index 1"/>
    <w:basedOn w:val="1"/>
    <w:next w:val="1"/>
    <w:qFormat/>
    <w:uiPriority w:val="0"/>
    <w:pPr>
      <w:spacing w:line="360" w:lineRule="auto"/>
      <w:ind w:firstLine="200" w:firstLineChars="200"/>
    </w:pPr>
    <w:rPr>
      <w:rFonts w:ascii="Times New Roman" w:hAnsi="Times New Roman" w:eastAsia="宋体"/>
      <w:sz w:val="24"/>
      <w:szCs w:val="24"/>
    </w:rPr>
  </w:style>
  <w:style w:type="paragraph" w:styleId="46">
    <w:name w:val="Title"/>
    <w:basedOn w:val="1"/>
    <w:link w:val="96"/>
    <w:qFormat/>
    <w:uiPriority w:val="0"/>
    <w:pPr>
      <w:spacing w:before="240" w:after="60"/>
      <w:jc w:val="left"/>
      <w:outlineLvl w:val="0"/>
    </w:pPr>
    <w:rPr>
      <w:rFonts w:ascii="Times New Roman" w:hAnsi="Times New Roman" w:eastAsia="宋体"/>
      <w:b/>
      <w:bCs/>
      <w:sz w:val="32"/>
      <w:szCs w:val="32"/>
    </w:rPr>
  </w:style>
  <w:style w:type="paragraph" w:styleId="47">
    <w:name w:val="annotation subject"/>
    <w:basedOn w:val="15"/>
    <w:next w:val="15"/>
    <w:link w:val="97"/>
    <w:qFormat/>
    <w:uiPriority w:val="0"/>
    <w:rPr>
      <w:b/>
      <w:bCs/>
    </w:rPr>
  </w:style>
  <w:style w:type="paragraph" w:styleId="48">
    <w:name w:val="Body Text First Indent"/>
    <w:basedOn w:val="18"/>
    <w:link w:val="98"/>
    <w:unhideWhenUsed/>
    <w:qFormat/>
    <w:uiPriority w:val="99"/>
    <w:pPr>
      <w:spacing w:line="360" w:lineRule="auto"/>
      <w:ind w:firstLine="420" w:firstLineChars="100"/>
    </w:pPr>
    <w:rPr>
      <w:rFonts w:ascii="Calibri" w:hAnsi="Calibri"/>
      <w:sz w:val="24"/>
      <w:szCs w:val="22"/>
    </w:rPr>
  </w:style>
  <w:style w:type="table" w:styleId="50">
    <w:name w:val="Table Grid"/>
    <w:basedOn w:val="49"/>
    <w:qFormat/>
    <w:uiPriority w:val="39"/>
    <w:pPr>
      <w:widowControl w:val="0"/>
      <w:jc w:val="both"/>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1">
    <w:name w:val="Table Theme"/>
    <w:basedOn w:val="50"/>
    <w:qFormat/>
    <w:uiPriority w:val="0"/>
    <w:pPr>
      <w:jc w:val="center"/>
    </w:pPr>
    <w:rPr>
      <w:sz w:val="21"/>
    </w:rPr>
    <w:tblPr>
      <w:jc w:val="center"/>
      <w:tblBorders>
        <w:top w:val="single" w:color="auto" w:sz="12" w:space="0"/>
        <w:bottom w:val="single" w:color="auto" w:sz="12" w:space="0"/>
      </w:tblBorders>
    </w:tblPr>
    <w:trPr>
      <w:jc w:val="center"/>
    </w:trPr>
    <w:tcPr>
      <w:vAlign w:val="center"/>
    </w:tcPr>
    <w:tblStylePr w:type="firstRow">
      <w:rPr>
        <w:rFonts w:ascii="Arial" w:hAnsi="Arial" w:eastAsia="等线"/>
        <w:b/>
        <w:i w:val="0"/>
        <w:sz w:val="21"/>
      </w:rPr>
    </w:tblStylePr>
  </w:style>
  <w:style w:type="character" w:styleId="53">
    <w:name w:val="Strong"/>
    <w:qFormat/>
    <w:uiPriority w:val="0"/>
    <w:rPr>
      <w:b/>
      <w:bCs/>
    </w:rPr>
  </w:style>
  <w:style w:type="character" w:styleId="54">
    <w:name w:val="endnote reference"/>
    <w:qFormat/>
    <w:uiPriority w:val="0"/>
    <w:rPr>
      <w:vertAlign w:val="superscript"/>
    </w:rPr>
  </w:style>
  <w:style w:type="character" w:styleId="55">
    <w:name w:val="page number"/>
    <w:basedOn w:val="52"/>
    <w:qFormat/>
    <w:uiPriority w:val="0"/>
  </w:style>
  <w:style w:type="character" w:styleId="56">
    <w:name w:val="FollowedHyperlink"/>
    <w:unhideWhenUsed/>
    <w:qFormat/>
    <w:uiPriority w:val="0"/>
    <w:rPr>
      <w:rFonts w:ascii="Times New Roman" w:hAnsi="Times New Roman" w:eastAsia="宋体"/>
      <w:color w:val="auto"/>
      <w:sz w:val="24"/>
      <w:u w:val="none"/>
    </w:rPr>
  </w:style>
  <w:style w:type="character" w:styleId="57">
    <w:name w:val="Emphasis"/>
    <w:qFormat/>
    <w:uiPriority w:val="0"/>
    <w:rPr>
      <w:i/>
      <w:iCs/>
    </w:rPr>
  </w:style>
  <w:style w:type="character" w:styleId="58">
    <w:name w:val="HTML Definition"/>
    <w:unhideWhenUsed/>
    <w:qFormat/>
    <w:uiPriority w:val="0"/>
  </w:style>
  <w:style w:type="character" w:styleId="59">
    <w:name w:val="HTML Variable"/>
    <w:unhideWhenUsed/>
    <w:qFormat/>
    <w:uiPriority w:val="0"/>
  </w:style>
  <w:style w:type="character" w:styleId="60">
    <w:name w:val="Hyperlink"/>
    <w:qFormat/>
    <w:uiPriority w:val="99"/>
    <w:rPr>
      <w:color w:val="0000FF"/>
      <w:u w:val="single"/>
    </w:rPr>
  </w:style>
  <w:style w:type="character" w:styleId="61">
    <w:name w:val="HTML Code"/>
    <w:unhideWhenUsed/>
    <w:qFormat/>
    <w:uiPriority w:val="0"/>
    <w:rPr>
      <w:rFonts w:hint="default" w:ascii="Times New Roman" w:hAnsi="Times New Roman" w:eastAsia="Times New Roman" w:cs="Times New Roman"/>
      <w:sz w:val="21"/>
      <w:szCs w:val="21"/>
    </w:rPr>
  </w:style>
  <w:style w:type="character" w:styleId="62">
    <w:name w:val="annotation reference"/>
    <w:basedOn w:val="52"/>
    <w:qFormat/>
    <w:uiPriority w:val="0"/>
    <w:rPr>
      <w:rFonts w:ascii="Times New Roman" w:hAnsi="Times New Roman" w:eastAsia="宋体"/>
      <w:sz w:val="21"/>
      <w:szCs w:val="21"/>
    </w:rPr>
  </w:style>
  <w:style w:type="character" w:styleId="63">
    <w:name w:val="HTML Cite"/>
    <w:unhideWhenUsed/>
    <w:qFormat/>
    <w:uiPriority w:val="0"/>
  </w:style>
  <w:style w:type="character" w:styleId="64">
    <w:name w:val="footnote reference"/>
    <w:unhideWhenUsed/>
    <w:qFormat/>
    <w:uiPriority w:val="99"/>
    <w:rPr>
      <w:rFonts w:hint="default" w:ascii="Times New Roman" w:hAnsi="Times New Roman" w:cs="Times New Roman"/>
      <w:vertAlign w:val="superscript"/>
    </w:rPr>
  </w:style>
  <w:style w:type="character" w:styleId="65">
    <w:name w:val="HTML Keyboard"/>
    <w:unhideWhenUsed/>
    <w:qFormat/>
    <w:uiPriority w:val="0"/>
    <w:rPr>
      <w:rFonts w:hint="default" w:ascii="Times New Roman" w:hAnsi="Times New Roman" w:eastAsia="Times New Roman" w:cs="Times New Roman"/>
      <w:sz w:val="21"/>
      <w:szCs w:val="21"/>
    </w:rPr>
  </w:style>
  <w:style w:type="character" w:styleId="66">
    <w:name w:val="HTML Sample"/>
    <w:unhideWhenUsed/>
    <w:qFormat/>
    <w:uiPriority w:val="0"/>
    <w:rPr>
      <w:rFonts w:hint="default" w:ascii="Times New Roman" w:hAnsi="Times New Roman" w:eastAsia="Times New Roman" w:cs="Times New Roman"/>
      <w:sz w:val="21"/>
      <w:szCs w:val="21"/>
    </w:rPr>
  </w:style>
  <w:style w:type="character" w:customStyle="1" w:styleId="67">
    <w:name w:val="标题 1 Char"/>
    <w:link w:val="2"/>
    <w:qFormat/>
    <w:uiPriority w:val="0"/>
    <w:rPr>
      <w:rFonts w:ascii="Times New Roman" w:hAnsi="Times New Roman" w:eastAsia="宋体"/>
      <w:b/>
      <w:kern w:val="44"/>
      <w:sz w:val="28"/>
    </w:rPr>
  </w:style>
  <w:style w:type="character" w:customStyle="1" w:styleId="68">
    <w:name w:val="标题 2 字符"/>
    <w:link w:val="3"/>
    <w:qFormat/>
    <w:uiPriority w:val="9"/>
    <w:rPr>
      <w:rFonts w:ascii="Arial" w:hAnsi="Arial" w:eastAsia="宋体"/>
      <w:b/>
      <w:kern w:val="2"/>
      <w:sz w:val="24"/>
      <w:szCs w:val="32"/>
    </w:rPr>
  </w:style>
  <w:style w:type="character" w:customStyle="1" w:styleId="69">
    <w:name w:val="标题 3 字符"/>
    <w:link w:val="4"/>
    <w:qFormat/>
    <w:uiPriority w:val="0"/>
    <w:rPr>
      <w:rFonts w:ascii="Times New Roman" w:hAnsi="Times New Roman" w:eastAsia="宋体"/>
      <w:b/>
      <w:kern w:val="2"/>
      <w:sz w:val="24"/>
      <w:szCs w:val="24"/>
    </w:rPr>
  </w:style>
  <w:style w:type="character" w:customStyle="1" w:styleId="70">
    <w:name w:val="标题 4 字符"/>
    <w:link w:val="5"/>
    <w:qFormat/>
    <w:uiPriority w:val="9"/>
    <w:rPr>
      <w:rFonts w:ascii="Times New Roman" w:hAnsi="Times New Roman" w:eastAsia="宋体"/>
      <w:b/>
      <w:bCs/>
      <w:kern w:val="2"/>
      <w:sz w:val="24"/>
      <w:szCs w:val="28"/>
    </w:rPr>
  </w:style>
  <w:style w:type="character" w:customStyle="1" w:styleId="71">
    <w:name w:val="标题 5 字符"/>
    <w:link w:val="6"/>
    <w:qFormat/>
    <w:uiPriority w:val="0"/>
    <w:rPr>
      <w:rFonts w:ascii="Times New Roman" w:hAnsi="Times New Roman" w:eastAsia="宋体"/>
      <w:b/>
      <w:bCs/>
      <w:kern w:val="2"/>
      <w:sz w:val="24"/>
      <w:szCs w:val="28"/>
    </w:rPr>
  </w:style>
  <w:style w:type="character" w:customStyle="1" w:styleId="72">
    <w:name w:val="标题 6 字符"/>
    <w:link w:val="7"/>
    <w:qFormat/>
    <w:uiPriority w:val="0"/>
    <w:rPr>
      <w:rFonts w:ascii="Arial" w:hAnsi="Arial" w:eastAsia="黑体"/>
      <w:b/>
      <w:bCs/>
      <w:kern w:val="2"/>
      <w:sz w:val="24"/>
      <w:szCs w:val="24"/>
    </w:rPr>
  </w:style>
  <w:style w:type="character" w:customStyle="1" w:styleId="73">
    <w:name w:val="标题 7 字符"/>
    <w:link w:val="8"/>
    <w:qFormat/>
    <w:uiPriority w:val="0"/>
    <w:rPr>
      <w:rFonts w:ascii="Times New Roman" w:hAnsi="Times New Roman" w:eastAsia="宋体"/>
      <w:b/>
      <w:bCs/>
      <w:kern w:val="2"/>
      <w:sz w:val="24"/>
      <w:szCs w:val="24"/>
    </w:rPr>
  </w:style>
  <w:style w:type="character" w:customStyle="1" w:styleId="74">
    <w:name w:val="标题 8 字符"/>
    <w:link w:val="9"/>
    <w:qFormat/>
    <w:uiPriority w:val="0"/>
    <w:rPr>
      <w:rFonts w:ascii="Arial" w:hAnsi="Arial" w:eastAsia="黑体"/>
      <w:kern w:val="2"/>
      <w:sz w:val="24"/>
      <w:szCs w:val="24"/>
    </w:rPr>
  </w:style>
  <w:style w:type="character" w:customStyle="1" w:styleId="75">
    <w:name w:val="标题 9 字符"/>
    <w:link w:val="10"/>
    <w:qFormat/>
    <w:uiPriority w:val="0"/>
    <w:rPr>
      <w:rFonts w:ascii="Arial" w:hAnsi="Arial" w:eastAsia="黑体"/>
      <w:kern w:val="2"/>
      <w:sz w:val="21"/>
      <w:szCs w:val="21"/>
    </w:rPr>
  </w:style>
  <w:style w:type="character" w:customStyle="1" w:styleId="76">
    <w:name w:val="正文缩进 字符"/>
    <w:link w:val="12"/>
    <w:qFormat/>
    <w:uiPriority w:val="0"/>
    <w:rPr>
      <w:rFonts w:ascii="Calibri" w:hAnsi="Calibri" w:eastAsia="宋体"/>
      <w:kern w:val="2"/>
      <w:sz w:val="24"/>
    </w:rPr>
  </w:style>
  <w:style w:type="character" w:customStyle="1" w:styleId="77">
    <w:name w:val="文档结构图 字符"/>
    <w:link w:val="14"/>
    <w:semiHidden/>
    <w:qFormat/>
    <w:uiPriority w:val="99"/>
    <w:rPr>
      <w:rFonts w:ascii="Times New Roman" w:hAnsi="Times New Roman" w:eastAsia="宋体"/>
      <w:kern w:val="2"/>
      <w:sz w:val="21"/>
      <w:szCs w:val="24"/>
      <w:shd w:val="clear" w:color="auto" w:fill="000080"/>
    </w:rPr>
  </w:style>
  <w:style w:type="character" w:customStyle="1" w:styleId="78">
    <w:name w:val="批注文字 字符"/>
    <w:link w:val="15"/>
    <w:qFormat/>
    <w:uiPriority w:val="0"/>
    <w:rPr>
      <w:rFonts w:ascii="Calibri" w:hAnsi="Calibri" w:eastAsia="宋体"/>
      <w:kern w:val="2"/>
      <w:sz w:val="21"/>
      <w:szCs w:val="24"/>
    </w:rPr>
  </w:style>
  <w:style w:type="character" w:customStyle="1" w:styleId="79">
    <w:name w:val="称呼 字符"/>
    <w:link w:val="16"/>
    <w:qFormat/>
    <w:uiPriority w:val="0"/>
    <w:rPr>
      <w:rFonts w:ascii="Calibri" w:hAnsi="Calibri" w:eastAsia="宋体" w:cs="黑体"/>
      <w:kern w:val="2"/>
      <w:sz w:val="21"/>
      <w:szCs w:val="24"/>
    </w:rPr>
  </w:style>
  <w:style w:type="character" w:customStyle="1" w:styleId="80">
    <w:name w:val="正文文本 3 字符"/>
    <w:link w:val="17"/>
    <w:qFormat/>
    <w:uiPriority w:val="0"/>
    <w:rPr>
      <w:rFonts w:ascii="Times New Roman" w:hAnsi="Times New Roman" w:eastAsia="宋体"/>
      <w:kern w:val="2"/>
      <w:sz w:val="16"/>
      <w:szCs w:val="16"/>
    </w:rPr>
  </w:style>
  <w:style w:type="character" w:customStyle="1" w:styleId="81">
    <w:name w:val="正文文本 字符2"/>
    <w:link w:val="18"/>
    <w:qFormat/>
    <w:uiPriority w:val="0"/>
    <w:rPr>
      <w:rFonts w:ascii="Times New Roman" w:hAnsi="Times New Roman" w:eastAsia="宋体"/>
      <w:kern w:val="2"/>
      <w:sz w:val="21"/>
      <w:szCs w:val="24"/>
    </w:rPr>
  </w:style>
  <w:style w:type="character" w:customStyle="1" w:styleId="82">
    <w:name w:val="正文文本缩进 字符"/>
    <w:link w:val="19"/>
    <w:qFormat/>
    <w:uiPriority w:val="0"/>
    <w:rPr>
      <w:rFonts w:ascii="Calibri" w:hAnsi="Calibri" w:eastAsia="宋体"/>
      <w:kern w:val="2"/>
      <w:sz w:val="28"/>
    </w:rPr>
  </w:style>
  <w:style w:type="character" w:customStyle="1" w:styleId="83">
    <w:name w:val="纯文本 字符"/>
    <w:link w:val="23"/>
    <w:qFormat/>
    <w:uiPriority w:val="0"/>
    <w:rPr>
      <w:rFonts w:ascii="宋体" w:hAnsi="Courier New" w:eastAsia="宋体" w:cs="Courier New"/>
      <w:kern w:val="2"/>
      <w:sz w:val="21"/>
      <w:szCs w:val="21"/>
    </w:rPr>
  </w:style>
  <w:style w:type="character" w:customStyle="1" w:styleId="84">
    <w:name w:val="日期 字符1"/>
    <w:link w:val="25"/>
    <w:qFormat/>
    <w:uiPriority w:val="0"/>
    <w:rPr>
      <w:rFonts w:ascii="Times New Roman" w:hAnsi="Times New Roman" w:eastAsia="宋体"/>
      <w:kern w:val="2"/>
      <w:sz w:val="21"/>
      <w:szCs w:val="24"/>
    </w:rPr>
  </w:style>
  <w:style w:type="character" w:customStyle="1" w:styleId="85">
    <w:name w:val="正文文本缩进 2 字符"/>
    <w:link w:val="26"/>
    <w:qFormat/>
    <w:uiPriority w:val="0"/>
    <w:rPr>
      <w:rFonts w:ascii="Times New Roman" w:hAnsi="Times New Roman" w:eastAsia="宋体"/>
      <w:kern w:val="2"/>
      <w:sz w:val="21"/>
      <w:szCs w:val="24"/>
    </w:rPr>
  </w:style>
  <w:style w:type="character" w:customStyle="1" w:styleId="86">
    <w:name w:val="正文文本首行缩进 2 字符"/>
    <w:link w:val="27"/>
    <w:qFormat/>
    <w:uiPriority w:val="0"/>
    <w:rPr>
      <w:rFonts w:ascii="Calibri" w:hAnsi="Calibri" w:eastAsia="宋体"/>
      <w:kern w:val="2"/>
      <w:sz w:val="21"/>
      <w:szCs w:val="24"/>
    </w:rPr>
  </w:style>
  <w:style w:type="character" w:customStyle="1" w:styleId="87">
    <w:name w:val="尾注文本 字符"/>
    <w:link w:val="28"/>
    <w:qFormat/>
    <w:uiPriority w:val="99"/>
    <w:rPr>
      <w:rFonts w:ascii="Times New Roman" w:hAnsi="Times New Roman" w:eastAsia="宋体"/>
      <w:kern w:val="2"/>
      <w:sz w:val="21"/>
      <w:szCs w:val="24"/>
    </w:rPr>
  </w:style>
  <w:style w:type="character" w:customStyle="1" w:styleId="88">
    <w:name w:val="批注框文本 字符"/>
    <w:link w:val="29"/>
    <w:qFormat/>
    <w:uiPriority w:val="0"/>
    <w:rPr>
      <w:rFonts w:ascii="Times New Roman" w:hAnsi="Times New Roman" w:eastAsia="宋体"/>
      <w:kern w:val="2"/>
      <w:sz w:val="18"/>
      <w:szCs w:val="18"/>
    </w:rPr>
  </w:style>
  <w:style w:type="character" w:customStyle="1" w:styleId="89">
    <w:name w:val="页脚 字符1"/>
    <w:link w:val="30"/>
    <w:qFormat/>
    <w:uiPriority w:val="99"/>
    <w:rPr>
      <w:sz w:val="18"/>
      <w:szCs w:val="18"/>
    </w:rPr>
  </w:style>
  <w:style w:type="character" w:customStyle="1" w:styleId="90">
    <w:name w:val="页眉 字符"/>
    <w:link w:val="32"/>
    <w:qFormat/>
    <w:uiPriority w:val="0"/>
    <w:rPr>
      <w:sz w:val="18"/>
      <w:szCs w:val="18"/>
    </w:rPr>
  </w:style>
  <w:style w:type="character" w:customStyle="1" w:styleId="91">
    <w:name w:val="副标题 字符"/>
    <w:link w:val="37"/>
    <w:qFormat/>
    <w:uiPriority w:val="0"/>
    <w:rPr>
      <w:rFonts w:ascii="Cambria" w:hAnsi="Cambria" w:eastAsia="宋体"/>
      <w:sz w:val="21"/>
      <w:szCs w:val="24"/>
      <w:lang w:eastAsia="en-US" w:bidi="en-US"/>
    </w:rPr>
  </w:style>
  <w:style w:type="character" w:customStyle="1" w:styleId="92">
    <w:name w:val="脚注文本 字符"/>
    <w:link w:val="38"/>
    <w:qFormat/>
    <w:uiPriority w:val="99"/>
    <w:rPr>
      <w:rFonts w:ascii="Calibri" w:hAnsi="Calibri" w:eastAsia="宋体" w:cs="黑体"/>
      <w:sz w:val="18"/>
      <w:szCs w:val="18"/>
    </w:rPr>
  </w:style>
  <w:style w:type="character" w:customStyle="1" w:styleId="93">
    <w:name w:val="正文文本缩进 3 字符"/>
    <w:link w:val="40"/>
    <w:qFormat/>
    <w:uiPriority w:val="99"/>
    <w:rPr>
      <w:rFonts w:ascii="Times New Roman" w:hAnsi="Times New Roman" w:eastAsia="宋体" w:cs="黑体"/>
      <w:kern w:val="2"/>
      <w:sz w:val="16"/>
      <w:szCs w:val="16"/>
    </w:rPr>
  </w:style>
  <w:style w:type="character" w:customStyle="1" w:styleId="94">
    <w:name w:val="正文文本 2 字符"/>
    <w:link w:val="43"/>
    <w:qFormat/>
    <w:uiPriority w:val="99"/>
    <w:rPr>
      <w:rFonts w:ascii="Calibri" w:hAnsi="Calibri" w:eastAsia="宋体" w:cs="黑体"/>
      <w:bCs/>
      <w:kern w:val="2"/>
      <w:sz w:val="28"/>
      <w:szCs w:val="22"/>
    </w:rPr>
  </w:style>
  <w:style w:type="character" w:customStyle="1" w:styleId="95">
    <w:name w:val="普通(网站) 字符"/>
    <w:link w:val="44"/>
    <w:qFormat/>
    <w:uiPriority w:val="0"/>
    <w:rPr>
      <w:rFonts w:ascii="宋体" w:hAnsi="宋体" w:eastAsia="宋体"/>
      <w:sz w:val="24"/>
      <w:szCs w:val="24"/>
    </w:rPr>
  </w:style>
  <w:style w:type="character" w:customStyle="1" w:styleId="96">
    <w:name w:val="标题 字符"/>
    <w:link w:val="46"/>
    <w:qFormat/>
    <w:uiPriority w:val="0"/>
    <w:rPr>
      <w:rFonts w:ascii="Times New Roman" w:hAnsi="Times New Roman" w:eastAsia="宋体"/>
      <w:b/>
      <w:bCs/>
      <w:kern w:val="2"/>
      <w:sz w:val="32"/>
      <w:szCs w:val="32"/>
    </w:rPr>
  </w:style>
  <w:style w:type="character" w:customStyle="1" w:styleId="97">
    <w:name w:val="批注主题 字符"/>
    <w:link w:val="47"/>
    <w:qFormat/>
    <w:uiPriority w:val="0"/>
    <w:rPr>
      <w:rFonts w:ascii="Calibri" w:hAnsi="Calibri" w:eastAsia="宋体"/>
      <w:b/>
      <w:bCs/>
      <w:kern w:val="2"/>
      <w:sz w:val="21"/>
      <w:szCs w:val="24"/>
    </w:rPr>
  </w:style>
  <w:style w:type="character" w:customStyle="1" w:styleId="98">
    <w:name w:val="正文文本首行缩进 字符"/>
    <w:link w:val="48"/>
    <w:qFormat/>
    <w:uiPriority w:val="99"/>
    <w:rPr>
      <w:rFonts w:ascii="Calibri" w:hAnsi="Calibri" w:eastAsia="宋体" w:cs="黑体"/>
      <w:kern w:val="2"/>
      <w:sz w:val="24"/>
      <w:szCs w:val="22"/>
    </w:rPr>
  </w:style>
  <w:style w:type="character" w:customStyle="1" w:styleId="99">
    <w:name w:val="标题 1 字符"/>
    <w:link w:val="2"/>
    <w:qFormat/>
    <w:uiPriority w:val="99"/>
    <w:rPr>
      <w:rFonts w:ascii="Times New Roman" w:hAnsi="Times New Roman" w:eastAsia="宋体" w:cs="宋体"/>
      <w:b/>
      <w:kern w:val="44"/>
      <w:sz w:val="30"/>
      <w:szCs w:val="44"/>
    </w:rPr>
  </w:style>
  <w:style w:type="paragraph" w:customStyle="1" w:styleId="100">
    <w:name w:val="Default"/>
    <w:basedOn w:val="101"/>
    <w:next w:val="1"/>
    <w:link w:val="102"/>
    <w:qFormat/>
    <w:uiPriority w:val="0"/>
    <w:pPr>
      <w:widowControl w:val="0"/>
      <w:autoSpaceDE w:val="0"/>
      <w:autoSpaceDN w:val="0"/>
      <w:adjustRightInd w:val="0"/>
    </w:pPr>
    <w:rPr>
      <w:rFonts w:ascii="宋体" w:hAnsi="Times New Roman" w:eastAsia="宋体"/>
      <w:color w:val="000000"/>
      <w:sz w:val="24"/>
      <w:szCs w:val="24"/>
      <w:lang w:val="en-US" w:eastAsia="zh-CN" w:bidi="ar-SA"/>
    </w:rPr>
  </w:style>
  <w:style w:type="paragraph" w:customStyle="1" w:styleId="101">
    <w:name w:val="纯文本1"/>
    <w:basedOn w:val="1"/>
    <w:next w:val="1"/>
    <w:qFormat/>
    <w:uiPriority w:val="0"/>
    <w:pPr>
      <w:snapToGrid/>
      <w:spacing w:line="240" w:lineRule="auto"/>
    </w:pPr>
    <w:rPr>
      <w:rFonts w:ascii="宋体" w:hAnsi="Courier New" w:cs="Courier New"/>
      <w:kern w:val="0"/>
      <w:szCs w:val="21"/>
    </w:rPr>
  </w:style>
  <w:style w:type="character" w:customStyle="1" w:styleId="102">
    <w:name w:val="Default Char"/>
    <w:link w:val="100"/>
    <w:qFormat/>
    <w:uiPriority w:val="0"/>
    <w:rPr>
      <w:rFonts w:ascii="宋体" w:hAnsi="Times New Roman" w:eastAsia="宋体"/>
      <w:color w:val="000000"/>
      <w:sz w:val="24"/>
      <w:szCs w:val="24"/>
      <w:lang w:bidi="ar-SA"/>
    </w:rPr>
  </w:style>
  <w:style w:type="paragraph" w:customStyle="1" w:styleId="103">
    <w:name w:val="文本"/>
    <w:basedOn w:val="1"/>
    <w:next w:val="1"/>
    <w:qFormat/>
    <w:uiPriority w:val="0"/>
    <w:pPr>
      <w:spacing w:line="360" w:lineRule="auto"/>
      <w:ind w:firstLine="480" w:firstLineChars="200"/>
    </w:pPr>
    <w:rPr>
      <w:sz w:val="24"/>
    </w:rPr>
  </w:style>
  <w:style w:type="paragraph" w:customStyle="1" w:styleId="104">
    <w:name w:val="正文首行缩进2个字 Char"/>
    <w:basedOn w:val="1"/>
    <w:qFormat/>
    <w:uiPriority w:val="0"/>
    <w:pPr>
      <w:ind w:firstLine="480" w:firstLineChars="200"/>
    </w:pPr>
    <w:rPr>
      <w:rFonts w:eastAsia="楷体"/>
      <w:sz w:val="24"/>
    </w:rPr>
  </w:style>
  <w:style w:type="character" w:customStyle="1" w:styleId="105">
    <w:name w:val="样式2 Char"/>
    <w:link w:val="106"/>
    <w:qFormat/>
    <w:uiPriority w:val="0"/>
    <w:rPr>
      <w:rFonts w:ascii="Calibri" w:hAnsi="Calibri" w:eastAsia="宋体" w:cs="Times New Roman"/>
      <w:kern w:val="2"/>
      <w:sz w:val="24"/>
      <w:szCs w:val="24"/>
    </w:rPr>
  </w:style>
  <w:style w:type="paragraph" w:customStyle="1" w:styleId="106">
    <w:name w:val="样式2"/>
    <w:basedOn w:val="1"/>
    <w:next w:val="23"/>
    <w:link w:val="105"/>
    <w:qFormat/>
    <w:uiPriority w:val="0"/>
    <w:pPr>
      <w:spacing w:line="440" w:lineRule="exact"/>
      <w:ind w:firstLine="480" w:firstLineChars="200"/>
    </w:pPr>
    <w:rPr>
      <w:rFonts w:ascii="Calibri" w:hAnsi="Calibri" w:eastAsia="宋体"/>
      <w:sz w:val="24"/>
      <w:szCs w:val="24"/>
    </w:rPr>
  </w:style>
  <w:style w:type="paragraph" w:customStyle="1" w:styleId="107">
    <w:name w:val="正文 首行缩进:  2 字符"/>
    <w:basedOn w:val="1"/>
    <w:qFormat/>
    <w:uiPriority w:val="0"/>
    <w:pPr>
      <w:snapToGrid w:val="0"/>
      <w:spacing w:line="360" w:lineRule="auto"/>
    </w:pPr>
    <w:rPr>
      <w:rFonts w:ascii="Times New Roman" w:hAnsi="Times New Roman" w:eastAsia="宋体"/>
      <w:b/>
      <w:sz w:val="24"/>
      <w:szCs w:val="20"/>
    </w:rPr>
  </w:style>
  <w:style w:type="character" w:customStyle="1" w:styleId="108">
    <w:name w:val="fontstyle01"/>
    <w:qFormat/>
    <w:uiPriority w:val="0"/>
    <w:rPr>
      <w:rFonts w:hint="eastAsia" w:ascii="宋体" w:hAnsi="宋体" w:eastAsia="宋体"/>
      <w:color w:val="000000"/>
      <w:sz w:val="22"/>
      <w:szCs w:val="22"/>
    </w:rPr>
  </w:style>
  <w:style w:type="character" w:customStyle="1" w:styleId="109">
    <w:name w:val="fontstyle21"/>
    <w:qFormat/>
    <w:uiPriority w:val="0"/>
    <w:rPr>
      <w:rFonts w:hint="default" w:ascii="Times New Roman" w:hAnsi="Times New Roman"/>
      <w:color w:val="000000"/>
      <w:sz w:val="24"/>
      <w:szCs w:val="24"/>
    </w:rPr>
  </w:style>
  <w:style w:type="character" w:customStyle="1" w:styleId="110">
    <w:name w:val="页眉 Char"/>
    <w:qFormat/>
    <w:uiPriority w:val="99"/>
    <w:rPr>
      <w:kern w:val="2"/>
      <w:sz w:val="18"/>
      <w:szCs w:val="18"/>
    </w:rPr>
  </w:style>
  <w:style w:type="character" w:customStyle="1" w:styleId="111">
    <w:name w:val="页脚 Char"/>
    <w:qFormat/>
    <w:uiPriority w:val="99"/>
    <w:rPr>
      <w:kern w:val="2"/>
      <w:sz w:val="18"/>
      <w:szCs w:val="18"/>
    </w:rPr>
  </w:style>
  <w:style w:type="character" w:customStyle="1" w:styleId="112">
    <w:name w:val="fontstyle11"/>
    <w:qFormat/>
    <w:uiPriority w:val="0"/>
    <w:rPr>
      <w:rFonts w:hint="default" w:ascii="Times New Roman" w:hAnsi="Times New Roman"/>
      <w:color w:val="000000"/>
      <w:sz w:val="24"/>
      <w:szCs w:val="24"/>
    </w:rPr>
  </w:style>
  <w:style w:type="character" w:customStyle="1" w:styleId="113">
    <w:name w:val="表格正文 Char"/>
    <w:link w:val="114"/>
    <w:qFormat/>
    <w:uiPriority w:val="0"/>
    <w:rPr>
      <w:rFonts w:eastAsia="宋体"/>
      <w:kern w:val="2"/>
      <w:sz w:val="21"/>
      <w:szCs w:val="24"/>
    </w:rPr>
  </w:style>
  <w:style w:type="paragraph" w:customStyle="1" w:styleId="114">
    <w:name w:val="表格正文"/>
    <w:basedOn w:val="1"/>
    <w:link w:val="113"/>
    <w:qFormat/>
    <w:uiPriority w:val="0"/>
    <w:pPr>
      <w:spacing w:line="360" w:lineRule="exact"/>
      <w:jc w:val="center"/>
    </w:pPr>
    <w:rPr>
      <w:rFonts w:eastAsia="宋体"/>
      <w:szCs w:val="24"/>
    </w:rPr>
  </w:style>
  <w:style w:type="paragraph" w:customStyle="1" w:styleId="115">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16">
    <w:name w:val="样式3"/>
    <w:basedOn w:val="1"/>
    <w:next w:val="117"/>
    <w:qFormat/>
    <w:uiPriority w:val="0"/>
    <w:pPr>
      <w:tabs>
        <w:tab w:val="left" w:pos="0"/>
        <w:tab w:val="left" w:pos="432"/>
      </w:tabs>
      <w:adjustRightInd w:val="0"/>
      <w:snapToGrid w:val="0"/>
      <w:spacing w:line="440" w:lineRule="exact"/>
      <w:ind w:left="432" w:hanging="432"/>
    </w:pPr>
    <w:rPr>
      <w:rFonts w:ascii="Times New Roman" w:hAnsi="Times New Roman" w:eastAsia="宋体" w:cs="Times New Roman"/>
      <w:sz w:val="24"/>
      <w:szCs w:val="24"/>
    </w:rPr>
  </w:style>
  <w:style w:type="paragraph" w:customStyle="1" w:styleId="117">
    <w:name w:val="目录 53"/>
    <w:basedOn w:val="1"/>
    <w:next w:val="1"/>
    <w:qFormat/>
    <w:uiPriority w:val="99"/>
    <w:pPr>
      <w:ind w:left="840"/>
    </w:pPr>
    <w:rPr>
      <w:rFonts w:ascii="Times New Roman" w:hAnsi="Times New Roman" w:eastAsia="宋体" w:cs="宋体"/>
      <w:color w:val="000000"/>
      <w:szCs w:val="24"/>
    </w:rPr>
  </w:style>
  <w:style w:type="character" w:customStyle="1" w:styleId="118">
    <w:name w:val="题注 Char Char"/>
    <w:link w:val="119"/>
    <w:qFormat/>
    <w:uiPriority w:val="0"/>
    <w:rPr>
      <w:rFonts w:ascii="Cambria" w:hAnsi="Cambria" w:eastAsia="黑体"/>
    </w:rPr>
  </w:style>
  <w:style w:type="paragraph" w:customStyle="1" w:styleId="119">
    <w:name w:val="题注1"/>
    <w:basedOn w:val="1"/>
    <w:next w:val="1"/>
    <w:link w:val="118"/>
    <w:qFormat/>
    <w:uiPriority w:val="0"/>
    <w:rPr>
      <w:rFonts w:ascii="Cambria" w:hAnsi="Cambria" w:eastAsia="黑体"/>
      <w:kern w:val="0"/>
      <w:sz w:val="20"/>
      <w:szCs w:val="20"/>
    </w:rPr>
  </w:style>
  <w:style w:type="character" w:customStyle="1" w:styleId="120">
    <w:name w:val="表格内文字 Char Char"/>
    <w:link w:val="121"/>
    <w:qFormat/>
    <w:uiPriority w:val="0"/>
    <w:rPr>
      <w:rFonts w:eastAsia="Times New Roman"/>
      <w:kern w:val="2"/>
      <w:sz w:val="24"/>
      <w:szCs w:val="24"/>
    </w:rPr>
  </w:style>
  <w:style w:type="paragraph" w:customStyle="1" w:styleId="121">
    <w:name w:val="表格内文字"/>
    <w:basedOn w:val="1"/>
    <w:link w:val="120"/>
    <w:qFormat/>
    <w:uiPriority w:val="0"/>
    <w:pPr>
      <w:tabs>
        <w:tab w:val="left" w:pos="0"/>
      </w:tabs>
      <w:adjustRightInd w:val="0"/>
      <w:snapToGrid w:val="0"/>
      <w:jc w:val="center"/>
    </w:pPr>
    <w:rPr>
      <w:rFonts w:eastAsia="Times New Roman"/>
      <w:sz w:val="24"/>
      <w:szCs w:val="24"/>
    </w:rPr>
  </w:style>
  <w:style w:type="character" w:customStyle="1" w:styleId="122">
    <w:name w:val="ca-191"/>
    <w:qFormat/>
    <w:uiPriority w:val="0"/>
    <w:rPr>
      <w:rFonts w:hint="eastAsia" w:ascii="宋体" w:hAnsi="宋体" w:eastAsia="宋体"/>
      <w:sz w:val="24"/>
      <w:szCs w:val="24"/>
    </w:rPr>
  </w:style>
  <w:style w:type="character" w:customStyle="1" w:styleId="123">
    <w:name w:val="font61"/>
    <w:qFormat/>
    <w:uiPriority w:val="0"/>
    <w:rPr>
      <w:rFonts w:hint="default" w:ascii="Times New Roman" w:hAnsi="Times New Roman" w:cs="Times New Roman"/>
      <w:b/>
      <w:color w:val="000000"/>
      <w:kern w:val="0"/>
      <w:sz w:val="21"/>
      <w:szCs w:val="21"/>
      <w:u w:val="none"/>
    </w:rPr>
  </w:style>
  <w:style w:type="character" w:customStyle="1" w:styleId="124">
    <w:name w:val="表头 Char Char"/>
    <w:link w:val="125"/>
    <w:qFormat/>
    <w:uiPriority w:val="0"/>
    <w:rPr>
      <w:rFonts w:hAnsi="宋体" w:eastAsia="宋体"/>
      <w:b/>
      <w:sz w:val="24"/>
      <w:szCs w:val="28"/>
    </w:rPr>
  </w:style>
  <w:style w:type="paragraph" w:customStyle="1" w:styleId="125">
    <w:name w:val="表头"/>
    <w:basedOn w:val="1"/>
    <w:link w:val="124"/>
    <w:qFormat/>
    <w:uiPriority w:val="0"/>
    <w:pPr>
      <w:adjustRightInd w:val="0"/>
      <w:snapToGrid w:val="0"/>
      <w:spacing w:beforeLines="0"/>
      <w:jc w:val="center"/>
      <w:textAlignment w:val="baseline"/>
    </w:pPr>
    <w:rPr>
      <w:rFonts w:hAnsi="宋体" w:eastAsia="宋体"/>
      <w:b/>
      <w:kern w:val="0"/>
      <w:sz w:val="24"/>
      <w:szCs w:val="28"/>
    </w:rPr>
  </w:style>
  <w:style w:type="character" w:customStyle="1" w:styleId="126">
    <w:name w:val="fontborder"/>
    <w:qFormat/>
    <w:uiPriority w:val="0"/>
    <w:rPr>
      <w:bdr w:val="single" w:color="000000" w:sz="6" w:space="0"/>
    </w:rPr>
  </w:style>
  <w:style w:type="character" w:customStyle="1" w:styleId="127">
    <w:name w:val="Char Char13"/>
    <w:qFormat/>
    <w:uiPriority w:val="0"/>
    <w:rPr>
      <w:rFonts w:ascii="Times New Roman" w:hAnsi="Times New Roman"/>
      <w:kern w:val="2"/>
      <w:sz w:val="21"/>
      <w:szCs w:val="24"/>
    </w:rPr>
  </w:style>
  <w:style w:type="character" w:customStyle="1" w:styleId="128">
    <w:name w:val="表格标题 Char"/>
    <w:qFormat/>
    <w:uiPriority w:val="0"/>
    <w:rPr>
      <w:rFonts w:eastAsia="宋体"/>
      <w:kern w:val="2"/>
      <w:sz w:val="24"/>
      <w:szCs w:val="24"/>
      <w:lang w:val="en-US" w:eastAsia="zh-CN" w:bidi="ar-SA"/>
    </w:rPr>
  </w:style>
  <w:style w:type="character" w:customStyle="1" w:styleId="129">
    <w:name w:val="font51"/>
    <w:qFormat/>
    <w:uiPriority w:val="0"/>
    <w:rPr>
      <w:rFonts w:hint="eastAsia" w:ascii="宋体" w:hAnsi="宋体" w:eastAsia="宋体" w:cs="宋体"/>
      <w:color w:val="000000"/>
      <w:kern w:val="0"/>
      <w:sz w:val="21"/>
      <w:szCs w:val="21"/>
      <w:u w:val="none"/>
    </w:rPr>
  </w:style>
  <w:style w:type="character" w:customStyle="1" w:styleId="130">
    <w:name w:val="正文调整 Char"/>
    <w:link w:val="131"/>
    <w:semiHidden/>
    <w:qFormat/>
    <w:uiPriority w:val="0"/>
    <w:rPr>
      <w:rFonts w:eastAsia="宋体"/>
      <w:kern w:val="2"/>
      <w:sz w:val="24"/>
      <w:szCs w:val="24"/>
    </w:rPr>
  </w:style>
  <w:style w:type="paragraph" w:customStyle="1" w:styleId="131">
    <w:name w:val="正文调整"/>
    <w:basedOn w:val="1"/>
    <w:link w:val="130"/>
    <w:semiHidden/>
    <w:qFormat/>
    <w:uiPriority w:val="0"/>
    <w:pPr>
      <w:spacing w:before="60" w:line="460" w:lineRule="atLeast"/>
      <w:ind w:firstLine="200" w:firstLineChars="200"/>
    </w:pPr>
    <w:rPr>
      <w:rFonts w:eastAsia="宋体"/>
      <w:sz w:val="24"/>
      <w:szCs w:val="24"/>
    </w:rPr>
  </w:style>
  <w:style w:type="character" w:customStyle="1" w:styleId="132">
    <w:name w:val="font41"/>
    <w:qFormat/>
    <w:uiPriority w:val="0"/>
    <w:rPr>
      <w:rFonts w:hint="default" w:ascii="Times New Roman" w:hAnsi="Times New Roman" w:cs="Times New Roman"/>
      <w:color w:val="000000"/>
      <w:sz w:val="21"/>
      <w:szCs w:val="21"/>
      <w:u w:val="none"/>
    </w:rPr>
  </w:style>
  <w:style w:type="character" w:customStyle="1" w:styleId="133">
    <w:name w:val="正文，小四 Char"/>
    <w:link w:val="134"/>
    <w:qFormat/>
    <w:uiPriority w:val="0"/>
    <w:rPr>
      <w:rFonts w:eastAsia="宋体"/>
      <w:kern w:val="2"/>
      <w:sz w:val="24"/>
      <w:szCs w:val="24"/>
    </w:rPr>
  </w:style>
  <w:style w:type="paragraph" w:customStyle="1" w:styleId="134">
    <w:name w:val="正文，小四"/>
    <w:basedOn w:val="1"/>
    <w:link w:val="133"/>
    <w:qFormat/>
    <w:uiPriority w:val="0"/>
    <w:pPr>
      <w:spacing w:line="360" w:lineRule="auto"/>
      <w:ind w:firstLine="480" w:firstLineChars="200"/>
    </w:pPr>
    <w:rPr>
      <w:rFonts w:eastAsia="宋体"/>
      <w:sz w:val="24"/>
      <w:szCs w:val="24"/>
    </w:rPr>
  </w:style>
  <w:style w:type="character" w:customStyle="1" w:styleId="135">
    <w:name w:val="正文1 Char1"/>
    <w:link w:val="136"/>
    <w:qFormat/>
    <w:uiPriority w:val="0"/>
    <w:rPr>
      <w:rFonts w:eastAsia="Times New Roman"/>
      <w:sz w:val="32"/>
    </w:rPr>
  </w:style>
  <w:style w:type="paragraph" w:customStyle="1" w:styleId="136">
    <w:name w:val="正文1"/>
    <w:basedOn w:val="1"/>
    <w:link w:val="135"/>
    <w:qFormat/>
    <w:uiPriority w:val="0"/>
    <w:pPr>
      <w:adjustRightInd w:val="0"/>
      <w:spacing w:line="288" w:lineRule="auto"/>
      <w:ind w:firstLine="618" w:firstLineChars="200"/>
      <w:textAlignment w:val="baseline"/>
    </w:pPr>
    <w:rPr>
      <w:rFonts w:eastAsia="Times New Roman"/>
      <w:kern w:val="0"/>
      <w:sz w:val="32"/>
      <w:szCs w:val="20"/>
    </w:rPr>
  </w:style>
  <w:style w:type="character" w:customStyle="1" w:styleId="137">
    <w:name w:val="正文内容 Char Char"/>
    <w:link w:val="138"/>
    <w:qFormat/>
    <w:uiPriority w:val="0"/>
    <w:rPr>
      <w:kern w:val="2"/>
      <w:sz w:val="24"/>
      <w:szCs w:val="24"/>
    </w:rPr>
  </w:style>
  <w:style w:type="paragraph" w:customStyle="1" w:styleId="138">
    <w:name w:val="正文内容"/>
    <w:basedOn w:val="1"/>
    <w:link w:val="137"/>
    <w:qFormat/>
    <w:uiPriority w:val="0"/>
    <w:pPr>
      <w:spacing w:line="360" w:lineRule="auto"/>
      <w:ind w:firstLine="200" w:firstLineChars="200"/>
      <w:jc w:val="left"/>
    </w:pPr>
    <w:rPr>
      <w:sz w:val="24"/>
      <w:szCs w:val="24"/>
    </w:rPr>
  </w:style>
  <w:style w:type="character" w:customStyle="1" w:styleId="139">
    <w:name w:val="font112"/>
    <w:qFormat/>
    <w:uiPriority w:val="0"/>
    <w:rPr>
      <w:rFonts w:hint="default" w:ascii="Times New Roman" w:hAnsi="Times New Roman" w:cs="Times New Roman"/>
      <w:color w:val="000000"/>
      <w:kern w:val="0"/>
      <w:sz w:val="21"/>
      <w:szCs w:val="21"/>
      <w:u w:val="none"/>
    </w:rPr>
  </w:style>
  <w:style w:type="character" w:customStyle="1" w:styleId="140">
    <w:name w:val="font21"/>
    <w:qFormat/>
    <w:uiPriority w:val="0"/>
    <w:rPr>
      <w:rFonts w:hint="default" w:ascii="Times New Roman" w:hAnsi="Times New Roman" w:cs="Times New Roman"/>
      <w:color w:val="000000"/>
      <w:sz w:val="21"/>
      <w:szCs w:val="21"/>
      <w:u w:val="none"/>
    </w:rPr>
  </w:style>
  <w:style w:type="character" w:customStyle="1" w:styleId="141">
    <w:name w:val="文档结构图 字符1"/>
    <w:semiHidden/>
    <w:qFormat/>
    <w:uiPriority w:val="0"/>
    <w:rPr>
      <w:rFonts w:hint="eastAsia" w:ascii="Microsoft YaHei UI" w:hAnsi="Microsoft YaHei UI" w:eastAsia="Microsoft YaHei UI" w:cs="黑体"/>
      <w:kern w:val="2"/>
      <w:sz w:val="18"/>
      <w:szCs w:val="18"/>
    </w:rPr>
  </w:style>
  <w:style w:type="character" w:customStyle="1" w:styleId="142">
    <w:name w:val="不明显参考1"/>
    <w:qFormat/>
    <w:uiPriority w:val="31"/>
    <w:rPr>
      <w:smallCaps/>
      <w:color w:val="3F3F3F"/>
      <w:u w:val="single" w:color="7E7E7E"/>
    </w:rPr>
  </w:style>
  <w:style w:type="character" w:customStyle="1" w:styleId="143">
    <w:name w:val="明显参考1"/>
    <w:qFormat/>
    <w:uiPriority w:val="32"/>
    <w:rPr>
      <w:b/>
      <w:bCs/>
      <w:smallCaps/>
      <w:u w:val="single"/>
    </w:rPr>
  </w:style>
  <w:style w:type="character" w:customStyle="1" w:styleId="144">
    <w:name w:val="三级标题 Char"/>
    <w:link w:val="145"/>
    <w:qFormat/>
    <w:uiPriority w:val="0"/>
    <w:rPr>
      <w:rFonts w:eastAsia="宋体"/>
      <w:b/>
      <w:sz w:val="24"/>
      <w:szCs w:val="24"/>
    </w:rPr>
  </w:style>
  <w:style w:type="paragraph" w:customStyle="1" w:styleId="145">
    <w:name w:val="三级标题"/>
    <w:basedOn w:val="146"/>
    <w:link w:val="144"/>
    <w:qFormat/>
    <w:uiPriority w:val="0"/>
    <w:pPr>
      <w:spacing w:before="260"/>
      <w:ind w:firstLine="0" w:firstLineChars="0"/>
      <w:jc w:val="left"/>
      <w:outlineLvl w:val="2"/>
    </w:pPr>
    <w:rPr>
      <w:rFonts w:ascii="等线" w:hAnsi="等线"/>
      <w:b/>
      <w:kern w:val="0"/>
    </w:rPr>
  </w:style>
  <w:style w:type="paragraph" w:customStyle="1" w:styleId="146">
    <w:name w:val="正文01"/>
    <w:basedOn w:val="1"/>
    <w:link w:val="147"/>
    <w:qFormat/>
    <w:uiPriority w:val="0"/>
    <w:pPr>
      <w:spacing w:before="60" w:line="460" w:lineRule="exact"/>
      <w:ind w:firstLine="200" w:firstLineChars="200"/>
    </w:pPr>
    <w:rPr>
      <w:rFonts w:ascii="Calibri" w:hAnsi="Calibri" w:eastAsia="宋体"/>
      <w:sz w:val="24"/>
      <w:szCs w:val="24"/>
    </w:rPr>
  </w:style>
  <w:style w:type="character" w:customStyle="1" w:styleId="147">
    <w:name w:val="正文01 Char"/>
    <w:link w:val="146"/>
    <w:qFormat/>
    <w:uiPriority w:val="0"/>
    <w:rPr>
      <w:rFonts w:ascii="Calibri" w:hAnsi="Calibri" w:eastAsia="宋体"/>
      <w:kern w:val="2"/>
      <w:sz w:val="24"/>
      <w:szCs w:val="24"/>
    </w:rPr>
  </w:style>
  <w:style w:type="character" w:customStyle="1" w:styleId="148">
    <w:name w:val="正文文本 字符"/>
    <w:semiHidden/>
    <w:qFormat/>
    <w:uiPriority w:val="99"/>
    <w:rPr>
      <w:rFonts w:ascii="Calibri" w:hAnsi="Calibri" w:cs="黑体"/>
      <w:kern w:val="2"/>
      <w:sz w:val="24"/>
      <w:szCs w:val="22"/>
    </w:rPr>
  </w:style>
  <w:style w:type="character" w:customStyle="1" w:styleId="149">
    <w:name w:val="4标题无段前4磅 Char"/>
    <w:link w:val="150"/>
    <w:qFormat/>
    <w:locked/>
    <w:uiPriority w:val="0"/>
    <w:rPr>
      <w:b/>
      <w:bCs/>
      <w:color w:val="000000"/>
      <w:sz w:val="24"/>
    </w:rPr>
  </w:style>
  <w:style w:type="paragraph" w:customStyle="1" w:styleId="150">
    <w:name w:val="4标题无段前4磅"/>
    <w:basedOn w:val="1"/>
    <w:link w:val="149"/>
    <w:qFormat/>
    <w:uiPriority w:val="0"/>
    <w:pPr>
      <w:adjustRightInd w:val="0"/>
      <w:snapToGrid w:val="0"/>
      <w:spacing w:line="360" w:lineRule="auto"/>
      <w:ind w:left="20" w:leftChars="0" w:right="20" w:rightChars="20"/>
    </w:pPr>
    <w:rPr>
      <w:b/>
      <w:bCs/>
      <w:color w:val="000000"/>
      <w:kern w:val="0"/>
      <w:sz w:val="24"/>
      <w:szCs w:val="20"/>
    </w:rPr>
  </w:style>
  <w:style w:type="character" w:customStyle="1" w:styleId="151">
    <w:name w:val="font71"/>
    <w:qFormat/>
    <w:uiPriority w:val="0"/>
    <w:rPr>
      <w:rFonts w:hint="eastAsia" w:ascii="宋体" w:hAnsi="宋体" w:eastAsia="宋体" w:cs="宋体"/>
      <w:color w:val="000000"/>
      <w:kern w:val="0"/>
      <w:sz w:val="21"/>
      <w:szCs w:val="21"/>
      <w:u w:val="none"/>
    </w:rPr>
  </w:style>
  <w:style w:type="character" w:customStyle="1" w:styleId="152">
    <w:name w:val="font11"/>
    <w:qFormat/>
    <w:uiPriority w:val="0"/>
    <w:rPr>
      <w:rFonts w:hint="default" w:ascii="Times New Roman" w:hAnsi="Times New Roman" w:cs="Times New Roman"/>
      <w:color w:val="000000"/>
      <w:sz w:val="22"/>
      <w:szCs w:val="22"/>
      <w:u w:val="none"/>
    </w:rPr>
  </w:style>
  <w:style w:type="character" w:customStyle="1" w:styleId="153">
    <w:name w:val="font101"/>
    <w:qFormat/>
    <w:uiPriority w:val="0"/>
    <w:rPr>
      <w:rFonts w:hint="eastAsia" w:ascii="宋体" w:hAnsi="宋体" w:eastAsia="宋体" w:cs="宋体"/>
      <w:color w:val="0000FF"/>
      <w:kern w:val="0"/>
      <w:sz w:val="21"/>
      <w:szCs w:val="21"/>
      <w:u w:val="none"/>
    </w:rPr>
  </w:style>
  <w:style w:type="character" w:customStyle="1" w:styleId="154">
    <w:name w:val="ca-131"/>
    <w:qFormat/>
    <w:uiPriority w:val="0"/>
    <w:rPr>
      <w:rFonts w:hint="default" w:ascii="Times New Roman" w:hAnsi="Times New Roman" w:cs="Times New Roman"/>
      <w:sz w:val="24"/>
      <w:szCs w:val="24"/>
    </w:rPr>
  </w:style>
  <w:style w:type="character" w:customStyle="1" w:styleId="155">
    <w:name w:val="引用 Char"/>
    <w:qFormat/>
    <w:uiPriority w:val="29"/>
    <w:rPr>
      <w:i/>
      <w:iCs/>
      <w:color w:val="000000"/>
      <w:sz w:val="22"/>
      <w:szCs w:val="22"/>
    </w:rPr>
  </w:style>
  <w:style w:type="paragraph" w:styleId="156">
    <w:name w:val="Quote"/>
    <w:basedOn w:val="1"/>
    <w:next w:val="1"/>
    <w:link w:val="157"/>
    <w:qFormat/>
    <w:uiPriority w:val="29"/>
    <w:pPr>
      <w:widowControl/>
      <w:spacing w:before="160" w:after="160" w:line="259" w:lineRule="auto"/>
      <w:ind w:left="720" w:right="720"/>
      <w:jc w:val="left"/>
    </w:pPr>
    <w:rPr>
      <w:i/>
      <w:iCs/>
      <w:color w:val="000000"/>
    </w:rPr>
  </w:style>
  <w:style w:type="character" w:customStyle="1" w:styleId="157">
    <w:name w:val="引用 字符"/>
    <w:link w:val="156"/>
    <w:qFormat/>
    <w:uiPriority w:val="29"/>
    <w:rPr>
      <w:i/>
      <w:iCs/>
      <w:color w:val="000000"/>
      <w:kern w:val="2"/>
      <w:sz w:val="21"/>
      <w:szCs w:val="22"/>
    </w:rPr>
  </w:style>
  <w:style w:type="character" w:customStyle="1" w:styleId="158">
    <w:name w:val="博泵1 Char Char"/>
    <w:link w:val="159"/>
    <w:qFormat/>
    <w:uiPriority w:val="0"/>
    <w:rPr>
      <w:rFonts w:hAnsi="宋体"/>
      <w:color w:val="000000"/>
      <w:sz w:val="24"/>
    </w:rPr>
  </w:style>
  <w:style w:type="paragraph" w:customStyle="1" w:styleId="159">
    <w:name w:val="博泵1"/>
    <w:basedOn w:val="1"/>
    <w:link w:val="158"/>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160">
    <w:name w:val="正文缩进 Char"/>
    <w:qFormat/>
    <w:uiPriority w:val="0"/>
    <w:rPr>
      <w:rFonts w:eastAsia="宋体"/>
      <w:kern w:val="2"/>
      <w:sz w:val="24"/>
      <w:lang w:val="en-US" w:eastAsia="zh-CN" w:bidi="ar-SA"/>
    </w:rPr>
  </w:style>
  <w:style w:type="character" w:customStyle="1" w:styleId="161">
    <w:name w:val="标题 3级 Char"/>
    <w:link w:val="162"/>
    <w:qFormat/>
    <w:uiPriority w:val="0"/>
    <w:rPr>
      <w:b/>
      <w:bCs/>
      <w:sz w:val="24"/>
      <w:szCs w:val="28"/>
      <w:lang w:val="en-US" w:eastAsia="zh-CN" w:bidi="ar-SA"/>
    </w:rPr>
  </w:style>
  <w:style w:type="paragraph" w:customStyle="1" w:styleId="162">
    <w:name w:val="标题 3级"/>
    <w:link w:val="161"/>
    <w:qFormat/>
    <w:uiPriority w:val="0"/>
    <w:pPr>
      <w:keepNext/>
      <w:keepLines/>
      <w:spacing w:before="120" w:after="120" w:line="500" w:lineRule="exact"/>
      <w:jc w:val="both"/>
      <w:outlineLvl w:val="2"/>
    </w:pPr>
    <w:rPr>
      <w:rFonts w:ascii="Times New Roman" w:hAnsi="Times New Roman" w:eastAsia="宋体" w:cs="Times New Roman"/>
      <w:b/>
      <w:bCs/>
      <w:sz w:val="24"/>
      <w:szCs w:val="28"/>
      <w:lang w:val="en-US" w:eastAsia="zh-CN" w:bidi="ar-SA"/>
    </w:rPr>
  </w:style>
  <w:style w:type="character" w:customStyle="1" w:styleId="163">
    <w:name w:val="正文（首行缩进两字） Char Char2"/>
    <w:qFormat/>
    <w:uiPriority w:val="0"/>
    <w:rPr>
      <w:rFonts w:ascii="Times New Roman" w:hAnsi="Times New Roman"/>
      <w:kern w:val="2"/>
      <w:sz w:val="21"/>
      <w:szCs w:val="24"/>
    </w:rPr>
  </w:style>
  <w:style w:type="character" w:customStyle="1" w:styleId="164">
    <w:name w:val="正文01 Char1"/>
    <w:qFormat/>
    <w:uiPriority w:val="0"/>
    <w:rPr>
      <w:kern w:val="2"/>
      <w:sz w:val="24"/>
      <w:szCs w:val="24"/>
    </w:rPr>
  </w:style>
  <w:style w:type="character" w:customStyle="1" w:styleId="165">
    <w:name w:val="表格 标题 Char"/>
    <w:link w:val="166"/>
    <w:qFormat/>
    <w:uiPriority w:val="0"/>
    <w:rPr>
      <w:b/>
      <w:kern w:val="2"/>
      <w:sz w:val="24"/>
      <w:szCs w:val="24"/>
      <w:lang w:val="en-US" w:eastAsia="zh-CN" w:bidi="ar-SA"/>
    </w:rPr>
  </w:style>
  <w:style w:type="paragraph" w:customStyle="1" w:styleId="166">
    <w:name w:val="表格 标题"/>
    <w:link w:val="165"/>
    <w:qFormat/>
    <w:uiPriority w:val="0"/>
    <w:pPr>
      <w:snapToGrid w:val="0"/>
      <w:spacing w:beforeLines="0" w:afterLines="0" w:line="500" w:lineRule="exact"/>
      <w:jc w:val="center"/>
    </w:pPr>
    <w:rPr>
      <w:rFonts w:ascii="Times New Roman" w:hAnsi="Times New Roman" w:eastAsia="宋体" w:cs="Times New Roman"/>
      <w:b/>
      <w:kern w:val="2"/>
      <w:sz w:val="24"/>
      <w:szCs w:val="24"/>
      <w:lang w:val="en-US" w:eastAsia="zh-CN" w:bidi="ar-SA"/>
    </w:rPr>
  </w:style>
  <w:style w:type="character" w:customStyle="1" w:styleId="167">
    <w:name w:val="批注文字 字符1"/>
    <w:semiHidden/>
    <w:qFormat/>
    <w:uiPriority w:val="0"/>
    <w:rPr>
      <w:rFonts w:hint="eastAsia" w:ascii="黑体" w:hAnsi="黑体" w:eastAsia="黑体" w:cs="黑体"/>
      <w:kern w:val="2"/>
      <w:sz w:val="24"/>
      <w:szCs w:val="22"/>
    </w:rPr>
  </w:style>
  <w:style w:type="character" w:customStyle="1" w:styleId="168">
    <w:name w:val="表格下方正文 Char1"/>
    <w:link w:val="169"/>
    <w:qFormat/>
    <w:uiPriority w:val="0"/>
    <w:rPr>
      <w:rFonts w:eastAsia="宋体"/>
      <w:kern w:val="2"/>
      <w:sz w:val="24"/>
      <w:szCs w:val="24"/>
    </w:rPr>
  </w:style>
  <w:style w:type="paragraph" w:customStyle="1" w:styleId="169">
    <w:name w:val="表格下方正文"/>
    <w:basedOn w:val="1"/>
    <w:link w:val="168"/>
    <w:qFormat/>
    <w:uiPriority w:val="0"/>
    <w:pPr>
      <w:spacing w:before="260" w:line="460" w:lineRule="exact"/>
      <w:ind w:firstLine="200" w:firstLineChars="200"/>
    </w:pPr>
    <w:rPr>
      <w:rFonts w:eastAsia="宋体"/>
      <w:sz w:val="24"/>
      <w:szCs w:val="24"/>
    </w:rPr>
  </w:style>
  <w:style w:type="character" w:customStyle="1" w:styleId="170">
    <w:name w:val="报告书 正文 Char"/>
    <w:link w:val="171"/>
    <w:qFormat/>
    <w:locked/>
    <w:uiPriority w:val="0"/>
    <w:rPr>
      <w:rFonts w:ascii="Times New Roman" w:hAnsi="Times New Roman"/>
      <w:kern w:val="2"/>
      <w:sz w:val="24"/>
      <w:szCs w:val="24"/>
      <w:lang w:val="en-US" w:eastAsia="zh-CN" w:bidi="ar-SA"/>
    </w:rPr>
  </w:style>
  <w:style w:type="paragraph" w:customStyle="1" w:styleId="171">
    <w:name w:val="报告书 正文"/>
    <w:link w:val="170"/>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72">
    <w:name w:val="表格文字 Char Char"/>
    <w:link w:val="173"/>
    <w:qFormat/>
    <w:uiPriority w:val="0"/>
    <w:rPr>
      <w:rFonts w:ascii="Times New Roman" w:hAnsi="Arial Black" w:eastAsia="Times New Roman"/>
      <w:kern w:val="44"/>
      <w:sz w:val="24"/>
    </w:rPr>
  </w:style>
  <w:style w:type="paragraph" w:customStyle="1" w:styleId="173">
    <w:name w:val="表格文字"/>
    <w:basedOn w:val="18"/>
    <w:link w:val="172"/>
    <w:qFormat/>
    <w:uiPriority w:val="0"/>
    <w:pPr>
      <w:spacing w:line="360" w:lineRule="auto"/>
      <w:ind w:firstLine="200" w:firstLineChars="200"/>
      <w:jc w:val="center"/>
    </w:pPr>
    <w:rPr>
      <w:rFonts w:ascii="Times New Roman" w:hAnsi="Arial Black" w:eastAsia="Times New Roman"/>
      <w:kern w:val="44"/>
      <w:sz w:val="24"/>
      <w:szCs w:val="20"/>
    </w:rPr>
  </w:style>
  <w:style w:type="character" w:customStyle="1" w:styleId="174">
    <w:name w:val="A正文 Char"/>
    <w:link w:val="175"/>
    <w:qFormat/>
    <w:uiPriority w:val="0"/>
    <w:rPr>
      <w:rFonts w:ascii="宋体" w:hAnsi="宋体"/>
      <w:sz w:val="24"/>
      <w:szCs w:val="22"/>
    </w:rPr>
  </w:style>
  <w:style w:type="paragraph" w:customStyle="1" w:styleId="175">
    <w:name w:val="A正文"/>
    <w:basedOn w:val="1"/>
    <w:link w:val="174"/>
    <w:qFormat/>
    <w:uiPriority w:val="0"/>
    <w:pPr>
      <w:widowControl/>
      <w:spacing w:line="360" w:lineRule="auto"/>
      <w:ind w:firstLine="480" w:firstLineChars="200"/>
      <w:jc w:val="left"/>
    </w:pPr>
    <w:rPr>
      <w:rFonts w:ascii="宋体" w:hAnsi="宋体"/>
      <w:kern w:val="0"/>
      <w:sz w:val="24"/>
    </w:rPr>
  </w:style>
  <w:style w:type="character" w:customStyle="1" w:styleId="176">
    <w:name w:val="4biaoge neibu Char"/>
    <w:link w:val="177"/>
    <w:qFormat/>
    <w:uiPriority w:val="0"/>
    <w:rPr>
      <w:rFonts w:cs="黑体"/>
      <w:kern w:val="2"/>
      <w:sz w:val="21"/>
      <w:szCs w:val="16"/>
    </w:rPr>
  </w:style>
  <w:style w:type="paragraph" w:customStyle="1" w:styleId="177">
    <w:name w:val="4biaoge neibu"/>
    <w:basedOn w:val="1"/>
    <w:link w:val="176"/>
    <w:qFormat/>
    <w:uiPriority w:val="0"/>
    <w:pPr>
      <w:jc w:val="center"/>
    </w:pPr>
    <w:rPr>
      <w:szCs w:val="16"/>
    </w:rPr>
  </w:style>
  <w:style w:type="character" w:customStyle="1" w:styleId="178">
    <w:name w:val="3下1 Char"/>
    <w:link w:val="179"/>
    <w:qFormat/>
    <w:uiPriority w:val="0"/>
    <w:rPr>
      <w:b/>
      <w:kern w:val="2"/>
      <w:sz w:val="24"/>
      <w:szCs w:val="24"/>
    </w:rPr>
  </w:style>
  <w:style w:type="paragraph" w:customStyle="1" w:styleId="179">
    <w:name w:val="3下1"/>
    <w:basedOn w:val="1"/>
    <w:next w:val="1"/>
    <w:link w:val="178"/>
    <w:qFormat/>
    <w:uiPriority w:val="0"/>
    <w:pPr>
      <w:tabs>
        <w:tab w:val="left" w:pos="842"/>
      </w:tabs>
      <w:spacing w:line="360" w:lineRule="auto"/>
      <w:ind w:left="640" w:hanging="360"/>
    </w:pPr>
    <w:rPr>
      <w:b/>
      <w:sz w:val="24"/>
      <w:szCs w:val="24"/>
    </w:rPr>
  </w:style>
  <w:style w:type="character" w:customStyle="1" w:styleId="180">
    <w:name w:val="Char Char"/>
    <w:qFormat/>
    <w:uiPriority w:val="0"/>
    <w:rPr>
      <w:kern w:val="2"/>
      <w:sz w:val="18"/>
      <w:szCs w:val="18"/>
    </w:rPr>
  </w:style>
  <w:style w:type="character" w:customStyle="1" w:styleId="181">
    <w:name w:val="样式1 Char Char"/>
    <w:link w:val="182"/>
    <w:qFormat/>
    <w:uiPriority w:val="0"/>
    <w:rPr>
      <w:sz w:val="24"/>
      <w:szCs w:val="24"/>
    </w:rPr>
  </w:style>
  <w:style w:type="paragraph" w:customStyle="1" w:styleId="182">
    <w:name w:val="样式1"/>
    <w:basedOn w:val="1"/>
    <w:link w:val="181"/>
    <w:qFormat/>
    <w:uiPriority w:val="0"/>
    <w:pPr>
      <w:tabs>
        <w:tab w:val="left" w:pos="0"/>
        <w:tab w:val="left" w:pos="562"/>
      </w:tabs>
      <w:spacing w:line="440" w:lineRule="exact"/>
      <w:ind w:firstLine="400"/>
    </w:pPr>
    <w:rPr>
      <w:kern w:val="0"/>
      <w:sz w:val="24"/>
      <w:szCs w:val="24"/>
    </w:rPr>
  </w:style>
  <w:style w:type="character" w:customStyle="1" w:styleId="183">
    <w:name w:val="表格下方正文 Char"/>
    <w:semiHidden/>
    <w:qFormat/>
    <w:uiPriority w:val="0"/>
    <w:rPr>
      <w:rFonts w:eastAsia="宋体"/>
      <w:kern w:val="2"/>
      <w:sz w:val="24"/>
      <w:lang w:val="en-US" w:eastAsia="zh-CN" w:bidi="ar-SA"/>
    </w:rPr>
  </w:style>
  <w:style w:type="character" w:customStyle="1" w:styleId="184">
    <w:name w:val="font31"/>
    <w:qFormat/>
    <w:uiPriority w:val="0"/>
    <w:rPr>
      <w:rFonts w:hint="eastAsia" w:ascii="黑体" w:hAnsi="宋体" w:eastAsia="黑体" w:cs="黑体"/>
      <w:color w:val="000000"/>
      <w:sz w:val="16"/>
      <w:szCs w:val="16"/>
      <w:u w:val="none"/>
    </w:rPr>
  </w:style>
  <w:style w:type="character" w:customStyle="1" w:styleId="185">
    <w:name w:val="2级标题 Char"/>
    <w:link w:val="186"/>
    <w:qFormat/>
    <w:uiPriority w:val="0"/>
    <w:rPr>
      <w:rFonts w:eastAsia="宋体"/>
      <w:b/>
      <w:kern w:val="2"/>
      <w:sz w:val="28"/>
      <w:szCs w:val="24"/>
    </w:rPr>
  </w:style>
  <w:style w:type="paragraph" w:customStyle="1" w:styleId="186">
    <w:name w:val="2级标题"/>
    <w:basedOn w:val="1"/>
    <w:link w:val="185"/>
    <w:qFormat/>
    <w:uiPriority w:val="0"/>
    <w:pPr>
      <w:spacing w:before="60" w:line="460" w:lineRule="exact"/>
      <w:outlineLvl w:val="1"/>
    </w:pPr>
    <w:rPr>
      <w:rFonts w:eastAsia="宋体"/>
      <w:b/>
      <w:sz w:val="28"/>
      <w:szCs w:val="24"/>
    </w:rPr>
  </w:style>
  <w:style w:type="character" w:customStyle="1" w:styleId="187">
    <w:name w:val="不明显强调1"/>
    <w:qFormat/>
    <w:uiPriority w:val="19"/>
    <w:rPr>
      <w:i/>
      <w:iCs/>
      <w:color w:val="3F3F3F"/>
    </w:rPr>
  </w:style>
  <w:style w:type="character" w:customStyle="1" w:styleId="188">
    <w:name w:val="表格 普通文字 Char"/>
    <w:link w:val="189"/>
    <w:qFormat/>
    <w:uiPriority w:val="0"/>
    <w:rPr>
      <w:rFonts w:ascii="Times New Roman" w:hAnsi="Times New Roman" w:eastAsia="Times New Roman"/>
      <w:kern w:val="2"/>
      <w:sz w:val="21"/>
      <w:szCs w:val="21"/>
      <w:lang w:val="en-US" w:eastAsia="zh-CN" w:bidi="ar-SA"/>
    </w:rPr>
  </w:style>
  <w:style w:type="paragraph" w:customStyle="1" w:styleId="189">
    <w:name w:val="表格 普通文字"/>
    <w:link w:val="188"/>
    <w:qFormat/>
    <w:uiPriority w:val="0"/>
    <w:pPr>
      <w:jc w:val="center"/>
    </w:pPr>
    <w:rPr>
      <w:rFonts w:ascii="Times New Roman" w:hAnsi="Times New Roman" w:eastAsia="Times New Roman" w:cs="Times New Roman"/>
      <w:kern w:val="2"/>
      <w:sz w:val="21"/>
      <w:szCs w:val="21"/>
      <w:lang w:val="en-US" w:eastAsia="zh-CN" w:bidi="ar-SA"/>
    </w:rPr>
  </w:style>
  <w:style w:type="character" w:customStyle="1" w:styleId="190">
    <w:name w:val="书籍标题1"/>
    <w:qFormat/>
    <w:uiPriority w:val="33"/>
    <w:rPr>
      <w:smallCaps/>
      <w:spacing w:val="5"/>
    </w:rPr>
  </w:style>
  <w:style w:type="character" w:customStyle="1" w:styleId="191">
    <w:name w:val="fontstrikethrough"/>
    <w:qFormat/>
    <w:uiPriority w:val="0"/>
    <w:rPr>
      <w:strike/>
    </w:rPr>
  </w:style>
  <w:style w:type="character" w:customStyle="1" w:styleId="192">
    <w:name w:val="字体 Char"/>
    <w:link w:val="193"/>
    <w:qFormat/>
    <w:uiPriority w:val="0"/>
    <w:rPr>
      <w:kern w:val="2"/>
      <w:sz w:val="21"/>
      <w:szCs w:val="22"/>
    </w:rPr>
  </w:style>
  <w:style w:type="paragraph" w:customStyle="1" w:styleId="193">
    <w:name w:val="字体"/>
    <w:basedOn w:val="1"/>
    <w:link w:val="192"/>
    <w:qFormat/>
    <w:uiPriority w:val="0"/>
    <w:pPr>
      <w:spacing w:line="360" w:lineRule="auto"/>
    </w:pPr>
  </w:style>
  <w:style w:type="character" w:customStyle="1" w:styleId="194">
    <w:name w:val="标题 4级 Char"/>
    <w:link w:val="195"/>
    <w:qFormat/>
    <w:uiPriority w:val="99"/>
    <w:rPr>
      <w:b/>
      <w:kern w:val="2"/>
      <w:sz w:val="24"/>
      <w:szCs w:val="24"/>
      <w:lang w:val="en-US" w:eastAsia="zh-CN" w:bidi="ar-SA"/>
    </w:rPr>
  </w:style>
  <w:style w:type="paragraph" w:customStyle="1" w:styleId="195">
    <w:name w:val="标题 4级"/>
    <w:link w:val="194"/>
    <w:qFormat/>
    <w:uiPriority w:val="99"/>
    <w:pPr>
      <w:spacing w:after="160" w:line="500" w:lineRule="exact"/>
      <w:outlineLvl w:val="3"/>
    </w:pPr>
    <w:rPr>
      <w:rFonts w:ascii="Times New Roman" w:hAnsi="Times New Roman" w:eastAsia="宋体" w:cs="Times New Roman"/>
      <w:b/>
      <w:kern w:val="2"/>
      <w:sz w:val="24"/>
      <w:szCs w:val="24"/>
      <w:lang w:val="en-US" w:eastAsia="zh-CN" w:bidi="ar-SA"/>
    </w:rPr>
  </w:style>
  <w:style w:type="character" w:customStyle="1" w:styleId="196">
    <w:name w:val="表格 首行文字 Char"/>
    <w:link w:val="197"/>
    <w:qFormat/>
    <w:uiPriority w:val="0"/>
    <w:rPr>
      <w:rFonts w:ascii="Times New Roman" w:hAnsi="Times New Roman"/>
      <w:b/>
      <w:kern w:val="2"/>
      <w:sz w:val="21"/>
      <w:szCs w:val="22"/>
      <w:lang w:val="en-US" w:eastAsia="zh-CN" w:bidi="ar-SA"/>
    </w:rPr>
  </w:style>
  <w:style w:type="paragraph" w:customStyle="1" w:styleId="197">
    <w:name w:val="表格 首行文字"/>
    <w:link w:val="196"/>
    <w:qFormat/>
    <w:uiPriority w:val="0"/>
    <w:pPr>
      <w:snapToGrid w:val="0"/>
      <w:jc w:val="center"/>
    </w:pPr>
    <w:rPr>
      <w:rFonts w:ascii="Times New Roman" w:hAnsi="Times New Roman" w:eastAsia="宋体" w:cs="Times New Roman"/>
      <w:b/>
      <w:kern w:val="2"/>
      <w:sz w:val="21"/>
      <w:szCs w:val="22"/>
      <w:lang w:val="en-US" w:eastAsia="zh-CN" w:bidi="ar-SA"/>
    </w:rPr>
  </w:style>
  <w:style w:type="character" w:customStyle="1" w:styleId="198">
    <w:name w:val="apple-style-span"/>
    <w:basedOn w:val="52"/>
    <w:qFormat/>
    <w:uiPriority w:val="0"/>
  </w:style>
  <w:style w:type="character" w:customStyle="1" w:styleId="199">
    <w:name w:val="样式123 Char"/>
    <w:link w:val="200"/>
    <w:qFormat/>
    <w:uiPriority w:val="0"/>
    <w:rPr>
      <w:rFonts w:ascii="Times New Roman" w:hAnsi="Times New Roman" w:eastAsia="宋体"/>
    </w:rPr>
  </w:style>
  <w:style w:type="paragraph" w:customStyle="1" w:styleId="200">
    <w:name w:val="样式123"/>
    <w:basedOn w:val="44"/>
    <w:link w:val="199"/>
    <w:qFormat/>
    <w:uiPriority w:val="0"/>
    <w:pPr>
      <w:spacing w:before="0" w:beforeAutospacing="0" w:after="0" w:afterAutospacing="0" w:line="360" w:lineRule="auto"/>
      <w:ind w:firstLine="480" w:firstLineChars="200"/>
    </w:pPr>
    <w:rPr>
      <w:rFonts w:ascii="Times New Roman" w:hAnsi="Times New Roman"/>
      <w:sz w:val="20"/>
      <w:szCs w:val="20"/>
    </w:rPr>
  </w:style>
  <w:style w:type="character" w:customStyle="1" w:styleId="201">
    <w:name w:val="标题 2 Char Char"/>
    <w:qFormat/>
    <w:uiPriority w:val="0"/>
    <w:rPr>
      <w:rFonts w:ascii="Times New Roman" w:hAnsi="Times New Roman" w:eastAsia="宋体" w:cs="Arial"/>
      <w:b/>
      <w:kern w:val="2"/>
      <w:sz w:val="28"/>
      <w:szCs w:val="32"/>
      <w:lang w:val="en-US" w:eastAsia="zh-CN" w:bidi="ar-SA"/>
    </w:rPr>
  </w:style>
  <w:style w:type="character" w:customStyle="1" w:styleId="202">
    <w:name w:val="批注框文本 字符1"/>
    <w:semiHidden/>
    <w:qFormat/>
    <w:uiPriority w:val="0"/>
    <w:rPr>
      <w:rFonts w:hint="eastAsia" w:ascii="黑体" w:hAnsi="黑体" w:eastAsia="黑体" w:cs="黑体"/>
      <w:kern w:val="2"/>
      <w:sz w:val="18"/>
      <w:szCs w:val="18"/>
    </w:rPr>
  </w:style>
  <w:style w:type="character" w:customStyle="1" w:styleId="203">
    <w:name w:val="4zhengwen Char"/>
    <w:link w:val="204"/>
    <w:qFormat/>
    <w:uiPriority w:val="0"/>
    <w:rPr>
      <w:kern w:val="2"/>
      <w:sz w:val="24"/>
      <w:szCs w:val="24"/>
    </w:rPr>
  </w:style>
  <w:style w:type="paragraph" w:customStyle="1" w:styleId="204">
    <w:name w:val="4zhengwen"/>
    <w:basedOn w:val="1"/>
    <w:link w:val="203"/>
    <w:qFormat/>
    <w:uiPriority w:val="0"/>
    <w:pPr>
      <w:spacing w:line="360" w:lineRule="auto"/>
      <w:ind w:firstLine="200" w:firstLineChars="200"/>
    </w:pPr>
    <w:rPr>
      <w:sz w:val="24"/>
      <w:szCs w:val="24"/>
    </w:rPr>
  </w:style>
  <w:style w:type="character" w:customStyle="1" w:styleId="205">
    <w:name w:val="正文001 Char Char"/>
    <w:link w:val="206"/>
    <w:qFormat/>
    <w:uiPriority w:val="0"/>
    <w:rPr>
      <w:sz w:val="24"/>
    </w:rPr>
  </w:style>
  <w:style w:type="paragraph" w:customStyle="1" w:styleId="206">
    <w:name w:val="正文001"/>
    <w:basedOn w:val="1"/>
    <w:link w:val="205"/>
    <w:qFormat/>
    <w:uiPriority w:val="0"/>
    <w:pPr>
      <w:spacing w:before="60" w:line="460" w:lineRule="exact"/>
      <w:ind w:firstLine="482" w:firstLineChars="200"/>
    </w:pPr>
    <w:rPr>
      <w:kern w:val="0"/>
      <w:sz w:val="24"/>
      <w:szCs w:val="20"/>
    </w:rPr>
  </w:style>
  <w:style w:type="character" w:customStyle="1" w:styleId="207">
    <w:name w:val="报告正文-连续目录 Char Char"/>
    <w:link w:val="208"/>
    <w:qFormat/>
    <w:uiPriority w:val="0"/>
    <w:rPr>
      <w:rFonts w:ascii="Arial" w:hAnsi="Arial"/>
      <w:sz w:val="24"/>
      <w:szCs w:val="24"/>
    </w:rPr>
  </w:style>
  <w:style w:type="paragraph" w:customStyle="1" w:styleId="208">
    <w:name w:val="报告正文-连续目录"/>
    <w:basedOn w:val="1"/>
    <w:link w:val="207"/>
    <w:qFormat/>
    <w:uiPriority w:val="0"/>
    <w:pPr>
      <w:spacing w:line="440" w:lineRule="exact"/>
      <w:ind w:firstLine="200" w:firstLineChars="200"/>
    </w:pPr>
    <w:rPr>
      <w:rFonts w:ascii="Arial" w:hAnsi="Arial"/>
      <w:kern w:val="0"/>
      <w:sz w:val="24"/>
      <w:szCs w:val="24"/>
    </w:rPr>
  </w:style>
  <w:style w:type="character" w:customStyle="1" w:styleId="209">
    <w:name w:val="font91"/>
    <w:qFormat/>
    <w:uiPriority w:val="0"/>
    <w:rPr>
      <w:rFonts w:hint="eastAsia" w:ascii="宋体" w:hAnsi="宋体" w:eastAsia="宋体" w:cs="宋体"/>
      <w:color w:val="000000"/>
      <w:kern w:val="0"/>
      <w:sz w:val="21"/>
      <w:szCs w:val="21"/>
      <w:u w:val="none"/>
    </w:rPr>
  </w:style>
  <w:style w:type="character" w:customStyle="1" w:styleId="210">
    <w:name w:val="批注主题 字符1"/>
    <w:semiHidden/>
    <w:qFormat/>
    <w:uiPriority w:val="0"/>
    <w:rPr>
      <w:rFonts w:hint="eastAsia" w:ascii="黑体" w:hAnsi="黑体" w:eastAsia="黑体" w:cs="黑体"/>
      <w:b/>
      <w:bCs/>
      <w:kern w:val="2"/>
      <w:sz w:val="24"/>
      <w:szCs w:val="22"/>
    </w:rPr>
  </w:style>
  <w:style w:type="character" w:customStyle="1" w:styleId="211">
    <w:name w:val="font01"/>
    <w:qFormat/>
    <w:uiPriority w:val="0"/>
    <w:rPr>
      <w:rFonts w:hint="eastAsia" w:ascii="宋体" w:hAnsi="宋体" w:eastAsia="宋体"/>
      <w:color w:val="000000"/>
      <w:sz w:val="18"/>
      <w:szCs w:val="18"/>
      <w:u w:val="none"/>
    </w:rPr>
  </w:style>
  <w:style w:type="character" w:customStyle="1" w:styleId="212">
    <w:name w:val="明显强调1"/>
    <w:qFormat/>
    <w:uiPriority w:val="21"/>
    <w:rPr>
      <w:b/>
      <w:bCs/>
      <w:i/>
      <w:iCs/>
      <w:caps/>
    </w:rPr>
  </w:style>
  <w:style w:type="character" w:customStyle="1" w:styleId="213">
    <w:name w:val="正文-1 Char"/>
    <w:link w:val="214"/>
    <w:qFormat/>
    <w:uiPriority w:val="0"/>
    <w:rPr>
      <w:rFonts w:eastAsia="宋体"/>
      <w:kern w:val="2"/>
      <w:sz w:val="24"/>
      <w:szCs w:val="24"/>
    </w:rPr>
  </w:style>
  <w:style w:type="paragraph" w:customStyle="1" w:styleId="214">
    <w:name w:val="正文-1"/>
    <w:basedOn w:val="1"/>
    <w:link w:val="213"/>
    <w:qFormat/>
    <w:uiPriority w:val="0"/>
    <w:pPr>
      <w:spacing w:before="60" w:line="460" w:lineRule="exact"/>
      <w:ind w:firstLine="480" w:firstLineChars="200"/>
    </w:pPr>
    <w:rPr>
      <w:rFonts w:eastAsia="宋体"/>
      <w:sz w:val="24"/>
      <w:szCs w:val="24"/>
    </w:rPr>
  </w:style>
  <w:style w:type="character" w:customStyle="1" w:styleId="215">
    <w:name w:val="自标题4 Char"/>
    <w:link w:val="216"/>
    <w:qFormat/>
    <w:locked/>
    <w:uiPriority w:val="0"/>
    <w:rPr>
      <w:b/>
      <w:bCs/>
      <w:kern w:val="2"/>
      <w:sz w:val="24"/>
      <w:szCs w:val="24"/>
    </w:rPr>
  </w:style>
  <w:style w:type="paragraph" w:customStyle="1" w:styleId="216">
    <w:name w:val="自标题4"/>
    <w:basedOn w:val="5"/>
    <w:next w:val="1"/>
    <w:link w:val="215"/>
    <w:qFormat/>
    <w:uiPriority w:val="0"/>
    <w:pPr>
      <w:tabs>
        <w:tab w:val="clear" w:pos="862"/>
        <w:tab w:val="clear" w:pos="1074"/>
        <w:tab w:val="clear" w:pos="1290"/>
        <w:tab w:val="clear" w:pos="2707"/>
      </w:tabs>
      <w:jc w:val="both"/>
    </w:pPr>
    <w:rPr>
      <w:rFonts w:ascii="等线" w:hAnsi="等线" w:eastAsia="等线"/>
      <w:szCs w:val="24"/>
    </w:rPr>
  </w:style>
  <w:style w:type="character" w:customStyle="1" w:styleId="217">
    <w:name w:val="标题 2级 Char"/>
    <w:link w:val="218"/>
    <w:qFormat/>
    <w:uiPriority w:val="0"/>
    <w:rPr>
      <w:rFonts w:ascii="Times New Roman" w:hAnsi="Times New Roman" w:eastAsia="宋体"/>
      <w:b/>
      <w:bCs/>
      <w:kern w:val="2"/>
      <w:sz w:val="28"/>
      <w:szCs w:val="28"/>
      <w:lang w:val="en-US" w:eastAsia="zh-CN" w:bidi="ar-SA"/>
    </w:rPr>
  </w:style>
  <w:style w:type="paragraph" w:customStyle="1" w:styleId="218">
    <w:name w:val="标题 2级"/>
    <w:link w:val="217"/>
    <w:qFormat/>
    <w:uiPriority w:val="0"/>
    <w:pPr>
      <w:keepNext/>
      <w:keepLines/>
      <w:spacing w:before="20" w:beforeLines="0" w:after="50" w:afterLines="50" w:line="500" w:lineRule="exact"/>
      <w:jc w:val="both"/>
      <w:outlineLvl w:val="1"/>
    </w:pPr>
    <w:rPr>
      <w:rFonts w:ascii="Times New Roman" w:hAnsi="Times New Roman" w:eastAsia="宋体" w:cs="Times New Roman"/>
      <w:b/>
      <w:bCs/>
      <w:kern w:val="2"/>
      <w:sz w:val="28"/>
      <w:szCs w:val="28"/>
      <w:lang w:val="en-US" w:eastAsia="zh-CN" w:bidi="ar-SA"/>
    </w:rPr>
  </w:style>
  <w:style w:type="character" w:customStyle="1" w:styleId="219">
    <w:name w:val="apple-converted-space"/>
    <w:basedOn w:val="52"/>
    <w:qFormat/>
    <w:uiPriority w:val="0"/>
  </w:style>
  <w:style w:type="character" w:customStyle="1" w:styleId="220">
    <w:name w:val="明显引用 Char"/>
    <w:qFormat/>
    <w:uiPriority w:val="30"/>
    <w:rPr>
      <w:color w:val="000000"/>
      <w:sz w:val="22"/>
      <w:szCs w:val="22"/>
      <w:shd w:val="clear" w:color="auto" w:fill="F1F1F1"/>
    </w:rPr>
  </w:style>
  <w:style w:type="paragraph" w:styleId="221">
    <w:name w:val="Intense Quote"/>
    <w:basedOn w:val="1"/>
    <w:next w:val="1"/>
    <w:link w:val="222"/>
    <w:qFormat/>
    <w:uiPriority w:val="30"/>
    <w:pPr>
      <w:widowControl/>
      <w:pBdr>
        <w:top w:val="single" w:color="F1F1F1" w:sz="24" w:space="1"/>
        <w:bottom w:val="single" w:color="F1F1F1" w:sz="24" w:space="1"/>
      </w:pBdr>
      <w:shd w:val="clear" w:color="auto" w:fill="F1F1F1"/>
      <w:spacing w:before="240" w:after="240" w:line="259" w:lineRule="auto"/>
      <w:ind w:left="936" w:right="936"/>
      <w:jc w:val="center"/>
    </w:pPr>
    <w:rPr>
      <w:b/>
      <w:bCs/>
      <w:i/>
      <w:iCs/>
      <w:color w:val="4F81BD"/>
    </w:rPr>
  </w:style>
  <w:style w:type="character" w:customStyle="1" w:styleId="222">
    <w:name w:val="明显引用 字符"/>
    <w:link w:val="221"/>
    <w:qFormat/>
    <w:uiPriority w:val="30"/>
    <w:rPr>
      <w:b/>
      <w:bCs/>
      <w:i/>
      <w:iCs/>
      <w:color w:val="4F81BD"/>
      <w:kern w:val="2"/>
      <w:sz w:val="21"/>
      <w:szCs w:val="22"/>
    </w:rPr>
  </w:style>
  <w:style w:type="character" w:customStyle="1" w:styleId="223">
    <w:name w:val="表格内容 Char"/>
    <w:link w:val="224"/>
    <w:qFormat/>
    <w:uiPriority w:val="0"/>
    <w:rPr>
      <w:color w:val="000000"/>
      <w:kern w:val="2"/>
      <w:sz w:val="21"/>
    </w:rPr>
  </w:style>
  <w:style w:type="paragraph" w:customStyle="1" w:styleId="224">
    <w:name w:val="表格内容"/>
    <w:basedOn w:val="121"/>
    <w:next w:val="1"/>
    <w:link w:val="223"/>
    <w:qFormat/>
    <w:uiPriority w:val="0"/>
    <w:pPr>
      <w:adjustRightInd w:val="0"/>
      <w:jc w:val="center"/>
      <w:textAlignment w:val="baseline"/>
    </w:pPr>
    <w:rPr>
      <w:color w:val="000000"/>
      <w:szCs w:val="20"/>
    </w:rPr>
  </w:style>
  <w:style w:type="paragraph" w:customStyle="1" w:styleId="225">
    <w:name w:val="表格样式"/>
    <w:basedOn w:val="1"/>
    <w:next w:val="1"/>
    <w:qFormat/>
    <w:uiPriority w:val="99"/>
    <w:pPr>
      <w:spacing w:line="360" w:lineRule="exact"/>
      <w:jc w:val="center"/>
    </w:pPr>
    <w:rPr>
      <w:rFonts w:ascii="Calibri" w:hAnsi="Calibri" w:eastAsia="宋体" w:cs="黑体"/>
      <w:sz w:val="24"/>
      <w:szCs w:val="20"/>
    </w:rPr>
  </w:style>
  <w:style w:type="paragraph" w:styleId="226">
    <w:name w:val="List Paragraph"/>
    <w:basedOn w:val="1"/>
    <w:qFormat/>
    <w:uiPriority w:val="99"/>
    <w:pPr>
      <w:ind w:firstLine="420"/>
    </w:pPr>
    <w:rPr>
      <w:rFonts w:ascii="Times New Roman" w:hAnsi="Times New Roman" w:eastAsia="宋体"/>
      <w:szCs w:val="24"/>
    </w:rPr>
  </w:style>
  <w:style w:type="paragraph" w:customStyle="1" w:styleId="227">
    <w:name w:val="Table Paragraph"/>
    <w:basedOn w:val="1"/>
    <w:qFormat/>
    <w:uiPriority w:val="1"/>
    <w:pPr>
      <w:spacing w:line="360" w:lineRule="auto"/>
      <w:jc w:val="left"/>
    </w:pPr>
    <w:rPr>
      <w:rFonts w:ascii="Calibri" w:hAnsi="Calibri" w:eastAsia="宋体"/>
      <w:kern w:val="0"/>
      <w:sz w:val="22"/>
      <w:lang w:eastAsia="en-US"/>
    </w:rPr>
  </w:style>
  <w:style w:type="paragraph" w:customStyle="1" w:styleId="228">
    <w:name w:val="+正文"/>
    <w:basedOn w:val="1"/>
    <w:qFormat/>
    <w:uiPriority w:val="99"/>
    <w:pPr>
      <w:spacing w:line="360" w:lineRule="auto"/>
      <w:jc w:val="left"/>
    </w:pPr>
    <w:rPr>
      <w:rFonts w:ascii="Calibri" w:hAnsi="Calibri" w:eastAsia="宋体" w:cs="黑体"/>
      <w:sz w:val="24"/>
    </w:rPr>
  </w:style>
  <w:style w:type="paragraph" w:customStyle="1" w:styleId="229">
    <w:name w:val="表格"/>
    <w:basedOn w:val="12"/>
    <w:next w:val="1"/>
    <w:link w:val="230"/>
    <w:qFormat/>
    <w:uiPriority w:val="0"/>
    <w:pPr>
      <w:adjustRightInd w:val="0"/>
      <w:snapToGrid w:val="0"/>
      <w:jc w:val="center"/>
    </w:pPr>
    <w:rPr>
      <w:rFonts w:ascii="Times New Roman" w:hAnsi="Times New Roman" w:eastAsia="宋体"/>
      <w:szCs w:val="20"/>
      <w:lang w:val="zh-CN"/>
    </w:rPr>
  </w:style>
  <w:style w:type="character" w:customStyle="1" w:styleId="230">
    <w:name w:val="表格 Char"/>
    <w:link w:val="229"/>
    <w:qFormat/>
    <w:locked/>
    <w:uiPriority w:val="0"/>
    <w:rPr>
      <w:rFonts w:ascii="Times New Roman" w:hAnsi="Times New Roman" w:eastAsia="宋体"/>
      <w:kern w:val="2"/>
      <w:sz w:val="21"/>
      <w:lang w:val="zh-CN"/>
    </w:rPr>
  </w:style>
  <w:style w:type="paragraph" w:customStyle="1" w:styleId="231">
    <w:name w:val="表格式"/>
    <w:basedOn w:val="34"/>
    <w:qFormat/>
    <w:uiPriority w:val="99"/>
    <w:pPr>
      <w:spacing w:before="156" w:beforeLines="50" w:after="156" w:afterLines="50" w:line="200" w:lineRule="exact"/>
      <w:ind w:left="0" w:firstLine="0" w:firstLineChars="0"/>
      <w:jc w:val="center"/>
    </w:pPr>
    <w:rPr>
      <w:szCs w:val="20"/>
    </w:rPr>
  </w:style>
  <w:style w:type="paragraph" w:customStyle="1" w:styleId="232">
    <w:name w:val="4 三级标题"/>
    <w:basedOn w:val="233"/>
    <w:qFormat/>
    <w:uiPriority w:val="99"/>
    <w:pPr>
      <w:outlineLvl w:val="2"/>
    </w:pPr>
    <w:rPr>
      <w:sz w:val="24"/>
    </w:rPr>
  </w:style>
  <w:style w:type="paragraph" w:customStyle="1" w:styleId="233">
    <w:name w:val="4二级标题"/>
    <w:basedOn w:val="234"/>
    <w:qFormat/>
    <w:uiPriority w:val="99"/>
    <w:pPr>
      <w:outlineLvl w:val="1"/>
    </w:pPr>
    <w:rPr>
      <w:sz w:val="28"/>
    </w:rPr>
  </w:style>
  <w:style w:type="paragraph" w:customStyle="1" w:styleId="234">
    <w:name w:val="4 一级标题"/>
    <w:basedOn w:val="1"/>
    <w:qFormat/>
    <w:uiPriority w:val="99"/>
    <w:pPr>
      <w:spacing w:line="360" w:lineRule="auto"/>
      <w:outlineLvl w:val="0"/>
    </w:pPr>
    <w:rPr>
      <w:rFonts w:ascii="Calibri" w:hAnsi="Calibri" w:eastAsia="黑体" w:cs="黑体"/>
      <w:sz w:val="36"/>
    </w:rPr>
  </w:style>
  <w:style w:type="paragraph" w:customStyle="1" w:styleId="235">
    <w:name w:val="列出段落41"/>
    <w:basedOn w:val="1"/>
    <w:qFormat/>
    <w:uiPriority w:val="34"/>
    <w:pPr>
      <w:spacing w:line="360" w:lineRule="auto"/>
      <w:ind w:firstLine="420" w:firstLineChars="200"/>
    </w:pPr>
    <w:rPr>
      <w:rFonts w:ascii="Calibri" w:hAnsi="Calibri" w:eastAsia="宋体" w:cs="黑体"/>
      <w:sz w:val="24"/>
    </w:rPr>
  </w:style>
  <w:style w:type="paragraph" w:customStyle="1" w:styleId="236">
    <w:name w:val="样式4"/>
    <w:basedOn w:val="13"/>
    <w:qFormat/>
    <w:uiPriority w:val="0"/>
    <w:pPr>
      <w:adjustRightInd w:val="0"/>
      <w:snapToGrid w:val="0"/>
      <w:spacing w:line="440" w:lineRule="exact"/>
      <w:jc w:val="center"/>
    </w:pPr>
    <w:rPr>
      <w:rFonts w:ascii="Times New Roman" w:hAnsi="Times New Roman" w:cs="Times New Roman"/>
      <w:b/>
      <w:sz w:val="24"/>
      <w:szCs w:val="24"/>
    </w:rPr>
  </w:style>
  <w:style w:type="paragraph" w:customStyle="1" w:styleId="237">
    <w:name w:val="TOC 标题1"/>
    <w:basedOn w:val="2"/>
    <w:next w:val="1"/>
    <w:unhideWhenUsed/>
    <w:qFormat/>
    <w:uiPriority w:val="39"/>
    <w:pPr>
      <w:widowControl/>
      <w:pBdr>
        <w:bottom w:val="single" w:color="585858" w:sz="4" w:space="1"/>
      </w:pBdr>
      <w:tabs>
        <w:tab w:val="clear" w:pos="432"/>
      </w:tabs>
      <w:spacing w:before="360" w:after="160" w:line="259" w:lineRule="auto"/>
      <w:outlineLvl w:val="9"/>
    </w:pPr>
    <w:rPr>
      <w:rFonts w:ascii="等线 Light" w:hAnsi="等线 Light" w:eastAsia="等线 Light" w:cs="Times New Roman"/>
      <w:bCs/>
      <w:smallCaps/>
      <w:color w:val="000000"/>
      <w:kern w:val="0"/>
      <w:sz w:val="36"/>
      <w:szCs w:val="36"/>
    </w:rPr>
  </w:style>
  <w:style w:type="paragraph" w:customStyle="1" w:styleId="238">
    <w:name w:val="列出段落4"/>
    <w:basedOn w:val="1"/>
    <w:qFormat/>
    <w:uiPriority w:val="34"/>
    <w:pPr>
      <w:spacing w:line="360" w:lineRule="auto"/>
      <w:ind w:firstLine="420" w:firstLineChars="200"/>
    </w:pPr>
    <w:rPr>
      <w:rFonts w:ascii="Calibri" w:hAnsi="Calibri" w:eastAsia="宋体" w:cs="黑体"/>
      <w:sz w:val="24"/>
    </w:rPr>
  </w:style>
  <w:style w:type="paragraph" w:customStyle="1" w:styleId="239">
    <w:name w:val="5级标题"/>
    <w:basedOn w:val="240"/>
    <w:qFormat/>
    <w:uiPriority w:val="3"/>
    <w:pPr>
      <w:outlineLvl w:val="4"/>
    </w:pPr>
    <w:rPr>
      <w:b/>
      <w:i/>
    </w:rPr>
  </w:style>
  <w:style w:type="paragraph" w:customStyle="1" w:styleId="240">
    <w:name w:val="4正文格式"/>
    <w:basedOn w:val="1"/>
    <w:qFormat/>
    <w:uiPriority w:val="0"/>
    <w:pPr>
      <w:wordWrap w:val="0"/>
      <w:spacing w:line="360" w:lineRule="auto"/>
      <w:ind w:firstLine="200" w:firstLineChars="200"/>
      <w:jc w:val="left"/>
    </w:pPr>
    <w:rPr>
      <w:rFonts w:ascii="Times New Roman" w:hAnsi="Times New Roman" w:eastAsia="宋体"/>
      <w:sz w:val="24"/>
      <w:szCs w:val="21"/>
    </w:rPr>
  </w:style>
  <w:style w:type="paragraph" w:customStyle="1" w:styleId="241">
    <w:name w:val="列表段落1"/>
    <w:basedOn w:val="1"/>
    <w:qFormat/>
    <w:uiPriority w:val="0"/>
    <w:pPr>
      <w:spacing w:line="360" w:lineRule="auto"/>
      <w:ind w:firstLine="420" w:firstLineChars="200"/>
    </w:pPr>
    <w:rPr>
      <w:rFonts w:ascii="Times New Roman" w:hAnsi="Times New Roman" w:eastAsia="宋体"/>
      <w:sz w:val="24"/>
      <w:szCs w:val="24"/>
    </w:rPr>
  </w:style>
  <w:style w:type="paragraph" w:customStyle="1" w:styleId="242">
    <w:name w:val="正文紧－多段单行"/>
    <w:basedOn w:val="1"/>
    <w:qFormat/>
    <w:uiPriority w:val="99"/>
    <w:pPr>
      <w:spacing w:line="500" w:lineRule="exact"/>
      <w:ind w:firstLine="200" w:firstLineChars="200"/>
      <w:jc w:val="left"/>
    </w:pPr>
    <w:rPr>
      <w:rFonts w:ascii="宋体" w:hAnsi="宋体" w:eastAsia="宋体" w:cs="黑体"/>
      <w:color w:val="000066"/>
      <w:sz w:val="24"/>
    </w:rPr>
  </w:style>
  <w:style w:type="paragraph" w:customStyle="1" w:styleId="243">
    <w:name w:val="4 -三级标题"/>
    <w:basedOn w:val="232"/>
    <w:qFormat/>
    <w:uiPriority w:val="0"/>
    <w:pPr>
      <w:ind w:firstLine="200" w:firstLineChars="200"/>
      <w:jc w:val="left"/>
    </w:pPr>
    <w:rPr>
      <w:rFonts w:eastAsia="宋体"/>
      <w:b/>
    </w:rPr>
  </w:style>
  <w:style w:type="paragraph" w:customStyle="1" w:styleId="244">
    <w:name w:val="图名称"/>
    <w:basedOn w:val="1"/>
    <w:qFormat/>
    <w:uiPriority w:val="99"/>
    <w:pPr>
      <w:adjustRightInd w:val="0"/>
      <w:snapToGrid w:val="0"/>
      <w:ind w:firstLine="482"/>
      <w:jc w:val="center"/>
    </w:pPr>
    <w:rPr>
      <w:rFonts w:ascii="Times New Roman" w:hAnsi="Times New Roman" w:eastAsia="宋体"/>
      <w:b/>
      <w:bCs/>
      <w:kern w:val="0"/>
      <w:sz w:val="24"/>
      <w:szCs w:val="28"/>
      <w:lang w:val="en-GB"/>
    </w:rPr>
  </w:style>
  <w:style w:type="paragraph" w:customStyle="1" w:styleId="245">
    <w:name w:val="Char4"/>
    <w:basedOn w:val="1"/>
    <w:qFormat/>
    <w:uiPriority w:val="99"/>
    <w:pPr>
      <w:spacing w:line="360" w:lineRule="auto"/>
    </w:pPr>
    <w:rPr>
      <w:rFonts w:ascii="Times New Roman" w:hAnsi="Times New Roman" w:eastAsia="宋体"/>
      <w:sz w:val="24"/>
      <w:szCs w:val="24"/>
    </w:rPr>
  </w:style>
  <w:style w:type="paragraph" w:customStyle="1" w:styleId="246">
    <w:name w:val="表格内容2"/>
    <w:basedOn w:val="1"/>
    <w:qFormat/>
    <w:uiPriority w:val="99"/>
    <w:pPr>
      <w:spacing w:line="360" w:lineRule="exact"/>
      <w:jc w:val="center"/>
    </w:pPr>
    <w:rPr>
      <w:rFonts w:ascii="Calibri" w:hAnsi="Calibri" w:eastAsia="宋体" w:cs="黑体"/>
      <w:sz w:val="24"/>
      <w:szCs w:val="21"/>
    </w:rPr>
  </w:style>
  <w:style w:type="paragraph" w:customStyle="1" w:styleId="247">
    <w:name w:val="MFS正文 Char Char"/>
    <w:basedOn w:val="48"/>
    <w:qFormat/>
    <w:uiPriority w:val="99"/>
    <w:pPr>
      <w:adjustRightInd w:val="0"/>
      <w:snapToGrid w:val="0"/>
      <w:spacing w:before="93"/>
      <w:ind w:firstLine="487" w:firstLineChars="200"/>
    </w:pPr>
    <w:rPr>
      <w:rFonts w:eastAsia="Times New Roman" w:cs="Times New Roman"/>
      <w:kern w:val="0"/>
      <w:szCs w:val="24"/>
      <w:lang w:val="zh-CN"/>
    </w:rPr>
  </w:style>
  <w:style w:type="paragraph" w:customStyle="1" w:styleId="248">
    <w:name w:val="biao"/>
    <w:basedOn w:val="1"/>
    <w:qFormat/>
    <w:uiPriority w:val="99"/>
    <w:pPr>
      <w:keepNext/>
      <w:widowControl/>
      <w:overflowPunct w:val="0"/>
      <w:autoSpaceDE w:val="0"/>
      <w:autoSpaceDN w:val="0"/>
      <w:adjustRightInd w:val="0"/>
      <w:spacing w:before="120"/>
      <w:jc w:val="center"/>
    </w:pPr>
    <w:rPr>
      <w:rFonts w:ascii="楷体" w:hAnsi="Calibri" w:eastAsia="楷体"/>
      <w:b/>
      <w:spacing w:val="-20"/>
      <w:kern w:val="28"/>
      <w:sz w:val="24"/>
      <w:szCs w:val="20"/>
    </w:rPr>
  </w:style>
  <w:style w:type="paragraph" w:customStyle="1" w:styleId="249">
    <w:name w:val="表格内容自定"/>
    <w:basedOn w:val="1"/>
    <w:qFormat/>
    <w:uiPriority w:val="0"/>
    <w:pPr>
      <w:spacing w:line="280" w:lineRule="exact"/>
      <w:jc w:val="center"/>
    </w:pPr>
    <w:rPr>
      <w:rFonts w:ascii="Calibri" w:hAnsi="Calibri" w:eastAsia="宋体" w:cs="黑体"/>
      <w:kern w:val="0"/>
      <w:sz w:val="18"/>
      <w:szCs w:val="21"/>
    </w:rPr>
  </w:style>
  <w:style w:type="paragraph" w:customStyle="1" w:styleId="250">
    <w:name w:val="zwb-图表标题"/>
    <w:basedOn w:val="1"/>
    <w:qFormat/>
    <w:uiPriority w:val="99"/>
    <w:pPr>
      <w:spacing w:line="360" w:lineRule="auto"/>
      <w:jc w:val="center"/>
    </w:pPr>
    <w:rPr>
      <w:rFonts w:ascii="Calibri" w:hAnsi="Calibri" w:eastAsia="宋体" w:cs="黑体"/>
      <w:b/>
      <w:sz w:val="24"/>
    </w:rPr>
  </w:style>
  <w:style w:type="paragraph" w:customStyle="1" w:styleId="251">
    <w:name w:val="_Style 91"/>
    <w:basedOn w:val="1"/>
    <w:next w:val="241"/>
    <w:qFormat/>
    <w:uiPriority w:val="0"/>
    <w:pPr>
      <w:spacing w:line="360" w:lineRule="auto"/>
      <w:ind w:firstLine="420" w:firstLineChars="200"/>
    </w:pPr>
    <w:rPr>
      <w:rFonts w:ascii="Times New Roman" w:hAnsi="Times New Roman" w:eastAsia="宋体"/>
      <w:sz w:val="24"/>
      <w:szCs w:val="24"/>
    </w:rPr>
  </w:style>
  <w:style w:type="paragraph" w:customStyle="1" w:styleId="252">
    <w:name w:val="表中文字"/>
    <w:basedOn w:val="1"/>
    <w:qFormat/>
    <w:uiPriority w:val="99"/>
    <w:pPr>
      <w:spacing w:line="300" w:lineRule="exact"/>
      <w:jc w:val="center"/>
    </w:pPr>
    <w:rPr>
      <w:rFonts w:ascii="宋体" w:hAnsi="宋体" w:eastAsia="宋体" w:cs="宋体"/>
      <w:b/>
      <w:color w:val="000000"/>
      <w:spacing w:val="4"/>
      <w:sz w:val="24"/>
      <w:szCs w:val="24"/>
    </w:rPr>
  </w:style>
  <w:style w:type="paragraph" w:customStyle="1" w:styleId="253">
    <w:name w:val="小五号注释"/>
    <w:basedOn w:val="254"/>
    <w:semiHidden/>
    <w:qFormat/>
    <w:uiPriority w:val="0"/>
    <w:pPr>
      <w:spacing w:line="320" w:lineRule="exact"/>
      <w:ind w:firstLine="200" w:firstLineChars="200"/>
    </w:pPr>
    <w:rPr>
      <w:sz w:val="18"/>
    </w:rPr>
  </w:style>
  <w:style w:type="paragraph" w:customStyle="1" w:styleId="254">
    <w:name w:val="注释"/>
    <w:basedOn w:val="1"/>
    <w:qFormat/>
    <w:uiPriority w:val="0"/>
    <w:pPr>
      <w:spacing w:line="360" w:lineRule="exact"/>
    </w:pPr>
    <w:rPr>
      <w:rFonts w:ascii="Times New Roman" w:hAnsi="Times New Roman" w:eastAsia="宋体"/>
      <w:szCs w:val="24"/>
    </w:rPr>
  </w:style>
  <w:style w:type="paragraph" w:customStyle="1" w:styleId="255">
    <w:name w:val="多列紧凑"/>
    <w:basedOn w:val="1"/>
    <w:qFormat/>
    <w:uiPriority w:val="99"/>
    <w:pPr>
      <w:spacing w:beforeLines="50" w:line="360" w:lineRule="auto"/>
      <w:ind w:firstLine="200" w:firstLineChars="200"/>
    </w:pPr>
    <w:rPr>
      <w:rFonts w:ascii="Calibri" w:hAnsi="Calibri" w:eastAsia="宋体" w:cs="黑体"/>
      <w:sz w:val="24"/>
    </w:rPr>
  </w:style>
  <w:style w:type="paragraph" w:customStyle="1" w:styleId="256">
    <w:name w:val="3.2表格表头"/>
    <w:basedOn w:val="240"/>
    <w:qFormat/>
    <w:uiPriority w:val="3"/>
    <w:pPr>
      <w:tabs>
        <w:tab w:val="left" w:pos="842"/>
      </w:tabs>
      <w:ind w:left="420" w:firstLine="0" w:firstLineChars="0"/>
      <w:jc w:val="center"/>
    </w:pPr>
    <w:rPr>
      <w:b/>
      <w:sz w:val="21"/>
    </w:rPr>
  </w:style>
  <w:style w:type="paragraph" w:customStyle="1" w:styleId="257">
    <w:name w:val="Char Char Char Char Char Char Char1 Char Char Char Char"/>
    <w:basedOn w:val="1"/>
    <w:qFormat/>
    <w:uiPriority w:val="0"/>
    <w:rPr>
      <w:rFonts w:ascii="Times New Roman" w:hAnsi="Times New Roman" w:eastAsia="宋体"/>
      <w:szCs w:val="20"/>
    </w:rPr>
  </w:style>
  <w:style w:type="paragraph" w:customStyle="1" w:styleId="258">
    <w:name w:val="列出段落11"/>
    <w:basedOn w:val="1"/>
    <w:qFormat/>
    <w:uiPriority w:val="34"/>
    <w:pPr>
      <w:spacing w:line="360" w:lineRule="auto"/>
      <w:ind w:firstLine="420" w:firstLineChars="200"/>
    </w:pPr>
    <w:rPr>
      <w:rFonts w:ascii="Calibri" w:hAnsi="Calibri" w:eastAsia="宋体" w:cs="黑体"/>
      <w:sz w:val="24"/>
    </w:rPr>
  </w:style>
  <w:style w:type="paragraph" w:customStyle="1" w:styleId="259">
    <w:name w:val="吴正文"/>
    <w:basedOn w:val="1"/>
    <w:qFormat/>
    <w:uiPriority w:val="99"/>
    <w:pPr>
      <w:widowControl/>
      <w:spacing w:line="360" w:lineRule="auto"/>
      <w:ind w:firstLine="200" w:firstLineChars="200"/>
    </w:pPr>
    <w:rPr>
      <w:rFonts w:ascii="Calibri" w:hAnsi="Calibri" w:eastAsia="宋体"/>
      <w:sz w:val="24"/>
      <w:szCs w:val="24"/>
    </w:rPr>
  </w:style>
  <w:style w:type="paragraph" w:customStyle="1" w:styleId="260">
    <w:name w:val="小表格"/>
    <w:basedOn w:val="229"/>
    <w:qFormat/>
    <w:uiPriority w:val="0"/>
    <w:pPr>
      <w:adjustRightInd/>
      <w:snapToGrid/>
      <w:spacing w:line="260" w:lineRule="exact"/>
      <w:jc w:val="left"/>
    </w:pPr>
    <w:rPr>
      <w:sz w:val="18"/>
      <w:szCs w:val="18"/>
      <w:lang w:val="en-US"/>
    </w:rPr>
  </w:style>
  <w:style w:type="paragraph" w:customStyle="1" w:styleId="261">
    <w:name w:val="CM7"/>
    <w:basedOn w:val="1"/>
    <w:next w:val="1"/>
    <w:qFormat/>
    <w:uiPriority w:val="0"/>
    <w:pPr>
      <w:autoSpaceDE w:val="0"/>
      <w:autoSpaceDN w:val="0"/>
      <w:adjustRightInd w:val="0"/>
      <w:spacing w:line="468" w:lineRule="atLeast"/>
      <w:jc w:val="distribute"/>
    </w:pPr>
    <w:rPr>
      <w:rFonts w:ascii="Times New Roman" w:hAnsi="Times New Roman" w:eastAsia="Times New Roman"/>
      <w:kern w:val="0"/>
      <w:sz w:val="24"/>
      <w:szCs w:val="24"/>
    </w:rPr>
  </w:style>
  <w:style w:type="paragraph" w:customStyle="1" w:styleId="262">
    <w:name w:val="WPSOffice手动目录 2"/>
    <w:qFormat/>
    <w:uiPriority w:val="99"/>
    <w:pPr>
      <w:ind w:left="200" w:leftChars="200"/>
    </w:pPr>
    <w:rPr>
      <w:rFonts w:ascii="Times New Roman" w:hAnsi="Times New Roman" w:eastAsia="宋体" w:cs="Times New Roman"/>
      <w:lang w:val="en-US" w:eastAsia="zh-CN" w:bidi="ar-SA"/>
    </w:rPr>
  </w:style>
  <w:style w:type="paragraph" w:customStyle="1" w:styleId="263">
    <w:name w:val="图表名"/>
    <w:basedOn w:val="1"/>
    <w:qFormat/>
    <w:uiPriority w:val="99"/>
    <w:pPr>
      <w:spacing w:line="360" w:lineRule="auto"/>
      <w:jc w:val="center"/>
    </w:pPr>
    <w:rPr>
      <w:rFonts w:ascii="Calibri" w:hAnsi="Calibri" w:eastAsia="宋体" w:cs="黑体"/>
      <w:b/>
      <w:sz w:val="24"/>
    </w:rPr>
  </w:style>
  <w:style w:type="paragraph" w:customStyle="1" w:styleId="264">
    <w:name w:val="图表标题"/>
    <w:basedOn w:val="1"/>
    <w:next w:val="1"/>
    <w:qFormat/>
    <w:uiPriority w:val="99"/>
    <w:pPr>
      <w:spacing w:line="360" w:lineRule="auto"/>
      <w:jc w:val="center"/>
    </w:pPr>
    <w:rPr>
      <w:rFonts w:ascii="Calibri" w:hAnsi="Calibri" w:eastAsia="宋体" w:cs="黑体"/>
      <w:b/>
      <w:bCs/>
    </w:rPr>
  </w:style>
  <w:style w:type="paragraph" w:customStyle="1" w:styleId="265">
    <w:name w:val="标题2"/>
    <w:qFormat/>
    <w:uiPriority w:val="0"/>
    <w:pPr>
      <w:outlineLvl w:val="2"/>
    </w:pPr>
    <w:rPr>
      <w:rFonts w:ascii="Times New Roman" w:hAnsi="Times New Roman" w:eastAsia="宋体" w:cs="Times New Roman"/>
      <w:kern w:val="2"/>
      <w:sz w:val="21"/>
      <w:szCs w:val="22"/>
      <w:lang w:val="en-US" w:eastAsia="zh-CN" w:bidi="ar-SA"/>
    </w:rPr>
  </w:style>
  <w:style w:type="paragraph" w:customStyle="1" w:styleId="266">
    <w:name w:val="二级无标题条"/>
    <w:basedOn w:val="1"/>
    <w:qFormat/>
    <w:uiPriority w:val="0"/>
    <w:pPr>
      <w:spacing w:line="360" w:lineRule="auto"/>
      <w:ind w:firstLine="200" w:firstLineChars="200"/>
    </w:pPr>
    <w:rPr>
      <w:rFonts w:ascii="Times New Roman" w:hAnsi="Times New Roman" w:eastAsia="宋体"/>
      <w:sz w:val="24"/>
      <w:szCs w:val="24"/>
    </w:rPr>
  </w:style>
  <w:style w:type="paragraph" w:customStyle="1" w:styleId="267">
    <w:name w:val="h"/>
    <w:basedOn w:val="1"/>
    <w:qFormat/>
    <w:uiPriority w:val="0"/>
    <w:pPr>
      <w:spacing w:before="60"/>
      <w:ind w:firstLine="482"/>
    </w:pPr>
    <w:rPr>
      <w:rFonts w:ascii="Arial" w:hAnsi="Arial" w:eastAsia="Times New Roman"/>
      <w:kern w:val="0"/>
      <w:sz w:val="24"/>
      <w:szCs w:val="20"/>
    </w:rPr>
  </w:style>
  <w:style w:type="paragraph" w:customStyle="1" w:styleId="268">
    <w:name w:val="新正文"/>
    <w:basedOn w:val="1"/>
    <w:qFormat/>
    <w:uiPriority w:val="0"/>
    <w:pPr>
      <w:adjustRightInd w:val="0"/>
      <w:snapToGrid w:val="0"/>
      <w:spacing w:line="480" w:lineRule="exact"/>
      <w:ind w:firstLine="482" w:firstLineChars="200"/>
    </w:pPr>
    <w:rPr>
      <w:rFonts w:ascii="Times New Roman" w:hAnsi="Times New Roman" w:eastAsia="Times New Roman"/>
      <w:bCs/>
      <w:kern w:val="0"/>
      <w:sz w:val="28"/>
      <w:szCs w:val="20"/>
    </w:rPr>
  </w:style>
  <w:style w:type="paragraph" w:customStyle="1" w:styleId="269">
    <w:name w:val="正文文本－5号字"/>
    <w:basedOn w:val="18"/>
    <w:qFormat/>
    <w:uiPriority w:val="99"/>
    <w:pPr>
      <w:spacing w:before="78" w:line="480" w:lineRule="exact"/>
      <w:ind w:firstLine="480" w:firstLineChars="200"/>
    </w:pPr>
    <w:rPr>
      <w:rFonts w:ascii="Calibri" w:hAnsi="Calibri" w:cs="黑体"/>
      <w:sz w:val="24"/>
    </w:rPr>
  </w:style>
  <w:style w:type="paragraph" w:customStyle="1" w:styleId="270">
    <w:name w:val="msonormal"/>
    <w:basedOn w:val="1"/>
    <w:qFormat/>
    <w:uiPriority w:val="0"/>
    <w:pPr>
      <w:widowControl/>
      <w:spacing w:before="100" w:beforeAutospacing="1" w:after="100" w:afterAutospacing="1" w:line="360" w:lineRule="auto"/>
      <w:jc w:val="left"/>
    </w:pPr>
    <w:rPr>
      <w:rFonts w:ascii="宋体" w:hAnsi="宋体" w:eastAsia="宋体" w:cs="宋体"/>
      <w:kern w:val="0"/>
      <w:sz w:val="24"/>
      <w:szCs w:val="24"/>
    </w:rPr>
  </w:style>
  <w:style w:type="paragraph" w:customStyle="1" w:styleId="271">
    <w:name w:val="正文（文章）"/>
    <w:basedOn w:val="1"/>
    <w:qFormat/>
    <w:uiPriority w:val="99"/>
    <w:pPr>
      <w:ind w:firstLine="560" w:firstLineChars="200"/>
    </w:pPr>
    <w:rPr>
      <w:rFonts w:ascii="Calibri" w:hAnsi="Calibri" w:eastAsia="宋体" w:cs="宋体"/>
      <w:sz w:val="28"/>
      <w:szCs w:val="20"/>
    </w:rPr>
  </w:style>
  <w:style w:type="paragraph" w:customStyle="1" w:styleId="272">
    <w:name w:val="002"/>
    <w:qFormat/>
    <w:uiPriority w:val="99"/>
    <w:pPr>
      <w:outlineLvl w:val="1"/>
    </w:pPr>
    <w:rPr>
      <w:rFonts w:ascii="Times New Roman" w:hAnsi="Times New Roman" w:eastAsia="宋体" w:cs="Times New Roman"/>
      <w:szCs w:val="20"/>
    </w:rPr>
  </w:style>
  <w:style w:type="paragraph" w:customStyle="1" w:styleId="273">
    <w:name w:val="4表头、图头格式"/>
    <w:basedOn w:val="274"/>
    <w:qFormat/>
    <w:uiPriority w:val="0"/>
    <w:pPr>
      <w:spacing w:line="360" w:lineRule="auto"/>
    </w:pPr>
    <w:rPr>
      <w:b/>
    </w:rPr>
  </w:style>
  <w:style w:type="paragraph" w:customStyle="1" w:styleId="274">
    <w:name w:val="4表格内正文"/>
    <w:basedOn w:val="240"/>
    <w:qFormat/>
    <w:uiPriority w:val="0"/>
    <w:pPr>
      <w:spacing w:line="240" w:lineRule="auto"/>
      <w:ind w:firstLine="0" w:firstLineChars="0"/>
      <w:jc w:val="center"/>
    </w:pPr>
    <w:rPr>
      <w:sz w:val="21"/>
    </w:rPr>
  </w:style>
  <w:style w:type="paragraph" w:customStyle="1" w:styleId="275">
    <w:name w:val="4级标题"/>
    <w:basedOn w:val="240"/>
    <w:qFormat/>
    <w:uiPriority w:val="3"/>
    <w:pPr>
      <w:spacing w:beforeLines="50"/>
      <w:ind w:firstLine="0" w:firstLineChars="0"/>
      <w:outlineLvl w:val="3"/>
    </w:pPr>
    <w:rPr>
      <w:b/>
    </w:rPr>
  </w:style>
  <w:style w:type="paragraph" w:customStyle="1" w:styleId="276">
    <w:name w:val="Body Text First Indent1"/>
    <w:basedOn w:val="18"/>
    <w:qFormat/>
    <w:uiPriority w:val="0"/>
    <w:pPr>
      <w:ind w:firstLine="420" w:firstLineChars="100"/>
    </w:pPr>
  </w:style>
  <w:style w:type="paragraph" w:customStyle="1" w:styleId="277">
    <w:name w:val="报告"/>
    <w:basedOn w:val="1"/>
    <w:qFormat/>
    <w:uiPriority w:val="99"/>
    <w:pPr>
      <w:adjustRightInd w:val="0"/>
      <w:spacing w:line="360" w:lineRule="auto"/>
      <w:ind w:firstLine="505"/>
    </w:pPr>
    <w:rPr>
      <w:rFonts w:ascii="Calibri" w:hAnsi="Calibri" w:eastAsia="宋体" w:cs="黑体"/>
      <w:sz w:val="24"/>
    </w:rPr>
  </w:style>
  <w:style w:type="paragraph" w:styleId="278">
    <w:name w:val="No Spacing"/>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279">
    <w:name w:val="CM80"/>
    <w:basedOn w:val="100"/>
    <w:next w:val="100"/>
    <w:qFormat/>
    <w:uiPriority w:val="0"/>
    <w:pPr>
      <w:spacing w:after="648"/>
      <w:jc w:val="distribute"/>
    </w:pPr>
    <w:rPr>
      <w:rFonts w:ascii="Times New Roman" w:eastAsia="Times New Roman"/>
      <w:color w:val="auto"/>
    </w:rPr>
  </w:style>
  <w:style w:type="paragraph" w:customStyle="1" w:styleId="280">
    <w:name w:val="样式 加粗 居中"/>
    <w:basedOn w:val="1"/>
    <w:qFormat/>
    <w:uiPriority w:val="99"/>
    <w:pPr>
      <w:spacing w:line="400" w:lineRule="exact"/>
      <w:jc w:val="center"/>
    </w:pPr>
    <w:rPr>
      <w:rFonts w:ascii="Calibri" w:hAnsi="Calibri" w:eastAsia="宋体" w:cs="宋体"/>
      <w:b/>
      <w:bCs/>
      <w:sz w:val="24"/>
      <w:szCs w:val="20"/>
    </w:rPr>
  </w:style>
  <w:style w:type="paragraph" w:customStyle="1" w:styleId="281">
    <w:name w:val="字元 Char Char"/>
    <w:basedOn w:val="1"/>
    <w:qFormat/>
    <w:uiPriority w:val="0"/>
    <w:rPr>
      <w:rFonts w:ascii="Times New Roman" w:hAnsi="Times New Roman" w:eastAsia="宋体"/>
      <w:szCs w:val="20"/>
    </w:rPr>
  </w:style>
  <w:style w:type="paragraph" w:customStyle="1" w:styleId="282">
    <w:name w:val="表格标题新"/>
    <w:basedOn w:val="283"/>
    <w:next w:val="1"/>
    <w:qFormat/>
    <w:uiPriority w:val="0"/>
    <w:pPr>
      <w:spacing w:line="240" w:lineRule="auto"/>
    </w:pPr>
  </w:style>
  <w:style w:type="paragraph" w:customStyle="1" w:styleId="283">
    <w:name w:val="表格标题"/>
    <w:basedOn w:val="18"/>
    <w:next w:val="1"/>
    <w:qFormat/>
    <w:uiPriority w:val="99"/>
    <w:pPr>
      <w:spacing w:beforeLines="50" w:line="360" w:lineRule="auto"/>
      <w:jc w:val="center"/>
    </w:pPr>
    <w:rPr>
      <w:rFonts w:ascii="黑体" w:hAnsi="宋体" w:eastAsia="黑体" w:cs="宋体"/>
      <w:b/>
      <w:spacing w:val="4"/>
      <w:sz w:val="24"/>
      <w:szCs w:val="24"/>
    </w:rPr>
  </w:style>
  <w:style w:type="paragraph" w:customStyle="1" w:styleId="284">
    <w:name w:val="表格样式2"/>
    <w:basedOn w:val="1"/>
    <w:qFormat/>
    <w:uiPriority w:val="0"/>
    <w:pPr>
      <w:spacing w:line="320" w:lineRule="exact"/>
      <w:jc w:val="center"/>
    </w:pPr>
    <w:rPr>
      <w:rFonts w:ascii="Times New Roman" w:hAnsi="Times New Roman" w:eastAsia="宋体"/>
      <w:color w:val="000000"/>
      <w:szCs w:val="21"/>
    </w:rPr>
  </w:style>
  <w:style w:type="paragraph" w:customStyle="1" w:styleId="285">
    <w:name w:val="表"/>
    <w:basedOn w:val="34"/>
    <w:link w:val="286"/>
    <w:qFormat/>
    <w:uiPriority w:val="0"/>
    <w:pPr>
      <w:keepNext/>
      <w:keepLines/>
      <w:spacing w:before="60" w:after="60" w:line="240" w:lineRule="exact"/>
      <w:ind w:left="0" w:firstLine="0" w:firstLineChars="0"/>
      <w:jc w:val="center"/>
    </w:pPr>
    <w:rPr>
      <w:szCs w:val="21"/>
    </w:rPr>
  </w:style>
  <w:style w:type="character" w:customStyle="1" w:styleId="286">
    <w:name w:val="表 Char1"/>
    <w:link w:val="285"/>
    <w:qFormat/>
    <w:uiPriority w:val="0"/>
    <w:rPr>
      <w:rFonts w:ascii="Times New Roman" w:hAnsi="Times New Roman" w:eastAsia="宋体"/>
      <w:kern w:val="2"/>
      <w:sz w:val="21"/>
      <w:szCs w:val="21"/>
    </w:rPr>
  </w:style>
  <w:style w:type="paragraph" w:customStyle="1" w:styleId="287">
    <w:name w:val="列出段落1"/>
    <w:basedOn w:val="1"/>
    <w:qFormat/>
    <w:uiPriority w:val="34"/>
    <w:pPr>
      <w:ind w:firstLine="420" w:firstLineChars="200"/>
    </w:pPr>
    <w:rPr>
      <w:rFonts w:ascii="Calibri" w:hAnsi="Calibri" w:eastAsia="宋体" w:cs="宋体"/>
      <w:szCs w:val="24"/>
    </w:rPr>
  </w:style>
  <w:style w:type="paragraph" w:customStyle="1" w:styleId="288">
    <w:name w:val="样式 四号 首行缩进:  2 字符"/>
    <w:basedOn w:val="1"/>
    <w:qFormat/>
    <w:uiPriority w:val="99"/>
    <w:pPr>
      <w:spacing w:line="360" w:lineRule="auto"/>
      <w:ind w:firstLine="560" w:firstLineChars="200"/>
    </w:pPr>
    <w:rPr>
      <w:rFonts w:ascii="宋体" w:hAnsi="宋体" w:eastAsia="宋体" w:cs="宋体"/>
      <w:sz w:val="28"/>
      <w:szCs w:val="28"/>
    </w:rPr>
  </w:style>
  <w:style w:type="paragraph" w:customStyle="1" w:styleId="289">
    <w:name w:val="正文修改"/>
    <w:basedOn w:val="1"/>
    <w:qFormat/>
    <w:uiPriority w:val="99"/>
    <w:pPr>
      <w:spacing w:line="360" w:lineRule="auto"/>
      <w:ind w:firstLine="480" w:firstLineChars="200"/>
    </w:pPr>
    <w:rPr>
      <w:rFonts w:ascii="Calibri" w:hAnsi="Calibri" w:eastAsia="宋体" w:cs="宋体"/>
      <w:kern w:val="0"/>
      <w:sz w:val="24"/>
    </w:rPr>
  </w:style>
  <w:style w:type="paragraph" w:customStyle="1" w:styleId="290">
    <w:name w:val="l_text"/>
    <w:basedOn w:val="1"/>
    <w:qFormat/>
    <w:uiPriority w:val="99"/>
    <w:pPr>
      <w:widowControl/>
      <w:overflowPunct w:val="0"/>
      <w:autoSpaceDE w:val="0"/>
      <w:autoSpaceDN w:val="0"/>
      <w:adjustRightInd w:val="0"/>
      <w:spacing w:before="60" w:after="60" w:line="480" w:lineRule="exact"/>
      <w:ind w:firstLine="567"/>
    </w:pPr>
    <w:rPr>
      <w:rFonts w:ascii="Calibri" w:hAnsi="Calibri" w:eastAsia="宋体" w:cs="黑体"/>
      <w:kern w:val="0"/>
      <w:sz w:val="28"/>
      <w:szCs w:val="20"/>
    </w:rPr>
  </w:style>
  <w:style w:type="paragraph" w:customStyle="1" w:styleId="291">
    <w:name w:val="标号正文"/>
    <w:basedOn w:val="1"/>
    <w:next w:val="1"/>
    <w:qFormat/>
    <w:uiPriority w:val="99"/>
    <w:pPr>
      <w:tabs>
        <w:tab w:val="left" w:pos="1540"/>
      </w:tabs>
      <w:overflowPunct w:val="0"/>
      <w:snapToGrid w:val="0"/>
      <w:spacing w:line="360" w:lineRule="auto"/>
      <w:ind w:firstLine="1040"/>
      <w:jc w:val="left"/>
    </w:pPr>
    <w:rPr>
      <w:rFonts w:ascii="Arial" w:hAnsi="Arial" w:eastAsia="宋体" w:cs="黑体"/>
      <w:sz w:val="24"/>
      <w:szCs w:val="20"/>
    </w:rPr>
  </w:style>
  <w:style w:type="paragraph" w:customStyle="1" w:styleId="292">
    <w:name w:val="1111"/>
    <w:basedOn w:val="2"/>
    <w:qFormat/>
    <w:uiPriority w:val="99"/>
    <w:pPr>
      <w:spacing w:after="156" w:line="576" w:lineRule="auto"/>
      <w:jc w:val="center"/>
    </w:pPr>
    <w:rPr>
      <w:rFonts w:ascii="宋体" w:hAnsi="宋体" w:cs="黑体"/>
      <w:color w:val="000066"/>
      <w:sz w:val="32"/>
      <w:szCs w:val="20"/>
    </w:rPr>
  </w:style>
  <w:style w:type="paragraph" w:customStyle="1" w:styleId="293">
    <w:name w:val="样式 居中"/>
    <w:basedOn w:val="1"/>
    <w:qFormat/>
    <w:uiPriority w:val="99"/>
    <w:pPr>
      <w:spacing w:line="360" w:lineRule="auto"/>
      <w:jc w:val="center"/>
    </w:pPr>
    <w:rPr>
      <w:rFonts w:ascii="Calibri" w:hAnsi="Calibri" w:eastAsia="宋体" w:cs="宋体"/>
      <w:b/>
      <w:sz w:val="24"/>
      <w:szCs w:val="20"/>
    </w:rPr>
  </w:style>
  <w:style w:type="paragraph" w:customStyle="1" w:styleId="294">
    <w:name w:val="表头图名"/>
    <w:basedOn w:val="1"/>
    <w:qFormat/>
    <w:uiPriority w:val="99"/>
    <w:pPr>
      <w:adjustRightInd w:val="0"/>
      <w:spacing w:line="240" w:lineRule="atLeast"/>
      <w:jc w:val="center"/>
    </w:pPr>
    <w:rPr>
      <w:rFonts w:ascii="Calibri" w:hAnsi="Calibri" w:eastAsia="宋体" w:cs="黑体"/>
      <w:b/>
      <w:spacing w:val="10"/>
      <w:kern w:val="0"/>
      <w:sz w:val="24"/>
      <w:szCs w:val="28"/>
    </w:rPr>
  </w:style>
  <w:style w:type="paragraph" w:customStyle="1" w:styleId="295">
    <w:name w:val="中文报告书样式"/>
    <w:basedOn w:val="1"/>
    <w:qFormat/>
    <w:uiPriority w:val="0"/>
    <w:pPr>
      <w:adjustRightInd w:val="0"/>
      <w:spacing w:line="480" w:lineRule="atLeast"/>
      <w:ind w:firstLine="482"/>
      <w:textAlignment w:val="baseline"/>
    </w:pPr>
    <w:rPr>
      <w:rFonts w:ascii="Times New Roman" w:hAnsi="Times New Roman" w:eastAsia="宋体"/>
      <w:kern w:val="24"/>
      <w:sz w:val="24"/>
      <w:szCs w:val="20"/>
    </w:rPr>
  </w:style>
  <w:style w:type="paragraph" w:customStyle="1" w:styleId="296">
    <w:name w:val="WPSOffice手动目录 3"/>
    <w:qFormat/>
    <w:uiPriority w:val="99"/>
    <w:pPr>
      <w:ind w:left="400" w:leftChars="400"/>
    </w:pPr>
    <w:rPr>
      <w:rFonts w:ascii="Times New Roman" w:hAnsi="Times New Roman" w:eastAsia="宋体" w:cs="Times New Roman"/>
      <w:lang w:val="en-US" w:eastAsia="zh-CN" w:bidi="ar-SA"/>
    </w:rPr>
  </w:style>
  <w:style w:type="paragraph" w:customStyle="1" w:styleId="297">
    <w:name w:val="正文(首行缩进)"/>
    <w:basedOn w:val="1"/>
    <w:qFormat/>
    <w:uiPriority w:val="99"/>
    <w:pPr>
      <w:snapToGrid w:val="0"/>
      <w:spacing w:line="360" w:lineRule="auto"/>
      <w:ind w:firstLine="480" w:firstLineChars="200"/>
    </w:pPr>
    <w:rPr>
      <w:rFonts w:ascii="Calibri" w:hAnsi="Calibri" w:eastAsia="宋体" w:cs="黑体"/>
      <w:kern w:val="0"/>
      <w:sz w:val="24"/>
      <w:szCs w:val="24"/>
    </w:rPr>
  </w:style>
  <w:style w:type="paragraph" w:customStyle="1" w:styleId="298">
    <w:name w:val="6表内容"/>
    <w:basedOn w:val="1"/>
    <w:qFormat/>
    <w:uiPriority w:val="99"/>
    <w:pPr>
      <w:jc w:val="center"/>
    </w:pPr>
    <w:rPr>
      <w:rFonts w:ascii="Times New Roman" w:hAnsi="Times New Roman" w:eastAsia="宋体" w:cs="宋体"/>
      <w:color w:val="000000"/>
    </w:rPr>
  </w:style>
  <w:style w:type="paragraph" w:customStyle="1" w:styleId="299">
    <w:name w:val="正文缩进1"/>
    <w:basedOn w:val="1"/>
    <w:qFormat/>
    <w:uiPriority w:val="0"/>
    <w:pPr>
      <w:ind w:firstLine="420" w:firstLineChars="200"/>
    </w:pPr>
    <w:rPr>
      <w:rFonts w:ascii="Times New Roman" w:hAnsi="Times New Roman" w:eastAsia="宋体"/>
      <w:szCs w:val="24"/>
    </w:rPr>
  </w:style>
  <w:style w:type="paragraph" w:customStyle="1" w:styleId="300">
    <w:name w:val="1正文段落"/>
    <w:basedOn w:val="1"/>
    <w:link w:val="301"/>
    <w:qFormat/>
    <w:uiPriority w:val="0"/>
    <w:pPr>
      <w:snapToGrid w:val="0"/>
      <w:spacing w:line="360" w:lineRule="auto"/>
      <w:ind w:firstLine="480" w:firstLineChars="200"/>
      <w:jc w:val="left"/>
    </w:pPr>
    <w:rPr>
      <w:rFonts w:ascii="Times New Roman" w:hAnsi="Times New Roman" w:eastAsia="宋体"/>
      <w:kern w:val="0"/>
      <w:sz w:val="24"/>
    </w:rPr>
  </w:style>
  <w:style w:type="character" w:customStyle="1" w:styleId="301">
    <w:name w:val="1正文段落 Char Char"/>
    <w:link w:val="300"/>
    <w:qFormat/>
    <w:uiPriority w:val="0"/>
    <w:rPr>
      <w:rFonts w:ascii="Times New Roman" w:hAnsi="Times New Roman" w:eastAsia="宋体" w:cs="黑体"/>
      <w:sz w:val="24"/>
      <w:szCs w:val="22"/>
    </w:rPr>
  </w:style>
  <w:style w:type="paragraph" w:customStyle="1" w:styleId="302">
    <w:name w:val="正正文"/>
    <w:basedOn w:val="1"/>
    <w:qFormat/>
    <w:uiPriority w:val="99"/>
    <w:pPr>
      <w:spacing w:line="324" w:lineRule="auto"/>
      <w:ind w:firstLine="560" w:firstLineChars="200"/>
      <w:jc w:val="left"/>
    </w:pPr>
    <w:rPr>
      <w:rFonts w:ascii="Calibri" w:hAnsi="Calibri" w:eastAsia="宋体" w:cs="黑体"/>
      <w:kern w:val="0"/>
      <w:sz w:val="24"/>
      <w:szCs w:val="28"/>
    </w:rPr>
  </w:style>
  <w:style w:type="paragraph" w:customStyle="1" w:styleId="303">
    <w:name w:val="框图"/>
    <w:basedOn w:val="1"/>
    <w:qFormat/>
    <w:uiPriority w:val="0"/>
    <w:pPr>
      <w:adjustRightInd w:val="0"/>
      <w:snapToGrid w:val="0"/>
      <w:spacing w:line="360" w:lineRule="auto"/>
      <w:ind w:left="2" w:leftChars="-38" w:right="-106" w:rightChars="-38" w:hanging="108" w:hangingChars="54"/>
      <w:jc w:val="center"/>
    </w:pPr>
    <w:rPr>
      <w:rFonts w:ascii="Times New Roman" w:hAnsi="Times New Roman" w:eastAsia="Times New Roman"/>
      <w:sz w:val="20"/>
      <w:szCs w:val="20"/>
    </w:rPr>
  </w:style>
  <w:style w:type="paragraph" w:customStyle="1" w:styleId="304">
    <w:name w:val="正文－1.2倍行距－段后6磅"/>
    <w:basedOn w:val="1"/>
    <w:qFormat/>
    <w:uiPriority w:val="99"/>
    <w:pPr>
      <w:spacing w:after="120" w:line="400" w:lineRule="exact"/>
      <w:ind w:firstLine="200" w:firstLineChars="200"/>
    </w:pPr>
    <w:rPr>
      <w:rFonts w:ascii="Calibri" w:hAnsi="Calibri" w:eastAsia="宋体" w:cs="宋体"/>
      <w:b/>
      <w:spacing w:val="4"/>
      <w:sz w:val="24"/>
      <w:szCs w:val="21"/>
    </w:rPr>
  </w:style>
  <w:style w:type="paragraph" w:customStyle="1" w:styleId="305">
    <w:name w:val="表格字体"/>
    <w:next w:val="1"/>
    <w:qFormat/>
    <w:uiPriority w:val="99"/>
    <w:pPr>
      <w:widowControl w:val="0"/>
      <w:spacing w:line="440" w:lineRule="exact"/>
      <w:jc w:val="center"/>
    </w:pPr>
    <w:rPr>
      <w:rFonts w:ascii="Times New Roman" w:hAnsi="Times New Roman" w:eastAsia="Times New Roman" w:cs="Times New Roman"/>
      <w:color w:val="000000"/>
      <w:kern w:val="2"/>
      <w:sz w:val="21"/>
      <w:szCs w:val="21"/>
      <w:lang w:val="en-US" w:eastAsia="zh-CN" w:bidi="ar-SA"/>
    </w:rPr>
  </w:style>
  <w:style w:type="paragraph" w:customStyle="1" w:styleId="306">
    <w:name w:val="正文样式"/>
    <w:basedOn w:val="1"/>
    <w:qFormat/>
    <w:uiPriority w:val="99"/>
    <w:pPr>
      <w:spacing w:line="360" w:lineRule="auto"/>
      <w:ind w:firstLine="480" w:firstLineChars="200"/>
    </w:pPr>
    <w:rPr>
      <w:rFonts w:ascii="Calibri" w:hAnsi="Calibri" w:eastAsia="宋体" w:cs="黑体"/>
      <w:sz w:val="24"/>
    </w:rPr>
  </w:style>
  <w:style w:type="paragraph" w:customStyle="1" w:styleId="307">
    <w:name w:val="1正文"/>
    <w:basedOn w:val="1"/>
    <w:link w:val="308"/>
    <w:qFormat/>
    <w:uiPriority w:val="99"/>
    <w:pPr>
      <w:widowControl/>
      <w:spacing w:line="360" w:lineRule="auto"/>
      <w:ind w:firstLine="200" w:firstLineChars="200"/>
    </w:pPr>
    <w:rPr>
      <w:rFonts w:ascii="Times New Roman" w:hAnsi="Times New Roman" w:eastAsia="宋体"/>
      <w:kern w:val="0"/>
      <w:sz w:val="24"/>
      <w:szCs w:val="20"/>
      <w:lang w:val="en-GB"/>
    </w:rPr>
  </w:style>
  <w:style w:type="character" w:customStyle="1" w:styleId="308">
    <w:name w:val="1正文 Char"/>
    <w:link w:val="307"/>
    <w:qFormat/>
    <w:uiPriority w:val="99"/>
    <w:rPr>
      <w:rFonts w:ascii="Times New Roman" w:hAnsi="Times New Roman" w:eastAsia="宋体"/>
      <w:kern w:val="0"/>
      <w:sz w:val="24"/>
      <w:szCs w:val="20"/>
      <w:lang w:val="en-GB"/>
    </w:rPr>
  </w:style>
  <w:style w:type="paragraph" w:customStyle="1" w:styleId="309">
    <w:name w:val="WPSOffice手动目录 1"/>
    <w:qFormat/>
    <w:uiPriority w:val="99"/>
    <w:rPr>
      <w:rFonts w:ascii="Times New Roman" w:hAnsi="Times New Roman" w:eastAsia="宋体" w:cs="Times New Roman"/>
      <w:lang w:val="en-US" w:eastAsia="zh-CN" w:bidi="ar-SA"/>
    </w:rPr>
  </w:style>
  <w:style w:type="paragraph" w:customStyle="1" w:styleId="310">
    <w:name w:val="表格标题＋单位"/>
    <w:basedOn w:val="1"/>
    <w:qFormat/>
    <w:uiPriority w:val="99"/>
    <w:pPr>
      <w:wordWrap w:val="0"/>
      <w:snapToGrid w:val="0"/>
      <w:spacing w:line="500" w:lineRule="exact"/>
      <w:jc w:val="right"/>
    </w:pPr>
    <w:rPr>
      <w:rFonts w:ascii="Times New Roman" w:hAnsi="Times New Roman" w:eastAsia="宋体" w:cs="黑体"/>
      <w:b/>
      <w:sz w:val="24"/>
    </w:rPr>
  </w:style>
  <w:style w:type="paragraph" w:customStyle="1" w:styleId="311">
    <w:name w:val="默认段落字体 Para Char Char Char Char"/>
    <w:basedOn w:val="1"/>
    <w:qFormat/>
    <w:uiPriority w:val="0"/>
    <w:rPr>
      <w:rFonts w:ascii="Times New Roman" w:hAnsi="Times New Roman" w:eastAsia="宋体"/>
      <w:sz w:val="24"/>
      <w:szCs w:val="24"/>
    </w:rPr>
  </w:style>
  <w:style w:type="paragraph" w:customStyle="1" w:styleId="312">
    <w:name w:val="环评正文"/>
    <w:basedOn w:val="1"/>
    <w:qFormat/>
    <w:uiPriority w:val="99"/>
    <w:pPr>
      <w:widowControl/>
      <w:spacing w:before="60" w:after="60" w:line="400" w:lineRule="exact"/>
      <w:ind w:firstLine="200" w:firstLineChars="200"/>
      <w:jc w:val="left"/>
    </w:pPr>
    <w:rPr>
      <w:rFonts w:ascii="Calibri" w:hAnsi="Calibri" w:eastAsia="Times New Roman"/>
      <w:kern w:val="0"/>
      <w:sz w:val="24"/>
      <w:szCs w:val="20"/>
    </w:rPr>
  </w:style>
  <w:style w:type="paragraph" w:customStyle="1" w:styleId="313">
    <w:name w:val="样式 首行缩进:  0.99 厘米 行距: 1.5 倍行距2"/>
    <w:basedOn w:val="1"/>
    <w:qFormat/>
    <w:uiPriority w:val="0"/>
    <w:pPr>
      <w:adjustRightInd w:val="0"/>
      <w:snapToGrid w:val="0"/>
      <w:jc w:val="center"/>
    </w:pPr>
    <w:rPr>
      <w:rFonts w:ascii="宋体" w:hAnsi="宋体" w:eastAsia="宋体"/>
      <w:color w:val="FF0000"/>
      <w:szCs w:val="21"/>
    </w:rPr>
  </w:style>
  <w:style w:type="paragraph" w:customStyle="1" w:styleId="314">
    <w:name w:val="列出段落2"/>
    <w:basedOn w:val="1"/>
    <w:qFormat/>
    <w:uiPriority w:val="34"/>
    <w:pPr>
      <w:ind w:firstLine="420" w:firstLineChars="200"/>
    </w:pPr>
    <w:rPr>
      <w:rFonts w:ascii="Calibri" w:hAnsi="Calibri" w:eastAsia="宋体" w:cs="黑体"/>
    </w:rPr>
  </w:style>
  <w:style w:type="paragraph" w:customStyle="1" w:styleId="315">
    <w:name w:val="p0"/>
    <w:basedOn w:val="1"/>
    <w:qFormat/>
    <w:uiPriority w:val="99"/>
    <w:pPr>
      <w:widowControl/>
    </w:pPr>
    <w:rPr>
      <w:rFonts w:ascii="Times New Roman" w:hAnsi="Times New Roman" w:eastAsia="宋体"/>
      <w:kern w:val="0"/>
      <w:szCs w:val="21"/>
    </w:rPr>
  </w:style>
  <w:style w:type="paragraph" w:customStyle="1" w:styleId="316">
    <w:name w:val="001"/>
    <w:basedOn w:val="292"/>
    <w:qFormat/>
    <w:uiPriority w:val="99"/>
    <w:rPr>
      <w:color w:val="auto"/>
    </w:rPr>
  </w:style>
  <w:style w:type="table" w:customStyle="1" w:styleId="317">
    <w:name w:val="网格型411"/>
    <w:basedOn w:val="49"/>
    <w:qFormat/>
    <w:uiPriority w:val="0"/>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
    <w:name w:val="表格虚线2"/>
    <w:basedOn w:val="49"/>
    <w:qFormat/>
    <w:uiPriority w:val="39"/>
    <w:pPr>
      <w:widowControl w:val="0"/>
      <w:spacing w:after="160" w:line="259"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
    <w:name w:val="网格型51"/>
    <w:basedOn w:val="49"/>
    <w:qFormat/>
    <w:uiPriority w:val="99"/>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
    <w:name w:val="网格型111"/>
    <w:basedOn w:val="49"/>
    <w:qFormat/>
    <w:uiPriority w:val="0"/>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1">
    <w:name w:val="网格型121"/>
    <w:basedOn w:val="49"/>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
    <w:name w:val="网格型21"/>
    <w:basedOn w:val="49"/>
    <w:qFormat/>
    <w:uiPriority w:val="99"/>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
    <w:name w:val="网格型2"/>
    <w:basedOn w:val="49"/>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
    <w:name w:val="网格型412"/>
    <w:basedOn w:val="49"/>
    <w:qFormat/>
    <w:uiPriority w:val="0"/>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5">
    <w:name w:val="表格虚线1"/>
    <w:basedOn w:val="49"/>
    <w:qFormat/>
    <w:uiPriority w:val="39"/>
    <w:pPr>
      <w:widowControl w:val="0"/>
      <w:spacing w:after="160" w:line="259"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
    <w:name w:val="网格型12"/>
    <w:basedOn w:val="49"/>
    <w:qFormat/>
    <w:uiPriority w:val="0"/>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7">
    <w:name w:val="表格主题11"/>
    <w:basedOn w:val="50"/>
    <w:qFormat/>
    <w:uiPriority w:val="0"/>
    <w:pPr>
      <w:jc w:val="center"/>
    </w:pPr>
    <w:rPr>
      <w:sz w:val="21"/>
    </w:rPr>
    <w:tblPr>
      <w:jc w:val="center"/>
      <w:tblBorders>
        <w:top w:val="single" w:color="auto" w:sz="12" w:space="0"/>
        <w:bottom w:val="single" w:color="auto" w:sz="12" w:space="0"/>
      </w:tblBorders>
    </w:tblPr>
    <w:trPr>
      <w:jc w:val="center"/>
    </w:trPr>
    <w:tcPr>
      <w:vAlign w:val="center"/>
    </w:tcPr>
    <w:tblStylePr w:type="firstRow">
      <w:rPr>
        <w:rFonts w:ascii="Arial" w:hAnsi="Arial" w:eastAsia="等线"/>
        <w:b/>
        <w:i w:val="0"/>
        <w:sz w:val="21"/>
      </w:rPr>
    </w:tblStylePr>
  </w:style>
  <w:style w:type="table" w:customStyle="1" w:styleId="328">
    <w:name w:val="网格型1111"/>
    <w:basedOn w:val="49"/>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
    <w:name w:val="表格虚线3"/>
    <w:basedOn w:val="49"/>
    <w:qFormat/>
    <w:uiPriority w:val="39"/>
    <w:pPr>
      <w:widowControl w:val="0"/>
      <w:spacing w:after="160" w:line="259"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0">
    <w:name w:val="网格型6"/>
    <w:basedOn w:val="49"/>
    <w:qFormat/>
    <w:uiPriority w:val="99"/>
    <w:pPr>
      <w:widowControl w:val="0"/>
      <w:jc w:val="both"/>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
    <w:name w:val="网格型52"/>
    <w:basedOn w:val="49"/>
    <w:qFormat/>
    <w:uiPriority w:val="99"/>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
    <w:name w:val="网格型11"/>
    <w:basedOn w:val="49"/>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
    <w:name w:val="表格主题1"/>
    <w:basedOn w:val="50"/>
    <w:qFormat/>
    <w:uiPriority w:val="0"/>
    <w:pPr>
      <w:spacing w:after="160" w:line="259" w:lineRule="auto"/>
      <w:jc w:val="center"/>
    </w:pPr>
    <w:rPr>
      <w:rFonts w:ascii="等线" w:hAnsi="等线" w:eastAsia="等线"/>
      <w:sz w:val="21"/>
      <w:szCs w:val="22"/>
    </w:rPr>
    <w:tblPr>
      <w:jc w:val="center"/>
      <w:tblBorders>
        <w:top w:val="single" w:color="auto" w:sz="12" w:space="0"/>
        <w:bottom w:val="single" w:color="auto" w:sz="12" w:space="0"/>
      </w:tblBorders>
    </w:tblPr>
    <w:trPr>
      <w:jc w:val="center"/>
    </w:trPr>
    <w:tcPr>
      <w:vAlign w:val="center"/>
    </w:tcPr>
    <w:tblStylePr w:type="firstRow">
      <w:rPr>
        <w:rFonts w:ascii="Arial" w:hAnsi="Arial" w:eastAsia="等线"/>
        <w:b/>
        <w:i w:val="0"/>
        <w:sz w:val="21"/>
      </w:rPr>
    </w:tblStylePr>
  </w:style>
  <w:style w:type="table" w:customStyle="1" w:styleId="334">
    <w:name w:val="网格型43"/>
    <w:basedOn w:val="49"/>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
    <w:name w:val="网格型7"/>
    <w:basedOn w:val="49"/>
    <w:qFormat/>
    <w:uiPriority w:val="99"/>
    <w:pPr>
      <w:widowControl w:val="0"/>
      <w:jc w:val="both"/>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
    <w:name w:val="网格型4"/>
    <w:basedOn w:val="49"/>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
    <w:name w:val="网格型32"/>
    <w:basedOn w:val="49"/>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
    <w:name w:val="网格型1"/>
    <w:basedOn w:val="49"/>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
    <w:name w:val="网格型8"/>
    <w:basedOn w:val="4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
    <w:name w:val="网格型31"/>
    <w:basedOn w:val="49"/>
    <w:qFormat/>
    <w:uiPriority w:val="99"/>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1">
    <w:name w:val="网格型211"/>
    <w:basedOn w:val="49"/>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
    <w:name w:val="网格型421"/>
    <w:basedOn w:val="49"/>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
    <w:name w:val="网格型5"/>
    <w:basedOn w:val="49"/>
    <w:qFormat/>
    <w:uiPriority w:val="99"/>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
    <w:name w:val="网格型112"/>
    <w:basedOn w:val="49"/>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
    <w:name w:val="表格主题2"/>
    <w:basedOn w:val="50"/>
    <w:qFormat/>
    <w:uiPriority w:val="0"/>
    <w:pPr>
      <w:jc w:val="center"/>
    </w:pPr>
    <w:rPr>
      <w:sz w:val="21"/>
    </w:rPr>
    <w:tblPr>
      <w:jc w:val="center"/>
      <w:tblBorders>
        <w:top w:val="single" w:color="auto" w:sz="12" w:space="0"/>
        <w:bottom w:val="single" w:color="auto" w:sz="12" w:space="0"/>
      </w:tblBorders>
    </w:tblPr>
    <w:trPr>
      <w:jc w:val="center"/>
    </w:trPr>
    <w:tcPr>
      <w:vAlign w:val="center"/>
    </w:tcPr>
    <w:tblStylePr w:type="firstRow">
      <w:rPr>
        <w:rFonts w:ascii="Arial" w:hAnsi="Arial" w:eastAsia="等线"/>
        <w:b/>
        <w:i w:val="0"/>
        <w:sz w:val="21"/>
      </w:rPr>
    </w:tblStylePr>
  </w:style>
  <w:style w:type="table" w:customStyle="1" w:styleId="346">
    <w:name w:val="网格型311"/>
    <w:basedOn w:val="49"/>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
    <w:name w:val="网格型13"/>
    <w:basedOn w:val="49"/>
    <w:qFormat/>
    <w:uiPriority w:val="0"/>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
    <w:name w:val="网格型22"/>
    <w:basedOn w:val="49"/>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
    <w:name w:val="网格型3"/>
    <w:basedOn w:val="49"/>
    <w:qFormat/>
    <w:uiPriority w:val="99"/>
    <w:pPr>
      <w:widowControl w:val="0"/>
      <w:jc w:val="both"/>
    </w:pPr>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
    <w:name w:val="网格型42"/>
    <w:basedOn w:val="49"/>
    <w:qFormat/>
    <w:uiPriority w:val="0"/>
    <w:pPr>
      <w:widowControl w:val="0"/>
      <w:spacing w:after="160" w:line="259"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
    <w:name w:val="网格型41"/>
    <w:basedOn w:val="49"/>
    <w:qFormat/>
    <w:uiPriority w:val="0"/>
    <w:rPr>
      <w:rFonts w:ascii="Calibri" w:hAnsi="Calibri"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52">
    <w:name w:val="正文（海红）"/>
    <w:basedOn w:val="1"/>
    <w:qFormat/>
    <w:uiPriority w:val="0"/>
    <w:pPr>
      <w:snapToGrid w:val="0"/>
      <w:spacing w:line="360" w:lineRule="auto"/>
      <w:ind w:firstLine="200" w:firstLineChars="200"/>
    </w:pPr>
    <w:rPr>
      <w:rFonts w:ascii="Times New Roman" w:hAnsi="Times New Roman" w:eastAsia="宋体"/>
      <w:sz w:val="24"/>
      <w:szCs w:val="24"/>
    </w:rPr>
  </w:style>
  <w:style w:type="table" w:customStyle="1" w:styleId="353">
    <w:name w:val="环评表格"/>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54">
    <w:name w:val="网格型9"/>
    <w:basedOn w:val="49"/>
    <w:qFormat/>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355">
    <w:name w:val="网格型14"/>
    <w:basedOn w:val="49"/>
    <w:qFormat/>
    <w:uiPriority w:val="39"/>
    <w:pPr>
      <w:widowControl w:val="0"/>
      <w:jc w:val="both"/>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56">
    <w:name w:val="修订1"/>
    <w:semiHidden/>
    <w:qFormat/>
    <w:uiPriority w:val="99"/>
    <w:rPr>
      <w:rFonts w:ascii="Times New Roman" w:hAnsi="Times New Roman" w:eastAsia="宋体" w:cs="Times New Roman"/>
      <w:kern w:val="2"/>
      <w:sz w:val="21"/>
      <w:szCs w:val="22"/>
      <w:lang w:val="en-US" w:eastAsia="zh-CN" w:bidi="ar-SA"/>
    </w:rPr>
  </w:style>
  <w:style w:type="character" w:customStyle="1" w:styleId="357">
    <w:name w:val="font81"/>
    <w:qFormat/>
    <w:uiPriority w:val="0"/>
    <w:rPr>
      <w:rFonts w:hint="default" w:ascii="Times New Roman" w:hAnsi="Times New Roman" w:cs="Times New Roman"/>
      <w:color w:val="000000"/>
      <w:sz w:val="21"/>
      <w:szCs w:val="21"/>
      <w:u w:val="none"/>
      <w:vertAlign w:val="superscript"/>
    </w:rPr>
  </w:style>
  <w:style w:type="character" w:customStyle="1" w:styleId="358">
    <w:name w:val="font111"/>
    <w:qFormat/>
    <w:uiPriority w:val="0"/>
    <w:rPr>
      <w:rFonts w:hint="eastAsia" w:ascii="等线" w:hAnsi="等线" w:eastAsia="等线"/>
      <w:color w:val="000000"/>
      <w:sz w:val="21"/>
      <w:szCs w:val="21"/>
      <w:u w:val="none"/>
    </w:rPr>
  </w:style>
  <w:style w:type="table" w:customStyle="1" w:styleId="359">
    <w:name w:val="表格虚线21"/>
    <w:basedOn w:val="49"/>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
    <w:name w:val="网格型1112"/>
    <w:basedOn w:val="49"/>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
    <w:name w:val="网格型212"/>
    <w:basedOn w:val="49"/>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
    <w:name w:val="表格虚线11"/>
    <w:basedOn w:val="49"/>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
    <w:name w:val="网格型122"/>
    <w:basedOn w:val="49"/>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
    <w:name w:val="表格虚线31"/>
    <w:basedOn w:val="49"/>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5">
    <w:name w:val="网格型312"/>
    <w:basedOn w:val="49"/>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
    <w:name w:val="网格型422"/>
    <w:basedOn w:val="49"/>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7">
    <w:name w:val="环评表格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68">
    <w:name w:val="环评表格1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69">
    <w:name w:val="环评表格2"/>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70">
    <w:name w:val="环评表格3"/>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71">
    <w:name w:val="表格虚线22"/>
    <w:basedOn w:val="49"/>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
    <w:name w:val="网格型1113"/>
    <w:basedOn w:val="49"/>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3">
    <w:name w:val="网格型213"/>
    <w:basedOn w:val="49"/>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4">
    <w:name w:val="表格虚线12"/>
    <w:basedOn w:val="49"/>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
    <w:name w:val="网格型123"/>
    <w:basedOn w:val="49"/>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6">
    <w:name w:val="表格虚线32"/>
    <w:basedOn w:val="49"/>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7">
    <w:name w:val="网格型313"/>
    <w:basedOn w:val="49"/>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8">
    <w:name w:val="网格型423"/>
    <w:basedOn w:val="49"/>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9">
    <w:name w:val="环评表格4"/>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80">
    <w:name w:val="环评表格12"/>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81">
    <w:name w:val="环评表格2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82">
    <w:name w:val="环评表格3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83">
    <w:name w:val="表格虚线23"/>
    <w:basedOn w:val="49"/>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4">
    <w:name w:val="网格型1114"/>
    <w:basedOn w:val="49"/>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5">
    <w:name w:val="网格型214"/>
    <w:basedOn w:val="49"/>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
    <w:name w:val="表格虚线13"/>
    <w:basedOn w:val="49"/>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7">
    <w:name w:val="网格型124"/>
    <w:basedOn w:val="49"/>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8">
    <w:name w:val="表格虚线33"/>
    <w:basedOn w:val="49"/>
    <w:qFormat/>
    <w:uiPriority w:val="39"/>
    <w:pPr>
      <w:widowControl w:val="0"/>
      <w:spacing w:after="160" w:line="259" w:lineRule="auto"/>
      <w:jc w:val="both"/>
    </w:pPr>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
    <w:name w:val="网格型314"/>
    <w:basedOn w:val="49"/>
    <w:qFormat/>
    <w:uiPriority w:val="99"/>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
    <w:name w:val="网格型424"/>
    <w:basedOn w:val="49"/>
    <w:qFormat/>
    <w:uiPriority w:val="0"/>
    <w:pPr>
      <w:widowControl w:val="0"/>
      <w:spacing w:after="160" w:line="259" w:lineRule="auto"/>
      <w:jc w:val="both"/>
    </w:pPr>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
    <w:name w:val="环评表格5"/>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92">
    <w:name w:val="环评表格13"/>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93">
    <w:name w:val="环评表格22"/>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table" w:customStyle="1" w:styleId="394">
    <w:name w:val="环评表格32"/>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rPr>
      <w:tblPr/>
      <w:trPr>
        <w:cantSplit/>
      </w:trPr>
      <w:tcPr>
        <w:tcBorders>
          <w:top w:val="nil"/>
          <w:left w:val="nil"/>
          <w:bottom w:val="single" w:color="auto" w:sz="12" w:space="0"/>
          <w:right w:val="nil"/>
          <w:insideH w:val="nil"/>
          <w:insideV w:val="nil"/>
          <w:tl2br w:val="nil"/>
          <w:tr2bl w:val="nil"/>
        </w:tcBorders>
      </w:tcPr>
    </w:tblStylePr>
  </w:style>
  <w:style w:type="paragraph" w:customStyle="1" w:styleId="395">
    <w:name w:val="TOC 标题2"/>
    <w:basedOn w:val="2"/>
    <w:next w:val="1"/>
    <w:qFormat/>
    <w:uiPriority w:val="39"/>
    <w:pPr>
      <w:widowControl/>
      <w:tabs>
        <w:tab w:val="clear" w:pos="432"/>
      </w:tabs>
      <w:spacing w:before="480" w:line="276" w:lineRule="auto"/>
      <w:outlineLvl w:val="9"/>
    </w:pPr>
    <w:rPr>
      <w:rFonts w:ascii="Cambria" w:hAnsi="Cambria" w:cs="Times New Roman"/>
      <w:bCs/>
      <w:color w:val="365F91"/>
      <w:kern w:val="0"/>
      <w:sz w:val="28"/>
      <w:szCs w:val="28"/>
    </w:rPr>
  </w:style>
  <w:style w:type="paragraph" w:customStyle="1" w:styleId="396">
    <w:name w:val="取诚文本正文"/>
    <w:basedOn w:val="1"/>
    <w:link w:val="397"/>
    <w:qFormat/>
    <w:uiPriority w:val="0"/>
    <w:pPr>
      <w:snapToGrid w:val="0"/>
      <w:spacing w:line="360" w:lineRule="auto"/>
      <w:ind w:firstLine="482" w:firstLineChars="200"/>
      <w:jc w:val="center"/>
    </w:pPr>
    <w:rPr>
      <w:rFonts w:ascii="Times New Roman" w:hAnsi="Times New Roman" w:eastAsia="宋体"/>
      <w:b/>
      <w:sz w:val="24"/>
    </w:rPr>
  </w:style>
  <w:style w:type="character" w:customStyle="1" w:styleId="397">
    <w:name w:val="取诚文本正文 Char"/>
    <w:link w:val="396"/>
    <w:qFormat/>
    <w:uiPriority w:val="0"/>
    <w:rPr>
      <w:rFonts w:ascii="Times New Roman" w:hAnsi="Times New Roman" w:eastAsia="宋体"/>
      <w:b/>
      <w:kern w:val="2"/>
      <w:sz w:val="24"/>
      <w:szCs w:val="22"/>
    </w:rPr>
  </w:style>
  <w:style w:type="table" w:customStyle="1" w:styleId="398">
    <w:name w:val="网格型15"/>
    <w:basedOn w:val="49"/>
    <w:qFormat/>
    <w:uiPriority w:val="0"/>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99">
    <w:name w:val="批注文字 Char1"/>
    <w:qFormat/>
    <w:locked/>
    <w:uiPriority w:val="0"/>
    <w:rPr>
      <w:sz w:val="24"/>
    </w:rPr>
  </w:style>
  <w:style w:type="table" w:customStyle="1" w:styleId="400">
    <w:name w:val="网格型10"/>
    <w:basedOn w:val="49"/>
    <w:qFormat/>
    <w:uiPriority w:val="0"/>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01">
    <w:name w:val="日期 字符"/>
    <w:semiHidden/>
    <w:qFormat/>
    <w:uiPriority w:val="0"/>
    <w:rPr>
      <w:rFonts w:ascii="Times New Roman" w:hAnsi="Times New Roman" w:eastAsia="宋体"/>
      <w:sz w:val="24"/>
    </w:rPr>
  </w:style>
  <w:style w:type="character" w:customStyle="1" w:styleId="402">
    <w:name w:val="正文文本 字符1"/>
    <w:semiHidden/>
    <w:qFormat/>
    <w:uiPriority w:val="0"/>
    <w:rPr>
      <w:rFonts w:ascii="Times New Roman" w:hAnsi="Times New Roman" w:eastAsia="宋体"/>
      <w:sz w:val="24"/>
    </w:rPr>
  </w:style>
  <w:style w:type="character" w:customStyle="1" w:styleId="403">
    <w:name w:val="页脚 字符"/>
    <w:basedOn w:val="52"/>
    <w:qFormat/>
    <w:uiPriority w:val="99"/>
  </w:style>
  <w:style w:type="paragraph" w:customStyle="1" w:styleId="40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05">
    <w:name w:val="普通(网站)2"/>
    <w:basedOn w:val="1"/>
    <w:qFormat/>
    <w:uiPriority w:val="0"/>
    <w:pPr>
      <w:widowControl/>
      <w:spacing w:before="100" w:beforeAutospacing="1" w:after="100" w:afterAutospacing="1"/>
      <w:jc w:val="left"/>
    </w:pPr>
    <w:rPr>
      <w:rFonts w:ascii="宋体" w:hAnsi="宋体" w:eastAsia="宋体"/>
      <w:sz w:val="24"/>
      <w:szCs w:val="20"/>
    </w:rPr>
  </w:style>
  <w:style w:type="paragraph" w:customStyle="1" w:styleId="406">
    <w:name w:val="陈正文"/>
    <w:basedOn w:val="1"/>
    <w:link w:val="407"/>
    <w:qFormat/>
    <w:uiPriority w:val="0"/>
    <w:pPr>
      <w:framePr w:hSpace="180" w:wrap="around" w:vAnchor="text" w:hAnchor="text" w:xAlign="center" w:y="1"/>
      <w:adjustRightInd w:val="0"/>
      <w:spacing w:line="360" w:lineRule="auto"/>
      <w:ind w:firstLine="480" w:firstLineChars="200"/>
      <w:textAlignment w:val="baseline"/>
    </w:pPr>
    <w:rPr>
      <w:rFonts w:ascii="Times New Roman" w:hAnsi="Times New Roman" w:eastAsia="宋体"/>
      <w:sz w:val="24"/>
      <w:szCs w:val="24"/>
    </w:rPr>
  </w:style>
  <w:style w:type="character" w:customStyle="1" w:styleId="407">
    <w:name w:val="陈正文 Char"/>
    <w:link w:val="406"/>
    <w:qFormat/>
    <w:uiPriority w:val="0"/>
    <w:rPr>
      <w:rFonts w:ascii="Times New Roman" w:hAnsi="Times New Roman" w:eastAsia="宋体"/>
      <w:kern w:val="2"/>
      <w:sz w:val="24"/>
      <w:szCs w:val="24"/>
    </w:rPr>
  </w:style>
  <w:style w:type="paragraph" w:customStyle="1" w:styleId="408">
    <w:name w:val="陈表标"/>
    <w:basedOn w:val="1"/>
    <w:link w:val="409"/>
    <w:qFormat/>
    <w:uiPriority w:val="0"/>
    <w:pPr>
      <w:framePr w:hSpace="180" w:wrap="around" w:vAnchor="text" w:hAnchor="text" w:xAlign="center" w:y="1"/>
      <w:adjustRightInd w:val="0"/>
      <w:jc w:val="center"/>
      <w:textAlignment w:val="baseline"/>
    </w:pPr>
    <w:rPr>
      <w:rFonts w:ascii="Times New Roman" w:hAnsi="Times New Roman" w:eastAsia="宋体"/>
      <w:b/>
      <w:bCs/>
      <w:szCs w:val="21"/>
      <w:lang w:val="zh-CN"/>
    </w:rPr>
  </w:style>
  <w:style w:type="character" w:customStyle="1" w:styleId="409">
    <w:name w:val="陈表标 Char"/>
    <w:link w:val="408"/>
    <w:qFormat/>
    <w:uiPriority w:val="0"/>
    <w:rPr>
      <w:rFonts w:ascii="Times New Roman" w:hAnsi="Times New Roman" w:eastAsia="宋体"/>
      <w:b/>
      <w:bCs/>
      <w:kern w:val="2"/>
      <w:sz w:val="21"/>
      <w:szCs w:val="21"/>
      <w:lang w:val="zh-CN"/>
    </w:rPr>
  </w:style>
  <w:style w:type="paragraph" w:customStyle="1" w:styleId="410">
    <w:name w:val="陈表内"/>
    <w:basedOn w:val="1"/>
    <w:link w:val="411"/>
    <w:qFormat/>
    <w:uiPriority w:val="0"/>
    <w:pPr>
      <w:jc w:val="center"/>
    </w:pPr>
    <w:rPr>
      <w:rFonts w:ascii="Times New Roman" w:hAnsi="Times New Roman" w:eastAsia="宋体"/>
      <w:kern w:val="0"/>
      <w:lang w:eastAsia="en-US"/>
    </w:rPr>
  </w:style>
  <w:style w:type="character" w:customStyle="1" w:styleId="411">
    <w:name w:val="陈表内 Char"/>
    <w:link w:val="410"/>
    <w:qFormat/>
    <w:uiPriority w:val="0"/>
    <w:rPr>
      <w:rFonts w:ascii="Times New Roman" w:hAnsi="Times New Roman" w:eastAsia="宋体"/>
      <w:sz w:val="21"/>
      <w:szCs w:val="22"/>
      <w:lang w:eastAsia="en-US"/>
    </w:rPr>
  </w:style>
  <w:style w:type="paragraph" w:customStyle="1" w:styleId="412">
    <w:name w:val="正文院里"/>
    <w:basedOn w:val="1"/>
    <w:qFormat/>
    <w:uiPriority w:val="0"/>
    <w:pPr>
      <w:adjustRightInd w:val="0"/>
      <w:spacing w:line="360" w:lineRule="auto"/>
      <w:textAlignment w:val="baseline"/>
    </w:pPr>
    <w:rPr>
      <w:rFonts w:ascii="Times New Roman" w:hAnsi="Times New Roman" w:eastAsia="宋体"/>
      <w:kern w:val="0"/>
      <w:szCs w:val="20"/>
    </w:rPr>
  </w:style>
  <w:style w:type="paragraph" w:customStyle="1" w:styleId="413">
    <w:name w:val="一一头"/>
    <w:basedOn w:val="1"/>
    <w:link w:val="414"/>
    <w:qFormat/>
    <w:uiPriority w:val="0"/>
    <w:pPr>
      <w:adjustRightInd w:val="0"/>
      <w:spacing w:line="360" w:lineRule="auto"/>
    </w:pPr>
    <w:rPr>
      <w:rFonts w:ascii="Times New Roman" w:hAnsi="Times New Roman" w:eastAsia="宋体"/>
      <w:b/>
      <w:bCs/>
      <w:szCs w:val="21"/>
    </w:rPr>
  </w:style>
  <w:style w:type="character" w:customStyle="1" w:styleId="414">
    <w:name w:val="一一头 Char"/>
    <w:link w:val="413"/>
    <w:qFormat/>
    <w:uiPriority w:val="0"/>
    <w:rPr>
      <w:rFonts w:ascii="Times New Roman" w:hAnsi="Times New Roman" w:eastAsia="宋体"/>
      <w:b/>
      <w:bCs/>
      <w:kern w:val="2"/>
      <w:sz w:val="21"/>
      <w:szCs w:val="21"/>
    </w:rPr>
  </w:style>
  <w:style w:type="paragraph" w:customStyle="1" w:styleId="415">
    <w:name w:val="一一正文"/>
    <w:basedOn w:val="406"/>
    <w:link w:val="416"/>
    <w:qFormat/>
    <w:uiPriority w:val="0"/>
    <w:pPr>
      <w:framePr w:wrap="around"/>
      <w:ind w:firstLine="200"/>
    </w:pPr>
    <w:rPr>
      <w:sz w:val="21"/>
    </w:rPr>
  </w:style>
  <w:style w:type="character" w:customStyle="1" w:styleId="416">
    <w:name w:val="一一正文 Char"/>
    <w:link w:val="415"/>
    <w:qFormat/>
    <w:uiPriority w:val="0"/>
    <w:rPr>
      <w:rFonts w:ascii="Times New Roman" w:hAnsi="Times New Roman" w:eastAsia="宋体"/>
      <w:kern w:val="2"/>
      <w:sz w:val="21"/>
      <w:szCs w:val="24"/>
    </w:rPr>
  </w:style>
  <w:style w:type="paragraph" w:customStyle="1" w:styleId="417">
    <w:name w:val="一一表标"/>
    <w:basedOn w:val="408"/>
    <w:link w:val="418"/>
    <w:qFormat/>
    <w:uiPriority w:val="0"/>
    <w:pPr>
      <w:framePr w:hSpace="0" w:wrap="auto" w:vAnchor="margin" w:hAnchor="text" w:xAlign="left" w:yAlign="inline"/>
    </w:pPr>
  </w:style>
  <w:style w:type="character" w:customStyle="1" w:styleId="418">
    <w:name w:val="一一表标 Char"/>
    <w:link w:val="417"/>
    <w:qFormat/>
    <w:uiPriority w:val="0"/>
    <w:rPr>
      <w:rFonts w:ascii="Times New Roman" w:hAnsi="Times New Roman" w:eastAsia="宋体"/>
      <w:b/>
      <w:bCs/>
      <w:kern w:val="2"/>
      <w:sz w:val="21"/>
      <w:szCs w:val="21"/>
      <w:lang w:val="zh-CN"/>
    </w:rPr>
  </w:style>
  <w:style w:type="character" w:customStyle="1" w:styleId="419">
    <w:name w:val="报告表正 Char"/>
    <w:link w:val="420"/>
    <w:qFormat/>
    <w:uiPriority w:val="0"/>
    <w:rPr>
      <w:kern w:val="2"/>
      <w:sz w:val="24"/>
      <w:szCs w:val="24"/>
    </w:rPr>
  </w:style>
  <w:style w:type="paragraph" w:customStyle="1" w:styleId="420">
    <w:name w:val="报告表正"/>
    <w:basedOn w:val="1"/>
    <w:link w:val="419"/>
    <w:qFormat/>
    <w:uiPriority w:val="0"/>
    <w:pPr>
      <w:framePr w:hSpace="180" w:wrap="around" w:vAnchor="text" w:hAnchor="text" w:xAlign="center" w:y="1"/>
      <w:adjustRightInd w:val="0"/>
      <w:spacing w:line="360" w:lineRule="auto"/>
      <w:ind w:firstLine="200" w:firstLineChars="200"/>
      <w:textAlignment w:val="baseline"/>
    </w:pPr>
    <w:rPr>
      <w:sz w:val="24"/>
      <w:szCs w:val="24"/>
    </w:rPr>
  </w:style>
  <w:style w:type="paragraph" w:customStyle="1" w:styleId="421">
    <w:name w:val="表内文字"/>
    <w:basedOn w:val="1"/>
    <w:qFormat/>
    <w:uiPriority w:val="0"/>
    <w:pPr>
      <w:adjustRightInd w:val="0"/>
      <w:spacing w:line="400" w:lineRule="exact"/>
      <w:ind w:firstLine="624"/>
      <w:textAlignment w:val="baseline"/>
    </w:pPr>
    <w:rPr>
      <w:rFonts w:ascii="Times New Roman" w:hAnsi="Times New Roman" w:eastAsia="宋体"/>
      <w:spacing w:val="20"/>
      <w:kern w:val="0"/>
      <w:sz w:val="24"/>
      <w:szCs w:val="20"/>
    </w:rPr>
  </w:style>
  <w:style w:type="paragraph" w:customStyle="1" w:styleId="422">
    <w:name w:val="君邦正文"/>
    <w:qFormat/>
    <w:locked/>
    <w:uiPriority w:val="0"/>
    <w:pPr>
      <w:spacing w:after="60" w:line="360" w:lineRule="auto"/>
      <w:ind w:firstLine="480" w:firstLineChars="200"/>
      <w:jc w:val="both"/>
    </w:pPr>
    <w:rPr>
      <w:rFonts w:ascii="Times New Roman" w:hAnsi="Times New Roman" w:eastAsia="宋体" w:cs="Times New Roman"/>
      <w:bCs/>
      <w:sz w:val="24"/>
      <w:lang w:val="en-US" w:eastAsia="zh-CN" w:bidi="ar-SA"/>
    </w:rPr>
  </w:style>
  <w:style w:type="paragraph" w:customStyle="1" w:styleId="423">
    <w:name w:val="表头（海红）"/>
    <w:basedOn w:val="1"/>
    <w:qFormat/>
    <w:uiPriority w:val="0"/>
    <w:pPr>
      <w:adjustRightInd w:val="0"/>
      <w:spacing w:line="540" w:lineRule="exact"/>
      <w:jc w:val="center"/>
      <w:textAlignment w:val="baseline"/>
    </w:pPr>
    <w:rPr>
      <w:rFonts w:ascii="Times New Roman" w:hAnsi="宋体" w:eastAsia="宋体" w:cs="宋体"/>
      <w:b/>
      <w:bCs/>
      <w:color w:val="000000"/>
      <w:kern w:val="0"/>
      <w:szCs w:val="20"/>
    </w:rPr>
  </w:style>
  <w:style w:type="paragraph" w:customStyle="1" w:styleId="424">
    <w:name w:val="A标准格式"/>
    <w:basedOn w:val="1"/>
    <w:qFormat/>
    <w:uiPriority w:val="0"/>
    <w:pPr>
      <w:adjustRightInd w:val="0"/>
      <w:spacing w:line="440" w:lineRule="exact"/>
      <w:ind w:firstLine="480" w:firstLineChars="200"/>
      <w:textAlignment w:val="baseline"/>
    </w:pPr>
    <w:rPr>
      <w:rFonts w:ascii="Times New Roman" w:hAnsi="Times New Roman" w:eastAsia="宋体"/>
      <w:sz w:val="24"/>
      <w:szCs w:val="24"/>
    </w:rPr>
  </w:style>
  <w:style w:type="paragraph" w:customStyle="1" w:styleId="425">
    <w:name w:val="Lux 正文"/>
    <w:basedOn w:val="1"/>
    <w:qFormat/>
    <w:uiPriority w:val="0"/>
    <w:pPr>
      <w:adjustRightInd w:val="0"/>
      <w:spacing w:before="80" w:after="80" w:line="500" w:lineRule="exact"/>
      <w:textAlignment w:val="baseline"/>
    </w:pPr>
    <w:rPr>
      <w:rFonts w:ascii="Times New Roman" w:hAnsi="Times New Roman" w:eastAsia="宋体"/>
      <w:kern w:val="0"/>
      <w:szCs w:val="20"/>
    </w:rPr>
  </w:style>
  <w:style w:type="paragraph" w:customStyle="1" w:styleId="426">
    <w:name w:val="样式 表格 32 + 首行缩进:  2 字符"/>
    <w:basedOn w:val="1"/>
    <w:qFormat/>
    <w:uiPriority w:val="0"/>
    <w:pPr>
      <w:autoSpaceDE w:val="0"/>
      <w:autoSpaceDN w:val="0"/>
      <w:adjustRightInd w:val="0"/>
      <w:spacing w:line="0" w:lineRule="atLeast"/>
      <w:jc w:val="center"/>
      <w:textAlignment w:val="baseline"/>
    </w:pPr>
    <w:rPr>
      <w:rFonts w:ascii="Times New Roman" w:hAnsi="Times New Roman" w:eastAsia="宋体"/>
      <w:kern w:val="0"/>
      <w:szCs w:val="21"/>
    </w:rPr>
  </w:style>
  <w:style w:type="paragraph" w:customStyle="1" w:styleId="427">
    <w:name w:val="表图"/>
    <w:basedOn w:val="1"/>
    <w:next w:val="1"/>
    <w:qFormat/>
    <w:uiPriority w:val="0"/>
    <w:pPr>
      <w:adjustRightInd w:val="0"/>
      <w:snapToGrid w:val="0"/>
      <w:jc w:val="center"/>
      <w:textAlignment w:val="baseline"/>
    </w:pPr>
    <w:rPr>
      <w:rFonts w:ascii="Times New Roman" w:hAnsi="Times New Roman" w:eastAsia="Times New Roman"/>
      <w:szCs w:val="21"/>
    </w:rPr>
  </w:style>
  <w:style w:type="paragraph" w:customStyle="1" w:styleId="428">
    <w:name w:val="报告正文"/>
    <w:link w:val="429"/>
    <w:qFormat/>
    <w:uiPriority w:val="0"/>
    <w:pPr>
      <w:spacing w:line="360" w:lineRule="auto"/>
      <w:ind w:firstLine="200" w:firstLineChars="200"/>
      <w:jc w:val="both"/>
    </w:pPr>
    <w:rPr>
      <w:rFonts w:ascii="宋体" w:hAnsi="宋体" w:eastAsia="宋体" w:cs="Times New Roman"/>
      <w:kern w:val="2"/>
      <w:sz w:val="24"/>
      <w:szCs w:val="24"/>
      <w:lang w:val="en-US" w:eastAsia="zh-CN" w:bidi="ar-SA"/>
    </w:rPr>
  </w:style>
  <w:style w:type="character" w:customStyle="1" w:styleId="429">
    <w:name w:val="报告正文 Char"/>
    <w:link w:val="428"/>
    <w:qFormat/>
    <w:uiPriority w:val="0"/>
    <w:rPr>
      <w:rFonts w:ascii="宋体" w:hAnsi="宋体" w:eastAsia="宋体"/>
      <w:kern w:val="2"/>
      <w:sz w:val="24"/>
      <w:szCs w:val="24"/>
      <w:lang w:bidi="ar-SA"/>
    </w:rPr>
  </w:style>
  <w:style w:type="paragraph" w:customStyle="1" w:styleId="430">
    <w:name w:val="表格格式"/>
    <w:basedOn w:val="1"/>
    <w:qFormat/>
    <w:uiPriority w:val="0"/>
    <w:pPr>
      <w:widowControl/>
      <w:adjustRightInd w:val="0"/>
      <w:spacing w:line="360" w:lineRule="atLeast"/>
      <w:jc w:val="center"/>
      <w:textAlignment w:val="baseline"/>
    </w:pPr>
    <w:rPr>
      <w:rFonts w:ascii="Times New Roman" w:hAnsi="Times New Roman" w:eastAsia="Times New Roman"/>
      <w:color w:val="000000"/>
      <w:szCs w:val="21"/>
      <w:lang w:val="zh-CN"/>
    </w:rPr>
  </w:style>
  <w:style w:type="paragraph" w:customStyle="1" w:styleId="431">
    <w:name w:val="报告书正文"/>
    <w:basedOn w:val="1"/>
    <w:qFormat/>
    <w:uiPriority w:val="0"/>
    <w:pPr>
      <w:adjustRightInd w:val="0"/>
      <w:spacing w:line="360" w:lineRule="auto"/>
      <w:textAlignment w:val="baseline"/>
    </w:pPr>
    <w:rPr>
      <w:rFonts w:ascii="Times New Roman" w:hAnsi="Times New Roman" w:eastAsia="宋体"/>
      <w:kern w:val="0"/>
      <w:szCs w:val="24"/>
    </w:rPr>
  </w:style>
  <w:style w:type="paragraph" w:customStyle="1" w:styleId="432">
    <w:name w:val="样式 首行缩进:  2 字符"/>
    <w:basedOn w:val="1"/>
    <w:qFormat/>
    <w:uiPriority w:val="0"/>
    <w:pPr>
      <w:adjustRightInd w:val="0"/>
      <w:textAlignment w:val="baseline"/>
    </w:pPr>
    <w:rPr>
      <w:rFonts w:ascii="Times New Roman" w:hAnsi="Times New Roman" w:eastAsia="宋体" w:cs="宋体"/>
      <w:szCs w:val="20"/>
    </w:rPr>
  </w:style>
  <w:style w:type="paragraph" w:customStyle="1" w:styleId="433">
    <w:name w:val="字元 字元"/>
    <w:basedOn w:val="1"/>
    <w:qFormat/>
    <w:uiPriority w:val="0"/>
    <w:pPr>
      <w:tabs>
        <w:tab w:val="left" w:pos="425"/>
      </w:tabs>
      <w:adjustRightInd w:val="0"/>
      <w:ind w:left="840" w:hanging="360"/>
      <w:textAlignment w:val="baseline"/>
    </w:pPr>
    <w:rPr>
      <w:rFonts w:ascii="Times New Roman" w:hAnsi="Times New Roman" w:eastAsia="宋体"/>
      <w:szCs w:val="24"/>
    </w:rPr>
  </w:style>
  <w:style w:type="paragraph" w:customStyle="1" w:styleId="434">
    <w:name w:val="正文我要"/>
    <w:basedOn w:val="435"/>
    <w:qFormat/>
    <w:uiPriority w:val="0"/>
    <w:pPr>
      <w:tabs>
        <w:tab w:val="left" w:pos="320"/>
        <w:tab w:val="center" w:pos="709"/>
      </w:tabs>
      <w:spacing w:line="360" w:lineRule="auto"/>
      <w:ind w:firstLine="200" w:firstLineChars="200"/>
      <w:jc w:val="left"/>
    </w:pPr>
    <w:rPr>
      <w:sz w:val="24"/>
    </w:rPr>
  </w:style>
  <w:style w:type="paragraph" w:customStyle="1" w:styleId="435">
    <w:name w:val="样式7"/>
    <w:basedOn w:val="229"/>
    <w:qFormat/>
    <w:uiPriority w:val="0"/>
    <w:pPr>
      <w:tabs>
        <w:tab w:val="left" w:pos="320"/>
        <w:tab w:val="center" w:pos="709"/>
      </w:tabs>
      <w:snapToGrid/>
      <w:spacing w:line="320" w:lineRule="exact"/>
      <w:textAlignment w:val="baseline"/>
    </w:pPr>
    <w:rPr>
      <w:color w:val="000000"/>
      <w:spacing w:val="20"/>
      <w:sz w:val="18"/>
      <w:szCs w:val="24"/>
      <w:lang w:val="en-US"/>
    </w:rPr>
  </w:style>
  <w:style w:type="paragraph" w:customStyle="1" w:styleId="436">
    <w:name w:val="正文111111"/>
    <w:basedOn w:val="12"/>
    <w:qFormat/>
    <w:uiPriority w:val="0"/>
    <w:pPr>
      <w:adjustRightInd w:val="0"/>
      <w:spacing w:before="0" w:line="360" w:lineRule="auto"/>
      <w:ind w:firstLine="200" w:firstLineChars="200"/>
      <w:textAlignment w:val="baseline"/>
    </w:pPr>
    <w:rPr>
      <w:rFonts w:ascii="等线" w:hAnsi="等线" w:eastAsia="Times New Roman"/>
      <w:sz w:val="28"/>
      <w:szCs w:val="24"/>
    </w:rPr>
  </w:style>
  <w:style w:type="paragraph" w:customStyle="1" w:styleId="437">
    <w:name w:val="表内容"/>
    <w:qFormat/>
    <w:uiPriority w:val="0"/>
    <w:pPr>
      <w:widowControl w:val="0"/>
      <w:ind w:left="-30" w:leftChars="-30" w:right="-30" w:rightChars="-30"/>
      <w:jc w:val="center"/>
    </w:pPr>
    <w:rPr>
      <w:rFonts w:ascii="Times New Roman" w:hAnsi="Times New Roman" w:eastAsia="宋体" w:cs="Times New Roman"/>
      <w:kern w:val="2"/>
      <w:sz w:val="21"/>
      <w:szCs w:val="21"/>
      <w:lang w:val="en-US" w:eastAsia="zh-CN" w:bidi="ar-SA"/>
    </w:rPr>
  </w:style>
  <w:style w:type="paragraph" w:customStyle="1" w:styleId="438">
    <w:name w:val="垃圾 正文首行缩进"/>
    <w:basedOn w:val="1"/>
    <w:qFormat/>
    <w:uiPriority w:val="0"/>
    <w:pPr>
      <w:tabs>
        <w:tab w:val="center" w:pos="4804"/>
      </w:tabs>
      <w:adjustRightInd w:val="0"/>
      <w:snapToGrid w:val="0"/>
      <w:spacing w:line="420" w:lineRule="exact"/>
      <w:textAlignment w:val="baseline"/>
    </w:pPr>
    <w:rPr>
      <w:rFonts w:ascii="Times New Roman" w:hAnsi="宋体" w:eastAsia="Times New Roman"/>
      <w:color w:val="000000"/>
      <w:kern w:val="0"/>
      <w:sz w:val="28"/>
      <w:szCs w:val="20"/>
    </w:rPr>
  </w:style>
  <w:style w:type="paragraph" w:customStyle="1" w:styleId="439">
    <w:name w:val="表格内"/>
    <w:basedOn w:val="1"/>
    <w:qFormat/>
    <w:uiPriority w:val="0"/>
    <w:pPr>
      <w:adjustRightInd w:val="0"/>
      <w:spacing w:line="240" w:lineRule="atLeast"/>
      <w:jc w:val="center"/>
      <w:textAlignment w:val="baseline"/>
    </w:pPr>
    <w:rPr>
      <w:rFonts w:ascii="宋体" w:hAnsi="Times New Roman" w:eastAsia="宋体"/>
      <w:kern w:val="0"/>
      <w:sz w:val="28"/>
      <w:szCs w:val="20"/>
    </w:rPr>
  </w:style>
  <w:style w:type="paragraph" w:customStyle="1" w:styleId="440">
    <w:name w:val="表体"/>
    <w:qFormat/>
    <w:uiPriority w:val="0"/>
    <w:pPr>
      <w:jc w:val="center"/>
    </w:pPr>
    <w:rPr>
      <w:rFonts w:ascii="宋体" w:hAnsi="Times New Roman" w:eastAsia="宋体" w:cs="Times New Roman"/>
      <w:color w:val="000000"/>
      <w:kern w:val="2"/>
      <w:sz w:val="21"/>
      <w:szCs w:val="24"/>
      <w:lang w:val="en-US" w:eastAsia="zh-CN" w:bidi="ar-SA"/>
    </w:rPr>
  </w:style>
  <w:style w:type="paragraph" w:customStyle="1" w:styleId="441">
    <w:name w:val="Char Char Char Char"/>
    <w:basedOn w:val="1"/>
    <w:qFormat/>
    <w:uiPriority w:val="0"/>
    <w:rPr>
      <w:rFonts w:ascii="Calibri" w:hAnsi="Calibri" w:eastAsia="宋体"/>
      <w:sz w:val="24"/>
      <w:szCs w:val="24"/>
    </w:rPr>
  </w:style>
  <w:style w:type="paragraph" w:customStyle="1" w:styleId="442">
    <w:name w:val="标题3院里"/>
    <w:basedOn w:val="4"/>
    <w:qFormat/>
    <w:uiPriority w:val="0"/>
    <w:pPr>
      <w:keepNext/>
      <w:keepLines/>
      <w:tabs>
        <w:tab w:val="clear" w:pos="862"/>
      </w:tabs>
      <w:adjustRightInd w:val="0"/>
      <w:spacing w:beforeLines="50" w:afterLines="50" w:line="416" w:lineRule="auto"/>
      <w:textAlignment w:val="baseline"/>
    </w:pPr>
    <w:rPr>
      <w:bCs/>
      <w:sz w:val="32"/>
      <w:szCs w:val="32"/>
    </w:rPr>
  </w:style>
  <w:style w:type="paragraph" w:customStyle="1" w:styleId="443">
    <w:name w:val="Char Char Char1 Char1 Char Char Char"/>
    <w:basedOn w:val="1"/>
    <w:qFormat/>
    <w:uiPriority w:val="0"/>
    <w:pPr>
      <w:spacing w:line="500" w:lineRule="exact"/>
      <w:ind w:firstLine="480" w:firstLineChars="200"/>
    </w:pPr>
    <w:rPr>
      <w:rFonts w:ascii="Times New Roman" w:hAnsi="Times New Roman" w:eastAsia="宋体"/>
      <w:sz w:val="24"/>
      <w:szCs w:val="20"/>
    </w:rPr>
  </w:style>
  <w:style w:type="paragraph" w:customStyle="1" w:styleId="444">
    <w:name w:val="样式35"/>
    <w:basedOn w:val="1"/>
    <w:qFormat/>
    <w:uiPriority w:val="0"/>
    <w:pPr>
      <w:adjustRightInd w:val="0"/>
      <w:spacing w:line="312" w:lineRule="auto"/>
      <w:ind w:firstLine="567"/>
    </w:pPr>
    <w:rPr>
      <w:rFonts w:ascii="宋体" w:hAnsi="Times New Roman" w:eastAsia="宋体"/>
      <w:kern w:val="0"/>
      <w:sz w:val="28"/>
      <w:szCs w:val="20"/>
    </w:rPr>
  </w:style>
  <w:style w:type="paragraph" w:customStyle="1" w:styleId="445">
    <w:name w:val="Body Text 22"/>
    <w:qFormat/>
    <w:uiPriority w:val="0"/>
    <w:pPr>
      <w:widowControl w:val="0"/>
      <w:adjustRightInd w:val="0"/>
      <w:spacing w:line="440" w:lineRule="atLeast"/>
      <w:ind w:firstLine="480"/>
      <w:jc w:val="both"/>
      <w:textAlignment w:val="baseline"/>
    </w:pPr>
    <w:rPr>
      <w:rFonts w:ascii="Times New Roman" w:hAnsi="Times New Roman" w:eastAsia="Times New Roman" w:cs="Times New Roman"/>
      <w:kern w:val="2"/>
      <w:sz w:val="24"/>
      <w:lang w:val="en-US" w:eastAsia="zh-CN" w:bidi="ar-SA"/>
    </w:rPr>
  </w:style>
  <w:style w:type="character" w:customStyle="1" w:styleId="446">
    <w:name w:val="正文内容 Char"/>
    <w:qFormat/>
    <w:uiPriority w:val="0"/>
    <w:rPr>
      <w:bCs/>
      <w:color w:val="000000"/>
      <w:szCs w:val="24"/>
    </w:rPr>
  </w:style>
  <w:style w:type="paragraph" w:customStyle="1" w:styleId="447">
    <w:name w:val="页末正文"/>
    <w:basedOn w:val="1"/>
    <w:qFormat/>
    <w:uiPriority w:val="0"/>
    <w:pPr>
      <w:adjustRightInd w:val="0"/>
      <w:spacing w:after="240" w:line="480" w:lineRule="exact"/>
      <w:ind w:firstLine="560" w:firstLineChars="200"/>
      <w:textAlignment w:val="baseline"/>
    </w:pPr>
    <w:rPr>
      <w:rFonts w:ascii="Times New Roman" w:hAnsi="Times New Roman" w:eastAsia="Times New Roman"/>
      <w:color w:val="000000"/>
      <w:sz w:val="28"/>
      <w:szCs w:val="24"/>
    </w:rPr>
  </w:style>
  <w:style w:type="paragraph" w:customStyle="1" w:styleId="448">
    <w:name w:val="表内文字小五号字"/>
    <w:basedOn w:val="1"/>
    <w:qFormat/>
    <w:uiPriority w:val="0"/>
    <w:pPr>
      <w:adjustRightInd w:val="0"/>
      <w:spacing w:line="360" w:lineRule="atLeast"/>
      <w:jc w:val="center"/>
      <w:textAlignment w:val="baseline"/>
    </w:pPr>
    <w:rPr>
      <w:rFonts w:ascii="Times New Roman" w:hAnsi="Times New Roman" w:eastAsia="宋体"/>
      <w:kern w:val="0"/>
      <w:sz w:val="18"/>
      <w:szCs w:val="24"/>
    </w:rPr>
  </w:style>
  <w:style w:type="paragraph" w:customStyle="1" w:styleId="449">
    <w:name w:val="报告表"/>
    <w:basedOn w:val="1"/>
    <w:qFormat/>
    <w:uiPriority w:val="0"/>
    <w:pPr>
      <w:adjustRightInd w:val="0"/>
      <w:spacing w:line="360" w:lineRule="atLeast"/>
      <w:textAlignment w:val="baseline"/>
    </w:pPr>
    <w:rPr>
      <w:rFonts w:ascii="Times New Roman" w:hAnsi="Times New Roman" w:eastAsia="宋体"/>
      <w:sz w:val="24"/>
      <w:szCs w:val="24"/>
    </w:rPr>
  </w:style>
  <w:style w:type="paragraph" w:customStyle="1" w:styleId="450">
    <w:name w:val="表标1"/>
    <w:basedOn w:val="1"/>
    <w:qFormat/>
    <w:uiPriority w:val="0"/>
    <w:pPr>
      <w:tabs>
        <w:tab w:val="left" w:pos="1418"/>
      </w:tabs>
      <w:adjustRightInd w:val="0"/>
      <w:snapToGrid w:val="0"/>
      <w:jc w:val="center"/>
      <w:textAlignment w:val="baseline"/>
    </w:pPr>
    <w:rPr>
      <w:rFonts w:ascii="Times New Roman" w:hAnsi="Times New Roman" w:eastAsia="宋体"/>
      <w:b/>
      <w:szCs w:val="24"/>
    </w:rPr>
  </w:style>
  <w:style w:type="paragraph" w:customStyle="1" w:styleId="451">
    <w:name w:val="Other|1"/>
    <w:basedOn w:val="1"/>
    <w:unhideWhenUsed/>
    <w:qFormat/>
    <w:uiPriority w:val="0"/>
    <w:pPr>
      <w:adjustRightInd w:val="0"/>
      <w:spacing w:line="360" w:lineRule="atLeast"/>
      <w:ind w:firstLine="560"/>
      <w:textAlignment w:val="baseline"/>
    </w:pPr>
    <w:rPr>
      <w:rFonts w:hint="eastAsia" w:ascii="Times New Roman" w:hAnsi="Times New Roman" w:eastAsia="宋体"/>
      <w:b/>
      <w:sz w:val="19"/>
      <w:szCs w:val="24"/>
    </w:rPr>
  </w:style>
  <w:style w:type="character" w:customStyle="1" w:styleId="452">
    <w:name w:val="folder1"/>
    <w:basedOn w:val="52"/>
    <w:qFormat/>
    <w:uiPriority w:val="0"/>
  </w:style>
  <w:style w:type="paragraph" w:customStyle="1" w:styleId="453">
    <w:name w:val="正文_3"/>
    <w:qFormat/>
    <w:uiPriority w:val="0"/>
    <w:pPr>
      <w:widowControl w:val="0"/>
      <w:jc w:val="both"/>
    </w:pPr>
    <w:rPr>
      <w:rFonts w:ascii="Calibri" w:hAnsi="Calibri" w:eastAsia="宋体" w:cs="Times New Roman"/>
      <w:kern w:val="2"/>
      <w:sz w:val="21"/>
      <w:lang w:val="en-US" w:eastAsia="zh-CN" w:bidi="ar-SA"/>
    </w:rPr>
  </w:style>
  <w:style w:type="paragraph" w:customStyle="1" w:styleId="454">
    <w:name w:val="正文_11"/>
    <w:qFormat/>
    <w:uiPriority w:val="0"/>
    <w:pPr>
      <w:widowControl w:val="0"/>
      <w:jc w:val="both"/>
    </w:pPr>
    <w:rPr>
      <w:rFonts w:ascii="Calibri" w:hAnsi="Calibri" w:eastAsia="宋体" w:cs="Times New Roman"/>
      <w:kern w:val="2"/>
      <w:sz w:val="21"/>
      <w:lang w:val="en-US" w:eastAsia="zh-CN" w:bidi="ar-SA"/>
    </w:rPr>
  </w:style>
  <w:style w:type="paragraph" w:customStyle="1" w:styleId="455">
    <w:name w:val="正文_14"/>
    <w:qFormat/>
    <w:uiPriority w:val="0"/>
    <w:pPr>
      <w:widowControl w:val="0"/>
      <w:jc w:val="both"/>
    </w:pPr>
    <w:rPr>
      <w:rFonts w:ascii="Calibri" w:hAnsi="Calibri" w:eastAsia="宋体" w:cs="Times New Roman"/>
      <w:kern w:val="2"/>
      <w:sz w:val="21"/>
      <w:lang w:val="en-US" w:eastAsia="zh-CN" w:bidi="ar-SA"/>
    </w:rPr>
  </w:style>
  <w:style w:type="paragraph" w:customStyle="1" w:styleId="456">
    <w:name w:val="正文_17"/>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57">
    <w:name w:val="正文_18"/>
    <w:qFormat/>
    <w:uiPriority w:val="0"/>
    <w:pPr>
      <w:widowControl w:val="0"/>
      <w:jc w:val="both"/>
    </w:pPr>
    <w:rPr>
      <w:rFonts w:ascii="Calibri" w:hAnsi="Calibri" w:eastAsia="宋体" w:cs="Times New Roman"/>
      <w:kern w:val="2"/>
      <w:sz w:val="21"/>
      <w:lang w:val="en-US" w:eastAsia="zh-CN" w:bidi="ar-SA"/>
    </w:rPr>
  </w:style>
  <w:style w:type="paragraph" w:customStyle="1" w:styleId="458">
    <w:name w:val="1 Char Char Char Char Char Char Char Char Char Char"/>
    <w:basedOn w:val="1"/>
    <w:qFormat/>
    <w:uiPriority w:val="0"/>
    <w:rPr>
      <w:rFonts w:ascii="Times New Roman" w:hAnsi="Times New Roman" w:eastAsia="宋体"/>
      <w:szCs w:val="24"/>
    </w:rPr>
  </w:style>
  <w:style w:type="character" w:customStyle="1" w:styleId="459">
    <w:name w:val="谏壁正文chen Char"/>
    <w:link w:val="460"/>
    <w:qFormat/>
    <w:locked/>
    <w:uiPriority w:val="0"/>
    <w:rPr>
      <w:kern w:val="2"/>
      <w:sz w:val="24"/>
      <w:szCs w:val="24"/>
    </w:rPr>
  </w:style>
  <w:style w:type="paragraph" w:customStyle="1" w:styleId="460">
    <w:name w:val="谏壁正文chen"/>
    <w:basedOn w:val="1"/>
    <w:link w:val="459"/>
    <w:qFormat/>
    <w:uiPriority w:val="0"/>
    <w:pPr>
      <w:spacing w:line="360" w:lineRule="auto"/>
      <w:ind w:firstLine="200" w:firstLineChars="200"/>
    </w:pPr>
    <w:rPr>
      <w:sz w:val="24"/>
      <w:szCs w:val="24"/>
    </w:rPr>
  </w:style>
  <w:style w:type="paragraph" w:customStyle="1" w:styleId="461">
    <w:name w:val="表格标题（居中）"/>
    <w:basedOn w:val="1"/>
    <w:qFormat/>
    <w:uiPriority w:val="0"/>
    <w:pPr>
      <w:widowControl/>
      <w:adjustRightInd w:val="0"/>
      <w:snapToGrid w:val="0"/>
      <w:spacing w:beforeLines="50" w:afterLines="50"/>
      <w:ind w:left="425" w:hanging="425"/>
      <w:jc w:val="center"/>
    </w:pPr>
    <w:rPr>
      <w:rFonts w:ascii="Times New Roman" w:hAnsi="Times New Roman" w:eastAsia="黑体"/>
      <w:color w:val="000000"/>
      <w:sz w:val="24"/>
      <w:szCs w:val="24"/>
    </w:rPr>
  </w:style>
  <w:style w:type="paragraph" w:customStyle="1" w:styleId="462">
    <w:name w:val="表文-lcc"/>
    <w:basedOn w:val="1"/>
    <w:link w:val="463"/>
    <w:qFormat/>
    <w:uiPriority w:val="0"/>
    <w:pPr>
      <w:jc w:val="center"/>
    </w:pPr>
    <w:rPr>
      <w:rFonts w:ascii="Calibri" w:hAnsi="Calibri" w:eastAsia="宋体"/>
      <w:szCs w:val="21"/>
    </w:rPr>
  </w:style>
  <w:style w:type="character" w:customStyle="1" w:styleId="463">
    <w:name w:val="表文-lcc Char"/>
    <w:link w:val="462"/>
    <w:qFormat/>
    <w:uiPriority w:val="0"/>
    <w:rPr>
      <w:rFonts w:ascii="Calibri" w:hAnsi="Calibri" w:eastAsia="宋体"/>
      <w:kern w:val="2"/>
      <w:sz w:val="21"/>
      <w:szCs w:val="21"/>
    </w:rPr>
  </w:style>
  <w:style w:type="character" w:customStyle="1" w:styleId="464">
    <w:name w:val="表头2-lcc Char"/>
    <w:link w:val="465"/>
    <w:qFormat/>
    <w:uiPriority w:val="0"/>
    <w:rPr>
      <w:rFonts w:eastAsia="仿宋"/>
      <w:b/>
      <w:bCs/>
      <w:color w:val="000000"/>
      <w:kern w:val="2"/>
      <w:sz w:val="21"/>
      <w:szCs w:val="24"/>
    </w:rPr>
  </w:style>
  <w:style w:type="paragraph" w:customStyle="1" w:styleId="465">
    <w:name w:val="表头2-lcc"/>
    <w:basedOn w:val="462"/>
    <w:link w:val="464"/>
    <w:qFormat/>
    <w:uiPriority w:val="0"/>
    <w:pPr>
      <w:snapToGrid w:val="0"/>
    </w:pPr>
    <w:rPr>
      <w:rFonts w:ascii="等线" w:hAnsi="等线" w:eastAsia="仿宋"/>
      <w:b/>
      <w:bCs/>
      <w:color w:val="000000"/>
      <w:szCs w:val="24"/>
    </w:rPr>
  </w:style>
  <w:style w:type="character" w:customStyle="1" w:styleId="466">
    <w:name w:val="正文lcc1 Char"/>
    <w:link w:val="467"/>
    <w:qFormat/>
    <w:locked/>
    <w:uiPriority w:val="99"/>
    <w:rPr>
      <w:rFonts w:ascii="Calibri" w:hAnsi="Calibri"/>
      <w:color w:val="000000"/>
      <w:sz w:val="24"/>
      <w:szCs w:val="22"/>
    </w:rPr>
  </w:style>
  <w:style w:type="paragraph" w:customStyle="1" w:styleId="467">
    <w:name w:val="正文lcc1"/>
    <w:basedOn w:val="1"/>
    <w:link w:val="466"/>
    <w:qFormat/>
    <w:uiPriority w:val="99"/>
    <w:pPr>
      <w:spacing w:line="360" w:lineRule="auto"/>
      <w:ind w:firstLine="200" w:firstLineChars="200"/>
    </w:pPr>
    <w:rPr>
      <w:rFonts w:ascii="Calibri" w:hAnsi="Calibri"/>
      <w:color w:val="000000"/>
      <w:kern w:val="0"/>
      <w:sz w:val="24"/>
    </w:rPr>
  </w:style>
  <w:style w:type="paragraph" w:customStyle="1" w:styleId="468">
    <w:name w:val="正文lcc"/>
    <w:basedOn w:val="1"/>
    <w:qFormat/>
    <w:uiPriority w:val="99"/>
    <w:pPr>
      <w:snapToGrid w:val="0"/>
      <w:spacing w:line="360" w:lineRule="auto"/>
      <w:ind w:firstLine="480" w:firstLineChars="200"/>
    </w:pPr>
    <w:rPr>
      <w:rFonts w:ascii="Calibri" w:hAnsi="Calibri" w:eastAsia="宋体"/>
      <w:color w:val="000000"/>
      <w:sz w:val="24"/>
    </w:rPr>
  </w:style>
  <w:style w:type="character" w:customStyle="1" w:styleId="469">
    <w:name w:val="正文lcc2 Char"/>
    <w:link w:val="470"/>
    <w:qFormat/>
    <w:locked/>
    <w:uiPriority w:val="99"/>
    <w:rPr>
      <w:rFonts w:ascii="Calibri" w:hAnsi="Calibri" w:cs="Calibri"/>
      <w:sz w:val="24"/>
      <w:szCs w:val="22"/>
    </w:rPr>
  </w:style>
  <w:style w:type="paragraph" w:customStyle="1" w:styleId="470">
    <w:name w:val="正文lcc2"/>
    <w:basedOn w:val="12"/>
    <w:next w:val="1"/>
    <w:link w:val="469"/>
    <w:qFormat/>
    <w:uiPriority w:val="99"/>
    <w:pPr>
      <w:spacing w:before="0" w:line="360" w:lineRule="auto"/>
      <w:ind w:firstLine="200" w:firstLineChars="200"/>
    </w:pPr>
    <w:rPr>
      <w:rFonts w:eastAsia="等线"/>
      <w:kern w:val="0"/>
      <w:szCs w:val="22"/>
    </w:rPr>
  </w:style>
  <w:style w:type="paragraph" w:customStyle="1" w:styleId="471">
    <w:name w:val="表头lcc1"/>
    <w:basedOn w:val="1"/>
    <w:qFormat/>
    <w:uiPriority w:val="0"/>
    <w:pPr>
      <w:jc w:val="center"/>
    </w:pPr>
    <w:rPr>
      <w:rFonts w:ascii="Calibri" w:hAnsi="Calibri" w:eastAsia="宋体"/>
      <w:b/>
    </w:rPr>
  </w:style>
  <w:style w:type="table" w:customStyle="1" w:styleId="472">
    <w:name w:val="Table Normal"/>
    <w:unhideWhenUsed/>
    <w:qFormat/>
    <w:uiPriority w:val="0"/>
    <w:rPr>
      <w:rFonts w:ascii="Times New Roman" w:hAnsi="Times New Roman" w:eastAsia="宋体"/>
      <w:lang w:val="en-US" w:eastAsia="zh-CN" w:bidi="ar-SA"/>
    </w:rPr>
    <w:tblPr>
      <w:tblCellMar>
        <w:top w:w="0" w:type="dxa"/>
        <w:left w:w="0" w:type="dxa"/>
        <w:bottom w:w="0" w:type="dxa"/>
        <w:right w:w="0" w:type="dxa"/>
      </w:tblCellMar>
    </w:tblPr>
  </w:style>
  <w:style w:type="paragraph" w:customStyle="1" w:styleId="473">
    <w:name w:val="_Style 475"/>
    <w:unhideWhenUsed/>
    <w:qFormat/>
    <w:uiPriority w:val="99"/>
    <w:rPr>
      <w:rFonts w:ascii="Times New Roman" w:hAnsi="Times New Roman" w:eastAsia="宋体" w:cs="Times New Roman"/>
      <w:kern w:val="2"/>
      <w:sz w:val="21"/>
      <w:szCs w:val="22"/>
      <w:lang w:val="en-US" w:eastAsia="zh-CN" w:bidi="ar-SA"/>
    </w:rPr>
  </w:style>
  <w:style w:type="table" w:customStyle="1" w:styleId="474">
    <w:name w:val="表格主题3"/>
    <w:basedOn w:val="50"/>
    <w:unhideWhenUsed/>
    <w:qFormat/>
    <w:uiPriority w:val="0"/>
    <w:pPr>
      <w:jc w:val="center"/>
    </w:pPr>
    <w:rPr>
      <w:sz w:val="21"/>
    </w:rPr>
    <w:tblPr>
      <w:tblBorders>
        <w:top w:val="single" w:color="auto" w:sz="12" w:space="0"/>
        <w:bottom w:val="single" w:color="auto" w:sz="12" w:space="0"/>
      </w:tblBorders>
    </w:tblPr>
    <w:tcPr>
      <w:vAlign w:val="center"/>
    </w:tcPr>
    <w:tblStylePr w:type="firstRow">
      <w:rPr>
        <w:rFonts w:hint="default" w:ascii="Arial" w:hAnsi="Arial" w:eastAsia="等线" w:cs="Arial"/>
        <w:b/>
        <w:i w:val="0"/>
        <w:sz w:val="21"/>
        <w:szCs w:val="21"/>
      </w:rPr>
    </w:tblStylePr>
  </w:style>
  <w:style w:type="table" w:customStyle="1" w:styleId="475">
    <w:name w:val="表格虚线24"/>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6">
    <w:name w:val="网格型1115"/>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7">
    <w:name w:val="网格型215"/>
    <w:basedOn w:val="49"/>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8">
    <w:name w:val="表格虚线14"/>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9">
    <w:name w:val="网格型125"/>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0">
    <w:name w:val="表格主题111"/>
    <w:basedOn w:val="50"/>
    <w:qFormat/>
    <w:uiPriority w:val="0"/>
    <w:pPr>
      <w:jc w:val="center"/>
    </w:pPr>
    <w:rPr>
      <w:sz w:val="21"/>
    </w:rPr>
    <w:tblPr>
      <w:tblBorders>
        <w:top w:val="single" w:color="auto" w:sz="12" w:space="0"/>
        <w:bottom w:val="single" w:color="auto" w:sz="12" w:space="0"/>
      </w:tblBorders>
    </w:tblPr>
    <w:tcPr>
      <w:vAlign w:val="center"/>
    </w:tcPr>
    <w:tblStylePr w:type="firstRow">
      <w:rPr>
        <w:rFonts w:hint="default" w:ascii="Arial" w:hAnsi="Arial" w:eastAsia="等线" w:cs="Arial"/>
        <w:b/>
        <w:i w:val="0"/>
        <w:sz w:val="21"/>
        <w:szCs w:val="21"/>
      </w:rPr>
    </w:tblStylePr>
  </w:style>
  <w:style w:type="table" w:customStyle="1" w:styleId="481">
    <w:name w:val="表格虚线34"/>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2">
    <w:name w:val="表格主题12"/>
    <w:basedOn w:val="50"/>
    <w:qFormat/>
    <w:uiPriority w:val="0"/>
    <w:pPr>
      <w:spacing w:after="160" w:line="256" w:lineRule="auto"/>
      <w:jc w:val="center"/>
    </w:pPr>
    <w:rPr>
      <w:rFonts w:ascii="等线" w:hAnsi="等线" w:eastAsia="等线"/>
      <w:sz w:val="21"/>
      <w:szCs w:val="22"/>
    </w:rPr>
    <w:tblPr>
      <w:tblBorders>
        <w:top w:val="single" w:color="auto" w:sz="12" w:space="0"/>
        <w:bottom w:val="single" w:color="auto" w:sz="12" w:space="0"/>
      </w:tblBorders>
    </w:tblPr>
    <w:tcPr>
      <w:vAlign w:val="center"/>
    </w:tcPr>
    <w:tblStylePr w:type="firstRow">
      <w:rPr>
        <w:rFonts w:hint="default" w:ascii="Arial" w:hAnsi="Arial" w:eastAsia="等线" w:cs="Arial"/>
        <w:b/>
        <w:i w:val="0"/>
        <w:sz w:val="21"/>
        <w:szCs w:val="21"/>
      </w:rPr>
    </w:tblStylePr>
  </w:style>
  <w:style w:type="table" w:customStyle="1" w:styleId="483">
    <w:name w:val="网格型315"/>
    <w:basedOn w:val="49"/>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4">
    <w:name w:val="表格主题21"/>
    <w:basedOn w:val="50"/>
    <w:qFormat/>
    <w:uiPriority w:val="0"/>
    <w:pPr>
      <w:jc w:val="center"/>
    </w:pPr>
    <w:rPr>
      <w:sz w:val="21"/>
    </w:rPr>
    <w:tblPr>
      <w:tblBorders>
        <w:top w:val="single" w:color="auto" w:sz="12" w:space="0"/>
        <w:bottom w:val="single" w:color="auto" w:sz="12" w:space="0"/>
      </w:tblBorders>
    </w:tblPr>
    <w:tcPr>
      <w:vAlign w:val="center"/>
    </w:tcPr>
    <w:tblStylePr w:type="firstRow">
      <w:rPr>
        <w:rFonts w:hint="default" w:ascii="Arial" w:hAnsi="Arial" w:eastAsia="等线" w:cs="Arial"/>
        <w:b/>
        <w:i w:val="0"/>
        <w:sz w:val="21"/>
        <w:szCs w:val="21"/>
      </w:rPr>
    </w:tblStylePr>
  </w:style>
  <w:style w:type="table" w:customStyle="1" w:styleId="485">
    <w:name w:val="网格型425"/>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6">
    <w:name w:val="环评表格6"/>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487">
    <w:name w:val="表格虚线211"/>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8">
    <w:name w:val="网格型11121"/>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9">
    <w:name w:val="网格型2121"/>
    <w:basedOn w:val="49"/>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0">
    <w:name w:val="表格虚线111"/>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1">
    <w:name w:val="网格型1221"/>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2">
    <w:name w:val="表格虚线311"/>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3">
    <w:name w:val="网格型3121"/>
    <w:basedOn w:val="49"/>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4">
    <w:name w:val="网格型4221"/>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5">
    <w:name w:val="环评表格14"/>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496">
    <w:name w:val="环评表格11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497">
    <w:name w:val="环评表格23"/>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498">
    <w:name w:val="环评表格33"/>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499">
    <w:name w:val="表格虚线221"/>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0">
    <w:name w:val="网格型11131"/>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1">
    <w:name w:val="网格型2131"/>
    <w:basedOn w:val="49"/>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2">
    <w:name w:val="表格虚线121"/>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3">
    <w:name w:val="网格型1231"/>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4">
    <w:name w:val="表格虚线321"/>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5">
    <w:name w:val="网格型3131"/>
    <w:basedOn w:val="49"/>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6">
    <w:name w:val="网格型4231"/>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7">
    <w:name w:val="环评表格4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08">
    <w:name w:val="环评表格12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09">
    <w:name w:val="环评表格21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10">
    <w:name w:val="环评表格31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11">
    <w:name w:val="表格虚线231"/>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2">
    <w:name w:val="网格型11141"/>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3">
    <w:name w:val="网格型2141"/>
    <w:basedOn w:val="49"/>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4">
    <w:name w:val="表格虚线131"/>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5">
    <w:name w:val="网格型1241"/>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6">
    <w:name w:val="表格虚线331"/>
    <w:basedOn w:val="49"/>
    <w:qFormat/>
    <w:uiPriority w:val="39"/>
    <w:pPr>
      <w:widowControl w:val="0"/>
      <w:spacing w:after="160" w:line="256" w:lineRule="auto"/>
      <w:jc w:val="both"/>
    </w:pPr>
    <w:rPr>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7">
    <w:name w:val="网格型3141"/>
    <w:basedOn w:val="49"/>
    <w:qFormat/>
    <w:uiPriority w:val="99"/>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8">
    <w:name w:val="网格型4241"/>
    <w:basedOn w:val="49"/>
    <w:qFormat/>
    <w:uiPriority w:val="0"/>
    <w:pPr>
      <w:widowControl w:val="0"/>
      <w:spacing w:after="160" w:line="256" w:lineRule="auto"/>
      <w:jc w:val="both"/>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9">
    <w:name w:val="环评表格5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20">
    <w:name w:val="环评表格13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21">
    <w:name w:val="环评表格22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22">
    <w:name w:val="环评表格321"/>
    <w:basedOn w:val="49"/>
    <w:qFormat/>
    <w:uiPriority w:val="99"/>
    <w:pPr>
      <w:widowControl w:val="0"/>
      <w:jc w:val="center"/>
    </w:pPr>
    <w:rPr>
      <w:rFonts w:ascii="Times New Roman" w:hAnsi="Times New Roman" w:eastAsia="宋体"/>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tblStylePr w:type="firstRow">
      <w:pPr>
        <w:jc w:val="center"/>
      </w:pPr>
      <w:rPr>
        <w:b w:val="0"/>
        <w:i w:val="0"/>
        <w:sz w:val="21"/>
        <w:szCs w:val="21"/>
      </w:rPr>
      <w:tcPr>
        <w:tcBorders>
          <w:top w:val="nil"/>
          <w:left w:val="nil"/>
          <w:bottom w:val="single" w:color="auto" w:sz="12" w:space="0"/>
          <w:right w:val="nil"/>
          <w:insideH w:val="nil"/>
          <w:insideV w:val="nil"/>
          <w:tl2br w:val="nil"/>
          <w:tr2bl w:val="nil"/>
        </w:tcBorders>
      </w:tcPr>
    </w:tblStylePr>
  </w:style>
  <w:style w:type="table" w:customStyle="1" w:styleId="523">
    <w:name w:val="网格型151"/>
    <w:basedOn w:val="4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24">
    <w:name w:val="未处理的提及"/>
    <w:unhideWhenUsed/>
    <w:qFormat/>
    <w:uiPriority w:val="99"/>
    <w:rPr>
      <w:color w:val="605E5C"/>
      <w:shd w:val="clear" w:color="auto" w:fill="E1DFDD"/>
    </w:rPr>
  </w:style>
  <w:style w:type="character" w:customStyle="1" w:styleId="525">
    <w:name w:val="font121"/>
    <w:qFormat/>
    <w:uiPriority w:val="0"/>
    <w:rPr>
      <w:rFonts w:hint="eastAsia" w:ascii="宋体" w:hAnsi="宋体" w:eastAsia="宋体"/>
      <w:b/>
      <w:bCs/>
      <w:color w:val="000000"/>
      <w:sz w:val="21"/>
      <w:szCs w:val="21"/>
      <w:u w:val="none"/>
    </w:rPr>
  </w:style>
  <w:style w:type="character" w:customStyle="1" w:styleId="526">
    <w:name w:val="font141"/>
    <w:qFormat/>
    <w:uiPriority w:val="0"/>
    <w:rPr>
      <w:rFonts w:hint="default" w:ascii="Times New Roman" w:hAnsi="Times New Roman" w:cs="Times New Roman"/>
      <w:b/>
      <w:bCs/>
      <w:color w:val="000000"/>
      <w:sz w:val="21"/>
      <w:szCs w:val="21"/>
      <w:u w:val="none"/>
      <w:vertAlign w:val="superscript"/>
    </w:rPr>
  </w:style>
  <w:style w:type="character" w:customStyle="1" w:styleId="527">
    <w:name w:val="font151"/>
    <w:qFormat/>
    <w:uiPriority w:val="0"/>
    <w:rPr>
      <w:rFonts w:hint="eastAsia" w:ascii="宋体" w:hAnsi="宋体" w:eastAsia="宋体"/>
      <w:color w:val="FF0000"/>
      <w:sz w:val="21"/>
      <w:szCs w:val="21"/>
      <w:u w:val="none"/>
    </w:rPr>
  </w:style>
  <w:style w:type="character" w:customStyle="1" w:styleId="528">
    <w:name w:val="font161"/>
    <w:qFormat/>
    <w:uiPriority w:val="0"/>
    <w:rPr>
      <w:rFonts w:hint="eastAsia" w:ascii="宋体" w:hAnsi="宋体" w:eastAsia="宋体"/>
      <w:color w:val="00CCFF"/>
      <w:sz w:val="21"/>
      <w:szCs w:val="21"/>
      <w:u w:val="none"/>
    </w:rPr>
  </w:style>
  <w:style w:type="character" w:customStyle="1" w:styleId="529">
    <w:name w:val="font131"/>
    <w:qFormat/>
    <w:uiPriority w:val="0"/>
    <w:rPr>
      <w:rFonts w:hint="default" w:ascii="Times New Roman" w:hAnsi="Times New Roman" w:cs="Times New Roman"/>
      <w:b/>
      <w:bCs/>
      <w:color w:val="000000"/>
      <w:sz w:val="21"/>
      <w:szCs w:val="21"/>
      <w:u w:val="none"/>
      <w:vertAlign w:val="superscript"/>
    </w:rPr>
  </w:style>
  <w:style w:type="character" w:customStyle="1" w:styleId="530">
    <w:name w:val="标题 2 Char"/>
    <w:qFormat/>
    <w:uiPriority w:val="0"/>
    <w:rPr>
      <w:rFonts w:ascii="Times New Roman" w:hAnsi="Times New Roman" w:eastAsia="宋体" w:cs="宋体"/>
      <w:b/>
      <w:bCs/>
      <w:sz w:val="28"/>
      <w:szCs w:val="28"/>
      <w:lang w:val="zh-CN" w:bidi="zh-CN"/>
    </w:rPr>
  </w:style>
  <w:style w:type="character" w:customStyle="1" w:styleId="531">
    <w:name w:val="文档结构图 Char"/>
    <w:semiHidden/>
    <w:qFormat/>
    <w:uiPriority w:val="99"/>
    <w:rPr>
      <w:rFonts w:ascii="宋体" w:eastAsia="宋体"/>
      <w:kern w:val="2"/>
      <w:sz w:val="18"/>
      <w:szCs w:val="18"/>
    </w:rPr>
  </w:style>
  <w:style w:type="character" w:customStyle="1" w:styleId="532">
    <w:name w:val="正文文本缩进 2 Char"/>
    <w:qFormat/>
    <w:uiPriority w:val="0"/>
    <w:rPr>
      <w:rFonts w:ascii="Times New Roman" w:hAnsi="Times New Roman" w:eastAsia="宋体" w:cs="Times New Roman"/>
      <w:bCs/>
      <w:kern w:val="2"/>
      <w:sz w:val="28"/>
    </w:rPr>
  </w:style>
  <w:style w:type="character" w:customStyle="1" w:styleId="533">
    <w:name w:val="批注框文本 Char"/>
    <w:semiHidden/>
    <w:qFormat/>
    <w:uiPriority w:val="99"/>
    <w:rPr>
      <w:kern w:val="2"/>
      <w:sz w:val="18"/>
      <w:szCs w:val="18"/>
    </w:rPr>
  </w:style>
  <w:style w:type="paragraph" w:customStyle="1" w:styleId="534">
    <w:name w:val="_Style 536"/>
    <w:basedOn w:val="2"/>
    <w:next w:val="1"/>
    <w:unhideWhenUsed/>
    <w:qFormat/>
    <w:uiPriority w:val="39"/>
    <w:pPr>
      <w:widowControl/>
      <w:tabs>
        <w:tab w:val="clear" w:pos="432"/>
      </w:tabs>
      <w:spacing w:before="480" w:line="276" w:lineRule="auto"/>
      <w:outlineLvl w:val="9"/>
    </w:pPr>
    <w:rPr>
      <w:rFonts w:ascii="Cambria" w:hAnsi="Cambria" w:eastAsia="宋体" w:cs="Times New Roman"/>
      <w:bCs/>
      <w:color w:val="365F91"/>
      <w:kern w:val="0"/>
      <w:sz w:val="28"/>
      <w:szCs w:val="28"/>
      <w:lang w:val="en-US" w:eastAsia="zh-CN"/>
    </w:rPr>
  </w:style>
  <w:style w:type="table" w:customStyle="1" w:styleId="535">
    <w:name w:val="环评表格样式"/>
    <w:basedOn w:val="49"/>
    <w:qFormat/>
    <w:uiPriority w:val="99"/>
    <w:pPr>
      <w:jc w:val="center"/>
      <w:textAlignment w:val="center"/>
    </w:pPr>
    <w:rPr>
      <w:sz w:val="21"/>
    </w:rPr>
    <w:tblPr>
      <w:jc w:val="center"/>
      <w:tblBorders>
        <w:top w:val="single" w:color="auto" w:sz="12" w:space="0"/>
        <w:bottom w:val="single" w:color="auto" w:sz="12" w:space="0"/>
        <w:insideH w:val="single" w:color="auto" w:sz="4" w:space="0"/>
        <w:insideV w:val="single" w:color="auto" w:sz="4" w:space="0"/>
      </w:tblBorders>
      <w:tblCellMar>
        <w:top w:w="28" w:type="dxa"/>
        <w:left w:w="28" w:type="dxa"/>
        <w:bottom w:w="28" w:type="dxa"/>
        <w:right w:w="28" w:type="dxa"/>
      </w:tblCellMar>
    </w:tblPr>
    <w:trPr>
      <w:jc w:val="center"/>
    </w:trPr>
    <w:tcPr>
      <w:vAlign w:val="center"/>
    </w:tcPr>
    <w:tblStylePr w:type="firstRow">
      <w:rPr>
        <w:rFonts w:ascii="Times New Roman" w:hAnsi="Times New Roman" w:eastAsia="宋体"/>
        <w:b/>
        <w:i w:val="0"/>
        <w:sz w:val="21"/>
      </w:rPr>
    </w:tblStylePr>
  </w:style>
  <w:style w:type="paragraph" w:customStyle="1" w:styleId="536">
    <w:name w:val="表图号"/>
    <w:basedOn w:val="1"/>
    <w:qFormat/>
    <w:uiPriority w:val="99"/>
    <w:pPr>
      <w:spacing w:before="60" w:after="60" w:line="240" w:lineRule="auto"/>
      <w:jc w:val="center"/>
    </w:pPr>
    <w:rPr>
      <w:rFonts w:eastAsia="黑体"/>
      <w:lang w:val="zh-CN"/>
    </w:rPr>
  </w:style>
  <w:style w:type="paragraph" w:customStyle="1" w:styleId="537">
    <w:name w:val="表格CAT"/>
    <w:basedOn w:val="538"/>
    <w:qFormat/>
    <w:uiPriority w:val="99"/>
    <w:pPr>
      <w:widowControl/>
      <w:tabs>
        <w:tab w:val="left" w:pos="560"/>
      </w:tabs>
      <w:spacing w:line="240" w:lineRule="auto"/>
      <w:ind w:firstLine="0" w:firstLineChars="0"/>
      <w:jc w:val="center"/>
    </w:pPr>
  </w:style>
  <w:style w:type="paragraph" w:customStyle="1" w:styleId="538">
    <w:name w:val="表格文字-表外"/>
    <w:basedOn w:val="1"/>
    <w:unhideWhenUsed/>
    <w:qFormat/>
    <w:uiPriority w:val="0"/>
    <w:pPr>
      <w:snapToGrid w:val="0"/>
      <w:spacing w:beforeLines="0" w:afterLines="0"/>
      <w:jc w:val="center"/>
    </w:pPr>
    <w:rPr>
      <w:rFonts w:hint="default" w:ascii="Times New Roman" w:hAnsi="Times New Roman" w:eastAsia="Times New Roman"/>
    </w:rPr>
  </w:style>
  <w:style w:type="paragraph" w:customStyle="1" w:styleId="539">
    <w:name w:val="简单回函地址"/>
    <w:basedOn w:val="1"/>
    <w:qFormat/>
    <w:uiPriority w:val="0"/>
    <w:rPr>
      <w:sz w:val="24"/>
    </w:rPr>
  </w:style>
  <w:style w:type="character" w:customStyle="1" w:styleId="540">
    <w:name w:val="样式一"/>
    <w:qFormat/>
    <w:uiPriority w:val="0"/>
    <w:rPr>
      <w:rFonts w:eastAsia="宋体"/>
      <w:b/>
      <w:sz w:val="32"/>
    </w:rPr>
  </w:style>
  <w:style w:type="paragraph" w:customStyle="1" w:styleId="541">
    <w:name w:val="0皮革正文"/>
    <w:basedOn w:val="1"/>
    <w:qFormat/>
    <w:uiPriority w:val="0"/>
    <w:pPr>
      <w:adjustRightInd w:val="0"/>
      <w:snapToGrid w:val="0"/>
      <w:spacing w:line="360" w:lineRule="auto"/>
      <w:ind w:firstLine="200" w:firstLineChars="200"/>
    </w:pPr>
    <w:rPr>
      <w:spacing w:val="0"/>
    </w:rPr>
  </w:style>
  <w:style w:type="paragraph" w:customStyle="1" w:styleId="542">
    <w:name w:val="正文11"/>
    <w:basedOn w:val="1"/>
    <w:qFormat/>
    <w:uiPriority w:val="0"/>
    <w:pPr>
      <w:spacing w:line="360" w:lineRule="auto"/>
      <w:ind w:firstLine="1040" w:firstLineChars="200"/>
    </w:pPr>
    <w:rPr>
      <w:rFonts w:hint="default" w:ascii="Times New Roman" w:hAnsi="Times New Roman"/>
      <w:sz w:val="24"/>
    </w:rPr>
  </w:style>
  <w:style w:type="paragraph" w:customStyle="1" w:styleId="543">
    <w:name w:val="【表内容】"/>
    <w:basedOn w:val="1"/>
    <w:qFormat/>
    <w:uiPriority w:val="0"/>
    <w:pPr>
      <w:spacing w:line="240" w:lineRule="auto"/>
      <w:ind w:firstLine="0" w:firstLineChars="0"/>
      <w:jc w:val="center"/>
    </w:pPr>
    <w:rPr>
      <w:rFonts w:cs="Times New Roman"/>
      <w:sz w:val="21"/>
    </w:rPr>
  </w:style>
  <w:style w:type="table" w:customStyle="1" w:styleId="544">
    <w:name w:val="Table Normal_0"/>
    <w:unhideWhenUsed/>
    <w:qFormat/>
    <w:uiPriority w:val="0"/>
    <w:tblPr>
      <w:tblCellMar>
        <w:top w:w="0" w:type="dxa"/>
        <w:left w:w="0" w:type="dxa"/>
        <w:bottom w:w="0" w:type="dxa"/>
        <w:right w:w="0" w:type="dxa"/>
      </w:tblCellMar>
    </w:tblPr>
  </w:style>
  <w:style w:type="paragraph" w:customStyle="1" w:styleId="545">
    <w:name w:val="Table Text"/>
    <w:basedOn w:val="1"/>
    <w:semiHidden/>
    <w:qFormat/>
    <w:uiPriority w:val="0"/>
    <w:rPr>
      <w:rFonts w:ascii="Times New Roman" w:hAnsi="Times New Roman" w:eastAsia="Times New Roman" w:cs="Times New Roman"/>
      <w:sz w:val="24"/>
      <w:szCs w:val="24"/>
      <w:lang w:val="en-US" w:eastAsia="en-US" w:bidi="ar-SA"/>
    </w:rPr>
  </w:style>
  <w:style w:type="paragraph" w:customStyle="1" w:styleId="546">
    <w:name w:val="报告表正文"/>
    <w:basedOn w:val="1"/>
    <w:qFormat/>
    <w:uiPriority w:val="0"/>
    <w:pPr>
      <w:spacing w:line="360" w:lineRule="auto"/>
      <w:ind w:firstLine="200" w:firstLineChars="200"/>
      <w:jc w:val="both"/>
    </w:pPr>
    <w:rPr>
      <w:kern w:val="2"/>
      <w:sz w:val="24"/>
      <w:szCs w:val="24"/>
    </w:rPr>
  </w:style>
  <w:style w:type="paragraph" w:customStyle="1" w:styleId="547">
    <w:name w:val="11正文"/>
    <w:qFormat/>
    <w:uiPriority w:val="0"/>
    <w:pPr>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548">
    <w:name w:val="注"/>
    <w:basedOn w:val="1"/>
    <w:qFormat/>
    <w:uiPriority w:val="0"/>
    <w:pPr>
      <w:adjustRightInd w:val="0"/>
      <w:snapToGrid w:val="0"/>
      <w:spacing w:line="240" w:lineRule="auto"/>
      <w:ind w:firstLine="0" w:firstLineChars="0"/>
      <w:jc w:val="left"/>
    </w:pPr>
    <w:rPr>
      <w:b/>
      <w:sz w:val="18"/>
      <w:szCs w:val="18"/>
    </w:rPr>
  </w:style>
  <w:style w:type="paragraph" w:customStyle="1" w:styleId="549">
    <w:name w:val="表格标题（新）"/>
    <w:basedOn w:val="1"/>
    <w:link w:val="550"/>
    <w:qFormat/>
    <w:uiPriority w:val="0"/>
    <w:pPr>
      <w:widowControl/>
      <w:spacing w:line="360" w:lineRule="auto"/>
      <w:jc w:val="center"/>
    </w:pPr>
    <w:rPr>
      <w:b/>
      <w:bCs/>
      <w:szCs w:val="21"/>
    </w:rPr>
  </w:style>
  <w:style w:type="character" w:customStyle="1" w:styleId="550">
    <w:name w:val="表格标题（新） Char"/>
    <w:link w:val="549"/>
    <w:qFormat/>
    <w:uiPriority w:val="0"/>
    <w:rPr>
      <w:b/>
      <w:bCs/>
      <w:szCs w:val="21"/>
    </w:rPr>
  </w:style>
  <w:style w:type="paragraph" w:customStyle="1" w:styleId="551">
    <w:name w:val="正文文本1"/>
    <w:basedOn w:val="1"/>
    <w:qFormat/>
    <w:uiPriority w:val="0"/>
    <w:pPr>
      <w:spacing w:line="360" w:lineRule="auto"/>
      <w:ind w:firstLine="480" w:firstLineChars="200"/>
    </w:pPr>
  </w:style>
  <w:style w:type="paragraph" w:customStyle="1" w:styleId="552">
    <w:name w:val="样式 样式 宋体 小四号 行距: 1.5 倍行距 + 首行缩进:  2 字符"/>
    <w:basedOn w:val="1"/>
    <w:qFormat/>
    <w:uiPriority w:val="0"/>
    <w:pPr>
      <w:widowControl/>
      <w:spacing w:after="200" w:line="276" w:lineRule="auto"/>
      <w:ind w:firstLine="496"/>
      <w:jc w:val="left"/>
    </w:pPr>
    <w:rPr>
      <w:rFonts w:ascii="Cambria" w:hAnsi="Cambria" w:eastAsia="宋体" w:cs="宋体"/>
      <w:spacing w:val="4"/>
      <w:kern w:val="0"/>
      <w:sz w:val="22"/>
      <w:szCs w:val="20"/>
    </w:rPr>
  </w:style>
  <w:style w:type="paragraph" w:customStyle="1" w:styleId="553">
    <w:name w:val="11正文-书"/>
    <w:qFormat/>
    <w:uiPriority w:val="0"/>
    <w:pPr>
      <w:spacing w:line="360" w:lineRule="auto"/>
      <w:ind w:firstLine="480" w:firstLineChars="200"/>
      <w:jc w:val="both"/>
    </w:pPr>
    <w:rPr>
      <w:rFonts w:ascii="Times New Roman" w:hAnsi="Times New Roman" w:eastAsia="宋体" w:cs="Times New Roman"/>
      <w:sz w:val="24"/>
      <w:szCs w:val="24"/>
      <w:lang w:val="en-US" w:eastAsia="zh-CN" w:bidi="ar-SA"/>
    </w:rPr>
  </w:style>
  <w:style w:type="paragraph" w:customStyle="1" w:styleId="554">
    <w:name w:val="正文首行缩进 2 + Times New Roman"/>
    <w:basedOn w:val="1"/>
    <w:qFormat/>
    <w:uiPriority w:val="0"/>
    <w:pPr>
      <w:tabs>
        <w:tab w:val="left" w:pos="0"/>
        <w:tab w:val="left" w:pos="870"/>
        <w:tab w:val="left" w:pos="3150"/>
      </w:tabs>
      <w:autoSpaceDE w:val="0"/>
      <w:autoSpaceDN w:val="0"/>
      <w:spacing w:line="360" w:lineRule="auto"/>
      <w:ind w:firstLine="480" w:firstLineChars="200"/>
      <w:jc w:val="left"/>
    </w:pPr>
    <w:rPr>
      <w:kern w:val="0"/>
      <w:sz w:val="24"/>
    </w:rPr>
  </w:style>
  <w:style w:type="paragraph" w:customStyle="1" w:styleId="555">
    <w:name w:val="正式文本"/>
    <w:basedOn w:val="1"/>
    <w:qFormat/>
    <w:uiPriority w:val="0"/>
    <w:pPr>
      <w:adjustRightInd w:val="0"/>
      <w:snapToGrid w:val="0"/>
      <w:spacing w:line="360" w:lineRule="auto"/>
      <w:ind w:firstLine="420" w:firstLineChars="200"/>
      <w:jc w:val="left"/>
    </w:pPr>
    <w:rPr>
      <w:bCs/>
      <w:szCs w:val="21"/>
    </w:rPr>
  </w:style>
  <w:style w:type="paragraph" w:customStyle="1" w:styleId="556">
    <w:name w:val="Table caption|1"/>
    <w:basedOn w:val="1"/>
    <w:qFormat/>
    <w:uiPriority w:val="0"/>
    <w:pPr>
      <w:widowControl w:val="0"/>
      <w:shd w:val="clear" w:color="auto" w:fill="auto"/>
    </w:pPr>
    <w:rPr>
      <w:rFonts w:ascii="黑体" w:hAnsi="黑体" w:eastAsia="黑体" w:cs="黑体"/>
      <w:sz w:val="20"/>
      <w:szCs w:val="20"/>
      <w:u w:val="none"/>
      <w:shd w:val="clear" w:color="auto" w:fill="auto"/>
      <w:lang w:val="zh-TW" w:eastAsia="zh-TW" w:bidi="zh-TW"/>
    </w:rPr>
  </w:style>
  <w:style w:type="paragraph" w:customStyle="1" w:styleId="557">
    <w:name w:val="正文－1.5行距－段后6磅"/>
    <w:basedOn w:val="1"/>
    <w:qFormat/>
    <w:uiPriority w:val="0"/>
    <w:pPr>
      <w:spacing w:after="120" w:line="360" w:lineRule="auto"/>
      <w:ind w:firstLine="200" w:firstLineChars="200"/>
    </w:pPr>
    <w:rPr>
      <w:rFonts w:ascii="Calibri" w:hAnsi="Calibri"/>
      <w:sz w:val="24"/>
      <w:szCs w:val="21"/>
    </w:rPr>
  </w:style>
  <w:style w:type="paragraph" w:customStyle="1" w:styleId="558">
    <w:name w:val="缩进"/>
    <w:basedOn w:val="1"/>
    <w:qFormat/>
    <w:uiPriority w:val="0"/>
    <w:pPr>
      <w:autoSpaceDE w:val="0"/>
      <w:autoSpaceDN w:val="0"/>
      <w:adjustRightInd w:val="0"/>
      <w:spacing w:line="400" w:lineRule="atLeast"/>
      <w:ind w:firstLine="425"/>
      <w:textAlignment w:val="baseline"/>
    </w:pPr>
    <w:rPr>
      <w:rFonts w:ascii="Times New Roman" w:hAnsi="Times New Roman" w:eastAsia="宋体" w:cs="Times New Roman"/>
      <w:kern w:val="0"/>
      <w:sz w:val="24"/>
      <w:szCs w:val="20"/>
    </w:rPr>
  </w:style>
  <w:style w:type="paragraph" w:customStyle="1" w:styleId="559">
    <w:name w:val="样式 样式 左侧:  2 字符 + 左侧:  0.85 厘米 首行缩进:  2 字符1"/>
    <w:basedOn w:val="1"/>
    <w:qFormat/>
    <w:uiPriority w:val="0"/>
    <w:pPr>
      <w:spacing w:line="360" w:lineRule="auto"/>
      <w:ind w:left="482" w:firstLine="200" w:firstLineChars="200"/>
    </w:pPr>
    <w:rPr>
      <w:rFonts w:ascii="Times New Roman" w:hAnsi="Times New Roman" w:eastAsia="宋体" w:cs="Times New Roman"/>
      <w:sz w:val="24"/>
      <w:szCs w:val="20"/>
    </w:rPr>
  </w:style>
  <w:style w:type="paragraph" w:customStyle="1" w:styleId="560">
    <w:name w:val="表格内正文"/>
    <w:basedOn w:val="1"/>
    <w:qFormat/>
    <w:uiPriority w:val="0"/>
    <w:pPr>
      <w:spacing w:line="360" w:lineRule="auto"/>
      <w:jc w:val="center"/>
    </w:pPr>
  </w:style>
  <w:style w:type="paragraph" w:customStyle="1" w:styleId="561">
    <w:name w:val="表标题"/>
    <w:basedOn w:val="1"/>
    <w:qFormat/>
    <w:uiPriority w:val="0"/>
    <w:pPr>
      <w:spacing w:line="360" w:lineRule="auto"/>
      <w:jc w:val="center"/>
    </w:pPr>
    <w:rPr>
      <w:b/>
      <w:bCs/>
      <w:szCs w:val="22"/>
    </w:rPr>
  </w:style>
  <w:style w:type="paragraph" w:customStyle="1" w:styleId="562">
    <w:name w:val="列出段落3"/>
    <w:basedOn w:val="1"/>
    <w:unhideWhenUsed/>
    <w:qFormat/>
    <w:uiPriority w:val="99"/>
    <w:pPr>
      <w:ind w:firstLine="420" w:firstLineChars="200"/>
    </w:pPr>
    <w:rPr>
      <w:sz w:val="24"/>
    </w:rPr>
  </w:style>
  <w:style w:type="paragraph" w:customStyle="1" w:styleId="563">
    <w:name w:val="五号居中一倍"/>
    <w:basedOn w:val="1"/>
    <w:qFormat/>
    <w:uiPriority w:val="0"/>
    <w:pPr>
      <w:tabs>
        <w:tab w:val="left" w:pos="0"/>
      </w:tabs>
      <w:adjustRightInd w:val="0"/>
      <w:snapToGrid w:val="0"/>
      <w:spacing w:line="240" w:lineRule="auto"/>
      <w:ind w:firstLine="0" w:firstLineChars="0"/>
      <w:jc w:val="center"/>
      <w:textAlignment w:val="baseline"/>
    </w:pPr>
    <w:rPr>
      <w:color w:val="000000"/>
      <w:sz w:val="21"/>
      <w:szCs w:val="21"/>
    </w:rPr>
  </w:style>
  <w:style w:type="paragraph" w:customStyle="1" w:styleId="564">
    <w:name w:val="我的正文"/>
    <w:basedOn w:val="1"/>
    <w:qFormat/>
    <w:uiPriority w:val="0"/>
    <w:pPr>
      <w:spacing w:line="360" w:lineRule="auto"/>
      <w:ind w:firstLine="482"/>
    </w:pPr>
    <w:rPr>
      <w:rFonts w:ascii="Times New Roman" w:hAnsi="宋体" w:eastAsia="宋体" w:cs="Times New Roman"/>
      <w:sz w:val="24"/>
      <w:szCs w:val="24"/>
    </w:rPr>
  </w:style>
  <w:style w:type="paragraph" w:customStyle="1" w:styleId="565">
    <w:name w:val="图片"/>
    <w:basedOn w:val="1"/>
    <w:qFormat/>
    <w:uiPriority w:val="0"/>
    <w:pPr>
      <w:spacing w:line="240" w:lineRule="auto"/>
      <w:ind w:firstLine="0" w:firstLineChars="0"/>
      <w:jc w:val="center"/>
    </w:pPr>
  </w:style>
  <w:style w:type="paragraph" w:customStyle="1" w:styleId="566">
    <w:name w:val="标题三三"/>
    <w:basedOn w:val="567"/>
    <w:next w:val="1"/>
    <w:qFormat/>
    <w:uiPriority w:val="0"/>
    <w:pPr>
      <w:spacing w:before="240" w:after="120"/>
      <w:outlineLvl w:val="2"/>
    </w:pPr>
    <w:rPr>
      <w:sz w:val="28"/>
    </w:rPr>
  </w:style>
  <w:style w:type="paragraph" w:customStyle="1" w:styleId="567">
    <w:name w:val="标题二二"/>
    <w:basedOn w:val="568"/>
    <w:next w:val="1"/>
    <w:qFormat/>
    <w:uiPriority w:val="0"/>
    <w:pPr>
      <w:spacing w:before="360" w:after="360"/>
      <w:outlineLvl w:val="1"/>
    </w:pPr>
    <w:rPr>
      <w:sz w:val="32"/>
    </w:rPr>
  </w:style>
  <w:style w:type="paragraph" w:customStyle="1" w:styleId="568">
    <w:name w:val="标题一一"/>
    <w:basedOn w:val="1"/>
    <w:next w:val="1"/>
    <w:qFormat/>
    <w:uiPriority w:val="0"/>
    <w:pPr>
      <w:spacing w:before="960" w:after="480"/>
      <w:ind w:firstLine="0" w:firstLineChars="0"/>
      <w:jc w:val="left"/>
      <w:outlineLvl w:val="0"/>
    </w:pPr>
    <w:rPr>
      <w:rFonts w:eastAsia="黑体"/>
      <w:sz w:val="44"/>
    </w:rPr>
  </w:style>
  <w:style w:type="paragraph" w:customStyle="1" w:styleId="569">
    <w:name w:val="标题4改"/>
    <w:basedOn w:val="1"/>
    <w:next w:val="1"/>
    <w:qFormat/>
    <w:uiPriority w:val="0"/>
    <w:pPr>
      <w:widowControl/>
      <w:spacing w:before="120" w:after="120"/>
      <w:ind w:firstLine="0" w:firstLineChars="0"/>
      <w:jc w:val="left"/>
      <w:outlineLvl w:val="3"/>
    </w:pPr>
    <w:rPr>
      <w:rFonts w:eastAsia="黑体"/>
    </w:rPr>
  </w:style>
  <w:style w:type="paragraph" w:customStyle="1" w:styleId="570">
    <w:name w:val="+标题4"/>
    <w:basedOn w:val="5"/>
    <w:qFormat/>
    <w:uiPriority w:val="0"/>
    <w:pPr>
      <w:numPr>
        <w:ilvl w:val="3"/>
        <w:numId w:val="1"/>
      </w:numPr>
      <w:tabs>
        <w:tab w:val="left" w:pos="396"/>
        <w:tab w:val="clear" w:pos="862"/>
        <w:tab w:val="clear" w:pos="1074"/>
        <w:tab w:val="clear" w:pos="1290"/>
        <w:tab w:val="clear" w:pos="2707"/>
      </w:tabs>
      <w:spacing w:before="0" w:after="0" w:line="360" w:lineRule="auto"/>
      <w:jc w:val="left"/>
    </w:pPr>
    <w:rPr>
      <w:rFonts w:ascii="Times New Roman" w:hAnsi="Times New Roman" w:eastAsia="黑体" w:cs="Times New Roman"/>
      <w:b w:val="0"/>
    </w:rPr>
  </w:style>
  <w:style w:type="paragraph" w:customStyle="1" w:styleId="571">
    <w:name w:val="!正文"/>
    <w:basedOn w:val="1"/>
    <w:qFormat/>
    <w:uiPriority w:val="0"/>
    <w:pPr>
      <w:adjustRightInd w:val="0"/>
      <w:snapToGrid w:val="0"/>
      <w:spacing w:line="360" w:lineRule="auto"/>
      <w:ind w:firstLine="200" w:firstLineChars="200"/>
    </w:pPr>
    <w:rPr>
      <w:rFonts w:ascii="Times New Roman" w:hAnsi="Times New Roman" w:eastAsia="宋体" w:cs="Times New Roman"/>
      <w:sz w:val="24"/>
      <w:szCs w:val="20"/>
    </w:rPr>
  </w:style>
  <w:style w:type="paragraph" w:customStyle="1" w:styleId="572">
    <w:name w:val="表格标题8"/>
    <w:basedOn w:val="1"/>
    <w:qFormat/>
    <w:uiPriority w:val="0"/>
    <w:pPr>
      <w:spacing w:line="440" w:lineRule="exact"/>
      <w:jc w:val="center"/>
    </w:pPr>
    <w:rPr>
      <w:rFonts w:ascii="Times New Roman" w:hAnsi="Times New Roman" w:eastAsia="宋体" w:cs="宋体"/>
      <w:snapToGrid w:val="0"/>
      <w:kern w:val="0"/>
      <w:sz w:val="24"/>
      <w:szCs w:val="24"/>
    </w:rPr>
  </w:style>
  <w:style w:type="paragraph" w:customStyle="1" w:styleId="573">
    <w:name w:val="五号居中"/>
    <w:basedOn w:val="1"/>
    <w:next w:val="1"/>
    <w:qFormat/>
    <w:uiPriority w:val="0"/>
    <w:pPr>
      <w:snapToGrid w:val="0"/>
      <w:spacing w:beforeLines="10" w:afterLines="10" w:line="240" w:lineRule="auto"/>
      <w:ind w:left="24" w:leftChars="10" w:right="24" w:rightChars="10" w:firstLine="0" w:firstLineChars="0"/>
      <w:jc w:val="center"/>
      <w:textAlignment w:val="bottom"/>
    </w:pPr>
    <w:rPr>
      <w:spacing w:val="-2"/>
      <w:sz w:val="21"/>
      <w:szCs w:val="18"/>
    </w:rPr>
  </w:style>
  <w:style w:type="paragraph" w:customStyle="1" w:styleId="574">
    <w:name w:val="表内最终版"/>
    <w:basedOn w:val="575"/>
    <w:unhideWhenUsed/>
    <w:qFormat/>
    <w:uiPriority w:val="0"/>
    <w:pPr>
      <w:adjustRightInd w:val="0"/>
      <w:snapToGrid w:val="0"/>
      <w:spacing w:line="240" w:lineRule="auto"/>
      <w:ind w:firstLine="0" w:firstLineChars="0"/>
      <w:jc w:val="center"/>
      <w:textAlignment w:val="baseline"/>
    </w:pPr>
    <w:rPr>
      <w:rFonts w:ascii="Times New Roman" w:hAnsi="Times New Roman" w:eastAsia="宋体"/>
      <w:sz w:val="21"/>
    </w:rPr>
  </w:style>
  <w:style w:type="paragraph" w:customStyle="1" w:styleId="575">
    <w:name w:val="正文最终"/>
    <w:qFormat/>
    <w:uiPriority w:val="0"/>
    <w:pPr>
      <w:widowControl w:val="0"/>
      <w:snapToGrid w:val="0"/>
      <w:spacing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576">
    <w:name w:val="表名"/>
    <w:basedOn w:val="1"/>
    <w:qFormat/>
    <w:uiPriority w:val="0"/>
    <w:pPr>
      <w:adjustRightInd w:val="0"/>
      <w:snapToGrid w:val="0"/>
      <w:spacing w:line="360" w:lineRule="auto"/>
      <w:jc w:val="center"/>
    </w:pPr>
    <w:rPr>
      <w:rFonts w:eastAsia="黑体"/>
    </w:r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wmf"/><Relationship Id="rId96" Type="http://schemas.openxmlformats.org/officeDocument/2006/relationships/oleObject" Target="embeddings/oleObject9.bin"/><Relationship Id="rId95" Type="http://schemas.openxmlformats.org/officeDocument/2006/relationships/image" Target="media/image80.wmf"/><Relationship Id="rId94" Type="http://schemas.openxmlformats.org/officeDocument/2006/relationships/oleObject" Target="embeddings/oleObject8.bin"/><Relationship Id="rId93" Type="http://schemas.openxmlformats.org/officeDocument/2006/relationships/image" Target="media/image79.wmf"/><Relationship Id="rId92" Type="http://schemas.openxmlformats.org/officeDocument/2006/relationships/oleObject" Target="embeddings/oleObject7.bin"/><Relationship Id="rId91" Type="http://schemas.openxmlformats.org/officeDocument/2006/relationships/image" Target="media/image78.png"/><Relationship Id="rId90" Type="http://schemas.openxmlformats.org/officeDocument/2006/relationships/image" Target="media/image77.wmf"/><Relationship Id="rId9" Type="http://schemas.openxmlformats.org/officeDocument/2006/relationships/image" Target="media/image2.wmf"/><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wmf"/><Relationship Id="rId85" Type="http://schemas.openxmlformats.org/officeDocument/2006/relationships/oleObject" Target="embeddings/oleObject6.bin"/><Relationship Id="rId84" Type="http://schemas.openxmlformats.org/officeDocument/2006/relationships/image" Target="media/image72.wmf"/><Relationship Id="rId83" Type="http://schemas.openxmlformats.org/officeDocument/2006/relationships/oleObject" Target="embeddings/oleObject5.bin"/><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png"/><Relationship Id="rId8" Type="http://schemas.openxmlformats.org/officeDocument/2006/relationships/image" Target="media/image1.jpeg"/><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wmf"/><Relationship Id="rId76" Type="http://schemas.openxmlformats.org/officeDocument/2006/relationships/oleObject" Target="embeddings/oleObject4.bin"/><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theme" Target="theme/theme1.xml"/><Relationship Id="rId69" Type="http://schemas.openxmlformats.org/officeDocument/2006/relationships/image" Target="media/image59.png"/><Relationship Id="rId68" Type="http://schemas.openxmlformats.org/officeDocument/2006/relationships/image" Target="media/image58.jpeg"/><Relationship Id="rId67" Type="http://schemas.openxmlformats.org/officeDocument/2006/relationships/image" Target="media/image57.jpeg"/><Relationship Id="rId66" Type="http://schemas.openxmlformats.org/officeDocument/2006/relationships/image" Target="media/image56.png"/><Relationship Id="rId65" Type="http://schemas.openxmlformats.org/officeDocument/2006/relationships/image" Target="media/image55.wmf"/><Relationship Id="rId64" Type="http://schemas.openxmlformats.org/officeDocument/2006/relationships/oleObject" Target="embeddings/oleObject3.bin"/><Relationship Id="rId63" Type="http://schemas.openxmlformats.org/officeDocument/2006/relationships/image" Target="media/image54.pn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emf"/><Relationship Id="rId6" Type="http://schemas.openxmlformats.org/officeDocument/2006/relationships/footer" Target="footer4.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jpeg"/><Relationship Id="rId55" Type="http://schemas.openxmlformats.org/officeDocument/2006/relationships/image" Target="media/image46.png"/><Relationship Id="rId54" Type="http://schemas.openxmlformats.org/officeDocument/2006/relationships/image" Target="media/image45.jpeg"/><Relationship Id="rId53" Type="http://schemas.openxmlformats.org/officeDocument/2006/relationships/image" Target="media/image44.wmf"/><Relationship Id="rId52" Type="http://schemas.openxmlformats.org/officeDocument/2006/relationships/oleObject" Target="embeddings/oleObject2.bin"/><Relationship Id="rId51" Type="http://schemas.openxmlformats.org/officeDocument/2006/relationships/image" Target="media/image43.wmf"/><Relationship Id="rId50" Type="http://schemas.openxmlformats.org/officeDocument/2006/relationships/oleObject" Target="embeddings/oleObject1.bin"/><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pn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jpeg"/><Relationship Id="rId25" Type="http://schemas.openxmlformats.org/officeDocument/2006/relationships/image" Target="media/image18.pn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0" Type="http://schemas.openxmlformats.org/officeDocument/2006/relationships/fontTable" Target="fontTable.xml"/><Relationship Id="rId11" Type="http://schemas.openxmlformats.org/officeDocument/2006/relationships/image" Target="media/image4.jpeg"/><Relationship Id="rId109" Type="http://schemas.openxmlformats.org/officeDocument/2006/relationships/customXml" Target="../customXml/item2.xml"/><Relationship Id="rId108" Type="http://schemas.openxmlformats.org/officeDocument/2006/relationships/numbering" Target="numbering.xml"/><Relationship Id="rId107" Type="http://schemas.openxmlformats.org/officeDocument/2006/relationships/customXml" Target="../customXml/item1.xml"/><Relationship Id="rId106" Type="http://schemas.openxmlformats.org/officeDocument/2006/relationships/image" Target="media/image90.jpeg"/><Relationship Id="rId105" Type="http://schemas.openxmlformats.org/officeDocument/2006/relationships/image" Target="media/image89.jpeg"/><Relationship Id="rId104" Type="http://schemas.openxmlformats.org/officeDocument/2006/relationships/image" Target="media/image88.jpe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2513a3c1-9567-4417-b35a-ede61d813c84</errorID>
      <errorWord>站站</errorWord>
      <group>L1_Word</group>
      <groupName>字词问题</groupName>
      <ability>L2_Typo</ability>
      <abilityName>字词错误</abilityName>
      <candidateList>
        <item>站</item>
      </candidateList>
      <explain/>
      <paraID>1EFA6423</paraID>
      <start>314</start>
      <end>316</end>
      <status>ignored</status>
      <modifiedWord/>
      <trackRevisions>false</trackRevisions>
    </reviewItem>
    <reviewItem>
      <errorID>17808cc7-fb45-46d1-bd29-814a561d223e</errorID>
      <errorWord>》</errorWord>
      <group>L1_Word</group>
      <groupName>字词问题</groupName>
      <ability>L2_Typo</ability>
      <abilityName>字词错误</abilityName>
      <candidateList>
        <item>》等</item>
      </candidateList>
      <explain/>
      <paraID>567BF457</paraID>
      <start>61</start>
      <end>62</end>
      <status>ignored</status>
      <modifiedWord/>
      <trackRevisions>false</trackRevisions>
    </reviewItem>
    <reviewItem>
      <errorID>51d66f88-11a3-44dc-a4a0-11dbd69a4b92</errorID>
      <errorWord>-</errorWord>
      <group>L1_Format</group>
      <groupName>格式问题</groupName>
      <ability>L2_HalfPunc</ability>
      <abilityName>全半角检查</abilityName>
      <candidateList>
        <item>－</item>
      </candidateList>
      <explain>文本全半角错误。</explain>
      <paraID>57725AAF</paraID>
      <start>13</start>
      <end>14</end>
      <status>ignored</status>
      <modifiedWord/>
      <trackRevisions>false</trackRevisions>
    </reviewItem>
    <reviewItem>
      <errorID>9ea5d332-1565-4f3e-9559-e18545e73256</errorID>
      <errorWord>相符性</errorWord>
      <group>L1_Grammar</group>
      <groupName>语法问题</groupName>
      <ability>L2_Order</ability>
      <abilityName>语序不当</abilityName>
      <candidateList>
        <item>相符</item>
      </candidateList>
      <explain>句子可能没有遵循时空、逻辑顺序，或者介词、关联词等位置不当。</explain>
      <paraID>  5EFC31</paraID>
      <start>9</start>
      <end>12</end>
      <status>ignored</status>
      <modifiedWord/>
      <trackRevisions>false</trackRevisions>
    </reviewItem>
    <reviewItem>
      <errorID>17c2a2a9-4aed-4ce9-8bc7-0b03c69f4420</errorID>
      <errorWord>营运</errorWord>
      <group>L1_Word</group>
      <groupName>字词问题</groupName>
      <ability>L2_Typo</ability>
      <abilityName>字词错误</abilityName>
      <candidateList>
        <item>运营</item>
      </candidateList>
      <explain/>
      <paraID>6C08B593</paraID>
      <start>91</start>
      <end>93</end>
      <status>ignored</status>
      <modifiedWord/>
      <trackRevisions>false</trackRevisions>
    </reviewItem>
    <reviewItem>
      <errorID>fdd9aa48-a844-4ab7-9249-17361f476d37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1FB74498</paraID>
      <start>26</start>
      <end>27</end>
      <status>ignored</status>
      <modifiedWord/>
      <trackRevisions>false</trackRevisions>
    </reviewItem>
    <reviewItem>
      <errorID>0fdc6382-191a-4b16-a387-aa9cde15044b</errorID>
      <errorWord>体</errorWord>
      <group>L1_Word</group>
      <groupName>字词问题</groupName>
      <ability>L2_Typo</ability>
      <abilityName>字词错误</abilityName>
      <candidateList>
        <item>体化</item>
      </candidateList>
      <explain/>
      <paraID>218314E9</paraID>
      <start>28</start>
      <end>29</end>
      <status>ignored</status>
      <modifiedWord/>
      <trackRevisions>false</trackRevisions>
    </reviewItem>
    <reviewItem>
      <errorID>b204d154-c56a-4c21-8e56-745c457ebbb0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38DDC483</paraID>
      <start>0</start>
      <end>2</end>
      <status>ignored</status>
      <modifiedWord/>
      <trackRevisions>false</trackRevisions>
    </reviewItem>
    <reviewItem>
      <errorID>1615a51b-036d-4b89-bc65-3ba5273f74b0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88A45A1</paraID>
      <start>0</start>
      <end>2</end>
      <status>ignored</status>
      <modifiedWord/>
      <trackRevisions>false</trackRevisions>
    </reviewItem>
    <reviewItem>
      <errorID>6b9e96e5-7965-418c-b40c-79981920d693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5B504C8C</paraID>
      <start>0</start>
      <end>2</end>
      <status>ignored</status>
      <modifiedWord/>
      <trackRevisions>false</trackRevisions>
    </reviewItem>
    <reviewItem>
      <errorID>6d1d948e-d8f5-4606-8455-6db7f2f421b9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451462BC</paraID>
      <start>0</start>
      <end>2</end>
      <status>ignored</status>
      <modifiedWord/>
      <trackRevisions>false</trackRevisions>
    </reviewItem>
    <reviewItem>
      <errorID>f5e066e9-c4eb-4163-996c-24c6689a64ab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1305ACA5</paraID>
      <start>0</start>
      <end>2</end>
      <status>ignored</status>
      <modifiedWord/>
      <trackRevisions>false</trackRevisions>
    </reviewItem>
    <reviewItem>
      <errorID>8abeb2e9-6240-4462-ad31-e129e8bba513</errorID>
      <errorWord>III类</errorWord>
      <group>L1_Knowledge</group>
      <groupName>知识性问题</groupName>
      <ability>L2_Knowledge</ability>
      <abilityName>其他知识</abilityName>
      <candidateList>
        <item>Ⅲ类</item>
      </candidateList>
      <explain/>
      <paraID>3E4DB9C7</paraID>
      <start>54</start>
      <end>58</end>
      <status>ignored</status>
      <modifiedWord/>
      <trackRevisions>false</trackRevisions>
    </reviewItem>
    <reviewItem>
      <errorID>b0ea3d46-41d4-475b-b531-cd3293d4c7c9</errorID>
      <errorWord>III类</errorWord>
      <group>L1_Knowledge</group>
      <groupName>知识性问题</groupName>
      <ability>L2_Knowledge</ability>
      <abilityName>其他知识</abilityName>
      <candidateList>
        <item>Ⅲ类</item>
      </candidateList>
      <explain/>
      <paraID>40CDF176</paraID>
      <start>24</start>
      <end>28</end>
      <status>ignored</status>
      <modifiedWord/>
      <trackRevisions>false</trackRevisions>
    </reviewItem>
    <reviewItem>
      <errorID>a2e1cf78-2dd7-47d4-80e7-5db54b4287af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3EE5E45C</paraID>
      <start>0</start>
      <end>2</end>
      <status>ignored</status>
      <modifiedWord/>
      <trackRevisions>false</trackRevisions>
    </reviewItem>
    <reviewItem>
      <errorID>031f4238-bc14-49b9-9fdb-b0b75be18aa2</errorID>
      <errorWord>III类</errorWord>
      <group>L1_Knowledge</group>
      <groupName>知识性问题</groupName>
      <ability>L2_Knowledge</ability>
      <abilityName>其他知识</abilityName>
      <candidateList>
        <item>Ⅲ类</item>
      </candidateList>
      <explain/>
      <paraID>1E9AB2B5</paraID>
      <start>64</start>
      <end>68</end>
      <status>ignored</status>
      <modifiedWord/>
      <trackRevisions>false</trackRevisions>
    </reviewItem>
    <reviewItem>
      <errorID>427d6199-27f3-4ef7-8f9b-dc7ce8bbe73a</errorID>
      <errorWord>III类</errorWord>
      <group>L1_Knowledge</group>
      <groupName>知识性问题</groupName>
      <ability>L2_Knowledge</ability>
      <abilityName>其他知识</abilityName>
      <candidateList>
        <item>Ⅲ类</item>
      </candidateList>
      <explain/>
      <paraID>19605F31</paraID>
      <start>25</start>
      <end>29</end>
      <status>ignored</status>
      <modifiedWord/>
      <trackRevisions>false</trackRevisions>
    </reviewItem>
    <reviewItem>
      <errorID>f8b0b2f5-6309-44e9-b6fd-63c40ecda842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30D70EC0</paraID>
      <start>0</start>
      <end>2</end>
      <status>ignored</status>
      <modifiedWord/>
      <trackRevisions>false</trackRevisions>
    </reviewItem>
    <reviewItem>
      <errorID>92596ad9-35c1-40f8-bc4a-eb135d2a7439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163309A0</paraID>
      <start>0</start>
      <end>2</end>
      <status>ignored</status>
      <modifiedWord/>
      <trackRevisions>false</trackRevisions>
    </reviewItem>
    <reviewItem>
      <errorID>13080797-a826-413e-8250-e2ec2a409fb6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23D4262</paraID>
      <start>0</start>
      <end>2</end>
      <status>ignored</status>
      <modifiedWord/>
      <trackRevisions>false</trackRevisions>
    </reviewItem>
    <reviewItem>
      <errorID>41ddc751-820b-4e11-b6e0-f2efa61dc0e4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5E18400F</paraID>
      <start>0</start>
      <end>2</end>
      <status>ignored</status>
      <modifiedWord/>
      <trackRevisions>false</trackRevisions>
    </reviewItem>
    <reviewItem>
      <errorID>a81a7c4f-02ef-4f23-994e-616016a827ba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CC2EDEB</paraID>
      <start>0</start>
      <end>2</end>
      <status>ignored</status>
      <modifiedWord/>
      <trackRevisions>false</trackRevisions>
    </reviewItem>
    <reviewItem>
      <errorID>1ef1c256-b7e3-4767-9915-51535145151c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7A2BB426</paraID>
      <start>0</start>
      <end>2</end>
      <status>ignored</status>
      <modifiedWord/>
      <trackRevisions>false</trackRevisions>
    </reviewItem>
    <reviewItem>
      <errorID>a1d1f2b8-c463-4a50-a500-ec939a1ed0ea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36DA5587</paraID>
      <start>0</start>
      <end>2</end>
      <status>ignored</status>
      <modifiedWord/>
      <trackRevisions>false</trackRevisions>
    </reviewItem>
    <reviewItem>
      <errorID>15eedf99-50be-4221-b4bb-da11646c716a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6BA3D82</paraID>
      <start>0</start>
      <end>2</end>
      <status>ignored</status>
      <modifiedWord/>
      <trackRevisions>false</trackRevisions>
    </reviewItem>
    <reviewItem>
      <errorID>d4180d23-a642-4282-a1c8-da73a0e7eaed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D56307F</paraID>
      <start>0</start>
      <end>2</end>
      <status>ignored</status>
      <modifiedWord/>
      <trackRevisions>false</trackRevisions>
    </reviewItem>
    <reviewItem>
      <errorID>950e21a8-6aee-4429-8c98-db3aa2273f32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1CDEEE76</paraID>
      <start>0</start>
      <end>2</end>
      <status>ignored</status>
      <modifiedWord/>
      <trackRevisions>false</trackRevisions>
    </reviewItem>
    <reviewItem>
      <errorID>4e532029-ab74-4268-b48d-e4d4be7fc6e0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8AEEB4A</paraID>
      <start>0</start>
      <end>2</end>
      <status>ignored</status>
      <modifiedWord/>
      <trackRevisions>false</trackRevisions>
    </reviewItem>
    <reviewItem>
      <errorID>399676a1-ebf9-4e45-8a10-a07ef0627ef3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615E8A4C</paraID>
      <start>0</start>
      <end>2</end>
      <status>ignored</status>
      <modifiedWord/>
      <trackRevisions>false</trackRevisions>
    </reviewItem>
    <reviewItem>
      <errorID>24bf1ebb-83f1-4567-9cb2-fd8bb8e6b7c6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66DDD307</paraID>
      <start>0</start>
      <end>2</end>
      <status>ignored</status>
      <modifiedWord/>
      <trackRevisions>false</trackRevisions>
    </reviewItem>
    <reviewItem>
      <errorID>1742af86-f2ee-4739-8db8-c8a59c8eec72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A3836EC</paraID>
      <start>0</start>
      <end>2</end>
      <status>ignored</status>
      <modifiedWord/>
      <trackRevisions>false</trackRevisions>
    </reviewItem>
    <reviewItem>
      <errorID>8de3c3db-c985-4fb9-a0df-2b68f578f1b6</errorID>
      <errorWord>)</errorWord>
      <group>L1_Format</group>
      <groupName>格式问题</groupName>
      <ability>L2_HalfPunc</ability>
      <abilityName>全半角检查</abilityName>
      <candidateList>
        <item>）</item>
      </candidateList>
      <explain>文本全半角错误。</explain>
      <paraID>3BF0E3CD</paraID>
      <start>39</start>
      <end>40</end>
      <status>modified</status>
      <modifiedWord>）</modifiedWord>
      <trackRevisions>false</trackRevisions>
    </reviewItem>
    <reviewItem>
      <errorID>26785814-1f82-4196-a94d-634a51f4c762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586541A1</paraID>
      <start>0</start>
      <end>2</end>
      <status>ignored</status>
      <modifiedWord/>
      <trackRevisions>false</trackRevisions>
    </reviewItem>
    <reviewItem>
      <errorID>dacedc98-e319-43f9-8ca2-a0576a8a73ad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23D80117</paraID>
      <start>0</start>
      <end>2</end>
      <status>ignored</status>
      <modifiedWord/>
      <trackRevisions>false</trackRevisions>
    </reviewItem>
    <reviewItem>
      <errorID>b928c502-0cdb-474a-b767-1fc531667c5e</errorID>
      <errorWord>（</errorWord>
      <group>L1_Punc</group>
      <groupName>标点问题</groupName>
      <ability>L2_Punc</ability>
      <abilityName>标点符号检查</abilityName>
      <candidateList/>
      <explain>同一形式括号套用。</explain>
      <paraID> 9FC8712</paraID>
      <start>31</start>
      <end>32</end>
      <status>ignored</status>
      <modifiedWord/>
      <trackRevisions>false</trackRevisions>
    </reviewItem>
    <reviewItem>
      <errorID>e52c2c51-da80-41ba-b702-8d31abc2a844</errorID>
      <errorWord>）</errorWord>
      <group>L1_Punc</group>
      <groupName>标点问题</groupName>
      <ability>L2_Punc</ability>
      <abilityName>标点符号检查</abilityName>
      <candidateList/>
      <explain>同一形式括号套用。</explain>
      <paraID> 9FC8712</paraID>
      <start>33</start>
      <end>34</end>
      <status>ignored</status>
      <modifiedWord/>
      <trackRevisions>false</trackRevisions>
    </reviewItem>
    <reviewItem>
      <errorID>eb7340dd-b5de-4cdd-ac20-b7ecfd2e06e5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45B5DF1</paraID>
      <start>0</start>
      <end>2</end>
      <status>ignored</status>
      <modifiedWord/>
      <trackRevisions>false</trackRevisions>
    </reviewItem>
    <reviewItem>
      <errorID>7ad78e19-e6c0-46d6-a415-dd0a30192350</errorID>
      <errorWord>II</errorWord>
      <group>L1_Knowledge</group>
      <groupName>知识性问题</groupName>
      <ability>L2_Knowledge</ability>
      <abilityName>其他知识</abilityName>
      <candidateList>
        <item>Ⅱ</item>
      </candidateList>
      <explain/>
      <paraID>2545D725</paraID>
      <start>0</start>
      <end>2</end>
      <status>ignored</status>
      <modifiedWord/>
      <trackRevisions>false</trackRevisions>
    </reviewItem>
    <reviewItem>
      <errorID>46918f82-c268-4353-bff5-a3f9512f27d5</errorID>
      <errorWord>III</errorWord>
      <group>L1_Knowledge</group>
      <groupName>知识性问题</groupName>
      <ability>L2_Knowledge</ability>
      <abilityName>其他知识</abilityName>
      <candidateList>
        <item>Ⅲ</item>
      </candidateList>
      <explain/>
      <paraID> EB3470A</paraID>
      <start>0</start>
      <end>3</end>
      <status>ignored</status>
      <modifiedWord/>
      <trackRevisions>false</trackRevisions>
    </reviewItem>
    <reviewItem>
      <errorID>60eecc5c-a20e-4e15-8559-78592876c6a2</errorID>
      <errorWord>世界自然遗迹</errorWord>
      <group>L1_Knowledge</group>
      <groupName>知识性问题</groupName>
      <ability>L2_Term</ability>
      <abilityName>专业术语</abilityName>
      <candidateList>
        <item>世界自然遗产</item>
      </candidateList>
      <explain/>
      <paraID>3272517E</paraID>
      <start>48</start>
      <end>54</end>
      <status>ignored</status>
      <modifiedWord/>
      <trackRevisions>false</trackRevisions>
    </reviewItem>
    <reviewItem>
      <errorID>330d130d-b333-416b-b80c-df20d09e4167</errorID>
      <errorWord>风险按</errorWord>
      <group>L1_Word</group>
      <groupName>字词问题</groupName>
      <ability>L2_Typo</ability>
      <abilityName>字词错误</abilityName>
      <candidateList>
        <item>风险</item>
      </candidateList>
      <explain>〈名〉可能发生的危险：担～｜冒着～去搞试验。</explain>
      <paraID>5D5860AB</paraID>
      <start>61</start>
      <end>63</end>
      <status>modified</status>
      <modifiedWord>风险</modifiedWord>
      <trackRevisions>false</trackRevisions>
    </reviewItem>
    <reviewItem>
      <errorID>281d8bd6-bc7a-4029-bf15-c9f5bf905b6b</errorID>
      <errorWord>确定出</errorWord>
      <group>L1_Word</group>
      <groupName>字词问题</groupName>
      <ability>L2_Typo</ability>
      <abilityName>字词错误</abilityName>
      <candidateList>
        <item>确定</item>
      </candidateList>
      <explain/>
      <paraID>2299AD81</paraID>
      <start>25</start>
      <end>27</end>
      <status>modified</status>
      <modifiedWord>确定</modifiedWord>
      <trackRevisions>false</trackRevisions>
    </reviewItem>
    <reviewItem>
      <errorID>3108c300-f7ab-425a-9b57-257726192d7b</errorID>
      <errorWord>，</errorWord>
      <group>L1_Word</group>
      <groupName>字词问题</groupName>
      <ability>L2_Typo</ability>
      <abilityName>字词错误</abilityName>
      <candidateList>
        <item>，对</item>
      </candidateList>
      <explain/>
      <paraID>4B9D2162</paraID>
      <start>30</start>
      <end>31</end>
      <status>ignored</status>
      <modifiedWord/>
      <trackRevisions>false</trackRevisions>
    </reviewItem>
    <reviewItem>
      <errorID>5c9060c0-4720-411a-8974-5c617f3949f0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31C1F267</paraID>
      <start>20</start>
      <end>21</end>
      <status>ignored</status>
      <modifiedWord/>
      <trackRevisions>false</trackRevisions>
    </reviewItem>
    <reviewItem>
      <errorID>1d24529f-499d-4ee7-91c8-ab5895c07f71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4BA0F632</paraID>
      <start>18</start>
      <end>19</end>
      <status>ignored</status>
      <modifiedWord/>
      <trackRevisions>false</trackRevisions>
    </reviewItem>
    <reviewItem>
      <errorID>7f017626-bedf-4757-aaae-f223b14f41f4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4BA0F632</paraID>
      <start>77</start>
      <end>78</end>
      <status>ignored</status>
      <modifiedWord/>
      <trackRevisions>false</trackRevisions>
    </reviewItem>
    <reviewItem>
      <errorID>06ded923-496b-45ea-85a7-56614ca55c33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8440B90</paraID>
      <start>31</start>
      <end>32</end>
      <status>ignored</status>
      <modifiedWord/>
      <trackRevisions>false</trackRevisions>
    </reviewItem>
    <reviewItem>
      <errorID>c3d2a78a-5ea4-4b82-b9a3-773ab706ab79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62ADB13F</paraID>
      <start>19</start>
      <end>20</end>
      <status>ignored</status>
      <modifiedWord/>
      <trackRevisions>false</trackRevisions>
    </reviewItem>
    <reviewItem>
      <errorID>852940c7-6423-4a05-9d06-2a8cc08d09f4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1CAA144A</paraID>
      <start>15</start>
      <end>16</end>
      <status>ignored</status>
      <modifiedWord/>
      <trackRevisions>false</trackRevisions>
    </reviewItem>
    <reviewItem>
      <errorID>5f9e4b65-f143-4db8-834d-d3bf213cbfef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460A6598</paraID>
      <start>75</start>
      <end>76</end>
      <status>ignored</status>
      <modifiedWord/>
      <trackRevisions>false</trackRevisions>
    </reviewItem>
    <reviewItem>
      <errorID>9791bc75-12c6-4b63-9aa2-a7aeb69fbfd3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42D464A9</paraID>
      <start>20</start>
      <end>21</end>
      <status>ignored</status>
      <modifiedWord/>
      <trackRevisions>false</trackRevisions>
    </reviewItem>
    <reviewItem>
      <errorID>43351784-e85c-45c7-9e60-f2c42b710bfb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6E0DD3EC</paraID>
      <start>18</start>
      <end>19</end>
      <status>ignored</status>
      <modifiedWord/>
      <trackRevisions>false</trackRevisions>
    </reviewItem>
    <reviewItem>
      <errorID>8ffd3bed-6c9b-4a1e-a72d-36241133d223</errorID>
      <errorWord>含寿县</errorWord>
      <group>L1_Knowledge</group>
      <groupName>知识性问题</groupName>
      <ability>L2_Location</ability>
      <abilityName>地名检查</abilityName>
      <candidateList>
        <item>汉寿县</item>
      </candidateList>
      <explain>地名表述错误</explain>
      <paraID>1CAF85AA</paraID>
      <start>193</start>
      <end>196</end>
      <status>ignored</status>
      <modifiedWord/>
      <trackRevisions>false</trackRevisions>
    </reviewItem>
    <reviewItem>
      <errorID>3ddfaa0c-dcc8-49c7-a449-5c44e2cd8b15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40D08B4C</paraID>
      <start>75</start>
      <end>76</end>
      <status>ignored</status>
      <modifiedWord/>
      <trackRevisions>false</trackRevisions>
    </reviewItem>
    <reviewItem>
      <errorID>e5c0c421-bee7-4af3-8a06-17d1679fca24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66478378</paraID>
      <start>0</start>
      <end>4</end>
      <status>ignored</status>
      <modifiedWord/>
      <trackRevisions>false</trackRevisions>
    </reviewItem>
    <reviewItem>
      <errorID>366f77d0-d2f0-4cf9-8a64-1fa003d4e42c</errorID>
      <errorWord>，可</errorWord>
      <group>L1_Word</group>
      <groupName>字词问题</groupName>
      <ability>L2_Typo</ability>
      <abilityName>字词错误</abilityName>
      <candidateList>
        <item>，</item>
      </candidateList>
      <explain/>
      <paraID>13CEA07D</paraID>
      <start>62</start>
      <end>64</end>
      <status>ignored</status>
      <modifiedWord/>
      <trackRevisions>false</trackRevisions>
    </reviewItem>
    <reviewItem>
      <errorID>c43cafbe-b77d-425f-a315-ecb09704f6c4</errorID>
      <errorWord>上线</errorWord>
      <group>L1_Word</group>
      <groupName>字词问题</groupName>
      <ability>L2_Typo</ability>
      <abilityName>字词错误</abilityName>
      <candidateList>
        <item>上限</item>
      </candidateList>
      <explain/>
      <paraID>13CEA07D</paraID>
      <start>114</start>
      <end>116</end>
      <status>ignored</status>
      <modifiedWord/>
      <trackRevisions>false</trackRevisions>
    </reviewItem>
    <reviewItem>
      <errorID>b835ea49-3600-4d74-87b7-6e64d0d82419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6F56588</paraID>
      <start>37</start>
      <end>38</end>
      <status>ignored</status>
      <modifiedWord/>
      <trackRevisions>false</trackRevisions>
    </reviewItem>
    <reviewItem>
      <errorID>2b0924e0-a204-4c70-90aa-303f6d788e0e</errorID>
      <errorWord>，</errorWord>
      <group>L1_Word</group>
      <groupName>字词问题</groupName>
      <ability>L2_Typo</ability>
      <abilityName>字词错误</abilityName>
      <candidateList>
        <item>，对</item>
      </candidateList>
      <explain/>
      <paraID> 18F8FAA</paraID>
      <start>399</start>
      <end>400</end>
      <status>ignored</status>
      <modifiedWord/>
      <trackRevisions>false</trackRevisions>
    </reviewItem>
    <reviewItem>
      <errorID>51e83a80-ae7f-47d8-b6bf-251e2dfdafa0</errorID>
      <errorWord>-</errorWord>
      <group>L1_Format</group>
      <groupName>格式问题</groupName>
      <ability>L2_HalfPunc</ability>
      <abilityName>全半角检查</abilityName>
      <candidateList>
        <item>－</item>
      </candidateList>
      <explain>文本全半角错误。</explain>
      <paraID>3D55DE2D</paraID>
      <start>6</start>
      <end>7</end>
      <status>ignored</status>
      <modifiedWord/>
      <trackRevisions>false</trackRevisions>
    </reviewItem>
    <reviewItem>
      <errorID>8b611c6a-0409-495f-9807-2be3b731b28e</errorID>
      <errorWord>部分</errorWord>
      <group>L1_Word</group>
      <groupName>字词问题</groupName>
      <ability>L2_Typo</ability>
      <abilityName>字词错误</abilityName>
      <candidateList>
        <item>部</item>
      </candidateList>
      <explain>❶部分；部位：内～｜上～｜胸～｜局～。❷〈名〉中央政府按业务划分的单位（级别比局、厅高）：外交～｜商务～。❸一般机关企业按业务划分的单位：编辑～｜门市～。❹军队（连以上）等的领导机构或其所在地：连～｜司令～。❺〈名〉指部队：率～突围。❻〈书〉统辖；统率；所～｜～领。❼〈量〉a）用于书籍、影片等：两～字典｜一～纪录片｜三～电视剧。b）用于机器或车辆：一～机器｜两～汽车。❽（Bù）〈名〉姓。</explain>
      <paraID>7A9B262D</paraID>
      <start>4</start>
      <end>6</end>
      <status>ignored</status>
      <modifiedWord/>
      <trackRevisions>false</trackRevisions>
    </reviewItem>
    <reviewItem>
      <errorID>2b7b37d7-6368-4d31-8d6e-cbf028e0806e</errorID>
      <errorWord>，</errorWord>
      <group>L1_Word</group>
      <groupName>字词问题</groupName>
      <ability>L2_Typo</ability>
      <abilityName>字词错误</abilityName>
      <candidateList>
        <item>，对</item>
      </candidateList>
      <explain/>
      <paraID>7A9B262D</paraID>
      <start>115</start>
      <end>116</end>
      <status>ignored</status>
      <modifiedWord/>
      <trackRevisions>false</trackRevisions>
    </reviewItem>
    <reviewItem>
      <errorID>e24001fa-dd7f-4573-800e-d3473abf4be3</errorID>
      <errorWord>部分</errorWord>
      <group>L1_Word</group>
      <groupName>字词问题</groupName>
      <ability>L2_Typo</ability>
      <abilityName>字词错误</abilityName>
      <candidateList>
        <item>部</item>
      </candidateList>
      <explain>❶部分；部位：内～｜上～｜胸～｜局～。❷〈名〉中央政府按业务划分的单位（级别比局、厅高）：外交～｜商务～。❸一般机关企业按业务划分的单位：编辑～｜门市～。❹军队（连以上）等的领导机构或其所在地：连～｜司令～。❺〈名〉指部队：率～突围。❻〈书〉统辖；统率；所～｜～领。❼〈量〉a）用于书籍、影片等：两～字典｜一～纪录片｜三～电视剧。b）用于机器或车辆：一～机器｜两～汽车。❽（Bù）〈名〉姓。</explain>
      <paraID>45C9F245</paraID>
      <start>3</start>
      <end>5</end>
      <status>ignored</status>
      <modifiedWord/>
      <trackRevisions>false</trackRevisions>
    </reviewItem>
    <reviewItem>
      <errorID>0c9326db-88be-47b4-935b-b5da2a427921</errorID>
      <errorWord>部分</errorWord>
      <group>L1_Word</group>
      <groupName>字词问题</groupName>
      <ability>L2_Typo</ability>
      <abilityName>字词错误</abilityName>
      <candidateList>
        <item>部</item>
      </candidateList>
      <explain>❶部分；部位：内～｜上～｜胸～｜局～。❷〈名〉中央政府按业务划分的单位（级别比局、厅高）：外交～｜商务～。❸一般机关企业按业务划分的单位：编辑～｜门市～。❹军队（连以上）等的领导机构或其所在地：连～｜司令～。❺〈名〉指部队：率～突围。❻〈书〉统辖；统率；所～｜～领。❼〈量〉a）用于书籍、影片等：两～字典｜一～纪录片｜三～电视剧。b）用于机器或车辆：一～机器｜两～汽车。❽（Bù）〈名〉姓。</explain>
      <paraID>4AFF2D5F</paraID>
      <start>4</start>
      <end>6</end>
      <status>ignored</status>
      <modifiedWord/>
      <trackRevisions>false</trackRevisions>
    </reviewItem>
    <reviewItem>
      <errorID>e5f12383-a582-41cd-97a7-e51718798261</errorID>
      <errorWord>《产业结构调整指导目录》（2024年本）</errorWord>
      <group>L1_Knowledge</group>
      <groupName>知识性问题</groupName>
      <ability>L2_Knowledge</ability>
      <abilityName>其他知识</abilityName>
      <candidateList>
        <item>《产业结构调整指导目录（2024年本）》</item>
      </candidateList>
      <explain>疑似政策文件、法律法规名称等书写不规范，请注意检查。</explain>
      <paraID>49EDA1BC</paraID>
      <start>18</start>
      <end>38</end>
      <status>modified</status>
      <modifiedWord>《产业结构调整指导目录（2024年本）》</modifiedWord>
      <trackRevisions>false</trackRevisions>
    </reviewItem>
    <reviewItem>
      <errorID>1eb7cd0f-35bf-4778-8487-2b1c1251e507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49EDA1BC</paraID>
      <start>60</start>
      <end>61</end>
      <status>ignored</status>
      <modifiedWord/>
      <trackRevisions>false</trackRevisions>
    </reviewItem>
    <reviewItem>
      <errorID>0a3bb66b-9d84-4b71-8764-b88b112f9490</errorID>
      <errorWord>，</errorWord>
      <group>L1_Word</group>
      <groupName>字词问题</groupName>
      <ability>L2_Typo</ability>
      <abilityName>字词错误</abilityName>
      <candidateList>
        <item>，以</item>
      </candidateList>
      <explain/>
      <paraID>65BCB2A6</paraID>
      <start>138</start>
      <end>139</end>
      <status>ignored</status>
      <modifiedWord/>
      <trackRevisions>false</trackRevisions>
    </reviewItem>
    <reviewItem>
      <errorID>bb2a60cc-db87-4e7a-83d0-8d1a5878346b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7C02FA26</paraID>
      <start>4</start>
      <end>5</end>
      <status>ignored</status>
      <modifiedWord/>
      <trackRevisions>false</trackRevisions>
    </reviewItem>
    <reviewItem>
      <errorID>775b061f-6f68-4d2f-995d-f5ab017832ac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7C02FA26</paraID>
      <start>80</start>
      <end>81</end>
      <status>ignored</status>
      <modifiedWord/>
      <trackRevisions>false</trackRevisions>
    </reviewItem>
    <reviewItem>
      <errorID>d711f3d3-0309-4f08-8523-7ea35a895b75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6AD01665</paraID>
      <start>4</start>
      <end>5</end>
      <status>ignored</status>
      <modifiedWord/>
      <trackRevisions>false</trackRevisions>
    </reviewItem>
    <reviewItem>
      <errorID>ea89c95a-aa0b-493e-b73c-ee93b454ddc5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6AD01665</paraID>
      <start>60</start>
      <end>61</end>
      <status>ignored</status>
      <modifiedWord/>
      <trackRevisions>false</trackRevisions>
    </reviewItem>
    <reviewItem>
      <errorID>ca003244-ea94-4f40-a851-bd54723f841a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3A25301A</paraID>
      <start>4</start>
      <end>5</end>
      <status>ignored</status>
      <modifiedWord/>
      <trackRevisions>false</trackRevisions>
    </reviewItem>
    <reviewItem>
      <errorID>1e88aeb5-8e39-474b-8282-6b3436acaaab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3A25301A</paraID>
      <start>96</start>
      <end>97</end>
      <status>ignored</status>
      <modifiedWord/>
      <trackRevisions>false</trackRevisions>
    </reviewItem>
    <reviewItem>
      <errorID>62cad311-4ca3-4a20-9a76-c2560aac4bb5</errorID>
      <errorWord>”</errorWord>
      <group>L1_Punc</group>
      <groupName>标点问题</groupName>
      <ability>L2_Punc</ability>
      <abilityName>标点符号检查</abilityName>
      <candidateList/>
      <explain/>
      <paraID>126D9748</paraID>
      <start>66</start>
      <end>67</end>
      <status>ignored</status>
      <modifiedWord/>
      <trackRevisions>false</trackRevisions>
    </reviewItem>
    <reviewItem>
      <errorID>f83fac88-815b-4781-8fcc-522b80940b33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687C66C3</paraID>
      <start>52</start>
      <end>53</end>
      <status>ignored</status>
      <modifiedWord/>
      <trackRevisions>false</trackRevisions>
    </reviewItem>
    <reviewItem>
      <errorID>3ff0e67c-2c65-4f0a-bec9-bec065dc124d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3D8E80FA</paraID>
      <start>35</start>
      <end>36</end>
      <status>ignored</status>
      <modifiedWord/>
      <trackRevisions>false</trackRevisions>
    </reviewItem>
    <reviewItem>
      <errorID>f15fc5ff-c53c-44dc-9f82-c24c941082e3</errorID>
      <errorWord>》</errorWord>
      <group>L1_Word</group>
      <groupName>字词问题</groupName>
      <ability>L2_Typo</ability>
      <abilityName>字词错误</abilityName>
      <candidateList>
        <item>》和</item>
      </candidateList>
      <explain/>
      <paraID>32651D85</paraID>
      <start>24</start>
      <end>25</end>
      <status>ignored</status>
      <modifiedWord/>
      <trackRevisions>false</trackRevisions>
    </reviewItem>
    <reviewItem>
      <errorID>9930e232-b3d2-49f0-b3d3-c3e189b3f11f</errorID>
      <errorWord>(</errorWord>
      <group>L1_Format</group>
      <groupName>格式问题</groupName>
      <ability>L2_HalfPunc</ability>
      <abilityName>全半角检查</abilityName>
      <candidateList>
        <item>（</item>
      </candidateList>
      <explain>文本全半角错误。</explain>
      <paraID>1A571044</paraID>
      <start>13</start>
      <end>14</end>
      <status>modified</status>
      <modifiedWord>（</modifiedWord>
      <trackRevisions>false</trackRevisions>
    </reviewItem>
    <reviewItem>
      <errorID>d7b743c9-fc42-4b13-bc9c-a3b5e611c38f</errorID>
      <errorWord>(</errorWord>
      <group>L1_Format</group>
      <groupName>格式问题</groupName>
      <ability>L2_HalfPunc</ability>
      <abilityName>全半角检查</abilityName>
      <candidateList>
        <item>（</item>
      </candidateList>
      <explain>文本全半角错误。</explain>
      <paraID>777F80D5</paraID>
      <start>13</start>
      <end>14</end>
      <status>modified</status>
      <modifiedWord>（</modifiedWord>
      <trackRevisions>false</trackRevisions>
    </reviewItem>
    <reviewItem>
      <errorID>e0115ba3-442d-4995-a37e-18f45ff08f56</errorID>
      <errorWord>(</errorWord>
      <group>L1_Format</group>
      <groupName>格式问题</groupName>
      <ability>L2_HalfPunc</ability>
      <abilityName>全半角检查</abilityName>
      <candidateList>
        <item>（</item>
      </candidateList>
      <explain>文本全半角错误。</explain>
      <paraID>59C53E4E</paraID>
      <start>22</start>
      <end>23</end>
      <status>modified</status>
      <modifiedWord>（</modifiedWord>
      <trackRevisions>false</trackRevisions>
    </reviewItem>
    <reviewItem>
      <errorID>1f9b4e6b-69be-47d8-9212-71232b8a228c</errorID>
      <errorWord>站站</errorWord>
      <group>L1_Word</group>
      <groupName>字词问题</groupName>
      <ability>L2_Typo</ability>
      <abilityName>字词错误</abilityName>
      <candidateList>
        <item>站</item>
      </candidateList>
      <explain/>
      <paraID>6C074603</paraID>
      <start>2</start>
      <end>4</end>
      <status>ignored</status>
      <modifiedWord/>
      <trackRevisions>false</trackRevisions>
    </reviewItem>
    <reviewItem>
      <errorID>76f624a5-a7ce-4504-b05c-5fa0a9efefec</errorID>
      <errorWord>站站</errorWord>
      <group>L1_Word</group>
      <groupName>字词问题</groupName>
      <ability>L2_Typo</ability>
      <abilityName>字词错误</abilityName>
      <candidateList>
        <item>站</item>
      </candidateList>
      <explain/>
      <paraID>3F12EFCC</paraID>
      <start>4</start>
      <end>6</end>
      <status>ignored</status>
      <modifiedWord/>
      <trackRevisions>false</trackRevisions>
    </reviewItem>
    <reviewItem>
      <errorID>6b3d707e-17bc-4ab9-bb05-7cf9a7ad5026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2BA4DAAA</paraID>
      <start>35</start>
      <end>36</end>
      <status>ignored</status>
      <modifiedWord/>
      <trackRevisions>false</trackRevisions>
    </reviewItem>
    <reviewItem>
      <errorID>39a7b58d-9069-4779-bccd-e3c87aae26ce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2D58FA42</paraID>
      <start>35</start>
      <end>36</end>
      <status>ignored</status>
      <modifiedWord/>
      <trackRevisions>false</trackRevisions>
    </reviewItem>
    <reviewItem>
      <errorID>d1348b7e-da0f-4f1f-b83d-6bbf062baa23</errorID>
      <errorWord>辅助服务</errorWord>
      <group>L1_Knowledge</group>
      <groupName>知识性问题</groupName>
      <ability>L2_Term</ability>
      <abilityName>专业术语</abilityName>
      <candidateList>
        <item>自助服务</item>
      </candidateList>
      <explain/>
      <paraID>428E6E2D</paraID>
      <start>17</start>
      <end>21</end>
      <status>ignored</status>
      <modifiedWord/>
      <trackRevisions>false</trackRevisions>
    </reviewItem>
    <reviewItem>
      <errorID>b1fc5bc8-c209-4a6e-99da-cce876dce6b2</errorID>
      <errorWord>辅助服务</errorWord>
      <group>L1_Knowledge</group>
      <groupName>知识性问题</groupName>
      <ability>L2_Term</ability>
      <abilityName>专业术语</abilityName>
      <candidateList>
        <item>自助服务</item>
      </candidateList>
      <explain/>
      <paraID>702F36D8</paraID>
      <start>13</start>
      <end>17</end>
      <status>ignored</status>
      <modifiedWord/>
      <trackRevisions>false</trackRevisions>
    </reviewItem>
    <reviewItem>
      <errorID>3c348496-8fd3-48c5-9159-0d046d22ef08</errorID>
      <errorWord>罐</errorWord>
      <group>L1_Word</group>
      <groupName>字词问题</groupName>
      <ability>L2_Typo</ability>
      <abilityName>字词错误</abilityName>
      <candidateList>
        <item>罐在</item>
      </candidateList>
      <explain/>
      <paraID>5B441817</paraID>
      <start>56</start>
      <end>57</end>
      <status>ignored</status>
      <modifiedWord/>
      <trackRevisions>false</trackRevisions>
    </reviewItem>
    <reviewItem>
      <errorID>93dcba3f-5b39-4712-adf5-f017b836d30f</errorID>
      <errorWord>液位监测</errorWord>
      <group>L1_Word</group>
      <groupName>字词问题</groupName>
      <ability>L2_Typo</ability>
      <abilityName>字词错误</abilityName>
      <candidateList>
        <item>液位检测</item>
      </candidateList>
      <explain/>
      <paraID>26F82F78</paraID>
      <start>47</start>
      <end>51</end>
      <status>ignored</status>
      <modifiedWord/>
      <trackRevisions>false</trackRevisions>
    </reviewItem>
    <reviewItem>
      <errorID>096615ce-0a8f-4aa1-8e3d-ee6d1d730440</errorID>
      <errorWord>北</errorWord>
      <group>L1_Word</group>
      <groupName>字词问题</groupName>
      <ability>L2_Typo</ability>
      <abilityName>字词错误</abilityName>
      <candidateList>
        <item>北京</item>
      </candidateList>
      <explain/>
      <paraID>3308EF2B</paraID>
      <start>0</start>
      <end>1</end>
      <status>ignored</status>
      <modifiedWord/>
      <trackRevisions>false</trackRevisions>
    </reviewItem>
    <reviewItem>
      <errorID>c04cb7f2-42fb-4d83-b127-dbb4b397579d</errorID>
      <errorWord>北</errorWord>
      <group>L1_Word</group>
      <groupName>字词问题</groupName>
      <ability>L2_Typo</ability>
      <abilityName>字词错误</abilityName>
      <candidateList>
        <item>北京</item>
      </candidateList>
      <explain/>
      <paraID>3752091F</paraID>
      <start>0</start>
      <end>1</end>
      <status>ignored</status>
      <modifiedWord/>
      <trackRevisions>false</trackRevisions>
    </reviewItem>
    <reviewItem>
      <errorID>6f04fdb8-abf0-4bce-92a8-95619035e5f0</errorID>
      <errorWord>北</errorWord>
      <group>L1_Word</group>
      <groupName>字词问题</groupName>
      <ability>L2_Typo</ability>
      <abilityName>字词错误</abilityName>
      <candidateList>
        <item>北京</item>
      </candidateList>
      <explain/>
      <paraID>4D55F45E</paraID>
      <start>0</start>
      <end>1</end>
      <status>ignored</status>
      <modifiedWord/>
      <trackRevisions>false</trackRevisions>
    </reviewItem>
    <reviewItem>
      <errorID>524309fd-cd6d-4dff-8992-1ee88c44d8a6</errorID>
      <errorWord>(</errorWord>
      <group>L1_Format</group>
      <groupName>格式问题</groupName>
      <ability>L2_HalfPunc</ability>
      <abilityName>全半角检查</abilityName>
      <candidateList>
        <item>（</item>
      </candidateList>
      <explain>文本全半角错误。</explain>
      <paraID>7FF171BD</paraID>
      <start>26</start>
      <end>27</end>
      <status>modified</status>
      <modifiedWord>（</modifiedWord>
      <trackRevisions>false</trackRevisions>
    </reviewItem>
    <reviewItem>
      <errorID>066c7909-24a5-48ab-9f43-85143325a156</errorID>
      <errorWord>解吸气</errorWord>
      <group>L1_Word</group>
      <groupName>字词问题</groupName>
      <ability>L2_Typo</ability>
      <abilityName>字词错误</abilityName>
      <candidateList>
        <item>解吸器</item>
      </candidateList>
      <explain/>
      <paraID>688DC99A</paraID>
      <start>28</start>
      <end>31</end>
      <status>ignored</status>
      <modifiedWord/>
      <trackRevisions>false</trackRevisions>
    </reviewItem>
    <reviewItem>
      <errorID>6bf196d9-649b-473d-8663-391ea06c7cbe</errorID>
      <errorWord>程</errorWord>
      <group>L1_Word</group>
      <groupName>字词问题</groupName>
      <ability>L2_Typo</ability>
      <abilityName>字词错误</abilityName>
      <candidateList>
        <item>程中</item>
      </candidateList>
      <explain/>
      <paraID>590EA398</paraID>
      <start>115</start>
      <end>116</end>
      <status>ignored</status>
      <modifiedWord/>
      <trackRevisions>false</trackRevisions>
    </reviewItem>
    <reviewItem>
      <errorID>0a84a30f-8f4e-40e0-a18a-08dca3b152b4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14D04DC2</paraID>
      <start>70</start>
      <end>71</end>
      <status>ignored</status>
      <modifiedWord/>
      <trackRevisions>false</trackRevisions>
    </reviewItem>
    <reviewItem>
      <errorID>57f77377-2fcc-4d1e-a05a-8a5a7ec32871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67DA9D0E</paraID>
      <start>59</start>
      <end>60</end>
      <status>ignored</status>
      <modifiedWord/>
      <trackRevisions>false</trackRevisions>
    </reviewItem>
    <reviewItem>
      <errorID>9263b358-9442-4ba2-87d9-285ad88a26d1</errorID>
      <errorWord>报梦器</errorWord>
      <group>L1_Word</group>
      <groupName>字词问题</groupName>
      <ability>L2_Typo</ability>
      <abilityName>字词错误</abilityName>
      <candidateList>
        <item>报警器</item>
      </candidateList>
      <explain/>
      <paraID>61E08296</paraID>
      <start>68</start>
      <end>71</end>
      <status>modified</status>
      <modifiedWord>报警器</modifiedWord>
      <trackRevisions>false</trackRevisions>
    </reviewItem>
    <reviewItem>
      <errorID>ccfbb2e4-07b5-44e1-93e3-986e1e4c704d</errorID>
      <errorWord>)</errorWord>
      <group>L1_Format</group>
      <groupName>格式问题</groupName>
      <ability>L2_HalfPunc</ability>
      <abilityName>全半角检查</abilityName>
      <candidateList>
        <item>）</item>
      </candidateList>
      <explain>文本全半角错误。</explain>
      <paraID>339A3C99</paraID>
      <start>12</start>
      <end>13</end>
      <status>modified</status>
      <modifiedWord>）</modifiedWord>
      <trackRevisions>false</trackRevisions>
    </reviewItem>
    <reviewItem>
      <errorID>37793888-1ebb-4462-9802-043042b30883</errorID>
      <errorWord>(</errorWord>
      <group>L1_Format</group>
      <groupName>格式问题</groupName>
      <ability>L2_HalfPunc</ability>
      <abilityName>全半角检查</abilityName>
      <candidateList>
        <item>（</item>
      </candidateList>
      <explain>文本全半角错误。</explain>
      <paraID>5FE8E534</paraID>
      <start>34</start>
      <end>35</end>
      <status>modified</status>
      <modifiedWord>（</modifiedWord>
      <trackRevisions>false</trackRevisions>
    </reviewItem>
    <reviewItem>
      <errorID>429f98f4-b7ca-425f-b9bd-def415b14f4e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768DC8AD</paraID>
      <start>0</start>
      <end>2</end>
      <status>ignored</status>
      <modifiedWord/>
      <trackRevisions>false</trackRevisions>
    </reviewItem>
    <reviewItem>
      <errorID>ab171564-0ff1-47a1-b59c-487fc09da26e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6E0073ED</paraID>
      <start>0</start>
      <end>2</end>
      <status>ignored</status>
      <modifiedWord/>
      <trackRevisions>false</trackRevisions>
    </reviewItem>
    <reviewItem>
      <errorID>016106c3-c333-41d5-98a2-29e7490a117d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7650AD90</paraID>
      <start>0</start>
      <end>2</end>
      <status>ignored</status>
      <modifiedWord/>
      <trackRevisions>false</trackRevisions>
    </reviewItem>
    <reviewItem>
      <errorID>a8931e01-47c4-43d3-9949-58ea41ad1650</errorID>
      <errorWord>-</errorWord>
      <group>L1_Knowledge</group>
      <groupName>知识性问题</groupName>
      <ability>L2_Knowledge</ability>
      <abilityName>其他知识</abilityName>
      <candidateList>
        <item>%～</item>
      </candidateList>
      <explain>百分号用法检查</explain>
      <paraID>5C9C8F26</paraID>
      <start>49</start>
      <end>51</end>
      <status>modified</status>
      <modifiedWord>%～</modifiedWord>
      <trackRevisions>false</trackRevisions>
    </reviewItem>
    <reviewItem>
      <errorID>4347a51c-488d-42aa-8673-ccb19a331baf</errorID>
      <errorWord>方</errorWord>
      <group>L1_Word</group>
      <groupName>字词问题</groupName>
      <ability>L2_Typo</ability>
      <abilityName>字词错误</abilityName>
      <candidateList>
        <item>方米</item>
      </candidateList>
      <explain/>
      <paraID>5299D814</paraID>
      <start>5</start>
      <end>7</end>
      <status>modified</status>
      <modifiedWord>方米</modifiedWord>
      <trackRevisions>false</trackRevisions>
    </reviewItem>
    <reviewItem>
      <errorID>d95da44f-d663-4be2-9571-a6604e120fe7</errorID>
      <errorWord>方</errorWord>
      <group>L1_Word</group>
      <groupName>字词问题</groupName>
      <ability>L2_Typo</ability>
      <abilityName>字词错误</abilityName>
      <candidateList>
        <item>方米</item>
      </candidateList>
      <explain/>
      <paraID>5E0A1B01</paraID>
      <start>5</start>
      <end>7</end>
      <status>modified</status>
      <modifiedWord>方米</modifiedWord>
      <trackRevisions>false</trackRevisions>
    </reviewItem>
    <reviewItem>
      <errorID>011a6852-9ecb-4554-820c-ca5c63d886dc</errorID>
      <errorWord>规</errorWord>
      <group>L1_Word</group>
      <groupName>字词问题</groupName>
      <ability>L2_Typo</ability>
      <abilityName>字词错误</abilityName>
      <candidateList>
        <item>规定</item>
      </candidateList>
      <explain>❶〈动〉对某一事物做出关于方式、方法或数量、质量的决定：～产品的质量标准｜不得超过～的日期。❷〈名〉所规定的内容：关于下岗职工的安排问题，上级已经有了新的～。</explain>
      <paraID> 665433C</paraID>
      <start>104</start>
      <end>106</end>
      <status>modified</status>
      <modifiedWord>规定</modifiedWord>
      <trackRevisions>false</trackRevisions>
    </reviewItem>
    <reviewItem>
      <errorID>9edf8db3-6614-4d19-bb28-02d34e53ab9f</errorID>
      <errorWord>，</errorWord>
      <group>L1_Format</group>
      <groupName>格式问题</groupName>
      <ability>L2_HalfPunc</ability>
      <abilityName>全半角检查</abilityName>
      <candidateList>
        <item>,</item>
      </candidateList>
      <explain>文本全半角错误。</explain>
      <paraID>601C4DAF</paraID>
      <start>4</start>
      <end>5</end>
      <status>ignored</status>
      <modifiedWord/>
      <trackRevisions>false</trackRevisions>
    </reviewItem>
    <reviewItem>
      <errorID>02c7056d-eda3-4b27-a5a6-5c321e497278</errorID>
      <errorWord>KW</errorWord>
      <group>L1_Word</group>
      <groupName>字词问题</groupName>
      <ability>L2_Typo</ability>
      <abilityName>字词错误</abilityName>
      <candidateList>
        <item>kW</item>
      </candidateList>
      <explain/>
      <paraID>71DEB5CE</paraID>
      <start>14</start>
      <end>16</end>
      <status>modified</status>
      <modifiedWord>kW</modifiedWord>
      <trackRevisions>false</trackRevisions>
    </reviewItem>
    <reviewItem>
      <errorID>c474795e-6d75-4802-8754-1b4630b98b8a</errorID>
      <errorWord>，</errorWord>
      <group>L1_Format</group>
      <groupName>格式问题</groupName>
      <ability>L2_HalfPunc</ability>
      <abilityName>全半角检查</abilityName>
      <candidateList>
        <item>,</item>
      </candidateList>
      <explain>文本全半角错误。</explain>
      <paraID>27A8CE5F</paraID>
      <start>5</start>
      <end>6</end>
      <status>ignored</status>
      <modifiedWord/>
      <trackRevisions>false</trackRevisions>
    </reviewItem>
    <reviewItem>
      <errorID>6fe7f29a-e8ad-4916-bb88-7c3a6648d1a7</errorID>
      <errorWord>，</errorWord>
      <group>L1_Format</group>
      <groupName>格式问题</groupName>
      <ability>L2_HalfPunc</ability>
      <abilityName>全半角检查</abilityName>
      <candidateList>
        <item>, </item>
      </candidateList>
      <explain>文本全半角错误。</explain>
      <paraID>2A03FDDB</paraID>
      <start>4</start>
      <end>5</end>
      <status>ignored</status>
      <modifiedWord/>
      <trackRevisions>false</trackRevisions>
    </reviewItem>
    <reviewItem>
      <errorID>159f0567-e838-49e1-8db1-f9f8625d2447</errorID>
      <errorWord>＞</errorWord>
      <group>L1_Format</group>
      <groupName>格式问题</groupName>
      <ability>L2_HalfPunc</ability>
      <abilityName>全半角检查</abilityName>
      <candidateList>
        <item>&gt;</item>
      </candidateList>
      <explain>文本全半角错误。</explain>
      <paraID>1E8A3566</paraID>
      <start>3</start>
      <end>4</end>
      <status>modified</status>
      <modifiedWord>&gt;</modifiedWord>
      <trackRevisions>false</trackRevisions>
    </reviewItem>
    <reviewItem>
      <errorID>d9f3be6e-6fe2-460b-b606-0ee79ada1ac0</errorID>
      <errorWord>（</errorWord>
      <group>L1_Format</group>
      <groupName>格式问题</groupName>
      <ability>L2_HalfPunc</ability>
      <abilityName>全半角检查</abilityName>
      <candidateList>
        <item>(</item>
      </candidateList>
      <explain>文本全半角错误。</explain>
      <paraID>7C0A0DD0</paraID>
      <start>5</start>
      <end>6</end>
      <status>ignored</status>
      <modifiedWord/>
      <trackRevisions>false</trackRevisions>
    </reviewItem>
    <reviewItem>
      <errorID>8884ac93-58a6-4926-a69b-c53c1b8d039b</errorID>
      <errorWord>）</errorWord>
      <group>L1_Format</group>
      <groupName>格式问题</groupName>
      <ability>L2_HalfPunc</ability>
      <abilityName>全半角检查</abilityName>
      <candidateList>
        <item>)</item>
      </candidateList>
      <explain>文本全半角错误。</explain>
      <paraID>7C0A0DD0</paraID>
      <start>9</start>
      <end>10</end>
      <status>ignored</status>
      <modifiedWord/>
      <trackRevisions>false</trackRevisions>
    </reviewItem>
    <reviewItem>
      <errorID>b71beaf6-7529-4b4d-aad2-9f9b18005a97</errorID>
      <errorWord>（</errorWord>
      <group>L1_Format</group>
      <groupName>格式问题</groupName>
      <ability>L2_HalfPunc</ability>
      <abilityName>全半角检查</abilityName>
      <candidateList>
        <item>(</item>
      </candidateList>
      <explain>文本全半角错误。</explain>
      <paraID>7C0A0DD0</paraID>
      <start>16</start>
      <end>17</end>
      <status>ignored</status>
      <modifiedWord/>
      <trackRevisions>false</trackRevisions>
    </reviewItem>
    <reviewItem>
      <errorID>5c79e966-845e-49da-9860-0305ceb159a2</errorID>
      <errorWord>）</errorWord>
      <group>L1_Format</group>
      <groupName>格式问题</groupName>
      <ability>L2_HalfPunc</ability>
      <abilityName>全半角检查</abilityName>
      <candidateList>
        <item>)</item>
      </candidateList>
      <explain>文本全半角错误。</explain>
      <paraID>7C0A0DD0</paraID>
      <start>19</start>
      <end>20</end>
      <status>ignored</status>
      <modifiedWord/>
      <trackRevisions>false</trackRevisions>
    </reviewItem>
    <reviewItem>
      <errorID>21d70d4b-1248-48c9-85a5-5b25c2507993</errorID>
      <errorWord>~</errorWord>
      <group>L1_Format</group>
      <groupName>格式问题</groupName>
      <ability>L2_HalfPunc</ability>
      <abilityName>全半角检查</abilityName>
      <candidateList>
        <item>～</item>
      </candidateList>
      <explain>文本全半角错误。</explain>
      <paraID>13FB0977</paraID>
      <start>16</start>
      <end>17</end>
      <status>ignored</status>
      <modifiedWord/>
      <trackRevisions>false</trackRevisions>
    </reviewItem>
    <reviewItem>
      <errorID>5edc097b-75f3-4715-9a8a-7ff64e206bce</errorID>
      <errorWord>结品体</errorWord>
      <group>L1_Word</group>
      <groupName>字词问题</groupName>
      <ability>L2_Typo</ability>
      <abilityName>字词错误</abilityName>
      <candidateList>
        <item>结晶体</item>
      </candidateList>
      <explain/>
      <paraID>1CB08EE3</paraID>
      <start>2</start>
      <end>5</end>
      <status>modified</status>
      <modifiedWord>结晶体</modifiedWord>
      <trackRevisions>false</trackRevisions>
    </reviewItem>
    <reviewItem>
      <errorID>bec58723-9905-460c-b6ea-4fa6404ee033</errorID>
      <errorWord>品系</errorWord>
      <group>L1_Word</group>
      <groupName>字词问题</groupName>
      <ability>L2_Typo</ability>
      <abilityName>字词错误</abilityName>
      <candidateList>
        <item>晶系</item>
      </candidateList>
      <explain/>
      <paraID>1CB08EE3</paraID>
      <start>12</start>
      <end>14</end>
      <status>modified</status>
      <modifiedWord>晶系</modifiedWord>
      <trackRevisions>false</trackRevisions>
    </reviewItem>
    <reviewItem>
      <errorID>3d163bda-d93e-425b-99e7-5f0b416ecaa3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11DF732D</paraID>
      <start>41</start>
      <end>42</end>
      <status>ignored</status>
      <modifiedWord/>
      <trackRevisions>false</trackRevisions>
    </reviewItem>
    <reviewItem>
      <errorID>3b40767e-4548-416d-85cc-4890b62981e1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11DF732D</paraID>
      <start>138</start>
      <end>139</end>
      <status>ignored</status>
      <modifiedWord/>
      <trackRevisions>false</trackRevisions>
    </reviewItem>
    <reviewItem>
      <errorID>94762b16-d716-40be-a9c1-cc7223950afa</errorID>
      <errorWord>~</errorWord>
      <group>L1_Format</group>
      <groupName>格式问题</groupName>
      <ability>L2_HalfPunc</ability>
      <abilityName>全半角检查</abilityName>
      <candidateList>
        <item>～</item>
      </candidateList>
      <explain>文本全半角错误。</explain>
      <paraID>11DF732D</paraID>
      <start>211</start>
      <end>212</end>
      <status>ignored</status>
      <modifiedWord/>
      <trackRevisions>false</trackRevisions>
    </reviewItem>
    <reviewItem>
      <errorID>b67ffd5c-043a-4f63-a0fe-7b524f4780c6</errorID>
      <errorWord>老年痴呆</errorWord>
      <group>L1_Word</group>
      <groupName>字词问题</groupName>
      <ability>L2_Typo</ability>
      <abilityName>字词错误</abilityName>
      <candidateList>
        <item>阿尔茨海默病</item>
      </candidateList>
      <explain/>
      <paraID>4696E19F</paraID>
      <start>10</start>
      <end>16</end>
      <status>modified</status>
      <modifiedWord>阿尔茨海默病</modifiedWord>
      <trackRevisions>false</trackRevisions>
    </reviewItem>
    <reviewItem>
      <errorID>360988f3-3e35-4167-96ab-6afe59b61dab</errorID>
      <errorWord>(</errorWord>
      <group>L1_Format</group>
      <groupName>格式问题</groupName>
      <ability>L2_HalfPunc</ability>
      <abilityName>全半角检查</abilityName>
      <candidateList>
        <item>（</item>
      </candidateList>
      <explain>文本全半角错误。</explain>
      <paraID>4EF50D86</paraID>
      <start>120</start>
      <end>121</end>
      <status>modified</status>
      <modifiedWord>（</modifiedWord>
      <trackRevisions>false</trackRevisions>
    </reviewItem>
    <reviewItem>
      <errorID>40c6ed6f-def2-4533-9d60-e023c8a435bd</errorID>
      <errorWord>)</errorWord>
      <group>L1_Format</group>
      <groupName>格式问题</groupName>
      <ability>L2_HalfPunc</ability>
      <abilityName>全半角检查</abilityName>
      <candidateList>
        <item>）</item>
      </candidateList>
      <explain>文本全半角错误。</explain>
      <paraID>4EF50D86</paraID>
      <start>132</start>
      <end>133</end>
      <status>modified</status>
      <modifiedWord>）</modifiedWord>
      <trackRevisions>false</trackRevisions>
    </reviewItem>
    <reviewItem>
      <errorID>bc22cfbf-50c1-4e8a-b25f-4f39a1d50fe5</errorID>
      <errorWord>粘膜</errorWord>
      <group>L1_Word</group>
      <groupName>字词问题</groupName>
      <ability>L2_Alias</ability>
      <abilityName>也作/曾用词</abilityName>
      <candidateList>
        <item>黏膜</item>
      </candidateList>
      <explain>词汇[粘膜]为不规范表述或旧称，其规范书面表述为[黏膜]。</explain>
      <paraID>38EFF513</paraID>
      <start>67</start>
      <end>69</end>
      <status>ignored</status>
      <modifiedWord/>
      <trackRevisions>false</trackRevisions>
    </reviewItem>
    <reviewItem>
      <errorID>df2cfbe0-e9de-4b3f-b1e3-aa3a9364a33e</errorID>
      <errorWord>&lt;</errorWord>
      <group>L1_Format</group>
      <groupName>格式问题</groupName>
      <ability>L2_HalfPunc</ability>
      <abilityName>全半角检查</abilityName>
      <candidateList>
        <item>〈</item>
      </candidateList>
      <explain>文本全半角错误。</explain>
      <paraID> 53E94D8</paraID>
      <start>21</start>
      <end>22</end>
      <status>ignored</status>
      <modifiedWord/>
      <trackRevisions>false</trackRevisions>
    </reviewItem>
    <reviewItem>
      <errorID>409eb634-84f6-40ff-a6be-cfaecf437e8b</errorID>
      <errorWord>(</errorWord>
      <group>L1_Format</group>
      <groupName>格式问题</groupName>
      <ability>L2_HalfPunc</ability>
      <abilityName>全半角检查</abilityName>
      <candidateList>
        <item>（</item>
      </candidateList>
      <explain>文本全半角错误。</explain>
      <paraID> 53E94D8</paraID>
      <start>62</start>
      <end>63</end>
      <status>modified</status>
      <modifiedWord>（</modifiedWord>
      <trackRevisions>false</trackRevisions>
    </reviewItem>
    <reviewItem>
      <errorID>caf73978-ec90-4f1b-8692-1dd4f2ea4ce1</errorID>
      <errorWord>：</errorWord>
      <group>L1_Format</group>
      <groupName>格式问题</groupName>
      <ability>L2_HalfPunc</ability>
      <abilityName>全半角检查</abilityName>
      <candidateList>
        <item>:</item>
      </candidateList>
      <explain>文本全半角错误。</explain>
      <paraID>4680F597</paraID>
      <start>4</start>
      <end>5</end>
      <status>ignored</status>
      <modifiedWord/>
      <trackRevisions>false</trackRevisions>
    </reviewItem>
    <reviewItem>
      <errorID>bad5893e-f92e-47de-8da5-edc463afe7c8</errorID>
      <errorWord>(</errorWord>
      <group>L1_Format</group>
      <groupName>格式问题</groupName>
      <ability>L2_HalfPunc</ability>
      <abilityName>全半角检查</abilityName>
      <candidateList>
        <item>（</item>
      </candidateList>
      <explain>文本全半角错误。</explain>
      <paraID>4680F597</paraID>
      <start>15</start>
      <end>16</end>
      <status>modified</status>
      <modifiedWord>（</modifiedWord>
      <trackRevisions>false</trackRevisions>
    </reviewItem>
    <reviewItem>
      <errorID>2c482876-2954-41af-beae-c2567366054c</errorID>
      <errorWord>)</errorWord>
      <group>L1_Format</group>
      <groupName>格式问题</groupName>
      <ability>L2_HalfPunc</ability>
      <abilityName>全半角检查</abilityName>
      <candidateList>
        <item>）</item>
      </candidateList>
      <explain>文本全半角错误。</explain>
      <paraID>4680F597</paraID>
      <start>20</start>
      <end>21</end>
      <status>modified</status>
      <modifiedWord>）</modifiedWord>
      <trackRevisions>false</trackRevisions>
    </reviewItem>
    <reviewItem>
      <errorID>755cac6f-4e44-4b73-a37f-c6e9b1ed9851</errorID>
      <errorWord>：</errorWord>
      <group>L1_Format</group>
      <groupName>格式问题</groupName>
      <ability>L2_HalfPunc</ability>
      <abilityName>全半角检查</abilityName>
      <candidateList>
        <item>:</item>
      </candidateList>
      <explain>文本全半角错误。</explain>
      <paraID>4680F597</paraID>
      <start>26</start>
      <end>27</end>
      <status>ignored</status>
      <modifiedWord/>
      <trackRevisions>false</trackRevisions>
    </reviewItem>
    <reviewItem>
      <errorID>45275bab-79fc-4557-85b4-297d1a6838b2</errorID>
      <errorWord>(</errorWord>
      <group>L1_Format</group>
      <groupName>格式问题</groupName>
      <ability>L2_HalfPunc</ability>
      <abilityName>全半角检查</abilityName>
      <candidateList>
        <item>（</item>
      </candidateList>
      <explain>文本全半角错误。</explain>
      <paraID>4680F597</paraID>
      <start>42</start>
      <end>43</end>
      <status>modified</status>
      <modifiedWord>（</modifiedWord>
      <trackRevisions>false</trackRevisions>
    </reviewItem>
    <reviewItem>
      <errorID>75da47df-12fc-47e3-8591-fd1343d5c8ed</errorID>
      <errorWord>)</errorWord>
      <group>L1_Format</group>
      <groupName>格式问题</groupName>
      <ability>L2_HalfPunc</ability>
      <abilityName>全半角检查</abilityName>
      <candidateList>
        <item>）</item>
      </candidateList>
      <explain>文本全半角错误。</explain>
      <paraID>4680F597</paraID>
      <start>47</start>
      <end>48</end>
      <status>modified</status>
      <modifiedWord>）</modifiedWord>
      <trackRevisions>false</trackRevisions>
    </reviewItem>
    <reviewItem>
      <errorID>d6e57c60-05e7-43da-8ee3-d13e9383955f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4680F597</paraID>
      <start>82</start>
      <end>83</end>
      <status>ignored</status>
      <modifiedWord/>
      <trackRevisions>false</trackRevisions>
    </reviewItem>
    <reviewItem>
      <errorID>6376d76e-5c54-496a-acf0-1924f4108533</errorID>
      <errorWord>有粘性的</errorWord>
      <group>L1_Word</group>
      <groupName>字词问题</groupName>
      <ability>L2_Alias</ability>
      <abilityName>也作/曾用词</abilityName>
      <candidateList>
        <item>有黏性的</item>
      </candidateList>
      <explain>词汇[有粘性的]为不规范表述或旧称，其规范书面表述为[有黏性的]。</explain>
      <paraID>64E0A9B8</paraID>
      <start>1</start>
      <end>5</end>
      <status>ignored</status>
      <modifiedWord/>
      <trackRevisions>false</trackRevisions>
    </reviewItem>
    <reviewItem>
      <errorID>d515d6e5-4712-43dc-b541-b8a58900cd97</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51A85F7A</paraID>
      <start>77</start>
      <end>80</end>
      <status>ignored</status>
      <modifiedWord/>
      <trackRevisions>false</trackRevisions>
    </reviewItem>
    <reviewItem>
      <errorID>a14c25ff-31a6-4ca5-af26-9316dfd48a84</errorID>
      <errorWord>)</errorWord>
      <group>L1_Format</group>
      <groupName>格式问题</groupName>
      <ability>L2_HalfPunc</ability>
      <abilityName>全半角检查</abilityName>
      <candidateList>
        <item>）</item>
      </candidateList>
      <explain>文本全半角错误。</explain>
      <paraID>16F85E59</paraID>
      <start>148</start>
      <end>149</end>
      <status>ignored</status>
      <modifiedWord/>
      <trackRevisions>false</trackRevisions>
    </reviewItem>
    <reviewItem>
      <errorID>0012751a-d7e0-4541-8abf-bc0c77cfc9d3</errorID>
      <errorWord>,</errorWord>
      <group>L1_Format</group>
      <groupName>格式问题</groupName>
      <ability>L2_HalfPunc</ability>
      <abilityName>全半角检查</abilityName>
      <candidateList>
        <item>，</item>
      </candidateList>
      <explain>文本全半角错误。</explain>
      <paraID>16F85E59</paraID>
      <start>200</start>
      <end>201</end>
      <status>modified</status>
      <modifiedWord>，</modifiedWord>
      <trackRevisions>false</trackRevisions>
    </reviewItem>
    <reviewItem>
      <errorID>b4b55957-e2d0-49f3-b952-618ae4addff5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10ABD3CA</paraID>
      <start>0</start>
      <end>2</end>
      <status>ignored</status>
      <modifiedWord/>
      <trackRevisions>false</trackRevisions>
    </reviewItem>
    <reviewItem>
      <errorID>08d62e77-2814-4405-93cf-8fcf2dc972c3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B95D257</paraID>
      <start>0</start>
      <end>2</end>
      <status>ignored</status>
      <modifiedWord/>
      <trackRevisions>false</trackRevisions>
    </reviewItem>
    <reviewItem>
      <errorID>0c8c40f8-d3ba-4932-9531-02de994d9e15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210FBD9A</paraID>
      <start>0</start>
      <end>2</end>
      <status>ignored</status>
      <modifiedWord/>
      <trackRevisions>false</trackRevisions>
    </reviewItem>
    <reviewItem>
      <errorID>555dcb0e-feac-43d2-9377-95a06e2473ac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6896F167</paraID>
      <start>0</start>
      <end>2</end>
      <status>ignored</status>
      <modifiedWord/>
      <trackRevisions>false</trackRevisions>
    </reviewItem>
    <reviewItem>
      <errorID>ac9878d8-77bb-4dc4-9e51-768a0f92fefb</errorID>
      <errorWord>置</errorWord>
      <group>L1_Word</group>
      <groupName>字词问题</groupName>
      <ability>L2_Typo</ability>
      <abilityName>字词错误</abilityName>
      <candidateList>
        <item>置等</item>
      </candidateList>
      <explain/>
      <paraID>27C79732</paraID>
      <start>47</start>
      <end>49</end>
      <status>modified</status>
      <modifiedWord>置等</modifiedWord>
      <trackRevisions>false</trackRevisions>
    </reviewItem>
    <reviewItem>
      <errorID>1564fe0a-ebd9-481d-b59b-26dd1003b277</errorID>
      <errorWord>二个</errorWord>
      <group>L1_Word</group>
      <groupName>字词问题</groupName>
      <ability>L2_Typo</ability>
      <abilityName>字词错误</abilityName>
      <candidateList>
        <item>两个</item>
      </candidateList>
      <explain/>
      <paraID>177AF103</paraID>
      <start>26</start>
      <end>28</end>
      <status>modified</status>
      <modifiedWord>两个</modifiedWord>
      <trackRevisions>false</trackRevisions>
    </reviewItem>
    <reviewItem>
      <errorID>97953ca7-8677-4328-a377-36ee55fc1a05</errorID>
      <errorWord>二个</errorWord>
      <group>L1_Word</group>
      <groupName>字词问题</groupName>
      <ability>L2_Typo</ability>
      <abilityName>字词错误</abilityName>
      <candidateList>
        <item>两个</item>
      </candidateList>
      <explain/>
      <paraID>177AF103</paraID>
      <start>221</start>
      <end>223</end>
      <status>modified</status>
      <modifiedWord>两个</modifiedWord>
      <trackRevisions>false</trackRevisions>
    </reviewItem>
    <reviewItem>
      <errorID>91f1a14f-e2a4-4157-8158-229813b96cfb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62C98225</paraID>
      <start>0</start>
      <end>2</end>
      <status>ignored</status>
      <modifiedWord/>
      <trackRevisions>false</trackRevisions>
    </reviewItem>
    <reviewItem>
      <errorID>7ac40360-59c6-45a9-90ff-b19134de7f1e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199A8D31</paraID>
      <start>0</start>
      <end>2</end>
      <status>ignored</status>
      <modifiedWord/>
      <trackRevisions>false</trackRevisions>
    </reviewItem>
    <reviewItem>
      <errorID>81372b73-3f25-49e8-bfcd-e7b53c5be155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5F1E001A</paraID>
      <start>0</start>
      <end>2</end>
      <status>ignored</status>
      <modifiedWord/>
      <trackRevisions>false</trackRevisions>
    </reviewItem>
    <reviewItem>
      <errorID>c89b0479-676b-482d-a3fd-706aafdf94b5</errorID>
      <errorWord>Kg</errorWord>
      <group>L1_Word</group>
      <groupName>字词问题</groupName>
      <ability>L2_Typo</ability>
      <abilityName>字词错误</abilityName>
      <candidateList>
        <item>kg</item>
      </candidateList>
      <explain/>
      <paraID>224A9B71</paraID>
      <start>72</start>
      <end>74</end>
      <status>modified</status>
      <modifiedWord>kg</modifiedWord>
      <trackRevisions>false</trackRevisions>
    </reviewItem>
    <reviewItem>
      <errorID>89ae5e7f-c6d5-4359-b0fd-5dcc1922a41f</errorID>
      <errorWord>接自</errorWord>
      <group>L1_Word</group>
      <groupName>字词问题</groupName>
      <ability>L2_Typo</ability>
      <abilityName>字词错误</abilityName>
      <candidateList>
        <item>接入</item>
      </candidateList>
      <explain/>
      <paraID>50D5A87C</paraID>
      <start>15</start>
      <end>17</end>
      <status>ignored</status>
      <modifiedWord/>
      <trackRevisions>false</trackRevisions>
    </reviewItem>
    <reviewItem>
      <errorID>3bf8554e-ccea-49f5-ae43-f47b1f8b8bf0</errorID>
      <errorWord>成</errorWord>
      <group>L1_Word</group>
      <groupName>字词问题</groupName>
      <ability>L2_Typo</ability>
      <abilityName>字词错误</abilityName>
      <candidateList>
        <item>呈</item>
      </candidateList>
      <explain>存在发音相同字词的误用。</explain>
      <paraID>50D5A87C</paraID>
      <start>30</start>
      <end>31</end>
      <status>ignored</status>
      <modifiedWord/>
      <trackRevisions>false</trackRevisions>
    </reviewItem>
    <reviewItem>
      <errorID>ceefb1e7-56d7-45fe-b764-2533f1534ce1</errorID>
      <errorWord>受警</errorWord>
      <group>L1_Word</group>
      <groupName>字词问题</groupName>
      <ability>L2_Typo</ability>
      <abilityName>字词错误</abilityName>
      <candidateList>
        <item>报警</item>
      </candidateList>
      <explain/>
      <paraID>4F2AF2FE</paraID>
      <start>147</start>
      <end>149</end>
      <status>ignored</status>
      <modifiedWord/>
      <trackRevisions>false</trackRevisions>
    </reviewItem>
    <reviewItem>
      <errorID>cdcd52da-8192-486f-9789-5531df47f96b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11E5F4AD</paraID>
      <start>0</start>
      <end>2</end>
      <status>ignored</status>
      <modifiedWord/>
      <trackRevisions>false</trackRevisions>
    </reviewItem>
    <reviewItem>
      <errorID>88c2fa57-b818-4514-938d-a3c52564639a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475F02D</paraID>
      <start>1</start>
      <end>3</end>
      <status>ignored</status>
      <modifiedWord/>
      <trackRevisions>false</trackRevisions>
    </reviewItem>
    <reviewItem>
      <errorID>81fa8c49-fcac-47fd-ab47-195eb644ccd9</errorID>
      <errorWord>(</errorWord>
      <group>L1_Format</group>
      <groupName>格式问题</groupName>
      <ability>L2_HalfPunc</ability>
      <abilityName>全半角检查</abilityName>
      <candidateList>
        <item>（</item>
      </candidateList>
      <explain>文本全半角错误。</explain>
      <paraID>30D9AA71</paraID>
      <start>24</start>
      <end>25</end>
      <status>modified</status>
      <modifiedWord>（</modifiedWord>
      <trackRevisions>false</trackRevisions>
    </reviewItem>
    <reviewItem>
      <errorID>e9627730-1c10-4dd4-93b8-1832f0386e04</errorID>
      <errorWord>)</errorWord>
      <group>L1_Format</group>
      <groupName>格式问题</groupName>
      <ability>L2_HalfPunc</ability>
      <abilityName>全半角检查</abilityName>
      <candidateList>
        <item>）</item>
      </candidateList>
      <explain>文本全半角错误。</explain>
      <paraID>30D9AA71</paraID>
      <start>26</start>
      <end>27</end>
      <status>modified</status>
      <modifiedWord>）</modifiedWord>
      <trackRevisions>false</trackRevisions>
    </reviewItem>
    <reviewItem>
      <errorID>e0b95094-6ae2-4a55-8a4f-320aee5333b9</errorID>
      <errorWord>(</errorWord>
      <group>L1_Format</group>
      <groupName>格式问题</groupName>
      <ability>L2_HalfPunc</ability>
      <abilityName>全半角检查</abilityName>
      <candidateList>
        <item>（</item>
      </candidateList>
      <explain>文本全半角错误。</explain>
      <paraID>30D9AA71</paraID>
      <start>34</start>
      <end>35</end>
      <status>modified</status>
      <modifiedWord>（</modifiedWord>
      <trackRevisions>false</trackRevisions>
    </reviewItem>
    <reviewItem>
      <errorID>3fff6f5a-2b14-4019-a1ef-73c249aa60a1</errorID>
      <errorWord>)</errorWord>
      <group>L1_Format</group>
      <groupName>格式问题</groupName>
      <ability>L2_HalfPunc</ability>
      <abilityName>全半角检查</abilityName>
      <candidateList>
        <item>）</item>
      </candidateList>
      <explain>文本全半角错误。</explain>
      <paraID>30D9AA71</paraID>
      <start>36</start>
      <end>37</end>
      <status>modified</status>
      <modifiedWord>）</modifiedWord>
      <trackRevisions>false</trackRevisions>
    </reviewItem>
    <reviewItem>
      <errorID>8f4da743-a5d7-4c75-9836-6691d952c8a4</errorID>
      <errorWord>（</errorWord>
      <group>L1_Format</group>
      <groupName>格式问题</groupName>
      <ability>L2_HalfPunc</ability>
      <abilityName>全半角检查</abilityName>
      <candidateList>
        <item>(</item>
      </candidateList>
      <explain>文本全半角错误。</explain>
      <paraID> C4184AE</paraID>
      <start>2</start>
      <end>3</end>
      <status>ignored</status>
      <modifiedWord/>
      <trackRevisions>false</trackRevisions>
    </reviewItem>
    <reviewItem>
      <errorID>476d4f3c-1c11-4f72-9c64-d88cf4b70dab</errorID>
      <errorWord>）</errorWord>
      <group>L1_Format</group>
      <groupName>格式问题</groupName>
      <ability>L2_HalfPunc</ability>
      <abilityName>全半角检查</abilityName>
      <candidateList>
        <item>)</item>
      </candidateList>
      <explain>文本全半角错误。</explain>
      <paraID> C4184AE</paraID>
      <start>5</start>
      <end>6</end>
      <status>ignored</status>
      <modifiedWord/>
      <trackRevisions>false</trackRevisions>
    </reviewItem>
    <reviewItem>
      <errorID>1a29b815-8d60-4449-8189-2da4f7489f8a</errorID>
      <errorWord>（</errorWord>
      <group>L1_Format</group>
      <groupName>格式问题</groupName>
      <ability>L2_HalfPunc</ability>
      <abilityName>全半角检查</abilityName>
      <candidateList>
        <item>(</item>
      </candidateList>
      <explain>文本全半角错误。</explain>
      <paraID>4C339D42</paraID>
      <start>2</start>
      <end>3</end>
      <status>ignored</status>
      <modifiedWord/>
      <trackRevisions>false</trackRevisions>
    </reviewItem>
    <reviewItem>
      <errorID>ae15c4aa-07c4-4a65-a11c-6fc8ceea688d</errorID>
      <errorWord>）</errorWord>
      <group>L1_Format</group>
      <groupName>格式问题</groupName>
      <ability>L2_HalfPunc</ability>
      <abilityName>全半角检查</abilityName>
      <candidateList>
        <item>)</item>
      </candidateList>
      <explain>文本全半角错误。</explain>
      <paraID>4C339D42</paraID>
      <start>5</start>
      <end>6</end>
      <status>ignored</status>
      <modifiedWord/>
      <trackRevisions>false</trackRevisions>
    </reviewItem>
    <reviewItem>
      <errorID>fe5cbfd9-f918-4426-b046-2dfa302b9e04</errorID>
      <errorWord>（</errorWord>
      <group>L1_Format</group>
      <groupName>格式问题</groupName>
      <ability>L2_HalfPunc</ability>
      <abilityName>全半角检查</abilityName>
      <candidateList>
        <item>(</item>
      </candidateList>
      <explain>文本全半角错误。</explain>
      <paraID>4A667D3A</paraID>
      <start>4</start>
      <end>5</end>
      <status>ignored</status>
      <modifiedWord/>
      <trackRevisions>false</trackRevisions>
    </reviewItem>
    <reviewItem>
      <errorID>96f99063-bd08-4a53-9583-121b83acb71f</errorID>
      <errorWord>）</errorWord>
      <group>L1_Format</group>
      <groupName>格式问题</groupName>
      <ability>L2_HalfPunc</ability>
      <abilityName>全半角检查</abilityName>
      <candidateList>
        <item>)</item>
      </candidateList>
      <explain>文本全半角错误。</explain>
      <paraID>4A667D3A</paraID>
      <start>9</start>
      <end>10</end>
      <status>ignored</status>
      <modifiedWord/>
      <trackRevisions>false</trackRevisions>
    </reviewItem>
    <reviewItem>
      <errorID>0cba5a5a-08cf-484b-b49b-a430881c4cc5</errorID>
      <errorWord>（</errorWord>
      <group>L1_Format</group>
      <groupName>格式问题</groupName>
      <ability>L2_HalfPunc</ability>
      <abilityName>全半角检查</abilityName>
      <candidateList>
        <item>(</item>
      </candidateList>
      <explain>文本全半角错误。</explain>
      <paraID>5CB6DA00</paraID>
      <start>4</start>
      <end>5</end>
      <status>ignored</status>
      <modifiedWord/>
      <trackRevisions>false</trackRevisions>
    </reviewItem>
    <reviewItem>
      <errorID>b6914f48-70fa-44dc-ada3-770d374f4c84</errorID>
      <errorWord>）</errorWord>
      <group>L1_Format</group>
      <groupName>格式问题</groupName>
      <ability>L2_HalfPunc</ability>
      <abilityName>全半角检查</abilityName>
      <candidateList>
        <item>)</item>
      </candidateList>
      <explain>文本全半角错误。</explain>
      <paraID>5CB6DA00</paraID>
      <start>7</start>
      <end>8</end>
      <status>ignored</status>
      <modifiedWord/>
      <trackRevisions>false</trackRevisions>
    </reviewItem>
    <reviewItem>
      <errorID>1b949e05-221f-4310-8701-679841819daf</errorID>
      <errorWord>（</errorWord>
      <group>L1_Format</group>
      <groupName>格式问题</groupName>
      <ability>L2_HalfPunc</ability>
      <abilityName>全半角检查</abilityName>
      <candidateList>
        <item>(</item>
      </candidateList>
      <explain>文本全半角错误。</explain>
      <paraID>6A38685C</paraID>
      <start>2</start>
      <end>3</end>
      <status>ignored</status>
      <modifiedWord/>
      <trackRevisions>false</trackRevisions>
    </reviewItem>
    <reviewItem>
      <errorID>4eee97e8-f0d5-40dd-a3f1-759d2915e469</errorID>
      <errorWord>）</errorWord>
      <group>L1_Format</group>
      <groupName>格式问题</groupName>
      <ability>L2_HalfPunc</ability>
      <abilityName>全半角检查</abilityName>
      <candidateList>
        <item>)</item>
      </candidateList>
      <explain>文本全半角错误。</explain>
      <paraID>6A38685C</paraID>
      <start>4</start>
      <end>5</end>
      <status>ignored</status>
      <modifiedWord/>
      <trackRevisions>false</trackRevisions>
    </reviewItem>
    <reviewItem>
      <errorID>c16f2bbd-03fa-4ac7-aa54-42c10a50e186</errorID>
      <errorWord>（</errorWord>
      <group>L1_Format</group>
      <groupName>格式问题</groupName>
      <ability>L2_HalfPunc</ability>
      <abilityName>全半角检查</abilityName>
      <candidateList>
        <item>(</item>
      </candidateList>
      <explain>文本全半角错误。</explain>
      <paraID>768204B1</paraID>
      <start>2</start>
      <end>3</end>
      <status>ignored</status>
      <modifiedWord/>
      <trackRevisions>false</trackRevisions>
    </reviewItem>
    <reviewItem>
      <errorID>9c733983-c076-42fc-95a5-d0864b0165ab</errorID>
      <errorWord>）</errorWord>
      <group>L1_Format</group>
      <groupName>格式问题</groupName>
      <ability>L2_HalfPunc</ability>
      <abilityName>全半角检查</abilityName>
      <candidateList>
        <item>)</item>
      </candidateList>
      <explain>文本全半角错误。</explain>
      <paraID>768204B1</paraID>
      <start>4</start>
      <end>5</end>
      <status>ignored</status>
      <modifiedWord/>
      <trackRevisions>false</trackRevisions>
    </reviewItem>
    <reviewItem>
      <errorID>6ce5f2f4-45bc-4ca1-9adc-d790192fa8c0</errorID>
      <errorWord>（</errorWord>
      <group>L1_Format</group>
      <groupName>格式问题</groupName>
      <ability>L2_HalfPunc</ability>
      <abilityName>全半角检查</abilityName>
      <candidateList>
        <item>(</item>
      </candidateList>
      <explain>文本全半角错误。</explain>
      <paraID>4DB68D69</paraID>
      <start>2</start>
      <end>3</end>
      <status>ignored</status>
      <modifiedWord/>
      <trackRevisions>false</trackRevisions>
    </reviewItem>
    <reviewItem>
      <errorID>5c51fd0a-87bc-4cee-a047-10f78c8c6dd3</errorID>
      <errorWord>）</errorWord>
      <group>L1_Format</group>
      <groupName>格式问题</groupName>
      <ability>L2_HalfPunc</ability>
      <abilityName>全半角检查</abilityName>
      <candidateList>
        <item>)</item>
      </candidateList>
      <explain>文本全半角错误。</explain>
      <paraID>4DB68D69</paraID>
      <start>4</start>
      <end>5</end>
      <status>ignored</status>
      <modifiedWord/>
      <trackRevisions>false</trackRevisions>
    </reviewItem>
    <reviewItem>
      <errorID>8e8971f0-bdf0-4cf4-85b7-a44708153156</errorID>
      <errorWord>（</errorWord>
      <group>L1_Format</group>
      <groupName>格式问题</groupName>
      <ability>L2_HalfPunc</ability>
      <abilityName>全半角检查</abilityName>
      <candidateList>
        <item>(</item>
      </candidateList>
      <explain>文本全半角错误。</explain>
      <paraID> 2196AC0</paraID>
      <start>3</start>
      <end>4</end>
      <status>ignored</status>
      <modifiedWord/>
      <trackRevisions>false</trackRevisions>
    </reviewItem>
    <reviewItem>
      <errorID>fd2ae8f1-f521-4d7b-86f3-ba81a2c00fa2</errorID>
      <errorWord>）</errorWord>
      <group>L1_Format</group>
      <groupName>格式问题</groupName>
      <ability>L2_HalfPunc</ability>
      <abilityName>全半角检查</abilityName>
      <candidateList>
        <item>)</item>
      </candidateList>
      <explain>文本全半角错误。</explain>
      <paraID> 2196AC0</paraID>
      <start>5</start>
      <end>6</end>
      <status>ignored</status>
      <modifiedWord/>
      <trackRevisions>false</trackRevisions>
    </reviewItem>
    <reviewItem>
      <errorID>c9df1c75-5586-4992-b689-6945c8012ced</errorID>
      <errorWord>（</errorWord>
      <group>L1_Format</group>
      <groupName>格式问题</groupName>
      <ability>L2_HalfPunc</ability>
      <abilityName>全半角检查</abilityName>
      <candidateList>
        <item>(</item>
      </candidateList>
      <explain>文本全半角错误。</explain>
      <paraID>6B646789</paraID>
      <start>3</start>
      <end>4</end>
      <status>ignored</status>
      <modifiedWord/>
      <trackRevisions>false</trackRevisions>
    </reviewItem>
    <reviewItem>
      <errorID>2404ad24-b72f-4472-a60b-4399f186b902</errorID>
      <errorWord>）</errorWord>
      <group>L1_Format</group>
      <groupName>格式问题</groupName>
      <ability>L2_HalfPunc</ability>
      <abilityName>全半角检查</abilityName>
      <candidateList>
        <item>)</item>
      </candidateList>
      <explain>文本全半角错误。</explain>
      <paraID>6B646789</paraID>
      <start>5</start>
      <end>6</end>
      <status>ignored</status>
      <modifiedWord/>
      <trackRevisions>false</trackRevisions>
    </reviewItem>
    <reviewItem>
      <errorID>81ff921a-e178-4ff7-b459-70a56d9c6a7a</errorID>
      <errorWord>（</errorWord>
      <group>L1_Format</group>
      <groupName>格式问题</groupName>
      <ability>L2_HalfPunc</ability>
      <abilityName>全半角检查</abilityName>
      <candidateList>
        <item>(</item>
      </candidateList>
      <explain>文本全半角错误。</explain>
      <paraID>3E3B45B0</paraID>
      <start>1</start>
      <end>2</end>
      <status>ignored</status>
      <modifiedWord/>
      <trackRevisions>false</trackRevisions>
    </reviewItem>
    <reviewItem>
      <errorID>4ae81088-3fce-474b-8c18-a285455110f0</errorID>
      <errorWord>）</errorWord>
      <group>L1_Format</group>
      <groupName>格式问题</groupName>
      <ability>L2_HalfPunc</ability>
      <abilityName>全半角检查</abilityName>
      <candidateList>
        <item>)</item>
      </candidateList>
      <explain>文本全半角错误。</explain>
      <paraID>3E3B45B0</paraID>
      <start>3</start>
      <end>4</end>
      <status>ignored</status>
      <modifiedWord/>
      <trackRevisions>false</trackRevisions>
    </reviewItem>
    <reviewItem>
      <errorID>90b4360e-1149-46ae-af04-a6026c183e74</errorID>
      <errorWord>（</errorWord>
      <group>L1_Format</group>
      <groupName>格式问题</groupName>
      <ability>L2_HalfPunc</ability>
      <abilityName>全半角检查</abilityName>
      <candidateList>
        <item>(</item>
      </candidateList>
      <explain>文本全半角错误。</explain>
      <paraID>3FC9851F</paraID>
      <start>4</start>
      <end>5</end>
      <status>ignored</status>
      <modifiedWord/>
      <trackRevisions>false</trackRevisions>
    </reviewItem>
    <reviewItem>
      <errorID>d4e6fd10-ad26-481a-a3ee-4fff8fb1e5bf</errorID>
      <errorWord>）</errorWord>
      <group>L1_Format</group>
      <groupName>格式问题</groupName>
      <ability>L2_HalfPunc</ability>
      <abilityName>全半角检查</abilityName>
      <candidateList>
        <item>)</item>
      </candidateList>
      <explain>文本全半角错误。</explain>
      <paraID>3FC9851F</paraID>
      <start>7</start>
      <end>8</end>
      <status>ignored</status>
      <modifiedWord/>
      <trackRevisions>false</trackRevisions>
    </reviewItem>
    <reviewItem>
      <errorID>e80dafef-1b79-4dac-a864-dcfcd900cba7</errorID>
      <errorWord>（</errorWord>
      <group>L1_Format</group>
      <groupName>格式问题</groupName>
      <ability>L2_HalfPunc</ability>
      <abilityName>全半角检查</abilityName>
      <candidateList>
        <item>(</item>
      </candidateList>
      <explain>文本全半角错误。</explain>
      <paraID>5DF67C91</paraID>
      <start>4</start>
      <end>5</end>
      <status>ignored</status>
      <modifiedWord/>
      <trackRevisions>false</trackRevisions>
    </reviewItem>
    <reviewItem>
      <errorID>28cb81f3-bee4-40ce-85b8-e6203cce7476</errorID>
      <errorWord>）</errorWord>
      <group>L1_Format</group>
      <groupName>格式问题</groupName>
      <ability>L2_HalfPunc</ability>
      <abilityName>全半角检查</abilityName>
      <candidateList>
        <item>)</item>
      </candidateList>
      <explain>文本全半角错误。</explain>
      <paraID>5DF67C91</paraID>
      <start>6</start>
      <end>7</end>
      <status>ignored</status>
      <modifiedWord/>
      <trackRevisions>false</trackRevisions>
    </reviewItem>
    <reviewItem>
      <errorID>aeaaa92c-7b63-4162-b2ba-657b6b38ef4b</errorID>
      <errorWord>（</errorWord>
      <group>L1_Format</group>
      <groupName>格式问题</groupName>
      <ability>L2_HalfPunc</ability>
      <abilityName>全半角检查</abilityName>
      <candidateList>
        <item>(</item>
      </candidateList>
      <explain>文本全半角错误。</explain>
      <paraID>3FFDCDD2</paraID>
      <start>2</start>
      <end>3</end>
      <status>ignored</status>
      <modifiedWord/>
      <trackRevisions>false</trackRevisions>
    </reviewItem>
    <reviewItem>
      <errorID>f99b79eb-ab8d-4e01-ae30-20c398a82b6f</errorID>
      <errorWord>）</errorWord>
      <group>L1_Format</group>
      <groupName>格式问题</groupName>
      <ability>L2_HalfPunc</ability>
      <abilityName>全半角检查</abilityName>
      <candidateList>
        <item>)</item>
      </candidateList>
      <explain>文本全半角错误。</explain>
      <paraID>3FFDCDD2</paraID>
      <start>4</start>
      <end>5</end>
      <status>ignored</status>
      <modifiedWord/>
      <trackRevisions>false</trackRevisions>
    </reviewItem>
    <reviewItem>
      <errorID>70e7e360-9b60-49d8-9d58-8cd40c362327</errorID>
      <errorWord>＞</errorWord>
      <group>L1_Format</group>
      <groupName>格式问题</groupName>
      <ability>L2_HalfPunc</ability>
      <abilityName>全半角检查</abilityName>
      <candidateList>
        <item>&gt;</item>
      </candidateList>
      <explain>文本全半角错误。</explain>
      <paraID>7BC0EF18</paraID>
      <start>0</start>
      <end>1</end>
      <status>ignored</status>
      <modifiedWord/>
      <trackRevisions>false</trackRevisions>
    </reviewItem>
    <reviewItem>
      <errorID>e4adb536-a24a-4ae9-9bf7-1d3c65cd0a7f</errorID>
      <errorWord>（</errorWord>
      <group>L1_Format</group>
      <groupName>格式问题</groupName>
      <ability>L2_HalfPunc</ability>
      <abilityName>全半角检查</abilityName>
      <candidateList>
        <item>(</item>
      </candidateList>
      <explain>文本全半角错误。</explain>
      <paraID>7A9F744B</paraID>
      <start>4</start>
      <end>5</end>
      <status>ignored</status>
      <modifiedWord/>
      <trackRevisions>false</trackRevisions>
    </reviewItem>
    <reviewItem>
      <errorID>5537db3e-5129-4679-9769-cf22beec1da8</errorID>
      <errorWord>）</errorWord>
      <group>L1_Format</group>
      <groupName>格式问题</groupName>
      <ability>L2_HalfPunc</ability>
      <abilityName>全半角检查</abilityName>
      <candidateList>
        <item>)</item>
      </candidateList>
      <explain>文本全半角错误。</explain>
      <paraID>7A9F744B</paraID>
      <start>6</start>
      <end>7</end>
      <status>ignored</status>
      <modifiedWord/>
      <trackRevisions>false</trackRevisions>
    </reviewItem>
    <reviewItem>
      <errorID>2d695b4c-780e-494a-a48f-3c755a6e41e8</errorID>
      <errorWord>＞</errorWord>
      <group>L1_Format</group>
      <groupName>格式问题</groupName>
      <ability>L2_HalfPunc</ability>
      <abilityName>全半角检查</abilityName>
      <candidateList>
        <item>&gt;</item>
      </candidateList>
      <explain>文本全半角错误。</explain>
      <paraID>2A3E31BE</paraID>
      <start>0</start>
      <end>1</end>
      <status>ignored</status>
      <modifiedWord/>
      <trackRevisions>false</trackRevisions>
    </reviewItem>
    <reviewItem>
      <errorID>2e6f8237-b814-4d89-ab40-15ed1b87e900</errorID>
      <errorWord>（</errorWord>
      <group>L1_Format</group>
      <groupName>格式问题</groupName>
      <ability>L2_HalfPunc</ability>
      <abilityName>全半角检查</abilityName>
      <candidateList>
        <item>(</item>
      </candidateList>
      <explain>文本全半角错误。</explain>
      <paraID>41E1E813</paraID>
      <start>3</start>
      <end>4</end>
      <status>ignored</status>
      <modifiedWord/>
      <trackRevisions>false</trackRevisions>
    </reviewItem>
    <reviewItem>
      <errorID>ef986368-fc23-4d2d-b2d0-427893795471</errorID>
      <errorWord>）</errorWord>
      <group>L1_Format</group>
      <groupName>格式问题</groupName>
      <ability>L2_HalfPunc</ability>
      <abilityName>全半角检查</abilityName>
      <candidateList>
        <item>)</item>
      </candidateList>
      <explain>文本全半角错误。</explain>
      <paraID>41E1E813</paraID>
      <start>5</start>
      <end>6</end>
      <status>ignored</status>
      <modifiedWord/>
      <trackRevisions>false</trackRevisions>
    </reviewItem>
    <reviewItem>
      <errorID>16a525ba-f944-4dcf-832f-b043e57e11df</errorID>
      <errorWord>（</errorWord>
      <group>L1_Format</group>
      <groupName>格式问题</groupName>
      <ability>L2_HalfPunc</ability>
      <abilityName>全半角检查</abilityName>
      <candidateList>
        <item>(</item>
      </candidateList>
      <explain>文本全半角错误。</explain>
      <paraID>6EFA1940</paraID>
      <start>1</start>
      <end>2</end>
      <status>ignored</status>
      <modifiedWord/>
      <trackRevisions>false</trackRevisions>
    </reviewItem>
    <reviewItem>
      <errorID>62728d53-d95d-491b-862d-46edde1d5472</errorID>
      <errorWord>）</errorWord>
      <group>L1_Format</group>
      <groupName>格式问题</groupName>
      <ability>L2_HalfPunc</ability>
      <abilityName>全半角检查</abilityName>
      <candidateList>
        <item>)</item>
      </candidateList>
      <explain>文本全半角错误。</explain>
      <paraID>6EFA1940</paraID>
      <start>3</start>
      <end>4</end>
      <status>ignored</status>
      <modifiedWord/>
      <trackRevisions>false</trackRevisions>
    </reviewItem>
    <reviewItem>
      <errorID>c7aa63ab-4a3e-45f7-9956-25ad339ecce7</errorID>
      <errorWord>（</errorWord>
      <group>L1_Format</group>
      <groupName>格式问题</groupName>
      <ability>L2_HalfPunc</ability>
      <abilityName>全半角检查</abilityName>
      <candidateList>
        <item>(</item>
      </candidateList>
      <explain>文本全半角错误。</explain>
      <paraID>3B01CF19</paraID>
      <start>1</start>
      <end>2</end>
      <status>ignored</status>
      <modifiedWord/>
      <trackRevisions>false</trackRevisions>
    </reviewItem>
    <reviewItem>
      <errorID>bf035377-26ef-438c-b2c7-c437587e5726</errorID>
      <errorWord>）</errorWord>
      <group>L1_Format</group>
      <groupName>格式问题</groupName>
      <ability>L2_HalfPunc</ability>
      <abilityName>全半角检查</abilityName>
      <candidateList>
        <item>)</item>
      </candidateList>
      <explain>文本全半角错误。</explain>
      <paraID>3B01CF19</paraID>
      <start>3</start>
      <end>4</end>
      <status>ignored</status>
      <modifiedWord/>
      <trackRevisions>false</trackRevisions>
    </reviewItem>
    <reviewItem>
      <errorID>b2c89dce-3d9b-43fd-968e-415b48732206</errorID>
      <errorWord>（</errorWord>
      <group>L1_Format</group>
      <groupName>格式问题</groupName>
      <ability>L2_HalfPunc</ability>
      <abilityName>全半角检查</abilityName>
      <candidateList>
        <item>(</item>
      </candidateList>
      <explain>文本全半角错误。</explain>
      <paraID>35DC6C48</paraID>
      <start>1</start>
      <end>2</end>
      <status>ignored</status>
      <modifiedWord/>
      <trackRevisions>false</trackRevisions>
    </reviewItem>
    <reviewItem>
      <errorID>21386e52-c417-4f0e-82d1-5481bdf86263</errorID>
      <errorWord>）</errorWord>
      <group>L1_Format</group>
      <groupName>格式问题</groupName>
      <ability>L2_HalfPunc</ability>
      <abilityName>全半角检查</abilityName>
      <candidateList>
        <item>)</item>
      </candidateList>
      <explain>文本全半角错误。</explain>
      <paraID>35DC6C48</paraID>
      <start>3</start>
      <end>4</end>
      <status>ignored</status>
      <modifiedWord/>
      <trackRevisions>false</trackRevisions>
    </reviewItem>
    <reviewItem>
      <errorID>b088afa1-ee27-4f13-9c5f-80aa65010b34</errorID>
      <errorWord>（</errorWord>
      <group>L1_Format</group>
      <groupName>格式问题</groupName>
      <ability>L2_HalfPunc</ability>
      <abilityName>全半角检查</abilityName>
      <candidateList>
        <item>(</item>
      </candidateList>
      <explain>文本全半角错误。</explain>
      <paraID>5E9AD6ED</paraID>
      <start>1</start>
      <end>2</end>
      <status>ignored</status>
      <modifiedWord/>
      <trackRevisions>false</trackRevisions>
    </reviewItem>
    <reviewItem>
      <errorID>3098d624-3daa-4c87-9d71-c8e2d3846b88</errorID>
      <errorWord>）</errorWord>
      <group>L1_Format</group>
      <groupName>格式问题</groupName>
      <ability>L2_HalfPunc</ability>
      <abilityName>全半角检查</abilityName>
      <candidateList>
        <item>)</item>
      </candidateList>
      <explain>文本全半角错误。</explain>
      <paraID>5E9AD6ED</paraID>
      <start>3</start>
      <end>4</end>
      <status>ignored</status>
      <modifiedWord/>
      <trackRevisions>false</trackRevisions>
    </reviewItem>
    <reviewItem>
      <errorID>867902f2-01c6-4af3-a305-756fe785f52e</errorID>
      <errorWord>（</errorWord>
      <group>L1_Format</group>
      <groupName>格式问题</groupName>
      <ability>L2_HalfPunc</ability>
      <abilityName>全半角检查</abilityName>
      <candidateList>
        <item>(</item>
      </candidateList>
      <explain>文本全半角错误。</explain>
      <paraID>3857ED00</paraID>
      <start>1</start>
      <end>2</end>
      <status>ignored</status>
      <modifiedWord/>
      <trackRevisions>false</trackRevisions>
    </reviewItem>
    <reviewItem>
      <errorID>925f1d4a-4ae1-48f4-98a9-ca6ddc2a49b1</errorID>
      <errorWord>）</errorWord>
      <group>L1_Format</group>
      <groupName>格式问题</groupName>
      <ability>L2_HalfPunc</ability>
      <abilityName>全半角检查</abilityName>
      <candidateList>
        <item>)</item>
      </candidateList>
      <explain>文本全半角错误。</explain>
      <paraID>3857ED00</paraID>
      <start>3</start>
      <end>4</end>
      <status>ignored</status>
      <modifiedWord/>
      <trackRevisions>false</trackRevisions>
    </reviewItem>
    <reviewItem>
      <errorID>30650f63-4d68-4509-a782-9f07ef817ae5</errorID>
      <errorWord>（</errorWord>
      <group>L1_Format</group>
      <groupName>格式问题</groupName>
      <ability>L2_HalfPunc</ability>
      <abilityName>全半角检查</abilityName>
      <candidateList>
        <item>(</item>
      </candidateList>
      <explain>文本全半角错误。</explain>
      <paraID>556BB69D</paraID>
      <start>3</start>
      <end>4</end>
      <status>ignored</status>
      <modifiedWord/>
      <trackRevisions>false</trackRevisions>
    </reviewItem>
    <reviewItem>
      <errorID>0e393c9d-63c3-40a0-b561-5172cff5c2fb</errorID>
      <errorWord>）</errorWord>
      <group>L1_Format</group>
      <groupName>格式问题</groupName>
      <ability>L2_HalfPunc</ability>
      <abilityName>全半角检查</abilityName>
      <candidateList>
        <item>)</item>
      </candidateList>
      <explain>文本全半角错误。</explain>
      <paraID>556BB69D</paraID>
      <start>7</start>
      <end>8</end>
      <status>ignored</status>
      <modifiedWord/>
      <trackRevisions>false</trackRevisions>
    </reviewItem>
    <reviewItem>
      <errorID>f8bdfe81-48a5-43d8-a2e1-c1618307842c</errorID>
      <errorWord>（</errorWord>
      <group>L1_Format</group>
      <groupName>格式问题</groupName>
      <ability>L2_HalfPunc</ability>
      <abilityName>全半角检查</abilityName>
      <candidateList>
        <item>(</item>
      </candidateList>
      <explain>文本全半角错误。</explain>
      <paraID>72B972CA</paraID>
      <start>1</start>
      <end>2</end>
      <status>ignored</status>
      <modifiedWord/>
      <trackRevisions>false</trackRevisions>
    </reviewItem>
    <reviewItem>
      <errorID>4a17c7b1-4136-4728-b8ed-2467609dcf2e</errorID>
      <errorWord>）</errorWord>
      <group>L1_Format</group>
      <groupName>格式问题</groupName>
      <ability>L2_HalfPunc</ability>
      <abilityName>全半角检查</abilityName>
      <candidateList>
        <item>)</item>
      </candidateList>
      <explain>文本全半角错误。</explain>
      <paraID>72B972CA</paraID>
      <start>3</start>
      <end>4</end>
      <status>ignored</status>
      <modifiedWord/>
      <trackRevisions>false</trackRevisions>
    </reviewItem>
    <reviewItem>
      <errorID>9e4f5597-e956-4a82-8512-6c6a2f96cc6d</errorID>
      <errorWord>)</errorWord>
      <group>L1_Format</group>
      <groupName>格式问题</groupName>
      <ability>L2_HalfPunc</ability>
      <abilityName>全半角检查</abilityName>
      <candidateList>
        <item>）</item>
      </candidateList>
      <explain>文本全半角错误。</explain>
      <paraID>1232039E</paraID>
      <start>41</start>
      <end>42</end>
      <status>modified</status>
      <modifiedWord>）</modifiedWord>
      <trackRevisions>false</trackRevisions>
    </reviewItem>
    <reviewItem>
      <errorID>b0016e59-7ee0-4d73-aa34-49e9a3640cc9</errorID>
      <errorWord>＞</errorWord>
      <group>L1_Format</group>
      <groupName>格式问题</groupName>
      <ability>L2_HalfPunc</ability>
      <abilityName>全半角检查</abilityName>
      <candidateList>
        <item>&gt;</item>
      </candidateList>
      <explain>文本全半角错误。</explain>
      <paraID>7F3AAA78</paraID>
      <start>0</start>
      <end>1</end>
      <status>ignored</status>
      <modifiedWord/>
      <trackRevisions>false</trackRevisions>
    </reviewItem>
    <reviewItem>
      <errorID>61cb9a3f-30c2-4794-acc9-75e5cde7a26d</errorID>
      <errorWord>＞</errorWord>
      <group>L1_Format</group>
      <groupName>格式问题</groupName>
      <ability>L2_HalfPunc</ability>
      <abilityName>全半角检查</abilityName>
      <candidateList>
        <item>&gt;</item>
      </candidateList>
      <explain>文本全半角错误。</explain>
      <paraID>4FC64EEE</paraID>
      <start>0</start>
      <end>1</end>
      <status>ignored</status>
      <modifiedWord/>
      <trackRevisions>false</trackRevisions>
    </reviewItem>
    <reviewItem>
      <errorID>10476000-df03-467f-94be-7ea65af0fe5e</errorID>
      <errorWord>＞</errorWord>
      <group>L1_Format</group>
      <groupName>格式问题</groupName>
      <ability>L2_HalfPunc</ability>
      <abilityName>全半角检查</abilityName>
      <candidateList>
        <item>&gt;</item>
      </candidateList>
      <explain>文本全半角错误。</explain>
      <paraID>3F0BC5F9</paraID>
      <start>0</start>
      <end>1</end>
      <status>ignored</status>
      <modifiedWord/>
      <trackRevisions>false</trackRevisions>
    </reviewItem>
    <reviewItem>
      <errorID>ddda1bf3-1564-4d58-b22e-a94d61f6242d</errorID>
      <errorWord>＞</errorWord>
      <group>L1_Format</group>
      <groupName>格式问题</groupName>
      <ability>L2_HalfPunc</ability>
      <abilityName>全半角检查</abilityName>
      <candidateList>
        <item>&gt;</item>
      </candidateList>
      <explain>文本全半角错误。</explain>
      <paraID>69FA8F89</paraID>
      <start>0</start>
      <end>1</end>
      <status>ignored</status>
      <modifiedWord/>
      <trackRevisions>false</trackRevisions>
    </reviewItem>
    <reviewItem>
      <errorID>40db77f6-7ed2-4449-b961-c22c3c7a6baa</errorID>
      <errorWord>＞</errorWord>
      <group>L1_Format</group>
      <groupName>格式问题</groupName>
      <ability>L2_HalfPunc</ability>
      <abilityName>全半角检查</abilityName>
      <candidateList>
        <item>&gt;</item>
      </candidateList>
      <explain>文本全半角错误。</explain>
      <paraID>70B66139</paraID>
      <start>0</start>
      <end>1</end>
      <status>ignored</status>
      <modifiedWord/>
      <trackRevisions>false</trackRevisions>
    </reviewItem>
    <reviewItem>
      <errorID>9be99a95-51f2-4cf3-85ac-3f4c6769cda3</errorID>
      <errorWord>＞</errorWord>
      <group>L1_Format</group>
      <groupName>格式问题</groupName>
      <ability>L2_HalfPunc</ability>
      <abilityName>全半角检查</abilityName>
      <candidateList>
        <item>&gt;</item>
      </candidateList>
      <explain>文本全半角错误。</explain>
      <paraID>6F5931B1</paraID>
      <start>0</start>
      <end>1</end>
      <status>ignored</status>
      <modifiedWord/>
      <trackRevisions>false</trackRevisions>
    </reviewItem>
    <reviewItem>
      <errorID>2b999019-e069-43d2-a9ca-41f69b985912</errorID>
      <errorWord>＞</errorWord>
      <group>L1_Format</group>
      <groupName>格式问题</groupName>
      <ability>L2_HalfPunc</ability>
      <abilityName>全半角检查</abilityName>
      <candidateList>
        <item>&gt;</item>
      </candidateList>
      <explain>文本全半角错误。</explain>
      <paraID>61518F18</paraID>
      <start>0</start>
      <end>1</end>
      <status>ignored</status>
      <modifiedWord/>
      <trackRevisions>false</trackRevisions>
    </reviewItem>
    <reviewItem>
      <errorID>4860d38b-66f7-43de-a306-a579f04e0987</errorID>
      <errorWord>＞</errorWord>
      <group>L1_Format</group>
      <groupName>格式问题</groupName>
      <ability>L2_HalfPunc</ability>
      <abilityName>全半角检查</abilityName>
      <candidateList>
        <item>&gt;</item>
      </candidateList>
      <explain>文本全半角错误。</explain>
      <paraID>7A0E1690</paraID>
      <start>0</start>
      <end>1</end>
      <status>ignored</status>
      <modifiedWord/>
      <trackRevisions>false</trackRevisions>
    </reviewItem>
    <reviewItem>
      <errorID>0af73066-0447-4dd1-8d4c-0fb4535820b6</errorID>
      <errorWord>＞</errorWord>
      <group>L1_Format</group>
      <groupName>格式问题</groupName>
      <ability>L2_HalfPunc</ability>
      <abilityName>全半角检查</abilityName>
      <candidateList>
        <item>&gt;</item>
      </candidateList>
      <explain>文本全半角错误。</explain>
      <paraID>16240DE8</paraID>
      <start>0</start>
      <end>1</end>
      <status>ignored</status>
      <modifiedWord/>
      <trackRevisions>false</trackRevisions>
    </reviewItem>
    <reviewItem>
      <errorID>4bc0b728-3238-49e8-9437-a942288f6c70</errorID>
      <errorWord>＞</errorWord>
      <group>L1_Format</group>
      <groupName>格式问题</groupName>
      <ability>L2_HalfPunc</ability>
      <abilityName>全半角检查</abilityName>
      <candidateList>
        <item>&gt;</item>
      </candidateList>
      <explain>文本全半角错误。</explain>
      <paraID>1CB51256</paraID>
      <start>0</start>
      <end>1</end>
      <status>ignored</status>
      <modifiedWord/>
      <trackRevisions>false</trackRevisions>
    </reviewItem>
    <reviewItem>
      <errorID>5f8a784d-eac4-4e3b-924e-658e4b2181fc</errorID>
      <errorWord>＞</errorWord>
      <group>L1_Format</group>
      <groupName>格式问题</groupName>
      <ability>L2_HalfPunc</ability>
      <abilityName>全半角检查</abilityName>
      <candidateList>
        <item>&gt;</item>
      </candidateList>
      <explain>文本全半角错误。</explain>
      <paraID>39DABDC8</paraID>
      <start>0</start>
      <end>1</end>
      <status>ignored</status>
      <modifiedWord/>
      <trackRevisions>false</trackRevisions>
    </reviewItem>
    <reviewItem>
      <errorID>2e10287f-b07f-4ebb-b298-a866f2234e61</errorID>
      <errorWord>＞</errorWord>
      <group>L1_Format</group>
      <groupName>格式问题</groupName>
      <ability>L2_HalfPunc</ability>
      <abilityName>全半角检查</abilityName>
      <candidateList>
        <item>&gt;</item>
      </candidateList>
      <explain>文本全半角错误。</explain>
      <paraID>41D984CC</paraID>
      <start>0</start>
      <end>1</end>
      <status>ignored</status>
      <modifiedWord/>
      <trackRevisions>false</trackRevisions>
    </reviewItem>
    <reviewItem>
      <errorID>663d6fe5-5546-4037-8bd4-62e9a036ca28</errorID>
      <errorWord>压密</errorWord>
      <group>L1_Word</group>
      <groupName>字词问题</groupName>
      <ability>L2_Typo</ability>
      <abilityName>字词错误</abilityName>
      <candidateList>
        <item>压迫</item>
      </candidateList>
      <explain/>
      <paraID>3A45CBFC</paraID>
      <start>146</start>
      <end>148</end>
      <status>ignored</status>
      <modifiedWord/>
      <trackRevisions>false</trackRevisions>
    </reviewItem>
    <reviewItem>
      <errorID>e8a28e59-2c55-4687-89fa-adc24d5cd589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5B17129D</paraID>
      <start>43</start>
      <end>44</end>
      <status>ignored</status>
      <modifiedWord/>
      <trackRevisions>false</trackRevisions>
    </reviewItem>
    <reviewItem>
      <errorID>18fe25fd-0f49-4072-8178-3f8a4cba6aec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3F2DEAEF</paraID>
      <start>27</start>
      <end>28</end>
      <status>ignored</status>
      <modifiedWord/>
      <trackRevisions>false</trackRevisions>
    </reviewItem>
    <reviewItem>
      <errorID>5e9d46ab-1b02-45ad-8e59-203e87546e8c</errorID>
      <errorWord>期</errorWord>
      <group>L1_Word</group>
      <groupName>字词问题</groupName>
      <ability>L2_Typo</ability>
      <abilityName>字词错误</abilityName>
      <candidateList>
        <item>期间</item>
      </candidateList>
      <explain>〈名〉某个时期里面：农忙～｜春节～｜抗战～。</explain>
      <paraID>45C5CA83</paraID>
      <start>71</start>
      <end>72</end>
      <status>ignored</status>
      <modifiedWord/>
      <trackRevisions>false</trackRevisions>
    </reviewItem>
    <reviewItem>
      <errorID>02570309-d461-4fec-9d1d-6d2e6cc463fb</errorID>
      <errorWord>工艺流程及</errorWord>
      <group>L1_Knowledge</group>
      <groupName>知识性问题</groupName>
      <ability>L2_Term</ability>
      <abilityName>专业术语</abilityName>
      <candidateList>
        <item>工艺流程图</item>
      </candidateList>
      <explain/>
      <paraID>7350F8F9</paraID>
      <start>11</start>
      <end>16</end>
      <status>ignored</status>
      <modifiedWord/>
      <trackRevisions>false</trackRevisions>
    </reviewItem>
    <reviewItem>
      <errorID>f7143455-8ee0-4745-b8f4-b49ba160605e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63219248</paraID>
      <start>0</start>
      <end>2</end>
      <status>ignored</status>
      <modifiedWord/>
      <trackRevisions>false</trackRevisions>
    </reviewItem>
    <reviewItem>
      <errorID>2acd41d4-e561-4722-b820-c69ede183886</errorID>
      <errorWord>与水蒸汽</errorWord>
      <group>L1_Word</group>
      <groupName>字词问题</groupName>
      <ability>L2_Typo</ability>
      <abilityName>字词错误</abilityName>
      <candidateList>
        <item>与水蒸气</item>
      </candidateList>
      <explain/>
      <paraID>428FEDED</paraID>
      <start>71</start>
      <end>75</end>
      <status>modified</status>
      <modifiedWord>与水蒸气</modifiedWord>
      <trackRevisions>false</trackRevisions>
    </reviewItem>
    <reviewItem>
      <errorID>147517b4-733c-4bdf-b805-0b4affe4c4b8</errorID>
      <errorWord>与水蒸汽</errorWord>
      <group>L1_Word</group>
      <groupName>字词问题</groupName>
      <ability>L2_Typo</ability>
      <abilityName>字词错误</abilityName>
      <candidateList>
        <item>与水蒸气</item>
      </candidateList>
      <explain/>
      <paraID>5144A0B7</paraID>
      <start>20</start>
      <end>24</end>
      <status>modified</status>
      <modifiedWord>与水蒸气</modifiedWord>
      <trackRevisions>false</trackRevisions>
    </reviewItem>
    <reviewItem>
      <errorID>95a0a481-c659-4bc5-bbc4-6f912a358287</errorID>
      <errorWord>来自于</errorWord>
      <group>L1_Word</group>
      <groupName>字词问题</groupName>
      <ability>L2_Typo</ability>
      <abilityName>字词错误</abilityName>
      <candidateList>
        <item>来自</item>
      </candidateList>
      <explain/>
      <paraID>5144A0B7</paraID>
      <start>65</start>
      <end>68</end>
      <status>ignored</status>
      <modifiedWord/>
      <trackRevisions>false</trackRevisions>
    </reviewItem>
    <reviewItem>
      <errorID>8244cf07-1874-484a-9def-23d38275fda2</errorID>
      <errorWord>水蒸汽</errorWord>
      <group>L1_Word</group>
      <groupName>字词问题</groupName>
      <ability>L2_Typo</ability>
      <abilityName>字词错误</abilityName>
      <candidateList>
        <item>水蒸气</item>
      </candidateList>
      <explain>〈名〉气态的水。常压下液态的水加热到100℃时就开始沸腾，迅速变成水蒸气。也叫蒸汽。</explain>
      <paraID>5144A0B7</paraID>
      <start>99</start>
      <end>102</end>
      <status>modified</status>
      <modifiedWord>水蒸气</modifiedWord>
      <trackRevisions>false</trackRevisions>
    </reviewItem>
    <reviewItem>
      <errorID>86d40125-a212-4dac-a5fe-04d7a02c9db0</errorID>
      <errorWord>反应</errorWord>
      <group>L1_Word</group>
      <groupName>字词问题</groupName>
      <ability>L2_Typo</ability>
      <abilityName>字词错误</abilityName>
      <candidateList>
        <item>反映</item>
      </candidateList>
      <explain>〈动〉❶反照，比喻把客观事物的实质表现出来：这部小说～了现实的生活和斗争。❷把情况、意见等告诉上级或有关部门：把情况～到县里｜他～的意见值得重视。❸通常指机体接受和回答客观事物影响的活动过程。</explain>
      <paraID>5144A0B7</paraID>
      <start>138</start>
      <end>140</end>
      <status>ignored</status>
      <modifiedWord/>
      <trackRevisions>false</trackRevisions>
    </reviewItem>
    <reviewItem>
      <errorID>931bcb0b-7b2b-4066-9de8-e4167832c769</errorID>
      <errorWord>水蒸汽</errorWord>
      <group>L1_Word</group>
      <groupName>字词问题</groupName>
      <ability>L2_Typo</ability>
      <abilityName>字词错误</abilityName>
      <candidateList>
        <item>水蒸气</item>
      </candidateList>
      <explain>〈名〉气态的水。常压下液态的水加热到100℃时就开始沸腾，迅速变成水蒸气。也叫蒸汽。</explain>
      <paraID>31B91922</paraID>
      <start>2</start>
      <end>5</end>
      <status>modified</status>
      <modifiedWord>水蒸气</modifiedWord>
      <trackRevisions>false</trackRevisions>
    </reviewItem>
    <reviewItem>
      <errorID>e07c418e-b0bd-4631-ba60-df7121ec1afc</errorID>
      <errorWord>(</errorWord>
      <group>L1_Format</group>
      <groupName>格式问题</groupName>
      <ability>L2_HalfPunc</ability>
      <abilityName>全半角检查</abilityName>
      <candidateList>
        <item>（</item>
      </candidateList>
      <explain>文本全半角错误。</explain>
      <paraID>4A1DA610</paraID>
      <start>43</start>
      <end>44</end>
      <status>modified</status>
      <modifiedWord>（</modifiedWord>
      <trackRevisions>false</trackRevisions>
    </reviewItem>
    <reviewItem>
      <errorID>86467876-8afc-48ab-bd2c-f53285996231</errorID>
      <errorWord>)</errorWord>
      <group>L1_Format</group>
      <groupName>格式问题</groupName>
      <ability>L2_HalfPunc</ability>
      <abilityName>全半角检查</abilityName>
      <candidateList>
        <item>）</item>
      </candidateList>
      <explain>文本全半角错误。</explain>
      <paraID>4A1DA610</paraID>
      <start>55</start>
      <end>56</end>
      <status>modified</status>
      <modifiedWord>）</modifiedWord>
      <trackRevisions>false</trackRevisions>
    </reviewItem>
    <reviewItem>
      <errorID>b0862636-84f6-4658-89d5-0f77ca92c155</errorID>
      <errorWord>与水蒸汽</errorWord>
      <group>L1_Word</group>
      <groupName>字词问题</groupName>
      <ability>L2_Typo</ability>
      <abilityName>字词错误</abilityName>
      <candidateList>
        <item>与水蒸气</item>
      </candidateList>
      <explain/>
      <paraID>4A1DA610</paraID>
      <start>60</start>
      <end>64</end>
      <status>modified</status>
      <modifiedWord>与水蒸气</modifiedWord>
      <trackRevisions>false</trackRevisions>
    </reviewItem>
    <reviewItem>
      <errorID>ff2bb84e-8a0d-4c71-9b6d-ace63421dd6f</errorID>
      <errorWord>的水蒸汽</errorWord>
      <group>L1_Word</group>
      <groupName>字词问题</groupName>
      <ability>L2_Typo</ability>
      <abilityName>字词错误</abilityName>
      <candidateList>
        <item>的水蒸气</item>
      </candidateList>
      <explain/>
      <paraID>143CDAE7</paraID>
      <start>52</start>
      <end>56</end>
      <status>modified</status>
      <modifiedWord>的水蒸气</modifiedWord>
      <trackRevisions>false</trackRevisions>
    </reviewItem>
    <reviewItem>
      <errorID>d07549bf-7515-42c8-aa15-8c851754cc6b</errorID>
      <errorWord>-</errorWord>
      <group>L1_Knowledge</group>
      <groupName>知识性问题</groupName>
      <ability>L2_Knowledge</ability>
      <abilityName>其他知识</abilityName>
      <candidateList>
        <item>%～</item>
      </candidateList>
      <explain>百分号用法检查</explain>
      <paraID>6D31415B</paraID>
      <start>12</start>
      <end>14</end>
      <status>modified</status>
      <modifiedWord>%～</modifiedWord>
      <trackRevisions>false</trackRevisions>
    </reviewItem>
    <reviewItem>
      <errorID>23011d70-abcd-457e-a1cc-f3c84240dffe</errorID>
      <errorWord>,</errorWord>
      <group>L1_Format</group>
      <groupName>格式问题</groupName>
      <ability>L2_HalfPunc</ability>
      <abilityName>全半角检查</abilityName>
      <candidateList>
        <item>，</item>
      </candidateList>
      <explain>文本全半角错误。</explain>
      <paraID>48625912</paraID>
      <start>72</start>
      <end>73</end>
      <status>modified</status>
      <modifiedWord>，</modifiedWord>
      <trackRevisions>false</trackRevisions>
    </reviewItem>
    <reviewItem>
      <errorID>4c0beecb-80f9-4ff9-a47c-8c66b3c694b7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6CC20F8D</paraID>
      <start>0</start>
      <end>2</end>
      <status>ignored</status>
      <modifiedWord/>
      <trackRevisions>false</trackRevisions>
    </reviewItem>
    <reviewItem>
      <errorID>853161d0-2876-4807-9edb-3a8ceb16941d</errorID>
      <errorWord>氢气膜压机</errorWord>
      <group>L1_Word</group>
      <groupName>字词问题</groupName>
      <ability>L2_Typo</ability>
      <abilityName>字词错误</abilityName>
      <candidateList>
        <item>氢气模压机</item>
      </candidateList>
      <explain/>
      <paraID>76A89E29</paraID>
      <start>45</start>
      <end>50</end>
      <status>ignored</status>
      <modifiedWord/>
      <trackRevisions>false</trackRevisions>
    </reviewItem>
    <reviewItem>
      <errorID>f2ff71fe-359a-4f10-99b9-195271dff35b</errorID>
      <errorWord>输入到</errorWord>
      <group>L1_Word</group>
      <groupName>字词问题</groupName>
      <ability>L2_Typo</ability>
      <abilityName>字词错误</abilityName>
      <candidateList>
        <item>输入</item>
      </candidateList>
      <explain>〈动〉❶从外部送到内部：病人手术后需要～新鲜血液。❷商品或资本从国外进入某国：～电信器材。❸科学技术上指能量、信号等进入某种机构或装置：～密码。</explain>
      <paraID>62A89C55</paraID>
      <start>19</start>
      <end>21</end>
      <status>modified</status>
      <modifiedWord>输入</modifiedWord>
      <trackRevisions>false</trackRevisions>
    </reviewItem>
    <reviewItem>
      <errorID>64e948a1-8795-4543-9517-85a95af51846</errorID>
      <errorWord>程</errorWord>
      <group>L1_Word</group>
      <groupName>字词问题</groupName>
      <ability>L2_Typo</ability>
      <abilityName>字词错误</abilityName>
      <candidateList>
        <item>程中</item>
      </candidateList>
      <explain/>
      <paraID>62A89C55</paraID>
      <start>47</start>
      <end>49</end>
      <status>modified</status>
      <modifiedWord>程中</modifiedWord>
      <trackRevisions>false</trackRevisions>
    </reviewItem>
    <reviewItem>
      <errorID>1b8ded1d-87da-47a0-b808-2503c6e96880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57A66F9</paraID>
      <start>0</start>
      <end>2</end>
      <status>ignored</status>
      <modifiedWord/>
      <trackRevisions>false</trackRevisions>
    </reviewItem>
    <reviewItem>
      <errorID>ee2f8123-871e-4eec-8dc7-92c2f6862c2e</errorID>
      <errorWord>程</errorWord>
      <group>L1_Word</group>
      <groupName>字词问题</groupName>
      <ability>L2_Typo</ability>
      <abilityName>字词错误</abilityName>
      <candidateList>
        <item>程中</item>
      </candidateList>
      <explain/>
      <paraID> 1E94DE9</paraID>
      <start>91</start>
      <end>92</end>
      <status>ignored</status>
      <modifiedWord/>
      <trackRevisions>false</trackRevisions>
    </reviewItem>
    <reviewItem>
      <errorID>23d0455d-e1d8-43c2-bab2-f8b2b4cfabb0</errorID>
      <errorWord>备</errorWord>
      <group>L1_Word</group>
      <groupName>字词问题</groupName>
      <ability>L2_Typo</ability>
      <abilityName>字词错误</abilityName>
      <candidateList>
        <item>备对</item>
      </candidateList>
      <explain/>
      <paraID> 1C77C7D</paraID>
      <start>123</start>
      <end>125</end>
      <status>modified</status>
      <modifiedWord>备对</modifiedWord>
      <trackRevisions>false</trackRevisions>
    </reviewItem>
    <reviewItem>
      <errorID>7ed217b2-5461-42ed-8439-4974db2ee7da</errorID>
      <errorWord>脱离开</errorWord>
      <group>L1_Word</group>
      <groupName>字词问题</groupName>
      <ability>L2_Typo</ability>
      <abilityName>字词错误</abilityName>
      <candidateList>
        <item>脱离</item>
      </candidateList>
      <explain/>
      <paraID>1EB544B2</paraID>
      <start>49</start>
      <end>52</end>
      <status>ignored</status>
      <modifiedWord/>
      <trackRevisions>false</trackRevisions>
    </reviewItem>
    <reviewItem>
      <errorID>c0c04316-1416-4b97-91b1-9a5862808fc9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61ABAD1A</paraID>
      <start>58</start>
      <end>59</end>
      <status>ignored</status>
      <modifiedWord/>
      <trackRevisions>false</trackRevisions>
    </reviewItem>
    <reviewItem>
      <errorID>1438a98e-0f2f-4429-9f2c-2c7994b0e5a3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5E18D711</paraID>
      <start>0</start>
      <end>2</end>
      <status>ignored</status>
      <modifiedWord/>
      <trackRevisions>false</trackRevisions>
    </reviewItem>
    <reviewItem>
      <errorID>e44230e5-32d0-48b9-a850-564ed1dc199c</errorID>
      <errorWord>不在</errorWord>
      <group>L1_Word</group>
      <groupName>字词问题</groupName>
      <ability>L2_Typo</ability>
      <abilityName>字词错误</abilityName>
      <candidateList>
        <item>不再</item>
      </candidateList>
      <explain/>
      <paraID>1D231D37</paraID>
      <start>124</start>
      <end>126</end>
      <status>modified</status>
      <modifiedWord>不再</modifiedWord>
      <trackRevisions>false</trackRevisions>
    </reviewItem>
    <reviewItem>
      <errorID>cdb536cc-240f-4fa4-80b1-d15806846c12</errorID>
      <errorWord>解吸</errorWord>
      <group>L1_Word</group>
      <groupName>字词问题</groupName>
      <ability>L2_Typo</ability>
      <abilityName>字词错误</abilityName>
      <candidateList>
        <item>解析</item>
      </candidateList>
      <explain/>
      <paraID>4756A107</paraID>
      <start>0</start>
      <end>2</end>
      <status>ignored</status>
      <modifiedWord/>
      <trackRevisions>false</trackRevisions>
    </reviewItem>
    <reviewItem>
      <errorID>0d9b8e8e-7faa-4f1a-ba55-664fc1d54562</errorID>
      <errorWord>~</errorWord>
      <group>L1_Format</group>
      <groupName>格式问题</groupName>
      <ability>L2_HalfPunc</ability>
      <abilityName>全半角检查</abilityName>
      <candidateList>
        <item>～</item>
      </candidateList>
      <explain>文本全半角错误。</explain>
      <paraID>5D13A857</paraID>
      <start>16</start>
      <end>17</end>
      <status>ignored</status>
      <modifiedWord/>
      <trackRevisions>false</trackRevisions>
    </reviewItem>
    <reviewItem>
      <errorID>fa1f7060-6b81-4b4a-b65d-8440d9bc0799</errorID>
      <errorWord>组份</errorWord>
      <group>L1_Word</group>
      <groupName>字词问题</groupName>
      <ability>L2_Variant</ability>
      <abilityName>异形词</abilityName>
      <candidateList>
        <item>组分</item>
      </candidateList>
      <explain>词汇[组份]的规范词形写作[组分]。</explain>
      <paraID>59C76661</paraID>
      <start>0</start>
      <end>2</end>
      <status>ignored</status>
      <modifiedWord/>
      <trackRevisions>false</trackRevisions>
    </reviewItem>
    <reviewItem>
      <errorID>4c57ba5c-63d3-4195-8d42-a2f5da86d719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537AD3D6</paraID>
      <start>0</start>
      <end>2</end>
      <status>ignored</status>
      <modifiedWord/>
      <trackRevisions>false</trackRevisions>
    </reviewItem>
    <reviewItem>
      <errorID>267ffd6e-a43b-44ef-9169-7f96232e404e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68BCACDB</paraID>
      <start>0</start>
      <end>2</end>
      <status>ignored</status>
      <modifiedWord/>
      <trackRevisions>false</trackRevisions>
    </reviewItem>
    <reviewItem>
      <errorID>d4ca6f3f-b4b4-4f16-bcaf-0b5c03129005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57F53EFC</paraID>
      <start>0</start>
      <end>2</end>
      <status>ignored</status>
      <modifiedWord/>
      <trackRevisions>false</trackRevisions>
    </reviewItem>
    <reviewItem>
      <errorID>8d5a2bd1-5a3f-409c-bdef-9c803b0dca77</errorID>
      <errorWord>计</errorWord>
      <group>L1_Word</group>
      <groupName>字词问题</groupName>
      <ability>L2_Typo</ability>
      <abilityName>字词错误</abilityName>
      <candidateList>
        <item>计算</item>
      </candidateList>
      <explain/>
      <paraID>7BD73670</paraID>
      <start>46</start>
      <end>47</end>
      <status>ignored</status>
      <modifiedWord/>
      <trackRevisions>false</trackRevisions>
    </reviewItem>
    <reviewItem>
      <errorID>b8b28cde-6dd2-428b-a920-ce314406691e</errorID>
      <errorWord>计</errorWord>
      <group>L1_Word</group>
      <groupName>字词问题</groupName>
      <ability>L2_Typo</ability>
      <abilityName>字词错误</abilityName>
      <candidateList>
        <item>计算</item>
      </candidateList>
      <explain/>
      <paraID>7BD73670</paraID>
      <start>131</start>
      <end>132</end>
      <status>ignored</status>
      <modifiedWord/>
      <trackRevisions>false</trackRevisions>
    </reviewItem>
    <reviewItem>
      <errorID>8af40a97-184a-46f5-bf1e-81e38896d699</errorID>
      <errorWord>均是</errorWord>
      <group>L1_Word</group>
      <groupName>字词问题</groupName>
      <ability>L2_Typo</ability>
      <abilityName>字词错误</abilityName>
      <candidateList>
        <item>均</item>
      </candidateList>
      <explain/>
      <paraID>7FE690BC</paraID>
      <start>105</start>
      <end>107</end>
      <status>ignored</status>
      <modifiedWord/>
      <trackRevisions>false</trackRevisions>
    </reviewItem>
    <reviewItem>
      <errorID>5e99cf4b-e22a-48c6-9ff5-037c80c60a33</errorID>
      <errorWord>（</errorWord>
      <group>L1_Format</group>
      <groupName>格式问题</groupName>
      <ability>L2_HalfPunc</ability>
      <abilityName>全半角检查</abilityName>
      <candidateList>
        <item>(</item>
      </candidateList>
      <explain>文本全半角错误。</explain>
      <paraID>755CDBAE</paraID>
      <start>7</start>
      <end>8</end>
      <status>ignored</status>
      <modifiedWord/>
      <trackRevisions>false</trackRevisions>
    </reviewItem>
    <reviewItem>
      <errorID>50798a14-5c86-4d26-9dcb-27d7212440d9</errorID>
      <errorWord>）</errorWord>
      <group>L1_Format</group>
      <groupName>格式问题</groupName>
      <ability>L2_HalfPunc</ability>
      <abilityName>全半角检查</abilityName>
      <candidateList>
        <item>)</item>
      </candidateList>
      <explain>文本全半角错误。</explain>
      <paraID>755CDBAE</paraID>
      <start>18</start>
      <end>19</end>
      <status>ignored</status>
      <modifiedWord/>
      <trackRevisions>false</trackRevisions>
    </reviewItem>
    <reviewItem>
      <errorID>7d117508-ed39-40b8-a2e0-f03691517355</errorID>
      <errorWord>（</errorWord>
      <group>L1_Format</group>
      <groupName>格式问题</groupName>
      <ability>L2_HalfPunc</ability>
      <abilityName>全半角检查</abilityName>
      <candidateList>
        <item>(</item>
      </candidateList>
      <explain>文本全半角错误。</explain>
      <paraID>755CDBAE</paraID>
      <start>20</start>
      <end>21</end>
      <status>ignored</status>
      <modifiedWord/>
      <trackRevisions>false</trackRevisions>
    </reviewItem>
    <reviewItem>
      <errorID>08f355a2-1682-4083-bca3-94c4cc33d2ee</errorID>
      <errorWord>）</errorWord>
      <group>L1_Format</group>
      <groupName>格式问题</groupName>
      <ability>L2_HalfPunc</ability>
      <abilityName>全半角检查</abilityName>
      <candidateList>
        <item>)</item>
      </candidateList>
      <explain>文本全半角错误。</explain>
      <paraID>755CDBAE</paraID>
      <start>27</start>
      <end>28</end>
      <status>ignored</status>
      <modifiedWord/>
      <trackRevisions>false</trackRevisions>
    </reviewItem>
    <reviewItem>
      <errorID>ef64549d-a5b1-4fe9-82a2-02ec24ac03aa</errorID>
      <errorWord>(</errorWord>
      <group>L1_Format</group>
      <groupName>格式问题</groupName>
      <ability>L2_HalfPunc</ability>
      <abilityName>全半角检查</abilityName>
      <candidateList>
        <item>（</item>
      </candidateList>
      <explain>文本全半角错误。</explain>
      <paraID>3A7AB07F</paraID>
      <start>3</start>
      <end>4</end>
      <status>ignored</status>
      <modifiedWord/>
      <trackRevisions>false</trackRevisions>
    </reviewItem>
    <reviewItem>
      <errorID>950c0c08-56fd-41fc-a750-c0fc3e9a4bd3</errorID>
      <errorWord>)</errorWord>
      <group>L1_Format</group>
      <groupName>格式问题</groupName>
      <ability>L2_HalfPunc</ability>
      <abilityName>全半角检查</abilityName>
      <candidateList>
        <item>）</item>
      </candidateList>
      <explain>文本全半角错误。</explain>
      <paraID>3A7AB07F</paraID>
      <start>8</start>
      <end>9</end>
      <status>ignored</status>
      <modifiedWord/>
      <trackRevisions>false</trackRevisions>
    </reviewItem>
    <reviewItem>
      <errorID>ae467d46-18ae-47f5-b6a2-226b55fa8b06</errorID>
      <errorWord>(</errorWord>
      <group>L1_Format</group>
      <groupName>格式问题</groupName>
      <ability>L2_HalfPunc</ability>
      <abilityName>全半角检查</abilityName>
      <candidateList>
        <item>（</item>
      </candidateList>
      <explain>文本全半角错误。</explain>
      <paraID> 5DFA4DA</paraID>
      <start>3</start>
      <end>4</end>
      <status>ignored</status>
      <modifiedWord/>
      <trackRevisions>false</trackRevisions>
    </reviewItem>
    <reviewItem>
      <errorID>328721f8-6b3b-4e3b-9790-03bf25c120a2</errorID>
      <errorWord>)</errorWord>
      <group>L1_Format</group>
      <groupName>格式问题</groupName>
      <ability>L2_HalfPunc</ability>
      <abilityName>全半角检查</abilityName>
      <candidateList>
        <item>）</item>
      </candidateList>
      <explain>文本全半角错误。</explain>
      <paraID> 5DFA4DA</paraID>
      <start>8</start>
      <end>9</end>
      <status>ignored</status>
      <modifiedWord/>
      <trackRevisions>false</trackRevisions>
    </reviewItem>
    <reviewItem>
      <errorID>2ae46ffb-d302-4fbe-84c1-fcd7a6b52386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7010F6B2</paraID>
      <start>0</start>
      <end>2</end>
      <status>ignored</status>
      <modifiedWord/>
      <trackRevisions>false</trackRevisions>
    </reviewItem>
    <reviewItem>
      <errorID>a2f60652-be52-4dc7-b11e-6d72f642e86b</errorID>
      <errorWord>解吸</errorWord>
      <group>L1_Word</group>
      <groupName>字词问题</groupName>
      <ability>L2_Typo</ability>
      <abilityName>字词错误</abilityName>
      <candidateList>
        <item>解析</item>
      </candidateList>
      <explain/>
      <paraID>40CA0C87</paraID>
      <start>29</start>
      <end>31</end>
      <status>ignored</status>
      <modifiedWord/>
      <trackRevisions>false</trackRevisions>
    </reviewItem>
    <reviewItem>
      <errorID>9de22209-728a-471e-aad3-c5b7f5e1a5bf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50A8D113</paraID>
      <start>0</start>
      <end>2</end>
      <status>ignored</status>
      <modifiedWord/>
      <trackRevisions>false</trackRevisions>
    </reviewItem>
    <reviewItem>
      <errorID>17c2517a-4fd7-411d-bd60-1ad1b6c5727b</errorID>
      <errorWord>解吸</errorWord>
      <group>L1_Word</group>
      <groupName>字词问题</groupName>
      <ability>L2_Typo</ability>
      <abilityName>字词错误</abilityName>
      <candidateList>
        <item>解析</item>
      </candidateList>
      <explain/>
      <paraID>597D4DF5</paraID>
      <start>46</start>
      <end>48</end>
      <status>ignored</status>
      <modifiedWord/>
      <trackRevisions>false</trackRevisions>
    </reviewItem>
    <reviewItem>
      <errorID>b1651ffd-a576-489b-ad6f-16ca9de34087</errorID>
      <errorWord>Kg</errorWord>
      <group>L1_Word</group>
      <groupName>字词问题</groupName>
      <ability>L2_Typo</ability>
      <abilityName>字词错误</abilityName>
      <candidateList>
        <item>kg</item>
      </candidateList>
      <explain/>
      <paraID>6F8C54F4</paraID>
      <start>0</start>
      <end>2</end>
      <status>modified</status>
      <modifiedWord>kg</modifiedWord>
      <trackRevisions>false</trackRevisions>
    </reviewItem>
    <reviewItem>
      <errorID>535d5677-f273-493d-acab-f77d2bb1865a</errorID>
      <errorWord>-</errorWord>
      <group>L1_Format</group>
      <groupName>格式问题</groupName>
      <ability>L2_HalfPunc</ability>
      <abilityName>全半角检查</abilityName>
      <candidateList>
        <item>－</item>
      </candidateList>
      <explain>文本全半角错误。</explain>
      <paraID>6F8C54F4</paraID>
      <start>7</start>
      <end>8</end>
      <status>ignored</status>
      <modifiedWord/>
      <trackRevisions>false</trackRevisions>
    </reviewItem>
    <reviewItem>
      <errorID>66397499-059f-45cb-8b83-9a0d1dfe649e</errorID>
      <errorWord>解吸气</errorWord>
      <group>L1_Word</group>
      <groupName>字词问题</groupName>
      <ability>L2_Typo</ability>
      <abilityName>字词错误</abilityName>
      <candidateList>
        <item>解吸器</item>
      </candidateList>
      <explain/>
      <paraID>44E9DB54</paraID>
      <start>8</start>
      <end>11</end>
      <status>ignored</status>
      <modifiedWord/>
      <trackRevisions>false</trackRevisions>
    </reviewItem>
    <reviewItem>
      <errorID>18d292dd-cf71-4863-aea2-6598bd651551</errorID>
      <errorWord>采用采用</errorWord>
      <group>L1_Word</group>
      <groupName>字词问题</groupName>
      <ability>L2_Typo</ability>
      <abilityName>字词错误</abilityName>
      <candidateList>
        <item>采用</item>
      </candidateList>
      <explain>〈动〉认为合适而使用：～新工艺｜～举手表决方式｜那篇稿子已被编辑部～。</explain>
      <paraID>46BE774F</paraID>
      <start>7</start>
      <end>9</end>
      <status>modified</status>
      <modifiedWord>采用</modifiedWord>
      <trackRevisions>false</trackRevisions>
    </reviewItem>
    <reviewItem>
      <errorID>0b481b82-c2f4-49a4-b178-bf4aa644573f</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46BE774F</paraID>
      <start>65</start>
      <end>66</end>
      <status>ignored</status>
      <modifiedWord/>
      <trackRevisions>false</trackRevisions>
    </reviewItem>
    <reviewItem>
      <errorID>1b267509-c0d9-4122-b5e7-f21d8b1eac43</errorID>
      <errorWord>-</errorWord>
      <group>L1_Format</group>
      <groupName>格式问题</groupName>
      <ability>L2_HalfPunc</ability>
      <abilityName>全半角检查</abilityName>
      <candidateList>
        <item>－</item>
      </candidateList>
      <explain>文本全半角错误。</explain>
      <paraID>46BE774F</paraID>
      <start>86</start>
      <end>87</end>
      <status>ignored</status>
      <modifiedWord/>
      <trackRevisions>false</trackRevisions>
    </reviewItem>
    <reviewItem>
      <errorID>682750ca-c7db-44b6-8658-148cb9d4f521</errorID>
      <errorWord>来自于</errorWord>
      <group>L1_Word</group>
      <groupName>字词问题</groupName>
      <ability>L2_Typo</ability>
      <abilityName>字词错误</abilityName>
      <candidateList>
        <item>来自</item>
      </candidateList>
      <explain/>
      <paraID>562C8C57</paraID>
      <start>9</start>
      <end>12</end>
      <status>ignored</status>
      <modifiedWord/>
      <trackRevisions>false</trackRevisions>
    </reviewItem>
    <reviewItem>
      <errorID>962de949-1102-474f-b420-effa88e087fc</errorID>
      <errorWord>加油油气回收系统</errorWord>
      <group>L1_Knowledge</group>
      <groupName>知识性问题</groupName>
      <ability>L2_Term</ability>
      <abilityName>专业术语</abilityName>
      <candidateList>
        <item>卸油油气回收系统</item>
      </candidateList>
      <explain/>
      <paraID>318132DC</paraID>
      <start>46</start>
      <end>54</end>
      <status>ignored</status>
      <modifiedWord/>
      <trackRevisions>false</trackRevisions>
    </reviewItem>
    <reviewItem>
      <errorID>c8b44b0d-1d1a-454a-9e61-c7c96dfde4b5</errorID>
      <errorWord>计</errorWord>
      <group>L1_Word</group>
      <groupName>字词问题</groupName>
      <ability>L2_Typo</ability>
      <abilityName>字词错误</abilityName>
      <candidateList>
        <item>计算</item>
      </candidateList>
      <explain/>
      <paraID>44AEFD9A</paraID>
      <start>289</start>
      <end>290</end>
      <status>ignored</status>
      <modifiedWord/>
      <trackRevisions>false</trackRevisions>
    </reviewItem>
    <reviewItem>
      <errorID>d0b03d0b-f0a1-49c7-9cb9-6456abef1be6</errorID>
      <errorWord>完</errorWord>
      <group>L1_Word</group>
      <groupName>字词问题</groupName>
      <ability>L2_Typo</ability>
      <abilityName>字词错误</abilityName>
      <candidateList>
        <item>完成</item>
      </candidateList>
      <explain>〈动〉按照预期的目的结束；做成：～任务｜～作业｜计划完得成。</explain>
      <paraID>7873EC80</paraID>
      <start>65</start>
      <end>66</end>
      <status>ignored</status>
      <modifiedWord/>
      <trackRevisions>false</trackRevisions>
    </reviewItem>
    <reviewItem>
      <errorID>ba92afb1-34d5-4533-9fd1-9d9d88d656dc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700AEC5F</paraID>
      <start>0</start>
      <end>4</end>
      <status>ignored</status>
      <modifiedWord/>
      <trackRevisions>false</trackRevisions>
    </reviewItem>
    <reviewItem>
      <errorID>1a467a96-02b5-4c67-8357-611ebf05d2fa</errorID>
      <errorWord>由</errorWord>
      <group>L1_Word</group>
      <groupName>字词问题</groupName>
      <ability>L2_Typo</ability>
      <abilityName>字词错误</abilityName>
      <candidateList>
        <item>由于</item>
      </candidateList>
      <explain>❶〈介〉表示原因或理由：～老师傅的耐心教导，他很快就掌握了这门技术。❷〈连〉表示原因，多与“所以”、“因此”等配合：～他工作成绩显著，因此受到了领导的表扬。</explain>
      <paraID>17F35023</paraID>
      <start>46</start>
      <end>48</end>
      <status>modified</status>
      <modifiedWord>由于</modifiedWord>
      <trackRevisions>false</trackRevisions>
    </reviewItem>
    <reviewItem>
      <errorID>b142d769-0d34-435b-a4ad-719766896801</errorID>
      <errorWord>冷起动</errorWord>
      <group>L1_Word</group>
      <groupName>字词问题</groupName>
      <ability>L2_Typo</ability>
      <abilityName>字词错误</abilityName>
      <candidateList>
        <item>冷启动</item>
      </candidateList>
      <explain/>
      <paraID>7F32FC8F</paraID>
      <start>100</start>
      <end>103</end>
      <status>modified</status>
      <modifiedWord>冷启动</modifiedWord>
      <trackRevisions>false</trackRevisions>
    </reviewItem>
    <reviewItem>
      <errorID>35fd149e-ec1b-4f48-9e57-12f5653d2fc2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64EA79FD</paraID>
      <start>0</start>
      <end>2</end>
      <status>ignored</status>
      <modifiedWord/>
      <trackRevisions>false</trackRevisions>
    </reviewItem>
    <reviewItem>
      <errorID>3fa855ad-a857-4c20-bd0d-b06927ab7dd3</errorID>
      <errorWord>计</errorWord>
      <group>L1_Word</group>
      <groupName>字词问题</groupName>
      <ability>L2_Typo</ability>
      <abilityName>字词错误</abilityName>
      <candidateList>
        <item>计算</item>
      </candidateList>
      <explain/>
      <paraID>44DC12E2</paraID>
      <start>105</start>
      <end>106</end>
      <status>ignored</status>
      <modifiedWord/>
      <trackRevisions>false</trackRevisions>
    </reviewItem>
    <reviewItem>
      <errorID>76677c47-1b2d-40c2-9477-bfa16efe885d</errorID>
      <errorWord>计</errorWord>
      <group>L1_Word</group>
      <groupName>字词问题</groupName>
      <ability>L2_Typo</ability>
      <abilityName>字词错误</abilityName>
      <candidateList>
        <item>计算</item>
      </candidateList>
      <explain/>
      <paraID>5E5BC189</paraID>
      <start>117</start>
      <end>118</end>
      <status>ignored</status>
      <modifiedWord/>
      <trackRevisions>false</trackRevisions>
    </reviewItem>
    <reviewItem>
      <errorID>9cf3e0c9-05af-4b6b-8f53-75f74c58c717</errorID>
      <errorWord>（</errorWord>
      <group>L1_Format</group>
      <groupName>格式问题</groupName>
      <ability>L2_HalfPunc</ability>
      <abilityName>全半角检查</abilityName>
      <candidateList>
        <item>(</item>
      </candidateList>
      <explain>文本全半角错误。</explain>
      <paraID>3695F255</paraID>
      <start>0</start>
      <end>1</end>
      <status>ignored</status>
      <modifiedWord/>
      <trackRevisions>false</trackRevisions>
    </reviewItem>
    <reviewItem>
      <errorID>ef6aebfb-dc4b-47d3-b608-977e355bf507</errorID>
      <errorWord>）</errorWord>
      <group>L1_Format</group>
      <groupName>格式问题</groupName>
      <ability>L2_HalfPunc</ability>
      <abilityName>全半角检查</abilityName>
      <candidateList>
        <item>)</item>
      </candidateList>
      <explain>文本全半角错误。</explain>
      <paraID>3695F255</paraID>
      <start>4</start>
      <end>5</end>
      <status>ignored</status>
      <modifiedWord/>
      <trackRevisions>false</trackRevisions>
    </reviewItem>
    <reviewItem>
      <errorID>7c9b1f77-5a8f-471c-b52b-ec1ccb945ed7</errorID>
      <errorWord>（</errorWord>
      <group>L1_Format</group>
      <groupName>格式问题</groupName>
      <ability>L2_HalfPunc</ability>
      <abilityName>全半角检查</abilityName>
      <candidateList>
        <item>(</item>
      </candidateList>
      <explain>文本全半角错误。</explain>
      <paraID>73E82CE5</paraID>
      <start>0</start>
      <end>1</end>
      <status>ignored</status>
      <modifiedWord/>
      <trackRevisions>false</trackRevisions>
    </reviewItem>
    <reviewItem>
      <errorID>3b555d23-c5b8-4424-8f2d-c8f166d3be84</errorID>
      <errorWord>）</errorWord>
      <group>L1_Format</group>
      <groupName>格式问题</groupName>
      <ability>L2_HalfPunc</ability>
      <abilityName>全半角检查</abilityName>
      <candidateList>
        <item>)</item>
      </candidateList>
      <explain>文本全半角错误。</explain>
      <paraID>73E82CE5</paraID>
      <start>4</start>
      <end>5</end>
      <status>ignored</status>
      <modifiedWord/>
      <trackRevisions>false</trackRevisions>
    </reviewItem>
    <reviewItem>
      <errorID>de3b3532-8295-40bc-9314-36c707859464</errorID>
      <errorWord>程</errorWord>
      <group>L1_Word</group>
      <groupName>字词问题</groupName>
      <ability>L2_Typo</ability>
      <abilityName>字词错误</abilityName>
      <candidateList>
        <item>程中</item>
      </candidateList>
      <explain/>
      <paraID>246CED5D</paraID>
      <start>7</start>
      <end>8</end>
      <status>ignored</status>
      <modifiedWord/>
      <trackRevisions>false</trackRevisions>
    </reviewItem>
    <reviewItem>
      <errorID>c5b7e1e9-a3b9-4273-a8d1-db40445d470b</errorID>
      <errorWord>(</errorWord>
      <group>L1_Format</group>
      <groupName>格式问题</groupName>
      <ability>L2_HalfPunc</ability>
      <abilityName>全半角检查</abilityName>
      <candidateList>
        <item>（</item>
      </candidateList>
      <explain>文本全半角错误。</explain>
      <paraID>62C6238C</paraID>
      <start>67</start>
      <end>68</end>
      <status>modified</status>
      <modifiedWord>（</modifiedWord>
      <trackRevisions>false</trackRevisions>
    </reviewItem>
    <reviewItem>
      <errorID>a4f87248-539b-48cf-9f80-e2b2c23aeb82</errorID>
      <errorWord>-</errorWord>
      <group>L1_Format</group>
      <groupName>格式问题</groupName>
      <ability>L2_HalfPunc</ability>
      <abilityName>全半角检查</abilityName>
      <candidateList>
        <item>－</item>
      </candidateList>
      <explain>文本全半角错误。</explain>
      <paraID>62C6238C</paraID>
      <start>73</start>
      <end>74</end>
      <status>ignored</status>
      <modifiedWord/>
      <trackRevisions>false</trackRevisions>
    </reviewItem>
    <reviewItem>
      <errorID>8d5f20e4-9ec4-4303-b0e8-d1a1f4e485ff</errorID>
      <errorWord>)</errorWord>
      <group>L1_Format</group>
      <groupName>格式问题</groupName>
      <ability>L2_HalfPunc</ability>
      <abilityName>全半角检查</abilityName>
      <candidateList>
        <item>）</item>
      </candidateList>
      <explain>文本全半角错误。</explain>
      <paraID>62C6238C</paraID>
      <start>77</start>
      <end>78</end>
      <status>modified</status>
      <modifiedWord>）</modifiedWord>
      <trackRevisions>false</trackRevisions>
    </reviewItem>
    <reviewItem>
      <errorID>e91d18d5-b934-4097-8c03-39712f2a5703</errorID>
      <errorWord>(</errorWord>
      <group>L1_Format</group>
      <groupName>格式问题</groupName>
      <ability>L2_HalfPunc</ability>
      <abilityName>全半角检查</abilityName>
      <candidateList>
        <item>（</item>
      </candidateList>
      <explain>文本全半角错误。</explain>
      <paraID>62C6238C</paraID>
      <start>107</start>
      <end>108</end>
      <status>modified</status>
      <modifiedWord>（</modifiedWord>
      <trackRevisions>false</trackRevisions>
    </reviewItem>
    <reviewItem>
      <errorID>13226f29-39ec-4769-8797-61618b03d0af</errorID>
      <errorWord>)</errorWord>
      <group>L1_Format</group>
      <groupName>格式问题</groupName>
      <ability>L2_HalfPunc</ability>
      <abilityName>全半角检查</abilityName>
      <candidateList>
        <item>）</item>
      </candidateList>
      <explain>文本全半角错误。</explain>
      <paraID>62C6238C</paraID>
      <start>113</start>
      <end>114</end>
      <status>modified</status>
      <modifiedWord>）</modifiedWord>
      <trackRevisions>false</trackRevisions>
    </reviewItem>
    <reviewItem>
      <errorID>e6dec28d-f78d-43bf-9801-e7b5c86ad2f6</errorID>
      <errorWord>-</errorWord>
      <group>L1_Format</group>
      <groupName>格式问题</groupName>
      <ability>L2_HalfPunc</ability>
      <abilityName>全半角检查</abilityName>
      <candidateList>
        <item>－</item>
      </candidateList>
      <explain>文本全半角错误。</explain>
      <paraID>62C6238C</paraID>
      <start>124</start>
      <end>125</end>
      <status>ignored</status>
      <modifiedWord/>
      <trackRevisions>false</trackRevisions>
    </reviewItem>
    <reviewItem>
      <errorID>fec93f59-c721-40ac-a99b-e8ab66d74e7c</errorID>
      <errorWord>(</errorWord>
      <group>L1_Format</group>
      <groupName>格式问题</groupName>
      <ability>L2_HalfPunc</ability>
      <abilityName>全半角检查</abilityName>
      <candidateList>
        <item>（</item>
      </candidateList>
      <explain>文本全半角错误。</explain>
      <paraID>62C6238C</paraID>
      <start>126</start>
      <end>127</end>
      <status>modified</status>
      <modifiedWord>（</modifiedWord>
      <trackRevisions>false</trackRevisions>
    </reviewItem>
    <reviewItem>
      <errorID>6a97d3c2-1f66-4f26-9b19-55cf96d63c55</errorID>
      <errorWord>)</errorWord>
      <group>L1_Format</group>
      <groupName>格式问题</groupName>
      <ability>L2_HalfPunc</ability>
      <abilityName>全半角检查</abilityName>
      <candidateList>
        <item>）</item>
      </candidateList>
      <explain>文本全半角错误。</explain>
      <paraID>62C6238C</paraID>
      <start>131</start>
      <end>132</end>
      <status>modified</status>
      <modifiedWord>）</modifiedWord>
      <trackRevisions>false</trackRevisions>
    </reviewItem>
    <reviewItem>
      <errorID>7d954ed7-804a-4bc7-b379-6e7221e57de9</errorID>
      <errorWord>)</errorWord>
      <group>L1_Format</group>
      <groupName>格式问题</groupName>
      <ability>L2_HalfPunc</ability>
      <abilityName>全半角检查</abilityName>
      <candidateList>
        <item>）</item>
      </candidateList>
      <explain>文本全半角错误。</explain>
      <paraID>62C6238C</paraID>
      <start>195</start>
      <end>196</end>
      <status>ignored</status>
      <modifiedWord/>
      <trackRevisions>false</trackRevisions>
    </reviewItem>
    <reviewItem>
      <errorID>2409f990-f9b4-4aa3-994f-69c398fba2b2</errorID>
      <errorWord>：</errorWord>
      <group>L1_Format</group>
      <groupName>格式问题</groupName>
      <ability>L2_HalfPunc</ability>
      <abilityName>全半角检查</abilityName>
      <candidateList>
        <item>:</item>
      </candidateList>
      <explain>文本全半角错误。</explain>
      <paraID>62C6238C</paraID>
      <start>247</start>
      <end>248</end>
      <status>ignored</status>
      <modifiedWord/>
      <trackRevisions>false</trackRevisions>
    </reviewItem>
    <reviewItem>
      <errorID>d4e8505d-f1aa-4051-8852-795fffb31c3e</errorID>
      <errorWord>主要成份是</errorWord>
      <group>L1_Word</group>
      <groupName>字词问题</groupName>
      <ability>L2_Variant</ability>
      <abilityName>异形词</abilityName>
      <candidateList>
        <item>主要成分是</item>
      </candidateList>
      <explain>词汇[主要成份是]的规范词形写作[主要成分是]。</explain>
      <paraID>233B02B5</paraID>
      <start>39</start>
      <end>44</end>
      <status>modified</status>
      <modifiedWord>主要成分是</modifiedWord>
      <trackRevisions>false</trackRevisions>
    </reviewItem>
    <reviewItem>
      <errorID>b8eeb848-f999-4aa6-bbe5-c6c789a9042e</errorID>
      <errorWord>(</errorWord>
      <group>L1_Format</group>
      <groupName>格式问题</groupName>
      <ability>L2_HalfPunc</ability>
      <abilityName>全半角检查</abilityName>
      <candidateList>
        <item>（</item>
      </candidateList>
      <explain>文本全半角错误。</explain>
      <paraID>233B02B5</paraID>
      <start>158</start>
      <end>159</end>
      <status>modified</status>
      <modifiedWord>（</modifiedWord>
      <trackRevisions>false</trackRevisions>
    </reviewItem>
    <reviewItem>
      <errorID>8e712c96-af1a-485d-b986-02f857f288f7</errorID>
      <errorWord>)</errorWord>
      <group>L1_Format</group>
      <groupName>格式问题</groupName>
      <ability>L2_HalfPunc</ability>
      <abilityName>全半角检查</abilityName>
      <candidateList>
        <item>）</item>
      </candidateList>
      <explain>文本全半角错误。</explain>
      <paraID>233B02B5</paraID>
      <start>188</start>
      <end>189</end>
      <status>modified</status>
      <modifiedWord>）</modifiedWord>
      <trackRevisions>false</trackRevisions>
    </reviewItem>
    <reviewItem>
      <errorID>2596b56e-3155-409e-827e-aabb8b14e002</errorID>
      <errorWord>(</errorWord>
      <group>L1_Format</group>
      <groupName>格式问题</groupName>
      <ability>L2_HalfPunc</ability>
      <abilityName>全半角检查</abilityName>
      <candidateList>
        <item>（</item>
      </candidateList>
      <explain>文本全半角错误。</explain>
      <paraID>233B02B5</paraID>
      <start>243</start>
      <end>244</end>
      <status>modified</status>
      <modifiedWord>（</modifiedWord>
      <trackRevisions>false</trackRevisions>
    </reviewItem>
    <reviewItem>
      <errorID>2220728f-8273-4a41-ac14-b1bcb6083d27</errorID>
      <errorWord>)</errorWord>
      <group>L1_Format</group>
      <groupName>格式问题</groupName>
      <ability>L2_HalfPunc</ability>
      <abilityName>全半角检查</abilityName>
      <candidateList>
        <item>）</item>
      </candidateList>
      <explain>文本全半角错误。</explain>
      <paraID>233B02B5</paraID>
      <start>273</start>
      <end>274</end>
      <status>modified</status>
      <modifiedWord>）</modifiedWord>
      <trackRevisions>false</trackRevisions>
    </reviewItem>
    <reviewItem>
      <errorID>f581db98-01ca-40da-976e-b0a3e76bab6c</errorID>
      <errorWord>(</errorWord>
      <group>L1_Format</group>
      <groupName>格式问题</groupName>
      <ability>L2_HalfPunc</ability>
      <abilityName>全半角检查</abilityName>
      <candidateList>
        <item>（</item>
      </candidateList>
      <explain>文本全半角错误。</explain>
      <paraID>233B02B5</paraID>
      <start>330</start>
      <end>331</end>
      <status>modified</status>
      <modifiedWord>（</modifiedWord>
      <trackRevisions>false</trackRevisions>
    </reviewItem>
    <reviewItem>
      <errorID>0781cfa7-01ca-4c44-b166-cf026e877d08</errorID>
      <errorWord>)</errorWord>
      <group>L1_Format</group>
      <groupName>格式问题</groupName>
      <ability>L2_HalfPunc</ability>
      <abilityName>全半角检查</abilityName>
      <candidateList>
        <item>）</item>
      </candidateList>
      <explain>文本全半角错误。</explain>
      <paraID>233B02B5</paraID>
      <start>360</start>
      <end>361</end>
      <status>modified</status>
      <modifiedWord>）</modifiedWord>
      <trackRevisions>false</trackRevisions>
    </reviewItem>
    <reviewItem>
      <errorID>4e61588a-95d6-42ae-aa99-b0d69649b25c</errorID>
      <errorWord>(</errorWord>
      <group>L1_Format</group>
      <groupName>格式问题</groupName>
      <ability>L2_HalfPunc</ability>
      <abilityName>全半角检查</abilityName>
      <candidateList>
        <item>（</item>
      </candidateList>
      <explain>文本全半角错误。</explain>
      <paraID>233B02B5</paraID>
      <start>408</start>
      <end>409</end>
      <status>modified</status>
      <modifiedWord>（</modifiedWord>
      <trackRevisions>false</trackRevisions>
    </reviewItem>
    <reviewItem>
      <errorID>1d8aab8a-14e9-4653-a8f9-8ac309d9c5c5</errorID>
      <errorWord>)</errorWord>
      <group>L1_Format</group>
      <groupName>格式问题</groupName>
      <ability>L2_HalfPunc</ability>
      <abilityName>全半角检查</abilityName>
      <candidateList>
        <item>）</item>
      </candidateList>
      <explain>文本全半角错误。</explain>
      <paraID>233B02B5</paraID>
      <start>438</start>
      <end>439</end>
      <status>modified</status>
      <modifiedWord>）</modifiedWord>
      <trackRevisions>false</trackRevisions>
    </reviewItem>
    <reviewItem>
      <errorID>3fe6414a-9f8c-4f20-be3c-5ae6eb8d7a61</errorID>
      <errorWord>：</errorWord>
      <group>L1_Format</group>
      <groupName>格式问题</groupName>
      <ability>L2_HalfPunc</ability>
      <abilityName>全半角检查</abilityName>
      <candidateList>
        <item>:</item>
      </candidateList>
      <explain>文本全半角错误。</explain>
      <paraID> D2B9C30</paraID>
      <start>66</start>
      <end>67</end>
      <status>ignored</status>
      <modifiedWord/>
      <trackRevisions>false</trackRevisions>
    </reviewItem>
    <reviewItem>
      <errorID>f57dc3db-19c3-4f9c-a2cd-13611a6abfb5</errorID>
      <errorWord>，</errorWord>
      <group>L1_Format</group>
      <groupName>格式问题</groupName>
      <ability>L2_HalfPunc</ability>
      <abilityName>全半角检查</abilityName>
      <candidateList>
        <item>, </item>
      </candidateList>
      <explain>文本全半角错误。</explain>
      <paraID>3B24382D</paraID>
      <start>1</start>
      <end>2</end>
      <status>ignored</status>
      <modifiedWord/>
      <trackRevisions>false</trackRevisions>
    </reviewItem>
    <reviewItem>
      <errorID>f59b2cbf-6538-4fd4-9123-90efc85a1003</errorID>
      <errorWord>，</errorWord>
      <group>L1_Format</group>
      <groupName>格式问题</groupName>
      <ability>L2_HalfPunc</ability>
      <abilityName>全半角检查</abilityName>
      <candidateList>
        <item>, </item>
      </candidateList>
      <explain>文本全半角错误。</explain>
      <paraID>73027B43</paraID>
      <start>1</start>
      <end>2</end>
      <status>ignored</status>
      <modifiedWord/>
      <trackRevisions>false</trackRevisions>
    </reviewItem>
    <reviewItem>
      <errorID>d2ef5ec2-0e2f-477c-a0c0-c81160ad5611</errorID>
      <errorWord>~</errorWord>
      <group>L1_Format</group>
      <groupName>格式问题</groupName>
      <ability>L2_HalfPunc</ability>
      <abilityName>全半角检查</abilityName>
      <candidateList>
        <item>～</item>
      </candidateList>
      <explain>文本全半角错误。</explain>
      <paraID>3C4AE2F5</paraID>
      <start>21</start>
      <end>22</end>
      <status>ignored</status>
      <modifiedWord/>
      <trackRevisions>false</trackRevisions>
    </reviewItem>
    <reviewItem>
      <errorID>d458e71a-9ac8-45d4-9c29-8534819cd100</errorID>
      <errorWord>~</errorWord>
      <group>L1_Format</group>
      <groupName>格式问题</groupName>
      <ability>L2_HalfPunc</ability>
      <abilityName>全半角检查</abilityName>
      <candidateList>
        <item>～</item>
      </candidateList>
      <explain>文本全半角错误。</explain>
      <paraID>3C4AE2F5</paraID>
      <start>229</start>
      <end>230</end>
      <status>ignored</status>
      <modifiedWord/>
      <trackRevisions>false</trackRevisions>
    </reviewItem>
    <reviewItem>
      <errorID>076ee4f1-b896-435f-a059-d0c4ed003bcd</errorID>
      <errorWord>~</errorWord>
      <group>L1_Format</group>
      <groupName>格式问题</groupName>
      <ability>L2_HalfPunc</ability>
      <abilityName>全半角检查</abilityName>
      <candidateList>
        <item>～</item>
      </candidateList>
      <explain>文本全半角错误。</explain>
      <paraID> 2ABAF1E</paraID>
      <start>20</start>
      <end>21</end>
      <status>ignored</status>
      <modifiedWord/>
      <trackRevisions>false</trackRevisions>
    </reviewItem>
    <reviewItem>
      <errorID>d0d95dee-df87-4f0d-8d15-892490a2941e</errorID>
      <errorWord>属</errorWord>
      <group>L1_Word</group>
      <groupName>字词问题</groupName>
      <ability>L2_Typo</ability>
      <abilityName>字词错误</abilityName>
      <candidateList>
        <item>属于</item>
      </candidateList>
      <explain/>
      <paraID>33AD6F9A</paraID>
      <start>61</start>
      <end>62</end>
      <status>ignored</status>
      <modifiedWord/>
      <trackRevisions>false</trackRevisions>
    </reviewItem>
    <reviewItem>
      <errorID>d953125c-ec70-4906-8565-7da9b7227772</errorID>
      <errorWord>作</errorWord>
      <group>L1_Word</group>
      <groupName>字词问题</groupName>
      <ability>L2_Typo</ability>
      <abilityName>字词错误</abilityName>
      <candidateList>
        <item>作为</item>
      </candidateList>
      <explain>❶〈动〉当做：～罢论｜～无效｜我把游泳～锻炼身体的方法。❷〈介〉就人的某种身份或事物的某种性质来说：～一个学生，首先得把学习搞好｜～一部词典，必须有明确的编写宗旨。</explain>
      <paraID>14B30544</paraID>
      <start>77</start>
      <end>79</end>
      <status>modified</status>
      <modifiedWord>作为</modifiedWord>
      <trackRevisions>false</trackRevisions>
    </reviewItem>
    <reviewItem>
      <errorID>f084da2d-ec47-4ba6-94a9-0833edff1670</errorID>
      <errorWord>上的</errorWord>
      <group>L1_Word</group>
      <groupName>字词问题</groupName>
      <ability>L2_Typo</ability>
      <abilityName>字词错误</abilityName>
      <candidateList>
        <item>上</item>
      </candidateList>
      <explain/>
      <paraID>707416AB</paraID>
      <start>40</start>
      <end>41</end>
      <status>modified</status>
      <modifiedWord>上</modifiedWord>
      <trackRevisions>false</trackRevisions>
    </reviewItem>
    <reviewItem>
      <errorID>a8fe253f-0f38-4c7a-8c65-86560a0ddcf7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574F5FA7</paraID>
      <start>0</start>
      <end>2</end>
      <status>ignored</status>
      <modifiedWord/>
      <trackRevisions>false</trackRevisions>
    </reviewItem>
    <reviewItem>
      <errorID>ef3aa93e-d9ee-4309-8e03-66a17c7d6892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4D0F14A</paraID>
      <start>0</start>
      <end>2</end>
      <status>ignored</status>
      <modifiedWord/>
      <trackRevisions>false</trackRevisions>
    </reviewItem>
    <reviewItem>
      <errorID>d5f4d4dc-b40f-4ce5-ac4b-ff42026ebecf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AE9A786</paraID>
      <start>0</start>
      <end>2</end>
      <status>ignored</status>
      <modifiedWord/>
      <trackRevisions>false</trackRevisions>
    </reviewItem>
    <reviewItem>
      <errorID>2c7dbdab-4afe-4657-8413-e7c5543e8412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6D79DACD</paraID>
      <start>0</start>
      <end>2</end>
      <status>ignored</status>
      <modifiedWord/>
      <trackRevisions>false</trackRevisions>
    </reviewItem>
    <reviewItem>
      <errorID>67d79858-f98b-476e-898c-ebf37805a6e0</errorID>
      <errorWord>，</errorWord>
      <group>L1_Word</group>
      <groupName>字词问题</groupName>
      <ability>L2_Typo</ability>
      <abilityName>字词错误</abilityName>
      <candidateList>
        <item>，是</item>
      </candidateList>
      <explain/>
      <paraID>2DA81CDC</paraID>
      <start>167</start>
      <end>169</end>
      <status>modified</status>
      <modifiedWord>，是</modifiedWord>
      <trackRevisions>false</trackRevisions>
    </reviewItem>
    <reviewItem>
      <errorID>fab1fb19-bbea-463a-b9f0-e665b66acf2c</errorID>
      <errorWord>(</errorWord>
      <group>L1_Format</group>
      <groupName>格式问题</groupName>
      <ability>L2_HalfPunc</ability>
      <abilityName>全半角检查</abilityName>
      <candidateList>
        <item>（</item>
      </candidateList>
      <explain>文本全半角错误。</explain>
      <paraID>50EFF0DB</paraID>
      <start>26</start>
      <end>27</end>
      <status>modified</status>
      <modifiedWord>（</modifiedWord>
      <trackRevisions>false</trackRevisions>
    </reviewItem>
    <reviewItem>
      <errorID>2e34aecd-5653-4c97-8a39-87a548af55b1</errorID>
      <errorWord>)</errorWord>
      <group>L1_Format</group>
      <groupName>格式问题</groupName>
      <ability>L2_HalfPunc</ability>
      <abilityName>全半角检查</abilityName>
      <candidateList>
        <item>）</item>
      </candidateList>
      <explain>文本全半角错误。</explain>
      <paraID>50EFF0DB</paraID>
      <start>37</start>
      <end>38</end>
      <status>modified</status>
      <modifiedWord>）</modifiedWord>
      <trackRevisions>false</trackRevisions>
    </reviewItem>
    <reviewItem>
      <errorID>415f4139-a404-46de-88a8-d608281daf03</errorID>
      <errorWord>(</errorWord>
      <group>L1_Format</group>
      <groupName>格式问题</groupName>
      <ability>L2_HalfPunc</ability>
      <abilityName>全半角检查</abilityName>
      <candidateList>
        <item>（</item>
      </candidateList>
      <explain>文本全半角错误。</explain>
      <paraID> D62311E</paraID>
      <start>43</start>
      <end>44</end>
      <status>modified</status>
      <modifiedWord>（</modifiedWord>
      <trackRevisions>false</trackRevisions>
    </reviewItem>
    <reviewItem>
      <errorID>55b1acef-8ea1-4fe7-ba8e-1af0224413b2</errorID>
      <errorWord>)</errorWord>
      <group>L1_Format</group>
      <groupName>格式问题</groupName>
      <ability>L2_HalfPunc</ability>
      <abilityName>全半角检查</abilityName>
      <candidateList>
        <item>）</item>
      </candidateList>
      <explain>文本全半角错误。</explain>
      <paraID> D62311E</paraID>
      <start>49</start>
      <end>50</end>
      <status>modified</status>
      <modifiedWord>）</modifiedWord>
      <trackRevisions>false</trackRevisions>
    </reviewItem>
    <reviewItem>
      <errorID>de434088-07bb-4743-9206-ae9a726d0f0f</errorID>
      <errorWord>(</errorWord>
      <group>L1_Format</group>
      <groupName>格式问题</groupName>
      <ability>L2_HalfPunc</ability>
      <abilityName>全半角检查</abilityName>
      <candidateList>
        <item>（</item>
      </candidateList>
      <explain>文本全半角错误。</explain>
      <paraID> D62311E</paraID>
      <start>83</start>
      <end>84</end>
      <status>modified</status>
      <modifiedWord>（</modifiedWord>
      <trackRevisions>false</trackRevisions>
    </reviewItem>
    <reviewItem>
      <errorID>f257d74e-7420-4cb0-837c-04d280aa3fe2</errorID>
      <errorWord>)</errorWord>
      <group>L1_Format</group>
      <groupName>格式问题</groupName>
      <ability>L2_HalfPunc</ability>
      <abilityName>全半角检查</abilityName>
      <candidateList>
        <item>）</item>
      </candidateList>
      <explain>文本全半角错误。</explain>
      <paraID> D62311E</paraID>
      <start>90</start>
      <end>91</end>
      <status>modified</status>
      <modifiedWord>）</modifiedWord>
      <trackRevisions>false</trackRevisions>
    </reviewItem>
    <reviewItem>
      <errorID>059314c1-6177-4f2c-b37c-40eb98b8d1a1</errorID>
      <errorWord>(</errorWord>
      <group>L1_Format</group>
      <groupName>格式问题</groupName>
      <ability>L2_HalfPunc</ability>
      <abilityName>全半角检查</abilityName>
      <candidateList>
        <item>（</item>
      </candidateList>
      <explain>文本全半角错误。</explain>
      <paraID> D62311E</paraID>
      <start>114</start>
      <end>115</end>
      <status>modified</status>
      <modifiedWord>（</modifiedWord>
      <trackRevisions>false</trackRevisions>
    </reviewItem>
    <reviewItem>
      <errorID>24b88c1e-5f75-444e-ba76-e597ad6ef8e0</errorID>
      <errorWord>)</errorWord>
      <group>L1_Format</group>
      <groupName>格式问题</groupName>
      <ability>L2_HalfPunc</ability>
      <abilityName>全半角检查</abilityName>
      <candidateList>
        <item>）</item>
      </candidateList>
      <explain>文本全半角错误。</explain>
      <paraID> D62311E</paraID>
      <start>120</start>
      <end>121</end>
      <status>modified</status>
      <modifiedWord>）</modifiedWord>
      <trackRevisions>false</trackRevisions>
    </reviewItem>
    <reviewItem>
      <errorID>c23ff063-d3c3-41b6-a73b-7b4a240bc0cd</errorID>
      <errorWord>(</errorWord>
      <group>L1_Format</group>
      <groupName>格式问题</groupName>
      <ability>L2_HalfPunc</ability>
      <abilityName>全半角检查</abilityName>
      <candidateList>
        <item>（</item>
      </candidateList>
      <explain>文本全半角错误。</explain>
      <paraID> D62311E</paraID>
      <start>152</start>
      <end>153</end>
      <status>modified</status>
      <modifiedWord>（</modifiedWord>
      <trackRevisions>false</trackRevisions>
    </reviewItem>
    <reviewItem>
      <errorID>f4a5a267-b1be-4f26-a8e9-791b181a5e77</errorID>
      <errorWord>)</errorWord>
      <group>L1_Format</group>
      <groupName>格式问题</groupName>
      <ability>L2_HalfPunc</ability>
      <abilityName>全半角检查</abilityName>
      <candidateList>
        <item>）</item>
      </candidateList>
      <explain>文本全半角错误。</explain>
      <paraID> D62311E</paraID>
      <start>161</start>
      <end>162</end>
      <status>modified</status>
      <modifiedWord>）</modifiedWord>
      <trackRevisions>false</trackRevisions>
    </reviewItem>
    <reviewItem>
      <errorID>e2f07bf8-fc08-4134-8c30-17530c01d3f3</errorID>
      <errorWord>(</errorWord>
      <group>L1_Format</group>
      <groupName>格式问题</groupName>
      <ability>L2_HalfPunc</ability>
      <abilityName>全半角检查</abilityName>
      <candidateList>
        <item>（</item>
      </candidateList>
      <explain>文本全半角错误。</explain>
      <paraID>222D8721</paraID>
      <start>236</start>
      <end>237</end>
      <status>modified</status>
      <modifiedWord>（</modifiedWord>
      <trackRevisions>false</trackRevisions>
    </reviewItem>
    <reviewItem>
      <errorID>bac69f72-b6f6-4cc7-8778-3a75ab00141d</errorID>
      <errorWord>)</errorWord>
      <group>L1_Format</group>
      <groupName>格式问题</groupName>
      <ability>L2_HalfPunc</ability>
      <abilityName>全半角检查</abilityName>
      <candidateList>
        <item>）</item>
      </candidateList>
      <explain>文本全半角错误。</explain>
      <paraID>222D8721</paraID>
      <start>248</start>
      <end>249</end>
      <status>modified</status>
      <modifiedWord>）</modifiedWord>
      <trackRevisions>false</trackRevisions>
    </reviewItem>
    <reviewItem>
      <errorID>3165051a-f09d-42f5-b62b-c3c24a1a87cf</errorID>
      <errorWord>宽</errorWord>
      <group>L1_Word</group>
      <groupName>字词问题</groupName>
      <ability>L2_Typo</ability>
      <abilityName>字词错误</abilityName>
      <candidateList>
        <item>宽度</item>
      </candidateList>
      <explain/>
      <paraID>222D8721</paraID>
      <start>256</start>
      <end>257</end>
      <status>ignored</status>
      <modifiedWord/>
      <trackRevisions>false</trackRevisions>
    </reviewItem>
    <reviewItem>
      <errorID>18e6ddd3-043f-4ffb-ad34-727fbdcd9c41</errorID>
      <errorWord>深</errorWord>
      <group>L1_Word</group>
      <groupName>字词问题</groupName>
      <ability>L2_Typo</ability>
      <abilityName>字词错误</abilityName>
      <candidateList>
        <item>深度</item>
      </candidateList>
      <explain/>
      <paraID>222D8721</paraID>
      <start>271</start>
      <end>272</end>
      <status>ignored</status>
      <modifiedWord/>
      <trackRevisions>false</trackRevisions>
    </reviewItem>
    <reviewItem>
      <errorID>d97f49d8-9022-41bf-b985-19fdef665246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222D8721</paraID>
      <start>370</start>
      <end>371</end>
      <status>ignored</status>
      <modifiedWord/>
      <trackRevisions>false</trackRevisions>
    </reviewItem>
    <reviewItem>
      <errorID>3261117d-2f63-4db3-a31b-700d0f009701</errorID>
      <errorWord>其它</errorWord>
      <group>L1_Word</group>
      <groupName>字词问题</groupName>
      <ability>L2_Alias</ability>
      <abilityName>也作/曾用词</abilityName>
      <candidateList>
        <item>其他</item>
      </candidateList>
      <explain>词汇[其它]为不规范表述或旧称，其规范书面表述为[其他]。</explain>
      <paraID>222D8721</paraID>
      <start>473</start>
      <end>475</end>
      <status>ignored</status>
      <modifiedWord/>
      <trackRevisions>false</trackRevisions>
    </reviewItem>
    <reviewItem>
      <errorID>ca6ea196-1c23-455a-8d8f-dc7d540dd30c</errorID>
      <errorWord>河</errorWord>
      <group>L1_Word</group>
      <groupName>字词问题</groupName>
      <ability>L2_Typo</ability>
      <abilityName>字词错误</abilityName>
      <candidateList>
        <item>和</item>
      </candidateList>
      <explain>〈量〉用于洗东西换水的次数或一剂药煎的次数：衣裳已经洗了三～｜二～药。</explain>
      <paraID>196ECCB9</paraID>
      <start>19</start>
      <end>20</end>
      <status>modified</status>
      <modifiedWord>和</modifiedWord>
      <trackRevisions>false</trackRevisions>
    </reviewItem>
    <reviewItem>
      <errorID>6f05e8d7-4f06-4207-8959-74faac8bb43c</errorID>
      <errorWord>高达乔木种类和数量不多</errorWord>
      <group>L1_Word</group>
      <groupName>字词问题</groupName>
      <ability>L2_Typo</ability>
      <abilityName>字词错误</abilityName>
      <candidateList>
        <item>高达乔木种类和数量不</item>
      </candidateList>
      <explain/>
      <paraID>356F3AAA</paraID>
      <start>38</start>
      <end>49</end>
      <status>ignored</status>
      <modifiedWord/>
      <trackRevisions>false</trackRevisions>
    </reviewItem>
    <reviewItem>
      <errorID>ebd3bfc1-b297-412d-8fff-ece4464a00ab</errorID>
      <errorWord>腊梅</errorWord>
      <group>L1_Word</group>
      <groupName>字词问题</groupName>
      <ability>L2_Alias</ability>
      <abilityName>也作/曾用词</abilityName>
      <candidateList>
        <item>蜡梅</item>
      </candidateList>
      <explain>词汇[腊梅]为不规范表述或旧称，其规范书面表述为[蜡梅]。</explain>
      <paraID>75DF917C</paraID>
      <start>59</start>
      <end>61</end>
      <status>ignored</status>
      <modifiedWord/>
      <trackRevisions>false</trackRevisions>
    </reviewItem>
    <reviewItem>
      <errorID>66fe89be-e8d3-4b0a-a763-bcb47e2806e1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5FDD42DB</paraID>
      <start>0</start>
      <end>2</end>
      <status>ignored</status>
      <modifiedWord/>
      <trackRevisions>false</trackRevisions>
    </reviewItem>
    <reviewItem>
      <errorID>1d50a836-51d6-46c5-9e46-d23f85303b41</errorID>
      <errorWord>年</errorWord>
      <group>L1_Word</group>
      <groupName>字词问题</groupName>
      <ability>L2_Typo</ability>
      <abilityName>字词错误</abilityName>
      <candidateList>
        <item>年度</item>
      </candidateList>
      <explain/>
      <paraID> 864FC91</paraID>
      <start>0</start>
      <end>1</end>
      <status>ignored</status>
      <modifiedWord/>
      <trackRevisions>false</trackRevisions>
    </reviewItem>
    <reviewItem>
      <errorID>4581e3fd-3fda-4cce-a09e-94da1f389fca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179E3C41</paraID>
      <start>0</start>
      <end>2</end>
      <status>ignored</status>
      <modifiedWord/>
      <trackRevisions>false</trackRevisions>
    </reviewItem>
    <reviewItem>
      <errorID>44b496ad-d8ff-4e85-b7c8-3b18208f059a</errorID>
      <errorWord>II类</errorWord>
      <group>L1_Knowledge</group>
      <groupName>知识性问题</groupName>
      <ability>L2_Knowledge</ability>
      <abilityName>其他知识</abilityName>
      <candidateList>
        <item>Ⅱ类</item>
      </candidateList>
      <explain/>
      <paraID>3AAFD63F</paraID>
      <start>128</start>
      <end>131</end>
      <status>ignored</status>
      <modifiedWord/>
      <trackRevisions>false</trackRevisions>
    </reviewItem>
    <reviewItem>
      <errorID>33ba4405-708a-4ec8-88a8-2b074c11d24d</errorID>
      <errorWord>II类</errorWord>
      <group>L1_Knowledge</group>
      <groupName>知识性问题</groupName>
      <ability>L2_Knowledge</ability>
      <abilityName>其他知识</abilityName>
      <candidateList>
        <item>Ⅱ类</item>
      </candidateList>
      <explain/>
      <paraID>3AAFD63F</paraID>
      <start>142</start>
      <end>145</end>
      <status>ignored</status>
      <modifiedWord/>
      <trackRevisions>false</trackRevisions>
    </reviewItem>
    <reviewItem>
      <errorID>413987d1-2094-443e-ba6d-36d6be020ed0</errorID>
      <errorWord>III类</errorWord>
      <group>L1_Knowledge</group>
      <groupName>知识性问题</groupName>
      <ability>L2_Knowledge</ability>
      <abilityName>其他知识</abilityName>
      <candidateList>
        <item>Ⅲ类</item>
      </candidateList>
      <explain/>
      <paraID>13D799FE</paraID>
      <start>57</start>
      <end>61</end>
      <status>ignored</status>
      <modifiedWord/>
      <trackRevisions>false</trackRevisions>
    </reviewItem>
    <reviewItem>
      <errorID>7c1784db-e547-437e-8f33-ef94383ce12b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AE51082</paraID>
      <start>9</start>
      <end>10</end>
      <status>ignored</status>
      <modifiedWord/>
      <trackRevisions>false</trackRevisions>
    </reviewItem>
    <reviewItem>
      <errorID>4f8c8408-b083-40fd-b26e-595f14e877bb</errorID>
      <errorWord>＜</errorWord>
      <group>L1_Format</group>
      <groupName>格式问题</groupName>
      <ability>L2_HalfPunc</ability>
      <abilityName>全半角检查</abilityName>
      <candidateList>
        <item>&lt;</item>
      </candidateList>
      <explain>文本全半角错误。</explain>
      <paraID>1CE8DC78</paraID>
      <start>0</start>
      <end>1</end>
      <status>ignored</status>
      <modifiedWord/>
      <trackRevisions>false</trackRevisions>
    </reviewItem>
    <reviewItem>
      <errorID>fda66acf-ef2b-4ecd-8e04-064736ebb1fd</errorID>
      <errorWord>＜</errorWord>
      <group>L1_Format</group>
      <groupName>格式问题</groupName>
      <ability>L2_HalfPunc</ability>
      <abilityName>全半角检查</abilityName>
      <candidateList>
        <item>&lt;</item>
      </candidateList>
      <explain>文本全半角错误。</explain>
      <paraID>29BF45A6</paraID>
      <start>0</start>
      <end>1</end>
      <status>ignored</status>
      <modifiedWord/>
      <trackRevisions>false</trackRevisions>
    </reviewItem>
    <reviewItem>
      <errorID>093b10e0-2859-4de6-a4ac-eba1b1fc49ab</errorID>
      <errorWord>＜</errorWord>
      <group>L1_Format</group>
      <groupName>格式问题</groupName>
      <ability>L2_HalfPunc</ability>
      <abilityName>全半角检查</abilityName>
      <candidateList>
        <item>&lt;</item>
      </candidateList>
      <explain>文本全半角错误。</explain>
      <paraID>5CC7549C</paraID>
      <start>0</start>
      <end>1</end>
      <status>ignored</status>
      <modifiedWord/>
      <trackRevisions>false</trackRevisions>
    </reviewItem>
    <reviewItem>
      <errorID>0a199a31-2730-4cbc-875b-6d81dfc43d6a</errorID>
      <errorWord>＜</errorWord>
      <group>L1_Format</group>
      <groupName>格式问题</groupName>
      <ability>L2_HalfPunc</ability>
      <abilityName>全半角检查</abilityName>
      <candidateList>
        <item>&lt;</item>
      </candidateList>
      <explain>文本全半角错误。</explain>
      <paraID>1A2F37B4</paraID>
      <start>0</start>
      <end>1</end>
      <status>ignored</status>
      <modifiedWord/>
      <trackRevisions>false</trackRevisions>
    </reviewItem>
    <reviewItem>
      <errorID>5cfc6004-1c50-4ae5-b3b2-ba58d62e67c8</errorID>
      <errorWord>＜</errorWord>
      <group>L1_Format</group>
      <groupName>格式问题</groupName>
      <ability>L2_HalfPunc</ability>
      <abilityName>全半角检查</abilityName>
      <candidateList>
        <item>&lt;</item>
      </candidateList>
      <explain>文本全半角错误。</explain>
      <paraID>1287C767</paraID>
      <start>0</start>
      <end>1</end>
      <status>ignored</status>
      <modifiedWord/>
      <trackRevisions>false</trackRevisions>
    </reviewItem>
    <reviewItem>
      <errorID>cafdf714-38ec-4ce0-a82a-68b42d2f1bdd</errorID>
      <errorWord>＜</errorWord>
      <group>L1_Format</group>
      <groupName>格式问题</groupName>
      <ability>L2_HalfPunc</ability>
      <abilityName>全半角检查</abilityName>
      <candidateList>
        <item>&lt;</item>
      </candidateList>
      <explain>文本全半角错误。</explain>
      <paraID>32B204B2</paraID>
      <start>0</start>
      <end>1</end>
      <status>ignored</status>
      <modifiedWord/>
      <trackRevisions>false</trackRevisions>
    </reviewItem>
    <reviewItem>
      <errorID>450d09d6-c1cc-40c3-858c-8bd92008993c</errorID>
      <errorWord>＜</errorWord>
      <group>L1_Format</group>
      <groupName>格式问题</groupName>
      <ability>L2_HalfPunc</ability>
      <abilityName>全半角检查</abilityName>
      <candidateList>
        <item>&lt;</item>
      </candidateList>
      <explain>文本全半角错误。</explain>
      <paraID>6ADCA274</paraID>
      <start>0</start>
      <end>1</end>
      <status>ignored</status>
      <modifiedWord/>
      <trackRevisions>false</trackRevisions>
    </reviewItem>
    <reviewItem>
      <errorID>0a4d0857-7562-428e-b51b-945a532ba925</errorID>
      <errorWord>＜</errorWord>
      <group>L1_Format</group>
      <groupName>格式问题</groupName>
      <ability>L2_HalfPunc</ability>
      <abilityName>全半角检查</abilityName>
      <candidateList>
        <item>&lt;</item>
      </candidateList>
      <explain>文本全半角错误。</explain>
      <paraID>60F0A080</paraID>
      <start>0</start>
      <end>1</end>
      <status>ignored</status>
      <modifiedWord/>
      <trackRevisions>false</trackRevisions>
    </reviewItem>
    <reviewItem>
      <errorID>66635397-b3bf-483a-9762-77bdd50e9913</errorID>
      <errorWord>＜</errorWord>
      <group>L1_Format</group>
      <groupName>格式问题</groupName>
      <ability>L2_HalfPunc</ability>
      <abilityName>全半角检查</abilityName>
      <candidateList>
        <item>&lt;</item>
      </candidateList>
      <explain>文本全半角错误。</explain>
      <paraID>62C05614</paraID>
      <start>0</start>
      <end>1</end>
      <status>ignored</status>
      <modifiedWord/>
      <trackRevisions>false</trackRevisions>
    </reviewItem>
    <reviewItem>
      <errorID>162d8afd-4e09-4f57-b2ad-058c6f71c17b</errorID>
      <errorWord>＜</errorWord>
      <group>L1_Format</group>
      <groupName>格式问题</groupName>
      <ability>L2_HalfPunc</ability>
      <abilityName>全半角检查</abilityName>
      <candidateList>
        <item>&lt;</item>
      </candidateList>
      <explain>文本全半角错误。</explain>
      <paraID> 7546400</paraID>
      <start>0</start>
      <end>1</end>
      <status>ignored</status>
      <modifiedWord/>
      <trackRevisions>false</trackRevisions>
    </reviewItem>
    <reviewItem>
      <errorID>e5af43e5-d3c6-4046-b8cf-0b8441b9e31a</errorID>
      <errorWord>＜</errorWord>
      <group>L1_Format</group>
      <groupName>格式问题</groupName>
      <ability>L2_HalfPunc</ability>
      <abilityName>全半角检查</abilityName>
      <candidateList>
        <item>&lt;</item>
      </candidateList>
      <explain>文本全半角错误。</explain>
      <paraID>7AE1C62E</paraID>
      <start>0</start>
      <end>1</end>
      <status>ignored</status>
      <modifiedWord/>
      <trackRevisions>false</trackRevisions>
    </reviewItem>
    <reviewItem>
      <errorID>3cf43992-ecbf-4dfe-a181-84c2f1c98c4b</errorID>
      <errorWord>＜</errorWord>
      <group>L1_Format</group>
      <groupName>格式问题</groupName>
      <ability>L2_HalfPunc</ability>
      <abilityName>全半角检查</abilityName>
      <candidateList>
        <item>&lt;</item>
      </candidateList>
      <explain>文本全半角错误。</explain>
      <paraID>275C467C</paraID>
      <start>0</start>
      <end>1</end>
      <status>ignored</status>
      <modifiedWord/>
      <trackRevisions>false</trackRevisions>
    </reviewItem>
    <reviewItem>
      <errorID>21472f8c-f7a8-4790-aba9-53e76b21fec2</errorID>
      <errorWord>＜</errorWord>
      <group>L1_Format</group>
      <groupName>格式问题</groupName>
      <ability>L2_HalfPunc</ability>
      <abilityName>全半角检查</abilityName>
      <candidateList>
        <item>&lt;</item>
      </candidateList>
      <explain>文本全半角错误。</explain>
      <paraID>6E48B53C</paraID>
      <start>0</start>
      <end>1</end>
      <status>ignored</status>
      <modifiedWord/>
      <trackRevisions>false</trackRevisions>
    </reviewItem>
    <reviewItem>
      <errorID>0aea541f-1ca2-40a9-9c07-08490d4ae1b8</errorID>
      <errorWord>＜</errorWord>
      <group>L1_Format</group>
      <groupName>格式问题</groupName>
      <ability>L2_HalfPunc</ability>
      <abilityName>全半角检查</abilityName>
      <candidateList>
        <item>&lt;</item>
      </candidateList>
      <explain>文本全半角错误。</explain>
      <paraID>1589BA80</paraID>
      <start>0</start>
      <end>1</end>
      <status>ignored</status>
      <modifiedWord/>
      <trackRevisions>false</trackRevisions>
    </reviewItem>
    <reviewItem>
      <errorID>f0363053-1088-4cbb-b650-e2e0a8f56b43</errorID>
      <errorWord>＜</errorWord>
      <group>L1_Format</group>
      <groupName>格式问题</groupName>
      <ability>L2_HalfPunc</ability>
      <abilityName>全半角检查</abilityName>
      <candidateList>
        <item>&lt;</item>
      </candidateList>
      <explain>文本全半角错误。</explain>
      <paraID>7AE4A19B</paraID>
      <start>0</start>
      <end>1</end>
      <status>ignored</status>
      <modifiedWord/>
      <trackRevisions>false</trackRevisions>
    </reviewItem>
    <reviewItem>
      <errorID>88ad7f23-1724-4a5b-926b-3bb3a010b4af</errorID>
      <errorWord>＜</errorWord>
      <group>L1_Format</group>
      <groupName>格式问题</groupName>
      <ability>L2_HalfPunc</ability>
      <abilityName>全半角检查</abilityName>
      <candidateList>
        <item>&lt;</item>
      </candidateList>
      <explain>文本全半角错误。</explain>
      <paraID>467D4F99</paraID>
      <start>0</start>
      <end>1</end>
      <status>ignored</status>
      <modifiedWord/>
      <trackRevisions>false</trackRevisions>
    </reviewItem>
    <reviewItem>
      <errorID>840d7f09-de83-4865-8af0-2a006d99a944</errorID>
      <errorWord>＜</errorWord>
      <group>L1_Format</group>
      <groupName>格式问题</groupName>
      <ability>L2_HalfPunc</ability>
      <abilityName>全半角检查</abilityName>
      <candidateList>
        <item>&lt;</item>
      </candidateList>
      <explain>文本全半角错误。</explain>
      <paraID>334E79D9</paraID>
      <start>0</start>
      <end>1</end>
      <status>ignored</status>
      <modifiedWord/>
      <trackRevisions>false</trackRevisions>
    </reviewItem>
    <reviewItem>
      <errorID>69724c64-fc3e-4dec-9f16-d42e8f90d974</errorID>
      <errorWord>＜</errorWord>
      <group>L1_Format</group>
      <groupName>格式问题</groupName>
      <ability>L2_HalfPunc</ability>
      <abilityName>全半角检查</abilityName>
      <candidateList>
        <item>&lt;</item>
      </candidateList>
      <explain>文本全半角错误。</explain>
      <paraID>4BCE0390</paraID>
      <start>0</start>
      <end>1</end>
      <status>ignored</status>
      <modifiedWord/>
      <trackRevisions>false</trackRevisions>
    </reviewItem>
    <reviewItem>
      <errorID>6c59234c-5b44-4e3a-83de-6f3addb5f7c0</errorID>
      <errorWord>＜</errorWord>
      <group>L1_Format</group>
      <groupName>格式问题</groupName>
      <ability>L2_HalfPunc</ability>
      <abilityName>全半角检查</abilityName>
      <candidateList>
        <item>&lt;</item>
      </candidateList>
      <explain>文本全半角错误。</explain>
      <paraID>5E1D621E</paraID>
      <start>0</start>
      <end>1</end>
      <status>ignored</status>
      <modifiedWord/>
      <trackRevisions>false</trackRevisions>
    </reviewItem>
    <reviewItem>
      <errorID>88ff13ce-0e2e-45b1-bd63-460e01c4363b</errorID>
      <errorWord>＜</errorWord>
      <group>L1_Format</group>
      <groupName>格式问题</groupName>
      <ability>L2_HalfPunc</ability>
      <abilityName>全半角检查</abilityName>
      <candidateList>
        <item>&lt;</item>
      </candidateList>
      <explain>文本全半角错误。</explain>
      <paraID>265D1036</paraID>
      <start>0</start>
      <end>1</end>
      <status>ignored</status>
      <modifiedWord/>
      <trackRevisions>false</trackRevisions>
    </reviewItem>
    <reviewItem>
      <errorID>725c0126-e5c2-4f86-bdeb-d4e1644bc04c</errorID>
      <errorWord>＜</errorWord>
      <group>L1_Format</group>
      <groupName>格式问题</groupName>
      <ability>L2_HalfPunc</ability>
      <abilityName>全半角检查</abilityName>
      <candidateList>
        <item>&lt;</item>
      </candidateList>
      <explain>文本全半角错误。</explain>
      <paraID>48A23FEE</paraID>
      <start>0</start>
      <end>1</end>
      <status>ignored</status>
      <modifiedWord/>
      <trackRevisions>false</trackRevisions>
    </reviewItem>
    <reviewItem>
      <errorID>956d0736-d2d6-4505-8dd6-2ed1ca5c6970</errorID>
      <errorWord>＜</errorWord>
      <group>L1_Format</group>
      <groupName>格式问题</groupName>
      <ability>L2_HalfPunc</ability>
      <abilityName>全半角检查</abilityName>
      <candidateList>
        <item>&lt;</item>
      </candidateList>
      <explain>文本全半角错误。</explain>
      <paraID>1FF0A1EE</paraID>
      <start>0</start>
      <end>1</end>
      <status>ignored</status>
      <modifiedWord/>
      <trackRevisions>false</trackRevisions>
    </reviewItem>
    <reviewItem>
      <errorID>956bc66d-ec5e-435b-b8bd-0242d665fb5b</errorID>
      <errorWord>＜</errorWord>
      <group>L1_Format</group>
      <groupName>格式问题</groupName>
      <ability>L2_HalfPunc</ability>
      <abilityName>全半角检查</abilityName>
      <candidateList>
        <item>&lt;</item>
      </candidateList>
      <explain>文本全半角错误。</explain>
      <paraID>76AF5C9F</paraID>
      <start>0</start>
      <end>1</end>
      <status>ignored</status>
      <modifiedWord/>
      <trackRevisions>false</trackRevisions>
    </reviewItem>
    <reviewItem>
      <errorID>06ddda43-a586-4e5f-9c02-0556a178b5e3</errorID>
      <errorWord>＜</errorWord>
      <group>L1_Format</group>
      <groupName>格式问题</groupName>
      <ability>L2_HalfPunc</ability>
      <abilityName>全半角检查</abilityName>
      <candidateList>
        <item>&lt;</item>
      </candidateList>
      <explain>文本全半角错误。</explain>
      <paraID>645C6713</paraID>
      <start>0</start>
      <end>1</end>
      <status>ignored</status>
      <modifiedWord/>
      <trackRevisions>false</trackRevisions>
    </reviewItem>
    <reviewItem>
      <errorID>402db7b6-21c3-47b7-a08c-da7651c0b67f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75842E42</paraID>
      <start>5</start>
      <end>6</end>
      <status>ignored</status>
      <modifiedWord/>
      <trackRevisions>false</trackRevisions>
    </reviewItem>
    <reviewItem>
      <errorID>c8223be9-ab30-4730-a27f-1ea48ad715c3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2B926F0E</paraID>
      <start>6</start>
      <end>7</end>
      <status>ignored</status>
      <modifiedWord/>
      <trackRevisions>false</trackRevisions>
    </reviewItem>
    <reviewItem>
      <errorID>d75214d4-0b5b-4051-8edd-afae5c705e87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1689A917</paraID>
      <start>5</start>
      <end>6</end>
      <status>ignored</status>
      <modifiedWord/>
      <trackRevisions>false</trackRevisions>
    </reviewItem>
    <reviewItem>
      <errorID>2e5eb95d-ed92-48a2-8013-505ff5855bc2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54DE7829</paraID>
      <start>6</start>
      <end>7</end>
      <status>ignored</status>
      <modifiedWord/>
      <trackRevisions>false</trackRevisions>
    </reviewItem>
    <reviewItem>
      <errorID>22c3bc51-d34a-4905-aa90-ac2677409732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5BC5B4CA</paraID>
      <start>5</start>
      <end>6</end>
      <status>ignored</status>
      <modifiedWord/>
      <trackRevisions>false</trackRevisions>
    </reviewItem>
    <reviewItem>
      <errorID>256f1ebe-48a6-49a8-ac1c-096ce317c562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63A72DEC</paraID>
      <start>6</start>
      <end>7</end>
      <status>ignored</status>
      <modifiedWord/>
      <trackRevisions>false</trackRevisions>
    </reviewItem>
    <reviewItem>
      <errorID>81f9fb07-7cd4-4f1e-9a97-856236e12147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B7B0659</paraID>
      <start>0</start>
      <end>2</end>
      <status>ignored</status>
      <modifiedWord/>
      <trackRevisions>false</trackRevisions>
    </reviewItem>
    <reviewItem>
      <errorID>6d7356bd-9350-4b56-b440-2333e800cf7a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68B2760</paraID>
      <start>0</start>
      <end>2</end>
      <status>ignored</status>
      <modifiedWord/>
      <trackRevisions>false</trackRevisions>
    </reviewItem>
    <reviewItem>
      <errorID>66902f51-ec5a-4859-9539-863eabe8c4bf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6319A70E</paraID>
      <start>0</start>
      <end>2</end>
      <status>ignored</status>
      <modifiedWord/>
      <trackRevisions>false</trackRevisions>
    </reviewItem>
    <reviewItem>
      <errorID>ff890dbb-c1e6-4c96-8dc8-5431383184b1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2C76D8AC</paraID>
      <start>0</start>
      <end>2</end>
      <status>ignored</status>
      <modifiedWord/>
      <trackRevisions>false</trackRevisions>
    </reviewItem>
    <reviewItem>
      <errorID>fb655f4c-5e09-4bff-bdad-2e9d4a5a4183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55CF1C3C</paraID>
      <start>0</start>
      <end>2</end>
      <status>ignored</status>
      <modifiedWord/>
      <trackRevisions>false</trackRevisions>
    </reviewItem>
    <reviewItem>
      <errorID>7abbdbb6-197a-4c86-b012-97c53e3e1b9e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33BC89BB</paraID>
      <start>0</start>
      <end>2</end>
      <status>ignored</status>
      <modifiedWord/>
      <trackRevisions>false</trackRevisions>
    </reviewItem>
    <reviewItem>
      <errorID>06586637-848b-47ef-91ee-0e94defed7ea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5FD4EBDB</paraID>
      <start>0</start>
      <end>2</end>
      <status>ignored</status>
      <modifiedWord/>
      <trackRevisions>false</trackRevisions>
    </reviewItem>
    <reviewItem>
      <errorID>6c44ad2e-403a-4426-8c52-a131225846b4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1BEDD6F2</paraID>
      <start>0</start>
      <end>2</end>
      <status>ignored</status>
      <modifiedWord/>
      <trackRevisions>false</trackRevisions>
    </reviewItem>
    <reviewItem>
      <errorID>b61a5777-846a-4ac6-a3e7-b54919f028a3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1D490DDA</paraID>
      <start>0</start>
      <end>2</end>
      <status>ignored</status>
      <modifiedWord/>
      <trackRevisions>false</trackRevisions>
    </reviewItem>
    <reviewItem>
      <errorID>94d359fa-141d-473c-839e-582f6ca17bce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75EBD152</paraID>
      <start>0</start>
      <end>2</end>
      <status>ignored</status>
      <modifiedWord/>
      <trackRevisions>false</trackRevisions>
    </reviewItem>
    <reviewItem>
      <errorID>08d7f7d2-05c6-4f95-bfa2-4c5023e50ed1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150E05E1</paraID>
      <start>0</start>
      <end>2</end>
      <status>ignored</status>
      <modifiedWord/>
      <trackRevisions>false</trackRevisions>
    </reviewItem>
    <reviewItem>
      <errorID>d1ad7cda-5bb3-463f-84f3-c7def04870f6</errorID>
      <errorWord>（</errorWord>
      <group>L1_Format</group>
      <groupName>格式问题</groupName>
      <ability>L2_HalfPunc</ability>
      <abilityName>全半角检查</abilityName>
      <candidateList>
        <item>(</item>
      </candidateList>
      <explain>文本全半角错误。</explain>
      <paraID>20DF1D9E</paraID>
      <start>7</start>
      <end>8</end>
      <status>ignored</status>
      <modifiedWord/>
      <trackRevisions>false</trackRevisions>
    </reviewItem>
    <reviewItem>
      <errorID>1b572826-6385-4fa2-9502-8f4045c3fa09</errorID>
      <errorWord>）（</errorWord>
      <group>L1_Format</group>
      <groupName>格式问题</groupName>
      <ability>L2_HalfPunc</ability>
      <abilityName>全半角检查</abilityName>
      <candidateList>
        <item>)(</item>
      </candidateList>
      <explain>文本全半角错误。</explain>
      <paraID>20DF1D9E</paraID>
      <start>11</start>
      <end>13</end>
      <status>ignored</status>
      <modifiedWord/>
      <trackRevisions>false</trackRevisions>
    </reviewItem>
    <reviewItem>
      <errorID>3d407fa4-2c3a-440d-ba90-cf7f1a33a0fd</errorID>
      <errorWord>）</errorWord>
      <group>L1_Format</group>
      <groupName>格式问题</groupName>
      <ability>L2_HalfPunc</ability>
      <abilityName>全半角检查</abilityName>
      <candidateList>
        <item>)</item>
      </candidateList>
      <explain>文本全半角错误。</explain>
      <paraID>20DF1D9E</paraID>
      <start>18</start>
      <end>19</end>
      <status>ignored</status>
      <modifiedWord/>
      <trackRevisions>false</trackRevisions>
    </reviewItem>
    <reviewItem>
      <errorID>9a4d3784-4c31-4225-947c-b60575fb84ac</errorID>
      <errorWord>（</errorWord>
      <group>L1_Format</group>
      <groupName>格式问题</groupName>
      <ability>L2_HalfPunc</ability>
      <abilityName>全半角检查</abilityName>
      <candidateList>
        <item>(</item>
      </candidateList>
      <explain>文本全半角错误。</explain>
      <paraID>20DF1D9E</paraID>
      <start>23</start>
      <end>24</end>
      <status>ignored</status>
      <modifiedWord/>
      <trackRevisions>false</trackRevisions>
    </reviewItem>
    <reviewItem>
      <errorID>06693555-9e08-442e-93a8-e9fb46d9fa95</errorID>
      <errorWord>）</errorWord>
      <group>L1_Format</group>
      <groupName>格式问题</groupName>
      <ability>L2_HalfPunc</ability>
      <abilityName>全半角检查</abilityName>
      <candidateList>
        <item>)</item>
      </candidateList>
      <explain>文本全半角错误。</explain>
      <paraID>20DF1D9E</paraID>
      <start>29</start>
      <end>30</end>
      <status>ignored</status>
      <modifiedWord/>
      <trackRevisions>false</trackRevisions>
    </reviewItem>
    <reviewItem>
      <errorID>1edfc951-12a3-4277-83d6-ef0e245b2e8c</errorID>
      <errorWord>（</errorWord>
      <group>L1_Format</group>
      <groupName>格式问题</groupName>
      <ability>L2_HalfPunc</ability>
      <abilityName>全半角检查</abilityName>
      <candidateList>
        <item>(</item>
      </candidateList>
      <explain>文本全半角错误。</explain>
      <paraID>70E03B05</paraID>
      <start>1</start>
      <end>2</end>
      <status>ignored</status>
      <modifiedWord/>
      <trackRevisions>false</trackRevisions>
    </reviewItem>
    <reviewItem>
      <errorID>fd218c9c-3078-4c45-9ff8-94f8c56ac3f4</errorID>
      <errorWord>）</errorWord>
      <group>L1_Format</group>
      <groupName>格式问题</groupName>
      <ability>L2_HalfPunc</ability>
      <abilityName>全半角检查</abilityName>
      <candidateList>
        <item>)</item>
      </candidateList>
      <explain>文本全半角错误。</explain>
      <paraID>70E03B05</paraID>
      <start>6</start>
      <end>7</end>
      <status>ignored</status>
      <modifiedWord/>
      <trackRevisions>false</trackRevisions>
    </reviewItem>
    <reviewItem>
      <errorID>4098992d-6ee9-4e46-9923-430fb1acfe8e</errorID>
      <errorWord>（</errorWord>
      <group>L1_Format</group>
      <groupName>格式问题</groupName>
      <ability>L2_HalfPunc</ability>
      <abilityName>全半角检查</abilityName>
      <candidateList>
        <item>(</item>
      </candidateList>
      <explain>文本全半角错误。</explain>
      <paraID>1089E12A</paraID>
      <start>2</start>
      <end>3</end>
      <status>ignored</status>
      <modifiedWord/>
      <trackRevisions>false</trackRevisions>
    </reviewItem>
    <reviewItem>
      <errorID>a52421ea-4d35-48e7-97e7-f2c63088f682</errorID>
      <errorWord>）</errorWord>
      <group>L1_Format</group>
      <groupName>格式问题</groupName>
      <ability>L2_HalfPunc</ability>
      <abilityName>全半角检查</abilityName>
      <candidateList>
        <item>)</item>
      </candidateList>
      <explain>文本全半角错误。</explain>
      <paraID>1089E12A</paraID>
      <start>7</start>
      <end>8</end>
      <status>ignored</status>
      <modifiedWord/>
      <trackRevisions>false</trackRevisions>
    </reviewItem>
    <reviewItem>
      <errorID>894f776c-baa7-4c16-b762-687f2fea73ad</errorID>
      <errorWord>（</errorWord>
      <group>L1_Format</group>
      <groupName>格式问题</groupName>
      <ability>L2_HalfPunc</ability>
      <abilityName>全半角检查</abilityName>
      <candidateList>
        <item>(</item>
      </candidateList>
      <explain>文本全半角错误。</explain>
      <paraID>30D651C8</paraID>
      <start>2</start>
      <end>3</end>
      <status>ignored</status>
      <modifiedWord/>
      <trackRevisions>false</trackRevisions>
    </reviewItem>
    <reviewItem>
      <errorID>7ece9e8f-26bd-48fa-88a2-c0388c1f0767</errorID>
      <errorWord>）</errorWord>
      <group>L1_Format</group>
      <groupName>格式问题</groupName>
      <ability>L2_HalfPunc</ability>
      <abilityName>全半角检查</abilityName>
      <candidateList>
        <item>)</item>
      </candidateList>
      <explain>文本全半角错误。</explain>
      <paraID>30D651C8</paraID>
      <start>7</start>
      <end>8</end>
      <status>ignored</status>
      <modifiedWord/>
      <trackRevisions>false</trackRevisions>
    </reviewItem>
    <reviewItem>
      <errorID>1e18b6b9-7128-4762-adbf-408347740d7e</errorID>
      <errorWord>（</errorWord>
      <group>L1_Format</group>
      <groupName>格式问题</groupName>
      <ability>L2_HalfPunc</ability>
      <abilityName>全半角检查</abilityName>
      <candidateList>
        <item>(</item>
      </candidateList>
      <explain>文本全半角错误。</explain>
      <paraID>36753CE0</paraID>
      <start>2</start>
      <end>3</end>
      <status>ignored</status>
      <modifiedWord/>
      <trackRevisions>false</trackRevisions>
    </reviewItem>
    <reviewItem>
      <errorID>c4e49b62-c455-4142-8252-1dc55ca0428c</errorID>
      <errorWord>）</errorWord>
      <group>L1_Format</group>
      <groupName>格式问题</groupName>
      <ability>L2_HalfPunc</ability>
      <abilityName>全半角检查</abilityName>
      <candidateList>
        <item>)</item>
      </candidateList>
      <explain>文本全半角错误。</explain>
      <paraID>36753CE0</paraID>
      <start>7</start>
      <end>8</end>
      <status>ignored</status>
      <modifiedWord/>
      <trackRevisions>false</trackRevisions>
    </reviewItem>
    <reviewItem>
      <errorID>ff9305b1-4ccd-4bca-8d24-d9486b69fe34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14C477F4</paraID>
      <start>84</start>
      <end>85</end>
      <status>ignored</status>
      <modifiedWord/>
      <trackRevisions>false</trackRevisions>
    </reviewItem>
    <reviewItem>
      <errorID>8c54a402-c68e-4ed3-a004-a123c54a321e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14C477F4</paraID>
      <start>99</start>
      <end>100</end>
      <status>ignored</status>
      <modifiedWord/>
      <trackRevisions>false</trackRevisions>
    </reviewItem>
    <reviewItem>
      <errorID>19808d03-a0fb-4107-a6b3-e907f444694f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73390F7B</paraID>
      <start>22</start>
      <end>23</end>
      <status>ignored</status>
      <modifiedWord/>
      <trackRevisions>false</trackRevisions>
    </reviewItem>
    <reviewItem>
      <errorID>793210d5-3126-46a3-b846-801ae71b6ddb</errorID>
      <errorWord>百分之百</errorWord>
      <group>L1_Knowledge</group>
      <groupName>知识性问题</groupName>
      <ability>L2_Knowledge</ability>
      <abilityName>其他知识</abilityName>
      <candidateList>
        <item>100%</item>
      </candidateList>
      <explain/>
      <paraID>23529761</paraID>
      <start>67</start>
      <end>71</end>
      <status>ignored</status>
      <modifiedWord/>
      <trackRevisions>false</trackRevisions>
    </reviewItem>
    <reviewItem>
      <errorID>bc69537e-ec70-412c-a316-936688e8bc2c</errorID>
      <errorWord>搅拌砂浆</errorWord>
      <group>L1_Knowledge</group>
      <groupName>知识性问题</groupName>
      <ability>L2_Term</ability>
      <abilityName>专业术语</abilityName>
      <candidateList>
        <item>预拌砂浆</item>
      </candidateList>
      <explain/>
      <paraID>13B89A5C</paraID>
      <start>21</start>
      <end>25</end>
      <status>ignored</status>
      <modifiedWord/>
      <trackRevisions>false</trackRevisions>
    </reviewItem>
    <reviewItem>
      <errorID>e92a7b0e-d0c3-49bd-9451-ccdc4fb85594</errorID>
      <errorWord>国家质量监督检验检疫总局</errorWord>
      <group>L1_Knowledge</group>
      <groupName>知识性问题</groupName>
      <ability>L2_Organization</ability>
      <abilityName>机构检查</abilityName>
      <candidateList/>
      <explain>2018年3月，中共中央印发了《深化党和国家机构改革方案》，国家质量监督检验检疫总局的职责整合到新组建的国家市场监督管理总局，出入境检验检疫管理职责和队伍划入海关总署。不再保留国家质量监督检验检疫总局。</explain>
      <paraID>29097DC7</paraID>
      <start>161</start>
      <end>173</end>
      <status>ignored</status>
      <modifiedWord/>
      <trackRevisions>false</trackRevisions>
    </reviewItem>
    <reviewItem>
      <errorID>9d247650-8a19-432b-9adc-2cbc2ad5874d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5898BFCA</paraID>
      <start>20</start>
      <end>22</end>
      <status>modified</status>
      <modifiedWord>》《</modifiedWord>
      <trackRevisions>false</trackRevisions>
    </reviewItem>
    <reviewItem>
      <errorID>dba373b5-9eff-4a31-9b50-ce0a87f006b7</errorID>
      <errorWord>(</errorWord>
      <group>L1_Format</group>
      <groupName>格式问题</groupName>
      <ability>L2_HalfPunc</ability>
      <abilityName>全半角检查</abilityName>
      <candidateList>
        <item>（</item>
      </candidateList>
      <explain>文本全半角错误。</explain>
      <paraID>5898BFCA</paraID>
      <start>48</start>
      <end>49</end>
      <status>modified</status>
      <modifiedWord>（</modifiedWord>
      <trackRevisions>false</trackRevisions>
    </reviewItem>
    <reviewItem>
      <errorID>60f1e64b-4ca4-4e7d-a4a8-112145b33de7</errorID>
      <errorWord>)</errorWord>
      <group>L1_Format</group>
      <groupName>格式问题</groupName>
      <ability>L2_HalfPunc</ability>
      <abilityName>全半角检查</abilityName>
      <candidateList>
        <item>）</item>
      </candidateList>
      <explain>文本全半角错误。</explain>
      <paraID>5898BFCA</paraID>
      <start>61</start>
      <end>62</end>
      <status>modified</status>
      <modifiedWord>）</modifiedWord>
      <trackRevisions>false</trackRevisions>
    </reviewItem>
    <reviewItem>
      <errorID>9ae7ed79-58e5-4e9b-95b5-7d5c6d2f52ce</errorID>
      <errorWord>期</errorWord>
      <group>L1_Word</group>
      <groupName>字词问题</groupName>
      <ability>L2_Typo</ability>
      <abilityName>字词错误</abilityName>
      <candidateList>
        <item>期间</item>
      </candidateList>
      <explain>〈名〉某个时期里面：农忙～｜春节～｜抗战～。</explain>
      <paraID>3B941A5A</paraID>
      <start>4</start>
      <end>5</end>
      <status>ignored</status>
      <modifiedWord/>
      <trackRevisions>false</trackRevisions>
    </reviewItem>
    <reviewItem>
      <errorID>ade4f70a-c657-4410-8a2d-314bddef3159</errorID>
      <errorWord>计</errorWord>
      <group>L1_Word</group>
      <groupName>字词问题</groupName>
      <ability>L2_Typo</ability>
      <abilityName>字词错误</abilityName>
      <candidateList>
        <item>计算</item>
      </candidateList>
      <explain/>
      <paraID>41FA2F8E</paraID>
      <start>119</start>
      <end>120</end>
      <status>ignored</status>
      <modifiedWord/>
      <trackRevisions>false</trackRevisions>
    </reviewItem>
    <reviewItem>
      <errorID>67dc3c37-7710-4320-bb4c-90e3901f1306</errorID>
      <errorWord>：</errorWord>
      <group>L1_Format</group>
      <groupName>格式问题</groupName>
      <ability>L2_HalfPunc</ability>
      <abilityName>全半角检查</abilityName>
      <candidateList>
        <item>:</item>
      </candidateList>
      <explain>文本全半角错误。</explain>
      <paraID>41FA2F8E</paraID>
      <start>260</start>
      <end>261</end>
      <status>ignored</status>
      <modifiedWord/>
      <trackRevisions>false</trackRevisions>
    </reviewItem>
    <reviewItem>
      <errorID>9b95dc8a-309d-43e6-802d-5e4ed6c078be</errorID>
      <errorWord>：</errorWord>
      <group>L1_Format</group>
      <groupName>格式问题</groupName>
      <ability>L2_HalfPunc</ability>
      <abilityName>全半角检查</abilityName>
      <candidateList>
        <item>:</item>
      </candidateList>
      <explain>文本全半角错误。</explain>
      <paraID>41FA2F8E</paraID>
      <start>305</start>
      <end>306</end>
      <status>ignored</status>
      <modifiedWord/>
      <trackRevisions>false</trackRevisions>
    </reviewItem>
    <reviewItem>
      <errorID>d3c0ced4-66da-4946-9aef-617a6cfb15f7</errorID>
      <errorWord>要</errorWord>
      <group>L1_Word</group>
      <groupName>字词问题</groupName>
      <ability>L2_Typo</ability>
      <abilityName>字词错误</abilityName>
      <candidateList>
        <item>要是</item>
      </candidateList>
      <explain/>
      <paraID>4E832264</paraID>
      <start>40</start>
      <end>42</end>
      <status>modified</status>
      <modifiedWord>要是</modifiedWord>
      <trackRevisions>false</trackRevisions>
    </reviewItem>
    <reviewItem>
      <errorID>16f67903-4cf8-4ea5-bc29-de92dda186f3</errorID>
      <errorWord>（</errorWord>
      <group>L1_Punc</group>
      <groupName>标点问题</groupName>
      <ability>L2_Punc</ability>
      <abilityName>标点符号检查</abilityName>
      <candidateList>
        <item/>
      </candidateList>
      <explain>同一形式括号套用。</explain>
      <paraID>46834C03</paraID>
      <start>10</start>
      <end>11</end>
      <status>ignored</status>
      <modifiedWord/>
      <trackRevisions>false</trackRevisions>
    </reviewItem>
    <reviewItem>
      <errorID>040469bb-fbeb-4987-978f-f5c9040a3d14</errorID>
      <errorWord>(</errorWord>
      <group>L1_Punc</group>
      <groupName>标点问题</groupName>
      <ability>L2_Punc</ability>
      <abilityName>标点符号检查</abilityName>
      <candidateList/>
      <explain>同一形式括号套用。</explain>
      <paraID>46834C03</paraID>
      <start>13</start>
      <end>14</end>
      <status>ignored</status>
      <modifiedWord/>
      <trackRevisions>false</trackRevisions>
    </reviewItem>
    <reviewItem>
      <errorID>2886aead-fa3b-44eb-b641-727e309e232b</errorID>
      <errorWord>)</errorWord>
      <group>L1_Punc</group>
      <groupName>标点问题</groupName>
      <ability>L2_Punc</ability>
      <abilityName>标点符号检查</abilityName>
      <candidateList/>
      <explain>同一形式括号套用。</explain>
      <paraID>46834C03</paraID>
      <start>15</start>
      <end>16</end>
      <status>ignored</status>
      <modifiedWord/>
      <trackRevisions>false</trackRevisions>
    </reviewItem>
    <reviewItem>
      <errorID>d0a75da1-bb0f-4884-bf31-c1301f57d682</errorID>
      <errorWord>）</errorWord>
      <group>L1_Punc</group>
      <groupName>标点问题</groupName>
      <ability>L2_Punc</ability>
      <abilityName>标点符号检查</abilityName>
      <candidateList/>
      <explain>同一形式括号套用。</explain>
      <paraID>46834C03</paraID>
      <start>16</start>
      <end>17</end>
      <status>ignored</status>
      <modifiedWord/>
      <trackRevisions>false</trackRevisions>
    </reviewItem>
    <reviewItem>
      <errorID>bd72db90-cd35-4b73-b84c-195f3680c31b</errorID>
      <errorWord>(</errorWord>
      <group>L1_Format</group>
      <groupName>格式问题</groupName>
      <ability>L2_HalfPunc</ability>
      <abilityName>全半角检查</abilityName>
      <candidateList>
        <item>（</item>
      </candidateList>
      <explain>文本全半角错误。</explain>
      <paraID>2A6D8CDD</paraID>
      <start>15</start>
      <end>16</end>
      <status>ignored</status>
      <modifiedWord/>
      <trackRevisions>false</trackRevisions>
    </reviewItem>
    <reviewItem>
      <errorID>329e68d8-8031-4b52-9214-d562e002711b</errorID>
      <errorWord>)</errorWord>
      <group>L1_Format</group>
      <groupName>格式问题</groupName>
      <ability>L2_HalfPunc</ability>
      <abilityName>全半角检查</abilityName>
      <candidateList>
        <item>）</item>
      </candidateList>
      <explain>文本全半角错误。</explain>
      <paraID>2A6D8CDD</paraID>
      <start>17</start>
      <end>18</end>
      <status>ignored</status>
      <modifiedWord/>
      <trackRevisions>false</trackRevisions>
    </reviewItem>
    <reviewItem>
      <errorID>ba226b54-a250-42b9-9e7a-a9e89fedd917</errorID>
      <errorWord>(</errorWord>
      <group>L1_Format</group>
      <groupName>格式问题</groupName>
      <ability>L2_HalfPunc</ability>
      <abilityName>全半角检查</abilityName>
      <candidateList>
        <item>（</item>
      </candidateList>
      <explain>文本全半角错误。</explain>
      <paraID> C83FCC5</paraID>
      <start>17</start>
      <end>18</end>
      <status>ignored</status>
      <modifiedWord/>
      <trackRevisions>false</trackRevisions>
    </reviewItem>
    <reviewItem>
      <errorID>aeaf8ffa-e080-4e81-b94b-3c66ecc6176f</errorID>
      <errorWord>)</errorWord>
      <group>L1_Format</group>
      <groupName>格式问题</groupName>
      <ability>L2_HalfPunc</ability>
      <abilityName>全半角检查</abilityName>
      <candidateList>
        <item>）</item>
      </candidateList>
      <explain>文本全半角错误。</explain>
      <paraID> C83FCC5</paraID>
      <start>19</start>
      <end>20</end>
      <status>ignored</status>
      <modifiedWord/>
      <trackRevisions>false</trackRevisions>
    </reviewItem>
    <reviewItem>
      <errorID>38fef79e-42f9-4c38-9f5f-1d09cf7c667f</errorID>
      <errorWord>（</errorWord>
      <group>L1_Punc</group>
      <groupName>标点问题</groupName>
      <ability>L2_Punc</ability>
      <abilityName>标点符号检查</abilityName>
      <candidateList>
        <item/>
      </candidateList>
      <explain>同一形式括号套用。</explain>
      <paraID>3F31D34B</paraID>
      <start>15</start>
      <end>16</end>
      <status>ignored</status>
      <modifiedWord/>
      <trackRevisions>false</trackRevisions>
    </reviewItem>
    <reviewItem>
      <errorID>fe63191b-9f15-46e5-88b5-3164dda1d579</errorID>
      <errorWord>(</errorWord>
      <group>L1_Punc</group>
      <groupName>标点问题</groupName>
      <ability>L2_Punc</ability>
      <abilityName>标点符号检查</abilityName>
      <candidateList/>
      <explain>同一形式括号套用。</explain>
      <paraID>3F31D34B</paraID>
      <start>21</start>
      <end>22</end>
      <status>ignored</status>
      <modifiedWord/>
      <trackRevisions>false</trackRevisions>
    </reviewItem>
    <reviewItem>
      <errorID>068ab582-380c-4ea1-ba16-74de6b200d90</errorID>
      <errorWord>)</errorWord>
      <group>L1_Punc</group>
      <groupName>标点问题</groupName>
      <ability>L2_Punc</ability>
      <abilityName>标点符号检查</abilityName>
      <candidateList/>
      <explain>同一形式括号套用。</explain>
      <paraID>3F31D34B</paraID>
      <start>23</start>
      <end>24</end>
      <status>ignored</status>
      <modifiedWord/>
      <trackRevisions>false</trackRevisions>
    </reviewItem>
    <reviewItem>
      <errorID>5557769a-f216-4330-9610-ef8a27e91709</errorID>
      <errorWord>）</errorWord>
      <group>L1_Punc</group>
      <groupName>标点问题</groupName>
      <ability>L2_Punc</ability>
      <abilityName>标点符号检查</abilityName>
      <candidateList/>
      <explain>同一形式括号套用。</explain>
      <paraID>3F31D34B</paraID>
      <start>24</start>
      <end>25</end>
      <status>ignored</status>
      <modifiedWord/>
      <trackRevisions>false</trackRevisions>
    </reviewItem>
    <reviewItem>
      <errorID>b24cf4f9-7631-4bce-994c-81b49717bcda</errorID>
      <errorWord>现场勘察</errorWord>
      <group>L1_Word</group>
      <groupName>字词问题</groupName>
      <ability>L2_Typo</ability>
      <abilityName>字词错误</abilityName>
      <candidateList>
        <item>现场勘查</item>
      </candidateList>
      <explain/>
      <paraID>481F2767</paraID>
      <start>111</start>
      <end>115</end>
      <status>modified</status>
      <modifiedWord>现场勘查</modifiedWord>
      <trackRevisions>false</trackRevisions>
    </reviewItem>
    <reviewItem>
      <errorID>5276110b-4e12-4071-b82f-0944c1c41b97</errorID>
      <errorWord>，</errorWord>
      <group>L1_Word</group>
      <groupName>字词问题</groupName>
      <ability>L2_Typo</ability>
      <abilityName>字词错误</abilityName>
      <candidateList>
        <item>，在</item>
      </candidateList>
      <explain/>
      <paraID>6D94FB6E</paraID>
      <start>24</start>
      <end>26</end>
      <status>modified</status>
      <modifiedWord>，在</modifiedWord>
      <trackRevisions>false</trackRevisions>
    </reviewItem>
    <reviewItem>
      <errorID>c64b08a9-e3e8-474c-b4e4-682558340c06</errorID>
      <errorWord>晚22点</errorWord>
      <group>L1_Word</group>
      <groupName>字词问题</groupName>
      <ability>L2_Typo</ability>
      <abilityName>字词错误</abilityName>
      <candidateList>
        <item>晚10点</item>
      </candidateList>
      <explain/>
      <paraID>6D94FB6E</paraID>
      <start>136</start>
      <end>140</end>
      <status>ignored</status>
      <modifiedWord/>
      <trackRevisions>false</trackRevisions>
    </reviewItem>
    <reviewItem>
      <errorID>2ff9e4ef-3654-4c65-a92d-3096e865e0d0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4DB0F0D1</paraID>
      <start>12</start>
      <end>13</end>
      <status>ignored</status>
      <modifiedWord/>
      <trackRevisions>false</trackRevisions>
    </reviewItem>
    <reviewItem>
      <errorID>0e4a974b-39c4-4e51-b99d-c0a8bd3c8442</errorID>
      <errorWord>(</errorWord>
      <group>L1_Format</group>
      <groupName>格式问题</groupName>
      <ability>L2_HalfPunc</ability>
      <abilityName>全半角检查</abilityName>
      <candidateList>
        <item>（</item>
      </candidateList>
      <explain>文本全半角错误。</explain>
      <paraID>1137CCFA</paraID>
      <start>5</start>
      <end>6</end>
      <status>modified</status>
      <modifiedWord>（</modifiedWord>
      <trackRevisions>false</trackRevisions>
    </reviewItem>
    <reviewItem>
      <errorID>1940b7e1-1753-4301-b4f5-e884a5d68f72</errorID>
      <errorWord>)</errorWord>
      <group>L1_Format</group>
      <groupName>格式问题</groupName>
      <ability>L2_HalfPunc</ability>
      <abilityName>全半角检查</abilityName>
      <candidateList>
        <item>）</item>
      </candidateList>
      <explain>文本全半角错误。</explain>
      <paraID>1137CCFA</paraID>
      <start>15</start>
      <end>16</end>
      <status>modified</status>
      <modifiedWord>）</modifiedWord>
      <trackRevisions>false</trackRevisions>
    </reviewItem>
    <reviewItem>
      <errorID>4564ea1c-49d1-4ae2-9f2d-3590e615d80c</errorID>
      <errorWord>(</errorWord>
      <group>L1_Format</group>
      <groupName>格式问题</groupName>
      <ability>L2_HalfPunc</ability>
      <abilityName>全半角检查</abilityName>
      <candidateList>
        <item>（</item>
      </candidateList>
      <explain>文本全半角错误。</explain>
      <paraID>376E167A</paraID>
      <start>8</start>
      <end>9</end>
      <status>modified</status>
      <modifiedWord>（</modifiedWord>
      <trackRevisions>false</trackRevisions>
    </reviewItem>
    <reviewItem>
      <errorID>9552e4ca-10e6-43ef-96bc-9028e8183d54</errorID>
      <errorWord>)</errorWord>
      <group>L1_Format</group>
      <groupName>格式问题</groupName>
      <ability>L2_HalfPunc</ability>
      <abilityName>全半角检查</abilityName>
      <candidateList>
        <item>）</item>
      </candidateList>
      <explain>文本全半角错误。</explain>
      <paraID>376E167A</paraID>
      <start>10</start>
      <end>11</end>
      <status>modified</status>
      <modifiedWord>）</modifiedWord>
      <trackRevisions>false</trackRevisions>
    </reviewItem>
    <reviewItem>
      <errorID>92fa1e22-30e1-44c9-8038-7845c2b80edf</errorID>
      <errorWord>(</errorWord>
      <group>L1_Format</group>
      <groupName>格式问题</groupName>
      <ability>L2_HalfPunc</ability>
      <abilityName>全半角检查</abilityName>
      <candidateList>
        <item>（</item>
      </candidateList>
      <explain>文本全半角错误。</explain>
      <paraID>4D41F68E</paraID>
      <start>5</start>
      <end>6</end>
      <status>modified</status>
      <modifiedWord>（</modifiedWord>
      <trackRevisions>false</trackRevisions>
    </reviewItem>
    <reviewItem>
      <errorID>981b9e4e-4dd1-49a6-b4f0-0fd5482c0902</errorID>
      <errorWord>)</errorWord>
      <group>L1_Format</group>
      <groupName>格式问题</groupName>
      <ability>L2_HalfPunc</ability>
      <abilityName>全半角检查</abilityName>
      <candidateList>
        <item>）</item>
      </candidateList>
      <explain>文本全半角错误。</explain>
      <paraID>4D41F68E</paraID>
      <start>15</start>
      <end>16</end>
      <status>modified</status>
      <modifiedWord>）</modifiedWord>
      <trackRevisions>false</trackRevisions>
    </reviewItem>
    <reviewItem>
      <errorID>7cea4d88-f08c-482c-825e-14b2af21a60d</errorID>
      <errorWord>(</errorWord>
      <group>L1_Format</group>
      <groupName>格式问题</groupName>
      <ability>L2_HalfPunc</ability>
      <abilityName>全半角检查</abilityName>
      <candidateList>
        <item>（</item>
      </candidateList>
      <explain>文本全半角错误。</explain>
      <paraID>3E56184D</paraID>
      <start>6</start>
      <end>7</end>
      <status>modified</status>
      <modifiedWord>（</modifiedWord>
      <trackRevisions>false</trackRevisions>
    </reviewItem>
    <reviewItem>
      <errorID>1a34c8b0-0fb5-46d0-bf40-e1cba7cc3a3b</errorID>
      <errorWord>)</errorWord>
      <group>L1_Format</group>
      <groupName>格式问题</groupName>
      <ability>L2_HalfPunc</ability>
      <abilityName>全半角检查</abilityName>
      <candidateList>
        <item>）</item>
      </candidateList>
      <explain>文本全半角错误。</explain>
      <paraID>3E56184D</paraID>
      <start>10</start>
      <end>11</end>
      <status>modified</status>
      <modifiedWord>）</modifiedWord>
      <trackRevisions>false</trackRevisions>
    </reviewItem>
    <reviewItem>
      <errorID>4978b95f-fdc6-4391-aebe-93dfb2e7fa25</errorID>
      <errorWord>(</errorWord>
      <group>L1_Format</group>
      <groupName>格式问题</groupName>
      <ability>L2_HalfPunc</ability>
      <abilityName>全半角检查</abilityName>
      <candidateList>
        <item>（</item>
      </candidateList>
      <explain>文本全半角错误。</explain>
      <paraID>22F758E0</paraID>
      <start>7</start>
      <end>8</end>
      <status>modified</status>
      <modifiedWord>（</modifiedWord>
      <trackRevisions>false</trackRevisions>
    </reviewItem>
    <reviewItem>
      <errorID>310cb99b-6ec1-43d7-99d0-02b695ab85f0</errorID>
      <errorWord>)</errorWord>
      <group>L1_Format</group>
      <groupName>格式问题</groupName>
      <ability>L2_HalfPunc</ability>
      <abilityName>全半角检查</abilityName>
      <candidateList>
        <item>）</item>
      </candidateList>
      <explain>文本全半角错误。</explain>
      <paraID>22F758E0</paraID>
      <start>11</start>
      <end>12</end>
      <status>modified</status>
      <modifiedWord>）</modifiedWord>
      <trackRevisions>false</trackRevisions>
    </reviewItem>
    <reviewItem>
      <errorID>8bdea0bc-ed80-4221-9722-78ebf7edc710</errorID>
      <errorWord>(</errorWord>
      <group>L1_Format</group>
      <groupName>格式问题</groupName>
      <ability>L2_HalfPunc</ability>
      <abilityName>全半角检查</abilityName>
      <candidateList>
        <item>（</item>
      </candidateList>
      <explain>文本全半角错误。</explain>
      <paraID>2B21E754</paraID>
      <start>8</start>
      <end>9</end>
      <status>modified</status>
      <modifiedWord>（</modifiedWord>
      <trackRevisions>false</trackRevisions>
    </reviewItem>
    <reviewItem>
      <errorID>7de6c884-9622-4447-a611-6e38f85f5e6f</errorID>
      <errorWord>)</errorWord>
      <group>L1_Format</group>
      <groupName>格式问题</groupName>
      <ability>L2_HalfPunc</ability>
      <abilityName>全半角检查</abilityName>
      <candidateList>
        <item>）</item>
      </candidateList>
      <explain>文本全半角错误。</explain>
      <paraID>2B21E754</paraID>
      <start>10</start>
      <end>11</end>
      <status>modified</status>
      <modifiedWord>）</modifiedWord>
      <trackRevisions>false</trackRevisions>
    </reviewItem>
    <reviewItem>
      <errorID>f4a6937c-ef3a-4961-817a-c492e1431c30</errorID>
      <errorWord>(</errorWord>
      <group>L1_Format</group>
      <groupName>格式问题</groupName>
      <ability>L2_HalfPunc</ability>
      <abilityName>全半角检查</abilityName>
      <candidateList>
        <item>（</item>
      </candidateList>
      <explain>文本全半角错误。</explain>
      <paraID>7231D492</paraID>
      <start>7</start>
      <end>8</end>
      <status>modified</status>
      <modifiedWord>（</modifiedWord>
      <trackRevisions>false</trackRevisions>
    </reviewItem>
    <reviewItem>
      <errorID>b9a5346e-ebb6-45c3-b82b-5eb9ba5f7fc5</errorID>
      <errorWord>)</errorWord>
      <group>L1_Format</group>
      <groupName>格式问题</groupName>
      <ability>L2_HalfPunc</ability>
      <abilityName>全半角检查</abilityName>
      <candidateList>
        <item>）</item>
      </candidateList>
      <explain>文本全半角错误。</explain>
      <paraID>7231D492</paraID>
      <start>10</start>
      <end>11</end>
      <status>modified</status>
      <modifiedWord>）</modifiedWord>
      <trackRevisions>false</trackRevisions>
    </reviewItem>
    <reviewItem>
      <errorID>506d73da-1934-4af5-8902-e18e609a773a</errorID>
      <errorWord>(</errorWord>
      <group>L1_Format</group>
      <groupName>格式问题</groupName>
      <ability>L2_HalfPunc</ability>
      <abilityName>全半角检查</abilityName>
      <candidateList>
        <item>（</item>
      </candidateList>
      <explain>文本全半角错误。</explain>
      <paraID>1F20159A</paraID>
      <start>10</start>
      <end>11</end>
      <status>modified</status>
      <modifiedWord>（</modifiedWord>
      <trackRevisions>false</trackRevisions>
    </reviewItem>
    <reviewItem>
      <errorID>e03378fc-ed21-40bf-bff5-700cd115dc0c</errorID>
      <errorWord>)</errorWord>
      <group>L1_Format</group>
      <groupName>格式问题</groupName>
      <ability>L2_HalfPunc</ability>
      <abilityName>全半角检查</abilityName>
      <candidateList>
        <item>）</item>
      </candidateList>
      <explain>文本全半角错误。</explain>
      <paraID>1F20159A</paraID>
      <start>13</start>
      <end>14</end>
      <status>modified</status>
      <modifiedWord>）</modifiedWord>
      <trackRevisions>false</trackRevisions>
    </reviewItem>
    <reviewItem>
      <errorID>667aefad-a344-4640-821a-486758092da7</errorID>
      <errorWord>(</errorWord>
      <group>L1_Format</group>
      <groupName>格式问题</groupName>
      <ability>L2_HalfPunc</ability>
      <abilityName>全半角检查</abilityName>
      <candidateList>
        <item>（</item>
      </candidateList>
      <explain>文本全半角错误。</explain>
      <paraID>62EB6CC8</paraID>
      <start>8</start>
      <end>9</end>
      <status>modified</status>
      <modifiedWord>（</modifiedWord>
      <trackRevisions>false</trackRevisions>
    </reviewItem>
    <reviewItem>
      <errorID>687bb15f-9f3b-44c0-b3e0-f6a06332d0c9</errorID>
      <errorWord>)</errorWord>
      <group>L1_Format</group>
      <groupName>格式问题</groupName>
      <ability>L2_HalfPunc</ability>
      <abilityName>全半角检查</abilityName>
      <candidateList>
        <item>）</item>
      </candidateList>
      <explain>文本全半角错误。</explain>
      <paraID>62EB6CC8</paraID>
      <start>10</start>
      <end>11</end>
      <status>modified</status>
      <modifiedWord>）</modifiedWord>
      <trackRevisions>false</trackRevisions>
    </reviewItem>
    <reviewItem>
      <errorID>2bbf1bbc-4a24-4ee4-b82e-9c467bfe20e0</errorID>
      <errorWord>(</errorWord>
      <group>L1_Format</group>
      <groupName>格式问题</groupName>
      <ability>L2_HalfPunc</ability>
      <abilityName>全半角检查</abilityName>
      <candidateList>
        <item>（</item>
      </candidateList>
      <explain>文本全半角错误。</explain>
      <paraID>43F9A176</paraID>
      <start>8</start>
      <end>9</end>
      <status>modified</status>
      <modifiedWord>（</modifiedWord>
      <trackRevisions>false</trackRevisions>
    </reviewItem>
    <reviewItem>
      <errorID>50793f49-d1e8-46cb-b261-077039c438fb</errorID>
      <errorWord>)</errorWord>
      <group>L1_Format</group>
      <groupName>格式问题</groupName>
      <ability>L2_HalfPunc</ability>
      <abilityName>全半角检查</abilityName>
      <candidateList>
        <item>）</item>
      </candidateList>
      <explain>文本全半角错误。</explain>
      <paraID>43F9A176</paraID>
      <start>10</start>
      <end>11</end>
      <status>modified</status>
      <modifiedWord>）</modifiedWord>
      <trackRevisions>false</trackRevisions>
    </reviewItem>
    <reviewItem>
      <errorID>07104794-216e-4e3b-9509-9f1c7badcfcc</errorID>
      <errorWord>(</errorWord>
      <group>L1_Format</group>
      <groupName>格式问题</groupName>
      <ability>L2_HalfPunc</ability>
      <abilityName>全半角检查</abilityName>
      <candidateList>
        <item>（</item>
      </candidateList>
      <explain>文本全半角错误。</explain>
      <paraID>54587223</paraID>
      <start>8</start>
      <end>9</end>
      <status>modified</status>
      <modifiedWord>（</modifiedWord>
      <trackRevisions>false</trackRevisions>
    </reviewItem>
    <reviewItem>
      <errorID>5aa13e42-51c1-4a7e-b777-65d652ec0da5</errorID>
      <errorWord>)</errorWord>
      <group>L1_Format</group>
      <groupName>格式问题</groupName>
      <ability>L2_HalfPunc</ability>
      <abilityName>全半角检查</abilityName>
      <candidateList>
        <item>）</item>
      </candidateList>
      <explain>文本全半角错误。</explain>
      <paraID>54587223</paraID>
      <start>10</start>
      <end>11</end>
      <status>modified</status>
      <modifiedWord>）</modifiedWord>
      <trackRevisions>false</trackRevisions>
    </reviewItem>
    <reviewItem>
      <errorID>652ba92f-b442-4eaf-baf2-e059f9197238</errorID>
      <errorWord>(</errorWord>
      <group>L1_Format</group>
      <groupName>格式问题</groupName>
      <ability>L2_HalfPunc</ability>
      <abilityName>全半角检查</abilityName>
      <candidateList>
        <item>（</item>
      </candidateList>
      <explain>文本全半角错误。</explain>
      <paraID>642191F6</paraID>
      <start>8</start>
      <end>9</end>
      <status>modified</status>
      <modifiedWord>（</modifiedWord>
      <trackRevisions>false</trackRevisions>
    </reviewItem>
    <reviewItem>
      <errorID>c972adaa-cc69-4af7-ada2-7b3a5aac84c3</errorID>
      <errorWord>)</errorWord>
      <group>L1_Format</group>
      <groupName>格式问题</groupName>
      <ability>L2_HalfPunc</ability>
      <abilityName>全半角检查</abilityName>
      <candidateList>
        <item>）</item>
      </candidateList>
      <explain>文本全半角错误。</explain>
      <paraID>642191F6</paraID>
      <start>10</start>
      <end>11</end>
      <status>modified</status>
      <modifiedWord>）</modifiedWord>
      <trackRevisions>false</trackRevisions>
    </reviewItem>
    <reviewItem>
      <errorID>58d9165e-5c49-4740-ade4-d4125ee93fc1</errorID>
      <errorWord>(</errorWord>
      <group>L1_Format</group>
      <groupName>格式问题</groupName>
      <ability>L2_HalfPunc</ability>
      <abilityName>全半角检查</abilityName>
      <candidateList>
        <item>（</item>
      </candidateList>
      <explain>文本全半角错误。</explain>
      <paraID>279E3078</paraID>
      <start>8</start>
      <end>9</end>
      <status>modified</status>
      <modifiedWord>（</modifiedWord>
      <trackRevisions>false</trackRevisions>
    </reviewItem>
    <reviewItem>
      <errorID>cb6ef809-f505-4fb3-87bf-fadcf293d605</errorID>
      <errorWord>)</errorWord>
      <group>L1_Format</group>
      <groupName>格式问题</groupName>
      <ability>L2_HalfPunc</ability>
      <abilityName>全半角检查</abilityName>
      <candidateList>
        <item>）</item>
      </candidateList>
      <explain>文本全半角错误。</explain>
      <paraID>279E3078</paraID>
      <start>12</start>
      <end>13</end>
      <status>modified</status>
      <modifiedWord>）</modifiedWord>
      <trackRevisions>false</trackRevisions>
    </reviewItem>
    <reviewItem>
      <errorID>c4a32352-9da0-49f5-8a1d-36d411241313</errorID>
      <errorWord>(</errorWord>
      <group>L1_Format</group>
      <groupName>格式问题</groupName>
      <ability>L2_HalfPunc</ability>
      <abilityName>全半角检查</abilityName>
      <candidateList>
        <item>（</item>
      </candidateList>
      <explain>文本全半角错误。</explain>
      <paraID>78AB18A9</paraID>
      <start>4</start>
      <end>5</end>
      <status>modified</status>
      <modifiedWord>（</modifiedWord>
      <trackRevisions>false</trackRevisions>
    </reviewItem>
    <reviewItem>
      <errorID>4e1623c7-5c6e-49cd-8ebf-79af9edeea29</errorID>
      <errorWord>)</errorWord>
      <group>L1_Format</group>
      <groupName>格式问题</groupName>
      <ability>L2_HalfPunc</ability>
      <abilityName>全半角检查</abilityName>
      <candidateList>
        <item>）</item>
      </candidateList>
      <explain>文本全半角错误。</explain>
      <paraID>78AB18A9</paraID>
      <start>13</start>
      <end>14</end>
      <status>modified</status>
      <modifiedWord>）</modifiedWord>
      <trackRevisions>false</trackRevisions>
    </reviewItem>
    <reviewItem>
      <errorID>4402f654-447f-46e8-ab3c-1c1f83c7a009</errorID>
      <errorWord>(</errorWord>
      <group>L1_Format</group>
      <groupName>格式问题</groupName>
      <ability>L2_HalfPunc</ability>
      <abilityName>全半角检查</abilityName>
      <candidateList>
        <item>（</item>
      </candidateList>
      <explain>文本全半角错误。</explain>
      <paraID>7F69A7D3</paraID>
      <start>6</start>
      <end>7</end>
      <status>modified</status>
      <modifiedWord>（</modifiedWord>
      <trackRevisions>false</trackRevisions>
    </reviewItem>
    <reviewItem>
      <errorID>2820c5ce-7996-4045-9842-a8ac7bcc80c6</errorID>
      <errorWord>)</errorWord>
      <group>L1_Format</group>
      <groupName>格式问题</groupName>
      <ability>L2_HalfPunc</ability>
      <abilityName>全半角检查</abilityName>
      <candidateList>
        <item>）</item>
      </candidateList>
      <explain>文本全半角错误。</explain>
      <paraID>7F69A7D3</paraID>
      <start>10</start>
      <end>11</end>
      <status>modified</status>
      <modifiedWord>）</modifiedWord>
      <trackRevisions>false</trackRevisions>
    </reviewItem>
    <reviewItem>
      <errorID>63ac4f5a-8986-4ae9-a074-bc60fd030d4f</errorID>
      <errorWord>(</errorWord>
      <group>L1_Format</group>
      <groupName>格式问题</groupName>
      <ability>L2_HalfPunc</ability>
      <abilityName>全半角检查</abilityName>
      <candidateList>
        <item>（</item>
      </candidateList>
      <explain>文本全半角错误。</explain>
      <paraID> B0DAD2E</paraID>
      <start>11</start>
      <end>12</end>
      <status>modified</status>
      <modifiedWord>（</modifiedWord>
      <trackRevisions>false</trackRevisions>
    </reviewItem>
    <reviewItem>
      <errorID>1ce76445-02da-4fe4-b28d-4e256dac966e</errorID>
      <errorWord>)</errorWord>
      <group>L1_Format</group>
      <groupName>格式问题</groupName>
      <ability>L2_HalfPunc</ability>
      <abilityName>全半角检查</abilityName>
      <candidateList>
        <item>）</item>
      </candidateList>
      <explain>文本全半角错误。</explain>
      <paraID> B0DAD2E</paraID>
      <start>13</start>
      <end>14</end>
      <status>modified</status>
      <modifiedWord>）</modifiedWord>
      <trackRevisions>false</trackRevisions>
    </reviewItem>
    <reviewItem>
      <errorID>5d751896-2c6c-4c5d-9bbe-987abf79a1c2</errorID>
      <errorWord>(</errorWord>
      <group>L1_Format</group>
      <groupName>格式问题</groupName>
      <ability>L2_HalfPunc</ability>
      <abilityName>全半角检查</abilityName>
      <candidateList>
        <item>（</item>
      </candidateList>
      <explain>文本全半角错误。</explain>
      <paraID>5B70FF5F</paraID>
      <start>6</start>
      <end>7</end>
      <status>modified</status>
      <modifiedWord>（</modifiedWord>
      <trackRevisions>false</trackRevisions>
    </reviewItem>
    <reviewItem>
      <errorID>0bc2b3a1-cea4-4cb8-8543-a764da30000d</errorID>
      <errorWord>)</errorWord>
      <group>L1_Format</group>
      <groupName>格式问题</groupName>
      <ability>L2_HalfPunc</ability>
      <abilityName>全半角检查</abilityName>
      <candidateList>
        <item>）</item>
      </candidateList>
      <explain>文本全半角错误。</explain>
      <paraID>5B70FF5F</paraID>
      <start>16</start>
      <end>17</end>
      <status>modified</status>
      <modifiedWord>）</modifiedWord>
      <trackRevisions>false</trackRevisions>
    </reviewItem>
    <reviewItem>
      <errorID>1ca89684-b116-4dbf-9099-6f8d7b4037fe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4C821B72</paraID>
      <start>0</start>
      <end>2</end>
      <status>ignored</status>
      <modifiedWord/>
      <trackRevisions>false</trackRevisions>
    </reviewItem>
    <reviewItem>
      <errorID>11b6cb3c-cf22-4256-916f-a7eeb5a4d706</errorID>
      <errorWord>本</errorWord>
      <group>L1_Word</group>
      <groupName>字词问题</groupName>
      <ability>L2_Typo</ability>
      <abilityName>字词错误</abilityName>
      <candidateList>
        <item>本次</item>
      </candidateList>
      <explain/>
      <paraID>3027C5CA</paraID>
      <start>42</start>
      <end>44</end>
      <status>modified</status>
      <modifiedWord>本次</modifiedWord>
      <trackRevisions>false</trackRevisions>
    </reviewItem>
    <reviewItem>
      <errorID>0a5eaa55-40d4-4b76-803d-bd3e646c00c6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776DEAEC</paraID>
      <start>0</start>
      <end>2</end>
      <status>ignored</status>
      <modifiedWord/>
      <trackRevisions>false</trackRevisions>
    </reviewItem>
    <reviewItem>
      <errorID>acd13a4e-408b-4f87-a456-7d350b0dcbe6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3B153936</paraID>
      <start>0</start>
      <end>2</end>
      <status>ignored</status>
      <modifiedWord/>
      <trackRevisions>false</trackRevisions>
    </reviewItem>
    <reviewItem>
      <errorID>43aaafd0-4160-4f97-a09f-c97e7d83ce77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5F98EDC7</paraID>
      <start>0</start>
      <end>2</end>
      <status>ignored</status>
      <modifiedWord/>
      <trackRevisions>false</trackRevisions>
    </reviewItem>
    <reviewItem>
      <errorID>0952bfbd-b8ec-4f1b-ae99-d69aca2061da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56C673F6</paraID>
      <start>0</start>
      <end>2</end>
      <status>ignored</status>
      <modifiedWord/>
      <trackRevisions>false</trackRevisions>
    </reviewItem>
    <reviewItem>
      <errorID>645d7e93-59b6-4dd3-ab69-5d2ee565de0c</errorID>
      <errorWord>(</errorWord>
      <group>L1_Format</group>
      <groupName>格式问题</groupName>
      <ability>L2_HalfPunc</ability>
      <abilityName>全半角检查</abilityName>
      <candidateList>
        <item>（</item>
      </candidateList>
      <explain>文本全半角错误。</explain>
      <paraID> E4549C5</paraID>
      <start>6</start>
      <end>7</end>
      <status>ignored</status>
      <modifiedWord/>
      <trackRevisions>false</trackRevisions>
    </reviewItem>
    <reviewItem>
      <errorID>15f8e604-01ae-48d3-a3e0-5afde67d8029</errorID>
      <errorWord>)</errorWord>
      <group>L1_Format</group>
      <groupName>格式问题</groupName>
      <ability>L2_HalfPunc</ability>
      <abilityName>全半角检查</abilityName>
      <candidateList>
        <item>）</item>
      </candidateList>
      <explain>文本全半角错误。</explain>
      <paraID> E4549C5</paraID>
      <start>12</start>
      <end>13</end>
      <status>ignored</status>
      <modifiedWord/>
      <trackRevisions>false</trackRevisions>
    </reviewItem>
    <reviewItem>
      <errorID>a180fa1a-dcce-44c7-8408-7fae3f3c0f31</errorID>
      <errorWord>(</errorWord>
      <group>L1_Format</group>
      <groupName>格式问题</groupName>
      <ability>L2_HalfPunc</ability>
      <abilityName>全半角检查</abilityName>
      <candidateList>
        <item>（</item>
      </candidateList>
      <explain>文本全半角错误。</explain>
      <paraID>5B709C3A</paraID>
      <start>7</start>
      <end>8</end>
      <status>ignored</status>
      <modifiedWord/>
      <trackRevisions>false</trackRevisions>
    </reviewItem>
    <reviewItem>
      <errorID>0ed82413-442b-4930-8427-01cc6ae797af</errorID>
      <errorWord>)</errorWord>
      <group>L1_Format</group>
      <groupName>格式问题</groupName>
      <ability>L2_HalfPunc</ability>
      <abilityName>全半角检查</abilityName>
      <candidateList>
        <item>）</item>
      </candidateList>
      <explain>文本全半角错误。</explain>
      <paraID>5B709C3A</paraID>
      <start>9</start>
      <end>10</end>
      <status>ignored</status>
      <modifiedWord/>
      <trackRevisions>false</trackRevisions>
    </reviewItem>
    <reviewItem>
      <errorID>ee5e7a6b-4faa-4084-a998-85cdbac7e78b</errorID>
      <errorWord>(</errorWord>
      <group>L1_Format</group>
      <groupName>格式问题</groupName>
      <ability>L2_HalfPunc</ability>
      <abilityName>全半角检查</abilityName>
      <candidateList>
        <item>（</item>
      </candidateList>
      <explain>文本全半角错误。</explain>
      <paraID>49018998</paraID>
      <start>5</start>
      <end>6</end>
      <status>ignored</status>
      <modifiedWord/>
      <trackRevisions>false</trackRevisions>
    </reviewItem>
    <reviewItem>
      <errorID>6cd19850-a479-4b41-8f01-c6023b4ad9af</errorID>
      <errorWord>)</errorWord>
      <group>L1_Format</group>
      <groupName>格式问题</groupName>
      <ability>L2_HalfPunc</ability>
      <abilityName>全半角检查</abilityName>
      <candidateList>
        <item>）</item>
      </candidateList>
      <explain>文本全半角错误。</explain>
      <paraID>49018998</paraID>
      <start>11</start>
      <end>12</end>
      <status>ignored</status>
      <modifiedWord/>
      <trackRevisions>false</trackRevisions>
    </reviewItem>
    <reviewItem>
      <errorID>a072250a-9f98-40db-be53-94a9cea5eaf6</errorID>
      <errorWord>(</errorWord>
      <group>L1_Format</group>
      <groupName>格式问题</groupName>
      <ability>L2_HalfPunc</ability>
      <abilityName>全半角检查</abilityName>
      <candidateList>
        <item>（</item>
      </candidateList>
      <explain>文本全半角错误。</explain>
      <paraID>571D8A91</paraID>
      <start>6</start>
      <end>7</end>
      <status>ignored</status>
      <modifiedWord/>
      <trackRevisions>false</trackRevisions>
    </reviewItem>
    <reviewItem>
      <errorID>27c17b11-a9a4-4c95-b0e6-b9aeac30b219</errorID>
      <errorWord>)</errorWord>
      <group>L1_Format</group>
      <groupName>格式问题</groupName>
      <ability>L2_HalfPunc</ability>
      <abilityName>全半角检查</abilityName>
      <candidateList>
        <item>）</item>
      </candidateList>
      <explain>文本全半角错误。</explain>
      <paraID>571D8A91</paraID>
      <start>8</start>
      <end>9</end>
      <status>ignored</status>
      <modifiedWord/>
      <trackRevisions>false</trackRevisions>
    </reviewItem>
    <reviewItem>
      <errorID>1d7c114e-0e71-4903-9344-f9a563c600d9</errorID>
      <errorWord>(</errorWord>
      <group>L1_Format</group>
      <groupName>格式问题</groupName>
      <ability>L2_HalfPunc</ability>
      <abilityName>全半角检查</abilityName>
      <candidateList>
        <item>（</item>
      </candidateList>
      <explain>文本全半角错误。</explain>
      <paraID> 8E15791</paraID>
      <start>5</start>
      <end>6</end>
      <status>ignored</status>
      <modifiedWord/>
      <trackRevisions>false</trackRevisions>
    </reviewItem>
    <reviewItem>
      <errorID>9a2b1438-be93-43ad-951c-0fd61a88bf94</errorID>
      <errorWord>)</errorWord>
      <group>L1_Format</group>
      <groupName>格式问题</groupName>
      <ability>L2_HalfPunc</ability>
      <abilityName>全半角检查</abilityName>
      <candidateList>
        <item>）</item>
      </candidateList>
      <explain>文本全半角错误。</explain>
      <paraID> 8E15791</paraID>
      <start>11</start>
      <end>12</end>
      <status>ignored</status>
      <modifiedWord/>
      <trackRevisions>false</trackRevisions>
    </reviewItem>
    <reviewItem>
      <errorID>63ae835f-e153-4961-a9d7-e564ba9ae858</errorID>
      <errorWord>(</errorWord>
      <group>L1_Format</group>
      <groupName>格式问题</groupName>
      <ability>L2_HalfPunc</ability>
      <abilityName>全半角检查</abilityName>
      <candidateList>
        <item>（</item>
      </candidateList>
      <explain>文本全半角错误。</explain>
      <paraID>671E0BE9</paraID>
      <start>6</start>
      <end>7</end>
      <status>ignored</status>
      <modifiedWord/>
      <trackRevisions>false</trackRevisions>
    </reviewItem>
    <reviewItem>
      <errorID>1cc37029-88e2-4229-921e-dabfd1c6f990</errorID>
      <errorWord>)</errorWord>
      <group>L1_Format</group>
      <groupName>格式问题</groupName>
      <ability>L2_HalfPunc</ability>
      <abilityName>全半角检查</abilityName>
      <candidateList>
        <item>）</item>
      </candidateList>
      <explain>文本全半角错误。</explain>
      <paraID>671E0BE9</paraID>
      <start>8</start>
      <end>9</end>
      <status>ignored</status>
      <modifiedWord/>
      <trackRevisions>false</trackRevisions>
    </reviewItem>
    <reviewItem>
      <errorID>43fca292-b4b4-463a-8638-f72eff781171</errorID>
      <errorWord>(</errorWord>
      <group>L1_Format</group>
      <groupName>格式问题</groupName>
      <ability>L2_HalfPunc</ability>
      <abilityName>全半角检查</abilityName>
      <candidateList>
        <item>（</item>
      </candidateList>
      <explain>文本全半角错误。</explain>
      <paraID>535D5253</paraID>
      <start>6</start>
      <end>7</end>
      <status>ignored</status>
      <modifiedWord/>
      <trackRevisions>false</trackRevisions>
    </reviewItem>
    <reviewItem>
      <errorID>f7170079-ba10-42e6-b0f6-85c82c769e39</errorID>
      <errorWord>)</errorWord>
      <group>L1_Format</group>
      <groupName>格式问题</groupName>
      <ability>L2_HalfPunc</ability>
      <abilityName>全半角检查</abilityName>
      <candidateList>
        <item>）</item>
      </candidateList>
      <explain>文本全半角错误。</explain>
      <paraID>535D5253</paraID>
      <start>12</start>
      <end>13</end>
      <status>ignored</status>
      <modifiedWord/>
      <trackRevisions>false</trackRevisions>
    </reviewItem>
    <reviewItem>
      <errorID>1f5abf34-573d-458a-a790-6554243301a6</errorID>
      <errorWord>(</errorWord>
      <group>L1_Format</group>
      <groupName>格式问题</groupName>
      <ability>L2_HalfPunc</ability>
      <abilityName>全半角检查</abilityName>
      <candidateList>
        <item>（</item>
      </candidateList>
      <explain>文本全半角错误。</explain>
      <paraID> 93C6DA2</paraID>
      <start>7</start>
      <end>8</end>
      <status>ignored</status>
      <modifiedWord/>
      <trackRevisions>false</trackRevisions>
    </reviewItem>
    <reviewItem>
      <errorID>9a0b748a-1706-451a-b817-a861ac71d6b9</errorID>
      <errorWord>)</errorWord>
      <group>L1_Format</group>
      <groupName>格式问题</groupName>
      <ability>L2_HalfPunc</ability>
      <abilityName>全半角检查</abilityName>
      <candidateList>
        <item>）</item>
      </candidateList>
      <explain>文本全半角错误。</explain>
      <paraID> 93C6DA2</paraID>
      <start>9</start>
      <end>10</end>
      <status>ignored</status>
      <modifiedWord/>
      <trackRevisions>false</trackRevisions>
    </reviewItem>
    <reviewItem>
      <errorID>8e3a7661-a391-40fe-ab39-c95a111e4904</errorID>
      <errorWord>(</errorWord>
      <group>L1_Format</group>
      <groupName>格式问题</groupName>
      <ability>L2_HalfPunc</ability>
      <abilityName>全半角检查</abilityName>
      <candidateList>
        <item>（</item>
      </candidateList>
      <explain>文本全半角错误。</explain>
      <paraID>1A5CC2CB</paraID>
      <start>6</start>
      <end>7</end>
      <status>ignored</status>
      <modifiedWord/>
      <trackRevisions>false</trackRevisions>
    </reviewItem>
    <reviewItem>
      <errorID>990c4e24-d032-47ba-b274-f4d51d7c7bd5</errorID>
      <errorWord>)</errorWord>
      <group>L1_Format</group>
      <groupName>格式问题</groupName>
      <ability>L2_HalfPunc</ability>
      <abilityName>全半角检查</abilityName>
      <candidateList>
        <item>）</item>
      </candidateList>
      <explain>文本全半角错误。</explain>
      <paraID>1A5CC2CB</paraID>
      <start>12</start>
      <end>13</end>
      <status>ignored</status>
      <modifiedWord/>
      <trackRevisions>false</trackRevisions>
    </reviewItem>
    <reviewItem>
      <errorID>ea798bf1-0993-4678-8f47-dfefd1b8e83b</errorID>
      <errorWord>(</errorWord>
      <group>L1_Format</group>
      <groupName>格式问题</groupName>
      <ability>L2_HalfPunc</ability>
      <abilityName>全半角检查</abilityName>
      <candidateList>
        <item>（</item>
      </candidateList>
      <explain>文本全半角错误。</explain>
      <paraID>10238984</paraID>
      <start>7</start>
      <end>8</end>
      <status>ignored</status>
      <modifiedWord/>
      <trackRevisions>false</trackRevisions>
    </reviewItem>
    <reviewItem>
      <errorID>8bdb472c-0404-4ee3-be4b-66941facd968</errorID>
      <errorWord>)</errorWord>
      <group>L1_Format</group>
      <groupName>格式问题</groupName>
      <ability>L2_HalfPunc</ability>
      <abilityName>全半角检查</abilityName>
      <candidateList>
        <item>）</item>
      </candidateList>
      <explain>文本全半角错误。</explain>
      <paraID>10238984</paraID>
      <start>9</start>
      <end>10</end>
      <status>ignored</status>
      <modifiedWord/>
      <trackRevisions>false</trackRevisions>
    </reviewItem>
    <reviewItem>
      <errorID>c86cfc6a-00ac-4d32-97df-ffc0e4b7e6b5</errorID>
      <errorWord>(</errorWord>
      <group>L1_Format</group>
      <groupName>格式问题</groupName>
      <ability>L2_HalfPunc</ability>
      <abilityName>全半角检查</abilityName>
      <candidateList>
        <item>（</item>
      </candidateList>
      <explain>文本全半角错误。</explain>
      <paraID>5D5F7A60</paraID>
      <start>5</start>
      <end>6</end>
      <status>ignored</status>
      <modifiedWord/>
      <trackRevisions>false</trackRevisions>
    </reviewItem>
    <reviewItem>
      <errorID>55d00ed6-5d0d-4537-8973-8c11294f40e5</errorID>
      <errorWord>)</errorWord>
      <group>L1_Format</group>
      <groupName>格式问题</groupName>
      <ability>L2_HalfPunc</ability>
      <abilityName>全半角检查</abilityName>
      <candidateList>
        <item>）</item>
      </candidateList>
      <explain>文本全半角错误。</explain>
      <paraID>5D5F7A60</paraID>
      <start>11</start>
      <end>12</end>
      <status>ignored</status>
      <modifiedWord/>
      <trackRevisions>false</trackRevisions>
    </reviewItem>
    <reviewItem>
      <errorID>b6500461-a250-443d-bbf7-e68cc95ecb8e</errorID>
      <errorWord>(</errorWord>
      <group>L1_Format</group>
      <groupName>格式问题</groupName>
      <ability>L2_HalfPunc</ability>
      <abilityName>全半角检查</abilityName>
      <candidateList>
        <item>（</item>
      </candidateList>
      <explain>文本全半角错误。</explain>
      <paraID>7387946F</paraID>
      <start>6</start>
      <end>7</end>
      <status>ignored</status>
      <modifiedWord/>
      <trackRevisions>false</trackRevisions>
    </reviewItem>
    <reviewItem>
      <errorID>10cee1e6-540f-4204-afcb-14e03460bba4</errorID>
      <errorWord>)</errorWord>
      <group>L1_Format</group>
      <groupName>格式问题</groupName>
      <ability>L2_HalfPunc</ability>
      <abilityName>全半角检查</abilityName>
      <candidateList>
        <item>）</item>
      </candidateList>
      <explain>文本全半角错误。</explain>
      <paraID>7387946F</paraID>
      <start>8</start>
      <end>9</end>
      <status>ignored</status>
      <modifiedWord/>
      <trackRevisions>false</trackRevisions>
    </reviewItem>
    <reviewItem>
      <errorID>2e84d271-5312-4df7-8e34-0a3fd7d1e232</errorID>
      <errorWord>(</errorWord>
      <group>L1_Format</group>
      <groupName>格式问题</groupName>
      <ability>L2_HalfPunc</ability>
      <abilityName>全半角检查</abilityName>
      <candidateList>
        <item>（</item>
      </candidateList>
      <explain>文本全半角错误。</explain>
      <paraID>7B50CE5A</paraID>
      <start>5</start>
      <end>6</end>
      <status>ignored</status>
      <modifiedWord/>
      <trackRevisions>false</trackRevisions>
    </reviewItem>
    <reviewItem>
      <errorID>8f166d7d-14d4-44df-a008-19316d70cf81</errorID>
      <errorWord>)</errorWord>
      <group>L1_Format</group>
      <groupName>格式问题</groupName>
      <ability>L2_HalfPunc</ability>
      <abilityName>全半角检查</abilityName>
      <candidateList>
        <item>）</item>
      </candidateList>
      <explain>文本全半角错误。</explain>
      <paraID>7B50CE5A</paraID>
      <start>11</start>
      <end>12</end>
      <status>ignored</status>
      <modifiedWord/>
      <trackRevisions>false</trackRevisions>
    </reviewItem>
    <reviewItem>
      <errorID>9856df70-c002-4c8c-a484-bfd5fc7353e7</errorID>
      <errorWord>(</errorWord>
      <group>L1_Format</group>
      <groupName>格式问题</groupName>
      <ability>L2_HalfPunc</ability>
      <abilityName>全半角检查</abilityName>
      <candidateList>
        <item>（</item>
      </candidateList>
      <explain>文本全半角错误。</explain>
      <paraID>2CE5AAF2</paraID>
      <start>6</start>
      <end>7</end>
      <status>ignored</status>
      <modifiedWord/>
      <trackRevisions>false</trackRevisions>
    </reviewItem>
    <reviewItem>
      <errorID>d79837d9-2867-4dff-a151-aa4fdc51d7dc</errorID>
      <errorWord>)</errorWord>
      <group>L1_Format</group>
      <groupName>格式问题</groupName>
      <ability>L2_HalfPunc</ability>
      <abilityName>全半角检查</abilityName>
      <candidateList>
        <item>）</item>
      </candidateList>
      <explain>文本全半角错误。</explain>
      <paraID>2CE5AAF2</paraID>
      <start>8</start>
      <end>9</end>
      <status>ignored</status>
      <modifiedWord/>
      <trackRevisions>false</trackRevisions>
    </reviewItem>
    <reviewItem>
      <errorID>effb95d4-12c3-4b2c-a48a-c64095aabe25</errorID>
      <errorWord>(</errorWord>
      <group>L1_Format</group>
      <groupName>格式问题</groupName>
      <ability>L2_HalfPunc</ability>
      <abilityName>全半角检查</abilityName>
      <candidateList>
        <item>（</item>
      </candidateList>
      <explain>文本全半角错误。</explain>
      <paraID>6FCBE1A3</paraID>
      <start>6</start>
      <end>7</end>
      <status>ignored</status>
      <modifiedWord/>
      <trackRevisions>false</trackRevisions>
    </reviewItem>
    <reviewItem>
      <errorID>ad016c54-c540-42e2-9432-368dd0b57b4a</errorID>
      <errorWord>)</errorWord>
      <group>L1_Format</group>
      <groupName>格式问题</groupName>
      <ability>L2_HalfPunc</ability>
      <abilityName>全半角检查</abilityName>
      <candidateList>
        <item>）</item>
      </candidateList>
      <explain>文本全半角错误。</explain>
      <paraID>6FCBE1A3</paraID>
      <start>12</start>
      <end>13</end>
      <status>ignored</status>
      <modifiedWord/>
      <trackRevisions>false</trackRevisions>
    </reviewItem>
    <reviewItem>
      <errorID>1283df6f-62de-4b62-a663-d3e415fa8875</errorID>
      <errorWord>(</errorWord>
      <group>L1_Format</group>
      <groupName>格式问题</groupName>
      <ability>L2_HalfPunc</ability>
      <abilityName>全半角检查</abilityName>
      <candidateList>
        <item>（</item>
      </candidateList>
      <explain>文本全半角错误。</explain>
      <paraID>1BE9489A</paraID>
      <start>7</start>
      <end>8</end>
      <status>ignored</status>
      <modifiedWord/>
      <trackRevisions>false</trackRevisions>
    </reviewItem>
    <reviewItem>
      <errorID>60083974-e1ce-40dd-8df4-503392822f24</errorID>
      <errorWord>)</errorWord>
      <group>L1_Format</group>
      <groupName>格式问题</groupName>
      <ability>L2_HalfPunc</ability>
      <abilityName>全半角检查</abilityName>
      <candidateList>
        <item>）</item>
      </candidateList>
      <explain>文本全半角错误。</explain>
      <paraID>1BE9489A</paraID>
      <start>9</start>
      <end>10</end>
      <status>ignored</status>
      <modifiedWord/>
      <trackRevisions>false</trackRevisions>
    </reviewItem>
    <reviewItem>
      <errorID>03d4d589-4597-486a-995f-f5de5c0c790b</errorID>
      <errorWord>(</errorWord>
      <group>L1_Format</group>
      <groupName>格式问题</groupName>
      <ability>L2_HalfPunc</ability>
      <abilityName>全半角检查</abilityName>
      <candidateList>
        <item>（</item>
      </candidateList>
      <explain>文本全半角错误。</explain>
      <paraID>4C50451E</paraID>
      <start>6</start>
      <end>7</end>
      <status>ignored</status>
      <modifiedWord/>
      <trackRevisions>false</trackRevisions>
    </reviewItem>
    <reviewItem>
      <errorID>4e1ae6ba-dcb9-40e7-99aa-588836abbc45</errorID>
      <errorWord>)</errorWord>
      <group>L1_Format</group>
      <groupName>格式问题</groupName>
      <ability>L2_HalfPunc</ability>
      <abilityName>全半角检查</abilityName>
      <candidateList>
        <item>）</item>
      </candidateList>
      <explain>文本全半角错误。</explain>
      <paraID>4C50451E</paraID>
      <start>12</start>
      <end>13</end>
      <status>ignored</status>
      <modifiedWord/>
      <trackRevisions>false</trackRevisions>
    </reviewItem>
    <reviewItem>
      <errorID>076c2945-04ae-4ae4-a8fe-d6b2873f5982</errorID>
      <errorWord>(</errorWord>
      <group>L1_Format</group>
      <groupName>格式问题</groupName>
      <ability>L2_HalfPunc</ability>
      <abilityName>全半角检查</abilityName>
      <candidateList>
        <item>（</item>
      </candidateList>
      <explain>文本全半角错误。</explain>
      <paraID>49610242</paraID>
      <start>7</start>
      <end>8</end>
      <status>ignored</status>
      <modifiedWord/>
      <trackRevisions>false</trackRevisions>
    </reviewItem>
    <reviewItem>
      <errorID>167378ab-17db-4998-831b-b6a9efb4a896</errorID>
      <errorWord>)</errorWord>
      <group>L1_Format</group>
      <groupName>格式问题</groupName>
      <ability>L2_HalfPunc</ability>
      <abilityName>全半角检查</abilityName>
      <candidateList>
        <item>）</item>
      </candidateList>
      <explain>文本全半角错误。</explain>
      <paraID>49610242</paraID>
      <start>9</start>
      <end>10</end>
      <status>ignored</status>
      <modifiedWord/>
      <trackRevisions>false</trackRevisions>
    </reviewItem>
    <reviewItem>
      <errorID>8cfc185b-b232-42de-9aed-afce7be6fe21</errorID>
      <errorWord>(</errorWord>
      <group>L1_Format</group>
      <groupName>格式问题</groupName>
      <ability>L2_HalfPunc</ability>
      <abilityName>全半角检查</abilityName>
      <candidateList>
        <item>（</item>
      </candidateList>
      <explain>文本全半角错误。</explain>
      <paraID>7CB54817</paraID>
      <start>5</start>
      <end>6</end>
      <status>ignored</status>
      <modifiedWord/>
      <trackRevisions>false</trackRevisions>
    </reviewItem>
    <reviewItem>
      <errorID>cb81ec06-3e3c-4b30-b093-5ed2ac2a0795</errorID>
      <errorWord>)</errorWord>
      <group>L1_Format</group>
      <groupName>格式问题</groupName>
      <ability>L2_HalfPunc</ability>
      <abilityName>全半角检查</abilityName>
      <candidateList>
        <item>）</item>
      </candidateList>
      <explain>文本全半角错误。</explain>
      <paraID>7CB54817</paraID>
      <start>11</start>
      <end>12</end>
      <status>ignored</status>
      <modifiedWord/>
      <trackRevisions>false</trackRevisions>
    </reviewItem>
    <reviewItem>
      <errorID>9f324d0c-53c6-49cb-9ace-cf100a9f1799</errorID>
      <errorWord>(</errorWord>
      <group>L1_Format</group>
      <groupName>格式问题</groupName>
      <ability>L2_HalfPunc</ability>
      <abilityName>全半角检查</abilityName>
      <candidateList>
        <item>（</item>
      </candidateList>
      <explain>文本全半角错误。</explain>
      <paraID>4CEF7260</paraID>
      <start>6</start>
      <end>7</end>
      <status>ignored</status>
      <modifiedWord/>
      <trackRevisions>false</trackRevisions>
    </reviewItem>
    <reviewItem>
      <errorID>4263f1d9-fcf6-42a9-9ac4-fdb0281e6ba0</errorID>
      <errorWord>)</errorWord>
      <group>L1_Format</group>
      <groupName>格式问题</groupName>
      <ability>L2_HalfPunc</ability>
      <abilityName>全半角检查</abilityName>
      <candidateList>
        <item>）</item>
      </candidateList>
      <explain>文本全半角错误。</explain>
      <paraID>4CEF7260</paraID>
      <start>8</start>
      <end>9</end>
      <status>ignored</status>
      <modifiedWord/>
      <trackRevisions>false</trackRevisions>
    </reviewItem>
    <reviewItem>
      <errorID>b3c327bb-885f-45cf-a881-4c1aced74385</errorID>
      <errorWord>(</errorWord>
      <group>L1_Format</group>
      <groupName>格式问题</groupName>
      <ability>L2_HalfPunc</ability>
      <abilityName>全半角检查</abilityName>
      <candidateList>
        <item>（</item>
      </candidateList>
      <explain>文本全半角错误。</explain>
      <paraID>609D01D3</paraID>
      <start>5</start>
      <end>6</end>
      <status>ignored</status>
      <modifiedWord/>
      <trackRevisions>false</trackRevisions>
    </reviewItem>
    <reviewItem>
      <errorID>4bee0948-8f0a-48a5-a5a0-5d5c613e083f</errorID>
      <errorWord>)</errorWord>
      <group>L1_Format</group>
      <groupName>格式问题</groupName>
      <ability>L2_HalfPunc</ability>
      <abilityName>全半角检查</abilityName>
      <candidateList>
        <item>）</item>
      </candidateList>
      <explain>文本全半角错误。</explain>
      <paraID>609D01D3</paraID>
      <start>11</start>
      <end>12</end>
      <status>ignored</status>
      <modifiedWord/>
      <trackRevisions>false</trackRevisions>
    </reviewItem>
    <reviewItem>
      <errorID>bd9bc8f1-747c-44cd-8fdb-517c35e55989</errorID>
      <errorWord>(</errorWord>
      <group>L1_Format</group>
      <groupName>格式问题</groupName>
      <ability>L2_HalfPunc</ability>
      <abilityName>全半角检查</abilityName>
      <candidateList>
        <item>（</item>
      </candidateList>
      <explain>文本全半角错误。</explain>
      <paraID>33AA6B30</paraID>
      <start>6</start>
      <end>7</end>
      <status>ignored</status>
      <modifiedWord/>
      <trackRevisions>false</trackRevisions>
    </reviewItem>
    <reviewItem>
      <errorID>7fbfe322-e735-478a-a815-2038de15aa25</errorID>
      <errorWord>)</errorWord>
      <group>L1_Format</group>
      <groupName>格式问题</groupName>
      <ability>L2_HalfPunc</ability>
      <abilityName>全半角检查</abilityName>
      <candidateList>
        <item>）</item>
      </candidateList>
      <explain>文本全半角错误。</explain>
      <paraID>33AA6B30</paraID>
      <start>8</start>
      <end>9</end>
      <status>ignored</status>
      <modifiedWord/>
      <trackRevisions>false</trackRevisions>
    </reviewItem>
    <reviewItem>
      <errorID>e410f06a-d754-467e-b2c5-f1009f06445f</errorID>
      <errorWord>(</errorWord>
      <group>L1_Format</group>
      <groupName>格式问题</groupName>
      <ability>L2_HalfPunc</ability>
      <abilityName>全半角检查</abilityName>
      <candidateList>
        <item>（</item>
      </candidateList>
      <explain>文本全半角错误。</explain>
      <paraID>577C7D70</paraID>
      <start>6</start>
      <end>7</end>
      <status>ignored</status>
      <modifiedWord/>
      <trackRevisions>false</trackRevisions>
    </reviewItem>
    <reviewItem>
      <errorID>49555f68-a8b6-48c0-8bbb-9e7a52456cfa</errorID>
      <errorWord>)</errorWord>
      <group>L1_Format</group>
      <groupName>格式问题</groupName>
      <ability>L2_HalfPunc</ability>
      <abilityName>全半角检查</abilityName>
      <candidateList>
        <item>）</item>
      </candidateList>
      <explain>文本全半角错误。</explain>
      <paraID>577C7D70</paraID>
      <start>12</start>
      <end>13</end>
      <status>ignored</status>
      <modifiedWord/>
      <trackRevisions>false</trackRevisions>
    </reviewItem>
    <reviewItem>
      <errorID>c0339bdf-5562-45c2-8938-0749e751eab0</errorID>
      <errorWord>(</errorWord>
      <group>L1_Format</group>
      <groupName>格式问题</groupName>
      <ability>L2_HalfPunc</ability>
      <abilityName>全半角检查</abilityName>
      <candidateList>
        <item>（</item>
      </candidateList>
      <explain>文本全半角错误。</explain>
      <paraID>424DC4D0</paraID>
      <start>7</start>
      <end>8</end>
      <status>ignored</status>
      <modifiedWord/>
      <trackRevisions>false</trackRevisions>
    </reviewItem>
    <reviewItem>
      <errorID>70b9057a-d652-461b-a81c-531820ad5358</errorID>
      <errorWord>)</errorWord>
      <group>L1_Format</group>
      <groupName>格式问题</groupName>
      <ability>L2_HalfPunc</ability>
      <abilityName>全半角检查</abilityName>
      <candidateList>
        <item>）</item>
      </candidateList>
      <explain>文本全半角错误。</explain>
      <paraID>424DC4D0</paraID>
      <start>9</start>
      <end>10</end>
      <status>ignored</status>
      <modifiedWord/>
      <trackRevisions>false</trackRevisions>
    </reviewItem>
    <reviewItem>
      <errorID>7060cd05-7f48-421f-8d92-f0753126b669</errorID>
      <errorWord>(</errorWord>
      <group>L1_Format</group>
      <groupName>格式问题</groupName>
      <ability>L2_HalfPunc</ability>
      <abilityName>全半角检查</abilityName>
      <candidateList>
        <item>（</item>
      </candidateList>
      <explain>文本全半角错误。</explain>
      <paraID>7EA3007B</paraID>
      <start>6</start>
      <end>7</end>
      <status>ignored</status>
      <modifiedWord/>
      <trackRevisions>false</trackRevisions>
    </reviewItem>
    <reviewItem>
      <errorID>1e04f303-2237-46d5-bdf9-acaa98b919c4</errorID>
      <errorWord>)</errorWord>
      <group>L1_Format</group>
      <groupName>格式问题</groupName>
      <ability>L2_HalfPunc</ability>
      <abilityName>全半角检查</abilityName>
      <candidateList>
        <item>）</item>
      </candidateList>
      <explain>文本全半角错误。</explain>
      <paraID>7EA3007B</paraID>
      <start>12</start>
      <end>13</end>
      <status>ignored</status>
      <modifiedWord/>
      <trackRevisions>false</trackRevisions>
    </reviewItem>
    <reviewItem>
      <errorID>6c56cd86-aa31-4313-8158-86c6f51b83f8</errorID>
      <errorWord>(</errorWord>
      <group>L1_Format</group>
      <groupName>格式问题</groupName>
      <ability>L2_HalfPunc</ability>
      <abilityName>全半角检查</abilityName>
      <candidateList>
        <item>（</item>
      </candidateList>
      <explain>文本全半角错误。</explain>
      <paraID>515CB7B3</paraID>
      <start>7</start>
      <end>8</end>
      <status>ignored</status>
      <modifiedWord/>
      <trackRevisions>false</trackRevisions>
    </reviewItem>
    <reviewItem>
      <errorID>cfa15527-ef7e-4b81-aff9-95d3ae34ef07</errorID>
      <errorWord>)</errorWord>
      <group>L1_Format</group>
      <groupName>格式问题</groupName>
      <ability>L2_HalfPunc</ability>
      <abilityName>全半角检查</abilityName>
      <candidateList>
        <item>）</item>
      </candidateList>
      <explain>文本全半角错误。</explain>
      <paraID>515CB7B3</paraID>
      <start>9</start>
      <end>10</end>
      <status>ignored</status>
      <modifiedWord/>
      <trackRevisions>false</trackRevisions>
    </reviewItem>
    <reviewItem>
      <errorID>06e9cd84-a3a2-4f70-a2e9-0b93ed8d5f7e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1618743E</paraID>
      <start>0</start>
      <end>2</end>
      <status>ignored</status>
      <modifiedWord/>
      <trackRevisions>false</trackRevisions>
    </reviewItem>
    <reviewItem>
      <errorID>02ebf0dd-0af9-4e11-8efb-f8566538bd34</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7D0FE244</paraID>
      <start>0</start>
      <end>2</end>
      <status>ignored</status>
      <modifiedWord/>
      <trackRevisions>false</trackRevisions>
    </reviewItem>
    <reviewItem>
      <errorID>2de75981-b389-4bea-a7a7-2d0d5d961bf5</errorID>
      <errorWord>、</errorWord>
      <group>L1_Punc</group>
      <groupName>标点问题</groupName>
      <ability>L2_Punc</ability>
      <abilityName>标点符号检查</abilityName>
      <candidateList>
        <item>.</item>
      </candidateList>
      <explain/>
      <paraID>6DC525B4</paraID>
      <start>1</start>
      <end>2</end>
      <status>ignored</status>
      <modifiedWord/>
      <trackRevisions>false</trackRevisions>
    </reviewItem>
    <reviewItem>
      <errorID>6cc1d87e-45c6-41e6-bbb7-520e2dc43044</errorID>
      <errorWord>&gt;</errorWord>
      <group>L1_Punc</group>
      <groupName>标点问题</groupName>
      <ability>L2_Punc</ability>
      <abilityName>标点符号检查</abilityName>
      <candidateList/>
      <explain/>
      <paraID>437CE3C2</paraID>
      <start>0</start>
      <end>1</end>
      <status>ignored</status>
      <modifiedWord/>
      <trackRevisions>false</trackRevisions>
    </reviewItem>
    <reviewItem>
      <errorID>acba8937-361b-42ff-9203-58d627a742f3</errorID>
      <errorWord>&gt;</errorWord>
      <group>L1_Punc</group>
      <groupName>标点问题</groupName>
      <ability>L2_Punc</ability>
      <abilityName>标点符号检查</abilityName>
      <candidateList/>
      <explain/>
      <paraID>2F9BCEB9</paraID>
      <start>0</start>
      <end>1</end>
      <status>ignored</status>
      <modifiedWord/>
      <trackRevisions>false</trackRevisions>
    </reviewItem>
    <reviewItem>
      <errorID>6ecba044-7d6b-4204-8d95-d7fc02bc9800</errorID>
      <errorWord>&gt;</errorWord>
      <group>L1_Punc</group>
      <groupName>标点问题</groupName>
      <ability>L2_Punc</ability>
      <abilityName>标点符号检查</abilityName>
      <candidateList/>
      <explain/>
      <paraID> 312C26F</paraID>
      <start>0</start>
      <end>1</end>
      <status>ignored</status>
      <modifiedWord/>
      <trackRevisions>false</trackRevisions>
    </reviewItem>
    <reviewItem>
      <errorID>6656760a-f06b-4781-b2d2-71268a3e1c97</errorID>
      <errorWord>&gt;</errorWord>
      <group>L1_Punc</group>
      <groupName>标点问题</groupName>
      <ability>L2_Punc</ability>
      <abilityName>标点符号检查</abilityName>
      <candidateList/>
      <explain/>
      <paraID>1B1B2E68</paraID>
      <start>0</start>
      <end>1</end>
      <status>ignored</status>
      <modifiedWord/>
      <trackRevisions>false</trackRevisions>
    </reviewItem>
    <reviewItem>
      <errorID>b6d32ce5-5720-476f-8e74-2c4d031ff0d2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7874617</paraID>
      <start>0</start>
      <end>2</end>
      <status>ignored</status>
      <modifiedWord/>
      <trackRevisions>false</trackRevisions>
    </reviewItem>
    <reviewItem>
      <errorID>72c35db5-dfd5-4850-bc87-19a0bc0e0f5d</errorID>
      <errorWord>针对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❼〈动〉投合；适合：～劲儿｜～心思｜两个人越说越投缘，越说越～脾气。❽〈动〉把两个东西放在一起互相比较，看是否符合；对证：～质｜校～｜～表｜～笔迹｜～号码。❾〈动〉调整使合于一定标准：～好照相机的焦距｜拿胡琴来～～弦。❿〈形〉相合；正确；正常：你的话很～｜～，就这么办｜数目不～，还差得多｜神气不～。○11动掺和（多指液体）：茶壶里～点儿开水｜朱砂里～上一点儿藤黄。○12平均分成两份：～半儿｜～开纸。○13（～儿）〈名〉对子：喜～｜五言～儿。○14（～儿）〈量〉双：一～鹦鹉｜一～儿椅子｜一～模范夫妻。○15介用法基本上跟“对于”相同：～他表示谢意｜决不～困难屈服｜你的话～我有启发｜大家～他这件事很不满意。注意▲“对”和“对于”的用法差不多，但是“对”所保留的动词性较强，因此有些用“对”的句子不能改用“对于”，如上面头两个例子。○16（Duì）〈名〉姓。</explain>
      <paraID>56A06320</paraID>
      <start>116</start>
      <end>117</end>
      <status>modified</status>
      <modifiedWord>对</modifiedWord>
      <trackRevisions>false</trackRevisions>
    </reviewItem>
    <reviewItem>
      <errorID>7c710c73-a6c9-4803-a055-5a5daa13e447</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727BF9A9</paraID>
      <start>0</start>
      <end>2</end>
      <status>ignored</status>
      <modifiedWord/>
      <trackRevisions>false</trackRevisions>
    </reviewItem>
    <reviewItem>
      <errorID>0f4a2b20-e455-44a8-90e6-f1a22b0fad4a</errorID>
      <errorWord>~</errorWord>
      <group>L1_Format</group>
      <groupName>格式问题</groupName>
      <ability>L2_HalfPunc</ability>
      <abilityName>全半角检查</abilityName>
      <candidateList>
        <item>～</item>
      </candidateList>
      <explain>文本全半角错误。</explain>
      <paraID>7B63F547</paraID>
      <start>3</start>
      <end>4</end>
      <status>ignored</status>
      <modifiedWord/>
      <trackRevisions>false</trackRevisions>
    </reviewItem>
    <reviewItem>
      <errorID>7f76acb3-1413-49bf-84ec-00af88016e69</errorID>
      <errorWord>（/</errorWord>
      <group>L1_Punc</group>
      <groupName>标点问题</groupName>
      <ability>L2_Punc</ability>
      <abilityName>标点符号检查</abilityName>
      <candidateList>
        <item>（</item>
      </candidateList>
      <explain/>
      <paraID>71CF34F6</paraID>
      <start>1</start>
      <end>3</end>
      <status>ignored</status>
      <modifiedWord/>
      <trackRevisions>false</trackRevisions>
    </reviewItem>
    <reviewItem>
      <errorID>c6021098-bc6e-425b-ba9e-c50b05be0362</errorID>
      <errorWord>（/</errorWord>
      <group>L1_Punc</group>
      <groupName>标点问题</groupName>
      <ability>L2_Punc</ability>
      <abilityName>标点符号检查</abilityName>
      <candidateList>
        <item>（</item>
      </candidateList>
      <explain/>
      <paraID>71CF34F6</paraID>
      <start>8</start>
      <end>10</end>
      <status>ignored</status>
      <modifiedWord/>
      <trackRevisions>false</trackRevisions>
    </reviewItem>
    <reviewItem>
      <errorID>87c5a1f3-ec5b-4b46-b290-c70095d5d2fb</errorID>
      <errorWord>：（</errorWord>
      <group>L1_Format</group>
      <groupName>格式问题</groupName>
      <ability>L2_HalfPunc</ability>
      <abilityName>全半角检查</abilityName>
      <candidateList>
        <item>:(</item>
      </candidateList>
      <explain>文本全半角错误。</explain>
      <paraID>24C8BC1B</paraID>
      <start>3</start>
      <end>5</end>
      <status>ignored</status>
      <modifiedWord/>
      <trackRevisions>false</trackRevisions>
    </reviewItem>
    <reviewItem>
      <errorID>41358a9a-b141-4da6-92c4-865d2067de96</errorID>
      <errorWord>：（</errorWord>
      <group>L1_Format</group>
      <groupName>格式问题</groupName>
      <ability>L2_HalfPunc</ability>
      <abilityName>全半角检查</abilityName>
      <candidateList>
        <item>:(</item>
      </candidateList>
      <explain>文本全半角错误。</explain>
      <paraID>713FB588</paraID>
      <start>3</start>
      <end>5</end>
      <status>ignored</status>
      <modifiedWord/>
      <trackRevisions>false</trackRevisions>
    </reviewItem>
    <reviewItem>
      <errorID>b118acce-8a13-43f4-bb43-ad2eba188d82</errorID>
      <errorWord>)</errorWord>
      <group>L1_Format</group>
      <groupName>格式问题</groupName>
      <ability>L2_HalfPunc</ability>
      <abilityName>全半角检查</abilityName>
      <candidateList>
        <item>）</item>
      </candidateList>
      <explain>文本全半角错误。</explain>
      <paraID>713FB588</paraID>
      <start>11</start>
      <end>12</end>
      <status>modified</status>
      <modifiedWord>）</modifiedWord>
      <trackRevisions>false</trackRevisions>
    </reviewItem>
    <reviewItem>
      <errorID>1405867e-c430-4463-9470-0eafda606a4d</errorID>
      <errorWord>：（</errorWord>
      <group>L1_Format</group>
      <groupName>格式问题</groupName>
      <ability>L2_HalfPunc</ability>
      <abilityName>全半角检查</abilityName>
      <candidateList>
        <item>:(</item>
      </candidateList>
      <explain>文本全半角错误。</explain>
      <paraID>6A27A11D</paraID>
      <start>4</start>
      <end>6</end>
      <status>ignored</status>
      <modifiedWord/>
      <trackRevisions>false</trackRevisions>
    </reviewItem>
    <reviewItem>
      <errorID>ff88d76a-36ed-4ae7-a8e6-503cf43777aa</errorID>
      <errorWord>)</errorWord>
      <group>L1_Format</group>
      <groupName>格式问题</groupName>
      <ability>L2_HalfPunc</ability>
      <abilityName>全半角检查</abilityName>
      <candidateList>
        <item>）</item>
      </candidateList>
      <explain>文本全半角错误。</explain>
      <paraID>6A27A11D</paraID>
      <start>12</start>
      <end>13</end>
      <status>modified</status>
      <modifiedWord>）</modifiedWord>
      <trackRevisions>false</trackRevisions>
    </reviewItem>
    <reviewItem>
      <errorID>b49d31c0-81c7-4f37-a389-dc1255679676</errorID>
      <errorWord>（</errorWord>
      <group>L1_Format</group>
      <groupName>格式问题</groupName>
      <ability>L2_HalfPunc</ability>
      <abilityName>全半角检查</abilityName>
      <candidateList>
        <item>(</item>
      </candidateList>
      <explain>文本全半角错误。</explain>
      <paraID>1D8BB53A</paraID>
      <start>0</start>
      <end>1</end>
      <status>ignored</status>
      <modifiedWord/>
      <trackRevisions>false</trackRevisions>
    </reviewItem>
    <reviewItem>
      <errorID>a572c440-d967-41c9-9a93-eed51dbdeb74</errorID>
      <errorWord>）</errorWord>
      <group>L1_Format</group>
      <groupName>格式问题</groupName>
      <ability>L2_HalfPunc</ability>
      <abilityName>全半角检查</abilityName>
      <candidateList>
        <item>)</item>
      </candidateList>
      <explain>文本全半角错误。</explain>
      <paraID>1D8BB53A</paraID>
      <start>4</start>
      <end>5</end>
      <status>ignored</status>
      <modifiedWord/>
      <trackRevisions>false</trackRevisions>
    </reviewItem>
    <reviewItem>
      <errorID>7fd657b7-6c68-4a79-ba11-c6ccc31e322c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5659FC26</paraID>
      <start>0</start>
      <end>2</end>
      <status>ignored</status>
      <modifiedWord/>
      <trackRevisions>false</trackRevisions>
    </reviewItem>
    <reviewItem>
      <errorID>19394daa-d05a-462a-9ebf-8c2704295642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6ACAEBC8</paraID>
      <start>0</start>
      <end>2</end>
      <status>ignored</status>
      <modifiedWord/>
      <trackRevisions>false</trackRevisions>
    </reviewItem>
    <reviewItem>
      <errorID>d8e401a6-1083-42e5-aae4-ade76d7443a7</errorID>
      <errorWord>III</errorWord>
      <group>L1_Knowledge</group>
      <groupName>知识性问题</groupName>
      <ability>L2_Knowledge</ability>
      <abilityName>其他知识</abilityName>
      <candidateList>
        <item>Ⅲ</item>
      </candidateList>
      <explain/>
      <paraID>513221B5</paraID>
      <start>0</start>
      <end>3</end>
      <status>ignored</status>
      <modifiedWord/>
      <trackRevisions>false</trackRevisions>
    </reviewItem>
    <reviewItem>
      <errorID>1525c955-1e67-4aee-a557-81e155fb631e</errorID>
      <errorWord>)</errorWord>
      <group>L1_Format</group>
      <groupName>格式问题</groupName>
      <ability>L2_HalfPunc</ability>
      <abilityName>全半角检查</abilityName>
      <candidateList>
        <item>）</item>
      </candidateList>
      <explain>文本全半角错误。</explain>
      <paraID>2A2782F0</paraID>
      <start>54</start>
      <end>55</end>
      <status>modified</status>
      <modifiedWord>）</modifiedWord>
      <trackRevisions>false</trackRevisions>
    </reviewItem>
    <reviewItem>
      <errorID>9b01d23e-cbe5-43b3-819b-16c8f58175b8</errorID>
      <errorWord>)</errorWord>
      <group>L1_Format</group>
      <groupName>格式问题</groupName>
      <ability>L2_HalfPunc</ability>
      <abilityName>全半角检查</abilityName>
      <candidateList>
        <item>）</item>
      </candidateList>
      <explain>文本全半角错误。</explain>
      <paraID>2A2782F0</paraID>
      <start>77</start>
      <end>78</end>
      <status>modified</status>
      <modifiedWord>）</modifiedWord>
      <trackRevisions>false</trackRevisions>
    </reviewItem>
    <reviewItem>
      <errorID>642f3cb9-f7b7-404b-aa7e-43d6df1875cb</errorID>
      <errorWord>本站区</errorWord>
      <group>L1_Word</group>
      <groupName>字词问题</groupName>
      <ability>L2_Typo</ability>
      <abilityName>字词错误</abilityName>
      <candidateList>
        <item>本站</item>
      </candidateList>
      <explain/>
      <paraID>72ECD82B</paraID>
      <start>51</start>
      <end>54</end>
      <status>ignored</status>
      <modifiedWord/>
      <trackRevisions>false</trackRevisions>
    </reviewItem>
    <reviewItem>
      <errorID>fb80c939-3eb2-47cb-98a8-4f8687668832</errorID>
      <errorWord>污水管线</errorWord>
      <group>L1_Knowledge</group>
      <groupName>知识性问题</groupName>
      <ability>L2_Term</ability>
      <abilityName>专业术语</abilityName>
      <candidateList>
        <item>污水管网</item>
      </candidateList>
      <explain/>
      <paraID>72ECD82B</paraID>
      <start>70</start>
      <end>74</end>
      <status>ignored</status>
      <modifiedWord/>
      <trackRevisions>false</trackRevisions>
    </reviewItem>
    <reviewItem>
      <errorID>2a3a3cb4-82f7-49bb-8463-97919ed116cf</errorID>
      <errorWord>重点保护与</errorWord>
      <group>L1_Word</group>
      <groupName>字词问题</groupName>
      <ability>L2_Typo</ability>
      <abilityName>字词错误</abilityName>
      <candidateList>
        <item>重点保护</item>
      </candidateList>
      <explain/>
      <paraID>461A7581</paraID>
      <start>0</start>
      <end>5</end>
      <status>ignored</status>
      <modifiedWord/>
      <trackRevisions>false</trackRevisions>
    </reviewItem>
    <reviewItem>
      <errorID>4519a34e-f165-440a-9e61-c7d28dd92781</errorID>
      <errorWord>（/</errorWord>
      <group>L1_Punc</group>
      <groupName>标点问题</groupName>
      <ability>L2_Punc</ability>
      <abilityName>标点符号检查</abilityName>
      <candidateList>
        <item>（</item>
      </candidateList>
      <explain/>
      <paraID> C641694</paraID>
      <start>0</start>
      <end>2</end>
      <status>ignored</status>
      <modifiedWord/>
      <trackRevisions>false</trackRevisions>
    </reviewItem>
    <reviewItem>
      <errorID>046323fe-f6b0-4d18-9adc-0b75c2abb230</errorID>
      <errorWord>年</errorWord>
      <group>L1_Word</group>
      <groupName>字词问题</groupName>
      <ability>L2_Typo</ability>
      <abilityName>字词错误</abilityName>
      <candidateList>
        <item>年度</item>
      </candidateList>
      <explain/>
      <paraID>6ECE8629</paraID>
      <start>2</start>
      <end>3</end>
      <status>ignored</status>
      <modifiedWord/>
      <trackRevisions>false</trackRevisions>
    </reviewItem>
    <reviewItem>
      <errorID>8ad8bbf7-f86f-4b25-83c2-99b6f92c6d65</errorID>
      <errorWord>（</errorWord>
      <group>L1_Word</group>
      <groupName>字词问题</groupName>
      <ability>L2_Typo</ability>
      <abilityName>字词错误</abilityName>
      <candidateList>
        <item>（一</item>
      </candidateList>
      <explain/>
      <paraID>6ECE8629</paraID>
      <start>7</start>
      <end>8</end>
      <status>ignored</status>
      <modifiedWord/>
      <trackRevisions>false</trackRevisions>
    </reviewItem>
    <reviewItem>
      <errorID>6a8a3a45-26cc-4a08-9302-dc416faa17b3</errorID>
      <errorWord>（/</errorWord>
      <group>L1_Punc</group>
      <groupName>标点问题</groupName>
      <ability>L2_Punc</ability>
      <abilityName>标点符号检查</abilityName>
      <candidateList>
        <item>（</item>
      </candidateList>
      <explain/>
      <paraID>3D4765C9</paraID>
      <start>0</start>
      <end>2</end>
      <status>ignored</status>
      <modifiedWord/>
      <trackRevisions>false</trackRevisions>
    </reviewItem>
    <reviewItem>
      <errorID>8931c869-7094-4060-a045-d92a59351562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2709C14C</paraID>
      <start>0</start>
      <end>2</end>
      <status>ignored</status>
      <modifiedWord/>
      <trackRevisions>false</trackRevisions>
    </reviewItem>
    <reviewItem>
      <errorID>cd8a037a-fbe8-405c-8cd5-c96e81e42110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4B3980F7</paraID>
      <start>0</start>
      <end>2</end>
      <status>ignored</status>
      <modifiedWord/>
      <trackRevisions>false</trackRevisions>
    </reviewItem>
    <reviewItem>
      <errorID>51daab2b-893c-4b83-ad8d-2495c2497f42</errorID>
      <errorWord>预测点位</errorWord>
      <group>L1_Knowledge</group>
      <groupName>知识性问题</groupName>
      <ability>L2_Term</ability>
      <abilityName>专业术语</abilityName>
      <candidateList>
        <item>监测点位</item>
      </candidateList>
      <explain/>
      <paraID> 223A19E</paraID>
      <start>43</start>
      <end>47</end>
      <status>ignored</status>
      <modifiedWord/>
      <trackRevisions>false</trackRevisions>
    </reviewItem>
    <reviewItem>
      <errorID>eb28ea2a-101b-4e4c-94bd-274f90ebcb6c</errorID>
      <errorWord>（</errorWord>
      <group>L1_Punc</group>
      <groupName>标点问题</groupName>
      <ability>L2_Punc</ability>
      <abilityName>标点符号检查</abilityName>
      <candidateList/>
      <explain>同一形式括号套用。</explain>
      <paraID>65A90092</paraID>
      <start>20</start>
      <end>21</end>
      <status>ignored</status>
      <modifiedWord/>
      <trackRevisions>false</trackRevisions>
    </reviewItem>
    <reviewItem>
      <errorID>1a3ca7d0-daf3-4471-9be7-7fba812a831e</errorID>
      <errorWord>）</errorWord>
      <group>L1_Punc</group>
      <groupName>标点问题</groupName>
      <ability>L2_Punc</ability>
      <abilityName>标点符号检查</abilityName>
      <candidateList/>
      <explain>同一形式括号套用。</explain>
      <paraID>65A90092</paraID>
      <start>22</start>
      <end>23</end>
      <status>ignored</status>
      <modifiedWord/>
      <trackRevisions>false</trackRevisions>
    </reviewItem>
    <reviewItem>
      <errorID>add15448-f158-4944-896b-de68025a4315</errorID>
      <errorWord>减震</errorWord>
      <group>L1_Word</group>
      <groupName>字词问题</groupName>
      <ability>L2_Typo</ability>
      <abilityName>字词错误</abilityName>
      <candidateList>
        <item>减振</item>
      </candidateList>
      <explain/>
      <paraID>7AF915F2</paraID>
      <start>110</start>
      <end>112</end>
      <status>ignored</status>
      <modifiedWord/>
      <trackRevisions>false</trackRevisions>
    </reviewItem>
    <reviewItem>
      <errorID>b953c47c-c2aa-49d5-b09c-acbdcdc8c255</errorID>
      <errorWord>（</errorWord>
      <group>L1_Format</group>
      <groupName>格式问题</groupName>
      <ability>L2_HalfPunc</ability>
      <abilityName>全半角检查</abilityName>
      <candidateList>
        <item>(</item>
      </candidateList>
      <explain>文本全半角错误。</explain>
      <paraID>2F5944BB</paraID>
      <start>8</start>
      <end>9</end>
      <status>ignored</status>
      <modifiedWord/>
      <trackRevisions>false</trackRevisions>
    </reviewItem>
    <reviewItem>
      <errorID>f39c1f8a-b7c5-4ba2-915c-c53d41a5b89e</errorID>
      <errorWord>）</errorWord>
      <group>L1_Format</group>
      <groupName>格式问题</groupName>
      <ability>L2_HalfPunc</ability>
      <abilityName>全半角检查</abilityName>
      <candidateList>
        <item>)</item>
      </candidateList>
      <explain>文本全半角错误。</explain>
      <paraID>2F5944BB</paraID>
      <start>13</start>
      <end>14</end>
      <status>ignored</status>
      <modifiedWord/>
      <trackRevisions>false</trackRevisions>
    </reviewItem>
    <reviewItem>
      <errorID>5d6752e6-092f-4230-8c2a-4a04dc74bfc5</errorID>
      <errorWord>-</errorWord>
      <group>L1_Format</group>
      <groupName>格式问题</groupName>
      <ability>L2_HalfPunc</ability>
      <abilityName>全半角检查</abilityName>
      <candidateList>
        <item>－</item>
      </candidateList>
      <explain>文本全半角错误。</explain>
      <paraID>648A04F7</paraID>
      <start>1</start>
      <end>2</end>
      <status>ignored</status>
      <modifiedWord/>
      <trackRevisions>false</trackRevisions>
    </reviewItem>
    <reviewItem>
      <errorID>f40599ea-99f1-486f-ae17-b3f91fe388d8</errorID>
      <errorWord>-</errorWord>
      <group>L1_Format</group>
      <groupName>格式问题</groupName>
      <ability>L2_HalfPunc</ability>
      <abilityName>全半角检查</abilityName>
      <candidateList>
        <item>－</item>
      </candidateList>
      <explain>文本全半角错误。</explain>
      <paraID>693F887B</paraID>
      <start>0</start>
      <end>1</end>
      <status>ignored</status>
      <modifiedWord/>
      <trackRevisions>false</trackRevisions>
    </reviewItem>
    <reviewItem>
      <errorID>9f3e0736-f4c9-4ea3-a852-03e9c6cb0380</errorID>
      <errorWord>(</errorWord>
      <group>L1_Format</group>
      <groupName>格式问题</groupName>
      <ability>L2_HalfPunc</ability>
      <abilityName>全半角检查</abilityName>
      <candidateList>
        <item>（</item>
      </candidateList>
      <explain>文本全半角错误。</explain>
      <paraID>5BEEAF13</paraID>
      <start>59</start>
      <end>60</end>
      <status>modified</status>
      <modifiedWord>（</modifiedWord>
      <trackRevisions>false</trackRevisions>
    </reviewItem>
    <reviewItem>
      <errorID>de55543f-9ea1-4a9e-a8de-fd781d05cf8a</errorID>
      <errorWord>)</errorWord>
      <group>L1_Format</group>
      <groupName>格式问题</groupName>
      <ability>L2_HalfPunc</ability>
      <abilityName>全半角检查</abilityName>
      <candidateList>
        <item>）</item>
      </candidateList>
      <explain>文本全半角错误。</explain>
      <paraID>5F446058</paraID>
      <start>8</start>
      <end>9</end>
      <status>ignored</status>
      <modifiedWord/>
      <trackRevisions>false</trackRevisions>
    </reviewItem>
    <reviewItem>
      <errorID>21784f9b-cafb-471a-b5b1-d2fcadc485db</errorID>
      <errorWord>)</errorWord>
      <group>L1_Format</group>
      <groupName>格式问题</groupName>
      <ability>L2_HalfPunc</ability>
      <abilityName>全半角检查</abilityName>
      <candidateList>
        <item>）</item>
      </candidateList>
      <explain>文本全半角错误。</explain>
      <paraID>4B2C7B48</paraID>
      <start>9</start>
      <end>10</end>
      <status>ignored</status>
      <modifiedWord/>
      <trackRevisions>false</trackRevisions>
    </reviewItem>
    <reviewItem>
      <errorID>36f93017-d31a-47d0-8ce5-5c86180e4e0d</errorID>
      <errorWord>）</errorWord>
      <group>L1_Format</group>
      <groupName>格式问题</groupName>
      <ability>L2_HalfPunc</ability>
      <abilityName>全半角检查</abilityName>
      <candidateList>
        <item>)</item>
      </candidateList>
      <explain>文本全半角错误。</explain>
      <paraID>36BB6E01</paraID>
      <start>4</start>
      <end>5</end>
      <status>ignored</status>
      <modifiedWord/>
      <trackRevisions>false</trackRevisions>
    </reviewItem>
    <reviewItem>
      <errorID>a9444c81-0ff1-45d4-8d56-2a1cba6b974a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158C8B4B</paraID>
      <start>141</start>
      <end>142</end>
      <status>ignored</status>
      <modifiedWord/>
      <trackRevisions>false</trackRevisions>
    </reviewItem>
    <reviewItem>
      <errorID>fc836b00-3ee1-4cea-af99-70117e08e8d0</errorID>
      <errorWord>地面</errorWord>
      <group>L1_Word</group>
      <groupName>字词问题</groupName>
      <ability>L2_Typo</ability>
      <abilityName>字词错误</abilityName>
      <candidateList>
        <item>底面</item>
      </candidateList>
      <explain/>
      <paraID>5EBEFB55</paraID>
      <start>32</start>
      <end>34</end>
      <status>ignored</status>
      <modifiedWord/>
      <trackRevisions>false</trackRevisions>
    </reviewItem>
    <reviewItem>
      <errorID>6db1c455-0041-4e18-86f1-dad64b9644a7</errorID>
      <errorWord>中华人民共和国固体废弃物污染环境防治法</errorWord>
      <group>L1_Knowledge</group>
      <groupName>知识性问题</groupName>
      <ability>L2_Knowledge</ability>
      <abilityName>其他知识</abilityName>
      <candidateList>
        <item>中华人民共和国固体废物污染环境防治法</item>
      </candidateList>
      <explain>当前法律法规未收录或尚未生效，注意核查是否正确。</explain>
      <paraID>75C719B6</paraID>
      <start>20</start>
      <end>38</end>
      <status>modified</status>
      <modifiedWord>中华人民共和国固体废物污染环境防治法</modifiedWord>
      <trackRevisions>false</trackRevisions>
    </reviewItem>
    <reviewItem>
      <errorID>b62f632d-66b6-48f2-a38e-93af19e52a62</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75C719B6</paraID>
      <start>120</start>
      <end>121</end>
      <status>ignored</status>
      <modifiedWord/>
      <trackRevisions>false</trackRevisions>
    </reviewItem>
    <reviewItem>
      <errorID>71901a35-eb62-48eb-b7c9-048cc5c9f2f5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4B01D024</paraID>
      <start>0</start>
      <end>2</end>
      <status>ignored</status>
      <modifiedWord/>
      <trackRevisions>false</trackRevisions>
    </reviewItem>
    <reviewItem>
      <errorID>03614a14-460e-4d6b-a7f5-009935f447dd</errorID>
      <errorWord>~</errorWord>
      <group>L1_Format</group>
      <groupName>格式问题</groupName>
      <ability>L2_HalfPunc</ability>
      <abilityName>全半角检查</abilityName>
      <candidateList>
        <item>～</item>
      </candidateList>
      <explain>文本全半角错误。</explain>
      <paraID>5E97EE85</paraID>
      <start>24</start>
      <end>25</end>
      <status>ignored</status>
      <modifiedWord/>
      <trackRevisions>false</trackRevisions>
    </reviewItem>
    <reviewItem>
      <errorID>2860c947-544f-4a97-8cbb-13f66039a46b</errorID>
      <errorWord>粉质黏土</errorWord>
      <group>L1_Word</group>
      <groupName>字词问题</groupName>
      <ability>L2_Typo</ability>
      <abilityName>字词错误</abilityName>
      <candidateList>
        <item>粉质粘土</item>
      </candidateList>
      <explain/>
      <paraID>5E97EE85</paraID>
      <start>50</start>
      <end>54</end>
      <status>ignored</status>
      <modifiedWord/>
      <trackRevisions>false</trackRevisions>
    </reviewItem>
    <reviewItem>
      <errorID>8be37668-28aa-4a00-b2c3-9c57b91290d1</errorID>
      <errorWord>~</errorWord>
      <group>L1_Format</group>
      <groupName>格式问题</groupName>
      <ability>L2_HalfPunc</ability>
      <abilityName>全半角检查</abilityName>
      <candidateList>
        <item>～</item>
      </candidateList>
      <explain>文本全半角错误。</explain>
      <paraID>577D63B3</paraID>
      <start>25</start>
      <end>26</end>
      <status>ignored</status>
      <modifiedWord/>
      <trackRevisions>false</trackRevisions>
    </reviewItem>
    <reviewItem>
      <errorID>88f7259a-a69a-4ec7-a106-af842ed900d6</errorID>
      <errorWord>~</errorWord>
      <group>L1_Format</group>
      <groupName>格式问题</groupName>
      <ability>L2_HalfPunc</ability>
      <abilityName>全半角检查</abilityName>
      <candidateList>
        <item>～</item>
      </candidateList>
      <explain>文本全半角错误。</explain>
      <paraID>5381A9D1</paraID>
      <start>16</start>
      <end>17</end>
      <status>ignored</status>
      <modifiedWord/>
      <trackRevisions>false</trackRevisions>
    </reviewItem>
    <reviewItem>
      <errorID>ee179295-6f87-4303-98e7-9db140f9b1a2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619E87E</paraID>
      <start>0</start>
      <end>2</end>
      <status>ignored</status>
      <modifiedWord/>
      <trackRevisions>false</trackRevisions>
    </reviewItem>
    <reviewItem>
      <errorID>c430fa0b-a283-4ec1-a85b-91c8785ad0dd</errorID>
      <errorWord>(</errorWord>
      <group>L1_Format</group>
      <groupName>格式问题</groupName>
      <ability>L2_HalfPunc</ability>
      <abilityName>全半角检查</abilityName>
      <candidateList>
        <item>（</item>
      </candidateList>
      <explain>文本全半角错误。</explain>
      <paraID>734A0360</paraID>
      <start>65</start>
      <end>66</end>
      <status>modified</status>
      <modifiedWord>（</modifiedWord>
      <trackRevisions>false</trackRevisions>
    </reviewItem>
    <reviewItem>
      <errorID>81d3df09-bde7-4a40-bfca-96aeed4a0f55</errorID>
      <errorWord>)</errorWord>
      <group>L1_Format</group>
      <groupName>格式问题</groupName>
      <ability>L2_HalfPunc</ability>
      <abilityName>全半角检查</abilityName>
      <candidateList>
        <item>）</item>
      </candidateList>
      <explain>文本全半角错误。</explain>
      <paraID>734A0360</paraID>
      <start>68</start>
      <end>69</end>
      <status>modified</status>
      <modifiedWord>）</modifiedWord>
      <trackRevisions>false</trackRevisions>
    </reviewItem>
    <reviewItem>
      <errorID>778c866a-3a8d-4ea2-a4c8-4bf48b849999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39AF075A</paraID>
      <start>0</start>
      <end>2</end>
      <status>ignored</status>
      <modifiedWord/>
      <trackRevisions>false</trackRevisions>
    </reviewItem>
    <reviewItem>
      <errorID>0cdaec38-df63-43f7-9a7b-5ce38d77271b</errorID>
      <errorWord>新</errorWord>
      <group>L1_Word</group>
      <groupName>字词问题</groupName>
      <ability>L2_Typo</ability>
      <abilityName>字词错误</abilityName>
      <candidateList>
        <item>新系</item>
      </candidateList>
      <explain/>
      <paraID>7A663475</paraID>
      <start>2</start>
      <end>3</end>
      <status>ignored</status>
      <modifiedWord/>
      <trackRevisions>false</trackRevisions>
    </reviewItem>
    <reviewItem>
      <errorID>ef858c15-7841-4928-8768-a2de26d31d8b</errorID>
      <errorWord>亚黏土</errorWord>
      <group>L1_Word</group>
      <groupName>字词问题</groupName>
      <ability>L2_Typo</ability>
      <abilityName>字词错误</abilityName>
      <candidateList>
        <item>亚粘土</item>
      </candidateList>
      <explain/>
      <paraID>  5BE01A</paraID>
      <start>10</start>
      <end>13</end>
      <status>ignored</status>
      <modifiedWord/>
      <trackRevisions>false</trackRevisions>
    </reviewItem>
    <reviewItem>
      <errorID>406b1e78-ae4a-46de-9008-a1ee8643ed45</errorID>
      <errorWord>新</errorWord>
      <group>L1_Word</group>
      <groupName>字词问题</groupName>
      <ability>L2_Typo</ability>
      <abilityName>字词错误</abilityName>
      <candidateList>
        <item>新系</item>
      </candidateList>
      <explain/>
      <paraID>1A5DFA32</paraID>
      <start>2</start>
      <end>3</end>
      <status>ignored</status>
      <modifiedWord/>
      <trackRevisions>false</trackRevisions>
    </reviewItem>
    <reviewItem>
      <errorID>8d4a925c-c56e-4193-914c-45fd00901951</errorID>
      <errorWord>新统</errorWord>
      <group>L1_Word</group>
      <groupName>字词问题</groupName>
      <ability>L2_Typo</ability>
      <abilityName>字词错误</abilityName>
      <candidateList>
        <item>系统</item>
      </candidateList>
      <explain>存在发音相近字词的误用。</explain>
      <paraID>5CDA7F45</paraID>
      <start>1</start>
      <end>3</end>
      <status>ignored</status>
      <modifiedWord/>
      <trackRevisions>false</trackRevisions>
    </reviewItem>
    <reviewItem>
      <errorID>5f6ce5c5-866f-4cd2-a6e0-e3e372461803</errorID>
      <errorWord>&gt;</errorWord>
      <group>L1_Punc</group>
      <groupName>标点问题</groupName>
      <ability>L2_Punc</ability>
      <abilityName>标点符号检查</abilityName>
      <candidateList/>
      <explain/>
      <paraID>36324520</paraID>
      <start>0</start>
      <end>1</end>
      <status>ignored</status>
      <modifiedWord/>
      <trackRevisions>false</trackRevisions>
    </reviewItem>
    <reviewItem>
      <errorID>108d079c-1d67-45b3-a5c1-31893d04b19a</errorID>
      <errorWord>&gt;</errorWord>
      <group>L1_Punc</group>
      <groupName>标点问题</groupName>
      <ability>L2_Punc</ability>
      <abilityName>标点符号检查</abilityName>
      <candidateList/>
      <explain/>
      <paraID>73CA2ADB</paraID>
      <start>0</start>
      <end>1</end>
      <status>ignored</status>
      <modifiedWord/>
      <trackRevisions>false</trackRevisions>
    </reviewItem>
    <reviewItem>
      <errorID>65293cf5-5e27-41ab-8cbb-03d426cc9a3e</errorID>
      <errorWord>&gt;</errorWord>
      <group>L1_Punc</group>
      <groupName>标点问题</groupName>
      <ability>L2_Punc</ability>
      <abilityName>标点符号检查</abilityName>
      <candidateList/>
      <explain/>
      <paraID>40BCB422</paraID>
      <start>0</start>
      <end>1</end>
      <status>ignored</status>
      <modifiedWord/>
      <trackRevisions>false</trackRevisions>
    </reviewItem>
    <reviewItem>
      <errorID>3c7a1eb4-0dd3-4f7b-b1b2-8d58ab248df9</errorID>
      <errorWord>&gt;</errorWord>
      <group>L1_Punc</group>
      <groupName>标点问题</groupName>
      <ability>L2_Punc</ability>
      <abilityName>标点符号检查</abilityName>
      <candidateList/>
      <explain/>
      <paraID>74C089C3</paraID>
      <start>0</start>
      <end>1</end>
      <status>ignored</status>
      <modifiedWord/>
      <trackRevisions>false</trackRevisions>
    </reviewItem>
    <reviewItem>
      <errorID>5338faa4-98f6-4551-9848-910b4821b79d</errorID>
      <errorWord>&gt;</errorWord>
      <group>L1_Punc</group>
      <groupName>标点问题</groupName>
      <ability>L2_Punc</ability>
      <abilityName>标点符号检查</abilityName>
      <candidateList/>
      <explain/>
      <paraID> EB822AF</paraID>
      <start>0</start>
      <end>1</end>
      <status>ignored</status>
      <modifiedWord/>
      <trackRevisions>false</trackRevisions>
    </reviewItem>
    <reviewItem>
      <errorID>c5b074f2-94af-43a9-85f1-5a0d6e20167c</errorID>
      <errorWord>&gt;</errorWord>
      <group>L1_Punc</group>
      <groupName>标点问题</groupName>
      <ability>L2_Punc</ability>
      <abilityName>标点符号检查</abilityName>
      <candidateList/>
      <explain/>
      <paraID>47F263A3</paraID>
      <start>0</start>
      <end>1</end>
      <status>ignored</status>
      <modifiedWord/>
      <trackRevisions>false</trackRevisions>
    </reviewItem>
    <reviewItem>
      <errorID>f13b9c5a-f75b-43e6-a177-06ee449679bc</errorID>
      <errorWord>~</errorWord>
      <group>L1_Format</group>
      <groupName>格式问题</groupName>
      <ability>L2_HalfPunc</ability>
      <abilityName>全半角检查</abilityName>
      <candidateList>
        <item>～</item>
      </candidateList>
      <explain>文本全半角错误。</explain>
      <paraID>61C8B7B6</paraID>
      <start>99</start>
      <end>100</end>
      <status>ignored</status>
      <modifiedWord/>
      <trackRevisions>false</trackRevisions>
    </reviewItem>
    <reviewItem>
      <errorID>33031d09-e73d-4afa-8927-8346fc60cb69</errorID>
      <errorWord>~</errorWord>
      <group>L1_Format</group>
      <groupName>格式问题</groupName>
      <ability>L2_HalfPunc</ability>
      <abilityName>全半角检查</abilityName>
      <candidateList>
        <item>～</item>
      </candidateList>
      <explain>文本全半角错误。</explain>
      <paraID>7469A37E</paraID>
      <start>34</start>
      <end>35</end>
      <status>ignored</status>
      <modifiedWord/>
      <trackRevisions>false</trackRevisions>
    </reviewItem>
    <reviewItem>
      <errorID>42b0c106-0aff-4237-afc5-e31dea454383</errorID>
      <errorWord>二迭系</errorWord>
      <group>L1_Word</group>
      <groupName>字词问题</groupName>
      <ability>L2_Typo</ability>
      <abilityName>字词错误</abilityName>
      <candidateList>
        <item>二叠系</item>
      </candidateList>
      <explain>存在发音相同字词的误用。</explain>
      <paraID>18942A25</paraID>
      <start>61</start>
      <end>64</end>
      <status>ignored</status>
      <modifiedWord/>
      <trackRevisions>false</trackRevisions>
    </reviewItem>
    <reviewItem>
      <errorID>fff5d38c-cd64-48d2-90a0-1bfd01ecb10c</errorID>
      <errorWord>粉质黏土</errorWord>
      <group>L1_Word</group>
      <groupName>字词问题</groupName>
      <ability>L2_Typo</ability>
      <abilityName>字词错误</abilityName>
      <candidateList>
        <item>粉质粘土</item>
      </candidateList>
      <explain/>
      <paraID>30CF37D0</paraID>
      <start>69</start>
      <end>73</end>
      <status>ignored</status>
      <modifiedWord/>
      <trackRevisions>false</trackRevisions>
    </reviewItem>
    <reviewItem>
      <errorID>0d322a99-dc95-4dcc-a01b-b756b823dd12</errorID>
      <errorWord>~</errorWord>
      <group>L1_Format</group>
      <groupName>格式问题</groupName>
      <ability>L2_HalfPunc</ability>
      <abilityName>全半角检查</abilityName>
      <candidateList>
        <item>～</item>
      </candidateList>
      <explain>文本全半角错误。</explain>
      <paraID>56BC6125</paraID>
      <start>22</start>
      <end>23</end>
      <status>ignored</status>
      <modifiedWord/>
      <trackRevisions>false</trackRevisions>
    </reviewItem>
    <reviewItem>
      <errorID>93c14d03-41c9-4ee4-bd8a-c083aa443c90</errorID>
      <errorWord>-</errorWord>
      <group>L1_Format</group>
      <groupName>格式问题</groupName>
      <ability>L2_HalfPunc</ability>
      <abilityName>全半角检查</abilityName>
      <candidateList>
        <item>－</item>
      </candidateList>
      <explain>文本全半角错误。</explain>
      <paraID>56BC6125</paraID>
      <start>93</start>
      <end>94</end>
      <status>ignored</status>
      <modifiedWord/>
      <trackRevisions>false</trackRevisions>
    </reviewItem>
    <reviewItem>
      <errorID>3cfc8233-e095-4592-aee6-74fe309ec65d</errorID>
      <errorWord>~</errorWord>
      <group>L1_Format</group>
      <groupName>格式问题</groupName>
      <ability>L2_HalfPunc</ability>
      <abilityName>全半角检查</abilityName>
      <candidateList>
        <item>～</item>
      </candidateList>
      <explain>文本全半角错误。</explain>
      <paraID>56BC6125</paraID>
      <start>105</start>
      <end>106</end>
      <status>ignored</status>
      <modifiedWord/>
      <trackRevisions>false</trackRevisions>
    </reviewItem>
    <reviewItem>
      <errorID>8800f694-20e9-4924-89c9-eefef71b3e38</errorID>
      <errorWord>粉质黏土</errorWord>
      <group>L1_Word</group>
      <groupName>字词问题</groupName>
      <ability>L2_Typo</ability>
      <abilityName>字词错误</abilityName>
      <candidateList>
        <item>粉质粘土</item>
      </candidateList>
      <explain/>
      <paraID>4E913E13</paraID>
      <start>34</start>
      <end>38</end>
      <status>ignored</status>
      <modifiedWord/>
      <trackRevisions>false</trackRevisions>
    </reviewItem>
    <reviewItem>
      <errorID>adc84910-942c-4fa9-8b43-52dfe2eb2e54</errorID>
      <errorWord>~</errorWord>
      <group>L1_Format</group>
      <groupName>格式问题</groupName>
      <ability>L2_HalfPunc</ability>
      <abilityName>全半角检查</abilityName>
      <candidateList>
        <item>～</item>
      </candidateList>
      <explain>文本全半角错误。</explain>
      <paraID>4E913E13</paraID>
      <start>92</start>
      <end>93</end>
      <status>ignored</status>
      <modifiedWord/>
      <trackRevisions>false</trackRevisions>
    </reviewItem>
    <reviewItem>
      <errorID>d920c204-66c8-471f-933e-e18593b2b754</errorID>
      <errorWord>~</errorWord>
      <group>L1_Format</group>
      <groupName>格式问题</groupName>
      <ability>L2_HalfPunc</ability>
      <abilityName>全半角检查</abilityName>
      <candidateList>
        <item>～</item>
      </candidateList>
      <explain>文本全半角错误。</explain>
      <paraID>439BFBE9</paraID>
      <start>79</start>
      <end>80</end>
      <status>ignored</status>
      <modifiedWord/>
      <trackRevisions>false</trackRevisions>
    </reviewItem>
    <reviewItem>
      <errorID>448a821d-0d2a-4960-af79-1988d3e14517</errorID>
      <errorWord>~</errorWord>
      <group>L1_Format</group>
      <groupName>格式问题</groupName>
      <ability>L2_HalfPunc</ability>
      <abilityName>全半角检查</abilityName>
      <candidateList>
        <item>～</item>
      </candidateList>
      <explain>文本全半角错误。</explain>
      <paraID>672DC4DF</paraID>
      <start>61</start>
      <end>62</end>
      <status>ignored</status>
      <modifiedWord/>
      <trackRevisions>false</trackRevisions>
    </reviewItem>
    <reviewItem>
      <errorID>50248c0b-2c41-47db-be7e-94c19540f0c8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196947A0</paraID>
      <start>0</start>
      <end>2</end>
      <status>ignored</status>
      <modifiedWord/>
      <trackRevisions>false</trackRevisions>
    </reviewItem>
    <reviewItem>
      <errorID>29aa76ca-78aa-4856-a9d8-d58939620d69</errorID>
      <errorWord>、</errorWord>
      <group>L1_Punc</group>
      <groupName>标点问题</groupName>
      <ability>L2_Punc</ability>
      <abilityName>标点符号检查</abilityName>
      <candidateList>
        <item>.</item>
      </candidateList>
      <explain/>
      <paraID>7D660237</paraID>
      <start>1</start>
      <end>2</end>
      <status>ignored</status>
      <modifiedWord/>
      <trackRevisions>false</trackRevisions>
    </reviewItem>
    <reviewItem>
      <errorID>98bb74ca-5701-4213-bd6c-2cbcedb77e78</errorID>
      <errorWord>、</errorWord>
      <group>L1_Punc</group>
      <groupName>标点问题</groupName>
      <ability>L2_Punc</ability>
      <abilityName>标点符号检查</abilityName>
      <candidateList>
        <item>.</item>
      </candidateList>
      <explain/>
      <paraID>5508260B</paraID>
      <start>1</start>
      <end>2</end>
      <status>ignored</status>
      <modifiedWord/>
      <trackRevisions>false</trackRevisions>
    </reviewItem>
    <reviewItem>
      <errorID>793ec317-6193-411d-bc88-14bc5915c7eb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607AD350</paraID>
      <start>0</start>
      <end>2</end>
      <status>ignored</status>
      <modifiedWord/>
      <trackRevisions>false</trackRevisions>
    </reviewItem>
    <reviewItem>
      <errorID>e1a5550d-54e0-4ebf-84f6-7ad3ebefce22</errorID>
      <errorWord>含水层组</errorWord>
      <group>L1_Knowledge</group>
      <groupName>知识性问题</groupName>
      <ability>L2_Term</ability>
      <abilityName>专业术语</abilityName>
      <candidateList>
        <item>含水层系</item>
      </candidateList>
      <explain/>
      <paraID>2A4CBAF6</paraID>
      <start>97</start>
      <end>101</end>
      <status>ignored</status>
      <modifiedWord/>
      <trackRevisions>false</trackRevisions>
    </reviewItem>
    <reviewItem>
      <errorID>d9194b2d-3ed2-4f89-b19b-bc695bb81107</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5A542B67</paraID>
      <start>0</start>
      <end>2</end>
      <status>ignored</status>
      <modifiedWord/>
      <trackRevisions>false</trackRevisions>
    </reviewItem>
    <reviewItem>
      <errorID>b6d5fc8e-a75a-4207-9f71-98919a1628dc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1AF4DD83</paraID>
      <start>52</start>
      <end>53</end>
      <status>ignored</status>
      <modifiedWord/>
      <trackRevisions>false</trackRevisions>
    </reviewItem>
    <reviewItem>
      <errorID>0ae3bd4d-4d36-4e26-9814-3e4682879b20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1AF4DD83</paraID>
      <start>64</start>
      <end>65</end>
      <status>ignored</status>
      <modifiedWord/>
      <trackRevisions>false</trackRevisions>
    </reviewItem>
    <reviewItem>
      <errorID>b3d69858-dcfc-4e3c-9e46-edce2fb8fc0f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1AF4DD83</paraID>
      <start>79</start>
      <end>80</end>
      <status>ignored</status>
      <modifiedWord/>
      <trackRevisions>false</trackRevisions>
    </reviewItem>
    <reviewItem>
      <errorID>70c97f7f-31ff-446f-a569-58d93fdb6157</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77396E44</paraID>
      <start>0</start>
      <end>2</end>
      <status>ignored</status>
      <modifiedWord/>
      <trackRevisions>false</trackRevisions>
    </reviewItem>
    <reviewItem>
      <errorID>1f912b48-1116-4164-92e5-73656092ed35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7655E68B</paraID>
      <start>88</start>
      <end>89</end>
      <status>ignored</status>
      <modifiedWord/>
      <trackRevisions>false</trackRevisions>
    </reviewItem>
    <reviewItem>
      <errorID>7baf28e8-c104-4aaf-9e58-ebff8e393433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7655E68B</paraID>
      <start>115</start>
      <end>116</end>
      <status>ignored</status>
      <modifiedWord/>
      <trackRevisions>false</trackRevisions>
    </reviewItem>
    <reviewItem>
      <errorID>ebeef3cd-7394-4e12-bd6d-638247892087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39289F5D</paraID>
      <start>84</start>
      <end>85</end>
      <status>ignored</status>
      <modifiedWord/>
      <trackRevisions>false</trackRevisions>
    </reviewItem>
    <reviewItem>
      <errorID>3ee982ca-a3a5-435e-acee-eb054528fb6e</errorID>
      <errorWord>空袭</errorWord>
      <group>L1_Word</group>
      <groupName>字词问题</groupName>
      <ability>L2_Typo</ability>
      <abilityName>字词错误</abilityName>
      <candidateList>
        <item>空隙</item>
      </candidateList>
      <explain/>
      <paraID>4CF11076</paraID>
      <start>69</start>
      <end>71</end>
      <status>modified</status>
      <modifiedWord>空隙</modifiedWord>
      <trackRevisions>false</trackRevisions>
    </reviewItem>
    <reviewItem>
      <errorID>b2dc5fdf-9ca3-4293-a78d-152b756f440e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1628BFCC</paraID>
      <start>19</start>
      <end>20</end>
      <status>ignored</status>
      <modifiedWord/>
      <trackRevisions>false</trackRevisions>
    </reviewItem>
    <reviewItem>
      <errorID>4cf5609d-8b0b-4033-bc7f-da6bd1e5a258</errorID>
      <errorWord>涉及到</errorWord>
      <group>L1_Word</group>
      <groupName>字词问题</groupName>
      <ability>L2_Typo</ability>
      <abilityName>字词错误</abilityName>
      <candidateList>
        <item>涉及</item>
      </candidateList>
      <explain>〈动〉牵涉到；关联到：案子～好几个人｜这个问题～面很广。</explain>
      <paraID>5C5E121F</paraID>
      <start>71</start>
      <end>73</end>
      <status>modified</status>
      <modifiedWord>涉及</modifiedWord>
      <trackRevisions>false</trackRevisions>
    </reviewItem>
    <reviewItem>
      <errorID>a5c25a88-9d96-43f3-a333-46d4d563b151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362ABA3D</paraID>
      <start>0</start>
      <end>3</end>
      <status>ignored</status>
      <modifiedWord/>
      <trackRevisions>false</trackRevisions>
    </reviewItem>
    <reviewItem>
      <errorID>e0c454ca-0af6-4281-a1a9-bc55e2623c1a</errorID>
      <errorWord>~</errorWord>
      <group>L1_Format</group>
      <groupName>格式问题</groupName>
      <ability>L2_HalfPunc</ability>
      <abilityName>全半角检查</abilityName>
      <candidateList>
        <item>～</item>
      </candidateList>
      <explain>文本全半角错误。</explain>
      <paraID>23A8E152</paraID>
      <start>127</start>
      <end>128</end>
      <status>ignored</status>
      <modifiedWord/>
      <trackRevisions>false</trackRevisions>
    </reviewItem>
    <reviewItem>
      <errorID>8f62df3a-769c-403d-9609-0e04a0ace8f8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74A14787</paraID>
      <start>0</start>
      <end>2</end>
      <status>modified</status>
      <modifiedWord>2）</modifiedWord>
      <trackRevisions>false</trackRevisions>
    </reviewItem>
    <reviewItem>
      <errorID>c9d29152-2844-4288-a1e1-54d8144e806c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59CA50A4</paraID>
      <start>0</start>
      <end>3</end>
      <status>ignored</status>
      <modifiedWord/>
      <trackRevisions>false</trackRevisions>
    </reviewItem>
    <reviewItem>
      <errorID>583c91a1-a6ca-4d9d-b62c-23361b28a131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4054BCA6</paraID>
      <start>101</start>
      <end>102</end>
      <status>ignored</status>
      <modifiedWord/>
      <trackRevisions>false</trackRevisions>
    </reviewItem>
    <reviewItem>
      <errorID>b2416ecf-4823-4dd3-b23e-e1df931a8e9e</errorID>
      <errorWord>泄露</errorWord>
      <group>L1_Word</group>
      <groupName>字词问题</groupName>
      <ability>L2_Typo</ability>
      <abilityName>字词错误</abilityName>
      <candidateList>
        <item>泄漏</item>
      </candidateList>
      <explain/>
      <paraID>44F8F099</paraID>
      <start>151</start>
      <end>153</end>
      <status>modified</status>
      <modifiedWord>泄漏</modifiedWord>
      <trackRevisions>false</trackRevisions>
    </reviewItem>
    <reviewItem>
      <errorID>31288521-f650-4b88-8d0b-46e69e098215</errorID>
      <errorWord>作好</errorWord>
      <group>L1_Word</group>
      <groupName>字词问题</groupName>
      <ability>L2_Typo</ability>
      <abilityName>字词错误</abilityName>
      <candidateList>
        <item>做好</item>
      </candidateList>
      <explain>“作好～措施”搭配不当，建议修改为“做好～措施”。</explain>
      <paraID>5E77E11B</paraID>
      <start>30</start>
      <end>32</end>
      <status>ignored</status>
      <modifiedWord/>
      <trackRevisions>false</trackRevisions>
    </reviewItem>
    <reviewItem>
      <errorID>caea0e75-0e61-43c9-9b07-190d76586072</errorID>
      <errorWord>(</errorWord>
      <group>L1_Format</group>
      <groupName>格式问题</groupName>
      <ability>L2_HalfPunc</ability>
      <abilityName>全半角检查</abilityName>
      <candidateList>
        <item>（</item>
      </candidateList>
      <explain>文本全半角错误。</explain>
      <paraID>5C56A9B2</paraID>
      <start>21</start>
      <end>22</end>
      <status>modified</status>
      <modifiedWord>（</modifiedWord>
      <trackRevisions>false</trackRevisions>
    </reviewItem>
    <reviewItem>
      <errorID>93a22310-7bb7-48a5-9142-85b1dfd9c3f1</errorID>
      <errorWord>)</errorWord>
      <group>L1_Format</group>
      <groupName>格式问题</groupName>
      <ability>L2_HalfPunc</ability>
      <abilityName>全半角检查</abilityName>
      <candidateList>
        <item>）</item>
      </candidateList>
      <explain>文本全半角错误。</explain>
      <paraID>5C56A9B2</paraID>
      <start>32</start>
      <end>33</end>
      <status>modified</status>
      <modifiedWord>）</modifiedWord>
      <trackRevisions>false</trackRevisions>
    </reviewItem>
    <reviewItem>
      <errorID>fd4da852-31cc-4351-9768-a65af54b2076</errorID>
      <errorWord>:</errorWord>
      <group>L1_Format</group>
      <groupName>格式问题</groupName>
      <ability>L2_HalfPunc</ability>
      <abilityName>全半角检查</abilityName>
      <candidateList>
        <item>：</item>
      </candidateList>
      <explain>文本全半角错误。</explain>
      <paraID>5A683B37</paraID>
      <start>2</start>
      <end>3</end>
      <status>modified</status>
      <modifiedWord>：</modifiedWord>
      <trackRevisions>false</trackRevisions>
    </reviewItem>
    <reviewItem>
      <errorID>96d01897-b11a-453f-918a-19fded02bc39</errorID>
      <errorWord>-</errorWord>
      <group>L1_Format</group>
      <groupName>格式问题</groupName>
      <ability>L2_HalfPunc</ability>
      <abilityName>全半角检查</abilityName>
      <candidateList>
        <item>－</item>
      </candidateList>
      <explain>文本全半角错误。</explain>
      <paraID>5A683B37</paraID>
      <start>4</start>
      <end>5</end>
      <status>ignored</status>
      <modifiedWord/>
      <trackRevisions>false</trackRevisions>
    </reviewItem>
    <reviewItem>
      <errorID>865ae89f-b6cd-4319-a0fe-6fcbc69c2b3b</errorID>
      <errorWord>-</errorWord>
      <group>L1_Format</group>
      <groupName>格式问题</groupName>
      <ability>L2_HalfPunc</ability>
      <abilityName>全半角检查</abilityName>
      <candidateList>
        <item>－</item>
      </candidateList>
      <explain>文本全半角错误。</explain>
      <paraID>31197739</paraID>
      <start>1</start>
      <end>2</end>
      <status>ignored</status>
      <modifiedWord/>
      <trackRevisions>false</trackRevisions>
    </reviewItem>
    <reviewItem>
      <errorID>c64cb4e6-58dd-4405-b3d7-57536cd39133</errorID>
      <errorWord>-</errorWord>
      <group>L1_Format</group>
      <groupName>格式问题</groupName>
      <ability>L2_HalfPunc</ability>
      <abilityName>全半角检查</abilityName>
      <candidateList>
        <item>－</item>
      </candidateList>
      <explain>文本全半角错误。</explain>
      <paraID>61162B55</paraID>
      <start>1</start>
      <end>2</end>
      <status>ignored</status>
      <modifiedWord/>
      <trackRevisions>false</trackRevisions>
    </reviewItem>
    <reviewItem>
      <errorID>dd43d6f0-58e0-415a-9b36-db7441593810</errorID>
      <errorWord>-</errorWord>
      <group>L1_Format</group>
      <groupName>格式问题</groupName>
      <ability>L2_HalfPunc</ability>
      <abilityName>全半角检查</abilityName>
      <candidateList>
        <item>－</item>
      </candidateList>
      <explain>文本全半角错误。</explain>
      <paraID>3B84F359</paraID>
      <start>2</start>
      <end>3</end>
      <status>ignored</status>
      <modifiedWord/>
      <trackRevisions>false</trackRevisions>
    </reviewItem>
    <reviewItem>
      <errorID>660dbedd-3cf8-4963-98cc-83388455f635</errorID>
      <errorWord>-</errorWord>
      <group>L1_Format</group>
      <groupName>格式问题</groupName>
      <ability>L2_HalfPunc</ability>
      <abilityName>全半角检查</abilityName>
      <candidateList>
        <item>－</item>
      </candidateList>
      <explain>文本全半角错误。</explain>
      <paraID>72E388BB</paraID>
      <start>1</start>
      <end>2</end>
      <status>ignored</status>
      <modifiedWord/>
      <trackRevisions>false</trackRevisions>
    </reviewItem>
    <reviewItem>
      <errorID>0ae2ee55-8e5b-4dac-8b5d-3d995a3c39dc</errorID>
      <errorWord>(</errorWord>
      <group>L1_Format</group>
      <groupName>格式问题</groupName>
      <ability>L2_HalfPunc</ability>
      <abilityName>全半角检查</abilityName>
      <candidateList>
        <item>（</item>
      </candidateList>
      <explain>文本全半角错误。</explain>
      <paraID>516085AF</paraID>
      <start>6</start>
      <end>7</end>
      <status>ignored</status>
      <modifiedWord/>
      <trackRevisions>false</trackRevisions>
    </reviewItem>
    <reviewItem>
      <errorID>9c2b13ff-0b53-40ad-acc2-22fce3cf9bcf</errorID>
      <errorWord>)</errorWord>
      <group>L1_Format</group>
      <groupName>格式问题</groupName>
      <ability>L2_HalfPunc</ability>
      <abilityName>全半角检查</abilityName>
      <candidateList>
        <item>）</item>
      </candidateList>
      <explain>文本全半角错误。</explain>
      <paraID>516085AF</paraID>
      <start>9</start>
      <end>10</end>
      <status>ignored</status>
      <modifiedWord/>
      <trackRevisions>false</trackRevisions>
    </reviewItem>
    <reviewItem>
      <errorID>a738d13d-17c2-488c-8e5a-32e9f1aa4681</errorID>
      <errorWord>（</errorWord>
      <group>L1_Format</group>
      <groupName>格式问题</groupName>
      <ability>L2_HalfPunc</ability>
      <abilityName>全半角检查</abilityName>
      <candidateList>
        <item>(</item>
      </candidateList>
      <explain>文本全半角错误。</explain>
      <paraID>5D194189</paraID>
      <start>2</start>
      <end>3</end>
      <status>ignored</status>
      <modifiedWord/>
      <trackRevisions>false</trackRevisions>
    </reviewItem>
    <reviewItem>
      <errorID>24b19e4c-0d96-40c2-a41d-7d7a1d804e38</errorID>
      <errorWord>）</errorWord>
      <group>L1_Format</group>
      <groupName>格式问题</groupName>
      <ability>L2_HalfPunc</ability>
      <abilityName>全半角检查</abilityName>
      <candidateList>
        <item>)</item>
      </candidateList>
      <explain>文本全半角错误。</explain>
      <paraID>5D194189</paraID>
      <start>7</start>
      <end>8</end>
      <status>ignored</status>
      <modifiedWord/>
      <trackRevisions>false</trackRevisions>
    </reviewItem>
    <reviewItem>
      <errorID>4be9cb9d-0dd6-4fd1-8950-01211c9a16f8</errorID>
      <errorWord>,</errorWord>
      <group>L1_Format</group>
      <groupName>格式问题</groupName>
      <ability>L2_HalfPunc</ability>
      <abilityName>全半角检查</abilityName>
      <candidateList>
        <item>，</item>
      </candidateList>
      <explain>文本全半角错误。</explain>
      <paraID>4A33FE7C</paraID>
      <start>17</start>
      <end>18</end>
      <status>modified</status>
      <modifiedWord>，</modifiedWord>
      <trackRevisions>false</trackRevisions>
    </reviewItem>
    <reviewItem>
      <errorID>bcfb7f20-fd90-4b61-b3b7-47dffb8ad3f0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392B2C5F</paraID>
      <start>7</start>
      <end>8</end>
      <status>ignored</status>
      <modifiedWord/>
      <trackRevisions>false</trackRevisions>
    </reviewItem>
    <reviewItem>
      <errorID>407875db-7991-43ab-be64-0a653615190a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6DD74A9B</paraID>
      <start>0</start>
      <end>2</end>
      <status>ignored</status>
      <modifiedWord/>
      <trackRevisions>false</trackRevisions>
    </reviewItem>
    <reviewItem>
      <errorID>60ee3d5d-6078-4828-b0fb-68d323f5756b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1E13A8FD</paraID>
      <start>0</start>
      <end>2</end>
      <status>ignored</status>
      <modifiedWord/>
      <trackRevisions>false</trackRevisions>
    </reviewItem>
    <reviewItem>
      <errorID>274e3834-41b9-4ba0-8f56-c37d596b53c8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AF66391</paraID>
      <start>0</start>
      <end>2</end>
      <status>ignored</status>
      <modifiedWord/>
      <trackRevisions>false</trackRevisions>
    </reviewItem>
    <reviewItem>
      <errorID>ef1acd57-8057-4cf5-bc72-b4793077dad9</errorID>
      <errorWord>聚脲</errorWord>
      <group>L1_Word</group>
      <groupName>字词问题</groupName>
      <ability>L2_Typo</ability>
      <abilityName>字词错误</abilityName>
      <candidateList>
        <item>聚酯</item>
      </candidateList>
      <explain/>
      <paraID> AF66391</paraID>
      <start>28</start>
      <end>30</end>
      <status>ignored</status>
      <modifiedWord/>
      <trackRevisions>false</trackRevisions>
    </reviewItem>
    <reviewItem>
      <errorID>2378da83-d227-4a1b-8496-2fddebbd4901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26CB9A39</paraID>
      <start>0</start>
      <end>2</end>
      <status>ignored</status>
      <modifiedWord/>
      <trackRevisions>false</trackRevisions>
    </reviewItem>
    <reviewItem>
      <errorID>370d5bea-2549-4c6e-8927-07170b390a99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75F1CABD</paraID>
      <start>7</start>
      <end>8</end>
      <status>ignored</status>
      <modifiedWord/>
      <trackRevisions>false</trackRevisions>
    </reviewItem>
    <reviewItem>
      <errorID>062cc765-97b1-463f-be54-674b0ea9a684</errorID>
      <errorWord>期</errorWord>
      <group>L1_Word</group>
      <groupName>字词问题</groupName>
      <ability>L2_Typo</ability>
      <abilityName>字词错误</abilityName>
      <candidateList>
        <item>期间</item>
      </candidateList>
      <explain>〈名〉某个时期里面：农忙～｜春节～｜抗战～。</explain>
      <paraID>5C0598C8</paraID>
      <start>2</start>
      <end>3</end>
      <status>ignored</status>
      <modifiedWord/>
      <trackRevisions>false</trackRevisions>
    </reviewItem>
    <reviewItem>
      <errorID>66da6a99-4c3c-4356-bb10-a3ef60019c39</errorID>
      <errorWord>《环境影响评价技术导则土壤环境环境》（试行）</errorWord>
      <group>L1_Knowledge</group>
      <groupName>知识性问题</groupName>
      <ability>L2_Knowledge</ability>
      <abilityName>其他知识</abilityName>
      <candidateList>
        <item>《环境影响评价技术导则土壤环境环境（试行）》</item>
      </candidateList>
      <explain>疑似政策文件、法律法规名称等书写不规范，请注意检查。</explain>
      <paraID>74C8E9DC</paraID>
      <start>2</start>
      <end>24</end>
      <status>modified</status>
      <modifiedWord>《环境影响评价技术导则土壤环境环境（试行）》</modifiedWord>
      <trackRevisions>false</trackRevisions>
    </reviewItem>
    <reviewItem>
      <errorID>9f098d72-b059-4cee-bfda-560d262fd82e</errorID>
      <errorWord>(</errorWord>
      <group>L1_Format</group>
      <groupName>格式问题</groupName>
      <ability>L2_HalfPunc</ability>
      <abilityName>全半角检查</abilityName>
      <candidateList>
        <item>（</item>
      </candidateList>
      <explain>文本全半角错误。</explain>
      <paraID>57C6F7BB</paraID>
      <start>22</start>
      <end>23</end>
      <status>modified</status>
      <modifiedWord>（</modifiedWord>
      <trackRevisions>false</trackRevisions>
    </reviewItem>
    <reviewItem>
      <errorID>5969608c-d3bb-450b-81b9-37c5fda21070</errorID>
      <errorWord>)</errorWord>
      <group>L1_Format</group>
      <groupName>格式问题</groupName>
      <ability>L2_HalfPunc</ability>
      <abilityName>全半角检查</abilityName>
      <candidateList>
        <item>）</item>
      </candidateList>
      <explain>文本全半角错误。</explain>
      <paraID>57C6F7BB</paraID>
      <start>33</start>
      <end>34</end>
      <status>modified</status>
      <modifiedWord>）</modifiedWord>
      <trackRevisions>false</trackRevisions>
    </reviewItem>
    <reviewItem>
      <errorID>678517bf-36a6-4f4a-9984-6520563702e2</errorID>
      <errorWord>程</errorWord>
      <group>L1_Word</group>
      <groupName>字词问题</groupName>
      <ability>L2_Typo</ability>
      <abilityName>字词错误</abilityName>
      <candidateList>
        <item>程中</item>
      </candidateList>
      <explain/>
      <paraID>387F56BB</paraID>
      <start>18</start>
      <end>19</end>
      <status>ignored</status>
      <modifiedWord/>
      <trackRevisions>false</trackRevisions>
    </reviewItem>
    <reviewItem>
      <errorID>87e960ec-d4fc-462a-8926-e135741c076d</errorID>
      <errorWord>进行了</errorWord>
      <group>L1_Word</group>
      <groupName>字词问题</groupName>
      <ability>L2_Typo</ability>
      <abilityName>字词错误</abilityName>
      <candidateList>
        <item>进行</item>
      </candidateList>
      <explain>〈动〉❶从事（某种活动）：～讨论｜～工作｜～教育和批评｜会议正在～。注意“进行”总是用在持续性的和正式、严肃的行为，短暂性的和日常生活中的行为不用“进行”，例如不说“进行午睡”，“进行叫喊”。❷前进：～曲。</explain>
      <paraID> 24F3488</paraID>
      <start>91</start>
      <end>93</end>
      <status>modified</status>
      <modifiedWord>进行</modifiedWord>
      <trackRevisions>false</trackRevisions>
    </reviewItem>
    <reviewItem>
      <errorID>f867a116-0f4a-4ae0-a510-a697e0c097d1</errorID>
      <errorWord>污染源排放量</errorWord>
      <group>L1_Knowledge</group>
      <groupName>知识性问题</groupName>
      <ability>L2_Term</ability>
      <abilityName>专业术语</abilityName>
      <candidateList>
        <item>污染物排放量</item>
      </candidateList>
      <explain/>
      <paraID>51809E88</paraID>
      <start>115</start>
      <end>121</end>
      <status>ignored</status>
      <modifiedWord/>
      <trackRevisions>false</trackRevisions>
    </reviewItem>
    <reviewItem>
      <errorID>469b82e3-f593-4087-8060-5522fa23b439</errorID>
      <errorWord>土壤污染预测</errorWord>
      <group>L1_Knowledge</group>
      <groupName>知识性问题</groupName>
      <ability>L2_Term</ability>
      <abilityName>专业术语</abilityName>
      <candidateList>
        <item>土壤污染监测</item>
      </candidateList>
      <explain/>
      <paraID>7D6DFD18</paraID>
      <start>143</start>
      <end>149</end>
      <status>ignored</status>
      <modifiedWord/>
      <trackRevisions>false</trackRevisions>
    </reviewItem>
    <reviewItem>
      <errorID>593c5608-b7fe-46b7-857d-b00025711027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BA8930E</paraID>
      <start>0</start>
      <end>2</end>
      <status>ignored</status>
      <modifiedWord/>
      <trackRevisions>false</trackRevisions>
    </reviewItem>
    <reviewItem>
      <errorID>5c3d5117-fa97-48df-8508-8d6267dcdbdc</errorID>
      <errorWord>-</errorWord>
      <group>L1_Format</group>
      <groupName>格式问题</groupName>
      <ability>L2_HalfPunc</ability>
      <abilityName>全半角检查</abilityName>
      <candidateList>
        <item>－</item>
      </candidateList>
      <explain>文本全半角错误。</explain>
      <paraID>4C76A7D7</paraID>
      <start>13</start>
      <end>14</end>
      <status>ignored</status>
      <modifiedWord/>
      <trackRevisions>false</trackRevisions>
    </reviewItem>
    <reviewItem>
      <errorID>879583b1-0c57-4ba2-8270-a2b4014455e6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73B06A71</paraID>
      <start>0</start>
      <end>2</end>
      <status>ignored</status>
      <modifiedWord/>
      <trackRevisions>false</trackRevisions>
    </reviewItem>
    <reviewItem>
      <errorID>db22d315-a869-42ad-a2ca-779d6c4d59e0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256713EE</paraID>
      <start>0</start>
      <end>2</end>
      <status>ignored</status>
      <modifiedWord/>
      <trackRevisions>false</trackRevisions>
    </reviewItem>
    <reviewItem>
      <errorID>fca28bf1-e9c0-4703-8c21-beb61a6f48be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6FE529B9</paraID>
      <start>0</start>
      <end>2</end>
      <status>ignored</status>
      <modifiedWord/>
      <trackRevisions>false</trackRevisions>
    </reviewItem>
    <reviewItem>
      <errorID>9c097c72-5146-458c-8099-ae89254ff405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60FB01DE</paraID>
      <start>0</start>
      <end>2</end>
      <status>ignored</status>
      <modifiedWord/>
      <trackRevisions>false</trackRevisions>
    </reviewItem>
    <reviewItem>
      <errorID>b6126fed-ca1d-4ec1-abef-f02df9d54da6</errorID>
      <errorWord>其它</errorWord>
      <group>L1_Word</group>
      <groupName>字词问题</groupName>
      <ability>L2_Alias</ability>
      <abilityName>也作/曾用词</abilityName>
      <candidateList>
        <item>其他</item>
      </candidateList>
      <explain>词汇[其它]为不规范表述或旧称，其规范书面表述为[其他]。</explain>
      <paraID>5C0A6C46</paraID>
      <start>26</start>
      <end>28</end>
      <status>ignored</status>
      <modifiedWord/>
      <trackRevisions>false</trackRevisions>
    </reviewItem>
    <reviewItem>
      <errorID>2f484f86-5997-4905-bb62-a4a2fd1033b7</errorID>
      <errorWord>）</errorWord>
      <group>L1_Format</group>
      <groupName>格式问题</groupName>
      <ability>L2_HalfPunc</ability>
      <abilityName>全半角检查</abilityName>
      <candidateList>
        <item>)</item>
      </candidateList>
      <explain>文本全半角错误。</explain>
      <paraID>429B997A</paraID>
      <start>1</start>
      <end>2</end>
      <status>ignored</status>
      <modifiedWord/>
      <trackRevisions>false</trackRevisions>
    </reviewItem>
    <reviewItem>
      <errorID>9d2a4375-7f2d-4bef-b824-24e581086c36</errorID>
      <errorWord>；</errorWord>
      <group>L1_Format</group>
      <groupName>格式问题</groupName>
      <ability>L2_HalfPunc</ability>
      <abilityName>全半角检查</abilityName>
      <candidateList>
        <item>; </item>
      </candidateList>
      <explain>文本全半角错误。</explain>
      <paraID>429B997A</paraID>
      <start>4</start>
      <end>5</end>
      <status>ignored</status>
      <modifiedWord/>
      <trackRevisions>false</trackRevisions>
    </reviewItem>
    <reviewItem>
      <errorID>20feabd6-a38c-4080-b261-870be58ac330</errorID>
      <errorWord>）</errorWord>
      <group>L1_Format</group>
      <groupName>格式问题</groupName>
      <ability>L2_HalfPunc</ability>
      <abilityName>全半角检查</abilityName>
      <candidateList>
        <item>)</item>
      </candidateList>
      <explain>文本全半角错误。</explain>
      <paraID>429B997A</paraID>
      <start>6</start>
      <end>7</end>
      <status>ignored</status>
      <modifiedWord/>
      <trackRevisions>false</trackRevisions>
    </reviewItem>
    <reviewItem>
      <errorID>85e8ede4-8a73-42b0-91e0-a6a6d63b89ba</errorID>
      <errorWord>；</errorWord>
      <group>L1_Format</group>
      <groupName>格式问题</groupName>
      <ability>L2_HalfPunc</ability>
      <abilityName>全半角检查</abilityName>
      <candidateList>
        <item>; </item>
      </candidateList>
      <explain>文本全半角错误。</explain>
      <paraID>429B997A</paraID>
      <start>9</start>
      <end>10</end>
      <status>ignored</status>
      <modifiedWord/>
      <trackRevisions>false</trackRevisions>
    </reviewItem>
    <reviewItem>
      <errorID>e68ebc9e-c8d0-4087-9336-6cca951fdf53</errorID>
      <errorWord>）</errorWord>
      <group>L1_Format</group>
      <groupName>格式问题</groupName>
      <ability>L2_HalfPunc</ability>
      <abilityName>全半角检查</abilityName>
      <candidateList>
        <item>)</item>
      </candidateList>
      <explain>文本全半角错误。</explain>
      <paraID>429B997A</paraID>
      <start>11</start>
      <end>12</end>
      <status>ignored</status>
      <modifiedWord/>
      <trackRevisions>false</trackRevisions>
    </reviewItem>
    <reviewItem>
      <errorID>858412ef-0fda-4483-a796-73c1d4e92e7c</errorID>
      <errorWord>；</errorWord>
      <group>L1_Format</group>
      <groupName>格式问题</groupName>
      <ability>L2_HalfPunc</ability>
      <abilityName>全半角检查</abilityName>
      <candidateList>
        <item>; </item>
      </candidateList>
      <explain>文本全半角错误。</explain>
      <paraID>429B997A</paraID>
      <start>14</start>
      <end>15</end>
      <status>ignored</status>
      <modifiedWord/>
      <trackRevisions>false</trackRevisions>
    </reviewItem>
    <reviewItem>
      <errorID>2d615b8e-1070-46c9-b06d-342eb1a5e48b</errorID>
      <errorWord>）</errorWord>
      <group>L1_Format</group>
      <groupName>格式问题</groupName>
      <ability>L2_HalfPunc</ability>
      <abilityName>全半角检查</abilityName>
      <candidateList>
        <item>)</item>
      </candidateList>
      <explain>文本全半角错误。</explain>
      <paraID>429B997A</paraID>
      <start>16</start>
      <end>17</end>
      <status>ignored</status>
      <modifiedWord/>
      <trackRevisions>false</trackRevisions>
    </reviewItem>
    <reviewItem>
      <errorID>ff085785-a918-4462-a238-a42ffc0a9d6d</errorID>
      <errorWord>~</errorWord>
      <group>L1_Format</group>
      <groupName>格式问题</groupName>
      <ability>L2_HalfPunc</ability>
      <abilityName>全半角检查</abilityName>
      <candidateList>
        <item>～</item>
      </candidateList>
      <explain>文本全半角错误。</explain>
      <paraID>79F695BD</paraID>
      <start>10</start>
      <end>11</end>
      <status>ignored</status>
      <modifiedWord/>
      <trackRevisions>false</trackRevisions>
    </reviewItem>
    <reviewItem>
      <errorID>0fd57453-c89b-4eb8-a6c4-151c039ede6d</errorID>
      <errorWord>~</errorWord>
      <group>L1_Format</group>
      <groupName>格式问题</groupName>
      <ability>L2_HalfPunc</ability>
      <abilityName>全半角检查</abilityName>
      <candidateList>
        <item>～</item>
      </candidateList>
      <explain>文本全半角错误。</explain>
      <paraID>79F695BD</paraID>
      <start>20</start>
      <end>21</end>
      <status>ignored</status>
      <modifiedWord/>
      <trackRevisions>false</trackRevisions>
    </reviewItem>
    <reviewItem>
      <errorID>d26a935d-b58e-46de-bb28-815bad5f8871</errorID>
      <errorWord>（/</errorWord>
      <group>L1_Punc</group>
      <groupName>标点问题</groupName>
      <ability>L2_Punc</ability>
      <abilityName>标点符号检查</abilityName>
      <candidateList>
        <item>（</item>
      </candidateList>
      <explain/>
      <paraID>541FCCA5</paraID>
      <start>26</start>
      <end>28</end>
      <status>ignored</status>
      <modifiedWord/>
      <trackRevisions>false</trackRevisions>
    </reviewItem>
    <reviewItem>
      <errorID>7e3174bc-b172-428a-8b97-fb10da5bf4fc</errorID>
      <errorWord>)</errorWord>
      <group>L1_Format</group>
      <groupName>格式问题</groupName>
      <ability>L2_HalfPunc</ability>
      <abilityName>全半角检查</abilityName>
      <candidateList>
        <item>）</item>
      </candidateList>
      <explain>文本全半角错误。</explain>
      <paraID>11133FB8</paraID>
      <start>26</start>
      <end>27</end>
      <status>ignored</status>
      <modifiedWord/>
      <trackRevisions>false</trackRevisions>
    </reviewItem>
    <reviewItem>
      <errorID>6022eccb-6c6c-476e-8138-124b939beddb</errorID>
      <errorWord>风险按</errorWord>
      <group>L1_Word</group>
      <groupName>字词问题</groupName>
      <ability>L2_Typo</ability>
      <abilityName>字词错误</abilityName>
      <candidateList>
        <item>风险</item>
      </candidateList>
      <explain>〈名〉可能发生的危险：担～｜冒着～去搞试验。</explain>
      <paraID> 9DF8A14</paraID>
      <start>59</start>
      <end>61</end>
      <status>modified</status>
      <modifiedWord>风险</modifiedWord>
      <trackRevisions>false</trackRevisions>
    </reviewItem>
    <reviewItem>
      <errorID>b845973d-fc51-4d06-bed5-3c8a60ae444e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1A20CB6D</paraID>
      <start>0</start>
      <end>2</end>
      <status>ignored</status>
      <modifiedWord/>
      <trackRevisions>false</trackRevisions>
    </reviewItem>
    <reviewItem>
      <errorID>c564f2a3-1e2b-401a-9d68-24ce17a68c8e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6A76DE5A</paraID>
      <start>0</start>
      <end>2</end>
      <status>ignored</status>
      <modifiedWord/>
      <trackRevisions>false</trackRevisions>
    </reviewItem>
    <reviewItem>
      <errorID>197c2544-62f6-40a9-8945-46577fb2b78a</errorID>
      <errorWord>数量积</errorWord>
      <group>L1_Word</group>
      <groupName>字词问题</groupName>
      <ability>L2_Typo</ability>
      <abilityName>字词错误</abilityName>
      <candidateList>
        <item>数量级</item>
      </candidateList>
      <explain/>
      <paraID>26675934</paraID>
      <start>40</start>
      <end>43</end>
      <status>ignored</status>
      <modifiedWord/>
      <trackRevisions>false</trackRevisions>
    </reviewItem>
    <reviewItem>
      <errorID>299c1865-e1b6-4fac-bbdd-1a2cd0fb3c5f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735E3632</paraID>
      <start>0</start>
      <end>2</end>
      <status>ignored</status>
      <modifiedWord/>
      <trackRevisions>false</trackRevisions>
    </reviewItem>
    <reviewItem>
      <errorID>bf3ebec1-e277-4a74-85c3-f58e916fed59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3956B049</paraID>
      <start>0</start>
      <end>2</end>
      <status>ignored</status>
      <modifiedWord/>
      <trackRevisions>false</trackRevisions>
    </reviewItem>
    <reviewItem>
      <errorID>87f20667-8d34-4f6d-91dd-f34b344fa01b</errorID>
      <errorWord>（</errorWord>
      <group>L1_Format</group>
      <groupName>格式问题</groupName>
      <ability>L2_HalfPunc</ability>
      <abilityName>全半角检查</abilityName>
      <candidateList>
        <item>(</item>
      </candidateList>
      <explain>文本全半角错误。</explain>
      <paraID>2C93C922</paraID>
      <start>30</start>
      <end>31</end>
      <status>ignored</status>
      <modifiedWord/>
      <trackRevisions>false</trackRevisions>
    </reviewItem>
    <reviewItem>
      <errorID>8c9da793-2eaf-4277-928e-47e69ae93fc0</errorID>
      <errorWord>）</errorWord>
      <group>L1_Format</group>
      <groupName>格式问题</groupName>
      <ability>L2_HalfPunc</ability>
      <abilityName>全半角检查</abilityName>
      <candidateList>
        <item>)</item>
      </candidateList>
      <explain>文本全半角错误。</explain>
      <paraID>2C93C922</paraID>
      <start>37</start>
      <end>38</end>
      <status>ignored</status>
      <modifiedWord/>
      <trackRevisions>false</trackRevisions>
    </reviewItem>
    <reviewItem>
      <errorID>3cda4f55-19ae-497b-9773-97e67853dbd9</errorID>
      <errorWord>，</errorWord>
      <group>L1_Word</group>
      <groupName>字词问题</groupName>
      <ability>L2_Typo</ability>
      <abilityName>字词错误</abilityName>
      <candidateList>
        <item>，在</item>
      </candidateList>
      <explain/>
      <paraID>378F96DE</paraID>
      <start>34</start>
      <end>36</end>
      <status>modified</status>
      <modifiedWord>，在</modifiedWord>
      <trackRevisions>false</trackRevisions>
    </reviewItem>
    <reviewItem>
      <errorID>9eb3120a-7417-414d-9900-256e8af818fd</errorID>
      <errorWord>半生污染物</errorWord>
      <group>L1_Knowledge</group>
      <groupName>知识性问题</groupName>
      <ability>L2_Term</ability>
      <abilityName>专业术语</abilityName>
      <candidateList>
        <item>次生污染物</item>
      </candidateList>
      <explain/>
      <paraID>56AC3F6E</paraID>
      <start>8</start>
      <end>13</end>
      <status>modified</status>
      <modifiedWord>次生污染物</modifiedWord>
      <trackRevisions>false</trackRevisions>
    </reviewItem>
    <reviewItem>
      <errorID>d98dfa57-997c-48a4-b6f7-ee1193079d1d</errorID>
      <errorWord>连锁</errorWord>
      <group>L1_Word</group>
      <groupName>字词问题</groupName>
      <ability>L2_Typo</ability>
      <abilityName>字词错误</abilityName>
      <candidateList>
        <item>联锁</item>
      </candidateList>
      <explain/>
      <paraID>46948679</paraID>
      <start>33</start>
      <end>35</end>
      <status>ignored</status>
      <modifiedWord/>
      <trackRevisions>false</trackRevisions>
    </reviewItem>
    <reviewItem>
      <errorID>8c51bb80-63ea-4213-86af-382a8d78a9f8</errorID>
      <errorWord>气体监测</errorWord>
      <group>L1_Word</group>
      <groupName>字词问题</groupName>
      <ability>L2_Typo</ability>
      <abilityName>字词错误</abilityName>
      <candidateList>
        <item>气体检测</item>
      </candidateList>
      <explain/>
      <paraID>5E62F045</paraID>
      <start>4</start>
      <end>8</end>
      <status>ignored</status>
      <modifiedWord/>
      <trackRevisions>false</trackRevisions>
    </reviewItem>
    <reviewItem>
      <errorID>b5844315-fec5-440c-92eb-573802a4b795</errorID>
      <errorWord>检测</errorWord>
      <group>L1_Word</group>
      <groupName>字词问题</groupName>
      <ability>L2_Typo</ability>
      <abilityName>字词错误</abilityName>
      <candidateList>
        <item>监测</item>
      </candidateList>
      <explain/>
      <paraID>5E62F045</paraID>
      <start>61</start>
      <end>63</end>
      <status>ignored</status>
      <modifiedWord/>
      <trackRevisions>false</trackRevisions>
    </reviewItem>
    <reviewItem>
      <errorID>859b641f-1cca-41d6-98a9-de4d0d803e95</errorID>
      <errorWord>程</errorWord>
      <group>L1_Word</group>
      <groupName>字词问题</groupName>
      <ability>L2_Typo</ability>
      <abilityName>字词错误</abilityName>
      <candidateList>
        <item>程中</item>
      </candidateList>
      <explain/>
      <paraID>5500AC4A</paraID>
      <start>6</start>
      <end>8</end>
      <status>modified</status>
      <modifiedWord>程中</modifiedWord>
      <trackRevisions>false</trackRevisions>
    </reviewItem>
    <reviewItem>
      <errorID>62690405-8b29-4d84-a1ea-fdc8baf988fc</errorID>
      <errorWord>，</errorWord>
      <group>L1_Word</group>
      <groupName>字词问题</groupName>
      <ability>L2_Typo</ability>
      <abilityName>字词错误</abilityName>
      <candidateList>
        <item>，使</item>
      </candidateList>
      <explain/>
      <paraID>3610C87F</paraID>
      <start>41</start>
      <end>43</end>
      <status>modified</status>
      <modifiedWord>，使</modifiedWord>
      <trackRevisions>false</trackRevisions>
    </reviewItem>
    <reviewItem>
      <errorID>03cfde18-3e52-401f-87f9-2ed10948050e</errorID>
      <errorWord>泄露</errorWord>
      <group>L1_Word</group>
      <groupName>字词问题</groupName>
      <ability>L2_Typo</ability>
      <abilityName>字词错误</abilityName>
      <candidateList>
        <item>泄漏</item>
      </candidateList>
      <explain>存在发音相同字词的误用。</explain>
      <paraID>7AF80B66</paraID>
      <start>0</start>
      <end>2</end>
      <status>modified</status>
      <modifiedWord>泄漏</modifiedWord>
      <trackRevisions>false</trackRevisions>
    </reviewItem>
    <reviewItem>
      <errorID>006510d9-2adf-4719-81ea-15629914886c</errorID>
      <errorWord>其它</errorWord>
      <group>L1_Word</group>
      <groupName>字词问题</groupName>
      <ability>L2_Alias</ability>
      <abilityName>也作/曾用词</abilityName>
      <candidateList>
        <item>其他</item>
      </candidateList>
      <explain>词汇[其它]为不规范表述或旧称，其规范书面表述为[其他]。</explain>
      <paraID>40AC2B47</paraID>
      <start>12</start>
      <end>14</end>
      <status>ignored</status>
      <modifiedWord/>
      <trackRevisions>false</trackRevisions>
    </reviewItem>
    <reviewItem>
      <errorID>12b9b3e7-6286-45a3-9490-b918d30b1bce</errorID>
      <errorWord>，如</errorWord>
      <group>L1_Word</group>
      <groupName>字词问题</groupName>
      <ability>L2_Typo</ability>
      <abilityName>字词错误</abilityName>
      <candidateList>
        <item>，</item>
      </candidateList>
      <explain/>
      <paraID> 5C33C7F</paraID>
      <start>17</start>
      <end>18</end>
      <status>modified</status>
      <modifiedWord>，</modifiedWord>
      <trackRevisions>false</trackRevisions>
    </reviewItem>
    <reviewItem>
      <errorID>83e93be1-5d48-4441-b946-219087f6d1c2</errorID>
      <errorWord>应</errorWord>
      <group>L1_Word</group>
      <groupName>字词问题</groupName>
      <ability>L2_Typo</ability>
      <abilityName>字词错误</abilityName>
      <candidateList>
        <item>应当</item>
      </candidateList>
      <explain/>
      <paraID>6BBED215</paraID>
      <start>2</start>
      <end>3</end>
      <status>ignored</status>
      <modifiedWord/>
      <trackRevisions>false</trackRevisions>
    </reviewItem>
    <reviewItem>
      <errorID>c5ee5642-f4de-4271-9a84-592dcebcf47f</errorID>
      <errorWord>设</errorWord>
      <group>L1_Word</group>
      <groupName>字词问题</groupName>
      <ability>L2_Typo</ability>
      <abilityName>字词错误</abilityName>
      <candidateList>
        <item>设立</item>
      </candidateList>
      <explain/>
      <paraID>7F1DEAC8</paraID>
      <start>23</start>
      <end>24</end>
      <status>ignored</status>
      <modifiedWord/>
      <trackRevisions>false</trackRevisions>
    </reviewItem>
    <reviewItem>
      <errorID>2da57f31-2d49-4e28-be54-520aba12c36f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5E92A593</paraID>
      <start>0</start>
      <end>2</end>
      <status>ignored</status>
      <modifiedWord/>
      <trackRevisions>false</trackRevisions>
    </reviewItem>
    <reviewItem>
      <errorID>787271d0-f0ef-4b02-aad9-7a693fefdf31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481D0371</paraID>
      <start>0</start>
      <end>2</end>
      <status>ignored</status>
      <modifiedWord/>
      <trackRevisions>false</trackRevisions>
    </reviewItem>
    <reviewItem>
      <errorID>5c0e7bf8-d4ae-4919-9794-d322ebe605f6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65F92D95</paraID>
      <start>0</start>
      <end>2</end>
      <status>ignored</status>
      <modifiedWord/>
      <trackRevisions>false</trackRevisions>
    </reviewItem>
    <reviewItem>
      <errorID>f1303ed6-572d-4dc3-a491-815e7838ec1a</errorID>
      <errorWord>，分</errorWord>
      <group>L1_Word</group>
      <groupName>字词问题</groupName>
      <ability>L2_Typo</ability>
      <abilityName>字词错误</abilityName>
      <candidateList>
        <item>，</item>
      </candidateList>
      <explain/>
      <paraID> 56541BF</paraID>
      <start>23</start>
      <end>24</end>
      <status>modified</status>
      <modifiedWord>，</modifiedWord>
      <trackRevisions>false</trackRevisions>
    </reviewItem>
    <reviewItem>
      <errorID>c3a58dc5-1661-446d-a330-cec515f996bf</errorID>
      <errorWord>泄露</errorWord>
      <group>L1_Word</group>
      <groupName>字词问题</groupName>
      <ability>L2_Typo</ability>
      <abilityName>字词错误</abilityName>
      <candidateList>
        <item>泄漏</item>
      </candidateList>
      <explain/>
      <paraID> 56541BF</paraID>
      <start>53</start>
      <end>55</end>
      <status>modified</status>
      <modifiedWord>泄漏</modifiedWord>
      <trackRevisions>false</trackRevisions>
    </reviewItem>
    <reviewItem>
      <errorID>25a9df78-7561-4861-a6b0-c4bcba69c53f</errorID>
      <errorWord>拌合</errorWord>
      <group>L1_Word</group>
      <groupName>字词问题</groupName>
      <ability>L2_Typo</ability>
      <abilityName>字词错误</abilityName>
      <candidateList>
        <item>拌和</item>
      </candidateList>
      <explain>存在发音相同字词的误用。</explain>
      <paraID>75FD1E95</paraID>
      <start>55</start>
      <end>57</end>
      <status>ignored</status>
      <modifiedWord/>
      <trackRevisions>false</trackRevisions>
    </reviewItem>
    <reviewItem>
      <errorID>ddf021f3-eac7-445f-93d0-7a81a38fe4fa</errorID>
      <errorWord>：</errorWord>
      <group>L1_Format</group>
      <groupName>格式问题</groupName>
      <ability>L2_HalfPunc</ability>
      <abilityName>全半角检查</abilityName>
      <candidateList>
        <item>:</item>
      </candidateList>
      <explain>文本全半角错误。</explain>
      <paraID> CD5EDD1</paraID>
      <start>117</start>
      <end>118</end>
      <status>ignored</status>
      <modifiedWord/>
      <trackRevisions>false</trackRevisions>
    </reviewItem>
    <reviewItem>
      <errorID>c5dd5f75-1deb-4203-8d7b-2e9d3aa495d2</errorID>
      <errorWord>~</errorWord>
      <group>L1_Format</group>
      <groupName>格式问题</groupName>
      <ability>L2_HalfPunc</ability>
      <abilityName>全半角检查</abilityName>
      <candidateList>
        <item>～</item>
      </candidateList>
      <explain>文本全半角错误。</explain>
      <paraID>3244C8EF</paraID>
      <start>39</start>
      <end>40</end>
      <status>ignored</status>
      <modifiedWord/>
      <trackRevisions>false</trackRevisions>
    </reviewItem>
    <reviewItem>
      <errorID>3f7733f4-1e7e-4984-b00f-3eea2eb59b9a</errorID>
      <errorWord>属</errorWord>
      <group>L1_Word</group>
      <groupName>字词问题</groupName>
      <ability>L2_Typo</ability>
      <abilityName>字词错误</abilityName>
      <candidateList>
        <item>属于</item>
      </candidateList>
      <explain/>
      <paraID>2FB04D3E</paraID>
      <start>36</start>
      <end>38</end>
      <status>modified</status>
      <modifiedWord>属于</modifiedWord>
      <trackRevisions>false</trackRevisions>
    </reviewItem>
    <reviewItem>
      <errorID>feaa38aa-38d8-4927-a4ec-1864eebd2208</errorID>
      <errorWord>生</errorWord>
      <group>L1_Word</group>
      <groupName>字词问题</groupName>
      <ability>L2_Typo</ability>
      <abilityName>字词错误</abilityName>
      <candidateList>
        <item>生产</item>
      </candidateList>
      <explain>〈动〉❶人们使用工具来创造各种生产资料和生活资料：工业～｜发展～｜～出更好的产品。❷生孩子。</explain>
      <paraID>2FB04D3E</paraID>
      <start>181</start>
      <end>183</end>
      <status>modified</status>
      <modifiedWord>生产</modifiedWord>
      <trackRevisions>false</trackRevisions>
    </reviewItem>
    <reviewItem>
      <errorID>ce89e2d3-2e0c-4947-ae9e-d11039613aba</errorID>
      <errorWord>位于位于</errorWord>
      <group>L1_Word</group>
      <groupName>字词问题</groupName>
      <ability>L2_Typo</ability>
      <abilityName>字词错误</abilityName>
      <candidateList>
        <item>位于</item>
      </candidateList>
      <explain/>
      <paraID>2390153C</paraID>
      <start>13</start>
      <end>15</end>
      <status>modified</status>
      <modifiedWord>位于</modifiedWord>
      <trackRevisions>false</trackRevisions>
    </reviewItem>
    <reviewItem>
      <errorID>0704c717-861d-4d80-a9c9-0428f82efd47</errorID>
      <errorWord>器械</errorWord>
      <group>L1_Word</group>
      <groupName>字词问题</groupName>
      <ability>L2_Typo</ability>
      <abilityName>字词错误</abilityName>
      <candidateList>
        <item>器</item>
      </candidateList>
      <explain/>
      <paraID>7C5F013D</paraID>
      <start>17</start>
      <end>19</end>
      <status>ignored</status>
      <modifiedWord/>
      <trackRevisions>false</trackRevisions>
    </reviewItem>
    <reviewItem>
      <errorID>eb53c3e0-e173-446a-80fe-a242b3e08202</errorID>
      <errorWord>的高</errorWord>
      <group>L1_Word</group>
      <groupName>字词问题</groupName>
      <ability>L2_Typo</ability>
      <abilityName>字词错误</abilityName>
      <candidateList>
        <item>的</item>
      </candidateList>
      <explain>置于形容词、名词后，用于修饰事物的形态。</explain>
      <paraID> B119D2B</paraID>
      <start>37</start>
      <end>39</end>
      <status>ignored</status>
      <modifiedWord/>
      <trackRevisions>false</trackRevisions>
    </reviewItem>
    <reviewItem>
      <errorID>4cd39d88-98f5-4141-ad5e-1d2757a604c9</errorID>
      <errorWord>生</errorWord>
      <group>L1_Word</group>
      <groupName>字词问题</groupName>
      <ability>L2_Typo</ability>
      <abilityName>字词错误</abilityName>
      <candidateList>
        <item>生的</item>
      </candidateList>
      <explain/>
      <paraID>550184DD</paraID>
      <start>5</start>
      <end>7</end>
      <status>modified</status>
      <modifiedWord>生的</modifiedWord>
      <trackRevisions>false</trackRevisions>
    </reviewItem>
    <reviewItem>
      <errorID>dfe513cf-2754-4cdb-8552-103fc4ffc6fe</errorID>
      <errorWord>单位在</errorWord>
      <group>L1_Word</group>
      <groupName>字词问题</groupName>
      <ability>L2_Typo</ability>
      <abilityName>字词错误</abilityName>
      <candidateList>
        <item>单位</item>
      </candidateList>
      <explain>〈名〉❶计量事物的标准量的名称。如米为计量长度的单位，千克为计量质量的单位，升为计量容积的单位等。❷指机关、团体或属于一个机关、团体等的各个部门：直属～｜下属～｜事业～｜参加竞赛的有很多～。</explain>
      <paraID>12EB2EB2</paraID>
      <start>4</start>
      <end>6</end>
      <status>modified</status>
      <modifiedWord>单位</modifiedWord>
      <trackRevisions>false</trackRevisions>
    </reviewItem>
    <reviewItem>
      <errorID>882d9f6a-36ff-450d-aa94-95ccba0af250</errorID>
      <errorWord>物</errorWord>
      <group>L1_Word</group>
      <groupName>字词问题</groupName>
      <ability>L2_Typo</ability>
      <abilityName>字词错误</abilityName>
      <candidateList>
        <item>物在</item>
      </candidateList>
      <explain/>
      <paraID>12EB2EB2</paraID>
      <start>30</start>
      <end>32</end>
      <status>modified</status>
      <modifiedWord>物在</modifiedWord>
      <trackRevisions>false</trackRevisions>
    </reviewItem>
    <reviewItem>
      <errorID>fb3e66e2-4673-4078-b87a-3d2620895a7c</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12EB2EB2</paraID>
      <start>69</start>
      <end>70</end>
      <status>ignored</status>
      <modifiedWord/>
      <trackRevisions>false</trackRevisions>
    </reviewItem>
    <reviewItem>
      <errorID>f97d4bec-99a8-427b-be42-24293449b113</errorID>
      <errorWord>单位在</errorWord>
      <group>L1_Word</group>
      <groupName>字词问题</groupName>
      <ability>L2_Typo</ability>
      <abilityName>字词错误</abilityName>
      <candidateList>
        <item>单位</item>
      </candidateList>
      <explain>〈名〉❶计量事物的标准量的名称。如米为计量长度的单位，千克为计量质量的单位，升为计量容积的单位等。❷指机关、团体或属于一个机关、团体等的各个部门：直属～｜下属～｜事业～｜参加竞赛的有很多～。</explain>
      <paraID>6C0FC1C0</paraID>
      <start>7</start>
      <end>9</end>
      <status>modified</status>
      <modifiedWord>单位</modifiedWord>
      <trackRevisions>false</trackRevisions>
    </reviewItem>
    <reviewItem>
      <errorID>290854bf-aeb7-4e77-a3a6-b191f72f148d</errorID>
      <errorWord>物</errorWord>
      <group>L1_Word</group>
      <groupName>字词问题</groupName>
      <ability>L2_Typo</ability>
      <abilityName>字词错误</abilityName>
      <candidateList>
        <item>物在</item>
      </candidateList>
      <explain/>
      <paraID>6C0FC1C0</paraID>
      <start>33</start>
      <end>35</end>
      <status>modified</status>
      <modifiedWord>物在</modifiedWord>
      <trackRevisions>false</trackRevisions>
    </reviewItem>
    <reviewItem>
      <errorID>b78e6748-43c0-4fc3-8771-e828c0aa9990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6C0FC1C0</paraID>
      <start>72</start>
      <end>73</end>
      <status>ignored</status>
      <modifiedWord/>
      <trackRevisions>false</trackRevisions>
    </reviewItem>
    <reviewItem>
      <errorID>1aec1f5c-4ac5-44c4-87c0-fa1e9a4c6c15</errorID>
      <errorWord>围</errorWord>
      <group>L1_Word</group>
      <groupName>字词问题</groupName>
      <ability>L2_Typo</ability>
      <abilityName>字词错误</abilityName>
      <candidateList>
        <item>围内</item>
      </candidateList>
      <explain/>
      <paraID>1B9DEE78</paraID>
      <start>13</start>
      <end>14</end>
      <status>ignored</status>
      <modifiedWord/>
      <trackRevisions>false</trackRevisions>
    </reviewItem>
    <reviewItem>
      <errorID>24c942c2-5135-4550-99d5-af486c29beac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79FEC8E5</paraID>
      <start>252</start>
      <end>253</end>
      <status>ignored</status>
      <modifiedWord/>
      <trackRevisions>false</trackRevisions>
    </reviewItem>
    <reviewItem>
      <errorID>b8752bfa-1bff-48da-b5cd-1edc41428cb8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79FEC8E5</paraID>
      <start>291</start>
      <end>292</end>
      <status>ignored</status>
      <modifiedWord/>
      <trackRevisions>false</trackRevisions>
    </reviewItem>
    <reviewItem>
      <errorID>65d67111-00cb-4c75-bc12-cefcf4c96ba2</errorID>
      <errorWord>，</errorWord>
      <group>L1_Word</group>
      <groupName>字词问题</groupName>
      <ability>L2_Typo</ability>
      <abilityName>字词错误</abilityName>
      <candidateList>
        <item>，在</item>
      </candidateList>
      <explain/>
      <paraID>794E1C5C</paraID>
      <start>40</start>
      <end>42</end>
      <status>modified</status>
      <modifiedWord>，在</modifiedWord>
      <trackRevisions>false</trackRevisions>
    </reviewItem>
    <reviewItem>
      <errorID>aa099811-09ff-4448-9730-f277048ea637</errorID>
      <errorWord>移除</errorWord>
      <group>L1_Word</group>
      <groupName>字词问题</groupName>
      <ability>L2_Typo</ability>
      <abilityName>字词错误</abilityName>
      <candidateList>
        <item>移出</item>
      </candidateList>
      <explain>存在发音相同字词的误用。</explain>
      <paraID>3536FF63</paraID>
      <start>303</start>
      <end>305</end>
      <status>modified</status>
      <modifiedWord>移出</modifiedWord>
      <trackRevisions>false</trackRevisions>
    </reviewItem>
    <reviewItem>
      <errorID>c739a89d-ccfa-45c9-bcc7-fa58f0e44de7</errorID>
      <errorWord>单中</errorWord>
      <group>L1_Word</group>
      <groupName>字词问题</groupName>
      <ability>L2_Typo</ability>
      <abilityName>字词错误</abilityName>
      <candidateList>
        <item>单</item>
      </candidateList>
      <explain/>
      <paraID>3536FF63</paraID>
      <start>327</start>
      <end>329</end>
      <status>ignored</status>
      <modifiedWord/>
      <trackRevisions>false</trackRevisions>
    </reviewItem>
    <reviewItem>
      <errorID>44dc3c86-ce70-4073-8a72-96451272929c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5CE6209A</paraID>
      <start>60</start>
      <end>61</end>
      <status>ignored</status>
      <modifiedWord/>
      <trackRevisions>false</trackRevisions>
    </reviewItem>
    <reviewItem>
      <errorID>c230faee-a01b-4bd1-85ab-f20c649df0e6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528F4D35</paraID>
      <start>105</start>
      <end>106</end>
      <status>ignored</status>
      <modifiedWord/>
      <trackRevisions>false</trackRevisions>
    </reviewItem>
    <reviewItem>
      <errorID>f1ab9ed8-0fae-40b7-a813-ca1a8b58daf3</errorID>
      <errorWord>浇制</errorWord>
      <group>L1_Word</group>
      <groupName>字词问题</groupName>
      <ability>L2_Typo</ability>
      <abilityName>字词错误</abilityName>
      <candidateList>
        <item>浇筑</item>
      </candidateList>
      <explain>存在发音相近字词的误用。</explain>
      <paraID>51535E89</paraID>
      <start>45</start>
      <end>47</end>
      <status>ignored</status>
      <modifiedWord/>
      <trackRevisions>false</trackRevisions>
    </reviewItem>
    <reviewItem>
      <errorID>0a19625b-61fc-41cd-afb4-d5217cc5d54e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6DFA13D7</paraID>
      <start>35</start>
      <end>36</end>
      <status>ignored</status>
      <modifiedWord/>
      <trackRevisions>false</trackRevisions>
    </reviewItem>
    <reviewItem>
      <errorID>94d84a23-6242-404f-90b2-22016766c2a3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70D03794</paraID>
      <start>23</start>
      <end>24</end>
      <status>ignored</status>
      <modifiedWord/>
      <trackRevisions>false</trackRevisions>
    </reviewItem>
    <reviewItem>
      <errorID>f005a5ea-0d32-40a5-8361-95e6d4fc7ef4</errorID>
      <errorWord>及时地</errorWord>
      <group>L1_Word</group>
      <groupName>字词问题</groupName>
      <ability>L2_Typo</ability>
      <abilityName>字词错误</abilityName>
      <candidateList>
        <item>及时</item>
      </candidateList>
      <explain>❶〈形〉正赶上时候；适合需要：～雨｜他来得很～。❷〈副〉不拖延；马上；立刻：有问题就～解决。</explain>
      <paraID>  4D7D1B</paraID>
      <start>30</start>
      <end>32</end>
      <status>modified</status>
      <modifiedWord>及时</modifiedWord>
      <trackRevisions>false</trackRevisions>
    </reviewItem>
    <reviewItem>
      <errorID>da9d2430-2b5f-4ed4-a296-33209c78f1ff</errorID>
      <errorWord>提高</errorWord>
      <group>L1_Word</group>
      <groupName>字词问题</groupName>
      <ability>L2_Typo</ability>
      <abilityName>字词错误</abilityName>
      <candidateList>
        <item>增强</item>
      </candidateList>
      <explain>“提高～意识”搭配不当，建议修改为“增强～意识”。</explain>
      <paraID>123C7BDE</paraID>
      <start>16</start>
      <end>18</end>
      <status>ignored</status>
      <modifiedWord/>
      <trackRevisions>false</trackRevisions>
    </reviewItem>
    <reviewItem>
      <errorID>1d147be2-2aaf-42ea-a19e-1d40f2d2ed71</errorID>
      <errorWord>防止和避免</errorWord>
      <group>L1_Word</group>
      <groupName>字词问题</groupName>
      <ability>L2_Typo</ability>
      <abilityName>字词错误</abilityName>
      <candidateList>
        <item>防止和</item>
      </candidateList>
      <explain/>
      <paraID> A6748B0</paraID>
      <start>17</start>
      <end>22</end>
      <status>ignored</status>
      <modifiedWord/>
      <trackRevisions>false</trackRevisions>
    </reviewItem>
    <reviewItem>
      <errorID>412c0645-f663-422b-be02-145db0c6a85d</errorID>
      <errorWord>(</errorWord>
      <group>L1_Format</group>
      <groupName>格式问题</groupName>
      <ability>L2_HalfPunc</ability>
      <abilityName>全半角检查</abilityName>
      <candidateList>
        <item>（</item>
      </candidateList>
      <explain>文本全半角错误。</explain>
      <paraID> 9D5F2CC</paraID>
      <start>115</start>
      <end>116</end>
      <status>modified</status>
      <modifiedWord>（</modifiedWord>
      <trackRevisions>false</trackRevisions>
    </reviewItem>
    <reviewItem>
      <errorID>3be64880-a3a9-4a3e-9af7-17c988dd8799</errorID>
      <errorWord>)</errorWord>
      <group>L1_Format</group>
      <groupName>格式问题</groupName>
      <ability>L2_HalfPunc</ability>
      <abilityName>全半角检查</abilityName>
      <candidateList>
        <item>）</item>
      </candidateList>
      <explain>文本全半角错误。</explain>
      <paraID> 9D5F2CC</paraID>
      <start>126</start>
      <end>127</end>
      <status>modified</status>
      <modifiedWord>）</modifiedWord>
      <trackRevisions>false</trackRevisions>
    </reviewItem>
    <reviewItem>
      <errorID>2e1c69bf-d12c-489c-81e4-7f7fbbd3b52b</errorID>
      <errorWord>抽出</errorWord>
      <group>L1_Word</group>
      <groupName>字词问题</groupName>
      <ability>L2_Typo</ability>
      <abilityName>字词错误</abilityName>
      <candidateList>
        <item>抽</item>
      </candidateList>
      <explain/>
      <paraID>54957C7F</paraID>
      <start>56</start>
      <end>58</end>
      <status>ignored</status>
      <modifiedWord/>
      <trackRevisions>false</trackRevisions>
    </reviewItem>
    <reviewItem>
      <errorID>8db98588-c1e9-4a96-87bb-c857bac52943</errorID>
      <errorWord>准</errorWord>
      <group>L1_Word</group>
      <groupName>字词问题</groupName>
      <ability>L2_Typo</ability>
      <abilityName>字词错误</abilityName>
      <candidateList>
        <item>准和</item>
      </candidateList>
      <explain/>
      <paraID>68C95D8E</paraID>
      <start>21</start>
      <end>23</end>
      <status>modified</status>
      <modifiedWord>准和</modifiedWord>
      <trackRevisions>false</trackRevisions>
    </reviewItem>
    <reviewItem>
      <errorID>e00f16c2-c32d-4cf8-80aa-8f703a965107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784C1CF5</paraID>
      <start>67</start>
      <end>68</end>
      <status>ignored</status>
      <modifiedWord/>
      <trackRevisions>false</trackRevisions>
    </reviewItem>
    <reviewItem>
      <errorID>1834706d-e054-4c75-8218-0aaa2723d1ae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5EDD7F17</paraID>
      <start>58</start>
      <end>59</end>
      <status>ignored</status>
      <modifiedWord/>
      <trackRevisions>false</trackRevisions>
    </reviewItem>
    <reviewItem>
      <errorID>8123db3b-1d8b-4792-8001-e85cb97ce7bb</errorID>
      <errorWord>报梦器</errorWord>
      <group>L1_Word</group>
      <groupName>字词问题</groupName>
      <ability>L2_Typo</ability>
      <abilityName>字词错误</abilityName>
      <candidateList>
        <item>报警器</item>
      </candidateList>
      <explain/>
      <paraID>519B3A9C</paraID>
      <start>100</start>
      <end>103</end>
      <status>modified</status>
      <modifiedWord>报警器</modifiedWord>
      <trackRevisions>false</trackRevisions>
    </reviewItem>
    <reviewItem>
      <errorID>27cca061-6a4f-49d8-aa35-6fb82caf9969</errorID>
      <errorWord>检测仪</errorWord>
      <group>L1_Word</group>
      <groupName>字词问题</groupName>
      <ability>L2_Typo</ability>
      <abilityName>字词错误</abilityName>
      <candidateList>
        <item>监测仪</item>
      </candidateList>
      <explain/>
      <paraID>519B3A9C</paraID>
      <start>112</start>
      <end>115</end>
      <status>ignored</status>
      <modifiedWord/>
      <trackRevisions>false</trackRevisions>
    </reviewItem>
    <reviewItem>
      <errorID>7677b9ba-bdea-441c-bd02-40e20f516ebd</errorID>
      <errorWord>置</errorWord>
      <group>L1_Word</group>
      <groupName>字词问题</groupName>
      <ability>L2_Typo</ability>
      <abilityName>字词错误</abilityName>
      <candidateList>
        <item>置和</item>
      </candidateList>
      <explain/>
      <paraID>2D7F9F0B</paraID>
      <start>11</start>
      <end>12</end>
      <status>ignored</status>
      <modifiedWord/>
      <trackRevisions>false</trackRevisions>
    </reviewItem>
    <reviewItem>
      <errorID>2c5ce57a-ce15-4e40-ba52-c8af7037b0ba</errorID>
      <errorWord>计</errorWord>
      <group>L1_Word</group>
      <groupName>字词问题</groupName>
      <ability>L2_Typo</ability>
      <abilityName>字词错误</abilityName>
      <candidateList>
        <item>计算</item>
      </candidateList>
      <explain/>
      <paraID>617D45F1</paraID>
      <start>79</start>
      <end>80</end>
      <status>ignored</status>
      <modifiedWord/>
      <trackRevisions>false</trackRevisions>
    </reviewItem>
    <reviewItem>
      <errorID>b1d92262-ff70-4a7b-97b5-8005daa4c46d</errorID>
      <errorWord>：</errorWord>
      <group>L1_Format</group>
      <groupName>格式问题</groupName>
      <ability>L2_HalfPunc</ability>
      <abilityName>全半角检查</abilityName>
      <candidateList>
        <item>:</item>
      </candidateList>
      <explain>文本全半角错误。</explain>
      <paraID>4C1C58A7</paraID>
      <start>23</start>
      <end>24</end>
      <status>ignored</status>
      <modifiedWord/>
      <trackRevisions>false</trackRevisions>
    </reviewItem>
    <reviewItem>
      <errorID>38822236-2f28-44d5-865f-70f7cc97ad04</errorID>
      <errorWord>需</errorWord>
      <group>L1_Word</group>
      <groupName>字词问题</groupName>
      <ability>L2_Typo</ability>
      <abilityName>字词错误</abilityName>
      <candidateList>
        <item>需要</item>
      </candidateList>
      <explain>❶〈动〉应该有或必须有：我们～一支强大的科学技术队伍。❷〈名〉对事物的欲望或要求：从群众的～出发。</explain>
      <paraID> E44ACF4</paraID>
      <start>50</start>
      <end>51</end>
      <status>ignored</status>
      <modifiedWord/>
      <trackRevisions>false</trackRevisions>
    </reviewItem>
    <reviewItem>
      <errorID>b091f73a-4b3a-487b-9df5-f440f3d605d1</errorID>
      <errorWord>，</errorWord>
      <group>L1_Word</group>
      <groupName>字词问题</groupName>
      <ability>L2_Typo</ability>
      <abilityName>字词错误</abilityName>
      <candidateList>
        <item>，有</item>
      </candidateList>
      <explain/>
      <paraID>78D64C79</paraID>
      <start>72</start>
      <end>74</end>
      <status>modified</status>
      <modifiedWord>，有</modifiedWord>
      <trackRevisions>false</trackRevisions>
    </reviewItem>
    <reviewItem>
      <errorID>183675f6-0f9a-4c5f-a2bc-5b0be2063def</errorID>
      <errorWord>纳入到</errorWord>
      <group>L1_Word</group>
      <groupName>字词问题</groupName>
      <ability>L2_Typo</ability>
      <abilityName>字词错误</abilityName>
      <candidateList>
        <item>纳入</item>
      </candidateList>
      <explain>〈动〉放进；归入（多用于抽象事物）：～正轨｜～计划。</explain>
      <paraID>2E642393</paraID>
      <start>90</start>
      <end>92</end>
      <status>modified</status>
      <modifiedWord>纳入</modifiedWord>
      <trackRevisions>false</trackRevisions>
    </reviewItem>
    <reviewItem>
      <errorID>7cfea15b-e3ba-46e5-a014-eac1ceb07127</errorID>
      <errorWord>(</errorWord>
      <group>L1_Format</group>
      <groupName>格式问题</groupName>
      <ability>L2_HalfPunc</ability>
      <abilityName>全半角检查</abilityName>
      <candidateList>
        <item>（</item>
      </candidateList>
      <explain>文本全半角错误。</explain>
      <paraID>1658A280</paraID>
      <start>54</start>
      <end>55</end>
      <status>modified</status>
      <modifiedWord>（</modifiedWord>
      <trackRevisions>false</trackRevisions>
    </reviewItem>
    <reviewItem>
      <errorID>c121ebef-387e-4db7-95a4-c8dbc58d417b</errorID>
      <errorWord>提高</errorWord>
      <group>L1_Word</group>
      <groupName>字词问题</groupName>
      <ability>L2_Typo</ability>
      <abilityName>字词错误</abilityName>
      <candidateList>
        <item>增强</item>
      </candidateList>
      <explain>“提高～意识”搭配不当，建议修改为“增强～意识”。</explain>
      <paraID>3B8147AF</paraID>
      <start>10</start>
      <end>12</end>
      <status>ignored</status>
      <modifiedWord/>
      <trackRevisions>false</trackRevisions>
    </reviewItem>
    <reviewItem>
      <errorID>0dbe4fea-16b6-4312-a1b6-49c5edb442cc</errorID>
      <errorWord>(</errorWord>
      <group>L1_Format</group>
      <groupName>格式问题</groupName>
      <ability>L2_HalfPunc</ability>
      <abilityName>全半角检查</abilityName>
      <candidateList>
        <item>（</item>
      </candidateList>
      <explain>文本全半角错误。</explain>
      <paraID>23CD7A64</paraID>
      <start>26</start>
      <end>27</end>
      <status>modified</status>
      <modifiedWord>（</modifiedWord>
      <trackRevisions>false</trackRevisions>
    </reviewItem>
    <reviewItem>
      <errorID>7177888b-aa1d-4180-8694-fc50ca30f8c8</errorID>
      <errorWord>(</errorWord>
      <group>L1_Format</group>
      <groupName>格式问题</groupName>
      <ability>L2_HalfPunc</ability>
      <abilityName>全半角检查</abilityName>
      <candidateList>
        <item>（</item>
      </candidateList>
      <explain>文本全半角错误。</explain>
      <paraID>7EF1C5E7</paraID>
      <start>14</start>
      <end>15</end>
      <status>modified</status>
      <modifiedWord>（</modifiedWord>
      <trackRevisions>false</trackRevisions>
    </reviewItem>
    <reviewItem>
      <errorID>76d32ab0-bb51-4e80-a120-0278e172af6c</errorID>
      <errorWord>土壤监测</errorWord>
      <group>L1_Word</group>
      <groupName>字词问题</groupName>
      <ability>L2_Typo</ability>
      <abilityName>字词错误</abilityName>
      <candidateList>
        <item>土壤检测</item>
      </candidateList>
      <explain/>
      <paraID>15DC1D94</paraID>
      <start>10</start>
      <end>14</end>
      <status>ignored</status>
      <modifiedWord/>
      <trackRevisions>false</trackRevisions>
    </reviewItem>
    <reviewItem>
      <errorID>07c749d1-4ce3-48a5-b7ef-777e8ffb01de</errorID>
      <errorWord>(</errorWord>
      <group>L1_Format</group>
      <groupName>格式问题</groupName>
      <ability>L2_HalfPunc</ability>
      <abilityName>全半角检查</abilityName>
      <candidateList>
        <item>（</item>
      </candidateList>
      <explain>文本全半角错误。</explain>
      <paraID>24AFCAA3</paraID>
      <start>33</start>
      <end>34</end>
      <status>modified</status>
      <modifiedWord>（</modifiedWord>
      <trackRevisions>false</trackRevisions>
    </reviewItem>
    <reviewItem>
      <errorID>7c132d8d-a93d-4921-b340-eb94eec2258e</errorID>
      <errorWord>)</errorWord>
      <group>L1_Format</group>
      <groupName>格式问题</groupName>
      <ability>L2_HalfPunc</ability>
      <abilityName>全半角检查</abilityName>
      <candidateList>
        <item>）</item>
      </candidateList>
      <explain>文本全半角错误。</explain>
      <paraID>24AFCAA3</paraID>
      <start>36</start>
      <end>37</end>
      <status>modified</status>
      <modifiedWord>）</modifiedWord>
      <trackRevisions>false</trackRevisions>
    </reviewItem>
    <reviewItem>
      <errorID>41517591-b26f-473a-9d65-4ce67e8e0abe</errorID>
      <errorWord>(</errorWord>
      <group>L1_Format</group>
      <groupName>格式问题</groupName>
      <ability>L2_HalfPunc</ability>
      <abilityName>全半角检查</abilityName>
      <candidateList>
        <item>（</item>
      </candidateList>
      <explain>文本全半角错误。</explain>
      <paraID>5EC4EED7</paraID>
      <start>9</start>
      <end>10</end>
      <status>modified</status>
      <modifiedWord>（</modifiedWord>
      <trackRevisions>false</trackRevisions>
    </reviewItem>
    <reviewItem>
      <errorID>b4963883-9b3f-431e-9f7c-81be0cdd5b90</errorID>
      <errorWord>)</errorWord>
      <group>L1_Format</group>
      <groupName>格式问题</groupName>
      <ability>L2_HalfPunc</ability>
      <abilityName>全半角检查</abilityName>
      <candidateList>
        <item>）</item>
      </candidateList>
      <explain>文本全半角错误。</explain>
      <paraID>5EC4EED7</paraID>
      <start>24</start>
      <end>25</end>
      <status>modified</status>
      <modifiedWord>）</modifiedWord>
      <trackRevisions>false</trackRevisions>
    </reviewItem>
    <reviewItem>
      <errorID>28ded3bd-962a-496a-9fc4-3150b2add2cb</errorID>
      <errorWord>III类</errorWord>
      <group>L1_Knowledge</group>
      <groupName>知识性问题</groupName>
      <ability>L2_Knowledge</ability>
      <abilityName>其他知识</abilityName>
      <candidateList>
        <item>Ⅲ类</item>
      </candidateList>
      <explain/>
      <paraID>5EC4EED7</paraID>
      <start>26</start>
      <end>30</end>
      <status>ignored</status>
      <modifiedWord/>
      <trackRevisions>false</trackRevisions>
    </reviewItem>
    <reviewItem>
      <errorID>df7d679e-0873-40c2-a345-70e30a41e7eb</errorID>
      <errorWord>根据根据</errorWord>
      <group>L1_Word</group>
      <groupName>字词问题</groupName>
      <ability>L2_Typo</ability>
      <abilityName>字词错误</abilityName>
      <candidateList>
        <item>根据</item>
      </candidateList>
      <explain>❶〈介〉把某种事物作为结论的前提或语言行动的基础：～气象台的预报，明天要下雨｜～大家的意见，把计划修改一下。❷〈名〉作为根据的事物：说话要有～。❸〈动〉以某种事物为依据：财政支出必须～节约的原则。</explain>
      <paraID>6CC28AB8</paraID>
      <start>23</start>
      <end>25</end>
      <status>modified</status>
      <modifiedWord>根据</modifiedWord>
      <trackRevisions>false</trackRevisions>
    </reviewItem>
    <reviewItem>
      <errorID>c30b7901-fa8c-44bd-a97c-ca60bf35ad20</errorID>
      <errorWord>场</errorWord>
      <group>L1_Word</group>
      <groupName>字词问题</groupName>
      <ability>L2_Typo</ability>
      <abilityName>字词错误</abilityName>
      <candidateList>
        <item>场所</item>
      </candidateList>
      <explain/>
      <paraID>41B8B55A</paraID>
      <start>70</start>
      <end>72</end>
      <status>modified</status>
      <modifiedWord>场所</modifiedWord>
      <trackRevisions>false</trackRevisions>
    </reviewItem>
    <reviewItem>
      <errorID>9f3157f2-4f1f-4440-9f81-f62ecc2ee5e5</errorID>
      <errorWord>处</errorWord>
      <group>L1_Word</group>
      <groupName>字词问题</groupName>
      <ability>L2_Typo</ability>
      <abilityName>字词错误</abilityName>
      <candidateList>
        <item>处理</item>
      </candidateList>
      <explain/>
      <paraID>2165E367</paraID>
      <start>11</start>
      <end>12</end>
      <status>ignored</status>
      <modifiedWord/>
      <trackRevisions>false</trackRevisions>
    </reviewItem>
    <reviewItem>
      <errorID>98535298-1aff-4431-ba54-00a9c20e7df7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7B8530EF</paraID>
      <start>0</start>
      <end>2</end>
      <status>ignored</status>
      <modifiedWord/>
      <trackRevisions>false</trackRevisions>
    </reviewItem>
    <reviewItem>
      <errorID>c62b831a-6b7d-436f-bfab-0524f1931af0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42C5E8E0</paraID>
      <start>0</start>
      <end>2</end>
      <status>ignored</status>
      <modifiedWord/>
      <trackRevisions>false</trackRevisions>
    </reviewItem>
    <reviewItem>
      <errorID>baa5033c-fb13-4761-9b13-d88176ca520b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331FB042</paraID>
      <start>0</start>
      <end>2</end>
      <status>ignored</status>
      <modifiedWord/>
      <trackRevisions>false</trackRevisions>
    </reviewItem>
    <reviewItem>
      <errorID>f5019da3-9b8a-459c-b827-9e20999c2ed0</errorID>
      <errorWord>章节</errorWord>
      <group>L1_Word</group>
      <groupName>字词问题</groupName>
      <ability>L2_Typo</ability>
      <abilityName>字词错误</abilityName>
      <candidateList>
        <item>章</item>
      </candidateList>
      <explain/>
      <paraID> A9FA97E</paraID>
      <start>47</start>
      <end>49</end>
      <status>ignored</status>
      <modifiedWord/>
      <trackRevisions>false</trackRevisions>
    </reviewItem>
    <reviewItem>
      <errorID>4656650a-6838-4a54-9b32-7ef34820c3aa</errorID>
      <errorWord>（</errorWord>
      <group>L1_Format</group>
      <groupName>格式问题</groupName>
      <ability>L2_HalfPunc</ability>
      <abilityName>全半角检查</abilityName>
      <candidateList>
        <item>(</item>
      </candidateList>
      <explain>文本全半角错误。</explain>
      <paraID>747025CC</paraID>
      <start>0</start>
      <end>1</end>
      <status>ignored</status>
      <modifiedWord/>
      <trackRevisions>false</trackRevisions>
    </reviewItem>
    <reviewItem>
      <errorID>de9bce15-3342-4ef6-87c0-7bf5d7c45bb5</errorID>
      <errorWord>）</errorWord>
      <group>L1_Format</group>
      <groupName>格式问题</groupName>
      <ability>L2_HalfPunc</ability>
      <abilityName>全半角检查</abilityName>
      <candidateList>
        <item>)</item>
      </candidateList>
      <explain>文本全半角错误。</explain>
      <paraID>747025CC</paraID>
      <start>4</start>
      <end>5</end>
      <status>ignored</status>
      <modifiedWord/>
      <trackRevisions>false</trackRevisions>
    </reviewItem>
    <reviewItem>
      <errorID>7adf2ce9-8c84-436e-8239-ffa95a762471</errorID>
      <errorWord>污水官网</errorWord>
      <group>L1_Knowledge</group>
      <groupName>知识性问题</groupName>
      <ability>L2_Term</ability>
      <abilityName>专业术语</abilityName>
      <candidateList>
        <item>污水管网</item>
      </candidateList>
      <explain/>
      <paraID>5A60CC8F</paraID>
      <start>40</start>
      <end>44</end>
      <status>modified</status>
      <modifiedWord>污水管网</modifiedWord>
      <trackRevisions>false</trackRevisions>
    </reviewItem>
    <reviewItem>
      <errorID>3b3c7bfb-9d38-4d50-8c16-863104b2c614</errorID>
      <errorWord>(</errorWord>
      <group>L1_Format</group>
      <groupName>格式问题</groupName>
      <ability>L2_HalfPunc</ability>
      <abilityName>全半角检查</abilityName>
      <candidateList>
        <item>（</item>
      </candidateList>
      <explain>文本全半角错误。</explain>
      <paraID>  8A0844</paraID>
      <start>14</start>
      <end>15</end>
      <status>modified</status>
      <modifiedWord>（</modifiedWord>
      <trackRevisions>false</trackRevisions>
    </reviewItem>
    <reviewItem>
      <errorID>fed99524-3827-4afc-9cec-8b9bf11937e3</errorID>
      <errorWord>)</errorWord>
      <group>L1_Format</group>
      <groupName>格式问题</groupName>
      <ability>L2_HalfPunc</ability>
      <abilityName>全半角检查</abilityName>
      <candidateList>
        <item>）</item>
      </candidateList>
      <explain>文本全半角错误。</explain>
      <paraID>  8A0844</paraID>
      <start>27</start>
      <end>28</end>
      <status>modified</status>
      <modifiedWord>）</modifiedWord>
      <trackRevisions>false</trackRevisions>
    </reviewItem>
    <reviewItem>
      <errorID>585a855b-41d2-4c35-afd1-da30f48a6b65</errorID>
      <errorWord>污水管线</errorWord>
      <group>L1_Knowledge</group>
      <groupName>知识性问题</groupName>
      <ability>L2_Term</ability>
      <abilityName>专业术语</abilityName>
      <candidateList>
        <item>污水管网</item>
      </candidateList>
      <explain/>
      <paraID>29586D2B</paraID>
      <start>6</start>
      <end>10</end>
      <status>modified</status>
      <modifiedWord>污水管网</modifiedWord>
      <trackRevisions>false</trackRevisions>
    </reviewItem>
    <reviewItem>
      <errorID>99b6b900-a91e-40bc-b2ee-7b855c7f84a8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783B1A0</paraID>
      <start>61</start>
      <end>62</end>
      <status>ignored</status>
      <modifiedWord/>
      <trackRevisions>false</trackRevisions>
    </reviewItem>
    <reviewItem>
      <errorID>fdbe7bd3-cf1b-410a-b324-461bb886fc29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48CF29B4</paraID>
      <start>48</start>
      <end>49</end>
      <status>ignored</status>
      <modifiedWord/>
      <trackRevisions>false</trackRevisions>
    </reviewItem>
    <reviewItem>
      <errorID>7fce354f-2d4e-455f-9682-3d2d2a0b9db5</errorID>
      <errorWord>检测仪</errorWord>
      <group>L1_Word</group>
      <groupName>字词问题</groupName>
      <ability>L2_Typo</ability>
      <abilityName>字词错误</abilityName>
      <candidateList>
        <item>监测仪</item>
      </candidateList>
      <explain/>
      <paraID>1E13B847</paraID>
      <start>60</start>
      <end>63</end>
      <status>ignored</status>
      <modifiedWord/>
      <trackRevisions>false</trackRevisions>
    </reviewItem>
    <reviewItem>
      <errorID>5dee47d0-15d9-4bc6-9721-eab9cbb37106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6F2436AD</paraID>
      <start>20</start>
      <end>21</end>
      <status>ignored</status>
      <modifiedWord/>
      <trackRevisions>false</trackRevisions>
    </reviewItem>
    <reviewItem>
      <errorID>5f44b717-7ecb-42cc-b57a-f9867415b509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6F2436AD</paraID>
      <start>27</start>
      <end>29</end>
      <status>modified</status>
      <modifiedWord>》《</modifiedWord>
      <trackRevisions>false</trackRevisions>
    </reviewItem>
    <reviewItem>
      <errorID>76f3dea6-cc45-44be-8bd7-1fa5bccf3cd5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6F2436AD</paraID>
      <start>43</start>
      <end>44</end>
      <status>ignored</status>
      <modifiedWord/>
      <trackRevisions>false</trackRevisions>
    </reviewItem>
    <reviewItem>
      <errorID>1dcc24d0-e7b1-48f2-bb75-ba867762287c</errorID>
      <errorWord>确切</errorWord>
      <group>L1_Word</group>
      <groupName>字词问题</groupName>
      <ability>L2_Typo</ability>
      <abilityName>字词错误</abilityName>
      <candidateList>
        <item>准确</item>
      </candidateList>
      <explain>“确切～落实”搭配不当，建议修改为“准确～落实”。</explain>
      <paraID>62F34A1F</paraID>
      <start>11</start>
      <end>13</end>
      <status>ignored</status>
      <modifiedWord/>
      <trackRevisions>false</trackRevisions>
    </reviewItem>
    <reviewItem>
      <errorID>a1030a75-ad43-4c08-8c75-c618a340ed69</errorID>
      <errorWord>III类</errorWord>
      <group>L1_Knowledge</group>
      <groupName>知识性问题</groupName>
      <ability>L2_Knowledge</ability>
      <abilityName>其他知识</abilityName>
      <candidateList>
        <item>Ⅲ类</item>
      </candidateList>
      <explain/>
      <paraID>2EF2F14F</paraID>
      <start>148</start>
      <end>152</end>
      <status>ignored</status>
      <modifiedWord/>
      <trackRevisions>false</trackRevisions>
    </reviewItem>
    <reviewItem>
      <errorID>cc981bc6-735a-444e-af83-9c0f0f75018c</errorID>
      <errorWord>解吸</errorWord>
      <group>L1_Word</group>
      <groupName>字词问题</groupName>
      <ability>L2_Typo</ability>
      <abilityName>字词错误</abilityName>
      <candidateList>
        <item>解析</item>
      </candidateList>
      <explain/>
      <paraID>290807D0</paraID>
      <start>35</start>
      <end>37</end>
      <status>ignored</status>
      <modifiedWord/>
      <trackRevisions>false</trackRevisions>
    </reviewItem>
    <reviewItem>
      <errorID>35127cb9-59b5-469e-9804-da3728f8e143</errorID>
      <errorWord>完</errorWord>
      <group>L1_Word</group>
      <groupName>字词问题</groupName>
      <ability>L2_Typo</ability>
      <abilityName>字词错误</abilityName>
      <candidateList>
        <item>完成</item>
      </candidateList>
      <explain>〈动〉按照预期的目的结束；做成：～任务｜～作业｜计划完得成。</explain>
      <paraID>78025EF0</paraID>
      <start>65</start>
      <end>66</end>
      <status>ignored</status>
      <modifiedWord/>
      <trackRevisions>false</trackRevisions>
    </reviewItem>
    <reviewItem>
      <errorID>d917ee67-aff2-4fe7-84b2-bf4ea2bbab76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7E9E111A</paraID>
      <start>39</start>
      <end>40</end>
      <status>ignored</status>
      <modifiedWord/>
      <trackRevisions>false</trackRevisions>
    </reviewItem>
    <reviewItem>
      <errorID>17bf0b79-1157-463a-b004-05ee49c85b4f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7E9E111A</paraID>
      <start>105</start>
      <end>106</end>
      <status>ignored</status>
      <modifiedWord/>
      <trackRevisions>false</trackRevisions>
    </reviewItem>
    <reviewItem>
      <errorID>424e5fc6-585d-4d55-801c-ef2d4e3584c2</errorID>
      <errorWord>报梦器</errorWord>
      <group>L1_Word</group>
      <groupName>字词问题</groupName>
      <ability>L2_Typo</ability>
      <abilityName>字词错误</abilityName>
      <candidateList>
        <item>报警器</item>
      </candidateList>
      <explain/>
      <paraID>73C03D98</paraID>
      <start>181</start>
      <end>184</end>
      <status>modified</status>
      <modifiedWord>报警器</modifiedWord>
      <trackRevisions>false</trackRevisions>
    </reviewItem>
    <reviewItem>
      <errorID>a8a51838-4e20-4d65-bffe-7ef2ceb7c5b9</errorID>
      <errorWord>围油</errorWord>
      <group>L1_Word</group>
      <groupName>字词问题</groupName>
      <ability>L2_Typo</ability>
      <abilityName>字词错误</abilityName>
      <candidateList>
        <item>燃油</item>
      </candidateList>
      <explain/>
      <paraID>73C03D98</paraID>
      <start>197</start>
      <end>199</end>
      <status>ignored</status>
      <modifiedWord/>
      <trackRevisions>false</trackRevisions>
    </reviewItem>
    <reviewItem>
      <errorID>26f6263d-f62f-44ab-9345-f52fa31fe92c</errorID>
      <errorWord>响</errorWord>
      <group>L1_Word</group>
      <groupName>字词问题</groupName>
      <ability>L2_Typo</ability>
      <abilityName>字词错误</abilityName>
      <candidateList>
        <item>响和</item>
      </candidateList>
      <explain/>
      <paraID> EBF8815</paraID>
      <start>8</start>
      <end>9</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9adaa4a-bd88-4a6d-bda3-56a741daaf96}">
  <ds:schemaRefs/>
</ds:datastoreItem>
</file>

<file path=docProps/app.xml><?xml version="1.0" encoding="utf-8"?>
<Properties xmlns="http://schemas.openxmlformats.org/officeDocument/2006/extended-properties" xmlns:vt="http://schemas.openxmlformats.org/officeDocument/2006/docPropsVTypes">
  <Template>Normal.dotm</Template>
  <Pages>272</Pages>
  <Words>7007</Words>
  <Characters>7994</Characters>
  <Lines>1524</Lines>
  <Paragraphs>429</Paragraphs>
  <TotalTime>43</TotalTime>
  <ScaleCrop>false</ScaleCrop>
  <LinksUpToDate>false</LinksUpToDate>
  <CharactersWithSpaces>8065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2024-01-10T03:27:00Z</dcterms:created>
  <dc:creator>lenovo</dc:creator>
  <cp:lastModifiedBy>陈苗</cp:lastModifiedBy>
  <cp:lastPrinted>2025-03-09T02:22:00Z</cp:lastPrinted>
  <dcterms:modified xsi:type="dcterms:W3CDTF">2025-11-18T05:53:06Z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F054F97AE9D74656A4F816DC20D8A465_13</vt:lpwstr>
  </property>
  <property fmtid="{D5CDD505-2E9C-101B-9397-08002B2CF9AE}" pid="4" name="KSOTemplateDocerSaveRecord">
    <vt:lpwstr>eyJoZGlkIjoiNTQ4ZDBjZWVmYjhiZWZmYmM0MDlkMGQyZjgyMGNmOTEiLCJ1c2VySWQiOiIyNzc3NTYwODkifQ==</vt:lpwstr>
  </property>
</Properties>
</file>